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8DF4D" w14:textId="77777777" w:rsidR="00467FCA" w:rsidRDefault="00467FCA">
      <w:pPr>
        <w:pStyle w:val="Textoindependiente"/>
        <w:rPr>
          <w:rFonts w:ascii="Times New Roman"/>
        </w:rPr>
      </w:pPr>
    </w:p>
    <w:p w14:paraId="649B3E80" w14:textId="77777777" w:rsidR="00467FCA" w:rsidRDefault="00467FCA">
      <w:pPr>
        <w:pStyle w:val="Textoindependiente"/>
        <w:rPr>
          <w:rFonts w:ascii="Times New Roman"/>
        </w:rPr>
      </w:pPr>
    </w:p>
    <w:p w14:paraId="32B990D0" w14:textId="77777777" w:rsidR="00467FCA" w:rsidRDefault="00467FCA">
      <w:pPr>
        <w:pStyle w:val="Textoindependiente"/>
        <w:rPr>
          <w:rFonts w:ascii="Times New Roman"/>
        </w:rPr>
      </w:pPr>
    </w:p>
    <w:p w14:paraId="13F54D03" w14:textId="77777777" w:rsidR="00467FCA" w:rsidRDefault="00467FCA">
      <w:pPr>
        <w:pStyle w:val="Textoindependiente"/>
        <w:spacing w:before="4"/>
        <w:rPr>
          <w:rFonts w:ascii="Times New Roman"/>
          <w:sz w:val="19"/>
        </w:rPr>
      </w:pPr>
    </w:p>
    <w:p w14:paraId="44983093" w14:textId="77777777" w:rsidR="00467FCA" w:rsidRPr="00AF39D7" w:rsidRDefault="001B68EB">
      <w:pPr>
        <w:pStyle w:val="Ttulo1"/>
        <w:ind w:left="150" w:right="153"/>
        <w:jc w:val="center"/>
        <w:rPr>
          <w:lang w:val="es-AR"/>
        </w:rPr>
      </w:pPr>
      <w:bookmarkStart w:id="0" w:name="seriec_407_esp"/>
      <w:bookmarkEnd w:id="0"/>
      <w:r w:rsidRPr="00AF39D7">
        <w:rPr>
          <w:lang w:val="es-AR"/>
        </w:rPr>
        <w:t>CORTE INTERAMERICANA DE DERECHOS HUMANOS</w:t>
      </w:r>
    </w:p>
    <w:p w14:paraId="1D8C51FE" w14:textId="77777777" w:rsidR="00467FCA" w:rsidRPr="00AF39D7" w:rsidRDefault="00467FCA">
      <w:pPr>
        <w:pStyle w:val="Textoindependiente"/>
        <w:rPr>
          <w:b/>
          <w:sz w:val="24"/>
          <w:lang w:val="es-AR"/>
        </w:rPr>
      </w:pPr>
    </w:p>
    <w:p w14:paraId="2B3247E7" w14:textId="77777777" w:rsidR="00467FCA" w:rsidRPr="00AF39D7" w:rsidRDefault="00467FCA">
      <w:pPr>
        <w:pStyle w:val="Textoindependiente"/>
        <w:rPr>
          <w:b/>
          <w:sz w:val="24"/>
          <w:lang w:val="es-AR"/>
        </w:rPr>
      </w:pPr>
    </w:p>
    <w:p w14:paraId="42FD3F76" w14:textId="77777777" w:rsidR="00467FCA" w:rsidRDefault="001B68EB">
      <w:pPr>
        <w:spacing w:before="146"/>
        <w:ind w:left="154" w:right="153"/>
        <w:jc w:val="center"/>
        <w:rPr>
          <w:b/>
          <w:sz w:val="20"/>
        </w:rPr>
      </w:pPr>
      <w:r w:rsidRPr="00AF39D7">
        <w:rPr>
          <w:b/>
          <w:sz w:val="20"/>
          <w:lang w:val="es-AR"/>
        </w:rPr>
        <w:t xml:space="preserve">CASO EMPLEADOS DE LA FÁBRICA DE FUEGOS EN SANTO ANTÔNIO DE JESUS Y SUS FAMILIARES VS. </w:t>
      </w:r>
      <w:r>
        <w:rPr>
          <w:b/>
          <w:sz w:val="20"/>
        </w:rPr>
        <w:t>BRASIL</w:t>
      </w:r>
    </w:p>
    <w:p w14:paraId="087863D8" w14:textId="77777777" w:rsidR="00467FCA" w:rsidRDefault="00467FCA">
      <w:pPr>
        <w:pStyle w:val="Textoindependiente"/>
        <w:rPr>
          <w:b/>
          <w:sz w:val="24"/>
        </w:rPr>
      </w:pPr>
    </w:p>
    <w:p w14:paraId="0D9AFE02" w14:textId="77777777" w:rsidR="00467FCA" w:rsidRDefault="00467FCA">
      <w:pPr>
        <w:pStyle w:val="Textoindependiente"/>
        <w:rPr>
          <w:b/>
          <w:sz w:val="24"/>
        </w:rPr>
      </w:pPr>
    </w:p>
    <w:p w14:paraId="0E0F5079" w14:textId="77777777" w:rsidR="00467FCA" w:rsidRPr="00AF39D7" w:rsidRDefault="001B68EB">
      <w:pPr>
        <w:spacing w:before="147"/>
        <w:ind w:left="152" w:right="153"/>
        <w:jc w:val="center"/>
        <w:rPr>
          <w:b/>
          <w:sz w:val="20"/>
          <w:lang w:val="es-AR"/>
        </w:rPr>
      </w:pPr>
      <w:r w:rsidRPr="00AF39D7">
        <w:rPr>
          <w:b/>
          <w:sz w:val="20"/>
          <w:lang w:val="es-AR"/>
        </w:rPr>
        <w:t>SENTENCIA DE 15 DE JULIO DE 2020</w:t>
      </w:r>
    </w:p>
    <w:p w14:paraId="7C8ED8D7" w14:textId="77777777" w:rsidR="00467FCA" w:rsidRPr="00AF39D7" w:rsidRDefault="00467FCA">
      <w:pPr>
        <w:pStyle w:val="Textoindependiente"/>
        <w:spacing w:before="11"/>
        <w:rPr>
          <w:b/>
          <w:sz w:val="19"/>
          <w:lang w:val="es-AR"/>
        </w:rPr>
      </w:pPr>
    </w:p>
    <w:p w14:paraId="0F21BABA" w14:textId="77777777" w:rsidR="00467FCA" w:rsidRPr="00AF39D7" w:rsidRDefault="001B68EB">
      <w:pPr>
        <w:ind w:left="151" w:right="153"/>
        <w:jc w:val="center"/>
        <w:rPr>
          <w:b/>
          <w:sz w:val="20"/>
          <w:lang w:val="es-AR"/>
        </w:rPr>
      </w:pPr>
      <w:r w:rsidRPr="00AF39D7">
        <w:rPr>
          <w:b/>
          <w:sz w:val="20"/>
          <w:lang w:val="es-AR"/>
        </w:rPr>
        <w:t>(Excepciones Preliminares, Fondo, Reparaciones y Costas)</w:t>
      </w:r>
    </w:p>
    <w:p w14:paraId="1C05268C" w14:textId="77777777" w:rsidR="00467FCA" w:rsidRPr="00AF39D7" w:rsidRDefault="00467FCA">
      <w:pPr>
        <w:pStyle w:val="Textoindependiente"/>
        <w:rPr>
          <w:b/>
          <w:sz w:val="24"/>
          <w:lang w:val="es-AR"/>
        </w:rPr>
      </w:pPr>
    </w:p>
    <w:p w14:paraId="0CA48C73" w14:textId="77777777" w:rsidR="00467FCA" w:rsidRPr="00AF39D7" w:rsidRDefault="00467FCA">
      <w:pPr>
        <w:pStyle w:val="Textoindependiente"/>
        <w:rPr>
          <w:b/>
          <w:sz w:val="24"/>
          <w:lang w:val="es-AR"/>
        </w:rPr>
      </w:pPr>
    </w:p>
    <w:p w14:paraId="1FACC51C" w14:textId="77777777" w:rsidR="00467FCA" w:rsidRPr="00AF39D7" w:rsidRDefault="00467FCA">
      <w:pPr>
        <w:pStyle w:val="Textoindependiente"/>
        <w:spacing w:before="1"/>
        <w:rPr>
          <w:b/>
          <w:sz w:val="32"/>
          <w:lang w:val="es-AR"/>
        </w:rPr>
      </w:pPr>
    </w:p>
    <w:p w14:paraId="421298E4" w14:textId="77777777" w:rsidR="00467FCA" w:rsidRDefault="001B68EB">
      <w:pPr>
        <w:ind w:left="119" w:right="36"/>
        <w:rPr>
          <w:sz w:val="20"/>
        </w:rPr>
      </w:pPr>
      <w:r w:rsidRPr="00AF39D7">
        <w:rPr>
          <w:sz w:val="20"/>
          <w:lang w:val="es-AR"/>
        </w:rPr>
        <w:t xml:space="preserve">En el </w:t>
      </w:r>
      <w:r w:rsidRPr="00AF39D7">
        <w:rPr>
          <w:i/>
          <w:sz w:val="20"/>
          <w:lang w:val="es-AR"/>
        </w:rPr>
        <w:t xml:space="preserve">Caso Empleados de la Fábrica de Fuegos en Santo Antônio de Jesus y sus familiares Vs. </w:t>
      </w:r>
      <w:r>
        <w:rPr>
          <w:i/>
          <w:sz w:val="20"/>
        </w:rPr>
        <w:t>Brasil</w:t>
      </w:r>
      <w:r>
        <w:rPr>
          <w:sz w:val="20"/>
        </w:rPr>
        <w:t>,</w:t>
      </w:r>
    </w:p>
    <w:p w14:paraId="5E8034E0" w14:textId="77777777" w:rsidR="00467FCA" w:rsidRDefault="00467FCA">
      <w:pPr>
        <w:pStyle w:val="Textoindependiente"/>
        <w:spacing w:before="10"/>
        <w:rPr>
          <w:sz w:val="19"/>
        </w:rPr>
      </w:pPr>
    </w:p>
    <w:p w14:paraId="77794B3D" w14:textId="77777777" w:rsidR="00467FCA" w:rsidRPr="00AF39D7" w:rsidRDefault="001B68EB">
      <w:pPr>
        <w:pStyle w:val="Textoindependiente"/>
        <w:spacing w:before="1"/>
        <w:ind w:left="119" w:right="36"/>
        <w:rPr>
          <w:lang w:val="es-AR"/>
        </w:rPr>
      </w:pPr>
      <w:r w:rsidRPr="00AF39D7">
        <w:rPr>
          <w:lang w:val="es-AR"/>
        </w:rPr>
        <w:t>la Corte Interamericana de Derechos Humanos (en adelante “la Corte Interamericana”, “la Corte” o “este Tribunal”), integrada por los siguientes jueces:</w:t>
      </w:r>
    </w:p>
    <w:p w14:paraId="03486983" w14:textId="77777777" w:rsidR="00467FCA" w:rsidRPr="00AF39D7" w:rsidRDefault="00467FCA">
      <w:pPr>
        <w:pStyle w:val="Textoindependiente"/>
        <w:rPr>
          <w:lang w:val="es-AR"/>
        </w:rPr>
      </w:pPr>
    </w:p>
    <w:p w14:paraId="0C046DEE" w14:textId="77777777" w:rsidR="00467FCA" w:rsidRPr="00AF39D7" w:rsidRDefault="001B68EB">
      <w:pPr>
        <w:pStyle w:val="Textoindependiente"/>
        <w:spacing w:line="243" w:lineRule="exact"/>
        <w:ind w:left="119"/>
        <w:rPr>
          <w:lang w:val="es-AR"/>
        </w:rPr>
      </w:pPr>
      <w:r w:rsidRPr="00AF39D7">
        <w:rPr>
          <w:lang w:val="es-AR"/>
        </w:rPr>
        <w:t>Elizabeth Odio Benito, Presidenta;</w:t>
      </w:r>
    </w:p>
    <w:p w14:paraId="20FA04CE" w14:textId="77777777" w:rsidR="00467FCA" w:rsidRPr="00AF39D7" w:rsidRDefault="001B68EB">
      <w:pPr>
        <w:pStyle w:val="Textoindependiente"/>
        <w:ind w:left="119" w:right="4409"/>
        <w:rPr>
          <w:lang w:val="es-AR"/>
        </w:rPr>
      </w:pPr>
      <w:r w:rsidRPr="00AF39D7">
        <w:rPr>
          <w:lang w:val="es-AR"/>
        </w:rPr>
        <w:t>L. Patricio Pazmiño Freire, Vicepresidente; Eduardo Vio Grossi, Juez</w:t>
      </w:r>
      <w:r w:rsidRPr="00AF39D7">
        <w:rPr>
          <w:lang w:val="es-AR"/>
        </w:rPr>
        <w:t>;</w:t>
      </w:r>
    </w:p>
    <w:p w14:paraId="329705EE" w14:textId="77777777" w:rsidR="00467FCA" w:rsidRPr="00AF39D7" w:rsidRDefault="001B68EB">
      <w:pPr>
        <w:pStyle w:val="Textoindependiente"/>
        <w:spacing w:before="1"/>
        <w:ind w:left="119" w:right="5360"/>
        <w:rPr>
          <w:lang w:val="es-AR"/>
        </w:rPr>
      </w:pPr>
      <w:r w:rsidRPr="00AF39D7">
        <w:rPr>
          <w:lang w:val="es-AR"/>
        </w:rPr>
        <w:t>Humberto Antonio Sierra Porto, Juez; Eduardo Ferrer Mac-Gregor Poisot, Juez; Eugenio Raúl Zaffaroni, Juez, y</w:t>
      </w:r>
    </w:p>
    <w:p w14:paraId="66CB4168" w14:textId="77777777" w:rsidR="00467FCA" w:rsidRPr="00AF39D7" w:rsidRDefault="001B68EB">
      <w:pPr>
        <w:pStyle w:val="Textoindependiente"/>
        <w:ind w:left="119"/>
        <w:rPr>
          <w:lang w:val="es-AR"/>
        </w:rPr>
      </w:pPr>
      <w:r w:rsidRPr="00AF39D7">
        <w:rPr>
          <w:lang w:val="es-AR"/>
        </w:rPr>
        <w:t>Ricardo Pérez Manrique, Juez;</w:t>
      </w:r>
    </w:p>
    <w:p w14:paraId="1E990EFC" w14:textId="77777777" w:rsidR="00467FCA" w:rsidRPr="00AF39D7" w:rsidRDefault="00467FCA">
      <w:pPr>
        <w:pStyle w:val="Textoindependiente"/>
        <w:rPr>
          <w:sz w:val="24"/>
          <w:lang w:val="es-AR"/>
        </w:rPr>
      </w:pPr>
    </w:p>
    <w:p w14:paraId="70E08D65" w14:textId="77777777" w:rsidR="00467FCA" w:rsidRPr="00AF39D7" w:rsidRDefault="001B68EB">
      <w:pPr>
        <w:pStyle w:val="Textoindependiente"/>
        <w:spacing w:before="195"/>
        <w:ind w:left="119"/>
        <w:rPr>
          <w:lang w:val="es-AR"/>
        </w:rPr>
      </w:pPr>
      <w:r w:rsidRPr="00AF39D7">
        <w:rPr>
          <w:lang w:val="es-AR"/>
        </w:rPr>
        <w:t>presentes, además,</w:t>
      </w:r>
    </w:p>
    <w:p w14:paraId="719D5034" w14:textId="77777777" w:rsidR="00467FCA" w:rsidRPr="00AF39D7" w:rsidRDefault="00467FCA">
      <w:pPr>
        <w:pStyle w:val="Textoindependiente"/>
        <w:spacing w:before="11"/>
        <w:rPr>
          <w:sz w:val="19"/>
          <w:lang w:val="es-AR"/>
        </w:rPr>
      </w:pPr>
    </w:p>
    <w:p w14:paraId="3B1AC61D" w14:textId="77777777" w:rsidR="00467FCA" w:rsidRPr="00AF39D7" w:rsidRDefault="001B68EB">
      <w:pPr>
        <w:pStyle w:val="Textoindependiente"/>
        <w:ind w:left="119" w:right="5286"/>
        <w:rPr>
          <w:lang w:val="es-AR"/>
        </w:rPr>
      </w:pPr>
      <w:r w:rsidRPr="00AF39D7">
        <w:rPr>
          <w:lang w:val="es-AR"/>
        </w:rPr>
        <w:t>Pablo Saavedra Alessandri, Secretario, y Romina I. Sijniensky, Secretaria Adjunta,</w:t>
      </w:r>
    </w:p>
    <w:p w14:paraId="0D2F1DAE" w14:textId="77777777" w:rsidR="00467FCA" w:rsidRPr="00AF39D7" w:rsidRDefault="00467FCA">
      <w:pPr>
        <w:pStyle w:val="Textoindependiente"/>
        <w:rPr>
          <w:lang w:val="es-AR"/>
        </w:rPr>
      </w:pPr>
    </w:p>
    <w:p w14:paraId="63925933" w14:textId="77777777" w:rsidR="00467FCA" w:rsidRPr="00AF39D7" w:rsidRDefault="001B68EB">
      <w:pPr>
        <w:pStyle w:val="Textoindependiente"/>
        <w:spacing w:before="1"/>
        <w:ind w:left="119" w:right="118"/>
        <w:jc w:val="both"/>
        <w:rPr>
          <w:lang w:val="es-AR"/>
        </w:rPr>
      </w:pPr>
      <w:r w:rsidRPr="00AF39D7">
        <w:rPr>
          <w:lang w:val="es-AR"/>
        </w:rPr>
        <w:t>de conform</w:t>
      </w:r>
      <w:r w:rsidRPr="00AF39D7">
        <w:rPr>
          <w:lang w:val="es-AR"/>
        </w:rPr>
        <w:t xml:space="preserve">idad con los artículos 62.3 y 63.1 de la Convención Americana sobre Derechos Humanos (en adelante “la Convención Americana” o “la Convención”) y con los artículos 31, 32, 42, 65 y 67 del Reglamento de la Corte (en adelante “el Reglamento” o “el Reglamento </w:t>
      </w:r>
      <w:r w:rsidRPr="00AF39D7">
        <w:rPr>
          <w:lang w:val="es-AR"/>
        </w:rPr>
        <w:t>de la Corte”), dicta la presente Sentencia, que se estructura en el siguiente orden:</w:t>
      </w:r>
    </w:p>
    <w:p w14:paraId="0074F430" w14:textId="77777777" w:rsidR="00467FCA" w:rsidRPr="00AF39D7" w:rsidRDefault="00467FCA">
      <w:pPr>
        <w:jc w:val="both"/>
        <w:rPr>
          <w:lang w:val="es-AR"/>
        </w:rPr>
        <w:sectPr w:rsidR="00467FCA" w:rsidRPr="00AF39D7">
          <w:footerReference w:type="default" r:id="rId7"/>
          <w:type w:val="continuous"/>
          <w:pgSz w:w="12240" w:h="15840"/>
          <w:pgMar w:top="1500" w:right="1320" w:bottom="1220" w:left="1320" w:header="720" w:footer="1037" w:gutter="0"/>
          <w:pgNumType w:start="1"/>
          <w:cols w:space="720"/>
        </w:sectPr>
      </w:pPr>
    </w:p>
    <w:p w14:paraId="21C8962D" w14:textId="77777777" w:rsidR="00467FCA" w:rsidRDefault="001B68EB">
      <w:pPr>
        <w:pStyle w:val="Ttulo1"/>
        <w:spacing w:before="80"/>
        <w:ind w:left="152" w:right="153"/>
        <w:jc w:val="center"/>
      </w:pPr>
      <w:r>
        <w:lastRenderedPageBreak/>
        <w:t>TABLA DE CONTENIDO</w:t>
      </w:r>
    </w:p>
    <w:p w14:paraId="273613CB" w14:textId="77777777" w:rsidR="00467FCA" w:rsidRDefault="00467FCA">
      <w:pPr>
        <w:jc w:val="center"/>
        <w:sectPr w:rsidR="00467FCA">
          <w:pgSz w:w="12240" w:h="15840"/>
          <w:pgMar w:top="1360" w:right="1320" w:bottom="1820" w:left="1320" w:header="0" w:footer="1037" w:gutter="0"/>
          <w:cols w:space="720"/>
        </w:sectPr>
      </w:pPr>
    </w:p>
    <w:sdt>
      <w:sdtPr>
        <w:id w:val="1934930262"/>
        <w:docPartObj>
          <w:docPartGallery w:val="Table of Contents"/>
          <w:docPartUnique/>
        </w:docPartObj>
      </w:sdtPr>
      <w:sdtEndPr/>
      <w:sdtContent>
        <w:p w14:paraId="60A210BF" w14:textId="77777777" w:rsidR="00467FCA" w:rsidRPr="00AF39D7" w:rsidRDefault="001B68EB">
          <w:pPr>
            <w:pStyle w:val="TDC1"/>
            <w:numPr>
              <w:ilvl w:val="0"/>
              <w:numId w:val="61"/>
            </w:numPr>
            <w:tabs>
              <w:tab w:val="left" w:pos="281"/>
              <w:tab w:val="left" w:pos="9343"/>
            </w:tabs>
            <w:spacing w:before="243"/>
            <w:rPr>
              <w:lang w:val="es-AR"/>
            </w:rPr>
          </w:pPr>
          <w:hyperlink w:anchor="_bookmark0" w:history="1">
            <w:r w:rsidRPr="00AF39D7">
              <w:rPr>
                <w:lang w:val="es-AR"/>
              </w:rPr>
              <w:t>INTRODUCCIÓN DE LA CAUSA Y OBJETO DE</w:t>
            </w:r>
            <w:r w:rsidRPr="00AF39D7">
              <w:rPr>
                <w:spacing w:val="-13"/>
                <w:lang w:val="es-AR"/>
              </w:rPr>
              <w:t xml:space="preserve"> </w:t>
            </w:r>
            <w:r w:rsidRPr="00AF39D7">
              <w:rPr>
                <w:lang w:val="es-AR"/>
              </w:rPr>
              <w:t>LA</w:t>
            </w:r>
            <w:r w:rsidRPr="00AF39D7">
              <w:rPr>
                <w:spacing w:val="-2"/>
                <w:lang w:val="es-AR"/>
              </w:rPr>
              <w:t xml:space="preserve"> </w:t>
            </w:r>
            <w:r w:rsidRPr="00AF39D7">
              <w:rPr>
                <w:lang w:val="es-AR"/>
              </w:rPr>
              <w:t>CONTROVERSIA</w:t>
            </w:r>
            <w:r w:rsidRPr="00AF39D7">
              <w:rPr>
                <w:lang w:val="es-AR"/>
              </w:rPr>
              <w:tab/>
              <w:t>4</w:t>
            </w:r>
          </w:hyperlink>
        </w:p>
        <w:p w14:paraId="44696835" w14:textId="77777777" w:rsidR="00467FCA" w:rsidRDefault="001B68EB">
          <w:pPr>
            <w:pStyle w:val="TDC1"/>
            <w:numPr>
              <w:ilvl w:val="0"/>
              <w:numId w:val="61"/>
            </w:numPr>
            <w:tabs>
              <w:tab w:val="left" w:pos="380"/>
              <w:tab w:val="left" w:pos="9343"/>
            </w:tabs>
            <w:spacing w:before="31"/>
            <w:ind w:left="379" w:hanging="260"/>
          </w:pPr>
          <w:hyperlink w:anchor="_bookmark4" w:history="1">
            <w:r>
              <w:t>PROCEDIMIENTO ANTE</w:t>
            </w:r>
            <w:r>
              <w:rPr>
                <w:spacing w:val="-4"/>
              </w:rPr>
              <w:t xml:space="preserve"> </w:t>
            </w:r>
            <w:r>
              <w:t>LA</w:t>
            </w:r>
            <w:r>
              <w:rPr>
                <w:spacing w:val="-2"/>
              </w:rPr>
              <w:t xml:space="preserve"> </w:t>
            </w:r>
            <w:r>
              <w:t>CORTE</w:t>
            </w:r>
            <w:r>
              <w:tab/>
              <w:t>5</w:t>
            </w:r>
          </w:hyperlink>
        </w:p>
        <w:p w14:paraId="1ACFA24E" w14:textId="77777777" w:rsidR="00467FCA" w:rsidRDefault="001B68EB">
          <w:pPr>
            <w:pStyle w:val="TDC1"/>
            <w:numPr>
              <w:ilvl w:val="0"/>
              <w:numId w:val="61"/>
            </w:numPr>
            <w:tabs>
              <w:tab w:val="left" w:pos="478"/>
              <w:tab w:val="left" w:pos="9343"/>
            </w:tabs>
            <w:ind w:left="477" w:hanging="358"/>
          </w:pPr>
          <w:hyperlink w:anchor="_bookmark20" w:history="1">
            <w:r>
              <w:t>COMPETENCIA</w:t>
            </w:r>
            <w:r>
              <w:tab/>
              <w:t>8</w:t>
            </w:r>
          </w:hyperlink>
        </w:p>
        <w:p w14:paraId="2A925724" w14:textId="77777777" w:rsidR="00467FCA" w:rsidRDefault="001B68EB">
          <w:pPr>
            <w:pStyle w:val="TDC1"/>
            <w:numPr>
              <w:ilvl w:val="0"/>
              <w:numId w:val="61"/>
            </w:numPr>
            <w:tabs>
              <w:tab w:val="left" w:pos="418"/>
              <w:tab w:val="left" w:pos="9343"/>
            </w:tabs>
            <w:ind w:left="417" w:hanging="298"/>
          </w:pPr>
          <w:hyperlink w:anchor="_bookmark21" w:history="1">
            <w:r>
              <w:t>EXCEPCIONES</w:t>
            </w:r>
            <w:r>
              <w:rPr>
                <w:spacing w:val="-4"/>
              </w:rPr>
              <w:t xml:space="preserve"> </w:t>
            </w:r>
            <w:r>
              <w:t>PRELIMINARES</w:t>
            </w:r>
            <w:r>
              <w:tab/>
              <w:t>8</w:t>
            </w:r>
          </w:hyperlink>
        </w:p>
        <w:p w14:paraId="4B25BA86" w14:textId="77777777" w:rsidR="00467FCA" w:rsidRPr="00AF39D7" w:rsidRDefault="001B68EB">
          <w:pPr>
            <w:pStyle w:val="TDC1"/>
            <w:numPr>
              <w:ilvl w:val="0"/>
              <w:numId w:val="60"/>
            </w:numPr>
            <w:tabs>
              <w:tab w:val="left" w:pos="599"/>
              <w:tab w:val="left" w:pos="601"/>
              <w:tab w:val="left" w:pos="9343"/>
            </w:tabs>
            <w:spacing w:line="276" w:lineRule="auto"/>
            <w:ind w:right="126" w:firstLine="0"/>
            <w:rPr>
              <w:lang w:val="es-AR"/>
            </w:rPr>
          </w:pPr>
          <w:hyperlink w:anchor="_bookmark22" w:history="1">
            <w:r w:rsidRPr="00AF39D7">
              <w:rPr>
                <w:lang w:val="es-AR"/>
              </w:rPr>
              <w:t>Alegada inadmisibilidad del sometimiento del caso a la Corte en virtud de la</w:t>
            </w:r>
          </w:hyperlink>
          <w:hyperlink w:anchor="_bookmark22" w:history="1">
            <w:r w:rsidRPr="00AF39D7">
              <w:rPr>
                <w:lang w:val="es-AR"/>
              </w:rPr>
              <w:t xml:space="preserve"> publicación del Informe de Admisibilidad y Fondo por parte de</w:t>
            </w:r>
            <w:r w:rsidRPr="00AF39D7">
              <w:rPr>
                <w:spacing w:val="-24"/>
                <w:lang w:val="es-AR"/>
              </w:rPr>
              <w:t xml:space="preserve"> </w:t>
            </w:r>
            <w:r w:rsidRPr="00AF39D7">
              <w:rPr>
                <w:lang w:val="es-AR"/>
              </w:rPr>
              <w:t>la</w:t>
            </w:r>
            <w:r w:rsidRPr="00AF39D7">
              <w:rPr>
                <w:spacing w:val="-3"/>
                <w:lang w:val="es-AR"/>
              </w:rPr>
              <w:t xml:space="preserve"> </w:t>
            </w:r>
            <w:r w:rsidRPr="00AF39D7">
              <w:rPr>
                <w:lang w:val="es-AR"/>
              </w:rPr>
              <w:t>Comisión</w:t>
            </w:r>
            <w:r w:rsidRPr="00AF39D7">
              <w:rPr>
                <w:lang w:val="es-AR"/>
              </w:rPr>
              <w:tab/>
            </w:r>
            <w:r w:rsidRPr="00AF39D7">
              <w:rPr>
                <w:spacing w:val="-17"/>
                <w:lang w:val="es-AR"/>
              </w:rPr>
              <w:t>8</w:t>
            </w:r>
          </w:hyperlink>
        </w:p>
        <w:p w14:paraId="0171743C" w14:textId="77777777" w:rsidR="00467FCA" w:rsidRPr="00AF39D7" w:rsidRDefault="001B68EB">
          <w:pPr>
            <w:pStyle w:val="TDC2"/>
            <w:numPr>
              <w:ilvl w:val="1"/>
              <w:numId w:val="60"/>
            </w:numPr>
            <w:tabs>
              <w:tab w:val="left" w:pos="790"/>
              <w:tab w:val="left" w:pos="9355"/>
            </w:tabs>
            <w:spacing w:before="0" w:line="217" w:lineRule="exact"/>
            <w:rPr>
              <w:lang w:val="es-AR"/>
            </w:rPr>
          </w:pPr>
          <w:hyperlink w:anchor="_bookmark23" w:history="1">
            <w:r w:rsidRPr="00AF39D7">
              <w:rPr>
                <w:lang w:val="es-AR"/>
              </w:rPr>
              <w:t>Alegatos del</w:t>
            </w:r>
            <w:r w:rsidRPr="00AF39D7">
              <w:rPr>
                <w:lang w:val="es-AR"/>
              </w:rPr>
              <w:t xml:space="preserve"> Estado, observaciones de la Comisión y de</w:t>
            </w:r>
            <w:r w:rsidRPr="00AF39D7">
              <w:rPr>
                <w:spacing w:val="-18"/>
                <w:lang w:val="es-AR"/>
              </w:rPr>
              <w:t xml:space="preserve"> </w:t>
            </w:r>
            <w:r w:rsidRPr="00AF39D7">
              <w:rPr>
                <w:lang w:val="es-AR"/>
              </w:rPr>
              <w:t>los</w:t>
            </w:r>
            <w:r w:rsidRPr="00AF39D7">
              <w:rPr>
                <w:spacing w:val="-2"/>
                <w:lang w:val="es-AR"/>
              </w:rPr>
              <w:t xml:space="preserve"> </w:t>
            </w:r>
            <w:r w:rsidRPr="00AF39D7">
              <w:rPr>
                <w:lang w:val="es-AR"/>
              </w:rPr>
              <w:t>representantes</w:t>
            </w:r>
            <w:r w:rsidRPr="00AF39D7">
              <w:rPr>
                <w:lang w:val="es-AR"/>
              </w:rPr>
              <w:tab/>
              <w:t>8</w:t>
            </w:r>
          </w:hyperlink>
        </w:p>
        <w:p w14:paraId="7884D532" w14:textId="77777777" w:rsidR="00467FCA" w:rsidRDefault="001B68EB">
          <w:pPr>
            <w:pStyle w:val="TDC2"/>
            <w:numPr>
              <w:ilvl w:val="1"/>
              <w:numId w:val="60"/>
            </w:numPr>
            <w:tabs>
              <w:tab w:val="left" w:pos="790"/>
              <w:tab w:val="left" w:pos="9355"/>
            </w:tabs>
            <w:spacing w:before="34"/>
          </w:pPr>
          <w:hyperlink w:anchor="_bookmark26" w:history="1">
            <w:r>
              <w:t>Consideraciones de</w:t>
            </w:r>
            <w:r>
              <w:rPr>
                <w:spacing w:val="-3"/>
              </w:rPr>
              <w:t xml:space="preserve"> </w:t>
            </w:r>
            <w:r>
              <w:t>la</w:t>
            </w:r>
            <w:r>
              <w:rPr>
                <w:spacing w:val="-4"/>
              </w:rPr>
              <w:t xml:space="preserve"> </w:t>
            </w:r>
            <w:r>
              <w:t>Corte</w:t>
            </w:r>
            <w:r>
              <w:tab/>
              <w:t>9</w:t>
            </w:r>
          </w:hyperlink>
        </w:p>
        <w:p w14:paraId="1AF3D03C" w14:textId="77777777" w:rsidR="00467FCA" w:rsidRPr="00AF39D7" w:rsidRDefault="001B68EB">
          <w:pPr>
            <w:pStyle w:val="TDC1"/>
            <w:numPr>
              <w:ilvl w:val="0"/>
              <w:numId w:val="60"/>
            </w:numPr>
            <w:tabs>
              <w:tab w:val="left" w:pos="600"/>
              <w:tab w:val="left" w:pos="601"/>
              <w:tab w:val="left" w:pos="9343"/>
            </w:tabs>
            <w:spacing w:line="276" w:lineRule="auto"/>
            <w:ind w:right="126" w:hanging="1"/>
            <w:rPr>
              <w:lang w:val="es-AR"/>
            </w:rPr>
          </w:pPr>
          <w:hyperlink w:anchor="_bookmark27" w:history="1">
            <w:r w:rsidRPr="00AF39D7">
              <w:rPr>
                <w:lang w:val="es-AR"/>
              </w:rPr>
              <w:t xml:space="preserve">Alegada incompetencia </w:t>
            </w:r>
            <w:r w:rsidRPr="00AF39D7">
              <w:rPr>
                <w:i/>
                <w:lang w:val="es-AR"/>
              </w:rPr>
              <w:t xml:space="preserve">ratione materiae </w:t>
            </w:r>
            <w:r w:rsidRPr="00AF39D7">
              <w:rPr>
                <w:lang w:val="es-AR"/>
              </w:rPr>
              <w:t>respecto de las supuestas violaciones al</w:t>
            </w:r>
          </w:hyperlink>
          <w:hyperlink w:anchor="_bookmark27" w:history="1">
            <w:r w:rsidRPr="00AF39D7">
              <w:rPr>
                <w:lang w:val="es-AR"/>
              </w:rPr>
              <w:t xml:space="preserve"> derecho</w:t>
            </w:r>
            <w:r w:rsidRPr="00AF39D7">
              <w:rPr>
                <w:spacing w:val="-2"/>
                <w:lang w:val="es-AR"/>
              </w:rPr>
              <w:t xml:space="preserve"> </w:t>
            </w:r>
            <w:r w:rsidRPr="00AF39D7">
              <w:rPr>
                <w:lang w:val="es-AR"/>
              </w:rPr>
              <w:t>al</w:t>
            </w:r>
            <w:r w:rsidRPr="00AF39D7">
              <w:rPr>
                <w:spacing w:val="-3"/>
                <w:lang w:val="es-AR"/>
              </w:rPr>
              <w:t xml:space="preserve"> </w:t>
            </w:r>
            <w:r w:rsidRPr="00AF39D7">
              <w:rPr>
                <w:lang w:val="es-AR"/>
              </w:rPr>
              <w:t>trabajo</w:t>
            </w:r>
            <w:r w:rsidRPr="00AF39D7">
              <w:rPr>
                <w:lang w:val="es-AR"/>
              </w:rPr>
              <w:tab/>
            </w:r>
            <w:r w:rsidRPr="00AF39D7">
              <w:rPr>
                <w:spacing w:val="-17"/>
                <w:lang w:val="es-AR"/>
              </w:rPr>
              <w:t>9</w:t>
            </w:r>
          </w:hyperlink>
        </w:p>
        <w:p w14:paraId="16885090" w14:textId="77777777" w:rsidR="00467FCA" w:rsidRPr="00AF39D7" w:rsidRDefault="001B68EB">
          <w:pPr>
            <w:pStyle w:val="TDC2"/>
            <w:numPr>
              <w:ilvl w:val="1"/>
              <w:numId w:val="60"/>
            </w:numPr>
            <w:tabs>
              <w:tab w:val="left" w:pos="791"/>
              <w:tab w:val="left" w:pos="9355"/>
            </w:tabs>
            <w:spacing w:before="1"/>
            <w:ind w:left="790" w:hanging="431"/>
            <w:rPr>
              <w:lang w:val="es-AR"/>
            </w:rPr>
          </w:pPr>
          <w:hyperlink w:anchor="_bookmark28" w:history="1">
            <w:r w:rsidRPr="00AF39D7">
              <w:rPr>
                <w:lang w:val="es-AR"/>
              </w:rPr>
              <w:t>Alegatos del Estado, observaciones de la Comisión y de</w:t>
            </w:r>
            <w:r w:rsidRPr="00AF39D7">
              <w:rPr>
                <w:spacing w:val="-19"/>
                <w:lang w:val="es-AR"/>
              </w:rPr>
              <w:t xml:space="preserve"> </w:t>
            </w:r>
            <w:r w:rsidRPr="00AF39D7">
              <w:rPr>
                <w:lang w:val="es-AR"/>
              </w:rPr>
              <w:t>los</w:t>
            </w:r>
            <w:r w:rsidRPr="00AF39D7">
              <w:rPr>
                <w:spacing w:val="-2"/>
                <w:lang w:val="es-AR"/>
              </w:rPr>
              <w:t xml:space="preserve"> </w:t>
            </w:r>
            <w:r w:rsidRPr="00AF39D7">
              <w:rPr>
                <w:lang w:val="es-AR"/>
              </w:rPr>
              <w:t>representantes</w:t>
            </w:r>
            <w:r w:rsidRPr="00AF39D7">
              <w:rPr>
                <w:lang w:val="es-AR"/>
              </w:rPr>
              <w:tab/>
              <w:t>9</w:t>
            </w:r>
          </w:hyperlink>
        </w:p>
        <w:p w14:paraId="068751B9" w14:textId="77777777" w:rsidR="00467FCA" w:rsidRDefault="001B68EB">
          <w:pPr>
            <w:pStyle w:val="TDC2"/>
            <w:numPr>
              <w:ilvl w:val="1"/>
              <w:numId w:val="60"/>
            </w:numPr>
            <w:tabs>
              <w:tab w:val="left" w:pos="791"/>
              <w:tab w:val="left" w:pos="9243"/>
            </w:tabs>
            <w:ind w:left="790" w:hanging="431"/>
          </w:pPr>
          <w:hyperlink w:anchor="_bookmark33" w:history="1">
            <w:r>
              <w:t>Consideraciones de</w:t>
            </w:r>
            <w:r>
              <w:rPr>
                <w:spacing w:val="-3"/>
              </w:rPr>
              <w:t xml:space="preserve"> </w:t>
            </w:r>
            <w:r>
              <w:t>la</w:t>
            </w:r>
            <w:r>
              <w:rPr>
                <w:spacing w:val="-4"/>
              </w:rPr>
              <w:t xml:space="preserve"> </w:t>
            </w:r>
            <w:r>
              <w:t>Corte</w:t>
            </w:r>
            <w:r>
              <w:tab/>
              <w:t>10</w:t>
            </w:r>
          </w:hyperlink>
        </w:p>
        <w:p w14:paraId="1056DC89" w14:textId="77777777" w:rsidR="00467FCA" w:rsidRPr="00AF39D7" w:rsidRDefault="001B68EB">
          <w:pPr>
            <w:pStyle w:val="TDC1"/>
            <w:numPr>
              <w:ilvl w:val="0"/>
              <w:numId w:val="60"/>
            </w:numPr>
            <w:tabs>
              <w:tab w:val="left" w:pos="600"/>
              <w:tab w:val="left" w:pos="601"/>
              <w:tab w:val="left" w:pos="9214"/>
            </w:tabs>
            <w:spacing w:before="31"/>
            <w:ind w:left="600" w:hanging="481"/>
            <w:rPr>
              <w:lang w:val="es-AR"/>
            </w:rPr>
          </w:pPr>
          <w:hyperlink w:anchor="_bookmark34" w:history="1">
            <w:r w:rsidRPr="00AF39D7">
              <w:rPr>
                <w:lang w:val="es-AR"/>
              </w:rPr>
              <w:t>Alegada falta de agotamiento de los</w:t>
            </w:r>
            <w:r w:rsidRPr="00AF39D7">
              <w:rPr>
                <w:spacing w:val="-19"/>
                <w:lang w:val="es-AR"/>
              </w:rPr>
              <w:t xml:space="preserve"> </w:t>
            </w:r>
            <w:r w:rsidRPr="00AF39D7">
              <w:rPr>
                <w:lang w:val="es-AR"/>
              </w:rPr>
              <w:t>recursos</w:t>
            </w:r>
            <w:r w:rsidRPr="00AF39D7">
              <w:rPr>
                <w:spacing w:val="-4"/>
                <w:lang w:val="es-AR"/>
              </w:rPr>
              <w:t xml:space="preserve"> </w:t>
            </w:r>
            <w:r w:rsidRPr="00AF39D7">
              <w:rPr>
                <w:lang w:val="es-AR"/>
              </w:rPr>
              <w:t>internos</w:t>
            </w:r>
            <w:r w:rsidRPr="00AF39D7">
              <w:rPr>
                <w:lang w:val="es-AR"/>
              </w:rPr>
              <w:tab/>
              <w:t>10</w:t>
            </w:r>
          </w:hyperlink>
        </w:p>
        <w:p w14:paraId="6F571B54" w14:textId="77777777" w:rsidR="00467FCA" w:rsidRPr="00AF39D7" w:rsidRDefault="001B68EB">
          <w:pPr>
            <w:pStyle w:val="TDC2"/>
            <w:numPr>
              <w:ilvl w:val="1"/>
              <w:numId w:val="60"/>
            </w:numPr>
            <w:tabs>
              <w:tab w:val="left" w:pos="793"/>
              <w:tab w:val="left" w:pos="9243"/>
            </w:tabs>
            <w:ind w:left="792" w:hanging="433"/>
            <w:rPr>
              <w:lang w:val="es-AR"/>
            </w:rPr>
          </w:pPr>
          <w:hyperlink w:anchor="_bookmark35" w:history="1">
            <w:r w:rsidRPr="00AF39D7">
              <w:rPr>
                <w:lang w:val="es-AR"/>
              </w:rPr>
              <w:t>Alegatos del Estado, observaciones de la Comisión y de</w:t>
            </w:r>
            <w:r w:rsidRPr="00AF39D7">
              <w:rPr>
                <w:spacing w:val="-20"/>
                <w:lang w:val="es-AR"/>
              </w:rPr>
              <w:t xml:space="preserve"> </w:t>
            </w:r>
            <w:r w:rsidRPr="00AF39D7">
              <w:rPr>
                <w:lang w:val="es-AR"/>
              </w:rPr>
              <w:t>los</w:t>
            </w:r>
            <w:r w:rsidRPr="00AF39D7">
              <w:rPr>
                <w:spacing w:val="-4"/>
                <w:lang w:val="es-AR"/>
              </w:rPr>
              <w:t xml:space="preserve"> </w:t>
            </w:r>
            <w:r w:rsidRPr="00AF39D7">
              <w:rPr>
                <w:lang w:val="es-AR"/>
              </w:rPr>
              <w:t>representantes</w:t>
            </w:r>
            <w:r w:rsidRPr="00AF39D7">
              <w:rPr>
                <w:lang w:val="es-AR"/>
              </w:rPr>
              <w:tab/>
              <w:t>10</w:t>
            </w:r>
          </w:hyperlink>
        </w:p>
        <w:p w14:paraId="7BC0621E" w14:textId="77777777" w:rsidR="00467FCA" w:rsidRDefault="001B68EB">
          <w:pPr>
            <w:pStyle w:val="TDC2"/>
            <w:numPr>
              <w:ilvl w:val="1"/>
              <w:numId w:val="60"/>
            </w:numPr>
            <w:tabs>
              <w:tab w:val="left" w:pos="794"/>
              <w:tab w:val="left" w:pos="9243"/>
            </w:tabs>
            <w:ind w:left="793" w:hanging="433"/>
          </w:pPr>
          <w:hyperlink w:anchor="_bookmark40" w:history="1">
            <w:r>
              <w:t>Consideraciones de</w:t>
            </w:r>
            <w:r>
              <w:rPr>
                <w:spacing w:val="-3"/>
              </w:rPr>
              <w:t xml:space="preserve"> </w:t>
            </w:r>
            <w:r>
              <w:t>la</w:t>
            </w:r>
            <w:r>
              <w:rPr>
                <w:spacing w:val="-4"/>
              </w:rPr>
              <w:t xml:space="preserve"> </w:t>
            </w:r>
            <w:r>
              <w:t>Corte</w:t>
            </w:r>
            <w:r>
              <w:tab/>
              <w:t>12</w:t>
            </w:r>
          </w:hyperlink>
        </w:p>
        <w:p w14:paraId="1E811BCD" w14:textId="77777777" w:rsidR="00467FCA" w:rsidRDefault="001B68EB">
          <w:pPr>
            <w:pStyle w:val="TDC1"/>
            <w:numPr>
              <w:ilvl w:val="0"/>
              <w:numId w:val="61"/>
            </w:numPr>
            <w:tabs>
              <w:tab w:val="left" w:pos="321"/>
              <w:tab w:val="left" w:pos="9214"/>
            </w:tabs>
            <w:spacing w:before="34"/>
            <w:ind w:left="320" w:hanging="200"/>
          </w:pPr>
          <w:hyperlink w:anchor="_bookmark49" w:history="1">
            <w:r>
              <w:t>CONSIDERACIÓN</w:t>
            </w:r>
            <w:r>
              <w:rPr>
                <w:spacing w:val="-2"/>
              </w:rPr>
              <w:t xml:space="preserve"> </w:t>
            </w:r>
            <w:r>
              <w:t>PREVIA</w:t>
            </w:r>
            <w:r>
              <w:tab/>
              <w:t>13</w:t>
            </w:r>
          </w:hyperlink>
        </w:p>
        <w:p w14:paraId="5A144789" w14:textId="77777777" w:rsidR="00467FCA" w:rsidRPr="00AF39D7" w:rsidRDefault="001B68EB">
          <w:pPr>
            <w:pStyle w:val="TDC1"/>
            <w:numPr>
              <w:ilvl w:val="0"/>
              <w:numId w:val="59"/>
            </w:numPr>
            <w:tabs>
              <w:tab w:val="left" w:pos="600"/>
              <w:tab w:val="left" w:pos="601"/>
              <w:tab w:val="left" w:pos="9214"/>
            </w:tabs>
            <w:rPr>
              <w:lang w:val="es-AR"/>
            </w:rPr>
          </w:pPr>
          <w:hyperlink w:anchor="_bookmark50" w:history="1">
            <w:r w:rsidRPr="00AF39D7">
              <w:rPr>
                <w:lang w:val="es-AR"/>
              </w:rPr>
              <w:t>Alegatos del Estado, observaciones de la Comisión y de</w:t>
            </w:r>
            <w:r w:rsidRPr="00AF39D7">
              <w:rPr>
                <w:spacing w:val="-26"/>
                <w:lang w:val="es-AR"/>
              </w:rPr>
              <w:t xml:space="preserve"> </w:t>
            </w:r>
            <w:r w:rsidRPr="00AF39D7">
              <w:rPr>
                <w:lang w:val="es-AR"/>
              </w:rPr>
              <w:t>los</w:t>
            </w:r>
            <w:r w:rsidRPr="00AF39D7">
              <w:rPr>
                <w:spacing w:val="-1"/>
                <w:lang w:val="es-AR"/>
              </w:rPr>
              <w:t xml:space="preserve"> </w:t>
            </w:r>
            <w:r w:rsidRPr="00AF39D7">
              <w:rPr>
                <w:lang w:val="es-AR"/>
              </w:rPr>
              <w:t>representantes</w:t>
            </w:r>
            <w:r w:rsidRPr="00AF39D7">
              <w:rPr>
                <w:lang w:val="es-AR"/>
              </w:rPr>
              <w:tab/>
              <w:t>13</w:t>
            </w:r>
          </w:hyperlink>
        </w:p>
        <w:p w14:paraId="57093839" w14:textId="77777777" w:rsidR="00467FCA" w:rsidRDefault="001B68EB">
          <w:pPr>
            <w:pStyle w:val="TDC1"/>
            <w:numPr>
              <w:ilvl w:val="0"/>
              <w:numId w:val="59"/>
            </w:numPr>
            <w:tabs>
              <w:tab w:val="left" w:pos="600"/>
              <w:tab w:val="left" w:pos="601"/>
              <w:tab w:val="left" w:pos="9214"/>
            </w:tabs>
            <w:ind w:hanging="481"/>
          </w:pPr>
          <w:hyperlink w:anchor="_bookmark53" w:history="1">
            <w:r>
              <w:t>Consideraciones de</w:t>
            </w:r>
            <w:r>
              <w:rPr>
                <w:spacing w:val="-6"/>
              </w:rPr>
              <w:t xml:space="preserve"> </w:t>
            </w:r>
            <w:r>
              <w:t>la</w:t>
            </w:r>
            <w:r>
              <w:rPr>
                <w:spacing w:val="-3"/>
              </w:rPr>
              <w:t xml:space="preserve"> </w:t>
            </w:r>
            <w:r>
              <w:t>Corte</w:t>
            </w:r>
            <w:r>
              <w:tab/>
              <w:t>14</w:t>
            </w:r>
          </w:hyperlink>
        </w:p>
        <w:p w14:paraId="17BEBA4D" w14:textId="77777777" w:rsidR="00467FCA" w:rsidRPr="00AF39D7" w:rsidRDefault="001B68EB">
          <w:pPr>
            <w:pStyle w:val="TDC2"/>
            <w:numPr>
              <w:ilvl w:val="1"/>
              <w:numId w:val="59"/>
            </w:numPr>
            <w:tabs>
              <w:tab w:val="left" w:pos="726"/>
              <w:tab w:val="left" w:pos="9243"/>
            </w:tabs>
            <w:spacing w:before="31"/>
            <w:rPr>
              <w:lang w:val="es-AR"/>
            </w:rPr>
          </w:pPr>
          <w:hyperlink w:anchor="_bookmark64" w:history="1">
            <w:r w:rsidRPr="00AF39D7">
              <w:rPr>
                <w:lang w:val="es-AR"/>
              </w:rPr>
              <w:t>Respecto de las presuntas víctimas fallecidas</w:t>
            </w:r>
            <w:r w:rsidRPr="00AF39D7">
              <w:rPr>
                <w:spacing w:val="-16"/>
                <w:lang w:val="es-AR"/>
              </w:rPr>
              <w:t xml:space="preserve"> </w:t>
            </w:r>
            <w:r w:rsidRPr="00AF39D7">
              <w:rPr>
                <w:lang w:val="es-AR"/>
              </w:rPr>
              <w:t>y</w:t>
            </w:r>
            <w:r w:rsidRPr="00AF39D7">
              <w:rPr>
                <w:spacing w:val="-3"/>
                <w:lang w:val="es-AR"/>
              </w:rPr>
              <w:t xml:space="preserve"> </w:t>
            </w:r>
            <w:r w:rsidRPr="00AF39D7">
              <w:rPr>
                <w:lang w:val="es-AR"/>
              </w:rPr>
              <w:t>sobrevivientes</w:t>
            </w:r>
            <w:r w:rsidRPr="00AF39D7">
              <w:rPr>
                <w:lang w:val="es-AR"/>
              </w:rPr>
              <w:tab/>
              <w:t>15</w:t>
            </w:r>
          </w:hyperlink>
        </w:p>
        <w:p w14:paraId="0AFDDC6A" w14:textId="77777777" w:rsidR="00467FCA" w:rsidRPr="00AF39D7" w:rsidRDefault="001B68EB">
          <w:pPr>
            <w:pStyle w:val="TDC2"/>
            <w:numPr>
              <w:ilvl w:val="1"/>
              <w:numId w:val="59"/>
            </w:numPr>
            <w:tabs>
              <w:tab w:val="left" w:pos="727"/>
              <w:tab w:val="left" w:pos="9243"/>
            </w:tabs>
            <w:ind w:left="726" w:hanging="366"/>
            <w:rPr>
              <w:lang w:val="es-AR"/>
            </w:rPr>
          </w:pPr>
          <w:hyperlink w:anchor="_bookmark75" w:history="1">
            <w:r w:rsidRPr="00AF39D7">
              <w:rPr>
                <w:lang w:val="es-AR"/>
              </w:rPr>
              <w:t>Respecto de los familiares de las presuntas</w:t>
            </w:r>
            <w:r w:rsidRPr="00AF39D7">
              <w:rPr>
                <w:spacing w:val="-17"/>
                <w:lang w:val="es-AR"/>
              </w:rPr>
              <w:t xml:space="preserve"> </w:t>
            </w:r>
            <w:r w:rsidRPr="00AF39D7">
              <w:rPr>
                <w:lang w:val="es-AR"/>
              </w:rPr>
              <w:t>víctimas</w:t>
            </w:r>
            <w:r w:rsidRPr="00AF39D7">
              <w:rPr>
                <w:spacing w:val="-2"/>
                <w:lang w:val="es-AR"/>
              </w:rPr>
              <w:t xml:space="preserve"> </w:t>
            </w:r>
            <w:r w:rsidRPr="00AF39D7">
              <w:rPr>
                <w:lang w:val="es-AR"/>
              </w:rPr>
              <w:t>fallecidas</w:t>
            </w:r>
            <w:r w:rsidRPr="00AF39D7">
              <w:rPr>
                <w:lang w:val="es-AR"/>
              </w:rPr>
              <w:tab/>
              <w:t>17</w:t>
            </w:r>
          </w:hyperlink>
        </w:p>
        <w:p w14:paraId="47FD8A13" w14:textId="77777777" w:rsidR="00467FCA" w:rsidRDefault="001B68EB">
          <w:pPr>
            <w:pStyle w:val="TDC1"/>
            <w:numPr>
              <w:ilvl w:val="0"/>
              <w:numId w:val="61"/>
            </w:numPr>
            <w:tabs>
              <w:tab w:val="left" w:pos="419"/>
              <w:tab w:val="left" w:pos="9214"/>
            </w:tabs>
            <w:spacing w:before="34"/>
            <w:ind w:left="419" w:hanging="298"/>
          </w:pPr>
          <w:hyperlink w:anchor="_bookmark77" w:history="1">
            <w:r>
              <w:t>PRUEBA</w:t>
            </w:r>
            <w:r>
              <w:tab/>
              <w:t>18</w:t>
            </w:r>
          </w:hyperlink>
        </w:p>
        <w:p w14:paraId="64A6E440" w14:textId="77777777" w:rsidR="00467FCA" w:rsidRPr="00AF39D7" w:rsidRDefault="001B68EB">
          <w:pPr>
            <w:pStyle w:val="TDC1"/>
            <w:numPr>
              <w:ilvl w:val="0"/>
              <w:numId w:val="58"/>
            </w:numPr>
            <w:tabs>
              <w:tab w:val="left" w:pos="601"/>
              <w:tab w:val="left" w:pos="602"/>
              <w:tab w:val="left" w:pos="9214"/>
            </w:tabs>
            <w:ind w:hanging="481"/>
            <w:rPr>
              <w:lang w:val="es-AR"/>
            </w:rPr>
          </w:pPr>
          <w:hyperlink w:anchor="_bookmark78" w:history="1">
            <w:r w:rsidRPr="00AF39D7">
              <w:rPr>
                <w:lang w:val="es-AR"/>
              </w:rPr>
              <w:t>Admisibilidad de la</w:t>
            </w:r>
            <w:r w:rsidRPr="00AF39D7">
              <w:rPr>
                <w:spacing w:val="-13"/>
                <w:lang w:val="es-AR"/>
              </w:rPr>
              <w:t xml:space="preserve"> </w:t>
            </w:r>
            <w:r w:rsidRPr="00AF39D7">
              <w:rPr>
                <w:lang w:val="es-AR"/>
              </w:rPr>
              <w:t>prueba</w:t>
            </w:r>
            <w:r w:rsidRPr="00AF39D7">
              <w:rPr>
                <w:spacing w:val="-4"/>
                <w:lang w:val="es-AR"/>
              </w:rPr>
              <w:t xml:space="preserve"> </w:t>
            </w:r>
            <w:r w:rsidRPr="00AF39D7">
              <w:rPr>
                <w:lang w:val="es-AR"/>
              </w:rPr>
              <w:t>documental</w:t>
            </w:r>
            <w:r w:rsidRPr="00AF39D7">
              <w:rPr>
                <w:lang w:val="es-AR"/>
              </w:rPr>
              <w:tab/>
              <w:t>18</w:t>
            </w:r>
          </w:hyperlink>
        </w:p>
        <w:p w14:paraId="718F53EC" w14:textId="77777777" w:rsidR="00467FCA" w:rsidRPr="00AF39D7" w:rsidRDefault="001B68EB">
          <w:pPr>
            <w:pStyle w:val="TDC1"/>
            <w:numPr>
              <w:ilvl w:val="0"/>
              <w:numId w:val="58"/>
            </w:numPr>
            <w:tabs>
              <w:tab w:val="left" w:pos="601"/>
              <w:tab w:val="left" w:pos="602"/>
              <w:tab w:val="left" w:pos="9214"/>
            </w:tabs>
            <w:ind w:hanging="481"/>
            <w:rPr>
              <w:lang w:val="es-AR"/>
            </w:rPr>
          </w:pPr>
          <w:hyperlink w:anchor="_bookmark79" w:history="1">
            <w:r w:rsidRPr="00AF39D7">
              <w:rPr>
                <w:lang w:val="es-AR"/>
              </w:rPr>
              <w:t>Admisibilidad de la prueba testimonial</w:t>
            </w:r>
            <w:r w:rsidRPr="00AF39D7">
              <w:rPr>
                <w:spacing w:val="-15"/>
                <w:lang w:val="es-AR"/>
              </w:rPr>
              <w:t xml:space="preserve"> </w:t>
            </w:r>
            <w:r w:rsidRPr="00AF39D7">
              <w:rPr>
                <w:lang w:val="es-AR"/>
              </w:rPr>
              <w:t>y</w:t>
            </w:r>
            <w:r w:rsidRPr="00AF39D7">
              <w:rPr>
                <w:spacing w:val="-5"/>
                <w:lang w:val="es-AR"/>
              </w:rPr>
              <w:t xml:space="preserve"> </w:t>
            </w:r>
            <w:r w:rsidRPr="00AF39D7">
              <w:rPr>
                <w:lang w:val="es-AR"/>
              </w:rPr>
              <w:t>pericial</w:t>
            </w:r>
            <w:r w:rsidRPr="00AF39D7">
              <w:rPr>
                <w:lang w:val="es-AR"/>
              </w:rPr>
              <w:tab/>
              <w:t>18</w:t>
            </w:r>
          </w:hyperlink>
        </w:p>
        <w:p w14:paraId="22937B6C" w14:textId="77777777" w:rsidR="00467FCA" w:rsidRDefault="001B68EB">
          <w:pPr>
            <w:pStyle w:val="TDC1"/>
            <w:numPr>
              <w:ilvl w:val="0"/>
              <w:numId w:val="61"/>
            </w:numPr>
            <w:tabs>
              <w:tab w:val="left" w:pos="518"/>
              <w:tab w:val="left" w:pos="9214"/>
            </w:tabs>
            <w:spacing w:before="31"/>
            <w:ind w:left="517" w:hanging="397"/>
          </w:pPr>
          <w:hyperlink w:anchor="_bookmark80" w:history="1">
            <w:r>
              <w:t>HECHOS</w:t>
            </w:r>
            <w:r>
              <w:tab/>
              <w:t>18</w:t>
            </w:r>
          </w:hyperlink>
        </w:p>
        <w:p w14:paraId="0EF2AD49" w14:textId="77777777" w:rsidR="00467FCA" w:rsidRDefault="001B68EB">
          <w:pPr>
            <w:pStyle w:val="TDC1"/>
            <w:numPr>
              <w:ilvl w:val="0"/>
              <w:numId w:val="57"/>
            </w:numPr>
            <w:tabs>
              <w:tab w:val="left" w:pos="601"/>
              <w:tab w:val="left" w:pos="602"/>
              <w:tab w:val="left" w:pos="9214"/>
            </w:tabs>
            <w:ind w:hanging="481"/>
          </w:pPr>
          <w:hyperlink w:anchor="_bookmark84" w:history="1">
            <w:r>
              <w:t>Contexto</w:t>
            </w:r>
            <w:r>
              <w:tab/>
              <w:t>19</w:t>
            </w:r>
          </w:hyperlink>
        </w:p>
        <w:p w14:paraId="0EEE9533" w14:textId="77777777" w:rsidR="00467FCA" w:rsidRPr="00AF39D7" w:rsidRDefault="001B68EB">
          <w:pPr>
            <w:pStyle w:val="TDC2"/>
            <w:numPr>
              <w:ilvl w:val="1"/>
              <w:numId w:val="57"/>
            </w:numPr>
            <w:tabs>
              <w:tab w:val="left" w:pos="727"/>
              <w:tab w:val="left" w:pos="9243"/>
            </w:tabs>
            <w:ind w:hanging="366"/>
            <w:rPr>
              <w:lang w:val="es-AR"/>
            </w:rPr>
          </w:pPr>
          <w:hyperlink w:anchor="_bookmark85" w:history="1">
            <w:r w:rsidRPr="00AF39D7">
              <w:rPr>
                <w:lang w:val="es-AR"/>
              </w:rPr>
              <w:t>Características relevantes de la población de la región de Santo Antônio</w:t>
            </w:r>
            <w:r w:rsidRPr="00AF39D7">
              <w:rPr>
                <w:spacing w:val="-25"/>
                <w:lang w:val="es-AR"/>
              </w:rPr>
              <w:t xml:space="preserve"> </w:t>
            </w:r>
            <w:r w:rsidRPr="00AF39D7">
              <w:rPr>
                <w:lang w:val="es-AR"/>
              </w:rPr>
              <w:t>de</w:t>
            </w:r>
            <w:r w:rsidRPr="00AF39D7">
              <w:rPr>
                <w:spacing w:val="-2"/>
                <w:lang w:val="es-AR"/>
              </w:rPr>
              <w:t xml:space="preserve"> </w:t>
            </w:r>
            <w:r w:rsidRPr="00AF39D7">
              <w:rPr>
                <w:lang w:val="es-AR"/>
              </w:rPr>
              <w:t>Jesus</w:t>
            </w:r>
            <w:r w:rsidRPr="00AF39D7">
              <w:rPr>
                <w:lang w:val="es-AR"/>
              </w:rPr>
              <w:tab/>
              <w:t>19</w:t>
            </w:r>
          </w:hyperlink>
        </w:p>
        <w:p w14:paraId="71DE8A89" w14:textId="77777777" w:rsidR="00467FCA" w:rsidRPr="00AF39D7" w:rsidRDefault="001B68EB">
          <w:pPr>
            <w:pStyle w:val="TDC2"/>
            <w:numPr>
              <w:ilvl w:val="1"/>
              <w:numId w:val="57"/>
            </w:numPr>
            <w:tabs>
              <w:tab w:val="left" w:pos="727"/>
              <w:tab w:val="left" w:pos="9243"/>
            </w:tabs>
            <w:spacing w:before="34"/>
            <w:ind w:hanging="366"/>
            <w:rPr>
              <w:lang w:val="es-AR"/>
            </w:rPr>
          </w:pPr>
          <w:hyperlink w:anchor="_bookmark92" w:history="1">
            <w:r w:rsidRPr="00AF39D7">
              <w:rPr>
                <w:lang w:val="es-AR"/>
              </w:rPr>
              <w:t>La producción de fuegos artificiales en el municipio de Santo Antônio</w:t>
            </w:r>
            <w:r w:rsidRPr="00AF39D7">
              <w:rPr>
                <w:spacing w:val="-22"/>
                <w:lang w:val="es-AR"/>
              </w:rPr>
              <w:t xml:space="preserve"> </w:t>
            </w:r>
            <w:r w:rsidRPr="00AF39D7">
              <w:rPr>
                <w:lang w:val="es-AR"/>
              </w:rPr>
              <w:t>de</w:t>
            </w:r>
            <w:r w:rsidRPr="00AF39D7">
              <w:rPr>
                <w:spacing w:val="-3"/>
                <w:lang w:val="es-AR"/>
              </w:rPr>
              <w:t xml:space="preserve"> </w:t>
            </w:r>
            <w:r w:rsidRPr="00AF39D7">
              <w:rPr>
                <w:lang w:val="es-AR"/>
              </w:rPr>
              <w:t>Jesus</w:t>
            </w:r>
            <w:r w:rsidRPr="00AF39D7">
              <w:rPr>
                <w:lang w:val="es-AR"/>
              </w:rPr>
              <w:tab/>
              <w:t>20</w:t>
            </w:r>
          </w:hyperlink>
        </w:p>
        <w:p w14:paraId="01758EC7" w14:textId="77777777" w:rsidR="00467FCA" w:rsidRPr="00AF39D7" w:rsidRDefault="001B68EB">
          <w:pPr>
            <w:pStyle w:val="TDC1"/>
            <w:numPr>
              <w:ilvl w:val="0"/>
              <w:numId w:val="57"/>
            </w:numPr>
            <w:tabs>
              <w:tab w:val="left" w:pos="601"/>
              <w:tab w:val="left" w:pos="602"/>
              <w:tab w:val="left" w:pos="9214"/>
            </w:tabs>
            <w:ind w:hanging="481"/>
            <w:rPr>
              <w:lang w:val="es-AR"/>
            </w:rPr>
          </w:pPr>
          <w:hyperlink w:anchor="_bookmark112" w:history="1">
            <w:r w:rsidRPr="00AF39D7">
              <w:rPr>
                <w:lang w:val="es-AR"/>
              </w:rPr>
              <w:t>El trabajo en la fábrica de “Vardo de</w:t>
            </w:r>
            <w:r w:rsidRPr="00AF39D7">
              <w:rPr>
                <w:spacing w:val="-17"/>
                <w:lang w:val="es-AR"/>
              </w:rPr>
              <w:t xml:space="preserve"> </w:t>
            </w:r>
            <w:r w:rsidRPr="00AF39D7">
              <w:rPr>
                <w:lang w:val="es-AR"/>
              </w:rPr>
              <w:t>los</w:t>
            </w:r>
            <w:r w:rsidRPr="00AF39D7">
              <w:rPr>
                <w:spacing w:val="-3"/>
                <w:lang w:val="es-AR"/>
              </w:rPr>
              <w:t xml:space="preserve"> </w:t>
            </w:r>
            <w:r w:rsidRPr="00AF39D7">
              <w:rPr>
                <w:lang w:val="es-AR"/>
              </w:rPr>
              <w:t>Fuegos”</w:t>
            </w:r>
            <w:r w:rsidRPr="00AF39D7">
              <w:rPr>
                <w:lang w:val="es-AR"/>
              </w:rPr>
              <w:tab/>
              <w:t>22</w:t>
            </w:r>
          </w:hyperlink>
        </w:p>
        <w:p w14:paraId="15F31614" w14:textId="77777777" w:rsidR="00467FCA" w:rsidRPr="00AF39D7" w:rsidRDefault="001B68EB">
          <w:pPr>
            <w:pStyle w:val="TDC1"/>
            <w:numPr>
              <w:ilvl w:val="0"/>
              <w:numId w:val="57"/>
            </w:numPr>
            <w:tabs>
              <w:tab w:val="left" w:pos="601"/>
              <w:tab w:val="left" w:pos="602"/>
              <w:tab w:val="left" w:pos="9214"/>
            </w:tabs>
            <w:ind w:hanging="481"/>
            <w:rPr>
              <w:lang w:val="es-AR"/>
            </w:rPr>
          </w:pPr>
          <w:hyperlink w:anchor="_bookmark139" w:history="1">
            <w:r w:rsidRPr="00AF39D7">
              <w:rPr>
                <w:lang w:val="es-AR"/>
              </w:rPr>
              <w:t>La explosión en la fábrica</w:t>
            </w:r>
            <w:r w:rsidRPr="00AF39D7">
              <w:rPr>
                <w:spacing w:val="-14"/>
                <w:lang w:val="es-AR"/>
              </w:rPr>
              <w:t xml:space="preserve"> </w:t>
            </w:r>
            <w:r w:rsidRPr="00AF39D7">
              <w:rPr>
                <w:lang w:val="es-AR"/>
              </w:rPr>
              <w:t>de</w:t>
            </w:r>
            <w:r w:rsidRPr="00AF39D7">
              <w:rPr>
                <w:spacing w:val="-1"/>
                <w:lang w:val="es-AR"/>
              </w:rPr>
              <w:t xml:space="preserve"> </w:t>
            </w:r>
            <w:r w:rsidRPr="00AF39D7">
              <w:rPr>
                <w:lang w:val="es-AR"/>
              </w:rPr>
              <w:t>fuegos</w:t>
            </w:r>
            <w:r w:rsidRPr="00AF39D7">
              <w:rPr>
                <w:lang w:val="es-AR"/>
              </w:rPr>
              <w:tab/>
              <w:t>24</w:t>
            </w:r>
          </w:hyperlink>
        </w:p>
        <w:p w14:paraId="29A2B012" w14:textId="77777777" w:rsidR="00467FCA" w:rsidRDefault="001B68EB">
          <w:pPr>
            <w:pStyle w:val="TDC1"/>
            <w:numPr>
              <w:ilvl w:val="0"/>
              <w:numId w:val="57"/>
            </w:numPr>
            <w:tabs>
              <w:tab w:val="left" w:pos="601"/>
              <w:tab w:val="left" w:pos="602"/>
              <w:tab w:val="left" w:pos="9215"/>
            </w:tabs>
            <w:spacing w:before="31"/>
            <w:ind w:hanging="481"/>
          </w:pPr>
          <w:hyperlink w:anchor="_bookmark150" w:history="1">
            <w:r>
              <w:t>Los</w:t>
            </w:r>
            <w:r>
              <w:rPr>
                <w:spacing w:val="-4"/>
              </w:rPr>
              <w:t xml:space="preserve"> </w:t>
            </w:r>
            <w:r>
              <w:t>procesos</w:t>
            </w:r>
            <w:r>
              <w:rPr>
                <w:spacing w:val="-3"/>
              </w:rPr>
              <w:t xml:space="preserve"> </w:t>
            </w:r>
            <w:r>
              <w:t>internos</w:t>
            </w:r>
            <w:r>
              <w:tab/>
              <w:t>25</w:t>
            </w:r>
          </w:hyperlink>
        </w:p>
        <w:p w14:paraId="6149675C" w14:textId="77777777" w:rsidR="00467FCA" w:rsidRDefault="001B68EB">
          <w:pPr>
            <w:pStyle w:val="TDC2"/>
            <w:numPr>
              <w:ilvl w:val="1"/>
              <w:numId w:val="57"/>
            </w:numPr>
            <w:tabs>
              <w:tab w:val="left" w:pos="744"/>
              <w:tab w:val="left" w:pos="9244"/>
            </w:tabs>
            <w:ind w:left="743" w:hanging="383"/>
          </w:pPr>
          <w:hyperlink w:anchor="_bookmark159" w:history="1">
            <w:r>
              <w:t>Proceso</w:t>
            </w:r>
            <w:r>
              <w:rPr>
                <w:spacing w:val="-2"/>
              </w:rPr>
              <w:t xml:space="preserve"> </w:t>
            </w:r>
            <w:r>
              <w:t>Penal</w:t>
            </w:r>
            <w:r>
              <w:tab/>
              <w:t>26</w:t>
            </w:r>
          </w:hyperlink>
        </w:p>
        <w:p w14:paraId="580F1B2F" w14:textId="77777777" w:rsidR="00467FCA" w:rsidRDefault="001B68EB">
          <w:pPr>
            <w:pStyle w:val="TDC2"/>
            <w:numPr>
              <w:ilvl w:val="1"/>
              <w:numId w:val="57"/>
            </w:numPr>
            <w:tabs>
              <w:tab w:val="left" w:pos="744"/>
              <w:tab w:val="left" w:pos="9244"/>
            </w:tabs>
            <w:spacing w:before="34"/>
            <w:ind w:left="743" w:hanging="383"/>
          </w:pPr>
          <w:hyperlink w:anchor="_bookmark167" w:history="1">
            <w:r>
              <w:t>Procesos</w:t>
            </w:r>
            <w:r>
              <w:rPr>
                <w:spacing w:val="-2"/>
              </w:rPr>
              <w:t xml:space="preserve"> </w:t>
            </w:r>
            <w:r>
              <w:t>civiles</w:t>
            </w:r>
            <w:r>
              <w:tab/>
              <w:t>27</w:t>
            </w:r>
          </w:hyperlink>
        </w:p>
        <w:p w14:paraId="5692CBAA" w14:textId="77777777" w:rsidR="00467FCA" w:rsidRDefault="001B68EB">
          <w:pPr>
            <w:pStyle w:val="TDC2"/>
            <w:numPr>
              <w:ilvl w:val="1"/>
              <w:numId w:val="57"/>
            </w:numPr>
            <w:tabs>
              <w:tab w:val="left" w:pos="744"/>
              <w:tab w:val="left" w:pos="9244"/>
            </w:tabs>
            <w:ind w:left="743" w:hanging="382"/>
          </w:pPr>
          <w:hyperlink w:anchor="_bookmark180" w:history="1">
            <w:r>
              <w:t>Procesos</w:t>
            </w:r>
            <w:r>
              <w:rPr>
                <w:spacing w:val="-3"/>
              </w:rPr>
              <w:t xml:space="preserve"> </w:t>
            </w:r>
            <w:r>
              <w:t>laborales</w:t>
            </w:r>
            <w:r>
              <w:tab/>
              <w:t>29</w:t>
            </w:r>
          </w:hyperlink>
        </w:p>
        <w:p w14:paraId="589C20AF" w14:textId="77777777" w:rsidR="00467FCA" w:rsidRDefault="001B68EB">
          <w:pPr>
            <w:pStyle w:val="TDC2"/>
            <w:numPr>
              <w:ilvl w:val="1"/>
              <w:numId w:val="57"/>
            </w:numPr>
            <w:tabs>
              <w:tab w:val="left" w:pos="744"/>
              <w:tab w:val="left" w:pos="9244"/>
            </w:tabs>
            <w:ind w:left="743" w:hanging="382"/>
          </w:pPr>
          <w:hyperlink w:anchor="_bookmark181" w:history="1">
            <w:r>
              <w:t>Proceso</w:t>
            </w:r>
            <w:r>
              <w:rPr>
                <w:spacing w:val="-3"/>
              </w:rPr>
              <w:t xml:space="preserve"> </w:t>
            </w:r>
            <w:r>
              <w:t>Administrativo</w:t>
            </w:r>
            <w:r>
              <w:tab/>
              <w:t>29</w:t>
            </w:r>
          </w:hyperlink>
        </w:p>
        <w:p w14:paraId="789EB0F0" w14:textId="77777777" w:rsidR="00467FCA" w:rsidRPr="00AF39D7" w:rsidRDefault="001B68EB">
          <w:pPr>
            <w:pStyle w:val="TDC1"/>
            <w:numPr>
              <w:ilvl w:val="0"/>
              <w:numId w:val="57"/>
            </w:numPr>
            <w:tabs>
              <w:tab w:val="left" w:pos="602"/>
              <w:tab w:val="left" w:pos="603"/>
              <w:tab w:val="left" w:pos="9215"/>
            </w:tabs>
            <w:spacing w:before="31"/>
            <w:ind w:left="602" w:hanging="481"/>
            <w:rPr>
              <w:lang w:val="es-AR"/>
            </w:rPr>
          </w:pPr>
          <w:hyperlink w:anchor="_bookmark190" w:history="1">
            <w:r w:rsidRPr="00AF39D7">
              <w:rPr>
                <w:lang w:val="es-AR"/>
              </w:rPr>
              <w:t>Marco normativo vigente para la fecha de</w:t>
            </w:r>
            <w:r w:rsidRPr="00AF39D7">
              <w:rPr>
                <w:spacing w:val="-16"/>
                <w:lang w:val="es-AR"/>
              </w:rPr>
              <w:t xml:space="preserve"> </w:t>
            </w:r>
            <w:r w:rsidRPr="00AF39D7">
              <w:rPr>
                <w:lang w:val="es-AR"/>
              </w:rPr>
              <w:t>los</w:t>
            </w:r>
            <w:r w:rsidRPr="00AF39D7">
              <w:rPr>
                <w:spacing w:val="-4"/>
                <w:lang w:val="es-AR"/>
              </w:rPr>
              <w:t xml:space="preserve"> </w:t>
            </w:r>
            <w:r w:rsidRPr="00AF39D7">
              <w:rPr>
                <w:lang w:val="es-AR"/>
              </w:rPr>
              <w:t>hechos</w:t>
            </w:r>
            <w:r w:rsidRPr="00AF39D7">
              <w:rPr>
                <w:lang w:val="es-AR"/>
              </w:rPr>
              <w:tab/>
              <w:t>30</w:t>
            </w:r>
          </w:hyperlink>
        </w:p>
        <w:p w14:paraId="7AF6DF72" w14:textId="77777777" w:rsidR="00467FCA" w:rsidRPr="00AF39D7" w:rsidRDefault="001B68EB">
          <w:pPr>
            <w:pStyle w:val="TDC2"/>
            <w:numPr>
              <w:ilvl w:val="1"/>
              <w:numId w:val="57"/>
            </w:numPr>
            <w:tabs>
              <w:tab w:val="left" w:pos="718"/>
              <w:tab w:val="left" w:pos="9244"/>
            </w:tabs>
            <w:ind w:left="717" w:hanging="356"/>
            <w:rPr>
              <w:lang w:val="es-AR"/>
            </w:rPr>
          </w:pPr>
          <w:hyperlink w:anchor="_bookmark191" w:history="1">
            <w:r w:rsidRPr="00AF39D7">
              <w:rPr>
                <w:lang w:val="es-AR"/>
              </w:rPr>
              <w:t>En relación con el control de</w:t>
            </w:r>
            <w:r w:rsidRPr="00AF39D7">
              <w:rPr>
                <w:spacing w:val="-15"/>
                <w:lang w:val="es-AR"/>
              </w:rPr>
              <w:t xml:space="preserve"> </w:t>
            </w:r>
            <w:r w:rsidRPr="00AF39D7">
              <w:rPr>
                <w:lang w:val="es-AR"/>
              </w:rPr>
              <w:t>actividades</w:t>
            </w:r>
            <w:r w:rsidRPr="00AF39D7">
              <w:rPr>
                <w:spacing w:val="-4"/>
                <w:lang w:val="es-AR"/>
              </w:rPr>
              <w:t xml:space="preserve"> </w:t>
            </w:r>
            <w:r w:rsidRPr="00AF39D7">
              <w:rPr>
                <w:lang w:val="es-AR"/>
              </w:rPr>
              <w:t>peligrosas</w:t>
            </w:r>
            <w:r w:rsidRPr="00AF39D7">
              <w:rPr>
                <w:lang w:val="es-AR"/>
              </w:rPr>
              <w:tab/>
              <w:t>30</w:t>
            </w:r>
          </w:hyperlink>
        </w:p>
        <w:p w14:paraId="6BE706C8" w14:textId="77777777" w:rsidR="00467FCA" w:rsidRPr="00AF39D7" w:rsidRDefault="001B68EB">
          <w:pPr>
            <w:pStyle w:val="TDC2"/>
            <w:numPr>
              <w:ilvl w:val="1"/>
              <w:numId w:val="57"/>
            </w:numPr>
            <w:tabs>
              <w:tab w:val="left" w:pos="718"/>
              <w:tab w:val="left" w:pos="9245"/>
            </w:tabs>
            <w:ind w:left="717" w:hanging="356"/>
            <w:rPr>
              <w:lang w:val="es-AR"/>
            </w:rPr>
          </w:pPr>
          <w:hyperlink w:anchor="_bookmark198" w:history="1">
            <w:r w:rsidRPr="00AF39D7">
              <w:rPr>
                <w:lang w:val="es-AR"/>
              </w:rPr>
              <w:t>En relación con el derecho</w:t>
            </w:r>
            <w:r w:rsidRPr="00AF39D7">
              <w:rPr>
                <w:spacing w:val="-9"/>
                <w:lang w:val="es-AR"/>
              </w:rPr>
              <w:t xml:space="preserve"> </w:t>
            </w:r>
            <w:r w:rsidRPr="00AF39D7">
              <w:rPr>
                <w:lang w:val="es-AR"/>
              </w:rPr>
              <w:t>al</w:t>
            </w:r>
            <w:r w:rsidRPr="00AF39D7">
              <w:rPr>
                <w:spacing w:val="-2"/>
                <w:lang w:val="es-AR"/>
              </w:rPr>
              <w:t xml:space="preserve"> </w:t>
            </w:r>
            <w:r w:rsidRPr="00AF39D7">
              <w:rPr>
                <w:lang w:val="es-AR"/>
              </w:rPr>
              <w:t>trabajo</w:t>
            </w:r>
            <w:r w:rsidRPr="00AF39D7">
              <w:rPr>
                <w:lang w:val="es-AR"/>
              </w:rPr>
              <w:tab/>
              <w:t>31</w:t>
            </w:r>
          </w:hyperlink>
        </w:p>
        <w:p w14:paraId="18FC15ED" w14:textId="77777777" w:rsidR="00467FCA" w:rsidRDefault="001B68EB">
          <w:pPr>
            <w:pStyle w:val="TDC1"/>
            <w:numPr>
              <w:ilvl w:val="0"/>
              <w:numId w:val="61"/>
            </w:numPr>
            <w:tabs>
              <w:tab w:val="left" w:pos="618"/>
              <w:tab w:val="left" w:pos="9216"/>
            </w:tabs>
            <w:spacing w:before="34"/>
            <w:ind w:left="617" w:hanging="496"/>
          </w:pPr>
          <w:hyperlink w:anchor="_bookmark217" w:history="1">
            <w:r>
              <w:t>FONDO</w:t>
            </w:r>
            <w:r>
              <w:tab/>
              <w:t>33</w:t>
            </w:r>
          </w:hyperlink>
        </w:p>
        <w:p w14:paraId="19E1F4E6" w14:textId="77777777" w:rsidR="00467FCA" w:rsidRPr="00AF39D7" w:rsidRDefault="001B68EB">
          <w:pPr>
            <w:pStyle w:val="TDC1"/>
            <w:numPr>
              <w:ilvl w:val="1"/>
              <w:numId w:val="61"/>
            </w:numPr>
            <w:tabs>
              <w:tab w:val="left" w:pos="831"/>
              <w:tab w:val="left" w:pos="9216"/>
            </w:tabs>
            <w:spacing w:line="276" w:lineRule="auto"/>
            <w:ind w:right="127" w:firstLine="0"/>
            <w:rPr>
              <w:lang w:val="es-AR"/>
            </w:rPr>
          </w:pPr>
          <w:hyperlink w:anchor="_bookmark218" w:history="1">
            <w:r w:rsidRPr="00AF39D7">
              <w:rPr>
                <w:lang w:val="es-AR"/>
              </w:rPr>
              <w:t>DERECHOS A LA VIDA, A LA</w:t>
            </w:r>
            <w:r w:rsidRPr="00AF39D7">
              <w:rPr>
                <w:lang w:val="es-AR"/>
              </w:rPr>
              <w:t xml:space="preserve"> INTEGRIDAD PERSONAL Y DE LA NIÑA Y DEL NIÑO EN</w:t>
            </w:r>
          </w:hyperlink>
          <w:hyperlink w:anchor="_bookmark218" w:history="1">
            <w:r w:rsidRPr="00AF39D7">
              <w:rPr>
                <w:lang w:val="es-AR"/>
              </w:rPr>
              <w:t xml:space="preserve"> RELACIÓN CON LAS OBLIGACIONES DE RESPETO Y GARANTÍA (ARTÍCULOS 4.1, 5.1 Y 19 DE</w:t>
            </w:r>
          </w:hyperlink>
          <w:hyperlink w:anchor="_bookmark218" w:history="1">
            <w:r w:rsidRPr="00AF39D7">
              <w:rPr>
                <w:lang w:val="es-AR"/>
              </w:rPr>
              <w:t xml:space="preserve"> LA CONVENCIÓN AMERICANA EN RELACIÓN CON EL ARTÍCULO 1.1 DE</w:t>
            </w:r>
            <w:r w:rsidRPr="00AF39D7">
              <w:rPr>
                <w:spacing w:val="-20"/>
                <w:lang w:val="es-AR"/>
              </w:rPr>
              <w:t xml:space="preserve"> </w:t>
            </w:r>
            <w:r w:rsidRPr="00AF39D7">
              <w:rPr>
                <w:lang w:val="es-AR"/>
              </w:rPr>
              <w:t>LA</w:t>
            </w:r>
            <w:r w:rsidRPr="00AF39D7">
              <w:rPr>
                <w:spacing w:val="-2"/>
                <w:lang w:val="es-AR"/>
              </w:rPr>
              <w:t xml:space="preserve"> </w:t>
            </w:r>
            <w:r w:rsidRPr="00AF39D7">
              <w:rPr>
                <w:lang w:val="es-AR"/>
              </w:rPr>
              <w:t>MI</w:t>
            </w:r>
            <w:r w:rsidRPr="00AF39D7">
              <w:rPr>
                <w:lang w:val="es-AR"/>
              </w:rPr>
              <w:t>SMA)</w:t>
            </w:r>
            <w:r w:rsidRPr="00AF39D7">
              <w:rPr>
                <w:lang w:val="es-AR"/>
              </w:rPr>
              <w:tab/>
            </w:r>
            <w:r w:rsidRPr="00AF39D7">
              <w:rPr>
                <w:spacing w:val="-10"/>
                <w:lang w:val="es-AR"/>
              </w:rPr>
              <w:t>33</w:t>
            </w:r>
          </w:hyperlink>
        </w:p>
        <w:p w14:paraId="0C7CE031" w14:textId="77777777" w:rsidR="00467FCA" w:rsidRPr="00AF39D7" w:rsidRDefault="001B68EB">
          <w:pPr>
            <w:pStyle w:val="TDC1"/>
            <w:numPr>
              <w:ilvl w:val="0"/>
              <w:numId w:val="56"/>
            </w:numPr>
            <w:tabs>
              <w:tab w:val="left" w:pos="602"/>
              <w:tab w:val="left" w:pos="603"/>
              <w:tab w:val="left" w:pos="9216"/>
            </w:tabs>
            <w:spacing w:before="0" w:line="218" w:lineRule="exact"/>
            <w:ind w:hanging="481"/>
            <w:rPr>
              <w:lang w:val="es-AR"/>
            </w:rPr>
          </w:pPr>
          <w:hyperlink w:anchor="_bookmark219" w:history="1">
            <w:r w:rsidRPr="00AF39D7">
              <w:rPr>
                <w:lang w:val="es-AR"/>
              </w:rPr>
              <w:t>Alegatos de las partes y de</w:t>
            </w:r>
            <w:r w:rsidRPr="00AF39D7">
              <w:rPr>
                <w:spacing w:val="-8"/>
                <w:lang w:val="es-AR"/>
              </w:rPr>
              <w:t xml:space="preserve"> </w:t>
            </w:r>
            <w:r w:rsidRPr="00AF39D7">
              <w:rPr>
                <w:lang w:val="es-AR"/>
              </w:rPr>
              <w:t>la</w:t>
            </w:r>
            <w:r w:rsidRPr="00AF39D7">
              <w:rPr>
                <w:spacing w:val="-2"/>
                <w:lang w:val="es-AR"/>
              </w:rPr>
              <w:t xml:space="preserve"> </w:t>
            </w:r>
            <w:r w:rsidRPr="00AF39D7">
              <w:rPr>
                <w:lang w:val="es-AR"/>
              </w:rPr>
              <w:t>Comisión</w:t>
            </w:r>
            <w:r w:rsidRPr="00AF39D7">
              <w:rPr>
                <w:lang w:val="es-AR"/>
              </w:rPr>
              <w:tab/>
              <w:t>33</w:t>
            </w:r>
          </w:hyperlink>
        </w:p>
        <w:p w14:paraId="2DB179F7" w14:textId="77777777" w:rsidR="00467FCA" w:rsidRDefault="001B68EB">
          <w:pPr>
            <w:pStyle w:val="TDC1"/>
            <w:numPr>
              <w:ilvl w:val="0"/>
              <w:numId w:val="56"/>
            </w:numPr>
            <w:tabs>
              <w:tab w:val="left" w:pos="602"/>
              <w:tab w:val="left" w:pos="603"/>
              <w:tab w:val="left" w:pos="9216"/>
            </w:tabs>
            <w:ind w:hanging="481"/>
          </w:pPr>
          <w:hyperlink w:anchor="_bookmark222" w:history="1">
            <w:r>
              <w:t>Consideraciones de</w:t>
            </w:r>
            <w:r>
              <w:rPr>
                <w:spacing w:val="-6"/>
              </w:rPr>
              <w:t xml:space="preserve"> </w:t>
            </w:r>
            <w:r>
              <w:t>la</w:t>
            </w:r>
            <w:r>
              <w:rPr>
                <w:spacing w:val="-3"/>
              </w:rPr>
              <w:t xml:space="preserve"> </w:t>
            </w:r>
            <w:r>
              <w:t>Corte</w:t>
            </w:r>
            <w:r>
              <w:tab/>
              <w:t>34</w:t>
            </w:r>
          </w:hyperlink>
        </w:p>
        <w:p w14:paraId="0CA0BB1F" w14:textId="77777777" w:rsidR="00467FCA" w:rsidRPr="00AF39D7" w:rsidRDefault="001B68EB">
          <w:pPr>
            <w:pStyle w:val="TDC2"/>
            <w:numPr>
              <w:ilvl w:val="1"/>
              <w:numId w:val="56"/>
            </w:numPr>
            <w:tabs>
              <w:tab w:val="left" w:pos="728"/>
              <w:tab w:val="left" w:pos="9245"/>
            </w:tabs>
            <w:ind w:hanging="366"/>
            <w:rPr>
              <w:lang w:val="es-AR"/>
            </w:rPr>
          </w:pPr>
          <w:hyperlink w:anchor="_bookmark241" w:history="1">
            <w:r w:rsidRPr="00AF39D7">
              <w:rPr>
                <w:lang w:val="es-AR"/>
              </w:rPr>
              <w:t>Regulación de la fabricación de fuegos artificiales</w:t>
            </w:r>
            <w:r w:rsidRPr="00AF39D7">
              <w:rPr>
                <w:spacing w:val="-19"/>
                <w:lang w:val="es-AR"/>
              </w:rPr>
              <w:t xml:space="preserve"> </w:t>
            </w:r>
            <w:r w:rsidRPr="00AF39D7">
              <w:rPr>
                <w:lang w:val="es-AR"/>
              </w:rPr>
              <w:t>en</w:t>
            </w:r>
            <w:r w:rsidRPr="00AF39D7">
              <w:rPr>
                <w:spacing w:val="-2"/>
                <w:lang w:val="es-AR"/>
              </w:rPr>
              <w:t xml:space="preserve"> </w:t>
            </w:r>
            <w:r w:rsidRPr="00AF39D7">
              <w:rPr>
                <w:lang w:val="es-AR"/>
              </w:rPr>
              <w:t>Brasil</w:t>
            </w:r>
            <w:r w:rsidRPr="00AF39D7">
              <w:rPr>
                <w:lang w:val="es-AR"/>
              </w:rPr>
              <w:tab/>
              <w:t>37</w:t>
            </w:r>
          </w:hyperlink>
        </w:p>
        <w:p w14:paraId="0D374531" w14:textId="77777777" w:rsidR="00467FCA" w:rsidRPr="00AF39D7" w:rsidRDefault="001B68EB">
          <w:pPr>
            <w:pStyle w:val="TDC2"/>
            <w:numPr>
              <w:ilvl w:val="1"/>
              <w:numId w:val="56"/>
            </w:numPr>
            <w:tabs>
              <w:tab w:val="left" w:pos="728"/>
              <w:tab w:val="left" w:pos="9245"/>
            </w:tabs>
            <w:spacing w:before="34"/>
            <w:ind w:hanging="366"/>
            <w:rPr>
              <w:lang w:val="es-AR"/>
            </w:rPr>
          </w:pPr>
          <w:hyperlink w:anchor="_bookmark245" w:history="1">
            <w:r w:rsidRPr="00AF39D7">
              <w:rPr>
                <w:lang w:val="es-AR"/>
              </w:rPr>
              <w:t>Análisis de la presunta atribución de responsabilidad al Estado en el</w:t>
            </w:r>
            <w:r w:rsidRPr="00AF39D7">
              <w:rPr>
                <w:spacing w:val="-32"/>
                <w:lang w:val="es-AR"/>
              </w:rPr>
              <w:t xml:space="preserve"> </w:t>
            </w:r>
            <w:r w:rsidRPr="00AF39D7">
              <w:rPr>
                <w:lang w:val="es-AR"/>
              </w:rPr>
              <w:t>presente</w:t>
            </w:r>
            <w:r w:rsidRPr="00AF39D7">
              <w:rPr>
                <w:spacing w:val="-3"/>
                <w:lang w:val="es-AR"/>
              </w:rPr>
              <w:t xml:space="preserve"> </w:t>
            </w:r>
            <w:r w:rsidRPr="00AF39D7">
              <w:rPr>
                <w:lang w:val="es-AR"/>
              </w:rPr>
              <w:t>caso</w:t>
            </w:r>
            <w:r w:rsidRPr="00AF39D7">
              <w:rPr>
                <w:lang w:val="es-AR"/>
              </w:rPr>
              <w:tab/>
              <w:t>38</w:t>
            </w:r>
          </w:hyperlink>
        </w:p>
        <w:p w14:paraId="1C6633BB" w14:textId="77777777" w:rsidR="00467FCA" w:rsidRDefault="001B68EB">
          <w:pPr>
            <w:pStyle w:val="TDC2"/>
            <w:numPr>
              <w:ilvl w:val="1"/>
              <w:numId w:val="56"/>
            </w:numPr>
            <w:tabs>
              <w:tab w:val="left" w:pos="728"/>
              <w:tab w:val="left" w:pos="9245"/>
            </w:tabs>
            <w:ind w:hanging="366"/>
          </w:pPr>
          <w:hyperlink w:anchor="_bookmark254" w:history="1">
            <w:r>
              <w:t>Conclusión</w:t>
            </w:r>
            <w:r>
              <w:tab/>
              <w:t>40</w:t>
            </w:r>
          </w:hyperlink>
        </w:p>
        <w:p w14:paraId="17DB58FD" w14:textId="77777777" w:rsidR="00467FCA" w:rsidRPr="00AF39D7" w:rsidRDefault="001B68EB">
          <w:pPr>
            <w:pStyle w:val="TDC1"/>
            <w:numPr>
              <w:ilvl w:val="1"/>
              <w:numId w:val="61"/>
            </w:numPr>
            <w:tabs>
              <w:tab w:val="left" w:pos="828"/>
            </w:tabs>
            <w:spacing w:before="30" w:after="20" w:line="276" w:lineRule="auto"/>
            <w:ind w:left="119" w:right="202" w:firstLine="0"/>
            <w:rPr>
              <w:lang w:val="es-AR"/>
            </w:rPr>
          </w:pPr>
          <w:hyperlink w:anchor="_bookmark255" w:history="1">
            <w:r w:rsidRPr="00AF39D7">
              <w:rPr>
                <w:lang w:val="es-AR"/>
              </w:rPr>
              <w:t>DERECHOS DE LA NIÑA Y DEL NIÑO, A LA IGUAL PROTECCIÓN DE LA LEY, A LA</w:t>
            </w:r>
          </w:hyperlink>
          <w:hyperlink w:anchor="_bookmark255" w:history="1">
            <w:r w:rsidRPr="00AF39D7">
              <w:rPr>
                <w:lang w:val="es-AR"/>
              </w:rPr>
              <w:t xml:space="preserve"> PROHIBICIÓN DE DISCRIMINACIÓN Y AL TRABAJO, EN RELACIÓN CON LAS</w:t>
            </w:r>
            <w:r w:rsidRPr="00AF39D7">
              <w:rPr>
                <w:spacing w:val="-27"/>
                <w:lang w:val="es-AR"/>
              </w:rPr>
              <w:t xml:space="preserve"> </w:t>
            </w:r>
            <w:r w:rsidRPr="00AF39D7">
              <w:rPr>
                <w:lang w:val="es-AR"/>
              </w:rPr>
              <w:t>OBLIGACIONES</w:t>
            </w:r>
          </w:hyperlink>
        </w:p>
        <w:p w14:paraId="54F1A366" w14:textId="77777777" w:rsidR="00467FCA" w:rsidRPr="00AF39D7" w:rsidRDefault="001B68EB">
          <w:pPr>
            <w:pStyle w:val="TDC1"/>
            <w:tabs>
              <w:tab w:val="left" w:pos="9213"/>
            </w:tabs>
            <w:spacing w:before="79" w:line="276" w:lineRule="auto"/>
            <w:ind w:left="120" w:right="129" w:firstLine="0"/>
            <w:rPr>
              <w:lang w:val="es-AR"/>
            </w:rPr>
          </w:pPr>
          <w:hyperlink w:anchor="_bookmark255" w:history="1">
            <w:r w:rsidRPr="00AF39D7">
              <w:rPr>
                <w:lang w:val="es-AR"/>
              </w:rPr>
              <w:t xml:space="preserve">DE RESPETO Y GARANTÍA (ARTÍCULOS 19, 24 Y 26 </w:t>
            </w:r>
            <w:r w:rsidRPr="00AF39D7">
              <w:rPr>
                <w:lang w:val="es-AR"/>
              </w:rPr>
              <w:t>DE LA CONVENCIÓN AMERICANA EN</w:t>
            </w:r>
          </w:hyperlink>
          <w:r w:rsidRPr="00AF39D7">
            <w:rPr>
              <w:lang w:val="es-AR"/>
            </w:rPr>
            <w:t xml:space="preserve"> </w:t>
          </w:r>
          <w:hyperlink w:anchor="_bookmark255" w:history="1">
            <w:r w:rsidRPr="00AF39D7">
              <w:rPr>
                <w:lang w:val="es-AR"/>
              </w:rPr>
              <w:t>RELACIÓN CON EL ARTICULO 1.1 DE</w:t>
            </w:r>
            <w:r w:rsidRPr="00AF39D7">
              <w:rPr>
                <w:spacing w:val="-10"/>
                <w:lang w:val="es-AR"/>
              </w:rPr>
              <w:t xml:space="preserve"> </w:t>
            </w:r>
            <w:r w:rsidRPr="00AF39D7">
              <w:rPr>
                <w:lang w:val="es-AR"/>
              </w:rPr>
              <w:t>LA</w:t>
            </w:r>
            <w:r w:rsidRPr="00AF39D7">
              <w:rPr>
                <w:spacing w:val="-2"/>
                <w:lang w:val="es-AR"/>
              </w:rPr>
              <w:t xml:space="preserve"> </w:t>
            </w:r>
            <w:r w:rsidRPr="00AF39D7">
              <w:rPr>
                <w:lang w:val="es-AR"/>
              </w:rPr>
              <w:t>MISMA)</w:t>
            </w:r>
            <w:r w:rsidRPr="00AF39D7">
              <w:rPr>
                <w:lang w:val="es-AR"/>
              </w:rPr>
              <w:tab/>
            </w:r>
            <w:r w:rsidRPr="00AF39D7">
              <w:rPr>
                <w:spacing w:val="-9"/>
                <w:lang w:val="es-AR"/>
              </w:rPr>
              <w:t>40</w:t>
            </w:r>
          </w:hyperlink>
        </w:p>
        <w:p w14:paraId="55165074" w14:textId="77777777" w:rsidR="00467FCA" w:rsidRPr="00AF39D7" w:rsidRDefault="001B68EB">
          <w:pPr>
            <w:pStyle w:val="TDC1"/>
            <w:numPr>
              <w:ilvl w:val="0"/>
              <w:numId w:val="55"/>
            </w:numPr>
            <w:tabs>
              <w:tab w:val="left" w:pos="599"/>
              <w:tab w:val="left" w:pos="601"/>
              <w:tab w:val="left" w:pos="9213"/>
            </w:tabs>
            <w:spacing w:before="1"/>
            <w:ind w:hanging="481"/>
            <w:rPr>
              <w:lang w:val="es-AR"/>
            </w:rPr>
          </w:pPr>
          <w:hyperlink w:anchor="_bookmark256" w:history="1">
            <w:r w:rsidRPr="00AF39D7">
              <w:rPr>
                <w:lang w:val="es-AR"/>
              </w:rPr>
              <w:t>Alegatos de las partes y de</w:t>
            </w:r>
            <w:r w:rsidRPr="00AF39D7">
              <w:rPr>
                <w:spacing w:val="-8"/>
                <w:lang w:val="es-AR"/>
              </w:rPr>
              <w:t xml:space="preserve"> </w:t>
            </w:r>
            <w:r w:rsidRPr="00AF39D7">
              <w:rPr>
                <w:lang w:val="es-AR"/>
              </w:rPr>
              <w:t>la</w:t>
            </w:r>
            <w:r w:rsidRPr="00AF39D7">
              <w:rPr>
                <w:spacing w:val="-2"/>
                <w:lang w:val="es-AR"/>
              </w:rPr>
              <w:t xml:space="preserve"> </w:t>
            </w:r>
            <w:r w:rsidRPr="00AF39D7">
              <w:rPr>
                <w:lang w:val="es-AR"/>
              </w:rPr>
              <w:t>Comisión</w:t>
            </w:r>
            <w:r w:rsidRPr="00AF39D7">
              <w:rPr>
                <w:lang w:val="es-AR"/>
              </w:rPr>
              <w:tab/>
              <w:t>40</w:t>
            </w:r>
          </w:hyperlink>
        </w:p>
        <w:p w14:paraId="54194828" w14:textId="77777777" w:rsidR="00467FCA" w:rsidRDefault="001B68EB">
          <w:pPr>
            <w:pStyle w:val="TDC1"/>
            <w:numPr>
              <w:ilvl w:val="0"/>
              <w:numId w:val="55"/>
            </w:numPr>
            <w:tabs>
              <w:tab w:val="left" w:pos="599"/>
              <w:tab w:val="left" w:pos="601"/>
              <w:tab w:val="left" w:pos="9213"/>
            </w:tabs>
            <w:spacing w:before="30"/>
            <w:ind w:hanging="482"/>
          </w:pPr>
          <w:hyperlink w:anchor="_bookmark260" w:history="1">
            <w:r>
              <w:t>Consideraciones de</w:t>
            </w:r>
            <w:r>
              <w:rPr>
                <w:spacing w:val="-6"/>
              </w:rPr>
              <w:t xml:space="preserve"> </w:t>
            </w:r>
            <w:r>
              <w:t>la</w:t>
            </w:r>
            <w:r>
              <w:rPr>
                <w:spacing w:val="-3"/>
              </w:rPr>
              <w:t xml:space="preserve"> </w:t>
            </w:r>
            <w:r>
              <w:t>Corte</w:t>
            </w:r>
            <w:r>
              <w:tab/>
              <w:t>42</w:t>
            </w:r>
          </w:hyperlink>
        </w:p>
        <w:p w14:paraId="68F21473" w14:textId="77777777" w:rsidR="00467FCA" w:rsidRPr="00AF39D7" w:rsidRDefault="001B68EB">
          <w:pPr>
            <w:pStyle w:val="TDC2"/>
            <w:numPr>
              <w:ilvl w:val="1"/>
              <w:numId w:val="55"/>
            </w:numPr>
            <w:tabs>
              <w:tab w:val="left" w:pos="725"/>
              <w:tab w:val="left" w:pos="9242"/>
            </w:tabs>
            <w:spacing w:before="34" w:line="276" w:lineRule="auto"/>
            <w:ind w:right="125" w:firstLine="0"/>
            <w:rPr>
              <w:lang w:val="es-AR"/>
            </w:rPr>
          </w:pPr>
          <w:hyperlink w:anchor="_bookmark266" w:history="1">
            <w:r w:rsidRPr="00AF39D7">
              <w:rPr>
                <w:lang w:val="es-AR"/>
              </w:rPr>
              <w:t>El derecho a condiciones equitativas y satisfactorias que garanticen la seguridad, la salud y la</w:t>
            </w:r>
          </w:hyperlink>
          <w:hyperlink w:anchor="_bookmark266" w:history="1">
            <w:r w:rsidRPr="00AF39D7">
              <w:rPr>
                <w:lang w:val="es-AR"/>
              </w:rPr>
              <w:t xml:space="preserve"> higiene en</w:t>
            </w:r>
            <w:r w:rsidRPr="00AF39D7">
              <w:rPr>
                <w:spacing w:val="-3"/>
                <w:lang w:val="es-AR"/>
              </w:rPr>
              <w:t xml:space="preserve"> </w:t>
            </w:r>
            <w:r w:rsidRPr="00AF39D7">
              <w:rPr>
                <w:lang w:val="es-AR"/>
              </w:rPr>
              <w:t>el</w:t>
            </w:r>
            <w:r w:rsidRPr="00AF39D7">
              <w:rPr>
                <w:spacing w:val="-2"/>
                <w:lang w:val="es-AR"/>
              </w:rPr>
              <w:t xml:space="preserve"> </w:t>
            </w:r>
            <w:r w:rsidRPr="00AF39D7">
              <w:rPr>
                <w:lang w:val="es-AR"/>
              </w:rPr>
              <w:t>trabajo</w:t>
            </w:r>
            <w:r w:rsidRPr="00AF39D7">
              <w:rPr>
                <w:lang w:val="es-AR"/>
              </w:rPr>
              <w:tab/>
            </w:r>
            <w:r w:rsidRPr="00AF39D7">
              <w:rPr>
                <w:spacing w:val="-8"/>
                <w:lang w:val="es-AR"/>
              </w:rPr>
              <w:t>44</w:t>
            </w:r>
          </w:hyperlink>
        </w:p>
        <w:p w14:paraId="2A076B87" w14:textId="77777777" w:rsidR="00467FCA" w:rsidRPr="00AF39D7" w:rsidRDefault="001B68EB">
          <w:pPr>
            <w:pStyle w:val="TDC2"/>
            <w:numPr>
              <w:ilvl w:val="2"/>
              <w:numId w:val="55"/>
            </w:numPr>
            <w:tabs>
              <w:tab w:val="left" w:pos="905"/>
              <w:tab w:val="left" w:pos="9242"/>
            </w:tabs>
            <w:spacing w:before="1" w:line="276" w:lineRule="auto"/>
            <w:ind w:right="125" w:firstLine="0"/>
            <w:rPr>
              <w:lang w:val="es-AR"/>
            </w:rPr>
          </w:pPr>
          <w:hyperlink w:anchor="_bookmark278" w:history="1">
            <w:r w:rsidRPr="00AF39D7">
              <w:rPr>
                <w:lang w:val="es-AR"/>
              </w:rPr>
              <w:t>El contenido del derecho a condiciones equitativa</w:t>
            </w:r>
            <w:r w:rsidRPr="00AF39D7">
              <w:rPr>
                <w:lang w:val="es-AR"/>
              </w:rPr>
              <w:t>s y satisfactorias que garanticen la</w:t>
            </w:r>
          </w:hyperlink>
          <w:hyperlink w:anchor="_bookmark278" w:history="1">
            <w:r w:rsidRPr="00AF39D7">
              <w:rPr>
                <w:lang w:val="es-AR"/>
              </w:rPr>
              <w:t xml:space="preserve"> seguridad, la salud y la higiene en</w:t>
            </w:r>
            <w:r w:rsidRPr="00AF39D7">
              <w:rPr>
                <w:spacing w:val="-11"/>
                <w:lang w:val="es-AR"/>
              </w:rPr>
              <w:t xml:space="preserve"> </w:t>
            </w:r>
            <w:r w:rsidRPr="00AF39D7">
              <w:rPr>
                <w:lang w:val="es-AR"/>
              </w:rPr>
              <w:t>el</w:t>
            </w:r>
            <w:r w:rsidRPr="00AF39D7">
              <w:rPr>
                <w:spacing w:val="-5"/>
                <w:lang w:val="es-AR"/>
              </w:rPr>
              <w:t xml:space="preserve"> </w:t>
            </w:r>
            <w:r w:rsidRPr="00AF39D7">
              <w:rPr>
                <w:lang w:val="es-AR"/>
              </w:rPr>
              <w:t>trabajo</w:t>
            </w:r>
            <w:r w:rsidRPr="00AF39D7">
              <w:rPr>
                <w:lang w:val="es-AR"/>
              </w:rPr>
              <w:tab/>
            </w:r>
            <w:r w:rsidRPr="00AF39D7">
              <w:rPr>
                <w:spacing w:val="-8"/>
                <w:lang w:val="es-AR"/>
              </w:rPr>
              <w:t>46</w:t>
            </w:r>
          </w:hyperlink>
        </w:p>
        <w:p w14:paraId="79B4D528" w14:textId="77777777" w:rsidR="00467FCA" w:rsidRPr="00AF39D7" w:rsidRDefault="001B68EB">
          <w:pPr>
            <w:pStyle w:val="TDC2"/>
            <w:numPr>
              <w:ilvl w:val="2"/>
              <w:numId w:val="55"/>
            </w:numPr>
            <w:tabs>
              <w:tab w:val="left" w:pos="905"/>
              <w:tab w:val="left" w:pos="9242"/>
            </w:tabs>
            <w:spacing w:before="0" w:line="273" w:lineRule="auto"/>
            <w:ind w:right="125" w:firstLine="0"/>
            <w:rPr>
              <w:lang w:val="es-AR"/>
            </w:rPr>
          </w:pPr>
          <w:hyperlink w:anchor="_bookmark306" w:history="1">
            <w:r w:rsidRPr="00AF39D7">
              <w:rPr>
                <w:lang w:val="es-AR"/>
              </w:rPr>
              <w:t>Afectación del derecho a condiciones de trabajo equitativas y satisfactorias en el caso</w:t>
            </w:r>
          </w:hyperlink>
          <w:hyperlink w:anchor="_bookmark306" w:history="1">
            <w:r w:rsidRPr="00AF39D7">
              <w:rPr>
                <w:lang w:val="es-AR"/>
              </w:rPr>
              <w:t xml:space="preserve"> concreto</w:t>
            </w:r>
            <w:r w:rsidRPr="00AF39D7">
              <w:rPr>
                <w:lang w:val="es-AR"/>
              </w:rPr>
              <w:tab/>
            </w:r>
            <w:r w:rsidRPr="00AF39D7">
              <w:rPr>
                <w:spacing w:val="-8"/>
                <w:lang w:val="es-AR"/>
              </w:rPr>
              <w:t>50</w:t>
            </w:r>
          </w:hyperlink>
        </w:p>
        <w:p w14:paraId="29626BCC" w14:textId="77777777" w:rsidR="00467FCA" w:rsidRDefault="001B68EB">
          <w:pPr>
            <w:pStyle w:val="TDC2"/>
            <w:numPr>
              <w:ilvl w:val="1"/>
              <w:numId w:val="55"/>
            </w:numPr>
            <w:tabs>
              <w:tab w:val="left" w:pos="726"/>
              <w:tab w:val="left" w:pos="9242"/>
            </w:tabs>
            <w:spacing w:before="3"/>
            <w:ind w:left="725" w:hanging="366"/>
          </w:pPr>
          <w:hyperlink w:anchor="_bookmark307" w:history="1">
            <w:r>
              <w:t>Prohibición del</w:t>
            </w:r>
            <w:r>
              <w:rPr>
                <w:spacing w:val="-3"/>
              </w:rPr>
              <w:t xml:space="preserve"> </w:t>
            </w:r>
            <w:r>
              <w:t>trabajo</w:t>
            </w:r>
            <w:r>
              <w:rPr>
                <w:spacing w:val="-4"/>
              </w:rPr>
              <w:t xml:space="preserve"> </w:t>
            </w:r>
            <w:r>
              <w:t>infantil</w:t>
            </w:r>
            <w:r>
              <w:tab/>
              <w:t>50</w:t>
            </w:r>
          </w:hyperlink>
        </w:p>
        <w:p w14:paraId="3FCE4C26" w14:textId="77777777" w:rsidR="00467FCA" w:rsidRDefault="001B68EB">
          <w:pPr>
            <w:pStyle w:val="TDC2"/>
            <w:numPr>
              <w:ilvl w:val="1"/>
              <w:numId w:val="55"/>
            </w:numPr>
            <w:tabs>
              <w:tab w:val="left" w:pos="726"/>
              <w:tab w:val="left" w:pos="9242"/>
            </w:tabs>
            <w:spacing w:before="34"/>
            <w:ind w:left="725" w:hanging="366"/>
          </w:pPr>
          <w:hyperlink w:anchor="_bookmark317" w:history="1">
            <w:r>
              <w:t>Prohibición</w:t>
            </w:r>
            <w:r>
              <w:rPr>
                <w:spacing w:val="-3"/>
              </w:rPr>
              <w:t xml:space="preserve"> </w:t>
            </w:r>
            <w:r>
              <w:t>de</w:t>
            </w:r>
            <w:r>
              <w:rPr>
                <w:spacing w:val="-4"/>
              </w:rPr>
              <w:t xml:space="preserve"> </w:t>
            </w:r>
            <w:r>
              <w:t>discriminación</w:t>
            </w:r>
            <w:r>
              <w:tab/>
              <w:t>52</w:t>
            </w:r>
          </w:hyperlink>
        </w:p>
        <w:p w14:paraId="684C1BE1" w14:textId="77777777" w:rsidR="00467FCA" w:rsidRDefault="001B68EB">
          <w:pPr>
            <w:pStyle w:val="TDC2"/>
            <w:tabs>
              <w:tab w:val="left" w:pos="9242"/>
            </w:tabs>
            <w:ind w:firstLine="0"/>
          </w:pPr>
          <w:hyperlink w:anchor="_bookmark354" w:history="1">
            <w:r>
              <w:t>B.4.</w:t>
            </w:r>
            <w:r>
              <w:rPr>
                <w:spacing w:val="-3"/>
              </w:rPr>
              <w:t xml:space="preserve"> </w:t>
            </w:r>
            <w:r>
              <w:t>Conclusión</w:t>
            </w:r>
            <w:r>
              <w:tab/>
              <w:t>58</w:t>
            </w:r>
          </w:hyperlink>
        </w:p>
        <w:p w14:paraId="4AD66AEB" w14:textId="77777777" w:rsidR="00467FCA" w:rsidRPr="00AF39D7" w:rsidRDefault="001B68EB">
          <w:pPr>
            <w:pStyle w:val="TDC1"/>
            <w:numPr>
              <w:ilvl w:val="1"/>
              <w:numId w:val="61"/>
            </w:numPr>
            <w:tabs>
              <w:tab w:val="left" w:pos="829"/>
              <w:tab w:val="left" w:pos="9214"/>
            </w:tabs>
            <w:spacing w:line="276" w:lineRule="auto"/>
            <w:ind w:left="120" w:right="129" w:firstLine="0"/>
            <w:rPr>
              <w:lang w:val="es-AR"/>
            </w:rPr>
          </w:pPr>
          <w:hyperlink w:anchor="_bookmark355" w:history="1">
            <w:r w:rsidRPr="00AF39D7">
              <w:rPr>
                <w:lang w:val="es-AR"/>
              </w:rPr>
              <w:t>DERECHOS A LAS GARANTÍAS JUDICIALES Y A LA PROTECCIÓN JUDICIAL, EN</w:t>
            </w:r>
          </w:hyperlink>
          <w:hyperlink w:anchor="_bookmark355" w:history="1">
            <w:r w:rsidRPr="00AF39D7">
              <w:rPr>
                <w:lang w:val="es-AR"/>
              </w:rPr>
              <w:t xml:space="preserve"> RELACIÓN CO</w:t>
            </w:r>
            <w:r w:rsidRPr="00AF39D7">
              <w:rPr>
                <w:lang w:val="es-AR"/>
              </w:rPr>
              <w:t>N LAS OBLIGACIONES DE RESPETO Y GARANTÍA (ARTÍCULOS 8.1 Y 25 DE LA</w:t>
            </w:r>
          </w:hyperlink>
          <w:hyperlink w:anchor="_bookmark355" w:history="1">
            <w:r w:rsidRPr="00AF39D7">
              <w:rPr>
                <w:lang w:val="es-AR"/>
              </w:rPr>
              <w:t xml:space="preserve"> CONVENCIÓN AMERICANA, EN RELACIÓN CON EL ARTÍCULO 1.1 DE</w:t>
            </w:r>
            <w:r w:rsidRPr="00AF39D7">
              <w:rPr>
                <w:spacing w:val="-17"/>
                <w:lang w:val="es-AR"/>
              </w:rPr>
              <w:t xml:space="preserve"> </w:t>
            </w:r>
            <w:r w:rsidRPr="00AF39D7">
              <w:rPr>
                <w:lang w:val="es-AR"/>
              </w:rPr>
              <w:t>LA</w:t>
            </w:r>
            <w:r w:rsidRPr="00AF39D7">
              <w:rPr>
                <w:spacing w:val="-5"/>
                <w:lang w:val="es-AR"/>
              </w:rPr>
              <w:t xml:space="preserve"> </w:t>
            </w:r>
            <w:r w:rsidRPr="00AF39D7">
              <w:rPr>
                <w:lang w:val="es-AR"/>
              </w:rPr>
              <w:t>MISMA)</w:t>
            </w:r>
            <w:r w:rsidRPr="00AF39D7">
              <w:rPr>
                <w:lang w:val="es-AR"/>
              </w:rPr>
              <w:tab/>
            </w:r>
            <w:r w:rsidRPr="00AF39D7">
              <w:rPr>
                <w:spacing w:val="-10"/>
                <w:lang w:val="es-AR"/>
              </w:rPr>
              <w:t>59</w:t>
            </w:r>
          </w:hyperlink>
        </w:p>
        <w:p w14:paraId="1ED08D98" w14:textId="77777777" w:rsidR="00467FCA" w:rsidRPr="00AF39D7" w:rsidRDefault="001B68EB">
          <w:pPr>
            <w:pStyle w:val="TDC1"/>
            <w:numPr>
              <w:ilvl w:val="0"/>
              <w:numId w:val="54"/>
            </w:numPr>
            <w:tabs>
              <w:tab w:val="left" w:pos="600"/>
              <w:tab w:val="left" w:pos="601"/>
              <w:tab w:val="left" w:pos="9214"/>
            </w:tabs>
            <w:spacing w:before="0" w:line="218" w:lineRule="exact"/>
            <w:ind w:hanging="481"/>
            <w:rPr>
              <w:lang w:val="es-AR"/>
            </w:rPr>
          </w:pPr>
          <w:hyperlink w:anchor="_bookmark356" w:history="1">
            <w:r w:rsidRPr="00AF39D7">
              <w:rPr>
                <w:lang w:val="es-AR"/>
              </w:rPr>
              <w:t>Alegatos de las partes y de</w:t>
            </w:r>
            <w:r w:rsidRPr="00AF39D7">
              <w:rPr>
                <w:spacing w:val="-8"/>
                <w:lang w:val="es-AR"/>
              </w:rPr>
              <w:t xml:space="preserve"> </w:t>
            </w:r>
            <w:r w:rsidRPr="00AF39D7">
              <w:rPr>
                <w:lang w:val="es-AR"/>
              </w:rPr>
              <w:t>la</w:t>
            </w:r>
            <w:r w:rsidRPr="00AF39D7">
              <w:rPr>
                <w:spacing w:val="-2"/>
                <w:lang w:val="es-AR"/>
              </w:rPr>
              <w:t xml:space="preserve"> </w:t>
            </w:r>
            <w:r w:rsidRPr="00AF39D7">
              <w:rPr>
                <w:lang w:val="es-AR"/>
              </w:rPr>
              <w:t>Comisión</w:t>
            </w:r>
            <w:r w:rsidRPr="00AF39D7">
              <w:rPr>
                <w:lang w:val="es-AR"/>
              </w:rPr>
              <w:tab/>
              <w:t>59</w:t>
            </w:r>
          </w:hyperlink>
        </w:p>
        <w:p w14:paraId="41D4B9FD" w14:textId="77777777" w:rsidR="00467FCA" w:rsidRDefault="001B68EB">
          <w:pPr>
            <w:pStyle w:val="TDC1"/>
            <w:numPr>
              <w:ilvl w:val="0"/>
              <w:numId w:val="54"/>
            </w:numPr>
            <w:tabs>
              <w:tab w:val="left" w:pos="600"/>
              <w:tab w:val="left" w:pos="601"/>
              <w:tab w:val="left" w:pos="9214"/>
            </w:tabs>
            <w:ind w:hanging="481"/>
          </w:pPr>
          <w:hyperlink w:anchor="_bookmark358" w:history="1">
            <w:r>
              <w:t>Consideraciones de</w:t>
            </w:r>
            <w:r>
              <w:rPr>
                <w:spacing w:val="-6"/>
              </w:rPr>
              <w:t xml:space="preserve"> </w:t>
            </w:r>
            <w:r>
              <w:t>la</w:t>
            </w:r>
            <w:r>
              <w:rPr>
                <w:spacing w:val="-3"/>
              </w:rPr>
              <w:t xml:space="preserve"> </w:t>
            </w:r>
            <w:r>
              <w:t>Corte</w:t>
            </w:r>
            <w:r>
              <w:tab/>
              <w:t>61</w:t>
            </w:r>
          </w:hyperlink>
        </w:p>
        <w:p w14:paraId="18EFFA7A" w14:textId="77777777" w:rsidR="00467FCA" w:rsidRPr="00AF39D7" w:rsidRDefault="001B68EB">
          <w:pPr>
            <w:pStyle w:val="TDC2"/>
            <w:numPr>
              <w:ilvl w:val="1"/>
              <w:numId w:val="54"/>
            </w:numPr>
            <w:tabs>
              <w:tab w:val="left" w:pos="791"/>
              <w:tab w:val="left" w:pos="9243"/>
            </w:tabs>
            <w:spacing w:before="34"/>
            <w:ind w:hanging="431"/>
            <w:rPr>
              <w:lang w:val="es-AR"/>
            </w:rPr>
          </w:pPr>
          <w:hyperlink w:anchor="_bookmark364" w:history="1">
            <w:r w:rsidRPr="00AF39D7">
              <w:rPr>
                <w:lang w:val="es-AR"/>
              </w:rPr>
              <w:t>La debida diligencia y el</w:t>
            </w:r>
            <w:r w:rsidRPr="00AF39D7">
              <w:rPr>
                <w:spacing w:val="-8"/>
                <w:lang w:val="es-AR"/>
              </w:rPr>
              <w:t xml:space="preserve"> </w:t>
            </w:r>
            <w:r w:rsidRPr="00AF39D7">
              <w:rPr>
                <w:lang w:val="es-AR"/>
              </w:rPr>
              <w:t>plazo</w:t>
            </w:r>
            <w:r w:rsidRPr="00AF39D7">
              <w:rPr>
                <w:spacing w:val="-1"/>
                <w:lang w:val="es-AR"/>
              </w:rPr>
              <w:t xml:space="preserve"> </w:t>
            </w:r>
            <w:r w:rsidRPr="00AF39D7">
              <w:rPr>
                <w:lang w:val="es-AR"/>
              </w:rPr>
              <w:t>razonable</w:t>
            </w:r>
            <w:r w:rsidRPr="00AF39D7">
              <w:rPr>
                <w:lang w:val="es-AR"/>
              </w:rPr>
              <w:tab/>
              <w:t>62</w:t>
            </w:r>
          </w:hyperlink>
        </w:p>
        <w:p w14:paraId="4968CC72" w14:textId="77777777" w:rsidR="00467FCA" w:rsidRDefault="001B68EB">
          <w:pPr>
            <w:pStyle w:val="TDC2"/>
            <w:numPr>
              <w:ilvl w:val="2"/>
              <w:numId w:val="54"/>
            </w:numPr>
            <w:tabs>
              <w:tab w:val="left" w:pos="906"/>
              <w:tab w:val="left" w:pos="9243"/>
            </w:tabs>
            <w:ind w:hanging="546"/>
          </w:pPr>
          <w:hyperlink w:anchor="_bookmark380" w:history="1">
            <w:r>
              <w:t>El</w:t>
            </w:r>
            <w:r>
              <w:rPr>
                <w:spacing w:val="-2"/>
              </w:rPr>
              <w:t xml:space="preserve"> </w:t>
            </w:r>
            <w:r>
              <w:t>Proceso</w:t>
            </w:r>
            <w:r>
              <w:rPr>
                <w:spacing w:val="-2"/>
              </w:rPr>
              <w:t xml:space="preserve"> </w:t>
            </w:r>
            <w:r>
              <w:t>Penal</w:t>
            </w:r>
            <w:r>
              <w:tab/>
              <w:t>64</w:t>
            </w:r>
          </w:hyperlink>
        </w:p>
        <w:p w14:paraId="54781F1C" w14:textId="77777777" w:rsidR="00467FCA" w:rsidRDefault="001B68EB">
          <w:pPr>
            <w:pStyle w:val="TDC2"/>
            <w:numPr>
              <w:ilvl w:val="2"/>
              <w:numId w:val="54"/>
            </w:numPr>
            <w:tabs>
              <w:tab w:val="left" w:pos="906"/>
              <w:tab w:val="left" w:pos="9243"/>
            </w:tabs>
            <w:spacing w:before="31"/>
          </w:pPr>
          <w:hyperlink w:anchor="_bookmark387" w:history="1">
            <w:r>
              <w:t>Las</w:t>
            </w:r>
            <w:r>
              <w:rPr>
                <w:spacing w:val="-2"/>
              </w:rPr>
              <w:t xml:space="preserve"> </w:t>
            </w:r>
            <w:r>
              <w:t>causas</w:t>
            </w:r>
            <w:r>
              <w:rPr>
                <w:spacing w:val="-2"/>
              </w:rPr>
              <w:t xml:space="preserve"> </w:t>
            </w:r>
            <w:r>
              <w:t>civiles</w:t>
            </w:r>
            <w:r>
              <w:tab/>
              <w:t>65</w:t>
            </w:r>
          </w:hyperlink>
        </w:p>
        <w:p w14:paraId="1F4E4C04" w14:textId="77777777" w:rsidR="00467FCA" w:rsidRDefault="001B68EB">
          <w:pPr>
            <w:pStyle w:val="TDC2"/>
            <w:numPr>
              <w:ilvl w:val="2"/>
              <w:numId w:val="54"/>
            </w:numPr>
            <w:tabs>
              <w:tab w:val="left" w:pos="907"/>
              <w:tab w:val="left" w:pos="9243"/>
            </w:tabs>
            <w:ind w:left="906" w:hanging="546"/>
          </w:pPr>
          <w:hyperlink w:anchor="_bookmark389" w:history="1">
            <w:r>
              <w:t>Los</w:t>
            </w:r>
            <w:r>
              <w:rPr>
                <w:spacing w:val="-3"/>
              </w:rPr>
              <w:t xml:space="preserve"> </w:t>
            </w:r>
            <w:r>
              <w:t>procesos</w:t>
            </w:r>
            <w:r>
              <w:rPr>
                <w:spacing w:val="-2"/>
              </w:rPr>
              <w:t xml:space="preserve"> </w:t>
            </w:r>
            <w:r>
              <w:t>laborales</w:t>
            </w:r>
            <w:r>
              <w:tab/>
              <w:t>67</w:t>
            </w:r>
          </w:hyperlink>
        </w:p>
        <w:p w14:paraId="19C6FCF0" w14:textId="77777777" w:rsidR="00467FCA" w:rsidRPr="00AF39D7" w:rsidRDefault="001B68EB">
          <w:pPr>
            <w:pStyle w:val="TDC2"/>
            <w:tabs>
              <w:tab w:val="left" w:pos="9243"/>
            </w:tabs>
            <w:ind w:left="361" w:firstLine="0"/>
            <w:rPr>
              <w:lang w:val="es-AR"/>
            </w:rPr>
          </w:pPr>
          <w:hyperlink w:anchor="_bookmark395" w:history="1">
            <w:r w:rsidRPr="00AF39D7">
              <w:rPr>
                <w:lang w:val="es-AR"/>
              </w:rPr>
              <w:t>B.2 Ausencia de protección</w:t>
            </w:r>
            <w:r w:rsidRPr="00AF39D7">
              <w:rPr>
                <w:spacing w:val="-10"/>
                <w:lang w:val="es-AR"/>
              </w:rPr>
              <w:t xml:space="preserve"> </w:t>
            </w:r>
            <w:r w:rsidRPr="00AF39D7">
              <w:rPr>
                <w:lang w:val="es-AR"/>
              </w:rPr>
              <w:t>judicial</w:t>
            </w:r>
            <w:r w:rsidRPr="00AF39D7">
              <w:rPr>
                <w:spacing w:val="-1"/>
                <w:lang w:val="es-AR"/>
              </w:rPr>
              <w:t xml:space="preserve"> </w:t>
            </w:r>
            <w:r w:rsidRPr="00AF39D7">
              <w:rPr>
                <w:lang w:val="es-AR"/>
              </w:rPr>
              <w:t>efectiva</w:t>
            </w:r>
            <w:r w:rsidRPr="00AF39D7">
              <w:rPr>
                <w:lang w:val="es-AR"/>
              </w:rPr>
              <w:tab/>
              <w:t>69</w:t>
            </w:r>
          </w:hyperlink>
        </w:p>
        <w:p w14:paraId="01E2419B" w14:textId="77777777" w:rsidR="00467FCA" w:rsidRDefault="001B68EB">
          <w:pPr>
            <w:pStyle w:val="TDC2"/>
            <w:tabs>
              <w:tab w:val="left" w:pos="9243"/>
            </w:tabs>
            <w:ind w:left="361" w:firstLine="0"/>
          </w:pPr>
          <w:hyperlink w:anchor="_bookmark401" w:history="1">
            <w:r>
              <w:t>B.3.</w:t>
            </w:r>
            <w:r>
              <w:rPr>
                <w:spacing w:val="-3"/>
              </w:rPr>
              <w:t xml:space="preserve"> </w:t>
            </w:r>
            <w:r>
              <w:t>Conclusión</w:t>
            </w:r>
            <w:r>
              <w:tab/>
              <w:t>70</w:t>
            </w:r>
          </w:hyperlink>
        </w:p>
        <w:p w14:paraId="5FFB968C" w14:textId="77777777" w:rsidR="00467FCA" w:rsidRPr="00AF39D7" w:rsidRDefault="001B68EB">
          <w:pPr>
            <w:pStyle w:val="TDC1"/>
            <w:numPr>
              <w:ilvl w:val="1"/>
              <w:numId w:val="61"/>
            </w:numPr>
            <w:tabs>
              <w:tab w:val="left" w:pos="830"/>
              <w:tab w:val="left" w:pos="9215"/>
            </w:tabs>
            <w:spacing w:before="34" w:line="276" w:lineRule="auto"/>
            <w:ind w:left="121" w:right="128" w:firstLine="0"/>
            <w:rPr>
              <w:lang w:val="es-AR"/>
            </w:rPr>
          </w:pPr>
          <w:hyperlink w:anchor="_bookmark402" w:history="1">
            <w:r w:rsidRPr="00AF39D7">
              <w:rPr>
                <w:lang w:val="es-AR"/>
              </w:rPr>
              <w:t>DERECHO A LA INTEGRIDAD PERSONAL DE LOS FAMILIARES DE LAS PRESUNTAS</w:t>
            </w:r>
          </w:hyperlink>
          <w:hyperlink w:anchor="_bookmark402" w:history="1">
            <w:r w:rsidRPr="00AF39D7">
              <w:rPr>
                <w:lang w:val="es-AR"/>
              </w:rPr>
              <w:t xml:space="preserve"> VÍCTIMAS (ARTÍCULO 5 DE LA</w:t>
            </w:r>
            <w:r w:rsidRPr="00AF39D7">
              <w:rPr>
                <w:spacing w:val="-13"/>
                <w:lang w:val="es-AR"/>
              </w:rPr>
              <w:t xml:space="preserve"> </w:t>
            </w:r>
            <w:r w:rsidRPr="00AF39D7">
              <w:rPr>
                <w:lang w:val="es-AR"/>
              </w:rPr>
              <w:t>CONVENCIÓN</w:t>
            </w:r>
            <w:r w:rsidRPr="00AF39D7">
              <w:rPr>
                <w:spacing w:val="-1"/>
                <w:lang w:val="es-AR"/>
              </w:rPr>
              <w:t xml:space="preserve"> </w:t>
            </w:r>
            <w:r w:rsidRPr="00AF39D7">
              <w:rPr>
                <w:lang w:val="es-AR"/>
              </w:rPr>
              <w:t>AMERICANA)</w:t>
            </w:r>
            <w:r w:rsidRPr="00AF39D7">
              <w:rPr>
                <w:lang w:val="es-AR"/>
              </w:rPr>
              <w:tab/>
            </w:r>
            <w:r w:rsidRPr="00AF39D7">
              <w:rPr>
                <w:spacing w:val="-10"/>
                <w:lang w:val="es-AR"/>
              </w:rPr>
              <w:t>70</w:t>
            </w:r>
          </w:hyperlink>
        </w:p>
        <w:p w14:paraId="51CB5E64" w14:textId="77777777" w:rsidR="00467FCA" w:rsidRPr="00AF39D7" w:rsidRDefault="001B68EB">
          <w:pPr>
            <w:pStyle w:val="TDC1"/>
            <w:numPr>
              <w:ilvl w:val="0"/>
              <w:numId w:val="53"/>
            </w:numPr>
            <w:tabs>
              <w:tab w:val="left" w:pos="601"/>
              <w:tab w:val="left" w:pos="602"/>
              <w:tab w:val="left" w:pos="9214"/>
            </w:tabs>
            <w:spacing w:before="0" w:line="217" w:lineRule="exact"/>
            <w:ind w:hanging="481"/>
            <w:rPr>
              <w:lang w:val="es-AR"/>
            </w:rPr>
          </w:pPr>
          <w:hyperlink w:anchor="_bookmark403" w:history="1">
            <w:r w:rsidRPr="00AF39D7">
              <w:rPr>
                <w:lang w:val="es-AR"/>
              </w:rPr>
              <w:t>Alegatos de las partes y de</w:t>
            </w:r>
            <w:r w:rsidRPr="00AF39D7">
              <w:rPr>
                <w:spacing w:val="-8"/>
                <w:lang w:val="es-AR"/>
              </w:rPr>
              <w:t xml:space="preserve"> </w:t>
            </w:r>
            <w:r w:rsidRPr="00AF39D7">
              <w:rPr>
                <w:lang w:val="es-AR"/>
              </w:rPr>
              <w:t>la</w:t>
            </w:r>
            <w:r w:rsidRPr="00AF39D7">
              <w:rPr>
                <w:spacing w:val="-2"/>
                <w:lang w:val="es-AR"/>
              </w:rPr>
              <w:t xml:space="preserve"> </w:t>
            </w:r>
            <w:r w:rsidRPr="00AF39D7">
              <w:rPr>
                <w:lang w:val="es-AR"/>
              </w:rPr>
              <w:t>Comisión</w:t>
            </w:r>
            <w:r w:rsidRPr="00AF39D7">
              <w:rPr>
                <w:lang w:val="es-AR"/>
              </w:rPr>
              <w:tab/>
              <w:t>70</w:t>
            </w:r>
          </w:hyperlink>
        </w:p>
        <w:p w14:paraId="01F0F188" w14:textId="77777777" w:rsidR="00467FCA" w:rsidRDefault="001B68EB">
          <w:pPr>
            <w:pStyle w:val="TDC1"/>
            <w:numPr>
              <w:ilvl w:val="0"/>
              <w:numId w:val="53"/>
            </w:numPr>
            <w:tabs>
              <w:tab w:val="left" w:pos="601"/>
              <w:tab w:val="left" w:pos="602"/>
              <w:tab w:val="left" w:pos="9214"/>
            </w:tabs>
            <w:ind w:hanging="481"/>
          </w:pPr>
          <w:hyperlink w:anchor="_bookmark404" w:history="1">
            <w:r>
              <w:t>Consideraciones de</w:t>
            </w:r>
            <w:r>
              <w:rPr>
                <w:spacing w:val="-6"/>
              </w:rPr>
              <w:t xml:space="preserve"> </w:t>
            </w:r>
            <w:r>
              <w:t>la</w:t>
            </w:r>
            <w:r>
              <w:rPr>
                <w:spacing w:val="-3"/>
              </w:rPr>
              <w:t xml:space="preserve"> </w:t>
            </w:r>
            <w:r>
              <w:t>Corte</w:t>
            </w:r>
            <w:r>
              <w:tab/>
              <w:t>70</w:t>
            </w:r>
          </w:hyperlink>
        </w:p>
        <w:p w14:paraId="136EA1A9" w14:textId="77777777" w:rsidR="00467FCA" w:rsidRPr="00AF39D7" w:rsidRDefault="001B68EB">
          <w:pPr>
            <w:pStyle w:val="TDC1"/>
            <w:numPr>
              <w:ilvl w:val="0"/>
              <w:numId w:val="61"/>
            </w:numPr>
            <w:tabs>
              <w:tab w:val="left" w:pos="420"/>
              <w:tab w:val="left" w:pos="9214"/>
            </w:tabs>
            <w:ind w:left="419" w:hanging="299"/>
            <w:rPr>
              <w:lang w:val="es-AR"/>
            </w:rPr>
          </w:pPr>
          <w:hyperlink w:anchor="_bookmark409" w:history="1">
            <w:r w:rsidRPr="00AF39D7">
              <w:rPr>
                <w:lang w:val="es-AR"/>
              </w:rPr>
              <w:t>REPARACIONES (APLICACIÓN DEL ARTÍCULO 63.1 DE LA</w:t>
            </w:r>
            <w:r w:rsidRPr="00AF39D7">
              <w:rPr>
                <w:spacing w:val="-17"/>
                <w:lang w:val="es-AR"/>
              </w:rPr>
              <w:t xml:space="preserve"> </w:t>
            </w:r>
            <w:r w:rsidRPr="00AF39D7">
              <w:rPr>
                <w:lang w:val="es-AR"/>
              </w:rPr>
              <w:t>CONVENCIÓN</w:t>
            </w:r>
            <w:r w:rsidRPr="00AF39D7">
              <w:rPr>
                <w:spacing w:val="-1"/>
                <w:lang w:val="es-AR"/>
              </w:rPr>
              <w:t xml:space="preserve"> </w:t>
            </w:r>
            <w:r w:rsidRPr="00AF39D7">
              <w:rPr>
                <w:lang w:val="es-AR"/>
              </w:rPr>
              <w:t>AMERICANA)</w:t>
            </w:r>
            <w:r w:rsidRPr="00AF39D7">
              <w:rPr>
                <w:lang w:val="es-AR"/>
              </w:rPr>
              <w:tab/>
              <w:t>74</w:t>
            </w:r>
          </w:hyperlink>
        </w:p>
        <w:p w14:paraId="163C8D2B" w14:textId="77777777" w:rsidR="00467FCA" w:rsidRDefault="001B68EB">
          <w:pPr>
            <w:pStyle w:val="TDC1"/>
            <w:numPr>
              <w:ilvl w:val="0"/>
              <w:numId w:val="52"/>
            </w:numPr>
            <w:tabs>
              <w:tab w:val="left" w:pos="601"/>
              <w:tab w:val="left" w:pos="602"/>
              <w:tab w:val="left" w:pos="9214"/>
            </w:tabs>
            <w:ind w:hanging="481"/>
          </w:pPr>
          <w:hyperlink w:anchor="_bookmark413" w:history="1">
            <w:r>
              <w:t>Parte</w:t>
            </w:r>
            <w:r>
              <w:rPr>
                <w:spacing w:val="-3"/>
              </w:rPr>
              <w:t xml:space="preserve"> </w:t>
            </w:r>
            <w:r>
              <w:t>lesionada</w:t>
            </w:r>
            <w:r>
              <w:tab/>
              <w:t>75</w:t>
            </w:r>
          </w:hyperlink>
        </w:p>
        <w:p w14:paraId="2C005AA7" w14:textId="77777777" w:rsidR="00467FCA" w:rsidRDefault="001B68EB">
          <w:pPr>
            <w:pStyle w:val="TDC1"/>
            <w:numPr>
              <w:ilvl w:val="0"/>
              <w:numId w:val="52"/>
            </w:numPr>
            <w:tabs>
              <w:tab w:val="left" w:pos="601"/>
              <w:tab w:val="left" w:pos="602"/>
              <w:tab w:val="left" w:pos="9214"/>
            </w:tabs>
            <w:spacing w:before="34"/>
            <w:ind w:hanging="481"/>
          </w:pPr>
          <w:hyperlink w:anchor="_bookmark414" w:history="1">
            <w:r>
              <w:t>Obligación</w:t>
            </w:r>
            <w:r>
              <w:rPr>
                <w:spacing w:val="-5"/>
              </w:rPr>
              <w:t xml:space="preserve"> </w:t>
            </w:r>
            <w:r>
              <w:t>de</w:t>
            </w:r>
            <w:r>
              <w:rPr>
                <w:spacing w:val="-3"/>
              </w:rPr>
              <w:t xml:space="preserve"> </w:t>
            </w:r>
            <w:r>
              <w:t>investigar</w:t>
            </w:r>
            <w:r>
              <w:tab/>
              <w:t>75</w:t>
            </w:r>
          </w:hyperlink>
        </w:p>
        <w:p w14:paraId="24A27CB4" w14:textId="77777777" w:rsidR="00467FCA" w:rsidRDefault="001B68EB">
          <w:pPr>
            <w:pStyle w:val="TDC1"/>
            <w:numPr>
              <w:ilvl w:val="0"/>
              <w:numId w:val="52"/>
            </w:numPr>
            <w:tabs>
              <w:tab w:val="left" w:pos="601"/>
              <w:tab w:val="left" w:pos="602"/>
              <w:tab w:val="left" w:pos="9214"/>
            </w:tabs>
            <w:spacing w:before="30"/>
            <w:ind w:hanging="481"/>
          </w:pPr>
          <w:hyperlink w:anchor="_bookmark419" w:history="1">
            <w:r>
              <w:t>Medidas</w:t>
            </w:r>
            <w:r>
              <w:rPr>
                <w:spacing w:val="-3"/>
              </w:rPr>
              <w:t xml:space="preserve"> </w:t>
            </w:r>
            <w:r>
              <w:t>de</w:t>
            </w:r>
            <w:r>
              <w:rPr>
                <w:spacing w:val="-3"/>
              </w:rPr>
              <w:t xml:space="preserve"> </w:t>
            </w:r>
            <w:r>
              <w:t>rehabilitación</w:t>
            </w:r>
            <w:r>
              <w:tab/>
              <w:t>76</w:t>
            </w:r>
          </w:hyperlink>
        </w:p>
        <w:p w14:paraId="0896DC89" w14:textId="77777777" w:rsidR="00467FCA" w:rsidRDefault="001B68EB">
          <w:pPr>
            <w:pStyle w:val="TDC1"/>
            <w:numPr>
              <w:ilvl w:val="0"/>
              <w:numId w:val="52"/>
            </w:numPr>
            <w:tabs>
              <w:tab w:val="left" w:pos="601"/>
              <w:tab w:val="left" w:pos="602"/>
              <w:tab w:val="left" w:pos="9214"/>
            </w:tabs>
            <w:spacing w:before="34"/>
            <w:ind w:hanging="481"/>
          </w:pPr>
          <w:hyperlink w:anchor="_bookmark422" w:history="1">
            <w:r>
              <w:t>Medidas</w:t>
            </w:r>
            <w:r>
              <w:rPr>
                <w:spacing w:val="-2"/>
              </w:rPr>
              <w:t xml:space="preserve"> </w:t>
            </w:r>
            <w:r>
              <w:t>de</w:t>
            </w:r>
            <w:r>
              <w:rPr>
                <w:spacing w:val="-2"/>
              </w:rPr>
              <w:t xml:space="preserve"> </w:t>
            </w:r>
            <w:r>
              <w:t>satisfacción</w:t>
            </w:r>
            <w:r>
              <w:tab/>
              <w:t>77</w:t>
            </w:r>
          </w:hyperlink>
        </w:p>
        <w:p w14:paraId="1E9730C3" w14:textId="77777777" w:rsidR="00467FCA" w:rsidRDefault="001B68EB">
          <w:pPr>
            <w:pStyle w:val="TDC2"/>
            <w:numPr>
              <w:ilvl w:val="1"/>
              <w:numId w:val="52"/>
            </w:numPr>
            <w:tabs>
              <w:tab w:val="left" w:pos="871"/>
              <w:tab w:val="left" w:pos="9243"/>
            </w:tabs>
            <w:ind w:hanging="510"/>
          </w:pPr>
          <w:hyperlink w:anchor="_bookmark423" w:history="1">
            <w:r>
              <w:t>Publicación de</w:t>
            </w:r>
            <w:r>
              <w:rPr>
                <w:spacing w:val="-3"/>
              </w:rPr>
              <w:t xml:space="preserve"> </w:t>
            </w:r>
            <w:r>
              <w:t>la</w:t>
            </w:r>
            <w:r>
              <w:rPr>
                <w:spacing w:val="-2"/>
              </w:rPr>
              <w:t xml:space="preserve"> </w:t>
            </w:r>
            <w:r>
              <w:t>sentencia</w:t>
            </w:r>
            <w:r>
              <w:tab/>
              <w:t>77</w:t>
            </w:r>
          </w:hyperlink>
        </w:p>
        <w:p w14:paraId="29367D23" w14:textId="77777777" w:rsidR="00467FCA" w:rsidRPr="00AF39D7" w:rsidRDefault="001B68EB">
          <w:pPr>
            <w:pStyle w:val="TDC2"/>
            <w:numPr>
              <w:ilvl w:val="1"/>
              <w:numId w:val="52"/>
            </w:numPr>
            <w:tabs>
              <w:tab w:val="left" w:pos="871"/>
              <w:tab w:val="left" w:pos="9244"/>
            </w:tabs>
            <w:ind w:hanging="510"/>
            <w:rPr>
              <w:lang w:val="es-AR"/>
            </w:rPr>
          </w:pPr>
          <w:hyperlink w:anchor="_bookmark427" w:history="1">
            <w:r w:rsidRPr="00AF39D7">
              <w:rPr>
                <w:lang w:val="es-AR"/>
              </w:rPr>
              <w:t>Acto público de reconocimiento</w:t>
            </w:r>
            <w:r w:rsidRPr="00AF39D7">
              <w:rPr>
                <w:spacing w:val="-11"/>
                <w:lang w:val="es-AR"/>
              </w:rPr>
              <w:t xml:space="preserve"> </w:t>
            </w:r>
            <w:r w:rsidRPr="00AF39D7">
              <w:rPr>
                <w:lang w:val="es-AR"/>
              </w:rPr>
              <w:t>de</w:t>
            </w:r>
            <w:r w:rsidRPr="00AF39D7">
              <w:rPr>
                <w:spacing w:val="-3"/>
                <w:lang w:val="es-AR"/>
              </w:rPr>
              <w:t xml:space="preserve"> </w:t>
            </w:r>
            <w:r w:rsidRPr="00AF39D7">
              <w:rPr>
                <w:lang w:val="es-AR"/>
              </w:rPr>
              <w:t>responsabilidad</w:t>
            </w:r>
            <w:r w:rsidRPr="00AF39D7">
              <w:rPr>
                <w:lang w:val="es-AR"/>
              </w:rPr>
              <w:tab/>
              <w:t>78</w:t>
            </w:r>
          </w:hyperlink>
        </w:p>
        <w:p w14:paraId="2A6B6874" w14:textId="77777777" w:rsidR="00467FCA" w:rsidRDefault="001B68EB">
          <w:pPr>
            <w:pStyle w:val="TDC1"/>
            <w:numPr>
              <w:ilvl w:val="0"/>
              <w:numId w:val="52"/>
            </w:numPr>
            <w:tabs>
              <w:tab w:val="left" w:pos="601"/>
              <w:tab w:val="left" w:pos="602"/>
              <w:tab w:val="left" w:pos="9215"/>
            </w:tabs>
            <w:ind w:hanging="481"/>
          </w:pPr>
          <w:hyperlink w:anchor="_bookmark429" w:history="1">
            <w:r>
              <w:t>Garantías de</w:t>
            </w:r>
            <w:r>
              <w:rPr>
                <w:spacing w:val="-5"/>
              </w:rPr>
              <w:t xml:space="preserve"> </w:t>
            </w:r>
            <w:r>
              <w:t>no</w:t>
            </w:r>
            <w:r>
              <w:rPr>
                <w:spacing w:val="-1"/>
              </w:rPr>
              <w:t xml:space="preserve"> </w:t>
            </w:r>
            <w:r>
              <w:t>repetición</w:t>
            </w:r>
            <w:r>
              <w:tab/>
              <w:t>79</w:t>
            </w:r>
          </w:hyperlink>
        </w:p>
        <w:p w14:paraId="75930194" w14:textId="77777777" w:rsidR="00467FCA" w:rsidRDefault="001B68EB">
          <w:pPr>
            <w:pStyle w:val="TDC1"/>
            <w:numPr>
              <w:ilvl w:val="0"/>
              <w:numId w:val="52"/>
            </w:numPr>
            <w:tabs>
              <w:tab w:val="left" w:pos="601"/>
              <w:tab w:val="left" w:pos="602"/>
              <w:tab w:val="left" w:pos="9215"/>
            </w:tabs>
            <w:spacing w:before="34"/>
            <w:ind w:hanging="481"/>
          </w:pPr>
          <w:hyperlink w:anchor="_bookmark434" w:history="1">
            <w:r>
              <w:t>Indemnizaciones</w:t>
            </w:r>
            <w:r>
              <w:rPr>
                <w:spacing w:val="-5"/>
              </w:rPr>
              <w:t xml:space="preserve"> </w:t>
            </w:r>
            <w:r>
              <w:t>compensatorias</w:t>
            </w:r>
            <w:r>
              <w:tab/>
              <w:t>81</w:t>
            </w:r>
          </w:hyperlink>
        </w:p>
        <w:p w14:paraId="23B089FF" w14:textId="77777777" w:rsidR="00467FCA" w:rsidRDefault="001B68EB">
          <w:pPr>
            <w:pStyle w:val="TDC2"/>
            <w:numPr>
              <w:ilvl w:val="1"/>
              <w:numId w:val="52"/>
            </w:numPr>
            <w:tabs>
              <w:tab w:val="left" w:pos="898"/>
              <w:tab w:val="left" w:pos="9243"/>
            </w:tabs>
            <w:spacing w:before="31"/>
            <w:ind w:left="897" w:hanging="537"/>
          </w:pPr>
          <w:hyperlink w:anchor="_bookmark435" w:history="1">
            <w:r>
              <w:t>Daños</w:t>
            </w:r>
            <w:r>
              <w:rPr>
                <w:spacing w:val="-1"/>
              </w:rPr>
              <w:t xml:space="preserve"> </w:t>
            </w:r>
            <w:r>
              <w:t>materia</w:t>
            </w:r>
            <w:r>
              <w:t>les</w:t>
            </w:r>
            <w:r>
              <w:tab/>
              <w:t>81</w:t>
            </w:r>
          </w:hyperlink>
        </w:p>
        <w:p w14:paraId="46AABF99" w14:textId="77777777" w:rsidR="00467FCA" w:rsidRDefault="001B68EB">
          <w:pPr>
            <w:pStyle w:val="TDC2"/>
            <w:numPr>
              <w:ilvl w:val="1"/>
              <w:numId w:val="52"/>
            </w:numPr>
            <w:tabs>
              <w:tab w:val="left" w:pos="898"/>
              <w:tab w:val="left" w:pos="9244"/>
            </w:tabs>
            <w:ind w:left="897" w:hanging="537"/>
          </w:pPr>
          <w:hyperlink w:anchor="_bookmark442" w:history="1">
            <w:r>
              <w:t>Daños</w:t>
            </w:r>
            <w:r>
              <w:rPr>
                <w:spacing w:val="-1"/>
              </w:rPr>
              <w:t xml:space="preserve"> </w:t>
            </w:r>
            <w:r>
              <w:t>inmateriales</w:t>
            </w:r>
            <w:r>
              <w:tab/>
              <w:t>83</w:t>
            </w:r>
          </w:hyperlink>
        </w:p>
        <w:p w14:paraId="1F8520C2" w14:textId="77777777" w:rsidR="00467FCA" w:rsidRDefault="001B68EB">
          <w:pPr>
            <w:pStyle w:val="TDC1"/>
            <w:numPr>
              <w:ilvl w:val="0"/>
              <w:numId w:val="52"/>
            </w:numPr>
            <w:tabs>
              <w:tab w:val="left" w:pos="601"/>
              <w:tab w:val="left" w:pos="602"/>
              <w:tab w:val="left" w:pos="9215"/>
            </w:tabs>
            <w:ind w:hanging="481"/>
          </w:pPr>
          <w:hyperlink w:anchor="_bookmark445" w:history="1">
            <w:r>
              <w:t>Costas</w:t>
            </w:r>
            <w:r>
              <w:rPr>
                <w:spacing w:val="-3"/>
              </w:rPr>
              <w:t xml:space="preserve"> </w:t>
            </w:r>
            <w:r>
              <w:t>y</w:t>
            </w:r>
            <w:r>
              <w:rPr>
                <w:spacing w:val="-1"/>
              </w:rPr>
              <w:t xml:space="preserve"> </w:t>
            </w:r>
            <w:r>
              <w:t>gastos</w:t>
            </w:r>
            <w:r>
              <w:tab/>
              <w:t>84</w:t>
            </w:r>
          </w:hyperlink>
        </w:p>
        <w:p w14:paraId="51467397" w14:textId="77777777" w:rsidR="00467FCA" w:rsidRPr="00AF39D7" w:rsidRDefault="001B68EB">
          <w:pPr>
            <w:pStyle w:val="TDC1"/>
            <w:numPr>
              <w:ilvl w:val="0"/>
              <w:numId w:val="52"/>
            </w:numPr>
            <w:tabs>
              <w:tab w:val="left" w:pos="601"/>
              <w:tab w:val="left" w:pos="602"/>
              <w:tab w:val="left" w:pos="9215"/>
            </w:tabs>
            <w:ind w:hanging="481"/>
            <w:rPr>
              <w:lang w:val="es-AR"/>
            </w:rPr>
          </w:pPr>
          <w:hyperlink w:anchor="_bookmark449" w:history="1">
            <w:r w:rsidRPr="00AF39D7">
              <w:rPr>
                <w:lang w:val="es-AR"/>
              </w:rPr>
              <w:t>Modalidad de cumplimiento de los</w:t>
            </w:r>
            <w:r w:rsidRPr="00AF39D7">
              <w:rPr>
                <w:spacing w:val="-16"/>
                <w:lang w:val="es-AR"/>
              </w:rPr>
              <w:t xml:space="preserve"> </w:t>
            </w:r>
            <w:r w:rsidRPr="00AF39D7">
              <w:rPr>
                <w:lang w:val="es-AR"/>
              </w:rPr>
              <w:t>pagos</w:t>
            </w:r>
            <w:r w:rsidRPr="00AF39D7">
              <w:rPr>
                <w:spacing w:val="-5"/>
                <w:lang w:val="es-AR"/>
              </w:rPr>
              <w:t xml:space="preserve"> </w:t>
            </w:r>
            <w:r w:rsidRPr="00AF39D7">
              <w:rPr>
                <w:lang w:val="es-AR"/>
              </w:rPr>
              <w:t>ordenados</w:t>
            </w:r>
            <w:r w:rsidRPr="00AF39D7">
              <w:rPr>
                <w:lang w:val="es-AR"/>
              </w:rPr>
              <w:tab/>
              <w:t>86</w:t>
            </w:r>
          </w:hyperlink>
        </w:p>
        <w:p w14:paraId="16CD3BC7" w14:textId="77777777" w:rsidR="00467FCA" w:rsidRDefault="001B68EB">
          <w:pPr>
            <w:pStyle w:val="TDC1"/>
            <w:numPr>
              <w:ilvl w:val="0"/>
              <w:numId w:val="61"/>
            </w:numPr>
            <w:tabs>
              <w:tab w:val="left" w:pos="322"/>
              <w:tab w:val="left" w:pos="9215"/>
            </w:tabs>
            <w:spacing w:before="34"/>
            <w:ind w:left="321" w:hanging="201"/>
          </w:pPr>
          <w:hyperlink w:anchor="_bookmark450" w:history="1">
            <w:r>
              <w:t>PUNTOS</w:t>
            </w:r>
            <w:r>
              <w:rPr>
                <w:spacing w:val="-3"/>
              </w:rPr>
              <w:t xml:space="preserve"> </w:t>
            </w:r>
            <w:r>
              <w:t>RESOLUTIVOS</w:t>
            </w:r>
            <w:r>
              <w:tab/>
              <w:t>86</w:t>
            </w:r>
          </w:hyperlink>
        </w:p>
        <w:p w14:paraId="5A7B058D" w14:textId="77777777" w:rsidR="00467FCA" w:rsidRDefault="001B68EB">
          <w:pPr>
            <w:pStyle w:val="TDC1"/>
            <w:tabs>
              <w:tab w:val="left" w:pos="9215"/>
            </w:tabs>
            <w:ind w:left="121" w:firstLine="0"/>
          </w:pPr>
          <w:hyperlink w:anchor="_bookmark451" w:history="1">
            <w:r>
              <w:t>ANEXO</w:t>
            </w:r>
            <w:r>
              <w:rPr>
                <w:spacing w:val="-1"/>
              </w:rPr>
              <w:t xml:space="preserve"> </w:t>
            </w:r>
            <w:r>
              <w:t>1.</w:t>
            </w:r>
            <w:r>
              <w:tab/>
              <w:t>91</w:t>
            </w:r>
          </w:hyperlink>
        </w:p>
        <w:p w14:paraId="3C90DE45" w14:textId="77777777" w:rsidR="00467FCA" w:rsidRDefault="001B68EB">
          <w:pPr>
            <w:pStyle w:val="TDC1"/>
            <w:tabs>
              <w:tab w:val="left" w:pos="9215"/>
            </w:tabs>
            <w:spacing w:before="31"/>
            <w:ind w:left="121" w:firstLine="0"/>
          </w:pPr>
          <w:hyperlink w:anchor="_bookmark512" w:history="1">
            <w:r>
              <w:t>ANEXO</w:t>
            </w:r>
            <w:r>
              <w:rPr>
                <w:spacing w:val="-1"/>
              </w:rPr>
              <w:t xml:space="preserve"> </w:t>
            </w:r>
            <w:r>
              <w:t>2.</w:t>
            </w:r>
            <w:r>
              <w:tab/>
              <w:t>97</w:t>
            </w:r>
          </w:hyperlink>
        </w:p>
      </w:sdtContent>
    </w:sdt>
    <w:p w14:paraId="1CABD410" w14:textId="77777777" w:rsidR="00467FCA" w:rsidRDefault="00467FCA">
      <w:pPr>
        <w:sectPr w:rsidR="00467FCA">
          <w:type w:val="continuous"/>
          <w:pgSz w:w="12240" w:h="15840"/>
          <w:pgMar w:top="1360" w:right="1320" w:bottom="1820" w:left="1320" w:header="720" w:footer="720" w:gutter="0"/>
          <w:cols w:space="720"/>
        </w:sectPr>
      </w:pPr>
    </w:p>
    <w:p w14:paraId="06F318DF" w14:textId="77777777" w:rsidR="00467FCA" w:rsidRDefault="001B68EB">
      <w:pPr>
        <w:spacing w:before="80"/>
        <w:ind w:right="1"/>
        <w:jc w:val="center"/>
        <w:rPr>
          <w:b/>
          <w:sz w:val="20"/>
        </w:rPr>
      </w:pPr>
      <w:bookmarkStart w:id="1" w:name="I_INTRODUCCIÓN_DE_LA_CAUSA_Y_OBJETO_DE_L"/>
      <w:bookmarkStart w:id="2" w:name="_bookmark0"/>
      <w:bookmarkEnd w:id="1"/>
      <w:bookmarkEnd w:id="2"/>
      <w:r>
        <w:rPr>
          <w:b/>
          <w:w w:val="99"/>
          <w:sz w:val="20"/>
        </w:rPr>
        <w:t>I</w:t>
      </w:r>
    </w:p>
    <w:p w14:paraId="370DD930" w14:textId="77777777" w:rsidR="00467FCA" w:rsidRPr="00AF39D7" w:rsidRDefault="001B68EB">
      <w:pPr>
        <w:spacing w:before="36"/>
        <w:ind w:left="150" w:right="153"/>
        <w:jc w:val="center"/>
        <w:rPr>
          <w:b/>
          <w:sz w:val="20"/>
          <w:lang w:val="es-AR"/>
        </w:rPr>
      </w:pPr>
      <w:r w:rsidRPr="00AF39D7">
        <w:rPr>
          <w:b/>
          <w:sz w:val="20"/>
          <w:lang w:val="es-AR"/>
        </w:rPr>
        <w:t>INTRODUCCIÓN DE LA CAUSA Y OBJETO DE LA CONTROVERSIA</w:t>
      </w:r>
    </w:p>
    <w:p w14:paraId="2951C66E" w14:textId="77777777" w:rsidR="00467FCA" w:rsidRPr="00AF39D7" w:rsidRDefault="00467FCA">
      <w:pPr>
        <w:pStyle w:val="Textoindependiente"/>
        <w:rPr>
          <w:b/>
          <w:sz w:val="23"/>
          <w:lang w:val="es-AR"/>
        </w:rPr>
      </w:pPr>
    </w:p>
    <w:p w14:paraId="41362215" w14:textId="77777777" w:rsidR="00467FCA" w:rsidRPr="00AF39D7" w:rsidRDefault="001B68EB">
      <w:pPr>
        <w:pStyle w:val="Prrafodelista"/>
        <w:numPr>
          <w:ilvl w:val="0"/>
          <w:numId w:val="51"/>
        </w:numPr>
        <w:tabs>
          <w:tab w:val="left" w:pos="687"/>
        </w:tabs>
        <w:ind w:right="118" w:firstLine="0"/>
        <w:jc w:val="both"/>
        <w:rPr>
          <w:sz w:val="20"/>
          <w:lang w:val="es-AR"/>
        </w:rPr>
      </w:pPr>
      <w:r w:rsidRPr="00AF39D7">
        <w:rPr>
          <w:i/>
          <w:sz w:val="20"/>
          <w:lang w:val="es-AR"/>
        </w:rPr>
        <w:t>El</w:t>
      </w:r>
      <w:r w:rsidRPr="00AF39D7">
        <w:rPr>
          <w:i/>
          <w:spacing w:val="-11"/>
          <w:sz w:val="20"/>
          <w:lang w:val="es-AR"/>
        </w:rPr>
        <w:t xml:space="preserve"> </w:t>
      </w:r>
      <w:r w:rsidRPr="00AF39D7">
        <w:rPr>
          <w:i/>
          <w:sz w:val="20"/>
          <w:lang w:val="es-AR"/>
        </w:rPr>
        <w:t>caso</w:t>
      </w:r>
      <w:r w:rsidRPr="00AF39D7">
        <w:rPr>
          <w:i/>
          <w:spacing w:val="-9"/>
          <w:sz w:val="20"/>
          <w:lang w:val="es-AR"/>
        </w:rPr>
        <w:t xml:space="preserve"> </w:t>
      </w:r>
      <w:r w:rsidRPr="00AF39D7">
        <w:rPr>
          <w:i/>
          <w:sz w:val="20"/>
          <w:lang w:val="es-AR"/>
        </w:rPr>
        <w:t>sometido</w:t>
      </w:r>
      <w:r w:rsidRPr="00AF39D7">
        <w:rPr>
          <w:i/>
          <w:spacing w:val="-9"/>
          <w:sz w:val="20"/>
          <w:lang w:val="es-AR"/>
        </w:rPr>
        <w:t xml:space="preserve"> </w:t>
      </w:r>
      <w:r w:rsidRPr="00AF39D7">
        <w:rPr>
          <w:i/>
          <w:sz w:val="20"/>
          <w:lang w:val="es-AR"/>
        </w:rPr>
        <w:t>a</w:t>
      </w:r>
      <w:r w:rsidRPr="00AF39D7">
        <w:rPr>
          <w:i/>
          <w:spacing w:val="-10"/>
          <w:sz w:val="20"/>
          <w:lang w:val="es-AR"/>
        </w:rPr>
        <w:t xml:space="preserve"> </w:t>
      </w:r>
      <w:r w:rsidRPr="00AF39D7">
        <w:rPr>
          <w:i/>
          <w:sz w:val="20"/>
          <w:lang w:val="es-AR"/>
        </w:rPr>
        <w:t>la</w:t>
      </w:r>
      <w:r w:rsidRPr="00AF39D7">
        <w:rPr>
          <w:i/>
          <w:spacing w:val="-10"/>
          <w:sz w:val="20"/>
          <w:lang w:val="es-AR"/>
        </w:rPr>
        <w:t xml:space="preserve"> </w:t>
      </w:r>
      <w:r w:rsidRPr="00AF39D7">
        <w:rPr>
          <w:i/>
          <w:sz w:val="20"/>
          <w:lang w:val="es-AR"/>
        </w:rPr>
        <w:t>Corte.</w:t>
      </w:r>
      <w:r w:rsidRPr="00AF39D7">
        <w:rPr>
          <w:i/>
          <w:spacing w:val="-8"/>
          <w:sz w:val="20"/>
          <w:lang w:val="es-AR"/>
        </w:rPr>
        <w:t xml:space="preserve"> </w:t>
      </w:r>
      <w:r w:rsidRPr="00AF39D7">
        <w:rPr>
          <w:sz w:val="20"/>
          <w:lang w:val="es-AR"/>
        </w:rPr>
        <w:t>–</w:t>
      </w:r>
      <w:r w:rsidRPr="00AF39D7">
        <w:rPr>
          <w:spacing w:val="-11"/>
          <w:sz w:val="20"/>
          <w:lang w:val="es-AR"/>
        </w:rPr>
        <w:t xml:space="preserve"> </w:t>
      </w:r>
      <w:r w:rsidRPr="00AF39D7">
        <w:rPr>
          <w:sz w:val="20"/>
          <w:lang w:val="es-AR"/>
        </w:rPr>
        <w:t>El</w:t>
      </w:r>
      <w:r w:rsidRPr="00AF39D7">
        <w:rPr>
          <w:spacing w:val="-10"/>
          <w:sz w:val="20"/>
          <w:lang w:val="es-AR"/>
        </w:rPr>
        <w:t xml:space="preserve"> </w:t>
      </w:r>
      <w:r w:rsidRPr="00AF39D7">
        <w:rPr>
          <w:sz w:val="20"/>
          <w:lang w:val="es-AR"/>
        </w:rPr>
        <w:t>19</w:t>
      </w:r>
      <w:r w:rsidRPr="00AF39D7">
        <w:rPr>
          <w:spacing w:val="-10"/>
          <w:sz w:val="20"/>
          <w:lang w:val="es-AR"/>
        </w:rPr>
        <w:t xml:space="preserve"> </w:t>
      </w:r>
      <w:r w:rsidRPr="00AF39D7">
        <w:rPr>
          <w:sz w:val="20"/>
          <w:lang w:val="es-AR"/>
        </w:rPr>
        <w:t>de</w:t>
      </w:r>
      <w:r w:rsidRPr="00AF39D7">
        <w:rPr>
          <w:spacing w:val="-9"/>
          <w:sz w:val="20"/>
          <w:lang w:val="es-AR"/>
        </w:rPr>
        <w:t xml:space="preserve"> </w:t>
      </w:r>
      <w:r w:rsidRPr="00AF39D7">
        <w:rPr>
          <w:sz w:val="20"/>
          <w:lang w:val="es-AR"/>
        </w:rPr>
        <w:t>septiembre</w:t>
      </w:r>
      <w:r w:rsidRPr="00AF39D7">
        <w:rPr>
          <w:spacing w:val="-11"/>
          <w:sz w:val="20"/>
          <w:lang w:val="es-AR"/>
        </w:rPr>
        <w:t xml:space="preserve"> </w:t>
      </w:r>
      <w:r w:rsidRPr="00AF39D7">
        <w:rPr>
          <w:sz w:val="20"/>
          <w:lang w:val="es-AR"/>
        </w:rPr>
        <w:t>de</w:t>
      </w:r>
      <w:r w:rsidRPr="00AF39D7">
        <w:rPr>
          <w:spacing w:val="-11"/>
          <w:sz w:val="20"/>
          <w:lang w:val="es-AR"/>
        </w:rPr>
        <w:t xml:space="preserve"> </w:t>
      </w:r>
      <w:r w:rsidRPr="00AF39D7">
        <w:rPr>
          <w:sz w:val="20"/>
          <w:lang w:val="es-AR"/>
        </w:rPr>
        <w:t>2018,</w:t>
      </w:r>
      <w:r w:rsidRPr="00AF39D7">
        <w:rPr>
          <w:spacing w:val="-8"/>
          <w:sz w:val="20"/>
          <w:lang w:val="es-AR"/>
        </w:rPr>
        <w:t xml:space="preserve"> </w:t>
      </w:r>
      <w:r w:rsidRPr="00AF39D7">
        <w:rPr>
          <w:sz w:val="20"/>
          <w:lang w:val="es-AR"/>
        </w:rPr>
        <w:t>la</w:t>
      </w:r>
      <w:r w:rsidRPr="00AF39D7">
        <w:rPr>
          <w:spacing w:val="-10"/>
          <w:sz w:val="20"/>
          <w:lang w:val="es-AR"/>
        </w:rPr>
        <w:t xml:space="preserve"> </w:t>
      </w:r>
      <w:r w:rsidRPr="00AF39D7">
        <w:rPr>
          <w:sz w:val="20"/>
          <w:lang w:val="es-AR"/>
        </w:rPr>
        <w:t>Comisión</w:t>
      </w:r>
      <w:r w:rsidRPr="00AF39D7">
        <w:rPr>
          <w:spacing w:val="-8"/>
          <w:sz w:val="20"/>
          <w:lang w:val="es-AR"/>
        </w:rPr>
        <w:t xml:space="preserve"> </w:t>
      </w:r>
      <w:r w:rsidRPr="00AF39D7">
        <w:rPr>
          <w:sz w:val="20"/>
          <w:lang w:val="es-AR"/>
        </w:rPr>
        <w:t>Interamericana de</w:t>
      </w:r>
      <w:r w:rsidRPr="00AF39D7">
        <w:rPr>
          <w:spacing w:val="-8"/>
          <w:sz w:val="20"/>
          <w:lang w:val="es-AR"/>
        </w:rPr>
        <w:t xml:space="preserve"> </w:t>
      </w:r>
      <w:r w:rsidRPr="00AF39D7">
        <w:rPr>
          <w:sz w:val="20"/>
          <w:lang w:val="es-AR"/>
        </w:rPr>
        <w:t>Derechos</w:t>
      </w:r>
      <w:r w:rsidRPr="00AF39D7">
        <w:rPr>
          <w:spacing w:val="-5"/>
          <w:sz w:val="20"/>
          <w:lang w:val="es-AR"/>
        </w:rPr>
        <w:t xml:space="preserve"> </w:t>
      </w:r>
      <w:r w:rsidRPr="00AF39D7">
        <w:rPr>
          <w:sz w:val="20"/>
          <w:lang w:val="es-AR"/>
        </w:rPr>
        <w:t>Humanos</w:t>
      </w:r>
      <w:r w:rsidRPr="00AF39D7">
        <w:rPr>
          <w:spacing w:val="-4"/>
          <w:sz w:val="20"/>
          <w:lang w:val="es-AR"/>
        </w:rPr>
        <w:t xml:space="preserve"> </w:t>
      </w:r>
      <w:r w:rsidRPr="00AF39D7">
        <w:rPr>
          <w:sz w:val="20"/>
          <w:lang w:val="es-AR"/>
        </w:rPr>
        <w:t>(en</w:t>
      </w:r>
      <w:r w:rsidRPr="00AF39D7">
        <w:rPr>
          <w:spacing w:val="-5"/>
          <w:sz w:val="20"/>
          <w:lang w:val="es-AR"/>
        </w:rPr>
        <w:t xml:space="preserve"> </w:t>
      </w:r>
      <w:r w:rsidRPr="00AF39D7">
        <w:rPr>
          <w:sz w:val="20"/>
          <w:lang w:val="es-AR"/>
        </w:rPr>
        <w:t>adelante</w:t>
      </w:r>
      <w:r w:rsidRPr="00AF39D7">
        <w:rPr>
          <w:spacing w:val="-7"/>
          <w:sz w:val="20"/>
          <w:lang w:val="es-AR"/>
        </w:rPr>
        <w:t xml:space="preserve"> </w:t>
      </w:r>
      <w:r w:rsidRPr="00AF39D7">
        <w:rPr>
          <w:sz w:val="20"/>
          <w:lang w:val="es-AR"/>
        </w:rPr>
        <w:t>“la</w:t>
      </w:r>
      <w:r w:rsidRPr="00AF39D7">
        <w:rPr>
          <w:spacing w:val="-4"/>
          <w:sz w:val="20"/>
          <w:lang w:val="es-AR"/>
        </w:rPr>
        <w:t xml:space="preserve"> </w:t>
      </w:r>
      <w:r w:rsidRPr="00AF39D7">
        <w:rPr>
          <w:sz w:val="20"/>
          <w:lang w:val="es-AR"/>
        </w:rPr>
        <w:t>Comisión</w:t>
      </w:r>
      <w:r w:rsidRPr="00AF39D7">
        <w:rPr>
          <w:spacing w:val="-4"/>
          <w:sz w:val="20"/>
          <w:lang w:val="es-AR"/>
        </w:rPr>
        <w:t xml:space="preserve"> </w:t>
      </w:r>
      <w:r w:rsidRPr="00AF39D7">
        <w:rPr>
          <w:sz w:val="20"/>
          <w:lang w:val="es-AR"/>
        </w:rPr>
        <w:t>Interamericana”</w:t>
      </w:r>
      <w:r w:rsidRPr="00AF39D7">
        <w:rPr>
          <w:spacing w:val="-4"/>
          <w:sz w:val="20"/>
          <w:lang w:val="es-AR"/>
        </w:rPr>
        <w:t xml:space="preserve"> </w:t>
      </w:r>
      <w:r w:rsidRPr="00AF39D7">
        <w:rPr>
          <w:sz w:val="20"/>
          <w:lang w:val="es-AR"/>
        </w:rPr>
        <w:t>o</w:t>
      </w:r>
      <w:r w:rsidRPr="00AF39D7">
        <w:rPr>
          <w:spacing w:val="-4"/>
          <w:sz w:val="20"/>
          <w:lang w:val="es-AR"/>
        </w:rPr>
        <w:t xml:space="preserve"> </w:t>
      </w:r>
      <w:r w:rsidRPr="00AF39D7">
        <w:rPr>
          <w:sz w:val="20"/>
          <w:lang w:val="es-AR"/>
        </w:rPr>
        <w:t>“la</w:t>
      </w:r>
      <w:r w:rsidRPr="00AF39D7">
        <w:rPr>
          <w:spacing w:val="-4"/>
          <w:sz w:val="20"/>
          <w:lang w:val="es-AR"/>
        </w:rPr>
        <w:t xml:space="preserve"> </w:t>
      </w:r>
      <w:r w:rsidRPr="00AF39D7">
        <w:rPr>
          <w:sz w:val="20"/>
          <w:lang w:val="es-AR"/>
        </w:rPr>
        <w:t>Comisión”)</w:t>
      </w:r>
      <w:r w:rsidRPr="00AF39D7">
        <w:rPr>
          <w:spacing w:val="-6"/>
          <w:sz w:val="20"/>
          <w:lang w:val="es-AR"/>
        </w:rPr>
        <w:t xml:space="preserve"> </w:t>
      </w:r>
      <w:r w:rsidRPr="00AF39D7">
        <w:rPr>
          <w:sz w:val="20"/>
          <w:lang w:val="es-AR"/>
        </w:rPr>
        <w:t>sometió</w:t>
      </w:r>
      <w:r w:rsidRPr="00AF39D7">
        <w:rPr>
          <w:spacing w:val="-7"/>
          <w:sz w:val="20"/>
          <w:lang w:val="es-AR"/>
        </w:rPr>
        <w:t xml:space="preserve"> </w:t>
      </w:r>
      <w:r w:rsidRPr="00AF39D7">
        <w:rPr>
          <w:sz w:val="20"/>
          <w:lang w:val="es-AR"/>
        </w:rPr>
        <w:t>a la</w:t>
      </w:r>
      <w:r w:rsidRPr="00AF39D7">
        <w:rPr>
          <w:spacing w:val="-15"/>
          <w:sz w:val="20"/>
          <w:lang w:val="es-AR"/>
        </w:rPr>
        <w:t xml:space="preserve"> </w:t>
      </w:r>
      <w:r w:rsidRPr="00AF39D7">
        <w:rPr>
          <w:sz w:val="20"/>
          <w:lang w:val="es-AR"/>
        </w:rPr>
        <w:t>jurisdicción</w:t>
      </w:r>
      <w:r w:rsidRPr="00AF39D7">
        <w:rPr>
          <w:spacing w:val="-14"/>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la</w:t>
      </w:r>
      <w:r w:rsidRPr="00AF39D7">
        <w:rPr>
          <w:spacing w:val="-14"/>
          <w:sz w:val="20"/>
          <w:lang w:val="es-AR"/>
        </w:rPr>
        <w:t xml:space="preserve"> </w:t>
      </w:r>
      <w:r w:rsidRPr="00AF39D7">
        <w:rPr>
          <w:sz w:val="20"/>
          <w:lang w:val="es-AR"/>
        </w:rPr>
        <w:t>Corte</w:t>
      </w:r>
      <w:r w:rsidRPr="00AF39D7">
        <w:rPr>
          <w:spacing w:val="-16"/>
          <w:sz w:val="20"/>
          <w:lang w:val="es-AR"/>
        </w:rPr>
        <w:t xml:space="preserve"> </w:t>
      </w:r>
      <w:r w:rsidRPr="00AF39D7">
        <w:rPr>
          <w:sz w:val="20"/>
          <w:lang w:val="es-AR"/>
        </w:rPr>
        <w:t>Interamericana</w:t>
      </w:r>
      <w:r w:rsidRPr="00AF39D7">
        <w:rPr>
          <w:spacing w:val="-15"/>
          <w:sz w:val="20"/>
          <w:lang w:val="es-AR"/>
        </w:rPr>
        <w:t xml:space="preserve"> </w:t>
      </w:r>
      <w:r w:rsidRPr="00AF39D7">
        <w:rPr>
          <w:sz w:val="20"/>
          <w:lang w:val="es-AR"/>
        </w:rPr>
        <w:t>el</w:t>
      </w:r>
      <w:r w:rsidRPr="00AF39D7">
        <w:rPr>
          <w:spacing w:val="-13"/>
          <w:sz w:val="20"/>
          <w:lang w:val="es-AR"/>
        </w:rPr>
        <w:t xml:space="preserve"> </w:t>
      </w:r>
      <w:r w:rsidRPr="00AF39D7">
        <w:rPr>
          <w:i/>
          <w:sz w:val="20"/>
          <w:lang w:val="es-AR"/>
        </w:rPr>
        <w:t>Caso</w:t>
      </w:r>
      <w:r w:rsidRPr="00AF39D7">
        <w:rPr>
          <w:i/>
          <w:spacing w:val="-15"/>
          <w:sz w:val="20"/>
          <w:lang w:val="es-AR"/>
        </w:rPr>
        <w:t xml:space="preserve"> </w:t>
      </w:r>
      <w:r w:rsidRPr="00AF39D7">
        <w:rPr>
          <w:i/>
          <w:sz w:val="20"/>
          <w:lang w:val="es-AR"/>
        </w:rPr>
        <w:t>Empleados</w:t>
      </w:r>
      <w:r w:rsidRPr="00AF39D7">
        <w:rPr>
          <w:i/>
          <w:spacing w:val="-16"/>
          <w:sz w:val="20"/>
          <w:lang w:val="es-AR"/>
        </w:rPr>
        <w:t xml:space="preserve"> </w:t>
      </w:r>
      <w:r w:rsidRPr="00AF39D7">
        <w:rPr>
          <w:i/>
          <w:sz w:val="20"/>
          <w:lang w:val="es-AR"/>
        </w:rPr>
        <w:t>de</w:t>
      </w:r>
      <w:r w:rsidRPr="00AF39D7">
        <w:rPr>
          <w:i/>
          <w:spacing w:val="-16"/>
          <w:sz w:val="20"/>
          <w:lang w:val="es-AR"/>
        </w:rPr>
        <w:t xml:space="preserve"> </w:t>
      </w:r>
      <w:r w:rsidRPr="00AF39D7">
        <w:rPr>
          <w:i/>
          <w:sz w:val="20"/>
          <w:lang w:val="es-AR"/>
        </w:rPr>
        <w:t>la</w:t>
      </w:r>
      <w:r w:rsidRPr="00AF39D7">
        <w:rPr>
          <w:i/>
          <w:spacing w:val="-11"/>
          <w:sz w:val="20"/>
          <w:lang w:val="es-AR"/>
        </w:rPr>
        <w:t xml:space="preserve"> </w:t>
      </w:r>
      <w:r w:rsidRPr="00AF39D7">
        <w:rPr>
          <w:i/>
          <w:sz w:val="20"/>
          <w:lang w:val="es-AR"/>
        </w:rPr>
        <w:t>Fábrica</w:t>
      </w:r>
      <w:r w:rsidRPr="00AF39D7">
        <w:rPr>
          <w:i/>
          <w:spacing w:val="-15"/>
          <w:sz w:val="20"/>
          <w:lang w:val="es-AR"/>
        </w:rPr>
        <w:t xml:space="preserve"> </w:t>
      </w:r>
      <w:r w:rsidRPr="00AF39D7">
        <w:rPr>
          <w:i/>
          <w:sz w:val="20"/>
          <w:lang w:val="es-AR"/>
        </w:rPr>
        <w:t>de</w:t>
      </w:r>
      <w:r w:rsidRPr="00AF39D7">
        <w:rPr>
          <w:i/>
          <w:spacing w:val="-14"/>
          <w:sz w:val="20"/>
          <w:lang w:val="es-AR"/>
        </w:rPr>
        <w:t xml:space="preserve"> </w:t>
      </w:r>
      <w:r w:rsidRPr="00AF39D7">
        <w:rPr>
          <w:i/>
          <w:sz w:val="20"/>
          <w:lang w:val="es-AR"/>
        </w:rPr>
        <w:t>Fuegos</w:t>
      </w:r>
      <w:r w:rsidRPr="00AF39D7">
        <w:rPr>
          <w:i/>
          <w:spacing w:val="-13"/>
          <w:sz w:val="20"/>
          <w:lang w:val="es-AR"/>
        </w:rPr>
        <w:t xml:space="preserve"> </w:t>
      </w:r>
      <w:r w:rsidRPr="00AF39D7">
        <w:rPr>
          <w:i/>
          <w:sz w:val="20"/>
          <w:lang w:val="es-AR"/>
        </w:rPr>
        <w:t>en</w:t>
      </w:r>
      <w:r w:rsidRPr="00AF39D7">
        <w:rPr>
          <w:i/>
          <w:spacing w:val="-13"/>
          <w:sz w:val="20"/>
          <w:lang w:val="es-AR"/>
        </w:rPr>
        <w:t xml:space="preserve"> </w:t>
      </w:r>
      <w:r w:rsidRPr="00AF39D7">
        <w:rPr>
          <w:i/>
          <w:sz w:val="20"/>
          <w:lang w:val="es-AR"/>
        </w:rPr>
        <w:t xml:space="preserve">Santo </w:t>
      </w:r>
      <w:r w:rsidRPr="00AF39D7">
        <w:rPr>
          <w:i/>
          <w:sz w:val="20"/>
          <w:lang w:val="es-AR"/>
        </w:rPr>
        <w:t xml:space="preserve">Antônio de Jesus y sus familiares contra la República Federativa de Brasil </w:t>
      </w:r>
      <w:r w:rsidRPr="00AF39D7">
        <w:rPr>
          <w:sz w:val="20"/>
          <w:lang w:val="es-AR"/>
        </w:rPr>
        <w:t>(en adelante “el Estado” o “Brasil”). De acuerdo con la Comisión Interamericana, el caso se relaciona con la explosión de una fábrica de fuegos artificiales en Santo Antônio de Jesu</w:t>
      </w:r>
      <w:r w:rsidRPr="00AF39D7">
        <w:rPr>
          <w:sz w:val="20"/>
          <w:lang w:val="es-AR"/>
        </w:rPr>
        <w:t>s, ocurrida el 11 de diciembre</w:t>
      </w:r>
      <w:r w:rsidRPr="00AF39D7">
        <w:rPr>
          <w:spacing w:val="-9"/>
          <w:sz w:val="20"/>
          <w:lang w:val="es-AR"/>
        </w:rPr>
        <w:t xml:space="preserve"> </w:t>
      </w:r>
      <w:r w:rsidRPr="00AF39D7">
        <w:rPr>
          <w:sz w:val="20"/>
          <w:lang w:val="es-AR"/>
        </w:rPr>
        <w:t>de</w:t>
      </w:r>
      <w:r w:rsidRPr="00AF39D7">
        <w:rPr>
          <w:spacing w:val="-7"/>
          <w:sz w:val="20"/>
          <w:lang w:val="es-AR"/>
        </w:rPr>
        <w:t xml:space="preserve"> </w:t>
      </w:r>
      <w:r w:rsidRPr="00AF39D7">
        <w:rPr>
          <w:sz w:val="20"/>
          <w:lang w:val="es-AR"/>
        </w:rPr>
        <w:t>1998,</w:t>
      </w:r>
      <w:r w:rsidRPr="00AF39D7">
        <w:rPr>
          <w:spacing w:val="-6"/>
          <w:sz w:val="20"/>
          <w:lang w:val="es-AR"/>
        </w:rPr>
        <w:t xml:space="preserve"> </w:t>
      </w:r>
      <w:r w:rsidRPr="00AF39D7">
        <w:rPr>
          <w:sz w:val="20"/>
          <w:lang w:val="es-AR"/>
        </w:rPr>
        <w:t>en</w:t>
      </w:r>
      <w:r w:rsidRPr="00AF39D7">
        <w:rPr>
          <w:spacing w:val="-7"/>
          <w:sz w:val="20"/>
          <w:lang w:val="es-AR"/>
        </w:rPr>
        <w:t xml:space="preserve"> </w:t>
      </w:r>
      <w:r w:rsidRPr="00AF39D7">
        <w:rPr>
          <w:sz w:val="20"/>
          <w:lang w:val="es-AR"/>
        </w:rPr>
        <w:t>la</w:t>
      </w:r>
      <w:r w:rsidRPr="00AF39D7">
        <w:rPr>
          <w:spacing w:val="-8"/>
          <w:sz w:val="20"/>
          <w:lang w:val="es-AR"/>
        </w:rPr>
        <w:t xml:space="preserve"> </w:t>
      </w:r>
      <w:r w:rsidRPr="00AF39D7">
        <w:rPr>
          <w:sz w:val="20"/>
          <w:lang w:val="es-AR"/>
        </w:rPr>
        <w:t>que</w:t>
      </w:r>
      <w:r w:rsidRPr="00AF39D7">
        <w:rPr>
          <w:spacing w:val="-9"/>
          <w:sz w:val="20"/>
          <w:lang w:val="es-AR"/>
        </w:rPr>
        <w:t xml:space="preserve"> </w:t>
      </w:r>
      <w:r w:rsidRPr="00AF39D7">
        <w:rPr>
          <w:sz w:val="20"/>
          <w:lang w:val="es-AR"/>
        </w:rPr>
        <w:t>murieron</w:t>
      </w:r>
      <w:r w:rsidRPr="00AF39D7">
        <w:rPr>
          <w:spacing w:val="-4"/>
          <w:sz w:val="20"/>
          <w:lang w:val="es-AR"/>
        </w:rPr>
        <w:t xml:space="preserve"> </w:t>
      </w:r>
      <w:r w:rsidRPr="00AF39D7">
        <w:rPr>
          <w:sz w:val="20"/>
          <w:lang w:val="es-AR"/>
        </w:rPr>
        <w:t>64</w:t>
      </w:r>
      <w:r w:rsidRPr="00AF39D7">
        <w:rPr>
          <w:spacing w:val="-7"/>
          <w:sz w:val="20"/>
          <w:lang w:val="es-AR"/>
        </w:rPr>
        <w:t xml:space="preserve"> </w:t>
      </w:r>
      <w:r w:rsidRPr="00AF39D7">
        <w:rPr>
          <w:sz w:val="20"/>
          <w:lang w:val="es-AR"/>
        </w:rPr>
        <w:t>personas</w:t>
      </w:r>
      <w:r w:rsidRPr="00AF39D7">
        <w:rPr>
          <w:spacing w:val="-5"/>
          <w:sz w:val="20"/>
          <w:lang w:val="es-AR"/>
        </w:rPr>
        <w:t xml:space="preserve"> </w:t>
      </w:r>
      <w:r w:rsidRPr="00AF39D7">
        <w:rPr>
          <w:sz w:val="20"/>
          <w:lang w:val="es-AR"/>
        </w:rPr>
        <w:t>y</w:t>
      </w:r>
      <w:r w:rsidRPr="00AF39D7">
        <w:rPr>
          <w:spacing w:val="-6"/>
          <w:sz w:val="20"/>
          <w:lang w:val="es-AR"/>
        </w:rPr>
        <w:t xml:space="preserve"> </w:t>
      </w:r>
      <w:r w:rsidRPr="00AF39D7">
        <w:rPr>
          <w:sz w:val="20"/>
          <w:lang w:val="es-AR"/>
        </w:rPr>
        <w:t>seis</w:t>
      </w:r>
      <w:r w:rsidRPr="00AF39D7">
        <w:rPr>
          <w:spacing w:val="-6"/>
          <w:sz w:val="20"/>
          <w:lang w:val="es-AR"/>
        </w:rPr>
        <w:t xml:space="preserve"> </w:t>
      </w:r>
      <w:r w:rsidRPr="00AF39D7">
        <w:rPr>
          <w:sz w:val="20"/>
          <w:lang w:val="es-AR"/>
        </w:rPr>
        <w:t>sobrevivieron,</w:t>
      </w:r>
      <w:r w:rsidRPr="00AF39D7">
        <w:rPr>
          <w:spacing w:val="-8"/>
          <w:sz w:val="20"/>
          <w:lang w:val="es-AR"/>
        </w:rPr>
        <w:t xml:space="preserve"> </w:t>
      </w:r>
      <w:r w:rsidRPr="00AF39D7">
        <w:rPr>
          <w:sz w:val="20"/>
          <w:lang w:val="es-AR"/>
        </w:rPr>
        <w:t>entre</w:t>
      </w:r>
      <w:r w:rsidRPr="00AF39D7">
        <w:rPr>
          <w:spacing w:val="-7"/>
          <w:sz w:val="20"/>
          <w:lang w:val="es-AR"/>
        </w:rPr>
        <w:t xml:space="preserve"> </w:t>
      </w:r>
      <w:r w:rsidRPr="00AF39D7">
        <w:rPr>
          <w:sz w:val="20"/>
          <w:lang w:val="es-AR"/>
        </w:rPr>
        <w:t>ellos</w:t>
      </w:r>
      <w:r w:rsidRPr="00AF39D7">
        <w:rPr>
          <w:spacing w:val="-9"/>
          <w:sz w:val="20"/>
          <w:lang w:val="es-AR"/>
        </w:rPr>
        <w:t xml:space="preserve"> </w:t>
      </w:r>
      <w:r w:rsidRPr="00AF39D7">
        <w:rPr>
          <w:sz w:val="20"/>
          <w:lang w:val="es-AR"/>
        </w:rPr>
        <w:t>22</w:t>
      </w:r>
      <w:r w:rsidRPr="00AF39D7">
        <w:rPr>
          <w:spacing w:val="-5"/>
          <w:sz w:val="20"/>
          <w:lang w:val="es-AR"/>
        </w:rPr>
        <w:t xml:space="preserve"> </w:t>
      </w:r>
      <w:r w:rsidRPr="00AF39D7">
        <w:rPr>
          <w:sz w:val="20"/>
          <w:lang w:val="es-AR"/>
        </w:rPr>
        <w:t>niños y</w:t>
      </w:r>
      <w:r w:rsidRPr="00AF39D7">
        <w:rPr>
          <w:spacing w:val="-6"/>
          <w:sz w:val="20"/>
          <w:lang w:val="es-AR"/>
        </w:rPr>
        <w:t xml:space="preserve"> </w:t>
      </w:r>
      <w:r w:rsidRPr="00AF39D7">
        <w:rPr>
          <w:sz w:val="20"/>
          <w:lang w:val="es-AR"/>
        </w:rPr>
        <w:t>niñas.</w:t>
      </w:r>
      <w:r w:rsidRPr="00AF39D7">
        <w:rPr>
          <w:spacing w:val="-6"/>
          <w:sz w:val="20"/>
          <w:lang w:val="es-AR"/>
        </w:rPr>
        <w:t xml:space="preserve"> </w:t>
      </w:r>
      <w:r w:rsidRPr="00AF39D7">
        <w:rPr>
          <w:sz w:val="20"/>
          <w:lang w:val="es-AR"/>
        </w:rPr>
        <w:t>La</w:t>
      </w:r>
      <w:r w:rsidRPr="00AF39D7">
        <w:rPr>
          <w:spacing w:val="-5"/>
          <w:sz w:val="20"/>
          <w:lang w:val="es-AR"/>
        </w:rPr>
        <w:t xml:space="preserve"> </w:t>
      </w:r>
      <w:r w:rsidRPr="00AF39D7">
        <w:rPr>
          <w:sz w:val="20"/>
          <w:lang w:val="es-AR"/>
        </w:rPr>
        <w:t>Comisión</w:t>
      </w:r>
      <w:r w:rsidRPr="00AF39D7">
        <w:rPr>
          <w:spacing w:val="-4"/>
          <w:sz w:val="20"/>
          <w:lang w:val="es-AR"/>
        </w:rPr>
        <w:t xml:space="preserve"> </w:t>
      </w:r>
      <w:r w:rsidRPr="00AF39D7">
        <w:rPr>
          <w:sz w:val="20"/>
          <w:lang w:val="es-AR"/>
        </w:rPr>
        <w:t>determinó</w:t>
      </w:r>
      <w:r w:rsidRPr="00AF39D7">
        <w:rPr>
          <w:spacing w:val="-6"/>
          <w:sz w:val="20"/>
          <w:lang w:val="es-AR"/>
        </w:rPr>
        <w:t xml:space="preserve"> </w:t>
      </w:r>
      <w:r w:rsidRPr="00AF39D7">
        <w:rPr>
          <w:sz w:val="20"/>
          <w:lang w:val="es-AR"/>
        </w:rPr>
        <w:t>que</w:t>
      </w:r>
      <w:r w:rsidRPr="00AF39D7">
        <w:rPr>
          <w:spacing w:val="-7"/>
          <w:sz w:val="20"/>
          <w:lang w:val="es-AR"/>
        </w:rPr>
        <w:t xml:space="preserve"> </w:t>
      </w:r>
      <w:r w:rsidRPr="00AF39D7">
        <w:rPr>
          <w:sz w:val="20"/>
          <w:lang w:val="es-AR"/>
        </w:rPr>
        <w:t>el</w:t>
      </w:r>
      <w:r w:rsidRPr="00AF39D7">
        <w:rPr>
          <w:spacing w:val="-5"/>
          <w:sz w:val="20"/>
          <w:lang w:val="es-AR"/>
        </w:rPr>
        <w:t xml:space="preserve"> </w:t>
      </w:r>
      <w:r w:rsidRPr="00AF39D7">
        <w:rPr>
          <w:sz w:val="20"/>
          <w:lang w:val="es-AR"/>
        </w:rPr>
        <w:t>Estado</w:t>
      </w:r>
      <w:r w:rsidRPr="00AF39D7">
        <w:rPr>
          <w:spacing w:val="-5"/>
          <w:sz w:val="20"/>
          <w:lang w:val="es-AR"/>
        </w:rPr>
        <w:t xml:space="preserve"> </w:t>
      </w:r>
      <w:r w:rsidRPr="00AF39D7">
        <w:rPr>
          <w:sz w:val="20"/>
          <w:lang w:val="es-AR"/>
        </w:rPr>
        <w:t>violó:</w:t>
      </w:r>
      <w:r w:rsidRPr="00AF39D7">
        <w:rPr>
          <w:spacing w:val="-5"/>
          <w:sz w:val="20"/>
          <w:lang w:val="es-AR"/>
        </w:rPr>
        <w:t xml:space="preserve"> </w:t>
      </w:r>
      <w:r w:rsidRPr="00AF39D7">
        <w:rPr>
          <w:sz w:val="20"/>
          <w:lang w:val="es-AR"/>
        </w:rPr>
        <w:t>i)</w:t>
      </w:r>
      <w:r w:rsidRPr="00AF39D7">
        <w:rPr>
          <w:spacing w:val="-5"/>
          <w:sz w:val="20"/>
          <w:lang w:val="es-AR"/>
        </w:rPr>
        <w:t xml:space="preserve"> </w:t>
      </w:r>
      <w:r w:rsidRPr="00AF39D7">
        <w:rPr>
          <w:sz w:val="20"/>
          <w:lang w:val="es-AR"/>
        </w:rPr>
        <w:t>los</w:t>
      </w:r>
      <w:r w:rsidRPr="00AF39D7">
        <w:rPr>
          <w:spacing w:val="-6"/>
          <w:sz w:val="20"/>
          <w:lang w:val="es-AR"/>
        </w:rPr>
        <w:t xml:space="preserve"> </w:t>
      </w:r>
      <w:r w:rsidRPr="00AF39D7">
        <w:rPr>
          <w:sz w:val="20"/>
          <w:lang w:val="es-AR"/>
        </w:rPr>
        <w:t>derechos</w:t>
      </w:r>
      <w:r w:rsidRPr="00AF39D7">
        <w:rPr>
          <w:spacing w:val="-3"/>
          <w:sz w:val="20"/>
          <w:lang w:val="es-AR"/>
        </w:rPr>
        <w:t xml:space="preserve"> </w:t>
      </w:r>
      <w:r w:rsidRPr="00AF39D7">
        <w:rPr>
          <w:sz w:val="20"/>
          <w:lang w:val="es-AR"/>
        </w:rPr>
        <w:t>a</w:t>
      </w:r>
      <w:r w:rsidRPr="00AF39D7">
        <w:rPr>
          <w:spacing w:val="-5"/>
          <w:sz w:val="20"/>
          <w:lang w:val="es-AR"/>
        </w:rPr>
        <w:t xml:space="preserve"> </w:t>
      </w:r>
      <w:r w:rsidRPr="00AF39D7">
        <w:rPr>
          <w:sz w:val="20"/>
          <w:lang w:val="es-AR"/>
        </w:rPr>
        <w:t>la</w:t>
      </w:r>
      <w:r w:rsidRPr="00AF39D7">
        <w:rPr>
          <w:spacing w:val="-3"/>
          <w:sz w:val="20"/>
          <w:lang w:val="es-AR"/>
        </w:rPr>
        <w:t xml:space="preserve"> </w:t>
      </w:r>
      <w:r w:rsidRPr="00AF39D7">
        <w:rPr>
          <w:sz w:val="20"/>
          <w:lang w:val="es-AR"/>
        </w:rPr>
        <w:t>vida</w:t>
      </w:r>
      <w:r w:rsidRPr="00AF39D7">
        <w:rPr>
          <w:spacing w:val="-5"/>
          <w:sz w:val="20"/>
          <w:lang w:val="es-AR"/>
        </w:rPr>
        <w:t xml:space="preserve"> </w:t>
      </w:r>
      <w:r w:rsidRPr="00AF39D7">
        <w:rPr>
          <w:sz w:val="20"/>
          <w:lang w:val="es-AR"/>
        </w:rPr>
        <w:t>y</w:t>
      </w:r>
      <w:r w:rsidRPr="00AF39D7">
        <w:rPr>
          <w:spacing w:val="-6"/>
          <w:sz w:val="20"/>
          <w:lang w:val="es-AR"/>
        </w:rPr>
        <w:t xml:space="preserve"> </w:t>
      </w:r>
      <w:r w:rsidRPr="00AF39D7">
        <w:rPr>
          <w:sz w:val="20"/>
          <w:lang w:val="es-AR"/>
        </w:rPr>
        <w:t>a</w:t>
      </w:r>
      <w:r w:rsidRPr="00AF39D7">
        <w:rPr>
          <w:spacing w:val="-4"/>
          <w:sz w:val="20"/>
          <w:lang w:val="es-AR"/>
        </w:rPr>
        <w:t xml:space="preserve"> </w:t>
      </w:r>
      <w:r w:rsidRPr="00AF39D7">
        <w:rPr>
          <w:sz w:val="20"/>
          <w:lang w:val="es-AR"/>
        </w:rPr>
        <w:t>la</w:t>
      </w:r>
      <w:r w:rsidRPr="00AF39D7">
        <w:rPr>
          <w:spacing w:val="-5"/>
          <w:sz w:val="20"/>
          <w:lang w:val="es-AR"/>
        </w:rPr>
        <w:t xml:space="preserve"> </w:t>
      </w:r>
      <w:r w:rsidRPr="00AF39D7">
        <w:rPr>
          <w:sz w:val="20"/>
          <w:lang w:val="es-AR"/>
        </w:rPr>
        <w:t>integridad personal de las presuntas víctimas y sus familiares, pues no cumplió con sus obligaciones de inspección y fiscalización conforme a su legislación interna y al derecho internacional; ii) los derechos del niño; iii) el derecho al trabajo, pues con</w:t>
      </w:r>
      <w:r w:rsidRPr="00AF39D7">
        <w:rPr>
          <w:sz w:val="20"/>
          <w:lang w:val="es-AR"/>
        </w:rPr>
        <w:t>ocía que en la fábrica se estaban cometiendo graves irregularidades que implicaban un alto riesgo e inminente peligro para la vida</w:t>
      </w:r>
      <w:r w:rsidRPr="00AF39D7">
        <w:rPr>
          <w:spacing w:val="-15"/>
          <w:sz w:val="20"/>
          <w:lang w:val="es-AR"/>
        </w:rPr>
        <w:t xml:space="preserve"> </w:t>
      </w:r>
      <w:r w:rsidRPr="00AF39D7">
        <w:rPr>
          <w:sz w:val="20"/>
          <w:lang w:val="es-AR"/>
        </w:rPr>
        <w:t>e</w:t>
      </w:r>
      <w:r w:rsidRPr="00AF39D7">
        <w:rPr>
          <w:spacing w:val="-16"/>
          <w:sz w:val="20"/>
          <w:lang w:val="es-AR"/>
        </w:rPr>
        <w:t xml:space="preserve"> </w:t>
      </w:r>
      <w:r w:rsidRPr="00AF39D7">
        <w:rPr>
          <w:sz w:val="20"/>
          <w:lang w:val="es-AR"/>
        </w:rPr>
        <w:t>integridad</w:t>
      </w:r>
      <w:r w:rsidRPr="00AF39D7">
        <w:rPr>
          <w:spacing w:val="-15"/>
          <w:sz w:val="20"/>
          <w:lang w:val="es-AR"/>
        </w:rPr>
        <w:t xml:space="preserve"> </w:t>
      </w:r>
      <w:r w:rsidRPr="00AF39D7">
        <w:rPr>
          <w:sz w:val="20"/>
          <w:lang w:val="es-AR"/>
        </w:rPr>
        <w:t>personal</w:t>
      </w:r>
      <w:r w:rsidRPr="00AF39D7">
        <w:rPr>
          <w:spacing w:val="-15"/>
          <w:sz w:val="20"/>
          <w:lang w:val="es-AR"/>
        </w:rPr>
        <w:t xml:space="preserve"> </w:t>
      </w:r>
      <w:r w:rsidRPr="00AF39D7">
        <w:rPr>
          <w:sz w:val="20"/>
          <w:lang w:val="es-AR"/>
        </w:rPr>
        <w:t>de</w:t>
      </w:r>
      <w:r w:rsidRPr="00AF39D7">
        <w:rPr>
          <w:spacing w:val="-16"/>
          <w:sz w:val="20"/>
          <w:lang w:val="es-AR"/>
        </w:rPr>
        <w:t xml:space="preserve"> </w:t>
      </w:r>
      <w:r w:rsidRPr="00AF39D7">
        <w:rPr>
          <w:sz w:val="20"/>
          <w:lang w:val="es-AR"/>
        </w:rPr>
        <w:t>los</w:t>
      </w:r>
      <w:r w:rsidRPr="00AF39D7">
        <w:rPr>
          <w:spacing w:val="-16"/>
          <w:sz w:val="20"/>
          <w:lang w:val="es-AR"/>
        </w:rPr>
        <w:t xml:space="preserve"> </w:t>
      </w:r>
      <w:r w:rsidRPr="00AF39D7">
        <w:rPr>
          <w:sz w:val="20"/>
          <w:lang w:val="es-AR"/>
        </w:rPr>
        <w:t>trabajadores;</w:t>
      </w:r>
      <w:r w:rsidRPr="00AF39D7">
        <w:rPr>
          <w:spacing w:val="-14"/>
          <w:sz w:val="20"/>
          <w:lang w:val="es-AR"/>
        </w:rPr>
        <w:t xml:space="preserve"> </w:t>
      </w:r>
      <w:r w:rsidRPr="00AF39D7">
        <w:rPr>
          <w:sz w:val="20"/>
          <w:lang w:val="es-AR"/>
        </w:rPr>
        <w:t>iv)</w:t>
      </w:r>
      <w:r w:rsidRPr="00AF39D7">
        <w:rPr>
          <w:spacing w:val="-14"/>
          <w:sz w:val="20"/>
          <w:lang w:val="es-AR"/>
        </w:rPr>
        <w:t xml:space="preserve"> </w:t>
      </w:r>
      <w:r w:rsidRPr="00AF39D7">
        <w:rPr>
          <w:sz w:val="20"/>
          <w:lang w:val="es-AR"/>
        </w:rPr>
        <w:t>el</w:t>
      </w:r>
      <w:r w:rsidRPr="00AF39D7">
        <w:rPr>
          <w:spacing w:val="-15"/>
          <w:sz w:val="20"/>
          <w:lang w:val="es-AR"/>
        </w:rPr>
        <w:t xml:space="preserve"> </w:t>
      </w:r>
      <w:r w:rsidRPr="00AF39D7">
        <w:rPr>
          <w:sz w:val="20"/>
          <w:lang w:val="es-AR"/>
        </w:rPr>
        <w:t>principio</w:t>
      </w:r>
      <w:r w:rsidRPr="00AF39D7">
        <w:rPr>
          <w:spacing w:val="-16"/>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igualdad</w:t>
      </w:r>
      <w:r w:rsidRPr="00AF39D7">
        <w:rPr>
          <w:spacing w:val="-15"/>
          <w:sz w:val="20"/>
          <w:lang w:val="es-AR"/>
        </w:rPr>
        <w:t xml:space="preserve"> </w:t>
      </w:r>
      <w:r w:rsidRPr="00AF39D7">
        <w:rPr>
          <w:sz w:val="20"/>
          <w:lang w:val="es-AR"/>
        </w:rPr>
        <w:t>y</w:t>
      </w:r>
      <w:r w:rsidRPr="00AF39D7">
        <w:rPr>
          <w:spacing w:val="-15"/>
          <w:sz w:val="20"/>
          <w:lang w:val="es-AR"/>
        </w:rPr>
        <w:t xml:space="preserve"> </w:t>
      </w:r>
      <w:r w:rsidRPr="00AF39D7">
        <w:rPr>
          <w:sz w:val="20"/>
          <w:lang w:val="es-AR"/>
        </w:rPr>
        <w:t>no</w:t>
      </w:r>
      <w:r w:rsidRPr="00AF39D7">
        <w:rPr>
          <w:spacing w:val="-16"/>
          <w:sz w:val="20"/>
          <w:lang w:val="es-AR"/>
        </w:rPr>
        <w:t xml:space="preserve"> </w:t>
      </w:r>
      <w:r w:rsidRPr="00AF39D7">
        <w:rPr>
          <w:sz w:val="20"/>
          <w:lang w:val="es-AR"/>
        </w:rPr>
        <w:t>discriminación, pues la fabricación de fuegos artificiales era, para el momento de los hechos, la principal e, incluso, la única opción laboral para los habitantes del municipio, quienes dada su situación de pobreza no tenían otra alternativa que aceptar u</w:t>
      </w:r>
      <w:r w:rsidRPr="00AF39D7">
        <w:rPr>
          <w:sz w:val="20"/>
          <w:lang w:val="es-AR"/>
        </w:rPr>
        <w:t>n trabajo de alto riesgo, con baja paga y sin</w:t>
      </w:r>
      <w:r w:rsidRPr="00AF39D7">
        <w:rPr>
          <w:spacing w:val="-7"/>
          <w:sz w:val="20"/>
          <w:lang w:val="es-AR"/>
        </w:rPr>
        <w:t xml:space="preserve"> </w:t>
      </w:r>
      <w:r w:rsidRPr="00AF39D7">
        <w:rPr>
          <w:sz w:val="20"/>
          <w:lang w:val="es-AR"/>
        </w:rPr>
        <w:t>medidas</w:t>
      </w:r>
      <w:r w:rsidRPr="00AF39D7">
        <w:rPr>
          <w:spacing w:val="-9"/>
          <w:sz w:val="20"/>
          <w:lang w:val="es-AR"/>
        </w:rPr>
        <w:t xml:space="preserve"> </w:t>
      </w:r>
      <w:r w:rsidRPr="00AF39D7">
        <w:rPr>
          <w:sz w:val="20"/>
          <w:lang w:val="es-AR"/>
        </w:rPr>
        <w:t>de</w:t>
      </w:r>
      <w:r w:rsidRPr="00AF39D7">
        <w:rPr>
          <w:spacing w:val="-7"/>
          <w:sz w:val="20"/>
          <w:lang w:val="es-AR"/>
        </w:rPr>
        <w:t xml:space="preserve"> </w:t>
      </w:r>
      <w:r w:rsidRPr="00AF39D7">
        <w:rPr>
          <w:sz w:val="20"/>
          <w:lang w:val="es-AR"/>
        </w:rPr>
        <w:t>seguridad</w:t>
      </w:r>
      <w:r w:rsidRPr="00AF39D7">
        <w:rPr>
          <w:spacing w:val="-7"/>
          <w:sz w:val="20"/>
          <w:lang w:val="es-AR"/>
        </w:rPr>
        <w:t xml:space="preserve"> </w:t>
      </w:r>
      <w:r w:rsidRPr="00AF39D7">
        <w:rPr>
          <w:sz w:val="20"/>
          <w:lang w:val="es-AR"/>
        </w:rPr>
        <w:t>adecuadas,</w:t>
      </w:r>
      <w:r w:rsidRPr="00AF39D7">
        <w:rPr>
          <w:spacing w:val="-6"/>
          <w:sz w:val="20"/>
          <w:lang w:val="es-AR"/>
        </w:rPr>
        <w:t xml:space="preserve"> </w:t>
      </w:r>
      <w:r w:rsidRPr="00AF39D7">
        <w:rPr>
          <w:sz w:val="20"/>
          <w:lang w:val="es-AR"/>
        </w:rPr>
        <w:t>y</w:t>
      </w:r>
      <w:r w:rsidRPr="00AF39D7">
        <w:rPr>
          <w:spacing w:val="-6"/>
          <w:sz w:val="20"/>
          <w:lang w:val="es-AR"/>
        </w:rPr>
        <w:t xml:space="preserve"> </w:t>
      </w:r>
      <w:r w:rsidRPr="00AF39D7">
        <w:rPr>
          <w:sz w:val="20"/>
          <w:lang w:val="es-AR"/>
        </w:rPr>
        <w:t>v)</w:t>
      </w:r>
      <w:r w:rsidRPr="00AF39D7">
        <w:rPr>
          <w:spacing w:val="-5"/>
          <w:sz w:val="20"/>
          <w:lang w:val="es-AR"/>
        </w:rPr>
        <w:t xml:space="preserve"> </w:t>
      </w:r>
      <w:r w:rsidRPr="00AF39D7">
        <w:rPr>
          <w:sz w:val="20"/>
          <w:lang w:val="es-AR"/>
        </w:rPr>
        <w:t>los</w:t>
      </w:r>
      <w:r w:rsidRPr="00AF39D7">
        <w:rPr>
          <w:spacing w:val="-9"/>
          <w:sz w:val="20"/>
          <w:lang w:val="es-AR"/>
        </w:rPr>
        <w:t xml:space="preserve"> </w:t>
      </w:r>
      <w:r w:rsidRPr="00AF39D7">
        <w:rPr>
          <w:sz w:val="20"/>
          <w:lang w:val="es-AR"/>
        </w:rPr>
        <w:t>derechos</w:t>
      </w:r>
      <w:r w:rsidRPr="00AF39D7">
        <w:rPr>
          <w:spacing w:val="-6"/>
          <w:sz w:val="20"/>
          <w:lang w:val="es-AR"/>
        </w:rPr>
        <w:t xml:space="preserve"> </w:t>
      </w:r>
      <w:r w:rsidRPr="00AF39D7">
        <w:rPr>
          <w:sz w:val="20"/>
          <w:lang w:val="es-AR"/>
        </w:rPr>
        <w:t>a</w:t>
      </w:r>
      <w:r w:rsidRPr="00AF39D7">
        <w:rPr>
          <w:spacing w:val="-5"/>
          <w:sz w:val="20"/>
          <w:lang w:val="es-AR"/>
        </w:rPr>
        <w:t xml:space="preserve"> </w:t>
      </w:r>
      <w:r w:rsidRPr="00AF39D7">
        <w:rPr>
          <w:sz w:val="20"/>
          <w:lang w:val="es-AR"/>
        </w:rPr>
        <w:t>las</w:t>
      </w:r>
      <w:r w:rsidRPr="00AF39D7">
        <w:rPr>
          <w:spacing w:val="-6"/>
          <w:sz w:val="20"/>
          <w:lang w:val="es-AR"/>
        </w:rPr>
        <w:t xml:space="preserve"> </w:t>
      </w:r>
      <w:r w:rsidRPr="00AF39D7">
        <w:rPr>
          <w:sz w:val="20"/>
          <w:lang w:val="es-AR"/>
        </w:rPr>
        <w:t>garantías</w:t>
      </w:r>
      <w:r w:rsidRPr="00AF39D7">
        <w:rPr>
          <w:spacing w:val="-6"/>
          <w:sz w:val="20"/>
          <w:lang w:val="es-AR"/>
        </w:rPr>
        <w:t xml:space="preserve"> </w:t>
      </w:r>
      <w:r w:rsidRPr="00AF39D7">
        <w:rPr>
          <w:sz w:val="20"/>
          <w:lang w:val="es-AR"/>
        </w:rPr>
        <w:t>judiciales</w:t>
      </w:r>
      <w:r w:rsidRPr="00AF39D7">
        <w:rPr>
          <w:spacing w:val="-6"/>
          <w:sz w:val="20"/>
          <w:lang w:val="es-AR"/>
        </w:rPr>
        <w:t xml:space="preserve"> </w:t>
      </w:r>
      <w:r w:rsidRPr="00AF39D7">
        <w:rPr>
          <w:sz w:val="20"/>
          <w:lang w:val="es-AR"/>
        </w:rPr>
        <w:t>y</w:t>
      </w:r>
      <w:r w:rsidRPr="00AF39D7">
        <w:rPr>
          <w:spacing w:val="-6"/>
          <w:sz w:val="20"/>
          <w:lang w:val="es-AR"/>
        </w:rPr>
        <w:t xml:space="preserve"> </w:t>
      </w:r>
      <w:r w:rsidRPr="00AF39D7">
        <w:rPr>
          <w:sz w:val="20"/>
          <w:lang w:val="es-AR"/>
        </w:rPr>
        <w:t>protección judicial, pues en los procesos civiles, penales y laborales seguidos en el caso, el Estado no garantizó</w:t>
      </w:r>
      <w:r w:rsidRPr="00AF39D7">
        <w:rPr>
          <w:spacing w:val="-6"/>
          <w:sz w:val="20"/>
          <w:lang w:val="es-AR"/>
        </w:rPr>
        <w:t xml:space="preserve"> </w:t>
      </w:r>
      <w:r w:rsidRPr="00AF39D7">
        <w:rPr>
          <w:sz w:val="20"/>
          <w:lang w:val="es-AR"/>
        </w:rPr>
        <w:t>el</w:t>
      </w:r>
      <w:r w:rsidRPr="00AF39D7">
        <w:rPr>
          <w:spacing w:val="-8"/>
          <w:sz w:val="20"/>
          <w:lang w:val="es-AR"/>
        </w:rPr>
        <w:t xml:space="preserve"> </w:t>
      </w:r>
      <w:r w:rsidRPr="00AF39D7">
        <w:rPr>
          <w:sz w:val="20"/>
          <w:lang w:val="es-AR"/>
        </w:rPr>
        <w:t>acceso</w:t>
      </w:r>
      <w:r w:rsidRPr="00AF39D7">
        <w:rPr>
          <w:spacing w:val="-7"/>
          <w:sz w:val="20"/>
          <w:lang w:val="es-AR"/>
        </w:rPr>
        <w:t xml:space="preserve"> </w:t>
      </w:r>
      <w:r w:rsidRPr="00AF39D7">
        <w:rPr>
          <w:sz w:val="20"/>
          <w:lang w:val="es-AR"/>
        </w:rPr>
        <w:t>a</w:t>
      </w:r>
      <w:r w:rsidRPr="00AF39D7">
        <w:rPr>
          <w:spacing w:val="-8"/>
          <w:sz w:val="20"/>
          <w:lang w:val="es-AR"/>
        </w:rPr>
        <w:t xml:space="preserve"> </w:t>
      </w:r>
      <w:r w:rsidRPr="00AF39D7">
        <w:rPr>
          <w:sz w:val="20"/>
          <w:lang w:val="es-AR"/>
        </w:rPr>
        <w:t>la</w:t>
      </w:r>
      <w:r w:rsidRPr="00AF39D7">
        <w:rPr>
          <w:spacing w:val="-3"/>
          <w:sz w:val="20"/>
          <w:lang w:val="es-AR"/>
        </w:rPr>
        <w:t xml:space="preserve"> </w:t>
      </w:r>
      <w:r w:rsidRPr="00AF39D7">
        <w:rPr>
          <w:sz w:val="20"/>
          <w:lang w:val="es-AR"/>
        </w:rPr>
        <w:t>j</w:t>
      </w:r>
      <w:r w:rsidRPr="00AF39D7">
        <w:rPr>
          <w:sz w:val="20"/>
          <w:lang w:val="es-AR"/>
        </w:rPr>
        <w:t>usticia,</w:t>
      </w:r>
      <w:r w:rsidRPr="00AF39D7">
        <w:rPr>
          <w:spacing w:val="-8"/>
          <w:sz w:val="20"/>
          <w:lang w:val="es-AR"/>
        </w:rPr>
        <w:t xml:space="preserve"> </w:t>
      </w:r>
      <w:r w:rsidRPr="00AF39D7">
        <w:rPr>
          <w:sz w:val="20"/>
          <w:lang w:val="es-AR"/>
        </w:rPr>
        <w:t>la</w:t>
      </w:r>
      <w:r w:rsidRPr="00AF39D7">
        <w:rPr>
          <w:spacing w:val="-5"/>
          <w:sz w:val="20"/>
          <w:lang w:val="es-AR"/>
        </w:rPr>
        <w:t xml:space="preserve"> </w:t>
      </w:r>
      <w:r w:rsidRPr="00AF39D7">
        <w:rPr>
          <w:sz w:val="20"/>
          <w:lang w:val="es-AR"/>
        </w:rPr>
        <w:t>determinación</w:t>
      </w:r>
      <w:r w:rsidRPr="00AF39D7">
        <w:rPr>
          <w:spacing w:val="-7"/>
          <w:sz w:val="20"/>
          <w:lang w:val="es-AR"/>
        </w:rPr>
        <w:t xml:space="preserve"> </w:t>
      </w:r>
      <w:r w:rsidRPr="00AF39D7">
        <w:rPr>
          <w:sz w:val="20"/>
          <w:lang w:val="es-AR"/>
        </w:rPr>
        <w:t>de</w:t>
      </w:r>
      <w:r w:rsidRPr="00AF39D7">
        <w:rPr>
          <w:spacing w:val="-7"/>
          <w:sz w:val="20"/>
          <w:lang w:val="es-AR"/>
        </w:rPr>
        <w:t xml:space="preserve"> </w:t>
      </w:r>
      <w:r w:rsidRPr="00AF39D7">
        <w:rPr>
          <w:sz w:val="20"/>
          <w:lang w:val="es-AR"/>
        </w:rPr>
        <w:t>la</w:t>
      </w:r>
      <w:r w:rsidRPr="00AF39D7">
        <w:rPr>
          <w:spacing w:val="-5"/>
          <w:sz w:val="20"/>
          <w:lang w:val="es-AR"/>
        </w:rPr>
        <w:t xml:space="preserve"> </w:t>
      </w:r>
      <w:r w:rsidRPr="00AF39D7">
        <w:rPr>
          <w:sz w:val="20"/>
          <w:lang w:val="es-AR"/>
        </w:rPr>
        <w:t>verdad</w:t>
      </w:r>
      <w:r w:rsidRPr="00AF39D7">
        <w:rPr>
          <w:spacing w:val="-7"/>
          <w:sz w:val="20"/>
          <w:lang w:val="es-AR"/>
        </w:rPr>
        <w:t xml:space="preserve"> </w:t>
      </w:r>
      <w:r w:rsidRPr="00AF39D7">
        <w:rPr>
          <w:sz w:val="20"/>
          <w:lang w:val="es-AR"/>
        </w:rPr>
        <w:t>de</w:t>
      </w:r>
      <w:r w:rsidRPr="00AF39D7">
        <w:rPr>
          <w:spacing w:val="-7"/>
          <w:sz w:val="20"/>
          <w:lang w:val="es-AR"/>
        </w:rPr>
        <w:t xml:space="preserve"> </w:t>
      </w:r>
      <w:r w:rsidRPr="00AF39D7">
        <w:rPr>
          <w:sz w:val="20"/>
          <w:lang w:val="es-AR"/>
        </w:rPr>
        <w:t>los</w:t>
      </w:r>
      <w:r w:rsidRPr="00AF39D7">
        <w:rPr>
          <w:spacing w:val="-9"/>
          <w:sz w:val="20"/>
          <w:lang w:val="es-AR"/>
        </w:rPr>
        <w:t xml:space="preserve"> </w:t>
      </w:r>
      <w:r w:rsidRPr="00AF39D7">
        <w:rPr>
          <w:sz w:val="20"/>
          <w:lang w:val="es-AR"/>
        </w:rPr>
        <w:t>hechos,</w:t>
      </w:r>
      <w:r w:rsidRPr="00AF39D7">
        <w:rPr>
          <w:spacing w:val="-6"/>
          <w:sz w:val="20"/>
          <w:lang w:val="es-AR"/>
        </w:rPr>
        <w:t xml:space="preserve"> </w:t>
      </w:r>
      <w:r w:rsidRPr="00AF39D7">
        <w:rPr>
          <w:sz w:val="20"/>
          <w:lang w:val="es-AR"/>
        </w:rPr>
        <w:t>la</w:t>
      </w:r>
      <w:r w:rsidRPr="00AF39D7">
        <w:rPr>
          <w:spacing w:val="-5"/>
          <w:sz w:val="20"/>
          <w:lang w:val="es-AR"/>
        </w:rPr>
        <w:t xml:space="preserve"> </w:t>
      </w:r>
      <w:r w:rsidRPr="00AF39D7">
        <w:rPr>
          <w:sz w:val="20"/>
          <w:lang w:val="es-AR"/>
        </w:rPr>
        <w:t>investigación y sanción de los responsables ni la reparación de las consecuencias de las violaciones a los derechos humanos</w:t>
      </w:r>
      <w:r w:rsidRPr="00AF39D7">
        <w:rPr>
          <w:spacing w:val="-5"/>
          <w:sz w:val="20"/>
          <w:lang w:val="es-AR"/>
        </w:rPr>
        <w:t xml:space="preserve"> </w:t>
      </w:r>
      <w:r w:rsidRPr="00AF39D7">
        <w:rPr>
          <w:sz w:val="20"/>
          <w:lang w:val="es-AR"/>
        </w:rPr>
        <w:t>ocurridas.</w:t>
      </w:r>
    </w:p>
    <w:p w14:paraId="54C65B57" w14:textId="77777777" w:rsidR="00467FCA" w:rsidRPr="00AF39D7" w:rsidRDefault="00467FCA">
      <w:pPr>
        <w:pStyle w:val="Textoindependiente"/>
        <w:rPr>
          <w:lang w:val="es-AR"/>
        </w:rPr>
      </w:pPr>
    </w:p>
    <w:p w14:paraId="58AAFF08" w14:textId="77777777" w:rsidR="00467FCA" w:rsidRPr="00AF39D7" w:rsidRDefault="001B68EB">
      <w:pPr>
        <w:pStyle w:val="Prrafodelista"/>
        <w:numPr>
          <w:ilvl w:val="0"/>
          <w:numId w:val="51"/>
        </w:numPr>
        <w:tabs>
          <w:tab w:val="left" w:pos="686"/>
        </w:tabs>
        <w:spacing w:before="1"/>
        <w:ind w:left="685"/>
        <w:jc w:val="both"/>
        <w:rPr>
          <w:sz w:val="20"/>
          <w:lang w:val="es-AR"/>
        </w:rPr>
      </w:pPr>
      <w:r w:rsidRPr="00AF39D7">
        <w:rPr>
          <w:i/>
          <w:sz w:val="20"/>
          <w:lang w:val="es-AR"/>
        </w:rPr>
        <w:t xml:space="preserve">Trámite ante la Comisión. </w:t>
      </w:r>
      <w:r w:rsidRPr="00AF39D7">
        <w:rPr>
          <w:sz w:val="20"/>
          <w:lang w:val="es-AR"/>
        </w:rPr>
        <w:t>– El trámite ante la Comisión fue el</w:t>
      </w:r>
      <w:r w:rsidRPr="00AF39D7">
        <w:rPr>
          <w:spacing w:val="-12"/>
          <w:sz w:val="20"/>
          <w:lang w:val="es-AR"/>
        </w:rPr>
        <w:t xml:space="preserve"> </w:t>
      </w:r>
      <w:r w:rsidRPr="00AF39D7">
        <w:rPr>
          <w:sz w:val="20"/>
          <w:lang w:val="es-AR"/>
        </w:rPr>
        <w:t>siguiente:</w:t>
      </w:r>
    </w:p>
    <w:p w14:paraId="3306BB5C" w14:textId="77777777" w:rsidR="00467FCA" w:rsidRPr="00AF39D7" w:rsidRDefault="00467FCA">
      <w:pPr>
        <w:pStyle w:val="Textoindependiente"/>
        <w:spacing w:before="1"/>
        <w:rPr>
          <w:lang w:val="es-AR"/>
        </w:rPr>
      </w:pPr>
    </w:p>
    <w:p w14:paraId="244E9004" w14:textId="77777777" w:rsidR="00467FCA" w:rsidRPr="00AF39D7" w:rsidRDefault="001B68EB">
      <w:pPr>
        <w:pStyle w:val="Prrafodelista"/>
        <w:numPr>
          <w:ilvl w:val="1"/>
          <w:numId w:val="51"/>
        </w:numPr>
        <w:tabs>
          <w:tab w:val="left" w:pos="1113"/>
        </w:tabs>
        <w:ind w:right="117" w:hanging="427"/>
        <w:jc w:val="both"/>
        <w:rPr>
          <w:sz w:val="20"/>
          <w:lang w:val="es-AR"/>
        </w:rPr>
      </w:pPr>
      <w:r w:rsidRPr="00AF39D7">
        <w:rPr>
          <w:i/>
          <w:sz w:val="20"/>
          <w:lang w:val="es-AR"/>
        </w:rPr>
        <w:t>Petición.</w:t>
      </w:r>
      <w:r w:rsidRPr="00AF39D7">
        <w:rPr>
          <w:i/>
          <w:spacing w:val="-19"/>
          <w:sz w:val="20"/>
          <w:lang w:val="es-AR"/>
        </w:rPr>
        <w:t xml:space="preserve"> </w:t>
      </w:r>
      <w:r w:rsidRPr="00AF39D7">
        <w:rPr>
          <w:sz w:val="20"/>
          <w:lang w:val="es-AR"/>
        </w:rPr>
        <w:t>–</w:t>
      </w:r>
      <w:r w:rsidRPr="00AF39D7">
        <w:rPr>
          <w:spacing w:val="-17"/>
          <w:sz w:val="20"/>
          <w:lang w:val="es-AR"/>
        </w:rPr>
        <w:t xml:space="preserve"> </w:t>
      </w:r>
      <w:r w:rsidRPr="00AF39D7">
        <w:rPr>
          <w:sz w:val="20"/>
          <w:lang w:val="es-AR"/>
        </w:rPr>
        <w:t>El</w:t>
      </w:r>
      <w:r w:rsidRPr="00AF39D7">
        <w:rPr>
          <w:spacing w:val="-17"/>
          <w:sz w:val="20"/>
          <w:lang w:val="es-AR"/>
        </w:rPr>
        <w:t xml:space="preserve"> </w:t>
      </w:r>
      <w:r w:rsidRPr="00AF39D7">
        <w:rPr>
          <w:sz w:val="20"/>
          <w:lang w:val="es-AR"/>
        </w:rPr>
        <w:t>3</w:t>
      </w:r>
      <w:r w:rsidRPr="00AF39D7">
        <w:rPr>
          <w:spacing w:val="-17"/>
          <w:sz w:val="20"/>
          <w:lang w:val="es-AR"/>
        </w:rPr>
        <w:t xml:space="preserve"> </w:t>
      </w:r>
      <w:r w:rsidRPr="00AF39D7">
        <w:rPr>
          <w:sz w:val="20"/>
          <w:lang w:val="es-AR"/>
        </w:rPr>
        <w:t>de</w:t>
      </w:r>
      <w:r w:rsidRPr="00AF39D7">
        <w:rPr>
          <w:spacing w:val="-19"/>
          <w:sz w:val="20"/>
          <w:lang w:val="es-AR"/>
        </w:rPr>
        <w:t xml:space="preserve"> </w:t>
      </w:r>
      <w:r w:rsidRPr="00AF39D7">
        <w:rPr>
          <w:sz w:val="20"/>
          <w:lang w:val="es-AR"/>
        </w:rPr>
        <w:t>diciembre</w:t>
      </w:r>
      <w:r w:rsidRPr="00AF39D7">
        <w:rPr>
          <w:spacing w:val="-18"/>
          <w:sz w:val="20"/>
          <w:lang w:val="es-AR"/>
        </w:rPr>
        <w:t xml:space="preserve"> </w:t>
      </w:r>
      <w:r w:rsidRPr="00AF39D7">
        <w:rPr>
          <w:sz w:val="20"/>
          <w:lang w:val="es-AR"/>
        </w:rPr>
        <w:t>de</w:t>
      </w:r>
      <w:r w:rsidRPr="00AF39D7">
        <w:rPr>
          <w:spacing w:val="-19"/>
          <w:sz w:val="20"/>
          <w:lang w:val="es-AR"/>
        </w:rPr>
        <w:t xml:space="preserve"> </w:t>
      </w:r>
      <w:r w:rsidRPr="00AF39D7">
        <w:rPr>
          <w:sz w:val="20"/>
          <w:lang w:val="es-AR"/>
        </w:rPr>
        <w:t>2001,</w:t>
      </w:r>
      <w:r w:rsidRPr="00AF39D7">
        <w:rPr>
          <w:spacing w:val="-18"/>
          <w:sz w:val="20"/>
          <w:lang w:val="es-AR"/>
        </w:rPr>
        <w:t xml:space="preserve"> </w:t>
      </w:r>
      <w:r w:rsidRPr="00AF39D7">
        <w:rPr>
          <w:sz w:val="20"/>
          <w:lang w:val="es-AR"/>
        </w:rPr>
        <w:t>Justiça</w:t>
      </w:r>
      <w:r w:rsidRPr="00AF39D7">
        <w:rPr>
          <w:spacing w:val="-15"/>
          <w:sz w:val="20"/>
          <w:lang w:val="es-AR"/>
        </w:rPr>
        <w:t xml:space="preserve"> </w:t>
      </w:r>
      <w:r w:rsidRPr="00AF39D7">
        <w:rPr>
          <w:sz w:val="20"/>
          <w:lang w:val="es-AR"/>
        </w:rPr>
        <w:t>Global,</w:t>
      </w:r>
      <w:r w:rsidRPr="00AF39D7">
        <w:rPr>
          <w:spacing w:val="-18"/>
          <w:sz w:val="20"/>
          <w:lang w:val="es-AR"/>
        </w:rPr>
        <w:t xml:space="preserve"> </w:t>
      </w:r>
      <w:r w:rsidRPr="00AF39D7">
        <w:rPr>
          <w:sz w:val="20"/>
          <w:lang w:val="es-AR"/>
        </w:rPr>
        <w:t>el</w:t>
      </w:r>
      <w:r w:rsidRPr="00AF39D7">
        <w:rPr>
          <w:spacing w:val="-17"/>
          <w:sz w:val="20"/>
          <w:lang w:val="es-AR"/>
        </w:rPr>
        <w:t xml:space="preserve"> </w:t>
      </w:r>
      <w:r w:rsidRPr="00AF39D7">
        <w:rPr>
          <w:sz w:val="20"/>
          <w:lang w:val="es-AR"/>
        </w:rPr>
        <w:t>Movimento</w:t>
      </w:r>
      <w:r w:rsidRPr="00AF39D7">
        <w:rPr>
          <w:spacing w:val="-18"/>
          <w:sz w:val="20"/>
          <w:lang w:val="es-AR"/>
        </w:rPr>
        <w:t xml:space="preserve"> </w:t>
      </w:r>
      <w:r w:rsidRPr="00AF39D7">
        <w:rPr>
          <w:sz w:val="20"/>
          <w:lang w:val="es-AR"/>
        </w:rPr>
        <w:t>11</w:t>
      </w:r>
      <w:r w:rsidRPr="00AF39D7">
        <w:rPr>
          <w:spacing w:val="-17"/>
          <w:sz w:val="20"/>
          <w:lang w:val="es-AR"/>
        </w:rPr>
        <w:t xml:space="preserve"> </w:t>
      </w:r>
      <w:r w:rsidRPr="00AF39D7">
        <w:rPr>
          <w:sz w:val="20"/>
          <w:lang w:val="es-AR"/>
        </w:rPr>
        <w:t>de</w:t>
      </w:r>
      <w:r w:rsidRPr="00AF39D7">
        <w:rPr>
          <w:spacing w:val="-19"/>
          <w:sz w:val="20"/>
          <w:lang w:val="es-AR"/>
        </w:rPr>
        <w:t xml:space="preserve"> </w:t>
      </w:r>
      <w:r w:rsidRPr="00AF39D7">
        <w:rPr>
          <w:sz w:val="20"/>
          <w:lang w:val="es-AR"/>
        </w:rPr>
        <w:t>Dezembro, la Comissão de Direitos Humanos da Ordem dos Advogados do Brasil (OAB) - Subseção de Salvador-, el Fórum de Direitos Humanos de Santo Antônio de Jesus/Bahia,</w:t>
      </w:r>
      <w:r w:rsidRPr="00AF39D7">
        <w:rPr>
          <w:spacing w:val="-15"/>
          <w:sz w:val="20"/>
          <w:lang w:val="es-AR"/>
        </w:rPr>
        <w:t xml:space="preserve"> </w:t>
      </w:r>
      <w:r w:rsidRPr="00AF39D7">
        <w:rPr>
          <w:sz w:val="20"/>
          <w:lang w:val="es-AR"/>
        </w:rPr>
        <w:t>Ailton</w:t>
      </w:r>
      <w:r w:rsidRPr="00AF39D7">
        <w:rPr>
          <w:spacing w:val="-15"/>
          <w:sz w:val="20"/>
          <w:lang w:val="es-AR"/>
        </w:rPr>
        <w:t xml:space="preserve"> </w:t>
      </w:r>
      <w:r w:rsidRPr="00AF39D7">
        <w:rPr>
          <w:sz w:val="20"/>
          <w:lang w:val="es-AR"/>
        </w:rPr>
        <w:t>Jose</w:t>
      </w:r>
      <w:r w:rsidRPr="00AF39D7">
        <w:rPr>
          <w:spacing w:val="-13"/>
          <w:sz w:val="20"/>
          <w:lang w:val="es-AR"/>
        </w:rPr>
        <w:t xml:space="preserve"> </w:t>
      </w:r>
      <w:r w:rsidRPr="00AF39D7">
        <w:rPr>
          <w:sz w:val="20"/>
          <w:lang w:val="es-AR"/>
        </w:rPr>
        <w:t>dos</w:t>
      </w:r>
      <w:r w:rsidRPr="00AF39D7">
        <w:rPr>
          <w:spacing w:val="-17"/>
          <w:sz w:val="20"/>
          <w:lang w:val="es-AR"/>
        </w:rPr>
        <w:t xml:space="preserve"> </w:t>
      </w:r>
      <w:r w:rsidRPr="00AF39D7">
        <w:rPr>
          <w:sz w:val="20"/>
          <w:lang w:val="es-AR"/>
        </w:rPr>
        <w:t>Santos,</w:t>
      </w:r>
      <w:r w:rsidRPr="00AF39D7">
        <w:rPr>
          <w:spacing w:val="-15"/>
          <w:sz w:val="20"/>
          <w:lang w:val="es-AR"/>
        </w:rPr>
        <w:t xml:space="preserve"> </w:t>
      </w:r>
      <w:r w:rsidRPr="00AF39D7">
        <w:rPr>
          <w:sz w:val="20"/>
          <w:lang w:val="es-AR"/>
        </w:rPr>
        <w:t>Yulo</w:t>
      </w:r>
      <w:r w:rsidRPr="00AF39D7">
        <w:rPr>
          <w:spacing w:val="-14"/>
          <w:sz w:val="20"/>
          <w:lang w:val="es-AR"/>
        </w:rPr>
        <w:t xml:space="preserve"> </w:t>
      </w:r>
      <w:r w:rsidRPr="00AF39D7">
        <w:rPr>
          <w:sz w:val="20"/>
          <w:lang w:val="es-AR"/>
        </w:rPr>
        <w:t>Oiticica</w:t>
      </w:r>
      <w:r w:rsidRPr="00AF39D7">
        <w:rPr>
          <w:spacing w:val="-14"/>
          <w:sz w:val="20"/>
          <w:lang w:val="es-AR"/>
        </w:rPr>
        <w:t xml:space="preserve"> </w:t>
      </w:r>
      <w:r w:rsidRPr="00AF39D7">
        <w:rPr>
          <w:sz w:val="20"/>
          <w:lang w:val="es-AR"/>
        </w:rPr>
        <w:t>Pereira</w:t>
      </w:r>
      <w:r w:rsidRPr="00AF39D7">
        <w:rPr>
          <w:spacing w:val="-15"/>
          <w:sz w:val="20"/>
          <w:lang w:val="es-AR"/>
        </w:rPr>
        <w:t xml:space="preserve"> </w:t>
      </w:r>
      <w:r w:rsidRPr="00AF39D7">
        <w:rPr>
          <w:sz w:val="20"/>
          <w:lang w:val="es-AR"/>
        </w:rPr>
        <w:t>y</w:t>
      </w:r>
      <w:r w:rsidRPr="00AF39D7">
        <w:rPr>
          <w:spacing w:val="-17"/>
          <w:sz w:val="20"/>
          <w:lang w:val="es-AR"/>
        </w:rPr>
        <w:t xml:space="preserve"> </w:t>
      </w:r>
      <w:r w:rsidRPr="00AF39D7">
        <w:rPr>
          <w:sz w:val="20"/>
          <w:lang w:val="es-AR"/>
        </w:rPr>
        <w:t>Nelson</w:t>
      </w:r>
      <w:r w:rsidRPr="00AF39D7">
        <w:rPr>
          <w:spacing w:val="-15"/>
          <w:sz w:val="20"/>
          <w:lang w:val="es-AR"/>
        </w:rPr>
        <w:t xml:space="preserve"> </w:t>
      </w:r>
      <w:r w:rsidRPr="00AF39D7">
        <w:rPr>
          <w:sz w:val="20"/>
          <w:lang w:val="es-AR"/>
        </w:rPr>
        <w:t>Portela</w:t>
      </w:r>
      <w:r w:rsidRPr="00AF39D7">
        <w:rPr>
          <w:spacing w:val="-15"/>
          <w:sz w:val="20"/>
          <w:lang w:val="es-AR"/>
        </w:rPr>
        <w:t xml:space="preserve"> </w:t>
      </w:r>
      <w:r w:rsidRPr="00AF39D7">
        <w:rPr>
          <w:sz w:val="20"/>
          <w:lang w:val="es-AR"/>
        </w:rPr>
        <w:t>Pellegrino presentaron la</w:t>
      </w:r>
      <w:r w:rsidRPr="00AF39D7">
        <w:rPr>
          <w:sz w:val="20"/>
          <w:lang w:val="es-AR"/>
        </w:rPr>
        <w:t xml:space="preserve"> petición inicial en representación de las presuntas</w:t>
      </w:r>
      <w:r w:rsidRPr="00AF39D7">
        <w:rPr>
          <w:spacing w:val="-18"/>
          <w:sz w:val="20"/>
          <w:lang w:val="es-AR"/>
        </w:rPr>
        <w:t xml:space="preserve"> </w:t>
      </w:r>
      <w:r w:rsidRPr="00AF39D7">
        <w:rPr>
          <w:sz w:val="20"/>
          <w:lang w:val="es-AR"/>
        </w:rPr>
        <w:t>víctimas.</w:t>
      </w:r>
    </w:p>
    <w:p w14:paraId="74F7A9E3" w14:textId="77777777" w:rsidR="00467FCA" w:rsidRPr="00AF39D7" w:rsidRDefault="00467FCA">
      <w:pPr>
        <w:pStyle w:val="Textoindependiente"/>
        <w:rPr>
          <w:lang w:val="es-AR"/>
        </w:rPr>
      </w:pPr>
    </w:p>
    <w:p w14:paraId="5C3D71C2" w14:textId="77777777" w:rsidR="00467FCA" w:rsidRPr="00AF39D7" w:rsidRDefault="001B68EB">
      <w:pPr>
        <w:pStyle w:val="Prrafodelista"/>
        <w:numPr>
          <w:ilvl w:val="1"/>
          <w:numId w:val="51"/>
        </w:numPr>
        <w:tabs>
          <w:tab w:val="left" w:pos="1113"/>
        </w:tabs>
        <w:spacing w:before="1"/>
        <w:ind w:right="117" w:hanging="432"/>
        <w:jc w:val="both"/>
        <w:rPr>
          <w:sz w:val="20"/>
          <w:lang w:val="es-AR"/>
        </w:rPr>
      </w:pPr>
      <w:r w:rsidRPr="00AF39D7">
        <w:rPr>
          <w:i/>
          <w:sz w:val="20"/>
          <w:lang w:val="es-AR"/>
        </w:rPr>
        <w:t xml:space="preserve">Audiencia Pública ante la Comisión, allanamiento y solución amistosa. </w:t>
      </w:r>
      <w:r w:rsidRPr="00AF39D7">
        <w:rPr>
          <w:sz w:val="20"/>
          <w:lang w:val="es-AR"/>
        </w:rPr>
        <w:t>- El 19 de octubre de 2006, la Comisión llevó a cabo una audiencia pública sobre el caso. En ella, el Estado indicó que no</w:t>
      </w:r>
      <w:r w:rsidRPr="00AF39D7">
        <w:rPr>
          <w:sz w:val="20"/>
          <w:lang w:val="es-AR"/>
        </w:rPr>
        <w:t xml:space="preserve"> cuestionaría la admisibilidad del caso y reconoció su responsabilidad respecto a la falta fiscalización. Asimismo, propuso que las partes iniciaran</w:t>
      </w:r>
      <w:r w:rsidRPr="00AF39D7">
        <w:rPr>
          <w:spacing w:val="-14"/>
          <w:sz w:val="20"/>
          <w:lang w:val="es-AR"/>
        </w:rPr>
        <w:t xml:space="preserve"> </w:t>
      </w:r>
      <w:r w:rsidRPr="00AF39D7">
        <w:rPr>
          <w:sz w:val="20"/>
          <w:lang w:val="es-AR"/>
        </w:rPr>
        <w:t>un</w:t>
      </w:r>
      <w:r w:rsidRPr="00AF39D7">
        <w:rPr>
          <w:spacing w:val="-14"/>
          <w:sz w:val="20"/>
          <w:lang w:val="es-AR"/>
        </w:rPr>
        <w:t xml:space="preserve"> </w:t>
      </w:r>
      <w:r w:rsidRPr="00AF39D7">
        <w:rPr>
          <w:sz w:val="20"/>
          <w:lang w:val="es-AR"/>
        </w:rPr>
        <w:t>proceso</w:t>
      </w:r>
      <w:r w:rsidRPr="00AF39D7">
        <w:rPr>
          <w:spacing w:val="-14"/>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solución</w:t>
      </w:r>
      <w:r w:rsidRPr="00AF39D7">
        <w:rPr>
          <w:spacing w:val="-12"/>
          <w:sz w:val="20"/>
          <w:lang w:val="es-AR"/>
        </w:rPr>
        <w:t xml:space="preserve"> </w:t>
      </w:r>
      <w:r w:rsidRPr="00AF39D7">
        <w:rPr>
          <w:sz w:val="20"/>
          <w:lang w:val="es-AR"/>
        </w:rPr>
        <w:t>amistosa.</w:t>
      </w:r>
      <w:r w:rsidRPr="00AF39D7">
        <w:rPr>
          <w:spacing w:val="-16"/>
          <w:sz w:val="20"/>
          <w:lang w:val="es-AR"/>
        </w:rPr>
        <w:t xml:space="preserve"> </w:t>
      </w:r>
      <w:r w:rsidRPr="00AF39D7">
        <w:rPr>
          <w:sz w:val="20"/>
          <w:lang w:val="es-AR"/>
        </w:rPr>
        <w:t>Al</w:t>
      </w:r>
      <w:r w:rsidRPr="00AF39D7">
        <w:rPr>
          <w:spacing w:val="-12"/>
          <w:sz w:val="20"/>
          <w:lang w:val="es-AR"/>
        </w:rPr>
        <w:t xml:space="preserve"> </w:t>
      </w:r>
      <w:r w:rsidRPr="00AF39D7">
        <w:rPr>
          <w:sz w:val="20"/>
          <w:lang w:val="es-AR"/>
        </w:rPr>
        <w:t>día</w:t>
      </w:r>
      <w:r w:rsidRPr="00AF39D7">
        <w:rPr>
          <w:spacing w:val="-12"/>
          <w:sz w:val="20"/>
          <w:lang w:val="es-AR"/>
        </w:rPr>
        <w:t xml:space="preserve"> </w:t>
      </w:r>
      <w:r w:rsidRPr="00AF39D7">
        <w:rPr>
          <w:sz w:val="20"/>
          <w:lang w:val="es-AR"/>
        </w:rPr>
        <w:t>siguiente,</w:t>
      </w:r>
      <w:r w:rsidRPr="00AF39D7">
        <w:rPr>
          <w:spacing w:val="-13"/>
          <w:sz w:val="20"/>
          <w:lang w:val="es-AR"/>
        </w:rPr>
        <w:t xml:space="preserve"> </w:t>
      </w:r>
      <w:r w:rsidRPr="00AF39D7">
        <w:rPr>
          <w:sz w:val="20"/>
          <w:lang w:val="es-AR"/>
        </w:rPr>
        <w:t>esto</w:t>
      </w:r>
      <w:r w:rsidRPr="00AF39D7">
        <w:rPr>
          <w:spacing w:val="-14"/>
          <w:sz w:val="20"/>
          <w:lang w:val="es-AR"/>
        </w:rPr>
        <w:t xml:space="preserve"> </w:t>
      </w:r>
      <w:r w:rsidRPr="00AF39D7">
        <w:rPr>
          <w:sz w:val="20"/>
          <w:lang w:val="es-AR"/>
        </w:rPr>
        <w:t>es,</w:t>
      </w:r>
      <w:r w:rsidRPr="00AF39D7">
        <w:rPr>
          <w:spacing w:val="-11"/>
          <w:sz w:val="20"/>
          <w:lang w:val="es-AR"/>
        </w:rPr>
        <w:t xml:space="preserve"> </w:t>
      </w:r>
      <w:r w:rsidRPr="00AF39D7">
        <w:rPr>
          <w:sz w:val="20"/>
          <w:lang w:val="es-AR"/>
        </w:rPr>
        <w:t>el</w:t>
      </w:r>
      <w:r w:rsidRPr="00AF39D7">
        <w:rPr>
          <w:spacing w:val="-14"/>
          <w:sz w:val="20"/>
          <w:lang w:val="es-AR"/>
        </w:rPr>
        <w:t xml:space="preserve"> </w:t>
      </w:r>
      <w:r w:rsidRPr="00AF39D7">
        <w:rPr>
          <w:sz w:val="20"/>
          <w:lang w:val="es-AR"/>
        </w:rPr>
        <w:t>20</w:t>
      </w:r>
      <w:r w:rsidRPr="00AF39D7">
        <w:rPr>
          <w:spacing w:val="-12"/>
          <w:sz w:val="20"/>
          <w:lang w:val="es-AR"/>
        </w:rPr>
        <w:t xml:space="preserve"> </w:t>
      </w:r>
      <w:r w:rsidRPr="00AF39D7">
        <w:rPr>
          <w:sz w:val="20"/>
          <w:lang w:val="es-AR"/>
        </w:rPr>
        <w:t>de</w:t>
      </w:r>
      <w:r w:rsidRPr="00AF39D7">
        <w:rPr>
          <w:spacing w:val="-11"/>
          <w:sz w:val="20"/>
          <w:lang w:val="es-AR"/>
        </w:rPr>
        <w:t xml:space="preserve"> </w:t>
      </w:r>
      <w:r w:rsidRPr="00AF39D7">
        <w:rPr>
          <w:sz w:val="20"/>
          <w:lang w:val="es-AR"/>
        </w:rPr>
        <w:t>octubre de</w:t>
      </w:r>
      <w:r w:rsidRPr="00AF39D7">
        <w:rPr>
          <w:spacing w:val="-19"/>
          <w:sz w:val="20"/>
          <w:lang w:val="es-AR"/>
        </w:rPr>
        <w:t xml:space="preserve"> </w:t>
      </w:r>
      <w:r w:rsidRPr="00AF39D7">
        <w:rPr>
          <w:sz w:val="20"/>
          <w:lang w:val="es-AR"/>
        </w:rPr>
        <w:t>2006,</w:t>
      </w:r>
      <w:r w:rsidRPr="00AF39D7">
        <w:rPr>
          <w:spacing w:val="-18"/>
          <w:sz w:val="20"/>
          <w:lang w:val="es-AR"/>
        </w:rPr>
        <w:t xml:space="preserve"> </w:t>
      </w:r>
      <w:r w:rsidRPr="00AF39D7">
        <w:rPr>
          <w:sz w:val="20"/>
          <w:lang w:val="es-AR"/>
        </w:rPr>
        <w:t>se</w:t>
      </w:r>
      <w:r w:rsidRPr="00AF39D7">
        <w:rPr>
          <w:spacing w:val="-19"/>
          <w:sz w:val="20"/>
          <w:lang w:val="es-AR"/>
        </w:rPr>
        <w:t xml:space="preserve"> </w:t>
      </w:r>
      <w:r w:rsidRPr="00AF39D7">
        <w:rPr>
          <w:sz w:val="20"/>
          <w:lang w:val="es-AR"/>
        </w:rPr>
        <w:t>realizó</w:t>
      </w:r>
      <w:r w:rsidRPr="00AF39D7">
        <w:rPr>
          <w:spacing w:val="-19"/>
          <w:sz w:val="20"/>
          <w:lang w:val="es-AR"/>
        </w:rPr>
        <w:t xml:space="preserve"> </w:t>
      </w:r>
      <w:r w:rsidRPr="00AF39D7">
        <w:rPr>
          <w:sz w:val="20"/>
          <w:lang w:val="es-AR"/>
        </w:rPr>
        <w:t>una</w:t>
      </w:r>
      <w:r w:rsidRPr="00AF39D7">
        <w:rPr>
          <w:spacing w:val="-17"/>
          <w:sz w:val="20"/>
          <w:lang w:val="es-AR"/>
        </w:rPr>
        <w:t xml:space="preserve"> </w:t>
      </w:r>
      <w:r w:rsidRPr="00AF39D7">
        <w:rPr>
          <w:sz w:val="20"/>
          <w:lang w:val="es-AR"/>
        </w:rPr>
        <w:t>reunión</w:t>
      </w:r>
      <w:r w:rsidRPr="00AF39D7">
        <w:rPr>
          <w:spacing w:val="-17"/>
          <w:sz w:val="20"/>
          <w:lang w:val="es-AR"/>
        </w:rPr>
        <w:t xml:space="preserve"> </w:t>
      </w:r>
      <w:r w:rsidRPr="00AF39D7">
        <w:rPr>
          <w:sz w:val="20"/>
          <w:lang w:val="es-AR"/>
        </w:rPr>
        <w:t>de</w:t>
      </w:r>
      <w:r w:rsidRPr="00AF39D7">
        <w:rPr>
          <w:spacing w:val="-19"/>
          <w:sz w:val="20"/>
          <w:lang w:val="es-AR"/>
        </w:rPr>
        <w:t xml:space="preserve"> </w:t>
      </w:r>
      <w:r w:rsidRPr="00AF39D7">
        <w:rPr>
          <w:sz w:val="20"/>
          <w:lang w:val="es-AR"/>
        </w:rPr>
        <w:t>trabajo</w:t>
      </w:r>
      <w:r w:rsidRPr="00AF39D7">
        <w:rPr>
          <w:spacing w:val="-16"/>
          <w:sz w:val="20"/>
          <w:lang w:val="es-AR"/>
        </w:rPr>
        <w:t xml:space="preserve"> </w:t>
      </w:r>
      <w:r w:rsidRPr="00AF39D7">
        <w:rPr>
          <w:sz w:val="20"/>
          <w:lang w:val="es-AR"/>
        </w:rPr>
        <w:t>con</w:t>
      </w:r>
      <w:r w:rsidRPr="00AF39D7">
        <w:rPr>
          <w:spacing w:val="-16"/>
          <w:sz w:val="20"/>
          <w:lang w:val="es-AR"/>
        </w:rPr>
        <w:t xml:space="preserve"> </w:t>
      </w:r>
      <w:r w:rsidRPr="00AF39D7">
        <w:rPr>
          <w:sz w:val="20"/>
          <w:lang w:val="es-AR"/>
        </w:rPr>
        <w:t>las</w:t>
      </w:r>
      <w:r w:rsidRPr="00AF39D7">
        <w:rPr>
          <w:spacing w:val="-18"/>
          <w:sz w:val="20"/>
          <w:lang w:val="es-AR"/>
        </w:rPr>
        <w:t xml:space="preserve"> </w:t>
      </w:r>
      <w:r w:rsidRPr="00AF39D7">
        <w:rPr>
          <w:sz w:val="20"/>
          <w:lang w:val="es-AR"/>
        </w:rPr>
        <w:t>partes,</w:t>
      </w:r>
      <w:r w:rsidRPr="00AF39D7">
        <w:rPr>
          <w:spacing w:val="-16"/>
          <w:sz w:val="20"/>
          <w:lang w:val="es-AR"/>
        </w:rPr>
        <w:t xml:space="preserve"> </w:t>
      </w:r>
      <w:r w:rsidRPr="00AF39D7">
        <w:rPr>
          <w:sz w:val="20"/>
          <w:lang w:val="es-AR"/>
        </w:rPr>
        <w:t>en</w:t>
      </w:r>
      <w:r w:rsidRPr="00AF39D7">
        <w:rPr>
          <w:spacing w:val="-16"/>
          <w:sz w:val="20"/>
          <w:lang w:val="es-AR"/>
        </w:rPr>
        <w:t xml:space="preserve"> </w:t>
      </w:r>
      <w:r w:rsidRPr="00AF39D7">
        <w:rPr>
          <w:sz w:val="20"/>
          <w:lang w:val="es-AR"/>
        </w:rPr>
        <w:t>la</w:t>
      </w:r>
      <w:r w:rsidRPr="00AF39D7">
        <w:rPr>
          <w:spacing w:val="-17"/>
          <w:sz w:val="20"/>
          <w:lang w:val="es-AR"/>
        </w:rPr>
        <w:t xml:space="preserve"> </w:t>
      </w:r>
      <w:r w:rsidRPr="00AF39D7">
        <w:rPr>
          <w:sz w:val="20"/>
          <w:lang w:val="es-AR"/>
        </w:rPr>
        <w:t>que</w:t>
      </w:r>
      <w:r w:rsidRPr="00AF39D7">
        <w:rPr>
          <w:spacing w:val="-18"/>
          <w:sz w:val="20"/>
          <w:lang w:val="es-AR"/>
        </w:rPr>
        <w:t xml:space="preserve"> </w:t>
      </w:r>
      <w:r w:rsidRPr="00AF39D7">
        <w:rPr>
          <w:sz w:val="20"/>
          <w:lang w:val="es-AR"/>
        </w:rPr>
        <w:t>acordaron</w:t>
      </w:r>
      <w:r w:rsidRPr="00AF39D7">
        <w:rPr>
          <w:spacing w:val="-17"/>
          <w:sz w:val="20"/>
          <w:lang w:val="es-AR"/>
        </w:rPr>
        <w:t xml:space="preserve"> </w:t>
      </w:r>
      <w:r w:rsidRPr="00AF39D7">
        <w:rPr>
          <w:sz w:val="20"/>
          <w:lang w:val="es-AR"/>
        </w:rPr>
        <w:t>iniciar un proceso de solución amistosa</w:t>
      </w:r>
      <w:hyperlink w:anchor="_bookmark1" w:history="1">
        <w:r w:rsidRPr="00AF39D7">
          <w:rPr>
            <w:position w:val="7"/>
            <w:sz w:val="13"/>
            <w:lang w:val="es-AR"/>
          </w:rPr>
          <w:t>1</w:t>
        </w:r>
      </w:hyperlink>
      <w:r w:rsidRPr="00AF39D7">
        <w:rPr>
          <w:sz w:val="20"/>
          <w:lang w:val="es-AR"/>
        </w:rPr>
        <w:t>. Sin embargo, el 18 de octubre de 2010, la</w:t>
      </w:r>
      <w:r w:rsidRPr="00AF39D7">
        <w:rPr>
          <w:spacing w:val="-35"/>
          <w:sz w:val="20"/>
          <w:lang w:val="es-AR"/>
        </w:rPr>
        <w:t xml:space="preserve"> </w:t>
      </w:r>
      <w:r w:rsidRPr="00AF39D7">
        <w:rPr>
          <w:sz w:val="20"/>
          <w:lang w:val="es-AR"/>
        </w:rPr>
        <w:t xml:space="preserve">parte peticionaria solicitó a la Comisión que suspendiera el procedimiento de solución </w:t>
      </w:r>
      <w:r w:rsidRPr="00AF39D7">
        <w:rPr>
          <w:sz w:val="20"/>
          <w:lang w:val="es-AR"/>
        </w:rPr>
        <w:t>amistosa y emitiera el Informe de Fondo</w:t>
      </w:r>
      <w:hyperlink w:anchor="_bookmark2" w:history="1">
        <w:r w:rsidRPr="00AF39D7">
          <w:rPr>
            <w:position w:val="7"/>
            <w:sz w:val="13"/>
            <w:lang w:val="es-AR"/>
          </w:rPr>
          <w:t>2</w:t>
        </w:r>
      </w:hyperlink>
      <w:r w:rsidRPr="00AF39D7">
        <w:rPr>
          <w:sz w:val="20"/>
          <w:lang w:val="es-AR"/>
        </w:rPr>
        <w:t>, pedido ratificado el 17 de diciembre de 2015</w:t>
      </w:r>
      <w:hyperlink w:anchor="_bookmark3" w:history="1">
        <w:r w:rsidRPr="00AF39D7">
          <w:rPr>
            <w:position w:val="7"/>
            <w:sz w:val="13"/>
            <w:lang w:val="es-AR"/>
          </w:rPr>
          <w:t>3</w:t>
        </w:r>
      </w:hyperlink>
      <w:r w:rsidRPr="00AF39D7">
        <w:rPr>
          <w:sz w:val="20"/>
          <w:lang w:val="es-AR"/>
        </w:rPr>
        <w:t>. Esta solicitud se fundamentó en que continuaban sin reparación las violaciones alegadas.</w:t>
      </w:r>
    </w:p>
    <w:p w14:paraId="3C4208E7" w14:textId="77777777" w:rsidR="00467FCA" w:rsidRPr="00AF39D7" w:rsidRDefault="00467FCA">
      <w:pPr>
        <w:pStyle w:val="Textoindependiente"/>
        <w:spacing w:before="10"/>
        <w:rPr>
          <w:sz w:val="19"/>
          <w:lang w:val="es-AR"/>
        </w:rPr>
      </w:pPr>
    </w:p>
    <w:p w14:paraId="4C5C4F33" w14:textId="77777777" w:rsidR="00467FCA" w:rsidRPr="00AF39D7" w:rsidRDefault="001B68EB">
      <w:pPr>
        <w:pStyle w:val="Prrafodelista"/>
        <w:numPr>
          <w:ilvl w:val="1"/>
          <w:numId w:val="51"/>
        </w:numPr>
        <w:tabs>
          <w:tab w:val="left" w:pos="1114"/>
        </w:tabs>
        <w:ind w:left="1115" w:right="115" w:hanging="434"/>
        <w:jc w:val="both"/>
        <w:rPr>
          <w:sz w:val="20"/>
          <w:lang w:val="es-AR"/>
        </w:rPr>
      </w:pPr>
      <w:r w:rsidRPr="00AF39D7">
        <w:rPr>
          <w:i/>
          <w:sz w:val="20"/>
          <w:lang w:val="es-AR"/>
        </w:rPr>
        <w:t>Informe de Admisi</w:t>
      </w:r>
      <w:r w:rsidRPr="00AF39D7">
        <w:rPr>
          <w:i/>
          <w:sz w:val="20"/>
          <w:lang w:val="es-AR"/>
        </w:rPr>
        <w:t xml:space="preserve">bilidad y Fondo. </w:t>
      </w:r>
      <w:r w:rsidRPr="00AF39D7">
        <w:rPr>
          <w:sz w:val="20"/>
          <w:lang w:val="es-AR"/>
        </w:rPr>
        <w:t>– El 2 de marzo de 2018, la Comisión emitió el Informe</w:t>
      </w:r>
      <w:r w:rsidRPr="00AF39D7">
        <w:rPr>
          <w:spacing w:val="-15"/>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Admisibilidad</w:t>
      </w:r>
      <w:r w:rsidRPr="00AF39D7">
        <w:rPr>
          <w:spacing w:val="-12"/>
          <w:sz w:val="20"/>
          <w:lang w:val="es-AR"/>
        </w:rPr>
        <w:t xml:space="preserve"> </w:t>
      </w:r>
      <w:r w:rsidRPr="00AF39D7">
        <w:rPr>
          <w:sz w:val="20"/>
          <w:lang w:val="es-AR"/>
        </w:rPr>
        <w:t>y</w:t>
      </w:r>
      <w:r w:rsidRPr="00AF39D7">
        <w:rPr>
          <w:spacing w:val="-14"/>
          <w:sz w:val="20"/>
          <w:lang w:val="es-AR"/>
        </w:rPr>
        <w:t xml:space="preserve"> </w:t>
      </w:r>
      <w:r w:rsidRPr="00AF39D7">
        <w:rPr>
          <w:sz w:val="20"/>
          <w:lang w:val="es-AR"/>
        </w:rPr>
        <w:t>Fondo</w:t>
      </w:r>
      <w:r w:rsidRPr="00AF39D7">
        <w:rPr>
          <w:spacing w:val="-14"/>
          <w:sz w:val="20"/>
          <w:lang w:val="es-AR"/>
        </w:rPr>
        <w:t xml:space="preserve"> </w:t>
      </w:r>
      <w:r w:rsidRPr="00AF39D7">
        <w:rPr>
          <w:sz w:val="20"/>
          <w:lang w:val="es-AR"/>
        </w:rPr>
        <w:t>No.</w:t>
      </w:r>
      <w:r w:rsidRPr="00AF39D7">
        <w:rPr>
          <w:spacing w:val="-13"/>
          <w:sz w:val="20"/>
          <w:lang w:val="es-AR"/>
        </w:rPr>
        <w:t xml:space="preserve"> </w:t>
      </w:r>
      <w:r w:rsidRPr="00AF39D7">
        <w:rPr>
          <w:sz w:val="20"/>
          <w:lang w:val="es-AR"/>
        </w:rPr>
        <w:t>25/18</w:t>
      </w:r>
      <w:r w:rsidRPr="00AF39D7">
        <w:rPr>
          <w:spacing w:val="-14"/>
          <w:sz w:val="20"/>
          <w:lang w:val="es-AR"/>
        </w:rPr>
        <w:t xml:space="preserve"> </w:t>
      </w:r>
      <w:r w:rsidRPr="00AF39D7">
        <w:rPr>
          <w:sz w:val="20"/>
          <w:lang w:val="es-AR"/>
        </w:rPr>
        <w:t>(en</w:t>
      </w:r>
      <w:r w:rsidRPr="00AF39D7">
        <w:rPr>
          <w:spacing w:val="-9"/>
          <w:sz w:val="20"/>
          <w:lang w:val="es-AR"/>
        </w:rPr>
        <w:t xml:space="preserve"> </w:t>
      </w:r>
      <w:r w:rsidRPr="00AF39D7">
        <w:rPr>
          <w:sz w:val="20"/>
          <w:lang w:val="es-AR"/>
        </w:rPr>
        <w:t>adelante</w:t>
      </w:r>
      <w:r w:rsidRPr="00AF39D7">
        <w:rPr>
          <w:spacing w:val="-14"/>
          <w:sz w:val="20"/>
          <w:lang w:val="es-AR"/>
        </w:rPr>
        <w:t xml:space="preserve"> </w:t>
      </w:r>
      <w:r w:rsidRPr="00AF39D7">
        <w:rPr>
          <w:sz w:val="20"/>
          <w:lang w:val="es-AR"/>
        </w:rPr>
        <w:t>“Informe</w:t>
      </w:r>
      <w:r w:rsidRPr="00AF39D7">
        <w:rPr>
          <w:spacing w:val="-15"/>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Admisibilidad</w:t>
      </w:r>
    </w:p>
    <w:p w14:paraId="0C5723BC" w14:textId="77777777" w:rsidR="00467FCA" w:rsidRPr="00AF39D7" w:rsidRDefault="001B68EB">
      <w:pPr>
        <w:pStyle w:val="Textoindependiente"/>
        <w:spacing w:before="8"/>
        <w:rPr>
          <w:sz w:val="11"/>
          <w:lang w:val="es-AR"/>
        </w:rPr>
      </w:pPr>
      <w:r>
        <w:pict w14:anchorId="2C1640F3">
          <v:shape id="_x0000_s1196" style="position:absolute;margin-left:1in;margin-top:9.35pt;width:2in;height:.1pt;z-index:-251658240;mso-wrap-distance-left:0;mso-wrap-distance-right:0;mso-position-horizontal-relative:page" coordorigin="1440,187" coordsize="2880,0" path="m1440,187r2880,e" filled="f" strokeweight=".6pt">
            <v:path arrowok="t"/>
            <w10:wrap type="topAndBottom" anchorx="page"/>
          </v:shape>
        </w:pict>
      </w:r>
    </w:p>
    <w:p w14:paraId="06028C5D" w14:textId="77777777" w:rsidR="00467FCA" w:rsidRPr="00AF39D7" w:rsidRDefault="001B68EB">
      <w:pPr>
        <w:tabs>
          <w:tab w:val="left" w:pos="839"/>
        </w:tabs>
        <w:spacing w:before="74"/>
        <w:ind w:left="120" w:right="129" w:hanging="1"/>
        <w:rPr>
          <w:sz w:val="16"/>
          <w:lang w:val="es-AR"/>
        </w:rPr>
      </w:pPr>
      <w:bookmarkStart w:id="3" w:name="_bookmark1"/>
      <w:bookmarkEnd w:id="3"/>
      <w:r w:rsidRPr="00AF39D7">
        <w:rPr>
          <w:position w:val="6"/>
          <w:sz w:val="10"/>
          <w:lang w:val="es-AR"/>
        </w:rPr>
        <w:t>1</w:t>
      </w:r>
      <w:r w:rsidRPr="00AF39D7">
        <w:rPr>
          <w:position w:val="6"/>
          <w:sz w:val="10"/>
          <w:lang w:val="es-AR"/>
        </w:rPr>
        <w:tab/>
      </w:r>
      <w:r w:rsidRPr="00AF39D7">
        <w:rPr>
          <w:i/>
          <w:sz w:val="16"/>
          <w:lang w:val="es-AR"/>
        </w:rPr>
        <w:t xml:space="preserve">Cfr. </w:t>
      </w:r>
      <w:r w:rsidRPr="00AF39D7">
        <w:rPr>
          <w:sz w:val="16"/>
          <w:lang w:val="es-AR"/>
        </w:rPr>
        <w:t>Acta de la reunión de inicio del proceso de solución amistosa, 20 de octubre de 2006 (expediente de</w:t>
      </w:r>
      <w:bookmarkStart w:id="4" w:name="_bookmark2"/>
      <w:bookmarkEnd w:id="4"/>
      <w:r w:rsidRPr="00AF39D7">
        <w:rPr>
          <w:sz w:val="16"/>
          <w:lang w:val="es-AR"/>
        </w:rPr>
        <w:t xml:space="preserve"> prueba, folios 803 a</w:t>
      </w:r>
      <w:r w:rsidRPr="00AF39D7">
        <w:rPr>
          <w:spacing w:val="-2"/>
          <w:sz w:val="16"/>
          <w:lang w:val="es-AR"/>
        </w:rPr>
        <w:t xml:space="preserve"> </w:t>
      </w:r>
      <w:r w:rsidRPr="00AF39D7">
        <w:rPr>
          <w:sz w:val="16"/>
          <w:lang w:val="es-AR"/>
        </w:rPr>
        <w:t>804).</w:t>
      </w:r>
    </w:p>
    <w:p w14:paraId="2ACF6D94" w14:textId="77777777" w:rsidR="00467FCA" w:rsidRPr="00AF39D7" w:rsidRDefault="001B68EB">
      <w:pPr>
        <w:tabs>
          <w:tab w:val="left" w:pos="839"/>
        </w:tabs>
        <w:ind w:left="120" w:right="129" w:hanging="1"/>
        <w:rPr>
          <w:sz w:val="16"/>
          <w:lang w:val="es-AR"/>
        </w:rPr>
      </w:pPr>
      <w:r w:rsidRPr="00AF39D7">
        <w:rPr>
          <w:position w:val="6"/>
          <w:sz w:val="10"/>
          <w:lang w:val="es-AR"/>
        </w:rPr>
        <w:t>2</w:t>
      </w:r>
      <w:r w:rsidRPr="00AF39D7">
        <w:rPr>
          <w:position w:val="6"/>
          <w:sz w:val="10"/>
          <w:lang w:val="es-AR"/>
        </w:rPr>
        <w:tab/>
      </w:r>
      <w:r w:rsidRPr="00AF39D7">
        <w:rPr>
          <w:i/>
          <w:sz w:val="16"/>
          <w:lang w:val="es-AR"/>
        </w:rPr>
        <w:t xml:space="preserve">Cfr. </w:t>
      </w:r>
      <w:r w:rsidRPr="00AF39D7">
        <w:rPr>
          <w:sz w:val="16"/>
          <w:lang w:val="es-AR"/>
        </w:rPr>
        <w:t>Comunicación No. 090/10 JG/RJ, remitida por los peticionarios a la Comisión Interamericana, 18 de octubre de 2010 (expedie</w:t>
      </w:r>
      <w:r w:rsidRPr="00AF39D7">
        <w:rPr>
          <w:sz w:val="16"/>
          <w:lang w:val="es-AR"/>
        </w:rPr>
        <w:t>nte de prueba, folios 191 a</w:t>
      </w:r>
      <w:r w:rsidRPr="00AF39D7">
        <w:rPr>
          <w:spacing w:val="-18"/>
          <w:sz w:val="16"/>
          <w:lang w:val="es-AR"/>
        </w:rPr>
        <w:t xml:space="preserve"> </w:t>
      </w:r>
      <w:r w:rsidRPr="00AF39D7">
        <w:rPr>
          <w:sz w:val="16"/>
          <w:lang w:val="es-AR"/>
        </w:rPr>
        <w:t>193).</w:t>
      </w:r>
    </w:p>
    <w:p w14:paraId="72AB9D88" w14:textId="77777777" w:rsidR="00467FCA" w:rsidRDefault="001B68EB">
      <w:pPr>
        <w:tabs>
          <w:tab w:val="left" w:pos="839"/>
        </w:tabs>
        <w:ind w:left="120" w:right="117" w:hanging="1"/>
        <w:rPr>
          <w:sz w:val="16"/>
        </w:rPr>
      </w:pPr>
      <w:bookmarkStart w:id="5" w:name="_bookmark3"/>
      <w:bookmarkEnd w:id="5"/>
      <w:r>
        <w:rPr>
          <w:position w:val="6"/>
          <w:sz w:val="10"/>
        </w:rPr>
        <w:t>3</w:t>
      </w:r>
      <w:r>
        <w:rPr>
          <w:position w:val="6"/>
          <w:sz w:val="10"/>
        </w:rPr>
        <w:tab/>
      </w:r>
      <w:r>
        <w:rPr>
          <w:i/>
          <w:sz w:val="16"/>
        </w:rPr>
        <w:t>Cfr.</w:t>
      </w:r>
      <w:r>
        <w:rPr>
          <w:i/>
          <w:spacing w:val="-14"/>
          <w:sz w:val="16"/>
        </w:rPr>
        <w:t xml:space="preserve"> </w:t>
      </w:r>
      <w:r>
        <w:rPr>
          <w:sz w:val="16"/>
        </w:rPr>
        <w:t>Comunicación</w:t>
      </w:r>
      <w:r>
        <w:rPr>
          <w:spacing w:val="-16"/>
          <w:sz w:val="16"/>
        </w:rPr>
        <w:t xml:space="preserve"> </w:t>
      </w:r>
      <w:r>
        <w:rPr>
          <w:sz w:val="16"/>
        </w:rPr>
        <w:t>No.</w:t>
      </w:r>
      <w:r>
        <w:rPr>
          <w:spacing w:val="-14"/>
          <w:sz w:val="16"/>
        </w:rPr>
        <w:t xml:space="preserve"> </w:t>
      </w:r>
      <w:r>
        <w:rPr>
          <w:sz w:val="16"/>
        </w:rPr>
        <w:t>JG</w:t>
      </w:r>
      <w:r>
        <w:rPr>
          <w:spacing w:val="-17"/>
          <w:sz w:val="16"/>
        </w:rPr>
        <w:t xml:space="preserve"> </w:t>
      </w:r>
      <w:r>
        <w:rPr>
          <w:sz w:val="16"/>
        </w:rPr>
        <w:t>76/15</w:t>
      </w:r>
      <w:r>
        <w:rPr>
          <w:spacing w:val="-15"/>
          <w:sz w:val="16"/>
        </w:rPr>
        <w:t xml:space="preserve"> </w:t>
      </w:r>
      <w:r>
        <w:rPr>
          <w:sz w:val="16"/>
        </w:rPr>
        <w:t>remitida</w:t>
      </w:r>
      <w:r>
        <w:rPr>
          <w:spacing w:val="-15"/>
          <w:sz w:val="16"/>
        </w:rPr>
        <w:t xml:space="preserve"> </w:t>
      </w:r>
      <w:r>
        <w:rPr>
          <w:sz w:val="16"/>
        </w:rPr>
        <w:t>por</w:t>
      </w:r>
      <w:r>
        <w:rPr>
          <w:spacing w:val="-12"/>
          <w:sz w:val="16"/>
        </w:rPr>
        <w:t xml:space="preserve"> </w:t>
      </w:r>
      <w:r>
        <w:rPr>
          <w:sz w:val="16"/>
        </w:rPr>
        <w:t>los</w:t>
      </w:r>
      <w:r>
        <w:rPr>
          <w:spacing w:val="-14"/>
          <w:sz w:val="16"/>
        </w:rPr>
        <w:t xml:space="preserve"> </w:t>
      </w:r>
      <w:r>
        <w:rPr>
          <w:sz w:val="16"/>
        </w:rPr>
        <w:t>peticionarios</w:t>
      </w:r>
      <w:r>
        <w:rPr>
          <w:spacing w:val="-14"/>
          <w:sz w:val="16"/>
        </w:rPr>
        <w:t xml:space="preserve"> </w:t>
      </w:r>
      <w:r>
        <w:rPr>
          <w:sz w:val="16"/>
        </w:rPr>
        <w:t>a</w:t>
      </w:r>
      <w:r>
        <w:rPr>
          <w:spacing w:val="-14"/>
          <w:sz w:val="16"/>
        </w:rPr>
        <w:t xml:space="preserve"> </w:t>
      </w:r>
      <w:r>
        <w:rPr>
          <w:sz w:val="16"/>
        </w:rPr>
        <w:t>la</w:t>
      </w:r>
      <w:r>
        <w:rPr>
          <w:spacing w:val="-15"/>
          <w:sz w:val="16"/>
        </w:rPr>
        <w:t xml:space="preserve"> </w:t>
      </w:r>
      <w:r>
        <w:rPr>
          <w:sz w:val="16"/>
        </w:rPr>
        <w:t>Comisión</w:t>
      </w:r>
      <w:r>
        <w:rPr>
          <w:spacing w:val="-14"/>
          <w:sz w:val="16"/>
        </w:rPr>
        <w:t xml:space="preserve"> </w:t>
      </w:r>
      <w:r>
        <w:rPr>
          <w:sz w:val="16"/>
        </w:rPr>
        <w:t>Interamericana,</w:t>
      </w:r>
      <w:r>
        <w:rPr>
          <w:spacing w:val="-15"/>
          <w:sz w:val="16"/>
        </w:rPr>
        <w:t xml:space="preserve"> </w:t>
      </w:r>
      <w:r>
        <w:rPr>
          <w:sz w:val="16"/>
        </w:rPr>
        <w:t>17</w:t>
      </w:r>
      <w:r>
        <w:rPr>
          <w:spacing w:val="-14"/>
          <w:sz w:val="16"/>
        </w:rPr>
        <w:t xml:space="preserve"> </w:t>
      </w:r>
      <w:r>
        <w:rPr>
          <w:sz w:val="16"/>
        </w:rPr>
        <w:t>de</w:t>
      </w:r>
      <w:r>
        <w:rPr>
          <w:spacing w:val="-14"/>
          <w:sz w:val="16"/>
        </w:rPr>
        <w:t xml:space="preserve"> </w:t>
      </w:r>
      <w:r>
        <w:rPr>
          <w:sz w:val="16"/>
        </w:rPr>
        <w:t>diciembre de 2015 (expediente de prueba, folios 618 a</w:t>
      </w:r>
      <w:r>
        <w:rPr>
          <w:spacing w:val="-6"/>
          <w:sz w:val="16"/>
        </w:rPr>
        <w:t xml:space="preserve"> </w:t>
      </w:r>
      <w:r>
        <w:rPr>
          <w:sz w:val="16"/>
        </w:rPr>
        <w:t>623).</w:t>
      </w:r>
    </w:p>
    <w:p w14:paraId="3CC75149" w14:textId="77777777" w:rsidR="00467FCA" w:rsidRDefault="00467FCA">
      <w:pPr>
        <w:rPr>
          <w:sz w:val="16"/>
        </w:rPr>
        <w:sectPr w:rsidR="00467FCA">
          <w:pgSz w:w="12240" w:h="15840"/>
          <w:pgMar w:top="1360" w:right="1320" w:bottom="1220" w:left="1320" w:header="0" w:footer="1037" w:gutter="0"/>
          <w:cols w:space="720"/>
        </w:sectPr>
      </w:pPr>
    </w:p>
    <w:p w14:paraId="45862021" w14:textId="77777777" w:rsidR="00467FCA" w:rsidRPr="00AF39D7" w:rsidRDefault="001B68EB">
      <w:pPr>
        <w:pStyle w:val="Textoindependiente"/>
        <w:spacing w:before="80"/>
        <w:ind w:left="1113" w:right="36"/>
        <w:rPr>
          <w:lang w:val="es-AR"/>
        </w:rPr>
      </w:pPr>
      <w:r w:rsidRPr="00AF39D7">
        <w:rPr>
          <w:lang w:val="es-AR"/>
        </w:rPr>
        <w:t>y Fondo” o “Informe No. 25/18”), en el cual lleg</w:t>
      </w:r>
      <w:r w:rsidRPr="00AF39D7">
        <w:rPr>
          <w:lang w:val="es-AR"/>
        </w:rPr>
        <w:t>ó a una serie de conclusiones</w:t>
      </w:r>
      <w:hyperlink w:anchor="_bookmark5" w:history="1">
        <w:r w:rsidRPr="00AF39D7">
          <w:rPr>
            <w:position w:val="7"/>
            <w:sz w:val="13"/>
            <w:lang w:val="es-AR"/>
          </w:rPr>
          <w:t>4</w:t>
        </w:r>
      </w:hyperlink>
      <w:r w:rsidRPr="00AF39D7">
        <w:rPr>
          <w:position w:val="7"/>
          <w:sz w:val="13"/>
          <w:lang w:val="es-AR"/>
        </w:rPr>
        <w:t xml:space="preserve"> </w:t>
      </w:r>
      <w:r w:rsidRPr="00AF39D7">
        <w:rPr>
          <w:lang w:val="es-AR"/>
        </w:rPr>
        <w:t>y formuló varias recomendaciones al Estado.</w:t>
      </w:r>
    </w:p>
    <w:p w14:paraId="458B7E2F" w14:textId="77777777" w:rsidR="00467FCA" w:rsidRPr="00AF39D7" w:rsidRDefault="00467FCA">
      <w:pPr>
        <w:pStyle w:val="Textoindependiente"/>
        <w:spacing w:before="1"/>
        <w:rPr>
          <w:lang w:val="es-AR"/>
        </w:rPr>
      </w:pPr>
    </w:p>
    <w:p w14:paraId="1374B601" w14:textId="77777777" w:rsidR="00467FCA" w:rsidRDefault="001B68EB">
      <w:pPr>
        <w:pStyle w:val="Prrafodelista"/>
        <w:numPr>
          <w:ilvl w:val="1"/>
          <w:numId w:val="51"/>
        </w:numPr>
        <w:tabs>
          <w:tab w:val="left" w:pos="1114"/>
        </w:tabs>
        <w:ind w:right="119" w:hanging="432"/>
        <w:jc w:val="both"/>
        <w:rPr>
          <w:sz w:val="20"/>
        </w:rPr>
      </w:pPr>
      <w:r w:rsidRPr="00AF39D7">
        <w:rPr>
          <w:i/>
          <w:sz w:val="20"/>
          <w:lang w:val="es-AR"/>
        </w:rPr>
        <w:t>Notificación</w:t>
      </w:r>
      <w:r w:rsidRPr="00AF39D7">
        <w:rPr>
          <w:i/>
          <w:spacing w:val="-19"/>
          <w:sz w:val="20"/>
          <w:lang w:val="es-AR"/>
        </w:rPr>
        <w:t xml:space="preserve"> </w:t>
      </w:r>
      <w:r w:rsidRPr="00AF39D7">
        <w:rPr>
          <w:i/>
          <w:sz w:val="20"/>
          <w:lang w:val="es-AR"/>
        </w:rPr>
        <w:t>al</w:t>
      </w:r>
      <w:r w:rsidRPr="00AF39D7">
        <w:rPr>
          <w:i/>
          <w:spacing w:val="-18"/>
          <w:sz w:val="20"/>
          <w:lang w:val="es-AR"/>
        </w:rPr>
        <w:t xml:space="preserve"> </w:t>
      </w:r>
      <w:r w:rsidRPr="00AF39D7">
        <w:rPr>
          <w:i/>
          <w:sz w:val="20"/>
          <w:lang w:val="es-AR"/>
        </w:rPr>
        <w:t>Estado.</w:t>
      </w:r>
      <w:r w:rsidRPr="00AF39D7">
        <w:rPr>
          <w:i/>
          <w:spacing w:val="-18"/>
          <w:sz w:val="20"/>
          <w:lang w:val="es-AR"/>
        </w:rPr>
        <w:t xml:space="preserve"> </w:t>
      </w:r>
      <w:r w:rsidRPr="00AF39D7">
        <w:rPr>
          <w:i/>
          <w:sz w:val="20"/>
          <w:lang w:val="es-AR"/>
        </w:rPr>
        <w:t>-</w:t>
      </w:r>
      <w:r w:rsidRPr="00AF39D7">
        <w:rPr>
          <w:i/>
          <w:spacing w:val="-18"/>
          <w:sz w:val="20"/>
          <w:lang w:val="es-AR"/>
        </w:rPr>
        <w:t xml:space="preserve"> </w:t>
      </w:r>
      <w:r w:rsidRPr="00AF39D7">
        <w:rPr>
          <w:sz w:val="20"/>
          <w:lang w:val="es-AR"/>
        </w:rPr>
        <w:t>Dicho</w:t>
      </w:r>
      <w:r w:rsidRPr="00AF39D7">
        <w:rPr>
          <w:spacing w:val="-21"/>
          <w:sz w:val="20"/>
          <w:lang w:val="es-AR"/>
        </w:rPr>
        <w:t xml:space="preserve"> </w:t>
      </w:r>
      <w:r w:rsidRPr="00AF39D7">
        <w:rPr>
          <w:sz w:val="20"/>
          <w:lang w:val="es-AR"/>
        </w:rPr>
        <w:t>informe</w:t>
      </w:r>
      <w:r w:rsidRPr="00AF39D7">
        <w:rPr>
          <w:spacing w:val="-19"/>
          <w:sz w:val="20"/>
          <w:lang w:val="es-AR"/>
        </w:rPr>
        <w:t xml:space="preserve"> </w:t>
      </w:r>
      <w:r w:rsidRPr="00AF39D7">
        <w:rPr>
          <w:sz w:val="20"/>
          <w:lang w:val="es-AR"/>
        </w:rPr>
        <w:t>fue</w:t>
      </w:r>
      <w:r w:rsidRPr="00AF39D7">
        <w:rPr>
          <w:spacing w:val="-21"/>
          <w:sz w:val="20"/>
          <w:lang w:val="es-AR"/>
        </w:rPr>
        <w:t xml:space="preserve"> </w:t>
      </w:r>
      <w:r w:rsidRPr="00AF39D7">
        <w:rPr>
          <w:sz w:val="20"/>
          <w:lang w:val="es-AR"/>
        </w:rPr>
        <w:t>notificado</w:t>
      </w:r>
      <w:r w:rsidRPr="00AF39D7">
        <w:rPr>
          <w:spacing w:val="-21"/>
          <w:sz w:val="20"/>
          <w:lang w:val="es-AR"/>
        </w:rPr>
        <w:t xml:space="preserve"> </w:t>
      </w:r>
      <w:r w:rsidRPr="00AF39D7">
        <w:rPr>
          <w:sz w:val="20"/>
          <w:lang w:val="es-AR"/>
        </w:rPr>
        <w:t>a</w:t>
      </w:r>
      <w:r w:rsidRPr="00AF39D7">
        <w:rPr>
          <w:spacing w:val="-20"/>
          <w:sz w:val="20"/>
          <w:lang w:val="es-AR"/>
        </w:rPr>
        <w:t xml:space="preserve"> </w:t>
      </w:r>
      <w:r w:rsidRPr="00AF39D7">
        <w:rPr>
          <w:sz w:val="20"/>
          <w:lang w:val="es-AR"/>
        </w:rPr>
        <w:t>Brasil</w:t>
      </w:r>
      <w:r w:rsidRPr="00AF39D7">
        <w:rPr>
          <w:spacing w:val="-20"/>
          <w:sz w:val="20"/>
          <w:lang w:val="es-AR"/>
        </w:rPr>
        <w:t xml:space="preserve"> </w:t>
      </w:r>
      <w:r w:rsidRPr="00AF39D7">
        <w:rPr>
          <w:sz w:val="20"/>
          <w:lang w:val="es-AR"/>
        </w:rPr>
        <w:t>mediante</w:t>
      </w:r>
      <w:r w:rsidRPr="00AF39D7">
        <w:rPr>
          <w:spacing w:val="-19"/>
          <w:sz w:val="20"/>
          <w:lang w:val="es-AR"/>
        </w:rPr>
        <w:t xml:space="preserve"> </w:t>
      </w:r>
      <w:r w:rsidRPr="00AF39D7">
        <w:rPr>
          <w:sz w:val="20"/>
          <w:lang w:val="es-AR"/>
        </w:rPr>
        <w:t>comunicación de 19 de junio de 2018, otorgándole un plazo de dos meses para informar sobre</w:t>
      </w:r>
      <w:r w:rsidRPr="00AF39D7">
        <w:rPr>
          <w:spacing w:val="-35"/>
          <w:sz w:val="20"/>
          <w:lang w:val="es-AR"/>
        </w:rPr>
        <w:t xml:space="preserve"> </w:t>
      </w:r>
      <w:r w:rsidRPr="00AF39D7">
        <w:rPr>
          <w:sz w:val="20"/>
          <w:lang w:val="es-AR"/>
        </w:rPr>
        <w:t xml:space="preserve">el cumplimiento de las recomendaciones. </w:t>
      </w:r>
      <w:r>
        <w:rPr>
          <w:sz w:val="20"/>
        </w:rPr>
        <w:t>El Estado no presentó información al respecto.</w:t>
      </w:r>
    </w:p>
    <w:p w14:paraId="7F771189" w14:textId="77777777" w:rsidR="00467FCA" w:rsidRDefault="00467FCA">
      <w:pPr>
        <w:pStyle w:val="Textoindependiente"/>
        <w:spacing w:before="11"/>
        <w:rPr>
          <w:sz w:val="19"/>
        </w:rPr>
      </w:pPr>
    </w:p>
    <w:p w14:paraId="15E8B86C" w14:textId="77777777" w:rsidR="00467FCA" w:rsidRPr="00AF39D7" w:rsidRDefault="001B68EB">
      <w:pPr>
        <w:pStyle w:val="Prrafodelista"/>
        <w:numPr>
          <w:ilvl w:val="0"/>
          <w:numId w:val="51"/>
        </w:numPr>
        <w:tabs>
          <w:tab w:val="left" w:pos="686"/>
        </w:tabs>
        <w:ind w:right="118" w:firstLine="0"/>
        <w:jc w:val="both"/>
        <w:rPr>
          <w:sz w:val="20"/>
          <w:lang w:val="es-AR"/>
        </w:rPr>
      </w:pPr>
      <w:r w:rsidRPr="00AF39D7">
        <w:rPr>
          <w:i/>
          <w:sz w:val="20"/>
          <w:lang w:val="es-AR"/>
        </w:rPr>
        <w:t xml:space="preserve">Sometimiento a la Corte. </w:t>
      </w:r>
      <w:r w:rsidRPr="00AF39D7">
        <w:rPr>
          <w:sz w:val="20"/>
          <w:lang w:val="es-AR"/>
        </w:rPr>
        <w:t>– El 19 de septiembre de 2018, la Comisión sometió a</w:t>
      </w:r>
      <w:r w:rsidRPr="00AF39D7">
        <w:rPr>
          <w:sz w:val="20"/>
          <w:lang w:val="es-AR"/>
        </w:rPr>
        <w:t xml:space="preserve"> la jurisdicción de la Corte la totalidad de los hechos y supuestas violaciones de derechos humanos descritas en el Informe No. 25/18 “por la necesidad de obtención de justicia y reparación para las presuntas víctimas y sus</w:t>
      </w:r>
      <w:r w:rsidRPr="00AF39D7">
        <w:rPr>
          <w:spacing w:val="-4"/>
          <w:sz w:val="20"/>
          <w:lang w:val="es-AR"/>
        </w:rPr>
        <w:t xml:space="preserve"> </w:t>
      </w:r>
      <w:r w:rsidRPr="00AF39D7">
        <w:rPr>
          <w:sz w:val="20"/>
          <w:lang w:val="es-AR"/>
        </w:rPr>
        <w:t>familiares”</w:t>
      </w:r>
      <w:hyperlink w:anchor="_bookmark6" w:history="1">
        <w:r w:rsidRPr="00AF39D7">
          <w:rPr>
            <w:position w:val="7"/>
            <w:sz w:val="13"/>
            <w:lang w:val="es-AR"/>
          </w:rPr>
          <w:t>5</w:t>
        </w:r>
      </w:hyperlink>
      <w:r w:rsidRPr="00AF39D7">
        <w:rPr>
          <w:sz w:val="20"/>
          <w:lang w:val="es-AR"/>
        </w:rPr>
        <w:t>.</w:t>
      </w:r>
    </w:p>
    <w:p w14:paraId="1BF7C042" w14:textId="77777777" w:rsidR="00467FCA" w:rsidRPr="00AF39D7" w:rsidRDefault="00467FCA">
      <w:pPr>
        <w:pStyle w:val="Textoindependiente"/>
        <w:spacing w:before="1"/>
        <w:rPr>
          <w:lang w:val="es-AR"/>
        </w:rPr>
      </w:pPr>
    </w:p>
    <w:p w14:paraId="0A976039" w14:textId="77777777" w:rsidR="00467FCA" w:rsidRPr="00AF39D7" w:rsidRDefault="001B68EB">
      <w:pPr>
        <w:pStyle w:val="Prrafodelista"/>
        <w:numPr>
          <w:ilvl w:val="0"/>
          <w:numId w:val="51"/>
        </w:numPr>
        <w:tabs>
          <w:tab w:val="left" w:pos="687"/>
        </w:tabs>
        <w:ind w:right="116" w:firstLine="0"/>
        <w:jc w:val="both"/>
        <w:rPr>
          <w:sz w:val="20"/>
          <w:lang w:val="es-AR"/>
        </w:rPr>
      </w:pPr>
      <w:r w:rsidRPr="00AF39D7">
        <w:rPr>
          <w:i/>
          <w:sz w:val="20"/>
          <w:lang w:val="es-AR"/>
        </w:rPr>
        <w:t>Solicitudes</w:t>
      </w:r>
      <w:r w:rsidRPr="00AF39D7">
        <w:rPr>
          <w:i/>
          <w:spacing w:val="-19"/>
          <w:sz w:val="20"/>
          <w:lang w:val="es-AR"/>
        </w:rPr>
        <w:t xml:space="preserve"> </w:t>
      </w:r>
      <w:r w:rsidRPr="00AF39D7">
        <w:rPr>
          <w:i/>
          <w:sz w:val="20"/>
          <w:lang w:val="es-AR"/>
        </w:rPr>
        <w:t>de</w:t>
      </w:r>
      <w:r w:rsidRPr="00AF39D7">
        <w:rPr>
          <w:i/>
          <w:spacing w:val="-20"/>
          <w:sz w:val="20"/>
          <w:lang w:val="es-AR"/>
        </w:rPr>
        <w:t xml:space="preserve"> </w:t>
      </w:r>
      <w:r w:rsidRPr="00AF39D7">
        <w:rPr>
          <w:i/>
          <w:sz w:val="20"/>
          <w:lang w:val="es-AR"/>
        </w:rPr>
        <w:t>la</w:t>
      </w:r>
      <w:r w:rsidRPr="00AF39D7">
        <w:rPr>
          <w:i/>
          <w:spacing w:val="-18"/>
          <w:sz w:val="20"/>
          <w:lang w:val="es-AR"/>
        </w:rPr>
        <w:t xml:space="preserve"> </w:t>
      </w:r>
      <w:r w:rsidRPr="00AF39D7">
        <w:rPr>
          <w:i/>
          <w:sz w:val="20"/>
          <w:lang w:val="es-AR"/>
        </w:rPr>
        <w:t>Comisión</w:t>
      </w:r>
      <w:r w:rsidRPr="00AF39D7">
        <w:rPr>
          <w:i/>
          <w:spacing w:val="-19"/>
          <w:sz w:val="20"/>
          <w:lang w:val="es-AR"/>
        </w:rPr>
        <w:t xml:space="preserve"> </w:t>
      </w:r>
      <w:r w:rsidRPr="00AF39D7">
        <w:rPr>
          <w:i/>
          <w:sz w:val="20"/>
          <w:lang w:val="es-AR"/>
        </w:rPr>
        <w:t>Interamericana.</w:t>
      </w:r>
      <w:r w:rsidRPr="00AF39D7">
        <w:rPr>
          <w:i/>
          <w:spacing w:val="-18"/>
          <w:sz w:val="20"/>
          <w:lang w:val="es-AR"/>
        </w:rPr>
        <w:t xml:space="preserve"> </w:t>
      </w:r>
      <w:r w:rsidRPr="00AF39D7">
        <w:rPr>
          <w:sz w:val="20"/>
          <w:lang w:val="es-AR"/>
        </w:rPr>
        <w:t>–</w:t>
      </w:r>
      <w:r w:rsidRPr="00AF39D7">
        <w:rPr>
          <w:spacing w:val="-18"/>
          <w:sz w:val="20"/>
          <w:lang w:val="es-AR"/>
        </w:rPr>
        <w:t xml:space="preserve"> </w:t>
      </w:r>
      <w:r w:rsidRPr="00AF39D7">
        <w:rPr>
          <w:sz w:val="20"/>
          <w:lang w:val="es-AR"/>
        </w:rPr>
        <w:t>Con</w:t>
      </w:r>
      <w:r w:rsidRPr="00AF39D7">
        <w:rPr>
          <w:spacing w:val="-17"/>
          <w:sz w:val="20"/>
          <w:lang w:val="es-AR"/>
        </w:rPr>
        <w:t xml:space="preserve"> </w:t>
      </w:r>
      <w:r w:rsidRPr="00AF39D7">
        <w:rPr>
          <w:sz w:val="20"/>
          <w:lang w:val="es-AR"/>
        </w:rPr>
        <w:t>base</w:t>
      </w:r>
      <w:r w:rsidRPr="00AF39D7">
        <w:rPr>
          <w:spacing w:val="-19"/>
          <w:sz w:val="20"/>
          <w:lang w:val="es-AR"/>
        </w:rPr>
        <w:t xml:space="preserve"> </w:t>
      </w:r>
      <w:r w:rsidRPr="00AF39D7">
        <w:rPr>
          <w:sz w:val="20"/>
          <w:lang w:val="es-AR"/>
        </w:rPr>
        <w:t>en</w:t>
      </w:r>
      <w:r w:rsidRPr="00AF39D7">
        <w:rPr>
          <w:spacing w:val="-17"/>
          <w:sz w:val="20"/>
          <w:lang w:val="es-AR"/>
        </w:rPr>
        <w:t xml:space="preserve"> </w:t>
      </w:r>
      <w:r w:rsidRPr="00AF39D7">
        <w:rPr>
          <w:sz w:val="20"/>
          <w:lang w:val="es-AR"/>
        </w:rPr>
        <w:t>lo</w:t>
      </w:r>
      <w:r w:rsidRPr="00AF39D7">
        <w:rPr>
          <w:spacing w:val="-20"/>
          <w:sz w:val="20"/>
          <w:lang w:val="es-AR"/>
        </w:rPr>
        <w:t xml:space="preserve"> </w:t>
      </w:r>
      <w:r w:rsidRPr="00AF39D7">
        <w:rPr>
          <w:sz w:val="20"/>
          <w:lang w:val="es-AR"/>
        </w:rPr>
        <w:t>anterior,</w:t>
      </w:r>
      <w:r w:rsidRPr="00AF39D7">
        <w:rPr>
          <w:spacing w:val="-18"/>
          <w:sz w:val="20"/>
          <w:lang w:val="es-AR"/>
        </w:rPr>
        <w:t xml:space="preserve"> </w:t>
      </w:r>
      <w:r w:rsidRPr="00AF39D7">
        <w:rPr>
          <w:sz w:val="20"/>
          <w:lang w:val="es-AR"/>
        </w:rPr>
        <w:t>la</w:t>
      </w:r>
      <w:r w:rsidRPr="00AF39D7">
        <w:rPr>
          <w:spacing w:val="-21"/>
          <w:sz w:val="20"/>
          <w:lang w:val="es-AR"/>
        </w:rPr>
        <w:t xml:space="preserve"> </w:t>
      </w:r>
      <w:r w:rsidRPr="00AF39D7">
        <w:rPr>
          <w:sz w:val="20"/>
          <w:lang w:val="es-AR"/>
        </w:rPr>
        <w:t>Comisión</w:t>
      </w:r>
      <w:r w:rsidRPr="00AF39D7">
        <w:rPr>
          <w:spacing w:val="-17"/>
          <w:sz w:val="20"/>
          <w:lang w:val="es-AR"/>
        </w:rPr>
        <w:t xml:space="preserve"> </w:t>
      </w:r>
      <w:r w:rsidRPr="00AF39D7">
        <w:rPr>
          <w:sz w:val="20"/>
          <w:lang w:val="es-AR"/>
        </w:rPr>
        <w:t>solicitó a la Corte que concluyera y declarara la responsabilidad internacional del Estado por las violaciones contenidas en su Informe de Admisibilidad y Fondo (</w:t>
      </w:r>
      <w:r w:rsidRPr="00AF39D7">
        <w:rPr>
          <w:i/>
          <w:sz w:val="20"/>
          <w:lang w:val="es-AR"/>
        </w:rPr>
        <w:t xml:space="preserve">supra </w:t>
      </w:r>
      <w:r w:rsidRPr="00AF39D7">
        <w:rPr>
          <w:sz w:val="20"/>
          <w:lang w:val="es-AR"/>
        </w:rPr>
        <w:t xml:space="preserve">párr. </w:t>
      </w:r>
      <w:r>
        <w:rPr>
          <w:sz w:val="20"/>
        </w:rPr>
        <w:t>2.d) y ordenara al Estado, como medidas de reparación, aquellas incluidas en dicho</w:t>
      </w:r>
      <w:r>
        <w:rPr>
          <w:sz w:val="20"/>
        </w:rPr>
        <w:t xml:space="preserve"> informe. </w:t>
      </w:r>
      <w:r w:rsidRPr="00AF39D7">
        <w:rPr>
          <w:sz w:val="20"/>
          <w:lang w:val="es-AR"/>
        </w:rPr>
        <w:t>Este Tribunal nota con preocupación que, entre la presentación de la petición inicial ante la Comisión y el sometimiento del caso ante la Corte, han transcurrido casi 17</w:t>
      </w:r>
      <w:r w:rsidRPr="00AF39D7">
        <w:rPr>
          <w:spacing w:val="-11"/>
          <w:sz w:val="20"/>
          <w:lang w:val="es-AR"/>
        </w:rPr>
        <w:t xml:space="preserve"> </w:t>
      </w:r>
      <w:r w:rsidRPr="00AF39D7">
        <w:rPr>
          <w:sz w:val="20"/>
          <w:lang w:val="es-AR"/>
        </w:rPr>
        <w:t>años.</w:t>
      </w:r>
    </w:p>
    <w:p w14:paraId="6C531FAE" w14:textId="77777777" w:rsidR="00467FCA" w:rsidRPr="00AF39D7" w:rsidRDefault="00467FCA">
      <w:pPr>
        <w:pStyle w:val="Textoindependiente"/>
        <w:rPr>
          <w:lang w:val="es-AR"/>
        </w:rPr>
      </w:pPr>
    </w:p>
    <w:p w14:paraId="4BF34029" w14:textId="77777777" w:rsidR="00467FCA" w:rsidRDefault="001B68EB">
      <w:pPr>
        <w:pStyle w:val="Ttulo1"/>
        <w:spacing w:before="1" w:line="276" w:lineRule="auto"/>
        <w:ind w:left="2913" w:right="2896" w:firstLine="1776"/>
      </w:pPr>
      <w:bookmarkStart w:id="6" w:name="II_PROCEDIMIENTO_ANTE_LA_CORTE"/>
      <w:bookmarkStart w:id="7" w:name="_bookmark4"/>
      <w:bookmarkEnd w:id="6"/>
      <w:bookmarkEnd w:id="7"/>
      <w:r>
        <w:t>II PROCEDIMIENTO ANTE LA CORTE</w:t>
      </w:r>
    </w:p>
    <w:p w14:paraId="4DF138BD" w14:textId="77777777" w:rsidR="00467FCA" w:rsidRDefault="00467FCA">
      <w:pPr>
        <w:pStyle w:val="Textoindependiente"/>
        <w:spacing w:before="11"/>
        <w:rPr>
          <w:b/>
          <w:sz w:val="19"/>
        </w:rPr>
      </w:pPr>
    </w:p>
    <w:p w14:paraId="3A1A8E51" w14:textId="77777777" w:rsidR="00467FCA" w:rsidRPr="00AF39D7" w:rsidRDefault="001B68EB">
      <w:pPr>
        <w:pStyle w:val="Prrafodelista"/>
        <w:numPr>
          <w:ilvl w:val="0"/>
          <w:numId w:val="51"/>
        </w:numPr>
        <w:tabs>
          <w:tab w:val="left" w:pos="687"/>
        </w:tabs>
        <w:ind w:right="120" w:firstLine="0"/>
        <w:jc w:val="both"/>
        <w:rPr>
          <w:sz w:val="20"/>
          <w:lang w:val="es-AR"/>
        </w:rPr>
      </w:pPr>
      <w:r w:rsidRPr="00AF39D7">
        <w:rPr>
          <w:i/>
          <w:sz w:val="20"/>
          <w:lang w:val="es-AR"/>
        </w:rPr>
        <w:t xml:space="preserve">Notificación al Estado y a los representantes. </w:t>
      </w:r>
      <w:r w:rsidRPr="00AF39D7">
        <w:rPr>
          <w:sz w:val="20"/>
          <w:lang w:val="es-AR"/>
        </w:rPr>
        <w:t>– El sometimiento del caso fue notificado al Estado y a los representantes de las presuntas víctimas</w:t>
      </w:r>
      <w:hyperlink w:anchor="_bookmark7" w:history="1">
        <w:r w:rsidRPr="00AF39D7">
          <w:rPr>
            <w:position w:val="7"/>
            <w:sz w:val="13"/>
            <w:lang w:val="es-AR"/>
          </w:rPr>
          <w:t>6</w:t>
        </w:r>
      </w:hyperlink>
      <w:r w:rsidRPr="00AF39D7">
        <w:rPr>
          <w:position w:val="7"/>
          <w:sz w:val="13"/>
          <w:lang w:val="es-AR"/>
        </w:rPr>
        <w:t xml:space="preserve"> </w:t>
      </w:r>
      <w:r w:rsidRPr="00AF39D7">
        <w:rPr>
          <w:sz w:val="20"/>
          <w:lang w:val="es-AR"/>
        </w:rPr>
        <w:t>el 30 de octubre de</w:t>
      </w:r>
      <w:r w:rsidRPr="00AF39D7">
        <w:rPr>
          <w:spacing w:val="-43"/>
          <w:sz w:val="20"/>
          <w:lang w:val="es-AR"/>
        </w:rPr>
        <w:t xml:space="preserve"> </w:t>
      </w:r>
      <w:r w:rsidRPr="00AF39D7">
        <w:rPr>
          <w:sz w:val="20"/>
          <w:lang w:val="es-AR"/>
        </w:rPr>
        <w:t>2018.</w:t>
      </w:r>
    </w:p>
    <w:p w14:paraId="27D2833B" w14:textId="77777777" w:rsidR="00467FCA" w:rsidRPr="00AF39D7" w:rsidRDefault="00467FCA">
      <w:pPr>
        <w:pStyle w:val="Textoindependiente"/>
        <w:rPr>
          <w:lang w:val="es-AR"/>
        </w:rPr>
      </w:pPr>
    </w:p>
    <w:p w14:paraId="5201450D" w14:textId="77777777" w:rsidR="00467FCA" w:rsidRPr="00AF39D7" w:rsidRDefault="001B68EB">
      <w:pPr>
        <w:pStyle w:val="Prrafodelista"/>
        <w:numPr>
          <w:ilvl w:val="0"/>
          <w:numId w:val="51"/>
        </w:numPr>
        <w:tabs>
          <w:tab w:val="left" w:pos="687"/>
        </w:tabs>
        <w:spacing w:before="1"/>
        <w:ind w:right="117" w:firstLine="0"/>
        <w:jc w:val="both"/>
        <w:rPr>
          <w:sz w:val="20"/>
          <w:lang w:val="es-AR"/>
        </w:rPr>
      </w:pPr>
      <w:r w:rsidRPr="00AF39D7">
        <w:rPr>
          <w:i/>
          <w:sz w:val="20"/>
          <w:lang w:val="es-AR"/>
        </w:rPr>
        <w:t>Escrito</w:t>
      </w:r>
      <w:r w:rsidRPr="00AF39D7">
        <w:rPr>
          <w:i/>
          <w:spacing w:val="-10"/>
          <w:sz w:val="20"/>
          <w:lang w:val="es-AR"/>
        </w:rPr>
        <w:t xml:space="preserve"> </w:t>
      </w:r>
      <w:r w:rsidRPr="00AF39D7">
        <w:rPr>
          <w:i/>
          <w:sz w:val="20"/>
          <w:lang w:val="es-AR"/>
        </w:rPr>
        <w:t>de</w:t>
      </w:r>
      <w:r w:rsidRPr="00AF39D7">
        <w:rPr>
          <w:i/>
          <w:spacing w:val="-9"/>
          <w:sz w:val="20"/>
          <w:lang w:val="es-AR"/>
        </w:rPr>
        <w:t xml:space="preserve"> </w:t>
      </w:r>
      <w:r w:rsidRPr="00AF39D7">
        <w:rPr>
          <w:i/>
          <w:sz w:val="20"/>
          <w:lang w:val="es-AR"/>
        </w:rPr>
        <w:t>solicitudes,</w:t>
      </w:r>
      <w:r w:rsidRPr="00AF39D7">
        <w:rPr>
          <w:i/>
          <w:spacing w:val="-11"/>
          <w:sz w:val="20"/>
          <w:lang w:val="es-AR"/>
        </w:rPr>
        <w:t xml:space="preserve"> </w:t>
      </w:r>
      <w:r w:rsidRPr="00AF39D7">
        <w:rPr>
          <w:i/>
          <w:sz w:val="20"/>
          <w:lang w:val="es-AR"/>
        </w:rPr>
        <w:t>argumentos</w:t>
      </w:r>
      <w:r w:rsidRPr="00AF39D7">
        <w:rPr>
          <w:i/>
          <w:spacing w:val="-11"/>
          <w:sz w:val="20"/>
          <w:lang w:val="es-AR"/>
        </w:rPr>
        <w:t xml:space="preserve"> </w:t>
      </w:r>
      <w:r w:rsidRPr="00AF39D7">
        <w:rPr>
          <w:i/>
          <w:sz w:val="20"/>
          <w:lang w:val="es-AR"/>
        </w:rPr>
        <w:t>y</w:t>
      </w:r>
      <w:r w:rsidRPr="00AF39D7">
        <w:rPr>
          <w:i/>
          <w:spacing w:val="-8"/>
          <w:sz w:val="20"/>
          <w:lang w:val="es-AR"/>
        </w:rPr>
        <w:t xml:space="preserve"> </w:t>
      </w:r>
      <w:r w:rsidRPr="00AF39D7">
        <w:rPr>
          <w:i/>
          <w:sz w:val="20"/>
          <w:lang w:val="es-AR"/>
        </w:rPr>
        <w:t>pruebas.</w:t>
      </w:r>
      <w:r w:rsidRPr="00AF39D7">
        <w:rPr>
          <w:i/>
          <w:spacing w:val="-10"/>
          <w:sz w:val="20"/>
          <w:lang w:val="es-AR"/>
        </w:rPr>
        <w:t xml:space="preserve"> </w:t>
      </w:r>
      <w:r w:rsidRPr="00AF39D7">
        <w:rPr>
          <w:sz w:val="20"/>
          <w:lang w:val="es-AR"/>
        </w:rPr>
        <w:t>–</w:t>
      </w:r>
      <w:r w:rsidRPr="00AF39D7">
        <w:rPr>
          <w:spacing w:val="-7"/>
          <w:sz w:val="20"/>
          <w:lang w:val="es-AR"/>
        </w:rPr>
        <w:t xml:space="preserve"> </w:t>
      </w:r>
      <w:r w:rsidRPr="00AF39D7">
        <w:rPr>
          <w:sz w:val="20"/>
          <w:lang w:val="es-AR"/>
        </w:rPr>
        <w:t>El</w:t>
      </w:r>
      <w:r w:rsidRPr="00AF39D7">
        <w:rPr>
          <w:spacing w:val="-10"/>
          <w:sz w:val="20"/>
          <w:lang w:val="es-AR"/>
        </w:rPr>
        <w:t xml:space="preserve"> </w:t>
      </w:r>
      <w:r w:rsidRPr="00AF39D7">
        <w:rPr>
          <w:sz w:val="20"/>
          <w:lang w:val="es-AR"/>
        </w:rPr>
        <w:t>8</w:t>
      </w:r>
      <w:r w:rsidRPr="00AF39D7">
        <w:rPr>
          <w:spacing w:val="-10"/>
          <w:sz w:val="20"/>
          <w:lang w:val="es-AR"/>
        </w:rPr>
        <w:t xml:space="preserve"> </w:t>
      </w:r>
      <w:r w:rsidRPr="00AF39D7">
        <w:rPr>
          <w:sz w:val="20"/>
          <w:lang w:val="es-AR"/>
        </w:rPr>
        <w:t>de</w:t>
      </w:r>
      <w:r w:rsidRPr="00AF39D7">
        <w:rPr>
          <w:spacing w:val="-9"/>
          <w:sz w:val="20"/>
          <w:lang w:val="es-AR"/>
        </w:rPr>
        <w:t xml:space="preserve"> </w:t>
      </w:r>
      <w:r w:rsidRPr="00AF39D7">
        <w:rPr>
          <w:sz w:val="20"/>
          <w:lang w:val="es-AR"/>
        </w:rPr>
        <w:t>enero</w:t>
      </w:r>
      <w:r w:rsidRPr="00AF39D7">
        <w:rPr>
          <w:spacing w:val="-10"/>
          <w:sz w:val="20"/>
          <w:lang w:val="es-AR"/>
        </w:rPr>
        <w:t xml:space="preserve"> </w:t>
      </w:r>
      <w:r w:rsidRPr="00AF39D7">
        <w:rPr>
          <w:sz w:val="20"/>
          <w:lang w:val="es-AR"/>
        </w:rPr>
        <w:t>de</w:t>
      </w:r>
      <w:r w:rsidRPr="00AF39D7">
        <w:rPr>
          <w:spacing w:val="-9"/>
          <w:sz w:val="20"/>
          <w:lang w:val="es-AR"/>
        </w:rPr>
        <w:t xml:space="preserve"> </w:t>
      </w:r>
      <w:r w:rsidRPr="00AF39D7">
        <w:rPr>
          <w:sz w:val="20"/>
          <w:lang w:val="es-AR"/>
        </w:rPr>
        <w:t>2019,</w:t>
      </w:r>
      <w:r w:rsidRPr="00AF39D7">
        <w:rPr>
          <w:spacing w:val="-8"/>
          <w:sz w:val="20"/>
          <w:lang w:val="es-AR"/>
        </w:rPr>
        <w:t xml:space="preserve"> </w:t>
      </w:r>
      <w:r w:rsidRPr="00AF39D7">
        <w:rPr>
          <w:sz w:val="20"/>
          <w:lang w:val="es-AR"/>
        </w:rPr>
        <w:t>el</w:t>
      </w:r>
      <w:r w:rsidRPr="00AF39D7">
        <w:rPr>
          <w:spacing w:val="-10"/>
          <w:sz w:val="20"/>
          <w:lang w:val="es-AR"/>
        </w:rPr>
        <w:t xml:space="preserve"> </w:t>
      </w:r>
      <w:r w:rsidRPr="00AF39D7">
        <w:rPr>
          <w:sz w:val="20"/>
          <w:lang w:val="es-AR"/>
        </w:rPr>
        <w:t>Movimento</w:t>
      </w:r>
      <w:r w:rsidRPr="00AF39D7">
        <w:rPr>
          <w:spacing w:val="-11"/>
          <w:sz w:val="20"/>
          <w:lang w:val="es-AR"/>
        </w:rPr>
        <w:t xml:space="preserve"> </w:t>
      </w:r>
      <w:r w:rsidRPr="00AF39D7">
        <w:rPr>
          <w:sz w:val="20"/>
          <w:lang w:val="es-AR"/>
        </w:rPr>
        <w:t>11 de Dezembro, Justiça Global, la Rede Social de Justiça e Direitos Humanos, el Fórum de Direitos Humanos de Santo Antônio de Jesus/Bahia, Ailton José dos Santos, Yulo Oiticica y Nelson Portela Pellegrino (en adelante “lo</w:t>
      </w:r>
      <w:r w:rsidRPr="00AF39D7">
        <w:rPr>
          <w:sz w:val="20"/>
          <w:lang w:val="es-AR"/>
        </w:rPr>
        <w:t>s representantes”) presentaron su escrito de solicitudes,</w:t>
      </w:r>
      <w:r w:rsidRPr="00AF39D7">
        <w:rPr>
          <w:spacing w:val="-12"/>
          <w:sz w:val="20"/>
          <w:lang w:val="es-AR"/>
        </w:rPr>
        <w:t xml:space="preserve"> </w:t>
      </w:r>
      <w:r w:rsidRPr="00AF39D7">
        <w:rPr>
          <w:sz w:val="20"/>
          <w:lang w:val="es-AR"/>
        </w:rPr>
        <w:t>argumentos</w:t>
      </w:r>
      <w:r w:rsidRPr="00AF39D7">
        <w:rPr>
          <w:spacing w:val="-10"/>
          <w:sz w:val="20"/>
          <w:lang w:val="es-AR"/>
        </w:rPr>
        <w:t xml:space="preserve"> </w:t>
      </w:r>
      <w:r w:rsidRPr="00AF39D7">
        <w:rPr>
          <w:sz w:val="20"/>
          <w:lang w:val="es-AR"/>
        </w:rPr>
        <w:t>y</w:t>
      </w:r>
      <w:r w:rsidRPr="00AF39D7">
        <w:rPr>
          <w:spacing w:val="-12"/>
          <w:sz w:val="20"/>
          <w:lang w:val="es-AR"/>
        </w:rPr>
        <w:t xml:space="preserve"> </w:t>
      </w:r>
      <w:r w:rsidRPr="00AF39D7">
        <w:rPr>
          <w:sz w:val="20"/>
          <w:lang w:val="es-AR"/>
        </w:rPr>
        <w:t>pruebas</w:t>
      </w:r>
      <w:r w:rsidRPr="00AF39D7">
        <w:rPr>
          <w:spacing w:val="-10"/>
          <w:sz w:val="20"/>
          <w:lang w:val="es-AR"/>
        </w:rPr>
        <w:t xml:space="preserve"> </w:t>
      </w:r>
      <w:r w:rsidRPr="00AF39D7">
        <w:rPr>
          <w:sz w:val="20"/>
          <w:lang w:val="es-AR"/>
        </w:rPr>
        <w:t>(en</w:t>
      </w:r>
      <w:r w:rsidRPr="00AF39D7">
        <w:rPr>
          <w:spacing w:val="-10"/>
          <w:sz w:val="20"/>
          <w:lang w:val="es-AR"/>
        </w:rPr>
        <w:t xml:space="preserve"> </w:t>
      </w:r>
      <w:r w:rsidRPr="00AF39D7">
        <w:rPr>
          <w:sz w:val="20"/>
          <w:lang w:val="es-AR"/>
        </w:rPr>
        <w:t>adelante</w:t>
      </w:r>
      <w:r w:rsidRPr="00AF39D7">
        <w:rPr>
          <w:spacing w:val="-8"/>
          <w:sz w:val="20"/>
          <w:lang w:val="es-AR"/>
        </w:rPr>
        <w:t xml:space="preserve"> </w:t>
      </w:r>
      <w:r w:rsidRPr="00AF39D7">
        <w:rPr>
          <w:sz w:val="20"/>
          <w:lang w:val="es-AR"/>
        </w:rPr>
        <w:t>“escrito</w:t>
      </w:r>
      <w:r w:rsidRPr="00AF39D7">
        <w:rPr>
          <w:spacing w:val="-11"/>
          <w:sz w:val="20"/>
          <w:lang w:val="es-AR"/>
        </w:rPr>
        <w:t xml:space="preserve"> </w:t>
      </w:r>
      <w:r w:rsidRPr="00AF39D7">
        <w:rPr>
          <w:sz w:val="20"/>
          <w:lang w:val="es-AR"/>
        </w:rPr>
        <w:t>de</w:t>
      </w:r>
      <w:r w:rsidRPr="00AF39D7">
        <w:rPr>
          <w:spacing w:val="-10"/>
          <w:sz w:val="20"/>
          <w:lang w:val="es-AR"/>
        </w:rPr>
        <w:t xml:space="preserve"> </w:t>
      </w:r>
      <w:r w:rsidRPr="00AF39D7">
        <w:rPr>
          <w:sz w:val="20"/>
          <w:lang w:val="es-AR"/>
        </w:rPr>
        <w:t>solicitudes</w:t>
      </w:r>
      <w:r w:rsidRPr="00AF39D7">
        <w:rPr>
          <w:spacing w:val="-10"/>
          <w:sz w:val="20"/>
          <w:lang w:val="es-AR"/>
        </w:rPr>
        <w:t xml:space="preserve"> </w:t>
      </w:r>
      <w:r w:rsidRPr="00AF39D7">
        <w:rPr>
          <w:sz w:val="20"/>
          <w:lang w:val="es-AR"/>
        </w:rPr>
        <w:t>y</w:t>
      </w:r>
      <w:r w:rsidRPr="00AF39D7">
        <w:rPr>
          <w:spacing w:val="-9"/>
          <w:sz w:val="20"/>
          <w:lang w:val="es-AR"/>
        </w:rPr>
        <w:t xml:space="preserve"> </w:t>
      </w:r>
      <w:r w:rsidRPr="00AF39D7">
        <w:rPr>
          <w:sz w:val="20"/>
          <w:lang w:val="es-AR"/>
        </w:rPr>
        <w:t>argumentos”),</w:t>
      </w:r>
      <w:r w:rsidRPr="00AF39D7">
        <w:rPr>
          <w:spacing w:val="-9"/>
          <w:sz w:val="20"/>
          <w:lang w:val="es-AR"/>
        </w:rPr>
        <w:t xml:space="preserve"> </w:t>
      </w:r>
      <w:r w:rsidRPr="00AF39D7">
        <w:rPr>
          <w:sz w:val="20"/>
          <w:lang w:val="es-AR"/>
        </w:rPr>
        <w:t>en</w:t>
      </w:r>
      <w:r w:rsidRPr="00AF39D7">
        <w:rPr>
          <w:spacing w:val="-10"/>
          <w:sz w:val="20"/>
          <w:lang w:val="es-AR"/>
        </w:rPr>
        <w:t xml:space="preserve"> </w:t>
      </w:r>
      <w:r w:rsidRPr="00AF39D7">
        <w:rPr>
          <w:sz w:val="20"/>
          <w:lang w:val="es-AR"/>
        </w:rPr>
        <w:t>los términos</w:t>
      </w:r>
      <w:r w:rsidRPr="00AF39D7">
        <w:rPr>
          <w:spacing w:val="-21"/>
          <w:sz w:val="20"/>
          <w:lang w:val="es-AR"/>
        </w:rPr>
        <w:t xml:space="preserve"> </w:t>
      </w:r>
      <w:r w:rsidRPr="00AF39D7">
        <w:rPr>
          <w:sz w:val="20"/>
          <w:lang w:val="es-AR"/>
        </w:rPr>
        <w:t>de</w:t>
      </w:r>
      <w:r w:rsidRPr="00AF39D7">
        <w:rPr>
          <w:spacing w:val="-21"/>
          <w:sz w:val="20"/>
          <w:lang w:val="es-AR"/>
        </w:rPr>
        <w:t xml:space="preserve"> </w:t>
      </w:r>
      <w:r w:rsidRPr="00AF39D7">
        <w:rPr>
          <w:sz w:val="20"/>
          <w:lang w:val="es-AR"/>
        </w:rPr>
        <w:t>los</w:t>
      </w:r>
      <w:r w:rsidRPr="00AF39D7">
        <w:rPr>
          <w:spacing w:val="-18"/>
          <w:sz w:val="20"/>
          <w:lang w:val="es-AR"/>
        </w:rPr>
        <w:t xml:space="preserve"> </w:t>
      </w:r>
      <w:r w:rsidRPr="00AF39D7">
        <w:rPr>
          <w:sz w:val="20"/>
          <w:lang w:val="es-AR"/>
        </w:rPr>
        <w:t>artículos</w:t>
      </w:r>
      <w:r w:rsidRPr="00AF39D7">
        <w:rPr>
          <w:spacing w:val="-18"/>
          <w:sz w:val="20"/>
          <w:lang w:val="es-AR"/>
        </w:rPr>
        <w:t xml:space="preserve"> </w:t>
      </w:r>
      <w:r w:rsidRPr="00AF39D7">
        <w:rPr>
          <w:sz w:val="20"/>
          <w:lang w:val="es-AR"/>
        </w:rPr>
        <w:t>25</w:t>
      </w:r>
      <w:r w:rsidRPr="00AF39D7">
        <w:rPr>
          <w:spacing w:val="-19"/>
          <w:sz w:val="20"/>
          <w:lang w:val="es-AR"/>
        </w:rPr>
        <w:t xml:space="preserve"> </w:t>
      </w:r>
      <w:r w:rsidRPr="00AF39D7">
        <w:rPr>
          <w:sz w:val="20"/>
          <w:lang w:val="es-AR"/>
        </w:rPr>
        <w:t>y</w:t>
      </w:r>
      <w:r w:rsidRPr="00AF39D7">
        <w:rPr>
          <w:spacing w:val="-18"/>
          <w:sz w:val="20"/>
          <w:lang w:val="es-AR"/>
        </w:rPr>
        <w:t xml:space="preserve"> </w:t>
      </w:r>
      <w:r w:rsidRPr="00AF39D7">
        <w:rPr>
          <w:sz w:val="20"/>
          <w:lang w:val="es-AR"/>
        </w:rPr>
        <w:t>40</w:t>
      </w:r>
      <w:r w:rsidRPr="00AF39D7">
        <w:rPr>
          <w:spacing w:val="-19"/>
          <w:sz w:val="20"/>
          <w:lang w:val="es-AR"/>
        </w:rPr>
        <w:t xml:space="preserve"> </w:t>
      </w:r>
      <w:r w:rsidRPr="00AF39D7">
        <w:rPr>
          <w:sz w:val="20"/>
          <w:lang w:val="es-AR"/>
        </w:rPr>
        <w:t>del</w:t>
      </w:r>
      <w:r w:rsidRPr="00AF39D7">
        <w:rPr>
          <w:spacing w:val="-20"/>
          <w:sz w:val="20"/>
          <w:lang w:val="es-AR"/>
        </w:rPr>
        <w:t xml:space="preserve"> </w:t>
      </w:r>
      <w:r w:rsidRPr="00AF39D7">
        <w:rPr>
          <w:sz w:val="20"/>
          <w:lang w:val="es-AR"/>
        </w:rPr>
        <w:t>Reglamento</w:t>
      </w:r>
      <w:r w:rsidRPr="00AF39D7">
        <w:rPr>
          <w:spacing w:val="-16"/>
          <w:sz w:val="20"/>
          <w:lang w:val="es-AR"/>
        </w:rPr>
        <w:t xml:space="preserve"> </w:t>
      </w:r>
      <w:r w:rsidRPr="00AF39D7">
        <w:rPr>
          <w:sz w:val="20"/>
          <w:lang w:val="es-AR"/>
        </w:rPr>
        <w:t>de</w:t>
      </w:r>
      <w:r w:rsidRPr="00AF39D7">
        <w:rPr>
          <w:spacing w:val="-21"/>
          <w:sz w:val="20"/>
          <w:lang w:val="es-AR"/>
        </w:rPr>
        <w:t xml:space="preserve"> </w:t>
      </w:r>
      <w:r w:rsidRPr="00AF39D7">
        <w:rPr>
          <w:sz w:val="20"/>
          <w:lang w:val="es-AR"/>
        </w:rPr>
        <w:t>la</w:t>
      </w:r>
      <w:r w:rsidRPr="00AF39D7">
        <w:rPr>
          <w:spacing w:val="-17"/>
          <w:sz w:val="20"/>
          <w:lang w:val="es-AR"/>
        </w:rPr>
        <w:t xml:space="preserve"> </w:t>
      </w:r>
      <w:r w:rsidRPr="00AF39D7">
        <w:rPr>
          <w:sz w:val="20"/>
          <w:lang w:val="es-AR"/>
        </w:rPr>
        <w:t>Corte.</w:t>
      </w:r>
      <w:r w:rsidRPr="00AF39D7">
        <w:rPr>
          <w:spacing w:val="-19"/>
          <w:sz w:val="20"/>
          <w:lang w:val="es-AR"/>
        </w:rPr>
        <w:t xml:space="preserve"> </w:t>
      </w:r>
      <w:r w:rsidRPr="00AF39D7">
        <w:rPr>
          <w:sz w:val="20"/>
          <w:lang w:val="es-AR"/>
        </w:rPr>
        <w:t>Coincidieron</w:t>
      </w:r>
      <w:r w:rsidRPr="00AF39D7">
        <w:rPr>
          <w:spacing w:val="-16"/>
          <w:sz w:val="20"/>
          <w:lang w:val="es-AR"/>
        </w:rPr>
        <w:t xml:space="preserve"> </w:t>
      </w:r>
      <w:r w:rsidRPr="00AF39D7">
        <w:rPr>
          <w:sz w:val="20"/>
          <w:lang w:val="es-AR"/>
        </w:rPr>
        <w:t>con</w:t>
      </w:r>
      <w:r w:rsidRPr="00AF39D7">
        <w:rPr>
          <w:spacing w:val="-16"/>
          <w:sz w:val="20"/>
          <w:lang w:val="es-AR"/>
        </w:rPr>
        <w:t xml:space="preserve"> </w:t>
      </w:r>
      <w:r w:rsidRPr="00AF39D7">
        <w:rPr>
          <w:sz w:val="20"/>
          <w:lang w:val="es-AR"/>
        </w:rPr>
        <w:t>las</w:t>
      </w:r>
      <w:r w:rsidRPr="00AF39D7">
        <w:rPr>
          <w:spacing w:val="-17"/>
          <w:sz w:val="20"/>
          <w:lang w:val="es-AR"/>
        </w:rPr>
        <w:t xml:space="preserve"> </w:t>
      </w:r>
      <w:r w:rsidRPr="00AF39D7">
        <w:rPr>
          <w:sz w:val="20"/>
          <w:lang w:val="es-AR"/>
        </w:rPr>
        <w:t>conclusiones de la Comisión sobre los artículos convencionales violados y alegaron la violación de los derechos</w:t>
      </w:r>
      <w:r w:rsidRPr="00AF39D7">
        <w:rPr>
          <w:spacing w:val="-14"/>
          <w:sz w:val="20"/>
          <w:lang w:val="es-AR"/>
        </w:rPr>
        <w:t xml:space="preserve"> </w:t>
      </w:r>
      <w:r w:rsidRPr="00AF39D7">
        <w:rPr>
          <w:sz w:val="20"/>
          <w:lang w:val="es-AR"/>
        </w:rPr>
        <w:t>a</w:t>
      </w:r>
      <w:r w:rsidRPr="00AF39D7">
        <w:rPr>
          <w:spacing w:val="-15"/>
          <w:sz w:val="20"/>
          <w:lang w:val="es-AR"/>
        </w:rPr>
        <w:t xml:space="preserve"> </w:t>
      </w:r>
      <w:r w:rsidRPr="00AF39D7">
        <w:rPr>
          <w:sz w:val="20"/>
          <w:lang w:val="es-AR"/>
        </w:rPr>
        <w:t>la</w:t>
      </w:r>
      <w:r w:rsidRPr="00AF39D7">
        <w:rPr>
          <w:spacing w:val="-14"/>
          <w:sz w:val="20"/>
          <w:lang w:val="es-AR"/>
        </w:rPr>
        <w:t xml:space="preserve"> </w:t>
      </w:r>
      <w:r w:rsidRPr="00AF39D7">
        <w:rPr>
          <w:sz w:val="20"/>
          <w:lang w:val="es-AR"/>
        </w:rPr>
        <w:t>vida</w:t>
      </w:r>
      <w:r w:rsidRPr="00AF39D7">
        <w:rPr>
          <w:spacing w:val="-13"/>
          <w:sz w:val="20"/>
          <w:lang w:val="es-AR"/>
        </w:rPr>
        <w:t xml:space="preserve"> </w:t>
      </w:r>
      <w:r w:rsidRPr="00AF39D7">
        <w:rPr>
          <w:sz w:val="20"/>
          <w:lang w:val="es-AR"/>
        </w:rPr>
        <w:t>y</w:t>
      </w:r>
      <w:r w:rsidRPr="00AF39D7">
        <w:rPr>
          <w:spacing w:val="-15"/>
          <w:sz w:val="20"/>
          <w:lang w:val="es-AR"/>
        </w:rPr>
        <w:t xml:space="preserve"> </w:t>
      </w:r>
      <w:r w:rsidRPr="00AF39D7">
        <w:rPr>
          <w:sz w:val="20"/>
          <w:lang w:val="es-AR"/>
        </w:rPr>
        <w:t>a</w:t>
      </w:r>
      <w:r w:rsidRPr="00AF39D7">
        <w:rPr>
          <w:spacing w:val="-13"/>
          <w:sz w:val="20"/>
          <w:lang w:val="es-AR"/>
        </w:rPr>
        <w:t xml:space="preserve"> </w:t>
      </w:r>
      <w:r w:rsidRPr="00AF39D7">
        <w:rPr>
          <w:sz w:val="20"/>
          <w:lang w:val="es-AR"/>
        </w:rPr>
        <w:t>la</w:t>
      </w:r>
      <w:r w:rsidRPr="00AF39D7">
        <w:rPr>
          <w:spacing w:val="-13"/>
          <w:sz w:val="20"/>
          <w:lang w:val="es-AR"/>
        </w:rPr>
        <w:t xml:space="preserve"> </w:t>
      </w:r>
      <w:r w:rsidRPr="00AF39D7">
        <w:rPr>
          <w:sz w:val="20"/>
          <w:lang w:val="es-AR"/>
        </w:rPr>
        <w:t>integridad</w:t>
      </w:r>
      <w:r w:rsidRPr="00AF39D7">
        <w:rPr>
          <w:spacing w:val="-15"/>
          <w:sz w:val="20"/>
          <w:lang w:val="es-AR"/>
        </w:rPr>
        <w:t xml:space="preserve"> </w:t>
      </w:r>
      <w:r w:rsidRPr="00AF39D7">
        <w:rPr>
          <w:sz w:val="20"/>
          <w:lang w:val="es-AR"/>
        </w:rPr>
        <w:t>personal</w:t>
      </w:r>
      <w:r w:rsidRPr="00AF39D7">
        <w:rPr>
          <w:spacing w:val="-16"/>
          <w:sz w:val="20"/>
          <w:lang w:val="es-AR"/>
        </w:rPr>
        <w:t xml:space="preserve"> </w:t>
      </w:r>
      <w:r w:rsidRPr="00AF39D7">
        <w:rPr>
          <w:sz w:val="20"/>
          <w:lang w:val="es-AR"/>
        </w:rPr>
        <w:t>también</w:t>
      </w:r>
      <w:r w:rsidRPr="00AF39D7">
        <w:rPr>
          <w:spacing w:val="-14"/>
          <w:sz w:val="20"/>
          <w:lang w:val="es-AR"/>
        </w:rPr>
        <w:t xml:space="preserve"> </w:t>
      </w:r>
      <w:r w:rsidRPr="00AF39D7">
        <w:rPr>
          <w:sz w:val="20"/>
          <w:lang w:val="es-AR"/>
        </w:rPr>
        <w:t>en</w:t>
      </w:r>
      <w:r w:rsidRPr="00AF39D7">
        <w:rPr>
          <w:spacing w:val="-13"/>
          <w:sz w:val="20"/>
          <w:lang w:val="es-AR"/>
        </w:rPr>
        <w:t xml:space="preserve"> </w:t>
      </w:r>
      <w:r w:rsidRPr="00AF39D7">
        <w:rPr>
          <w:sz w:val="20"/>
          <w:lang w:val="es-AR"/>
        </w:rPr>
        <w:t>relación</w:t>
      </w:r>
      <w:r w:rsidRPr="00AF39D7">
        <w:rPr>
          <w:spacing w:val="-14"/>
          <w:sz w:val="20"/>
          <w:lang w:val="es-AR"/>
        </w:rPr>
        <w:t xml:space="preserve"> </w:t>
      </w:r>
      <w:r w:rsidRPr="00AF39D7">
        <w:rPr>
          <w:sz w:val="20"/>
          <w:lang w:val="es-AR"/>
        </w:rPr>
        <w:t>con</w:t>
      </w:r>
      <w:r w:rsidRPr="00AF39D7">
        <w:rPr>
          <w:spacing w:val="-14"/>
          <w:sz w:val="20"/>
          <w:lang w:val="es-AR"/>
        </w:rPr>
        <w:t xml:space="preserve"> </w:t>
      </w:r>
      <w:r w:rsidRPr="00AF39D7">
        <w:rPr>
          <w:sz w:val="20"/>
          <w:lang w:val="es-AR"/>
        </w:rPr>
        <w:t>la</w:t>
      </w:r>
      <w:r w:rsidRPr="00AF39D7">
        <w:rPr>
          <w:spacing w:val="-14"/>
          <w:sz w:val="20"/>
          <w:lang w:val="es-AR"/>
        </w:rPr>
        <w:t xml:space="preserve"> </w:t>
      </w:r>
      <w:r w:rsidRPr="00AF39D7">
        <w:rPr>
          <w:sz w:val="20"/>
          <w:lang w:val="es-AR"/>
        </w:rPr>
        <w:t>protección</w:t>
      </w:r>
      <w:r w:rsidRPr="00AF39D7">
        <w:rPr>
          <w:spacing w:val="-14"/>
          <w:sz w:val="20"/>
          <w:lang w:val="es-AR"/>
        </w:rPr>
        <w:t xml:space="preserve"> </w:t>
      </w:r>
      <w:r w:rsidRPr="00AF39D7">
        <w:rPr>
          <w:sz w:val="20"/>
          <w:lang w:val="es-AR"/>
        </w:rPr>
        <w:t>a</w:t>
      </w:r>
      <w:r w:rsidRPr="00AF39D7">
        <w:rPr>
          <w:spacing w:val="-12"/>
          <w:sz w:val="20"/>
          <w:lang w:val="es-AR"/>
        </w:rPr>
        <w:t xml:space="preserve"> </w:t>
      </w:r>
      <w:r w:rsidRPr="00AF39D7">
        <w:rPr>
          <w:sz w:val="20"/>
          <w:lang w:val="es-AR"/>
        </w:rPr>
        <w:t>la</w:t>
      </w:r>
      <w:r w:rsidRPr="00AF39D7">
        <w:rPr>
          <w:spacing w:val="-14"/>
          <w:sz w:val="20"/>
          <w:lang w:val="es-AR"/>
        </w:rPr>
        <w:t xml:space="preserve"> </w:t>
      </w:r>
      <w:r w:rsidRPr="00AF39D7">
        <w:rPr>
          <w:sz w:val="20"/>
          <w:lang w:val="es-AR"/>
        </w:rPr>
        <w:t>familia, establecida en el artículo 17 de la Convención. Solicitaron que se ordenara al Estado la adopción de diversas medidas de reparación y el reintegro de costas y</w:t>
      </w:r>
      <w:r w:rsidRPr="00AF39D7">
        <w:rPr>
          <w:spacing w:val="-13"/>
          <w:sz w:val="20"/>
          <w:lang w:val="es-AR"/>
        </w:rPr>
        <w:t xml:space="preserve"> </w:t>
      </w:r>
      <w:r w:rsidRPr="00AF39D7">
        <w:rPr>
          <w:sz w:val="20"/>
          <w:lang w:val="es-AR"/>
        </w:rPr>
        <w:t>gastos.</w:t>
      </w:r>
    </w:p>
    <w:p w14:paraId="15C2DCAA" w14:textId="77777777" w:rsidR="00467FCA" w:rsidRPr="00AF39D7" w:rsidRDefault="00467FCA">
      <w:pPr>
        <w:pStyle w:val="Textoindependiente"/>
        <w:spacing w:before="12"/>
        <w:rPr>
          <w:sz w:val="19"/>
          <w:lang w:val="es-AR"/>
        </w:rPr>
      </w:pPr>
    </w:p>
    <w:p w14:paraId="6F983089" w14:textId="77777777" w:rsidR="00467FCA" w:rsidRPr="00AF39D7" w:rsidRDefault="001B68EB">
      <w:pPr>
        <w:pStyle w:val="Prrafodelista"/>
        <w:numPr>
          <w:ilvl w:val="0"/>
          <w:numId w:val="51"/>
        </w:numPr>
        <w:tabs>
          <w:tab w:val="left" w:pos="686"/>
        </w:tabs>
        <w:ind w:left="685"/>
        <w:jc w:val="both"/>
        <w:rPr>
          <w:sz w:val="20"/>
          <w:lang w:val="es-AR"/>
        </w:rPr>
      </w:pPr>
      <w:r w:rsidRPr="00AF39D7">
        <w:rPr>
          <w:i/>
          <w:sz w:val="20"/>
          <w:lang w:val="es-AR"/>
        </w:rPr>
        <w:t>Escrito</w:t>
      </w:r>
      <w:r w:rsidRPr="00AF39D7">
        <w:rPr>
          <w:i/>
          <w:spacing w:val="16"/>
          <w:sz w:val="20"/>
          <w:lang w:val="es-AR"/>
        </w:rPr>
        <w:t xml:space="preserve"> </w:t>
      </w:r>
      <w:r w:rsidRPr="00AF39D7">
        <w:rPr>
          <w:i/>
          <w:sz w:val="20"/>
          <w:lang w:val="es-AR"/>
        </w:rPr>
        <w:t>de</w:t>
      </w:r>
      <w:r w:rsidRPr="00AF39D7">
        <w:rPr>
          <w:i/>
          <w:spacing w:val="16"/>
          <w:sz w:val="20"/>
          <w:lang w:val="es-AR"/>
        </w:rPr>
        <w:t xml:space="preserve"> </w:t>
      </w:r>
      <w:r w:rsidRPr="00AF39D7">
        <w:rPr>
          <w:i/>
          <w:sz w:val="20"/>
          <w:lang w:val="es-AR"/>
        </w:rPr>
        <w:t>contestación.</w:t>
      </w:r>
      <w:r w:rsidRPr="00AF39D7">
        <w:rPr>
          <w:i/>
          <w:spacing w:val="18"/>
          <w:sz w:val="20"/>
          <w:lang w:val="es-AR"/>
        </w:rPr>
        <w:t xml:space="preserve"> </w:t>
      </w:r>
      <w:r w:rsidRPr="00AF39D7">
        <w:rPr>
          <w:i/>
          <w:sz w:val="20"/>
          <w:lang w:val="es-AR"/>
        </w:rPr>
        <w:t>–</w:t>
      </w:r>
      <w:r w:rsidRPr="00AF39D7">
        <w:rPr>
          <w:i/>
          <w:spacing w:val="15"/>
          <w:sz w:val="20"/>
          <w:lang w:val="es-AR"/>
        </w:rPr>
        <w:t xml:space="preserve"> </w:t>
      </w:r>
      <w:r w:rsidRPr="00AF39D7">
        <w:rPr>
          <w:sz w:val="20"/>
          <w:lang w:val="es-AR"/>
        </w:rPr>
        <w:t>El</w:t>
      </w:r>
      <w:r w:rsidRPr="00AF39D7">
        <w:rPr>
          <w:spacing w:val="16"/>
          <w:sz w:val="20"/>
          <w:lang w:val="es-AR"/>
        </w:rPr>
        <w:t xml:space="preserve"> </w:t>
      </w:r>
      <w:r w:rsidRPr="00AF39D7">
        <w:rPr>
          <w:sz w:val="20"/>
          <w:lang w:val="es-AR"/>
        </w:rPr>
        <w:t>18</w:t>
      </w:r>
      <w:r w:rsidRPr="00AF39D7">
        <w:rPr>
          <w:spacing w:val="18"/>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marzo</w:t>
      </w:r>
      <w:r w:rsidRPr="00AF39D7">
        <w:rPr>
          <w:spacing w:val="17"/>
          <w:sz w:val="20"/>
          <w:lang w:val="es-AR"/>
        </w:rPr>
        <w:t xml:space="preserve"> </w:t>
      </w:r>
      <w:r w:rsidRPr="00AF39D7">
        <w:rPr>
          <w:sz w:val="20"/>
          <w:lang w:val="es-AR"/>
        </w:rPr>
        <w:t>de</w:t>
      </w:r>
      <w:r w:rsidRPr="00AF39D7">
        <w:rPr>
          <w:spacing w:val="14"/>
          <w:sz w:val="20"/>
          <w:lang w:val="es-AR"/>
        </w:rPr>
        <w:t xml:space="preserve"> </w:t>
      </w:r>
      <w:r w:rsidRPr="00AF39D7">
        <w:rPr>
          <w:sz w:val="20"/>
          <w:lang w:val="es-AR"/>
        </w:rPr>
        <w:t>2019,</w:t>
      </w:r>
      <w:r w:rsidRPr="00AF39D7">
        <w:rPr>
          <w:spacing w:val="17"/>
          <w:sz w:val="20"/>
          <w:lang w:val="es-AR"/>
        </w:rPr>
        <w:t xml:space="preserve"> </w:t>
      </w:r>
      <w:r w:rsidRPr="00AF39D7">
        <w:rPr>
          <w:sz w:val="20"/>
          <w:lang w:val="es-AR"/>
        </w:rPr>
        <w:t>el</w:t>
      </w:r>
      <w:r w:rsidRPr="00AF39D7">
        <w:rPr>
          <w:spacing w:val="15"/>
          <w:sz w:val="20"/>
          <w:lang w:val="es-AR"/>
        </w:rPr>
        <w:t xml:space="preserve"> </w:t>
      </w:r>
      <w:r w:rsidRPr="00AF39D7">
        <w:rPr>
          <w:sz w:val="20"/>
          <w:lang w:val="es-AR"/>
        </w:rPr>
        <w:t>Estado</w:t>
      </w:r>
      <w:hyperlink w:anchor="_bookmark8" w:history="1">
        <w:r w:rsidRPr="00AF39D7">
          <w:rPr>
            <w:position w:val="7"/>
            <w:sz w:val="13"/>
            <w:lang w:val="es-AR"/>
          </w:rPr>
          <w:t>7</w:t>
        </w:r>
      </w:hyperlink>
      <w:r w:rsidRPr="00AF39D7">
        <w:rPr>
          <w:spacing w:val="39"/>
          <w:position w:val="7"/>
          <w:sz w:val="13"/>
          <w:lang w:val="es-AR"/>
        </w:rPr>
        <w:t xml:space="preserve"> </w:t>
      </w:r>
      <w:r w:rsidRPr="00AF39D7">
        <w:rPr>
          <w:sz w:val="20"/>
          <w:lang w:val="es-AR"/>
        </w:rPr>
        <w:t>presentó</w:t>
      </w:r>
      <w:r w:rsidRPr="00AF39D7">
        <w:rPr>
          <w:spacing w:val="17"/>
          <w:sz w:val="20"/>
          <w:lang w:val="es-AR"/>
        </w:rPr>
        <w:t xml:space="preserve"> </w:t>
      </w:r>
      <w:r w:rsidRPr="00AF39D7">
        <w:rPr>
          <w:sz w:val="20"/>
          <w:lang w:val="es-AR"/>
        </w:rPr>
        <w:t>su</w:t>
      </w:r>
      <w:r w:rsidRPr="00AF39D7">
        <w:rPr>
          <w:spacing w:val="18"/>
          <w:sz w:val="20"/>
          <w:lang w:val="es-AR"/>
        </w:rPr>
        <w:t xml:space="preserve"> </w:t>
      </w:r>
      <w:r w:rsidRPr="00AF39D7">
        <w:rPr>
          <w:sz w:val="20"/>
          <w:lang w:val="es-AR"/>
        </w:rPr>
        <w:t>escrito</w:t>
      </w:r>
      <w:r w:rsidRPr="00AF39D7">
        <w:rPr>
          <w:spacing w:val="16"/>
          <w:sz w:val="20"/>
          <w:lang w:val="es-AR"/>
        </w:rPr>
        <w:t xml:space="preserve"> </w:t>
      </w:r>
      <w:r w:rsidRPr="00AF39D7">
        <w:rPr>
          <w:sz w:val="20"/>
          <w:lang w:val="es-AR"/>
        </w:rPr>
        <w:t>de</w:t>
      </w:r>
    </w:p>
    <w:p w14:paraId="3C8ADC40" w14:textId="77777777" w:rsidR="00467FCA" w:rsidRPr="00AF39D7" w:rsidRDefault="001B68EB">
      <w:pPr>
        <w:pStyle w:val="Textoindependiente"/>
        <w:spacing w:before="7"/>
        <w:rPr>
          <w:sz w:val="15"/>
          <w:lang w:val="es-AR"/>
        </w:rPr>
      </w:pPr>
      <w:r>
        <w:pict w14:anchorId="6CC6682A">
          <v:shape id="_x0000_s1195" style="position:absolute;margin-left:1in;margin-top:11.75pt;width:2in;height:.1pt;z-index:-251657216;mso-wrap-distance-left:0;mso-wrap-distance-right:0;mso-position-horizontal-relative:page" coordorigin="1440,235" coordsize="2880,0" path="m1440,235r2880,e" filled="f" strokeweight=".6pt">
            <v:path arrowok="t"/>
            <w10:wrap type="topAndBottom" anchorx="page"/>
          </v:shape>
        </w:pict>
      </w:r>
    </w:p>
    <w:p w14:paraId="36304D0E" w14:textId="77777777" w:rsidR="00467FCA" w:rsidRPr="00AF39D7" w:rsidRDefault="001B68EB">
      <w:pPr>
        <w:tabs>
          <w:tab w:val="left" w:pos="839"/>
        </w:tabs>
        <w:spacing w:before="74"/>
        <w:ind w:left="119" w:right="114"/>
        <w:jc w:val="both"/>
        <w:rPr>
          <w:sz w:val="16"/>
          <w:lang w:val="es-AR"/>
        </w:rPr>
      </w:pPr>
      <w:bookmarkStart w:id="8" w:name="_bookmark5"/>
      <w:bookmarkEnd w:id="8"/>
      <w:r w:rsidRPr="00AF39D7">
        <w:rPr>
          <w:position w:val="6"/>
          <w:sz w:val="10"/>
          <w:lang w:val="es-AR"/>
        </w:rPr>
        <w:t>4</w:t>
      </w:r>
      <w:r w:rsidRPr="00AF39D7">
        <w:rPr>
          <w:position w:val="6"/>
          <w:sz w:val="10"/>
          <w:lang w:val="es-AR"/>
        </w:rPr>
        <w:tab/>
      </w:r>
      <w:r w:rsidRPr="00AF39D7">
        <w:rPr>
          <w:sz w:val="16"/>
          <w:lang w:val="es-AR"/>
        </w:rPr>
        <w:t>La Comisión concluyó que el Estado es responsable por las violaciones a los derechos a la vida y a la integridad personal, en relación con el deber de especial protección de la niñez; el derecho al trabajo, a la igualdad y no discriminación, y los derechos</w:t>
      </w:r>
      <w:r w:rsidRPr="00AF39D7">
        <w:rPr>
          <w:sz w:val="16"/>
          <w:lang w:val="es-AR"/>
        </w:rPr>
        <w:t xml:space="preserve"> a las garantías judiciales y protección judicial, establecidos en los artículos 4.1, 5.1,</w:t>
      </w:r>
      <w:r w:rsidRPr="00AF39D7">
        <w:rPr>
          <w:spacing w:val="-8"/>
          <w:sz w:val="16"/>
          <w:lang w:val="es-AR"/>
        </w:rPr>
        <w:t xml:space="preserve"> </w:t>
      </w:r>
      <w:r w:rsidRPr="00AF39D7">
        <w:rPr>
          <w:sz w:val="16"/>
          <w:lang w:val="es-AR"/>
        </w:rPr>
        <w:t>19,</w:t>
      </w:r>
      <w:r w:rsidRPr="00AF39D7">
        <w:rPr>
          <w:spacing w:val="-8"/>
          <w:sz w:val="16"/>
          <w:lang w:val="es-AR"/>
        </w:rPr>
        <w:t xml:space="preserve"> </w:t>
      </w:r>
      <w:r w:rsidRPr="00AF39D7">
        <w:rPr>
          <w:sz w:val="16"/>
          <w:lang w:val="es-AR"/>
        </w:rPr>
        <w:t>24,</w:t>
      </w:r>
      <w:r w:rsidRPr="00AF39D7">
        <w:rPr>
          <w:spacing w:val="-8"/>
          <w:sz w:val="16"/>
          <w:lang w:val="es-AR"/>
        </w:rPr>
        <w:t xml:space="preserve"> </w:t>
      </w:r>
      <w:r w:rsidRPr="00AF39D7">
        <w:rPr>
          <w:sz w:val="16"/>
          <w:lang w:val="es-AR"/>
        </w:rPr>
        <w:t>26,</w:t>
      </w:r>
      <w:r w:rsidRPr="00AF39D7">
        <w:rPr>
          <w:spacing w:val="-7"/>
          <w:sz w:val="16"/>
          <w:lang w:val="es-AR"/>
        </w:rPr>
        <w:t xml:space="preserve"> </w:t>
      </w:r>
      <w:r w:rsidRPr="00AF39D7">
        <w:rPr>
          <w:sz w:val="16"/>
          <w:lang w:val="es-AR"/>
        </w:rPr>
        <w:t>8.1</w:t>
      </w:r>
      <w:r w:rsidRPr="00AF39D7">
        <w:rPr>
          <w:spacing w:val="-6"/>
          <w:sz w:val="16"/>
          <w:lang w:val="es-AR"/>
        </w:rPr>
        <w:t xml:space="preserve"> </w:t>
      </w:r>
      <w:r w:rsidRPr="00AF39D7">
        <w:rPr>
          <w:sz w:val="16"/>
          <w:lang w:val="es-AR"/>
        </w:rPr>
        <w:t>y</w:t>
      </w:r>
      <w:r w:rsidRPr="00AF39D7">
        <w:rPr>
          <w:spacing w:val="-9"/>
          <w:sz w:val="16"/>
          <w:lang w:val="es-AR"/>
        </w:rPr>
        <w:t xml:space="preserve"> </w:t>
      </w:r>
      <w:r w:rsidRPr="00AF39D7">
        <w:rPr>
          <w:sz w:val="16"/>
          <w:lang w:val="es-AR"/>
        </w:rPr>
        <w:t>25.1</w:t>
      </w:r>
      <w:r w:rsidRPr="00AF39D7">
        <w:rPr>
          <w:spacing w:val="-5"/>
          <w:sz w:val="16"/>
          <w:lang w:val="es-AR"/>
        </w:rPr>
        <w:t xml:space="preserve"> </w:t>
      </w:r>
      <w:r w:rsidRPr="00AF39D7">
        <w:rPr>
          <w:sz w:val="16"/>
          <w:lang w:val="es-AR"/>
        </w:rPr>
        <w:t>de</w:t>
      </w:r>
      <w:r w:rsidRPr="00AF39D7">
        <w:rPr>
          <w:spacing w:val="-10"/>
          <w:sz w:val="16"/>
          <w:lang w:val="es-AR"/>
        </w:rPr>
        <w:t xml:space="preserve"> </w:t>
      </w:r>
      <w:r w:rsidRPr="00AF39D7">
        <w:rPr>
          <w:sz w:val="16"/>
          <w:lang w:val="es-AR"/>
        </w:rPr>
        <w:t>la</w:t>
      </w:r>
      <w:r w:rsidRPr="00AF39D7">
        <w:rPr>
          <w:spacing w:val="-6"/>
          <w:sz w:val="16"/>
          <w:lang w:val="es-AR"/>
        </w:rPr>
        <w:t xml:space="preserve"> </w:t>
      </w:r>
      <w:r w:rsidRPr="00AF39D7">
        <w:rPr>
          <w:sz w:val="16"/>
          <w:lang w:val="es-AR"/>
        </w:rPr>
        <w:t>Convención</w:t>
      </w:r>
      <w:r w:rsidRPr="00AF39D7">
        <w:rPr>
          <w:spacing w:val="-8"/>
          <w:sz w:val="16"/>
          <w:lang w:val="es-AR"/>
        </w:rPr>
        <w:t xml:space="preserve"> </w:t>
      </w:r>
      <w:r w:rsidRPr="00AF39D7">
        <w:rPr>
          <w:sz w:val="16"/>
          <w:lang w:val="es-AR"/>
        </w:rPr>
        <w:t>Americana,</w:t>
      </w:r>
      <w:r w:rsidRPr="00AF39D7">
        <w:rPr>
          <w:spacing w:val="-7"/>
          <w:sz w:val="16"/>
          <w:lang w:val="es-AR"/>
        </w:rPr>
        <w:t xml:space="preserve"> </w:t>
      </w:r>
      <w:r w:rsidRPr="00AF39D7">
        <w:rPr>
          <w:sz w:val="16"/>
          <w:lang w:val="es-AR"/>
        </w:rPr>
        <w:t>en</w:t>
      </w:r>
      <w:r w:rsidRPr="00AF39D7">
        <w:rPr>
          <w:spacing w:val="-8"/>
          <w:sz w:val="16"/>
          <w:lang w:val="es-AR"/>
        </w:rPr>
        <w:t xml:space="preserve"> </w:t>
      </w:r>
      <w:r w:rsidRPr="00AF39D7">
        <w:rPr>
          <w:sz w:val="16"/>
          <w:lang w:val="es-AR"/>
        </w:rPr>
        <w:t>relación</w:t>
      </w:r>
      <w:r w:rsidRPr="00AF39D7">
        <w:rPr>
          <w:spacing w:val="-6"/>
          <w:sz w:val="16"/>
          <w:lang w:val="es-AR"/>
        </w:rPr>
        <w:t xml:space="preserve"> </w:t>
      </w:r>
      <w:r w:rsidRPr="00AF39D7">
        <w:rPr>
          <w:sz w:val="16"/>
          <w:lang w:val="es-AR"/>
        </w:rPr>
        <w:t>con</w:t>
      </w:r>
      <w:r w:rsidRPr="00AF39D7">
        <w:rPr>
          <w:spacing w:val="-5"/>
          <w:sz w:val="16"/>
          <w:lang w:val="es-AR"/>
        </w:rPr>
        <w:t xml:space="preserve"> </w:t>
      </w:r>
      <w:r w:rsidRPr="00AF39D7">
        <w:rPr>
          <w:sz w:val="16"/>
          <w:lang w:val="es-AR"/>
        </w:rPr>
        <w:t>las</w:t>
      </w:r>
      <w:r w:rsidRPr="00AF39D7">
        <w:rPr>
          <w:spacing w:val="-10"/>
          <w:sz w:val="16"/>
          <w:lang w:val="es-AR"/>
        </w:rPr>
        <w:t xml:space="preserve"> </w:t>
      </w:r>
      <w:r w:rsidRPr="00AF39D7">
        <w:rPr>
          <w:sz w:val="16"/>
          <w:lang w:val="es-AR"/>
        </w:rPr>
        <w:t>obligaciones</w:t>
      </w:r>
      <w:r w:rsidRPr="00AF39D7">
        <w:rPr>
          <w:spacing w:val="-7"/>
          <w:sz w:val="16"/>
          <w:lang w:val="es-AR"/>
        </w:rPr>
        <w:t xml:space="preserve"> </w:t>
      </w:r>
      <w:r w:rsidRPr="00AF39D7">
        <w:rPr>
          <w:sz w:val="16"/>
          <w:lang w:val="es-AR"/>
        </w:rPr>
        <w:t>establecidas</w:t>
      </w:r>
      <w:r w:rsidRPr="00AF39D7">
        <w:rPr>
          <w:spacing w:val="-6"/>
          <w:sz w:val="16"/>
          <w:lang w:val="es-AR"/>
        </w:rPr>
        <w:t xml:space="preserve"> </w:t>
      </w:r>
      <w:r w:rsidRPr="00AF39D7">
        <w:rPr>
          <w:sz w:val="16"/>
          <w:lang w:val="es-AR"/>
        </w:rPr>
        <w:t>en</w:t>
      </w:r>
      <w:r w:rsidRPr="00AF39D7">
        <w:rPr>
          <w:spacing w:val="-6"/>
          <w:sz w:val="16"/>
          <w:lang w:val="es-AR"/>
        </w:rPr>
        <w:t xml:space="preserve"> </w:t>
      </w:r>
      <w:r w:rsidRPr="00AF39D7">
        <w:rPr>
          <w:sz w:val="16"/>
          <w:lang w:val="es-AR"/>
        </w:rPr>
        <w:t>los</w:t>
      </w:r>
      <w:r w:rsidRPr="00AF39D7">
        <w:rPr>
          <w:spacing w:val="-7"/>
          <w:sz w:val="16"/>
          <w:lang w:val="es-AR"/>
        </w:rPr>
        <w:t xml:space="preserve"> </w:t>
      </w:r>
      <w:r w:rsidRPr="00AF39D7">
        <w:rPr>
          <w:sz w:val="16"/>
          <w:lang w:val="es-AR"/>
        </w:rPr>
        <w:t>artículos</w:t>
      </w:r>
    </w:p>
    <w:p w14:paraId="7608E8B3" w14:textId="77777777" w:rsidR="00467FCA" w:rsidRPr="00AF39D7" w:rsidRDefault="001B68EB">
      <w:pPr>
        <w:ind w:left="117" w:right="118"/>
        <w:jc w:val="both"/>
        <w:rPr>
          <w:sz w:val="16"/>
          <w:lang w:val="es-AR"/>
        </w:rPr>
      </w:pPr>
      <w:r w:rsidRPr="00AF39D7">
        <w:rPr>
          <w:sz w:val="16"/>
          <w:lang w:val="es-AR"/>
        </w:rPr>
        <w:t>1.1</w:t>
      </w:r>
      <w:r w:rsidRPr="00AF39D7">
        <w:rPr>
          <w:spacing w:val="-10"/>
          <w:sz w:val="16"/>
          <w:lang w:val="es-AR"/>
        </w:rPr>
        <w:t xml:space="preserve"> </w:t>
      </w:r>
      <w:r w:rsidRPr="00AF39D7">
        <w:rPr>
          <w:sz w:val="16"/>
          <w:lang w:val="es-AR"/>
        </w:rPr>
        <w:t>y</w:t>
      </w:r>
      <w:r w:rsidRPr="00AF39D7">
        <w:rPr>
          <w:spacing w:val="-9"/>
          <w:sz w:val="16"/>
          <w:lang w:val="es-AR"/>
        </w:rPr>
        <w:t xml:space="preserve"> </w:t>
      </w:r>
      <w:r w:rsidRPr="00AF39D7">
        <w:rPr>
          <w:sz w:val="16"/>
          <w:lang w:val="es-AR"/>
        </w:rPr>
        <w:t>2</w:t>
      </w:r>
      <w:r w:rsidRPr="00AF39D7">
        <w:rPr>
          <w:spacing w:val="-9"/>
          <w:sz w:val="16"/>
          <w:lang w:val="es-AR"/>
        </w:rPr>
        <w:t xml:space="preserve"> </w:t>
      </w:r>
      <w:r w:rsidRPr="00AF39D7">
        <w:rPr>
          <w:sz w:val="16"/>
          <w:lang w:val="es-AR"/>
        </w:rPr>
        <w:t>del</w:t>
      </w:r>
      <w:r w:rsidRPr="00AF39D7">
        <w:rPr>
          <w:spacing w:val="-8"/>
          <w:sz w:val="16"/>
          <w:lang w:val="es-AR"/>
        </w:rPr>
        <w:t xml:space="preserve"> </w:t>
      </w:r>
      <w:r w:rsidRPr="00AF39D7">
        <w:rPr>
          <w:sz w:val="16"/>
          <w:lang w:val="es-AR"/>
        </w:rPr>
        <w:t>mismo</w:t>
      </w:r>
      <w:r w:rsidRPr="00AF39D7">
        <w:rPr>
          <w:spacing w:val="-9"/>
          <w:sz w:val="16"/>
          <w:lang w:val="es-AR"/>
        </w:rPr>
        <w:t xml:space="preserve"> </w:t>
      </w:r>
      <w:r w:rsidRPr="00AF39D7">
        <w:rPr>
          <w:sz w:val="16"/>
          <w:lang w:val="es-AR"/>
        </w:rPr>
        <w:t>instrumento,</w:t>
      </w:r>
      <w:r w:rsidRPr="00AF39D7">
        <w:rPr>
          <w:spacing w:val="-8"/>
          <w:sz w:val="16"/>
          <w:lang w:val="es-AR"/>
        </w:rPr>
        <w:t xml:space="preserve"> </w:t>
      </w:r>
      <w:r w:rsidRPr="00AF39D7">
        <w:rPr>
          <w:sz w:val="16"/>
          <w:lang w:val="es-AR"/>
        </w:rPr>
        <w:t>en</w:t>
      </w:r>
      <w:r w:rsidRPr="00AF39D7">
        <w:rPr>
          <w:spacing w:val="-11"/>
          <w:sz w:val="16"/>
          <w:lang w:val="es-AR"/>
        </w:rPr>
        <w:t xml:space="preserve"> </w:t>
      </w:r>
      <w:r w:rsidRPr="00AF39D7">
        <w:rPr>
          <w:sz w:val="16"/>
          <w:lang w:val="es-AR"/>
        </w:rPr>
        <w:t>perjuicio</w:t>
      </w:r>
      <w:r w:rsidRPr="00AF39D7">
        <w:rPr>
          <w:spacing w:val="-11"/>
          <w:sz w:val="16"/>
          <w:lang w:val="es-AR"/>
        </w:rPr>
        <w:t xml:space="preserve"> </w:t>
      </w:r>
      <w:r w:rsidRPr="00AF39D7">
        <w:rPr>
          <w:sz w:val="16"/>
          <w:lang w:val="es-AR"/>
        </w:rPr>
        <w:t>de</w:t>
      </w:r>
      <w:r w:rsidRPr="00AF39D7">
        <w:rPr>
          <w:spacing w:val="-7"/>
          <w:sz w:val="16"/>
          <w:lang w:val="es-AR"/>
        </w:rPr>
        <w:t xml:space="preserve"> </w:t>
      </w:r>
      <w:r w:rsidRPr="00AF39D7">
        <w:rPr>
          <w:sz w:val="16"/>
          <w:lang w:val="es-AR"/>
        </w:rPr>
        <w:t>las</w:t>
      </w:r>
      <w:r w:rsidRPr="00AF39D7">
        <w:rPr>
          <w:spacing w:val="-10"/>
          <w:sz w:val="16"/>
          <w:lang w:val="es-AR"/>
        </w:rPr>
        <w:t xml:space="preserve"> </w:t>
      </w:r>
      <w:r w:rsidRPr="00AF39D7">
        <w:rPr>
          <w:sz w:val="16"/>
          <w:lang w:val="es-AR"/>
        </w:rPr>
        <w:t>presuntas</w:t>
      </w:r>
      <w:r w:rsidRPr="00AF39D7">
        <w:rPr>
          <w:spacing w:val="-10"/>
          <w:sz w:val="16"/>
          <w:lang w:val="es-AR"/>
        </w:rPr>
        <w:t xml:space="preserve"> </w:t>
      </w:r>
      <w:r w:rsidRPr="00AF39D7">
        <w:rPr>
          <w:sz w:val="16"/>
          <w:lang w:val="es-AR"/>
        </w:rPr>
        <w:t>víctimas</w:t>
      </w:r>
      <w:r w:rsidRPr="00AF39D7">
        <w:rPr>
          <w:spacing w:val="-8"/>
          <w:sz w:val="16"/>
          <w:lang w:val="es-AR"/>
        </w:rPr>
        <w:t xml:space="preserve"> </w:t>
      </w:r>
      <w:r w:rsidRPr="00AF39D7">
        <w:rPr>
          <w:sz w:val="16"/>
          <w:lang w:val="es-AR"/>
        </w:rPr>
        <w:t>individualizadas</w:t>
      </w:r>
      <w:r w:rsidRPr="00AF39D7">
        <w:rPr>
          <w:spacing w:val="-10"/>
          <w:sz w:val="16"/>
          <w:lang w:val="es-AR"/>
        </w:rPr>
        <w:t xml:space="preserve"> </w:t>
      </w:r>
      <w:r w:rsidRPr="00AF39D7">
        <w:rPr>
          <w:sz w:val="16"/>
          <w:lang w:val="es-AR"/>
        </w:rPr>
        <w:t>en</w:t>
      </w:r>
      <w:r w:rsidRPr="00AF39D7">
        <w:rPr>
          <w:spacing w:val="-11"/>
          <w:sz w:val="16"/>
          <w:lang w:val="es-AR"/>
        </w:rPr>
        <w:t xml:space="preserve"> </w:t>
      </w:r>
      <w:r w:rsidRPr="00AF39D7">
        <w:rPr>
          <w:sz w:val="16"/>
          <w:lang w:val="es-AR"/>
        </w:rPr>
        <w:t>el</w:t>
      </w:r>
      <w:r w:rsidRPr="00AF39D7">
        <w:rPr>
          <w:spacing w:val="-8"/>
          <w:sz w:val="16"/>
          <w:lang w:val="es-AR"/>
        </w:rPr>
        <w:t xml:space="preserve"> </w:t>
      </w:r>
      <w:r w:rsidRPr="00AF39D7">
        <w:rPr>
          <w:sz w:val="16"/>
          <w:lang w:val="es-AR"/>
        </w:rPr>
        <w:t>Informe</w:t>
      </w:r>
      <w:r w:rsidRPr="00AF39D7">
        <w:rPr>
          <w:spacing w:val="-12"/>
          <w:sz w:val="16"/>
          <w:lang w:val="es-AR"/>
        </w:rPr>
        <w:t xml:space="preserve"> </w:t>
      </w:r>
      <w:r w:rsidRPr="00AF39D7">
        <w:rPr>
          <w:sz w:val="16"/>
          <w:lang w:val="es-AR"/>
        </w:rPr>
        <w:t>de</w:t>
      </w:r>
      <w:r w:rsidRPr="00AF39D7">
        <w:rPr>
          <w:spacing w:val="-9"/>
          <w:sz w:val="16"/>
          <w:lang w:val="es-AR"/>
        </w:rPr>
        <w:t xml:space="preserve"> </w:t>
      </w:r>
      <w:r w:rsidRPr="00AF39D7">
        <w:rPr>
          <w:sz w:val="16"/>
          <w:lang w:val="es-AR"/>
        </w:rPr>
        <w:t>Admisibilidad</w:t>
      </w:r>
      <w:bookmarkStart w:id="9" w:name="_bookmark6"/>
      <w:bookmarkEnd w:id="9"/>
      <w:r w:rsidRPr="00AF39D7">
        <w:rPr>
          <w:sz w:val="16"/>
          <w:lang w:val="es-AR"/>
        </w:rPr>
        <w:t xml:space="preserve"> y</w:t>
      </w:r>
      <w:r w:rsidRPr="00AF39D7">
        <w:rPr>
          <w:spacing w:val="-1"/>
          <w:sz w:val="16"/>
          <w:lang w:val="es-AR"/>
        </w:rPr>
        <w:t xml:space="preserve"> </w:t>
      </w:r>
      <w:r w:rsidRPr="00AF39D7">
        <w:rPr>
          <w:sz w:val="16"/>
          <w:lang w:val="es-AR"/>
        </w:rPr>
        <w:t>Fondo.</w:t>
      </w:r>
    </w:p>
    <w:p w14:paraId="4ED41A54" w14:textId="77777777" w:rsidR="00467FCA" w:rsidRPr="00AF39D7" w:rsidRDefault="001B68EB">
      <w:pPr>
        <w:tabs>
          <w:tab w:val="left" w:pos="839"/>
        </w:tabs>
        <w:ind w:left="119" w:right="114"/>
        <w:jc w:val="both"/>
        <w:rPr>
          <w:sz w:val="16"/>
          <w:lang w:val="es-AR"/>
        </w:rPr>
      </w:pPr>
      <w:r w:rsidRPr="00AF39D7">
        <w:rPr>
          <w:position w:val="6"/>
          <w:sz w:val="10"/>
          <w:lang w:val="es-AR"/>
        </w:rPr>
        <w:t>5</w:t>
      </w:r>
      <w:r w:rsidRPr="00AF39D7">
        <w:rPr>
          <w:position w:val="6"/>
          <w:sz w:val="10"/>
          <w:lang w:val="es-AR"/>
        </w:rPr>
        <w:tab/>
      </w:r>
      <w:r w:rsidRPr="00AF39D7">
        <w:rPr>
          <w:sz w:val="16"/>
          <w:lang w:val="es-AR"/>
        </w:rPr>
        <w:t>La Comisión designó como delegadas y delegado a la Comisionada Antonia Urrejola Noguera, al Secretario Ejecutivo Paulo Abrão y a la Relatora Especial sobre los Derechos Económicos, Sociales, Culturales y Ambientales, Soledad García Muñoz, así como a las se</w:t>
      </w:r>
      <w:r w:rsidRPr="00AF39D7">
        <w:rPr>
          <w:sz w:val="16"/>
          <w:lang w:val="es-AR"/>
        </w:rPr>
        <w:t>ñoras Silvia Serrano Guzmán y Paulina Corominas Etchegaray y al señor Luis Carlos Buob Concha, abogadas y abogado de la Secretaría Ejecutiva, como asesoras y asesor</w:t>
      </w:r>
      <w:r w:rsidRPr="00AF39D7">
        <w:rPr>
          <w:spacing w:val="-22"/>
          <w:sz w:val="16"/>
          <w:lang w:val="es-AR"/>
        </w:rPr>
        <w:t xml:space="preserve"> </w:t>
      </w:r>
      <w:r w:rsidRPr="00AF39D7">
        <w:rPr>
          <w:sz w:val="16"/>
          <w:lang w:val="es-AR"/>
        </w:rPr>
        <w:t>legales.</w:t>
      </w:r>
    </w:p>
    <w:p w14:paraId="3A02F9BC" w14:textId="77777777" w:rsidR="00467FCA" w:rsidRPr="00AF39D7" w:rsidRDefault="001B68EB">
      <w:pPr>
        <w:tabs>
          <w:tab w:val="left" w:pos="839"/>
        </w:tabs>
        <w:ind w:left="120" w:right="112" w:hanging="1"/>
        <w:jc w:val="both"/>
        <w:rPr>
          <w:sz w:val="16"/>
          <w:lang w:val="es-AR"/>
        </w:rPr>
      </w:pPr>
      <w:bookmarkStart w:id="10" w:name="_bookmark7"/>
      <w:bookmarkEnd w:id="10"/>
      <w:r w:rsidRPr="00AF39D7">
        <w:rPr>
          <w:position w:val="6"/>
          <w:sz w:val="10"/>
          <w:lang w:val="es-AR"/>
        </w:rPr>
        <w:t>6</w:t>
      </w:r>
      <w:r w:rsidRPr="00AF39D7">
        <w:rPr>
          <w:position w:val="6"/>
          <w:sz w:val="10"/>
          <w:lang w:val="es-AR"/>
        </w:rPr>
        <w:tab/>
      </w:r>
      <w:r w:rsidRPr="00AF39D7">
        <w:rPr>
          <w:sz w:val="16"/>
          <w:lang w:val="es-AR"/>
        </w:rPr>
        <w:t>Los representantes de las presuntas víctimas son el Movimento 11 de Dezembro, Justiça Global, la Rede Social de Justiça e Direitos Humanos, el Fórum de Direitos Humanos de Santo Antônio de Jesus/Bahia, Ailton José</w:t>
      </w:r>
      <w:bookmarkStart w:id="11" w:name="_bookmark8"/>
      <w:bookmarkEnd w:id="11"/>
      <w:r w:rsidRPr="00AF39D7">
        <w:rPr>
          <w:sz w:val="16"/>
          <w:lang w:val="es-AR"/>
        </w:rPr>
        <w:t xml:space="preserve"> dos Santos, Yulo Oiticica y Nelson Portela</w:t>
      </w:r>
      <w:r w:rsidRPr="00AF39D7">
        <w:rPr>
          <w:spacing w:val="-4"/>
          <w:sz w:val="16"/>
          <w:lang w:val="es-AR"/>
        </w:rPr>
        <w:t xml:space="preserve"> </w:t>
      </w:r>
      <w:r w:rsidRPr="00AF39D7">
        <w:rPr>
          <w:sz w:val="16"/>
          <w:lang w:val="es-AR"/>
        </w:rPr>
        <w:t>Pellegrino.</w:t>
      </w:r>
    </w:p>
    <w:p w14:paraId="1F336662" w14:textId="77777777" w:rsidR="00467FCA" w:rsidRPr="00AF39D7" w:rsidRDefault="001B68EB">
      <w:pPr>
        <w:tabs>
          <w:tab w:val="left" w:pos="839"/>
        </w:tabs>
        <w:ind w:left="119" w:right="112"/>
        <w:jc w:val="both"/>
        <w:rPr>
          <w:sz w:val="16"/>
          <w:lang w:val="es-AR"/>
        </w:rPr>
      </w:pPr>
      <w:r w:rsidRPr="00AF39D7">
        <w:rPr>
          <w:position w:val="6"/>
          <w:sz w:val="10"/>
          <w:lang w:val="es-AR"/>
        </w:rPr>
        <w:t>7</w:t>
      </w:r>
      <w:r w:rsidRPr="00AF39D7">
        <w:rPr>
          <w:position w:val="6"/>
          <w:sz w:val="10"/>
          <w:lang w:val="es-AR"/>
        </w:rPr>
        <w:tab/>
      </w:r>
      <w:r w:rsidRPr="00AF39D7">
        <w:rPr>
          <w:sz w:val="16"/>
          <w:lang w:val="es-AR"/>
        </w:rPr>
        <w:t>El 15 de marzo de 2019, el Estado remitió a la Corte IDH una lista actualizada de sus agentes designados en el presente caso: Ministro João Lucas Quental Novaes de Almeida; Consejero Marco Túlio Scarpelli Cabral; Secretaria</w:t>
      </w:r>
      <w:r w:rsidRPr="00AF39D7">
        <w:rPr>
          <w:spacing w:val="-14"/>
          <w:sz w:val="16"/>
          <w:lang w:val="es-AR"/>
        </w:rPr>
        <w:t xml:space="preserve"> </w:t>
      </w:r>
      <w:r w:rsidRPr="00AF39D7">
        <w:rPr>
          <w:sz w:val="16"/>
          <w:lang w:val="es-AR"/>
        </w:rPr>
        <w:t>Bruna</w:t>
      </w:r>
      <w:r w:rsidRPr="00AF39D7">
        <w:rPr>
          <w:spacing w:val="-13"/>
          <w:sz w:val="16"/>
          <w:lang w:val="es-AR"/>
        </w:rPr>
        <w:t xml:space="preserve"> </w:t>
      </w:r>
      <w:r w:rsidRPr="00AF39D7">
        <w:rPr>
          <w:sz w:val="16"/>
          <w:lang w:val="es-AR"/>
        </w:rPr>
        <w:t>Vieira</w:t>
      </w:r>
      <w:r w:rsidRPr="00AF39D7">
        <w:rPr>
          <w:spacing w:val="-13"/>
          <w:sz w:val="16"/>
          <w:lang w:val="es-AR"/>
        </w:rPr>
        <w:t xml:space="preserve"> </w:t>
      </w:r>
      <w:r w:rsidRPr="00AF39D7">
        <w:rPr>
          <w:sz w:val="16"/>
          <w:lang w:val="es-AR"/>
        </w:rPr>
        <w:t>de</w:t>
      </w:r>
      <w:r w:rsidRPr="00AF39D7">
        <w:rPr>
          <w:spacing w:val="-12"/>
          <w:sz w:val="16"/>
          <w:lang w:val="es-AR"/>
        </w:rPr>
        <w:t xml:space="preserve"> </w:t>
      </w:r>
      <w:r w:rsidRPr="00AF39D7">
        <w:rPr>
          <w:sz w:val="16"/>
          <w:lang w:val="es-AR"/>
        </w:rPr>
        <w:t>P</w:t>
      </w:r>
      <w:r w:rsidRPr="00AF39D7">
        <w:rPr>
          <w:sz w:val="16"/>
          <w:lang w:val="es-AR"/>
        </w:rPr>
        <w:t>aula</w:t>
      </w:r>
      <w:r w:rsidRPr="00AF39D7">
        <w:rPr>
          <w:spacing w:val="-10"/>
          <w:sz w:val="16"/>
          <w:lang w:val="es-AR"/>
        </w:rPr>
        <w:t xml:space="preserve"> </w:t>
      </w:r>
      <w:r w:rsidRPr="00AF39D7">
        <w:rPr>
          <w:sz w:val="16"/>
          <w:lang w:val="es-AR"/>
        </w:rPr>
        <w:t>Silveira,</w:t>
      </w:r>
      <w:r w:rsidRPr="00AF39D7">
        <w:rPr>
          <w:spacing w:val="-13"/>
          <w:sz w:val="16"/>
          <w:lang w:val="es-AR"/>
        </w:rPr>
        <w:t xml:space="preserve"> </w:t>
      </w:r>
      <w:r w:rsidRPr="00AF39D7">
        <w:rPr>
          <w:sz w:val="16"/>
          <w:lang w:val="es-AR"/>
        </w:rPr>
        <w:t>subjefe</w:t>
      </w:r>
      <w:r w:rsidRPr="00AF39D7">
        <w:rPr>
          <w:spacing w:val="-13"/>
          <w:sz w:val="16"/>
          <w:lang w:val="es-AR"/>
        </w:rPr>
        <w:t xml:space="preserve"> </w:t>
      </w:r>
      <w:r w:rsidRPr="00AF39D7">
        <w:rPr>
          <w:sz w:val="16"/>
          <w:lang w:val="es-AR"/>
        </w:rPr>
        <w:t>de</w:t>
      </w:r>
      <w:r w:rsidRPr="00AF39D7">
        <w:rPr>
          <w:spacing w:val="-9"/>
          <w:sz w:val="16"/>
          <w:lang w:val="es-AR"/>
        </w:rPr>
        <w:t xml:space="preserve"> </w:t>
      </w:r>
      <w:r w:rsidRPr="00AF39D7">
        <w:rPr>
          <w:sz w:val="16"/>
          <w:lang w:val="es-AR"/>
        </w:rPr>
        <w:t>la</w:t>
      </w:r>
      <w:r w:rsidRPr="00AF39D7">
        <w:rPr>
          <w:spacing w:val="-13"/>
          <w:sz w:val="16"/>
          <w:lang w:val="es-AR"/>
        </w:rPr>
        <w:t xml:space="preserve"> </w:t>
      </w:r>
      <w:r w:rsidRPr="00AF39D7">
        <w:rPr>
          <w:sz w:val="16"/>
          <w:lang w:val="es-AR"/>
        </w:rPr>
        <w:t>División</w:t>
      </w:r>
      <w:r w:rsidRPr="00AF39D7">
        <w:rPr>
          <w:spacing w:val="-11"/>
          <w:sz w:val="16"/>
          <w:lang w:val="es-AR"/>
        </w:rPr>
        <w:t xml:space="preserve"> </w:t>
      </w:r>
      <w:r w:rsidRPr="00AF39D7">
        <w:rPr>
          <w:sz w:val="16"/>
          <w:lang w:val="es-AR"/>
        </w:rPr>
        <w:t>de</w:t>
      </w:r>
      <w:r w:rsidRPr="00AF39D7">
        <w:rPr>
          <w:spacing w:val="-12"/>
          <w:sz w:val="16"/>
          <w:lang w:val="es-AR"/>
        </w:rPr>
        <w:t xml:space="preserve"> </w:t>
      </w:r>
      <w:r w:rsidRPr="00AF39D7">
        <w:rPr>
          <w:sz w:val="16"/>
          <w:lang w:val="es-AR"/>
        </w:rPr>
        <w:t>Derechos</w:t>
      </w:r>
      <w:r w:rsidRPr="00AF39D7">
        <w:rPr>
          <w:spacing w:val="-13"/>
          <w:sz w:val="16"/>
          <w:lang w:val="es-AR"/>
        </w:rPr>
        <w:t xml:space="preserve"> </w:t>
      </w:r>
      <w:r w:rsidRPr="00AF39D7">
        <w:rPr>
          <w:sz w:val="16"/>
          <w:lang w:val="es-AR"/>
        </w:rPr>
        <w:t>Humanos;</w:t>
      </w:r>
      <w:r w:rsidRPr="00AF39D7">
        <w:rPr>
          <w:spacing w:val="-13"/>
          <w:sz w:val="16"/>
          <w:lang w:val="es-AR"/>
        </w:rPr>
        <w:t xml:space="preserve"> </w:t>
      </w:r>
      <w:r w:rsidRPr="00AF39D7">
        <w:rPr>
          <w:sz w:val="16"/>
          <w:lang w:val="es-AR"/>
        </w:rPr>
        <w:t>Secretaria</w:t>
      </w:r>
      <w:r w:rsidRPr="00AF39D7">
        <w:rPr>
          <w:spacing w:val="-13"/>
          <w:sz w:val="16"/>
          <w:lang w:val="es-AR"/>
        </w:rPr>
        <w:t xml:space="preserve"> </w:t>
      </w:r>
      <w:r w:rsidRPr="00AF39D7">
        <w:rPr>
          <w:sz w:val="16"/>
          <w:lang w:val="es-AR"/>
        </w:rPr>
        <w:t>Vanessa</w:t>
      </w:r>
      <w:r w:rsidRPr="00AF39D7">
        <w:rPr>
          <w:spacing w:val="-13"/>
          <w:sz w:val="16"/>
          <w:lang w:val="es-AR"/>
        </w:rPr>
        <w:t xml:space="preserve"> </w:t>
      </w:r>
      <w:r w:rsidRPr="00AF39D7">
        <w:rPr>
          <w:sz w:val="16"/>
          <w:lang w:val="es-AR"/>
        </w:rPr>
        <w:t>Sant'Anna Bonifácio</w:t>
      </w:r>
      <w:r w:rsidRPr="00AF39D7">
        <w:rPr>
          <w:spacing w:val="-5"/>
          <w:sz w:val="16"/>
          <w:lang w:val="es-AR"/>
        </w:rPr>
        <w:t xml:space="preserve"> </w:t>
      </w:r>
      <w:r w:rsidRPr="00AF39D7">
        <w:rPr>
          <w:sz w:val="16"/>
          <w:lang w:val="es-AR"/>
        </w:rPr>
        <w:t>Tavares,</w:t>
      </w:r>
      <w:r w:rsidRPr="00AF39D7">
        <w:rPr>
          <w:spacing w:val="-4"/>
          <w:sz w:val="16"/>
          <w:lang w:val="es-AR"/>
        </w:rPr>
        <w:t xml:space="preserve"> </w:t>
      </w:r>
      <w:r w:rsidRPr="00AF39D7">
        <w:rPr>
          <w:sz w:val="16"/>
          <w:lang w:val="es-AR"/>
        </w:rPr>
        <w:t>asesora</w:t>
      </w:r>
      <w:r w:rsidRPr="00AF39D7">
        <w:rPr>
          <w:spacing w:val="-8"/>
          <w:sz w:val="16"/>
          <w:lang w:val="es-AR"/>
        </w:rPr>
        <w:t xml:space="preserve"> </w:t>
      </w:r>
      <w:r w:rsidRPr="00AF39D7">
        <w:rPr>
          <w:sz w:val="16"/>
          <w:lang w:val="es-AR"/>
        </w:rPr>
        <w:t>de</w:t>
      </w:r>
      <w:r w:rsidRPr="00AF39D7">
        <w:rPr>
          <w:spacing w:val="-7"/>
          <w:sz w:val="16"/>
          <w:lang w:val="es-AR"/>
        </w:rPr>
        <w:t xml:space="preserve"> </w:t>
      </w:r>
      <w:r w:rsidRPr="00AF39D7">
        <w:rPr>
          <w:sz w:val="16"/>
          <w:lang w:val="es-AR"/>
        </w:rPr>
        <w:t>la</w:t>
      </w:r>
      <w:r w:rsidRPr="00AF39D7">
        <w:rPr>
          <w:spacing w:val="-4"/>
          <w:sz w:val="16"/>
          <w:lang w:val="es-AR"/>
        </w:rPr>
        <w:t xml:space="preserve"> </w:t>
      </w:r>
      <w:r w:rsidRPr="00AF39D7">
        <w:rPr>
          <w:sz w:val="16"/>
          <w:lang w:val="es-AR"/>
        </w:rPr>
        <w:t>División</w:t>
      </w:r>
      <w:r w:rsidRPr="00AF39D7">
        <w:rPr>
          <w:spacing w:val="-6"/>
          <w:sz w:val="16"/>
          <w:lang w:val="es-AR"/>
        </w:rPr>
        <w:t xml:space="preserve"> </w:t>
      </w:r>
      <w:r w:rsidRPr="00AF39D7">
        <w:rPr>
          <w:sz w:val="16"/>
          <w:lang w:val="es-AR"/>
        </w:rPr>
        <w:t>de</w:t>
      </w:r>
      <w:r w:rsidRPr="00AF39D7">
        <w:rPr>
          <w:spacing w:val="-8"/>
          <w:sz w:val="16"/>
          <w:lang w:val="es-AR"/>
        </w:rPr>
        <w:t xml:space="preserve"> </w:t>
      </w:r>
      <w:r w:rsidRPr="00AF39D7">
        <w:rPr>
          <w:sz w:val="16"/>
          <w:lang w:val="es-AR"/>
        </w:rPr>
        <w:t>Derechos</w:t>
      </w:r>
      <w:r w:rsidRPr="00AF39D7">
        <w:rPr>
          <w:spacing w:val="-5"/>
          <w:sz w:val="16"/>
          <w:lang w:val="es-AR"/>
        </w:rPr>
        <w:t xml:space="preserve"> </w:t>
      </w:r>
      <w:r w:rsidRPr="00AF39D7">
        <w:rPr>
          <w:sz w:val="16"/>
          <w:lang w:val="es-AR"/>
        </w:rPr>
        <w:t>Humanos;</w:t>
      </w:r>
      <w:r w:rsidRPr="00AF39D7">
        <w:rPr>
          <w:spacing w:val="-7"/>
          <w:sz w:val="16"/>
          <w:lang w:val="es-AR"/>
        </w:rPr>
        <w:t xml:space="preserve"> </w:t>
      </w:r>
      <w:r w:rsidRPr="00AF39D7">
        <w:rPr>
          <w:sz w:val="16"/>
          <w:lang w:val="es-AR"/>
        </w:rPr>
        <w:t>Secretario</w:t>
      </w:r>
      <w:r w:rsidRPr="00AF39D7">
        <w:rPr>
          <w:spacing w:val="-4"/>
          <w:sz w:val="16"/>
          <w:lang w:val="es-AR"/>
        </w:rPr>
        <w:t xml:space="preserve"> </w:t>
      </w:r>
      <w:r w:rsidRPr="00AF39D7">
        <w:rPr>
          <w:sz w:val="16"/>
          <w:lang w:val="es-AR"/>
        </w:rPr>
        <w:t>Daniel</w:t>
      </w:r>
      <w:r w:rsidRPr="00AF39D7">
        <w:rPr>
          <w:spacing w:val="-5"/>
          <w:sz w:val="16"/>
          <w:lang w:val="es-AR"/>
        </w:rPr>
        <w:t xml:space="preserve"> </w:t>
      </w:r>
      <w:r w:rsidRPr="00AF39D7">
        <w:rPr>
          <w:sz w:val="16"/>
          <w:lang w:val="es-AR"/>
        </w:rPr>
        <w:t>Leão</w:t>
      </w:r>
      <w:r w:rsidRPr="00AF39D7">
        <w:rPr>
          <w:spacing w:val="-5"/>
          <w:sz w:val="16"/>
          <w:lang w:val="es-AR"/>
        </w:rPr>
        <w:t xml:space="preserve"> </w:t>
      </w:r>
      <w:r w:rsidRPr="00AF39D7">
        <w:rPr>
          <w:sz w:val="16"/>
          <w:lang w:val="es-AR"/>
        </w:rPr>
        <w:t>Sousa,</w:t>
      </w:r>
      <w:r w:rsidRPr="00AF39D7">
        <w:rPr>
          <w:spacing w:val="-4"/>
          <w:sz w:val="16"/>
          <w:lang w:val="es-AR"/>
        </w:rPr>
        <w:t xml:space="preserve"> </w:t>
      </w:r>
      <w:r w:rsidRPr="00AF39D7">
        <w:rPr>
          <w:sz w:val="16"/>
          <w:lang w:val="es-AR"/>
        </w:rPr>
        <w:t>asesor</w:t>
      </w:r>
      <w:r w:rsidRPr="00AF39D7">
        <w:rPr>
          <w:spacing w:val="-5"/>
          <w:sz w:val="16"/>
          <w:lang w:val="es-AR"/>
        </w:rPr>
        <w:t xml:space="preserve"> </w:t>
      </w:r>
      <w:r w:rsidRPr="00AF39D7">
        <w:rPr>
          <w:sz w:val="16"/>
          <w:lang w:val="es-AR"/>
        </w:rPr>
        <w:t>de</w:t>
      </w:r>
      <w:r w:rsidRPr="00AF39D7">
        <w:rPr>
          <w:spacing w:val="-5"/>
          <w:sz w:val="16"/>
          <w:lang w:val="es-AR"/>
        </w:rPr>
        <w:t xml:space="preserve"> </w:t>
      </w:r>
      <w:r w:rsidRPr="00AF39D7">
        <w:rPr>
          <w:sz w:val="16"/>
          <w:lang w:val="es-AR"/>
        </w:rPr>
        <w:t>la</w:t>
      </w:r>
      <w:r w:rsidRPr="00AF39D7">
        <w:rPr>
          <w:spacing w:val="-7"/>
          <w:sz w:val="16"/>
          <w:lang w:val="es-AR"/>
        </w:rPr>
        <w:t xml:space="preserve"> </w:t>
      </w:r>
      <w:r w:rsidRPr="00AF39D7">
        <w:rPr>
          <w:sz w:val="16"/>
          <w:lang w:val="es-AR"/>
        </w:rPr>
        <w:t>División</w:t>
      </w:r>
    </w:p>
    <w:p w14:paraId="11EB8337" w14:textId="77777777" w:rsidR="00467FCA" w:rsidRPr="00AF39D7" w:rsidRDefault="00467FCA">
      <w:pPr>
        <w:jc w:val="both"/>
        <w:rPr>
          <w:sz w:val="16"/>
          <w:lang w:val="es-AR"/>
        </w:rPr>
        <w:sectPr w:rsidR="00467FCA" w:rsidRPr="00AF39D7">
          <w:pgSz w:w="12240" w:h="15840"/>
          <w:pgMar w:top="1360" w:right="1320" w:bottom="1220" w:left="1320" w:header="0" w:footer="1037" w:gutter="0"/>
          <w:cols w:space="720"/>
        </w:sectPr>
      </w:pPr>
    </w:p>
    <w:p w14:paraId="13157EA5" w14:textId="77777777" w:rsidR="00467FCA" w:rsidRPr="00AF39D7" w:rsidRDefault="001B68EB">
      <w:pPr>
        <w:pStyle w:val="Textoindependiente"/>
        <w:spacing w:before="80"/>
        <w:ind w:left="119" w:right="119"/>
        <w:jc w:val="both"/>
        <w:rPr>
          <w:lang w:val="es-AR"/>
        </w:rPr>
      </w:pPr>
      <w:r w:rsidRPr="00AF39D7">
        <w:rPr>
          <w:lang w:val="es-AR"/>
        </w:rPr>
        <w:t>contestación al sometimiento del caso y al escrito de solicitudes y argumentos (en adelante “contestación” o “escrito de contestación”), en el cual interpuso cuatro excepciones preliminares</w:t>
      </w:r>
      <w:hyperlink w:anchor="_bookmark9" w:history="1">
        <w:r w:rsidRPr="00AF39D7">
          <w:rPr>
            <w:position w:val="7"/>
            <w:sz w:val="13"/>
            <w:lang w:val="es-AR"/>
          </w:rPr>
          <w:t>8</w:t>
        </w:r>
      </w:hyperlink>
      <w:r w:rsidRPr="00AF39D7">
        <w:rPr>
          <w:position w:val="7"/>
          <w:sz w:val="13"/>
          <w:lang w:val="es-AR"/>
        </w:rPr>
        <w:t xml:space="preserve"> </w:t>
      </w:r>
      <w:r w:rsidRPr="00AF39D7">
        <w:rPr>
          <w:lang w:val="es-AR"/>
        </w:rPr>
        <w:t>y se opuso a las violaciones alegad</w:t>
      </w:r>
      <w:r w:rsidRPr="00AF39D7">
        <w:rPr>
          <w:lang w:val="es-AR"/>
        </w:rPr>
        <w:t>as y a las solicitudes de medidas de reparación presentadas por la Comisión y los representantes.</w:t>
      </w:r>
    </w:p>
    <w:p w14:paraId="3AA8331E" w14:textId="77777777" w:rsidR="00467FCA" w:rsidRPr="00AF39D7" w:rsidRDefault="00467FCA">
      <w:pPr>
        <w:pStyle w:val="Textoindependiente"/>
        <w:spacing w:before="11"/>
        <w:rPr>
          <w:sz w:val="19"/>
          <w:lang w:val="es-AR"/>
        </w:rPr>
      </w:pPr>
    </w:p>
    <w:p w14:paraId="61BDE20F" w14:textId="77777777" w:rsidR="00467FCA" w:rsidRPr="00AF39D7" w:rsidRDefault="001B68EB">
      <w:pPr>
        <w:pStyle w:val="Prrafodelista"/>
        <w:numPr>
          <w:ilvl w:val="0"/>
          <w:numId w:val="50"/>
        </w:numPr>
        <w:tabs>
          <w:tab w:val="left" w:pos="687"/>
        </w:tabs>
        <w:spacing w:before="1"/>
        <w:ind w:right="117" w:firstLine="0"/>
        <w:jc w:val="both"/>
        <w:rPr>
          <w:sz w:val="20"/>
          <w:lang w:val="es-AR"/>
        </w:rPr>
      </w:pPr>
      <w:r w:rsidRPr="00AF39D7">
        <w:rPr>
          <w:i/>
          <w:sz w:val="20"/>
          <w:lang w:val="es-AR"/>
        </w:rPr>
        <w:t xml:space="preserve">Observaciones a las excepciones preliminares </w:t>
      </w:r>
      <w:r w:rsidRPr="00AF39D7">
        <w:rPr>
          <w:sz w:val="20"/>
          <w:lang w:val="es-AR"/>
        </w:rPr>
        <w:t>– El 26 de abril de 2019, la Comisión Interamericana y los representantes presentaron sus observaciones a las ex</w:t>
      </w:r>
      <w:r w:rsidRPr="00AF39D7">
        <w:rPr>
          <w:sz w:val="20"/>
          <w:lang w:val="es-AR"/>
        </w:rPr>
        <w:t>cepciones preliminares presentadas por el</w:t>
      </w:r>
      <w:r w:rsidRPr="00AF39D7">
        <w:rPr>
          <w:spacing w:val="-3"/>
          <w:sz w:val="20"/>
          <w:lang w:val="es-AR"/>
        </w:rPr>
        <w:t xml:space="preserve"> </w:t>
      </w:r>
      <w:r w:rsidRPr="00AF39D7">
        <w:rPr>
          <w:sz w:val="20"/>
          <w:lang w:val="es-AR"/>
        </w:rPr>
        <w:t>Estado.</w:t>
      </w:r>
    </w:p>
    <w:p w14:paraId="4C964353" w14:textId="77777777" w:rsidR="00467FCA" w:rsidRPr="00AF39D7" w:rsidRDefault="00467FCA">
      <w:pPr>
        <w:pStyle w:val="Textoindependiente"/>
        <w:spacing w:before="11"/>
        <w:rPr>
          <w:sz w:val="19"/>
          <w:lang w:val="es-AR"/>
        </w:rPr>
      </w:pPr>
    </w:p>
    <w:p w14:paraId="3BA193E1" w14:textId="77777777" w:rsidR="00467FCA" w:rsidRDefault="001B68EB">
      <w:pPr>
        <w:pStyle w:val="Prrafodelista"/>
        <w:numPr>
          <w:ilvl w:val="0"/>
          <w:numId w:val="50"/>
        </w:numPr>
        <w:tabs>
          <w:tab w:val="left" w:pos="687"/>
        </w:tabs>
        <w:spacing w:before="1"/>
        <w:ind w:right="116" w:firstLine="0"/>
        <w:jc w:val="both"/>
        <w:rPr>
          <w:sz w:val="20"/>
        </w:rPr>
      </w:pPr>
      <w:r w:rsidRPr="00AF39D7">
        <w:rPr>
          <w:i/>
          <w:sz w:val="20"/>
          <w:lang w:val="es-AR"/>
        </w:rPr>
        <w:t>Audiencia</w:t>
      </w:r>
      <w:r w:rsidRPr="00AF39D7">
        <w:rPr>
          <w:i/>
          <w:spacing w:val="-11"/>
          <w:sz w:val="20"/>
          <w:lang w:val="es-AR"/>
        </w:rPr>
        <w:t xml:space="preserve"> </w:t>
      </w:r>
      <w:r w:rsidRPr="00AF39D7">
        <w:rPr>
          <w:i/>
          <w:sz w:val="20"/>
          <w:lang w:val="es-AR"/>
        </w:rPr>
        <w:t>Pública.</w:t>
      </w:r>
      <w:r w:rsidRPr="00AF39D7">
        <w:rPr>
          <w:i/>
          <w:spacing w:val="-10"/>
          <w:sz w:val="20"/>
          <w:lang w:val="es-AR"/>
        </w:rPr>
        <w:t xml:space="preserve"> </w:t>
      </w:r>
      <w:r w:rsidRPr="00AF39D7">
        <w:rPr>
          <w:sz w:val="20"/>
          <w:lang w:val="es-AR"/>
        </w:rPr>
        <w:t>–</w:t>
      </w:r>
      <w:r w:rsidRPr="00AF39D7">
        <w:rPr>
          <w:spacing w:val="-7"/>
          <w:sz w:val="20"/>
          <w:lang w:val="es-AR"/>
        </w:rPr>
        <w:t xml:space="preserve"> </w:t>
      </w:r>
      <w:r w:rsidRPr="00AF39D7">
        <w:rPr>
          <w:sz w:val="20"/>
          <w:lang w:val="es-AR"/>
        </w:rPr>
        <w:t>Mediante</w:t>
      </w:r>
      <w:r w:rsidRPr="00AF39D7">
        <w:rPr>
          <w:spacing w:val="-11"/>
          <w:sz w:val="20"/>
          <w:lang w:val="es-AR"/>
        </w:rPr>
        <w:t xml:space="preserve"> </w:t>
      </w:r>
      <w:r w:rsidRPr="00AF39D7">
        <w:rPr>
          <w:sz w:val="20"/>
          <w:lang w:val="es-AR"/>
        </w:rPr>
        <w:t>la</w:t>
      </w:r>
      <w:r w:rsidRPr="00AF39D7">
        <w:rPr>
          <w:spacing w:val="-10"/>
          <w:sz w:val="20"/>
          <w:lang w:val="es-AR"/>
        </w:rPr>
        <w:t xml:space="preserve"> </w:t>
      </w:r>
      <w:r w:rsidRPr="00AF39D7">
        <w:rPr>
          <w:sz w:val="20"/>
          <w:lang w:val="es-AR"/>
        </w:rPr>
        <w:t>Resolución</w:t>
      </w:r>
      <w:r w:rsidRPr="00AF39D7">
        <w:rPr>
          <w:spacing w:val="-9"/>
          <w:sz w:val="20"/>
          <w:lang w:val="es-AR"/>
        </w:rPr>
        <w:t xml:space="preserve"> </w:t>
      </w:r>
      <w:r w:rsidRPr="00AF39D7">
        <w:rPr>
          <w:sz w:val="20"/>
          <w:lang w:val="es-AR"/>
        </w:rPr>
        <w:t>de</w:t>
      </w:r>
      <w:r w:rsidRPr="00AF39D7">
        <w:rPr>
          <w:spacing w:val="-7"/>
          <w:sz w:val="20"/>
          <w:lang w:val="es-AR"/>
        </w:rPr>
        <w:t xml:space="preserve"> </w:t>
      </w:r>
      <w:r w:rsidRPr="00AF39D7">
        <w:rPr>
          <w:sz w:val="20"/>
          <w:lang w:val="es-AR"/>
        </w:rPr>
        <w:t>27</w:t>
      </w:r>
      <w:r w:rsidRPr="00AF39D7">
        <w:rPr>
          <w:spacing w:val="-11"/>
          <w:sz w:val="20"/>
          <w:lang w:val="es-AR"/>
        </w:rPr>
        <w:t xml:space="preserve"> </w:t>
      </w:r>
      <w:r w:rsidRPr="00AF39D7">
        <w:rPr>
          <w:sz w:val="20"/>
          <w:lang w:val="es-AR"/>
        </w:rPr>
        <w:t>de</w:t>
      </w:r>
      <w:r w:rsidRPr="00AF39D7">
        <w:rPr>
          <w:spacing w:val="-12"/>
          <w:sz w:val="20"/>
          <w:lang w:val="es-AR"/>
        </w:rPr>
        <w:t xml:space="preserve"> </w:t>
      </w:r>
      <w:r w:rsidRPr="00AF39D7">
        <w:rPr>
          <w:sz w:val="20"/>
          <w:lang w:val="es-AR"/>
        </w:rPr>
        <w:t>noviembre</w:t>
      </w:r>
      <w:r w:rsidRPr="00AF39D7">
        <w:rPr>
          <w:spacing w:val="-11"/>
          <w:sz w:val="20"/>
          <w:lang w:val="es-AR"/>
        </w:rPr>
        <w:t xml:space="preserve"> </w:t>
      </w:r>
      <w:r w:rsidRPr="00AF39D7">
        <w:rPr>
          <w:sz w:val="20"/>
          <w:lang w:val="es-AR"/>
        </w:rPr>
        <w:t>de</w:t>
      </w:r>
      <w:r w:rsidRPr="00AF39D7">
        <w:rPr>
          <w:spacing w:val="-9"/>
          <w:sz w:val="20"/>
          <w:lang w:val="es-AR"/>
        </w:rPr>
        <w:t xml:space="preserve"> </w:t>
      </w:r>
      <w:r w:rsidRPr="00AF39D7">
        <w:rPr>
          <w:sz w:val="20"/>
          <w:lang w:val="es-AR"/>
        </w:rPr>
        <w:t>2019,</w:t>
      </w:r>
      <w:r w:rsidRPr="00AF39D7">
        <w:rPr>
          <w:spacing w:val="-11"/>
          <w:sz w:val="20"/>
          <w:lang w:val="es-AR"/>
        </w:rPr>
        <w:t xml:space="preserve"> </w:t>
      </w:r>
      <w:r w:rsidRPr="00AF39D7">
        <w:rPr>
          <w:sz w:val="20"/>
          <w:lang w:val="es-AR"/>
        </w:rPr>
        <w:t>la</w:t>
      </w:r>
      <w:r w:rsidRPr="00AF39D7">
        <w:rPr>
          <w:spacing w:val="-10"/>
          <w:sz w:val="20"/>
          <w:lang w:val="es-AR"/>
        </w:rPr>
        <w:t xml:space="preserve"> </w:t>
      </w:r>
      <w:r w:rsidRPr="00AF39D7">
        <w:rPr>
          <w:sz w:val="20"/>
          <w:lang w:val="es-AR"/>
        </w:rPr>
        <w:t>Presidencia convocó</w:t>
      </w:r>
      <w:r w:rsidRPr="00AF39D7">
        <w:rPr>
          <w:spacing w:val="-12"/>
          <w:sz w:val="20"/>
          <w:lang w:val="es-AR"/>
        </w:rPr>
        <w:t xml:space="preserve"> </w:t>
      </w:r>
      <w:r w:rsidRPr="00AF39D7">
        <w:rPr>
          <w:sz w:val="20"/>
          <w:lang w:val="es-AR"/>
        </w:rPr>
        <w:t>a</w:t>
      </w:r>
      <w:r w:rsidRPr="00AF39D7">
        <w:rPr>
          <w:spacing w:val="-10"/>
          <w:sz w:val="20"/>
          <w:lang w:val="es-AR"/>
        </w:rPr>
        <w:t xml:space="preserve"> </w:t>
      </w:r>
      <w:r w:rsidRPr="00AF39D7">
        <w:rPr>
          <w:sz w:val="20"/>
          <w:lang w:val="es-AR"/>
        </w:rPr>
        <w:t>las</w:t>
      </w:r>
      <w:r w:rsidRPr="00AF39D7">
        <w:rPr>
          <w:spacing w:val="-11"/>
          <w:sz w:val="20"/>
          <w:lang w:val="es-AR"/>
        </w:rPr>
        <w:t xml:space="preserve"> </w:t>
      </w:r>
      <w:r w:rsidRPr="00AF39D7">
        <w:rPr>
          <w:sz w:val="20"/>
          <w:lang w:val="es-AR"/>
        </w:rPr>
        <w:t>partes</w:t>
      </w:r>
      <w:r w:rsidRPr="00AF39D7">
        <w:rPr>
          <w:spacing w:val="-9"/>
          <w:sz w:val="20"/>
          <w:lang w:val="es-AR"/>
        </w:rPr>
        <w:t xml:space="preserve"> </w:t>
      </w:r>
      <w:r w:rsidRPr="00AF39D7">
        <w:rPr>
          <w:sz w:val="20"/>
          <w:lang w:val="es-AR"/>
        </w:rPr>
        <w:t>y</w:t>
      </w:r>
      <w:r w:rsidRPr="00AF39D7">
        <w:rPr>
          <w:spacing w:val="-11"/>
          <w:sz w:val="20"/>
          <w:lang w:val="es-AR"/>
        </w:rPr>
        <w:t xml:space="preserve"> </w:t>
      </w:r>
      <w:r w:rsidRPr="00AF39D7">
        <w:rPr>
          <w:sz w:val="20"/>
          <w:lang w:val="es-AR"/>
        </w:rPr>
        <w:t>a</w:t>
      </w:r>
      <w:r w:rsidRPr="00AF39D7">
        <w:rPr>
          <w:spacing w:val="-8"/>
          <w:sz w:val="20"/>
          <w:lang w:val="es-AR"/>
        </w:rPr>
        <w:t xml:space="preserve"> </w:t>
      </w:r>
      <w:r w:rsidRPr="00AF39D7">
        <w:rPr>
          <w:sz w:val="20"/>
          <w:lang w:val="es-AR"/>
        </w:rPr>
        <w:t>la</w:t>
      </w:r>
      <w:r w:rsidRPr="00AF39D7">
        <w:rPr>
          <w:spacing w:val="-10"/>
          <w:sz w:val="20"/>
          <w:lang w:val="es-AR"/>
        </w:rPr>
        <w:t xml:space="preserve"> </w:t>
      </w:r>
      <w:r w:rsidRPr="00AF39D7">
        <w:rPr>
          <w:sz w:val="20"/>
          <w:lang w:val="es-AR"/>
        </w:rPr>
        <w:t>Comisión</w:t>
      </w:r>
      <w:r w:rsidRPr="00AF39D7">
        <w:rPr>
          <w:spacing w:val="-9"/>
          <w:sz w:val="20"/>
          <w:lang w:val="es-AR"/>
        </w:rPr>
        <w:t xml:space="preserve"> </w:t>
      </w:r>
      <w:r w:rsidRPr="00AF39D7">
        <w:rPr>
          <w:sz w:val="20"/>
          <w:lang w:val="es-AR"/>
        </w:rPr>
        <w:t>a</w:t>
      </w:r>
      <w:r w:rsidRPr="00AF39D7">
        <w:rPr>
          <w:spacing w:val="-10"/>
          <w:sz w:val="20"/>
          <w:lang w:val="es-AR"/>
        </w:rPr>
        <w:t xml:space="preserve"> </w:t>
      </w:r>
      <w:r w:rsidRPr="00AF39D7">
        <w:rPr>
          <w:sz w:val="20"/>
          <w:lang w:val="es-AR"/>
        </w:rPr>
        <w:t>la</w:t>
      </w:r>
      <w:r w:rsidRPr="00AF39D7">
        <w:rPr>
          <w:spacing w:val="-10"/>
          <w:sz w:val="20"/>
          <w:lang w:val="es-AR"/>
        </w:rPr>
        <w:t xml:space="preserve"> </w:t>
      </w:r>
      <w:r w:rsidRPr="00AF39D7">
        <w:rPr>
          <w:sz w:val="20"/>
          <w:lang w:val="es-AR"/>
        </w:rPr>
        <w:t>celebración</w:t>
      </w:r>
      <w:r w:rsidRPr="00AF39D7">
        <w:rPr>
          <w:spacing w:val="-9"/>
          <w:sz w:val="20"/>
          <w:lang w:val="es-AR"/>
        </w:rPr>
        <w:t xml:space="preserve"> </w:t>
      </w:r>
      <w:r w:rsidRPr="00AF39D7">
        <w:rPr>
          <w:sz w:val="20"/>
          <w:lang w:val="es-AR"/>
        </w:rPr>
        <w:t>de</w:t>
      </w:r>
      <w:r w:rsidRPr="00AF39D7">
        <w:rPr>
          <w:spacing w:val="-11"/>
          <w:sz w:val="20"/>
          <w:lang w:val="es-AR"/>
        </w:rPr>
        <w:t xml:space="preserve"> </w:t>
      </w:r>
      <w:r w:rsidRPr="00AF39D7">
        <w:rPr>
          <w:sz w:val="20"/>
          <w:lang w:val="es-AR"/>
        </w:rPr>
        <w:t>una</w:t>
      </w:r>
      <w:r w:rsidRPr="00AF39D7">
        <w:rPr>
          <w:spacing w:val="-10"/>
          <w:sz w:val="20"/>
          <w:lang w:val="es-AR"/>
        </w:rPr>
        <w:t xml:space="preserve"> </w:t>
      </w:r>
      <w:r w:rsidRPr="00AF39D7">
        <w:rPr>
          <w:sz w:val="20"/>
          <w:lang w:val="es-AR"/>
        </w:rPr>
        <w:t>audiencia</w:t>
      </w:r>
      <w:r w:rsidRPr="00AF39D7">
        <w:rPr>
          <w:spacing w:val="-10"/>
          <w:sz w:val="20"/>
          <w:lang w:val="es-AR"/>
        </w:rPr>
        <w:t xml:space="preserve"> </w:t>
      </w:r>
      <w:r w:rsidRPr="00AF39D7">
        <w:rPr>
          <w:sz w:val="20"/>
          <w:lang w:val="es-AR"/>
        </w:rPr>
        <w:t>pública</w:t>
      </w:r>
      <w:r w:rsidRPr="00AF39D7">
        <w:rPr>
          <w:spacing w:val="-10"/>
          <w:sz w:val="20"/>
          <w:lang w:val="es-AR"/>
        </w:rPr>
        <w:t xml:space="preserve"> </w:t>
      </w:r>
      <w:r w:rsidRPr="00AF39D7">
        <w:rPr>
          <w:sz w:val="20"/>
          <w:lang w:val="es-AR"/>
        </w:rPr>
        <w:t>para</w:t>
      </w:r>
      <w:r w:rsidRPr="00AF39D7">
        <w:rPr>
          <w:spacing w:val="-10"/>
          <w:sz w:val="20"/>
          <w:lang w:val="es-AR"/>
        </w:rPr>
        <w:t xml:space="preserve"> </w:t>
      </w:r>
      <w:r w:rsidRPr="00AF39D7">
        <w:rPr>
          <w:sz w:val="20"/>
          <w:lang w:val="es-AR"/>
        </w:rPr>
        <w:t>recibir</w:t>
      </w:r>
      <w:r w:rsidRPr="00AF39D7">
        <w:rPr>
          <w:spacing w:val="-9"/>
          <w:sz w:val="20"/>
          <w:lang w:val="es-AR"/>
        </w:rPr>
        <w:t xml:space="preserve"> </w:t>
      </w:r>
      <w:r w:rsidRPr="00AF39D7">
        <w:rPr>
          <w:sz w:val="20"/>
          <w:lang w:val="es-AR"/>
        </w:rPr>
        <w:t>sus alegatos</w:t>
      </w:r>
      <w:r w:rsidRPr="00AF39D7">
        <w:rPr>
          <w:spacing w:val="-14"/>
          <w:sz w:val="20"/>
          <w:lang w:val="es-AR"/>
        </w:rPr>
        <w:t xml:space="preserve"> </w:t>
      </w:r>
      <w:r w:rsidRPr="00AF39D7">
        <w:rPr>
          <w:sz w:val="20"/>
          <w:lang w:val="es-AR"/>
        </w:rPr>
        <w:t>finales</w:t>
      </w:r>
      <w:r w:rsidRPr="00AF39D7">
        <w:rPr>
          <w:spacing w:val="-13"/>
          <w:sz w:val="20"/>
          <w:lang w:val="es-AR"/>
        </w:rPr>
        <w:t xml:space="preserve"> </w:t>
      </w:r>
      <w:r w:rsidRPr="00AF39D7">
        <w:rPr>
          <w:sz w:val="20"/>
          <w:lang w:val="es-AR"/>
        </w:rPr>
        <w:t>orales</w:t>
      </w:r>
      <w:r w:rsidRPr="00AF39D7">
        <w:rPr>
          <w:spacing w:val="-16"/>
          <w:sz w:val="20"/>
          <w:lang w:val="es-AR"/>
        </w:rPr>
        <w:t xml:space="preserve"> </w:t>
      </w:r>
      <w:r w:rsidRPr="00AF39D7">
        <w:rPr>
          <w:sz w:val="20"/>
          <w:lang w:val="es-AR"/>
        </w:rPr>
        <w:t>y</w:t>
      </w:r>
      <w:r w:rsidRPr="00AF39D7">
        <w:rPr>
          <w:spacing w:val="-13"/>
          <w:sz w:val="20"/>
          <w:lang w:val="es-AR"/>
        </w:rPr>
        <w:t xml:space="preserve"> </w:t>
      </w:r>
      <w:r w:rsidRPr="00AF39D7">
        <w:rPr>
          <w:sz w:val="20"/>
          <w:lang w:val="es-AR"/>
        </w:rPr>
        <w:t>observaciones</w:t>
      </w:r>
      <w:r w:rsidRPr="00AF39D7">
        <w:rPr>
          <w:spacing w:val="-13"/>
          <w:sz w:val="20"/>
          <w:lang w:val="es-AR"/>
        </w:rPr>
        <w:t xml:space="preserve"> </w:t>
      </w:r>
      <w:r w:rsidRPr="00AF39D7">
        <w:rPr>
          <w:sz w:val="20"/>
          <w:lang w:val="es-AR"/>
        </w:rPr>
        <w:t>finales</w:t>
      </w:r>
      <w:r w:rsidRPr="00AF39D7">
        <w:rPr>
          <w:spacing w:val="-14"/>
          <w:sz w:val="20"/>
          <w:lang w:val="es-AR"/>
        </w:rPr>
        <w:t xml:space="preserve"> </w:t>
      </w:r>
      <w:r w:rsidRPr="00AF39D7">
        <w:rPr>
          <w:sz w:val="20"/>
          <w:lang w:val="es-AR"/>
        </w:rPr>
        <w:t>orales,</w:t>
      </w:r>
      <w:r w:rsidRPr="00AF39D7">
        <w:rPr>
          <w:spacing w:val="-13"/>
          <w:sz w:val="20"/>
          <w:lang w:val="es-AR"/>
        </w:rPr>
        <w:t xml:space="preserve"> </w:t>
      </w:r>
      <w:r w:rsidRPr="00AF39D7">
        <w:rPr>
          <w:sz w:val="20"/>
          <w:lang w:val="es-AR"/>
        </w:rPr>
        <w:t>respectivamente,</w:t>
      </w:r>
      <w:r w:rsidRPr="00AF39D7">
        <w:rPr>
          <w:spacing w:val="-14"/>
          <w:sz w:val="20"/>
          <w:lang w:val="es-AR"/>
        </w:rPr>
        <w:t xml:space="preserve"> </w:t>
      </w:r>
      <w:r w:rsidRPr="00AF39D7">
        <w:rPr>
          <w:sz w:val="20"/>
          <w:lang w:val="es-AR"/>
        </w:rPr>
        <w:t>sobre</w:t>
      </w:r>
      <w:r w:rsidRPr="00AF39D7">
        <w:rPr>
          <w:spacing w:val="-16"/>
          <w:sz w:val="20"/>
          <w:lang w:val="es-AR"/>
        </w:rPr>
        <w:t xml:space="preserve"> </w:t>
      </w:r>
      <w:r w:rsidRPr="00AF39D7">
        <w:rPr>
          <w:sz w:val="20"/>
          <w:lang w:val="es-AR"/>
        </w:rPr>
        <w:t>las</w:t>
      </w:r>
      <w:r w:rsidRPr="00AF39D7">
        <w:rPr>
          <w:spacing w:val="-15"/>
          <w:sz w:val="20"/>
          <w:lang w:val="es-AR"/>
        </w:rPr>
        <w:t xml:space="preserve"> </w:t>
      </w:r>
      <w:r w:rsidRPr="00AF39D7">
        <w:rPr>
          <w:sz w:val="20"/>
          <w:lang w:val="es-AR"/>
        </w:rPr>
        <w:t>excepciones preliminares y eventuales fondo, reparaciones y costas</w:t>
      </w:r>
      <w:hyperlink w:anchor="_bookmark10" w:history="1">
        <w:r w:rsidRPr="00AF39D7">
          <w:rPr>
            <w:position w:val="7"/>
            <w:sz w:val="13"/>
            <w:lang w:val="es-AR"/>
          </w:rPr>
          <w:t>9</w:t>
        </w:r>
      </w:hyperlink>
      <w:r w:rsidRPr="00AF39D7">
        <w:rPr>
          <w:sz w:val="20"/>
          <w:lang w:val="es-AR"/>
        </w:rPr>
        <w:t>. La audiencia se celebró el 31 de enero</w:t>
      </w:r>
      <w:r w:rsidRPr="00AF39D7">
        <w:rPr>
          <w:spacing w:val="-8"/>
          <w:sz w:val="20"/>
          <w:lang w:val="es-AR"/>
        </w:rPr>
        <w:t xml:space="preserve"> </w:t>
      </w:r>
      <w:r w:rsidRPr="00AF39D7">
        <w:rPr>
          <w:sz w:val="20"/>
          <w:lang w:val="es-AR"/>
        </w:rPr>
        <w:t>de</w:t>
      </w:r>
      <w:r w:rsidRPr="00AF39D7">
        <w:rPr>
          <w:spacing w:val="-8"/>
          <w:sz w:val="20"/>
          <w:lang w:val="es-AR"/>
        </w:rPr>
        <w:t xml:space="preserve"> </w:t>
      </w:r>
      <w:r w:rsidRPr="00AF39D7">
        <w:rPr>
          <w:sz w:val="20"/>
          <w:lang w:val="es-AR"/>
        </w:rPr>
        <w:t>2020,</w:t>
      </w:r>
      <w:r w:rsidRPr="00AF39D7">
        <w:rPr>
          <w:spacing w:val="-5"/>
          <w:sz w:val="20"/>
          <w:lang w:val="es-AR"/>
        </w:rPr>
        <w:t xml:space="preserve"> </w:t>
      </w:r>
      <w:r w:rsidRPr="00AF39D7">
        <w:rPr>
          <w:sz w:val="20"/>
          <w:lang w:val="es-AR"/>
        </w:rPr>
        <w:t>en</w:t>
      </w:r>
      <w:r w:rsidRPr="00AF39D7">
        <w:rPr>
          <w:spacing w:val="-6"/>
          <w:sz w:val="20"/>
          <w:lang w:val="es-AR"/>
        </w:rPr>
        <w:t xml:space="preserve"> </w:t>
      </w:r>
      <w:r w:rsidRPr="00AF39D7">
        <w:rPr>
          <w:sz w:val="20"/>
          <w:lang w:val="es-AR"/>
        </w:rPr>
        <w:t>la</w:t>
      </w:r>
      <w:r w:rsidRPr="00AF39D7">
        <w:rPr>
          <w:spacing w:val="-4"/>
          <w:sz w:val="20"/>
          <w:lang w:val="es-AR"/>
        </w:rPr>
        <w:t xml:space="preserve"> </w:t>
      </w:r>
      <w:r w:rsidRPr="00AF39D7">
        <w:rPr>
          <w:sz w:val="20"/>
          <w:lang w:val="es-AR"/>
        </w:rPr>
        <w:t>sede</w:t>
      </w:r>
      <w:r w:rsidRPr="00AF39D7">
        <w:rPr>
          <w:spacing w:val="-8"/>
          <w:sz w:val="20"/>
          <w:lang w:val="es-AR"/>
        </w:rPr>
        <w:t xml:space="preserve"> </w:t>
      </w:r>
      <w:r w:rsidRPr="00AF39D7">
        <w:rPr>
          <w:sz w:val="20"/>
          <w:lang w:val="es-AR"/>
        </w:rPr>
        <w:t>de</w:t>
      </w:r>
      <w:r w:rsidRPr="00AF39D7">
        <w:rPr>
          <w:spacing w:val="-6"/>
          <w:sz w:val="20"/>
          <w:lang w:val="es-AR"/>
        </w:rPr>
        <w:t xml:space="preserve"> </w:t>
      </w:r>
      <w:r w:rsidRPr="00AF39D7">
        <w:rPr>
          <w:sz w:val="20"/>
          <w:lang w:val="es-AR"/>
        </w:rPr>
        <w:t>la</w:t>
      </w:r>
      <w:r w:rsidRPr="00AF39D7">
        <w:rPr>
          <w:spacing w:val="-7"/>
          <w:sz w:val="20"/>
          <w:lang w:val="es-AR"/>
        </w:rPr>
        <w:t xml:space="preserve"> </w:t>
      </w:r>
      <w:r w:rsidRPr="00AF39D7">
        <w:rPr>
          <w:sz w:val="20"/>
          <w:lang w:val="es-AR"/>
        </w:rPr>
        <w:t>Corte,</w:t>
      </w:r>
      <w:r w:rsidRPr="00AF39D7">
        <w:rPr>
          <w:spacing w:val="-7"/>
          <w:sz w:val="20"/>
          <w:lang w:val="es-AR"/>
        </w:rPr>
        <w:t xml:space="preserve"> </w:t>
      </w:r>
      <w:r w:rsidRPr="00AF39D7">
        <w:rPr>
          <w:sz w:val="20"/>
          <w:lang w:val="es-AR"/>
        </w:rPr>
        <w:t>durante</w:t>
      </w:r>
      <w:r w:rsidRPr="00AF39D7">
        <w:rPr>
          <w:spacing w:val="-6"/>
          <w:sz w:val="20"/>
          <w:lang w:val="es-AR"/>
        </w:rPr>
        <w:t xml:space="preserve"> </w:t>
      </w:r>
      <w:r w:rsidRPr="00AF39D7">
        <w:rPr>
          <w:sz w:val="20"/>
          <w:lang w:val="es-AR"/>
        </w:rPr>
        <w:t>el</w:t>
      </w:r>
      <w:r w:rsidRPr="00AF39D7">
        <w:rPr>
          <w:spacing w:val="-6"/>
          <w:sz w:val="20"/>
          <w:lang w:val="es-AR"/>
        </w:rPr>
        <w:t xml:space="preserve"> </w:t>
      </w:r>
      <w:r w:rsidRPr="00AF39D7">
        <w:rPr>
          <w:sz w:val="20"/>
          <w:lang w:val="es-AR"/>
        </w:rPr>
        <w:t>133º</w:t>
      </w:r>
      <w:r w:rsidRPr="00AF39D7">
        <w:rPr>
          <w:spacing w:val="-5"/>
          <w:sz w:val="20"/>
          <w:lang w:val="es-AR"/>
        </w:rPr>
        <w:t xml:space="preserve"> </w:t>
      </w:r>
      <w:r w:rsidRPr="00AF39D7">
        <w:rPr>
          <w:sz w:val="20"/>
          <w:lang w:val="es-AR"/>
        </w:rPr>
        <w:t>Período</w:t>
      </w:r>
      <w:r w:rsidRPr="00AF39D7">
        <w:rPr>
          <w:spacing w:val="-6"/>
          <w:sz w:val="20"/>
          <w:lang w:val="es-AR"/>
        </w:rPr>
        <w:t xml:space="preserve"> </w:t>
      </w:r>
      <w:r w:rsidRPr="00AF39D7">
        <w:rPr>
          <w:sz w:val="20"/>
          <w:lang w:val="es-AR"/>
        </w:rPr>
        <w:t>Ordinario</w:t>
      </w:r>
      <w:r w:rsidRPr="00AF39D7">
        <w:rPr>
          <w:spacing w:val="-8"/>
          <w:sz w:val="20"/>
          <w:lang w:val="es-AR"/>
        </w:rPr>
        <w:t xml:space="preserve"> </w:t>
      </w:r>
      <w:r w:rsidRPr="00AF39D7">
        <w:rPr>
          <w:sz w:val="20"/>
          <w:lang w:val="es-AR"/>
        </w:rPr>
        <w:t>de</w:t>
      </w:r>
      <w:r w:rsidRPr="00AF39D7">
        <w:rPr>
          <w:spacing w:val="-6"/>
          <w:sz w:val="20"/>
          <w:lang w:val="es-AR"/>
        </w:rPr>
        <w:t xml:space="preserve"> </w:t>
      </w:r>
      <w:r w:rsidRPr="00AF39D7">
        <w:rPr>
          <w:sz w:val="20"/>
          <w:lang w:val="es-AR"/>
        </w:rPr>
        <w:t>Sesiones</w:t>
      </w:r>
      <w:hyperlink w:anchor="_bookmark11" w:history="1">
        <w:r w:rsidRPr="00AF39D7">
          <w:rPr>
            <w:position w:val="7"/>
            <w:sz w:val="13"/>
            <w:lang w:val="es-AR"/>
          </w:rPr>
          <w:t>10</w:t>
        </w:r>
      </w:hyperlink>
      <w:r w:rsidRPr="00AF39D7">
        <w:rPr>
          <w:sz w:val="20"/>
          <w:lang w:val="es-AR"/>
        </w:rPr>
        <w:t>.</w:t>
      </w:r>
      <w:r w:rsidRPr="00AF39D7">
        <w:rPr>
          <w:spacing w:val="-7"/>
          <w:sz w:val="20"/>
          <w:lang w:val="es-AR"/>
        </w:rPr>
        <w:t xml:space="preserve"> </w:t>
      </w:r>
      <w:r>
        <w:rPr>
          <w:sz w:val="20"/>
        </w:rPr>
        <w:t>En</w:t>
      </w:r>
      <w:r>
        <w:rPr>
          <w:spacing w:val="-6"/>
          <w:sz w:val="20"/>
        </w:rPr>
        <w:t xml:space="preserve"> </w:t>
      </w:r>
      <w:r>
        <w:rPr>
          <w:sz w:val="20"/>
        </w:rPr>
        <w:t>el</w:t>
      </w:r>
    </w:p>
    <w:p w14:paraId="40B2F894" w14:textId="77777777" w:rsidR="00467FCA" w:rsidRDefault="001B68EB">
      <w:pPr>
        <w:pStyle w:val="Textoindependiente"/>
        <w:spacing w:before="8"/>
        <w:rPr>
          <w:sz w:val="21"/>
        </w:rPr>
      </w:pPr>
      <w:r>
        <w:pict w14:anchorId="129714D0">
          <v:shape id="_x0000_s1194" style="position:absolute;margin-left:1in;margin-top:15.45pt;width:2in;height:.1pt;z-index:-251656192;mso-wrap-distance-left:0;mso-wrap-distance-right:0;mso-position-horizontal-relative:page" coordorigin="1440,309" coordsize="2880,0" path="m1440,309r2880,e" filled="f" strokeweight=".21131mm">
            <v:path arrowok="t"/>
            <w10:wrap type="topAndBottom" anchorx="page"/>
          </v:shape>
        </w:pict>
      </w:r>
    </w:p>
    <w:p w14:paraId="2CF71770" w14:textId="77777777" w:rsidR="00467FCA" w:rsidRPr="00AF39D7" w:rsidRDefault="001B68EB">
      <w:pPr>
        <w:spacing w:before="74"/>
        <w:ind w:left="118" w:right="111" w:firstLine="1"/>
        <w:jc w:val="both"/>
        <w:rPr>
          <w:sz w:val="16"/>
          <w:lang w:val="es-AR"/>
        </w:rPr>
      </w:pPr>
      <w:r w:rsidRPr="00AF39D7">
        <w:rPr>
          <w:sz w:val="16"/>
          <w:lang w:val="es-AR"/>
        </w:rPr>
        <w:t>de Derechos Humanos; Secretaria Débora Antônia Lobato Cândido, asesora de la División de Derechos Humanos; Sávio</w:t>
      </w:r>
      <w:r w:rsidRPr="00AF39D7">
        <w:rPr>
          <w:spacing w:val="-16"/>
          <w:sz w:val="16"/>
          <w:lang w:val="es-AR"/>
        </w:rPr>
        <w:t xml:space="preserve"> </w:t>
      </w:r>
      <w:r w:rsidRPr="00AF39D7">
        <w:rPr>
          <w:sz w:val="16"/>
          <w:lang w:val="es-AR"/>
        </w:rPr>
        <w:t>Luciano</w:t>
      </w:r>
      <w:r w:rsidRPr="00AF39D7">
        <w:rPr>
          <w:spacing w:val="-15"/>
          <w:sz w:val="16"/>
          <w:lang w:val="es-AR"/>
        </w:rPr>
        <w:t xml:space="preserve"> </w:t>
      </w:r>
      <w:r w:rsidRPr="00AF39D7">
        <w:rPr>
          <w:sz w:val="16"/>
          <w:lang w:val="es-AR"/>
        </w:rPr>
        <w:t>de</w:t>
      </w:r>
      <w:r w:rsidRPr="00AF39D7">
        <w:rPr>
          <w:spacing w:val="-14"/>
          <w:sz w:val="16"/>
          <w:lang w:val="es-AR"/>
        </w:rPr>
        <w:t xml:space="preserve"> </w:t>
      </w:r>
      <w:r w:rsidRPr="00AF39D7">
        <w:rPr>
          <w:sz w:val="16"/>
          <w:lang w:val="es-AR"/>
        </w:rPr>
        <w:t>Andrade</w:t>
      </w:r>
      <w:r w:rsidRPr="00AF39D7">
        <w:rPr>
          <w:spacing w:val="-17"/>
          <w:sz w:val="16"/>
          <w:lang w:val="es-AR"/>
        </w:rPr>
        <w:t xml:space="preserve"> </w:t>
      </w:r>
      <w:r w:rsidRPr="00AF39D7">
        <w:rPr>
          <w:sz w:val="16"/>
          <w:lang w:val="es-AR"/>
        </w:rPr>
        <w:t>Filho,</w:t>
      </w:r>
      <w:r w:rsidRPr="00AF39D7">
        <w:rPr>
          <w:spacing w:val="-15"/>
          <w:sz w:val="16"/>
          <w:lang w:val="es-AR"/>
        </w:rPr>
        <w:t xml:space="preserve"> </w:t>
      </w:r>
      <w:r w:rsidRPr="00AF39D7">
        <w:rPr>
          <w:sz w:val="16"/>
          <w:lang w:val="es-AR"/>
        </w:rPr>
        <w:t>asesor</w:t>
      </w:r>
      <w:r w:rsidRPr="00AF39D7">
        <w:rPr>
          <w:spacing w:val="-13"/>
          <w:sz w:val="16"/>
          <w:lang w:val="es-AR"/>
        </w:rPr>
        <w:t xml:space="preserve"> </w:t>
      </w:r>
      <w:r w:rsidRPr="00AF39D7">
        <w:rPr>
          <w:sz w:val="16"/>
          <w:lang w:val="es-AR"/>
        </w:rPr>
        <w:t>del</w:t>
      </w:r>
      <w:r w:rsidRPr="00AF39D7">
        <w:rPr>
          <w:spacing w:val="-15"/>
          <w:sz w:val="16"/>
          <w:lang w:val="es-AR"/>
        </w:rPr>
        <w:t xml:space="preserve"> </w:t>
      </w:r>
      <w:r w:rsidRPr="00AF39D7">
        <w:rPr>
          <w:sz w:val="16"/>
          <w:lang w:val="es-AR"/>
        </w:rPr>
        <w:t>Gabinete</w:t>
      </w:r>
      <w:r w:rsidRPr="00AF39D7">
        <w:rPr>
          <w:spacing w:val="-17"/>
          <w:sz w:val="16"/>
          <w:lang w:val="es-AR"/>
        </w:rPr>
        <w:t xml:space="preserve"> </w:t>
      </w:r>
      <w:r w:rsidRPr="00AF39D7">
        <w:rPr>
          <w:sz w:val="16"/>
          <w:lang w:val="es-AR"/>
        </w:rPr>
        <w:t>del</w:t>
      </w:r>
      <w:r w:rsidRPr="00AF39D7">
        <w:rPr>
          <w:spacing w:val="-18"/>
          <w:sz w:val="16"/>
          <w:lang w:val="es-AR"/>
        </w:rPr>
        <w:t xml:space="preserve"> </w:t>
      </w:r>
      <w:r w:rsidRPr="00AF39D7">
        <w:rPr>
          <w:sz w:val="16"/>
          <w:lang w:val="es-AR"/>
        </w:rPr>
        <w:t>Ministro</w:t>
      </w:r>
      <w:r w:rsidRPr="00AF39D7">
        <w:rPr>
          <w:spacing w:val="-16"/>
          <w:sz w:val="16"/>
          <w:lang w:val="es-AR"/>
        </w:rPr>
        <w:t xml:space="preserve"> </w:t>
      </w:r>
      <w:r w:rsidRPr="00AF39D7">
        <w:rPr>
          <w:sz w:val="16"/>
          <w:lang w:val="es-AR"/>
        </w:rPr>
        <w:t>de</w:t>
      </w:r>
      <w:r w:rsidRPr="00AF39D7">
        <w:rPr>
          <w:spacing w:val="-16"/>
          <w:sz w:val="16"/>
          <w:lang w:val="es-AR"/>
        </w:rPr>
        <w:t xml:space="preserve"> </w:t>
      </w:r>
      <w:r w:rsidRPr="00AF39D7">
        <w:rPr>
          <w:sz w:val="16"/>
          <w:lang w:val="es-AR"/>
        </w:rPr>
        <w:t>la</w:t>
      </w:r>
      <w:r w:rsidRPr="00AF39D7">
        <w:rPr>
          <w:spacing w:val="-16"/>
          <w:sz w:val="16"/>
          <w:lang w:val="es-AR"/>
        </w:rPr>
        <w:t xml:space="preserve"> </w:t>
      </w:r>
      <w:r w:rsidRPr="00AF39D7">
        <w:rPr>
          <w:sz w:val="16"/>
          <w:lang w:val="es-AR"/>
        </w:rPr>
        <w:t>Defensa;</w:t>
      </w:r>
      <w:r w:rsidRPr="00AF39D7">
        <w:rPr>
          <w:spacing w:val="-17"/>
          <w:sz w:val="16"/>
          <w:lang w:val="es-AR"/>
        </w:rPr>
        <w:t xml:space="preserve"> </w:t>
      </w:r>
      <w:r w:rsidRPr="00AF39D7">
        <w:rPr>
          <w:sz w:val="16"/>
          <w:lang w:val="es-AR"/>
        </w:rPr>
        <w:t>Vital</w:t>
      </w:r>
      <w:r w:rsidRPr="00AF39D7">
        <w:rPr>
          <w:spacing w:val="-15"/>
          <w:sz w:val="16"/>
          <w:lang w:val="es-AR"/>
        </w:rPr>
        <w:t xml:space="preserve"> </w:t>
      </w:r>
      <w:r w:rsidRPr="00AF39D7">
        <w:rPr>
          <w:sz w:val="16"/>
          <w:lang w:val="es-AR"/>
        </w:rPr>
        <w:t>Lima</w:t>
      </w:r>
      <w:r w:rsidRPr="00AF39D7">
        <w:rPr>
          <w:spacing w:val="-17"/>
          <w:sz w:val="16"/>
          <w:lang w:val="es-AR"/>
        </w:rPr>
        <w:t xml:space="preserve"> </w:t>
      </w:r>
      <w:r w:rsidRPr="00AF39D7">
        <w:rPr>
          <w:sz w:val="16"/>
          <w:lang w:val="es-AR"/>
        </w:rPr>
        <w:t>Santos,</w:t>
      </w:r>
      <w:r w:rsidRPr="00AF39D7">
        <w:rPr>
          <w:spacing w:val="-15"/>
          <w:sz w:val="16"/>
          <w:lang w:val="es-AR"/>
        </w:rPr>
        <w:t xml:space="preserve"> </w:t>
      </w:r>
      <w:r w:rsidRPr="00AF39D7">
        <w:rPr>
          <w:sz w:val="16"/>
          <w:lang w:val="es-AR"/>
        </w:rPr>
        <w:t>asesor</w:t>
      </w:r>
      <w:r w:rsidRPr="00AF39D7">
        <w:rPr>
          <w:spacing w:val="-16"/>
          <w:sz w:val="16"/>
          <w:lang w:val="es-AR"/>
        </w:rPr>
        <w:t xml:space="preserve"> </w:t>
      </w:r>
      <w:r w:rsidRPr="00AF39D7">
        <w:rPr>
          <w:sz w:val="16"/>
          <w:lang w:val="es-AR"/>
        </w:rPr>
        <w:t>del</w:t>
      </w:r>
      <w:r w:rsidRPr="00AF39D7">
        <w:rPr>
          <w:spacing w:val="-15"/>
          <w:sz w:val="16"/>
          <w:lang w:val="es-AR"/>
        </w:rPr>
        <w:t xml:space="preserve"> </w:t>
      </w:r>
      <w:r w:rsidRPr="00AF39D7">
        <w:rPr>
          <w:sz w:val="16"/>
          <w:lang w:val="es-AR"/>
        </w:rPr>
        <w:t>Gabinete del Ministro de la Defensa; Ho</w:t>
      </w:r>
      <w:r w:rsidRPr="00AF39D7">
        <w:rPr>
          <w:sz w:val="16"/>
          <w:lang w:val="es-AR"/>
        </w:rPr>
        <w:t xml:space="preserve">mero Andretta Junior, director del Departamento Internacional de Abogacía General de la Unión (“AGU"); Tonny Teixeira de Lima, abogado de la Unión; Taiz Marrão Batista da Costa, abogada de la Unión; Daniela Oliveira Rodrigues, abogada de la Unión; Beatriz </w:t>
      </w:r>
      <w:r w:rsidRPr="00AF39D7">
        <w:rPr>
          <w:sz w:val="16"/>
          <w:lang w:val="es-AR"/>
        </w:rPr>
        <w:t>Figueiredo Campos da Nóbrega, abogada de la Unión; Andrea Vergara da Silva, abogada de la Unión; Milton Nunes Toledo Junior, jefe de la Asesoría Especial de Asuntos Internacionales del Ministerio de la Mujer, la Familia y los Derechos Humanos (MMFDH); Juli</w:t>
      </w:r>
      <w:r w:rsidRPr="00AF39D7">
        <w:rPr>
          <w:sz w:val="16"/>
          <w:lang w:val="es-AR"/>
        </w:rPr>
        <w:t>ana Mendes Rodrigues, coordinadora del Sistema Interamericano de Derechos Humanos de la Asesoría Especial de Asuntos Internacionales del MMFDH; Tatiana Leite Lopes Romani, asesora de la Asesoría de Asuntos Internacionales del MMFDH; Stéfane Natália Ribeiro</w:t>
      </w:r>
      <w:r w:rsidRPr="00AF39D7">
        <w:rPr>
          <w:sz w:val="16"/>
          <w:lang w:val="es-AR"/>
        </w:rPr>
        <w:t xml:space="preserve"> e Silva, asesora de la Asesoría de Asuntos Internacionales del MMFDH; Thiago de Oliveira Gonçalves, consultor jurídico del MMFDH; Aline Albuquerque Sant'Anna de Oliveira, coordinadora de la Coordinación General de Asuntos Internacionales y Judiciales de l</w:t>
      </w:r>
      <w:r w:rsidRPr="00AF39D7">
        <w:rPr>
          <w:sz w:val="16"/>
          <w:lang w:val="es-AR"/>
        </w:rPr>
        <w:t xml:space="preserve">a Consultoría Jurídica del MMFDH; Danuta Rafaela Nogueira de Souza Calazans, coordinadora de la Coordinación General de Asuntos Internacionales y Judiciales de la Consultoría Jurídica del MMFDH; Renata Maia Barbosa Namekata, auditora fiscal del trabajo de </w:t>
      </w:r>
      <w:r w:rsidRPr="00AF39D7">
        <w:rPr>
          <w:sz w:val="16"/>
          <w:lang w:val="es-AR"/>
        </w:rPr>
        <w:t>la Subsecretaría de Inspección del Trabajo del Ministerio de la Economía; José Honorino de Macedo Neto, auditor fiscal del trabajo de la Superintendencia</w:t>
      </w:r>
      <w:r w:rsidRPr="00AF39D7">
        <w:rPr>
          <w:spacing w:val="-6"/>
          <w:sz w:val="16"/>
          <w:lang w:val="es-AR"/>
        </w:rPr>
        <w:t xml:space="preserve"> </w:t>
      </w:r>
      <w:r w:rsidRPr="00AF39D7">
        <w:rPr>
          <w:sz w:val="16"/>
          <w:lang w:val="es-AR"/>
        </w:rPr>
        <w:t>Regional</w:t>
      </w:r>
      <w:r w:rsidRPr="00AF39D7">
        <w:rPr>
          <w:spacing w:val="-3"/>
          <w:sz w:val="16"/>
          <w:lang w:val="es-AR"/>
        </w:rPr>
        <w:t xml:space="preserve"> </w:t>
      </w:r>
      <w:r w:rsidRPr="00AF39D7">
        <w:rPr>
          <w:sz w:val="16"/>
          <w:lang w:val="es-AR"/>
        </w:rPr>
        <w:t>del</w:t>
      </w:r>
      <w:r w:rsidRPr="00AF39D7">
        <w:rPr>
          <w:spacing w:val="-6"/>
          <w:sz w:val="16"/>
          <w:lang w:val="es-AR"/>
        </w:rPr>
        <w:t xml:space="preserve"> </w:t>
      </w:r>
      <w:r w:rsidRPr="00AF39D7">
        <w:rPr>
          <w:sz w:val="16"/>
          <w:lang w:val="es-AR"/>
        </w:rPr>
        <w:t>Trabajo</w:t>
      </w:r>
      <w:r w:rsidRPr="00AF39D7">
        <w:rPr>
          <w:spacing w:val="-4"/>
          <w:sz w:val="16"/>
          <w:lang w:val="es-AR"/>
        </w:rPr>
        <w:t xml:space="preserve"> </w:t>
      </w:r>
      <w:r w:rsidRPr="00AF39D7">
        <w:rPr>
          <w:sz w:val="16"/>
          <w:lang w:val="es-AR"/>
        </w:rPr>
        <w:t>en</w:t>
      </w:r>
      <w:r w:rsidRPr="00AF39D7">
        <w:rPr>
          <w:spacing w:val="-6"/>
          <w:sz w:val="16"/>
          <w:lang w:val="es-AR"/>
        </w:rPr>
        <w:t xml:space="preserve"> </w:t>
      </w:r>
      <w:r w:rsidRPr="00AF39D7">
        <w:rPr>
          <w:sz w:val="16"/>
          <w:lang w:val="es-AR"/>
        </w:rPr>
        <w:t>Bahia;</w:t>
      </w:r>
      <w:r w:rsidRPr="00AF39D7">
        <w:rPr>
          <w:spacing w:val="-4"/>
          <w:sz w:val="16"/>
          <w:lang w:val="es-AR"/>
        </w:rPr>
        <w:t xml:space="preserve"> </w:t>
      </w:r>
      <w:r w:rsidRPr="00AF39D7">
        <w:rPr>
          <w:sz w:val="16"/>
          <w:lang w:val="es-AR"/>
        </w:rPr>
        <w:t>Maria</w:t>
      </w:r>
      <w:r w:rsidRPr="00AF39D7">
        <w:rPr>
          <w:spacing w:val="-5"/>
          <w:sz w:val="16"/>
          <w:lang w:val="es-AR"/>
        </w:rPr>
        <w:t xml:space="preserve"> </w:t>
      </w:r>
      <w:r w:rsidRPr="00AF39D7">
        <w:rPr>
          <w:sz w:val="16"/>
          <w:lang w:val="es-AR"/>
        </w:rPr>
        <w:t>Dolores</w:t>
      </w:r>
      <w:r w:rsidRPr="00AF39D7">
        <w:rPr>
          <w:spacing w:val="-5"/>
          <w:sz w:val="16"/>
          <w:lang w:val="es-AR"/>
        </w:rPr>
        <w:t xml:space="preserve"> </w:t>
      </w:r>
      <w:r w:rsidRPr="00AF39D7">
        <w:rPr>
          <w:sz w:val="16"/>
          <w:lang w:val="es-AR"/>
        </w:rPr>
        <w:t>P.</w:t>
      </w:r>
      <w:r w:rsidRPr="00AF39D7">
        <w:rPr>
          <w:spacing w:val="-3"/>
          <w:sz w:val="16"/>
          <w:lang w:val="es-AR"/>
        </w:rPr>
        <w:t xml:space="preserve"> </w:t>
      </w:r>
      <w:r w:rsidRPr="00AF39D7">
        <w:rPr>
          <w:sz w:val="16"/>
          <w:lang w:val="es-AR"/>
        </w:rPr>
        <w:t>de</w:t>
      </w:r>
      <w:r w:rsidRPr="00AF39D7">
        <w:rPr>
          <w:spacing w:val="-5"/>
          <w:sz w:val="16"/>
          <w:lang w:val="es-AR"/>
        </w:rPr>
        <w:t xml:space="preserve"> </w:t>
      </w:r>
      <w:r w:rsidRPr="00AF39D7">
        <w:rPr>
          <w:sz w:val="16"/>
          <w:lang w:val="es-AR"/>
        </w:rPr>
        <w:t>A.</w:t>
      </w:r>
      <w:r w:rsidRPr="00AF39D7">
        <w:rPr>
          <w:spacing w:val="-6"/>
          <w:sz w:val="16"/>
          <w:lang w:val="es-AR"/>
        </w:rPr>
        <w:t xml:space="preserve"> </w:t>
      </w:r>
      <w:r w:rsidRPr="00AF39D7">
        <w:rPr>
          <w:sz w:val="16"/>
          <w:lang w:val="es-AR"/>
        </w:rPr>
        <w:t>Cunha,</w:t>
      </w:r>
      <w:r w:rsidRPr="00AF39D7">
        <w:rPr>
          <w:spacing w:val="-3"/>
          <w:sz w:val="16"/>
          <w:lang w:val="es-AR"/>
        </w:rPr>
        <w:t xml:space="preserve"> </w:t>
      </w:r>
      <w:r w:rsidRPr="00AF39D7">
        <w:rPr>
          <w:sz w:val="16"/>
          <w:lang w:val="es-AR"/>
        </w:rPr>
        <w:t>Ministra</w:t>
      </w:r>
      <w:r w:rsidRPr="00AF39D7">
        <w:rPr>
          <w:spacing w:val="-5"/>
          <w:sz w:val="16"/>
          <w:lang w:val="es-AR"/>
        </w:rPr>
        <w:t xml:space="preserve"> </w:t>
      </w:r>
      <w:r w:rsidRPr="00AF39D7">
        <w:rPr>
          <w:sz w:val="16"/>
          <w:lang w:val="es-AR"/>
        </w:rPr>
        <w:t>en</w:t>
      </w:r>
      <w:r w:rsidRPr="00AF39D7">
        <w:rPr>
          <w:spacing w:val="-4"/>
          <w:sz w:val="16"/>
          <w:lang w:val="es-AR"/>
        </w:rPr>
        <w:t xml:space="preserve"> </w:t>
      </w:r>
      <w:r w:rsidRPr="00AF39D7">
        <w:rPr>
          <w:sz w:val="16"/>
          <w:lang w:val="es-AR"/>
        </w:rPr>
        <w:t>la</w:t>
      </w:r>
      <w:r w:rsidRPr="00AF39D7">
        <w:rPr>
          <w:spacing w:val="-3"/>
          <w:sz w:val="16"/>
          <w:lang w:val="es-AR"/>
        </w:rPr>
        <w:t xml:space="preserve"> </w:t>
      </w:r>
      <w:r w:rsidRPr="00AF39D7">
        <w:rPr>
          <w:sz w:val="16"/>
          <w:lang w:val="es-AR"/>
        </w:rPr>
        <w:t>Embajada</w:t>
      </w:r>
      <w:r w:rsidRPr="00AF39D7">
        <w:rPr>
          <w:spacing w:val="-6"/>
          <w:sz w:val="16"/>
          <w:lang w:val="es-AR"/>
        </w:rPr>
        <w:t xml:space="preserve"> </w:t>
      </w:r>
      <w:r w:rsidRPr="00AF39D7">
        <w:rPr>
          <w:sz w:val="16"/>
          <w:lang w:val="es-AR"/>
        </w:rPr>
        <w:t>de</w:t>
      </w:r>
      <w:r w:rsidRPr="00AF39D7">
        <w:rPr>
          <w:spacing w:val="-5"/>
          <w:sz w:val="16"/>
          <w:lang w:val="es-AR"/>
        </w:rPr>
        <w:t xml:space="preserve"> </w:t>
      </w:r>
      <w:r w:rsidRPr="00AF39D7">
        <w:rPr>
          <w:sz w:val="16"/>
          <w:lang w:val="es-AR"/>
        </w:rPr>
        <w:t>Brasil</w:t>
      </w:r>
      <w:r w:rsidRPr="00AF39D7">
        <w:rPr>
          <w:spacing w:val="-4"/>
          <w:sz w:val="16"/>
          <w:lang w:val="es-AR"/>
        </w:rPr>
        <w:t xml:space="preserve"> </w:t>
      </w:r>
      <w:r w:rsidRPr="00AF39D7">
        <w:rPr>
          <w:sz w:val="16"/>
          <w:lang w:val="es-AR"/>
        </w:rPr>
        <w:t>en San José; Sylvia Ruschel de Leoni Ramos, Consejera en la Embajada de Brasil en San José, y Marcelo Gameiro, Segundo Secretario en la Embajada de Brasil en San José. El 1 de abril de 2019, el Estado informó a la Corte las siguientes</w:t>
      </w:r>
      <w:r w:rsidRPr="00AF39D7">
        <w:rPr>
          <w:spacing w:val="-3"/>
          <w:sz w:val="16"/>
          <w:lang w:val="es-AR"/>
        </w:rPr>
        <w:t xml:space="preserve"> </w:t>
      </w:r>
      <w:r w:rsidRPr="00AF39D7">
        <w:rPr>
          <w:sz w:val="16"/>
          <w:lang w:val="es-AR"/>
        </w:rPr>
        <w:t>adiciones</w:t>
      </w:r>
      <w:r w:rsidRPr="00AF39D7">
        <w:rPr>
          <w:spacing w:val="-5"/>
          <w:sz w:val="16"/>
          <w:lang w:val="es-AR"/>
        </w:rPr>
        <w:t xml:space="preserve"> </w:t>
      </w:r>
      <w:r w:rsidRPr="00AF39D7">
        <w:rPr>
          <w:sz w:val="16"/>
          <w:lang w:val="es-AR"/>
        </w:rPr>
        <w:t>a</w:t>
      </w:r>
      <w:r w:rsidRPr="00AF39D7">
        <w:rPr>
          <w:spacing w:val="-3"/>
          <w:sz w:val="16"/>
          <w:lang w:val="es-AR"/>
        </w:rPr>
        <w:t xml:space="preserve"> </w:t>
      </w:r>
      <w:r w:rsidRPr="00AF39D7">
        <w:rPr>
          <w:sz w:val="16"/>
          <w:lang w:val="es-AR"/>
        </w:rPr>
        <w:t>la</w:t>
      </w:r>
      <w:r w:rsidRPr="00AF39D7">
        <w:rPr>
          <w:spacing w:val="-7"/>
          <w:sz w:val="16"/>
          <w:lang w:val="es-AR"/>
        </w:rPr>
        <w:t xml:space="preserve"> </w:t>
      </w:r>
      <w:r w:rsidRPr="00AF39D7">
        <w:rPr>
          <w:sz w:val="16"/>
          <w:lang w:val="es-AR"/>
        </w:rPr>
        <w:t>lista</w:t>
      </w:r>
      <w:r w:rsidRPr="00AF39D7">
        <w:rPr>
          <w:spacing w:val="-6"/>
          <w:sz w:val="16"/>
          <w:lang w:val="es-AR"/>
        </w:rPr>
        <w:t xml:space="preserve"> </w:t>
      </w:r>
      <w:r w:rsidRPr="00AF39D7">
        <w:rPr>
          <w:sz w:val="16"/>
          <w:lang w:val="es-AR"/>
        </w:rPr>
        <w:t>actualizada</w:t>
      </w:r>
      <w:r w:rsidRPr="00AF39D7">
        <w:rPr>
          <w:spacing w:val="-3"/>
          <w:sz w:val="16"/>
          <w:lang w:val="es-AR"/>
        </w:rPr>
        <w:t xml:space="preserve"> </w:t>
      </w:r>
      <w:r w:rsidRPr="00AF39D7">
        <w:rPr>
          <w:sz w:val="16"/>
          <w:lang w:val="es-AR"/>
        </w:rPr>
        <w:t>de</w:t>
      </w:r>
      <w:r w:rsidRPr="00AF39D7">
        <w:rPr>
          <w:spacing w:val="-5"/>
          <w:sz w:val="16"/>
          <w:lang w:val="es-AR"/>
        </w:rPr>
        <w:t xml:space="preserve"> </w:t>
      </w:r>
      <w:r w:rsidRPr="00AF39D7">
        <w:rPr>
          <w:sz w:val="16"/>
          <w:lang w:val="es-AR"/>
        </w:rPr>
        <w:t>agentes</w:t>
      </w:r>
      <w:r w:rsidRPr="00AF39D7">
        <w:rPr>
          <w:spacing w:val="-8"/>
          <w:sz w:val="16"/>
          <w:lang w:val="es-AR"/>
        </w:rPr>
        <w:t xml:space="preserve"> </w:t>
      </w:r>
      <w:r w:rsidRPr="00AF39D7">
        <w:rPr>
          <w:sz w:val="16"/>
          <w:lang w:val="es-AR"/>
        </w:rPr>
        <w:t>del</w:t>
      </w:r>
      <w:r w:rsidRPr="00AF39D7">
        <w:rPr>
          <w:spacing w:val="-3"/>
          <w:sz w:val="16"/>
          <w:lang w:val="es-AR"/>
        </w:rPr>
        <w:t xml:space="preserve"> </w:t>
      </w:r>
      <w:r w:rsidRPr="00AF39D7">
        <w:rPr>
          <w:sz w:val="16"/>
          <w:lang w:val="es-AR"/>
        </w:rPr>
        <w:t>Estado:</w:t>
      </w:r>
      <w:r w:rsidRPr="00AF39D7">
        <w:rPr>
          <w:spacing w:val="-6"/>
          <w:sz w:val="16"/>
          <w:lang w:val="es-AR"/>
        </w:rPr>
        <w:t xml:space="preserve"> </w:t>
      </w:r>
      <w:r w:rsidRPr="00AF39D7">
        <w:rPr>
          <w:sz w:val="16"/>
          <w:lang w:val="es-AR"/>
        </w:rPr>
        <w:t>Coronel</w:t>
      </w:r>
      <w:r w:rsidRPr="00AF39D7">
        <w:rPr>
          <w:spacing w:val="-4"/>
          <w:sz w:val="16"/>
          <w:lang w:val="es-AR"/>
        </w:rPr>
        <w:t xml:space="preserve"> </w:t>
      </w:r>
      <w:r w:rsidRPr="00AF39D7">
        <w:rPr>
          <w:sz w:val="16"/>
          <w:lang w:val="es-AR"/>
        </w:rPr>
        <w:t>Luciano</w:t>
      </w:r>
      <w:r w:rsidRPr="00AF39D7">
        <w:rPr>
          <w:spacing w:val="-4"/>
          <w:sz w:val="16"/>
          <w:lang w:val="es-AR"/>
        </w:rPr>
        <w:t xml:space="preserve"> </w:t>
      </w:r>
      <w:r w:rsidRPr="00AF39D7">
        <w:rPr>
          <w:sz w:val="16"/>
          <w:lang w:val="es-AR"/>
        </w:rPr>
        <w:t>Antônio</w:t>
      </w:r>
      <w:r w:rsidRPr="00AF39D7">
        <w:rPr>
          <w:spacing w:val="-7"/>
          <w:sz w:val="16"/>
          <w:lang w:val="es-AR"/>
        </w:rPr>
        <w:t xml:space="preserve"> </w:t>
      </w:r>
      <w:r w:rsidRPr="00AF39D7">
        <w:rPr>
          <w:sz w:val="16"/>
          <w:lang w:val="es-AR"/>
        </w:rPr>
        <w:t>Sibinel</w:t>
      </w:r>
      <w:r w:rsidRPr="00AF39D7">
        <w:rPr>
          <w:spacing w:val="-4"/>
          <w:sz w:val="16"/>
          <w:lang w:val="es-AR"/>
        </w:rPr>
        <w:t xml:space="preserve"> </w:t>
      </w:r>
      <w:r w:rsidRPr="00AF39D7">
        <w:rPr>
          <w:sz w:val="16"/>
          <w:lang w:val="es-AR"/>
        </w:rPr>
        <w:t>y</w:t>
      </w:r>
      <w:r w:rsidRPr="00AF39D7">
        <w:rPr>
          <w:spacing w:val="-5"/>
          <w:sz w:val="16"/>
          <w:lang w:val="es-AR"/>
        </w:rPr>
        <w:t xml:space="preserve"> </w:t>
      </w:r>
      <w:r w:rsidRPr="00AF39D7">
        <w:rPr>
          <w:sz w:val="16"/>
          <w:lang w:val="es-AR"/>
        </w:rPr>
        <w:t>Teniente-Coronel André de Freitas Porto. El 10 de enero de 2020, el Estado agregó a la lista de sus agentes a Antônio Francisco Da Costa e Silva Neto, Embajador Extraordinario y Plenipote</w:t>
      </w:r>
      <w:r w:rsidRPr="00AF39D7">
        <w:rPr>
          <w:sz w:val="16"/>
          <w:lang w:val="es-AR"/>
        </w:rPr>
        <w:t>nciario de Brasil en Costa Rica; Coronel Décio Adriano da Silva, representante del Ejército Brasileño; Dênis Rodrigues da Silva, coordinador de Contenciosos Internacionales de</w:t>
      </w:r>
      <w:r w:rsidRPr="00AF39D7">
        <w:rPr>
          <w:spacing w:val="-15"/>
          <w:sz w:val="16"/>
          <w:lang w:val="es-AR"/>
        </w:rPr>
        <w:t xml:space="preserve"> </w:t>
      </w:r>
      <w:r w:rsidRPr="00AF39D7">
        <w:rPr>
          <w:sz w:val="16"/>
          <w:lang w:val="es-AR"/>
        </w:rPr>
        <w:t>Derechos</w:t>
      </w:r>
      <w:r w:rsidRPr="00AF39D7">
        <w:rPr>
          <w:spacing w:val="-15"/>
          <w:sz w:val="16"/>
          <w:lang w:val="es-AR"/>
        </w:rPr>
        <w:t xml:space="preserve"> </w:t>
      </w:r>
      <w:r w:rsidRPr="00AF39D7">
        <w:rPr>
          <w:sz w:val="16"/>
          <w:lang w:val="es-AR"/>
        </w:rPr>
        <w:t>Humanos</w:t>
      </w:r>
      <w:r w:rsidRPr="00AF39D7">
        <w:rPr>
          <w:spacing w:val="-14"/>
          <w:sz w:val="16"/>
          <w:lang w:val="es-AR"/>
        </w:rPr>
        <w:t xml:space="preserve"> </w:t>
      </w:r>
      <w:r w:rsidRPr="00AF39D7">
        <w:rPr>
          <w:sz w:val="16"/>
          <w:lang w:val="es-AR"/>
        </w:rPr>
        <w:t>de</w:t>
      </w:r>
      <w:r w:rsidRPr="00AF39D7">
        <w:rPr>
          <w:spacing w:val="-13"/>
          <w:sz w:val="16"/>
          <w:lang w:val="es-AR"/>
        </w:rPr>
        <w:t xml:space="preserve"> </w:t>
      </w:r>
      <w:r w:rsidRPr="00AF39D7">
        <w:rPr>
          <w:sz w:val="16"/>
          <w:lang w:val="es-AR"/>
        </w:rPr>
        <w:t>la</w:t>
      </w:r>
      <w:r w:rsidRPr="00AF39D7">
        <w:rPr>
          <w:spacing w:val="-15"/>
          <w:sz w:val="16"/>
          <w:lang w:val="es-AR"/>
        </w:rPr>
        <w:t xml:space="preserve"> </w:t>
      </w:r>
      <w:r w:rsidRPr="00AF39D7">
        <w:rPr>
          <w:sz w:val="16"/>
          <w:lang w:val="es-AR"/>
        </w:rPr>
        <w:t>Asesoría</w:t>
      </w:r>
      <w:r w:rsidRPr="00AF39D7">
        <w:rPr>
          <w:spacing w:val="-14"/>
          <w:sz w:val="16"/>
          <w:lang w:val="es-AR"/>
        </w:rPr>
        <w:t xml:space="preserve"> </w:t>
      </w:r>
      <w:r w:rsidRPr="00AF39D7">
        <w:rPr>
          <w:sz w:val="16"/>
          <w:lang w:val="es-AR"/>
        </w:rPr>
        <w:t>Especial</w:t>
      </w:r>
      <w:r w:rsidRPr="00AF39D7">
        <w:rPr>
          <w:spacing w:val="-15"/>
          <w:sz w:val="16"/>
          <w:lang w:val="es-AR"/>
        </w:rPr>
        <w:t xml:space="preserve"> </w:t>
      </w:r>
      <w:r w:rsidRPr="00AF39D7">
        <w:rPr>
          <w:sz w:val="16"/>
          <w:lang w:val="es-AR"/>
        </w:rPr>
        <w:t>de</w:t>
      </w:r>
      <w:r w:rsidRPr="00AF39D7">
        <w:rPr>
          <w:spacing w:val="-15"/>
          <w:sz w:val="16"/>
          <w:lang w:val="es-AR"/>
        </w:rPr>
        <w:t xml:space="preserve"> </w:t>
      </w:r>
      <w:r w:rsidRPr="00AF39D7">
        <w:rPr>
          <w:sz w:val="16"/>
          <w:lang w:val="es-AR"/>
        </w:rPr>
        <w:t>Asuntos</w:t>
      </w:r>
      <w:r w:rsidRPr="00AF39D7">
        <w:rPr>
          <w:spacing w:val="-14"/>
          <w:sz w:val="16"/>
          <w:lang w:val="es-AR"/>
        </w:rPr>
        <w:t xml:space="preserve"> </w:t>
      </w:r>
      <w:r w:rsidRPr="00AF39D7">
        <w:rPr>
          <w:sz w:val="16"/>
          <w:lang w:val="es-AR"/>
        </w:rPr>
        <w:t>Internacionales</w:t>
      </w:r>
      <w:r w:rsidRPr="00AF39D7">
        <w:rPr>
          <w:spacing w:val="-15"/>
          <w:sz w:val="16"/>
          <w:lang w:val="es-AR"/>
        </w:rPr>
        <w:t xml:space="preserve"> </w:t>
      </w:r>
      <w:r w:rsidRPr="00AF39D7">
        <w:rPr>
          <w:sz w:val="16"/>
          <w:lang w:val="es-AR"/>
        </w:rPr>
        <w:t>del</w:t>
      </w:r>
      <w:r w:rsidRPr="00AF39D7">
        <w:rPr>
          <w:spacing w:val="-15"/>
          <w:sz w:val="16"/>
          <w:lang w:val="es-AR"/>
        </w:rPr>
        <w:t xml:space="preserve"> </w:t>
      </w:r>
      <w:r w:rsidRPr="00AF39D7">
        <w:rPr>
          <w:sz w:val="16"/>
          <w:lang w:val="es-AR"/>
        </w:rPr>
        <w:t>MMFDH;</w:t>
      </w:r>
      <w:r w:rsidRPr="00AF39D7">
        <w:rPr>
          <w:spacing w:val="-16"/>
          <w:sz w:val="16"/>
          <w:lang w:val="es-AR"/>
        </w:rPr>
        <w:t xml:space="preserve"> </w:t>
      </w:r>
      <w:r w:rsidRPr="00AF39D7">
        <w:rPr>
          <w:sz w:val="16"/>
          <w:lang w:val="es-AR"/>
        </w:rPr>
        <w:t>C</w:t>
      </w:r>
      <w:r w:rsidRPr="00AF39D7">
        <w:rPr>
          <w:sz w:val="16"/>
          <w:lang w:val="es-AR"/>
        </w:rPr>
        <w:t>lara</w:t>
      </w:r>
      <w:r w:rsidRPr="00AF39D7">
        <w:rPr>
          <w:spacing w:val="-13"/>
          <w:sz w:val="16"/>
          <w:lang w:val="es-AR"/>
        </w:rPr>
        <w:t xml:space="preserve"> </w:t>
      </w:r>
      <w:r w:rsidRPr="00AF39D7">
        <w:rPr>
          <w:sz w:val="16"/>
          <w:lang w:val="es-AR"/>
        </w:rPr>
        <w:t>Fontes</w:t>
      </w:r>
      <w:r w:rsidRPr="00AF39D7">
        <w:rPr>
          <w:spacing w:val="-15"/>
          <w:sz w:val="16"/>
          <w:lang w:val="es-AR"/>
        </w:rPr>
        <w:t xml:space="preserve"> </w:t>
      </w:r>
      <w:r w:rsidRPr="00AF39D7">
        <w:rPr>
          <w:sz w:val="16"/>
          <w:lang w:val="es-AR"/>
        </w:rPr>
        <w:t>Ferreira,</w:t>
      </w:r>
      <w:r w:rsidRPr="00AF39D7">
        <w:rPr>
          <w:spacing w:val="-15"/>
          <w:sz w:val="16"/>
          <w:lang w:val="es-AR"/>
        </w:rPr>
        <w:t xml:space="preserve"> </w:t>
      </w:r>
      <w:r w:rsidRPr="00AF39D7">
        <w:rPr>
          <w:sz w:val="16"/>
          <w:lang w:val="es-AR"/>
        </w:rPr>
        <w:t>asistente técnica</w:t>
      </w:r>
      <w:r w:rsidRPr="00AF39D7">
        <w:rPr>
          <w:spacing w:val="-9"/>
          <w:sz w:val="16"/>
          <w:lang w:val="es-AR"/>
        </w:rPr>
        <w:t xml:space="preserve"> </w:t>
      </w:r>
      <w:r w:rsidRPr="00AF39D7">
        <w:rPr>
          <w:sz w:val="16"/>
          <w:lang w:val="es-AR"/>
        </w:rPr>
        <w:t>de</w:t>
      </w:r>
      <w:r w:rsidRPr="00AF39D7">
        <w:rPr>
          <w:spacing w:val="-9"/>
          <w:sz w:val="16"/>
          <w:lang w:val="es-AR"/>
        </w:rPr>
        <w:t xml:space="preserve"> </w:t>
      </w:r>
      <w:r w:rsidRPr="00AF39D7">
        <w:rPr>
          <w:sz w:val="16"/>
          <w:lang w:val="es-AR"/>
        </w:rPr>
        <w:t>la</w:t>
      </w:r>
      <w:r w:rsidRPr="00AF39D7">
        <w:rPr>
          <w:spacing w:val="-9"/>
          <w:sz w:val="16"/>
          <w:lang w:val="es-AR"/>
        </w:rPr>
        <w:t xml:space="preserve"> </w:t>
      </w:r>
      <w:r w:rsidRPr="00AF39D7">
        <w:rPr>
          <w:sz w:val="16"/>
          <w:lang w:val="es-AR"/>
        </w:rPr>
        <w:t>Coordinación</w:t>
      </w:r>
      <w:r w:rsidRPr="00AF39D7">
        <w:rPr>
          <w:spacing w:val="-11"/>
          <w:sz w:val="16"/>
          <w:lang w:val="es-AR"/>
        </w:rPr>
        <w:t xml:space="preserve"> </w:t>
      </w:r>
      <w:r w:rsidRPr="00AF39D7">
        <w:rPr>
          <w:sz w:val="16"/>
          <w:lang w:val="es-AR"/>
        </w:rPr>
        <w:t>de</w:t>
      </w:r>
      <w:r w:rsidRPr="00AF39D7">
        <w:rPr>
          <w:spacing w:val="-12"/>
          <w:sz w:val="16"/>
          <w:lang w:val="es-AR"/>
        </w:rPr>
        <w:t xml:space="preserve"> </w:t>
      </w:r>
      <w:r w:rsidRPr="00AF39D7">
        <w:rPr>
          <w:sz w:val="16"/>
          <w:lang w:val="es-AR"/>
        </w:rPr>
        <w:t>Contenciosos</w:t>
      </w:r>
      <w:r w:rsidRPr="00AF39D7">
        <w:rPr>
          <w:spacing w:val="-10"/>
          <w:sz w:val="16"/>
          <w:lang w:val="es-AR"/>
        </w:rPr>
        <w:t xml:space="preserve"> </w:t>
      </w:r>
      <w:r w:rsidRPr="00AF39D7">
        <w:rPr>
          <w:sz w:val="16"/>
          <w:lang w:val="es-AR"/>
        </w:rPr>
        <w:t>Internacionales</w:t>
      </w:r>
      <w:r w:rsidRPr="00AF39D7">
        <w:rPr>
          <w:spacing w:val="-12"/>
          <w:sz w:val="16"/>
          <w:lang w:val="es-AR"/>
        </w:rPr>
        <w:t xml:space="preserve"> </w:t>
      </w:r>
      <w:r w:rsidRPr="00AF39D7">
        <w:rPr>
          <w:sz w:val="16"/>
          <w:lang w:val="es-AR"/>
        </w:rPr>
        <w:t>de</w:t>
      </w:r>
      <w:r w:rsidRPr="00AF39D7">
        <w:rPr>
          <w:spacing w:val="-9"/>
          <w:sz w:val="16"/>
          <w:lang w:val="es-AR"/>
        </w:rPr>
        <w:t xml:space="preserve"> </w:t>
      </w:r>
      <w:r w:rsidRPr="00AF39D7">
        <w:rPr>
          <w:sz w:val="16"/>
          <w:lang w:val="es-AR"/>
        </w:rPr>
        <w:t>Derechos</w:t>
      </w:r>
      <w:r w:rsidRPr="00AF39D7">
        <w:rPr>
          <w:spacing w:val="-7"/>
          <w:sz w:val="16"/>
          <w:lang w:val="es-AR"/>
        </w:rPr>
        <w:t xml:space="preserve"> </w:t>
      </w:r>
      <w:r w:rsidRPr="00AF39D7">
        <w:rPr>
          <w:sz w:val="16"/>
          <w:lang w:val="es-AR"/>
        </w:rPr>
        <w:t>Humanos</w:t>
      </w:r>
      <w:r w:rsidRPr="00AF39D7">
        <w:rPr>
          <w:spacing w:val="-9"/>
          <w:sz w:val="16"/>
          <w:lang w:val="es-AR"/>
        </w:rPr>
        <w:t xml:space="preserve"> </w:t>
      </w:r>
      <w:r w:rsidRPr="00AF39D7">
        <w:rPr>
          <w:sz w:val="16"/>
          <w:lang w:val="es-AR"/>
        </w:rPr>
        <w:t>de</w:t>
      </w:r>
      <w:r w:rsidRPr="00AF39D7">
        <w:rPr>
          <w:spacing w:val="-7"/>
          <w:sz w:val="16"/>
          <w:lang w:val="es-AR"/>
        </w:rPr>
        <w:t xml:space="preserve"> </w:t>
      </w:r>
      <w:r w:rsidRPr="00AF39D7">
        <w:rPr>
          <w:sz w:val="16"/>
          <w:lang w:val="es-AR"/>
        </w:rPr>
        <w:t>la</w:t>
      </w:r>
      <w:r w:rsidRPr="00AF39D7">
        <w:rPr>
          <w:spacing w:val="-10"/>
          <w:sz w:val="16"/>
          <w:lang w:val="es-AR"/>
        </w:rPr>
        <w:t xml:space="preserve"> </w:t>
      </w:r>
      <w:r w:rsidRPr="00AF39D7">
        <w:rPr>
          <w:sz w:val="16"/>
          <w:lang w:val="es-AR"/>
        </w:rPr>
        <w:t>Asesoría</w:t>
      </w:r>
      <w:r w:rsidRPr="00AF39D7">
        <w:rPr>
          <w:spacing w:val="-8"/>
          <w:sz w:val="16"/>
          <w:lang w:val="es-AR"/>
        </w:rPr>
        <w:t xml:space="preserve"> </w:t>
      </w:r>
      <w:r w:rsidRPr="00AF39D7">
        <w:rPr>
          <w:sz w:val="16"/>
          <w:lang w:val="es-AR"/>
        </w:rPr>
        <w:t>Especial</w:t>
      </w:r>
      <w:r w:rsidRPr="00AF39D7">
        <w:rPr>
          <w:spacing w:val="-8"/>
          <w:sz w:val="16"/>
          <w:lang w:val="es-AR"/>
        </w:rPr>
        <w:t xml:space="preserve"> </w:t>
      </w:r>
      <w:r w:rsidRPr="00AF39D7">
        <w:rPr>
          <w:sz w:val="16"/>
          <w:lang w:val="es-AR"/>
        </w:rPr>
        <w:t>de</w:t>
      </w:r>
      <w:r w:rsidRPr="00AF39D7">
        <w:rPr>
          <w:spacing w:val="-10"/>
          <w:sz w:val="16"/>
          <w:lang w:val="es-AR"/>
        </w:rPr>
        <w:t xml:space="preserve"> </w:t>
      </w:r>
      <w:r w:rsidRPr="00AF39D7">
        <w:rPr>
          <w:sz w:val="16"/>
          <w:lang w:val="es-AR"/>
        </w:rPr>
        <w:t>Asuntos Internacionales del MMFDH. El 21 de enero de 2020 el Estado solicitó la adición de João Henrique Nascimento de Freitas, presidente de la Comisión de Amnistía y Asesor Especial del Vicepresidente de la República, a la lista de agentes del</w:t>
      </w:r>
      <w:r w:rsidRPr="00AF39D7">
        <w:rPr>
          <w:spacing w:val="-1"/>
          <w:sz w:val="16"/>
          <w:lang w:val="es-AR"/>
        </w:rPr>
        <w:t xml:space="preserve"> </w:t>
      </w:r>
      <w:r w:rsidRPr="00AF39D7">
        <w:rPr>
          <w:sz w:val="16"/>
          <w:lang w:val="es-AR"/>
        </w:rPr>
        <w:t>Estado.</w:t>
      </w:r>
    </w:p>
    <w:p w14:paraId="1E4AFD14" w14:textId="77777777" w:rsidR="00467FCA" w:rsidRPr="00AF39D7" w:rsidRDefault="001B68EB">
      <w:pPr>
        <w:tabs>
          <w:tab w:val="left" w:pos="686"/>
        </w:tabs>
        <w:spacing w:before="1"/>
        <w:ind w:left="119" w:right="114"/>
        <w:jc w:val="both"/>
        <w:rPr>
          <w:sz w:val="16"/>
          <w:lang w:val="es-AR"/>
        </w:rPr>
      </w:pPr>
      <w:bookmarkStart w:id="12" w:name="_bookmark9"/>
      <w:bookmarkEnd w:id="12"/>
      <w:r w:rsidRPr="00AF39D7">
        <w:rPr>
          <w:position w:val="6"/>
          <w:sz w:val="10"/>
          <w:lang w:val="es-AR"/>
        </w:rPr>
        <w:t>8</w:t>
      </w:r>
      <w:r w:rsidRPr="00AF39D7">
        <w:rPr>
          <w:position w:val="6"/>
          <w:sz w:val="10"/>
          <w:lang w:val="es-AR"/>
        </w:rPr>
        <w:tab/>
      </w:r>
      <w:r w:rsidRPr="00AF39D7">
        <w:rPr>
          <w:sz w:val="16"/>
          <w:lang w:val="es-AR"/>
        </w:rPr>
        <w:t>El Estado presentó una objeción a una testigo de los representantes como una de sus excepciones preliminares,</w:t>
      </w:r>
      <w:r w:rsidRPr="00AF39D7">
        <w:rPr>
          <w:spacing w:val="-7"/>
          <w:sz w:val="16"/>
          <w:lang w:val="es-AR"/>
        </w:rPr>
        <w:t xml:space="preserve"> </w:t>
      </w:r>
      <w:r w:rsidRPr="00AF39D7">
        <w:rPr>
          <w:sz w:val="16"/>
          <w:lang w:val="es-AR"/>
        </w:rPr>
        <w:t>la</w:t>
      </w:r>
      <w:r w:rsidRPr="00AF39D7">
        <w:rPr>
          <w:spacing w:val="-4"/>
          <w:sz w:val="16"/>
          <w:lang w:val="es-AR"/>
        </w:rPr>
        <w:t xml:space="preserve"> </w:t>
      </w:r>
      <w:r w:rsidRPr="00AF39D7">
        <w:rPr>
          <w:sz w:val="16"/>
          <w:lang w:val="es-AR"/>
        </w:rPr>
        <w:t>cual</w:t>
      </w:r>
      <w:r w:rsidRPr="00AF39D7">
        <w:rPr>
          <w:spacing w:val="-4"/>
          <w:sz w:val="16"/>
          <w:lang w:val="es-AR"/>
        </w:rPr>
        <w:t xml:space="preserve"> </w:t>
      </w:r>
      <w:r w:rsidRPr="00AF39D7">
        <w:rPr>
          <w:sz w:val="16"/>
          <w:lang w:val="es-AR"/>
        </w:rPr>
        <w:t>denominó</w:t>
      </w:r>
      <w:r w:rsidRPr="00AF39D7">
        <w:rPr>
          <w:spacing w:val="-2"/>
          <w:sz w:val="16"/>
          <w:lang w:val="es-AR"/>
        </w:rPr>
        <w:t xml:space="preserve"> </w:t>
      </w:r>
      <w:r w:rsidRPr="00AF39D7">
        <w:rPr>
          <w:sz w:val="16"/>
          <w:lang w:val="es-AR"/>
        </w:rPr>
        <w:t>“impropiedad</w:t>
      </w:r>
      <w:r w:rsidRPr="00AF39D7">
        <w:rPr>
          <w:spacing w:val="-5"/>
          <w:sz w:val="16"/>
          <w:lang w:val="es-AR"/>
        </w:rPr>
        <w:t xml:space="preserve"> </w:t>
      </w:r>
      <w:r w:rsidRPr="00AF39D7">
        <w:rPr>
          <w:sz w:val="16"/>
          <w:lang w:val="es-AR"/>
        </w:rPr>
        <w:t>de</w:t>
      </w:r>
      <w:r w:rsidRPr="00AF39D7">
        <w:rPr>
          <w:spacing w:val="-6"/>
          <w:sz w:val="16"/>
          <w:lang w:val="es-AR"/>
        </w:rPr>
        <w:t xml:space="preserve"> </w:t>
      </w:r>
      <w:r w:rsidRPr="00AF39D7">
        <w:rPr>
          <w:sz w:val="16"/>
          <w:lang w:val="es-AR"/>
        </w:rPr>
        <w:t>la</w:t>
      </w:r>
      <w:r w:rsidRPr="00AF39D7">
        <w:rPr>
          <w:spacing w:val="-3"/>
          <w:sz w:val="16"/>
          <w:lang w:val="es-AR"/>
        </w:rPr>
        <w:t xml:space="preserve"> </w:t>
      </w:r>
      <w:r w:rsidRPr="00AF39D7">
        <w:rPr>
          <w:sz w:val="16"/>
          <w:lang w:val="es-AR"/>
        </w:rPr>
        <w:t>prueba</w:t>
      </w:r>
      <w:r w:rsidRPr="00AF39D7">
        <w:rPr>
          <w:spacing w:val="-7"/>
          <w:sz w:val="16"/>
          <w:lang w:val="es-AR"/>
        </w:rPr>
        <w:t xml:space="preserve"> </w:t>
      </w:r>
      <w:r w:rsidRPr="00AF39D7">
        <w:rPr>
          <w:sz w:val="16"/>
          <w:lang w:val="es-AR"/>
        </w:rPr>
        <w:t>testimonial</w:t>
      </w:r>
      <w:r w:rsidRPr="00AF39D7">
        <w:rPr>
          <w:spacing w:val="-4"/>
          <w:sz w:val="16"/>
          <w:lang w:val="es-AR"/>
        </w:rPr>
        <w:t xml:space="preserve"> </w:t>
      </w:r>
      <w:r w:rsidRPr="00AF39D7">
        <w:rPr>
          <w:sz w:val="16"/>
          <w:lang w:val="es-AR"/>
        </w:rPr>
        <w:t>solicitada</w:t>
      </w:r>
      <w:r w:rsidRPr="00AF39D7">
        <w:rPr>
          <w:spacing w:val="-3"/>
          <w:sz w:val="16"/>
          <w:lang w:val="es-AR"/>
        </w:rPr>
        <w:t xml:space="preserve"> </w:t>
      </w:r>
      <w:r w:rsidRPr="00AF39D7">
        <w:rPr>
          <w:sz w:val="16"/>
          <w:lang w:val="es-AR"/>
        </w:rPr>
        <w:t>por</w:t>
      </w:r>
      <w:r w:rsidRPr="00AF39D7">
        <w:rPr>
          <w:spacing w:val="-3"/>
          <w:sz w:val="16"/>
          <w:lang w:val="es-AR"/>
        </w:rPr>
        <w:t xml:space="preserve"> </w:t>
      </w:r>
      <w:r w:rsidRPr="00AF39D7">
        <w:rPr>
          <w:sz w:val="16"/>
          <w:lang w:val="es-AR"/>
        </w:rPr>
        <w:t>los</w:t>
      </w:r>
      <w:r w:rsidRPr="00AF39D7">
        <w:rPr>
          <w:spacing w:val="-6"/>
          <w:sz w:val="16"/>
          <w:lang w:val="es-AR"/>
        </w:rPr>
        <w:t xml:space="preserve"> </w:t>
      </w:r>
      <w:r w:rsidRPr="00AF39D7">
        <w:rPr>
          <w:sz w:val="16"/>
          <w:lang w:val="es-AR"/>
        </w:rPr>
        <w:t>representantes”.</w:t>
      </w:r>
      <w:r w:rsidRPr="00AF39D7">
        <w:rPr>
          <w:spacing w:val="-4"/>
          <w:sz w:val="16"/>
          <w:lang w:val="es-AR"/>
        </w:rPr>
        <w:t xml:space="preserve"> </w:t>
      </w:r>
      <w:r w:rsidRPr="00AF39D7">
        <w:rPr>
          <w:sz w:val="16"/>
          <w:lang w:val="es-AR"/>
        </w:rPr>
        <w:t>La</w:t>
      </w:r>
      <w:r w:rsidRPr="00AF39D7">
        <w:rPr>
          <w:spacing w:val="-6"/>
          <w:sz w:val="16"/>
          <w:lang w:val="es-AR"/>
        </w:rPr>
        <w:t xml:space="preserve"> </w:t>
      </w:r>
      <w:r w:rsidRPr="00AF39D7">
        <w:rPr>
          <w:sz w:val="16"/>
          <w:lang w:val="es-AR"/>
        </w:rPr>
        <w:t>objeción fue</w:t>
      </w:r>
      <w:r w:rsidRPr="00AF39D7">
        <w:rPr>
          <w:spacing w:val="-2"/>
          <w:sz w:val="16"/>
          <w:lang w:val="es-AR"/>
        </w:rPr>
        <w:t xml:space="preserve"> </w:t>
      </w:r>
      <w:r w:rsidRPr="00AF39D7">
        <w:rPr>
          <w:sz w:val="16"/>
          <w:lang w:val="es-AR"/>
        </w:rPr>
        <w:t>resuelta</w:t>
      </w:r>
      <w:r w:rsidRPr="00AF39D7">
        <w:rPr>
          <w:spacing w:val="-3"/>
          <w:sz w:val="16"/>
          <w:lang w:val="es-AR"/>
        </w:rPr>
        <w:t xml:space="preserve"> </w:t>
      </w:r>
      <w:r w:rsidRPr="00AF39D7">
        <w:rPr>
          <w:sz w:val="16"/>
          <w:lang w:val="es-AR"/>
        </w:rPr>
        <w:t>mediante</w:t>
      </w:r>
      <w:r w:rsidRPr="00AF39D7">
        <w:rPr>
          <w:spacing w:val="-2"/>
          <w:sz w:val="16"/>
          <w:lang w:val="es-AR"/>
        </w:rPr>
        <w:t xml:space="preserve"> </w:t>
      </w:r>
      <w:r w:rsidRPr="00AF39D7">
        <w:rPr>
          <w:sz w:val="16"/>
          <w:lang w:val="es-AR"/>
        </w:rPr>
        <w:t>la</w:t>
      </w:r>
      <w:r w:rsidRPr="00AF39D7">
        <w:rPr>
          <w:spacing w:val="-2"/>
          <w:sz w:val="16"/>
          <w:lang w:val="es-AR"/>
        </w:rPr>
        <w:t xml:space="preserve"> </w:t>
      </w:r>
      <w:r w:rsidRPr="00AF39D7">
        <w:rPr>
          <w:sz w:val="16"/>
          <w:lang w:val="es-AR"/>
        </w:rPr>
        <w:t>Resolución</w:t>
      </w:r>
      <w:r w:rsidRPr="00AF39D7">
        <w:rPr>
          <w:spacing w:val="-3"/>
          <w:sz w:val="16"/>
          <w:lang w:val="es-AR"/>
        </w:rPr>
        <w:t xml:space="preserve"> </w:t>
      </w:r>
      <w:r w:rsidRPr="00AF39D7">
        <w:rPr>
          <w:sz w:val="16"/>
          <w:lang w:val="es-AR"/>
        </w:rPr>
        <w:t>de</w:t>
      </w:r>
      <w:r w:rsidRPr="00AF39D7">
        <w:rPr>
          <w:spacing w:val="-5"/>
          <w:sz w:val="16"/>
          <w:lang w:val="es-AR"/>
        </w:rPr>
        <w:t xml:space="preserve"> </w:t>
      </w:r>
      <w:r w:rsidRPr="00AF39D7">
        <w:rPr>
          <w:sz w:val="16"/>
          <w:lang w:val="es-AR"/>
        </w:rPr>
        <w:t>27</w:t>
      </w:r>
      <w:r w:rsidRPr="00AF39D7">
        <w:rPr>
          <w:spacing w:val="-2"/>
          <w:sz w:val="16"/>
          <w:lang w:val="es-AR"/>
        </w:rPr>
        <w:t xml:space="preserve"> </w:t>
      </w:r>
      <w:r w:rsidRPr="00AF39D7">
        <w:rPr>
          <w:sz w:val="16"/>
          <w:lang w:val="es-AR"/>
        </w:rPr>
        <w:t>de</w:t>
      </w:r>
      <w:r w:rsidRPr="00AF39D7">
        <w:rPr>
          <w:spacing w:val="-1"/>
          <w:sz w:val="16"/>
          <w:lang w:val="es-AR"/>
        </w:rPr>
        <w:t xml:space="preserve"> </w:t>
      </w:r>
      <w:r w:rsidRPr="00AF39D7">
        <w:rPr>
          <w:sz w:val="16"/>
          <w:lang w:val="es-AR"/>
        </w:rPr>
        <w:t>noviembre</w:t>
      </w:r>
      <w:r w:rsidRPr="00AF39D7">
        <w:rPr>
          <w:spacing w:val="-5"/>
          <w:sz w:val="16"/>
          <w:lang w:val="es-AR"/>
        </w:rPr>
        <w:t xml:space="preserve"> </w:t>
      </w:r>
      <w:r w:rsidRPr="00AF39D7">
        <w:rPr>
          <w:sz w:val="16"/>
          <w:lang w:val="es-AR"/>
        </w:rPr>
        <w:t>de</w:t>
      </w:r>
      <w:r w:rsidRPr="00AF39D7">
        <w:rPr>
          <w:spacing w:val="-7"/>
          <w:sz w:val="16"/>
          <w:lang w:val="es-AR"/>
        </w:rPr>
        <w:t xml:space="preserve"> </w:t>
      </w:r>
      <w:r w:rsidRPr="00AF39D7">
        <w:rPr>
          <w:sz w:val="16"/>
          <w:lang w:val="es-AR"/>
        </w:rPr>
        <w:t>2019,</w:t>
      </w:r>
      <w:r w:rsidRPr="00AF39D7">
        <w:rPr>
          <w:spacing w:val="-6"/>
          <w:sz w:val="16"/>
          <w:lang w:val="es-AR"/>
        </w:rPr>
        <w:t xml:space="preserve"> </w:t>
      </w:r>
      <w:r w:rsidRPr="00AF39D7">
        <w:rPr>
          <w:sz w:val="16"/>
          <w:lang w:val="es-AR"/>
        </w:rPr>
        <w:t>por lo</w:t>
      </w:r>
      <w:r w:rsidRPr="00AF39D7">
        <w:rPr>
          <w:spacing w:val="-2"/>
          <w:sz w:val="16"/>
          <w:lang w:val="es-AR"/>
        </w:rPr>
        <w:t xml:space="preserve"> </w:t>
      </w:r>
      <w:r w:rsidRPr="00AF39D7">
        <w:rPr>
          <w:sz w:val="16"/>
          <w:lang w:val="es-AR"/>
        </w:rPr>
        <w:t>que</w:t>
      </w:r>
      <w:r w:rsidRPr="00AF39D7">
        <w:rPr>
          <w:spacing w:val="-5"/>
          <w:sz w:val="16"/>
          <w:lang w:val="es-AR"/>
        </w:rPr>
        <w:t xml:space="preserve"> </w:t>
      </w:r>
      <w:r w:rsidRPr="00AF39D7">
        <w:rPr>
          <w:sz w:val="16"/>
          <w:lang w:val="es-AR"/>
        </w:rPr>
        <w:t>el</w:t>
      </w:r>
      <w:r w:rsidRPr="00AF39D7">
        <w:rPr>
          <w:spacing w:val="-3"/>
          <w:sz w:val="16"/>
          <w:lang w:val="es-AR"/>
        </w:rPr>
        <w:t xml:space="preserve"> </w:t>
      </w:r>
      <w:r w:rsidRPr="00AF39D7">
        <w:rPr>
          <w:sz w:val="16"/>
          <w:lang w:val="es-AR"/>
        </w:rPr>
        <w:t>Tribunal</w:t>
      </w:r>
      <w:r w:rsidRPr="00AF39D7">
        <w:rPr>
          <w:spacing w:val="-2"/>
          <w:sz w:val="16"/>
          <w:lang w:val="es-AR"/>
        </w:rPr>
        <w:t xml:space="preserve"> </w:t>
      </w:r>
      <w:r w:rsidRPr="00AF39D7">
        <w:rPr>
          <w:sz w:val="16"/>
          <w:lang w:val="es-AR"/>
        </w:rPr>
        <w:t>no</w:t>
      </w:r>
      <w:r w:rsidRPr="00AF39D7">
        <w:rPr>
          <w:spacing w:val="-2"/>
          <w:sz w:val="16"/>
          <w:lang w:val="es-AR"/>
        </w:rPr>
        <w:t xml:space="preserve"> </w:t>
      </w:r>
      <w:r w:rsidRPr="00AF39D7">
        <w:rPr>
          <w:sz w:val="16"/>
          <w:lang w:val="es-AR"/>
        </w:rPr>
        <w:t>se</w:t>
      </w:r>
      <w:r w:rsidRPr="00AF39D7">
        <w:rPr>
          <w:spacing w:val="-5"/>
          <w:sz w:val="16"/>
          <w:lang w:val="es-AR"/>
        </w:rPr>
        <w:t xml:space="preserve"> </w:t>
      </w:r>
      <w:r w:rsidRPr="00AF39D7">
        <w:rPr>
          <w:sz w:val="16"/>
          <w:lang w:val="es-AR"/>
        </w:rPr>
        <w:t>va</w:t>
      </w:r>
      <w:r w:rsidRPr="00AF39D7">
        <w:rPr>
          <w:spacing w:val="-2"/>
          <w:sz w:val="16"/>
          <w:lang w:val="es-AR"/>
        </w:rPr>
        <w:t xml:space="preserve"> </w:t>
      </w:r>
      <w:r w:rsidRPr="00AF39D7">
        <w:rPr>
          <w:sz w:val="16"/>
          <w:lang w:val="es-AR"/>
        </w:rPr>
        <w:t>a</w:t>
      </w:r>
      <w:r w:rsidRPr="00AF39D7">
        <w:rPr>
          <w:spacing w:val="-6"/>
          <w:sz w:val="16"/>
          <w:lang w:val="es-AR"/>
        </w:rPr>
        <w:t xml:space="preserve"> </w:t>
      </w:r>
      <w:r w:rsidRPr="00AF39D7">
        <w:rPr>
          <w:sz w:val="16"/>
          <w:lang w:val="es-AR"/>
        </w:rPr>
        <w:t>pronunciar</w:t>
      </w:r>
      <w:r w:rsidRPr="00AF39D7">
        <w:rPr>
          <w:spacing w:val="-4"/>
          <w:sz w:val="16"/>
          <w:lang w:val="es-AR"/>
        </w:rPr>
        <w:t xml:space="preserve"> </w:t>
      </w:r>
      <w:r w:rsidRPr="00AF39D7">
        <w:rPr>
          <w:sz w:val="16"/>
          <w:lang w:val="es-AR"/>
        </w:rPr>
        <w:t>sobre ello en la presente sentencia.</w:t>
      </w:r>
    </w:p>
    <w:p w14:paraId="3DDBB67E" w14:textId="77777777" w:rsidR="00467FCA" w:rsidRPr="00624696" w:rsidRDefault="001B68EB">
      <w:pPr>
        <w:tabs>
          <w:tab w:val="left" w:pos="839"/>
        </w:tabs>
        <w:ind w:left="119" w:right="117"/>
        <w:jc w:val="both"/>
        <w:rPr>
          <w:sz w:val="16"/>
          <w:lang w:val="es-AR"/>
        </w:rPr>
      </w:pPr>
      <w:bookmarkStart w:id="13" w:name="_bookmark10"/>
      <w:bookmarkEnd w:id="13"/>
      <w:r w:rsidRPr="00AF39D7">
        <w:rPr>
          <w:position w:val="6"/>
          <w:sz w:val="10"/>
          <w:lang w:val="es-AR"/>
        </w:rPr>
        <w:t>9</w:t>
      </w:r>
      <w:r w:rsidRPr="00AF39D7">
        <w:rPr>
          <w:position w:val="6"/>
          <w:sz w:val="10"/>
          <w:lang w:val="es-AR"/>
        </w:rPr>
        <w:tab/>
      </w:r>
      <w:r w:rsidRPr="00AF39D7">
        <w:rPr>
          <w:i/>
          <w:sz w:val="16"/>
          <w:lang w:val="es-AR"/>
        </w:rPr>
        <w:t>Cfr.</w:t>
      </w:r>
      <w:r w:rsidRPr="00AF39D7">
        <w:rPr>
          <w:i/>
          <w:spacing w:val="-9"/>
          <w:sz w:val="16"/>
          <w:lang w:val="es-AR"/>
        </w:rPr>
        <w:t xml:space="preserve"> </w:t>
      </w:r>
      <w:r w:rsidRPr="00AF39D7">
        <w:rPr>
          <w:i/>
          <w:sz w:val="16"/>
          <w:lang w:val="es-AR"/>
        </w:rPr>
        <w:t>Caso</w:t>
      </w:r>
      <w:r w:rsidRPr="00AF39D7">
        <w:rPr>
          <w:i/>
          <w:spacing w:val="-7"/>
          <w:sz w:val="16"/>
          <w:lang w:val="es-AR"/>
        </w:rPr>
        <w:t xml:space="preserve"> </w:t>
      </w:r>
      <w:r w:rsidRPr="00AF39D7">
        <w:rPr>
          <w:i/>
          <w:sz w:val="16"/>
          <w:lang w:val="es-AR"/>
        </w:rPr>
        <w:t>Empleados</w:t>
      </w:r>
      <w:r w:rsidRPr="00AF39D7">
        <w:rPr>
          <w:i/>
          <w:spacing w:val="-7"/>
          <w:sz w:val="16"/>
          <w:lang w:val="es-AR"/>
        </w:rPr>
        <w:t xml:space="preserve"> </w:t>
      </w:r>
      <w:r w:rsidRPr="00AF39D7">
        <w:rPr>
          <w:i/>
          <w:sz w:val="16"/>
          <w:lang w:val="es-AR"/>
        </w:rPr>
        <w:t>de</w:t>
      </w:r>
      <w:r w:rsidRPr="00AF39D7">
        <w:rPr>
          <w:i/>
          <w:spacing w:val="-7"/>
          <w:sz w:val="16"/>
          <w:lang w:val="es-AR"/>
        </w:rPr>
        <w:t xml:space="preserve"> </w:t>
      </w:r>
      <w:r w:rsidRPr="00AF39D7">
        <w:rPr>
          <w:i/>
          <w:sz w:val="16"/>
          <w:lang w:val="es-AR"/>
        </w:rPr>
        <w:t>la</w:t>
      </w:r>
      <w:r w:rsidRPr="00AF39D7">
        <w:rPr>
          <w:i/>
          <w:spacing w:val="-10"/>
          <w:sz w:val="16"/>
          <w:lang w:val="es-AR"/>
        </w:rPr>
        <w:t xml:space="preserve"> </w:t>
      </w:r>
      <w:r w:rsidRPr="00AF39D7">
        <w:rPr>
          <w:i/>
          <w:sz w:val="16"/>
          <w:lang w:val="es-AR"/>
        </w:rPr>
        <w:t>Fábrica</w:t>
      </w:r>
      <w:r w:rsidRPr="00AF39D7">
        <w:rPr>
          <w:i/>
          <w:spacing w:val="-9"/>
          <w:sz w:val="16"/>
          <w:lang w:val="es-AR"/>
        </w:rPr>
        <w:t xml:space="preserve"> </w:t>
      </w:r>
      <w:r w:rsidRPr="00AF39D7">
        <w:rPr>
          <w:i/>
          <w:sz w:val="16"/>
          <w:lang w:val="es-AR"/>
        </w:rPr>
        <w:t>de</w:t>
      </w:r>
      <w:r w:rsidRPr="00AF39D7">
        <w:rPr>
          <w:i/>
          <w:spacing w:val="-10"/>
          <w:sz w:val="16"/>
          <w:lang w:val="es-AR"/>
        </w:rPr>
        <w:t xml:space="preserve"> </w:t>
      </w:r>
      <w:r w:rsidRPr="00AF39D7">
        <w:rPr>
          <w:i/>
          <w:sz w:val="16"/>
          <w:lang w:val="es-AR"/>
        </w:rPr>
        <w:t>Fuegos</w:t>
      </w:r>
      <w:r w:rsidRPr="00AF39D7">
        <w:rPr>
          <w:i/>
          <w:spacing w:val="-7"/>
          <w:sz w:val="16"/>
          <w:lang w:val="es-AR"/>
        </w:rPr>
        <w:t xml:space="preserve"> </w:t>
      </w:r>
      <w:r w:rsidRPr="00AF39D7">
        <w:rPr>
          <w:i/>
          <w:sz w:val="16"/>
          <w:lang w:val="es-AR"/>
        </w:rPr>
        <w:t>en</w:t>
      </w:r>
      <w:r w:rsidRPr="00AF39D7">
        <w:rPr>
          <w:i/>
          <w:spacing w:val="-11"/>
          <w:sz w:val="16"/>
          <w:lang w:val="es-AR"/>
        </w:rPr>
        <w:t xml:space="preserve"> </w:t>
      </w:r>
      <w:r w:rsidRPr="00AF39D7">
        <w:rPr>
          <w:i/>
          <w:sz w:val="16"/>
          <w:lang w:val="es-AR"/>
        </w:rPr>
        <w:t>Santo</w:t>
      </w:r>
      <w:r w:rsidRPr="00AF39D7">
        <w:rPr>
          <w:i/>
          <w:spacing w:val="-9"/>
          <w:sz w:val="16"/>
          <w:lang w:val="es-AR"/>
        </w:rPr>
        <w:t xml:space="preserve"> </w:t>
      </w:r>
      <w:r w:rsidRPr="00AF39D7">
        <w:rPr>
          <w:i/>
          <w:sz w:val="16"/>
          <w:lang w:val="es-AR"/>
        </w:rPr>
        <w:t>Antônio</w:t>
      </w:r>
      <w:r w:rsidRPr="00AF39D7">
        <w:rPr>
          <w:i/>
          <w:spacing w:val="-8"/>
          <w:sz w:val="16"/>
          <w:lang w:val="es-AR"/>
        </w:rPr>
        <w:t xml:space="preserve"> </w:t>
      </w:r>
      <w:r w:rsidRPr="00AF39D7">
        <w:rPr>
          <w:i/>
          <w:sz w:val="16"/>
          <w:lang w:val="es-AR"/>
        </w:rPr>
        <w:t>de</w:t>
      </w:r>
      <w:r w:rsidRPr="00AF39D7">
        <w:rPr>
          <w:i/>
          <w:spacing w:val="-7"/>
          <w:sz w:val="16"/>
          <w:lang w:val="es-AR"/>
        </w:rPr>
        <w:t xml:space="preserve"> </w:t>
      </w:r>
      <w:r w:rsidRPr="00AF39D7">
        <w:rPr>
          <w:i/>
          <w:sz w:val="16"/>
          <w:lang w:val="es-AR"/>
        </w:rPr>
        <w:t>Jesus</w:t>
      </w:r>
      <w:r w:rsidRPr="00AF39D7">
        <w:rPr>
          <w:i/>
          <w:spacing w:val="-10"/>
          <w:sz w:val="16"/>
          <w:lang w:val="es-AR"/>
        </w:rPr>
        <w:t xml:space="preserve"> </w:t>
      </w:r>
      <w:r w:rsidRPr="00AF39D7">
        <w:rPr>
          <w:i/>
          <w:sz w:val="16"/>
          <w:lang w:val="es-AR"/>
        </w:rPr>
        <w:t>y</w:t>
      </w:r>
      <w:r w:rsidRPr="00AF39D7">
        <w:rPr>
          <w:i/>
          <w:spacing w:val="-6"/>
          <w:sz w:val="16"/>
          <w:lang w:val="es-AR"/>
        </w:rPr>
        <w:t xml:space="preserve"> </w:t>
      </w:r>
      <w:r w:rsidRPr="00AF39D7">
        <w:rPr>
          <w:i/>
          <w:sz w:val="16"/>
          <w:lang w:val="es-AR"/>
        </w:rPr>
        <w:t>sus</w:t>
      </w:r>
      <w:r w:rsidRPr="00AF39D7">
        <w:rPr>
          <w:i/>
          <w:spacing w:val="-10"/>
          <w:sz w:val="16"/>
          <w:lang w:val="es-AR"/>
        </w:rPr>
        <w:t xml:space="preserve"> </w:t>
      </w:r>
      <w:r w:rsidRPr="00AF39D7">
        <w:rPr>
          <w:i/>
          <w:sz w:val="16"/>
          <w:lang w:val="es-AR"/>
        </w:rPr>
        <w:t>Otros</w:t>
      </w:r>
      <w:r w:rsidRPr="00AF39D7">
        <w:rPr>
          <w:i/>
          <w:spacing w:val="-10"/>
          <w:sz w:val="16"/>
          <w:lang w:val="es-AR"/>
        </w:rPr>
        <w:t xml:space="preserve"> </w:t>
      </w:r>
      <w:r w:rsidRPr="00AF39D7">
        <w:rPr>
          <w:i/>
          <w:sz w:val="16"/>
          <w:lang w:val="es-AR"/>
        </w:rPr>
        <w:t>Vs.</w:t>
      </w:r>
      <w:r w:rsidRPr="00AF39D7">
        <w:rPr>
          <w:i/>
          <w:spacing w:val="-9"/>
          <w:sz w:val="16"/>
          <w:lang w:val="es-AR"/>
        </w:rPr>
        <w:t xml:space="preserve"> </w:t>
      </w:r>
      <w:r>
        <w:rPr>
          <w:i/>
          <w:sz w:val="16"/>
        </w:rPr>
        <w:t>Brasil.</w:t>
      </w:r>
      <w:r>
        <w:rPr>
          <w:i/>
          <w:spacing w:val="-8"/>
          <w:sz w:val="16"/>
        </w:rPr>
        <w:t xml:space="preserve"> </w:t>
      </w:r>
      <w:r w:rsidRPr="00624696">
        <w:rPr>
          <w:i/>
          <w:sz w:val="16"/>
          <w:lang w:val="es-AR"/>
        </w:rPr>
        <w:t xml:space="preserve">Convocatoria a Audiencia. </w:t>
      </w:r>
      <w:r w:rsidRPr="00624696">
        <w:rPr>
          <w:sz w:val="16"/>
          <w:lang w:val="es-AR"/>
        </w:rPr>
        <w:t>Resolución del Presidente de la Corte Interamericana de Derechos Humanos de 27 de noviembre de 2019. Disponible en:</w:t>
      </w:r>
      <w:r w:rsidRPr="00624696">
        <w:rPr>
          <w:spacing w:val="-9"/>
          <w:sz w:val="16"/>
          <w:lang w:val="es-AR"/>
        </w:rPr>
        <w:t xml:space="preserve"> </w:t>
      </w:r>
      <w:hyperlink r:id="rId8">
        <w:r w:rsidRPr="00624696">
          <w:rPr>
            <w:sz w:val="16"/>
            <w:lang w:val="es-AR"/>
          </w:rPr>
          <w:t>http://www.corteidh.or.cr/docs/asuntos/fabric</w:t>
        </w:r>
        <w:r w:rsidRPr="00624696">
          <w:rPr>
            <w:sz w:val="16"/>
            <w:lang w:val="es-AR"/>
          </w:rPr>
          <w:t>a_de_fuegos_29_11_2019_por.pdf</w:t>
        </w:r>
      </w:hyperlink>
      <w:r w:rsidRPr="00624696">
        <w:rPr>
          <w:sz w:val="16"/>
          <w:lang w:val="es-AR"/>
        </w:rPr>
        <w:t>.</w:t>
      </w:r>
    </w:p>
    <w:p w14:paraId="30F4CB87" w14:textId="77777777" w:rsidR="00467FCA" w:rsidRPr="00624696" w:rsidRDefault="001B68EB">
      <w:pPr>
        <w:tabs>
          <w:tab w:val="left" w:pos="839"/>
        </w:tabs>
        <w:ind w:left="120" w:right="112"/>
        <w:jc w:val="both"/>
        <w:rPr>
          <w:sz w:val="16"/>
          <w:lang w:val="es-AR"/>
        </w:rPr>
      </w:pPr>
      <w:bookmarkStart w:id="14" w:name="_bookmark11"/>
      <w:bookmarkEnd w:id="14"/>
      <w:r w:rsidRPr="00624696">
        <w:rPr>
          <w:position w:val="6"/>
          <w:sz w:val="10"/>
          <w:lang w:val="es-AR"/>
        </w:rPr>
        <w:t>10</w:t>
      </w:r>
      <w:r w:rsidRPr="00624696">
        <w:rPr>
          <w:position w:val="6"/>
          <w:sz w:val="10"/>
          <w:lang w:val="es-AR"/>
        </w:rPr>
        <w:tab/>
      </w:r>
      <w:r w:rsidRPr="00624696">
        <w:rPr>
          <w:sz w:val="16"/>
          <w:lang w:val="es-AR"/>
        </w:rPr>
        <w:t>A esta audiencia comparecieron: a) por la Comisión Interamericana: Paulina Corominas, Asesora; Jorge H. Meza Flores, Asesor y Cristian González, Asesor; b) por los representantes: Eduardo Baker Valls Pereira, de Justiça G</w:t>
      </w:r>
      <w:r w:rsidRPr="00624696">
        <w:rPr>
          <w:sz w:val="16"/>
          <w:lang w:val="es-AR"/>
        </w:rPr>
        <w:t>lobal;</w:t>
      </w:r>
      <w:r w:rsidRPr="00624696">
        <w:rPr>
          <w:spacing w:val="-9"/>
          <w:sz w:val="16"/>
          <w:lang w:val="es-AR"/>
        </w:rPr>
        <w:t xml:space="preserve"> </w:t>
      </w:r>
      <w:r w:rsidRPr="00624696">
        <w:rPr>
          <w:sz w:val="16"/>
          <w:lang w:val="es-AR"/>
        </w:rPr>
        <w:t>Raphaela</w:t>
      </w:r>
      <w:r w:rsidRPr="00624696">
        <w:rPr>
          <w:spacing w:val="-9"/>
          <w:sz w:val="16"/>
          <w:lang w:val="es-AR"/>
        </w:rPr>
        <w:t xml:space="preserve"> </w:t>
      </w:r>
      <w:r w:rsidRPr="00624696">
        <w:rPr>
          <w:sz w:val="16"/>
          <w:lang w:val="es-AR"/>
        </w:rPr>
        <w:t>de</w:t>
      </w:r>
      <w:r w:rsidRPr="00624696">
        <w:rPr>
          <w:spacing w:val="-8"/>
          <w:sz w:val="16"/>
          <w:lang w:val="es-AR"/>
        </w:rPr>
        <w:t xml:space="preserve"> </w:t>
      </w:r>
      <w:r w:rsidRPr="00624696">
        <w:rPr>
          <w:sz w:val="16"/>
          <w:lang w:val="es-AR"/>
        </w:rPr>
        <w:t>Araújo</w:t>
      </w:r>
      <w:r w:rsidRPr="00624696">
        <w:rPr>
          <w:spacing w:val="-7"/>
          <w:sz w:val="16"/>
          <w:lang w:val="es-AR"/>
        </w:rPr>
        <w:t xml:space="preserve"> </w:t>
      </w:r>
      <w:r w:rsidRPr="00624696">
        <w:rPr>
          <w:sz w:val="16"/>
          <w:lang w:val="es-AR"/>
        </w:rPr>
        <w:t>Lima</w:t>
      </w:r>
      <w:r w:rsidRPr="00624696">
        <w:rPr>
          <w:spacing w:val="-5"/>
          <w:sz w:val="16"/>
          <w:lang w:val="es-AR"/>
        </w:rPr>
        <w:t xml:space="preserve"> </w:t>
      </w:r>
      <w:r w:rsidRPr="00624696">
        <w:rPr>
          <w:sz w:val="16"/>
          <w:lang w:val="es-AR"/>
        </w:rPr>
        <w:t>Lopes,</w:t>
      </w:r>
      <w:r w:rsidRPr="00624696">
        <w:rPr>
          <w:spacing w:val="-11"/>
          <w:sz w:val="16"/>
          <w:lang w:val="es-AR"/>
        </w:rPr>
        <w:t xml:space="preserve"> </w:t>
      </w:r>
      <w:r w:rsidRPr="00624696">
        <w:rPr>
          <w:sz w:val="16"/>
          <w:lang w:val="es-AR"/>
        </w:rPr>
        <w:t>de</w:t>
      </w:r>
      <w:r w:rsidRPr="00624696">
        <w:rPr>
          <w:spacing w:val="-7"/>
          <w:sz w:val="16"/>
          <w:lang w:val="es-AR"/>
        </w:rPr>
        <w:t xml:space="preserve"> </w:t>
      </w:r>
      <w:r w:rsidRPr="00624696">
        <w:rPr>
          <w:sz w:val="16"/>
          <w:lang w:val="es-AR"/>
        </w:rPr>
        <w:t>Justiça</w:t>
      </w:r>
      <w:r w:rsidRPr="00624696">
        <w:rPr>
          <w:spacing w:val="-8"/>
          <w:sz w:val="16"/>
          <w:lang w:val="es-AR"/>
        </w:rPr>
        <w:t xml:space="preserve"> </w:t>
      </w:r>
      <w:r w:rsidRPr="00624696">
        <w:rPr>
          <w:sz w:val="16"/>
          <w:lang w:val="es-AR"/>
        </w:rPr>
        <w:t>Global;</w:t>
      </w:r>
      <w:r w:rsidRPr="00624696">
        <w:rPr>
          <w:spacing w:val="-8"/>
          <w:sz w:val="16"/>
          <w:lang w:val="es-AR"/>
        </w:rPr>
        <w:t xml:space="preserve"> </w:t>
      </w:r>
      <w:r w:rsidRPr="00624696">
        <w:rPr>
          <w:sz w:val="16"/>
          <w:lang w:val="es-AR"/>
        </w:rPr>
        <w:t>Rosângela</w:t>
      </w:r>
      <w:r w:rsidRPr="00624696">
        <w:rPr>
          <w:spacing w:val="-8"/>
          <w:sz w:val="16"/>
          <w:lang w:val="es-AR"/>
        </w:rPr>
        <w:t xml:space="preserve"> </w:t>
      </w:r>
      <w:r w:rsidRPr="00624696">
        <w:rPr>
          <w:sz w:val="16"/>
          <w:lang w:val="es-AR"/>
        </w:rPr>
        <w:t>Santos</w:t>
      </w:r>
      <w:r w:rsidRPr="00624696">
        <w:rPr>
          <w:spacing w:val="-7"/>
          <w:sz w:val="16"/>
          <w:lang w:val="es-AR"/>
        </w:rPr>
        <w:t xml:space="preserve"> </w:t>
      </w:r>
      <w:r w:rsidRPr="00624696">
        <w:rPr>
          <w:sz w:val="16"/>
          <w:lang w:val="es-AR"/>
        </w:rPr>
        <w:t>Rocha,</w:t>
      </w:r>
      <w:r w:rsidRPr="00624696">
        <w:rPr>
          <w:spacing w:val="-8"/>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Movimento</w:t>
      </w:r>
      <w:r w:rsidRPr="00624696">
        <w:rPr>
          <w:spacing w:val="-7"/>
          <w:sz w:val="16"/>
          <w:lang w:val="es-AR"/>
        </w:rPr>
        <w:t xml:space="preserve"> </w:t>
      </w:r>
      <w:r w:rsidRPr="00624696">
        <w:rPr>
          <w:sz w:val="16"/>
          <w:lang w:val="es-AR"/>
        </w:rPr>
        <w:t>11</w:t>
      </w:r>
      <w:r w:rsidRPr="00624696">
        <w:rPr>
          <w:spacing w:val="-6"/>
          <w:sz w:val="16"/>
          <w:lang w:val="es-AR"/>
        </w:rPr>
        <w:t xml:space="preserve"> </w:t>
      </w:r>
      <w:r w:rsidRPr="00624696">
        <w:rPr>
          <w:sz w:val="16"/>
          <w:lang w:val="es-AR"/>
        </w:rPr>
        <w:t>de</w:t>
      </w:r>
      <w:r w:rsidRPr="00624696">
        <w:rPr>
          <w:spacing w:val="-7"/>
          <w:sz w:val="16"/>
          <w:lang w:val="es-AR"/>
        </w:rPr>
        <w:t xml:space="preserve"> </w:t>
      </w:r>
      <w:r w:rsidRPr="00624696">
        <w:rPr>
          <w:sz w:val="16"/>
          <w:lang w:val="es-AR"/>
        </w:rPr>
        <w:t>Dezembro; Sandra</w:t>
      </w:r>
      <w:r w:rsidRPr="00624696">
        <w:rPr>
          <w:spacing w:val="-19"/>
          <w:sz w:val="16"/>
          <w:lang w:val="es-AR"/>
        </w:rPr>
        <w:t xml:space="preserve"> </w:t>
      </w:r>
      <w:r w:rsidRPr="00624696">
        <w:rPr>
          <w:sz w:val="16"/>
          <w:lang w:val="es-AR"/>
        </w:rPr>
        <w:t>Carvalho,</w:t>
      </w:r>
      <w:r w:rsidRPr="00624696">
        <w:rPr>
          <w:spacing w:val="-15"/>
          <w:sz w:val="16"/>
          <w:lang w:val="es-AR"/>
        </w:rPr>
        <w:t xml:space="preserve"> </w:t>
      </w:r>
      <w:r w:rsidRPr="00624696">
        <w:rPr>
          <w:sz w:val="16"/>
          <w:lang w:val="es-AR"/>
        </w:rPr>
        <w:t>de</w:t>
      </w:r>
      <w:r w:rsidRPr="00624696">
        <w:rPr>
          <w:spacing w:val="-14"/>
          <w:sz w:val="16"/>
          <w:lang w:val="es-AR"/>
        </w:rPr>
        <w:t xml:space="preserve"> </w:t>
      </w:r>
      <w:r w:rsidRPr="00624696">
        <w:rPr>
          <w:sz w:val="16"/>
          <w:lang w:val="es-AR"/>
        </w:rPr>
        <w:t>Justiça</w:t>
      </w:r>
      <w:r w:rsidRPr="00624696">
        <w:rPr>
          <w:spacing w:val="-15"/>
          <w:sz w:val="16"/>
          <w:lang w:val="es-AR"/>
        </w:rPr>
        <w:t xml:space="preserve"> </w:t>
      </w:r>
      <w:r w:rsidRPr="00624696">
        <w:rPr>
          <w:sz w:val="16"/>
          <w:lang w:val="es-AR"/>
        </w:rPr>
        <w:t>Global;</w:t>
      </w:r>
      <w:r w:rsidRPr="00624696">
        <w:rPr>
          <w:spacing w:val="-16"/>
          <w:sz w:val="16"/>
          <w:lang w:val="es-AR"/>
        </w:rPr>
        <w:t xml:space="preserve"> </w:t>
      </w:r>
      <w:r w:rsidRPr="00624696">
        <w:rPr>
          <w:sz w:val="16"/>
          <w:lang w:val="es-AR"/>
        </w:rPr>
        <w:t>Benedita</w:t>
      </w:r>
      <w:r w:rsidRPr="00624696">
        <w:rPr>
          <w:spacing w:val="-15"/>
          <w:sz w:val="16"/>
          <w:lang w:val="es-AR"/>
        </w:rPr>
        <w:t xml:space="preserve"> </w:t>
      </w:r>
      <w:r w:rsidRPr="00624696">
        <w:rPr>
          <w:sz w:val="16"/>
          <w:lang w:val="es-AR"/>
        </w:rPr>
        <w:t>Lima</w:t>
      </w:r>
      <w:r w:rsidRPr="00624696">
        <w:rPr>
          <w:spacing w:val="-15"/>
          <w:sz w:val="16"/>
          <w:lang w:val="es-AR"/>
        </w:rPr>
        <w:t xml:space="preserve"> </w:t>
      </w:r>
      <w:r w:rsidRPr="00624696">
        <w:rPr>
          <w:sz w:val="16"/>
          <w:lang w:val="es-AR"/>
        </w:rPr>
        <w:t>Lopes</w:t>
      </w:r>
      <w:r w:rsidRPr="00624696">
        <w:rPr>
          <w:spacing w:val="-14"/>
          <w:sz w:val="16"/>
          <w:lang w:val="es-AR"/>
        </w:rPr>
        <w:t xml:space="preserve"> </w:t>
      </w:r>
      <w:r w:rsidRPr="00624696">
        <w:rPr>
          <w:sz w:val="16"/>
          <w:lang w:val="es-AR"/>
        </w:rPr>
        <w:t>Coelho</w:t>
      </w:r>
      <w:r w:rsidRPr="00624696">
        <w:rPr>
          <w:spacing w:val="-14"/>
          <w:sz w:val="16"/>
          <w:lang w:val="es-AR"/>
        </w:rPr>
        <w:t xml:space="preserve"> </w:t>
      </w:r>
      <w:r w:rsidRPr="00624696">
        <w:rPr>
          <w:sz w:val="16"/>
          <w:lang w:val="es-AR"/>
        </w:rPr>
        <w:t>y</w:t>
      </w:r>
      <w:r w:rsidRPr="00624696">
        <w:rPr>
          <w:spacing w:val="-17"/>
          <w:sz w:val="16"/>
          <w:lang w:val="es-AR"/>
        </w:rPr>
        <w:t xml:space="preserve"> </w:t>
      </w:r>
      <w:r w:rsidRPr="00624696">
        <w:rPr>
          <w:sz w:val="16"/>
          <w:lang w:val="es-AR"/>
        </w:rPr>
        <w:t>Felipe</w:t>
      </w:r>
      <w:r w:rsidRPr="00624696">
        <w:rPr>
          <w:spacing w:val="-17"/>
          <w:sz w:val="16"/>
          <w:lang w:val="es-AR"/>
        </w:rPr>
        <w:t xml:space="preserve"> </w:t>
      </w:r>
      <w:r w:rsidRPr="00624696">
        <w:rPr>
          <w:sz w:val="16"/>
          <w:lang w:val="es-AR"/>
        </w:rPr>
        <w:t>Bastos</w:t>
      </w:r>
      <w:r w:rsidRPr="00624696">
        <w:rPr>
          <w:spacing w:val="-14"/>
          <w:sz w:val="16"/>
          <w:lang w:val="es-AR"/>
        </w:rPr>
        <w:t xml:space="preserve"> </w:t>
      </w:r>
      <w:r w:rsidRPr="00624696">
        <w:rPr>
          <w:sz w:val="16"/>
          <w:lang w:val="es-AR"/>
        </w:rPr>
        <w:t>Coelho,</w:t>
      </w:r>
      <w:r w:rsidRPr="00624696">
        <w:rPr>
          <w:spacing w:val="-18"/>
          <w:sz w:val="16"/>
          <w:lang w:val="es-AR"/>
        </w:rPr>
        <w:t xml:space="preserve"> </w:t>
      </w:r>
      <w:r w:rsidRPr="00624696">
        <w:rPr>
          <w:sz w:val="16"/>
          <w:lang w:val="es-AR"/>
        </w:rPr>
        <w:t>y</w:t>
      </w:r>
      <w:r w:rsidRPr="00624696">
        <w:rPr>
          <w:spacing w:val="-14"/>
          <w:sz w:val="16"/>
          <w:lang w:val="es-AR"/>
        </w:rPr>
        <w:t xml:space="preserve"> </w:t>
      </w:r>
      <w:r w:rsidRPr="00624696">
        <w:rPr>
          <w:sz w:val="16"/>
          <w:lang w:val="es-AR"/>
        </w:rPr>
        <w:t>c)</w:t>
      </w:r>
      <w:r w:rsidRPr="00624696">
        <w:rPr>
          <w:spacing w:val="-19"/>
          <w:sz w:val="16"/>
          <w:lang w:val="es-AR"/>
        </w:rPr>
        <w:t xml:space="preserve"> </w:t>
      </w:r>
      <w:r w:rsidRPr="00624696">
        <w:rPr>
          <w:sz w:val="16"/>
          <w:lang w:val="es-AR"/>
        </w:rPr>
        <w:t>por</w:t>
      </w:r>
      <w:r w:rsidRPr="00624696">
        <w:rPr>
          <w:spacing w:val="-14"/>
          <w:sz w:val="16"/>
          <w:lang w:val="es-AR"/>
        </w:rPr>
        <w:t xml:space="preserve"> </w:t>
      </w:r>
      <w:r w:rsidRPr="00624696">
        <w:rPr>
          <w:sz w:val="16"/>
          <w:lang w:val="es-AR"/>
        </w:rPr>
        <w:t>el</w:t>
      </w:r>
      <w:r w:rsidRPr="00624696">
        <w:rPr>
          <w:spacing w:val="-15"/>
          <w:sz w:val="16"/>
          <w:lang w:val="es-AR"/>
        </w:rPr>
        <w:t xml:space="preserve"> </w:t>
      </w:r>
      <w:r w:rsidRPr="00624696">
        <w:rPr>
          <w:sz w:val="16"/>
          <w:lang w:val="es-AR"/>
        </w:rPr>
        <w:t>Estado:</w:t>
      </w:r>
      <w:r w:rsidRPr="00624696">
        <w:rPr>
          <w:spacing w:val="-15"/>
          <w:sz w:val="16"/>
          <w:lang w:val="es-AR"/>
        </w:rPr>
        <w:t xml:space="preserve"> </w:t>
      </w:r>
      <w:r w:rsidRPr="00624696">
        <w:rPr>
          <w:sz w:val="16"/>
          <w:lang w:val="es-AR"/>
        </w:rPr>
        <w:t>Embajador Antônio Francisco Da Costa e Silva Neto, jefe de la delegación; Taiz Marrão Batista da Costa, abogada de la Unión; Bruna</w:t>
      </w:r>
      <w:r w:rsidRPr="00624696">
        <w:rPr>
          <w:spacing w:val="-4"/>
          <w:sz w:val="16"/>
          <w:lang w:val="es-AR"/>
        </w:rPr>
        <w:t xml:space="preserve"> </w:t>
      </w:r>
      <w:r w:rsidRPr="00624696">
        <w:rPr>
          <w:sz w:val="16"/>
          <w:lang w:val="es-AR"/>
        </w:rPr>
        <w:t>Vieira</w:t>
      </w:r>
      <w:r w:rsidRPr="00624696">
        <w:rPr>
          <w:spacing w:val="-3"/>
          <w:sz w:val="16"/>
          <w:lang w:val="es-AR"/>
        </w:rPr>
        <w:t xml:space="preserve"> </w:t>
      </w:r>
      <w:r w:rsidRPr="00624696">
        <w:rPr>
          <w:sz w:val="16"/>
          <w:lang w:val="es-AR"/>
        </w:rPr>
        <w:t>de</w:t>
      </w:r>
      <w:r w:rsidRPr="00624696">
        <w:rPr>
          <w:spacing w:val="-2"/>
          <w:sz w:val="16"/>
          <w:lang w:val="es-AR"/>
        </w:rPr>
        <w:t xml:space="preserve"> </w:t>
      </w:r>
      <w:r w:rsidRPr="00624696">
        <w:rPr>
          <w:sz w:val="16"/>
          <w:lang w:val="es-AR"/>
        </w:rPr>
        <w:t>Paula,</w:t>
      </w:r>
      <w:r w:rsidRPr="00624696">
        <w:rPr>
          <w:spacing w:val="-2"/>
          <w:sz w:val="16"/>
          <w:lang w:val="es-AR"/>
        </w:rPr>
        <w:t xml:space="preserve"> </w:t>
      </w:r>
      <w:r w:rsidRPr="00624696">
        <w:rPr>
          <w:sz w:val="16"/>
          <w:lang w:val="es-AR"/>
        </w:rPr>
        <w:t>jefa</w:t>
      </w:r>
      <w:r w:rsidRPr="00624696">
        <w:rPr>
          <w:spacing w:val="-3"/>
          <w:sz w:val="16"/>
          <w:lang w:val="es-AR"/>
        </w:rPr>
        <w:t xml:space="preserve"> </w:t>
      </w:r>
      <w:r w:rsidRPr="00624696">
        <w:rPr>
          <w:sz w:val="16"/>
          <w:lang w:val="es-AR"/>
        </w:rPr>
        <w:t>de</w:t>
      </w:r>
      <w:r w:rsidRPr="00624696">
        <w:rPr>
          <w:spacing w:val="-5"/>
          <w:sz w:val="16"/>
          <w:lang w:val="es-AR"/>
        </w:rPr>
        <w:t xml:space="preserve"> </w:t>
      </w:r>
      <w:r w:rsidRPr="00624696">
        <w:rPr>
          <w:sz w:val="16"/>
          <w:lang w:val="es-AR"/>
        </w:rPr>
        <w:t>la</w:t>
      </w:r>
      <w:r w:rsidRPr="00624696">
        <w:rPr>
          <w:spacing w:val="-2"/>
          <w:sz w:val="16"/>
          <w:lang w:val="es-AR"/>
        </w:rPr>
        <w:t xml:space="preserve"> </w:t>
      </w:r>
      <w:r w:rsidRPr="00624696">
        <w:rPr>
          <w:sz w:val="16"/>
          <w:lang w:val="es-AR"/>
        </w:rPr>
        <w:t>División</w:t>
      </w:r>
      <w:r w:rsidRPr="00624696">
        <w:rPr>
          <w:spacing w:val="-4"/>
          <w:sz w:val="16"/>
          <w:lang w:val="es-AR"/>
        </w:rPr>
        <w:t xml:space="preserve"> </w:t>
      </w:r>
      <w:r w:rsidRPr="00624696">
        <w:rPr>
          <w:sz w:val="16"/>
          <w:lang w:val="es-AR"/>
        </w:rPr>
        <w:t>de</w:t>
      </w:r>
      <w:r w:rsidRPr="00624696">
        <w:rPr>
          <w:spacing w:val="-2"/>
          <w:sz w:val="16"/>
          <w:lang w:val="es-AR"/>
        </w:rPr>
        <w:t xml:space="preserve"> </w:t>
      </w:r>
      <w:r w:rsidRPr="00624696">
        <w:rPr>
          <w:sz w:val="16"/>
          <w:lang w:val="es-AR"/>
        </w:rPr>
        <w:t>Derechos</w:t>
      </w:r>
      <w:r w:rsidRPr="00624696">
        <w:rPr>
          <w:spacing w:val="-3"/>
          <w:sz w:val="16"/>
          <w:lang w:val="es-AR"/>
        </w:rPr>
        <w:t xml:space="preserve"> </w:t>
      </w:r>
      <w:r w:rsidRPr="00624696">
        <w:rPr>
          <w:sz w:val="16"/>
          <w:lang w:val="es-AR"/>
        </w:rPr>
        <w:t>Humanos</w:t>
      </w:r>
      <w:r w:rsidRPr="00624696">
        <w:rPr>
          <w:spacing w:val="-2"/>
          <w:sz w:val="16"/>
          <w:lang w:val="es-AR"/>
        </w:rPr>
        <w:t xml:space="preserve"> </w:t>
      </w:r>
      <w:r w:rsidRPr="00624696">
        <w:rPr>
          <w:sz w:val="16"/>
          <w:lang w:val="es-AR"/>
        </w:rPr>
        <w:t>del</w:t>
      </w:r>
      <w:r w:rsidRPr="00624696">
        <w:rPr>
          <w:spacing w:val="-4"/>
          <w:sz w:val="16"/>
          <w:lang w:val="es-AR"/>
        </w:rPr>
        <w:t xml:space="preserve"> </w:t>
      </w:r>
      <w:r w:rsidRPr="00624696">
        <w:rPr>
          <w:sz w:val="16"/>
          <w:lang w:val="es-AR"/>
        </w:rPr>
        <w:t>Ministerio</w:t>
      </w:r>
      <w:r w:rsidRPr="00624696">
        <w:rPr>
          <w:spacing w:val="-2"/>
          <w:sz w:val="16"/>
          <w:lang w:val="es-AR"/>
        </w:rPr>
        <w:t xml:space="preserve"> </w:t>
      </w:r>
      <w:r w:rsidRPr="00624696">
        <w:rPr>
          <w:sz w:val="16"/>
          <w:lang w:val="es-AR"/>
        </w:rPr>
        <w:t>de</w:t>
      </w:r>
      <w:r w:rsidRPr="00624696">
        <w:rPr>
          <w:spacing w:val="-2"/>
          <w:sz w:val="16"/>
          <w:lang w:val="es-AR"/>
        </w:rPr>
        <w:t xml:space="preserve"> </w:t>
      </w:r>
      <w:r w:rsidRPr="00624696">
        <w:rPr>
          <w:sz w:val="16"/>
          <w:lang w:val="es-AR"/>
        </w:rPr>
        <w:t>Relaciones</w:t>
      </w:r>
      <w:r w:rsidRPr="00624696">
        <w:rPr>
          <w:spacing w:val="-1"/>
          <w:sz w:val="16"/>
          <w:lang w:val="es-AR"/>
        </w:rPr>
        <w:t xml:space="preserve"> </w:t>
      </w:r>
      <w:r w:rsidRPr="00624696">
        <w:rPr>
          <w:sz w:val="16"/>
          <w:lang w:val="es-AR"/>
        </w:rPr>
        <w:t>Exteriores;</w:t>
      </w:r>
      <w:r w:rsidRPr="00624696">
        <w:rPr>
          <w:spacing w:val="-4"/>
          <w:sz w:val="16"/>
          <w:lang w:val="es-AR"/>
        </w:rPr>
        <w:t xml:space="preserve"> </w:t>
      </w:r>
      <w:r w:rsidRPr="00624696">
        <w:rPr>
          <w:sz w:val="16"/>
          <w:lang w:val="es-AR"/>
        </w:rPr>
        <w:t>Daniel</w:t>
      </w:r>
      <w:r w:rsidRPr="00624696">
        <w:rPr>
          <w:spacing w:val="-1"/>
          <w:sz w:val="16"/>
          <w:lang w:val="es-AR"/>
        </w:rPr>
        <w:t xml:space="preserve"> </w:t>
      </w:r>
      <w:r w:rsidRPr="00624696">
        <w:rPr>
          <w:sz w:val="16"/>
          <w:lang w:val="es-AR"/>
        </w:rPr>
        <w:t>Leão Sousa, asesor d</w:t>
      </w:r>
      <w:r w:rsidRPr="00624696">
        <w:rPr>
          <w:sz w:val="16"/>
          <w:lang w:val="es-AR"/>
        </w:rPr>
        <w:t>e la División de Derechos Humanos del Ministerio de Relaciones Exteriores; Marcelo Gameiro de Moura,</w:t>
      </w:r>
      <w:r w:rsidRPr="00624696">
        <w:rPr>
          <w:spacing w:val="-9"/>
          <w:sz w:val="16"/>
          <w:lang w:val="es-AR"/>
        </w:rPr>
        <w:t xml:space="preserve"> </w:t>
      </w:r>
      <w:r w:rsidRPr="00624696">
        <w:rPr>
          <w:sz w:val="16"/>
          <w:lang w:val="es-AR"/>
        </w:rPr>
        <w:t>jefe</w:t>
      </w:r>
      <w:r w:rsidRPr="00624696">
        <w:rPr>
          <w:spacing w:val="-12"/>
          <w:sz w:val="16"/>
          <w:lang w:val="es-AR"/>
        </w:rPr>
        <w:t xml:space="preserve"> </w:t>
      </w:r>
      <w:r w:rsidRPr="00624696">
        <w:rPr>
          <w:sz w:val="16"/>
          <w:lang w:val="es-AR"/>
        </w:rPr>
        <w:t>del</w:t>
      </w:r>
      <w:r w:rsidRPr="00624696">
        <w:rPr>
          <w:spacing w:val="-11"/>
          <w:sz w:val="16"/>
          <w:lang w:val="es-AR"/>
        </w:rPr>
        <w:t xml:space="preserve"> </w:t>
      </w:r>
      <w:r w:rsidRPr="00624696">
        <w:rPr>
          <w:sz w:val="16"/>
          <w:lang w:val="es-AR"/>
        </w:rPr>
        <w:t>Sector</w:t>
      </w:r>
      <w:r w:rsidRPr="00624696">
        <w:rPr>
          <w:spacing w:val="-9"/>
          <w:sz w:val="16"/>
          <w:lang w:val="es-AR"/>
        </w:rPr>
        <w:t xml:space="preserve"> </w:t>
      </w:r>
      <w:r w:rsidRPr="00624696">
        <w:rPr>
          <w:sz w:val="16"/>
          <w:lang w:val="es-AR"/>
        </w:rPr>
        <w:t>Político</w:t>
      </w:r>
      <w:r w:rsidRPr="00624696">
        <w:rPr>
          <w:spacing w:val="-11"/>
          <w:sz w:val="16"/>
          <w:lang w:val="es-AR"/>
        </w:rPr>
        <w:t xml:space="preserve"> </w:t>
      </w:r>
      <w:r w:rsidRPr="00624696">
        <w:rPr>
          <w:sz w:val="16"/>
          <w:lang w:val="es-AR"/>
        </w:rPr>
        <w:t>y</w:t>
      </w:r>
      <w:r w:rsidRPr="00624696">
        <w:rPr>
          <w:spacing w:val="-9"/>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Cooperación</w:t>
      </w:r>
      <w:r w:rsidRPr="00624696">
        <w:rPr>
          <w:spacing w:val="-11"/>
          <w:sz w:val="16"/>
          <w:lang w:val="es-AR"/>
        </w:rPr>
        <w:t xml:space="preserve"> </w:t>
      </w:r>
      <w:r w:rsidRPr="00624696">
        <w:rPr>
          <w:sz w:val="16"/>
          <w:lang w:val="es-AR"/>
        </w:rPr>
        <w:t>Técnica</w:t>
      </w:r>
      <w:r w:rsidRPr="00624696">
        <w:rPr>
          <w:spacing w:val="-10"/>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la</w:t>
      </w:r>
      <w:r w:rsidRPr="00624696">
        <w:rPr>
          <w:spacing w:val="-8"/>
          <w:sz w:val="16"/>
          <w:lang w:val="es-AR"/>
        </w:rPr>
        <w:t xml:space="preserve"> </w:t>
      </w:r>
      <w:r w:rsidRPr="00624696">
        <w:rPr>
          <w:sz w:val="16"/>
          <w:lang w:val="es-AR"/>
        </w:rPr>
        <w:t>Embajada</w:t>
      </w:r>
      <w:r w:rsidRPr="00624696">
        <w:rPr>
          <w:spacing w:val="-10"/>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Brasil</w:t>
      </w:r>
      <w:r w:rsidRPr="00624696">
        <w:rPr>
          <w:spacing w:val="-8"/>
          <w:sz w:val="16"/>
          <w:lang w:val="es-AR"/>
        </w:rPr>
        <w:t xml:space="preserve"> </w:t>
      </w:r>
      <w:r w:rsidRPr="00624696">
        <w:rPr>
          <w:sz w:val="16"/>
          <w:lang w:val="es-AR"/>
        </w:rPr>
        <w:t>en</w:t>
      </w:r>
      <w:r w:rsidRPr="00624696">
        <w:rPr>
          <w:spacing w:val="-11"/>
          <w:sz w:val="16"/>
          <w:lang w:val="es-AR"/>
        </w:rPr>
        <w:t xml:space="preserve"> </w:t>
      </w:r>
      <w:r w:rsidRPr="00624696">
        <w:rPr>
          <w:sz w:val="16"/>
          <w:lang w:val="es-AR"/>
        </w:rPr>
        <w:t>San</w:t>
      </w:r>
      <w:r w:rsidRPr="00624696">
        <w:rPr>
          <w:spacing w:val="-11"/>
          <w:sz w:val="16"/>
          <w:lang w:val="es-AR"/>
        </w:rPr>
        <w:t xml:space="preserve"> </w:t>
      </w:r>
      <w:r w:rsidRPr="00624696">
        <w:rPr>
          <w:sz w:val="16"/>
          <w:lang w:val="es-AR"/>
        </w:rPr>
        <w:t>José;</w:t>
      </w:r>
      <w:r w:rsidRPr="00624696">
        <w:rPr>
          <w:spacing w:val="-11"/>
          <w:sz w:val="16"/>
          <w:lang w:val="es-AR"/>
        </w:rPr>
        <w:t xml:space="preserve"> </w:t>
      </w:r>
      <w:r w:rsidRPr="00624696">
        <w:rPr>
          <w:sz w:val="16"/>
          <w:lang w:val="es-AR"/>
        </w:rPr>
        <w:t>Coronel</w:t>
      </w:r>
      <w:r w:rsidRPr="00624696">
        <w:rPr>
          <w:spacing w:val="-11"/>
          <w:sz w:val="16"/>
          <w:lang w:val="es-AR"/>
        </w:rPr>
        <w:t xml:space="preserve"> </w:t>
      </w:r>
      <w:r w:rsidRPr="00624696">
        <w:rPr>
          <w:sz w:val="16"/>
          <w:lang w:val="es-AR"/>
        </w:rPr>
        <w:t>Décio</w:t>
      </w:r>
      <w:r w:rsidRPr="00624696">
        <w:rPr>
          <w:spacing w:val="-9"/>
          <w:sz w:val="16"/>
          <w:lang w:val="es-AR"/>
        </w:rPr>
        <w:t xml:space="preserve"> </w:t>
      </w:r>
      <w:r w:rsidRPr="00624696">
        <w:rPr>
          <w:sz w:val="16"/>
          <w:lang w:val="es-AR"/>
        </w:rPr>
        <w:t>Adriano da Silva, representante del Ejército Brasileño; Teniente-Coronel André de Freitas Porto, representante del Ejército Brasileño; Vital Lima Santos, representante del Ministerio de la Defensa; Savio Luciano de Andrade Filho, representante del Minister</w:t>
      </w:r>
      <w:r w:rsidRPr="00624696">
        <w:rPr>
          <w:sz w:val="16"/>
          <w:lang w:val="es-AR"/>
        </w:rPr>
        <w:t>io de Defensa; Dênis Rodrigues da Silva, coordinador de Casos Contenciosos Internacionales de Derechos Humanos de la Asesoría Especial de Asuntos Internacionales del Ministerio de la</w:t>
      </w:r>
      <w:r w:rsidRPr="00624696">
        <w:rPr>
          <w:spacing w:val="-36"/>
          <w:sz w:val="16"/>
          <w:lang w:val="es-AR"/>
        </w:rPr>
        <w:t xml:space="preserve"> </w:t>
      </w:r>
      <w:r w:rsidRPr="00624696">
        <w:rPr>
          <w:sz w:val="16"/>
          <w:lang w:val="es-AR"/>
        </w:rPr>
        <w:t>Mujer, la</w:t>
      </w:r>
      <w:r w:rsidRPr="00624696">
        <w:rPr>
          <w:spacing w:val="42"/>
          <w:sz w:val="16"/>
          <w:lang w:val="es-AR"/>
        </w:rPr>
        <w:t xml:space="preserve"> </w:t>
      </w:r>
      <w:r w:rsidRPr="00624696">
        <w:rPr>
          <w:sz w:val="16"/>
          <w:lang w:val="es-AR"/>
        </w:rPr>
        <w:t>Familia</w:t>
      </w:r>
      <w:r w:rsidRPr="00624696">
        <w:rPr>
          <w:spacing w:val="42"/>
          <w:sz w:val="16"/>
          <w:lang w:val="es-AR"/>
        </w:rPr>
        <w:t xml:space="preserve"> </w:t>
      </w:r>
      <w:r w:rsidRPr="00624696">
        <w:rPr>
          <w:sz w:val="16"/>
          <w:lang w:val="es-AR"/>
        </w:rPr>
        <w:t>y</w:t>
      </w:r>
      <w:r w:rsidRPr="00624696">
        <w:rPr>
          <w:spacing w:val="44"/>
          <w:sz w:val="16"/>
          <w:lang w:val="es-AR"/>
        </w:rPr>
        <w:t xml:space="preserve"> </w:t>
      </w:r>
      <w:r w:rsidRPr="00624696">
        <w:rPr>
          <w:sz w:val="16"/>
          <w:lang w:val="es-AR"/>
        </w:rPr>
        <w:t>los</w:t>
      </w:r>
      <w:r w:rsidRPr="00624696">
        <w:rPr>
          <w:spacing w:val="41"/>
          <w:sz w:val="16"/>
          <w:lang w:val="es-AR"/>
        </w:rPr>
        <w:t xml:space="preserve"> </w:t>
      </w:r>
      <w:r w:rsidRPr="00624696">
        <w:rPr>
          <w:sz w:val="16"/>
          <w:lang w:val="es-AR"/>
        </w:rPr>
        <w:t>Derechos</w:t>
      </w:r>
      <w:r w:rsidRPr="00624696">
        <w:rPr>
          <w:spacing w:val="43"/>
          <w:sz w:val="16"/>
          <w:lang w:val="es-AR"/>
        </w:rPr>
        <w:t xml:space="preserve"> </w:t>
      </w:r>
      <w:r w:rsidRPr="00624696">
        <w:rPr>
          <w:sz w:val="16"/>
          <w:lang w:val="es-AR"/>
        </w:rPr>
        <w:t>Humanos</w:t>
      </w:r>
      <w:r w:rsidRPr="00624696">
        <w:rPr>
          <w:spacing w:val="43"/>
          <w:sz w:val="16"/>
          <w:lang w:val="es-AR"/>
        </w:rPr>
        <w:t xml:space="preserve"> </w:t>
      </w:r>
      <w:r w:rsidRPr="00624696">
        <w:rPr>
          <w:sz w:val="16"/>
          <w:lang w:val="es-AR"/>
        </w:rPr>
        <w:t>(MMFDH);</w:t>
      </w:r>
      <w:r w:rsidRPr="00624696">
        <w:rPr>
          <w:spacing w:val="43"/>
          <w:sz w:val="16"/>
          <w:lang w:val="es-AR"/>
        </w:rPr>
        <w:t xml:space="preserve"> </w:t>
      </w:r>
      <w:r w:rsidRPr="00624696">
        <w:rPr>
          <w:sz w:val="16"/>
          <w:lang w:val="es-AR"/>
        </w:rPr>
        <w:t>Clara</w:t>
      </w:r>
      <w:r w:rsidRPr="00624696">
        <w:rPr>
          <w:spacing w:val="40"/>
          <w:sz w:val="16"/>
          <w:lang w:val="es-AR"/>
        </w:rPr>
        <w:t xml:space="preserve"> </w:t>
      </w:r>
      <w:r w:rsidRPr="00624696">
        <w:rPr>
          <w:sz w:val="16"/>
          <w:lang w:val="es-AR"/>
        </w:rPr>
        <w:t>Fontes</w:t>
      </w:r>
      <w:r w:rsidRPr="00624696">
        <w:rPr>
          <w:spacing w:val="43"/>
          <w:sz w:val="16"/>
          <w:lang w:val="es-AR"/>
        </w:rPr>
        <w:t xml:space="preserve"> </w:t>
      </w:r>
      <w:r w:rsidRPr="00624696">
        <w:rPr>
          <w:sz w:val="16"/>
          <w:lang w:val="es-AR"/>
        </w:rPr>
        <w:t>Ferreira,</w:t>
      </w:r>
      <w:r w:rsidRPr="00624696">
        <w:rPr>
          <w:spacing w:val="42"/>
          <w:sz w:val="16"/>
          <w:lang w:val="es-AR"/>
        </w:rPr>
        <w:t xml:space="preserve"> </w:t>
      </w:r>
      <w:r w:rsidRPr="00624696">
        <w:rPr>
          <w:sz w:val="16"/>
          <w:lang w:val="es-AR"/>
        </w:rPr>
        <w:t>asistente</w:t>
      </w:r>
      <w:r w:rsidRPr="00624696">
        <w:rPr>
          <w:spacing w:val="43"/>
          <w:sz w:val="16"/>
          <w:lang w:val="es-AR"/>
        </w:rPr>
        <w:t xml:space="preserve"> </w:t>
      </w:r>
      <w:r w:rsidRPr="00624696">
        <w:rPr>
          <w:sz w:val="16"/>
          <w:lang w:val="es-AR"/>
        </w:rPr>
        <w:t>técnica</w:t>
      </w:r>
      <w:r w:rsidRPr="00624696">
        <w:rPr>
          <w:spacing w:val="42"/>
          <w:sz w:val="16"/>
          <w:lang w:val="es-AR"/>
        </w:rPr>
        <w:t xml:space="preserve"> </w:t>
      </w:r>
      <w:r w:rsidRPr="00624696">
        <w:rPr>
          <w:sz w:val="16"/>
          <w:lang w:val="es-AR"/>
        </w:rPr>
        <w:t>de</w:t>
      </w:r>
      <w:r w:rsidRPr="00624696">
        <w:rPr>
          <w:spacing w:val="44"/>
          <w:sz w:val="16"/>
          <w:lang w:val="es-AR"/>
        </w:rPr>
        <w:t xml:space="preserve"> </w:t>
      </w:r>
      <w:r w:rsidRPr="00624696">
        <w:rPr>
          <w:sz w:val="16"/>
          <w:lang w:val="es-AR"/>
        </w:rPr>
        <w:t>la</w:t>
      </w:r>
      <w:r w:rsidRPr="00624696">
        <w:rPr>
          <w:spacing w:val="42"/>
          <w:sz w:val="16"/>
          <w:lang w:val="es-AR"/>
        </w:rPr>
        <w:t xml:space="preserve"> </w:t>
      </w:r>
      <w:r w:rsidRPr="00624696">
        <w:rPr>
          <w:sz w:val="16"/>
          <w:lang w:val="es-AR"/>
        </w:rPr>
        <w:t>Coordinación</w:t>
      </w:r>
      <w:r w:rsidRPr="00624696">
        <w:rPr>
          <w:spacing w:val="40"/>
          <w:sz w:val="16"/>
          <w:lang w:val="es-AR"/>
        </w:rPr>
        <w:t xml:space="preserve"> </w:t>
      </w:r>
      <w:r w:rsidRPr="00624696">
        <w:rPr>
          <w:sz w:val="16"/>
          <w:lang w:val="es-AR"/>
        </w:rPr>
        <w:t>de</w:t>
      </w:r>
    </w:p>
    <w:p w14:paraId="3A30C605"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7C298EB2" w14:textId="77777777" w:rsidR="00467FCA" w:rsidRPr="00624696" w:rsidRDefault="001B68EB">
      <w:pPr>
        <w:pStyle w:val="Textoindependiente"/>
        <w:spacing w:before="80"/>
        <w:ind w:left="120" w:right="36"/>
        <w:rPr>
          <w:lang w:val="es-AR"/>
        </w:rPr>
      </w:pPr>
      <w:r w:rsidRPr="00624696">
        <w:rPr>
          <w:lang w:val="es-AR"/>
        </w:rPr>
        <w:t>curso de la misma, integrantes de este Tribunal solicitaron información y explicaciones a las partes y a la Comisión.</w:t>
      </w:r>
    </w:p>
    <w:p w14:paraId="61543D8B" w14:textId="77777777" w:rsidR="00467FCA" w:rsidRPr="00624696" w:rsidRDefault="00467FCA">
      <w:pPr>
        <w:pStyle w:val="Textoindependiente"/>
        <w:spacing w:before="1"/>
        <w:rPr>
          <w:lang w:val="es-AR"/>
        </w:rPr>
      </w:pPr>
    </w:p>
    <w:p w14:paraId="77C9F980" w14:textId="77777777" w:rsidR="00467FCA" w:rsidRPr="00624696" w:rsidRDefault="001B68EB">
      <w:pPr>
        <w:pStyle w:val="Prrafodelista"/>
        <w:numPr>
          <w:ilvl w:val="0"/>
          <w:numId w:val="50"/>
        </w:numPr>
        <w:tabs>
          <w:tab w:val="left" w:pos="687"/>
        </w:tabs>
        <w:ind w:left="119" w:right="117" w:firstLine="0"/>
        <w:jc w:val="both"/>
        <w:rPr>
          <w:sz w:val="20"/>
          <w:lang w:val="es-AR"/>
        </w:rPr>
      </w:pPr>
      <w:r w:rsidRPr="00624696">
        <w:rPr>
          <w:i/>
          <w:sz w:val="20"/>
          <w:lang w:val="es-AR"/>
        </w:rPr>
        <w:t>Amici</w:t>
      </w:r>
      <w:r w:rsidRPr="00624696">
        <w:rPr>
          <w:i/>
          <w:spacing w:val="-13"/>
          <w:sz w:val="20"/>
          <w:lang w:val="es-AR"/>
        </w:rPr>
        <w:t xml:space="preserve"> </w:t>
      </w:r>
      <w:r w:rsidRPr="00624696">
        <w:rPr>
          <w:i/>
          <w:sz w:val="20"/>
          <w:lang w:val="es-AR"/>
        </w:rPr>
        <w:t>curiae.</w:t>
      </w:r>
      <w:r w:rsidRPr="00624696">
        <w:rPr>
          <w:i/>
          <w:spacing w:val="-11"/>
          <w:sz w:val="20"/>
          <w:lang w:val="es-AR"/>
        </w:rPr>
        <w:t xml:space="preserve"> </w:t>
      </w:r>
      <w:r w:rsidRPr="00624696">
        <w:rPr>
          <w:sz w:val="20"/>
          <w:lang w:val="es-AR"/>
        </w:rPr>
        <w:t>–</w:t>
      </w:r>
      <w:r w:rsidRPr="00624696">
        <w:rPr>
          <w:spacing w:val="-12"/>
          <w:sz w:val="20"/>
          <w:lang w:val="es-AR"/>
        </w:rPr>
        <w:t xml:space="preserve"> </w:t>
      </w:r>
      <w:r w:rsidRPr="00624696">
        <w:rPr>
          <w:sz w:val="20"/>
          <w:lang w:val="es-AR"/>
        </w:rPr>
        <w:t>El</w:t>
      </w:r>
      <w:r w:rsidRPr="00624696">
        <w:rPr>
          <w:spacing w:val="-12"/>
          <w:sz w:val="20"/>
          <w:lang w:val="es-AR"/>
        </w:rPr>
        <w:t xml:space="preserve"> </w:t>
      </w:r>
      <w:r w:rsidRPr="00624696">
        <w:rPr>
          <w:sz w:val="20"/>
          <w:lang w:val="es-AR"/>
        </w:rPr>
        <w:t>Tribunal</w:t>
      </w:r>
      <w:r w:rsidRPr="00624696">
        <w:rPr>
          <w:spacing w:val="-12"/>
          <w:sz w:val="20"/>
          <w:lang w:val="es-AR"/>
        </w:rPr>
        <w:t xml:space="preserve"> </w:t>
      </w:r>
      <w:r w:rsidRPr="00624696">
        <w:rPr>
          <w:sz w:val="20"/>
          <w:lang w:val="es-AR"/>
        </w:rPr>
        <w:t>recibió</w:t>
      </w:r>
      <w:r w:rsidRPr="00624696">
        <w:rPr>
          <w:spacing w:val="-12"/>
          <w:sz w:val="20"/>
          <w:lang w:val="es-AR"/>
        </w:rPr>
        <w:t xml:space="preserve"> </w:t>
      </w:r>
      <w:r w:rsidRPr="00624696">
        <w:rPr>
          <w:sz w:val="20"/>
          <w:lang w:val="es-AR"/>
        </w:rPr>
        <w:t>siete</w:t>
      </w:r>
      <w:r w:rsidRPr="00624696">
        <w:rPr>
          <w:spacing w:val="-11"/>
          <w:sz w:val="20"/>
          <w:lang w:val="es-AR"/>
        </w:rPr>
        <w:t xml:space="preserve"> </w:t>
      </w:r>
      <w:r w:rsidRPr="00624696">
        <w:rPr>
          <w:sz w:val="20"/>
          <w:lang w:val="es-AR"/>
        </w:rPr>
        <w:t>escritos</w:t>
      </w:r>
      <w:r w:rsidRPr="00624696">
        <w:rPr>
          <w:spacing w:val="-11"/>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calidad</w:t>
      </w:r>
      <w:r w:rsidRPr="00624696">
        <w:rPr>
          <w:spacing w:val="-13"/>
          <w:sz w:val="20"/>
          <w:lang w:val="es-AR"/>
        </w:rPr>
        <w:t xml:space="preserve"> </w:t>
      </w:r>
      <w:r w:rsidRPr="00624696">
        <w:rPr>
          <w:sz w:val="20"/>
          <w:lang w:val="es-AR"/>
        </w:rPr>
        <w:t>de</w:t>
      </w:r>
      <w:r w:rsidRPr="00624696">
        <w:rPr>
          <w:spacing w:val="-10"/>
          <w:sz w:val="20"/>
          <w:lang w:val="es-AR"/>
        </w:rPr>
        <w:t xml:space="preserve"> </w:t>
      </w:r>
      <w:r w:rsidRPr="00624696">
        <w:rPr>
          <w:i/>
          <w:sz w:val="20"/>
          <w:lang w:val="es-AR"/>
        </w:rPr>
        <w:t>amicus</w:t>
      </w:r>
      <w:r w:rsidRPr="00624696">
        <w:rPr>
          <w:i/>
          <w:spacing w:val="-11"/>
          <w:sz w:val="20"/>
          <w:lang w:val="es-AR"/>
        </w:rPr>
        <w:t xml:space="preserve"> </w:t>
      </w:r>
      <w:r w:rsidRPr="00624696">
        <w:rPr>
          <w:i/>
          <w:sz w:val="20"/>
          <w:lang w:val="es-AR"/>
        </w:rPr>
        <w:t>curiae</w:t>
      </w:r>
      <w:r w:rsidRPr="00624696">
        <w:rPr>
          <w:i/>
          <w:spacing w:val="-14"/>
          <w:sz w:val="20"/>
          <w:lang w:val="es-AR"/>
        </w:rPr>
        <w:t xml:space="preserve"> </w:t>
      </w:r>
      <w:r w:rsidRPr="00624696">
        <w:rPr>
          <w:sz w:val="20"/>
          <w:lang w:val="es-AR"/>
        </w:rPr>
        <w:t>presentados por: 1) la Iniciativa para los Derechos Económicos, Sociales, Culturales y Ambientales (iDESCA) del Laboratorio de Derechos Humanos y Justicia Global (LabDH) y el Instituto Brasileño de Derechos Humanos (IBDH)</w:t>
      </w:r>
      <w:hyperlink w:anchor="_bookmark12" w:history="1">
        <w:r w:rsidRPr="00624696">
          <w:rPr>
            <w:position w:val="7"/>
            <w:sz w:val="13"/>
            <w:lang w:val="es-AR"/>
          </w:rPr>
          <w:t>11</w:t>
        </w:r>
      </w:hyperlink>
      <w:r w:rsidRPr="00624696">
        <w:rPr>
          <w:sz w:val="20"/>
          <w:lang w:val="es-AR"/>
        </w:rPr>
        <w:t>; 2) el Ministerio Público del Trabajo de Brasil</w:t>
      </w:r>
      <w:hyperlink w:anchor="_bookmark13" w:history="1">
        <w:r w:rsidRPr="00624696">
          <w:rPr>
            <w:position w:val="7"/>
            <w:sz w:val="13"/>
            <w:lang w:val="es-AR"/>
          </w:rPr>
          <w:t>12</w:t>
        </w:r>
      </w:hyperlink>
      <w:r w:rsidRPr="00624696">
        <w:rPr>
          <w:sz w:val="20"/>
          <w:lang w:val="es-AR"/>
        </w:rPr>
        <w:t xml:space="preserve">; </w:t>
      </w:r>
      <w:r w:rsidRPr="00624696">
        <w:rPr>
          <w:spacing w:val="3"/>
          <w:sz w:val="20"/>
          <w:lang w:val="es-AR"/>
        </w:rPr>
        <w:t xml:space="preserve">3) </w:t>
      </w:r>
      <w:r w:rsidRPr="00624696">
        <w:rPr>
          <w:sz w:val="20"/>
          <w:lang w:val="es-AR"/>
        </w:rPr>
        <w:t>la Clínica de Defensa de Políticas Públicas en América Latina de la Universidad de Nueva York</w:t>
      </w:r>
      <w:hyperlink w:anchor="_bookmark14" w:history="1">
        <w:r w:rsidRPr="00624696">
          <w:rPr>
            <w:position w:val="7"/>
            <w:sz w:val="13"/>
            <w:lang w:val="es-AR"/>
          </w:rPr>
          <w:t>13</w:t>
        </w:r>
      </w:hyperlink>
      <w:r w:rsidRPr="00624696">
        <w:rPr>
          <w:sz w:val="20"/>
          <w:lang w:val="es-AR"/>
        </w:rPr>
        <w:t xml:space="preserve">; 4) la Clínica de Derechos Humanos de </w:t>
      </w:r>
      <w:r w:rsidRPr="00624696">
        <w:rPr>
          <w:sz w:val="20"/>
          <w:lang w:val="es-AR"/>
        </w:rPr>
        <w:t>la Universidad Federal de Bahia</w:t>
      </w:r>
      <w:hyperlink w:anchor="_bookmark15" w:history="1">
        <w:r w:rsidRPr="00624696">
          <w:rPr>
            <w:position w:val="7"/>
            <w:sz w:val="13"/>
            <w:lang w:val="es-AR"/>
          </w:rPr>
          <w:t>14</w:t>
        </w:r>
      </w:hyperlink>
      <w:r w:rsidRPr="00624696">
        <w:rPr>
          <w:sz w:val="20"/>
          <w:lang w:val="es-AR"/>
        </w:rPr>
        <w:t>; 5) la</w:t>
      </w:r>
      <w:r w:rsidRPr="00624696">
        <w:rPr>
          <w:spacing w:val="-46"/>
          <w:sz w:val="20"/>
          <w:lang w:val="es-AR"/>
        </w:rPr>
        <w:t xml:space="preserve"> </w:t>
      </w:r>
      <w:r w:rsidRPr="00624696">
        <w:rPr>
          <w:sz w:val="20"/>
          <w:lang w:val="es-AR"/>
        </w:rPr>
        <w:t xml:space="preserve">Clínica de Derechos Humanos de la Escuela de Derecho del Instituto </w:t>
      </w:r>
      <w:r w:rsidRPr="00624696">
        <w:rPr>
          <w:i/>
          <w:sz w:val="20"/>
          <w:lang w:val="es-AR"/>
        </w:rPr>
        <w:t xml:space="preserve">Brasiliense </w:t>
      </w:r>
      <w:r w:rsidRPr="00624696">
        <w:rPr>
          <w:sz w:val="20"/>
          <w:lang w:val="es-AR"/>
        </w:rPr>
        <w:t>de Derecho Público (CDH-IDP)</w:t>
      </w:r>
      <w:hyperlink w:anchor="_bookmark16" w:history="1">
        <w:r w:rsidRPr="00624696">
          <w:rPr>
            <w:position w:val="7"/>
            <w:sz w:val="13"/>
            <w:lang w:val="es-AR"/>
          </w:rPr>
          <w:t>15</w:t>
        </w:r>
      </w:hyperlink>
      <w:r w:rsidRPr="00624696">
        <w:rPr>
          <w:sz w:val="20"/>
          <w:lang w:val="es-AR"/>
        </w:rPr>
        <w:t>; 6) la Clínica de Derechos Humanos y Derech</w:t>
      </w:r>
      <w:r w:rsidRPr="00624696">
        <w:rPr>
          <w:sz w:val="20"/>
          <w:lang w:val="es-AR"/>
        </w:rPr>
        <w:t>o Ambiental de la Universidad del Estado de Amazonas</w:t>
      </w:r>
      <w:hyperlink w:anchor="_bookmark17" w:history="1">
        <w:r w:rsidRPr="00624696">
          <w:rPr>
            <w:position w:val="7"/>
            <w:sz w:val="13"/>
            <w:lang w:val="es-AR"/>
          </w:rPr>
          <w:t>16</w:t>
        </w:r>
      </w:hyperlink>
      <w:r w:rsidRPr="00624696">
        <w:rPr>
          <w:sz w:val="20"/>
          <w:lang w:val="es-AR"/>
        </w:rPr>
        <w:t>, y 7) estudiantes de la Maestría en Derecho Internacional de la Universidad de La</w:t>
      </w:r>
      <w:r w:rsidRPr="00624696">
        <w:rPr>
          <w:spacing w:val="-3"/>
          <w:sz w:val="20"/>
          <w:lang w:val="es-AR"/>
        </w:rPr>
        <w:t xml:space="preserve"> </w:t>
      </w:r>
      <w:r w:rsidRPr="00624696">
        <w:rPr>
          <w:sz w:val="20"/>
          <w:lang w:val="es-AR"/>
        </w:rPr>
        <w:t>Sabana</w:t>
      </w:r>
      <w:hyperlink w:anchor="_bookmark18" w:history="1">
        <w:r w:rsidRPr="00624696">
          <w:rPr>
            <w:position w:val="7"/>
            <w:sz w:val="13"/>
            <w:lang w:val="es-AR"/>
          </w:rPr>
          <w:t>17</w:t>
        </w:r>
      </w:hyperlink>
      <w:r w:rsidRPr="00624696">
        <w:rPr>
          <w:sz w:val="20"/>
          <w:lang w:val="es-AR"/>
        </w:rPr>
        <w:t>.</w:t>
      </w:r>
    </w:p>
    <w:p w14:paraId="1A7594F2" w14:textId="77777777" w:rsidR="00467FCA" w:rsidRPr="00624696" w:rsidRDefault="00467FCA">
      <w:pPr>
        <w:pStyle w:val="Textoindependiente"/>
        <w:spacing w:before="12"/>
        <w:rPr>
          <w:sz w:val="19"/>
          <w:lang w:val="es-AR"/>
        </w:rPr>
      </w:pPr>
    </w:p>
    <w:p w14:paraId="2BDFBBB1" w14:textId="77777777" w:rsidR="00467FCA" w:rsidRPr="00624696" w:rsidRDefault="001B68EB">
      <w:pPr>
        <w:pStyle w:val="Prrafodelista"/>
        <w:numPr>
          <w:ilvl w:val="0"/>
          <w:numId w:val="50"/>
        </w:numPr>
        <w:tabs>
          <w:tab w:val="left" w:pos="687"/>
        </w:tabs>
        <w:ind w:right="119" w:hanging="1"/>
        <w:jc w:val="both"/>
        <w:rPr>
          <w:sz w:val="20"/>
          <w:lang w:val="es-AR"/>
        </w:rPr>
      </w:pPr>
      <w:r w:rsidRPr="00624696">
        <w:rPr>
          <w:i/>
          <w:sz w:val="20"/>
          <w:lang w:val="es-AR"/>
        </w:rPr>
        <w:t xml:space="preserve">Alegatos y observaciones finales escritos. </w:t>
      </w:r>
      <w:r w:rsidRPr="00624696">
        <w:rPr>
          <w:sz w:val="20"/>
          <w:lang w:val="es-AR"/>
        </w:rPr>
        <w:t>– E</w:t>
      </w:r>
      <w:r w:rsidRPr="00624696">
        <w:rPr>
          <w:sz w:val="20"/>
          <w:lang w:val="es-AR"/>
        </w:rPr>
        <w:t>l 2 de marzo de 2020, los representantes y el Estado remitieron sus alegatos finales escritos y documentos anexos, y la Comisión presentó sus observaciones finales</w:t>
      </w:r>
      <w:r w:rsidRPr="00624696">
        <w:rPr>
          <w:spacing w:val="-2"/>
          <w:sz w:val="20"/>
          <w:lang w:val="es-AR"/>
        </w:rPr>
        <w:t xml:space="preserve"> </w:t>
      </w:r>
      <w:r w:rsidRPr="00624696">
        <w:rPr>
          <w:sz w:val="20"/>
          <w:lang w:val="es-AR"/>
        </w:rPr>
        <w:t>escritas.</w:t>
      </w:r>
    </w:p>
    <w:p w14:paraId="41303C7C" w14:textId="77777777" w:rsidR="00467FCA" w:rsidRPr="00624696" w:rsidRDefault="00467FCA">
      <w:pPr>
        <w:pStyle w:val="Textoindependiente"/>
        <w:spacing w:before="11"/>
        <w:rPr>
          <w:sz w:val="19"/>
          <w:lang w:val="es-AR"/>
        </w:rPr>
      </w:pPr>
    </w:p>
    <w:p w14:paraId="728D29F3" w14:textId="77777777" w:rsidR="00467FCA" w:rsidRPr="00624696" w:rsidRDefault="001B68EB">
      <w:pPr>
        <w:pStyle w:val="Prrafodelista"/>
        <w:numPr>
          <w:ilvl w:val="0"/>
          <w:numId w:val="50"/>
        </w:numPr>
        <w:tabs>
          <w:tab w:val="left" w:pos="688"/>
        </w:tabs>
        <w:spacing w:before="1"/>
        <w:ind w:right="118" w:firstLine="0"/>
        <w:jc w:val="both"/>
        <w:rPr>
          <w:sz w:val="20"/>
          <w:lang w:val="es-AR"/>
        </w:rPr>
      </w:pPr>
      <w:r w:rsidRPr="00624696">
        <w:rPr>
          <w:i/>
          <w:sz w:val="20"/>
          <w:lang w:val="es-AR"/>
        </w:rPr>
        <w:t xml:space="preserve">Objeciones del Estado a los amici curiae. </w:t>
      </w:r>
      <w:r w:rsidRPr="00624696">
        <w:rPr>
          <w:sz w:val="20"/>
          <w:lang w:val="es-AR"/>
        </w:rPr>
        <w:t xml:space="preserve">– El 20 de mayo de 2020, el Estado presentó un escrito por medio del cual objetó cinco de los escritos de </w:t>
      </w:r>
      <w:r w:rsidRPr="00624696">
        <w:rPr>
          <w:i/>
          <w:sz w:val="20"/>
          <w:lang w:val="es-AR"/>
        </w:rPr>
        <w:t xml:space="preserve">amicus curiae </w:t>
      </w:r>
      <w:r w:rsidRPr="00624696">
        <w:rPr>
          <w:sz w:val="20"/>
          <w:lang w:val="es-AR"/>
        </w:rPr>
        <w:t>presentados y solicitó que se declarara su inadmisibilidad. Al respecto, la Corte advierte que</w:t>
      </w:r>
      <w:r w:rsidRPr="00624696">
        <w:rPr>
          <w:sz w:val="20"/>
          <w:lang w:val="es-AR"/>
        </w:rPr>
        <w:t xml:space="preserve"> las observaciones del Estado sobre la admisibilidad de los </w:t>
      </w:r>
      <w:r w:rsidRPr="00624696">
        <w:rPr>
          <w:i/>
          <w:sz w:val="20"/>
          <w:lang w:val="es-AR"/>
        </w:rPr>
        <w:t xml:space="preserve">amici curiae </w:t>
      </w:r>
      <w:r w:rsidRPr="00624696">
        <w:rPr>
          <w:sz w:val="20"/>
          <w:lang w:val="es-AR"/>
        </w:rPr>
        <w:t>no fueron presentadas dentro del plazo establecido para tal efecto, es decir, en los alegatos finales escritos, de manera que se consideran</w:t>
      </w:r>
      <w:r w:rsidRPr="00624696">
        <w:rPr>
          <w:spacing w:val="-4"/>
          <w:sz w:val="20"/>
          <w:lang w:val="es-AR"/>
        </w:rPr>
        <w:t xml:space="preserve"> </w:t>
      </w:r>
      <w:r w:rsidRPr="00624696">
        <w:rPr>
          <w:sz w:val="20"/>
          <w:lang w:val="es-AR"/>
        </w:rPr>
        <w:t>extemporáneas</w:t>
      </w:r>
      <w:hyperlink w:anchor="_bookmark19" w:history="1">
        <w:r w:rsidRPr="00624696">
          <w:rPr>
            <w:position w:val="7"/>
            <w:sz w:val="13"/>
            <w:lang w:val="es-AR"/>
          </w:rPr>
          <w:t>18</w:t>
        </w:r>
      </w:hyperlink>
      <w:r w:rsidRPr="00624696">
        <w:rPr>
          <w:sz w:val="20"/>
          <w:lang w:val="es-AR"/>
        </w:rPr>
        <w:t>.</w:t>
      </w:r>
    </w:p>
    <w:p w14:paraId="2C8F455E" w14:textId="77777777" w:rsidR="00467FCA" w:rsidRPr="00624696" w:rsidRDefault="001B68EB">
      <w:pPr>
        <w:pStyle w:val="Textoindependiente"/>
        <w:spacing w:before="7"/>
        <w:rPr>
          <w:sz w:val="13"/>
          <w:lang w:val="es-AR"/>
        </w:rPr>
      </w:pPr>
      <w:r>
        <w:pict w14:anchorId="49062549">
          <v:shape id="_x0000_s1193" style="position:absolute;margin-left:1in;margin-top:10.5pt;width:2in;height:.1pt;z-index:-251655168;mso-wrap-distance-left:0;mso-wrap-distance-right:0;mso-position-horizontal-relative:page" coordorigin="1440,210" coordsize="2880,0" path="m1440,210r2880,e" filled="f" strokeweight=".21131mm">
            <v:path arrowok="t"/>
            <w10:wrap type="topAndBottom" anchorx="page"/>
          </v:shape>
        </w:pict>
      </w:r>
    </w:p>
    <w:p w14:paraId="0F64E4D1" w14:textId="77777777" w:rsidR="00467FCA" w:rsidRPr="00624696" w:rsidRDefault="001B68EB">
      <w:pPr>
        <w:spacing w:before="74"/>
        <w:ind w:left="120" w:right="112"/>
        <w:jc w:val="both"/>
        <w:rPr>
          <w:sz w:val="16"/>
          <w:lang w:val="es-AR"/>
        </w:rPr>
      </w:pPr>
      <w:r w:rsidRPr="00624696">
        <w:rPr>
          <w:sz w:val="16"/>
          <w:lang w:val="es-AR"/>
        </w:rPr>
        <w:t>Contenciosos</w:t>
      </w:r>
      <w:r w:rsidRPr="00624696">
        <w:rPr>
          <w:spacing w:val="-3"/>
          <w:sz w:val="16"/>
          <w:lang w:val="es-AR"/>
        </w:rPr>
        <w:t xml:space="preserve"> </w:t>
      </w:r>
      <w:r w:rsidRPr="00624696">
        <w:rPr>
          <w:sz w:val="16"/>
          <w:lang w:val="es-AR"/>
        </w:rPr>
        <w:t>Internacionales</w:t>
      </w:r>
      <w:r w:rsidRPr="00624696">
        <w:rPr>
          <w:spacing w:val="-3"/>
          <w:sz w:val="16"/>
          <w:lang w:val="es-AR"/>
        </w:rPr>
        <w:t xml:space="preserve"> </w:t>
      </w:r>
      <w:r w:rsidRPr="00624696">
        <w:rPr>
          <w:sz w:val="16"/>
          <w:lang w:val="es-AR"/>
        </w:rPr>
        <w:t>de</w:t>
      </w:r>
      <w:r w:rsidRPr="00624696">
        <w:rPr>
          <w:spacing w:val="-2"/>
          <w:sz w:val="16"/>
          <w:lang w:val="es-AR"/>
        </w:rPr>
        <w:t xml:space="preserve"> </w:t>
      </w:r>
      <w:r w:rsidRPr="00624696">
        <w:rPr>
          <w:sz w:val="16"/>
          <w:lang w:val="es-AR"/>
        </w:rPr>
        <w:t>Derechos</w:t>
      </w:r>
      <w:r w:rsidRPr="00624696">
        <w:rPr>
          <w:spacing w:val="-3"/>
          <w:sz w:val="16"/>
          <w:lang w:val="es-AR"/>
        </w:rPr>
        <w:t xml:space="preserve"> </w:t>
      </w:r>
      <w:r w:rsidRPr="00624696">
        <w:rPr>
          <w:sz w:val="16"/>
          <w:lang w:val="es-AR"/>
        </w:rPr>
        <w:t>Humanos</w:t>
      </w:r>
      <w:r w:rsidRPr="00624696">
        <w:rPr>
          <w:spacing w:val="-5"/>
          <w:sz w:val="16"/>
          <w:lang w:val="es-AR"/>
        </w:rPr>
        <w:t xml:space="preserve"> </w:t>
      </w:r>
      <w:r w:rsidRPr="00624696">
        <w:rPr>
          <w:sz w:val="16"/>
          <w:lang w:val="es-AR"/>
        </w:rPr>
        <w:t>de</w:t>
      </w:r>
      <w:r w:rsidRPr="00624696">
        <w:rPr>
          <w:spacing w:val="-3"/>
          <w:sz w:val="16"/>
          <w:lang w:val="es-AR"/>
        </w:rPr>
        <w:t xml:space="preserve"> </w:t>
      </w:r>
      <w:r w:rsidRPr="00624696">
        <w:rPr>
          <w:sz w:val="16"/>
          <w:lang w:val="es-AR"/>
        </w:rPr>
        <w:t>la</w:t>
      </w:r>
      <w:r w:rsidRPr="00624696">
        <w:rPr>
          <w:spacing w:val="-3"/>
          <w:sz w:val="16"/>
          <w:lang w:val="es-AR"/>
        </w:rPr>
        <w:t xml:space="preserve"> </w:t>
      </w:r>
      <w:r w:rsidRPr="00624696">
        <w:rPr>
          <w:sz w:val="16"/>
          <w:lang w:val="es-AR"/>
        </w:rPr>
        <w:t>Asesoría</w:t>
      </w:r>
      <w:r w:rsidRPr="00624696">
        <w:rPr>
          <w:spacing w:val="-2"/>
          <w:sz w:val="16"/>
          <w:lang w:val="es-AR"/>
        </w:rPr>
        <w:t xml:space="preserve"> </w:t>
      </w:r>
      <w:r w:rsidRPr="00624696">
        <w:rPr>
          <w:sz w:val="16"/>
          <w:lang w:val="es-AR"/>
        </w:rPr>
        <w:t>Especial</w:t>
      </w:r>
      <w:r w:rsidRPr="00624696">
        <w:rPr>
          <w:spacing w:val="-1"/>
          <w:sz w:val="16"/>
          <w:lang w:val="es-AR"/>
        </w:rPr>
        <w:t xml:space="preserve"> </w:t>
      </w:r>
      <w:r w:rsidRPr="00624696">
        <w:rPr>
          <w:sz w:val="16"/>
          <w:lang w:val="es-AR"/>
        </w:rPr>
        <w:t>de</w:t>
      </w:r>
      <w:r w:rsidRPr="00624696">
        <w:rPr>
          <w:spacing w:val="-6"/>
          <w:sz w:val="16"/>
          <w:lang w:val="es-AR"/>
        </w:rPr>
        <w:t xml:space="preserve"> </w:t>
      </w:r>
      <w:r w:rsidRPr="00624696">
        <w:rPr>
          <w:sz w:val="16"/>
          <w:lang w:val="es-AR"/>
        </w:rPr>
        <w:t>Asuntos</w:t>
      </w:r>
      <w:r w:rsidRPr="00624696">
        <w:rPr>
          <w:spacing w:val="-2"/>
          <w:sz w:val="16"/>
          <w:lang w:val="es-AR"/>
        </w:rPr>
        <w:t xml:space="preserve"> </w:t>
      </w:r>
      <w:r w:rsidRPr="00624696">
        <w:rPr>
          <w:sz w:val="16"/>
          <w:lang w:val="es-AR"/>
        </w:rPr>
        <w:t>Internacionales</w:t>
      </w:r>
      <w:r w:rsidRPr="00624696">
        <w:rPr>
          <w:spacing w:val="-3"/>
          <w:sz w:val="16"/>
          <w:lang w:val="es-AR"/>
        </w:rPr>
        <w:t xml:space="preserve"> </w:t>
      </w:r>
      <w:r w:rsidRPr="00624696">
        <w:rPr>
          <w:sz w:val="16"/>
          <w:lang w:val="es-AR"/>
        </w:rPr>
        <w:t>del</w:t>
      </w:r>
      <w:r w:rsidRPr="00624696">
        <w:rPr>
          <w:spacing w:val="-6"/>
          <w:sz w:val="16"/>
          <w:lang w:val="es-AR"/>
        </w:rPr>
        <w:t xml:space="preserve"> </w:t>
      </w:r>
      <w:r w:rsidRPr="00624696">
        <w:rPr>
          <w:sz w:val="16"/>
          <w:lang w:val="es-AR"/>
        </w:rPr>
        <w:t>MMFDH; Aline Albuquerque Sant'Anna de Oliveira, representante de la Consultoría Jurídica del MMFDH; Renata Maia Barbosa Namekata, auditora fiscal</w:t>
      </w:r>
      <w:r w:rsidRPr="00624696">
        <w:rPr>
          <w:sz w:val="16"/>
          <w:lang w:val="es-AR"/>
        </w:rPr>
        <w:t xml:space="preserve"> del trabajo del Ministerio de la Economía; Ana Guiselle Rodríguez Guzmán, asistente administrativa de la Embajada de Brasil en San José, y João Henrique Nascimento de Freitas, presidente de la Comisión de Amnistía y Asesor Especial del Vice-presidente de </w:t>
      </w:r>
      <w:r w:rsidRPr="00624696">
        <w:rPr>
          <w:sz w:val="16"/>
          <w:lang w:val="es-AR"/>
        </w:rPr>
        <w:t>la</w:t>
      </w:r>
      <w:r w:rsidRPr="00624696">
        <w:rPr>
          <w:spacing w:val="-11"/>
          <w:sz w:val="16"/>
          <w:lang w:val="es-AR"/>
        </w:rPr>
        <w:t xml:space="preserve"> </w:t>
      </w:r>
      <w:r w:rsidRPr="00624696">
        <w:rPr>
          <w:sz w:val="16"/>
          <w:lang w:val="es-AR"/>
        </w:rPr>
        <w:t>República.</w:t>
      </w:r>
    </w:p>
    <w:p w14:paraId="2CAAEC36" w14:textId="77777777" w:rsidR="00467FCA" w:rsidRPr="00624696" w:rsidRDefault="001B68EB">
      <w:pPr>
        <w:tabs>
          <w:tab w:val="left" w:pos="839"/>
        </w:tabs>
        <w:spacing w:line="194" w:lineRule="exact"/>
        <w:ind w:left="120"/>
        <w:jc w:val="both"/>
        <w:rPr>
          <w:sz w:val="16"/>
          <w:lang w:val="es-AR"/>
        </w:rPr>
      </w:pPr>
      <w:bookmarkStart w:id="15" w:name="_bookmark12"/>
      <w:bookmarkEnd w:id="15"/>
      <w:r w:rsidRPr="00624696">
        <w:rPr>
          <w:position w:val="6"/>
          <w:sz w:val="10"/>
          <w:lang w:val="es-AR"/>
        </w:rPr>
        <w:t>11</w:t>
      </w:r>
      <w:r w:rsidRPr="00624696">
        <w:rPr>
          <w:position w:val="6"/>
          <w:sz w:val="10"/>
          <w:lang w:val="es-AR"/>
        </w:rPr>
        <w:tab/>
      </w:r>
      <w:r w:rsidRPr="00624696">
        <w:rPr>
          <w:sz w:val="16"/>
          <w:lang w:val="es-AR"/>
        </w:rPr>
        <w:t>El</w:t>
      </w:r>
      <w:r w:rsidRPr="00624696">
        <w:rPr>
          <w:spacing w:val="6"/>
          <w:sz w:val="16"/>
          <w:lang w:val="es-AR"/>
        </w:rPr>
        <w:t xml:space="preserve"> </w:t>
      </w:r>
      <w:r w:rsidRPr="00624696">
        <w:rPr>
          <w:sz w:val="16"/>
          <w:lang w:val="es-AR"/>
        </w:rPr>
        <w:t>escrito</w:t>
      </w:r>
      <w:r w:rsidRPr="00624696">
        <w:rPr>
          <w:spacing w:val="5"/>
          <w:sz w:val="16"/>
          <w:lang w:val="es-AR"/>
        </w:rPr>
        <w:t xml:space="preserve"> </w:t>
      </w:r>
      <w:r w:rsidRPr="00624696">
        <w:rPr>
          <w:sz w:val="16"/>
          <w:lang w:val="es-AR"/>
        </w:rPr>
        <w:t>fue</w:t>
      </w:r>
      <w:r w:rsidRPr="00624696">
        <w:rPr>
          <w:spacing w:val="5"/>
          <w:sz w:val="16"/>
          <w:lang w:val="es-AR"/>
        </w:rPr>
        <w:t xml:space="preserve"> </w:t>
      </w:r>
      <w:r w:rsidRPr="00624696">
        <w:rPr>
          <w:sz w:val="16"/>
          <w:lang w:val="es-AR"/>
        </w:rPr>
        <w:t>firmado</w:t>
      </w:r>
      <w:r w:rsidRPr="00624696">
        <w:rPr>
          <w:spacing w:val="5"/>
          <w:sz w:val="16"/>
          <w:lang w:val="es-AR"/>
        </w:rPr>
        <w:t xml:space="preserve"> </w:t>
      </w:r>
      <w:r w:rsidRPr="00624696">
        <w:rPr>
          <w:sz w:val="16"/>
          <w:lang w:val="es-AR"/>
        </w:rPr>
        <w:t>por</w:t>
      </w:r>
      <w:r w:rsidRPr="00624696">
        <w:rPr>
          <w:spacing w:val="6"/>
          <w:sz w:val="16"/>
          <w:lang w:val="es-AR"/>
        </w:rPr>
        <w:t xml:space="preserve"> </w:t>
      </w:r>
      <w:r w:rsidRPr="00624696">
        <w:rPr>
          <w:sz w:val="16"/>
          <w:lang w:val="es-AR"/>
        </w:rPr>
        <w:t>Rodrigo</w:t>
      </w:r>
      <w:r w:rsidRPr="00624696">
        <w:rPr>
          <w:spacing w:val="6"/>
          <w:sz w:val="16"/>
          <w:lang w:val="es-AR"/>
        </w:rPr>
        <w:t xml:space="preserve"> </w:t>
      </w:r>
      <w:r w:rsidRPr="00624696">
        <w:rPr>
          <w:sz w:val="16"/>
          <w:lang w:val="es-AR"/>
        </w:rPr>
        <w:t>Vitorino</w:t>
      </w:r>
      <w:r w:rsidRPr="00624696">
        <w:rPr>
          <w:spacing w:val="8"/>
          <w:sz w:val="16"/>
          <w:lang w:val="es-AR"/>
        </w:rPr>
        <w:t xml:space="preserve"> </w:t>
      </w:r>
      <w:r w:rsidRPr="00624696">
        <w:rPr>
          <w:sz w:val="16"/>
          <w:lang w:val="es-AR"/>
        </w:rPr>
        <w:t>Souza</w:t>
      </w:r>
      <w:r w:rsidRPr="00624696">
        <w:rPr>
          <w:spacing w:val="7"/>
          <w:sz w:val="16"/>
          <w:lang w:val="es-AR"/>
        </w:rPr>
        <w:t xml:space="preserve"> </w:t>
      </w:r>
      <w:r w:rsidRPr="00624696">
        <w:rPr>
          <w:sz w:val="16"/>
          <w:lang w:val="es-AR"/>
        </w:rPr>
        <w:t>Alves,</w:t>
      </w:r>
      <w:r w:rsidRPr="00624696">
        <w:rPr>
          <w:spacing w:val="4"/>
          <w:sz w:val="16"/>
          <w:lang w:val="es-AR"/>
        </w:rPr>
        <w:t xml:space="preserve"> </w:t>
      </w:r>
      <w:r w:rsidRPr="00624696">
        <w:rPr>
          <w:sz w:val="16"/>
          <w:lang w:val="es-AR"/>
        </w:rPr>
        <w:t>César</w:t>
      </w:r>
      <w:r w:rsidRPr="00624696">
        <w:rPr>
          <w:spacing w:val="8"/>
          <w:sz w:val="16"/>
          <w:lang w:val="es-AR"/>
        </w:rPr>
        <w:t xml:space="preserve"> </w:t>
      </w:r>
      <w:r w:rsidRPr="00624696">
        <w:rPr>
          <w:sz w:val="16"/>
          <w:lang w:val="es-AR"/>
        </w:rPr>
        <w:t>Oliveira</w:t>
      </w:r>
      <w:r w:rsidRPr="00624696">
        <w:rPr>
          <w:spacing w:val="4"/>
          <w:sz w:val="16"/>
          <w:lang w:val="es-AR"/>
        </w:rPr>
        <w:t xml:space="preserve"> </w:t>
      </w:r>
      <w:r w:rsidRPr="00624696">
        <w:rPr>
          <w:sz w:val="16"/>
          <w:lang w:val="es-AR"/>
        </w:rPr>
        <w:t>de</w:t>
      </w:r>
      <w:r w:rsidRPr="00624696">
        <w:rPr>
          <w:spacing w:val="7"/>
          <w:sz w:val="16"/>
          <w:lang w:val="es-AR"/>
        </w:rPr>
        <w:t xml:space="preserve"> </w:t>
      </w:r>
      <w:r w:rsidRPr="00624696">
        <w:rPr>
          <w:sz w:val="16"/>
          <w:lang w:val="es-AR"/>
        </w:rPr>
        <w:t>Barros</w:t>
      </w:r>
      <w:r w:rsidRPr="00624696">
        <w:rPr>
          <w:spacing w:val="5"/>
          <w:sz w:val="16"/>
          <w:lang w:val="es-AR"/>
        </w:rPr>
        <w:t xml:space="preserve"> </w:t>
      </w:r>
      <w:r w:rsidRPr="00624696">
        <w:rPr>
          <w:sz w:val="16"/>
          <w:lang w:val="es-AR"/>
        </w:rPr>
        <w:t>Leal,</w:t>
      </w:r>
      <w:r w:rsidRPr="00624696">
        <w:rPr>
          <w:spacing w:val="6"/>
          <w:sz w:val="16"/>
          <w:lang w:val="es-AR"/>
        </w:rPr>
        <w:t xml:space="preserve"> </w:t>
      </w:r>
      <w:r w:rsidRPr="00624696">
        <w:rPr>
          <w:sz w:val="16"/>
          <w:lang w:val="es-AR"/>
        </w:rPr>
        <w:t>Natalia</w:t>
      </w:r>
      <w:r w:rsidRPr="00624696">
        <w:rPr>
          <w:spacing w:val="8"/>
          <w:sz w:val="16"/>
          <w:lang w:val="es-AR"/>
        </w:rPr>
        <w:t xml:space="preserve"> </w:t>
      </w:r>
      <w:r w:rsidRPr="00624696">
        <w:rPr>
          <w:sz w:val="16"/>
          <w:lang w:val="es-AR"/>
        </w:rPr>
        <w:t>Brigagão</w:t>
      </w:r>
      <w:r w:rsidRPr="00624696">
        <w:rPr>
          <w:spacing w:val="5"/>
          <w:sz w:val="16"/>
          <w:lang w:val="es-AR"/>
        </w:rPr>
        <w:t xml:space="preserve"> </w:t>
      </w:r>
      <w:r w:rsidRPr="00624696">
        <w:rPr>
          <w:sz w:val="16"/>
          <w:lang w:val="es-AR"/>
        </w:rPr>
        <w:t>F.</w:t>
      </w:r>
    </w:p>
    <w:p w14:paraId="343495A1" w14:textId="77777777" w:rsidR="00467FCA" w:rsidRPr="00624696" w:rsidRDefault="001B68EB">
      <w:pPr>
        <w:pStyle w:val="Prrafodelista"/>
        <w:numPr>
          <w:ilvl w:val="0"/>
          <w:numId w:val="49"/>
        </w:numPr>
        <w:tabs>
          <w:tab w:val="left" w:pos="337"/>
        </w:tabs>
        <w:ind w:right="114" w:hanging="1"/>
        <w:jc w:val="both"/>
        <w:rPr>
          <w:sz w:val="16"/>
          <w:lang w:val="es-AR"/>
        </w:rPr>
      </w:pPr>
      <w:r w:rsidRPr="00624696">
        <w:rPr>
          <w:sz w:val="16"/>
          <w:lang w:val="es-AR"/>
        </w:rPr>
        <w:t>Carvalho</w:t>
      </w:r>
      <w:r w:rsidRPr="00624696">
        <w:rPr>
          <w:spacing w:val="-14"/>
          <w:sz w:val="16"/>
          <w:lang w:val="es-AR"/>
        </w:rPr>
        <w:t xml:space="preserve"> </w:t>
      </w:r>
      <w:r w:rsidRPr="00624696">
        <w:rPr>
          <w:sz w:val="16"/>
          <w:lang w:val="es-AR"/>
        </w:rPr>
        <w:t>y</w:t>
      </w:r>
      <w:r w:rsidRPr="00624696">
        <w:rPr>
          <w:spacing w:val="-12"/>
          <w:sz w:val="16"/>
          <w:lang w:val="es-AR"/>
        </w:rPr>
        <w:t xml:space="preserve"> </w:t>
      </w:r>
      <w:r w:rsidRPr="00624696">
        <w:rPr>
          <w:sz w:val="16"/>
          <w:lang w:val="es-AR"/>
        </w:rPr>
        <w:t>José</w:t>
      </w:r>
      <w:r w:rsidRPr="00624696">
        <w:rPr>
          <w:spacing w:val="-14"/>
          <w:sz w:val="16"/>
          <w:lang w:val="es-AR"/>
        </w:rPr>
        <w:t xml:space="preserve"> </w:t>
      </w:r>
      <w:r w:rsidRPr="00624696">
        <w:rPr>
          <w:sz w:val="16"/>
          <w:lang w:val="es-AR"/>
        </w:rPr>
        <w:t>Renato</w:t>
      </w:r>
      <w:r w:rsidRPr="00624696">
        <w:rPr>
          <w:spacing w:val="-11"/>
          <w:sz w:val="16"/>
          <w:lang w:val="es-AR"/>
        </w:rPr>
        <w:t xml:space="preserve"> </w:t>
      </w:r>
      <w:r w:rsidRPr="00624696">
        <w:rPr>
          <w:sz w:val="16"/>
          <w:lang w:val="es-AR"/>
        </w:rPr>
        <w:t>V.</w:t>
      </w:r>
      <w:r w:rsidRPr="00624696">
        <w:rPr>
          <w:spacing w:val="-15"/>
          <w:sz w:val="16"/>
          <w:lang w:val="es-AR"/>
        </w:rPr>
        <w:t xml:space="preserve"> </w:t>
      </w:r>
      <w:r w:rsidRPr="00624696">
        <w:rPr>
          <w:sz w:val="16"/>
          <w:lang w:val="es-AR"/>
        </w:rPr>
        <w:t>Resende.</w:t>
      </w:r>
      <w:r w:rsidRPr="00624696">
        <w:rPr>
          <w:spacing w:val="-13"/>
          <w:sz w:val="16"/>
          <w:lang w:val="es-AR"/>
        </w:rPr>
        <w:t xml:space="preserve"> </w:t>
      </w:r>
      <w:r w:rsidRPr="00624696">
        <w:rPr>
          <w:sz w:val="16"/>
          <w:lang w:val="es-AR"/>
        </w:rPr>
        <w:t>El</w:t>
      </w:r>
      <w:r w:rsidRPr="00624696">
        <w:rPr>
          <w:spacing w:val="-13"/>
          <w:sz w:val="16"/>
          <w:lang w:val="es-AR"/>
        </w:rPr>
        <w:t xml:space="preserve"> </w:t>
      </w:r>
      <w:r w:rsidRPr="00624696">
        <w:rPr>
          <w:sz w:val="16"/>
          <w:lang w:val="es-AR"/>
        </w:rPr>
        <w:t>escrito</w:t>
      </w:r>
      <w:r w:rsidRPr="00624696">
        <w:rPr>
          <w:spacing w:val="-9"/>
          <w:sz w:val="16"/>
          <w:lang w:val="es-AR"/>
        </w:rPr>
        <w:t xml:space="preserve"> </w:t>
      </w:r>
      <w:r w:rsidRPr="00624696">
        <w:rPr>
          <w:sz w:val="16"/>
          <w:lang w:val="es-AR"/>
        </w:rPr>
        <w:t>trata</w:t>
      </w:r>
      <w:r w:rsidRPr="00624696">
        <w:rPr>
          <w:spacing w:val="-10"/>
          <w:sz w:val="16"/>
          <w:lang w:val="es-AR"/>
        </w:rPr>
        <w:t xml:space="preserve"> </w:t>
      </w:r>
      <w:r w:rsidRPr="00624696">
        <w:rPr>
          <w:sz w:val="16"/>
          <w:lang w:val="es-AR"/>
        </w:rPr>
        <w:t>sobre</w:t>
      </w:r>
      <w:r w:rsidRPr="00624696">
        <w:rPr>
          <w:spacing w:val="-14"/>
          <w:sz w:val="16"/>
          <w:lang w:val="es-AR"/>
        </w:rPr>
        <w:t xml:space="preserve"> </w:t>
      </w:r>
      <w:r w:rsidRPr="00624696">
        <w:rPr>
          <w:sz w:val="16"/>
          <w:lang w:val="es-AR"/>
        </w:rPr>
        <w:t>el</w:t>
      </w:r>
      <w:r w:rsidRPr="00624696">
        <w:rPr>
          <w:spacing w:val="-11"/>
          <w:sz w:val="16"/>
          <w:lang w:val="es-AR"/>
        </w:rPr>
        <w:t xml:space="preserve"> </w:t>
      </w:r>
      <w:r w:rsidRPr="00624696">
        <w:rPr>
          <w:sz w:val="16"/>
          <w:lang w:val="es-AR"/>
        </w:rPr>
        <w:t>derecho</w:t>
      </w:r>
      <w:r w:rsidRPr="00624696">
        <w:rPr>
          <w:spacing w:val="-11"/>
          <w:sz w:val="16"/>
          <w:lang w:val="es-AR"/>
        </w:rPr>
        <w:t xml:space="preserve"> </w:t>
      </w:r>
      <w:r w:rsidRPr="00624696">
        <w:rPr>
          <w:sz w:val="16"/>
          <w:lang w:val="es-AR"/>
        </w:rPr>
        <w:t>a</w:t>
      </w:r>
      <w:r w:rsidRPr="00624696">
        <w:rPr>
          <w:spacing w:val="-13"/>
          <w:sz w:val="16"/>
          <w:lang w:val="es-AR"/>
        </w:rPr>
        <w:t xml:space="preserve"> </w:t>
      </w:r>
      <w:r w:rsidRPr="00624696">
        <w:rPr>
          <w:sz w:val="16"/>
          <w:lang w:val="es-AR"/>
        </w:rPr>
        <w:t>igualdad</w:t>
      </w:r>
      <w:r w:rsidRPr="00624696">
        <w:rPr>
          <w:spacing w:val="-12"/>
          <w:sz w:val="16"/>
          <w:lang w:val="es-AR"/>
        </w:rPr>
        <w:t xml:space="preserve"> </w:t>
      </w:r>
      <w:r w:rsidRPr="00624696">
        <w:rPr>
          <w:sz w:val="16"/>
          <w:lang w:val="es-AR"/>
        </w:rPr>
        <w:t>y</w:t>
      </w:r>
      <w:r w:rsidRPr="00624696">
        <w:rPr>
          <w:spacing w:val="-11"/>
          <w:sz w:val="16"/>
          <w:lang w:val="es-AR"/>
        </w:rPr>
        <w:t xml:space="preserve"> </w:t>
      </w:r>
      <w:r w:rsidRPr="00624696">
        <w:rPr>
          <w:sz w:val="16"/>
          <w:lang w:val="es-AR"/>
        </w:rPr>
        <w:t>no</w:t>
      </w:r>
      <w:r w:rsidRPr="00624696">
        <w:rPr>
          <w:spacing w:val="-11"/>
          <w:sz w:val="16"/>
          <w:lang w:val="es-AR"/>
        </w:rPr>
        <w:t xml:space="preserve"> </w:t>
      </w:r>
      <w:r w:rsidRPr="00624696">
        <w:rPr>
          <w:sz w:val="16"/>
          <w:lang w:val="es-AR"/>
        </w:rPr>
        <w:t>discriminación</w:t>
      </w:r>
      <w:r w:rsidRPr="00624696">
        <w:rPr>
          <w:spacing w:val="-11"/>
          <w:sz w:val="16"/>
          <w:lang w:val="es-AR"/>
        </w:rPr>
        <w:t xml:space="preserve"> </w:t>
      </w:r>
      <w:r w:rsidRPr="00624696">
        <w:rPr>
          <w:sz w:val="16"/>
          <w:lang w:val="es-AR"/>
        </w:rPr>
        <w:t>en</w:t>
      </w:r>
      <w:r w:rsidRPr="00624696">
        <w:rPr>
          <w:spacing w:val="-13"/>
          <w:sz w:val="16"/>
          <w:lang w:val="es-AR"/>
        </w:rPr>
        <w:t xml:space="preserve"> </w:t>
      </w:r>
      <w:r w:rsidRPr="00624696">
        <w:rPr>
          <w:sz w:val="16"/>
          <w:lang w:val="es-AR"/>
        </w:rPr>
        <w:t>los</w:t>
      </w:r>
      <w:r w:rsidRPr="00624696">
        <w:rPr>
          <w:spacing w:val="-14"/>
          <w:sz w:val="16"/>
          <w:lang w:val="es-AR"/>
        </w:rPr>
        <w:t xml:space="preserve"> </w:t>
      </w:r>
      <w:r w:rsidRPr="00624696">
        <w:rPr>
          <w:sz w:val="16"/>
          <w:lang w:val="es-AR"/>
        </w:rPr>
        <w:t>derechos económicos y sociales en Santo Antônio de Jesus y la coexistencia y complementariedad de las obligaciones corporativas y estatales de observancia a los derechos humanos económicos y</w:t>
      </w:r>
      <w:r w:rsidRPr="00624696">
        <w:rPr>
          <w:spacing w:val="-10"/>
          <w:sz w:val="16"/>
          <w:lang w:val="es-AR"/>
        </w:rPr>
        <w:t xml:space="preserve"> </w:t>
      </w:r>
      <w:r w:rsidRPr="00624696">
        <w:rPr>
          <w:sz w:val="16"/>
          <w:lang w:val="es-AR"/>
        </w:rPr>
        <w:t>sociales.</w:t>
      </w:r>
    </w:p>
    <w:p w14:paraId="605D1C4D" w14:textId="77777777" w:rsidR="00467FCA" w:rsidRPr="00624696" w:rsidRDefault="001B68EB">
      <w:pPr>
        <w:tabs>
          <w:tab w:val="left" w:pos="839"/>
        </w:tabs>
        <w:ind w:left="119" w:right="115"/>
        <w:jc w:val="both"/>
        <w:rPr>
          <w:sz w:val="16"/>
          <w:lang w:val="es-AR"/>
        </w:rPr>
      </w:pPr>
      <w:bookmarkStart w:id="16" w:name="_bookmark13"/>
      <w:bookmarkEnd w:id="16"/>
      <w:r w:rsidRPr="00624696">
        <w:rPr>
          <w:position w:val="6"/>
          <w:sz w:val="10"/>
          <w:lang w:val="es-AR"/>
        </w:rPr>
        <w:t>12</w:t>
      </w:r>
      <w:r w:rsidRPr="00624696">
        <w:rPr>
          <w:position w:val="6"/>
          <w:sz w:val="10"/>
          <w:lang w:val="es-AR"/>
        </w:rPr>
        <w:tab/>
      </w:r>
      <w:r w:rsidRPr="00624696">
        <w:rPr>
          <w:sz w:val="16"/>
          <w:lang w:val="es-AR"/>
        </w:rPr>
        <w:t>El</w:t>
      </w:r>
      <w:r w:rsidRPr="00624696">
        <w:rPr>
          <w:spacing w:val="-14"/>
          <w:sz w:val="16"/>
          <w:lang w:val="es-AR"/>
        </w:rPr>
        <w:t xml:space="preserve"> </w:t>
      </w:r>
      <w:r w:rsidRPr="00624696">
        <w:rPr>
          <w:sz w:val="16"/>
          <w:lang w:val="es-AR"/>
        </w:rPr>
        <w:t>escrito</w:t>
      </w:r>
      <w:r w:rsidRPr="00624696">
        <w:rPr>
          <w:spacing w:val="-14"/>
          <w:sz w:val="16"/>
          <w:lang w:val="es-AR"/>
        </w:rPr>
        <w:t xml:space="preserve"> </w:t>
      </w:r>
      <w:r w:rsidRPr="00624696">
        <w:rPr>
          <w:sz w:val="16"/>
          <w:lang w:val="es-AR"/>
        </w:rPr>
        <w:t>fue</w:t>
      </w:r>
      <w:r w:rsidRPr="00624696">
        <w:rPr>
          <w:spacing w:val="-18"/>
          <w:sz w:val="16"/>
          <w:lang w:val="es-AR"/>
        </w:rPr>
        <w:t xml:space="preserve"> </w:t>
      </w:r>
      <w:r w:rsidRPr="00624696">
        <w:rPr>
          <w:sz w:val="16"/>
          <w:lang w:val="es-AR"/>
        </w:rPr>
        <w:t>firmado</w:t>
      </w:r>
      <w:r w:rsidRPr="00624696">
        <w:rPr>
          <w:spacing w:val="-16"/>
          <w:sz w:val="16"/>
          <w:lang w:val="es-AR"/>
        </w:rPr>
        <w:t xml:space="preserve"> </w:t>
      </w:r>
      <w:r w:rsidRPr="00624696">
        <w:rPr>
          <w:sz w:val="16"/>
          <w:lang w:val="es-AR"/>
        </w:rPr>
        <w:t>por</w:t>
      </w:r>
      <w:r w:rsidRPr="00624696">
        <w:rPr>
          <w:spacing w:val="-13"/>
          <w:sz w:val="16"/>
          <w:lang w:val="es-AR"/>
        </w:rPr>
        <w:t xml:space="preserve"> </w:t>
      </w:r>
      <w:r w:rsidRPr="00624696">
        <w:rPr>
          <w:sz w:val="16"/>
          <w:lang w:val="es-AR"/>
        </w:rPr>
        <w:t>Alberto</w:t>
      </w:r>
      <w:r w:rsidRPr="00624696">
        <w:rPr>
          <w:spacing w:val="-12"/>
          <w:sz w:val="16"/>
          <w:lang w:val="es-AR"/>
        </w:rPr>
        <w:t xml:space="preserve"> </w:t>
      </w:r>
      <w:r w:rsidRPr="00624696">
        <w:rPr>
          <w:sz w:val="16"/>
          <w:lang w:val="es-AR"/>
        </w:rPr>
        <w:t>Bastos</w:t>
      </w:r>
      <w:r w:rsidRPr="00624696">
        <w:rPr>
          <w:spacing w:val="-14"/>
          <w:sz w:val="16"/>
          <w:lang w:val="es-AR"/>
        </w:rPr>
        <w:t xml:space="preserve"> </w:t>
      </w:r>
      <w:r w:rsidRPr="00624696">
        <w:rPr>
          <w:sz w:val="16"/>
          <w:lang w:val="es-AR"/>
        </w:rPr>
        <w:t>Balazeiro,</w:t>
      </w:r>
      <w:r w:rsidRPr="00624696">
        <w:rPr>
          <w:spacing w:val="-19"/>
          <w:sz w:val="16"/>
          <w:lang w:val="es-AR"/>
        </w:rPr>
        <w:t xml:space="preserve"> </w:t>
      </w:r>
      <w:r w:rsidRPr="00624696">
        <w:rPr>
          <w:sz w:val="16"/>
          <w:lang w:val="es-AR"/>
        </w:rPr>
        <w:t>Fiscal</w:t>
      </w:r>
      <w:r w:rsidRPr="00624696">
        <w:rPr>
          <w:spacing w:val="-15"/>
          <w:sz w:val="16"/>
          <w:lang w:val="es-AR"/>
        </w:rPr>
        <w:t xml:space="preserve"> </w:t>
      </w:r>
      <w:r w:rsidRPr="00624696">
        <w:rPr>
          <w:sz w:val="16"/>
          <w:lang w:val="es-AR"/>
        </w:rPr>
        <w:t>General</w:t>
      </w:r>
      <w:r w:rsidRPr="00624696">
        <w:rPr>
          <w:spacing w:val="-15"/>
          <w:sz w:val="16"/>
          <w:lang w:val="es-AR"/>
        </w:rPr>
        <w:t xml:space="preserve"> </w:t>
      </w:r>
      <w:r w:rsidRPr="00624696">
        <w:rPr>
          <w:sz w:val="16"/>
          <w:lang w:val="es-AR"/>
        </w:rPr>
        <w:t>del</w:t>
      </w:r>
      <w:r w:rsidRPr="00624696">
        <w:rPr>
          <w:spacing w:val="-16"/>
          <w:sz w:val="16"/>
          <w:lang w:val="es-AR"/>
        </w:rPr>
        <w:t xml:space="preserve"> </w:t>
      </w:r>
      <w:r w:rsidRPr="00624696">
        <w:rPr>
          <w:sz w:val="16"/>
          <w:lang w:val="es-AR"/>
        </w:rPr>
        <w:t>Trabajo.</w:t>
      </w:r>
      <w:r w:rsidRPr="00624696">
        <w:rPr>
          <w:spacing w:val="-15"/>
          <w:sz w:val="16"/>
          <w:lang w:val="es-AR"/>
        </w:rPr>
        <w:t xml:space="preserve"> </w:t>
      </w:r>
      <w:r w:rsidRPr="00624696">
        <w:rPr>
          <w:sz w:val="16"/>
          <w:lang w:val="es-AR"/>
        </w:rPr>
        <w:t>El</w:t>
      </w:r>
      <w:r w:rsidRPr="00624696">
        <w:rPr>
          <w:spacing w:val="-16"/>
          <w:sz w:val="16"/>
          <w:lang w:val="es-AR"/>
        </w:rPr>
        <w:t xml:space="preserve"> </w:t>
      </w:r>
      <w:r w:rsidRPr="00624696">
        <w:rPr>
          <w:sz w:val="16"/>
          <w:lang w:val="es-AR"/>
        </w:rPr>
        <w:t>escrito</w:t>
      </w:r>
      <w:r w:rsidRPr="00624696">
        <w:rPr>
          <w:spacing w:val="-15"/>
          <w:sz w:val="16"/>
          <w:lang w:val="es-AR"/>
        </w:rPr>
        <w:t xml:space="preserve"> </w:t>
      </w:r>
      <w:r w:rsidRPr="00624696">
        <w:rPr>
          <w:sz w:val="16"/>
          <w:lang w:val="es-AR"/>
        </w:rPr>
        <w:t>describe</w:t>
      </w:r>
      <w:r w:rsidRPr="00624696">
        <w:rPr>
          <w:spacing w:val="-14"/>
          <w:sz w:val="16"/>
          <w:lang w:val="es-AR"/>
        </w:rPr>
        <w:t xml:space="preserve"> </w:t>
      </w:r>
      <w:r w:rsidRPr="00624696">
        <w:rPr>
          <w:sz w:val="16"/>
          <w:lang w:val="es-AR"/>
        </w:rPr>
        <w:t>las</w:t>
      </w:r>
      <w:r w:rsidRPr="00624696">
        <w:rPr>
          <w:spacing w:val="-14"/>
          <w:sz w:val="16"/>
          <w:lang w:val="es-AR"/>
        </w:rPr>
        <w:t xml:space="preserve"> </w:t>
      </w:r>
      <w:r w:rsidRPr="00624696">
        <w:rPr>
          <w:sz w:val="16"/>
          <w:lang w:val="es-AR"/>
        </w:rPr>
        <w:t>acciones que</w:t>
      </w:r>
      <w:r w:rsidRPr="00624696">
        <w:rPr>
          <w:spacing w:val="-7"/>
          <w:sz w:val="16"/>
          <w:lang w:val="es-AR"/>
        </w:rPr>
        <w:t xml:space="preserve"> </w:t>
      </w:r>
      <w:r w:rsidRPr="00624696">
        <w:rPr>
          <w:sz w:val="16"/>
          <w:lang w:val="es-AR"/>
        </w:rPr>
        <w:t>el</w:t>
      </w:r>
      <w:r w:rsidRPr="00624696">
        <w:rPr>
          <w:spacing w:val="-11"/>
          <w:sz w:val="16"/>
          <w:lang w:val="es-AR"/>
        </w:rPr>
        <w:t xml:space="preserve"> </w:t>
      </w:r>
      <w:r w:rsidRPr="00624696">
        <w:rPr>
          <w:sz w:val="16"/>
          <w:lang w:val="es-AR"/>
        </w:rPr>
        <w:t>Ministerio</w:t>
      </w:r>
      <w:r w:rsidRPr="00624696">
        <w:rPr>
          <w:spacing w:val="-6"/>
          <w:sz w:val="16"/>
          <w:lang w:val="es-AR"/>
        </w:rPr>
        <w:t xml:space="preserve"> </w:t>
      </w:r>
      <w:r w:rsidRPr="00624696">
        <w:rPr>
          <w:sz w:val="16"/>
          <w:lang w:val="es-AR"/>
        </w:rPr>
        <w:t>Público</w:t>
      </w:r>
      <w:r w:rsidRPr="00624696">
        <w:rPr>
          <w:spacing w:val="-9"/>
          <w:sz w:val="16"/>
          <w:lang w:val="es-AR"/>
        </w:rPr>
        <w:t xml:space="preserve"> </w:t>
      </w:r>
      <w:r w:rsidRPr="00624696">
        <w:rPr>
          <w:sz w:val="16"/>
          <w:lang w:val="es-AR"/>
        </w:rPr>
        <w:t>del</w:t>
      </w:r>
      <w:r w:rsidRPr="00624696">
        <w:rPr>
          <w:spacing w:val="-8"/>
          <w:sz w:val="16"/>
          <w:lang w:val="es-AR"/>
        </w:rPr>
        <w:t xml:space="preserve"> </w:t>
      </w:r>
      <w:r w:rsidRPr="00624696">
        <w:rPr>
          <w:sz w:val="16"/>
          <w:lang w:val="es-AR"/>
        </w:rPr>
        <w:t>Trabajo</w:t>
      </w:r>
      <w:r w:rsidRPr="00624696">
        <w:rPr>
          <w:spacing w:val="-8"/>
          <w:sz w:val="16"/>
          <w:lang w:val="es-AR"/>
        </w:rPr>
        <w:t xml:space="preserve"> </w:t>
      </w:r>
      <w:r w:rsidRPr="00624696">
        <w:rPr>
          <w:sz w:val="16"/>
          <w:lang w:val="es-AR"/>
        </w:rPr>
        <w:t>en</w:t>
      </w:r>
      <w:r w:rsidRPr="00624696">
        <w:rPr>
          <w:spacing w:val="-8"/>
          <w:sz w:val="16"/>
          <w:lang w:val="es-AR"/>
        </w:rPr>
        <w:t xml:space="preserve"> </w:t>
      </w:r>
      <w:r w:rsidRPr="00624696">
        <w:rPr>
          <w:sz w:val="16"/>
          <w:lang w:val="es-AR"/>
        </w:rPr>
        <w:t>la</w:t>
      </w:r>
      <w:r w:rsidRPr="00624696">
        <w:rPr>
          <w:spacing w:val="-10"/>
          <w:sz w:val="16"/>
          <w:lang w:val="es-AR"/>
        </w:rPr>
        <w:t xml:space="preserve"> </w:t>
      </w:r>
      <w:r w:rsidRPr="00624696">
        <w:rPr>
          <w:sz w:val="16"/>
          <w:lang w:val="es-AR"/>
        </w:rPr>
        <w:t>región</w:t>
      </w:r>
      <w:r w:rsidRPr="00624696">
        <w:rPr>
          <w:spacing w:val="-10"/>
          <w:sz w:val="16"/>
          <w:lang w:val="es-AR"/>
        </w:rPr>
        <w:t xml:space="preserve"> </w:t>
      </w:r>
      <w:r w:rsidRPr="00624696">
        <w:rPr>
          <w:sz w:val="16"/>
          <w:lang w:val="es-AR"/>
        </w:rPr>
        <w:t>de</w:t>
      </w:r>
      <w:r w:rsidRPr="00624696">
        <w:rPr>
          <w:spacing w:val="-9"/>
          <w:sz w:val="16"/>
          <w:lang w:val="es-AR"/>
        </w:rPr>
        <w:t xml:space="preserve"> </w:t>
      </w:r>
      <w:r w:rsidRPr="00624696">
        <w:rPr>
          <w:sz w:val="16"/>
          <w:lang w:val="es-AR"/>
        </w:rPr>
        <w:t>Santo</w:t>
      </w:r>
      <w:r w:rsidRPr="00624696">
        <w:rPr>
          <w:spacing w:val="-9"/>
          <w:sz w:val="16"/>
          <w:lang w:val="es-AR"/>
        </w:rPr>
        <w:t xml:space="preserve"> </w:t>
      </w:r>
      <w:r w:rsidRPr="00624696">
        <w:rPr>
          <w:sz w:val="16"/>
          <w:lang w:val="es-AR"/>
        </w:rPr>
        <w:t>Antônio</w:t>
      </w:r>
      <w:r w:rsidRPr="00624696">
        <w:rPr>
          <w:spacing w:val="-6"/>
          <w:sz w:val="16"/>
          <w:lang w:val="es-AR"/>
        </w:rPr>
        <w:t xml:space="preserve"> </w:t>
      </w:r>
      <w:r w:rsidRPr="00624696">
        <w:rPr>
          <w:sz w:val="16"/>
          <w:lang w:val="es-AR"/>
        </w:rPr>
        <w:t>de</w:t>
      </w:r>
      <w:r w:rsidRPr="00624696">
        <w:rPr>
          <w:spacing w:val="-7"/>
          <w:sz w:val="16"/>
          <w:lang w:val="es-AR"/>
        </w:rPr>
        <w:t xml:space="preserve"> </w:t>
      </w:r>
      <w:r w:rsidRPr="00624696">
        <w:rPr>
          <w:sz w:val="16"/>
          <w:lang w:val="es-AR"/>
        </w:rPr>
        <w:t>Jesus</w:t>
      </w:r>
      <w:r w:rsidRPr="00624696">
        <w:rPr>
          <w:spacing w:val="-10"/>
          <w:sz w:val="16"/>
          <w:lang w:val="es-AR"/>
        </w:rPr>
        <w:t xml:space="preserve"> </w:t>
      </w:r>
      <w:r w:rsidRPr="00624696">
        <w:rPr>
          <w:sz w:val="16"/>
          <w:lang w:val="es-AR"/>
        </w:rPr>
        <w:t>lleva</w:t>
      </w:r>
      <w:r w:rsidRPr="00624696">
        <w:rPr>
          <w:spacing w:val="-9"/>
          <w:sz w:val="16"/>
          <w:lang w:val="es-AR"/>
        </w:rPr>
        <w:t xml:space="preserve"> </w:t>
      </w:r>
      <w:r w:rsidRPr="00624696">
        <w:rPr>
          <w:sz w:val="16"/>
          <w:lang w:val="es-AR"/>
        </w:rPr>
        <w:t>a</w:t>
      </w:r>
      <w:r w:rsidRPr="00624696">
        <w:rPr>
          <w:spacing w:val="-8"/>
          <w:sz w:val="16"/>
          <w:lang w:val="es-AR"/>
        </w:rPr>
        <w:t xml:space="preserve"> </w:t>
      </w:r>
      <w:r w:rsidRPr="00624696">
        <w:rPr>
          <w:sz w:val="16"/>
          <w:lang w:val="es-AR"/>
        </w:rPr>
        <w:t>cabo</w:t>
      </w:r>
      <w:r w:rsidRPr="00624696">
        <w:rPr>
          <w:spacing w:val="-9"/>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relación</w:t>
      </w:r>
      <w:r w:rsidRPr="00624696">
        <w:rPr>
          <w:spacing w:val="-11"/>
          <w:sz w:val="16"/>
          <w:lang w:val="es-AR"/>
        </w:rPr>
        <w:t xml:space="preserve"> </w:t>
      </w:r>
      <w:r w:rsidRPr="00624696">
        <w:rPr>
          <w:sz w:val="16"/>
          <w:lang w:val="es-AR"/>
        </w:rPr>
        <w:t>con</w:t>
      </w:r>
      <w:r w:rsidRPr="00624696">
        <w:rPr>
          <w:spacing w:val="-8"/>
          <w:sz w:val="16"/>
          <w:lang w:val="es-AR"/>
        </w:rPr>
        <w:t xml:space="preserve"> </w:t>
      </w:r>
      <w:r w:rsidRPr="00624696">
        <w:rPr>
          <w:sz w:val="16"/>
          <w:lang w:val="es-AR"/>
        </w:rPr>
        <w:t>las</w:t>
      </w:r>
      <w:r w:rsidRPr="00624696">
        <w:rPr>
          <w:spacing w:val="-9"/>
          <w:sz w:val="16"/>
          <w:lang w:val="es-AR"/>
        </w:rPr>
        <w:t xml:space="preserve"> </w:t>
      </w:r>
      <w:r w:rsidRPr="00624696">
        <w:rPr>
          <w:sz w:val="16"/>
          <w:lang w:val="es-AR"/>
        </w:rPr>
        <w:t>empresas que trabajan en la fabricación de fuegos</w:t>
      </w:r>
      <w:r w:rsidRPr="00624696">
        <w:rPr>
          <w:spacing w:val="-8"/>
          <w:sz w:val="16"/>
          <w:lang w:val="es-AR"/>
        </w:rPr>
        <w:t xml:space="preserve"> </w:t>
      </w:r>
      <w:r w:rsidRPr="00624696">
        <w:rPr>
          <w:sz w:val="16"/>
          <w:lang w:val="es-AR"/>
        </w:rPr>
        <w:t>artificiales.</w:t>
      </w:r>
    </w:p>
    <w:p w14:paraId="6F139581" w14:textId="77777777" w:rsidR="00467FCA" w:rsidRPr="00624696" w:rsidRDefault="001B68EB">
      <w:pPr>
        <w:tabs>
          <w:tab w:val="left" w:pos="839"/>
        </w:tabs>
        <w:spacing w:line="242" w:lineRule="auto"/>
        <w:ind w:left="119" w:right="113"/>
        <w:jc w:val="both"/>
        <w:rPr>
          <w:sz w:val="16"/>
          <w:lang w:val="es-AR"/>
        </w:rPr>
      </w:pPr>
      <w:bookmarkStart w:id="17" w:name="_bookmark14"/>
      <w:bookmarkEnd w:id="17"/>
      <w:r w:rsidRPr="00624696">
        <w:rPr>
          <w:position w:val="6"/>
          <w:sz w:val="10"/>
          <w:lang w:val="es-AR"/>
        </w:rPr>
        <w:t>13</w:t>
      </w:r>
      <w:r w:rsidRPr="00624696">
        <w:rPr>
          <w:position w:val="6"/>
          <w:sz w:val="10"/>
          <w:lang w:val="es-AR"/>
        </w:rPr>
        <w:tab/>
      </w:r>
      <w:r w:rsidRPr="00624696">
        <w:rPr>
          <w:sz w:val="16"/>
          <w:lang w:val="es-AR"/>
        </w:rPr>
        <w:t>El</w:t>
      </w:r>
      <w:r w:rsidRPr="00624696">
        <w:rPr>
          <w:spacing w:val="-3"/>
          <w:sz w:val="16"/>
          <w:lang w:val="es-AR"/>
        </w:rPr>
        <w:t xml:space="preserve"> </w:t>
      </w:r>
      <w:r w:rsidRPr="00624696">
        <w:rPr>
          <w:sz w:val="16"/>
          <w:lang w:val="es-AR"/>
        </w:rPr>
        <w:t>escrito</w:t>
      </w:r>
      <w:r w:rsidRPr="00624696">
        <w:rPr>
          <w:spacing w:val="-4"/>
          <w:sz w:val="16"/>
          <w:lang w:val="es-AR"/>
        </w:rPr>
        <w:t xml:space="preserve"> </w:t>
      </w:r>
      <w:r w:rsidRPr="00624696">
        <w:rPr>
          <w:sz w:val="16"/>
          <w:lang w:val="es-AR"/>
        </w:rPr>
        <w:t>fue</w:t>
      </w:r>
      <w:r w:rsidRPr="00624696">
        <w:rPr>
          <w:spacing w:val="-5"/>
          <w:sz w:val="16"/>
          <w:lang w:val="es-AR"/>
        </w:rPr>
        <w:t xml:space="preserve"> </w:t>
      </w:r>
      <w:r w:rsidRPr="00624696">
        <w:rPr>
          <w:sz w:val="16"/>
          <w:lang w:val="es-AR"/>
        </w:rPr>
        <w:t>firmado</w:t>
      </w:r>
      <w:r w:rsidRPr="00624696">
        <w:rPr>
          <w:spacing w:val="-4"/>
          <w:sz w:val="16"/>
          <w:lang w:val="es-AR"/>
        </w:rPr>
        <w:t xml:space="preserve"> </w:t>
      </w:r>
      <w:r w:rsidRPr="00624696">
        <w:rPr>
          <w:sz w:val="16"/>
          <w:lang w:val="es-AR"/>
        </w:rPr>
        <w:t>por</w:t>
      </w:r>
      <w:r w:rsidRPr="00624696">
        <w:rPr>
          <w:spacing w:val="-3"/>
          <w:sz w:val="16"/>
          <w:lang w:val="es-AR"/>
        </w:rPr>
        <w:t xml:space="preserve"> </w:t>
      </w:r>
      <w:r w:rsidRPr="00624696">
        <w:rPr>
          <w:sz w:val="16"/>
          <w:lang w:val="es-AR"/>
        </w:rPr>
        <w:t>María</w:t>
      </w:r>
      <w:r w:rsidRPr="00624696">
        <w:rPr>
          <w:spacing w:val="-3"/>
          <w:sz w:val="16"/>
          <w:lang w:val="es-AR"/>
        </w:rPr>
        <w:t xml:space="preserve"> </w:t>
      </w:r>
      <w:r w:rsidRPr="00624696">
        <w:rPr>
          <w:sz w:val="16"/>
          <w:lang w:val="es-AR"/>
        </w:rPr>
        <w:t>Florencia</w:t>
      </w:r>
      <w:r w:rsidRPr="00624696">
        <w:rPr>
          <w:spacing w:val="-3"/>
          <w:sz w:val="16"/>
          <w:lang w:val="es-AR"/>
        </w:rPr>
        <w:t xml:space="preserve"> </w:t>
      </w:r>
      <w:r w:rsidRPr="00624696">
        <w:rPr>
          <w:sz w:val="16"/>
          <w:lang w:val="es-AR"/>
        </w:rPr>
        <w:t>Saulino.</w:t>
      </w:r>
      <w:r w:rsidRPr="00624696">
        <w:rPr>
          <w:spacing w:val="-4"/>
          <w:sz w:val="16"/>
          <w:lang w:val="es-AR"/>
        </w:rPr>
        <w:t xml:space="preserve"> </w:t>
      </w:r>
      <w:r w:rsidRPr="00624696">
        <w:rPr>
          <w:sz w:val="16"/>
          <w:lang w:val="es-AR"/>
        </w:rPr>
        <w:t>El</w:t>
      </w:r>
      <w:r w:rsidRPr="00624696">
        <w:rPr>
          <w:spacing w:val="-2"/>
          <w:sz w:val="16"/>
          <w:lang w:val="es-AR"/>
        </w:rPr>
        <w:t xml:space="preserve"> </w:t>
      </w:r>
      <w:r w:rsidRPr="00624696">
        <w:rPr>
          <w:sz w:val="16"/>
          <w:lang w:val="es-AR"/>
        </w:rPr>
        <w:t>escrito</w:t>
      </w:r>
      <w:r w:rsidRPr="00624696">
        <w:rPr>
          <w:spacing w:val="-4"/>
          <w:sz w:val="16"/>
          <w:lang w:val="es-AR"/>
        </w:rPr>
        <w:t xml:space="preserve"> </w:t>
      </w:r>
      <w:r w:rsidRPr="00624696">
        <w:rPr>
          <w:sz w:val="16"/>
          <w:lang w:val="es-AR"/>
        </w:rPr>
        <w:t>trata</w:t>
      </w:r>
      <w:r w:rsidRPr="00624696">
        <w:rPr>
          <w:spacing w:val="-3"/>
          <w:sz w:val="16"/>
          <w:lang w:val="es-AR"/>
        </w:rPr>
        <w:t xml:space="preserve"> </w:t>
      </w:r>
      <w:r w:rsidRPr="00624696">
        <w:rPr>
          <w:sz w:val="16"/>
          <w:lang w:val="es-AR"/>
        </w:rPr>
        <w:t>sobre</w:t>
      </w:r>
      <w:r w:rsidRPr="00624696">
        <w:rPr>
          <w:spacing w:val="-2"/>
          <w:sz w:val="16"/>
          <w:lang w:val="es-AR"/>
        </w:rPr>
        <w:t xml:space="preserve"> </w:t>
      </w:r>
      <w:r w:rsidRPr="00624696">
        <w:rPr>
          <w:sz w:val="16"/>
          <w:lang w:val="es-AR"/>
        </w:rPr>
        <w:t>la</w:t>
      </w:r>
      <w:r w:rsidRPr="00624696">
        <w:rPr>
          <w:spacing w:val="-5"/>
          <w:sz w:val="16"/>
          <w:lang w:val="es-AR"/>
        </w:rPr>
        <w:t xml:space="preserve"> </w:t>
      </w:r>
      <w:r w:rsidRPr="00624696">
        <w:rPr>
          <w:sz w:val="16"/>
          <w:lang w:val="es-AR"/>
        </w:rPr>
        <w:t>responsabilidad</w:t>
      </w:r>
      <w:r w:rsidRPr="00624696">
        <w:rPr>
          <w:spacing w:val="-4"/>
          <w:sz w:val="16"/>
          <w:lang w:val="es-AR"/>
        </w:rPr>
        <w:t xml:space="preserve"> </w:t>
      </w:r>
      <w:r w:rsidRPr="00624696">
        <w:rPr>
          <w:sz w:val="16"/>
          <w:lang w:val="es-AR"/>
        </w:rPr>
        <w:t>del</w:t>
      </w:r>
      <w:r w:rsidRPr="00624696">
        <w:rPr>
          <w:spacing w:val="-3"/>
          <w:sz w:val="16"/>
          <w:lang w:val="es-AR"/>
        </w:rPr>
        <w:t xml:space="preserve"> </w:t>
      </w:r>
      <w:r w:rsidRPr="00624696">
        <w:rPr>
          <w:sz w:val="16"/>
          <w:lang w:val="es-AR"/>
        </w:rPr>
        <w:t>Estado</w:t>
      </w:r>
      <w:r w:rsidRPr="00624696">
        <w:rPr>
          <w:spacing w:val="-4"/>
          <w:sz w:val="16"/>
          <w:lang w:val="es-AR"/>
        </w:rPr>
        <w:t xml:space="preserve"> </w:t>
      </w:r>
      <w:r w:rsidRPr="00624696">
        <w:rPr>
          <w:sz w:val="16"/>
          <w:lang w:val="es-AR"/>
        </w:rPr>
        <w:t>por</w:t>
      </w:r>
      <w:r w:rsidRPr="00624696">
        <w:rPr>
          <w:spacing w:val="-1"/>
          <w:sz w:val="16"/>
          <w:lang w:val="es-AR"/>
        </w:rPr>
        <w:t xml:space="preserve"> </w:t>
      </w:r>
      <w:r w:rsidRPr="00624696">
        <w:rPr>
          <w:sz w:val="16"/>
          <w:lang w:val="es-AR"/>
        </w:rPr>
        <w:t>la falta de mecanismos de prevención de violaciones a Derechos Humanos cometidas por</w:t>
      </w:r>
      <w:r w:rsidRPr="00624696">
        <w:rPr>
          <w:spacing w:val="-15"/>
          <w:sz w:val="16"/>
          <w:lang w:val="es-AR"/>
        </w:rPr>
        <w:t xml:space="preserve"> </w:t>
      </w:r>
      <w:r w:rsidRPr="00624696">
        <w:rPr>
          <w:sz w:val="16"/>
          <w:lang w:val="es-AR"/>
        </w:rPr>
        <w:t>terceros.</w:t>
      </w:r>
    </w:p>
    <w:p w14:paraId="5D5B6667" w14:textId="77777777" w:rsidR="00467FCA" w:rsidRPr="00624696" w:rsidRDefault="001B68EB">
      <w:pPr>
        <w:tabs>
          <w:tab w:val="left" w:pos="839"/>
        </w:tabs>
        <w:ind w:left="119" w:right="112"/>
        <w:jc w:val="both"/>
        <w:rPr>
          <w:sz w:val="16"/>
          <w:lang w:val="es-AR"/>
        </w:rPr>
      </w:pPr>
      <w:bookmarkStart w:id="18" w:name="_bookmark15"/>
      <w:bookmarkEnd w:id="18"/>
      <w:r w:rsidRPr="00624696">
        <w:rPr>
          <w:position w:val="6"/>
          <w:sz w:val="10"/>
          <w:lang w:val="es-AR"/>
        </w:rPr>
        <w:t>14</w:t>
      </w:r>
      <w:r w:rsidRPr="00624696">
        <w:rPr>
          <w:position w:val="6"/>
          <w:sz w:val="10"/>
          <w:lang w:val="es-AR"/>
        </w:rPr>
        <w:tab/>
      </w:r>
      <w:r w:rsidRPr="00624696">
        <w:rPr>
          <w:sz w:val="16"/>
          <w:lang w:val="es-AR"/>
        </w:rPr>
        <w:t>El escrito fue firmado por Bruna</w:t>
      </w:r>
      <w:r w:rsidRPr="00624696">
        <w:rPr>
          <w:sz w:val="16"/>
          <w:lang w:val="es-AR"/>
        </w:rPr>
        <w:t xml:space="preserve"> Rafaela de Santana Santos, Bruno Simões Biscaia, Marina Muniz Pinto de Carvalho Matos, Bruna Matos da Silva, Carolina Muniz de Oliveira, Christian Lopes Oliveira Alves, Gabriel Santiago dos</w:t>
      </w:r>
      <w:r w:rsidRPr="00624696">
        <w:rPr>
          <w:spacing w:val="-12"/>
          <w:sz w:val="16"/>
          <w:lang w:val="es-AR"/>
        </w:rPr>
        <w:t xml:space="preserve"> </w:t>
      </w:r>
      <w:r w:rsidRPr="00624696">
        <w:rPr>
          <w:sz w:val="16"/>
          <w:lang w:val="es-AR"/>
        </w:rPr>
        <w:t>Santos</w:t>
      </w:r>
      <w:r w:rsidRPr="00624696">
        <w:rPr>
          <w:spacing w:val="-12"/>
          <w:sz w:val="16"/>
          <w:lang w:val="es-AR"/>
        </w:rPr>
        <w:t xml:space="preserve"> </w:t>
      </w:r>
      <w:r w:rsidRPr="00624696">
        <w:rPr>
          <w:sz w:val="16"/>
          <w:lang w:val="es-AR"/>
        </w:rPr>
        <w:t>Goncalves,</w:t>
      </w:r>
      <w:r w:rsidRPr="00624696">
        <w:rPr>
          <w:spacing w:val="-13"/>
          <w:sz w:val="16"/>
          <w:lang w:val="es-AR"/>
        </w:rPr>
        <w:t xml:space="preserve"> </w:t>
      </w:r>
      <w:r w:rsidRPr="00624696">
        <w:rPr>
          <w:sz w:val="16"/>
          <w:lang w:val="es-AR"/>
        </w:rPr>
        <w:t>Matheus</w:t>
      </w:r>
      <w:r w:rsidRPr="00624696">
        <w:rPr>
          <w:spacing w:val="-9"/>
          <w:sz w:val="16"/>
          <w:lang w:val="es-AR"/>
        </w:rPr>
        <w:t xml:space="preserve"> </w:t>
      </w:r>
      <w:r w:rsidRPr="00624696">
        <w:rPr>
          <w:sz w:val="16"/>
          <w:lang w:val="es-AR"/>
        </w:rPr>
        <w:t>Ferreira</w:t>
      </w:r>
      <w:r w:rsidRPr="00624696">
        <w:rPr>
          <w:spacing w:val="-10"/>
          <w:sz w:val="16"/>
          <w:lang w:val="es-AR"/>
        </w:rPr>
        <w:t xml:space="preserve"> </w:t>
      </w:r>
      <w:r w:rsidRPr="00624696">
        <w:rPr>
          <w:sz w:val="16"/>
          <w:lang w:val="es-AR"/>
        </w:rPr>
        <w:t>Goés</w:t>
      </w:r>
      <w:r w:rsidRPr="00624696">
        <w:rPr>
          <w:spacing w:val="-12"/>
          <w:sz w:val="16"/>
          <w:lang w:val="es-AR"/>
        </w:rPr>
        <w:t xml:space="preserve"> </w:t>
      </w:r>
      <w:r w:rsidRPr="00624696">
        <w:rPr>
          <w:sz w:val="16"/>
          <w:lang w:val="es-AR"/>
        </w:rPr>
        <w:t>Fontes.</w:t>
      </w:r>
      <w:r w:rsidRPr="00624696">
        <w:rPr>
          <w:spacing w:val="-11"/>
          <w:sz w:val="16"/>
          <w:lang w:val="es-AR"/>
        </w:rPr>
        <w:t xml:space="preserve"> </w:t>
      </w:r>
      <w:r w:rsidRPr="00624696">
        <w:rPr>
          <w:sz w:val="16"/>
          <w:lang w:val="es-AR"/>
        </w:rPr>
        <w:t>El</w:t>
      </w:r>
      <w:r w:rsidRPr="00624696">
        <w:rPr>
          <w:spacing w:val="-11"/>
          <w:sz w:val="16"/>
          <w:lang w:val="es-AR"/>
        </w:rPr>
        <w:t xml:space="preserve"> </w:t>
      </w:r>
      <w:r w:rsidRPr="00624696">
        <w:rPr>
          <w:sz w:val="16"/>
          <w:lang w:val="es-AR"/>
        </w:rPr>
        <w:t>escrito</w:t>
      </w:r>
      <w:r w:rsidRPr="00624696">
        <w:rPr>
          <w:spacing w:val="-8"/>
          <w:sz w:val="16"/>
          <w:lang w:val="es-AR"/>
        </w:rPr>
        <w:t xml:space="preserve"> </w:t>
      </w:r>
      <w:r w:rsidRPr="00624696">
        <w:rPr>
          <w:sz w:val="16"/>
          <w:lang w:val="es-AR"/>
        </w:rPr>
        <w:t>trata</w:t>
      </w:r>
      <w:r w:rsidRPr="00624696">
        <w:rPr>
          <w:spacing w:val="-10"/>
          <w:sz w:val="16"/>
          <w:lang w:val="es-AR"/>
        </w:rPr>
        <w:t xml:space="preserve"> </w:t>
      </w:r>
      <w:r w:rsidRPr="00624696">
        <w:rPr>
          <w:sz w:val="16"/>
          <w:lang w:val="es-AR"/>
        </w:rPr>
        <w:t>sobre</w:t>
      </w:r>
      <w:r w:rsidRPr="00624696">
        <w:rPr>
          <w:spacing w:val="-12"/>
          <w:sz w:val="16"/>
          <w:lang w:val="es-AR"/>
        </w:rPr>
        <w:t xml:space="preserve"> </w:t>
      </w:r>
      <w:r w:rsidRPr="00624696">
        <w:rPr>
          <w:sz w:val="16"/>
          <w:lang w:val="es-AR"/>
        </w:rPr>
        <w:t>pobreza</w:t>
      </w:r>
      <w:r w:rsidRPr="00624696">
        <w:rPr>
          <w:spacing w:val="-10"/>
          <w:sz w:val="16"/>
          <w:lang w:val="es-AR"/>
        </w:rPr>
        <w:t xml:space="preserve"> </w:t>
      </w:r>
      <w:r w:rsidRPr="00624696">
        <w:rPr>
          <w:sz w:val="16"/>
          <w:lang w:val="es-AR"/>
        </w:rPr>
        <w:t>y</w:t>
      </w:r>
      <w:r w:rsidRPr="00624696">
        <w:rPr>
          <w:spacing w:val="-11"/>
          <w:sz w:val="16"/>
          <w:lang w:val="es-AR"/>
        </w:rPr>
        <w:t xml:space="preserve"> </w:t>
      </w:r>
      <w:r w:rsidRPr="00624696">
        <w:rPr>
          <w:sz w:val="16"/>
          <w:lang w:val="es-AR"/>
        </w:rPr>
        <w:t>derechos</w:t>
      </w:r>
      <w:r w:rsidRPr="00624696">
        <w:rPr>
          <w:spacing w:val="-10"/>
          <w:sz w:val="16"/>
          <w:lang w:val="es-AR"/>
        </w:rPr>
        <w:t xml:space="preserve"> </w:t>
      </w:r>
      <w:r w:rsidRPr="00624696">
        <w:rPr>
          <w:sz w:val="16"/>
          <w:lang w:val="es-AR"/>
        </w:rPr>
        <w:t>humanos,</w:t>
      </w:r>
      <w:r w:rsidRPr="00624696">
        <w:rPr>
          <w:spacing w:val="-11"/>
          <w:sz w:val="16"/>
          <w:lang w:val="es-AR"/>
        </w:rPr>
        <w:t xml:space="preserve"> </w:t>
      </w:r>
      <w:r w:rsidRPr="00624696">
        <w:rPr>
          <w:sz w:val="16"/>
          <w:lang w:val="es-AR"/>
        </w:rPr>
        <w:t>el</w:t>
      </w:r>
      <w:r w:rsidRPr="00624696">
        <w:rPr>
          <w:spacing w:val="-11"/>
          <w:sz w:val="16"/>
          <w:lang w:val="es-AR"/>
        </w:rPr>
        <w:t xml:space="preserve"> </w:t>
      </w:r>
      <w:r w:rsidRPr="00624696">
        <w:rPr>
          <w:sz w:val="16"/>
          <w:lang w:val="es-AR"/>
        </w:rPr>
        <w:t>contexto histórico-social</w:t>
      </w:r>
      <w:r w:rsidRPr="00624696">
        <w:rPr>
          <w:spacing w:val="-12"/>
          <w:sz w:val="16"/>
          <w:lang w:val="es-AR"/>
        </w:rPr>
        <w:t xml:space="preserve"> </w:t>
      </w:r>
      <w:r w:rsidRPr="00624696">
        <w:rPr>
          <w:sz w:val="16"/>
          <w:lang w:val="es-AR"/>
        </w:rPr>
        <w:t>del</w:t>
      </w:r>
      <w:r w:rsidRPr="00624696">
        <w:rPr>
          <w:spacing w:val="-14"/>
          <w:sz w:val="16"/>
          <w:lang w:val="es-AR"/>
        </w:rPr>
        <w:t xml:space="preserve"> </w:t>
      </w:r>
      <w:r w:rsidRPr="00624696">
        <w:rPr>
          <w:sz w:val="16"/>
          <w:lang w:val="es-AR"/>
        </w:rPr>
        <w:t>“Recôncavo</w:t>
      </w:r>
      <w:r w:rsidRPr="00624696">
        <w:rPr>
          <w:spacing w:val="-9"/>
          <w:sz w:val="16"/>
          <w:lang w:val="es-AR"/>
        </w:rPr>
        <w:t xml:space="preserve"> </w:t>
      </w:r>
      <w:r w:rsidRPr="00624696">
        <w:rPr>
          <w:sz w:val="16"/>
          <w:lang w:val="es-AR"/>
        </w:rPr>
        <w:t>Baiano”,</w:t>
      </w:r>
      <w:r w:rsidRPr="00624696">
        <w:rPr>
          <w:spacing w:val="-12"/>
          <w:sz w:val="16"/>
          <w:lang w:val="es-AR"/>
        </w:rPr>
        <w:t xml:space="preserve"> </w:t>
      </w:r>
      <w:r w:rsidRPr="00624696">
        <w:rPr>
          <w:sz w:val="16"/>
          <w:lang w:val="es-AR"/>
        </w:rPr>
        <w:t>medidas</w:t>
      </w:r>
      <w:r w:rsidRPr="00624696">
        <w:rPr>
          <w:spacing w:val="-12"/>
          <w:sz w:val="16"/>
          <w:lang w:val="es-AR"/>
        </w:rPr>
        <w:t xml:space="preserve"> </w:t>
      </w:r>
      <w:r w:rsidRPr="00624696">
        <w:rPr>
          <w:sz w:val="16"/>
          <w:lang w:val="es-AR"/>
        </w:rPr>
        <w:t>de</w:t>
      </w:r>
      <w:r w:rsidRPr="00624696">
        <w:rPr>
          <w:spacing w:val="-13"/>
          <w:sz w:val="16"/>
          <w:lang w:val="es-AR"/>
        </w:rPr>
        <w:t xml:space="preserve"> </w:t>
      </w:r>
      <w:r w:rsidRPr="00624696">
        <w:rPr>
          <w:sz w:val="16"/>
          <w:lang w:val="es-AR"/>
        </w:rPr>
        <w:t>reparación</w:t>
      </w:r>
      <w:r w:rsidRPr="00624696">
        <w:rPr>
          <w:spacing w:val="-11"/>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general,</w:t>
      </w:r>
      <w:r w:rsidRPr="00624696">
        <w:rPr>
          <w:spacing w:val="-11"/>
          <w:sz w:val="16"/>
          <w:lang w:val="es-AR"/>
        </w:rPr>
        <w:t xml:space="preserve"> </w:t>
      </w:r>
      <w:r w:rsidRPr="00624696">
        <w:rPr>
          <w:sz w:val="16"/>
          <w:lang w:val="es-AR"/>
        </w:rPr>
        <w:t>y</w:t>
      </w:r>
      <w:r w:rsidRPr="00624696">
        <w:rPr>
          <w:spacing w:val="-12"/>
          <w:sz w:val="16"/>
          <w:lang w:val="es-AR"/>
        </w:rPr>
        <w:t xml:space="preserve"> </w:t>
      </w:r>
      <w:r w:rsidRPr="00624696">
        <w:rPr>
          <w:sz w:val="16"/>
          <w:lang w:val="es-AR"/>
        </w:rPr>
        <w:t>medidas</w:t>
      </w:r>
      <w:r w:rsidRPr="00624696">
        <w:rPr>
          <w:spacing w:val="-12"/>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no</w:t>
      </w:r>
      <w:r w:rsidRPr="00624696">
        <w:rPr>
          <w:spacing w:val="-10"/>
          <w:sz w:val="16"/>
          <w:lang w:val="es-AR"/>
        </w:rPr>
        <w:t xml:space="preserve"> </w:t>
      </w:r>
      <w:r w:rsidRPr="00624696">
        <w:rPr>
          <w:sz w:val="16"/>
          <w:lang w:val="es-AR"/>
        </w:rPr>
        <w:t>repetición,</w:t>
      </w:r>
      <w:r w:rsidRPr="00624696">
        <w:rPr>
          <w:spacing w:val="-13"/>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particular.</w:t>
      </w:r>
    </w:p>
    <w:p w14:paraId="16747708" w14:textId="77777777" w:rsidR="00467FCA" w:rsidRPr="00624696" w:rsidRDefault="001B68EB">
      <w:pPr>
        <w:tabs>
          <w:tab w:val="left" w:pos="839"/>
        </w:tabs>
        <w:ind w:left="119" w:right="115"/>
        <w:jc w:val="both"/>
        <w:rPr>
          <w:sz w:val="16"/>
          <w:lang w:val="es-AR"/>
        </w:rPr>
      </w:pPr>
      <w:bookmarkStart w:id="19" w:name="_bookmark16"/>
      <w:bookmarkEnd w:id="19"/>
      <w:r w:rsidRPr="00624696">
        <w:rPr>
          <w:position w:val="6"/>
          <w:sz w:val="10"/>
          <w:lang w:val="es-AR"/>
        </w:rPr>
        <w:t>15</w:t>
      </w:r>
      <w:r w:rsidRPr="00624696">
        <w:rPr>
          <w:position w:val="6"/>
          <w:sz w:val="10"/>
          <w:lang w:val="es-AR"/>
        </w:rPr>
        <w:tab/>
      </w:r>
      <w:r w:rsidRPr="00624696">
        <w:rPr>
          <w:sz w:val="16"/>
          <w:lang w:val="es-AR"/>
        </w:rPr>
        <w:t>El escrito fue firmado por Priscilla Sodré y Wellington Pantaleão. El escrito trata sobre cuestiones relativas a</w:t>
      </w:r>
      <w:r w:rsidRPr="00624696">
        <w:rPr>
          <w:spacing w:val="-4"/>
          <w:sz w:val="16"/>
          <w:lang w:val="es-AR"/>
        </w:rPr>
        <w:t xml:space="preserve"> </w:t>
      </w:r>
      <w:r w:rsidRPr="00624696">
        <w:rPr>
          <w:sz w:val="16"/>
          <w:lang w:val="es-AR"/>
        </w:rPr>
        <w:t>las</w:t>
      </w:r>
      <w:r w:rsidRPr="00624696">
        <w:rPr>
          <w:spacing w:val="-3"/>
          <w:sz w:val="16"/>
          <w:lang w:val="es-AR"/>
        </w:rPr>
        <w:t xml:space="preserve"> </w:t>
      </w:r>
      <w:r w:rsidRPr="00624696">
        <w:rPr>
          <w:sz w:val="16"/>
          <w:lang w:val="es-AR"/>
        </w:rPr>
        <w:t>violaciones</w:t>
      </w:r>
      <w:r w:rsidRPr="00624696">
        <w:rPr>
          <w:spacing w:val="-2"/>
          <w:sz w:val="16"/>
          <w:lang w:val="es-AR"/>
        </w:rPr>
        <w:t xml:space="preserve"> </w:t>
      </w:r>
      <w:r w:rsidRPr="00624696">
        <w:rPr>
          <w:sz w:val="16"/>
          <w:lang w:val="es-AR"/>
        </w:rPr>
        <w:t>al</w:t>
      </w:r>
      <w:r w:rsidRPr="00624696">
        <w:rPr>
          <w:spacing w:val="-4"/>
          <w:sz w:val="16"/>
          <w:lang w:val="es-AR"/>
        </w:rPr>
        <w:t xml:space="preserve"> </w:t>
      </w:r>
      <w:r w:rsidRPr="00624696">
        <w:rPr>
          <w:sz w:val="16"/>
          <w:lang w:val="es-AR"/>
        </w:rPr>
        <w:t>derecho</w:t>
      </w:r>
      <w:r w:rsidRPr="00624696">
        <w:rPr>
          <w:spacing w:val="-2"/>
          <w:sz w:val="16"/>
          <w:lang w:val="es-AR"/>
        </w:rPr>
        <w:t xml:space="preserve"> </w:t>
      </w:r>
      <w:r w:rsidRPr="00624696">
        <w:rPr>
          <w:sz w:val="16"/>
          <w:lang w:val="es-AR"/>
        </w:rPr>
        <w:t>a</w:t>
      </w:r>
      <w:r w:rsidRPr="00624696">
        <w:rPr>
          <w:spacing w:val="-7"/>
          <w:sz w:val="16"/>
          <w:lang w:val="es-AR"/>
        </w:rPr>
        <w:t xml:space="preserve"> </w:t>
      </w:r>
      <w:r w:rsidRPr="00624696">
        <w:rPr>
          <w:sz w:val="16"/>
          <w:lang w:val="es-AR"/>
        </w:rPr>
        <w:t>un</w:t>
      </w:r>
      <w:r w:rsidRPr="00624696">
        <w:rPr>
          <w:spacing w:val="-4"/>
          <w:sz w:val="16"/>
          <w:lang w:val="es-AR"/>
        </w:rPr>
        <w:t xml:space="preserve"> </w:t>
      </w:r>
      <w:r w:rsidRPr="00624696">
        <w:rPr>
          <w:sz w:val="16"/>
          <w:lang w:val="es-AR"/>
        </w:rPr>
        <w:t>trabajo</w:t>
      </w:r>
      <w:r w:rsidRPr="00624696">
        <w:rPr>
          <w:spacing w:val="-5"/>
          <w:sz w:val="16"/>
          <w:lang w:val="es-AR"/>
        </w:rPr>
        <w:t xml:space="preserve"> </w:t>
      </w:r>
      <w:r w:rsidRPr="00624696">
        <w:rPr>
          <w:sz w:val="16"/>
          <w:lang w:val="es-AR"/>
        </w:rPr>
        <w:t>digno,</w:t>
      </w:r>
      <w:r w:rsidRPr="00624696">
        <w:rPr>
          <w:spacing w:val="-4"/>
          <w:sz w:val="16"/>
          <w:lang w:val="es-AR"/>
        </w:rPr>
        <w:t xml:space="preserve"> </w:t>
      </w:r>
      <w:r w:rsidRPr="00624696">
        <w:rPr>
          <w:sz w:val="16"/>
          <w:lang w:val="es-AR"/>
        </w:rPr>
        <w:t>especialmente</w:t>
      </w:r>
      <w:r w:rsidRPr="00624696">
        <w:rPr>
          <w:spacing w:val="-2"/>
          <w:sz w:val="16"/>
          <w:lang w:val="es-AR"/>
        </w:rPr>
        <w:t xml:space="preserve"> </w:t>
      </w:r>
      <w:r w:rsidRPr="00624696">
        <w:rPr>
          <w:sz w:val="16"/>
          <w:lang w:val="es-AR"/>
        </w:rPr>
        <w:t>relacionadas</w:t>
      </w:r>
      <w:r w:rsidRPr="00624696">
        <w:rPr>
          <w:spacing w:val="-3"/>
          <w:sz w:val="16"/>
          <w:lang w:val="es-AR"/>
        </w:rPr>
        <w:t xml:space="preserve"> </w:t>
      </w:r>
      <w:r w:rsidRPr="00624696">
        <w:rPr>
          <w:sz w:val="16"/>
          <w:lang w:val="es-AR"/>
        </w:rPr>
        <w:t>con</w:t>
      </w:r>
      <w:r w:rsidRPr="00624696">
        <w:rPr>
          <w:spacing w:val="-4"/>
          <w:sz w:val="16"/>
          <w:lang w:val="es-AR"/>
        </w:rPr>
        <w:t xml:space="preserve"> </w:t>
      </w:r>
      <w:r w:rsidRPr="00624696">
        <w:rPr>
          <w:sz w:val="16"/>
          <w:lang w:val="es-AR"/>
        </w:rPr>
        <w:t>las</w:t>
      </w:r>
      <w:r w:rsidRPr="00624696">
        <w:rPr>
          <w:spacing w:val="-3"/>
          <w:sz w:val="16"/>
          <w:lang w:val="es-AR"/>
        </w:rPr>
        <w:t xml:space="preserve"> </w:t>
      </w:r>
      <w:r w:rsidRPr="00624696">
        <w:rPr>
          <w:sz w:val="16"/>
          <w:lang w:val="es-AR"/>
        </w:rPr>
        <w:t>peores</w:t>
      </w:r>
      <w:r w:rsidRPr="00624696">
        <w:rPr>
          <w:spacing w:val="-5"/>
          <w:sz w:val="16"/>
          <w:lang w:val="es-AR"/>
        </w:rPr>
        <w:t xml:space="preserve"> </w:t>
      </w:r>
      <w:r w:rsidRPr="00624696">
        <w:rPr>
          <w:sz w:val="16"/>
          <w:lang w:val="es-AR"/>
        </w:rPr>
        <w:t>formas</w:t>
      </w:r>
      <w:r w:rsidRPr="00624696">
        <w:rPr>
          <w:spacing w:val="-6"/>
          <w:sz w:val="16"/>
          <w:lang w:val="es-AR"/>
        </w:rPr>
        <w:t xml:space="preserve"> </w:t>
      </w:r>
      <w:r w:rsidRPr="00624696">
        <w:rPr>
          <w:sz w:val="16"/>
          <w:lang w:val="es-AR"/>
        </w:rPr>
        <w:t>de</w:t>
      </w:r>
      <w:r w:rsidRPr="00624696">
        <w:rPr>
          <w:spacing w:val="-2"/>
          <w:sz w:val="16"/>
          <w:lang w:val="es-AR"/>
        </w:rPr>
        <w:t xml:space="preserve"> </w:t>
      </w:r>
      <w:r w:rsidRPr="00624696">
        <w:rPr>
          <w:sz w:val="16"/>
          <w:lang w:val="es-AR"/>
        </w:rPr>
        <w:t>trabajo</w:t>
      </w:r>
      <w:r w:rsidRPr="00624696">
        <w:rPr>
          <w:spacing w:val="-3"/>
          <w:sz w:val="16"/>
          <w:lang w:val="es-AR"/>
        </w:rPr>
        <w:t xml:space="preserve"> </w:t>
      </w:r>
      <w:r w:rsidRPr="00624696">
        <w:rPr>
          <w:sz w:val="16"/>
          <w:lang w:val="es-AR"/>
        </w:rPr>
        <w:t>infantil y el trabajo indecente o</w:t>
      </w:r>
      <w:r w:rsidRPr="00624696">
        <w:rPr>
          <w:spacing w:val="-2"/>
          <w:sz w:val="16"/>
          <w:lang w:val="es-AR"/>
        </w:rPr>
        <w:t xml:space="preserve"> </w:t>
      </w:r>
      <w:r w:rsidRPr="00624696">
        <w:rPr>
          <w:sz w:val="16"/>
          <w:lang w:val="es-AR"/>
        </w:rPr>
        <w:t>degradante.</w:t>
      </w:r>
    </w:p>
    <w:p w14:paraId="0D0719D1" w14:textId="77777777" w:rsidR="00467FCA" w:rsidRPr="00624696" w:rsidRDefault="001B68EB">
      <w:pPr>
        <w:tabs>
          <w:tab w:val="left" w:pos="839"/>
        </w:tabs>
        <w:ind w:left="120" w:right="110" w:hanging="1"/>
        <w:jc w:val="both"/>
        <w:rPr>
          <w:sz w:val="16"/>
          <w:lang w:val="es-AR"/>
        </w:rPr>
      </w:pPr>
      <w:bookmarkStart w:id="20" w:name="_bookmark17"/>
      <w:bookmarkEnd w:id="20"/>
      <w:r w:rsidRPr="00624696">
        <w:rPr>
          <w:position w:val="6"/>
          <w:sz w:val="10"/>
          <w:lang w:val="es-AR"/>
        </w:rPr>
        <w:t>16</w:t>
      </w:r>
      <w:r w:rsidRPr="00624696">
        <w:rPr>
          <w:position w:val="6"/>
          <w:sz w:val="10"/>
          <w:lang w:val="es-AR"/>
        </w:rPr>
        <w:tab/>
      </w:r>
      <w:r w:rsidRPr="00624696">
        <w:rPr>
          <w:sz w:val="16"/>
          <w:lang w:val="es-AR"/>
        </w:rPr>
        <w:t>El escrito fue firmado por Sílvia Maria da Silveira Loureiro, Emerson Victor Hugo Costa de Sá, Ana Paula Simonete</w:t>
      </w:r>
      <w:r w:rsidRPr="00624696">
        <w:rPr>
          <w:spacing w:val="-15"/>
          <w:sz w:val="16"/>
          <w:lang w:val="es-AR"/>
        </w:rPr>
        <w:t xml:space="preserve"> </w:t>
      </w:r>
      <w:r w:rsidRPr="00624696">
        <w:rPr>
          <w:sz w:val="16"/>
          <w:lang w:val="es-AR"/>
        </w:rPr>
        <w:t>Castelo</w:t>
      </w:r>
      <w:r w:rsidRPr="00624696">
        <w:rPr>
          <w:spacing w:val="-14"/>
          <w:sz w:val="16"/>
          <w:lang w:val="es-AR"/>
        </w:rPr>
        <w:t xml:space="preserve"> </w:t>
      </w:r>
      <w:r w:rsidRPr="00624696">
        <w:rPr>
          <w:sz w:val="16"/>
          <w:lang w:val="es-AR"/>
        </w:rPr>
        <w:t>Branco</w:t>
      </w:r>
      <w:r w:rsidRPr="00624696">
        <w:rPr>
          <w:spacing w:val="-14"/>
          <w:sz w:val="16"/>
          <w:lang w:val="es-AR"/>
        </w:rPr>
        <w:t xml:space="preserve"> </w:t>
      </w:r>
      <w:r w:rsidRPr="00624696">
        <w:rPr>
          <w:sz w:val="16"/>
          <w:lang w:val="es-AR"/>
        </w:rPr>
        <w:t>Bremgartner,</w:t>
      </w:r>
      <w:r w:rsidRPr="00624696">
        <w:rPr>
          <w:spacing w:val="-19"/>
          <w:sz w:val="16"/>
          <w:lang w:val="es-AR"/>
        </w:rPr>
        <w:t xml:space="preserve"> </w:t>
      </w:r>
      <w:r w:rsidRPr="00624696">
        <w:rPr>
          <w:sz w:val="16"/>
          <w:lang w:val="es-AR"/>
        </w:rPr>
        <w:t>Débora</w:t>
      </w:r>
      <w:r w:rsidRPr="00624696">
        <w:rPr>
          <w:spacing w:val="-15"/>
          <w:sz w:val="16"/>
          <w:lang w:val="es-AR"/>
        </w:rPr>
        <w:t xml:space="preserve"> </w:t>
      </w:r>
      <w:r w:rsidRPr="00624696">
        <w:rPr>
          <w:sz w:val="16"/>
          <w:lang w:val="es-AR"/>
        </w:rPr>
        <w:t>Lira</w:t>
      </w:r>
      <w:r w:rsidRPr="00624696">
        <w:rPr>
          <w:spacing w:val="-15"/>
          <w:sz w:val="16"/>
          <w:lang w:val="es-AR"/>
        </w:rPr>
        <w:t xml:space="preserve"> </w:t>
      </w:r>
      <w:r w:rsidRPr="00624696">
        <w:rPr>
          <w:sz w:val="16"/>
          <w:lang w:val="es-AR"/>
        </w:rPr>
        <w:t>de</w:t>
      </w:r>
      <w:r w:rsidRPr="00624696">
        <w:rPr>
          <w:spacing w:val="-12"/>
          <w:sz w:val="16"/>
          <w:lang w:val="es-AR"/>
        </w:rPr>
        <w:t xml:space="preserve"> </w:t>
      </w:r>
      <w:r w:rsidRPr="00624696">
        <w:rPr>
          <w:sz w:val="16"/>
          <w:lang w:val="es-AR"/>
        </w:rPr>
        <w:t>Lacerda,</w:t>
      </w:r>
      <w:r w:rsidRPr="00624696">
        <w:rPr>
          <w:spacing w:val="-14"/>
          <w:sz w:val="16"/>
          <w:lang w:val="es-AR"/>
        </w:rPr>
        <w:t xml:space="preserve"> </w:t>
      </w:r>
      <w:r w:rsidRPr="00624696">
        <w:rPr>
          <w:sz w:val="16"/>
          <w:lang w:val="es-AR"/>
        </w:rPr>
        <w:t>Elize</w:t>
      </w:r>
      <w:r w:rsidRPr="00624696">
        <w:rPr>
          <w:spacing w:val="-14"/>
          <w:sz w:val="16"/>
          <w:lang w:val="es-AR"/>
        </w:rPr>
        <w:t xml:space="preserve"> </w:t>
      </w:r>
      <w:r w:rsidRPr="00624696">
        <w:rPr>
          <w:sz w:val="16"/>
          <w:lang w:val="es-AR"/>
        </w:rPr>
        <w:t>Lacerda</w:t>
      </w:r>
      <w:r w:rsidRPr="00624696">
        <w:rPr>
          <w:spacing w:val="-15"/>
          <w:sz w:val="16"/>
          <w:lang w:val="es-AR"/>
        </w:rPr>
        <w:t xml:space="preserve"> </w:t>
      </w:r>
      <w:r w:rsidRPr="00624696">
        <w:rPr>
          <w:sz w:val="16"/>
          <w:lang w:val="es-AR"/>
        </w:rPr>
        <w:t>Vasconcellos,</w:t>
      </w:r>
      <w:r w:rsidRPr="00624696">
        <w:rPr>
          <w:spacing w:val="-14"/>
          <w:sz w:val="16"/>
          <w:lang w:val="es-AR"/>
        </w:rPr>
        <w:t xml:space="preserve"> </w:t>
      </w:r>
      <w:r w:rsidRPr="00624696">
        <w:rPr>
          <w:sz w:val="16"/>
          <w:lang w:val="es-AR"/>
        </w:rPr>
        <w:t>Emily</w:t>
      </w:r>
      <w:r w:rsidRPr="00624696">
        <w:rPr>
          <w:spacing w:val="-14"/>
          <w:sz w:val="16"/>
          <w:lang w:val="es-AR"/>
        </w:rPr>
        <w:t xml:space="preserve"> </w:t>
      </w:r>
      <w:r w:rsidRPr="00624696">
        <w:rPr>
          <w:sz w:val="16"/>
          <w:lang w:val="es-AR"/>
        </w:rPr>
        <w:t>Silva</w:t>
      </w:r>
      <w:r w:rsidRPr="00624696">
        <w:rPr>
          <w:spacing w:val="-15"/>
          <w:sz w:val="16"/>
          <w:lang w:val="es-AR"/>
        </w:rPr>
        <w:t xml:space="preserve"> </w:t>
      </w:r>
      <w:r w:rsidRPr="00624696">
        <w:rPr>
          <w:sz w:val="16"/>
          <w:lang w:val="es-AR"/>
        </w:rPr>
        <w:t>Assad,</w:t>
      </w:r>
      <w:r w:rsidRPr="00624696">
        <w:rPr>
          <w:spacing w:val="-15"/>
          <w:sz w:val="16"/>
          <w:lang w:val="es-AR"/>
        </w:rPr>
        <w:t xml:space="preserve"> </w:t>
      </w:r>
      <w:r w:rsidRPr="00624696">
        <w:rPr>
          <w:sz w:val="16"/>
          <w:lang w:val="es-AR"/>
        </w:rPr>
        <w:t>Gabriel Henrique</w:t>
      </w:r>
      <w:r w:rsidRPr="00624696">
        <w:rPr>
          <w:spacing w:val="-14"/>
          <w:sz w:val="16"/>
          <w:lang w:val="es-AR"/>
        </w:rPr>
        <w:t xml:space="preserve"> </w:t>
      </w:r>
      <w:r w:rsidRPr="00624696">
        <w:rPr>
          <w:sz w:val="16"/>
          <w:lang w:val="es-AR"/>
        </w:rPr>
        <w:t>Pinheiro</w:t>
      </w:r>
      <w:r w:rsidRPr="00624696">
        <w:rPr>
          <w:spacing w:val="-14"/>
          <w:sz w:val="16"/>
          <w:lang w:val="es-AR"/>
        </w:rPr>
        <w:t xml:space="preserve"> </w:t>
      </w:r>
      <w:r w:rsidRPr="00624696">
        <w:rPr>
          <w:sz w:val="16"/>
          <w:lang w:val="es-AR"/>
        </w:rPr>
        <w:t>An</w:t>
      </w:r>
      <w:r w:rsidRPr="00624696">
        <w:rPr>
          <w:sz w:val="16"/>
          <w:lang w:val="es-AR"/>
        </w:rPr>
        <w:t>dion,</w:t>
      </w:r>
      <w:r w:rsidRPr="00624696">
        <w:rPr>
          <w:spacing w:val="-12"/>
          <w:sz w:val="16"/>
          <w:lang w:val="es-AR"/>
        </w:rPr>
        <w:t xml:space="preserve"> </w:t>
      </w:r>
      <w:r w:rsidRPr="00624696">
        <w:rPr>
          <w:sz w:val="16"/>
          <w:lang w:val="es-AR"/>
        </w:rPr>
        <w:t>Laís</w:t>
      </w:r>
      <w:r w:rsidRPr="00624696">
        <w:rPr>
          <w:spacing w:val="-17"/>
          <w:sz w:val="16"/>
          <w:lang w:val="es-AR"/>
        </w:rPr>
        <w:t xml:space="preserve"> </w:t>
      </w:r>
      <w:r w:rsidRPr="00624696">
        <w:rPr>
          <w:sz w:val="16"/>
          <w:lang w:val="es-AR"/>
        </w:rPr>
        <w:t>Rachel</w:t>
      </w:r>
      <w:r w:rsidRPr="00624696">
        <w:rPr>
          <w:spacing w:val="-15"/>
          <w:sz w:val="16"/>
          <w:lang w:val="es-AR"/>
        </w:rPr>
        <w:t xml:space="preserve"> </w:t>
      </w:r>
      <w:r w:rsidRPr="00624696">
        <w:rPr>
          <w:sz w:val="16"/>
          <w:lang w:val="es-AR"/>
        </w:rPr>
        <w:t>Brandão</w:t>
      </w:r>
      <w:r w:rsidRPr="00624696">
        <w:rPr>
          <w:spacing w:val="-15"/>
          <w:sz w:val="16"/>
          <w:lang w:val="es-AR"/>
        </w:rPr>
        <w:t xml:space="preserve"> </w:t>
      </w:r>
      <w:r w:rsidRPr="00624696">
        <w:rPr>
          <w:sz w:val="16"/>
          <w:lang w:val="es-AR"/>
        </w:rPr>
        <w:t>de</w:t>
      </w:r>
      <w:r w:rsidRPr="00624696">
        <w:rPr>
          <w:spacing w:val="-17"/>
          <w:sz w:val="16"/>
          <w:lang w:val="es-AR"/>
        </w:rPr>
        <w:t xml:space="preserve"> </w:t>
      </w:r>
      <w:r w:rsidRPr="00624696">
        <w:rPr>
          <w:sz w:val="16"/>
          <w:lang w:val="es-AR"/>
        </w:rPr>
        <w:t>Mello,</w:t>
      </w:r>
      <w:r w:rsidRPr="00624696">
        <w:rPr>
          <w:spacing w:val="-15"/>
          <w:sz w:val="16"/>
          <w:lang w:val="es-AR"/>
        </w:rPr>
        <w:t xml:space="preserve"> </w:t>
      </w:r>
      <w:r w:rsidRPr="00624696">
        <w:rPr>
          <w:sz w:val="16"/>
          <w:lang w:val="es-AR"/>
        </w:rPr>
        <w:t>Luane</w:t>
      </w:r>
      <w:r w:rsidRPr="00624696">
        <w:rPr>
          <w:spacing w:val="-13"/>
          <w:sz w:val="16"/>
          <w:lang w:val="es-AR"/>
        </w:rPr>
        <w:t xml:space="preserve"> </w:t>
      </w:r>
      <w:r w:rsidRPr="00624696">
        <w:rPr>
          <w:sz w:val="16"/>
          <w:lang w:val="es-AR"/>
        </w:rPr>
        <w:t>Antella</w:t>
      </w:r>
      <w:r w:rsidRPr="00624696">
        <w:rPr>
          <w:spacing w:val="-15"/>
          <w:sz w:val="16"/>
          <w:lang w:val="es-AR"/>
        </w:rPr>
        <w:t xml:space="preserve"> </w:t>
      </w:r>
      <w:r w:rsidRPr="00624696">
        <w:rPr>
          <w:sz w:val="16"/>
          <w:lang w:val="es-AR"/>
        </w:rPr>
        <w:t>Moreira,</w:t>
      </w:r>
      <w:r w:rsidRPr="00624696">
        <w:rPr>
          <w:spacing w:val="-14"/>
          <w:sz w:val="16"/>
          <w:lang w:val="es-AR"/>
        </w:rPr>
        <w:t xml:space="preserve"> </w:t>
      </w:r>
      <w:r w:rsidRPr="00624696">
        <w:rPr>
          <w:sz w:val="16"/>
          <w:lang w:val="es-AR"/>
        </w:rPr>
        <w:t>Paula</w:t>
      </w:r>
      <w:r w:rsidRPr="00624696">
        <w:rPr>
          <w:spacing w:val="-15"/>
          <w:sz w:val="16"/>
          <w:lang w:val="es-AR"/>
        </w:rPr>
        <w:t xml:space="preserve"> </w:t>
      </w:r>
      <w:r w:rsidRPr="00624696">
        <w:rPr>
          <w:sz w:val="16"/>
          <w:lang w:val="es-AR"/>
        </w:rPr>
        <w:t>Melissa</w:t>
      </w:r>
      <w:r w:rsidRPr="00624696">
        <w:rPr>
          <w:spacing w:val="-15"/>
          <w:sz w:val="16"/>
          <w:lang w:val="es-AR"/>
        </w:rPr>
        <w:t xml:space="preserve"> </w:t>
      </w:r>
      <w:r w:rsidRPr="00624696">
        <w:rPr>
          <w:sz w:val="16"/>
          <w:lang w:val="es-AR"/>
        </w:rPr>
        <w:t>Coelho</w:t>
      </w:r>
      <w:r w:rsidRPr="00624696">
        <w:rPr>
          <w:spacing w:val="-13"/>
          <w:sz w:val="16"/>
          <w:lang w:val="es-AR"/>
        </w:rPr>
        <w:t xml:space="preserve"> </w:t>
      </w:r>
      <w:r w:rsidRPr="00624696">
        <w:rPr>
          <w:sz w:val="16"/>
          <w:lang w:val="es-AR"/>
        </w:rPr>
        <w:t>da</w:t>
      </w:r>
      <w:r w:rsidRPr="00624696">
        <w:rPr>
          <w:spacing w:val="-15"/>
          <w:sz w:val="16"/>
          <w:lang w:val="es-AR"/>
        </w:rPr>
        <w:t xml:space="preserve"> </w:t>
      </w:r>
      <w:r w:rsidRPr="00624696">
        <w:rPr>
          <w:sz w:val="16"/>
          <w:lang w:val="es-AR"/>
        </w:rPr>
        <w:t>Silva</w:t>
      </w:r>
      <w:r w:rsidRPr="00624696">
        <w:rPr>
          <w:spacing w:val="-17"/>
          <w:sz w:val="16"/>
          <w:lang w:val="es-AR"/>
        </w:rPr>
        <w:t xml:space="preserve"> </w:t>
      </w:r>
      <w:r w:rsidRPr="00624696">
        <w:rPr>
          <w:sz w:val="16"/>
          <w:lang w:val="es-AR"/>
        </w:rPr>
        <w:t>Saraiva, Paula Mércia Coimbra Brasil y Rildo Amorim da Silva Júnior. El escrito presenta un análisis del contexto fáctico de la fabricación de fuegos artificiales en S</w:t>
      </w:r>
      <w:r w:rsidRPr="00624696">
        <w:rPr>
          <w:sz w:val="16"/>
          <w:lang w:val="es-AR"/>
        </w:rPr>
        <w:t>anto Antônio de Jesus y de la normativa que reglamenta las relaciones de trabajo, particularmente en la actividad pirotécnica en Brasil. Además, trata sobre la protección del trabajo infantil; describe</w:t>
      </w:r>
      <w:r w:rsidRPr="00624696">
        <w:rPr>
          <w:spacing w:val="-15"/>
          <w:sz w:val="16"/>
          <w:lang w:val="es-AR"/>
        </w:rPr>
        <w:t xml:space="preserve"> </w:t>
      </w:r>
      <w:r w:rsidRPr="00624696">
        <w:rPr>
          <w:sz w:val="16"/>
          <w:lang w:val="es-AR"/>
        </w:rPr>
        <w:t>el</w:t>
      </w:r>
      <w:r w:rsidRPr="00624696">
        <w:rPr>
          <w:spacing w:val="-13"/>
          <w:sz w:val="16"/>
          <w:lang w:val="es-AR"/>
        </w:rPr>
        <w:t xml:space="preserve"> </w:t>
      </w:r>
      <w:r w:rsidRPr="00624696">
        <w:rPr>
          <w:sz w:val="16"/>
          <w:lang w:val="es-AR"/>
        </w:rPr>
        <w:t>rol</w:t>
      </w:r>
      <w:r w:rsidRPr="00624696">
        <w:rPr>
          <w:spacing w:val="-15"/>
          <w:sz w:val="16"/>
          <w:lang w:val="es-AR"/>
        </w:rPr>
        <w:t xml:space="preserve"> </w:t>
      </w:r>
      <w:r w:rsidRPr="00624696">
        <w:rPr>
          <w:sz w:val="16"/>
          <w:lang w:val="es-AR"/>
        </w:rPr>
        <w:t>de</w:t>
      </w:r>
      <w:r w:rsidRPr="00624696">
        <w:rPr>
          <w:spacing w:val="-12"/>
          <w:sz w:val="16"/>
          <w:lang w:val="es-AR"/>
        </w:rPr>
        <w:t xml:space="preserve"> </w:t>
      </w:r>
      <w:r w:rsidRPr="00624696">
        <w:rPr>
          <w:sz w:val="16"/>
          <w:lang w:val="es-AR"/>
        </w:rPr>
        <w:t>los</w:t>
      </w:r>
      <w:r w:rsidRPr="00624696">
        <w:rPr>
          <w:spacing w:val="-12"/>
          <w:sz w:val="16"/>
          <w:lang w:val="es-AR"/>
        </w:rPr>
        <w:t xml:space="preserve"> </w:t>
      </w:r>
      <w:r w:rsidRPr="00624696">
        <w:rPr>
          <w:sz w:val="16"/>
          <w:lang w:val="es-AR"/>
        </w:rPr>
        <w:t>auditores</w:t>
      </w:r>
      <w:r w:rsidRPr="00624696">
        <w:rPr>
          <w:spacing w:val="-14"/>
          <w:sz w:val="16"/>
          <w:lang w:val="es-AR"/>
        </w:rPr>
        <w:t xml:space="preserve"> </w:t>
      </w:r>
      <w:r w:rsidRPr="00624696">
        <w:rPr>
          <w:sz w:val="16"/>
          <w:lang w:val="es-AR"/>
        </w:rPr>
        <w:t>fiscales</w:t>
      </w:r>
      <w:r w:rsidRPr="00624696">
        <w:rPr>
          <w:spacing w:val="-14"/>
          <w:sz w:val="16"/>
          <w:lang w:val="es-AR"/>
        </w:rPr>
        <w:t xml:space="preserve"> </w:t>
      </w:r>
      <w:r w:rsidRPr="00624696">
        <w:rPr>
          <w:sz w:val="16"/>
          <w:lang w:val="es-AR"/>
        </w:rPr>
        <w:t>del</w:t>
      </w:r>
      <w:r w:rsidRPr="00624696">
        <w:rPr>
          <w:spacing w:val="-13"/>
          <w:sz w:val="16"/>
          <w:lang w:val="es-AR"/>
        </w:rPr>
        <w:t xml:space="preserve"> </w:t>
      </w:r>
      <w:r w:rsidRPr="00624696">
        <w:rPr>
          <w:sz w:val="16"/>
          <w:lang w:val="es-AR"/>
        </w:rPr>
        <w:t>trabajo</w:t>
      </w:r>
      <w:r w:rsidRPr="00624696">
        <w:rPr>
          <w:spacing w:val="-11"/>
          <w:sz w:val="16"/>
          <w:lang w:val="es-AR"/>
        </w:rPr>
        <w:t xml:space="preserve"> </w:t>
      </w:r>
      <w:r w:rsidRPr="00624696">
        <w:rPr>
          <w:sz w:val="16"/>
          <w:lang w:val="es-AR"/>
        </w:rPr>
        <w:t>en</w:t>
      </w:r>
      <w:r w:rsidRPr="00624696">
        <w:rPr>
          <w:spacing w:val="-14"/>
          <w:sz w:val="16"/>
          <w:lang w:val="es-AR"/>
        </w:rPr>
        <w:t xml:space="preserve"> </w:t>
      </w:r>
      <w:r w:rsidRPr="00624696">
        <w:rPr>
          <w:sz w:val="16"/>
          <w:lang w:val="es-AR"/>
        </w:rPr>
        <w:t>la</w:t>
      </w:r>
      <w:r w:rsidRPr="00624696">
        <w:rPr>
          <w:spacing w:val="-13"/>
          <w:sz w:val="16"/>
          <w:lang w:val="es-AR"/>
        </w:rPr>
        <w:t xml:space="preserve"> </w:t>
      </w:r>
      <w:r w:rsidRPr="00624696">
        <w:rPr>
          <w:sz w:val="16"/>
          <w:lang w:val="es-AR"/>
        </w:rPr>
        <w:t>fiscalización</w:t>
      </w:r>
      <w:r w:rsidRPr="00624696">
        <w:rPr>
          <w:spacing w:val="-11"/>
          <w:sz w:val="16"/>
          <w:lang w:val="es-AR"/>
        </w:rPr>
        <w:t xml:space="preserve"> </w:t>
      </w:r>
      <w:r w:rsidRPr="00624696">
        <w:rPr>
          <w:sz w:val="16"/>
          <w:lang w:val="es-AR"/>
        </w:rPr>
        <w:t>de</w:t>
      </w:r>
      <w:r w:rsidRPr="00624696">
        <w:rPr>
          <w:spacing w:val="-12"/>
          <w:sz w:val="16"/>
          <w:lang w:val="es-AR"/>
        </w:rPr>
        <w:t xml:space="preserve"> </w:t>
      </w:r>
      <w:r w:rsidRPr="00624696">
        <w:rPr>
          <w:sz w:val="16"/>
          <w:lang w:val="es-AR"/>
        </w:rPr>
        <w:t>las</w:t>
      </w:r>
      <w:r w:rsidRPr="00624696">
        <w:rPr>
          <w:spacing w:val="-12"/>
          <w:sz w:val="16"/>
          <w:lang w:val="es-AR"/>
        </w:rPr>
        <w:t xml:space="preserve"> </w:t>
      </w:r>
      <w:r w:rsidRPr="00624696">
        <w:rPr>
          <w:sz w:val="16"/>
          <w:lang w:val="es-AR"/>
        </w:rPr>
        <w:t>actividades</w:t>
      </w:r>
      <w:r w:rsidRPr="00624696">
        <w:rPr>
          <w:spacing w:val="-12"/>
          <w:sz w:val="16"/>
          <w:lang w:val="es-AR"/>
        </w:rPr>
        <w:t xml:space="preserve"> </w:t>
      </w:r>
      <w:r w:rsidRPr="00624696">
        <w:rPr>
          <w:sz w:val="16"/>
          <w:lang w:val="es-AR"/>
        </w:rPr>
        <w:t>laborales;</w:t>
      </w:r>
      <w:r w:rsidRPr="00624696">
        <w:rPr>
          <w:spacing w:val="-11"/>
          <w:sz w:val="16"/>
          <w:lang w:val="es-AR"/>
        </w:rPr>
        <w:t xml:space="preserve"> </w:t>
      </w:r>
      <w:r w:rsidRPr="00624696">
        <w:rPr>
          <w:sz w:val="16"/>
          <w:lang w:val="es-AR"/>
        </w:rPr>
        <w:t>trae</w:t>
      </w:r>
      <w:r w:rsidRPr="00624696">
        <w:rPr>
          <w:spacing w:val="-12"/>
          <w:sz w:val="16"/>
          <w:lang w:val="es-AR"/>
        </w:rPr>
        <w:t xml:space="preserve"> </w:t>
      </w:r>
      <w:r w:rsidRPr="00624696">
        <w:rPr>
          <w:sz w:val="16"/>
          <w:lang w:val="es-AR"/>
        </w:rPr>
        <w:t>consideraciones jurídicas sobre impactos de la implementación de reformas legislativas en Brasil y sobre el tema de empresas y derechos</w:t>
      </w:r>
      <w:r w:rsidRPr="00624696">
        <w:rPr>
          <w:spacing w:val="-1"/>
          <w:sz w:val="16"/>
          <w:lang w:val="es-AR"/>
        </w:rPr>
        <w:t xml:space="preserve"> </w:t>
      </w:r>
      <w:r w:rsidRPr="00624696">
        <w:rPr>
          <w:sz w:val="16"/>
          <w:lang w:val="es-AR"/>
        </w:rPr>
        <w:t>humanos.</w:t>
      </w:r>
    </w:p>
    <w:p w14:paraId="64762B55" w14:textId="77777777" w:rsidR="00467FCA" w:rsidRPr="00624696" w:rsidRDefault="001B68EB">
      <w:pPr>
        <w:tabs>
          <w:tab w:val="left" w:pos="839"/>
        </w:tabs>
        <w:ind w:left="119" w:right="116"/>
        <w:jc w:val="both"/>
        <w:rPr>
          <w:sz w:val="16"/>
          <w:lang w:val="es-AR"/>
        </w:rPr>
      </w:pPr>
      <w:bookmarkStart w:id="21" w:name="_bookmark18"/>
      <w:bookmarkEnd w:id="21"/>
      <w:r w:rsidRPr="00624696">
        <w:rPr>
          <w:position w:val="6"/>
          <w:sz w:val="10"/>
          <w:lang w:val="es-AR"/>
        </w:rPr>
        <w:t>17</w:t>
      </w:r>
      <w:r w:rsidRPr="00624696">
        <w:rPr>
          <w:position w:val="6"/>
          <w:sz w:val="10"/>
          <w:lang w:val="es-AR"/>
        </w:rPr>
        <w:tab/>
      </w:r>
      <w:r w:rsidRPr="00624696">
        <w:rPr>
          <w:sz w:val="16"/>
          <w:lang w:val="es-AR"/>
        </w:rPr>
        <w:t>El escrito fue firmado por Juan Pablo Acosta Peñaloza, Caro</w:t>
      </w:r>
      <w:r w:rsidRPr="00624696">
        <w:rPr>
          <w:sz w:val="16"/>
          <w:lang w:val="es-AR"/>
        </w:rPr>
        <w:t>lina Gómez López, Mónica María Soler Ayala y María Alejandra Vega García. El escrito trae un análisis sobre los estándares de protección internacional de los derechos humanos exigibles de los Estados en materia de empresas y derechos</w:t>
      </w:r>
      <w:r w:rsidRPr="00624696">
        <w:rPr>
          <w:spacing w:val="-15"/>
          <w:sz w:val="16"/>
          <w:lang w:val="es-AR"/>
        </w:rPr>
        <w:t xml:space="preserve"> </w:t>
      </w:r>
      <w:r w:rsidRPr="00624696">
        <w:rPr>
          <w:sz w:val="16"/>
          <w:lang w:val="es-AR"/>
        </w:rPr>
        <w:t>humanos.</w:t>
      </w:r>
    </w:p>
    <w:p w14:paraId="246955DD" w14:textId="77777777" w:rsidR="00467FCA" w:rsidRDefault="001B68EB">
      <w:pPr>
        <w:tabs>
          <w:tab w:val="left" w:pos="839"/>
        </w:tabs>
        <w:ind w:left="119" w:right="117"/>
        <w:jc w:val="both"/>
        <w:rPr>
          <w:sz w:val="16"/>
        </w:rPr>
      </w:pPr>
      <w:bookmarkStart w:id="22" w:name="_bookmark19"/>
      <w:bookmarkEnd w:id="22"/>
      <w:r w:rsidRPr="00624696">
        <w:rPr>
          <w:position w:val="6"/>
          <w:sz w:val="10"/>
          <w:lang w:val="es-AR"/>
        </w:rPr>
        <w:t>18</w:t>
      </w:r>
      <w:r w:rsidRPr="00624696">
        <w:rPr>
          <w:position w:val="6"/>
          <w:sz w:val="10"/>
          <w:lang w:val="es-AR"/>
        </w:rPr>
        <w:tab/>
      </w:r>
      <w:r w:rsidRPr="00624696">
        <w:rPr>
          <w:sz w:val="16"/>
          <w:lang w:val="es-AR"/>
        </w:rPr>
        <w:t>Sin</w:t>
      </w:r>
      <w:r w:rsidRPr="00624696">
        <w:rPr>
          <w:spacing w:val="-5"/>
          <w:sz w:val="16"/>
          <w:lang w:val="es-AR"/>
        </w:rPr>
        <w:t xml:space="preserve"> </w:t>
      </w:r>
      <w:r w:rsidRPr="00624696">
        <w:rPr>
          <w:sz w:val="16"/>
          <w:lang w:val="es-AR"/>
        </w:rPr>
        <w:t>perjui</w:t>
      </w:r>
      <w:r w:rsidRPr="00624696">
        <w:rPr>
          <w:sz w:val="16"/>
          <w:lang w:val="es-AR"/>
        </w:rPr>
        <w:t>cio</w:t>
      </w:r>
      <w:r w:rsidRPr="00624696">
        <w:rPr>
          <w:spacing w:val="-4"/>
          <w:sz w:val="16"/>
          <w:lang w:val="es-AR"/>
        </w:rPr>
        <w:t xml:space="preserve"> </w:t>
      </w:r>
      <w:r w:rsidRPr="00624696">
        <w:rPr>
          <w:sz w:val="16"/>
          <w:lang w:val="es-AR"/>
        </w:rPr>
        <w:t>de</w:t>
      </w:r>
      <w:r w:rsidRPr="00624696">
        <w:rPr>
          <w:spacing w:val="-3"/>
          <w:sz w:val="16"/>
          <w:lang w:val="es-AR"/>
        </w:rPr>
        <w:t xml:space="preserve"> </w:t>
      </w:r>
      <w:r w:rsidRPr="00624696">
        <w:rPr>
          <w:sz w:val="16"/>
          <w:lang w:val="es-AR"/>
        </w:rPr>
        <w:t>lo</w:t>
      </w:r>
      <w:r w:rsidRPr="00624696">
        <w:rPr>
          <w:spacing w:val="-2"/>
          <w:sz w:val="16"/>
          <w:lang w:val="es-AR"/>
        </w:rPr>
        <w:t xml:space="preserve"> </w:t>
      </w:r>
      <w:r w:rsidRPr="00624696">
        <w:rPr>
          <w:sz w:val="16"/>
          <w:lang w:val="es-AR"/>
        </w:rPr>
        <w:t>anterior,</w:t>
      </w:r>
      <w:r w:rsidRPr="00624696">
        <w:rPr>
          <w:spacing w:val="-3"/>
          <w:sz w:val="16"/>
          <w:lang w:val="es-AR"/>
        </w:rPr>
        <w:t xml:space="preserve"> </w:t>
      </w:r>
      <w:r w:rsidRPr="00624696">
        <w:rPr>
          <w:sz w:val="16"/>
          <w:lang w:val="es-AR"/>
        </w:rPr>
        <w:t>este</w:t>
      </w:r>
      <w:r w:rsidRPr="00624696">
        <w:rPr>
          <w:spacing w:val="-3"/>
          <w:sz w:val="16"/>
          <w:lang w:val="es-AR"/>
        </w:rPr>
        <w:t xml:space="preserve"> </w:t>
      </w:r>
      <w:r w:rsidRPr="00624696">
        <w:rPr>
          <w:sz w:val="16"/>
          <w:lang w:val="es-AR"/>
        </w:rPr>
        <w:t>Tribunal</w:t>
      </w:r>
      <w:r w:rsidRPr="00624696">
        <w:rPr>
          <w:spacing w:val="-3"/>
          <w:sz w:val="16"/>
          <w:lang w:val="es-AR"/>
        </w:rPr>
        <w:t xml:space="preserve"> </w:t>
      </w:r>
      <w:r w:rsidRPr="00624696">
        <w:rPr>
          <w:sz w:val="16"/>
          <w:lang w:val="es-AR"/>
        </w:rPr>
        <w:t>hace</w:t>
      </w:r>
      <w:r w:rsidRPr="00624696">
        <w:rPr>
          <w:spacing w:val="-3"/>
          <w:sz w:val="16"/>
          <w:lang w:val="es-AR"/>
        </w:rPr>
        <w:t xml:space="preserve"> </w:t>
      </w:r>
      <w:r w:rsidRPr="00624696">
        <w:rPr>
          <w:sz w:val="16"/>
          <w:lang w:val="es-AR"/>
        </w:rPr>
        <w:t>notar,</w:t>
      </w:r>
      <w:r w:rsidRPr="00624696">
        <w:rPr>
          <w:spacing w:val="-4"/>
          <w:sz w:val="16"/>
          <w:lang w:val="es-AR"/>
        </w:rPr>
        <w:t xml:space="preserve"> </w:t>
      </w:r>
      <w:r w:rsidRPr="00624696">
        <w:rPr>
          <w:sz w:val="16"/>
          <w:lang w:val="es-AR"/>
        </w:rPr>
        <w:t>como</w:t>
      </w:r>
      <w:r w:rsidRPr="00624696">
        <w:rPr>
          <w:spacing w:val="-2"/>
          <w:sz w:val="16"/>
          <w:lang w:val="es-AR"/>
        </w:rPr>
        <w:t xml:space="preserve"> </w:t>
      </w:r>
      <w:r w:rsidRPr="00624696">
        <w:rPr>
          <w:sz w:val="16"/>
          <w:lang w:val="es-AR"/>
        </w:rPr>
        <w:t>lo</w:t>
      </w:r>
      <w:r w:rsidRPr="00624696">
        <w:rPr>
          <w:spacing w:val="-3"/>
          <w:sz w:val="16"/>
          <w:lang w:val="es-AR"/>
        </w:rPr>
        <w:t xml:space="preserve"> </w:t>
      </w:r>
      <w:r w:rsidRPr="00624696">
        <w:rPr>
          <w:sz w:val="16"/>
          <w:lang w:val="es-AR"/>
        </w:rPr>
        <w:t>hizo</w:t>
      </w:r>
      <w:r w:rsidRPr="00624696">
        <w:rPr>
          <w:spacing w:val="-4"/>
          <w:sz w:val="16"/>
          <w:lang w:val="es-AR"/>
        </w:rPr>
        <w:t xml:space="preserve"> </w:t>
      </w:r>
      <w:r w:rsidRPr="00624696">
        <w:rPr>
          <w:sz w:val="16"/>
          <w:lang w:val="es-AR"/>
        </w:rPr>
        <w:t>en</w:t>
      </w:r>
      <w:r w:rsidRPr="00624696">
        <w:rPr>
          <w:spacing w:val="-4"/>
          <w:sz w:val="16"/>
          <w:lang w:val="es-AR"/>
        </w:rPr>
        <w:t xml:space="preserve"> </w:t>
      </w:r>
      <w:r w:rsidRPr="00624696">
        <w:rPr>
          <w:sz w:val="16"/>
          <w:lang w:val="es-AR"/>
        </w:rPr>
        <w:t>el</w:t>
      </w:r>
      <w:r w:rsidRPr="00624696">
        <w:rPr>
          <w:spacing w:val="-7"/>
          <w:sz w:val="16"/>
          <w:lang w:val="es-AR"/>
        </w:rPr>
        <w:t xml:space="preserve"> </w:t>
      </w:r>
      <w:r w:rsidRPr="00624696">
        <w:rPr>
          <w:i/>
          <w:sz w:val="16"/>
          <w:lang w:val="es-AR"/>
        </w:rPr>
        <w:t>Caso</w:t>
      </w:r>
      <w:r w:rsidRPr="00624696">
        <w:rPr>
          <w:i/>
          <w:spacing w:val="-4"/>
          <w:sz w:val="16"/>
          <w:lang w:val="es-AR"/>
        </w:rPr>
        <w:t xml:space="preserve"> </w:t>
      </w:r>
      <w:r w:rsidRPr="00624696">
        <w:rPr>
          <w:i/>
          <w:sz w:val="16"/>
          <w:lang w:val="es-AR"/>
        </w:rPr>
        <w:t>Pueblo</w:t>
      </w:r>
      <w:r w:rsidRPr="00624696">
        <w:rPr>
          <w:i/>
          <w:spacing w:val="-4"/>
          <w:sz w:val="16"/>
          <w:lang w:val="es-AR"/>
        </w:rPr>
        <w:t xml:space="preserve"> </w:t>
      </w:r>
      <w:r w:rsidRPr="00624696">
        <w:rPr>
          <w:i/>
          <w:sz w:val="16"/>
          <w:lang w:val="es-AR"/>
        </w:rPr>
        <w:t>Indígena</w:t>
      </w:r>
      <w:r w:rsidRPr="00624696">
        <w:rPr>
          <w:i/>
          <w:spacing w:val="-4"/>
          <w:sz w:val="16"/>
          <w:lang w:val="es-AR"/>
        </w:rPr>
        <w:t xml:space="preserve"> </w:t>
      </w:r>
      <w:r w:rsidRPr="00624696">
        <w:rPr>
          <w:i/>
          <w:sz w:val="16"/>
          <w:lang w:val="es-AR"/>
        </w:rPr>
        <w:t>Xucuru</w:t>
      </w:r>
      <w:r w:rsidRPr="00624696">
        <w:rPr>
          <w:i/>
          <w:spacing w:val="-6"/>
          <w:sz w:val="16"/>
          <w:lang w:val="es-AR"/>
        </w:rPr>
        <w:t xml:space="preserve"> </w:t>
      </w:r>
      <w:r w:rsidRPr="00624696">
        <w:rPr>
          <w:i/>
          <w:sz w:val="16"/>
          <w:lang w:val="es-AR"/>
        </w:rPr>
        <w:t>y</w:t>
      </w:r>
      <w:r w:rsidRPr="00624696">
        <w:rPr>
          <w:i/>
          <w:spacing w:val="-4"/>
          <w:sz w:val="16"/>
          <w:lang w:val="es-AR"/>
        </w:rPr>
        <w:t xml:space="preserve"> </w:t>
      </w:r>
      <w:r w:rsidRPr="00624696">
        <w:rPr>
          <w:i/>
          <w:sz w:val="16"/>
          <w:lang w:val="es-AR"/>
        </w:rPr>
        <w:t>sus miembros</w:t>
      </w:r>
      <w:r w:rsidRPr="00624696">
        <w:rPr>
          <w:i/>
          <w:spacing w:val="11"/>
          <w:sz w:val="16"/>
          <w:lang w:val="es-AR"/>
        </w:rPr>
        <w:t xml:space="preserve"> </w:t>
      </w:r>
      <w:r w:rsidRPr="00624696">
        <w:rPr>
          <w:i/>
          <w:sz w:val="16"/>
          <w:lang w:val="es-AR"/>
        </w:rPr>
        <w:t>Vs.</w:t>
      </w:r>
      <w:r w:rsidRPr="00624696">
        <w:rPr>
          <w:i/>
          <w:spacing w:val="13"/>
          <w:sz w:val="16"/>
          <w:lang w:val="es-AR"/>
        </w:rPr>
        <w:t xml:space="preserve"> </w:t>
      </w:r>
      <w:r>
        <w:rPr>
          <w:i/>
          <w:sz w:val="16"/>
        </w:rPr>
        <w:t>Brasil,</w:t>
      </w:r>
      <w:r>
        <w:rPr>
          <w:i/>
          <w:spacing w:val="13"/>
          <w:sz w:val="16"/>
        </w:rPr>
        <w:t xml:space="preserve"> </w:t>
      </w:r>
      <w:r>
        <w:rPr>
          <w:sz w:val="16"/>
        </w:rPr>
        <w:t>que</w:t>
      </w:r>
      <w:r>
        <w:rPr>
          <w:spacing w:val="12"/>
          <w:sz w:val="16"/>
        </w:rPr>
        <w:t xml:space="preserve"> </w:t>
      </w:r>
      <w:r>
        <w:rPr>
          <w:sz w:val="16"/>
        </w:rPr>
        <w:t>de</w:t>
      </w:r>
      <w:r>
        <w:rPr>
          <w:spacing w:val="10"/>
          <w:sz w:val="16"/>
        </w:rPr>
        <w:t xml:space="preserve"> </w:t>
      </w:r>
      <w:r>
        <w:rPr>
          <w:sz w:val="16"/>
        </w:rPr>
        <w:t>acuerdo</w:t>
      </w:r>
      <w:r>
        <w:rPr>
          <w:spacing w:val="13"/>
          <w:sz w:val="16"/>
        </w:rPr>
        <w:t xml:space="preserve"> </w:t>
      </w:r>
      <w:r>
        <w:rPr>
          <w:sz w:val="16"/>
        </w:rPr>
        <w:t>con</w:t>
      </w:r>
      <w:r>
        <w:rPr>
          <w:spacing w:val="10"/>
          <w:sz w:val="16"/>
        </w:rPr>
        <w:t xml:space="preserve"> </w:t>
      </w:r>
      <w:r>
        <w:rPr>
          <w:sz w:val="16"/>
        </w:rPr>
        <w:t>el</w:t>
      </w:r>
      <w:r>
        <w:rPr>
          <w:spacing w:val="11"/>
          <w:sz w:val="16"/>
        </w:rPr>
        <w:t xml:space="preserve"> </w:t>
      </w:r>
      <w:r>
        <w:rPr>
          <w:sz w:val="16"/>
        </w:rPr>
        <w:t>artículo</w:t>
      </w:r>
      <w:r>
        <w:rPr>
          <w:spacing w:val="12"/>
          <w:sz w:val="16"/>
        </w:rPr>
        <w:t xml:space="preserve"> </w:t>
      </w:r>
      <w:r>
        <w:rPr>
          <w:sz w:val="16"/>
        </w:rPr>
        <w:t>2.3</w:t>
      </w:r>
      <w:r>
        <w:rPr>
          <w:spacing w:val="13"/>
          <w:sz w:val="16"/>
        </w:rPr>
        <w:t xml:space="preserve"> </w:t>
      </w:r>
      <w:r>
        <w:rPr>
          <w:sz w:val="16"/>
        </w:rPr>
        <w:t>del</w:t>
      </w:r>
      <w:r>
        <w:rPr>
          <w:spacing w:val="13"/>
          <w:sz w:val="16"/>
        </w:rPr>
        <w:t xml:space="preserve"> </w:t>
      </w:r>
      <w:r>
        <w:rPr>
          <w:sz w:val="16"/>
        </w:rPr>
        <w:t>Reglamento,</w:t>
      </w:r>
      <w:r>
        <w:rPr>
          <w:spacing w:val="11"/>
          <w:sz w:val="16"/>
        </w:rPr>
        <w:t xml:space="preserve"> </w:t>
      </w:r>
      <w:r>
        <w:rPr>
          <w:sz w:val="16"/>
        </w:rPr>
        <w:t>quien</w:t>
      </w:r>
      <w:r>
        <w:rPr>
          <w:spacing w:val="11"/>
          <w:sz w:val="16"/>
        </w:rPr>
        <w:t xml:space="preserve"> </w:t>
      </w:r>
      <w:r>
        <w:rPr>
          <w:sz w:val="16"/>
        </w:rPr>
        <w:t>presenta</w:t>
      </w:r>
      <w:r>
        <w:rPr>
          <w:spacing w:val="13"/>
          <w:sz w:val="16"/>
        </w:rPr>
        <w:t xml:space="preserve"> </w:t>
      </w:r>
      <w:r>
        <w:rPr>
          <w:sz w:val="16"/>
        </w:rPr>
        <w:t>un</w:t>
      </w:r>
      <w:r>
        <w:rPr>
          <w:spacing w:val="13"/>
          <w:sz w:val="16"/>
        </w:rPr>
        <w:t xml:space="preserve"> </w:t>
      </w:r>
      <w:r>
        <w:rPr>
          <w:i/>
          <w:sz w:val="16"/>
        </w:rPr>
        <w:t>amicus</w:t>
      </w:r>
      <w:r>
        <w:rPr>
          <w:i/>
          <w:spacing w:val="12"/>
          <w:sz w:val="16"/>
        </w:rPr>
        <w:t xml:space="preserve"> </w:t>
      </w:r>
      <w:r>
        <w:rPr>
          <w:i/>
          <w:sz w:val="16"/>
        </w:rPr>
        <w:t>curiae</w:t>
      </w:r>
      <w:r>
        <w:rPr>
          <w:i/>
          <w:spacing w:val="12"/>
          <w:sz w:val="16"/>
        </w:rPr>
        <w:t xml:space="preserve"> </w:t>
      </w:r>
      <w:r>
        <w:rPr>
          <w:sz w:val="16"/>
        </w:rPr>
        <w:t>es</w:t>
      </w:r>
      <w:r>
        <w:rPr>
          <w:spacing w:val="12"/>
          <w:sz w:val="16"/>
        </w:rPr>
        <w:t xml:space="preserve"> </w:t>
      </w:r>
      <w:r>
        <w:rPr>
          <w:sz w:val="16"/>
        </w:rPr>
        <w:t>una</w:t>
      </w:r>
    </w:p>
    <w:p w14:paraId="780FCE08" w14:textId="77777777" w:rsidR="00467FCA" w:rsidRDefault="00467FCA">
      <w:pPr>
        <w:jc w:val="both"/>
        <w:rPr>
          <w:sz w:val="16"/>
        </w:rPr>
        <w:sectPr w:rsidR="00467FCA">
          <w:pgSz w:w="12240" w:h="15840"/>
          <w:pgMar w:top="1360" w:right="1320" w:bottom="1220" w:left="1320" w:header="0" w:footer="1037" w:gutter="0"/>
          <w:cols w:space="720"/>
        </w:sectPr>
      </w:pPr>
    </w:p>
    <w:p w14:paraId="11600571" w14:textId="77777777" w:rsidR="00467FCA" w:rsidRPr="00624696" w:rsidRDefault="001B68EB">
      <w:pPr>
        <w:pStyle w:val="Prrafodelista"/>
        <w:numPr>
          <w:ilvl w:val="0"/>
          <w:numId w:val="50"/>
        </w:numPr>
        <w:tabs>
          <w:tab w:val="left" w:pos="687"/>
        </w:tabs>
        <w:spacing w:before="183"/>
        <w:ind w:right="116" w:firstLine="0"/>
        <w:jc w:val="both"/>
        <w:rPr>
          <w:sz w:val="20"/>
          <w:lang w:val="es-AR"/>
        </w:rPr>
      </w:pPr>
      <w:r w:rsidRPr="00624696">
        <w:rPr>
          <w:i/>
          <w:sz w:val="20"/>
          <w:lang w:val="es-AR"/>
        </w:rPr>
        <w:t xml:space="preserve">Observaciones de las partes y de la Comisión. </w:t>
      </w:r>
      <w:r w:rsidRPr="00624696">
        <w:rPr>
          <w:sz w:val="20"/>
          <w:lang w:val="es-AR"/>
        </w:rPr>
        <w:t>– El 23 de marzo de 2020, la Comisión presentó un escrito en el cual mencionó no tener observaciones a los anexos presentados junto con los alegatos finales escritos del Estado y de los representantes de las pr</w:t>
      </w:r>
      <w:r w:rsidRPr="00624696">
        <w:rPr>
          <w:sz w:val="20"/>
          <w:lang w:val="es-AR"/>
        </w:rPr>
        <w:t>esuntas víctimas.</w:t>
      </w:r>
      <w:r w:rsidRPr="00624696">
        <w:rPr>
          <w:spacing w:val="-18"/>
          <w:sz w:val="20"/>
          <w:lang w:val="es-AR"/>
        </w:rPr>
        <w:t xml:space="preserve"> </w:t>
      </w:r>
      <w:r w:rsidRPr="00624696">
        <w:rPr>
          <w:sz w:val="20"/>
          <w:lang w:val="es-AR"/>
        </w:rPr>
        <w:t>El</w:t>
      </w:r>
      <w:r w:rsidRPr="00624696">
        <w:rPr>
          <w:spacing w:val="-17"/>
          <w:sz w:val="20"/>
          <w:lang w:val="es-AR"/>
        </w:rPr>
        <w:t xml:space="preserve"> </w:t>
      </w:r>
      <w:r w:rsidRPr="00624696">
        <w:rPr>
          <w:sz w:val="20"/>
          <w:lang w:val="es-AR"/>
        </w:rPr>
        <w:t>29</w:t>
      </w:r>
      <w:r w:rsidRPr="00624696">
        <w:rPr>
          <w:spacing w:val="-16"/>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mayo</w:t>
      </w:r>
      <w:r w:rsidRPr="00624696">
        <w:rPr>
          <w:spacing w:val="-15"/>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2020,</w:t>
      </w:r>
      <w:r w:rsidRPr="00624696">
        <w:rPr>
          <w:spacing w:val="-16"/>
          <w:sz w:val="20"/>
          <w:lang w:val="es-AR"/>
        </w:rPr>
        <w:t xml:space="preserve"> </w:t>
      </w:r>
      <w:r w:rsidRPr="00624696">
        <w:rPr>
          <w:sz w:val="20"/>
          <w:lang w:val="es-AR"/>
        </w:rPr>
        <w:t>el</w:t>
      </w:r>
      <w:r w:rsidRPr="00624696">
        <w:rPr>
          <w:spacing w:val="-16"/>
          <w:sz w:val="20"/>
          <w:lang w:val="es-AR"/>
        </w:rPr>
        <w:t xml:space="preserve"> </w:t>
      </w:r>
      <w:r w:rsidRPr="00624696">
        <w:rPr>
          <w:sz w:val="20"/>
          <w:lang w:val="es-AR"/>
        </w:rPr>
        <w:t>Estado</w:t>
      </w:r>
      <w:r w:rsidRPr="00624696">
        <w:rPr>
          <w:spacing w:val="-19"/>
          <w:sz w:val="20"/>
          <w:lang w:val="es-AR"/>
        </w:rPr>
        <w:t xml:space="preserve"> </w:t>
      </w:r>
      <w:r w:rsidRPr="00624696">
        <w:rPr>
          <w:sz w:val="20"/>
          <w:lang w:val="es-AR"/>
        </w:rPr>
        <w:t>presentó</w:t>
      </w:r>
      <w:r w:rsidRPr="00624696">
        <w:rPr>
          <w:spacing w:val="-18"/>
          <w:sz w:val="20"/>
          <w:lang w:val="es-AR"/>
        </w:rPr>
        <w:t xml:space="preserve"> </w:t>
      </w:r>
      <w:r w:rsidRPr="00624696">
        <w:rPr>
          <w:sz w:val="20"/>
          <w:lang w:val="es-AR"/>
        </w:rPr>
        <w:t>observaciones</w:t>
      </w:r>
      <w:r w:rsidRPr="00624696">
        <w:rPr>
          <w:spacing w:val="-18"/>
          <w:sz w:val="20"/>
          <w:lang w:val="es-AR"/>
        </w:rPr>
        <w:t xml:space="preserve"> </w:t>
      </w:r>
      <w:r w:rsidRPr="00624696">
        <w:rPr>
          <w:sz w:val="20"/>
          <w:lang w:val="es-AR"/>
        </w:rPr>
        <w:t>a</w:t>
      </w:r>
      <w:r w:rsidRPr="00624696">
        <w:rPr>
          <w:spacing w:val="-17"/>
          <w:sz w:val="20"/>
          <w:lang w:val="es-AR"/>
        </w:rPr>
        <w:t xml:space="preserve"> </w:t>
      </w:r>
      <w:r w:rsidRPr="00624696">
        <w:rPr>
          <w:sz w:val="20"/>
          <w:lang w:val="es-AR"/>
        </w:rPr>
        <w:t>los</w:t>
      </w:r>
      <w:r w:rsidRPr="00624696">
        <w:rPr>
          <w:spacing w:val="-15"/>
          <w:sz w:val="20"/>
          <w:lang w:val="es-AR"/>
        </w:rPr>
        <w:t xml:space="preserve"> </w:t>
      </w:r>
      <w:r w:rsidRPr="00624696">
        <w:rPr>
          <w:sz w:val="20"/>
          <w:lang w:val="es-AR"/>
        </w:rPr>
        <w:t>anexos</w:t>
      </w:r>
      <w:r w:rsidRPr="00624696">
        <w:rPr>
          <w:spacing w:val="-18"/>
          <w:sz w:val="20"/>
          <w:lang w:val="es-AR"/>
        </w:rPr>
        <w:t xml:space="preserve"> </w:t>
      </w:r>
      <w:r w:rsidRPr="00624696">
        <w:rPr>
          <w:sz w:val="20"/>
          <w:lang w:val="es-AR"/>
        </w:rPr>
        <w:t>a</w:t>
      </w:r>
      <w:r w:rsidRPr="00624696">
        <w:rPr>
          <w:spacing w:val="-16"/>
          <w:sz w:val="20"/>
          <w:lang w:val="es-AR"/>
        </w:rPr>
        <w:t xml:space="preserve"> </w:t>
      </w:r>
      <w:r w:rsidRPr="00624696">
        <w:rPr>
          <w:sz w:val="20"/>
          <w:lang w:val="es-AR"/>
        </w:rPr>
        <w:t>los</w:t>
      </w:r>
      <w:r w:rsidRPr="00624696">
        <w:rPr>
          <w:spacing w:val="-18"/>
          <w:sz w:val="20"/>
          <w:lang w:val="es-AR"/>
        </w:rPr>
        <w:t xml:space="preserve"> </w:t>
      </w:r>
      <w:r w:rsidRPr="00624696">
        <w:rPr>
          <w:sz w:val="20"/>
          <w:lang w:val="es-AR"/>
        </w:rPr>
        <w:t>alegatos finales de los</w:t>
      </w:r>
      <w:r w:rsidRPr="00624696">
        <w:rPr>
          <w:spacing w:val="-4"/>
          <w:sz w:val="20"/>
          <w:lang w:val="es-AR"/>
        </w:rPr>
        <w:t xml:space="preserve"> </w:t>
      </w:r>
      <w:r w:rsidRPr="00624696">
        <w:rPr>
          <w:sz w:val="20"/>
          <w:lang w:val="es-AR"/>
        </w:rPr>
        <w:t>representantes.</w:t>
      </w:r>
    </w:p>
    <w:p w14:paraId="2BBD6F55" w14:textId="77777777" w:rsidR="00467FCA" w:rsidRPr="00624696" w:rsidRDefault="00467FCA">
      <w:pPr>
        <w:pStyle w:val="Textoindependiente"/>
        <w:rPr>
          <w:lang w:val="es-AR"/>
        </w:rPr>
      </w:pPr>
    </w:p>
    <w:p w14:paraId="1D64DAF6" w14:textId="77777777" w:rsidR="00467FCA" w:rsidRPr="00624696" w:rsidRDefault="001B68EB">
      <w:pPr>
        <w:pStyle w:val="Prrafodelista"/>
        <w:numPr>
          <w:ilvl w:val="0"/>
          <w:numId w:val="50"/>
        </w:numPr>
        <w:tabs>
          <w:tab w:val="left" w:pos="687"/>
        </w:tabs>
        <w:ind w:right="118" w:hanging="1"/>
        <w:jc w:val="both"/>
        <w:rPr>
          <w:sz w:val="20"/>
          <w:lang w:val="es-AR"/>
        </w:rPr>
      </w:pPr>
      <w:r w:rsidRPr="00624696">
        <w:rPr>
          <w:i/>
          <w:sz w:val="20"/>
          <w:lang w:val="es-AR"/>
        </w:rPr>
        <w:t xml:space="preserve">Deliberación del presente caso. </w:t>
      </w:r>
      <w:r w:rsidRPr="00624696">
        <w:rPr>
          <w:sz w:val="20"/>
          <w:lang w:val="es-AR"/>
        </w:rPr>
        <w:t>– La Corte deliberó la presente Sentencia, a través de una sesión virtual, durante los días 13, 14 y 15 de julio de</w:t>
      </w:r>
      <w:r w:rsidRPr="00624696">
        <w:rPr>
          <w:spacing w:val="-13"/>
          <w:sz w:val="20"/>
          <w:lang w:val="es-AR"/>
        </w:rPr>
        <w:t xml:space="preserve"> </w:t>
      </w:r>
      <w:r w:rsidRPr="00624696">
        <w:rPr>
          <w:sz w:val="20"/>
          <w:lang w:val="es-AR"/>
        </w:rPr>
        <w:t>2020</w:t>
      </w:r>
      <w:hyperlink w:anchor="_bookmark24" w:history="1">
        <w:r w:rsidRPr="00624696">
          <w:rPr>
            <w:position w:val="7"/>
            <w:sz w:val="13"/>
            <w:lang w:val="es-AR"/>
          </w:rPr>
          <w:t>19</w:t>
        </w:r>
      </w:hyperlink>
      <w:r w:rsidRPr="00624696">
        <w:rPr>
          <w:sz w:val="20"/>
          <w:lang w:val="es-AR"/>
        </w:rPr>
        <w:t>.</w:t>
      </w:r>
    </w:p>
    <w:p w14:paraId="4130C2FE" w14:textId="77777777" w:rsidR="00467FCA" w:rsidRPr="00624696" w:rsidRDefault="00467FCA">
      <w:pPr>
        <w:pStyle w:val="Textoindependiente"/>
        <w:spacing w:before="1"/>
        <w:rPr>
          <w:lang w:val="es-AR"/>
        </w:rPr>
      </w:pPr>
    </w:p>
    <w:p w14:paraId="06B569E3" w14:textId="77777777" w:rsidR="00467FCA" w:rsidRDefault="001B68EB">
      <w:pPr>
        <w:pStyle w:val="Ttulo1"/>
        <w:spacing w:line="276" w:lineRule="auto"/>
        <w:ind w:left="3979" w:right="3980" w:firstLine="1"/>
        <w:jc w:val="center"/>
      </w:pPr>
      <w:bookmarkStart w:id="23" w:name="III_COMPETENCIA"/>
      <w:bookmarkStart w:id="24" w:name="_bookmark20"/>
      <w:bookmarkEnd w:id="23"/>
      <w:bookmarkEnd w:id="24"/>
      <w:r>
        <w:t xml:space="preserve">III     </w:t>
      </w:r>
      <w:r>
        <w:rPr>
          <w:w w:val="95"/>
        </w:rPr>
        <w:t>COMPETENCIA</w:t>
      </w:r>
    </w:p>
    <w:p w14:paraId="78ABD43F" w14:textId="77777777" w:rsidR="00467FCA" w:rsidRDefault="00467FCA">
      <w:pPr>
        <w:pStyle w:val="Textoindependiente"/>
        <w:spacing w:before="11"/>
        <w:rPr>
          <w:b/>
          <w:sz w:val="19"/>
        </w:rPr>
      </w:pPr>
    </w:p>
    <w:p w14:paraId="72FA6A39" w14:textId="77777777" w:rsidR="00467FCA" w:rsidRPr="00624696" w:rsidRDefault="001B68EB">
      <w:pPr>
        <w:pStyle w:val="Prrafodelista"/>
        <w:numPr>
          <w:ilvl w:val="0"/>
          <w:numId w:val="50"/>
        </w:numPr>
        <w:tabs>
          <w:tab w:val="left" w:pos="687"/>
        </w:tabs>
        <w:spacing w:before="1"/>
        <w:ind w:right="117" w:firstLine="0"/>
        <w:jc w:val="both"/>
        <w:rPr>
          <w:sz w:val="20"/>
          <w:lang w:val="es-AR"/>
        </w:rPr>
      </w:pPr>
      <w:r w:rsidRPr="00624696">
        <w:rPr>
          <w:sz w:val="20"/>
          <w:lang w:val="es-AR"/>
        </w:rPr>
        <w:t>La Corte Interamericana es competente para conocer el presente caso, en los tér</w:t>
      </w:r>
      <w:r w:rsidRPr="00624696">
        <w:rPr>
          <w:sz w:val="20"/>
          <w:lang w:val="es-AR"/>
        </w:rPr>
        <w:t>minos del artículo 62.3 de la Convención, debido a que Brasil es Estado Parte de la Convención Americana desde el 25 de septiembre de 1992 y reconoció la competencia contenciosa de este Tribunal el 10 de diciembre de</w:t>
      </w:r>
      <w:r w:rsidRPr="00624696">
        <w:rPr>
          <w:spacing w:val="-12"/>
          <w:sz w:val="20"/>
          <w:lang w:val="es-AR"/>
        </w:rPr>
        <w:t xml:space="preserve"> </w:t>
      </w:r>
      <w:r w:rsidRPr="00624696">
        <w:rPr>
          <w:sz w:val="20"/>
          <w:lang w:val="es-AR"/>
        </w:rPr>
        <w:t>1998.</w:t>
      </w:r>
    </w:p>
    <w:p w14:paraId="0BC9F7EF" w14:textId="77777777" w:rsidR="00467FCA" w:rsidRPr="00624696" w:rsidRDefault="00467FCA">
      <w:pPr>
        <w:pStyle w:val="Textoindependiente"/>
        <w:spacing w:before="11"/>
        <w:rPr>
          <w:sz w:val="19"/>
          <w:lang w:val="es-AR"/>
        </w:rPr>
      </w:pPr>
    </w:p>
    <w:p w14:paraId="5E393C9A" w14:textId="77777777" w:rsidR="00467FCA" w:rsidRDefault="001B68EB">
      <w:pPr>
        <w:pStyle w:val="Ttulo1"/>
        <w:spacing w:line="278" w:lineRule="auto"/>
        <w:ind w:left="3103" w:right="3084" w:firstLine="1564"/>
      </w:pPr>
      <w:bookmarkStart w:id="25" w:name="IV_EXCEPCIONES_PRELIMINARES"/>
      <w:bookmarkStart w:id="26" w:name="_bookmark21"/>
      <w:bookmarkEnd w:id="25"/>
      <w:bookmarkEnd w:id="26"/>
      <w:r>
        <w:t>IV EXCEPCIONES PRELIMINARES</w:t>
      </w:r>
    </w:p>
    <w:p w14:paraId="54D6C34D" w14:textId="77777777" w:rsidR="00467FCA" w:rsidRDefault="00467FCA">
      <w:pPr>
        <w:pStyle w:val="Textoindependiente"/>
        <w:spacing w:before="9"/>
        <w:rPr>
          <w:b/>
          <w:sz w:val="19"/>
        </w:rPr>
      </w:pPr>
    </w:p>
    <w:p w14:paraId="4E0F3544" w14:textId="77777777" w:rsidR="00467FCA" w:rsidRDefault="001B68EB">
      <w:pPr>
        <w:pStyle w:val="Prrafodelista"/>
        <w:numPr>
          <w:ilvl w:val="0"/>
          <w:numId w:val="50"/>
        </w:numPr>
        <w:tabs>
          <w:tab w:val="left" w:pos="687"/>
        </w:tabs>
        <w:ind w:left="119" w:right="116" w:hanging="1"/>
        <w:jc w:val="both"/>
        <w:rPr>
          <w:sz w:val="20"/>
        </w:rPr>
      </w:pPr>
      <w:r w:rsidRPr="00624696">
        <w:rPr>
          <w:sz w:val="20"/>
          <w:lang w:val="es-AR"/>
        </w:rPr>
        <w:t xml:space="preserve">En </w:t>
      </w:r>
      <w:r w:rsidRPr="00624696">
        <w:rPr>
          <w:sz w:val="20"/>
          <w:lang w:val="es-AR"/>
        </w:rPr>
        <w:t>el presente caso Brasil presentó tres excepciones preliminares relativas a las alegadas:</w:t>
      </w:r>
      <w:r w:rsidRPr="00624696">
        <w:rPr>
          <w:spacing w:val="-13"/>
          <w:sz w:val="20"/>
          <w:lang w:val="es-AR"/>
        </w:rPr>
        <w:t xml:space="preserve"> </w:t>
      </w:r>
      <w:r w:rsidRPr="00624696">
        <w:rPr>
          <w:sz w:val="20"/>
          <w:lang w:val="es-AR"/>
        </w:rPr>
        <w:t>a)</w:t>
      </w:r>
      <w:r w:rsidRPr="00624696">
        <w:rPr>
          <w:spacing w:val="-13"/>
          <w:sz w:val="20"/>
          <w:lang w:val="es-AR"/>
        </w:rPr>
        <w:t xml:space="preserve"> </w:t>
      </w:r>
      <w:r w:rsidRPr="00624696">
        <w:rPr>
          <w:sz w:val="20"/>
          <w:lang w:val="es-AR"/>
        </w:rPr>
        <w:t>inadmisibilidad</w:t>
      </w:r>
      <w:r w:rsidRPr="00624696">
        <w:rPr>
          <w:spacing w:val="-13"/>
          <w:sz w:val="20"/>
          <w:lang w:val="es-AR"/>
        </w:rPr>
        <w:t xml:space="preserve"> </w:t>
      </w:r>
      <w:r w:rsidRPr="00624696">
        <w:rPr>
          <w:sz w:val="20"/>
          <w:lang w:val="es-AR"/>
        </w:rPr>
        <w:t>del</w:t>
      </w:r>
      <w:r w:rsidRPr="00624696">
        <w:rPr>
          <w:spacing w:val="-10"/>
          <w:sz w:val="20"/>
          <w:lang w:val="es-AR"/>
        </w:rPr>
        <w:t xml:space="preserve"> </w:t>
      </w:r>
      <w:r w:rsidRPr="00624696">
        <w:rPr>
          <w:sz w:val="20"/>
          <w:lang w:val="es-AR"/>
        </w:rPr>
        <w:t>sometimiento</w:t>
      </w:r>
      <w:r w:rsidRPr="00624696">
        <w:rPr>
          <w:spacing w:val="-12"/>
          <w:sz w:val="20"/>
          <w:lang w:val="es-AR"/>
        </w:rPr>
        <w:t xml:space="preserve"> </w:t>
      </w:r>
      <w:r w:rsidRPr="00624696">
        <w:rPr>
          <w:sz w:val="20"/>
          <w:lang w:val="es-AR"/>
        </w:rPr>
        <w:t>del</w:t>
      </w:r>
      <w:r w:rsidRPr="00624696">
        <w:rPr>
          <w:spacing w:val="-13"/>
          <w:sz w:val="20"/>
          <w:lang w:val="es-AR"/>
        </w:rPr>
        <w:t xml:space="preserve"> </w:t>
      </w:r>
      <w:r w:rsidRPr="00624696">
        <w:rPr>
          <w:sz w:val="20"/>
          <w:lang w:val="es-AR"/>
        </w:rPr>
        <w:t>caso</w:t>
      </w:r>
      <w:r w:rsidRPr="00624696">
        <w:rPr>
          <w:spacing w:val="-12"/>
          <w:sz w:val="20"/>
          <w:lang w:val="es-AR"/>
        </w:rPr>
        <w:t xml:space="preserve"> </w:t>
      </w:r>
      <w:r w:rsidRPr="00624696">
        <w:rPr>
          <w:sz w:val="20"/>
          <w:lang w:val="es-AR"/>
        </w:rPr>
        <w:t>en</w:t>
      </w:r>
      <w:r w:rsidRPr="00624696">
        <w:rPr>
          <w:spacing w:val="-9"/>
          <w:sz w:val="20"/>
          <w:lang w:val="es-AR"/>
        </w:rPr>
        <w:t xml:space="preserve"> </w:t>
      </w:r>
      <w:r w:rsidRPr="00624696">
        <w:rPr>
          <w:sz w:val="20"/>
          <w:lang w:val="es-AR"/>
        </w:rPr>
        <w:t>virtud</w:t>
      </w:r>
      <w:r w:rsidRPr="00624696">
        <w:rPr>
          <w:spacing w:val="-13"/>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la</w:t>
      </w:r>
      <w:r w:rsidRPr="00624696">
        <w:rPr>
          <w:spacing w:val="-13"/>
          <w:sz w:val="20"/>
          <w:lang w:val="es-AR"/>
        </w:rPr>
        <w:t xml:space="preserve"> </w:t>
      </w:r>
      <w:r w:rsidRPr="00624696">
        <w:rPr>
          <w:sz w:val="20"/>
          <w:lang w:val="es-AR"/>
        </w:rPr>
        <w:t>publicación</w:t>
      </w:r>
      <w:r w:rsidRPr="00624696">
        <w:rPr>
          <w:spacing w:val="-13"/>
          <w:sz w:val="20"/>
          <w:lang w:val="es-AR"/>
        </w:rPr>
        <w:t xml:space="preserve"> </w:t>
      </w:r>
      <w:r w:rsidRPr="00624696">
        <w:rPr>
          <w:sz w:val="20"/>
          <w:lang w:val="es-AR"/>
        </w:rPr>
        <w:t>del</w:t>
      </w:r>
      <w:r w:rsidRPr="00624696">
        <w:rPr>
          <w:spacing w:val="-11"/>
          <w:sz w:val="20"/>
          <w:lang w:val="es-AR"/>
        </w:rPr>
        <w:t xml:space="preserve"> </w:t>
      </w:r>
      <w:r w:rsidRPr="00624696">
        <w:rPr>
          <w:sz w:val="20"/>
          <w:lang w:val="es-AR"/>
        </w:rPr>
        <w:t xml:space="preserve">Informe de Admisibilidad y Fondo por parte de la Comisión; b) incompetencia </w:t>
      </w:r>
      <w:r w:rsidRPr="00624696">
        <w:rPr>
          <w:i/>
          <w:sz w:val="20"/>
          <w:lang w:val="es-AR"/>
        </w:rPr>
        <w:t>ratione materi</w:t>
      </w:r>
      <w:r w:rsidRPr="00624696">
        <w:rPr>
          <w:i/>
          <w:sz w:val="20"/>
          <w:lang w:val="es-AR"/>
        </w:rPr>
        <w:t xml:space="preserve">ae </w:t>
      </w:r>
      <w:r w:rsidRPr="00624696">
        <w:rPr>
          <w:sz w:val="20"/>
          <w:lang w:val="es-AR"/>
        </w:rPr>
        <w:t xml:space="preserve">respecto de las supuestas violaciones al derecho al trabajo, y c) falta de agotamiento de recursos internos. Asimismo, presentó como excepción preliminar un alegato que denominó “incompetencia </w:t>
      </w:r>
      <w:r w:rsidRPr="00624696">
        <w:rPr>
          <w:i/>
          <w:sz w:val="20"/>
          <w:lang w:val="es-AR"/>
        </w:rPr>
        <w:t xml:space="preserve">ratione personae </w:t>
      </w:r>
      <w:r w:rsidRPr="00624696">
        <w:rPr>
          <w:sz w:val="20"/>
          <w:lang w:val="es-AR"/>
        </w:rPr>
        <w:t>respecto de las presuntas víctimas no ident</w:t>
      </w:r>
      <w:r w:rsidRPr="00624696">
        <w:rPr>
          <w:sz w:val="20"/>
          <w:lang w:val="es-AR"/>
        </w:rPr>
        <w:t>ificadas o no adecuadamente representadas”. La Corte hace notar que ese alegato no constituye una excepción</w:t>
      </w:r>
      <w:r w:rsidRPr="00624696">
        <w:rPr>
          <w:spacing w:val="-13"/>
          <w:sz w:val="20"/>
          <w:lang w:val="es-AR"/>
        </w:rPr>
        <w:t xml:space="preserve"> </w:t>
      </w:r>
      <w:r w:rsidRPr="00624696">
        <w:rPr>
          <w:sz w:val="20"/>
          <w:lang w:val="es-AR"/>
        </w:rPr>
        <w:t>preliminar,</w:t>
      </w:r>
      <w:r w:rsidRPr="00624696">
        <w:rPr>
          <w:spacing w:val="-13"/>
          <w:sz w:val="20"/>
          <w:lang w:val="es-AR"/>
        </w:rPr>
        <w:t xml:space="preserve"> </w:t>
      </w:r>
      <w:r w:rsidRPr="00624696">
        <w:rPr>
          <w:sz w:val="20"/>
          <w:lang w:val="es-AR"/>
        </w:rPr>
        <w:t>toda</w:t>
      </w:r>
      <w:r w:rsidRPr="00624696">
        <w:rPr>
          <w:spacing w:val="-14"/>
          <w:sz w:val="20"/>
          <w:lang w:val="es-AR"/>
        </w:rPr>
        <w:t xml:space="preserve"> </w:t>
      </w:r>
      <w:r w:rsidRPr="00624696">
        <w:rPr>
          <w:sz w:val="20"/>
          <w:lang w:val="es-AR"/>
        </w:rPr>
        <w:t>vez</w:t>
      </w:r>
      <w:r w:rsidRPr="00624696">
        <w:rPr>
          <w:spacing w:val="-12"/>
          <w:sz w:val="20"/>
          <w:lang w:val="es-AR"/>
        </w:rPr>
        <w:t xml:space="preserve"> </w:t>
      </w:r>
      <w:r w:rsidRPr="00624696">
        <w:rPr>
          <w:sz w:val="20"/>
          <w:lang w:val="es-AR"/>
        </w:rPr>
        <w:t>que</w:t>
      </w:r>
      <w:r w:rsidRPr="00624696">
        <w:rPr>
          <w:spacing w:val="-12"/>
          <w:sz w:val="20"/>
          <w:lang w:val="es-AR"/>
        </w:rPr>
        <w:t xml:space="preserve"> </w:t>
      </w:r>
      <w:r w:rsidRPr="00624696">
        <w:rPr>
          <w:sz w:val="20"/>
          <w:lang w:val="es-AR"/>
        </w:rPr>
        <w:t>su</w:t>
      </w:r>
      <w:r w:rsidRPr="00624696">
        <w:rPr>
          <w:spacing w:val="-13"/>
          <w:sz w:val="20"/>
          <w:lang w:val="es-AR"/>
        </w:rPr>
        <w:t xml:space="preserve"> </w:t>
      </w:r>
      <w:r w:rsidRPr="00624696">
        <w:rPr>
          <w:sz w:val="20"/>
          <w:lang w:val="es-AR"/>
        </w:rPr>
        <w:t>análisis</w:t>
      </w:r>
      <w:r w:rsidRPr="00624696">
        <w:rPr>
          <w:spacing w:val="-11"/>
          <w:sz w:val="20"/>
          <w:lang w:val="es-AR"/>
        </w:rPr>
        <w:t xml:space="preserve"> </w:t>
      </w:r>
      <w:r w:rsidRPr="00624696">
        <w:rPr>
          <w:sz w:val="20"/>
          <w:lang w:val="es-AR"/>
        </w:rPr>
        <w:t>no</w:t>
      </w:r>
      <w:r w:rsidRPr="00624696">
        <w:rPr>
          <w:spacing w:val="-15"/>
          <w:sz w:val="20"/>
          <w:lang w:val="es-AR"/>
        </w:rPr>
        <w:t xml:space="preserve"> </w:t>
      </w:r>
      <w:r w:rsidRPr="00624696">
        <w:rPr>
          <w:sz w:val="20"/>
          <w:lang w:val="es-AR"/>
        </w:rPr>
        <w:t>puede</w:t>
      </w:r>
      <w:r w:rsidRPr="00624696">
        <w:rPr>
          <w:spacing w:val="-14"/>
          <w:sz w:val="20"/>
          <w:lang w:val="es-AR"/>
        </w:rPr>
        <w:t xml:space="preserve"> </w:t>
      </w:r>
      <w:r w:rsidRPr="00624696">
        <w:rPr>
          <w:sz w:val="20"/>
          <w:lang w:val="es-AR"/>
        </w:rPr>
        <w:t>resultar</w:t>
      </w:r>
      <w:r w:rsidRPr="00624696">
        <w:rPr>
          <w:spacing w:val="-14"/>
          <w:sz w:val="20"/>
          <w:lang w:val="es-AR"/>
        </w:rPr>
        <w:t xml:space="preserve"> </w:t>
      </w:r>
      <w:r w:rsidRPr="00624696">
        <w:rPr>
          <w:sz w:val="20"/>
          <w:lang w:val="es-AR"/>
        </w:rPr>
        <w:t>en</w:t>
      </w:r>
      <w:r w:rsidRPr="00624696">
        <w:rPr>
          <w:spacing w:val="-13"/>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inadmisibilidad</w:t>
      </w:r>
      <w:r w:rsidRPr="00624696">
        <w:rPr>
          <w:spacing w:val="-13"/>
          <w:sz w:val="20"/>
          <w:lang w:val="es-AR"/>
        </w:rPr>
        <w:t xml:space="preserve"> </w:t>
      </w:r>
      <w:r w:rsidRPr="00624696">
        <w:rPr>
          <w:sz w:val="20"/>
          <w:lang w:val="es-AR"/>
        </w:rPr>
        <w:t>del</w:t>
      </w:r>
      <w:r w:rsidRPr="00624696">
        <w:rPr>
          <w:spacing w:val="-13"/>
          <w:sz w:val="20"/>
          <w:lang w:val="es-AR"/>
        </w:rPr>
        <w:t xml:space="preserve"> </w:t>
      </w:r>
      <w:r w:rsidRPr="00624696">
        <w:rPr>
          <w:sz w:val="20"/>
          <w:lang w:val="es-AR"/>
        </w:rPr>
        <w:t>caso o</w:t>
      </w:r>
      <w:r w:rsidRPr="00624696">
        <w:rPr>
          <w:spacing w:val="-11"/>
          <w:sz w:val="20"/>
          <w:lang w:val="es-AR"/>
        </w:rPr>
        <w:t xml:space="preserve"> </w:t>
      </w:r>
      <w:r w:rsidRPr="00624696">
        <w:rPr>
          <w:sz w:val="20"/>
          <w:lang w:val="es-AR"/>
        </w:rPr>
        <w:t>en</w:t>
      </w:r>
      <w:r w:rsidRPr="00624696">
        <w:rPr>
          <w:spacing w:val="-8"/>
          <w:sz w:val="20"/>
          <w:lang w:val="es-AR"/>
        </w:rPr>
        <w:t xml:space="preserve"> </w:t>
      </w:r>
      <w:r w:rsidRPr="00624696">
        <w:rPr>
          <w:sz w:val="20"/>
          <w:lang w:val="es-AR"/>
        </w:rPr>
        <w:t>la</w:t>
      </w:r>
      <w:r w:rsidRPr="00624696">
        <w:rPr>
          <w:spacing w:val="-8"/>
          <w:sz w:val="20"/>
          <w:lang w:val="es-AR"/>
        </w:rPr>
        <w:t xml:space="preserve"> </w:t>
      </w:r>
      <w:r w:rsidRPr="00624696">
        <w:rPr>
          <w:sz w:val="20"/>
          <w:lang w:val="es-AR"/>
        </w:rPr>
        <w:t>incompetencia</w:t>
      </w:r>
      <w:r w:rsidRPr="00624696">
        <w:rPr>
          <w:spacing w:val="-9"/>
          <w:sz w:val="20"/>
          <w:lang w:val="es-AR"/>
        </w:rPr>
        <w:t xml:space="preserve"> </w:t>
      </w:r>
      <w:r w:rsidRPr="00624696">
        <w:rPr>
          <w:sz w:val="20"/>
          <w:lang w:val="es-AR"/>
        </w:rPr>
        <w:t>de</w:t>
      </w:r>
      <w:r w:rsidRPr="00624696">
        <w:rPr>
          <w:spacing w:val="-9"/>
          <w:sz w:val="20"/>
          <w:lang w:val="es-AR"/>
        </w:rPr>
        <w:t xml:space="preserve"> </w:t>
      </w:r>
      <w:r w:rsidRPr="00624696">
        <w:rPr>
          <w:sz w:val="20"/>
          <w:lang w:val="es-AR"/>
        </w:rPr>
        <w:t>este</w:t>
      </w:r>
      <w:r w:rsidRPr="00624696">
        <w:rPr>
          <w:spacing w:val="-9"/>
          <w:sz w:val="20"/>
          <w:lang w:val="es-AR"/>
        </w:rPr>
        <w:t xml:space="preserve"> </w:t>
      </w:r>
      <w:r w:rsidRPr="00624696">
        <w:rPr>
          <w:sz w:val="20"/>
          <w:lang w:val="es-AR"/>
        </w:rPr>
        <w:t>Tribunal</w:t>
      </w:r>
      <w:r w:rsidRPr="00624696">
        <w:rPr>
          <w:spacing w:val="-9"/>
          <w:sz w:val="20"/>
          <w:lang w:val="es-AR"/>
        </w:rPr>
        <w:t xml:space="preserve"> </w:t>
      </w:r>
      <w:r w:rsidRPr="00624696">
        <w:rPr>
          <w:sz w:val="20"/>
          <w:lang w:val="es-AR"/>
        </w:rPr>
        <w:t>para</w:t>
      </w:r>
      <w:r w:rsidRPr="00624696">
        <w:rPr>
          <w:spacing w:val="-9"/>
          <w:sz w:val="20"/>
          <w:lang w:val="es-AR"/>
        </w:rPr>
        <w:t xml:space="preserve"> </w:t>
      </w:r>
      <w:r w:rsidRPr="00624696">
        <w:rPr>
          <w:sz w:val="20"/>
          <w:lang w:val="es-AR"/>
        </w:rPr>
        <w:t>conocerlo</w:t>
      </w:r>
      <w:hyperlink w:anchor="_bookmark25" w:history="1">
        <w:r w:rsidRPr="00624696">
          <w:rPr>
            <w:position w:val="7"/>
            <w:sz w:val="13"/>
            <w:lang w:val="es-AR"/>
          </w:rPr>
          <w:t>20</w:t>
        </w:r>
      </w:hyperlink>
      <w:r w:rsidRPr="00624696">
        <w:rPr>
          <w:sz w:val="20"/>
          <w:lang w:val="es-AR"/>
        </w:rPr>
        <w:t>.</w:t>
      </w:r>
      <w:r w:rsidRPr="00624696">
        <w:rPr>
          <w:spacing w:val="-11"/>
          <w:sz w:val="20"/>
          <w:lang w:val="es-AR"/>
        </w:rPr>
        <w:t xml:space="preserve"> </w:t>
      </w:r>
      <w:r w:rsidRPr="00624696">
        <w:rPr>
          <w:sz w:val="20"/>
          <w:lang w:val="es-AR"/>
        </w:rPr>
        <w:t>Por</w:t>
      </w:r>
      <w:r w:rsidRPr="00624696">
        <w:rPr>
          <w:spacing w:val="-8"/>
          <w:sz w:val="20"/>
          <w:lang w:val="es-AR"/>
        </w:rPr>
        <w:t xml:space="preserve"> </w:t>
      </w:r>
      <w:r w:rsidRPr="00624696">
        <w:rPr>
          <w:sz w:val="20"/>
          <w:lang w:val="es-AR"/>
        </w:rPr>
        <w:t>ello,</w:t>
      </w:r>
      <w:r w:rsidRPr="00624696">
        <w:rPr>
          <w:spacing w:val="-8"/>
          <w:sz w:val="20"/>
          <w:lang w:val="es-AR"/>
        </w:rPr>
        <w:t xml:space="preserve"> </w:t>
      </w:r>
      <w:r w:rsidRPr="00624696">
        <w:rPr>
          <w:sz w:val="20"/>
          <w:lang w:val="es-AR"/>
        </w:rPr>
        <w:t>este</w:t>
      </w:r>
      <w:r w:rsidRPr="00624696">
        <w:rPr>
          <w:spacing w:val="-8"/>
          <w:sz w:val="20"/>
          <w:lang w:val="es-AR"/>
        </w:rPr>
        <w:t xml:space="preserve"> </w:t>
      </w:r>
      <w:r w:rsidRPr="00624696">
        <w:rPr>
          <w:sz w:val="20"/>
          <w:lang w:val="es-AR"/>
        </w:rPr>
        <w:t>Tribunal</w:t>
      </w:r>
      <w:r w:rsidRPr="00624696">
        <w:rPr>
          <w:spacing w:val="-10"/>
          <w:sz w:val="20"/>
          <w:lang w:val="es-AR"/>
        </w:rPr>
        <w:t xml:space="preserve"> </w:t>
      </w:r>
      <w:r w:rsidRPr="00624696">
        <w:rPr>
          <w:sz w:val="20"/>
          <w:lang w:val="es-AR"/>
        </w:rPr>
        <w:t>va</w:t>
      </w:r>
      <w:r w:rsidRPr="00624696">
        <w:rPr>
          <w:spacing w:val="-9"/>
          <w:sz w:val="20"/>
          <w:lang w:val="es-AR"/>
        </w:rPr>
        <w:t xml:space="preserve"> </w:t>
      </w:r>
      <w:r w:rsidRPr="00624696">
        <w:rPr>
          <w:sz w:val="20"/>
          <w:lang w:val="es-AR"/>
        </w:rPr>
        <w:t>a</w:t>
      </w:r>
      <w:r w:rsidRPr="00624696">
        <w:rPr>
          <w:spacing w:val="-10"/>
          <w:sz w:val="20"/>
          <w:lang w:val="es-AR"/>
        </w:rPr>
        <w:t xml:space="preserve"> </w:t>
      </w:r>
      <w:r w:rsidRPr="00624696">
        <w:rPr>
          <w:sz w:val="20"/>
          <w:lang w:val="es-AR"/>
        </w:rPr>
        <w:t>examinar ese asunto como consideración previa (</w:t>
      </w:r>
      <w:r w:rsidRPr="00624696">
        <w:rPr>
          <w:i/>
          <w:sz w:val="20"/>
          <w:lang w:val="es-AR"/>
        </w:rPr>
        <w:t xml:space="preserve">infra </w:t>
      </w:r>
      <w:r w:rsidRPr="00624696">
        <w:rPr>
          <w:sz w:val="20"/>
          <w:lang w:val="es-AR"/>
        </w:rPr>
        <w:t xml:space="preserve">párrs. </w:t>
      </w:r>
      <w:r>
        <w:rPr>
          <w:sz w:val="20"/>
        </w:rPr>
        <w:t>34 a</w:t>
      </w:r>
      <w:r>
        <w:rPr>
          <w:spacing w:val="-7"/>
          <w:sz w:val="20"/>
        </w:rPr>
        <w:t xml:space="preserve"> </w:t>
      </w:r>
      <w:r>
        <w:rPr>
          <w:sz w:val="20"/>
        </w:rPr>
        <w:t>49).</w:t>
      </w:r>
    </w:p>
    <w:p w14:paraId="387B58CE" w14:textId="77777777" w:rsidR="00467FCA" w:rsidRDefault="00467FCA">
      <w:pPr>
        <w:pStyle w:val="Textoindependiente"/>
        <w:rPr>
          <w:sz w:val="24"/>
        </w:rPr>
      </w:pPr>
    </w:p>
    <w:p w14:paraId="6F0AAE46" w14:textId="77777777" w:rsidR="00467FCA" w:rsidRPr="00624696" w:rsidRDefault="001B68EB">
      <w:pPr>
        <w:pStyle w:val="Ttulo1"/>
        <w:numPr>
          <w:ilvl w:val="1"/>
          <w:numId w:val="50"/>
        </w:numPr>
        <w:tabs>
          <w:tab w:val="left" w:pos="840"/>
        </w:tabs>
        <w:spacing w:before="194"/>
        <w:ind w:right="118"/>
        <w:rPr>
          <w:lang w:val="es-AR"/>
        </w:rPr>
      </w:pPr>
      <w:bookmarkStart w:id="27" w:name="A._Alegada_inadmisibilidad_del_sometimie"/>
      <w:bookmarkStart w:id="28" w:name="_bookmark22"/>
      <w:bookmarkEnd w:id="27"/>
      <w:bookmarkEnd w:id="28"/>
      <w:r w:rsidRPr="00624696">
        <w:rPr>
          <w:lang w:val="es-AR"/>
        </w:rPr>
        <w:t>A</w:t>
      </w:r>
      <w:r w:rsidRPr="00624696">
        <w:rPr>
          <w:lang w:val="es-AR"/>
        </w:rPr>
        <w:t>legada inadmisibilidad del sometimiento del caso a la Corte en virtud de la publicación del Informe de Admisibilidad y Fondo por parte de la</w:t>
      </w:r>
      <w:r w:rsidRPr="00624696">
        <w:rPr>
          <w:spacing w:val="-29"/>
          <w:lang w:val="es-AR"/>
        </w:rPr>
        <w:t xml:space="preserve"> </w:t>
      </w:r>
      <w:r w:rsidRPr="00624696">
        <w:rPr>
          <w:lang w:val="es-AR"/>
        </w:rPr>
        <w:t>Comisión</w:t>
      </w:r>
    </w:p>
    <w:p w14:paraId="07CCB2A9" w14:textId="77777777" w:rsidR="00467FCA" w:rsidRPr="00624696" w:rsidRDefault="00467FCA">
      <w:pPr>
        <w:pStyle w:val="Textoindependiente"/>
        <w:rPr>
          <w:b/>
          <w:lang w:val="es-AR"/>
        </w:rPr>
      </w:pPr>
    </w:p>
    <w:p w14:paraId="52EEC15B" w14:textId="77777777" w:rsidR="00467FCA" w:rsidRPr="00624696" w:rsidRDefault="001B68EB">
      <w:pPr>
        <w:pStyle w:val="Ttulo2"/>
        <w:numPr>
          <w:ilvl w:val="2"/>
          <w:numId w:val="50"/>
        </w:numPr>
        <w:tabs>
          <w:tab w:val="left" w:pos="1501"/>
          <w:tab w:val="left" w:pos="1502"/>
          <w:tab w:val="left" w:pos="2698"/>
          <w:tab w:val="left" w:pos="3262"/>
          <w:tab w:val="left" w:pos="4311"/>
          <w:tab w:val="left" w:pos="6140"/>
          <w:tab w:val="left" w:pos="6634"/>
          <w:tab w:val="left" w:pos="7056"/>
          <w:tab w:val="left" w:pos="8309"/>
          <w:tab w:val="left" w:pos="8660"/>
          <w:tab w:val="left" w:pos="9154"/>
        </w:tabs>
        <w:ind w:right="118" w:firstLine="0"/>
        <w:rPr>
          <w:lang w:val="es-AR"/>
        </w:rPr>
      </w:pPr>
      <w:bookmarkStart w:id="29" w:name="A.1._Alegatos_del_Estado,_observaciones_"/>
      <w:bookmarkStart w:id="30" w:name="_bookmark23"/>
      <w:bookmarkEnd w:id="29"/>
      <w:bookmarkEnd w:id="30"/>
      <w:r w:rsidRPr="00624696">
        <w:rPr>
          <w:lang w:val="es-AR"/>
        </w:rPr>
        <w:t>Alegatos</w:t>
      </w:r>
      <w:r w:rsidRPr="00624696">
        <w:rPr>
          <w:lang w:val="es-AR"/>
        </w:rPr>
        <w:tab/>
        <w:t>del</w:t>
      </w:r>
      <w:r w:rsidRPr="00624696">
        <w:rPr>
          <w:lang w:val="es-AR"/>
        </w:rPr>
        <w:tab/>
        <w:t>Estado,</w:t>
      </w:r>
      <w:r w:rsidRPr="00624696">
        <w:rPr>
          <w:lang w:val="es-AR"/>
        </w:rPr>
        <w:tab/>
        <w:t>observaciones</w:t>
      </w:r>
      <w:r w:rsidRPr="00624696">
        <w:rPr>
          <w:lang w:val="es-AR"/>
        </w:rPr>
        <w:tab/>
        <w:t>de</w:t>
      </w:r>
      <w:r w:rsidRPr="00624696">
        <w:rPr>
          <w:lang w:val="es-AR"/>
        </w:rPr>
        <w:tab/>
        <w:t>la</w:t>
      </w:r>
      <w:r w:rsidRPr="00624696">
        <w:rPr>
          <w:lang w:val="es-AR"/>
        </w:rPr>
        <w:tab/>
        <w:t>Comisión</w:t>
      </w:r>
      <w:r w:rsidRPr="00624696">
        <w:rPr>
          <w:lang w:val="es-AR"/>
        </w:rPr>
        <w:tab/>
        <w:t>y</w:t>
      </w:r>
      <w:r w:rsidRPr="00624696">
        <w:rPr>
          <w:lang w:val="es-AR"/>
        </w:rPr>
        <w:tab/>
        <w:t>de</w:t>
      </w:r>
      <w:r w:rsidRPr="00624696">
        <w:rPr>
          <w:lang w:val="es-AR"/>
        </w:rPr>
        <w:tab/>
      </w:r>
      <w:r w:rsidRPr="00624696">
        <w:rPr>
          <w:spacing w:val="-6"/>
          <w:lang w:val="es-AR"/>
        </w:rPr>
        <w:t xml:space="preserve">los </w:t>
      </w:r>
      <w:r w:rsidRPr="00624696">
        <w:rPr>
          <w:lang w:val="es-AR"/>
        </w:rPr>
        <w:t>representantes</w:t>
      </w:r>
    </w:p>
    <w:p w14:paraId="2C7C903C" w14:textId="77777777" w:rsidR="00467FCA" w:rsidRPr="00624696" w:rsidRDefault="00467FCA">
      <w:pPr>
        <w:pStyle w:val="Textoindependiente"/>
        <w:rPr>
          <w:b/>
          <w:i/>
          <w:lang w:val="es-AR"/>
        </w:rPr>
      </w:pPr>
    </w:p>
    <w:p w14:paraId="41B60EE9" w14:textId="77777777" w:rsidR="00467FCA" w:rsidRPr="00624696" w:rsidRDefault="001B68EB">
      <w:pPr>
        <w:pStyle w:val="Prrafodelista"/>
        <w:numPr>
          <w:ilvl w:val="0"/>
          <w:numId w:val="50"/>
        </w:numPr>
        <w:tabs>
          <w:tab w:val="left" w:pos="686"/>
        </w:tabs>
        <w:spacing w:before="1"/>
        <w:ind w:left="119" w:right="120" w:firstLine="0"/>
        <w:jc w:val="both"/>
        <w:rPr>
          <w:sz w:val="20"/>
          <w:lang w:val="es-AR"/>
        </w:rPr>
      </w:pPr>
      <w:r w:rsidRPr="00624696">
        <w:rPr>
          <w:sz w:val="20"/>
          <w:lang w:val="es-AR"/>
        </w:rPr>
        <w:t xml:space="preserve">El </w:t>
      </w:r>
      <w:r w:rsidRPr="00624696">
        <w:rPr>
          <w:b/>
          <w:i/>
          <w:sz w:val="20"/>
          <w:lang w:val="es-AR"/>
        </w:rPr>
        <w:t xml:space="preserve">Estado </w:t>
      </w:r>
      <w:r w:rsidRPr="00624696">
        <w:rPr>
          <w:sz w:val="20"/>
          <w:lang w:val="es-AR"/>
        </w:rPr>
        <w:t>señaló que la Comisión, al publicar en su página web el Informe de Admisibilidad</w:t>
      </w:r>
      <w:r w:rsidRPr="00624696">
        <w:rPr>
          <w:spacing w:val="-16"/>
          <w:sz w:val="20"/>
          <w:lang w:val="es-AR"/>
        </w:rPr>
        <w:t xml:space="preserve"> </w:t>
      </w:r>
      <w:r w:rsidRPr="00624696">
        <w:rPr>
          <w:sz w:val="20"/>
          <w:lang w:val="es-AR"/>
        </w:rPr>
        <w:t>y</w:t>
      </w:r>
      <w:r w:rsidRPr="00624696">
        <w:rPr>
          <w:spacing w:val="-16"/>
          <w:sz w:val="20"/>
          <w:lang w:val="es-AR"/>
        </w:rPr>
        <w:t xml:space="preserve"> </w:t>
      </w:r>
      <w:r w:rsidRPr="00624696">
        <w:rPr>
          <w:sz w:val="20"/>
          <w:lang w:val="es-AR"/>
        </w:rPr>
        <w:t>Fondo</w:t>
      </w:r>
      <w:r w:rsidRPr="00624696">
        <w:rPr>
          <w:spacing w:val="-17"/>
          <w:sz w:val="20"/>
          <w:lang w:val="es-AR"/>
        </w:rPr>
        <w:t xml:space="preserve"> </w:t>
      </w:r>
      <w:r w:rsidRPr="00624696">
        <w:rPr>
          <w:sz w:val="20"/>
          <w:lang w:val="es-AR"/>
        </w:rPr>
        <w:t>del</w:t>
      </w:r>
      <w:r w:rsidRPr="00624696">
        <w:rPr>
          <w:spacing w:val="-16"/>
          <w:sz w:val="20"/>
          <w:lang w:val="es-AR"/>
        </w:rPr>
        <w:t xml:space="preserve"> </w:t>
      </w:r>
      <w:r w:rsidRPr="00624696">
        <w:rPr>
          <w:sz w:val="20"/>
          <w:lang w:val="es-AR"/>
        </w:rPr>
        <w:t>presente</w:t>
      </w:r>
      <w:r w:rsidRPr="00624696">
        <w:rPr>
          <w:spacing w:val="-17"/>
          <w:sz w:val="20"/>
          <w:lang w:val="es-AR"/>
        </w:rPr>
        <w:t xml:space="preserve"> </w:t>
      </w:r>
      <w:r w:rsidRPr="00624696">
        <w:rPr>
          <w:sz w:val="20"/>
          <w:lang w:val="es-AR"/>
        </w:rPr>
        <w:t>caso,</w:t>
      </w:r>
      <w:r w:rsidRPr="00624696">
        <w:rPr>
          <w:spacing w:val="-17"/>
          <w:sz w:val="20"/>
          <w:lang w:val="es-AR"/>
        </w:rPr>
        <w:t xml:space="preserve"> </w:t>
      </w:r>
      <w:r w:rsidRPr="00624696">
        <w:rPr>
          <w:sz w:val="20"/>
          <w:lang w:val="es-AR"/>
        </w:rPr>
        <w:t>optó</w:t>
      </w:r>
      <w:r w:rsidRPr="00624696">
        <w:rPr>
          <w:spacing w:val="-17"/>
          <w:sz w:val="20"/>
          <w:lang w:val="es-AR"/>
        </w:rPr>
        <w:t xml:space="preserve"> </w:t>
      </w:r>
      <w:r w:rsidRPr="00624696">
        <w:rPr>
          <w:sz w:val="20"/>
          <w:lang w:val="es-AR"/>
        </w:rPr>
        <w:t>por</w:t>
      </w:r>
      <w:r w:rsidRPr="00624696">
        <w:rPr>
          <w:spacing w:val="-17"/>
          <w:sz w:val="20"/>
          <w:lang w:val="es-AR"/>
        </w:rPr>
        <w:t xml:space="preserve"> </w:t>
      </w:r>
      <w:r w:rsidRPr="00624696">
        <w:rPr>
          <w:sz w:val="20"/>
          <w:lang w:val="es-AR"/>
        </w:rPr>
        <w:t>la</w:t>
      </w:r>
      <w:r w:rsidRPr="00624696">
        <w:rPr>
          <w:spacing w:val="-16"/>
          <w:sz w:val="20"/>
          <w:lang w:val="es-AR"/>
        </w:rPr>
        <w:t xml:space="preserve"> </w:t>
      </w:r>
      <w:r w:rsidRPr="00624696">
        <w:rPr>
          <w:sz w:val="20"/>
          <w:lang w:val="es-AR"/>
        </w:rPr>
        <w:t>máxima</w:t>
      </w:r>
      <w:r w:rsidRPr="00624696">
        <w:rPr>
          <w:spacing w:val="-14"/>
          <w:sz w:val="20"/>
          <w:lang w:val="es-AR"/>
        </w:rPr>
        <w:t xml:space="preserve"> </w:t>
      </w:r>
      <w:r w:rsidRPr="00624696">
        <w:rPr>
          <w:sz w:val="20"/>
          <w:lang w:val="es-AR"/>
        </w:rPr>
        <w:t>sanción</w:t>
      </w:r>
      <w:r w:rsidRPr="00624696">
        <w:rPr>
          <w:spacing w:val="-15"/>
          <w:sz w:val="20"/>
          <w:lang w:val="es-AR"/>
        </w:rPr>
        <w:t xml:space="preserve"> </w:t>
      </w:r>
      <w:r w:rsidRPr="00624696">
        <w:rPr>
          <w:sz w:val="20"/>
          <w:lang w:val="es-AR"/>
        </w:rPr>
        <w:t>establecida</w:t>
      </w:r>
      <w:r w:rsidRPr="00624696">
        <w:rPr>
          <w:spacing w:val="-16"/>
          <w:sz w:val="20"/>
          <w:lang w:val="es-AR"/>
        </w:rPr>
        <w:t xml:space="preserve"> </w:t>
      </w:r>
      <w:r w:rsidRPr="00624696">
        <w:rPr>
          <w:sz w:val="20"/>
          <w:lang w:val="es-AR"/>
        </w:rPr>
        <w:t>en</w:t>
      </w:r>
      <w:r w:rsidRPr="00624696">
        <w:rPr>
          <w:spacing w:val="-14"/>
          <w:sz w:val="20"/>
          <w:lang w:val="es-AR"/>
        </w:rPr>
        <w:t xml:space="preserve"> </w:t>
      </w:r>
      <w:r w:rsidRPr="00624696">
        <w:rPr>
          <w:sz w:val="20"/>
          <w:lang w:val="es-AR"/>
        </w:rPr>
        <w:t>el</w:t>
      </w:r>
      <w:r w:rsidRPr="00624696">
        <w:rPr>
          <w:spacing w:val="-16"/>
          <w:sz w:val="20"/>
          <w:lang w:val="es-AR"/>
        </w:rPr>
        <w:t xml:space="preserve"> </w:t>
      </w:r>
      <w:r w:rsidRPr="00624696">
        <w:rPr>
          <w:sz w:val="20"/>
          <w:lang w:val="es-AR"/>
        </w:rPr>
        <w:t>artículo</w:t>
      </w:r>
    </w:p>
    <w:p w14:paraId="0066D492" w14:textId="77777777" w:rsidR="00467FCA" w:rsidRPr="00624696" w:rsidRDefault="001B68EB">
      <w:pPr>
        <w:pStyle w:val="Textoindependiente"/>
        <w:spacing w:before="7"/>
        <w:rPr>
          <w:sz w:val="29"/>
          <w:lang w:val="es-AR"/>
        </w:rPr>
      </w:pPr>
      <w:r>
        <w:pict w14:anchorId="0BD1446E">
          <v:shape id="_x0000_s1192" style="position:absolute;margin-left:1in;margin-top:20.25pt;width:2in;height:.1pt;z-index:-251654144;mso-wrap-distance-left:0;mso-wrap-distance-right:0;mso-position-horizontal-relative:page" coordorigin="1440,405" coordsize="2880,0" path="m1440,405r2880,e" filled="f" strokeweight=".6pt">
            <v:path arrowok="t"/>
            <w10:wrap type="topAndBottom" anchorx="page"/>
          </v:shape>
        </w:pict>
      </w:r>
    </w:p>
    <w:p w14:paraId="03F582F0" w14:textId="77777777" w:rsidR="00467FCA" w:rsidRPr="00624696" w:rsidRDefault="001B68EB">
      <w:pPr>
        <w:spacing w:before="74"/>
        <w:ind w:left="120" w:right="112" w:hanging="1"/>
        <w:jc w:val="both"/>
        <w:rPr>
          <w:sz w:val="16"/>
          <w:lang w:val="es-AR"/>
        </w:rPr>
      </w:pPr>
      <w:r w:rsidRPr="00624696">
        <w:rPr>
          <w:sz w:val="16"/>
          <w:lang w:val="es-AR"/>
        </w:rPr>
        <w:t>persona o institución ajena al litigio y al proceso que se sigue ante la Corte, con la final</w:t>
      </w:r>
      <w:r w:rsidRPr="00624696">
        <w:rPr>
          <w:sz w:val="16"/>
          <w:lang w:val="es-AR"/>
        </w:rPr>
        <w:t>idad de presentar razonamientos en torno a los hechos contenidos en el sometimiento del caso o formular consideraciones jurídicas sobre</w:t>
      </w:r>
      <w:r w:rsidRPr="00624696">
        <w:rPr>
          <w:spacing w:val="-5"/>
          <w:sz w:val="16"/>
          <w:lang w:val="es-AR"/>
        </w:rPr>
        <w:t xml:space="preserve"> </w:t>
      </w:r>
      <w:r w:rsidRPr="00624696">
        <w:rPr>
          <w:sz w:val="16"/>
          <w:lang w:val="es-AR"/>
        </w:rPr>
        <w:t>la</w:t>
      </w:r>
      <w:r w:rsidRPr="00624696">
        <w:rPr>
          <w:spacing w:val="-6"/>
          <w:sz w:val="16"/>
          <w:lang w:val="es-AR"/>
        </w:rPr>
        <w:t xml:space="preserve"> </w:t>
      </w:r>
      <w:r w:rsidRPr="00624696">
        <w:rPr>
          <w:sz w:val="16"/>
          <w:lang w:val="es-AR"/>
        </w:rPr>
        <w:t>materia</w:t>
      </w:r>
      <w:r w:rsidRPr="00624696">
        <w:rPr>
          <w:spacing w:val="-5"/>
          <w:sz w:val="16"/>
          <w:lang w:val="es-AR"/>
        </w:rPr>
        <w:t xml:space="preserve"> </w:t>
      </w:r>
      <w:r w:rsidRPr="00624696">
        <w:rPr>
          <w:sz w:val="16"/>
          <w:lang w:val="es-AR"/>
        </w:rPr>
        <w:t>del</w:t>
      </w:r>
      <w:r w:rsidRPr="00624696">
        <w:rPr>
          <w:spacing w:val="-6"/>
          <w:sz w:val="16"/>
          <w:lang w:val="es-AR"/>
        </w:rPr>
        <w:t xml:space="preserve"> </w:t>
      </w:r>
      <w:r w:rsidRPr="00624696">
        <w:rPr>
          <w:sz w:val="16"/>
          <w:lang w:val="es-AR"/>
        </w:rPr>
        <w:t>proceso.</w:t>
      </w:r>
      <w:r w:rsidRPr="00624696">
        <w:rPr>
          <w:spacing w:val="-6"/>
          <w:sz w:val="16"/>
          <w:lang w:val="es-AR"/>
        </w:rPr>
        <w:t xml:space="preserve"> </w:t>
      </w:r>
      <w:r w:rsidRPr="00624696">
        <w:rPr>
          <w:sz w:val="16"/>
          <w:lang w:val="es-AR"/>
        </w:rPr>
        <w:t>Adicionalmente,</w:t>
      </w:r>
      <w:r w:rsidRPr="00624696">
        <w:rPr>
          <w:spacing w:val="-3"/>
          <w:sz w:val="16"/>
          <w:lang w:val="es-AR"/>
        </w:rPr>
        <w:t xml:space="preserve"> </w:t>
      </w:r>
      <w:r w:rsidRPr="00624696">
        <w:rPr>
          <w:sz w:val="16"/>
          <w:lang w:val="es-AR"/>
        </w:rPr>
        <w:t>la</w:t>
      </w:r>
      <w:r w:rsidRPr="00624696">
        <w:rPr>
          <w:spacing w:val="-6"/>
          <w:sz w:val="16"/>
          <w:lang w:val="es-AR"/>
        </w:rPr>
        <w:t xml:space="preserve"> </w:t>
      </w:r>
      <w:r w:rsidRPr="00624696">
        <w:rPr>
          <w:sz w:val="16"/>
          <w:lang w:val="es-AR"/>
        </w:rPr>
        <w:t>Corte</w:t>
      </w:r>
      <w:r w:rsidRPr="00624696">
        <w:rPr>
          <w:spacing w:val="-7"/>
          <w:sz w:val="16"/>
          <w:lang w:val="es-AR"/>
        </w:rPr>
        <w:t xml:space="preserve"> </w:t>
      </w:r>
      <w:r w:rsidRPr="00624696">
        <w:rPr>
          <w:sz w:val="16"/>
          <w:lang w:val="es-AR"/>
        </w:rPr>
        <w:t>encuentra</w:t>
      </w:r>
      <w:r w:rsidRPr="00624696">
        <w:rPr>
          <w:spacing w:val="-6"/>
          <w:sz w:val="16"/>
          <w:lang w:val="es-AR"/>
        </w:rPr>
        <w:t xml:space="preserve"> </w:t>
      </w:r>
      <w:r w:rsidRPr="00624696">
        <w:rPr>
          <w:sz w:val="16"/>
          <w:lang w:val="es-AR"/>
        </w:rPr>
        <w:t>que</w:t>
      </w:r>
      <w:r w:rsidRPr="00624696">
        <w:rPr>
          <w:spacing w:val="-5"/>
          <w:sz w:val="16"/>
          <w:lang w:val="es-AR"/>
        </w:rPr>
        <w:t xml:space="preserve"> </w:t>
      </w:r>
      <w:r w:rsidRPr="00624696">
        <w:rPr>
          <w:sz w:val="16"/>
          <w:lang w:val="es-AR"/>
        </w:rPr>
        <w:t>las</w:t>
      </w:r>
      <w:r w:rsidRPr="00624696">
        <w:rPr>
          <w:spacing w:val="-5"/>
          <w:sz w:val="16"/>
          <w:lang w:val="es-AR"/>
        </w:rPr>
        <w:t xml:space="preserve"> </w:t>
      </w:r>
      <w:r w:rsidRPr="00624696">
        <w:rPr>
          <w:sz w:val="16"/>
          <w:lang w:val="es-AR"/>
        </w:rPr>
        <w:t>observaciones</w:t>
      </w:r>
      <w:r w:rsidRPr="00624696">
        <w:rPr>
          <w:spacing w:val="-4"/>
          <w:sz w:val="16"/>
          <w:lang w:val="es-AR"/>
        </w:rPr>
        <w:t xml:space="preserve"> </w:t>
      </w:r>
      <w:r w:rsidRPr="00624696">
        <w:rPr>
          <w:sz w:val="16"/>
          <w:lang w:val="es-AR"/>
        </w:rPr>
        <w:t>sobre</w:t>
      </w:r>
      <w:r w:rsidRPr="00624696">
        <w:rPr>
          <w:spacing w:val="-5"/>
          <w:sz w:val="16"/>
          <w:lang w:val="es-AR"/>
        </w:rPr>
        <w:t xml:space="preserve"> </w:t>
      </w:r>
      <w:r w:rsidRPr="00624696">
        <w:rPr>
          <w:sz w:val="16"/>
          <w:lang w:val="es-AR"/>
        </w:rPr>
        <w:t>el</w:t>
      </w:r>
      <w:r w:rsidRPr="00624696">
        <w:rPr>
          <w:spacing w:val="-6"/>
          <w:sz w:val="16"/>
          <w:lang w:val="es-AR"/>
        </w:rPr>
        <w:t xml:space="preserve"> </w:t>
      </w:r>
      <w:r w:rsidRPr="00624696">
        <w:rPr>
          <w:sz w:val="16"/>
          <w:lang w:val="es-AR"/>
        </w:rPr>
        <w:t>contenido</w:t>
      </w:r>
      <w:r w:rsidRPr="00624696">
        <w:rPr>
          <w:spacing w:val="-4"/>
          <w:sz w:val="16"/>
          <w:lang w:val="es-AR"/>
        </w:rPr>
        <w:t xml:space="preserve"> </w:t>
      </w:r>
      <w:r w:rsidRPr="00624696">
        <w:rPr>
          <w:sz w:val="16"/>
          <w:lang w:val="es-AR"/>
        </w:rPr>
        <w:t>y</w:t>
      </w:r>
      <w:r w:rsidRPr="00624696">
        <w:rPr>
          <w:spacing w:val="-4"/>
          <w:sz w:val="16"/>
          <w:lang w:val="es-AR"/>
        </w:rPr>
        <w:t xml:space="preserve"> </w:t>
      </w:r>
      <w:r w:rsidRPr="00624696">
        <w:rPr>
          <w:sz w:val="16"/>
          <w:lang w:val="es-AR"/>
        </w:rPr>
        <w:t>alcance de</w:t>
      </w:r>
      <w:r w:rsidRPr="00624696">
        <w:rPr>
          <w:spacing w:val="-10"/>
          <w:sz w:val="16"/>
          <w:lang w:val="es-AR"/>
        </w:rPr>
        <w:t xml:space="preserve"> </w:t>
      </w:r>
      <w:r w:rsidRPr="00624696">
        <w:rPr>
          <w:sz w:val="16"/>
          <w:lang w:val="es-AR"/>
        </w:rPr>
        <w:t>los</w:t>
      </w:r>
      <w:r w:rsidRPr="00624696">
        <w:rPr>
          <w:spacing w:val="-13"/>
          <w:sz w:val="16"/>
          <w:lang w:val="es-AR"/>
        </w:rPr>
        <w:t xml:space="preserve"> </w:t>
      </w:r>
      <w:r w:rsidRPr="00624696">
        <w:rPr>
          <w:sz w:val="16"/>
          <w:lang w:val="es-AR"/>
        </w:rPr>
        <w:t>referidos</w:t>
      </w:r>
      <w:r w:rsidRPr="00624696">
        <w:rPr>
          <w:spacing w:val="-10"/>
          <w:sz w:val="16"/>
          <w:lang w:val="es-AR"/>
        </w:rPr>
        <w:t xml:space="preserve"> </w:t>
      </w:r>
      <w:r w:rsidRPr="00624696">
        <w:rPr>
          <w:i/>
          <w:sz w:val="16"/>
          <w:lang w:val="es-AR"/>
        </w:rPr>
        <w:t>amici</w:t>
      </w:r>
      <w:r w:rsidRPr="00624696">
        <w:rPr>
          <w:i/>
          <w:spacing w:val="-14"/>
          <w:sz w:val="16"/>
          <w:lang w:val="es-AR"/>
        </w:rPr>
        <w:t xml:space="preserve"> </w:t>
      </w:r>
      <w:r w:rsidRPr="00624696">
        <w:rPr>
          <w:i/>
          <w:sz w:val="16"/>
          <w:lang w:val="es-AR"/>
        </w:rPr>
        <w:t>curiae</w:t>
      </w:r>
      <w:r w:rsidRPr="00624696">
        <w:rPr>
          <w:i/>
          <w:spacing w:val="-12"/>
          <w:sz w:val="16"/>
          <w:lang w:val="es-AR"/>
        </w:rPr>
        <w:t xml:space="preserve"> </w:t>
      </w:r>
      <w:r w:rsidRPr="00624696">
        <w:rPr>
          <w:sz w:val="16"/>
          <w:lang w:val="es-AR"/>
        </w:rPr>
        <w:t>no</w:t>
      </w:r>
      <w:r w:rsidRPr="00624696">
        <w:rPr>
          <w:spacing w:val="-10"/>
          <w:sz w:val="16"/>
          <w:lang w:val="es-AR"/>
        </w:rPr>
        <w:t xml:space="preserve"> </w:t>
      </w:r>
      <w:r w:rsidRPr="00624696">
        <w:rPr>
          <w:sz w:val="16"/>
          <w:lang w:val="es-AR"/>
        </w:rPr>
        <w:t>afectan</w:t>
      </w:r>
      <w:r w:rsidRPr="00624696">
        <w:rPr>
          <w:spacing w:val="-14"/>
          <w:sz w:val="16"/>
          <w:lang w:val="es-AR"/>
        </w:rPr>
        <w:t xml:space="preserve"> </w:t>
      </w:r>
      <w:r w:rsidRPr="00624696">
        <w:rPr>
          <w:sz w:val="16"/>
          <w:lang w:val="es-AR"/>
        </w:rPr>
        <w:t>su</w:t>
      </w:r>
      <w:r w:rsidRPr="00624696">
        <w:rPr>
          <w:spacing w:val="-11"/>
          <w:sz w:val="16"/>
          <w:lang w:val="es-AR"/>
        </w:rPr>
        <w:t xml:space="preserve"> </w:t>
      </w:r>
      <w:r w:rsidRPr="00624696">
        <w:rPr>
          <w:sz w:val="16"/>
          <w:lang w:val="es-AR"/>
        </w:rPr>
        <w:t>admisibilidad.</w:t>
      </w:r>
      <w:r w:rsidRPr="00624696">
        <w:rPr>
          <w:spacing w:val="-12"/>
          <w:sz w:val="16"/>
          <w:lang w:val="es-AR"/>
        </w:rPr>
        <w:t xml:space="preserve"> </w:t>
      </w:r>
      <w:r>
        <w:rPr>
          <w:i/>
          <w:sz w:val="16"/>
        </w:rPr>
        <w:t>Cfr.</w:t>
      </w:r>
      <w:r>
        <w:rPr>
          <w:i/>
          <w:spacing w:val="-11"/>
          <w:sz w:val="16"/>
        </w:rPr>
        <w:t xml:space="preserve"> </w:t>
      </w:r>
      <w:r>
        <w:rPr>
          <w:i/>
          <w:sz w:val="16"/>
        </w:rPr>
        <w:t>Caso</w:t>
      </w:r>
      <w:r>
        <w:rPr>
          <w:i/>
          <w:spacing w:val="-10"/>
          <w:sz w:val="16"/>
        </w:rPr>
        <w:t xml:space="preserve"> </w:t>
      </w:r>
      <w:r>
        <w:rPr>
          <w:i/>
          <w:sz w:val="16"/>
        </w:rPr>
        <w:t>Pueblo</w:t>
      </w:r>
      <w:r>
        <w:rPr>
          <w:i/>
          <w:spacing w:val="-10"/>
          <w:sz w:val="16"/>
        </w:rPr>
        <w:t xml:space="preserve"> </w:t>
      </w:r>
      <w:r>
        <w:rPr>
          <w:i/>
          <w:sz w:val="16"/>
        </w:rPr>
        <w:t>Indígena</w:t>
      </w:r>
      <w:r>
        <w:rPr>
          <w:i/>
          <w:spacing w:val="-13"/>
          <w:sz w:val="16"/>
        </w:rPr>
        <w:t xml:space="preserve"> </w:t>
      </w:r>
      <w:r>
        <w:rPr>
          <w:i/>
          <w:sz w:val="16"/>
        </w:rPr>
        <w:t>Xucuru</w:t>
      </w:r>
      <w:r>
        <w:rPr>
          <w:i/>
          <w:spacing w:val="-14"/>
          <w:sz w:val="16"/>
        </w:rPr>
        <w:t xml:space="preserve"> </w:t>
      </w:r>
      <w:r>
        <w:rPr>
          <w:i/>
          <w:sz w:val="16"/>
        </w:rPr>
        <w:t>y</w:t>
      </w:r>
      <w:r>
        <w:rPr>
          <w:i/>
          <w:spacing w:val="-12"/>
          <w:sz w:val="16"/>
        </w:rPr>
        <w:t xml:space="preserve"> </w:t>
      </w:r>
      <w:r>
        <w:rPr>
          <w:i/>
          <w:sz w:val="16"/>
        </w:rPr>
        <w:t>sus</w:t>
      </w:r>
      <w:r>
        <w:rPr>
          <w:i/>
          <w:spacing w:val="-12"/>
          <w:sz w:val="16"/>
        </w:rPr>
        <w:t xml:space="preserve"> </w:t>
      </w:r>
      <w:r>
        <w:rPr>
          <w:i/>
          <w:sz w:val="16"/>
        </w:rPr>
        <w:t>miembros</w:t>
      </w:r>
      <w:r>
        <w:rPr>
          <w:i/>
          <w:spacing w:val="-13"/>
          <w:sz w:val="16"/>
        </w:rPr>
        <w:t xml:space="preserve"> </w:t>
      </w:r>
      <w:r>
        <w:rPr>
          <w:i/>
          <w:sz w:val="16"/>
        </w:rPr>
        <w:t>Vs.</w:t>
      </w:r>
      <w:r>
        <w:rPr>
          <w:i/>
          <w:spacing w:val="-13"/>
          <w:sz w:val="16"/>
        </w:rPr>
        <w:t xml:space="preserve"> </w:t>
      </w:r>
      <w:r>
        <w:rPr>
          <w:i/>
          <w:sz w:val="16"/>
        </w:rPr>
        <w:t xml:space="preserve">Brasil. </w:t>
      </w:r>
      <w:r w:rsidRPr="00624696">
        <w:rPr>
          <w:i/>
          <w:sz w:val="16"/>
          <w:lang w:val="es-AR"/>
        </w:rPr>
        <w:t xml:space="preserve">Excepciones Preliminares, Fondo, Reparaciones y Costas. </w:t>
      </w:r>
      <w:r w:rsidRPr="00624696">
        <w:rPr>
          <w:sz w:val="16"/>
          <w:lang w:val="es-AR"/>
        </w:rPr>
        <w:t>Sentencia de 5 de febrero de 2018. Serie C No. 346, párr. 13.</w:t>
      </w:r>
    </w:p>
    <w:p w14:paraId="7CACF6DE" w14:textId="77777777" w:rsidR="00467FCA" w:rsidRPr="00624696" w:rsidRDefault="001B68EB">
      <w:pPr>
        <w:tabs>
          <w:tab w:val="left" w:pos="686"/>
        </w:tabs>
        <w:ind w:left="120" w:right="114" w:hanging="1"/>
        <w:jc w:val="both"/>
        <w:rPr>
          <w:sz w:val="16"/>
          <w:lang w:val="es-AR"/>
        </w:rPr>
      </w:pPr>
      <w:bookmarkStart w:id="31" w:name="_bookmark24"/>
      <w:bookmarkEnd w:id="31"/>
      <w:r w:rsidRPr="00624696">
        <w:rPr>
          <w:position w:val="6"/>
          <w:sz w:val="10"/>
          <w:lang w:val="es-AR"/>
        </w:rPr>
        <w:t>19</w:t>
      </w:r>
      <w:r w:rsidRPr="00624696">
        <w:rPr>
          <w:position w:val="6"/>
          <w:sz w:val="10"/>
          <w:lang w:val="es-AR"/>
        </w:rPr>
        <w:tab/>
      </w:r>
      <w:r w:rsidRPr="00624696">
        <w:rPr>
          <w:sz w:val="16"/>
          <w:lang w:val="es-AR"/>
        </w:rPr>
        <w:t>Debido a</w:t>
      </w:r>
      <w:r w:rsidRPr="00624696">
        <w:rPr>
          <w:sz w:val="16"/>
          <w:lang w:val="es-AR"/>
        </w:rPr>
        <w:t xml:space="preserve"> las circunstancias excepcionales ocasionadas por la pandemia COVID-19, esta Sentencia fue deliberada y aprobada durante el 135 Período Ordinario de Sesiones, el cual se llevó a cabo de forma no presencial utilizando medios tecnológicos, de conformidad con</w:t>
      </w:r>
      <w:r w:rsidRPr="00624696">
        <w:rPr>
          <w:sz w:val="16"/>
          <w:lang w:val="es-AR"/>
        </w:rPr>
        <w:t xml:space="preserve"> lo establecido en el Reglamento de la</w:t>
      </w:r>
      <w:r w:rsidRPr="00624696">
        <w:rPr>
          <w:spacing w:val="-17"/>
          <w:sz w:val="16"/>
          <w:lang w:val="es-AR"/>
        </w:rPr>
        <w:t xml:space="preserve"> </w:t>
      </w:r>
      <w:r w:rsidRPr="00624696">
        <w:rPr>
          <w:sz w:val="16"/>
          <w:lang w:val="es-AR"/>
        </w:rPr>
        <w:t>Corte.</w:t>
      </w:r>
    </w:p>
    <w:p w14:paraId="1287AE61" w14:textId="77777777" w:rsidR="00467FCA" w:rsidRDefault="001B68EB">
      <w:pPr>
        <w:tabs>
          <w:tab w:val="left" w:pos="839"/>
        </w:tabs>
        <w:ind w:left="118" w:right="115" w:firstLine="1"/>
        <w:jc w:val="both"/>
        <w:rPr>
          <w:sz w:val="16"/>
        </w:rPr>
      </w:pPr>
      <w:bookmarkStart w:id="32" w:name="_bookmark25"/>
      <w:bookmarkEnd w:id="32"/>
      <w:r w:rsidRPr="00624696">
        <w:rPr>
          <w:position w:val="6"/>
          <w:sz w:val="10"/>
          <w:lang w:val="es-AR"/>
        </w:rPr>
        <w:t>20</w:t>
      </w:r>
      <w:r w:rsidRPr="00624696">
        <w:rPr>
          <w:position w:val="6"/>
          <w:sz w:val="10"/>
          <w:lang w:val="es-AR"/>
        </w:rPr>
        <w:tab/>
      </w:r>
      <w:r w:rsidRPr="00624696">
        <w:rPr>
          <w:i/>
          <w:sz w:val="16"/>
          <w:lang w:val="es-AR"/>
        </w:rPr>
        <w:t xml:space="preserve">Cfr. Caso Rodríguez Revolorio y otros Vs. </w:t>
      </w:r>
      <w:r>
        <w:rPr>
          <w:i/>
          <w:sz w:val="16"/>
        </w:rPr>
        <w:t xml:space="preserve">Guatemala. </w:t>
      </w:r>
      <w:r w:rsidRPr="00624696">
        <w:rPr>
          <w:i/>
          <w:sz w:val="16"/>
          <w:lang w:val="es-AR"/>
        </w:rPr>
        <w:t xml:space="preserve">Excepción Preliminar, Fondo, Reparaciones y Costas. </w:t>
      </w:r>
      <w:r w:rsidRPr="00624696">
        <w:rPr>
          <w:sz w:val="16"/>
          <w:lang w:val="es-AR"/>
        </w:rPr>
        <w:t xml:space="preserve">Sentencia de 14 de octubre de 2019. Serie C No. 387, párr. 18, y </w:t>
      </w:r>
      <w:r w:rsidRPr="00624696">
        <w:rPr>
          <w:i/>
          <w:sz w:val="16"/>
          <w:lang w:val="es-AR"/>
        </w:rPr>
        <w:t xml:space="preserve">Caso Noguera y otra Vs. </w:t>
      </w:r>
      <w:r>
        <w:rPr>
          <w:i/>
          <w:sz w:val="16"/>
        </w:rPr>
        <w:t xml:space="preserve">Paraguay. </w:t>
      </w:r>
      <w:r w:rsidRPr="00624696">
        <w:rPr>
          <w:i/>
          <w:sz w:val="16"/>
          <w:lang w:val="es-AR"/>
        </w:rPr>
        <w:t>Fon</w:t>
      </w:r>
      <w:r w:rsidRPr="00624696">
        <w:rPr>
          <w:i/>
          <w:sz w:val="16"/>
          <w:lang w:val="es-AR"/>
        </w:rPr>
        <w:t xml:space="preserve">do, Reparaciones y Costas. </w:t>
      </w:r>
      <w:r w:rsidRPr="00624696">
        <w:rPr>
          <w:sz w:val="16"/>
          <w:lang w:val="es-AR"/>
        </w:rPr>
        <w:t>Sentencia de 9 de marzo de 2020. Serie C No. 401, párr.</w:t>
      </w:r>
      <w:r w:rsidRPr="00624696">
        <w:rPr>
          <w:spacing w:val="-17"/>
          <w:sz w:val="16"/>
          <w:lang w:val="es-AR"/>
        </w:rPr>
        <w:t xml:space="preserve"> </w:t>
      </w:r>
      <w:r>
        <w:rPr>
          <w:sz w:val="16"/>
        </w:rPr>
        <w:t>12.</w:t>
      </w:r>
    </w:p>
    <w:p w14:paraId="7A397901" w14:textId="77777777" w:rsidR="00467FCA" w:rsidRDefault="00467FCA">
      <w:pPr>
        <w:jc w:val="both"/>
        <w:rPr>
          <w:sz w:val="16"/>
        </w:rPr>
        <w:sectPr w:rsidR="00467FCA">
          <w:pgSz w:w="12240" w:h="15840"/>
          <w:pgMar w:top="1500" w:right="1320" w:bottom="1220" w:left="1320" w:header="0" w:footer="1037" w:gutter="0"/>
          <w:cols w:space="720"/>
        </w:sectPr>
      </w:pPr>
    </w:p>
    <w:p w14:paraId="09E41D4B" w14:textId="77777777" w:rsidR="00467FCA" w:rsidRPr="00624696" w:rsidRDefault="001B68EB">
      <w:pPr>
        <w:pStyle w:val="Textoindependiente"/>
        <w:spacing w:before="80"/>
        <w:ind w:left="120" w:right="117" w:hanging="1"/>
        <w:jc w:val="both"/>
        <w:rPr>
          <w:lang w:val="es-AR"/>
        </w:rPr>
      </w:pPr>
      <w:r w:rsidRPr="00624696">
        <w:rPr>
          <w:lang w:val="es-AR"/>
        </w:rPr>
        <w:t>51 de la Convención Americana, lo cual impediría el sometimiento del caso ante la Corte. Al respecto, citó la interpretación hecha por esta Corte respecto de los artículos 50 y 51 de la Convención en la Opinión Consultiva OC-13/93 e indicó que esos artícul</w:t>
      </w:r>
      <w:r w:rsidRPr="00624696">
        <w:rPr>
          <w:lang w:val="es-AR"/>
        </w:rPr>
        <w:t>os establecen etapas sucesivas. De modo que, si el caso ha sido introducido ante la Corte, la Comisión no está autorizada para publicar el informe, pues este será, conforme al artículo 50, el informe preliminar.</w:t>
      </w:r>
      <w:r w:rsidRPr="00624696">
        <w:rPr>
          <w:spacing w:val="-19"/>
          <w:lang w:val="es-AR"/>
        </w:rPr>
        <w:t xml:space="preserve"> </w:t>
      </w:r>
      <w:r w:rsidRPr="00624696">
        <w:rPr>
          <w:lang w:val="es-AR"/>
        </w:rPr>
        <w:t>Además,</w:t>
      </w:r>
      <w:r w:rsidRPr="00624696">
        <w:rPr>
          <w:spacing w:val="-19"/>
          <w:lang w:val="es-AR"/>
        </w:rPr>
        <w:t xml:space="preserve"> </w:t>
      </w:r>
      <w:r w:rsidRPr="00624696">
        <w:rPr>
          <w:lang w:val="es-AR"/>
        </w:rPr>
        <w:t>respaldó</w:t>
      </w:r>
      <w:r w:rsidRPr="00624696">
        <w:rPr>
          <w:spacing w:val="-20"/>
          <w:lang w:val="es-AR"/>
        </w:rPr>
        <w:t xml:space="preserve"> </w:t>
      </w:r>
      <w:r w:rsidRPr="00624696">
        <w:rPr>
          <w:lang w:val="es-AR"/>
        </w:rPr>
        <w:t>su</w:t>
      </w:r>
      <w:r w:rsidRPr="00624696">
        <w:rPr>
          <w:spacing w:val="-18"/>
          <w:lang w:val="es-AR"/>
        </w:rPr>
        <w:t xml:space="preserve"> </w:t>
      </w:r>
      <w:r w:rsidRPr="00624696">
        <w:rPr>
          <w:lang w:val="es-AR"/>
        </w:rPr>
        <w:t>posición</w:t>
      </w:r>
      <w:r w:rsidRPr="00624696">
        <w:rPr>
          <w:spacing w:val="-17"/>
          <w:lang w:val="es-AR"/>
        </w:rPr>
        <w:t xml:space="preserve"> </w:t>
      </w:r>
      <w:r w:rsidRPr="00624696">
        <w:rPr>
          <w:lang w:val="es-AR"/>
        </w:rPr>
        <w:t>con</w:t>
      </w:r>
      <w:r w:rsidRPr="00624696">
        <w:rPr>
          <w:spacing w:val="-17"/>
          <w:lang w:val="es-AR"/>
        </w:rPr>
        <w:t xml:space="preserve"> </w:t>
      </w:r>
      <w:r w:rsidRPr="00624696">
        <w:rPr>
          <w:lang w:val="es-AR"/>
        </w:rPr>
        <w:t>lo</w:t>
      </w:r>
      <w:r w:rsidRPr="00624696">
        <w:rPr>
          <w:spacing w:val="-17"/>
          <w:lang w:val="es-AR"/>
        </w:rPr>
        <w:t xml:space="preserve"> </w:t>
      </w:r>
      <w:r w:rsidRPr="00624696">
        <w:rPr>
          <w:lang w:val="es-AR"/>
        </w:rPr>
        <w:t>expuesto</w:t>
      </w:r>
      <w:r w:rsidRPr="00624696">
        <w:rPr>
          <w:spacing w:val="-17"/>
          <w:lang w:val="es-AR"/>
        </w:rPr>
        <w:t xml:space="preserve"> </w:t>
      </w:r>
      <w:r w:rsidRPr="00624696">
        <w:rPr>
          <w:lang w:val="es-AR"/>
        </w:rPr>
        <w:t>en</w:t>
      </w:r>
      <w:r w:rsidRPr="00624696">
        <w:rPr>
          <w:spacing w:val="-17"/>
          <w:lang w:val="es-AR"/>
        </w:rPr>
        <w:t xml:space="preserve"> </w:t>
      </w:r>
      <w:r w:rsidRPr="00624696">
        <w:rPr>
          <w:lang w:val="es-AR"/>
        </w:rPr>
        <w:t>el</w:t>
      </w:r>
      <w:r w:rsidRPr="00624696">
        <w:rPr>
          <w:spacing w:val="-18"/>
          <w:lang w:val="es-AR"/>
        </w:rPr>
        <w:t xml:space="preserve"> </w:t>
      </w:r>
      <w:r w:rsidRPr="00624696">
        <w:rPr>
          <w:lang w:val="es-AR"/>
        </w:rPr>
        <w:t>voto</w:t>
      </w:r>
      <w:r w:rsidRPr="00624696">
        <w:rPr>
          <w:spacing w:val="-20"/>
          <w:lang w:val="es-AR"/>
        </w:rPr>
        <w:t xml:space="preserve"> </w:t>
      </w:r>
      <w:r w:rsidRPr="00624696">
        <w:rPr>
          <w:lang w:val="es-AR"/>
        </w:rPr>
        <w:t>disidente</w:t>
      </w:r>
      <w:r w:rsidRPr="00624696">
        <w:rPr>
          <w:spacing w:val="-20"/>
          <w:lang w:val="es-AR"/>
        </w:rPr>
        <w:t xml:space="preserve"> </w:t>
      </w:r>
      <w:r w:rsidRPr="00624696">
        <w:rPr>
          <w:lang w:val="es-AR"/>
        </w:rPr>
        <w:t>del</w:t>
      </w:r>
      <w:r w:rsidRPr="00624696">
        <w:rPr>
          <w:spacing w:val="-18"/>
          <w:lang w:val="es-AR"/>
        </w:rPr>
        <w:t xml:space="preserve"> </w:t>
      </w:r>
      <w:r w:rsidRPr="00624696">
        <w:rPr>
          <w:lang w:val="es-AR"/>
        </w:rPr>
        <w:t>Juez</w:t>
      </w:r>
      <w:r w:rsidRPr="00624696">
        <w:rPr>
          <w:spacing w:val="-18"/>
          <w:lang w:val="es-AR"/>
        </w:rPr>
        <w:t xml:space="preserve"> </w:t>
      </w:r>
      <w:r w:rsidRPr="00624696">
        <w:rPr>
          <w:lang w:val="es-AR"/>
        </w:rPr>
        <w:t>Máximo Pacheco</w:t>
      </w:r>
      <w:r w:rsidRPr="00624696">
        <w:rPr>
          <w:spacing w:val="-11"/>
          <w:lang w:val="es-AR"/>
        </w:rPr>
        <w:t xml:space="preserve"> </w:t>
      </w:r>
      <w:r w:rsidRPr="00624696">
        <w:rPr>
          <w:lang w:val="es-AR"/>
        </w:rPr>
        <w:t>Gómez</w:t>
      </w:r>
      <w:r w:rsidRPr="00624696">
        <w:rPr>
          <w:spacing w:val="-8"/>
          <w:lang w:val="es-AR"/>
        </w:rPr>
        <w:t xml:space="preserve"> </w:t>
      </w:r>
      <w:r w:rsidRPr="00624696">
        <w:rPr>
          <w:lang w:val="es-AR"/>
        </w:rPr>
        <w:t>en</w:t>
      </w:r>
      <w:r w:rsidRPr="00624696">
        <w:rPr>
          <w:spacing w:val="-8"/>
          <w:lang w:val="es-AR"/>
        </w:rPr>
        <w:t xml:space="preserve"> </w:t>
      </w:r>
      <w:r w:rsidRPr="00624696">
        <w:rPr>
          <w:lang w:val="es-AR"/>
        </w:rPr>
        <w:t>la</w:t>
      </w:r>
      <w:r w:rsidRPr="00624696">
        <w:rPr>
          <w:spacing w:val="-11"/>
          <w:lang w:val="es-AR"/>
        </w:rPr>
        <w:t xml:space="preserve"> </w:t>
      </w:r>
      <w:r w:rsidRPr="00624696">
        <w:rPr>
          <w:lang w:val="es-AR"/>
        </w:rPr>
        <w:t>Opinión</w:t>
      </w:r>
      <w:r w:rsidRPr="00624696">
        <w:rPr>
          <w:spacing w:val="-10"/>
          <w:lang w:val="es-AR"/>
        </w:rPr>
        <w:t xml:space="preserve"> </w:t>
      </w:r>
      <w:r w:rsidRPr="00624696">
        <w:rPr>
          <w:lang w:val="es-AR"/>
        </w:rPr>
        <w:t>Consultiva</w:t>
      </w:r>
      <w:r w:rsidRPr="00624696">
        <w:rPr>
          <w:spacing w:val="-9"/>
          <w:lang w:val="es-AR"/>
        </w:rPr>
        <w:t xml:space="preserve"> </w:t>
      </w:r>
      <w:r w:rsidRPr="00624696">
        <w:rPr>
          <w:lang w:val="es-AR"/>
        </w:rPr>
        <w:t>OC-15/97.</w:t>
      </w:r>
      <w:r w:rsidRPr="00624696">
        <w:rPr>
          <w:spacing w:val="-12"/>
          <w:lang w:val="es-AR"/>
        </w:rPr>
        <w:t xml:space="preserve"> </w:t>
      </w:r>
      <w:r w:rsidRPr="00624696">
        <w:rPr>
          <w:lang w:val="es-AR"/>
        </w:rPr>
        <w:t>Para</w:t>
      </w:r>
      <w:r w:rsidRPr="00624696">
        <w:rPr>
          <w:spacing w:val="-6"/>
          <w:lang w:val="es-AR"/>
        </w:rPr>
        <w:t xml:space="preserve"> </w:t>
      </w:r>
      <w:r w:rsidRPr="00624696">
        <w:rPr>
          <w:lang w:val="es-AR"/>
        </w:rPr>
        <w:t>el</w:t>
      </w:r>
      <w:r w:rsidRPr="00624696">
        <w:rPr>
          <w:spacing w:val="-11"/>
          <w:lang w:val="es-AR"/>
        </w:rPr>
        <w:t xml:space="preserve"> </w:t>
      </w:r>
      <w:r w:rsidRPr="00624696">
        <w:rPr>
          <w:lang w:val="es-AR"/>
        </w:rPr>
        <w:t>Estado,</w:t>
      </w:r>
      <w:r w:rsidRPr="00624696">
        <w:rPr>
          <w:spacing w:val="-12"/>
          <w:lang w:val="es-AR"/>
        </w:rPr>
        <w:t xml:space="preserve"> </w:t>
      </w:r>
      <w:r w:rsidRPr="00624696">
        <w:rPr>
          <w:lang w:val="es-AR"/>
        </w:rPr>
        <w:t>la</w:t>
      </w:r>
      <w:r w:rsidRPr="00624696">
        <w:rPr>
          <w:spacing w:val="-9"/>
          <w:lang w:val="es-AR"/>
        </w:rPr>
        <w:t xml:space="preserve"> </w:t>
      </w:r>
      <w:r w:rsidRPr="00624696">
        <w:rPr>
          <w:lang w:val="es-AR"/>
        </w:rPr>
        <w:t>publicación</w:t>
      </w:r>
      <w:r w:rsidRPr="00624696">
        <w:rPr>
          <w:spacing w:val="-10"/>
          <w:lang w:val="es-AR"/>
        </w:rPr>
        <w:t xml:space="preserve"> </w:t>
      </w:r>
      <w:r w:rsidRPr="00624696">
        <w:rPr>
          <w:lang w:val="es-AR"/>
        </w:rPr>
        <w:t>del</w:t>
      </w:r>
      <w:r w:rsidRPr="00624696">
        <w:rPr>
          <w:spacing w:val="-9"/>
          <w:lang w:val="es-AR"/>
        </w:rPr>
        <w:t xml:space="preserve"> </w:t>
      </w:r>
      <w:r w:rsidRPr="00624696">
        <w:rPr>
          <w:lang w:val="es-AR"/>
        </w:rPr>
        <w:t>informe da cuenta de su carácter definitivo, lo que impide el sometimiento del caso ante la Corte. Subsidiariamente, el Estado solicit</w:t>
      </w:r>
      <w:r w:rsidRPr="00624696">
        <w:rPr>
          <w:lang w:val="es-AR"/>
        </w:rPr>
        <w:t>ó que la Corte declare que la conducta de la Comisión de publicar sus informes preliminares es violatoria de los artículos 50 y 51 de la Convención y, por lo tanto, requiera a la Comisión que retire el informe de su página</w:t>
      </w:r>
      <w:r w:rsidRPr="00624696">
        <w:rPr>
          <w:spacing w:val="-15"/>
          <w:lang w:val="es-AR"/>
        </w:rPr>
        <w:t xml:space="preserve"> </w:t>
      </w:r>
      <w:r w:rsidRPr="00624696">
        <w:rPr>
          <w:lang w:val="es-AR"/>
        </w:rPr>
        <w:t>web.</w:t>
      </w:r>
    </w:p>
    <w:p w14:paraId="0F447887" w14:textId="77777777" w:rsidR="00467FCA" w:rsidRPr="00624696" w:rsidRDefault="00467FCA">
      <w:pPr>
        <w:pStyle w:val="Textoindependiente"/>
        <w:rPr>
          <w:lang w:val="es-AR"/>
        </w:rPr>
      </w:pPr>
    </w:p>
    <w:p w14:paraId="50D081F3" w14:textId="77777777" w:rsidR="00467FCA" w:rsidRPr="00624696" w:rsidRDefault="001B68EB">
      <w:pPr>
        <w:pStyle w:val="Prrafodelista"/>
        <w:numPr>
          <w:ilvl w:val="0"/>
          <w:numId w:val="50"/>
        </w:numPr>
        <w:tabs>
          <w:tab w:val="left" w:pos="687"/>
        </w:tabs>
        <w:ind w:right="118" w:hanging="1"/>
        <w:jc w:val="both"/>
        <w:rPr>
          <w:sz w:val="20"/>
          <w:lang w:val="es-AR"/>
        </w:rPr>
      </w:pPr>
      <w:r w:rsidRPr="00624696">
        <w:rPr>
          <w:sz w:val="20"/>
          <w:lang w:val="es-AR"/>
        </w:rPr>
        <w:t xml:space="preserve">La </w:t>
      </w:r>
      <w:r w:rsidRPr="00624696">
        <w:rPr>
          <w:b/>
          <w:i/>
          <w:sz w:val="20"/>
          <w:lang w:val="es-AR"/>
        </w:rPr>
        <w:t xml:space="preserve">Comisión </w:t>
      </w:r>
      <w:r w:rsidRPr="00624696">
        <w:rPr>
          <w:sz w:val="20"/>
          <w:lang w:val="es-AR"/>
        </w:rPr>
        <w:t>señaló que lo a</w:t>
      </w:r>
      <w:r w:rsidRPr="00624696">
        <w:rPr>
          <w:sz w:val="20"/>
          <w:lang w:val="es-AR"/>
        </w:rPr>
        <w:t>legado por el Estado no constituye una excepción preliminar,</w:t>
      </w:r>
      <w:r w:rsidRPr="00624696">
        <w:rPr>
          <w:spacing w:val="-17"/>
          <w:sz w:val="20"/>
          <w:lang w:val="es-AR"/>
        </w:rPr>
        <w:t xml:space="preserve"> </w:t>
      </w:r>
      <w:r w:rsidRPr="00624696">
        <w:rPr>
          <w:sz w:val="20"/>
          <w:lang w:val="es-AR"/>
        </w:rPr>
        <w:t>pues</w:t>
      </w:r>
      <w:r w:rsidRPr="00624696">
        <w:rPr>
          <w:spacing w:val="-19"/>
          <w:sz w:val="20"/>
          <w:lang w:val="es-AR"/>
        </w:rPr>
        <w:t xml:space="preserve"> </w:t>
      </w:r>
      <w:r w:rsidRPr="00624696">
        <w:rPr>
          <w:sz w:val="20"/>
          <w:lang w:val="es-AR"/>
        </w:rPr>
        <w:t>no</w:t>
      </w:r>
      <w:r w:rsidRPr="00624696">
        <w:rPr>
          <w:spacing w:val="-16"/>
          <w:sz w:val="20"/>
          <w:lang w:val="es-AR"/>
        </w:rPr>
        <w:t xml:space="preserve"> </w:t>
      </w:r>
      <w:r w:rsidRPr="00624696">
        <w:rPr>
          <w:sz w:val="20"/>
          <w:lang w:val="es-AR"/>
        </w:rPr>
        <w:t>se</w:t>
      </w:r>
      <w:r w:rsidRPr="00624696">
        <w:rPr>
          <w:spacing w:val="-15"/>
          <w:sz w:val="20"/>
          <w:lang w:val="es-AR"/>
        </w:rPr>
        <w:t xml:space="preserve"> </w:t>
      </w:r>
      <w:r w:rsidRPr="00624696">
        <w:rPr>
          <w:sz w:val="20"/>
          <w:lang w:val="es-AR"/>
        </w:rPr>
        <w:t>refiere</w:t>
      </w:r>
      <w:r w:rsidRPr="00624696">
        <w:rPr>
          <w:spacing w:val="-19"/>
          <w:sz w:val="20"/>
          <w:lang w:val="es-AR"/>
        </w:rPr>
        <w:t xml:space="preserve"> </w:t>
      </w:r>
      <w:r w:rsidRPr="00624696">
        <w:rPr>
          <w:sz w:val="20"/>
          <w:lang w:val="es-AR"/>
        </w:rPr>
        <w:t>a</w:t>
      </w:r>
      <w:r w:rsidRPr="00624696">
        <w:rPr>
          <w:spacing w:val="-16"/>
          <w:sz w:val="20"/>
          <w:lang w:val="es-AR"/>
        </w:rPr>
        <w:t xml:space="preserve"> </w:t>
      </w:r>
      <w:r w:rsidRPr="00624696">
        <w:rPr>
          <w:sz w:val="20"/>
          <w:lang w:val="es-AR"/>
        </w:rPr>
        <w:t>cuestiones</w:t>
      </w:r>
      <w:r w:rsidRPr="00624696">
        <w:rPr>
          <w:spacing w:val="-17"/>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competencia</w:t>
      </w:r>
      <w:r w:rsidRPr="00624696">
        <w:rPr>
          <w:spacing w:val="-16"/>
          <w:sz w:val="20"/>
          <w:lang w:val="es-AR"/>
        </w:rPr>
        <w:t xml:space="preserve"> </w:t>
      </w:r>
      <w:r w:rsidRPr="00624696">
        <w:rPr>
          <w:sz w:val="20"/>
          <w:lang w:val="es-AR"/>
        </w:rPr>
        <w:t>ni</w:t>
      </w:r>
      <w:r w:rsidRPr="00624696">
        <w:rPr>
          <w:spacing w:val="-17"/>
          <w:sz w:val="20"/>
          <w:lang w:val="es-AR"/>
        </w:rPr>
        <w:t xml:space="preserve"> </w:t>
      </w:r>
      <w:r w:rsidRPr="00624696">
        <w:rPr>
          <w:sz w:val="20"/>
          <w:lang w:val="es-AR"/>
        </w:rPr>
        <w:t>a</w:t>
      </w:r>
      <w:r w:rsidRPr="00624696">
        <w:rPr>
          <w:spacing w:val="-16"/>
          <w:sz w:val="20"/>
          <w:lang w:val="es-AR"/>
        </w:rPr>
        <w:t xml:space="preserve"> </w:t>
      </w:r>
      <w:r w:rsidRPr="00624696">
        <w:rPr>
          <w:sz w:val="20"/>
          <w:lang w:val="es-AR"/>
        </w:rPr>
        <w:t>los</w:t>
      </w:r>
      <w:r w:rsidRPr="00624696">
        <w:rPr>
          <w:spacing w:val="-16"/>
          <w:sz w:val="20"/>
          <w:lang w:val="es-AR"/>
        </w:rPr>
        <w:t xml:space="preserve"> </w:t>
      </w:r>
      <w:r w:rsidRPr="00624696">
        <w:rPr>
          <w:sz w:val="20"/>
          <w:lang w:val="es-AR"/>
        </w:rPr>
        <w:t>requisitos</w:t>
      </w:r>
      <w:r w:rsidRPr="00624696">
        <w:rPr>
          <w:spacing w:val="-17"/>
          <w:sz w:val="20"/>
          <w:lang w:val="es-AR"/>
        </w:rPr>
        <w:t xml:space="preserve"> </w:t>
      </w:r>
      <w:r w:rsidRPr="00624696">
        <w:rPr>
          <w:sz w:val="20"/>
          <w:lang w:val="es-AR"/>
        </w:rPr>
        <w:t>de</w:t>
      </w:r>
      <w:r w:rsidRPr="00624696">
        <w:rPr>
          <w:spacing w:val="-17"/>
          <w:sz w:val="20"/>
          <w:lang w:val="es-AR"/>
        </w:rPr>
        <w:t xml:space="preserve"> </w:t>
      </w:r>
      <w:r w:rsidRPr="00624696">
        <w:rPr>
          <w:sz w:val="20"/>
          <w:lang w:val="es-AR"/>
        </w:rPr>
        <w:t>admisibilidad. Indicó,</w:t>
      </w:r>
      <w:r w:rsidRPr="00624696">
        <w:rPr>
          <w:spacing w:val="-9"/>
          <w:sz w:val="20"/>
          <w:lang w:val="es-AR"/>
        </w:rPr>
        <w:t xml:space="preserve"> </w:t>
      </w:r>
      <w:r w:rsidRPr="00624696">
        <w:rPr>
          <w:sz w:val="20"/>
          <w:lang w:val="es-AR"/>
        </w:rPr>
        <w:t>además,</w:t>
      </w:r>
      <w:r w:rsidRPr="00624696">
        <w:rPr>
          <w:spacing w:val="-6"/>
          <w:sz w:val="20"/>
          <w:lang w:val="es-AR"/>
        </w:rPr>
        <w:t xml:space="preserve"> </w:t>
      </w:r>
      <w:r w:rsidRPr="00624696">
        <w:rPr>
          <w:sz w:val="20"/>
          <w:lang w:val="es-AR"/>
        </w:rPr>
        <w:t>que</w:t>
      </w:r>
      <w:r w:rsidRPr="00624696">
        <w:rPr>
          <w:spacing w:val="-7"/>
          <w:sz w:val="20"/>
          <w:lang w:val="es-AR"/>
        </w:rPr>
        <w:t xml:space="preserve"> </w:t>
      </w:r>
      <w:r w:rsidRPr="00624696">
        <w:rPr>
          <w:sz w:val="20"/>
          <w:lang w:val="es-AR"/>
        </w:rPr>
        <w:t>el</w:t>
      </w:r>
      <w:r w:rsidRPr="00624696">
        <w:rPr>
          <w:spacing w:val="-5"/>
          <w:sz w:val="20"/>
          <w:lang w:val="es-AR"/>
        </w:rPr>
        <w:t xml:space="preserve"> </w:t>
      </w:r>
      <w:r w:rsidRPr="00624696">
        <w:rPr>
          <w:sz w:val="20"/>
          <w:lang w:val="es-AR"/>
        </w:rPr>
        <w:t>mismo</w:t>
      </w:r>
      <w:r w:rsidRPr="00624696">
        <w:rPr>
          <w:spacing w:val="-9"/>
          <w:sz w:val="20"/>
          <w:lang w:val="es-AR"/>
        </w:rPr>
        <w:t xml:space="preserve"> </w:t>
      </w:r>
      <w:r w:rsidRPr="00624696">
        <w:rPr>
          <w:sz w:val="20"/>
          <w:lang w:val="es-AR"/>
        </w:rPr>
        <w:t>argumento</w:t>
      </w:r>
      <w:r w:rsidRPr="00624696">
        <w:rPr>
          <w:spacing w:val="-7"/>
          <w:sz w:val="20"/>
          <w:lang w:val="es-AR"/>
        </w:rPr>
        <w:t xml:space="preserve"> </w:t>
      </w:r>
      <w:r w:rsidRPr="00624696">
        <w:rPr>
          <w:sz w:val="20"/>
          <w:lang w:val="es-AR"/>
        </w:rPr>
        <w:t>ya</w:t>
      </w:r>
      <w:r w:rsidRPr="00624696">
        <w:rPr>
          <w:spacing w:val="-8"/>
          <w:sz w:val="20"/>
          <w:lang w:val="es-AR"/>
        </w:rPr>
        <w:t xml:space="preserve"> </w:t>
      </w:r>
      <w:r w:rsidRPr="00624696">
        <w:rPr>
          <w:sz w:val="20"/>
          <w:lang w:val="es-AR"/>
        </w:rPr>
        <w:t>fue</w:t>
      </w:r>
      <w:r w:rsidRPr="00624696">
        <w:rPr>
          <w:spacing w:val="-9"/>
          <w:sz w:val="20"/>
          <w:lang w:val="es-AR"/>
        </w:rPr>
        <w:t xml:space="preserve"> </w:t>
      </w:r>
      <w:r w:rsidRPr="00624696">
        <w:rPr>
          <w:sz w:val="20"/>
          <w:lang w:val="es-AR"/>
        </w:rPr>
        <w:t>planteado</w:t>
      </w:r>
      <w:r w:rsidRPr="00624696">
        <w:rPr>
          <w:spacing w:val="-9"/>
          <w:sz w:val="20"/>
          <w:lang w:val="es-AR"/>
        </w:rPr>
        <w:t xml:space="preserve"> </w:t>
      </w:r>
      <w:r w:rsidRPr="00624696">
        <w:rPr>
          <w:sz w:val="20"/>
          <w:lang w:val="es-AR"/>
        </w:rPr>
        <w:t>por</w:t>
      </w:r>
      <w:r w:rsidRPr="00624696">
        <w:rPr>
          <w:spacing w:val="-7"/>
          <w:sz w:val="20"/>
          <w:lang w:val="es-AR"/>
        </w:rPr>
        <w:t xml:space="preserve"> </w:t>
      </w:r>
      <w:r w:rsidRPr="00624696">
        <w:rPr>
          <w:sz w:val="20"/>
          <w:lang w:val="es-AR"/>
        </w:rPr>
        <w:t>el</w:t>
      </w:r>
      <w:r w:rsidRPr="00624696">
        <w:rPr>
          <w:spacing w:val="-7"/>
          <w:sz w:val="20"/>
          <w:lang w:val="es-AR"/>
        </w:rPr>
        <w:t xml:space="preserve"> </w:t>
      </w:r>
      <w:r w:rsidRPr="00624696">
        <w:rPr>
          <w:sz w:val="20"/>
          <w:lang w:val="es-AR"/>
        </w:rPr>
        <w:t>Estado</w:t>
      </w:r>
      <w:r w:rsidRPr="00624696">
        <w:rPr>
          <w:spacing w:val="-9"/>
          <w:sz w:val="20"/>
          <w:lang w:val="es-AR"/>
        </w:rPr>
        <w:t xml:space="preserve"> </w:t>
      </w:r>
      <w:r w:rsidRPr="00624696">
        <w:rPr>
          <w:sz w:val="20"/>
          <w:lang w:val="es-AR"/>
        </w:rPr>
        <w:t>en</w:t>
      </w:r>
      <w:r w:rsidRPr="00624696">
        <w:rPr>
          <w:spacing w:val="-4"/>
          <w:sz w:val="20"/>
          <w:lang w:val="es-AR"/>
        </w:rPr>
        <w:t xml:space="preserve"> </w:t>
      </w:r>
      <w:r w:rsidRPr="00624696">
        <w:rPr>
          <w:sz w:val="20"/>
          <w:lang w:val="es-AR"/>
        </w:rPr>
        <w:t>otros</w:t>
      </w:r>
      <w:r w:rsidRPr="00624696">
        <w:rPr>
          <w:spacing w:val="-6"/>
          <w:sz w:val="20"/>
          <w:lang w:val="es-AR"/>
        </w:rPr>
        <w:t xml:space="preserve"> </w:t>
      </w:r>
      <w:r w:rsidRPr="00624696">
        <w:rPr>
          <w:sz w:val="20"/>
          <w:lang w:val="es-AR"/>
        </w:rPr>
        <w:t>casos</w:t>
      </w:r>
      <w:hyperlink w:anchor="_bookmark29" w:history="1">
        <w:r w:rsidRPr="00624696">
          <w:rPr>
            <w:position w:val="7"/>
            <w:sz w:val="13"/>
            <w:lang w:val="es-AR"/>
          </w:rPr>
          <w:t>21</w:t>
        </w:r>
      </w:hyperlink>
      <w:r w:rsidRPr="00624696">
        <w:rPr>
          <w:sz w:val="20"/>
          <w:lang w:val="es-AR"/>
        </w:rPr>
        <w:t>,</w:t>
      </w:r>
      <w:r w:rsidRPr="00624696">
        <w:rPr>
          <w:spacing w:val="-8"/>
          <w:sz w:val="20"/>
          <w:lang w:val="es-AR"/>
        </w:rPr>
        <w:t xml:space="preserve"> </w:t>
      </w:r>
      <w:r w:rsidRPr="00624696">
        <w:rPr>
          <w:sz w:val="20"/>
          <w:lang w:val="es-AR"/>
        </w:rPr>
        <w:t>en los que la Corte negó la procedencia de esta excepción preliminar por considerar que la práctica de publicación del informe luego de someter el caso a la Corte, no contraviene ninguna norma convencional o</w:t>
      </w:r>
      <w:r w:rsidRPr="00624696">
        <w:rPr>
          <w:spacing w:val="-4"/>
          <w:sz w:val="20"/>
          <w:lang w:val="es-AR"/>
        </w:rPr>
        <w:t xml:space="preserve"> </w:t>
      </w:r>
      <w:r w:rsidRPr="00624696">
        <w:rPr>
          <w:sz w:val="20"/>
          <w:lang w:val="es-AR"/>
        </w:rPr>
        <w:t>reglamentaria.</w:t>
      </w:r>
    </w:p>
    <w:p w14:paraId="6A1615E0" w14:textId="77777777" w:rsidR="00467FCA" w:rsidRPr="00624696" w:rsidRDefault="00467FCA">
      <w:pPr>
        <w:pStyle w:val="Textoindependiente"/>
        <w:spacing w:before="12"/>
        <w:rPr>
          <w:sz w:val="19"/>
          <w:lang w:val="es-AR"/>
        </w:rPr>
      </w:pPr>
    </w:p>
    <w:p w14:paraId="6C5220F7" w14:textId="77777777" w:rsidR="00467FCA" w:rsidRPr="00624696" w:rsidRDefault="001B68EB">
      <w:pPr>
        <w:pStyle w:val="Prrafodelista"/>
        <w:numPr>
          <w:ilvl w:val="0"/>
          <w:numId w:val="50"/>
        </w:numPr>
        <w:tabs>
          <w:tab w:val="left" w:pos="687"/>
        </w:tabs>
        <w:ind w:left="686" w:hanging="568"/>
        <w:jc w:val="both"/>
        <w:rPr>
          <w:sz w:val="20"/>
          <w:lang w:val="es-AR"/>
        </w:rPr>
      </w:pPr>
      <w:r w:rsidRPr="00624696">
        <w:rPr>
          <w:sz w:val="20"/>
          <w:lang w:val="es-AR"/>
        </w:rPr>
        <w:t xml:space="preserve">Los </w:t>
      </w:r>
      <w:r w:rsidRPr="00624696">
        <w:rPr>
          <w:b/>
          <w:i/>
          <w:sz w:val="20"/>
          <w:lang w:val="es-AR"/>
        </w:rPr>
        <w:t xml:space="preserve">representantes </w:t>
      </w:r>
      <w:r w:rsidRPr="00624696">
        <w:rPr>
          <w:sz w:val="20"/>
          <w:lang w:val="es-AR"/>
        </w:rPr>
        <w:t>reiteraron los argumentos presentados por la</w:t>
      </w:r>
      <w:r w:rsidRPr="00624696">
        <w:rPr>
          <w:spacing w:val="-10"/>
          <w:sz w:val="20"/>
          <w:lang w:val="es-AR"/>
        </w:rPr>
        <w:t xml:space="preserve"> </w:t>
      </w:r>
      <w:r w:rsidRPr="00624696">
        <w:rPr>
          <w:sz w:val="20"/>
          <w:lang w:val="es-AR"/>
        </w:rPr>
        <w:t>Comisión.</w:t>
      </w:r>
    </w:p>
    <w:p w14:paraId="25C7A7D5" w14:textId="77777777" w:rsidR="00467FCA" w:rsidRPr="00624696" w:rsidRDefault="00467FCA">
      <w:pPr>
        <w:pStyle w:val="Textoindependiente"/>
        <w:spacing w:before="1"/>
        <w:rPr>
          <w:lang w:val="es-AR"/>
        </w:rPr>
      </w:pPr>
    </w:p>
    <w:p w14:paraId="777E52D8" w14:textId="77777777" w:rsidR="00467FCA" w:rsidRDefault="001B68EB">
      <w:pPr>
        <w:pStyle w:val="Ttulo2"/>
        <w:numPr>
          <w:ilvl w:val="2"/>
          <w:numId w:val="50"/>
        </w:numPr>
        <w:tabs>
          <w:tab w:val="left" w:pos="1349"/>
        </w:tabs>
        <w:ind w:left="1348" w:hanging="509"/>
      </w:pPr>
      <w:bookmarkStart w:id="33" w:name="A.2._Consideraciones_de_la_Corte"/>
      <w:bookmarkStart w:id="34" w:name="_bookmark26"/>
      <w:bookmarkEnd w:id="33"/>
      <w:bookmarkEnd w:id="34"/>
      <w:r>
        <w:t>Consideraciones de la Corte</w:t>
      </w:r>
    </w:p>
    <w:p w14:paraId="443D18B6" w14:textId="77777777" w:rsidR="00467FCA" w:rsidRDefault="00467FCA">
      <w:pPr>
        <w:pStyle w:val="Textoindependiente"/>
        <w:spacing w:before="11"/>
        <w:rPr>
          <w:b/>
          <w:i/>
          <w:sz w:val="19"/>
        </w:rPr>
      </w:pPr>
    </w:p>
    <w:p w14:paraId="76E9DBD9" w14:textId="77777777" w:rsidR="00467FCA" w:rsidRPr="00624696" w:rsidRDefault="001B68EB">
      <w:pPr>
        <w:pStyle w:val="Prrafodelista"/>
        <w:numPr>
          <w:ilvl w:val="0"/>
          <w:numId w:val="50"/>
        </w:numPr>
        <w:tabs>
          <w:tab w:val="left" w:pos="687"/>
        </w:tabs>
        <w:ind w:right="116" w:firstLine="0"/>
        <w:jc w:val="both"/>
        <w:rPr>
          <w:sz w:val="20"/>
          <w:lang w:val="es-AR"/>
        </w:rPr>
      </w:pPr>
      <w:r w:rsidRPr="00624696">
        <w:rPr>
          <w:sz w:val="20"/>
          <w:lang w:val="es-AR"/>
        </w:rPr>
        <w:t>La</w:t>
      </w:r>
      <w:r w:rsidRPr="00624696">
        <w:rPr>
          <w:spacing w:val="-12"/>
          <w:sz w:val="20"/>
          <w:lang w:val="es-AR"/>
        </w:rPr>
        <w:t xml:space="preserve"> </w:t>
      </w:r>
      <w:r w:rsidRPr="00624696">
        <w:rPr>
          <w:sz w:val="20"/>
          <w:lang w:val="es-AR"/>
        </w:rPr>
        <w:t>Corte</w:t>
      </w:r>
      <w:r w:rsidRPr="00624696">
        <w:rPr>
          <w:spacing w:val="-11"/>
          <w:sz w:val="20"/>
          <w:lang w:val="es-AR"/>
        </w:rPr>
        <w:t xml:space="preserve"> </w:t>
      </w:r>
      <w:r w:rsidRPr="00624696">
        <w:rPr>
          <w:sz w:val="20"/>
          <w:lang w:val="es-AR"/>
        </w:rPr>
        <w:t>reitera,</w:t>
      </w:r>
      <w:r w:rsidRPr="00624696">
        <w:rPr>
          <w:spacing w:val="-13"/>
          <w:sz w:val="20"/>
          <w:lang w:val="es-AR"/>
        </w:rPr>
        <w:t xml:space="preserve"> </w:t>
      </w:r>
      <w:r w:rsidRPr="00624696">
        <w:rPr>
          <w:sz w:val="20"/>
          <w:lang w:val="es-AR"/>
        </w:rPr>
        <w:t>tal</w:t>
      </w:r>
      <w:r w:rsidRPr="00624696">
        <w:rPr>
          <w:spacing w:val="-12"/>
          <w:sz w:val="20"/>
          <w:lang w:val="es-AR"/>
        </w:rPr>
        <w:t xml:space="preserve"> </w:t>
      </w:r>
      <w:r w:rsidRPr="00624696">
        <w:rPr>
          <w:sz w:val="20"/>
          <w:lang w:val="es-AR"/>
        </w:rPr>
        <w:t>como</w:t>
      </w:r>
      <w:r w:rsidRPr="00624696">
        <w:rPr>
          <w:spacing w:val="-14"/>
          <w:sz w:val="20"/>
          <w:lang w:val="es-AR"/>
        </w:rPr>
        <w:t xml:space="preserve"> </w:t>
      </w:r>
      <w:r w:rsidRPr="00624696">
        <w:rPr>
          <w:sz w:val="20"/>
          <w:lang w:val="es-AR"/>
        </w:rPr>
        <w:t>lo</w:t>
      </w:r>
      <w:r w:rsidRPr="00624696">
        <w:rPr>
          <w:spacing w:val="-13"/>
          <w:sz w:val="20"/>
          <w:lang w:val="es-AR"/>
        </w:rPr>
        <w:t xml:space="preserve"> </w:t>
      </w:r>
      <w:r w:rsidRPr="00624696">
        <w:rPr>
          <w:sz w:val="20"/>
          <w:lang w:val="es-AR"/>
        </w:rPr>
        <w:t>ha</w:t>
      </w:r>
      <w:r w:rsidRPr="00624696">
        <w:rPr>
          <w:spacing w:val="-12"/>
          <w:sz w:val="20"/>
          <w:lang w:val="es-AR"/>
        </w:rPr>
        <w:t xml:space="preserve"> </w:t>
      </w:r>
      <w:r w:rsidRPr="00624696">
        <w:rPr>
          <w:sz w:val="20"/>
          <w:lang w:val="es-AR"/>
        </w:rPr>
        <w:t>indicado</w:t>
      </w:r>
      <w:r w:rsidRPr="00624696">
        <w:rPr>
          <w:spacing w:val="-14"/>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los</w:t>
      </w:r>
      <w:r w:rsidRPr="00624696">
        <w:rPr>
          <w:spacing w:val="-13"/>
          <w:sz w:val="20"/>
          <w:lang w:val="es-AR"/>
        </w:rPr>
        <w:t xml:space="preserve"> </w:t>
      </w:r>
      <w:r w:rsidRPr="00624696">
        <w:rPr>
          <w:i/>
          <w:sz w:val="20"/>
          <w:lang w:val="es-AR"/>
        </w:rPr>
        <w:t>Casos</w:t>
      </w:r>
      <w:r w:rsidRPr="00624696">
        <w:rPr>
          <w:i/>
          <w:spacing w:val="-11"/>
          <w:sz w:val="20"/>
          <w:lang w:val="es-AR"/>
        </w:rPr>
        <w:t xml:space="preserve"> </w:t>
      </w:r>
      <w:r w:rsidRPr="00624696">
        <w:rPr>
          <w:i/>
          <w:sz w:val="20"/>
          <w:lang w:val="es-AR"/>
        </w:rPr>
        <w:t>Trabajadores</w:t>
      </w:r>
      <w:r w:rsidRPr="00624696">
        <w:rPr>
          <w:i/>
          <w:spacing w:val="-10"/>
          <w:sz w:val="20"/>
          <w:lang w:val="es-AR"/>
        </w:rPr>
        <w:t xml:space="preserve"> </w:t>
      </w:r>
      <w:r w:rsidRPr="00624696">
        <w:rPr>
          <w:i/>
          <w:sz w:val="20"/>
          <w:lang w:val="es-AR"/>
        </w:rPr>
        <w:t>de</w:t>
      </w:r>
      <w:r w:rsidRPr="00624696">
        <w:rPr>
          <w:i/>
          <w:spacing w:val="-14"/>
          <w:sz w:val="20"/>
          <w:lang w:val="es-AR"/>
        </w:rPr>
        <w:t xml:space="preserve"> </w:t>
      </w:r>
      <w:r w:rsidRPr="00624696">
        <w:rPr>
          <w:i/>
          <w:sz w:val="20"/>
          <w:lang w:val="es-AR"/>
        </w:rPr>
        <w:t>la</w:t>
      </w:r>
      <w:r w:rsidRPr="00624696">
        <w:rPr>
          <w:i/>
          <w:spacing w:val="-10"/>
          <w:sz w:val="20"/>
          <w:lang w:val="es-AR"/>
        </w:rPr>
        <w:t xml:space="preserve"> </w:t>
      </w:r>
      <w:r w:rsidRPr="00624696">
        <w:rPr>
          <w:i/>
          <w:sz w:val="20"/>
          <w:lang w:val="es-AR"/>
        </w:rPr>
        <w:t>Hacienda</w:t>
      </w:r>
      <w:r w:rsidRPr="00624696">
        <w:rPr>
          <w:i/>
          <w:spacing w:val="-12"/>
          <w:sz w:val="20"/>
          <w:lang w:val="es-AR"/>
        </w:rPr>
        <w:t xml:space="preserve"> </w:t>
      </w:r>
      <w:r w:rsidRPr="00624696">
        <w:rPr>
          <w:i/>
          <w:sz w:val="20"/>
          <w:lang w:val="es-AR"/>
        </w:rPr>
        <w:t>Brasil Verde</w:t>
      </w:r>
      <w:hyperlink w:anchor="_bookmark30" w:history="1">
        <w:r w:rsidRPr="00624696">
          <w:rPr>
            <w:position w:val="7"/>
            <w:sz w:val="13"/>
            <w:lang w:val="es-AR"/>
          </w:rPr>
          <w:t>22</w:t>
        </w:r>
      </w:hyperlink>
      <w:r w:rsidRPr="00624696">
        <w:rPr>
          <w:sz w:val="20"/>
          <w:lang w:val="es-AR"/>
        </w:rPr>
        <w:t xml:space="preserve">, </w:t>
      </w:r>
      <w:r w:rsidRPr="00624696">
        <w:rPr>
          <w:i/>
          <w:sz w:val="20"/>
          <w:lang w:val="es-AR"/>
        </w:rPr>
        <w:t>Favela Nova Brasilia</w:t>
      </w:r>
      <w:hyperlink w:anchor="_bookmark31" w:history="1">
        <w:r w:rsidRPr="00624696">
          <w:rPr>
            <w:position w:val="7"/>
            <w:sz w:val="13"/>
            <w:lang w:val="es-AR"/>
          </w:rPr>
          <w:t>23</w:t>
        </w:r>
      </w:hyperlink>
      <w:r w:rsidRPr="00624696">
        <w:rPr>
          <w:position w:val="7"/>
          <w:sz w:val="13"/>
          <w:lang w:val="es-AR"/>
        </w:rPr>
        <w:t xml:space="preserve"> </w:t>
      </w:r>
      <w:r w:rsidRPr="00624696">
        <w:rPr>
          <w:sz w:val="20"/>
          <w:lang w:val="es-AR"/>
        </w:rPr>
        <w:t xml:space="preserve">y </w:t>
      </w:r>
      <w:r w:rsidRPr="00624696">
        <w:rPr>
          <w:i/>
          <w:sz w:val="20"/>
          <w:lang w:val="es-AR"/>
        </w:rPr>
        <w:t>Pueblo Indígena Xucuru</w:t>
      </w:r>
      <w:hyperlink w:anchor="_bookmark32" w:history="1">
        <w:r w:rsidRPr="00624696">
          <w:rPr>
            <w:position w:val="7"/>
            <w:sz w:val="13"/>
            <w:lang w:val="es-AR"/>
          </w:rPr>
          <w:t>24</w:t>
        </w:r>
      </w:hyperlink>
      <w:r w:rsidRPr="00624696">
        <w:rPr>
          <w:sz w:val="20"/>
          <w:lang w:val="es-AR"/>
        </w:rPr>
        <w:t>, en los que Brasil ha presentado el mismo argumento, que la publicación del Informe de Fondo en la forma realiz</w:t>
      </w:r>
      <w:r w:rsidRPr="00624696">
        <w:rPr>
          <w:sz w:val="20"/>
          <w:lang w:val="es-AR"/>
        </w:rPr>
        <w:t>ada por la Comisión no implica la preclusión del caso ni viola ninguna norma convencional o reglamentaria. Además, el Estado no demostró que la publicación del Informe de Fondo se hubiera</w:t>
      </w:r>
      <w:r w:rsidRPr="00624696">
        <w:rPr>
          <w:spacing w:val="-15"/>
          <w:sz w:val="20"/>
          <w:lang w:val="es-AR"/>
        </w:rPr>
        <w:t xml:space="preserve"> </w:t>
      </w:r>
      <w:r w:rsidRPr="00624696">
        <w:rPr>
          <w:sz w:val="20"/>
          <w:lang w:val="es-AR"/>
        </w:rPr>
        <w:t>dado</w:t>
      </w:r>
      <w:r w:rsidRPr="00624696">
        <w:rPr>
          <w:spacing w:val="-15"/>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forma</w:t>
      </w:r>
      <w:r w:rsidRPr="00624696">
        <w:rPr>
          <w:spacing w:val="-14"/>
          <w:sz w:val="20"/>
          <w:lang w:val="es-AR"/>
        </w:rPr>
        <w:t xml:space="preserve"> </w:t>
      </w:r>
      <w:r w:rsidRPr="00624696">
        <w:rPr>
          <w:sz w:val="20"/>
          <w:lang w:val="es-AR"/>
        </w:rPr>
        <w:t>distinta</w:t>
      </w:r>
      <w:r w:rsidRPr="00624696">
        <w:rPr>
          <w:spacing w:val="-14"/>
          <w:sz w:val="20"/>
          <w:lang w:val="es-AR"/>
        </w:rPr>
        <w:t xml:space="preserve"> </w:t>
      </w:r>
      <w:r w:rsidRPr="00624696">
        <w:rPr>
          <w:sz w:val="20"/>
          <w:lang w:val="es-AR"/>
        </w:rPr>
        <w:t>a</w:t>
      </w:r>
      <w:r w:rsidRPr="00624696">
        <w:rPr>
          <w:spacing w:val="-15"/>
          <w:sz w:val="20"/>
          <w:lang w:val="es-AR"/>
        </w:rPr>
        <w:t xml:space="preserve"> </w:t>
      </w:r>
      <w:r w:rsidRPr="00624696">
        <w:rPr>
          <w:sz w:val="20"/>
          <w:lang w:val="es-AR"/>
        </w:rPr>
        <w:t>lo</w:t>
      </w:r>
      <w:r w:rsidRPr="00624696">
        <w:rPr>
          <w:spacing w:val="-13"/>
          <w:sz w:val="20"/>
          <w:lang w:val="es-AR"/>
        </w:rPr>
        <w:t xml:space="preserve"> </w:t>
      </w:r>
      <w:r w:rsidRPr="00624696">
        <w:rPr>
          <w:sz w:val="20"/>
          <w:lang w:val="es-AR"/>
        </w:rPr>
        <w:t>expuesto</w:t>
      </w:r>
      <w:r w:rsidRPr="00624696">
        <w:rPr>
          <w:spacing w:val="-15"/>
          <w:sz w:val="20"/>
          <w:lang w:val="es-AR"/>
        </w:rPr>
        <w:t xml:space="preserve"> </w:t>
      </w:r>
      <w:r w:rsidRPr="00624696">
        <w:rPr>
          <w:sz w:val="20"/>
          <w:lang w:val="es-AR"/>
        </w:rPr>
        <w:t>por</w:t>
      </w:r>
      <w:r w:rsidRPr="00624696">
        <w:rPr>
          <w:spacing w:val="-11"/>
          <w:sz w:val="20"/>
          <w:lang w:val="es-AR"/>
        </w:rPr>
        <w:t xml:space="preserve"> </w:t>
      </w:r>
      <w:r w:rsidRPr="00624696">
        <w:rPr>
          <w:sz w:val="20"/>
          <w:lang w:val="es-AR"/>
        </w:rPr>
        <w:t>la</w:t>
      </w:r>
      <w:r w:rsidRPr="00624696">
        <w:rPr>
          <w:spacing w:val="-14"/>
          <w:sz w:val="20"/>
          <w:lang w:val="es-AR"/>
        </w:rPr>
        <w:t xml:space="preserve"> </w:t>
      </w:r>
      <w:r w:rsidRPr="00624696">
        <w:rPr>
          <w:sz w:val="20"/>
          <w:lang w:val="es-AR"/>
        </w:rPr>
        <w:t>Comisión</w:t>
      </w:r>
      <w:r w:rsidRPr="00624696">
        <w:rPr>
          <w:spacing w:val="-12"/>
          <w:sz w:val="20"/>
          <w:lang w:val="es-AR"/>
        </w:rPr>
        <w:t xml:space="preserve"> </w:t>
      </w:r>
      <w:r w:rsidRPr="00624696">
        <w:rPr>
          <w:sz w:val="20"/>
          <w:lang w:val="es-AR"/>
        </w:rPr>
        <w:t>o</w:t>
      </w:r>
      <w:r w:rsidRPr="00624696">
        <w:rPr>
          <w:spacing w:val="-15"/>
          <w:sz w:val="20"/>
          <w:lang w:val="es-AR"/>
        </w:rPr>
        <w:t xml:space="preserve"> </w:t>
      </w:r>
      <w:r w:rsidRPr="00624696">
        <w:rPr>
          <w:sz w:val="20"/>
          <w:lang w:val="es-AR"/>
        </w:rPr>
        <w:t>que</w:t>
      </w:r>
      <w:r w:rsidRPr="00624696">
        <w:rPr>
          <w:spacing w:val="-13"/>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este</w:t>
      </w:r>
      <w:r w:rsidRPr="00624696">
        <w:rPr>
          <w:spacing w:val="-13"/>
          <w:sz w:val="20"/>
          <w:lang w:val="es-AR"/>
        </w:rPr>
        <w:t xml:space="preserve"> </w:t>
      </w:r>
      <w:r w:rsidRPr="00624696">
        <w:rPr>
          <w:sz w:val="20"/>
          <w:lang w:val="es-AR"/>
        </w:rPr>
        <w:t>caso</w:t>
      </w:r>
      <w:r w:rsidRPr="00624696">
        <w:rPr>
          <w:spacing w:val="-15"/>
          <w:sz w:val="20"/>
          <w:lang w:val="es-AR"/>
        </w:rPr>
        <w:t xml:space="preserve"> </w:t>
      </w:r>
      <w:r w:rsidRPr="00624696">
        <w:rPr>
          <w:sz w:val="20"/>
          <w:lang w:val="es-AR"/>
        </w:rPr>
        <w:t>la</w:t>
      </w:r>
      <w:r w:rsidRPr="00624696">
        <w:rPr>
          <w:spacing w:val="-13"/>
          <w:sz w:val="20"/>
          <w:lang w:val="es-AR"/>
        </w:rPr>
        <w:t xml:space="preserve"> </w:t>
      </w:r>
      <w:r w:rsidRPr="00624696">
        <w:rPr>
          <w:sz w:val="20"/>
          <w:lang w:val="es-AR"/>
        </w:rPr>
        <w:t>publicación se hubiera hecho de forma contraria a lo establecido por la Convención Americana. Por esa razón, el argumento del Estado resulta improcedente y se desestima la excepción preliminar opuesta.</w:t>
      </w:r>
    </w:p>
    <w:p w14:paraId="04A41CF4" w14:textId="77777777" w:rsidR="00467FCA" w:rsidRPr="00624696" w:rsidRDefault="00467FCA">
      <w:pPr>
        <w:pStyle w:val="Textoindependiente"/>
        <w:rPr>
          <w:lang w:val="es-AR"/>
        </w:rPr>
      </w:pPr>
    </w:p>
    <w:p w14:paraId="26F77FB4" w14:textId="77777777" w:rsidR="00467FCA" w:rsidRPr="00624696" w:rsidRDefault="001B68EB">
      <w:pPr>
        <w:pStyle w:val="Ttulo1"/>
        <w:numPr>
          <w:ilvl w:val="0"/>
          <w:numId w:val="49"/>
        </w:numPr>
        <w:tabs>
          <w:tab w:val="left" w:pos="841"/>
          <w:tab w:val="left" w:pos="1970"/>
          <w:tab w:val="left" w:pos="3833"/>
          <w:tab w:val="left" w:pos="4865"/>
          <w:tab w:val="left" w:pos="6096"/>
          <w:tab w:val="left" w:pos="7294"/>
          <w:tab w:val="left" w:pos="7795"/>
          <w:tab w:val="left" w:pos="8342"/>
        </w:tabs>
        <w:ind w:left="840" w:right="116" w:hanging="361"/>
        <w:jc w:val="left"/>
        <w:rPr>
          <w:lang w:val="es-AR"/>
        </w:rPr>
      </w:pPr>
      <w:bookmarkStart w:id="35" w:name="B._Alegada_incompetencia_ratione_materia"/>
      <w:bookmarkStart w:id="36" w:name="_bookmark27"/>
      <w:bookmarkEnd w:id="35"/>
      <w:bookmarkEnd w:id="36"/>
      <w:r w:rsidRPr="00624696">
        <w:rPr>
          <w:lang w:val="es-AR"/>
        </w:rPr>
        <w:t>Alegada</w:t>
      </w:r>
      <w:r w:rsidRPr="00624696">
        <w:rPr>
          <w:lang w:val="es-AR"/>
        </w:rPr>
        <w:tab/>
        <w:t>incompetencia</w:t>
      </w:r>
      <w:r w:rsidRPr="00624696">
        <w:rPr>
          <w:lang w:val="es-AR"/>
        </w:rPr>
        <w:tab/>
      </w:r>
      <w:r w:rsidRPr="00624696">
        <w:rPr>
          <w:i/>
          <w:lang w:val="es-AR"/>
        </w:rPr>
        <w:t>ratione</w:t>
      </w:r>
      <w:r w:rsidRPr="00624696">
        <w:rPr>
          <w:i/>
          <w:lang w:val="es-AR"/>
        </w:rPr>
        <w:tab/>
        <w:t>materiae</w:t>
      </w:r>
      <w:r w:rsidRPr="00624696">
        <w:rPr>
          <w:i/>
          <w:lang w:val="es-AR"/>
        </w:rPr>
        <w:tab/>
      </w:r>
      <w:r w:rsidRPr="00624696">
        <w:rPr>
          <w:lang w:val="es-AR"/>
        </w:rPr>
        <w:t>r</w:t>
      </w:r>
      <w:r w:rsidRPr="00624696">
        <w:rPr>
          <w:lang w:val="es-AR"/>
        </w:rPr>
        <w:t>especto</w:t>
      </w:r>
      <w:r w:rsidRPr="00624696">
        <w:rPr>
          <w:lang w:val="es-AR"/>
        </w:rPr>
        <w:tab/>
        <w:t>de</w:t>
      </w:r>
      <w:r w:rsidRPr="00624696">
        <w:rPr>
          <w:lang w:val="es-AR"/>
        </w:rPr>
        <w:tab/>
        <w:t>las</w:t>
      </w:r>
      <w:r w:rsidRPr="00624696">
        <w:rPr>
          <w:lang w:val="es-AR"/>
        </w:rPr>
        <w:tab/>
      </w:r>
      <w:r w:rsidRPr="00624696">
        <w:rPr>
          <w:spacing w:val="-3"/>
          <w:lang w:val="es-AR"/>
        </w:rPr>
        <w:t xml:space="preserve">supuestas </w:t>
      </w:r>
      <w:r w:rsidRPr="00624696">
        <w:rPr>
          <w:lang w:val="es-AR"/>
        </w:rPr>
        <w:t>violaciones al derecho al</w:t>
      </w:r>
      <w:r w:rsidRPr="00624696">
        <w:rPr>
          <w:spacing w:val="-9"/>
          <w:lang w:val="es-AR"/>
        </w:rPr>
        <w:t xml:space="preserve"> </w:t>
      </w:r>
      <w:r w:rsidRPr="00624696">
        <w:rPr>
          <w:lang w:val="es-AR"/>
        </w:rPr>
        <w:t>trabajo</w:t>
      </w:r>
    </w:p>
    <w:p w14:paraId="7FEAE5AB" w14:textId="77777777" w:rsidR="00467FCA" w:rsidRPr="00624696" w:rsidRDefault="00467FCA">
      <w:pPr>
        <w:pStyle w:val="Textoindependiente"/>
        <w:spacing w:before="1"/>
        <w:rPr>
          <w:b/>
          <w:lang w:val="es-AR"/>
        </w:rPr>
      </w:pPr>
    </w:p>
    <w:p w14:paraId="7179C3AF" w14:textId="77777777" w:rsidR="00467FCA" w:rsidRPr="00624696" w:rsidRDefault="001B68EB">
      <w:pPr>
        <w:pStyle w:val="Ttulo2"/>
        <w:numPr>
          <w:ilvl w:val="1"/>
          <w:numId w:val="49"/>
        </w:numPr>
        <w:tabs>
          <w:tab w:val="left" w:pos="1499"/>
          <w:tab w:val="left" w:pos="1500"/>
          <w:tab w:val="left" w:pos="2697"/>
          <w:tab w:val="left" w:pos="3261"/>
          <w:tab w:val="left" w:pos="4309"/>
          <w:tab w:val="left" w:pos="6138"/>
          <w:tab w:val="left" w:pos="6635"/>
          <w:tab w:val="left" w:pos="7057"/>
          <w:tab w:val="left" w:pos="8308"/>
          <w:tab w:val="left" w:pos="8658"/>
          <w:tab w:val="left" w:pos="9153"/>
        </w:tabs>
        <w:ind w:right="120" w:firstLine="0"/>
        <w:rPr>
          <w:lang w:val="es-AR"/>
        </w:rPr>
      </w:pPr>
      <w:bookmarkStart w:id="37" w:name="B.1._Alegatos_del_Estado,_observaciones_"/>
      <w:bookmarkStart w:id="38" w:name="_bookmark28"/>
      <w:bookmarkEnd w:id="37"/>
      <w:bookmarkEnd w:id="38"/>
      <w:r w:rsidRPr="00624696">
        <w:rPr>
          <w:lang w:val="es-AR"/>
        </w:rPr>
        <w:t>Alegatos</w:t>
      </w:r>
      <w:r w:rsidRPr="00624696">
        <w:rPr>
          <w:lang w:val="es-AR"/>
        </w:rPr>
        <w:tab/>
        <w:t>del</w:t>
      </w:r>
      <w:r w:rsidRPr="00624696">
        <w:rPr>
          <w:lang w:val="es-AR"/>
        </w:rPr>
        <w:tab/>
        <w:t>Estado,</w:t>
      </w:r>
      <w:r w:rsidRPr="00624696">
        <w:rPr>
          <w:lang w:val="es-AR"/>
        </w:rPr>
        <w:tab/>
        <w:t>observaciones</w:t>
      </w:r>
      <w:r w:rsidRPr="00624696">
        <w:rPr>
          <w:lang w:val="es-AR"/>
        </w:rPr>
        <w:tab/>
        <w:t>de</w:t>
      </w:r>
      <w:r w:rsidRPr="00624696">
        <w:rPr>
          <w:lang w:val="es-AR"/>
        </w:rPr>
        <w:tab/>
        <w:t>la</w:t>
      </w:r>
      <w:r w:rsidRPr="00624696">
        <w:rPr>
          <w:lang w:val="es-AR"/>
        </w:rPr>
        <w:tab/>
        <w:t>Comisión</w:t>
      </w:r>
      <w:r w:rsidRPr="00624696">
        <w:rPr>
          <w:lang w:val="es-AR"/>
        </w:rPr>
        <w:tab/>
        <w:t>y</w:t>
      </w:r>
      <w:r w:rsidRPr="00624696">
        <w:rPr>
          <w:lang w:val="es-AR"/>
        </w:rPr>
        <w:tab/>
        <w:t>de</w:t>
      </w:r>
      <w:r w:rsidRPr="00624696">
        <w:rPr>
          <w:lang w:val="es-AR"/>
        </w:rPr>
        <w:tab/>
      </w:r>
      <w:r w:rsidRPr="00624696">
        <w:rPr>
          <w:spacing w:val="-6"/>
          <w:lang w:val="es-AR"/>
        </w:rPr>
        <w:t xml:space="preserve">los </w:t>
      </w:r>
      <w:r w:rsidRPr="00624696">
        <w:rPr>
          <w:lang w:val="es-AR"/>
        </w:rPr>
        <w:t>representantes</w:t>
      </w:r>
    </w:p>
    <w:p w14:paraId="6755066F" w14:textId="77777777" w:rsidR="00467FCA" w:rsidRPr="00624696" w:rsidRDefault="00467FCA">
      <w:pPr>
        <w:pStyle w:val="Textoindependiente"/>
        <w:rPr>
          <w:b/>
          <w:i/>
          <w:lang w:val="es-AR"/>
        </w:rPr>
      </w:pPr>
    </w:p>
    <w:p w14:paraId="43E4C5E3" w14:textId="77777777" w:rsidR="00467FCA" w:rsidRPr="00624696" w:rsidRDefault="001B68EB">
      <w:pPr>
        <w:pStyle w:val="Prrafodelista"/>
        <w:numPr>
          <w:ilvl w:val="0"/>
          <w:numId w:val="50"/>
        </w:numPr>
        <w:tabs>
          <w:tab w:val="left" w:pos="687"/>
        </w:tabs>
        <w:ind w:right="116" w:hanging="1"/>
        <w:jc w:val="both"/>
        <w:rPr>
          <w:sz w:val="20"/>
          <w:lang w:val="es-AR"/>
        </w:rPr>
      </w:pPr>
      <w:r w:rsidRPr="00624696">
        <w:rPr>
          <w:sz w:val="20"/>
          <w:lang w:val="es-AR"/>
        </w:rPr>
        <w:t xml:space="preserve">El </w:t>
      </w:r>
      <w:r w:rsidRPr="00624696">
        <w:rPr>
          <w:b/>
          <w:i/>
          <w:sz w:val="20"/>
          <w:lang w:val="es-AR"/>
        </w:rPr>
        <w:t xml:space="preserve">Estado </w:t>
      </w:r>
      <w:r w:rsidRPr="00624696">
        <w:rPr>
          <w:sz w:val="20"/>
          <w:lang w:val="es-AR"/>
        </w:rPr>
        <w:t>señaló que la Corte no es competente para pronunciarse respecto de la alegada</w:t>
      </w:r>
      <w:r w:rsidRPr="00624696">
        <w:rPr>
          <w:spacing w:val="-14"/>
          <w:sz w:val="20"/>
          <w:lang w:val="es-AR"/>
        </w:rPr>
        <w:t xml:space="preserve"> </w:t>
      </w:r>
      <w:r w:rsidRPr="00624696">
        <w:rPr>
          <w:sz w:val="20"/>
          <w:lang w:val="es-AR"/>
        </w:rPr>
        <w:t>violación</w:t>
      </w:r>
      <w:r w:rsidRPr="00624696">
        <w:rPr>
          <w:spacing w:val="-12"/>
          <w:sz w:val="20"/>
          <w:lang w:val="es-AR"/>
        </w:rPr>
        <w:t xml:space="preserve"> </w:t>
      </w:r>
      <w:r w:rsidRPr="00624696">
        <w:rPr>
          <w:sz w:val="20"/>
          <w:lang w:val="es-AR"/>
        </w:rPr>
        <w:t>del</w:t>
      </w:r>
      <w:r w:rsidRPr="00624696">
        <w:rPr>
          <w:spacing w:val="-10"/>
          <w:sz w:val="20"/>
          <w:lang w:val="es-AR"/>
        </w:rPr>
        <w:t xml:space="preserve"> </w:t>
      </w:r>
      <w:r w:rsidRPr="00624696">
        <w:rPr>
          <w:sz w:val="20"/>
          <w:lang w:val="es-AR"/>
        </w:rPr>
        <w:t>derecho</w:t>
      </w:r>
      <w:r w:rsidRPr="00624696">
        <w:rPr>
          <w:spacing w:val="-14"/>
          <w:sz w:val="20"/>
          <w:lang w:val="es-AR"/>
        </w:rPr>
        <w:t xml:space="preserve"> </w:t>
      </w:r>
      <w:r w:rsidRPr="00624696">
        <w:rPr>
          <w:sz w:val="20"/>
          <w:lang w:val="es-AR"/>
        </w:rPr>
        <w:t>al</w:t>
      </w:r>
      <w:r w:rsidRPr="00624696">
        <w:rPr>
          <w:spacing w:val="-11"/>
          <w:sz w:val="20"/>
          <w:lang w:val="es-AR"/>
        </w:rPr>
        <w:t xml:space="preserve"> </w:t>
      </w:r>
      <w:r w:rsidRPr="00624696">
        <w:rPr>
          <w:sz w:val="20"/>
          <w:lang w:val="es-AR"/>
        </w:rPr>
        <w:t>trabajo</w:t>
      </w:r>
      <w:r w:rsidRPr="00624696">
        <w:rPr>
          <w:spacing w:val="-9"/>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los</w:t>
      </w:r>
      <w:r w:rsidRPr="00624696">
        <w:rPr>
          <w:spacing w:val="-14"/>
          <w:sz w:val="20"/>
          <w:lang w:val="es-AR"/>
        </w:rPr>
        <w:t xml:space="preserve"> </w:t>
      </w:r>
      <w:r w:rsidRPr="00624696">
        <w:rPr>
          <w:sz w:val="20"/>
          <w:lang w:val="es-AR"/>
        </w:rPr>
        <w:t>términos</w:t>
      </w:r>
      <w:r w:rsidRPr="00624696">
        <w:rPr>
          <w:spacing w:val="-13"/>
          <w:sz w:val="20"/>
          <w:lang w:val="es-AR"/>
        </w:rPr>
        <w:t xml:space="preserve"> </w:t>
      </w:r>
      <w:r w:rsidRPr="00624696">
        <w:rPr>
          <w:sz w:val="20"/>
          <w:lang w:val="es-AR"/>
        </w:rPr>
        <w:t>del</w:t>
      </w:r>
      <w:r w:rsidRPr="00624696">
        <w:rPr>
          <w:spacing w:val="-12"/>
          <w:sz w:val="20"/>
          <w:lang w:val="es-AR"/>
        </w:rPr>
        <w:t xml:space="preserve"> </w:t>
      </w:r>
      <w:r w:rsidRPr="00624696">
        <w:rPr>
          <w:sz w:val="20"/>
          <w:lang w:val="es-AR"/>
        </w:rPr>
        <w:t>artículo</w:t>
      </w:r>
      <w:r w:rsidRPr="00624696">
        <w:rPr>
          <w:spacing w:val="-11"/>
          <w:sz w:val="20"/>
          <w:lang w:val="es-AR"/>
        </w:rPr>
        <w:t xml:space="preserve"> </w:t>
      </w:r>
      <w:r w:rsidRPr="00624696">
        <w:rPr>
          <w:sz w:val="20"/>
          <w:lang w:val="es-AR"/>
        </w:rPr>
        <w:t>26</w:t>
      </w:r>
      <w:r w:rsidRPr="00624696">
        <w:rPr>
          <w:spacing w:val="-11"/>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Convención.</w:t>
      </w:r>
      <w:r w:rsidRPr="00624696">
        <w:rPr>
          <w:spacing w:val="-12"/>
          <w:sz w:val="20"/>
          <w:lang w:val="es-AR"/>
        </w:rPr>
        <w:t xml:space="preserve"> </w:t>
      </w:r>
      <w:r w:rsidRPr="00624696">
        <w:rPr>
          <w:sz w:val="20"/>
          <w:lang w:val="es-AR"/>
        </w:rPr>
        <w:t>Esto porque los derechos económicos, sociales y culturales no se pueden someter al régimen de p</w:t>
      </w:r>
      <w:r w:rsidRPr="00624696">
        <w:rPr>
          <w:sz w:val="20"/>
          <w:lang w:val="es-AR"/>
        </w:rPr>
        <w:t>eticiones</w:t>
      </w:r>
      <w:r w:rsidRPr="00624696">
        <w:rPr>
          <w:spacing w:val="-18"/>
          <w:sz w:val="20"/>
          <w:lang w:val="es-AR"/>
        </w:rPr>
        <w:t xml:space="preserve"> </w:t>
      </w:r>
      <w:r w:rsidRPr="00624696">
        <w:rPr>
          <w:sz w:val="20"/>
          <w:lang w:val="es-AR"/>
        </w:rPr>
        <w:t>individuales</w:t>
      </w:r>
      <w:r w:rsidRPr="00624696">
        <w:rPr>
          <w:spacing w:val="-16"/>
          <w:sz w:val="20"/>
          <w:lang w:val="es-AR"/>
        </w:rPr>
        <w:t xml:space="preserve"> </w:t>
      </w:r>
      <w:r w:rsidRPr="00624696">
        <w:rPr>
          <w:sz w:val="20"/>
          <w:lang w:val="es-AR"/>
        </w:rPr>
        <w:t>regulado</w:t>
      </w:r>
      <w:r w:rsidRPr="00624696">
        <w:rPr>
          <w:spacing w:val="-16"/>
          <w:sz w:val="20"/>
          <w:lang w:val="es-AR"/>
        </w:rPr>
        <w:t xml:space="preserve"> </w:t>
      </w:r>
      <w:r w:rsidRPr="00624696">
        <w:rPr>
          <w:sz w:val="20"/>
          <w:lang w:val="es-AR"/>
        </w:rPr>
        <w:t>en</w:t>
      </w:r>
      <w:r w:rsidRPr="00624696">
        <w:rPr>
          <w:spacing w:val="-15"/>
          <w:sz w:val="20"/>
          <w:lang w:val="es-AR"/>
        </w:rPr>
        <w:t xml:space="preserve"> </w:t>
      </w:r>
      <w:r w:rsidRPr="00624696">
        <w:rPr>
          <w:sz w:val="20"/>
          <w:lang w:val="es-AR"/>
        </w:rPr>
        <w:t>los</w:t>
      </w:r>
      <w:r w:rsidRPr="00624696">
        <w:rPr>
          <w:spacing w:val="-18"/>
          <w:sz w:val="20"/>
          <w:lang w:val="es-AR"/>
        </w:rPr>
        <w:t xml:space="preserve"> </w:t>
      </w:r>
      <w:r w:rsidRPr="00624696">
        <w:rPr>
          <w:sz w:val="20"/>
          <w:lang w:val="es-AR"/>
        </w:rPr>
        <w:t>artículos</w:t>
      </w:r>
      <w:r w:rsidRPr="00624696">
        <w:rPr>
          <w:spacing w:val="-16"/>
          <w:sz w:val="20"/>
          <w:lang w:val="es-AR"/>
        </w:rPr>
        <w:t xml:space="preserve"> </w:t>
      </w:r>
      <w:r w:rsidRPr="00624696">
        <w:rPr>
          <w:sz w:val="20"/>
          <w:lang w:val="es-AR"/>
        </w:rPr>
        <w:t>44</w:t>
      </w:r>
      <w:r w:rsidRPr="00624696">
        <w:rPr>
          <w:spacing w:val="-17"/>
          <w:sz w:val="20"/>
          <w:lang w:val="es-AR"/>
        </w:rPr>
        <w:t xml:space="preserve"> </w:t>
      </w:r>
      <w:r w:rsidRPr="00624696">
        <w:rPr>
          <w:sz w:val="20"/>
          <w:lang w:val="es-AR"/>
        </w:rPr>
        <w:t>a</w:t>
      </w:r>
      <w:r w:rsidRPr="00624696">
        <w:rPr>
          <w:spacing w:val="-16"/>
          <w:sz w:val="20"/>
          <w:lang w:val="es-AR"/>
        </w:rPr>
        <w:t xml:space="preserve"> </w:t>
      </w:r>
      <w:r w:rsidRPr="00624696">
        <w:rPr>
          <w:sz w:val="20"/>
          <w:lang w:val="es-AR"/>
        </w:rPr>
        <w:t>51</w:t>
      </w:r>
      <w:r w:rsidRPr="00624696">
        <w:rPr>
          <w:spacing w:val="-15"/>
          <w:sz w:val="20"/>
          <w:lang w:val="es-AR"/>
        </w:rPr>
        <w:t xml:space="preserve"> </w:t>
      </w:r>
      <w:r w:rsidRPr="00624696">
        <w:rPr>
          <w:sz w:val="20"/>
          <w:lang w:val="es-AR"/>
        </w:rPr>
        <w:t>y</w:t>
      </w:r>
      <w:r w:rsidRPr="00624696">
        <w:rPr>
          <w:spacing w:val="-18"/>
          <w:sz w:val="20"/>
          <w:lang w:val="es-AR"/>
        </w:rPr>
        <w:t xml:space="preserve"> </w:t>
      </w:r>
      <w:r w:rsidRPr="00624696">
        <w:rPr>
          <w:sz w:val="20"/>
          <w:lang w:val="es-AR"/>
        </w:rPr>
        <w:t>61</w:t>
      </w:r>
      <w:r w:rsidRPr="00624696">
        <w:rPr>
          <w:spacing w:val="-14"/>
          <w:sz w:val="20"/>
          <w:lang w:val="es-AR"/>
        </w:rPr>
        <w:t xml:space="preserve"> </w:t>
      </w:r>
      <w:r w:rsidRPr="00624696">
        <w:rPr>
          <w:sz w:val="20"/>
          <w:lang w:val="es-AR"/>
        </w:rPr>
        <w:t>a</w:t>
      </w:r>
      <w:r w:rsidRPr="00624696">
        <w:rPr>
          <w:spacing w:val="-17"/>
          <w:sz w:val="20"/>
          <w:lang w:val="es-AR"/>
        </w:rPr>
        <w:t xml:space="preserve"> </w:t>
      </w:r>
      <w:r w:rsidRPr="00624696">
        <w:rPr>
          <w:sz w:val="20"/>
          <w:lang w:val="es-AR"/>
        </w:rPr>
        <w:t>69</w:t>
      </w:r>
      <w:r w:rsidRPr="00624696">
        <w:rPr>
          <w:spacing w:val="-17"/>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la</w:t>
      </w:r>
      <w:r w:rsidRPr="00624696">
        <w:rPr>
          <w:spacing w:val="-14"/>
          <w:sz w:val="20"/>
          <w:lang w:val="es-AR"/>
        </w:rPr>
        <w:t xml:space="preserve"> </w:t>
      </w:r>
      <w:r w:rsidRPr="00624696">
        <w:rPr>
          <w:sz w:val="20"/>
          <w:lang w:val="es-AR"/>
        </w:rPr>
        <w:t>Convención</w:t>
      </w:r>
      <w:r w:rsidRPr="00624696">
        <w:rPr>
          <w:spacing w:val="-16"/>
          <w:sz w:val="20"/>
          <w:lang w:val="es-AR"/>
        </w:rPr>
        <w:t xml:space="preserve"> </w:t>
      </w:r>
      <w:r w:rsidRPr="00624696">
        <w:rPr>
          <w:sz w:val="20"/>
          <w:lang w:val="es-AR"/>
        </w:rPr>
        <w:t>Americana y, por lo tanto, a la jurisdicción contenciosa de la Corte</w:t>
      </w:r>
      <w:r w:rsidRPr="00624696">
        <w:rPr>
          <w:spacing w:val="-11"/>
          <w:sz w:val="20"/>
          <w:lang w:val="es-AR"/>
        </w:rPr>
        <w:t xml:space="preserve"> </w:t>
      </w:r>
      <w:r w:rsidRPr="00624696">
        <w:rPr>
          <w:sz w:val="20"/>
          <w:lang w:val="es-AR"/>
        </w:rPr>
        <w:t>Interamericana.</w:t>
      </w:r>
    </w:p>
    <w:p w14:paraId="3A886F14" w14:textId="77777777" w:rsidR="00467FCA" w:rsidRPr="00624696" w:rsidRDefault="00467FCA">
      <w:pPr>
        <w:pStyle w:val="Textoindependiente"/>
        <w:rPr>
          <w:lang w:val="es-AR"/>
        </w:rPr>
      </w:pPr>
    </w:p>
    <w:p w14:paraId="1F1A3566" w14:textId="77777777" w:rsidR="00467FCA" w:rsidRPr="00624696" w:rsidRDefault="001B68EB">
      <w:pPr>
        <w:pStyle w:val="Textoindependiente"/>
        <w:spacing w:before="8"/>
        <w:rPr>
          <w:sz w:val="25"/>
          <w:lang w:val="es-AR"/>
        </w:rPr>
      </w:pPr>
      <w:r>
        <w:pict w14:anchorId="763ADA71">
          <v:shape id="_x0000_s1191" style="position:absolute;margin-left:1in;margin-top:17.85pt;width:2in;height:.1pt;z-index:-251653120;mso-wrap-distance-left:0;mso-wrap-distance-right:0;mso-position-horizontal-relative:page" coordorigin="1440,357" coordsize="2880,0" path="m1440,357r2880,e" filled="f" strokeweight=".6pt">
            <v:path arrowok="t"/>
            <w10:wrap type="topAndBottom" anchorx="page"/>
          </v:shape>
        </w:pict>
      </w:r>
    </w:p>
    <w:p w14:paraId="4B7F4972" w14:textId="77777777" w:rsidR="00467FCA" w:rsidRPr="00624696" w:rsidRDefault="001B68EB">
      <w:pPr>
        <w:tabs>
          <w:tab w:val="left" w:pos="839"/>
        </w:tabs>
        <w:spacing w:before="74"/>
        <w:ind w:left="120" w:right="111" w:hanging="1"/>
        <w:jc w:val="both"/>
        <w:rPr>
          <w:sz w:val="16"/>
          <w:lang w:val="es-AR"/>
        </w:rPr>
      </w:pPr>
      <w:bookmarkStart w:id="39" w:name="_bookmark29"/>
      <w:bookmarkEnd w:id="39"/>
      <w:r w:rsidRPr="00624696">
        <w:rPr>
          <w:position w:val="6"/>
          <w:sz w:val="10"/>
          <w:lang w:val="es-AR"/>
        </w:rPr>
        <w:t>21</w:t>
      </w:r>
      <w:r w:rsidRPr="00624696">
        <w:rPr>
          <w:position w:val="6"/>
          <w:sz w:val="10"/>
          <w:lang w:val="es-AR"/>
        </w:rPr>
        <w:tab/>
      </w:r>
      <w:r w:rsidRPr="00624696">
        <w:rPr>
          <w:sz w:val="16"/>
          <w:lang w:val="es-AR"/>
        </w:rPr>
        <w:t xml:space="preserve">La Comisión se refirió a los siguientes casos: </w:t>
      </w:r>
      <w:r w:rsidRPr="00624696">
        <w:rPr>
          <w:i/>
          <w:sz w:val="16"/>
          <w:lang w:val="es-AR"/>
        </w:rPr>
        <w:t xml:space="preserve">Caso Trabajadores de la Hacienda Brasil Verde Vs. </w:t>
      </w:r>
      <w:r>
        <w:rPr>
          <w:i/>
          <w:sz w:val="16"/>
        </w:rPr>
        <w:t xml:space="preserve">Brasil. </w:t>
      </w:r>
      <w:r w:rsidRPr="00624696">
        <w:rPr>
          <w:i/>
          <w:sz w:val="16"/>
          <w:lang w:val="es-AR"/>
        </w:rPr>
        <w:t xml:space="preserve">Excepciones Preliminares, Fondo, Reparaciones y Costas. </w:t>
      </w:r>
      <w:r w:rsidRPr="00624696">
        <w:rPr>
          <w:sz w:val="16"/>
          <w:lang w:val="es-AR"/>
        </w:rPr>
        <w:t xml:space="preserve">Sentencia de 20 de octubre de 2016. Serie C No. 318, párrs. 25 a 27; </w:t>
      </w:r>
      <w:r w:rsidRPr="00624696">
        <w:rPr>
          <w:i/>
          <w:sz w:val="16"/>
          <w:lang w:val="es-AR"/>
        </w:rPr>
        <w:t xml:space="preserve">Caso Favela Nova Brasilia </w:t>
      </w:r>
      <w:r w:rsidRPr="00624696">
        <w:rPr>
          <w:i/>
          <w:sz w:val="16"/>
          <w:lang w:val="es-AR"/>
        </w:rPr>
        <w:t xml:space="preserve">Vs. </w:t>
      </w:r>
      <w:r>
        <w:rPr>
          <w:i/>
          <w:sz w:val="16"/>
        </w:rPr>
        <w:t xml:space="preserve">Brasil. </w:t>
      </w:r>
      <w:r w:rsidRPr="00624696">
        <w:rPr>
          <w:i/>
          <w:sz w:val="16"/>
          <w:lang w:val="es-AR"/>
        </w:rPr>
        <w:t xml:space="preserve">Excepciones Preliminares, Fondo, Reparaciones y Costas. </w:t>
      </w:r>
      <w:r w:rsidRPr="00624696">
        <w:rPr>
          <w:sz w:val="16"/>
          <w:lang w:val="es-AR"/>
        </w:rPr>
        <w:t>Sentencia</w:t>
      </w:r>
      <w:r w:rsidRPr="00624696">
        <w:rPr>
          <w:spacing w:val="-8"/>
          <w:sz w:val="16"/>
          <w:lang w:val="es-AR"/>
        </w:rPr>
        <w:t xml:space="preserve"> </w:t>
      </w:r>
      <w:r w:rsidRPr="00624696">
        <w:rPr>
          <w:sz w:val="16"/>
          <w:lang w:val="es-AR"/>
        </w:rPr>
        <w:t>de</w:t>
      </w:r>
      <w:r w:rsidRPr="00624696">
        <w:rPr>
          <w:spacing w:val="-9"/>
          <w:sz w:val="16"/>
          <w:lang w:val="es-AR"/>
        </w:rPr>
        <w:t xml:space="preserve"> </w:t>
      </w:r>
      <w:r w:rsidRPr="00624696">
        <w:rPr>
          <w:sz w:val="16"/>
          <w:lang w:val="es-AR"/>
        </w:rPr>
        <w:t>16</w:t>
      </w:r>
      <w:r w:rsidRPr="00624696">
        <w:rPr>
          <w:spacing w:val="-8"/>
          <w:sz w:val="16"/>
          <w:lang w:val="es-AR"/>
        </w:rPr>
        <w:t xml:space="preserve"> </w:t>
      </w:r>
      <w:r w:rsidRPr="00624696">
        <w:rPr>
          <w:sz w:val="16"/>
          <w:lang w:val="es-AR"/>
        </w:rPr>
        <w:t>de</w:t>
      </w:r>
      <w:r w:rsidRPr="00624696">
        <w:rPr>
          <w:spacing w:val="-8"/>
          <w:sz w:val="16"/>
          <w:lang w:val="es-AR"/>
        </w:rPr>
        <w:t xml:space="preserve"> </w:t>
      </w:r>
      <w:r w:rsidRPr="00624696">
        <w:rPr>
          <w:sz w:val="16"/>
          <w:lang w:val="es-AR"/>
        </w:rPr>
        <w:t>febrero</w:t>
      </w:r>
      <w:r w:rsidRPr="00624696">
        <w:rPr>
          <w:spacing w:val="-9"/>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2017.</w:t>
      </w:r>
      <w:r w:rsidRPr="00624696">
        <w:rPr>
          <w:spacing w:val="-10"/>
          <w:sz w:val="16"/>
          <w:lang w:val="es-AR"/>
        </w:rPr>
        <w:t xml:space="preserve"> </w:t>
      </w:r>
      <w:r w:rsidRPr="00624696">
        <w:rPr>
          <w:sz w:val="16"/>
          <w:lang w:val="es-AR"/>
        </w:rPr>
        <w:t>Serie</w:t>
      </w:r>
      <w:r w:rsidRPr="00624696">
        <w:rPr>
          <w:spacing w:val="-9"/>
          <w:sz w:val="16"/>
          <w:lang w:val="es-AR"/>
        </w:rPr>
        <w:t xml:space="preserve"> </w:t>
      </w:r>
      <w:r w:rsidRPr="00624696">
        <w:rPr>
          <w:sz w:val="16"/>
          <w:lang w:val="es-AR"/>
        </w:rPr>
        <w:t>C</w:t>
      </w:r>
      <w:r w:rsidRPr="00624696">
        <w:rPr>
          <w:spacing w:val="-7"/>
          <w:sz w:val="16"/>
          <w:lang w:val="es-AR"/>
        </w:rPr>
        <w:t xml:space="preserve"> </w:t>
      </w:r>
      <w:r w:rsidRPr="00624696">
        <w:rPr>
          <w:sz w:val="16"/>
          <w:lang w:val="es-AR"/>
        </w:rPr>
        <w:t>No.</w:t>
      </w:r>
      <w:r w:rsidRPr="00624696">
        <w:rPr>
          <w:spacing w:val="-10"/>
          <w:sz w:val="16"/>
          <w:lang w:val="es-AR"/>
        </w:rPr>
        <w:t xml:space="preserve"> </w:t>
      </w:r>
      <w:r w:rsidRPr="00624696">
        <w:rPr>
          <w:sz w:val="16"/>
          <w:lang w:val="es-AR"/>
        </w:rPr>
        <w:t>333,</w:t>
      </w:r>
      <w:r w:rsidRPr="00624696">
        <w:rPr>
          <w:spacing w:val="-10"/>
          <w:sz w:val="16"/>
          <w:lang w:val="es-AR"/>
        </w:rPr>
        <w:t xml:space="preserve"> </w:t>
      </w:r>
      <w:r w:rsidRPr="00624696">
        <w:rPr>
          <w:sz w:val="16"/>
          <w:lang w:val="es-AR"/>
        </w:rPr>
        <w:t>párrs.</w:t>
      </w:r>
      <w:r w:rsidRPr="00624696">
        <w:rPr>
          <w:spacing w:val="-10"/>
          <w:sz w:val="16"/>
          <w:lang w:val="es-AR"/>
        </w:rPr>
        <w:t xml:space="preserve"> </w:t>
      </w:r>
      <w:r w:rsidRPr="00624696">
        <w:rPr>
          <w:sz w:val="16"/>
          <w:lang w:val="es-AR"/>
        </w:rPr>
        <w:t>24</w:t>
      </w:r>
      <w:r w:rsidRPr="00624696">
        <w:rPr>
          <w:spacing w:val="-9"/>
          <w:sz w:val="16"/>
          <w:lang w:val="es-AR"/>
        </w:rPr>
        <w:t xml:space="preserve"> </w:t>
      </w:r>
      <w:r w:rsidRPr="00624696">
        <w:rPr>
          <w:sz w:val="16"/>
          <w:lang w:val="es-AR"/>
        </w:rPr>
        <w:t>a</w:t>
      </w:r>
      <w:r w:rsidRPr="00624696">
        <w:rPr>
          <w:spacing w:val="-7"/>
          <w:sz w:val="16"/>
          <w:lang w:val="es-AR"/>
        </w:rPr>
        <w:t xml:space="preserve"> </w:t>
      </w:r>
      <w:r w:rsidRPr="00624696">
        <w:rPr>
          <w:sz w:val="16"/>
          <w:lang w:val="es-AR"/>
        </w:rPr>
        <w:t>29,</w:t>
      </w:r>
      <w:r w:rsidRPr="00624696">
        <w:rPr>
          <w:spacing w:val="-10"/>
          <w:sz w:val="16"/>
          <w:lang w:val="es-AR"/>
        </w:rPr>
        <w:t xml:space="preserve"> </w:t>
      </w:r>
      <w:r w:rsidRPr="00624696">
        <w:rPr>
          <w:sz w:val="16"/>
          <w:lang w:val="es-AR"/>
        </w:rPr>
        <w:t>y</w:t>
      </w:r>
      <w:r w:rsidRPr="00624696">
        <w:rPr>
          <w:spacing w:val="-6"/>
          <w:sz w:val="16"/>
          <w:lang w:val="es-AR"/>
        </w:rPr>
        <w:t xml:space="preserve"> </w:t>
      </w:r>
      <w:r w:rsidRPr="00624696">
        <w:rPr>
          <w:i/>
          <w:sz w:val="16"/>
          <w:lang w:val="es-AR"/>
        </w:rPr>
        <w:t>Caso</w:t>
      </w:r>
      <w:r w:rsidRPr="00624696">
        <w:rPr>
          <w:i/>
          <w:spacing w:val="-7"/>
          <w:sz w:val="16"/>
          <w:lang w:val="es-AR"/>
        </w:rPr>
        <w:t xml:space="preserve"> </w:t>
      </w:r>
      <w:r w:rsidRPr="00624696">
        <w:rPr>
          <w:i/>
          <w:sz w:val="16"/>
          <w:lang w:val="es-AR"/>
        </w:rPr>
        <w:t>Pueblo</w:t>
      </w:r>
      <w:r w:rsidRPr="00624696">
        <w:rPr>
          <w:i/>
          <w:spacing w:val="-6"/>
          <w:sz w:val="16"/>
          <w:lang w:val="es-AR"/>
        </w:rPr>
        <w:t xml:space="preserve"> </w:t>
      </w:r>
      <w:r w:rsidRPr="00624696">
        <w:rPr>
          <w:i/>
          <w:sz w:val="16"/>
          <w:lang w:val="es-AR"/>
        </w:rPr>
        <w:t>Indígena</w:t>
      </w:r>
      <w:r w:rsidRPr="00624696">
        <w:rPr>
          <w:i/>
          <w:spacing w:val="-7"/>
          <w:sz w:val="16"/>
          <w:lang w:val="es-AR"/>
        </w:rPr>
        <w:t xml:space="preserve"> </w:t>
      </w:r>
      <w:r w:rsidRPr="00624696">
        <w:rPr>
          <w:i/>
          <w:sz w:val="16"/>
          <w:lang w:val="es-AR"/>
        </w:rPr>
        <w:t>Xucuru</w:t>
      </w:r>
      <w:r w:rsidRPr="00624696">
        <w:rPr>
          <w:i/>
          <w:spacing w:val="-10"/>
          <w:sz w:val="16"/>
          <w:lang w:val="es-AR"/>
        </w:rPr>
        <w:t xml:space="preserve"> </w:t>
      </w:r>
      <w:r w:rsidRPr="00624696">
        <w:rPr>
          <w:i/>
          <w:sz w:val="16"/>
          <w:lang w:val="es-AR"/>
        </w:rPr>
        <w:t>y</w:t>
      </w:r>
      <w:r w:rsidRPr="00624696">
        <w:rPr>
          <w:i/>
          <w:spacing w:val="-6"/>
          <w:sz w:val="16"/>
          <w:lang w:val="es-AR"/>
        </w:rPr>
        <w:t xml:space="preserve"> </w:t>
      </w:r>
      <w:r w:rsidRPr="00624696">
        <w:rPr>
          <w:i/>
          <w:sz w:val="16"/>
          <w:lang w:val="es-AR"/>
        </w:rPr>
        <w:t>sus</w:t>
      </w:r>
      <w:r w:rsidRPr="00624696">
        <w:rPr>
          <w:i/>
          <w:spacing w:val="-9"/>
          <w:sz w:val="16"/>
          <w:lang w:val="es-AR"/>
        </w:rPr>
        <w:t xml:space="preserve"> </w:t>
      </w:r>
      <w:r w:rsidRPr="00624696">
        <w:rPr>
          <w:i/>
          <w:sz w:val="16"/>
          <w:lang w:val="es-AR"/>
        </w:rPr>
        <w:t>miembros vs. Brasil, supra</w:t>
      </w:r>
      <w:r w:rsidRPr="00624696">
        <w:rPr>
          <w:sz w:val="16"/>
          <w:lang w:val="es-AR"/>
        </w:rPr>
        <w:t>, párrs. 24 y</w:t>
      </w:r>
      <w:r w:rsidRPr="00624696">
        <w:rPr>
          <w:spacing w:val="-8"/>
          <w:sz w:val="16"/>
          <w:lang w:val="es-AR"/>
        </w:rPr>
        <w:t xml:space="preserve"> </w:t>
      </w:r>
      <w:r w:rsidRPr="00624696">
        <w:rPr>
          <w:sz w:val="16"/>
          <w:lang w:val="es-AR"/>
        </w:rPr>
        <w:t>25.</w:t>
      </w:r>
    </w:p>
    <w:p w14:paraId="6D316783" w14:textId="77777777" w:rsidR="00467FCA" w:rsidRDefault="001B68EB">
      <w:pPr>
        <w:tabs>
          <w:tab w:val="left" w:pos="839"/>
        </w:tabs>
        <w:spacing w:line="194" w:lineRule="exact"/>
        <w:ind w:left="120"/>
        <w:jc w:val="both"/>
        <w:rPr>
          <w:sz w:val="16"/>
        </w:rPr>
      </w:pPr>
      <w:bookmarkStart w:id="40" w:name="_bookmark30"/>
      <w:bookmarkEnd w:id="40"/>
      <w:r w:rsidRPr="00624696">
        <w:rPr>
          <w:position w:val="6"/>
          <w:sz w:val="10"/>
          <w:lang w:val="es-AR"/>
        </w:rPr>
        <w:t>22</w:t>
      </w:r>
      <w:r w:rsidRPr="00624696">
        <w:rPr>
          <w:position w:val="6"/>
          <w:sz w:val="10"/>
          <w:lang w:val="es-AR"/>
        </w:rPr>
        <w:tab/>
      </w:r>
      <w:r w:rsidRPr="00624696">
        <w:rPr>
          <w:i/>
          <w:sz w:val="16"/>
          <w:lang w:val="es-AR"/>
        </w:rPr>
        <w:t xml:space="preserve">Cfr. Caso Trabajadores de la Hacienda Brasil Verde Vs. </w:t>
      </w:r>
      <w:r>
        <w:rPr>
          <w:i/>
          <w:sz w:val="16"/>
        </w:rPr>
        <w:t>Brasil, supra</w:t>
      </w:r>
      <w:r>
        <w:rPr>
          <w:sz w:val="16"/>
        </w:rPr>
        <w:t>, párrs. 23 a</w:t>
      </w:r>
      <w:r>
        <w:rPr>
          <w:spacing w:val="-20"/>
          <w:sz w:val="16"/>
        </w:rPr>
        <w:t xml:space="preserve"> </w:t>
      </w:r>
      <w:r>
        <w:rPr>
          <w:sz w:val="16"/>
        </w:rPr>
        <w:t>28.</w:t>
      </w:r>
    </w:p>
    <w:p w14:paraId="1B5D0946" w14:textId="77777777" w:rsidR="00467FCA" w:rsidRPr="00624696" w:rsidRDefault="001B68EB">
      <w:pPr>
        <w:tabs>
          <w:tab w:val="left" w:pos="839"/>
        </w:tabs>
        <w:ind w:left="120"/>
        <w:jc w:val="both"/>
        <w:rPr>
          <w:sz w:val="16"/>
          <w:lang w:val="es-AR"/>
        </w:rPr>
      </w:pPr>
      <w:bookmarkStart w:id="41" w:name="_bookmark31"/>
      <w:bookmarkEnd w:id="41"/>
      <w:r>
        <w:rPr>
          <w:position w:val="6"/>
          <w:sz w:val="10"/>
        </w:rPr>
        <w:t>23</w:t>
      </w:r>
      <w:r>
        <w:rPr>
          <w:position w:val="6"/>
          <w:sz w:val="10"/>
        </w:rPr>
        <w:tab/>
      </w:r>
      <w:r>
        <w:rPr>
          <w:i/>
          <w:sz w:val="16"/>
        </w:rPr>
        <w:t>Cfr. Caso Favela Nova Brasilia Vs. Brasil, supra</w:t>
      </w:r>
      <w:r>
        <w:rPr>
          <w:sz w:val="16"/>
        </w:rPr>
        <w:t xml:space="preserve">, párrs. </w:t>
      </w:r>
      <w:r w:rsidRPr="00624696">
        <w:rPr>
          <w:sz w:val="16"/>
          <w:lang w:val="es-AR"/>
        </w:rPr>
        <w:t>24 a</w:t>
      </w:r>
      <w:r w:rsidRPr="00624696">
        <w:rPr>
          <w:spacing w:val="-12"/>
          <w:sz w:val="16"/>
          <w:lang w:val="es-AR"/>
        </w:rPr>
        <w:t xml:space="preserve"> </w:t>
      </w:r>
      <w:r w:rsidRPr="00624696">
        <w:rPr>
          <w:sz w:val="16"/>
          <w:lang w:val="es-AR"/>
        </w:rPr>
        <w:t>29.</w:t>
      </w:r>
    </w:p>
    <w:p w14:paraId="5B397F7F" w14:textId="77777777" w:rsidR="00467FCA" w:rsidRDefault="001B68EB">
      <w:pPr>
        <w:tabs>
          <w:tab w:val="left" w:pos="839"/>
        </w:tabs>
        <w:ind w:left="120"/>
        <w:jc w:val="both"/>
        <w:rPr>
          <w:sz w:val="16"/>
        </w:rPr>
      </w:pPr>
      <w:bookmarkStart w:id="42" w:name="_bookmark32"/>
      <w:bookmarkEnd w:id="42"/>
      <w:r w:rsidRPr="00624696">
        <w:rPr>
          <w:position w:val="6"/>
          <w:sz w:val="10"/>
          <w:lang w:val="es-AR"/>
        </w:rPr>
        <w:t>24</w:t>
      </w:r>
      <w:r w:rsidRPr="00624696">
        <w:rPr>
          <w:position w:val="6"/>
          <w:sz w:val="10"/>
          <w:lang w:val="es-AR"/>
        </w:rPr>
        <w:tab/>
      </w:r>
      <w:r w:rsidRPr="00624696">
        <w:rPr>
          <w:i/>
          <w:sz w:val="16"/>
          <w:lang w:val="es-AR"/>
        </w:rPr>
        <w:t xml:space="preserve">Cfr. Caso Pueblo Indígena Xucuru y sus miembros Vs. </w:t>
      </w:r>
      <w:r>
        <w:rPr>
          <w:i/>
          <w:sz w:val="16"/>
        </w:rPr>
        <w:t>Brasil, supra</w:t>
      </w:r>
      <w:r>
        <w:rPr>
          <w:sz w:val="16"/>
        </w:rPr>
        <w:t>, párrs. 24 y</w:t>
      </w:r>
      <w:r>
        <w:rPr>
          <w:spacing w:val="-18"/>
          <w:sz w:val="16"/>
        </w:rPr>
        <w:t xml:space="preserve"> </w:t>
      </w:r>
      <w:r>
        <w:rPr>
          <w:sz w:val="16"/>
        </w:rPr>
        <w:t>25.</w:t>
      </w:r>
    </w:p>
    <w:p w14:paraId="47DD0666" w14:textId="77777777" w:rsidR="00467FCA" w:rsidRDefault="00467FCA">
      <w:pPr>
        <w:jc w:val="both"/>
        <w:rPr>
          <w:sz w:val="16"/>
        </w:rPr>
        <w:sectPr w:rsidR="00467FCA">
          <w:pgSz w:w="12240" w:h="15840"/>
          <w:pgMar w:top="1360" w:right="1320" w:bottom="1220" w:left="1320" w:header="0" w:footer="1037" w:gutter="0"/>
          <w:cols w:space="720"/>
        </w:sectPr>
      </w:pPr>
    </w:p>
    <w:p w14:paraId="054B5A0A" w14:textId="77777777" w:rsidR="00467FCA" w:rsidRDefault="001B68EB">
      <w:pPr>
        <w:pStyle w:val="Prrafodelista"/>
        <w:numPr>
          <w:ilvl w:val="0"/>
          <w:numId w:val="50"/>
        </w:numPr>
        <w:tabs>
          <w:tab w:val="left" w:pos="687"/>
        </w:tabs>
        <w:spacing w:before="80"/>
        <w:ind w:right="119" w:hanging="1"/>
        <w:jc w:val="both"/>
        <w:rPr>
          <w:sz w:val="20"/>
        </w:rPr>
      </w:pPr>
      <w:r w:rsidRPr="00624696">
        <w:rPr>
          <w:sz w:val="20"/>
          <w:lang w:val="es-AR"/>
        </w:rPr>
        <w:t>L</w:t>
      </w:r>
      <w:r w:rsidRPr="00624696">
        <w:rPr>
          <w:sz w:val="20"/>
          <w:lang w:val="es-AR"/>
        </w:rPr>
        <w:t xml:space="preserve">a </w:t>
      </w:r>
      <w:r w:rsidRPr="00624696">
        <w:rPr>
          <w:b/>
          <w:i/>
          <w:sz w:val="20"/>
          <w:lang w:val="es-AR"/>
        </w:rPr>
        <w:t xml:space="preserve">Comisión y los representantes </w:t>
      </w:r>
      <w:r w:rsidRPr="00624696">
        <w:rPr>
          <w:sz w:val="20"/>
          <w:lang w:val="es-AR"/>
        </w:rPr>
        <w:t>solicitaron desestimar esta excepción pues, al versar sobre la interpretación del artículo 26 de la Convención, no constituye una excepción preliminar, sino un asunto que debe ser resuelto en la parte de fondo del caso. Asim</w:t>
      </w:r>
      <w:r w:rsidRPr="00624696">
        <w:rPr>
          <w:sz w:val="20"/>
          <w:lang w:val="es-AR"/>
        </w:rPr>
        <w:t xml:space="preserve">ismo, indicaron que, desde la sentencia del </w:t>
      </w:r>
      <w:r w:rsidRPr="00624696">
        <w:rPr>
          <w:i/>
          <w:sz w:val="20"/>
          <w:lang w:val="es-AR"/>
        </w:rPr>
        <w:t xml:space="preserve">Caso Lagos del Campo Vs. </w:t>
      </w:r>
      <w:r>
        <w:rPr>
          <w:i/>
          <w:sz w:val="20"/>
        </w:rPr>
        <w:t>Perú</w:t>
      </w:r>
      <w:r>
        <w:rPr>
          <w:sz w:val="20"/>
        </w:rPr>
        <w:t>, el alegato sobre la incompetencia de la Corte para pronunciarse respecto de la violación del artículo 26 ha sido un tema ampliamente</w:t>
      </w:r>
      <w:r>
        <w:rPr>
          <w:spacing w:val="-2"/>
          <w:sz w:val="20"/>
        </w:rPr>
        <w:t xml:space="preserve"> </w:t>
      </w:r>
      <w:r>
        <w:rPr>
          <w:sz w:val="20"/>
        </w:rPr>
        <w:t>superado.</w:t>
      </w:r>
    </w:p>
    <w:p w14:paraId="36C9E316" w14:textId="77777777" w:rsidR="00467FCA" w:rsidRDefault="00467FCA">
      <w:pPr>
        <w:pStyle w:val="Textoindependiente"/>
      </w:pPr>
    </w:p>
    <w:p w14:paraId="7A199855" w14:textId="77777777" w:rsidR="00467FCA" w:rsidRDefault="001B68EB">
      <w:pPr>
        <w:pStyle w:val="Ttulo2"/>
        <w:numPr>
          <w:ilvl w:val="1"/>
          <w:numId w:val="49"/>
        </w:numPr>
        <w:tabs>
          <w:tab w:val="left" w:pos="1347"/>
        </w:tabs>
        <w:spacing w:before="1"/>
        <w:ind w:left="1346" w:hanging="507"/>
      </w:pPr>
      <w:bookmarkStart w:id="43" w:name="B.2._Consideraciones_de_la_Corte"/>
      <w:bookmarkStart w:id="44" w:name="_bookmark33"/>
      <w:bookmarkEnd w:id="43"/>
      <w:bookmarkEnd w:id="44"/>
      <w:r>
        <w:t>C</w:t>
      </w:r>
      <w:r>
        <w:t>onsideraciones de la</w:t>
      </w:r>
      <w:r>
        <w:rPr>
          <w:spacing w:val="-1"/>
        </w:rPr>
        <w:t xml:space="preserve"> </w:t>
      </w:r>
      <w:r>
        <w:t>Corte</w:t>
      </w:r>
    </w:p>
    <w:p w14:paraId="42F5F0CF" w14:textId="77777777" w:rsidR="00467FCA" w:rsidRDefault="00467FCA">
      <w:pPr>
        <w:pStyle w:val="Textoindependiente"/>
        <w:spacing w:before="10"/>
        <w:rPr>
          <w:b/>
          <w:i/>
          <w:sz w:val="19"/>
        </w:rPr>
      </w:pPr>
    </w:p>
    <w:p w14:paraId="70241FD2" w14:textId="77777777" w:rsidR="00467FCA" w:rsidRDefault="001B68EB">
      <w:pPr>
        <w:pStyle w:val="Prrafodelista"/>
        <w:numPr>
          <w:ilvl w:val="0"/>
          <w:numId w:val="50"/>
        </w:numPr>
        <w:tabs>
          <w:tab w:val="left" w:pos="687"/>
        </w:tabs>
        <w:ind w:right="118" w:firstLine="0"/>
        <w:jc w:val="both"/>
        <w:rPr>
          <w:sz w:val="20"/>
        </w:rPr>
      </w:pPr>
      <w:r w:rsidRPr="00624696">
        <w:rPr>
          <w:sz w:val="20"/>
          <w:lang w:val="es-AR"/>
        </w:rPr>
        <w:t>Este Tribunal reafirma su competencia para conocer y resolver controversias relativas al</w:t>
      </w:r>
      <w:r w:rsidRPr="00624696">
        <w:rPr>
          <w:spacing w:val="-15"/>
          <w:sz w:val="20"/>
          <w:lang w:val="es-AR"/>
        </w:rPr>
        <w:t xml:space="preserve"> </w:t>
      </w:r>
      <w:r w:rsidRPr="00624696">
        <w:rPr>
          <w:sz w:val="20"/>
          <w:lang w:val="es-AR"/>
        </w:rPr>
        <w:t>artículo</w:t>
      </w:r>
      <w:r w:rsidRPr="00624696">
        <w:rPr>
          <w:spacing w:val="-16"/>
          <w:sz w:val="20"/>
          <w:lang w:val="es-AR"/>
        </w:rPr>
        <w:t xml:space="preserve"> </w:t>
      </w:r>
      <w:r w:rsidRPr="00624696">
        <w:rPr>
          <w:sz w:val="20"/>
          <w:lang w:val="es-AR"/>
        </w:rPr>
        <w:t>26</w:t>
      </w:r>
      <w:r w:rsidRPr="00624696">
        <w:rPr>
          <w:spacing w:val="-11"/>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la</w:t>
      </w:r>
      <w:r w:rsidRPr="00624696">
        <w:rPr>
          <w:spacing w:val="-12"/>
          <w:sz w:val="20"/>
          <w:lang w:val="es-AR"/>
        </w:rPr>
        <w:t xml:space="preserve"> </w:t>
      </w:r>
      <w:r w:rsidRPr="00624696">
        <w:rPr>
          <w:sz w:val="20"/>
          <w:lang w:val="es-AR"/>
        </w:rPr>
        <w:t>Convención</w:t>
      </w:r>
      <w:r w:rsidRPr="00624696">
        <w:rPr>
          <w:spacing w:val="-11"/>
          <w:sz w:val="20"/>
          <w:lang w:val="es-AR"/>
        </w:rPr>
        <w:t xml:space="preserve"> </w:t>
      </w:r>
      <w:r w:rsidRPr="00624696">
        <w:rPr>
          <w:sz w:val="20"/>
          <w:lang w:val="es-AR"/>
        </w:rPr>
        <w:t>Americana</w:t>
      </w:r>
      <w:r w:rsidRPr="00624696">
        <w:rPr>
          <w:spacing w:val="-12"/>
          <w:sz w:val="20"/>
          <w:lang w:val="es-AR"/>
        </w:rPr>
        <w:t xml:space="preserve"> </w:t>
      </w:r>
      <w:r w:rsidRPr="00624696">
        <w:rPr>
          <w:sz w:val="20"/>
          <w:lang w:val="es-AR"/>
        </w:rPr>
        <w:t>como</w:t>
      </w:r>
      <w:r w:rsidRPr="00624696">
        <w:rPr>
          <w:spacing w:val="-11"/>
          <w:sz w:val="20"/>
          <w:lang w:val="es-AR"/>
        </w:rPr>
        <w:t xml:space="preserve"> </w:t>
      </w:r>
      <w:r w:rsidRPr="00624696">
        <w:rPr>
          <w:sz w:val="20"/>
          <w:lang w:val="es-AR"/>
        </w:rPr>
        <w:t>parte</w:t>
      </w:r>
      <w:r w:rsidRPr="00624696">
        <w:rPr>
          <w:spacing w:val="-13"/>
          <w:sz w:val="20"/>
          <w:lang w:val="es-AR"/>
        </w:rPr>
        <w:t xml:space="preserve"> </w:t>
      </w:r>
      <w:r w:rsidRPr="00624696">
        <w:rPr>
          <w:sz w:val="20"/>
          <w:lang w:val="es-AR"/>
        </w:rPr>
        <w:t>integrante</w:t>
      </w:r>
      <w:r w:rsidRPr="00624696">
        <w:rPr>
          <w:spacing w:val="-16"/>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los</w:t>
      </w:r>
      <w:r w:rsidRPr="00624696">
        <w:rPr>
          <w:spacing w:val="-15"/>
          <w:sz w:val="20"/>
          <w:lang w:val="es-AR"/>
        </w:rPr>
        <w:t xml:space="preserve"> </w:t>
      </w:r>
      <w:r w:rsidRPr="00624696">
        <w:rPr>
          <w:sz w:val="20"/>
          <w:lang w:val="es-AR"/>
        </w:rPr>
        <w:t>derechos</w:t>
      </w:r>
      <w:r w:rsidRPr="00624696">
        <w:rPr>
          <w:spacing w:val="-13"/>
          <w:sz w:val="20"/>
          <w:lang w:val="es-AR"/>
        </w:rPr>
        <w:t xml:space="preserve"> </w:t>
      </w:r>
      <w:r w:rsidRPr="00624696">
        <w:rPr>
          <w:sz w:val="20"/>
          <w:lang w:val="es-AR"/>
        </w:rPr>
        <w:t>enumerados en</w:t>
      </w:r>
      <w:r w:rsidRPr="00624696">
        <w:rPr>
          <w:spacing w:val="-19"/>
          <w:sz w:val="20"/>
          <w:lang w:val="es-AR"/>
        </w:rPr>
        <w:t xml:space="preserve"> </w:t>
      </w:r>
      <w:r w:rsidRPr="00624696">
        <w:rPr>
          <w:sz w:val="20"/>
          <w:lang w:val="es-AR"/>
        </w:rPr>
        <w:t>su</w:t>
      </w:r>
      <w:r w:rsidRPr="00624696">
        <w:rPr>
          <w:spacing w:val="-16"/>
          <w:sz w:val="20"/>
          <w:lang w:val="es-AR"/>
        </w:rPr>
        <w:t xml:space="preserve"> </w:t>
      </w:r>
      <w:r w:rsidRPr="00624696">
        <w:rPr>
          <w:sz w:val="20"/>
          <w:lang w:val="es-AR"/>
        </w:rPr>
        <w:t>texto,</w:t>
      </w:r>
      <w:r w:rsidRPr="00624696">
        <w:rPr>
          <w:spacing w:val="-18"/>
          <w:sz w:val="20"/>
          <w:lang w:val="es-AR"/>
        </w:rPr>
        <w:t xml:space="preserve"> </w:t>
      </w:r>
      <w:r w:rsidRPr="00624696">
        <w:rPr>
          <w:sz w:val="20"/>
          <w:lang w:val="es-AR"/>
        </w:rPr>
        <w:t>respecto</w:t>
      </w:r>
      <w:r w:rsidRPr="00624696">
        <w:rPr>
          <w:spacing w:val="-20"/>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los</w:t>
      </w:r>
      <w:r w:rsidRPr="00624696">
        <w:rPr>
          <w:spacing w:val="-18"/>
          <w:sz w:val="20"/>
          <w:lang w:val="es-AR"/>
        </w:rPr>
        <w:t xml:space="preserve"> </w:t>
      </w:r>
      <w:r w:rsidRPr="00624696">
        <w:rPr>
          <w:sz w:val="20"/>
          <w:lang w:val="es-AR"/>
        </w:rPr>
        <w:t>cuales</w:t>
      </w:r>
      <w:r w:rsidRPr="00624696">
        <w:rPr>
          <w:spacing w:val="-17"/>
          <w:sz w:val="20"/>
          <w:lang w:val="es-AR"/>
        </w:rPr>
        <w:t xml:space="preserve"> </w:t>
      </w:r>
      <w:r w:rsidRPr="00624696">
        <w:rPr>
          <w:sz w:val="20"/>
          <w:lang w:val="es-AR"/>
        </w:rPr>
        <w:t>el</w:t>
      </w:r>
      <w:r w:rsidRPr="00624696">
        <w:rPr>
          <w:spacing w:val="-19"/>
          <w:sz w:val="20"/>
          <w:lang w:val="es-AR"/>
        </w:rPr>
        <w:t xml:space="preserve"> </w:t>
      </w:r>
      <w:r w:rsidRPr="00624696">
        <w:rPr>
          <w:sz w:val="20"/>
          <w:lang w:val="es-AR"/>
        </w:rPr>
        <w:t>artículo</w:t>
      </w:r>
      <w:r w:rsidRPr="00624696">
        <w:rPr>
          <w:spacing w:val="-18"/>
          <w:sz w:val="20"/>
          <w:lang w:val="es-AR"/>
        </w:rPr>
        <w:t xml:space="preserve"> </w:t>
      </w:r>
      <w:r w:rsidRPr="00624696">
        <w:rPr>
          <w:sz w:val="20"/>
          <w:lang w:val="es-AR"/>
        </w:rPr>
        <w:t>1.1</w:t>
      </w:r>
      <w:r w:rsidRPr="00624696">
        <w:rPr>
          <w:spacing w:val="-17"/>
          <w:sz w:val="20"/>
          <w:lang w:val="es-AR"/>
        </w:rPr>
        <w:t xml:space="preserve"> </w:t>
      </w:r>
      <w:r w:rsidRPr="00624696">
        <w:rPr>
          <w:sz w:val="20"/>
          <w:lang w:val="es-AR"/>
        </w:rPr>
        <w:t>confiere</w:t>
      </w:r>
      <w:r w:rsidRPr="00624696">
        <w:rPr>
          <w:spacing w:val="-18"/>
          <w:sz w:val="20"/>
          <w:lang w:val="es-AR"/>
        </w:rPr>
        <w:t xml:space="preserve"> </w:t>
      </w:r>
      <w:r w:rsidRPr="00624696">
        <w:rPr>
          <w:sz w:val="20"/>
          <w:lang w:val="es-AR"/>
        </w:rPr>
        <w:t>obligaciones</w:t>
      </w:r>
      <w:r w:rsidRPr="00624696">
        <w:rPr>
          <w:spacing w:val="-18"/>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respeto</w:t>
      </w:r>
      <w:r w:rsidRPr="00624696">
        <w:rPr>
          <w:spacing w:val="-20"/>
          <w:sz w:val="20"/>
          <w:lang w:val="es-AR"/>
        </w:rPr>
        <w:t xml:space="preserve"> </w:t>
      </w:r>
      <w:r w:rsidRPr="00624696">
        <w:rPr>
          <w:sz w:val="20"/>
          <w:lang w:val="es-AR"/>
        </w:rPr>
        <w:t>y</w:t>
      </w:r>
      <w:r w:rsidRPr="00624696">
        <w:rPr>
          <w:spacing w:val="-18"/>
          <w:sz w:val="20"/>
          <w:lang w:val="es-AR"/>
        </w:rPr>
        <w:t xml:space="preserve"> </w:t>
      </w:r>
      <w:r w:rsidRPr="00624696">
        <w:rPr>
          <w:sz w:val="20"/>
          <w:lang w:val="es-AR"/>
        </w:rPr>
        <w:t>garantía</w:t>
      </w:r>
      <w:hyperlink w:anchor="_bookmark36" w:history="1">
        <w:r w:rsidRPr="00624696">
          <w:rPr>
            <w:position w:val="7"/>
            <w:sz w:val="13"/>
            <w:lang w:val="es-AR"/>
          </w:rPr>
          <w:t>25</w:t>
        </w:r>
      </w:hyperlink>
      <w:r w:rsidRPr="00624696">
        <w:rPr>
          <w:sz w:val="20"/>
          <w:lang w:val="es-AR"/>
        </w:rPr>
        <w:t>. Tal como lo ha indicado en decisiones previas</w:t>
      </w:r>
      <w:hyperlink w:anchor="_bookmark37" w:history="1">
        <w:r w:rsidRPr="00624696">
          <w:rPr>
            <w:position w:val="7"/>
            <w:sz w:val="13"/>
            <w:lang w:val="es-AR"/>
          </w:rPr>
          <w:t>26</w:t>
        </w:r>
      </w:hyperlink>
      <w:r w:rsidRPr="00624696">
        <w:rPr>
          <w:sz w:val="20"/>
          <w:lang w:val="es-AR"/>
        </w:rPr>
        <w:t>, las consideraciones relacionadas con la posible</w:t>
      </w:r>
      <w:r w:rsidRPr="00624696">
        <w:rPr>
          <w:spacing w:val="-8"/>
          <w:sz w:val="20"/>
          <w:lang w:val="es-AR"/>
        </w:rPr>
        <w:t xml:space="preserve"> </w:t>
      </w:r>
      <w:r w:rsidRPr="00624696">
        <w:rPr>
          <w:sz w:val="20"/>
          <w:lang w:val="es-AR"/>
        </w:rPr>
        <w:t>ocurrencia</w:t>
      </w:r>
      <w:r w:rsidRPr="00624696">
        <w:rPr>
          <w:spacing w:val="-9"/>
          <w:sz w:val="20"/>
          <w:lang w:val="es-AR"/>
        </w:rPr>
        <w:t xml:space="preserve"> </w:t>
      </w:r>
      <w:r w:rsidRPr="00624696">
        <w:rPr>
          <w:sz w:val="20"/>
          <w:lang w:val="es-AR"/>
        </w:rPr>
        <w:t>de</w:t>
      </w:r>
      <w:r w:rsidRPr="00624696">
        <w:rPr>
          <w:spacing w:val="-9"/>
          <w:sz w:val="20"/>
          <w:lang w:val="es-AR"/>
        </w:rPr>
        <w:t xml:space="preserve"> </w:t>
      </w:r>
      <w:r w:rsidRPr="00624696">
        <w:rPr>
          <w:sz w:val="20"/>
          <w:lang w:val="es-AR"/>
        </w:rPr>
        <w:t>dichas</w:t>
      </w:r>
      <w:r w:rsidRPr="00624696">
        <w:rPr>
          <w:spacing w:val="-10"/>
          <w:sz w:val="20"/>
          <w:lang w:val="es-AR"/>
        </w:rPr>
        <w:t xml:space="preserve"> </w:t>
      </w:r>
      <w:r w:rsidRPr="00624696">
        <w:rPr>
          <w:sz w:val="20"/>
          <w:lang w:val="es-AR"/>
        </w:rPr>
        <w:t>violaciones</w:t>
      </w:r>
      <w:r w:rsidRPr="00624696">
        <w:rPr>
          <w:spacing w:val="-9"/>
          <w:sz w:val="20"/>
          <w:lang w:val="es-AR"/>
        </w:rPr>
        <w:t xml:space="preserve"> </w:t>
      </w:r>
      <w:r w:rsidRPr="00624696">
        <w:rPr>
          <w:sz w:val="20"/>
          <w:lang w:val="es-AR"/>
        </w:rPr>
        <w:t>deben</w:t>
      </w:r>
      <w:r w:rsidRPr="00624696">
        <w:rPr>
          <w:spacing w:val="-5"/>
          <w:sz w:val="20"/>
          <w:lang w:val="es-AR"/>
        </w:rPr>
        <w:t xml:space="preserve"> </w:t>
      </w:r>
      <w:r w:rsidRPr="00624696">
        <w:rPr>
          <w:sz w:val="20"/>
          <w:lang w:val="es-AR"/>
        </w:rPr>
        <w:t>ser</w:t>
      </w:r>
      <w:r w:rsidRPr="00624696">
        <w:rPr>
          <w:spacing w:val="-9"/>
          <w:sz w:val="20"/>
          <w:lang w:val="es-AR"/>
        </w:rPr>
        <w:t xml:space="preserve"> </w:t>
      </w:r>
      <w:r w:rsidRPr="00624696">
        <w:rPr>
          <w:sz w:val="20"/>
          <w:lang w:val="es-AR"/>
        </w:rPr>
        <w:t>estudiadas</w:t>
      </w:r>
      <w:r w:rsidRPr="00624696">
        <w:rPr>
          <w:spacing w:val="-10"/>
          <w:sz w:val="20"/>
          <w:lang w:val="es-AR"/>
        </w:rPr>
        <w:t xml:space="preserve"> </w:t>
      </w:r>
      <w:r w:rsidRPr="00624696">
        <w:rPr>
          <w:sz w:val="20"/>
          <w:lang w:val="es-AR"/>
        </w:rPr>
        <w:t>en</w:t>
      </w:r>
      <w:r w:rsidRPr="00624696">
        <w:rPr>
          <w:spacing w:val="-7"/>
          <w:sz w:val="20"/>
          <w:lang w:val="es-AR"/>
        </w:rPr>
        <w:t xml:space="preserve"> </w:t>
      </w:r>
      <w:r w:rsidRPr="00624696">
        <w:rPr>
          <w:sz w:val="20"/>
          <w:lang w:val="es-AR"/>
        </w:rPr>
        <w:t>el</w:t>
      </w:r>
      <w:r w:rsidRPr="00624696">
        <w:rPr>
          <w:spacing w:val="-8"/>
          <w:sz w:val="20"/>
          <w:lang w:val="es-AR"/>
        </w:rPr>
        <w:t xml:space="preserve"> </w:t>
      </w:r>
      <w:r w:rsidRPr="00624696">
        <w:rPr>
          <w:sz w:val="20"/>
          <w:lang w:val="es-AR"/>
        </w:rPr>
        <w:t>fondo</w:t>
      </w:r>
      <w:r w:rsidRPr="00624696">
        <w:rPr>
          <w:spacing w:val="-9"/>
          <w:sz w:val="20"/>
          <w:lang w:val="es-AR"/>
        </w:rPr>
        <w:t xml:space="preserve"> </w:t>
      </w:r>
      <w:r w:rsidRPr="00624696">
        <w:rPr>
          <w:sz w:val="20"/>
          <w:lang w:val="es-AR"/>
        </w:rPr>
        <w:t>de</w:t>
      </w:r>
      <w:r w:rsidRPr="00624696">
        <w:rPr>
          <w:spacing w:val="-8"/>
          <w:sz w:val="20"/>
          <w:lang w:val="es-AR"/>
        </w:rPr>
        <w:t xml:space="preserve"> </w:t>
      </w:r>
      <w:r w:rsidRPr="00624696">
        <w:rPr>
          <w:sz w:val="20"/>
          <w:lang w:val="es-AR"/>
        </w:rPr>
        <w:t>este</w:t>
      </w:r>
      <w:r w:rsidRPr="00624696">
        <w:rPr>
          <w:spacing w:val="-9"/>
          <w:sz w:val="20"/>
          <w:lang w:val="es-AR"/>
        </w:rPr>
        <w:t xml:space="preserve"> </w:t>
      </w:r>
      <w:r w:rsidRPr="00624696">
        <w:rPr>
          <w:sz w:val="20"/>
          <w:lang w:val="es-AR"/>
        </w:rPr>
        <w:t>asunto.</w:t>
      </w:r>
      <w:r w:rsidRPr="00624696">
        <w:rPr>
          <w:spacing w:val="-10"/>
          <w:sz w:val="20"/>
          <w:lang w:val="es-AR"/>
        </w:rPr>
        <w:t xml:space="preserve"> </w:t>
      </w:r>
      <w:r>
        <w:rPr>
          <w:sz w:val="20"/>
        </w:rPr>
        <w:t>Por esa razón, la Corte desestima esta excepción</w:t>
      </w:r>
      <w:r>
        <w:rPr>
          <w:spacing w:val="-5"/>
          <w:sz w:val="20"/>
        </w:rPr>
        <w:t xml:space="preserve"> </w:t>
      </w:r>
      <w:r>
        <w:rPr>
          <w:sz w:val="20"/>
        </w:rPr>
        <w:t>preliminar.</w:t>
      </w:r>
    </w:p>
    <w:p w14:paraId="34E5A756" w14:textId="77777777" w:rsidR="00467FCA" w:rsidRDefault="00467FCA">
      <w:pPr>
        <w:pStyle w:val="Textoindependiente"/>
      </w:pPr>
    </w:p>
    <w:p w14:paraId="69516562" w14:textId="77777777" w:rsidR="00467FCA" w:rsidRPr="00624696" w:rsidRDefault="001B68EB">
      <w:pPr>
        <w:pStyle w:val="Ttulo1"/>
        <w:numPr>
          <w:ilvl w:val="0"/>
          <w:numId w:val="49"/>
        </w:numPr>
        <w:tabs>
          <w:tab w:val="left" w:pos="840"/>
        </w:tabs>
        <w:ind w:left="839" w:hanging="361"/>
        <w:jc w:val="left"/>
        <w:rPr>
          <w:lang w:val="es-AR"/>
        </w:rPr>
      </w:pPr>
      <w:bookmarkStart w:id="45" w:name="C._Alegada_falta_de_agotamiento_de_los_r"/>
      <w:bookmarkStart w:id="46" w:name="_bookmark34"/>
      <w:bookmarkEnd w:id="45"/>
      <w:bookmarkEnd w:id="46"/>
      <w:r w:rsidRPr="00624696">
        <w:rPr>
          <w:lang w:val="es-AR"/>
        </w:rPr>
        <w:t>Alegada falta de agotamiento de los recursos</w:t>
      </w:r>
      <w:r w:rsidRPr="00624696">
        <w:rPr>
          <w:spacing w:val="-4"/>
          <w:lang w:val="es-AR"/>
        </w:rPr>
        <w:t xml:space="preserve"> </w:t>
      </w:r>
      <w:r w:rsidRPr="00624696">
        <w:rPr>
          <w:lang w:val="es-AR"/>
        </w:rPr>
        <w:t>internos</w:t>
      </w:r>
    </w:p>
    <w:p w14:paraId="72AB43F4" w14:textId="77777777" w:rsidR="00467FCA" w:rsidRPr="00624696" w:rsidRDefault="00467FCA">
      <w:pPr>
        <w:pStyle w:val="Textoindependiente"/>
        <w:spacing w:before="1"/>
        <w:rPr>
          <w:b/>
          <w:lang w:val="es-AR"/>
        </w:rPr>
      </w:pPr>
    </w:p>
    <w:p w14:paraId="2F5AE24D" w14:textId="77777777" w:rsidR="00467FCA" w:rsidRPr="00624696" w:rsidRDefault="001B68EB">
      <w:pPr>
        <w:pStyle w:val="Ttulo2"/>
        <w:numPr>
          <w:ilvl w:val="1"/>
          <w:numId w:val="49"/>
        </w:numPr>
        <w:tabs>
          <w:tab w:val="left" w:pos="1491"/>
          <w:tab w:val="left" w:pos="1493"/>
          <w:tab w:val="left" w:pos="2689"/>
          <w:tab w:val="left" w:pos="3256"/>
          <w:tab w:val="left" w:pos="4304"/>
          <w:tab w:val="left" w:pos="6138"/>
          <w:tab w:val="left" w:pos="6632"/>
          <w:tab w:val="left" w:pos="7057"/>
          <w:tab w:val="left" w:pos="8307"/>
          <w:tab w:val="left" w:pos="8660"/>
          <w:tab w:val="left" w:pos="9155"/>
        </w:tabs>
        <w:spacing w:before="1"/>
        <w:ind w:left="839" w:right="118" w:firstLine="0"/>
        <w:rPr>
          <w:lang w:val="es-AR"/>
        </w:rPr>
      </w:pPr>
      <w:bookmarkStart w:id="47" w:name="C.1._Alegatos_del_Estado,_observaciones_"/>
      <w:bookmarkStart w:id="48" w:name="_bookmark35"/>
      <w:bookmarkEnd w:id="47"/>
      <w:bookmarkEnd w:id="48"/>
      <w:r w:rsidRPr="00624696">
        <w:rPr>
          <w:lang w:val="es-AR"/>
        </w:rPr>
        <w:t>Alegatos</w:t>
      </w:r>
      <w:r w:rsidRPr="00624696">
        <w:rPr>
          <w:lang w:val="es-AR"/>
        </w:rPr>
        <w:tab/>
        <w:t>del</w:t>
      </w:r>
      <w:r w:rsidRPr="00624696">
        <w:rPr>
          <w:lang w:val="es-AR"/>
        </w:rPr>
        <w:tab/>
        <w:t>Estado,</w:t>
      </w:r>
      <w:r w:rsidRPr="00624696">
        <w:rPr>
          <w:lang w:val="es-AR"/>
        </w:rPr>
        <w:tab/>
        <w:t>observaciones</w:t>
      </w:r>
      <w:r w:rsidRPr="00624696">
        <w:rPr>
          <w:lang w:val="es-AR"/>
        </w:rPr>
        <w:tab/>
        <w:t>de</w:t>
      </w:r>
      <w:r w:rsidRPr="00624696">
        <w:rPr>
          <w:lang w:val="es-AR"/>
        </w:rPr>
        <w:tab/>
        <w:t>la</w:t>
      </w:r>
      <w:r w:rsidRPr="00624696">
        <w:rPr>
          <w:lang w:val="es-AR"/>
        </w:rPr>
        <w:tab/>
        <w:t>Comisión</w:t>
      </w:r>
      <w:r w:rsidRPr="00624696">
        <w:rPr>
          <w:lang w:val="es-AR"/>
        </w:rPr>
        <w:tab/>
        <w:t>y</w:t>
      </w:r>
      <w:r w:rsidRPr="00624696">
        <w:rPr>
          <w:lang w:val="es-AR"/>
        </w:rPr>
        <w:tab/>
        <w:t>de</w:t>
      </w:r>
      <w:r w:rsidRPr="00624696">
        <w:rPr>
          <w:lang w:val="es-AR"/>
        </w:rPr>
        <w:tab/>
      </w:r>
      <w:r w:rsidRPr="00624696">
        <w:rPr>
          <w:spacing w:val="-6"/>
          <w:lang w:val="es-AR"/>
        </w:rPr>
        <w:t xml:space="preserve">los </w:t>
      </w:r>
      <w:r w:rsidRPr="00624696">
        <w:rPr>
          <w:lang w:val="es-AR"/>
        </w:rPr>
        <w:t>representantes</w:t>
      </w:r>
    </w:p>
    <w:p w14:paraId="4CA864C9" w14:textId="77777777" w:rsidR="00467FCA" w:rsidRPr="00624696" w:rsidRDefault="00467FCA">
      <w:pPr>
        <w:pStyle w:val="Textoindependiente"/>
        <w:rPr>
          <w:b/>
          <w:i/>
          <w:lang w:val="es-AR"/>
        </w:rPr>
      </w:pPr>
    </w:p>
    <w:p w14:paraId="732F516D" w14:textId="77777777" w:rsidR="00467FCA" w:rsidRPr="00624696" w:rsidRDefault="001B68EB">
      <w:pPr>
        <w:pStyle w:val="Prrafodelista"/>
        <w:numPr>
          <w:ilvl w:val="0"/>
          <w:numId w:val="50"/>
        </w:numPr>
        <w:tabs>
          <w:tab w:val="left" w:pos="687"/>
        </w:tabs>
        <w:ind w:left="119" w:right="117" w:firstLine="0"/>
        <w:jc w:val="both"/>
        <w:rPr>
          <w:sz w:val="20"/>
          <w:lang w:val="es-AR"/>
        </w:rPr>
      </w:pPr>
      <w:r w:rsidRPr="00624696">
        <w:rPr>
          <w:sz w:val="20"/>
          <w:lang w:val="es-AR"/>
        </w:rPr>
        <w:t xml:space="preserve">El </w:t>
      </w:r>
      <w:r w:rsidRPr="00624696">
        <w:rPr>
          <w:b/>
          <w:i/>
          <w:sz w:val="20"/>
          <w:lang w:val="es-AR"/>
        </w:rPr>
        <w:t xml:space="preserve">Estado </w:t>
      </w:r>
      <w:r w:rsidRPr="00624696">
        <w:rPr>
          <w:sz w:val="20"/>
          <w:lang w:val="es-AR"/>
        </w:rPr>
        <w:t xml:space="preserve">argumentó que, </w:t>
      </w:r>
      <w:r w:rsidRPr="00624696">
        <w:rPr>
          <w:sz w:val="20"/>
          <w:lang w:val="es-AR"/>
        </w:rPr>
        <w:t>al momento de la petición inicial, aún no se habían agotado y,</w:t>
      </w:r>
      <w:r w:rsidRPr="00624696">
        <w:rPr>
          <w:spacing w:val="-9"/>
          <w:sz w:val="20"/>
          <w:lang w:val="es-AR"/>
        </w:rPr>
        <w:t xml:space="preserve"> </w:t>
      </w:r>
      <w:r w:rsidRPr="00624696">
        <w:rPr>
          <w:sz w:val="20"/>
          <w:lang w:val="es-AR"/>
        </w:rPr>
        <w:t>en</w:t>
      </w:r>
      <w:r w:rsidRPr="00624696">
        <w:rPr>
          <w:spacing w:val="-10"/>
          <w:sz w:val="20"/>
          <w:lang w:val="es-AR"/>
        </w:rPr>
        <w:t xml:space="preserve"> </w:t>
      </w:r>
      <w:r w:rsidRPr="00624696">
        <w:rPr>
          <w:sz w:val="20"/>
          <w:lang w:val="es-AR"/>
        </w:rPr>
        <w:t>algunos</w:t>
      </w:r>
      <w:r w:rsidRPr="00624696">
        <w:rPr>
          <w:spacing w:val="-9"/>
          <w:sz w:val="20"/>
          <w:lang w:val="es-AR"/>
        </w:rPr>
        <w:t xml:space="preserve"> </w:t>
      </w:r>
      <w:r w:rsidRPr="00624696">
        <w:rPr>
          <w:sz w:val="20"/>
          <w:lang w:val="es-AR"/>
        </w:rPr>
        <w:t>casos,</w:t>
      </w:r>
      <w:r w:rsidRPr="00624696">
        <w:rPr>
          <w:spacing w:val="-12"/>
          <w:sz w:val="20"/>
          <w:lang w:val="es-AR"/>
        </w:rPr>
        <w:t xml:space="preserve"> </w:t>
      </w:r>
      <w:r w:rsidRPr="00624696">
        <w:rPr>
          <w:sz w:val="20"/>
          <w:lang w:val="es-AR"/>
        </w:rPr>
        <w:t>interpuesto</w:t>
      </w:r>
      <w:r w:rsidRPr="00624696">
        <w:rPr>
          <w:spacing w:val="-9"/>
          <w:sz w:val="20"/>
          <w:lang w:val="es-AR"/>
        </w:rPr>
        <w:t xml:space="preserve"> </w:t>
      </w:r>
      <w:r w:rsidRPr="00624696">
        <w:rPr>
          <w:sz w:val="20"/>
          <w:lang w:val="es-AR"/>
        </w:rPr>
        <w:t>los</w:t>
      </w:r>
      <w:r w:rsidRPr="00624696">
        <w:rPr>
          <w:spacing w:val="-10"/>
          <w:sz w:val="20"/>
          <w:lang w:val="es-AR"/>
        </w:rPr>
        <w:t xml:space="preserve"> </w:t>
      </w:r>
      <w:r w:rsidRPr="00624696">
        <w:rPr>
          <w:sz w:val="20"/>
          <w:lang w:val="es-AR"/>
        </w:rPr>
        <w:t>recursos</w:t>
      </w:r>
      <w:r w:rsidRPr="00624696">
        <w:rPr>
          <w:spacing w:val="-9"/>
          <w:sz w:val="20"/>
          <w:lang w:val="es-AR"/>
        </w:rPr>
        <w:t xml:space="preserve"> </w:t>
      </w:r>
      <w:r w:rsidRPr="00624696">
        <w:rPr>
          <w:sz w:val="20"/>
          <w:lang w:val="es-AR"/>
        </w:rPr>
        <w:t>idóneos</w:t>
      </w:r>
      <w:r w:rsidRPr="00624696">
        <w:rPr>
          <w:spacing w:val="-12"/>
          <w:sz w:val="20"/>
          <w:lang w:val="es-AR"/>
        </w:rPr>
        <w:t xml:space="preserve"> </w:t>
      </w:r>
      <w:r w:rsidRPr="00624696">
        <w:rPr>
          <w:sz w:val="20"/>
          <w:lang w:val="es-AR"/>
        </w:rPr>
        <w:t>a</w:t>
      </w:r>
      <w:r w:rsidRPr="00624696">
        <w:rPr>
          <w:spacing w:val="-8"/>
          <w:sz w:val="20"/>
          <w:lang w:val="es-AR"/>
        </w:rPr>
        <w:t xml:space="preserve"> </w:t>
      </w:r>
      <w:r w:rsidRPr="00624696">
        <w:rPr>
          <w:sz w:val="20"/>
          <w:lang w:val="es-AR"/>
        </w:rPr>
        <w:t>nivel</w:t>
      </w:r>
      <w:r w:rsidRPr="00624696">
        <w:rPr>
          <w:spacing w:val="-8"/>
          <w:sz w:val="20"/>
          <w:lang w:val="es-AR"/>
        </w:rPr>
        <w:t xml:space="preserve"> </w:t>
      </w:r>
      <w:r w:rsidRPr="00624696">
        <w:rPr>
          <w:sz w:val="20"/>
          <w:lang w:val="es-AR"/>
        </w:rPr>
        <w:t>interno</w:t>
      </w:r>
      <w:r w:rsidRPr="00624696">
        <w:rPr>
          <w:spacing w:val="-11"/>
          <w:sz w:val="20"/>
          <w:lang w:val="es-AR"/>
        </w:rPr>
        <w:t xml:space="preserve"> </w:t>
      </w:r>
      <w:r w:rsidRPr="00624696">
        <w:rPr>
          <w:sz w:val="20"/>
          <w:lang w:val="es-AR"/>
        </w:rPr>
        <w:t>para</w:t>
      </w:r>
      <w:r w:rsidRPr="00624696">
        <w:rPr>
          <w:spacing w:val="-11"/>
          <w:sz w:val="20"/>
          <w:lang w:val="es-AR"/>
        </w:rPr>
        <w:t xml:space="preserve"> </w:t>
      </w:r>
      <w:r w:rsidRPr="00624696">
        <w:rPr>
          <w:sz w:val="20"/>
          <w:lang w:val="es-AR"/>
        </w:rPr>
        <w:t>dilucidar</w:t>
      </w:r>
      <w:r w:rsidRPr="00624696">
        <w:rPr>
          <w:spacing w:val="-9"/>
          <w:sz w:val="20"/>
          <w:lang w:val="es-AR"/>
        </w:rPr>
        <w:t xml:space="preserve"> </w:t>
      </w:r>
      <w:r w:rsidRPr="00624696">
        <w:rPr>
          <w:sz w:val="20"/>
          <w:lang w:val="es-AR"/>
        </w:rPr>
        <w:t>los</w:t>
      </w:r>
      <w:r w:rsidRPr="00624696">
        <w:rPr>
          <w:spacing w:val="-10"/>
          <w:sz w:val="20"/>
          <w:lang w:val="es-AR"/>
        </w:rPr>
        <w:t xml:space="preserve"> </w:t>
      </w:r>
      <w:r w:rsidRPr="00624696">
        <w:rPr>
          <w:sz w:val="20"/>
          <w:lang w:val="es-AR"/>
        </w:rPr>
        <w:t>hechos y responsabilidades relacionados con la explosión de la fábrica de fuegos. Puntualizó que el agotamiento</w:t>
      </w:r>
      <w:r w:rsidRPr="00624696">
        <w:rPr>
          <w:spacing w:val="-20"/>
          <w:sz w:val="20"/>
          <w:lang w:val="es-AR"/>
        </w:rPr>
        <w:t xml:space="preserve"> </w:t>
      </w:r>
      <w:r w:rsidRPr="00624696">
        <w:rPr>
          <w:sz w:val="20"/>
          <w:lang w:val="es-AR"/>
        </w:rPr>
        <w:t>de</w:t>
      </w:r>
      <w:r w:rsidRPr="00624696">
        <w:rPr>
          <w:spacing w:val="-20"/>
          <w:sz w:val="20"/>
          <w:lang w:val="es-AR"/>
        </w:rPr>
        <w:t xml:space="preserve"> </w:t>
      </w:r>
      <w:r w:rsidRPr="00624696">
        <w:rPr>
          <w:sz w:val="20"/>
          <w:lang w:val="es-AR"/>
        </w:rPr>
        <w:t>los</w:t>
      </w:r>
      <w:r w:rsidRPr="00624696">
        <w:rPr>
          <w:spacing w:val="-18"/>
          <w:sz w:val="20"/>
          <w:lang w:val="es-AR"/>
        </w:rPr>
        <w:t xml:space="preserve"> </w:t>
      </w:r>
      <w:r w:rsidRPr="00624696">
        <w:rPr>
          <w:sz w:val="20"/>
          <w:lang w:val="es-AR"/>
        </w:rPr>
        <w:t>recursos</w:t>
      </w:r>
      <w:r w:rsidRPr="00624696">
        <w:rPr>
          <w:spacing w:val="-19"/>
          <w:sz w:val="20"/>
          <w:lang w:val="es-AR"/>
        </w:rPr>
        <w:t xml:space="preserve"> </w:t>
      </w:r>
      <w:r w:rsidRPr="00624696">
        <w:rPr>
          <w:sz w:val="20"/>
          <w:lang w:val="es-AR"/>
        </w:rPr>
        <w:t>con</w:t>
      </w:r>
      <w:r w:rsidRPr="00624696">
        <w:rPr>
          <w:spacing w:val="-20"/>
          <w:sz w:val="20"/>
          <w:lang w:val="es-AR"/>
        </w:rPr>
        <w:t xml:space="preserve"> </w:t>
      </w:r>
      <w:r w:rsidRPr="00624696">
        <w:rPr>
          <w:sz w:val="20"/>
          <w:lang w:val="es-AR"/>
        </w:rPr>
        <w:t>posterioridad</w:t>
      </w:r>
      <w:r w:rsidRPr="00624696">
        <w:rPr>
          <w:spacing w:val="-17"/>
          <w:sz w:val="20"/>
          <w:lang w:val="es-AR"/>
        </w:rPr>
        <w:t xml:space="preserve"> </w:t>
      </w:r>
      <w:r w:rsidRPr="00624696">
        <w:rPr>
          <w:sz w:val="20"/>
          <w:lang w:val="es-AR"/>
        </w:rPr>
        <w:t>a</w:t>
      </w:r>
      <w:r w:rsidRPr="00624696">
        <w:rPr>
          <w:spacing w:val="-18"/>
          <w:sz w:val="20"/>
          <w:lang w:val="es-AR"/>
        </w:rPr>
        <w:t xml:space="preserve"> </w:t>
      </w:r>
      <w:r w:rsidRPr="00624696">
        <w:rPr>
          <w:sz w:val="20"/>
          <w:lang w:val="es-AR"/>
        </w:rPr>
        <w:t>la</w:t>
      </w:r>
      <w:r w:rsidRPr="00624696">
        <w:rPr>
          <w:spacing w:val="-21"/>
          <w:sz w:val="20"/>
          <w:lang w:val="es-AR"/>
        </w:rPr>
        <w:t xml:space="preserve"> </w:t>
      </w:r>
      <w:r w:rsidRPr="00624696">
        <w:rPr>
          <w:sz w:val="20"/>
          <w:lang w:val="es-AR"/>
        </w:rPr>
        <w:t>presentación</w:t>
      </w:r>
      <w:r w:rsidRPr="00624696">
        <w:rPr>
          <w:spacing w:val="-16"/>
          <w:sz w:val="20"/>
          <w:lang w:val="es-AR"/>
        </w:rPr>
        <w:t xml:space="preserve"> </w:t>
      </w:r>
      <w:r w:rsidRPr="00624696">
        <w:rPr>
          <w:sz w:val="20"/>
          <w:lang w:val="es-AR"/>
        </w:rPr>
        <w:t>de</w:t>
      </w:r>
      <w:r w:rsidRPr="00624696">
        <w:rPr>
          <w:spacing w:val="-20"/>
          <w:sz w:val="20"/>
          <w:lang w:val="es-AR"/>
        </w:rPr>
        <w:t xml:space="preserve"> </w:t>
      </w:r>
      <w:r w:rsidRPr="00624696">
        <w:rPr>
          <w:sz w:val="20"/>
          <w:lang w:val="es-AR"/>
        </w:rPr>
        <w:t>la</w:t>
      </w:r>
      <w:r w:rsidRPr="00624696">
        <w:rPr>
          <w:spacing w:val="-18"/>
          <w:sz w:val="20"/>
          <w:lang w:val="es-AR"/>
        </w:rPr>
        <w:t xml:space="preserve"> </w:t>
      </w:r>
      <w:r w:rsidRPr="00624696">
        <w:rPr>
          <w:sz w:val="20"/>
          <w:lang w:val="es-AR"/>
        </w:rPr>
        <w:t>petición</w:t>
      </w:r>
      <w:r w:rsidRPr="00624696">
        <w:rPr>
          <w:spacing w:val="-19"/>
          <w:sz w:val="20"/>
          <w:lang w:val="es-AR"/>
        </w:rPr>
        <w:t xml:space="preserve"> </w:t>
      </w:r>
      <w:r w:rsidRPr="00624696">
        <w:rPr>
          <w:sz w:val="20"/>
          <w:lang w:val="es-AR"/>
        </w:rPr>
        <w:t>invierte</w:t>
      </w:r>
      <w:r w:rsidRPr="00624696">
        <w:rPr>
          <w:spacing w:val="-20"/>
          <w:sz w:val="20"/>
          <w:lang w:val="es-AR"/>
        </w:rPr>
        <w:t xml:space="preserve"> </w:t>
      </w:r>
      <w:r w:rsidRPr="00624696">
        <w:rPr>
          <w:sz w:val="20"/>
          <w:lang w:val="es-AR"/>
        </w:rPr>
        <w:t>el</w:t>
      </w:r>
      <w:r w:rsidRPr="00624696">
        <w:rPr>
          <w:spacing w:val="-18"/>
          <w:sz w:val="20"/>
          <w:lang w:val="es-AR"/>
        </w:rPr>
        <w:t xml:space="preserve"> </w:t>
      </w:r>
      <w:r w:rsidRPr="00624696">
        <w:rPr>
          <w:sz w:val="20"/>
          <w:lang w:val="es-AR"/>
        </w:rPr>
        <w:t>orden de</w:t>
      </w:r>
      <w:r w:rsidRPr="00624696">
        <w:rPr>
          <w:spacing w:val="-12"/>
          <w:sz w:val="20"/>
          <w:lang w:val="es-AR"/>
        </w:rPr>
        <w:t xml:space="preserve"> </w:t>
      </w:r>
      <w:r w:rsidRPr="00624696">
        <w:rPr>
          <w:sz w:val="20"/>
          <w:lang w:val="es-AR"/>
        </w:rPr>
        <w:t>complementariedad</w:t>
      </w:r>
      <w:r w:rsidRPr="00624696">
        <w:rPr>
          <w:spacing w:val="-7"/>
          <w:sz w:val="20"/>
          <w:lang w:val="es-AR"/>
        </w:rPr>
        <w:t xml:space="preserve"> </w:t>
      </w:r>
      <w:r w:rsidRPr="00624696">
        <w:rPr>
          <w:sz w:val="20"/>
          <w:lang w:val="es-AR"/>
        </w:rPr>
        <w:t>entre</w:t>
      </w:r>
      <w:r w:rsidRPr="00624696">
        <w:rPr>
          <w:spacing w:val="-9"/>
          <w:sz w:val="20"/>
          <w:lang w:val="es-AR"/>
        </w:rPr>
        <w:t xml:space="preserve"> </w:t>
      </w:r>
      <w:r w:rsidRPr="00624696">
        <w:rPr>
          <w:sz w:val="20"/>
          <w:lang w:val="es-AR"/>
        </w:rPr>
        <w:t>el</w:t>
      </w:r>
      <w:r w:rsidRPr="00624696">
        <w:rPr>
          <w:spacing w:val="-7"/>
          <w:sz w:val="20"/>
          <w:lang w:val="es-AR"/>
        </w:rPr>
        <w:t xml:space="preserve"> </w:t>
      </w:r>
      <w:r w:rsidRPr="00624696">
        <w:rPr>
          <w:sz w:val="20"/>
          <w:lang w:val="es-AR"/>
        </w:rPr>
        <w:t>sistema</w:t>
      </w:r>
      <w:r w:rsidRPr="00624696">
        <w:rPr>
          <w:spacing w:val="-10"/>
          <w:sz w:val="20"/>
          <w:lang w:val="es-AR"/>
        </w:rPr>
        <w:t xml:space="preserve"> </w:t>
      </w:r>
      <w:r w:rsidRPr="00624696">
        <w:rPr>
          <w:sz w:val="20"/>
          <w:lang w:val="es-AR"/>
        </w:rPr>
        <w:t>doméstico</w:t>
      </w:r>
      <w:r w:rsidRPr="00624696">
        <w:rPr>
          <w:spacing w:val="-10"/>
          <w:sz w:val="20"/>
          <w:lang w:val="es-AR"/>
        </w:rPr>
        <w:t xml:space="preserve"> </w:t>
      </w:r>
      <w:r w:rsidRPr="00624696">
        <w:rPr>
          <w:sz w:val="20"/>
          <w:lang w:val="es-AR"/>
        </w:rPr>
        <w:t>e</w:t>
      </w:r>
      <w:r w:rsidRPr="00624696">
        <w:rPr>
          <w:spacing w:val="-11"/>
          <w:sz w:val="20"/>
          <w:lang w:val="es-AR"/>
        </w:rPr>
        <w:t xml:space="preserve"> </w:t>
      </w:r>
      <w:r w:rsidRPr="00624696">
        <w:rPr>
          <w:sz w:val="20"/>
          <w:lang w:val="es-AR"/>
        </w:rPr>
        <w:t>interamer</w:t>
      </w:r>
      <w:r w:rsidRPr="00624696">
        <w:rPr>
          <w:sz w:val="20"/>
          <w:lang w:val="es-AR"/>
        </w:rPr>
        <w:t>icano</w:t>
      </w:r>
      <w:r w:rsidRPr="00624696">
        <w:rPr>
          <w:spacing w:val="-9"/>
          <w:sz w:val="20"/>
          <w:lang w:val="es-AR"/>
        </w:rPr>
        <w:t xml:space="preserve"> </w:t>
      </w:r>
      <w:r w:rsidRPr="00624696">
        <w:rPr>
          <w:sz w:val="20"/>
          <w:lang w:val="es-AR"/>
        </w:rPr>
        <w:t>y</w:t>
      </w:r>
      <w:r w:rsidRPr="00624696">
        <w:rPr>
          <w:spacing w:val="-11"/>
          <w:sz w:val="20"/>
          <w:lang w:val="es-AR"/>
        </w:rPr>
        <w:t xml:space="preserve"> </w:t>
      </w:r>
      <w:r w:rsidRPr="00624696">
        <w:rPr>
          <w:sz w:val="20"/>
          <w:lang w:val="es-AR"/>
        </w:rPr>
        <w:t>que,</w:t>
      </w:r>
      <w:r w:rsidRPr="00624696">
        <w:rPr>
          <w:spacing w:val="-11"/>
          <w:sz w:val="20"/>
          <w:lang w:val="es-AR"/>
        </w:rPr>
        <w:t xml:space="preserve"> </w:t>
      </w:r>
      <w:r w:rsidRPr="00624696">
        <w:rPr>
          <w:sz w:val="20"/>
          <w:lang w:val="es-AR"/>
        </w:rPr>
        <w:t>si</w:t>
      </w:r>
      <w:r w:rsidRPr="00624696">
        <w:rPr>
          <w:spacing w:val="-7"/>
          <w:sz w:val="20"/>
          <w:lang w:val="es-AR"/>
        </w:rPr>
        <w:t xml:space="preserve"> </w:t>
      </w:r>
      <w:r w:rsidRPr="00624696">
        <w:rPr>
          <w:sz w:val="20"/>
          <w:lang w:val="es-AR"/>
        </w:rPr>
        <w:t>bien</w:t>
      </w:r>
      <w:r w:rsidRPr="00624696">
        <w:rPr>
          <w:spacing w:val="-10"/>
          <w:sz w:val="20"/>
          <w:lang w:val="es-AR"/>
        </w:rPr>
        <w:t xml:space="preserve"> </w:t>
      </w:r>
      <w:r w:rsidRPr="00624696">
        <w:rPr>
          <w:sz w:val="20"/>
          <w:lang w:val="es-AR"/>
        </w:rPr>
        <w:t>la</w:t>
      </w:r>
      <w:r w:rsidRPr="00624696">
        <w:rPr>
          <w:spacing w:val="-8"/>
          <w:sz w:val="20"/>
          <w:lang w:val="es-AR"/>
        </w:rPr>
        <w:t xml:space="preserve"> </w:t>
      </w:r>
      <w:r w:rsidRPr="00624696">
        <w:rPr>
          <w:sz w:val="20"/>
          <w:lang w:val="es-AR"/>
        </w:rPr>
        <w:t>Corte</w:t>
      </w:r>
      <w:r w:rsidRPr="00624696">
        <w:rPr>
          <w:spacing w:val="-9"/>
          <w:sz w:val="20"/>
          <w:lang w:val="es-AR"/>
        </w:rPr>
        <w:t xml:space="preserve"> </w:t>
      </w:r>
      <w:r w:rsidRPr="00624696">
        <w:rPr>
          <w:sz w:val="20"/>
          <w:lang w:val="es-AR"/>
        </w:rPr>
        <w:t>ha indicado que se pueden agotar estos después de la presentación del caso, el agotamiento debe ocurrir antes de que el Estado sea notificado para presentar sus primeras consideraciones</w:t>
      </w:r>
      <w:r w:rsidRPr="00624696">
        <w:rPr>
          <w:spacing w:val="-12"/>
          <w:sz w:val="20"/>
          <w:lang w:val="es-AR"/>
        </w:rPr>
        <w:t xml:space="preserve"> </w:t>
      </w:r>
      <w:r w:rsidRPr="00624696">
        <w:rPr>
          <w:sz w:val="20"/>
          <w:lang w:val="es-AR"/>
        </w:rPr>
        <w:t>sobre</w:t>
      </w:r>
      <w:r w:rsidRPr="00624696">
        <w:rPr>
          <w:spacing w:val="-11"/>
          <w:sz w:val="20"/>
          <w:lang w:val="es-AR"/>
        </w:rPr>
        <w:t xml:space="preserve"> </w:t>
      </w:r>
      <w:r w:rsidRPr="00624696">
        <w:rPr>
          <w:sz w:val="20"/>
          <w:lang w:val="es-AR"/>
        </w:rPr>
        <w:t>la</w:t>
      </w:r>
      <w:r w:rsidRPr="00624696">
        <w:rPr>
          <w:spacing w:val="-9"/>
          <w:sz w:val="20"/>
          <w:lang w:val="es-AR"/>
        </w:rPr>
        <w:t xml:space="preserve"> </w:t>
      </w:r>
      <w:r w:rsidRPr="00624696">
        <w:rPr>
          <w:sz w:val="20"/>
          <w:lang w:val="es-AR"/>
        </w:rPr>
        <w:t>demanda</w:t>
      </w:r>
      <w:hyperlink w:anchor="_bookmark38" w:history="1">
        <w:r w:rsidRPr="00624696">
          <w:rPr>
            <w:position w:val="7"/>
            <w:sz w:val="13"/>
            <w:lang w:val="es-AR"/>
          </w:rPr>
          <w:t>27</w:t>
        </w:r>
      </w:hyperlink>
      <w:r w:rsidRPr="00624696">
        <w:rPr>
          <w:sz w:val="20"/>
          <w:lang w:val="es-AR"/>
        </w:rPr>
        <w:t>.</w:t>
      </w:r>
      <w:r w:rsidRPr="00624696">
        <w:rPr>
          <w:spacing w:val="-11"/>
          <w:sz w:val="20"/>
          <w:lang w:val="es-AR"/>
        </w:rPr>
        <w:t xml:space="preserve"> </w:t>
      </w:r>
      <w:r w:rsidRPr="00624696">
        <w:rPr>
          <w:sz w:val="20"/>
          <w:lang w:val="es-AR"/>
        </w:rPr>
        <w:t>Finalmente,</w:t>
      </w:r>
      <w:r w:rsidRPr="00624696">
        <w:rPr>
          <w:spacing w:val="-8"/>
          <w:sz w:val="20"/>
          <w:lang w:val="es-AR"/>
        </w:rPr>
        <w:t xml:space="preserve"> </w:t>
      </w:r>
      <w:r w:rsidRPr="00624696">
        <w:rPr>
          <w:sz w:val="20"/>
          <w:lang w:val="es-AR"/>
        </w:rPr>
        <w:t>señaló</w:t>
      </w:r>
      <w:r w:rsidRPr="00624696">
        <w:rPr>
          <w:spacing w:val="-12"/>
          <w:sz w:val="20"/>
          <w:lang w:val="es-AR"/>
        </w:rPr>
        <w:t xml:space="preserve"> </w:t>
      </w:r>
      <w:r w:rsidRPr="00624696">
        <w:rPr>
          <w:sz w:val="20"/>
          <w:lang w:val="es-AR"/>
        </w:rPr>
        <w:t>que</w:t>
      </w:r>
      <w:r w:rsidRPr="00624696">
        <w:rPr>
          <w:spacing w:val="-11"/>
          <w:sz w:val="20"/>
          <w:lang w:val="es-AR"/>
        </w:rPr>
        <w:t xml:space="preserve"> </w:t>
      </w:r>
      <w:r w:rsidRPr="00624696">
        <w:rPr>
          <w:sz w:val="20"/>
          <w:lang w:val="es-AR"/>
        </w:rPr>
        <w:t>interpuso</w:t>
      </w:r>
      <w:r w:rsidRPr="00624696">
        <w:rPr>
          <w:spacing w:val="-9"/>
          <w:sz w:val="20"/>
          <w:lang w:val="es-AR"/>
        </w:rPr>
        <w:t xml:space="preserve"> </w:t>
      </w:r>
      <w:r w:rsidRPr="00624696">
        <w:rPr>
          <w:sz w:val="20"/>
          <w:lang w:val="es-AR"/>
        </w:rPr>
        <w:t>esta</w:t>
      </w:r>
      <w:r w:rsidRPr="00624696">
        <w:rPr>
          <w:spacing w:val="-11"/>
          <w:sz w:val="20"/>
          <w:lang w:val="es-AR"/>
        </w:rPr>
        <w:t xml:space="preserve"> </w:t>
      </w:r>
      <w:r w:rsidRPr="00624696">
        <w:rPr>
          <w:sz w:val="20"/>
          <w:lang w:val="es-AR"/>
        </w:rPr>
        <w:t>excepción</w:t>
      </w:r>
      <w:r w:rsidRPr="00624696">
        <w:rPr>
          <w:spacing w:val="-9"/>
          <w:sz w:val="20"/>
          <w:lang w:val="es-AR"/>
        </w:rPr>
        <w:t xml:space="preserve"> </w:t>
      </w:r>
      <w:r w:rsidRPr="00624696">
        <w:rPr>
          <w:sz w:val="20"/>
          <w:lang w:val="es-AR"/>
        </w:rPr>
        <w:t>ante</w:t>
      </w:r>
      <w:r w:rsidRPr="00624696">
        <w:rPr>
          <w:spacing w:val="-11"/>
          <w:sz w:val="20"/>
          <w:lang w:val="es-AR"/>
        </w:rPr>
        <w:t xml:space="preserve"> </w:t>
      </w:r>
      <w:r w:rsidRPr="00624696">
        <w:rPr>
          <w:sz w:val="20"/>
          <w:lang w:val="es-AR"/>
        </w:rPr>
        <w:t>la Comisión en el momento procesal</w:t>
      </w:r>
      <w:r w:rsidRPr="00624696">
        <w:rPr>
          <w:spacing w:val="-1"/>
          <w:sz w:val="20"/>
          <w:lang w:val="es-AR"/>
        </w:rPr>
        <w:t xml:space="preserve"> </w:t>
      </w:r>
      <w:r w:rsidRPr="00624696">
        <w:rPr>
          <w:sz w:val="20"/>
          <w:lang w:val="es-AR"/>
        </w:rPr>
        <w:t>oportuno.</w:t>
      </w:r>
    </w:p>
    <w:p w14:paraId="7953BDB4" w14:textId="77777777" w:rsidR="00467FCA" w:rsidRPr="00624696" w:rsidRDefault="00467FCA">
      <w:pPr>
        <w:pStyle w:val="Textoindependiente"/>
        <w:rPr>
          <w:lang w:val="es-AR"/>
        </w:rPr>
      </w:pPr>
    </w:p>
    <w:p w14:paraId="1CA18D04" w14:textId="77777777" w:rsidR="00467FCA" w:rsidRPr="00624696" w:rsidRDefault="001B68EB">
      <w:pPr>
        <w:pStyle w:val="Prrafodelista"/>
        <w:numPr>
          <w:ilvl w:val="0"/>
          <w:numId w:val="50"/>
        </w:numPr>
        <w:tabs>
          <w:tab w:val="left" w:pos="687"/>
        </w:tabs>
        <w:ind w:left="119" w:right="116" w:firstLine="0"/>
        <w:jc w:val="both"/>
        <w:rPr>
          <w:sz w:val="20"/>
          <w:lang w:val="es-AR"/>
        </w:rPr>
      </w:pPr>
      <w:r w:rsidRPr="00624696">
        <w:rPr>
          <w:sz w:val="20"/>
          <w:lang w:val="es-AR"/>
        </w:rPr>
        <w:t>De forma específica, sobre el proceso penal, estableció que, a la fecha de presentación del</w:t>
      </w:r>
      <w:r w:rsidRPr="00624696">
        <w:rPr>
          <w:spacing w:val="-5"/>
          <w:sz w:val="20"/>
          <w:lang w:val="es-AR"/>
        </w:rPr>
        <w:t xml:space="preserve"> </w:t>
      </w:r>
      <w:r w:rsidRPr="00624696">
        <w:rPr>
          <w:sz w:val="20"/>
          <w:lang w:val="es-AR"/>
        </w:rPr>
        <w:t>caso</w:t>
      </w:r>
      <w:r w:rsidRPr="00624696">
        <w:rPr>
          <w:spacing w:val="-6"/>
          <w:sz w:val="20"/>
          <w:lang w:val="es-AR"/>
        </w:rPr>
        <w:t xml:space="preserve"> </w:t>
      </w:r>
      <w:r w:rsidRPr="00624696">
        <w:rPr>
          <w:sz w:val="20"/>
          <w:lang w:val="es-AR"/>
        </w:rPr>
        <w:t>ante</w:t>
      </w:r>
      <w:r w:rsidRPr="00624696">
        <w:rPr>
          <w:spacing w:val="-7"/>
          <w:sz w:val="20"/>
          <w:lang w:val="es-AR"/>
        </w:rPr>
        <w:t xml:space="preserve"> </w:t>
      </w:r>
      <w:r w:rsidRPr="00624696">
        <w:rPr>
          <w:sz w:val="20"/>
          <w:lang w:val="es-AR"/>
        </w:rPr>
        <w:t>la</w:t>
      </w:r>
      <w:r w:rsidRPr="00624696">
        <w:rPr>
          <w:spacing w:val="-7"/>
          <w:sz w:val="20"/>
          <w:lang w:val="es-AR"/>
        </w:rPr>
        <w:t xml:space="preserve"> </w:t>
      </w:r>
      <w:r w:rsidRPr="00624696">
        <w:rPr>
          <w:sz w:val="20"/>
          <w:lang w:val="es-AR"/>
        </w:rPr>
        <w:t>Comisión,</w:t>
      </w:r>
      <w:r w:rsidRPr="00624696">
        <w:rPr>
          <w:spacing w:val="-8"/>
          <w:sz w:val="20"/>
          <w:lang w:val="es-AR"/>
        </w:rPr>
        <w:t xml:space="preserve"> </w:t>
      </w:r>
      <w:r w:rsidRPr="00624696">
        <w:rPr>
          <w:sz w:val="20"/>
          <w:lang w:val="es-AR"/>
        </w:rPr>
        <w:t>habían</w:t>
      </w:r>
      <w:r w:rsidRPr="00624696">
        <w:rPr>
          <w:spacing w:val="-7"/>
          <w:sz w:val="20"/>
          <w:lang w:val="es-AR"/>
        </w:rPr>
        <w:t xml:space="preserve"> </w:t>
      </w:r>
      <w:r w:rsidRPr="00624696">
        <w:rPr>
          <w:sz w:val="20"/>
          <w:lang w:val="es-AR"/>
        </w:rPr>
        <w:t>pasado</w:t>
      </w:r>
      <w:r w:rsidRPr="00624696">
        <w:rPr>
          <w:spacing w:val="-6"/>
          <w:sz w:val="20"/>
          <w:lang w:val="es-AR"/>
        </w:rPr>
        <w:t xml:space="preserve"> </w:t>
      </w:r>
      <w:r w:rsidRPr="00624696">
        <w:rPr>
          <w:sz w:val="20"/>
          <w:lang w:val="es-AR"/>
        </w:rPr>
        <w:t>solamente</w:t>
      </w:r>
      <w:r w:rsidRPr="00624696">
        <w:rPr>
          <w:spacing w:val="-7"/>
          <w:sz w:val="20"/>
          <w:lang w:val="es-AR"/>
        </w:rPr>
        <w:t xml:space="preserve"> </w:t>
      </w:r>
      <w:r w:rsidRPr="00624696">
        <w:rPr>
          <w:sz w:val="20"/>
          <w:lang w:val="es-AR"/>
        </w:rPr>
        <w:t>tres</w:t>
      </w:r>
      <w:r w:rsidRPr="00624696">
        <w:rPr>
          <w:spacing w:val="-6"/>
          <w:sz w:val="20"/>
          <w:lang w:val="es-AR"/>
        </w:rPr>
        <w:t xml:space="preserve"> </w:t>
      </w:r>
      <w:r w:rsidRPr="00624696">
        <w:rPr>
          <w:sz w:val="20"/>
          <w:lang w:val="es-AR"/>
        </w:rPr>
        <w:t>años</w:t>
      </w:r>
      <w:r w:rsidRPr="00624696">
        <w:rPr>
          <w:spacing w:val="-5"/>
          <w:sz w:val="20"/>
          <w:lang w:val="es-AR"/>
        </w:rPr>
        <w:t xml:space="preserve"> </w:t>
      </w:r>
      <w:r w:rsidRPr="00624696">
        <w:rPr>
          <w:sz w:val="20"/>
          <w:lang w:val="es-AR"/>
        </w:rPr>
        <w:t>desde</w:t>
      </w:r>
      <w:r w:rsidRPr="00624696">
        <w:rPr>
          <w:spacing w:val="-7"/>
          <w:sz w:val="20"/>
          <w:lang w:val="es-AR"/>
        </w:rPr>
        <w:t xml:space="preserve"> </w:t>
      </w:r>
      <w:r w:rsidRPr="00624696">
        <w:rPr>
          <w:sz w:val="20"/>
          <w:lang w:val="es-AR"/>
        </w:rPr>
        <w:t>que</w:t>
      </w:r>
      <w:r w:rsidRPr="00624696">
        <w:rPr>
          <w:spacing w:val="-7"/>
          <w:sz w:val="20"/>
          <w:lang w:val="es-AR"/>
        </w:rPr>
        <w:t xml:space="preserve"> </w:t>
      </w:r>
      <w:r w:rsidRPr="00624696">
        <w:rPr>
          <w:sz w:val="20"/>
          <w:lang w:val="es-AR"/>
        </w:rPr>
        <w:t>ocurrió</w:t>
      </w:r>
      <w:r w:rsidRPr="00624696">
        <w:rPr>
          <w:spacing w:val="-6"/>
          <w:sz w:val="20"/>
          <w:lang w:val="es-AR"/>
        </w:rPr>
        <w:t xml:space="preserve"> </w:t>
      </w:r>
      <w:r w:rsidRPr="00624696">
        <w:rPr>
          <w:sz w:val="20"/>
          <w:lang w:val="es-AR"/>
        </w:rPr>
        <w:t>la</w:t>
      </w:r>
      <w:r w:rsidRPr="00624696">
        <w:rPr>
          <w:spacing w:val="-5"/>
          <w:sz w:val="20"/>
          <w:lang w:val="es-AR"/>
        </w:rPr>
        <w:t xml:space="preserve"> </w:t>
      </w:r>
      <w:r w:rsidRPr="00624696">
        <w:rPr>
          <w:sz w:val="20"/>
          <w:lang w:val="es-AR"/>
        </w:rPr>
        <w:t>explosión y poco más de dos años desde la presentación formal de la acción por parte d</w:t>
      </w:r>
      <w:r w:rsidRPr="00624696">
        <w:rPr>
          <w:sz w:val="20"/>
          <w:lang w:val="es-AR"/>
        </w:rPr>
        <w:t>el Ministerio Público de Brasil (abril de 1999), tiempo que, en su consideración, es más que razonable en investigaciones</w:t>
      </w:r>
      <w:r w:rsidRPr="00624696">
        <w:rPr>
          <w:spacing w:val="26"/>
          <w:sz w:val="20"/>
          <w:lang w:val="es-AR"/>
        </w:rPr>
        <w:t xml:space="preserve"> </w:t>
      </w:r>
      <w:r w:rsidRPr="00624696">
        <w:rPr>
          <w:sz w:val="20"/>
          <w:lang w:val="es-AR"/>
        </w:rPr>
        <w:t>policiales</w:t>
      </w:r>
      <w:r w:rsidRPr="00624696">
        <w:rPr>
          <w:spacing w:val="24"/>
          <w:sz w:val="20"/>
          <w:lang w:val="es-AR"/>
        </w:rPr>
        <w:t xml:space="preserve"> </w:t>
      </w:r>
      <w:r w:rsidRPr="00624696">
        <w:rPr>
          <w:sz w:val="20"/>
          <w:lang w:val="es-AR"/>
        </w:rPr>
        <w:t>y</w:t>
      </w:r>
      <w:r w:rsidRPr="00624696">
        <w:rPr>
          <w:spacing w:val="28"/>
          <w:sz w:val="20"/>
          <w:lang w:val="es-AR"/>
        </w:rPr>
        <w:t xml:space="preserve"> </w:t>
      </w:r>
      <w:r w:rsidRPr="00624696">
        <w:rPr>
          <w:sz w:val="20"/>
          <w:lang w:val="es-AR"/>
        </w:rPr>
        <w:t>causas</w:t>
      </w:r>
      <w:r w:rsidRPr="00624696">
        <w:rPr>
          <w:spacing w:val="26"/>
          <w:sz w:val="20"/>
          <w:lang w:val="es-AR"/>
        </w:rPr>
        <w:t xml:space="preserve"> </w:t>
      </w:r>
      <w:r w:rsidRPr="00624696">
        <w:rPr>
          <w:sz w:val="20"/>
          <w:lang w:val="es-AR"/>
        </w:rPr>
        <w:t>penales</w:t>
      </w:r>
      <w:r w:rsidRPr="00624696">
        <w:rPr>
          <w:spacing w:val="27"/>
          <w:sz w:val="20"/>
          <w:lang w:val="es-AR"/>
        </w:rPr>
        <w:t xml:space="preserve"> </w:t>
      </w:r>
      <w:r w:rsidRPr="00624696">
        <w:rPr>
          <w:sz w:val="20"/>
          <w:lang w:val="es-AR"/>
        </w:rPr>
        <w:t>en</w:t>
      </w:r>
      <w:r w:rsidRPr="00624696">
        <w:rPr>
          <w:spacing w:val="31"/>
          <w:sz w:val="20"/>
          <w:lang w:val="es-AR"/>
        </w:rPr>
        <w:t xml:space="preserve"> </w:t>
      </w:r>
      <w:r w:rsidRPr="00624696">
        <w:rPr>
          <w:sz w:val="20"/>
          <w:lang w:val="es-AR"/>
        </w:rPr>
        <w:t>las</w:t>
      </w:r>
      <w:r w:rsidRPr="00624696">
        <w:rPr>
          <w:spacing w:val="25"/>
          <w:sz w:val="20"/>
          <w:lang w:val="es-AR"/>
        </w:rPr>
        <w:t xml:space="preserve"> </w:t>
      </w:r>
      <w:r w:rsidRPr="00624696">
        <w:rPr>
          <w:sz w:val="20"/>
          <w:lang w:val="es-AR"/>
        </w:rPr>
        <w:t>que</w:t>
      </w:r>
      <w:r w:rsidRPr="00624696">
        <w:rPr>
          <w:spacing w:val="28"/>
          <w:sz w:val="20"/>
          <w:lang w:val="es-AR"/>
        </w:rPr>
        <w:t xml:space="preserve"> </w:t>
      </w:r>
      <w:r w:rsidRPr="00624696">
        <w:rPr>
          <w:sz w:val="20"/>
          <w:lang w:val="es-AR"/>
        </w:rPr>
        <w:t>están</w:t>
      </w:r>
      <w:r w:rsidRPr="00624696">
        <w:rPr>
          <w:spacing w:val="26"/>
          <w:sz w:val="20"/>
          <w:lang w:val="es-AR"/>
        </w:rPr>
        <w:t xml:space="preserve"> </w:t>
      </w:r>
      <w:r w:rsidRPr="00624696">
        <w:rPr>
          <w:sz w:val="20"/>
          <w:lang w:val="es-AR"/>
        </w:rPr>
        <w:t>implicados</w:t>
      </w:r>
      <w:r w:rsidRPr="00624696">
        <w:rPr>
          <w:spacing w:val="25"/>
          <w:sz w:val="20"/>
          <w:lang w:val="es-AR"/>
        </w:rPr>
        <w:t xml:space="preserve"> </w:t>
      </w:r>
      <w:r w:rsidRPr="00624696">
        <w:rPr>
          <w:sz w:val="20"/>
          <w:lang w:val="es-AR"/>
        </w:rPr>
        <w:t>varios</w:t>
      </w:r>
      <w:r w:rsidRPr="00624696">
        <w:rPr>
          <w:spacing w:val="25"/>
          <w:sz w:val="20"/>
          <w:lang w:val="es-AR"/>
        </w:rPr>
        <w:t xml:space="preserve"> </w:t>
      </w:r>
      <w:r w:rsidRPr="00624696">
        <w:rPr>
          <w:sz w:val="20"/>
          <w:lang w:val="es-AR"/>
        </w:rPr>
        <w:t>acusados</w:t>
      </w:r>
      <w:r w:rsidRPr="00624696">
        <w:rPr>
          <w:spacing w:val="26"/>
          <w:sz w:val="20"/>
          <w:lang w:val="es-AR"/>
        </w:rPr>
        <w:t xml:space="preserve"> </w:t>
      </w:r>
      <w:r w:rsidRPr="00624696">
        <w:rPr>
          <w:sz w:val="20"/>
          <w:lang w:val="es-AR"/>
        </w:rPr>
        <w:t>y</w:t>
      </w:r>
    </w:p>
    <w:p w14:paraId="7CAB9835" w14:textId="77777777" w:rsidR="00467FCA" w:rsidRPr="00624696" w:rsidRDefault="001B68EB">
      <w:pPr>
        <w:pStyle w:val="Textoindependiente"/>
        <w:spacing w:before="8"/>
        <w:rPr>
          <w:sz w:val="29"/>
          <w:lang w:val="es-AR"/>
        </w:rPr>
      </w:pPr>
      <w:r>
        <w:pict w14:anchorId="4ADB20E1">
          <v:shape id="_x0000_s1190" style="position:absolute;margin-left:1in;margin-top:20.3pt;width:2in;height:.1pt;z-index:-251652096;mso-wrap-distance-left:0;mso-wrap-distance-right:0;mso-position-horizontal-relative:page" coordorigin="1440,406" coordsize="2880,0" path="m1440,406r2880,e" filled="f" strokeweight=".6pt">
            <v:path arrowok="t"/>
            <w10:wrap type="topAndBottom" anchorx="page"/>
          </v:shape>
        </w:pict>
      </w:r>
    </w:p>
    <w:p w14:paraId="5DFB2D93" w14:textId="77777777" w:rsidR="00467FCA" w:rsidRDefault="001B68EB">
      <w:pPr>
        <w:tabs>
          <w:tab w:val="left" w:pos="839"/>
        </w:tabs>
        <w:spacing w:before="74"/>
        <w:ind w:left="115" w:right="112" w:firstLine="4"/>
        <w:jc w:val="both"/>
        <w:rPr>
          <w:sz w:val="16"/>
        </w:rPr>
      </w:pPr>
      <w:bookmarkStart w:id="49" w:name="_bookmark36"/>
      <w:bookmarkEnd w:id="49"/>
      <w:r w:rsidRPr="00624696">
        <w:rPr>
          <w:position w:val="6"/>
          <w:sz w:val="10"/>
          <w:lang w:val="es-AR"/>
        </w:rPr>
        <w:t>25</w:t>
      </w:r>
      <w:r w:rsidRPr="00624696">
        <w:rPr>
          <w:position w:val="6"/>
          <w:sz w:val="10"/>
          <w:lang w:val="es-AR"/>
        </w:rPr>
        <w:tab/>
      </w:r>
      <w:r w:rsidRPr="00624696">
        <w:rPr>
          <w:i/>
          <w:sz w:val="16"/>
          <w:lang w:val="es-AR"/>
        </w:rPr>
        <w:t>Cfr.</w:t>
      </w:r>
      <w:r w:rsidRPr="00624696">
        <w:rPr>
          <w:i/>
          <w:spacing w:val="-9"/>
          <w:sz w:val="16"/>
          <w:lang w:val="es-AR"/>
        </w:rPr>
        <w:t xml:space="preserve"> </w:t>
      </w:r>
      <w:r w:rsidRPr="00624696">
        <w:rPr>
          <w:i/>
          <w:sz w:val="16"/>
          <w:lang w:val="es-AR"/>
        </w:rPr>
        <w:t>Caso</w:t>
      </w:r>
      <w:r w:rsidRPr="00624696">
        <w:rPr>
          <w:i/>
          <w:spacing w:val="-8"/>
          <w:sz w:val="16"/>
          <w:lang w:val="es-AR"/>
        </w:rPr>
        <w:t xml:space="preserve"> </w:t>
      </w:r>
      <w:r w:rsidRPr="00624696">
        <w:rPr>
          <w:i/>
          <w:sz w:val="16"/>
          <w:lang w:val="es-AR"/>
        </w:rPr>
        <w:t>Lagos</w:t>
      </w:r>
      <w:r w:rsidRPr="00624696">
        <w:rPr>
          <w:i/>
          <w:spacing w:val="-8"/>
          <w:sz w:val="16"/>
          <w:lang w:val="es-AR"/>
        </w:rPr>
        <w:t xml:space="preserve"> </w:t>
      </w:r>
      <w:r w:rsidRPr="00624696">
        <w:rPr>
          <w:i/>
          <w:sz w:val="16"/>
          <w:lang w:val="es-AR"/>
        </w:rPr>
        <w:t>del</w:t>
      </w:r>
      <w:r w:rsidRPr="00624696">
        <w:rPr>
          <w:i/>
          <w:spacing w:val="-9"/>
          <w:sz w:val="16"/>
          <w:lang w:val="es-AR"/>
        </w:rPr>
        <w:t xml:space="preserve"> </w:t>
      </w:r>
      <w:r w:rsidRPr="00624696">
        <w:rPr>
          <w:i/>
          <w:sz w:val="16"/>
          <w:lang w:val="es-AR"/>
        </w:rPr>
        <w:t>Campo</w:t>
      </w:r>
      <w:r w:rsidRPr="00624696">
        <w:rPr>
          <w:i/>
          <w:spacing w:val="-8"/>
          <w:sz w:val="16"/>
          <w:lang w:val="es-AR"/>
        </w:rPr>
        <w:t xml:space="preserve"> </w:t>
      </w:r>
      <w:r w:rsidRPr="00624696">
        <w:rPr>
          <w:i/>
          <w:sz w:val="16"/>
          <w:lang w:val="es-AR"/>
        </w:rPr>
        <w:t>Vs.</w:t>
      </w:r>
      <w:r w:rsidRPr="00624696">
        <w:rPr>
          <w:i/>
          <w:spacing w:val="-8"/>
          <w:sz w:val="16"/>
          <w:lang w:val="es-AR"/>
        </w:rPr>
        <w:t xml:space="preserve"> </w:t>
      </w:r>
      <w:r>
        <w:rPr>
          <w:i/>
          <w:sz w:val="16"/>
        </w:rPr>
        <w:t>Perú.</w:t>
      </w:r>
      <w:r>
        <w:rPr>
          <w:i/>
          <w:spacing w:val="-7"/>
          <w:sz w:val="16"/>
        </w:rPr>
        <w:t xml:space="preserve"> </w:t>
      </w:r>
      <w:r w:rsidRPr="00624696">
        <w:rPr>
          <w:i/>
          <w:sz w:val="16"/>
          <w:lang w:val="es-AR"/>
        </w:rPr>
        <w:t>Excepciones</w:t>
      </w:r>
      <w:r w:rsidRPr="00624696">
        <w:rPr>
          <w:i/>
          <w:spacing w:val="-8"/>
          <w:sz w:val="16"/>
          <w:lang w:val="es-AR"/>
        </w:rPr>
        <w:t xml:space="preserve"> </w:t>
      </w:r>
      <w:r w:rsidRPr="00624696">
        <w:rPr>
          <w:i/>
          <w:sz w:val="16"/>
          <w:lang w:val="es-AR"/>
        </w:rPr>
        <w:t>Preliminares,</w:t>
      </w:r>
      <w:r w:rsidRPr="00624696">
        <w:rPr>
          <w:i/>
          <w:spacing w:val="-9"/>
          <w:sz w:val="16"/>
          <w:lang w:val="es-AR"/>
        </w:rPr>
        <w:t xml:space="preserve"> </w:t>
      </w:r>
      <w:r w:rsidRPr="00624696">
        <w:rPr>
          <w:i/>
          <w:sz w:val="16"/>
          <w:lang w:val="es-AR"/>
        </w:rPr>
        <w:t>Fondo,</w:t>
      </w:r>
      <w:r w:rsidRPr="00624696">
        <w:rPr>
          <w:i/>
          <w:spacing w:val="-12"/>
          <w:sz w:val="16"/>
          <w:lang w:val="es-AR"/>
        </w:rPr>
        <w:t xml:space="preserve"> </w:t>
      </w:r>
      <w:r w:rsidRPr="00624696">
        <w:rPr>
          <w:i/>
          <w:sz w:val="16"/>
          <w:lang w:val="es-AR"/>
        </w:rPr>
        <w:t>Reparaciones</w:t>
      </w:r>
      <w:r w:rsidRPr="00624696">
        <w:rPr>
          <w:i/>
          <w:spacing w:val="-8"/>
          <w:sz w:val="16"/>
          <w:lang w:val="es-AR"/>
        </w:rPr>
        <w:t xml:space="preserve"> </w:t>
      </w:r>
      <w:r w:rsidRPr="00624696">
        <w:rPr>
          <w:i/>
          <w:sz w:val="16"/>
          <w:lang w:val="es-AR"/>
        </w:rPr>
        <w:t>y</w:t>
      </w:r>
      <w:r w:rsidRPr="00624696">
        <w:rPr>
          <w:i/>
          <w:spacing w:val="-9"/>
          <w:sz w:val="16"/>
          <w:lang w:val="es-AR"/>
        </w:rPr>
        <w:t xml:space="preserve"> </w:t>
      </w:r>
      <w:r w:rsidRPr="00624696">
        <w:rPr>
          <w:i/>
          <w:sz w:val="16"/>
          <w:lang w:val="es-AR"/>
        </w:rPr>
        <w:t>Costas.</w:t>
      </w:r>
      <w:r w:rsidRPr="00624696">
        <w:rPr>
          <w:i/>
          <w:spacing w:val="-7"/>
          <w:sz w:val="16"/>
          <w:lang w:val="es-AR"/>
        </w:rPr>
        <w:t xml:space="preserve"> </w:t>
      </w:r>
      <w:r w:rsidRPr="00624696">
        <w:rPr>
          <w:sz w:val="16"/>
          <w:lang w:val="es-AR"/>
        </w:rPr>
        <w:t>Sentencia</w:t>
      </w:r>
      <w:r w:rsidRPr="00624696">
        <w:rPr>
          <w:spacing w:val="-9"/>
          <w:sz w:val="16"/>
          <w:lang w:val="es-AR"/>
        </w:rPr>
        <w:t xml:space="preserve"> </w:t>
      </w:r>
      <w:r w:rsidRPr="00624696">
        <w:rPr>
          <w:sz w:val="16"/>
          <w:lang w:val="es-AR"/>
        </w:rPr>
        <w:t>de 31</w:t>
      </w:r>
      <w:r w:rsidRPr="00624696">
        <w:rPr>
          <w:spacing w:val="-6"/>
          <w:sz w:val="16"/>
          <w:lang w:val="es-AR"/>
        </w:rPr>
        <w:t xml:space="preserve"> </w:t>
      </w:r>
      <w:r w:rsidRPr="00624696">
        <w:rPr>
          <w:sz w:val="16"/>
          <w:lang w:val="es-AR"/>
        </w:rPr>
        <w:t>de</w:t>
      </w:r>
      <w:r w:rsidRPr="00624696">
        <w:rPr>
          <w:spacing w:val="-6"/>
          <w:sz w:val="16"/>
          <w:lang w:val="es-AR"/>
        </w:rPr>
        <w:t xml:space="preserve"> </w:t>
      </w:r>
      <w:r w:rsidRPr="00624696">
        <w:rPr>
          <w:sz w:val="16"/>
          <w:lang w:val="es-AR"/>
        </w:rPr>
        <w:t>agosto</w:t>
      </w:r>
      <w:r w:rsidRPr="00624696">
        <w:rPr>
          <w:spacing w:val="-7"/>
          <w:sz w:val="16"/>
          <w:lang w:val="es-AR"/>
        </w:rPr>
        <w:t xml:space="preserve"> </w:t>
      </w:r>
      <w:r w:rsidRPr="00624696">
        <w:rPr>
          <w:sz w:val="16"/>
          <w:lang w:val="es-AR"/>
        </w:rPr>
        <w:t>de</w:t>
      </w:r>
      <w:r w:rsidRPr="00624696">
        <w:rPr>
          <w:spacing w:val="-6"/>
          <w:sz w:val="16"/>
          <w:lang w:val="es-AR"/>
        </w:rPr>
        <w:t xml:space="preserve"> </w:t>
      </w:r>
      <w:r w:rsidRPr="00624696">
        <w:rPr>
          <w:sz w:val="16"/>
          <w:lang w:val="es-AR"/>
        </w:rPr>
        <w:t>2017.</w:t>
      </w:r>
      <w:r w:rsidRPr="00624696">
        <w:rPr>
          <w:spacing w:val="-7"/>
          <w:sz w:val="16"/>
          <w:lang w:val="es-AR"/>
        </w:rPr>
        <w:t xml:space="preserve"> </w:t>
      </w:r>
      <w:r w:rsidRPr="00624696">
        <w:rPr>
          <w:sz w:val="16"/>
          <w:lang w:val="es-AR"/>
        </w:rPr>
        <w:t>Serie</w:t>
      </w:r>
      <w:r w:rsidRPr="00624696">
        <w:rPr>
          <w:spacing w:val="-5"/>
          <w:sz w:val="16"/>
          <w:lang w:val="es-AR"/>
        </w:rPr>
        <w:t xml:space="preserve"> </w:t>
      </w:r>
      <w:r w:rsidRPr="00624696">
        <w:rPr>
          <w:sz w:val="16"/>
          <w:lang w:val="es-AR"/>
        </w:rPr>
        <w:t>C</w:t>
      </w:r>
      <w:r w:rsidRPr="00624696">
        <w:rPr>
          <w:spacing w:val="-6"/>
          <w:sz w:val="16"/>
          <w:lang w:val="es-AR"/>
        </w:rPr>
        <w:t xml:space="preserve"> </w:t>
      </w:r>
      <w:r w:rsidRPr="00624696">
        <w:rPr>
          <w:sz w:val="16"/>
          <w:lang w:val="es-AR"/>
        </w:rPr>
        <w:t>No.</w:t>
      </w:r>
      <w:r w:rsidRPr="00624696">
        <w:rPr>
          <w:spacing w:val="-8"/>
          <w:sz w:val="16"/>
          <w:lang w:val="es-AR"/>
        </w:rPr>
        <w:t xml:space="preserve"> </w:t>
      </w:r>
      <w:r w:rsidRPr="00624696">
        <w:rPr>
          <w:sz w:val="16"/>
          <w:lang w:val="es-AR"/>
        </w:rPr>
        <w:t>340,</w:t>
      </w:r>
      <w:r w:rsidRPr="00624696">
        <w:rPr>
          <w:spacing w:val="-7"/>
          <w:sz w:val="16"/>
          <w:lang w:val="es-AR"/>
        </w:rPr>
        <w:t xml:space="preserve"> </w:t>
      </w:r>
      <w:r w:rsidRPr="00624696">
        <w:rPr>
          <w:sz w:val="16"/>
          <w:lang w:val="es-AR"/>
        </w:rPr>
        <w:t>párrs.</w:t>
      </w:r>
      <w:r w:rsidRPr="00624696">
        <w:rPr>
          <w:spacing w:val="-7"/>
          <w:sz w:val="16"/>
          <w:lang w:val="es-AR"/>
        </w:rPr>
        <w:t xml:space="preserve"> </w:t>
      </w:r>
      <w:r w:rsidRPr="00624696">
        <w:rPr>
          <w:sz w:val="16"/>
          <w:lang w:val="es-AR"/>
        </w:rPr>
        <w:t>142</w:t>
      </w:r>
      <w:r w:rsidRPr="00624696">
        <w:rPr>
          <w:spacing w:val="-7"/>
          <w:sz w:val="16"/>
          <w:lang w:val="es-AR"/>
        </w:rPr>
        <w:t xml:space="preserve"> </w:t>
      </w:r>
      <w:r w:rsidRPr="00624696">
        <w:rPr>
          <w:sz w:val="16"/>
          <w:lang w:val="es-AR"/>
        </w:rPr>
        <w:t>y</w:t>
      </w:r>
      <w:r w:rsidRPr="00624696">
        <w:rPr>
          <w:spacing w:val="-6"/>
          <w:sz w:val="16"/>
          <w:lang w:val="es-AR"/>
        </w:rPr>
        <w:t xml:space="preserve"> </w:t>
      </w:r>
      <w:r w:rsidRPr="00624696">
        <w:rPr>
          <w:sz w:val="16"/>
          <w:lang w:val="es-AR"/>
        </w:rPr>
        <w:t>154;</w:t>
      </w:r>
      <w:r w:rsidRPr="00624696">
        <w:rPr>
          <w:spacing w:val="-9"/>
          <w:sz w:val="16"/>
          <w:lang w:val="es-AR"/>
        </w:rPr>
        <w:t xml:space="preserve"> </w:t>
      </w:r>
      <w:r w:rsidRPr="00624696">
        <w:rPr>
          <w:i/>
          <w:sz w:val="16"/>
          <w:lang w:val="es-AR"/>
        </w:rPr>
        <w:t>Caso</w:t>
      </w:r>
      <w:r w:rsidRPr="00624696">
        <w:rPr>
          <w:i/>
          <w:spacing w:val="-3"/>
          <w:sz w:val="16"/>
          <w:lang w:val="es-AR"/>
        </w:rPr>
        <w:t xml:space="preserve"> </w:t>
      </w:r>
      <w:r w:rsidRPr="00624696">
        <w:rPr>
          <w:i/>
          <w:sz w:val="16"/>
          <w:lang w:val="es-AR"/>
        </w:rPr>
        <w:t>Trabajadores</w:t>
      </w:r>
      <w:r w:rsidRPr="00624696">
        <w:rPr>
          <w:i/>
          <w:spacing w:val="-6"/>
          <w:sz w:val="16"/>
          <w:lang w:val="es-AR"/>
        </w:rPr>
        <w:t xml:space="preserve"> </w:t>
      </w:r>
      <w:r w:rsidRPr="00624696">
        <w:rPr>
          <w:i/>
          <w:sz w:val="16"/>
          <w:lang w:val="es-AR"/>
        </w:rPr>
        <w:t>Cesados</w:t>
      </w:r>
      <w:r w:rsidRPr="00624696">
        <w:rPr>
          <w:i/>
          <w:spacing w:val="-7"/>
          <w:sz w:val="16"/>
          <w:lang w:val="es-AR"/>
        </w:rPr>
        <w:t xml:space="preserve"> </w:t>
      </w:r>
      <w:r w:rsidRPr="00624696">
        <w:rPr>
          <w:i/>
          <w:sz w:val="16"/>
          <w:lang w:val="es-AR"/>
        </w:rPr>
        <w:t>de</w:t>
      </w:r>
      <w:r w:rsidRPr="00624696">
        <w:rPr>
          <w:i/>
          <w:spacing w:val="-6"/>
          <w:sz w:val="16"/>
          <w:lang w:val="es-AR"/>
        </w:rPr>
        <w:t xml:space="preserve"> </w:t>
      </w:r>
      <w:r w:rsidRPr="00624696">
        <w:rPr>
          <w:i/>
          <w:sz w:val="16"/>
          <w:lang w:val="es-AR"/>
        </w:rPr>
        <w:t>Petroperú</w:t>
      </w:r>
      <w:r w:rsidRPr="00624696">
        <w:rPr>
          <w:i/>
          <w:spacing w:val="-8"/>
          <w:sz w:val="16"/>
          <w:lang w:val="es-AR"/>
        </w:rPr>
        <w:t xml:space="preserve"> </w:t>
      </w:r>
      <w:r w:rsidRPr="00624696">
        <w:rPr>
          <w:i/>
          <w:sz w:val="16"/>
          <w:lang w:val="es-AR"/>
        </w:rPr>
        <w:t>y</w:t>
      </w:r>
      <w:r w:rsidRPr="00624696">
        <w:rPr>
          <w:i/>
          <w:spacing w:val="-5"/>
          <w:sz w:val="16"/>
          <w:lang w:val="es-AR"/>
        </w:rPr>
        <w:t xml:space="preserve"> </w:t>
      </w:r>
      <w:r w:rsidRPr="00624696">
        <w:rPr>
          <w:i/>
          <w:sz w:val="16"/>
          <w:lang w:val="es-AR"/>
        </w:rPr>
        <w:t>otros</w:t>
      </w:r>
      <w:r w:rsidRPr="00624696">
        <w:rPr>
          <w:i/>
          <w:spacing w:val="-6"/>
          <w:sz w:val="16"/>
          <w:lang w:val="es-AR"/>
        </w:rPr>
        <w:t xml:space="preserve"> </w:t>
      </w:r>
      <w:r w:rsidRPr="00624696">
        <w:rPr>
          <w:i/>
          <w:sz w:val="16"/>
          <w:lang w:val="es-AR"/>
        </w:rPr>
        <w:t>Vs.</w:t>
      </w:r>
      <w:r w:rsidRPr="00624696">
        <w:rPr>
          <w:i/>
          <w:spacing w:val="-6"/>
          <w:sz w:val="16"/>
          <w:lang w:val="es-AR"/>
        </w:rPr>
        <w:t xml:space="preserve"> </w:t>
      </w:r>
      <w:r>
        <w:rPr>
          <w:i/>
          <w:sz w:val="16"/>
        </w:rPr>
        <w:t xml:space="preserve">Perú. </w:t>
      </w:r>
      <w:r w:rsidRPr="00624696">
        <w:rPr>
          <w:i/>
          <w:sz w:val="16"/>
          <w:lang w:val="es-AR"/>
        </w:rPr>
        <w:t xml:space="preserve">Excepciones Preliminares, Fondo, Reparaciones y Costas. </w:t>
      </w:r>
      <w:r w:rsidRPr="00624696">
        <w:rPr>
          <w:sz w:val="16"/>
          <w:lang w:val="es-AR"/>
        </w:rPr>
        <w:t>Sentencia de 23 de noviembre de 2017. Serie C No. 344, párr.</w:t>
      </w:r>
      <w:r w:rsidRPr="00624696">
        <w:rPr>
          <w:spacing w:val="-6"/>
          <w:sz w:val="16"/>
          <w:lang w:val="es-AR"/>
        </w:rPr>
        <w:t xml:space="preserve"> </w:t>
      </w:r>
      <w:r w:rsidRPr="00624696">
        <w:rPr>
          <w:sz w:val="16"/>
          <w:lang w:val="es-AR"/>
        </w:rPr>
        <w:t>192;</w:t>
      </w:r>
      <w:r w:rsidRPr="00624696">
        <w:rPr>
          <w:spacing w:val="-5"/>
          <w:sz w:val="16"/>
          <w:lang w:val="es-AR"/>
        </w:rPr>
        <w:t xml:space="preserve"> </w:t>
      </w:r>
      <w:r w:rsidRPr="00624696">
        <w:rPr>
          <w:i/>
          <w:sz w:val="16"/>
          <w:lang w:val="es-AR"/>
        </w:rPr>
        <w:t>Caso</w:t>
      </w:r>
      <w:r w:rsidRPr="00624696">
        <w:rPr>
          <w:i/>
          <w:spacing w:val="-7"/>
          <w:sz w:val="16"/>
          <w:lang w:val="es-AR"/>
        </w:rPr>
        <w:t xml:space="preserve"> </w:t>
      </w:r>
      <w:r w:rsidRPr="00624696">
        <w:rPr>
          <w:i/>
          <w:sz w:val="16"/>
          <w:lang w:val="es-AR"/>
        </w:rPr>
        <w:t>San</w:t>
      </w:r>
      <w:r w:rsidRPr="00624696">
        <w:rPr>
          <w:i/>
          <w:spacing w:val="-5"/>
          <w:sz w:val="16"/>
          <w:lang w:val="es-AR"/>
        </w:rPr>
        <w:t xml:space="preserve"> </w:t>
      </w:r>
      <w:r w:rsidRPr="00624696">
        <w:rPr>
          <w:i/>
          <w:sz w:val="16"/>
          <w:lang w:val="es-AR"/>
        </w:rPr>
        <w:t>Miguel</w:t>
      </w:r>
      <w:r w:rsidRPr="00624696">
        <w:rPr>
          <w:i/>
          <w:spacing w:val="-6"/>
          <w:sz w:val="16"/>
          <w:lang w:val="es-AR"/>
        </w:rPr>
        <w:t xml:space="preserve"> </w:t>
      </w:r>
      <w:r w:rsidRPr="00624696">
        <w:rPr>
          <w:i/>
          <w:sz w:val="16"/>
          <w:lang w:val="es-AR"/>
        </w:rPr>
        <w:t>Sosa</w:t>
      </w:r>
      <w:r w:rsidRPr="00624696">
        <w:rPr>
          <w:i/>
          <w:spacing w:val="-5"/>
          <w:sz w:val="16"/>
          <w:lang w:val="es-AR"/>
        </w:rPr>
        <w:t xml:space="preserve"> </w:t>
      </w:r>
      <w:r w:rsidRPr="00624696">
        <w:rPr>
          <w:i/>
          <w:sz w:val="16"/>
          <w:lang w:val="es-AR"/>
        </w:rPr>
        <w:t>y</w:t>
      </w:r>
      <w:r w:rsidRPr="00624696">
        <w:rPr>
          <w:i/>
          <w:spacing w:val="-5"/>
          <w:sz w:val="16"/>
          <w:lang w:val="es-AR"/>
        </w:rPr>
        <w:t xml:space="preserve"> </w:t>
      </w:r>
      <w:r w:rsidRPr="00624696">
        <w:rPr>
          <w:i/>
          <w:sz w:val="16"/>
          <w:lang w:val="es-AR"/>
        </w:rPr>
        <w:t>otras</w:t>
      </w:r>
      <w:r w:rsidRPr="00624696">
        <w:rPr>
          <w:i/>
          <w:spacing w:val="-7"/>
          <w:sz w:val="16"/>
          <w:lang w:val="es-AR"/>
        </w:rPr>
        <w:t xml:space="preserve"> </w:t>
      </w:r>
      <w:r w:rsidRPr="00624696">
        <w:rPr>
          <w:i/>
          <w:sz w:val="16"/>
          <w:lang w:val="es-AR"/>
        </w:rPr>
        <w:t>Vs.</w:t>
      </w:r>
      <w:r w:rsidRPr="00624696">
        <w:rPr>
          <w:i/>
          <w:spacing w:val="-5"/>
          <w:sz w:val="16"/>
          <w:lang w:val="es-AR"/>
        </w:rPr>
        <w:t xml:space="preserve"> </w:t>
      </w:r>
      <w:r>
        <w:rPr>
          <w:i/>
          <w:sz w:val="16"/>
        </w:rPr>
        <w:t>Venezuela.</w:t>
      </w:r>
      <w:r>
        <w:rPr>
          <w:i/>
          <w:spacing w:val="-6"/>
          <w:sz w:val="16"/>
        </w:rPr>
        <w:t xml:space="preserve"> </w:t>
      </w:r>
      <w:r w:rsidRPr="00624696">
        <w:rPr>
          <w:i/>
          <w:sz w:val="16"/>
          <w:lang w:val="es-AR"/>
        </w:rPr>
        <w:t>Fondo,</w:t>
      </w:r>
      <w:r w:rsidRPr="00624696">
        <w:rPr>
          <w:i/>
          <w:spacing w:val="-5"/>
          <w:sz w:val="16"/>
          <w:lang w:val="es-AR"/>
        </w:rPr>
        <w:t xml:space="preserve"> </w:t>
      </w:r>
      <w:r w:rsidRPr="00624696">
        <w:rPr>
          <w:i/>
          <w:sz w:val="16"/>
          <w:lang w:val="es-AR"/>
        </w:rPr>
        <w:t>Reparaciones</w:t>
      </w:r>
      <w:r w:rsidRPr="00624696">
        <w:rPr>
          <w:i/>
          <w:spacing w:val="-4"/>
          <w:sz w:val="16"/>
          <w:lang w:val="es-AR"/>
        </w:rPr>
        <w:t xml:space="preserve"> </w:t>
      </w:r>
      <w:r w:rsidRPr="00624696">
        <w:rPr>
          <w:i/>
          <w:sz w:val="16"/>
          <w:lang w:val="es-AR"/>
        </w:rPr>
        <w:t>y</w:t>
      </w:r>
      <w:r w:rsidRPr="00624696">
        <w:rPr>
          <w:i/>
          <w:spacing w:val="-6"/>
          <w:sz w:val="16"/>
          <w:lang w:val="es-AR"/>
        </w:rPr>
        <w:t xml:space="preserve"> </w:t>
      </w:r>
      <w:r w:rsidRPr="00624696">
        <w:rPr>
          <w:i/>
          <w:sz w:val="16"/>
          <w:lang w:val="es-AR"/>
        </w:rPr>
        <w:t>Costas.</w:t>
      </w:r>
      <w:r w:rsidRPr="00624696">
        <w:rPr>
          <w:i/>
          <w:spacing w:val="-5"/>
          <w:sz w:val="16"/>
          <w:lang w:val="es-AR"/>
        </w:rPr>
        <w:t xml:space="preserve"> </w:t>
      </w:r>
      <w:r w:rsidRPr="00624696">
        <w:rPr>
          <w:sz w:val="16"/>
          <w:lang w:val="es-AR"/>
        </w:rPr>
        <w:t>Sentencia</w:t>
      </w:r>
      <w:r w:rsidRPr="00624696">
        <w:rPr>
          <w:spacing w:val="-6"/>
          <w:sz w:val="16"/>
          <w:lang w:val="es-AR"/>
        </w:rPr>
        <w:t xml:space="preserve"> </w:t>
      </w:r>
      <w:r w:rsidRPr="00624696">
        <w:rPr>
          <w:sz w:val="16"/>
          <w:lang w:val="es-AR"/>
        </w:rPr>
        <w:t>de</w:t>
      </w:r>
      <w:r w:rsidRPr="00624696">
        <w:rPr>
          <w:spacing w:val="-4"/>
          <w:sz w:val="16"/>
          <w:lang w:val="es-AR"/>
        </w:rPr>
        <w:t xml:space="preserve"> </w:t>
      </w:r>
      <w:r w:rsidRPr="00624696">
        <w:rPr>
          <w:sz w:val="16"/>
          <w:lang w:val="es-AR"/>
        </w:rPr>
        <w:t>8</w:t>
      </w:r>
      <w:r w:rsidRPr="00624696">
        <w:rPr>
          <w:spacing w:val="-5"/>
          <w:sz w:val="16"/>
          <w:lang w:val="es-AR"/>
        </w:rPr>
        <w:t xml:space="preserve"> </w:t>
      </w:r>
      <w:r w:rsidRPr="00624696">
        <w:rPr>
          <w:sz w:val="16"/>
          <w:lang w:val="es-AR"/>
        </w:rPr>
        <w:t>de</w:t>
      </w:r>
      <w:r w:rsidRPr="00624696">
        <w:rPr>
          <w:spacing w:val="-7"/>
          <w:sz w:val="16"/>
          <w:lang w:val="es-AR"/>
        </w:rPr>
        <w:t xml:space="preserve"> </w:t>
      </w:r>
      <w:r w:rsidRPr="00624696">
        <w:rPr>
          <w:sz w:val="16"/>
          <w:lang w:val="es-AR"/>
        </w:rPr>
        <w:t>febrero</w:t>
      </w:r>
      <w:r w:rsidRPr="00624696">
        <w:rPr>
          <w:spacing w:val="-6"/>
          <w:sz w:val="16"/>
          <w:lang w:val="es-AR"/>
        </w:rPr>
        <w:t xml:space="preserve"> </w:t>
      </w:r>
      <w:r w:rsidRPr="00624696">
        <w:rPr>
          <w:sz w:val="16"/>
          <w:lang w:val="es-AR"/>
        </w:rPr>
        <w:t xml:space="preserve">de 2018. Serie C No. 348, párr. </w:t>
      </w:r>
      <w:r>
        <w:rPr>
          <w:sz w:val="16"/>
        </w:rPr>
        <w:t>22</w:t>
      </w:r>
      <w:r>
        <w:rPr>
          <w:sz w:val="16"/>
        </w:rPr>
        <w:t xml:space="preserve">0; </w:t>
      </w:r>
      <w:r>
        <w:rPr>
          <w:i/>
          <w:sz w:val="16"/>
        </w:rPr>
        <w:t xml:space="preserve">Caso Poblete Vilches y otros Vs. Chile. </w:t>
      </w:r>
      <w:r w:rsidRPr="00624696">
        <w:rPr>
          <w:i/>
          <w:sz w:val="16"/>
          <w:lang w:val="es-AR"/>
        </w:rPr>
        <w:t xml:space="preserve">Fondo, Reparaciones y Costas. </w:t>
      </w:r>
      <w:r w:rsidRPr="00624696">
        <w:rPr>
          <w:sz w:val="16"/>
          <w:lang w:val="es-AR"/>
        </w:rPr>
        <w:t>Sentencia de</w:t>
      </w:r>
      <w:r w:rsidRPr="00624696">
        <w:rPr>
          <w:spacing w:val="-10"/>
          <w:sz w:val="16"/>
          <w:lang w:val="es-AR"/>
        </w:rPr>
        <w:t xml:space="preserve"> </w:t>
      </w:r>
      <w:r w:rsidRPr="00624696">
        <w:rPr>
          <w:sz w:val="16"/>
          <w:lang w:val="es-AR"/>
        </w:rPr>
        <w:t>8</w:t>
      </w:r>
      <w:r w:rsidRPr="00624696">
        <w:rPr>
          <w:spacing w:val="-9"/>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marzo</w:t>
      </w:r>
      <w:r w:rsidRPr="00624696">
        <w:rPr>
          <w:spacing w:val="-8"/>
          <w:sz w:val="16"/>
          <w:lang w:val="es-AR"/>
        </w:rPr>
        <w:t xml:space="preserve"> </w:t>
      </w:r>
      <w:r w:rsidRPr="00624696">
        <w:rPr>
          <w:sz w:val="16"/>
          <w:lang w:val="es-AR"/>
        </w:rPr>
        <w:t>de</w:t>
      </w:r>
      <w:r w:rsidRPr="00624696">
        <w:rPr>
          <w:spacing w:val="-12"/>
          <w:sz w:val="16"/>
          <w:lang w:val="es-AR"/>
        </w:rPr>
        <w:t xml:space="preserve"> </w:t>
      </w:r>
      <w:r w:rsidRPr="00624696">
        <w:rPr>
          <w:sz w:val="16"/>
          <w:lang w:val="es-AR"/>
        </w:rPr>
        <w:t>2018.</w:t>
      </w:r>
      <w:r w:rsidRPr="00624696">
        <w:rPr>
          <w:spacing w:val="-11"/>
          <w:sz w:val="16"/>
          <w:lang w:val="es-AR"/>
        </w:rPr>
        <w:t xml:space="preserve"> </w:t>
      </w:r>
      <w:r w:rsidRPr="00624696">
        <w:rPr>
          <w:sz w:val="16"/>
          <w:lang w:val="es-AR"/>
        </w:rPr>
        <w:t>Serie</w:t>
      </w:r>
      <w:r w:rsidRPr="00624696">
        <w:rPr>
          <w:spacing w:val="-11"/>
          <w:sz w:val="16"/>
          <w:lang w:val="es-AR"/>
        </w:rPr>
        <w:t xml:space="preserve"> </w:t>
      </w:r>
      <w:r w:rsidRPr="00624696">
        <w:rPr>
          <w:sz w:val="16"/>
          <w:lang w:val="es-AR"/>
        </w:rPr>
        <w:t>C</w:t>
      </w:r>
      <w:r w:rsidRPr="00624696">
        <w:rPr>
          <w:spacing w:val="-7"/>
          <w:sz w:val="16"/>
          <w:lang w:val="es-AR"/>
        </w:rPr>
        <w:t xml:space="preserve"> </w:t>
      </w:r>
      <w:r w:rsidRPr="00624696">
        <w:rPr>
          <w:sz w:val="16"/>
          <w:lang w:val="es-AR"/>
        </w:rPr>
        <w:t>No.</w:t>
      </w:r>
      <w:r w:rsidRPr="00624696">
        <w:rPr>
          <w:spacing w:val="-11"/>
          <w:sz w:val="16"/>
          <w:lang w:val="es-AR"/>
        </w:rPr>
        <w:t xml:space="preserve"> </w:t>
      </w:r>
      <w:r w:rsidRPr="00624696">
        <w:rPr>
          <w:sz w:val="16"/>
          <w:lang w:val="es-AR"/>
        </w:rPr>
        <w:t>349,</w:t>
      </w:r>
      <w:r w:rsidRPr="00624696">
        <w:rPr>
          <w:spacing w:val="-11"/>
          <w:sz w:val="16"/>
          <w:lang w:val="es-AR"/>
        </w:rPr>
        <w:t xml:space="preserve"> </w:t>
      </w:r>
      <w:r w:rsidRPr="00624696">
        <w:rPr>
          <w:sz w:val="16"/>
          <w:lang w:val="es-AR"/>
        </w:rPr>
        <w:t>párr.</w:t>
      </w:r>
      <w:r w:rsidRPr="00624696">
        <w:rPr>
          <w:spacing w:val="-12"/>
          <w:sz w:val="16"/>
          <w:lang w:val="es-AR"/>
        </w:rPr>
        <w:t xml:space="preserve"> </w:t>
      </w:r>
      <w:r>
        <w:rPr>
          <w:sz w:val="16"/>
        </w:rPr>
        <w:t>100;</w:t>
      </w:r>
      <w:r>
        <w:rPr>
          <w:spacing w:val="-11"/>
          <w:sz w:val="16"/>
        </w:rPr>
        <w:t xml:space="preserve"> </w:t>
      </w:r>
      <w:r>
        <w:rPr>
          <w:i/>
          <w:sz w:val="16"/>
        </w:rPr>
        <w:t>Caso</w:t>
      </w:r>
      <w:r>
        <w:rPr>
          <w:i/>
          <w:spacing w:val="-9"/>
          <w:sz w:val="16"/>
        </w:rPr>
        <w:t xml:space="preserve"> </w:t>
      </w:r>
      <w:r>
        <w:rPr>
          <w:i/>
          <w:sz w:val="16"/>
        </w:rPr>
        <w:t>Cuscul</w:t>
      </w:r>
      <w:r>
        <w:rPr>
          <w:i/>
          <w:spacing w:val="-7"/>
          <w:sz w:val="16"/>
        </w:rPr>
        <w:t xml:space="preserve"> </w:t>
      </w:r>
      <w:r>
        <w:rPr>
          <w:i/>
          <w:sz w:val="16"/>
        </w:rPr>
        <w:t>Pivaral</w:t>
      </w:r>
      <w:r>
        <w:rPr>
          <w:i/>
          <w:spacing w:val="-13"/>
          <w:sz w:val="16"/>
        </w:rPr>
        <w:t xml:space="preserve"> </w:t>
      </w:r>
      <w:r>
        <w:rPr>
          <w:i/>
          <w:sz w:val="16"/>
        </w:rPr>
        <w:t>y</w:t>
      </w:r>
      <w:r>
        <w:rPr>
          <w:i/>
          <w:spacing w:val="-9"/>
          <w:sz w:val="16"/>
        </w:rPr>
        <w:t xml:space="preserve"> </w:t>
      </w:r>
      <w:r>
        <w:rPr>
          <w:i/>
          <w:sz w:val="16"/>
        </w:rPr>
        <w:t>otros</w:t>
      </w:r>
      <w:r>
        <w:rPr>
          <w:i/>
          <w:spacing w:val="-10"/>
          <w:sz w:val="16"/>
        </w:rPr>
        <w:t xml:space="preserve"> </w:t>
      </w:r>
      <w:r>
        <w:rPr>
          <w:i/>
          <w:sz w:val="16"/>
        </w:rPr>
        <w:t>Vs.</w:t>
      </w:r>
      <w:r>
        <w:rPr>
          <w:i/>
          <w:spacing w:val="-7"/>
          <w:sz w:val="16"/>
        </w:rPr>
        <w:t xml:space="preserve"> </w:t>
      </w:r>
      <w:r>
        <w:rPr>
          <w:i/>
          <w:sz w:val="16"/>
        </w:rPr>
        <w:t>Guatemala.</w:t>
      </w:r>
      <w:r>
        <w:rPr>
          <w:i/>
          <w:spacing w:val="-8"/>
          <w:sz w:val="16"/>
        </w:rPr>
        <w:t xml:space="preserve"> </w:t>
      </w:r>
      <w:r w:rsidRPr="00624696">
        <w:rPr>
          <w:i/>
          <w:sz w:val="16"/>
          <w:lang w:val="es-AR"/>
        </w:rPr>
        <w:t>Excepción</w:t>
      </w:r>
      <w:r w:rsidRPr="00624696">
        <w:rPr>
          <w:i/>
          <w:spacing w:val="-11"/>
          <w:sz w:val="16"/>
          <w:lang w:val="es-AR"/>
        </w:rPr>
        <w:t xml:space="preserve"> </w:t>
      </w:r>
      <w:r w:rsidRPr="00624696">
        <w:rPr>
          <w:i/>
          <w:sz w:val="16"/>
          <w:lang w:val="es-AR"/>
        </w:rPr>
        <w:t xml:space="preserve">Preliminar, </w:t>
      </w:r>
      <w:r w:rsidRPr="00624696">
        <w:rPr>
          <w:i/>
          <w:sz w:val="16"/>
          <w:lang w:val="es-AR"/>
        </w:rPr>
        <w:t xml:space="preserve">Fondo, Reparaciones y Costas. </w:t>
      </w:r>
      <w:r w:rsidRPr="00624696">
        <w:rPr>
          <w:sz w:val="16"/>
          <w:lang w:val="es-AR"/>
        </w:rPr>
        <w:t xml:space="preserve">Sentencia de 23 de agosto de 2018. </w:t>
      </w:r>
      <w:r>
        <w:rPr>
          <w:sz w:val="16"/>
        </w:rPr>
        <w:t xml:space="preserve">Serie C No. 359, párrs. 75 a 97; </w:t>
      </w:r>
      <w:r>
        <w:rPr>
          <w:i/>
          <w:sz w:val="16"/>
        </w:rPr>
        <w:t>Caso Muelle Flores</w:t>
      </w:r>
      <w:r>
        <w:rPr>
          <w:i/>
          <w:spacing w:val="-5"/>
          <w:sz w:val="16"/>
        </w:rPr>
        <w:t xml:space="preserve"> </w:t>
      </w:r>
      <w:r>
        <w:rPr>
          <w:i/>
          <w:sz w:val="16"/>
        </w:rPr>
        <w:t>Vs.</w:t>
      </w:r>
      <w:r>
        <w:rPr>
          <w:i/>
          <w:spacing w:val="-6"/>
          <w:sz w:val="16"/>
        </w:rPr>
        <w:t xml:space="preserve"> </w:t>
      </w:r>
      <w:r>
        <w:rPr>
          <w:i/>
          <w:sz w:val="16"/>
        </w:rPr>
        <w:t>Perú.</w:t>
      </w:r>
      <w:r>
        <w:rPr>
          <w:i/>
          <w:spacing w:val="-6"/>
          <w:sz w:val="16"/>
        </w:rPr>
        <w:t xml:space="preserve"> </w:t>
      </w:r>
      <w:r w:rsidRPr="00624696">
        <w:rPr>
          <w:i/>
          <w:sz w:val="16"/>
          <w:lang w:val="es-AR"/>
        </w:rPr>
        <w:t>Excepciones</w:t>
      </w:r>
      <w:r w:rsidRPr="00624696">
        <w:rPr>
          <w:i/>
          <w:spacing w:val="-5"/>
          <w:sz w:val="16"/>
          <w:lang w:val="es-AR"/>
        </w:rPr>
        <w:t xml:space="preserve"> </w:t>
      </w:r>
      <w:r w:rsidRPr="00624696">
        <w:rPr>
          <w:i/>
          <w:sz w:val="16"/>
          <w:lang w:val="es-AR"/>
        </w:rPr>
        <w:t>Preliminares,</w:t>
      </w:r>
      <w:r w:rsidRPr="00624696">
        <w:rPr>
          <w:i/>
          <w:spacing w:val="-6"/>
          <w:sz w:val="16"/>
          <w:lang w:val="es-AR"/>
        </w:rPr>
        <w:t xml:space="preserve"> </w:t>
      </w:r>
      <w:r w:rsidRPr="00624696">
        <w:rPr>
          <w:i/>
          <w:sz w:val="16"/>
          <w:lang w:val="es-AR"/>
        </w:rPr>
        <w:t>Fondo,</w:t>
      </w:r>
      <w:r w:rsidRPr="00624696">
        <w:rPr>
          <w:i/>
          <w:spacing w:val="-6"/>
          <w:sz w:val="16"/>
          <w:lang w:val="es-AR"/>
        </w:rPr>
        <w:t xml:space="preserve"> </w:t>
      </w:r>
      <w:r w:rsidRPr="00624696">
        <w:rPr>
          <w:i/>
          <w:sz w:val="16"/>
          <w:lang w:val="es-AR"/>
        </w:rPr>
        <w:t>Reparaciones</w:t>
      </w:r>
      <w:r w:rsidRPr="00624696">
        <w:rPr>
          <w:i/>
          <w:spacing w:val="-5"/>
          <w:sz w:val="16"/>
          <w:lang w:val="es-AR"/>
        </w:rPr>
        <w:t xml:space="preserve"> </w:t>
      </w:r>
      <w:r w:rsidRPr="00624696">
        <w:rPr>
          <w:i/>
          <w:sz w:val="16"/>
          <w:lang w:val="es-AR"/>
        </w:rPr>
        <w:t>y</w:t>
      </w:r>
      <w:r w:rsidRPr="00624696">
        <w:rPr>
          <w:i/>
          <w:spacing w:val="-3"/>
          <w:sz w:val="16"/>
          <w:lang w:val="es-AR"/>
        </w:rPr>
        <w:t xml:space="preserve"> </w:t>
      </w:r>
      <w:r w:rsidRPr="00624696">
        <w:rPr>
          <w:i/>
          <w:sz w:val="16"/>
          <w:lang w:val="es-AR"/>
        </w:rPr>
        <w:t>Costas.</w:t>
      </w:r>
      <w:r w:rsidRPr="00624696">
        <w:rPr>
          <w:i/>
          <w:spacing w:val="-3"/>
          <w:sz w:val="16"/>
          <w:lang w:val="es-AR"/>
        </w:rPr>
        <w:t xml:space="preserve"> </w:t>
      </w:r>
      <w:r w:rsidRPr="00624696">
        <w:rPr>
          <w:sz w:val="16"/>
          <w:lang w:val="es-AR"/>
        </w:rPr>
        <w:t>Sentencia</w:t>
      </w:r>
      <w:r w:rsidRPr="00624696">
        <w:rPr>
          <w:spacing w:val="-3"/>
          <w:sz w:val="16"/>
          <w:lang w:val="es-AR"/>
        </w:rPr>
        <w:t xml:space="preserve"> </w:t>
      </w:r>
      <w:r w:rsidRPr="00624696">
        <w:rPr>
          <w:sz w:val="16"/>
          <w:lang w:val="es-AR"/>
        </w:rPr>
        <w:t>de</w:t>
      </w:r>
      <w:r w:rsidRPr="00624696">
        <w:rPr>
          <w:spacing w:val="-5"/>
          <w:sz w:val="16"/>
          <w:lang w:val="es-AR"/>
        </w:rPr>
        <w:t xml:space="preserve"> </w:t>
      </w:r>
      <w:r w:rsidRPr="00624696">
        <w:rPr>
          <w:sz w:val="16"/>
          <w:lang w:val="es-AR"/>
        </w:rPr>
        <w:t>6</w:t>
      </w:r>
      <w:r w:rsidRPr="00624696">
        <w:rPr>
          <w:spacing w:val="-4"/>
          <w:sz w:val="16"/>
          <w:lang w:val="es-AR"/>
        </w:rPr>
        <w:t xml:space="preserve"> </w:t>
      </w:r>
      <w:r w:rsidRPr="00624696">
        <w:rPr>
          <w:sz w:val="16"/>
          <w:lang w:val="es-AR"/>
        </w:rPr>
        <w:t>de</w:t>
      </w:r>
      <w:r w:rsidRPr="00624696">
        <w:rPr>
          <w:spacing w:val="-5"/>
          <w:sz w:val="16"/>
          <w:lang w:val="es-AR"/>
        </w:rPr>
        <w:t xml:space="preserve"> </w:t>
      </w:r>
      <w:r w:rsidRPr="00624696">
        <w:rPr>
          <w:sz w:val="16"/>
          <w:lang w:val="es-AR"/>
        </w:rPr>
        <w:t>marzo</w:t>
      </w:r>
      <w:r w:rsidRPr="00624696">
        <w:rPr>
          <w:spacing w:val="-4"/>
          <w:sz w:val="16"/>
          <w:lang w:val="es-AR"/>
        </w:rPr>
        <w:t xml:space="preserve"> </w:t>
      </w:r>
      <w:r w:rsidRPr="00624696">
        <w:rPr>
          <w:sz w:val="16"/>
          <w:lang w:val="es-AR"/>
        </w:rPr>
        <w:t>de</w:t>
      </w:r>
      <w:r w:rsidRPr="00624696">
        <w:rPr>
          <w:spacing w:val="-5"/>
          <w:sz w:val="16"/>
          <w:lang w:val="es-AR"/>
        </w:rPr>
        <w:t xml:space="preserve"> </w:t>
      </w:r>
      <w:r w:rsidRPr="00624696">
        <w:rPr>
          <w:sz w:val="16"/>
          <w:lang w:val="es-AR"/>
        </w:rPr>
        <w:t>2019.</w:t>
      </w:r>
      <w:r w:rsidRPr="00624696">
        <w:rPr>
          <w:spacing w:val="-6"/>
          <w:sz w:val="16"/>
          <w:lang w:val="es-AR"/>
        </w:rPr>
        <w:t xml:space="preserve"> </w:t>
      </w:r>
      <w:r w:rsidRPr="00624696">
        <w:rPr>
          <w:sz w:val="16"/>
          <w:lang w:val="es-AR"/>
        </w:rPr>
        <w:t>Serie</w:t>
      </w:r>
      <w:r w:rsidRPr="00624696">
        <w:rPr>
          <w:spacing w:val="-6"/>
          <w:sz w:val="16"/>
          <w:lang w:val="es-AR"/>
        </w:rPr>
        <w:t xml:space="preserve"> </w:t>
      </w:r>
      <w:r w:rsidRPr="00624696">
        <w:rPr>
          <w:sz w:val="16"/>
          <w:lang w:val="es-AR"/>
        </w:rPr>
        <w:t xml:space="preserve">C No. 375, párrs. 34 a 37; </w:t>
      </w:r>
      <w:r w:rsidRPr="00624696">
        <w:rPr>
          <w:i/>
          <w:sz w:val="16"/>
          <w:lang w:val="es-AR"/>
        </w:rPr>
        <w:t xml:space="preserve">Caso Asociación Nacional de Cesantes y Jubilados de la Superintendencia Nacional de Administración Tributaria (ANCEJUB-SUNAT) Vs. </w:t>
      </w:r>
      <w:r>
        <w:rPr>
          <w:i/>
          <w:sz w:val="16"/>
        </w:rPr>
        <w:t xml:space="preserve">Perú. </w:t>
      </w:r>
      <w:r w:rsidRPr="00624696">
        <w:rPr>
          <w:i/>
          <w:sz w:val="16"/>
          <w:lang w:val="es-AR"/>
        </w:rPr>
        <w:t xml:space="preserve">Excepciones Preliminares, Fondo, Reparaciones y Costas. </w:t>
      </w:r>
      <w:r w:rsidRPr="00624696">
        <w:rPr>
          <w:sz w:val="16"/>
          <w:lang w:val="es-AR"/>
        </w:rPr>
        <w:t>Sentencia de 21 de noviembre de 2019.</w:t>
      </w:r>
      <w:r w:rsidRPr="00624696">
        <w:rPr>
          <w:sz w:val="16"/>
          <w:lang w:val="es-AR"/>
        </w:rPr>
        <w:t xml:space="preserve"> </w:t>
      </w:r>
      <w:r>
        <w:rPr>
          <w:sz w:val="16"/>
        </w:rPr>
        <w:t xml:space="preserve">Serie C No. 394, párrs. 33 a 34; </w:t>
      </w:r>
      <w:r>
        <w:rPr>
          <w:i/>
          <w:sz w:val="16"/>
        </w:rPr>
        <w:t xml:space="preserve">Caso Hernández Vs. Argentina. </w:t>
      </w:r>
      <w:r w:rsidRPr="00624696">
        <w:rPr>
          <w:i/>
          <w:sz w:val="16"/>
          <w:lang w:val="es-AR"/>
        </w:rPr>
        <w:t xml:space="preserve">Excepción Preliminar, Fondo, Reparaciones y Costas. </w:t>
      </w:r>
      <w:r w:rsidRPr="00624696">
        <w:rPr>
          <w:sz w:val="16"/>
          <w:lang w:val="es-AR"/>
        </w:rPr>
        <w:t xml:space="preserve">Sentencia de 22 de noviembre de 2019. Serie C No. 395, párr. 62; </w:t>
      </w:r>
      <w:r w:rsidRPr="00624696">
        <w:rPr>
          <w:i/>
          <w:sz w:val="16"/>
          <w:lang w:val="es-AR"/>
        </w:rPr>
        <w:t xml:space="preserve">Caso Comunidades Indígenas Miembros de la Asociación Lhaka Honhat (Nuestra </w:t>
      </w:r>
      <w:r w:rsidRPr="00624696">
        <w:rPr>
          <w:i/>
          <w:sz w:val="16"/>
          <w:lang w:val="es-AR"/>
        </w:rPr>
        <w:t xml:space="preserve">Tierra) Vs. </w:t>
      </w:r>
      <w:r>
        <w:rPr>
          <w:i/>
          <w:sz w:val="16"/>
        </w:rPr>
        <w:t xml:space="preserve">Argentina. </w:t>
      </w:r>
      <w:r w:rsidRPr="00624696">
        <w:rPr>
          <w:i/>
          <w:sz w:val="16"/>
          <w:lang w:val="es-AR"/>
        </w:rPr>
        <w:t>Fondo, Reparaciones</w:t>
      </w:r>
      <w:r w:rsidRPr="00624696">
        <w:rPr>
          <w:i/>
          <w:spacing w:val="-12"/>
          <w:sz w:val="16"/>
          <w:lang w:val="es-AR"/>
        </w:rPr>
        <w:t xml:space="preserve"> </w:t>
      </w:r>
      <w:r w:rsidRPr="00624696">
        <w:rPr>
          <w:i/>
          <w:sz w:val="16"/>
          <w:lang w:val="es-AR"/>
        </w:rPr>
        <w:t>y</w:t>
      </w:r>
      <w:r w:rsidRPr="00624696">
        <w:rPr>
          <w:i/>
          <w:spacing w:val="-10"/>
          <w:sz w:val="16"/>
          <w:lang w:val="es-AR"/>
        </w:rPr>
        <w:t xml:space="preserve"> </w:t>
      </w:r>
      <w:r w:rsidRPr="00624696">
        <w:rPr>
          <w:i/>
          <w:sz w:val="16"/>
          <w:lang w:val="es-AR"/>
        </w:rPr>
        <w:t>Costas.</w:t>
      </w:r>
      <w:r w:rsidRPr="00624696">
        <w:rPr>
          <w:i/>
          <w:spacing w:val="-12"/>
          <w:sz w:val="16"/>
          <w:lang w:val="es-AR"/>
        </w:rPr>
        <w:t xml:space="preserve"> </w:t>
      </w:r>
      <w:r w:rsidRPr="00624696">
        <w:rPr>
          <w:sz w:val="16"/>
          <w:lang w:val="es-AR"/>
        </w:rPr>
        <w:t>Sentencia</w:t>
      </w:r>
      <w:r w:rsidRPr="00624696">
        <w:rPr>
          <w:spacing w:val="-10"/>
          <w:sz w:val="16"/>
          <w:lang w:val="es-AR"/>
        </w:rPr>
        <w:t xml:space="preserve"> </w:t>
      </w:r>
      <w:r w:rsidRPr="00624696">
        <w:rPr>
          <w:sz w:val="16"/>
          <w:lang w:val="es-AR"/>
        </w:rPr>
        <w:t>de</w:t>
      </w:r>
      <w:r w:rsidRPr="00624696">
        <w:rPr>
          <w:spacing w:val="-13"/>
          <w:sz w:val="16"/>
          <w:lang w:val="es-AR"/>
        </w:rPr>
        <w:t xml:space="preserve"> </w:t>
      </w:r>
      <w:r w:rsidRPr="00624696">
        <w:rPr>
          <w:sz w:val="16"/>
          <w:lang w:val="es-AR"/>
        </w:rPr>
        <w:t>6</w:t>
      </w:r>
      <w:r w:rsidRPr="00624696">
        <w:rPr>
          <w:spacing w:val="-10"/>
          <w:sz w:val="16"/>
          <w:lang w:val="es-AR"/>
        </w:rPr>
        <w:t xml:space="preserve"> </w:t>
      </w:r>
      <w:r w:rsidRPr="00624696">
        <w:rPr>
          <w:sz w:val="16"/>
          <w:lang w:val="es-AR"/>
        </w:rPr>
        <w:t>de</w:t>
      </w:r>
      <w:r w:rsidRPr="00624696">
        <w:rPr>
          <w:spacing w:val="-13"/>
          <w:sz w:val="16"/>
          <w:lang w:val="es-AR"/>
        </w:rPr>
        <w:t xml:space="preserve"> </w:t>
      </w:r>
      <w:r w:rsidRPr="00624696">
        <w:rPr>
          <w:sz w:val="16"/>
          <w:lang w:val="es-AR"/>
        </w:rPr>
        <w:t>febrero</w:t>
      </w:r>
      <w:r w:rsidRPr="00624696">
        <w:rPr>
          <w:spacing w:val="-14"/>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2020.</w:t>
      </w:r>
      <w:r w:rsidRPr="00624696">
        <w:rPr>
          <w:spacing w:val="-14"/>
          <w:sz w:val="16"/>
          <w:lang w:val="es-AR"/>
        </w:rPr>
        <w:t xml:space="preserve"> </w:t>
      </w:r>
      <w:r w:rsidRPr="00624696">
        <w:rPr>
          <w:sz w:val="16"/>
          <w:lang w:val="es-AR"/>
        </w:rPr>
        <w:t>Serie</w:t>
      </w:r>
      <w:r w:rsidRPr="00624696">
        <w:rPr>
          <w:spacing w:val="-14"/>
          <w:sz w:val="16"/>
          <w:lang w:val="es-AR"/>
        </w:rPr>
        <w:t xml:space="preserve"> </w:t>
      </w:r>
      <w:r w:rsidRPr="00624696">
        <w:rPr>
          <w:sz w:val="16"/>
          <w:lang w:val="es-AR"/>
        </w:rPr>
        <w:t>C</w:t>
      </w:r>
      <w:r w:rsidRPr="00624696">
        <w:rPr>
          <w:spacing w:val="-8"/>
          <w:sz w:val="16"/>
          <w:lang w:val="es-AR"/>
        </w:rPr>
        <w:t xml:space="preserve"> </w:t>
      </w:r>
      <w:r w:rsidRPr="00624696">
        <w:rPr>
          <w:sz w:val="16"/>
          <w:lang w:val="es-AR"/>
        </w:rPr>
        <w:t>No.</w:t>
      </w:r>
      <w:r w:rsidRPr="00624696">
        <w:rPr>
          <w:spacing w:val="-12"/>
          <w:sz w:val="16"/>
          <w:lang w:val="es-AR"/>
        </w:rPr>
        <w:t xml:space="preserve"> </w:t>
      </w:r>
      <w:r w:rsidRPr="00624696">
        <w:rPr>
          <w:sz w:val="16"/>
          <w:lang w:val="es-AR"/>
        </w:rPr>
        <w:t>400,</w:t>
      </w:r>
      <w:r w:rsidRPr="00624696">
        <w:rPr>
          <w:spacing w:val="-12"/>
          <w:sz w:val="16"/>
          <w:lang w:val="es-AR"/>
        </w:rPr>
        <w:t xml:space="preserve"> </w:t>
      </w:r>
      <w:r w:rsidRPr="00624696">
        <w:rPr>
          <w:sz w:val="16"/>
          <w:lang w:val="es-AR"/>
        </w:rPr>
        <w:t>párr.</w:t>
      </w:r>
      <w:r w:rsidRPr="00624696">
        <w:rPr>
          <w:spacing w:val="-15"/>
          <w:sz w:val="16"/>
          <w:lang w:val="es-AR"/>
        </w:rPr>
        <w:t xml:space="preserve"> </w:t>
      </w:r>
      <w:r>
        <w:rPr>
          <w:sz w:val="16"/>
        </w:rPr>
        <w:t>195,</w:t>
      </w:r>
      <w:r>
        <w:rPr>
          <w:spacing w:val="-13"/>
          <w:sz w:val="16"/>
        </w:rPr>
        <w:t xml:space="preserve"> </w:t>
      </w:r>
      <w:r>
        <w:rPr>
          <w:sz w:val="16"/>
        </w:rPr>
        <w:t>y</w:t>
      </w:r>
      <w:r>
        <w:rPr>
          <w:spacing w:val="-10"/>
          <w:sz w:val="16"/>
        </w:rPr>
        <w:t xml:space="preserve"> </w:t>
      </w:r>
      <w:r>
        <w:rPr>
          <w:i/>
          <w:sz w:val="16"/>
        </w:rPr>
        <w:t>Caso</w:t>
      </w:r>
      <w:r>
        <w:rPr>
          <w:i/>
          <w:spacing w:val="-10"/>
          <w:sz w:val="16"/>
        </w:rPr>
        <w:t xml:space="preserve"> </w:t>
      </w:r>
      <w:r>
        <w:rPr>
          <w:i/>
          <w:sz w:val="16"/>
        </w:rPr>
        <w:t>Spoltore</w:t>
      </w:r>
      <w:r>
        <w:rPr>
          <w:i/>
          <w:spacing w:val="-12"/>
          <w:sz w:val="16"/>
        </w:rPr>
        <w:t xml:space="preserve"> </w:t>
      </w:r>
      <w:r>
        <w:rPr>
          <w:i/>
          <w:sz w:val="16"/>
        </w:rPr>
        <w:t>Vs.</w:t>
      </w:r>
      <w:r>
        <w:rPr>
          <w:i/>
          <w:spacing w:val="-12"/>
          <w:sz w:val="16"/>
        </w:rPr>
        <w:t xml:space="preserve"> </w:t>
      </w:r>
      <w:r>
        <w:rPr>
          <w:i/>
          <w:sz w:val="16"/>
        </w:rPr>
        <w:t>Argentina.</w:t>
      </w:r>
      <w:bookmarkStart w:id="50" w:name="_bookmark37"/>
      <w:bookmarkEnd w:id="50"/>
      <w:r>
        <w:rPr>
          <w:i/>
          <w:sz w:val="16"/>
        </w:rPr>
        <w:t xml:space="preserve"> </w:t>
      </w:r>
      <w:r w:rsidRPr="00624696">
        <w:rPr>
          <w:i/>
          <w:sz w:val="16"/>
          <w:lang w:val="es-AR"/>
        </w:rPr>
        <w:t xml:space="preserve">Excepción Preliminar, Fondo, Reparaciones y Costas. </w:t>
      </w:r>
      <w:r w:rsidRPr="00624696">
        <w:rPr>
          <w:sz w:val="16"/>
          <w:lang w:val="es-AR"/>
        </w:rPr>
        <w:t xml:space="preserve">Sentencia de 9 de junio de 2020. </w:t>
      </w:r>
      <w:r>
        <w:rPr>
          <w:sz w:val="16"/>
        </w:rPr>
        <w:t>Serie C No. 404, párr.</w:t>
      </w:r>
      <w:r>
        <w:rPr>
          <w:spacing w:val="-29"/>
          <w:sz w:val="16"/>
        </w:rPr>
        <w:t xml:space="preserve"> </w:t>
      </w:r>
      <w:r>
        <w:rPr>
          <w:sz w:val="16"/>
        </w:rPr>
        <w:t>8</w:t>
      </w:r>
      <w:r>
        <w:rPr>
          <w:sz w:val="16"/>
        </w:rPr>
        <w:t>5.</w:t>
      </w:r>
    </w:p>
    <w:p w14:paraId="08105837" w14:textId="77777777" w:rsidR="00467FCA" w:rsidRDefault="001B68EB">
      <w:pPr>
        <w:tabs>
          <w:tab w:val="left" w:pos="839"/>
        </w:tabs>
        <w:ind w:left="120" w:right="115"/>
        <w:jc w:val="both"/>
        <w:rPr>
          <w:sz w:val="16"/>
        </w:rPr>
      </w:pPr>
      <w:r>
        <w:rPr>
          <w:position w:val="6"/>
          <w:sz w:val="10"/>
        </w:rPr>
        <w:t>26</w:t>
      </w:r>
      <w:r>
        <w:rPr>
          <w:position w:val="6"/>
          <w:sz w:val="10"/>
        </w:rPr>
        <w:tab/>
      </w:r>
      <w:r>
        <w:rPr>
          <w:i/>
          <w:sz w:val="16"/>
        </w:rPr>
        <w:t>Cfr</w:t>
      </w:r>
      <w:r>
        <w:rPr>
          <w:sz w:val="16"/>
        </w:rPr>
        <w:t xml:space="preserve">. </w:t>
      </w:r>
      <w:r>
        <w:rPr>
          <w:i/>
          <w:sz w:val="16"/>
        </w:rPr>
        <w:t>Caso Muelle Flores Vs. Perú, supra</w:t>
      </w:r>
      <w:r>
        <w:rPr>
          <w:sz w:val="16"/>
        </w:rPr>
        <w:t xml:space="preserve">, párr. </w:t>
      </w:r>
      <w:r w:rsidRPr="00624696">
        <w:rPr>
          <w:sz w:val="16"/>
          <w:lang w:val="es-AR"/>
        </w:rPr>
        <w:t xml:space="preserve">37, y </w:t>
      </w:r>
      <w:r w:rsidRPr="00624696">
        <w:rPr>
          <w:i/>
          <w:sz w:val="16"/>
          <w:lang w:val="es-AR"/>
        </w:rPr>
        <w:t xml:space="preserve">Caso Asociación Nacional de Cesantes y Jubilados de la Superintendencia Nacional de Administración Tributaria (ANCEJUB-SUNAT) Vs. </w:t>
      </w:r>
      <w:r>
        <w:rPr>
          <w:i/>
          <w:sz w:val="16"/>
        </w:rPr>
        <w:t>Perú, supra</w:t>
      </w:r>
      <w:r>
        <w:rPr>
          <w:sz w:val="16"/>
        </w:rPr>
        <w:t>, párr.</w:t>
      </w:r>
      <w:r>
        <w:rPr>
          <w:spacing w:val="-23"/>
          <w:sz w:val="16"/>
        </w:rPr>
        <w:t xml:space="preserve"> </w:t>
      </w:r>
      <w:r>
        <w:rPr>
          <w:sz w:val="16"/>
        </w:rPr>
        <w:t>37.</w:t>
      </w:r>
    </w:p>
    <w:p w14:paraId="7614FA76" w14:textId="77777777" w:rsidR="00467FCA" w:rsidRPr="00624696" w:rsidRDefault="001B68EB">
      <w:pPr>
        <w:tabs>
          <w:tab w:val="left" w:pos="839"/>
        </w:tabs>
        <w:ind w:left="120"/>
        <w:jc w:val="both"/>
        <w:rPr>
          <w:i/>
          <w:sz w:val="16"/>
          <w:lang w:val="es-AR"/>
        </w:rPr>
      </w:pPr>
      <w:bookmarkStart w:id="51" w:name="_bookmark38"/>
      <w:bookmarkEnd w:id="51"/>
      <w:r w:rsidRPr="00624696">
        <w:rPr>
          <w:position w:val="6"/>
          <w:sz w:val="10"/>
          <w:lang w:val="es-AR"/>
        </w:rPr>
        <w:t>27</w:t>
      </w:r>
      <w:r w:rsidRPr="00624696">
        <w:rPr>
          <w:position w:val="6"/>
          <w:sz w:val="10"/>
          <w:lang w:val="es-AR"/>
        </w:rPr>
        <w:tab/>
      </w:r>
      <w:r w:rsidRPr="00624696">
        <w:rPr>
          <w:sz w:val="16"/>
          <w:lang w:val="es-AR"/>
        </w:rPr>
        <w:t>El</w:t>
      </w:r>
      <w:r w:rsidRPr="00624696">
        <w:rPr>
          <w:spacing w:val="-9"/>
          <w:sz w:val="16"/>
          <w:lang w:val="es-AR"/>
        </w:rPr>
        <w:t xml:space="preserve"> </w:t>
      </w:r>
      <w:r w:rsidRPr="00624696">
        <w:rPr>
          <w:sz w:val="16"/>
          <w:lang w:val="es-AR"/>
        </w:rPr>
        <w:t>Estado</w:t>
      </w:r>
      <w:r w:rsidRPr="00624696">
        <w:rPr>
          <w:spacing w:val="-9"/>
          <w:sz w:val="16"/>
          <w:lang w:val="es-AR"/>
        </w:rPr>
        <w:t xml:space="preserve"> </w:t>
      </w:r>
      <w:r w:rsidRPr="00624696">
        <w:rPr>
          <w:sz w:val="16"/>
          <w:lang w:val="es-AR"/>
        </w:rPr>
        <w:t>citó</w:t>
      </w:r>
      <w:r w:rsidRPr="00624696">
        <w:rPr>
          <w:spacing w:val="-8"/>
          <w:sz w:val="16"/>
          <w:lang w:val="es-AR"/>
        </w:rPr>
        <w:t xml:space="preserve"> </w:t>
      </w:r>
      <w:r w:rsidRPr="00624696">
        <w:rPr>
          <w:sz w:val="16"/>
          <w:lang w:val="es-AR"/>
        </w:rPr>
        <w:t>como</w:t>
      </w:r>
      <w:r w:rsidRPr="00624696">
        <w:rPr>
          <w:spacing w:val="-9"/>
          <w:sz w:val="16"/>
          <w:lang w:val="es-AR"/>
        </w:rPr>
        <w:t xml:space="preserve"> </w:t>
      </w:r>
      <w:r w:rsidRPr="00624696">
        <w:rPr>
          <w:sz w:val="16"/>
          <w:lang w:val="es-AR"/>
        </w:rPr>
        <w:t>respaldo</w:t>
      </w:r>
      <w:r w:rsidRPr="00624696">
        <w:rPr>
          <w:spacing w:val="-9"/>
          <w:sz w:val="16"/>
          <w:lang w:val="es-AR"/>
        </w:rPr>
        <w:t xml:space="preserve"> </w:t>
      </w:r>
      <w:r w:rsidRPr="00624696">
        <w:rPr>
          <w:sz w:val="16"/>
          <w:lang w:val="es-AR"/>
        </w:rPr>
        <w:t>lo</w:t>
      </w:r>
      <w:r w:rsidRPr="00624696">
        <w:rPr>
          <w:spacing w:val="-8"/>
          <w:sz w:val="16"/>
          <w:lang w:val="es-AR"/>
        </w:rPr>
        <w:t xml:space="preserve"> </w:t>
      </w:r>
      <w:r w:rsidRPr="00624696">
        <w:rPr>
          <w:sz w:val="16"/>
          <w:lang w:val="es-AR"/>
        </w:rPr>
        <w:t>dicho</w:t>
      </w:r>
      <w:r w:rsidRPr="00624696">
        <w:rPr>
          <w:spacing w:val="-7"/>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el</w:t>
      </w:r>
      <w:r w:rsidRPr="00624696">
        <w:rPr>
          <w:spacing w:val="-11"/>
          <w:sz w:val="16"/>
          <w:lang w:val="es-AR"/>
        </w:rPr>
        <w:t xml:space="preserve"> </w:t>
      </w:r>
      <w:r w:rsidRPr="00624696">
        <w:rPr>
          <w:i/>
          <w:sz w:val="16"/>
          <w:lang w:val="es-AR"/>
        </w:rPr>
        <w:t>Caso</w:t>
      </w:r>
      <w:r w:rsidRPr="00624696">
        <w:rPr>
          <w:i/>
          <w:spacing w:val="-9"/>
          <w:sz w:val="16"/>
          <w:lang w:val="es-AR"/>
        </w:rPr>
        <w:t xml:space="preserve"> </w:t>
      </w:r>
      <w:r w:rsidRPr="00624696">
        <w:rPr>
          <w:i/>
          <w:sz w:val="16"/>
          <w:lang w:val="es-AR"/>
        </w:rPr>
        <w:t>Castillo</w:t>
      </w:r>
      <w:r w:rsidRPr="00624696">
        <w:rPr>
          <w:i/>
          <w:spacing w:val="-8"/>
          <w:sz w:val="16"/>
          <w:lang w:val="es-AR"/>
        </w:rPr>
        <w:t xml:space="preserve"> </w:t>
      </w:r>
      <w:r w:rsidRPr="00624696">
        <w:rPr>
          <w:i/>
          <w:sz w:val="16"/>
          <w:lang w:val="es-AR"/>
        </w:rPr>
        <w:t>Petruzzi</w:t>
      </w:r>
      <w:r w:rsidRPr="00624696">
        <w:rPr>
          <w:i/>
          <w:spacing w:val="-8"/>
          <w:sz w:val="16"/>
          <w:lang w:val="es-AR"/>
        </w:rPr>
        <w:t xml:space="preserve"> </w:t>
      </w:r>
      <w:r w:rsidRPr="00624696">
        <w:rPr>
          <w:i/>
          <w:sz w:val="16"/>
          <w:lang w:val="es-AR"/>
        </w:rPr>
        <w:t>y</w:t>
      </w:r>
      <w:r w:rsidRPr="00624696">
        <w:rPr>
          <w:i/>
          <w:spacing w:val="-9"/>
          <w:sz w:val="16"/>
          <w:lang w:val="es-AR"/>
        </w:rPr>
        <w:t xml:space="preserve"> </w:t>
      </w:r>
      <w:r w:rsidRPr="00624696">
        <w:rPr>
          <w:i/>
          <w:sz w:val="16"/>
          <w:lang w:val="es-AR"/>
        </w:rPr>
        <w:t>otros</w:t>
      </w:r>
      <w:r w:rsidRPr="00624696">
        <w:rPr>
          <w:i/>
          <w:spacing w:val="-10"/>
          <w:sz w:val="16"/>
          <w:lang w:val="es-AR"/>
        </w:rPr>
        <w:t xml:space="preserve"> </w:t>
      </w:r>
      <w:r w:rsidRPr="00624696">
        <w:rPr>
          <w:i/>
          <w:sz w:val="16"/>
          <w:lang w:val="es-AR"/>
        </w:rPr>
        <w:t>Vs.</w:t>
      </w:r>
      <w:r w:rsidRPr="00624696">
        <w:rPr>
          <w:i/>
          <w:spacing w:val="-8"/>
          <w:sz w:val="16"/>
          <w:lang w:val="es-AR"/>
        </w:rPr>
        <w:t xml:space="preserve"> </w:t>
      </w:r>
      <w:r>
        <w:rPr>
          <w:i/>
          <w:sz w:val="16"/>
        </w:rPr>
        <w:t>Perú.</w:t>
      </w:r>
      <w:r>
        <w:rPr>
          <w:i/>
          <w:spacing w:val="-9"/>
          <w:sz w:val="16"/>
        </w:rPr>
        <w:t xml:space="preserve"> </w:t>
      </w:r>
      <w:r w:rsidRPr="00624696">
        <w:rPr>
          <w:i/>
          <w:sz w:val="16"/>
          <w:lang w:val="es-AR"/>
        </w:rPr>
        <w:t>Excepciones</w:t>
      </w:r>
      <w:r w:rsidRPr="00624696">
        <w:rPr>
          <w:i/>
          <w:spacing w:val="-7"/>
          <w:sz w:val="16"/>
          <w:lang w:val="es-AR"/>
        </w:rPr>
        <w:t xml:space="preserve"> </w:t>
      </w:r>
      <w:r w:rsidRPr="00624696">
        <w:rPr>
          <w:i/>
          <w:sz w:val="16"/>
          <w:lang w:val="es-AR"/>
        </w:rPr>
        <w:t>Preliminares.</w:t>
      </w:r>
    </w:p>
    <w:p w14:paraId="1DD981D2" w14:textId="77777777" w:rsidR="00467FCA" w:rsidRPr="00624696" w:rsidRDefault="001B68EB">
      <w:pPr>
        <w:ind w:left="119"/>
        <w:jc w:val="both"/>
        <w:rPr>
          <w:sz w:val="16"/>
          <w:lang w:val="es-AR"/>
        </w:rPr>
      </w:pPr>
      <w:r w:rsidRPr="00624696">
        <w:rPr>
          <w:sz w:val="16"/>
          <w:lang w:val="es-AR"/>
        </w:rPr>
        <w:t>Sentencia de 4 de septiembre de 1998. Serie C No. 41, párrs. 54 y 55.</w:t>
      </w:r>
    </w:p>
    <w:p w14:paraId="3C561FFE"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4F1630C9" w14:textId="77777777" w:rsidR="00467FCA" w:rsidRPr="00624696" w:rsidRDefault="001B68EB">
      <w:pPr>
        <w:pStyle w:val="Textoindependiente"/>
        <w:spacing w:before="80"/>
        <w:ind w:left="119" w:right="118"/>
        <w:jc w:val="both"/>
        <w:rPr>
          <w:lang w:val="es-AR"/>
        </w:rPr>
      </w:pPr>
      <w:r w:rsidRPr="00624696">
        <w:rPr>
          <w:lang w:val="es-AR"/>
        </w:rPr>
        <w:t>víctimas. Por lo anterior, añadió que varias etapas del proceso penal interno sucedieron a la</w:t>
      </w:r>
      <w:r w:rsidRPr="00624696">
        <w:rPr>
          <w:lang w:val="es-AR"/>
        </w:rPr>
        <w:t xml:space="preserve"> par</w:t>
      </w:r>
      <w:r w:rsidRPr="00624696">
        <w:rPr>
          <w:spacing w:val="-16"/>
          <w:lang w:val="es-AR"/>
        </w:rPr>
        <w:t xml:space="preserve"> </w:t>
      </w:r>
      <w:r w:rsidRPr="00624696">
        <w:rPr>
          <w:lang w:val="es-AR"/>
        </w:rPr>
        <w:t>del</w:t>
      </w:r>
      <w:r w:rsidRPr="00624696">
        <w:rPr>
          <w:spacing w:val="-15"/>
          <w:lang w:val="es-AR"/>
        </w:rPr>
        <w:t xml:space="preserve"> </w:t>
      </w:r>
      <w:r w:rsidRPr="00624696">
        <w:rPr>
          <w:lang w:val="es-AR"/>
        </w:rPr>
        <w:t>procedimiento</w:t>
      </w:r>
      <w:r w:rsidRPr="00624696">
        <w:rPr>
          <w:spacing w:val="-15"/>
          <w:lang w:val="es-AR"/>
        </w:rPr>
        <w:t xml:space="preserve"> </w:t>
      </w:r>
      <w:r w:rsidRPr="00624696">
        <w:rPr>
          <w:lang w:val="es-AR"/>
        </w:rPr>
        <w:t>ante</w:t>
      </w:r>
      <w:r w:rsidRPr="00624696">
        <w:rPr>
          <w:spacing w:val="-16"/>
          <w:lang w:val="es-AR"/>
        </w:rPr>
        <w:t xml:space="preserve"> </w:t>
      </w:r>
      <w:r w:rsidRPr="00624696">
        <w:rPr>
          <w:lang w:val="es-AR"/>
        </w:rPr>
        <w:t>la</w:t>
      </w:r>
      <w:r w:rsidRPr="00624696">
        <w:rPr>
          <w:spacing w:val="-14"/>
          <w:lang w:val="es-AR"/>
        </w:rPr>
        <w:t xml:space="preserve"> </w:t>
      </w:r>
      <w:r w:rsidRPr="00624696">
        <w:rPr>
          <w:lang w:val="es-AR"/>
        </w:rPr>
        <w:t>Comisión.</w:t>
      </w:r>
      <w:r w:rsidRPr="00624696">
        <w:rPr>
          <w:spacing w:val="-13"/>
          <w:lang w:val="es-AR"/>
        </w:rPr>
        <w:t xml:space="preserve"> </w:t>
      </w:r>
      <w:r w:rsidRPr="00624696">
        <w:rPr>
          <w:lang w:val="es-AR"/>
        </w:rPr>
        <w:t>Sobre</w:t>
      </w:r>
      <w:r w:rsidRPr="00624696">
        <w:rPr>
          <w:spacing w:val="-15"/>
          <w:lang w:val="es-AR"/>
        </w:rPr>
        <w:t xml:space="preserve"> </w:t>
      </w:r>
      <w:r w:rsidRPr="00624696">
        <w:rPr>
          <w:lang w:val="es-AR"/>
        </w:rPr>
        <w:t>los</w:t>
      </w:r>
      <w:r w:rsidRPr="00624696">
        <w:rPr>
          <w:spacing w:val="-16"/>
          <w:lang w:val="es-AR"/>
        </w:rPr>
        <w:t xml:space="preserve"> </w:t>
      </w:r>
      <w:r w:rsidRPr="00624696">
        <w:rPr>
          <w:lang w:val="es-AR"/>
        </w:rPr>
        <w:t>procesos</w:t>
      </w:r>
      <w:r w:rsidRPr="00624696">
        <w:rPr>
          <w:spacing w:val="-16"/>
          <w:lang w:val="es-AR"/>
        </w:rPr>
        <w:t xml:space="preserve"> </w:t>
      </w:r>
      <w:r w:rsidRPr="00624696">
        <w:rPr>
          <w:lang w:val="es-AR"/>
        </w:rPr>
        <w:t>civiles,</w:t>
      </w:r>
      <w:r w:rsidRPr="00624696">
        <w:rPr>
          <w:spacing w:val="-15"/>
          <w:lang w:val="es-AR"/>
        </w:rPr>
        <w:t xml:space="preserve"> </w:t>
      </w:r>
      <w:r w:rsidRPr="00624696">
        <w:rPr>
          <w:lang w:val="es-AR"/>
        </w:rPr>
        <w:t>señaló</w:t>
      </w:r>
      <w:r w:rsidRPr="00624696">
        <w:rPr>
          <w:spacing w:val="-16"/>
          <w:lang w:val="es-AR"/>
        </w:rPr>
        <w:t xml:space="preserve"> </w:t>
      </w:r>
      <w:r w:rsidRPr="00624696">
        <w:rPr>
          <w:lang w:val="es-AR"/>
        </w:rPr>
        <w:t>que</w:t>
      </w:r>
      <w:r w:rsidRPr="00624696">
        <w:rPr>
          <w:spacing w:val="-13"/>
          <w:lang w:val="es-AR"/>
        </w:rPr>
        <w:t xml:space="preserve"> </w:t>
      </w:r>
      <w:r w:rsidRPr="00624696">
        <w:rPr>
          <w:lang w:val="es-AR"/>
        </w:rPr>
        <w:t>estos</w:t>
      </w:r>
      <w:r w:rsidRPr="00624696">
        <w:rPr>
          <w:spacing w:val="-16"/>
          <w:lang w:val="es-AR"/>
        </w:rPr>
        <w:t xml:space="preserve"> </w:t>
      </w:r>
      <w:r w:rsidRPr="00624696">
        <w:rPr>
          <w:lang w:val="es-AR"/>
        </w:rPr>
        <w:t>no</w:t>
      </w:r>
      <w:r w:rsidRPr="00624696">
        <w:rPr>
          <w:spacing w:val="-15"/>
          <w:lang w:val="es-AR"/>
        </w:rPr>
        <w:t xml:space="preserve"> </w:t>
      </w:r>
      <w:r w:rsidRPr="00624696">
        <w:rPr>
          <w:lang w:val="es-AR"/>
        </w:rPr>
        <w:t>fueron agotados previamente y que, de hecho, fueron y siguen siendo regular y progresivamente agotados</w:t>
      </w:r>
      <w:r w:rsidRPr="00624696">
        <w:rPr>
          <w:spacing w:val="-12"/>
          <w:lang w:val="es-AR"/>
        </w:rPr>
        <w:t xml:space="preserve"> </w:t>
      </w:r>
      <w:r w:rsidRPr="00624696">
        <w:rPr>
          <w:lang w:val="es-AR"/>
        </w:rPr>
        <w:t>con</w:t>
      </w:r>
      <w:r w:rsidRPr="00624696">
        <w:rPr>
          <w:spacing w:val="-13"/>
          <w:lang w:val="es-AR"/>
        </w:rPr>
        <w:t xml:space="preserve"> </w:t>
      </w:r>
      <w:r w:rsidRPr="00624696">
        <w:rPr>
          <w:lang w:val="es-AR"/>
        </w:rPr>
        <w:t>resultados</w:t>
      </w:r>
      <w:r w:rsidRPr="00624696">
        <w:rPr>
          <w:spacing w:val="-11"/>
          <w:lang w:val="es-AR"/>
        </w:rPr>
        <w:t xml:space="preserve"> </w:t>
      </w:r>
      <w:r w:rsidRPr="00624696">
        <w:rPr>
          <w:lang w:val="es-AR"/>
        </w:rPr>
        <w:t>favorables</w:t>
      </w:r>
      <w:r w:rsidRPr="00624696">
        <w:rPr>
          <w:spacing w:val="-14"/>
          <w:lang w:val="es-AR"/>
        </w:rPr>
        <w:t xml:space="preserve"> </w:t>
      </w:r>
      <w:r w:rsidRPr="00624696">
        <w:rPr>
          <w:lang w:val="es-AR"/>
        </w:rPr>
        <w:t>para</w:t>
      </w:r>
      <w:r w:rsidRPr="00624696">
        <w:rPr>
          <w:spacing w:val="-12"/>
          <w:lang w:val="es-AR"/>
        </w:rPr>
        <w:t xml:space="preserve"> </w:t>
      </w:r>
      <w:r w:rsidRPr="00624696">
        <w:rPr>
          <w:lang w:val="es-AR"/>
        </w:rPr>
        <w:t>las</w:t>
      </w:r>
      <w:r w:rsidRPr="00624696">
        <w:rPr>
          <w:spacing w:val="-13"/>
          <w:lang w:val="es-AR"/>
        </w:rPr>
        <w:t xml:space="preserve"> </w:t>
      </w:r>
      <w:r w:rsidRPr="00624696">
        <w:rPr>
          <w:lang w:val="es-AR"/>
        </w:rPr>
        <w:t>presuntas</w:t>
      </w:r>
      <w:r w:rsidRPr="00624696">
        <w:rPr>
          <w:spacing w:val="-15"/>
          <w:lang w:val="es-AR"/>
        </w:rPr>
        <w:t xml:space="preserve"> </w:t>
      </w:r>
      <w:r w:rsidRPr="00624696">
        <w:rPr>
          <w:lang w:val="es-AR"/>
        </w:rPr>
        <w:t>víctimas.</w:t>
      </w:r>
      <w:r w:rsidRPr="00624696">
        <w:rPr>
          <w:spacing w:val="-13"/>
          <w:lang w:val="es-AR"/>
        </w:rPr>
        <w:t xml:space="preserve"> </w:t>
      </w:r>
      <w:r w:rsidRPr="00624696">
        <w:rPr>
          <w:lang w:val="es-AR"/>
        </w:rPr>
        <w:t>Sobre</w:t>
      </w:r>
      <w:r w:rsidRPr="00624696">
        <w:rPr>
          <w:spacing w:val="-15"/>
          <w:lang w:val="es-AR"/>
        </w:rPr>
        <w:t xml:space="preserve"> </w:t>
      </w:r>
      <w:r w:rsidRPr="00624696">
        <w:rPr>
          <w:lang w:val="es-AR"/>
        </w:rPr>
        <w:t>los</w:t>
      </w:r>
      <w:r w:rsidRPr="00624696">
        <w:rPr>
          <w:spacing w:val="-13"/>
          <w:lang w:val="es-AR"/>
        </w:rPr>
        <w:t xml:space="preserve"> </w:t>
      </w:r>
      <w:r w:rsidRPr="00624696">
        <w:rPr>
          <w:lang w:val="es-AR"/>
        </w:rPr>
        <w:t>procesos</w:t>
      </w:r>
      <w:r w:rsidRPr="00624696">
        <w:rPr>
          <w:spacing w:val="-14"/>
          <w:lang w:val="es-AR"/>
        </w:rPr>
        <w:t xml:space="preserve"> </w:t>
      </w:r>
      <w:r w:rsidRPr="00624696">
        <w:rPr>
          <w:lang w:val="es-AR"/>
        </w:rPr>
        <w:t>laborales, señaló</w:t>
      </w:r>
      <w:r w:rsidRPr="00624696">
        <w:rPr>
          <w:spacing w:val="-10"/>
          <w:lang w:val="es-AR"/>
        </w:rPr>
        <w:t xml:space="preserve"> </w:t>
      </w:r>
      <w:r w:rsidRPr="00624696">
        <w:rPr>
          <w:lang w:val="es-AR"/>
        </w:rPr>
        <w:t>que</w:t>
      </w:r>
      <w:r w:rsidRPr="00624696">
        <w:rPr>
          <w:spacing w:val="-9"/>
          <w:lang w:val="es-AR"/>
        </w:rPr>
        <w:t xml:space="preserve"> </w:t>
      </w:r>
      <w:r w:rsidRPr="00624696">
        <w:rPr>
          <w:lang w:val="es-AR"/>
        </w:rPr>
        <w:t>fueron</w:t>
      </w:r>
      <w:r w:rsidRPr="00624696">
        <w:rPr>
          <w:spacing w:val="-10"/>
          <w:lang w:val="es-AR"/>
        </w:rPr>
        <w:t xml:space="preserve"> </w:t>
      </w:r>
      <w:r w:rsidRPr="00624696">
        <w:rPr>
          <w:lang w:val="es-AR"/>
        </w:rPr>
        <w:t>iniciados</w:t>
      </w:r>
      <w:r w:rsidRPr="00624696">
        <w:rPr>
          <w:spacing w:val="-11"/>
          <w:lang w:val="es-AR"/>
        </w:rPr>
        <w:t xml:space="preserve"> </w:t>
      </w:r>
      <w:r w:rsidRPr="00624696">
        <w:rPr>
          <w:lang w:val="es-AR"/>
        </w:rPr>
        <w:t>por</w:t>
      </w:r>
      <w:r w:rsidRPr="00624696">
        <w:rPr>
          <w:spacing w:val="-11"/>
          <w:lang w:val="es-AR"/>
        </w:rPr>
        <w:t xml:space="preserve"> </w:t>
      </w:r>
      <w:r w:rsidRPr="00624696">
        <w:rPr>
          <w:lang w:val="es-AR"/>
        </w:rPr>
        <w:t>las</w:t>
      </w:r>
      <w:r w:rsidRPr="00624696">
        <w:rPr>
          <w:spacing w:val="-9"/>
          <w:lang w:val="es-AR"/>
        </w:rPr>
        <w:t xml:space="preserve"> </w:t>
      </w:r>
      <w:r w:rsidRPr="00624696">
        <w:rPr>
          <w:lang w:val="es-AR"/>
        </w:rPr>
        <w:t>presuntas</w:t>
      </w:r>
      <w:r w:rsidRPr="00624696">
        <w:rPr>
          <w:spacing w:val="-9"/>
          <w:lang w:val="es-AR"/>
        </w:rPr>
        <w:t xml:space="preserve"> </w:t>
      </w:r>
      <w:r w:rsidRPr="00624696">
        <w:rPr>
          <w:lang w:val="es-AR"/>
        </w:rPr>
        <w:t>víctimas</w:t>
      </w:r>
      <w:r w:rsidRPr="00624696">
        <w:rPr>
          <w:spacing w:val="-10"/>
          <w:lang w:val="es-AR"/>
        </w:rPr>
        <w:t xml:space="preserve"> </w:t>
      </w:r>
      <w:r w:rsidRPr="00624696">
        <w:rPr>
          <w:lang w:val="es-AR"/>
        </w:rPr>
        <w:t>sobreviviente</w:t>
      </w:r>
      <w:r w:rsidRPr="00624696">
        <w:rPr>
          <w:lang w:val="es-AR"/>
        </w:rPr>
        <w:t>s</w:t>
      </w:r>
      <w:r w:rsidRPr="00624696">
        <w:rPr>
          <w:spacing w:val="-9"/>
          <w:lang w:val="es-AR"/>
        </w:rPr>
        <w:t xml:space="preserve"> </w:t>
      </w:r>
      <w:r w:rsidRPr="00624696">
        <w:rPr>
          <w:lang w:val="es-AR"/>
        </w:rPr>
        <w:t>y</w:t>
      </w:r>
      <w:r w:rsidRPr="00624696">
        <w:rPr>
          <w:spacing w:val="-9"/>
          <w:lang w:val="es-AR"/>
        </w:rPr>
        <w:t xml:space="preserve"> </w:t>
      </w:r>
      <w:r w:rsidRPr="00624696">
        <w:rPr>
          <w:lang w:val="es-AR"/>
        </w:rPr>
        <w:t>herederos</w:t>
      </w:r>
      <w:r w:rsidRPr="00624696">
        <w:rPr>
          <w:spacing w:val="-9"/>
          <w:lang w:val="es-AR"/>
        </w:rPr>
        <w:t xml:space="preserve"> </w:t>
      </w:r>
      <w:r w:rsidRPr="00624696">
        <w:rPr>
          <w:lang w:val="es-AR"/>
        </w:rPr>
        <w:t>en</w:t>
      </w:r>
      <w:r w:rsidRPr="00624696">
        <w:rPr>
          <w:spacing w:val="-10"/>
          <w:lang w:val="es-AR"/>
        </w:rPr>
        <w:t xml:space="preserve"> </w:t>
      </w:r>
      <w:r w:rsidRPr="00624696">
        <w:rPr>
          <w:lang w:val="es-AR"/>
        </w:rPr>
        <w:t>los</w:t>
      </w:r>
      <w:r w:rsidRPr="00624696">
        <w:rPr>
          <w:spacing w:val="-9"/>
          <w:lang w:val="es-AR"/>
        </w:rPr>
        <w:t xml:space="preserve"> </w:t>
      </w:r>
      <w:r w:rsidRPr="00624696">
        <w:rPr>
          <w:lang w:val="es-AR"/>
        </w:rPr>
        <w:t>años 2000</w:t>
      </w:r>
      <w:r w:rsidRPr="00624696">
        <w:rPr>
          <w:spacing w:val="-7"/>
          <w:lang w:val="es-AR"/>
        </w:rPr>
        <w:t xml:space="preserve"> </w:t>
      </w:r>
      <w:r w:rsidRPr="00624696">
        <w:rPr>
          <w:lang w:val="es-AR"/>
        </w:rPr>
        <w:t>y</w:t>
      </w:r>
      <w:r w:rsidRPr="00624696">
        <w:rPr>
          <w:spacing w:val="-8"/>
          <w:lang w:val="es-AR"/>
        </w:rPr>
        <w:t xml:space="preserve"> </w:t>
      </w:r>
      <w:r w:rsidRPr="00624696">
        <w:rPr>
          <w:lang w:val="es-AR"/>
        </w:rPr>
        <w:t>2001,</w:t>
      </w:r>
      <w:r w:rsidRPr="00624696">
        <w:rPr>
          <w:spacing w:val="-6"/>
          <w:lang w:val="es-AR"/>
        </w:rPr>
        <w:t xml:space="preserve"> </w:t>
      </w:r>
      <w:r w:rsidRPr="00624696">
        <w:rPr>
          <w:lang w:val="es-AR"/>
        </w:rPr>
        <w:t>razón</w:t>
      </w:r>
      <w:r w:rsidRPr="00624696">
        <w:rPr>
          <w:spacing w:val="-7"/>
          <w:lang w:val="es-AR"/>
        </w:rPr>
        <w:t xml:space="preserve"> </w:t>
      </w:r>
      <w:r w:rsidRPr="00624696">
        <w:rPr>
          <w:lang w:val="es-AR"/>
        </w:rPr>
        <w:t>por</w:t>
      </w:r>
      <w:r w:rsidRPr="00624696">
        <w:rPr>
          <w:spacing w:val="-4"/>
          <w:lang w:val="es-AR"/>
        </w:rPr>
        <w:t xml:space="preserve"> </w:t>
      </w:r>
      <w:r w:rsidRPr="00624696">
        <w:rPr>
          <w:lang w:val="es-AR"/>
        </w:rPr>
        <w:t>la</w:t>
      </w:r>
      <w:r w:rsidRPr="00624696">
        <w:rPr>
          <w:spacing w:val="-8"/>
          <w:lang w:val="es-AR"/>
        </w:rPr>
        <w:t xml:space="preserve"> </w:t>
      </w:r>
      <w:r w:rsidRPr="00624696">
        <w:rPr>
          <w:lang w:val="es-AR"/>
        </w:rPr>
        <w:t>cual,</w:t>
      </w:r>
      <w:r w:rsidRPr="00624696">
        <w:rPr>
          <w:spacing w:val="-5"/>
          <w:lang w:val="es-AR"/>
        </w:rPr>
        <w:t xml:space="preserve"> </w:t>
      </w:r>
      <w:r w:rsidRPr="00624696">
        <w:rPr>
          <w:lang w:val="es-AR"/>
        </w:rPr>
        <w:t>en</w:t>
      </w:r>
      <w:r w:rsidRPr="00624696">
        <w:rPr>
          <w:spacing w:val="-7"/>
          <w:lang w:val="es-AR"/>
        </w:rPr>
        <w:t xml:space="preserve"> </w:t>
      </w:r>
      <w:r w:rsidRPr="00624696">
        <w:rPr>
          <w:lang w:val="es-AR"/>
        </w:rPr>
        <w:t>la</w:t>
      </w:r>
      <w:r w:rsidRPr="00624696">
        <w:rPr>
          <w:spacing w:val="-8"/>
          <w:lang w:val="es-AR"/>
        </w:rPr>
        <w:t xml:space="preserve"> </w:t>
      </w:r>
      <w:r w:rsidRPr="00624696">
        <w:rPr>
          <w:lang w:val="es-AR"/>
        </w:rPr>
        <w:t>denuncia</w:t>
      </w:r>
      <w:r w:rsidRPr="00624696">
        <w:rPr>
          <w:spacing w:val="-8"/>
          <w:lang w:val="es-AR"/>
        </w:rPr>
        <w:t xml:space="preserve"> </w:t>
      </w:r>
      <w:r w:rsidRPr="00624696">
        <w:rPr>
          <w:lang w:val="es-AR"/>
        </w:rPr>
        <w:t>presentada</w:t>
      </w:r>
      <w:r w:rsidRPr="00624696">
        <w:rPr>
          <w:spacing w:val="-8"/>
          <w:lang w:val="es-AR"/>
        </w:rPr>
        <w:t xml:space="preserve"> </w:t>
      </w:r>
      <w:r w:rsidRPr="00624696">
        <w:rPr>
          <w:lang w:val="es-AR"/>
        </w:rPr>
        <w:t>ante</w:t>
      </w:r>
      <w:r w:rsidRPr="00624696">
        <w:rPr>
          <w:spacing w:val="-6"/>
          <w:lang w:val="es-AR"/>
        </w:rPr>
        <w:t xml:space="preserve"> </w:t>
      </w:r>
      <w:r w:rsidRPr="00624696">
        <w:rPr>
          <w:lang w:val="es-AR"/>
        </w:rPr>
        <w:t>la</w:t>
      </w:r>
      <w:r w:rsidRPr="00624696">
        <w:rPr>
          <w:spacing w:val="-8"/>
          <w:lang w:val="es-AR"/>
        </w:rPr>
        <w:t xml:space="preserve"> </w:t>
      </w:r>
      <w:r w:rsidRPr="00624696">
        <w:rPr>
          <w:lang w:val="es-AR"/>
        </w:rPr>
        <w:t>Comisión,</w:t>
      </w:r>
      <w:r w:rsidRPr="00624696">
        <w:rPr>
          <w:spacing w:val="-9"/>
          <w:lang w:val="es-AR"/>
        </w:rPr>
        <w:t xml:space="preserve"> </w:t>
      </w:r>
      <w:r w:rsidRPr="00624696">
        <w:rPr>
          <w:lang w:val="es-AR"/>
        </w:rPr>
        <w:t>no</w:t>
      </w:r>
      <w:r w:rsidRPr="00624696">
        <w:rPr>
          <w:spacing w:val="-6"/>
          <w:lang w:val="es-AR"/>
        </w:rPr>
        <w:t xml:space="preserve"> </w:t>
      </w:r>
      <w:r w:rsidRPr="00624696">
        <w:rPr>
          <w:lang w:val="es-AR"/>
        </w:rPr>
        <w:t>se</w:t>
      </w:r>
      <w:r w:rsidRPr="00624696">
        <w:rPr>
          <w:spacing w:val="-7"/>
          <w:lang w:val="es-AR"/>
        </w:rPr>
        <w:t xml:space="preserve"> </w:t>
      </w:r>
      <w:r w:rsidRPr="00624696">
        <w:rPr>
          <w:lang w:val="es-AR"/>
        </w:rPr>
        <w:t>acompañó evidencia sobre su agotamiento, y que varias etapas sucedieron paralelamente al proceso ante la Comisión. Sobre el proceso administrativo, destacó que la actuación del Estado ante la explosión fue rápida y eficaz y contribuyó a la determinación de</w:t>
      </w:r>
      <w:r w:rsidRPr="00624696">
        <w:rPr>
          <w:lang w:val="es-AR"/>
        </w:rPr>
        <w:t xml:space="preserve"> las responsabilidades administrativas de los propietarios de la fábrica de fuegos y a su</w:t>
      </w:r>
      <w:r w:rsidRPr="00624696">
        <w:rPr>
          <w:spacing w:val="-10"/>
          <w:lang w:val="es-AR"/>
        </w:rPr>
        <w:t xml:space="preserve"> </w:t>
      </w:r>
      <w:r w:rsidRPr="00624696">
        <w:rPr>
          <w:lang w:val="es-AR"/>
        </w:rPr>
        <w:t>cierre.</w:t>
      </w:r>
    </w:p>
    <w:p w14:paraId="215A5CDF" w14:textId="77777777" w:rsidR="00467FCA" w:rsidRPr="00624696" w:rsidRDefault="00467FCA">
      <w:pPr>
        <w:pStyle w:val="Textoindependiente"/>
        <w:rPr>
          <w:lang w:val="es-AR"/>
        </w:rPr>
      </w:pPr>
    </w:p>
    <w:p w14:paraId="22A9A64A" w14:textId="77777777" w:rsidR="00467FCA" w:rsidRPr="00624696" w:rsidRDefault="001B68EB">
      <w:pPr>
        <w:pStyle w:val="Prrafodelista"/>
        <w:numPr>
          <w:ilvl w:val="0"/>
          <w:numId w:val="50"/>
        </w:numPr>
        <w:tabs>
          <w:tab w:val="left" w:pos="686"/>
        </w:tabs>
        <w:ind w:left="119" w:right="118" w:firstLine="0"/>
        <w:jc w:val="both"/>
        <w:rPr>
          <w:sz w:val="20"/>
          <w:lang w:val="es-AR"/>
        </w:rPr>
      </w:pPr>
      <w:r w:rsidRPr="00624696">
        <w:rPr>
          <w:sz w:val="20"/>
          <w:lang w:val="es-AR"/>
        </w:rPr>
        <w:t>Finalmente, el Estado señaló que no son aplicables ninguna de las excepciones a la necesidad de agotamiento de los recursos internos, previstas en el artícul</w:t>
      </w:r>
      <w:r w:rsidRPr="00624696">
        <w:rPr>
          <w:sz w:val="20"/>
          <w:lang w:val="es-AR"/>
        </w:rPr>
        <w:t>o 46.2 de la Convención, pues: 1) el sistema legal brasileño contaba y cuenta con una robusta normativa de derechos y garantías constitucionales e infraconstitucionales para proteger los derechos presuntamente</w:t>
      </w:r>
      <w:r w:rsidRPr="00624696">
        <w:rPr>
          <w:spacing w:val="-22"/>
          <w:sz w:val="20"/>
          <w:lang w:val="es-AR"/>
        </w:rPr>
        <w:t xml:space="preserve"> </w:t>
      </w:r>
      <w:r w:rsidRPr="00624696">
        <w:rPr>
          <w:sz w:val="20"/>
          <w:lang w:val="es-AR"/>
        </w:rPr>
        <w:t>violados;</w:t>
      </w:r>
      <w:r w:rsidRPr="00624696">
        <w:rPr>
          <w:spacing w:val="-19"/>
          <w:sz w:val="20"/>
          <w:lang w:val="es-AR"/>
        </w:rPr>
        <w:t xml:space="preserve"> </w:t>
      </w:r>
      <w:r w:rsidRPr="00624696">
        <w:rPr>
          <w:sz w:val="20"/>
          <w:lang w:val="es-AR"/>
        </w:rPr>
        <w:t>2)</w:t>
      </w:r>
      <w:r w:rsidRPr="00624696">
        <w:rPr>
          <w:spacing w:val="-19"/>
          <w:sz w:val="20"/>
          <w:lang w:val="es-AR"/>
        </w:rPr>
        <w:t xml:space="preserve"> </w:t>
      </w:r>
      <w:r w:rsidRPr="00624696">
        <w:rPr>
          <w:sz w:val="20"/>
          <w:lang w:val="es-AR"/>
        </w:rPr>
        <w:t>el</w:t>
      </w:r>
      <w:r w:rsidRPr="00624696">
        <w:rPr>
          <w:spacing w:val="-19"/>
          <w:sz w:val="20"/>
          <w:lang w:val="es-AR"/>
        </w:rPr>
        <w:t xml:space="preserve"> </w:t>
      </w:r>
      <w:r w:rsidRPr="00624696">
        <w:rPr>
          <w:sz w:val="20"/>
          <w:lang w:val="es-AR"/>
        </w:rPr>
        <w:t>Estado</w:t>
      </w:r>
      <w:r w:rsidRPr="00624696">
        <w:rPr>
          <w:spacing w:val="-19"/>
          <w:sz w:val="20"/>
          <w:lang w:val="es-AR"/>
        </w:rPr>
        <w:t xml:space="preserve"> </w:t>
      </w:r>
      <w:r w:rsidRPr="00624696">
        <w:rPr>
          <w:sz w:val="20"/>
          <w:lang w:val="es-AR"/>
        </w:rPr>
        <w:t>no</w:t>
      </w:r>
      <w:r w:rsidRPr="00624696">
        <w:rPr>
          <w:spacing w:val="-21"/>
          <w:sz w:val="20"/>
          <w:lang w:val="es-AR"/>
        </w:rPr>
        <w:t xml:space="preserve"> </w:t>
      </w:r>
      <w:r w:rsidRPr="00624696">
        <w:rPr>
          <w:sz w:val="20"/>
          <w:lang w:val="es-AR"/>
        </w:rPr>
        <w:t>negó</w:t>
      </w:r>
      <w:r w:rsidRPr="00624696">
        <w:rPr>
          <w:spacing w:val="-19"/>
          <w:sz w:val="20"/>
          <w:lang w:val="es-AR"/>
        </w:rPr>
        <w:t xml:space="preserve"> </w:t>
      </w:r>
      <w:r w:rsidRPr="00624696">
        <w:rPr>
          <w:sz w:val="20"/>
          <w:lang w:val="es-AR"/>
        </w:rPr>
        <w:t>a</w:t>
      </w:r>
      <w:r w:rsidRPr="00624696">
        <w:rPr>
          <w:spacing w:val="-20"/>
          <w:sz w:val="20"/>
          <w:lang w:val="es-AR"/>
        </w:rPr>
        <w:t xml:space="preserve"> </w:t>
      </w:r>
      <w:r w:rsidRPr="00624696">
        <w:rPr>
          <w:sz w:val="20"/>
          <w:lang w:val="es-AR"/>
        </w:rPr>
        <w:t>las</w:t>
      </w:r>
      <w:r w:rsidRPr="00624696">
        <w:rPr>
          <w:spacing w:val="-21"/>
          <w:sz w:val="20"/>
          <w:lang w:val="es-AR"/>
        </w:rPr>
        <w:t xml:space="preserve"> </w:t>
      </w:r>
      <w:r w:rsidRPr="00624696">
        <w:rPr>
          <w:sz w:val="20"/>
          <w:lang w:val="es-AR"/>
        </w:rPr>
        <w:t>presuntas</w:t>
      </w:r>
      <w:r w:rsidRPr="00624696">
        <w:rPr>
          <w:spacing w:val="-18"/>
          <w:sz w:val="20"/>
          <w:lang w:val="es-AR"/>
        </w:rPr>
        <w:t xml:space="preserve"> </w:t>
      </w:r>
      <w:r w:rsidRPr="00624696">
        <w:rPr>
          <w:sz w:val="20"/>
          <w:lang w:val="es-AR"/>
        </w:rPr>
        <w:t>víctimas</w:t>
      </w:r>
      <w:r w:rsidRPr="00624696">
        <w:rPr>
          <w:spacing w:val="-19"/>
          <w:sz w:val="20"/>
          <w:lang w:val="es-AR"/>
        </w:rPr>
        <w:t xml:space="preserve"> </w:t>
      </w:r>
      <w:r w:rsidRPr="00624696">
        <w:rPr>
          <w:sz w:val="20"/>
          <w:lang w:val="es-AR"/>
        </w:rPr>
        <w:t>el</w:t>
      </w:r>
      <w:r w:rsidRPr="00624696">
        <w:rPr>
          <w:spacing w:val="-17"/>
          <w:sz w:val="20"/>
          <w:lang w:val="es-AR"/>
        </w:rPr>
        <w:t xml:space="preserve"> </w:t>
      </w:r>
      <w:r w:rsidRPr="00624696">
        <w:rPr>
          <w:sz w:val="20"/>
          <w:lang w:val="es-AR"/>
        </w:rPr>
        <w:t>acceso</w:t>
      </w:r>
      <w:r w:rsidRPr="00624696">
        <w:rPr>
          <w:spacing w:val="-21"/>
          <w:sz w:val="20"/>
          <w:lang w:val="es-AR"/>
        </w:rPr>
        <w:t xml:space="preserve"> </w:t>
      </w:r>
      <w:r w:rsidRPr="00624696">
        <w:rPr>
          <w:sz w:val="20"/>
          <w:lang w:val="es-AR"/>
        </w:rPr>
        <w:t>a</w:t>
      </w:r>
      <w:r w:rsidRPr="00624696">
        <w:rPr>
          <w:spacing w:val="-20"/>
          <w:sz w:val="20"/>
          <w:lang w:val="es-AR"/>
        </w:rPr>
        <w:t xml:space="preserve"> </w:t>
      </w:r>
      <w:r w:rsidRPr="00624696">
        <w:rPr>
          <w:sz w:val="20"/>
          <w:lang w:val="es-AR"/>
        </w:rPr>
        <w:t>los</w:t>
      </w:r>
      <w:r w:rsidRPr="00624696">
        <w:rPr>
          <w:spacing w:val="-18"/>
          <w:sz w:val="20"/>
          <w:lang w:val="es-AR"/>
        </w:rPr>
        <w:t xml:space="preserve"> </w:t>
      </w:r>
      <w:r w:rsidRPr="00624696">
        <w:rPr>
          <w:sz w:val="20"/>
          <w:lang w:val="es-AR"/>
        </w:rPr>
        <w:t>recursos internos, ni impidió su agotamiento. De hecho, las demandas penales y civiles fueron planteadas por los órganos estatales competentes, y 3) el Estado no incurrió en una demora injustificada en el trámite de los recursos i</w:t>
      </w:r>
      <w:r w:rsidRPr="00624696">
        <w:rPr>
          <w:sz w:val="20"/>
          <w:lang w:val="es-AR"/>
        </w:rPr>
        <w:t>nternos. En este punto, resaltó que, contrario a la lógica</w:t>
      </w:r>
      <w:r w:rsidRPr="00624696">
        <w:rPr>
          <w:spacing w:val="-13"/>
          <w:sz w:val="20"/>
          <w:lang w:val="es-AR"/>
        </w:rPr>
        <w:t xml:space="preserve"> </w:t>
      </w:r>
      <w:r w:rsidRPr="00624696">
        <w:rPr>
          <w:sz w:val="20"/>
          <w:lang w:val="es-AR"/>
        </w:rPr>
        <w:t>establecida</w:t>
      </w:r>
      <w:r w:rsidRPr="00624696">
        <w:rPr>
          <w:spacing w:val="-15"/>
          <w:sz w:val="20"/>
          <w:lang w:val="es-AR"/>
        </w:rPr>
        <w:t xml:space="preserve"> </w:t>
      </w:r>
      <w:r w:rsidRPr="00624696">
        <w:rPr>
          <w:sz w:val="20"/>
          <w:lang w:val="es-AR"/>
        </w:rPr>
        <w:t>por</w:t>
      </w:r>
      <w:r w:rsidRPr="00624696">
        <w:rPr>
          <w:spacing w:val="-15"/>
          <w:sz w:val="20"/>
          <w:lang w:val="es-AR"/>
        </w:rPr>
        <w:t xml:space="preserve"> </w:t>
      </w:r>
      <w:r w:rsidRPr="00624696">
        <w:rPr>
          <w:sz w:val="20"/>
          <w:lang w:val="es-AR"/>
        </w:rPr>
        <w:t>la</w:t>
      </w:r>
      <w:r w:rsidRPr="00624696">
        <w:rPr>
          <w:spacing w:val="-13"/>
          <w:sz w:val="20"/>
          <w:lang w:val="es-AR"/>
        </w:rPr>
        <w:t xml:space="preserve"> </w:t>
      </w:r>
      <w:r w:rsidRPr="00624696">
        <w:rPr>
          <w:sz w:val="20"/>
          <w:lang w:val="es-AR"/>
        </w:rPr>
        <w:t>Convención,</w:t>
      </w:r>
      <w:r w:rsidRPr="00624696">
        <w:rPr>
          <w:spacing w:val="-14"/>
          <w:sz w:val="20"/>
          <w:lang w:val="es-AR"/>
        </w:rPr>
        <w:t xml:space="preserve"> </w:t>
      </w:r>
      <w:r w:rsidRPr="00624696">
        <w:rPr>
          <w:sz w:val="20"/>
          <w:lang w:val="es-AR"/>
        </w:rPr>
        <w:t>la</w:t>
      </w:r>
      <w:r w:rsidRPr="00624696">
        <w:rPr>
          <w:spacing w:val="-15"/>
          <w:sz w:val="20"/>
          <w:lang w:val="es-AR"/>
        </w:rPr>
        <w:t xml:space="preserve"> </w:t>
      </w:r>
      <w:r w:rsidRPr="00624696">
        <w:rPr>
          <w:sz w:val="20"/>
          <w:lang w:val="es-AR"/>
        </w:rPr>
        <w:t>Comisión,</w:t>
      </w:r>
      <w:r w:rsidRPr="00624696">
        <w:rPr>
          <w:spacing w:val="-17"/>
          <w:sz w:val="20"/>
          <w:lang w:val="es-AR"/>
        </w:rPr>
        <w:t xml:space="preserve"> </w:t>
      </w:r>
      <w:r w:rsidRPr="00624696">
        <w:rPr>
          <w:sz w:val="20"/>
          <w:lang w:val="es-AR"/>
        </w:rPr>
        <w:t>en</w:t>
      </w:r>
      <w:r w:rsidRPr="00624696">
        <w:rPr>
          <w:spacing w:val="-14"/>
          <w:sz w:val="20"/>
          <w:lang w:val="es-AR"/>
        </w:rPr>
        <w:t xml:space="preserve"> </w:t>
      </w:r>
      <w:r w:rsidRPr="00624696">
        <w:rPr>
          <w:sz w:val="20"/>
          <w:lang w:val="es-AR"/>
        </w:rPr>
        <w:t>lugar</w:t>
      </w:r>
      <w:r w:rsidRPr="00624696">
        <w:rPr>
          <w:spacing w:val="-17"/>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analizar</w:t>
      </w:r>
      <w:r w:rsidRPr="00624696">
        <w:rPr>
          <w:spacing w:val="-14"/>
          <w:sz w:val="20"/>
          <w:lang w:val="es-AR"/>
        </w:rPr>
        <w:t xml:space="preserve"> </w:t>
      </w:r>
      <w:r w:rsidRPr="00624696">
        <w:rPr>
          <w:sz w:val="20"/>
          <w:lang w:val="es-AR"/>
        </w:rPr>
        <w:t>el</w:t>
      </w:r>
      <w:r w:rsidRPr="00624696">
        <w:rPr>
          <w:spacing w:val="-13"/>
          <w:sz w:val="20"/>
          <w:lang w:val="es-AR"/>
        </w:rPr>
        <w:t xml:space="preserve"> </w:t>
      </w:r>
      <w:r w:rsidRPr="00624696">
        <w:rPr>
          <w:sz w:val="20"/>
          <w:lang w:val="es-AR"/>
        </w:rPr>
        <w:t>requisito</w:t>
      </w:r>
      <w:r w:rsidRPr="00624696">
        <w:rPr>
          <w:spacing w:val="-14"/>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“demora injustificada” en el período comprendido entre la ocurrencia del hecho y el momento de la petición,</w:t>
      </w:r>
      <w:r w:rsidRPr="00624696">
        <w:rPr>
          <w:spacing w:val="-9"/>
          <w:sz w:val="20"/>
          <w:lang w:val="es-AR"/>
        </w:rPr>
        <w:t xml:space="preserve"> </w:t>
      </w:r>
      <w:r w:rsidRPr="00624696">
        <w:rPr>
          <w:sz w:val="20"/>
          <w:lang w:val="es-AR"/>
        </w:rPr>
        <w:t>trató</w:t>
      </w:r>
      <w:r w:rsidRPr="00624696">
        <w:rPr>
          <w:spacing w:val="-9"/>
          <w:sz w:val="20"/>
          <w:lang w:val="es-AR"/>
        </w:rPr>
        <w:t xml:space="preserve"> </w:t>
      </w:r>
      <w:r w:rsidRPr="00624696">
        <w:rPr>
          <w:sz w:val="20"/>
          <w:lang w:val="es-AR"/>
        </w:rPr>
        <w:t>de</w:t>
      </w:r>
      <w:r w:rsidRPr="00624696">
        <w:rPr>
          <w:spacing w:val="-9"/>
          <w:sz w:val="20"/>
          <w:lang w:val="es-AR"/>
        </w:rPr>
        <w:t xml:space="preserve"> </w:t>
      </w:r>
      <w:r w:rsidRPr="00624696">
        <w:rPr>
          <w:sz w:val="20"/>
          <w:lang w:val="es-AR"/>
        </w:rPr>
        <w:t>justificar</w:t>
      </w:r>
      <w:r w:rsidRPr="00624696">
        <w:rPr>
          <w:spacing w:val="-9"/>
          <w:sz w:val="20"/>
          <w:lang w:val="es-AR"/>
        </w:rPr>
        <w:t xml:space="preserve"> </w:t>
      </w:r>
      <w:r w:rsidRPr="00624696">
        <w:rPr>
          <w:sz w:val="20"/>
          <w:lang w:val="es-AR"/>
        </w:rPr>
        <w:t>la</w:t>
      </w:r>
      <w:r w:rsidRPr="00624696">
        <w:rPr>
          <w:spacing w:val="-8"/>
          <w:sz w:val="20"/>
          <w:lang w:val="es-AR"/>
        </w:rPr>
        <w:t xml:space="preserve"> </w:t>
      </w:r>
      <w:r w:rsidRPr="00624696">
        <w:rPr>
          <w:sz w:val="20"/>
          <w:lang w:val="es-AR"/>
        </w:rPr>
        <w:t>admisibilidad</w:t>
      </w:r>
      <w:r w:rsidRPr="00624696">
        <w:rPr>
          <w:spacing w:val="-7"/>
          <w:sz w:val="20"/>
          <w:lang w:val="es-AR"/>
        </w:rPr>
        <w:t xml:space="preserve"> </w:t>
      </w:r>
      <w:r w:rsidRPr="00624696">
        <w:rPr>
          <w:sz w:val="20"/>
          <w:lang w:val="es-AR"/>
        </w:rPr>
        <w:t>del</w:t>
      </w:r>
      <w:r w:rsidRPr="00624696">
        <w:rPr>
          <w:spacing w:val="-8"/>
          <w:sz w:val="20"/>
          <w:lang w:val="es-AR"/>
        </w:rPr>
        <w:t xml:space="preserve"> </w:t>
      </w:r>
      <w:r w:rsidRPr="00624696">
        <w:rPr>
          <w:sz w:val="20"/>
          <w:lang w:val="es-AR"/>
        </w:rPr>
        <w:t>caso</w:t>
      </w:r>
      <w:r w:rsidRPr="00624696">
        <w:rPr>
          <w:spacing w:val="-9"/>
          <w:sz w:val="20"/>
          <w:lang w:val="es-AR"/>
        </w:rPr>
        <w:t xml:space="preserve"> </w:t>
      </w:r>
      <w:r w:rsidRPr="00624696">
        <w:rPr>
          <w:sz w:val="20"/>
          <w:lang w:val="es-AR"/>
        </w:rPr>
        <w:t>casi</w:t>
      </w:r>
      <w:r w:rsidRPr="00624696">
        <w:rPr>
          <w:spacing w:val="-8"/>
          <w:sz w:val="20"/>
          <w:lang w:val="es-AR"/>
        </w:rPr>
        <w:t xml:space="preserve"> </w:t>
      </w:r>
      <w:r w:rsidRPr="00624696">
        <w:rPr>
          <w:sz w:val="20"/>
          <w:lang w:val="es-AR"/>
        </w:rPr>
        <w:t>17</w:t>
      </w:r>
      <w:r w:rsidRPr="00624696">
        <w:rPr>
          <w:spacing w:val="-7"/>
          <w:sz w:val="20"/>
          <w:lang w:val="es-AR"/>
        </w:rPr>
        <w:t xml:space="preserve"> </w:t>
      </w:r>
      <w:r w:rsidRPr="00624696">
        <w:rPr>
          <w:sz w:val="20"/>
          <w:lang w:val="es-AR"/>
        </w:rPr>
        <w:t>años</w:t>
      </w:r>
      <w:r w:rsidRPr="00624696">
        <w:rPr>
          <w:spacing w:val="-9"/>
          <w:sz w:val="20"/>
          <w:lang w:val="es-AR"/>
        </w:rPr>
        <w:t xml:space="preserve"> </w:t>
      </w:r>
      <w:r w:rsidRPr="00624696">
        <w:rPr>
          <w:sz w:val="20"/>
          <w:lang w:val="es-AR"/>
        </w:rPr>
        <w:t>después</w:t>
      </w:r>
      <w:r w:rsidRPr="00624696">
        <w:rPr>
          <w:spacing w:val="-9"/>
          <w:sz w:val="20"/>
          <w:lang w:val="es-AR"/>
        </w:rPr>
        <w:t xml:space="preserve"> </w:t>
      </w:r>
      <w:r w:rsidRPr="00624696">
        <w:rPr>
          <w:sz w:val="20"/>
          <w:lang w:val="es-AR"/>
        </w:rPr>
        <w:t>de</w:t>
      </w:r>
      <w:r w:rsidRPr="00624696">
        <w:rPr>
          <w:spacing w:val="-9"/>
          <w:sz w:val="20"/>
          <w:lang w:val="es-AR"/>
        </w:rPr>
        <w:t xml:space="preserve"> </w:t>
      </w:r>
      <w:r w:rsidRPr="00624696">
        <w:rPr>
          <w:sz w:val="20"/>
          <w:lang w:val="es-AR"/>
        </w:rPr>
        <w:t>su</w:t>
      </w:r>
      <w:r w:rsidRPr="00624696">
        <w:rPr>
          <w:spacing w:val="-7"/>
          <w:sz w:val="20"/>
          <w:lang w:val="es-AR"/>
        </w:rPr>
        <w:t xml:space="preserve"> </w:t>
      </w:r>
      <w:r w:rsidRPr="00624696">
        <w:rPr>
          <w:sz w:val="20"/>
          <w:lang w:val="es-AR"/>
        </w:rPr>
        <w:t>presentación, utilizando un período de tiempo mucho</w:t>
      </w:r>
      <w:r w:rsidRPr="00624696">
        <w:rPr>
          <w:spacing w:val="-6"/>
          <w:sz w:val="20"/>
          <w:lang w:val="es-AR"/>
        </w:rPr>
        <w:t xml:space="preserve"> </w:t>
      </w:r>
      <w:r w:rsidRPr="00624696">
        <w:rPr>
          <w:sz w:val="20"/>
          <w:lang w:val="es-AR"/>
        </w:rPr>
        <w:t>mayor.</w:t>
      </w:r>
    </w:p>
    <w:p w14:paraId="615D1F1A" w14:textId="77777777" w:rsidR="00467FCA" w:rsidRPr="00624696" w:rsidRDefault="00467FCA">
      <w:pPr>
        <w:pStyle w:val="Textoindependiente"/>
        <w:spacing w:before="1"/>
        <w:rPr>
          <w:lang w:val="es-AR"/>
        </w:rPr>
      </w:pPr>
    </w:p>
    <w:p w14:paraId="4C7F0774" w14:textId="77777777" w:rsidR="00467FCA" w:rsidRDefault="001B68EB">
      <w:pPr>
        <w:pStyle w:val="Prrafodelista"/>
        <w:numPr>
          <w:ilvl w:val="0"/>
          <w:numId w:val="50"/>
        </w:numPr>
        <w:tabs>
          <w:tab w:val="left" w:pos="686"/>
        </w:tabs>
        <w:spacing w:before="1"/>
        <w:ind w:left="119" w:right="117" w:firstLine="0"/>
        <w:jc w:val="both"/>
        <w:rPr>
          <w:sz w:val="20"/>
        </w:rPr>
      </w:pPr>
      <w:r w:rsidRPr="00624696">
        <w:rPr>
          <w:sz w:val="20"/>
          <w:lang w:val="es-AR"/>
        </w:rPr>
        <w:t xml:space="preserve">La </w:t>
      </w:r>
      <w:r w:rsidRPr="00624696">
        <w:rPr>
          <w:b/>
          <w:i/>
          <w:sz w:val="20"/>
          <w:lang w:val="es-AR"/>
        </w:rPr>
        <w:t>Comisión</w:t>
      </w:r>
      <w:r w:rsidRPr="00624696">
        <w:rPr>
          <w:sz w:val="20"/>
          <w:lang w:val="es-AR"/>
        </w:rPr>
        <w:t>, en su escrito de observaciones a las excepciones preliminares, reiteró lo expuesto en su Informe de Admisibilidad y Fondo, en el sentido de que “si bien en sus primeras presentaciones el Estado alegó la falta de agotamiento de los recursos internos, de m</w:t>
      </w:r>
      <w:r w:rsidRPr="00624696">
        <w:rPr>
          <w:sz w:val="20"/>
          <w:lang w:val="es-AR"/>
        </w:rPr>
        <w:t>anera posterior renunció expresamente a cuestionar la admisibilidad del caso”</w:t>
      </w:r>
      <w:hyperlink w:anchor="_bookmark39" w:history="1">
        <w:r w:rsidRPr="00624696">
          <w:rPr>
            <w:position w:val="7"/>
            <w:sz w:val="13"/>
            <w:lang w:val="es-AR"/>
          </w:rPr>
          <w:t>28</w:t>
        </w:r>
      </w:hyperlink>
      <w:r w:rsidRPr="00624696">
        <w:rPr>
          <w:sz w:val="20"/>
          <w:lang w:val="es-AR"/>
        </w:rPr>
        <w:t>. La Comisión aludió a la posición del Estado durante la audiencia celebrada el 19 de octubre de 2006, en la que señaló que no cuestionaría la adm</w:t>
      </w:r>
      <w:r w:rsidRPr="00624696">
        <w:rPr>
          <w:sz w:val="20"/>
          <w:lang w:val="es-AR"/>
        </w:rPr>
        <w:t xml:space="preserve">isibilidad del caso y consideró que invocar un requisito de admisibilidad cuyo cumplimiento renunció a cuestionar de manera expresa constituye una violación al principio de </w:t>
      </w:r>
      <w:r w:rsidRPr="00624696">
        <w:rPr>
          <w:i/>
          <w:sz w:val="20"/>
          <w:lang w:val="es-AR"/>
        </w:rPr>
        <w:t>estoppel</w:t>
      </w:r>
      <w:r w:rsidRPr="00624696">
        <w:rPr>
          <w:sz w:val="20"/>
          <w:lang w:val="es-AR"/>
        </w:rPr>
        <w:t>. Sin perjuicio de lo anterior y de manera subsidiaria, la Comisión destacó</w:t>
      </w:r>
      <w:r w:rsidRPr="00624696">
        <w:rPr>
          <w:sz w:val="20"/>
          <w:lang w:val="es-AR"/>
        </w:rPr>
        <w:t xml:space="preserve"> que en su Informe de Admisibilidad y Fondo se pronunció sobre</w:t>
      </w:r>
      <w:r w:rsidRPr="00624696">
        <w:rPr>
          <w:spacing w:val="-5"/>
          <w:sz w:val="20"/>
          <w:lang w:val="es-AR"/>
        </w:rPr>
        <w:t xml:space="preserve"> </w:t>
      </w:r>
      <w:r w:rsidRPr="00624696">
        <w:rPr>
          <w:sz w:val="20"/>
          <w:lang w:val="es-AR"/>
        </w:rPr>
        <w:t>el requisito</w:t>
      </w:r>
      <w:r w:rsidRPr="00624696">
        <w:rPr>
          <w:spacing w:val="-7"/>
          <w:sz w:val="20"/>
          <w:lang w:val="es-AR"/>
        </w:rPr>
        <w:t xml:space="preserve"> </w:t>
      </w:r>
      <w:r w:rsidRPr="00624696">
        <w:rPr>
          <w:sz w:val="20"/>
          <w:lang w:val="es-AR"/>
        </w:rPr>
        <w:t>de</w:t>
      </w:r>
      <w:r w:rsidRPr="00624696">
        <w:rPr>
          <w:spacing w:val="-4"/>
          <w:sz w:val="20"/>
          <w:lang w:val="es-AR"/>
        </w:rPr>
        <w:t xml:space="preserve"> </w:t>
      </w:r>
      <w:r w:rsidRPr="00624696">
        <w:rPr>
          <w:sz w:val="20"/>
          <w:lang w:val="es-AR"/>
        </w:rPr>
        <w:t>agotamiento</w:t>
      </w:r>
      <w:r w:rsidRPr="00624696">
        <w:rPr>
          <w:spacing w:val="-4"/>
          <w:sz w:val="20"/>
          <w:lang w:val="es-AR"/>
        </w:rPr>
        <w:t xml:space="preserve"> </w:t>
      </w:r>
      <w:r w:rsidRPr="00624696">
        <w:rPr>
          <w:sz w:val="20"/>
          <w:lang w:val="es-AR"/>
        </w:rPr>
        <w:t>de</w:t>
      </w:r>
      <w:r w:rsidRPr="00624696">
        <w:rPr>
          <w:spacing w:val="-5"/>
          <w:sz w:val="20"/>
          <w:lang w:val="es-AR"/>
        </w:rPr>
        <w:t xml:space="preserve"> </w:t>
      </w:r>
      <w:r w:rsidRPr="00624696">
        <w:rPr>
          <w:sz w:val="20"/>
          <w:lang w:val="es-AR"/>
        </w:rPr>
        <w:t>los</w:t>
      </w:r>
      <w:r w:rsidRPr="00624696">
        <w:rPr>
          <w:spacing w:val="-4"/>
          <w:sz w:val="20"/>
          <w:lang w:val="es-AR"/>
        </w:rPr>
        <w:t xml:space="preserve"> </w:t>
      </w:r>
      <w:r w:rsidRPr="00624696">
        <w:rPr>
          <w:sz w:val="20"/>
          <w:lang w:val="es-AR"/>
        </w:rPr>
        <w:t>recursos</w:t>
      </w:r>
      <w:r w:rsidRPr="00624696">
        <w:rPr>
          <w:spacing w:val="-4"/>
          <w:sz w:val="20"/>
          <w:lang w:val="es-AR"/>
        </w:rPr>
        <w:t xml:space="preserve"> </w:t>
      </w:r>
      <w:r w:rsidRPr="00624696">
        <w:rPr>
          <w:sz w:val="20"/>
          <w:lang w:val="es-AR"/>
        </w:rPr>
        <w:t>internos,</w:t>
      </w:r>
      <w:r w:rsidRPr="00624696">
        <w:rPr>
          <w:spacing w:val="-4"/>
          <w:sz w:val="20"/>
          <w:lang w:val="es-AR"/>
        </w:rPr>
        <w:t xml:space="preserve"> </w:t>
      </w:r>
      <w:r w:rsidRPr="00624696">
        <w:rPr>
          <w:sz w:val="20"/>
          <w:lang w:val="es-AR"/>
        </w:rPr>
        <w:t>aplicando</w:t>
      </w:r>
      <w:r w:rsidRPr="00624696">
        <w:rPr>
          <w:spacing w:val="-7"/>
          <w:sz w:val="20"/>
          <w:lang w:val="es-AR"/>
        </w:rPr>
        <w:t xml:space="preserve"> </w:t>
      </w:r>
      <w:r w:rsidRPr="00624696">
        <w:rPr>
          <w:sz w:val="20"/>
          <w:lang w:val="es-AR"/>
        </w:rPr>
        <w:t>la</w:t>
      </w:r>
      <w:r w:rsidRPr="00624696">
        <w:rPr>
          <w:spacing w:val="-4"/>
          <w:sz w:val="20"/>
          <w:lang w:val="es-AR"/>
        </w:rPr>
        <w:t xml:space="preserve"> </w:t>
      </w:r>
      <w:r w:rsidRPr="00624696">
        <w:rPr>
          <w:sz w:val="20"/>
          <w:lang w:val="es-AR"/>
        </w:rPr>
        <w:t>excepción</w:t>
      </w:r>
      <w:r w:rsidRPr="00624696">
        <w:rPr>
          <w:spacing w:val="-4"/>
          <w:sz w:val="20"/>
          <w:lang w:val="es-AR"/>
        </w:rPr>
        <w:t xml:space="preserve"> </w:t>
      </w:r>
      <w:r w:rsidRPr="00624696">
        <w:rPr>
          <w:sz w:val="20"/>
          <w:lang w:val="es-AR"/>
        </w:rPr>
        <w:t>de</w:t>
      </w:r>
      <w:r w:rsidRPr="00624696">
        <w:rPr>
          <w:spacing w:val="-4"/>
          <w:sz w:val="20"/>
          <w:lang w:val="es-AR"/>
        </w:rPr>
        <w:t xml:space="preserve"> </w:t>
      </w:r>
      <w:r w:rsidRPr="00624696">
        <w:rPr>
          <w:sz w:val="20"/>
          <w:lang w:val="es-AR"/>
        </w:rPr>
        <w:t>retardo injustificado</w:t>
      </w:r>
      <w:r w:rsidRPr="00624696">
        <w:rPr>
          <w:spacing w:val="-15"/>
          <w:sz w:val="20"/>
          <w:lang w:val="es-AR"/>
        </w:rPr>
        <w:t xml:space="preserve"> </w:t>
      </w:r>
      <w:r w:rsidRPr="00624696">
        <w:rPr>
          <w:sz w:val="20"/>
          <w:lang w:val="es-AR"/>
        </w:rPr>
        <w:t>contemplada</w:t>
      </w:r>
      <w:r w:rsidRPr="00624696">
        <w:rPr>
          <w:spacing w:val="-13"/>
          <w:sz w:val="20"/>
          <w:lang w:val="es-AR"/>
        </w:rPr>
        <w:t xml:space="preserve"> </w:t>
      </w:r>
      <w:r w:rsidRPr="00624696">
        <w:rPr>
          <w:sz w:val="20"/>
          <w:lang w:val="es-AR"/>
        </w:rPr>
        <w:t>en</w:t>
      </w:r>
      <w:r w:rsidRPr="00624696">
        <w:rPr>
          <w:spacing w:val="-10"/>
          <w:sz w:val="20"/>
          <w:lang w:val="es-AR"/>
        </w:rPr>
        <w:t xml:space="preserve"> </w:t>
      </w:r>
      <w:r w:rsidRPr="00624696">
        <w:rPr>
          <w:sz w:val="20"/>
          <w:lang w:val="es-AR"/>
        </w:rPr>
        <w:t>el</w:t>
      </w:r>
      <w:r w:rsidRPr="00624696">
        <w:rPr>
          <w:spacing w:val="-13"/>
          <w:sz w:val="20"/>
          <w:lang w:val="es-AR"/>
        </w:rPr>
        <w:t xml:space="preserve"> </w:t>
      </w:r>
      <w:r w:rsidRPr="00624696">
        <w:rPr>
          <w:sz w:val="20"/>
          <w:lang w:val="es-AR"/>
        </w:rPr>
        <w:t>artículo</w:t>
      </w:r>
      <w:r w:rsidRPr="00624696">
        <w:rPr>
          <w:spacing w:val="-12"/>
          <w:sz w:val="20"/>
          <w:lang w:val="es-AR"/>
        </w:rPr>
        <w:t xml:space="preserve"> </w:t>
      </w:r>
      <w:r w:rsidRPr="00624696">
        <w:rPr>
          <w:sz w:val="20"/>
          <w:lang w:val="es-AR"/>
        </w:rPr>
        <w:t>46.2.c)</w:t>
      </w:r>
      <w:r w:rsidRPr="00624696">
        <w:rPr>
          <w:spacing w:val="-12"/>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la</w:t>
      </w:r>
      <w:r w:rsidRPr="00624696">
        <w:rPr>
          <w:spacing w:val="-11"/>
          <w:sz w:val="20"/>
          <w:lang w:val="es-AR"/>
        </w:rPr>
        <w:t xml:space="preserve"> </w:t>
      </w:r>
      <w:r w:rsidRPr="00624696">
        <w:rPr>
          <w:sz w:val="20"/>
          <w:lang w:val="es-AR"/>
        </w:rPr>
        <w:t>Convención</w:t>
      </w:r>
      <w:r w:rsidRPr="00624696">
        <w:rPr>
          <w:spacing w:val="-10"/>
          <w:sz w:val="20"/>
          <w:lang w:val="es-AR"/>
        </w:rPr>
        <w:t xml:space="preserve"> </w:t>
      </w:r>
      <w:r w:rsidRPr="00624696">
        <w:rPr>
          <w:sz w:val="20"/>
          <w:lang w:val="es-AR"/>
        </w:rPr>
        <w:t>Americana.</w:t>
      </w:r>
      <w:r w:rsidRPr="00624696">
        <w:rPr>
          <w:spacing w:val="-14"/>
          <w:sz w:val="20"/>
          <w:lang w:val="es-AR"/>
        </w:rPr>
        <w:t xml:space="preserve"> </w:t>
      </w:r>
      <w:r w:rsidRPr="00624696">
        <w:rPr>
          <w:sz w:val="20"/>
          <w:lang w:val="es-AR"/>
        </w:rPr>
        <w:t>Finalmente,</w:t>
      </w:r>
      <w:r w:rsidRPr="00624696">
        <w:rPr>
          <w:spacing w:val="-11"/>
          <w:sz w:val="20"/>
          <w:lang w:val="es-AR"/>
        </w:rPr>
        <w:t xml:space="preserve"> </w:t>
      </w:r>
      <w:r w:rsidRPr="00624696">
        <w:rPr>
          <w:sz w:val="20"/>
          <w:lang w:val="es-AR"/>
        </w:rPr>
        <w:t xml:space="preserve">hizo referencia a lo dicho por la Corte en el </w:t>
      </w:r>
      <w:r w:rsidRPr="00624696">
        <w:rPr>
          <w:i/>
          <w:sz w:val="20"/>
          <w:lang w:val="es-AR"/>
        </w:rPr>
        <w:t xml:space="preserve">Caso Wong Ho Wing Vs. </w:t>
      </w:r>
      <w:r>
        <w:rPr>
          <w:i/>
          <w:sz w:val="20"/>
        </w:rPr>
        <w:t>Perú</w:t>
      </w:r>
      <w:r>
        <w:rPr>
          <w:sz w:val="20"/>
        </w:rPr>
        <w:t>, en el sentido de que el agotamiento de los recursos internos se debe verificar al momento del pronunciamiento de admisibilidad y no necesariamente al momento de presentación de la</w:t>
      </w:r>
      <w:r>
        <w:rPr>
          <w:spacing w:val="-17"/>
          <w:sz w:val="20"/>
        </w:rPr>
        <w:t xml:space="preserve"> </w:t>
      </w:r>
      <w:r>
        <w:rPr>
          <w:sz w:val="20"/>
        </w:rPr>
        <w:t>pe</w:t>
      </w:r>
      <w:r>
        <w:rPr>
          <w:sz w:val="20"/>
        </w:rPr>
        <w:t>tición.</w:t>
      </w:r>
    </w:p>
    <w:p w14:paraId="404DD345" w14:textId="77777777" w:rsidR="00467FCA" w:rsidRDefault="00467FCA">
      <w:pPr>
        <w:pStyle w:val="Textoindependiente"/>
        <w:spacing w:before="11"/>
        <w:rPr>
          <w:sz w:val="19"/>
        </w:rPr>
      </w:pPr>
    </w:p>
    <w:p w14:paraId="04AEC7A6" w14:textId="77777777" w:rsidR="00467FCA" w:rsidRPr="00624696" w:rsidRDefault="001B68EB">
      <w:pPr>
        <w:pStyle w:val="Prrafodelista"/>
        <w:numPr>
          <w:ilvl w:val="0"/>
          <w:numId w:val="50"/>
        </w:numPr>
        <w:tabs>
          <w:tab w:val="left" w:pos="687"/>
        </w:tabs>
        <w:ind w:left="119" w:right="117" w:firstLine="0"/>
        <w:jc w:val="both"/>
        <w:rPr>
          <w:sz w:val="20"/>
          <w:lang w:val="es-AR"/>
        </w:rPr>
      </w:pPr>
      <w:r w:rsidRPr="00624696">
        <w:rPr>
          <w:sz w:val="20"/>
          <w:lang w:val="es-AR"/>
        </w:rPr>
        <w:t xml:space="preserve">Los </w:t>
      </w:r>
      <w:r w:rsidRPr="00624696">
        <w:rPr>
          <w:b/>
          <w:i/>
          <w:sz w:val="20"/>
          <w:lang w:val="es-AR"/>
        </w:rPr>
        <w:t xml:space="preserve">representantes </w:t>
      </w:r>
      <w:r w:rsidRPr="00624696">
        <w:rPr>
          <w:sz w:val="20"/>
          <w:lang w:val="es-AR"/>
        </w:rPr>
        <w:t>manifestaron que el momento oportuno para el análisis del requisito de agotamiento previo de los recursos internos es en la decisión sobre la admisibilidad</w:t>
      </w:r>
      <w:r w:rsidRPr="00624696">
        <w:rPr>
          <w:spacing w:val="-6"/>
          <w:sz w:val="20"/>
          <w:lang w:val="es-AR"/>
        </w:rPr>
        <w:t xml:space="preserve"> </w:t>
      </w:r>
      <w:r w:rsidRPr="00624696">
        <w:rPr>
          <w:sz w:val="20"/>
          <w:lang w:val="es-AR"/>
        </w:rPr>
        <w:t>del</w:t>
      </w:r>
      <w:r w:rsidRPr="00624696">
        <w:rPr>
          <w:spacing w:val="-6"/>
          <w:sz w:val="20"/>
          <w:lang w:val="es-AR"/>
        </w:rPr>
        <w:t xml:space="preserve"> </w:t>
      </w:r>
      <w:r w:rsidRPr="00624696">
        <w:rPr>
          <w:sz w:val="20"/>
          <w:lang w:val="es-AR"/>
        </w:rPr>
        <w:t>caso.</w:t>
      </w:r>
      <w:r w:rsidRPr="00624696">
        <w:rPr>
          <w:spacing w:val="-4"/>
          <w:sz w:val="20"/>
          <w:lang w:val="es-AR"/>
        </w:rPr>
        <w:t xml:space="preserve"> </w:t>
      </w:r>
      <w:r w:rsidRPr="00624696">
        <w:rPr>
          <w:sz w:val="20"/>
          <w:lang w:val="es-AR"/>
        </w:rPr>
        <w:t>Señalaron</w:t>
      </w:r>
      <w:r w:rsidRPr="00624696">
        <w:rPr>
          <w:spacing w:val="-5"/>
          <w:sz w:val="20"/>
          <w:lang w:val="es-AR"/>
        </w:rPr>
        <w:t xml:space="preserve"> </w:t>
      </w:r>
      <w:r w:rsidRPr="00624696">
        <w:rPr>
          <w:sz w:val="20"/>
          <w:lang w:val="es-AR"/>
        </w:rPr>
        <w:t>que</w:t>
      </w:r>
      <w:r w:rsidRPr="00624696">
        <w:rPr>
          <w:spacing w:val="-7"/>
          <w:sz w:val="20"/>
          <w:lang w:val="es-AR"/>
        </w:rPr>
        <w:t xml:space="preserve"> </w:t>
      </w:r>
      <w:r w:rsidRPr="00624696">
        <w:rPr>
          <w:sz w:val="20"/>
          <w:lang w:val="es-AR"/>
        </w:rPr>
        <w:t>la</w:t>
      </w:r>
      <w:r w:rsidRPr="00624696">
        <w:rPr>
          <w:spacing w:val="-6"/>
          <w:sz w:val="20"/>
          <w:lang w:val="es-AR"/>
        </w:rPr>
        <w:t xml:space="preserve"> </w:t>
      </w:r>
      <w:r w:rsidRPr="00624696">
        <w:rPr>
          <w:sz w:val="20"/>
          <w:lang w:val="es-AR"/>
        </w:rPr>
        <w:t>etapa</w:t>
      </w:r>
      <w:r w:rsidRPr="00624696">
        <w:rPr>
          <w:spacing w:val="-4"/>
          <w:sz w:val="20"/>
          <w:lang w:val="es-AR"/>
        </w:rPr>
        <w:t xml:space="preserve"> </w:t>
      </w:r>
      <w:r w:rsidRPr="00624696">
        <w:rPr>
          <w:sz w:val="20"/>
          <w:lang w:val="es-AR"/>
        </w:rPr>
        <w:t>de</w:t>
      </w:r>
      <w:r w:rsidRPr="00624696">
        <w:rPr>
          <w:spacing w:val="-7"/>
          <w:sz w:val="20"/>
          <w:lang w:val="es-AR"/>
        </w:rPr>
        <w:t xml:space="preserve"> </w:t>
      </w:r>
      <w:r w:rsidRPr="00624696">
        <w:rPr>
          <w:sz w:val="20"/>
          <w:lang w:val="es-AR"/>
        </w:rPr>
        <w:t>admisibilidad</w:t>
      </w:r>
      <w:r w:rsidRPr="00624696">
        <w:rPr>
          <w:spacing w:val="-6"/>
          <w:sz w:val="20"/>
          <w:lang w:val="es-AR"/>
        </w:rPr>
        <w:t xml:space="preserve"> </w:t>
      </w:r>
      <w:r w:rsidRPr="00624696">
        <w:rPr>
          <w:sz w:val="20"/>
          <w:lang w:val="es-AR"/>
        </w:rPr>
        <w:t>se</w:t>
      </w:r>
      <w:r w:rsidRPr="00624696">
        <w:rPr>
          <w:spacing w:val="-4"/>
          <w:sz w:val="20"/>
          <w:lang w:val="es-AR"/>
        </w:rPr>
        <w:t xml:space="preserve"> </w:t>
      </w:r>
      <w:r w:rsidRPr="00624696">
        <w:rPr>
          <w:sz w:val="20"/>
          <w:lang w:val="es-AR"/>
        </w:rPr>
        <w:t>produjo</w:t>
      </w:r>
      <w:r w:rsidRPr="00624696">
        <w:rPr>
          <w:spacing w:val="-8"/>
          <w:sz w:val="20"/>
          <w:lang w:val="es-AR"/>
        </w:rPr>
        <w:t xml:space="preserve"> </w:t>
      </w:r>
      <w:r w:rsidRPr="00624696">
        <w:rPr>
          <w:sz w:val="20"/>
          <w:lang w:val="es-AR"/>
        </w:rPr>
        <w:t>junto</w:t>
      </w:r>
      <w:r w:rsidRPr="00624696">
        <w:rPr>
          <w:spacing w:val="-6"/>
          <w:sz w:val="20"/>
          <w:lang w:val="es-AR"/>
        </w:rPr>
        <w:t xml:space="preserve"> </w:t>
      </w:r>
      <w:r w:rsidRPr="00624696">
        <w:rPr>
          <w:sz w:val="20"/>
          <w:lang w:val="es-AR"/>
        </w:rPr>
        <w:t>con</w:t>
      </w:r>
      <w:r w:rsidRPr="00624696">
        <w:rPr>
          <w:spacing w:val="-5"/>
          <w:sz w:val="20"/>
          <w:lang w:val="es-AR"/>
        </w:rPr>
        <w:t xml:space="preserve"> </w:t>
      </w:r>
      <w:r w:rsidRPr="00624696">
        <w:rPr>
          <w:sz w:val="20"/>
          <w:lang w:val="es-AR"/>
        </w:rPr>
        <w:t>la</w:t>
      </w:r>
      <w:r w:rsidRPr="00624696">
        <w:rPr>
          <w:spacing w:val="-5"/>
          <w:sz w:val="20"/>
          <w:lang w:val="es-AR"/>
        </w:rPr>
        <w:t xml:space="preserve"> </w:t>
      </w:r>
      <w:r w:rsidRPr="00624696">
        <w:rPr>
          <w:sz w:val="20"/>
          <w:lang w:val="es-AR"/>
        </w:rPr>
        <w:t>etapa de</w:t>
      </w:r>
      <w:r w:rsidRPr="00624696">
        <w:rPr>
          <w:spacing w:val="-11"/>
          <w:sz w:val="20"/>
          <w:lang w:val="es-AR"/>
        </w:rPr>
        <w:t xml:space="preserve"> </w:t>
      </w:r>
      <w:r w:rsidRPr="00624696">
        <w:rPr>
          <w:sz w:val="20"/>
          <w:lang w:val="es-AR"/>
        </w:rPr>
        <w:t>fondo</w:t>
      </w:r>
      <w:r w:rsidRPr="00624696">
        <w:rPr>
          <w:spacing w:val="-8"/>
          <w:sz w:val="20"/>
          <w:lang w:val="es-AR"/>
        </w:rPr>
        <w:t xml:space="preserve"> </w:t>
      </w:r>
      <w:r w:rsidRPr="00624696">
        <w:rPr>
          <w:sz w:val="20"/>
          <w:lang w:val="es-AR"/>
        </w:rPr>
        <w:t>y</w:t>
      </w:r>
      <w:r w:rsidRPr="00624696">
        <w:rPr>
          <w:spacing w:val="-7"/>
          <w:sz w:val="20"/>
          <w:lang w:val="es-AR"/>
        </w:rPr>
        <w:t xml:space="preserve"> </w:t>
      </w:r>
      <w:r w:rsidRPr="00624696">
        <w:rPr>
          <w:sz w:val="20"/>
          <w:lang w:val="es-AR"/>
        </w:rPr>
        <w:t>terminó</w:t>
      </w:r>
      <w:r w:rsidRPr="00624696">
        <w:rPr>
          <w:spacing w:val="-9"/>
          <w:sz w:val="20"/>
          <w:lang w:val="es-AR"/>
        </w:rPr>
        <w:t xml:space="preserve"> </w:t>
      </w:r>
      <w:r w:rsidRPr="00624696">
        <w:rPr>
          <w:sz w:val="20"/>
          <w:lang w:val="es-AR"/>
        </w:rPr>
        <w:t>c</w:t>
      </w:r>
      <w:r w:rsidRPr="00624696">
        <w:rPr>
          <w:sz w:val="20"/>
          <w:lang w:val="es-AR"/>
        </w:rPr>
        <w:t>on</w:t>
      </w:r>
      <w:r w:rsidRPr="00624696">
        <w:rPr>
          <w:spacing w:val="-6"/>
          <w:sz w:val="20"/>
          <w:lang w:val="es-AR"/>
        </w:rPr>
        <w:t xml:space="preserve"> </w:t>
      </w:r>
      <w:r w:rsidRPr="00624696">
        <w:rPr>
          <w:sz w:val="20"/>
          <w:lang w:val="es-AR"/>
        </w:rPr>
        <w:t>la</w:t>
      </w:r>
      <w:r w:rsidRPr="00624696">
        <w:rPr>
          <w:spacing w:val="-9"/>
          <w:sz w:val="20"/>
          <w:lang w:val="es-AR"/>
        </w:rPr>
        <w:t xml:space="preserve"> </w:t>
      </w:r>
      <w:r w:rsidRPr="00624696">
        <w:rPr>
          <w:sz w:val="20"/>
          <w:lang w:val="es-AR"/>
        </w:rPr>
        <w:t>emisión</w:t>
      </w:r>
      <w:r w:rsidRPr="00624696">
        <w:rPr>
          <w:spacing w:val="-9"/>
          <w:sz w:val="20"/>
          <w:lang w:val="es-AR"/>
        </w:rPr>
        <w:t xml:space="preserve"> </w:t>
      </w:r>
      <w:r w:rsidRPr="00624696">
        <w:rPr>
          <w:sz w:val="20"/>
          <w:lang w:val="es-AR"/>
        </w:rPr>
        <w:t>del</w:t>
      </w:r>
      <w:r w:rsidRPr="00624696">
        <w:rPr>
          <w:spacing w:val="-9"/>
          <w:sz w:val="20"/>
          <w:lang w:val="es-AR"/>
        </w:rPr>
        <w:t xml:space="preserve"> </w:t>
      </w:r>
      <w:r w:rsidRPr="00624696">
        <w:rPr>
          <w:sz w:val="20"/>
          <w:lang w:val="es-AR"/>
        </w:rPr>
        <w:t>Informe</w:t>
      </w:r>
      <w:r w:rsidRPr="00624696">
        <w:rPr>
          <w:spacing w:val="-8"/>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Admisibilidad</w:t>
      </w:r>
      <w:r w:rsidRPr="00624696">
        <w:rPr>
          <w:spacing w:val="-7"/>
          <w:sz w:val="20"/>
          <w:lang w:val="es-AR"/>
        </w:rPr>
        <w:t xml:space="preserve"> </w:t>
      </w:r>
      <w:r w:rsidRPr="00624696">
        <w:rPr>
          <w:sz w:val="20"/>
          <w:lang w:val="es-AR"/>
        </w:rPr>
        <w:t>y</w:t>
      </w:r>
      <w:r w:rsidRPr="00624696">
        <w:rPr>
          <w:spacing w:val="-10"/>
          <w:sz w:val="20"/>
          <w:lang w:val="es-AR"/>
        </w:rPr>
        <w:t xml:space="preserve"> </w:t>
      </w:r>
      <w:r w:rsidRPr="00624696">
        <w:rPr>
          <w:sz w:val="20"/>
          <w:lang w:val="es-AR"/>
        </w:rPr>
        <w:t>Fondo</w:t>
      </w:r>
      <w:r w:rsidRPr="00624696">
        <w:rPr>
          <w:spacing w:val="-8"/>
          <w:sz w:val="20"/>
          <w:lang w:val="es-AR"/>
        </w:rPr>
        <w:t xml:space="preserve"> </w:t>
      </w:r>
      <w:r w:rsidRPr="00624696">
        <w:rPr>
          <w:sz w:val="20"/>
          <w:lang w:val="es-AR"/>
        </w:rPr>
        <w:t>casi</w:t>
      </w:r>
      <w:r w:rsidRPr="00624696">
        <w:rPr>
          <w:spacing w:val="-10"/>
          <w:sz w:val="20"/>
          <w:lang w:val="es-AR"/>
        </w:rPr>
        <w:t xml:space="preserve"> </w:t>
      </w:r>
      <w:r w:rsidRPr="00624696">
        <w:rPr>
          <w:sz w:val="20"/>
          <w:lang w:val="es-AR"/>
        </w:rPr>
        <w:t>20</w:t>
      </w:r>
      <w:r w:rsidRPr="00624696">
        <w:rPr>
          <w:spacing w:val="-6"/>
          <w:sz w:val="20"/>
          <w:lang w:val="es-AR"/>
        </w:rPr>
        <w:t xml:space="preserve"> </w:t>
      </w:r>
      <w:r w:rsidRPr="00624696">
        <w:rPr>
          <w:sz w:val="20"/>
          <w:lang w:val="es-AR"/>
        </w:rPr>
        <w:t>años</w:t>
      </w:r>
      <w:r w:rsidRPr="00624696">
        <w:rPr>
          <w:spacing w:val="-10"/>
          <w:sz w:val="20"/>
          <w:lang w:val="es-AR"/>
        </w:rPr>
        <w:t xml:space="preserve"> </w:t>
      </w:r>
      <w:r w:rsidRPr="00624696">
        <w:rPr>
          <w:sz w:val="20"/>
          <w:lang w:val="es-AR"/>
        </w:rPr>
        <w:t>después del hecho que causó las violaciones de derechos humanos, sin que las presuntas víctimas hubieran</w:t>
      </w:r>
      <w:r w:rsidRPr="00624696">
        <w:rPr>
          <w:spacing w:val="-9"/>
          <w:sz w:val="20"/>
          <w:lang w:val="es-AR"/>
        </w:rPr>
        <w:t xml:space="preserve"> </w:t>
      </w:r>
      <w:r w:rsidRPr="00624696">
        <w:rPr>
          <w:sz w:val="20"/>
          <w:lang w:val="es-AR"/>
        </w:rPr>
        <w:t>recibido</w:t>
      </w:r>
      <w:r w:rsidRPr="00624696">
        <w:rPr>
          <w:spacing w:val="-10"/>
          <w:sz w:val="20"/>
          <w:lang w:val="es-AR"/>
        </w:rPr>
        <w:t xml:space="preserve"> </w:t>
      </w:r>
      <w:r w:rsidRPr="00624696">
        <w:rPr>
          <w:sz w:val="20"/>
          <w:lang w:val="es-AR"/>
        </w:rPr>
        <w:t>íntegramente</w:t>
      </w:r>
      <w:r w:rsidRPr="00624696">
        <w:rPr>
          <w:spacing w:val="-10"/>
          <w:sz w:val="20"/>
          <w:lang w:val="es-AR"/>
        </w:rPr>
        <w:t xml:space="preserve"> </w:t>
      </w:r>
      <w:r w:rsidRPr="00624696">
        <w:rPr>
          <w:sz w:val="20"/>
          <w:lang w:val="es-AR"/>
        </w:rPr>
        <w:t>ninguna</w:t>
      </w:r>
      <w:r w:rsidRPr="00624696">
        <w:rPr>
          <w:spacing w:val="-9"/>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las</w:t>
      </w:r>
      <w:r w:rsidRPr="00624696">
        <w:rPr>
          <w:spacing w:val="-10"/>
          <w:sz w:val="20"/>
          <w:lang w:val="es-AR"/>
        </w:rPr>
        <w:t xml:space="preserve"> </w:t>
      </w:r>
      <w:r w:rsidRPr="00624696">
        <w:rPr>
          <w:sz w:val="20"/>
          <w:lang w:val="es-AR"/>
        </w:rPr>
        <w:t>indemnizaciones</w:t>
      </w:r>
      <w:r w:rsidRPr="00624696">
        <w:rPr>
          <w:spacing w:val="-7"/>
          <w:sz w:val="20"/>
          <w:lang w:val="es-AR"/>
        </w:rPr>
        <w:t xml:space="preserve"> </w:t>
      </w:r>
      <w:r w:rsidRPr="00624696">
        <w:rPr>
          <w:sz w:val="20"/>
          <w:lang w:val="es-AR"/>
        </w:rPr>
        <w:t>debidas</w:t>
      </w:r>
      <w:r w:rsidRPr="00624696">
        <w:rPr>
          <w:spacing w:val="-7"/>
          <w:sz w:val="20"/>
          <w:lang w:val="es-AR"/>
        </w:rPr>
        <w:t xml:space="preserve"> </w:t>
      </w:r>
      <w:r w:rsidRPr="00624696">
        <w:rPr>
          <w:sz w:val="20"/>
          <w:lang w:val="es-AR"/>
        </w:rPr>
        <w:t>en</w:t>
      </w:r>
      <w:r w:rsidRPr="00624696">
        <w:rPr>
          <w:spacing w:val="-9"/>
          <w:sz w:val="20"/>
          <w:lang w:val="es-AR"/>
        </w:rPr>
        <w:t xml:space="preserve"> </w:t>
      </w:r>
      <w:r w:rsidRPr="00624696">
        <w:rPr>
          <w:sz w:val="20"/>
          <w:lang w:val="es-AR"/>
        </w:rPr>
        <w:t>el</w:t>
      </w:r>
      <w:r w:rsidRPr="00624696">
        <w:rPr>
          <w:spacing w:val="-9"/>
          <w:sz w:val="20"/>
          <w:lang w:val="es-AR"/>
        </w:rPr>
        <w:t xml:space="preserve"> </w:t>
      </w:r>
      <w:r w:rsidRPr="00624696">
        <w:rPr>
          <w:sz w:val="20"/>
          <w:lang w:val="es-AR"/>
        </w:rPr>
        <w:t>ámbito</w:t>
      </w:r>
      <w:r w:rsidRPr="00624696">
        <w:rPr>
          <w:spacing w:val="-10"/>
          <w:sz w:val="20"/>
          <w:lang w:val="es-AR"/>
        </w:rPr>
        <w:t xml:space="preserve"> </w:t>
      </w:r>
      <w:r w:rsidRPr="00624696">
        <w:rPr>
          <w:sz w:val="20"/>
          <w:lang w:val="es-AR"/>
        </w:rPr>
        <w:t>laboral, civil o penal. Indicaron, además, que el Estado no puede utilizar el</w:t>
      </w:r>
      <w:r w:rsidRPr="00624696">
        <w:rPr>
          <w:sz w:val="20"/>
          <w:lang w:val="es-AR"/>
        </w:rPr>
        <w:t xml:space="preserve"> argumento de que la Comisión</w:t>
      </w:r>
      <w:r w:rsidRPr="00624696">
        <w:rPr>
          <w:spacing w:val="-9"/>
          <w:sz w:val="20"/>
          <w:lang w:val="es-AR"/>
        </w:rPr>
        <w:t xml:space="preserve"> </w:t>
      </w:r>
      <w:r w:rsidRPr="00624696">
        <w:rPr>
          <w:sz w:val="20"/>
          <w:lang w:val="es-AR"/>
        </w:rPr>
        <w:t>ha</w:t>
      </w:r>
      <w:r w:rsidRPr="00624696">
        <w:rPr>
          <w:spacing w:val="-9"/>
          <w:sz w:val="20"/>
          <w:lang w:val="es-AR"/>
        </w:rPr>
        <w:t xml:space="preserve"> </w:t>
      </w:r>
      <w:r w:rsidRPr="00624696">
        <w:rPr>
          <w:sz w:val="20"/>
          <w:lang w:val="es-AR"/>
        </w:rPr>
        <w:t>socavado</w:t>
      </w:r>
      <w:r w:rsidRPr="00624696">
        <w:rPr>
          <w:spacing w:val="-10"/>
          <w:sz w:val="20"/>
          <w:lang w:val="es-AR"/>
        </w:rPr>
        <w:t xml:space="preserve"> </w:t>
      </w:r>
      <w:r w:rsidRPr="00624696">
        <w:rPr>
          <w:sz w:val="20"/>
          <w:lang w:val="es-AR"/>
        </w:rPr>
        <w:t>la</w:t>
      </w:r>
      <w:r w:rsidRPr="00624696">
        <w:rPr>
          <w:spacing w:val="-9"/>
          <w:sz w:val="20"/>
          <w:lang w:val="es-AR"/>
        </w:rPr>
        <w:t xml:space="preserve"> </w:t>
      </w:r>
      <w:r w:rsidRPr="00624696">
        <w:rPr>
          <w:sz w:val="20"/>
          <w:lang w:val="es-AR"/>
        </w:rPr>
        <w:t>complementariedad</w:t>
      </w:r>
      <w:r w:rsidRPr="00624696">
        <w:rPr>
          <w:spacing w:val="-8"/>
          <w:sz w:val="20"/>
          <w:lang w:val="es-AR"/>
        </w:rPr>
        <w:t xml:space="preserve"> </w:t>
      </w:r>
      <w:r w:rsidRPr="00624696">
        <w:rPr>
          <w:sz w:val="20"/>
          <w:lang w:val="es-AR"/>
        </w:rPr>
        <w:t>del</w:t>
      </w:r>
      <w:r w:rsidRPr="00624696">
        <w:rPr>
          <w:spacing w:val="-8"/>
          <w:sz w:val="20"/>
          <w:lang w:val="es-AR"/>
        </w:rPr>
        <w:t xml:space="preserve"> </w:t>
      </w:r>
      <w:r w:rsidRPr="00624696">
        <w:rPr>
          <w:sz w:val="20"/>
          <w:lang w:val="es-AR"/>
        </w:rPr>
        <w:t>sistema</w:t>
      </w:r>
      <w:r w:rsidRPr="00624696">
        <w:rPr>
          <w:spacing w:val="-10"/>
          <w:sz w:val="20"/>
          <w:lang w:val="es-AR"/>
        </w:rPr>
        <w:t xml:space="preserve"> </w:t>
      </w:r>
      <w:r w:rsidRPr="00624696">
        <w:rPr>
          <w:sz w:val="20"/>
          <w:lang w:val="es-AR"/>
        </w:rPr>
        <w:t>interamericano,</w:t>
      </w:r>
      <w:r w:rsidRPr="00624696">
        <w:rPr>
          <w:spacing w:val="-9"/>
          <w:sz w:val="20"/>
          <w:lang w:val="es-AR"/>
        </w:rPr>
        <w:t xml:space="preserve"> </w:t>
      </w:r>
      <w:r w:rsidRPr="00624696">
        <w:rPr>
          <w:sz w:val="20"/>
          <w:lang w:val="es-AR"/>
        </w:rPr>
        <w:t>dado</w:t>
      </w:r>
      <w:r w:rsidRPr="00624696">
        <w:rPr>
          <w:spacing w:val="-10"/>
          <w:sz w:val="20"/>
          <w:lang w:val="es-AR"/>
        </w:rPr>
        <w:t xml:space="preserve"> </w:t>
      </w:r>
      <w:r w:rsidRPr="00624696">
        <w:rPr>
          <w:sz w:val="20"/>
          <w:lang w:val="es-AR"/>
        </w:rPr>
        <w:t>que</w:t>
      </w:r>
      <w:r w:rsidRPr="00624696">
        <w:rPr>
          <w:spacing w:val="-10"/>
          <w:sz w:val="20"/>
          <w:lang w:val="es-AR"/>
        </w:rPr>
        <w:t xml:space="preserve"> </w:t>
      </w:r>
      <w:r w:rsidRPr="00624696">
        <w:rPr>
          <w:sz w:val="20"/>
          <w:lang w:val="es-AR"/>
        </w:rPr>
        <w:t>ha</w:t>
      </w:r>
      <w:r w:rsidRPr="00624696">
        <w:rPr>
          <w:spacing w:val="-9"/>
          <w:sz w:val="20"/>
          <w:lang w:val="es-AR"/>
        </w:rPr>
        <w:t xml:space="preserve"> </w:t>
      </w:r>
      <w:r w:rsidRPr="00624696">
        <w:rPr>
          <w:sz w:val="20"/>
          <w:lang w:val="es-AR"/>
        </w:rPr>
        <w:t>tenido varias oportunidades, incluso durante el curso del proceso ante dicho órgano, para resolver la</w:t>
      </w:r>
      <w:r w:rsidRPr="00624696">
        <w:rPr>
          <w:spacing w:val="-2"/>
          <w:sz w:val="20"/>
          <w:lang w:val="es-AR"/>
        </w:rPr>
        <w:t xml:space="preserve"> </w:t>
      </w:r>
      <w:r w:rsidRPr="00624696">
        <w:rPr>
          <w:sz w:val="20"/>
          <w:lang w:val="es-AR"/>
        </w:rPr>
        <w:t>cuestión.</w:t>
      </w:r>
    </w:p>
    <w:p w14:paraId="402DED04" w14:textId="77777777" w:rsidR="00467FCA" w:rsidRPr="00624696" w:rsidRDefault="001B68EB">
      <w:pPr>
        <w:pStyle w:val="Textoindependiente"/>
        <w:spacing w:before="7"/>
        <w:rPr>
          <w:sz w:val="25"/>
          <w:lang w:val="es-AR"/>
        </w:rPr>
      </w:pPr>
      <w:r>
        <w:pict w14:anchorId="53892D15">
          <v:shape id="_x0000_s1189" style="position:absolute;margin-left:1in;margin-top:17.8pt;width:2in;height:.1pt;z-index:-251651072;mso-wrap-distance-left:0;mso-wrap-distance-right:0;mso-position-horizontal-relative:page" coordorigin="1440,356" coordsize="2880,0" path="m1440,356r2880,e" filled="f" strokeweight=".6pt">
            <v:path arrowok="t"/>
            <w10:wrap type="topAndBottom" anchorx="page"/>
          </v:shape>
        </w:pict>
      </w:r>
    </w:p>
    <w:p w14:paraId="3CEA97C2" w14:textId="77777777" w:rsidR="00467FCA" w:rsidRPr="00624696" w:rsidRDefault="001B68EB">
      <w:pPr>
        <w:tabs>
          <w:tab w:val="left" w:pos="839"/>
        </w:tabs>
        <w:spacing w:before="74"/>
        <w:ind w:left="118" w:right="113" w:firstLine="1"/>
        <w:jc w:val="both"/>
        <w:rPr>
          <w:sz w:val="16"/>
          <w:lang w:val="es-AR"/>
        </w:rPr>
      </w:pPr>
      <w:bookmarkStart w:id="52" w:name="_bookmark39"/>
      <w:bookmarkEnd w:id="52"/>
      <w:r w:rsidRPr="00624696">
        <w:rPr>
          <w:position w:val="6"/>
          <w:sz w:val="10"/>
          <w:lang w:val="es-AR"/>
        </w:rPr>
        <w:t>28</w:t>
      </w:r>
      <w:r w:rsidRPr="00624696">
        <w:rPr>
          <w:position w:val="6"/>
          <w:sz w:val="10"/>
          <w:lang w:val="es-AR"/>
        </w:rPr>
        <w:tab/>
      </w:r>
      <w:r w:rsidRPr="00624696">
        <w:rPr>
          <w:sz w:val="16"/>
          <w:lang w:val="es-AR"/>
        </w:rPr>
        <w:t xml:space="preserve">Informe de Admisibilidad y Fondo de </w:t>
      </w:r>
      <w:r w:rsidRPr="00624696">
        <w:rPr>
          <w:sz w:val="16"/>
          <w:lang w:val="es-AR"/>
        </w:rPr>
        <w:t>la Comisión Interamericana, No. 25/18, Caso No. 12428, Empleados de</w:t>
      </w:r>
      <w:r w:rsidRPr="00624696">
        <w:rPr>
          <w:spacing w:val="-7"/>
          <w:sz w:val="16"/>
          <w:lang w:val="es-AR"/>
        </w:rPr>
        <w:t xml:space="preserve"> </w:t>
      </w:r>
      <w:r w:rsidRPr="00624696">
        <w:rPr>
          <w:sz w:val="16"/>
          <w:lang w:val="es-AR"/>
        </w:rPr>
        <w:t>la</w:t>
      </w:r>
      <w:r w:rsidRPr="00624696">
        <w:rPr>
          <w:spacing w:val="-8"/>
          <w:sz w:val="16"/>
          <w:lang w:val="es-AR"/>
        </w:rPr>
        <w:t xml:space="preserve"> </w:t>
      </w:r>
      <w:r w:rsidRPr="00624696">
        <w:rPr>
          <w:sz w:val="16"/>
          <w:lang w:val="es-AR"/>
        </w:rPr>
        <w:t>Fábrica</w:t>
      </w:r>
      <w:r w:rsidRPr="00624696">
        <w:rPr>
          <w:spacing w:val="-8"/>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Fuegos</w:t>
      </w:r>
      <w:r w:rsidRPr="00624696">
        <w:rPr>
          <w:spacing w:val="-10"/>
          <w:sz w:val="16"/>
          <w:lang w:val="es-AR"/>
        </w:rPr>
        <w:t xml:space="preserve"> </w:t>
      </w:r>
      <w:r w:rsidRPr="00624696">
        <w:rPr>
          <w:sz w:val="16"/>
          <w:lang w:val="es-AR"/>
        </w:rPr>
        <w:t>en</w:t>
      </w:r>
      <w:r w:rsidRPr="00624696">
        <w:rPr>
          <w:spacing w:val="-8"/>
          <w:sz w:val="16"/>
          <w:lang w:val="es-AR"/>
        </w:rPr>
        <w:t xml:space="preserve"> </w:t>
      </w:r>
      <w:r w:rsidRPr="00624696">
        <w:rPr>
          <w:sz w:val="16"/>
          <w:lang w:val="es-AR"/>
        </w:rPr>
        <w:t>Santo</w:t>
      </w:r>
      <w:r w:rsidRPr="00624696">
        <w:rPr>
          <w:spacing w:val="-4"/>
          <w:sz w:val="16"/>
          <w:lang w:val="es-AR"/>
        </w:rPr>
        <w:t xml:space="preserve"> </w:t>
      </w:r>
      <w:r w:rsidRPr="00624696">
        <w:rPr>
          <w:sz w:val="16"/>
          <w:lang w:val="es-AR"/>
        </w:rPr>
        <w:t>Antônio</w:t>
      </w:r>
      <w:r w:rsidRPr="00624696">
        <w:rPr>
          <w:spacing w:val="-7"/>
          <w:sz w:val="16"/>
          <w:lang w:val="es-AR"/>
        </w:rPr>
        <w:t xml:space="preserve"> </w:t>
      </w:r>
      <w:r w:rsidRPr="00624696">
        <w:rPr>
          <w:sz w:val="16"/>
          <w:lang w:val="es-AR"/>
        </w:rPr>
        <w:t>de</w:t>
      </w:r>
      <w:r w:rsidRPr="00624696">
        <w:rPr>
          <w:spacing w:val="-7"/>
          <w:sz w:val="16"/>
          <w:lang w:val="es-AR"/>
        </w:rPr>
        <w:t xml:space="preserve"> </w:t>
      </w:r>
      <w:r w:rsidRPr="00624696">
        <w:rPr>
          <w:sz w:val="16"/>
          <w:lang w:val="es-AR"/>
        </w:rPr>
        <w:t>Jesus</w:t>
      </w:r>
      <w:r w:rsidRPr="00624696">
        <w:rPr>
          <w:spacing w:val="-10"/>
          <w:sz w:val="16"/>
          <w:lang w:val="es-AR"/>
        </w:rPr>
        <w:t xml:space="preserve"> </w:t>
      </w:r>
      <w:r w:rsidRPr="00624696">
        <w:rPr>
          <w:sz w:val="16"/>
          <w:lang w:val="es-AR"/>
        </w:rPr>
        <w:t>y</w:t>
      </w:r>
      <w:r w:rsidRPr="00624696">
        <w:rPr>
          <w:spacing w:val="-7"/>
          <w:sz w:val="16"/>
          <w:lang w:val="es-AR"/>
        </w:rPr>
        <w:t xml:space="preserve"> </w:t>
      </w:r>
      <w:r w:rsidRPr="00624696">
        <w:rPr>
          <w:sz w:val="16"/>
          <w:lang w:val="es-AR"/>
        </w:rPr>
        <w:t>sus</w:t>
      </w:r>
      <w:r w:rsidRPr="00624696">
        <w:rPr>
          <w:spacing w:val="-6"/>
          <w:sz w:val="16"/>
          <w:lang w:val="es-AR"/>
        </w:rPr>
        <w:t xml:space="preserve"> </w:t>
      </w:r>
      <w:r w:rsidRPr="00624696">
        <w:rPr>
          <w:sz w:val="16"/>
          <w:lang w:val="es-AR"/>
        </w:rPr>
        <w:t>familiares</w:t>
      </w:r>
      <w:r w:rsidRPr="00624696">
        <w:rPr>
          <w:spacing w:val="-5"/>
          <w:sz w:val="16"/>
          <w:lang w:val="es-AR"/>
        </w:rPr>
        <w:t xml:space="preserve"> </w:t>
      </w:r>
      <w:r w:rsidRPr="00624696">
        <w:rPr>
          <w:sz w:val="16"/>
          <w:lang w:val="es-AR"/>
        </w:rPr>
        <w:t>-</w:t>
      </w:r>
      <w:r w:rsidRPr="00624696">
        <w:rPr>
          <w:spacing w:val="-8"/>
          <w:sz w:val="16"/>
          <w:lang w:val="es-AR"/>
        </w:rPr>
        <w:t xml:space="preserve"> </w:t>
      </w:r>
      <w:r w:rsidRPr="00624696">
        <w:rPr>
          <w:sz w:val="16"/>
          <w:lang w:val="es-AR"/>
        </w:rPr>
        <w:t>Brasil,</w:t>
      </w:r>
      <w:r w:rsidRPr="00624696">
        <w:rPr>
          <w:spacing w:val="-8"/>
          <w:sz w:val="16"/>
          <w:lang w:val="es-AR"/>
        </w:rPr>
        <w:t xml:space="preserve"> </w:t>
      </w:r>
      <w:r w:rsidRPr="00624696">
        <w:rPr>
          <w:sz w:val="16"/>
          <w:lang w:val="es-AR"/>
        </w:rPr>
        <w:t>2</w:t>
      </w:r>
      <w:r w:rsidRPr="00624696">
        <w:rPr>
          <w:spacing w:val="-6"/>
          <w:sz w:val="16"/>
          <w:lang w:val="es-AR"/>
        </w:rPr>
        <w:t xml:space="preserve"> </w:t>
      </w:r>
      <w:r w:rsidRPr="00624696">
        <w:rPr>
          <w:sz w:val="16"/>
          <w:lang w:val="es-AR"/>
        </w:rPr>
        <w:t>de</w:t>
      </w:r>
      <w:r w:rsidRPr="00624696">
        <w:rPr>
          <w:spacing w:val="-7"/>
          <w:sz w:val="16"/>
          <w:lang w:val="es-AR"/>
        </w:rPr>
        <w:t xml:space="preserve"> </w:t>
      </w:r>
      <w:r w:rsidRPr="00624696">
        <w:rPr>
          <w:sz w:val="16"/>
          <w:lang w:val="es-AR"/>
        </w:rPr>
        <w:t>marzo</w:t>
      </w:r>
      <w:r w:rsidRPr="00624696">
        <w:rPr>
          <w:spacing w:val="-9"/>
          <w:sz w:val="16"/>
          <w:lang w:val="es-AR"/>
        </w:rPr>
        <w:t xml:space="preserve"> </w:t>
      </w:r>
      <w:r w:rsidRPr="00624696">
        <w:rPr>
          <w:sz w:val="16"/>
          <w:lang w:val="es-AR"/>
        </w:rPr>
        <w:t>de</w:t>
      </w:r>
      <w:r w:rsidRPr="00624696">
        <w:rPr>
          <w:spacing w:val="-7"/>
          <w:sz w:val="16"/>
          <w:lang w:val="es-AR"/>
        </w:rPr>
        <w:t xml:space="preserve"> </w:t>
      </w:r>
      <w:r w:rsidRPr="00624696">
        <w:rPr>
          <w:sz w:val="16"/>
          <w:lang w:val="es-AR"/>
        </w:rPr>
        <w:t>2018,</w:t>
      </w:r>
      <w:r w:rsidRPr="00624696">
        <w:rPr>
          <w:spacing w:val="-8"/>
          <w:sz w:val="16"/>
          <w:lang w:val="es-AR"/>
        </w:rPr>
        <w:t xml:space="preserve"> </w:t>
      </w:r>
      <w:r w:rsidRPr="00624696">
        <w:rPr>
          <w:sz w:val="16"/>
          <w:lang w:val="es-AR"/>
        </w:rPr>
        <w:t>OEA/Ser.L/V/II.167 Doc. 29 (expediente de fondo, folio</w:t>
      </w:r>
      <w:r w:rsidRPr="00624696">
        <w:rPr>
          <w:spacing w:val="-11"/>
          <w:sz w:val="16"/>
          <w:lang w:val="es-AR"/>
        </w:rPr>
        <w:t xml:space="preserve"> </w:t>
      </w:r>
      <w:r w:rsidRPr="00624696">
        <w:rPr>
          <w:sz w:val="16"/>
          <w:lang w:val="es-AR"/>
        </w:rPr>
        <w:t>13).</w:t>
      </w:r>
    </w:p>
    <w:p w14:paraId="0ECCB722"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5E9A5C08" w14:textId="77777777" w:rsidR="00467FCA" w:rsidRDefault="001B68EB">
      <w:pPr>
        <w:pStyle w:val="Ttulo2"/>
        <w:numPr>
          <w:ilvl w:val="1"/>
          <w:numId w:val="49"/>
        </w:numPr>
        <w:tabs>
          <w:tab w:val="left" w:pos="1340"/>
        </w:tabs>
        <w:spacing w:before="183"/>
        <w:ind w:left="1339" w:hanging="501"/>
      </w:pPr>
      <w:bookmarkStart w:id="53" w:name="C.2._Consideraciones_de_la_Corte"/>
      <w:bookmarkStart w:id="54" w:name="_bookmark40"/>
      <w:bookmarkEnd w:id="53"/>
      <w:bookmarkEnd w:id="54"/>
      <w:r>
        <w:t>Consideraciones de la Corte</w:t>
      </w:r>
    </w:p>
    <w:p w14:paraId="62C98016" w14:textId="77777777" w:rsidR="00467FCA" w:rsidRDefault="00467FCA">
      <w:pPr>
        <w:pStyle w:val="Textoindependiente"/>
        <w:spacing w:before="1"/>
        <w:rPr>
          <w:b/>
          <w:i/>
        </w:rPr>
      </w:pPr>
    </w:p>
    <w:p w14:paraId="6743BC62" w14:textId="77777777" w:rsidR="00467FCA" w:rsidRPr="00624696" w:rsidRDefault="001B68EB">
      <w:pPr>
        <w:pStyle w:val="Prrafodelista"/>
        <w:numPr>
          <w:ilvl w:val="0"/>
          <w:numId w:val="50"/>
        </w:numPr>
        <w:tabs>
          <w:tab w:val="left" w:pos="687"/>
        </w:tabs>
        <w:ind w:left="119" w:right="113" w:firstLine="0"/>
        <w:jc w:val="both"/>
        <w:rPr>
          <w:sz w:val="20"/>
          <w:lang w:val="es-AR"/>
        </w:rPr>
      </w:pPr>
      <w:r w:rsidRPr="00624696">
        <w:rPr>
          <w:sz w:val="20"/>
          <w:lang w:val="es-AR"/>
        </w:rPr>
        <w:t>El artículo 46.1.a) de la Convención dispone que, para determinar la admisibilidad de una petición o comunicación presentada ante la Comisión, de conform</w:t>
      </w:r>
      <w:r w:rsidRPr="00624696">
        <w:rPr>
          <w:sz w:val="20"/>
          <w:lang w:val="es-AR"/>
        </w:rPr>
        <w:t>idad con los artículos 44 ó 45 de la Convención, es necesario que se hayan interpuesto y agotado los recursos de la jurisdicción interna, conforme a los principios del Derecho Internacional generalmente reconocidos</w:t>
      </w:r>
      <w:hyperlink w:anchor="_bookmark41" w:history="1">
        <w:r w:rsidRPr="00624696">
          <w:rPr>
            <w:position w:val="7"/>
            <w:sz w:val="13"/>
            <w:lang w:val="es-AR"/>
          </w:rPr>
          <w:t>29</w:t>
        </w:r>
      </w:hyperlink>
      <w:r w:rsidRPr="00624696">
        <w:rPr>
          <w:sz w:val="20"/>
          <w:lang w:val="es-AR"/>
        </w:rPr>
        <w:t>.</w:t>
      </w:r>
    </w:p>
    <w:p w14:paraId="2C9EE720" w14:textId="77777777" w:rsidR="00467FCA" w:rsidRPr="00624696" w:rsidRDefault="00467FCA">
      <w:pPr>
        <w:pStyle w:val="Textoindependiente"/>
        <w:spacing w:before="10"/>
        <w:rPr>
          <w:sz w:val="19"/>
          <w:lang w:val="es-AR"/>
        </w:rPr>
      </w:pPr>
    </w:p>
    <w:p w14:paraId="67158333" w14:textId="77777777" w:rsidR="00467FCA" w:rsidRPr="00624696" w:rsidRDefault="001B68EB">
      <w:pPr>
        <w:pStyle w:val="Prrafodelista"/>
        <w:numPr>
          <w:ilvl w:val="0"/>
          <w:numId w:val="50"/>
        </w:numPr>
        <w:tabs>
          <w:tab w:val="left" w:pos="687"/>
        </w:tabs>
        <w:ind w:left="119" w:right="118" w:firstLine="0"/>
        <w:jc w:val="both"/>
        <w:rPr>
          <w:sz w:val="20"/>
          <w:lang w:val="es-AR"/>
        </w:rPr>
      </w:pPr>
      <w:r w:rsidRPr="00624696">
        <w:rPr>
          <w:sz w:val="20"/>
          <w:lang w:val="es-AR"/>
        </w:rPr>
        <w:t>Además</w:t>
      </w:r>
      <w:r w:rsidRPr="00624696">
        <w:rPr>
          <w:sz w:val="20"/>
          <w:lang w:val="es-AR"/>
        </w:rPr>
        <w:t>,</w:t>
      </w:r>
      <w:r w:rsidRPr="00624696">
        <w:rPr>
          <w:spacing w:val="-19"/>
          <w:sz w:val="20"/>
          <w:lang w:val="es-AR"/>
        </w:rPr>
        <w:t xml:space="preserve"> </w:t>
      </w:r>
      <w:r w:rsidRPr="00624696">
        <w:rPr>
          <w:sz w:val="20"/>
          <w:lang w:val="es-AR"/>
        </w:rPr>
        <w:t>esta</w:t>
      </w:r>
      <w:r w:rsidRPr="00624696">
        <w:rPr>
          <w:spacing w:val="-21"/>
          <w:sz w:val="20"/>
          <w:lang w:val="es-AR"/>
        </w:rPr>
        <w:t xml:space="preserve"> </w:t>
      </w:r>
      <w:r w:rsidRPr="00624696">
        <w:rPr>
          <w:sz w:val="20"/>
          <w:lang w:val="es-AR"/>
        </w:rPr>
        <w:t>Corte</w:t>
      </w:r>
      <w:r w:rsidRPr="00624696">
        <w:rPr>
          <w:spacing w:val="-20"/>
          <w:sz w:val="20"/>
          <w:lang w:val="es-AR"/>
        </w:rPr>
        <w:t xml:space="preserve"> </w:t>
      </w:r>
      <w:r w:rsidRPr="00624696">
        <w:rPr>
          <w:sz w:val="20"/>
          <w:lang w:val="es-AR"/>
        </w:rPr>
        <w:t>ha</w:t>
      </w:r>
      <w:r w:rsidRPr="00624696">
        <w:rPr>
          <w:spacing w:val="-21"/>
          <w:sz w:val="20"/>
          <w:lang w:val="es-AR"/>
        </w:rPr>
        <w:t xml:space="preserve"> </w:t>
      </w:r>
      <w:r w:rsidRPr="00624696">
        <w:rPr>
          <w:sz w:val="20"/>
          <w:lang w:val="es-AR"/>
        </w:rPr>
        <w:t>desarrollado</w:t>
      </w:r>
      <w:r w:rsidRPr="00624696">
        <w:rPr>
          <w:spacing w:val="-21"/>
          <w:sz w:val="20"/>
          <w:lang w:val="es-AR"/>
        </w:rPr>
        <w:t xml:space="preserve"> </w:t>
      </w:r>
      <w:r w:rsidRPr="00624696">
        <w:rPr>
          <w:sz w:val="20"/>
          <w:lang w:val="es-AR"/>
        </w:rPr>
        <w:t>pautas</w:t>
      </w:r>
      <w:r w:rsidRPr="00624696">
        <w:rPr>
          <w:spacing w:val="-19"/>
          <w:sz w:val="20"/>
          <w:lang w:val="es-AR"/>
        </w:rPr>
        <w:t xml:space="preserve"> </w:t>
      </w:r>
      <w:r w:rsidRPr="00624696">
        <w:rPr>
          <w:sz w:val="20"/>
          <w:lang w:val="es-AR"/>
        </w:rPr>
        <w:t>claras</w:t>
      </w:r>
      <w:r w:rsidRPr="00624696">
        <w:rPr>
          <w:spacing w:val="-22"/>
          <w:sz w:val="20"/>
          <w:lang w:val="es-AR"/>
        </w:rPr>
        <w:t xml:space="preserve"> </w:t>
      </w:r>
      <w:r w:rsidRPr="00624696">
        <w:rPr>
          <w:sz w:val="20"/>
          <w:lang w:val="es-AR"/>
        </w:rPr>
        <w:t>para</w:t>
      </w:r>
      <w:r w:rsidRPr="00624696">
        <w:rPr>
          <w:spacing w:val="-21"/>
          <w:sz w:val="20"/>
          <w:lang w:val="es-AR"/>
        </w:rPr>
        <w:t xml:space="preserve"> </w:t>
      </w:r>
      <w:r w:rsidRPr="00624696">
        <w:rPr>
          <w:sz w:val="20"/>
          <w:lang w:val="es-AR"/>
        </w:rPr>
        <w:t>analizar</w:t>
      </w:r>
      <w:r w:rsidRPr="00624696">
        <w:rPr>
          <w:spacing w:val="-21"/>
          <w:sz w:val="20"/>
          <w:lang w:val="es-AR"/>
        </w:rPr>
        <w:t xml:space="preserve"> </w:t>
      </w:r>
      <w:r w:rsidRPr="00624696">
        <w:rPr>
          <w:sz w:val="20"/>
          <w:lang w:val="es-AR"/>
        </w:rPr>
        <w:t>una</w:t>
      </w:r>
      <w:r w:rsidRPr="00624696">
        <w:rPr>
          <w:spacing w:val="-18"/>
          <w:sz w:val="20"/>
          <w:lang w:val="es-AR"/>
        </w:rPr>
        <w:t xml:space="preserve"> </w:t>
      </w:r>
      <w:r w:rsidRPr="00624696">
        <w:rPr>
          <w:sz w:val="20"/>
          <w:lang w:val="es-AR"/>
        </w:rPr>
        <w:t>excepción</w:t>
      </w:r>
      <w:r w:rsidRPr="00624696">
        <w:rPr>
          <w:spacing w:val="-20"/>
          <w:sz w:val="20"/>
          <w:lang w:val="es-AR"/>
        </w:rPr>
        <w:t xml:space="preserve"> </w:t>
      </w:r>
      <w:r w:rsidRPr="00624696">
        <w:rPr>
          <w:sz w:val="20"/>
          <w:lang w:val="es-AR"/>
        </w:rPr>
        <w:t>preliminar basada</w:t>
      </w:r>
      <w:r w:rsidRPr="00624696">
        <w:rPr>
          <w:spacing w:val="-9"/>
          <w:sz w:val="20"/>
          <w:lang w:val="es-AR"/>
        </w:rPr>
        <w:t xml:space="preserve"> </w:t>
      </w:r>
      <w:r w:rsidRPr="00624696">
        <w:rPr>
          <w:sz w:val="20"/>
          <w:lang w:val="es-AR"/>
        </w:rPr>
        <w:t>en</w:t>
      </w:r>
      <w:r w:rsidRPr="00624696">
        <w:rPr>
          <w:spacing w:val="-4"/>
          <w:sz w:val="20"/>
          <w:lang w:val="es-AR"/>
        </w:rPr>
        <w:t xml:space="preserve"> </w:t>
      </w:r>
      <w:r w:rsidRPr="00624696">
        <w:rPr>
          <w:sz w:val="20"/>
          <w:lang w:val="es-AR"/>
        </w:rPr>
        <w:t>un</w:t>
      </w:r>
      <w:r w:rsidRPr="00624696">
        <w:rPr>
          <w:spacing w:val="-8"/>
          <w:sz w:val="20"/>
          <w:lang w:val="es-AR"/>
        </w:rPr>
        <w:t xml:space="preserve"> </w:t>
      </w:r>
      <w:r w:rsidRPr="00624696">
        <w:rPr>
          <w:sz w:val="20"/>
          <w:lang w:val="es-AR"/>
        </w:rPr>
        <w:t>presunto</w:t>
      </w:r>
      <w:r w:rsidRPr="00624696">
        <w:rPr>
          <w:spacing w:val="-9"/>
          <w:sz w:val="20"/>
          <w:lang w:val="es-AR"/>
        </w:rPr>
        <w:t xml:space="preserve"> </w:t>
      </w:r>
      <w:r w:rsidRPr="00624696">
        <w:rPr>
          <w:sz w:val="20"/>
          <w:lang w:val="es-AR"/>
        </w:rPr>
        <w:t>incumplimiento</w:t>
      </w:r>
      <w:r w:rsidRPr="00624696">
        <w:rPr>
          <w:spacing w:val="-9"/>
          <w:sz w:val="20"/>
          <w:lang w:val="es-AR"/>
        </w:rPr>
        <w:t xml:space="preserve"> </w:t>
      </w:r>
      <w:r w:rsidRPr="00624696">
        <w:rPr>
          <w:sz w:val="20"/>
          <w:lang w:val="es-AR"/>
        </w:rPr>
        <w:t>del</w:t>
      </w:r>
      <w:r w:rsidRPr="00624696">
        <w:rPr>
          <w:spacing w:val="-6"/>
          <w:sz w:val="20"/>
          <w:lang w:val="es-AR"/>
        </w:rPr>
        <w:t xml:space="preserve"> </w:t>
      </w:r>
      <w:r w:rsidRPr="00624696">
        <w:rPr>
          <w:sz w:val="20"/>
          <w:lang w:val="es-AR"/>
        </w:rPr>
        <w:t>requisito</w:t>
      </w:r>
      <w:r w:rsidRPr="00624696">
        <w:rPr>
          <w:spacing w:val="-9"/>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agotamiento</w:t>
      </w:r>
      <w:r w:rsidRPr="00624696">
        <w:rPr>
          <w:spacing w:val="-6"/>
          <w:sz w:val="20"/>
          <w:lang w:val="es-AR"/>
        </w:rPr>
        <w:t xml:space="preserve"> </w:t>
      </w:r>
      <w:r w:rsidRPr="00624696">
        <w:rPr>
          <w:sz w:val="20"/>
          <w:lang w:val="es-AR"/>
        </w:rPr>
        <w:t>de</w:t>
      </w:r>
      <w:r w:rsidRPr="00624696">
        <w:rPr>
          <w:spacing w:val="-9"/>
          <w:sz w:val="20"/>
          <w:lang w:val="es-AR"/>
        </w:rPr>
        <w:t xml:space="preserve"> </w:t>
      </w:r>
      <w:r w:rsidRPr="00624696">
        <w:rPr>
          <w:sz w:val="20"/>
          <w:lang w:val="es-AR"/>
        </w:rPr>
        <w:t>los</w:t>
      </w:r>
      <w:r w:rsidRPr="00624696">
        <w:rPr>
          <w:spacing w:val="-7"/>
          <w:sz w:val="20"/>
          <w:lang w:val="es-AR"/>
        </w:rPr>
        <w:t xml:space="preserve"> </w:t>
      </w:r>
      <w:r w:rsidRPr="00624696">
        <w:rPr>
          <w:sz w:val="20"/>
          <w:lang w:val="es-AR"/>
        </w:rPr>
        <w:t>recursos</w:t>
      </w:r>
      <w:r w:rsidRPr="00624696">
        <w:rPr>
          <w:spacing w:val="-9"/>
          <w:sz w:val="20"/>
          <w:lang w:val="es-AR"/>
        </w:rPr>
        <w:t xml:space="preserve"> </w:t>
      </w:r>
      <w:r w:rsidRPr="00624696">
        <w:rPr>
          <w:sz w:val="20"/>
          <w:lang w:val="es-AR"/>
        </w:rPr>
        <w:t>internos. Primero, la Corte ha interpretado la excepción como una defensa disponible para el Estado, “pues busca dispensarlo de responder ante un órgano internacional por actos que se le imputen, antes de haber tenido la ocasión de remediarlos con sus prop</w:t>
      </w:r>
      <w:r w:rsidRPr="00624696">
        <w:rPr>
          <w:sz w:val="20"/>
          <w:lang w:val="es-AR"/>
        </w:rPr>
        <w:t>ios medios”</w:t>
      </w:r>
      <w:hyperlink w:anchor="_bookmark42" w:history="1">
        <w:r w:rsidRPr="00624696">
          <w:rPr>
            <w:position w:val="7"/>
            <w:sz w:val="13"/>
            <w:lang w:val="es-AR"/>
          </w:rPr>
          <w:t>30</w:t>
        </w:r>
      </w:hyperlink>
      <w:r w:rsidRPr="00624696">
        <w:rPr>
          <w:position w:val="7"/>
          <w:sz w:val="13"/>
          <w:lang w:val="es-AR"/>
        </w:rPr>
        <w:t xml:space="preserve"> </w:t>
      </w:r>
      <w:r w:rsidRPr="00624696">
        <w:rPr>
          <w:sz w:val="20"/>
          <w:lang w:val="es-AR"/>
        </w:rPr>
        <w:t>y, como medio de defensa, es renunciable expresa o tácitamente</w:t>
      </w:r>
      <w:hyperlink w:anchor="_bookmark43" w:history="1">
        <w:r w:rsidRPr="00624696">
          <w:rPr>
            <w:position w:val="7"/>
            <w:sz w:val="13"/>
            <w:lang w:val="es-AR"/>
          </w:rPr>
          <w:t>31</w:t>
        </w:r>
      </w:hyperlink>
      <w:r w:rsidRPr="00624696">
        <w:rPr>
          <w:sz w:val="20"/>
          <w:lang w:val="es-AR"/>
        </w:rPr>
        <w:t xml:space="preserve">. Segundo, esta excepción debe presentarse oportunamente con el propósito de que el Estado pueda ejercer su derecho </w:t>
      </w:r>
      <w:r w:rsidRPr="00624696">
        <w:rPr>
          <w:sz w:val="20"/>
          <w:lang w:val="es-AR"/>
        </w:rPr>
        <w:t>a la defensa. Tercero, la Corte ha afirmado que el Estado que presenta esta excepción debe especificar los recursos internos que aún no se han agotado y demostrar que estos recursos son aplicables y efectivos</w:t>
      </w:r>
      <w:hyperlink w:anchor="_bookmark44" w:history="1">
        <w:r w:rsidRPr="00624696">
          <w:rPr>
            <w:position w:val="7"/>
            <w:sz w:val="13"/>
            <w:lang w:val="es-AR"/>
          </w:rPr>
          <w:t>32</w:t>
        </w:r>
      </w:hyperlink>
      <w:r w:rsidRPr="00624696">
        <w:rPr>
          <w:sz w:val="20"/>
          <w:lang w:val="es-AR"/>
        </w:rPr>
        <w:t xml:space="preserve">. En cuanto al </w:t>
      </w:r>
      <w:r w:rsidRPr="00624696">
        <w:rPr>
          <w:sz w:val="20"/>
          <w:lang w:val="es-AR"/>
        </w:rPr>
        <w:t>momento procesal oportuno para presentar la objeción relativa a la falta de agotamiento de recursos internos, la Corte ha sostenido que este debe ser el procedimiento de admisibilidad ante la</w:t>
      </w:r>
      <w:r w:rsidRPr="00624696">
        <w:rPr>
          <w:spacing w:val="-10"/>
          <w:sz w:val="20"/>
          <w:lang w:val="es-AR"/>
        </w:rPr>
        <w:t xml:space="preserve"> </w:t>
      </w:r>
      <w:r w:rsidRPr="00624696">
        <w:rPr>
          <w:sz w:val="20"/>
          <w:lang w:val="es-AR"/>
        </w:rPr>
        <w:t>Comisión</w:t>
      </w:r>
      <w:hyperlink w:anchor="_bookmark45" w:history="1">
        <w:r w:rsidRPr="00624696">
          <w:rPr>
            <w:position w:val="7"/>
            <w:sz w:val="13"/>
            <w:lang w:val="es-AR"/>
          </w:rPr>
          <w:t>33</w:t>
        </w:r>
      </w:hyperlink>
      <w:r w:rsidRPr="00624696">
        <w:rPr>
          <w:sz w:val="20"/>
          <w:lang w:val="es-AR"/>
        </w:rPr>
        <w:t>.</w:t>
      </w:r>
    </w:p>
    <w:p w14:paraId="3F572DCB" w14:textId="77777777" w:rsidR="00467FCA" w:rsidRPr="00624696" w:rsidRDefault="00467FCA">
      <w:pPr>
        <w:pStyle w:val="Textoindependiente"/>
        <w:spacing w:before="1"/>
        <w:rPr>
          <w:lang w:val="es-AR"/>
        </w:rPr>
      </w:pPr>
    </w:p>
    <w:p w14:paraId="0E849EAA" w14:textId="77777777" w:rsidR="00467FCA" w:rsidRPr="00624696" w:rsidRDefault="001B68EB">
      <w:pPr>
        <w:pStyle w:val="Prrafodelista"/>
        <w:numPr>
          <w:ilvl w:val="0"/>
          <w:numId w:val="50"/>
        </w:numPr>
        <w:tabs>
          <w:tab w:val="left" w:pos="687"/>
        </w:tabs>
        <w:ind w:left="119" w:right="118" w:firstLine="0"/>
        <w:jc w:val="both"/>
        <w:rPr>
          <w:sz w:val="20"/>
          <w:lang w:val="es-AR"/>
        </w:rPr>
      </w:pPr>
      <w:r w:rsidRPr="00624696">
        <w:rPr>
          <w:sz w:val="20"/>
          <w:lang w:val="es-AR"/>
        </w:rPr>
        <w:t>La</w:t>
      </w:r>
      <w:r w:rsidRPr="00624696">
        <w:rPr>
          <w:spacing w:val="-5"/>
          <w:sz w:val="20"/>
          <w:lang w:val="es-AR"/>
        </w:rPr>
        <w:t xml:space="preserve"> </w:t>
      </w:r>
      <w:r w:rsidRPr="00624696">
        <w:rPr>
          <w:sz w:val="20"/>
          <w:lang w:val="es-AR"/>
        </w:rPr>
        <w:t>Corte</w:t>
      </w:r>
      <w:r w:rsidRPr="00624696">
        <w:rPr>
          <w:spacing w:val="-4"/>
          <w:sz w:val="20"/>
          <w:lang w:val="es-AR"/>
        </w:rPr>
        <w:t xml:space="preserve"> </w:t>
      </w:r>
      <w:r w:rsidRPr="00624696">
        <w:rPr>
          <w:sz w:val="20"/>
          <w:lang w:val="es-AR"/>
        </w:rPr>
        <w:t>observa</w:t>
      </w:r>
      <w:r w:rsidRPr="00624696">
        <w:rPr>
          <w:spacing w:val="-5"/>
          <w:sz w:val="20"/>
          <w:lang w:val="es-AR"/>
        </w:rPr>
        <w:t xml:space="preserve"> </w:t>
      </w:r>
      <w:r w:rsidRPr="00624696">
        <w:rPr>
          <w:sz w:val="20"/>
          <w:lang w:val="es-AR"/>
        </w:rPr>
        <w:t>que</w:t>
      </w:r>
      <w:r w:rsidRPr="00624696">
        <w:rPr>
          <w:spacing w:val="-4"/>
          <w:sz w:val="20"/>
          <w:lang w:val="es-AR"/>
        </w:rPr>
        <w:t xml:space="preserve"> </w:t>
      </w:r>
      <w:r w:rsidRPr="00624696">
        <w:rPr>
          <w:sz w:val="20"/>
          <w:lang w:val="es-AR"/>
        </w:rPr>
        <w:t>en</w:t>
      </w:r>
      <w:r w:rsidRPr="00624696">
        <w:rPr>
          <w:spacing w:val="-4"/>
          <w:sz w:val="20"/>
          <w:lang w:val="es-AR"/>
        </w:rPr>
        <w:t xml:space="preserve"> </w:t>
      </w:r>
      <w:r w:rsidRPr="00624696">
        <w:rPr>
          <w:sz w:val="20"/>
          <w:lang w:val="es-AR"/>
        </w:rPr>
        <w:t>la</w:t>
      </w:r>
      <w:r w:rsidRPr="00624696">
        <w:rPr>
          <w:spacing w:val="-4"/>
          <w:sz w:val="20"/>
          <w:lang w:val="es-AR"/>
        </w:rPr>
        <w:t xml:space="preserve"> </w:t>
      </w:r>
      <w:r w:rsidRPr="00624696">
        <w:rPr>
          <w:sz w:val="20"/>
          <w:lang w:val="es-AR"/>
        </w:rPr>
        <w:t>petición</w:t>
      </w:r>
      <w:r w:rsidRPr="00624696">
        <w:rPr>
          <w:spacing w:val="-4"/>
          <w:sz w:val="20"/>
          <w:lang w:val="es-AR"/>
        </w:rPr>
        <w:t xml:space="preserve"> </w:t>
      </w:r>
      <w:r w:rsidRPr="00624696">
        <w:rPr>
          <w:sz w:val="20"/>
          <w:lang w:val="es-AR"/>
        </w:rPr>
        <w:t>de</w:t>
      </w:r>
      <w:r w:rsidRPr="00624696">
        <w:rPr>
          <w:spacing w:val="-4"/>
          <w:sz w:val="20"/>
          <w:lang w:val="es-AR"/>
        </w:rPr>
        <w:t xml:space="preserve"> </w:t>
      </w:r>
      <w:r w:rsidRPr="00624696">
        <w:rPr>
          <w:sz w:val="20"/>
          <w:lang w:val="es-AR"/>
        </w:rPr>
        <w:t>los</w:t>
      </w:r>
      <w:r w:rsidRPr="00624696">
        <w:rPr>
          <w:spacing w:val="-4"/>
          <w:sz w:val="20"/>
          <w:lang w:val="es-AR"/>
        </w:rPr>
        <w:t xml:space="preserve"> </w:t>
      </w:r>
      <w:r w:rsidRPr="00624696">
        <w:rPr>
          <w:sz w:val="20"/>
          <w:lang w:val="es-AR"/>
        </w:rPr>
        <w:t>representantes</w:t>
      </w:r>
      <w:r w:rsidRPr="00624696">
        <w:rPr>
          <w:spacing w:val="-6"/>
          <w:sz w:val="20"/>
          <w:lang w:val="es-AR"/>
        </w:rPr>
        <w:t xml:space="preserve"> </w:t>
      </w:r>
      <w:r w:rsidRPr="00624696">
        <w:rPr>
          <w:sz w:val="20"/>
          <w:lang w:val="es-AR"/>
        </w:rPr>
        <w:t>de</w:t>
      </w:r>
      <w:r w:rsidRPr="00624696">
        <w:rPr>
          <w:spacing w:val="-3"/>
          <w:sz w:val="20"/>
          <w:lang w:val="es-AR"/>
        </w:rPr>
        <w:t xml:space="preserve"> </w:t>
      </w:r>
      <w:r w:rsidRPr="00624696">
        <w:rPr>
          <w:sz w:val="20"/>
          <w:lang w:val="es-AR"/>
        </w:rPr>
        <w:t>fecha</w:t>
      </w:r>
      <w:r w:rsidRPr="00624696">
        <w:rPr>
          <w:spacing w:val="-5"/>
          <w:sz w:val="20"/>
          <w:lang w:val="es-AR"/>
        </w:rPr>
        <w:t xml:space="preserve"> </w:t>
      </w:r>
      <w:r w:rsidRPr="00624696">
        <w:rPr>
          <w:sz w:val="20"/>
          <w:lang w:val="es-AR"/>
        </w:rPr>
        <w:t>23</w:t>
      </w:r>
      <w:r w:rsidRPr="00624696">
        <w:rPr>
          <w:spacing w:val="-3"/>
          <w:sz w:val="20"/>
          <w:lang w:val="es-AR"/>
        </w:rPr>
        <w:t xml:space="preserve"> </w:t>
      </w:r>
      <w:r w:rsidRPr="00624696">
        <w:rPr>
          <w:sz w:val="20"/>
          <w:lang w:val="es-AR"/>
        </w:rPr>
        <w:t>de</w:t>
      </w:r>
      <w:r w:rsidRPr="00624696">
        <w:rPr>
          <w:spacing w:val="-7"/>
          <w:sz w:val="20"/>
          <w:lang w:val="es-AR"/>
        </w:rPr>
        <w:t xml:space="preserve"> </w:t>
      </w:r>
      <w:r w:rsidRPr="00624696">
        <w:rPr>
          <w:sz w:val="20"/>
          <w:lang w:val="es-AR"/>
        </w:rPr>
        <w:t>noviembre</w:t>
      </w:r>
      <w:r w:rsidRPr="00624696">
        <w:rPr>
          <w:spacing w:val="-4"/>
          <w:sz w:val="20"/>
          <w:lang w:val="es-AR"/>
        </w:rPr>
        <w:t xml:space="preserve"> </w:t>
      </w:r>
      <w:r w:rsidRPr="00624696">
        <w:rPr>
          <w:sz w:val="20"/>
          <w:lang w:val="es-AR"/>
        </w:rPr>
        <w:t>de 2001</w:t>
      </w:r>
      <w:hyperlink w:anchor="_bookmark46" w:history="1">
        <w:r w:rsidRPr="00624696">
          <w:rPr>
            <w:position w:val="7"/>
            <w:sz w:val="13"/>
            <w:lang w:val="es-AR"/>
          </w:rPr>
          <w:t>34</w:t>
        </w:r>
      </w:hyperlink>
      <w:r w:rsidRPr="00624696">
        <w:rPr>
          <w:sz w:val="20"/>
          <w:lang w:val="es-AR"/>
        </w:rPr>
        <w:t>, se alega la excesiva demora en la decisión de los procesos judiciales que estaban en trámite</w:t>
      </w:r>
      <w:r w:rsidRPr="00624696">
        <w:rPr>
          <w:spacing w:val="-9"/>
          <w:sz w:val="20"/>
          <w:lang w:val="es-AR"/>
        </w:rPr>
        <w:t xml:space="preserve"> </w:t>
      </w:r>
      <w:r w:rsidRPr="00624696">
        <w:rPr>
          <w:sz w:val="20"/>
          <w:lang w:val="es-AR"/>
        </w:rPr>
        <w:t>ante</w:t>
      </w:r>
      <w:r w:rsidRPr="00624696">
        <w:rPr>
          <w:spacing w:val="-8"/>
          <w:sz w:val="20"/>
          <w:lang w:val="es-AR"/>
        </w:rPr>
        <w:t xml:space="preserve"> </w:t>
      </w:r>
      <w:r w:rsidRPr="00624696">
        <w:rPr>
          <w:sz w:val="20"/>
          <w:lang w:val="es-AR"/>
        </w:rPr>
        <w:t>la</w:t>
      </w:r>
      <w:r w:rsidRPr="00624696">
        <w:rPr>
          <w:spacing w:val="-7"/>
          <w:sz w:val="20"/>
          <w:lang w:val="es-AR"/>
        </w:rPr>
        <w:t xml:space="preserve"> </w:t>
      </w:r>
      <w:r w:rsidRPr="00624696">
        <w:rPr>
          <w:sz w:val="20"/>
          <w:lang w:val="es-AR"/>
        </w:rPr>
        <w:t>jurisdicción</w:t>
      </w:r>
      <w:r w:rsidRPr="00624696">
        <w:rPr>
          <w:spacing w:val="-6"/>
          <w:sz w:val="20"/>
          <w:lang w:val="es-AR"/>
        </w:rPr>
        <w:t xml:space="preserve"> </w:t>
      </w:r>
      <w:r w:rsidRPr="00624696">
        <w:rPr>
          <w:sz w:val="20"/>
          <w:lang w:val="es-AR"/>
        </w:rPr>
        <w:t>interna.</w:t>
      </w:r>
      <w:r w:rsidRPr="00624696">
        <w:rPr>
          <w:spacing w:val="-7"/>
          <w:sz w:val="20"/>
          <w:lang w:val="es-AR"/>
        </w:rPr>
        <w:t xml:space="preserve"> </w:t>
      </w:r>
      <w:r w:rsidRPr="00624696">
        <w:rPr>
          <w:sz w:val="20"/>
          <w:lang w:val="es-AR"/>
        </w:rPr>
        <w:t>Mientras</w:t>
      </w:r>
      <w:r w:rsidRPr="00624696">
        <w:rPr>
          <w:spacing w:val="-5"/>
          <w:sz w:val="20"/>
          <w:lang w:val="es-AR"/>
        </w:rPr>
        <w:t xml:space="preserve"> </w:t>
      </w:r>
      <w:r w:rsidRPr="00624696">
        <w:rPr>
          <w:sz w:val="20"/>
          <w:lang w:val="es-AR"/>
        </w:rPr>
        <w:t>que</w:t>
      </w:r>
      <w:r w:rsidRPr="00624696">
        <w:rPr>
          <w:spacing w:val="-7"/>
          <w:sz w:val="20"/>
          <w:lang w:val="es-AR"/>
        </w:rPr>
        <w:t xml:space="preserve"> </w:t>
      </w:r>
      <w:r w:rsidRPr="00624696">
        <w:rPr>
          <w:sz w:val="20"/>
          <w:lang w:val="es-AR"/>
        </w:rPr>
        <w:t>el</w:t>
      </w:r>
      <w:r w:rsidRPr="00624696">
        <w:rPr>
          <w:spacing w:val="-6"/>
          <w:sz w:val="20"/>
          <w:lang w:val="es-AR"/>
        </w:rPr>
        <w:t xml:space="preserve"> </w:t>
      </w:r>
      <w:r w:rsidRPr="00624696">
        <w:rPr>
          <w:sz w:val="20"/>
          <w:lang w:val="es-AR"/>
        </w:rPr>
        <w:t>Estado,</w:t>
      </w:r>
      <w:r w:rsidRPr="00624696">
        <w:rPr>
          <w:spacing w:val="-5"/>
          <w:sz w:val="20"/>
          <w:lang w:val="es-AR"/>
        </w:rPr>
        <w:t xml:space="preserve"> </w:t>
      </w:r>
      <w:r w:rsidRPr="00624696">
        <w:rPr>
          <w:sz w:val="20"/>
          <w:lang w:val="es-AR"/>
        </w:rPr>
        <w:t>en</w:t>
      </w:r>
      <w:r w:rsidRPr="00624696">
        <w:rPr>
          <w:spacing w:val="-3"/>
          <w:sz w:val="20"/>
          <w:lang w:val="es-AR"/>
        </w:rPr>
        <w:t xml:space="preserve"> </w:t>
      </w:r>
      <w:r w:rsidRPr="00624696">
        <w:rPr>
          <w:sz w:val="20"/>
          <w:lang w:val="es-AR"/>
        </w:rPr>
        <w:t>s</w:t>
      </w:r>
      <w:r w:rsidRPr="00624696">
        <w:rPr>
          <w:sz w:val="20"/>
          <w:lang w:val="es-AR"/>
        </w:rPr>
        <w:t>u</w:t>
      </w:r>
      <w:r w:rsidRPr="00624696">
        <w:rPr>
          <w:spacing w:val="-6"/>
          <w:sz w:val="20"/>
          <w:lang w:val="es-AR"/>
        </w:rPr>
        <w:t xml:space="preserve"> </w:t>
      </w:r>
      <w:r w:rsidRPr="00624696">
        <w:rPr>
          <w:sz w:val="20"/>
          <w:lang w:val="es-AR"/>
        </w:rPr>
        <w:t>escrito</w:t>
      </w:r>
      <w:r w:rsidRPr="00624696">
        <w:rPr>
          <w:spacing w:val="-8"/>
          <w:sz w:val="20"/>
          <w:lang w:val="es-AR"/>
        </w:rPr>
        <w:t xml:space="preserve"> </w:t>
      </w:r>
      <w:r w:rsidRPr="00624696">
        <w:rPr>
          <w:sz w:val="20"/>
          <w:lang w:val="es-AR"/>
        </w:rPr>
        <w:t>de</w:t>
      </w:r>
      <w:r w:rsidRPr="00624696">
        <w:rPr>
          <w:spacing w:val="-9"/>
          <w:sz w:val="20"/>
          <w:lang w:val="es-AR"/>
        </w:rPr>
        <w:t xml:space="preserve"> </w:t>
      </w:r>
      <w:r w:rsidRPr="00624696">
        <w:rPr>
          <w:sz w:val="20"/>
          <w:lang w:val="es-AR"/>
        </w:rPr>
        <w:t>12</w:t>
      </w:r>
      <w:r w:rsidRPr="00624696">
        <w:rPr>
          <w:spacing w:val="-7"/>
          <w:sz w:val="20"/>
          <w:lang w:val="es-AR"/>
        </w:rPr>
        <w:t xml:space="preserve"> </w:t>
      </w:r>
      <w:r w:rsidRPr="00624696">
        <w:rPr>
          <w:sz w:val="20"/>
          <w:lang w:val="es-AR"/>
        </w:rPr>
        <w:t>de</w:t>
      </w:r>
      <w:r w:rsidRPr="00624696">
        <w:rPr>
          <w:spacing w:val="-6"/>
          <w:sz w:val="20"/>
          <w:lang w:val="es-AR"/>
        </w:rPr>
        <w:t xml:space="preserve"> </w:t>
      </w:r>
      <w:r w:rsidRPr="00624696">
        <w:rPr>
          <w:sz w:val="20"/>
          <w:lang w:val="es-AR"/>
        </w:rPr>
        <w:t>octubre</w:t>
      </w:r>
      <w:r w:rsidRPr="00624696">
        <w:rPr>
          <w:spacing w:val="-6"/>
          <w:sz w:val="20"/>
          <w:lang w:val="es-AR"/>
        </w:rPr>
        <w:t xml:space="preserve"> </w:t>
      </w:r>
      <w:r w:rsidRPr="00624696">
        <w:rPr>
          <w:sz w:val="20"/>
          <w:lang w:val="es-AR"/>
        </w:rPr>
        <w:t>de 2005,</w:t>
      </w:r>
      <w:r w:rsidRPr="00624696">
        <w:rPr>
          <w:spacing w:val="-14"/>
          <w:sz w:val="20"/>
          <w:lang w:val="es-AR"/>
        </w:rPr>
        <w:t xml:space="preserve"> </w:t>
      </w:r>
      <w:r w:rsidRPr="00624696">
        <w:rPr>
          <w:sz w:val="20"/>
          <w:lang w:val="es-AR"/>
        </w:rPr>
        <w:t>sostuvo</w:t>
      </w:r>
      <w:r w:rsidRPr="00624696">
        <w:rPr>
          <w:spacing w:val="-12"/>
          <w:sz w:val="20"/>
          <w:lang w:val="es-AR"/>
        </w:rPr>
        <w:t xml:space="preserve"> </w:t>
      </w:r>
      <w:r w:rsidRPr="00624696">
        <w:rPr>
          <w:sz w:val="20"/>
          <w:lang w:val="es-AR"/>
        </w:rPr>
        <w:t>que</w:t>
      </w:r>
      <w:r w:rsidRPr="00624696">
        <w:rPr>
          <w:spacing w:val="-12"/>
          <w:sz w:val="20"/>
          <w:lang w:val="es-AR"/>
        </w:rPr>
        <w:t xml:space="preserve"> </w:t>
      </w:r>
      <w:r w:rsidRPr="00624696">
        <w:rPr>
          <w:sz w:val="20"/>
          <w:lang w:val="es-AR"/>
        </w:rPr>
        <w:t>aún</w:t>
      </w:r>
      <w:r w:rsidRPr="00624696">
        <w:rPr>
          <w:spacing w:val="-9"/>
          <w:sz w:val="20"/>
          <w:lang w:val="es-AR"/>
        </w:rPr>
        <w:t xml:space="preserve"> </w:t>
      </w:r>
      <w:r w:rsidRPr="00624696">
        <w:rPr>
          <w:sz w:val="20"/>
          <w:lang w:val="es-AR"/>
        </w:rPr>
        <w:t>quedaban</w:t>
      </w:r>
      <w:r w:rsidRPr="00624696">
        <w:rPr>
          <w:spacing w:val="-13"/>
          <w:sz w:val="20"/>
          <w:lang w:val="es-AR"/>
        </w:rPr>
        <w:t xml:space="preserve"> </w:t>
      </w:r>
      <w:r w:rsidRPr="00624696">
        <w:rPr>
          <w:sz w:val="20"/>
          <w:lang w:val="es-AR"/>
        </w:rPr>
        <w:t>por</w:t>
      </w:r>
      <w:r w:rsidRPr="00624696">
        <w:rPr>
          <w:spacing w:val="-15"/>
          <w:sz w:val="20"/>
          <w:lang w:val="es-AR"/>
        </w:rPr>
        <w:t xml:space="preserve"> </w:t>
      </w:r>
      <w:r w:rsidRPr="00624696">
        <w:rPr>
          <w:sz w:val="20"/>
          <w:lang w:val="es-AR"/>
        </w:rPr>
        <w:t>agotar</w:t>
      </w:r>
      <w:r w:rsidRPr="00624696">
        <w:rPr>
          <w:spacing w:val="-12"/>
          <w:sz w:val="20"/>
          <w:lang w:val="es-AR"/>
        </w:rPr>
        <w:t xml:space="preserve"> </w:t>
      </w:r>
      <w:r w:rsidRPr="00624696">
        <w:rPr>
          <w:sz w:val="20"/>
          <w:lang w:val="es-AR"/>
        </w:rPr>
        <w:t>varios</w:t>
      </w:r>
      <w:r w:rsidRPr="00624696">
        <w:rPr>
          <w:spacing w:val="-9"/>
          <w:sz w:val="20"/>
          <w:lang w:val="es-AR"/>
        </w:rPr>
        <w:t xml:space="preserve"> </w:t>
      </w:r>
      <w:r w:rsidRPr="00624696">
        <w:rPr>
          <w:sz w:val="20"/>
          <w:lang w:val="es-AR"/>
        </w:rPr>
        <w:t>recursos</w:t>
      </w:r>
      <w:r w:rsidRPr="00624696">
        <w:rPr>
          <w:spacing w:val="-12"/>
          <w:sz w:val="20"/>
          <w:lang w:val="es-AR"/>
        </w:rPr>
        <w:t xml:space="preserve"> </w:t>
      </w:r>
      <w:r w:rsidRPr="00624696">
        <w:rPr>
          <w:sz w:val="20"/>
          <w:lang w:val="es-AR"/>
        </w:rPr>
        <w:t>internos</w:t>
      </w:r>
      <w:r w:rsidRPr="00624696">
        <w:rPr>
          <w:spacing w:val="-12"/>
          <w:sz w:val="20"/>
          <w:lang w:val="es-AR"/>
        </w:rPr>
        <w:t xml:space="preserve"> </w:t>
      </w:r>
      <w:r w:rsidRPr="00624696">
        <w:rPr>
          <w:sz w:val="20"/>
          <w:lang w:val="es-AR"/>
        </w:rPr>
        <w:t>importantes,</w:t>
      </w:r>
      <w:r w:rsidRPr="00624696">
        <w:rPr>
          <w:spacing w:val="-12"/>
          <w:sz w:val="20"/>
          <w:lang w:val="es-AR"/>
        </w:rPr>
        <w:t xml:space="preserve"> </w:t>
      </w:r>
      <w:r w:rsidRPr="00624696">
        <w:rPr>
          <w:sz w:val="20"/>
          <w:lang w:val="es-AR"/>
        </w:rPr>
        <w:t>adecuados y eficaces antes de que la petición pudiera ser admitida ante el Sistema Interamericano de Derechos Humanos</w:t>
      </w:r>
      <w:hyperlink w:anchor="_bookmark47" w:history="1">
        <w:r w:rsidRPr="00624696">
          <w:rPr>
            <w:position w:val="7"/>
            <w:sz w:val="13"/>
            <w:lang w:val="es-AR"/>
          </w:rPr>
          <w:t>35</w:t>
        </w:r>
      </w:hyperlink>
      <w:r w:rsidRPr="00624696">
        <w:rPr>
          <w:sz w:val="20"/>
          <w:lang w:val="es-AR"/>
        </w:rPr>
        <w:t>. De esta forma, la Corte encuentra que el Estado, en efecto, presentó la</w:t>
      </w:r>
      <w:r w:rsidRPr="00624696">
        <w:rPr>
          <w:spacing w:val="-10"/>
          <w:sz w:val="20"/>
          <w:lang w:val="es-AR"/>
        </w:rPr>
        <w:t xml:space="preserve"> </w:t>
      </w:r>
      <w:r w:rsidRPr="00624696">
        <w:rPr>
          <w:sz w:val="20"/>
          <w:lang w:val="es-AR"/>
        </w:rPr>
        <w:t>excepción</w:t>
      </w:r>
      <w:r w:rsidRPr="00624696">
        <w:rPr>
          <w:spacing w:val="-5"/>
          <w:sz w:val="20"/>
          <w:lang w:val="es-AR"/>
        </w:rPr>
        <w:t xml:space="preserve"> </w:t>
      </w:r>
      <w:r w:rsidRPr="00624696">
        <w:rPr>
          <w:sz w:val="20"/>
          <w:lang w:val="es-AR"/>
        </w:rPr>
        <w:t>preliminar</w:t>
      </w:r>
      <w:r w:rsidRPr="00624696">
        <w:rPr>
          <w:spacing w:val="-8"/>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falta</w:t>
      </w:r>
      <w:r w:rsidRPr="00624696">
        <w:rPr>
          <w:spacing w:val="-6"/>
          <w:sz w:val="20"/>
          <w:lang w:val="es-AR"/>
        </w:rPr>
        <w:t xml:space="preserve"> </w:t>
      </w:r>
      <w:r w:rsidRPr="00624696">
        <w:rPr>
          <w:sz w:val="20"/>
          <w:lang w:val="es-AR"/>
        </w:rPr>
        <w:t>de</w:t>
      </w:r>
      <w:r w:rsidRPr="00624696">
        <w:rPr>
          <w:spacing w:val="-8"/>
          <w:sz w:val="20"/>
          <w:lang w:val="es-AR"/>
        </w:rPr>
        <w:t xml:space="preserve"> </w:t>
      </w:r>
      <w:r w:rsidRPr="00624696">
        <w:rPr>
          <w:sz w:val="20"/>
          <w:lang w:val="es-AR"/>
        </w:rPr>
        <w:t>agotamiento</w:t>
      </w:r>
      <w:r w:rsidRPr="00624696">
        <w:rPr>
          <w:spacing w:val="-7"/>
          <w:sz w:val="20"/>
          <w:lang w:val="es-AR"/>
        </w:rPr>
        <w:t xml:space="preserve"> </w:t>
      </w:r>
      <w:r w:rsidRPr="00624696">
        <w:rPr>
          <w:sz w:val="20"/>
          <w:lang w:val="es-AR"/>
        </w:rPr>
        <w:t>de</w:t>
      </w:r>
      <w:r w:rsidRPr="00624696">
        <w:rPr>
          <w:spacing w:val="-8"/>
          <w:sz w:val="20"/>
          <w:lang w:val="es-AR"/>
        </w:rPr>
        <w:t xml:space="preserve"> </w:t>
      </w:r>
      <w:r w:rsidRPr="00624696">
        <w:rPr>
          <w:sz w:val="20"/>
          <w:lang w:val="es-AR"/>
        </w:rPr>
        <w:t>recursos</w:t>
      </w:r>
      <w:r w:rsidRPr="00624696">
        <w:rPr>
          <w:spacing w:val="-8"/>
          <w:sz w:val="20"/>
          <w:lang w:val="es-AR"/>
        </w:rPr>
        <w:t xml:space="preserve"> </w:t>
      </w:r>
      <w:r w:rsidRPr="00624696">
        <w:rPr>
          <w:sz w:val="20"/>
          <w:lang w:val="es-AR"/>
        </w:rPr>
        <w:t>internos</w:t>
      </w:r>
      <w:r w:rsidRPr="00624696">
        <w:rPr>
          <w:spacing w:val="-7"/>
          <w:sz w:val="20"/>
          <w:lang w:val="es-AR"/>
        </w:rPr>
        <w:t xml:space="preserve"> </w:t>
      </w:r>
      <w:r w:rsidRPr="00624696">
        <w:rPr>
          <w:sz w:val="20"/>
          <w:lang w:val="es-AR"/>
        </w:rPr>
        <w:t>en</w:t>
      </w:r>
      <w:r w:rsidRPr="00624696">
        <w:rPr>
          <w:spacing w:val="-5"/>
          <w:sz w:val="20"/>
          <w:lang w:val="es-AR"/>
        </w:rPr>
        <w:t xml:space="preserve"> </w:t>
      </w:r>
      <w:r w:rsidRPr="00624696">
        <w:rPr>
          <w:sz w:val="20"/>
          <w:lang w:val="es-AR"/>
        </w:rPr>
        <w:t>el</w:t>
      </w:r>
      <w:r w:rsidRPr="00624696">
        <w:rPr>
          <w:spacing w:val="-6"/>
          <w:sz w:val="20"/>
          <w:lang w:val="es-AR"/>
        </w:rPr>
        <w:t xml:space="preserve"> </w:t>
      </w:r>
      <w:r w:rsidRPr="00624696">
        <w:rPr>
          <w:sz w:val="20"/>
          <w:lang w:val="es-AR"/>
        </w:rPr>
        <w:t>momento</w:t>
      </w:r>
      <w:r w:rsidRPr="00624696">
        <w:rPr>
          <w:spacing w:val="-8"/>
          <w:sz w:val="20"/>
          <w:lang w:val="es-AR"/>
        </w:rPr>
        <w:t xml:space="preserve"> </w:t>
      </w:r>
      <w:r w:rsidRPr="00624696">
        <w:rPr>
          <w:sz w:val="20"/>
          <w:lang w:val="es-AR"/>
        </w:rPr>
        <w:t>procesal oportuno, durante sus primeras actuaciones en el trámite de este proceso. No obstante, la Comisión</w:t>
      </w:r>
      <w:r w:rsidRPr="00624696">
        <w:rPr>
          <w:spacing w:val="-10"/>
          <w:sz w:val="20"/>
          <w:lang w:val="es-AR"/>
        </w:rPr>
        <w:t xml:space="preserve"> </w:t>
      </w:r>
      <w:r w:rsidRPr="00624696">
        <w:rPr>
          <w:sz w:val="20"/>
          <w:lang w:val="es-AR"/>
        </w:rPr>
        <w:t>alegó</w:t>
      </w:r>
      <w:r w:rsidRPr="00624696">
        <w:rPr>
          <w:spacing w:val="-10"/>
          <w:sz w:val="20"/>
          <w:lang w:val="es-AR"/>
        </w:rPr>
        <w:t xml:space="preserve"> </w:t>
      </w:r>
      <w:r w:rsidRPr="00624696">
        <w:rPr>
          <w:sz w:val="20"/>
          <w:lang w:val="es-AR"/>
        </w:rPr>
        <w:t>que</w:t>
      </w:r>
      <w:r w:rsidRPr="00624696">
        <w:rPr>
          <w:spacing w:val="-9"/>
          <w:sz w:val="20"/>
          <w:lang w:val="es-AR"/>
        </w:rPr>
        <w:t xml:space="preserve"> </w:t>
      </w:r>
      <w:r w:rsidRPr="00624696">
        <w:rPr>
          <w:sz w:val="20"/>
          <w:lang w:val="es-AR"/>
        </w:rPr>
        <w:t>el</w:t>
      </w:r>
      <w:r w:rsidRPr="00624696">
        <w:rPr>
          <w:spacing w:val="-11"/>
          <w:sz w:val="20"/>
          <w:lang w:val="es-AR"/>
        </w:rPr>
        <w:t xml:space="preserve"> </w:t>
      </w:r>
      <w:r w:rsidRPr="00624696">
        <w:rPr>
          <w:sz w:val="20"/>
          <w:lang w:val="es-AR"/>
        </w:rPr>
        <w:t>Estado,</w:t>
      </w:r>
      <w:r w:rsidRPr="00624696">
        <w:rPr>
          <w:spacing w:val="-11"/>
          <w:sz w:val="20"/>
          <w:lang w:val="es-AR"/>
        </w:rPr>
        <w:t xml:space="preserve"> </w:t>
      </w:r>
      <w:r w:rsidRPr="00624696">
        <w:rPr>
          <w:sz w:val="20"/>
          <w:lang w:val="es-AR"/>
        </w:rPr>
        <w:t>durante</w:t>
      </w:r>
      <w:r w:rsidRPr="00624696">
        <w:rPr>
          <w:spacing w:val="-12"/>
          <w:sz w:val="20"/>
          <w:lang w:val="es-AR"/>
        </w:rPr>
        <w:t xml:space="preserve"> </w:t>
      </w:r>
      <w:r w:rsidRPr="00624696">
        <w:rPr>
          <w:sz w:val="20"/>
          <w:lang w:val="es-AR"/>
        </w:rPr>
        <w:t>el</w:t>
      </w:r>
      <w:r w:rsidRPr="00624696">
        <w:rPr>
          <w:spacing w:val="-11"/>
          <w:sz w:val="20"/>
          <w:lang w:val="es-AR"/>
        </w:rPr>
        <w:t xml:space="preserve"> </w:t>
      </w:r>
      <w:r w:rsidRPr="00624696">
        <w:rPr>
          <w:sz w:val="20"/>
          <w:lang w:val="es-AR"/>
        </w:rPr>
        <w:t>procedimiento</w:t>
      </w:r>
      <w:r w:rsidRPr="00624696">
        <w:rPr>
          <w:spacing w:val="-11"/>
          <w:sz w:val="20"/>
          <w:lang w:val="es-AR"/>
        </w:rPr>
        <w:t xml:space="preserve"> </w:t>
      </w:r>
      <w:r w:rsidRPr="00624696">
        <w:rPr>
          <w:sz w:val="20"/>
          <w:lang w:val="es-AR"/>
        </w:rPr>
        <w:t>de</w:t>
      </w:r>
      <w:r w:rsidRPr="00624696">
        <w:rPr>
          <w:spacing w:val="-13"/>
          <w:sz w:val="20"/>
          <w:lang w:val="es-AR"/>
        </w:rPr>
        <w:t xml:space="preserve"> </w:t>
      </w:r>
      <w:r w:rsidRPr="00624696">
        <w:rPr>
          <w:sz w:val="20"/>
          <w:lang w:val="es-AR"/>
        </w:rPr>
        <w:t>admisibilidad</w:t>
      </w:r>
      <w:r w:rsidRPr="00624696">
        <w:rPr>
          <w:spacing w:val="-10"/>
          <w:sz w:val="20"/>
          <w:lang w:val="es-AR"/>
        </w:rPr>
        <w:t xml:space="preserve"> </w:t>
      </w:r>
      <w:r w:rsidRPr="00624696">
        <w:rPr>
          <w:sz w:val="20"/>
          <w:lang w:val="es-AR"/>
        </w:rPr>
        <w:t>ante</w:t>
      </w:r>
      <w:r w:rsidRPr="00624696">
        <w:rPr>
          <w:spacing w:val="-12"/>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Comisión,</w:t>
      </w:r>
      <w:r w:rsidRPr="00624696">
        <w:rPr>
          <w:spacing w:val="-10"/>
          <w:sz w:val="20"/>
          <w:lang w:val="es-AR"/>
        </w:rPr>
        <w:t xml:space="preserve"> </w:t>
      </w:r>
      <w:r w:rsidRPr="00624696">
        <w:rPr>
          <w:sz w:val="20"/>
          <w:lang w:val="es-AR"/>
        </w:rPr>
        <w:t>en particular, en l</w:t>
      </w:r>
      <w:r w:rsidRPr="00624696">
        <w:rPr>
          <w:sz w:val="20"/>
          <w:lang w:val="es-AR"/>
        </w:rPr>
        <w:t>a audiencia pública celebrada el 19 de octubre de 2006, declaró que no cuestionaría</w:t>
      </w:r>
      <w:r w:rsidRPr="00624696">
        <w:rPr>
          <w:spacing w:val="-9"/>
          <w:sz w:val="20"/>
          <w:lang w:val="es-AR"/>
        </w:rPr>
        <w:t xml:space="preserve"> </w:t>
      </w:r>
      <w:r w:rsidRPr="00624696">
        <w:rPr>
          <w:sz w:val="20"/>
          <w:lang w:val="es-AR"/>
        </w:rPr>
        <w:t>la</w:t>
      </w:r>
      <w:r w:rsidRPr="00624696">
        <w:rPr>
          <w:spacing w:val="-5"/>
          <w:sz w:val="20"/>
          <w:lang w:val="es-AR"/>
        </w:rPr>
        <w:t xml:space="preserve"> </w:t>
      </w:r>
      <w:r w:rsidRPr="00624696">
        <w:rPr>
          <w:sz w:val="20"/>
          <w:lang w:val="es-AR"/>
        </w:rPr>
        <w:t>admisibilidad</w:t>
      </w:r>
      <w:r w:rsidRPr="00624696">
        <w:rPr>
          <w:spacing w:val="-7"/>
          <w:sz w:val="20"/>
          <w:lang w:val="es-AR"/>
        </w:rPr>
        <w:t xml:space="preserve"> </w:t>
      </w:r>
      <w:r w:rsidRPr="00624696">
        <w:rPr>
          <w:sz w:val="20"/>
          <w:lang w:val="es-AR"/>
        </w:rPr>
        <w:t>del</w:t>
      </w:r>
      <w:r w:rsidRPr="00624696">
        <w:rPr>
          <w:spacing w:val="-6"/>
          <w:sz w:val="20"/>
          <w:lang w:val="es-AR"/>
        </w:rPr>
        <w:t xml:space="preserve"> </w:t>
      </w:r>
      <w:r w:rsidRPr="00624696">
        <w:rPr>
          <w:sz w:val="20"/>
          <w:lang w:val="es-AR"/>
        </w:rPr>
        <w:t>caso.</w:t>
      </w:r>
      <w:r w:rsidRPr="00624696">
        <w:rPr>
          <w:spacing w:val="-6"/>
          <w:sz w:val="20"/>
          <w:lang w:val="es-AR"/>
        </w:rPr>
        <w:t xml:space="preserve"> </w:t>
      </w:r>
      <w:r w:rsidRPr="00624696">
        <w:rPr>
          <w:sz w:val="20"/>
          <w:lang w:val="es-AR"/>
        </w:rPr>
        <w:t>Brasil,</w:t>
      </w:r>
      <w:r w:rsidRPr="00624696">
        <w:rPr>
          <w:spacing w:val="-9"/>
          <w:sz w:val="20"/>
          <w:lang w:val="es-AR"/>
        </w:rPr>
        <w:t xml:space="preserve"> </w:t>
      </w:r>
      <w:r w:rsidRPr="00624696">
        <w:rPr>
          <w:sz w:val="20"/>
          <w:lang w:val="es-AR"/>
        </w:rPr>
        <w:t>a</w:t>
      </w:r>
      <w:r w:rsidRPr="00624696">
        <w:rPr>
          <w:spacing w:val="-5"/>
          <w:sz w:val="20"/>
          <w:lang w:val="es-AR"/>
        </w:rPr>
        <w:t xml:space="preserve"> </w:t>
      </w:r>
      <w:r w:rsidRPr="00624696">
        <w:rPr>
          <w:sz w:val="20"/>
          <w:lang w:val="es-AR"/>
        </w:rPr>
        <w:t>su</w:t>
      </w:r>
      <w:r w:rsidRPr="00624696">
        <w:rPr>
          <w:spacing w:val="-7"/>
          <w:sz w:val="20"/>
          <w:lang w:val="es-AR"/>
        </w:rPr>
        <w:t xml:space="preserve"> </w:t>
      </w:r>
      <w:r w:rsidRPr="00624696">
        <w:rPr>
          <w:sz w:val="20"/>
          <w:lang w:val="es-AR"/>
        </w:rPr>
        <w:t>vez,</w:t>
      </w:r>
      <w:r w:rsidRPr="00624696">
        <w:rPr>
          <w:spacing w:val="-7"/>
          <w:sz w:val="20"/>
          <w:lang w:val="es-AR"/>
        </w:rPr>
        <w:t xml:space="preserve"> </w:t>
      </w:r>
      <w:r w:rsidRPr="00624696">
        <w:rPr>
          <w:sz w:val="20"/>
          <w:lang w:val="es-AR"/>
        </w:rPr>
        <w:t>manifestó</w:t>
      </w:r>
      <w:r w:rsidRPr="00624696">
        <w:rPr>
          <w:spacing w:val="-6"/>
          <w:sz w:val="20"/>
          <w:lang w:val="es-AR"/>
        </w:rPr>
        <w:t xml:space="preserve"> </w:t>
      </w:r>
      <w:r w:rsidRPr="00624696">
        <w:rPr>
          <w:sz w:val="20"/>
          <w:lang w:val="es-AR"/>
        </w:rPr>
        <w:t>durante</w:t>
      </w:r>
      <w:r w:rsidRPr="00624696">
        <w:rPr>
          <w:spacing w:val="-9"/>
          <w:sz w:val="20"/>
          <w:lang w:val="es-AR"/>
        </w:rPr>
        <w:t xml:space="preserve"> </w:t>
      </w:r>
      <w:r w:rsidRPr="00624696">
        <w:rPr>
          <w:sz w:val="20"/>
          <w:lang w:val="es-AR"/>
        </w:rPr>
        <w:t>la</w:t>
      </w:r>
      <w:r w:rsidRPr="00624696">
        <w:rPr>
          <w:spacing w:val="-5"/>
          <w:sz w:val="20"/>
          <w:lang w:val="es-AR"/>
        </w:rPr>
        <w:t xml:space="preserve"> </w:t>
      </w:r>
      <w:r w:rsidRPr="00624696">
        <w:rPr>
          <w:sz w:val="20"/>
          <w:lang w:val="es-AR"/>
        </w:rPr>
        <w:t>audiencia</w:t>
      </w:r>
      <w:r w:rsidRPr="00624696">
        <w:rPr>
          <w:spacing w:val="-9"/>
          <w:sz w:val="20"/>
          <w:lang w:val="es-AR"/>
        </w:rPr>
        <w:t xml:space="preserve"> </w:t>
      </w:r>
      <w:r w:rsidRPr="00624696">
        <w:rPr>
          <w:sz w:val="20"/>
          <w:lang w:val="es-AR"/>
        </w:rPr>
        <w:t>ante</w:t>
      </w:r>
      <w:r w:rsidRPr="00624696">
        <w:rPr>
          <w:spacing w:val="-9"/>
          <w:sz w:val="20"/>
          <w:lang w:val="es-AR"/>
        </w:rPr>
        <w:t xml:space="preserve"> </w:t>
      </w:r>
      <w:r w:rsidRPr="00624696">
        <w:rPr>
          <w:sz w:val="20"/>
          <w:lang w:val="es-AR"/>
        </w:rPr>
        <w:t>la Corte</w:t>
      </w:r>
      <w:hyperlink w:anchor="_bookmark48" w:history="1">
        <w:r w:rsidRPr="00624696">
          <w:rPr>
            <w:position w:val="7"/>
            <w:sz w:val="13"/>
            <w:lang w:val="es-AR"/>
          </w:rPr>
          <w:t>36</w:t>
        </w:r>
      </w:hyperlink>
      <w:r w:rsidRPr="00624696">
        <w:rPr>
          <w:sz w:val="20"/>
          <w:lang w:val="es-AR"/>
        </w:rPr>
        <w:t>, así como en sus alegatos finales escritos, que la declaración en cuestión estaba enmarcada dentro del proceso de solución amistosa iniciado por las partes en octubre de 2006.</w:t>
      </w:r>
      <w:r w:rsidRPr="00624696">
        <w:rPr>
          <w:spacing w:val="-6"/>
          <w:sz w:val="20"/>
          <w:lang w:val="es-AR"/>
        </w:rPr>
        <w:t xml:space="preserve"> </w:t>
      </w:r>
      <w:r w:rsidRPr="00624696">
        <w:rPr>
          <w:sz w:val="20"/>
          <w:lang w:val="es-AR"/>
        </w:rPr>
        <w:t>De</w:t>
      </w:r>
      <w:r w:rsidRPr="00624696">
        <w:rPr>
          <w:spacing w:val="-4"/>
          <w:sz w:val="20"/>
          <w:lang w:val="es-AR"/>
        </w:rPr>
        <w:t xml:space="preserve"> </w:t>
      </w:r>
      <w:r w:rsidRPr="00624696">
        <w:rPr>
          <w:sz w:val="20"/>
          <w:lang w:val="es-AR"/>
        </w:rPr>
        <w:t>esa</w:t>
      </w:r>
      <w:r w:rsidRPr="00624696">
        <w:rPr>
          <w:spacing w:val="-3"/>
          <w:sz w:val="20"/>
          <w:lang w:val="es-AR"/>
        </w:rPr>
        <w:t xml:space="preserve"> </w:t>
      </w:r>
      <w:r w:rsidRPr="00624696">
        <w:rPr>
          <w:sz w:val="20"/>
          <w:lang w:val="es-AR"/>
        </w:rPr>
        <w:t>forma,</w:t>
      </w:r>
      <w:r w:rsidRPr="00624696">
        <w:rPr>
          <w:spacing w:val="-6"/>
          <w:sz w:val="20"/>
          <w:lang w:val="es-AR"/>
        </w:rPr>
        <w:t xml:space="preserve"> </w:t>
      </w:r>
      <w:r w:rsidRPr="00624696">
        <w:rPr>
          <w:sz w:val="20"/>
          <w:lang w:val="es-AR"/>
        </w:rPr>
        <w:t>le</w:t>
      </w:r>
      <w:r w:rsidRPr="00624696">
        <w:rPr>
          <w:spacing w:val="-3"/>
          <w:sz w:val="20"/>
          <w:lang w:val="es-AR"/>
        </w:rPr>
        <w:t xml:space="preserve"> </w:t>
      </w:r>
      <w:r w:rsidRPr="00624696">
        <w:rPr>
          <w:sz w:val="20"/>
          <w:lang w:val="es-AR"/>
        </w:rPr>
        <w:t>corresponde</w:t>
      </w:r>
      <w:r w:rsidRPr="00624696">
        <w:rPr>
          <w:spacing w:val="-7"/>
          <w:sz w:val="20"/>
          <w:lang w:val="es-AR"/>
        </w:rPr>
        <w:t xml:space="preserve"> </w:t>
      </w:r>
      <w:r w:rsidRPr="00624696">
        <w:rPr>
          <w:sz w:val="20"/>
          <w:lang w:val="es-AR"/>
        </w:rPr>
        <w:t>a</w:t>
      </w:r>
      <w:r w:rsidRPr="00624696">
        <w:rPr>
          <w:spacing w:val="-5"/>
          <w:sz w:val="20"/>
          <w:lang w:val="es-AR"/>
        </w:rPr>
        <w:t xml:space="preserve"> </w:t>
      </w:r>
      <w:r w:rsidRPr="00624696">
        <w:rPr>
          <w:sz w:val="20"/>
          <w:lang w:val="es-AR"/>
        </w:rPr>
        <w:t>la</w:t>
      </w:r>
      <w:r w:rsidRPr="00624696">
        <w:rPr>
          <w:spacing w:val="-5"/>
          <w:sz w:val="20"/>
          <w:lang w:val="es-AR"/>
        </w:rPr>
        <w:t xml:space="preserve"> </w:t>
      </w:r>
      <w:r w:rsidRPr="00624696">
        <w:rPr>
          <w:sz w:val="20"/>
          <w:lang w:val="es-AR"/>
        </w:rPr>
        <w:t>Corte</w:t>
      </w:r>
      <w:r w:rsidRPr="00624696">
        <w:rPr>
          <w:spacing w:val="-3"/>
          <w:sz w:val="20"/>
          <w:lang w:val="es-AR"/>
        </w:rPr>
        <w:t xml:space="preserve"> </w:t>
      </w:r>
      <w:r w:rsidRPr="00624696">
        <w:rPr>
          <w:sz w:val="20"/>
          <w:lang w:val="es-AR"/>
        </w:rPr>
        <w:t>analizar</w:t>
      </w:r>
      <w:r w:rsidRPr="00624696">
        <w:rPr>
          <w:spacing w:val="-6"/>
          <w:sz w:val="20"/>
          <w:lang w:val="es-AR"/>
        </w:rPr>
        <w:t xml:space="preserve"> </w:t>
      </w:r>
      <w:r w:rsidRPr="00624696">
        <w:rPr>
          <w:sz w:val="20"/>
          <w:lang w:val="es-AR"/>
        </w:rPr>
        <w:t>el</w:t>
      </w:r>
      <w:r w:rsidRPr="00624696">
        <w:rPr>
          <w:spacing w:val="-5"/>
          <w:sz w:val="20"/>
          <w:lang w:val="es-AR"/>
        </w:rPr>
        <w:t xml:space="preserve"> </w:t>
      </w:r>
      <w:r w:rsidRPr="00624696">
        <w:rPr>
          <w:sz w:val="20"/>
          <w:lang w:val="es-AR"/>
        </w:rPr>
        <w:t>contenido</w:t>
      </w:r>
      <w:r w:rsidRPr="00624696">
        <w:rPr>
          <w:spacing w:val="-7"/>
          <w:sz w:val="20"/>
          <w:lang w:val="es-AR"/>
        </w:rPr>
        <w:t xml:space="preserve"> </w:t>
      </w:r>
      <w:r w:rsidRPr="00624696">
        <w:rPr>
          <w:sz w:val="20"/>
          <w:lang w:val="es-AR"/>
        </w:rPr>
        <w:t>y</w:t>
      </w:r>
      <w:r w:rsidRPr="00624696">
        <w:rPr>
          <w:spacing w:val="-5"/>
          <w:sz w:val="20"/>
          <w:lang w:val="es-AR"/>
        </w:rPr>
        <w:t xml:space="preserve"> </w:t>
      </w:r>
      <w:r w:rsidRPr="00624696">
        <w:rPr>
          <w:sz w:val="20"/>
          <w:lang w:val="es-AR"/>
        </w:rPr>
        <w:t>las</w:t>
      </w:r>
      <w:r w:rsidRPr="00624696">
        <w:rPr>
          <w:spacing w:val="-6"/>
          <w:sz w:val="20"/>
          <w:lang w:val="es-AR"/>
        </w:rPr>
        <w:t xml:space="preserve"> </w:t>
      </w:r>
      <w:r w:rsidRPr="00624696">
        <w:rPr>
          <w:sz w:val="20"/>
          <w:lang w:val="es-AR"/>
        </w:rPr>
        <w:t>circunstanc</w:t>
      </w:r>
      <w:r w:rsidRPr="00624696">
        <w:rPr>
          <w:sz w:val="20"/>
          <w:lang w:val="es-AR"/>
        </w:rPr>
        <w:t>ias</w:t>
      </w:r>
      <w:r w:rsidRPr="00624696">
        <w:rPr>
          <w:spacing w:val="-6"/>
          <w:sz w:val="20"/>
          <w:lang w:val="es-AR"/>
        </w:rPr>
        <w:t xml:space="preserve"> </w:t>
      </w:r>
      <w:r w:rsidRPr="00624696">
        <w:rPr>
          <w:sz w:val="20"/>
          <w:lang w:val="es-AR"/>
        </w:rPr>
        <w:t>de</w:t>
      </w:r>
      <w:r w:rsidRPr="00624696">
        <w:rPr>
          <w:spacing w:val="-7"/>
          <w:sz w:val="20"/>
          <w:lang w:val="es-AR"/>
        </w:rPr>
        <w:t xml:space="preserve"> </w:t>
      </w:r>
      <w:r w:rsidRPr="00624696">
        <w:rPr>
          <w:sz w:val="20"/>
          <w:lang w:val="es-AR"/>
        </w:rPr>
        <w:t>la mencionada declaración del</w:t>
      </w:r>
      <w:r w:rsidRPr="00624696">
        <w:rPr>
          <w:spacing w:val="-1"/>
          <w:sz w:val="20"/>
          <w:lang w:val="es-AR"/>
        </w:rPr>
        <w:t xml:space="preserve"> </w:t>
      </w:r>
      <w:r w:rsidRPr="00624696">
        <w:rPr>
          <w:sz w:val="20"/>
          <w:lang w:val="es-AR"/>
        </w:rPr>
        <w:t>Estado.</w:t>
      </w:r>
    </w:p>
    <w:p w14:paraId="10C7920A" w14:textId="77777777" w:rsidR="00467FCA" w:rsidRPr="00624696" w:rsidRDefault="00467FCA">
      <w:pPr>
        <w:pStyle w:val="Textoindependiente"/>
        <w:rPr>
          <w:lang w:val="es-AR"/>
        </w:rPr>
      </w:pPr>
    </w:p>
    <w:p w14:paraId="533A3889" w14:textId="77777777" w:rsidR="00467FCA" w:rsidRPr="00624696" w:rsidRDefault="001B68EB">
      <w:pPr>
        <w:pStyle w:val="Textoindependiente"/>
        <w:spacing w:before="9"/>
        <w:rPr>
          <w:sz w:val="21"/>
          <w:lang w:val="es-AR"/>
        </w:rPr>
      </w:pPr>
      <w:r>
        <w:pict w14:anchorId="50935432">
          <v:shape id="_x0000_s1188" style="position:absolute;margin-left:1in;margin-top:15.5pt;width:2in;height:.1pt;z-index:-251650048;mso-wrap-distance-left:0;mso-wrap-distance-right:0;mso-position-horizontal-relative:page" coordorigin="1440,310" coordsize="2880,0" path="m1440,310r2880,e" filled="f" strokeweight=".6pt">
            <v:path arrowok="t"/>
            <w10:wrap type="topAndBottom" anchorx="page"/>
          </v:shape>
        </w:pict>
      </w:r>
    </w:p>
    <w:p w14:paraId="7B97D4BB" w14:textId="77777777" w:rsidR="00467FCA" w:rsidRPr="00624696" w:rsidRDefault="001B68EB">
      <w:pPr>
        <w:tabs>
          <w:tab w:val="left" w:pos="839"/>
        </w:tabs>
        <w:spacing w:before="74"/>
        <w:ind w:left="120" w:right="115"/>
        <w:jc w:val="both"/>
        <w:rPr>
          <w:sz w:val="16"/>
          <w:lang w:val="es-AR"/>
        </w:rPr>
      </w:pPr>
      <w:bookmarkStart w:id="55" w:name="_bookmark41"/>
      <w:bookmarkEnd w:id="55"/>
      <w:r w:rsidRPr="00624696">
        <w:rPr>
          <w:position w:val="6"/>
          <w:sz w:val="10"/>
          <w:lang w:val="es-AR"/>
        </w:rPr>
        <w:t>29</w:t>
      </w:r>
      <w:r w:rsidRPr="00624696">
        <w:rPr>
          <w:position w:val="6"/>
          <w:sz w:val="10"/>
          <w:lang w:val="es-AR"/>
        </w:rPr>
        <w:tab/>
      </w:r>
      <w:r w:rsidRPr="00624696">
        <w:rPr>
          <w:i/>
          <w:sz w:val="16"/>
          <w:lang w:val="es-AR"/>
        </w:rPr>
        <w:t>Cfr</w:t>
      </w:r>
      <w:r w:rsidRPr="00624696">
        <w:rPr>
          <w:sz w:val="16"/>
          <w:lang w:val="es-AR"/>
        </w:rPr>
        <w:t xml:space="preserve">. </w:t>
      </w:r>
      <w:r w:rsidRPr="00624696">
        <w:rPr>
          <w:i/>
          <w:sz w:val="16"/>
          <w:lang w:val="es-AR"/>
        </w:rPr>
        <w:t xml:space="preserve">Caso Velásquez Rodríguez Vs. </w:t>
      </w:r>
      <w:r>
        <w:rPr>
          <w:i/>
          <w:sz w:val="16"/>
        </w:rPr>
        <w:t xml:space="preserve">Honduras. </w:t>
      </w:r>
      <w:r w:rsidRPr="00624696">
        <w:rPr>
          <w:i/>
          <w:sz w:val="16"/>
          <w:lang w:val="es-AR"/>
        </w:rPr>
        <w:t xml:space="preserve">Excepciones Preliminares. </w:t>
      </w:r>
      <w:r w:rsidRPr="00624696">
        <w:rPr>
          <w:sz w:val="16"/>
          <w:lang w:val="es-AR"/>
        </w:rPr>
        <w:t xml:space="preserve">Sentencia de 26 de junio de 1987. </w:t>
      </w:r>
      <w:r>
        <w:rPr>
          <w:sz w:val="16"/>
        </w:rPr>
        <w:t xml:space="preserve">Serie C No. 1, párr. 85, y </w:t>
      </w:r>
      <w:r>
        <w:rPr>
          <w:i/>
          <w:sz w:val="16"/>
        </w:rPr>
        <w:t xml:space="preserve">Caso Montesinos Mejía Vs. Ecuador. </w:t>
      </w:r>
      <w:r w:rsidRPr="00624696">
        <w:rPr>
          <w:i/>
          <w:sz w:val="16"/>
          <w:lang w:val="es-AR"/>
        </w:rPr>
        <w:t xml:space="preserve">Excepciones Preliminares, Fondo, Reparaciones y Costas. </w:t>
      </w:r>
      <w:r w:rsidRPr="00624696">
        <w:rPr>
          <w:sz w:val="16"/>
          <w:lang w:val="es-AR"/>
        </w:rPr>
        <w:t>Sentencia de 27 de enero de 2020. Serie C No. 398, párr.</w:t>
      </w:r>
      <w:r w:rsidRPr="00624696">
        <w:rPr>
          <w:spacing w:val="-17"/>
          <w:sz w:val="16"/>
          <w:lang w:val="es-AR"/>
        </w:rPr>
        <w:t xml:space="preserve"> </w:t>
      </w:r>
      <w:r w:rsidRPr="00624696">
        <w:rPr>
          <w:sz w:val="16"/>
          <w:lang w:val="es-AR"/>
        </w:rPr>
        <w:t>24.</w:t>
      </w:r>
    </w:p>
    <w:p w14:paraId="0AC8F888" w14:textId="77777777" w:rsidR="00467FCA" w:rsidRPr="00624696" w:rsidRDefault="001B68EB">
      <w:pPr>
        <w:tabs>
          <w:tab w:val="left" w:pos="839"/>
        </w:tabs>
        <w:ind w:left="119" w:right="118"/>
        <w:jc w:val="both"/>
        <w:rPr>
          <w:sz w:val="16"/>
          <w:lang w:val="es-AR"/>
        </w:rPr>
      </w:pPr>
      <w:bookmarkStart w:id="56" w:name="_bookmark42"/>
      <w:bookmarkEnd w:id="56"/>
      <w:r w:rsidRPr="00624696">
        <w:rPr>
          <w:position w:val="6"/>
          <w:sz w:val="10"/>
          <w:lang w:val="es-AR"/>
        </w:rPr>
        <w:t>30</w:t>
      </w:r>
      <w:r w:rsidRPr="00624696">
        <w:rPr>
          <w:position w:val="6"/>
          <w:sz w:val="10"/>
          <w:lang w:val="es-AR"/>
        </w:rPr>
        <w:tab/>
      </w:r>
      <w:r w:rsidRPr="00624696">
        <w:rPr>
          <w:i/>
          <w:sz w:val="16"/>
          <w:lang w:val="es-AR"/>
        </w:rPr>
        <w:t>Caso</w:t>
      </w:r>
      <w:r w:rsidRPr="00624696">
        <w:rPr>
          <w:i/>
          <w:spacing w:val="-8"/>
          <w:sz w:val="16"/>
          <w:lang w:val="es-AR"/>
        </w:rPr>
        <w:t xml:space="preserve"> </w:t>
      </w:r>
      <w:r w:rsidRPr="00624696">
        <w:rPr>
          <w:i/>
          <w:sz w:val="16"/>
          <w:lang w:val="es-AR"/>
        </w:rPr>
        <w:t>Cruz</w:t>
      </w:r>
      <w:r w:rsidRPr="00624696">
        <w:rPr>
          <w:i/>
          <w:spacing w:val="-5"/>
          <w:sz w:val="16"/>
          <w:lang w:val="es-AR"/>
        </w:rPr>
        <w:t xml:space="preserve"> </w:t>
      </w:r>
      <w:r w:rsidRPr="00624696">
        <w:rPr>
          <w:i/>
          <w:sz w:val="16"/>
          <w:lang w:val="es-AR"/>
        </w:rPr>
        <w:t>Sánchez</w:t>
      </w:r>
      <w:r w:rsidRPr="00624696">
        <w:rPr>
          <w:i/>
          <w:spacing w:val="-8"/>
          <w:sz w:val="16"/>
          <w:lang w:val="es-AR"/>
        </w:rPr>
        <w:t xml:space="preserve"> </w:t>
      </w:r>
      <w:r w:rsidRPr="00624696">
        <w:rPr>
          <w:i/>
          <w:sz w:val="16"/>
          <w:lang w:val="es-AR"/>
        </w:rPr>
        <w:t>y</w:t>
      </w:r>
      <w:r w:rsidRPr="00624696">
        <w:rPr>
          <w:i/>
          <w:spacing w:val="-6"/>
          <w:sz w:val="16"/>
          <w:lang w:val="es-AR"/>
        </w:rPr>
        <w:t xml:space="preserve"> </w:t>
      </w:r>
      <w:r w:rsidRPr="00624696">
        <w:rPr>
          <w:i/>
          <w:sz w:val="16"/>
          <w:lang w:val="es-AR"/>
        </w:rPr>
        <w:t>otros</w:t>
      </w:r>
      <w:r w:rsidRPr="00624696">
        <w:rPr>
          <w:i/>
          <w:spacing w:val="-7"/>
          <w:sz w:val="16"/>
          <w:lang w:val="es-AR"/>
        </w:rPr>
        <w:t xml:space="preserve"> </w:t>
      </w:r>
      <w:r w:rsidRPr="00624696">
        <w:rPr>
          <w:i/>
          <w:sz w:val="16"/>
          <w:lang w:val="es-AR"/>
        </w:rPr>
        <w:t>Vs.</w:t>
      </w:r>
      <w:r w:rsidRPr="00624696">
        <w:rPr>
          <w:i/>
          <w:spacing w:val="-9"/>
          <w:sz w:val="16"/>
          <w:lang w:val="es-AR"/>
        </w:rPr>
        <w:t xml:space="preserve"> </w:t>
      </w:r>
      <w:r>
        <w:rPr>
          <w:i/>
          <w:sz w:val="16"/>
        </w:rPr>
        <w:t>Perú.</w:t>
      </w:r>
      <w:r>
        <w:rPr>
          <w:i/>
          <w:spacing w:val="-6"/>
          <w:sz w:val="16"/>
        </w:rPr>
        <w:t xml:space="preserve"> </w:t>
      </w:r>
      <w:r w:rsidRPr="00624696">
        <w:rPr>
          <w:i/>
          <w:sz w:val="16"/>
          <w:lang w:val="es-AR"/>
        </w:rPr>
        <w:t>Excepciones</w:t>
      </w:r>
      <w:r w:rsidRPr="00624696">
        <w:rPr>
          <w:i/>
          <w:spacing w:val="-7"/>
          <w:sz w:val="16"/>
          <w:lang w:val="es-AR"/>
        </w:rPr>
        <w:t xml:space="preserve"> </w:t>
      </w:r>
      <w:r w:rsidRPr="00624696">
        <w:rPr>
          <w:i/>
          <w:sz w:val="16"/>
          <w:lang w:val="es-AR"/>
        </w:rPr>
        <w:t>Preliminares,</w:t>
      </w:r>
      <w:r w:rsidRPr="00624696">
        <w:rPr>
          <w:i/>
          <w:spacing w:val="-6"/>
          <w:sz w:val="16"/>
          <w:lang w:val="es-AR"/>
        </w:rPr>
        <w:t xml:space="preserve"> </w:t>
      </w:r>
      <w:r w:rsidRPr="00624696">
        <w:rPr>
          <w:i/>
          <w:sz w:val="16"/>
          <w:lang w:val="es-AR"/>
        </w:rPr>
        <w:t>Fondo,</w:t>
      </w:r>
      <w:r w:rsidRPr="00624696">
        <w:rPr>
          <w:i/>
          <w:spacing w:val="-8"/>
          <w:sz w:val="16"/>
          <w:lang w:val="es-AR"/>
        </w:rPr>
        <w:t xml:space="preserve"> </w:t>
      </w:r>
      <w:r w:rsidRPr="00624696">
        <w:rPr>
          <w:i/>
          <w:sz w:val="16"/>
          <w:lang w:val="es-AR"/>
        </w:rPr>
        <w:t>Reparaciones</w:t>
      </w:r>
      <w:r w:rsidRPr="00624696">
        <w:rPr>
          <w:i/>
          <w:spacing w:val="-7"/>
          <w:sz w:val="16"/>
          <w:lang w:val="es-AR"/>
        </w:rPr>
        <w:t xml:space="preserve"> </w:t>
      </w:r>
      <w:r w:rsidRPr="00624696">
        <w:rPr>
          <w:i/>
          <w:sz w:val="16"/>
          <w:lang w:val="es-AR"/>
        </w:rPr>
        <w:t>y</w:t>
      </w:r>
      <w:r w:rsidRPr="00624696">
        <w:rPr>
          <w:i/>
          <w:spacing w:val="-5"/>
          <w:sz w:val="16"/>
          <w:lang w:val="es-AR"/>
        </w:rPr>
        <w:t xml:space="preserve"> </w:t>
      </w:r>
      <w:r w:rsidRPr="00624696">
        <w:rPr>
          <w:i/>
          <w:sz w:val="16"/>
          <w:lang w:val="es-AR"/>
        </w:rPr>
        <w:t>Costas.</w:t>
      </w:r>
      <w:r w:rsidRPr="00624696">
        <w:rPr>
          <w:i/>
          <w:spacing w:val="-6"/>
          <w:sz w:val="16"/>
          <w:lang w:val="es-AR"/>
        </w:rPr>
        <w:t xml:space="preserve"> </w:t>
      </w:r>
      <w:r w:rsidRPr="00624696">
        <w:rPr>
          <w:sz w:val="16"/>
          <w:lang w:val="es-AR"/>
        </w:rPr>
        <w:t>Sentencia</w:t>
      </w:r>
      <w:r w:rsidRPr="00624696">
        <w:rPr>
          <w:spacing w:val="-6"/>
          <w:sz w:val="16"/>
          <w:lang w:val="es-AR"/>
        </w:rPr>
        <w:t xml:space="preserve"> </w:t>
      </w:r>
      <w:r w:rsidRPr="00624696">
        <w:rPr>
          <w:sz w:val="16"/>
          <w:lang w:val="es-AR"/>
        </w:rPr>
        <w:t>de</w:t>
      </w:r>
      <w:bookmarkStart w:id="57" w:name="_bookmark43"/>
      <w:bookmarkEnd w:id="57"/>
      <w:r w:rsidRPr="00624696">
        <w:rPr>
          <w:sz w:val="16"/>
          <w:lang w:val="es-AR"/>
        </w:rPr>
        <w:t xml:space="preserve"> 17 de abril de 2015. Serie C No. 292, párr.</w:t>
      </w:r>
      <w:r w:rsidRPr="00624696">
        <w:rPr>
          <w:spacing w:val="-6"/>
          <w:sz w:val="16"/>
          <w:lang w:val="es-AR"/>
        </w:rPr>
        <w:t xml:space="preserve"> </w:t>
      </w:r>
      <w:r w:rsidRPr="00624696">
        <w:rPr>
          <w:sz w:val="16"/>
          <w:lang w:val="es-AR"/>
        </w:rPr>
        <w:t>48.</w:t>
      </w:r>
    </w:p>
    <w:p w14:paraId="5AF330C7" w14:textId="77777777" w:rsidR="00467FCA" w:rsidRDefault="001B68EB">
      <w:pPr>
        <w:tabs>
          <w:tab w:val="left" w:pos="839"/>
        </w:tabs>
        <w:ind w:left="119" w:right="114"/>
        <w:jc w:val="both"/>
        <w:rPr>
          <w:sz w:val="16"/>
        </w:rPr>
      </w:pPr>
      <w:r w:rsidRPr="00624696">
        <w:rPr>
          <w:position w:val="6"/>
          <w:sz w:val="10"/>
          <w:lang w:val="es-AR"/>
        </w:rPr>
        <w:t>31</w:t>
      </w:r>
      <w:r w:rsidRPr="00624696">
        <w:rPr>
          <w:position w:val="6"/>
          <w:sz w:val="10"/>
          <w:lang w:val="es-AR"/>
        </w:rPr>
        <w:tab/>
      </w:r>
      <w:r w:rsidRPr="00624696">
        <w:rPr>
          <w:i/>
          <w:sz w:val="16"/>
          <w:lang w:val="es-AR"/>
        </w:rPr>
        <w:t>Cfr.</w:t>
      </w:r>
      <w:r w:rsidRPr="00624696">
        <w:rPr>
          <w:i/>
          <w:spacing w:val="-3"/>
          <w:sz w:val="16"/>
          <w:lang w:val="es-AR"/>
        </w:rPr>
        <w:t xml:space="preserve"> </w:t>
      </w:r>
      <w:r w:rsidRPr="00624696">
        <w:rPr>
          <w:i/>
          <w:sz w:val="16"/>
          <w:lang w:val="es-AR"/>
        </w:rPr>
        <w:t>Caso</w:t>
      </w:r>
      <w:r w:rsidRPr="00624696">
        <w:rPr>
          <w:i/>
          <w:spacing w:val="-4"/>
          <w:sz w:val="16"/>
          <w:lang w:val="es-AR"/>
        </w:rPr>
        <w:t xml:space="preserve"> </w:t>
      </w:r>
      <w:r w:rsidRPr="00624696">
        <w:rPr>
          <w:i/>
          <w:sz w:val="16"/>
          <w:lang w:val="es-AR"/>
        </w:rPr>
        <w:t>Velásquez</w:t>
      </w:r>
      <w:r w:rsidRPr="00624696">
        <w:rPr>
          <w:i/>
          <w:spacing w:val="-5"/>
          <w:sz w:val="16"/>
          <w:lang w:val="es-AR"/>
        </w:rPr>
        <w:t xml:space="preserve"> </w:t>
      </w:r>
      <w:r w:rsidRPr="00624696">
        <w:rPr>
          <w:i/>
          <w:sz w:val="16"/>
          <w:lang w:val="es-AR"/>
        </w:rPr>
        <w:t>Rodríguez</w:t>
      </w:r>
      <w:r w:rsidRPr="00624696">
        <w:rPr>
          <w:i/>
          <w:spacing w:val="-5"/>
          <w:sz w:val="16"/>
          <w:lang w:val="es-AR"/>
        </w:rPr>
        <w:t xml:space="preserve"> </w:t>
      </w:r>
      <w:r w:rsidRPr="00624696">
        <w:rPr>
          <w:i/>
          <w:sz w:val="16"/>
          <w:lang w:val="es-AR"/>
        </w:rPr>
        <w:t>Vs.</w:t>
      </w:r>
      <w:r w:rsidRPr="00624696">
        <w:rPr>
          <w:i/>
          <w:spacing w:val="-6"/>
          <w:sz w:val="16"/>
          <w:lang w:val="es-AR"/>
        </w:rPr>
        <w:t xml:space="preserve"> </w:t>
      </w:r>
      <w:r>
        <w:rPr>
          <w:i/>
          <w:sz w:val="16"/>
        </w:rPr>
        <w:t>Honduras.</w:t>
      </w:r>
      <w:r>
        <w:rPr>
          <w:i/>
          <w:spacing w:val="-4"/>
          <w:sz w:val="16"/>
        </w:rPr>
        <w:t xml:space="preserve"> </w:t>
      </w:r>
      <w:r w:rsidRPr="00624696">
        <w:rPr>
          <w:i/>
          <w:sz w:val="16"/>
          <w:lang w:val="es-AR"/>
        </w:rPr>
        <w:t>Excepciones</w:t>
      </w:r>
      <w:r w:rsidRPr="00624696">
        <w:rPr>
          <w:i/>
          <w:spacing w:val="-5"/>
          <w:sz w:val="16"/>
          <w:lang w:val="es-AR"/>
        </w:rPr>
        <w:t xml:space="preserve"> </w:t>
      </w:r>
      <w:r w:rsidRPr="00624696">
        <w:rPr>
          <w:i/>
          <w:sz w:val="16"/>
          <w:lang w:val="es-AR"/>
        </w:rPr>
        <w:t>Preliminares,</w:t>
      </w:r>
      <w:r w:rsidRPr="00624696">
        <w:rPr>
          <w:i/>
          <w:spacing w:val="-3"/>
          <w:sz w:val="16"/>
          <w:lang w:val="es-AR"/>
        </w:rPr>
        <w:t xml:space="preserve"> </w:t>
      </w:r>
      <w:r w:rsidRPr="00624696">
        <w:rPr>
          <w:i/>
          <w:sz w:val="16"/>
          <w:lang w:val="es-AR"/>
        </w:rPr>
        <w:t>supra</w:t>
      </w:r>
      <w:r w:rsidRPr="00624696">
        <w:rPr>
          <w:sz w:val="16"/>
          <w:lang w:val="es-AR"/>
        </w:rPr>
        <w:t>,</w:t>
      </w:r>
      <w:r w:rsidRPr="00624696">
        <w:rPr>
          <w:spacing w:val="-4"/>
          <w:sz w:val="16"/>
          <w:lang w:val="es-AR"/>
        </w:rPr>
        <w:t xml:space="preserve"> </w:t>
      </w:r>
      <w:r w:rsidRPr="00624696">
        <w:rPr>
          <w:sz w:val="16"/>
          <w:lang w:val="es-AR"/>
        </w:rPr>
        <w:t>párr.</w:t>
      </w:r>
      <w:r w:rsidRPr="00624696">
        <w:rPr>
          <w:spacing w:val="-5"/>
          <w:sz w:val="16"/>
          <w:lang w:val="es-AR"/>
        </w:rPr>
        <w:t xml:space="preserve"> </w:t>
      </w:r>
      <w:r w:rsidRPr="00624696">
        <w:rPr>
          <w:sz w:val="16"/>
          <w:lang w:val="es-AR"/>
        </w:rPr>
        <w:t>88,</w:t>
      </w:r>
      <w:r w:rsidRPr="00624696">
        <w:rPr>
          <w:spacing w:val="-6"/>
          <w:sz w:val="16"/>
          <w:lang w:val="es-AR"/>
        </w:rPr>
        <w:t xml:space="preserve"> </w:t>
      </w:r>
      <w:r w:rsidRPr="00624696">
        <w:rPr>
          <w:sz w:val="16"/>
          <w:lang w:val="es-AR"/>
        </w:rPr>
        <w:t>y</w:t>
      </w:r>
      <w:r w:rsidRPr="00624696">
        <w:rPr>
          <w:spacing w:val="-4"/>
          <w:sz w:val="16"/>
          <w:lang w:val="es-AR"/>
        </w:rPr>
        <w:t xml:space="preserve"> </w:t>
      </w:r>
      <w:r w:rsidRPr="00624696">
        <w:rPr>
          <w:i/>
          <w:sz w:val="16"/>
          <w:lang w:val="es-AR"/>
        </w:rPr>
        <w:t>Caso</w:t>
      </w:r>
      <w:r w:rsidRPr="00624696">
        <w:rPr>
          <w:i/>
          <w:spacing w:val="-7"/>
          <w:sz w:val="16"/>
          <w:lang w:val="es-AR"/>
        </w:rPr>
        <w:t xml:space="preserve"> </w:t>
      </w:r>
      <w:r w:rsidRPr="00624696">
        <w:rPr>
          <w:i/>
          <w:sz w:val="16"/>
          <w:lang w:val="es-AR"/>
        </w:rPr>
        <w:t xml:space="preserve">Montesinos Mejía Vs. </w:t>
      </w:r>
      <w:r>
        <w:rPr>
          <w:i/>
          <w:sz w:val="16"/>
        </w:rPr>
        <w:t>Ecuador, supra</w:t>
      </w:r>
      <w:r>
        <w:rPr>
          <w:sz w:val="16"/>
        </w:rPr>
        <w:t>, párr.</w:t>
      </w:r>
      <w:r>
        <w:rPr>
          <w:spacing w:val="-6"/>
          <w:sz w:val="16"/>
        </w:rPr>
        <w:t xml:space="preserve"> </w:t>
      </w:r>
      <w:r>
        <w:rPr>
          <w:sz w:val="16"/>
        </w:rPr>
        <w:t>25.</w:t>
      </w:r>
    </w:p>
    <w:p w14:paraId="3EA3250D" w14:textId="77777777" w:rsidR="00467FCA" w:rsidRDefault="001B68EB">
      <w:pPr>
        <w:tabs>
          <w:tab w:val="left" w:pos="839"/>
        </w:tabs>
        <w:ind w:left="120" w:right="117"/>
        <w:jc w:val="both"/>
        <w:rPr>
          <w:sz w:val="16"/>
        </w:rPr>
      </w:pPr>
      <w:bookmarkStart w:id="58" w:name="_bookmark44"/>
      <w:bookmarkEnd w:id="58"/>
      <w:r w:rsidRPr="00624696">
        <w:rPr>
          <w:position w:val="6"/>
          <w:sz w:val="10"/>
          <w:lang w:val="es-AR"/>
        </w:rPr>
        <w:t>32</w:t>
      </w:r>
      <w:r w:rsidRPr="00624696">
        <w:rPr>
          <w:position w:val="6"/>
          <w:sz w:val="10"/>
          <w:lang w:val="es-AR"/>
        </w:rPr>
        <w:tab/>
      </w:r>
      <w:r w:rsidRPr="00624696">
        <w:rPr>
          <w:i/>
          <w:sz w:val="16"/>
          <w:lang w:val="es-AR"/>
        </w:rPr>
        <w:t xml:space="preserve">Cfr. Caso Velásquez Rodríguez Vs. </w:t>
      </w:r>
      <w:r>
        <w:rPr>
          <w:i/>
          <w:sz w:val="16"/>
        </w:rPr>
        <w:t xml:space="preserve">Honduras. </w:t>
      </w:r>
      <w:r w:rsidRPr="00624696">
        <w:rPr>
          <w:i/>
          <w:sz w:val="16"/>
          <w:lang w:val="es-AR"/>
        </w:rPr>
        <w:t>Excepciones Preliminares, supra</w:t>
      </w:r>
      <w:r w:rsidRPr="00624696">
        <w:rPr>
          <w:sz w:val="16"/>
          <w:lang w:val="es-AR"/>
        </w:rPr>
        <w:t xml:space="preserve">, párr. 88, y Caso </w:t>
      </w:r>
      <w:r w:rsidRPr="00624696">
        <w:rPr>
          <w:i/>
          <w:sz w:val="16"/>
          <w:lang w:val="es-AR"/>
        </w:rPr>
        <w:t xml:space="preserve">Carranza Alarcón Vs. </w:t>
      </w:r>
      <w:r>
        <w:rPr>
          <w:i/>
          <w:sz w:val="16"/>
        </w:rPr>
        <w:t xml:space="preserve">Ecuador. </w:t>
      </w:r>
      <w:r w:rsidRPr="00624696">
        <w:rPr>
          <w:i/>
          <w:sz w:val="16"/>
          <w:lang w:val="es-AR"/>
        </w:rPr>
        <w:t xml:space="preserve">Excepciones Preliminares, Fondo, Reparaciones y Costas. </w:t>
      </w:r>
      <w:r w:rsidRPr="00624696">
        <w:rPr>
          <w:sz w:val="16"/>
          <w:lang w:val="es-AR"/>
        </w:rPr>
        <w:t xml:space="preserve">Sentencia de 3 de febrero de 2020. </w:t>
      </w:r>
      <w:r>
        <w:rPr>
          <w:sz w:val="16"/>
        </w:rPr>
        <w:t>Serie C No. 399, párr.</w:t>
      </w:r>
      <w:r>
        <w:rPr>
          <w:spacing w:val="-6"/>
          <w:sz w:val="16"/>
        </w:rPr>
        <w:t xml:space="preserve"> </w:t>
      </w:r>
      <w:r>
        <w:rPr>
          <w:sz w:val="16"/>
        </w:rPr>
        <w:t>15.</w:t>
      </w:r>
    </w:p>
    <w:p w14:paraId="13D126A3" w14:textId="77777777" w:rsidR="00467FCA" w:rsidRDefault="001B68EB">
      <w:pPr>
        <w:tabs>
          <w:tab w:val="left" w:pos="839"/>
        </w:tabs>
        <w:ind w:left="120" w:right="117" w:hanging="1"/>
        <w:jc w:val="both"/>
        <w:rPr>
          <w:sz w:val="16"/>
        </w:rPr>
      </w:pPr>
      <w:bookmarkStart w:id="59" w:name="_bookmark45"/>
      <w:bookmarkEnd w:id="59"/>
      <w:r>
        <w:rPr>
          <w:position w:val="6"/>
          <w:sz w:val="10"/>
        </w:rPr>
        <w:t>33</w:t>
      </w:r>
      <w:r>
        <w:rPr>
          <w:position w:val="6"/>
          <w:sz w:val="10"/>
        </w:rPr>
        <w:tab/>
      </w:r>
      <w:r>
        <w:rPr>
          <w:i/>
          <w:sz w:val="16"/>
        </w:rPr>
        <w:t>Cfr. Caso V</w:t>
      </w:r>
      <w:r>
        <w:rPr>
          <w:i/>
          <w:sz w:val="16"/>
        </w:rPr>
        <w:t xml:space="preserve">elásquez Rodríguez Vs. Honduras. </w:t>
      </w:r>
      <w:r w:rsidRPr="00624696">
        <w:rPr>
          <w:i/>
          <w:sz w:val="16"/>
          <w:lang w:val="es-AR"/>
        </w:rPr>
        <w:t>Excepciones Preliminares, supra</w:t>
      </w:r>
      <w:r w:rsidRPr="00624696">
        <w:rPr>
          <w:sz w:val="16"/>
          <w:lang w:val="es-AR"/>
        </w:rPr>
        <w:t xml:space="preserve">, párr. 88, y Caso </w:t>
      </w:r>
      <w:r w:rsidRPr="00624696">
        <w:rPr>
          <w:i/>
          <w:sz w:val="16"/>
          <w:lang w:val="es-AR"/>
        </w:rPr>
        <w:t xml:space="preserve">Carranza Alarcón Vs. </w:t>
      </w:r>
      <w:r>
        <w:rPr>
          <w:i/>
          <w:sz w:val="16"/>
        </w:rPr>
        <w:t>Ecuador, supra</w:t>
      </w:r>
      <w:r>
        <w:rPr>
          <w:sz w:val="16"/>
        </w:rPr>
        <w:t>, párr.</w:t>
      </w:r>
      <w:r>
        <w:rPr>
          <w:spacing w:val="-8"/>
          <w:sz w:val="16"/>
        </w:rPr>
        <w:t xml:space="preserve"> </w:t>
      </w:r>
      <w:r>
        <w:rPr>
          <w:sz w:val="16"/>
        </w:rPr>
        <w:t>15.</w:t>
      </w:r>
    </w:p>
    <w:p w14:paraId="59C3F68F" w14:textId="77777777" w:rsidR="00467FCA" w:rsidRDefault="001B68EB">
      <w:pPr>
        <w:tabs>
          <w:tab w:val="left" w:pos="839"/>
        </w:tabs>
        <w:ind w:left="119" w:right="115"/>
        <w:jc w:val="both"/>
        <w:rPr>
          <w:sz w:val="16"/>
        </w:rPr>
      </w:pPr>
      <w:bookmarkStart w:id="60" w:name="_bookmark46"/>
      <w:bookmarkEnd w:id="60"/>
      <w:r>
        <w:rPr>
          <w:position w:val="6"/>
          <w:sz w:val="10"/>
        </w:rPr>
        <w:t>34</w:t>
      </w:r>
      <w:r>
        <w:rPr>
          <w:position w:val="6"/>
          <w:sz w:val="10"/>
        </w:rPr>
        <w:tab/>
      </w:r>
      <w:r>
        <w:rPr>
          <w:i/>
          <w:sz w:val="16"/>
        </w:rPr>
        <w:t>Cfr</w:t>
      </w:r>
      <w:r>
        <w:rPr>
          <w:sz w:val="16"/>
        </w:rPr>
        <w:t xml:space="preserve">. Comunicación No. JG-RJ No. 212/2001, remitida por los representantes a la Comisión Interamericana, 23 de noviembre de </w:t>
      </w:r>
      <w:r>
        <w:rPr>
          <w:sz w:val="16"/>
        </w:rPr>
        <w:t>2001 (expediente de prueba, folios 407 y</w:t>
      </w:r>
      <w:r>
        <w:rPr>
          <w:spacing w:val="-9"/>
          <w:sz w:val="16"/>
        </w:rPr>
        <w:t xml:space="preserve"> </w:t>
      </w:r>
      <w:r>
        <w:rPr>
          <w:sz w:val="16"/>
        </w:rPr>
        <w:t>408)</w:t>
      </w:r>
    </w:p>
    <w:p w14:paraId="4DD6A065" w14:textId="77777777" w:rsidR="00467FCA" w:rsidRPr="00624696" w:rsidRDefault="001B68EB">
      <w:pPr>
        <w:tabs>
          <w:tab w:val="left" w:pos="839"/>
        </w:tabs>
        <w:ind w:left="119" w:right="117"/>
        <w:jc w:val="both"/>
        <w:rPr>
          <w:sz w:val="16"/>
          <w:lang w:val="es-AR"/>
        </w:rPr>
      </w:pPr>
      <w:bookmarkStart w:id="61" w:name="_bookmark47"/>
      <w:bookmarkEnd w:id="61"/>
      <w:r w:rsidRPr="00624696">
        <w:rPr>
          <w:position w:val="6"/>
          <w:sz w:val="10"/>
          <w:lang w:val="es-AR"/>
        </w:rPr>
        <w:t>35</w:t>
      </w:r>
      <w:r w:rsidRPr="00624696">
        <w:rPr>
          <w:position w:val="6"/>
          <w:sz w:val="10"/>
          <w:lang w:val="es-AR"/>
        </w:rPr>
        <w:tab/>
      </w:r>
      <w:r w:rsidRPr="00624696">
        <w:rPr>
          <w:i/>
          <w:sz w:val="16"/>
          <w:lang w:val="es-AR"/>
        </w:rPr>
        <w:t>Cfr</w:t>
      </w:r>
      <w:r w:rsidRPr="00624696">
        <w:rPr>
          <w:sz w:val="16"/>
          <w:lang w:val="es-AR"/>
        </w:rPr>
        <w:t>.</w:t>
      </w:r>
      <w:r w:rsidRPr="00624696">
        <w:rPr>
          <w:spacing w:val="-6"/>
          <w:sz w:val="16"/>
          <w:lang w:val="es-AR"/>
        </w:rPr>
        <w:t xml:space="preserve"> </w:t>
      </w:r>
      <w:r w:rsidRPr="00624696">
        <w:rPr>
          <w:sz w:val="16"/>
          <w:lang w:val="es-AR"/>
        </w:rPr>
        <w:t>Comunicación</w:t>
      </w:r>
      <w:r w:rsidRPr="00624696">
        <w:rPr>
          <w:spacing w:val="-9"/>
          <w:sz w:val="16"/>
          <w:lang w:val="es-AR"/>
        </w:rPr>
        <w:t xml:space="preserve"> </w:t>
      </w:r>
      <w:r w:rsidRPr="00624696">
        <w:rPr>
          <w:sz w:val="16"/>
          <w:lang w:val="es-AR"/>
        </w:rPr>
        <w:t>remitida</w:t>
      </w:r>
      <w:r w:rsidRPr="00624696">
        <w:rPr>
          <w:spacing w:val="-6"/>
          <w:sz w:val="16"/>
          <w:lang w:val="es-AR"/>
        </w:rPr>
        <w:t xml:space="preserve"> </w:t>
      </w:r>
      <w:r w:rsidRPr="00624696">
        <w:rPr>
          <w:sz w:val="16"/>
          <w:lang w:val="es-AR"/>
        </w:rPr>
        <w:t>por</w:t>
      </w:r>
      <w:r w:rsidRPr="00624696">
        <w:rPr>
          <w:spacing w:val="-4"/>
          <w:sz w:val="16"/>
          <w:lang w:val="es-AR"/>
        </w:rPr>
        <w:t xml:space="preserve"> </w:t>
      </w:r>
      <w:r w:rsidRPr="00624696">
        <w:rPr>
          <w:sz w:val="16"/>
          <w:lang w:val="es-AR"/>
        </w:rPr>
        <w:t>el</w:t>
      </w:r>
      <w:r w:rsidRPr="00624696">
        <w:rPr>
          <w:spacing w:val="-3"/>
          <w:sz w:val="16"/>
          <w:lang w:val="es-AR"/>
        </w:rPr>
        <w:t xml:space="preserve"> </w:t>
      </w:r>
      <w:r w:rsidRPr="00624696">
        <w:rPr>
          <w:sz w:val="16"/>
          <w:lang w:val="es-AR"/>
        </w:rPr>
        <w:t>Estado</w:t>
      </w:r>
      <w:r w:rsidRPr="00624696">
        <w:rPr>
          <w:spacing w:val="-4"/>
          <w:sz w:val="16"/>
          <w:lang w:val="es-AR"/>
        </w:rPr>
        <w:t xml:space="preserve"> </w:t>
      </w:r>
      <w:r w:rsidRPr="00624696">
        <w:rPr>
          <w:sz w:val="16"/>
          <w:lang w:val="es-AR"/>
        </w:rPr>
        <w:t>a</w:t>
      </w:r>
      <w:r w:rsidRPr="00624696">
        <w:rPr>
          <w:spacing w:val="-6"/>
          <w:sz w:val="16"/>
          <w:lang w:val="es-AR"/>
        </w:rPr>
        <w:t xml:space="preserve"> </w:t>
      </w:r>
      <w:r w:rsidRPr="00624696">
        <w:rPr>
          <w:sz w:val="16"/>
          <w:lang w:val="es-AR"/>
        </w:rPr>
        <w:t>la</w:t>
      </w:r>
      <w:r w:rsidRPr="00624696">
        <w:rPr>
          <w:spacing w:val="-6"/>
          <w:sz w:val="16"/>
          <w:lang w:val="es-AR"/>
        </w:rPr>
        <w:t xml:space="preserve"> </w:t>
      </w:r>
      <w:r w:rsidRPr="00624696">
        <w:rPr>
          <w:sz w:val="16"/>
          <w:lang w:val="es-AR"/>
        </w:rPr>
        <w:t>Comisión</w:t>
      </w:r>
      <w:r w:rsidRPr="00624696">
        <w:rPr>
          <w:spacing w:val="-5"/>
          <w:sz w:val="16"/>
          <w:lang w:val="es-AR"/>
        </w:rPr>
        <w:t xml:space="preserve"> </w:t>
      </w:r>
      <w:r w:rsidRPr="00624696">
        <w:rPr>
          <w:sz w:val="16"/>
          <w:lang w:val="es-AR"/>
        </w:rPr>
        <w:t>Interamericana,</w:t>
      </w:r>
      <w:r w:rsidRPr="00624696">
        <w:rPr>
          <w:spacing w:val="-6"/>
          <w:sz w:val="16"/>
          <w:lang w:val="es-AR"/>
        </w:rPr>
        <w:t xml:space="preserve"> </w:t>
      </w:r>
      <w:r w:rsidRPr="00624696">
        <w:rPr>
          <w:sz w:val="16"/>
          <w:lang w:val="es-AR"/>
        </w:rPr>
        <w:t>12</w:t>
      </w:r>
      <w:r w:rsidRPr="00624696">
        <w:rPr>
          <w:spacing w:val="-4"/>
          <w:sz w:val="16"/>
          <w:lang w:val="es-AR"/>
        </w:rPr>
        <w:t xml:space="preserve"> </w:t>
      </w:r>
      <w:r w:rsidRPr="00624696">
        <w:rPr>
          <w:sz w:val="16"/>
          <w:lang w:val="es-AR"/>
        </w:rPr>
        <w:t>de</w:t>
      </w:r>
      <w:r w:rsidRPr="00624696">
        <w:rPr>
          <w:spacing w:val="-7"/>
          <w:sz w:val="16"/>
          <w:lang w:val="es-AR"/>
        </w:rPr>
        <w:t xml:space="preserve"> </w:t>
      </w:r>
      <w:r w:rsidRPr="00624696">
        <w:rPr>
          <w:sz w:val="16"/>
          <w:lang w:val="es-AR"/>
        </w:rPr>
        <w:t>octubre</w:t>
      </w:r>
      <w:r w:rsidRPr="00624696">
        <w:rPr>
          <w:spacing w:val="-5"/>
          <w:sz w:val="16"/>
          <w:lang w:val="es-AR"/>
        </w:rPr>
        <w:t xml:space="preserve"> </w:t>
      </w:r>
      <w:r w:rsidRPr="00624696">
        <w:rPr>
          <w:sz w:val="16"/>
          <w:lang w:val="es-AR"/>
        </w:rPr>
        <w:t>de</w:t>
      </w:r>
      <w:r w:rsidRPr="00624696">
        <w:rPr>
          <w:spacing w:val="-7"/>
          <w:sz w:val="16"/>
          <w:lang w:val="es-AR"/>
        </w:rPr>
        <w:t xml:space="preserve"> </w:t>
      </w:r>
      <w:r w:rsidRPr="00624696">
        <w:rPr>
          <w:sz w:val="16"/>
          <w:lang w:val="es-AR"/>
        </w:rPr>
        <w:t>2005</w:t>
      </w:r>
      <w:r w:rsidRPr="00624696">
        <w:rPr>
          <w:spacing w:val="-4"/>
          <w:sz w:val="16"/>
          <w:lang w:val="es-AR"/>
        </w:rPr>
        <w:t xml:space="preserve"> </w:t>
      </w:r>
      <w:r w:rsidRPr="00624696">
        <w:rPr>
          <w:sz w:val="16"/>
          <w:lang w:val="es-AR"/>
        </w:rPr>
        <w:t>(expediente de prueba, folios 238 a</w:t>
      </w:r>
      <w:r w:rsidRPr="00624696">
        <w:rPr>
          <w:spacing w:val="-10"/>
          <w:sz w:val="16"/>
          <w:lang w:val="es-AR"/>
        </w:rPr>
        <w:t xml:space="preserve"> </w:t>
      </w:r>
      <w:r w:rsidRPr="00624696">
        <w:rPr>
          <w:sz w:val="16"/>
          <w:lang w:val="es-AR"/>
        </w:rPr>
        <w:t>249).</w:t>
      </w:r>
    </w:p>
    <w:p w14:paraId="3DD4115E" w14:textId="77777777" w:rsidR="00467FCA" w:rsidRPr="00624696" w:rsidRDefault="001B68EB">
      <w:pPr>
        <w:tabs>
          <w:tab w:val="left" w:pos="839"/>
        </w:tabs>
        <w:ind w:left="120"/>
        <w:jc w:val="both"/>
        <w:rPr>
          <w:sz w:val="16"/>
          <w:lang w:val="es-AR"/>
        </w:rPr>
      </w:pPr>
      <w:bookmarkStart w:id="62" w:name="_bookmark48"/>
      <w:bookmarkEnd w:id="62"/>
      <w:r w:rsidRPr="00624696">
        <w:rPr>
          <w:position w:val="6"/>
          <w:sz w:val="10"/>
          <w:lang w:val="es-AR"/>
        </w:rPr>
        <w:t>36</w:t>
      </w:r>
      <w:r w:rsidRPr="00624696">
        <w:rPr>
          <w:position w:val="6"/>
          <w:sz w:val="10"/>
          <w:lang w:val="es-AR"/>
        </w:rPr>
        <w:tab/>
      </w:r>
      <w:r w:rsidRPr="00624696">
        <w:rPr>
          <w:i/>
          <w:sz w:val="16"/>
          <w:lang w:val="es-AR"/>
        </w:rPr>
        <w:t>Cfr</w:t>
      </w:r>
      <w:r w:rsidRPr="00624696">
        <w:rPr>
          <w:sz w:val="16"/>
          <w:lang w:val="es-AR"/>
        </w:rPr>
        <w:t xml:space="preserve">. Alegatos orales del Estado en Audiencia Pública realizada el 31 </w:t>
      </w:r>
      <w:r w:rsidRPr="00624696">
        <w:rPr>
          <w:sz w:val="16"/>
          <w:lang w:val="es-AR"/>
        </w:rPr>
        <w:t>de enero de 2020 ante la Corte</w:t>
      </w:r>
      <w:r w:rsidRPr="00624696">
        <w:rPr>
          <w:spacing w:val="-26"/>
          <w:sz w:val="16"/>
          <w:lang w:val="es-AR"/>
        </w:rPr>
        <w:t xml:space="preserve"> </w:t>
      </w:r>
      <w:r w:rsidRPr="00624696">
        <w:rPr>
          <w:sz w:val="16"/>
          <w:lang w:val="es-AR"/>
        </w:rPr>
        <w:t>IDH.</w:t>
      </w:r>
    </w:p>
    <w:p w14:paraId="0BAB125A" w14:textId="77777777" w:rsidR="00467FCA" w:rsidRPr="00624696" w:rsidRDefault="00467FCA">
      <w:pPr>
        <w:jc w:val="both"/>
        <w:rPr>
          <w:sz w:val="16"/>
          <w:lang w:val="es-AR"/>
        </w:rPr>
        <w:sectPr w:rsidR="00467FCA" w:rsidRPr="00624696">
          <w:pgSz w:w="12240" w:h="15840"/>
          <w:pgMar w:top="1500" w:right="1320" w:bottom="1220" w:left="1320" w:header="0" w:footer="1037" w:gutter="0"/>
          <w:cols w:space="720"/>
        </w:sectPr>
      </w:pPr>
    </w:p>
    <w:p w14:paraId="3CEBB9F2" w14:textId="77777777" w:rsidR="00467FCA" w:rsidRPr="00624696" w:rsidRDefault="001B68EB">
      <w:pPr>
        <w:pStyle w:val="Prrafodelista"/>
        <w:numPr>
          <w:ilvl w:val="0"/>
          <w:numId w:val="50"/>
        </w:numPr>
        <w:tabs>
          <w:tab w:val="left" w:pos="687"/>
        </w:tabs>
        <w:spacing w:before="80"/>
        <w:ind w:left="119" w:right="117" w:firstLine="0"/>
        <w:jc w:val="both"/>
        <w:rPr>
          <w:sz w:val="20"/>
          <w:lang w:val="es-AR"/>
        </w:rPr>
      </w:pPr>
      <w:r w:rsidRPr="00624696">
        <w:rPr>
          <w:sz w:val="20"/>
          <w:lang w:val="es-AR"/>
        </w:rPr>
        <w:t>De acuerdo con el acervo probatorio del presente caso, la Comisión Interamericana convocó a las partes a una audiencia pública para tratar la admisibilidad del caso, el 19 de octubre de 2006. Durante dicha audiencia, la Agente del Estado informó “a todos l</w:t>
      </w:r>
      <w:r w:rsidRPr="00624696">
        <w:rPr>
          <w:sz w:val="20"/>
          <w:lang w:val="es-AR"/>
        </w:rPr>
        <w:t>os peticionarios y miembros de la Comisión que no tratar[ían] ningún asunto ni impugnar[ían] la admisibilidad de este caso”</w:t>
      </w:r>
      <w:hyperlink w:anchor="_bookmark51" w:history="1">
        <w:r w:rsidRPr="00624696">
          <w:rPr>
            <w:position w:val="7"/>
            <w:sz w:val="13"/>
            <w:lang w:val="es-AR"/>
          </w:rPr>
          <w:t>37</w:t>
        </w:r>
      </w:hyperlink>
      <w:r w:rsidRPr="00624696">
        <w:rPr>
          <w:sz w:val="20"/>
          <w:lang w:val="es-AR"/>
        </w:rPr>
        <w:t xml:space="preserve">. Mediante la citada declaración, el Estado no solo dejó de alegar la falta de agotamiento de recursos internos o de presentar otra objeción a la admisibilidad del caso, sino que declaró expresamente que no cuestionaría su admisibilidad. El 20 de octubre, </w:t>
      </w:r>
      <w:r w:rsidRPr="00624696">
        <w:rPr>
          <w:sz w:val="20"/>
          <w:lang w:val="es-AR"/>
        </w:rPr>
        <w:t>es decir, el día siguiente de esa declaración, la Comisión llevó a cabo una reunión de trabajo para tratar la posibilidad de iniciar un proceso de solución amistosa. Así, el</w:t>
      </w:r>
      <w:r w:rsidRPr="00624696">
        <w:rPr>
          <w:spacing w:val="-12"/>
          <w:sz w:val="20"/>
          <w:lang w:val="es-AR"/>
        </w:rPr>
        <w:t xml:space="preserve"> </w:t>
      </w:r>
      <w:r w:rsidRPr="00624696">
        <w:rPr>
          <w:sz w:val="20"/>
          <w:lang w:val="es-AR"/>
        </w:rPr>
        <w:t>análisis</w:t>
      </w:r>
      <w:r w:rsidRPr="00624696">
        <w:rPr>
          <w:spacing w:val="-11"/>
          <w:sz w:val="20"/>
          <w:lang w:val="es-AR"/>
        </w:rPr>
        <w:t xml:space="preserve"> </w:t>
      </w:r>
      <w:r w:rsidRPr="00624696">
        <w:rPr>
          <w:sz w:val="20"/>
          <w:lang w:val="es-AR"/>
        </w:rPr>
        <w:t>del</w:t>
      </w:r>
      <w:r w:rsidRPr="00624696">
        <w:rPr>
          <w:spacing w:val="-11"/>
          <w:sz w:val="20"/>
          <w:lang w:val="es-AR"/>
        </w:rPr>
        <w:t xml:space="preserve"> </w:t>
      </w:r>
      <w:r w:rsidRPr="00624696">
        <w:rPr>
          <w:sz w:val="20"/>
          <w:lang w:val="es-AR"/>
        </w:rPr>
        <w:t>contenido</w:t>
      </w:r>
      <w:r w:rsidRPr="00624696">
        <w:rPr>
          <w:spacing w:val="-9"/>
          <w:sz w:val="20"/>
          <w:lang w:val="es-AR"/>
        </w:rPr>
        <w:t xml:space="preserve"> </w:t>
      </w:r>
      <w:r w:rsidRPr="00624696">
        <w:rPr>
          <w:sz w:val="20"/>
          <w:lang w:val="es-AR"/>
        </w:rPr>
        <w:t>de</w:t>
      </w:r>
      <w:r w:rsidRPr="00624696">
        <w:rPr>
          <w:spacing w:val="-13"/>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declaración</w:t>
      </w:r>
      <w:r w:rsidRPr="00624696">
        <w:rPr>
          <w:spacing w:val="-11"/>
          <w:sz w:val="20"/>
          <w:lang w:val="es-AR"/>
        </w:rPr>
        <w:t xml:space="preserve"> </w:t>
      </w:r>
      <w:r w:rsidRPr="00624696">
        <w:rPr>
          <w:sz w:val="20"/>
          <w:lang w:val="es-AR"/>
        </w:rPr>
        <w:t>del</w:t>
      </w:r>
      <w:r w:rsidRPr="00624696">
        <w:rPr>
          <w:spacing w:val="-12"/>
          <w:sz w:val="20"/>
          <w:lang w:val="es-AR"/>
        </w:rPr>
        <w:t xml:space="preserve"> </w:t>
      </w:r>
      <w:r w:rsidRPr="00624696">
        <w:rPr>
          <w:sz w:val="20"/>
          <w:lang w:val="es-AR"/>
        </w:rPr>
        <w:t>Estado</w:t>
      </w:r>
      <w:r w:rsidRPr="00624696">
        <w:rPr>
          <w:spacing w:val="-13"/>
          <w:sz w:val="20"/>
          <w:lang w:val="es-AR"/>
        </w:rPr>
        <w:t xml:space="preserve"> </w:t>
      </w:r>
      <w:r w:rsidRPr="00624696">
        <w:rPr>
          <w:sz w:val="20"/>
          <w:lang w:val="es-AR"/>
        </w:rPr>
        <w:t>y</w:t>
      </w:r>
      <w:r w:rsidRPr="00624696">
        <w:rPr>
          <w:spacing w:val="-11"/>
          <w:sz w:val="20"/>
          <w:lang w:val="es-AR"/>
        </w:rPr>
        <w:t xml:space="preserve"> </w:t>
      </w:r>
      <w:r w:rsidRPr="00624696">
        <w:rPr>
          <w:sz w:val="20"/>
          <w:lang w:val="es-AR"/>
        </w:rPr>
        <w:t>del</w:t>
      </w:r>
      <w:r w:rsidRPr="00624696">
        <w:rPr>
          <w:spacing w:val="-11"/>
          <w:sz w:val="20"/>
          <w:lang w:val="es-AR"/>
        </w:rPr>
        <w:t xml:space="preserve"> </w:t>
      </w:r>
      <w:r w:rsidRPr="00624696">
        <w:rPr>
          <w:sz w:val="20"/>
          <w:lang w:val="es-AR"/>
        </w:rPr>
        <w:t>momento</w:t>
      </w:r>
      <w:r w:rsidRPr="00624696">
        <w:rPr>
          <w:spacing w:val="-11"/>
          <w:sz w:val="20"/>
          <w:lang w:val="es-AR"/>
        </w:rPr>
        <w:t xml:space="preserve"> </w:t>
      </w:r>
      <w:r w:rsidRPr="00624696">
        <w:rPr>
          <w:sz w:val="20"/>
          <w:lang w:val="es-AR"/>
        </w:rPr>
        <w:t>en</w:t>
      </w:r>
      <w:r w:rsidRPr="00624696">
        <w:rPr>
          <w:spacing w:val="-11"/>
          <w:sz w:val="20"/>
          <w:lang w:val="es-AR"/>
        </w:rPr>
        <w:t xml:space="preserve"> </w:t>
      </w:r>
      <w:r w:rsidRPr="00624696">
        <w:rPr>
          <w:sz w:val="20"/>
          <w:lang w:val="es-AR"/>
        </w:rPr>
        <w:t>que</w:t>
      </w:r>
      <w:r w:rsidRPr="00624696">
        <w:rPr>
          <w:spacing w:val="-14"/>
          <w:sz w:val="20"/>
          <w:lang w:val="es-AR"/>
        </w:rPr>
        <w:t xml:space="preserve"> </w:t>
      </w:r>
      <w:r w:rsidRPr="00624696">
        <w:rPr>
          <w:sz w:val="20"/>
          <w:lang w:val="es-AR"/>
        </w:rPr>
        <w:t>sucedió,</w:t>
      </w:r>
      <w:r w:rsidRPr="00624696">
        <w:rPr>
          <w:spacing w:val="-12"/>
          <w:sz w:val="20"/>
          <w:lang w:val="es-AR"/>
        </w:rPr>
        <w:t xml:space="preserve"> </w:t>
      </w:r>
      <w:r w:rsidRPr="00624696">
        <w:rPr>
          <w:sz w:val="20"/>
          <w:lang w:val="es-AR"/>
        </w:rPr>
        <w:t>permiten a</w:t>
      </w:r>
      <w:r w:rsidRPr="00624696">
        <w:rPr>
          <w:spacing w:val="-10"/>
          <w:sz w:val="20"/>
          <w:lang w:val="es-AR"/>
        </w:rPr>
        <w:t xml:space="preserve"> </w:t>
      </w:r>
      <w:r w:rsidRPr="00624696">
        <w:rPr>
          <w:sz w:val="20"/>
          <w:lang w:val="es-AR"/>
        </w:rPr>
        <w:t>este</w:t>
      </w:r>
      <w:r w:rsidRPr="00624696">
        <w:rPr>
          <w:spacing w:val="-8"/>
          <w:sz w:val="20"/>
          <w:lang w:val="es-AR"/>
        </w:rPr>
        <w:t xml:space="preserve"> </w:t>
      </w:r>
      <w:r w:rsidRPr="00624696">
        <w:rPr>
          <w:sz w:val="20"/>
          <w:lang w:val="es-AR"/>
        </w:rPr>
        <w:t>Tribunal</w:t>
      </w:r>
      <w:r w:rsidRPr="00624696">
        <w:rPr>
          <w:spacing w:val="-10"/>
          <w:sz w:val="20"/>
          <w:lang w:val="es-AR"/>
        </w:rPr>
        <w:t xml:space="preserve"> </w:t>
      </w:r>
      <w:r w:rsidRPr="00624696">
        <w:rPr>
          <w:sz w:val="20"/>
          <w:lang w:val="es-AR"/>
        </w:rPr>
        <w:t>arribar</w:t>
      </w:r>
      <w:r w:rsidRPr="00624696">
        <w:rPr>
          <w:spacing w:val="-8"/>
          <w:sz w:val="20"/>
          <w:lang w:val="es-AR"/>
        </w:rPr>
        <w:t xml:space="preserve"> </w:t>
      </w:r>
      <w:r w:rsidRPr="00624696">
        <w:rPr>
          <w:sz w:val="20"/>
          <w:lang w:val="es-AR"/>
        </w:rPr>
        <w:t>a</w:t>
      </w:r>
      <w:r w:rsidRPr="00624696">
        <w:rPr>
          <w:spacing w:val="-8"/>
          <w:sz w:val="20"/>
          <w:lang w:val="es-AR"/>
        </w:rPr>
        <w:t xml:space="preserve"> </w:t>
      </w:r>
      <w:r w:rsidRPr="00624696">
        <w:rPr>
          <w:sz w:val="20"/>
          <w:lang w:val="es-AR"/>
        </w:rPr>
        <w:t>la</w:t>
      </w:r>
      <w:r w:rsidRPr="00624696">
        <w:rPr>
          <w:spacing w:val="-7"/>
          <w:sz w:val="20"/>
          <w:lang w:val="es-AR"/>
        </w:rPr>
        <w:t xml:space="preserve"> </w:t>
      </w:r>
      <w:r w:rsidRPr="00624696">
        <w:rPr>
          <w:sz w:val="20"/>
          <w:lang w:val="es-AR"/>
        </w:rPr>
        <w:t>conclusión</w:t>
      </w:r>
      <w:r w:rsidRPr="00624696">
        <w:rPr>
          <w:spacing w:val="-9"/>
          <w:sz w:val="20"/>
          <w:lang w:val="es-AR"/>
        </w:rPr>
        <w:t xml:space="preserve"> </w:t>
      </w:r>
      <w:r w:rsidRPr="00624696">
        <w:rPr>
          <w:sz w:val="20"/>
          <w:lang w:val="es-AR"/>
        </w:rPr>
        <w:t>de</w:t>
      </w:r>
      <w:r w:rsidRPr="00624696">
        <w:rPr>
          <w:spacing w:val="-8"/>
          <w:sz w:val="20"/>
          <w:lang w:val="es-AR"/>
        </w:rPr>
        <w:t xml:space="preserve"> </w:t>
      </w:r>
      <w:r w:rsidRPr="00624696">
        <w:rPr>
          <w:sz w:val="20"/>
          <w:lang w:val="es-AR"/>
        </w:rPr>
        <w:t>que</w:t>
      </w:r>
      <w:r w:rsidRPr="00624696">
        <w:rPr>
          <w:spacing w:val="-9"/>
          <w:sz w:val="20"/>
          <w:lang w:val="es-AR"/>
        </w:rPr>
        <w:t xml:space="preserve"> </w:t>
      </w:r>
      <w:r w:rsidRPr="00624696">
        <w:rPr>
          <w:sz w:val="20"/>
          <w:lang w:val="es-AR"/>
        </w:rPr>
        <w:t>esta</w:t>
      </w:r>
      <w:r w:rsidRPr="00624696">
        <w:rPr>
          <w:spacing w:val="-9"/>
          <w:sz w:val="20"/>
          <w:lang w:val="es-AR"/>
        </w:rPr>
        <w:t xml:space="preserve"> </w:t>
      </w:r>
      <w:r w:rsidRPr="00624696">
        <w:rPr>
          <w:sz w:val="20"/>
          <w:lang w:val="es-AR"/>
        </w:rPr>
        <w:t>ocurrió</w:t>
      </w:r>
      <w:r w:rsidRPr="00624696">
        <w:rPr>
          <w:spacing w:val="-9"/>
          <w:sz w:val="20"/>
          <w:lang w:val="es-AR"/>
        </w:rPr>
        <w:t xml:space="preserve"> </w:t>
      </w:r>
      <w:r w:rsidRPr="00624696">
        <w:rPr>
          <w:sz w:val="20"/>
          <w:lang w:val="es-AR"/>
        </w:rPr>
        <w:t>en</w:t>
      </w:r>
      <w:r w:rsidRPr="00624696">
        <w:rPr>
          <w:spacing w:val="-6"/>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audiencia</w:t>
      </w:r>
      <w:r w:rsidRPr="00624696">
        <w:rPr>
          <w:spacing w:val="-9"/>
          <w:sz w:val="20"/>
          <w:lang w:val="es-AR"/>
        </w:rPr>
        <w:t xml:space="preserve"> </w:t>
      </w:r>
      <w:r w:rsidRPr="00624696">
        <w:rPr>
          <w:sz w:val="20"/>
          <w:lang w:val="es-AR"/>
        </w:rPr>
        <w:t>de</w:t>
      </w:r>
      <w:r w:rsidRPr="00624696">
        <w:rPr>
          <w:spacing w:val="-8"/>
          <w:sz w:val="20"/>
          <w:lang w:val="es-AR"/>
        </w:rPr>
        <w:t xml:space="preserve"> </w:t>
      </w:r>
      <w:r w:rsidRPr="00624696">
        <w:rPr>
          <w:sz w:val="20"/>
          <w:lang w:val="es-AR"/>
        </w:rPr>
        <w:t>admisibilidad</w:t>
      </w:r>
      <w:r w:rsidRPr="00624696">
        <w:rPr>
          <w:spacing w:val="-10"/>
          <w:sz w:val="20"/>
          <w:lang w:val="es-AR"/>
        </w:rPr>
        <w:t xml:space="preserve"> </w:t>
      </w:r>
      <w:r w:rsidRPr="00624696">
        <w:rPr>
          <w:sz w:val="20"/>
          <w:lang w:val="es-AR"/>
        </w:rPr>
        <w:t>del caso, previo al inicio del proceso de solución</w:t>
      </w:r>
      <w:r w:rsidRPr="00624696">
        <w:rPr>
          <w:spacing w:val="-7"/>
          <w:sz w:val="20"/>
          <w:lang w:val="es-AR"/>
        </w:rPr>
        <w:t xml:space="preserve"> </w:t>
      </w:r>
      <w:r w:rsidRPr="00624696">
        <w:rPr>
          <w:sz w:val="20"/>
          <w:lang w:val="es-AR"/>
        </w:rPr>
        <w:t>amistosa.</w:t>
      </w:r>
    </w:p>
    <w:p w14:paraId="3A495C0B" w14:textId="77777777" w:rsidR="00467FCA" w:rsidRPr="00624696" w:rsidRDefault="00467FCA">
      <w:pPr>
        <w:pStyle w:val="Textoindependiente"/>
        <w:spacing w:before="1"/>
        <w:rPr>
          <w:lang w:val="es-AR"/>
        </w:rPr>
      </w:pPr>
    </w:p>
    <w:p w14:paraId="2B5CF7C0" w14:textId="77777777" w:rsidR="00467FCA" w:rsidRDefault="001B68EB">
      <w:pPr>
        <w:pStyle w:val="Prrafodelista"/>
        <w:numPr>
          <w:ilvl w:val="0"/>
          <w:numId w:val="50"/>
        </w:numPr>
        <w:tabs>
          <w:tab w:val="left" w:pos="687"/>
        </w:tabs>
        <w:ind w:right="115" w:firstLine="0"/>
        <w:jc w:val="both"/>
        <w:rPr>
          <w:sz w:val="20"/>
        </w:rPr>
      </w:pPr>
      <w:r w:rsidRPr="00624696">
        <w:rPr>
          <w:sz w:val="20"/>
          <w:lang w:val="es-AR"/>
        </w:rPr>
        <w:t xml:space="preserve">Ahora bien, luego de que el Estado desistió de objetar la admisibilidad del caso </w:t>
      </w:r>
      <w:r w:rsidRPr="00624696">
        <w:rPr>
          <w:i/>
          <w:sz w:val="20"/>
          <w:lang w:val="es-AR"/>
        </w:rPr>
        <w:t xml:space="preserve">sub judice </w:t>
      </w:r>
      <w:r w:rsidRPr="00624696">
        <w:rPr>
          <w:sz w:val="20"/>
          <w:lang w:val="es-AR"/>
        </w:rPr>
        <w:t>durante la audiencia pública ante la Comisión, procedió a presentar ante la Corte la excepción preliminar de falta de agotamiento de los recursos internos. Lo anterior configura un cambio en la posición previamente asumida, que no es admisible según el pri</w:t>
      </w:r>
      <w:r w:rsidRPr="00624696">
        <w:rPr>
          <w:sz w:val="20"/>
          <w:lang w:val="es-AR"/>
        </w:rPr>
        <w:t xml:space="preserve">ncipio de </w:t>
      </w:r>
      <w:r w:rsidRPr="00624696">
        <w:rPr>
          <w:i/>
          <w:sz w:val="20"/>
          <w:lang w:val="es-AR"/>
        </w:rPr>
        <w:t>estoppel</w:t>
      </w:r>
      <w:r w:rsidRPr="00624696">
        <w:rPr>
          <w:sz w:val="20"/>
          <w:lang w:val="es-AR"/>
        </w:rPr>
        <w:t>. En ese sentido, este Tribunal recuerda que, según la práctica internacional y conforme a su jurisprudencia, cuando una parte en un litigio ha adoptado una actitud determinada que redunda en perjuicio propio o en beneficio de la parte co</w:t>
      </w:r>
      <w:r w:rsidRPr="00624696">
        <w:rPr>
          <w:sz w:val="20"/>
          <w:lang w:val="es-AR"/>
        </w:rPr>
        <w:t xml:space="preserve">ntraria, no puede, en virtud del principio de </w:t>
      </w:r>
      <w:r w:rsidRPr="00624696">
        <w:rPr>
          <w:i/>
          <w:sz w:val="20"/>
          <w:lang w:val="es-AR"/>
        </w:rPr>
        <w:t>estoppel</w:t>
      </w:r>
      <w:r w:rsidRPr="00624696">
        <w:rPr>
          <w:sz w:val="20"/>
          <w:lang w:val="es-AR"/>
        </w:rPr>
        <w:t>, asumir otra conducta que sea contradictoria con la primera</w:t>
      </w:r>
      <w:hyperlink w:anchor="_bookmark52" w:history="1">
        <w:r w:rsidRPr="00624696">
          <w:rPr>
            <w:position w:val="7"/>
            <w:sz w:val="13"/>
            <w:lang w:val="es-AR"/>
          </w:rPr>
          <w:t>38</w:t>
        </w:r>
      </w:hyperlink>
      <w:r w:rsidRPr="00624696">
        <w:rPr>
          <w:sz w:val="20"/>
          <w:lang w:val="es-AR"/>
        </w:rPr>
        <w:t xml:space="preserve">. </w:t>
      </w:r>
      <w:r>
        <w:rPr>
          <w:sz w:val="20"/>
        </w:rPr>
        <w:t>En consecuencia, la Corte desestima esta excepción</w:t>
      </w:r>
      <w:r>
        <w:rPr>
          <w:spacing w:val="-10"/>
          <w:sz w:val="20"/>
        </w:rPr>
        <w:t xml:space="preserve"> </w:t>
      </w:r>
      <w:r>
        <w:rPr>
          <w:sz w:val="20"/>
        </w:rPr>
        <w:t>preliminar.</w:t>
      </w:r>
    </w:p>
    <w:p w14:paraId="28994DDA" w14:textId="77777777" w:rsidR="00467FCA" w:rsidRDefault="00467FCA">
      <w:pPr>
        <w:pStyle w:val="Textoindependiente"/>
        <w:spacing w:before="10"/>
        <w:rPr>
          <w:sz w:val="19"/>
        </w:rPr>
      </w:pPr>
    </w:p>
    <w:p w14:paraId="1C4C7A84" w14:textId="77777777" w:rsidR="00467FCA" w:rsidRDefault="001B68EB">
      <w:pPr>
        <w:pStyle w:val="Ttulo1"/>
        <w:spacing w:before="1" w:line="278" w:lineRule="auto"/>
        <w:ind w:left="3364" w:right="3347" w:firstLine="1358"/>
      </w:pPr>
      <w:bookmarkStart w:id="63" w:name="V_CONSIDERACIÓN_PREVIA"/>
      <w:bookmarkStart w:id="64" w:name="_bookmark49"/>
      <w:bookmarkEnd w:id="63"/>
      <w:bookmarkEnd w:id="64"/>
      <w:r>
        <w:t>V CONSIDERACIÓN PREVIA</w:t>
      </w:r>
    </w:p>
    <w:p w14:paraId="3D04D705" w14:textId="77777777" w:rsidR="00467FCA" w:rsidRDefault="00467FCA">
      <w:pPr>
        <w:pStyle w:val="Textoindependiente"/>
        <w:spacing w:before="9"/>
        <w:rPr>
          <w:b/>
          <w:sz w:val="19"/>
        </w:rPr>
      </w:pPr>
    </w:p>
    <w:p w14:paraId="7DB9B613" w14:textId="77777777" w:rsidR="00467FCA" w:rsidRPr="00624696" w:rsidRDefault="001B68EB">
      <w:pPr>
        <w:pStyle w:val="Ttulo1"/>
        <w:numPr>
          <w:ilvl w:val="1"/>
          <w:numId w:val="50"/>
        </w:numPr>
        <w:tabs>
          <w:tab w:val="left" w:pos="840"/>
        </w:tabs>
        <w:rPr>
          <w:lang w:val="es-AR"/>
        </w:rPr>
      </w:pPr>
      <w:bookmarkStart w:id="65" w:name="A._Alegatos_del_Estado,_observaciones_de"/>
      <w:bookmarkStart w:id="66" w:name="_bookmark50"/>
      <w:bookmarkEnd w:id="65"/>
      <w:bookmarkEnd w:id="66"/>
      <w:r w:rsidRPr="00624696">
        <w:rPr>
          <w:lang w:val="es-AR"/>
        </w:rPr>
        <w:t>Alegatos del Estado, observaciones de la Comisión y de los</w:t>
      </w:r>
      <w:r w:rsidRPr="00624696">
        <w:rPr>
          <w:spacing w:val="-21"/>
          <w:lang w:val="es-AR"/>
        </w:rPr>
        <w:t xml:space="preserve"> </w:t>
      </w:r>
      <w:r w:rsidRPr="00624696">
        <w:rPr>
          <w:lang w:val="es-AR"/>
        </w:rPr>
        <w:t>representantes</w:t>
      </w:r>
    </w:p>
    <w:p w14:paraId="588B003F" w14:textId="77777777" w:rsidR="00467FCA" w:rsidRPr="00624696" w:rsidRDefault="00467FCA">
      <w:pPr>
        <w:pStyle w:val="Textoindependiente"/>
        <w:spacing w:before="11"/>
        <w:rPr>
          <w:b/>
          <w:sz w:val="19"/>
          <w:lang w:val="es-AR"/>
        </w:rPr>
      </w:pPr>
    </w:p>
    <w:p w14:paraId="679548C7" w14:textId="77777777" w:rsidR="00467FCA" w:rsidRPr="00624696" w:rsidRDefault="001B68EB">
      <w:pPr>
        <w:pStyle w:val="Prrafodelista"/>
        <w:numPr>
          <w:ilvl w:val="0"/>
          <w:numId w:val="50"/>
        </w:numPr>
        <w:tabs>
          <w:tab w:val="left" w:pos="687"/>
        </w:tabs>
        <w:ind w:left="119" w:right="118" w:firstLine="0"/>
        <w:jc w:val="both"/>
        <w:rPr>
          <w:sz w:val="20"/>
          <w:lang w:val="es-AR"/>
        </w:rPr>
      </w:pPr>
      <w:r w:rsidRPr="00624696">
        <w:rPr>
          <w:sz w:val="20"/>
          <w:lang w:val="es-AR"/>
        </w:rPr>
        <w:t xml:space="preserve">El </w:t>
      </w:r>
      <w:r w:rsidRPr="00624696">
        <w:rPr>
          <w:b/>
          <w:i/>
          <w:sz w:val="20"/>
          <w:lang w:val="es-AR"/>
        </w:rPr>
        <w:t xml:space="preserve">Estado </w:t>
      </w:r>
      <w:r w:rsidRPr="00624696">
        <w:rPr>
          <w:sz w:val="20"/>
          <w:lang w:val="es-AR"/>
        </w:rPr>
        <w:t>presentó una serie de objeciones en relación con las personas identificadas como</w:t>
      </w:r>
      <w:r w:rsidRPr="00624696">
        <w:rPr>
          <w:spacing w:val="-8"/>
          <w:sz w:val="20"/>
          <w:lang w:val="es-AR"/>
        </w:rPr>
        <w:t xml:space="preserve"> </w:t>
      </w:r>
      <w:r w:rsidRPr="00624696">
        <w:rPr>
          <w:sz w:val="20"/>
          <w:lang w:val="es-AR"/>
        </w:rPr>
        <w:t>presuntas</w:t>
      </w:r>
      <w:r w:rsidRPr="00624696">
        <w:rPr>
          <w:spacing w:val="-7"/>
          <w:sz w:val="20"/>
          <w:lang w:val="es-AR"/>
        </w:rPr>
        <w:t xml:space="preserve"> </w:t>
      </w:r>
      <w:r w:rsidRPr="00624696">
        <w:rPr>
          <w:sz w:val="20"/>
          <w:lang w:val="es-AR"/>
        </w:rPr>
        <w:t>víctimas</w:t>
      </w:r>
      <w:r w:rsidRPr="00624696">
        <w:rPr>
          <w:spacing w:val="-7"/>
          <w:sz w:val="20"/>
          <w:lang w:val="es-AR"/>
        </w:rPr>
        <w:t xml:space="preserve"> </w:t>
      </w:r>
      <w:r w:rsidRPr="00624696">
        <w:rPr>
          <w:sz w:val="20"/>
          <w:lang w:val="es-AR"/>
        </w:rPr>
        <w:t>por</w:t>
      </w:r>
      <w:r w:rsidRPr="00624696">
        <w:rPr>
          <w:spacing w:val="-7"/>
          <w:sz w:val="20"/>
          <w:lang w:val="es-AR"/>
        </w:rPr>
        <w:t xml:space="preserve"> </w:t>
      </w:r>
      <w:r w:rsidRPr="00624696">
        <w:rPr>
          <w:sz w:val="20"/>
          <w:lang w:val="es-AR"/>
        </w:rPr>
        <w:t>los</w:t>
      </w:r>
      <w:r w:rsidRPr="00624696">
        <w:rPr>
          <w:spacing w:val="-5"/>
          <w:sz w:val="20"/>
          <w:lang w:val="es-AR"/>
        </w:rPr>
        <w:t xml:space="preserve"> </w:t>
      </w:r>
      <w:r w:rsidRPr="00624696">
        <w:rPr>
          <w:sz w:val="20"/>
          <w:lang w:val="es-AR"/>
        </w:rPr>
        <w:t>representantes</w:t>
      </w:r>
      <w:r w:rsidRPr="00624696">
        <w:rPr>
          <w:spacing w:val="-5"/>
          <w:sz w:val="20"/>
          <w:lang w:val="es-AR"/>
        </w:rPr>
        <w:t xml:space="preserve"> </w:t>
      </w:r>
      <w:r w:rsidRPr="00624696">
        <w:rPr>
          <w:sz w:val="20"/>
          <w:lang w:val="es-AR"/>
        </w:rPr>
        <w:t>y</w:t>
      </w:r>
      <w:r w:rsidRPr="00624696">
        <w:rPr>
          <w:spacing w:val="-7"/>
          <w:sz w:val="20"/>
          <w:lang w:val="es-AR"/>
        </w:rPr>
        <w:t xml:space="preserve"> </w:t>
      </w:r>
      <w:r w:rsidRPr="00624696">
        <w:rPr>
          <w:sz w:val="20"/>
          <w:lang w:val="es-AR"/>
        </w:rPr>
        <w:t>por</w:t>
      </w:r>
      <w:r w:rsidRPr="00624696">
        <w:rPr>
          <w:spacing w:val="-8"/>
          <w:sz w:val="20"/>
          <w:lang w:val="es-AR"/>
        </w:rPr>
        <w:t xml:space="preserve"> </w:t>
      </w:r>
      <w:r w:rsidRPr="00624696">
        <w:rPr>
          <w:sz w:val="20"/>
          <w:lang w:val="es-AR"/>
        </w:rPr>
        <w:t>la</w:t>
      </w:r>
      <w:r w:rsidRPr="00624696">
        <w:rPr>
          <w:spacing w:val="-5"/>
          <w:sz w:val="20"/>
          <w:lang w:val="es-AR"/>
        </w:rPr>
        <w:t xml:space="preserve"> </w:t>
      </w:r>
      <w:r w:rsidRPr="00624696">
        <w:rPr>
          <w:sz w:val="20"/>
          <w:lang w:val="es-AR"/>
        </w:rPr>
        <w:t>Comisión,</w:t>
      </w:r>
      <w:r w:rsidRPr="00624696">
        <w:rPr>
          <w:spacing w:val="-5"/>
          <w:sz w:val="20"/>
          <w:lang w:val="es-AR"/>
        </w:rPr>
        <w:t xml:space="preserve"> </w:t>
      </w:r>
      <w:r w:rsidRPr="00624696">
        <w:rPr>
          <w:sz w:val="20"/>
          <w:lang w:val="es-AR"/>
        </w:rPr>
        <w:t>en</w:t>
      </w:r>
      <w:r w:rsidRPr="00624696">
        <w:rPr>
          <w:spacing w:val="-5"/>
          <w:sz w:val="20"/>
          <w:lang w:val="es-AR"/>
        </w:rPr>
        <w:t xml:space="preserve"> </w:t>
      </w:r>
      <w:r w:rsidRPr="00624696">
        <w:rPr>
          <w:sz w:val="20"/>
          <w:lang w:val="es-AR"/>
        </w:rPr>
        <w:t>pa</w:t>
      </w:r>
      <w:r w:rsidRPr="00624696">
        <w:rPr>
          <w:sz w:val="20"/>
          <w:lang w:val="es-AR"/>
        </w:rPr>
        <w:t>rticular</w:t>
      </w:r>
      <w:r w:rsidRPr="00624696">
        <w:rPr>
          <w:spacing w:val="-8"/>
          <w:sz w:val="20"/>
          <w:lang w:val="es-AR"/>
        </w:rPr>
        <w:t xml:space="preserve"> </w:t>
      </w:r>
      <w:r w:rsidRPr="00624696">
        <w:rPr>
          <w:sz w:val="20"/>
          <w:lang w:val="es-AR"/>
        </w:rPr>
        <w:t>respecto</w:t>
      </w:r>
      <w:r w:rsidRPr="00624696">
        <w:rPr>
          <w:spacing w:val="-8"/>
          <w:sz w:val="20"/>
          <w:lang w:val="es-AR"/>
        </w:rPr>
        <w:t xml:space="preserve"> </w:t>
      </w:r>
      <w:r w:rsidRPr="00624696">
        <w:rPr>
          <w:sz w:val="20"/>
          <w:lang w:val="es-AR"/>
        </w:rPr>
        <w:t>de:</w:t>
      </w:r>
    </w:p>
    <w:p w14:paraId="6515D69A" w14:textId="77777777" w:rsidR="00467FCA" w:rsidRPr="00624696" w:rsidRDefault="001B68EB">
      <w:pPr>
        <w:pStyle w:val="Textoindependiente"/>
        <w:spacing w:before="1"/>
        <w:ind w:left="119" w:right="117"/>
        <w:jc w:val="both"/>
        <w:rPr>
          <w:lang w:val="es-AR"/>
        </w:rPr>
      </w:pPr>
      <w:r w:rsidRPr="00624696">
        <w:rPr>
          <w:lang w:val="es-AR"/>
        </w:rPr>
        <w:t>a) una de las personas que fue identificada como fallecida en la explosión y 26 familiares identificados por los representantes en el escrito de solicitudes y argumentos, porque no fueron</w:t>
      </w:r>
      <w:r w:rsidRPr="00624696">
        <w:rPr>
          <w:spacing w:val="-7"/>
          <w:lang w:val="es-AR"/>
        </w:rPr>
        <w:t xml:space="preserve"> </w:t>
      </w:r>
      <w:r w:rsidRPr="00624696">
        <w:rPr>
          <w:lang w:val="es-AR"/>
        </w:rPr>
        <w:t>mencionados</w:t>
      </w:r>
      <w:r w:rsidRPr="00624696">
        <w:rPr>
          <w:spacing w:val="-6"/>
          <w:lang w:val="es-AR"/>
        </w:rPr>
        <w:t xml:space="preserve"> </w:t>
      </w:r>
      <w:r w:rsidRPr="00624696">
        <w:rPr>
          <w:lang w:val="es-AR"/>
        </w:rPr>
        <w:t>por</w:t>
      </w:r>
      <w:r w:rsidRPr="00624696">
        <w:rPr>
          <w:spacing w:val="-6"/>
          <w:lang w:val="es-AR"/>
        </w:rPr>
        <w:t xml:space="preserve"> </w:t>
      </w:r>
      <w:r w:rsidRPr="00624696">
        <w:rPr>
          <w:lang w:val="es-AR"/>
        </w:rPr>
        <w:t>la</w:t>
      </w:r>
      <w:r w:rsidRPr="00624696">
        <w:rPr>
          <w:spacing w:val="-8"/>
          <w:lang w:val="es-AR"/>
        </w:rPr>
        <w:t xml:space="preserve"> </w:t>
      </w:r>
      <w:r w:rsidRPr="00624696">
        <w:rPr>
          <w:lang w:val="es-AR"/>
        </w:rPr>
        <w:t>Comisión</w:t>
      </w:r>
      <w:r w:rsidRPr="00624696">
        <w:rPr>
          <w:spacing w:val="-4"/>
          <w:lang w:val="es-AR"/>
        </w:rPr>
        <w:t xml:space="preserve"> </w:t>
      </w:r>
      <w:r w:rsidRPr="00624696">
        <w:rPr>
          <w:lang w:val="es-AR"/>
        </w:rPr>
        <w:t>en</w:t>
      </w:r>
      <w:r w:rsidRPr="00624696">
        <w:rPr>
          <w:spacing w:val="-6"/>
          <w:lang w:val="es-AR"/>
        </w:rPr>
        <w:t xml:space="preserve"> </w:t>
      </w:r>
      <w:r w:rsidRPr="00624696">
        <w:rPr>
          <w:lang w:val="es-AR"/>
        </w:rPr>
        <w:t>su</w:t>
      </w:r>
      <w:r w:rsidRPr="00624696">
        <w:rPr>
          <w:spacing w:val="-4"/>
          <w:lang w:val="es-AR"/>
        </w:rPr>
        <w:t xml:space="preserve"> </w:t>
      </w:r>
      <w:r w:rsidRPr="00624696">
        <w:rPr>
          <w:lang w:val="es-AR"/>
        </w:rPr>
        <w:t>Informe</w:t>
      </w:r>
      <w:r w:rsidRPr="00624696">
        <w:rPr>
          <w:spacing w:val="-9"/>
          <w:lang w:val="es-AR"/>
        </w:rPr>
        <w:t xml:space="preserve"> </w:t>
      </w:r>
      <w:r w:rsidRPr="00624696">
        <w:rPr>
          <w:lang w:val="es-AR"/>
        </w:rPr>
        <w:t>de</w:t>
      </w:r>
      <w:r w:rsidRPr="00624696">
        <w:rPr>
          <w:spacing w:val="-8"/>
          <w:lang w:val="es-AR"/>
        </w:rPr>
        <w:t xml:space="preserve"> </w:t>
      </w:r>
      <w:r w:rsidRPr="00624696">
        <w:rPr>
          <w:lang w:val="es-AR"/>
        </w:rPr>
        <w:t>A</w:t>
      </w:r>
      <w:r w:rsidRPr="00624696">
        <w:rPr>
          <w:lang w:val="es-AR"/>
        </w:rPr>
        <w:t>dmisibilidad</w:t>
      </w:r>
      <w:r w:rsidRPr="00624696">
        <w:rPr>
          <w:spacing w:val="-7"/>
          <w:lang w:val="es-AR"/>
        </w:rPr>
        <w:t xml:space="preserve"> </w:t>
      </w:r>
      <w:r w:rsidRPr="00624696">
        <w:rPr>
          <w:lang w:val="es-AR"/>
        </w:rPr>
        <w:t>y</w:t>
      </w:r>
      <w:r w:rsidRPr="00624696">
        <w:rPr>
          <w:spacing w:val="-7"/>
          <w:lang w:val="es-AR"/>
        </w:rPr>
        <w:t xml:space="preserve"> </w:t>
      </w:r>
      <w:r w:rsidRPr="00624696">
        <w:rPr>
          <w:lang w:val="es-AR"/>
        </w:rPr>
        <w:t>Fondo;</w:t>
      </w:r>
      <w:r w:rsidRPr="00624696">
        <w:rPr>
          <w:spacing w:val="-7"/>
          <w:lang w:val="es-AR"/>
        </w:rPr>
        <w:t xml:space="preserve"> </w:t>
      </w:r>
      <w:r w:rsidRPr="00624696">
        <w:rPr>
          <w:lang w:val="es-AR"/>
        </w:rPr>
        <w:t>b)</w:t>
      </w:r>
      <w:r w:rsidRPr="00624696">
        <w:rPr>
          <w:spacing w:val="-5"/>
          <w:lang w:val="es-AR"/>
        </w:rPr>
        <w:t xml:space="preserve"> </w:t>
      </w:r>
      <w:r w:rsidRPr="00624696">
        <w:rPr>
          <w:lang w:val="es-AR"/>
        </w:rPr>
        <w:t>18</w:t>
      </w:r>
      <w:r w:rsidRPr="00624696">
        <w:rPr>
          <w:spacing w:val="-7"/>
          <w:lang w:val="es-AR"/>
        </w:rPr>
        <w:t xml:space="preserve"> </w:t>
      </w:r>
      <w:r w:rsidRPr="00624696">
        <w:rPr>
          <w:lang w:val="es-AR"/>
        </w:rPr>
        <w:t>personas que</w:t>
      </w:r>
      <w:r w:rsidRPr="00624696">
        <w:rPr>
          <w:spacing w:val="-20"/>
          <w:lang w:val="es-AR"/>
        </w:rPr>
        <w:t xml:space="preserve"> </w:t>
      </w:r>
      <w:r w:rsidRPr="00624696">
        <w:rPr>
          <w:lang w:val="es-AR"/>
        </w:rPr>
        <w:t>aparecen</w:t>
      </w:r>
      <w:r w:rsidRPr="00624696">
        <w:rPr>
          <w:spacing w:val="-17"/>
          <w:lang w:val="es-AR"/>
        </w:rPr>
        <w:t xml:space="preserve"> </w:t>
      </w:r>
      <w:r w:rsidRPr="00624696">
        <w:rPr>
          <w:lang w:val="es-AR"/>
        </w:rPr>
        <w:t>mencionadas</w:t>
      </w:r>
      <w:r w:rsidRPr="00624696">
        <w:rPr>
          <w:spacing w:val="-18"/>
          <w:lang w:val="es-AR"/>
        </w:rPr>
        <w:t xml:space="preserve"> </w:t>
      </w:r>
      <w:r w:rsidRPr="00624696">
        <w:rPr>
          <w:lang w:val="es-AR"/>
        </w:rPr>
        <w:t>dentro</w:t>
      </w:r>
      <w:r w:rsidRPr="00624696">
        <w:rPr>
          <w:spacing w:val="-20"/>
          <w:lang w:val="es-AR"/>
        </w:rPr>
        <w:t xml:space="preserve"> </w:t>
      </w:r>
      <w:r w:rsidRPr="00624696">
        <w:rPr>
          <w:lang w:val="es-AR"/>
        </w:rPr>
        <w:t>del</w:t>
      </w:r>
      <w:r w:rsidRPr="00624696">
        <w:rPr>
          <w:spacing w:val="-18"/>
          <w:lang w:val="es-AR"/>
        </w:rPr>
        <w:t xml:space="preserve"> </w:t>
      </w:r>
      <w:r w:rsidRPr="00624696">
        <w:rPr>
          <w:lang w:val="es-AR"/>
        </w:rPr>
        <w:t>expediente,</w:t>
      </w:r>
      <w:r w:rsidRPr="00624696">
        <w:rPr>
          <w:spacing w:val="-18"/>
          <w:lang w:val="es-AR"/>
        </w:rPr>
        <w:t xml:space="preserve"> </w:t>
      </w:r>
      <w:r w:rsidRPr="00624696">
        <w:rPr>
          <w:lang w:val="es-AR"/>
        </w:rPr>
        <w:t>pero</w:t>
      </w:r>
      <w:r w:rsidRPr="00624696">
        <w:rPr>
          <w:spacing w:val="-19"/>
          <w:lang w:val="es-AR"/>
        </w:rPr>
        <w:t xml:space="preserve"> </w:t>
      </w:r>
      <w:r w:rsidRPr="00624696">
        <w:rPr>
          <w:lang w:val="es-AR"/>
        </w:rPr>
        <w:t>que</w:t>
      </w:r>
      <w:r w:rsidRPr="00624696">
        <w:rPr>
          <w:spacing w:val="-16"/>
          <w:lang w:val="es-AR"/>
        </w:rPr>
        <w:t xml:space="preserve"> </w:t>
      </w:r>
      <w:r w:rsidRPr="00624696">
        <w:rPr>
          <w:lang w:val="es-AR"/>
        </w:rPr>
        <w:t>no</w:t>
      </w:r>
      <w:r w:rsidRPr="00624696">
        <w:rPr>
          <w:spacing w:val="-20"/>
          <w:lang w:val="es-AR"/>
        </w:rPr>
        <w:t xml:space="preserve"> </w:t>
      </w:r>
      <w:r w:rsidRPr="00624696">
        <w:rPr>
          <w:lang w:val="es-AR"/>
        </w:rPr>
        <w:t>habrían</w:t>
      </w:r>
      <w:r w:rsidRPr="00624696">
        <w:rPr>
          <w:spacing w:val="-15"/>
          <w:lang w:val="es-AR"/>
        </w:rPr>
        <w:t xml:space="preserve"> </w:t>
      </w:r>
      <w:r w:rsidRPr="00624696">
        <w:rPr>
          <w:lang w:val="es-AR"/>
        </w:rPr>
        <w:t>otorgado</w:t>
      </w:r>
      <w:r w:rsidRPr="00624696">
        <w:rPr>
          <w:spacing w:val="-16"/>
          <w:lang w:val="es-AR"/>
        </w:rPr>
        <w:t xml:space="preserve"> </w:t>
      </w:r>
      <w:r w:rsidRPr="00624696">
        <w:rPr>
          <w:lang w:val="es-AR"/>
        </w:rPr>
        <w:t>formalmente poder</w:t>
      </w:r>
      <w:r w:rsidRPr="00624696">
        <w:rPr>
          <w:spacing w:val="-7"/>
          <w:lang w:val="es-AR"/>
        </w:rPr>
        <w:t xml:space="preserve"> </w:t>
      </w:r>
      <w:r w:rsidRPr="00624696">
        <w:rPr>
          <w:lang w:val="es-AR"/>
        </w:rPr>
        <w:t>a</w:t>
      </w:r>
      <w:r w:rsidRPr="00624696">
        <w:rPr>
          <w:spacing w:val="-5"/>
          <w:lang w:val="es-AR"/>
        </w:rPr>
        <w:t xml:space="preserve"> </w:t>
      </w:r>
      <w:r w:rsidRPr="00624696">
        <w:rPr>
          <w:lang w:val="es-AR"/>
        </w:rPr>
        <w:t>los</w:t>
      </w:r>
      <w:r w:rsidRPr="00624696">
        <w:rPr>
          <w:spacing w:val="-5"/>
          <w:lang w:val="es-AR"/>
        </w:rPr>
        <w:t xml:space="preserve"> </w:t>
      </w:r>
      <w:r w:rsidRPr="00624696">
        <w:rPr>
          <w:lang w:val="es-AR"/>
        </w:rPr>
        <w:t>representantes</w:t>
      </w:r>
      <w:r w:rsidRPr="00624696">
        <w:rPr>
          <w:spacing w:val="-6"/>
          <w:lang w:val="es-AR"/>
        </w:rPr>
        <w:t xml:space="preserve"> </w:t>
      </w:r>
      <w:r w:rsidRPr="00624696">
        <w:rPr>
          <w:lang w:val="es-AR"/>
        </w:rPr>
        <w:t>para</w:t>
      </w:r>
      <w:r w:rsidRPr="00624696">
        <w:rPr>
          <w:spacing w:val="-6"/>
          <w:lang w:val="es-AR"/>
        </w:rPr>
        <w:t xml:space="preserve"> </w:t>
      </w:r>
      <w:r w:rsidRPr="00624696">
        <w:rPr>
          <w:lang w:val="es-AR"/>
        </w:rPr>
        <w:t>la</w:t>
      </w:r>
      <w:r w:rsidRPr="00624696">
        <w:rPr>
          <w:spacing w:val="-5"/>
          <w:lang w:val="es-AR"/>
        </w:rPr>
        <w:t xml:space="preserve"> </w:t>
      </w:r>
      <w:r w:rsidRPr="00624696">
        <w:rPr>
          <w:lang w:val="es-AR"/>
        </w:rPr>
        <w:t>interposición</w:t>
      </w:r>
      <w:r w:rsidRPr="00624696">
        <w:rPr>
          <w:spacing w:val="-2"/>
          <w:lang w:val="es-AR"/>
        </w:rPr>
        <w:t xml:space="preserve"> </w:t>
      </w:r>
      <w:r w:rsidRPr="00624696">
        <w:rPr>
          <w:lang w:val="es-AR"/>
        </w:rPr>
        <w:t>de</w:t>
      </w:r>
      <w:r w:rsidRPr="00624696">
        <w:rPr>
          <w:spacing w:val="-8"/>
          <w:lang w:val="es-AR"/>
        </w:rPr>
        <w:t xml:space="preserve"> </w:t>
      </w:r>
      <w:r w:rsidRPr="00624696">
        <w:rPr>
          <w:lang w:val="es-AR"/>
        </w:rPr>
        <w:t>la</w:t>
      </w:r>
      <w:r w:rsidRPr="00624696">
        <w:rPr>
          <w:spacing w:val="-5"/>
          <w:lang w:val="es-AR"/>
        </w:rPr>
        <w:t xml:space="preserve"> </w:t>
      </w:r>
      <w:r w:rsidRPr="00624696">
        <w:rPr>
          <w:lang w:val="es-AR"/>
        </w:rPr>
        <w:t>acción</w:t>
      </w:r>
      <w:r w:rsidRPr="00624696">
        <w:rPr>
          <w:spacing w:val="-5"/>
          <w:lang w:val="es-AR"/>
        </w:rPr>
        <w:t xml:space="preserve"> </w:t>
      </w:r>
      <w:r w:rsidRPr="00624696">
        <w:rPr>
          <w:lang w:val="es-AR"/>
        </w:rPr>
        <w:t>ante</w:t>
      </w:r>
      <w:r w:rsidRPr="00624696">
        <w:rPr>
          <w:spacing w:val="-4"/>
          <w:lang w:val="es-AR"/>
        </w:rPr>
        <w:t xml:space="preserve"> </w:t>
      </w:r>
      <w:r w:rsidRPr="00624696">
        <w:rPr>
          <w:lang w:val="es-AR"/>
        </w:rPr>
        <w:t>el</w:t>
      </w:r>
      <w:r w:rsidRPr="00624696">
        <w:rPr>
          <w:spacing w:val="-6"/>
          <w:lang w:val="es-AR"/>
        </w:rPr>
        <w:t xml:space="preserve"> </w:t>
      </w:r>
      <w:r w:rsidRPr="00624696">
        <w:rPr>
          <w:lang w:val="es-AR"/>
        </w:rPr>
        <w:t>Sistema</w:t>
      </w:r>
      <w:r w:rsidRPr="00624696">
        <w:rPr>
          <w:spacing w:val="-5"/>
          <w:lang w:val="es-AR"/>
        </w:rPr>
        <w:t xml:space="preserve"> </w:t>
      </w:r>
      <w:r w:rsidRPr="00624696">
        <w:rPr>
          <w:lang w:val="es-AR"/>
        </w:rPr>
        <w:t>Interamericano, y c) 26 familiares presentados como presuntas víctimas sin que se haya comprobado o alegado</w:t>
      </w:r>
      <w:r w:rsidRPr="00624696">
        <w:rPr>
          <w:spacing w:val="-12"/>
          <w:lang w:val="es-AR"/>
        </w:rPr>
        <w:t xml:space="preserve"> </w:t>
      </w:r>
      <w:r w:rsidRPr="00624696">
        <w:rPr>
          <w:lang w:val="es-AR"/>
        </w:rPr>
        <w:t>de</w:t>
      </w:r>
      <w:r w:rsidRPr="00624696">
        <w:rPr>
          <w:spacing w:val="-12"/>
          <w:lang w:val="es-AR"/>
        </w:rPr>
        <w:t xml:space="preserve"> </w:t>
      </w:r>
      <w:r w:rsidRPr="00624696">
        <w:rPr>
          <w:lang w:val="es-AR"/>
        </w:rPr>
        <w:t>forma</w:t>
      </w:r>
      <w:r w:rsidRPr="00624696">
        <w:rPr>
          <w:spacing w:val="-8"/>
          <w:lang w:val="es-AR"/>
        </w:rPr>
        <w:t xml:space="preserve"> </w:t>
      </w:r>
      <w:r w:rsidRPr="00624696">
        <w:rPr>
          <w:lang w:val="es-AR"/>
        </w:rPr>
        <w:t>específica</w:t>
      </w:r>
      <w:r w:rsidRPr="00624696">
        <w:rPr>
          <w:spacing w:val="-11"/>
          <w:lang w:val="es-AR"/>
        </w:rPr>
        <w:t xml:space="preserve"> </w:t>
      </w:r>
      <w:r w:rsidRPr="00624696">
        <w:rPr>
          <w:lang w:val="es-AR"/>
        </w:rPr>
        <w:t>en</w:t>
      </w:r>
      <w:r w:rsidRPr="00624696">
        <w:rPr>
          <w:spacing w:val="-9"/>
          <w:lang w:val="es-AR"/>
        </w:rPr>
        <w:t xml:space="preserve"> </w:t>
      </w:r>
      <w:r w:rsidRPr="00624696">
        <w:rPr>
          <w:lang w:val="es-AR"/>
        </w:rPr>
        <w:t>qué</w:t>
      </w:r>
      <w:r w:rsidRPr="00624696">
        <w:rPr>
          <w:spacing w:val="-12"/>
          <w:lang w:val="es-AR"/>
        </w:rPr>
        <w:t xml:space="preserve"> </w:t>
      </w:r>
      <w:r w:rsidRPr="00624696">
        <w:rPr>
          <w:lang w:val="es-AR"/>
        </w:rPr>
        <w:t>medida</w:t>
      </w:r>
      <w:r w:rsidRPr="00624696">
        <w:rPr>
          <w:spacing w:val="-11"/>
          <w:lang w:val="es-AR"/>
        </w:rPr>
        <w:t xml:space="preserve"> </w:t>
      </w:r>
      <w:r w:rsidRPr="00624696">
        <w:rPr>
          <w:lang w:val="es-AR"/>
        </w:rPr>
        <w:t>fueron</w:t>
      </w:r>
      <w:r w:rsidRPr="00624696">
        <w:rPr>
          <w:spacing w:val="-9"/>
          <w:lang w:val="es-AR"/>
        </w:rPr>
        <w:t xml:space="preserve"> </w:t>
      </w:r>
      <w:r w:rsidRPr="00624696">
        <w:rPr>
          <w:lang w:val="es-AR"/>
        </w:rPr>
        <w:t>afectados</w:t>
      </w:r>
      <w:r w:rsidRPr="00624696">
        <w:rPr>
          <w:spacing w:val="-12"/>
          <w:lang w:val="es-AR"/>
        </w:rPr>
        <w:t xml:space="preserve"> </w:t>
      </w:r>
      <w:r w:rsidRPr="00624696">
        <w:rPr>
          <w:lang w:val="es-AR"/>
        </w:rPr>
        <w:t>sus</w:t>
      </w:r>
      <w:r w:rsidRPr="00624696">
        <w:rPr>
          <w:spacing w:val="-11"/>
          <w:lang w:val="es-AR"/>
        </w:rPr>
        <w:t xml:space="preserve"> </w:t>
      </w:r>
      <w:r w:rsidRPr="00624696">
        <w:rPr>
          <w:lang w:val="es-AR"/>
        </w:rPr>
        <w:t>derechos.</w:t>
      </w:r>
      <w:r w:rsidRPr="00624696">
        <w:rPr>
          <w:spacing w:val="-12"/>
          <w:lang w:val="es-AR"/>
        </w:rPr>
        <w:t xml:space="preserve"> </w:t>
      </w:r>
      <w:r w:rsidRPr="00624696">
        <w:rPr>
          <w:lang w:val="es-AR"/>
        </w:rPr>
        <w:t>El</w:t>
      </w:r>
      <w:r w:rsidRPr="00624696">
        <w:rPr>
          <w:spacing w:val="-10"/>
          <w:lang w:val="es-AR"/>
        </w:rPr>
        <w:t xml:space="preserve"> </w:t>
      </w:r>
      <w:r w:rsidRPr="00624696">
        <w:rPr>
          <w:lang w:val="es-AR"/>
        </w:rPr>
        <w:t>Estado</w:t>
      </w:r>
      <w:r w:rsidRPr="00624696">
        <w:rPr>
          <w:spacing w:val="-12"/>
          <w:lang w:val="es-AR"/>
        </w:rPr>
        <w:t xml:space="preserve"> </w:t>
      </w:r>
      <w:r w:rsidRPr="00624696">
        <w:rPr>
          <w:lang w:val="es-AR"/>
        </w:rPr>
        <w:t>también objetó</w:t>
      </w:r>
      <w:r w:rsidRPr="00624696">
        <w:rPr>
          <w:spacing w:val="-12"/>
          <w:lang w:val="es-AR"/>
        </w:rPr>
        <w:t xml:space="preserve"> </w:t>
      </w:r>
      <w:r w:rsidRPr="00624696">
        <w:rPr>
          <w:lang w:val="es-AR"/>
        </w:rPr>
        <w:t>la</w:t>
      </w:r>
      <w:r w:rsidRPr="00624696">
        <w:rPr>
          <w:spacing w:val="-13"/>
          <w:lang w:val="es-AR"/>
        </w:rPr>
        <w:t xml:space="preserve"> </w:t>
      </w:r>
      <w:r w:rsidRPr="00624696">
        <w:rPr>
          <w:lang w:val="es-AR"/>
        </w:rPr>
        <w:t>inclusión</w:t>
      </w:r>
      <w:r w:rsidRPr="00624696">
        <w:rPr>
          <w:spacing w:val="-12"/>
          <w:lang w:val="es-AR"/>
        </w:rPr>
        <w:t xml:space="preserve"> </w:t>
      </w:r>
      <w:r w:rsidRPr="00624696">
        <w:rPr>
          <w:lang w:val="es-AR"/>
        </w:rPr>
        <w:t>de</w:t>
      </w:r>
      <w:r w:rsidRPr="00624696">
        <w:rPr>
          <w:spacing w:val="-12"/>
          <w:lang w:val="es-AR"/>
        </w:rPr>
        <w:t xml:space="preserve"> </w:t>
      </w:r>
      <w:r w:rsidRPr="00624696">
        <w:rPr>
          <w:lang w:val="es-AR"/>
        </w:rPr>
        <w:t>dos</w:t>
      </w:r>
      <w:r w:rsidRPr="00624696">
        <w:rPr>
          <w:spacing w:val="-13"/>
          <w:lang w:val="es-AR"/>
        </w:rPr>
        <w:t xml:space="preserve"> </w:t>
      </w:r>
      <w:r w:rsidRPr="00624696">
        <w:rPr>
          <w:lang w:val="es-AR"/>
        </w:rPr>
        <w:t>poderes</w:t>
      </w:r>
      <w:r w:rsidRPr="00624696">
        <w:rPr>
          <w:spacing w:val="-11"/>
          <w:lang w:val="es-AR"/>
        </w:rPr>
        <w:t xml:space="preserve"> </w:t>
      </w:r>
      <w:r w:rsidRPr="00624696">
        <w:rPr>
          <w:lang w:val="es-AR"/>
        </w:rPr>
        <w:t>en</w:t>
      </w:r>
      <w:r w:rsidRPr="00624696">
        <w:rPr>
          <w:spacing w:val="-13"/>
          <w:lang w:val="es-AR"/>
        </w:rPr>
        <w:t xml:space="preserve"> </w:t>
      </w:r>
      <w:r w:rsidRPr="00624696">
        <w:rPr>
          <w:lang w:val="es-AR"/>
        </w:rPr>
        <w:t>el</w:t>
      </w:r>
      <w:r w:rsidRPr="00624696">
        <w:rPr>
          <w:spacing w:val="-11"/>
          <w:lang w:val="es-AR"/>
        </w:rPr>
        <w:t xml:space="preserve"> </w:t>
      </w:r>
      <w:r w:rsidRPr="00624696">
        <w:rPr>
          <w:lang w:val="es-AR"/>
        </w:rPr>
        <w:t>escrito</w:t>
      </w:r>
      <w:r w:rsidRPr="00624696">
        <w:rPr>
          <w:spacing w:val="-14"/>
          <w:lang w:val="es-AR"/>
        </w:rPr>
        <w:t xml:space="preserve"> </w:t>
      </w:r>
      <w:r w:rsidRPr="00624696">
        <w:rPr>
          <w:lang w:val="es-AR"/>
        </w:rPr>
        <w:t>de</w:t>
      </w:r>
      <w:r w:rsidRPr="00624696">
        <w:rPr>
          <w:spacing w:val="-14"/>
          <w:lang w:val="es-AR"/>
        </w:rPr>
        <w:t xml:space="preserve"> </w:t>
      </w:r>
      <w:r w:rsidRPr="00624696">
        <w:rPr>
          <w:lang w:val="es-AR"/>
        </w:rPr>
        <w:t>solicitudes</w:t>
      </w:r>
      <w:r w:rsidRPr="00624696">
        <w:rPr>
          <w:spacing w:val="-14"/>
          <w:lang w:val="es-AR"/>
        </w:rPr>
        <w:t xml:space="preserve"> </w:t>
      </w:r>
      <w:r w:rsidRPr="00624696">
        <w:rPr>
          <w:lang w:val="es-AR"/>
        </w:rPr>
        <w:t>y</w:t>
      </w:r>
      <w:r w:rsidRPr="00624696">
        <w:rPr>
          <w:spacing w:val="-11"/>
          <w:lang w:val="es-AR"/>
        </w:rPr>
        <w:t xml:space="preserve"> </w:t>
      </w:r>
      <w:r w:rsidRPr="00624696">
        <w:rPr>
          <w:lang w:val="es-AR"/>
        </w:rPr>
        <w:t>argumentos,</w:t>
      </w:r>
      <w:r w:rsidRPr="00624696">
        <w:rPr>
          <w:spacing w:val="-12"/>
          <w:lang w:val="es-AR"/>
        </w:rPr>
        <w:t xml:space="preserve"> </w:t>
      </w:r>
      <w:r w:rsidRPr="00624696">
        <w:rPr>
          <w:lang w:val="es-AR"/>
        </w:rPr>
        <w:t>correspondientes a Andressa Santos Costa y Vera Lúcia Silva, cuyos nombres no figuran en ninguna de las listas</w:t>
      </w:r>
      <w:r w:rsidRPr="00624696">
        <w:rPr>
          <w:spacing w:val="-19"/>
          <w:lang w:val="es-AR"/>
        </w:rPr>
        <w:t xml:space="preserve"> </w:t>
      </w:r>
      <w:r w:rsidRPr="00624696">
        <w:rPr>
          <w:lang w:val="es-AR"/>
        </w:rPr>
        <w:t>de</w:t>
      </w:r>
      <w:r w:rsidRPr="00624696">
        <w:rPr>
          <w:spacing w:val="-19"/>
          <w:lang w:val="es-AR"/>
        </w:rPr>
        <w:t xml:space="preserve"> </w:t>
      </w:r>
      <w:r w:rsidRPr="00624696">
        <w:rPr>
          <w:lang w:val="es-AR"/>
        </w:rPr>
        <w:t>presuntas</w:t>
      </w:r>
      <w:r w:rsidRPr="00624696">
        <w:rPr>
          <w:spacing w:val="-18"/>
          <w:lang w:val="es-AR"/>
        </w:rPr>
        <w:t xml:space="preserve"> </w:t>
      </w:r>
      <w:r w:rsidRPr="00624696">
        <w:rPr>
          <w:lang w:val="es-AR"/>
        </w:rPr>
        <w:t>víctimas</w:t>
      </w:r>
      <w:r w:rsidRPr="00624696">
        <w:rPr>
          <w:spacing w:val="-18"/>
          <w:lang w:val="es-AR"/>
        </w:rPr>
        <w:t xml:space="preserve"> </w:t>
      </w:r>
      <w:r w:rsidRPr="00624696">
        <w:rPr>
          <w:lang w:val="es-AR"/>
        </w:rPr>
        <w:t>ofrecidas</w:t>
      </w:r>
      <w:r w:rsidRPr="00624696">
        <w:rPr>
          <w:spacing w:val="-17"/>
          <w:lang w:val="es-AR"/>
        </w:rPr>
        <w:t xml:space="preserve"> </w:t>
      </w:r>
      <w:r w:rsidRPr="00624696">
        <w:rPr>
          <w:lang w:val="es-AR"/>
        </w:rPr>
        <w:t>por</w:t>
      </w:r>
      <w:r w:rsidRPr="00624696">
        <w:rPr>
          <w:spacing w:val="-19"/>
          <w:lang w:val="es-AR"/>
        </w:rPr>
        <w:t xml:space="preserve"> </w:t>
      </w:r>
      <w:r w:rsidRPr="00624696">
        <w:rPr>
          <w:lang w:val="es-AR"/>
        </w:rPr>
        <w:t>la</w:t>
      </w:r>
      <w:r w:rsidRPr="00624696">
        <w:rPr>
          <w:spacing w:val="-17"/>
          <w:lang w:val="es-AR"/>
        </w:rPr>
        <w:t xml:space="preserve"> </w:t>
      </w:r>
      <w:r w:rsidRPr="00624696">
        <w:rPr>
          <w:lang w:val="es-AR"/>
        </w:rPr>
        <w:t>Comisión</w:t>
      </w:r>
      <w:r w:rsidRPr="00624696">
        <w:rPr>
          <w:spacing w:val="-16"/>
          <w:lang w:val="es-AR"/>
        </w:rPr>
        <w:t xml:space="preserve"> </w:t>
      </w:r>
      <w:r w:rsidRPr="00624696">
        <w:rPr>
          <w:lang w:val="es-AR"/>
        </w:rPr>
        <w:t>o</w:t>
      </w:r>
      <w:r w:rsidRPr="00624696">
        <w:rPr>
          <w:spacing w:val="-20"/>
          <w:lang w:val="es-AR"/>
        </w:rPr>
        <w:t xml:space="preserve"> </w:t>
      </w:r>
      <w:r w:rsidRPr="00624696">
        <w:rPr>
          <w:lang w:val="es-AR"/>
        </w:rPr>
        <w:t>los</w:t>
      </w:r>
      <w:r w:rsidRPr="00624696">
        <w:rPr>
          <w:spacing w:val="-16"/>
          <w:lang w:val="es-AR"/>
        </w:rPr>
        <w:t xml:space="preserve"> </w:t>
      </w:r>
      <w:r w:rsidRPr="00624696">
        <w:rPr>
          <w:lang w:val="es-AR"/>
        </w:rPr>
        <w:t>representantes,</w:t>
      </w:r>
      <w:r w:rsidRPr="00624696">
        <w:rPr>
          <w:spacing w:val="-18"/>
          <w:lang w:val="es-AR"/>
        </w:rPr>
        <w:t xml:space="preserve"> </w:t>
      </w:r>
      <w:r w:rsidRPr="00624696">
        <w:rPr>
          <w:lang w:val="es-AR"/>
        </w:rPr>
        <w:t>por</w:t>
      </w:r>
      <w:r w:rsidRPr="00624696">
        <w:rPr>
          <w:spacing w:val="-16"/>
          <w:lang w:val="es-AR"/>
        </w:rPr>
        <w:t xml:space="preserve"> </w:t>
      </w:r>
      <w:r w:rsidRPr="00624696">
        <w:rPr>
          <w:lang w:val="es-AR"/>
        </w:rPr>
        <w:t>lo</w:t>
      </w:r>
      <w:r w:rsidRPr="00624696">
        <w:rPr>
          <w:spacing w:val="-17"/>
          <w:lang w:val="es-AR"/>
        </w:rPr>
        <w:t xml:space="preserve"> </w:t>
      </w:r>
      <w:r w:rsidRPr="00624696">
        <w:rPr>
          <w:lang w:val="es-AR"/>
        </w:rPr>
        <w:t>cual</w:t>
      </w:r>
      <w:r w:rsidRPr="00624696">
        <w:rPr>
          <w:spacing w:val="-17"/>
          <w:lang w:val="es-AR"/>
        </w:rPr>
        <w:t xml:space="preserve"> </w:t>
      </w:r>
      <w:r w:rsidRPr="00624696">
        <w:rPr>
          <w:lang w:val="es-AR"/>
        </w:rPr>
        <w:t>sostuvo que no pueden ser incluidas c</w:t>
      </w:r>
      <w:r w:rsidRPr="00624696">
        <w:rPr>
          <w:lang w:val="es-AR"/>
        </w:rPr>
        <w:t>omo presuntas víctimas del presente</w:t>
      </w:r>
      <w:r w:rsidRPr="00624696">
        <w:rPr>
          <w:spacing w:val="-18"/>
          <w:lang w:val="es-AR"/>
        </w:rPr>
        <w:t xml:space="preserve"> </w:t>
      </w:r>
      <w:r w:rsidRPr="00624696">
        <w:rPr>
          <w:lang w:val="es-AR"/>
        </w:rPr>
        <w:t>caso.</w:t>
      </w:r>
    </w:p>
    <w:p w14:paraId="11D6C9C2" w14:textId="77777777" w:rsidR="00467FCA" w:rsidRPr="00624696" w:rsidRDefault="00467FCA">
      <w:pPr>
        <w:pStyle w:val="Textoindependiente"/>
        <w:spacing w:before="11"/>
        <w:rPr>
          <w:sz w:val="19"/>
          <w:lang w:val="es-AR"/>
        </w:rPr>
      </w:pPr>
    </w:p>
    <w:p w14:paraId="7806DBF5" w14:textId="77777777" w:rsidR="00467FCA" w:rsidRPr="00624696" w:rsidRDefault="001B68EB">
      <w:pPr>
        <w:pStyle w:val="Prrafodelista"/>
        <w:numPr>
          <w:ilvl w:val="0"/>
          <w:numId w:val="50"/>
        </w:numPr>
        <w:tabs>
          <w:tab w:val="left" w:pos="686"/>
        </w:tabs>
        <w:ind w:left="119" w:right="120" w:hanging="1"/>
        <w:jc w:val="both"/>
        <w:rPr>
          <w:sz w:val="20"/>
          <w:lang w:val="es-AR"/>
        </w:rPr>
      </w:pPr>
      <w:r w:rsidRPr="00624696">
        <w:rPr>
          <w:sz w:val="20"/>
          <w:lang w:val="es-AR"/>
        </w:rPr>
        <w:t>La</w:t>
      </w:r>
      <w:r w:rsidRPr="00624696">
        <w:rPr>
          <w:spacing w:val="-22"/>
          <w:sz w:val="20"/>
          <w:lang w:val="es-AR"/>
        </w:rPr>
        <w:t xml:space="preserve"> </w:t>
      </w:r>
      <w:r w:rsidRPr="00624696">
        <w:rPr>
          <w:b/>
          <w:i/>
          <w:sz w:val="20"/>
          <w:lang w:val="es-AR"/>
        </w:rPr>
        <w:t>Comisión</w:t>
      </w:r>
      <w:r w:rsidRPr="00624696">
        <w:rPr>
          <w:b/>
          <w:i/>
          <w:spacing w:val="-19"/>
          <w:sz w:val="20"/>
          <w:lang w:val="es-AR"/>
        </w:rPr>
        <w:t xml:space="preserve"> </w:t>
      </w:r>
      <w:r w:rsidRPr="00624696">
        <w:rPr>
          <w:sz w:val="20"/>
          <w:lang w:val="es-AR"/>
        </w:rPr>
        <w:t>hizo</w:t>
      </w:r>
      <w:r w:rsidRPr="00624696">
        <w:rPr>
          <w:spacing w:val="-20"/>
          <w:sz w:val="20"/>
          <w:lang w:val="es-AR"/>
        </w:rPr>
        <w:t xml:space="preserve"> </w:t>
      </w:r>
      <w:r w:rsidRPr="00624696">
        <w:rPr>
          <w:sz w:val="20"/>
          <w:lang w:val="es-AR"/>
        </w:rPr>
        <w:t>referencia</w:t>
      </w:r>
      <w:r w:rsidRPr="00624696">
        <w:rPr>
          <w:spacing w:val="-21"/>
          <w:sz w:val="20"/>
          <w:lang w:val="es-AR"/>
        </w:rPr>
        <w:t xml:space="preserve"> </w:t>
      </w:r>
      <w:r w:rsidRPr="00624696">
        <w:rPr>
          <w:sz w:val="20"/>
          <w:lang w:val="es-AR"/>
        </w:rPr>
        <w:t>a</w:t>
      </w:r>
      <w:r w:rsidRPr="00624696">
        <w:rPr>
          <w:spacing w:val="-21"/>
          <w:sz w:val="20"/>
          <w:lang w:val="es-AR"/>
        </w:rPr>
        <w:t xml:space="preserve"> </w:t>
      </w:r>
      <w:r w:rsidRPr="00624696">
        <w:rPr>
          <w:sz w:val="20"/>
          <w:lang w:val="es-AR"/>
        </w:rPr>
        <w:t>los</w:t>
      </w:r>
      <w:r w:rsidRPr="00624696">
        <w:rPr>
          <w:spacing w:val="-19"/>
          <w:sz w:val="20"/>
          <w:lang w:val="es-AR"/>
        </w:rPr>
        <w:t xml:space="preserve"> </w:t>
      </w:r>
      <w:r w:rsidRPr="00624696">
        <w:rPr>
          <w:sz w:val="20"/>
          <w:lang w:val="es-AR"/>
        </w:rPr>
        <w:t>supuestos</w:t>
      </w:r>
      <w:r w:rsidRPr="00624696">
        <w:rPr>
          <w:spacing w:val="-19"/>
          <w:sz w:val="20"/>
          <w:lang w:val="es-AR"/>
        </w:rPr>
        <w:t xml:space="preserve"> </w:t>
      </w:r>
      <w:r w:rsidRPr="00624696">
        <w:rPr>
          <w:sz w:val="20"/>
          <w:lang w:val="es-AR"/>
        </w:rPr>
        <w:t>en</w:t>
      </w:r>
      <w:r w:rsidRPr="00624696">
        <w:rPr>
          <w:spacing w:val="-20"/>
          <w:sz w:val="20"/>
          <w:lang w:val="es-AR"/>
        </w:rPr>
        <w:t xml:space="preserve"> </w:t>
      </w:r>
      <w:r w:rsidRPr="00624696">
        <w:rPr>
          <w:sz w:val="20"/>
          <w:lang w:val="es-AR"/>
        </w:rPr>
        <w:t>los</w:t>
      </w:r>
      <w:r w:rsidRPr="00624696">
        <w:rPr>
          <w:spacing w:val="-22"/>
          <w:sz w:val="20"/>
          <w:lang w:val="es-AR"/>
        </w:rPr>
        <w:t xml:space="preserve"> </w:t>
      </w:r>
      <w:r w:rsidRPr="00624696">
        <w:rPr>
          <w:sz w:val="20"/>
          <w:lang w:val="es-AR"/>
        </w:rPr>
        <w:t>que</w:t>
      </w:r>
      <w:r w:rsidRPr="00624696">
        <w:rPr>
          <w:spacing w:val="-20"/>
          <w:sz w:val="20"/>
          <w:lang w:val="es-AR"/>
        </w:rPr>
        <w:t xml:space="preserve"> </w:t>
      </w:r>
      <w:r w:rsidRPr="00624696">
        <w:rPr>
          <w:sz w:val="20"/>
          <w:lang w:val="es-AR"/>
        </w:rPr>
        <w:t>es</w:t>
      </w:r>
      <w:r w:rsidRPr="00624696">
        <w:rPr>
          <w:spacing w:val="-20"/>
          <w:sz w:val="20"/>
          <w:lang w:val="es-AR"/>
        </w:rPr>
        <w:t xml:space="preserve"> </w:t>
      </w:r>
      <w:r w:rsidRPr="00624696">
        <w:rPr>
          <w:sz w:val="20"/>
          <w:lang w:val="es-AR"/>
        </w:rPr>
        <w:t>aplicable</w:t>
      </w:r>
      <w:r w:rsidRPr="00624696">
        <w:rPr>
          <w:spacing w:val="-22"/>
          <w:sz w:val="20"/>
          <w:lang w:val="es-AR"/>
        </w:rPr>
        <w:t xml:space="preserve"> </w:t>
      </w:r>
      <w:r w:rsidRPr="00624696">
        <w:rPr>
          <w:sz w:val="20"/>
          <w:lang w:val="es-AR"/>
        </w:rPr>
        <w:t>la</w:t>
      </w:r>
      <w:r w:rsidRPr="00624696">
        <w:rPr>
          <w:spacing w:val="-18"/>
          <w:sz w:val="20"/>
          <w:lang w:val="es-AR"/>
        </w:rPr>
        <w:t xml:space="preserve"> </w:t>
      </w:r>
      <w:r w:rsidRPr="00624696">
        <w:rPr>
          <w:sz w:val="20"/>
          <w:lang w:val="es-AR"/>
        </w:rPr>
        <w:t>excepción</w:t>
      </w:r>
      <w:r w:rsidRPr="00624696">
        <w:rPr>
          <w:spacing w:val="-20"/>
          <w:sz w:val="20"/>
          <w:lang w:val="es-AR"/>
        </w:rPr>
        <w:t xml:space="preserve"> </w:t>
      </w:r>
      <w:r w:rsidRPr="00624696">
        <w:rPr>
          <w:sz w:val="20"/>
          <w:lang w:val="es-AR"/>
        </w:rPr>
        <w:t>prevista en el artículo 35.2 del Reglamento y destacó, entre ellos, la situación de pobreza y vulnerabilidad de las presuntas víctimas. En ese sentido, estableció que le corresponde a la Corte valorar la aplicabilidad de esa excepción en el presente</w:t>
      </w:r>
      <w:r w:rsidRPr="00624696">
        <w:rPr>
          <w:spacing w:val="-7"/>
          <w:sz w:val="20"/>
          <w:lang w:val="es-AR"/>
        </w:rPr>
        <w:t xml:space="preserve"> </w:t>
      </w:r>
      <w:r w:rsidRPr="00624696">
        <w:rPr>
          <w:sz w:val="20"/>
          <w:lang w:val="es-AR"/>
        </w:rPr>
        <w:t>caso.</w:t>
      </w:r>
    </w:p>
    <w:p w14:paraId="3A3146F5" w14:textId="77777777" w:rsidR="00467FCA" w:rsidRPr="00624696" w:rsidRDefault="00467FCA">
      <w:pPr>
        <w:pStyle w:val="Textoindependiente"/>
        <w:rPr>
          <w:lang w:val="es-AR"/>
        </w:rPr>
      </w:pPr>
    </w:p>
    <w:p w14:paraId="0F7BEFB6" w14:textId="77777777" w:rsidR="00467FCA" w:rsidRPr="00624696" w:rsidRDefault="001B68EB">
      <w:pPr>
        <w:pStyle w:val="Textoindependiente"/>
        <w:spacing w:before="8"/>
        <w:rPr>
          <w:sz w:val="27"/>
          <w:lang w:val="es-AR"/>
        </w:rPr>
      </w:pPr>
      <w:r>
        <w:pict w14:anchorId="3F11ECA3">
          <v:shape id="_x0000_s1187" style="position:absolute;margin-left:1in;margin-top:19.1pt;width:2in;height:.1pt;z-index:-251649024;mso-wrap-distance-left:0;mso-wrap-distance-right:0;mso-position-horizontal-relative:page" coordorigin="1440,382" coordsize="2880,0" path="m1440,382r2880,e" filled="f" strokeweight=".6pt">
            <v:path arrowok="t"/>
            <w10:wrap type="topAndBottom" anchorx="page"/>
          </v:shape>
        </w:pict>
      </w:r>
    </w:p>
    <w:p w14:paraId="20A7D044" w14:textId="77777777" w:rsidR="00467FCA" w:rsidRPr="00624696" w:rsidRDefault="001B68EB">
      <w:pPr>
        <w:tabs>
          <w:tab w:val="left" w:pos="839"/>
        </w:tabs>
        <w:spacing w:before="74"/>
        <w:ind w:left="120" w:right="119" w:hanging="1"/>
        <w:jc w:val="both"/>
        <w:rPr>
          <w:sz w:val="16"/>
          <w:lang w:val="es-AR"/>
        </w:rPr>
      </w:pPr>
      <w:bookmarkStart w:id="67" w:name="_bookmark51"/>
      <w:bookmarkEnd w:id="67"/>
      <w:r w:rsidRPr="00624696">
        <w:rPr>
          <w:position w:val="6"/>
          <w:sz w:val="10"/>
          <w:lang w:val="es-AR"/>
        </w:rPr>
        <w:t>37</w:t>
      </w:r>
      <w:r w:rsidRPr="00624696">
        <w:rPr>
          <w:position w:val="6"/>
          <w:sz w:val="10"/>
          <w:lang w:val="es-AR"/>
        </w:rPr>
        <w:tab/>
      </w:r>
      <w:r w:rsidRPr="00624696">
        <w:rPr>
          <w:i/>
          <w:sz w:val="16"/>
          <w:lang w:val="es-AR"/>
        </w:rPr>
        <w:t xml:space="preserve">Cfr. </w:t>
      </w:r>
      <w:r w:rsidRPr="00624696">
        <w:rPr>
          <w:sz w:val="16"/>
          <w:lang w:val="es-AR"/>
        </w:rPr>
        <w:t>Archivo de audio de la audiencia realizada el 19 de octubre de 2006 en el 126° Periodo Ordinario de Sesiones de la Comisión Interamericana, corresponde al anexo No. 4 al Informe de Admisibilidad y</w:t>
      </w:r>
      <w:r w:rsidRPr="00624696">
        <w:rPr>
          <w:spacing w:val="-22"/>
          <w:sz w:val="16"/>
          <w:lang w:val="es-AR"/>
        </w:rPr>
        <w:t xml:space="preserve"> </w:t>
      </w:r>
      <w:r w:rsidRPr="00624696">
        <w:rPr>
          <w:sz w:val="16"/>
          <w:lang w:val="es-AR"/>
        </w:rPr>
        <w:t>Fondo.</w:t>
      </w:r>
    </w:p>
    <w:p w14:paraId="60ED8E8D" w14:textId="77777777" w:rsidR="00467FCA" w:rsidRDefault="001B68EB">
      <w:pPr>
        <w:tabs>
          <w:tab w:val="left" w:pos="839"/>
        </w:tabs>
        <w:ind w:left="119" w:right="114"/>
        <w:jc w:val="both"/>
        <w:rPr>
          <w:sz w:val="16"/>
        </w:rPr>
      </w:pPr>
      <w:bookmarkStart w:id="68" w:name="_bookmark52"/>
      <w:bookmarkEnd w:id="68"/>
      <w:r w:rsidRPr="00624696">
        <w:rPr>
          <w:position w:val="6"/>
          <w:sz w:val="10"/>
          <w:lang w:val="es-AR"/>
        </w:rPr>
        <w:t>38</w:t>
      </w:r>
      <w:r w:rsidRPr="00624696">
        <w:rPr>
          <w:position w:val="6"/>
          <w:sz w:val="10"/>
          <w:lang w:val="es-AR"/>
        </w:rPr>
        <w:tab/>
      </w:r>
      <w:r w:rsidRPr="00624696">
        <w:rPr>
          <w:i/>
          <w:sz w:val="16"/>
          <w:lang w:val="es-AR"/>
        </w:rPr>
        <w:t xml:space="preserve">Cfr. Caso Neira Alegría y otros Vs. </w:t>
      </w:r>
      <w:r>
        <w:rPr>
          <w:i/>
          <w:sz w:val="16"/>
        </w:rPr>
        <w:t>Pe</w:t>
      </w:r>
      <w:r>
        <w:rPr>
          <w:i/>
          <w:sz w:val="16"/>
        </w:rPr>
        <w:t xml:space="preserve">rú. </w:t>
      </w:r>
      <w:r w:rsidRPr="00624696">
        <w:rPr>
          <w:i/>
          <w:sz w:val="16"/>
          <w:lang w:val="es-AR"/>
        </w:rPr>
        <w:t xml:space="preserve">Excepciones Preliminares. </w:t>
      </w:r>
      <w:r w:rsidRPr="00624696">
        <w:rPr>
          <w:sz w:val="16"/>
          <w:lang w:val="es-AR"/>
        </w:rPr>
        <w:t>Sentencia de 11 de diciembre de 1991. Serie C No. 13, párr. 29</w:t>
      </w:r>
      <w:r w:rsidRPr="00624696">
        <w:rPr>
          <w:i/>
          <w:sz w:val="16"/>
          <w:lang w:val="es-AR"/>
        </w:rPr>
        <w:t xml:space="preserve">, </w:t>
      </w:r>
      <w:r w:rsidRPr="00624696">
        <w:rPr>
          <w:sz w:val="16"/>
          <w:lang w:val="es-AR"/>
        </w:rPr>
        <w:t xml:space="preserve">y </w:t>
      </w:r>
      <w:r w:rsidRPr="00624696">
        <w:rPr>
          <w:i/>
          <w:sz w:val="16"/>
          <w:lang w:val="es-AR"/>
        </w:rPr>
        <w:t xml:space="preserve">Caso Munárriz Escobar y otros Vs. </w:t>
      </w:r>
      <w:r>
        <w:rPr>
          <w:i/>
          <w:sz w:val="16"/>
        </w:rPr>
        <w:t xml:space="preserve">Perú. </w:t>
      </w:r>
      <w:r w:rsidRPr="00624696">
        <w:rPr>
          <w:i/>
          <w:sz w:val="16"/>
          <w:lang w:val="es-AR"/>
        </w:rPr>
        <w:t xml:space="preserve">Excepción Preliminar, Fondo, Reparaciones y Costas. </w:t>
      </w:r>
      <w:r w:rsidRPr="00624696">
        <w:rPr>
          <w:sz w:val="16"/>
          <w:lang w:val="es-AR"/>
        </w:rPr>
        <w:t xml:space="preserve">Sentencia de 20 de agosto de 2018. </w:t>
      </w:r>
      <w:r>
        <w:rPr>
          <w:sz w:val="16"/>
        </w:rPr>
        <w:t>Serie C No. 355, párr.</w:t>
      </w:r>
      <w:r>
        <w:rPr>
          <w:spacing w:val="-20"/>
          <w:sz w:val="16"/>
        </w:rPr>
        <w:t xml:space="preserve"> </w:t>
      </w:r>
      <w:r>
        <w:rPr>
          <w:sz w:val="16"/>
        </w:rPr>
        <w:t>23.</w:t>
      </w:r>
    </w:p>
    <w:p w14:paraId="1482ACDD" w14:textId="77777777" w:rsidR="00467FCA" w:rsidRDefault="00467FCA">
      <w:pPr>
        <w:jc w:val="both"/>
        <w:rPr>
          <w:sz w:val="16"/>
        </w:rPr>
        <w:sectPr w:rsidR="00467FCA">
          <w:pgSz w:w="12240" w:h="15840"/>
          <w:pgMar w:top="1360" w:right="1320" w:bottom="1220" w:left="1320" w:header="0" w:footer="1037" w:gutter="0"/>
          <w:cols w:space="720"/>
        </w:sectPr>
      </w:pPr>
    </w:p>
    <w:p w14:paraId="742E5480" w14:textId="77777777" w:rsidR="00467FCA" w:rsidRPr="00624696" w:rsidRDefault="001B68EB">
      <w:pPr>
        <w:pStyle w:val="Prrafodelista"/>
        <w:numPr>
          <w:ilvl w:val="0"/>
          <w:numId w:val="50"/>
        </w:numPr>
        <w:tabs>
          <w:tab w:val="left" w:pos="687"/>
        </w:tabs>
        <w:spacing w:before="80"/>
        <w:ind w:right="118" w:hanging="1"/>
        <w:jc w:val="both"/>
        <w:rPr>
          <w:sz w:val="20"/>
          <w:lang w:val="es-AR"/>
        </w:rPr>
      </w:pPr>
      <w:r w:rsidRPr="00624696">
        <w:rPr>
          <w:sz w:val="20"/>
          <w:lang w:val="es-AR"/>
        </w:rPr>
        <w:t>Respecto</w:t>
      </w:r>
      <w:r w:rsidRPr="00624696">
        <w:rPr>
          <w:spacing w:val="-15"/>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las</w:t>
      </w:r>
      <w:r w:rsidRPr="00624696">
        <w:rPr>
          <w:spacing w:val="-13"/>
          <w:sz w:val="20"/>
          <w:lang w:val="es-AR"/>
        </w:rPr>
        <w:t xml:space="preserve"> </w:t>
      </w:r>
      <w:r w:rsidRPr="00624696">
        <w:rPr>
          <w:sz w:val="20"/>
          <w:lang w:val="es-AR"/>
        </w:rPr>
        <w:t>representaciones,</w:t>
      </w:r>
      <w:r w:rsidRPr="00624696">
        <w:rPr>
          <w:spacing w:val="-16"/>
          <w:sz w:val="20"/>
          <w:lang w:val="es-AR"/>
        </w:rPr>
        <w:t xml:space="preserve"> </w:t>
      </w:r>
      <w:r w:rsidRPr="00624696">
        <w:rPr>
          <w:sz w:val="20"/>
          <w:lang w:val="es-AR"/>
        </w:rPr>
        <w:t>la</w:t>
      </w:r>
      <w:r w:rsidRPr="00624696">
        <w:rPr>
          <w:spacing w:val="-12"/>
          <w:sz w:val="20"/>
          <w:lang w:val="es-AR"/>
        </w:rPr>
        <w:t xml:space="preserve"> </w:t>
      </w:r>
      <w:r w:rsidRPr="00624696">
        <w:rPr>
          <w:sz w:val="20"/>
          <w:lang w:val="es-AR"/>
        </w:rPr>
        <w:t>Comisión</w:t>
      </w:r>
      <w:r w:rsidRPr="00624696">
        <w:rPr>
          <w:spacing w:val="-14"/>
          <w:sz w:val="20"/>
          <w:lang w:val="es-AR"/>
        </w:rPr>
        <w:t xml:space="preserve"> </w:t>
      </w:r>
      <w:r w:rsidRPr="00624696">
        <w:rPr>
          <w:sz w:val="20"/>
          <w:lang w:val="es-AR"/>
        </w:rPr>
        <w:t>indicó</w:t>
      </w:r>
      <w:r w:rsidRPr="00624696">
        <w:rPr>
          <w:spacing w:val="-16"/>
          <w:sz w:val="20"/>
          <w:lang w:val="es-AR"/>
        </w:rPr>
        <w:t xml:space="preserve"> </w:t>
      </w:r>
      <w:r w:rsidRPr="00624696">
        <w:rPr>
          <w:sz w:val="20"/>
          <w:lang w:val="es-AR"/>
        </w:rPr>
        <w:t>que,</w:t>
      </w:r>
      <w:r w:rsidRPr="00624696">
        <w:rPr>
          <w:spacing w:val="-13"/>
          <w:sz w:val="20"/>
          <w:lang w:val="es-AR"/>
        </w:rPr>
        <w:t xml:space="preserve"> </w:t>
      </w:r>
      <w:r w:rsidRPr="00624696">
        <w:rPr>
          <w:sz w:val="20"/>
          <w:lang w:val="es-AR"/>
        </w:rPr>
        <w:t>si</w:t>
      </w:r>
      <w:r w:rsidRPr="00624696">
        <w:rPr>
          <w:spacing w:val="-13"/>
          <w:sz w:val="20"/>
          <w:lang w:val="es-AR"/>
        </w:rPr>
        <w:t xml:space="preserve"> </w:t>
      </w:r>
      <w:r w:rsidRPr="00624696">
        <w:rPr>
          <w:sz w:val="20"/>
          <w:lang w:val="es-AR"/>
        </w:rPr>
        <w:t>bien</w:t>
      </w:r>
      <w:r w:rsidRPr="00624696">
        <w:rPr>
          <w:spacing w:val="-12"/>
          <w:sz w:val="20"/>
          <w:lang w:val="es-AR"/>
        </w:rPr>
        <w:t xml:space="preserve"> </w:t>
      </w:r>
      <w:r w:rsidRPr="00624696">
        <w:rPr>
          <w:sz w:val="20"/>
          <w:lang w:val="es-AR"/>
        </w:rPr>
        <w:t>el</w:t>
      </w:r>
      <w:r w:rsidRPr="00624696">
        <w:rPr>
          <w:spacing w:val="-12"/>
          <w:sz w:val="20"/>
          <w:lang w:val="es-AR"/>
        </w:rPr>
        <w:t xml:space="preserve"> </w:t>
      </w:r>
      <w:r w:rsidRPr="00624696">
        <w:rPr>
          <w:sz w:val="20"/>
          <w:lang w:val="es-AR"/>
        </w:rPr>
        <w:t>número</w:t>
      </w:r>
      <w:r w:rsidRPr="00624696">
        <w:rPr>
          <w:spacing w:val="-14"/>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personas que</w:t>
      </w:r>
      <w:r w:rsidRPr="00624696">
        <w:rPr>
          <w:spacing w:val="-20"/>
          <w:sz w:val="20"/>
          <w:lang w:val="es-AR"/>
        </w:rPr>
        <w:t xml:space="preserve"> </w:t>
      </w:r>
      <w:r w:rsidRPr="00624696">
        <w:rPr>
          <w:sz w:val="20"/>
          <w:lang w:val="es-AR"/>
        </w:rPr>
        <w:t>otorgaron</w:t>
      </w:r>
      <w:r w:rsidRPr="00624696">
        <w:rPr>
          <w:spacing w:val="-19"/>
          <w:sz w:val="20"/>
          <w:lang w:val="es-AR"/>
        </w:rPr>
        <w:t xml:space="preserve"> </w:t>
      </w:r>
      <w:r w:rsidRPr="00624696">
        <w:rPr>
          <w:sz w:val="20"/>
          <w:lang w:val="es-AR"/>
        </w:rPr>
        <w:t>formalmente</w:t>
      </w:r>
      <w:r w:rsidRPr="00624696">
        <w:rPr>
          <w:spacing w:val="-21"/>
          <w:sz w:val="20"/>
          <w:lang w:val="es-AR"/>
        </w:rPr>
        <w:t xml:space="preserve"> </w:t>
      </w:r>
      <w:r w:rsidRPr="00624696">
        <w:rPr>
          <w:sz w:val="20"/>
          <w:lang w:val="es-AR"/>
        </w:rPr>
        <w:t>poder</w:t>
      </w:r>
      <w:r w:rsidRPr="00624696">
        <w:rPr>
          <w:spacing w:val="-20"/>
          <w:sz w:val="20"/>
          <w:lang w:val="es-AR"/>
        </w:rPr>
        <w:t xml:space="preserve"> </w:t>
      </w:r>
      <w:r w:rsidRPr="00624696">
        <w:rPr>
          <w:sz w:val="20"/>
          <w:lang w:val="es-AR"/>
        </w:rPr>
        <w:t>a</w:t>
      </w:r>
      <w:r w:rsidRPr="00624696">
        <w:rPr>
          <w:spacing w:val="-17"/>
          <w:sz w:val="20"/>
          <w:lang w:val="es-AR"/>
        </w:rPr>
        <w:t xml:space="preserve"> </w:t>
      </w:r>
      <w:r w:rsidRPr="00624696">
        <w:rPr>
          <w:sz w:val="20"/>
          <w:lang w:val="es-AR"/>
        </w:rPr>
        <w:t>los</w:t>
      </w:r>
      <w:r w:rsidRPr="00624696">
        <w:rPr>
          <w:spacing w:val="-18"/>
          <w:sz w:val="20"/>
          <w:lang w:val="es-AR"/>
        </w:rPr>
        <w:t xml:space="preserve"> </w:t>
      </w:r>
      <w:r w:rsidRPr="00624696">
        <w:rPr>
          <w:sz w:val="20"/>
          <w:lang w:val="es-AR"/>
        </w:rPr>
        <w:t>representantes</w:t>
      </w:r>
      <w:r w:rsidRPr="00624696">
        <w:rPr>
          <w:spacing w:val="-19"/>
          <w:sz w:val="20"/>
          <w:lang w:val="es-AR"/>
        </w:rPr>
        <w:t xml:space="preserve"> </w:t>
      </w:r>
      <w:r w:rsidRPr="00624696">
        <w:rPr>
          <w:sz w:val="20"/>
          <w:lang w:val="es-AR"/>
        </w:rPr>
        <w:t>es</w:t>
      </w:r>
      <w:r w:rsidRPr="00624696">
        <w:rPr>
          <w:spacing w:val="-18"/>
          <w:sz w:val="20"/>
          <w:lang w:val="es-AR"/>
        </w:rPr>
        <w:t xml:space="preserve"> </w:t>
      </w:r>
      <w:r w:rsidRPr="00624696">
        <w:rPr>
          <w:sz w:val="20"/>
          <w:lang w:val="es-AR"/>
        </w:rPr>
        <w:t>menor</w:t>
      </w:r>
      <w:r w:rsidRPr="00624696">
        <w:rPr>
          <w:spacing w:val="-19"/>
          <w:sz w:val="20"/>
          <w:lang w:val="es-AR"/>
        </w:rPr>
        <w:t xml:space="preserve"> </w:t>
      </w:r>
      <w:r w:rsidRPr="00624696">
        <w:rPr>
          <w:sz w:val="20"/>
          <w:lang w:val="es-AR"/>
        </w:rPr>
        <w:t>que</w:t>
      </w:r>
      <w:r w:rsidRPr="00624696">
        <w:rPr>
          <w:spacing w:val="-19"/>
          <w:sz w:val="20"/>
          <w:lang w:val="es-AR"/>
        </w:rPr>
        <w:t xml:space="preserve"> </w:t>
      </w:r>
      <w:r w:rsidRPr="00624696">
        <w:rPr>
          <w:sz w:val="20"/>
          <w:lang w:val="es-AR"/>
        </w:rPr>
        <w:t>la</w:t>
      </w:r>
      <w:r w:rsidRPr="00624696">
        <w:rPr>
          <w:spacing w:val="-18"/>
          <w:sz w:val="20"/>
          <w:lang w:val="es-AR"/>
        </w:rPr>
        <w:t xml:space="preserve"> </w:t>
      </w:r>
      <w:r w:rsidRPr="00624696">
        <w:rPr>
          <w:sz w:val="20"/>
          <w:lang w:val="es-AR"/>
        </w:rPr>
        <w:t>totalidad</w:t>
      </w:r>
      <w:r w:rsidRPr="00624696">
        <w:rPr>
          <w:spacing w:val="-19"/>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presuntas víctimas contenidas en el listado presentado, en razón de la complejidad del caso y en aplicación de la flexibilidad que ha venido estableciendo la jurisprudencia en este aspecto, la Corte se podría pronunciar respecto de las presuntas víctimas q</w:t>
      </w:r>
      <w:r w:rsidRPr="00624696">
        <w:rPr>
          <w:sz w:val="20"/>
          <w:lang w:val="es-AR"/>
        </w:rPr>
        <w:t>ue no otorgaron poderes de representación o efectuar alguna determinación para solventar esa</w:t>
      </w:r>
      <w:r w:rsidRPr="00624696">
        <w:rPr>
          <w:spacing w:val="-7"/>
          <w:sz w:val="20"/>
          <w:lang w:val="es-AR"/>
        </w:rPr>
        <w:t xml:space="preserve"> </w:t>
      </w:r>
      <w:r w:rsidRPr="00624696">
        <w:rPr>
          <w:sz w:val="20"/>
          <w:lang w:val="es-AR"/>
        </w:rPr>
        <w:t>falencia.</w:t>
      </w:r>
    </w:p>
    <w:p w14:paraId="306CB7E0" w14:textId="77777777" w:rsidR="00467FCA" w:rsidRPr="00624696" w:rsidRDefault="00467FCA">
      <w:pPr>
        <w:pStyle w:val="Textoindependiente"/>
        <w:rPr>
          <w:lang w:val="es-AR"/>
        </w:rPr>
      </w:pPr>
    </w:p>
    <w:p w14:paraId="55D6CC23" w14:textId="77777777" w:rsidR="00467FCA" w:rsidRPr="00624696" w:rsidRDefault="001B68EB">
      <w:pPr>
        <w:pStyle w:val="Prrafodelista"/>
        <w:numPr>
          <w:ilvl w:val="0"/>
          <w:numId w:val="50"/>
        </w:numPr>
        <w:tabs>
          <w:tab w:val="left" w:pos="687"/>
        </w:tabs>
        <w:spacing w:before="1"/>
        <w:ind w:right="118" w:hanging="1"/>
        <w:jc w:val="both"/>
        <w:rPr>
          <w:sz w:val="20"/>
          <w:lang w:val="es-AR"/>
        </w:rPr>
      </w:pPr>
      <w:r w:rsidRPr="00624696">
        <w:rPr>
          <w:sz w:val="20"/>
          <w:lang w:val="es-AR"/>
        </w:rPr>
        <w:t xml:space="preserve">Los </w:t>
      </w:r>
      <w:r w:rsidRPr="00624696">
        <w:rPr>
          <w:b/>
          <w:i/>
          <w:sz w:val="20"/>
          <w:lang w:val="es-AR"/>
        </w:rPr>
        <w:t xml:space="preserve">representantes </w:t>
      </w:r>
      <w:r w:rsidRPr="00624696">
        <w:rPr>
          <w:sz w:val="20"/>
          <w:lang w:val="es-AR"/>
        </w:rPr>
        <w:t>señalaron, por un lado, que la lista presentada en el escrito de solicitudes y argumentos fue respaldada en instancias internas por e</w:t>
      </w:r>
      <w:r w:rsidRPr="00624696">
        <w:rPr>
          <w:sz w:val="20"/>
          <w:lang w:val="es-AR"/>
        </w:rPr>
        <w:t>l Estado. Además, se refirieron</w:t>
      </w:r>
      <w:r w:rsidRPr="00624696">
        <w:rPr>
          <w:spacing w:val="-16"/>
          <w:sz w:val="20"/>
          <w:lang w:val="es-AR"/>
        </w:rPr>
        <w:t xml:space="preserve"> </w:t>
      </w:r>
      <w:r w:rsidRPr="00624696">
        <w:rPr>
          <w:sz w:val="20"/>
          <w:lang w:val="es-AR"/>
        </w:rPr>
        <w:t>a</w:t>
      </w:r>
      <w:r w:rsidRPr="00624696">
        <w:rPr>
          <w:spacing w:val="-16"/>
          <w:sz w:val="20"/>
          <w:lang w:val="es-AR"/>
        </w:rPr>
        <w:t xml:space="preserve"> </w:t>
      </w:r>
      <w:r w:rsidRPr="00624696">
        <w:rPr>
          <w:sz w:val="20"/>
          <w:lang w:val="es-AR"/>
        </w:rPr>
        <w:t>la</w:t>
      </w:r>
      <w:r w:rsidRPr="00624696">
        <w:rPr>
          <w:spacing w:val="-16"/>
          <w:sz w:val="20"/>
          <w:lang w:val="es-AR"/>
        </w:rPr>
        <w:t xml:space="preserve"> </w:t>
      </w:r>
      <w:r w:rsidRPr="00624696">
        <w:rPr>
          <w:sz w:val="20"/>
          <w:lang w:val="es-AR"/>
        </w:rPr>
        <w:t>necesidad</w:t>
      </w:r>
      <w:r w:rsidRPr="00624696">
        <w:rPr>
          <w:spacing w:val="-16"/>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actualizar</w:t>
      </w:r>
      <w:r w:rsidRPr="00624696">
        <w:rPr>
          <w:spacing w:val="-17"/>
          <w:sz w:val="20"/>
          <w:lang w:val="es-AR"/>
        </w:rPr>
        <w:t xml:space="preserve"> </w:t>
      </w:r>
      <w:r w:rsidRPr="00624696">
        <w:rPr>
          <w:sz w:val="20"/>
          <w:lang w:val="es-AR"/>
        </w:rPr>
        <w:t>la</w:t>
      </w:r>
      <w:r w:rsidRPr="00624696">
        <w:rPr>
          <w:spacing w:val="-16"/>
          <w:sz w:val="20"/>
          <w:lang w:val="es-AR"/>
        </w:rPr>
        <w:t xml:space="preserve"> </w:t>
      </w:r>
      <w:r w:rsidRPr="00624696">
        <w:rPr>
          <w:sz w:val="20"/>
          <w:lang w:val="es-AR"/>
        </w:rPr>
        <w:t>lista</w:t>
      </w:r>
      <w:r w:rsidRPr="00624696">
        <w:rPr>
          <w:spacing w:val="-16"/>
          <w:sz w:val="20"/>
          <w:lang w:val="es-AR"/>
        </w:rPr>
        <w:t xml:space="preserve"> </w:t>
      </w:r>
      <w:r w:rsidRPr="00624696">
        <w:rPr>
          <w:sz w:val="20"/>
          <w:lang w:val="es-AR"/>
        </w:rPr>
        <w:t>enviada</w:t>
      </w:r>
      <w:r w:rsidRPr="00624696">
        <w:rPr>
          <w:spacing w:val="-16"/>
          <w:sz w:val="20"/>
          <w:lang w:val="es-AR"/>
        </w:rPr>
        <w:t xml:space="preserve"> </w:t>
      </w:r>
      <w:r w:rsidRPr="00624696">
        <w:rPr>
          <w:sz w:val="20"/>
          <w:lang w:val="es-AR"/>
        </w:rPr>
        <w:t>por</w:t>
      </w:r>
      <w:r w:rsidRPr="00624696">
        <w:rPr>
          <w:spacing w:val="-17"/>
          <w:sz w:val="20"/>
          <w:lang w:val="es-AR"/>
        </w:rPr>
        <w:t xml:space="preserve"> </w:t>
      </w:r>
      <w:r w:rsidRPr="00624696">
        <w:rPr>
          <w:sz w:val="20"/>
          <w:lang w:val="es-AR"/>
        </w:rPr>
        <w:t>la</w:t>
      </w:r>
      <w:r w:rsidRPr="00624696">
        <w:rPr>
          <w:spacing w:val="-16"/>
          <w:sz w:val="20"/>
          <w:lang w:val="es-AR"/>
        </w:rPr>
        <w:t xml:space="preserve"> </w:t>
      </w:r>
      <w:r w:rsidRPr="00624696">
        <w:rPr>
          <w:sz w:val="20"/>
          <w:lang w:val="es-AR"/>
        </w:rPr>
        <w:t>Comisión</w:t>
      </w:r>
      <w:r w:rsidRPr="00624696">
        <w:rPr>
          <w:spacing w:val="-15"/>
          <w:sz w:val="20"/>
          <w:lang w:val="es-AR"/>
        </w:rPr>
        <w:t xml:space="preserve"> </w:t>
      </w:r>
      <w:r w:rsidRPr="00624696">
        <w:rPr>
          <w:sz w:val="20"/>
          <w:lang w:val="es-AR"/>
        </w:rPr>
        <w:t>en</w:t>
      </w:r>
      <w:r w:rsidRPr="00624696">
        <w:rPr>
          <w:spacing w:val="-15"/>
          <w:sz w:val="20"/>
          <w:lang w:val="es-AR"/>
        </w:rPr>
        <w:t xml:space="preserve"> </w:t>
      </w:r>
      <w:r w:rsidRPr="00624696">
        <w:rPr>
          <w:sz w:val="20"/>
          <w:lang w:val="es-AR"/>
        </w:rPr>
        <w:t>aplicación</w:t>
      </w:r>
      <w:r w:rsidRPr="00624696">
        <w:rPr>
          <w:spacing w:val="-15"/>
          <w:sz w:val="20"/>
          <w:lang w:val="es-AR"/>
        </w:rPr>
        <w:t xml:space="preserve"> </w:t>
      </w:r>
      <w:r w:rsidRPr="00624696">
        <w:rPr>
          <w:sz w:val="20"/>
          <w:lang w:val="es-AR"/>
        </w:rPr>
        <w:t>del</w:t>
      </w:r>
      <w:r w:rsidRPr="00624696">
        <w:rPr>
          <w:spacing w:val="-16"/>
          <w:sz w:val="20"/>
          <w:lang w:val="es-AR"/>
        </w:rPr>
        <w:t xml:space="preserve"> </w:t>
      </w:r>
      <w:r w:rsidRPr="00624696">
        <w:rPr>
          <w:sz w:val="20"/>
          <w:lang w:val="es-AR"/>
        </w:rPr>
        <w:t>artículo</w:t>
      </w:r>
    </w:p>
    <w:p w14:paraId="2C624AA9" w14:textId="77777777" w:rsidR="00467FCA" w:rsidRPr="00624696" w:rsidRDefault="001B68EB">
      <w:pPr>
        <w:pStyle w:val="Textoindependiente"/>
        <w:ind w:left="120" w:right="119"/>
        <w:jc w:val="both"/>
        <w:rPr>
          <w:lang w:val="es-AR"/>
        </w:rPr>
      </w:pPr>
      <w:r w:rsidRPr="00624696">
        <w:rPr>
          <w:lang w:val="es-AR"/>
        </w:rPr>
        <w:t>35.2 del Reglamento. Por otro lado, respecto de la falta de representación de algunas personas, señalaron varios documentos aportados d</w:t>
      </w:r>
      <w:r w:rsidRPr="00624696">
        <w:rPr>
          <w:lang w:val="es-AR"/>
        </w:rPr>
        <w:t>entro del expediente que respaldan la procuración a favor de los representantes de algunas de las presuntas víctimas</w:t>
      </w:r>
      <w:r w:rsidRPr="00624696">
        <w:rPr>
          <w:spacing w:val="-39"/>
          <w:lang w:val="es-AR"/>
        </w:rPr>
        <w:t xml:space="preserve"> </w:t>
      </w:r>
      <w:r w:rsidRPr="00624696">
        <w:rPr>
          <w:lang w:val="es-AR"/>
        </w:rPr>
        <w:t>impugnadas.</w:t>
      </w:r>
    </w:p>
    <w:p w14:paraId="51D6F71B" w14:textId="77777777" w:rsidR="00467FCA" w:rsidRPr="00624696" w:rsidRDefault="00467FCA">
      <w:pPr>
        <w:pStyle w:val="Textoindependiente"/>
        <w:rPr>
          <w:lang w:val="es-AR"/>
        </w:rPr>
      </w:pPr>
    </w:p>
    <w:p w14:paraId="3ED2AC1D" w14:textId="77777777" w:rsidR="00467FCA" w:rsidRDefault="001B68EB">
      <w:pPr>
        <w:pStyle w:val="Ttulo1"/>
        <w:ind w:left="480"/>
      </w:pPr>
      <w:bookmarkStart w:id="69" w:name="_bookmark53"/>
      <w:bookmarkEnd w:id="69"/>
      <w:r>
        <w:t>B. Consideraciones de la Corte</w:t>
      </w:r>
    </w:p>
    <w:p w14:paraId="33219E31" w14:textId="77777777" w:rsidR="00467FCA" w:rsidRDefault="00467FCA">
      <w:pPr>
        <w:pStyle w:val="Textoindependiente"/>
        <w:spacing w:before="11"/>
        <w:rPr>
          <w:b/>
          <w:sz w:val="19"/>
        </w:rPr>
      </w:pPr>
    </w:p>
    <w:p w14:paraId="2BBE867C" w14:textId="77777777" w:rsidR="00467FCA" w:rsidRPr="00624696" w:rsidRDefault="001B68EB">
      <w:pPr>
        <w:pStyle w:val="Prrafodelista"/>
        <w:numPr>
          <w:ilvl w:val="0"/>
          <w:numId w:val="50"/>
        </w:numPr>
        <w:tabs>
          <w:tab w:val="left" w:pos="687"/>
        </w:tabs>
        <w:ind w:right="118" w:firstLine="0"/>
        <w:jc w:val="both"/>
        <w:rPr>
          <w:sz w:val="20"/>
          <w:lang w:val="es-AR"/>
        </w:rPr>
      </w:pPr>
      <w:r w:rsidRPr="00624696">
        <w:rPr>
          <w:sz w:val="20"/>
          <w:lang w:val="es-AR"/>
        </w:rPr>
        <w:t>De conformidad con el artículo 35.1 del Reglamento de la Corte y la jurisprudencia constante</w:t>
      </w:r>
      <w:r w:rsidRPr="00624696">
        <w:rPr>
          <w:spacing w:val="-5"/>
          <w:sz w:val="20"/>
          <w:lang w:val="es-AR"/>
        </w:rPr>
        <w:t xml:space="preserve"> </w:t>
      </w:r>
      <w:r w:rsidRPr="00624696">
        <w:rPr>
          <w:sz w:val="20"/>
          <w:lang w:val="es-AR"/>
        </w:rPr>
        <w:t>de</w:t>
      </w:r>
      <w:r w:rsidRPr="00624696">
        <w:rPr>
          <w:spacing w:val="-5"/>
          <w:sz w:val="20"/>
          <w:lang w:val="es-AR"/>
        </w:rPr>
        <w:t xml:space="preserve"> </w:t>
      </w:r>
      <w:r w:rsidRPr="00624696">
        <w:rPr>
          <w:sz w:val="20"/>
          <w:lang w:val="es-AR"/>
        </w:rPr>
        <w:t>este</w:t>
      </w:r>
      <w:r w:rsidRPr="00624696">
        <w:rPr>
          <w:spacing w:val="-4"/>
          <w:sz w:val="20"/>
          <w:lang w:val="es-AR"/>
        </w:rPr>
        <w:t xml:space="preserve"> </w:t>
      </w:r>
      <w:r w:rsidRPr="00624696">
        <w:rPr>
          <w:sz w:val="20"/>
          <w:lang w:val="es-AR"/>
        </w:rPr>
        <w:t>Tribunal,</w:t>
      </w:r>
      <w:r w:rsidRPr="00624696">
        <w:rPr>
          <w:spacing w:val="-7"/>
          <w:sz w:val="20"/>
          <w:lang w:val="es-AR"/>
        </w:rPr>
        <w:t xml:space="preserve"> </w:t>
      </w:r>
      <w:r w:rsidRPr="00624696">
        <w:rPr>
          <w:sz w:val="20"/>
          <w:lang w:val="es-AR"/>
        </w:rPr>
        <w:t>las</w:t>
      </w:r>
      <w:r w:rsidRPr="00624696">
        <w:rPr>
          <w:spacing w:val="-7"/>
          <w:sz w:val="20"/>
          <w:lang w:val="es-AR"/>
        </w:rPr>
        <w:t xml:space="preserve"> </w:t>
      </w:r>
      <w:r w:rsidRPr="00624696">
        <w:rPr>
          <w:sz w:val="20"/>
          <w:lang w:val="es-AR"/>
        </w:rPr>
        <w:t>presuntas</w:t>
      </w:r>
      <w:r w:rsidRPr="00624696">
        <w:rPr>
          <w:spacing w:val="-6"/>
          <w:sz w:val="20"/>
          <w:lang w:val="es-AR"/>
        </w:rPr>
        <w:t xml:space="preserve"> </w:t>
      </w:r>
      <w:r w:rsidRPr="00624696">
        <w:rPr>
          <w:sz w:val="20"/>
          <w:lang w:val="es-AR"/>
        </w:rPr>
        <w:t>víctimas</w:t>
      </w:r>
      <w:r w:rsidRPr="00624696">
        <w:rPr>
          <w:spacing w:val="-7"/>
          <w:sz w:val="20"/>
          <w:lang w:val="es-AR"/>
        </w:rPr>
        <w:t xml:space="preserve"> </w:t>
      </w:r>
      <w:r w:rsidRPr="00624696">
        <w:rPr>
          <w:sz w:val="20"/>
          <w:lang w:val="es-AR"/>
        </w:rPr>
        <w:t>deben</w:t>
      </w:r>
      <w:r w:rsidRPr="00624696">
        <w:rPr>
          <w:spacing w:val="-3"/>
          <w:sz w:val="20"/>
          <w:lang w:val="es-AR"/>
        </w:rPr>
        <w:t xml:space="preserve"> </w:t>
      </w:r>
      <w:r w:rsidRPr="00624696">
        <w:rPr>
          <w:sz w:val="20"/>
          <w:lang w:val="es-AR"/>
        </w:rPr>
        <w:t>estar</w:t>
      </w:r>
      <w:r w:rsidRPr="00624696">
        <w:rPr>
          <w:spacing w:val="-7"/>
          <w:sz w:val="20"/>
          <w:lang w:val="es-AR"/>
        </w:rPr>
        <w:t xml:space="preserve"> </w:t>
      </w:r>
      <w:r w:rsidRPr="00624696">
        <w:rPr>
          <w:sz w:val="20"/>
          <w:lang w:val="es-AR"/>
        </w:rPr>
        <w:t>identificadas</w:t>
      </w:r>
      <w:r w:rsidRPr="00624696">
        <w:rPr>
          <w:spacing w:val="-7"/>
          <w:sz w:val="20"/>
          <w:lang w:val="es-AR"/>
        </w:rPr>
        <w:t xml:space="preserve"> </w:t>
      </w:r>
      <w:r w:rsidRPr="00624696">
        <w:rPr>
          <w:sz w:val="20"/>
          <w:lang w:val="es-AR"/>
        </w:rPr>
        <w:t>en</w:t>
      </w:r>
      <w:r w:rsidRPr="00624696">
        <w:rPr>
          <w:spacing w:val="-2"/>
          <w:sz w:val="20"/>
          <w:lang w:val="es-AR"/>
        </w:rPr>
        <w:t xml:space="preserve"> </w:t>
      </w:r>
      <w:r w:rsidRPr="00624696">
        <w:rPr>
          <w:sz w:val="20"/>
          <w:lang w:val="es-AR"/>
        </w:rPr>
        <w:t>el</w:t>
      </w:r>
      <w:r w:rsidRPr="00624696">
        <w:rPr>
          <w:spacing w:val="-6"/>
          <w:sz w:val="20"/>
          <w:lang w:val="es-AR"/>
        </w:rPr>
        <w:t xml:space="preserve"> </w:t>
      </w:r>
      <w:r w:rsidRPr="00624696">
        <w:rPr>
          <w:sz w:val="20"/>
          <w:lang w:val="es-AR"/>
        </w:rPr>
        <w:t>Informe</w:t>
      </w:r>
      <w:r w:rsidRPr="00624696">
        <w:rPr>
          <w:spacing w:val="-5"/>
          <w:sz w:val="20"/>
          <w:lang w:val="es-AR"/>
        </w:rPr>
        <w:t xml:space="preserve"> </w:t>
      </w:r>
      <w:r w:rsidRPr="00624696">
        <w:rPr>
          <w:sz w:val="20"/>
          <w:lang w:val="es-AR"/>
        </w:rPr>
        <w:t>de Fondo, emitido conforme al artículo 50 de la Convención</w:t>
      </w:r>
      <w:hyperlink w:anchor="_bookmark54" w:history="1">
        <w:r w:rsidRPr="00624696">
          <w:rPr>
            <w:position w:val="7"/>
            <w:sz w:val="13"/>
            <w:lang w:val="es-AR"/>
          </w:rPr>
          <w:t>39</w:t>
        </w:r>
      </w:hyperlink>
      <w:r w:rsidRPr="00624696">
        <w:rPr>
          <w:sz w:val="20"/>
          <w:lang w:val="es-AR"/>
        </w:rPr>
        <w:t>. Sin embargo, el artículo 35.2 del Reglamento establece que, cuando se justifique que no fue posible identificar a algunas presuntas víctimas por tratarse de violaciones masivas o colectivas, este Tribunal decidirá si las considera como tales</w:t>
      </w:r>
      <w:hyperlink w:anchor="_bookmark55" w:history="1">
        <w:r w:rsidRPr="00624696">
          <w:rPr>
            <w:position w:val="7"/>
            <w:sz w:val="13"/>
            <w:lang w:val="es-AR"/>
          </w:rPr>
          <w:t>40</w:t>
        </w:r>
      </w:hyperlink>
      <w:r w:rsidRPr="00624696">
        <w:rPr>
          <w:sz w:val="20"/>
          <w:lang w:val="es-AR"/>
        </w:rPr>
        <w:t>. En ese sentido, en atención a las particularidades del caso y a la magnitud de la violación, la Corte ha admitido como presuntas víctimas a personas no relacionadas en el Informe de Fondo, siempre que se haya respetado el der</w:t>
      </w:r>
      <w:r w:rsidRPr="00624696">
        <w:rPr>
          <w:sz w:val="20"/>
          <w:lang w:val="es-AR"/>
        </w:rPr>
        <w:t>echo de defensa y que estén relacionadas con los hechos descritos en dicho Informe y con la prueba aportada</w:t>
      </w:r>
      <w:hyperlink w:anchor="_bookmark56" w:history="1">
        <w:r w:rsidRPr="00624696">
          <w:rPr>
            <w:position w:val="7"/>
            <w:sz w:val="13"/>
            <w:lang w:val="es-AR"/>
          </w:rPr>
          <w:t>41</w:t>
        </w:r>
      </w:hyperlink>
      <w:r w:rsidRPr="00624696">
        <w:rPr>
          <w:sz w:val="20"/>
          <w:lang w:val="es-AR"/>
        </w:rPr>
        <w:t>.</w:t>
      </w:r>
    </w:p>
    <w:p w14:paraId="4739FDDE" w14:textId="77777777" w:rsidR="00467FCA" w:rsidRPr="00624696" w:rsidRDefault="00467FCA">
      <w:pPr>
        <w:pStyle w:val="Textoindependiente"/>
        <w:spacing w:before="11"/>
        <w:rPr>
          <w:sz w:val="19"/>
          <w:lang w:val="es-AR"/>
        </w:rPr>
      </w:pPr>
    </w:p>
    <w:p w14:paraId="16CCF7AE" w14:textId="77777777" w:rsidR="00467FCA" w:rsidRPr="00624696" w:rsidRDefault="001B68EB">
      <w:pPr>
        <w:pStyle w:val="Prrafodelista"/>
        <w:numPr>
          <w:ilvl w:val="0"/>
          <w:numId w:val="50"/>
        </w:numPr>
        <w:tabs>
          <w:tab w:val="left" w:pos="687"/>
        </w:tabs>
        <w:ind w:left="119" w:right="118" w:firstLine="0"/>
        <w:jc w:val="both"/>
        <w:rPr>
          <w:sz w:val="20"/>
          <w:lang w:val="es-AR"/>
        </w:rPr>
      </w:pPr>
      <w:r w:rsidRPr="00624696">
        <w:rPr>
          <w:sz w:val="20"/>
          <w:lang w:val="es-AR"/>
        </w:rPr>
        <w:t>Así, esta Corte ha evaluado la aplicación del artículo 35.2 en relación con las características particulares de c</w:t>
      </w:r>
      <w:r w:rsidRPr="00624696">
        <w:rPr>
          <w:sz w:val="20"/>
          <w:lang w:val="es-AR"/>
        </w:rPr>
        <w:t>ada caso y lo ha aplicado cuando hay dificultades para identificar o contactar a todas las presuntas víctimas. Esto ha ocurrido, por ejemplo, debido a</w:t>
      </w:r>
      <w:r w:rsidRPr="00624696">
        <w:rPr>
          <w:spacing w:val="-9"/>
          <w:sz w:val="20"/>
          <w:lang w:val="es-AR"/>
        </w:rPr>
        <w:t xml:space="preserve"> </w:t>
      </w:r>
      <w:r w:rsidRPr="00624696">
        <w:rPr>
          <w:sz w:val="20"/>
          <w:lang w:val="es-AR"/>
        </w:rPr>
        <w:t>la</w:t>
      </w:r>
      <w:r w:rsidRPr="00624696">
        <w:rPr>
          <w:spacing w:val="-9"/>
          <w:sz w:val="20"/>
          <w:lang w:val="es-AR"/>
        </w:rPr>
        <w:t xml:space="preserve"> </w:t>
      </w:r>
      <w:r w:rsidRPr="00624696">
        <w:rPr>
          <w:sz w:val="20"/>
          <w:lang w:val="es-AR"/>
        </w:rPr>
        <w:t>presencia</w:t>
      </w:r>
      <w:r w:rsidRPr="00624696">
        <w:rPr>
          <w:spacing w:val="-6"/>
          <w:sz w:val="20"/>
          <w:lang w:val="es-AR"/>
        </w:rPr>
        <w:t xml:space="preserve"> </w:t>
      </w:r>
      <w:r w:rsidRPr="00624696">
        <w:rPr>
          <w:sz w:val="20"/>
          <w:lang w:val="es-AR"/>
        </w:rPr>
        <w:t>de</w:t>
      </w:r>
      <w:r w:rsidRPr="00624696">
        <w:rPr>
          <w:spacing w:val="-8"/>
          <w:sz w:val="20"/>
          <w:lang w:val="es-AR"/>
        </w:rPr>
        <w:t xml:space="preserve"> </w:t>
      </w:r>
      <w:r w:rsidRPr="00624696">
        <w:rPr>
          <w:sz w:val="20"/>
          <w:lang w:val="es-AR"/>
        </w:rPr>
        <w:t>un</w:t>
      </w:r>
      <w:r w:rsidRPr="00624696">
        <w:rPr>
          <w:spacing w:val="-7"/>
          <w:sz w:val="20"/>
          <w:lang w:val="es-AR"/>
        </w:rPr>
        <w:t xml:space="preserve"> </w:t>
      </w:r>
      <w:r w:rsidRPr="00624696">
        <w:rPr>
          <w:sz w:val="20"/>
          <w:lang w:val="es-AR"/>
        </w:rPr>
        <w:t>conflicto</w:t>
      </w:r>
      <w:r w:rsidRPr="00624696">
        <w:rPr>
          <w:spacing w:val="-10"/>
          <w:sz w:val="20"/>
          <w:lang w:val="es-AR"/>
        </w:rPr>
        <w:t xml:space="preserve"> </w:t>
      </w:r>
      <w:r w:rsidRPr="00624696">
        <w:rPr>
          <w:sz w:val="20"/>
          <w:lang w:val="es-AR"/>
        </w:rPr>
        <w:t>armado</w:t>
      </w:r>
      <w:hyperlink w:anchor="_bookmark57" w:history="1">
        <w:r w:rsidRPr="00624696">
          <w:rPr>
            <w:position w:val="7"/>
            <w:sz w:val="13"/>
            <w:lang w:val="es-AR"/>
          </w:rPr>
          <w:t>42</w:t>
        </w:r>
      </w:hyperlink>
      <w:r w:rsidRPr="00624696">
        <w:rPr>
          <w:sz w:val="20"/>
          <w:lang w:val="es-AR"/>
        </w:rPr>
        <w:t>,</w:t>
      </w:r>
      <w:r w:rsidRPr="00624696">
        <w:rPr>
          <w:spacing w:val="-10"/>
          <w:sz w:val="20"/>
          <w:lang w:val="es-AR"/>
        </w:rPr>
        <w:t xml:space="preserve"> </w:t>
      </w:r>
      <w:r w:rsidRPr="00624696">
        <w:rPr>
          <w:sz w:val="20"/>
          <w:lang w:val="es-AR"/>
        </w:rPr>
        <w:t>al</w:t>
      </w:r>
      <w:r w:rsidRPr="00624696">
        <w:rPr>
          <w:spacing w:val="-8"/>
          <w:sz w:val="20"/>
          <w:lang w:val="es-AR"/>
        </w:rPr>
        <w:t xml:space="preserve"> </w:t>
      </w:r>
      <w:r w:rsidRPr="00624696">
        <w:rPr>
          <w:sz w:val="20"/>
          <w:lang w:val="es-AR"/>
        </w:rPr>
        <w:t>desplazamiento</w:t>
      </w:r>
      <w:r w:rsidRPr="00624696">
        <w:rPr>
          <w:spacing w:val="-8"/>
          <w:sz w:val="20"/>
          <w:lang w:val="es-AR"/>
        </w:rPr>
        <w:t xml:space="preserve"> </w:t>
      </w:r>
      <w:r w:rsidRPr="00624696">
        <w:rPr>
          <w:sz w:val="20"/>
          <w:lang w:val="es-AR"/>
        </w:rPr>
        <w:t>forzado</w:t>
      </w:r>
      <w:hyperlink w:anchor="_bookmark58" w:history="1">
        <w:r w:rsidRPr="00624696">
          <w:rPr>
            <w:position w:val="7"/>
            <w:sz w:val="13"/>
            <w:lang w:val="es-AR"/>
          </w:rPr>
          <w:t>43</w:t>
        </w:r>
        <w:r w:rsidRPr="00624696">
          <w:rPr>
            <w:spacing w:val="15"/>
            <w:position w:val="7"/>
            <w:sz w:val="13"/>
            <w:lang w:val="es-AR"/>
          </w:rPr>
          <w:t xml:space="preserve"> </w:t>
        </w:r>
      </w:hyperlink>
      <w:r w:rsidRPr="00624696">
        <w:rPr>
          <w:sz w:val="20"/>
          <w:lang w:val="es-AR"/>
        </w:rPr>
        <w:t>o</w:t>
      </w:r>
      <w:r w:rsidRPr="00624696">
        <w:rPr>
          <w:spacing w:val="-8"/>
          <w:sz w:val="20"/>
          <w:lang w:val="es-AR"/>
        </w:rPr>
        <w:t xml:space="preserve"> </w:t>
      </w:r>
      <w:r w:rsidRPr="00624696">
        <w:rPr>
          <w:sz w:val="20"/>
          <w:lang w:val="es-AR"/>
        </w:rPr>
        <w:t>al</w:t>
      </w:r>
      <w:r w:rsidRPr="00624696">
        <w:rPr>
          <w:spacing w:val="-8"/>
          <w:sz w:val="20"/>
          <w:lang w:val="es-AR"/>
        </w:rPr>
        <w:t xml:space="preserve"> </w:t>
      </w:r>
      <w:r w:rsidRPr="00624696">
        <w:rPr>
          <w:sz w:val="20"/>
          <w:lang w:val="es-AR"/>
        </w:rPr>
        <w:t>asesinato</w:t>
      </w:r>
      <w:r w:rsidRPr="00624696">
        <w:rPr>
          <w:spacing w:val="-8"/>
          <w:sz w:val="20"/>
          <w:lang w:val="es-AR"/>
        </w:rPr>
        <w:t xml:space="preserve"> </w:t>
      </w:r>
      <w:r w:rsidRPr="00624696">
        <w:rPr>
          <w:sz w:val="20"/>
          <w:lang w:val="es-AR"/>
        </w:rPr>
        <w:t>masivo</w:t>
      </w:r>
      <w:r w:rsidRPr="00624696">
        <w:rPr>
          <w:spacing w:val="-10"/>
          <w:sz w:val="20"/>
          <w:lang w:val="es-AR"/>
        </w:rPr>
        <w:t xml:space="preserve"> </w:t>
      </w:r>
      <w:r w:rsidRPr="00624696">
        <w:rPr>
          <w:spacing w:val="2"/>
          <w:sz w:val="20"/>
          <w:lang w:val="es-AR"/>
        </w:rPr>
        <w:t xml:space="preserve">de </w:t>
      </w:r>
      <w:r w:rsidRPr="00624696">
        <w:rPr>
          <w:sz w:val="20"/>
          <w:lang w:val="es-AR"/>
        </w:rPr>
        <w:t>familias, la quema de sus cuerpos y la ausencia de registros o certificados que pudieran identificarlas</w:t>
      </w:r>
      <w:hyperlink w:anchor="_bookmark59" w:history="1">
        <w:r w:rsidRPr="00624696">
          <w:rPr>
            <w:position w:val="7"/>
            <w:sz w:val="13"/>
            <w:lang w:val="es-AR"/>
          </w:rPr>
          <w:t>44</w:t>
        </w:r>
      </w:hyperlink>
      <w:r w:rsidRPr="00624696">
        <w:rPr>
          <w:sz w:val="20"/>
          <w:lang w:val="es-AR"/>
        </w:rPr>
        <w:t>, o en casos en que familias enteras han sido desaparecidas</w:t>
      </w:r>
      <w:hyperlink w:anchor="_bookmark60" w:history="1">
        <w:r w:rsidRPr="00624696">
          <w:rPr>
            <w:position w:val="7"/>
            <w:sz w:val="13"/>
            <w:lang w:val="es-AR"/>
          </w:rPr>
          <w:t>45</w:t>
        </w:r>
      </w:hyperlink>
      <w:r w:rsidRPr="00624696">
        <w:rPr>
          <w:sz w:val="20"/>
          <w:lang w:val="es-AR"/>
        </w:rPr>
        <w:t>. También ha tomado en cuenta la dificultad de acceder al área donde ocurrieron los hechos</w:t>
      </w:r>
      <w:hyperlink w:anchor="_bookmark61" w:history="1">
        <w:r w:rsidRPr="00624696">
          <w:rPr>
            <w:position w:val="7"/>
            <w:sz w:val="13"/>
            <w:lang w:val="es-AR"/>
          </w:rPr>
          <w:t>46</w:t>
        </w:r>
      </w:hyperlink>
      <w:r w:rsidRPr="00624696">
        <w:rPr>
          <w:sz w:val="20"/>
          <w:lang w:val="es-AR"/>
        </w:rPr>
        <w:t xml:space="preserve">, la falta </w:t>
      </w:r>
      <w:r w:rsidRPr="00624696">
        <w:rPr>
          <w:spacing w:val="2"/>
          <w:sz w:val="20"/>
          <w:lang w:val="es-AR"/>
        </w:rPr>
        <w:t xml:space="preserve">de </w:t>
      </w:r>
      <w:r w:rsidRPr="00624696">
        <w:rPr>
          <w:sz w:val="20"/>
          <w:lang w:val="es-AR"/>
        </w:rPr>
        <w:t>registros</w:t>
      </w:r>
      <w:r w:rsidRPr="00624696">
        <w:rPr>
          <w:spacing w:val="55"/>
          <w:sz w:val="20"/>
          <w:lang w:val="es-AR"/>
        </w:rPr>
        <w:t xml:space="preserve"> </w:t>
      </w:r>
      <w:r w:rsidRPr="00624696">
        <w:rPr>
          <w:sz w:val="20"/>
          <w:lang w:val="es-AR"/>
        </w:rPr>
        <w:t>respecto</w:t>
      </w:r>
      <w:r w:rsidRPr="00624696">
        <w:rPr>
          <w:spacing w:val="54"/>
          <w:sz w:val="20"/>
          <w:lang w:val="es-AR"/>
        </w:rPr>
        <w:t xml:space="preserve"> </w:t>
      </w:r>
      <w:r w:rsidRPr="00624696">
        <w:rPr>
          <w:sz w:val="20"/>
          <w:lang w:val="es-AR"/>
        </w:rPr>
        <w:t>de</w:t>
      </w:r>
      <w:r w:rsidRPr="00624696">
        <w:rPr>
          <w:spacing w:val="54"/>
          <w:sz w:val="20"/>
          <w:lang w:val="es-AR"/>
        </w:rPr>
        <w:t xml:space="preserve"> </w:t>
      </w:r>
      <w:r w:rsidRPr="00624696">
        <w:rPr>
          <w:sz w:val="20"/>
          <w:lang w:val="es-AR"/>
        </w:rPr>
        <w:t>los</w:t>
      </w:r>
      <w:r w:rsidRPr="00624696">
        <w:rPr>
          <w:spacing w:val="56"/>
          <w:sz w:val="20"/>
          <w:lang w:val="es-AR"/>
        </w:rPr>
        <w:t xml:space="preserve"> </w:t>
      </w:r>
      <w:r w:rsidRPr="00624696">
        <w:rPr>
          <w:sz w:val="20"/>
          <w:lang w:val="es-AR"/>
        </w:rPr>
        <w:t>habitantes</w:t>
      </w:r>
      <w:r w:rsidRPr="00624696">
        <w:rPr>
          <w:spacing w:val="55"/>
          <w:sz w:val="20"/>
          <w:lang w:val="es-AR"/>
        </w:rPr>
        <w:t xml:space="preserve"> </w:t>
      </w:r>
      <w:r w:rsidRPr="00624696">
        <w:rPr>
          <w:sz w:val="20"/>
          <w:lang w:val="es-AR"/>
        </w:rPr>
        <w:t>del</w:t>
      </w:r>
      <w:r w:rsidRPr="00624696">
        <w:rPr>
          <w:spacing w:val="56"/>
          <w:sz w:val="20"/>
          <w:lang w:val="es-AR"/>
        </w:rPr>
        <w:t xml:space="preserve"> </w:t>
      </w:r>
      <w:r w:rsidRPr="00624696">
        <w:rPr>
          <w:sz w:val="20"/>
          <w:lang w:val="es-AR"/>
        </w:rPr>
        <w:t>lugar</w:t>
      </w:r>
      <w:hyperlink w:anchor="_bookmark62" w:history="1">
        <w:r w:rsidRPr="00624696">
          <w:rPr>
            <w:position w:val="7"/>
            <w:sz w:val="13"/>
            <w:lang w:val="es-AR"/>
          </w:rPr>
          <w:t>47</w:t>
        </w:r>
      </w:hyperlink>
      <w:r w:rsidRPr="00624696">
        <w:rPr>
          <w:spacing w:val="34"/>
          <w:position w:val="7"/>
          <w:sz w:val="13"/>
          <w:lang w:val="es-AR"/>
        </w:rPr>
        <w:t xml:space="preserve"> </w:t>
      </w:r>
      <w:r w:rsidRPr="00624696">
        <w:rPr>
          <w:sz w:val="20"/>
          <w:lang w:val="es-AR"/>
        </w:rPr>
        <w:t>y</w:t>
      </w:r>
      <w:r w:rsidRPr="00624696">
        <w:rPr>
          <w:spacing w:val="55"/>
          <w:sz w:val="20"/>
          <w:lang w:val="es-AR"/>
        </w:rPr>
        <w:t xml:space="preserve"> </w:t>
      </w:r>
      <w:r w:rsidRPr="00624696">
        <w:rPr>
          <w:sz w:val="20"/>
          <w:lang w:val="es-AR"/>
        </w:rPr>
        <w:t>el</w:t>
      </w:r>
      <w:r w:rsidRPr="00624696">
        <w:rPr>
          <w:spacing w:val="57"/>
          <w:sz w:val="20"/>
          <w:lang w:val="es-AR"/>
        </w:rPr>
        <w:t xml:space="preserve"> </w:t>
      </w:r>
      <w:r w:rsidRPr="00624696">
        <w:rPr>
          <w:sz w:val="20"/>
          <w:lang w:val="es-AR"/>
        </w:rPr>
        <w:t>trans</w:t>
      </w:r>
      <w:r w:rsidRPr="00624696">
        <w:rPr>
          <w:sz w:val="20"/>
          <w:lang w:val="es-AR"/>
        </w:rPr>
        <w:t>curso</w:t>
      </w:r>
      <w:r w:rsidRPr="00624696">
        <w:rPr>
          <w:spacing w:val="54"/>
          <w:sz w:val="20"/>
          <w:lang w:val="es-AR"/>
        </w:rPr>
        <w:t xml:space="preserve"> </w:t>
      </w:r>
      <w:r w:rsidRPr="00624696">
        <w:rPr>
          <w:sz w:val="20"/>
          <w:lang w:val="es-AR"/>
        </w:rPr>
        <w:t>del</w:t>
      </w:r>
      <w:r w:rsidRPr="00624696">
        <w:rPr>
          <w:spacing w:val="58"/>
          <w:sz w:val="20"/>
          <w:lang w:val="es-AR"/>
        </w:rPr>
        <w:t xml:space="preserve"> </w:t>
      </w:r>
      <w:r w:rsidRPr="00624696">
        <w:rPr>
          <w:sz w:val="20"/>
          <w:lang w:val="es-AR"/>
        </w:rPr>
        <w:t>tiempo</w:t>
      </w:r>
      <w:hyperlink w:anchor="_bookmark63" w:history="1">
        <w:r w:rsidRPr="00624696">
          <w:rPr>
            <w:position w:val="7"/>
            <w:sz w:val="13"/>
            <w:lang w:val="es-AR"/>
          </w:rPr>
          <w:t>48</w:t>
        </w:r>
      </w:hyperlink>
      <w:r w:rsidRPr="00624696">
        <w:rPr>
          <w:sz w:val="20"/>
          <w:lang w:val="es-AR"/>
        </w:rPr>
        <w:t>,</w:t>
      </w:r>
      <w:r w:rsidRPr="00624696">
        <w:rPr>
          <w:spacing w:val="56"/>
          <w:sz w:val="20"/>
          <w:lang w:val="es-AR"/>
        </w:rPr>
        <w:t xml:space="preserve"> </w:t>
      </w:r>
      <w:r w:rsidRPr="00624696">
        <w:rPr>
          <w:sz w:val="20"/>
          <w:lang w:val="es-AR"/>
        </w:rPr>
        <w:t>así</w:t>
      </w:r>
      <w:r w:rsidRPr="00624696">
        <w:rPr>
          <w:spacing w:val="56"/>
          <w:sz w:val="20"/>
          <w:lang w:val="es-AR"/>
        </w:rPr>
        <w:t xml:space="preserve"> </w:t>
      </w:r>
      <w:r w:rsidRPr="00624696">
        <w:rPr>
          <w:sz w:val="20"/>
          <w:lang w:val="es-AR"/>
        </w:rPr>
        <w:t>como</w:t>
      </w:r>
    </w:p>
    <w:p w14:paraId="5046935E" w14:textId="77777777" w:rsidR="00467FCA" w:rsidRPr="00624696" w:rsidRDefault="001B68EB">
      <w:pPr>
        <w:pStyle w:val="Textoindependiente"/>
        <w:spacing w:before="10"/>
        <w:rPr>
          <w:sz w:val="17"/>
          <w:lang w:val="es-AR"/>
        </w:rPr>
      </w:pPr>
      <w:r>
        <w:pict w14:anchorId="2DB00754">
          <v:shape id="_x0000_s1186" style="position:absolute;margin-left:1in;margin-top:13.1pt;width:2in;height:.1pt;z-index:-251648000;mso-wrap-distance-left:0;mso-wrap-distance-right:0;mso-position-horizontal-relative:page" coordorigin="1440,262" coordsize="2880,0" path="m1440,262r2880,e" filled="f" strokeweight=".6pt">
            <v:path arrowok="t"/>
            <w10:wrap type="topAndBottom" anchorx="page"/>
          </v:shape>
        </w:pict>
      </w:r>
    </w:p>
    <w:p w14:paraId="3E907017" w14:textId="77777777" w:rsidR="00467FCA" w:rsidRDefault="001B68EB">
      <w:pPr>
        <w:tabs>
          <w:tab w:val="left" w:pos="839"/>
        </w:tabs>
        <w:spacing w:before="74"/>
        <w:ind w:left="119" w:right="114"/>
        <w:jc w:val="both"/>
        <w:rPr>
          <w:sz w:val="16"/>
        </w:rPr>
      </w:pPr>
      <w:bookmarkStart w:id="70" w:name="_bookmark54"/>
      <w:bookmarkEnd w:id="70"/>
      <w:r w:rsidRPr="00624696">
        <w:rPr>
          <w:position w:val="6"/>
          <w:sz w:val="10"/>
          <w:lang w:val="es-AR"/>
        </w:rPr>
        <w:t>39</w:t>
      </w:r>
      <w:r w:rsidRPr="00624696">
        <w:rPr>
          <w:position w:val="6"/>
          <w:sz w:val="10"/>
          <w:lang w:val="es-AR"/>
        </w:rPr>
        <w:tab/>
      </w:r>
      <w:r w:rsidRPr="00624696">
        <w:rPr>
          <w:i/>
          <w:sz w:val="16"/>
          <w:lang w:val="es-AR"/>
        </w:rPr>
        <w:t>Cfr.</w:t>
      </w:r>
      <w:r w:rsidRPr="00624696">
        <w:rPr>
          <w:i/>
          <w:spacing w:val="-3"/>
          <w:sz w:val="16"/>
          <w:lang w:val="es-AR"/>
        </w:rPr>
        <w:t xml:space="preserve"> </w:t>
      </w:r>
      <w:r w:rsidRPr="00624696">
        <w:rPr>
          <w:i/>
          <w:sz w:val="16"/>
          <w:lang w:val="es-AR"/>
        </w:rPr>
        <w:t>Caso</w:t>
      </w:r>
      <w:r w:rsidRPr="00624696">
        <w:rPr>
          <w:i/>
          <w:spacing w:val="-4"/>
          <w:sz w:val="16"/>
          <w:lang w:val="es-AR"/>
        </w:rPr>
        <w:t xml:space="preserve"> </w:t>
      </w:r>
      <w:r w:rsidRPr="00624696">
        <w:rPr>
          <w:i/>
          <w:sz w:val="16"/>
          <w:lang w:val="es-AR"/>
        </w:rPr>
        <w:t>de</w:t>
      </w:r>
      <w:r w:rsidRPr="00624696">
        <w:rPr>
          <w:i/>
          <w:spacing w:val="-2"/>
          <w:sz w:val="16"/>
          <w:lang w:val="es-AR"/>
        </w:rPr>
        <w:t xml:space="preserve"> </w:t>
      </w:r>
      <w:r w:rsidRPr="00624696">
        <w:rPr>
          <w:i/>
          <w:sz w:val="16"/>
          <w:lang w:val="es-AR"/>
        </w:rPr>
        <w:t>las</w:t>
      </w:r>
      <w:r w:rsidRPr="00624696">
        <w:rPr>
          <w:i/>
          <w:spacing w:val="-5"/>
          <w:sz w:val="16"/>
          <w:lang w:val="es-AR"/>
        </w:rPr>
        <w:t xml:space="preserve"> </w:t>
      </w:r>
      <w:r w:rsidRPr="00624696">
        <w:rPr>
          <w:i/>
          <w:sz w:val="16"/>
          <w:lang w:val="es-AR"/>
        </w:rPr>
        <w:t>Masacres</w:t>
      </w:r>
      <w:r w:rsidRPr="00624696">
        <w:rPr>
          <w:i/>
          <w:spacing w:val="-5"/>
          <w:sz w:val="16"/>
          <w:lang w:val="es-AR"/>
        </w:rPr>
        <w:t xml:space="preserve"> </w:t>
      </w:r>
      <w:r w:rsidRPr="00624696">
        <w:rPr>
          <w:i/>
          <w:sz w:val="16"/>
          <w:lang w:val="es-AR"/>
        </w:rPr>
        <w:t>de</w:t>
      </w:r>
      <w:r w:rsidRPr="00624696">
        <w:rPr>
          <w:i/>
          <w:spacing w:val="-2"/>
          <w:sz w:val="16"/>
          <w:lang w:val="es-AR"/>
        </w:rPr>
        <w:t xml:space="preserve"> </w:t>
      </w:r>
      <w:r w:rsidRPr="00624696">
        <w:rPr>
          <w:i/>
          <w:sz w:val="16"/>
          <w:lang w:val="es-AR"/>
        </w:rPr>
        <w:t>Ituango</w:t>
      </w:r>
      <w:r w:rsidRPr="00624696">
        <w:rPr>
          <w:i/>
          <w:spacing w:val="-2"/>
          <w:sz w:val="16"/>
          <w:lang w:val="es-AR"/>
        </w:rPr>
        <w:t xml:space="preserve"> </w:t>
      </w:r>
      <w:r w:rsidRPr="00624696">
        <w:rPr>
          <w:i/>
          <w:sz w:val="16"/>
          <w:lang w:val="es-AR"/>
        </w:rPr>
        <w:t>Vs.</w:t>
      </w:r>
      <w:r w:rsidRPr="00624696">
        <w:rPr>
          <w:i/>
          <w:spacing w:val="-6"/>
          <w:sz w:val="16"/>
          <w:lang w:val="es-AR"/>
        </w:rPr>
        <w:t xml:space="preserve"> </w:t>
      </w:r>
      <w:r>
        <w:rPr>
          <w:i/>
          <w:sz w:val="16"/>
        </w:rPr>
        <w:t>Colombia.</w:t>
      </w:r>
      <w:r>
        <w:rPr>
          <w:i/>
          <w:spacing w:val="-3"/>
          <w:sz w:val="16"/>
        </w:rPr>
        <w:t xml:space="preserve"> </w:t>
      </w:r>
      <w:r w:rsidRPr="00624696">
        <w:rPr>
          <w:sz w:val="16"/>
          <w:lang w:val="es-AR"/>
        </w:rPr>
        <w:t>Sentencia</w:t>
      </w:r>
      <w:r w:rsidRPr="00624696">
        <w:rPr>
          <w:spacing w:val="-3"/>
          <w:sz w:val="16"/>
          <w:lang w:val="es-AR"/>
        </w:rPr>
        <w:t xml:space="preserve"> </w:t>
      </w:r>
      <w:r w:rsidRPr="00624696">
        <w:rPr>
          <w:sz w:val="16"/>
          <w:lang w:val="es-AR"/>
        </w:rPr>
        <w:t>de</w:t>
      </w:r>
      <w:r w:rsidRPr="00624696">
        <w:rPr>
          <w:spacing w:val="-5"/>
          <w:sz w:val="16"/>
          <w:lang w:val="es-AR"/>
        </w:rPr>
        <w:t xml:space="preserve"> </w:t>
      </w:r>
      <w:r w:rsidRPr="00624696">
        <w:rPr>
          <w:sz w:val="16"/>
          <w:lang w:val="es-AR"/>
        </w:rPr>
        <w:t>1</w:t>
      </w:r>
      <w:r w:rsidRPr="00624696">
        <w:rPr>
          <w:spacing w:val="-2"/>
          <w:sz w:val="16"/>
          <w:lang w:val="es-AR"/>
        </w:rPr>
        <w:t xml:space="preserve"> </w:t>
      </w:r>
      <w:r w:rsidRPr="00624696">
        <w:rPr>
          <w:sz w:val="16"/>
          <w:lang w:val="es-AR"/>
        </w:rPr>
        <w:t>de</w:t>
      </w:r>
      <w:r w:rsidRPr="00624696">
        <w:rPr>
          <w:spacing w:val="-2"/>
          <w:sz w:val="16"/>
          <w:lang w:val="es-AR"/>
        </w:rPr>
        <w:t xml:space="preserve"> </w:t>
      </w:r>
      <w:r w:rsidRPr="00624696">
        <w:rPr>
          <w:sz w:val="16"/>
          <w:lang w:val="es-AR"/>
        </w:rPr>
        <w:t>julio</w:t>
      </w:r>
      <w:r w:rsidRPr="00624696">
        <w:rPr>
          <w:spacing w:val="-3"/>
          <w:sz w:val="16"/>
          <w:lang w:val="es-AR"/>
        </w:rPr>
        <w:t xml:space="preserve"> </w:t>
      </w:r>
      <w:r w:rsidRPr="00624696">
        <w:rPr>
          <w:sz w:val="16"/>
          <w:lang w:val="es-AR"/>
        </w:rPr>
        <w:t>de</w:t>
      </w:r>
      <w:r w:rsidRPr="00624696">
        <w:rPr>
          <w:spacing w:val="-5"/>
          <w:sz w:val="16"/>
          <w:lang w:val="es-AR"/>
        </w:rPr>
        <w:t xml:space="preserve"> </w:t>
      </w:r>
      <w:r w:rsidRPr="00624696">
        <w:rPr>
          <w:sz w:val="16"/>
          <w:lang w:val="es-AR"/>
        </w:rPr>
        <w:t>2006.</w:t>
      </w:r>
      <w:r w:rsidRPr="00624696">
        <w:rPr>
          <w:spacing w:val="-3"/>
          <w:sz w:val="16"/>
          <w:lang w:val="es-AR"/>
        </w:rPr>
        <w:t xml:space="preserve"> </w:t>
      </w:r>
      <w:r w:rsidRPr="00624696">
        <w:rPr>
          <w:sz w:val="16"/>
          <w:lang w:val="es-AR"/>
        </w:rPr>
        <w:t>Serie</w:t>
      </w:r>
      <w:r w:rsidRPr="00624696">
        <w:rPr>
          <w:spacing w:val="-5"/>
          <w:sz w:val="16"/>
          <w:lang w:val="es-AR"/>
        </w:rPr>
        <w:t xml:space="preserve"> </w:t>
      </w:r>
      <w:r w:rsidRPr="00624696">
        <w:rPr>
          <w:sz w:val="16"/>
          <w:lang w:val="es-AR"/>
        </w:rPr>
        <w:t>C</w:t>
      </w:r>
      <w:r w:rsidRPr="00624696">
        <w:rPr>
          <w:spacing w:val="-2"/>
          <w:sz w:val="16"/>
          <w:lang w:val="es-AR"/>
        </w:rPr>
        <w:t xml:space="preserve"> </w:t>
      </w:r>
      <w:r w:rsidRPr="00624696">
        <w:rPr>
          <w:sz w:val="16"/>
          <w:lang w:val="es-AR"/>
        </w:rPr>
        <w:t>No.</w:t>
      </w:r>
      <w:r w:rsidRPr="00624696">
        <w:rPr>
          <w:spacing w:val="-3"/>
          <w:sz w:val="16"/>
          <w:lang w:val="es-AR"/>
        </w:rPr>
        <w:t xml:space="preserve"> </w:t>
      </w:r>
      <w:r w:rsidRPr="00624696">
        <w:rPr>
          <w:sz w:val="16"/>
          <w:lang w:val="es-AR"/>
        </w:rPr>
        <w:t>148,</w:t>
      </w:r>
      <w:r w:rsidRPr="00624696">
        <w:rPr>
          <w:spacing w:val="-3"/>
          <w:sz w:val="16"/>
          <w:lang w:val="es-AR"/>
        </w:rPr>
        <w:t xml:space="preserve"> </w:t>
      </w:r>
      <w:r w:rsidRPr="00624696">
        <w:rPr>
          <w:sz w:val="16"/>
          <w:lang w:val="es-AR"/>
        </w:rPr>
        <w:t xml:space="preserve">párr. 98, y Caso </w:t>
      </w:r>
      <w:r w:rsidRPr="00624696">
        <w:rPr>
          <w:i/>
          <w:sz w:val="16"/>
          <w:lang w:val="es-AR"/>
        </w:rPr>
        <w:t xml:space="preserve">Noguera y otra Vs. </w:t>
      </w:r>
      <w:r>
        <w:rPr>
          <w:i/>
          <w:sz w:val="16"/>
        </w:rPr>
        <w:t>Paraguay, supra</w:t>
      </w:r>
      <w:r>
        <w:rPr>
          <w:sz w:val="16"/>
        </w:rPr>
        <w:t>, párr.</w:t>
      </w:r>
      <w:r>
        <w:rPr>
          <w:spacing w:val="-18"/>
          <w:sz w:val="16"/>
        </w:rPr>
        <w:t xml:space="preserve"> </w:t>
      </w:r>
      <w:r>
        <w:rPr>
          <w:sz w:val="16"/>
        </w:rPr>
        <w:t>15.</w:t>
      </w:r>
    </w:p>
    <w:p w14:paraId="4628EE42" w14:textId="77777777" w:rsidR="00467FCA" w:rsidRDefault="001B68EB">
      <w:pPr>
        <w:tabs>
          <w:tab w:val="left" w:pos="839"/>
        </w:tabs>
        <w:ind w:left="120" w:right="114"/>
        <w:jc w:val="both"/>
        <w:rPr>
          <w:sz w:val="16"/>
        </w:rPr>
      </w:pPr>
      <w:bookmarkStart w:id="71" w:name="_bookmark55"/>
      <w:bookmarkEnd w:id="71"/>
      <w:r w:rsidRPr="00624696">
        <w:rPr>
          <w:position w:val="6"/>
          <w:sz w:val="10"/>
          <w:lang w:val="es-AR"/>
        </w:rPr>
        <w:t>40</w:t>
      </w:r>
      <w:r w:rsidRPr="00624696">
        <w:rPr>
          <w:position w:val="6"/>
          <w:sz w:val="10"/>
          <w:lang w:val="es-AR"/>
        </w:rPr>
        <w:tab/>
      </w:r>
      <w:r w:rsidRPr="00624696">
        <w:rPr>
          <w:i/>
          <w:sz w:val="16"/>
          <w:lang w:val="es-AR"/>
        </w:rPr>
        <w:t xml:space="preserve">Cfr. Caso Masacres de Río Negro Vs. </w:t>
      </w:r>
      <w:r>
        <w:rPr>
          <w:i/>
          <w:sz w:val="16"/>
        </w:rPr>
        <w:t xml:space="preserve">Guatemala. </w:t>
      </w:r>
      <w:r w:rsidRPr="00624696">
        <w:rPr>
          <w:i/>
          <w:sz w:val="16"/>
          <w:lang w:val="es-AR"/>
        </w:rPr>
        <w:t xml:space="preserve">Excepción Preliminar, Fondo, Reparaciones y Costas. </w:t>
      </w:r>
      <w:r w:rsidRPr="00624696">
        <w:rPr>
          <w:sz w:val="16"/>
          <w:lang w:val="es-AR"/>
        </w:rPr>
        <w:t xml:space="preserve">Sentencia de 4 de septiembre de 2012. Serie C No. 250, párr. 48, y </w:t>
      </w:r>
      <w:r w:rsidRPr="00624696">
        <w:rPr>
          <w:i/>
          <w:sz w:val="16"/>
          <w:lang w:val="es-AR"/>
        </w:rPr>
        <w:t xml:space="preserve">Caso Comunidades Indígenas Miembros de la Asociación Lhaka Honhat (Nuestra Tierra) Vs. </w:t>
      </w:r>
      <w:r>
        <w:rPr>
          <w:i/>
          <w:sz w:val="16"/>
        </w:rPr>
        <w:t>Arg</w:t>
      </w:r>
      <w:r>
        <w:rPr>
          <w:i/>
          <w:sz w:val="16"/>
        </w:rPr>
        <w:t>entina, supra</w:t>
      </w:r>
      <w:r>
        <w:rPr>
          <w:sz w:val="16"/>
        </w:rPr>
        <w:t>, párr.</w:t>
      </w:r>
      <w:r>
        <w:rPr>
          <w:spacing w:val="-10"/>
          <w:sz w:val="16"/>
        </w:rPr>
        <w:t xml:space="preserve"> </w:t>
      </w:r>
      <w:r>
        <w:rPr>
          <w:sz w:val="16"/>
        </w:rPr>
        <w:t>35.</w:t>
      </w:r>
    </w:p>
    <w:p w14:paraId="2B4933E4" w14:textId="77777777" w:rsidR="00467FCA" w:rsidRDefault="001B68EB">
      <w:pPr>
        <w:tabs>
          <w:tab w:val="left" w:pos="839"/>
        </w:tabs>
        <w:ind w:left="119" w:right="114"/>
        <w:jc w:val="both"/>
        <w:rPr>
          <w:sz w:val="16"/>
        </w:rPr>
      </w:pPr>
      <w:bookmarkStart w:id="72" w:name="_bookmark56"/>
      <w:bookmarkEnd w:id="72"/>
      <w:r w:rsidRPr="00624696">
        <w:rPr>
          <w:position w:val="6"/>
          <w:sz w:val="10"/>
          <w:lang w:val="es-AR"/>
        </w:rPr>
        <w:t>41</w:t>
      </w:r>
      <w:r w:rsidRPr="00624696">
        <w:rPr>
          <w:position w:val="6"/>
          <w:sz w:val="10"/>
          <w:lang w:val="es-AR"/>
        </w:rPr>
        <w:tab/>
      </w:r>
      <w:r w:rsidRPr="00624696">
        <w:rPr>
          <w:i/>
          <w:sz w:val="16"/>
          <w:lang w:val="es-AR"/>
        </w:rPr>
        <w:t xml:space="preserve">Cfr. Caso Masacre Plan de Sánchez Vs. </w:t>
      </w:r>
      <w:r>
        <w:rPr>
          <w:i/>
          <w:sz w:val="16"/>
        </w:rPr>
        <w:t xml:space="preserve">Guatemala. </w:t>
      </w:r>
      <w:r w:rsidRPr="00624696">
        <w:rPr>
          <w:i/>
          <w:sz w:val="16"/>
          <w:lang w:val="es-AR"/>
        </w:rPr>
        <w:t xml:space="preserve">Fondo. </w:t>
      </w:r>
      <w:r w:rsidRPr="00624696">
        <w:rPr>
          <w:sz w:val="16"/>
          <w:lang w:val="es-AR"/>
        </w:rPr>
        <w:t xml:space="preserve">Sentencia de 29 de abril de 2004. Serie C No. 105, párr. 48, y </w:t>
      </w:r>
      <w:r w:rsidRPr="00624696">
        <w:rPr>
          <w:i/>
          <w:sz w:val="16"/>
          <w:lang w:val="es-AR"/>
        </w:rPr>
        <w:t xml:space="preserve">Caso Trabajadores de la Hacienda Brasil Verde Vs. </w:t>
      </w:r>
      <w:r>
        <w:rPr>
          <w:i/>
          <w:sz w:val="16"/>
        </w:rPr>
        <w:t>Brasil, supra</w:t>
      </w:r>
      <w:r>
        <w:rPr>
          <w:sz w:val="16"/>
        </w:rPr>
        <w:t>, párr.</w:t>
      </w:r>
      <w:r>
        <w:rPr>
          <w:spacing w:val="-19"/>
          <w:sz w:val="16"/>
        </w:rPr>
        <w:t xml:space="preserve"> </w:t>
      </w:r>
      <w:r>
        <w:rPr>
          <w:spacing w:val="-2"/>
          <w:sz w:val="16"/>
        </w:rPr>
        <w:t>45.</w:t>
      </w:r>
    </w:p>
    <w:p w14:paraId="32588A78" w14:textId="77777777" w:rsidR="00467FCA" w:rsidRPr="00624696" w:rsidRDefault="001B68EB">
      <w:pPr>
        <w:tabs>
          <w:tab w:val="left" w:pos="839"/>
        </w:tabs>
        <w:ind w:left="119" w:right="114"/>
        <w:jc w:val="both"/>
        <w:rPr>
          <w:sz w:val="16"/>
          <w:lang w:val="es-AR"/>
        </w:rPr>
      </w:pPr>
      <w:bookmarkStart w:id="73" w:name="_bookmark57"/>
      <w:bookmarkEnd w:id="73"/>
      <w:r w:rsidRPr="00624696">
        <w:rPr>
          <w:position w:val="6"/>
          <w:sz w:val="10"/>
          <w:lang w:val="es-AR"/>
        </w:rPr>
        <w:t>42</w:t>
      </w:r>
      <w:r w:rsidRPr="00624696">
        <w:rPr>
          <w:position w:val="6"/>
          <w:sz w:val="10"/>
          <w:lang w:val="es-AR"/>
        </w:rPr>
        <w:tab/>
      </w:r>
      <w:r w:rsidRPr="00624696">
        <w:rPr>
          <w:i/>
          <w:sz w:val="16"/>
          <w:lang w:val="es-AR"/>
        </w:rPr>
        <w:t>Cfr.</w:t>
      </w:r>
      <w:r w:rsidRPr="00624696">
        <w:rPr>
          <w:i/>
          <w:spacing w:val="-4"/>
          <w:sz w:val="16"/>
          <w:lang w:val="es-AR"/>
        </w:rPr>
        <w:t xml:space="preserve"> </w:t>
      </w:r>
      <w:r w:rsidRPr="00624696">
        <w:rPr>
          <w:i/>
          <w:sz w:val="16"/>
          <w:lang w:val="es-AR"/>
        </w:rPr>
        <w:t>Caso</w:t>
      </w:r>
      <w:r w:rsidRPr="00624696">
        <w:rPr>
          <w:i/>
          <w:spacing w:val="-2"/>
          <w:sz w:val="16"/>
          <w:lang w:val="es-AR"/>
        </w:rPr>
        <w:t xml:space="preserve"> </w:t>
      </w:r>
      <w:r w:rsidRPr="00624696">
        <w:rPr>
          <w:i/>
          <w:sz w:val="16"/>
          <w:lang w:val="es-AR"/>
        </w:rPr>
        <w:t>Masacres</w:t>
      </w:r>
      <w:r w:rsidRPr="00624696">
        <w:rPr>
          <w:i/>
          <w:spacing w:val="-2"/>
          <w:sz w:val="16"/>
          <w:lang w:val="es-AR"/>
        </w:rPr>
        <w:t xml:space="preserve"> </w:t>
      </w:r>
      <w:r w:rsidRPr="00624696">
        <w:rPr>
          <w:i/>
          <w:sz w:val="16"/>
          <w:lang w:val="es-AR"/>
        </w:rPr>
        <w:t>de</w:t>
      </w:r>
      <w:r w:rsidRPr="00624696">
        <w:rPr>
          <w:i/>
          <w:spacing w:val="-2"/>
          <w:sz w:val="16"/>
          <w:lang w:val="es-AR"/>
        </w:rPr>
        <w:t xml:space="preserve"> </w:t>
      </w:r>
      <w:r w:rsidRPr="00624696">
        <w:rPr>
          <w:i/>
          <w:sz w:val="16"/>
          <w:lang w:val="es-AR"/>
        </w:rPr>
        <w:t>Río</w:t>
      </w:r>
      <w:r w:rsidRPr="00624696">
        <w:rPr>
          <w:i/>
          <w:spacing w:val="-2"/>
          <w:sz w:val="16"/>
          <w:lang w:val="es-AR"/>
        </w:rPr>
        <w:t xml:space="preserve"> </w:t>
      </w:r>
      <w:r w:rsidRPr="00624696">
        <w:rPr>
          <w:i/>
          <w:sz w:val="16"/>
          <w:lang w:val="es-AR"/>
        </w:rPr>
        <w:t>Negro</w:t>
      </w:r>
      <w:r w:rsidRPr="00624696">
        <w:rPr>
          <w:i/>
          <w:spacing w:val="-2"/>
          <w:sz w:val="16"/>
          <w:lang w:val="es-AR"/>
        </w:rPr>
        <w:t xml:space="preserve"> </w:t>
      </w:r>
      <w:r w:rsidRPr="00624696">
        <w:rPr>
          <w:i/>
          <w:sz w:val="16"/>
          <w:lang w:val="es-AR"/>
        </w:rPr>
        <w:t>Vs.</w:t>
      </w:r>
      <w:r w:rsidRPr="00624696">
        <w:rPr>
          <w:i/>
          <w:spacing w:val="-3"/>
          <w:sz w:val="16"/>
          <w:lang w:val="es-AR"/>
        </w:rPr>
        <w:t xml:space="preserve"> </w:t>
      </w:r>
      <w:r>
        <w:rPr>
          <w:i/>
          <w:sz w:val="16"/>
        </w:rPr>
        <w:t>Guatemala</w:t>
      </w:r>
      <w:r>
        <w:rPr>
          <w:sz w:val="16"/>
        </w:rPr>
        <w:t>,</w:t>
      </w:r>
      <w:r>
        <w:rPr>
          <w:spacing w:val="-3"/>
          <w:sz w:val="16"/>
        </w:rPr>
        <w:t xml:space="preserve"> </w:t>
      </w:r>
      <w:r>
        <w:rPr>
          <w:sz w:val="16"/>
        </w:rPr>
        <w:t>supra,</w:t>
      </w:r>
      <w:r>
        <w:rPr>
          <w:spacing w:val="-3"/>
          <w:sz w:val="16"/>
        </w:rPr>
        <w:t xml:space="preserve"> </w:t>
      </w:r>
      <w:r>
        <w:rPr>
          <w:sz w:val="16"/>
        </w:rPr>
        <w:t>párr.</w:t>
      </w:r>
      <w:r>
        <w:rPr>
          <w:spacing w:val="-3"/>
          <w:sz w:val="16"/>
        </w:rPr>
        <w:t xml:space="preserve"> </w:t>
      </w:r>
      <w:r>
        <w:rPr>
          <w:sz w:val="16"/>
        </w:rPr>
        <w:t>48,</w:t>
      </w:r>
      <w:r>
        <w:rPr>
          <w:spacing w:val="-3"/>
          <w:sz w:val="16"/>
        </w:rPr>
        <w:t xml:space="preserve"> </w:t>
      </w:r>
      <w:r>
        <w:rPr>
          <w:sz w:val="16"/>
        </w:rPr>
        <w:t>y</w:t>
      </w:r>
      <w:r>
        <w:rPr>
          <w:spacing w:val="-2"/>
          <w:sz w:val="16"/>
        </w:rPr>
        <w:t xml:space="preserve"> </w:t>
      </w:r>
      <w:r>
        <w:rPr>
          <w:i/>
          <w:sz w:val="16"/>
        </w:rPr>
        <w:t>Caso</w:t>
      </w:r>
      <w:r>
        <w:rPr>
          <w:i/>
          <w:spacing w:val="-4"/>
          <w:sz w:val="16"/>
        </w:rPr>
        <w:t xml:space="preserve"> </w:t>
      </w:r>
      <w:r>
        <w:rPr>
          <w:i/>
          <w:sz w:val="16"/>
        </w:rPr>
        <w:t>Miembros</w:t>
      </w:r>
      <w:r>
        <w:rPr>
          <w:i/>
          <w:spacing w:val="-2"/>
          <w:sz w:val="16"/>
        </w:rPr>
        <w:t xml:space="preserve"> </w:t>
      </w:r>
      <w:r>
        <w:rPr>
          <w:i/>
          <w:sz w:val="16"/>
        </w:rPr>
        <w:t>de</w:t>
      </w:r>
      <w:r>
        <w:rPr>
          <w:i/>
          <w:spacing w:val="-2"/>
          <w:sz w:val="16"/>
        </w:rPr>
        <w:t xml:space="preserve"> </w:t>
      </w:r>
      <w:r>
        <w:rPr>
          <w:i/>
          <w:sz w:val="16"/>
        </w:rPr>
        <w:t>la</w:t>
      </w:r>
      <w:r>
        <w:rPr>
          <w:i/>
          <w:spacing w:val="-3"/>
          <w:sz w:val="16"/>
        </w:rPr>
        <w:t xml:space="preserve"> </w:t>
      </w:r>
      <w:r>
        <w:rPr>
          <w:i/>
          <w:sz w:val="16"/>
        </w:rPr>
        <w:t>Aldea</w:t>
      </w:r>
      <w:r>
        <w:rPr>
          <w:i/>
          <w:spacing w:val="-4"/>
          <w:sz w:val="16"/>
        </w:rPr>
        <w:t xml:space="preserve"> </w:t>
      </w:r>
      <w:r>
        <w:rPr>
          <w:i/>
          <w:sz w:val="16"/>
        </w:rPr>
        <w:t>Chichupac</w:t>
      </w:r>
      <w:r>
        <w:rPr>
          <w:i/>
          <w:spacing w:val="-5"/>
          <w:sz w:val="16"/>
        </w:rPr>
        <w:t xml:space="preserve"> </w:t>
      </w:r>
      <w:r>
        <w:rPr>
          <w:i/>
          <w:sz w:val="16"/>
        </w:rPr>
        <w:t xml:space="preserve">y comunidades vecinas del municipio de Rabinal Vs. Guatemala. </w:t>
      </w:r>
      <w:r w:rsidRPr="00624696">
        <w:rPr>
          <w:i/>
          <w:sz w:val="16"/>
          <w:lang w:val="es-AR"/>
        </w:rPr>
        <w:t>Excepciones Preliminares, Fondo, Reparaciones y</w:t>
      </w:r>
      <w:bookmarkStart w:id="74" w:name="_bookmark58"/>
      <w:bookmarkEnd w:id="74"/>
      <w:r w:rsidRPr="00624696">
        <w:rPr>
          <w:i/>
          <w:sz w:val="16"/>
          <w:lang w:val="es-AR"/>
        </w:rPr>
        <w:t xml:space="preserve"> Costas. </w:t>
      </w:r>
      <w:r w:rsidRPr="00624696">
        <w:rPr>
          <w:sz w:val="16"/>
          <w:lang w:val="es-AR"/>
        </w:rPr>
        <w:t>Sentencia de 30 de noviembre de 2016. Serie C No. 328, párr.</w:t>
      </w:r>
      <w:r w:rsidRPr="00624696">
        <w:rPr>
          <w:spacing w:val="-20"/>
          <w:sz w:val="16"/>
          <w:lang w:val="es-AR"/>
        </w:rPr>
        <w:t xml:space="preserve"> </w:t>
      </w:r>
      <w:r w:rsidRPr="00624696">
        <w:rPr>
          <w:sz w:val="16"/>
          <w:lang w:val="es-AR"/>
        </w:rPr>
        <w:t>6</w:t>
      </w:r>
      <w:r w:rsidRPr="00624696">
        <w:rPr>
          <w:sz w:val="16"/>
          <w:lang w:val="es-AR"/>
        </w:rPr>
        <w:t>5.</w:t>
      </w:r>
    </w:p>
    <w:p w14:paraId="09C4F2DE" w14:textId="77777777" w:rsidR="00467FCA" w:rsidRDefault="001B68EB">
      <w:pPr>
        <w:tabs>
          <w:tab w:val="left" w:pos="839"/>
        </w:tabs>
        <w:ind w:left="119" w:right="117"/>
        <w:jc w:val="both"/>
        <w:rPr>
          <w:sz w:val="16"/>
        </w:rPr>
      </w:pPr>
      <w:r w:rsidRPr="00624696">
        <w:rPr>
          <w:position w:val="6"/>
          <w:sz w:val="10"/>
          <w:lang w:val="es-AR"/>
        </w:rPr>
        <w:t>43</w:t>
      </w:r>
      <w:r w:rsidRPr="00624696">
        <w:rPr>
          <w:position w:val="6"/>
          <w:sz w:val="10"/>
          <w:lang w:val="es-AR"/>
        </w:rPr>
        <w:tab/>
      </w:r>
      <w:r w:rsidRPr="00624696">
        <w:rPr>
          <w:i/>
          <w:sz w:val="16"/>
          <w:lang w:val="es-AR"/>
        </w:rPr>
        <w:t>Cfr.</w:t>
      </w:r>
      <w:r w:rsidRPr="00624696">
        <w:rPr>
          <w:i/>
          <w:spacing w:val="-3"/>
          <w:sz w:val="16"/>
          <w:lang w:val="es-AR"/>
        </w:rPr>
        <w:t xml:space="preserve"> </w:t>
      </w:r>
      <w:r w:rsidRPr="00624696">
        <w:rPr>
          <w:i/>
          <w:sz w:val="16"/>
          <w:lang w:val="es-AR"/>
        </w:rPr>
        <w:t>Caso</w:t>
      </w:r>
      <w:r w:rsidRPr="00624696">
        <w:rPr>
          <w:i/>
          <w:spacing w:val="-3"/>
          <w:sz w:val="16"/>
          <w:lang w:val="es-AR"/>
        </w:rPr>
        <w:t xml:space="preserve"> </w:t>
      </w:r>
      <w:r w:rsidRPr="00624696">
        <w:rPr>
          <w:i/>
          <w:sz w:val="16"/>
          <w:lang w:val="es-AR"/>
        </w:rPr>
        <w:t>Masacres</w:t>
      </w:r>
      <w:r w:rsidRPr="00624696">
        <w:rPr>
          <w:i/>
          <w:spacing w:val="-2"/>
          <w:sz w:val="16"/>
          <w:lang w:val="es-AR"/>
        </w:rPr>
        <w:t xml:space="preserve"> </w:t>
      </w:r>
      <w:r w:rsidRPr="00624696">
        <w:rPr>
          <w:i/>
          <w:sz w:val="16"/>
          <w:lang w:val="es-AR"/>
        </w:rPr>
        <w:t>de</w:t>
      </w:r>
      <w:r w:rsidRPr="00624696">
        <w:rPr>
          <w:i/>
          <w:spacing w:val="-2"/>
          <w:sz w:val="16"/>
          <w:lang w:val="es-AR"/>
        </w:rPr>
        <w:t xml:space="preserve"> </w:t>
      </w:r>
      <w:r w:rsidRPr="00624696">
        <w:rPr>
          <w:i/>
          <w:sz w:val="16"/>
          <w:lang w:val="es-AR"/>
        </w:rPr>
        <w:t>Río</w:t>
      </w:r>
      <w:r w:rsidRPr="00624696">
        <w:rPr>
          <w:i/>
          <w:spacing w:val="-2"/>
          <w:sz w:val="16"/>
          <w:lang w:val="es-AR"/>
        </w:rPr>
        <w:t xml:space="preserve"> </w:t>
      </w:r>
      <w:r w:rsidRPr="00624696">
        <w:rPr>
          <w:i/>
          <w:sz w:val="16"/>
          <w:lang w:val="es-AR"/>
        </w:rPr>
        <w:t>Negro</w:t>
      </w:r>
      <w:r w:rsidRPr="00624696">
        <w:rPr>
          <w:i/>
          <w:spacing w:val="-2"/>
          <w:sz w:val="16"/>
          <w:lang w:val="es-AR"/>
        </w:rPr>
        <w:t xml:space="preserve"> </w:t>
      </w:r>
      <w:r w:rsidRPr="00624696">
        <w:rPr>
          <w:i/>
          <w:sz w:val="16"/>
          <w:lang w:val="es-AR"/>
        </w:rPr>
        <w:t>Vs.</w:t>
      </w:r>
      <w:r w:rsidRPr="00624696">
        <w:rPr>
          <w:i/>
          <w:spacing w:val="-3"/>
          <w:sz w:val="16"/>
          <w:lang w:val="es-AR"/>
        </w:rPr>
        <w:t xml:space="preserve"> </w:t>
      </w:r>
      <w:r>
        <w:rPr>
          <w:i/>
          <w:sz w:val="16"/>
        </w:rPr>
        <w:t>Guatemala,</w:t>
      </w:r>
      <w:r>
        <w:rPr>
          <w:i/>
          <w:spacing w:val="-3"/>
          <w:sz w:val="16"/>
        </w:rPr>
        <w:t xml:space="preserve"> </w:t>
      </w:r>
      <w:r>
        <w:rPr>
          <w:i/>
          <w:sz w:val="16"/>
        </w:rPr>
        <w:t>supra,</w:t>
      </w:r>
      <w:r>
        <w:rPr>
          <w:i/>
          <w:spacing w:val="-3"/>
          <w:sz w:val="16"/>
        </w:rPr>
        <w:t xml:space="preserve"> </w:t>
      </w:r>
      <w:r>
        <w:rPr>
          <w:sz w:val="16"/>
        </w:rPr>
        <w:t>párr.</w:t>
      </w:r>
      <w:r>
        <w:rPr>
          <w:spacing w:val="-3"/>
          <w:sz w:val="16"/>
        </w:rPr>
        <w:t xml:space="preserve"> </w:t>
      </w:r>
      <w:r>
        <w:rPr>
          <w:sz w:val="16"/>
        </w:rPr>
        <w:t>48,</w:t>
      </w:r>
      <w:r>
        <w:rPr>
          <w:spacing w:val="-3"/>
          <w:sz w:val="16"/>
        </w:rPr>
        <w:t xml:space="preserve"> </w:t>
      </w:r>
      <w:r>
        <w:rPr>
          <w:sz w:val="16"/>
        </w:rPr>
        <w:t>y</w:t>
      </w:r>
      <w:r>
        <w:rPr>
          <w:spacing w:val="-2"/>
          <w:sz w:val="16"/>
        </w:rPr>
        <w:t xml:space="preserve"> </w:t>
      </w:r>
      <w:r>
        <w:rPr>
          <w:i/>
          <w:sz w:val="16"/>
        </w:rPr>
        <w:t>Caso</w:t>
      </w:r>
      <w:r>
        <w:rPr>
          <w:i/>
          <w:spacing w:val="-4"/>
          <w:sz w:val="16"/>
        </w:rPr>
        <w:t xml:space="preserve"> </w:t>
      </w:r>
      <w:r>
        <w:rPr>
          <w:i/>
          <w:sz w:val="16"/>
        </w:rPr>
        <w:t>Miembros</w:t>
      </w:r>
      <w:r>
        <w:rPr>
          <w:i/>
          <w:spacing w:val="-2"/>
          <w:sz w:val="16"/>
        </w:rPr>
        <w:t xml:space="preserve"> </w:t>
      </w:r>
      <w:r>
        <w:rPr>
          <w:i/>
          <w:sz w:val="16"/>
        </w:rPr>
        <w:t>de</w:t>
      </w:r>
      <w:r>
        <w:rPr>
          <w:i/>
          <w:spacing w:val="-2"/>
          <w:sz w:val="16"/>
        </w:rPr>
        <w:t xml:space="preserve"> </w:t>
      </w:r>
      <w:r>
        <w:rPr>
          <w:i/>
          <w:sz w:val="16"/>
        </w:rPr>
        <w:t>la</w:t>
      </w:r>
      <w:r>
        <w:rPr>
          <w:i/>
          <w:spacing w:val="-3"/>
          <w:sz w:val="16"/>
        </w:rPr>
        <w:t xml:space="preserve"> </w:t>
      </w:r>
      <w:r>
        <w:rPr>
          <w:i/>
          <w:sz w:val="16"/>
        </w:rPr>
        <w:t>Aldea</w:t>
      </w:r>
      <w:r>
        <w:rPr>
          <w:i/>
          <w:spacing w:val="-3"/>
          <w:sz w:val="16"/>
        </w:rPr>
        <w:t xml:space="preserve"> </w:t>
      </w:r>
      <w:r>
        <w:rPr>
          <w:i/>
          <w:sz w:val="16"/>
        </w:rPr>
        <w:t>Chichupac</w:t>
      </w:r>
      <w:r>
        <w:rPr>
          <w:i/>
          <w:spacing w:val="-5"/>
          <w:sz w:val="16"/>
        </w:rPr>
        <w:t xml:space="preserve"> </w:t>
      </w:r>
      <w:r>
        <w:rPr>
          <w:i/>
          <w:sz w:val="16"/>
        </w:rPr>
        <w:t xml:space="preserve">y comunidades vecinas del municipio de Rabinal Vs. Guatemala, supra, </w:t>
      </w:r>
      <w:r>
        <w:rPr>
          <w:sz w:val="16"/>
        </w:rPr>
        <w:t>párr.</w:t>
      </w:r>
      <w:r>
        <w:rPr>
          <w:spacing w:val="-15"/>
          <w:sz w:val="16"/>
        </w:rPr>
        <w:t xml:space="preserve"> </w:t>
      </w:r>
      <w:r>
        <w:rPr>
          <w:sz w:val="16"/>
        </w:rPr>
        <w:t>65.</w:t>
      </w:r>
    </w:p>
    <w:p w14:paraId="63A5D6E2" w14:textId="77777777" w:rsidR="00467FCA" w:rsidRPr="00624696" w:rsidRDefault="001B68EB">
      <w:pPr>
        <w:tabs>
          <w:tab w:val="left" w:pos="839"/>
        </w:tabs>
        <w:ind w:left="120"/>
        <w:jc w:val="both"/>
        <w:rPr>
          <w:i/>
          <w:sz w:val="16"/>
          <w:lang w:val="es-AR"/>
        </w:rPr>
      </w:pPr>
      <w:bookmarkStart w:id="75" w:name="_bookmark59"/>
      <w:bookmarkEnd w:id="75"/>
      <w:r w:rsidRPr="00624696">
        <w:rPr>
          <w:position w:val="6"/>
          <w:sz w:val="10"/>
          <w:lang w:val="es-AR"/>
        </w:rPr>
        <w:t>44</w:t>
      </w:r>
      <w:r w:rsidRPr="00624696">
        <w:rPr>
          <w:position w:val="6"/>
          <w:sz w:val="10"/>
          <w:lang w:val="es-AR"/>
        </w:rPr>
        <w:tab/>
      </w:r>
      <w:r w:rsidRPr="00624696">
        <w:rPr>
          <w:i/>
          <w:sz w:val="16"/>
          <w:lang w:val="es-AR"/>
        </w:rPr>
        <w:t>Cfr.</w:t>
      </w:r>
      <w:r w:rsidRPr="00624696">
        <w:rPr>
          <w:i/>
          <w:spacing w:val="37"/>
          <w:sz w:val="16"/>
          <w:lang w:val="es-AR"/>
        </w:rPr>
        <w:t xml:space="preserve"> </w:t>
      </w:r>
      <w:r w:rsidRPr="00624696">
        <w:rPr>
          <w:i/>
          <w:sz w:val="16"/>
          <w:lang w:val="es-AR"/>
        </w:rPr>
        <w:t>Caso</w:t>
      </w:r>
      <w:r w:rsidRPr="00624696">
        <w:rPr>
          <w:i/>
          <w:spacing w:val="36"/>
          <w:sz w:val="16"/>
          <w:lang w:val="es-AR"/>
        </w:rPr>
        <w:t xml:space="preserve"> </w:t>
      </w:r>
      <w:r w:rsidRPr="00624696">
        <w:rPr>
          <w:i/>
          <w:sz w:val="16"/>
          <w:lang w:val="es-AR"/>
        </w:rPr>
        <w:t>Masacres</w:t>
      </w:r>
      <w:r w:rsidRPr="00624696">
        <w:rPr>
          <w:i/>
          <w:spacing w:val="36"/>
          <w:sz w:val="16"/>
          <w:lang w:val="es-AR"/>
        </w:rPr>
        <w:t xml:space="preserve"> </w:t>
      </w:r>
      <w:r w:rsidRPr="00624696">
        <w:rPr>
          <w:i/>
          <w:sz w:val="16"/>
          <w:lang w:val="es-AR"/>
        </w:rPr>
        <w:t>de</w:t>
      </w:r>
      <w:r w:rsidRPr="00624696">
        <w:rPr>
          <w:i/>
          <w:spacing w:val="38"/>
          <w:sz w:val="16"/>
          <w:lang w:val="es-AR"/>
        </w:rPr>
        <w:t xml:space="preserve"> </w:t>
      </w:r>
      <w:r w:rsidRPr="00624696">
        <w:rPr>
          <w:i/>
          <w:sz w:val="16"/>
          <w:lang w:val="es-AR"/>
        </w:rPr>
        <w:t>El</w:t>
      </w:r>
      <w:r w:rsidRPr="00624696">
        <w:rPr>
          <w:i/>
          <w:spacing w:val="37"/>
          <w:sz w:val="16"/>
          <w:lang w:val="es-AR"/>
        </w:rPr>
        <w:t xml:space="preserve"> </w:t>
      </w:r>
      <w:r w:rsidRPr="00624696">
        <w:rPr>
          <w:i/>
          <w:sz w:val="16"/>
          <w:lang w:val="es-AR"/>
        </w:rPr>
        <w:t>Mozote</w:t>
      </w:r>
      <w:r w:rsidRPr="00624696">
        <w:rPr>
          <w:i/>
          <w:spacing w:val="39"/>
          <w:sz w:val="16"/>
          <w:lang w:val="es-AR"/>
        </w:rPr>
        <w:t xml:space="preserve"> </w:t>
      </w:r>
      <w:r w:rsidRPr="00624696">
        <w:rPr>
          <w:i/>
          <w:sz w:val="16"/>
          <w:lang w:val="es-AR"/>
        </w:rPr>
        <w:t>y</w:t>
      </w:r>
      <w:r w:rsidRPr="00624696">
        <w:rPr>
          <w:i/>
          <w:spacing w:val="39"/>
          <w:sz w:val="16"/>
          <w:lang w:val="es-AR"/>
        </w:rPr>
        <w:t xml:space="preserve"> </w:t>
      </w:r>
      <w:r w:rsidRPr="00624696">
        <w:rPr>
          <w:i/>
          <w:sz w:val="16"/>
          <w:lang w:val="es-AR"/>
        </w:rPr>
        <w:t>lugares</w:t>
      </w:r>
      <w:r w:rsidRPr="00624696">
        <w:rPr>
          <w:i/>
          <w:spacing w:val="38"/>
          <w:sz w:val="16"/>
          <w:lang w:val="es-AR"/>
        </w:rPr>
        <w:t xml:space="preserve"> </w:t>
      </w:r>
      <w:r w:rsidRPr="00624696">
        <w:rPr>
          <w:i/>
          <w:sz w:val="16"/>
          <w:lang w:val="es-AR"/>
        </w:rPr>
        <w:t>aledaños</w:t>
      </w:r>
      <w:r w:rsidRPr="00624696">
        <w:rPr>
          <w:i/>
          <w:spacing w:val="38"/>
          <w:sz w:val="16"/>
          <w:lang w:val="es-AR"/>
        </w:rPr>
        <w:t xml:space="preserve"> </w:t>
      </w:r>
      <w:r w:rsidRPr="00624696">
        <w:rPr>
          <w:i/>
          <w:sz w:val="16"/>
          <w:lang w:val="es-AR"/>
        </w:rPr>
        <w:t>Vs.</w:t>
      </w:r>
      <w:r w:rsidRPr="00624696">
        <w:rPr>
          <w:i/>
          <w:spacing w:val="39"/>
          <w:sz w:val="16"/>
          <w:lang w:val="es-AR"/>
        </w:rPr>
        <w:t xml:space="preserve"> </w:t>
      </w:r>
      <w:r w:rsidRPr="00624696">
        <w:rPr>
          <w:i/>
          <w:sz w:val="16"/>
          <w:lang w:val="es-AR"/>
        </w:rPr>
        <w:t>El</w:t>
      </w:r>
      <w:r w:rsidRPr="00624696">
        <w:rPr>
          <w:i/>
          <w:spacing w:val="39"/>
          <w:sz w:val="16"/>
          <w:lang w:val="es-AR"/>
        </w:rPr>
        <w:t xml:space="preserve"> </w:t>
      </w:r>
      <w:r w:rsidRPr="00624696">
        <w:rPr>
          <w:i/>
          <w:sz w:val="16"/>
          <w:lang w:val="es-AR"/>
        </w:rPr>
        <w:t>Salvador.</w:t>
      </w:r>
      <w:r w:rsidRPr="00624696">
        <w:rPr>
          <w:i/>
          <w:spacing w:val="38"/>
          <w:sz w:val="16"/>
          <w:lang w:val="es-AR"/>
        </w:rPr>
        <w:t xml:space="preserve"> </w:t>
      </w:r>
      <w:r w:rsidRPr="00624696">
        <w:rPr>
          <w:i/>
          <w:sz w:val="16"/>
          <w:lang w:val="es-AR"/>
        </w:rPr>
        <w:t>Fondo,</w:t>
      </w:r>
      <w:r w:rsidRPr="00624696">
        <w:rPr>
          <w:i/>
          <w:spacing w:val="37"/>
          <w:sz w:val="16"/>
          <w:lang w:val="es-AR"/>
        </w:rPr>
        <w:t xml:space="preserve"> </w:t>
      </w:r>
      <w:r w:rsidRPr="00624696">
        <w:rPr>
          <w:i/>
          <w:sz w:val="16"/>
          <w:lang w:val="es-AR"/>
        </w:rPr>
        <w:t>Reparaciones</w:t>
      </w:r>
      <w:r w:rsidRPr="00624696">
        <w:rPr>
          <w:i/>
          <w:spacing w:val="38"/>
          <w:sz w:val="16"/>
          <w:lang w:val="es-AR"/>
        </w:rPr>
        <w:t xml:space="preserve"> </w:t>
      </w:r>
      <w:r w:rsidRPr="00624696">
        <w:rPr>
          <w:i/>
          <w:sz w:val="16"/>
          <w:lang w:val="es-AR"/>
        </w:rPr>
        <w:t>y</w:t>
      </w:r>
      <w:r w:rsidRPr="00624696">
        <w:rPr>
          <w:i/>
          <w:spacing w:val="39"/>
          <w:sz w:val="16"/>
          <w:lang w:val="es-AR"/>
        </w:rPr>
        <w:t xml:space="preserve"> </w:t>
      </w:r>
      <w:r w:rsidRPr="00624696">
        <w:rPr>
          <w:i/>
          <w:sz w:val="16"/>
          <w:lang w:val="es-AR"/>
        </w:rPr>
        <w:t>Costas.</w:t>
      </w:r>
    </w:p>
    <w:p w14:paraId="6C318AB1" w14:textId="77777777" w:rsidR="00467FCA" w:rsidRPr="00624696" w:rsidRDefault="001B68EB">
      <w:pPr>
        <w:ind w:left="120"/>
        <w:jc w:val="both"/>
        <w:rPr>
          <w:sz w:val="16"/>
          <w:lang w:val="es-AR"/>
        </w:rPr>
      </w:pPr>
      <w:r w:rsidRPr="00624696">
        <w:rPr>
          <w:sz w:val="16"/>
          <w:lang w:val="es-AR"/>
        </w:rPr>
        <w:t>Sentencia de 25 de octubre de 2012. Serie C No. 252, párr. 50.</w:t>
      </w:r>
    </w:p>
    <w:p w14:paraId="43A2AC66" w14:textId="77777777" w:rsidR="00467FCA" w:rsidRDefault="001B68EB">
      <w:pPr>
        <w:tabs>
          <w:tab w:val="left" w:pos="839"/>
        </w:tabs>
        <w:ind w:left="120"/>
        <w:jc w:val="both"/>
        <w:rPr>
          <w:i/>
          <w:sz w:val="16"/>
        </w:rPr>
      </w:pPr>
      <w:bookmarkStart w:id="76" w:name="_bookmark60"/>
      <w:bookmarkEnd w:id="76"/>
      <w:r w:rsidRPr="00624696">
        <w:rPr>
          <w:position w:val="6"/>
          <w:sz w:val="10"/>
          <w:lang w:val="es-AR"/>
        </w:rPr>
        <w:t>45</w:t>
      </w:r>
      <w:r w:rsidRPr="00624696">
        <w:rPr>
          <w:position w:val="6"/>
          <w:sz w:val="10"/>
          <w:lang w:val="es-AR"/>
        </w:rPr>
        <w:tab/>
      </w:r>
      <w:r w:rsidRPr="00624696">
        <w:rPr>
          <w:i/>
          <w:sz w:val="16"/>
          <w:lang w:val="es-AR"/>
        </w:rPr>
        <w:t xml:space="preserve">Cfr. Caso Masacres de Río Negro Vs. </w:t>
      </w:r>
      <w:r>
        <w:rPr>
          <w:i/>
          <w:sz w:val="16"/>
        </w:rPr>
        <w:t xml:space="preserve">Guatemala, supra, </w:t>
      </w:r>
      <w:r>
        <w:rPr>
          <w:sz w:val="16"/>
        </w:rPr>
        <w:t>párr.</w:t>
      </w:r>
      <w:r>
        <w:rPr>
          <w:spacing w:val="-9"/>
          <w:sz w:val="16"/>
        </w:rPr>
        <w:t xml:space="preserve"> </w:t>
      </w:r>
      <w:r>
        <w:rPr>
          <w:sz w:val="16"/>
        </w:rPr>
        <w:t>48</w:t>
      </w:r>
      <w:r>
        <w:rPr>
          <w:i/>
          <w:sz w:val="16"/>
        </w:rPr>
        <w:t>.</w:t>
      </w:r>
    </w:p>
    <w:p w14:paraId="52BCA7E2" w14:textId="77777777" w:rsidR="00467FCA" w:rsidRPr="00624696" w:rsidRDefault="001B68EB">
      <w:pPr>
        <w:tabs>
          <w:tab w:val="left" w:pos="839"/>
        </w:tabs>
        <w:ind w:left="120" w:right="111" w:hanging="1"/>
        <w:jc w:val="both"/>
        <w:rPr>
          <w:sz w:val="16"/>
          <w:lang w:val="es-AR"/>
        </w:rPr>
      </w:pPr>
      <w:bookmarkStart w:id="77" w:name="_bookmark61"/>
      <w:bookmarkEnd w:id="77"/>
      <w:r w:rsidRPr="00624696">
        <w:rPr>
          <w:position w:val="6"/>
          <w:sz w:val="10"/>
          <w:lang w:val="es-AR"/>
        </w:rPr>
        <w:t>46</w:t>
      </w:r>
      <w:r w:rsidRPr="00624696">
        <w:rPr>
          <w:position w:val="6"/>
          <w:sz w:val="10"/>
          <w:lang w:val="es-AR"/>
        </w:rPr>
        <w:tab/>
      </w:r>
      <w:r w:rsidRPr="00624696">
        <w:rPr>
          <w:i/>
          <w:sz w:val="16"/>
          <w:lang w:val="es-AR"/>
        </w:rPr>
        <w:t xml:space="preserve">Cfr. Caso de las Comunidades Afrodescendientes Desplazadas de la Cuenca del Río Cacarica (Operación Génesis) Vs. </w:t>
      </w:r>
      <w:r>
        <w:rPr>
          <w:i/>
          <w:sz w:val="16"/>
        </w:rPr>
        <w:t xml:space="preserve">Colombia. </w:t>
      </w:r>
      <w:r w:rsidRPr="00624696">
        <w:rPr>
          <w:i/>
          <w:sz w:val="16"/>
          <w:lang w:val="es-AR"/>
        </w:rPr>
        <w:t xml:space="preserve">Excepciones Preliminares, Fondo, Reparaciones y Costas. </w:t>
      </w:r>
      <w:r w:rsidRPr="00624696">
        <w:rPr>
          <w:sz w:val="16"/>
          <w:lang w:val="es-AR"/>
        </w:rPr>
        <w:t>Sentencia de 20 de noviembre de 2013. Serie C. No. 270, párr.</w:t>
      </w:r>
      <w:r w:rsidRPr="00624696">
        <w:rPr>
          <w:spacing w:val="-9"/>
          <w:sz w:val="16"/>
          <w:lang w:val="es-AR"/>
        </w:rPr>
        <w:t xml:space="preserve"> </w:t>
      </w:r>
      <w:r w:rsidRPr="00624696">
        <w:rPr>
          <w:sz w:val="16"/>
          <w:lang w:val="es-AR"/>
        </w:rPr>
        <w:t>41.</w:t>
      </w:r>
    </w:p>
    <w:p w14:paraId="2A817959" w14:textId="77777777" w:rsidR="00467FCA" w:rsidRPr="00624696" w:rsidRDefault="001B68EB">
      <w:pPr>
        <w:tabs>
          <w:tab w:val="left" w:pos="839"/>
        </w:tabs>
        <w:ind w:left="119" w:right="116"/>
        <w:jc w:val="both"/>
        <w:rPr>
          <w:i/>
          <w:sz w:val="16"/>
          <w:lang w:val="es-AR"/>
        </w:rPr>
      </w:pPr>
      <w:bookmarkStart w:id="78" w:name="_bookmark62"/>
      <w:bookmarkEnd w:id="78"/>
      <w:r w:rsidRPr="00624696">
        <w:rPr>
          <w:position w:val="6"/>
          <w:sz w:val="10"/>
          <w:lang w:val="es-AR"/>
        </w:rPr>
        <w:t>47</w:t>
      </w:r>
      <w:r w:rsidRPr="00624696">
        <w:rPr>
          <w:position w:val="6"/>
          <w:sz w:val="10"/>
          <w:lang w:val="es-AR"/>
        </w:rPr>
        <w:tab/>
      </w:r>
      <w:r w:rsidRPr="00624696">
        <w:rPr>
          <w:i/>
          <w:sz w:val="16"/>
          <w:lang w:val="es-AR"/>
        </w:rPr>
        <w:t>Cfr. Cas</w:t>
      </w:r>
      <w:r w:rsidRPr="00624696">
        <w:rPr>
          <w:i/>
          <w:sz w:val="16"/>
          <w:lang w:val="es-AR"/>
        </w:rPr>
        <w:t xml:space="preserve">o Masacres de Río Negro Vs. </w:t>
      </w:r>
      <w:r>
        <w:rPr>
          <w:i/>
          <w:sz w:val="16"/>
        </w:rPr>
        <w:t xml:space="preserve">Guatemala, supra, </w:t>
      </w:r>
      <w:r>
        <w:rPr>
          <w:sz w:val="16"/>
        </w:rPr>
        <w:t xml:space="preserve">párr. 48, y </w:t>
      </w:r>
      <w:r>
        <w:rPr>
          <w:i/>
          <w:sz w:val="16"/>
        </w:rPr>
        <w:t xml:space="preserve">Caso Masacres de El Mozote y lugares aledaños Vs. </w:t>
      </w:r>
      <w:r w:rsidRPr="00624696">
        <w:rPr>
          <w:i/>
          <w:sz w:val="16"/>
          <w:lang w:val="es-AR"/>
        </w:rPr>
        <w:t xml:space="preserve">El Salvador, supra, </w:t>
      </w:r>
      <w:r w:rsidRPr="00624696">
        <w:rPr>
          <w:sz w:val="16"/>
          <w:lang w:val="es-AR"/>
        </w:rPr>
        <w:t>párr.</w:t>
      </w:r>
      <w:r w:rsidRPr="00624696">
        <w:rPr>
          <w:spacing w:val="-6"/>
          <w:sz w:val="16"/>
          <w:lang w:val="es-AR"/>
        </w:rPr>
        <w:t xml:space="preserve"> </w:t>
      </w:r>
      <w:r w:rsidRPr="00624696">
        <w:rPr>
          <w:sz w:val="16"/>
          <w:lang w:val="es-AR"/>
        </w:rPr>
        <w:t>50</w:t>
      </w:r>
      <w:r w:rsidRPr="00624696">
        <w:rPr>
          <w:i/>
          <w:sz w:val="16"/>
          <w:lang w:val="es-AR"/>
        </w:rPr>
        <w:t>.</w:t>
      </w:r>
    </w:p>
    <w:p w14:paraId="4419028E" w14:textId="77777777" w:rsidR="00467FCA" w:rsidRDefault="001B68EB">
      <w:pPr>
        <w:tabs>
          <w:tab w:val="left" w:pos="839"/>
        </w:tabs>
        <w:ind w:left="120"/>
        <w:jc w:val="both"/>
        <w:rPr>
          <w:i/>
          <w:sz w:val="16"/>
        </w:rPr>
      </w:pPr>
      <w:bookmarkStart w:id="79" w:name="_bookmark63"/>
      <w:bookmarkEnd w:id="79"/>
      <w:r w:rsidRPr="00624696">
        <w:rPr>
          <w:position w:val="6"/>
          <w:sz w:val="10"/>
          <w:lang w:val="es-AR"/>
        </w:rPr>
        <w:t>48</w:t>
      </w:r>
      <w:r w:rsidRPr="00624696">
        <w:rPr>
          <w:position w:val="6"/>
          <w:sz w:val="10"/>
          <w:lang w:val="es-AR"/>
        </w:rPr>
        <w:tab/>
      </w:r>
      <w:r w:rsidRPr="00624696">
        <w:rPr>
          <w:i/>
          <w:sz w:val="16"/>
          <w:lang w:val="es-AR"/>
        </w:rPr>
        <w:t>Cfr.</w:t>
      </w:r>
      <w:r w:rsidRPr="00624696">
        <w:rPr>
          <w:i/>
          <w:spacing w:val="-3"/>
          <w:sz w:val="16"/>
          <w:lang w:val="es-AR"/>
        </w:rPr>
        <w:t xml:space="preserve"> </w:t>
      </w:r>
      <w:r w:rsidRPr="00624696">
        <w:rPr>
          <w:i/>
          <w:sz w:val="16"/>
          <w:lang w:val="es-AR"/>
        </w:rPr>
        <w:t>Caso</w:t>
      </w:r>
      <w:r w:rsidRPr="00624696">
        <w:rPr>
          <w:i/>
          <w:spacing w:val="-2"/>
          <w:sz w:val="16"/>
          <w:lang w:val="es-AR"/>
        </w:rPr>
        <w:t xml:space="preserve"> </w:t>
      </w:r>
      <w:r w:rsidRPr="00624696">
        <w:rPr>
          <w:i/>
          <w:sz w:val="16"/>
          <w:lang w:val="es-AR"/>
        </w:rPr>
        <w:t>Masacres</w:t>
      </w:r>
      <w:r w:rsidRPr="00624696">
        <w:rPr>
          <w:i/>
          <w:spacing w:val="-2"/>
          <w:sz w:val="16"/>
          <w:lang w:val="es-AR"/>
        </w:rPr>
        <w:t xml:space="preserve"> </w:t>
      </w:r>
      <w:r w:rsidRPr="00624696">
        <w:rPr>
          <w:i/>
          <w:sz w:val="16"/>
          <w:lang w:val="es-AR"/>
        </w:rPr>
        <w:t>de</w:t>
      </w:r>
      <w:r w:rsidRPr="00624696">
        <w:rPr>
          <w:i/>
          <w:spacing w:val="-2"/>
          <w:sz w:val="16"/>
          <w:lang w:val="es-AR"/>
        </w:rPr>
        <w:t xml:space="preserve"> </w:t>
      </w:r>
      <w:r w:rsidRPr="00624696">
        <w:rPr>
          <w:i/>
          <w:sz w:val="16"/>
          <w:lang w:val="es-AR"/>
        </w:rPr>
        <w:t>Río</w:t>
      </w:r>
      <w:r w:rsidRPr="00624696">
        <w:rPr>
          <w:i/>
          <w:spacing w:val="-2"/>
          <w:sz w:val="16"/>
          <w:lang w:val="es-AR"/>
        </w:rPr>
        <w:t xml:space="preserve"> </w:t>
      </w:r>
      <w:r w:rsidRPr="00624696">
        <w:rPr>
          <w:i/>
          <w:sz w:val="16"/>
          <w:lang w:val="es-AR"/>
        </w:rPr>
        <w:t>Negro</w:t>
      </w:r>
      <w:r w:rsidRPr="00624696">
        <w:rPr>
          <w:i/>
          <w:spacing w:val="-2"/>
          <w:sz w:val="16"/>
          <w:lang w:val="es-AR"/>
        </w:rPr>
        <w:t xml:space="preserve"> </w:t>
      </w:r>
      <w:r w:rsidRPr="00624696">
        <w:rPr>
          <w:i/>
          <w:sz w:val="16"/>
          <w:lang w:val="es-AR"/>
        </w:rPr>
        <w:t>Vs.</w:t>
      </w:r>
      <w:r w:rsidRPr="00624696">
        <w:rPr>
          <w:i/>
          <w:spacing w:val="-3"/>
          <w:sz w:val="16"/>
          <w:lang w:val="es-AR"/>
        </w:rPr>
        <w:t xml:space="preserve"> </w:t>
      </w:r>
      <w:r>
        <w:rPr>
          <w:i/>
          <w:sz w:val="16"/>
        </w:rPr>
        <w:t>Guatemala</w:t>
      </w:r>
      <w:r>
        <w:rPr>
          <w:sz w:val="16"/>
        </w:rPr>
        <w:t>,</w:t>
      </w:r>
      <w:r>
        <w:rPr>
          <w:spacing w:val="-4"/>
          <w:sz w:val="16"/>
        </w:rPr>
        <w:t xml:space="preserve"> </w:t>
      </w:r>
      <w:r>
        <w:rPr>
          <w:i/>
          <w:sz w:val="16"/>
        </w:rPr>
        <w:t>supra,</w:t>
      </w:r>
      <w:r>
        <w:rPr>
          <w:i/>
          <w:spacing w:val="-3"/>
          <w:sz w:val="16"/>
        </w:rPr>
        <w:t xml:space="preserve"> </w:t>
      </w:r>
      <w:r>
        <w:rPr>
          <w:sz w:val="16"/>
        </w:rPr>
        <w:t>párr.</w:t>
      </w:r>
      <w:r>
        <w:rPr>
          <w:spacing w:val="-3"/>
          <w:sz w:val="16"/>
        </w:rPr>
        <w:t xml:space="preserve"> </w:t>
      </w:r>
      <w:r>
        <w:rPr>
          <w:sz w:val="16"/>
        </w:rPr>
        <w:t>51,</w:t>
      </w:r>
      <w:r>
        <w:rPr>
          <w:spacing w:val="-2"/>
          <w:sz w:val="16"/>
        </w:rPr>
        <w:t xml:space="preserve"> </w:t>
      </w:r>
      <w:r>
        <w:rPr>
          <w:sz w:val="16"/>
        </w:rPr>
        <w:t>y</w:t>
      </w:r>
      <w:r>
        <w:rPr>
          <w:spacing w:val="-2"/>
          <w:sz w:val="16"/>
        </w:rPr>
        <w:t xml:space="preserve"> </w:t>
      </w:r>
      <w:r>
        <w:rPr>
          <w:i/>
          <w:sz w:val="16"/>
        </w:rPr>
        <w:t>Caso</w:t>
      </w:r>
      <w:r>
        <w:rPr>
          <w:i/>
          <w:spacing w:val="-4"/>
          <w:sz w:val="16"/>
        </w:rPr>
        <w:t xml:space="preserve"> </w:t>
      </w:r>
      <w:r>
        <w:rPr>
          <w:i/>
          <w:sz w:val="16"/>
        </w:rPr>
        <w:t>Miembros</w:t>
      </w:r>
      <w:r>
        <w:rPr>
          <w:i/>
          <w:spacing w:val="-2"/>
          <w:sz w:val="16"/>
        </w:rPr>
        <w:t xml:space="preserve"> </w:t>
      </w:r>
      <w:r>
        <w:rPr>
          <w:i/>
          <w:sz w:val="16"/>
        </w:rPr>
        <w:t>de</w:t>
      </w:r>
      <w:r>
        <w:rPr>
          <w:i/>
          <w:spacing w:val="-2"/>
          <w:sz w:val="16"/>
        </w:rPr>
        <w:t xml:space="preserve"> </w:t>
      </w:r>
      <w:r>
        <w:rPr>
          <w:i/>
          <w:sz w:val="16"/>
        </w:rPr>
        <w:t>la</w:t>
      </w:r>
      <w:r>
        <w:rPr>
          <w:i/>
          <w:spacing w:val="-3"/>
          <w:sz w:val="16"/>
        </w:rPr>
        <w:t xml:space="preserve"> </w:t>
      </w:r>
      <w:r>
        <w:rPr>
          <w:i/>
          <w:sz w:val="16"/>
        </w:rPr>
        <w:t>Aldea</w:t>
      </w:r>
      <w:r>
        <w:rPr>
          <w:i/>
          <w:spacing w:val="-3"/>
          <w:sz w:val="16"/>
        </w:rPr>
        <w:t xml:space="preserve"> </w:t>
      </w:r>
      <w:r>
        <w:rPr>
          <w:i/>
          <w:sz w:val="16"/>
        </w:rPr>
        <w:t>Chichupac</w:t>
      </w:r>
      <w:r>
        <w:rPr>
          <w:i/>
          <w:spacing w:val="-5"/>
          <w:sz w:val="16"/>
        </w:rPr>
        <w:t xml:space="preserve"> </w:t>
      </w:r>
      <w:r>
        <w:rPr>
          <w:i/>
          <w:sz w:val="16"/>
        </w:rPr>
        <w:t>y</w:t>
      </w:r>
    </w:p>
    <w:p w14:paraId="0E83D668" w14:textId="77777777" w:rsidR="00467FCA" w:rsidRDefault="00467FCA">
      <w:pPr>
        <w:jc w:val="both"/>
        <w:rPr>
          <w:sz w:val="16"/>
        </w:rPr>
        <w:sectPr w:rsidR="00467FCA">
          <w:pgSz w:w="12240" w:h="15840"/>
          <w:pgMar w:top="1360" w:right="1320" w:bottom="1220" w:left="1320" w:header="0" w:footer="1037" w:gutter="0"/>
          <w:cols w:space="720"/>
        </w:sectPr>
      </w:pPr>
    </w:p>
    <w:p w14:paraId="72C51EEE" w14:textId="77777777" w:rsidR="00467FCA" w:rsidRPr="00624696" w:rsidRDefault="001B68EB">
      <w:pPr>
        <w:pStyle w:val="Textoindependiente"/>
        <w:spacing w:before="80"/>
        <w:ind w:left="119" w:right="116"/>
        <w:jc w:val="both"/>
        <w:rPr>
          <w:lang w:val="es-AR"/>
        </w:rPr>
      </w:pPr>
      <w:r w:rsidRPr="00624696">
        <w:rPr>
          <w:lang w:val="es-AR"/>
        </w:rPr>
        <w:t>características</w:t>
      </w:r>
      <w:r w:rsidRPr="00624696">
        <w:rPr>
          <w:spacing w:val="-12"/>
          <w:lang w:val="es-AR"/>
        </w:rPr>
        <w:t xml:space="preserve"> </w:t>
      </w:r>
      <w:r w:rsidRPr="00624696">
        <w:rPr>
          <w:lang w:val="es-AR"/>
        </w:rPr>
        <w:t>particulares</w:t>
      </w:r>
      <w:r w:rsidRPr="00624696">
        <w:rPr>
          <w:spacing w:val="-11"/>
          <w:lang w:val="es-AR"/>
        </w:rPr>
        <w:t xml:space="preserve"> </w:t>
      </w:r>
      <w:r w:rsidRPr="00624696">
        <w:rPr>
          <w:lang w:val="es-AR"/>
        </w:rPr>
        <w:t>de</w:t>
      </w:r>
      <w:r w:rsidRPr="00624696">
        <w:rPr>
          <w:spacing w:val="-12"/>
          <w:lang w:val="es-AR"/>
        </w:rPr>
        <w:t xml:space="preserve"> </w:t>
      </w:r>
      <w:r w:rsidRPr="00624696">
        <w:rPr>
          <w:lang w:val="es-AR"/>
        </w:rPr>
        <w:t>las</w:t>
      </w:r>
      <w:r w:rsidRPr="00624696">
        <w:rPr>
          <w:spacing w:val="-11"/>
          <w:lang w:val="es-AR"/>
        </w:rPr>
        <w:t xml:space="preserve"> </w:t>
      </w:r>
      <w:r w:rsidRPr="00624696">
        <w:rPr>
          <w:lang w:val="es-AR"/>
        </w:rPr>
        <w:t>presuntas</w:t>
      </w:r>
      <w:r w:rsidRPr="00624696">
        <w:rPr>
          <w:spacing w:val="-12"/>
          <w:lang w:val="es-AR"/>
        </w:rPr>
        <w:t xml:space="preserve"> </w:t>
      </w:r>
      <w:r w:rsidRPr="00624696">
        <w:rPr>
          <w:lang w:val="es-AR"/>
        </w:rPr>
        <w:t>víctimas</w:t>
      </w:r>
      <w:r w:rsidRPr="00624696">
        <w:rPr>
          <w:spacing w:val="-11"/>
          <w:lang w:val="es-AR"/>
        </w:rPr>
        <w:t xml:space="preserve"> </w:t>
      </w:r>
      <w:r w:rsidRPr="00624696">
        <w:rPr>
          <w:lang w:val="es-AR"/>
        </w:rPr>
        <w:t>del</w:t>
      </w:r>
      <w:r w:rsidRPr="00624696">
        <w:rPr>
          <w:spacing w:val="-11"/>
          <w:lang w:val="es-AR"/>
        </w:rPr>
        <w:t xml:space="preserve"> </w:t>
      </w:r>
      <w:r w:rsidRPr="00624696">
        <w:rPr>
          <w:lang w:val="es-AR"/>
        </w:rPr>
        <w:t>caso,</w:t>
      </w:r>
      <w:r w:rsidRPr="00624696">
        <w:rPr>
          <w:spacing w:val="-11"/>
          <w:lang w:val="es-AR"/>
        </w:rPr>
        <w:t xml:space="preserve"> </w:t>
      </w:r>
      <w:r w:rsidRPr="00624696">
        <w:rPr>
          <w:lang w:val="es-AR"/>
        </w:rPr>
        <w:t>por</w:t>
      </w:r>
      <w:r w:rsidRPr="00624696">
        <w:rPr>
          <w:spacing w:val="-10"/>
          <w:lang w:val="es-AR"/>
        </w:rPr>
        <w:t xml:space="preserve"> </w:t>
      </w:r>
      <w:r w:rsidRPr="00624696">
        <w:rPr>
          <w:lang w:val="es-AR"/>
        </w:rPr>
        <w:t>ejemplo,</w:t>
      </w:r>
      <w:r w:rsidRPr="00624696">
        <w:rPr>
          <w:spacing w:val="-11"/>
          <w:lang w:val="es-AR"/>
        </w:rPr>
        <w:t xml:space="preserve"> </w:t>
      </w:r>
      <w:r w:rsidRPr="00624696">
        <w:rPr>
          <w:lang w:val="es-AR"/>
        </w:rPr>
        <w:t>cuando</w:t>
      </w:r>
      <w:r w:rsidRPr="00624696">
        <w:rPr>
          <w:spacing w:val="-10"/>
          <w:lang w:val="es-AR"/>
        </w:rPr>
        <w:t xml:space="preserve"> </w:t>
      </w:r>
      <w:r w:rsidRPr="00624696">
        <w:rPr>
          <w:lang w:val="es-AR"/>
        </w:rPr>
        <w:t>estas</w:t>
      </w:r>
      <w:r w:rsidRPr="00624696">
        <w:rPr>
          <w:spacing w:val="-11"/>
          <w:lang w:val="es-AR"/>
        </w:rPr>
        <w:t xml:space="preserve"> </w:t>
      </w:r>
      <w:r w:rsidRPr="00624696">
        <w:rPr>
          <w:lang w:val="es-AR"/>
        </w:rPr>
        <w:t>han conformado clanes familiares con nombres y apellidos similares</w:t>
      </w:r>
      <w:hyperlink w:anchor="_bookmark65" w:history="1">
        <w:r w:rsidRPr="00624696">
          <w:rPr>
            <w:position w:val="7"/>
            <w:sz w:val="13"/>
            <w:lang w:val="es-AR"/>
          </w:rPr>
          <w:t>49</w:t>
        </w:r>
      </w:hyperlink>
      <w:r w:rsidRPr="00624696">
        <w:rPr>
          <w:lang w:val="es-AR"/>
        </w:rPr>
        <w:t>, al tratarse de migrantes</w:t>
      </w:r>
      <w:hyperlink w:anchor="_bookmark66" w:history="1">
        <w:r w:rsidRPr="00624696">
          <w:rPr>
            <w:position w:val="7"/>
            <w:sz w:val="13"/>
            <w:lang w:val="es-AR"/>
          </w:rPr>
          <w:t>50</w:t>
        </w:r>
      </w:hyperlink>
      <w:r w:rsidRPr="00624696">
        <w:rPr>
          <w:position w:val="7"/>
          <w:sz w:val="13"/>
          <w:lang w:val="es-AR"/>
        </w:rPr>
        <w:t xml:space="preserve"> </w:t>
      </w:r>
      <w:r w:rsidRPr="00624696">
        <w:rPr>
          <w:lang w:val="es-AR"/>
        </w:rPr>
        <w:t>o de comunidades nómadas cuya estructura social ancestral involucra la dinámica de fusionarse en nuevas comunidades y separarse para crear otras</w:t>
      </w:r>
      <w:hyperlink w:anchor="_bookmark67" w:history="1">
        <w:r w:rsidRPr="00624696">
          <w:rPr>
            <w:position w:val="7"/>
            <w:sz w:val="13"/>
            <w:lang w:val="es-AR"/>
          </w:rPr>
          <w:t>51</w:t>
        </w:r>
      </w:hyperlink>
      <w:r w:rsidRPr="00624696">
        <w:rPr>
          <w:lang w:val="es-AR"/>
        </w:rPr>
        <w:t>. Igualmente, ha considerado la conducta del Es</w:t>
      </w:r>
      <w:r w:rsidRPr="00624696">
        <w:rPr>
          <w:lang w:val="es-AR"/>
        </w:rPr>
        <w:t>tado, por ejemplo, cuando existen alegatos de que la falta de investigación contribuyó a la incompleta identificación de las presuntas víctimas</w:t>
      </w:r>
      <w:hyperlink w:anchor="_bookmark68" w:history="1">
        <w:r w:rsidRPr="00624696">
          <w:rPr>
            <w:position w:val="7"/>
            <w:sz w:val="13"/>
            <w:lang w:val="es-AR"/>
          </w:rPr>
          <w:t>52</w:t>
        </w:r>
      </w:hyperlink>
      <w:r w:rsidRPr="00624696">
        <w:rPr>
          <w:position w:val="7"/>
          <w:sz w:val="13"/>
          <w:lang w:val="es-AR"/>
        </w:rPr>
        <w:t xml:space="preserve"> </w:t>
      </w:r>
      <w:r w:rsidRPr="00624696">
        <w:rPr>
          <w:lang w:val="es-AR"/>
        </w:rPr>
        <w:t xml:space="preserve">y en </w:t>
      </w:r>
      <w:r w:rsidRPr="00624696">
        <w:rPr>
          <w:spacing w:val="3"/>
          <w:lang w:val="es-AR"/>
        </w:rPr>
        <w:t xml:space="preserve">un </w:t>
      </w:r>
      <w:r w:rsidRPr="00624696">
        <w:rPr>
          <w:lang w:val="es-AR"/>
        </w:rPr>
        <w:t>caso de</w:t>
      </w:r>
      <w:r w:rsidRPr="00624696">
        <w:rPr>
          <w:spacing w:val="-1"/>
          <w:lang w:val="es-AR"/>
        </w:rPr>
        <w:t xml:space="preserve"> </w:t>
      </w:r>
      <w:r w:rsidRPr="00624696">
        <w:rPr>
          <w:lang w:val="es-AR"/>
        </w:rPr>
        <w:t>esclavitud</w:t>
      </w:r>
      <w:hyperlink w:anchor="_bookmark69" w:history="1">
        <w:r w:rsidRPr="00624696">
          <w:rPr>
            <w:position w:val="7"/>
            <w:sz w:val="13"/>
            <w:lang w:val="es-AR"/>
          </w:rPr>
          <w:t>53</w:t>
        </w:r>
      </w:hyperlink>
      <w:r w:rsidRPr="00624696">
        <w:rPr>
          <w:lang w:val="es-AR"/>
        </w:rPr>
        <w:t>.</w:t>
      </w:r>
    </w:p>
    <w:p w14:paraId="0F4097C9" w14:textId="77777777" w:rsidR="00467FCA" w:rsidRPr="00624696" w:rsidRDefault="00467FCA">
      <w:pPr>
        <w:pStyle w:val="Textoindependiente"/>
        <w:rPr>
          <w:lang w:val="es-AR"/>
        </w:rPr>
      </w:pPr>
    </w:p>
    <w:p w14:paraId="3C0BAF4B" w14:textId="77777777" w:rsidR="00467FCA" w:rsidRPr="00624696" w:rsidRDefault="001B68EB">
      <w:pPr>
        <w:pStyle w:val="Prrafodelista"/>
        <w:numPr>
          <w:ilvl w:val="0"/>
          <w:numId w:val="50"/>
        </w:numPr>
        <w:tabs>
          <w:tab w:val="left" w:pos="687"/>
        </w:tabs>
        <w:ind w:left="119" w:right="116" w:firstLine="0"/>
        <w:jc w:val="both"/>
        <w:rPr>
          <w:sz w:val="20"/>
          <w:lang w:val="es-AR"/>
        </w:rPr>
      </w:pPr>
      <w:r w:rsidRPr="00624696">
        <w:rPr>
          <w:sz w:val="20"/>
          <w:lang w:val="es-AR"/>
        </w:rPr>
        <w:t>En este caso, est</w:t>
      </w:r>
      <w:r w:rsidRPr="00624696">
        <w:rPr>
          <w:sz w:val="20"/>
          <w:lang w:val="es-AR"/>
        </w:rPr>
        <w:t>a Corte encuentra que, en efecto, la información de las presuntas víctimas relacionadas en el Informe de Admisibilidad y Fondo no coincide con la remitida por los representantes, además de algunas otras inconsistencias que fueron alegadas por el Estado. Al</w:t>
      </w:r>
      <w:r w:rsidRPr="00624696">
        <w:rPr>
          <w:sz w:val="20"/>
          <w:lang w:val="es-AR"/>
        </w:rPr>
        <w:t xml:space="preserve"> respecto reitera que, en principio, corresponde a la Comisión y no a este Tribunal identificar con precisión y en la debida oportunidad a las presuntas víctimas de un caso. Sin embargo,</w:t>
      </w:r>
      <w:r w:rsidRPr="00624696">
        <w:rPr>
          <w:spacing w:val="-10"/>
          <w:sz w:val="20"/>
          <w:lang w:val="es-AR"/>
        </w:rPr>
        <w:t xml:space="preserve"> </w:t>
      </w:r>
      <w:r w:rsidRPr="00624696">
        <w:rPr>
          <w:sz w:val="20"/>
          <w:lang w:val="es-AR"/>
        </w:rPr>
        <w:t>este</w:t>
      </w:r>
      <w:r w:rsidRPr="00624696">
        <w:rPr>
          <w:spacing w:val="-9"/>
          <w:sz w:val="20"/>
          <w:lang w:val="es-AR"/>
        </w:rPr>
        <w:t xml:space="preserve"> </w:t>
      </w:r>
      <w:r w:rsidRPr="00624696">
        <w:rPr>
          <w:sz w:val="20"/>
          <w:lang w:val="es-AR"/>
        </w:rPr>
        <w:t>caso</w:t>
      </w:r>
      <w:r w:rsidRPr="00624696">
        <w:rPr>
          <w:spacing w:val="-9"/>
          <w:sz w:val="20"/>
          <w:lang w:val="es-AR"/>
        </w:rPr>
        <w:t xml:space="preserve"> </w:t>
      </w:r>
      <w:r w:rsidRPr="00624696">
        <w:rPr>
          <w:sz w:val="20"/>
          <w:lang w:val="es-AR"/>
        </w:rPr>
        <w:t>se</w:t>
      </w:r>
      <w:r w:rsidRPr="00624696">
        <w:rPr>
          <w:spacing w:val="-9"/>
          <w:sz w:val="20"/>
          <w:lang w:val="es-AR"/>
        </w:rPr>
        <w:t xml:space="preserve"> </w:t>
      </w:r>
      <w:r w:rsidRPr="00624696">
        <w:rPr>
          <w:sz w:val="20"/>
          <w:lang w:val="es-AR"/>
        </w:rPr>
        <w:t>refiere</w:t>
      </w:r>
      <w:r w:rsidRPr="00624696">
        <w:rPr>
          <w:spacing w:val="-11"/>
          <w:sz w:val="20"/>
          <w:lang w:val="es-AR"/>
        </w:rPr>
        <w:t xml:space="preserve"> </w:t>
      </w:r>
      <w:r w:rsidRPr="00624696">
        <w:rPr>
          <w:sz w:val="20"/>
          <w:lang w:val="es-AR"/>
        </w:rPr>
        <w:t>a</w:t>
      </w:r>
      <w:r w:rsidRPr="00624696">
        <w:rPr>
          <w:spacing w:val="-8"/>
          <w:sz w:val="20"/>
          <w:lang w:val="es-AR"/>
        </w:rPr>
        <w:t xml:space="preserve"> </w:t>
      </w:r>
      <w:r w:rsidRPr="00624696">
        <w:rPr>
          <w:sz w:val="20"/>
          <w:lang w:val="es-AR"/>
        </w:rPr>
        <w:t>una</w:t>
      </w:r>
      <w:r w:rsidRPr="00624696">
        <w:rPr>
          <w:spacing w:val="-10"/>
          <w:sz w:val="20"/>
          <w:lang w:val="es-AR"/>
        </w:rPr>
        <w:t xml:space="preserve"> </w:t>
      </w:r>
      <w:r w:rsidRPr="00624696">
        <w:rPr>
          <w:sz w:val="20"/>
          <w:lang w:val="es-AR"/>
        </w:rPr>
        <w:t>alegada</w:t>
      </w:r>
      <w:r w:rsidRPr="00624696">
        <w:rPr>
          <w:spacing w:val="-10"/>
          <w:sz w:val="20"/>
          <w:lang w:val="es-AR"/>
        </w:rPr>
        <w:t xml:space="preserve"> </w:t>
      </w:r>
      <w:r w:rsidRPr="00624696">
        <w:rPr>
          <w:sz w:val="20"/>
          <w:lang w:val="es-AR"/>
        </w:rPr>
        <w:t>violación</w:t>
      </w:r>
      <w:r w:rsidRPr="00624696">
        <w:rPr>
          <w:spacing w:val="-7"/>
          <w:sz w:val="20"/>
          <w:lang w:val="es-AR"/>
        </w:rPr>
        <w:t xml:space="preserve"> </w:t>
      </w:r>
      <w:r w:rsidRPr="00624696">
        <w:rPr>
          <w:sz w:val="20"/>
          <w:lang w:val="es-AR"/>
        </w:rPr>
        <w:t>colectiva</w:t>
      </w:r>
      <w:r w:rsidRPr="00624696">
        <w:rPr>
          <w:spacing w:val="-9"/>
          <w:sz w:val="20"/>
          <w:lang w:val="es-AR"/>
        </w:rPr>
        <w:t xml:space="preserve"> </w:t>
      </w:r>
      <w:r w:rsidRPr="00624696">
        <w:rPr>
          <w:sz w:val="20"/>
          <w:lang w:val="es-AR"/>
        </w:rPr>
        <w:t>a</w:t>
      </w:r>
      <w:r w:rsidRPr="00624696">
        <w:rPr>
          <w:spacing w:val="-10"/>
          <w:sz w:val="20"/>
          <w:lang w:val="es-AR"/>
        </w:rPr>
        <w:t xml:space="preserve"> </w:t>
      </w:r>
      <w:r w:rsidRPr="00624696">
        <w:rPr>
          <w:sz w:val="20"/>
          <w:lang w:val="es-AR"/>
        </w:rPr>
        <w:t>los</w:t>
      </w:r>
      <w:r w:rsidRPr="00624696">
        <w:rPr>
          <w:spacing w:val="-9"/>
          <w:sz w:val="20"/>
          <w:lang w:val="es-AR"/>
        </w:rPr>
        <w:t xml:space="preserve"> </w:t>
      </w:r>
      <w:r w:rsidRPr="00624696">
        <w:rPr>
          <w:sz w:val="20"/>
          <w:lang w:val="es-AR"/>
        </w:rPr>
        <w:t>derechos</w:t>
      </w:r>
      <w:r w:rsidRPr="00624696">
        <w:rPr>
          <w:spacing w:val="-11"/>
          <w:sz w:val="20"/>
          <w:lang w:val="es-AR"/>
        </w:rPr>
        <w:t xml:space="preserve"> </w:t>
      </w:r>
      <w:r w:rsidRPr="00624696">
        <w:rPr>
          <w:sz w:val="20"/>
          <w:lang w:val="es-AR"/>
        </w:rPr>
        <w:t>humanos.</w:t>
      </w:r>
      <w:r w:rsidRPr="00624696">
        <w:rPr>
          <w:spacing w:val="-8"/>
          <w:sz w:val="20"/>
          <w:lang w:val="es-AR"/>
        </w:rPr>
        <w:t xml:space="preserve"> </w:t>
      </w:r>
      <w:r w:rsidRPr="00624696">
        <w:rPr>
          <w:sz w:val="20"/>
          <w:lang w:val="es-AR"/>
        </w:rPr>
        <w:t>Esta situación, sumada al tiempo transcurrido y a la dificultad para contactar a las presuntas víctimas</w:t>
      </w:r>
      <w:r w:rsidRPr="00624696">
        <w:rPr>
          <w:spacing w:val="10"/>
          <w:sz w:val="20"/>
          <w:lang w:val="es-AR"/>
        </w:rPr>
        <w:t xml:space="preserve"> </w:t>
      </w:r>
      <w:r w:rsidRPr="00624696">
        <w:rPr>
          <w:sz w:val="20"/>
          <w:lang w:val="es-AR"/>
        </w:rPr>
        <w:t>por</w:t>
      </w:r>
      <w:r w:rsidRPr="00624696">
        <w:rPr>
          <w:spacing w:val="9"/>
          <w:sz w:val="20"/>
          <w:lang w:val="es-AR"/>
        </w:rPr>
        <w:t xml:space="preserve"> </w:t>
      </w:r>
      <w:r w:rsidRPr="00624696">
        <w:rPr>
          <w:sz w:val="20"/>
          <w:lang w:val="es-AR"/>
        </w:rPr>
        <w:t>su</w:t>
      </w:r>
      <w:r w:rsidRPr="00624696">
        <w:rPr>
          <w:spacing w:val="11"/>
          <w:sz w:val="20"/>
          <w:lang w:val="es-AR"/>
        </w:rPr>
        <w:t xml:space="preserve"> </w:t>
      </w:r>
      <w:r w:rsidRPr="00624696">
        <w:rPr>
          <w:sz w:val="20"/>
          <w:lang w:val="es-AR"/>
        </w:rPr>
        <w:t>condición</w:t>
      </w:r>
      <w:r w:rsidRPr="00624696">
        <w:rPr>
          <w:spacing w:val="12"/>
          <w:sz w:val="20"/>
          <w:lang w:val="es-AR"/>
        </w:rPr>
        <w:t xml:space="preserve"> </w:t>
      </w:r>
      <w:r w:rsidRPr="00624696">
        <w:rPr>
          <w:sz w:val="20"/>
          <w:lang w:val="es-AR"/>
        </w:rPr>
        <w:t>de</w:t>
      </w:r>
      <w:r w:rsidRPr="00624696">
        <w:rPr>
          <w:spacing w:val="9"/>
          <w:sz w:val="20"/>
          <w:lang w:val="es-AR"/>
        </w:rPr>
        <w:t xml:space="preserve"> </w:t>
      </w:r>
      <w:r w:rsidRPr="00624696">
        <w:rPr>
          <w:sz w:val="20"/>
          <w:lang w:val="es-AR"/>
        </w:rPr>
        <w:t>exclusión</w:t>
      </w:r>
      <w:r w:rsidRPr="00624696">
        <w:rPr>
          <w:spacing w:val="11"/>
          <w:sz w:val="20"/>
          <w:lang w:val="es-AR"/>
        </w:rPr>
        <w:t xml:space="preserve"> </w:t>
      </w:r>
      <w:r w:rsidRPr="00624696">
        <w:rPr>
          <w:sz w:val="20"/>
          <w:lang w:val="es-AR"/>
        </w:rPr>
        <w:t>y</w:t>
      </w:r>
      <w:r w:rsidRPr="00624696">
        <w:rPr>
          <w:spacing w:val="10"/>
          <w:sz w:val="20"/>
          <w:lang w:val="es-AR"/>
        </w:rPr>
        <w:t xml:space="preserve"> </w:t>
      </w:r>
      <w:r w:rsidRPr="00624696">
        <w:rPr>
          <w:sz w:val="20"/>
          <w:lang w:val="es-AR"/>
        </w:rPr>
        <w:t>vulnerabilidad,</w:t>
      </w:r>
      <w:r w:rsidRPr="00624696">
        <w:rPr>
          <w:spacing w:val="11"/>
          <w:sz w:val="20"/>
          <w:lang w:val="es-AR"/>
        </w:rPr>
        <w:t xml:space="preserve"> </w:t>
      </w:r>
      <w:r w:rsidRPr="00624696">
        <w:rPr>
          <w:sz w:val="20"/>
          <w:lang w:val="es-AR"/>
        </w:rPr>
        <w:t>da</w:t>
      </w:r>
      <w:r w:rsidRPr="00624696">
        <w:rPr>
          <w:spacing w:val="11"/>
          <w:sz w:val="20"/>
          <w:lang w:val="es-AR"/>
        </w:rPr>
        <w:t xml:space="preserve"> </w:t>
      </w:r>
      <w:r w:rsidRPr="00624696">
        <w:rPr>
          <w:sz w:val="20"/>
          <w:lang w:val="es-AR"/>
        </w:rPr>
        <w:t>lugar</w:t>
      </w:r>
      <w:r w:rsidRPr="00624696">
        <w:rPr>
          <w:spacing w:val="9"/>
          <w:sz w:val="20"/>
          <w:lang w:val="es-AR"/>
        </w:rPr>
        <w:t xml:space="preserve"> </w:t>
      </w:r>
      <w:r w:rsidRPr="00624696">
        <w:rPr>
          <w:sz w:val="20"/>
          <w:lang w:val="es-AR"/>
        </w:rPr>
        <w:t>a</w:t>
      </w:r>
      <w:r w:rsidRPr="00624696">
        <w:rPr>
          <w:spacing w:val="12"/>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aplicación</w:t>
      </w:r>
      <w:r w:rsidRPr="00624696">
        <w:rPr>
          <w:spacing w:val="11"/>
          <w:sz w:val="20"/>
          <w:lang w:val="es-AR"/>
        </w:rPr>
        <w:t xml:space="preserve"> </w:t>
      </w:r>
      <w:r w:rsidRPr="00624696">
        <w:rPr>
          <w:sz w:val="20"/>
          <w:lang w:val="es-AR"/>
        </w:rPr>
        <w:t>del</w:t>
      </w:r>
      <w:r w:rsidRPr="00624696">
        <w:rPr>
          <w:spacing w:val="11"/>
          <w:sz w:val="20"/>
          <w:lang w:val="es-AR"/>
        </w:rPr>
        <w:t xml:space="preserve"> </w:t>
      </w:r>
      <w:r w:rsidRPr="00624696">
        <w:rPr>
          <w:sz w:val="20"/>
          <w:lang w:val="es-AR"/>
        </w:rPr>
        <w:t>artículo</w:t>
      </w:r>
    </w:p>
    <w:p w14:paraId="2750AFB5" w14:textId="77777777" w:rsidR="00467FCA" w:rsidRPr="00624696" w:rsidRDefault="001B68EB">
      <w:pPr>
        <w:pStyle w:val="Textoindependiente"/>
        <w:ind w:left="119" w:right="118"/>
        <w:jc w:val="both"/>
        <w:rPr>
          <w:lang w:val="es-AR"/>
        </w:rPr>
      </w:pPr>
      <w:r w:rsidRPr="00624696">
        <w:rPr>
          <w:lang w:val="es-AR"/>
        </w:rPr>
        <w:t>35.2 del Reglamento de la Corte. En consecuencia, a continuación, este Tribunal tomará las determinaciones correspondientes.</w:t>
      </w:r>
    </w:p>
    <w:p w14:paraId="5D7175F7" w14:textId="77777777" w:rsidR="00467FCA" w:rsidRPr="00624696" w:rsidRDefault="00467FCA">
      <w:pPr>
        <w:pStyle w:val="Textoindependiente"/>
        <w:rPr>
          <w:lang w:val="es-AR"/>
        </w:rPr>
      </w:pPr>
    </w:p>
    <w:p w14:paraId="64C75BF2" w14:textId="77777777" w:rsidR="00467FCA" w:rsidRPr="00624696" w:rsidRDefault="001B68EB">
      <w:pPr>
        <w:pStyle w:val="Ttulo2"/>
        <w:numPr>
          <w:ilvl w:val="1"/>
          <w:numId w:val="48"/>
        </w:numPr>
        <w:tabs>
          <w:tab w:val="left" w:pos="1275"/>
        </w:tabs>
        <w:ind w:hanging="436"/>
        <w:rPr>
          <w:lang w:val="es-AR"/>
        </w:rPr>
      </w:pPr>
      <w:bookmarkStart w:id="80" w:name="B.1_Respecto_de_las_presuntas_víctimas_f"/>
      <w:bookmarkStart w:id="81" w:name="_bookmark64"/>
      <w:bookmarkEnd w:id="80"/>
      <w:bookmarkEnd w:id="81"/>
      <w:r w:rsidRPr="00624696">
        <w:rPr>
          <w:lang w:val="es-AR"/>
        </w:rPr>
        <w:t>Respecto de las presuntas víctimas fallecidas y</w:t>
      </w:r>
      <w:r w:rsidRPr="00624696">
        <w:rPr>
          <w:spacing w:val="-7"/>
          <w:lang w:val="es-AR"/>
        </w:rPr>
        <w:t xml:space="preserve"> </w:t>
      </w:r>
      <w:r w:rsidRPr="00624696">
        <w:rPr>
          <w:lang w:val="es-AR"/>
        </w:rPr>
        <w:t>sobrevivientes</w:t>
      </w:r>
    </w:p>
    <w:p w14:paraId="4F1F3D3D" w14:textId="77777777" w:rsidR="00467FCA" w:rsidRPr="00624696" w:rsidRDefault="00467FCA">
      <w:pPr>
        <w:pStyle w:val="Textoindependiente"/>
        <w:spacing w:before="1"/>
        <w:rPr>
          <w:b/>
          <w:i/>
          <w:lang w:val="es-AR"/>
        </w:rPr>
      </w:pPr>
    </w:p>
    <w:p w14:paraId="7C7D1D54" w14:textId="77777777" w:rsidR="00467FCA" w:rsidRDefault="001B68EB">
      <w:pPr>
        <w:pStyle w:val="Prrafodelista"/>
        <w:numPr>
          <w:ilvl w:val="0"/>
          <w:numId w:val="50"/>
        </w:numPr>
        <w:tabs>
          <w:tab w:val="left" w:pos="687"/>
        </w:tabs>
        <w:ind w:right="119" w:hanging="1"/>
        <w:jc w:val="both"/>
        <w:rPr>
          <w:sz w:val="20"/>
        </w:rPr>
      </w:pPr>
      <w:r w:rsidRPr="00624696">
        <w:rPr>
          <w:sz w:val="20"/>
          <w:lang w:val="es-AR"/>
        </w:rPr>
        <w:t>En el escrito de sometimiento del caso y en el Informe de Admisibi</w:t>
      </w:r>
      <w:r w:rsidRPr="00624696">
        <w:rPr>
          <w:sz w:val="20"/>
          <w:lang w:val="es-AR"/>
        </w:rPr>
        <w:t>lidad y Fondo, la Comisión indicó que 64 personas perdieron la vida y seis sobrevivieron a la explosión de la fábrica</w:t>
      </w:r>
      <w:r w:rsidRPr="00624696">
        <w:rPr>
          <w:spacing w:val="-13"/>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fuegos,</w:t>
      </w:r>
      <w:r w:rsidRPr="00624696">
        <w:rPr>
          <w:spacing w:val="-14"/>
          <w:sz w:val="20"/>
          <w:lang w:val="es-AR"/>
        </w:rPr>
        <w:t xml:space="preserve"> </w:t>
      </w:r>
      <w:r w:rsidRPr="00624696">
        <w:rPr>
          <w:sz w:val="20"/>
          <w:lang w:val="es-AR"/>
        </w:rPr>
        <w:t>para</w:t>
      </w:r>
      <w:r w:rsidRPr="00624696">
        <w:rPr>
          <w:spacing w:val="-10"/>
          <w:sz w:val="20"/>
          <w:lang w:val="es-AR"/>
        </w:rPr>
        <w:t xml:space="preserve"> </w:t>
      </w:r>
      <w:r w:rsidRPr="00624696">
        <w:rPr>
          <w:sz w:val="20"/>
          <w:lang w:val="es-AR"/>
        </w:rPr>
        <w:t>un</w:t>
      </w:r>
      <w:r w:rsidRPr="00624696">
        <w:rPr>
          <w:spacing w:val="-13"/>
          <w:sz w:val="20"/>
          <w:lang w:val="es-AR"/>
        </w:rPr>
        <w:t xml:space="preserve"> </w:t>
      </w:r>
      <w:r w:rsidRPr="00624696">
        <w:rPr>
          <w:sz w:val="20"/>
          <w:lang w:val="es-AR"/>
        </w:rPr>
        <w:t>total</w:t>
      </w:r>
      <w:r w:rsidRPr="00624696">
        <w:rPr>
          <w:spacing w:val="-12"/>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70</w:t>
      </w:r>
      <w:r w:rsidRPr="00624696">
        <w:rPr>
          <w:spacing w:val="-13"/>
          <w:sz w:val="20"/>
          <w:lang w:val="es-AR"/>
        </w:rPr>
        <w:t xml:space="preserve"> </w:t>
      </w:r>
      <w:r w:rsidRPr="00624696">
        <w:rPr>
          <w:sz w:val="20"/>
          <w:lang w:val="es-AR"/>
        </w:rPr>
        <w:t>presuntas</w:t>
      </w:r>
      <w:r w:rsidRPr="00624696">
        <w:rPr>
          <w:spacing w:val="-11"/>
          <w:sz w:val="20"/>
          <w:lang w:val="es-AR"/>
        </w:rPr>
        <w:t xml:space="preserve"> </w:t>
      </w:r>
      <w:r w:rsidRPr="00624696">
        <w:rPr>
          <w:sz w:val="20"/>
          <w:lang w:val="es-AR"/>
        </w:rPr>
        <w:t>víctimas.</w:t>
      </w:r>
      <w:r w:rsidRPr="00624696">
        <w:rPr>
          <w:spacing w:val="-14"/>
          <w:sz w:val="20"/>
          <w:lang w:val="es-AR"/>
        </w:rPr>
        <w:t xml:space="preserve"> </w:t>
      </w:r>
      <w:r w:rsidRPr="00624696">
        <w:rPr>
          <w:sz w:val="20"/>
          <w:lang w:val="es-AR"/>
        </w:rPr>
        <w:t>Sin</w:t>
      </w:r>
      <w:r w:rsidRPr="00624696">
        <w:rPr>
          <w:spacing w:val="-9"/>
          <w:sz w:val="20"/>
          <w:lang w:val="es-AR"/>
        </w:rPr>
        <w:t xml:space="preserve"> </w:t>
      </w:r>
      <w:r w:rsidRPr="00624696">
        <w:rPr>
          <w:sz w:val="20"/>
          <w:lang w:val="es-AR"/>
        </w:rPr>
        <w:t>embargo,</w:t>
      </w:r>
      <w:r w:rsidRPr="00624696">
        <w:rPr>
          <w:spacing w:val="-12"/>
          <w:sz w:val="20"/>
          <w:lang w:val="es-AR"/>
        </w:rPr>
        <w:t xml:space="preserve"> </w:t>
      </w:r>
      <w:r w:rsidRPr="00624696">
        <w:rPr>
          <w:sz w:val="20"/>
          <w:lang w:val="es-AR"/>
        </w:rPr>
        <w:t>al</w:t>
      </w:r>
      <w:r w:rsidRPr="00624696">
        <w:rPr>
          <w:spacing w:val="-12"/>
          <w:sz w:val="20"/>
          <w:lang w:val="es-AR"/>
        </w:rPr>
        <w:t xml:space="preserve"> </w:t>
      </w:r>
      <w:r w:rsidRPr="00624696">
        <w:rPr>
          <w:sz w:val="20"/>
          <w:lang w:val="es-AR"/>
        </w:rPr>
        <w:t>comparar</w:t>
      </w:r>
      <w:r w:rsidRPr="00624696">
        <w:rPr>
          <w:spacing w:val="-11"/>
          <w:sz w:val="20"/>
          <w:lang w:val="es-AR"/>
        </w:rPr>
        <w:t xml:space="preserve"> </w:t>
      </w:r>
      <w:r w:rsidRPr="00624696">
        <w:rPr>
          <w:sz w:val="20"/>
          <w:lang w:val="es-AR"/>
        </w:rPr>
        <w:t>el</w:t>
      </w:r>
      <w:r w:rsidRPr="00624696">
        <w:rPr>
          <w:spacing w:val="-13"/>
          <w:sz w:val="20"/>
          <w:lang w:val="es-AR"/>
        </w:rPr>
        <w:t xml:space="preserve"> </w:t>
      </w:r>
      <w:r w:rsidRPr="00624696">
        <w:rPr>
          <w:sz w:val="20"/>
          <w:lang w:val="es-AR"/>
        </w:rPr>
        <w:t>listado anexo al Informe de Admisibilidad y Fondo de la Com</w:t>
      </w:r>
      <w:r w:rsidRPr="00624696">
        <w:rPr>
          <w:sz w:val="20"/>
          <w:lang w:val="es-AR"/>
        </w:rPr>
        <w:t>isión con el listado anexo al escrito de solicitudes y argumentos de los representantes de las presuntas víctimas, se encontraron algunas</w:t>
      </w:r>
      <w:r w:rsidRPr="00624696">
        <w:rPr>
          <w:spacing w:val="-12"/>
          <w:sz w:val="20"/>
          <w:lang w:val="es-AR"/>
        </w:rPr>
        <w:t xml:space="preserve"> </w:t>
      </w:r>
      <w:r w:rsidRPr="00624696">
        <w:rPr>
          <w:sz w:val="20"/>
          <w:lang w:val="es-AR"/>
        </w:rPr>
        <w:t>inconsistencias</w:t>
      </w:r>
      <w:r w:rsidRPr="00624696">
        <w:rPr>
          <w:spacing w:val="-9"/>
          <w:sz w:val="20"/>
          <w:lang w:val="es-AR"/>
        </w:rPr>
        <w:t xml:space="preserve"> </w:t>
      </w:r>
      <w:r w:rsidRPr="00624696">
        <w:rPr>
          <w:sz w:val="20"/>
          <w:lang w:val="es-AR"/>
        </w:rPr>
        <w:t>que,</w:t>
      </w:r>
      <w:r w:rsidRPr="00624696">
        <w:rPr>
          <w:spacing w:val="-12"/>
          <w:sz w:val="20"/>
          <w:lang w:val="es-AR"/>
        </w:rPr>
        <w:t xml:space="preserve"> </w:t>
      </w:r>
      <w:r w:rsidRPr="00624696">
        <w:rPr>
          <w:sz w:val="20"/>
          <w:lang w:val="es-AR"/>
        </w:rPr>
        <w:t>una</w:t>
      </w:r>
      <w:r w:rsidRPr="00624696">
        <w:rPr>
          <w:spacing w:val="-8"/>
          <w:sz w:val="20"/>
          <w:lang w:val="es-AR"/>
        </w:rPr>
        <w:t xml:space="preserve"> </w:t>
      </w:r>
      <w:r w:rsidRPr="00624696">
        <w:rPr>
          <w:sz w:val="20"/>
          <w:lang w:val="es-AR"/>
        </w:rPr>
        <w:t>vez</w:t>
      </w:r>
      <w:r w:rsidRPr="00624696">
        <w:rPr>
          <w:spacing w:val="-10"/>
          <w:sz w:val="20"/>
          <w:lang w:val="es-AR"/>
        </w:rPr>
        <w:t xml:space="preserve"> </w:t>
      </w:r>
      <w:r w:rsidRPr="00624696">
        <w:rPr>
          <w:sz w:val="20"/>
          <w:lang w:val="es-AR"/>
        </w:rPr>
        <w:t>depuradas,</w:t>
      </w:r>
      <w:r w:rsidRPr="00624696">
        <w:rPr>
          <w:spacing w:val="-11"/>
          <w:sz w:val="20"/>
          <w:lang w:val="es-AR"/>
        </w:rPr>
        <w:t xml:space="preserve"> </w:t>
      </w:r>
      <w:r w:rsidRPr="00624696">
        <w:rPr>
          <w:sz w:val="20"/>
          <w:lang w:val="es-AR"/>
        </w:rPr>
        <w:t>permiten</w:t>
      </w:r>
      <w:r w:rsidRPr="00624696">
        <w:rPr>
          <w:spacing w:val="-10"/>
          <w:sz w:val="20"/>
          <w:lang w:val="es-AR"/>
        </w:rPr>
        <w:t xml:space="preserve"> </w:t>
      </w:r>
      <w:r w:rsidRPr="00624696">
        <w:rPr>
          <w:sz w:val="20"/>
          <w:lang w:val="es-AR"/>
        </w:rPr>
        <w:t>identificar</w:t>
      </w:r>
      <w:r w:rsidRPr="00624696">
        <w:rPr>
          <w:spacing w:val="-10"/>
          <w:sz w:val="20"/>
          <w:lang w:val="es-AR"/>
        </w:rPr>
        <w:t xml:space="preserve"> </w:t>
      </w:r>
      <w:r w:rsidRPr="00624696">
        <w:rPr>
          <w:sz w:val="20"/>
          <w:lang w:val="es-AR"/>
        </w:rPr>
        <w:t>a</w:t>
      </w:r>
      <w:r w:rsidRPr="00624696">
        <w:rPr>
          <w:spacing w:val="-6"/>
          <w:sz w:val="20"/>
          <w:lang w:val="es-AR"/>
        </w:rPr>
        <w:t xml:space="preserve"> </w:t>
      </w:r>
      <w:r w:rsidRPr="00624696">
        <w:rPr>
          <w:sz w:val="20"/>
          <w:lang w:val="es-AR"/>
        </w:rPr>
        <w:t>60</w:t>
      </w:r>
      <w:r w:rsidRPr="00624696">
        <w:rPr>
          <w:spacing w:val="-10"/>
          <w:sz w:val="20"/>
          <w:lang w:val="es-AR"/>
        </w:rPr>
        <w:t xml:space="preserve"> </w:t>
      </w:r>
      <w:r w:rsidRPr="00624696">
        <w:rPr>
          <w:sz w:val="20"/>
          <w:lang w:val="es-AR"/>
        </w:rPr>
        <w:t>presuntas</w:t>
      </w:r>
      <w:r w:rsidRPr="00624696">
        <w:rPr>
          <w:spacing w:val="-9"/>
          <w:sz w:val="20"/>
          <w:lang w:val="es-AR"/>
        </w:rPr>
        <w:t xml:space="preserve"> </w:t>
      </w:r>
      <w:r w:rsidRPr="00624696">
        <w:rPr>
          <w:sz w:val="20"/>
          <w:lang w:val="es-AR"/>
        </w:rPr>
        <w:t>víctimas fallecidas y seis presuntas víctimas sobrevivientes</w:t>
      </w:r>
      <w:hyperlink w:anchor="_bookmark70" w:history="1">
        <w:r w:rsidRPr="00624696">
          <w:rPr>
            <w:position w:val="7"/>
            <w:sz w:val="13"/>
            <w:lang w:val="es-AR"/>
          </w:rPr>
          <w:t>54</w:t>
        </w:r>
      </w:hyperlink>
      <w:r w:rsidRPr="00624696">
        <w:rPr>
          <w:sz w:val="20"/>
          <w:lang w:val="es-AR"/>
        </w:rPr>
        <w:t xml:space="preserve">. </w:t>
      </w:r>
      <w:r>
        <w:rPr>
          <w:sz w:val="20"/>
        </w:rPr>
        <w:t>Entre las personas que</w:t>
      </w:r>
      <w:r>
        <w:rPr>
          <w:spacing w:val="69"/>
          <w:sz w:val="20"/>
        </w:rPr>
        <w:t xml:space="preserve"> </w:t>
      </w:r>
      <w:r>
        <w:rPr>
          <w:sz w:val="20"/>
        </w:rPr>
        <w:t>presuntamente</w:t>
      </w:r>
    </w:p>
    <w:p w14:paraId="66DB2D5A" w14:textId="77777777" w:rsidR="00467FCA" w:rsidRDefault="001B68EB">
      <w:pPr>
        <w:pStyle w:val="Textoindependiente"/>
        <w:spacing w:before="6"/>
        <w:rPr>
          <w:sz w:val="13"/>
        </w:rPr>
      </w:pPr>
      <w:r>
        <w:pict w14:anchorId="5515DA63">
          <v:shape id="_x0000_s1185" style="position:absolute;margin-left:1in;margin-top:10.5pt;width:2in;height:.1pt;z-index:-251646976;mso-wrap-distance-left:0;mso-wrap-distance-right:0;mso-position-horizontal-relative:page" coordorigin="1440,210" coordsize="2880,0" path="m1440,210r2880,e" filled="f" strokeweight=".21131mm">
            <v:path arrowok="t"/>
            <w10:wrap type="topAndBottom" anchorx="page"/>
          </v:shape>
        </w:pict>
      </w:r>
    </w:p>
    <w:p w14:paraId="0167D00F" w14:textId="77777777" w:rsidR="00467FCA" w:rsidRDefault="001B68EB">
      <w:pPr>
        <w:spacing w:before="74"/>
        <w:ind w:left="120"/>
        <w:jc w:val="both"/>
        <w:rPr>
          <w:sz w:val="16"/>
        </w:rPr>
      </w:pPr>
      <w:bookmarkStart w:id="82" w:name="_bookmark65"/>
      <w:bookmarkEnd w:id="82"/>
      <w:r w:rsidRPr="00624696">
        <w:rPr>
          <w:i/>
          <w:sz w:val="16"/>
          <w:lang w:val="es-AR"/>
        </w:rPr>
        <w:t xml:space="preserve">comunidades vecinas del municipio de Rabinal Vs. </w:t>
      </w:r>
      <w:r>
        <w:rPr>
          <w:i/>
          <w:sz w:val="16"/>
        </w:rPr>
        <w:t>Guatemala</w:t>
      </w:r>
      <w:r>
        <w:rPr>
          <w:sz w:val="16"/>
        </w:rPr>
        <w:t xml:space="preserve">, </w:t>
      </w:r>
      <w:r>
        <w:rPr>
          <w:i/>
          <w:sz w:val="16"/>
        </w:rPr>
        <w:t xml:space="preserve">supra, </w:t>
      </w:r>
      <w:r>
        <w:rPr>
          <w:sz w:val="16"/>
        </w:rPr>
        <w:t>párr. 65.</w:t>
      </w:r>
    </w:p>
    <w:p w14:paraId="06A57451" w14:textId="77777777" w:rsidR="00467FCA" w:rsidRDefault="001B68EB">
      <w:pPr>
        <w:tabs>
          <w:tab w:val="left" w:pos="839"/>
        </w:tabs>
        <w:ind w:left="120"/>
        <w:jc w:val="both"/>
        <w:rPr>
          <w:sz w:val="16"/>
        </w:rPr>
      </w:pPr>
      <w:r w:rsidRPr="00624696">
        <w:rPr>
          <w:position w:val="6"/>
          <w:sz w:val="10"/>
          <w:lang w:val="es-AR"/>
        </w:rPr>
        <w:t>49</w:t>
      </w:r>
      <w:r w:rsidRPr="00624696">
        <w:rPr>
          <w:position w:val="6"/>
          <w:sz w:val="10"/>
          <w:lang w:val="es-AR"/>
        </w:rPr>
        <w:tab/>
      </w:r>
      <w:r w:rsidRPr="00624696">
        <w:rPr>
          <w:i/>
          <w:sz w:val="16"/>
          <w:lang w:val="es-AR"/>
        </w:rPr>
        <w:t xml:space="preserve">Cfr. Caso Masacres de Río Negro Vs. </w:t>
      </w:r>
      <w:r>
        <w:rPr>
          <w:i/>
          <w:sz w:val="16"/>
        </w:rPr>
        <w:t>Guatemala</w:t>
      </w:r>
      <w:r>
        <w:rPr>
          <w:sz w:val="16"/>
        </w:rPr>
        <w:t xml:space="preserve">, </w:t>
      </w:r>
      <w:r>
        <w:rPr>
          <w:i/>
          <w:sz w:val="16"/>
        </w:rPr>
        <w:t xml:space="preserve">supra, </w:t>
      </w:r>
      <w:r>
        <w:rPr>
          <w:sz w:val="16"/>
        </w:rPr>
        <w:t>párr.</w:t>
      </w:r>
      <w:r>
        <w:rPr>
          <w:spacing w:val="-9"/>
          <w:sz w:val="16"/>
        </w:rPr>
        <w:t xml:space="preserve"> </w:t>
      </w:r>
      <w:r>
        <w:rPr>
          <w:sz w:val="16"/>
        </w:rPr>
        <w:t>48.</w:t>
      </w:r>
    </w:p>
    <w:p w14:paraId="146C08FE" w14:textId="77777777" w:rsidR="00467FCA" w:rsidRPr="00624696" w:rsidRDefault="001B68EB">
      <w:pPr>
        <w:tabs>
          <w:tab w:val="left" w:pos="839"/>
        </w:tabs>
        <w:ind w:left="119" w:right="113"/>
        <w:jc w:val="both"/>
        <w:rPr>
          <w:sz w:val="16"/>
          <w:lang w:val="es-AR"/>
        </w:rPr>
      </w:pPr>
      <w:bookmarkStart w:id="83" w:name="_bookmark66"/>
      <w:bookmarkEnd w:id="83"/>
      <w:r w:rsidRPr="00624696">
        <w:rPr>
          <w:position w:val="6"/>
          <w:sz w:val="10"/>
          <w:lang w:val="es-AR"/>
        </w:rPr>
        <w:t>50</w:t>
      </w:r>
      <w:r w:rsidRPr="00624696">
        <w:rPr>
          <w:position w:val="6"/>
          <w:sz w:val="10"/>
          <w:lang w:val="es-AR"/>
        </w:rPr>
        <w:tab/>
      </w:r>
      <w:r w:rsidRPr="00624696">
        <w:rPr>
          <w:i/>
          <w:sz w:val="16"/>
          <w:lang w:val="es-AR"/>
        </w:rPr>
        <w:t xml:space="preserve">Cfr. Caso Nadege Dorzema y otros Vs. </w:t>
      </w:r>
      <w:r>
        <w:rPr>
          <w:i/>
          <w:sz w:val="16"/>
        </w:rPr>
        <w:t>República Dominicana</w:t>
      </w:r>
      <w:r>
        <w:rPr>
          <w:sz w:val="16"/>
        </w:rPr>
        <w:t xml:space="preserve">. </w:t>
      </w:r>
      <w:r w:rsidRPr="00624696">
        <w:rPr>
          <w:i/>
          <w:sz w:val="16"/>
          <w:lang w:val="es-AR"/>
        </w:rPr>
        <w:t xml:space="preserve">Fondo, Reparaciones y Costas. </w:t>
      </w:r>
      <w:r w:rsidRPr="00624696">
        <w:rPr>
          <w:sz w:val="16"/>
          <w:lang w:val="es-AR"/>
        </w:rPr>
        <w:t>Sentencia de 24 de octubre de 2012. Serie C No. 251, párr.</w:t>
      </w:r>
      <w:r w:rsidRPr="00624696">
        <w:rPr>
          <w:spacing w:val="-12"/>
          <w:sz w:val="16"/>
          <w:lang w:val="es-AR"/>
        </w:rPr>
        <w:t xml:space="preserve"> </w:t>
      </w:r>
      <w:r w:rsidRPr="00624696">
        <w:rPr>
          <w:sz w:val="16"/>
          <w:lang w:val="es-AR"/>
        </w:rPr>
        <w:t>30.</w:t>
      </w:r>
    </w:p>
    <w:p w14:paraId="0FA1B4C7" w14:textId="77777777" w:rsidR="00467FCA" w:rsidRDefault="001B68EB">
      <w:pPr>
        <w:tabs>
          <w:tab w:val="left" w:pos="839"/>
        </w:tabs>
        <w:ind w:left="119" w:right="120"/>
        <w:jc w:val="both"/>
        <w:rPr>
          <w:sz w:val="16"/>
        </w:rPr>
      </w:pPr>
      <w:bookmarkStart w:id="84" w:name="_bookmark67"/>
      <w:bookmarkEnd w:id="84"/>
      <w:r w:rsidRPr="00624696">
        <w:rPr>
          <w:position w:val="6"/>
          <w:sz w:val="10"/>
          <w:lang w:val="es-AR"/>
        </w:rPr>
        <w:t>51</w:t>
      </w:r>
      <w:r w:rsidRPr="00624696">
        <w:rPr>
          <w:position w:val="6"/>
          <w:sz w:val="10"/>
          <w:lang w:val="es-AR"/>
        </w:rPr>
        <w:tab/>
      </w:r>
      <w:r w:rsidRPr="00624696">
        <w:rPr>
          <w:i/>
          <w:sz w:val="16"/>
          <w:lang w:val="es-AR"/>
        </w:rPr>
        <w:t>Cfr. Caso Comunidades indígenas mi</w:t>
      </w:r>
      <w:r w:rsidRPr="00624696">
        <w:rPr>
          <w:i/>
          <w:sz w:val="16"/>
          <w:lang w:val="es-AR"/>
        </w:rPr>
        <w:t xml:space="preserve">embros de la Asociación Lhaka Honhat (Nuestra Tierra) Vs. </w:t>
      </w:r>
      <w:r>
        <w:rPr>
          <w:i/>
          <w:sz w:val="16"/>
        </w:rPr>
        <w:t>Argentina, supra</w:t>
      </w:r>
      <w:r>
        <w:rPr>
          <w:sz w:val="16"/>
        </w:rPr>
        <w:t>, párr.</w:t>
      </w:r>
      <w:r>
        <w:rPr>
          <w:spacing w:val="-5"/>
          <w:sz w:val="16"/>
        </w:rPr>
        <w:t xml:space="preserve"> </w:t>
      </w:r>
      <w:r>
        <w:rPr>
          <w:sz w:val="16"/>
        </w:rPr>
        <w:t>35.</w:t>
      </w:r>
    </w:p>
    <w:p w14:paraId="49A0E8DA" w14:textId="77777777" w:rsidR="00467FCA" w:rsidRPr="00624696" w:rsidRDefault="001B68EB">
      <w:pPr>
        <w:tabs>
          <w:tab w:val="left" w:pos="839"/>
        </w:tabs>
        <w:ind w:left="119" w:right="116"/>
        <w:jc w:val="both"/>
        <w:rPr>
          <w:sz w:val="16"/>
          <w:lang w:val="es-AR"/>
        </w:rPr>
      </w:pPr>
      <w:bookmarkStart w:id="85" w:name="_bookmark68"/>
      <w:bookmarkEnd w:id="85"/>
      <w:r w:rsidRPr="00624696">
        <w:rPr>
          <w:position w:val="6"/>
          <w:sz w:val="10"/>
          <w:lang w:val="es-AR"/>
        </w:rPr>
        <w:t>52</w:t>
      </w:r>
      <w:r w:rsidRPr="00624696">
        <w:rPr>
          <w:position w:val="6"/>
          <w:sz w:val="10"/>
          <w:lang w:val="es-AR"/>
        </w:rPr>
        <w:tab/>
      </w:r>
      <w:r w:rsidRPr="00624696">
        <w:rPr>
          <w:i/>
          <w:sz w:val="16"/>
          <w:lang w:val="es-AR"/>
        </w:rPr>
        <w:t xml:space="preserve">Cfr. Caso Masacres de Río Negro Vs. </w:t>
      </w:r>
      <w:r>
        <w:rPr>
          <w:i/>
          <w:sz w:val="16"/>
        </w:rPr>
        <w:t xml:space="preserve">Guatemala, supra, </w:t>
      </w:r>
      <w:r>
        <w:rPr>
          <w:sz w:val="16"/>
        </w:rPr>
        <w:t xml:space="preserve">párr. 48, y </w:t>
      </w:r>
      <w:r>
        <w:rPr>
          <w:i/>
          <w:sz w:val="16"/>
        </w:rPr>
        <w:t xml:space="preserve">Caso Masacres de El Mozote y lugares aledaños Vs. </w:t>
      </w:r>
      <w:r w:rsidRPr="00624696">
        <w:rPr>
          <w:i/>
          <w:sz w:val="16"/>
          <w:lang w:val="es-AR"/>
        </w:rPr>
        <w:t>El Salvador</w:t>
      </w:r>
      <w:r w:rsidRPr="00624696">
        <w:rPr>
          <w:sz w:val="16"/>
          <w:lang w:val="es-AR"/>
        </w:rPr>
        <w:t xml:space="preserve">, </w:t>
      </w:r>
      <w:r w:rsidRPr="00624696">
        <w:rPr>
          <w:i/>
          <w:sz w:val="16"/>
          <w:lang w:val="es-AR"/>
        </w:rPr>
        <w:t xml:space="preserve">supra, </w:t>
      </w:r>
      <w:r w:rsidRPr="00624696">
        <w:rPr>
          <w:sz w:val="16"/>
          <w:lang w:val="es-AR"/>
        </w:rPr>
        <w:t>párr.</w:t>
      </w:r>
      <w:r w:rsidRPr="00624696">
        <w:rPr>
          <w:spacing w:val="-6"/>
          <w:sz w:val="16"/>
          <w:lang w:val="es-AR"/>
        </w:rPr>
        <w:t xml:space="preserve"> </w:t>
      </w:r>
      <w:r w:rsidRPr="00624696">
        <w:rPr>
          <w:sz w:val="16"/>
          <w:lang w:val="es-AR"/>
        </w:rPr>
        <w:t>50.</w:t>
      </w:r>
    </w:p>
    <w:p w14:paraId="3D11C5D3" w14:textId="77777777" w:rsidR="00467FCA" w:rsidRDefault="001B68EB">
      <w:pPr>
        <w:tabs>
          <w:tab w:val="left" w:pos="839"/>
        </w:tabs>
        <w:spacing w:before="2"/>
        <w:ind w:left="120"/>
        <w:jc w:val="both"/>
        <w:rPr>
          <w:i/>
          <w:sz w:val="16"/>
        </w:rPr>
      </w:pPr>
      <w:bookmarkStart w:id="86" w:name="_bookmark69"/>
      <w:bookmarkEnd w:id="86"/>
      <w:r w:rsidRPr="00624696">
        <w:rPr>
          <w:position w:val="6"/>
          <w:sz w:val="10"/>
          <w:lang w:val="es-AR"/>
        </w:rPr>
        <w:t>53</w:t>
      </w:r>
      <w:r w:rsidRPr="00624696">
        <w:rPr>
          <w:position w:val="6"/>
          <w:sz w:val="10"/>
          <w:lang w:val="es-AR"/>
        </w:rPr>
        <w:tab/>
      </w:r>
      <w:r w:rsidRPr="00624696">
        <w:rPr>
          <w:i/>
          <w:sz w:val="16"/>
          <w:lang w:val="es-AR"/>
        </w:rPr>
        <w:t>Cfr. Caso Trabajad</w:t>
      </w:r>
      <w:r w:rsidRPr="00624696">
        <w:rPr>
          <w:i/>
          <w:sz w:val="16"/>
          <w:lang w:val="es-AR"/>
        </w:rPr>
        <w:t xml:space="preserve">ores de la Hacienda Brasil Verde Vs. </w:t>
      </w:r>
      <w:r>
        <w:rPr>
          <w:i/>
          <w:sz w:val="16"/>
        </w:rPr>
        <w:t>Brasil, supra</w:t>
      </w:r>
      <w:r>
        <w:rPr>
          <w:sz w:val="16"/>
        </w:rPr>
        <w:t>, párr.</w:t>
      </w:r>
      <w:r>
        <w:rPr>
          <w:spacing w:val="-18"/>
          <w:sz w:val="16"/>
        </w:rPr>
        <w:t xml:space="preserve"> </w:t>
      </w:r>
      <w:r>
        <w:rPr>
          <w:sz w:val="16"/>
        </w:rPr>
        <w:t>48</w:t>
      </w:r>
      <w:r>
        <w:rPr>
          <w:i/>
          <w:sz w:val="16"/>
        </w:rPr>
        <w:t>.</w:t>
      </w:r>
    </w:p>
    <w:p w14:paraId="6DDEF868" w14:textId="77777777" w:rsidR="00467FCA" w:rsidRDefault="001B68EB">
      <w:pPr>
        <w:tabs>
          <w:tab w:val="left" w:pos="839"/>
        </w:tabs>
        <w:ind w:left="120" w:right="113" w:hanging="1"/>
        <w:jc w:val="both"/>
        <w:rPr>
          <w:sz w:val="16"/>
        </w:rPr>
      </w:pPr>
      <w:bookmarkStart w:id="87" w:name="_bookmark70"/>
      <w:bookmarkEnd w:id="87"/>
      <w:r w:rsidRPr="00624696">
        <w:rPr>
          <w:position w:val="6"/>
          <w:sz w:val="10"/>
          <w:lang w:val="es-AR"/>
        </w:rPr>
        <w:t>54</w:t>
      </w:r>
      <w:r w:rsidRPr="00624696">
        <w:rPr>
          <w:position w:val="6"/>
          <w:sz w:val="10"/>
          <w:lang w:val="es-AR"/>
        </w:rPr>
        <w:tab/>
      </w:r>
      <w:r w:rsidRPr="00624696">
        <w:rPr>
          <w:sz w:val="16"/>
          <w:lang w:val="es-AR"/>
        </w:rPr>
        <w:t>Tanto en el escrito de sometimiento del caso como en el Informe de Admisibilidad y Fondo, la Comisión indicó que son 64 las personas que perdieron la vida y seis personas las que resultaron con heridas graves, para un total</w:t>
      </w:r>
      <w:r w:rsidRPr="00624696">
        <w:rPr>
          <w:spacing w:val="-10"/>
          <w:sz w:val="16"/>
          <w:lang w:val="es-AR"/>
        </w:rPr>
        <w:t xml:space="preserve"> </w:t>
      </w:r>
      <w:r w:rsidRPr="00624696">
        <w:rPr>
          <w:sz w:val="16"/>
          <w:lang w:val="es-AR"/>
        </w:rPr>
        <w:t>de</w:t>
      </w:r>
      <w:r w:rsidRPr="00624696">
        <w:rPr>
          <w:spacing w:val="-14"/>
          <w:sz w:val="16"/>
          <w:lang w:val="es-AR"/>
        </w:rPr>
        <w:t xml:space="preserve"> </w:t>
      </w:r>
      <w:r w:rsidRPr="00624696">
        <w:rPr>
          <w:sz w:val="16"/>
          <w:lang w:val="es-AR"/>
        </w:rPr>
        <w:t>70</w:t>
      </w:r>
      <w:r w:rsidRPr="00624696">
        <w:rPr>
          <w:spacing w:val="-12"/>
          <w:sz w:val="16"/>
          <w:lang w:val="es-AR"/>
        </w:rPr>
        <w:t xml:space="preserve"> </w:t>
      </w:r>
      <w:r w:rsidRPr="00624696">
        <w:rPr>
          <w:sz w:val="16"/>
          <w:lang w:val="es-AR"/>
        </w:rPr>
        <w:t>presuntas</w:t>
      </w:r>
      <w:r w:rsidRPr="00624696">
        <w:rPr>
          <w:spacing w:val="-12"/>
          <w:sz w:val="16"/>
          <w:lang w:val="es-AR"/>
        </w:rPr>
        <w:t xml:space="preserve"> </w:t>
      </w:r>
      <w:r w:rsidRPr="00624696">
        <w:rPr>
          <w:sz w:val="16"/>
          <w:lang w:val="es-AR"/>
        </w:rPr>
        <w:t>víctimas</w:t>
      </w:r>
      <w:r w:rsidRPr="00624696">
        <w:rPr>
          <w:spacing w:val="-11"/>
          <w:sz w:val="16"/>
          <w:lang w:val="es-AR"/>
        </w:rPr>
        <w:t xml:space="preserve"> </w:t>
      </w:r>
      <w:r w:rsidRPr="00624696">
        <w:rPr>
          <w:sz w:val="16"/>
          <w:lang w:val="es-AR"/>
        </w:rPr>
        <w:t>directa</w:t>
      </w:r>
      <w:r w:rsidRPr="00624696">
        <w:rPr>
          <w:sz w:val="16"/>
          <w:lang w:val="es-AR"/>
        </w:rPr>
        <w:t>s</w:t>
      </w:r>
      <w:r w:rsidRPr="00624696">
        <w:rPr>
          <w:spacing w:val="-14"/>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la</w:t>
      </w:r>
      <w:r w:rsidRPr="00624696">
        <w:rPr>
          <w:spacing w:val="-13"/>
          <w:sz w:val="16"/>
          <w:lang w:val="es-AR"/>
        </w:rPr>
        <w:t xml:space="preserve"> </w:t>
      </w:r>
      <w:r w:rsidRPr="00624696">
        <w:rPr>
          <w:sz w:val="16"/>
          <w:lang w:val="es-AR"/>
        </w:rPr>
        <w:t>explosión</w:t>
      </w:r>
      <w:r w:rsidRPr="00624696">
        <w:rPr>
          <w:spacing w:val="-13"/>
          <w:sz w:val="16"/>
          <w:lang w:val="es-AR"/>
        </w:rPr>
        <w:t xml:space="preserve"> </w:t>
      </w:r>
      <w:r w:rsidRPr="00624696">
        <w:rPr>
          <w:sz w:val="16"/>
          <w:lang w:val="es-AR"/>
        </w:rPr>
        <w:t>(expediente</w:t>
      </w:r>
      <w:r w:rsidRPr="00624696">
        <w:rPr>
          <w:spacing w:val="-11"/>
          <w:sz w:val="16"/>
          <w:lang w:val="es-AR"/>
        </w:rPr>
        <w:t xml:space="preserve"> </w:t>
      </w:r>
      <w:r w:rsidRPr="00624696">
        <w:rPr>
          <w:sz w:val="16"/>
          <w:lang w:val="es-AR"/>
        </w:rPr>
        <w:t>de</w:t>
      </w:r>
      <w:r w:rsidRPr="00624696">
        <w:rPr>
          <w:spacing w:val="-12"/>
          <w:sz w:val="16"/>
          <w:lang w:val="es-AR"/>
        </w:rPr>
        <w:t xml:space="preserve"> </w:t>
      </w:r>
      <w:r w:rsidRPr="00624696">
        <w:rPr>
          <w:sz w:val="16"/>
          <w:lang w:val="es-AR"/>
        </w:rPr>
        <w:t>fondo,</w:t>
      </w:r>
      <w:r w:rsidRPr="00624696">
        <w:rPr>
          <w:spacing w:val="-12"/>
          <w:sz w:val="16"/>
          <w:lang w:val="es-AR"/>
        </w:rPr>
        <w:t xml:space="preserve"> </w:t>
      </w:r>
      <w:r w:rsidRPr="00624696">
        <w:rPr>
          <w:sz w:val="16"/>
          <w:lang w:val="es-AR"/>
        </w:rPr>
        <w:t>folios</w:t>
      </w:r>
      <w:r w:rsidRPr="00624696">
        <w:rPr>
          <w:spacing w:val="-12"/>
          <w:sz w:val="16"/>
          <w:lang w:val="es-AR"/>
        </w:rPr>
        <w:t xml:space="preserve"> </w:t>
      </w:r>
      <w:r w:rsidRPr="00624696">
        <w:rPr>
          <w:sz w:val="16"/>
          <w:lang w:val="es-AR"/>
        </w:rPr>
        <w:t>2</w:t>
      </w:r>
      <w:r w:rsidRPr="00624696">
        <w:rPr>
          <w:spacing w:val="-10"/>
          <w:sz w:val="16"/>
          <w:lang w:val="es-AR"/>
        </w:rPr>
        <w:t xml:space="preserve"> </w:t>
      </w:r>
      <w:r w:rsidRPr="00624696">
        <w:rPr>
          <w:sz w:val="16"/>
          <w:lang w:val="es-AR"/>
        </w:rPr>
        <w:t>y</w:t>
      </w:r>
      <w:r w:rsidRPr="00624696">
        <w:rPr>
          <w:spacing w:val="-14"/>
          <w:sz w:val="16"/>
          <w:lang w:val="es-AR"/>
        </w:rPr>
        <w:t xml:space="preserve"> </w:t>
      </w:r>
      <w:r w:rsidRPr="00624696">
        <w:rPr>
          <w:sz w:val="16"/>
          <w:lang w:val="es-AR"/>
        </w:rPr>
        <w:t>9).</w:t>
      </w:r>
      <w:r w:rsidRPr="00624696">
        <w:rPr>
          <w:spacing w:val="-13"/>
          <w:sz w:val="16"/>
          <w:lang w:val="es-AR"/>
        </w:rPr>
        <w:t xml:space="preserve"> </w:t>
      </w:r>
      <w:r w:rsidRPr="00624696">
        <w:rPr>
          <w:sz w:val="16"/>
          <w:lang w:val="es-AR"/>
        </w:rPr>
        <w:t>Sin</w:t>
      </w:r>
      <w:r w:rsidRPr="00624696">
        <w:rPr>
          <w:spacing w:val="-10"/>
          <w:sz w:val="16"/>
          <w:lang w:val="es-AR"/>
        </w:rPr>
        <w:t xml:space="preserve"> </w:t>
      </w:r>
      <w:r w:rsidRPr="00624696">
        <w:rPr>
          <w:sz w:val="16"/>
          <w:lang w:val="es-AR"/>
        </w:rPr>
        <w:t>embargo,</w:t>
      </w:r>
      <w:r w:rsidRPr="00624696">
        <w:rPr>
          <w:spacing w:val="-13"/>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la</w:t>
      </w:r>
      <w:r w:rsidRPr="00624696">
        <w:rPr>
          <w:spacing w:val="-13"/>
          <w:sz w:val="16"/>
          <w:lang w:val="es-AR"/>
        </w:rPr>
        <w:t xml:space="preserve"> </w:t>
      </w:r>
      <w:r w:rsidRPr="00624696">
        <w:rPr>
          <w:sz w:val="16"/>
          <w:lang w:val="es-AR"/>
        </w:rPr>
        <w:t>revisión del listado anexo al Informe de Admisibilidad y Fondo, se encontraron inconsistencias que, una vez depuradas, permiten</w:t>
      </w:r>
      <w:r w:rsidRPr="00624696">
        <w:rPr>
          <w:spacing w:val="-14"/>
          <w:sz w:val="16"/>
          <w:lang w:val="es-AR"/>
        </w:rPr>
        <w:t xml:space="preserve"> </w:t>
      </w:r>
      <w:r w:rsidRPr="00624696">
        <w:rPr>
          <w:sz w:val="16"/>
          <w:lang w:val="es-AR"/>
        </w:rPr>
        <w:t>establecer</w:t>
      </w:r>
      <w:r w:rsidRPr="00624696">
        <w:rPr>
          <w:spacing w:val="-11"/>
          <w:sz w:val="16"/>
          <w:lang w:val="es-AR"/>
        </w:rPr>
        <w:t xml:space="preserve"> </w:t>
      </w:r>
      <w:r w:rsidRPr="00624696">
        <w:rPr>
          <w:sz w:val="16"/>
          <w:lang w:val="es-AR"/>
        </w:rPr>
        <w:t>que</w:t>
      </w:r>
      <w:r w:rsidRPr="00624696">
        <w:rPr>
          <w:spacing w:val="-12"/>
          <w:sz w:val="16"/>
          <w:lang w:val="es-AR"/>
        </w:rPr>
        <w:t xml:space="preserve"> </w:t>
      </w:r>
      <w:r w:rsidRPr="00624696">
        <w:rPr>
          <w:sz w:val="16"/>
          <w:lang w:val="es-AR"/>
        </w:rPr>
        <w:t>el</w:t>
      </w:r>
      <w:r w:rsidRPr="00624696">
        <w:rPr>
          <w:spacing w:val="-11"/>
          <w:sz w:val="16"/>
          <w:lang w:val="es-AR"/>
        </w:rPr>
        <w:t xml:space="preserve"> </w:t>
      </w:r>
      <w:r w:rsidRPr="00624696">
        <w:rPr>
          <w:sz w:val="16"/>
          <w:lang w:val="es-AR"/>
        </w:rPr>
        <w:t>número</w:t>
      </w:r>
      <w:r w:rsidRPr="00624696">
        <w:rPr>
          <w:spacing w:val="-9"/>
          <w:sz w:val="16"/>
          <w:lang w:val="es-AR"/>
        </w:rPr>
        <w:t xml:space="preserve"> </w:t>
      </w:r>
      <w:r w:rsidRPr="00624696">
        <w:rPr>
          <w:sz w:val="16"/>
          <w:lang w:val="es-AR"/>
        </w:rPr>
        <w:t>correcto</w:t>
      </w:r>
      <w:r w:rsidRPr="00624696">
        <w:rPr>
          <w:spacing w:val="-12"/>
          <w:sz w:val="16"/>
          <w:lang w:val="es-AR"/>
        </w:rPr>
        <w:t xml:space="preserve"> </w:t>
      </w:r>
      <w:r w:rsidRPr="00624696">
        <w:rPr>
          <w:sz w:val="16"/>
          <w:lang w:val="es-AR"/>
        </w:rPr>
        <w:t>es</w:t>
      </w:r>
      <w:r w:rsidRPr="00624696">
        <w:rPr>
          <w:spacing w:val="-12"/>
          <w:sz w:val="16"/>
          <w:lang w:val="es-AR"/>
        </w:rPr>
        <w:t xml:space="preserve"> </w:t>
      </w:r>
      <w:r w:rsidRPr="00624696">
        <w:rPr>
          <w:sz w:val="16"/>
          <w:lang w:val="es-AR"/>
        </w:rPr>
        <w:t>el</w:t>
      </w:r>
      <w:r w:rsidRPr="00624696">
        <w:rPr>
          <w:spacing w:val="-11"/>
          <w:sz w:val="16"/>
          <w:lang w:val="es-AR"/>
        </w:rPr>
        <w:t xml:space="preserve"> </w:t>
      </w:r>
      <w:r w:rsidRPr="00624696">
        <w:rPr>
          <w:sz w:val="16"/>
          <w:lang w:val="es-AR"/>
        </w:rPr>
        <w:t>señalado</w:t>
      </w:r>
      <w:r w:rsidRPr="00624696">
        <w:rPr>
          <w:spacing w:val="-11"/>
          <w:sz w:val="16"/>
          <w:lang w:val="es-AR"/>
        </w:rPr>
        <w:t xml:space="preserve"> </w:t>
      </w:r>
      <w:r w:rsidRPr="00624696">
        <w:rPr>
          <w:sz w:val="16"/>
          <w:lang w:val="es-AR"/>
        </w:rPr>
        <w:t>en</w:t>
      </w:r>
      <w:r w:rsidRPr="00624696">
        <w:rPr>
          <w:spacing w:val="-11"/>
          <w:sz w:val="16"/>
          <w:lang w:val="es-AR"/>
        </w:rPr>
        <w:t xml:space="preserve"> </w:t>
      </w:r>
      <w:r w:rsidRPr="00624696">
        <w:rPr>
          <w:sz w:val="16"/>
          <w:lang w:val="es-AR"/>
        </w:rPr>
        <w:t>es</w:t>
      </w:r>
      <w:r w:rsidRPr="00624696">
        <w:rPr>
          <w:sz w:val="16"/>
          <w:lang w:val="es-AR"/>
        </w:rPr>
        <w:t>te</w:t>
      </w:r>
      <w:r w:rsidRPr="00624696">
        <w:rPr>
          <w:spacing w:val="-12"/>
          <w:sz w:val="16"/>
          <w:lang w:val="es-AR"/>
        </w:rPr>
        <w:t xml:space="preserve"> </w:t>
      </w:r>
      <w:r w:rsidRPr="00624696">
        <w:rPr>
          <w:sz w:val="16"/>
          <w:lang w:val="es-AR"/>
        </w:rPr>
        <w:t>párrafo.</w:t>
      </w:r>
      <w:r w:rsidRPr="00624696">
        <w:rPr>
          <w:spacing w:val="-12"/>
          <w:sz w:val="16"/>
          <w:lang w:val="es-AR"/>
        </w:rPr>
        <w:t xml:space="preserve"> </w:t>
      </w:r>
      <w:r>
        <w:rPr>
          <w:sz w:val="16"/>
        </w:rPr>
        <w:t>La</w:t>
      </w:r>
      <w:r>
        <w:rPr>
          <w:spacing w:val="-13"/>
          <w:sz w:val="16"/>
        </w:rPr>
        <w:t xml:space="preserve"> </w:t>
      </w:r>
      <w:r>
        <w:rPr>
          <w:sz w:val="16"/>
        </w:rPr>
        <w:t>Corte</w:t>
      </w:r>
      <w:r>
        <w:rPr>
          <w:spacing w:val="-12"/>
          <w:sz w:val="16"/>
        </w:rPr>
        <w:t xml:space="preserve"> </w:t>
      </w:r>
      <w:r>
        <w:rPr>
          <w:sz w:val="16"/>
        </w:rPr>
        <w:t>encontró</w:t>
      </w:r>
      <w:r>
        <w:rPr>
          <w:spacing w:val="-11"/>
          <w:sz w:val="16"/>
        </w:rPr>
        <w:t xml:space="preserve"> </w:t>
      </w:r>
      <w:r>
        <w:rPr>
          <w:sz w:val="16"/>
        </w:rPr>
        <w:t>y</w:t>
      </w:r>
      <w:r>
        <w:rPr>
          <w:spacing w:val="-11"/>
          <w:sz w:val="16"/>
        </w:rPr>
        <w:t xml:space="preserve"> </w:t>
      </w:r>
      <w:r>
        <w:rPr>
          <w:sz w:val="16"/>
        </w:rPr>
        <w:t>corrigió</w:t>
      </w:r>
      <w:r>
        <w:rPr>
          <w:spacing w:val="-10"/>
          <w:sz w:val="16"/>
        </w:rPr>
        <w:t xml:space="preserve"> </w:t>
      </w:r>
      <w:r>
        <w:rPr>
          <w:sz w:val="16"/>
        </w:rPr>
        <w:t>las</w:t>
      </w:r>
      <w:r>
        <w:rPr>
          <w:spacing w:val="-12"/>
          <w:sz w:val="16"/>
        </w:rPr>
        <w:t xml:space="preserve"> </w:t>
      </w:r>
      <w:r>
        <w:rPr>
          <w:sz w:val="16"/>
        </w:rPr>
        <w:t>siguientes inconsistencias:</w:t>
      </w:r>
    </w:p>
    <w:p w14:paraId="1DEC95EF" w14:textId="77777777" w:rsidR="00467FCA" w:rsidRPr="00624696" w:rsidRDefault="001B68EB">
      <w:pPr>
        <w:pStyle w:val="Prrafodelista"/>
        <w:numPr>
          <w:ilvl w:val="0"/>
          <w:numId w:val="47"/>
        </w:numPr>
        <w:tabs>
          <w:tab w:val="left" w:pos="1145"/>
        </w:tabs>
        <w:ind w:right="112" w:hanging="1"/>
        <w:jc w:val="both"/>
        <w:rPr>
          <w:sz w:val="16"/>
          <w:lang w:val="es-AR"/>
        </w:rPr>
      </w:pPr>
      <w:r w:rsidRPr="00624696">
        <w:rPr>
          <w:sz w:val="16"/>
          <w:lang w:val="es-AR"/>
        </w:rPr>
        <w:t>La Comisión no presentó un listado total de 70, sino de 68 presuntas víctimas. Esta inconsistencia es producto</w:t>
      </w:r>
      <w:r w:rsidRPr="00624696">
        <w:rPr>
          <w:spacing w:val="-4"/>
          <w:sz w:val="16"/>
          <w:lang w:val="es-AR"/>
        </w:rPr>
        <w:t xml:space="preserve"> </w:t>
      </w:r>
      <w:r w:rsidRPr="00624696">
        <w:rPr>
          <w:sz w:val="16"/>
          <w:lang w:val="es-AR"/>
        </w:rPr>
        <w:t>de</w:t>
      </w:r>
      <w:r w:rsidRPr="00624696">
        <w:rPr>
          <w:spacing w:val="-2"/>
          <w:sz w:val="16"/>
          <w:lang w:val="es-AR"/>
        </w:rPr>
        <w:t xml:space="preserve"> </w:t>
      </w:r>
      <w:r w:rsidRPr="00624696">
        <w:rPr>
          <w:sz w:val="16"/>
          <w:lang w:val="es-AR"/>
        </w:rPr>
        <w:t>un</w:t>
      </w:r>
      <w:r w:rsidRPr="00624696">
        <w:rPr>
          <w:spacing w:val="-3"/>
          <w:sz w:val="16"/>
          <w:lang w:val="es-AR"/>
        </w:rPr>
        <w:t xml:space="preserve"> </w:t>
      </w:r>
      <w:r w:rsidRPr="00624696">
        <w:rPr>
          <w:sz w:val="16"/>
          <w:lang w:val="es-AR"/>
        </w:rPr>
        <w:t>error</w:t>
      </w:r>
      <w:r w:rsidRPr="00624696">
        <w:rPr>
          <w:spacing w:val="-2"/>
          <w:sz w:val="16"/>
          <w:lang w:val="es-AR"/>
        </w:rPr>
        <w:t xml:space="preserve"> </w:t>
      </w:r>
      <w:r w:rsidRPr="00624696">
        <w:rPr>
          <w:sz w:val="16"/>
          <w:lang w:val="es-AR"/>
        </w:rPr>
        <w:t>en</w:t>
      </w:r>
      <w:r w:rsidRPr="00624696">
        <w:rPr>
          <w:spacing w:val="-4"/>
          <w:sz w:val="16"/>
          <w:lang w:val="es-AR"/>
        </w:rPr>
        <w:t xml:space="preserve"> </w:t>
      </w:r>
      <w:r w:rsidRPr="00624696">
        <w:rPr>
          <w:sz w:val="16"/>
          <w:lang w:val="es-AR"/>
        </w:rPr>
        <w:t>la</w:t>
      </w:r>
      <w:r w:rsidRPr="00624696">
        <w:rPr>
          <w:spacing w:val="-2"/>
          <w:sz w:val="16"/>
          <w:lang w:val="es-AR"/>
        </w:rPr>
        <w:t xml:space="preserve"> </w:t>
      </w:r>
      <w:r w:rsidRPr="00624696">
        <w:rPr>
          <w:sz w:val="16"/>
          <w:lang w:val="es-AR"/>
        </w:rPr>
        <w:t>numeración</w:t>
      </w:r>
      <w:r w:rsidRPr="00624696">
        <w:rPr>
          <w:spacing w:val="-6"/>
          <w:sz w:val="16"/>
          <w:lang w:val="es-AR"/>
        </w:rPr>
        <w:t xml:space="preserve"> </w:t>
      </w:r>
      <w:r w:rsidRPr="00624696">
        <w:rPr>
          <w:sz w:val="16"/>
          <w:lang w:val="es-AR"/>
        </w:rPr>
        <w:t>del</w:t>
      </w:r>
      <w:r w:rsidRPr="00624696">
        <w:rPr>
          <w:spacing w:val="-2"/>
          <w:sz w:val="16"/>
          <w:lang w:val="es-AR"/>
        </w:rPr>
        <w:t xml:space="preserve"> </w:t>
      </w:r>
      <w:r w:rsidRPr="00624696">
        <w:rPr>
          <w:sz w:val="16"/>
          <w:lang w:val="es-AR"/>
        </w:rPr>
        <w:t>listado</w:t>
      </w:r>
      <w:r w:rsidRPr="00624696">
        <w:rPr>
          <w:spacing w:val="-2"/>
          <w:sz w:val="16"/>
          <w:lang w:val="es-AR"/>
        </w:rPr>
        <w:t xml:space="preserve"> </w:t>
      </w:r>
      <w:r w:rsidRPr="00624696">
        <w:rPr>
          <w:sz w:val="16"/>
          <w:lang w:val="es-AR"/>
        </w:rPr>
        <w:t>adjuntado</w:t>
      </w:r>
      <w:r w:rsidRPr="00624696">
        <w:rPr>
          <w:spacing w:val="-2"/>
          <w:sz w:val="16"/>
          <w:lang w:val="es-AR"/>
        </w:rPr>
        <w:t xml:space="preserve"> </w:t>
      </w:r>
      <w:r w:rsidRPr="00624696">
        <w:rPr>
          <w:sz w:val="16"/>
          <w:lang w:val="es-AR"/>
        </w:rPr>
        <w:t>por</w:t>
      </w:r>
      <w:r w:rsidRPr="00624696">
        <w:rPr>
          <w:spacing w:val="-1"/>
          <w:sz w:val="16"/>
          <w:lang w:val="es-AR"/>
        </w:rPr>
        <w:t xml:space="preserve"> </w:t>
      </w:r>
      <w:r w:rsidRPr="00624696">
        <w:rPr>
          <w:sz w:val="16"/>
          <w:lang w:val="es-AR"/>
        </w:rPr>
        <w:t>la</w:t>
      </w:r>
      <w:r w:rsidRPr="00624696">
        <w:rPr>
          <w:spacing w:val="-6"/>
          <w:sz w:val="16"/>
          <w:lang w:val="es-AR"/>
        </w:rPr>
        <w:t xml:space="preserve"> </w:t>
      </w:r>
      <w:r w:rsidRPr="00624696">
        <w:rPr>
          <w:sz w:val="16"/>
          <w:lang w:val="es-AR"/>
        </w:rPr>
        <w:t>Comisión,</w:t>
      </w:r>
      <w:r w:rsidRPr="00624696">
        <w:rPr>
          <w:spacing w:val="-2"/>
          <w:sz w:val="16"/>
          <w:lang w:val="es-AR"/>
        </w:rPr>
        <w:t xml:space="preserve"> </w:t>
      </w:r>
      <w:r w:rsidRPr="00624696">
        <w:rPr>
          <w:sz w:val="16"/>
          <w:lang w:val="es-AR"/>
        </w:rPr>
        <w:t>el</w:t>
      </w:r>
      <w:r w:rsidRPr="00624696">
        <w:rPr>
          <w:spacing w:val="-6"/>
          <w:sz w:val="16"/>
          <w:lang w:val="es-AR"/>
        </w:rPr>
        <w:t xml:space="preserve"> </w:t>
      </w:r>
      <w:r w:rsidRPr="00624696">
        <w:rPr>
          <w:sz w:val="16"/>
          <w:lang w:val="es-AR"/>
        </w:rPr>
        <w:t>cual,</w:t>
      </w:r>
      <w:r w:rsidRPr="00624696">
        <w:rPr>
          <w:spacing w:val="-3"/>
          <w:sz w:val="16"/>
          <w:lang w:val="es-AR"/>
        </w:rPr>
        <w:t xml:space="preserve"> </w:t>
      </w:r>
      <w:r w:rsidRPr="00624696">
        <w:rPr>
          <w:sz w:val="16"/>
          <w:lang w:val="es-AR"/>
        </w:rPr>
        <w:t>como</w:t>
      </w:r>
      <w:r w:rsidRPr="00624696">
        <w:rPr>
          <w:spacing w:val="-1"/>
          <w:sz w:val="16"/>
          <w:lang w:val="es-AR"/>
        </w:rPr>
        <w:t xml:space="preserve"> </w:t>
      </w:r>
      <w:r w:rsidRPr="00624696">
        <w:rPr>
          <w:sz w:val="16"/>
          <w:lang w:val="es-AR"/>
        </w:rPr>
        <w:t>se</w:t>
      </w:r>
      <w:r w:rsidRPr="00624696">
        <w:rPr>
          <w:spacing w:val="-2"/>
          <w:sz w:val="16"/>
          <w:lang w:val="es-AR"/>
        </w:rPr>
        <w:t xml:space="preserve"> </w:t>
      </w:r>
      <w:r w:rsidRPr="00624696">
        <w:rPr>
          <w:sz w:val="16"/>
          <w:lang w:val="es-AR"/>
        </w:rPr>
        <w:t>aprecia</w:t>
      </w:r>
      <w:r w:rsidRPr="00624696">
        <w:rPr>
          <w:spacing w:val="-2"/>
          <w:sz w:val="16"/>
          <w:lang w:val="es-AR"/>
        </w:rPr>
        <w:t xml:space="preserve"> </w:t>
      </w:r>
      <w:r w:rsidRPr="00624696">
        <w:rPr>
          <w:sz w:val="16"/>
          <w:lang w:val="es-AR"/>
        </w:rPr>
        <w:t>en</w:t>
      </w:r>
      <w:r w:rsidRPr="00624696">
        <w:rPr>
          <w:spacing w:val="-4"/>
          <w:sz w:val="16"/>
          <w:lang w:val="es-AR"/>
        </w:rPr>
        <w:t xml:space="preserve"> </w:t>
      </w:r>
      <w:r w:rsidRPr="00624696">
        <w:rPr>
          <w:sz w:val="16"/>
          <w:lang w:val="es-AR"/>
        </w:rPr>
        <w:t>el folio 47 del expediente de fondo, omite los números 45 y 46, por lo que pasa del número 44 (Francineide Jose Bispo Santos) al número 47 (Alexandra Gonçalves da</w:t>
      </w:r>
      <w:r w:rsidRPr="00624696">
        <w:rPr>
          <w:spacing w:val="-11"/>
          <w:sz w:val="16"/>
          <w:lang w:val="es-AR"/>
        </w:rPr>
        <w:t xml:space="preserve"> </w:t>
      </w:r>
      <w:r w:rsidRPr="00624696">
        <w:rPr>
          <w:sz w:val="16"/>
          <w:lang w:val="es-AR"/>
        </w:rPr>
        <w:t>Silva);</w:t>
      </w:r>
    </w:p>
    <w:p w14:paraId="1840B7E3" w14:textId="77777777" w:rsidR="00467FCA" w:rsidRPr="00624696" w:rsidRDefault="001B68EB">
      <w:pPr>
        <w:pStyle w:val="Prrafodelista"/>
        <w:numPr>
          <w:ilvl w:val="0"/>
          <w:numId w:val="47"/>
        </w:numPr>
        <w:tabs>
          <w:tab w:val="left" w:pos="1156"/>
        </w:tabs>
        <w:ind w:left="829" w:right="114" w:hanging="2"/>
        <w:jc w:val="both"/>
        <w:rPr>
          <w:sz w:val="16"/>
          <w:lang w:val="es-AR"/>
        </w:rPr>
      </w:pPr>
      <w:r w:rsidRPr="00624696">
        <w:rPr>
          <w:sz w:val="16"/>
          <w:lang w:val="es-AR"/>
        </w:rPr>
        <w:t>Se encontraron dos nombres repetidos en el list</w:t>
      </w:r>
      <w:r w:rsidRPr="00624696">
        <w:rPr>
          <w:sz w:val="16"/>
          <w:lang w:val="es-AR"/>
        </w:rPr>
        <w:t>ado: Karla Reis dos Santos/Carla Reis dos Santos y Arlete Silva Santos/Alrlete Silva Santos;</w:t>
      </w:r>
      <w:r w:rsidRPr="00624696">
        <w:rPr>
          <w:spacing w:val="-8"/>
          <w:sz w:val="16"/>
          <w:lang w:val="es-AR"/>
        </w:rPr>
        <w:t xml:space="preserve"> </w:t>
      </w:r>
      <w:r w:rsidRPr="00624696">
        <w:rPr>
          <w:sz w:val="16"/>
          <w:lang w:val="es-AR"/>
        </w:rPr>
        <w:t>y</w:t>
      </w:r>
    </w:p>
    <w:p w14:paraId="05DB2C93" w14:textId="77777777" w:rsidR="00467FCA" w:rsidRPr="00624696" w:rsidRDefault="001B68EB">
      <w:pPr>
        <w:pStyle w:val="Prrafodelista"/>
        <w:numPr>
          <w:ilvl w:val="0"/>
          <w:numId w:val="47"/>
        </w:numPr>
        <w:tabs>
          <w:tab w:val="left" w:pos="1128"/>
        </w:tabs>
        <w:ind w:left="829" w:right="114" w:firstLine="0"/>
        <w:jc w:val="both"/>
        <w:rPr>
          <w:sz w:val="16"/>
          <w:lang w:val="es-AR"/>
        </w:rPr>
      </w:pPr>
      <w:r w:rsidRPr="00624696">
        <w:rPr>
          <w:sz w:val="16"/>
          <w:lang w:val="es-AR"/>
        </w:rPr>
        <w:t>En</w:t>
      </w:r>
      <w:r w:rsidRPr="00624696">
        <w:rPr>
          <w:spacing w:val="-8"/>
          <w:sz w:val="16"/>
          <w:lang w:val="es-AR"/>
        </w:rPr>
        <w:t xml:space="preserve"> </w:t>
      </w:r>
      <w:r w:rsidRPr="00624696">
        <w:rPr>
          <w:sz w:val="16"/>
          <w:lang w:val="es-AR"/>
        </w:rPr>
        <w:t>uno</w:t>
      </w:r>
      <w:r w:rsidRPr="00624696">
        <w:rPr>
          <w:spacing w:val="-9"/>
          <w:sz w:val="16"/>
          <w:lang w:val="es-AR"/>
        </w:rPr>
        <w:t xml:space="preserve"> </w:t>
      </w:r>
      <w:r w:rsidRPr="00624696">
        <w:rPr>
          <w:sz w:val="16"/>
          <w:lang w:val="es-AR"/>
        </w:rPr>
        <w:t>de</w:t>
      </w:r>
      <w:r w:rsidRPr="00624696">
        <w:rPr>
          <w:spacing w:val="-7"/>
          <w:sz w:val="16"/>
          <w:lang w:val="es-AR"/>
        </w:rPr>
        <w:t xml:space="preserve"> </w:t>
      </w:r>
      <w:r w:rsidRPr="00624696">
        <w:rPr>
          <w:sz w:val="16"/>
          <w:lang w:val="es-AR"/>
        </w:rPr>
        <w:t>los</w:t>
      </w:r>
      <w:r w:rsidRPr="00624696">
        <w:rPr>
          <w:spacing w:val="-10"/>
          <w:sz w:val="16"/>
          <w:lang w:val="es-AR"/>
        </w:rPr>
        <w:t xml:space="preserve"> </w:t>
      </w:r>
      <w:r w:rsidRPr="00624696">
        <w:rPr>
          <w:sz w:val="16"/>
          <w:lang w:val="es-AR"/>
        </w:rPr>
        <w:t>cuadros</w:t>
      </w:r>
      <w:r w:rsidRPr="00624696">
        <w:rPr>
          <w:spacing w:val="-9"/>
          <w:sz w:val="16"/>
          <w:lang w:val="es-AR"/>
        </w:rPr>
        <w:t xml:space="preserve"> </w:t>
      </w:r>
      <w:r w:rsidRPr="00624696">
        <w:rPr>
          <w:sz w:val="16"/>
          <w:lang w:val="es-AR"/>
        </w:rPr>
        <w:t>del</w:t>
      </w:r>
      <w:r w:rsidRPr="00624696">
        <w:rPr>
          <w:spacing w:val="-8"/>
          <w:sz w:val="16"/>
          <w:lang w:val="es-AR"/>
        </w:rPr>
        <w:t xml:space="preserve"> </w:t>
      </w:r>
      <w:r w:rsidRPr="00624696">
        <w:rPr>
          <w:sz w:val="16"/>
          <w:lang w:val="es-AR"/>
        </w:rPr>
        <w:t>listado,</w:t>
      </w:r>
      <w:r w:rsidRPr="00624696">
        <w:rPr>
          <w:spacing w:val="-8"/>
          <w:sz w:val="16"/>
          <w:lang w:val="es-AR"/>
        </w:rPr>
        <w:t xml:space="preserve"> </w:t>
      </w:r>
      <w:r w:rsidRPr="00624696">
        <w:rPr>
          <w:sz w:val="16"/>
          <w:lang w:val="es-AR"/>
        </w:rPr>
        <w:t>la</w:t>
      </w:r>
      <w:r w:rsidRPr="00624696">
        <w:rPr>
          <w:spacing w:val="-10"/>
          <w:sz w:val="16"/>
          <w:lang w:val="es-AR"/>
        </w:rPr>
        <w:t xml:space="preserve"> </w:t>
      </w:r>
      <w:r w:rsidRPr="00624696">
        <w:rPr>
          <w:sz w:val="16"/>
          <w:lang w:val="es-AR"/>
        </w:rPr>
        <w:t>Comisión</w:t>
      </w:r>
      <w:r w:rsidRPr="00624696">
        <w:rPr>
          <w:spacing w:val="-11"/>
          <w:sz w:val="16"/>
          <w:lang w:val="es-AR"/>
        </w:rPr>
        <w:t xml:space="preserve"> </w:t>
      </w:r>
      <w:r w:rsidRPr="00624696">
        <w:rPr>
          <w:sz w:val="16"/>
          <w:lang w:val="es-AR"/>
        </w:rPr>
        <w:t>sólo</w:t>
      </w:r>
      <w:r w:rsidRPr="00624696">
        <w:rPr>
          <w:spacing w:val="-8"/>
          <w:sz w:val="16"/>
          <w:lang w:val="es-AR"/>
        </w:rPr>
        <w:t xml:space="preserve"> </w:t>
      </w:r>
      <w:r w:rsidRPr="00624696">
        <w:rPr>
          <w:sz w:val="16"/>
          <w:lang w:val="es-AR"/>
        </w:rPr>
        <w:t>indica</w:t>
      </w:r>
      <w:r w:rsidRPr="00624696">
        <w:rPr>
          <w:spacing w:val="-13"/>
          <w:sz w:val="16"/>
          <w:lang w:val="es-AR"/>
        </w:rPr>
        <w:t xml:space="preserve"> </w:t>
      </w:r>
      <w:r w:rsidRPr="00624696">
        <w:rPr>
          <w:sz w:val="16"/>
          <w:lang w:val="es-AR"/>
        </w:rPr>
        <w:t>el</w:t>
      </w:r>
      <w:r w:rsidRPr="00624696">
        <w:rPr>
          <w:spacing w:val="-8"/>
          <w:sz w:val="16"/>
          <w:lang w:val="es-AR"/>
        </w:rPr>
        <w:t xml:space="preserve"> </w:t>
      </w:r>
      <w:r w:rsidRPr="00624696">
        <w:rPr>
          <w:sz w:val="16"/>
          <w:lang w:val="es-AR"/>
        </w:rPr>
        <w:t>nombre</w:t>
      </w:r>
      <w:r w:rsidRPr="00624696">
        <w:rPr>
          <w:spacing w:val="-12"/>
          <w:sz w:val="16"/>
          <w:lang w:val="es-AR"/>
        </w:rPr>
        <w:t xml:space="preserve"> </w:t>
      </w:r>
      <w:r w:rsidRPr="00624696">
        <w:rPr>
          <w:sz w:val="16"/>
          <w:lang w:val="es-AR"/>
        </w:rPr>
        <w:t>“Maisa”.</w:t>
      </w:r>
      <w:r w:rsidRPr="00624696">
        <w:rPr>
          <w:spacing w:val="-8"/>
          <w:sz w:val="16"/>
          <w:lang w:val="es-AR"/>
        </w:rPr>
        <w:t xml:space="preserve"> </w:t>
      </w:r>
      <w:r w:rsidRPr="00624696">
        <w:rPr>
          <w:sz w:val="16"/>
          <w:lang w:val="es-AR"/>
        </w:rPr>
        <w:t>Este</w:t>
      </w:r>
      <w:r w:rsidRPr="00624696">
        <w:rPr>
          <w:spacing w:val="-10"/>
          <w:sz w:val="16"/>
          <w:lang w:val="es-AR"/>
        </w:rPr>
        <w:t xml:space="preserve"> </w:t>
      </w:r>
      <w:r w:rsidRPr="00624696">
        <w:rPr>
          <w:sz w:val="16"/>
          <w:lang w:val="es-AR"/>
        </w:rPr>
        <w:t>nombre</w:t>
      </w:r>
      <w:r w:rsidRPr="00624696">
        <w:rPr>
          <w:spacing w:val="-10"/>
          <w:sz w:val="16"/>
          <w:lang w:val="es-AR"/>
        </w:rPr>
        <w:t xml:space="preserve"> </w:t>
      </w:r>
      <w:r w:rsidRPr="00624696">
        <w:rPr>
          <w:sz w:val="16"/>
          <w:lang w:val="es-AR"/>
        </w:rPr>
        <w:t>no</w:t>
      </w:r>
      <w:r w:rsidRPr="00624696">
        <w:rPr>
          <w:spacing w:val="-9"/>
          <w:sz w:val="16"/>
          <w:lang w:val="es-AR"/>
        </w:rPr>
        <w:t xml:space="preserve"> </w:t>
      </w:r>
      <w:r w:rsidRPr="00624696">
        <w:rPr>
          <w:sz w:val="16"/>
          <w:lang w:val="es-AR"/>
        </w:rPr>
        <w:t>fue</w:t>
      </w:r>
      <w:r w:rsidRPr="00624696">
        <w:rPr>
          <w:spacing w:val="-9"/>
          <w:sz w:val="16"/>
          <w:lang w:val="es-AR"/>
        </w:rPr>
        <w:t xml:space="preserve"> </w:t>
      </w:r>
      <w:r w:rsidRPr="00624696">
        <w:rPr>
          <w:sz w:val="16"/>
          <w:lang w:val="es-AR"/>
        </w:rPr>
        <w:t>incluido en el listado presentado por los representantes en el escrito de solicitudes y argumentos o en los alegatos finales, por lo que se considera un</w:t>
      </w:r>
      <w:r w:rsidRPr="00624696">
        <w:rPr>
          <w:spacing w:val="-5"/>
          <w:sz w:val="16"/>
          <w:lang w:val="es-AR"/>
        </w:rPr>
        <w:t xml:space="preserve"> </w:t>
      </w:r>
      <w:r w:rsidRPr="00624696">
        <w:rPr>
          <w:sz w:val="16"/>
          <w:lang w:val="es-AR"/>
        </w:rPr>
        <w:t>error.</w:t>
      </w:r>
    </w:p>
    <w:p w14:paraId="4449C437" w14:textId="77777777" w:rsidR="00467FCA" w:rsidRPr="00624696" w:rsidRDefault="001B68EB">
      <w:pPr>
        <w:ind w:left="120" w:right="112"/>
        <w:jc w:val="both"/>
        <w:rPr>
          <w:sz w:val="16"/>
          <w:lang w:val="es-AR"/>
        </w:rPr>
      </w:pPr>
      <w:r w:rsidRPr="00624696">
        <w:rPr>
          <w:sz w:val="16"/>
          <w:lang w:val="es-AR"/>
        </w:rPr>
        <w:t>Luego de esta revisión, se tiene un total de 59 personas presumidamente fallecidas y seis sobrev</w:t>
      </w:r>
      <w:r w:rsidRPr="00624696">
        <w:rPr>
          <w:sz w:val="16"/>
          <w:lang w:val="es-AR"/>
        </w:rPr>
        <w:t>ivientes. Sin embargo, el listado de la Comisión no incluye a Izabel Alexandrina da Silva como presunta víctima mortal de la explosión, quien sí es mencionada en el listado de los representantes. Esta presunta víctima se encuentra probada en varios documen</w:t>
      </w:r>
      <w:r w:rsidRPr="00624696">
        <w:rPr>
          <w:sz w:val="16"/>
          <w:lang w:val="es-AR"/>
        </w:rPr>
        <w:t>tos que constan en el expediente (expediente de prueba, folios 170, 849 y 2012) y el Estado no objetó su inclusión en el listado remitido por los representantes. Con esta inclusión, se llega a la conclusión de que hay un total de 60 presuntas víctimas fall</w:t>
      </w:r>
      <w:r w:rsidRPr="00624696">
        <w:rPr>
          <w:sz w:val="16"/>
          <w:lang w:val="es-AR"/>
        </w:rPr>
        <w:t>ecidas y 6 sobrevivientes.</w:t>
      </w:r>
    </w:p>
    <w:p w14:paraId="5CF95064"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638DE112" w14:textId="77777777" w:rsidR="00467FCA" w:rsidRPr="00624696" w:rsidRDefault="001B68EB">
      <w:pPr>
        <w:pStyle w:val="Textoindependiente"/>
        <w:spacing w:before="80"/>
        <w:ind w:left="119" w:right="116"/>
        <w:jc w:val="both"/>
        <w:rPr>
          <w:lang w:val="es-AR"/>
        </w:rPr>
      </w:pPr>
      <w:r w:rsidRPr="00624696">
        <w:rPr>
          <w:lang w:val="es-AR"/>
        </w:rPr>
        <w:t>perdieron la vida, se encontraban 20 niños y niñas entre 11 y 17 años de edad y, entre las seis</w:t>
      </w:r>
      <w:r w:rsidRPr="00624696">
        <w:rPr>
          <w:spacing w:val="-9"/>
          <w:lang w:val="es-AR"/>
        </w:rPr>
        <w:t xml:space="preserve"> </w:t>
      </w:r>
      <w:r w:rsidRPr="00624696">
        <w:rPr>
          <w:lang w:val="es-AR"/>
        </w:rPr>
        <w:t>presuntas</w:t>
      </w:r>
      <w:r w:rsidRPr="00624696">
        <w:rPr>
          <w:spacing w:val="-8"/>
          <w:lang w:val="es-AR"/>
        </w:rPr>
        <w:t xml:space="preserve"> </w:t>
      </w:r>
      <w:r w:rsidRPr="00624696">
        <w:rPr>
          <w:lang w:val="es-AR"/>
        </w:rPr>
        <w:t>sobrevivientes,</w:t>
      </w:r>
      <w:r w:rsidRPr="00624696">
        <w:rPr>
          <w:spacing w:val="-10"/>
          <w:lang w:val="es-AR"/>
        </w:rPr>
        <w:t xml:space="preserve"> </w:t>
      </w:r>
      <w:r w:rsidRPr="00624696">
        <w:rPr>
          <w:lang w:val="es-AR"/>
        </w:rPr>
        <w:t>se</w:t>
      </w:r>
      <w:r w:rsidRPr="00624696">
        <w:rPr>
          <w:spacing w:val="-8"/>
          <w:lang w:val="es-AR"/>
        </w:rPr>
        <w:t xml:space="preserve"> </w:t>
      </w:r>
      <w:r w:rsidRPr="00624696">
        <w:rPr>
          <w:lang w:val="es-AR"/>
        </w:rPr>
        <w:t>encontraban</w:t>
      </w:r>
      <w:r w:rsidRPr="00624696">
        <w:rPr>
          <w:spacing w:val="-8"/>
          <w:lang w:val="es-AR"/>
        </w:rPr>
        <w:t xml:space="preserve"> </w:t>
      </w:r>
      <w:r w:rsidRPr="00624696">
        <w:rPr>
          <w:lang w:val="es-AR"/>
        </w:rPr>
        <w:t>una</w:t>
      </w:r>
      <w:r w:rsidRPr="00624696">
        <w:rPr>
          <w:spacing w:val="-9"/>
          <w:lang w:val="es-AR"/>
        </w:rPr>
        <w:t xml:space="preserve"> </w:t>
      </w:r>
      <w:r w:rsidRPr="00624696">
        <w:rPr>
          <w:lang w:val="es-AR"/>
        </w:rPr>
        <w:t>niña</w:t>
      </w:r>
      <w:r w:rsidRPr="00624696">
        <w:rPr>
          <w:spacing w:val="-9"/>
          <w:lang w:val="es-AR"/>
        </w:rPr>
        <w:t xml:space="preserve"> </w:t>
      </w:r>
      <w:r w:rsidRPr="00624696">
        <w:rPr>
          <w:lang w:val="es-AR"/>
        </w:rPr>
        <w:t>y</w:t>
      </w:r>
      <w:r w:rsidRPr="00624696">
        <w:rPr>
          <w:spacing w:val="-10"/>
          <w:lang w:val="es-AR"/>
        </w:rPr>
        <w:t xml:space="preserve"> </w:t>
      </w:r>
      <w:r w:rsidRPr="00624696">
        <w:rPr>
          <w:lang w:val="es-AR"/>
        </w:rPr>
        <w:t>dos</w:t>
      </w:r>
      <w:r w:rsidRPr="00624696">
        <w:rPr>
          <w:spacing w:val="-10"/>
          <w:lang w:val="es-AR"/>
        </w:rPr>
        <w:t xml:space="preserve"> </w:t>
      </w:r>
      <w:r w:rsidRPr="00624696">
        <w:rPr>
          <w:lang w:val="es-AR"/>
        </w:rPr>
        <w:t>niños</w:t>
      </w:r>
      <w:hyperlink w:anchor="_bookmark71" w:history="1">
        <w:r w:rsidRPr="00624696">
          <w:rPr>
            <w:position w:val="7"/>
            <w:sz w:val="13"/>
            <w:lang w:val="es-AR"/>
          </w:rPr>
          <w:t>55</w:t>
        </w:r>
      </w:hyperlink>
      <w:r w:rsidRPr="00624696">
        <w:rPr>
          <w:lang w:val="es-AR"/>
        </w:rPr>
        <w:t>.</w:t>
      </w:r>
      <w:r w:rsidRPr="00624696">
        <w:rPr>
          <w:spacing w:val="-10"/>
          <w:lang w:val="es-AR"/>
        </w:rPr>
        <w:t xml:space="preserve"> </w:t>
      </w:r>
      <w:r w:rsidRPr="00624696">
        <w:rPr>
          <w:lang w:val="es-AR"/>
        </w:rPr>
        <w:t>Dentro</w:t>
      </w:r>
      <w:r w:rsidRPr="00624696">
        <w:rPr>
          <w:spacing w:val="-10"/>
          <w:lang w:val="es-AR"/>
        </w:rPr>
        <w:t xml:space="preserve"> </w:t>
      </w:r>
      <w:r w:rsidRPr="00624696">
        <w:rPr>
          <w:lang w:val="es-AR"/>
        </w:rPr>
        <w:t>de</w:t>
      </w:r>
      <w:r w:rsidRPr="00624696">
        <w:rPr>
          <w:spacing w:val="-11"/>
          <w:lang w:val="es-AR"/>
        </w:rPr>
        <w:t xml:space="preserve"> </w:t>
      </w:r>
      <w:r w:rsidRPr="00624696">
        <w:rPr>
          <w:lang w:val="es-AR"/>
        </w:rPr>
        <w:t>las</w:t>
      </w:r>
      <w:r w:rsidRPr="00624696">
        <w:rPr>
          <w:spacing w:val="-8"/>
          <w:lang w:val="es-AR"/>
        </w:rPr>
        <w:t xml:space="preserve"> </w:t>
      </w:r>
      <w:r w:rsidRPr="00624696">
        <w:rPr>
          <w:lang w:val="es-AR"/>
        </w:rPr>
        <w:t xml:space="preserve">personas </w:t>
      </w:r>
      <w:r w:rsidRPr="00624696">
        <w:rPr>
          <w:lang w:val="es-AR"/>
        </w:rPr>
        <w:t>identificadas por la Comisión como sobrevivientes, se encontraba, además, una no nacida, Vitória</w:t>
      </w:r>
      <w:r w:rsidRPr="00624696">
        <w:rPr>
          <w:spacing w:val="-10"/>
          <w:lang w:val="es-AR"/>
        </w:rPr>
        <w:t xml:space="preserve"> </w:t>
      </w:r>
      <w:r w:rsidRPr="00624696">
        <w:rPr>
          <w:lang w:val="es-AR"/>
        </w:rPr>
        <w:t>França</w:t>
      </w:r>
      <w:r w:rsidRPr="00624696">
        <w:rPr>
          <w:spacing w:val="-10"/>
          <w:lang w:val="es-AR"/>
        </w:rPr>
        <w:t xml:space="preserve"> </w:t>
      </w:r>
      <w:r w:rsidRPr="00624696">
        <w:rPr>
          <w:lang w:val="es-AR"/>
        </w:rPr>
        <w:t>da</w:t>
      </w:r>
      <w:r w:rsidRPr="00624696">
        <w:rPr>
          <w:spacing w:val="-10"/>
          <w:lang w:val="es-AR"/>
        </w:rPr>
        <w:t xml:space="preserve"> </w:t>
      </w:r>
      <w:r w:rsidRPr="00624696">
        <w:rPr>
          <w:lang w:val="es-AR"/>
        </w:rPr>
        <w:t>Silva,</w:t>
      </w:r>
      <w:r w:rsidRPr="00624696">
        <w:rPr>
          <w:spacing w:val="-8"/>
          <w:lang w:val="es-AR"/>
        </w:rPr>
        <w:t xml:space="preserve"> </w:t>
      </w:r>
      <w:r w:rsidRPr="00624696">
        <w:rPr>
          <w:lang w:val="es-AR"/>
        </w:rPr>
        <w:t>quién</w:t>
      </w:r>
      <w:r w:rsidRPr="00624696">
        <w:rPr>
          <w:spacing w:val="-8"/>
          <w:lang w:val="es-AR"/>
        </w:rPr>
        <w:t xml:space="preserve"> </w:t>
      </w:r>
      <w:r w:rsidRPr="00624696">
        <w:rPr>
          <w:lang w:val="es-AR"/>
        </w:rPr>
        <w:t>habría</w:t>
      </w:r>
      <w:r w:rsidRPr="00624696">
        <w:rPr>
          <w:spacing w:val="-10"/>
          <w:lang w:val="es-AR"/>
        </w:rPr>
        <w:t xml:space="preserve"> </w:t>
      </w:r>
      <w:r w:rsidRPr="00624696">
        <w:rPr>
          <w:lang w:val="es-AR"/>
        </w:rPr>
        <w:t>sobrevivido</w:t>
      </w:r>
      <w:r w:rsidRPr="00624696">
        <w:rPr>
          <w:spacing w:val="-9"/>
          <w:lang w:val="es-AR"/>
        </w:rPr>
        <w:t xml:space="preserve"> </w:t>
      </w:r>
      <w:r w:rsidRPr="00624696">
        <w:rPr>
          <w:lang w:val="es-AR"/>
        </w:rPr>
        <w:t>a</w:t>
      </w:r>
      <w:r w:rsidRPr="00624696">
        <w:rPr>
          <w:spacing w:val="-10"/>
          <w:lang w:val="es-AR"/>
        </w:rPr>
        <w:t xml:space="preserve"> </w:t>
      </w:r>
      <w:r w:rsidRPr="00624696">
        <w:rPr>
          <w:lang w:val="es-AR"/>
        </w:rPr>
        <w:t>pesar</w:t>
      </w:r>
      <w:r w:rsidRPr="00624696">
        <w:rPr>
          <w:spacing w:val="-10"/>
          <w:lang w:val="es-AR"/>
        </w:rPr>
        <w:t xml:space="preserve"> </w:t>
      </w:r>
      <w:r w:rsidRPr="00624696">
        <w:rPr>
          <w:lang w:val="es-AR"/>
        </w:rPr>
        <w:t>de</w:t>
      </w:r>
      <w:r w:rsidRPr="00624696">
        <w:rPr>
          <w:spacing w:val="-11"/>
          <w:lang w:val="es-AR"/>
        </w:rPr>
        <w:t xml:space="preserve"> </w:t>
      </w:r>
      <w:r w:rsidRPr="00624696">
        <w:rPr>
          <w:lang w:val="es-AR"/>
        </w:rPr>
        <w:t>la</w:t>
      </w:r>
      <w:r w:rsidRPr="00624696">
        <w:rPr>
          <w:spacing w:val="-10"/>
          <w:lang w:val="es-AR"/>
        </w:rPr>
        <w:t xml:space="preserve"> </w:t>
      </w:r>
      <w:r w:rsidRPr="00624696">
        <w:rPr>
          <w:lang w:val="es-AR"/>
        </w:rPr>
        <w:t>muerte</w:t>
      </w:r>
      <w:r w:rsidRPr="00624696">
        <w:rPr>
          <w:spacing w:val="-11"/>
          <w:lang w:val="es-AR"/>
        </w:rPr>
        <w:t xml:space="preserve"> </w:t>
      </w:r>
      <w:r w:rsidRPr="00624696">
        <w:rPr>
          <w:lang w:val="es-AR"/>
        </w:rPr>
        <w:t>de</w:t>
      </w:r>
      <w:r w:rsidRPr="00624696">
        <w:rPr>
          <w:spacing w:val="-8"/>
          <w:lang w:val="es-AR"/>
        </w:rPr>
        <w:t xml:space="preserve"> </w:t>
      </w:r>
      <w:r w:rsidRPr="00624696">
        <w:rPr>
          <w:lang w:val="es-AR"/>
        </w:rPr>
        <w:t>su</w:t>
      </w:r>
      <w:r w:rsidRPr="00624696">
        <w:rPr>
          <w:spacing w:val="-9"/>
          <w:lang w:val="es-AR"/>
        </w:rPr>
        <w:t xml:space="preserve"> </w:t>
      </w:r>
      <w:r w:rsidRPr="00624696">
        <w:rPr>
          <w:lang w:val="es-AR"/>
        </w:rPr>
        <w:t>madre</w:t>
      </w:r>
      <w:hyperlink w:anchor="_bookmark72" w:history="1">
        <w:r w:rsidRPr="00624696">
          <w:rPr>
            <w:position w:val="7"/>
            <w:sz w:val="13"/>
            <w:lang w:val="es-AR"/>
          </w:rPr>
          <w:t>56</w:t>
        </w:r>
      </w:hyperlink>
      <w:r w:rsidRPr="00624696">
        <w:rPr>
          <w:lang w:val="es-AR"/>
        </w:rPr>
        <w:t>.</w:t>
      </w:r>
      <w:r w:rsidRPr="00624696">
        <w:rPr>
          <w:spacing w:val="-11"/>
          <w:lang w:val="es-AR"/>
        </w:rPr>
        <w:t xml:space="preserve"> </w:t>
      </w:r>
      <w:r w:rsidRPr="00624696">
        <w:rPr>
          <w:lang w:val="es-AR"/>
        </w:rPr>
        <w:t>Y,</w:t>
      </w:r>
      <w:r w:rsidRPr="00624696">
        <w:rPr>
          <w:spacing w:val="-11"/>
          <w:lang w:val="es-AR"/>
        </w:rPr>
        <w:t xml:space="preserve"> </w:t>
      </w:r>
      <w:r w:rsidRPr="00624696">
        <w:rPr>
          <w:lang w:val="es-AR"/>
        </w:rPr>
        <w:t>entre las personas que presuntamente fallecieron, se encontraban cuatro mujeres embarazadas, dos de ellas menores de edad y las otras dos de 18 y 19</w:t>
      </w:r>
      <w:r w:rsidRPr="00624696">
        <w:rPr>
          <w:spacing w:val="-12"/>
          <w:lang w:val="es-AR"/>
        </w:rPr>
        <w:t xml:space="preserve"> </w:t>
      </w:r>
      <w:r w:rsidRPr="00624696">
        <w:rPr>
          <w:lang w:val="es-AR"/>
        </w:rPr>
        <w:t>años.</w:t>
      </w:r>
    </w:p>
    <w:p w14:paraId="55005A16" w14:textId="77777777" w:rsidR="00467FCA" w:rsidRPr="00624696" w:rsidRDefault="00467FCA">
      <w:pPr>
        <w:pStyle w:val="Textoindependiente"/>
        <w:rPr>
          <w:lang w:val="es-AR"/>
        </w:rPr>
      </w:pPr>
    </w:p>
    <w:p w14:paraId="098CE313" w14:textId="77777777" w:rsidR="00467FCA" w:rsidRPr="00624696" w:rsidRDefault="001B68EB">
      <w:pPr>
        <w:pStyle w:val="Prrafodelista"/>
        <w:numPr>
          <w:ilvl w:val="0"/>
          <w:numId w:val="50"/>
        </w:numPr>
        <w:tabs>
          <w:tab w:val="left" w:pos="687"/>
        </w:tabs>
        <w:ind w:left="119" w:right="116" w:firstLine="0"/>
        <w:jc w:val="both"/>
        <w:rPr>
          <w:sz w:val="20"/>
          <w:lang w:val="es-AR"/>
        </w:rPr>
      </w:pPr>
      <w:r w:rsidRPr="00624696">
        <w:rPr>
          <w:sz w:val="20"/>
          <w:lang w:val="es-AR"/>
        </w:rPr>
        <w:t>El Estado, en su escrito de contestación, objetó la inclusión de “Maria de Jesus Santos Costa” en el</w:t>
      </w:r>
      <w:r w:rsidRPr="00624696">
        <w:rPr>
          <w:sz w:val="20"/>
          <w:lang w:val="es-AR"/>
        </w:rPr>
        <w:t xml:space="preserve"> escrito de solicitudes y argumentos como presunta víctima directa de la explosión, por no haber sido identificada en el listado anexo al Informe de Admisibilidad y Fondo.</w:t>
      </w:r>
      <w:r w:rsidRPr="00624696">
        <w:rPr>
          <w:spacing w:val="-9"/>
          <w:sz w:val="20"/>
          <w:lang w:val="es-AR"/>
        </w:rPr>
        <w:t xml:space="preserve"> </w:t>
      </w:r>
      <w:r w:rsidRPr="00624696">
        <w:rPr>
          <w:sz w:val="20"/>
          <w:lang w:val="es-AR"/>
        </w:rPr>
        <w:t>Luego</w:t>
      </w:r>
      <w:r w:rsidRPr="00624696">
        <w:rPr>
          <w:spacing w:val="-11"/>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la</w:t>
      </w:r>
      <w:r w:rsidRPr="00624696">
        <w:rPr>
          <w:spacing w:val="-8"/>
          <w:sz w:val="20"/>
          <w:lang w:val="es-AR"/>
        </w:rPr>
        <w:t xml:space="preserve"> </w:t>
      </w:r>
      <w:r w:rsidRPr="00624696">
        <w:rPr>
          <w:sz w:val="20"/>
          <w:lang w:val="es-AR"/>
        </w:rPr>
        <w:t>revisión</w:t>
      </w:r>
      <w:r w:rsidRPr="00624696">
        <w:rPr>
          <w:spacing w:val="-10"/>
          <w:sz w:val="20"/>
          <w:lang w:val="es-AR"/>
        </w:rPr>
        <w:t xml:space="preserve"> </w:t>
      </w:r>
      <w:r w:rsidRPr="00624696">
        <w:rPr>
          <w:sz w:val="20"/>
          <w:lang w:val="es-AR"/>
        </w:rPr>
        <w:t>del</w:t>
      </w:r>
      <w:r w:rsidRPr="00624696">
        <w:rPr>
          <w:spacing w:val="-10"/>
          <w:sz w:val="20"/>
          <w:lang w:val="es-AR"/>
        </w:rPr>
        <w:t xml:space="preserve"> </w:t>
      </w:r>
      <w:r w:rsidRPr="00624696">
        <w:rPr>
          <w:sz w:val="20"/>
          <w:lang w:val="es-AR"/>
        </w:rPr>
        <w:t>expediente,</w:t>
      </w:r>
      <w:r w:rsidRPr="00624696">
        <w:rPr>
          <w:spacing w:val="-11"/>
          <w:sz w:val="20"/>
          <w:lang w:val="es-AR"/>
        </w:rPr>
        <w:t xml:space="preserve"> </w:t>
      </w:r>
      <w:r w:rsidRPr="00624696">
        <w:rPr>
          <w:sz w:val="20"/>
          <w:lang w:val="es-AR"/>
        </w:rPr>
        <w:t>la</w:t>
      </w:r>
      <w:r w:rsidRPr="00624696">
        <w:rPr>
          <w:spacing w:val="-8"/>
          <w:sz w:val="20"/>
          <w:lang w:val="es-AR"/>
        </w:rPr>
        <w:t xml:space="preserve"> </w:t>
      </w:r>
      <w:r w:rsidRPr="00624696">
        <w:rPr>
          <w:sz w:val="20"/>
          <w:lang w:val="es-AR"/>
        </w:rPr>
        <w:t>Corte</w:t>
      </w:r>
      <w:r w:rsidRPr="00624696">
        <w:rPr>
          <w:spacing w:val="-11"/>
          <w:sz w:val="20"/>
          <w:lang w:val="es-AR"/>
        </w:rPr>
        <w:t xml:space="preserve"> </w:t>
      </w:r>
      <w:r w:rsidRPr="00624696">
        <w:rPr>
          <w:sz w:val="20"/>
          <w:lang w:val="es-AR"/>
        </w:rPr>
        <w:t>considera</w:t>
      </w:r>
      <w:r w:rsidRPr="00624696">
        <w:rPr>
          <w:spacing w:val="-11"/>
          <w:sz w:val="20"/>
          <w:lang w:val="es-AR"/>
        </w:rPr>
        <w:t xml:space="preserve"> </w:t>
      </w:r>
      <w:r w:rsidRPr="00624696">
        <w:rPr>
          <w:sz w:val="20"/>
          <w:lang w:val="es-AR"/>
        </w:rPr>
        <w:t>que</w:t>
      </w:r>
      <w:r w:rsidRPr="00624696">
        <w:rPr>
          <w:spacing w:val="-11"/>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inclusión</w:t>
      </w:r>
      <w:r w:rsidRPr="00624696">
        <w:rPr>
          <w:spacing w:val="-9"/>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ese</w:t>
      </w:r>
      <w:r w:rsidRPr="00624696">
        <w:rPr>
          <w:spacing w:val="-11"/>
          <w:sz w:val="20"/>
          <w:lang w:val="es-AR"/>
        </w:rPr>
        <w:t xml:space="preserve"> </w:t>
      </w:r>
      <w:r w:rsidRPr="00624696">
        <w:rPr>
          <w:sz w:val="20"/>
          <w:lang w:val="es-AR"/>
        </w:rPr>
        <w:t>nomb</w:t>
      </w:r>
      <w:r w:rsidRPr="00624696">
        <w:rPr>
          <w:sz w:val="20"/>
          <w:lang w:val="es-AR"/>
        </w:rPr>
        <w:t>re puede deberse a un caso de duplicidad, pues el escrito de solicitudes y argumentos incluye</w:t>
      </w:r>
      <w:r w:rsidRPr="00624696">
        <w:rPr>
          <w:spacing w:val="-50"/>
          <w:sz w:val="20"/>
          <w:lang w:val="es-AR"/>
        </w:rPr>
        <w:t xml:space="preserve"> </w:t>
      </w:r>
      <w:r w:rsidRPr="00624696">
        <w:rPr>
          <w:sz w:val="20"/>
          <w:lang w:val="es-AR"/>
        </w:rPr>
        <w:t>a dos</w:t>
      </w:r>
      <w:r w:rsidRPr="00624696">
        <w:rPr>
          <w:spacing w:val="-13"/>
          <w:sz w:val="20"/>
          <w:lang w:val="es-AR"/>
        </w:rPr>
        <w:t xml:space="preserve"> </w:t>
      </w:r>
      <w:r w:rsidRPr="00624696">
        <w:rPr>
          <w:sz w:val="20"/>
          <w:lang w:val="es-AR"/>
        </w:rPr>
        <w:t>personas</w:t>
      </w:r>
      <w:r w:rsidRPr="00624696">
        <w:rPr>
          <w:spacing w:val="-13"/>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misma</w:t>
      </w:r>
      <w:r w:rsidRPr="00624696">
        <w:rPr>
          <w:spacing w:val="-12"/>
          <w:sz w:val="20"/>
          <w:lang w:val="es-AR"/>
        </w:rPr>
        <w:t xml:space="preserve"> </w:t>
      </w:r>
      <w:r w:rsidRPr="00624696">
        <w:rPr>
          <w:sz w:val="20"/>
          <w:lang w:val="es-AR"/>
        </w:rPr>
        <w:t>edad</w:t>
      </w:r>
      <w:r w:rsidRPr="00624696">
        <w:rPr>
          <w:spacing w:val="-11"/>
          <w:sz w:val="20"/>
          <w:lang w:val="es-AR"/>
        </w:rPr>
        <w:t xml:space="preserve"> </w:t>
      </w:r>
      <w:r w:rsidRPr="00624696">
        <w:rPr>
          <w:sz w:val="20"/>
          <w:lang w:val="es-AR"/>
        </w:rPr>
        <w:t>(15</w:t>
      </w:r>
      <w:r w:rsidRPr="00624696">
        <w:rPr>
          <w:spacing w:val="-12"/>
          <w:sz w:val="20"/>
          <w:lang w:val="es-AR"/>
        </w:rPr>
        <w:t xml:space="preserve"> </w:t>
      </w:r>
      <w:r w:rsidRPr="00624696">
        <w:rPr>
          <w:sz w:val="20"/>
          <w:lang w:val="es-AR"/>
        </w:rPr>
        <w:t>años),</w:t>
      </w:r>
      <w:r w:rsidRPr="00624696">
        <w:rPr>
          <w:spacing w:val="-13"/>
          <w:sz w:val="20"/>
          <w:lang w:val="es-AR"/>
        </w:rPr>
        <w:t xml:space="preserve"> </w:t>
      </w:r>
      <w:r w:rsidRPr="00624696">
        <w:rPr>
          <w:sz w:val="20"/>
          <w:lang w:val="es-AR"/>
        </w:rPr>
        <w:t>una</w:t>
      </w:r>
      <w:r w:rsidRPr="00624696">
        <w:rPr>
          <w:spacing w:val="-10"/>
          <w:sz w:val="20"/>
          <w:lang w:val="es-AR"/>
        </w:rPr>
        <w:t xml:space="preserve"> </w:t>
      </w:r>
      <w:r w:rsidRPr="00624696">
        <w:rPr>
          <w:sz w:val="20"/>
          <w:lang w:val="es-AR"/>
        </w:rPr>
        <w:t>identificada</w:t>
      </w:r>
      <w:r w:rsidRPr="00624696">
        <w:rPr>
          <w:spacing w:val="-10"/>
          <w:sz w:val="20"/>
          <w:lang w:val="es-AR"/>
        </w:rPr>
        <w:t xml:space="preserve"> </w:t>
      </w:r>
      <w:r w:rsidRPr="00624696">
        <w:rPr>
          <w:sz w:val="20"/>
          <w:lang w:val="es-AR"/>
        </w:rPr>
        <w:t>como</w:t>
      </w:r>
      <w:r w:rsidRPr="00624696">
        <w:rPr>
          <w:spacing w:val="-11"/>
          <w:sz w:val="20"/>
          <w:lang w:val="es-AR"/>
        </w:rPr>
        <w:t xml:space="preserve"> </w:t>
      </w:r>
      <w:r w:rsidRPr="00624696">
        <w:rPr>
          <w:sz w:val="20"/>
          <w:lang w:val="es-AR"/>
        </w:rPr>
        <w:t>“Mairla</w:t>
      </w:r>
      <w:r w:rsidRPr="00624696">
        <w:rPr>
          <w:spacing w:val="-12"/>
          <w:sz w:val="20"/>
          <w:lang w:val="es-AR"/>
        </w:rPr>
        <w:t xml:space="preserve"> </w:t>
      </w:r>
      <w:r w:rsidRPr="00624696">
        <w:rPr>
          <w:sz w:val="20"/>
          <w:lang w:val="es-AR"/>
        </w:rPr>
        <w:t>Santos</w:t>
      </w:r>
      <w:r w:rsidRPr="00624696">
        <w:rPr>
          <w:spacing w:val="-11"/>
          <w:sz w:val="20"/>
          <w:lang w:val="es-AR"/>
        </w:rPr>
        <w:t xml:space="preserve"> </w:t>
      </w:r>
      <w:r w:rsidRPr="00624696">
        <w:rPr>
          <w:sz w:val="20"/>
          <w:lang w:val="es-AR"/>
        </w:rPr>
        <w:t>Costa”</w:t>
      </w:r>
      <w:r w:rsidRPr="00624696">
        <w:rPr>
          <w:spacing w:val="-11"/>
          <w:sz w:val="20"/>
          <w:lang w:val="es-AR"/>
        </w:rPr>
        <w:t xml:space="preserve"> </w:t>
      </w:r>
      <w:r w:rsidRPr="00624696">
        <w:rPr>
          <w:sz w:val="20"/>
          <w:lang w:val="es-AR"/>
        </w:rPr>
        <w:t>y</w:t>
      </w:r>
      <w:r w:rsidRPr="00624696">
        <w:rPr>
          <w:spacing w:val="-11"/>
          <w:sz w:val="20"/>
          <w:lang w:val="es-AR"/>
        </w:rPr>
        <w:t xml:space="preserve"> </w:t>
      </w:r>
      <w:r w:rsidRPr="00624696">
        <w:rPr>
          <w:sz w:val="20"/>
          <w:lang w:val="es-AR"/>
        </w:rPr>
        <w:t xml:space="preserve">otra cuyo nombre es “Maria de Jesus Santos Costa”. Mientras que el anexo </w:t>
      </w:r>
      <w:r w:rsidRPr="00624696">
        <w:rPr>
          <w:sz w:val="20"/>
          <w:lang w:val="es-AR"/>
        </w:rPr>
        <w:t>al Informe de Admisibilidad y Fondo incluye solamente el nombre de “Mairla de Jesus Santos Costa”, de</w:t>
      </w:r>
      <w:r w:rsidRPr="00624696">
        <w:rPr>
          <w:spacing w:val="-47"/>
          <w:sz w:val="20"/>
          <w:lang w:val="es-AR"/>
        </w:rPr>
        <w:t xml:space="preserve"> </w:t>
      </w:r>
      <w:r w:rsidRPr="00624696">
        <w:rPr>
          <w:sz w:val="20"/>
          <w:lang w:val="es-AR"/>
        </w:rPr>
        <w:t>15 años. Esta conclusión es respaldada por los alegatos finales de los representantes, en los cuales se refieren a las objeciones del Estado, de acuerdo c</w:t>
      </w:r>
      <w:r w:rsidRPr="00624696">
        <w:rPr>
          <w:sz w:val="20"/>
          <w:lang w:val="es-AR"/>
        </w:rPr>
        <w:t xml:space="preserve">on las cuales Mairla de Jesus Santos no estaría en el listado enviado por la Comisión. Al respecto, señalaron que si se encuentra allí y corresponde a la número </w:t>
      </w:r>
      <w:r w:rsidRPr="00624696">
        <w:rPr>
          <w:spacing w:val="2"/>
          <w:sz w:val="20"/>
          <w:lang w:val="es-AR"/>
        </w:rPr>
        <w:t>18</w:t>
      </w:r>
      <w:hyperlink w:anchor="_bookmark73" w:history="1">
        <w:r w:rsidRPr="00624696">
          <w:rPr>
            <w:spacing w:val="2"/>
            <w:position w:val="7"/>
            <w:sz w:val="13"/>
            <w:lang w:val="es-AR"/>
          </w:rPr>
          <w:t>57</w:t>
        </w:r>
      </w:hyperlink>
      <w:r w:rsidRPr="00624696">
        <w:rPr>
          <w:spacing w:val="2"/>
          <w:sz w:val="20"/>
          <w:lang w:val="es-AR"/>
        </w:rPr>
        <w:t xml:space="preserve">. </w:t>
      </w:r>
      <w:r w:rsidRPr="00624696">
        <w:rPr>
          <w:sz w:val="20"/>
          <w:lang w:val="es-AR"/>
        </w:rPr>
        <w:t>Sin embargo, el Estado en realidad objetó la inclusión</w:t>
      </w:r>
      <w:r w:rsidRPr="00624696">
        <w:rPr>
          <w:spacing w:val="-7"/>
          <w:sz w:val="20"/>
          <w:lang w:val="es-AR"/>
        </w:rPr>
        <w:t xml:space="preserve"> </w:t>
      </w:r>
      <w:r w:rsidRPr="00624696">
        <w:rPr>
          <w:sz w:val="20"/>
          <w:lang w:val="es-AR"/>
        </w:rPr>
        <w:t>de</w:t>
      </w:r>
      <w:r w:rsidRPr="00624696">
        <w:rPr>
          <w:spacing w:val="-9"/>
          <w:sz w:val="20"/>
          <w:lang w:val="es-AR"/>
        </w:rPr>
        <w:t xml:space="preserve"> </w:t>
      </w:r>
      <w:r w:rsidRPr="00624696">
        <w:rPr>
          <w:sz w:val="20"/>
          <w:lang w:val="es-AR"/>
        </w:rPr>
        <w:t>Maria</w:t>
      </w:r>
      <w:r w:rsidRPr="00624696">
        <w:rPr>
          <w:spacing w:val="-8"/>
          <w:sz w:val="20"/>
          <w:lang w:val="es-AR"/>
        </w:rPr>
        <w:t xml:space="preserve"> </w:t>
      </w:r>
      <w:r w:rsidRPr="00624696">
        <w:rPr>
          <w:sz w:val="20"/>
          <w:lang w:val="es-AR"/>
        </w:rPr>
        <w:t>de</w:t>
      </w:r>
      <w:r w:rsidRPr="00624696">
        <w:rPr>
          <w:spacing w:val="-8"/>
          <w:sz w:val="20"/>
          <w:lang w:val="es-AR"/>
        </w:rPr>
        <w:t xml:space="preserve"> </w:t>
      </w:r>
      <w:r w:rsidRPr="00624696">
        <w:rPr>
          <w:sz w:val="20"/>
          <w:lang w:val="es-AR"/>
        </w:rPr>
        <w:t>Jesus</w:t>
      </w:r>
      <w:r w:rsidRPr="00624696">
        <w:rPr>
          <w:spacing w:val="-9"/>
          <w:sz w:val="20"/>
          <w:lang w:val="es-AR"/>
        </w:rPr>
        <w:t xml:space="preserve"> </w:t>
      </w:r>
      <w:r w:rsidRPr="00624696">
        <w:rPr>
          <w:sz w:val="20"/>
          <w:lang w:val="es-AR"/>
        </w:rPr>
        <w:t>Santos</w:t>
      </w:r>
      <w:r w:rsidRPr="00624696">
        <w:rPr>
          <w:spacing w:val="-9"/>
          <w:sz w:val="20"/>
          <w:lang w:val="es-AR"/>
        </w:rPr>
        <w:t xml:space="preserve"> </w:t>
      </w:r>
      <w:r w:rsidRPr="00624696">
        <w:rPr>
          <w:sz w:val="20"/>
          <w:lang w:val="es-AR"/>
        </w:rPr>
        <w:t>Costa.</w:t>
      </w:r>
      <w:r w:rsidRPr="00624696">
        <w:rPr>
          <w:spacing w:val="-7"/>
          <w:sz w:val="20"/>
          <w:lang w:val="es-AR"/>
        </w:rPr>
        <w:t xml:space="preserve"> </w:t>
      </w:r>
      <w:r w:rsidRPr="00624696">
        <w:rPr>
          <w:sz w:val="20"/>
          <w:lang w:val="es-AR"/>
        </w:rPr>
        <w:t>De</w:t>
      </w:r>
      <w:r w:rsidRPr="00624696">
        <w:rPr>
          <w:spacing w:val="-9"/>
          <w:sz w:val="20"/>
          <w:lang w:val="es-AR"/>
        </w:rPr>
        <w:t xml:space="preserve"> </w:t>
      </w:r>
      <w:r w:rsidRPr="00624696">
        <w:rPr>
          <w:sz w:val="20"/>
          <w:lang w:val="es-AR"/>
        </w:rPr>
        <w:t>lo</w:t>
      </w:r>
      <w:r w:rsidRPr="00624696">
        <w:rPr>
          <w:spacing w:val="-7"/>
          <w:sz w:val="20"/>
          <w:lang w:val="es-AR"/>
        </w:rPr>
        <w:t xml:space="preserve"> </w:t>
      </w:r>
      <w:r w:rsidRPr="00624696">
        <w:rPr>
          <w:sz w:val="20"/>
          <w:lang w:val="es-AR"/>
        </w:rPr>
        <w:t>anterior</w:t>
      </w:r>
      <w:r w:rsidRPr="00624696">
        <w:rPr>
          <w:spacing w:val="-8"/>
          <w:sz w:val="20"/>
          <w:lang w:val="es-AR"/>
        </w:rPr>
        <w:t xml:space="preserve"> </w:t>
      </w:r>
      <w:r w:rsidRPr="00624696">
        <w:rPr>
          <w:sz w:val="20"/>
          <w:lang w:val="es-AR"/>
        </w:rPr>
        <w:t>se</w:t>
      </w:r>
      <w:r w:rsidRPr="00624696">
        <w:rPr>
          <w:spacing w:val="-9"/>
          <w:sz w:val="20"/>
          <w:lang w:val="es-AR"/>
        </w:rPr>
        <w:t xml:space="preserve"> </w:t>
      </w:r>
      <w:r w:rsidRPr="00624696">
        <w:rPr>
          <w:sz w:val="20"/>
          <w:lang w:val="es-AR"/>
        </w:rPr>
        <w:t>desprende</w:t>
      </w:r>
      <w:r w:rsidRPr="00624696">
        <w:rPr>
          <w:spacing w:val="-9"/>
          <w:sz w:val="20"/>
          <w:lang w:val="es-AR"/>
        </w:rPr>
        <w:t xml:space="preserve"> </w:t>
      </w:r>
      <w:r w:rsidRPr="00624696">
        <w:rPr>
          <w:sz w:val="20"/>
          <w:lang w:val="es-AR"/>
        </w:rPr>
        <w:t>que</w:t>
      </w:r>
      <w:r w:rsidRPr="00624696">
        <w:rPr>
          <w:spacing w:val="-8"/>
          <w:sz w:val="20"/>
          <w:lang w:val="es-AR"/>
        </w:rPr>
        <w:t xml:space="preserve"> </w:t>
      </w:r>
      <w:r w:rsidRPr="00624696">
        <w:rPr>
          <w:sz w:val="20"/>
          <w:lang w:val="es-AR"/>
        </w:rPr>
        <w:t>los</w:t>
      </w:r>
      <w:r w:rsidRPr="00624696">
        <w:rPr>
          <w:spacing w:val="-6"/>
          <w:sz w:val="20"/>
          <w:lang w:val="es-AR"/>
        </w:rPr>
        <w:t xml:space="preserve"> </w:t>
      </w:r>
      <w:r w:rsidRPr="00624696">
        <w:rPr>
          <w:sz w:val="20"/>
          <w:lang w:val="es-AR"/>
        </w:rPr>
        <w:t>representantes consideraron a “Mairla” y a “Maria” como una misma persona. La Corte encuentra, además, que no obra en el expediente p</w:t>
      </w:r>
      <w:r w:rsidRPr="00624696">
        <w:rPr>
          <w:sz w:val="20"/>
          <w:lang w:val="es-AR"/>
        </w:rPr>
        <w:t>rueba alguna que respalde la existencia de Maria de Jesus Santos Costa, mientras que Mairla Santos Costa está adecuadamente</w:t>
      </w:r>
      <w:r w:rsidRPr="00624696">
        <w:rPr>
          <w:spacing w:val="-9"/>
          <w:sz w:val="20"/>
          <w:lang w:val="es-AR"/>
        </w:rPr>
        <w:t xml:space="preserve"> </w:t>
      </w:r>
      <w:r w:rsidRPr="00624696">
        <w:rPr>
          <w:sz w:val="20"/>
          <w:lang w:val="es-AR"/>
        </w:rPr>
        <w:t>identificada</w:t>
      </w:r>
      <w:hyperlink w:anchor="_bookmark74" w:history="1">
        <w:r w:rsidRPr="00624696">
          <w:rPr>
            <w:position w:val="7"/>
            <w:sz w:val="13"/>
            <w:lang w:val="es-AR"/>
          </w:rPr>
          <w:t>58</w:t>
        </w:r>
      </w:hyperlink>
      <w:r w:rsidRPr="00624696">
        <w:rPr>
          <w:sz w:val="20"/>
          <w:lang w:val="es-AR"/>
        </w:rPr>
        <w:t>.</w:t>
      </w:r>
    </w:p>
    <w:p w14:paraId="7CF004A6" w14:textId="77777777" w:rsidR="00467FCA" w:rsidRPr="00624696" w:rsidRDefault="00467FCA">
      <w:pPr>
        <w:pStyle w:val="Textoindependiente"/>
        <w:spacing w:before="1"/>
        <w:rPr>
          <w:lang w:val="es-AR"/>
        </w:rPr>
      </w:pPr>
    </w:p>
    <w:p w14:paraId="1EEF4FB7" w14:textId="77777777" w:rsidR="00467FCA" w:rsidRPr="00624696" w:rsidRDefault="001B68EB">
      <w:pPr>
        <w:pStyle w:val="Prrafodelista"/>
        <w:numPr>
          <w:ilvl w:val="0"/>
          <w:numId w:val="50"/>
        </w:numPr>
        <w:tabs>
          <w:tab w:val="left" w:pos="687"/>
        </w:tabs>
        <w:ind w:right="116" w:hanging="1"/>
        <w:jc w:val="both"/>
        <w:rPr>
          <w:sz w:val="20"/>
          <w:lang w:val="es-AR"/>
        </w:rPr>
      </w:pPr>
      <w:r w:rsidRPr="00624696">
        <w:rPr>
          <w:sz w:val="20"/>
          <w:lang w:val="es-AR"/>
        </w:rPr>
        <w:t>En</w:t>
      </w:r>
      <w:r w:rsidRPr="00624696">
        <w:rPr>
          <w:spacing w:val="-13"/>
          <w:sz w:val="20"/>
          <w:lang w:val="es-AR"/>
        </w:rPr>
        <w:t xml:space="preserve"> </w:t>
      </w:r>
      <w:r w:rsidRPr="00624696">
        <w:rPr>
          <w:sz w:val="20"/>
          <w:lang w:val="es-AR"/>
        </w:rPr>
        <w:t>conclusión,</w:t>
      </w:r>
      <w:r w:rsidRPr="00624696">
        <w:rPr>
          <w:spacing w:val="-12"/>
          <w:sz w:val="20"/>
          <w:lang w:val="es-AR"/>
        </w:rPr>
        <w:t xml:space="preserve"> </w:t>
      </w:r>
      <w:r w:rsidRPr="00624696">
        <w:rPr>
          <w:sz w:val="20"/>
          <w:lang w:val="es-AR"/>
        </w:rPr>
        <w:t>esta</w:t>
      </w:r>
      <w:r w:rsidRPr="00624696">
        <w:rPr>
          <w:spacing w:val="-13"/>
          <w:sz w:val="20"/>
          <w:lang w:val="es-AR"/>
        </w:rPr>
        <w:t xml:space="preserve"> </w:t>
      </w:r>
      <w:r w:rsidRPr="00624696">
        <w:rPr>
          <w:sz w:val="20"/>
          <w:lang w:val="es-AR"/>
        </w:rPr>
        <w:t>Corte</w:t>
      </w:r>
      <w:r w:rsidRPr="00624696">
        <w:rPr>
          <w:spacing w:val="-15"/>
          <w:sz w:val="20"/>
          <w:lang w:val="es-AR"/>
        </w:rPr>
        <w:t xml:space="preserve"> </w:t>
      </w:r>
      <w:r w:rsidRPr="00624696">
        <w:rPr>
          <w:sz w:val="20"/>
          <w:lang w:val="es-AR"/>
        </w:rPr>
        <w:t>desestima</w:t>
      </w:r>
      <w:r w:rsidRPr="00624696">
        <w:rPr>
          <w:spacing w:val="-12"/>
          <w:sz w:val="20"/>
          <w:lang w:val="es-AR"/>
        </w:rPr>
        <w:t xml:space="preserve"> </w:t>
      </w:r>
      <w:r w:rsidRPr="00624696">
        <w:rPr>
          <w:sz w:val="20"/>
          <w:lang w:val="es-AR"/>
        </w:rPr>
        <w:t>la</w:t>
      </w:r>
      <w:r w:rsidRPr="00624696">
        <w:rPr>
          <w:spacing w:val="-13"/>
          <w:sz w:val="20"/>
          <w:lang w:val="es-AR"/>
        </w:rPr>
        <w:t xml:space="preserve"> </w:t>
      </w:r>
      <w:r w:rsidRPr="00624696">
        <w:rPr>
          <w:sz w:val="20"/>
          <w:lang w:val="es-AR"/>
        </w:rPr>
        <w:t>objeción</w:t>
      </w:r>
      <w:r w:rsidRPr="00624696">
        <w:rPr>
          <w:spacing w:val="-13"/>
          <w:sz w:val="20"/>
          <w:lang w:val="es-AR"/>
        </w:rPr>
        <w:t xml:space="preserve"> </w:t>
      </w:r>
      <w:r w:rsidRPr="00624696">
        <w:rPr>
          <w:sz w:val="20"/>
          <w:lang w:val="es-AR"/>
        </w:rPr>
        <w:t>planteada</w:t>
      </w:r>
      <w:r w:rsidRPr="00624696">
        <w:rPr>
          <w:spacing w:val="-13"/>
          <w:sz w:val="20"/>
          <w:lang w:val="es-AR"/>
        </w:rPr>
        <w:t xml:space="preserve"> </w:t>
      </w:r>
      <w:r w:rsidRPr="00624696">
        <w:rPr>
          <w:sz w:val="20"/>
          <w:lang w:val="es-AR"/>
        </w:rPr>
        <w:t>por</w:t>
      </w:r>
      <w:r w:rsidRPr="00624696">
        <w:rPr>
          <w:spacing w:val="-12"/>
          <w:sz w:val="20"/>
          <w:lang w:val="es-AR"/>
        </w:rPr>
        <w:t xml:space="preserve"> </w:t>
      </w:r>
      <w:r w:rsidRPr="00624696">
        <w:rPr>
          <w:sz w:val="20"/>
          <w:lang w:val="es-AR"/>
        </w:rPr>
        <w:t>el</w:t>
      </w:r>
      <w:r w:rsidRPr="00624696">
        <w:rPr>
          <w:spacing w:val="-13"/>
          <w:sz w:val="20"/>
          <w:lang w:val="es-AR"/>
        </w:rPr>
        <w:t xml:space="preserve"> </w:t>
      </w:r>
      <w:r w:rsidRPr="00624696">
        <w:rPr>
          <w:sz w:val="20"/>
          <w:lang w:val="es-AR"/>
        </w:rPr>
        <w:t>Estado</w:t>
      </w:r>
      <w:r w:rsidRPr="00624696">
        <w:rPr>
          <w:spacing w:val="-11"/>
          <w:sz w:val="20"/>
          <w:lang w:val="es-AR"/>
        </w:rPr>
        <w:t xml:space="preserve"> </w:t>
      </w:r>
      <w:r w:rsidRPr="00624696">
        <w:rPr>
          <w:sz w:val="20"/>
          <w:lang w:val="es-AR"/>
        </w:rPr>
        <w:t>respecto</w:t>
      </w:r>
      <w:r w:rsidRPr="00624696">
        <w:rPr>
          <w:spacing w:val="-15"/>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 xml:space="preserve">una de las personas presuntamente fallecidas en la explosión, por entender que se trata de un caso de duplicidad en el registro. Además, una vez revisados los documentos aportados al proceso concluye que son 60 las presuntas víctimas fallecidas y seis las </w:t>
      </w:r>
      <w:r w:rsidRPr="00624696">
        <w:rPr>
          <w:sz w:val="20"/>
          <w:lang w:val="es-AR"/>
        </w:rPr>
        <w:t>presuntas víctimas sobrevivientes.</w:t>
      </w:r>
    </w:p>
    <w:p w14:paraId="5DD1D940" w14:textId="77777777" w:rsidR="00467FCA" w:rsidRPr="00624696" w:rsidRDefault="00467FCA">
      <w:pPr>
        <w:pStyle w:val="Textoindependiente"/>
        <w:rPr>
          <w:lang w:val="es-AR"/>
        </w:rPr>
      </w:pPr>
    </w:p>
    <w:p w14:paraId="568847D0" w14:textId="77777777" w:rsidR="00467FCA" w:rsidRPr="00624696" w:rsidRDefault="001B68EB">
      <w:pPr>
        <w:pStyle w:val="Textoindependiente"/>
        <w:spacing w:before="6"/>
        <w:rPr>
          <w:sz w:val="21"/>
          <w:lang w:val="es-AR"/>
        </w:rPr>
      </w:pPr>
      <w:r>
        <w:pict w14:anchorId="4267DCA2">
          <v:shape id="_x0000_s1184" style="position:absolute;margin-left:1in;margin-top:15.35pt;width:2in;height:.1pt;z-index:-251645952;mso-wrap-distance-left:0;mso-wrap-distance-right:0;mso-position-horizontal-relative:page" coordorigin="1440,307" coordsize="2880,0" path="m1440,307r2880,e" filled="f" strokeweight=".21131mm">
            <v:path arrowok="t"/>
            <w10:wrap type="topAndBottom" anchorx="page"/>
          </v:shape>
        </w:pict>
      </w:r>
    </w:p>
    <w:p w14:paraId="4537CF0E" w14:textId="77777777" w:rsidR="00467FCA" w:rsidRPr="00624696" w:rsidRDefault="001B68EB">
      <w:pPr>
        <w:tabs>
          <w:tab w:val="left" w:pos="839"/>
        </w:tabs>
        <w:spacing w:before="74"/>
        <w:ind w:left="120" w:right="114" w:hanging="1"/>
        <w:jc w:val="both"/>
        <w:rPr>
          <w:sz w:val="16"/>
          <w:lang w:val="es-AR"/>
        </w:rPr>
      </w:pPr>
      <w:bookmarkStart w:id="88" w:name="_bookmark71"/>
      <w:bookmarkEnd w:id="88"/>
      <w:r w:rsidRPr="00624696">
        <w:rPr>
          <w:position w:val="6"/>
          <w:sz w:val="10"/>
          <w:lang w:val="es-AR"/>
        </w:rPr>
        <w:t>55</w:t>
      </w:r>
      <w:r w:rsidRPr="00624696">
        <w:rPr>
          <w:position w:val="6"/>
          <w:sz w:val="10"/>
          <w:lang w:val="es-AR"/>
        </w:rPr>
        <w:tab/>
      </w:r>
      <w:r w:rsidRPr="00624696">
        <w:rPr>
          <w:sz w:val="16"/>
          <w:lang w:val="es-AR"/>
        </w:rPr>
        <w:t>El</w:t>
      </w:r>
      <w:r w:rsidRPr="00624696">
        <w:rPr>
          <w:spacing w:val="-11"/>
          <w:sz w:val="16"/>
          <w:lang w:val="es-AR"/>
        </w:rPr>
        <w:t xml:space="preserve"> </w:t>
      </w:r>
      <w:r w:rsidRPr="00624696">
        <w:rPr>
          <w:sz w:val="16"/>
          <w:lang w:val="es-AR"/>
        </w:rPr>
        <w:t>Informe</w:t>
      </w:r>
      <w:r w:rsidRPr="00624696">
        <w:rPr>
          <w:spacing w:val="-12"/>
          <w:sz w:val="16"/>
          <w:lang w:val="es-AR"/>
        </w:rPr>
        <w:t xml:space="preserve"> </w:t>
      </w:r>
      <w:r w:rsidRPr="00624696">
        <w:rPr>
          <w:sz w:val="16"/>
          <w:lang w:val="es-AR"/>
        </w:rPr>
        <w:t>de</w:t>
      </w:r>
      <w:r w:rsidRPr="00624696">
        <w:rPr>
          <w:spacing w:val="-12"/>
          <w:sz w:val="16"/>
          <w:lang w:val="es-AR"/>
        </w:rPr>
        <w:t xml:space="preserve"> </w:t>
      </w:r>
      <w:r w:rsidRPr="00624696">
        <w:rPr>
          <w:sz w:val="16"/>
          <w:lang w:val="es-AR"/>
        </w:rPr>
        <w:t>Admisibilidad</w:t>
      </w:r>
      <w:r w:rsidRPr="00624696">
        <w:rPr>
          <w:spacing w:val="-9"/>
          <w:sz w:val="16"/>
          <w:lang w:val="es-AR"/>
        </w:rPr>
        <w:t xml:space="preserve"> </w:t>
      </w:r>
      <w:r w:rsidRPr="00624696">
        <w:rPr>
          <w:sz w:val="16"/>
          <w:lang w:val="es-AR"/>
        </w:rPr>
        <w:t>y</w:t>
      </w:r>
      <w:r w:rsidRPr="00624696">
        <w:rPr>
          <w:spacing w:val="-11"/>
          <w:sz w:val="16"/>
          <w:lang w:val="es-AR"/>
        </w:rPr>
        <w:t xml:space="preserve"> </w:t>
      </w:r>
      <w:r w:rsidRPr="00624696">
        <w:rPr>
          <w:sz w:val="16"/>
          <w:lang w:val="es-AR"/>
        </w:rPr>
        <w:t>Fondo</w:t>
      </w:r>
      <w:r w:rsidRPr="00624696">
        <w:rPr>
          <w:spacing w:val="-11"/>
          <w:sz w:val="16"/>
          <w:lang w:val="es-AR"/>
        </w:rPr>
        <w:t xml:space="preserve"> </w:t>
      </w:r>
      <w:r w:rsidRPr="00624696">
        <w:rPr>
          <w:sz w:val="16"/>
          <w:lang w:val="es-AR"/>
        </w:rPr>
        <w:t>reporta</w:t>
      </w:r>
      <w:r w:rsidRPr="00624696">
        <w:rPr>
          <w:spacing w:val="-10"/>
          <w:sz w:val="16"/>
          <w:lang w:val="es-AR"/>
        </w:rPr>
        <w:t xml:space="preserve"> </w:t>
      </w:r>
      <w:r w:rsidRPr="00624696">
        <w:rPr>
          <w:sz w:val="16"/>
          <w:lang w:val="es-AR"/>
        </w:rPr>
        <w:t>algunas</w:t>
      </w:r>
      <w:r w:rsidRPr="00624696">
        <w:rPr>
          <w:spacing w:val="-9"/>
          <w:sz w:val="16"/>
          <w:lang w:val="es-AR"/>
        </w:rPr>
        <w:t xml:space="preserve"> </w:t>
      </w:r>
      <w:r w:rsidRPr="00624696">
        <w:rPr>
          <w:sz w:val="16"/>
          <w:lang w:val="es-AR"/>
        </w:rPr>
        <w:t>inconsistencias</w:t>
      </w:r>
      <w:r w:rsidRPr="00624696">
        <w:rPr>
          <w:spacing w:val="-9"/>
          <w:sz w:val="16"/>
          <w:lang w:val="es-AR"/>
        </w:rPr>
        <w:t xml:space="preserve"> </w:t>
      </w:r>
      <w:r w:rsidRPr="00624696">
        <w:rPr>
          <w:sz w:val="16"/>
          <w:lang w:val="es-AR"/>
        </w:rPr>
        <w:t>en</w:t>
      </w:r>
      <w:r w:rsidRPr="00624696">
        <w:rPr>
          <w:spacing w:val="-10"/>
          <w:sz w:val="16"/>
          <w:lang w:val="es-AR"/>
        </w:rPr>
        <w:t xml:space="preserve"> </w:t>
      </w:r>
      <w:r w:rsidRPr="00624696">
        <w:rPr>
          <w:sz w:val="16"/>
          <w:lang w:val="es-AR"/>
        </w:rPr>
        <w:t>relación</w:t>
      </w:r>
      <w:r w:rsidRPr="00624696">
        <w:rPr>
          <w:spacing w:val="-11"/>
          <w:sz w:val="16"/>
          <w:lang w:val="es-AR"/>
        </w:rPr>
        <w:t xml:space="preserve"> </w:t>
      </w:r>
      <w:r w:rsidRPr="00624696">
        <w:rPr>
          <w:sz w:val="16"/>
          <w:lang w:val="es-AR"/>
        </w:rPr>
        <w:t>con</w:t>
      </w:r>
      <w:r w:rsidRPr="00624696">
        <w:rPr>
          <w:spacing w:val="-11"/>
          <w:sz w:val="16"/>
          <w:lang w:val="es-AR"/>
        </w:rPr>
        <w:t xml:space="preserve"> </w:t>
      </w:r>
      <w:r w:rsidRPr="00624696">
        <w:rPr>
          <w:sz w:val="16"/>
          <w:lang w:val="es-AR"/>
        </w:rPr>
        <w:t>las</w:t>
      </w:r>
      <w:r w:rsidRPr="00624696">
        <w:rPr>
          <w:spacing w:val="-12"/>
          <w:sz w:val="16"/>
          <w:lang w:val="es-AR"/>
        </w:rPr>
        <w:t xml:space="preserve"> </w:t>
      </w:r>
      <w:r w:rsidRPr="00624696">
        <w:rPr>
          <w:sz w:val="16"/>
          <w:lang w:val="es-AR"/>
        </w:rPr>
        <w:t>siguientes</w:t>
      </w:r>
      <w:r w:rsidRPr="00624696">
        <w:rPr>
          <w:spacing w:val="-10"/>
          <w:sz w:val="16"/>
          <w:lang w:val="es-AR"/>
        </w:rPr>
        <w:t xml:space="preserve"> </w:t>
      </w:r>
      <w:r w:rsidRPr="00624696">
        <w:rPr>
          <w:sz w:val="16"/>
          <w:lang w:val="es-AR"/>
        </w:rPr>
        <w:t>presuntas víctimas que son niñas y niños:</w:t>
      </w:r>
    </w:p>
    <w:p w14:paraId="090F136C" w14:textId="77777777" w:rsidR="00467FCA" w:rsidRPr="00624696" w:rsidRDefault="001B68EB">
      <w:pPr>
        <w:pStyle w:val="Prrafodelista"/>
        <w:numPr>
          <w:ilvl w:val="0"/>
          <w:numId w:val="46"/>
        </w:numPr>
        <w:tabs>
          <w:tab w:val="left" w:pos="1127"/>
        </w:tabs>
        <w:ind w:right="117" w:firstLine="0"/>
        <w:jc w:val="both"/>
        <w:rPr>
          <w:sz w:val="16"/>
          <w:lang w:val="es-AR"/>
        </w:rPr>
      </w:pPr>
      <w:r w:rsidRPr="00624696">
        <w:rPr>
          <w:sz w:val="16"/>
          <w:lang w:val="es-AR"/>
        </w:rPr>
        <w:t>Incluye</w:t>
      </w:r>
      <w:r w:rsidRPr="00624696">
        <w:rPr>
          <w:spacing w:val="-9"/>
          <w:sz w:val="16"/>
          <w:lang w:val="es-AR"/>
        </w:rPr>
        <w:t xml:space="preserve"> </w:t>
      </w:r>
      <w:r w:rsidRPr="00624696">
        <w:rPr>
          <w:sz w:val="16"/>
          <w:lang w:val="es-AR"/>
        </w:rPr>
        <w:t>dos</w:t>
      </w:r>
      <w:r w:rsidRPr="00624696">
        <w:rPr>
          <w:spacing w:val="-10"/>
          <w:sz w:val="16"/>
          <w:lang w:val="es-AR"/>
        </w:rPr>
        <w:t xml:space="preserve"> </w:t>
      </w:r>
      <w:r w:rsidRPr="00624696">
        <w:rPr>
          <w:sz w:val="16"/>
          <w:lang w:val="es-AR"/>
        </w:rPr>
        <w:t>veces</w:t>
      </w:r>
      <w:r w:rsidRPr="00624696">
        <w:rPr>
          <w:spacing w:val="-9"/>
          <w:sz w:val="16"/>
          <w:lang w:val="es-AR"/>
        </w:rPr>
        <w:t xml:space="preserve"> </w:t>
      </w:r>
      <w:r w:rsidRPr="00624696">
        <w:rPr>
          <w:sz w:val="16"/>
          <w:lang w:val="es-AR"/>
        </w:rPr>
        <w:t>a</w:t>
      </w:r>
      <w:r w:rsidRPr="00624696">
        <w:rPr>
          <w:spacing w:val="-10"/>
          <w:sz w:val="16"/>
          <w:lang w:val="es-AR"/>
        </w:rPr>
        <w:t xml:space="preserve"> </w:t>
      </w:r>
      <w:r w:rsidRPr="00624696">
        <w:rPr>
          <w:sz w:val="16"/>
          <w:lang w:val="es-AR"/>
        </w:rPr>
        <w:t>Arlete</w:t>
      </w:r>
      <w:r w:rsidRPr="00624696">
        <w:rPr>
          <w:spacing w:val="-11"/>
          <w:sz w:val="16"/>
          <w:lang w:val="es-AR"/>
        </w:rPr>
        <w:t xml:space="preserve"> </w:t>
      </w:r>
      <w:r w:rsidRPr="00624696">
        <w:rPr>
          <w:sz w:val="16"/>
          <w:lang w:val="es-AR"/>
        </w:rPr>
        <w:t>Silva</w:t>
      </w:r>
      <w:r w:rsidRPr="00624696">
        <w:rPr>
          <w:spacing w:val="-8"/>
          <w:sz w:val="16"/>
          <w:lang w:val="es-AR"/>
        </w:rPr>
        <w:t xml:space="preserve"> </w:t>
      </w:r>
      <w:r w:rsidRPr="00624696">
        <w:rPr>
          <w:sz w:val="16"/>
          <w:lang w:val="es-AR"/>
        </w:rPr>
        <w:t>Santos</w:t>
      </w:r>
      <w:r w:rsidRPr="00624696">
        <w:rPr>
          <w:spacing w:val="-11"/>
          <w:sz w:val="16"/>
          <w:lang w:val="es-AR"/>
        </w:rPr>
        <w:t xml:space="preserve"> </w:t>
      </w:r>
      <w:r w:rsidRPr="00624696">
        <w:rPr>
          <w:sz w:val="16"/>
          <w:lang w:val="es-AR"/>
        </w:rPr>
        <w:t>e</w:t>
      </w:r>
      <w:r w:rsidRPr="00624696">
        <w:rPr>
          <w:spacing w:val="-7"/>
          <w:sz w:val="16"/>
          <w:lang w:val="es-AR"/>
        </w:rPr>
        <w:t xml:space="preserve"> </w:t>
      </w:r>
      <w:r w:rsidRPr="00624696">
        <w:rPr>
          <w:sz w:val="16"/>
          <w:lang w:val="es-AR"/>
        </w:rPr>
        <w:t>indica</w:t>
      </w:r>
      <w:r w:rsidRPr="00624696">
        <w:rPr>
          <w:spacing w:val="-7"/>
          <w:sz w:val="16"/>
          <w:lang w:val="es-AR"/>
        </w:rPr>
        <w:t xml:space="preserve"> </w:t>
      </w:r>
      <w:r w:rsidRPr="00624696">
        <w:rPr>
          <w:sz w:val="16"/>
          <w:lang w:val="es-AR"/>
        </w:rPr>
        <w:t>una</w:t>
      </w:r>
      <w:r w:rsidRPr="00624696">
        <w:rPr>
          <w:spacing w:val="-10"/>
          <w:sz w:val="16"/>
          <w:lang w:val="es-AR"/>
        </w:rPr>
        <w:t xml:space="preserve"> </w:t>
      </w:r>
      <w:r w:rsidRPr="00624696">
        <w:rPr>
          <w:sz w:val="16"/>
          <w:lang w:val="es-AR"/>
        </w:rPr>
        <w:t>edad</w:t>
      </w:r>
      <w:r w:rsidRPr="00624696">
        <w:rPr>
          <w:spacing w:val="-9"/>
          <w:sz w:val="16"/>
          <w:lang w:val="es-AR"/>
        </w:rPr>
        <w:t xml:space="preserve"> </w:t>
      </w:r>
      <w:r w:rsidRPr="00624696">
        <w:rPr>
          <w:sz w:val="16"/>
          <w:lang w:val="es-AR"/>
        </w:rPr>
        <w:t>diferente</w:t>
      </w:r>
      <w:r w:rsidRPr="00624696">
        <w:rPr>
          <w:spacing w:val="-8"/>
          <w:sz w:val="16"/>
          <w:lang w:val="es-AR"/>
        </w:rPr>
        <w:t xml:space="preserve"> </w:t>
      </w:r>
      <w:r w:rsidRPr="00624696">
        <w:rPr>
          <w:sz w:val="16"/>
          <w:lang w:val="es-AR"/>
        </w:rPr>
        <w:t>en</w:t>
      </w:r>
      <w:r w:rsidRPr="00624696">
        <w:rPr>
          <w:spacing w:val="-8"/>
          <w:sz w:val="16"/>
          <w:lang w:val="es-AR"/>
        </w:rPr>
        <w:t xml:space="preserve"> </w:t>
      </w:r>
      <w:r w:rsidRPr="00624696">
        <w:rPr>
          <w:sz w:val="16"/>
          <w:lang w:val="es-AR"/>
        </w:rPr>
        <w:t>cada</w:t>
      </w:r>
      <w:r w:rsidRPr="00624696">
        <w:rPr>
          <w:spacing w:val="-9"/>
          <w:sz w:val="16"/>
          <w:lang w:val="es-AR"/>
        </w:rPr>
        <w:t xml:space="preserve"> </w:t>
      </w:r>
      <w:r w:rsidRPr="00624696">
        <w:rPr>
          <w:sz w:val="16"/>
          <w:lang w:val="es-AR"/>
        </w:rPr>
        <w:t>registro</w:t>
      </w:r>
      <w:r w:rsidRPr="00624696">
        <w:rPr>
          <w:spacing w:val="-7"/>
          <w:sz w:val="16"/>
          <w:lang w:val="es-AR"/>
        </w:rPr>
        <w:t xml:space="preserve"> </w:t>
      </w:r>
      <w:r w:rsidRPr="00624696">
        <w:rPr>
          <w:sz w:val="16"/>
          <w:lang w:val="es-AR"/>
        </w:rPr>
        <w:t>(14</w:t>
      </w:r>
      <w:r w:rsidRPr="00624696">
        <w:rPr>
          <w:spacing w:val="-8"/>
          <w:sz w:val="16"/>
          <w:lang w:val="es-AR"/>
        </w:rPr>
        <w:t xml:space="preserve"> </w:t>
      </w:r>
      <w:r w:rsidRPr="00624696">
        <w:rPr>
          <w:sz w:val="16"/>
          <w:lang w:val="es-AR"/>
        </w:rPr>
        <w:t>y</w:t>
      </w:r>
      <w:r w:rsidRPr="00624696">
        <w:rPr>
          <w:spacing w:val="-9"/>
          <w:sz w:val="16"/>
          <w:lang w:val="es-AR"/>
        </w:rPr>
        <w:t xml:space="preserve"> </w:t>
      </w:r>
      <w:r w:rsidRPr="00624696">
        <w:rPr>
          <w:sz w:val="16"/>
          <w:lang w:val="es-AR"/>
        </w:rPr>
        <w:t>15</w:t>
      </w:r>
      <w:r w:rsidRPr="00624696">
        <w:rPr>
          <w:spacing w:val="-5"/>
          <w:sz w:val="16"/>
          <w:lang w:val="es-AR"/>
        </w:rPr>
        <w:t xml:space="preserve"> </w:t>
      </w:r>
      <w:r w:rsidRPr="00624696">
        <w:rPr>
          <w:sz w:val="16"/>
          <w:lang w:val="es-AR"/>
        </w:rPr>
        <w:t>años).</w:t>
      </w:r>
      <w:r w:rsidRPr="00624696">
        <w:rPr>
          <w:spacing w:val="-8"/>
          <w:sz w:val="16"/>
          <w:lang w:val="es-AR"/>
        </w:rPr>
        <w:t xml:space="preserve"> </w:t>
      </w:r>
      <w:r w:rsidRPr="00624696">
        <w:rPr>
          <w:sz w:val="16"/>
          <w:lang w:val="es-AR"/>
        </w:rPr>
        <w:t>Esta Corte aceptará solo uno de los registros (expediente de fondo, folio 47);</w:t>
      </w:r>
      <w:r w:rsidRPr="00624696">
        <w:rPr>
          <w:spacing w:val="-7"/>
          <w:sz w:val="16"/>
          <w:lang w:val="es-AR"/>
        </w:rPr>
        <w:t xml:space="preserve"> </w:t>
      </w:r>
      <w:r w:rsidRPr="00624696">
        <w:rPr>
          <w:sz w:val="16"/>
          <w:lang w:val="es-AR"/>
        </w:rPr>
        <w:t>y</w:t>
      </w:r>
    </w:p>
    <w:p w14:paraId="2268C6B7" w14:textId="77777777" w:rsidR="00467FCA" w:rsidRPr="00624696" w:rsidRDefault="001B68EB">
      <w:pPr>
        <w:pStyle w:val="Prrafodelista"/>
        <w:numPr>
          <w:ilvl w:val="0"/>
          <w:numId w:val="46"/>
        </w:numPr>
        <w:tabs>
          <w:tab w:val="left" w:pos="1131"/>
        </w:tabs>
        <w:spacing w:line="242" w:lineRule="auto"/>
        <w:ind w:left="827" w:right="116" w:firstLine="0"/>
        <w:jc w:val="both"/>
        <w:rPr>
          <w:sz w:val="16"/>
          <w:lang w:val="es-AR"/>
        </w:rPr>
      </w:pPr>
      <w:r w:rsidRPr="00624696">
        <w:rPr>
          <w:sz w:val="16"/>
          <w:lang w:val="es-AR"/>
        </w:rPr>
        <w:t>No</w:t>
      </w:r>
      <w:r w:rsidRPr="00624696">
        <w:rPr>
          <w:spacing w:val="-4"/>
          <w:sz w:val="16"/>
          <w:lang w:val="es-AR"/>
        </w:rPr>
        <w:t xml:space="preserve"> </w:t>
      </w:r>
      <w:r w:rsidRPr="00624696">
        <w:rPr>
          <w:sz w:val="16"/>
          <w:lang w:val="es-AR"/>
        </w:rPr>
        <w:t>señala</w:t>
      </w:r>
      <w:r w:rsidRPr="00624696">
        <w:rPr>
          <w:spacing w:val="-2"/>
          <w:sz w:val="16"/>
          <w:lang w:val="es-AR"/>
        </w:rPr>
        <w:t xml:space="preserve"> </w:t>
      </w:r>
      <w:r w:rsidRPr="00624696">
        <w:rPr>
          <w:sz w:val="16"/>
          <w:lang w:val="es-AR"/>
        </w:rPr>
        <w:t>la</w:t>
      </w:r>
      <w:r w:rsidRPr="00624696">
        <w:rPr>
          <w:spacing w:val="-6"/>
          <w:sz w:val="16"/>
          <w:lang w:val="es-AR"/>
        </w:rPr>
        <w:t xml:space="preserve"> </w:t>
      </w:r>
      <w:r w:rsidRPr="00624696">
        <w:rPr>
          <w:sz w:val="16"/>
          <w:lang w:val="es-AR"/>
        </w:rPr>
        <w:t>edad</w:t>
      </w:r>
      <w:r w:rsidRPr="00624696">
        <w:rPr>
          <w:spacing w:val="-1"/>
          <w:sz w:val="16"/>
          <w:lang w:val="es-AR"/>
        </w:rPr>
        <w:t xml:space="preserve"> </w:t>
      </w:r>
      <w:r w:rsidRPr="00624696">
        <w:rPr>
          <w:sz w:val="16"/>
          <w:lang w:val="es-AR"/>
        </w:rPr>
        <w:t>de</w:t>
      </w:r>
      <w:r w:rsidRPr="00624696">
        <w:rPr>
          <w:spacing w:val="-4"/>
          <w:sz w:val="16"/>
          <w:lang w:val="es-AR"/>
        </w:rPr>
        <w:t xml:space="preserve"> </w:t>
      </w:r>
      <w:r w:rsidRPr="00624696">
        <w:rPr>
          <w:sz w:val="16"/>
          <w:lang w:val="es-AR"/>
        </w:rPr>
        <w:t>Alex</w:t>
      </w:r>
      <w:r w:rsidRPr="00624696">
        <w:rPr>
          <w:spacing w:val="-7"/>
          <w:sz w:val="16"/>
          <w:lang w:val="es-AR"/>
        </w:rPr>
        <w:t xml:space="preserve"> </w:t>
      </w:r>
      <w:r w:rsidRPr="00624696">
        <w:rPr>
          <w:sz w:val="16"/>
          <w:lang w:val="es-AR"/>
        </w:rPr>
        <w:t>Santos</w:t>
      </w:r>
      <w:r w:rsidRPr="00624696">
        <w:rPr>
          <w:spacing w:val="-4"/>
          <w:sz w:val="16"/>
          <w:lang w:val="es-AR"/>
        </w:rPr>
        <w:t xml:space="preserve"> </w:t>
      </w:r>
      <w:r w:rsidRPr="00624696">
        <w:rPr>
          <w:sz w:val="16"/>
          <w:lang w:val="es-AR"/>
        </w:rPr>
        <w:t>Costa</w:t>
      </w:r>
      <w:r w:rsidRPr="00624696">
        <w:rPr>
          <w:spacing w:val="-5"/>
          <w:sz w:val="16"/>
          <w:lang w:val="es-AR"/>
        </w:rPr>
        <w:t xml:space="preserve"> </w:t>
      </w:r>
      <w:r w:rsidRPr="00624696">
        <w:rPr>
          <w:sz w:val="16"/>
          <w:lang w:val="es-AR"/>
        </w:rPr>
        <w:t>de</w:t>
      </w:r>
      <w:r w:rsidRPr="00624696">
        <w:rPr>
          <w:spacing w:val="-7"/>
          <w:sz w:val="16"/>
          <w:lang w:val="es-AR"/>
        </w:rPr>
        <w:t xml:space="preserve"> </w:t>
      </w:r>
      <w:r w:rsidRPr="00624696">
        <w:rPr>
          <w:sz w:val="16"/>
          <w:lang w:val="es-AR"/>
        </w:rPr>
        <w:t>14</w:t>
      </w:r>
      <w:r w:rsidRPr="00624696">
        <w:rPr>
          <w:spacing w:val="-3"/>
          <w:sz w:val="16"/>
          <w:lang w:val="es-AR"/>
        </w:rPr>
        <w:t xml:space="preserve"> </w:t>
      </w:r>
      <w:r w:rsidRPr="00624696">
        <w:rPr>
          <w:sz w:val="16"/>
          <w:lang w:val="es-AR"/>
        </w:rPr>
        <w:t>años,</w:t>
      </w:r>
      <w:r w:rsidRPr="00624696">
        <w:rPr>
          <w:spacing w:val="-2"/>
          <w:sz w:val="16"/>
          <w:lang w:val="es-AR"/>
        </w:rPr>
        <w:t xml:space="preserve"> </w:t>
      </w:r>
      <w:r w:rsidRPr="00624696">
        <w:rPr>
          <w:sz w:val="16"/>
          <w:lang w:val="es-AR"/>
        </w:rPr>
        <w:t>ni</w:t>
      </w:r>
      <w:r w:rsidRPr="00624696">
        <w:rPr>
          <w:spacing w:val="-6"/>
          <w:sz w:val="16"/>
          <w:lang w:val="es-AR"/>
        </w:rPr>
        <w:t xml:space="preserve"> </w:t>
      </w:r>
      <w:r w:rsidRPr="00624696">
        <w:rPr>
          <w:sz w:val="16"/>
          <w:lang w:val="es-AR"/>
        </w:rPr>
        <w:t>de</w:t>
      </w:r>
      <w:r w:rsidRPr="00624696">
        <w:rPr>
          <w:spacing w:val="-4"/>
          <w:sz w:val="16"/>
          <w:lang w:val="es-AR"/>
        </w:rPr>
        <w:t xml:space="preserve"> </w:t>
      </w:r>
      <w:r w:rsidRPr="00624696">
        <w:rPr>
          <w:sz w:val="16"/>
          <w:lang w:val="es-AR"/>
        </w:rPr>
        <w:t>Maria</w:t>
      </w:r>
      <w:r w:rsidRPr="00624696">
        <w:rPr>
          <w:spacing w:val="-3"/>
          <w:sz w:val="16"/>
          <w:lang w:val="es-AR"/>
        </w:rPr>
        <w:t xml:space="preserve"> </w:t>
      </w:r>
      <w:r w:rsidRPr="00624696">
        <w:rPr>
          <w:sz w:val="16"/>
          <w:lang w:val="es-AR"/>
        </w:rPr>
        <w:t>Joelma</w:t>
      </w:r>
      <w:r w:rsidRPr="00624696">
        <w:rPr>
          <w:spacing w:val="-4"/>
          <w:sz w:val="16"/>
          <w:lang w:val="es-AR"/>
        </w:rPr>
        <w:t xml:space="preserve"> </w:t>
      </w:r>
      <w:r w:rsidRPr="00624696">
        <w:rPr>
          <w:sz w:val="16"/>
          <w:lang w:val="es-AR"/>
        </w:rPr>
        <w:t>de</w:t>
      </w:r>
      <w:r w:rsidRPr="00624696">
        <w:rPr>
          <w:spacing w:val="-1"/>
          <w:sz w:val="16"/>
          <w:lang w:val="es-AR"/>
        </w:rPr>
        <w:t xml:space="preserve"> </w:t>
      </w:r>
      <w:r w:rsidRPr="00624696">
        <w:rPr>
          <w:sz w:val="16"/>
          <w:lang w:val="es-AR"/>
        </w:rPr>
        <w:t>Jesus</w:t>
      </w:r>
      <w:r w:rsidRPr="00624696">
        <w:rPr>
          <w:spacing w:val="-5"/>
          <w:sz w:val="16"/>
          <w:lang w:val="es-AR"/>
        </w:rPr>
        <w:t xml:space="preserve"> </w:t>
      </w:r>
      <w:r w:rsidRPr="00624696">
        <w:rPr>
          <w:sz w:val="16"/>
          <w:lang w:val="es-AR"/>
        </w:rPr>
        <w:t>Santos</w:t>
      </w:r>
      <w:r w:rsidRPr="00624696">
        <w:rPr>
          <w:spacing w:val="-4"/>
          <w:sz w:val="16"/>
          <w:lang w:val="es-AR"/>
        </w:rPr>
        <w:t xml:space="preserve"> </w:t>
      </w:r>
      <w:r w:rsidRPr="00624696">
        <w:rPr>
          <w:sz w:val="16"/>
          <w:lang w:val="es-AR"/>
        </w:rPr>
        <w:t>de</w:t>
      </w:r>
      <w:r w:rsidRPr="00624696">
        <w:rPr>
          <w:spacing w:val="-4"/>
          <w:sz w:val="16"/>
          <w:lang w:val="es-AR"/>
        </w:rPr>
        <w:t xml:space="preserve"> </w:t>
      </w:r>
      <w:r w:rsidRPr="00624696">
        <w:rPr>
          <w:sz w:val="16"/>
          <w:lang w:val="es-AR"/>
        </w:rPr>
        <w:t>17</w:t>
      </w:r>
      <w:r w:rsidRPr="00624696">
        <w:rPr>
          <w:spacing w:val="-2"/>
          <w:sz w:val="16"/>
          <w:lang w:val="es-AR"/>
        </w:rPr>
        <w:t xml:space="preserve"> </w:t>
      </w:r>
      <w:r w:rsidRPr="00624696">
        <w:rPr>
          <w:sz w:val="16"/>
          <w:lang w:val="es-AR"/>
        </w:rPr>
        <w:t>años,</w:t>
      </w:r>
      <w:r w:rsidRPr="00624696">
        <w:rPr>
          <w:spacing w:val="-3"/>
          <w:sz w:val="16"/>
          <w:lang w:val="es-AR"/>
        </w:rPr>
        <w:t xml:space="preserve"> </w:t>
      </w:r>
      <w:r w:rsidRPr="00624696">
        <w:rPr>
          <w:sz w:val="16"/>
          <w:lang w:val="es-AR"/>
        </w:rPr>
        <w:t>las cuales sí son presentadas por los representantes (expediente de fondo, folios 279 y</w:t>
      </w:r>
      <w:r w:rsidRPr="00624696">
        <w:rPr>
          <w:spacing w:val="-16"/>
          <w:sz w:val="16"/>
          <w:lang w:val="es-AR"/>
        </w:rPr>
        <w:t xml:space="preserve"> </w:t>
      </w:r>
      <w:r w:rsidRPr="00624696">
        <w:rPr>
          <w:sz w:val="16"/>
          <w:lang w:val="es-AR"/>
        </w:rPr>
        <w:t>280).</w:t>
      </w:r>
    </w:p>
    <w:p w14:paraId="289C21F7" w14:textId="77777777" w:rsidR="00467FCA" w:rsidRPr="00624696" w:rsidRDefault="001B68EB">
      <w:pPr>
        <w:ind w:left="117" w:right="115"/>
        <w:jc w:val="both"/>
        <w:rPr>
          <w:sz w:val="16"/>
          <w:lang w:val="es-AR"/>
        </w:rPr>
      </w:pPr>
      <w:r w:rsidRPr="00624696">
        <w:rPr>
          <w:sz w:val="16"/>
          <w:lang w:val="es-AR"/>
        </w:rPr>
        <w:t>Por</w:t>
      </w:r>
      <w:r w:rsidRPr="00624696">
        <w:rPr>
          <w:spacing w:val="-4"/>
          <w:sz w:val="16"/>
          <w:lang w:val="es-AR"/>
        </w:rPr>
        <w:t xml:space="preserve"> </w:t>
      </w:r>
      <w:r w:rsidRPr="00624696">
        <w:rPr>
          <w:sz w:val="16"/>
          <w:lang w:val="es-AR"/>
        </w:rPr>
        <w:t>otra</w:t>
      </w:r>
      <w:r w:rsidRPr="00624696">
        <w:rPr>
          <w:spacing w:val="-5"/>
          <w:sz w:val="16"/>
          <w:lang w:val="es-AR"/>
        </w:rPr>
        <w:t xml:space="preserve"> </w:t>
      </w:r>
      <w:r w:rsidRPr="00624696">
        <w:rPr>
          <w:sz w:val="16"/>
          <w:lang w:val="es-AR"/>
        </w:rPr>
        <w:t>parte,</w:t>
      </w:r>
      <w:r w:rsidRPr="00624696">
        <w:rPr>
          <w:spacing w:val="-3"/>
          <w:sz w:val="16"/>
          <w:lang w:val="es-AR"/>
        </w:rPr>
        <w:t xml:space="preserve"> </w:t>
      </w:r>
      <w:r w:rsidRPr="00624696">
        <w:rPr>
          <w:sz w:val="16"/>
          <w:lang w:val="es-AR"/>
        </w:rPr>
        <w:t>los</w:t>
      </w:r>
      <w:r w:rsidRPr="00624696">
        <w:rPr>
          <w:spacing w:val="-5"/>
          <w:sz w:val="16"/>
          <w:lang w:val="es-AR"/>
        </w:rPr>
        <w:t xml:space="preserve"> </w:t>
      </w:r>
      <w:r w:rsidRPr="00624696">
        <w:rPr>
          <w:sz w:val="16"/>
          <w:lang w:val="es-AR"/>
        </w:rPr>
        <w:t>representantes</w:t>
      </w:r>
      <w:r w:rsidRPr="00624696">
        <w:rPr>
          <w:spacing w:val="-2"/>
          <w:sz w:val="16"/>
          <w:lang w:val="es-AR"/>
        </w:rPr>
        <w:t xml:space="preserve"> </w:t>
      </w:r>
      <w:r w:rsidRPr="00624696">
        <w:rPr>
          <w:sz w:val="16"/>
          <w:lang w:val="es-AR"/>
        </w:rPr>
        <w:t>señalaron</w:t>
      </w:r>
      <w:r w:rsidRPr="00624696">
        <w:rPr>
          <w:spacing w:val="-3"/>
          <w:sz w:val="16"/>
          <w:lang w:val="es-AR"/>
        </w:rPr>
        <w:t xml:space="preserve"> </w:t>
      </w:r>
      <w:r w:rsidRPr="00624696">
        <w:rPr>
          <w:sz w:val="16"/>
          <w:lang w:val="es-AR"/>
        </w:rPr>
        <w:t>que</w:t>
      </w:r>
      <w:r w:rsidRPr="00624696">
        <w:rPr>
          <w:spacing w:val="-2"/>
          <w:sz w:val="16"/>
          <w:lang w:val="es-AR"/>
        </w:rPr>
        <w:t xml:space="preserve"> </w:t>
      </w:r>
      <w:r w:rsidRPr="00624696">
        <w:rPr>
          <w:sz w:val="16"/>
          <w:lang w:val="es-AR"/>
        </w:rPr>
        <w:t>el</w:t>
      </w:r>
      <w:r w:rsidRPr="00624696">
        <w:rPr>
          <w:spacing w:val="-6"/>
          <w:sz w:val="16"/>
          <w:lang w:val="es-AR"/>
        </w:rPr>
        <w:t xml:space="preserve"> </w:t>
      </w:r>
      <w:r w:rsidRPr="00624696">
        <w:rPr>
          <w:sz w:val="16"/>
          <w:lang w:val="es-AR"/>
        </w:rPr>
        <w:t>número</w:t>
      </w:r>
      <w:r w:rsidRPr="00624696">
        <w:rPr>
          <w:spacing w:val="-4"/>
          <w:sz w:val="16"/>
          <w:lang w:val="es-AR"/>
        </w:rPr>
        <w:t xml:space="preserve"> </w:t>
      </w:r>
      <w:r w:rsidRPr="00624696">
        <w:rPr>
          <w:sz w:val="16"/>
          <w:lang w:val="es-AR"/>
        </w:rPr>
        <w:t>de</w:t>
      </w:r>
      <w:r w:rsidRPr="00624696">
        <w:rPr>
          <w:spacing w:val="-2"/>
          <w:sz w:val="16"/>
          <w:lang w:val="es-AR"/>
        </w:rPr>
        <w:t xml:space="preserve"> </w:t>
      </w:r>
      <w:r w:rsidRPr="00624696">
        <w:rPr>
          <w:sz w:val="16"/>
          <w:lang w:val="es-AR"/>
        </w:rPr>
        <w:t>niñas</w:t>
      </w:r>
      <w:r w:rsidRPr="00624696">
        <w:rPr>
          <w:spacing w:val="-5"/>
          <w:sz w:val="16"/>
          <w:lang w:val="es-AR"/>
        </w:rPr>
        <w:t xml:space="preserve"> </w:t>
      </w:r>
      <w:r w:rsidRPr="00624696">
        <w:rPr>
          <w:sz w:val="16"/>
          <w:lang w:val="es-AR"/>
        </w:rPr>
        <w:t>y</w:t>
      </w:r>
      <w:r w:rsidRPr="00624696">
        <w:rPr>
          <w:spacing w:val="-2"/>
          <w:sz w:val="16"/>
          <w:lang w:val="es-AR"/>
        </w:rPr>
        <w:t xml:space="preserve"> </w:t>
      </w:r>
      <w:r w:rsidRPr="00624696">
        <w:rPr>
          <w:sz w:val="16"/>
          <w:lang w:val="es-AR"/>
        </w:rPr>
        <w:t>niños</w:t>
      </w:r>
      <w:r w:rsidRPr="00624696">
        <w:rPr>
          <w:spacing w:val="-5"/>
          <w:sz w:val="16"/>
          <w:lang w:val="es-AR"/>
        </w:rPr>
        <w:t xml:space="preserve"> </w:t>
      </w:r>
      <w:r w:rsidRPr="00624696">
        <w:rPr>
          <w:sz w:val="16"/>
          <w:lang w:val="es-AR"/>
        </w:rPr>
        <w:t>que</w:t>
      </w:r>
      <w:r w:rsidRPr="00624696">
        <w:rPr>
          <w:spacing w:val="-5"/>
          <w:sz w:val="16"/>
          <w:lang w:val="es-AR"/>
        </w:rPr>
        <w:t xml:space="preserve"> </w:t>
      </w:r>
      <w:r w:rsidRPr="00624696">
        <w:rPr>
          <w:sz w:val="16"/>
          <w:lang w:val="es-AR"/>
        </w:rPr>
        <w:t>fallecieron</w:t>
      </w:r>
      <w:r w:rsidRPr="00624696">
        <w:rPr>
          <w:spacing w:val="-3"/>
          <w:sz w:val="16"/>
          <w:lang w:val="es-AR"/>
        </w:rPr>
        <w:t xml:space="preserve"> </w:t>
      </w:r>
      <w:r w:rsidRPr="00624696">
        <w:rPr>
          <w:sz w:val="16"/>
          <w:lang w:val="es-AR"/>
        </w:rPr>
        <w:t>fue</w:t>
      </w:r>
      <w:r w:rsidRPr="00624696">
        <w:rPr>
          <w:spacing w:val="-5"/>
          <w:sz w:val="16"/>
          <w:lang w:val="es-AR"/>
        </w:rPr>
        <w:t xml:space="preserve"> </w:t>
      </w:r>
      <w:r w:rsidRPr="00624696">
        <w:rPr>
          <w:sz w:val="16"/>
          <w:lang w:val="es-AR"/>
        </w:rPr>
        <w:t>de</w:t>
      </w:r>
      <w:r w:rsidRPr="00624696">
        <w:rPr>
          <w:spacing w:val="-5"/>
          <w:sz w:val="16"/>
          <w:lang w:val="es-AR"/>
        </w:rPr>
        <w:t xml:space="preserve"> </w:t>
      </w:r>
      <w:r w:rsidRPr="00624696">
        <w:rPr>
          <w:sz w:val="16"/>
          <w:lang w:val="es-AR"/>
        </w:rPr>
        <w:t>25.</w:t>
      </w:r>
      <w:r w:rsidRPr="00624696">
        <w:rPr>
          <w:spacing w:val="-6"/>
          <w:sz w:val="16"/>
          <w:lang w:val="es-AR"/>
        </w:rPr>
        <w:t xml:space="preserve"> </w:t>
      </w:r>
      <w:r w:rsidRPr="00624696">
        <w:rPr>
          <w:sz w:val="16"/>
          <w:lang w:val="es-AR"/>
        </w:rPr>
        <w:t>Sin</w:t>
      </w:r>
      <w:r w:rsidRPr="00624696">
        <w:rPr>
          <w:spacing w:val="-4"/>
          <w:sz w:val="16"/>
          <w:lang w:val="es-AR"/>
        </w:rPr>
        <w:t xml:space="preserve"> </w:t>
      </w:r>
      <w:r w:rsidRPr="00624696">
        <w:rPr>
          <w:sz w:val="16"/>
          <w:lang w:val="es-AR"/>
        </w:rPr>
        <w:t>embargo, de las pruebas se desprende que el número de niñas y niños es el indicado en este párrafo. Así, por ejemplo, el escrito de solicitudes y argumentos indica que Edilene Silva dos Santos tenía 17 años, lo cual contrasta con lo dicho por la Comisión e</w:t>
      </w:r>
      <w:r w:rsidRPr="00624696">
        <w:rPr>
          <w:sz w:val="16"/>
          <w:lang w:val="es-AR"/>
        </w:rPr>
        <w:t>n su Informe de Admisibilidad y Fondo, en el cual indicó que tenía 18 años. Esta última es la edad que debe ser tomada en cuenta, según la información contenida en los folios 167 y 615 del expediente de</w:t>
      </w:r>
      <w:r w:rsidRPr="00624696">
        <w:rPr>
          <w:spacing w:val="-31"/>
          <w:sz w:val="16"/>
          <w:lang w:val="es-AR"/>
        </w:rPr>
        <w:t xml:space="preserve"> </w:t>
      </w:r>
      <w:r w:rsidRPr="00624696">
        <w:rPr>
          <w:sz w:val="16"/>
          <w:lang w:val="es-AR"/>
        </w:rPr>
        <w:t>prueba.</w:t>
      </w:r>
    </w:p>
    <w:p w14:paraId="08CFBF26" w14:textId="77777777" w:rsidR="00467FCA" w:rsidRPr="00624696" w:rsidRDefault="001B68EB">
      <w:pPr>
        <w:tabs>
          <w:tab w:val="left" w:pos="839"/>
        </w:tabs>
        <w:ind w:left="119" w:right="113"/>
        <w:jc w:val="both"/>
        <w:rPr>
          <w:sz w:val="16"/>
          <w:lang w:val="es-AR"/>
        </w:rPr>
      </w:pPr>
      <w:bookmarkStart w:id="89" w:name="_bookmark72"/>
      <w:bookmarkEnd w:id="89"/>
      <w:r w:rsidRPr="00624696">
        <w:rPr>
          <w:position w:val="6"/>
          <w:sz w:val="10"/>
          <w:lang w:val="es-AR"/>
        </w:rPr>
        <w:t>56</w:t>
      </w:r>
      <w:r w:rsidRPr="00624696">
        <w:rPr>
          <w:position w:val="6"/>
          <w:sz w:val="10"/>
          <w:lang w:val="es-AR"/>
        </w:rPr>
        <w:tab/>
      </w:r>
      <w:r w:rsidRPr="00624696">
        <w:rPr>
          <w:sz w:val="16"/>
          <w:lang w:val="es-AR"/>
        </w:rPr>
        <w:t>Según la Comisión y los representantes, al</w:t>
      </w:r>
      <w:r w:rsidRPr="00624696">
        <w:rPr>
          <w:sz w:val="16"/>
          <w:lang w:val="es-AR"/>
        </w:rPr>
        <w:t xml:space="preserve"> momento de la explosión de la fábrica de fuegos artificiales, la madre</w:t>
      </w:r>
      <w:r w:rsidRPr="00624696">
        <w:rPr>
          <w:spacing w:val="-7"/>
          <w:sz w:val="16"/>
          <w:lang w:val="es-AR"/>
        </w:rPr>
        <w:t xml:space="preserve"> </w:t>
      </w:r>
      <w:r w:rsidRPr="00624696">
        <w:rPr>
          <w:sz w:val="16"/>
          <w:lang w:val="es-AR"/>
        </w:rPr>
        <w:t>de</w:t>
      </w:r>
      <w:r w:rsidRPr="00624696">
        <w:rPr>
          <w:spacing w:val="-6"/>
          <w:sz w:val="16"/>
          <w:lang w:val="es-AR"/>
        </w:rPr>
        <w:t xml:space="preserve"> </w:t>
      </w:r>
      <w:r w:rsidRPr="00624696">
        <w:rPr>
          <w:sz w:val="16"/>
          <w:lang w:val="es-AR"/>
        </w:rPr>
        <w:t>Vitória</w:t>
      </w:r>
      <w:r w:rsidRPr="00624696">
        <w:rPr>
          <w:spacing w:val="-8"/>
          <w:sz w:val="16"/>
          <w:lang w:val="es-AR"/>
        </w:rPr>
        <w:t xml:space="preserve"> </w:t>
      </w:r>
      <w:r w:rsidRPr="00624696">
        <w:rPr>
          <w:sz w:val="16"/>
          <w:lang w:val="es-AR"/>
        </w:rPr>
        <w:t>França</w:t>
      </w:r>
      <w:r w:rsidRPr="00624696">
        <w:rPr>
          <w:spacing w:val="-5"/>
          <w:sz w:val="16"/>
          <w:lang w:val="es-AR"/>
        </w:rPr>
        <w:t xml:space="preserve"> </w:t>
      </w:r>
      <w:r w:rsidRPr="00624696">
        <w:rPr>
          <w:sz w:val="16"/>
          <w:lang w:val="es-AR"/>
        </w:rPr>
        <w:t>da</w:t>
      </w:r>
      <w:r w:rsidRPr="00624696">
        <w:rPr>
          <w:spacing w:val="-8"/>
          <w:sz w:val="16"/>
          <w:lang w:val="es-AR"/>
        </w:rPr>
        <w:t xml:space="preserve"> </w:t>
      </w:r>
      <w:r w:rsidRPr="00624696">
        <w:rPr>
          <w:sz w:val="16"/>
          <w:lang w:val="es-AR"/>
        </w:rPr>
        <w:t>Silva</w:t>
      </w:r>
      <w:r w:rsidRPr="00624696">
        <w:rPr>
          <w:spacing w:val="-5"/>
          <w:sz w:val="16"/>
          <w:lang w:val="es-AR"/>
        </w:rPr>
        <w:t xml:space="preserve"> </w:t>
      </w:r>
      <w:r w:rsidRPr="00624696">
        <w:rPr>
          <w:sz w:val="16"/>
          <w:lang w:val="es-AR"/>
        </w:rPr>
        <w:t>tenía</w:t>
      </w:r>
      <w:r w:rsidRPr="00624696">
        <w:rPr>
          <w:spacing w:val="-6"/>
          <w:sz w:val="16"/>
          <w:lang w:val="es-AR"/>
        </w:rPr>
        <w:t xml:space="preserve"> </w:t>
      </w:r>
      <w:r w:rsidRPr="00624696">
        <w:rPr>
          <w:sz w:val="16"/>
          <w:lang w:val="es-AR"/>
        </w:rPr>
        <w:t>5</w:t>
      </w:r>
      <w:r w:rsidRPr="00624696">
        <w:rPr>
          <w:spacing w:val="-3"/>
          <w:sz w:val="16"/>
          <w:lang w:val="es-AR"/>
        </w:rPr>
        <w:t xml:space="preserve"> </w:t>
      </w:r>
      <w:r w:rsidRPr="00624696">
        <w:rPr>
          <w:sz w:val="16"/>
          <w:lang w:val="es-AR"/>
        </w:rPr>
        <w:t>meses</w:t>
      </w:r>
      <w:r w:rsidRPr="00624696">
        <w:rPr>
          <w:spacing w:val="-7"/>
          <w:sz w:val="16"/>
          <w:lang w:val="es-AR"/>
        </w:rPr>
        <w:t xml:space="preserve"> </w:t>
      </w:r>
      <w:r w:rsidRPr="00624696">
        <w:rPr>
          <w:sz w:val="16"/>
          <w:lang w:val="es-AR"/>
        </w:rPr>
        <w:t>de</w:t>
      </w:r>
      <w:r w:rsidRPr="00624696">
        <w:rPr>
          <w:spacing w:val="-6"/>
          <w:sz w:val="16"/>
          <w:lang w:val="es-AR"/>
        </w:rPr>
        <w:t xml:space="preserve"> </w:t>
      </w:r>
      <w:r w:rsidRPr="00624696">
        <w:rPr>
          <w:sz w:val="16"/>
          <w:lang w:val="es-AR"/>
        </w:rPr>
        <w:t>gestación.</w:t>
      </w:r>
      <w:r w:rsidRPr="00624696">
        <w:rPr>
          <w:spacing w:val="-6"/>
          <w:sz w:val="16"/>
          <w:lang w:val="es-AR"/>
        </w:rPr>
        <w:t xml:space="preserve"> </w:t>
      </w:r>
      <w:r w:rsidRPr="00624696">
        <w:rPr>
          <w:sz w:val="16"/>
          <w:lang w:val="es-AR"/>
        </w:rPr>
        <w:t>Alegan</w:t>
      </w:r>
      <w:r w:rsidRPr="00624696">
        <w:rPr>
          <w:spacing w:val="-5"/>
          <w:sz w:val="16"/>
          <w:lang w:val="es-AR"/>
        </w:rPr>
        <w:t xml:space="preserve"> </w:t>
      </w:r>
      <w:r w:rsidRPr="00624696">
        <w:rPr>
          <w:sz w:val="16"/>
          <w:lang w:val="es-AR"/>
        </w:rPr>
        <w:t>también</w:t>
      </w:r>
      <w:r w:rsidRPr="00624696">
        <w:rPr>
          <w:spacing w:val="-8"/>
          <w:sz w:val="16"/>
          <w:lang w:val="es-AR"/>
        </w:rPr>
        <w:t xml:space="preserve"> </w:t>
      </w:r>
      <w:r w:rsidRPr="00624696">
        <w:rPr>
          <w:sz w:val="16"/>
          <w:lang w:val="es-AR"/>
        </w:rPr>
        <w:t>que,</w:t>
      </w:r>
      <w:r w:rsidRPr="00624696">
        <w:rPr>
          <w:spacing w:val="-5"/>
          <w:sz w:val="16"/>
          <w:lang w:val="es-AR"/>
        </w:rPr>
        <w:t xml:space="preserve"> </w:t>
      </w:r>
      <w:r w:rsidRPr="00624696">
        <w:rPr>
          <w:sz w:val="16"/>
          <w:lang w:val="es-AR"/>
        </w:rPr>
        <w:t>tanto</w:t>
      </w:r>
      <w:r w:rsidRPr="00624696">
        <w:rPr>
          <w:spacing w:val="-4"/>
          <w:sz w:val="16"/>
          <w:lang w:val="es-AR"/>
        </w:rPr>
        <w:t xml:space="preserve"> </w:t>
      </w:r>
      <w:r w:rsidRPr="00624696">
        <w:rPr>
          <w:sz w:val="16"/>
          <w:lang w:val="es-AR"/>
        </w:rPr>
        <w:t>el</w:t>
      </w:r>
      <w:r w:rsidRPr="00624696">
        <w:rPr>
          <w:spacing w:val="-7"/>
          <w:sz w:val="16"/>
          <w:lang w:val="es-AR"/>
        </w:rPr>
        <w:t xml:space="preserve"> </w:t>
      </w:r>
      <w:r w:rsidRPr="00624696">
        <w:rPr>
          <w:sz w:val="16"/>
          <w:lang w:val="es-AR"/>
        </w:rPr>
        <w:t>nacimiento</w:t>
      </w:r>
      <w:r w:rsidRPr="00624696">
        <w:rPr>
          <w:spacing w:val="-4"/>
          <w:sz w:val="16"/>
          <w:lang w:val="es-AR"/>
        </w:rPr>
        <w:t xml:space="preserve"> </w:t>
      </w:r>
      <w:r w:rsidRPr="00624696">
        <w:rPr>
          <w:sz w:val="16"/>
          <w:lang w:val="es-AR"/>
        </w:rPr>
        <w:t>prematuro</w:t>
      </w:r>
      <w:r w:rsidRPr="00624696">
        <w:rPr>
          <w:spacing w:val="-5"/>
          <w:sz w:val="16"/>
          <w:lang w:val="es-AR"/>
        </w:rPr>
        <w:t xml:space="preserve"> </w:t>
      </w:r>
      <w:r w:rsidRPr="00624696">
        <w:rPr>
          <w:sz w:val="16"/>
          <w:lang w:val="es-AR"/>
        </w:rPr>
        <w:t xml:space="preserve">de Vitória, como los alegados problemas físicos y psicológicos que presentó de </w:t>
      </w:r>
      <w:r w:rsidRPr="00624696">
        <w:rPr>
          <w:sz w:val="16"/>
          <w:lang w:val="es-AR"/>
        </w:rPr>
        <w:t>niña hasta la actualidad, fueron consecuencia directa de la explosión de la fábrica. Por esta razón la Corte va a considerar a Vitória França da Silva como presunta víctima sobreviviente en la presente sentencia, además de familiar de una presunta víctima</w:t>
      </w:r>
      <w:r w:rsidRPr="00624696">
        <w:rPr>
          <w:spacing w:val="-34"/>
          <w:sz w:val="16"/>
          <w:lang w:val="es-AR"/>
        </w:rPr>
        <w:t xml:space="preserve"> </w:t>
      </w:r>
      <w:r w:rsidRPr="00624696">
        <w:rPr>
          <w:sz w:val="16"/>
          <w:lang w:val="es-AR"/>
        </w:rPr>
        <w:t>fallecida (Rosângela de Jesus França, madre de Vitória França da</w:t>
      </w:r>
      <w:r w:rsidRPr="00624696">
        <w:rPr>
          <w:spacing w:val="-14"/>
          <w:sz w:val="16"/>
          <w:lang w:val="es-AR"/>
        </w:rPr>
        <w:t xml:space="preserve"> </w:t>
      </w:r>
      <w:r w:rsidRPr="00624696">
        <w:rPr>
          <w:sz w:val="16"/>
          <w:lang w:val="es-AR"/>
        </w:rPr>
        <w:t>Silva).</w:t>
      </w:r>
    </w:p>
    <w:p w14:paraId="24E4D40C" w14:textId="77777777" w:rsidR="00467FCA" w:rsidRPr="00624696" w:rsidRDefault="001B68EB">
      <w:pPr>
        <w:tabs>
          <w:tab w:val="left" w:pos="839"/>
        </w:tabs>
        <w:ind w:left="119" w:right="113"/>
        <w:jc w:val="both"/>
        <w:rPr>
          <w:sz w:val="16"/>
          <w:lang w:val="es-AR"/>
        </w:rPr>
      </w:pPr>
      <w:bookmarkStart w:id="90" w:name="_bookmark73"/>
      <w:bookmarkEnd w:id="90"/>
      <w:r w:rsidRPr="00624696">
        <w:rPr>
          <w:position w:val="6"/>
          <w:sz w:val="10"/>
          <w:lang w:val="es-AR"/>
        </w:rPr>
        <w:t>57</w:t>
      </w:r>
      <w:r w:rsidRPr="00624696">
        <w:rPr>
          <w:position w:val="6"/>
          <w:sz w:val="10"/>
          <w:lang w:val="es-AR"/>
        </w:rPr>
        <w:tab/>
      </w:r>
      <w:r w:rsidRPr="00624696">
        <w:rPr>
          <w:sz w:val="16"/>
          <w:lang w:val="es-AR"/>
        </w:rPr>
        <w:t>En</w:t>
      </w:r>
      <w:r w:rsidRPr="00624696">
        <w:rPr>
          <w:spacing w:val="-5"/>
          <w:sz w:val="16"/>
          <w:lang w:val="es-AR"/>
        </w:rPr>
        <w:t xml:space="preserve"> </w:t>
      </w:r>
      <w:r w:rsidRPr="00624696">
        <w:rPr>
          <w:sz w:val="16"/>
          <w:lang w:val="es-AR"/>
        </w:rPr>
        <w:t>su</w:t>
      </w:r>
      <w:r w:rsidRPr="00624696">
        <w:rPr>
          <w:spacing w:val="-4"/>
          <w:sz w:val="16"/>
          <w:lang w:val="es-AR"/>
        </w:rPr>
        <w:t xml:space="preserve"> </w:t>
      </w:r>
      <w:r w:rsidRPr="00624696">
        <w:rPr>
          <w:sz w:val="16"/>
          <w:lang w:val="es-AR"/>
        </w:rPr>
        <w:t>escrito</w:t>
      </w:r>
      <w:r w:rsidRPr="00624696">
        <w:rPr>
          <w:spacing w:val="-3"/>
          <w:sz w:val="16"/>
          <w:lang w:val="es-AR"/>
        </w:rPr>
        <w:t xml:space="preserve"> </w:t>
      </w:r>
      <w:r w:rsidRPr="00624696">
        <w:rPr>
          <w:sz w:val="16"/>
          <w:lang w:val="es-AR"/>
        </w:rPr>
        <w:t>de</w:t>
      </w:r>
      <w:r w:rsidRPr="00624696">
        <w:rPr>
          <w:spacing w:val="-2"/>
          <w:sz w:val="16"/>
          <w:lang w:val="es-AR"/>
        </w:rPr>
        <w:t xml:space="preserve"> </w:t>
      </w:r>
      <w:r w:rsidRPr="00624696">
        <w:rPr>
          <w:sz w:val="16"/>
          <w:lang w:val="es-AR"/>
        </w:rPr>
        <w:t>contestación,</w:t>
      </w:r>
      <w:r w:rsidRPr="00624696">
        <w:rPr>
          <w:spacing w:val="-7"/>
          <w:sz w:val="16"/>
          <w:lang w:val="es-AR"/>
        </w:rPr>
        <w:t xml:space="preserve"> </w:t>
      </w:r>
      <w:r w:rsidRPr="00624696">
        <w:rPr>
          <w:sz w:val="16"/>
          <w:lang w:val="es-AR"/>
        </w:rPr>
        <w:t>el</w:t>
      </w:r>
      <w:r w:rsidRPr="00624696">
        <w:rPr>
          <w:spacing w:val="-3"/>
          <w:sz w:val="16"/>
          <w:lang w:val="es-AR"/>
        </w:rPr>
        <w:t xml:space="preserve"> </w:t>
      </w:r>
      <w:r w:rsidRPr="00624696">
        <w:rPr>
          <w:sz w:val="16"/>
          <w:lang w:val="es-AR"/>
        </w:rPr>
        <w:t>Estado</w:t>
      </w:r>
      <w:r w:rsidRPr="00624696">
        <w:rPr>
          <w:spacing w:val="-5"/>
          <w:sz w:val="16"/>
          <w:lang w:val="es-AR"/>
        </w:rPr>
        <w:t xml:space="preserve"> </w:t>
      </w:r>
      <w:r w:rsidRPr="00624696">
        <w:rPr>
          <w:sz w:val="16"/>
          <w:lang w:val="es-AR"/>
        </w:rPr>
        <w:t>sostuvo:</w:t>
      </w:r>
      <w:r w:rsidRPr="00624696">
        <w:rPr>
          <w:spacing w:val="-3"/>
          <w:sz w:val="16"/>
          <w:lang w:val="es-AR"/>
        </w:rPr>
        <w:t xml:space="preserve"> </w:t>
      </w:r>
      <w:r w:rsidRPr="00624696">
        <w:rPr>
          <w:sz w:val="16"/>
          <w:lang w:val="es-AR"/>
        </w:rPr>
        <w:t>“Maria</w:t>
      </w:r>
      <w:r w:rsidRPr="00624696">
        <w:rPr>
          <w:spacing w:val="-4"/>
          <w:sz w:val="16"/>
          <w:lang w:val="es-AR"/>
        </w:rPr>
        <w:t xml:space="preserve"> </w:t>
      </w:r>
      <w:r w:rsidRPr="00624696">
        <w:rPr>
          <w:sz w:val="16"/>
          <w:lang w:val="es-AR"/>
        </w:rPr>
        <w:t>de</w:t>
      </w:r>
      <w:r w:rsidRPr="00624696">
        <w:rPr>
          <w:spacing w:val="-5"/>
          <w:sz w:val="16"/>
          <w:lang w:val="es-AR"/>
        </w:rPr>
        <w:t xml:space="preserve"> </w:t>
      </w:r>
      <w:r w:rsidRPr="00624696">
        <w:rPr>
          <w:sz w:val="16"/>
          <w:lang w:val="es-AR"/>
        </w:rPr>
        <w:t>Jesus</w:t>
      </w:r>
      <w:r w:rsidRPr="00624696">
        <w:rPr>
          <w:spacing w:val="-2"/>
          <w:sz w:val="16"/>
          <w:lang w:val="es-AR"/>
        </w:rPr>
        <w:t xml:space="preserve"> </w:t>
      </w:r>
      <w:r w:rsidRPr="00624696">
        <w:rPr>
          <w:sz w:val="16"/>
          <w:lang w:val="es-AR"/>
        </w:rPr>
        <w:t>Santos</w:t>
      </w:r>
      <w:r w:rsidRPr="00624696">
        <w:rPr>
          <w:spacing w:val="-3"/>
          <w:sz w:val="16"/>
          <w:lang w:val="es-AR"/>
        </w:rPr>
        <w:t xml:space="preserve"> </w:t>
      </w:r>
      <w:r w:rsidRPr="00624696">
        <w:rPr>
          <w:sz w:val="16"/>
          <w:lang w:val="es-AR"/>
        </w:rPr>
        <w:t>Costa,</w:t>
      </w:r>
      <w:r w:rsidRPr="00624696">
        <w:rPr>
          <w:spacing w:val="-3"/>
          <w:sz w:val="16"/>
          <w:lang w:val="es-AR"/>
        </w:rPr>
        <w:t xml:space="preserve"> </w:t>
      </w:r>
      <w:r w:rsidRPr="00624696">
        <w:rPr>
          <w:sz w:val="16"/>
          <w:lang w:val="es-AR"/>
        </w:rPr>
        <w:t>identificada</w:t>
      </w:r>
      <w:r w:rsidRPr="00624696">
        <w:rPr>
          <w:spacing w:val="-4"/>
          <w:sz w:val="16"/>
          <w:lang w:val="es-AR"/>
        </w:rPr>
        <w:t xml:space="preserve"> </w:t>
      </w:r>
      <w:r w:rsidRPr="00624696">
        <w:rPr>
          <w:sz w:val="16"/>
          <w:lang w:val="es-AR"/>
        </w:rPr>
        <w:t>como</w:t>
      </w:r>
      <w:r w:rsidRPr="00624696">
        <w:rPr>
          <w:spacing w:val="-2"/>
          <w:sz w:val="16"/>
          <w:lang w:val="es-AR"/>
        </w:rPr>
        <w:t xml:space="preserve"> </w:t>
      </w:r>
      <w:r w:rsidRPr="00624696">
        <w:rPr>
          <w:sz w:val="16"/>
          <w:lang w:val="es-AR"/>
        </w:rPr>
        <w:t>presunta víctima en el listado anexo al escrito de solicitudes y argumentos, pero no identificada como presunta víctima en el anexo único del Informe de la CIDH” (expediente de fondo, folio 409). Por su parte, en los alegatos finales, los representantes se</w:t>
      </w:r>
      <w:r w:rsidRPr="00624696">
        <w:rPr>
          <w:sz w:val="16"/>
          <w:lang w:val="es-AR"/>
        </w:rPr>
        <w:t>ñalaron: “Mairla de Jesus Santos: el Estado afirma que la víctima no constaría del listado enviada por la CIDH, pero ella corresponde al número 18 del listado” (expediente de fondo, folio</w:t>
      </w:r>
      <w:r w:rsidRPr="00624696">
        <w:rPr>
          <w:spacing w:val="-19"/>
          <w:sz w:val="16"/>
          <w:lang w:val="es-AR"/>
        </w:rPr>
        <w:t xml:space="preserve"> </w:t>
      </w:r>
      <w:r w:rsidRPr="00624696">
        <w:rPr>
          <w:sz w:val="16"/>
          <w:lang w:val="es-AR"/>
        </w:rPr>
        <w:t>1542).</w:t>
      </w:r>
    </w:p>
    <w:p w14:paraId="79A78F85" w14:textId="77777777" w:rsidR="00467FCA" w:rsidRPr="00624696" w:rsidRDefault="001B68EB">
      <w:pPr>
        <w:tabs>
          <w:tab w:val="left" w:pos="839"/>
        </w:tabs>
        <w:ind w:left="119" w:right="114"/>
        <w:jc w:val="both"/>
        <w:rPr>
          <w:sz w:val="16"/>
          <w:lang w:val="es-AR"/>
        </w:rPr>
      </w:pPr>
      <w:bookmarkStart w:id="91" w:name="_bookmark74"/>
      <w:bookmarkEnd w:id="91"/>
      <w:r w:rsidRPr="00624696">
        <w:rPr>
          <w:position w:val="6"/>
          <w:sz w:val="10"/>
          <w:lang w:val="es-AR"/>
        </w:rPr>
        <w:t>58</w:t>
      </w:r>
      <w:r w:rsidRPr="00624696">
        <w:rPr>
          <w:position w:val="6"/>
          <w:sz w:val="10"/>
          <w:lang w:val="es-AR"/>
        </w:rPr>
        <w:tab/>
      </w:r>
      <w:r w:rsidRPr="00624696">
        <w:rPr>
          <w:sz w:val="16"/>
          <w:lang w:val="es-AR"/>
        </w:rPr>
        <w:t>La Comisión remitió como anexo al Informe de Admisibilidad</w:t>
      </w:r>
      <w:r w:rsidRPr="00624696">
        <w:rPr>
          <w:sz w:val="16"/>
          <w:lang w:val="es-AR"/>
        </w:rPr>
        <w:t xml:space="preserve"> y Fondo un “</w:t>
      </w:r>
      <w:r w:rsidRPr="00624696">
        <w:rPr>
          <w:i/>
          <w:sz w:val="16"/>
          <w:lang w:val="es-AR"/>
        </w:rPr>
        <w:t>Folheto com as fotos de todas as vítimas com seus respectivos nomes e idades</w:t>
      </w:r>
      <w:r w:rsidRPr="00624696">
        <w:rPr>
          <w:sz w:val="16"/>
          <w:lang w:val="es-AR"/>
        </w:rPr>
        <w:t>”, en el que aparece el nombre “Mairla de Jesus Santos Costa – (15)” (expediente de prueba, folio 524). Por otra parte, Mairla Santos Costa fue reconocida como víctima</w:t>
      </w:r>
      <w:r w:rsidRPr="00624696">
        <w:rPr>
          <w:sz w:val="16"/>
          <w:lang w:val="es-AR"/>
        </w:rPr>
        <w:t xml:space="preserve"> de este caso en las instancias internas del Estado, según consta del acervo probatorio (expediente de prueba, folios 1993, 2063, 2091 y</w:t>
      </w:r>
      <w:r w:rsidRPr="00624696">
        <w:rPr>
          <w:spacing w:val="-5"/>
          <w:sz w:val="16"/>
          <w:lang w:val="es-AR"/>
        </w:rPr>
        <w:t xml:space="preserve"> </w:t>
      </w:r>
      <w:r w:rsidRPr="00624696">
        <w:rPr>
          <w:sz w:val="16"/>
          <w:lang w:val="es-AR"/>
        </w:rPr>
        <w:t>2140).</w:t>
      </w:r>
    </w:p>
    <w:p w14:paraId="2C39E63E"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444294FE" w14:textId="77777777" w:rsidR="00467FCA" w:rsidRPr="00624696" w:rsidRDefault="001B68EB">
      <w:pPr>
        <w:pStyle w:val="Ttulo2"/>
        <w:numPr>
          <w:ilvl w:val="1"/>
          <w:numId w:val="48"/>
        </w:numPr>
        <w:tabs>
          <w:tab w:val="left" w:pos="1275"/>
        </w:tabs>
        <w:spacing w:before="80"/>
        <w:rPr>
          <w:lang w:val="es-AR"/>
        </w:rPr>
      </w:pPr>
      <w:bookmarkStart w:id="92" w:name="B.2_Respecto_de_los_familiares_de_las_pr"/>
      <w:bookmarkStart w:id="93" w:name="_bookmark75"/>
      <w:bookmarkEnd w:id="92"/>
      <w:bookmarkEnd w:id="93"/>
      <w:r w:rsidRPr="00624696">
        <w:rPr>
          <w:lang w:val="es-AR"/>
        </w:rPr>
        <w:t>Respecto de los familiares de las presuntas víctimas</w:t>
      </w:r>
      <w:r w:rsidRPr="00624696">
        <w:rPr>
          <w:spacing w:val="-14"/>
          <w:lang w:val="es-AR"/>
        </w:rPr>
        <w:t xml:space="preserve"> </w:t>
      </w:r>
      <w:r w:rsidRPr="00624696">
        <w:rPr>
          <w:lang w:val="es-AR"/>
        </w:rPr>
        <w:t>fallecidas</w:t>
      </w:r>
    </w:p>
    <w:p w14:paraId="495A9E27" w14:textId="77777777" w:rsidR="00467FCA" w:rsidRPr="00624696" w:rsidRDefault="00467FCA">
      <w:pPr>
        <w:pStyle w:val="Textoindependiente"/>
        <w:spacing w:before="1"/>
        <w:rPr>
          <w:b/>
          <w:i/>
          <w:lang w:val="es-AR"/>
        </w:rPr>
      </w:pPr>
    </w:p>
    <w:p w14:paraId="34721BC1" w14:textId="77777777" w:rsidR="00467FCA" w:rsidRPr="00624696" w:rsidRDefault="001B68EB">
      <w:pPr>
        <w:pStyle w:val="Prrafodelista"/>
        <w:numPr>
          <w:ilvl w:val="0"/>
          <w:numId w:val="50"/>
        </w:numPr>
        <w:tabs>
          <w:tab w:val="left" w:pos="687"/>
        </w:tabs>
        <w:ind w:left="119" w:right="118" w:firstLine="0"/>
        <w:jc w:val="both"/>
        <w:rPr>
          <w:sz w:val="20"/>
          <w:lang w:val="es-AR"/>
        </w:rPr>
      </w:pPr>
      <w:r w:rsidRPr="00624696">
        <w:rPr>
          <w:sz w:val="20"/>
          <w:lang w:val="es-AR"/>
        </w:rPr>
        <w:t xml:space="preserve">El Estado objetó la inclusión de </w:t>
      </w:r>
      <w:r w:rsidRPr="00624696">
        <w:rPr>
          <w:sz w:val="20"/>
          <w:lang w:val="es-AR"/>
        </w:rPr>
        <w:t>algunos familiares de las personas fallecidas o sobrevivientes en la explosión como presuntas víctimas porque (i) no habrían sido incluidos en</w:t>
      </w:r>
      <w:r w:rsidRPr="00624696">
        <w:rPr>
          <w:spacing w:val="-5"/>
          <w:sz w:val="20"/>
          <w:lang w:val="es-AR"/>
        </w:rPr>
        <w:t xml:space="preserve"> </w:t>
      </w:r>
      <w:r w:rsidRPr="00624696">
        <w:rPr>
          <w:sz w:val="20"/>
          <w:lang w:val="es-AR"/>
        </w:rPr>
        <w:t>el</w:t>
      </w:r>
      <w:r w:rsidRPr="00624696">
        <w:rPr>
          <w:spacing w:val="-5"/>
          <w:sz w:val="20"/>
          <w:lang w:val="es-AR"/>
        </w:rPr>
        <w:t xml:space="preserve"> </w:t>
      </w:r>
      <w:r w:rsidRPr="00624696">
        <w:rPr>
          <w:sz w:val="20"/>
          <w:lang w:val="es-AR"/>
        </w:rPr>
        <w:t>Informe</w:t>
      </w:r>
      <w:r w:rsidRPr="00624696">
        <w:rPr>
          <w:spacing w:val="-7"/>
          <w:sz w:val="20"/>
          <w:lang w:val="es-AR"/>
        </w:rPr>
        <w:t xml:space="preserve"> </w:t>
      </w:r>
      <w:r w:rsidRPr="00624696">
        <w:rPr>
          <w:sz w:val="20"/>
          <w:lang w:val="es-AR"/>
        </w:rPr>
        <w:t>de</w:t>
      </w:r>
      <w:r w:rsidRPr="00624696">
        <w:rPr>
          <w:spacing w:val="-7"/>
          <w:sz w:val="20"/>
          <w:lang w:val="es-AR"/>
        </w:rPr>
        <w:t xml:space="preserve"> </w:t>
      </w:r>
      <w:r w:rsidRPr="00624696">
        <w:rPr>
          <w:sz w:val="20"/>
          <w:lang w:val="es-AR"/>
        </w:rPr>
        <w:t>Admisibilidad</w:t>
      </w:r>
      <w:r w:rsidRPr="00624696">
        <w:rPr>
          <w:spacing w:val="-5"/>
          <w:sz w:val="20"/>
          <w:lang w:val="es-AR"/>
        </w:rPr>
        <w:t xml:space="preserve"> </w:t>
      </w:r>
      <w:r w:rsidRPr="00624696">
        <w:rPr>
          <w:sz w:val="20"/>
          <w:lang w:val="es-AR"/>
        </w:rPr>
        <w:t>y</w:t>
      </w:r>
      <w:r w:rsidRPr="00624696">
        <w:rPr>
          <w:spacing w:val="-6"/>
          <w:sz w:val="20"/>
          <w:lang w:val="es-AR"/>
        </w:rPr>
        <w:t xml:space="preserve"> </w:t>
      </w:r>
      <w:r w:rsidRPr="00624696">
        <w:rPr>
          <w:sz w:val="20"/>
          <w:lang w:val="es-AR"/>
        </w:rPr>
        <w:t>Fondo,</w:t>
      </w:r>
      <w:r w:rsidRPr="00624696">
        <w:rPr>
          <w:spacing w:val="-6"/>
          <w:sz w:val="20"/>
          <w:lang w:val="es-AR"/>
        </w:rPr>
        <w:t xml:space="preserve"> </w:t>
      </w:r>
      <w:r w:rsidRPr="00624696">
        <w:rPr>
          <w:sz w:val="20"/>
          <w:lang w:val="es-AR"/>
        </w:rPr>
        <w:t>pero</w:t>
      </w:r>
      <w:r w:rsidRPr="00624696">
        <w:rPr>
          <w:spacing w:val="-7"/>
          <w:sz w:val="20"/>
          <w:lang w:val="es-AR"/>
        </w:rPr>
        <w:t xml:space="preserve"> </w:t>
      </w:r>
      <w:r w:rsidRPr="00624696">
        <w:rPr>
          <w:sz w:val="20"/>
          <w:lang w:val="es-AR"/>
        </w:rPr>
        <w:t>sí</w:t>
      </w:r>
      <w:r w:rsidRPr="00624696">
        <w:rPr>
          <w:spacing w:val="-3"/>
          <w:sz w:val="20"/>
          <w:lang w:val="es-AR"/>
        </w:rPr>
        <w:t xml:space="preserve"> </w:t>
      </w:r>
      <w:r w:rsidRPr="00624696">
        <w:rPr>
          <w:sz w:val="20"/>
          <w:lang w:val="es-AR"/>
        </w:rPr>
        <w:t>en</w:t>
      </w:r>
      <w:r w:rsidRPr="00624696">
        <w:rPr>
          <w:spacing w:val="-4"/>
          <w:sz w:val="20"/>
          <w:lang w:val="es-AR"/>
        </w:rPr>
        <w:t xml:space="preserve"> </w:t>
      </w:r>
      <w:r w:rsidRPr="00624696">
        <w:rPr>
          <w:sz w:val="20"/>
          <w:lang w:val="es-AR"/>
        </w:rPr>
        <w:t>el</w:t>
      </w:r>
      <w:r w:rsidRPr="00624696">
        <w:rPr>
          <w:spacing w:val="-3"/>
          <w:sz w:val="20"/>
          <w:lang w:val="es-AR"/>
        </w:rPr>
        <w:t xml:space="preserve"> </w:t>
      </w:r>
      <w:r w:rsidRPr="00624696">
        <w:rPr>
          <w:sz w:val="20"/>
          <w:lang w:val="es-AR"/>
        </w:rPr>
        <w:t>escrito</w:t>
      </w:r>
      <w:r w:rsidRPr="00624696">
        <w:rPr>
          <w:spacing w:val="-7"/>
          <w:sz w:val="20"/>
          <w:lang w:val="es-AR"/>
        </w:rPr>
        <w:t xml:space="preserve"> </w:t>
      </w:r>
      <w:r w:rsidRPr="00624696">
        <w:rPr>
          <w:sz w:val="20"/>
          <w:lang w:val="es-AR"/>
        </w:rPr>
        <w:t>de</w:t>
      </w:r>
      <w:r w:rsidRPr="00624696">
        <w:rPr>
          <w:spacing w:val="-7"/>
          <w:sz w:val="20"/>
          <w:lang w:val="es-AR"/>
        </w:rPr>
        <w:t xml:space="preserve"> </w:t>
      </w:r>
      <w:r w:rsidRPr="00624696">
        <w:rPr>
          <w:sz w:val="20"/>
          <w:lang w:val="es-AR"/>
        </w:rPr>
        <w:t>solicitudes</w:t>
      </w:r>
      <w:r w:rsidRPr="00624696">
        <w:rPr>
          <w:spacing w:val="-6"/>
          <w:sz w:val="20"/>
          <w:lang w:val="es-AR"/>
        </w:rPr>
        <w:t xml:space="preserve"> </w:t>
      </w:r>
      <w:r w:rsidRPr="00624696">
        <w:rPr>
          <w:sz w:val="20"/>
          <w:lang w:val="es-AR"/>
        </w:rPr>
        <w:t>y</w:t>
      </w:r>
      <w:r w:rsidRPr="00624696">
        <w:rPr>
          <w:spacing w:val="-6"/>
          <w:sz w:val="20"/>
          <w:lang w:val="es-AR"/>
        </w:rPr>
        <w:t xml:space="preserve"> </w:t>
      </w:r>
      <w:r w:rsidRPr="00624696">
        <w:rPr>
          <w:sz w:val="20"/>
          <w:lang w:val="es-AR"/>
        </w:rPr>
        <w:t>argumentos;</w:t>
      </w:r>
      <w:r w:rsidRPr="00624696">
        <w:rPr>
          <w:spacing w:val="-5"/>
          <w:sz w:val="20"/>
          <w:lang w:val="es-AR"/>
        </w:rPr>
        <w:t xml:space="preserve"> </w:t>
      </w:r>
      <w:r w:rsidRPr="00624696">
        <w:rPr>
          <w:sz w:val="20"/>
          <w:lang w:val="es-AR"/>
        </w:rPr>
        <w:t xml:space="preserve">(ii) no habrían otorgado </w:t>
      </w:r>
      <w:r w:rsidRPr="00624696">
        <w:rPr>
          <w:sz w:val="20"/>
          <w:lang w:val="es-AR"/>
        </w:rPr>
        <w:t>formalmente poder a los representantes, y (iii) no se habría probado el vínculo que dio lugar a una eventual afectación a sus</w:t>
      </w:r>
      <w:r w:rsidRPr="00624696">
        <w:rPr>
          <w:spacing w:val="-8"/>
          <w:sz w:val="20"/>
          <w:lang w:val="es-AR"/>
        </w:rPr>
        <w:t xml:space="preserve"> </w:t>
      </w:r>
      <w:r w:rsidRPr="00624696">
        <w:rPr>
          <w:sz w:val="20"/>
          <w:lang w:val="es-AR"/>
        </w:rPr>
        <w:t>derechos.</w:t>
      </w:r>
    </w:p>
    <w:p w14:paraId="189F8FEF" w14:textId="77777777" w:rsidR="00467FCA" w:rsidRPr="00624696" w:rsidRDefault="00467FCA">
      <w:pPr>
        <w:pStyle w:val="Textoindependiente"/>
        <w:spacing w:before="11"/>
        <w:rPr>
          <w:sz w:val="19"/>
          <w:lang w:val="es-AR"/>
        </w:rPr>
      </w:pPr>
    </w:p>
    <w:p w14:paraId="3C618EFA" w14:textId="77777777" w:rsidR="00467FCA" w:rsidRPr="00624696" w:rsidRDefault="001B68EB">
      <w:pPr>
        <w:pStyle w:val="Prrafodelista"/>
        <w:numPr>
          <w:ilvl w:val="0"/>
          <w:numId w:val="50"/>
        </w:numPr>
        <w:tabs>
          <w:tab w:val="left" w:pos="687"/>
        </w:tabs>
        <w:ind w:left="119" w:right="117" w:firstLine="0"/>
        <w:jc w:val="both"/>
        <w:rPr>
          <w:sz w:val="20"/>
          <w:lang w:val="es-AR"/>
        </w:rPr>
      </w:pPr>
      <w:r w:rsidRPr="00624696">
        <w:rPr>
          <w:sz w:val="20"/>
          <w:lang w:val="es-AR"/>
        </w:rPr>
        <w:t>La Corte considera que las características específicas de este caso le permiten concluir que</w:t>
      </w:r>
      <w:r w:rsidRPr="00624696">
        <w:rPr>
          <w:spacing w:val="-8"/>
          <w:sz w:val="20"/>
          <w:lang w:val="es-AR"/>
        </w:rPr>
        <w:t xml:space="preserve"> </w:t>
      </w:r>
      <w:r w:rsidRPr="00624696">
        <w:rPr>
          <w:sz w:val="20"/>
          <w:lang w:val="es-AR"/>
        </w:rPr>
        <w:t>existen</w:t>
      </w:r>
      <w:r w:rsidRPr="00624696">
        <w:rPr>
          <w:spacing w:val="-3"/>
          <w:sz w:val="20"/>
          <w:lang w:val="es-AR"/>
        </w:rPr>
        <w:t xml:space="preserve"> </w:t>
      </w:r>
      <w:r w:rsidRPr="00624696">
        <w:rPr>
          <w:sz w:val="20"/>
          <w:lang w:val="es-AR"/>
        </w:rPr>
        <w:t>causas</w:t>
      </w:r>
      <w:r w:rsidRPr="00624696">
        <w:rPr>
          <w:spacing w:val="-5"/>
          <w:sz w:val="20"/>
          <w:lang w:val="es-AR"/>
        </w:rPr>
        <w:t xml:space="preserve"> </w:t>
      </w:r>
      <w:r w:rsidRPr="00624696">
        <w:rPr>
          <w:sz w:val="20"/>
          <w:lang w:val="es-AR"/>
        </w:rPr>
        <w:t>razonables</w:t>
      </w:r>
      <w:r w:rsidRPr="00624696">
        <w:rPr>
          <w:spacing w:val="-6"/>
          <w:sz w:val="20"/>
          <w:lang w:val="es-AR"/>
        </w:rPr>
        <w:t xml:space="preserve"> </w:t>
      </w:r>
      <w:r w:rsidRPr="00624696">
        <w:rPr>
          <w:sz w:val="20"/>
          <w:lang w:val="es-AR"/>
        </w:rPr>
        <w:t>que</w:t>
      </w:r>
      <w:r w:rsidRPr="00624696">
        <w:rPr>
          <w:spacing w:val="-8"/>
          <w:sz w:val="20"/>
          <w:lang w:val="es-AR"/>
        </w:rPr>
        <w:t xml:space="preserve"> </w:t>
      </w:r>
      <w:r w:rsidRPr="00624696">
        <w:rPr>
          <w:sz w:val="20"/>
          <w:lang w:val="es-AR"/>
        </w:rPr>
        <w:t>justifican</w:t>
      </w:r>
      <w:r w:rsidRPr="00624696">
        <w:rPr>
          <w:spacing w:val="-3"/>
          <w:sz w:val="20"/>
          <w:lang w:val="es-AR"/>
        </w:rPr>
        <w:t xml:space="preserve"> </w:t>
      </w:r>
      <w:r w:rsidRPr="00624696">
        <w:rPr>
          <w:sz w:val="20"/>
          <w:lang w:val="es-AR"/>
        </w:rPr>
        <w:t>el</w:t>
      </w:r>
      <w:r w:rsidRPr="00624696">
        <w:rPr>
          <w:spacing w:val="-4"/>
          <w:sz w:val="20"/>
          <w:lang w:val="es-AR"/>
        </w:rPr>
        <w:t xml:space="preserve"> </w:t>
      </w:r>
      <w:r w:rsidRPr="00624696">
        <w:rPr>
          <w:sz w:val="20"/>
          <w:lang w:val="es-AR"/>
        </w:rPr>
        <w:t>hecho</w:t>
      </w:r>
      <w:r w:rsidRPr="00624696">
        <w:rPr>
          <w:spacing w:val="-7"/>
          <w:sz w:val="20"/>
          <w:lang w:val="es-AR"/>
        </w:rPr>
        <w:t xml:space="preserve"> </w:t>
      </w:r>
      <w:r w:rsidRPr="00624696">
        <w:rPr>
          <w:sz w:val="20"/>
          <w:lang w:val="es-AR"/>
        </w:rPr>
        <w:t>de</w:t>
      </w:r>
      <w:r w:rsidRPr="00624696">
        <w:rPr>
          <w:spacing w:val="-8"/>
          <w:sz w:val="20"/>
          <w:lang w:val="es-AR"/>
        </w:rPr>
        <w:t xml:space="preserve"> </w:t>
      </w:r>
      <w:r w:rsidRPr="00624696">
        <w:rPr>
          <w:sz w:val="20"/>
          <w:lang w:val="es-AR"/>
        </w:rPr>
        <w:t>que</w:t>
      </w:r>
      <w:r w:rsidRPr="00624696">
        <w:rPr>
          <w:spacing w:val="-5"/>
          <w:sz w:val="20"/>
          <w:lang w:val="es-AR"/>
        </w:rPr>
        <w:t xml:space="preserve"> </w:t>
      </w:r>
      <w:r w:rsidRPr="00624696">
        <w:rPr>
          <w:sz w:val="20"/>
          <w:lang w:val="es-AR"/>
        </w:rPr>
        <w:t>el</w:t>
      </w:r>
      <w:r w:rsidRPr="00624696">
        <w:rPr>
          <w:spacing w:val="-5"/>
          <w:sz w:val="20"/>
          <w:lang w:val="es-AR"/>
        </w:rPr>
        <w:t xml:space="preserve"> </w:t>
      </w:r>
      <w:r w:rsidRPr="00624696">
        <w:rPr>
          <w:sz w:val="20"/>
          <w:lang w:val="es-AR"/>
        </w:rPr>
        <w:t>listado</w:t>
      </w:r>
      <w:r w:rsidRPr="00624696">
        <w:rPr>
          <w:spacing w:val="-5"/>
          <w:sz w:val="20"/>
          <w:lang w:val="es-AR"/>
        </w:rPr>
        <w:t xml:space="preserve"> </w:t>
      </w:r>
      <w:r w:rsidRPr="00624696">
        <w:rPr>
          <w:sz w:val="20"/>
          <w:lang w:val="es-AR"/>
        </w:rPr>
        <w:t>de</w:t>
      </w:r>
      <w:r w:rsidRPr="00624696">
        <w:rPr>
          <w:spacing w:val="-8"/>
          <w:sz w:val="20"/>
          <w:lang w:val="es-AR"/>
        </w:rPr>
        <w:t xml:space="preserve"> </w:t>
      </w:r>
      <w:r w:rsidRPr="00624696">
        <w:rPr>
          <w:sz w:val="20"/>
          <w:lang w:val="es-AR"/>
        </w:rPr>
        <w:t>presuntas</w:t>
      </w:r>
      <w:r w:rsidRPr="00624696">
        <w:rPr>
          <w:spacing w:val="-4"/>
          <w:sz w:val="20"/>
          <w:lang w:val="es-AR"/>
        </w:rPr>
        <w:t xml:space="preserve"> </w:t>
      </w:r>
      <w:r w:rsidRPr="00624696">
        <w:rPr>
          <w:sz w:val="20"/>
          <w:lang w:val="es-AR"/>
        </w:rPr>
        <w:t>víctimas incluido en el Informe de Admisibilidad y Fondo pueda tener inconsistenci</w:t>
      </w:r>
      <w:r w:rsidRPr="00624696">
        <w:rPr>
          <w:sz w:val="20"/>
          <w:lang w:val="es-AR"/>
        </w:rPr>
        <w:t>as tanto en la identificación plena de las presuntas víctimas, como en su representación. En ese sentido, la Corte</w:t>
      </w:r>
      <w:r w:rsidRPr="00624696">
        <w:rPr>
          <w:spacing w:val="-8"/>
          <w:sz w:val="20"/>
          <w:lang w:val="es-AR"/>
        </w:rPr>
        <w:t xml:space="preserve"> </w:t>
      </w:r>
      <w:r w:rsidRPr="00624696">
        <w:rPr>
          <w:sz w:val="20"/>
          <w:lang w:val="es-AR"/>
        </w:rPr>
        <w:t>encuentra</w:t>
      </w:r>
      <w:r w:rsidRPr="00624696">
        <w:rPr>
          <w:spacing w:val="-9"/>
          <w:sz w:val="20"/>
          <w:lang w:val="es-AR"/>
        </w:rPr>
        <w:t xml:space="preserve"> </w:t>
      </w:r>
      <w:r w:rsidRPr="00624696">
        <w:rPr>
          <w:sz w:val="20"/>
          <w:lang w:val="es-AR"/>
        </w:rPr>
        <w:t>que</w:t>
      </w:r>
      <w:r w:rsidRPr="00624696">
        <w:rPr>
          <w:spacing w:val="-8"/>
          <w:sz w:val="20"/>
          <w:lang w:val="es-AR"/>
        </w:rPr>
        <w:t xml:space="preserve"> </w:t>
      </w:r>
      <w:r w:rsidRPr="00624696">
        <w:rPr>
          <w:sz w:val="20"/>
          <w:lang w:val="es-AR"/>
        </w:rPr>
        <w:t>en</w:t>
      </w:r>
      <w:r w:rsidRPr="00624696">
        <w:rPr>
          <w:spacing w:val="-5"/>
          <w:sz w:val="20"/>
          <w:lang w:val="es-AR"/>
        </w:rPr>
        <w:t xml:space="preserve"> </w:t>
      </w:r>
      <w:r w:rsidRPr="00624696">
        <w:rPr>
          <w:sz w:val="20"/>
          <w:lang w:val="es-AR"/>
        </w:rPr>
        <w:t>este</w:t>
      </w:r>
      <w:r w:rsidRPr="00624696">
        <w:rPr>
          <w:spacing w:val="-8"/>
          <w:sz w:val="20"/>
          <w:lang w:val="es-AR"/>
        </w:rPr>
        <w:t xml:space="preserve"> </w:t>
      </w:r>
      <w:r w:rsidRPr="00624696">
        <w:rPr>
          <w:sz w:val="20"/>
          <w:lang w:val="es-AR"/>
        </w:rPr>
        <w:t>caso</w:t>
      </w:r>
      <w:r w:rsidRPr="00624696">
        <w:rPr>
          <w:spacing w:val="-8"/>
          <w:sz w:val="20"/>
          <w:lang w:val="es-AR"/>
        </w:rPr>
        <w:t xml:space="preserve"> </w:t>
      </w:r>
      <w:r w:rsidRPr="00624696">
        <w:rPr>
          <w:sz w:val="20"/>
          <w:lang w:val="es-AR"/>
        </w:rPr>
        <w:t>es</w:t>
      </w:r>
      <w:r w:rsidRPr="00624696">
        <w:rPr>
          <w:spacing w:val="-6"/>
          <w:sz w:val="20"/>
          <w:lang w:val="es-AR"/>
        </w:rPr>
        <w:t xml:space="preserve"> </w:t>
      </w:r>
      <w:r w:rsidRPr="00624696">
        <w:rPr>
          <w:sz w:val="20"/>
          <w:lang w:val="es-AR"/>
        </w:rPr>
        <w:t>aplicable</w:t>
      </w:r>
      <w:r w:rsidRPr="00624696">
        <w:rPr>
          <w:spacing w:val="-8"/>
          <w:sz w:val="20"/>
          <w:lang w:val="es-AR"/>
        </w:rPr>
        <w:t xml:space="preserve"> </w:t>
      </w:r>
      <w:r w:rsidRPr="00624696">
        <w:rPr>
          <w:sz w:val="20"/>
          <w:lang w:val="es-AR"/>
        </w:rPr>
        <w:t>la</w:t>
      </w:r>
      <w:r w:rsidRPr="00624696">
        <w:rPr>
          <w:spacing w:val="-6"/>
          <w:sz w:val="20"/>
          <w:lang w:val="es-AR"/>
        </w:rPr>
        <w:t xml:space="preserve"> </w:t>
      </w:r>
      <w:r w:rsidRPr="00624696">
        <w:rPr>
          <w:sz w:val="20"/>
          <w:lang w:val="es-AR"/>
        </w:rPr>
        <w:t>circunstancia</w:t>
      </w:r>
      <w:r w:rsidRPr="00624696">
        <w:rPr>
          <w:spacing w:val="-6"/>
          <w:sz w:val="20"/>
          <w:lang w:val="es-AR"/>
        </w:rPr>
        <w:t xml:space="preserve"> </w:t>
      </w:r>
      <w:r w:rsidRPr="00624696">
        <w:rPr>
          <w:sz w:val="20"/>
          <w:lang w:val="es-AR"/>
        </w:rPr>
        <w:t>excepcional</w:t>
      </w:r>
      <w:r w:rsidRPr="00624696">
        <w:rPr>
          <w:spacing w:val="-8"/>
          <w:sz w:val="20"/>
          <w:lang w:val="es-AR"/>
        </w:rPr>
        <w:t xml:space="preserve"> </w:t>
      </w:r>
      <w:r w:rsidRPr="00624696">
        <w:rPr>
          <w:sz w:val="20"/>
          <w:lang w:val="es-AR"/>
        </w:rPr>
        <w:t>contemplada</w:t>
      </w:r>
      <w:r w:rsidRPr="00624696">
        <w:rPr>
          <w:spacing w:val="-6"/>
          <w:sz w:val="20"/>
          <w:lang w:val="es-AR"/>
        </w:rPr>
        <w:t xml:space="preserve"> </w:t>
      </w:r>
      <w:r w:rsidRPr="00624696">
        <w:rPr>
          <w:sz w:val="20"/>
          <w:lang w:val="es-AR"/>
        </w:rPr>
        <w:t>en</w:t>
      </w:r>
      <w:r w:rsidRPr="00624696">
        <w:rPr>
          <w:spacing w:val="-5"/>
          <w:sz w:val="20"/>
          <w:lang w:val="es-AR"/>
        </w:rPr>
        <w:t xml:space="preserve"> </w:t>
      </w:r>
      <w:r w:rsidRPr="00624696">
        <w:rPr>
          <w:sz w:val="20"/>
          <w:lang w:val="es-AR"/>
        </w:rPr>
        <w:t>el artículo 35.2 del Reglamento de la Corte, de acuerdo c</w:t>
      </w:r>
      <w:r w:rsidRPr="00624696">
        <w:rPr>
          <w:sz w:val="20"/>
          <w:lang w:val="es-AR"/>
        </w:rPr>
        <w:t>on la cual, cuando se trata de violaciones masivas o colectivas, esta Corte puede determinar si considera a determinadas personas como presuntas víctimas</w:t>
      </w:r>
      <w:hyperlink w:anchor="_bookmark76" w:history="1">
        <w:r w:rsidRPr="00624696">
          <w:rPr>
            <w:position w:val="7"/>
            <w:sz w:val="13"/>
            <w:lang w:val="es-AR"/>
          </w:rPr>
          <w:t>59</w:t>
        </w:r>
      </w:hyperlink>
      <w:r w:rsidRPr="00624696">
        <w:rPr>
          <w:sz w:val="20"/>
          <w:lang w:val="es-AR"/>
        </w:rPr>
        <w:t xml:space="preserve">. En consecuencia, este Tribunal no aceptará las objeciones referidas </w:t>
      </w:r>
      <w:r w:rsidRPr="00624696">
        <w:rPr>
          <w:sz w:val="20"/>
          <w:lang w:val="es-AR"/>
        </w:rPr>
        <w:t>a la falta de inclusión de algunos de los familiares de las presuntas víctimas en el Informe de Admisibilidad y Fondo o a la falta de representación, porque el contexto</w:t>
      </w:r>
      <w:r w:rsidRPr="00624696">
        <w:rPr>
          <w:spacing w:val="-12"/>
          <w:sz w:val="20"/>
          <w:lang w:val="es-AR"/>
        </w:rPr>
        <w:t xml:space="preserve"> </w:t>
      </w:r>
      <w:r w:rsidRPr="00624696">
        <w:rPr>
          <w:sz w:val="20"/>
          <w:lang w:val="es-AR"/>
        </w:rPr>
        <w:t>del</w:t>
      </w:r>
      <w:r w:rsidRPr="00624696">
        <w:rPr>
          <w:spacing w:val="-11"/>
          <w:sz w:val="20"/>
          <w:lang w:val="es-AR"/>
        </w:rPr>
        <w:t xml:space="preserve"> </w:t>
      </w:r>
      <w:r w:rsidRPr="00624696">
        <w:rPr>
          <w:sz w:val="20"/>
          <w:lang w:val="es-AR"/>
        </w:rPr>
        <w:t>caso,</w:t>
      </w:r>
      <w:r w:rsidRPr="00624696">
        <w:rPr>
          <w:spacing w:val="-8"/>
          <w:sz w:val="20"/>
          <w:lang w:val="es-AR"/>
        </w:rPr>
        <w:t xml:space="preserve"> </w:t>
      </w:r>
      <w:r w:rsidRPr="00624696">
        <w:rPr>
          <w:sz w:val="20"/>
          <w:lang w:val="es-AR"/>
        </w:rPr>
        <w:t>sumado</w:t>
      </w:r>
      <w:r w:rsidRPr="00624696">
        <w:rPr>
          <w:spacing w:val="-12"/>
          <w:sz w:val="20"/>
          <w:lang w:val="es-AR"/>
        </w:rPr>
        <w:t xml:space="preserve"> </w:t>
      </w:r>
      <w:r w:rsidRPr="00624696">
        <w:rPr>
          <w:sz w:val="20"/>
          <w:lang w:val="es-AR"/>
        </w:rPr>
        <w:t>al</w:t>
      </w:r>
      <w:r w:rsidRPr="00624696">
        <w:rPr>
          <w:spacing w:val="-10"/>
          <w:sz w:val="20"/>
          <w:lang w:val="es-AR"/>
        </w:rPr>
        <w:t xml:space="preserve"> </w:t>
      </w:r>
      <w:r w:rsidRPr="00624696">
        <w:rPr>
          <w:sz w:val="20"/>
          <w:lang w:val="es-AR"/>
        </w:rPr>
        <w:t>tiempo</w:t>
      </w:r>
      <w:r w:rsidRPr="00624696">
        <w:rPr>
          <w:spacing w:val="-10"/>
          <w:sz w:val="20"/>
          <w:lang w:val="es-AR"/>
        </w:rPr>
        <w:t xml:space="preserve"> </w:t>
      </w:r>
      <w:r w:rsidRPr="00624696">
        <w:rPr>
          <w:sz w:val="20"/>
          <w:lang w:val="es-AR"/>
        </w:rPr>
        <w:t>transcurrido</w:t>
      </w:r>
      <w:r w:rsidRPr="00624696">
        <w:rPr>
          <w:spacing w:val="-11"/>
          <w:sz w:val="20"/>
          <w:lang w:val="es-AR"/>
        </w:rPr>
        <w:t xml:space="preserve"> </w:t>
      </w:r>
      <w:r w:rsidRPr="00624696">
        <w:rPr>
          <w:sz w:val="20"/>
          <w:lang w:val="es-AR"/>
        </w:rPr>
        <w:t>y</w:t>
      </w:r>
      <w:r w:rsidRPr="00624696">
        <w:rPr>
          <w:spacing w:val="-12"/>
          <w:sz w:val="20"/>
          <w:lang w:val="es-AR"/>
        </w:rPr>
        <w:t xml:space="preserve"> </w:t>
      </w:r>
      <w:r w:rsidRPr="00624696">
        <w:rPr>
          <w:sz w:val="20"/>
          <w:lang w:val="es-AR"/>
        </w:rPr>
        <w:t>a</w:t>
      </w:r>
      <w:r w:rsidRPr="00624696">
        <w:rPr>
          <w:spacing w:val="-11"/>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dificultad</w:t>
      </w:r>
      <w:r w:rsidRPr="00624696">
        <w:rPr>
          <w:spacing w:val="-11"/>
          <w:sz w:val="20"/>
          <w:lang w:val="es-AR"/>
        </w:rPr>
        <w:t xml:space="preserve"> </w:t>
      </w:r>
      <w:r w:rsidRPr="00624696">
        <w:rPr>
          <w:sz w:val="20"/>
          <w:lang w:val="es-AR"/>
        </w:rPr>
        <w:t>para</w:t>
      </w:r>
      <w:r w:rsidRPr="00624696">
        <w:rPr>
          <w:spacing w:val="-10"/>
          <w:sz w:val="20"/>
          <w:lang w:val="es-AR"/>
        </w:rPr>
        <w:t xml:space="preserve"> </w:t>
      </w:r>
      <w:r w:rsidRPr="00624696">
        <w:rPr>
          <w:sz w:val="20"/>
          <w:lang w:val="es-AR"/>
        </w:rPr>
        <w:t>contactarlos,</w:t>
      </w:r>
      <w:r w:rsidRPr="00624696">
        <w:rPr>
          <w:spacing w:val="-12"/>
          <w:sz w:val="20"/>
          <w:lang w:val="es-AR"/>
        </w:rPr>
        <w:t xml:space="preserve"> </w:t>
      </w:r>
      <w:r w:rsidRPr="00624696">
        <w:rPr>
          <w:sz w:val="20"/>
          <w:lang w:val="es-AR"/>
        </w:rPr>
        <w:t>justifican que el listado presentado por la Comisión estuviese incompleto o que no se haya presentado prueba de la representación en algunos casos.</w:t>
      </w:r>
    </w:p>
    <w:p w14:paraId="05B6EDC8" w14:textId="77777777" w:rsidR="00467FCA" w:rsidRPr="00624696" w:rsidRDefault="00467FCA">
      <w:pPr>
        <w:pStyle w:val="Textoindependiente"/>
        <w:rPr>
          <w:lang w:val="es-AR"/>
        </w:rPr>
      </w:pPr>
    </w:p>
    <w:p w14:paraId="55CCC6C8" w14:textId="77777777" w:rsidR="00467FCA" w:rsidRDefault="001B68EB">
      <w:pPr>
        <w:pStyle w:val="Prrafodelista"/>
        <w:numPr>
          <w:ilvl w:val="0"/>
          <w:numId w:val="50"/>
        </w:numPr>
        <w:tabs>
          <w:tab w:val="left" w:pos="687"/>
        </w:tabs>
        <w:ind w:left="119" w:right="116" w:firstLine="0"/>
        <w:jc w:val="both"/>
        <w:rPr>
          <w:sz w:val="20"/>
        </w:rPr>
      </w:pPr>
      <w:r w:rsidRPr="00624696">
        <w:rPr>
          <w:sz w:val="20"/>
          <w:lang w:val="es-AR"/>
        </w:rPr>
        <w:t>Por otra parte, el Estado, en su escrito de contestación, objetó a 26 familiares por no haber</w:t>
      </w:r>
      <w:r w:rsidRPr="00624696">
        <w:rPr>
          <w:sz w:val="20"/>
          <w:lang w:val="es-AR"/>
        </w:rPr>
        <w:t xml:space="preserve"> encontrado prueba del vínculo que dio lugar a la eventual violación de su derecho a la integridad personal. Estas objeciones se refieren a familiares relacionados en el Informe de Admisibilidad</w:t>
      </w:r>
      <w:r w:rsidRPr="00624696">
        <w:rPr>
          <w:spacing w:val="-11"/>
          <w:sz w:val="20"/>
          <w:lang w:val="es-AR"/>
        </w:rPr>
        <w:t xml:space="preserve"> </w:t>
      </w:r>
      <w:r w:rsidRPr="00624696">
        <w:rPr>
          <w:sz w:val="20"/>
          <w:lang w:val="es-AR"/>
        </w:rPr>
        <w:t>y</w:t>
      </w:r>
      <w:r w:rsidRPr="00624696">
        <w:rPr>
          <w:spacing w:val="-10"/>
          <w:sz w:val="20"/>
          <w:lang w:val="es-AR"/>
        </w:rPr>
        <w:t xml:space="preserve"> </w:t>
      </w:r>
      <w:r w:rsidRPr="00624696">
        <w:rPr>
          <w:sz w:val="20"/>
          <w:lang w:val="es-AR"/>
        </w:rPr>
        <w:t>Fondo</w:t>
      </w:r>
      <w:r w:rsidRPr="00624696">
        <w:rPr>
          <w:spacing w:val="-9"/>
          <w:sz w:val="20"/>
          <w:lang w:val="es-AR"/>
        </w:rPr>
        <w:t xml:space="preserve"> </w:t>
      </w:r>
      <w:r w:rsidRPr="00624696">
        <w:rPr>
          <w:sz w:val="20"/>
          <w:lang w:val="es-AR"/>
        </w:rPr>
        <w:t>y</w:t>
      </w:r>
      <w:r w:rsidRPr="00624696">
        <w:rPr>
          <w:spacing w:val="-6"/>
          <w:sz w:val="20"/>
          <w:lang w:val="es-AR"/>
        </w:rPr>
        <w:t xml:space="preserve"> </w:t>
      </w:r>
      <w:r w:rsidRPr="00624696">
        <w:rPr>
          <w:sz w:val="20"/>
          <w:lang w:val="es-AR"/>
        </w:rPr>
        <w:t>en</w:t>
      </w:r>
      <w:r w:rsidRPr="00624696">
        <w:rPr>
          <w:spacing w:val="-7"/>
          <w:sz w:val="20"/>
          <w:lang w:val="es-AR"/>
        </w:rPr>
        <w:t xml:space="preserve"> </w:t>
      </w:r>
      <w:r w:rsidRPr="00624696">
        <w:rPr>
          <w:sz w:val="20"/>
          <w:lang w:val="es-AR"/>
        </w:rPr>
        <w:t>el</w:t>
      </w:r>
      <w:r w:rsidRPr="00624696">
        <w:rPr>
          <w:spacing w:val="-7"/>
          <w:sz w:val="20"/>
          <w:lang w:val="es-AR"/>
        </w:rPr>
        <w:t xml:space="preserve"> </w:t>
      </w:r>
      <w:r w:rsidRPr="00624696">
        <w:rPr>
          <w:sz w:val="20"/>
          <w:lang w:val="es-AR"/>
        </w:rPr>
        <w:t>escrito</w:t>
      </w:r>
      <w:r w:rsidRPr="00624696">
        <w:rPr>
          <w:spacing w:val="-11"/>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solicitudes</w:t>
      </w:r>
      <w:r w:rsidRPr="00624696">
        <w:rPr>
          <w:spacing w:val="-8"/>
          <w:sz w:val="20"/>
          <w:lang w:val="es-AR"/>
        </w:rPr>
        <w:t xml:space="preserve"> </w:t>
      </w:r>
      <w:r w:rsidRPr="00624696">
        <w:rPr>
          <w:sz w:val="20"/>
          <w:lang w:val="es-AR"/>
        </w:rPr>
        <w:t>y</w:t>
      </w:r>
      <w:r w:rsidRPr="00624696">
        <w:rPr>
          <w:spacing w:val="-8"/>
          <w:sz w:val="20"/>
          <w:lang w:val="es-AR"/>
        </w:rPr>
        <w:t xml:space="preserve"> </w:t>
      </w:r>
      <w:r w:rsidRPr="00624696">
        <w:rPr>
          <w:sz w:val="20"/>
          <w:lang w:val="es-AR"/>
        </w:rPr>
        <w:t>argumentos.</w:t>
      </w:r>
      <w:r w:rsidRPr="00624696">
        <w:rPr>
          <w:spacing w:val="-8"/>
          <w:sz w:val="20"/>
          <w:lang w:val="es-AR"/>
        </w:rPr>
        <w:t xml:space="preserve"> </w:t>
      </w:r>
      <w:r w:rsidRPr="00624696">
        <w:rPr>
          <w:sz w:val="20"/>
          <w:lang w:val="es-AR"/>
        </w:rPr>
        <w:t>Debido</w:t>
      </w:r>
      <w:r w:rsidRPr="00624696">
        <w:rPr>
          <w:spacing w:val="-11"/>
          <w:sz w:val="20"/>
          <w:lang w:val="es-AR"/>
        </w:rPr>
        <w:t xml:space="preserve"> </w:t>
      </w:r>
      <w:r w:rsidRPr="00624696">
        <w:rPr>
          <w:sz w:val="20"/>
          <w:lang w:val="es-AR"/>
        </w:rPr>
        <w:t>a</w:t>
      </w:r>
      <w:r w:rsidRPr="00624696">
        <w:rPr>
          <w:spacing w:val="-8"/>
          <w:sz w:val="20"/>
          <w:lang w:val="es-AR"/>
        </w:rPr>
        <w:t xml:space="preserve"> </w:t>
      </w:r>
      <w:r w:rsidRPr="00624696">
        <w:rPr>
          <w:sz w:val="20"/>
          <w:lang w:val="es-AR"/>
        </w:rPr>
        <w:t>que</w:t>
      </w:r>
      <w:r w:rsidRPr="00624696">
        <w:rPr>
          <w:spacing w:val="-7"/>
          <w:sz w:val="20"/>
          <w:lang w:val="es-AR"/>
        </w:rPr>
        <w:t xml:space="preserve"> </w:t>
      </w:r>
      <w:r w:rsidRPr="00624696">
        <w:rPr>
          <w:sz w:val="20"/>
          <w:lang w:val="es-AR"/>
        </w:rPr>
        <w:t>esta</w:t>
      </w:r>
      <w:r w:rsidRPr="00624696">
        <w:rPr>
          <w:spacing w:val="-9"/>
          <w:sz w:val="20"/>
          <w:lang w:val="es-AR"/>
        </w:rPr>
        <w:t xml:space="preserve"> </w:t>
      </w:r>
      <w:r w:rsidRPr="00624696">
        <w:rPr>
          <w:sz w:val="20"/>
          <w:lang w:val="es-AR"/>
        </w:rPr>
        <w:t>objeción se refiere a la prueba de la eventual afectación del derecho a la integridad padecida por los familiares</w:t>
      </w:r>
      <w:r w:rsidRPr="00624696">
        <w:rPr>
          <w:spacing w:val="-17"/>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las</w:t>
      </w:r>
      <w:r w:rsidRPr="00624696">
        <w:rPr>
          <w:spacing w:val="-16"/>
          <w:sz w:val="20"/>
          <w:lang w:val="es-AR"/>
        </w:rPr>
        <w:t xml:space="preserve"> </w:t>
      </w:r>
      <w:r w:rsidRPr="00624696">
        <w:rPr>
          <w:sz w:val="20"/>
          <w:lang w:val="es-AR"/>
        </w:rPr>
        <w:t>presuntas</w:t>
      </w:r>
      <w:r w:rsidRPr="00624696">
        <w:rPr>
          <w:spacing w:val="-16"/>
          <w:sz w:val="20"/>
          <w:lang w:val="es-AR"/>
        </w:rPr>
        <w:t xml:space="preserve"> </w:t>
      </w:r>
      <w:r w:rsidRPr="00624696">
        <w:rPr>
          <w:sz w:val="20"/>
          <w:lang w:val="es-AR"/>
        </w:rPr>
        <w:t>víctimas,</w:t>
      </w:r>
      <w:r w:rsidRPr="00624696">
        <w:rPr>
          <w:spacing w:val="-13"/>
          <w:sz w:val="20"/>
          <w:lang w:val="es-AR"/>
        </w:rPr>
        <w:t xml:space="preserve"> </w:t>
      </w:r>
      <w:r w:rsidRPr="00624696">
        <w:rPr>
          <w:sz w:val="20"/>
          <w:lang w:val="es-AR"/>
        </w:rPr>
        <w:t>será</w:t>
      </w:r>
      <w:r w:rsidRPr="00624696">
        <w:rPr>
          <w:spacing w:val="-13"/>
          <w:sz w:val="20"/>
          <w:lang w:val="es-AR"/>
        </w:rPr>
        <w:t xml:space="preserve"> </w:t>
      </w:r>
      <w:r w:rsidRPr="00624696">
        <w:rPr>
          <w:sz w:val="20"/>
          <w:lang w:val="es-AR"/>
        </w:rPr>
        <w:t>valorada</w:t>
      </w:r>
      <w:r w:rsidRPr="00624696">
        <w:rPr>
          <w:spacing w:val="-15"/>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el</w:t>
      </w:r>
      <w:r w:rsidRPr="00624696">
        <w:rPr>
          <w:spacing w:val="-16"/>
          <w:sz w:val="20"/>
          <w:lang w:val="es-AR"/>
        </w:rPr>
        <w:t xml:space="preserve"> </w:t>
      </w:r>
      <w:r w:rsidRPr="00624696">
        <w:rPr>
          <w:sz w:val="20"/>
          <w:lang w:val="es-AR"/>
        </w:rPr>
        <w:t>apartado</w:t>
      </w:r>
      <w:r w:rsidRPr="00624696">
        <w:rPr>
          <w:spacing w:val="-14"/>
          <w:sz w:val="20"/>
          <w:lang w:val="es-AR"/>
        </w:rPr>
        <w:t xml:space="preserve"> </w:t>
      </w:r>
      <w:r w:rsidRPr="00624696">
        <w:rPr>
          <w:sz w:val="20"/>
          <w:lang w:val="es-AR"/>
        </w:rPr>
        <w:t>correspondiente</w:t>
      </w:r>
      <w:r w:rsidRPr="00624696">
        <w:rPr>
          <w:spacing w:val="-16"/>
          <w:sz w:val="20"/>
          <w:lang w:val="es-AR"/>
        </w:rPr>
        <w:t xml:space="preserve"> </w:t>
      </w:r>
      <w:r w:rsidRPr="00624696">
        <w:rPr>
          <w:sz w:val="20"/>
          <w:lang w:val="es-AR"/>
        </w:rPr>
        <w:t>(</w:t>
      </w:r>
      <w:r w:rsidRPr="00624696">
        <w:rPr>
          <w:i/>
          <w:sz w:val="20"/>
          <w:lang w:val="es-AR"/>
        </w:rPr>
        <w:t>infra</w:t>
      </w:r>
      <w:r w:rsidRPr="00624696">
        <w:rPr>
          <w:i/>
          <w:spacing w:val="-15"/>
          <w:sz w:val="20"/>
          <w:lang w:val="es-AR"/>
        </w:rPr>
        <w:t xml:space="preserve"> </w:t>
      </w:r>
      <w:r w:rsidRPr="00624696">
        <w:rPr>
          <w:sz w:val="20"/>
          <w:lang w:val="es-AR"/>
        </w:rPr>
        <w:t xml:space="preserve">párr. </w:t>
      </w:r>
      <w:r>
        <w:rPr>
          <w:sz w:val="20"/>
        </w:rPr>
        <w:t>248 - 256) y no como una cuestión</w:t>
      </w:r>
      <w:r>
        <w:rPr>
          <w:spacing w:val="-6"/>
          <w:sz w:val="20"/>
        </w:rPr>
        <w:t xml:space="preserve"> </w:t>
      </w:r>
      <w:r>
        <w:rPr>
          <w:sz w:val="20"/>
        </w:rPr>
        <w:t>preliminar.</w:t>
      </w:r>
    </w:p>
    <w:p w14:paraId="2BF2B82E" w14:textId="77777777" w:rsidR="00467FCA" w:rsidRDefault="00467FCA">
      <w:pPr>
        <w:pStyle w:val="Textoindependiente"/>
      </w:pPr>
    </w:p>
    <w:p w14:paraId="1990882B" w14:textId="77777777" w:rsidR="00467FCA" w:rsidRPr="00624696" w:rsidRDefault="001B68EB">
      <w:pPr>
        <w:pStyle w:val="Prrafodelista"/>
        <w:numPr>
          <w:ilvl w:val="0"/>
          <w:numId w:val="50"/>
        </w:numPr>
        <w:tabs>
          <w:tab w:val="left" w:pos="687"/>
        </w:tabs>
        <w:ind w:left="119" w:right="116" w:firstLine="0"/>
        <w:jc w:val="both"/>
        <w:rPr>
          <w:sz w:val="20"/>
          <w:lang w:val="es-AR"/>
        </w:rPr>
      </w:pPr>
      <w:r w:rsidRPr="00624696">
        <w:rPr>
          <w:sz w:val="20"/>
          <w:lang w:val="es-AR"/>
        </w:rPr>
        <w:t>En relación con la objeción referida a la inclusión de dos poderes en el escrito de solicitudes</w:t>
      </w:r>
      <w:r w:rsidRPr="00624696">
        <w:rPr>
          <w:spacing w:val="-19"/>
          <w:sz w:val="20"/>
          <w:lang w:val="es-AR"/>
        </w:rPr>
        <w:t xml:space="preserve"> </w:t>
      </w:r>
      <w:r w:rsidRPr="00624696">
        <w:rPr>
          <w:sz w:val="20"/>
          <w:lang w:val="es-AR"/>
        </w:rPr>
        <w:t>y</w:t>
      </w:r>
      <w:r w:rsidRPr="00624696">
        <w:rPr>
          <w:spacing w:val="-16"/>
          <w:sz w:val="20"/>
          <w:lang w:val="es-AR"/>
        </w:rPr>
        <w:t xml:space="preserve"> </w:t>
      </w:r>
      <w:r w:rsidRPr="00624696">
        <w:rPr>
          <w:sz w:val="20"/>
          <w:lang w:val="es-AR"/>
        </w:rPr>
        <w:t>argumentos,</w:t>
      </w:r>
      <w:r w:rsidRPr="00624696">
        <w:rPr>
          <w:spacing w:val="-17"/>
          <w:sz w:val="20"/>
          <w:lang w:val="es-AR"/>
        </w:rPr>
        <w:t xml:space="preserve"> </w:t>
      </w:r>
      <w:r w:rsidRPr="00624696">
        <w:rPr>
          <w:sz w:val="20"/>
          <w:lang w:val="es-AR"/>
        </w:rPr>
        <w:t>correspondientes</w:t>
      </w:r>
      <w:r w:rsidRPr="00624696">
        <w:rPr>
          <w:spacing w:val="-19"/>
          <w:sz w:val="20"/>
          <w:lang w:val="es-AR"/>
        </w:rPr>
        <w:t xml:space="preserve"> </w:t>
      </w:r>
      <w:r w:rsidRPr="00624696">
        <w:rPr>
          <w:sz w:val="20"/>
          <w:lang w:val="es-AR"/>
        </w:rPr>
        <w:t>a</w:t>
      </w:r>
      <w:r w:rsidRPr="00624696">
        <w:rPr>
          <w:spacing w:val="-15"/>
          <w:sz w:val="20"/>
          <w:lang w:val="es-AR"/>
        </w:rPr>
        <w:t xml:space="preserve"> </w:t>
      </w:r>
      <w:r w:rsidRPr="00624696">
        <w:rPr>
          <w:sz w:val="20"/>
          <w:lang w:val="es-AR"/>
        </w:rPr>
        <w:t>Andressa</w:t>
      </w:r>
      <w:r w:rsidRPr="00624696">
        <w:rPr>
          <w:spacing w:val="-16"/>
          <w:sz w:val="20"/>
          <w:lang w:val="es-AR"/>
        </w:rPr>
        <w:t xml:space="preserve"> </w:t>
      </w:r>
      <w:r w:rsidRPr="00624696">
        <w:rPr>
          <w:sz w:val="20"/>
          <w:lang w:val="es-AR"/>
        </w:rPr>
        <w:t>Santos</w:t>
      </w:r>
      <w:r w:rsidRPr="00624696">
        <w:rPr>
          <w:spacing w:val="-17"/>
          <w:sz w:val="20"/>
          <w:lang w:val="es-AR"/>
        </w:rPr>
        <w:t xml:space="preserve"> </w:t>
      </w:r>
      <w:r w:rsidRPr="00624696">
        <w:rPr>
          <w:sz w:val="20"/>
          <w:lang w:val="es-AR"/>
        </w:rPr>
        <w:t>Costa</w:t>
      </w:r>
      <w:r w:rsidRPr="00624696">
        <w:rPr>
          <w:spacing w:val="-16"/>
          <w:sz w:val="20"/>
          <w:lang w:val="es-AR"/>
        </w:rPr>
        <w:t xml:space="preserve"> </w:t>
      </w:r>
      <w:r w:rsidRPr="00624696">
        <w:rPr>
          <w:sz w:val="20"/>
          <w:lang w:val="es-AR"/>
        </w:rPr>
        <w:t>y</w:t>
      </w:r>
      <w:r w:rsidRPr="00624696">
        <w:rPr>
          <w:spacing w:val="-19"/>
          <w:sz w:val="20"/>
          <w:lang w:val="es-AR"/>
        </w:rPr>
        <w:t xml:space="preserve"> </w:t>
      </w:r>
      <w:r w:rsidRPr="00624696">
        <w:rPr>
          <w:sz w:val="20"/>
          <w:lang w:val="es-AR"/>
        </w:rPr>
        <w:t>Vera</w:t>
      </w:r>
      <w:r w:rsidRPr="00624696">
        <w:rPr>
          <w:spacing w:val="-15"/>
          <w:sz w:val="20"/>
          <w:lang w:val="es-AR"/>
        </w:rPr>
        <w:t xml:space="preserve"> </w:t>
      </w:r>
      <w:r w:rsidRPr="00624696">
        <w:rPr>
          <w:sz w:val="20"/>
          <w:lang w:val="es-AR"/>
        </w:rPr>
        <w:t>Lúcia</w:t>
      </w:r>
      <w:r w:rsidRPr="00624696">
        <w:rPr>
          <w:spacing w:val="-16"/>
          <w:sz w:val="20"/>
          <w:lang w:val="es-AR"/>
        </w:rPr>
        <w:t xml:space="preserve"> </w:t>
      </w:r>
      <w:r w:rsidRPr="00624696">
        <w:rPr>
          <w:sz w:val="20"/>
          <w:lang w:val="es-AR"/>
        </w:rPr>
        <w:t>Silva,</w:t>
      </w:r>
      <w:r w:rsidRPr="00624696">
        <w:rPr>
          <w:spacing w:val="-17"/>
          <w:sz w:val="20"/>
          <w:lang w:val="es-AR"/>
        </w:rPr>
        <w:t xml:space="preserve"> </w:t>
      </w:r>
      <w:r w:rsidRPr="00624696">
        <w:rPr>
          <w:sz w:val="20"/>
          <w:lang w:val="es-AR"/>
        </w:rPr>
        <w:t xml:space="preserve">cuyos nombres no figuran en ninguna de las listas de presuntas víctimas </w:t>
      </w:r>
      <w:r w:rsidRPr="00624696">
        <w:rPr>
          <w:sz w:val="20"/>
          <w:lang w:val="es-AR"/>
        </w:rPr>
        <w:t>ofrecidas por la Comisión o los representantes, la Corte encuentra que le asiste razón al Estado y que dichas personas no</w:t>
      </w:r>
      <w:r w:rsidRPr="00624696">
        <w:rPr>
          <w:spacing w:val="-12"/>
          <w:sz w:val="20"/>
          <w:lang w:val="es-AR"/>
        </w:rPr>
        <w:t xml:space="preserve"> </w:t>
      </w:r>
      <w:r w:rsidRPr="00624696">
        <w:rPr>
          <w:sz w:val="20"/>
          <w:lang w:val="es-AR"/>
        </w:rPr>
        <w:t>deben</w:t>
      </w:r>
      <w:r w:rsidRPr="00624696">
        <w:rPr>
          <w:spacing w:val="-10"/>
          <w:sz w:val="20"/>
          <w:lang w:val="es-AR"/>
        </w:rPr>
        <w:t xml:space="preserve"> </w:t>
      </w:r>
      <w:r w:rsidRPr="00624696">
        <w:rPr>
          <w:sz w:val="20"/>
          <w:lang w:val="es-AR"/>
        </w:rPr>
        <w:t>ser</w:t>
      </w:r>
      <w:r w:rsidRPr="00624696">
        <w:rPr>
          <w:spacing w:val="-11"/>
          <w:sz w:val="20"/>
          <w:lang w:val="es-AR"/>
        </w:rPr>
        <w:t xml:space="preserve"> </w:t>
      </w:r>
      <w:r w:rsidRPr="00624696">
        <w:rPr>
          <w:sz w:val="20"/>
          <w:lang w:val="es-AR"/>
        </w:rPr>
        <w:t>consideradas</w:t>
      </w:r>
      <w:r w:rsidRPr="00624696">
        <w:rPr>
          <w:spacing w:val="-11"/>
          <w:sz w:val="20"/>
          <w:lang w:val="es-AR"/>
        </w:rPr>
        <w:t xml:space="preserve"> </w:t>
      </w:r>
      <w:r w:rsidRPr="00624696">
        <w:rPr>
          <w:sz w:val="20"/>
          <w:lang w:val="es-AR"/>
        </w:rPr>
        <w:t>como</w:t>
      </w:r>
      <w:r w:rsidRPr="00624696">
        <w:rPr>
          <w:spacing w:val="-12"/>
          <w:sz w:val="20"/>
          <w:lang w:val="es-AR"/>
        </w:rPr>
        <w:t xml:space="preserve"> </w:t>
      </w:r>
      <w:r w:rsidRPr="00624696">
        <w:rPr>
          <w:sz w:val="20"/>
          <w:lang w:val="es-AR"/>
        </w:rPr>
        <w:t>presuntas</w:t>
      </w:r>
      <w:r w:rsidRPr="00624696">
        <w:rPr>
          <w:spacing w:val="-11"/>
          <w:sz w:val="20"/>
          <w:lang w:val="es-AR"/>
        </w:rPr>
        <w:t xml:space="preserve"> </w:t>
      </w:r>
      <w:r w:rsidRPr="00624696">
        <w:rPr>
          <w:sz w:val="20"/>
          <w:lang w:val="es-AR"/>
        </w:rPr>
        <w:t>víctimas</w:t>
      </w:r>
      <w:r w:rsidRPr="00624696">
        <w:rPr>
          <w:spacing w:val="-12"/>
          <w:sz w:val="20"/>
          <w:lang w:val="es-AR"/>
        </w:rPr>
        <w:t xml:space="preserve"> </w:t>
      </w:r>
      <w:r w:rsidRPr="00624696">
        <w:rPr>
          <w:sz w:val="20"/>
          <w:lang w:val="es-AR"/>
        </w:rPr>
        <w:t>de</w:t>
      </w:r>
      <w:r w:rsidRPr="00624696">
        <w:rPr>
          <w:spacing w:val="-9"/>
          <w:sz w:val="20"/>
          <w:lang w:val="es-AR"/>
        </w:rPr>
        <w:t xml:space="preserve"> </w:t>
      </w:r>
      <w:r w:rsidRPr="00624696">
        <w:rPr>
          <w:sz w:val="20"/>
          <w:lang w:val="es-AR"/>
        </w:rPr>
        <w:t>este</w:t>
      </w:r>
      <w:r w:rsidRPr="00624696">
        <w:rPr>
          <w:spacing w:val="-10"/>
          <w:sz w:val="20"/>
          <w:lang w:val="es-AR"/>
        </w:rPr>
        <w:t xml:space="preserve"> </w:t>
      </w:r>
      <w:r w:rsidRPr="00624696">
        <w:rPr>
          <w:sz w:val="20"/>
          <w:lang w:val="es-AR"/>
        </w:rPr>
        <w:t>caso,</w:t>
      </w:r>
      <w:r w:rsidRPr="00624696">
        <w:rPr>
          <w:spacing w:val="-11"/>
          <w:sz w:val="20"/>
          <w:lang w:val="es-AR"/>
        </w:rPr>
        <w:t xml:space="preserve"> </w:t>
      </w:r>
      <w:r w:rsidRPr="00624696">
        <w:rPr>
          <w:sz w:val="20"/>
          <w:lang w:val="es-AR"/>
        </w:rPr>
        <w:t>pues</w:t>
      </w:r>
      <w:r w:rsidRPr="00624696">
        <w:rPr>
          <w:spacing w:val="-10"/>
          <w:sz w:val="20"/>
          <w:lang w:val="es-AR"/>
        </w:rPr>
        <w:t xml:space="preserve"> </w:t>
      </w:r>
      <w:r w:rsidRPr="00624696">
        <w:rPr>
          <w:sz w:val="20"/>
          <w:lang w:val="es-AR"/>
        </w:rPr>
        <w:t>en</w:t>
      </w:r>
      <w:r w:rsidRPr="00624696">
        <w:rPr>
          <w:spacing w:val="-10"/>
          <w:sz w:val="20"/>
          <w:lang w:val="es-AR"/>
        </w:rPr>
        <w:t xml:space="preserve"> </w:t>
      </w:r>
      <w:r w:rsidRPr="00624696">
        <w:rPr>
          <w:sz w:val="20"/>
          <w:lang w:val="es-AR"/>
        </w:rPr>
        <w:t>ningún</w:t>
      </w:r>
      <w:r w:rsidRPr="00624696">
        <w:rPr>
          <w:spacing w:val="-9"/>
          <w:sz w:val="20"/>
          <w:lang w:val="es-AR"/>
        </w:rPr>
        <w:t xml:space="preserve"> </w:t>
      </w:r>
      <w:r w:rsidRPr="00624696">
        <w:rPr>
          <w:sz w:val="20"/>
          <w:lang w:val="es-AR"/>
        </w:rPr>
        <w:t>documento son presentadas como tales.</w:t>
      </w:r>
    </w:p>
    <w:p w14:paraId="58C489B9" w14:textId="77777777" w:rsidR="00467FCA" w:rsidRPr="00624696" w:rsidRDefault="00467FCA">
      <w:pPr>
        <w:pStyle w:val="Textoindependiente"/>
        <w:rPr>
          <w:lang w:val="es-AR"/>
        </w:rPr>
      </w:pPr>
    </w:p>
    <w:p w14:paraId="06E46F94" w14:textId="77777777" w:rsidR="00467FCA" w:rsidRDefault="001B68EB">
      <w:pPr>
        <w:pStyle w:val="Prrafodelista"/>
        <w:numPr>
          <w:ilvl w:val="0"/>
          <w:numId w:val="50"/>
        </w:numPr>
        <w:tabs>
          <w:tab w:val="left" w:pos="687"/>
        </w:tabs>
        <w:ind w:right="117" w:hanging="1"/>
        <w:jc w:val="both"/>
        <w:rPr>
          <w:sz w:val="20"/>
        </w:rPr>
      </w:pPr>
      <w:r w:rsidRPr="00624696">
        <w:rPr>
          <w:sz w:val="20"/>
          <w:lang w:val="es-AR"/>
        </w:rPr>
        <w:t>Finalmente,</w:t>
      </w:r>
      <w:r w:rsidRPr="00624696">
        <w:rPr>
          <w:spacing w:val="-21"/>
          <w:sz w:val="20"/>
          <w:lang w:val="es-AR"/>
        </w:rPr>
        <w:t xml:space="preserve"> </w:t>
      </w:r>
      <w:r w:rsidRPr="00624696">
        <w:rPr>
          <w:sz w:val="20"/>
          <w:lang w:val="es-AR"/>
        </w:rPr>
        <w:t>la</w:t>
      </w:r>
      <w:r w:rsidRPr="00624696">
        <w:rPr>
          <w:spacing w:val="-21"/>
          <w:sz w:val="20"/>
          <w:lang w:val="es-AR"/>
        </w:rPr>
        <w:t xml:space="preserve"> </w:t>
      </w:r>
      <w:r w:rsidRPr="00624696">
        <w:rPr>
          <w:sz w:val="20"/>
          <w:lang w:val="es-AR"/>
        </w:rPr>
        <w:t>Cort</w:t>
      </w:r>
      <w:r w:rsidRPr="00624696">
        <w:rPr>
          <w:sz w:val="20"/>
          <w:lang w:val="es-AR"/>
        </w:rPr>
        <w:t>e</w:t>
      </w:r>
      <w:r w:rsidRPr="00624696">
        <w:rPr>
          <w:spacing w:val="-20"/>
          <w:sz w:val="20"/>
          <w:lang w:val="es-AR"/>
        </w:rPr>
        <w:t xml:space="preserve"> </w:t>
      </w:r>
      <w:r w:rsidRPr="00624696">
        <w:rPr>
          <w:sz w:val="20"/>
          <w:lang w:val="es-AR"/>
        </w:rPr>
        <w:t>encontró</w:t>
      </w:r>
      <w:r w:rsidRPr="00624696">
        <w:rPr>
          <w:spacing w:val="-20"/>
          <w:sz w:val="20"/>
          <w:lang w:val="es-AR"/>
        </w:rPr>
        <w:t xml:space="preserve"> </w:t>
      </w:r>
      <w:r w:rsidRPr="00624696">
        <w:rPr>
          <w:sz w:val="20"/>
          <w:lang w:val="es-AR"/>
        </w:rPr>
        <w:t>y</w:t>
      </w:r>
      <w:r w:rsidRPr="00624696">
        <w:rPr>
          <w:spacing w:val="-21"/>
          <w:sz w:val="20"/>
          <w:lang w:val="es-AR"/>
        </w:rPr>
        <w:t xml:space="preserve"> </w:t>
      </w:r>
      <w:r w:rsidRPr="00624696">
        <w:rPr>
          <w:sz w:val="20"/>
          <w:lang w:val="es-AR"/>
        </w:rPr>
        <w:t>corrigió</w:t>
      </w:r>
      <w:r w:rsidRPr="00624696">
        <w:rPr>
          <w:spacing w:val="-20"/>
          <w:sz w:val="20"/>
          <w:lang w:val="es-AR"/>
        </w:rPr>
        <w:t xml:space="preserve"> </w:t>
      </w:r>
      <w:r w:rsidRPr="00624696">
        <w:rPr>
          <w:sz w:val="20"/>
          <w:lang w:val="es-AR"/>
        </w:rPr>
        <w:t>algunas</w:t>
      </w:r>
      <w:r w:rsidRPr="00624696">
        <w:rPr>
          <w:spacing w:val="-22"/>
          <w:sz w:val="20"/>
          <w:lang w:val="es-AR"/>
        </w:rPr>
        <w:t xml:space="preserve"> </w:t>
      </w:r>
      <w:r w:rsidRPr="00624696">
        <w:rPr>
          <w:sz w:val="20"/>
          <w:lang w:val="es-AR"/>
        </w:rPr>
        <w:t>inconsistencias</w:t>
      </w:r>
      <w:r w:rsidRPr="00624696">
        <w:rPr>
          <w:spacing w:val="-19"/>
          <w:sz w:val="20"/>
          <w:lang w:val="es-AR"/>
        </w:rPr>
        <w:t xml:space="preserve"> </w:t>
      </w:r>
      <w:r w:rsidRPr="00624696">
        <w:rPr>
          <w:sz w:val="20"/>
          <w:lang w:val="es-AR"/>
        </w:rPr>
        <w:t>en</w:t>
      </w:r>
      <w:r w:rsidRPr="00624696">
        <w:rPr>
          <w:spacing w:val="-20"/>
          <w:sz w:val="20"/>
          <w:lang w:val="es-AR"/>
        </w:rPr>
        <w:t xml:space="preserve"> </w:t>
      </w:r>
      <w:r w:rsidRPr="00624696">
        <w:rPr>
          <w:sz w:val="20"/>
          <w:lang w:val="es-AR"/>
        </w:rPr>
        <w:t>relación</w:t>
      </w:r>
      <w:r w:rsidRPr="00624696">
        <w:rPr>
          <w:spacing w:val="-20"/>
          <w:sz w:val="20"/>
          <w:lang w:val="es-AR"/>
        </w:rPr>
        <w:t xml:space="preserve"> </w:t>
      </w:r>
      <w:r w:rsidRPr="00624696">
        <w:rPr>
          <w:sz w:val="20"/>
          <w:lang w:val="es-AR"/>
        </w:rPr>
        <w:t>con</w:t>
      </w:r>
      <w:r w:rsidRPr="00624696">
        <w:rPr>
          <w:spacing w:val="-17"/>
          <w:sz w:val="20"/>
          <w:lang w:val="es-AR"/>
        </w:rPr>
        <w:t xml:space="preserve"> </w:t>
      </w:r>
      <w:r w:rsidRPr="00624696">
        <w:rPr>
          <w:sz w:val="20"/>
          <w:lang w:val="es-AR"/>
        </w:rPr>
        <w:t>el</w:t>
      </w:r>
      <w:r w:rsidRPr="00624696">
        <w:rPr>
          <w:spacing w:val="-21"/>
          <w:sz w:val="20"/>
          <w:lang w:val="es-AR"/>
        </w:rPr>
        <w:t xml:space="preserve"> </w:t>
      </w:r>
      <w:r w:rsidRPr="00624696">
        <w:rPr>
          <w:sz w:val="20"/>
          <w:lang w:val="es-AR"/>
        </w:rPr>
        <w:t>listado de</w:t>
      </w:r>
      <w:r w:rsidRPr="00624696">
        <w:rPr>
          <w:spacing w:val="-16"/>
          <w:sz w:val="20"/>
          <w:lang w:val="es-AR"/>
        </w:rPr>
        <w:t xml:space="preserve"> </w:t>
      </w:r>
      <w:r w:rsidRPr="00624696">
        <w:rPr>
          <w:sz w:val="20"/>
          <w:lang w:val="es-AR"/>
        </w:rPr>
        <w:t>familiares</w:t>
      </w:r>
      <w:r w:rsidRPr="00624696">
        <w:rPr>
          <w:spacing w:val="-16"/>
          <w:sz w:val="20"/>
          <w:lang w:val="es-AR"/>
        </w:rPr>
        <w:t xml:space="preserve"> </w:t>
      </w:r>
      <w:r w:rsidRPr="00624696">
        <w:rPr>
          <w:sz w:val="20"/>
          <w:lang w:val="es-AR"/>
        </w:rPr>
        <w:t>presentado</w:t>
      </w:r>
      <w:r w:rsidRPr="00624696">
        <w:rPr>
          <w:spacing w:val="-15"/>
          <w:sz w:val="20"/>
          <w:lang w:val="es-AR"/>
        </w:rPr>
        <w:t xml:space="preserve"> </w:t>
      </w:r>
      <w:r w:rsidRPr="00624696">
        <w:rPr>
          <w:sz w:val="20"/>
          <w:lang w:val="es-AR"/>
        </w:rPr>
        <w:t>por</w:t>
      </w:r>
      <w:r w:rsidRPr="00624696">
        <w:rPr>
          <w:spacing w:val="-16"/>
          <w:sz w:val="20"/>
          <w:lang w:val="es-AR"/>
        </w:rPr>
        <w:t xml:space="preserve"> </w:t>
      </w:r>
      <w:r w:rsidRPr="00624696">
        <w:rPr>
          <w:sz w:val="20"/>
          <w:lang w:val="es-AR"/>
        </w:rPr>
        <w:t>la</w:t>
      </w:r>
      <w:r w:rsidRPr="00624696">
        <w:rPr>
          <w:spacing w:val="-12"/>
          <w:sz w:val="20"/>
          <w:lang w:val="es-AR"/>
        </w:rPr>
        <w:t xml:space="preserve"> </w:t>
      </w:r>
      <w:r w:rsidRPr="00624696">
        <w:rPr>
          <w:sz w:val="20"/>
          <w:lang w:val="es-AR"/>
        </w:rPr>
        <w:t>Comisión.</w:t>
      </w:r>
      <w:r w:rsidRPr="00624696">
        <w:rPr>
          <w:spacing w:val="-15"/>
          <w:sz w:val="20"/>
          <w:lang w:val="es-AR"/>
        </w:rPr>
        <w:t xml:space="preserve"> </w:t>
      </w:r>
      <w:r w:rsidRPr="00624696">
        <w:rPr>
          <w:sz w:val="20"/>
          <w:lang w:val="es-AR"/>
        </w:rPr>
        <w:t>Así,</w:t>
      </w:r>
      <w:r w:rsidRPr="00624696">
        <w:rPr>
          <w:spacing w:val="-16"/>
          <w:sz w:val="20"/>
          <w:lang w:val="es-AR"/>
        </w:rPr>
        <w:t xml:space="preserve"> </w:t>
      </w:r>
      <w:r w:rsidRPr="00624696">
        <w:rPr>
          <w:sz w:val="20"/>
          <w:lang w:val="es-AR"/>
        </w:rPr>
        <w:t>Adriana</w:t>
      </w:r>
      <w:r w:rsidRPr="00624696">
        <w:rPr>
          <w:spacing w:val="-14"/>
          <w:sz w:val="20"/>
          <w:lang w:val="es-AR"/>
        </w:rPr>
        <w:t xml:space="preserve"> </w:t>
      </w:r>
      <w:r w:rsidRPr="00624696">
        <w:rPr>
          <w:sz w:val="20"/>
          <w:lang w:val="es-AR"/>
        </w:rPr>
        <w:t>Santos</w:t>
      </w:r>
      <w:r w:rsidRPr="00624696">
        <w:rPr>
          <w:spacing w:val="-16"/>
          <w:sz w:val="20"/>
          <w:lang w:val="es-AR"/>
        </w:rPr>
        <w:t xml:space="preserve"> </w:t>
      </w:r>
      <w:r w:rsidRPr="00624696">
        <w:rPr>
          <w:sz w:val="20"/>
          <w:lang w:val="es-AR"/>
        </w:rPr>
        <w:t>Rocha,</w:t>
      </w:r>
      <w:r w:rsidRPr="00624696">
        <w:rPr>
          <w:spacing w:val="-13"/>
          <w:sz w:val="20"/>
          <w:lang w:val="es-AR"/>
        </w:rPr>
        <w:t xml:space="preserve"> </w:t>
      </w:r>
      <w:r w:rsidRPr="00624696">
        <w:rPr>
          <w:sz w:val="20"/>
          <w:lang w:val="es-AR"/>
        </w:rPr>
        <w:t>aparecía</w:t>
      </w:r>
      <w:r w:rsidRPr="00624696">
        <w:rPr>
          <w:spacing w:val="-14"/>
          <w:sz w:val="20"/>
          <w:lang w:val="es-AR"/>
        </w:rPr>
        <w:t xml:space="preserve"> </w:t>
      </w:r>
      <w:r w:rsidRPr="00624696">
        <w:rPr>
          <w:sz w:val="20"/>
          <w:lang w:val="es-AR"/>
        </w:rPr>
        <w:t>reseñada</w:t>
      </w:r>
      <w:r w:rsidRPr="00624696">
        <w:rPr>
          <w:spacing w:val="-12"/>
          <w:sz w:val="20"/>
          <w:lang w:val="es-AR"/>
        </w:rPr>
        <w:t xml:space="preserve"> </w:t>
      </w:r>
      <w:r w:rsidRPr="00624696">
        <w:rPr>
          <w:sz w:val="20"/>
          <w:lang w:val="es-AR"/>
        </w:rPr>
        <w:t xml:space="preserve">como presunta víctima de la explosión y, en el listado de familiares, este mismo nombre constaba como si fuera hermana de Adriana Santos Rocha, es decir, como su propia hermana. </w:t>
      </w:r>
      <w:r>
        <w:rPr>
          <w:sz w:val="20"/>
        </w:rPr>
        <w:t>Igual ocurría con Fabiana Santos</w:t>
      </w:r>
      <w:r>
        <w:rPr>
          <w:spacing w:val="-2"/>
          <w:sz w:val="20"/>
        </w:rPr>
        <w:t xml:space="preserve"> </w:t>
      </w:r>
      <w:r>
        <w:rPr>
          <w:sz w:val="20"/>
        </w:rPr>
        <w:t>Rocha.</w:t>
      </w:r>
    </w:p>
    <w:p w14:paraId="04992D6D" w14:textId="77777777" w:rsidR="00467FCA" w:rsidRDefault="00467FCA">
      <w:pPr>
        <w:pStyle w:val="Textoindependiente"/>
        <w:spacing w:before="1"/>
      </w:pPr>
    </w:p>
    <w:p w14:paraId="03706BF8" w14:textId="77777777" w:rsidR="00467FCA" w:rsidRPr="00624696" w:rsidRDefault="001B68EB">
      <w:pPr>
        <w:pStyle w:val="Prrafodelista"/>
        <w:numPr>
          <w:ilvl w:val="0"/>
          <w:numId w:val="50"/>
        </w:numPr>
        <w:tabs>
          <w:tab w:val="left" w:pos="687"/>
        </w:tabs>
        <w:ind w:right="119" w:hanging="1"/>
        <w:jc w:val="both"/>
        <w:rPr>
          <w:sz w:val="20"/>
          <w:lang w:val="es-AR"/>
        </w:rPr>
      </w:pPr>
      <w:r w:rsidRPr="00624696">
        <w:rPr>
          <w:sz w:val="20"/>
          <w:lang w:val="es-AR"/>
        </w:rPr>
        <w:t>Conforme a lo anterior, la Corte encu</w:t>
      </w:r>
      <w:r w:rsidRPr="00624696">
        <w:rPr>
          <w:sz w:val="20"/>
          <w:lang w:val="es-AR"/>
        </w:rPr>
        <w:t>entra que en este caso 100 personas, constantes del Anexo 2 de esta sentencia, han sido identificadas como familiares de las personas presuntamente</w:t>
      </w:r>
      <w:r w:rsidRPr="00624696">
        <w:rPr>
          <w:spacing w:val="-12"/>
          <w:sz w:val="20"/>
          <w:lang w:val="es-AR"/>
        </w:rPr>
        <w:t xml:space="preserve"> </w:t>
      </w:r>
      <w:r w:rsidRPr="00624696">
        <w:rPr>
          <w:sz w:val="20"/>
          <w:lang w:val="es-AR"/>
        </w:rPr>
        <w:t>fallecidas</w:t>
      </w:r>
      <w:r w:rsidRPr="00624696">
        <w:rPr>
          <w:spacing w:val="-12"/>
          <w:sz w:val="20"/>
          <w:lang w:val="es-AR"/>
        </w:rPr>
        <w:t xml:space="preserve"> </w:t>
      </w:r>
      <w:r w:rsidRPr="00624696">
        <w:rPr>
          <w:sz w:val="20"/>
          <w:lang w:val="es-AR"/>
        </w:rPr>
        <w:t>o</w:t>
      </w:r>
      <w:r w:rsidRPr="00624696">
        <w:rPr>
          <w:spacing w:val="-12"/>
          <w:sz w:val="20"/>
          <w:lang w:val="es-AR"/>
        </w:rPr>
        <w:t xml:space="preserve"> </w:t>
      </w:r>
      <w:r w:rsidRPr="00624696">
        <w:rPr>
          <w:sz w:val="20"/>
          <w:lang w:val="es-AR"/>
        </w:rPr>
        <w:t>sobrevivientes</w:t>
      </w:r>
      <w:r w:rsidRPr="00624696">
        <w:rPr>
          <w:spacing w:val="-11"/>
          <w:sz w:val="20"/>
          <w:lang w:val="es-AR"/>
        </w:rPr>
        <w:t xml:space="preserve"> </w:t>
      </w:r>
      <w:r w:rsidRPr="00624696">
        <w:rPr>
          <w:sz w:val="20"/>
          <w:lang w:val="es-AR"/>
        </w:rPr>
        <w:t>a</w:t>
      </w:r>
      <w:r w:rsidRPr="00624696">
        <w:rPr>
          <w:spacing w:val="-13"/>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explosión</w:t>
      </w:r>
      <w:r w:rsidRPr="00624696">
        <w:rPr>
          <w:spacing w:val="-13"/>
          <w:sz w:val="20"/>
          <w:lang w:val="es-AR"/>
        </w:rPr>
        <w:t xml:space="preserve"> </w:t>
      </w:r>
      <w:r w:rsidRPr="00624696">
        <w:rPr>
          <w:sz w:val="20"/>
          <w:lang w:val="es-AR"/>
        </w:rPr>
        <w:t>y,</w:t>
      </w:r>
      <w:r w:rsidRPr="00624696">
        <w:rPr>
          <w:spacing w:val="-14"/>
          <w:sz w:val="20"/>
          <w:lang w:val="es-AR"/>
        </w:rPr>
        <w:t xml:space="preserve"> </w:t>
      </w:r>
      <w:r w:rsidRPr="00624696">
        <w:rPr>
          <w:sz w:val="20"/>
          <w:lang w:val="es-AR"/>
        </w:rPr>
        <w:t>por</w:t>
      </w:r>
      <w:r w:rsidRPr="00624696">
        <w:rPr>
          <w:spacing w:val="-12"/>
          <w:sz w:val="20"/>
          <w:lang w:val="es-AR"/>
        </w:rPr>
        <w:t xml:space="preserve"> </w:t>
      </w:r>
      <w:r w:rsidRPr="00624696">
        <w:rPr>
          <w:sz w:val="20"/>
          <w:lang w:val="es-AR"/>
        </w:rPr>
        <w:t>esa</w:t>
      </w:r>
      <w:r w:rsidRPr="00624696">
        <w:rPr>
          <w:spacing w:val="-11"/>
          <w:sz w:val="20"/>
          <w:lang w:val="es-AR"/>
        </w:rPr>
        <w:t xml:space="preserve"> </w:t>
      </w:r>
      <w:r w:rsidRPr="00624696">
        <w:rPr>
          <w:sz w:val="20"/>
          <w:lang w:val="es-AR"/>
        </w:rPr>
        <w:t>razón,</w:t>
      </w:r>
      <w:r w:rsidRPr="00624696">
        <w:rPr>
          <w:spacing w:val="-13"/>
          <w:sz w:val="20"/>
          <w:lang w:val="es-AR"/>
        </w:rPr>
        <w:t xml:space="preserve"> </w:t>
      </w:r>
      <w:r w:rsidRPr="00624696">
        <w:rPr>
          <w:sz w:val="20"/>
          <w:lang w:val="es-AR"/>
        </w:rPr>
        <w:t>serán</w:t>
      </w:r>
      <w:r w:rsidRPr="00624696">
        <w:rPr>
          <w:spacing w:val="-10"/>
          <w:sz w:val="20"/>
          <w:lang w:val="es-AR"/>
        </w:rPr>
        <w:t xml:space="preserve"> </w:t>
      </w:r>
      <w:r w:rsidRPr="00624696">
        <w:rPr>
          <w:sz w:val="20"/>
          <w:lang w:val="es-AR"/>
        </w:rPr>
        <w:t>consideradas como presuntas</w:t>
      </w:r>
      <w:r w:rsidRPr="00624696">
        <w:rPr>
          <w:spacing w:val="-2"/>
          <w:sz w:val="20"/>
          <w:lang w:val="es-AR"/>
        </w:rPr>
        <w:t xml:space="preserve"> </w:t>
      </w:r>
      <w:r w:rsidRPr="00624696">
        <w:rPr>
          <w:sz w:val="20"/>
          <w:lang w:val="es-AR"/>
        </w:rPr>
        <w:t>víctimas.</w:t>
      </w:r>
    </w:p>
    <w:p w14:paraId="0AEAB382" w14:textId="77777777" w:rsidR="00467FCA" w:rsidRPr="00624696" w:rsidRDefault="00467FCA">
      <w:pPr>
        <w:pStyle w:val="Textoindependiente"/>
        <w:rPr>
          <w:lang w:val="es-AR"/>
        </w:rPr>
      </w:pPr>
    </w:p>
    <w:p w14:paraId="68F52E5B" w14:textId="77777777" w:rsidR="00467FCA" w:rsidRPr="00624696" w:rsidRDefault="00467FCA">
      <w:pPr>
        <w:pStyle w:val="Textoindependiente"/>
        <w:rPr>
          <w:lang w:val="es-AR"/>
        </w:rPr>
      </w:pPr>
    </w:p>
    <w:p w14:paraId="210058BD" w14:textId="77777777" w:rsidR="00467FCA" w:rsidRPr="00624696" w:rsidRDefault="00467FCA">
      <w:pPr>
        <w:pStyle w:val="Textoindependiente"/>
        <w:rPr>
          <w:lang w:val="es-AR"/>
        </w:rPr>
      </w:pPr>
    </w:p>
    <w:p w14:paraId="255911EB" w14:textId="77777777" w:rsidR="00467FCA" w:rsidRPr="00624696" w:rsidRDefault="001B68EB">
      <w:pPr>
        <w:pStyle w:val="Textoindependiente"/>
        <w:spacing w:before="7"/>
        <w:rPr>
          <w:sz w:val="21"/>
          <w:lang w:val="es-AR"/>
        </w:rPr>
      </w:pPr>
      <w:r>
        <w:pict w14:anchorId="2588166F">
          <v:shape id="_x0000_s1183" style="position:absolute;margin-left:1in;margin-top:15.4pt;width:2in;height:.1pt;z-index:-251644928;mso-wrap-distance-left:0;mso-wrap-distance-right:0;mso-position-horizontal-relative:page" coordorigin="1440,308" coordsize="2880,0" path="m1440,308r2880,e" filled="f" strokeweight=".6pt">
            <v:path arrowok="t"/>
            <w10:wrap type="topAndBottom" anchorx="page"/>
          </v:shape>
        </w:pict>
      </w:r>
    </w:p>
    <w:p w14:paraId="6511343E" w14:textId="77777777" w:rsidR="00467FCA" w:rsidRDefault="001B68EB">
      <w:pPr>
        <w:tabs>
          <w:tab w:val="left" w:pos="839"/>
        </w:tabs>
        <w:spacing w:before="74"/>
        <w:ind w:left="119" w:right="129"/>
        <w:rPr>
          <w:sz w:val="16"/>
        </w:rPr>
      </w:pPr>
      <w:bookmarkStart w:id="94" w:name="_bookmark76"/>
      <w:bookmarkEnd w:id="94"/>
      <w:r w:rsidRPr="00624696">
        <w:rPr>
          <w:position w:val="6"/>
          <w:sz w:val="10"/>
          <w:lang w:val="es-AR"/>
        </w:rPr>
        <w:t>59</w:t>
      </w:r>
      <w:r w:rsidRPr="00624696">
        <w:rPr>
          <w:position w:val="6"/>
          <w:sz w:val="10"/>
          <w:lang w:val="es-AR"/>
        </w:rPr>
        <w:tab/>
      </w:r>
      <w:r w:rsidRPr="00624696">
        <w:rPr>
          <w:i/>
          <w:sz w:val="16"/>
          <w:lang w:val="es-AR"/>
        </w:rPr>
        <w:t xml:space="preserve">Cfr. Caso Trabajadores de la Hacienda Brasil Verde Vs. </w:t>
      </w:r>
      <w:r>
        <w:rPr>
          <w:i/>
          <w:sz w:val="16"/>
        </w:rPr>
        <w:t>Brasil, supra</w:t>
      </w:r>
      <w:r>
        <w:rPr>
          <w:sz w:val="16"/>
        </w:rPr>
        <w:t xml:space="preserve">, párr. 49, y </w:t>
      </w:r>
      <w:r>
        <w:rPr>
          <w:i/>
          <w:sz w:val="16"/>
        </w:rPr>
        <w:t>Caso Comunidades Indígenas Miembros de la Asociación Lhaka Honhat (Nuestra Tierra) Vs. Argentina, supra</w:t>
      </w:r>
      <w:r>
        <w:rPr>
          <w:sz w:val="16"/>
        </w:rPr>
        <w:t>, párr.</w:t>
      </w:r>
      <w:r>
        <w:rPr>
          <w:spacing w:val="-14"/>
          <w:sz w:val="16"/>
        </w:rPr>
        <w:t xml:space="preserve"> </w:t>
      </w:r>
      <w:r>
        <w:rPr>
          <w:sz w:val="16"/>
        </w:rPr>
        <w:t>31.</w:t>
      </w:r>
    </w:p>
    <w:p w14:paraId="600E207D" w14:textId="77777777" w:rsidR="00467FCA" w:rsidRDefault="00467FCA">
      <w:pPr>
        <w:rPr>
          <w:sz w:val="16"/>
        </w:rPr>
        <w:sectPr w:rsidR="00467FCA">
          <w:pgSz w:w="12240" w:h="15840"/>
          <w:pgMar w:top="1360" w:right="1320" w:bottom="1220" w:left="1320" w:header="0" w:footer="1037" w:gutter="0"/>
          <w:cols w:space="720"/>
        </w:sectPr>
      </w:pPr>
    </w:p>
    <w:p w14:paraId="19013FD1" w14:textId="77777777" w:rsidR="00467FCA" w:rsidRDefault="001B68EB">
      <w:pPr>
        <w:pStyle w:val="Ttulo1"/>
        <w:spacing w:before="80" w:line="276" w:lineRule="auto"/>
        <w:ind w:left="4343" w:right="4345" w:hanging="2"/>
        <w:jc w:val="center"/>
      </w:pPr>
      <w:bookmarkStart w:id="95" w:name="VI_PRUEBA"/>
      <w:bookmarkStart w:id="96" w:name="_bookmark77"/>
      <w:bookmarkEnd w:id="95"/>
      <w:bookmarkEnd w:id="96"/>
      <w:r>
        <w:t xml:space="preserve">VI </w:t>
      </w:r>
      <w:r>
        <w:rPr>
          <w:w w:val="95"/>
        </w:rPr>
        <w:t>PRUEBA</w:t>
      </w:r>
    </w:p>
    <w:p w14:paraId="5FF9F7AF" w14:textId="77777777" w:rsidR="00467FCA" w:rsidRDefault="00467FCA">
      <w:pPr>
        <w:pStyle w:val="Textoindependiente"/>
        <w:rPr>
          <w:b/>
        </w:rPr>
      </w:pPr>
    </w:p>
    <w:p w14:paraId="139FEEB6" w14:textId="77777777" w:rsidR="00467FCA" w:rsidRDefault="001B68EB">
      <w:pPr>
        <w:pStyle w:val="Ttulo1"/>
        <w:numPr>
          <w:ilvl w:val="1"/>
          <w:numId w:val="50"/>
        </w:numPr>
        <w:tabs>
          <w:tab w:val="left" w:pos="840"/>
        </w:tabs>
      </w:pPr>
      <w:bookmarkStart w:id="97" w:name="A._Admisibilidad_de_la_prueba_documental"/>
      <w:bookmarkStart w:id="98" w:name="_bookmark78"/>
      <w:bookmarkEnd w:id="97"/>
      <w:bookmarkEnd w:id="98"/>
      <w:r>
        <w:t>A</w:t>
      </w:r>
      <w:r>
        <w:t>dmisibilidad de la prueba</w:t>
      </w:r>
      <w:r>
        <w:rPr>
          <w:spacing w:val="-6"/>
        </w:rPr>
        <w:t xml:space="preserve"> </w:t>
      </w:r>
      <w:r>
        <w:t>documental</w:t>
      </w:r>
    </w:p>
    <w:p w14:paraId="79957270" w14:textId="77777777" w:rsidR="00467FCA" w:rsidRDefault="00467FCA">
      <w:pPr>
        <w:pStyle w:val="Textoindependiente"/>
        <w:spacing w:before="1"/>
        <w:rPr>
          <w:b/>
        </w:rPr>
      </w:pPr>
    </w:p>
    <w:p w14:paraId="755426F9" w14:textId="77777777" w:rsidR="00467FCA" w:rsidRDefault="001B68EB">
      <w:pPr>
        <w:pStyle w:val="Prrafodelista"/>
        <w:numPr>
          <w:ilvl w:val="0"/>
          <w:numId w:val="50"/>
        </w:numPr>
        <w:tabs>
          <w:tab w:val="left" w:pos="687"/>
        </w:tabs>
        <w:ind w:right="117" w:firstLine="0"/>
        <w:jc w:val="both"/>
        <w:rPr>
          <w:sz w:val="20"/>
        </w:rPr>
      </w:pPr>
      <w:r w:rsidRPr="00624696">
        <w:rPr>
          <w:sz w:val="20"/>
          <w:lang w:val="es-AR"/>
        </w:rPr>
        <w:t>La Corte recibió diversos documentos, presentados como prueba por la Comisión, los representantes y el Estado, adjuntos a sus escritos principales (</w:t>
      </w:r>
      <w:r w:rsidRPr="00624696">
        <w:rPr>
          <w:i/>
          <w:sz w:val="20"/>
          <w:lang w:val="es-AR"/>
        </w:rPr>
        <w:t xml:space="preserve">supra </w:t>
      </w:r>
      <w:r w:rsidRPr="00624696">
        <w:rPr>
          <w:sz w:val="20"/>
          <w:lang w:val="es-AR"/>
        </w:rPr>
        <w:t>párrs. 1, 6, 7 y 8). Asimismo, recibió documentos adjuntos a los</w:t>
      </w:r>
      <w:r w:rsidRPr="00624696">
        <w:rPr>
          <w:sz w:val="20"/>
          <w:lang w:val="es-AR"/>
        </w:rPr>
        <w:t xml:space="preserve"> alegatos finales escritos de los representantes y del Estado (</w:t>
      </w:r>
      <w:r w:rsidRPr="00624696">
        <w:rPr>
          <w:i/>
          <w:sz w:val="20"/>
          <w:lang w:val="es-AR"/>
        </w:rPr>
        <w:t xml:space="preserve">supra </w:t>
      </w:r>
      <w:r w:rsidRPr="00624696">
        <w:rPr>
          <w:sz w:val="20"/>
          <w:lang w:val="es-AR"/>
        </w:rPr>
        <w:t>párr.</w:t>
      </w:r>
      <w:r w:rsidRPr="00624696">
        <w:rPr>
          <w:spacing w:val="-8"/>
          <w:sz w:val="20"/>
          <w:lang w:val="es-AR"/>
        </w:rPr>
        <w:t xml:space="preserve"> </w:t>
      </w:r>
      <w:r>
        <w:rPr>
          <w:sz w:val="20"/>
        </w:rPr>
        <w:t>11).</w:t>
      </w:r>
    </w:p>
    <w:p w14:paraId="38681B10" w14:textId="77777777" w:rsidR="00467FCA" w:rsidRDefault="00467FCA">
      <w:pPr>
        <w:pStyle w:val="Textoindependiente"/>
        <w:spacing w:before="11"/>
        <w:rPr>
          <w:sz w:val="19"/>
        </w:rPr>
      </w:pPr>
    </w:p>
    <w:p w14:paraId="0CE3115A" w14:textId="77777777" w:rsidR="00467FCA" w:rsidRPr="00624696" w:rsidRDefault="001B68EB">
      <w:pPr>
        <w:pStyle w:val="Prrafodelista"/>
        <w:numPr>
          <w:ilvl w:val="0"/>
          <w:numId w:val="50"/>
        </w:numPr>
        <w:tabs>
          <w:tab w:val="left" w:pos="687"/>
        </w:tabs>
        <w:ind w:left="119" w:right="118" w:firstLine="0"/>
        <w:jc w:val="both"/>
        <w:rPr>
          <w:sz w:val="20"/>
          <w:lang w:val="es-AR"/>
        </w:rPr>
      </w:pPr>
      <w:r w:rsidRPr="00624696">
        <w:rPr>
          <w:sz w:val="20"/>
          <w:lang w:val="es-AR"/>
        </w:rPr>
        <w:t>Este Tribunal, como lo hace reiteradamente, admite aquellos documentos presentados en la debida oportunidad procesal por las partes y la Comisión, cuya admisibilidad no fue co</w:t>
      </w:r>
      <w:r w:rsidRPr="00624696">
        <w:rPr>
          <w:sz w:val="20"/>
          <w:lang w:val="es-AR"/>
        </w:rPr>
        <w:t>ntrovertida ni objetada, y cuya autenticidad no fue puesta en duda</w:t>
      </w:r>
      <w:hyperlink w:anchor="_bookmark81" w:history="1">
        <w:r w:rsidRPr="00624696">
          <w:rPr>
            <w:position w:val="7"/>
            <w:sz w:val="13"/>
            <w:lang w:val="es-AR"/>
          </w:rPr>
          <w:t>60</w:t>
        </w:r>
      </w:hyperlink>
      <w:r w:rsidRPr="00624696">
        <w:rPr>
          <w:sz w:val="20"/>
          <w:lang w:val="es-AR"/>
        </w:rPr>
        <w:t>. En efecto, las partes y la Comisión no presentaron objeciones a la admisibilidad de la citada</w:t>
      </w:r>
      <w:r w:rsidRPr="00624696">
        <w:rPr>
          <w:spacing w:val="-23"/>
          <w:sz w:val="20"/>
          <w:lang w:val="es-AR"/>
        </w:rPr>
        <w:t xml:space="preserve"> </w:t>
      </w:r>
      <w:r w:rsidRPr="00624696">
        <w:rPr>
          <w:sz w:val="20"/>
          <w:lang w:val="es-AR"/>
        </w:rPr>
        <w:t>documentación.</w:t>
      </w:r>
    </w:p>
    <w:p w14:paraId="7E1D69AE" w14:textId="77777777" w:rsidR="00467FCA" w:rsidRPr="00624696" w:rsidRDefault="00467FCA">
      <w:pPr>
        <w:pStyle w:val="Textoindependiente"/>
        <w:spacing w:before="1"/>
        <w:rPr>
          <w:lang w:val="es-AR"/>
        </w:rPr>
      </w:pPr>
    </w:p>
    <w:p w14:paraId="496C3D0F" w14:textId="77777777" w:rsidR="00467FCA" w:rsidRPr="00624696" w:rsidRDefault="001B68EB">
      <w:pPr>
        <w:pStyle w:val="Prrafodelista"/>
        <w:numPr>
          <w:ilvl w:val="0"/>
          <w:numId w:val="50"/>
        </w:numPr>
        <w:tabs>
          <w:tab w:val="left" w:pos="687"/>
        </w:tabs>
        <w:spacing w:before="1"/>
        <w:ind w:left="119" w:right="117" w:firstLine="0"/>
        <w:jc w:val="both"/>
        <w:rPr>
          <w:sz w:val="20"/>
          <w:lang w:val="es-AR"/>
        </w:rPr>
      </w:pPr>
      <w:r w:rsidRPr="00624696">
        <w:rPr>
          <w:sz w:val="20"/>
          <w:lang w:val="es-AR"/>
        </w:rPr>
        <w:t>Por otra parte, la Corte observa que los repr</w:t>
      </w:r>
      <w:r w:rsidRPr="00624696">
        <w:rPr>
          <w:sz w:val="20"/>
          <w:lang w:val="es-AR"/>
        </w:rPr>
        <w:t>esentantes presentaron, junto con sus alegatos finales escritos, una tabla con todos los gastos relativos al trámite del caso ante la Corte,</w:t>
      </w:r>
      <w:r w:rsidRPr="00624696">
        <w:rPr>
          <w:spacing w:val="-16"/>
          <w:sz w:val="20"/>
          <w:lang w:val="es-AR"/>
        </w:rPr>
        <w:t xml:space="preserve"> </w:t>
      </w:r>
      <w:r w:rsidRPr="00624696">
        <w:rPr>
          <w:sz w:val="20"/>
          <w:lang w:val="es-AR"/>
        </w:rPr>
        <w:t>así</w:t>
      </w:r>
      <w:r w:rsidRPr="00624696">
        <w:rPr>
          <w:spacing w:val="-14"/>
          <w:sz w:val="20"/>
          <w:lang w:val="es-AR"/>
        </w:rPr>
        <w:t xml:space="preserve"> </w:t>
      </w:r>
      <w:r w:rsidRPr="00624696">
        <w:rPr>
          <w:sz w:val="20"/>
          <w:lang w:val="es-AR"/>
        </w:rPr>
        <w:t>como</w:t>
      </w:r>
      <w:r w:rsidRPr="00624696">
        <w:rPr>
          <w:spacing w:val="-16"/>
          <w:sz w:val="20"/>
          <w:lang w:val="es-AR"/>
        </w:rPr>
        <w:t xml:space="preserve"> </w:t>
      </w:r>
      <w:r w:rsidRPr="00624696">
        <w:rPr>
          <w:sz w:val="20"/>
          <w:lang w:val="es-AR"/>
        </w:rPr>
        <w:t>sus</w:t>
      </w:r>
      <w:r w:rsidRPr="00624696">
        <w:rPr>
          <w:spacing w:val="-12"/>
          <w:sz w:val="20"/>
          <w:lang w:val="es-AR"/>
        </w:rPr>
        <w:t xml:space="preserve"> </w:t>
      </w:r>
      <w:r w:rsidRPr="00624696">
        <w:rPr>
          <w:sz w:val="20"/>
          <w:lang w:val="es-AR"/>
        </w:rPr>
        <w:t>comprobantes.</w:t>
      </w:r>
      <w:r w:rsidRPr="00624696">
        <w:rPr>
          <w:spacing w:val="-13"/>
          <w:sz w:val="20"/>
          <w:lang w:val="es-AR"/>
        </w:rPr>
        <w:t xml:space="preserve"> </w:t>
      </w:r>
      <w:r w:rsidRPr="00624696">
        <w:rPr>
          <w:sz w:val="20"/>
          <w:lang w:val="es-AR"/>
        </w:rPr>
        <w:t>La</w:t>
      </w:r>
      <w:r w:rsidRPr="00624696">
        <w:rPr>
          <w:spacing w:val="-14"/>
          <w:sz w:val="20"/>
          <w:lang w:val="es-AR"/>
        </w:rPr>
        <w:t xml:space="preserve"> </w:t>
      </w:r>
      <w:r w:rsidRPr="00624696">
        <w:rPr>
          <w:sz w:val="20"/>
          <w:lang w:val="es-AR"/>
        </w:rPr>
        <w:t>Corte</w:t>
      </w:r>
      <w:r w:rsidRPr="00624696">
        <w:rPr>
          <w:spacing w:val="-16"/>
          <w:sz w:val="20"/>
          <w:lang w:val="es-AR"/>
        </w:rPr>
        <w:t xml:space="preserve"> </w:t>
      </w:r>
      <w:r w:rsidRPr="00624696">
        <w:rPr>
          <w:sz w:val="20"/>
          <w:lang w:val="es-AR"/>
        </w:rPr>
        <w:t>hace</w:t>
      </w:r>
      <w:r w:rsidRPr="00624696">
        <w:rPr>
          <w:spacing w:val="-15"/>
          <w:sz w:val="20"/>
          <w:lang w:val="es-AR"/>
        </w:rPr>
        <w:t xml:space="preserve"> </w:t>
      </w:r>
      <w:r w:rsidRPr="00624696">
        <w:rPr>
          <w:sz w:val="20"/>
          <w:lang w:val="es-AR"/>
        </w:rPr>
        <w:t>notar</w:t>
      </w:r>
      <w:r w:rsidRPr="00624696">
        <w:rPr>
          <w:spacing w:val="-16"/>
          <w:sz w:val="20"/>
          <w:lang w:val="es-AR"/>
        </w:rPr>
        <w:t xml:space="preserve"> </w:t>
      </w:r>
      <w:r w:rsidRPr="00624696">
        <w:rPr>
          <w:sz w:val="20"/>
          <w:lang w:val="es-AR"/>
        </w:rPr>
        <w:t>que</w:t>
      </w:r>
      <w:r w:rsidRPr="00624696">
        <w:rPr>
          <w:spacing w:val="-13"/>
          <w:sz w:val="20"/>
          <w:lang w:val="es-AR"/>
        </w:rPr>
        <w:t xml:space="preserve"> </w:t>
      </w:r>
      <w:r w:rsidRPr="00624696">
        <w:rPr>
          <w:sz w:val="20"/>
          <w:lang w:val="es-AR"/>
        </w:rPr>
        <w:t>varios</w:t>
      </w:r>
      <w:r w:rsidRPr="00624696">
        <w:rPr>
          <w:spacing w:val="-15"/>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los</w:t>
      </w:r>
      <w:r w:rsidRPr="00624696">
        <w:rPr>
          <w:spacing w:val="-12"/>
          <w:sz w:val="20"/>
          <w:lang w:val="es-AR"/>
        </w:rPr>
        <w:t xml:space="preserve"> </w:t>
      </w:r>
      <w:r w:rsidRPr="00624696">
        <w:rPr>
          <w:sz w:val="20"/>
          <w:lang w:val="es-AR"/>
        </w:rPr>
        <w:t>gastos</w:t>
      </w:r>
      <w:r w:rsidRPr="00624696">
        <w:rPr>
          <w:spacing w:val="-13"/>
          <w:sz w:val="20"/>
          <w:lang w:val="es-AR"/>
        </w:rPr>
        <w:t xml:space="preserve"> </w:t>
      </w:r>
      <w:r w:rsidRPr="00624696">
        <w:rPr>
          <w:sz w:val="20"/>
          <w:lang w:val="es-AR"/>
        </w:rPr>
        <w:t>comprobados habrían sido incurridos con anterioridad a la presentación del escrito de solicitudes y argumentos</w:t>
      </w:r>
      <w:r w:rsidRPr="00624696">
        <w:rPr>
          <w:spacing w:val="-21"/>
          <w:sz w:val="20"/>
          <w:lang w:val="es-AR"/>
        </w:rPr>
        <w:t xml:space="preserve"> </w:t>
      </w:r>
      <w:r w:rsidRPr="00624696">
        <w:rPr>
          <w:sz w:val="20"/>
          <w:lang w:val="es-AR"/>
        </w:rPr>
        <w:t>y,</w:t>
      </w:r>
      <w:r w:rsidRPr="00624696">
        <w:rPr>
          <w:spacing w:val="-20"/>
          <w:sz w:val="20"/>
          <w:lang w:val="es-AR"/>
        </w:rPr>
        <w:t xml:space="preserve"> </w:t>
      </w:r>
      <w:r w:rsidRPr="00624696">
        <w:rPr>
          <w:sz w:val="20"/>
          <w:lang w:val="es-AR"/>
        </w:rPr>
        <w:t>pese</w:t>
      </w:r>
      <w:r w:rsidRPr="00624696">
        <w:rPr>
          <w:spacing w:val="-19"/>
          <w:sz w:val="20"/>
          <w:lang w:val="es-AR"/>
        </w:rPr>
        <w:t xml:space="preserve"> </w:t>
      </w:r>
      <w:r w:rsidRPr="00624696">
        <w:rPr>
          <w:sz w:val="20"/>
          <w:lang w:val="es-AR"/>
        </w:rPr>
        <w:t>a</w:t>
      </w:r>
      <w:r w:rsidRPr="00624696">
        <w:rPr>
          <w:spacing w:val="-17"/>
          <w:sz w:val="20"/>
          <w:lang w:val="es-AR"/>
        </w:rPr>
        <w:t xml:space="preserve"> </w:t>
      </w:r>
      <w:r w:rsidRPr="00624696">
        <w:rPr>
          <w:sz w:val="20"/>
          <w:lang w:val="es-AR"/>
        </w:rPr>
        <w:t>ello,</w:t>
      </w:r>
      <w:r w:rsidRPr="00624696">
        <w:rPr>
          <w:spacing w:val="-20"/>
          <w:sz w:val="20"/>
          <w:lang w:val="es-AR"/>
        </w:rPr>
        <w:t xml:space="preserve"> </w:t>
      </w:r>
      <w:r w:rsidRPr="00624696">
        <w:rPr>
          <w:sz w:val="20"/>
          <w:lang w:val="es-AR"/>
        </w:rPr>
        <w:t>no</w:t>
      </w:r>
      <w:r w:rsidRPr="00624696">
        <w:rPr>
          <w:spacing w:val="-19"/>
          <w:sz w:val="20"/>
          <w:lang w:val="es-AR"/>
        </w:rPr>
        <w:t xml:space="preserve"> </w:t>
      </w:r>
      <w:r w:rsidRPr="00624696">
        <w:rPr>
          <w:sz w:val="20"/>
          <w:lang w:val="es-AR"/>
        </w:rPr>
        <w:t>fueron</w:t>
      </w:r>
      <w:r w:rsidRPr="00624696">
        <w:rPr>
          <w:spacing w:val="-16"/>
          <w:sz w:val="20"/>
          <w:lang w:val="es-AR"/>
        </w:rPr>
        <w:t xml:space="preserve"> </w:t>
      </w:r>
      <w:r w:rsidRPr="00624696">
        <w:rPr>
          <w:sz w:val="20"/>
          <w:lang w:val="es-AR"/>
        </w:rPr>
        <w:t>remitidos</w:t>
      </w:r>
      <w:r w:rsidRPr="00624696">
        <w:rPr>
          <w:spacing w:val="-18"/>
          <w:sz w:val="20"/>
          <w:lang w:val="es-AR"/>
        </w:rPr>
        <w:t xml:space="preserve"> </w:t>
      </w:r>
      <w:r w:rsidRPr="00624696">
        <w:rPr>
          <w:sz w:val="20"/>
          <w:lang w:val="es-AR"/>
        </w:rPr>
        <w:t>junto</w:t>
      </w:r>
      <w:r w:rsidRPr="00624696">
        <w:rPr>
          <w:spacing w:val="-21"/>
          <w:sz w:val="20"/>
          <w:lang w:val="es-AR"/>
        </w:rPr>
        <w:t xml:space="preserve"> </w:t>
      </w:r>
      <w:r w:rsidRPr="00624696">
        <w:rPr>
          <w:sz w:val="20"/>
          <w:lang w:val="es-AR"/>
        </w:rPr>
        <w:t>con</w:t>
      </w:r>
      <w:r w:rsidRPr="00624696">
        <w:rPr>
          <w:spacing w:val="-16"/>
          <w:sz w:val="20"/>
          <w:lang w:val="es-AR"/>
        </w:rPr>
        <w:t xml:space="preserve"> </w:t>
      </w:r>
      <w:r w:rsidRPr="00624696">
        <w:rPr>
          <w:sz w:val="20"/>
          <w:lang w:val="es-AR"/>
        </w:rPr>
        <w:t>ese</w:t>
      </w:r>
      <w:r w:rsidRPr="00624696">
        <w:rPr>
          <w:spacing w:val="-21"/>
          <w:sz w:val="20"/>
          <w:lang w:val="es-AR"/>
        </w:rPr>
        <w:t xml:space="preserve"> </w:t>
      </w:r>
      <w:r w:rsidRPr="00624696">
        <w:rPr>
          <w:sz w:val="20"/>
          <w:lang w:val="es-AR"/>
        </w:rPr>
        <w:t>documento.</w:t>
      </w:r>
      <w:r w:rsidRPr="00624696">
        <w:rPr>
          <w:spacing w:val="-16"/>
          <w:sz w:val="20"/>
          <w:lang w:val="es-AR"/>
        </w:rPr>
        <w:t xml:space="preserve"> </w:t>
      </w:r>
      <w:r w:rsidRPr="00624696">
        <w:rPr>
          <w:sz w:val="20"/>
          <w:lang w:val="es-AR"/>
        </w:rPr>
        <w:t>El</w:t>
      </w:r>
      <w:r w:rsidRPr="00624696">
        <w:rPr>
          <w:spacing w:val="-19"/>
          <w:sz w:val="20"/>
          <w:lang w:val="es-AR"/>
        </w:rPr>
        <w:t xml:space="preserve"> </w:t>
      </w:r>
      <w:r w:rsidRPr="00624696">
        <w:rPr>
          <w:sz w:val="20"/>
          <w:lang w:val="es-AR"/>
        </w:rPr>
        <w:t>Tribunal</w:t>
      </w:r>
      <w:r w:rsidRPr="00624696">
        <w:rPr>
          <w:spacing w:val="-18"/>
          <w:sz w:val="20"/>
          <w:lang w:val="es-AR"/>
        </w:rPr>
        <w:t xml:space="preserve"> </w:t>
      </w:r>
      <w:r w:rsidRPr="00624696">
        <w:rPr>
          <w:sz w:val="20"/>
          <w:lang w:val="es-AR"/>
        </w:rPr>
        <w:t>considera que, de conformidad con el artículo 40.b de su Reglamento, est</w:t>
      </w:r>
      <w:r w:rsidRPr="00624696">
        <w:rPr>
          <w:sz w:val="20"/>
          <w:lang w:val="es-AR"/>
        </w:rPr>
        <w:t>e ofrecimiento de prueba resulta extemporáneo, por lo que, en consecuencia, no tomará en consideración para el cálculo de las costas y gastos cualquier comprobante remitido con los alegatos finales, cuya fecha</w:t>
      </w:r>
      <w:r w:rsidRPr="00624696">
        <w:rPr>
          <w:spacing w:val="-4"/>
          <w:sz w:val="20"/>
          <w:lang w:val="es-AR"/>
        </w:rPr>
        <w:t xml:space="preserve"> </w:t>
      </w:r>
      <w:r w:rsidRPr="00624696">
        <w:rPr>
          <w:sz w:val="20"/>
          <w:lang w:val="es-AR"/>
        </w:rPr>
        <w:t>sea</w:t>
      </w:r>
      <w:r w:rsidRPr="00624696">
        <w:rPr>
          <w:spacing w:val="-5"/>
          <w:sz w:val="20"/>
          <w:lang w:val="es-AR"/>
        </w:rPr>
        <w:t xml:space="preserve"> </w:t>
      </w:r>
      <w:r w:rsidRPr="00624696">
        <w:rPr>
          <w:sz w:val="20"/>
          <w:lang w:val="es-AR"/>
        </w:rPr>
        <w:t>anterior</w:t>
      </w:r>
      <w:r w:rsidRPr="00624696">
        <w:rPr>
          <w:spacing w:val="-4"/>
          <w:sz w:val="20"/>
          <w:lang w:val="es-AR"/>
        </w:rPr>
        <w:t xml:space="preserve"> </w:t>
      </w:r>
      <w:r w:rsidRPr="00624696">
        <w:rPr>
          <w:sz w:val="20"/>
          <w:lang w:val="es-AR"/>
        </w:rPr>
        <w:t>a</w:t>
      </w:r>
      <w:r w:rsidRPr="00624696">
        <w:rPr>
          <w:spacing w:val="-6"/>
          <w:sz w:val="20"/>
          <w:lang w:val="es-AR"/>
        </w:rPr>
        <w:t xml:space="preserve"> </w:t>
      </w:r>
      <w:r w:rsidRPr="00624696">
        <w:rPr>
          <w:sz w:val="20"/>
          <w:lang w:val="es-AR"/>
        </w:rPr>
        <w:t>la</w:t>
      </w:r>
      <w:r w:rsidRPr="00624696">
        <w:rPr>
          <w:spacing w:val="-3"/>
          <w:sz w:val="20"/>
          <w:lang w:val="es-AR"/>
        </w:rPr>
        <w:t xml:space="preserve"> </w:t>
      </w:r>
      <w:r w:rsidRPr="00624696">
        <w:rPr>
          <w:sz w:val="20"/>
          <w:lang w:val="es-AR"/>
        </w:rPr>
        <w:t>presentación</w:t>
      </w:r>
      <w:r w:rsidRPr="00624696">
        <w:rPr>
          <w:spacing w:val="-4"/>
          <w:sz w:val="20"/>
          <w:lang w:val="es-AR"/>
        </w:rPr>
        <w:t xml:space="preserve"> </w:t>
      </w:r>
      <w:r w:rsidRPr="00624696">
        <w:rPr>
          <w:sz w:val="20"/>
          <w:lang w:val="es-AR"/>
        </w:rPr>
        <w:t>del</w:t>
      </w:r>
      <w:r w:rsidRPr="00624696">
        <w:rPr>
          <w:spacing w:val="-4"/>
          <w:sz w:val="20"/>
          <w:lang w:val="es-AR"/>
        </w:rPr>
        <w:t xml:space="preserve"> </w:t>
      </w:r>
      <w:r w:rsidRPr="00624696">
        <w:rPr>
          <w:sz w:val="20"/>
          <w:lang w:val="es-AR"/>
        </w:rPr>
        <w:t>escrito</w:t>
      </w:r>
      <w:r w:rsidRPr="00624696">
        <w:rPr>
          <w:spacing w:val="-2"/>
          <w:sz w:val="20"/>
          <w:lang w:val="es-AR"/>
        </w:rPr>
        <w:t xml:space="preserve"> </w:t>
      </w:r>
      <w:r w:rsidRPr="00624696">
        <w:rPr>
          <w:sz w:val="20"/>
          <w:lang w:val="es-AR"/>
        </w:rPr>
        <w:t>de</w:t>
      </w:r>
      <w:r w:rsidRPr="00624696">
        <w:rPr>
          <w:spacing w:val="-7"/>
          <w:sz w:val="20"/>
          <w:lang w:val="es-AR"/>
        </w:rPr>
        <w:t xml:space="preserve"> </w:t>
      </w:r>
      <w:r w:rsidRPr="00624696">
        <w:rPr>
          <w:sz w:val="20"/>
          <w:lang w:val="es-AR"/>
        </w:rPr>
        <w:t>solicitudes</w:t>
      </w:r>
      <w:r w:rsidRPr="00624696">
        <w:rPr>
          <w:spacing w:val="-6"/>
          <w:sz w:val="20"/>
          <w:lang w:val="es-AR"/>
        </w:rPr>
        <w:t xml:space="preserve"> </w:t>
      </w:r>
      <w:r w:rsidRPr="00624696">
        <w:rPr>
          <w:sz w:val="20"/>
          <w:lang w:val="es-AR"/>
        </w:rPr>
        <w:t>y</w:t>
      </w:r>
      <w:r w:rsidRPr="00624696">
        <w:rPr>
          <w:spacing w:val="-4"/>
          <w:sz w:val="20"/>
          <w:lang w:val="es-AR"/>
        </w:rPr>
        <w:t xml:space="preserve"> </w:t>
      </w:r>
      <w:r w:rsidRPr="00624696">
        <w:rPr>
          <w:sz w:val="20"/>
          <w:lang w:val="es-AR"/>
        </w:rPr>
        <w:t>argumentos,</w:t>
      </w:r>
      <w:r w:rsidRPr="00624696">
        <w:rPr>
          <w:spacing w:val="-4"/>
          <w:sz w:val="20"/>
          <w:lang w:val="es-AR"/>
        </w:rPr>
        <w:t xml:space="preserve"> </w:t>
      </w:r>
      <w:r w:rsidRPr="00624696">
        <w:rPr>
          <w:sz w:val="20"/>
          <w:lang w:val="es-AR"/>
        </w:rPr>
        <w:t>el</w:t>
      </w:r>
      <w:r w:rsidRPr="00624696">
        <w:rPr>
          <w:spacing w:val="-5"/>
          <w:sz w:val="20"/>
          <w:lang w:val="es-AR"/>
        </w:rPr>
        <w:t xml:space="preserve"> </w:t>
      </w:r>
      <w:r w:rsidRPr="00624696">
        <w:rPr>
          <w:sz w:val="20"/>
          <w:lang w:val="es-AR"/>
        </w:rPr>
        <w:t>8</w:t>
      </w:r>
      <w:r w:rsidRPr="00624696">
        <w:rPr>
          <w:spacing w:val="-4"/>
          <w:sz w:val="20"/>
          <w:lang w:val="es-AR"/>
        </w:rPr>
        <w:t xml:space="preserve"> </w:t>
      </w:r>
      <w:r w:rsidRPr="00624696">
        <w:rPr>
          <w:sz w:val="20"/>
          <w:lang w:val="es-AR"/>
        </w:rPr>
        <w:t>de</w:t>
      </w:r>
      <w:r w:rsidRPr="00624696">
        <w:rPr>
          <w:spacing w:val="-2"/>
          <w:sz w:val="20"/>
          <w:lang w:val="es-AR"/>
        </w:rPr>
        <w:t xml:space="preserve"> </w:t>
      </w:r>
      <w:r w:rsidRPr="00624696">
        <w:rPr>
          <w:sz w:val="20"/>
          <w:lang w:val="es-AR"/>
        </w:rPr>
        <w:t>enero</w:t>
      </w:r>
      <w:r w:rsidRPr="00624696">
        <w:rPr>
          <w:spacing w:val="-4"/>
          <w:sz w:val="20"/>
          <w:lang w:val="es-AR"/>
        </w:rPr>
        <w:t xml:space="preserve"> </w:t>
      </w:r>
      <w:r w:rsidRPr="00624696">
        <w:rPr>
          <w:sz w:val="20"/>
          <w:lang w:val="es-AR"/>
        </w:rPr>
        <w:t>de 2019.</w:t>
      </w:r>
    </w:p>
    <w:p w14:paraId="586F443C" w14:textId="77777777" w:rsidR="00467FCA" w:rsidRPr="00624696" w:rsidRDefault="00467FCA">
      <w:pPr>
        <w:pStyle w:val="Textoindependiente"/>
        <w:spacing w:before="12"/>
        <w:rPr>
          <w:sz w:val="19"/>
          <w:lang w:val="es-AR"/>
        </w:rPr>
      </w:pPr>
    </w:p>
    <w:p w14:paraId="3F999F31" w14:textId="77777777" w:rsidR="00467FCA" w:rsidRPr="00624696" w:rsidRDefault="001B68EB">
      <w:pPr>
        <w:pStyle w:val="Ttulo1"/>
        <w:ind w:left="479"/>
        <w:rPr>
          <w:lang w:val="es-AR"/>
        </w:rPr>
      </w:pPr>
      <w:bookmarkStart w:id="99" w:name="B._Admisibilidad_de_la_prueba_testimonia"/>
      <w:bookmarkStart w:id="100" w:name="_bookmark79"/>
      <w:bookmarkEnd w:id="99"/>
      <w:bookmarkEnd w:id="100"/>
      <w:r w:rsidRPr="00624696">
        <w:rPr>
          <w:lang w:val="es-AR"/>
        </w:rPr>
        <w:t>B. Admisibilidad de la prueba testimonial y pericial</w:t>
      </w:r>
    </w:p>
    <w:p w14:paraId="037CFC23" w14:textId="77777777" w:rsidR="00467FCA" w:rsidRPr="00624696" w:rsidRDefault="00467FCA">
      <w:pPr>
        <w:pStyle w:val="Textoindependiente"/>
        <w:spacing w:before="11"/>
        <w:rPr>
          <w:b/>
          <w:sz w:val="19"/>
          <w:lang w:val="es-AR"/>
        </w:rPr>
      </w:pPr>
    </w:p>
    <w:p w14:paraId="6CE17C51" w14:textId="77777777" w:rsidR="00467FCA" w:rsidRPr="00624696" w:rsidRDefault="001B68EB">
      <w:pPr>
        <w:pStyle w:val="Prrafodelista"/>
        <w:numPr>
          <w:ilvl w:val="0"/>
          <w:numId w:val="50"/>
        </w:numPr>
        <w:tabs>
          <w:tab w:val="left" w:pos="687"/>
        </w:tabs>
        <w:ind w:right="117" w:firstLine="0"/>
        <w:jc w:val="both"/>
        <w:rPr>
          <w:sz w:val="20"/>
          <w:lang w:val="es-AR"/>
        </w:rPr>
      </w:pPr>
      <w:r w:rsidRPr="00624696">
        <w:rPr>
          <w:sz w:val="20"/>
          <w:lang w:val="es-AR"/>
        </w:rPr>
        <w:t>La Corte escuchó en audiencia pública las declaraciones de Maria Balbina dos Santos, Leila</w:t>
      </w:r>
      <w:r w:rsidRPr="00624696">
        <w:rPr>
          <w:spacing w:val="-18"/>
          <w:sz w:val="20"/>
          <w:lang w:val="es-AR"/>
        </w:rPr>
        <w:t xml:space="preserve"> </w:t>
      </w:r>
      <w:r w:rsidRPr="00624696">
        <w:rPr>
          <w:sz w:val="20"/>
          <w:lang w:val="es-AR"/>
        </w:rPr>
        <w:t>Cerqueira</w:t>
      </w:r>
      <w:r w:rsidRPr="00624696">
        <w:rPr>
          <w:spacing w:val="-20"/>
          <w:sz w:val="20"/>
          <w:lang w:val="es-AR"/>
        </w:rPr>
        <w:t xml:space="preserve"> </w:t>
      </w:r>
      <w:r w:rsidRPr="00624696">
        <w:rPr>
          <w:sz w:val="20"/>
          <w:lang w:val="es-AR"/>
        </w:rPr>
        <w:t>dos</w:t>
      </w:r>
      <w:r w:rsidRPr="00624696">
        <w:rPr>
          <w:spacing w:val="-21"/>
          <w:sz w:val="20"/>
          <w:lang w:val="es-AR"/>
        </w:rPr>
        <w:t xml:space="preserve"> </w:t>
      </w:r>
      <w:r w:rsidRPr="00624696">
        <w:rPr>
          <w:sz w:val="20"/>
          <w:lang w:val="es-AR"/>
        </w:rPr>
        <w:t>Santos,</w:t>
      </w:r>
      <w:r w:rsidRPr="00624696">
        <w:rPr>
          <w:spacing w:val="-19"/>
          <w:sz w:val="20"/>
          <w:lang w:val="es-AR"/>
        </w:rPr>
        <w:t xml:space="preserve"> </w:t>
      </w:r>
      <w:r w:rsidRPr="00624696">
        <w:rPr>
          <w:sz w:val="20"/>
          <w:lang w:val="es-AR"/>
        </w:rPr>
        <w:t>Sônia</w:t>
      </w:r>
      <w:r w:rsidRPr="00624696">
        <w:rPr>
          <w:spacing w:val="-17"/>
          <w:sz w:val="20"/>
          <w:lang w:val="es-AR"/>
        </w:rPr>
        <w:t xml:space="preserve"> </w:t>
      </w:r>
      <w:r w:rsidRPr="00624696">
        <w:rPr>
          <w:sz w:val="20"/>
          <w:lang w:val="es-AR"/>
        </w:rPr>
        <w:t>Marise</w:t>
      </w:r>
      <w:r w:rsidRPr="00624696">
        <w:rPr>
          <w:spacing w:val="-19"/>
          <w:sz w:val="20"/>
          <w:lang w:val="es-AR"/>
        </w:rPr>
        <w:t xml:space="preserve"> </w:t>
      </w:r>
      <w:r w:rsidRPr="00624696">
        <w:rPr>
          <w:sz w:val="20"/>
          <w:lang w:val="es-AR"/>
        </w:rPr>
        <w:t>Rodrigues</w:t>
      </w:r>
      <w:r w:rsidRPr="00624696">
        <w:rPr>
          <w:spacing w:val="-19"/>
          <w:sz w:val="20"/>
          <w:lang w:val="es-AR"/>
        </w:rPr>
        <w:t xml:space="preserve"> </w:t>
      </w:r>
      <w:r w:rsidRPr="00624696">
        <w:rPr>
          <w:sz w:val="20"/>
          <w:lang w:val="es-AR"/>
        </w:rPr>
        <w:t>Pereira</w:t>
      </w:r>
      <w:r w:rsidRPr="00624696">
        <w:rPr>
          <w:spacing w:val="-17"/>
          <w:sz w:val="20"/>
          <w:lang w:val="es-AR"/>
        </w:rPr>
        <w:t xml:space="preserve"> </w:t>
      </w:r>
      <w:r w:rsidRPr="00624696">
        <w:rPr>
          <w:sz w:val="20"/>
          <w:lang w:val="es-AR"/>
        </w:rPr>
        <w:t>Tomasoni</w:t>
      </w:r>
      <w:r w:rsidRPr="00624696">
        <w:rPr>
          <w:spacing w:val="-20"/>
          <w:sz w:val="20"/>
          <w:lang w:val="es-AR"/>
        </w:rPr>
        <w:t xml:space="preserve"> </w:t>
      </w:r>
      <w:r w:rsidRPr="00624696">
        <w:rPr>
          <w:sz w:val="20"/>
          <w:lang w:val="es-AR"/>
        </w:rPr>
        <w:t>y</w:t>
      </w:r>
      <w:r w:rsidRPr="00624696">
        <w:rPr>
          <w:spacing w:val="-19"/>
          <w:sz w:val="20"/>
          <w:lang w:val="es-AR"/>
        </w:rPr>
        <w:t xml:space="preserve"> </w:t>
      </w:r>
      <w:r w:rsidRPr="00624696">
        <w:rPr>
          <w:sz w:val="20"/>
          <w:lang w:val="es-AR"/>
        </w:rPr>
        <w:t>Viviane</w:t>
      </w:r>
      <w:r w:rsidRPr="00624696">
        <w:rPr>
          <w:spacing w:val="-21"/>
          <w:sz w:val="20"/>
          <w:lang w:val="es-AR"/>
        </w:rPr>
        <w:t xml:space="preserve"> </w:t>
      </w:r>
      <w:r w:rsidRPr="00624696">
        <w:rPr>
          <w:sz w:val="20"/>
          <w:lang w:val="es-AR"/>
        </w:rPr>
        <w:t>de</w:t>
      </w:r>
      <w:r w:rsidRPr="00624696">
        <w:rPr>
          <w:spacing w:val="-21"/>
          <w:sz w:val="20"/>
          <w:lang w:val="es-AR"/>
        </w:rPr>
        <w:t xml:space="preserve"> </w:t>
      </w:r>
      <w:r w:rsidRPr="00624696">
        <w:rPr>
          <w:sz w:val="20"/>
          <w:lang w:val="es-AR"/>
        </w:rPr>
        <w:t>Jesus</w:t>
      </w:r>
      <w:r w:rsidRPr="00624696">
        <w:rPr>
          <w:spacing w:val="-18"/>
          <w:sz w:val="20"/>
          <w:lang w:val="es-AR"/>
        </w:rPr>
        <w:t xml:space="preserve"> </w:t>
      </w:r>
      <w:r w:rsidRPr="00624696">
        <w:rPr>
          <w:sz w:val="20"/>
          <w:lang w:val="es-AR"/>
        </w:rPr>
        <w:t>Forte. Además, recibió declaraciones rendidas ante fedatario público (</w:t>
      </w:r>
      <w:r w:rsidRPr="00624696">
        <w:rPr>
          <w:i/>
          <w:sz w:val="20"/>
          <w:lang w:val="es-AR"/>
        </w:rPr>
        <w:t>affidavit</w:t>
      </w:r>
      <w:r w:rsidRPr="00624696">
        <w:rPr>
          <w:sz w:val="20"/>
          <w:lang w:val="es-AR"/>
        </w:rPr>
        <w:t xml:space="preserve">) de </w:t>
      </w:r>
      <w:r w:rsidRPr="00624696">
        <w:rPr>
          <w:sz w:val="20"/>
          <w:lang w:val="es-AR"/>
        </w:rPr>
        <w:t>las presuntas víctimas Bruno Silva dos Santos, Claudia Reis dos Santos, de la testigo Aline Cotrim Chamadoira y de los peritos Christian Courtis y Miguel Cillero Bruñol. Las declaraciones indicadas quedan admitidas en cuanto se ajustan al objeto definido p</w:t>
      </w:r>
      <w:r w:rsidRPr="00624696">
        <w:rPr>
          <w:sz w:val="20"/>
          <w:lang w:val="es-AR"/>
        </w:rPr>
        <w:t>or la Resolución que ordenó recibirlos y al objeto del presente</w:t>
      </w:r>
      <w:r w:rsidRPr="00624696">
        <w:rPr>
          <w:spacing w:val="-3"/>
          <w:sz w:val="20"/>
          <w:lang w:val="es-AR"/>
        </w:rPr>
        <w:t xml:space="preserve"> </w:t>
      </w:r>
      <w:r w:rsidRPr="00624696">
        <w:rPr>
          <w:sz w:val="20"/>
          <w:lang w:val="es-AR"/>
        </w:rPr>
        <w:t>caso</w:t>
      </w:r>
      <w:hyperlink w:anchor="_bookmark82" w:history="1">
        <w:r w:rsidRPr="00624696">
          <w:rPr>
            <w:position w:val="7"/>
            <w:sz w:val="13"/>
            <w:lang w:val="es-AR"/>
          </w:rPr>
          <w:t>61</w:t>
        </w:r>
      </w:hyperlink>
      <w:r w:rsidRPr="00624696">
        <w:rPr>
          <w:sz w:val="20"/>
          <w:lang w:val="es-AR"/>
        </w:rPr>
        <w:t>.</w:t>
      </w:r>
    </w:p>
    <w:p w14:paraId="216B12B5" w14:textId="77777777" w:rsidR="00467FCA" w:rsidRPr="00624696" w:rsidRDefault="00467FCA">
      <w:pPr>
        <w:pStyle w:val="Textoindependiente"/>
        <w:spacing w:before="11"/>
        <w:rPr>
          <w:sz w:val="19"/>
          <w:lang w:val="es-AR"/>
        </w:rPr>
      </w:pPr>
    </w:p>
    <w:p w14:paraId="23B97728" w14:textId="77777777" w:rsidR="00467FCA" w:rsidRDefault="001B68EB">
      <w:pPr>
        <w:pStyle w:val="Ttulo1"/>
        <w:spacing w:line="278" w:lineRule="auto"/>
        <w:ind w:left="4334" w:right="4335" w:hanging="2"/>
        <w:jc w:val="center"/>
      </w:pPr>
      <w:bookmarkStart w:id="101" w:name="VII_HECHOS"/>
      <w:bookmarkStart w:id="102" w:name="_bookmark80"/>
      <w:bookmarkEnd w:id="101"/>
      <w:bookmarkEnd w:id="102"/>
      <w:r>
        <w:t xml:space="preserve">VII </w:t>
      </w:r>
      <w:r>
        <w:rPr>
          <w:w w:val="95"/>
        </w:rPr>
        <w:t>HECHOS</w:t>
      </w:r>
    </w:p>
    <w:p w14:paraId="1D1D055C" w14:textId="77777777" w:rsidR="00467FCA" w:rsidRDefault="00467FCA">
      <w:pPr>
        <w:pStyle w:val="Textoindependiente"/>
        <w:spacing w:before="9"/>
        <w:rPr>
          <w:b/>
          <w:sz w:val="19"/>
        </w:rPr>
      </w:pPr>
    </w:p>
    <w:p w14:paraId="7D636D5D" w14:textId="77777777" w:rsidR="00467FCA" w:rsidRPr="00624696" w:rsidRDefault="001B68EB">
      <w:pPr>
        <w:pStyle w:val="Prrafodelista"/>
        <w:numPr>
          <w:ilvl w:val="0"/>
          <w:numId w:val="50"/>
        </w:numPr>
        <w:tabs>
          <w:tab w:val="left" w:pos="687"/>
        </w:tabs>
        <w:ind w:right="119" w:hanging="1"/>
        <w:jc w:val="both"/>
        <w:rPr>
          <w:sz w:val="20"/>
          <w:lang w:val="es-AR"/>
        </w:rPr>
      </w:pPr>
      <w:r w:rsidRPr="00624696">
        <w:rPr>
          <w:sz w:val="20"/>
          <w:lang w:val="es-AR"/>
        </w:rPr>
        <w:t>Teniendo</w:t>
      </w:r>
      <w:r w:rsidRPr="00624696">
        <w:rPr>
          <w:spacing w:val="-12"/>
          <w:sz w:val="20"/>
          <w:lang w:val="es-AR"/>
        </w:rPr>
        <w:t xml:space="preserve"> </w:t>
      </w:r>
      <w:r w:rsidRPr="00624696">
        <w:rPr>
          <w:sz w:val="20"/>
          <w:lang w:val="es-AR"/>
        </w:rPr>
        <w:t>en</w:t>
      </w:r>
      <w:r w:rsidRPr="00624696">
        <w:rPr>
          <w:spacing w:val="-10"/>
          <w:sz w:val="20"/>
          <w:lang w:val="es-AR"/>
        </w:rPr>
        <w:t xml:space="preserve"> </w:t>
      </w:r>
      <w:r w:rsidRPr="00624696">
        <w:rPr>
          <w:sz w:val="20"/>
          <w:lang w:val="es-AR"/>
        </w:rPr>
        <w:t>cuenta</w:t>
      </w:r>
      <w:r w:rsidRPr="00624696">
        <w:rPr>
          <w:spacing w:val="-14"/>
          <w:sz w:val="20"/>
          <w:lang w:val="es-AR"/>
        </w:rPr>
        <w:t xml:space="preserve"> </w:t>
      </w:r>
      <w:r w:rsidRPr="00624696">
        <w:rPr>
          <w:sz w:val="20"/>
          <w:lang w:val="es-AR"/>
        </w:rPr>
        <w:t>el</w:t>
      </w:r>
      <w:r w:rsidRPr="00624696">
        <w:rPr>
          <w:spacing w:val="-12"/>
          <w:sz w:val="20"/>
          <w:lang w:val="es-AR"/>
        </w:rPr>
        <w:t xml:space="preserve"> </w:t>
      </w:r>
      <w:r w:rsidRPr="00624696">
        <w:rPr>
          <w:sz w:val="20"/>
          <w:lang w:val="es-AR"/>
        </w:rPr>
        <w:t>marco</w:t>
      </w:r>
      <w:r w:rsidRPr="00624696">
        <w:rPr>
          <w:spacing w:val="-15"/>
          <w:sz w:val="20"/>
          <w:lang w:val="es-AR"/>
        </w:rPr>
        <w:t xml:space="preserve"> </w:t>
      </w:r>
      <w:r w:rsidRPr="00624696">
        <w:rPr>
          <w:sz w:val="20"/>
          <w:lang w:val="es-AR"/>
        </w:rPr>
        <w:t>fáctico</w:t>
      </w:r>
      <w:r w:rsidRPr="00624696">
        <w:rPr>
          <w:spacing w:val="-12"/>
          <w:sz w:val="20"/>
          <w:lang w:val="es-AR"/>
        </w:rPr>
        <w:t xml:space="preserve"> </w:t>
      </w:r>
      <w:r w:rsidRPr="00624696">
        <w:rPr>
          <w:sz w:val="20"/>
          <w:lang w:val="es-AR"/>
        </w:rPr>
        <w:t>establecido</w:t>
      </w:r>
      <w:r w:rsidRPr="00624696">
        <w:rPr>
          <w:spacing w:val="-12"/>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el</w:t>
      </w:r>
      <w:r w:rsidRPr="00624696">
        <w:rPr>
          <w:spacing w:val="-13"/>
          <w:sz w:val="20"/>
          <w:lang w:val="es-AR"/>
        </w:rPr>
        <w:t xml:space="preserve"> </w:t>
      </w:r>
      <w:r w:rsidRPr="00624696">
        <w:rPr>
          <w:sz w:val="20"/>
          <w:lang w:val="es-AR"/>
        </w:rPr>
        <w:t>Informe</w:t>
      </w:r>
      <w:r w:rsidRPr="00624696">
        <w:rPr>
          <w:spacing w:val="-15"/>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Admisibilidad</w:t>
      </w:r>
      <w:r w:rsidRPr="00624696">
        <w:rPr>
          <w:spacing w:val="-13"/>
          <w:sz w:val="20"/>
          <w:lang w:val="es-AR"/>
        </w:rPr>
        <w:t xml:space="preserve"> </w:t>
      </w:r>
      <w:r w:rsidRPr="00624696">
        <w:rPr>
          <w:sz w:val="20"/>
          <w:lang w:val="es-AR"/>
        </w:rPr>
        <w:t>y</w:t>
      </w:r>
      <w:r w:rsidRPr="00624696">
        <w:rPr>
          <w:spacing w:val="-14"/>
          <w:sz w:val="20"/>
          <w:lang w:val="es-AR"/>
        </w:rPr>
        <w:t xml:space="preserve"> </w:t>
      </w:r>
      <w:r w:rsidRPr="00624696">
        <w:rPr>
          <w:sz w:val="20"/>
          <w:lang w:val="es-AR"/>
        </w:rPr>
        <w:t>Fondo, los alegatos presentados por las partes y por la Comisión, así como el acervo probatorio, la Corte expondrá los hechos probados de la siguiente forma: a) Contexto; b) El trabajo en la fábrica</w:t>
      </w:r>
      <w:r w:rsidRPr="00624696">
        <w:rPr>
          <w:spacing w:val="7"/>
          <w:sz w:val="20"/>
          <w:lang w:val="es-AR"/>
        </w:rPr>
        <w:t xml:space="preserve"> </w:t>
      </w:r>
      <w:r w:rsidRPr="00624696">
        <w:rPr>
          <w:sz w:val="20"/>
          <w:lang w:val="es-AR"/>
        </w:rPr>
        <w:t>de</w:t>
      </w:r>
      <w:r w:rsidRPr="00624696">
        <w:rPr>
          <w:spacing w:val="5"/>
          <w:sz w:val="20"/>
          <w:lang w:val="es-AR"/>
        </w:rPr>
        <w:t xml:space="preserve"> </w:t>
      </w:r>
      <w:r w:rsidRPr="00624696">
        <w:rPr>
          <w:sz w:val="20"/>
          <w:lang w:val="es-AR"/>
        </w:rPr>
        <w:t>“Vardo</w:t>
      </w:r>
      <w:r w:rsidRPr="00624696">
        <w:rPr>
          <w:spacing w:val="7"/>
          <w:sz w:val="20"/>
          <w:lang w:val="es-AR"/>
        </w:rPr>
        <w:t xml:space="preserve"> </w:t>
      </w:r>
      <w:r w:rsidRPr="00624696">
        <w:rPr>
          <w:sz w:val="20"/>
          <w:lang w:val="es-AR"/>
        </w:rPr>
        <w:t>de</w:t>
      </w:r>
      <w:r w:rsidRPr="00624696">
        <w:rPr>
          <w:spacing w:val="3"/>
          <w:sz w:val="20"/>
          <w:lang w:val="es-AR"/>
        </w:rPr>
        <w:t xml:space="preserve"> </w:t>
      </w:r>
      <w:r w:rsidRPr="00624696">
        <w:rPr>
          <w:sz w:val="20"/>
          <w:lang w:val="es-AR"/>
        </w:rPr>
        <w:t>los</w:t>
      </w:r>
      <w:r w:rsidRPr="00624696">
        <w:rPr>
          <w:spacing w:val="7"/>
          <w:sz w:val="20"/>
          <w:lang w:val="es-AR"/>
        </w:rPr>
        <w:t xml:space="preserve"> </w:t>
      </w:r>
      <w:r w:rsidRPr="00624696">
        <w:rPr>
          <w:sz w:val="20"/>
          <w:lang w:val="es-AR"/>
        </w:rPr>
        <w:t>Fuegos”</w:t>
      </w:r>
      <w:hyperlink w:anchor="_bookmark83" w:history="1">
        <w:r w:rsidRPr="00624696">
          <w:rPr>
            <w:position w:val="7"/>
            <w:sz w:val="13"/>
            <w:lang w:val="es-AR"/>
          </w:rPr>
          <w:t>62</w:t>
        </w:r>
      </w:hyperlink>
      <w:r w:rsidRPr="00624696">
        <w:rPr>
          <w:sz w:val="20"/>
          <w:lang w:val="es-AR"/>
        </w:rPr>
        <w:t>;</w:t>
      </w:r>
      <w:r w:rsidRPr="00624696">
        <w:rPr>
          <w:spacing w:val="5"/>
          <w:sz w:val="20"/>
          <w:lang w:val="es-AR"/>
        </w:rPr>
        <w:t xml:space="preserve"> </w:t>
      </w:r>
      <w:r w:rsidRPr="00624696">
        <w:rPr>
          <w:sz w:val="20"/>
          <w:lang w:val="es-AR"/>
        </w:rPr>
        <w:t>c)</w:t>
      </w:r>
      <w:r w:rsidRPr="00624696">
        <w:rPr>
          <w:spacing w:val="8"/>
          <w:sz w:val="20"/>
          <w:lang w:val="es-AR"/>
        </w:rPr>
        <w:t xml:space="preserve"> </w:t>
      </w:r>
      <w:r w:rsidRPr="00624696">
        <w:rPr>
          <w:sz w:val="20"/>
          <w:lang w:val="es-AR"/>
        </w:rPr>
        <w:t>La</w:t>
      </w:r>
      <w:r w:rsidRPr="00624696">
        <w:rPr>
          <w:spacing w:val="9"/>
          <w:sz w:val="20"/>
          <w:lang w:val="es-AR"/>
        </w:rPr>
        <w:t xml:space="preserve"> </w:t>
      </w:r>
      <w:r w:rsidRPr="00624696">
        <w:rPr>
          <w:sz w:val="20"/>
          <w:lang w:val="es-AR"/>
        </w:rPr>
        <w:t>explosión</w:t>
      </w:r>
      <w:r w:rsidRPr="00624696">
        <w:rPr>
          <w:spacing w:val="9"/>
          <w:sz w:val="20"/>
          <w:lang w:val="es-AR"/>
        </w:rPr>
        <w:t xml:space="preserve"> </w:t>
      </w:r>
      <w:r w:rsidRPr="00624696">
        <w:rPr>
          <w:sz w:val="20"/>
          <w:lang w:val="es-AR"/>
        </w:rPr>
        <w:t>en</w:t>
      </w:r>
      <w:r w:rsidRPr="00624696">
        <w:rPr>
          <w:spacing w:val="5"/>
          <w:sz w:val="20"/>
          <w:lang w:val="es-AR"/>
        </w:rPr>
        <w:t xml:space="preserve"> </w:t>
      </w:r>
      <w:r w:rsidRPr="00624696">
        <w:rPr>
          <w:sz w:val="20"/>
          <w:lang w:val="es-AR"/>
        </w:rPr>
        <w:t>la</w:t>
      </w:r>
      <w:r w:rsidRPr="00624696">
        <w:rPr>
          <w:spacing w:val="7"/>
          <w:sz w:val="20"/>
          <w:lang w:val="es-AR"/>
        </w:rPr>
        <w:t xml:space="preserve"> </w:t>
      </w:r>
      <w:r w:rsidRPr="00624696">
        <w:rPr>
          <w:sz w:val="20"/>
          <w:lang w:val="es-AR"/>
        </w:rPr>
        <w:t>fábrica</w:t>
      </w:r>
      <w:r w:rsidRPr="00624696">
        <w:rPr>
          <w:spacing w:val="4"/>
          <w:sz w:val="20"/>
          <w:lang w:val="es-AR"/>
        </w:rPr>
        <w:t xml:space="preserve"> </w:t>
      </w:r>
      <w:r w:rsidRPr="00624696">
        <w:rPr>
          <w:sz w:val="20"/>
          <w:lang w:val="es-AR"/>
        </w:rPr>
        <w:t>de</w:t>
      </w:r>
      <w:r w:rsidRPr="00624696">
        <w:rPr>
          <w:spacing w:val="6"/>
          <w:sz w:val="20"/>
          <w:lang w:val="es-AR"/>
        </w:rPr>
        <w:t xml:space="preserve"> </w:t>
      </w:r>
      <w:r w:rsidRPr="00624696">
        <w:rPr>
          <w:sz w:val="20"/>
          <w:lang w:val="es-AR"/>
        </w:rPr>
        <w:t>fuegos;</w:t>
      </w:r>
      <w:r w:rsidRPr="00624696">
        <w:rPr>
          <w:spacing w:val="5"/>
          <w:sz w:val="20"/>
          <w:lang w:val="es-AR"/>
        </w:rPr>
        <w:t xml:space="preserve"> </w:t>
      </w:r>
      <w:r w:rsidRPr="00624696">
        <w:rPr>
          <w:sz w:val="20"/>
          <w:lang w:val="es-AR"/>
        </w:rPr>
        <w:t>d)</w:t>
      </w:r>
      <w:r w:rsidRPr="00624696">
        <w:rPr>
          <w:spacing w:val="8"/>
          <w:sz w:val="20"/>
          <w:lang w:val="es-AR"/>
        </w:rPr>
        <w:t xml:space="preserve"> </w:t>
      </w:r>
      <w:r w:rsidRPr="00624696">
        <w:rPr>
          <w:sz w:val="20"/>
          <w:lang w:val="es-AR"/>
        </w:rPr>
        <w:t>Los</w:t>
      </w:r>
      <w:r w:rsidRPr="00624696">
        <w:rPr>
          <w:spacing w:val="6"/>
          <w:sz w:val="20"/>
          <w:lang w:val="es-AR"/>
        </w:rPr>
        <w:t xml:space="preserve"> </w:t>
      </w:r>
      <w:r w:rsidRPr="00624696">
        <w:rPr>
          <w:sz w:val="20"/>
          <w:lang w:val="es-AR"/>
        </w:rPr>
        <w:t>procesos</w:t>
      </w:r>
    </w:p>
    <w:p w14:paraId="6A678BE8" w14:textId="77777777" w:rsidR="00467FCA" w:rsidRPr="00624696" w:rsidRDefault="001B68EB">
      <w:pPr>
        <w:pStyle w:val="Textoindependiente"/>
        <w:spacing w:before="7"/>
        <w:rPr>
          <w:sz w:val="21"/>
          <w:lang w:val="es-AR"/>
        </w:rPr>
      </w:pPr>
      <w:r>
        <w:pict w14:anchorId="70D16328">
          <v:shape id="_x0000_s1182" style="position:absolute;margin-left:1in;margin-top:15.4pt;width:2in;height:.1pt;z-index:-251643904;mso-wrap-distance-left:0;mso-wrap-distance-right:0;mso-position-horizontal-relative:page" coordorigin="1440,308" coordsize="2880,0" path="m1440,308r2880,e" filled="f" strokeweight=".6pt">
            <v:path arrowok="t"/>
            <w10:wrap type="topAndBottom" anchorx="page"/>
          </v:shape>
        </w:pict>
      </w:r>
    </w:p>
    <w:p w14:paraId="216F3EB1" w14:textId="77777777" w:rsidR="00467FCA" w:rsidRPr="00624696" w:rsidRDefault="001B68EB">
      <w:pPr>
        <w:tabs>
          <w:tab w:val="left" w:pos="839"/>
        </w:tabs>
        <w:spacing w:before="74"/>
        <w:ind w:left="118" w:right="115" w:firstLine="1"/>
        <w:jc w:val="both"/>
        <w:rPr>
          <w:sz w:val="16"/>
          <w:lang w:val="es-AR"/>
        </w:rPr>
      </w:pPr>
      <w:bookmarkStart w:id="103" w:name="_bookmark81"/>
      <w:bookmarkEnd w:id="103"/>
      <w:r w:rsidRPr="00624696">
        <w:rPr>
          <w:position w:val="6"/>
          <w:sz w:val="10"/>
          <w:lang w:val="es-AR"/>
        </w:rPr>
        <w:t>60</w:t>
      </w:r>
      <w:r w:rsidRPr="00624696">
        <w:rPr>
          <w:position w:val="6"/>
          <w:sz w:val="10"/>
          <w:lang w:val="es-AR"/>
        </w:rPr>
        <w:tab/>
      </w:r>
      <w:r w:rsidRPr="00624696">
        <w:rPr>
          <w:i/>
          <w:sz w:val="16"/>
          <w:lang w:val="es-AR"/>
        </w:rPr>
        <w:t>Cfr.</w:t>
      </w:r>
      <w:r w:rsidRPr="00624696">
        <w:rPr>
          <w:i/>
          <w:spacing w:val="-6"/>
          <w:sz w:val="16"/>
          <w:lang w:val="es-AR"/>
        </w:rPr>
        <w:t xml:space="preserve"> </w:t>
      </w:r>
      <w:r w:rsidRPr="00624696">
        <w:rPr>
          <w:sz w:val="16"/>
          <w:lang w:val="es-AR"/>
        </w:rPr>
        <w:t>Artículo</w:t>
      </w:r>
      <w:r w:rsidRPr="00624696">
        <w:rPr>
          <w:spacing w:val="-7"/>
          <w:sz w:val="16"/>
          <w:lang w:val="es-AR"/>
        </w:rPr>
        <w:t xml:space="preserve"> </w:t>
      </w:r>
      <w:r w:rsidRPr="00624696">
        <w:rPr>
          <w:sz w:val="16"/>
          <w:lang w:val="es-AR"/>
        </w:rPr>
        <w:t>57</w:t>
      </w:r>
      <w:r w:rsidRPr="00624696">
        <w:rPr>
          <w:spacing w:val="-4"/>
          <w:sz w:val="16"/>
          <w:lang w:val="es-AR"/>
        </w:rPr>
        <w:t xml:space="preserve"> </w:t>
      </w:r>
      <w:r w:rsidRPr="00624696">
        <w:rPr>
          <w:sz w:val="16"/>
          <w:lang w:val="es-AR"/>
        </w:rPr>
        <w:t>del</w:t>
      </w:r>
      <w:r w:rsidRPr="00624696">
        <w:rPr>
          <w:spacing w:val="-8"/>
          <w:sz w:val="16"/>
          <w:lang w:val="es-AR"/>
        </w:rPr>
        <w:t xml:space="preserve"> </w:t>
      </w:r>
      <w:r w:rsidRPr="00624696">
        <w:rPr>
          <w:sz w:val="16"/>
          <w:lang w:val="es-AR"/>
        </w:rPr>
        <w:t>Reglamento,</w:t>
      </w:r>
      <w:r w:rsidRPr="00624696">
        <w:rPr>
          <w:spacing w:val="-6"/>
          <w:sz w:val="16"/>
          <w:lang w:val="es-AR"/>
        </w:rPr>
        <w:t xml:space="preserve"> </w:t>
      </w:r>
      <w:r w:rsidRPr="00624696">
        <w:rPr>
          <w:sz w:val="16"/>
          <w:lang w:val="es-AR"/>
        </w:rPr>
        <w:t>y</w:t>
      </w:r>
      <w:r w:rsidRPr="00624696">
        <w:rPr>
          <w:spacing w:val="-7"/>
          <w:sz w:val="16"/>
          <w:lang w:val="es-AR"/>
        </w:rPr>
        <w:t xml:space="preserve"> </w:t>
      </w:r>
      <w:r w:rsidRPr="00624696">
        <w:rPr>
          <w:i/>
          <w:sz w:val="16"/>
          <w:lang w:val="es-AR"/>
        </w:rPr>
        <w:t>Caso</w:t>
      </w:r>
      <w:r w:rsidRPr="00624696">
        <w:rPr>
          <w:i/>
          <w:spacing w:val="-7"/>
          <w:sz w:val="16"/>
          <w:lang w:val="es-AR"/>
        </w:rPr>
        <w:t xml:space="preserve"> </w:t>
      </w:r>
      <w:r w:rsidRPr="00624696">
        <w:rPr>
          <w:i/>
          <w:sz w:val="16"/>
          <w:lang w:val="es-AR"/>
        </w:rPr>
        <w:t>Velásquez</w:t>
      </w:r>
      <w:r w:rsidRPr="00624696">
        <w:rPr>
          <w:i/>
          <w:spacing w:val="-5"/>
          <w:sz w:val="16"/>
          <w:lang w:val="es-AR"/>
        </w:rPr>
        <w:t xml:space="preserve"> </w:t>
      </w:r>
      <w:r w:rsidRPr="00624696">
        <w:rPr>
          <w:i/>
          <w:sz w:val="16"/>
          <w:lang w:val="es-AR"/>
        </w:rPr>
        <w:t>Rodríguez</w:t>
      </w:r>
      <w:r w:rsidRPr="00624696">
        <w:rPr>
          <w:i/>
          <w:spacing w:val="-5"/>
          <w:sz w:val="16"/>
          <w:lang w:val="es-AR"/>
        </w:rPr>
        <w:t xml:space="preserve"> </w:t>
      </w:r>
      <w:r w:rsidRPr="00624696">
        <w:rPr>
          <w:i/>
          <w:sz w:val="16"/>
          <w:lang w:val="es-AR"/>
        </w:rPr>
        <w:t>Vs.</w:t>
      </w:r>
      <w:r w:rsidRPr="00624696">
        <w:rPr>
          <w:i/>
          <w:spacing w:val="-6"/>
          <w:sz w:val="16"/>
          <w:lang w:val="es-AR"/>
        </w:rPr>
        <w:t xml:space="preserve"> </w:t>
      </w:r>
      <w:r>
        <w:rPr>
          <w:i/>
          <w:sz w:val="16"/>
        </w:rPr>
        <w:t>Honduras.</w:t>
      </w:r>
      <w:r>
        <w:rPr>
          <w:i/>
          <w:spacing w:val="-8"/>
          <w:sz w:val="16"/>
        </w:rPr>
        <w:t xml:space="preserve"> </w:t>
      </w:r>
      <w:r w:rsidRPr="00624696">
        <w:rPr>
          <w:i/>
          <w:sz w:val="16"/>
          <w:lang w:val="es-AR"/>
        </w:rPr>
        <w:t>Fondo.</w:t>
      </w:r>
      <w:r w:rsidRPr="00624696">
        <w:rPr>
          <w:i/>
          <w:spacing w:val="-6"/>
          <w:sz w:val="16"/>
          <w:lang w:val="es-AR"/>
        </w:rPr>
        <w:t xml:space="preserve"> </w:t>
      </w:r>
      <w:r w:rsidRPr="00624696">
        <w:rPr>
          <w:sz w:val="16"/>
          <w:lang w:val="es-AR"/>
        </w:rPr>
        <w:t>Sentencia</w:t>
      </w:r>
      <w:r w:rsidRPr="00624696">
        <w:rPr>
          <w:spacing w:val="-6"/>
          <w:sz w:val="16"/>
          <w:lang w:val="es-AR"/>
        </w:rPr>
        <w:t xml:space="preserve"> </w:t>
      </w:r>
      <w:r w:rsidRPr="00624696">
        <w:rPr>
          <w:sz w:val="16"/>
          <w:lang w:val="es-AR"/>
        </w:rPr>
        <w:t>de</w:t>
      </w:r>
      <w:r w:rsidRPr="00624696">
        <w:rPr>
          <w:spacing w:val="-5"/>
          <w:sz w:val="16"/>
          <w:lang w:val="es-AR"/>
        </w:rPr>
        <w:t xml:space="preserve"> </w:t>
      </w:r>
      <w:r w:rsidRPr="00624696">
        <w:rPr>
          <w:sz w:val="16"/>
          <w:lang w:val="es-AR"/>
        </w:rPr>
        <w:t>29</w:t>
      </w:r>
      <w:r w:rsidRPr="00624696">
        <w:rPr>
          <w:spacing w:val="-6"/>
          <w:sz w:val="16"/>
          <w:lang w:val="es-AR"/>
        </w:rPr>
        <w:t xml:space="preserve"> </w:t>
      </w:r>
      <w:r w:rsidRPr="00624696">
        <w:rPr>
          <w:sz w:val="16"/>
          <w:lang w:val="es-AR"/>
        </w:rPr>
        <w:t>de</w:t>
      </w:r>
      <w:r w:rsidRPr="00624696">
        <w:rPr>
          <w:spacing w:val="-5"/>
          <w:sz w:val="16"/>
          <w:lang w:val="es-AR"/>
        </w:rPr>
        <w:t xml:space="preserve"> </w:t>
      </w:r>
      <w:r w:rsidRPr="00624696">
        <w:rPr>
          <w:sz w:val="16"/>
          <w:lang w:val="es-AR"/>
        </w:rPr>
        <w:t xml:space="preserve">julio de 1988. Serie C No. 4, párr. </w:t>
      </w:r>
      <w:r>
        <w:rPr>
          <w:sz w:val="16"/>
        </w:rPr>
        <w:t xml:space="preserve">140, y </w:t>
      </w:r>
      <w:r>
        <w:rPr>
          <w:i/>
          <w:sz w:val="16"/>
        </w:rPr>
        <w:t xml:space="preserve">Caso Azul Rojas Marín y otra Vs. Perú. </w:t>
      </w:r>
      <w:r w:rsidRPr="00624696">
        <w:rPr>
          <w:i/>
          <w:sz w:val="16"/>
          <w:lang w:val="es-AR"/>
        </w:rPr>
        <w:t xml:space="preserve">Excepciones Preliminares, Fondo, Reparaciones y Costas. </w:t>
      </w:r>
      <w:r w:rsidRPr="00624696">
        <w:rPr>
          <w:sz w:val="16"/>
          <w:lang w:val="es-AR"/>
        </w:rPr>
        <w:t>Sentencia de 12 de marzo de 2020. Serie C No. 402, párr.</w:t>
      </w:r>
      <w:r w:rsidRPr="00624696">
        <w:rPr>
          <w:spacing w:val="-18"/>
          <w:sz w:val="16"/>
          <w:lang w:val="es-AR"/>
        </w:rPr>
        <w:t xml:space="preserve"> </w:t>
      </w:r>
      <w:r w:rsidRPr="00624696">
        <w:rPr>
          <w:sz w:val="16"/>
          <w:lang w:val="es-AR"/>
        </w:rPr>
        <w:t>34.</w:t>
      </w:r>
    </w:p>
    <w:p w14:paraId="43C4C5FF" w14:textId="77777777" w:rsidR="00467FCA" w:rsidRPr="00624696" w:rsidRDefault="001B68EB">
      <w:pPr>
        <w:tabs>
          <w:tab w:val="left" w:pos="839"/>
          <w:tab w:val="left" w:pos="1271"/>
          <w:tab w:val="left" w:pos="2181"/>
          <w:tab w:val="left" w:pos="3098"/>
          <w:tab w:val="left" w:pos="4010"/>
          <w:tab w:val="left" w:pos="5575"/>
          <w:tab w:val="left" w:pos="6484"/>
          <w:tab w:val="left" w:pos="7665"/>
          <w:tab w:val="left" w:pos="9213"/>
        </w:tabs>
        <w:ind w:left="119" w:right="115"/>
        <w:jc w:val="both"/>
        <w:rPr>
          <w:sz w:val="16"/>
          <w:lang w:val="es-AR"/>
        </w:rPr>
      </w:pPr>
      <w:bookmarkStart w:id="104" w:name="_bookmark82"/>
      <w:bookmarkEnd w:id="104"/>
      <w:r w:rsidRPr="00624696">
        <w:rPr>
          <w:position w:val="6"/>
          <w:sz w:val="10"/>
          <w:lang w:val="es-AR"/>
        </w:rPr>
        <w:t>61</w:t>
      </w:r>
      <w:r w:rsidRPr="00624696">
        <w:rPr>
          <w:position w:val="6"/>
          <w:sz w:val="10"/>
          <w:lang w:val="es-AR"/>
        </w:rPr>
        <w:tab/>
      </w:r>
      <w:r w:rsidRPr="00624696">
        <w:rPr>
          <w:sz w:val="16"/>
          <w:lang w:val="es-AR"/>
        </w:rPr>
        <w:t>Los objetos de las declaraciones se encuentran establecidos en la Resolución del entonces Preside</w:t>
      </w:r>
      <w:r w:rsidRPr="00624696">
        <w:rPr>
          <w:sz w:val="16"/>
          <w:lang w:val="es-AR"/>
        </w:rPr>
        <w:t>nte de la Corte</w:t>
      </w:r>
      <w:r w:rsidRPr="00624696">
        <w:rPr>
          <w:sz w:val="16"/>
          <w:lang w:val="es-AR"/>
        </w:rPr>
        <w:tab/>
      </w:r>
      <w:r w:rsidRPr="00624696">
        <w:rPr>
          <w:sz w:val="16"/>
          <w:lang w:val="es-AR"/>
        </w:rPr>
        <w:tab/>
        <w:t>de</w:t>
      </w:r>
      <w:r w:rsidRPr="00624696">
        <w:rPr>
          <w:sz w:val="16"/>
          <w:lang w:val="es-AR"/>
        </w:rPr>
        <w:tab/>
        <w:t>27</w:t>
      </w:r>
      <w:r w:rsidRPr="00624696">
        <w:rPr>
          <w:sz w:val="16"/>
          <w:lang w:val="es-AR"/>
        </w:rPr>
        <w:tab/>
        <w:t>de</w:t>
      </w:r>
      <w:r w:rsidRPr="00624696">
        <w:rPr>
          <w:sz w:val="16"/>
          <w:lang w:val="es-AR"/>
        </w:rPr>
        <w:tab/>
        <w:t>noviembre</w:t>
      </w:r>
      <w:r w:rsidRPr="00624696">
        <w:rPr>
          <w:sz w:val="16"/>
          <w:lang w:val="es-AR"/>
        </w:rPr>
        <w:tab/>
        <w:t>de</w:t>
      </w:r>
      <w:r w:rsidRPr="00624696">
        <w:rPr>
          <w:sz w:val="16"/>
          <w:lang w:val="es-AR"/>
        </w:rPr>
        <w:tab/>
        <w:t>2019.</w:t>
      </w:r>
      <w:r w:rsidRPr="00624696">
        <w:rPr>
          <w:sz w:val="16"/>
          <w:lang w:val="es-AR"/>
        </w:rPr>
        <w:tab/>
        <w:t>Disponible</w:t>
      </w:r>
      <w:r w:rsidRPr="00624696">
        <w:rPr>
          <w:sz w:val="16"/>
          <w:lang w:val="es-AR"/>
        </w:rPr>
        <w:tab/>
      </w:r>
      <w:r w:rsidRPr="00624696">
        <w:rPr>
          <w:spacing w:val="-7"/>
          <w:sz w:val="16"/>
          <w:lang w:val="es-AR"/>
        </w:rPr>
        <w:t>en:</w:t>
      </w:r>
      <w:bookmarkStart w:id="105" w:name="_bookmark83"/>
      <w:bookmarkEnd w:id="105"/>
      <w:r w:rsidRPr="00624696">
        <w:rPr>
          <w:spacing w:val="-7"/>
          <w:sz w:val="16"/>
          <w:lang w:val="es-AR"/>
        </w:rPr>
        <w:t xml:space="preserve"> </w:t>
      </w:r>
      <w:hyperlink r:id="rId9">
        <w:r w:rsidRPr="00624696">
          <w:rPr>
            <w:sz w:val="16"/>
            <w:u w:val="single"/>
            <w:lang w:val="es-AR"/>
          </w:rPr>
          <w:t>http://www.corteidh.or.cr/docs/asuntos/fabrica_de_fuegos_29_11_2019_por.pdf</w:t>
        </w:r>
        <w:r w:rsidRPr="00624696">
          <w:rPr>
            <w:sz w:val="16"/>
            <w:lang w:val="es-AR"/>
          </w:rPr>
          <w:t>.</w:t>
        </w:r>
      </w:hyperlink>
    </w:p>
    <w:p w14:paraId="6EEC9C3A" w14:textId="77777777" w:rsidR="00467FCA" w:rsidRPr="00624696" w:rsidRDefault="001B68EB">
      <w:pPr>
        <w:tabs>
          <w:tab w:val="left" w:pos="839"/>
        </w:tabs>
        <w:ind w:left="118" w:right="114" w:firstLine="1"/>
        <w:jc w:val="both"/>
        <w:rPr>
          <w:i/>
          <w:sz w:val="16"/>
          <w:lang w:val="es-AR"/>
        </w:rPr>
      </w:pPr>
      <w:r w:rsidRPr="00624696">
        <w:rPr>
          <w:position w:val="6"/>
          <w:sz w:val="10"/>
          <w:lang w:val="es-AR"/>
        </w:rPr>
        <w:t>62</w:t>
      </w:r>
      <w:r w:rsidRPr="00624696">
        <w:rPr>
          <w:position w:val="6"/>
          <w:sz w:val="10"/>
          <w:lang w:val="es-AR"/>
        </w:rPr>
        <w:tab/>
      </w:r>
      <w:r w:rsidRPr="00624696">
        <w:rPr>
          <w:sz w:val="16"/>
          <w:lang w:val="es-AR"/>
        </w:rPr>
        <w:t>“Vardo</w:t>
      </w:r>
      <w:r w:rsidRPr="00624696">
        <w:rPr>
          <w:spacing w:val="-8"/>
          <w:sz w:val="16"/>
          <w:lang w:val="es-AR"/>
        </w:rPr>
        <w:t xml:space="preserve"> </w:t>
      </w:r>
      <w:r w:rsidRPr="00624696">
        <w:rPr>
          <w:sz w:val="16"/>
          <w:lang w:val="es-AR"/>
        </w:rPr>
        <w:t>de</w:t>
      </w:r>
      <w:r w:rsidRPr="00624696">
        <w:rPr>
          <w:spacing w:val="-7"/>
          <w:sz w:val="16"/>
          <w:lang w:val="es-AR"/>
        </w:rPr>
        <w:t xml:space="preserve"> </w:t>
      </w:r>
      <w:r w:rsidRPr="00624696">
        <w:rPr>
          <w:sz w:val="16"/>
          <w:lang w:val="es-AR"/>
        </w:rPr>
        <w:t>los</w:t>
      </w:r>
      <w:r w:rsidRPr="00624696">
        <w:rPr>
          <w:spacing w:val="-7"/>
          <w:sz w:val="16"/>
          <w:lang w:val="es-AR"/>
        </w:rPr>
        <w:t xml:space="preserve"> </w:t>
      </w:r>
      <w:r w:rsidRPr="00624696">
        <w:rPr>
          <w:sz w:val="16"/>
          <w:lang w:val="es-AR"/>
        </w:rPr>
        <w:t>Fuegos”</w:t>
      </w:r>
      <w:r w:rsidRPr="00624696">
        <w:rPr>
          <w:spacing w:val="-4"/>
          <w:sz w:val="16"/>
          <w:lang w:val="es-AR"/>
        </w:rPr>
        <w:t xml:space="preserve"> </w:t>
      </w:r>
      <w:r w:rsidRPr="00624696">
        <w:rPr>
          <w:sz w:val="16"/>
          <w:lang w:val="es-AR"/>
        </w:rPr>
        <w:t>era</w:t>
      </w:r>
      <w:r w:rsidRPr="00624696">
        <w:rPr>
          <w:spacing w:val="-6"/>
          <w:sz w:val="16"/>
          <w:lang w:val="es-AR"/>
        </w:rPr>
        <w:t xml:space="preserve"> </w:t>
      </w:r>
      <w:r w:rsidRPr="00624696">
        <w:rPr>
          <w:sz w:val="16"/>
          <w:lang w:val="es-AR"/>
        </w:rPr>
        <w:t>el</w:t>
      </w:r>
      <w:r w:rsidRPr="00624696">
        <w:rPr>
          <w:spacing w:val="-6"/>
          <w:sz w:val="16"/>
          <w:lang w:val="es-AR"/>
        </w:rPr>
        <w:t xml:space="preserve"> </w:t>
      </w:r>
      <w:r w:rsidRPr="00624696">
        <w:rPr>
          <w:sz w:val="16"/>
          <w:lang w:val="es-AR"/>
        </w:rPr>
        <w:t>nombre</w:t>
      </w:r>
      <w:r w:rsidRPr="00624696">
        <w:rPr>
          <w:spacing w:val="-7"/>
          <w:sz w:val="16"/>
          <w:lang w:val="es-AR"/>
        </w:rPr>
        <w:t xml:space="preserve"> </w:t>
      </w:r>
      <w:r w:rsidRPr="00624696">
        <w:rPr>
          <w:sz w:val="16"/>
          <w:lang w:val="es-AR"/>
        </w:rPr>
        <w:t>por</w:t>
      </w:r>
      <w:r w:rsidRPr="00624696">
        <w:rPr>
          <w:spacing w:val="-4"/>
          <w:sz w:val="16"/>
          <w:lang w:val="es-AR"/>
        </w:rPr>
        <w:t xml:space="preserve"> </w:t>
      </w:r>
      <w:r w:rsidRPr="00624696">
        <w:rPr>
          <w:sz w:val="16"/>
          <w:lang w:val="es-AR"/>
        </w:rPr>
        <w:t>el</w:t>
      </w:r>
      <w:r w:rsidRPr="00624696">
        <w:rPr>
          <w:spacing w:val="-6"/>
          <w:sz w:val="16"/>
          <w:lang w:val="es-AR"/>
        </w:rPr>
        <w:t xml:space="preserve"> </w:t>
      </w:r>
      <w:r w:rsidRPr="00624696">
        <w:rPr>
          <w:sz w:val="16"/>
          <w:lang w:val="es-AR"/>
        </w:rPr>
        <w:t>cual</w:t>
      </w:r>
      <w:r w:rsidRPr="00624696">
        <w:rPr>
          <w:spacing w:val="-6"/>
          <w:sz w:val="16"/>
          <w:lang w:val="es-AR"/>
        </w:rPr>
        <w:t xml:space="preserve"> </w:t>
      </w:r>
      <w:r w:rsidRPr="00624696">
        <w:rPr>
          <w:sz w:val="16"/>
          <w:lang w:val="es-AR"/>
        </w:rPr>
        <w:t>la</w:t>
      </w:r>
      <w:r w:rsidRPr="00624696">
        <w:rPr>
          <w:spacing w:val="-8"/>
          <w:sz w:val="16"/>
          <w:lang w:val="es-AR"/>
        </w:rPr>
        <w:t xml:space="preserve"> </w:t>
      </w:r>
      <w:r w:rsidRPr="00624696">
        <w:rPr>
          <w:sz w:val="16"/>
          <w:lang w:val="es-AR"/>
        </w:rPr>
        <w:t>fábrica</w:t>
      </w:r>
      <w:r w:rsidRPr="00624696">
        <w:rPr>
          <w:spacing w:val="-6"/>
          <w:sz w:val="16"/>
          <w:lang w:val="es-AR"/>
        </w:rPr>
        <w:t xml:space="preserve"> </w:t>
      </w:r>
      <w:r w:rsidRPr="00624696">
        <w:rPr>
          <w:sz w:val="16"/>
          <w:lang w:val="es-AR"/>
        </w:rPr>
        <w:t>de</w:t>
      </w:r>
      <w:r w:rsidRPr="00624696">
        <w:rPr>
          <w:spacing w:val="-7"/>
          <w:sz w:val="16"/>
          <w:lang w:val="es-AR"/>
        </w:rPr>
        <w:t xml:space="preserve"> </w:t>
      </w:r>
      <w:r w:rsidRPr="00624696">
        <w:rPr>
          <w:sz w:val="16"/>
          <w:lang w:val="es-AR"/>
        </w:rPr>
        <w:t>fuegos</w:t>
      </w:r>
      <w:r w:rsidRPr="00624696">
        <w:rPr>
          <w:spacing w:val="-5"/>
          <w:sz w:val="16"/>
          <w:lang w:val="es-AR"/>
        </w:rPr>
        <w:t xml:space="preserve"> </w:t>
      </w:r>
      <w:r w:rsidRPr="00624696">
        <w:rPr>
          <w:sz w:val="16"/>
          <w:lang w:val="es-AR"/>
        </w:rPr>
        <w:t>artificiales</w:t>
      </w:r>
      <w:r w:rsidRPr="00624696">
        <w:rPr>
          <w:spacing w:val="-5"/>
          <w:sz w:val="16"/>
          <w:lang w:val="es-AR"/>
        </w:rPr>
        <w:t xml:space="preserve"> </w:t>
      </w:r>
      <w:r w:rsidRPr="00624696">
        <w:rPr>
          <w:sz w:val="16"/>
          <w:lang w:val="es-AR"/>
        </w:rPr>
        <w:t>objeto</w:t>
      </w:r>
      <w:r w:rsidRPr="00624696">
        <w:rPr>
          <w:spacing w:val="-4"/>
          <w:sz w:val="16"/>
          <w:lang w:val="es-AR"/>
        </w:rPr>
        <w:t xml:space="preserve"> </w:t>
      </w:r>
      <w:r w:rsidRPr="00624696">
        <w:rPr>
          <w:sz w:val="16"/>
          <w:lang w:val="es-AR"/>
        </w:rPr>
        <w:t>del</w:t>
      </w:r>
      <w:r w:rsidRPr="00624696">
        <w:rPr>
          <w:spacing w:val="-6"/>
          <w:sz w:val="16"/>
          <w:lang w:val="es-AR"/>
        </w:rPr>
        <w:t xml:space="preserve"> </w:t>
      </w:r>
      <w:r w:rsidRPr="00624696">
        <w:rPr>
          <w:sz w:val="16"/>
          <w:lang w:val="es-AR"/>
        </w:rPr>
        <w:t>presente</w:t>
      </w:r>
      <w:r w:rsidRPr="00624696">
        <w:rPr>
          <w:spacing w:val="-5"/>
          <w:sz w:val="16"/>
          <w:lang w:val="es-AR"/>
        </w:rPr>
        <w:t xml:space="preserve"> </w:t>
      </w:r>
      <w:r w:rsidRPr="00624696">
        <w:rPr>
          <w:sz w:val="16"/>
          <w:lang w:val="es-AR"/>
        </w:rPr>
        <w:t>caso</w:t>
      </w:r>
      <w:r w:rsidRPr="00624696">
        <w:rPr>
          <w:spacing w:val="-4"/>
          <w:sz w:val="16"/>
          <w:lang w:val="es-AR"/>
        </w:rPr>
        <w:t xml:space="preserve"> </w:t>
      </w:r>
      <w:r w:rsidRPr="00624696">
        <w:rPr>
          <w:sz w:val="16"/>
          <w:lang w:val="es-AR"/>
        </w:rPr>
        <w:t>era conocida entre la población de Santo Antônio de Jesus. “Vardo” se refiere a un apodo atribuido a uno de los propietarios de la fábrica. En adelante, se hará uso de los términos “fábrica de fuegos de Santo Antônio de Jesus” o “fábrica</w:t>
      </w:r>
      <w:r w:rsidRPr="00624696">
        <w:rPr>
          <w:spacing w:val="-8"/>
          <w:sz w:val="16"/>
          <w:lang w:val="es-AR"/>
        </w:rPr>
        <w:t xml:space="preserve"> </w:t>
      </w:r>
      <w:r w:rsidRPr="00624696">
        <w:rPr>
          <w:sz w:val="16"/>
          <w:lang w:val="es-AR"/>
        </w:rPr>
        <w:t>de</w:t>
      </w:r>
      <w:r w:rsidRPr="00624696">
        <w:rPr>
          <w:spacing w:val="-7"/>
          <w:sz w:val="16"/>
          <w:lang w:val="es-AR"/>
        </w:rPr>
        <w:t xml:space="preserve"> </w:t>
      </w:r>
      <w:r w:rsidRPr="00624696">
        <w:rPr>
          <w:sz w:val="16"/>
          <w:lang w:val="es-AR"/>
        </w:rPr>
        <w:t>Vardo</w:t>
      </w:r>
      <w:r w:rsidRPr="00624696">
        <w:rPr>
          <w:spacing w:val="-9"/>
          <w:sz w:val="16"/>
          <w:lang w:val="es-AR"/>
        </w:rPr>
        <w:t xml:space="preserve"> </w:t>
      </w:r>
      <w:r w:rsidRPr="00624696">
        <w:rPr>
          <w:sz w:val="16"/>
          <w:lang w:val="es-AR"/>
        </w:rPr>
        <w:t>de</w:t>
      </w:r>
      <w:r w:rsidRPr="00624696">
        <w:rPr>
          <w:spacing w:val="-7"/>
          <w:sz w:val="16"/>
          <w:lang w:val="es-AR"/>
        </w:rPr>
        <w:t xml:space="preserve"> </w:t>
      </w:r>
      <w:r w:rsidRPr="00624696">
        <w:rPr>
          <w:sz w:val="16"/>
          <w:lang w:val="es-AR"/>
        </w:rPr>
        <w:t>los</w:t>
      </w:r>
      <w:r w:rsidRPr="00624696">
        <w:rPr>
          <w:spacing w:val="-10"/>
          <w:sz w:val="16"/>
          <w:lang w:val="es-AR"/>
        </w:rPr>
        <w:t xml:space="preserve"> </w:t>
      </w:r>
      <w:r w:rsidRPr="00624696">
        <w:rPr>
          <w:sz w:val="16"/>
          <w:lang w:val="es-AR"/>
        </w:rPr>
        <w:t>Fu</w:t>
      </w:r>
      <w:r w:rsidRPr="00624696">
        <w:rPr>
          <w:sz w:val="16"/>
          <w:lang w:val="es-AR"/>
        </w:rPr>
        <w:t>egos”,</w:t>
      </w:r>
      <w:r w:rsidRPr="00624696">
        <w:rPr>
          <w:spacing w:val="-7"/>
          <w:sz w:val="16"/>
          <w:lang w:val="es-AR"/>
        </w:rPr>
        <w:t xml:space="preserve"> </w:t>
      </w:r>
      <w:r w:rsidRPr="00624696">
        <w:rPr>
          <w:sz w:val="16"/>
          <w:lang w:val="es-AR"/>
        </w:rPr>
        <w:t>indistintamente,</w:t>
      </w:r>
      <w:r w:rsidRPr="00624696">
        <w:rPr>
          <w:spacing w:val="-8"/>
          <w:sz w:val="16"/>
          <w:lang w:val="es-AR"/>
        </w:rPr>
        <w:t xml:space="preserve"> </w:t>
      </w:r>
      <w:r w:rsidRPr="00624696">
        <w:rPr>
          <w:sz w:val="16"/>
          <w:lang w:val="es-AR"/>
        </w:rPr>
        <w:t>para</w:t>
      </w:r>
      <w:r w:rsidRPr="00624696">
        <w:rPr>
          <w:spacing w:val="-8"/>
          <w:sz w:val="16"/>
          <w:lang w:val="es-AR"/>
        </w:rPr>
        <w:t xml:space="preserve"> </w:t>
      </w:r>
      <w:r w:rsidRPr="00624696">
        <w:rPr>
          <w:sz w:val="16"/>
          <w:lang w:val="es-AR"/>
        </w:rPr>
        <w:t>referirse</w:t>
      </w:r>
      <w:r w:rsidRPr="00624696">
        <w:rPr>
          <w:spacing w:val="-7"/>
          <w:sz w:val="16"/>
          <w:lang w:val="es-AR"/>
        </w:rPr>
        <w:t xml:space="preserve"> </w:t>
      </w:r>
      <w:r w:rsidRPr="00624696">
        <w:rPr>
          <w:sz w:val="16"/>
          <w:lang w:val="es-AR"/>
        </w:rPr>
        <w:t>a</w:t>
      </w:r>
      <w:r w:rsidRPr="00624696">
        <w:rPr>
          <w:spacing w:val="-8"/>
          <w:sz w:val="16"/>
          <w:lang w:val="es-AR"/>
        </w:rPr>
        <w:t xml:space="preserve"> </w:t>
      </w:r>
      <w:r w:rsidRPr="00624696">
        <w:rPr>
          <w:sz w:val="16"/>
          <w:lang w:val="es-AR"/>
        </w:rPr>
        <w:t>la</w:t>
      </w:r>
      <w:r w:rsidRPr="00624696">
        <w:rPr>
          <w:spacing w:val="-10"/>
          <w:sz w:val="16"/>
          <w:lang w:val="es-AR"/>
        </w:rPr>
        <w:t xml:space="preserve"> </w:t>
      </w:r>
      <w:r w:rsidRPr="00624696">
        <w:rPr>
          <w:sz w:val="16"/>
          <w:lang w:val="es-AR"/>
        </w:rPr>
        <w:t>fábrica</w:t>
      </w:r>
      <w:r w:rsidRPr="00624696">
        <w:rPr>
          <w:spacing w:val="-9"/>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fuegos</w:t>
      </w:r>
      <w:r w:rsidRPr="00624696">
        <w:rPr>
          <w:spacing w:val="-10"/>
          <w:sz w:val="16"/>
          <w:lang w:val="es-AR"/>
        </w:rPr>
        <w:t xml:space="preserve"> </w:t>
      </w:r>
      <w:r w:rsidRPr="00624696">
        <w:rPr>
          <w:sz w:val="16"/>
          <w:lang w:val="es-AR"/>
        </w:rPr>
        <w:t>artificiales</w:t>
      </w:r>
      <w:r w:rsidRPr="00624696">
        <w:rPr>
          <w:spacing w:val="-7"/>
          <w:sz w:val="16"/>
          <w:lang w:val="es-AR"/>
        </w:rPr>
        <w:t xml:space="preserve"> </w:t>
      </w:r>
      <w:r w:rsidRPr="00624696">
        <w:rPr>
          <w:sz w:val="16"/>
          <w:lang w:val="es-AR"/>
        </w:rPr>
        <w:t>objeto</w:t>
      </w:r>
      <w:r w:rsidRPr="00624696">
        <w:rPr>
          <w:spacing w:val="-7"/>
          <w:sz w:val="16"/>
          <w:lang w:val="es-AR"/>
        </w:rPr>
        <w:t xml:space="preserve"> </w:t>
      </w:r>
      <w:r w:rsidRPr="00624696">
        <w:rPr>
          <w:sz w:val="16"/>
          <w:lang w:val="es-AR"/>
        </w:rPr>
        <w:t>del</w:t>
      </w:r>
      <w:r w:rsidRPr="00624696">
        <w:rPr>
          <w:spacing w:val="-8"/>
          <w:sz w:val="16"/>
          <w:lang w:val="es-AR"/>
        </w:rPr>
        <w:t xml:space="preserve"> </w:t>
      </w:r>
      <w:r w:rsidRPr="00624696">
        <w:rPr>
          <w:sz w:val="16"/>
          <w:lang w:val="es-AR"/>
        </w:rPr>
        <w:t>caso</w:t>
      </w:r>
      <w:r w:rsidRPr="00624696">
        <w:rPr>
          <w:spacing w:val="-8"/>
          <w:sz w:val="16"/>
          <w:lang w:val="es-AR"/>
        </w:rPr>
        <w:t xml:space="preserve"> </w:t>
      </w:r>
      <w:r w:rsidRPr="00624696">
        <w:rPr>
          <w:i/>
          <w:sz w:val="16"/>
          <w:lang w:val="es-AR"/>
        </w:rPr>
        <w:t>sub</w:t>
      </w:r>
    </w:p>
    <w:p w14:paraId="0632600C"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559B7351" w14:textId="77777777" w:rsidR="00467FCA" w:rsidRPr="00624696" w:rsidRDefault="001B68EB">
      <w:pPr>
        <w:pStyle w:val="Textoindependiente"/>
        <w:spacing w:before="80"/>
        <w:ind w:left="120"/>
        <w:rPr>
          <w:lang w:val="es-AR"/>
        </w:rPr>
      </w:pPr>
      <w:r w:rsidRPr="00624696">
        <w:rPr>
          <w:lang w:val="es-AR"/>
        </w:rPr>
        <w:t>internos; y e) Marco normativo vigente para la fecha de los hechos.</w:t>
      </w:r>
    </w:p>
    <w:p w14:paraId="47A3C4CA" w14:textId="77777777" w:rsidR="00467FCA" w:rsidRPr="00624696" w:rsidRDefault="00467FCA">
      <w:pPr>
        <w:pStyle w:val="Textoindependiente"/>
        <w:spacing w:before="1"/>
        <w:rPr>
          <w:lang w:val="es-AR"/>
        </w:rPr>
      </w:pPr>
    </w:p>
    <w:p w14:paraId="70C15578" w14:textId="77777777" w:rsidR="00467FCA" w:rsidRPr="00624696" w:rsidRDefault="001B68EB">
      <w:pPr>
        <w:pStyle w:val="Prrafodelista"/>
        <w:numPr>
          <w:ilvl w:val="0"/>
          <w:numId w:val="50"/>
        </w:numPr>
        <w:tabs>
          <w:tab w:val="left" w:pos="687"/>
        </w:tabs>
        <w:ind w:left="119" w:right="119" w:hanging="1"/>
        <w:jc w:val="both"/>
        <w:rPr>
          <w:sz w:val="20"/>
          <w:lang w:val="es-AR"/>
        </w:rPr>
      </w:pPr>
      <w:r w:rsidRPr="00624696">
        <w:rPr>
          <w:sz w:val="20"/>
          <w:lang w:val="es-AR"/>
        </w:rPr>
        <w:t>Los hechos anteriores a la fecha de ratificación de la competencia contenciosa de la Corte por parte de Brasil (10 de diciembre de 1998), únicamente se enuncian como antecedentes.</w:t>
      </w:r>
    </w:p>
    <w:p w14:paraId="43F8BF80" w14:textId="77777777" w:rsidR="00467FCA" w:rsidRPr="00624696" w:rsidRDefault="00467FCA">
      <w:pPr>
        <w:pStyle w:val="Textoindependiente"/>
        <w:rPr>
          <w:lang w:val="es-AR"/>
        </w:rPr>
      </w:pPr>
    </w:p>
    <w:p w14:paraId="38D76259" w14:textId="77777777" w:rsidR="00467FCA" w:rsidRDefault="001B68EB">
      <w:pPr>
        <w:pStyle w:val="Ttulo1"/>
        <w:numPr>
          <w:ilvl w:val="1"/>
          <w:numId w:val="50"/>
        </w:numPr>
        <w:tabs>
          <w:tab w:val="left" w:pos="841"/>
        </w:tabs>
        <w:ind w:left="840" w:hanging="362"/>
      </w:pPr>
      <w:bookmarkStart w:id="106" w:name="A._Contexto"/>
      <w:bookmarkStart w:id="107" w:name="_bookmark84"/>
      <w:bookmarkEnd w:id="106"/>
      <w:bookmarkEnd w:id="107"/>
      <w:r>
        <w:t>Contexto</w:t>
      </w:r>
    </w:p>
    <w:p w14:paraId="39E4C9CC" w14:textId="77777777" w:rsidR="00467FCA" w:rsidRDefault="00467FCA">
      <w:pPr>
        <w:pStyle w:val="Textoindependiente"/>
        <w:spacing w:before="11"/>
        <w:rPr>
          <w:b/>
          <w:sz w:val="19"/>
        </w:rPr>
      </w:pPr>
    </w:p>
    <w:p w14:paraId="191E6C4E" w14:textId="77777777" w:rsidR="00467FCA" w:rsidRPr="00624696" w:rsidRDefault="001B68EB">
      <w:pPr>
        <w:pStyle w:val="Ttulo2"/>
        <w:numPr>
          <w:ilvl w:val="1"/>
          <w:numId w:val="45"/>
        </w:numPr>
        <w:tabs>
          <w:tab w:val="left" w:pos="1287"/>
        </w:tabs>
        <w:ind w:right="120" w:firstLine="0"/>
        <w:rPr>
          <w:lang w:val="es-AR"/>
        </w:rPr>
      </w:pPr>
      <w:bookmarkStart w:id="108" w:name="A.1_Características_relevantes_de_la_pob"/>
      <w:bookmarkStart w:id="109" w:name="_bookmark85"/>
      <w:bookmarkEnd w:id="108"/>
      <w:bookmarkEnd w:id="109"/>
      <w:r w:rsidRPr="00624696">
        <w:rPr>
          <w:lang w:val="es-AR"/>
        </w:rPr>
        <w:t xml:space="preserve">Características relevantes de la población de la región de Santo </w:t>
      </w:r>
      <w:r w:rsidRPr="00624696">
        <w:rPr>
          <w:lang w:val="es-AR"/>
        </w:rPr>
        <w:t xml:space="preserve">Antônio </w:t>
      </w:r>
      <w:r w:rsidRPr="00624696">
        <w:rPr>
          <w:lang w:val="es-AR"/>
        </w:rPr>
        <w:t>de</w:t>
      </w:r>
      <w:r w:rsidRPr="00624696">
        <w:rPr>
          <w:spacing w:val="-3"/>
          <w:lang w:val="es-AR"/>
        </w:rPr>
        <w:t xml:space="preserve"> </w:t>
      </w:r>
      <w:r w:rsidRPr="00624696">
        <w:rPr>
          <w:lang w:val="es-AR"/>
        </w:rPr>
        <w:t>Jesus</w:t>
      </w:r>
    </w:p>
    <w:p w14:paraId="3F2DB3F8" w14:textId="77777777" w:rsidR="00467FCA" w:rsidRPr="00624696" w:rsidRDefault="00467FCA">
      <w:pPr>
        <w:pStyle w:val="Textoindependiente"/>
        <w:rPr>
          <w:b/>
          <w:i/>
          <w:lang w:val="es-AR"/>
        </w:rPr>
      </w:pPr>
    </w:p>
    <w:p w14:paraId="575DFD72" w14:textId="77777777" w:rsidR="00467FCA" w:rsidRPr="00624696" w:rsidRDefault="001B68EB">
      <w:pPr>
        <w:pStyle w:val="Prrafodelista"/>
        <w:numPr>
          <w:ilvl w:val="0"/>
          <w:numId w:val="50"/>
        </w:numPr>
        <w:tabs>
          <w:tab w:val="left" w:pos="687"/>
        </w:tabs>
        <w:spacing w:before="1"/>
        <w:ind w:left="119" w:right="121" w:hanging="1"/>
        <w:jc w:val="both"/>
        <w:rPr>
          <w:sz w:val="20"/>
          <w:lang w:val="es-AR"/>
        </w:rPr>
      </w:pPr>
      <w:r w:rsidRPr="00624696">
        <w:rPr>
          <w:sz w:val="20"/>
          <w:lang w:val="es-AR"/>
        </w:rPr>
        <w:t>El</w:t>
      </w:r>
      <w:r w:rsidRPr="00624696">
        <w:rPr>
          <w:spacing w:val="-5"/>
          <w:sz w:val="20"/>
          <w:lang w:val="es-AR"/>
        </w:rPr>
        <w:t xml:space="preserve"> </w:t>
      </w:r>
      <w:r w:rsidRPr="00624696">
        <w:rPr>
          <w:sz w:val="20"/>
          <w:lang w:val="es-AR"/>
        </w:rPr>
        <w:t>municipio</w:t>
      </w:r>
      <w:r w:rsidRPr="00624696">
        <w:rPr>
          <w:spacing w:val="-6"/>
          <w:sz w:val="20"/>
          <w:lang w:val="es-AR"/>
        </w:rPr>
        <w:t xml:space="preserve"> </w:t>
      </w:r>
      <w:r w:rsidRPr="00624696">
        <w:rPr>
          <w:sz w:val="20"/>
          <w:lang w:val="es-AR"/>
        </w:rPr>
        <w:t>de</w:t>
      </w:r>
      <w:r w:rsidRPr="00624696">
        <w:rPr>
          <w:spacing w:val="-4"/>
          <w:sz w:val="20"/>
          <w:lang w:val="es-AR"/>
        </w:rPr>
        <w:t xml:space="preserve"> </w:t>
      </w:r>
      <w:r w:rsidRPr="00624696">
        <w:rPr>
          <w:sz w:val="20"/>
          <w:lang w:val="es-AR"/>
        </w:rPr>
        <w:t>Santo</w:t>
      </w:r>
      <w:r w:rsidRPr="00624696">
        <w:rPr>
          <w:spacing w:val="-3"/>
          <w:sz w:val="20"/>
          <w:lang w:val="es-AR"/>
        </w:rPr>
        <w:t xml:space="preserve"> </w:t>
      </w:r>
      <w:r w:rsidRPr="00624696">
        <w:rPr>
          <w:sz w:val="20"/>
          <w:lang w:val="es-AR"/>
        </w:rPr>
        <w:t>Antônio</w:t>
      </w:r>
      <w:r w:rsidRPr="00624696">
        <w:rPr>
          <w:spacing w:val="-7"/>
          <w:sz w:val="20"/>
          <w:lang w:val="es-AR"/>
        </w:rPr>
        <w:t xml:space="preserve"> </w:t>
      </w:r>
      <w:r w:rsidRPr="00624696">
        <w:rPr>
          <w:sz w:val="20"/>
          <w:lang w:val="es-AR"/>
        </w:rPr>
        <w:t>de</w:t>
      </w:r>
      <w:r w:rsidRPr="00624696">
        <w:rPr>
          <w:spacing w:val="-6"/>
          <w:sz w:val="20"/>
          <w:lang w:val="es-AR"/>
        </w:rPr>
        <w:t xml:space="preserve"> </w:t>
      </w:r>
      <w:r w:rsidRPr="00624696">
        <w:rPr>
          <w:sz w:val="20"/>
          <w:lang w:val="es-AR"/>
        </w:rPr>
        <w:t>Jesus</w:t>
      </w:r>
      <w:r w:rsidRPr="00624696">
        <w:rPr>
          <w:spacing w:val="-1"/>
          <w:sz w:val="20"/>
          <w:lang w:val="es-AR"/>
        </w:rPr>
        <w:t xml:space="preserve"> </w:t>
      </w:r>
      <w:r w:rsidRPr="00624696">
        <w:rPr>
          <w:sz w:val="20"/>
          <w:lang w:val="es-AR"/>
        </w:rPr>
        <w:t>está</w:t>
      </w:r>
      <w:r w:rsidRPr="00624696">
        <w:rPr>
          <w:spacing w:val="-2"/>
          <w:sz w:val="20"/>
          <w:lang w:val="es-AR"/>
        </w:rPr>
        <w:t xml:space="preserve"> </w:t>
      </w:r>
      <w:r w:rsidRPr="00624696">
        <w:rPr>
          <w:sz w:val="20"/>
          <w:lang w:val="es-AR"/>
        </w:rPr>
        <w:t>ubicado</w:t>
      </w:r>
      <w:r w:rsidRPr="00624696">
        <w:rPr>
          <w:spacing w:val="-4"/>
          <w:sz w:val="20"/>
          <w:lang w:val="es-AR"/>
        </w:rPr>
        <w:t xml:space="preserve"> </w:t>
      </w:r>
      <w:r w:rsidRPr="00624696">
        <w:rPr>
          <w:sz w:val="20"/>
          <w:lang w:val="es-AR"/>
        </w:rPr>
        <w:t>en</w:t>
      </w:r>
      <w:r w:rsidRPr="00624696">
        <w:rPr>
          <w:spacing w:val="-1"/>
          <w:sz w:val="20"/>
          <w:lang w:val="es-AR"/>
        </w:rPr>
        <w:t xml:space="preserve"> </w:t>
      </w:r>
      <w:r w:rsidRPr="00624696">
        <w:rPr>
          <w:sz w:val="20"/>
          <w:lang w:val="es-AR"/>
        </w:rPr>
        <w:t>la</w:t>
      </w:r>
      <w:r w:rsidRPr="00624696">
        <w:rPr>
          <w:spacing w:val="-3"/>
          <w:sz w:val="20"/>
          <w:lang w:val="es-AR"/>
        </w:rPr>
        <w:t xml:space="preserve"> </w:t>
      </w:r>
      <w:r w:rsidRPr="00624696">
        <w:rPr>
          <w:sz w:val="20"/>
          <w:lang w:val="es-AR"/>
        </w:rPr>
        <w:t>región</w:t>
      </w:r>
      <w:r w:rsidRPr="00624696">
        <w:rPr>
          <w:spacing w:val="-3"/>
          <w:sz w:val="20"/>
          <w:lang w:val="es-AR"/>
        </w:rPr>
        <w:t xml:space="preserve"> </w:t>
      </w:r>
      <w:r w:rsidRPr="00624696">
        <w:rPr>
          <w:sz w:val="20"/>
          <w:lang w:val="es-AR"/>
        </w:rPr>
        <w:t>del</w:t>
      </w:r>
      <w:r w:rsidRPr="00624696">
        <w:rPr>
          <w:spacing w:val="-5"/>
          <w:sz w:val="20"/>
          <w:lang w:val="es-AR"/>
        </w:rPr>
        <w:t xml:space="preserve"> </w:t>
      </w:r>
      <w:r w:rsidRPr="00624696">
        <w:rPr>
          <w:sz w:val="20"/>
          <w:lang w:val="es-AR"/>
        </w:rPr>
        <w:t>Recôncavo</w:t>
      </w:r>
      <w:r w:rsidRPr="00624696">
        <w:rPr>
          <w:spacing w:val="-3"/>
          <w:sz w:val="20"/>
          <w:lang w:val="es-AR"/>
        </w:rPr>
        <w:t xml:space="preserve"> </w:t>
      </w:r>
      <w:r w:rsidRPr="00624696">
        <w:rPr>
          <w:sz w:val="20"/>
          <w:lang w:val="es-AR"/>
        </w:rPr>
        <w:t>Baiano y se encuentra a 187 km de Salvador, capital del estado de Bahia</w:t>
      </w:r>
      <w:hyperlink w:anchor="_bookmark86" w:history="1">
        <w:r w:rsidRPr="00624696">
          <w:rPr>
            <w:position w:val="7"/>
            <w:sz w:val="13"/>
            <w:lang w:val="es-AR"/>
          </w:rPr>
          <w:t>63</w:t>
        </w:r>
      </w:hyperlink>
      <w:r w:rsidRPr="00624696">
        <w:rPr>
          <w:sz w:val="20"/>
          <w:lang w:val="es-AR"/>
        </w:rPr>
        <w:t>, al borde de una de las vías más transitadas del</w:t>
      </w:r>
      <w:r w:rsidRPr="00624696">
        <w:rPr>
          <w:spacing w:val="-2"/>
          <w:sz w:val="20"/>
          <w:lang w:val="es-AR"/>
        </w:rPr>
        <w:t xml:space="preserve"> </w:t>
      </w:r>
      <w:r w:rsidRPr="00624696">
        <w:rPr>
          <w:sz w:val="20"/>
          <w:lang w:val="es-AR"/>
        </w:rPr>
        <w:t>país.</w:t>
      </w:r>
    </w:p>
    <w:p w14:paraId="4BD0DBC6" w14:textId="77777777" w:rsidR="00467FCA" w:rsidRPr="00624696" w:rsidRDefault="00467FCA">
      <w:pPr>
        <w:pStyle w:val="Textoindependiente"/>
        <w:spacing w:before="11"/>
        <w:rPr>
          <w:sz w:val="19"/>
          <w:lang w:val="es-AR"/>
        </w:rPr>
      </w:pPr>
    </w:p>
    <w:p w14:paraId="268C2135" w14:textId="77777777" w:rsidR="00467FCA" w:rsidRPr="00624696" w:rsidRDefault="001B68EB">
      <w:pPr>
        <w:pStyle w:val="Prrafodelista"/>
        <w:numPr>
          <w:ilvl w:val="0"/>
          <w:numId w:val="50"/>
        </w:numPr>
        <w:tabs>
          <w:tab w:val="left" w:pos="687"/>
        </w:tabs>
        <w:ind w:left="119" w:right="116" w:firstLine="0"/>
        <w:jc w:val="both"/>
        <w:rPr>
          <w:sz w:val="20"/>
          <w:lang w:val="es-AR"/>
        </w:rPr>
      </w:pPr>
      <w:r w:rsidRPr="00624696">
        <w:rPr>
          <w:sz w:val="20"/>
          <w:lang w:val="es-AR"/>
        </w:rPr>
        <w:t>La región del Recôncavo Baiano es conocida por tener una significativa presencia histórica de personas afrodescendientes, debido, en parte, a que en el siglo XVI recibió a un gran</w:t>
      </w:r>
      <w:r w:rsidRPr="00624696">
        <w:rPr>
          <w:spacing w:val="-13"/>
          <w:sz w:val="20"/>
          <w:lang w:val="es-AR"/>
        </w:rPr>
        <w:t xml:space="preserve"> </w:t>
      </w:r>
      <w:r w:rsidRPr="00624696">
        <w:rPr>
          <w:sz w:val="20"/>
          <w:lang w:val="es-AR"/>
        </w:rPr>
        <w:t>número</w:t>
      </w:r>
      <w:r w:rsidRPr="00624696">
        <w:rPr>
          <w:spacing w:val="-14"/>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personas</w:t>
      </w:r>
      <w:r w:rsidRPr="00624696">
        <w:rPr>
          <w:spacing w:val="-13"/>
          <w:sz w:val="20"/>
          <w:lang w:val="es-AR"/>
        </w:rPr>
        <w:t xml:space="preserve"> </w:t>
      </w:r>
      <w:r w:rsidRPr="00624696">
        <w:rPr>
          <w:sz w:val="20"/>
          <w:lang w:val="es-AR"/>
        </w:rPr>
        <w:t>esclavizadas</w:t>
      </w:r>
      <w:r w:rsidRPr="00624696">
        <w:rPr>
          <w:spacing w:val="-11"/>
          <w:sz w:val="20"/>
          <w:lang w:val="es-AR"/>
        </w:rPr>
        <w:t xml:space="preserve"> </w:t>
      </w:r>
      <w:r w:rsidRPr="00624696">
        <w:rPr>
          <w:sz w:val="20"/>
          <w:lang w:val="es-AR"/>
        </w:rPr>
        <w:t>para</w:t>
      </w:r>
      <w:r w:rsidRPr="00624696">
        <w:rPr>
          <w:spacing w:val="-12"/>
          <w:sz w:val="20"/>
          <w:lang w:val="es-AR"/>
        </w:rPr>
        <w:t xml:space="preserve"> </w:t>
      </w:r>
      <w:r w:rsidRPr="00624696">
        <w:rPr>
          <w:sz w:val="20"/>
          <w:lang w:val="es-AR"/>
        </w:rPr>
        <w:t>trabajar</w:t>
      </w:r>
      <w:r w:rsidRPr="00624696">
        <w:rPr>
          <w:spacing w:val="-14"/>
          <w:sz w:val="20"/>
          <w:lang w:val="es-AR"/>
        </w:rPr>
        <w:t xml:space="preserve"> </w:t>
      </w:r>
      <w:r w:rsidRPr="00624696">
        <w:rPr>
          <w:sz w:val="20"/>
          <w:lang w:val="es-AR"/>
        </w:rPr>
        <w:t>en</w:t>
      </w:r>
      <w:r w:rsidRPr="00624696">
        <w:rPr>
          <w:spacing w:val="-12"/>
          <w:sz w:val="20"/>
          <w:lang w:val="es-AR"/>
        </w:rPr>
        <w:t xml:space="preserve"> </w:t>
      </w:r>
      <w:r w:rsidRPr="00624696">
        <w:rPr>
          <w:sz w:val="20"/>
          <w:lang w:val="es-AR"/>
        </w:rPr>
        <w:t>la</w:t>
      </w:r>
      <w:r w:rsidRPr="00624696">
        <w:rPr>
          <w:spacing w:val="-13"/>
          <w:sz w:val="20"/>
          <w:lang w:val="es-AR"/>
        </w:rPr>
        <w:t xml:space="preserve"> </w:t>
      </w:r>
      <w:r w:rsidRPr="00624696">
        <w:rPr>
          <w:sz w:val="20"/>
          <w:lang w:val="es-AR"/>
        </w:rPr>
        <w:t>producción</w:t>
      </w:r>
      <w:r w:rsidRPr="00624696">
        <w:rPr>
          <w:spacing w:val="-12"/>
          <w:sz w:val="20"/>
          <w:lang w:val="es-AR"/>
        </w:rPr>
        <w:t xml:space="preserve"> </w:t>
      </w:r>
      <w:r w:rsidRPr="00624696">
        <w:rPr>
          <w:sz w:val="20"/>
          <w:lang w:val="es-AR"/>
        </w:rPr>
        <w:t>agrícola,</w:t>
      </w:r>
      <w:r w:rsidRPr="00624696">
        <w:rPr>
          <w:spacing w:val="-13"/>
          <w:sz w:val="20"/>
          <w:lang w:val="es-AR"/>
        </w:rPr>
        <w:t xml:space="preserve"> </w:t>
      </w:r>
      <w:r w:rsidRPr="00624696">
        <w:rPr>
          <w:sz w:val="20"/>
          <w:lang w:val="es-AR"/>
        </w:rPr>
        <w:t>especialmente en</w:t>
      </w:r>
      <w:r w:rsidRPr="00624696">
        <w:rPr>
          <w:spacing w:val="-5"/>
          <w:sz w:val="20"/>
          <w:lang w:val="es-AR"/>
        </w:rPr>
        <w:t xml:space="preserve"> </w:t>
      </w:r>
      <w:r w:rsidRPr="00624696">
        <w:rPr>
          <w:sz w:val="20"/>
          <w:lang w:val="es-AR"/>
        </w:rPr>
        <w:t>las</w:t>
      </w:r>
      <w:r w:rsidRPr="00624696">
        <w:rPr>
          <w:spacing w:val="-6"/>
          <w:sz w:val="20"/>
          <w:lang w:val="es-AR"/>
        </w:rPr>
        <w:t xml:space="preserve"> </w:t>
      </w:r>
      <w:r w:rsidRPr="00624696">
        <w:rPr>
          <w:sz w:val="20"/>
          <w:lang w:val="es-AR"/>
        </w:rPr>
        <w:t>colonias</w:t>
      </w:r>
      <w:r w:rsidRPr="00624696">
        <w:rPr>
          <w:spacing w:val="-7"/>
          <w:sz w:val="20"/>
          <w:lang w:val="es-AR"/>
        </w:rPr>
        <w:t xml:space="preserve"> </w:t>
      </w:r>
      <w:r w:rsidRPr="00624696">
        <w:rPr>
          <w:sz w:val="20"/>
          <w:lang w:val="es-AR"/>
        </w:rPr>
        <w:t>de</w:t>
      </w:r>
      <w:r w:rsidRPr="00624696">
        <w:rPr>
          <w:spacing w:val="-7"/>
          <w:sz w:val="20"/>
          <w:lang w:val="es-AR"/>
        </w:rPr>
        <w:t xml:space="preserve"> </w:t>
      </w:r>
      <w:r w:rsidRPr="00624696">
        <w:rPr>
          <w:sz w:val="20"/>
          <w:lang w:val="es-AR"/>
        </w:rPr>
        <w:t>caña</w:t>
      </w:r>
      <w:r w:rsidRPr="00624696">
        <w:rPr>
          <w:spacing w:val="-3"/>
          <w:sz w:val="20"/>
          <w:lang w:val="es-AR"/>
        </w:rPr>
        <w:t xml:space="preserve"> </w:t>
      </w:r>
      <w:r w:rsidRPr="00624696">
        <w:rPr>
          <w:sz w:val="20"/>
          <w:lang w:val="es-AR"/>
        </w:rPr>
        <w:t>de</w:t>
      </w:r>
      <w:r w:rsidRPr="00624696">
        <w:rPr>
          <w:spacing w:val="-8"/>
          <w:sz w:val="20"/>
          <w:lang w:val="es-AR"/>
        </w:rPr>
        <w:t xml:space="preserve"> </w:t>
      </w:r>
      <w:r w:rsidRPr="00624696">
        <w:rPr>
          <w:sz w:val="20"/>
          <w:lang w:val="es-AR"/>
        </w:rPr>
        <w:t>azúcar</w:t>
      </w:r>
      <w:r w:rsidRPr="00624696">
        <w:rPr>
          <w:spacing w:val="-4"/>
          <w:sz w:val="20"/>
          <w:lang w:val="es-AR"/>
        </w:rPr>
        <w:t xml:space="preserve"> </w:t>
      </w:r>
      <w:r w:rsidRPr="00624696">
        <w:rPr>
          <w:sz w:val="20"/>
          <w:lang w:val="es-AR"/>
        </w:rPr>
        <w:t>y</w:t>
      </w:r>
      <w:r w:rsidRPr="00624696">
        <w:rPr>
          <w:spacing w:val="-7"/>
          <w:sz w:val="20"/>
          <w:lang w:val="es-AR"/>
        </w:rPr>
        <w:t xml:space="preserve"> </w:t>
      </w:r>
      <w:r w:rsidRPr="00624696">
        <w:rPr>
          <w:sz w:val="20"/>
          <w:lang w:val="es-AR"/>
        </w:rPr>
        <w:t>en</w:t>
      </w:r>
      <w:r w:rsidRPr="00624696">
        <w:rPr>
          <w:spacing w:val="-2"/>
          <w:sz w:val="20"/>
          <w:lang w:val="es-AR"/>
        </w:rPr>
        <w:t xml:space="preserve"> </w:t>
      </w:r>
      <w:r w:rsidRPr="00624696">
        <w:rPr>
          <w:sz w:val="20"/>
          <w:lang w:val="es-AR"/>
        </w:rPr>
        <w:t>el</w:t>
      </w:r>
      <w:r w:rsidRPr="00624696">
        <w:rPr>
          <w:spacing w:val="-6"/>
          <w:sz w:val="20"/>
          <w:lang w:val="es-AR"/>
        </w:rPr>
        <w:t xml:space="preserve"> </w:t>
      </w:r>
      <w:r w:rsidRPr="00624696">
        <w:rPr>
          <w:sz w:val="20"/>
          <w:lang w:val="es-AR"/>
        </w:rPr>
        <w:t>cultivo</w:t>
      </w:r>
      <w:r w:rsidRPr="00624696">
        <w:rPr>
          <w:spacing w:val="-4"/>
          <w:sz w:val="20"/>
          <w:lang w:val="es-AR"/>
        </w:rPr>
        <w:t xml:space="preserve"> </w:t>
      </w:r>
      <w:r w:rsidRPr="00624696">
        <w:rPr>
          <w:sz w:val="20"/>
          <w:lang w:val="es-AR"/>
        </w:rPr>
        <w:t>de</w:t>
      </w:r>
      <w:r w:rsidRPr="00624696">
        <w:rPr>
          <w:spacing w:val="-7"/>
          <w:sz w:val="20"/>
          <w:lang w:val="es-AR"/>
        </w:rPr>
        <w:t xml:space="preserve"> </w:t>
      </w:r>
      <w:r w:rsidRPr="00624696">
        <w:rPr>
          <w:sz w:val="20"/>
          <w:lang w:val="es-AR"/>
        </w:rPr>
        <w:t>tabaco.</w:t>
      </w:r>
      <w:r w:rsidRPr="00624696">
        <w:rPr>
          <w:spacing w:val="-7"/>
          <w:sz w:val="20"/>
          <w:lang w:val="es-AR"/>
        </w:rPr>
        <w:t xml:space="preserve"> </w:t>
      </w:r>
      <w:r w:rsidRPr="00624696">
        <w:rPr>
          <w:sz w:val="20"/>
          <w:lang w:val="es-AR"/>
        </w:rPr>
        <w:t>La</w:t>
      </w:r>
      <w:r w:rsidRPr="00624696">
        <w:rPr>
          <w:spacing w:val="-5"/>
          <w:sz w:val="20"/>
          <w:lang w:val="es-AR"/>
        </w:rPr>
        <w:t xml:space="preserve"> </w:t>
      </w:r>
      <w:r w:rsidRPr="00624696">
        <w:rPr>
          <w:sz w:val="20"/>
          <w:lang w:val="es-AR"/>
        </w:rPr>
        <w:t>población</w:t>
      </w:r>
      <w:r w:rsidRPr="00624696">
        <w:rPr>
          <w:spacing w:val="-5"/>
          <w:sz w:val="20"/>
          <w:lang w:val="es-AR"/>
        </w:rPr>
        <w:t xml:space="preserve"> </w:t>
      </w:r>
      <w:r w:rsidRPr="00624696">
        <w:rPr>
          <w:sz w:val="20"/>
          <w:lang w:val="es-AR"/>
        </w:rPr>
        <w:t>afrodescendiente</w:t>
      </w:r>
      <w:r w:rsidRPr="00624696">
        <w:rPr>
          <w:spacing w:val="-4"/>
          <w:sz w:val="20"/>
          <w:lang w:val="es-AR"/>
        </w:rPr>
        <w:t xml:space="preserve"> </w:t>
      </w:r>
      <w:r w:rsidRPr="00624696">
        <w:rPr>
          <w:sz w:val="20"/>
          <w:lang w:val="es-AR"/>
        </w:rPr>
        <w:t xml:space="preserve">en Brasil, incluso después de la conquista de la libertad, enfrentó la negación de una serie </w:t>
      </w:r>
      <w:r w:rsidRPr="00624696">
        <w:rPr>
          <w:spacing w:val="2"/>
          <w:sz w:val="20"/>
          <w:lang w:val="es-AR"/>
        </w:rPr>
        <w:t xml:space="preserve">de </w:t>
      </w:r>
      <w:r w:rsidRPr="00624696">
        <w:rPr>
          <w:sz w:val="20"/>
          <w:lang w:val="es-AR"/>
        </w:rPr>
        <w:t>derechos por parte del Estado, pues el ejercicio de la ciudadanía estaba extremadamente restringido y los derechos a la vivienda, la propiedad y la entrada al m</w:t>
      </w:r>
      <w:r w:rsidRPr="00624696">
        <w:rPr>
          <w:sz w:val="20"/>
          <w:lang w:val="es-AR"/>
        </w:rPr>
        <w:t>ercado laboral fueron obstaculizados</w:t>
      </w:r>
      <w:hyperlink w:anchor="_bookmark87" w:history="1">
        <w:r w:rsidRPr="00624696">
          <w:rPr>
            <w:position w:val="7"/>
            <w:sz w:val="13"/>
            <w:lang w:val="es-AR"/>
          </w:rPr>
          <w:t>64</w:t>
        </w:r>
      </w:hyperlink>
      <w:r w:rsidRPr="00624696">
        <w:rPr>
          <w:sz w:val="20"/>
          <w:lang w:val="es-AR"/>
        </w:rPr>
        <w:t>.</w:t>
      </w:r>
    </w:p>
    <w:p w14:paraId="68E2C5C5" w14:textId="77777777" w:rsidR="00467FCA" w:rsidRPr="00624696" w:rsidRDefault="00467FCA">
      <w:pPr>
        <w:pStyle w:val="Textoindependiente"/>
        <w:spacing w:before="8"/>
        <w:rPr>
          <w:sz w:val="22"/>
          <w:lang w:val="es-AR"/>
        </w:rPr>
      </w:pPr>
    </w:p>
    <w:p w14:paraId="5EC9F666" w14:textId="77777777" w:rsidR="00467FCA" w:rsidRPr="00624696" w:rsidRDefault="001B68EB">
      <w:pPr>
        <w:pStyle w:val="Prrafodelista"/>
        <w:numPr>
          <w:ilvl w:val="0"/>
          <w:numId w:val="50"/>
        </w:numPr>
        <w:tabs>
          <w:tab w:val="left" w:pos="687"/>
        </w:tabs>
        <w:ind w:right="118" w:hanging="1"/>
        <w:jc w:val="both"/>
        <w:rPr>
          <w:sz w:val="20"/>
          <w:lang w:val="es-AR"/>
        </w:rPr>
      </w:pPr>
      <w:r w:rsidRPr="00624696">
        <w:rPr>
          <w:sz w:val="20"/>
          <w:lang w:val="es-AR"/>
        </w:rPr>
        <w:t>En la región de los hechos, en el período posterior a la abolición de la esclavitud</w:t>
      </w:r>
      <w:hyperlink w:anchor="_bookmark88" w:history="1">
        <w:r w:rsidRPr="00624696">
          <w:rPr>
            <w:position w:val="7"/>
            <w:sz w:val="13"/>
            <w:lang w:val="es-AR"/>
          </w:rPr>
          <w:t>65</w:t>
        </w:r>
      </w:hyperlink>
      <w:r w:rsidRPr="00624696">
        <w:rPr>
          <w:sz w:val="20"/>
          <w:lang w:val="es-AR"/>
        </w:rPr>
        <w:t>, muchos antiguos esclavos permanecieron en condiciones de servidumb</w:t>
      </w:r>
      <w:r w:rsidRPr="00624696">
        <w:rPr>
          <w:sz w:val="20"/>
          <w:lang w:val="es-AR"/>
        </w:rPr>
        <w:t>re. Además, durante años, se han visto inmersos en relaciones laborales marcadas por la informalidad y el uso predominante de mano de obra no calificada, lo que ha mantenido a buena parte de la población en condiciones de</w:t>
      </w:r>
      <w:r w:rsidRPr="00624696">
        <w:rPr>
          <w:spacing w:val="-1"/>
          <w:sz w:val="20"/>
          <w:lang w:val="es-AR"/>
        </w:rPr>
        <w:t xml:space="preserve"> </w:t>
      </w:r>
      <w:r w:rsidRPr="00624696">
        <w:rPr>
          <w:sz w:val="20"/>
          <w:lang w:val="es-AR"/>
        </w:rPr>
        <w:t>pobreza.</w:t>
      </w:r>
    </w:p>
    <w:p w14:paraId="04FE8D1C" w14:textId="77777777" w:rsidR="00467FCA" w:rsidRPr="00624696" w:rsidRDefault="00467FCA">
      <w:pPr>
        <w:pStyle w:val="Textoindependiente"/>
        <w:spacing w:before="10"/>
        <w:rPr>
          <w:sz w:val="22"/>
          <w:lang w:val="es-AR"/>
        </w:rPr>
      </w:pPr>
    </w:p>
    <w:p w14:paraId="34782DC9" w14:textId="77777777" w:rsidR="00467FCA" w:rsidRPr="00624696" w:rsidRDefault="001B68EB">
      <w:pPr>
        <w:pStyle w:val="Prrafodelista"/>
        <w:numPr>
          <w:ilvl w:val="0"/>
          <w:numId w:val="50"/>
        </w:numPr>
        <w:tabs>
          <w:tab w:val="left" w:pos="687"/>
        </w:tabs>
        <w:ind w:right="117" w:firstLine="0"/>
        <w:jc w:val="both"/>
        <w:rPr>
          <w:sz w:val="20"/>
          <w:lang w:val="es-AR"/>
        </w:rPr>
      </w:pPr>
      <w:r w:rsidRPr="00624696">
        <w:rPr>
          <w:sz w:val="20"/>
          <w:lang w:val="es-AR"/>
        </w:rPr>
        <w:t>Según el Censo realizado por el Instituto Brasileño de Geografía y Estadística (IBGE), para</w:t>
      </w:r>
      <w:r w:rsidRPr="00624696">
        <w:rPr>
          <w:spacing w:val="-12"/>
          <w:sz w:val="20"/>
          <w:lang w:val="es-AR"/>
        </w:rPr>
        <w:t xml:space="preserve"> </w:t>
      </w:r>
      <w:r w:rsidRPr="00624696">
        <w:rPr>
          <w:sz w:val="20"/>
          <w:lang w:val="es-AR"/>
        </w:rPr>
        <w:t>el</w:t>
      </w:r>
      <w:r w:rsidRPr="00624696">
        <w:rPr>
          <w:spacing w:val="-12"/>
          <w:sz w:val="20"/>
          <w:lang w:val="es-AR"/>
        </w:rPr>
        <w:t xml:space="preserve"> </w:t>
      </w:r>
      <w:r w:rsidRPr="00624696">
        <w:rPr>
          <w:sz w:val="20"/>
          <w:lang w:val="es-AR"/>
        </w:rPr>
        <w:t>año</w:t>
      </w:r>
      <w:r w:rsidRPr="00624696">
        <w:rPr>
          <w:spacing w:val="-13"/>
          <w:sz w:val="20"/>
          <w:lang w:val="es-AR"/>
        </w:rPr>
        <w:t xml:space="preserve"> </w:t>
      </w:r>
      <w:r w:rsidRPr="00624696">
        <w:rPr>
          <w:sz w:val="20"/>
          <w:lang w:val="es-AR"/>
        </w:rPr>
        <w:t>2010</w:t>
      </w:r>
      <w:r w:rsidRPr="00624696">
        <w:rPr>
          <w:spacing w:val="-12"/>
          <w:sz w:val="20"/>
          <w:lang w:val="es-AR"/>
        </w:rPr>
        <w:t xml:space="preserve"> </w:t>
      </w:r>
      <w:r w:rsidRPr="00624696">
        <w:rPr>
          <w:sz w:val="20"/>
          <w:lang w:val="es-AR"/>
        </w:rPr>
        <w:t>un</w:t>
      </w:r>
      <w:r w:rsidRPr="00624696">
        <w:rPr>
          <w:spacing w:val="-11"/>
          <w:sz w:val="20"/>
          <w:lang w:val="es-AR"/>
        </w:rPr>
        <w:t xml:space="preserve"> </w:t>
      </w:r>
      <w:r w:rsidRPr="00624696">
        <w:rPr>
          <w:sz w:val="20"/>
          <w:lang w:val="es-AR"/>
        </w:rPr>
        <w:t>76.5%</w:t>
      </w:r>
      <w:r w:rsidRPr="00624696">
        <w:rPr>
          <w:spacing w:val="-14"/>
          <w:sz w:val="20"/>
          <w:lang w:val="es-AR"/>
        </w:rPr>
        <w:t xml:space="preserve"> </w:t>
      </w:r>
      <w:r w:rsidRPr="00624696">
        <w:rPr>
          <w:sz w:val="20"/>
          <w:lang w:val="es-AR"/>
        </w:rPr>
        <w:t>de</w:t>
      </w:r>
      <w:r w:rsidRPr="00624696">
        <w:rPr>
          <w:spacing w:val="-13"/>
          <w:sz w:val="20"/>
          <w:lang w:val="es-AR"/>
        </w:rPr>
        <w:t xml:space="preserve"> </w:t>
      </w:r>
      <w:r w:rsidRPr="00624696">
        <w:rPr>
          <w:sz w:val="20"/>
          <w:lang w:val="es-AR"/>
        </w:rPr>
        <w:t>la</w:t>
      </w:r>
      <w:r w:rsidRPr="00624696">
        <w:rPr>
          <w:spacing w:val="-13"/>
          <w:sz w:val="20"/>
          <w:lang w:val="es-AR"/>
        </w:rPr>
        <w:t xml:space="preserve"> </w:t>
      </w:r>
      <w:r w:rsidRPr="00624696">
        <w:rPr>
          <w:sz w:val="20"/>
          <w:lang w:val="es-AR"/>
        </w:rPr>
        <w:t>población</w:t>
      </w:r>
      <w:r w:rsidRPr="00624696">
        <w:rPr>
          <w:spacing w:val="-12"/>
          <w:sz w:val="20"/>
          <w:lang w:val="es-AR"/>
        </w:rPr>
        <w:t xml:space="preserve"> </w:t>
      </w:r>
      <w:r w:rsidRPr="00624696">
        <w:rPr>
          <w:sz w:val="20"/>
          <w:lang w:val="es-AR"/>
        </w:rPr>
        <w:t>de</w:t>
      </w:r>
      <w:r w:rsidRPr="00624696">
        <w:rPr>
          <w:spacing w:val="-13"/>
          <w:sz w:val="20"/>
          <w:lang w:val="es-AR"/>
        </w:rPr>
        <w:t xml:space="preserve"> </w:t>
      </w:r>
      <w:r w:rsidRPr="00624696">
        <w:rPr>
          <w:sz w:val="20"/>
          <w:lang w:val="es-AR"/>
        </w:rPr>
        <w:t>Santo</w:t>
      </w:r>
      <w:r w:rsidRPr="00624696">
        <w:rPr>
          <w:spacing w:val="-14"/>
          <w:sz w:val="20"/>
          <w:lang w:val="es-AR"/>
        </w:rPr>
        <w:t xml:space="preserve"> </w:t>
      </w:r>
      <w:r w:rsidRPr="00624696">
        <w:rPr>
          <w:sz w:val="20"/>
          <w:lang w:val="es-AR"/>
        </w:rPr>
        <w:t>Antônio</w:t>
      </w:r>
      <w:r w:rsidRPr="00624696">
        <w:rPr>
          <w:spacing w:val="-12"/>
          <w:sz w:val="20"/>
          <w:lang w:val="es-AR"/>
        </w:rPr>
        <w:t xml:space="preserve"> </w:t>
      </w:r>
      <w:r w:rsidRPr="00624696">
        <w:rPr>
          <w:sz w:val="20"/>
          <w:lang w:val="es-AR"/>
        </w:rPr>
        <w:t>de</w:t>
      </w:r>
      <w:r w:rsidRPr="00624696">
        <w:rPr>
          <w:spacing w:val="-14"/>
          <w:sz w:val="20"/>
          <w:lang w:val="es-AR"/>
        </w:rPr>
        <w:t xml:space="preserve"> </w:t>
      </w:r>
      <w:r w:rsidRPr="00624696">
        <w:rPr>
          <w:sz w:val="20"/>
          <w:lang w:val="es-AR"/>
        </w:rPr>
        <w:t>Jesus</w:t>
      </w:r>
      <w:r w:rsidRPr="00624696">
        <w:rPr>
          <w:spacing w:val="-12"/>
          <w:sz w:val="20"/>
          <w:lang w:val="es-AR"/>
        </w:rPr>
        <w:t xml:space="preserve"> </w:t>
      </w:r>
      <w:r w:rsidRPr="00624696">
        <w:rPr>
          <w:sz w:val="20"/>
          <w:lang w:val="es-AR"/>
        </w:rPr>
        <w:t>se</w:t>
      </w:r>
      <w:r w:rsidRPr="00624696">
        <w:rPr>
          <w:spacing w:val="-14"/>
          <w:sz w:val="20"/>
          <w:lang w:val="es-AR"/>
        </w:rPr>
        <w:t xml:space="preserve"> </w:t>
      </w:r>
      <w:r w:rsidRPr="00624696">
        <w:rPr>
          <w:sz w:val="20"/>
          <w:lang w:val="es-AR"/>
        </w:rPr>
        <w:t>auto</w:t>
      </w:r>
      <w:r w:rsidRPr="00624696">
        <w:rPr>
          <w:spacing w:val="-13"/>
          <w:sz w:val="20"/>
          <w:lang w:val="es-AR"/>
        </w:rPr>
        <w:t xml:space="preserve"> </w:t>
      </w:r>
      <w:r w:rsidRPr="00624696">
        <w:rPr>
          <w:sz w:val="20"/>
          <w:lang w:val="es-AR"/>
        </w:rPr>
        <w:t>reconocía</w:t>
      </w:r>
      <w:r w:rsidRPr="00624696">
        <w:rPr>
          <w:spacing w:val="-12"/>
          <w:sz w:val="20"/>
          <w:lang w:val="es-AR"/>
        </w:rPr>
        <w:t xml:space="preserve"> </w:t>
      </w:r>
      <w:r w:rsidRPr="00624696">
        <w:rPr>
          <w:sz w:val="20"/>
          <w:lang w:val="es-AR"/>
        </w:rPr>
        <w:t>como afrodescendiente</w:t>
      </w:r>
      <w:hyperlink w:anchor="_bookmark89" w:history="1">
        <w:r w:rsidRPr="00624696">
          <w:rPr>
            <w:position w:val="7"/>
            <w:sz w:val="13"/>
            <w:lang w:val="es-AR"/>
          </w:rPr>
          <w:t>66</w:t>
        </w:r>
      </w:hyperlink>
      <w:r w:rsidRPr="00624696">
        <w:rPr>
          <w:sz w:val="20"/>
          <w:lang w:val="es-AR"/>
        </w:rPr>
        <w:t>. Además, un 38.9% de la población de Santo Antônio de Jesus y de los otros</w:t>
      </w:r>
      <w:r w:rsidRPr="00624696">
        <w:rPr>
          <w:spacing w:val="-12"/>
          <w:sz w:val="20"/>
          <w:lang w:val="es-AR"/>
        </w:rPr>
        <w:t xml:space="preserve"> </w:t>
      </w:r>
      <w:r w:rsidRPr="00624696">
        <w:rPr>
          <w:sz w:val="20"/>
          <w:lang w:val="es-AR"/>
        </w:rPr>
        <w:t>municipios</w:t>
      </w:r>
      <w:r w:rsidRPr="00624696">
        <w:rPr>
          <w:spacing w:val="-11"/>
          <w:sz w:val="20"/>
          <w:lang w:val="es-AR"/>
        </w:rPr>
        <w:t xml:space="preserve"> </w:t>
      </w:r>
      <w:r w:rsidRPr="00624696">
        <w:rPr>
          <w:sz w:val="20"/>
          <w:lang w:val="es-AR"/>
        </w:rPr>
        <w:t>del</w:t>
      </w:r>
      <w:r w:rsidRPr="00624696">
        <w:rPr>
          <w:spacing w:val="-10"/>
          <w:sz w:val="20"/>
          <w:lang w:val="es-AR"/>
        </w:rPr>
        <w:t xml:space="preserve"> </w:t>
      </w:r>
      <w:r w:rsidRPr="00624696">
        <w:rPr>
          <w:sz w:val="20"/>
          <w:lang w:val="es-AR"/>
        </w:rPr>
        <w:t>Recôncavo</w:t>
      </w:r>
      <w:r w:rsidRPr="00624696">
        <w:rPr>
          <w:spacing w:val="-14"/>
          <w:sz w:val="20"/>
          <w:lang w:val="es-AR"/>
        </w:rPr>
        <w:t xml:space="preserve"> </w:t>
      </w:r>
      <w:r w:rsidRPr="00624696">
        <w:rPr>
          <w:sz w:val="20"/>
          <w:lang w:val="es-AR"/>
        </w:rPr>
        <w:t>Baiano,</w:t>
      </w:r>
      <w:r w:rsidRPr="00624696">
        <w:rPr>
          <w:spacing w:val="-11"/>
          <w:sz w:val="20"/>
          <w:lang w:val="es-AR"/>
        </w:rPr>
        <w:t xml:space="preserve"> </w:t>
      </w:r>
      <w:r w:rsidRPr="00624696">
        <w:rPr>
          <w:sz w:val="20"/>
          <w:lang w:val="es-AR"/>
        </w:rPr>
        <w:t>tenía</w:t>
      </w:r>
      <w:r w:rsidRPr="00624696">
        <w:rPr>
          <w:spacing w:val="-13"/>
          <w:sz w:val="20"/>
          <w:lang w:val="es-AR"/>
        </w:rPr>
        <w:t xml:space="preserve"> </w:t>
      </w:r>
      <w:r w:rsidRPr="00624696">
        <w:rPr>
          <w:sz w:val="20"/>
          <w:lang w:val="es-AR"/>
        </w:rPr>
        <w:t>un</w:t>
      </w:r>
      <w:r w:rsidRPr="00624696">
        <w:rPr>
          <w:spacing w:val="-9"/>
          <w:sz w:val="20"/>
          <w:lang w:val="es-AR"/>
        </w:rPr>
        <w:t xml:space="preserve"> </w:t>
      </w:r>
      <w:r w:rsidRPr="00624696">
        <w:rPr>
          <w:sz w:val="20"/>
          <w:lang w:val="es-AR"/>
        </w:rPr>
        <w:t>ingreso</w:t>
      </w:r>
      <w:r w:rsidRPr="00624696">
        <w:rPr>
          <w:spacing w:val="-11"/>
          <w:sz w:val="20"/>
          <w:lang w:val="es-AR"/>
        </w:rPr>
        <w:t xml:space="preserve"> </w:t>
      </w:r>
      <w:r w:rsidRPr="00624696">
        <w:rPr>
          <w:sz w:val="20"/>
          <w:lang w:val="es-AR"/>
        </w:rPr>
        <w:t>mensual</w:t>
      </w:r>
      <w:r w:rsidRPr="00624696">
        <w:rPr>
          <w:spacing w:val="-12"/>
          <w:sz w:val="20"/>
          <w:lang w:val="es-AR"/>
        </w:rPr>
        <w:t xml:space="preserve"> </w:t>
      </w:r>
      <w:r w:rsidRPr="00624696">
        <w:rPr>
          <w:sz w:val="20"/>
          <w:lang w:val="es-AR"/>
        </w:rPr>
        <w:t>nominal</w:t>
      </w:r>
      <w:r w:rsidRPr="00624696">
        <w:rPr>
          <w:spacing w:val="-12"/>
          <w:sz w:val="20"/>
          <w:lang w:val="es-AR"/>
        </w:rPr>
        <w:t xml:space="preserve"> </w:t>
      </w:r>
      <w:r w:rsidRPr="00624696">
        <w:rPr>
          <w:sz w:val="20"/>
          <w:lang w:val="es-AR"/>
        </w:rPr>
        <w:t>per</w:t>
      </w:r>
      <w:r w:rsidRPr="00624696">
        <w:rPr>
          <w:spacing w:val="-11"/>
          <w:sz w:val="20"/>
          <w:lang w:val="es-AR"/>
        </w:rPr>
        <w:t xml:space="preserve"> </w:t>
      </w:r>
      <w:r w:rsidRPr="00624696">
        <w:rPr>
          <w:sz w:val="20"/>
          <w:lang w:val="es-AR"/>
        </w:rPr>
        <w:t>cápita</w:t>
      </w:r>
      <w:r w:rsidRPr="00624696">
        <w:rPr>
          <w:spacing w:val="-12"/>
          <w:sz w:val="20"/>
          <w:lang w:val="es-AR"/>
        </w:rPr>
        <w:t xml:space="preserve"> </w:t>
      </w:r>
      <w:r w:rsidRPr="00624696">
        <w:rPr>
          <w:sz w:val="20"/>
          <w:lang w:val="es-AR"/>
        </w:rPr>
        <w:t>de</w:t>
      </w:r>
      <w:r w:rsidRPr="00624696">
        <w:rPr>
          <w:spacing w:val="-12"/>
          <w:sz w:val="20"/>
          <w:lang w:val="es-AR"/>
        </w:rPr>
        <w:t xml:space="preserve"> </w:t>
      </w:r>
      <w:r w:rsidRPr="00624696">
        <w:rPr>
          <w:sz w:val="20"/>
          <w:lang w:val="es-AR"/>
        </w:rPr>
        <w:t>hasta 1/2 salario mínimo</w:t>
      </w:r>
      <w:hyperlink w:anchor="_bookmark90" w:history="1">
        <w:r w:rsidRPr="00624696">
          <w:rPr>
            <w:position w:val="7"/>
            <w:sz w:val="13"/>
            <w:lang w:val="es-AR"/>
          </w:rPr>
          <w:t>67</w:t>
        </w:r>
      </w:hyperlink>
      <w:r w:rsidRPr="00624696">
        <w:rPr>
          <w:sz w:val="20"/>
          <w:lang w:val="es-AR"/>
        </w:rPr>
        <w:t xml:space="preserve">. En este mismo sentido, los datos indican </w:t>
      </w:r>
      <w:r w:rsidRPr="00624696">
        <w:rPr>
          <w:sz w:val="20"/>
          <w:lang w:val="es-AR"/>
        </w:rPr>
        <w:t>que las personas cuyos ingresos eran la mitad o la cuarta parte del salario mínimo correspondían, respectivamente, al 42,18% y al 16,40% de la población de Santo Antônio de Jesus</w:t>
      </w:r>
      <w:hyperlink w:anchor="_bookmark91" w:history="1">
        <w:r w:rsidRPr="00624696">
          <w:rPr>
            <w:position w:val="7"/>
            <w:sz w:val="13"/>
            <w:lang w:val="es-AR"/>
          </w:rPr>
          <w:t>68</w:t>
        </w:r>
      </w:hyperlink>
      <w:r w:rsidRPr="00624696">
        <w:rPr>
          <w:sz w:val="20"/>
          <w:lang w:val="es-AR"/>
        </w:rPr>
        <w:t>. Para el año 2010, el 13,30% de la población</w:t>
      </w:r>
      <w:r w:rsidRPr="00624696">
        <w:rPr>
          <w:sz w:val="20"/>
          <w:lang w:val="es-AR"/>
        </w:rPr>
        <w:t xml:space="preserve"> entre 15 y 24 años no estudiaba ni trabajaba y el 38.9% de las personas mayores de 18 años sin escuela primaria completa realizaban trabajos</w:t>
      </w:r>
      <w:r w:rsidRPr="00624696">
        <w:rPr>
          <w:spacing w:val="41"/>
          <w:sz w:val="20"/>
          <w:lang w:val="es-AR"/>
        </w:rPr>
        <w:t xml:space="preserve"> </w:t>
      </w:r>
      <w:r w:rsidRPr="00624696">
        <w:rPr>
          <w:sz w:val="20"/>
          <w:lang w:val="es-AR"/>
        </w:rPr>
        <w:t>informales,</w:t>
      </w:r>
    </w:p>
    <w:p w14:paraId="01813DDB" w14:textId="77777777" w:rsidR="00467FCA" w:rsidRPr="00624696" w:rsidRDefault="001B68EB">
      <w:pPr>
        <w:pStyle w:val="Textoindependiente"/>
        <w:spacing w:before="3"/>
        <w:rPr>
          <w:sz w:val="12"/>
          <w:lang w:val="es-AR"/>
        </w:rPr>
      </w:pPr>
      <w:r>
        <w:pict w14:anchorId="2BD5F6A2">
          <v:shape id="_x0000_s1181" style="position:absolute;margin-left:1in;margin-top:9.75pt;width:2in;height:.1pt;z-index:-251642880;mso-wrap-distance-left:0;mso-wrap-distance-right:0;mso-position-horizontal-relative:page" coordorigin="1440,195" coordsize="2880,0" path="m1440,195r2880,e" filled="f" strokeweight=".6pt">
            <v:path arrowok="t"/>
            <w10:wrap type="topAndBottom" anchorx="page"/>
          </v:shape>
        </w:pict>
      </w:r>
    </w:p>
    <w:p w14:paraId="562EB91F" w14:textId="77777777" w:rsidR="00467FCA" w:rsidRPr="00624696" w:rsidRDefault="001B68EB">
      <w:pPr>
        <w:spacing w:before="74"/>
        <w:ind w:left="120"/>
        <w:rPr>
          <w:sz w:val="16"/>
          <w:lang w:val="es-AR"/>
        </w:rPr>
      </w:pPr>
      <w:r w:rsidRPr="00624696">
        <w:rPr>
          <w:i/>
          <w:sz w:val="16"/>
          <w:lang w:val="es-AR"/>
        </w:rPr>
        <w:t>judice</w:t>
      </w:r>
      <w:r w:rsidRPr="00624696">
        <w:rPr>
          <w:sz w:val="16"/>
          <w:lang w:val="es-AR"/>
        </w:rPr>
        <w:t>.</w:t>
      </w:r>
    </w:p>
    <w:p w14:paraId="5980CDCD" w14:textId="77777777" w:rsidR="00467FCA" w:rsidRPr="00624696" w:rsidRDefault="001B68EB">
      <w:pPr>
        <w:tabs>
          <w:tab w:val="left" w:pos="839"/>
        </w:tabs>
        <w:ind w:left="119" w:right="115"/>
        <w:jc w:val="both"/>
        <w:rPr>
          <w:sz w:val="16"/>
          <w:lang w:val="es-AR"/>
        </w:rPr>
      </w:pPr>
      <w:bookmarkStart w:id="110" w:name="_bookmark86"/>
      <w:bookmarkEnd w:id="110"/>
      <w:r w:rsidRPr="00624696">
        <w:rPr>
          <w:position w:val="6"/>
          <w:sz w:val="10"/>
          <w:lang w:val="es-AR"/>
        </w:rPr>
        <w:t>63</w:t>
      </w:r>
      <w:r w:rsidRPr="00624696">
        <w:rPr>
          <w:position w:val="6"/>
          <w:sz w:val="10"/>
          <w:lang w:val="es-AR"/>
        </w:rPr>
        <w:tab/>
      </w:r>
      <w:r w:rsidRPr="00624696">
        <w:rPr>
          <w:i/>
          <w:sz w:val="16"/>
          <w:lang w:val="es-AR"/>
        </w:rPr>
        <w:t>Cfr. Amicus curia</w:t>
      </w:r>
      <w:r w:rsidRPr="00624696">
        <w:rPr>
          <w:sz w:val="16"/>
          <w:lang w:val="es-AR"/>
        </w:rPr>
        <w:t>e del Ministerio Público del Trabajo, presentado el 14 de febrero de 2020 (expediente de fondo, folios 952 a</w:t>
      </w:r>
      <w:r w:rsidRPr="00624696">
        <w:rPr>
          <w:spacing w:val="-6"/>
          <w:sz w:val="16"/>
          <w:lang w:val="es-AR"/>
        </w:rPr>
        <w:t xml:space="preserve"> </w:t>
      </w:r>
      <w:r w:rsidRPr="00624696">
        <w:rPr>
          <w:sz w:val="16"/>
          <w:lang w:val="es-AR"/>
        </w:rPr>
        <w:t>985).</w:t>
      </w:r>
    </w:p>
    <w:p w14:paraId="3D641A39" w14:textId="77777777" w:rsidR="00467FCA" w:rsidRPr="00624696" w:rsidRDefault="001B68EB">
      <w:pPr>
        <w:tabs>
          <w:tab w:val="left" w:pos="839"/>
        </w:tabs>
        <w:ind w:left="121" w:right="116" w:hanging="2"/>
        <w:jc w:val="both"/>
        <w:rPr>
          <w:sz w:val="16"/>
          <w:lang w:val="es-AR"/>
        </w:rPr>
      </w:pPr>
      <w:bookmarkStart w:id="111" w:name="_bookmark87"/>
      <w:bookmarkEnd w:id="111"/>
      <w:r w:rsidRPr="00624696">
        <w:rPr>
          <w:position w:val="6"/>
          <w:sz w:val="10"/>
          <w:lang w:val="es-AR"/>
        </w:rPr>
        <w:t>64</w:t>
      </w:r>
      <w:r w:rsidRPr="00624696">
        <w:rPr>
          <w:position w:val="6"/>
          <w:sz w:val="10"/>
          <w:lang w:val="es-AR"/>
        </w:rPr>
        <w:tab/>
      </w:r>
      <w:r w:rsidRPr="00624696">
        <w:rPr>
          <w:i/>
          <w:sz w:val="16"/>
          <w:lang w:val="es-AR"/>
        </w:rPr>
        <w:t xml:space="preserve">Cfr. Amicus curiae </w:t>
      </w:r>
      <w:r w:rsidRPr="00624696">
        <w:rPr>
          <w:sz w:val="16"/>
          <w:lang w:val="es-AR"/>
        </w:rPr>
        <w:t>de la Clínica de Derechos Humanos de la Universidad de Bahia, presentado el 14 de</w:t>
      </w:r>
      <w:bookmarkStart w:id="112" w:name="_bookmark88"/>
      <w:bookmarkEnd w:id="112"/>
      <w:r w:rsidRPr="00624696">
        <w:rPr>
          <w:sz w:val="16"/>
          <w:lang w:val="es-AR"/>
        </w:rPr>
        <w:t xml:space="preserve"> febrero de 2020 (expediente de fondo,</w:t>
      </w:r>
      <w:r w:rsidRPr="00624696">
        <w:rPr>
          <w:sz w:val="16"/>
          <w:lang w:val="es-AR"/>
        </w:rPr>
        <w:t xml:space="preserve"> folios 1005 a</w:t>
      </w:r>
      <w:r w:rsidRPr="00624696">
        <w:rPr>
          <w:spacing w:val="-9"/>
          <w:sz w:val="16"/>
          <w:lang w:val="es-AR"/>
        </w:rPr>
        <w:t xml:space="preserve"> </w:t>
      </w:r>
      <w:r w:rsidRPr="00624696">
        <w:rPr>
          <w:sz w:val="16"/>
          <w:lang w:val="es-AR"/>
        </w:rPr>
        <w:t>1074).</w:t>
      </w:r>
    </w:p>
    <w:p w14:paraId="444ED400" w14:textId="77777777" w:rsidR="00467FCA" w:rsidRPr="00624696" w:rsidRDefault="001B68EB">
      <w:pPr>
        <w:tabs>
          <w:tab w:val="left" w:pos="839"/>
        </w:tabs>
        <w:ind w:left="121" w:right="113" w:hanging="2"/>
        <w:jc w:val="both"/>
        <w:rPr>
          <w:sz w:val="16"/>
          <w:lang w:val="es-AR"/>
        </w:rPr>
      </w:pPr>
      <w:r w:rsidRPr="00624696">
        <w:rPr>
          <w:position w:val="6"/>
          <w:sz w:val="10"/>
          <w:lang w:val="es-AR"/>
        </w:rPr>
        <w:t>65</w:t>
      </w:r>
      <w:r w:rsidRPr="00624696">
        <w:rPr>
          <w:position w:val="6"/>
          <w:sz w:val="10"/>
          <w:lang w:val="es-AR"/>
        </w:rPr>
        <w:tab/>
      </w:r>
      <w:r w:rsidRPr="00624696">
        <w:rPr>
          <w:sz w:val="16"/>
          <w:lang w:val="es-AR"/>
        </w:rPr>
        <w:t>La</w:t>
      </w:r>
      <w:r w:rsidRPr="00624696">
        <w:rPr>
          <w:spacing w:val="-13"/>
          <w:sz w:val="16"/>
          <w:lang w:val="es-AR"/>
        </w:rPr>
        <w:t xml:space="preserve"> </w:t>
      </w:r>
      <w:r w:rsidRPr="00624696">
        <w:rPr>
          <w:sz w:val="16"/>
          <w:lang w:val="es-AR"/>
        </w:rPr>
        <w:t>abolición</w:t>
      </w:r>
      <w:r w:rsidRPr="00624696">
        <w:rPr>
          <w:spacing w:val="-13"/>
          <w:sz w:val="16"/>
          <w:lang w:val="es-AR"/>
        </w:rPr>
        <w:t xml:space="preserve"> </w:t>
      </w:r>
      <w:r w:rsidRPr="00624696">
        <w:rPr>
          <w:sz w:val="16"/>
          <w:lang w:val="es-AR"/>
        </w:rPr>
        <w:t>legal</w:t>
      </w:r>
      <w:r w:rsidRPr="00624696">
        <w:rPr>
          <w:spacing w:val="-13"/>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la</w:t>
      </w:r>
      <w:r w:rsidRPr="00624696">
        <w:rPr>
          <w:spacing w:val="-13"/>
          <w:sz w:val="16"/>
          <w:lang w:val="es-AR"/>
        </w:rPr>
        <w:t xml:space="preserve"> </w:t>
      </w:r>
      <w:r w:rsidRPr="00624696">
        <w:rPr>
          <w:sz w:val="16"/>
          <w:lang w:val="es-AR"/>
        </w:rPr>
        <w:t>esclavitud</w:t>
      </w:r>
      <w:r w:rsidRPr="00624696">
        <w:rPr>
          <w:spacing w:val="-11"/>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Brasil</w:t>
      </w:r>
      <w:r w:rsidRPr="00624696">
        <w:rPr>
          <w:spacing w:val="-13"/>
          <w:sz w:val="16"/>
          <w:lang w:val="es-AR"/>
        </w:rPr>
        <w:t xml:space="preserve"> </w:t>
      </w:r>
      <w:r w:rsidRPr="00624696">
        <w:rPr>
          <w:sz w:val="16"/>
          <w:lang w:val="es-AR"/>
        </w:rPr>
        <w:t>ocurrió</w:t>
      </w:r>
      <w:r w:rsidRPr="00624696">
        <w:rPr>
          <w:spacing w:val="-14"/>
          <w:sz w:val="16"/>
          <w:lang w:val="es-AR"/>
        </w:rPr>
        <w:t xml:space="preserve"> </w:t>
      </w:r>
      <w:r w:rsidRPr="00624696">
        <w:rPr>
          <w:sz w:val="16"/>
          <w:lang w:val="es-AR"/>
        </w:rPr>
        <w:t>en</w:t>
      </w:r>
      <w:r w:rsidRPr="00624696">
        <w:rPr>
          <w:spacing w:val="-12"/>
          <w:sz w:val="16"/>
          <w:lang w:val="es-AR"/>
        </w:rPr>
        <w:t xml:space="preserve"> </w:t>
      </w:r>
      <w:r w:rsidRPr="00624696">
        <w:rPr>
          <w:sz w:val="16"/>
          <w:lang w:val="es-AR"/>
        </w:rPr>
        <w:t>1888.</w:t>
      </w:r>
      <w:r w:rsidRPr="00624696">
        <w:rPr>
          <w:spacing w:val="-13"/>
          <w:sz w:val="16"/>
          <w:lang w:val="es-AR"/>
        </w:rPr>
        <w:t xml:space="preserve"> </w:t>
      </w:r>
      <w:r w:rsidRPr="00624696">
        <w:rPr>
          <w:sz w:val="16"/>
          <w:lang w:val="es-AR"/>
        </w:rPr>
        <w:t>Brasil</w:t>
      </w:r>
      <w:r w:rsidRPr="00624696">
        <w:rPr>
          <w:spacing w:val="-13"/>
          <w:sz w:val="16"/>
          <w:lang w:val="es-AR"/>
        </w:rPr>
        <w:t xml:space="preserve"> </w:t>
      </w:r>
      <w:r w:rsidRPr="00624696">
        <w:rPr>
          <w:sz w:val="16"/>
          <w:lang w:val="es-AR"/>
        </w:rPr>
        <w:t>fue</w:t>
      </w:r>
      <w:r w:rsidRPr="00624696">
        <w:rPr>
          <w:spacing w:val="-11"/>
          <w:sz w:val="16"/>
          <w:lang w:val="es-AR"/>
        </w:rPr>
        <w:t xml:space="preserve"> </w:t>
      </w:r>
      <w:r w:rsidRPr="00624696">
        <w:rPr>
          <w:sz w:val="16"/>
          <w:lang w:val="es-AR"/>
        </w:rPr>
        <w:t>el</w:t>
      </w:r>
      <w:r w:rsidRPr="00624696">
        <w:rPr>
          <w:spacing w:val="-13"/>
          <w:sz w:val="16"/>
          <w:lang w:val="es-AR"/>
        </w:rPr>
        <w:t xml:space="preserve"> </w:t>
      </w:r>
      <w:r w:rsidRPr="00624696">
        <w:rPr>
          <w:sz w:val="16"/>
          <w:lang w:val="es-AR"/>
        </w:rPr>
        <w:t>último</w:t>
      </w:r>
      <w:r w:rsidRPr="00624696">
        <w:rPr>
          <w:spacing w:val="-11"/>
          <w:sz w:val="16"/>
          <w:lang w:val="es-AR"/>
        </w:rPr>
        <w:t xml:space="preserve"> </w:t>
      </w:r>
      <w:r w:rsidRPr="00624696">
        <w:rPr>
          <w:sz w:val="16"/>
          <w:lang w:val="es-AR"/>
        </w:rPr>
        <w:t>país</w:t>
      </w:r>
      <w:r w:rsidRPr="00624696">
        <w:rPr>
          <w:spacing w:val="-13"/>
          <w:sz w:val="16"/>
          <w:lang w:val="es-AR"/>
        </w:rPr>
        <w:t xml:space="preserve"> </w:t>
      </w:r>
      <w:r w:rsidRPr="00624696">
        <w:rPr>
          <w:sz w:val="16"/>
          <w:lang w:val="es-AR"/>
        </w:rPr>
        <w:t>del</w:t>
      </w:r>
      <w:r w:rsidRPr="00624696">
        <w:rPr>
          <w:spacing w:val="-13"/>
          <w:sz w:val="16"/>
          <w:lang w:val="es-AR"/>
        </w:rPr>
        <w:t xml:space="preserve"> </w:t>
      </w:r>
      <w:r w:rsidRPr="00624696">
        <w:rPr>
          <w:sz w:val="16"/>
          <w:lang w:val="es-AR"/>
        </w:rPr>
        <w:t>hemisferio</w:t>
      </w:r>
      <w:r w:rsidRPr="00624696">
        <w:rPr>
          <w:spacing w:val="-11"/>
          <w:sz w:val="16"/>
          <w:lang w:val="es-AR"/>
        </w:rPr>
        <w:t xml:space="preserve"> </w:t>
      </w:r>
      <w:r w:rsidRPr="00624696">
        <w:rPr>
          <w:sz w:val="16"/>
          <w:lang w:val="es-AR"/>
        </w:rPr>
        <w:t>occidental en</w:t>
      </w:r>
      <w:r w:rsidRPr="00624696">
        <w:rPr>
          <w:spacing w:val="-9"/>
          <w:sz w:val="16"/>
          <w:lang w:val="es-AR"/>
        </w:rPr>
        <w:t xml:space="preserve"> </w:t>
      </w:r>
      <w:r w:rsidRPr="00624696">
        <w:rPr>
          <w:sz w:val="16"/>
          <w:lang w:val="es-AR"/>
        </w:rPr>
        <w:t>abolir</w:t>
      </w:r>
      <w:r w:rsidRPr="00624696">
        <w:rPr>
          <w:spacing w:val="-6"/>
          <w:sz w:val="16"/>
          <w:lang w:val="es-AR"/>
        </w:rPr>
        <w:t xml:space="preserve"> </w:t>
      </w:r>
      <w:r w:rsidRPr="00624696">
        <w:rPr>
          <w:sz w:val="16"/>
          <w:lang w:val="es-AR"/>
        </w:rPr>
        <w:t>la</w:t>
      </w:r>
      <w:r w:rsidRPr="00624696">
        <w:rPr>
          <w:spacing w:val="-9"/>
          <w:sz w:val="16"/>
          <w:lang w:val="es-AR"/>
        </w:rPr>
        <w:t xml:space="preserve"> </w:t>
      </w:r>
      <w:r w:rsidRPr="00624696">
        <w:rPr>
          <w:sz w:val="16"/>
          <w:lang w:val="es-AR"/>
        </w:rPr>
        <w:t>esclavitud.</w:t>
      </w:r>
      <w:r w:rsidRPr="00624696">
        <w:rPr>
          <w:spacing w:val="-8"/>
          <w:sz w:val="16"/>
          <w:lang w:val="es-AR"/>
        </w:rPr>
        <w:t xml:space="preserve"> </w:t>
      </w:r>
      <w:r w:rsidRPr="00624696">
        <w:rPr>
          <w:i/>
          <w:sz w:val="16"/>
          <w:lang w:val="es-AR"/>
        </w:rPr>
        <w:t>Cfr.</w:t>
      </w:r>
      <w:r w:rsidRPr="00624696">
        <w:rPr>
          <w:i/>
          <w:spacing w:val="-8"/>
          <w:sz w:val="16"/>
          <w:lang w:val="es-AR"/>
        </w:rPr>
        <w:t xml:space="preserve"> </w:t>
      </w:r>
      <w:r w:rsidRPr="00624696">
        <w:rPr>
          <w:sz w:val="16"/>
          <w:lang w:val="es-AR"/>
        </w:rPr>
        <w:t>Naciones</w:t>
      </w:r>
      <w:r w:rsidRPr="00624696">
        <w:rPr>
          <w:spacing w:val="-8"/>
          <w:sz w:val="16"/>
          <w:lang w:val="es-AR"/>
        </w:rPr>
        <w:t xml:space="preserve"> </w:t>
      </w:r>
      <w:r w:rsidRPr="00624696">
        <w:rPr>
          <w:sz w:val="16"/>
          <w:lang w:val="es-AR"/>
        </w:rPr>
        <w:t>Unidas.</w:t>
      </w:r>
      <w:r w:rsidRPr="00624696">
        <w:rPr>
          <w:spacing w:val="-11"/>
          <w:sz w:val="16"/>
          <w:lang w:val="es-AR"/>
        </w:rPr>
        <w:t xml:space="preserve"> </w:t>
      </w:r>
      <w:r w:rsidRPr="00624696">
        <w:rPr>
          <w:i/>
          <w:sz w:val="16"/>
          <w:lang w:val="es-AR"/>
        </w:rPr>
        <w:t>“La</w:t>
      </w:r>
      <w:r w:rsidRPr="00624696">
        <w:rPr>
          <w:i/>
          <w:spacing w:val="-9"/>
          <w:sz w:val="16"/>
          <w:lang w:val="es-AR"/>
        </w:rPr>
        <w:t xml:space="preserve"> </w:t>
      </w:r>
      <w:r w:rsidRPr="00624696">
        <w:rPr>
          <w:i/>
          <w:sz w:val="16"/>
          <w:lang w:val="es-AR"/>
        </w:rPr>
        <w:t>experiencia</w:t>
      </w:r>
      <w:r w:rsidRPr="00624696">
        <w:rPr>
          <w:i/>
          <w:spacing w:val="-10"/>
          <w:sz w:val="16"/>
          <w:lang w:val="es-AR"/>
        </w:rPr>
        <w:t xml:space="preserve"> </w:t>
      </w:r>
      <w:r w:rsidRPr="00624696">
        <w:rPr>
          <w:i/>
          <w:sz w:val="16"/>
          <w:lang w:val="es-AR"/>
        </w:rPr>
        <w:t>del</w:t>
      </w:r>
      <w:r w:rsidRPr="00624696">
        <w:rPr>
          <w:i/>
          <w:spacing w:val="-8"/>
          <w:sz w:val="16"/>
          <w:lang w:val="es-AR"/>
        </w:rPr>
        <w:t xml:space="preserve"> </w:t>
      </w:r>
      <w:r w:rsidRPr="00624696">
        <w:rPr>
          <w:i/>
          <w:sz w:val="16"/>
          <w:lang w:val="es-AR"/>
        </w:rPr>
        <w:t>Brasil.</w:t>
      </w:r>
      <w:r w:rsidRPr="00624696">
        <w:rPr>
          <w:i/>
          <w:spacing w:val="-9"/>
          <w:sz w:val="16"/>
          <w:lang w:val="es-AR"/>
        </w:rPr>
        <w:t xml:space="preserve"> </w:t>
      </w:r>
      <w:r w:rsidRPr="00624696">
        <w:rPr>
          <w:i/>
          <w:sz w:val="16"/>
          <w:lang w:val="es-AR"/>
        </w:rPr>
        <w:t>Discriminación</w:t>
      </w:r>
      <w:r w:rsidRPr="00624696">
        <w:rPr>
          <w:i/>
          <w:spacing w:val="-8"/>
          <w:sz w:val="16"/>
          <w:lang w:val="es-AR"/>
        </w:rPr>
        <w:t xml:space="preserve"> </w:t>
      </w:r>
      <w:r w:rsidRPr="00624696">
        <w:rPr>
          <w:i/>
          <w:sz w:val="16"/>
          <w:lang w:val="es-AR"/>
        </w:rPr>
        <w:t>racial</w:t>
      </w:r>
      <w:r w:rsidRPr="00624696">
        <w:rPr>
          <w:i/>
          <w:spacing w:val="-8"/>
          <w:sz w:val="16"/>
          <w:lang w:val="es-AR"/>
        </w:rPr>
        <w:t xml:space="preserve"> </w:t>
      </w:r>
      <w:r w:rsidRPr="00624696">
        <w:rPr>
          <w:i/>
          <w:sz w:val="16"/>
          <w:lang w:val="es-AR"/>
        </w:rPr>
        <w:t>y</w:t>
      </w:r>
      <w:r w:rsidRPr="00624696">
        <w:rPr>
          <w:i/>
          <w:spacing w:val="-7"/>
          <w:sz w:val="16"/>
          <w:lang w:val="es-AR"/>
        </w:rPr>
        <w:t xml:space="preserve"> </w:t>
      </w:r>
      <w:r w:rsidRPr="00624696">
        <w:rPr>
          <w:i/>
          <w:sz w:val="16"/>
          <w:lang w:val="es-AR"/>
        </w:rPr>
        <w:t>mestizaje”.</w:t>
      </w:r>
      <w:r w:rsidRPr="00624696">
        <w:rPr>
          <w:i/>
          <w:spacing w:val="-11"/>
          <w:sz w:val="16"/>
          <w:lang w:val="es-AR"/>
        </w:rPr>
        <w:t xml:space="preserve"> </w:t>
      </w:r>
      <w:r w:rsidRPr="00624696">
        <w:rPr>
          <w:sz w:val="16"/>
          <w:lang w:val="es-AR"/>
        </w:rPr>
        <w:t>Disponible</w:t>
      </w:r>
      <w:bookmarkStart w:id="113" w:name="_bookmark89"/>
      <w:bookmarkEnd w:id="113"/>
      <w:r w:rsidRPr="00624696">
        <w:rPr>
          <w:sz w:val="16"/>
          <w:lang w:val="es-AR"/>
        </w:rPr>
        <w:t xml:space="preserve"> en:</w:t>
      </w:r>
      <w:r w:rsidRPr="00624696">
        <w:rPr>
          <w:spacing w:val="-1"/>
          <w:sz w:val="16"/>
          <w:lang w:val="es-AR"/>
        </w:rPr>
        <w:t xml:space="preserve"> </w:t>
      </w:r>
      <w:hyperlink r:id="rId10">
        <w:r w:rsidRPr="00624696">
          <w:rPr>
            <w:sz w:val="16"/>
            <w:u w:val="single"/>
            <w:lang w:val="es-AR"/>
          </w:rPr>
          <w:t>https://www.un.org/es/cr%C3%B3nica-onu/discriminaci%C3%B3n-racial-y-mestizaje</w:t>
        </w:r>
        <w:r w:rsidRPr="00624696">
          <w:rPr>
            <w:sz w:val="16"/>
            <w:lang w:val="es-AR"/>
          </w:rPr>
          <w:t>.</w:t>
        </w:r>
      </w:hyperlink>
    </w:p>
    <w:p w14:paraId="1F27CEEE" w14:textId="77777777" w:rsidR="00467FCA" w:rsidRPr="00624696" w:rsidRDefault="001B68EB">
      <w:pPr>
        <w:tabs>
          <w:tab w:val="left" w:pos="839"/>
        </w:tabs>
        <w:ind w:left="118" w:right="114" w:firstLine="1"/>
        <w:rPr>
          <w:sz w:val="16"/>
          <w:lang w:val="es-AR"/>
        </w:rPr>
      </w:pPr>
      <w:r w:rsidRPr="00624696">
        <w:rPr>
          <w:position w:val="6"/>
          <w:sz w:val="10"/>
          <w:lang w:val="es-AR"/>
        </w:rPr>
        <w:t>66</w:t>
      </w:r>
      <w:r w:rsidRPr="00624696">
        <w:rPr>
          <w:position w:val="6"/>
          <w:sz w:val="10"/>
          <w:lang w:val="es-AR"/>
        </w:rPr>
        <w:tab/>
      </w:r>
      <w:r w:rsidRPr="00624696">
        <w:rPr>
          <w:sz w:val="16"/>
          <w:lang w:val="es-AR"/>
        </w:rPr>
        <w:t>Según</w:t>
      </w:r>
      <w:r w:rsidRPr="00624696">
        <w:rPr>
          <w:spacing w:val="-8"/>
          <w:sz w:val="16"/>
          <w:lang w:val="es-AR"/>
        </w:rPr>
        <w:t xml:space="preserve"> </w:t>
      </w:r>
      <w:r w:rsidRPr="00624696">
        <w:rPr>
          <w:sz w:val="16"/>
          <w:lang w:val="es-AR"/>
        </w:rPr>
        <w:t>la</w:t>
      </w:r>
      <w:r w:rsidRPr="00624696">
        <w:rPr>
          <w:spacing w:val="-6"/>
          <w:sz w:val="16"/>
          <w:lang w:val="es-AR"/>
        </w:rPr>
        <w:t xml:space="preserve"> </w:t>
      </w:r>
      <w:r w:rsidRPr="00624696">
        <w:rPr>
          <w:sz w:val="16"/>
          <w:lang w:val="es-AR"/>
        </w:rPr>
        <w:t>clasificación</w:t>
      </w:r>
      <w:r w:rsidRPr="00624696">
        <w:rPr>
          <w:spacing w:val="-7"/>
          <w:sz w:val="16"/>
          <w:lang w:val="es-AR"/>
        </w:rPr>
        <w:t xml:space="preserve"> </w:t>
      </w:r>
      <w:r w:rsidRPr="00624696">
        <w:rPr>
          <w:sz w:val="16"/>
          <w:lang w:val="es-AR"/>
        </w:rPr>
        <w:t>del</w:t>
      </w:r>
      <w:r w:rsidRPr="00624696">
        <w:rPr>
          <w:spacing w:val="-8"/>
          <w:sz w:val="16"/>
          <w:lang w:val="es-AR"/>
        </w:rPr>
        <w:t xml:space="preserve"> </w:t>
      </w:r>
      <w:r w:rsidRPr="00624696">
        <w:rPr>
          <w:sz w:val="16"/>
          <w:lang w:val="es-AR"/>
        </w:rPr>
        <w:t>Instituto</w:t>
      </w:r>
      <w:r w:rsidRPr="00624696">
        <w:rPr>
          <w:spacing w:val="-4"/>
          <w:sz w:val="16"/>
          <w:lang w:val="es-AR"/>
        </w:rPr>
        <w:t xml:space="preserve"> </w:t>
      </w:r>
      <w:r w:rsidRPr="00624696">
        <w:rPr>
          <w:sz w:val="16"/>
          <w:lang w:val="es-AR"/>
        </w:rPr>
        <w:t>Brasileño</w:t>
      </w:r>
      <w:r w:rsidRPr="00624696">
        <w:rPr>
          <w:spacing w:val="-6"/>
          <w:sz w:val="16"/>
          <w:lang w:val="es-AR"/>
        </w:rPr>
        <w:t xml:space="preserve"> </w:t>
      </w:r>
      <w:r w:rsidRPr="00624696">
        <w:rPr>
          <w:sz w:val="16"/>
          <w:lang w:val="es-AR"/>
        </w:rPr>
        <w:t>de</w:t>
      </w:r>
      <w:r w:rsidRPr="00624696">
        <w:rPr>
          <w:spacing w:val="-7"/>
          <w:sz w:val="16"/>
          <w:lang w:val="es-AR"/>
        </w:rPr>
        <w:t xml:space="preserve"> </w:t>
      </w:r>
      <w:r w:rsidRPr="00624696">
        <w:rPr>
          <w:sz w:val="16"/>
          <w:lang w:val="es-AR"/>
        </w:rPr>
        <w:t>Geografía</w:t>
      </w:r>
      <w:r w:rsidRPr="00624696">
        <w:rPr>
          <w:spacing w:val="-8"/>
          <w:sz w:val="16"/>
          <w:lang w:val="es-AR"/>
        </w:rPr>
        <w:t xml:space="preserve"> </w:t>
      </w:r>
      <w:r w:rsidRPr="00624696">
        <w:rPr>
          <w:sz w:val="16"/>
          <w:lang w:val="es-AR"/>
        </w:rPr>
        <w:t>y</w:t>
      </w:r>
      <w:r w:rsidRPr="00624696">
        <w:rPr>
          <w:spacing w:val="-8"/>
          <w:sz w:val="16"/>
          <w:lang w:val="es-AR"/>
        </w:rPr>
        <w:t xml:space="preserve"> </w:t>
      </w:r>
      <w:r w:rsidRPr="00624696">
        <w:rPr>
          <w:sz w:val="16"/>
          <w:lang w:val="es-AR"/>
        </w:rPr>
        <w:t>Estadística</w:t>
      </w:r>
      <w:r w:rsidRPr="00624696">
        <w:rPr>
          <w:spacing w:val="-6"/>
          <w:sz w:val="16"/>
          <w:lang w:val="es-AR"/>
        </w:rPr>
        <w:t xml:space="preserve"> </w:t>
      </w:r>
      <w:r w:rsidRPr="00624696">
        <w:rPr>
          <w:sz w:val="16"/>
          <w:lang w:val="es-AR"/>
        </w:rPr>
        <w:t>(IBGE),</w:t>
      </w:r>
      <w:r w:rsidRPr="00624696">
        <w:rPr>
          <w:spacing w:val="-6"/>
          <w:sz w:val="16"/>
          <w:lang w:val="es-AR"/>
        </w:rPr>
        <w:t xml:space="preserve"> </w:t>
      </w:r>
      <w:r w:rsidRPr="00624696">
        <w:rPr>
          <w:sz w:val="16"/>
          <w:lang w:val="es-AR"/>
        </w:rPr>
        <w:t>un</w:t>
      </w:r>
      <w:r w:rsidRPr="00624696">
        <w:rPr>
          <w:spacing w:val="-7"/>
          <w:sz w:val="16"/>
          <w:lang w:val="es-AR"/>
        </w:rPr>
        <w:t xml:space="preserve"> </w:t>
      </w:r>
      <w:r w:rsidRPr="00624696">
        <w:rPr>
          <w:sz w:val="16"/>
          <w:lang w:val="es-AR"/>
        </w:rPr>
        <w:t>52,6%</w:t>
      </w:r>
      <w:r w:rsidRPr="00624696">
        <w:rPr>
          <w:spacing w:val="-10"/>
          <w:sz w:val="16"/>
          <w:lang w:val="es-AR"/>
        </w:rPr>
        <w:t xml:space="preserve"> </w:t>
      </w:r>
      <w:r w:rsidRPr="00624696">
        <w:rPr>
          <w:sz w:val="16"/>
          <w:lang w:val="es-AR"/>
        </w:rPr>
        <w:t>de</w:t>
      </w:r>
      <w:r w:rsidRPr="00624696">
        <w:rPr>
          <w:spacing w:val="-5"/>
          <w:sz w:val="16"/>
          <w:lang w:val="es-AR"/>
        </w:rPr>
        <w:t xml:space="preserve"> </w:t>
      </w:r>
      <w:r w:rsidRPr="00624696">
        <w:rPr>
          <w:sz w:val="16"/>
          <w:lang w:val="es-AR"/>
        </w:rPr>
        <w:t>la</w:t>
      </w:r>
      <w:r w:rsidRPr="00624696">
        <w:rPr>
          <w:spacing w:val="-7"/>
          <w:sz w:val="16"/>
          <w:lang w:val="es-AR"/>
        </w:rPr>
        <w:t xml:space="preserve"> </w:t>
      </w:r>
      <w:r w:rsidRPr="00624696">
        <w:rPr>
          <w:sz w:val="16"/>
          <w:lang w:val="es-AR"/>
        </w:rPr>
        <w:t>población</w:t>
      </w:r>
      <w:r w:rsidRPr="00624696">
        <w:rPr>
          <w:spacing w:val="-8"/>
          <w:sz w:val="16"/>
          <w:lang w:val="es-AR"/>
        </w:rPr>
        <w:t xml:space="preserve"> </w:t>
      </w:r>
      <w:r w:rsidRPr="00624696">
        <w:rPr>
          <w:sz w:val="16"/>
          <w:lang w:val="es-AR"/>
        </w:rPr>
        <w:t xml:space="preserve">de Santo Antônio de Jesus se consideraba “parda”, mientras que un 23,8% se consideraba “negra”. Datos disponibles en: </w:t>
      </w:r>
      <w:hyperlink r:id="rId11">
        <w:r w:rsidRPr="00624696">
          <w:rPr>
            <w:spacing w:val="-1"/>
            <w:sz w:val="16"/>
            <w:u w:val="single"/>
            <w:lang w:val="es-AR"/>
          </w:rPr>
          <w:t>https://sidra.ibge.gov.br/tabela/2093#/n1/all/n6/2928703/v/allxp/p/last%201/c86/all/c2/0/c1/0/c58/0/d/v93%20</w:t>
        </w:r>
      </w:hyperlink>
      <w:r w:rsidRPr="00624696">
        <w:rPr>
          <w:spacing w:val="-1"/>
          <w:sz w:val="16"/>
          <w:lang w:val="es-AR"/>
        </w:rPr>
        <w:t xml:space="preserve"> </w:t>
      </w:r>
      <w:hyperlink r:id="rId12">
        <w:r w:rsidRPr="00624696">
          <w:rPr>
            <w:sz w:val="16"/>
            <w:u w:val="single"/>
            <w:lang w:val="es-AR"/>
          </w:rPr>
          <w:t>0/l/v,p+c86+c2,t+c1+c58/resultado</w:t>
        </w:r>
      </w:hyperlink>
      <w:r w:rsidRPr="00624696">
        <w:rPr>
          <w:sz w:val="16"/>
          <w:lang w:val="es-AR"/>
        </w:rPr>
        <w:t>.</w:t>
      </w:r>
    </w:p>
    <w:p w14:paraId="553A4C83" w14:textId="77777777" w:rsidR="00467FCA" w:rsidRPr="00624696" w:rsidRDefault="001B68EB">
      <w:pPr>
        <w:tabs>
          <w:tab w:val="left" w:pos="839"/>
        </w:tabs>
        <w:ind w:left="119" w:right="129"/>
        <w:rPr>
          <w:sz w:val="16"/>
          <w:lang w:val="es-AR"/>
        </w:rPr>
      </w:pPr>
      <w:bookmarkStart w:id="114" w:name="_bookmark90"/>
      <w:bookmarkEnd w:id="114"/>
      <w:r w:rsidRPr="00624696">
        <w:rPr>
          <w:position w:val="6"/>
          <w:sz w:val="10"/>
          <w:lang w:val="es-AR"/>
        </w:rPr>
        <w:t>67</w:t>
      </w:r>
      <w:r w:rsidRPr="00624696">
        <w:rPr>
          <w:position w:val="6"/>
          <w:sz w:val="10"/>
          <w:lang w:val="es-AR"/>
        </w:rPr>
        <w:tab/>
      </w:r>
      <w:r w:rsidRPr="00624696">
        <w:rPr>
          <w:sz w:val="16"/>
          <w:lang w:val="es-AR"/>
        </w:rPr>
        <w:t>El salario mínimo en 1998 correspondía a R$ 130.00 (ciento treinta reales) mensuales, lo que equ</w:t>
      </w:r>
      <w:r w:rsidRPr="00624696">
        <w:rPr>
          <w:sz w:val="16"/>
          <w:lang w:val="es-AR"/>
        </w:rPr>
        <w:t>ivalía a USD 104.00 (ciento cuatro dólares</w:t>
      </w:r>
      <w:r w:rsidRPr="00624696">
        <w:rPr>
          <w:spacing w:val="-3"/>
          <w:sz w:val="16"/>
          <w:lang w:val="es-AR"/>
        </w:rPr>
        <w:t xml:space="preserve"> </w:t>
      </w:r>
      <w:r w:rsidRPr="00624696">
        <w:rPr>
          <w:sz w:val="16"/>
          <w:lang w:val="es-AR"/>
        </w:rPr>
        <w:t>estadounidenses).</w:t>
      </w:r>
    </w:p>
    <w:p w14:paraId="38962571" w14:textId="77777777" w:rsidR="00467FCA" w:rsidRPr="00624696" w:rsidRDefault="001B68EB">
      <w:pPr>
        <w:tabs>
          <w:tab w:val="left" w:pos="839"/>
        </w:tabs>
        <w:ind w:left="120"/>
        <w:rPr>
          <w:i/>
          <w:sz w:val="16"/>
          <w:lang w:val="es-AR"/>
        </w:rPr>
      </w:pPr>
      <w:bookmarkStart w:id="115" w:name="_bookmark91"/>
      <w:bookmarkEnd w:id="115"/>
      <w:r w:rsidRPr="00624696">
        <w:rPr>
          <w:position w:val="6"/>
          <w:sz w:val="10"/>
          <w:lang w:val="es-AR"/>
        </w:rPr>
        <w:t>68</w:t>
      </w:r>
      <w:r w:rsidRPr="00624696">
        <w:rPr>
          <w:position w:val="6"/>
          <w:sz w:val="10"/>
          <w:lang w:val="es-AR"/>
        </w:rPr>
        <w:tab/>
      </w:r>
      <w:r w:rsidRPr="00624696">
        <w:rPr>
          <w:i/>
          <w:sz w:val="16"/>
          <w:lang w:val="es-AR"/>
        </w:rPr>
        <w:t xml:space="preserve">Cfr. Amicus curiae </w:t>
      </w:r>
      <w:r w:rsidRPr="00624696">
        <w:rPr>
          <w:sz w:val="16"/>
          <w:lang w:val="es-AR"/>
        </w:rPr>
        <w:t>de la Clínica de Derechos Humanos de la Universidad de Bahia</w:t>
      </w:r>
      <w:r w:rsidRPr="00624696">
        <w:rPr>
          <w:i/>
          <w:sz w:val="16"/>
          <w:lang w:val="es-AR"/>
        </w:rPr>
        <w:t>,</w:t>
      </w:r>
      <w:r w:rsidRPr="00624696">
        <w:rPr>
          <w:i/>
          <w:spacing w:val="-14"/>
          <w:sz w:val="16"/>
          <w:lang w:val="es-AR"/>
        </w:rPr>
        <w:t xml:space="preserve"> </w:t>
      </w:r>
      <w:r w:rsidRPr="00624696">
        <w:rPr>
          <w:i/>
          <w:sz w:val="16"/>
          <w:lang w:val="es-AR"/>
        </w:rPr>
        <w:t>supra.</w:t>
      </w:r>
    </w:p>
    <w:p w14:paraId="73273072" w14:textId="77777777" w:rsidR="00467FCA" w:rsidRPr="00624696" w:rsidRDefault="00467FCA">
      <w:pPr>
        <w:rPr>
          <w:sz w:val="16"/>
          <w:lang w:val="es-AR"/>
        </w:rPr>
        <w:sectPr w:rsidR="00467FCA" w:rsidRPr="00624696">
          <w:pgSz w:w="12240" w:h="15840"/>
          <w:pgMar w:top="1360" w:right="1320" w:bottom="1220" w:left="1320" w:header="0" w:footer="1037" w:gutter="0"/>
          <w:cols w:space="720"/>
        </w:sectPr>
      </w:pPr>
    </w:p>
    <w:p w14:paraId="417A81CC" w14:textId="77777777" w:rsidR="00467FCA" w:rsidRPr="00624696" w:rsidRDefault="001B68EB">
      <w:pPr>
        <w:pStyle w:val="Textoindependiente"/>
        <w:spacing w:before="80"/>
        <w:ind w:left="119" w:right="117"/>
        <w:jc w:val="both"/>
        <w:rPr>
          <w:lang w:val="es-AR"/>
        </w:rPr>
      </w:pPr>
      <w:r>
        <w:pict w14:anchorId="4A637D7E">
          <v:shapetype id="_x0000_t202" coordsize="21600,21600" o:spt="202" path="m,l,21600r21600,l21600,xe">
            <v:stroke joinstyle="miter"/>
            <v:path gradientshapeok="t" o:connecttype="rect"/>
          </v:shapetype>
          <v:shape id="_x0000_s1180" type="#_x0000_t202" style="position:absolute;left:0;text-align:left;margin-left:475.8pt;margin-top:37.45pt;width:2.55pt;height:1pt;z-index:-258927616;mso-position-horizontal-relative:page" filled="f" stroked="f">
            <v:textbox inset="0,0,0,0">
              <w:txbxContent>
                <w:p w14:paraId="59948F8B" w14:textId="77777777" w:rsidR="00467FCA" w:rsidRDefault="001B68EB">
                  <w:pPr>
                    <w:spacing w:before="3"/>
                    <w:rPr>
                      <w:rFonts w:ascii="ZWAdobeF"/>
                      <w:i/>
                      <w:sz w:val="2"/>
                    </w:rPr>
                  </w:pPr>
                  <w:r>
                    <w:rPr>
                      <w:rFonts w:ascii="ZWAdobeF"/>
                      <w:i/>
                      <w:w w:val="96"/>
                      <w:sz w:val="2"/>
                    </w:rPr>
                    <w:t>69</w:t>
                  </w:r>
                  <w:r>
                    <w:rPr>
                      <w:rFonts w:ascii="ZWAdobeF"/>
                      <w:i/>
                      <w:spacing w:val="-7"/>
                      <w:sz w:val="2"/>
                    </w:rPr>
                    <w:t xml:space="preserve"> </w:t>
                  </w:r>
                  <w:r>
                    <w:rPr>
                      <w:rFonts w:ascii="ZWAdobeF"/>
                      <w:i/>
                      <w:w w:val="96"/>
                      <w:sz w:val="2"/>
                    </w:rPr>
                    <w:t>F</w:t>
                  </w:r>
                </w:p>
              </w:txbxContent>
            </v:textbox>
            <w10:wrap anchorx="page"/>
          </v:shape>
        </w:pict>
      </w:r>
      <w:r w:rsidRPr="00624696">
        <w:rPr>
          <w:lang w:val="es-AR"/>
        </w:rPr>
        <w:t>como la producción de fuegos artificiales</w:t>
      </w:r>
      <w:hyperlink w:anchor="_bookmark93" w:history="1">
        <w:r w:rsidRPr="00624696">
          <w:rPr>
            <w:position w:val="7"/>
            <w:sz w:val="13"/>
            <w:lang w:val="es-AR"/>
          </w:rPr>
          <w:t>69</w:t>
        </w:r>
      </w:hyperlink>
      <w:r w:rsidRPr="00624696">
        <w:rPr>
          <w:lang w:val="es-AR"/>
        </w:rPr>
        <w:t xml:space="preserve">. Al respecto, el Estado reconoció, en la audiencia celebrada el 19 de octubre de 2006 ante la Comisión, que “hay mucha pobreza en Santo Antônio de Jesus, por lo que muchas familias </w:t>
      </w:r>
      <w:r w:rsidRPr="00624696">
        <w:rPr>
          <w:lang w:val="es-AR"/>
        </w:rPr>
        <w:t xml:space="preserve">trabajan en fábricas clandestinas” </w:t>
      </w:r>
      <w:r w:rsidRPr="00624696">
        <w:rPr>
          <w:position w:val="7"/>
          <w:sz w:val="13"/>
          <w:lang w:val="es-AR"/>
        </w:rPr>
        <w:t>70</w:t>
      </w:r>
      <w:r w:rsidRPr="00624696">
        <w:rPr>
          <w:lang w:val="es-AR"/>
        </w:rPr>
        <w:t>.</w:t>
      </w:r>
    </w:p>
    <w:p w14:paraId="13D236AB" w14:textId="77777777" w:rsidR="00467FCA" w:rsidRPr="00624696" w:rsidRDefault="00467FCA">
      <w:pPr>
        <w:pStyle w:val="Textoindependiente"/>
        <w:rPr>
          <w:lang w:val="es-AR"/>
        </w:rPr>
      </w:pPr>
    </w:p>
    <w:p w14:paraId="02880382" w14:textId="77777777" w:rsidR="00467FCA" w:rsidRPr="00624696" w:rsidRDefault="001B68EB">
      <w:pPr>
        <w:pStyle w:val="Prrafodelista"/>
        <w:numPr>
          <w:ilvl w:val="0"/>
          <w:numId w:val="50"/>
        </w:numPr>
        <w:tabs>
          <w:tab w:val="left" w:pos="687"/>
        </w:tabs>
        <w:ind w:left="118" w:right="117" w:firstLine="2"/>
        <w:jc w:val="both"/>
        <w:rPr>
          <w:sz w:val="20"/>
          <w:lang w:val="es-AR"/>
        </w:rPr>
      </w:pPr>
      <w:r w:rsidRPr="00624696">
        <w:rPr>
          <w:sz w:val="20"/>
          <w:lang w:val="es-AR"/>
        </w:rPr>
        <w:t>Datos extraídos del Atlas del Desarrollo Humano en Brasil, referidos al año 2000, dos años después de que sucedieron los hechos del presente caso, muestran una situación de vulnerabilidad social en el municipio de Sa</w:t>
      </w:r>
      <w:r w:rsidRPr="00624696">
        <w:rPr>
          <w:sz w:val="20"/>
          <w:lang w:val="es-AR"/>
        </w:rPr>
        <w:t>nto Antônio de Jesus. En este contexto, el 65%</w:t>
      </w:r>
      <w:r w:rsidRPr="00624696">
        <w:rPr>
          <w:spacing w:val="-40"/>
          <w:sz w:val="20"/>
          <w:lang w:val="es-AR"/>
        </w:rPr>
        <w:t xml:space="preserve"> </w:t>
      </w:r>
      <w:r w:rsidRPr="00624696">
        <w:rPr>
          <w:sz w:val="20"/>
          <w:lang w:val="es-AR"/>
        </w:rPr>
        <w:t>de la población estaba compuesta por personas vulnerables a la pobreza y el 25,51% de las niñas</w:t>
      </w:r>
      <w:r w:rsidRPr="00624696">
        <w:rPr>
          <w:spacing w:val="-9"/>
          <w:sz w:val="20"/>
          <w:lang w:val="es-AR"/>
        </w:rPr>
        <w:t xml:space="preserve"> </w:t>
      </w:r>
      <w:r w:rsidRPr="00624696">
        <w:rPr>
          <w:sz w:val="20"/>
          <w:lang w:val="es-AR"/>
        </w:rPr>
        <w:t>y</w:t>
      </w:r>
      <w:r w:rsidRPr="00624696">
        <w:rPr>
          <w:spacing w:val="-8"/>
          <w:sz w:val="20"/>
          <w:lang w:val="es-AR"/>
        </w:rPr>
        <w:t xml:space="preserve"> </w:t>
      </w:r>
      <w:r w:rsidRPr="00624696">
        <w:rPr>
          <w:sz w:val="20"/>
          <w:lang w:val="es-AR"/>
        </w:rPr>
        <w:t>los</w:t>
      </w:r>
      <w:r w:rsidRPr="00624696">
        <w:rPr>
          <w:spacing w:val="-6"/>
          <w:sz w:val="20"/>
          <w:lang w:val="es-AR"/>
        </w:rPr>
        <w:t xml:space="preserve"> </w:t>
      </w:r>
      <w:r w:rsidRPr="00624696">
        <w:rPr>
          <w:sz w:val="20"/>
          <w:lang w:val="es-AR"/>
        </w:rPr>
        <w:t>niños</w:t>
      </w:r>
      <w:r w:rsidRPr="00624696">
        <w:rPr>
          <w:spacing w:val="-6"/>
          <w:sz w:val="20"/>
          <w:lang w:val="es-AR"/>
        </w:rPr>
        <w:t xml:space="preserve"> </w:t>
      </w:r>
      <w:r w:rsidRPr="00624696">
        <w:rPr>
          <w:sz w:val="20"/>
          <w:lang w:val="es-AR"/>
        </w:rPr>
        <w:t>vivían</w:t>
      </w:r>
      <w:r w:rsidRPr="00624696">
        <w:rPr>
          <w:spacing w:val="-2"/>
          <w:sz w:val="20"/>
          <w:lang w:val="es-AR"/>
        </w:rPr>
        <w:t xml:space="preserve"> </w:t>
      </w:r>
      <w:r w:rsidRPr="00624696">
        <w:rPr>
          <w:sz w:val="20"/>
          <w:lang w:val="es-AR"/>
        </w:rPr>
        <w:t>en</w:t>
      </w:r>
      <w:r w:rsidRPr="00624696">
        <w:rPr>
          <w:spacing w:val="-6"/>
          <w:sz w:val="20"/>
          <w:lang w:val="es-AR"/>
        </w:rPr>
        <w:t xml:space="preserve"> </w:t>
      </w:r>
      <w:r w:rsidRPr="00624696">
        <w:rPr>
          <w:sz w:val="20"/>
          <w:lang w:val="es-AR"/>
        </w:rPr>
        <w:t>condiciones</w:t>
      </w:r>
      <w:r w:rsidRPr="00624696">
        <w:rPr>
          <w:spacing w:val="-6"/>
          <w:sz w:val="20"/>
          <w:lang w:val="es-AR"/>
        </w:rPr>
        <w:t xml:space="preserve"> </w:t>
      </w:r>
      <w:r w:rsidRPr="00624696">
        <w:rPr>
          <w:sz w:val="20"/>
          <w:lang w:val="es-AR"/>
        </w:rPr>
        <w:t>de</w:t>
      </w:r>
      <w:r w:rsidRPr="00624696">
        <w:rPr>
          <w:spacing w:val="-7"/>
          <w:sz w:val="20"/>
          <w:lang w:val="es-AR"/>
        </w:rPr>
        <w:t xml:space="preserve"> </w:t>
      </w:r>
      <w:r w:rsidRPr="00624696">
        <w:rPr>
          <w:sz w:val="20"/>
          <w:lang w:val="es-AR"/>
        </w:rPr>
        <w:t>pobreza</w:t>
      </w:r>
      <w:r w:rsidRPr="00624696">
        <w:rPr>
          <w:spacing w:val="-8"/>
          <w:sz w:val="20"/>
          <w:lang w:val="es-AR"/>
        </w:rPr>
        <w:t xml:space="preserve"> </w:t>
      </w:r>
      <w:r w:rsidRPr="00624696">
        <w:rPr>
          <w:sz w:val="20"/>
          <w:lang w:val="es-AR"/>
        </w:rPr>
        <w:t>extrema.</w:t>
      </w:r>
      <w:r w:rsidRPr="00624696">
        <w:rPr>
          <w:spacing w:val="-6"/>
          <w:sz w:val="20"/>
          <w:lang w:val="es-AR"/>
        </w:rPr>
        <w:t xml:space="preserve"> </w:t>
      </w:r>
      <w:r w:rsidRPr="00624696">
        <w:rPr>
          <w:sz w:val="20"/>
          <w:lang w:val="es-AR"/>
        </w:rPr>
        <w:t>Asimismo,</w:t>
      </w:r>
      <w:r w:rsidRPr="00624696">
        <w:rPr>
          <w:spacing w:val="-4"/>
          <w:sz w:val="20"/>
          <w:lang w:val="es-AR"/>
        </w:rPr>
        <w:t xml:space="preserve"> </w:t>
      </w:r>
      <w:r w:rsidRPr="00624696">
        <w:rPr>
          <w:sz w:val="20"/>
          <w:lang w:val="es-AR"/>
        </w:rPr>
        <w:t>aunque</w:t>
      </w:r>
      <w:r w:rsidRPr="00624696">
        <w:rPr>
          <w:spacing w:val="-8"/>
          <w:sz w:val="20"/>
          <w:lang w:val="es-AR"/>
        </w:rPr>
        <w:t xml:space="preserve"> </w:t>
      </w:r>
      <w:r w:rsidRPr="00624696">
        <w:rPr>
          <w:sz w:val="20"/>
          <w:lang w:val="es-AR"/>
        </w:rPr>
        <w:t>el</w:t>
      </w:r>
      <w:r w:rsidRPr="00624696">
        <w:rPr>
          <w:spacing w:val="-5"/>
          <w:sz w:val="20"/>
          <w:lang w:val="es-AR"/>
        </w:rPr>
        <w:t xml:space="preserve"> </w:t>
      </w:r>
      <w:r w:rsidRPr="00624696">
        <w:rPr>
          <w:sz w:val="20"/>
          <w:lang w:val="es-AR"/>
        </w:rPr>
        <w:t>69%</w:t>
      </w:r>
      <w:r w:rsidRPr="00624696">
        <w:rPr>
          <w:spacing w:val="-7"/>
          <w:sz w:val="20"/>
          <w:lang w:val="es-AR"/>
        </w:rPr>
        <w:t xml:space="preserve"> </w:t>
      </w:r>
      <w:r w:rsidRPr="00624696">
        <w:rPr>
          <w:sz w:val="20"/>
          <w:lang w:val="es-AR"/>
        </w:rPr>
        <w:t>de</w:t>
      </w:r>
      <w:r w:rsidRPr="00624696">
        <w:rPr>
          <w:spacing w:val="-7"/>
          <w:sz w:val="20"/>
          <w:lang w:val="es-AR"/>
        </w:rPr>
        <w:t xml:space="preserve"> </w:t>
      </w:r>
      <w:r w:rsidRPr="00624696">
        <w:rPr>
          <w:sz w:val="20"/>
          <w:lang w:val="es-AR"/>
        </w:rPr>
        <w:t>las personas mayores de 18 años estaban empleadas, el 58% de este grupo estaba involucrado en un trabajo informal y</w:t>
      </w:r>
      <w:r w:rsidRPr="00624696">
        <w:rPr>
          <w:spacing w:val="-2"/>
          <w:sz w:val="20"/>
          <w:lang w:val="es-AR"/>
        </w:rPr>
        <w:t xml:space="preserve"> </w:t>
      </w:r>
      <w:r w:rsidRPr="00624696">
        <w:rPr>
          <w:sz w:val="20"/>
          <w:lang w:val="es-AR"/>
        </w:rPr>
        <w:t>precario</w:t>
      </w:r>
      <w:hyperlink w:anchor="_bookmark94" w:history="1">
        <w:r w:rsidRPr="00624696">
          <w:rPr>
            <w:position w:val="7"/>
            <w:sz w:val="13"/>
            <w:lang w:val="es-AR"/>
          </w:rPr>
          <w:t>71</w:t>
        </w:r>
      </w:hyperlink>
      <w:r w:rsidRPr="00624696">
        <w:rPr>
          <w:sz w:val="20"/>
          <w:lang w:val="es-AR"/>
        </w:rPr>
        <w:t>.</w:t>
      </w:r>
    </w:p>
    <w:p w14:paraId="36FB4D59" w14:textId="77777777" w:rsidR="00467FCA" w:rsidRPr="00624696" w:rsidRDefault="00467FCA">
      <w:pPr>
        <w:pStyle w:val="Textoindependiente"/>
        <w:spacing w:before="11"/>
        <w:rPr>
          <w:sz w:val="19"/>
          <w:lang w:val="es-AR"/>
        </w:rPr>
      </w:pPr>
    </w:p>
    <w:p w14:paraId="61D30EDF" w14:textId="77777777" w:rsidR="00467FCA" w:rsidRPr="00624696" w:rsidRDefault="001B68EB">
      <w:pPr>
        <w:pStyle w:val="Ttulo2"/>
        <w:numPr>
          <w:ilvl w:val="1"/>
          <w:numId w:val="45"/>
        </w:numPr>
        <w:tabs>
          <w:tab w:val="left" w:pos="1284"/>
        </w:tabs>
        <w:spacing w:before="1"/>
        <w:ind w:right="120" w:firstLine="0"/>
        <w:rPr>
          <w:lang w:val="es-AR"/>
        </w:rPr>
      </w:pPr>
      <w:bookmarkStart w:id="116" w:name="A.2_La_producción_de_fuegos_artificiales"/>
      <w:bookmarkStart w:id="117" w:name="_bookmark92"/>
      <w:bookmarkEnd w:id="116"/>
      <w:bookmarkEnd w:id="117"/>
      <w:r w:rsidRPr="00624696">
        <w:rPr>
          <w:lang w:val="es-AR"/>
        </w:rPr>
        <w:t xml:space="preserve">La producción de fuegos artificiales en el municipio de Santo Antônio de </w:t>
      </w:r>
      <w:r w:rsidRPr="00624696">
        <w:rPr>
          <w:lang w:val="es-AR"/>
        </w:rPr>
        <w:t>Jesus</w:t>
      </w:r>
    </w:p>
    <w:p w14:paraId="78EE730D" w14:textId="77777777" w:rsidR="00467FCA" w:rsidRPr="00624696" w:rsidRDefault="00467FCA">
      <w:pPr>
        <w:pStyle w:val="Textoindependiente"/>
        <w:rPr>
          <w:b/>
          <w:i/>
          <w:lang w:val="es-AR"/>
        </w:rPr>
      </w:pPr>
    </w:p>
    <w:p w14:paraId="6EC0A518" w14:textId="77777777" w:rsidR="00467FCA" w:rsidRPr="00624696" w:rsidRDefault="001B68EB">
      <w:pPr>
        <w:pStyle w:val="Prrafodelista"/>
        <w:numPr>
          <w:ilvl w:val="0"/>
          <w:numId w:val="50"/>
        </w:numPr>
        <w:tabs>
          <w:tab w:val="left" w:pos="687"/>
        </w:tabs>
        <w:ind w:right="116" w:hanging="1"/>
        <w:jc w:val="both"/>
        <w:rPr>
          <w:sz w:val="20"/>
          <w:lang w:val="es-AR"/>
        </w:rPr>
      </w:pPr>
      <w:r w:rsidRPr="00624696">
        <w:rPr>
          <w:sz w:val="20"/>
          <w:lang w:val="es-AR"/>
        </w:rPr>
        <w:t>Brasil ocupa act</w:t>
      </w:r>
      <w:r w:rsidRPr="00624696">
        <w:rPr>
          <w:sz w:val="20"/>
          <w:lang w:val="es-AR"/>
        </w:rPr>
        <w:t>ualmente el segundo lugar en la producción mundial de fuegos artificiales después de China</w:t>
      </w:r>
      <w:hyperlink w:anchor="_bookmark95" w:history="1">
        <w:r w:rsidRPr="00624696">
          <w:rPr>
            <w:position w:val="7"/>
            <w:sz w:val="13"/>
            <w:lang w:val="es-AR"/>
          </w:rPr>
          <w:t>72</w:t>
        </w:r>
      </w:hyperlink>
      <w:r w:rsidRPr="00624696">
        <w:rPr>
          <w:sz w:val="20"/>
          <w:lang w:val="es-AR"/>
        </w:rPr>
        <w:t>, y Santo Antônio de Jesus es la segunda ciudad con mayor producción en Brasil</w:t>
      </w:r>
      <w:hyperlink w:anchor="_bookmark96" w:history="1">
        <w:r w:rsidRPr="00624696">
          <w:rPr>
            <w:position w:val="7"/>
            <w:sz w:val="13"/>
            <w:lang w:val="es-AR"/>
          </w:rPr>
          <w:t>73</w:t>
        </w:r>
      </w:hyperlink>
      <w:r w:rsidRPr="00624696">
        <w:rPr>
          <w:position w:val="7"/>
          <w:sz w:val="13"/>
          <w:lang w:val="es-AR"/>
        </w:rPr>
        <w:t xml:space="preserve"> </w:t>
      </w:r>
      <w:r w:rsidRPr="00624696">
        <w:rPr>
          <w:sz w:val="20"/>
          <w:lang w:val="es-AR"/>
        </w:rPr>
        <w:t>y el polo de producci</w:t>
      </w:r>
      <w:r w:rsidRPr="00624696">
        <w:rPr>
          <w:sz w:val="20"/>
          <w:lang w:val="es-AR"/>
        </w:rPr>
        <w:t>ón más importante del nordeste del país</w:t>
      </w:r>
      <w:hyperlink w:anchor="_bookmark97" w:history="1">
        <w:r w:rsidRPr="00624696">
          <w:rPr>
            <w:position w:val="7"/>
            <w:sz w:val="13"/>
            <w:lang w:val="es-AR"/>
          </w:rPr>
          <w:t>74</w:t>
        </w:r>
      </w:hyperlink>
      <w:r w:rsidRPr="00624696">
        <w:rPr>
          <w:sz w:val="20"/>
          <w:lang w:val="es-AR"/>
        </w:rPr>
        <w:t>. No obstante, esta producción se caracteriza por la participación de trabajadoras y trabajadores en un alto grado de informalidad</w:t>
      </w:r>
      <w:hyperlink w:anchor="_bookmark98" w:history="1">
        <w:r w:rsidRPr="00624696">
          <w:rPr>
            <w:position w:val="7"/>
            <w:sz w:val="13"/>
            <w:lang w:val="es-AR"/>
          </w:rPr>
          <w:t>75</w:t>
        </w:r>
      </w:hyperlink>
      <w:r w:rsidRPr="00624696">
        <w:rPr>
          <w:sz w:val="20"/>
          <w:lang w:val="es-AR"/>
        </w:rPr>
        <w:t>. No se sabe exactame</w:t>
      </w:r>
      <w:r w:rsidRPr="00624696">
        <w:rPr>
          <w:sz w:val="20"/>
          <w:lang w:val="es-AR"/>
        </w:rPr>
        <w:t>nte cuándo inició la producción masiva de fuegos artificiales en la ciudad. Sin embargo, existen documentos del año 1603 que vinculan a la ciudad con la producción de fuegos artificiales, debido a la celebración de fiestas</w:t>
      </w:r>
      <w:r w:rsidRPr="00624696">
        <w:rPr>
          <w:spacing w:val="-5"/>
          <w:sz w:val="20"/>
          <w:lang w:val="es-AR"/>
        </w:rPr>
        <w:t xml:space="preserve"> </w:t>
      </w:r>
      <w:r w:rsidRPr="00624696">
        <w:rPr>
          <w:sz w:val="20"/>
          <w:lang w:val="es-AR"/>
        </w:rPr>
        <w:t>religiosas</w:t>
      </w:r>
      <w:r w:rsidRPr="00624696">
        <w:rPr>
          <w:spacing w:val="-2"/>
          <w:sz w:val="20"/>
          <w:lang w:val="es-AR"/>
        </w:rPr>
        <w:t xml:space="preserve"> </w:t>
      </w:r>
      <w:r w:rsidRPr="00624696">
        <w:rPr>
          <w:sz w:val="20"/>
          <w:lang w:val="es-AR"/>
        </w:rPr>
        <w:t>relacionadas</w:t>
      </w:r>
      <w:r w:rsidRPr="00624696">
        <w:rPr>
          <w:spacing w:val="-6"/>
          <w:sz w:val="20"/>
          <w:lang w:val="es-AR"/>
        </w:rPr>
        <w:t xml:space="preserve"> </w:t>
      </w:r>
      <w:r w:rsidRPr="00624696">
        <w:rPr>
          <w:sz w:val="20"/>
          <w:lang w:val="es-AR"/>
        </w:rPr>
        <w:t>con</w:t>
      </w:r>
      <w:r w:rsidRPr="00624696">
        <w:rPr>
          <w:spacing w:val="-4"/>
          <w:sz w:val="20"/>
          <w:lang w:val="es-AR"/>
        </w:rPr>
        <w:t xml:space="preserve"> </w:t>
      </w:r>
      <w:r w:rsidRPr="00624696">
        <w:rPr>
          <w:sz w:val="20"/>
          <w:lang w:val="es-AR"/>
        </w:rPr>
        <w:t>la</w:t>
      </w:r>
      <w:r w:rsidRPr="00624696">
        <w:rPr>
          <w:spacing w:val="-4"/>
          <w:sz w:val="20"/>
          <w:lang w:val="es-AR"/>
        </w:rPr>
        <w:t xml:space="preserve"> </w:t>
      </w:r>
      <w:r w:rsidRPr="00624696">
        <w:rPr>
          <w:sz w:val="20"/>
          <w:lang w:val="es-AR"/>
        </w:rPr>
        <w:t>Ig</w:t>
      </w:r>
      <w:r w:rsidRPr="00624696">
        <w:rPr>
          <w:sz w:val="20"/>
          <w:lang w:val="es-AR"/>
        </w:rPr>
        <w:t>lesia</w:t>
      </w:r>
      <w:r w:rsidRPr="00624696">
        <w:rPr>
          <w:spacing w:val="-3"/>
          <w:sz w:val="20"/>
          <w:lang w:val="es-AR"/>
        </w:rPr>
        <w:t xml:space="preserve"> </w:t>
      </w:r>
      <w:r w:rsidRPr="00624696">
        <w:rPr>
          <w:sz w:val="20"/>
          <w:lang w:val="es-AR"/>
        </w:rPr>
        <w:t>católica.</w:t>
      </w:r>
      <w:r w:rsidRPr="00624696">
        <w:rPr>
          <w:spacing w:val="-5"/>
          <w:sz w:val="20"/>
          <w:lang w:val="es-AR"/>
        </w:rPr>
        <w:t xml:space="preserve"> </w:t>
      </w:r>
      <w:r w:rsidRPr="00624696">
        <w:rPr>
          <w:sz w:val="20"/>
          <w:lang w:val="es-AR"/>
        </w:rPr>
        <w:t>Hoy</w:t>
      </w:r>
      <w:r w:rsidRPr="00624696">
        <w:rPr>
          <w:spacing w:val="-2"/>
          <w:sz w:val="20"/>
          <w:lang w:val="es-AR"/>
        </w:rPr>
        <w:t xml:space="preserve"> </w:t>
      </w:r>
      <w:r w:rsidRPr="00624696">
        <w:rPr>
          <w:sz w:val="20"/>
          <w:lang w:val="es-AR"/>
        </w:rPr>
        <w:t>en</w:t>
      </w:r>
      <w:r w:rsidRPr="00624696">
        <w:rPr>
          <w:spacing w:val="-4"/>
          <w:sz w:val="20"/>
          <w:lang w:val="es-AR"/>
        </w:rPr>
        <w:t xml:space="preserve"> </w:t>
      </w:r>
      <w:r w:rsidRPr="00624696">
        <w:rPr>
          <w:sz w:val="20"/>
          <w:lang w:val="es-AR"/>
        </w:rPr>
        <w:t>día,</w:t>
      </w:r>
      <w:r w:rsidRPr="00624696">
        <w:rPr>
          <w:spacing w:val="-5"/>
          <w:sz w:val="20"/>
          <w:lang w:val="es-AR"/>
        </w:rPr>
        <w:t xml:space="preserve"> </w:t>
      </w:r>
      <w:r w:rsidRPr="00624696">
        <w:rPr>
          <w:sz w:val="20"/>
          <w:lang w:val="es-AR"/>
        </w:rPr>
        <w:t>la</w:t>
      </w:r>
      <w:r w:rsidRPr="00624696">
        <w:rPr>
          <w:spacing w:val="-5"/>
          <w:sz w:val="20"/>
          <w:lang w:val="es-AR"/>
        </w:rPr>
        <w:t xml:space="preserve"> </w:t>
      </w:r>
      <w:r w:rsidRPr="00624696">
        <w:rPr>
          <w:sz w:val="20"/>
          <w:lang w:val="es-AR"/>
        </w:rPr>
        <w:t>producción</w:t>
      </w:r>
      <w:r w:rsidRPr="00624696">
        <w:rPr>
          <w:spacing w:val="-4"/>
          <w:sz w:val="20"/>
          <w:lang w:val="es-AR"/>
        </w:rPr>
        <w:t xml:space="preserve"> </w:t>
      </w:r>
      <w:r w:rsidRPr="00624696">
        <w:rPr>
          <w:sz w:val="20"/>
          <w:lang w:val="es-AR"/>
        </w:rPr>
        <w:t>pirotécnica</w:t>
      </w:r>
      <w:r w:rsidRPr="00624696">
        <w:rPr>
          <w:spacing w:val="-4"/>
          <w:sz w:val="20"/>
          <w:lang w:val="es-AR"/>
        </w:rPr>
        <w:t xml:space="preserve"> </w:t>
      </w:r>
      <w:r w:rsidRPr="00624696">
        <w:rPr>
          <w:sz w:val="20"/>
          <w:lang w:val="es-AR"/>
        </w:rPr>
        <w:t>se lleva a cabo durante todo el año, pero especialmente para satisfacer las demandas de las festividades de junio y las celebraciones de fin de</w:t>
      </w:r>
      <w:r w:rsidRPr="00624696">
        <w:rPr>
          <w:spacing w:val="-10"/>
          <w:sz w:val="20"/>
          <w:lang w:val="es-AR"/>
        </w:rPr>
        <w:t xml:space="preserve"> </w:t>
      </w:r>
      <w:r w:rsidRPr="00624696">
        <w:rPr>
          <w:spacing w:val="2"/>
          <w:sz w:val="20"/>
          <w:lang w:val="es-AR"/>
        </w:rPr>
        <w:t>año</w:t>
      </w:r>
      <w:hyperlink w:anchor="_bookmark99" w:history="1">
        <w:r w:rsidRPr="00624696">
          <w:rPr>
            <w:spacing w:val="2"/>
            <w:position w:val="7"/>
            <w:sz w:val="13"/>
            <w:lang w:val="es-AR"/>
          </w:rPr>
          <w:t>76</w:t>
        </w:r>
      </w:hyperlink>
      <w:r w:rsidRPr="00624696">
        <w:rPr>
          <w:spacing w:val="2"/>
          <w:sz w:val="20"/>
          <w:lang w:val="es-AR"/>
        </w:rPr>
        <w:t>.</w:t>
      </w:r>
    </w:p>
    <w:p w14:paraId="6F8A6ECB" w14:textId="77777777" w:rsidR="00467FCA" w:rsidRPr="00624696" w:rsidRDefault="00467FCA">
      <w:pPr>
        <w:pStyle w:val="Textoindependiente"/>
        <w:rPr>
          <w:lang w:val="es-AR"/>
        </w:rPr>
      </w:pPr>
    </w:p>
    <w:p w14:paraId="2CC9634C" w14:textId="77777777" w:rsidR="00467FCA" w:rsidRPr="00624696" w:rsidRDefault="001B68EB">
      <w:pPr>
        <w:pStyle w:val="Prrafodelista"/>
        <w:numPr>
          <w:ilvl w:val="0"/>
          <w:numId w:val="50"/>
        </w:numPr>
        <w:tabs>
          <w:tab w:val="left" w:pos="687"/>
        </w:tabs>
        <w:ind w:right="117" w:hanging="1"/>
        <w:jc w:val="both"/>
        <w:rPr>
          <w:sz w:val="20"/>
          <w:lang w:val="es-AR"/>
        </w:rPr>
      </w:pPr>
      <w:r w:rsidRPr="00624696">
        <w:rPr>
          <w:sz w:val="20"/>
          <w:lang w:val="es-AR"/>
        </w:rPr>
        <w:t>A menudo, la fabricación de fuegos artificiales se lleva a cabo en carpas clandestinas e insalubres, ubicadas en regiones periféricas de la ciudad y que carecen de las condiciones mínimas de seguridad requeridas para una a</w:t>
      </w:r>
      <w:r w:rsidRPr="00624696">
        <w:rPr>
          <w:sz w:val="20"/>
          <w:lang w:val="es-AR"/>
        </w:rPr>
        <w:t>ctividad de esta naturaleza. Además de la posibilidad de quemaduras, la actividad pirotécnica conlleva otros riesgos para la salud del trabajador, como lesiones por esfuerzo repetitivo, irritación ocular y de las vías respiratorias superiores y enfermedade</w:t>
      </w:r>
      <w:r w:rsidRPr="00624696">
        <w:rPr>
          <w:sz w:val="20"/>
          <w:lang w:val="es-AR"/>
        </w:rPr>
        <w:t>s</w:t>
      </w:r>
      <w:r w:rsidRPr="00624696">
        <w:rPr>
          <w:spacing w:val="-1"/>
          <w:sz w:val="20"/>
          <w:lang w:val="es-AR"/>
        </w:rPr>
        <w:t xml:space="preserve"> </w:t>
      </w:r>
      <w:r w:rsidRPr="00624696">
        <w:rPr>
          <w:sz w:val="20"/>
          <w:lang w:val="es-AR"/>
        </w:rPr>
        <w:t>pulmonares</w:t>
      </w:r>
      <w:hyperlink w:anchor="_bookmark100" w:history="1">
        <w:r w:rsidRPr="00624696">
          <w:rPr>
            <w:position w:val="7"/>
            <w:sz w:val="13"/>
            <w:lang w:val="es-AR"/>
          </w:rPr>
          <w:t>77</w:t>
        </w:r>
      </w:hyperlink>
      <w:r w:rsidRPr="00624696">
        <w:rPr>
          <w:sz w:val="20"/>
          <w:lang w:val="es-AR"/>
        </w:rPr>
        <w:t>.</w:t>
      </w:r>
    </w:p>
    <w:p w14:paraId="44F336B2" w14:textId="77777777" w:rsidR="00467FCA" w:rsidRPr="00624696" w:rsidRDefault="001B68EB">
      <w:pPr>
        <w:pStyle w:val="Textoindependiente"/>
        <w:spacing w:before="7"/>
        <w:rPr>
          <w:sz w:val="13"/>
          <w:lang w:val="es-AR"/>
        </w:rPr>
      </w:pPr>
      <w:r>
        <w:pict w14:anchorId="65D2200A">
          <v:shape id="_x0000_s1179" style="position:absolute;margin-left:1in;margin-top:10.5pt;width:2in;height:.1pt;z-index:-251641856;mso-wrap-distance-left:0;mso-wrap-distance-right:0;mso-position-horizontal-relative:page" coordorigin="1440,210" coordsize="2880,0" path="m1440,210r2880,e" filled="f" strokeweight=".21131mm">
            <v:path arrowok="t"/>
            <w10:wrap type="topAndBottom" anchorx="page"/>
          </v:shape>
        </w:pict>
      </w:r>
    </w:p>
    <w:p w14:paraId="41862D92" w14:textId="77777777" w:rsidR="00467FCA" w:rsidRPr="00624696" w:rsidRDefault="001B68EB">
      <w:pPr>
        <w:tabs>
          <w:tab w:val="left" w:pos="839"/>
        </w:tabs>
        <w:spacing w:before="74"/>
        <w:ind w:left="119" w:right="116"/>
        <w:jc w:val="both"/>
        <w:rPr>
          <w:sz w:val="16"/>
          <w:lang w:val="es-AR"/>
        </w:rPr>
      </w:pPr>
      <w:bookmarkStart w:id="118" w:name="_bookmark93"/>
      <w:bookmarkEnd w:id="118"/>
      <w:r w:rsidRPr="00624696">
        <w:rPr>
          <w:position w:val="6"/>
          <w:sz w:val="10"/>
          <w:lang w:val="es-AR"/>
        </w:rPr>
        <w:t>69</w:t>
      </w:r>
      <w:r w:rsidRPr="00624696">
        <w:rPr>
          <w:position w:val="6"/>
          <w:sz w:val="10"/>
          <w:lang w:val="es-AR"/>
        </w:rPr>
        <w:tab/>
      </w:r>
      <w:r w:rsidRPr="00624696">
        <w:rPr>
          <w:i/>
          <w:sz w:val="16"/>
          <w:lang w:val="es-AR"/>
        </w:rPr>
        <w:t xml:space="preserve">Cfr. </w:t>
      </w:r>
      <w:r w:rsidRPr="00624696">
        <w:rPr>
          <w:sz w:val="16"/>
          <w:lang w:val="es-AR"/>
        </w:rPr>
        <w:t xml:space="preserve">Atlas del Desarrollo Humano en Brasil. Perfil de Santo Antônio de Jesus, BA. Disponible en: </w:t>
      </w:r>
      <w:hyperlink r:id="rId13">
        <w:r w:rsidRPr="00624696">
          <w:rPr>
            <w:sz w:val="16"/>
            <w:u w:val="single"/>
            <w:lang w:val="es-AR"/>
          </w:rPr>
          <w:t>http://www.atl</w:t>
        </w:r>
        <w:r w:rsidRPr="00624696">
          <w:rPr>
            <w:sz w:val="16"/>
            <w:u w:val="single"/>
            <w:lang w:val="es-AR"/>
          </w:rPr>
          <w:t>asbrasil.org.br/2013/pt/perfil_m/santo-antonio-de-jesus_ba</w:t>
        </w:r>
      </w:hyperlink>
      <w:r w:rsidRPr="00624696">
        <w:rPr>
          <w:sz w:val="16"/>
          <w:lang w:val="es-AR"/>
        </w:rPr>
        <w:t>.</w:t>
      </w:r>
    </w:p>
    <w:p w14:paraId="538F0AE3" w14:textId="77777777" w:rsidR="00467FCA" w:rsidRPr="00624696" w:rsidRDefault="001B68EB">
      <w:pPr>
        <w:tabs>
          <w:tab w:val="left" w:pos="839"/>
        </w:tabs>
        <w:spacing w:line="242" w:lineRule="auto"/>
        <w:ind w:left="119" w:right="113"/>
        <w:jc w:val="both"/>
        <w:rPr>
          <w:sz w:val="16"/>
          <w:lang w:val="es-AR"/>
        </w:rPr>
      </w:pPr>
      <w:r w:rsidRPr="00624696">
        <w:rPr>
          <w:position w:val="6"/>
          <w:sz w:val="10"/>
          <w:lang w:val="es-AR"/>
        </w:rPr>
        <w:t>70</w:t>
      </w:r>
      <w:r w:rsidRPr="00624696">
        <w:rPr>
          <w:position w:val="6"/>
          <w:sz w:val="10"/>
          <w:lang w:val="es-AR"/>
        </w:rPr>
        <w:tab/>
      </w:r>
      <w:r w:rsidRPr="00624696">
        <w:rPr>
          <w:i/>
          <w:sz w:val="16"/>
          <w:lang w:val="es-AR"/>
        </w:rPr>
        <w:t xml:space="preserve">Cfr. </w:t>
      </w:r>
      <w:r w:rsidRPr="00624696">
        <w:rPr>
          <w:sz w:val="16"/>
          <w:lang w:val="es-AR"/>
        </w:rPr>
        <w:t>Manifestación del Estado en la audiencia pública de admisibilidad ante la Comisión Interamericana, el 19 de octubre de 2006 (anexo 4 al Informe de Admisibilidad y Fondo de la Comisión; exp</w:t>
      </w:r>
      <w:r w:rsidRPr="00624696">
        <w:rPr>
          <w:sz w:val="16"/>
          <w:lang w:val="es-AR"/>
        </w:rPr>
        <w:t>ediente de prueba, folio 11), a partir del minuto</w:t>
      </w:r>
      <w:r w:rsidRPr="00624696">
        <w:rPr>
          <w:spacing w:val="-5"/>
          <w:sz w:val="16"/>
          <w:lang w:val="es-AR"/>
        </w:rPr>
        <w:t xml:space="preserve"> </w:t>
      </w:r>
      <w:r w:rsidRPr="00624696">
        <w:rPr>
          <w:sz w:val="16"/>
          <w:lang w:val="es-AR"/>
        </w:rPr>
        <w:t>38:25.</w:t>
      </w:r>
    </w:p>
    <w:p w14:paraId="31A17FEE" w14:textId="77777777" w:rsidR="00467FCA" w:rsidRPr="00624696" w:rsidRDefault="001B68EB">
      <w:pPr>
        <w:tabs>
          <w:tab w:val="left" w:pos="839"/>
        </w:tabs>
        <w:ind w:left="119" w:right="113"/>
        <w:jc w:val="both"/>
        <w:rPr>
          <w:i/>
          <w:sz w:val="16"/>
          <w:lang w:val="es-AR"/>
        </w:rPr>
      </w:pPr>
      <w:bookmarkStart w:id="119" w:name="_bookmark94"/>
      <w:bookmarkEnd w:id="119"/>
      <w:r w:rsidRPr="00624696">
        <w:rPr>
          <w:position w:val="6"/>
          <w:sz w:val="10"/>
          <w:lang w:val="es-AR"/>
        </w:rPr>
        <w:t>71</w:t>
      </w:r>
      <w:r w:rsidRPr="00624696">
        <w:rPr>
          <w:position w:val="6"/>
          <w:sz w:val="10"/>
          <w:lang w:val="es-AR"/>
        </w:rPr>
        <w:tab/>
      </w:r>
      <w:r w:rsidRPr="00624696">
        <w:rPr>
          <w:i/>
          <w:sz w:val="16"/>
          <w:lang w:val="es-AR"/>
        </w:rPr>
        <w:t xml:space="preserve">Cfr. Amicus curiae </w:t>
      </w:r>
      <w:r w:rsidRPr="00624696">
        <w:rPr>
          <w:sz w:val="16"/>
          <w:lang w:val="es-AR"/>
        </w:rPr>
        <w:t xml:space="preserve">de la Clínica de Derechos Humanos de la Escuela de Derecho del Instituto </w:t>
      </w:r>
      <w:r w:rsidRPr="00624696">
        <w:rPr>
          <w:i/>
          <w:sz w:val="16"/>
          <w:lang w:val="es-AR"/>
        </w:rPr>
        <w:t>Brasiliense</w:t>
      </w:r>
      <w:r w:rsidRPr="00624696">
        <w:rPr>
          <w:i/>
          <w:spacing w:val="-38"/>
          <w:sz w:val="16"/>
          <w:lang w:val="es-AR"/>
        </w:rPr>
        <w:t xml:space="preserve"> </w:t>
      </w:r>
      <w:r w:rsidRPr="00624696">
        <w:rPr>
          <w:sz w:val="16"/>
          <w:lang w:val="es-AR"/>
        </w:rPr>
        <w:t>de Derecho</w:t>
      </w:r>
      <w:r w:rsidRPr="00624696">
        <w:rPr>
          <w:spacing w:val="-15"/>
          <w:sz w:val="16"/>
          <w:lang w:val="es-AR"/>
        </w:rPr>
        <w:t xml:space="preserve"> </w:t>
      </w:r>
      <w:r w:rsidRPr="00624696">
        <w:rPr>
          <w:sz w:val="16"/>
          <w:lang w:val="es-AR"/>
        </w:rPr>
        <w:t>Público,</w:t>
      </w:r>
      <w:r w:rsidRPr="00624696">
        <w:rPr>
          <w:spacing w:val="-15"/>
          <w:sz w:val="16"/>
          <w:lang w:val="es-AR"/>
        </w:rPr>
        <w:t xml:space="preserve"> </w:t>
      </w:r>
      <w:r w:rsidRPr="00624696">
        <w:rPr>
          <w:sz w:val="16"/>
          <w:lang w:val="es-AR"/>
        </w:rPr>
        <w:t>presentado</w:t>
      </w:r>
      <w:r w:rsidRPr="00624696">
        <w:rPr>
          <w:spacing w:val="-15"/>
          <w:sz w:val="16"/>
          <w:lang w:val="es-AR"/>
        </w:rPr>
        <w:t xml:space="preserve"> </w:t>
      </w:r>
      <w:r w:rsidRPr="00624696">
        <w:rPr>
          <w:sz w:val="16"/>
          <w:lang w:val="es-AR"/>
        </w:rPr>
        <w:t>el</w:t>
      </w:r>
      <w:r w:rsidRPr="00624696">
        <w:rPr>
          <w:spacing w:val="-13"/>
          <w:sz w:val="16"/>
          <w:lang w:val="es-AR"/>
        </w:rPr>
        <w:t xml:space="preserve"> </w:t>
      </w:r>
      <w:r w:rsidRPr="00624696">
        <w:rPr>
          <w:sz w:val="16"/>
          <w:lang w:val="es-AR"/>
        </w:rPr>
        <w:t>17</w:t>
      </w:r>
      <w:r w:rsidRPr="00624696">
        <w:rPr>
          <w:spacing w:val="-13"/>
          <w:sz w:val="16"/>
          <w:lang w:val="es-AR"/>
        </w:rPr>
        <w:t xml:space="preserve"> </w:t>
      </w:r>
      <w:r w:rsidRPr="00624696">
        <w:rPr>
          <w:sz w:val="16"/>
          <w:lang w:val="es-AR"/>
        </w:rPr>
        <w:t>de</w:t>
      </w:r>
      <w:r w:rsidRPr="00624696">
        <w:rPr>
          <w:spacing w:val="-15"/>
          <w:sz w:val="16"/>
          <w:lang w:val="es-AR"/>
        </w:rPr>
        <w:t xml:space="preserve"> </w:t>
      </w:r>
      <w:r w:rsidRPr="00624696">
        <w:rPr>
          <w:sz w:val="16"/>
          <w:lang w:val="es-AR"/>
        </w:rPr>
        <w:t>febrero</w:t>
      </w:r>
      <w:r w:rsidRPr="00624696">
        <w:rPr>
          <w:spacing w:val="-14"/>
          <w:sz w:val="16"/>
          <w:lang w:val="es-AR"/>
        </w:rPr>
        <w:t xml:space="preserve"> </w:t>
      </w:r>
      <w:r w:rsidRPr="00624696">
        <w:rPr>
          <w:sz w:val="16"/>
          <w:lang w:val="es-AR"/>
        </w:rPr>
        <w:t>de</w:t>
      </w:r>
      <w:r w:rsidRPr="00624696">
        <w:rPr>
          <w:spacing w:val="-14"/>
          <w:sz w:val="16"/>
          <w:lang w:val="es-AR"/>
        </w:rPr>
        <w:t xml:space="preserve"> </w:t>
      </w:r>
      <w:r w:rsidRPr="00624696">
        <w:rPr>
          <w:sz w:val="16"/>
          <w:lang w:val="es-AR"/>
        </w:rPr>
        <w:t>2020</w:t>
      </w:r>
      <w:r w:rsidRPr="00624696">
        <w:rPr>
          <w:spacing w:val="-12"/>
          <w:sz w:val="16"/>
          <w:lang w:val="es-AR"/>
        </w:rPr>
        <w:t xml:space="preserve"> </w:t>
      </w:r>
      <w:r w:rsidRPr="00624696">
        <w:rPr>
          <w:sz w:val="16"/>
          <w:lang w:val="es-AR"/>
        </w:rPr>
        <w:t>(expediente</w:t>
      </w:r>
      <w:r w:rsidRPr="00624696">
        <w:rPr>
          <w:spacing w:val="-12"/>
          <w:sz w:val="16"/>
          <w:lang w:val="es-AR"/>
        </w:rPr>
        <w:t xml:space="preserve"> </w:t>
      </w:r>
      <w:r w:rsidRPr="00624696">
        <w:rPr>
          <w:sz w:val="16"/>
          <w:lang w:val="es-AR"/>
        </w:rPr>
        <w:t>de</w:t>
      </w:r>
      <w:r w:rsidRPr="00624696">
        <w:rPr>
          <w:spacing w:val="-15"/>
          <w:sz w:val="16"/>
          <w:lang w:val="es-AR"/>
        </w:rPr>
        <w:t xml:space="preserve"> </w:t>
      </w:r>
      <w:r w:rsidRPr="00624696">
        <w:rPr>
          <w:sz w:val="16"/>
          <w:lang w:val="es-AR"/>
        </w:rPr>
        <w:t>fondo,</w:t>
      </w:r>
      <w:r w:rsidRPr="00624696">
        <w:rPr>
          <w:spacing w:val="-13"/>
          <w:sz w:val="16"/>
          <w:lang w:val="es-AR"/>
        </w:rPr>
        <w:t xml:space="preserve"> </w:t>
      </w:r>
      <w:r w:rsidRPr="00624696">
        <w:rPr>
          <w:sz w:val="16"/>
          <w:lang w:val="es-AR"/>
        </w:rPr>
        <w:t>folios</w:t>
      </w:r>
      <w:r w:rsidRPr="00624696">
        <w:rPr>
          <w:spacing w:val="-14"/>
          <w:sz w:val="16"/>
          <w:lang w:val="es-AR"/>
        </w:rPr>
        <w:t xml:space="preserve"> </w:t>
      </w:r>
      <w:r w:rsidRPr="00624696">
        <w:rPr>
          <w:sz w:val="16"/>
          <w:lang w:val="es-AR"/>
        </w:rPr>
        <w:t>1076</w:t>
      </w:r>
      <w:r w:rsidRPr="00624696">
        <w:rPr>
          <w:spacing w:val="-15"/>
          <w:sz w:val="16"/>
          <w:lang w:val="es-AR"/>
        </w:rPr>
        <w:t xml:space="preserve"> </w:t>
      </w:r>
      <w:r w:rsidRPr="00624696">
        <w:rPr>
          <w:sz w:val="16"/>
          <w:lang w:val="es-AR"/>
        </w:rPr>
        <w:t>a</w:t>
      </w:r>
      <w:r w:rsidRPr="00624696">
        <w:rPr>
          <w:spacing w:val="-15"/>
          <w:sz w:val="16"/>
          <w:lang w:val="es-AR"/>
        </w:rPr>
        <w:t xml:space="preserve"> </w:t>
      </w:r>
      <w:r w:rsidRPr="00624696">
        <w:rPr>
          <w:sz w:val="16"/>
          <w:lang w:val="es-AR"/>
        </w:rPr>
        <w:t>1104)</w:t>
      </w:r>
      <w:r w:rsidRPr="00624696">
        <w:rPr>
          <w:spacing w:val="-16"/>
          <w:sz w:val="16"/>
          <w:lang w:val="es-AR"/>
        </w:rPr>
        <w:t xml:space="preserve"> </w:t>
      </w:r>
      <w:r w:rsidRPr="00624696">
        <w:rPr>
          <w:sz w:val="16"/>
          <w:lang w:val="es-AR"/>
        </w:rPr>
        <w:t>y</w:t>
      </w:r>
      <w:r w:rsidRPr="00624696">
        <w:rPr>
          <w:spacing w:val="-15"/>
          <w:sz w:val="16"/>
          <w:lang w:val="es-AR"/>
        </w:rPr>
        <w:t xml:space="preserve"> </w:t>
      </w:r>
      <w:r w:rsidRPr="00624696">
        <w:rPr>
          <w:sz w:val="16"/>
          <w:lang w:val="es-AR"/>
        </w:rPr>
        <w:t>Atlas</w:t>
      </w:r>
      <w:r w:rsidRPr="00624696">
        <w:rPr>
          <w:spacing w:val="-12"/>
          <w:sz w:val="16"/>
          <w:lang w:val="es-AR"/>
        </w:rPr>
        <w:t xml:space="preserve"> </w:t>
      </w:r>
      <w:r w:rsidRPr="00624696">
        <w:rPr>
          <w:sz w:val="16"/>
          <w:lang w:val="es-AR"/>
        </w:rPr>
        <w:t>del</w:t>
      </w:r>
      <w:r w:rsidRPr="00624696">
        <w:rPr>
          <w:spacing w:val="-13"/>
          <w:sz w:val="16"/>
          <w:lang w:val="es-AR"/>
        </w:rPr>
        <w:t xml:space="preserve"> </w:t>
      </w:r>
      <w:r w:rsidRPr="00624696">
        <w:rPr>
          <w:sz w:val="16"/>
          <w:lang w:val="es-AR"/>
        </w:rPr>
        <w:t>Desarrollo Humano en Brasil. Perfil de Santo Antônio de Jesus, BA,</w:t>
      </w:r>
      <w:r w:rsidRPr="00624696">
        <w:rPr>
          <w:spacing w:val="-11"/>
          <w:sz w:val="16"/>
          <w:lang w:val="es-AR"/>
        </w:rPr>
        <w:t xml:space="preserve"> </w:t>
      </w:r>
      <w:r w:rsidRPr="00624696">
        <w:rPr>
          <w:i/>
          <w:sz w:val="16"/>
          <w:lang w:val="es-AR"/>
        </w:rPr>
        <w:t>supra.</w:t>
      </w:r>
    </w:p>
    <w:p w14:paraId="1BB5A2A8" w14:textId="77777777" w:rsidR="00467FCA" w:rsidRPr="00624696" w:rsidRDefault="001B68EB">
      <w:pPr>
        <w:tabs>
          <w:tab w:val="left" w:pos="839"/>
        </w:tabs>
        <w:ind w:left="119" w:right="117"/>
        <w:rPr>
          <w:sz w:val="16"/>
          <w:lang w:val="es-AR"/>
        </w:rPr>
      </w:pPr>
      <w:bookmarkStart w:id="120" w:name="_bookmark95"/>
      <w:bookmarkEnd w:id="120"/>
      <w:r w:rsidRPr="00624696">
        <w:rPr>
          <w:position w:val="6"/>
          <w:sz w:val="10"/>
          <w:lang w:val="es-AR"/>
        </w:rPr>
        <w:t>72</w:t>
      </w:r>
      <w:r w:rsidRPr="00624696">
        <w:rPr>
          <w:position w:val="6"/>
          <w:sz w:val="10"/>
          <w:lang w:val="es-AR"/>
        </w:rPr>
        <w:tab/>
      </w:r>
      <w:r w:rsidRPr="00624696">
        <w:rPr>
          <w:i/>
          <w:sz w:val="16"/>
          <w:lang w:val="es-AR"/>
        </w:rPr>
        <w:t xml:space="preserve">Cfr. </w:t>
      </w:r>
      <w:r w:rsidRPr="00624696">
        <w:rPr>
          <w:sz w:val="16"/>
          <w:lang w:val="es-AR"/>
        </w:rPr>
        <w:t xml:space="preserve">Nota de prensa aparecida en el “Russia Beyond” el 21 de enero de 2014 titulada </w:t>
      </w:r>
      <w:r w:rsidRPr="00624696">
        <w:rPr>
          <w:i/>
          <w:sz w:val="16"/>
          <w:lang w:val="es-AR"/>
        </w:rPr>
        <w:t xml:space="preserve">“Para alcanzar líder China, Rusia quiere exportar pirotecnia” </w:t>
      </w:r>
      <w:r w:rsidRPr="00624696">
        <w:rPr>
          <w:sz w:val="16"/>
          <w:lang w:val="es-AR"/>
        </w:rPr>
        <w:t>(expedie</w:t>
      </w:r>
      <w:r w:rsidRPr="00624696">
        <w:rPr>
          <w:sz w:val="16"/>
          <w:lang w:val="es-AR"/>
        </w:rPr>
        <w:t xml:space="preserve">nte de fondo, enlace citado por los representantes en el escrito de solicitudes y argumentos, folio 283). Disponible en: </w:t>
      </w:r>
      <w:hyperlink r:id="rId14">
        <w:r w:rsidRPr="00624696">
          <w:rPr>
            <w:sz w:val="16"/>
            <w:u w:val="single"/>
            <w:lang w:val="es-AR"/>
          </w:rPr>
          <w:t>https://br.r</w:t>
        </w:r>
        <w:r w:rsidRPr="00624696">
          <w:rPr>
            <w:sz w:val="16"/>
            <w:u w:val="single"/>
            <w:lang w:val="es-AR"/>
          </w:rPr>
          <w:t>bth.com/economia/2014/01/21/para_alcancar_lider_china_russia_quer_exportar_pirotecnia_23777</w:t>
        </w:r>
      </w:hyperlink>
      <w:r w:rsidRPr="00624696">
        <w:rPr>
          <w:sz w:val="16"/>
          <w:lang w:val="es-AR"/>
        </w:rPr>
        <w:t>.</w:t>
      </w:r>
    </w:p>
    <w:p w14:paraId="222DCEAA" w14:textId="77777777" w:rsidR="00467FCA" w:rsidRPr="00624696" w:rsidRDefault="001B68EB">
      <w:pPr>
        <w:tabs>
          <w:tab w:val="left" w:pos="839"/>
        </w:tabs>
        <w:ind w:left="119" w:right="115"/>
        <w:rPr>
          <w:sz w:val="16"/>
          <w:lang w:val="es-AR"/>
        </w:rPr>
      </w:pPr>
      <w:bookmarkStart w:id="121" w:name="_bookmark96"/>
      <w:bookmarkEnd w:id="121"/>
      <w:r w:rsidRPr="00624696">
        <w:rPr>
          <w:position w:val="6"/>
          <w:sz w:val="10"/>
          <w:lang w:val="es-AR"/>
        </w:rPr>
        <w:t>73</w:t>
      </w:r>
      <w:r w:rsidRPr="00624696">
        <w:rPr>
          <w:position w:val="6"/>
          <w:sz w:val="10"/>
          <w:lang w:val="es-AR"/>
        </w:rPr>
        <w:tab/>
      </w:r>
      <w:r w:rsidRPr="00624696">
        <w:rPr>
          <w:i/>
          <w:sz w:val="16"/>
          <w:lang w:val="es-AR"/>
        </w:rPr>
        <w:t>Cfr.</w:t>
      </w:r>
      <w:r w:rsidRPr="00624696">
        <w:rPr>
          <w:i/>
          <w:spacing w:val="-7"/>
          <w:sz w:val="16"/>
          <w:lang w:val="es-AR"/>
        </w:rPr>
        <w:t xml:space="preserve"> </w:t>
      </w:r>
      <w:r w:rsidRPr="00624696">
        <w:rPr>
          <w:i/>
          <w:sz w:val="16"/>
          <w:lang w:val="es-AR"/>
        </w:rPr>
        <w:t>Amicus</w:t>
      </w:r>
      <w:r w:rsidRPr="00624696">
        <w:rPr>
          <w:i/>
          <w:spacing w:val="-5"/>
          <w:sz w:val="16"/>
          <w:lang w:val="es-AR"/>
        </w:rPr>
        <w:t xml:space="preserve"> </w:t>
      </w:r>
      <w:r w:rsidRPr="00624696">
        <w:rPr>
          <w:i/>
          <w:sz w:val="16"/>
          <w:lang w:val="es-AR"/>
        </w:rPr>
        <w:t>curiae</w:t>
      </w:r>
      <w:r w:rsidRPr="00624696">
        <w:rPr>
          <w:i/>
          <w:spacing w:val="-6"/>
          <w:sz w:val="16"/>
          <w:lang w:val="es-AR"/>
        </w:rPr>
        <w:t xml:space="preserve"> </w:t>
      </w:r>
      <w:r w:rsidRPr="00624696">
        <w:rPr>
          <w:sz w:val="16"/>
          <w:lang w:val="es-AR"/>
        </w:rPr>
        <w:t>de</w:t>
      </w:r>
      <w:r w:rsidRPr="00624696">
        <w:rPr>
          <w:spacing w:val="-5"/>
          <w:sz w:val="16"/>
          <w:lang w:val="es-AR"/>
        </w:rPr>
        <w:t xml:space="preserve"> </w:t>
      </w:r>
      <w:r w:rsidRPr="00624696">
        <w:rPr>
          <w:sz w:val="16"/>
          <w:lang w:val="es-AR"/>
        </w:rPr>
        <w:t>la</w:t>
      </w:r>
      <w:r w:rsidRPr="00624696">
        <w:rPr>
          <w:spacing w:val="-4"/>
          <w:sz w:val="16"/>
          <w:lang w:val="es-AR"/>
        </w:rPr>
        <w:t xml:space="preserve"> </w:t>
      </w:r>
      <w:r w:rsidRPr="00624696">
        <w:rPr>
          <w:sz w:val="16"/>
          <w:lang w:val="es-AR"/>
        </w:rPr>
        <w:t>Clínica</w:t>
      </w:r>
      <w:r w:rsidRPr="00624696">
        <w:rPr>
          <w:spacing w:val="-3"/>
          <w:sz w:val="16"/>
          <w:lang w:val="es-AR"/>
        </w:rPr>
        <w:t xml:space="preserve"> </w:t>
      </w:r>
      <w:r w:rsidRPr="00624696">
        <w:rPr>
          <w:sz w:val="16"/>
          <w:lang w:val="es-AR"/>
        </w:rPr>
        <w:t>de</w:t>
      </w:r>
      <w:r w:rsidRPr="00624696">
        <w:rPr>
          <w:spacing w:val="-5"/>
          <w:sz w:val="16"/>
          <w:lang w:val="es-AR"/>
        </w:rPr>
        <w:t xml:space="preserve"> </w:t>
      </w:r>
      <w:r w:rsidRPr="00624696">
        <w:rPr>
          <w:sz w:val="16"/>
          <w:lang w:val="es-AR"/>
        </w:rPr>
        <w:t>Derechos</w:t>
      </w:r>
      <w:r w:rsidRPr="00624696">
        <w:rPr>
          <w:spacing w:val="-6"/>
          <w:sz w:val="16"/>
          <w:lang w:val="es-AR"/>
        </w:rPr>
        <w:t xml:space="preserve"> </w:t>
      </w:r>
      <w:r w:rsidRPr="00624696">
        <w:rPr>
          <w:sz w:val="16"/>
          <w:lang w:val="es-AR"/>
        </w:rPr>
        <w:t>Humanos</w:t>
      </w:r>
      <w:r w:rsidRPr="00624696">
        <w:rPr>
          <w:spacing w:val="-7"/>
          <w:sz w:val="16"/>
          <w:lang w:val="es-AR"/>
        </w:rPr>
        <w:t xml:space="preserve"> </w:t>
      </w:r>
      <w:r w:rsidRPr="00624696">
        <w:rPr>
          <w:sz w:val="16"/>
          <w:lang w:val="es-AR"/>
        </w:rPr>
        <w:t>y</w:t>
      </w:r>
      <w:r w:rsidRPr="00624696">
        <w:rPr>
          <w:spacing w:val="-5"/>
          <w:sz w:val="16"/>
          <w:lang w:val="es-AR"/>
        </w:rPr>
        <w:t xml:space="preserve"> </w:t>
      </w:r>
      <w:r w:rsidRPr="00624696">
        <w:rPr>
          <w:sz w:val="16"/>
          <w:lang w:val="es-AR"/>
        </w:rPr>
        <w:t>Derecho</w:t>
      </w:r>
      <w:r w:rsidRPr="00624696">
        <w:rPr>
          <w:spacing w:val="-4"/>
          <w:sz w:val="16"/>
          <w:lang w:val="es-AR"/>
        </w:rPr>
        <w:t xml:space="preserve"> </w:t>
      </w:r>
      <w:r w:rsidRPr="00624696">
        <w:rPr>
          <w:sz w:val="16"/>
          <w:lang w:val="es-AR"/>
        </w:rPr>
        <w:t>Ambiental</w:t>
      </w:r>
      <w:r w:rsidRPr="00624696">
        <w:rPr>
          <w:spacing w:val="-5"/>
          <w:sz w:val="16"/>
          <w:lang w:val="es-AR"/>
        </w:rPr>
        <w:t xml:space="preserve"> </w:t>
      </w:r>
      <w:r w:rsidRPr="00624696">
        <w:rPr>
          <w:sz w:val="16"/>
          <w:lang w:val="es-AR"/>
        </w:rPr>
        <w:t>de</w:t>
      </w:r>
      <w:r w:rsidRPr="00624696">
        <w:rPr>
          <w:spacing w:val="-2"/>
          <w:sz w:val="16"/>
          <w:lang w:val="es-AR"/>
        </w:rPr>
        <w:t xml:space="preserve"> </w:t>
      </w:r>
      <w:r w:rsidRPr="00624696">
        <w:rPr>
          <w:sz w:val="16"/>
          <w:lang w:val="es-AR"/>
        </w:rPr>
        <w:t>la</w:t>
      </w:r>
      <w:r w:rsidRPr="00624696">
        <w:rPr>
          <w:spacing w:val="-6"/>
          <w:sz w:val="16"/>
          <w:lang w:val="es-AR"/>
        </w:rPr>
        <w:t xml:space="preserve"> </w:t>
      </w:r>
      <w:r w:rsidRPr="00624696">
        <w:rPr>
          <w:sz w:val="16"/>
          <w:lang w:val="es-AR"/>
        </w:rPr>
        <w:t>Universidad</w:t>
      </w:r>
      <w:r w:rsidRPr="00624696">
        <w:rPr>
          <w:spacing w:val="-5"/>
          <w:sz w:val="16"/>
          <w:lang w:val="es-AR"/>
        </w:rPr>
        <w:t xml:space="preserve"> </w:t>
      </w:r>
      <w:r w:rsidRPr="00624696">
        <w:rPr>
          <w:sz w:val="16"/>
          <w:lang w:val="es-AR"/>
        </w:rPr>
        <w:t>del</w:t>
      </w:r>
      <w:r w:rsidRPr="00624696">
        <w:rPr>
          <w:spacing w:val="-6"/>
          <w:sz w:val="16"/>
          <w:lang w:val="es-AR"/>
        </w:rPr>
        <w:t xml:space="preserve"> </w:t>
      </w:r>
      <w:r w:rsidRPr="00624696">
        <w:rPr>
          <w:sz w:val="16"/>
          <w:lang w:val="es-AR"/>
        </w:rPr>
        <w:t>Estado</w:t>
      </w:r>
      <w:r w:rsidRPr="00624696">
        <w:rPr>
          <w:spacing w:val="-5"/>
          <w:sz w:val="16"/>
          <w:lang w:val="es-AR"/>
        </w:rPr>
        <w:t xml:space="preserve"> </w:t>
      </w:r>
      <w:r w:rsidRPr="00624696">
        <w:rPr>
          <w:sz w:val="16"/>
          <w:lang w:val="es-AR"/>
        </w:rPr>
        <w:t>de</w:t>
      </w:r>
      <w:bookmarkStart w:id="122" w:name="_bookmark97"/>
      <w:bookmarkEnd w:id="122"/>
      <w:r w:rsidRPr="00624696">
        <w:rPr>
          <w:sz w:val="16"/>
          <w:lang w:val="es-AR"/>
        </w:rPr>
        <w:t xml:space="preserve"> Amazonas, presentado el 15 de febrero de 2020 (expediente de fondo, folios 1106 a</w:t>
      </w:r>
      <w:r w:rsidRPr="00624696">
        <w:rPr>
          <w:spacing w:val="-18"/>
          <w:sz w:val="16"/>
          <w:lang w:val="es-AR"/>
        </w:rPr>
        <w:t xml:space="preserve"> </w:t>
      </w:r>
      <w:r w:rsidRPr="00624696">
        <w:rPr>
          <w:sz w:val="16"/>
          <w:lang w:val="es-AR"/>
        </w:rPr>
        <w:t>1237).</w:t>
      </w:r>
    </w:p>
    <w:p w14:paraId="525E1C1C" w14:textId="77777777" w:rsidR="00467FCA" w:rsidRPr="00624696" w:rsidRDefault="001B68EB">
      <w:pPr>
        <w:tabs>
          <w:tab w:val="left" w:pos="839"/>
        </w:tabs>
        <w:ind w:left="120" w:right="114" w:hanging="1"/>
        <w:jc w:val="both"/>
        <w:rPr>
          <w:sz w:val="16"/>
          <w:lang w:val="es-AR"/>
        </w:rPr>
      </w:pPr>
      <w:r w:rsidRPr="00624696">
        <w:rPr>
          <w:position w:val="6"/>
          <w:sz w:val="10"/>
          <w:lang w:val="es-AR"/>
        </w:rPr>
        <w:t>74</w:t>
      </w:r>
      <w:r w:rsidRPr="00624696">
        <w:rPr>
          <w:position w:val="6"/>
          <w:sz w:val="10"/>
          <w:lang w:val="es-AR"/>
        </w:rPr>
        <w:tab/>
      </w:r>
      <w:r w:rsidRPr="00624696">
        <w:rPr>
          <w:i/>
          <w:sz w:val="16"/>
          <w:lang w:val="es-AR"/>
        </w:rPr>
        <w:t>Cfr.</w:t>
      </w:r>
      <w:r w:rsidRPr="00624696">
        <w:rPr>
          <w:i/>
          <w:spacing w:val="-11"/>
          <w:sz w:val="16"/>
          <w:lang w:val="es-AR"/>
        </w:rPr>
        <w:t xml:space="preserve"> </w:t>
      </w:r>
      <w:r w:rsidRPr="00624696">
        <w:rPr>
          <w:sz w:val="16"/>
          <w:lang w:val="es-AR"/>
        </w:rPr>
        <w:t>BARBOSA</w:t>
      </w:r>
      <w:r w:rsidRPr="00624696">
        <w:rPr>
          <w:spacing w:val="-12"/>
          <w:sz w:val="16"/>
          <w:lang w:val="es-AR"/>
        </w:rPr>
        <w:t xml:space="preserve"> </w:t>
      </w:r>
      <w:r w:rsidRPr="00624696">
        <w:rPr>
          <w:sz w:val="16"/>
          <w:lang w:val="es-AR"/>
        </w:rPr>
        <w:t>JÚNIOR,</w:t>
      </w:r>
      <w:r w:rsidRPr="00624696">
        <w:rPr>
          <w:spacing w:val="-11"/>
          <w:sz w:val="16"/>
          <w:lang w:val="es-AR"/>
        </w:rPr>
        <w:t xml:space="preserve"> </w:t>
      </w:r>
      <w:r w:rsidRPr="00624696">
        <w:rPr>
          <w:sz w:val="16"/>
          <w:lang w:val="es-AR"/>
        </w:rPr>
        <w:t>José</w:t>
      </w:r>
      <w:r w:rsidRPr="00624696">
        <w:rPr>
          <w:spacing w:val="-12"/>
          <w:sz w:val="16"/>
          <w:lang w:val="es-AR"/>
        </w:rPr>
        <w:t xml:space="preserve"> </w:t>
      </w:r>
      <w:r w:rsidRPr="00624696">
        <w:rPr>
          <w:sz w:val="16"/>
          <w:lang w:val="es-AR"/>
        </w:rPr>
        <w:t>Amândio.</w:t>
      </w:r>
      <w:r w:rsidRPr="00624696">
        <w:rPr>
          <w:spacing w:val="-11"/>
          <w:sz w:val="16"/>
          <w:lang w:val="es-AR"/>
        </w:rPr>
        <w:t xml:space="preserve"> </w:t>
      </w:r>
      <w:r w:rsidRPr="00624696">
        <w:rPr>
          <w:i/>
          <w:sz w:val="16"/>
          <w:lang w:val="es-AR"/>
        </w:rPr>
        <w:t>“La</w:t>
      </w:r>
      <w:r w:rsidRPr="00624696">
        <w:rPr>
          <w:i/>
          <w:spacing w:val="-13"/>
          <w:sz w:val="16"/>
          <w:lang w:val="es-AR"/>
        </w:rPr>
        <w:t xml:space="preserve"> </w:t>
      </w:r>
      <w:r w:rsidRPr="00624696">
        <w:rPr>
          <w:i/>
          <w:sz w:val="16"/>
          <w:lang w:val="es-AR"/>
        </w:rPr>
        <w:t>Producción</w:t>
      </w:r>
      <w:r w:rsidRPr="00624696">
        <w:rPr>
          <w:i/>
          <w:spacing w:val="-12"/>
          <w:sz w:val="16"/>
          <w:lang w:val="es-AR"/>
        </w:rPr>
        <w:t xml:space="preserve"> </w:t>
      </w:r>
      <w:r w:rsidRPr="00624696">
        <w:rPr>
          <w:i/>
          <w:sz w:val="16"/>
          <w:lang w:val="es-AR"/>
        </w:rPr>
        <w:t>de</w:t>
      </w:r>
      <w:r w:rsidRPr="00624696">
        <w:rPr>
          <w:i/>
          <w:spacing w:val="-14"/>
          <w:sz w:val="16"/>
          <w:lang w:val="es-AR"/>
        </w:rPr>
        <w:t xml:space="preserve"> </w:t>
      </w:r>
      <w:r w:rsidRPr="00624696">
        <w:rPr>
          <w:i/>
          <w:sz w:val="16"/>
          <w:lang w:val="es-AR"/>
        </w:rPr>
        <w:t>Fuegos</w:t>
      </w:r>
      <w:r w:rsidRPr="00624696">
        <w:rPr>
          <w:i/>
          <w:spacing w:val="-14"/>
          <w:sz w:val="16"/>
          <w:lang w:val="es-AR"/>
        </w:rPr>
        <w:t xml:space="preserve"> </w:t>
      </w:r>
      <w:r w:rsidRPr="00624696">
        <w:rPr>
          <w:i/>
          <w:sz w:val="16"/>
          <w:lang w:val="es-AR"/>
        </w:rPr>
        <w:t>Artificiales</w:t>
      </w:r>
      <w:r w:rsidRPr="00624696">
        <w:rPr>
          <w:i/>
          <w:spacing w:val="-12"/>
          <w:sz w:val="16"/>
          <w:lang w:val="es-AR"/>
        </w:rPr>
        <w:t xml:space="preserve"> </w:t>
      </w:r>
      <w:r w:rsidRPr="00624696">
        <w:rPr>
          <w:i/>
          <w:sz w:val="16"/>
          <w:lang w:val="es-AR"/>
        </w:rPr>
        <w:t>en</w:t>
      </w:r>
      <w:r w:rsidRPr="00624696">
        <w:rPr>
          <w:i/>
          <w:spacing w:val="-13"/>
          <w:sz w:val="16"/>
          <w:lang w:val="es-AR"/>
        </w:rPr>
        <w:t xml:space="preserve"> </w:t>
      </w:r>
      <w:r w:rsidRPr="00624696">
        <w:rPr>
          <w:i/>
          <w:sz w:val="16"/>
          <w:lang w:val="es-AR"/>
        </w:rPr>
        <w:t>el</w:t>
      </w:r>
      <w:r w:rsidRPr="00624696">
        <w:rPr>
          <w:i/>
          <w:spacing w:val="-12"/>
          <w:sz w:val="16"/>
          <w:lang w:val="es-AR"/>
        </w:rPr>
        <w:t xml:space="preserve"> </w:t>
      </w:r>
      <w:r w:rsidRPr="00624696">
        <w:rPr>
          <w:i/>
          <w:sz w:val="16"/>
          <w:lang w:val="es-AR"/>
        </w:rPr>
        <w:t>Municipio</w:t>
      </w:r>
      <w:r w:rsidRPr="00624696">
        <w:rPr>
          <w:i/>
          <w:spacing w:val="-14"/>
          <w:sz w:val="16"/>
          <w:lang w:val="es-AR"/>
        </w:rPr>
        <w:t xml:space="preserve"> </w:t>
      </w:r>
      <w:r w:rsidRPr="00624696">
        <w:rPr>
          <w:i/>
          <w:sz w:val="16"/>
          <w:lang w:val="es-AR"/>
        </w:rPr>
        <w:t>de</w:t>
      </w:r>
      <w:r w:rsidRPr="00624696">
        <w:rPr>
          <w:i/>
          <w:spacing w:val="-12"/>
          <w:sz w:val="16"/>
          <w:lang w:val="es-AR"/>
        </w:rPr>
        <w:t xml:space="preserve"> </w:t>
      </w:r>
      <w:r w:rsidRPr="00624696">
        <w:rPr>
          <w:i/>
          <w:sz w:val="16"/>
          <w:lang w:val="es-AR"/>
        </w:rPr>
        <w:t>Santo</w:t>
      </w:r>
      <w:r w:rsidRPr="00624696">
        <w:rPr>
          <w:i/>
          <w:spacing w:val="-11"/>
          <w:sz w:val="16"/>
          <w:lang w:val="es-AR"/>
        </w:rPr>
        <w:t xml:space="preserve"> </w:t>
      </w:r>
      <w:r w:rsidRPr="00624696">
        <w:rPr>
          <w:i/>
          <w:sz w:val="16"/>
          <w:lang w:val="es-AR"/>
        </w:rPr>
        <w:t>Antônio de</w:t>
      </w:r>
      <w:r w:rsidRPr="00624696">
        <w:rPr>
          <w:i/>
          <w:spacing w:val="-15"/>
          <w:sz w:val="16"/>
          <w:lang w:val="es-AR"/>
        </w:rPr>
        <w:t xml:space="preserve"> </w:t>
      </w:r>
      <w:r w:rsidRPr="00624696">
        <w:rPr>
          <w:i/>
          <w:sz w:val="16"/>
          <w:lang w:val="es-AR"/>
        </w:rPr>
        <w:t>Jesus/BA:</w:t>
      </w:r>
      <w:r w:rsidRPr="00624696">
        <w:rPr>
          <w:i/>
          <w:spacing w:val="-16"/>
          <w:sz w:val="16"/>
          <w:lang w:val="es-AR"/>
        </w:rPr>
        <w:t xml:space="preserve"> </w:t>
      </w:r>
      <w:r w:rsidRPr="00624696">
        <w:rPr>
          <w:i/>
          <w:sz w:val="16"/>
          <w:lang w:val="es-AR"/>
        </w:rPr>
        <w:t>un</w:t>
      </w:r>
      <w:r w:rsidRPr="00624696">
        <w:rPr>
          <w:i/>
          <w:spacing w:val="-13"/>
          <w:sz w:val="16"/>
          <w:lang w:val="es-AR"/>
        </w:rPr>
        <w:t xml:space="preserve"> </w:t>
      </w:r>
      <w:r w:rsidRPr="00624696">
        <w:rPr>
          <w:i/>
          <w:sz w:val="16"/>
          <w:lang w:val="es-AR"/>
        </w:rPr>
        <w:t>análisis</w:t>
      </w:r>
      <w:r w:rsidRPr="00624696">
        <w:rPr>
          <w:i/>
          <w:spacing w:val="-14"/>
          <w:sz w:val="16"/>
          <w:lang w:val="es-AR"/>
        </w:rPr>
        <w:t xml:space="preserve"> </w:t>
      </w:r>
      <w:r w:rsidRPr="00624696">
        <w:rPr>
          <w:i/>
          <w:sz w:val="16"/>
          <w:lang w:val="es-AR"/>
        </w:rPr>
        <w:t>de</w:t>
      </w:r>
      <w:r w:rsidRPr="00624696">
        <w:rPr>
          <w:i/>
          <w:spacing w:val="-14"/>
          <w:sz w:val="16"/>
          <w:lang w:val="es-AR"/>
        </w:rPr>
        <w:t xml:space="preserve"> </w:t>
      </w:r>
      <w:r w:rsidRPr="00624696">
        <w:rPr>
          <w:i/>
          <w:sz w:val="16"/>
          <w:lang w:val="es-AR"/>
        </w:rPr>
        <w:t>su</w:t>
      </w:r>
      <w:r w:rsidRPr="00624696">
        <w:rPr>
          <w:i/>
          <w:spacing w:val="-18"/>
          <w:sz w:val="16"/>
          <w:lang w:val="es-AR"/>
        </w:rPr>
        <w:t xml:space="preserve"> </w:t>
      </w:r>
      <w:r w:rsidRPr="00624696">
        <w:rPr>
          <w:i/>
          <w:sz w:val="16"/>
          <w:lang w:val="es-AR"/>
        </w:rPr>
        <w:t>contribución</w:t>
      </w:r>
      <w:r w:rsidRPr="00624696">
        <w:rPr>
          <w:i/>
          <w:spacing w:val="-16"/>
          <w:sz w:val="16"/>
          <w:lang w:val="es-AR"/>
        </w:rPr>
        <w:t xml:space="preserve"> </w:t>
      </w:r>
      <w:r w:rsidRPr="00624696">
        <w:rPr>
          <w:i/>
          <w:sz w:val="16"/>
          <w:lang w:val="es-AR"/>
        </w:rPr>
        <w:t>para</w:t>
      </w:r>
      <w:r w:rsidRPr="00624696">
        <w:rPr>
          <w:i/>
          <w:spacing w:val="-15"/>
          <w:sz w:val="16"/>
          <w:lang w:val="es-AR"/>
        </w:rPr>
        <w:t xml:space="preserve"> </w:t>
      </w:r>
      <w:r w:rsidRPr="00624696">
        <w:rPr>
          <w:i/>
          <w:sz w:val="16"/>
          <w:lang w:val="es-AR"/>
        </w:rPr>
        <w:t>el</w:t>
      </w:r>
      <w:r w:rsidRPr="00624696">
        <w:rPr>
          <w:i/>
          <w:spacing w:val="-15"/>
          <w:sz w:val="16"/>
          <w:lang w:val="es-AR"/>
        </w:rPr>
        <w:t xml:space="preserve"> </w:t>
      </w:r>
      <w:r w:rsidRPr="00624696">
        <w:rPr>
          <w:i/>
          <w:sz w:val="16"/>
          <w:lang w:val="es-AR"/>
        </w:rPr>
        <w:t>desarrollo</w:t>
      </w:r>
      <w:r w:rsidRPr="00624696">
        <w:rPr>
          <w:i/>
          <w:spacing w:val="-16"/>
          <w:sz w:val="16"/>
          <w:lang w:val="es-AR"/>
        </w:rPr>
        <w:t xml:space="preserve"> </w:t>
      </w:r>
      <w:r w:rsidRPr="00624696">
        <w:rPr>
          <w:i/>
          <w:sz w:val="16"/>
          <w:lang w:val="es-AR"/>
        </w:rPr>
        <w:t>local”</w:t>
      </w:r>
      <w:r w:rsidRPr="00624696">
        <w:rPr>
          <w:sz w:val="16"/>
          <w:lang w:val="es-AR"/>
        </w:rPr>
        <w:t>,</w:t>
      </w:r>
      <w:r w:rsidRPr="00624696">
        <w:rPr>
          <w:spacing w:val="-15"/>
          <w:sz w:val="16"/>
          <w:lang w:val="es-AR"/>
        </w:rPr>
        <w:t xml:space="preserve"> </w:t>
      </w:r>
      <w:r w:rsidRPr="00624696">
        <w:rPr>
          <w:sz w:val="16"/>
          <w:lang w:val="es-AR"/>
        </w:rPr>
        <w:t>Departamento</w:t>
      </w:r>
      <w:r w:rsidRPr="00624696">
        <w:rPr>
          <w:spacing w:val="-14"/>
          <w:sz w:val="16"/>
          <w:lang w:val="es-AR"/>
        </w:rPr>
        <w:t xml:space="preserve"> </w:t>
      </w:r>
      <w:r w:rsidRPr="00624696">
        <w:rPr>
          <w:sz w:val="16"/>
          <w:lang w:val="es-AR"/>
        </w:rPr>
        <w:t>de</w:t>
      </w:r>
      <w:r w:rsidRPr="00624696">
        <w:rPr>
          <w:spacing w:val="-14"/>
          <w:sz w:val="16"/>
          <w:lang w:val="es-AR"/>
        </w:rPr>
        <w:t xml:space="preserve"> </w:t>
      </w:r>
      <w:r w:rsidRPr="00624696">
        <w:rPr>
          <w:sz w:val="16"/>
          <w:lang w:val="es-AR"/>
        </w:rPr>
        <w:t>Ciencias</w:t>
      </w:r>
      <w:r w:rsidRPr="00624696">
        <w:rPr>
          <w:spacing w:val="-12"/>
          <w:sz w:val="16"/>
          <w:lang w:val="es-AR"/>
        </w:rPr>
        <w:t xml:space="preserve"> </w:t>
      </w:r>
      <w:r w:rsidRPr="00624696">
        <w:rPr>
          <w:sz w:val="16"/>
          <w:lang w:val="es-AR"/>
        </w:rPr>
        <w:t>Humanas,</w:t>
      </w:r>
      <w:r w:rsidRPr="00624696">
        <w:rPr>
          <w:spacing w:val="-15"/>
          <w:sz w:val="16"/>
          <w:lang w:val="es-AR"/>
        </w:rPr>
        <w:t xml:space="preserve"> </w:t>
      </w:r>
      <w:r w:rsidRPr="00624696">
        <w:rPr>
          <w:sz w:val="16"/>
          <w:lang w:val="es-AR"/>
        </w:rPr>
        <w:t>Universidad</w:t>
      </w:r>
      <w:bookmarkStart w:id="123" w:name="_bookmark98"/>
      <w:bookmarkEnd w:id="123"/>
      <w:r w:rsidRPr="00624696">
        <w:rPr>
          <w:sz w:val="16"/>
          <w:lang w:val="es-AR"/>
        </w:rPr>
        <w:t xml:space="preserve"> del Estado de Bahia, Disertación de Maestría, 2008 (expediente de prueba, folios 1200 a</w:t>
      </w:r>
      <w:r w:rsidRPr="00624696">
        <w:rPr>
          <w:spacing w:val="-15"/>
          <w:sz w:val="16"/>
          <w:lang w:val="es-AR"/>
        </w:rPr>
        <w:t xml:space="preserve"> </w:t>
      </w:r>
      <w:r w:rsidRPr="00624696">
        <w:rPr>
          <w:sz w:val="16"/>
          <w:lang w:val="es-AR"/>
        </w:rPr>
        <w:t>1333).</w:t>
      </w:r>
    </w:p>
    <w:p w14:paraId="7F693B87" w14:textId="77777777" w:rsidR="00467FCA" w:rsidRPr="00624696" w:rsidRDefault="001B68EB">
      <w:pPr>
        <w:tabs>
          <w:tab w:val="left" w:pos="839"/>
        </w:tabs>
        <w:ind w:left="119" w:right="115"/>
        <w:jc w:val="both"/>
        <w:rPr>
          <w:sz w:val="16"/>
          <w:lang w:val="es-AR"/>
        </w:rPr>
      </w:pPr>
      <w:r w:rsidRPr="00624696">
        <w:rPr>
          <w:position w:val="6"/>
          <w:sz w:val="10"/>
          <w:lang w:val="es-AR"/>
        </w:rPr>
        <w:t>75</w:t>
      </w:r>
      <w:r w:rsidRPr="00624696">
        <w:rPr>
          <w:position w:val="6"/>
          <w:sz w:val="10"/>
          <w:lang w:val="es-AR"/>
        </w:rPr>
        <w:tab/>
      </w:r>
      <w:r w:rsidRPr="00624696">
        <w:rPr>
          <w:i/>
          <w:sz w:val="16"/>
          <w:lang w:val="es-AR"/>
        </w:rPr>
        <w:t xml:space="preserve">Cfr. </w:t>
      </w:r>
      <w:r w:rsidRPr="00624696">
        <w:rPr>
          <w:sz w:val="16"/>
          <w:lang w:val="es-AR"/>
        </w:rPr>
        <w:t>Documento Síntesis del Grupo de Trabajo, diciembre de 2007 (expediente de prueba, folios</w:t>
      </w:r>
      <w:r w:rsidRPr="00624696">
        <w:rPr>
          <w:sz w:val="16"/>
          <w:lang w:val="es-AR"/>
        </w:rPr>
        <w:t xml:space="preserve"> 24 a 37) y SANTOS, Ana Maria</w:t>
      </w:r>
      <w:r w:rsidRPr="00624696">
        <w:rPr>
          <w:i/>
          <w:sz w:val="16"/>
          <w:lang w:val="es-AR"/>
        </w:rPr>
        <w:t>. “La Clandestinidad como Expresión de la Precarización del Trabajo en la Producción del Cohete de Masa en el Municipio de Santo Antônio de Jesus – Bahia: un estudio de caso en el barrio Irmã Dulce”</w:t>
      </w:r>
      <w:r w:rsidRPr="00624696">
        <w:rPr>
          <w:sz w:val="16"/>
          <w:lang w:val="es-AR"/>
        </w:rPr>
        <w:t>, Curso de</w:t>
      </w:r>
      <w:bookmarkStart w:id="124" w:name="_bookmark99"/>
      <w:bookmarkEnd w:id="124"/>
      <w:r w:rsidRPr="00624696">
        <w:rPr>
          <w:sz w:val="16"/>
          <w:lang w:val="es-AR"/>
        </w:rPr>
        <w:t xml:space="preserve"> Servicio Social, F</w:t>
      </w:r>
      <w:r w:rsidRPr="00624696">
        <w:rPr>
          <w:sz w:val="16"/>
          <w:lang w:val="es-AR"/>
        </w:rPr>
        <w:t>acultad Delta – UNIME Salvador, 2012 (expediente de prueba, folios 1524 a</w:t>
      </w:r>
      <w:r w:rsidRPr="00624696">
        <w:rPr>
          <w:spacing w:val="-22"/>
          <w:sz w:val="16"/>
          <w:lang w:val="es-AR"/>
        </w:rPr>
        <w:t xml:space="preserve"> </w:t>
      </w:r>
      <w:r w:rsidRPr="00624696">
        <w:rPr>
          <w:sz w:val="16"/>
          <w:lang w:val="es-AR"/>
        </w:rPr>
        <w:t>1578).</w:t>
      </w:r>
    </w:p>
    <w:p w14:paraId="031DB6B0" w14:textId="77777777" w:rsidR="00467FCA" w:rsidRPr="00624696" w:rsidRDefault="001B68EB">
      <w:pPr>
        <w:tabs>
          <w:tab w:val="left" w:pos="839"/>
        </w:tabs>
        <w:ind w:left="119" w:right="115"/>
        <w:jc w:val="both"/>
        <w:rPr>
          <w:sz w:val="16"/>
          <w:lang w:val="es-AR"/>
        </w:rPr>
      </w:pPr>
      <w:r w:rsidRPr="00624696">
        <w:rPr>
          <w:position w:val="6"/>
          <w:sz w:val="10"/>
          <w:lang w:val="es-AR"/>
        </w:rPr>
        <w:t>76</w:t>
      </w:r>
      <w:r w:rsidRPr="00624696">
        <w:rPr>
          <w:position w:val="6"/>
          <w:sz w:val="10"/>
          <w:lang w:val="es-AR"/>
        </w:rPr>
        <w:tab/>
      </w:r>
      <w:r w:rsidRPr="00624696">
        <w:rPr>
          <w:i/>
          <w:sz w:val="16"/>
          <w:lang w:val="es-AR"/>
        </w:rPr>
        <w:t>Cfr.</w:t>
      </w:r>
      <w:r w:rsidRPr="00624696">
        <w:rPr>
          <w:i/>
          <w:spacing w:val="-7"/>
          <w:sz w:val="16"/>
          <w:lang w:val="es-AR"/>
        </w:rPr>
        <w:t xml:space="preserve"> </w:t>
      </w:r>
      <w:r w:rsidRPr="00624696">
        <w:rPr>
          <w:i/>
          <w:sz w:val="16"/>
          <w:lang w:val="es-AR"/>
        </w:rPr>
        <w:t>Amicus</w:t>
      </w:r>
      <w:r w:rsidRPr="00624696">
        <w:rPr>
          <w:i/>
          <w:spacing w:val="-5"/>
          <w:sz w:val="16"/>
          <w:lang w:val="es-AR"/>
        </w:rPr>
        <w:t xml:space="preserve"> </w:t>
      </w:r>
      <w:r w:rsidRPr="00624696">
        <w:rPr>
          <w:i/>
          <w:sz w:val="16"/>
          <w:lang w:val="es-AR"/>
        </w:rPr>
        <w:t>curiae</w:t>
      </w:r>
      <w:r w:rsidRPr="00624696">
        <w:rPr>
          <w:i/>
          <w:spacing w:val="-6"/>
          <w:sz w:val="16"/>
          <w:lang w:val="es-AR"/>
        </w:rPr>
        <w:t xml:space="preserve"> </w:t>
      </w:r>
      <w:r w:rsidRPr="00624696">
        <w:rPr>
          <w:sz w:val="16"/>
          <w:lang w:val="es-AR"/>
        </w:rPr>
        <w:t>de</w:t>
      </w:r>
      <w:r w:rsidRPr="00624696">
        <w:rPr>
          <w:spacing w:val="-5"/>
          <w:sz w:val="16"/>
          <w:lang w:val="es-AR"/>
        </w:rPr>
        <w:t xml:space="preserve"> </w:t>
      </w:r>
      <w:r w:rsidRPr="00624696">
        <w:rPr>
          <w:sz w:val="16"/>
          <w:lang w:val="es-AR"/>
        </w:rPr>
        <w:t>la</w:t>
      </w:r>
      <w:r w:rsidRPr="00624696">
        <w:rPr>
          <w:spacing w:val="-4"/>
          <w:sz w:val="16"/>
          <w:lang w:val="es-AR"/>
        </w:rPr>
        <w:t xml:space="preserve"> </w:t>
      </w:r>
      <w:r w:rsidRPr="00624696">
        <w:rPr>
          <w:sz w:val="16"/>
          <w:lang w:val="es-AR"/>
        </w:rPr>
        <w:t>Clínica</w:t>
      </w:r>
      <w:r w:rsidRPr="00624696">
        <w:rPr>
          <w:spacing w:val="-3"/>
          <w:sz w:val="16"/>
          <w:lang w:val="es-AR"/>
        </w:rPr>
        <w:t xml:space="preserve"> </w:t>
      </w:r>
      <w:r w:rsidRPr="00624696">
        <w:rPr>
          <w:sz w:val="16"/>
          <w:lang w:val="es-AR"/>
        </w:rPr>
        <w:t>de</w:t>
      </w:r>
      <w:r w:rsidRPr="00624696">
        <w:rPr>
          <w:spacing w:val="-5"/>
          <w:sz w:val="16"/>
          <w:lang w:val="es-AR"/>
        </w:rPr>
        <w:t xml:space="preserve"> </w:t>
      </w:r>
      <w:r w:rsidRPr="00624696">
        <w:rPr>
          <w:sz w:val="16"/>
          <w:lang w:val="es-AR"/>
        </w:rPr>
        <w:t>Derechos</w:t>
      </w:r>
      <w:r w:rsidRPr="00624696">
        <w:rPr>
          <w:spacing w:val="-6"/>
          <w:sz w:val="16"/>
          <w:lang w:val="es-AR"/>
        </w:rPr>
        <w:t xml:space="preserve"> </w:t>
      </w:r>
      <w:r w:rsidRPr="00624696">
        <w:rPr>
          <w:sz w:val="16"/>
          <w:lang w:val="es-AR"/>
        </w:rPr>
        <w:t>Humanos</w:t>
      </w:r>
      <w:r w:rsidRPr="00624696">
        <w:rPr>
          <w:spacing w:val="-7"/>
          <w:sz w:val="16"/>
          <w:lang w:val="es-AR"/>
        </w:rPr>
        <w:t xml:space="preserve"> </w:t>
      </w:r>
      <w:r w:rsidRPr="00624696">
        <w:rPr>
          <w:sz w:val="16"/>
          <w:lang w:val="es-AR"/>
        </w:rPr>
        <w:t>y</w:t>
      </w:r>
      <w:r w:rsidRPr="00624696">
        <w:rPr>
          <w:spacing w:val="-5"/>
          <w:sz w:val="16"/>
          <w:lang w:val="es-AR"/>
        </w:rPr>
        <w:t xml:space="preserve"> </w:t>
      </w:r>
      <w:r w:rsidRPr="00624696">
        <w:rPr>
          <w:sz w:val="16"/>
          <w:lang w:val="es-AR"/>
        </w:rPr>
        <w:t>Derecho</w:t>
      </w:r>
      <w:r w:rsidRPr="00624696">
        <w:rPr>
          <w:spacing w:val="-4"/>
          <w:sz w:val="16"/>
          <w:lang w:val="es-AR"/>
        </w:rPr>
        <w:t xml:space="preserve"> </w:t>
      </w:r>
      <w:r w:rsidRPr="00624696">
        <w:rPr>
          <w:sz w:val="16"/>
          <w:lang w:val="es-AR"/>
        </w:rPr>
        <w:t>Ambiental</w:t>
      </w:r>
      <w:r w:rsidRPr="00624696">
        <w:rPr>
          <w:spacing w:val="-5"/>
          <w:sz w:val="16"/>
          <w:lang w:val="es-AR"/>
        </w:rPr>
        <w:t xml:space="preserve"> </w:t>
      </w:r>
      <w:r w:rsidRPr="00624696">
        <w:rPr>
          <w:sz w:val="16"/>
          <w:lang w:val="es-AR"/>
        </w:rPr>
        <w:t>de</w:t>
      </w:r>
      <w:r w:rsidRPr="00624696">
        <w:rPr>
          <w:spacing w:val="-2"/>
          <w:sz w:val="16"/>
          <w:lang w:val="es-AR"/>
        </w:rPr>
        <w:t xml:space="preserve"> </w:t>
      </w:r>
      <w:r w:rsidRPr="00624696">
        <w:rPr>
          <w:sz w:val="16"/>
          <w:lang w:val="es-AR"/>
        </w:rPr>
        <w:t>la</w:t>
      </w:r>
      <w:r w:rsidRPr="00624696">
        <w:rPr>
          <w:spacing w:val="-6"/>
          <w:sz w:val="16"/>
          <w:lang w:val="es-AR"/>
        </w:rPr>
        <w:t xml:space="preserve"> </w:t>
      </w:r>
      <w:r w:rsidRPr="00624696">
        <w:rPr>
          <w:sz w:val="16"/>
          <w:lang w:val="es-AR"/>
        </w:rPr>
        <w:t>Universidad</w:t>
      </w:r>
      <w:r w:rsidRPr="00624696">
        <w:rPr>
          <w:spacing w:val="-5"/>
          <w:sz w:val="16"/>
          <w:lang w:val="es-AR"/>
        </w:rPr>
        <w:t xml:space="preserve"> </w:t>
      </w:r>
      <w:r w:rsidRPr="00624696">
        <w:rPr>
          <w:sz w:val="16"/>
          <w:lang w:val="es-AR"/>
        </w:rPr>
        <w:t>del</w:t>
      </w:r>
      <w:r w:rsidRPr="00624696">
        <w:rPr>
          <w:spacing w:val="-6"/>
          <w:sz w:val="16"/>
          <w:lang w:val="es-AR"/>
        </w:rPr>
        <w:t xml:space="preserve"> </w:t>
      </w:r>
      <w:r w:rsidRPr="00624696">
        <w:rPr>
          <w:sz w:val="16"/>
          <w:lang w:val="es-AR"/>
        </w:rPr>
        <w:t>Estado</w:t>
      </w:r>
      <w:r w:rsidRPr="00624696">
        <w:rPr>
          <w:spacing w:val="-5"/>
          <w:sz w:val="16"/>
          <w:lang w:val="es-AR"/>
        </w:rPr>
        <w:t xml:space="preserve"> </w:t>
      </w:r>
      <w:r w:rsidRPr="00624696">
        <w:rPr>
          <w:sz w:val="16"/>
          <w:lang w:val="es-AR"/>
        </w:rPr>
        <w:t>de Amazonas,</w:t>
      </w:r>
      <w:r w:rsidRPr="00624696">
        <w:rPr>
          <w:spacing w:val="-3"/>
          <w:sz w:val="16"/>
          <w:lang w:val="es-AR"/>
        </w:rPr>
        <w:t xml:space="preserve"> </w:t>
      </w:r>
      <w:r w:rsidRPr="00624696">
        <w:rPr>
          <w:i/>
          <w:sz w:val="16"/>
          <w:lang w:val="es-AR"/>
        </w:rPr>
        <w:t>supra</w:t>
      </w:r>
      <w:r w:rsidRPr="00624696">
        <w:rPr>
          <w:sz w:val="16"/>
          <w:lang w:val="es-AR"/>
        </w:rPr>
        <w:t>.</w:t>
      </w:r>
    </w:p>
    <w:p w14:paraId="25F62F2B" w14:textId="77777777" w:rsidR="00467FCA" w:rsidRPr="00624696" w:rsidRDefault="001B68EB">
      <w:pPr>
        <w:tabs>
          <w:tab w:val="left" w:pos="839"/>
        </w:tabs>
        <w:ind w:left="119" w:right="113"/>
        <w:jc w:val="both"/>
        <w:rPr>
          <w:sz w:val="16"/>
          <w:lang w:val="es-AR"/>
        </w:rPr>
      </w:pPr>
      <w:bookmarkStart w:id="125" w:name="_bookmark100"/>
      <w:bookmarkEnd w:id="125"/>
      <w:r w:rsidRPr="00624696">
        <w:rPr>
          <w:position w:val="6"/>
          <w:sz w:val="10"/>
          <w:lang w:val="es-AR"/>
        </w:rPr>
        <w:t>77</w:t>
      </w:r>
      <w:r w:rsidRPr="00624696">
        <w:rPr>
          <w:position w:val="6"/>
          <w:sz w:val="10"/>
          <w:lang w:val="es-AR"/>
        </w:rPr>
        <w:tab/>
      </w:r>
      <w:r w:rsidRPr="00624696">
        <w:rPr>
          <w:i/>
          <w:sz w:val="16"/>
          <w:lang w:val="es-AR"/>
        </w:rPr>
        <w:t xml:space="preserve">Cfr. Amicus curiae </w:t>
      </w:r>
      <w:r w:rsidRPr="00624696">
        <w:rPr>
          <w:sz w:val="16"/>
          <w:lang w:val="es-AR"/>
        </w:rPr>
        <w:t xml:space="preserve">de la Clínica de Derechos Humanos de la Escuela de Derecho del Instituto </w:t>
      </w:r>
      <w:r w:rsidRPr="00624696">
        <w:rPr>
          <w:i/>
          <w:sz w:val="16"/>
          <w:lang w:val="es-AR"/>
        </w:rPr>
        <w:t>Brasiliense</w:t>
      </w:r>
      <w:r w:rsidRPr="00624696">
        <w:rPr>
          <w:i/>
          <w:spacing w:val="-38"/>
          <w:sz w:val="16"/>
          <w:lang w:val="es-AR"/>
        </w:rPr>
        <w:t xml:space="preserve"> </w:t>
      </w:r>
      <w:r w:rsidRPr="00624696">
        <w:rPr>
          <w:sz w:val="16"/>
          <w:lang w:val="es-AR"/>
        </w:rPr>
        <w:t>de Derecho Público,</w:t>
      </w:r>
      <w:r w:rsidRPr="00624696">
        <w:rPr>
          <w:spacing w:val="-4"/>
          <w:sz w:val="16"/>
          <w:lang w:val="es-AR"/>
        </w:rPr>
        <w:t xml:space="preserve"> </w:t>
      </w:r>
      <w:r w:rsidRPr="00624696">
        <w:rPr>
          <w:i/>
          <w:sz w:val="16"/>
          <w:lang w:val="es-AR"/>
        </w:rPr>
        <w:t>supra</w:t>
      </w:r>
      <w:r w:rsidRPr="00624696">
        <w:rPr>
          <w:sz w:val="16"/>
          <w:lang w:val="es-AR"/>
        </w:rPr>
        <w:t>.</w:t>
      </w:r>
    </w:p>
    <w:p w14:paraId="707C450F"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6A724962" w14:textId="77777777" w:rsidR="00467FCA" w:rsidRPr="00624696" w:rsidRDefault="001B68EB">
      <w:pPr>
        <w:pStyle w:val="Prrafodelista"/>
        <w:numPr>
          <w:ilvl w:val="0"/>
          <w:numId w:val="50"/>
        </w:numPr>
        <w:tabs>
          <w:tab w:val="left" w:pos="687"/>
        </w:tabs>
        <w:spacing w:before="183"/>
        <w:ind w:right="118" w:hanging="1"/>
        <w:jc w:val="both"/>
        <w:rPr>
          <w:sz w:val="20"/>
          <w:lang w:val="es-AR"/>
        </w:rPr>
      </w:pPr>
      <w:r w:rsidRPr="00624696">
        <w:rPr>
          <w:sz w:val="20"/>
          <w:lang w:val="es-AR"/>
        </w:rPr>
        <w:t>La</w:t>
      </w:r>
      <w:r w:rsidRPr="00624696">
        <w:rPr>
          <w:spacing w:val="-20"/>
          <w:sz w:val="20"/>
          <w:lang w:val="es-AR"/>
        </w:rPr>
        <w:t xml:space="preserve"> </w:t>
      </w:r>
      <w:r w:rsidRPr="00624696">
        <w:rPr>
          <w:sz w:val="20"/>
          <w:lang w:val="es-AR"/>
        </w:rPr>
        <w:t>producción</w:t>
      </w:r>
      <w:r w:rsidRPr="00624696">
        <w:rPr>
          <w:spacing w:val="-15"/>
          <w:sz w:val="20"/>
          <w:lang w:val="es-AR"/>
        </w:rPr>
        <w:t xml:space="preserve"> </w:t>
      </w:r>
      <w:r w:rsidRPr="00624696">
        <w:rPr>
          <w:sz w:val="20"/>
          <w:lang w:val="es-AR"/>
        </w:rPr>
        <w:t>clandestina</w:t>
      </w:r>
      <w:hyperlink w:anchor="_bookmark101" w:history="1">
        <w:r w:rsidRPr="00624696">
          <w:rPr>
            <w:position w:val="7"/>
            <w:sz w:val="13"/>
            <w:lang w:val="es-AR"/>
          </w:rPr>
          <w:t>78</w:t>
        </w:r>
        <w:r w:rsidRPr="00624696">
          <w:rPr>
            <w:spacing w:val="5"/>
            <w:position w:val="7"/>
            <w:sz w:val="13"/>
            <w:lang w:val="es-AR"/>
          </w:rPr>
          <w:t xml:space="preserve"> </w:t>
        </w:r>
      </w:hyperlink>
      <w:r w:rsidRPr="00624696">
        <w:rPr>
          <w:sz w:val="20"/>
          <w:lang w:val="es-AR"/>
        </w:rPr>
        <w:t>y</w:t>
      </w:r>
      <w:r w:rsidRPr="00624696">
        <w:rPr>
          <w:spacing w:val="-17"/>
          <w:sz w:val="20"/>
          <w:lang w:val="es-AR"/>
        </w:rPr>
        <w:t xml:space="preserve"> </w:t>
      </w:r>
      <w:r w:rsidRPr="00624696">
        <w:rPr>
          <w:sz w:val="20"/>
          <w:lang w:val="es-AR"/>
        </w:rPr>
        <w:t>sin</w:t>
      </w:r>
      <w:r w:rsidRPr="00624696">
        <w:rPr>
          <w:spacing w:val="-16"/>
          <w:sz w:val="20"/>
          <w:lang w:val="es-AR"/>
        </w:rPr>
        <w:t xml:space="preserve"> </w:t>
      </w:r>
      <w:r w:rsidRPr="00624696">
        <w:rPr>
          <w:sz w:val="20"/>
          <w:lang w:val="es-AR"/>
        </w:rPr>
        <w:t>respetar</w:t>
      </w:r>
      <w:r w:rsidRPr="00624696">
        <w:rPr>
          <w:spacing w:val="-18"/>
          <w:sz w:val="20"/>
          <w:lang w:val="es-AR"/>
        </w:rPr>
        <w:t xml:space="preserve"> </w:t>
      </w:r>
      <w:r w:rsidRPr="00624696">
        <w:rPr>
          <w:sz w:val="20"/>
          <w:lang w:val="es-AR"/>
        </w:rPr>
        <w:t>las</w:t>
      </w:r>
      <w:r w:rsidRPr="00624696">
        <w:rPr>
          <w:spacing w:val="-17"/>
          <w:sz w:val="20"/>
          <w:lang w:val="es-AR"/>
        </w:rPr>
        <w:t xml:space="preserve"> </w:t>
      </w:r>
      <w:r w:rsidRPr="00624696">
        <w:rPr>
          <w:sz w:val="20"/>
          <w:lang w:val="es-AR"/>
        </w:rPr>
        <w:t>normas</w:t>
      </w:r>
      <w:r w:rsidRPr="00624696">
        <w:rPr>
          <w:spacing w:val="-20"/>
          <w:sz w:val="20"/>
          <w:lang w:val="es-AR"/>
        </w:rPr>
        <w:t xml:space="preserve"> </w:t>
      </w:r>
      <w:r w:rsidRPr="00624696">
        <w:rPr>
          <w:sz w:val="20"/>
          <w:lang w:val="es-AR"/>
        </w:rPr>
        <w:t>de</w:t>
      </w:r>
      <w:r w:rsidRPr="00624696">
        <w:rPr>
          <w:spacing w:val="-18"/>
          <w:sz w:val="20"/>
          <w:lang w:val="es-AR"/>
        </w:rPr>
        <w:t xml:space="preserve"> </w:t>
      </w:r>
      <w:r w:rsidRPr="00624696">
        <w:rPr>
          <w:sz w:val="20"/>
          <w:lang w:val="es-AR"/>
        </w:rPr>
        <w:t>seguridad</w:t>
      </w:r>
      <w:r w:rsidRPr="00624696">
        <w:rPr>
          <w:spacing w:val="-19"/>
          <w:sz w:val="20"/>
          <w:lang w:val="es-AR"/>
        </w:rPr>
        <w:t xml:space="preserve"> </w:t>
      </w:r>
      <w:r w:rsidRPr="00624696">
        <w:rPr>
          <w:sz w:val="20"/>
          <w:lang w:val="es-AR"/>
        </w:rPr>
        <w:t>de</w:t>
      </w:r>
      <w:r w:rsidRPr="00624696">
        <w:rPr>
          <w:spacing w:val="-18"/>
          <w:sz w:val="20"/>
          <w:lang w:val="es-AR"/>
        </w:rPr>
        <w:t xml:space="preserve"> </w:t>
      </w:r>
      <w:r w:rsidRPr="00624696">
        <w:rPr>
          <w:sz w:val="20"/>
          <w:lang w:val="es-AR"/>
        </w:rPr>
        <w:t>fuegos</w:t>
      </w:r>
      <w:r w:rsidRPr="00624696">
        <w:rPr>
          <w:spacing w:val="-17"/>
          <w:sz w:val="20"/>
          <w:lang w:val="es-AR"/>
        </w:rPr>
        <w:t xml:space="preserve"> </w:t>
      </w:r>
      <w:r w:rsidRPr="00624696">
        <w:rPr>
          <w:sz w:val="20"/>
          <w:lang w:val="es-AR"/>
        </w:rPr>
        <w:t>artificiales, a</w:t>
      </w:r>
      <w:r w:rsidRPr="00624696">
        <w:rPr>
          <w:spacing w:val="-5"/>
          <w:sz w:val="20"/>
          <w:lang w:val="es-AR"/>
        </w:rPr>
        <w:t xml:space="preserve"> </w:t>
      </w:r>
      <w:r w:rsidRPr="00624696">
        <w:rPr>
          <w:sz w:val="20"/>
          <w:lang w:val="es-AR"/>
        </w:rPr>
        <w:t>pesar</w:t>
      </w:r>
      <w:r w:rsidRPr="00624696">
        <w:rPr>
          <w:spacing w:val="-4"/>
          <w:sz w:val="20"/>
          <w:lang w:val="es-AR"/>
        </w:rPr>
        <w:t xml:space="preserve"> </w:t>
      </w:r>
      <w:r w:rsidRPr="00624696">
        <w:rPr>
          <w:sz w:val="20"/>
          <w:lang w:val="es-AR"/>
        </w:rPr>
        <w:t>del</w:t>
      </w:r>
      <w:r w:rsidRPr="00624696">
        <w:rPr>
          <w:spacing w:val="-4"/>
          <w:sz w:val="20"/>
          <w:lang w:val="es-AR"/>
        </w:rPr>
        <w:t xml:space="preserve"> </w:t>
      </w:r>
      <w:r w:rsidRPr="00624696">
        <w:rPr>
          <w:sz w:val="20"/>
          <w:lang w:val="es-AR"/>
        </w:rPr>
        <w:t>peligro</w:t>
      </w:r>
      <w:r w:rsidRPr="00624696">
        <w:rPr>
          <w:spacing w:val="-4"/>
          <w:sz w:val="20"/>
          <w:lang w:val="es-AR"/>
        </w:rPr>
        <w:t xml:space="preserve"> </w:t>
      </w:r>
      <w:r w:rsidRPr="00624696">
        <w:rPr>
          <w:sz w:val="20"/>
          <w:lang w:val="es-AR"/>
        </w:rPr>
        <w:t>inminente,</w:t>
      </w:r>
      <w:r w:rsidRPr="00624696">
        <w:rPr>
          <w:spacing w:val="-4"/>
          <w:sz w:val="20"/>
          <w:lang w:val="es-AR"/>
        </w:rPr>
        <w:t xml:space="preserve"> </w:t>
      </w:r>
      <w:r w:rsidRPr="00624696">
        <w:rPr>
          <w:sz w:val="20"/>
          <w:lang w:val="es-AR"/>
        </w:rPr>
        <w:t>genera</w:t>
      </w:r>
      <w:r w:rsidRPr="00624696">
        <w:rPr>
          <w:spacing w:val="1"/>
          <w:sz w:val="20"/>
          <w:lang w:val="es-AR"/>
        </w:rPr>
        <w:t xml:space="preserve"> </w:t>
      </w:r>
      <w:r w:rsidRPr="00624696">
        <w:rPr>
          <w:sz w:val="20"/>
          <w:lang w:val="es-AR"/>
        </w:rPr>
        <w:t>empleo</w:t>
      </w:r>
      <w:r w:rsidRPr="00624696">
        <w:rPr>
          <w:spacing w:val="-4"/>
          <w:sz w:val="20"/>
          <w:lang w:val="es-AR"/>
        </w:rPr>
        <w:t xml:space="preserve"> </w:t>
      </w:r>
      <w:r w:rsidRPr="00624696">
        <w:rPr>
          <w:sz w:val="20"/>
          <w:lang w:val="es-AR"/>
        </w:rPr>
        <w:t>e</w:t>
      </w:r>
      <w:r w:rsidRPr="00624696">
        <w:rPr>
          <w:spacing w:val="-4"/>
          <w:sz w:val="20"/>
          <w:lang w:val="es-AR"/>
        </w:rPr>
        <w:t xml:space="preserve"> </w:t>
      </w:r>
      <w:r w:rsidRPr="00624696">
        <w:rPr>
          <w:sz w:val="20"/>
          <w:lang w:val="es-AR"/>
        </w:rPr>
        <w:t>ingresos</w:t>
      </w:r>
      <w:r w:rsidRPr="00624696">
        <w:rPr>
          <w:spacing w:val="-3"/>
          <w:sz w:val="20"/>
          <w:lang w:val="es-AR"/>
        </w:rPr>
        <w:t xml:space="preserve"> </w:t>
      </w:r>
      <w:r w:rsidRPr="00624696">
        <w:rPr>
          <w:sz w:val="20"/>
          <w:lang w:val="es-AR"/>
        </w:rPr>
        <w:t>en el</w:t>
      </w:r>
      <w:r w:rsidRPr="00624696">
        <w:rPr>
          <w:spacing w:val="-5"/>
          <w:sz w:val="20"/>
          <w:lang w:val="es-AR"/>
        </w:rPr>
        <w:t xml:space="preserve"> </w:t>
      </w:r>
      <w:r w:rsidRPr="00624696">
        <w:rPr>
          <w:sz w:val="20"/>
          <w:lang w:val="es-AR"/>
        </w:rPr>
        <w:t>municipio</w:t>
      </w:r>
      <w:hyperlink w:anchor="_bookmark102" w:history="1">
        <w:r w:rsidRPr="00624696">
          <w:rPr>
            <w:position w:val="7"/>
            <w:sz w:val="13"/>
            <w:lang w:val="es-AR"/>
          </w:rPr>
          <w:t>79</w:t>
        </w:r>
      </w:hyperlink>
      <w:r w:rsidRPr="00624696">
        <w:rPr>
          <w:sz w:val="20"/>
          <w:lang w:val="es-AR"/>
        </w:rPr>
        <w:t>.</w:t>
      </w:r>
      <w:r w:rsidRPr="00624696">
        <w:rPr>
          <w:spacing w:val="-5"/>
          <w:sz w:val="20"/>
          <w:lang w:val="es-AR"/>
        </w:rPr>
        <w:t xml:space="preserve"> </w:t>
      </w:r>
      <w:r w:rsidRPr="00624696">
        <w:rPr>
          <w:sz w:val="20"/>
          <w:lang w:val="es-AR"/>
        </w:rPr>
        <w:t>Así,</w:t>
      </w:r>
      <w:r w:rsidRPr="00624696">
        <w:rPr>
          <w:spacing w:val="-6"/>
          <w:sz w:val="20"/>
          <w:lang w:val="es-AR"/>
        </w:rPr>
        <w:t xml:space="preserve"> </w:t>
      </w:r>
      <w:r w:rsidRPr="00624696">
        <w:rPr>
          <w:sz w:val="20"/>
          <w:lang w:val="es-AR"/>
        </w:rPr>
        <w:t>para</w:t>
      </w:r>
      <w:r w:rsidRPr="00624696">
        <w:rPr>
          <w:spacing w:val="-3"/>
          <w:sz w:val="20"/>
          <w:lang w:val="es-AR"/>
        </w:rPr>
        <w:t xml:space="preserve"> </w:t>
      </w:r>
      <w:r w:rsidRPr="00624696">
        <w:rPr>
          <w:sz w:val="20"/>
          <w:lang w:val="es-AR"/>
        </w:rPr>
        <w:t>el</w:t>
      </w:r>
      <w:r w:rsidRPr="00624696">
        <w:rPr>
          <w:spacing w:val="-2"/>
          <w:sz w:val="20"/>
          <w:lang w:val="es-AR"/>
        </w:rPr>
        <w:t xml:space="preserve"> </w:t>
      </w:r>
      <w:r w:rsidRPr="00624696">
        <w:rPr>
          <w:sz w:val="20"/>
          <w:lang w:val="es-AR"/>
        </w:rPr>
        <w:t>2005, se estimaba que el 10% de la población de 80.000 habitantes sobrevivía con las ganancias por el trabajo en esta actividad</w:t>
      </w:r>
      <w:hyperlink w:anchor="_bookmark103" w:history="1">
        <w:r w:rsidRPr="00624696">
          <w:rPr>
            <w:position w:val="7"/>
            <w:sz w:val="13"/>
            <w:lang w:val="es-AR"/>
          </w:rPr>
          <w:t>80</w:t>
        </w:r>
      </w:hyperlink>
      <w:r w:rsidRPr="00624696">
        <w:rPr>
          <w:sz w:val="20"/>
          <w:lang w:val="es-AR"/>
        </w:rPr>
        <w:t xml:space="preserve">. Otras fuentes sostienen que para 2008, entre diez mil y quince mil personas trabajaban en la </w:t>
      </w:r>
      <w:r w:rsidRPr="00624696">
        <w:rPr>
          <w:sz w:val="20"/>
          <w:lang w:val="es-AR"/>
        </w:rPr>
        <w:t>producción de fuegos artificiales en Santo Antônio de Jesus</w:t>
      </w:r>
      <w:hyperlink w:anchor="_bookmark104" w:history="1">
        <w:r w:rsidRPr="00624696">
          <w:rPr>
            <w:position w:val="7"/>
            <w:sz w:val="13"/>
            <w:lang w:val="es-AR"/>
          </w:rPr>
          <w:t>81</w:t>
        </w:r>
      </w:hyperlink>
      <w:r w:rsidRPr="00624696">
        <w:rPr>
          <w:sz w:val="20"/>
          <w:lang w:val="es-AR"/>
        </w:rPr>
        <w:t>.</w:t>
      </w:r>
    </w:p>
    <w:p w14:paraId="3D761509" w14:textId="77777777" w:rsidR="00467FCA" w:rsidRPr="00624696" w:rsidRDefault="00467FCA">
      <w:pPr>
        <w:pStyle w:val="Textoindependiente"/>
        <w:rPr>
          <w:lang w:val="es-AR"/>
        </w:rPr>
      </w:pPr>
    </w:p>
    <w:p w14:paraId="7611CB57" w14:textId="77777777" w:rsidR="00467FCA" w:rsidRPr="00624696" w:rsidRDefault="001B68EB">
      <w:pPr>
        <w:pStyle w:val="Prrafodelista"/>
        <w:numPr>
          <w:ilvl w:val="0"/>
          <w:numId w:val="50"/>
        </w:numPr>
        <w:tabs>
          <w:tab w:val="left" w:pos="687"/>
        </w:tabs>
        <w:ind w:right="116" w:firstLine="0"/>
        <w:jc w:val="both"/>
        <w:rPr>
          <w:sz w:val="20"/>
          <w:lang w:val="es-AR"/>
        </w:rPr>
      </w:pPr>
      <w:r w:rsidRPr="00624696">
        <w:rPr>
          <w:sz w:val="20"/>
          <w:lang w:val="es-AR"/>
        </w:rPr>
        <w:t>Los barrios donde viven la mayoría de las y los trabajadores de la fábrica a la que se refiere este caso –“Irmã Dulce” y “São Paulo”-, son barrios periféricos d</w:t>
      </w:r>
      <w:r w:rsidRPr="00624696">
        <w:rPr>
          <w:sz w:val="20"/>
          <w:lang w:val="es-AR"/>
        </w:rPr>
        <w:t>e Santo Antônio de Jesus. Se caracterizan no sólo por la pobreza, sino también por la falta de acceso a la educación formal. Estos lugares tienen, además, problemas de falta de infraestructura, especialmente en relación con el saneamiento básico</w:t>
      </w:r>
      <w:hyperlink w:anchor="_bookmark105" w:history="1">
        <w:r w:rsidRPr="00624696">
          <w:rPr>
            <w:position w:val="7"/>
            <w:sz w:val="13"/>
            <w:lang w:val="es-AR"/>
          </w:rPr>
          <w:t>82</w:t>
        </w:r>
      </w:hyperlink>
      <w:r w:rsidRPr="00624696">
        <w:rPr>
          <w:position w:val="7"/>
          <w:sz w:val="13"/>
          <w:lang w:val="es-AR"/>
        </w:rPr>
        <w:t xml:space="preserve"> </w:t>
      </w:r>
      <w:r w:rsidRPr="00624696">
        <w:rPr>
          <w:sz w:val="20"/>
          <w:lang w:val="es-AR"/>
        </w:rPr>
        <w:t>y predominio de personas con bajos niveles de educación y, en consecuencia, con bajos ingresos. También prevalecen</w:t>
      </w:r>
      <w:r w:rsidRPr="00624696">
        <w:rPr>
          <w:spacing w:val="-43"/>
          <w:sz w:val="20"/>
          <w:lang w:val="es-AR"/>
        </w:rPr>
        <w:t xml:space="preserve"> </w:t>
      </w:r>
      <w:r w:rsidRPr="00624696">
        <w:rPr>
          <w:sz w:val="20"/>
          <w:lang w:val="es-AR"/>
        </w:rPr>
        <w:t>problemas estructurales que producen y reproducen el trabajo informal y precario de fabricación de bombetas o cohetes</w:t>
      </w:r>
      <w:hyperlink w:anchor="_bookmark106" w:history="1">
        <w:r w:rsidRPr="00624696">
          <w:rPr>
            <w:position w:val="7"/>
            <w:sz w:val="13"/>
            <w:lang w:val="es-AR"/>
          </w:rPr>
          <w:t xml:space="preserve">83 </w:t>
        </w:r>
      </w:hyperlink>
      <w:r w:rsidRPr="00624696">
        <w:rPr>
          <w:position w:val="7"/>
          <w:sz w:val="13"/>
          <w:lang w:val="es-AR"/>
        </w:rPr>
        <w:t>y</w:t>
      </w:r>
      <w:r w:rsidRPr="00624696">
        <w:rPr>
          <w:spacing w:val="10"/>
          <w:position w:val="7"/>
          <w:sz w:val="13"/>
          <w:lang w:val="es-AR"/>
        </w:rPr>
        <w:t xml:space="preserve"> </w:t>
      </w:r>
      <w:hyperlink w:anchor="_bookmark107" w:history="1">
        <w:r w:rsidRPr="00624696">
          <w:rPr>
            <w:position w:val="7"/>
            <w:sz w:val="13"/>
            <w:lang w:val="es-AR"/>
          </w:rPr>
          <w:t>84</w:t>
        </w:r>
      </w:hyperlink>
      <w:r w:rsidRPr="00624696">
        <w:rPr>
          <w:sz w:val="20"/>
          <w:lang w:val="es-AR"/>
        </w:rPr>
        <w:t>.</w:t>
      </w:r>
    </w:p>
    <w:p w14:paraId="23B2B6FA" w14:textId="77777777" w:rsidR="00467FCA" w:rsidRPr="00624696" w:rsidRDefault="00467FCA">
      <w:pPr>
        <w:pStyle w:val="Textoindependiente"/>
        <w:spacing w:before="1"/>
        <w:rPr>
          <w:lang w:val="es-AR"/>
        </w:rPr>
      </w:pPr>
    </w:p>
    <w:p w14:paraId="1A225DBA" w14:textId="77777777" w:rsidR="00467FCA" w:rsidRPr="00624696" w:rsidRDefault="001B68EB">
      <w:pPr>
        <w:pStyle w:val="Prrafodelista"/>
        <w:numPr>
          <w:ilvl w:val="0"/>
          <w:numId w:val="50"/>
        </w:numPr>
        <w:tabs>
          <w:tab w:val="left" w:pos="687"/>
        </w:tabs>
        <w:ind w:left="118" w:right="116" w:firstLine="1"/>
        <w:jc w:val="both"/>
        <w:rPr>
          <w:sz w:val="20"/>
          <w:lang w:val="es-AR"/>
        </w:rPr>
      </w:pPr>
      <w:r w:rsidRPr="00624696">
        <w:rPr>
          <w:sz w:val="20"/>
          <w:lang w:val="es-AR"/>
        </w:rPr>
        <w:t>La actividad pirotécnica de fabricación de cohetes se distingue por el trabajo femenino (mujeres, niñas y adultas mayores) y “está marcada por una intensa precarización, subordinación y exclusión del trabajo formal, los derechos laborales y la ciudadanía”</w:t>
      </w:r>
      <w:hyperlink w:anchor="_bookmark108" w:history="1">
        <w:r w:rsidRPr="00624696">
          <w:rPr>
            <w:position w:val="7"/>
            <w:sz w:val="13"/>
            <w:lang w:val="es-AR"/>
          </w:rPr>
          <w:t>85</w:t>
        </w:r>
      </w:hyperlink>
      <w:r w:rsidRPr="00624696">
        <w:rPr>
          <w:sz w:val="20"/>
          <w:lang w:val="es-AR"/>
        </w:rPr>
        <w:t>. Las trabajadoras de este sector son normalmente mujeres que no concluyeron la primaria, que empezaron</w:t>
      </w:r>
      <w:r w:rsidRPr="00624696">
        <w:rPr>
          <w:spacing w:val="-5"/>
          <w:sz w:val="20"/>
          <w:lang w:val="es-AR"/>
        </w:rPr>
        <w:t xml:space="preserve"> </w:t>
      </w:r>
      <w:r w:rsidRPr="00624696">
        <w:rPr>
          <w:sz w:val="20"/>
          <w:lang w:val="es-AR"/>
        </w:rPr>
        <w:t>a</w:t>
      </w:r>
      <w:r w:rsidRPr="00624696">
        <w:rPr>
          <w:spacing w:val="-5"/>
          <w:sz w:val="20"/>
          <w:lang w:val="es-AR"/>
        </w:rPr>
        <w:t xml:space="preserve"> </w:t>
      </w:r>
      <w:r w:rsidRPr="00624696">
        <w:rPr>
          <w:sz w:val="20"/>
          <w:lang w:val="es-AR"/>
        </w:rPr>
        <w:t>trabajar</w:t>
      </w:r>
      <w:r w:rsidRPr="00624696">
        <w:rPr>
          <w:spacing w:val="-4"/>
          <w:sz w:val="20"/>
          <w:lang w:val="es-AR"/>
        </w:rPr>
        <w:t xml:space="preserve"> </w:t>
      </w:r>
      <w:r w:rsidRPr="00624696">
        <w:rPr>
          <w:sz w:val="20"/>
          <w:lang w:val="es-AR"/>
        </w:rPr>
        <w:t>en</w:t>
      </w:r>
      <w:r w:rsidRPr="00624696">
        <w:rPr>
          <w:spacing w:val="-4"/>
          <w:sz w:val="20"/>
          <w:lang w:val="es-AR"/>
        </w:rPr>
        <w:t xml:space="preserve"> </w:t>
      </w:r>
      <w:r w:rsidRPr="00624696">
        <w:rPr>
          <w:sz w:val="20"/>
          <w:lang w:val="es-AR"/>
        </w:rPr>
        <w:t>la</w:t>
      </w:r>
      <w:r w:rsidRPr="00624696">
        <w:rPr>
          <w:spacing w:val="-5"/>
          <w:sz w:val="20"/>
          <w:lang w:val="es-AR"/>
        </w:rPr>
        <w:t xml:space="preserve"> </w:t>
      </w:r>
      <w:r w:rsidRPr="00624696">
        <w:rPr>
          <w:sz w:val="20"/>
          <w:lang w:val="es-AR"/>
        </w:rPr>
        <w:t>industria</w:t>
      </w:r>
      <w:r w:rsidRPr="00624696">
        <w:rPr>
          <w:spacing w:val="-5"/>
          <w:sz w:val="20"/>
          <w:lang w:val="es-AR"/>
        </w:rPr>
        <w:t xml:space="preserve"> </w:t>
      </w:r>
      <w:r w:rsidRPr="00624696">
        <w:rPr>
          <w:sz w:val="20"/>
          <w:lang w:val="es-AR"/>
        </w:rPr>
        <w:t>entre</w:t>
      </w:r>
      <w:r w:rsidRPr="00624696">
        <w:rPr>
          <w:spacing w:val="-6"/>
          <w:sz w:val="20"/>
          <w:lang w:val="es-AR"/>
        </w:rPr>
        <w:t xml:space="preserve"> </w:t>
      </w:r>
      <w:r w:rsidRPr="00624696">
        <w:rPr>
          <w:sz w:val="20"/>
          <w:lang w:val="es-AR"/>
        </w:rPr>
        <w:t>los</w:t>
      </w:r>
      <w:r w:rsidRPr="00624696">
        <w:rPr>
          <w:spacing w:val="-6"/>
          <w:sz w:val="20"/>
          <w:lang w:val="es-AR"/>
        </w:rPr>
        <w:t xml:space="preserve"> </w:t>
      </w:r>
      <w:r w:rsidRPr="00624696">
        <w:rPr>
          <w:sz w:val="20"/>
          <w:lang w:val="es-AR"/>
        </w:rPr>
        <w:t>10</w:t>
      </w:r>
      <w:r w:rsidRPr="00624696">
        <w:rPr>
          <w:spacing w:val="-5"/>
          <w:sz w:val="20"/>
          <w:lang w:val="es-AR"/>
        </w:rPr>
        <w:t xml:space="preserve"> </w:t>
      </w:r>
      <w:r w:rsidRPr="00624696">
        <w:rPr>
          <w:sz w:val="20"/>
          <w:lang w:val="es-AR"/>
        </w:rPr>
        <w:t>y</w:t>
      </w:r>
      <w:r w:rsidRPr="00624696">
        <w:rPr>
          <w:spacing w:val="-5"/>
          <w:sz w:val="20"/>
          <w:lang w:val="es-AR"/>
        </w:rPr>
        <w:t xml:space="preserve"> </w:t>
      </w:r>
      <w:r w:rsidRPr="00624696">
        <w:rPr>
          <w:sz w:val="20"/>
          <w:lang w:val="es-AR"/>
        </w:rPr>
        <w:t>los</w:t>
      </w:r>
      <w:r w:rsidRPr="00624696">
        <w:rPr>
          <w:spacing w:val="-6"/>
          <w:sz w:val="20"/>
          <w:lang w:val="es-AR"/>
        </w:rPr>
        <w:t xml:space="preserve"> </w:t>
      </w:r>
      <w:r w:rsidRPr="00624696">
        <w:rPr>
          <w:sz w:val="20"/>
          <w:lang w:val="es-AR"/>
        </w:rPr>
        <w:t>13</w:t>
      </w:r>
      <w:r w:rsidRPr="00624696">
        <w:rPr>
          <w:spacing w:val="-3"/>
          <w:sz w:val="20"/>
          <w:lang w:val="es-AR"/>
        </w:rPr>
        <w:t xml:space="preserve"> </w:t>
      </w:r>
      <w:r w:rsidRPr="00624696">
        <w:rPr>
          <w:sz w:val="20"/>
          <w:lang w:val="es-AR"/>
        </w:rPr>
        <w:t>años</w:t>
      </w:r>
      <w:r w:rsidRPr="00624696">
        <w:rPr>
          <w:spacing w:val="-4"/>
          <w:sz w:val="20"/>
          <w:lang w:val="es-AR"/>
        </w:rPr>
        <w:t xml:space="preserve"> </w:t>
      </w:r>
      <w:r w:rsidRPr="00624696">
        <w:rPr>
          <w:sz w:val="20"/>
          <w:lang w:val="es-AR"/>
        </w:rPr>
        <w:t>y</w:t>
      </w:r>
      <w:r w:rsidRPr="00624696">
        <w:rPr>
          <w:spacing w:val="-5"/>
          <w:sz w:val="20"/>
          <w:lang w:val="es-AR"/>
        </w:rPr>
        <w:t xml:space="preserve"> </w:t>
      </w:r>
      <w:r w:rsidRPr="00624696">
        <w:rPr>
          <w:sz w:val="20"/>
          <w:lang w:val="es-AR"/>
        </w:rPr>
        <w:t>que</w:t>
      </w:r>
      <w:r w:rsidRPr="00624696">
        <w:rPr>
          <w:spacing w:val="-7"/>
          <w:sz w:val="20"/>
          <w:lang w:val="es-AR"/>
        </w:rPr>
        <w:t xml:space="preserve"> </w:t>
      </w:r>
      <w:r w:rsidRPr="00624696">
        <w:rPr>
          <w:sz w:val="20"/>
          <w:lang w:val="es-AR"/>
        </w:rPr>
        <w:t>aprendieron</w:t>
      </w:r>
      <w:r w:rsidRPr="00624696">
        <w:rPr>
          <w:spacing w:val="-5"/>
          <w:sz w:val="20"/>
          <w:lang w:val="es-AR"/>
        </w:rPr>
        <w:t xml:space="preserve"> </w:t>
      </w:r>
      <w:r w:rsidRPr="00624696">
        <w:rPr>
          <w:sz w:val="20"/>
          <w:lang w:val="es-AR"/>
        </w:rPr>
        <w:t>de</w:t>
      </w:r>
      <w:r w:rsidRPr="00624696">
        <w:rPr>
          <w:spacing w:val="-6"/>
          <w:sz w:val="20"/>
          <w:lang w:val="es-AR"/>
        </w:rPr>
        <w:t xml:space="preserve"> </w:t>
      </w:r>
      <w:r w:rsidRPr="00624696">
        <w:rPr>
          <w:sz w:val="20"/>
          <w:lang w:val="es-AR"/>
        </w:rPr>
        <w:t>vecinos y</w:t>
      </w:r>
      <w:r w:rsidRPr="00624696">
        <w:rPr>
          <w:spacing w:val="-21"/>
          <w:sz w:val="20"/>
          <w:lang w:val="es-AR"/>
        </w:rPr>
        <w:t xml:space="preserve"> </w:t>
      </w:r>
      <w:r w:rsidRPr="00624696">
        <w:rPr>
          <w:sz w:val="20"/>
          <w:lang w:val="es-AR"/>
        </w:rPr>
        <w:t>familiares,</w:t>
      </w:r>
      <w:r w:rsidRPr="00624696">
        <w:rPr>
          <w:spacing w:val="-18"/>
          <w:sz w:val="20"/>
          <w:lang w:val="es-AR"/>
        </w:rPr>
        <w:t xml:space="preserve"> </w:t>
      </w:r>
      <w:r w:rsidRPr="00624696">
        <w:rPr>
          <w:sz w:val="20"/>
          <w:lang w:val="es-AR"/>
        </w:rPr>
        <w:t>sin</w:t>
      </w:r>
      <w:r w:rsidRPr="00624696">
        <w:rPr>
          <w:spacing w:val="-17"/>
          <w:sz w:val="20"/>
          <w:lang w:val="es-AR"/>
        </w:rPr>
        <w:t xml:space="preserve"> </w:t>
      </w:r>
      <w:r w:rsidRPr="00624696">
        <w:rPr>
          <w:sz w:val="20"/>
          <w:lang w:val="es-AR"/>
        </w:rPr>
        <w:t>recibir</w:t>
      </w:r>
      <w:r w:rsidRPr="00624696">
        <w:rPr>
          <w:spacing w:val="-21"/>
          <w:sz w:val="20"/>
          <w:lang w:val="es-AR"/>
        </w:rPr>
        <w:t xml:space="preserve"> </w:t>
      </w:r>
      <w:r w:rsidRPr="00624696">
        <w:rPr>
          <w:sz w:val="20"/>
          <w:lang w:val="es-AR"/>
        </w:rPr>
        <w:t>ningún</w:t>
      </w:r>
      <w:r w:rsidRPr="00624696">
        <w:rPr>
          <w:spacing w:val="-20"/>
          <w:sz w:val="20"/>
          <w:lang w:val="es-AR"/>
        </w:rPr>
        <w:t xml:space="preserve"> </w:t>
      </w:r>
      <w:r w:rsidRPr="00624696">
        <w:rPr>
          <w:sz w:val="20"/>
          <w:lang w:val="es-AR"/>
        </w:rPr>
        <w:t>tipo</w:t>
      </w:r>
      <w:r w:rsidRPr="00624696">
        <w:rPr>
          <w:spacing w:val="-21"/>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capacitación</w:t>
      </w:r>
      <w:r w:rsidRPr="00624696">
        <w:rPr>
          <w:spacing w:val="-20"/>
          <w:sz w:val="20"/>
          <w:lang w:val="es-AR"/>
        </w:rPr>
        <w:t xml:space="preserve"> </w:t>
      </w:r>
      <w:r w:rsidRPr="00624696">
        <w:rPr>
          <w:sz w:val="20"/>
          <w:lang w:val="es-AR"/>
        </w:rPr>
        <w:t>formal.</w:t>
      </w:r>
      <w:r w:rsidRPr="00624696">
        <w:rPr>
          <w:spacing w:val="-18"/>
          <w:sz w:val="20"/>
          <w:lang w:val="es-AR"/>
        </w:rPr>
        <w:t xml:space="preserve"> </w:t>
      </w:r>
      <w:r w:rsidRPr="00624696">
        <w:rPr>
          <w:sz w:val="20"/>
          <w:lang w:val="es-AR"/>
        </w:rPr>
        <w:t>Se</w:t>
      </w:r>
      <w:r w:rsidRPr="00624696">
        <w:rPr>
          <w:spacing w:val="-20"/>
          <w:sz w:val="20"/>
          <w:lang w:val="es-AR"/>
        </w:rPr>
        <w:t xml:space="preserve"> </w:t>
      </w:r>
      <w:r w:rsidRPr="00624696">
        <w:rPr>
          <w:sz w:val="20"/>
          <w:lang w:val="es-AR"/>
        </w:rPr>
        <w:t>trata</w:t>
      </w:r>
      <w:r w:rsidRPr="00624696">
        <w:rPr>
          <w:spacing w:val="-17"/>
          <w:sz w:val="20"/>
          <w:lang w:val="es-AR"/>
        </w:rPr>
        <w:t xml:space="preserve"> </w:t>
      </w:r>
      <w:r w:rsidRPr="00624696">
        <w:rPr>
          <w:sz w:val="20"/>
          <w:lang w:val="es-AR"/>
        </w:rPr>
        <w:t>de</w:t>
      </w:r>
      <w:r w:rsidRPr="00624696">
        <w:rPr>
          <w:spacing w:val="-20"/>
          <w:sz w:val="20"/>
          <w:lang w:val="es-AR"/>
        </w:rPr>
        <w:t xml:space="preserve"> </w:t>
      </w:r>
      <w:r w:rsidRPr="00624696">
        <w:rPr>
          <w:sz w:val="20"/>
          <w:lang w:val="es-AR"/>
        </w:rPr>
        <w:t>mujeres</w:t>
      </w:r>
      <w:r w:rsidRPr="00624696">
        <w:rPr>
          <w:spacing w:val="-18"/>
          <w:sz w:val="20"/>
          <w:lang w:val="es-AR"/>
        </w:rPr>
        <w:t xml:space="preserve"> </w:t>
      </w:r>
      <w:r w:rsidRPr="00624696">
        <w:rPr>
          <w:sz w:val="20"/>
          <w:lang w:val="es-AR"/>
        </w:rPr>
        <w:t>marginalizadas en la sociedad, sin otras opciones laborales</w:t>
      </w:r>
      <w:hyperlink w:anchor="_bookmark109" w:history="1">
        <w:r w:rsidRPr="00624696">
          <w:rPr>
            <w:position w:val="7"/>
            <w:sz w:val="13"/>
            <w:lang w:val="es-AR"/>
          </w:rPr>
          <w:t>86</w:t>
        </w:r>
      </w:hyperlink>
      <w:r w:rsidRPr="00624696">
        <w:rPr>
          <w:sz w:val="20"/>
          <w:lang w:val="es-AR"/>
        </w:rPr>
        <w:t>. Asimismo, las mujeres y niñas que se dedican a</w:t>
      </w:r>
      <w:r w:rsidRPr="00624696">
        <w:rPr>
          <w:spacing w:val="-14"/>
          <w:sz w:val="20"/>
          <w:lang w:val="es-AR"/>
        </w:rPr>
        <w:t xml:space="preserve"> </w:t>
      </w:r>
      <w:r w:rsidRPr="00624696">
        <w:rPr>
          <w:sz w:val="20"/>
          <w:lang w:val="es-AR"/>
        </w:rPr>
        <w:t>la</w:t>
      </w:r>
      <w:r w:rsidRPr="00624696">
        <w:rPr>
          <w:spacing w:val="-12"/>
          <w:sz w:val="20"/>
          <w:lang w:val="es-AR"/>
        </w:rPr>
        <w:t xml:space="preserve"> </w:t>
      </w:r>
      <w:r w:rsidRPr="00624696">
        <w:rPr>
          <w:sz w:val="20"/>
          <w:lang w:val="es-AR"/>
        </w:rPr>
        <w:t>fabricación</w:t>
      </w:r>
      <w:r w:rsidRPr="00624696">
        <w:rPr>
          <w:spacing w:val="-12"/>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bombetas</w:t>
      </w:r>
      <w:r w:rsidRPr="00624696">
        <w:rPr>
          <w:spacing w:val="-13"/>
          <w:sz w:val="20"/>
          <w:lang w:val="es-AR"/>
        </w:rPr>
        <w:t xml:space="preserve"> </w:t>
      </w:r>
      <w:r w:rsidRPr="00624696">
        <w:rPr>
          <w:sz w:val="20"/>
          <w:lang w:val="es-AR"/>
        </w:rPr>
        <w:t>trabajan</w:t>
      </w:r>
      <w:r w:rsidRPr="00624696">
        <w:rPr>
          <w:spacing w:val="-13"/>
          <w:sz w:val="20"/>
          <w:lang w:val="es-AR"/>
        </w:rPr>
        <w:t xml:space="preserve"> </w:t>
      </w:r>
      <w:r w:rsidRPr="00624696">
        <w:rPr>
          <w:sz w:val="20"/>
          <w:lang w:val="es-AR"/>
        </w:rPr>
        <w:t>en</w:t>
      </w:r>
      <w:r w:rsidRPr="00624696">
        <w:rPr>
          <w:spacing w:val="-9"/>
          <w:sz w:val="20"/>
          <w:lang w:val="es-AR"/>
        </w:rPr>
        <w:t xml:space="preserve"> </w:t>
      </w:r>
      <w:r w:rsidRPr="00624696">
        <w:rPr>
          <w:sz w:val="20"/>
          <w:lang w:val="es-AR"/>
        </w:rPr>
        <w:t>esta</w:t>
      </w:r>
      <w:r w:rsidRPr="00624696">
        <w:rPr>
          <w:spacing w:val="-10"/>
          <w:sz w:val="20"/>
          <w:lang w:val="es-AR"/>
        </w:rPr>
        <w:t xml:space="preserve"> </w:t>
      </w:r>
      <w:r w:rsidRPr="00624696">
        <w:rPr>
          <w:sz w:val="20"/>
          <w:lang w:val="es-AR"/>
        </w:rPr>
        <w:t>actividad</w:t>
      </w:r>
      <w:r w:rsidRPr="00624696">
        <w:rPr>
          <w:spacing w:val="-12"/>
          <w:sz w:val="20"/>
          <w:lang w:val="es-AR"/>
        </w:rPr>
        <w:t xml:space="preserve"> </w:t>
      </w:r>
      <w:r w:rsidRPr="00624696">
        <w:rPr>
          <w:sz w:val="20"/>
          <w:lang w:val="es-AR"/>
        </w:rPr>
        <w:t>debido</w:t>
      </w:r>
      <w:r w:rsidRPr="00624696">
        <w:rPr>
          <w:spacing w:val="-15"/>
          <w:sz w:val="20"/>
          <w:lang w:val="es-AR"/>
        </w:rPr>
        <w:t xml:space="preserve"> </w:t>
      </w:r>
      <w:r w:rsidRPr="00624696">
        <w:rPr>
          <w:sz w:val="20"/>
          <w:lang w:val="es-AR"/>
        </w:rPr>
        <w:t>a</w:t>
      </w:r>
      <w:r w:rsidRPr="00624696">
        <w:rPr>
          <w:spacing w:val="-10"/>
          <w:sz w:val="20"/>
          <w:lang w:val="es-AR"/>
        </w:rPr>
        <w:t xml:space="preserve"> </w:t>
      </w:r>
      <w:r w:rsidRPr="00624696">
        <w:rPr>
          <w:sz w:val="20"/>
          <w:lang w:val="es-AR"/>
        </w:rPr>
        <w:t>su</w:t>
      </w:r>
      <w:r w:rsidRPr="00624696">
        <w:rPr>
          <w:spacing w:val="-12"/>
          <w:sz w:val="20"/>
          <w:lang w:val="es-AR"/>
        </w:rPr>
        <w:t xml:space="preserve"> </w:t>
      </w:r>
      <w:r w:rsidRPr="00624696">
        <w:rPr>
          <w:sz w:val="20"/>
          <w:lang w:val="es-AR"/>
        </w:rPr>
        <w:t>habilidad</w:t>
      </w:r>
      <w:r w:rsidRPr="00624696">
        <w:rPr>
          <w:spacing w:val="-12"/>
          <w:sz w:val="20"/>
          <w:lang w:val="es-AR"/>
        </w:rPr>
        <w:t xml:space="preserve"> </w:t>
      </w:r>
      <w:r w:rsidRPr="00624696">
        <w:rPr>
          <w:sz w:val="20"/>
          <w:lang w:val="es-AR"/>
        </w:rPr>
        <w:t>manual,</w:t>
      </w:r>
      <w:r w:rsidRPr="00624696">
        <w:rPr>
          <w:spacing w:val="-13"/>
          <w:sz w:val="20"/>
          <w:lang w:val="es-AR"/>
        </w:rPr>
        <w:t xml:space="preserve"> </w:t>
      </w:r>
      <w:r w:rsidRPr="00624696">
        <w:rPr>
          <w:sz w:val="20"/>
          <w:lang w:val="es-AR"/>
        </w:rPr>
        <w:t>por</w:t>
      </w:r>
      <w:r w:rsidRPr="00624696">
        <w:rPr>
          <w:spacing w:val="-12"/>
          <w:sz w:val="20"/>
          <w:lang w:val="es-AR"/>
        </w:rPr>
        <w:t xml:space="preserve"> </w:t>
      </w:r>
      <w:r w:rsidRPr="00624696">
        <w:rPr>
          <w:sz w:val="20"/>
          <w:lang w:val="es-AR"/>
        </w:rPr>
        <w:t>ello son preferidas para este tipo de trabajo</w:t>
      </w:r>
      <w:hyperlink w:anchor="_bookmark110" w:history="1">
        <w:r w:rsidRPr="00624696">
          <w:rPr>
            <w:position w:val="7"/>
            <w:sz w:val="13"/>
            <w:lang w:val="es-AR"/>
          </w:rPr>
          <w:t>87</w:t>
        </w:r>
      </w:hyperlink>
      <w:r w:rsidRPr="00624696">
        <w:rPr>
          <w:sz w:val="20"/>
          <w:lang w:val="es-AR"/>
        </w:rPr>
        <w:t>. En 1998, había aproximadamente 2.000 mujeres dedicadas a la fabricación de fuegos artificiales, de las cuales más de un 60% eran afrodescendi</w:t>
      </w:r>
      <w:r w:rsidRPr="00624696">
        <w:rPr>
          <w:sz w:val="20"/>
          <w:lang w:val="es-AR"/>
        </w:rPr>
        <w:t>entes.</w:t>
      </w:r>
      <w:r w:rsidRPr="00624696">
        <w:rPr>
          <w:spacing w:val="-21"/>
          <w:sz w:val="20"/>
          <w:lang w:val="es-AR"/>
        </w:rPr>
        <w:t xml:space="preserve"> </w:t>
      </w:r>
      <w:r w:rsidRPr="00624696">
        <w:rPr>
          <w:sz w:val="20"/>
          <w:lang w:val="es-AR"/>
        </w:rPr>
        <w:t>Además,</w:t>
      </w:r>
      <w:r w:rsidRPr="00624696">
        <w:rPr>
          <w:spacing w:val="-20"/>
          <w:sz w:val="20"/>
          <w:lang w:val="es-AR"/>
        </w:rPr>
        <w:t xml:space="preserve"> </w:t>
      </w:r>
      <w:r w:rsidRPr="00624696">
        <w:rPr>
          <w:sz w:val="20"/>
          <w:lang w:val="es-AR"/>
        </w:rPr>
        <w:t>del</w:t>
      </w:r>
      <w:r w:rsidRPr="00624696">
        <w:rPr>
          <w:spacing w:val="-18"/>
          <w:sz w:val="20"/>
          <w:lang w:val="es-AR"/>
        </w:rPr>
        <w:t xml:space="preserve"> </w:t>
      </w:r>
      <w:r w:rsidRPr="00624696">
        <w:rPr>
          <w:sz w:val="20"/>
          <w:lang w:val="es-AR"/>
        </w:rPr>
        <w:t>total</w:t>
      </w:r>
      <w:r w:rsidRPr="00624696">
        <w:rPr>
          <w:spacing w:val="-19"/>
          <w:sz w:val="20"/>
          <w:lang w:val="es-AR"/>
        </w:rPr>
        <w:t xml:space="preserve"> </w:t>
      </w:r>
      <w:r w:rsidRPr="00624696">
        <w:rPr>
          <w:sz w:val="20"/>
          <w:lang w:val="es-AR"/>
        </w:rPr>
        <w:t>de</w:t>
      </w:r>
      <w:r w:rsidRPr="00624696">
        <w:rPr>
          <w:spacing w:val="-20"/>
          <w:sz w:val="20"/>
          <w:lang w:val="es-AR"/>
        </w:rPr>
        <w:t xml:space="preserve"> </w:t>
      </w:r>
      <w:r w:rsidRPr="00624696">
        <w:rPr>
          <w:sz w:val="20"/>
          <w:lang w:val="es-AR"/>
        </w:rPr>
        <w:t>personas</w:t>
      </w:r>
      <w:r w:rsidRPr="00624696">
        <w:rPr>
          <w:spacing w:val="-20"/>
          <w:sz w:val="20"/>
          <w:lang w:val="es-AR"/>
        </w:rPr>
        <w:t xml:space="preserve"> </w:t>
      </w:r>
      <w:r w:rsidRPr="00624696">
        <w:rPr>
          <w:sz w:val="20"/>
          <w:lang w:val="es-AR"/>
        </w:rPr>
        <w:t>trabajando,</w:t>
      </w:r>
      <w:r w:rsidRPr="00624696">
        <w:rPr>
          <w:spacing w:val="-17"/>
          <w:sz w:val="20"/>
          <w:lang w:val="es-AR"/>
        </w:rPr>
        <w:t xml:space="preserve"> </w:t>
      </w:r>
      <w:r w:rsidRPr="00624696">
        <w:rPr>
          <w:sz w:val="20"/>
          <w:lang w:val="es-AR"/>
        </w:rPr>
        <w:t>entre</w:t>
      </w:r>
      <w:r w:rsidRPr="00624696">
        <w:rPr>
          <w:spacing w:val="-21"/>
          <w:sz w:val="20"/>
          <w:lang w:val="es-AR"/>
        </w:rPr>
        <w:t xml:space="preserve"> </w:t>
      </w:r>
      <w:r w:rsidRPr="00624696">
        <w:rPr>
          <w:sz w:val="20"/>
          <w:lang w:val="es-AR"/>
        </w:rPr>
        <w:t>un</w:t>
      </w:r>
      <w:r w:rsidRPr="00624696">
        <w:rPr>
          <w:spacing w:val="-15"/>
          <w:sz w:val="20"/>
          <w:lang w:val="es-AR"/>
        </w:rPr>
        <w:t xml:space="preserve"> </w:t>
      </w:r>
      <w:r w:rsidRPr="00624696">
        <w:rPr>
          <w:sz w:val="20"/>
          <w:lang w:val="es-AR"/>
        </w:rPr>
        <w:t>30%</w:t>
      </w:r>
      <w:r w:rsidRPr="00624696">
        <w:rPr>
          <w:spacing w:val="-18"/>
          <w:sz w:val="20"/>
          <w:lang w:val="es-AR"/>
        </w:rPr>
        <w:t xml:space="preserve"> </w:t>
      </w:r>
      <w:r w:rsidRPr="00624696">
        <w:rPr>
          <w:sz w:val="20"/>
          <w:lang w:val="es-AR"/>
        </w:rPr>
        <w:t>y</w:t>
      </w:r>
      <w:r w:rsidRPr="00624696">
        <w:rPr>
          <w:spacing w:val="-20"/>
          <w:sz w:val="20"/>
          <w:lang w:val="es-AR"/>
        </w:rPr>
        <w:t xml:space="preserve"> </w:t>
      </w:r>
      <w:r w:rsidRPr="00624696">
        <w:rPr>
          <w:sz w:val="20"/>
          <w:lang w:val="es-AR"/>
        </w:rPr>
        <w:t>40%</w:t>
      </w:r>
      <w:r w:rsidRPr="00624696">
        <w:rPr>
          <w:spacing w:val="-18"/>
          <w:sz w:val="20"/>
          <w:lang w:val="es-AR"/>
        </w:rPr>
        <w:t xml:space="preserve"> </w:t>
      </w:r>
      <w:r w:rsidRPr="00624696">
        <w:rPr>
          <w:sz w:val="20"/>
          <w:lang w:val="es-AR"/>
        </w:rPr>
        <w:t>eran</w:t>
      </w:r>
      <w:r w:rsidRPr="00624696">
        <w:rPr>
          <w:spacing w:val="-18"/>
          <w:sz w:val="20"/>
          <w:lang w:val="es-AR"/>
        </w:rPr>
        <w:t xml:space="preserve"> </w:t>
      </w:r>
      <w:r w:rsidRPr="00624696">
        <w:rPr>
          <w:sz w:val="20"/>
          <w:lang w:val="es-AR"/>
        </w:rPr>
        <w:t>niñas y</w:t>
      </w:r>
      <w:r w:rsidRPr="00624696">
        <w:rPr>
          <w:spacing w:val="-17"/>
          <w:sz w:val="20"/>
          <w:lang w:val="es-AR"/>
        </w:rPr>
        <w:t xml:space="preserve"> </w:t>
      </w:r>
      <w:r w:rsidRPr="00624696">
        <w:rPr>
          <w:sz w:val="20"/>
          <w:lang w:val="es-AR"/>
        </w:rPr>
        <w:t>niños.</w:t>
      </w:r>
      <w:r w:rsidRPr="00624696">
        <w:rPr>
          <w:spacing w:val="-14"/>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las</w:t>
      </w:r>
      <w:r w:rsidRPr="00624696">
        <w:rPr>
          <w:spacing w:val="-16"/>
          <w:sz w:val="20"/>
          <w:lang w:val="es-AR"/>
        </w:rPr>
        <w:t xml:space="preserve"> </w:t>
      </w:r>
      <w:r w:rsidRPr="00624696">
        <w:rPr>
          <w:sz w:val="20"/>
          <w:lang w:val="es-AR"/>
        </w:rPr>
        <w:t>pruebas</w:t>
      </w:r>
      <w:r w:rsidRPr="00624696">
        <w:rPr>
          <w:spacing w:val="-15"/>
          <w:sz w:val="20"/>
          <w:lang w:val="es-AR"/>
        </w:rPr>
        <w:t xml:space="preserve"> </w:t>
      </w:r>
      <w:r w:rsidRPr="00624696">
        <w:rPr>
          <w:sz w:val="20"/>
          <w:lang w:val="es-AR"/>
        </w:rPr>
        <w:t>que</w:t>
      </w:r>
      <w:r w:rsidRPr="00624696">
        <w:rPr>
          <w:spacing w:val="-16"/>
          <w:sz w:val="20"/>
          <w:lang w:val="es-AR"/>
        </w:rPr>
        <w:t xml:space="preserve"> </w:t>
      </w:r>
      <w:r w:rsidRPr="00624696">
        <w:rPr>
          <w:sz w:val="20"/>
          <w:lang w:val="es-AR"/>
        </w:rPr>
        <w:t>obran</w:t>
      </w:r>
      <w:r w:rsidRPr="00624696">
        <w:rPr>
          <w:spacing w:val="-14"/>
          <w:sz w:val="20"/>
          <w:lang w:val="es-AR"/>
        </w:rPr>
        <w:t xml:space="preserve"> </w:t>
      </w:r>
      <w:r w:rsidRPr="00624696">
        <w:rPr>
          <w:sz w:val="20"/>
          <w:lang w:val="es-AR"/>
        </w:rPr>
        <w:t>en</w:t>
      </w:r>
      <w:r w:rsidRPr="00624696">
        <w:rPr>
          <w:spacing w:val="-13"/>
          <w:sz w:val="20"/>
          <w:lang w:val="es-AR"/>
        </w:rPr>
        <w:t xml:space="preserve"> </w:t>
      </w:r>
      <w:r w:rsidRPr="00624696">
        <w:rPr>
          <w:sz w:val="20"/>
          <w:lang w:val="es-AR"/>
        </w:rPr>
        <w:t>el</w:t>
      </w:r>
      <w:r w:rsidRPr="00624696">
        <w:rPr>
          <w:spacing w:val="-12"/>
          <w:sz w:val="20"/>
          <w:lang w:val="es-AR"/>
        </w:rPr>
        <w:t xml:space="preserve"> </w:t>
      </w:r>
      <w:r w:rsidRPr="00624696">
        <w:rPr>
          <w:sz w:val="20"/>
          <w:lang w:val="es-AR"/>
        </w:rPr>
        <w:t>expediente,</w:t>
      </w:r>
      <w:r w:rsidRPr="00624696">
        <w:rPr>
          <w:spacing w:val="-16"/>
          <w:sz w:val="20"/>
          <w:lang w:val="es-AR"/>
        </w:rPr>
        <w:t xml:space="preserve"> </w:t>
      </w:r>
      <w:r w:rsidRPr="00624696">
        <w:rPr>
          <w:sz w:val="20"/>
          <w:lang w:val="es-AR"/>
        </w:rPr>
        <w:t>se</w:t>
      </w:r>
      <w:r w:rsidRPr="00624696">
        <w:rPr>
          <w:spacing w:val="-16"/>
          <w:sz w:val="20"/>
          <w:lang w:val="es-AR"/>
        </w:rPr>
        <w:t xml:space="preserve"> </w:t>
      </w:r>
      <w:r w:rsidRPr="00624696">
        <w:rPr>
          <w:sz w:val="20"/>
          <w:lang w:val="es-AR"/>
        </w:rPr>
        <w:t>desprende</w:t>
      </w:r>
      <w:r w:rsidRPr="00624696">
        <w:rPr>
          <w:spacing w:val="-15"/>
          <w:sz w:val="20"/>
          <w:lang w:val="es-AR"/>
        </w:rPr>
        <w:t xml:space="preserve"> </w:t>
      </w:r>
      <w:r w:rsidRPr="00624696">
        <w:rPr>
          <w:sz w:val="20"/>
          <w:lang w:val="es-AR"/>
        </w:rPr>
        <w:t>que</w:t>
      </w:r>
      <w:r w:rsidRPr="00624696">
        <w:rPr>
          <w:spacing w:val="-16"/>
          <w:sz w:val="20"/>
          <w:lang w:val="es-AR"/>
        </w:rPr>
        <w:t xml:space="preserve"> </w:t>
      </w:r>
      <w:r w:rsidRPr="00624696">
        <w:rPr>
          <w:sz w:val="20"/>
          <w:lang w:val="es-AR"/>
        </w:rPr>
        <w:t>las</w:t>
      </w:r>
      <w:r w:rsidRPr="00624696">
        <w:rPr>
          <w:spacing w:val="-16"/>
          <w:sz w:val="20"/>
          <w:lang w:val="es-AR"/>
        </w:rPr>
        <w:t xml:space="preserve"> </w:t>
      </w:r>
      <w:r w:rsidRPr="00624696">
        <w:rPr>
          <w:sz w:val="20"/>
          <w:lang w:val="es-AR"/>
        </w:rPr>
        <w:t>mujeres</w:t>
      </w:r>
      <w:r w:rsidRPr="00624696">
        <w:rPr>
          <w:spacing w:val="-14"/>
          <w:sz w:val="20"/>
          <w:lang w:val="es-AR"/>
        </w:rPr>
        <w:t xml:space="preserve"> </w:t>
      </w:r>
      <w:r w:rsidRPr="00624696">
        <w:rPr>
          <w:sz w:val="20"/>
          <w:lang w:val="es-AR"/>
        </w:rPr>
        <w:t>introducían a sus hijos en la fabricación de bombetas, no solo porque ello les permitía aumentar</w:t>
      </w:r>
      <w:r w:rsidRPr="00624696">
        <w:rPr>
          <w:sz w:val="20"/>
          <w:lang w:val="es-AR"/>
        </w:rPr>
        <w:t xml:space="preserve"> la productividad, sino porque no tenían con quién dejarlos para su</w:t>
      </w:r>
      <w:r w:rsidRPr="00624696">
        <w:rPr>
          <w:spacing w:val="-8"/>
          <w:sz w:val="20"/>
          <w:lang w:val="es-AR"/>
        </w:rPr>
        <w:t xml:space="preserve"> </w:t>
      </w:r>
      <w:r w:rsidRPr="00624696">
        <w:rPr>
          <w:sz w:val="20"/>
          <w:lang w:val="es-AR"/>
        </w:rPr>
        <w:t>cuidado</w:t>
      </w:r>
      <w:hyperlink w:anchor="_bookmark111" w:history="1">
        <w:r w:rsidRPr="00624696">
          <w:rPr>
            <w:position w:val="7"/>
            <w:sz w:val="13"/>
            <w:lang w:val="es-AR"/>
          </w:rPr>
          <w:t>88</w:t>
        </w:r>
      </w:hyperlink>
      <w:r w:rsidRPr="00624696">
        <w:rPr>
          <w:sz w:val="20"/>
          <w:lang w:val="es-AR"/>
        </w:rPr>
        <w:t>.</w:t>
      </w:r>
    </w:p>
    <w:p w14:paraId="3372784C" w14:textId="77777777" w:rsidR="00467FCA" w:rsidRPr="00624696" w:rsidRDefault="001B68EB">
      <w:pPr>
        <w:pStyle w:val="Textoindependiente"/>
        <w:spacing w:before="6"/>
        <w:rPr>
          <w:sz w:val="17"/>
          <w:lang w:val="es-AR"/>
        </w:rPr>
      </w:pPr>
      <w:r>
        <w:pict w14:anchorId="49241498">
          <v:shape id="_x0000_s1178" style="position:absolute;margin-left:1in;margin-top:12.9pt;width:2in;height:.1pt;z-index:-251639808;mso-wrap-distance-left:0;mso-wrap-distance-right:0;mso-position-horizontal-relative:page" coordorigin="1440,258" coordsize="2880,0" path="m1440,258r2880,e" filled="f" strokeweight=".21131mm">
            <v:path arrowok="t"/>
            <w10:wrap type="topAndBottom" anchorx="page"/>
          </v:shape>
        </w:pict>
      </w:r>
    </w:p>
    <w:p w14:paraId="497DB946" w14:textId="77777777" w:rsidR="00467FCA" w:rsidRPr="00624696" w:rsidRDefault="001B68EB">
      <w:pPr>
        <w:tabs>
          <w:tab w:val="left" w:pos="839"/>
        </w:tabs>
        <w:spacing w:before="74"/>
        <w:ind w:left="120"/>
        <w:jc w:val="both"/>
        <w:rPr>
          <w:sz w:val="16"/>
          <w:lang w:val="es-AR"/>
        </w:rPr>
      </w:pPr>
      <w:bookmarkStart w:id="126" w:name="_bookmark101"/>
      <w:bookmarkEnd w:id="126"/>
      <w:r w:rsidRPr="00624696">
        <w:rPr>
          <w:position w:val="6"/>
          <w:sz w:val="10"/>
          <w:lang w:val="es-AR"/>
        </w:rPr>
        <w:t>78</w:t>
      </w:r>
      <w:r w:rsidRPr="00624696">
        <w:rPr>
          <w:position w:val="6"/>
          <w:sz w:val="10"/>
          <w:lang w:val="es-AR"/>
        </w:rPr>
        <w:tab/>
      </w:r>
      <w:r w:rsidRPr="00624696">
        <w:rPr>
          <w:i/>
          <w:sz w:val="16"/>
          <w:lang w:val="es-AR"/>
        </w:rPr>
        <w:t>Cfr</w:t>
      </w:r>
      <w:r w:rsidRPr="00624696">
        <w:rPr>
          <w:sz w:val="16"/>
          <w:lang w:val="es-AR"/>
        </w:rPr>
        <w:t>. Documento Síntesis del Grupo de Trabajo,</w:t>
      </w:r>
      <w:r w:rsidRPr="00624696">
        <w:rPr>
          <w:spacing w:val="-2"/>
          <w:sz w:val="16"/>
          <w:lang w:val="es-AR"/>
        </w:rPr>
        <w:t xml:space="preserve"> </w:t>
      </w:r>
      <w:r w:rsidRPr="00624696">
        <w:rPr>
          <w:i/>
          <w:sz w:val="16"/>
          <w:lang w:val="es-AR"/>
        </w:rPr>
        <w:t>supra</w:t>
      </w:r>
      <w:r w:rsidRPr="00624696">
        <w:rPr>
          <w:sz w:val="16"/>
          <w:lang w:val="es-AR"/>
        </w:rPr>
        <w:t>.</w:t>
      </w:r>
    </w:p>
    <w:p w14:paraId="77399F13" w14:textId="77777777" w:rsidR="00467FCA" w:rsidRPr="00624696" w:rsidRDefault="001B68EB">
      <w:pPr>
        <w:tabs>
          <w:tab w:val="left" w:pos="839"/>
        </w:tabs>
        <w:ind w:left="120" w:right="115" w:hanging="1"/>
        <w:jc w:val="both"/>
        <w:rPr>
          <w:i/>
          <w:sz w:val="16"/>
          <w:lang w:val="es-AR"/>
        </w:rPr>
      </w:pPr>
      <w:bookmarkStart w:id="127" w:name="_bookmark102"/>
      <w:bookmarkEnd w:id="127"/>
      <w:r w:rsidRPr="00624696">
        <w:rPr>
          <w:position w:val="6"/>
          <w:sz w:val="10"/>
          <w:lang w:val="es-AR"/>
        </w:rPr>
        <w:t>79</w:t>
      </w:r>
      <w:r w:rsidRPr="00624696">
        <w:rPr>
          <w:position w:val="6"/>
          <w:sz w:val="10"/>
          <w:lang w:val="es-AR"/>
        </w:rPr>
        <w:tab/>
      </w:r>
      <w:r w:rsidRPr="00624696">
        <w:rPr>
          <w:i/>
          <w:sz w:val="16"/>
          <w:lang w:val="es-AR"/>
        </w:rPr>
        <w:t>Cfr.</w:t>
      </w:r>
      <w:r w:rsidRPr="00624696">
        <w:rPr>
          <w:i/>
          <w:spacing w:val="-11"/>
          <w:sz w:val="16"/>
          <w:lang w:val="es-AR"/>
        </w:rPr>
        <w:t xml:space="preserve"> </w:t>
      </w:r>
      <w:r w:rsidRPr="00624696">
        <w:rPr>
          <w:sz w:val="16"/>
          <w:lang w:val="es-AR"/>
        </w:rPr>
        <w:t>BARBOSA</w:t>
      </w:r>
      <w:r w:rsidRPr="00624696">
        <w:rPr>
          <w:spacing w:val="-12"/>
          <w:sz w:val="16"/>
          <w:lang w:val="es-AR"/>
        </w:rPr>
        <w:t xml:space="preserve"> </w:t>
      </w:r>
      <w:r w:rsidRPr="00624696">
        <w:rPr>
          <w:sz w:val="16"/>
          <w:lang w:val="es-AR"/>
        </w:rPr>
        <w:t>JÚNIOR,</w:t>
      </w:r>
      <w:r w:rsidRPr="00624696">
        <w:rPr>
          <w:spacing w:val="-11"/>
          <w:sz w:val="16"/>
          <w:lang w:val="es-AR"/>
        </w:rPr>
        <w:t xml:space="preserve"> </w:t>
      </w:r>
      <w:r w:rsidRPr="00624696">
        <w:rPr>
          <w:sz w:val="16"/>
          <w:lang w:val="es-AR"/>
        </w:rPr>
        <w:t>José</w:t>
      </w:r>
      <w:r w:rsidRPr="00624696">
        <w:rPr>
          <w:spacing w:val="-12"/>
          <w:sz w:val="16"/>
          <w:lang w:val="es-AR"/>
        </w:rPr>
        <w:t xml:space="preserve"> </w:t>
      </w:r>
      <w:r w:rsidRPr="00624696">
        <w:rPr>
          <w:sz w:val="16"/>
          <w:lang w:val="es-AR"/>
        </w:rPr>
        <w:t>Amândio.</w:t>
      </w:r>
      <w:r w:rsidRPr="00624696">
        <w:rPr>
          <w:spacing w:val="-11"/>
          <w:sz w:val="16"/>
          <w:lang w:val="es-AR"/>
        </w:rPr>
        <w:t xml:space="preserve"> </w:t>
      </w:r>
      <w:r w:rsidRPr="00624696">
        <w:rPr>
          <w:i/>
          <w:sz w:val="16"/>
          <w:lang w:val="es-AR"/>
        </w:rPr>
        <w:t>“La</w:t>
      </w:r>
      <w:r w:rsidRPr="00624696">
        <w:rPr>
          <w:i/>
          <w:spacing w:val="-13"/>
          <w:sz w:val="16"/>
          <w:lang w:val="es-AR"/>
        </w:rPr>
        <w:t xml:space="preserve"> </w:t>
      </w:r>
      <w:r w:rsidRPr="00624696">
        <w:rPr>
          <w:i/>
          <w:sz w:val="16"/>
          <w:lang w:val="es-AR"/>
        </w:rPr>
        <w:t>Producción</w:t>
      </w:r>
      <w:r w:rsidRPr="00624696">
        <w:rPr>
          <w:i/>
          <w:spacing w:val="-12"/>
          <w:sz w:val="16"/>
          <w:lang w:val="es-AR"/>
        </w:rPr>
        <w:t xml:space="preserve"> </w:t>
      </w:r>
      <w:r w:rsidRPr="00624696">
        <w:rPr>
          <w:i/>
          <w:sz w:val="16"/>
          <w:lang w:val="es-AR"/>
        </w:rPr>
        <w:t>de</w:t>
      </w:r>
      <w:r w:rsidRPr="00624696">
        <w:rPr>
          <w:i/>
          <w:spacing w:val="-14"/>
          <w:sz w:val="16"/>
          <w:lang w:val="es-AR"/>
        </w:rPr>
        <w:t xml:space="preserve"> </w:t>
      </w:r>
      <w:r w:rsidRPr="00624696">
        <w:rPr>
          <w:i/>
          <w:sz w:val="16"/>
          <w:lang w:val="es-AR"/>
        </w:rPr>
        <w:t>Fuegos</w:t>
      </w:r>
      <w:r w:rsidRPr="00624696">
        <w:rPr>
          <w:i/>
          <w:spacing w:val="-14"/>
          <w:sz w:val="16"/>
          <w:lang w:val="es-AR"/>
        </w:rPr>
        <w:t xml:space="preserve"> </w:t>
      </w:r>
      <w:r w:rsidRPr="00624696">
        <w:rPr>
          <w:i/>
          <w:sz w:val="16"/>
          <w:lang w:val="es-AR"/>
        </w:rPr>
        <w:t>Artificiales</w:t>
      </w:r>
      <w:r w:rsidRPr="00624696">
        <w:rPr>
          <w:i/>
          <w:spacing w:val="-12"/>
          <w:sz w:val="16"/>
          <w:lang w:val="es-AR"/>
        </w:rPr>
        <w:t xml:space="preserve"> </w:t>
      </w:r>
      <w:r w:rsidRPr="00624696">
        <w:rPr>
          <w:i/>
          <w:sz w:val="16"/>
          <w:lang w:val="es-AR"/>
        </w:rPr>
        <w:t>en</w:t>
      </w:r>
      <w:r w:rsidRPr="00624696">
        <w:rPr>
          <w:i/>
          <w:spacing w:val="-13"/>
          <w:sz w:val="16"/>
          <w:lang w:val="es-AR"/>
        </w:rPr>
        <w:t xml:space="preserve"> </w:t>
      </w:r>
      <w:r w:rsidRPr="00624696">
        <w:rPr>
          <w:i/>
          <w:sz w:val="16"/>
          <w:lang w:val="es-AR"/>
        </w:rPr>
        <w:t>el</w:t>
      </w:r>
      <w:r w:rsidRPr="00624696">
        <w:rPr>
          <w:i/>
          <w:spacing w:val="-12"/>
          <w:sz w:val="16"/>
          <w:lang w:val="es-AR"/>
        </w:rPr>
        <w:t xml:space="preserve"> </w:t>
      </w:r>
      <w:r w:rsidRPr="00624696">
        <w:rPr>
          <w:i/>
          <w:sz w:val="16"/>
          <w:lang w:val="es-AR"/>
        </w:rPr>
        <w:t>Municipio</w:t>
      </w:r>
      <w:r w:rsidRPr="00624696">
        <w:rPr>
          <w:i/>
          <w:spacing w:val="-14"/>
          <w:sz w:val="16"/>
          <w:lang w:val="es-AR"/>
        </w:rPr>
        <w:t xml:space="preserve"> </w:t>
      </w:r>
      <w:r w:rsidRPr="00624696">
        <w:rPr>
          <w:i/>
          <w:sz w:val="16"/>
          <w:lang w:val="es-AR"/>
        </w:rPr>
        <w:t>de</w:t>
      </w:r>
      <w:r w:rsidRPr="00624696">
        <w:rPr>
          <w:i/>
          <w:spacing w:val="-12"/>
          <w:sz w:val="16"/>
          <w:lang w:val="es-AR"/>
        </w:rPr>
        <w:t xml:space="preserve"> </w:t>
      </w:r>
      <w:r w:rsidRPr="00624696">
        <w:rPr>
          <w:i/>
          <w:sz w:val="16"/>
          <w:lang w:val="es-AR"/>
        </w:rPr>
        <w:t>Santo</w:t>
      </w:r>
      <w:r w:rsidRPr="00624696">
        <w:rPr>
          <w:i/>
          <w:spacing w:val="-11"/>
          <w:sz w:val="16"/>
          <w:lang w:val="es-AR"/>
        </w:rPr>
        <w:t xml:space="preserve"> </w:t>
      </w:r>
      <w:r w:rsidRPr="00624696">
        <w:rPr>
          <w:i/>
          <w:sz w:val="16"/>
          <w:lang w:val="es-AR"/>
        </w:rPr>
        <w:t>Antônio de Jesus/BA: un análisis de su contribución para el desarrollo local”</w:t>
      </w:r>
      <w:r w:rsidRPr="00624696">
        <w:rPr>
          <w:sz w:val="16"/>
          <w:lang w:val="es-AR"/>
        </w:rPr>
        <w:t>,</w:t>
      </w:r>
      <w:r w:rsidRPr="00624696">
        <w:rPr>
          <w:spacing w:val="-12"/>
          <w:sz w:val="16"/>
          <w:lang w:val="es-AR"/>
        </w:rPr>
        <w:t xml:space="preserve"> </w:t>
      </w:r>
      <w:r w:rsidRPr="00624696">
        <w:rPr>
          <w:i/>
          <w:sz w:val="16"/>
          <w:lang w:val="es-AR"/>
        </w:rPr>
        <w:t>supra.</w:t>
      </w:r>
    </w:p>
    <w:p w14:paraId="78988446" w14:textId="77777777" w:rsidR="00467FCA" w:rsidRPr="00624696" w:rsidRDefault="001B68EB">
      <w:pPr>
        <w:tabs>
          <w:tab w:val="left" w:pos="839"/>
        </w:tabs>
        <w:ind w:left="120"/>
        <w:jc w:val="both"/>
        <w:rPr>
          <w:sz w:val="16"/>
          <w:lang w:val="es-AR"/>
        </w:rPr>
      </w:pPr>
      <w:bookmarkStart w:id="128" w:name="_bookmark103"/>
      <w:bookmarkEnd w:id="128"/>
      <w:r w:rsidRPr="00624696">
        <w:rPr>
          <w:position w:val="6"/>
          <w:sz w:val="10"/>
          <w:lang w:val="es-AR"/>
        </w:rPr>
        <w:t>80</w:t>
      </w:r>
      <w:r w:rsidRPr="00624696">
        <w:rPr>
          <w:position w:val="6"/>
          <w:sz w:val="10"/>
          <w:lang w:val="es-AR"/>
        </w:rPr>
        <w:tab/>
      </w:r>
      <w:r w:rsidRPr="00624696">
        <w:rPr>
          <w:i/>
          <w:sz w:val="16"/>
          <w:lang w:val="es-AR"/>
        </w:rPr>
        <w:t xml:space="preserve">Cfr. </w:t>
      </w:r>
      <w:r w:rsidRPr="00624696">
        <w:rPr>
          <w:sz w:val="16"/>
          <w:lang w:val="es-AR"/>
        </w:rPr>
        <w:t xml:space="preserve">PACHECO, José. Reportaje </w:t>
      </w:r>
      <w:r w:rsidRPr="00624696">
        <w:rPr>
          <w:i/>
          <w:sz w:val="16"/>
          <w:lang w:val="es-AR"/>
        </w:rPr>
        <w:t xml:space="preserve">“Jugar con fuego, nunca más” </w:t>
      </w:r>
      <w:r w:rsidRPr="00624696">
        <w:rPr>
          <w:sz w:val="16"/>
          <w:lang w:val="es-AR"/>
        </w:rPr>
        <w:t>(expediente de prueba, folios 2 a</w:t>
      </w:r>
      <w:r w:rsidRPr="00624696">
        <w:rPr>
          <w:spacing w:val="-25"/>
          <w:sz w:val="16"/>
          <w:lang w:val="es-AR"/>
        </w:rPr>
        <w:t xml:space="preserve"> </w:t>
      </w:r>
      <w:r w:rsidRPr="00624696">
        <w:rPr>
          <w:sz w:val="16"/>
          <w:lang w:val="es-AR"/>
        </w:rPr>
        <w:t>4).</w:t>
      </w:r>
    </w:p>
    <w:p w14:paraId="0E1772AF" w14:textId="77777777" w:rsidR="00467FCA" w:rsidRPr="00624696" w:rsidRDefault="001B68EB">
      <w:pPr>
        <w:tabs>
          <w:tab w:val="left" w:pos="839"/>
        </w:tabs>
        <w:spacing w:before="2"/>
        <w:ind w:left="119" w:right="113"/>
        <w:jc w:val="both"/>
        <w:rPr>
          <w:sz w:val="16"/>
          <w:lang w:val="es-AR"/>
        </w:rPr>
      </w:pPr>
      <w:bookmarkStart w:id="129" w:name="_bookmark104"/>
      <w:bookmarkEnd w:id="129"/>
      <w:r w:rsidRPr="00624696">
        <w:rPr>
          <w:position w:val="6"/>
          <w:sz w:val="10"/>
          <w:lang w:val="es-AR"/>
        </w:rPr>
        <w:t>81</w:t>
      </w:r>
      <w:r w:rsidRPr="00624696">
        <w:rPr>
          <w:position w:val="6"/>
          <w:sz w:val="10"/>
          <w:lang w:val="es-AR"/>
        </w:rPr>
        <w:tab/>
      </w:r>
      <w:r w:rsidRPr="00624696">
        <w:rPr>
          <w:i/>
          <w:sz w:val="16"/>
          <w:lang w:val="es-AR"/>
        </w:rPr>
        <w:t>Cfr.</w:t>
      </w:r>
      <w:r w:rsidRPr="00624696">
        <w:rPr>
          <w:i/>
          <w:spacing w:val="-11"/>
          <w:sz w:val="16"/>
          <w:lang w:val="es-AR"/>
        </w:rPr>
        <w:t xml:space="preserve"> </w:t>
      </w:r>
      <w:r w:rsidRPr="00624696">
        <w:rPr>
          <w:sz w:val="16"/>
          <w:lang w:val="es-AR"/>
        </w:rPr>
        <w:t>BARBOSA</w:t>
      </w:r>
      <w:r w:rsidRPr="00624696">
        <w:rPr>
          <w:spacing w:val="-12"/>
          <w:sz w:val="16"/>
          <w:lang w:val="es-AR"/>
        </w:rPr>
        <w:t xml:space="preserve"> </w:t>
      </w:r>
      <w:r w:rsidRPr="00624696">
        <w:rPr>
          <w:sz w:val="16"/>
          <w:lang w:val="es-AR"/>
        </w:rPr>
        <w:t>JÚNIOR,</w:t>
      </w:r>
      <w:r w:rsidRPr="00624696">
        <w:rPr>
          <w:spacing w:val="-11"/>
          <w:sz w:val="16"/>
          <w:lang w:val="es-AR"/>
        </w:rPr>
        <w:t xml:space="preserve"> </w:t>
      </w:r>
      <w:r w:rsidRPr="00624696">
        <w:rPr>
          <w:sz w:val="16"/>
          <w:lang w:val="es-AR"/>
        </w:rPr>
        <w:t>José</w:t>
      </w:r>
      <w:r w:rsidRPr="00624696">
        <w:rPr>
          <w:spacing w:val="-12"/>
          <w:sz w:val="16"/>
          <w:lang w:val="es-AR"/>
        </w:rPr>
        <w:t xml:space="preserve"> </w:t>
      </w:r>
      <w:r w:rsidRPr="00624696">
        <w:rPr>
          <w:sz w:val="16"/>
          <w:lang w:val="es-AR"/>
        </w:rPr>
        <w:t>Amândio.</w:t>
      </w:r>
      <w:r w:rsidRPr="00624696">
        <w:rPr>
          <w:spacing w:val="-11"/>
          <w:sz w:val="16"/>
          <w:lang w:val="es-AR"/>
        </w:rPr>
        <w:t xml:space="preserve"> </w:t>
      </w:r>
      <w:r w:rsidRPr="00624696">
        <w:rPr>
          <w:i/>
          <w:sz w:val="16"/>
          <w:lang w:val="es-AR"/>
        </w:rPr>
        <w:t>“La</w:t>
      </w:r>
      <w:r w:rsidRPr="00624696">
        <w:rPr>
          <w:i/>
          <w:spacing w:val="-13"/>
          <w:sz w:val="16"/>
          <w:lang w:val="es-AR"/>
        </w:rPr>
        <w:t xml:space="preserve"> </w:t>
      </w:r>
      <w:r w:rsidRPr="00624696">
        <w:rPr>
          <w:i/>
          <w:sz w:val="16"/>
          <w:lang w:val="es-AR"/>
        </w:rPr>
        <w:t>Producción</w:t>
      </w:r>
      <w:r w:rsidRPr="00624696">
        <w:rPr>
          <w:i/>
          <w:spacing w:val="-12"/>
          <w:sz w:val="16"/>
          <w:lang w:val="es-AR"/>
        </w:rPr>
        <w:t xml:space="preserve"> </w:t>
      </w:r>
      <w:r w:rsidRPr="00624696">
        <w:rPr>
          <w:i/>
          <w:sz w:val="16"/>
          <w:lang w:val="es-AR"/>
        </w:rPr>
        <w:t>de</w:t>
      </w:r>
      <w:r w:rsidRPr="00624696">
        <w:rPr>
          <w:i/>
          <w:spacing w:val="-14"/>
          <w:sz w:val="16"/>
          <w:lang w:val="es-AR"/>
        </w:rPr>
        <w:t xml:space="preserve"> </w:t>
      </w:r>
      <w:r w:rsidRPr="00624696">
        <w:rPr>
          <w:i/>
          <w:sz w:val="16"/>
          <w:lang w:val="es-AR"/>
        </w:rPr>
        <w:t>Fuegos</w:t>
      </w:r>
      <w:r w:rsidRPr="00624696">
        <w:rPr>
          <w:i/>
          <w:spacing w:val="-14"/>
          <w:sz w:val="16"/>
          <w:lang w:val="es-AR"/>
        </w:rPr>
        <w:t xml:space="preserve"> </w:t>
      </w:r>
      <w:r w:rsidRPr="00624696">
        <w:rPr>
          <w:i/>
          <w:sz w:val="16"/>
          <w:lang w:val="es-AR"/>
        </w:rPr>
        <w:t>Artificiales</w:t>
      </w:r>
      <w:r w:rsidRPr="00624696">
        <w:rPr>
          <w:i/>
          <w:spacing w:val="-12"/>
          <w:sz w:val="16"/>
          <w:lang w:val="es-AR"/>
        </w:rPr>
        <w:t xml:space="preserve"> </w:t>
      </w:r>
      <w:r w:rsidRPr="00624696">
        <w:rPr>
          <w:i/>
          <w:sz w:val="16"/>
          <w:lang w:val="es-AR"/>
        </w:rPr>
        <w:t>en</w:t>
      </w:r>
      <w:r w:rsidRPr="00624696">
        <w:rPr>
          <w:i/>
          <w:spacing w:val="-13"/>
          <w:sz w:val="16"/>
          <w:lang w:val="es-AR"/>
        </w:rPr>
        <w:t xml:space="preserve"> </w:t>
      </w:r>
      <w:r w:rsidRPr="00624696">
        <w:rPr>
          <w:i/>
          <w:sz w:val="16"/>
          <w:lang w:val="es-AR"/>
        </w:rPr>
        <w:t>el</w:t>
      </w:r>
      <w:r w:rsidRPr="00624696">
        <w:rPr>
          <w:i/>
          <w:spacing w:val="-12"/>
          <w:sz w:val="16"/>
          <w:lang w:val="es-AR"/>
        </w:rPr>
        <w:t xml:space="preserve"> </w:t>
      </w:r>
      <w:r w:rsidRPr="00624696">
        <w:rPr>
          <w:i/>
          <w:sz w:val="16"/>
          <w:lang w:val="es-AR"/>
        </w:rPr>
        <w:t>Municipio</w:t>
      </w:r>
      <w:r w:rsidRPr="00624696">
        <w:rPr>
          <w:i/>
          <w:spacing w:val="-14"/>
          <w:sz w:val="16"/>
          <w:lang w:val="es-AR"/>
        </w:rPr>
        <w:t xml:space="preserve"> </w:t>
      </w:r>
      <w:r w:rsidRPr="00624696">
        <w:rPr>
          <w:i/>
          <w:sz w:val="16"/>
          <w:lang w:val="es-AR"/>
        </w:rPr>
        <w:t>de</w:t>
      </w:r>
      <w:r w:rsidRPr="00624696">
        <w:rPr>
          <w:i/>
          <w:spacing w:val="-12"/>
          <w:sz w:val="16"/>
          <w:lang w:val="es-AR"/>
        </w:rPr>
        <w:t xml:space="preserve"> </w:t>
      </w:r>
      <w:r w:rsidRPr="00624696">
        <w:rPr>
          <w:i/>
          <w:sz w:val="16"/>
          <w:lang w:val="es-AR"/>
        </w:rPr>
        <w:t>Santo</w:t>
      </w:r>
      <w:r w:rsidRPr="00624696">
        <w:rPr>
          <w:i/>
          <w:spacing w:val="-11"/>
          <w:sz w:val="16"/>
          <w:lang w:val="es-AR"/>
        </w:rPr>
        <w:t xml:space="preserve"> </w:t>
      </w:r>
      <w:r w:rsidRPr="00624696">
        <w:rPr>
          <w:i/>
          <w:sz w:val="16"/>
          <w:lang w:val="es-AR"/>
        </w:rPr>
        <w:t>Antônio de</w:t>
      </w:r>
      <w:r w:rsidRPr="00624696">
        <w:rPr>
          <w:i/>
          <w:spacing w:val="-5"/>
          <w:sz w:val="16"/>
          <w:lang w:val="es-AR"/>
        </w:rPr>
        <w:t xml:space="preserve"> </w:t>
      </w:r>
      <w:r w:rsidRPr="00624696">
        <w:rPr>
          <w:i/>
          <w:sz w:val="16"/>
          <w:lang w:val="es-AR"/>
        </w:rPr>
        <w:t>Jesus/BA:</w:t>
      </w:r>
      <w:r w:rsidRPr="00624696">
        <w:rPr>
          <w:i/>
          <w:spacing w:val="-6"/>
          <w:sz w:val="16"/>
          <w:lang w:val="es-AR"/>
        </w:rPr>
        <w:t xml:space="preserve"> </w:t>
      </w:r>
      <w:r w:rsidRPr="00624696">
        <w:rPr>
          <w:i/>
          <w:sz w:val="16"/>
          <w:lang w:val="es-AR"/>
        </w:rPr>
        <w:t>un</w:t>
      </w:r>
      <w:r w:rsidRPr="00624696">
        <w:rPr>
          <w:i/>
          <w:spacing w:val="-4"/>
          <w:sz w:val="16"/>
          <w:lang w:val="es-AR"/>
        </w:rPr>
        <w:t xml:space="preserve"> </w:t>
      </w:r>
      <w:r w:rsidRPr="00624696">
        <w:rPr>
          <w:i/>
          <w:sz w:val="16"/>
          <w:lang w:val="es-AR"/>
        </w:rPr>
        <w:t>análisis</w:t>
      </w:r>
      <w:r w:rsidRPr="00624696">
        <w:rPr>
          <w:i/>
          <w:spacing w:val="-5"/>
          <w:sz w:val="16"/>
          <w:lang w:val="es-AR"/>
        </w:rPr>
        <w:t xml:space="preserve"> </w:t>
      </w:r>
      <w:r w:rsidRPr="00624696">
        <w:rPr>
          <w:i/>
          <w:sz w:val="16"/>
          <w:lang w:val="es-AR"/>
        </w:rPr>
        <w:t>de</w:t>
      </w:r>
      <w:r w:rsidRPr="00624696">
        <w:rPr>
          <w:i/>
          <w:spacing w:val="-7"/>
          <w:sz w:val="16"/>
          <w:lang w:val="es-AR"/>
        </w:rPr>
        <w:t xml:space="preserve"> </w:t>
      </w:r>
      <w:r w:rsidRPr="00624696">
        <w:rPr>
          <w:i/>
          <w:sz w:val="16"/>
          <w:lang w:val="es-AR"/>
        </w:rPr>
        <w:t>su</w:t>
      </w:r>
      <w:r w:rsidRPr="00624696">
        <w:rPr>
          <w:i/>
          <w:spacing w:val="-4"/>
          <w:sz w:val="16"/>
          <w:lang w:val="es-AR"/>
        </w:rPr>
        <w:t xml:space="preserve"> </w:t>
      </w:r>
      <w:r w:rsidRPr="00624696">
        <w:rPr>
          <w:i/>
          <w:sz w:val="16"/>
          <w:lang w:val="es-AR"/>
        </w:rPr>
        <w:t>contribución</w:t>
      </w:r>
      <w:r w:rsidRPr="00624696">
        <w:rPr>
          <w:i/>
          <w:spacing w:val="-6"/>
          <w:sz w:val="16"/>
          <w:lang w:val="es-AR"/>
        </w:rPr>
        <w:t xml:space="preserve"> </w:t>
      </w:r>
      <w:r w:rsidRPr="00624696">
        <w:rPr>
          <w:i/>
          <w:sz w:val="16"/>
          <w:lang w:val="es-AR"/>
        </w:rPr>
        <w:t>para</w:t>
      </w:r>
      <w:r w:rsidRPr="00624696">
        <w:rPr>
          <w:i/>
          <w:spacing w:val="-6"/>
          <w:sz w:val="16"/>
          <w:lang w:val="es-AR"/>
        </w:rPr>
        <w:t xml:space="preserve"> </w:t>
      </w:r>
      <w:r w:rsidRPr="00624696">
        <w:rPr>
          <w:i/>
          <w:sz w:val="16"/>
          <w:lang w:val="es-AR"/>
        </w:rPr>
        <w:t>el</w:t>
      </w:r>
      <w:r w:rsidRPr="00624696">
        <w:rPr>
          <w:i/>
          <w:spacing w:val="-6"/>
          <w:sz w:val="16"/>
          <w:lang w:val="es-AR"/>
        </w:rPr>
        <w:t xml:space="preserve"> </w:t>
      </w:r>
      <w:r w:rsidRPr="00624696">
        <w:rPr>
          <w:i/>
          <w:sz w:val="16"/>
          <w:lang w:val="es-AR"/>
        </w:rPr>
        <w:t>desarrollo</w:t>
      </w:r>
      <w:r w:rsidRPr="00624696">
        <w:rPr>
          <w:i/>
          <w:spacing w:val="-2"/>
          <w:sz w:val="16"/>
          <w:lang w:val="es-AR"/>
        </w:rPr>
        <w:t xml:space="preserve"> </w:t>
      </w:r>
      <w:r w:rsidRPr="00624696">
        <w:rPr>
          <w:i/>
          <w:sz w:val="16"/>
          <w:lang w:val="es-AR"/>
        </w:rPr>
        <w:t>local”,</w:t>
      </w:r>
      <w:r w:rsidRPr="00624696">
        <w:rPr>
          <w:i/>
          <w:spacing w:val="-6"/>
          <w:sz w:val="16"/>
          <w:lang w:val="es-AR"/>
        </w:rPr>
        <w:t xml:space="preserve"> </w:t>
      </w:r>
      <w:r w:rsidRPr="00624696">
        <w:rPr>
          <w:i/>
          <w:sz w:val="16"/>
          <w:lang w:val="es-AR"/>
        </w:rPr>
        <w:t>supra</w:t>
      </w:r>
      <w:r w:rsidRPr="00624696">
        <w:rPr>
          <w:i/>
          <w:spacing w:val="-6"/>
          <w:sz w:val="16"/>
          <w:lang w:val="es-AR"/>
        </w:rPr>
        <w:t xml:space="preserve"> </w:t>
      </w:r>
      <w:r w:rsidRPr="00624696">
        <w:rPr>
          <w:sz w:val="16"/>
          <w:lang w:val="es-AR"/>
        </w:rPr>
        <w:t>y</w:t>
      </w:r>
      <w:r w:rsidRPr="00624696">
        <w:rPr>
          <w:spacing w:val="-4"/>
          <w:sz w:val="16"/>
          <w:lang w:val="es-AR"/>
        </w:rPr>
        <w:t xml:space="preserve"> </w:t>
      </w:r>
      <w:r w:rsidRPr="00624696">
        <w:rPr>
          <w:sz w:val="16"/>
          <w:lang w:val="es-AR"/>
        </w:rPr>
        <w:t>SANTOS,</w:t>
      </w:r>
      <w:r w:rsidRPr="00624696">
        <w:rPr>
          <w:spacing w:val="-6"/>
          <w:sz w:val="16"/>
          <w:lang w:val="es-AR"/>
        </w:rPr>
        <w:t xml:space="preserve"> </w:t>
      </w:r>
      <w:r w:rsidRPr="00624696">
        <w:rPr>
          <w:sz w:val="16"/>
          <w:lang w:val="es-AR"/>
        </w:rPr>
        <w:t>Ana</w:t>
      </w:r>
      <w:r w:rsidRPr="00624696">
        <w:rPr>
          <w:spacing w:val="-6"/>
          <w:sz w:val="16"/>
          <w:lang w:val="es-AR"/>
        </w:rPr>
        <w:t xml:space="preserve"> </w:t>
      </w:r>
      <w:r w:rsidRPr="00624696">
        <w:rPr>
          <w:sz w:val="16"/>
          <w:lang w:val="es-AR"/>
        </w:rPr>
        <w:t>Maria.</w:t>
      </w:r>
      <w:r w:rsidRPr="00624696">
        <w:rPr>
          <w:spacing w:val="-6"/>
          <w:sz w:val="16"/>
          <w:lang w:val="es-AR"/>
        </w:rPr>
        <w:t xml:space="preserve"> </w:t>
      </w:r>
      <w:r w:rsidRPr="00624696">
        <w:rPr>
          <w:i/>
          <w:sz w:val="16"/>
          <w:lang w:val="es-AR"/>
        </w:rPr>
        <w:t>“La</w:t>
      </w:r>
      <w:r w:rsidRPr="00624696">
        <w:rPr>
          <w:i/>
          <w:spacing w:val="-6"/>
          <w:sz w:val="16"/>
          <w:lang w:val="es-AR"/>
        </w:rPr>
        <w:t xml:space="preserve"> </w:t>
      </w:r>
      <w:r w:rsidRPr="00624696">
        <w:rPr>
          <w:i/>
          <w:sz w:val="16"/>
          <w:lang w:val="es-AR"/>
        </w:rPr>
        <w:t>Clandestinidad como</w:t>
      </w:r>
      <w:r w:rsidRPr="00624696">
        <w:rPr>
          <w:i/>
          <w:spacing w:val="-9"/>
          <w:sz w:val="16"/>
          <w:lang w:val="es-AR"/>
        </w:rPr>
        <w:t xml:space="preserve"> </w:t>
      </w:r>
      <w:r w:rsidRPr="00624696">
        <w:rPr>
          <w:i/>
          <w:sz w:val="16"/>
          <w:lang w:val="es-AR"/>
        </w:rPr>
        <w:t>Expresión</w:t>
      </w:r>
      <w:r w:rsidRPr="00624696">
        <w:rPr>
          <w:i/>
          <w:spacing w:val="-11"/>
          <w:sz w:val="16"/>
          <w:lang w:val="es-AR"/>
        </w:rPr>
        <w:t xml:space="preserve"> </w:t>
      </w:r>
      <w:r w:rsidRPr="00624696">
        <w:rPr>
          <w:i/>
          <w:sz w:val="16"/>
          <w:lang w:val="es-AR"/>
        </w:rPr>
        <w:t>de</w:t>
      </w:r>
      <w:r w:rsidRPr="00624696">
        <w:rPr>
          <w:i/>
          <w:spacing w:val="-7"/>
          <w:sz w:val="16"/>
          <w:lang w:val="es-AR"/>
        </w:rPr>
        <w:t xml:space="preserve"> </w:t>
      </w:r>
      <w:r w:rsidRPr="00624696">
        <w:rPr>
          <w:i/>
          <w:sz w:val="16"/>
          <w:lang w:val="es-AR"/>
        </w:rPr>
        <w:t>la</w:t>
      </w:r>
      <w:r w:rsidRPr="00624696">
        <w:rPr>
          <w:i/>
          <w:spacing w:val="-9"/>
          <w:sz w:val="16"/>
          <w:lang w:val="es-AR"/>
        </w:rPr>
        <w:t xml:space="preserve"> </w:t>
      </w:r>
      <w:r w:rsidRPr="00624696">
        <w:rPr>
          <w:i/>
          <w:sz w:val="16"/>
          <w:lang w:val="es-AR"/>
        </w:rPr>
        <w:t>Precarización</w:t>
      </w:r>
      <w:r w:rsidRPr="00624696">
        <w:rPr>
          <w:i/>
          <w:spacing w:val="-8"/>
          <w:sz w:val="16"/>
          <w:lang w:val="es-AR"/>
        </w:rPr>
        <w:t xml:space="preserve"> </w:t>
      </w:r>
      <w:r w:rsidRPr="00624696">
        <w:rPr>
          <w:i/>
          <w:sz w:val="16"/>
          <w:lang w:val="es-AR"/>
        </w:rPr>
        <w:t>del</w:t>
      </w:r>
      <w:r w:rsidRPr="00624696">
        <w:rPr>
          <w:i/>
          <w:spacing w:val="-8"/>
          <w:sz w:val="16"/>
          <w:lang w:val="es-AR"/>
        </w:rPr>
        <w:t xml:space="preserve"> </w:t>
      </w:r>
      <w:r w:rsidRPr="00624696">
        <w:rPr>
          <w:i/>
          <w:sz w:val="16"/>
          <w:lang w:val="es-AR"/>
        </w:rPr>
        <w:t>Trabajo</w:t>
      </w:r>
      <w:r w:rsidRPr="00624696">
        <w:rPr>
          <w:i/>
          <w:spacing w:val="-9"/>
          <w:sz w:val="16"/>
          <w:lang w:val="es-AR"/>
        </w:rPr>
        <w:t xml:space="preserve"> </w:t>
      </w:r>
      <w:r w:rsidRPr="00624696">
        <w:rPr>
          <w:i/>
          <w:sz w:val="16"/>
          <w:lang w:val="es-AR"/>
        </w:rPr>
        <w:t>en</w:t>
      </w:r>
      <w:r w:rsidRPr="00624696">
        <w:rPr>
          <w:i/>
          <w:spacing w:val="-8"/>
          <w:sz w:val="16"/>
          <w:lang w:val="es-AR"/>
        </w:rPr>
        <w:t xml:space="preserve"> </w:t>
      </w:r>
      <w:r w:rsidRPr="00624696">
        <w:rPr>
          <w:i/>
          <w:sz w:val="16"/>
          <w:lang w:val="es-AR"/>
        </w:rPr>
        <w:t>la</w:t>
      </w:r>
      <w:r w:rsidRPr="00624696">
        <w:rPr>
          <w:i/>
          <w:spacing w:val="-9"/>
          <w:sz w:val="16"/>
          <w:lang w:val="es-AR"/>
        </w:rPr>
        <w:t xml:space="preserve"> </w:t>
      </w:r>
      <w:r w:rsidRPr="00624696">
        <w:rPr>
          <w:i/>
          <w:sz w:val="16"/>
          <w:lang w:val="es-AR"/>
        </w:rPr>
        <w:t>Producción</w:t>
      </w:r>
      <w:r w:rsidRPr="00624696">
        <w:rPr>
          <w:i/>
          <w:spacing w:val="-11"/>
          <w:sz w:val="16"/>
          <w:lang w:val="es-AR"/>
        </w:rPr>
        <w:t xml:space="preserve"> </w:t>
      </w:r>
      <w:r w:rsidRPr="00624696">
        <w:rPr>
          <w:i/>
          <w:sz w:val="16"/>
          <w:lang w:val="es-AR"/>
        </w:rPr>
        <w:t>del</w:t>
      </w:r>
      <w:r w:rsidRPr="00624696">
        <w:rPr>
          <w:i/>
          <w:spacing w:val="-11"/>
          <w:sz w:val="16"/>
          <w:lang w:val="es-AR"/>
        </w:rPr>
        <w:t xml:space="preserve"> </w:t>
      </w:r>
      <w:r w:rsidRPr="00624696">
        <w:rPr>
          <w:i/>
          <w:sz w:val="16"/>
          <w:lang w:val="es-AR"/>
        </w:rPr>
        <w:t>Cohete</w:t>
      </w:r>
      <w:r w:rsidRPr="00624696">
        <w:rPr>
          <w:i/>
          <w:spacing w:val="-11"/>
          <w:sz w:val="16"/>
          <w:lang w:val="es-AR"/>
        </w:rPr>
        <w:t xml:space="preserve"> </w:t>
      </w:r>
      <w:r w:rsidRPr="00624696">
        <w:rPr>
          <w:i/>
          <w:sz w:val="16"/>
          <w:lang w:val="es-AR"/>
        </w:rPr>
        <w:t>de</w:t>
      </w:r>
      <w:r w:rsidRPr="00624696">
        <w:rPr>
          <w:i/>
          <w:spacing w:val="-10"/>
          <w:sz w:val="16"/>
          <w:lang w:val="es-AR"/>
        </w:rPr>
        <w:t xml:space="preserve"> </w:t>
      </w:r>
      <w:r w:rsidRPr="00624696">
        <w:rPr>
          <w:i/>
          <w:sz w:val="16"/>
          <w:lang w:val="es-AR"/>
        </w:rPr>
        <w:t>Masa</w:t>
      </w:r>
      <w:r w:rsidRPr="00624696">
        <w:rPr>
          <w:i/>
          <w:spacing w:val="-10"/>
          <w:sz w:val="16"/>
          <w:lang w:val="es-AR"/>
        </w:rPr>
        <w:t xml:space="preserve"> </w:t>
      </w:r>
      <w:r w:rsidRPr="00624696">
        <w:rPr>
          <w:i/>
          <w:sz w:val="16"/>
          <w:lang w:val="es-AR"/>
        </w:rPr>
        <w:t>en</w:t>
      </w:r>
      <w:r w:rsidRPr="00624696">
        <w:rPr>
          <w:i/>
          <w:spacing w:val="-8"/>
          <w:sz w:val="16"/>
          <w:lang w:val="es-AR"/>
        </w:rPr>
        <w:t xml:space="preserve"> </w:t>
      </w:r>
      <w:r w:rsidRPr="00624696">
        <w:rPr>
          <w:i/>
          <w:sz w:val="16"/>
          <w:lang w:val="es-AR"/>
        </w:rPr>
        <w:t>el</w:t>
      </w:r>
      <w:r w:rsidRPr="00624696">
        <w:rPr>
          <w:i/>
          <w:spacing w:val="-12"/>
          <w:sz w:val="16"/>
          <w:lang w:val="es-AR"/>
        </w:rPr>
        <w:t xml:space="preserve"> </w:t>
      </w:r>
      <w:r w:rsidRPr="00624696">
        <w:rPr>
          <w:i/>
          <w:sz w:val="16"/>
          <w:lang w:val="es-AR"/>
        </w:rPr>
        <w:t>Municipio</w:t>
      </w:r>
      <w:r w:rsidRPr="00624696">
        <w:rPr>
          <w:i/>
          <w:spacing w:val="-9"/>
          <w:sz w:val="16"/>
          <w:lang w:val="es-AR"/>
        </w:rPr>
        <w:t xml:space="preserve"> </w:t>
      </w:r>
      <w:r w:rsidRPr="00624696">
        <w:rPr>
          <w:i/>
          <w:sz w:val="16"/>
          <w:lang w:val="es-AR"/>
        </w:rPr>
        <w:t>de</w:t>
      </w:r>
      <w:r w:rsidRPr="00624696">
        <w:rPr>
          <w:i/>
          <w:spacing w:val="-10"/>
          <w:sz w:val="16"/>
          <w:lang w:val="es-AR"/>
        </w:rPr>
        <w:t xml:space="preserve"> </w:t>
      </w:r>
      <w:r w:rsidRPr="00624696">
        <w:rPr>
          <w:i/>
          <w:sz w:val="16"/>
          <w:lang w:val="es-AR"/>
        </w:rPr>
        <w:t>Santo</w:t>
      </w:r>
      <w:r w:rsidRPr="00624696">
        <w:rPr>
          <w:i/>
          <w:spacing w:val="-11"/>
          <w:sz w:val="16"/>
          <w:lang w:val="es-AR"/>
        </w:rPr>
        <w:t xml:space="preserve"> </w:t>
      </w:r>
      <w:r w:rsidRPr="00624696">
        <w:rPr>
          <w:i/>
          <w:sz w:val="16"/>
          <w:lang w:val="es-AR"/>
        </w:rPr>
        <w:t>Antônio de Jesus – Bahia: un estudio de caso en el barrio Irmã Dulce”,</w:t>
      </w:r>
      <w:r w:rsidRPr="00624696">
        <w:rPr>
          <w:i/>
          <w:spacing w:val="-13"/>
          <w:sz w:val="16"/>
          <w:lang w:val="es-AR"/>
        </w:rPr>
        <w:t xml:space="preserve"> </w:t>
      </w:r>
      <w:r w:rsidRPr="00624696">
        <w:rPr>
          <w:i/>
          <w:sz w:val="16"/>
          <w:lang w:val="es-AR"/>
        </w:rPr>
        <w:t>supra</w:t>
      </w:r>
      <w:r w:rsidRPr="00624696">
        <w:rPr>
          <w:sz w:val="16"/>
          <w:lang w:val="es-AR"/>
        </w:rPr>
        <w:t>.</w:t>
      </w:r>
    </w:p>
    <w:p w14:paraId="349763CA" w14:textId="77777777" w:rsidR="00467FCA" w:rsidRPr="00624696" w:rsidRDefault="001B68EB">
      <w:pPr>
        <w:tabs>
          <w:tab w:val="left" w:pos="839"/>
        </w:tabs>
        <w:ind w:left="119" w:right="115"/>
        <w:jc w:val="both"/>
        <w:rPr>
          <w:sz w:val="16"/>
          <w:lang w:val="es-AR"/>
        </w:rPr>
      </w:pPr>
      <w:bookmarkStart w:id="130" w:name="_bookmark105"/>
      <w:bookmarkEnd w:id="130"/>
      <w:r w:rsidRPr="00624696">
        <w:rPr>
          <w:position w:val="6"/>
          <w:sz w:val="10"/>
          <w:lang w:val="es-AR"/>
        </w:rPr>
        <w:t>82</w:t>
      </w:r>
      <w:r w:rsidRPr="00624696">
        <w:rPr>
          <w:position w:val="6"/>
          <w:sz w:val="10"/>
          <w:lang w:val="es-AR"/>
        </w:rPr>
        <w:tab/>
      </w:r>
      <w:r w:rsidRPr="00624696">
        <w:rPr>
          <w:i/>
          <w:sz w:val="16"/>
          <w:lang w:val="es-AR"/>
        </w:rPr>
        <w:t>Cfr</w:t>
      </w:r>
      <w:r w:rsidRPr="00624696">
        <w:rPr>
          <w:sz w:val="16"/>
          <w:lang w:val="es-AR"/>
        </w:rPr>
        <w:t>. TOMASONI, Sônia Marise Rodrigues Pereira. “</w:t>
      </w:r>
      <w:r w:rsidRPr="00624696">
        <w:rPr>
          <w:i/>
          <w:sz w:val="16"/>
          <w:lang w:val="es-AR"/>
        </w:rPr>
        <w:t>Dinámica socioespacial de la producción de fuegos artificiales</w:t>
      </w:r>
      <w:r w:rsidRPr="00624696">
        <w:rPr>
          <w:i/>
          <w:spacing w:val="-6"/>
          <w:sz w:val="16"/>
          <w:lang w:val="es-AR"/>
        </w:rPr>
        <w:t xml:space="preserve"> </w:t>
      </w:r>
      <w:r w:rsidRPr="00624696">
        <w:rPr>
          <w:i/>
          <w:sz w:val="16"/>
          <w:lang w:val="es-AR"/>
        </w:rPr>
        <w:t>en</w:t>
      </w:r>
      <w:r w:rsidRPr="00624696">
        <w:rPr>
          <w:i/>
          <w:spacing w:val="-9"/>
          <w:sz w:val="16"/>
          <w:lang w:val="es-AR"/>
        </w:rPr>
        <w:t xml:space="preserve"> </w:t>
      </w:r>
      <w:r w:rsidRPr="00624696">
        <w:rPr>
          <w:i/>
          <w:sz w:val="16"/>
          <w:lang w:val="es-AR"/>
        </w:rPr>
        <w:t>Santo</w:t>
      </w:r>
      <w:r w:rsidRPr="00624696">
        <w:rPr>
          <w:i/>
          <w:spacing w:val="-7"/>
          <w:sz w:val="16"/>
          <w:lang w:val="es-AR"/>
        </w:rPr>
        <w:t xml:space="preserve"> </w:t>
      </w:r>
      <w:r w:rsidRPr="00624696">
        <w:rPr>
          <w:i/>
          <w:sz w:val="16"/>
          <w:lang w:val="es-AR"/>
        </w:rPr>
        <w:t>Antônio</w:t>
      </w:r>
      <w:r w:rsidRPr="00624696">
        <w:rPr>
          <w:i/>
          <w:spacing w:val="-8"/>
          <w:sz w:val="16"/>
          <w:lang w:val="es-AR"/>
        </w:rPr>
        <w:t xml:space="preserve"> </w:t>
      </w:r>
      <w:r w:rsidRPr="00624696">
        <w:rPr>
          <w:i/>
          <w:sz w:val="16"/>
          <w:lang w:val="es-AR"/>
        </w:rPr>
        <w:t>de</w:t>
      </w:r>
      <w:r w:rsidRPr="00624696">
        <w:rPr>
          <w:i/>
          <w:spacing w:val="-6"/>
          <w:sz w:val="16"/>
          <w:lang w:val="es-AR"/>
        </w:rPr>
        <w:t xml:space="preserve"> </w:t>
      </w:r>
      <w:r w:rsidRPr="00624696">
        <w:rPr>
          <w:i/>
          <w:sz w:val="16"/>
          <w:lang w:val="es-AR"/>
        </w:rPr>
        <w:t>Jesus-BA</w:t>
      </w:r>
      <w:r w:rsidRPr="00624696">
        <w:rPr>
          <w:sz w:val="16"/>
          <w:lang w:val="es-AR"/>
        </w:rPr>
        <w:t>”,</w:t>
      </w:r>
      <w:r w:rsidRPr="00624696">
        <w:rPr>
          <w:spacing w:val="-6"/>
          <w:sz w:val="16"/>
          <w:lang w:val="es-AR"/>
        </w:rPr>
        <w:t xml:space="preserve"> </w:t>
      </w:r>
      <w:r w:rsidRPr="00624696">
        <w:rPr>
          <w:sz w:val="16"/>
          <w:lang w:val="es-AR"/>
        </w:rPr>
        <w:t>Tesis</w:t>
      </w:r>
      <w:r w:rsidRPr="00624696">
        <w:rPr>
          <w:spacing w:val="-8"/>
          <w:sz w:val="16"/>
          <w:lang w:val="es-AR"/>
        </w:rPr>
        <w:t xml:space="preserve"> </w:t>
      </w:r>
      <w:r w:rsidRPr="00624696">
        <w:rPr>
          <w:sz w:val="16"/>
          <w:lang w:val="es-AR"/>
        </w:rPr>
        <w:t>de</w:t>
      </w:r>
      <w:r w:rsidRPr="00624696">
        <w:rPr>
          <w:spacing w:val="-8"/>
          <w:sz w:val="16"/>
          <w:lang w:val="es-AR"/>
        </w:rPr>
        <w:t xml:space="preserve"> </w:t>
      </w:r>
      <w:r w:rsidRPr="00624696">
        <w:rPr>
          <w:sz w:val="16"/>
          <w:lang w:val="es-AR"/>
        </w:rPr>
        <w:t>Doctorado,</w:t>
      </w:r>
      <w:r w:rsidRPr="00624696">
        <w:rPr>
          <w:spacing w:val="-6"/>
          <w:sz w:val="16"/>
          <w:lang w:val="es-AR"/>
        </w:rPr>
        <w:t xml:space="preserve"> </w:t>
      </w:r>
      <w:r w:rsidRPr="00624696">
        <w:rPr>
          <w:sz w:val="16"/>
          <w:lang w:val="es-AR"/>
        </w:rPr>
        <w:t>Universidad</w:t>
      </w:r>
      <w:r w:rsidRPr="00624696">
        <w:rPr>
          <w:spacing w:val="-8"/>
          <w:sz w:val="16"/>
          <w:lang w:val="es-AR"/>
        </w:rPr>
        <w:t xml:space="preserve"> </w:t>
      </w:r>
      <w:r w:rsidRPr="00624696">
        <w:rPr>
          <w:sz w:val="16"/>
          <w:lang w:val="es-AR"/>
        </w:rPr>
        <w:t>Federal</w:t>
      </w:r>
      <w:r w:rsidRPr="00624696">
        <w:rPr>
          <w:spacing w:val="-9"/>
          <w:sz w:val="16"/>
          <w:lang w:val="es-AR"/>
        </w:rPr>
        <w:t xml:space="preserve"> </w:t>
      </w:r>
      <w:r w:rsidRPr="00624696">
        <w:rPr>
          <w:sz w:val="16"/>
          <w:lang w:val="es-AR"/>
        </w:rPr>
        <w:t>de</w:t>
      </w:r>
      <w:r w:rsidRPr="00624696">
        <w:rPr>
          <w:spacing w:val="-7"/>
          <w:sz w:val="16"/>
          <w:lang w:val="es-AR"/>
        </w:rPr>
        <w:t xml:space="preserve"> </w:t>
      </w:r>
      <w:r w:rsidRPr="00624696">
        <w:rPr>
          <w:sz w:val="16"/>
          <w:lang w:val="es-AR"/>
        </w:rPr>
        <w:t>Sergipe,</w:t>
      </w:r>
      <w:r w:rsidRPr="00624696">
        <w:rPr>
          <w:spacing w:val="-9"/>
          <w:sz w:val="16"/>
          <w:lang w:val="es-AR"/>
        </w:rPr>
        <w:t xml:space="preserve"> </w:t>
      </w:r>
      <w:r w:rsidRPr="00624696">
        <w:rPr>
          <w:sz w:val="16"/>
          <w:lang w:val="es-AR"/>
        </w:rPr>
        <w:t>2015</w:t>
      </w:r>
      <w:r w:rsidRPr="00624696">
        <w:rPr>
          <w:spacing w:val="-6"/>
          <w:sz w:val="16"/>
          <w:lang w:val="es-AR"/>
        </w:rPr>
        <w:t xml:space="preserve"> </w:t>
      </w:r>
      <w:r w:rsidRPr="00624696">
        <w:rPr>
          <w:sz w:val="16"/>
          <w:lang w:val="es-AR"/>
        </w:rPr>
        <w:t>(expediente</w:t>
      </w:r>
      <w:r w:rsidRPr="00624696">
        <w:rPr>
          <w:spacing w:val="-8"/>
          <w:sz w:val="16"/>
          <w:lang w:val="es-AR"/>
        </w:rPr>
        <w:t xml:space="preserve"> </w:t>
      </w:r>
      <w:r w:rsidRPr="00624696">
        <w:rPr>
          <w:sz w:val="16"/>
          <w:lang w:val="es-AR"/>
        </w:rPr>
        <w:t>de prueba, folios 1335 a</w:t>
      </w:r>
      <w:r w:rsidRPr="00624696">
        <w:rPr>
          <w:spacing w:val="-5"/>
          <w:sz w:val="16"/>
          <w:lang w:val="es-AR"/>
        </w:rPr>
        <w:t xml:space="preserve"> </w:t>
      </w:r>
      <w:r w:rsidRPr="00624696">
        <w:rPr>
          <w:sz w:val="16"/>
          <w:lang w:val="es-AR"/>
        </w:rPr>
        <w:t>1504).</w:t>
      </w:r>
    </w:p>
    <w:p w14:paraId="2EDC0969" w14:textId="77777777" w:rsidR="00467FCA" w:rsidRPr="00624696" w:rsidRDefault="001B68EB">
      <w:pPr>
        <w:tabs>
          <w:tab w:val="left" w:pos="839"/>
        </w:tabs>
        <w:ind w:left="119" w:right="115"/>
        <w:jc w:val="both"/>
        <w:rPr>
          <w:i/>
          <w:sz w:val="16"/>
          <w:lang w:val="es-AR"/>
        </w:rPr>
      </w:pPr>
      <w:bookmarkStart w:id="131" w:name="_bookmark106"/>
      <w:bookmarkEnd w:id="131"/>
      <w:r w:rsidRPr="00624696">
        <w:rPr>
          <w:position w:val="6"/>
          <w:sz w:val="10"/>
          <w:lang w:val="es-AR"/>
        </w:rPr>
        <w:t>83</w:t>
      </w:r>
      <w:r w:rsidRPr="00624696">
        <w:rPr>
          <w:position w:val="6"/>
          <w:sz w:val="10"/>
          <w:lang w:val="es-AR"/>
        </w:rPr>
        <w:tab/>
      </w:r>
      <w:r w:rsidRPr="00624696">
        <w:rPr>
          <w:i/>
          <w:sz w:val="16"/>
          <w:lang w:val="es-AR"/>
        </w:rPr>
        <w:t>En la presente sentencia, los términos “bombetas” y “cohetes” aparecen cómo sinónimos, y se refieren a una clase de fuegos</w:t>
      </w:r>
      <w:r w:rsidRPr="00624696">
        <w:rPr>
          <w:i/>
          <w:spacing w:val="-5"/>
          <w:sz w:val="16"/>
          <w:lang w:val="es-AR"/>
        </w:rPr>
        <w:t xml:space="preserve"> </w:t>
      </w:r>
      <w:r w:rsidRPr="00624696">
        <w:rPr>
          <w:i/>
          <w:sz w:val="16"/>
          <w:lang w:val="es-AR"/>
        </w:rPr>
        <w:t>artificiales.</w:t>
      </w:r>
    </w:p>
    <w:p w14:paraId="4A61D07E" w14:textId="77777777" w:rsidR="00467FCA" w:rsidRPr="00624696" w:rsidRDefault="001B68EB">
      <w:pPr>
        <w:tabs>
          <w:tab w:val="left" w:pos="839"/>
        </w:tabs>
        <w:ind w:left="119" w:right="113"/>
        <w:jc w:val="both"/>
        <w:rPr>
          <w:sz w:val="16"/>
          <w:lang w:val="es-AR"/>
        </w:rPr>
      </w:pPr>
      <w:bookmarkStart w:id="132" w:name="_bookmark107"/>
      <w:bookmarkEnd w:id="132"/>
      <w:r w:rsidRPr="00624696">
        <w:rPr>
          <w:position w:val="6"/>
          <w:sz w:val="10"/>
          <w:lang w:val="es-AR"/>
        </w:rPr>
        <w:t>84</w:t>
      </w:r>
      <w:r w:rsidRPr="00624696">
        <w:rPr>
          <w:position w:val="6"/>
          <w:sz w:val="10"/>
          <w:lang w:val="es-AR"/>
        </w:rPr>
        <w:tab/>
      </w:r>
      <w:r w:rsidRPr="00624696">
        <w:rPr>
          <w:i/>
          <w:sz w:val="16"/>
          <w:lang w:val="es-AR"/>
        </w:rPr>
        <w:t>Cfr</w:t>
      </w:r>
      <w:r w:rsidRPr="00624696">
        <w:rPr>
          <w:sz w:val="16"/>
          <w:lang w:val="es-AR"/>
        </w:rPr>
        <w:t>.</w:t>
      </w:r>
      <w:r w:rsidRPr="00624696">
        <w:rPr>
          <w:spacing w:val="-12"/>
          <w:sz w:val="16"/>
          <w:lang w:val="es-AR"/>
        </w:rPr>
        <w:t xml:space="preserve"> </w:t>
      </w:r>
      <w:r w:rsidRPr="00624696">
        <w:rPr>
          <w:sz w:val="16"/>
          <w:lang w:val="es-AR"/>
        </w:rPr>
        <w:t>SANTOS,</w:t>
      </w:r>
      <w:r w:rsidRPr="00624696">
        <w:rPr>
          <w:spacing w:val="-11"/>
          <w:sz w:val="16"/>
          <w:lang w:val="es-AR"/>
        </w:rPr>
        <w:t xml:space="preserve"> </w:t>
      </w:r>
      <w:r w:rsidRPr="00624696">
        <w:rPr>
          <w:sz w:val="16"/>
          <w:lang w:val="es-AR"/>
        </w:rPr>
        <w:t>Ana</w:t>
      </w:r>
      <w:r w:rsidRPr="00624696">
        <w:rPr>
          <w:spacing w:val="-14"/>
          <w:sz w:val="16"/>
          <w:lang w:val="es-AR"/>
        </w:rPr>
        <w:t xml:space="preserve"> </w:t>
      </w:r>
      <w:r w:rsidRPr="00624696">
        <w:rPr>
          <w:sz w:val="16"/>
          <w:lang w:val="es-AR"/>
        </w:rPr>
        <w:t>Maria.</w:t>
      </w:r>
      <w:r w:rsidRPr="00624696">
        <w:rPr>
          <w:spacing w:val="-10"/>
          <w:sz w:val="16"/>
          <w:lang w:val="es-AR"/>
        </w:rPr>
        <w:t xml:space="preserve"> </w:t>
      </w:r>
      <w:r w:rsidRPr="00624696">
        <w:rPr>
          <w:i/>
          <w:sz w:val="16"/>
          <w:lang w:val="es-AR"/>
        </w:rPr>
        <w:t>“La</w:t>
      </w:r>
      <w:r w:rsidRPr="00624696">
        <w:rPr>
          <w:i/>
          <w:spacing w:val="-14"/>
          <w:sz w:val="16"/>
          <w:lang w:val="es-AR"/>
        </w:rPr>
        <w:t xml:space="preserve"> </w:t>
      </w:r>
      <w:r w:rsidRPr="00624696">
        <w:rPr>
          <w:i/>
          <w:sz w:val="16"/>
          <w:lang w:val="es-AR"/>
        </w:rPr>
        <w:t>Clandestinidad</w:t>
      </w:r>
      <w:r w:rsidRPr="00624696">
        <w:rPr>
          <w:i/>
          <w:spacing w:val="-9"/>
          <w:sz w:val="16"/>
          <w:lang w:val="es-AR"/>
        </w:rPr>
        <w:t xml:space="preserve"> </w:t>
      </w:r>
      <w:r w:rsidRPr="00624696">
        <w:rPr>
          <w:i/>
          <w:sz w:val="16"/>
          <w:lang w:val="es-AR"/>
        </w:rPr>
        <w:t>como</w:t>
      </w:r>
      <w:r w:rsidRPr="00624696">
        <w:rPr>
          <w:i/>
          <w:spacing w:val="-12"/>
          <w:sz w:val="16"/>
          <w:lang w:val="es-AR"/>
        </w:rPr>
        <w:t xml:space="preserve"> </w:t>
      </w:r>
      <w:r w:rsidRPr="00624696">
        <w:rPr>
          <w:i/>
          <w:sz w:val="16"/>
          <w:lang w:val="es-AR"/>
        </w:rPr>
        <w:t>Expresión</w:t>
      </w:r>
      <w:r w:rsidRPr="00624696">
        <w:rPr>
          <w:i/>
          <w:spacing w:val="-13"/>
          <w:sz w:val="16"/>
          <w:lang w:val="es-AR"/>
        </w:rPr>
        <w:t xml:space="preserve"> </w:t>
      </w:r>
      <w:r w:rsidRPr="00624696">
        <w:rPr>
          <w:i/>
          <w:sz w:val="16"/>
          <w:lang w:val="es-AR"/>
        </w:rPr>
        <w:t>de</w:t>
      </w:r>
      <w:r w:rsidRPr="00624696">
        <w:rPr>
          <w:i/>
          <w:spacing w:val="-10"/>
          <w:sz w:val="16"/>
          <w:lang w:val="es-AR"/>
        </w:rPr>
        <w:t xml:space="preserve"> </w:t>
      </w:r>
      <w:r w:rsidRPr="00624696">
        <w:rPr>
          <w:i/>
          <w:sz w:val="16"/>
          <w:lang w:val="es-AR"/>
        </w:rPr>
        <w:t>la</w:t>
      </w:r>
      <w:r w:rsidRPr="00624696">
        <w:rPr>
          <w:i/>
          <w:spacing w:val="-10"/>
          <w:sz w:val="16"/>
          <w:lang w:val="es-AR"/>
        </w:rPr>
        <w:t xml:space="preserve"> </w:t>
      </w:r>
      <w:r w:rsidRPr="00624696">
        <w:rPr>
          <w:i/>
          <w:sz w:val="16"/>
          <w:lang w:val="es-AR"/>
        </w:rPr>
        <w:t>Precarización</w:t>
      </w:r>
      <w:r w:rsidRPr="00624696">
        <w:rPr>
          <w:i/>
          <w:spacing w:val="-12"/>
          <w:sz w:val="16"/>
          <w:lang w:val="es-AR"/>
        </w:rPr>
        <w:t xml:space="preserve"> </w:t>
      </w:r>
      <w:r w:rsidRPr="00624696">
        <w:rPr>
          <w:i/>
          <w:sz w:val="16"/>
          <w:lang w:val="es-AR"/>
        </w:rPr>
        <w:t>del</w:t>
      </w:r>
      <w:r w:rsidRPr="00624696">
        <w:rPr>
          <w:i/>
          <w:spacing w:val="-10"/>
          <w:sz w:val="16"/>
          <w:lang w:val="es-AR"/>
        </w:rPr>
        <w:t xml:space="preserve"> </w:t>
      </w:r>
      <w:r w:rsidRPr="00624696">
        <w:rPr>
          <w:i/>
          <w:sz w:val="16"/>
          <w:lang w:val="es-AR"/>
        </w:rPr>
        <w:t>Trabajo</w:t>
      </w:r>
      <w:r w:rsidRPr="00624696">
        <w:rPr>
          <w:i/>
          <w:spacing w:val="-12"/>
          <w:sz w:val="16"/>
          <w:lang w:val="es-AR"/>
        </w:rPr>
        <w:t xml:space="preserve"> </w:t>
      </w:r>
      <w:r w:rsidRPr="00624696">
        <w:rPr>
          <w:i/>
          <w:sz w:val="16"/>
          <w:lang w:val="es-AR"/>
        </w:rPr>
        <w:t>en</w:t>
      </w:r>
      <w:r w:rsidRPr="00624696">
        <w:rPr>
          <w:i/>
          <w:spacing w:val="-11"/>
          <w:sz w:val="16"/>
          <w:lang w:val="es-AR"/>
        </w:rPr>
        <w:t xml:space="preserve"> </w:t>
      </w:r>
      <w:r w:rsidRPr="00624696">
        <w:rPr>
          <w:i/>
          <w:sz w:val="16"/>
          <w:lang w:val="es-AR"/>
        </w:rPr>
        <w:t>la</w:t>
      </w:r>
      <w:r w:rsidRPr="00624696">
        <w:rPr>
          <w:i/>
          <w:spacing w:val="-11"/>
          <w:sz w:val="16"/>
          <w:lang w:val="es-AR"/>
        </w:rPr>
        <w:t xml:space="preserve"> </w:t>
      </w:r>
      <w:r w:rsidRPr="00624696">
        <w:rPr>
          <w:i/>
          <w:sz w:val="16"/>
          <w:lang w:val="es-AR"/>
        </w:rPr>
        <w:t>Producción del</w:t>
      </w:r>
      <w:r w:rsidRPr="00624696">
        <w:rPr>
          <w:i/>
          <w:spacing w:val="-3"/>
          <w:sz w:val="16"/>
          <w:lang w:val="es-AR"/>
        </w:rPr>
        <w:t xml:space="preserve"> </w:t>
      </w:r>
      <w:r w:rsidRPr="00624696">
        <w:rPr>
          <w:i/>
          <w:sz w:val="16"/>
          <w:lang w:val="es-AR"/>
        </w:rPr>
        <w:t>Cohete</w:t>
      </w:r>
      <w:r w:rsidRPr="00624696">
        <w:rPr>
          <w:i/>
          <w:spacing w:val="-4"/>
          <w:sz w:val="16"/>
          <w:lang w:val="es-AR"/>
        </w:rPr>
        <w:t xml:space="preserve"> </w:t>
      </w:r>
      <w:r w:rsidRPr="00624696">
        <w:rPr>
          <w:i/>
          <w:sz w:val="16"/>
          <w:lang w:val="es-AR"/>
        </w:rPr>
        <w:t>de</w:t>
      </w:r>
      <w:r w:rsidRPr="00624696">
        <w:rPr>
          <w:i/>
          <w:spacing w:val="-5"/>
          <w:sz w:val="16"/>
          <w:lang w:val="es-AR"/>
        </w:rPr>
        <w:t xml:space="preserve"> </w:t>
      </w:r>
      <w:r w:rsidRPr="00624696">
        <w:rPr>
          <w:i/>
          <w:sz w:val="16"/>
          <w:lang w:val="es-AR"/>
        </w:rPr>
        <w:t>Masa</w:t>
      </w:r>
      <w:r w:rsidRPr="00624696">
        <w:rPr>
          <w:i/>
          <w:spacing w:val="-2"/>
          <w:sz w:val="16"/>
          <w:lang w:val="es-AR"/>
        </w:rPr>
        <w:t xml:space="preserve"> </w:t>
      </w:r>
      <w:r w:rsidRPr="00624696">
        <w:rPr>
          <w:i/>
          <w:sz w:val="16"/>
          <w:lang w:val="es-AR"/>
        </w:rPr>
        <w:t>en</w:t>
      </w:r>
      <w:r w:rsidRPr="00624696">
        <w:rPr>
          <w:i/>
          <w:spacing w:val="-4"/>
          <w:sz w:val="16"/>
          <w:lang w:val="es-AR"/>
        </w:rPr>
        <w:t xml:space="preserve"> </w:t>
      </w:r>
      <w:r w:rsidRPr="00624696">
        <w:rPr>
          <w:i/>
          <w:sz w:val="16"/>
          <w:lang w:val="es-AR"/>
        </w:rPr>
        <w:t>el</w:t>
      </w:r>
      <w:r w:rsidRPr="00624696">
        <w:rPr>
          <w:i/>
          <w:spacing w:val="-2"/>
          <w:sz w:val="16"/>
          <w:lang w:val="es-AR"/>
        </w:rPr>
        <w:t xml:space="preserve"> </w:t>
      </w:r>
      <w:r w:rsidRPr="00624696">
        <w:rPr>
          <w:i/>
          <w:sz w:val="16"/>
          <w:lang w:val="es-AR"/>
        </w:rPr>
        <w:t>Municipio</w:t>
      </w:r>
      <w:r w:rsidRPr="00624696">
        <w:rPr>
          <w:i/>
          <w:spacing w:val="-2"/>
          <w:sz w:val="16"/>
          <w:lang w:val="es-AR"/>
        </w:rPr>
        <w:t xml:space="preserve"> </w:t>
      </w:r>
      <w:r w:rsidRPr="00624696">
        <w:rPr>
          <w:i/>
          <w:sz w:val="16"/>
          <w:lang w:val="es-AR"/>
        </w:rPr>
        <w:t>de</w:t>
      </w:r>
      <w:r w:rsidRPr="00624696">
        <w:rPr>
          <w:i/>
          <w:spacing w:val="-1"/>
          <w:sz w:val="16"/>
          <w:lang w:val="es-AR"/>
        </w:rPr>
        <w:t xml:space="preserve"> </w:t>
      </w:r>
      <w:r w:rsidRPr="00624696">
        <w:rPr>
          <w:i/>
          <w:sz w:val="16"/>
          <w:lang w:val="es-AR"/>
        </w:rPr>
        <w:t>Santo</w:t>
      </w:r>
      <w:r w:rsidRPr="00624696">
        <w:rPr>
          <w:i/>
          <w:spacing w:val="-2"/>
          <w:sz w:val="16"/>
          <w:lang w:val="es-AR"/>
        </w:rPr>
        <w:t xml:space="preserve"> </w:t>
      </w:r>
      <w:r w:rsidRPr="00624696">
        <w:rPr>
          <w:i/>
          <w:sz w:val="16"/>
          <w:lang w:val="es-AR"/>
        </w:rPr>
        <w:t>Antônio</w:t>
      </w:r>
      <w:r w:rsidRPr="00624696">
        <w:rPr>
          <w:i/>
          <w:spacing w:val="-1"/>
          <w:sz w:val="16"/>
          <w:lang w:val="es-AR"/>
        </w:rPr>
        <w:t xml:space="preserve"> </w:t>
      </w:r>
      <w:r w:rsidRPr="00624696">
        <w:rPr>
          <w:i/>
          <w:sz w:val="16"/>
          <w:lang w:val="es-AR"/>
        </w:rPr>
        <w:t>de</w:t>
      </w:r>
      <w:r w:rsidRPr="00624696">
        <w:rPr>
          <w:i/>
          <w:spacing w:val="-1"/>
          <w:sz w:val="16"/>
          <w:lang w:val="es-AR"/>
        </w:rPr>
        <w:t xml:space="preserve"> </w:t>
      </w:r>
      <w:r w:rsidRPr="00624696">
        <w:rPr>
          <w:i/>
          <w:sz w:val="16"/>
          <w:lang w:val="es-AR"/>
        </w:rPr>
        <w:t>Jesus</w:t>
      </w:r>
      <w:r w:rsidRPr="00624696">
        <w:rPr>
          <w:i/>
          <w:spacing w:val="-2"/>
          <w:sz w:val="16"/>
          <w:lang w:val="es-AR"/>
        </w:rPr>
        <w:t xml:space="preserve"> </w:t>
      </w:r>
      <w:r w:rsidRPr="00624696">
        <w:rPr>
          <w:i/>
          <w:sz w:val="16"/>
          <w:lang w:val="es-AR"/>
        </w:rPr>
        <w:t>–</w:t>
      </w:r>
      <w:r w:rsidRPr="00624696">
        <w:rPr>
          <w:i/>
          <w:spacing w:val="-1"/>
          <w:sz w:val="16"/>
          <w:lang w:val="es-AR"/>
        </w:rPr>
        <w:t xml:space="preserve"> </w:t>
      </w:r>
      <w:r w:rsidRPr="00624696">
        <w:rPr>
          <w:i/>
          <w:sz w:val="16"/>
          <w:lang w:val="es-AR"/>
        </w:rPr>
        <w:t>Bahia:</w:t>
      </w:r>
      <w:r w:rsidRPr="00624696">
        <w:rPr>
          <w:i/>
          <w:spacing w:val="-1"/>
          <w:sz w:val="16"/>
          <w:lang w:val="es-AR"/>
        </w:rPr>
        <w:t xml:space="preserve"> </w:t>
      </w:r>
      <w:r w:rsidRPr="00624696">
        <w:rPr>
          <w:i/>
          <w:sz w:val="16"/>
          <w:lang w:val="es-AR"/>
        </w:rPr>
        <w:t>un estudio</w:t>
      </w:r>
      <w:r w:rsidRPr="00624696">
        <w:rPr>
          <w:i/>
          <w:spacing w:val="-2"/>
          <w:sz w:val="16"/>
          <w:lang w:val="es-AR"/>
        </w:rPr>
        <w:t xml:space="preserve"> </w:t>
      </w:r>
      <w:r w:rsidRPr="00624696">
        <w:rPr>
          <w:i/>
          <w:sz w:val="16"/>
          <w:lang w:val="es-AR"/>
        </w:rPr>
        <w:t>de</w:t>
      </w:r>
      <w:r w:rsidRPr="00624696">
        <w:rPr>
          <w:i/>
          <w:spacing w:val="-1"/>
          <w:sz w:val="16"/>
          <w:lang w:val="es-AR"/>
        </w:rPr>
        <w:t xml:space="preserve"> </w:t>
      </w:r>
      <w:r w:rsidRPr="00624696">
        <w:rPr>
          <w:i/>
          <w:sz w:val="16"/>
          <w:lang w:val="es-AR"/>
        </w:rPr>
        <w:t>caso</w:t>
      </w:r>
      <w:r w:rsidRPr="00624696">
        <w:rPr>
          <w:i/>
          <w:spacing w:val="-2"/>
          <w:sz w:val="16"/>
          <w:lang w:val="es-AR"/>
        </w:rPr>
        <w:t xml:space="preserve"> </w:t>
      </w:r>
      <w:r w:rsidRPr="00624696">
        <w:rPr>
          <w:i/>
          <w:sz w:val="16"/>
          <w:lang w:val="es-AR"/>
        </w:rPr>
        <w:t>en</w:t>
      </w:r>
      <w:r w:rsidRPr="00624696">
        <w:rPr>
          <w:i/>
          <w:spacing w:val="-3"/>
          <w:sz w:val="16"/>
          <w:lang w:val="es-AR"/>
        </w:rPr>
        <w:t xml:space="preserve"> </w:t>
      </w:r>
      <w:r w:rsidRPr="00624696">
        <w:rPr>
          <w:i/>
          <w:sz w:val="16"/>
          <w:lang w:val="es-AR"/>
        </w:rPr>
        <w:t>el</w:t>
      </w:r>
      <w:r w:rsidRPr="00624696">
        <w:rPr>
          <w:i/>
          <w:spacing w:val="-3"/>
          <w:sz w:val="16"/>
          <w:lang w:val="es-AR"/>
        </w:rPr>
        <w:t xml:space="preserve"> </w:t>
      </w:r>
      <w:r w:rsidRPr="00624696">
        <w:rPr>
          <w:i/>
          <w:sz w:val="16"/>
          <w:lang w:val="es-AR"/>
        </w:rPr>
        <w:t>barrio</w:t>
      </w:r>
      <w:r w:rsidRPr="00624696">
        <w:rPr>
          <w:i/>
          <w:spacing w:val="-1"/>
          <w:sz w:val="16"/>
          <w:lang w:val="es-AR"/>
        </w:rPr>
        <w:t xml:space="preserve"> </w:t>
      </w:r>
      <w:r w:rsidRPr="00624696">
        <w:rPr>
          <w:i/>
          <w:sz w:val="16"/>
          <w:lang w:val="es-AR"/>
        </w:rPr>
        <w:t>Irmã</w:t>
      </w:r>
      <w:r w:rsidRPr="00624696">
        <w:rPr>
          <w:i/>
          <w:spacing w:val="-2"/>
          <w:sz w:val="16"/>
          <w:lang w:val="es-AR"/>
        </w:rPr>
        <w:t xml:space="preserve"> </w:t>
      </w:r>
      <w:r w:rsidRPr="00624696">
        <w:rPr>
          <w:i/>
          <w:sz w:val="16"/>
          <w:lang w:val="es-AR"/>
        </w:rPr>
        <w:t>Dulce”</w:t>
      </w:r>
      <w:r w:rsidRPr="00624696">
        <w:rPr>
          <w:sz w:val="16"/>
          <w:lang w:val="es-AR"/>
        </w:rPr>
        <w:t xml:space="preserve">, </w:t>
      </w:r>
      <w:r w:rsidRPr="00624696">
        <w:rPr>
          <w:i/>
          <w:sz w:val="16"/>
          <w:lang w:val="es-AR"/>
        </w:rPr>
        <w:t>supra</w:t>
      </w:r>
      <w:r w:rsidRPr="00624696">
        <w:rPr>
          <w:sz w:val="16"/>
          <w:lang w:val="es-AR"/>
        </w:rPr>
        <w:t xml:space="preserve">, y TOMASONI, Sônia Marise Rodrigues Pereira. </w:t>
      </w:r>
      <w:r w:rsidRPr="00624696">
        <w:rPr>
          <w:i/>
          <w:sz w:val="16"/>
          <w:lang w:val="es-AR"/>
        </w:rPr>
        <w:t>“Dinámica socioespacial de la producción de fuegos artificiales en Santo Antônio de Jesus-BA”</w:t>
      </w:r>
      <w:r w:rsidRPr="00624696">
        <w:rPr>
          <w:sz w:val="16"/>
          <w:lang w:val="es-AR"/>
        </w:rPr>
        <w:t>,</w:t>
      </w:r>
      <w:r w:rsidRPr="00624696">
        <w:rPr>
          <w:spacing w:val="-2"/>
          <w:sz w:val="16"/>
          <w:lang w:val="es-AR"/>
        </w:rPr>
        <w:t xml:space="preserve"> </w:t>
      </w:r>
      <w:r w:rsidRPr="00624696">
        <w:rPr>
          <w:i/>
          <w:sz w:val="16"/>
          <w:lang w:val="es-AR"/>
        </w:rPr>
        <w:t>supra</w:t>
      </w:r>
      <w:r w:rsidRPr="00624696">
        <w:rPr>
          <w:sz w:val="16"/>
          <w:lang w:val="es-AR"/>
        </w:rPr>
        <w:t>.</w:t>
      </w:r>
    </w:p>
    <w:p w14:paraId="25885954" w14:textId="77777777" w:rsidR="00467FCA" w:rsidRPr="00624696" w:rsidRDefault="001B68EB">
      <w:pPr>
        <w:tabs>
          <w:tab w:val="left" w:pos="839"/>
        </w:tabs>
        <w:ind w:left="120" w:right="115" w:hanging="1"/>
        <w:jc w:val="both"/>
        <w:rPr>
          <w:sz w:val="16"/>
          <w:lang w:val="es-AR"/>
        </w:rPr>
      </w:pPr>
      <w:bookmarkStart w:id="133" w:name="_bookmark108"/>
      <w:bookmarkEnd w:id="133"/>
      <w:r w:rsidRPr="00624696">
        <w:rPr>
          <w:position w:val="6"/>
          <w:sz w:val="10"/>
          <w:lang w:val="es-AR"/>
        </w:rPr>
        <w:t>85</w:t>
      </w:r>
      <w:r w:rsidRPr="00624696">
        <w:rPr>
          <w:position w:val="6"/>
          <w:sz w:val="10"/>
          <w:lang w:val="es-AR"/>
        </w:rPr>
        <w:tab/>
      </w:r>
      <w:r w:rsidRPr="00624696">
        <w:rPr>
          <w:i/>
          <w:sz w:val="16"/>
          <w:lang w:val="es-AR"/>
        </w:rPr>
        <w:t xml:space="preserve">Cfr. </w:t>
      </w:r>
      <w:r w:rsidRPr="00624696">
        <w:rPr>
          <w:sz w:val="16"/>
          <w:lang w:val="es-AR"/>
        </w:rPr>
        <w:t xml:space="preserve">TOMASONI, Sônia Marise Rodrigues Pereira. </w:t>
      </w:r>
      <w:r w:rsidRPr="00624696">
        <w:rPr>
          <w:i/>
          <w:sz w:val="16"/>
          <w:lang w:val="es-AR"/>
        </w:rPr>
        <w:t>“Dinámica socioespacial de la producción de fuegos artificiales en Santo Antônio de Jesus-BA”</w:t>
      </w:r>
      <w:r w:rsidRPr="00624696">
        <w:rPr>
          <w:sz w:val="16"/>
          <w:lang w:val="es-AR"/>
        </w:rPr>
        <w:t>,</w:t>
      </w:r>
      <w:r w:rsidRPr="00624696">
        <w:rPr>
          <w:spacing w:val="-7"/>
          <w:sz w:val="16"/>
          <w:lang w:val="es-AR"/>
        </w:rPr>
        <w:t xml:space="preserve"> </w:t>
      </w:r>
      <w:r w:rsidRPr="00624696">
        <w:rPr>
          <w:i/>
          <w:sz w:val="16"/>
          <w:lang w:val="es-AR"/>
        </w:rPr>
        <w:t>supra</w:t>
      </w:r>
      <w:r w:rsidRPr="00624696">
        <w:rPr>
          <w:sz w:val="16"/>
          <w:lang w:val="es-AR"/>
        </w:rPr>
        <w:t>.</w:t>
      </w:r>
    </w:p>
    <w:p w14:paraId="7AD7A009" w14:textId="77777777" w:rsidR="00467FCA" w:rsidRPr="00624696" w:rsidRDefault="001B68EB">
      <w:pPr>
        <w:tabs>
          <w:tab w:val="left" w:pos="839"/>
        </w:tabs>
        <w:ind w:left="120" w:right="115" w:hanging="1"/>
        <w:jc w:val="both"/>
        <w:rPr>
          <w:sz w:val="16"/>
          <w:lang w:val="es-AR"/>
        </w:rPr>
      </w:pPr>
      <w:bookmarkStart w:id="134" w:name="_bookmark109"/>
      <w:bookmarkEnd w:id="134"/>
      <w:r w:rsidRPr="00624696">
        <w:rPr>
          <w:position w:val="6"/>
          <w:sz w:val="10"/>
          <w:lang w:val="es-AR"/>
        </w:rPr>
        <w:t>86</w:t>
      </w:r>
      <w:r w:rsidRPr="00624696">
        <w:rPr>
          <w:position w:val="6"/>
          <w:sz w:val="10"/>
          <w:lang w:val="es-AR"/>
        </w:rPr>
        <w:tab/>
      </w:r>
      <w:r w:rsidRPr="00624696">
        <w:rPr>
          <w:i/>
          <w:sz w:val="16"/>
          <w:lang w:val="es-AR"/>
        </w:rPr>
        <w:t>Cfr</w:t>
      </w:r>
      <w:r w:rsidRPr="00624696">
        <w:rPr>
          <w:sz w:val="16"/>
          <w:lang w:val="es-AR"/>
        </w:rPr>
        <w:t>. Peritaje rendido por Sônia Marise Rodrigues Pereira Tomasoni en Audiencia Pública realiz</w:t>
      </w:r>
      <w:r w:rsidRPr="00624696">
        <w:rPr>
          <w:sz w:val="16"/>
          <w:lang w:val="es-AR"/>
        </w:rPr>
        <w:t>ada el 31 de enero de 2020 ante la Corte</w:t>
      </w:r>
      <w:r w:rsidRPr="00624696">
        <w:rPr>
          <w:spacing w:val="-3"/>
          <w:sz w:val="16"/>
          <w:lang w:val="es-AR"/>
        </w:rPr>
        <w:t xml:space="preserve"> </w:t>
      </w:r>
      <w:r w:rsidRPr="00624696">
        <w:rPr>
          <w:sz w:val="16"/>
          <w:lang w:val="es-AR"/>
        </w:rPr>
        <w:t>IDH.</w:t>
      </w:r>
    </w:p>
    <w:p w14:paraId="3D238623" w14:textId="77777777" w:rsidR="00467FCA" w:rsidRPr="00624696" w:rsidRDefault="001B68EB">
      <w:pPr>
        <w:tabs>
          <w:tab w:val="left" w:pos="839"/>
        </w:tabs>
        <w:ind w:left="120"/>
        <w:jc w:val="both"/>
        <w:rPr>
          <w:i/>
          <w:sz w:val="16"/>
          <w:lang w:val="es-AR"/>
        </w:rPr>
      </w:pPr>
      <w:bookmarkStart w:id="135" w:name="_bookmark110"/>
      <w:bookmarkEnd w:id="135"/>
      <w:r w:rsidRPr="00624696">
        <w:rPr>
          <w:position w:val="6"/>
          <w:sz w:val="10"/>
          <w:lang w:val="es-AR"/>
        </w:rPr>
        <w:t>87</w:t>
      </w:r>
      <w:r w:rsidRPr="00624696">
        <w:rPr>
          <w:position w:val="6"/>
          <w:sz w:val="10"/>
          <w:lang w:val="es-AR"/>
        </w:rPr>
        <w:tab/>
      </w:r>
      <w:bookmarkStart w:id="136" w:name="_bookmark111"/>
      <w:bookmarkEnd w:id="136"/>
      <w:r w:rsidRPr="00624696">
        <w:rPr>
          <w:i/>
          <w:sz w:val="16"/>
          <w:lang w:val="es-AR"/>
        </w:rPr>
        <w:t>Cfr</w:t>
      </w:r>
      <w:r w:rsidRPr="00624696">
        <w:rPr>
          <w:sz w:val="16"/>
          <w:lang w:val="es-AR"/>
        </w:rPr>
        <w:t>. Peritaje rendido por Sônia Marise Rodrigues Pereira Tomasoni,</w:t>
      </w:r>
      <w:r w:rsidRPr="00624696">
        <w:rPr>
          <w:spacing w:val="-12"/>
          <w:sz w:val="16"/>
          <w:lang w:val="es-AR"/>
        </w:rPr>
        <w:t xml:space="preserve"> </w:t>
      </w:r>
      <w:r w:rsidRPr="00624696">
        <w:rPr>
          <w:i/>
          <w:sz w:val="16"/>
          <w:lang w:val="es-AR"/>
        </w:rPr>
        <w:t>supra.</w:t>
      </w:r>
    </w:p>
    <w:p w14:paraId="16DDB2C7" w14:textId="77777777" w:rsidR="00467FCA" w:rsidRPr="00624696" w:rsidRDefault="001B68EB">
      <w:pPr>
        <w:tabs>
          <w:tab w:val="left" w:pos="839"/>
        </w:tabs>
        <w:ind w:left="119" w:right="113"/>
        <w:jc w:val="both"/>
        <w:rPr>
          <w:i/>
          <w:sz w:val="16"/>
          <w:lang w:val="es-AR"/>
        </w:rPr>
      </w:pPr>
      <w:r w:rsidRPr="00624696">
        <w:rPr>
          <w:position w:val="6"/>
          <w:sz w:val="10"/>
          <w:lang w:val="es-AR"/>
        </w:rPr>
        <w:t>88</w:t>
      </w:r>
      <w:r w:rsidRPr="00624696">
        <w:rPr>
          <w:position w:val="6"/>
          <w:sz w:val="10"/>
          <w:lang w:val="es-AR"/>
        </w:rPr>
        <w:tab/>
      </w:r>
      <w:r w:rsidRPr="00624696">
        <w:rPr>
          <w:i/>
          <w:sz w:val="16"/>
          <w:lang w:val="es-AR"/>
        </w:rPr>
        <w:t>Cfr</w:t>
      </w:r>
      <w:r w:rsidRPr="00624696">
        <w:rPr>
          <w:sz w:val="16"/>
          <w:lang w:val="es-AR"/>
        </w:rPr>
        <w:t xml:space="preserve">. Peritaje rendido por Sônia Marise Rodrigues Pereira Tomasoni, </w:t>
      </w:r>
      <w:r w:rsidRPr="00624696">
        <w:rPr>
          <w:i/>
          <w:sz w:val="16"/>
          <w:lang w:val="es-AR"/>
        </w:rPr>
        <w:t xml:space="preserve">supra, </w:t>
      </w:r>
      <w:r w:rsidRPr="00624696">
        <w:rPr>
          <w:sz w:val="16"/>
          <w:lang w:val="es-AR"/>
        </w:rPr>
        <w:t xml:space="preserve">y SANTOS, Ana Maria. </w:t>
      </w:r>
      <w:r w:rsidRPr="00624696">
        <w:rPr>
          <w:i/>
          <w:sz w:val="16"/>
          <w:lang w:val="es-AR"/>
        </w:rPr>
        <w:t xml:space="preserve">“La Clandestinidad como Expresión de la Precarización del Trabajo en la Producción del Cohete de Masa en el Municipio de Santo Antônio de Jesus – Bahia: un estudio </w:t>
      </w:r>
      <w:r w:rsidRPr="00624696">
        <w:rPr>
          <w:i/>
          <w:sz w:val="16"/>
          <w:lang w:val="es-AR"/>
        </w:rPr>
        <w:t>de caso en el barrio Irmã Dulce”</w:t>
      </w:r>
      <w:r w:rsidRPr="00624696">
        <w:rPr>
          <w:sz w:val="16"/>
          <w:lang w:val="es-AR"/>
        </w:rPr>
        <w:t xml:space="preserve">, </w:t>
      </w:r>
      <w:r w:rsidRPr="00624696">
        <w:rPr>
          <w:i/>
          <w:sz w:val="16"/>
          <w:lang w:val="es-AR"/>
        </w:rPr>
        <w:t>supra</w:t>
      </w:r>
      <w:r w:rsidRPr="00624696">
        <w:rPr>
          <w:sz w:val="16"/>
          <w:lang w:val="es-AR"/>
        </w:rPr>
        <w:t>, y TOMASONI, Sônia Marise Rodrigues</w:t>
      </w:r>
      <w:r w:rsidRPr="00624696">
        <w:rPr>
          <w:spacing w:val="14"/>
          <w:sz w:val="16"/>
          <w:lang w:val="es-AR"/>
        </w:rPr>
        <w:t xml:space="preserve"> </w:t>
      </w:r>
      <w:r w:rsidRPr="00624696">
        <w:rPr>
          <w:sz w:val="16"/>
          <w:lang w:val="es-AR"/>
        </w:rPr>
        <w:t>Pereira.</w:t>
      </w:r>
      <w:r w:rsidRPr="00624696">
        <w:rPr>
          <w:spacing w:val="10"/>
          <w:sz w:val="16"/>
          <w:lang w:val="es-AR"/>
        </w:rPr>
        <w:t xml:space="preserve"> </w:t>
      </w:r>
      <w:r w:rsidRPr="00624696">
        <w:rPr>
          <w:sz w:val="16"/>
          <w:lang w:val="es-AR"/>
        </w:rPr>
        <w:t>“</w:t>
      </w:r>
      <w:r w:rsidRPr="00624696">
        <w:rPr>
          <w:i/>
          <w:sz w:val="16"/>
          <w:lang w:val="es-AR"/>
        </w:rPr>
        <w:t>Dinámica</w:t>
      </w:r>
      <w:r w:rsidRPr="00624696">
        <w:rPr>
          <w:i/>
          <w:spacing w:val="10"/>
          <w:sz w:val="16"/>
          <w:lang w:val="es-AR"/>
        </w:rPr>
        <w:t xml:space="preserve"> </w:t>
      </w:r>
      <w:r w:rsidRPr="00624696">
        <w:rPr>
          <w:i/>
          <w:sz w:val="16"/>
          <w:lang w:val="es-AR"/>
        </w:rPr>
        <w:t>socioespacial</w:t>
      </w:r>
      <w:r w:rsidRPr="00624696">
        <w:rPr>
          <w:i/>
          <w:spacing w:val="12"/>
          <w:sz w:val="16"/>
          <w:lang w:val="es-AR"/>
        </w:rPr>
        <w:t xml:space="preserve"> </w:t>
      </w:r>
      <w:r w:rsidRPr="00624696">
        <w:rPr>
          <w:i/>
          <w:sz w:val="16"/>
          <w:lang w:val="es-AR"/>
        </w:rPr>
        <w:t>de</w:t>
      </w:r>
      <w:r w:rsidRPr="00624696">
        <w:rPr>
          <w:i/>
          <w:spacing w:val="11"/>
          <w:sz w:val="16"/>
          <w:lang w:val="es-AR"/>
        </w:rPr>
        <w:t xml:space="preserve"> </w:t>
      </w:r>
      <w:r w:rsidRPr="00624696">
        <w:rPr>
          <w:i/>
          <w:sz w:val="16"/>
          <w:lang w:val="es-AR"/>
        </w:rPr>
        <w:t>la</w:t>
      </w:r>
      <w:r w:rsidRPr="00624696">
        <w:rPr>
          <w:i/>
          <w:spacing w:val="13"/>
          <w:sz w:val="16"/>
          <w:lang w:val="es-AR"/>
        </w:rPr>
        <w:t xml:space="preserve"> </w:t>
      </w:r>
      <w:r w:rsidRPr="00624696">
        <w:rPr>
          <w:i/>
          <w:sz w:val="16"/>
          <w:lang w:val="es-AR"/>
        </w:rPr>
        <w:t>producción</w:t>
      </w:r>
      <w:r w:rsidRPr="00624696">
        <w:rPr>
          <w:i/>
          <w:spacing w:val="13"/>
          <w:sz w:val="16"/>
          <w:lang w:val="es-AR"/>
        </w:rPr>
        <w:t xml:space="preserve"> </w:t>
      </w:r>
      <w:r w:rsidRPr="00624696">
        <w:rPr>
          <w:i/>
          <w:sz w:val="16"/>
          <w:lang w:val="es-AR"/>
        </w:rPr>
        <w:t>de</w:t>
      </w:r>
      <w:r w:rsidRPr="00624696">
        <w:rPr>
          <w:i/>
          <w:spacing w:val="11"/>
          <w:sz w:val="16"/>
          <w:lang w:val="es-AR"/>
        </w:rPr>
        <w:t xml:space="preserve"> </w:t>
      </w:r>
      <w:r w:rsidRPr="00624696">
        <w:rPr>
          <w:i/>
          <w:sz w:val="16"/>
          <w:lang w:val="es-AR"/>
        </w:rPr>
        <w:t>fuegos</w:t>
      </w:r>
      <w:r w:rsidRPr="00624696">
        <w:rPr>
          <w:i/>
          <w:spacing w:val="13"/>
          <w:sz w:val="16"/>
          <w:lang w:val="es-AR"/>
        </w:rPr>
        <w:t xml:space="preserve"> </w:t>
      </w:r>
      <w:r w:rsidRPr="00624696">
        <w:rPr>
          <w:i/>
          <w:sz w:val="16"/>
          <w:lang w:val="es-AR"/>
        </w:rPr>
        <w:t>artificiales</w:t>
      </w:r>
      <w:r w:rsidRPr="00624696">
        <w:rPr>
          <w:i/>
          <w:spacing w:val="14"/>
          <w:sz w:val="16"/>
          <w:lang w:val="es-AR"/>
        </w:rPr>
        <w:t xml:space="preserve"> </w:t>
      </w:r>
      <w:r w:rsidRPr="00624696">
        <w:rPr>
          <w:i/>
          <w:sz w:val="16"/>
          <w:lang w:val="es-AR"/>
        </w:rPr>
        <w:t>en</w:t>
      </w:r>
      <w:r w:rsidRPr="00624696">
        <w:rPr>
          <w:i/>
          <w:spacing w:val="10"/>
          <w:sz w:val="16"/>
          <w:lang w:val="es-AR"/>
        </w:rPr>
        <w:t xml:space="preserve"> </w:t>
      </w:r>
      <w:r w:rsidRPr="00624696">
        <w:rPr>
          <w:i/>
          <w:sz w:val="16"/>
          <w:lang w:val="es-AR"/>
        </w:rPr>
        <w:t>Santo</w:t>
      </w:r>
      <w:r w:rsidRPr="00624696">
        <w:rPr>
          <w:i/>
          <w:spacing w:val="14"/>
          <w:sz w:val="16"/>
          <w:lang w:val="es-AR"/>
        </w:rPr>
        <w:t xml:space="preserve"> </w:t>
      </w:r>
      <w:r w:rsidRPr="00624696">
        <w:rPr>
          <w:i/>
          <w:sz w:val="16"/>
          <w:lang w:val="es-AR"/>
        </w:rPr>
        <w:t>Antônio</w:t>
      </w:r>
      <w:r w:rsidRPr="00624696">
        <w:rPr>
          <w:i/>
          <w:spacing w:val="12"/>
          <w:sz w:val="16"/>
          <w:lang w:val="es-AR"/>
        </w:rPr>
        <w:t xml:space="preserve"> </w:t>
      </w:r>
      <w:r w:rsidRPr="00624696">
        <w:rPr>
          <w:i/>
          <w:sz w:val="16"/>
          <w:lang w:val="es-AR"/>
        </w:rPr>
        <w:t>de</w:t>
      </w:r>
      <w:r w:rsidRPr="00624696">
        <w:rPr>
          <w:i/>
          <w:spacing w:val="14"/>
          <w:sz w:val="16"/>
          <w:lang w:val="es-AR"/>
        </w:rPr>
        <w:t xml:space="preserve"> </w:t>
      </w:r>
      <w:r w:rsidRPr="00624696">
        <w:rPr>
          <w:i/>
          <w:sz w:val="16"/>
          <w:lang w:val="es-AR"/>
        </w:rPr>
        <w:t>Jesus-BA”,</w:t>
      </w:r>
    </w:p>
    <w:p w14:paraId="52202966" w14:textId="77777777" w:rsidR="00467FCA" w:rsidRPr="00624696" w:rsidRDefault="00467FCA">
      <w:pPr>
        <w:jc w:val="both"/>
        <w:rPr>
          <w:sz w:val="16"/>
          <w:lang w:val="es-AR"/>
        </w:rPr>
        <w:sectPr w:rsidR="00467FCA" w:rsidRPr="00624696">
          <w:pgSz w:w="12240" w:h="15840"/>
          <w:pgMar w:top="1500" w:right="1320" w:bottom="1220" w:left="1320" w:header="0" w:footer="1037" w:gutter="0"/>
          <w:cols w:space="720"/>
        </w:sectPr>
      </w:pPr>
    </w:p>
    <w:p w14:paraId="36E1153B" w14:textId="77777777" w:rsidR="00467FCA" w:rsidRPr="00624696" w:rsidRDefault="001B68EB">
      <w:pPr>
        <w:pStyle w:val="Prrafodelista"/>
        <w:numPr>
          <w:ilvl w:val="0"/>
          <w:numId w:val="50"/>
        </w:numPr>
        <w:tabs>
          <w:tab w:val="left" w:pos="687"/>
        </w:tabs>
        <w:spacing w:before="183"/>
        <w:ind w:left="119" w:right="120" w:firstLine="0"/>
        <w:jc w:val="both"/>
        <w:rPr>
          <w:sz w:val="20"/>
          <w:lang w:val="es-AR"/>
        </w:rPr>
      </w:pPr>
      <w:r w:rsidRPr="00624696">
        <w:rPr>
          <w:sz w:val="20"/>
          <w:lang w:val="es-AR"/>
        </w:rPr>
        <w:t>El trabajo de fabricación de fuegos artificiales en Santo Antônio de Jesus no era exclusivamente femenino, también incluía a hombres, pero en actividades distintas a la producción</w:t>
      </w:r>
      <w:r w:rsidRPr="00624696">
        <w:rPr>
          <w:spacing w:val="-14"/>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bombetas</w:t>
      </w:r>
      <w:r w:rsidRPr="00624696">
        <w:rPr>
          <w:spacing w:val="-12"/>
          <w:sz w:val="20"/>
          <w:lang w:val="es-AR"/>
        </w:rPr>
        <w:t xml:space="preserve"> </w:t>
      </w:r>
      <w:r w:rsidRPr="00624696">
        <w:rPr>
          <w:sz w:val="20"/>
          <w:lang w:val="es-AR"/>
        </w:rPr>
        <w:t>y</w:t>
      </w:r>
      <w:r w:rsidRPr="00624696">
        <w:rPr>
          <w:spacing w:val="-14"/>
          <w:sz w:val="20"/>
          <w:lang w:val="es-AR"/>
        </w:rPr>
        <w:t xml:space="preserve"> </w:t>
      </w:r>
      <w:r w:rsidRPr="00624696">
        <w:rPr>
          <w:sz w:val="20"/>
          <w:lang w:val="es-AR"/>
        </w:rPr>
        <w:t>en</w:t>
      </w:r>
      <w:r w:rsidRPr="00624696">
        <w:rPr>
          <w:spacing w:val="-13"/>
          <w:sz w:val="20"/>
          <w:lang w:val="es-AR"/>
        </w:rPr>
        <w:t xml:space="preserve"> </w:t>
      </w:r>
      <w:r w:rsidRPr="00624696">
        <w:rPr>
          <w:sz w:val="20"/>
          <w:lang w:val="es-AR"/>
        </w:rPr>
        <w:t>lugares</w:t>
      </w:r>
      <w:r w:rsidRPr="00624696">
        <w:rPr>
          <w:spacing w:val="-14"/>
          <w:sz w:val="20"/>
          <w:lang w:val="es-AR"/>
        </w:rPr>
        <w:t xml:space="preserve"> </w:t>
      </w:r>
      <w:r w:rsidRPr="00624696">
        <w:rPr>
          <w:sz w:val="20"/>
          <w:lang w:val="es-AR"/>
        </w:rPr>
        <w:t>diferentes</w:t>
      </w:r>
      <w:r w:rsidRPr="00624696">
        <w:rPr>
          <w:spacing w:val="-12"/>
          <w:sz w:val="20"/>
          <w:lang w:val="es-AR"/>
        </w:rPr>
        <w:t xml:space="preserve"> </w:t>
      </w:r>
      <w:r w:rsidRPr="00624696">
        <w:rPr>
          <w:sz w:val="20"/>
          <w:lang w:val="es-AR"/>
        </w:rPr>
        <w:t>a</w:t>
      </w:r>
      <w:r w:rsidRPr="00624696">
        <w:rPr>
          <w:spacing w:val="-15"/>
          <w:sz w:val="20"/>
          <w:lang w:val="es-AR"/>
        </w:rPr>
        <w:t xml:space="preserve"> </w:t>
      </w:r>
      <w:r w:rsidRPr="00624696">
        <w:rPr>
          <w:sz w:val="20"/>
          <w:lang w:val="es-AR"/>
        </w:rPr>
        <w:t>los</w:t>
      </w:r>
      <w:r w:rsidRPr="00624696">
        <w:rPr>
          <w:spacing w:val="-14"/>
          <w:sz w:val="20"/>
          <w:lang w:val="es-AR"/>
        </w:rPr>
        <w:t xml:space="preserve"> </w:t>
      </w:r>
      <w:r w:rsidRPr="00624696">
        <w:rPr>
          <w:sz w:val="20"/>
          <w:lang w:val="es-AR"/>
        </w:rPr>
        <w:t>destinados</w:t>
      </w:r>
      <w:r w:rsidRPr="00624696">
        <w:rPr>
          <w:spacing w:val="-15"/>
          <w:sz w:val="20"/>
          <w:lang w:val="es-AR"/>
        </w:rPr>
        <w:t xml:space="preserve"> </w:t>
      </w:r>
      <w:r w:rsidRPr="00624696">
        <w:rPr>
          <w:sz w:val="20"/>
          <w:lang w:val="es-AR"/>
        </w:rPr>
        <w:t>para</w:t>
      </w:r>
      <w:r w:rsidRPr="00624696">
        <w:rPr>
          <w:spacing w:val="-14"/>
          <w:sz w:val="20"/>
          <w:lang w:val="es-AR"/>
        </w:rPr>
        <w:t xml:space="preserve"> </w:t>
      </w:r>
      <w:r w:rsidRPr="00624696">
        <w:rPr>
          <w:sz w:val="20"/>
          <w:lang w:val="es-AR"/>
        </w:rPr>
        <w:t>la</w:t>
      </w:r>
      <w:r w:rsidRPr="00624696">
        <w:rPr>
          <w:spacing w:val="-11"/>
          <w:sz w:val="20"/>
          <w:lang w:val="es-AR"/>
        </w:rPr>
        <w:t xml:space="preserve"> </w:t>
      </w:r>
      <w:r w:rsidRPr="00624696">
        <w:rPr>
          <w:sz w:val="20"/>
          <w:lang w:val="es-AR"/>
        </w:rPr>
        <w:t>elaboración</w:t>
      </w:r>
      <w:r w:rsidRPr="00624696">
        <w:rPr>
          <w:spacing w:val="-13"/>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estas. Los hombres, en general, se ocupaban de la llamada</w:t>
      </w:r>
      <w:r w:rsidRPr="00624696">
        <w:rPr>
          <w:spacing w:val="-5"/>
          <w:sz w:val="20"/>
          <w:lang w:val="es-AR"/>
        </w:rPr>
        <w:t xml:space="preserve"> </w:t>
      </w:r>
      <w:r w:rsidRPr="00624696">
        <w:rPr>
          <w:sz w:val="20"/>
          <w:lang w:val="es-AR"/>
        </w:rPr>
        <w:t>“masa”</w:t>
      </w:r>
      <w:hyperlink w:anchor="_bookmark113" w:history="1">
        <w:r w:rsidRPr="00624696">
          <w:rPr>
            <w:position w:val="7"/>
            <w:sz w:val="13"/>
            <w:lang w:val="es-AR"/>
          </w:rPr>
          <w:t>89</w:t>
        </w:r>
      </w:hyperlink>
      <w:r w:rsidRPr="00624696">
        <w:rPr>
          <w:sz w:val="20"/>
          <w:lang w:val="es-AR"/>
        </w:rPr>
        <w:t>.</w:t>
      </w:r>
    </w:p>
    <w:p w14:paraId="73F856D7" w14:textId="77777777" w:rsidR="00467FCA" w:rsidRPr="00624696" w:rsidRDefault="00467FCA">
      <w:pPr>
        <w:pStyle w:val="Textoindependiente"/>
        <w:spacing w:before="1"/>
        <w:rPr>
          <w:lang w:val="es-AR"/>
        </w:rPr>
      </w:pPr>
    </w:p>
    <w:p w14:paraId="19287137" w14:textId="77777777" w:rsidR="00467FCA" w:rsidRPr="00624696" w:rsidRDefault="001B68EB">
      <w:pPr>
        <w:pStyle w:val="Prrafodelista"/>
        <w:numPr>
          <w:ilvl w:val="0"/>
          <w:numId w:val="50"/>
        </w:numPr>
        <w:tabs>
          <w:tab w:val="left" w:pos="687"/>
        </w:tabs>
        <w:ind w:left="119" w:right="116" w:firstLine="0"/>
        <w:jc w:val="both"/>
        <w:rPr>
          <w:sz w:val="20"/>
          <w:lang w:val="es-AR"/>
        </w:rPr>
      </w:pPr>
      <w:r w:rsidRPr="00624696">
        <w:rPr>
          <w:sz w:val="20"/>
          <w:lang w:val="es-AR"/>
        </w:rPr>
        <w:t>La producción de fuegos artificiales en el municipio se caracterizaba por un elevado grado de informalidad, clandestinidad, utilización de m</w:t>
      </w:r>
      <w:r w:rsidRPr="00624696">
        <w:rPr>
          <w:sz w:val="20"/>
          <w:lang w:val="es-AR"/>
        </w:rPr>
        <w:t>ano de obra infantil y trabajo de mujeres -incluso desde sus casas- esencialmente artesanal y con bajísimo grado de incorporación tecnológica</w:t>
      </w:r>
      <w:hyperlink w:anchor="_bookmark114" w:history="1">
        <w:r w:rsidRPr="00624696">
          <w:rPr>
            <w:position w:val="7"/>
            <w:sz w:val="13"/>
            <w:lang w:val="es-AR"/>
          </w:rPr>
          <w:t>90</w:t>
        </w:r>
      </w:hyperlink>
      <w:r w:rsidRPr="00624696">
        <w:rPr>
          <w:sz w:val="20"/>
          <w:lang w:val="es-AR"/>
        </w:rPr>
        <w:t>. Además, una de las principales fuentes del trabajo del municipio era, y sigue s</w:t>
      </w:r>
      <w:r w:rsidRPr="00624696">
        <w:rPr>
          <w:sz w:val="20"/>
          <w:lang w:val="es-AR"/>
        </w:rPr>
        <w:t>iendo, la fabricación de fuegos artificiales de manera sumamente riesgosa para la vida e integridad personal de las y los trabajadores</w:t>
      </w:r>
      <w:hyperlink w:anchor="_bookmark115" w:history="1">
        <w:r w:rsidRPr="00624696">
          <w:rPr>
            <w:position w:val="7"/>
            <w:sz w:val="13"/>
            <w:lang w:val="es-AR"/>
          </w:rPr>
          <w:t>91</w:t>
        </w:r>
      </w:hyperlink>
      <w:r w:rsidRPr="00624696">
        <w:rPr>
          <w:sz w:val="20"/>
          <w:lang w:val="es-AR"/>
        </w:rPr>
        <w:t>, al punto que la explosión de 11 de diciembre</w:t>
      </w:r>
      <w:r w:rsidRPr="00624696">
        <w:rPr>
          <w:spacing w:val="-6"/>
          <w:sz w:val="20"/>
          <w:lang w:val="es-AR"/>
        </w:rPr>
        <w:t xml:space="preserve"> </w:t>
      </w:r>
      <w:r w:rsidRPr="00624696">
        <w:rPr>
          <w:sz w:val="20"/>
          <w:lang w:val="es-AR"/>
        </w:rPr>
        <w:t>de</w:t>
      </w:r>
      <w:r w:rsidRPr="00624696">
        <w:rPr>
          <w:spacing w:val="-6"/>
          <w:sz w:val="20"/>
          <w:lang w:val="es-AR"/>
        </w:rPr>
        <w:t xml:space="preserve"> </w:t>
      </w:r>
      <w:r w:rsidRPr="00624696">
        <w:rPr>
          <w:sz w:val="20"/>
          <w:lang w:val="es-AR"/>
        </w:rPr>
        <w:t>1998</w:t>
      </w:r>
      <w:r w:rsidRPr="00624696">
        <w:rPr>
          <w:spacing w:val="-4"/>
          <w:sz w:val="20"/>
          <w:lang w:val="es-AR"/>
        </w:rPr>
        <w:t xml:space="preserve"> </w:t>
      </w:r>
      <w:r w:rsidRPr="00624696">
        <w:rPr>
          <w:sz w:val="20"/>
          <w:lang w:val="es-AR"/>
        </w:rPr>
        <w:t>no</w:t>
      </w:r>
      <w:r w:rsidRPr="00624696">
        <w:rPr>
          <w:spacing w:val="-6"/>
          <w:sz w:val="20"/>
          <w:lang w:val="es-AR"/>
        </w:rPr>
        <w:t xml:space="preserve"> </w:t>
      </w:r>
      <w:r w:rsidRPr="00624696">
        <w:rPr>
          <w:sz w:val="20"/>
          <w:lang w:val="es-AR"/>
        </w:rPr>
        <w:t>fue</w:t>
      </w:r>
      <w:r w:rsidRPr="00624696">
        <w:rPr>
          <w:spacing w:val="-6"/>
          <w:sz w:val="20"/>
          <w:lang w:val="es-AR"/>
        </w:rPr>
        <w:t xml:space="preserve"> </w:t>
      </w:r>
      <w:r w:rsidRPr="00624696">
        <w:rPr>
          <w:sz w:val="20"/>
          <w:lang w:val="es-AR"/>
        </w:rPr>
        <w:t>la</w:t>
      </w:r>
      <w:r w:rsidRPr="00624696">
        <w:rPr>
          <w:spacing w:val="-4"/>
          <w:sz w:val="20"/>
          <w:lang w:val="es-AR"/>
        </w:rPr>
        <w:t xml:space="preserve"> </w:t>
      </w:r>
      <w:r w:rsidRPr="00624696">
        <w:rPr>
          <w:sz w:val="20"/>
          <w:lang w:val="es-AR"/>
        </w:rPr>
        <w:t>primera.</w:t>
      </w:r>
      <w:r w:rsidRPr="00624696">
        <w:rPr>
          <w:spacing w:val="-5"/>
          <w:sz w:val="20"/>
          <w:lang w:val="es-AR"/>
        </w:rPr>
        <w:t xml:space="preserve"> </w:t>
      </w:r>
      <w:r w:rsidRPr="00624696">
        <w:rPr>
          <w:sz w:val="20"/>
          <w:lang w:val="es-AR"/>
        </w:rPr>
        <w:t>En</w:t>
      </w:r>
      <w:r w:rsidRPr="00624696">
        <w:rPr>
          <w:spacing w:val="-1"/>
          <w:sz w:val="20"/>
          <w:lang w:val="es-AR"/>
        </w:rPr>
        <w:t xml:space="preserve"> </w:t>
      </w:r>
      <w:r w:rsidRPr="00624696">
        <w:rPr>
          <w:sz w:val="20"/>
          <w:lang w:val="es-AR"/>
        </w:rPr>
        <w:t>efecto,</w:t>
      </w:r>
      <w:r w:rsidRPr="00624696">
        <w:rPr>
          <w:spacing w:val="-2"/>
          <w:sz w:val="20"/>
          <w:lang w:val="es-AR"/>
        </w:rPr>
        <w:t xml:space="preserve"> </w:t>
      </w:r>
      <w:r w:rsidRPr="00624696">
        <w:rPr>
          <w:sz w:val="20"/>
          <w:lang w:val="es-AR"/>
        </w:rPr>
        <w:t>el</w:t>
      </w:r>
      <w:r w:rsidRPr="00624696">
        <w:rPr>
          <w:spacing w:val="-4"/>
          <w:sz w:val="20"/>
          <w:lang w:val="es-AR"/>
        </w:rPr>
        <w:t xml:space="preserve"> </w:t>
      </w:r>
      <w:r w:rsidRPr="00624696">
        <w:rPr>
          <w:sz w:val="20"/>
          <w:lang w:val="es-AR"/>
        </w:rPr>
        <w:t>22</w:t>
      </w:r>
      <w:r w:rsidRPr="00624696">
        <w:rPr>
          <w:spacing w:val="-4"/>
          <w:sz w:val="20"/>
          <w:lang w:val="es-AR"/>
        </w:rPr>
        <w:t xml:space="preserve"> </w:t>
      </w:r>
      <w:r w:rsidRPr="00624696">
        <w:rPr>
          <w:sz w:val="20"/>
          <w:lang w:val="es-AR"/>
        </w:rPr>
        <w:t>de</w:t>
      </w:r>
      <w:r w:rsidRPr="00624696">
        <w:rPr>
          <w:spacing w:val="-6"/>
          <w:sz w:val="20"/>
          <w:lang w:val="es-AR"/>
        </w:rPr>
        <w:t xml:space="preserve"> </w:t>
      </w:r>
      <w:r w:rsidRPr="00624696">
        <w:rPr>
          <w:sz w:val="20"/>
          <w:lang w:val="es-AR"/>
        </w:rPr>
        <w:t>abril</w:t>
      </w:r>
      <w:r w:rsidRPr="00624696">
        <w:rPr>
          <w:spacing w:val="-4"/>
          <w:sz w:val="20"/>
          <w:lang w:val="es-AR"/>
        </w:rPr>
        <w:t xml:space="preserve"> </w:t>
      </w:r>
      <w:r w:rsidRPr="00624696">
        <w:rPr>
          <w:sz w:val="20"/>
          <w:lang w:val="es-AR"/>
        </w:rPr>
        <w:t>de</w:t>
      </w:r>
      <w:r w:rsidRPr="00624696">
        <w:rPr>
          <w:spacing w:val="-6"/>
          <w:sz w:val="20"/>
          <w:lang w:val="es-AR"/>
        </w:rPr>
        <w:t xml:space="preserve"> </w:t>
      </w:r>
      <w:r w:rsidRPr="00624696">
        <w:rPr>
          <w:sz w:val="20"/>
          <w:lang w:val="es-AR"/>
        </w:rPr>
        <w:t>1996,</w:t>
      </w:r>
      <w:r w:rsidRPr="00624696">
        <w:rPr>
          <w:spacing w:val="-3"/>
          <w:sz w:val="20"/>
          <w:lang w:val="es-AR"/>
        </w:rPr>
        <w:t xml:space="preserve"> </w:t>
      </w:r>
      <w:r w:rsidRPr="00624696">
        <w:rPr>
          <w:sz w:val="20"/>
          <w:lang w:val="es-AR"/>
        </w:rPr>
        <w:t>uno</w:t>
      </w:r>
      <w:r w:rsidRPr="00624696">
        <w:rPr>
          <w:spacing w:val="-5"/>
          <w:sz w:val="20"/>
          <w:lang w:val="es-AR"/>
        </w:rPr>
        <w:t xml:space="preserve"> </w:t>
      </w:r>
      <w:r w:rsidRPr="00624696">
        <w:rPr>
          <w:sz w:val="20"/>
          <w:lang w:val="es-AR"/>
        </w:rPr>
        <w:t>de</w:t>
      </w:r>
      <w:r w:rsidRPr="00624696">
        <w:rPr>
          <w:spacing w:val="-5"/>
          <w:sz w:val="20"/>
          <w:lang w:val="es-AR"/>
        </w:rPr>
        <w:t xml:space="preserve"> </w:t>
      </w:r>
      <w:r w:rsidRPr="00624696">
        <w:rPr>
          <w:sz w:val="20"/>
          <w:lang w:val="es-AR"/>
        </w:rPr>
        <w:t>los</w:t>
      </w:r>
      <w:r w:rsidRPr="00624696">
        <w:rPr>
          <w:spacing w:val="-5"/>
          <w:sz w:val="20"/>
          <w:lang w:val="es-AR"/>
        </w:rPr>
        <w:t xml:space="preserve"> </w:t>
      </w:r>
      <w:r w:rsidRPr="00624696">
        <w:rPr>
          <w:sz w:val="20"/>
          <w:lang w:val="es-AR"/>
        </w:rPr>
        <w:t>dueños</w:t>
      </w:r>
      <w:r w:rsidRPr="00624696">
        <w:rPr>
          <w:spacing w:val="-3"/>
          <w:sz w:val="20"/>
          <w:lang w:val="es-AR"/>
        </w:rPr>
        <w:t xml:space="preserve"> </w:t>
      </w:r>
      <w:r w:rsidRPr="00624696">
        <w:rPr>
          <w:sz w:val="20"/>
          <w:lang w:val="es-AR"/>
        </w:rPr>
        <w:t>de la fábrica de fuegos a la cual se refiere este caso -Osvaldo Prazeres Bastos-, fue condenado en un proceso penal por una explosión ocurrida en el marco de sus actividades con fuegos artificiales</w:t>
      </w:r>
      <w:hyperlink w:anchor="_bookmark116" w:history="1">
        <w:r w:rsidRPr="00624696">
          <w:rPr>
            <w:position w:val="7"/>
            <w:sz w:val="13"/>
            <w:lang w:val="es-AR"/>
          </w:rPr>
          <w:t>92</w:t>
        </w:r>
      </w:hyperlink>
      <w:r w:rsidRPr="00624696">
        <w:rPr>
          <w:sz w:val="20"/>
          <w:lang w:val="es-AR"/>
        </w:rPr>
        <w:t>. Asimismo, entre 1991 y 1998 se habían registrado 46 muertes en el país en relación con fuegos</w:t>
      </w:r>
      <w:r w:rsidRPr="00624696">
        <w:rPr>
          <w:spacing w:val="-3"/>
          <w:sz w:val="20"/>
          <w:lang w:val="es-AR"/>
        </w:rPr>
        <w:t xml:space="preserve"> </w:t>
      </w:r>
      <w:r w:rsidRPr="00624696">
        <w:rPr>
          <w:sz w:val="20"/>
          <w:lang w:val="es-AR"/>
        </w:rPr>
        <w:t>artificiales</w:t>
      </w:r>
      <w:hyperlink w:anchor="_bookmark117" w:history="1">
        <w:r w:rsidRPr="00624696">
          <w:rPr>
            <w:position w:val="7"/>
            <w:sz w:val="13"/>
            <w:lang w:val="es-AR"/>
          </w:rPr>
          <w:t>93</w:t>
        </w:r>
      </w:hyperlink>
      <w:r w:rsidRPr="00624696">
        <w:rPr>
          <w:sz w:val="20"/>
          <w:lang w:val="es-AR"/>
        </w:rPr>
        <w:t>.</w:t>
      </w:r>
    </w:p>
    <w:p w14:paraId="3F8C0F3E" w14:textId="77777777" w:rsidR="00467FCA" w:rsidRPr="00624696" w:rsidRDefault="00467FCA">
      <w:pPr>
        <w:pStyle w:val="Textoindependiente"/>
        <w:spacing w:before="11"/>
        <w:rPr>
          <w:sz w:val="19"/>
          <w:lang w:val="es-AR"/>
        </w:rPr>
      </w:pPr>
    </w:p>
    <w:p w14:paraId="7B318334" w14:textId="77777777" w:rsidR="00467FCA" w:rsidRPr="00624696" w:rsidRDefault="001B68EB">
      <w:pPr>
        <w:pStyle w:val="Ttulo1"/>
        <w:numPr>
          <w:ilvl w:val="0"/>
          <w:numId w:val="44"/>
        </w:numPr>
        <w:tabs>
          <w:tab w:val="left" w:pos="840"/>
        </w:tabs>
        <w:rPr>
          <w:lang w:val="es-AR"/>
        </w:rPr>
      </w:pPr>
      <w:bookmarkStart w:id="137" w:name="B._El_trabajo_en_la_fábrica_de_“Vardo_de"/>
      <w:bookmarkStart w:id="138" w:name="_bookmark112"/>
      <w:bookmarkEnd w:id="137"/>
      <w:bookmarkEnd w:id="138"/>
      <w:r w:rsidRPr="00624696">
        <w:rPr>
          <w:lang w:val="es-AR"/>
        </w:rPr>
        <w:t>El trabajo en la fábrica de “Vardo de los</w:t>
      </w:r>
      <w:r w:rsidRPr="00624696">
        <w:rPr>
          <w:spacing w:val="-12"/>
          <w:lang w:val="es-AR"/>
        </w:rPr>
        <w:t xml:space="preserve"> </w:t>
      </w:r>
      <w:r w:rsidRPr="00624696">
        <w:rPr>
          <w:lang w:val="es-AR"/>
        </w:rPr>
        <w:t>Fuegos”</w:t>
      </w:r>
    </w:p>
    <w:p w14:paraId="35835F3F" w14:textId="77777777" w:rsidR="00467FCA" w:rsidRPr="00624696" w:rsidRDefault="00467FCA">
      <w:pPr>
        <w:pStyle w:val="Textoindependiente"/>
        <w:spacing w:before="1"/>
        <w:rPr>
          <w:b/>
          <w:lang w:val="es-AR"/>
        </w:rPr>
      </w:pPr>
    </w:p>
    <w:p w14:paraId="0BE9C962" w14:textId="77777777" w:rsidR="00467FCA" w:rsidRPr="00624696" w:rsidRDefault="001B68EB">
      <w:pPr>
        <w:pStyle w:val="Prrafodelista"/>
        <w:numPr>
          <w:ilvl w:val="0"/>
          <w:numId w:val="50"/>
        </w:numPr>
        <w:tabs>
          <w:tab w:val="left" w:pos="687"/>
        </w:tabs>
        <w:spacing w:before="1"/>
        <w:ind w:right="119" w:hanging="1"/>
        <w:jc w:val="both"/>
        <w:rPr>
          <w:sz w:val="20"/>
          <w:lang w:val="es-AR"/>
        </w:rPr>
      </w:pPr>
      <w:r w:rsidRPr="00624696">
        <w:rPr>
          <w:sz w:val="20"/>
          <w:lang w:val="es-AR"/>
        </w:rPr>
        <w:t>La</w:t>
      </w:r>
      <w:r w:rsidRPr="00624696">
        <w:rPr>
          <w:spacing w:val="-17"/>
          <w:sz w:val="20"/>
          <w:lang w:val="es-AR"/>
        </w:rPr>
        <w:t xml:space="preserve"> </w:t>
      </w:r>
      <w:r w:rsidRPr="00624696">
        <w:rPr>
          <w:sz w:val="20"/>
          <w:lang w:val="es-AR"/>
        </w:rPr>
        <w:t>fábrica</w:t>
      </w:r>
      <w:r w:rsidRPr="00624696">
        <w:rPr>
          <w:spacing w:val="-17"/>
          <w:sz w:val="20"/>
          <w:lang w:val="es-AR"/>
        </w:rPr>
        <w:t xml:space="preserve"> </w:t>
      </w:r>
      <w:r w:rsidRPr="00624696">
        <w:rPr>
          <w:sz w:val="20"/>
          <w:lang w:val="es-AR"/>
        </w:rPr>
        <w:t>de</w:t>
      </w:r>
      <w:r w:rsidRPr="00624696">
        <w:rPr>
          <w:spacing w:val="-16"/>
          <w:sz w:val="20"/>
          <w:lang w:val="es-AR"/>
        </w:rPr>
        <w:t xml:space="preserve"> </w:t>
      </w:r>
      <w:r w:rsidRPr="00624696">
        <w:rPr>
          <w:sz w:val="20"/>
          <w:lang w:val="es-AR"/>
        </w:rPr>
        <w:t>fuegos</w:t>
      </w:r>
      <w:r w:rsidRPr="00624696">
        <w:rPr>
          <w:spacing w:val="-18"/>
          <w:sz w:val="20"/>
          <w:lang w:val="es-AR"/>
        </w:rPr>
        <w:t xml:space="preserve"> </w:t>
      </w:r>
      <w:r w:rsidRPr="00624696">
        <w:rPr>
          <w:sz w:val="20"/>
          <w:lang w:val="es-AR"/>
        </w:rPr>
        <w:t>artificiales</w:t>
      </w:r>
      <w:r w:rsidRPr="00624696">
        <w:rPr>
          <w:spacing w:val="-18"/>
          <w:sz w:val="20"/>
          <w:lang w:val="es-AR"/>
        </w:rPr>
        <w:t xml:space="preserve"> </w:t>
      </w:r>
      <w:r w:rsidRPr="00624696">
        <w:rPr>
          <w:sz w:val="20"/>
          <w:lang w:val="es-AR"/>
        </w:rPr>
        <w:t>que</w:t>
      </w:r>
      <w:r w:rsidRPr="00624696">
        <w:rPr>
          <w:spacing w:val="-16"/>
          <w:sz w:val="20"/>
          <w:lang w:val="es-AR"/>
        </w:rPr>
        <w:t xml:space="preserve"> </w:t>
      </w:r>
      <w:r w:rsidRPr="00624696">
        <w:rPr>
          <w:sz w:val="20"/>
          <w:lang w:val="es-AR"/>
        </w:rPr>
        <w:t>explotó</w:t>
      </w:r>
      <w:r w:rsidRPr="00624696">
        <w:rPr>
          <w:spacing w:val="-16"/>
          <w:sz w:val="20"/>
          <w:lang w:val="es-AR"/>
        </w:rPr>
        <w:t xml:space="preserve"> </w:t>
      </w:r>
      <w:r w:rsidRPr="00624696">
        <w:rPr>
          <w:sz w:val="20"/>
          <w:lang w:val="es-AR"/>
        </w:rPr>
        <w:t>el</w:t>
      </w:r>
      <w:r w:rsidRPr="00624696">
        <w:rPr>
          <w:spacing w:val="-17"/>
          <w:sz w:val="20"/>
          <w:lang w:val="es-AR"/>
        </w:rPr>
        <w:t xml:space="preserve"> </w:t>
      </w:r>
      <w:r w:rsidRPr="00624696">
        <w:rPr>
          <w:sz w:val="20"/>
          <w:lang w:val="es-AR"/>
        </w:rPr>
        <w:t>11</w:t>
      </w:r>
      <w:r w:rsidRPr="00624696">
        <w:rPr>
          <w:spacing w:val="-15"/>
          <w:sz w:val="20"/>
          <w:lang w:val="es-AR"/>
        </w:rPr>
        <w:t xml:space="preserve"> </w:t>
      </w:r>
      <w:r w:rsidRPr="00624696">
        <w:rPr>
          <w:sz w:val="20"/>
          <w:lang w:val="es-AR"/>
        </w:rPr>
        <w:t>de</w:t>
      </w:r>
      <w:r w:rsidRPr="00624696">
        <w:rPr>
          <w:spacing w:val="-18"/>
          <w:sz w:val="20"/>
          <w:lang w:val="es-AR"/>
        </w:rPr>
        <w:t xml:space="preserve"> </w:t>
      </w:r>
      <w:r w:rsidRPr="00624696">
        <w:rPr>
          <w:sz w:val="20"/>
          <w:lang w:val="es-AR"/>
        </w:rPr>
        <w:t>diciembre</w:t>
      </w:r>
      <w:r w:rsidRPr="00624696">
        <w:rPr>
          <w:spacing w:val="-19"/>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1998</w:t>
      </w:r>
      <w:r w:rsidRPr="00624696">
        <w:rPr>
          <w:spacing w:val="-15"/>
          <w:sz w:val="20"/>
          <w:lang w:val="es-AR"/>
        </w:rPr>
        <w:t xml:space="preserve"> </w:t>
      </w:r>
      <w:r w:rsidRPr="00624696">
        <w:rPr>
          <w:sz w:val="20"/>
          <w:lang w:val="es-AR"/>
        </w:rPr>
        <w:t>en</w:t>
      </w:r>
      <w:r w:rsidRPr="00624696">
        <w:rPr>
          <w:spacing w:val="-14"/>
          <w:sz w:val="20"/>
          <w:lang w:val="es-AR"/>
        </w:rPr>
        <w:t xml:space="preserve"> </w:t>
      </w:r>
      <w:r w:rsidRPr="00624696">
        <w:rPr>
          <w:sz w:val="20"/>
          <w:lang w:val="es-AR"/>
        </w:rPr>
        <w:t>Santo</w:t>
      </w:r>
      <w:r w:rsidRPr="00624696">
        <w:rPr>
          <w:spacing w:val="-19"/>
          <w:sz w:val="20"/>
          <w:lang w:val="es-AR"/>
        </w:rPr>
        <w:t xml:space="preserve"> </w:t>
      </w:r>
      <w:r w:rsidRPr="00624696">
        <w:rPr>
          <w:sz w:val="20"/>
          <w:lang w:val="es-AR"/>
        </w:rPr>
        <w:t>Antônio de Jesus era conocida por la población como la fábrica de “Vardo de los Fuegos”. Estaba ubicada en la Hacienda Joeirana, de propiedad del señor Osvaldo Prazeres Bastos</w:t>
      </w:r>
      <w:hyperlink w:anchor="_bookmark118" w:history="1">
        <w:r w:rsidRPr="00624696">
          <w:rPr>
            <w:position w:val="7"/>
            <w:sz w:val="13"/>
            <w:lang w:val="es-AR"/>
          </w:rPr>
          <w:t>94</w:t>
        </w:r>
      </w:hyperlink>
      <w:r w:rsidRPr="00624696">
        <w:rPr>
          <w:sz w:val="20"/>
          <w:lang w:val="es-AR"/>
        </w:rPr>
        <w:t>, e</w:t>
      </w:r>
      <w:r w:rsidRPr="00624696">
        <w:rPr>
          <w:sz w:val="20"/>
          <w:lang w:val="es-AR"/>
        </w:rPr>
        <w:t>n la zona</w:t>
      </w:r>
      <w:r w:rsidRPr="00624696">
        <w:rPr>
          <w:spacing w:val="-12"/>
          <w:sz w:val="20"/>
          <w:lang w:val="es-AR"/>
        </w:rPr>
        <w:t xml:space="preserve"> </w:t>
      </w:r>
      <w:r w:rsidRPr="00624696">
        <w:rPr>
          <w:sz w:val="20"/>
          <w:lang w:val="es-AR"/>
        </w:rPr>
        <w:t>rural</w:t>
      </w:r>
      <w:r w:rsidRPr="00624696">
        <w:rPr>
          <w:spacing w:val="-12"/>
          <w:sz w:val="20"/>
          <w:lang w:val="es-AR"/>
        </w:rPr>
        <w:t xml:space="preserve"> </w:t>
      </w:r>
      <w:r w:rsidRPr="00624696">
        <w:rPr>
          <w:sz w:val="20"/>
          <w:lang w:val="es-AR"/>
        </w:rPr>
        <w:t>de</w:t>
      </w:r>
      <w:r w:rsidRPr="00624696">
        <w:rPr>
          <w:spacing w:val="-13"/>
          <w:sz w:val="20"/>
          <w:lang w:val="es-AR"/>
        </w:rPr>
        <w:t xml:space="preserve"> </w:t>
      </w:r>
      <w:r w:rsidRPr="00624696">
        <w:rPr>
          <w:sz w:val="20"/>
          <w:lang w:val="es-AR"/>
        </w:rPr>
        <w:t>Santo</w:t>
      </w:r>
      <w:r w:rsidRPr="00624696">
        <w:rPr>
          <w:spacing w:val="-14"/>
          <w:sz w:val="20"/>
          <w:lang w:val="es-AR"/>
        </w:rPr>
        <w:t xml:space="preserve"> </w:t>
      </w:r>
      <w:r w:rsidRPr="00624696">
        <w:rPr>
          <w:sz w:val="20"/>
          <w:lang w:val="es-AR"/>
        </w:rPr>
        <w:t>Antônio</w:t>
      </w:r>
      <w:r w:rsidRPr="00624696">
        <w:rPr>
          <w:spacing w:val="-13"/>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Jesus,</w:t>
      </w:r>
      <w:r w:rsidRPr="00624696">
        <w:rPr>
          <w:spacing w:val="-10"/>
          <w:sz w:val="20"/>
          <w:lang w:val="es-AR"/>
        </w:rPr>
        <w:t xml:space="preserve"> </w:t>
      </w:r>
      <w:r w:rsidRPr="00624696">
        <w:rPr>
          <w:sz w:val="20"/>
          <w:lang w:val="es-AR"/>
        </w:rPr>
        <w:t>Estado</w:t>
      </w:r>
      <w:r w:rsidRPr="00624696">
        <w:rPr>
          <w:spacing w:val="-11"/>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Bahia.</w:t>
      </w:r>
      <w:r w:rsidRPr="00624696">
        <w:rPr>
          <w:spacing w:val="-10"/>
          <w:sz w:val="20"/>
          <w:lang w:val="es-AR"/>
        </w:rPr>
        <w:t xml:space="preserve"> </w:t>
      </w:r>
      <w:r w:rsidRPr="00624696">
        <w:rPr>
          <w:sz w:val="20"/>
          <w:lang w:val="es-AR"/>
        </w:rPr>
        <w:t>La</w:t>
      </w:r>
      <w:r w:rsidRPr="00624696">
        <w:rPr>
          <w:spacing w:val="-10"/>
          <w:sz w:val="20"/>
          <w:lang w:val="es-AR"/>
        </w:rPr>
        <w:t xml:space="preserve"> </w:t>
      </w:r>
      <w:r w:rsidRPr="00624696">
        <w:rPr>
          <w:sz w:val="20"/>
          <w:lang w:val="es-AR"/>
        </w:rPr>
        <w:t>fábrica</w:t>
      </w:r>
      <w:r w:rsidRPr="00624696">
        <w:rPr>
          <w:spacing w:val="-9"/>
          <w:sz w:val="20"/>
          <w:lang w:val="es-AR"/>
        </w:rPr>
        <w:t xml:space="preserve"> </w:t>
      </w:r>
      <w:r w:rsidRPr="00624696">
        <w:rPr>
          <w:sz w:val="20"/>
          <w:lang w:val="es-AR"/>
        </w:rPr>
        <w:t>estaba</w:t>
      </w:r>
      <w:r w:rsidRPr="00624696">
        <w:rPr>
          <w:spacing w:val="-10"/>
          <w:sz w:val="20"/>
          <w:lang w:val="es-AR"/>
        </w:rPr>
        <w:t xml:space="preserve"> </w:t>
      </w:r>
      <w:r w:rsidRPr="00624696">
        <w:rPr>
          <w:sz w:val="20"/>
          <w:lang w:val="es-AR"/>
        </w:rPr>
        <w:t>registrada</w:t>
      </w:r>
      <w:r w:rsidRPr="00624696">
        <w:rPr>
          <w:spacing w:val="-10"/>
          <w:sz w:val="20"/>
          <w:lang w:val="es-AR"/>
        </w:rPr>
        <w:t xml:space="preserve"> </w:t>
      </w:r>
      <w:r w:rsidRPr="00624696">
        <w:rPr>
          <w:sz w:val="20"/>
          <w:lang w:val="es-AR"/>
        </w:rPr>
        <w:t>a</w:t>
      </w:r>
      <w:r w:rsidRPr="00624696">
        <w:rPr>
          <w:spacing w:val="-9"/>
          <w:sz w:val="20"/>
          <w:lang w:val="es-AR"/>
        </w:rPr>
        <w:t xml:space="preserve"> </w:t>
      </w:r>
      <w:r w:rsidRPr="00624696">
        <w:rPr>
          <w:sz w:val="20"/>
          <w:lang w:val="es-AR"/>
        </w:rPr>
        <w:t>nombre del hijo de este último, Mário Fróes Prazeres</w:t>
      </w:r>
      <w:r w:rsidRPr="00624696">
        <w:rPr>
          <w:spacing w:val="-7"/>
          <w:sz w:val="20"/>
          <w:lang w:val="es-AR"/>
        </w:rPr>
        <w:t xml:space="preserve"> </w:t>
      </w:r>
      <w:r w:rsidRPr="00624696">
        <w:rPr>
          <w:sz w:val="20"/>
          <w:lang w:val="es-AR"/>
        </w:rPr>
        <w:t>Bastos</w:t>
      </w:r>
      <w:hyperlink w:anchor="_bookmark119" w:history="1">
        <w:r w:rsidRPr="00624696">
          <w:rPr>
            <w:position w:val="7"/>
            <w:sz w:val="13"/>
            <w:lang w:val="es-AR"/>
          </w:rPr>
          <w:t>95</w:t>
        </w:r>
      </w:hyperlink>
      <w:r w:rsidRPr="00624696">
        <w:rPr>
          <w:sz w:val="20"/>
          <w:lang w:val="es-AR"/>
        </w:rPr>
        <w:t>.</w:t>
      </w:r>
    </w:p>
    <w:p w14:paraId="22DF71BF" w14:textId="77777777" w:rsidR="00467FCA" w:rsidRPr="00624696" w:rsidRDefault="00467FCA">
      <w:pPr>
        <w:pStyle w:val="Textoindependiente"/>
        <w:spacing w:before="10"/>
        <w:rPr>
          <w:sz w:val="19"/>
          <w:lang w:val="es-AR"/>
        </w:rPr>
      </w:pPr>
    </w:p>
    <w:p w14:paraId="711B6840" w14:textId="77777777" w:rsidR="00467FCA" w:rsidRPr="00624696" w:rsidRDefault="001B68EB">
      <w:pPr>
        <w:pStyle w:val="Prrafodelista"/>
        <w:numPr>
          <w:ilvl w:val="0"/>
          <w:numId w:val="50"/>
        </w:numPr>
        <w:tabs>
          <w:tab w:val="left" w:pos="687"/>
        </w:tabs>
        <w:ind w:right="116" w:hanging="1"/>
        <w:jc w:val="both"/>
        <w:rPr>
          <w:sz w:val="20"/>
          <w:lang w:val="es-AR"/>
        </w:rPr>
      </w:pPr>
      <w:r w:rsidRPr="00624696">
        <w:rPr>
          <w:sz w:val="20"/>
          <w:lang w:val="es-AR"/>
        </w:rPr>
        <w:t>La fábrica consistía en un conjunto de carpas en potreros que disponían de algunas mesas</w:t>
      </w:r>
      <w:r w:rsidRPr="00624696">
        <w:rPr>
          <w:spacing w:val="-12"/>
          <w:sz w:val="20"/>
          <w:lang w:val="es-AR"/>
        </w:rPr>
        <w:t xml:space="preserve"> </w:t>
      </w:r>
      <w:r w:rsidRPr="00624696">
        <w:rPr>
          <w:sz w:val="20"/>
          <w:lang w:val="es-AR"/>
        </w:rPr>
        <w:t>compartidas</w:t>
      </w:r>
      <w:r w:rsidRPr="00624696">
        <w:rPr>
          <w:spacing w:val="-10"/>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trabajo.</w:t>
      </w:r>
      <w:r w:rsidRPr="00624696">
        <w:rPr>
          <w:spacing w:val="-9"/>
          <w:sz w:val="20"/>
          <w:lang w:val="es-AR"/>
        </w:rPr>
        <w:t xml:space="preserve"> </w:t>
      </w:r>
      <w:r w:rsidRPr="00624696">
        <w:rPr>
          <w:sz w:val="20"/>
          <w:lang w:val="es-AR"/>
        </w:rPr>
        <w:t>Gran</w:t>
      </w:r>
      <w:r w:rsidRPr="00624696">
        <w:rPr>
          <w:spacing w:val="-9"/>
          <w:sz w:val="20"/>
          <w:lang w:val="es-AR"/>
        </w:rPr>
        <w:t xml:space="preserve"> </w:t>
      </w:r>
      <w:r w:rsidRPr="00624696">
        <w:rPr>
          <w:sz w:val="20"/>
          <w:lang w:val="es-AR"/>
        </w:rPr>
        <w:t>parte</w:t>
      </w:r>
      <w:r w:rsidRPr="00624696">
        <w:rPr>
          <w:spacing w:val="-10"/>
          <w:sz w:val="20"/>
          <w:lang w:val="es-AR"/>
        </w:rPr>
        <w:t xml:space="preserve"> </w:t>
      </w:r>
      <w:r w:rsidRPr="00624696">
        <w:rPr>
          <w:sz w:val="20"/>
          <w:lang w:val="es-AR"/>
        </w:rPr>
        <w:t>de</w:t>
      </w:r>
      <w:r w:rsidRPr="00624696">
        <w:rPr>
          <w:spacing w:val="-12"/>
          <w:sz w:val="20"/>
          <w:lang w:val="es-AR"/>
        </w:rPr>
        <w:t xml:space="preserve"> </w:t>
      </w:r>
      <w:r w:rsidRPr="00624696">
        <w:rPr>
          <w:sz w:val="20"/>
          <w:lang w:val="es-AR"/>
        </w:rPr>
        <w:t>los</w:t>
      </w:r>
      <w:r w:rsidRPr="00624696">
        <w:rPr>
          <w:spacing w:val="-11"/>
          <w:sz w:val="20"/>
          <w:lang w:val="es-AR"/>
        </w:rPr>
        <w:t xml:space="preserve"> </w:t>
      </w:r>
      <w:r w:rsidRPr="00624696">
        <w:rPr>
          <w:sz w:val="20"/>
          <w:lang w:val="es-AR"/>
        </w:rPr>
        <w:t>materiales</w:t>
      </w:r>
      <w:r w:rsidRPr="00624696">
        <w:rPr>
          <w:spacing w:val="-12"/>
          <w:sz w:val="20"/>
          <w:lang w:val="es-AR"/>
        </w:rPr>
        <w:t xml:space="preserve"> </w:t>
      </w:r>
      <w:r w:rsidRPr="00624696">
        <w:rPr>
          <w:sz w:val="20"/>
          <w:lang w:val="es-AR"/>
        </w:rPr>
        <w:t>explosivos</w:t>
      </w:r>
      <w:r w:rsidRPr="00624696">
        <w:rPr>
          <w:spacing w:val="-9"/>
          <w:sz w:val="20"/>
          <w:lang w:val="es-AR"/>
        </w:rPr>
        <w:t xml:space="preserve"> </w:t>
      </w:r>
      <w:r w:rsidRPr="00624696">
        <w:rPr>
          <w:sz w:val="20"/>
          <w:lang w:val="es-AR"/>
        </w:rPr>
        <w:t>se</w:t>
      </w:r>
      <w:r w:rsidRPr="00624696">
        <w:rPr>
          <w:spacing w:val="-10"/>
          <w:sz w:val="20"/>
          <w:lang w:val="es-AR"/>
        </w:rPr>
        <w:t xml:space="preserve"> </w:t>
      </w:r>
      <w:r w:rsidRPr="00624696">
        <w:rPr>
          <w:sz w:val="20"/>
          <w:lang w:val="es-AR"/>
        </w:rPr>
        <w:t>encontraban</w:t>
      </w:r>
      <w:r w:rsidRPr="00624696">
        <w:rPr>
          <w:spacing w:val="-9"/>
          <w:sz w:val="20"/>
          <w:lang w:val="es-AR"/>
        </w:rPr>
        <w:t xml:space="preserve"> </w:t>
      </w:r>
      <w:r w:rsidRPr="00624696">
        <w:rPr>
          <w:sz w:val="20"/>
          <w:lang w:val="es-AR"/>
        </w:rPr>
        <w:t>en</w:t>
      </w:r>
      <w:r w:rsidRPr="00624696">
        <w:rPr>
          <w:spacing w:val="-10"/>
          <w:sz w:val="20"/>
          <w:lang w:val="es-AR"/>
        </w:rPr>
        <w:t xml:space="preserve"> </w:t>
      </w:r>
      <w:r w:rsidRPr="00624696">
        <w:rPr>
          <w:sz w:val="20"/>
          <w:lang w:val="es-AR"/>
        </w:rPr>
        <w:t>los mismos espacios en que estaban las trabajadoras. No había espacios específicos de</w:t>
      </w:r>
      <w:r w:rsidRPr="00624696">
        <w:rPr>
          <w:sz w:val="20"/>
          <w:lang w:val="es-AR"/>
        </w:rPr>
        <w:t>stinados a períodos de descanso o de alimentación, ni</w:t>
      </w:r>
      <w:r w:rsidRPr="00624696">
        <w:rPr>
          <w:spacing w:val="-8"/>
          <w:sz w:val="20"/>
          <w:lang w:val="es-AR"/>
        </w:rPr>
        <w:t xml:space="preserve"> </w:t>
      </w:r>
      <w:r w:rsidRPr="00624696">
        <w:rPr>
          <w:sz w:val="20"/>
          <w:lang w:val="es-AR"/>
        </w:rPr>
        <w:t>baños</w:t>
      </w:r>
      <w:hyperlink w:anchor="_bookmark120" w:history="1">
        <w:r w:rsidRPr="00624696">
          <w:rPr>
            <w:position w:val="7"/>
            <w:sz w:val="13"/>
            <w:lang w:val="es-AR"/>
          </w:rPr>
          <w:t>96</w:t>
        </w:r>
      </w:hyperlink>
      <w:r w:rsidRPr="00624696">
        <w:rPr>
          <w:sz w:val="20"/>
          <w:lang w:val="es-AR"/>
        </w:rPr>
        <w:t>.</w:t>
      </w:r>
    </w:p>
    <w:p w14:paraId="437B6479" w14:textId="77777777" w:rsidR="00467FCA" w:rsidRPr="00624696" w:rsidRDefault="00467FCA">
      <w:pPr>
        <w:pStyle w:val="Textoindependiente"/>
        <w:spacing w:before="1"/>
        <w:rPr>
          <w:lang w:val="es-AR"/>
        </w:rPr>
      </w:pPr>
    </w:p>
    <w:p w14:paraId="6FCA4E4B" w14:textId="77777777" w:rsidR="00467FCA" w:rsidRPr="00624696" w:rsidRDefault="001B68EB">
      <w:pPr>
        <w:pStyle w:val="Prrafodelista"/>
        <w:numPr>
          <w:ilvl w:val="0"/>
          <w:numId w:val="50"/>
        </w:numPr>
        <w:tabs>
          <w:tab w:val="left" w:pos="687"/>
        </w:tabs>
        <w:spacing w:before="1"/>
        <w:ind w:right="118" w:hanging="1"/>
        <w:jc w:val="both"/>
        <w:rPr>
          <w:sz w:val="20"/>
          <w:lang w:val="es-AR"/>
        </w:rPr>
      </w:pPr>
      <w:r w:rsidRPr="00624696">
        <w:rPr>
          <w:sz w:val="20"/>
          <w:lang w:val="es-AR"/>
        </w:rPr>
        <w:t>En lo que se refiere a las trabajadoras de la fábrica de fuegos, se trataba de mujeres afrodescendientes, en su gran mayoría</w:t>
      </w:r>
      <w:hyperlink w:anchor="_bookmark121" w:history="1">
        <w:r w:rsidRPr="00624696">
          <w:rPr>
            <w:position w:val="7"/>
            <w:sz w:val="13"/>
            <w:lang w:val="es-AR"/>
          </w:rPr>
          <w:t>97</w:t>
        </w:r>
      </w:hyperlink>
      <w:r w:rsidRPr="00624696">
        <w:rPr>
          <w:sz w:val="20"/>
          <w:lang w:val="es-AR"/>
        </w:rPr>
        <w:t xml:space="preserve">, </w:t>
      </w:r>
      <w:r w:rsidRPr="00624696">
        <w:rPr>
          <w:sz w:val="20"/>
          <w:lang w:val="es-AR"/>
        </w:rPr>
        <w:t>que vivían en condición de pobreza</w:t>
      </w:r>
      <w:hyperlink w:anchor="_bookmark122" w:history="1">
        <w:r w:rsidRPr="00624696">
          <w:rPr>
            <w:position w:val="7"/>
            <w:sz w:val="13"/>
            <w:lang w:val="es-AR"/>
          </w:rPr>
          <w:t>98</w:t>
        </w:r>
      </w:hyperlink>
      <w:r w:rsidRPr="00624696">
        <w:rPr>
          <w:position w:val="7"/>
          <w:sz w:val="13"/>
          <w:lang w:val="es-AR"/>
        </w:rPr>
        <w:t xml:space="preserve"> </w:t>
      </w:r>
      <w:r w:rsidRPr="00624696">
        <w:rPr>
          <w:sz w:val="20"/>
          <w:lang w:val="es-AR"/>
        </w:rPr>
        <w:t>y que</w:t>
      </w:r>
      <w:r w:rsidRPr="00624696">
        <w:rPr>
          <w:spacing w:val="33"/>
          <w:sz w:val="20"/>
          <w:lang w:val="es-AR"/>
        </w:rPr>
        <w:t xml:space="preserve"> </w:t>
      </w:r>
      <w:r w:rsidRPr="00624696">
        <w:rPr>
          <w:sz w:val="20"/>
          <w:lang w:val="es-AR"/>
        </w:rPr>
        <w:t>tenían</w:t>
      </w:r>
    </w:p>
    <w:p w14:paraId="3F2A995E" w14:textId="77777777" w:rsidR="00467FCA" w:rsidRPr="00624696" w:rsidRDefault="001B68EB">
      <w:pPr>
        <w:pStyle w:val="Textoindependiente"/>
        <w:spacing w:before="5"/>
        <w:rPr>
          <w:sz w:val="25"/>
          <w:lang w:val="es-AR"/>
        </w:rPr>
      </w:pPr>
      <w:r>
        <w:pict w14:anchorId="0836F9D1">
          <v:shape id="_x0000_s1177" style="position:absolute;margin-left:1in;margin-top:17.7pt;width:2in;height:.1pt;z-index:-251638784;mso-wrap-distance-left:0;mso-wrap-distance-right:0;mso-position-horizontal-relative:page" coordorigin="1440,354" coordsize="2880,0" path="m1440,354r2880,e" filled="f" strokeweight=".21131mm">
            <v:path arrowok="t"/>
            <w10:wrap type="topAndBottom" anchorx="page"/>
          </v:shape>
        </w:pict>
      </w:r>
    </w:p>
    <w:p w14:paraId="604A8A61" w14:textId="77777777" w:rsidR="00467FCA" w:rsidRPr="00624696" w:rsidRDefault="001B68EB">
      <w:pPr>
        <w:spacing w:before="74"/>
        <w:ind w:left="120"/>
        <w:rPr>
          <w:i/>
          <w:sz w:val="16"/>
          <w:lang w:val="es-AR"/>
        </w:rPr>
      </w:pPr>
      <w:r w:rsidRPr="00624696">
        <w:rPr>
          <w:i/>
          <w:sz w:val="16"/>
          <w:lang w:val="es-AR"/>
        </w:rPr>
        <w:t>supra.</w:t>
      </w:r>
    </w:p>
    <w:p w14:paraId="26ABA646" w14:textId="77777777" w:rsidR="00467FCA" w:rsidRPr="00624696" w:rsidRDefault="001B68EB">
      <w:pPr>
        <w:tabs>
          <w:tab w:val="left" w:pos="839"/>
        </w:tabs>
        <w:spacing w:before="2"/>
        <w:ind w:left="120" w:right="114" w:hanging="1"/>
        <w:jc w:val="both"/>
        <w:rPr>
          <w:i/>
          <w:sz w:val="16"/>
          <w:lang w:val="es-AR"/>
        </w:rPr>
      </w:pPr>
      <w:bookmarkStart w:id="139" w:name="_bookmark113"/>
      <w:bookmarkEnd w:id="139"/>
      <w:r w:rsidRPr="00624696">
        <w:rPr>
          <w:position w:val="6"/>
          <w:sz w:val="10"/>
          <w:lang w:val="es-AR"/>
        </w:rPr>
        <w:t>89</w:t>
      </w:r>
      <w:r w:rsidRPr="00624696">
        <w:rPr>
          <w:position w:val="6"/>
          <w:sz w:val="10"/>
          <w:lang w:val="es-AR"/>
        </w:rPr>
        <w:tab/>
      </w:r>
      <w:r w:rsidRPr="00624696">
        <w:rPr>
          <w:sz w:val="16"/>
          <w:lang w:val="es-AR"/>
        </w:rPr>
        <w:t xml:space="preserve">La masa es una mezcla de nitrato de plata, arena, alcohol y ácido nítrico. </w:t>
      </w:r>
      <w:r w:rsidRPr="00624696">
        <w:rPr>
          <w:i/>
          <w:sz w:val="16"/>
          <w:lang w:val="es-AR"/>
        </w:rPr>
        <w:t>Cfr</w:t>
      </w:r>
      <w:r w:rsidRPr="00624696">
        <w:rPr>
          <w:sz w:val="16"/>
          <w:lang w:val="es-AR"/>
        </w:rPr>
        <w:t>. Peritaje rendido por Sônia Marise Rodrigues Pereira Tomasoni,</w:t>
      </w:r>
      <w:r w:rsidRPr="00624696">
        <w:rPr>
          <w:spacing w:val="-1"/>
          <w:sz w:val="16"/>
          <w:lang w:val="es-AR"/>
        </w:rPr>
        <w:t xml:space="preserve"> </w:t>
      </w:r>
      <w:r w:rsidRPr="00624696">
        <w:rPr>
          <w:i/>
          <w:sz w:val="16"/>
          <w:lang w:val="es-AR"/>
        </w:rPr>
        <w:t>supra.</w:t>
      </w:r>
    </w:p>
    <w:p w14:paraId="221688A6" w14:textId="77777777" w:rsidR="00467FCA" w:rsidRPr="00624696" w:rsidRDefault="001B68EB">
      <w:pPr>
        <w:tabs>
          <w:tab w:val="left" w:pos="839"/>
        </w:tabs>
        <w:ind w:left="120" w:right="111" w:hanging="1"/>
        <w:jc w:val="both"/>
        <w:rPr>
          <w:sz w:val="16"/>
          <w:lang w:val="es-AR"/>
        </w:rPr>
      </w:pPr>
      <w:bookmarkStart w:id="140" w:name="_bookmark114"/>
      <w:bookmarkEnd w:id="140"/>
      <w:r w:rsidRPr="00624696">
        <w:rPr>
          <w:position w:val="6"/>
          <w:sz w:val="10"/>
          <w:lang w:val="es-AR"/>
        </w:rPr>
        <w:t>90</w:t>
      </w:r>
      <w:r w:rsidRPr="00624696">
        <w:rPr>
          <w:position w:val="6"/>
          <w:sz w:val="10"/>
          <w:lang w:val="es-AR"/>
        </w:rPr>
        <w:tab/>
      </w:r>
      <w:r w:rsidRPr="00624696">
        <w:rPr>
          <w:i/>
          <w:sz w:val="16"/>
          <w:lang w:val="es-AR"/>
        </w:rPr>
        <w:t>Cfr</w:t>
      </w:r>
      <w:r w:rsidRPr="00624696">
        <w:rPr>
          <w:sz w:val="16"/>
          <w:lang w:val="es-AR"/>
        </w:rPr>
        <w:t>.</w:t>
      </w:r>
      <w:r w:rsidRPr="00624696">
        <w:rPr>
          <w:spacing w:val="-11"/>
          <w:sz w:val="16"/>
          <w:lang w:val="es-AR"/>
        </w:rPr>
        <w:t xml:space="preserve"> </w:t>
      </w:r>
      <w:r w:rsidRPr="00624696">
        <w:rPr>
          <w:sz w:val="16"/>
          <w:lang w:val="es-AR"/>
        </w:rPr>
        <w:t>BARBOSA</w:t>
      </w:r>
      <w:r w:rsidRPr="00624696">
        <w:rPr>
          <w:spacing w:val="-12"/>
          <w:sz w:val="16"/>
          <w:lang w:val="es-AR"/>
        </w:rPr>
        <w:t xml:space="preserve"> </w:t>
      </w:r>
      <w:r w:rsidRPr="00624696">
        <w:rPr>
          <w:sz w:val="16"/>
          <w:lang w:val="es-AR"/>
        </w:rPr>
        <w:t>JÚNIOR,</w:t>
      </w:r>
      <w:r w:rsidRPr="00624696">
        <w:rPr>
          <w:spacing w:val="-11"/>
          <w:sz w:val="16"/>
          <w:lang w:val="es-AR"/>
        </w:rPr>
        <w:t xml:space="preserve"> </w:t>
      </w:r>
      <w:r w:rsidRPr="00624696">
        <w:rPr>
          <w:sz w:val="16"/>
          <w:lang w:val="es-AR"/>
        </w:rPr>
        <w:t>José</w:t>
      </w:r>
      <w:r w:rsidRPr="00624696">
        <w:rPr>
          <w:spacing w:val="-12"/>
          <w:sz w:val="16"/>
          <w:lang w:val="es-AR"/>
        </w:rPr>
        <w:t xml:space="preserve"> </w:t>
      </w:r>
      <w:r w:rsidRPr="00624696">
        <w:rPr>
          <w:sz w:val="16"/>
          <w:lang w:val="es-AR"/>
        </w:rPr>
        <w:t>Amândio.</w:t>
      </w:r>
      <w:r w:rsidRPr="00624696">
        <w:rPr>
          <w:spacing w:val="-10"/>
          <w:sz w:val="16"/>
          <w:lang w:val="es-AR"/>
        </w:rPr>
        <w:t xml:space="preserve"> </w:t>
      </w:r>
      <w:r w:rsidRPr="00624696">
        <w:rPr>
          <w:i/>
          <w:sz w:val="16"/>
          <w:lang w:val="es-AR"/>
        </w:rPr>
        <w:t>“La</w:t>
      </w:r>
      <w:r w:rsidRPr="00624696">
        <w:rPr>
          <w:i/>
          <w:spacing w:val="-13"/>
          <w:sz w:val="16"/>
          <w:lang w:val="es-AR"/>
        </w:rPr>
        <w:t xml:space="preserve"> </w:t>
      </w:r>
      <w:r w:rsidRPr="00624696">
        <w:rPr>
          <w:i/>
          <w:sz w:val="16"/>
          <w:lang w:val="es-AR"/>
        </w:rPr>
        <w:t>Producción</w:t>
      </w:r>
      <w:r w:rsidRPr="00624696">
        <w:rPr>
          <w:i/>
          <w:spacing w:val="-13"/>
          <w:sz w:val="16"/>
          <w:lang w:val="es-AR"/>
        </w:rPr>
        <w:t xml:space="preserve"> </w:t>
      </w:r>
      <w:r w:rsidRPr="00624696">
        <w:rPr>
          <w:i/>
          <w:sz w:val="16"/>
          <w:lang w:val="es-AR"/>
        </w:rPr>
        <w:t>de</w:t>
      </w:r>
      <w:r w:rsidRPr="00624696">
        <w:rPr>
          <w:i/>
          <w:spacing w:val="-14"/>
          <w:sz w:val="16"/>
          <w:lang w:val="es-AR"/>
        </w:rPr>
        <w:t xml:space="preserve"> </w:t>
      </w:r>
      <w:r w:rsidRPr="00624696">
        <w:rPr>
          <w:i/>
          <w:sz w:val="16"/>
          <w:lang w:val="es-AR"/>
        </w:rPr>
        <w:t>Fuegos</w:t>
      </w:r>
      <w:r w:rsidRPr="00624696">
        <w:rPr>
          <w:i/>
          <w:spacing w:val="-13"/>
          <w:sz w:val="16"/>
          <w:lang w:val="es-AR"/>
        </w:rPr>
        <w:t xml:space="preserve"> </w:t>
      </w:r>
      <w:r w:rsidRPr="00624696">
        <w:rPr>
          <w:i/>
          <w:sz w:val="16"/>
          <w:lang w:val="es-AR"/>
        </w:rPr>
        <w:t>Artificiales</w:t>
      </w:r>
      <w:r w:rsidRPr="00624696">
        <w:rPr>
          <w:i/>
          <w:spacing w:val="-12"/>
          <w:sz w:val="16"/>
          <w:lang w:val="es-AR"/>
        </w:rPr>
        <w:t xml:space="preserve"> </w:t>
      </w:r>
      <w:r w:rsidRPr="00624696">
        <w:rPr>
          <w:i/>
          <w:sz w:val="16"/>
          <w:lang w:val="es-AR"/>
        </w:rPr>
        <w:t>en</w:t>
      </w:r>
      <w:r w:rsidRPr="00624696">
        <w:rPr>
          <w:i/>
          <w:spacing w:val="-13"/>
          <w:sz w:val="16"/>
          <w:lang w:val="es-AR"/>
        </w:rPr>
        <w:t xml:space="preserve"> </w:t>
      </w:r>
      <w:r w:rsidRPr="00624696">
        <w:rPr>
          <w:i/>
          <w:sz w:val="16"/>
          <w:lang w:val="es-AR"/>
        </w:rPr>
        <w:t>el</w:t>
      </w:r>
      <w:r w:rsidRPr="00624696">
        <w:rPr>
          <w:i/>
          <w:spacing w:val="-13"/>
          <w:sz w:val="16"/>
          <w:lang w:val="es-AR"/>
        </w:rPr>
        <w:t xml:space="preserve"> </w:t>
      </w:r>
      <w:r w:rsidRPr="00624696">
        <w:rPr>
          <w:i/>
          <w:sz w:val="16"/>
          <w:lang w:val="es-AR"/>
        </w:rPr>
        <w:t>Municipio</w:t>
      </w:r>
      <w:r w:rsidRPr="00624696">
        <w:rPr>
          <w:i/>
          <w:spacing w:val="-13"/>
          <w:sz w:val="16"/>
          <w:lang w:val="es-AR"/>
        </w:rPr>
        <w:t xml:space="preserve"> </w:t>
      </w:r>
      <w:r w:rsidRPr="00624696">
        <w:rPr>
          <w:i/>
          <w:sz w:val="16"/>
          <w:lang w:val="es-AR"/>
        </w:rPr>
        <w:t>de</w:t>
      </w:r>
      <w:r w:rsidRPr="00624696">
        <w:rPr>
          <w:i/>
          <w:spacing w:val="-12"/>
          <w:sz w:val="16"/>
          <w:lang w:val="es-AR"/>
        </w:rPr>
        <w:t xml:space="preserve"> </w:t>
      </w:r>
      <w:r w:rsidRPr="00624696">
        <w:rPr>
          <w:i/>
          <w:sz w:val="16"/>
          <w:lang w:val="es-AR"/>
        </w:rPr>
        <w:t>Santo</w:t>
      </w:r>
      <w:r w:rsidRPr="00624696">
        <w:rPr>
          <w:i/>
          <w:spacing w:val="-11"/>
          <w:sz w:val="16"/>
          <w:lang w:val="es-AR"/>
        </w:rPr>
        <w:t xml:space="preserve"> </w:t>
      </w:r>
      <w:r w:rsidRPr="00624696">
        <w:rPr>
          <w:i/>
          <w:sz w:val="16"/>
          <w:lang w:val="es-AR"/>
        </w:rPr>
        <w:t>Antônio de Jesus/BA: un análisis de su contribución para el desarrollo local”</w:t>
      </w:r>
      <w:r w:rsidRPr="00624696">
        <w:rPr>
          <w:sz w:val="16"/>
          <w:lang w:val="es-AR"/>
        </w:rPr>
        <w:t xml:space="preserve">, </w:t>
      </w:r>
      <w:r w:rsidRPr="00624696">
        <w:rPr>
          <w:i/>
          <w:sz w:val="16"/>
          <w:lang w:val="es-AR"/>
        </w:rPr>
        <w:t>supra</w:t>
      </w:r>
      <w:r w:rsidRPr="00624696">
        <w:rPr>
          <w:i/>
          <w:sz w:val="16"/>
          <w:lang w:val="es-AR"/>
        </w:rPr>
        <w:t xml:space="preserve">, </w:t>
      </w:r>
      <w:r w:rsidRPr="00624696">
        <w:rPr>
          <w:sz w:val="16"/>
          <w:lang w:val="es-AR"/>
        </w:rPr>
        <w:t>y Sentencia del Juzgado de Trabajo de Santo Antônio de Jesus del proceso número 42.01.00.1357-01, de 29 de marzo de 2001 (expediente de pruebas, folios 14 a</w:t>
      </w:r>
      <w:r w:rsidRPr="00624696">
        <w:rPr>
          <w:spacing w:val="-4"/>
          <w:sz w:val="16"/>
          <w:lang w:val="es-AR"/>
        </w:rPr>
        <w:t xml:space="preserve"> </w:t>
      </w:r>
      <w:r w:rsidRPr="00624696">
        <w:rPr>
          <w:sz w:val="16"/>
          <w:lang w:val="es-AR"/>
        </w:rPr>
        <w:t>22).</w:t>
      </w:r>
    </w:p>
    <w:p w14:paraId="55850B24" w14:textId="77777777" w:rsidR="00467FCA" w:rsidRPr="00624696" w:rsidRDefault="001B68EB">
      <w:pPr>
        <w:tabs>
          <w:tab w:val="left" w:pos="839"/>
        </w:tabs>
        <w:spacing w:line="194" w:lineRule="exact"/>
        <w:ind w:left="120"/>
        <w:jc w:val="both"/>
        <w:rPr>
          <w:sz w:val="16"/>
          <w:lang w:val="es-AR"/>
        </w:rPr>
      </w:pPr>
      <w:bookmarkStart w:id="141" w:name="_bookmark115"/>
      <w:bookmarkEnd w:id="141"/>
      <w:r w:rsidRPr="00624696">
        <w:rPr>
          <w:position w:val="6"/>
          <w:sz w:val="10"/>
          <w:lang w:val="es-AR"/>
        </w:rPr>
        <w:t>91</w:t>
      </w:r>
      <w:r w:rsidRPr="00624696">
        <w:rPr>
          <w:position w:val="6"/>
          <w:sz w:val="10"/>
          <w:lang w:val="es-AR"/>
        </w:rPr>
        <w:tab/>
      </w:r>
      <w:r w:rsidRPr="00624696">
        <w:rPr>
          <w:i/>
          <w:sz w:val="16"/>
          <w:lang w:val="es-AR"/>
        </w:rPr>
        <w:t>Cfr</w:t>
      </w:r>
      <w:r w:rsidRPr="00624696">
        <w:rPr>
          <w:sz w:val="16"/>
          <w:lang w:val="es-AR"/>
        </w:rPr>
        <w:t xml:space="preserve">. PACHECO, José. Reportaje </w:t>
      </w:r>
      <w:r w:rsidRPr="00624696">
        <w:rPr>
          <w:i/>
          <w:sz w:val="16"/>
          <w:lang w:val="es-AR"/>
        </w:rPr>
        <w:t>“Jugar con fuego nunca más”,</w:t>
      </w:r>
      <w:r w:rsidRPr="00624696">
        <w:rPr>
          <w:i/>
          <w:spacing w:val="-9"/>
          <w:sz w:val="16"/>
          <w:lang w:val="es-AR"/>
        </w:rPr>
        <w:t xml:space="preserve"> </w:t>
      </w:r>
      <w:r w:rsidRPr="00624696">
        <w:rPr>
          <w:i/>
          <w:sz w:val="16"/>
          <w:lang w:val="es-AR"/>
        </w:rPr>
        <w:t>supra</w:t>
      </w:r>
      <w:r w:rsidRPr="00624696">
        <w:rPr>
          <w:sz w:val="16"/>
          <w:lang w:val="es-AR"/>
        </w:rPr>
        <w:t>.</w:t>
      </w:r>
    </w:p>
    <w:p w14:paraId="6C093ED0" w14:textId="77777777" w:rsidR="00467FCA" w:rsidRPr="00624696" w:rsidRDefault="001B68EB">
      <w:pPr>
        <w:tabs>
          <w:tab w:val="left" w:pos="839"/>
        </w:tabs>
        <w:ind w:left="119" w:right="114"/>
        <w:jc w:val="both"/>
        <w:rPr>
          <w:sz w:val="16"/>
          <w:lang w:val="es-AR"/>
        </w:rPr>
      </w:pPr>
      <w:bookmarkStart w:id="142" w:name="_bookmark116"/>
      <w:bookmarkEnd w:id="142"/>
      <w:r w:rsidRPr="00624696">
        <w:rPr>
          <w:position w:val="6"/>
          <w:sz w:val="10"/>
          <w:lang w:val="es-AR"/>
        </w:rPr>
        <w:t>92</w:t>
      </w:r>
      <w:r w:rsidRPr="00624696">
        <w:rPr>
          <w:position w:val="6"/>
          <w:sz w:val="10"/>
          <w:lang w:val="es-AR"/>
        </w:rPr>
        <w:tab/>
      </w:r>
      <w:r w:rsidRPr="00624696">
        <w:rPr>
          <w:i/>
          <w:sz w:val="16"/>
          <w:lang w:val="es-AR"/>
        </w:rPr>
        <w:t>Cfr</w:t>
      </w:r>
      <w:r w:rsidRPr="00624696">
        <w:rPr>
          <w:sz w:val="16"/>
          <w:lang w:val="es-AR"/>
        </w:rPr>
        <w:t>.</w:t>
      </w:r>
      <w:r w:rsidRPr="00624696">
        <w:rPr>
          <w:spacing w:val="-10"/>
          <w:sz w:val="16"/>
          <w:lang w:val="es-AR"/>
        </w:rPr>
        <w:t xml:space="preserve"> </w:t>
      </w:r>
      <w:r w:rsidRPr="00624696">
        <w:rPr>
          <w:sz w:val="16"/>
          <w:lang w:val="es-AR"/>
        </w:rPr>
        <w:t>Certificado</w:t>
      </w:r>
      <w:r w:rsidRPr="00624696">
        <w:rPr>
          <w:spacing w:val="-10"/>
          <w:sz w:val="16"/>
          <w:lang w:val="es-AR"/>
        </w:rPr>
        <w:t xml:space="preserve"> </w:t>
      </w:r>
      <w:r w:rsidRPr="00624696">
        <w:rPr>
          <w:sz w:val="16"/>
          <w:lang w:val="es-AR"/>
        </w:rPr>
        <w:t>de</w:t>
      </w:r>
      <w:r w:rsidRPr="00624696">
        <w:rPr>
          <w:spacing w:val="-8"/>
          <w:sz w:val="16"/>
          <w:lang w:val="es-AR"/>
        </w:rPr>
        <w:t xml:space="preserve"> </w:t>
      </w:r>
      <w:r w:rsidRPr="00624696">
        <w:rPr>
          <w:sz w:val="16"/>
          <w:lang w:val="es-AR"/>
        </w:rPr>
        <w:t>antecedentes</w:t>
      </w:r>
      <w:r w:rsidRPr="00624696">
        <w:rPr>
          <w:spacing w:val="-8"/>
          <w:sz w:val="16"/>
          <w:lang w:val="es-AR"/>
        </w:rPr>
        <w:t xml:space="preserve"> </w:t>
      </w:r>
      <w:r w:rsidRPr="00624696">
        <w:rPr>
          <w:sz w:val="16"/>
          <w:lang w:val="es-AR"/>
        </w:rPr>
        <w:t>criminales</w:t>
      </w:r>
      <w:r w:rsidRPr="00624696">
        <w:rPr>
          <w:spacing w:val="-8"/>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Osvaldo</w:t>
      </w:r>
      <w:r w:rsidRPr="00624696">
        <w:rPr>
          <w:spacing w:val="-8"/>
          <w:sz w:val="16"/>
          <w:lang w:val="es-AR"/>
        </w:rPr>
        <w:t xml:space="preserve"> </w:t>
      </w:r>
      <w:r w:rsidRPr="00624696">
        <w:rPr>
          <w:sz w:val="16"/>
          <w:lang w:val="es-AR"/>
        </w:rPr>
        <w:t>Prazeres</w:t>
      </w:r>
      <w:r w:rsidRPr="00624696">
        <w:rPr>
          <w:spacing w:val="-11"/>
          <w:sz w:val="16"/>
          <w:lang w:val="es-AR"/>
        </w:rPr>
        <w:t xml:space="preserve"> </w:t>
      </w:r>
      <w:r w:rsidRPr="00624696">
        <w:rPr>
          <w:sz w:val="16"/>
          <w:lang w:val="es-AR"/>
        </w:rPr>
        <w:t>Bastos,</w:t>
      </w:r>
      <w:r w:rsidRPr="00624696">
        <w:rPr>
          <w:spacing w:val="-9"/>
          <w:sz w:val="16"/>
          <w:lang w:val="es-AR"/>
        </w:rPr>
        <w:t xml:space="preserve"> </w:t>
      </w:r>
      <w:r w:rsidRPr="00624696">
        <w:rPr>
          <w:sz w:val="16"/>
          <w:lang w:val="es-AR"/>
        </w:rPr>
        <w:t>firmado</w:t>
      </w:r>
      <w:r w:rsidRPr="00624696">
        <w:rPr>
          <w:spacing w:val="-10"/>
          <w:sz w:val="16"/>
          <w:lang w:val="es-AR"/>
        </w:rPr>
        <w:t xml:space="preserve"> </w:t>
      </w:r>
      <w:r w:rsidRPr="00624696">
        <w:rPr>
          <w:sz w:val="16"/>
          <w:lang w:val="es-AR"/>
        </w:rPr>
        <w:t>por</w:t>
      </w:r>
      <w:r w:rsidRPr="00624696">
        <w:rPr>
          <w:spacing w:val="-8"/>
          <w:sz w:val="16"/>
          <w:lang w:val="es-AR"/>
        </w:rPr>
        <w:t xml:space="preserve"> </w:t>
      </w:r>
      <w:r w:rsidRPr="00624696">
        <w:rPr>
          <w:sz w:val="16"/>
          <w:lang w:val="es-AR"/>
        </w:rPr>
        <w:t>lracema</w:t>
      </w:r>
      <w:r w:rsidRPr="00624696">
        <w:rPr>
          <w:spacing w:val="-9"/>
          <w:sz w:val="16"/>
          <w:lang w:val="es-AR"/>
        </w:rPr>
        <w:t xml:space="preserve"> </w:t>
      </w:r>
      <w:r w:rsidRPr="00624696">
        <w:rPr>
          <w:sz w:val="16"/>
          <w:lang w:val="es-AR"/>
        </w:rPr>
        <w:t>Silva</w:t>
      </w:r>
      <w:r w:rsidRPr="00624696">
        <w:rPr>
          <w:spacing w:val="-11"/>
          <w:sz w:val="16"/>
          <w:lang w:val="es-AR"/>
        </w:rPr>
        <w:t xml:space="preserve"> </w:t>
      </w:r>
      <w:r w:rsidRPr="00624696">
        <w:rPr>
          <w:sz w:val="16"/>
          <w:lang w:val="es-AR"/>
        </w:rPr>
        <w:t>de</w:t>
      </w:r>
      <w:r w:rsidRPr="00624696">
        <w:rPr>
          <w:spacing w:val="-8"/>
          <w:sz w:val="16"/>
          <w:lang w:val="es-AR"/>
        </w:rPr>
        <w:t xml:space="preserve"> </w:t>
      </w:r>
      <w:r w:rsidRPr="00624696">
        <w:rPr>
          <w:sz w:val="16"/>
          <w:lang w:val="es-AR"/>
        </w:rPr>
        <w:t>Jesus, de 12 de abril de 1999 (expediente de prueba, folios 8 y 9) y escrito de acusación penal interpuesta por la fiscal</w:t>
      </w:r>
      <w:bookmarkStart w:id="143" w:name="_bookmark117"/>
      <w:bookmarkEnd w:id="143"/>
      <w:r w:rsidRPr="00624696">
        <w:rPr>
          <w:sz w:val="16"/>
          <w:lang w:val="es-AR"/>
        </w:rPr>
        <w:t xml:space="preserve"> Kristiany Lima de Abreu (expediente de prueba, folios</w:t>
      </w:r>
      <w:r w:rsidRPr="00624696">
        <w:rPr>
          <w:sz w:val="16"/>
          <w:lang w:val="es-AR"/>
        </w:rPr>
        <w:t xml:space="preserve"> 1585 a</w:t>
      </w:r>
      <w:r w:rsidRPr="00624696">
        <w:rPr>
          <w:spacing w:val="-8"/>
          <w:sz w:val="16"/>
          <w:lang w:val="es-AR"/>
        </w:rPr>
        <w:t xml:space="preserve"> </w:t>
      </w:r>
      <w:r w:rsidRPr="00624696">
        <w:rPr>
          <w:sz w:val="16"/>
          <w:lang w:val="es-AR"/>
        </w:rPr>
        <w:t>1588).</w:t>
      </w:r>
    </w:p>
    <w:p w14:paraId="39BBB07E" w14:textId="77777777" w:rsidR="00467FCA" w:rsidRPr="00624696" w:rsidRDefault="001B68EB">
      <w:pPr>
        <w:tabs>
          <w:tab w:val="left" w:pos="839"/>
        </w:tabs>
        <w:ind w:left="119" w:right="116"/>
        <w:jc w:val="both"/>
        <w:rPr>
          <w:sz w:val="16"/>
          <w:lang w:val="es-AR"/>
        </w:rPr>
      </w:pPr>
      <w:r w:rsidRPr="00624696">
        <w:rPr>
          <w:position w:val="6"/>
          <w:sz w:val="10"/>
          <w:lang w:val="es-AR"/>
        </w:rPr>
        <w:t>93</w:t>
      </w:r>
      <w:r w:rsidRPr="00624696">
        <w:rPr>
          <w:position w:val="6"/>
          <w:sz w:val="10"/>
          <w:lang w:val="es-AR"/>
        </w:rPr>
        <w:tab/>
      </w:r>
      <w:r w:rsidRPr="00624696">
        <w:rPr>
          <w:i/>
          <w:sz w:val="16"/>
          <w:lang w:val="es-AR"/>
        </w:rPr>
        <w:t>Cfr</w:t>
      </w:r>
      <w:r w:rsidRPr="00624696">
        <w:rPr>
          <w:sz w:val="16"/>
          <w:lang w:val="es-AR"/>
        </w:rPr>
        <w:t xml:space="preserve">. Nota periodística </w:t>
      </w:r>
      <w:r w:rsidRPr="00624696">
        <w:rPr>
          <w:i/>
          <w:sz w:val="16"/>
          <w:lang w:val="es-AR"/>
        </w:rPr>
        <w:t xml:space="preserve">“Más de 60 muertes”, </w:t>
      </w:r>
      <w:r w:rsidRPr="00624696">
        <w:rPr>
          <w:sz w:val="16"/>
          <w:lang w:val="es-AR"/>
        </w:rPr>
        <w:t>publicada en la Revista Veja, el 23 de diciembre de 1998 (expediente de prueba, folio</w:t>
      </w:r>
      <w:r w:rsidRPr="00624696">
        <w:rPr>
          <w:spacing w:val="-6"/>
          <w:sz w:val="16"/>
          <w:lang w:val="es-AR"/>
        </w:rPr>
        <w:t xml:space="preserve"> </w:t>
      </w:r>
      <w:r w:rsidRPr="00624696">
        <w:rPr>
          <w:sz w:val="16"/>
          <w:lang w:val="es-AR"/>
        </w:rPr>
        <w:t>6).</w:t>
      </w:r>
    </w:p>
    <w:p w14:paraId="706EA039" w14:textId="77777777" w:rsidR="00467FCA" w:rsidRPr="00624696" w:rsidRDefault="001B68EB">
      <w:pPr>
        <w:tabs>
          <w:tab w:val="left" w:pos="839"/>
        </w:tabs>
        <w:ind w:left="120" w:right="112" w:hanging="1"/>
        <w:jc w:val="both"/>
        <w:rPr>
          <w:sz w:val="16"/>
          <w:lang w:val="es-AR"/>
        </w:rPr>
      </w:pPr>
      <w:bookmarkStart w:id="144" w:name="_bookmark118"/>
      <w:bookmarkEnd w:id="144"/>
      <w:r w:rsidRPr="00624696">
        <w:rPr>
          <w:position w:val="6"/>
          <w:sz w:val="10"/>
          <w:lang w:val="es-AR"/>
        </w:rPr>
        <w:t>94</w:t>
      </w:r>
      <w:r w:rsidRPr="00624696">
        <w:rPr>
          <w:position w:val="6"/>
          <w:sz w:val="10"/>
          <w:lang w:val="es-AR"/>
        </w:rPr>
        <w:tab/>
      </w:r>
      <w:r w:rsidRPr="00624696">
        <w:rPr>
          <w:sz w:val="16"/>
          <w:lang w:val="es-AR"/>
        </w:rPr>
        <w:t>Durante el trámite de la causa penal, la Fiscalía del Estado de Bahia y la jueza reconocieron que Osv</w:t>
      </w:r>
      <w:r w:rsidRPr="00624696">
        <w:rPr>
          <w:sz w:val="16"/>
          <w:lang w:val="es-AR"/>
        </w:rPr>
        <w:t xml:space="preserve">aldo Prazeres Bastos era el verdadero dueño de la fábrica de fuegos. </w:t>
      </w:r>
      <w:r w:rsidRPr="00624696">
        <w:rPr>
          <w:i/>
          <w:sz w:val="16"/>
          <w:lang w:val="es-AR"/>
        </w:rPr>
        <w:t xml:space="preserve">Cfr. </w:t>
      </w:r>
      <w:r w:rsidRPr="00624696">
        <w:rPr>
          <w:sz w:val="16"/>
          <w:lang w:val="es-AR"/>
        </w:rPr>
        <w:t>Sentencia del Juzgado Penal de Santo Antônio de Jesus de 09 de noviembre de 2004 (expediente de prueba, folios 107 a</w:t>
      </w:r>
      <w:r w:rsidRPr="00624696">
        <w:rPr>
          <w:spacing w:val="-12"/>
          <w:sz w:val="16"/>
          <w:lang w:val="es-AR"/>
        </w:rPr>
        <w:t xml:space="preserve"> </w:t>
      </w:r>
      <w:r w:rsidRPr="00624696">
        <w:rPr>
          <w:sz w:val="16"/>
          <w:lang w:val="es-AR"/>
        </w:rPr>
        <w:t>109).</w:t>
      </w:r>
    </w:p>
    <w:p w14:paraId="5F058B5D" w14:textId="77777777" w:rsidR="00467FCA" w:rsidRPr="00624696" w:rsidRDefault="001B68EB">
      <w:pPr>
        <w:tabs>
          <w:tab w:val="left" w:pos="839"/>
        </w:tabs>
        <w:ind w:left="121" w:right="116" w:hanging="2"/>
        <w:jc w:val="both"/>
        <w:rPr>
          <w:sz w:val="16"/>
          <w:lang w:val="es-AR"/>
        </w:rPr>
      </w:pPr>
      <w:bookmarkStart w:id="145" w:name="_bookmark119"/>
      <w:bookmarkEnd w:id="145"/>
      <w:r w:rsidRPr="00624696">
        <w:rPr>
          <w:position w:val="6"/>
          <w:sz w:val="10"/>
          <w:lang w:val="es-AR"/>
        </w:rPr>
        <w:t>95</w:t>
      </w:r>
      <w:r w:rsidRPr="00624696">
        <w:rPr>
          <w:position w:val="6"/>
          <w:sz w:val="10"/>
          <w:lang w:val="es-AR"/>
        </w:rPr>
        <w:tab/>
      </w:r>
      <w:r w:rsidRPr="00624696">
        <w:rPr>
          <w:i/>
          <w:sz w:val="16"/>
          <w:lang w:val="es-AR"/>
        </w:rPr>
        <w:t xml:space="preserve">Cfr. </w:t>
      </w:r>
      <w:r w:rsidRPr="00624696">
        <w:rPr>
          <w:sz w:val="16"/>
          <w:lang w:val="es-AR"/>
        </w:rPr>
        <w:t>Certificado de Registro número 381 - SFPC/6 de 19 d</w:t>
      </w:r>
      <w:r w:rsidRPr="00624696">
        <w:rPr>
          <w:sz w:val="16"/>
          <w:lang w:val="es-AR"/>
        </w:rPr>
        <w:t>e diciembre de 1995, en favor de Mário Fróes Prazeres Bastos (expediente de prueba, folio</w:t>
      </w:r>
      <w:r w:rsidRPr="00624696">
        <w:rPr>
          <w:spacing w:val="-4"/>
          <w:sz w:val="16"/>
          <w:lang w:val="es-AR"/>
        </w:rPr>
        <w:t xml:space="preserve"> </w:t>
      </w:r>
      <w:r w:rsidRPr="00624696">
        <w:rPr>
          <w:sz w:val="16"/>
          <w:lang w:val="es-AR"/>
        </w:rPr>
        <w:t>48).</w:t>
      </w:r>
    </w:p>
    <w:p w14:paraId="72C054E9" w14:textId="77777777" w:rsidR="00467FCA" w:rsidRPr="00624696" w:rsidRDefault="001B68EB">
      <w:pPr>
        <w:tabs>
          <w:tab w:val="left" w:pos="839"/>
        </w:tabs>
        <w:ind w:left="120" w:right="112" w:hanging="1"/>
        <w:jc w:val="both"/>
        <w:rPr>
          <w:sz w:val="16"/>
          <w:lang w:val="es-AR"/>
        </w:rPr>
      </w:pPr>
      <w:bookmarkStart w:id="146" w:name="_bookmark120"/>
      <w:bookmarkEnd w:id="146"/>
      <w:r w:rsidRPr="00624696">
        <w:rPr>
          <w:position w:val="6"/>
          <w:sz w:val="10"/>
          <w:lang w:val="es-AR"/>
        </w:rPr>
        <w:t>96</w:t>
      </w:r>
      <w:r w:rsidRPr="00624696">
        <w:rPr>
          <w:position w:val="6"/>
          <w:sz w:val="10"/>
          <w:lang w:val="es-AR"/>
        </w:rPr>
        <w:tab/>
      </w:r>
      <w:r w:rsidRPr="00624696">
        <w:rPr>
          <w:i/>
          <w:sz w:val="16"/>
          <w:lang w:val="es-AR"/>
        </w:rPr>
        <w:t>Cfr.</w:t>
      </w:r>
      <w:r w:rsidRPr="00624696">
        <w:rPr>
          <w:i/>
          <w:spacing w:val="-11"/>
          <w:sz w:val="16"/>
          <w:lang w:val="es-AR"/>
        </w:rPr>
        <w:t xml:space="preserve"> </w:t>
      </w:r>
      <w:r w:rsidRPr="00624696">
        <w:rPr>
          <w:sz w:val="16"/>
          <w:lang w:val="es-AR"/>
        </w:rPr>
        <w:t>Declaración</w:t>
      </w:r>
      <w:r w:rsidRPr="00624696">
        <w:rPr>
          <w:spacing w:val="-10"/>
          <w:sz w:val="16"/>
          <w:lang w:val="es-AR"/>
        </w:rPr>
        <w:t xml:space="preserve"> </w:t>
      </w:r>
      <w:r w:rsidRPr="00624696">
        <w:rPr>
          <w:sz w:val="16"/>
          <w:lang w:val="es-AR"/>
        </w:rPr>
        <w:t>rendida</w:t>
      </w:r>
      <w:r w:rsidRPr="00624696">
        <w:rPr>
          <w:spacing w:val="-9"/>
          <w:sz w:val="16"/>
          <w:lang w:val="es-AR"/>
        </w:rPr>
        <w:t xml:space="preserve"> </w:t>
      </w:r>
      <w:r w:rsidRPr="00624696">
        <w:rPr>
          <w:sz w:val="16"/>
          <w:lang w:val="es-AR"/>
        </w:rPr>
        <w:t>por</w:t>
      </w:r>
      <w:r w:rsidRPr="00624696">
        <w:rPr>
          <w:spacing w:val="-9"/>
          <w:sz w:val="16"/>
          <w:lang w:val="es-AR"/>
        </w:rPr>
        <w:t xml:space="preserve"> </w:t>
      </w:r>
      <w:r w:rsidRPr="00624696">
        <w:rPr>
          <w:sz w:val="16"/>
          <w:lang w:val="es-AR"/>
        </w:rPr>
        <w:t>Maria</w:t>
      </w:r>
      <w:r w:rsidRPr="00624696">
        <w:rPr>
          <w:spacing w:val="-7"/>
          <w:sz w:val="16"/>
          <w:lang w:val="es-AR"/>
        </w:rPr>
        <w:t xml:space="preserve"> </w:t>
      </w:r>
      <w:r w:rsidRPr="00624696">
        <w:rPr>
          <w:sz w:val="16"/>
          <w:lang w:val="es-AR"/>
        </w:rPr>
        <w:t>Balbina</w:t>
      </w:r>
      <w:r w:rsidRPr="00624696">
        <w:rPr>
          <w:spacing w:val="-9"/>
          <w:sz w:val="16"/>
          <w:lang w:val="es-AR"/>
        </w:rPr>
        <w:t xml:space="preserve"> </w:t>
      </w:r>
      <w:r w:rsidRPr="00624696">
        <w:rPr>
          <w:sz w:val="16"/>
          <w:lang w:val="es-AR"/>
        </w:rPr>
        <w:t>dos</w:t>
      </w:r>
      <w:r w:rsidRPr="00624696">
        <w:rPr>
          <w:spacing w:val="-9"/>
          <w:sz w:val="16"/>
          <w:lang w:val="es-AR"/>
        </w:rPr>
        <w:t xml:space="preserve"> </w:t>
      </w:r>
      <w:r w:rsidRPr="00624696">
        <w:rPr>
          <w:sz w:val="16"/>
          <w:lang w:val="es-AR"/>
        </w:rPr>
        <w:t>Santos</w:t>
      </w:r>
      <w:r w:rsidRPr="00624696">
        <w:rPr>
          <w:spacing w:val="-9"/>
          <w:sz w:val="16"/>
          <w:lang w:val="es-AR"/>
        </w:rPr>
        <w:t xml:space="preserve"> </w:t>
      </w:r>
      <w:r w:rsidRPr="00624696">
        <w:rPr>
          <w:sz w:val="16"/>
          <w:lang w:val="es-AR"/>
        </w:rPr>
        <w:t>en</w:t>
      </w:r>
      <w:r w:rsidRPr="00624696">
        <w:rPr>
          <w:spacing w:val="-10"/>
          <w:sz w:val="16"/>
          <w:lang w:val="es-AR"/>
        </w:rPr>
        <w:t xml:space="preserve"> </w:t>
      </w:r>
      <w:r w:rsidRPr="00624696">
        <w:rPr>
          <w:sz w:val="16"/>
          <w:lang w:val="es-AR"/>
        </w:rPr>
        <w:t>Audiencia</w:t>
      </w:r>
      <w:r w:rsidRPr="00624696">
        <w:rPr>
          <w:spacing w:val="-8"/>
          <w:sz w:val="16"/>
          <w:lang w:val="es-AR"/>
        </w:rPr>
        <w:t xml:space="preserve"> </w:t>
      </w:r>
      <w:r w:rsidRPr="00624696">
        <w:rPr>
          <w:sz w:val="16"/>
          <w:lang w:val="es-AR"/>
        </w:rPr>
        <w:t>Pública</w:t>
      </w:r>
      <w:r w:rsidRPr="00624696">
        <w:rPr>
          <w:spacing w:val="-9"/>
          <w:sz w:val="16"/>
          <w:lang w:val="es-AR"/>
        </w:rPr>
        <w:t xml:space="preserve"> </w:t>
      </w:r>
      <w:r w:rsidRPr="00624696">
        <w:rPr>
          <w:sz w:val="16"/>
          <w:lang w:val="es-AR"/>
        </w:rPr>
        <w:t>realizada</w:t>
      </w:r>
      <w:r w:rsidRPr="00624696">
        <w:rPr>
          <w:spacing w:val="-10"/>
          <w:sz w:val="16"/>
          <w:lang w:val="es-AR"/>
        </w:rPr>
        <w:t xml:space="preserve"> </w:t>
      </w:r>
      <w:r w:rsidRPr="00624696">
        <w:rPr>
          <w:sz w:val="16"/>
          <w:lang w:val="es-AR"/>
        </w:rPr>
        <w:t>el</w:t>
      </w:r>
      <w:r w:rsidRPr="00624696">
        <w:rPr>
          <w:spacing w:val="-10"/>
          <w:sz w:val="16"/>
          <w:lang w:val="es-AR"/>
        </w:rPr>
        <w:t xml:space="preserve"> </w:t>
      </w:r>
      <w:r w:rsidRPr="00624696">
        <w:rPr>
          <w:sz w:val="16"/>
          <w:lang w:val="es-AR"/>
        </w:rPr>
        <w:t>31</w:t>
      </w:r>
      <w:r w:rsidRPr="00624696">
        <w:rPr>
          <w:spacing w:val="-10"/>
          <w:sz w:val="16"/>
          <w:lang w:val="es-AR"/>
        </w:rPr>
        <w:t xml:space="preserve"> </w:t>
      </w:r>
      <w:r w:rsidRPr="00624696">
        <w:rPr>
          <w:sz w:val="16"/>
          <w:lang w:val="es-AR"/>
        </w:rPr>
        <w:t>de</w:t>
      </w:r>
      <w:r w:rsidRPr="00624696">
        <w:rPr>
          <w:spacing w:val="-8"/>
          <w:sz w:val="16"/>
          <w:lang w:val="es-AR"/>
        </w:rPr>
        <w:t xml:space="preserve"> </w:t>
      </w:r>
      <w:r w:rsidRPr="00624696">
        <w:rPr>
          <w:sz w:val="16"/>
          <w:lang w:val="es-AR"/>
        </w:rPr>
        <w:t>enero</w:t>
      </w:r>
      <w:r w:rsidRPr="00624696">
        <w:rPr>
          <w:spacing w:val="-9"/>
          <w:sz w:val="16"/>
          <w:lang w:val="es-AR"/>
        </w:rPr>
        <w:t xml:space="preserve"> </w:t>
      </w:r>
      <w:r w:rsidRPr="00624696">
        <w:rPr>
          <w:sz w:val="16"/>
          <w:lang w:val="es-AR"/>
        </w:rPr>
        <w:t>de</w:t>
      </w:r>
      <w:r w:rsidRPr="00624696">
        <w:rPr>
          <w:spacing w:val="-11"/>
          <w:sz w:val="16"/>
          <w:lang w:val="es-AR"/>
        </w:rPr>
        <w:t xml:space="preserve"> </w:t>
      </w:r>
      <w:r w:rsidRPr="00624696">
        <w:rPr>
          <w:sz w:val="16"/>
          <w:lang w:val="es-AR"/>
        </w:rPr>
        <w:t>2020 ante la Corte</w:t>
      </w:r>
      <w:r w:rsidRPr="00624696">
        <w:rPr>
          <w:spacing w:val="-1"/>
          <w:sz w:val="16"/>
          <w:lang w:val="es-AR"/>
        </w:rPr>
        <w:t xml:space="preserve"> </w:t>
      </w:r>
      <w:r w:rsidRPr="00624696">
        <w:rPr>
          <w:sz w:val="16"/>
          <w:lang w:val="es-AR"/>
        </w:rPr>
        <w:t>IDH.</w:t>
      </w:r>
    </w:p>
    <w:p w14:paraId="57865E96" w14:textId="77777777" w:rsidR="00467FCA" w:rsidRPr="00624696" w:rsidRDefault="001B68EB">
      <w:pPr>
        <w:tabs>
          <w:tab w:val="left" w:pos="839"/>
        </w:tabs>
        <w:ind w:left="120" w:right="116" w:hanging="1"/>
        <w:jc w:val="both"/>
        <w:rPr>
          <w:sz w:val="16"/>
          <w:lang w:val="es-AR"/>
        </w:rPr>
      </w:pPr>
      <w:bookmarkStart w:id="147" w:name="_bookmark121"/>
      <w:bookmarkEnd w:id="147"/>
      <w:r w:rsidRPr="00624696">
        <w:rPr>
          <w:position w:val="6"/>
          <w:sz w:val="10"/>
          <w:lang w:val="es-AR"/>
        </w:rPr>
        <w:t>97</w:t>
      </w:r>
      <w:r w:rsidRPr="00624696">
        <w:rPr>
          <w:position w:val="6"/>
          <w:sz w:val="10"/>
          <w:lang w:val="es-AR"/>
        </w:rPr>
        <w:tab/>
      </w:r>
      <w:r w:rsidRPr="00624696">
        <w:rPr>
          <w:i/>
          <w:sz w:val="16"/>
          <w:lang w:val="es-AR"/>
        </w:rPr>
        <w:t xml:space="preserve">Cfr. </w:t>
      </w:r>
      <w:r w:rsidRPr="00624696">
        <w:rPr>
          <w:sz w:val="16"/>
          <w:lang w:val="es-AR"/>
        </w:rPr>
        <w:t>Declaración rendida por Leila Cerqueira dos Santos en Audiencia Pública realizada el 31 de enero de 2020 ante la Corte IDH, y Peritaje rendido por Sônia Marise Rodrigues Pereira Tomasoni,</w:t>
      </w:r>
      <w:r w:rsidRPr="00624696">
        <w:rPr>
          <w:spacing w:val="-18"/>
          <w:sz w:val="16"/>
          <w:lang w:val="es-AR"/>
        </w:rPr>
        <w:t xml:space="preserve"> </w:t>
      </w:r>
      <w:r w:rsidRPr="00624696">
        <w:rPr>
          <w:i/>
          <w:sz w:val="16"/>
          <w:lang w:val="es-AR"/>
        </w:rPr>
        <w:t>supra</w:t>
      </w:r>
      <w:r w:rsidRPr="00624696">
        <w:rPr>
          <w:sz w:val="16"/>
          <w:lang w:val="es-AR"/>
        </w:rPr>
        <w:t>.</w:t>
      </w:r>
    </w:p>
    <w:p w14:paraId="58E788B7" w14:textId="77777777" w:rsidR="00467FCA" w:rsidRPr="00624696" w:rsidRDefault="001B68EB">
      <w:pPr>
        <w:tabs>
          <w:tab w:val="left" w:pos="839"/>
        </w:tabs>
        <w:ind w:left="120"/>
        <w:jc w:val="both"/>
        <w:rPr>
          <w:sz w:val="16"/>
          <w:lang w:val="es-AR"/>
        </w:rPr>
      </w:pPr>
      <w:bookmarkStart w:id="148" w:name="_bookmark122"/>
      <w:bookmarkEnd w:id="148"/>
      <w:r w:rsidRPr="00624696">
        <w:rPr>
          <w:position w:val="6"/>
          <w:sz w:val="10"/>
          <w:lang w:val="es-AR"/>
        </w:rPr>
        <w:t>98</w:t>
      </w:r>
      <w:r w:rsidRPr="00624696">
        <w:rPr>
          <w:position w:val="6"/>
          <w:sz w:val="10"/>
          <w:lang w:val="es-AR"/>
        </w:rPr>
        <w:tab/>
      </w:r>
      <w:r w:rsidRPr="00624696">
        <w:rPr>
          <w:i/>
          <w:sz w:val="16"/>
          <w:lang w:val="es-AR"/>
        </w:rPr>
        <w:t>Cfr.</w:t>
      </w:r>
      <w:r w:rsidRPr="00624696">
        <w:rPr>
          <w:i/>
          <w:spacing w:val="-16"/>
          <w:sz w:val="16"/>
          <w:lang w:val="es-AR"/>
        </w:rPr>
        <w:t xml:space="preserve"> </w:t>
      </w:r>
      <w:r w:rsidRPr="00624696">
        <w:rPr>
          <w:sz w:val="16"/>
          <w:lang w:val="es-AR"/>
        </w:rPr>
        <w:t>Declaración</w:t>
      </w:r>
      <w:r w:rsidRPr="00624696">
        <w:rPr>
          <w:spacing w:val="-16"/>
          <w:sz w:val="16"/>
          <w:lang w:val="es-AR"/>
        </w:rPr>
        <w:t xml:space="preserve"> </w:t>
      </w:r>
      <w:r w:rsidRPr="00624696">
        <w:rPr>
          <w:sz w:val="16"/>
          <w:lang w:val="es-AR"/>
        </w:rPr>
        <w:t>rendida</w:t>
      </w:r>
      <w:r w:rsidRPr="00624696">
        <w:rPr>
          <w:spacing w:val="-15"/>
          <w:sz w:val="16"/>
          <w:lang w:val="es-AR"/>
        </w:rPr>
        <w:t xml:space="preserve"> </w:t>
      </w:r>
      <w:r w:rsidRPr="00624696">
        <w:rPr>
          <w:sz w:val="16"/>
          <w:lang w:val="es-AR"/>
        </w:rPr>
        <w:t>por</w:t>
      </w:r>
      <w:r w:rsidRPr="00624696">
        <w:rPr>
          <w:spacing w:val="-13"/>
          <w:sz w:val="16"/>
          <w:lang w:val="es-AR"/>
        </w:rPr>
        <w:t xml:space="preserve"> </w:t>
      </w:r>
      <w:r w:rsidRPr="00624696">
        <w:rPr>
          <w:sz w:val="16"/>
          <w:lang w:val="es-AR"/>
        </w:rPr>
        <w:t>Leila</w:t>
      </w:r>
      <w:r w:rsidRPr="00624696">
        <w:rPr>
          <w:spacing w:val="-13"/>
          <w:sz w:val="16"/>
          <w:lang w:val="es-AR"/>
        </w:rPr>
        <w:t xml:space="preserve"> </w:t>
      </w:r>
      <w:r w:rsidRPr="00624696">
        <w:rPr>
          <w:sz w:val="16"/>
          <w:lang w:val="es-AR"/>
        </w:rPr>
        <w:t>Cerqueira</w:t>
      </w:r>
      <w:r w:rsidRPr="00624696">
        <w:rPr>
          <w:spacing w:val="-18"/>
          <w:sz w:val="16"/>
          <w:lang w:val="es-AR"/>
        </w:rPr>
        <w:t xml:space="preserve"> </w:t>
      </w:r>
      <w:r w:rsidRPr="00624696">
        <w:rPr>
          <w:sz w:val="16"/>
          <w:lang w:val="es-AR"/>
        </w:rPr>
        <w:t>dos</w:t>
      </w:r>
      <w:r w:rsidRPr="00624696">
        <w:rPr>
          <w:spacing w:val="-17"/>
          <w:sz w:val="16"/>
          <w:lang w:val="es-AR"/>
        </w:rPr>
        <w:t xml:space="preserve"> </w:t>
      </w:r>
      <w:r w:rsidRPr="00624696">
        <w:rPr>
          <w:sz w:val="16"/>
          <w:lang w:val="es-AR"/>
        </w:rPr>
        <w:t>Santos,</w:t>
      </w:r>
      <w:r w:rsidRPr="00624696">
        <w:rPr>
          <w:spacing w:val="-15"/>
          <w:sz w:val="16"/>
          <w:lang w:val="es-AR"/>
        </w:rPr>
        <w:t xml:space="preserve"> </w:t>
      </w:r>
      <w:r w:rsidRPr="00624696">
        <w:rPr>
          <w:i/>
          <w:sz w:val="16"/>
          <w:lang w:val="es-AR"/>
        </w:rPr>
        <w:t>s</w:t>
      </w:r>
      <w:r w:rsidRPr="00624696">
        <w:rPr>
          <w:i/>
          <w:sz w:val="16"/>
          <w:lang w:val="es-AR"/>
        </w:rPr>
        <w:t>upra</w:t>
      </w:r>
      <w:r w:rsidRPr="00624696">
        <w:rPr>
          <w:sz w:val="16"/>
          <w:lang w:val="es-AR"/>
        </w:rPr>
        <w:t>,</w:t>
      </w:r>
      <w:r w:rsidRPr="00624696">
        <w:rPr>
          <w:spacing w:val="-13"/>
          <w:sz w:val="16"/>
          <w:lang w:val="es-AR"/>
        </w:rPr>
        <w:t xml:space="preserve"> </w:t>
      </w:r>
      <w:r w:rsidRPr="00624696">
        <w:rPr>
          <w:sz w:val="16"/>
          <w:lang w:val="es-AR"/>
        </w:rPr>
        <w:t>y</w:t>
      </w:r>
      <w:r w:rsidRPr="00624696">
        <w:rPr>
          <w:spacing w:val="-14"/>
          <w:sz w:val="16"/>
          <w:lang w:val="es-AR"/>
        </w:rPr>
        <w:t xml:space="preserve"> </w:t>
      </w:r>
      <w:r w:rsidRPr="00624696">
        <w:rPr>
          <w:sz w:val="16"/>
          <w:lang w:val="es-AR"/>
        </w:rPr>
        <w:t>Peritaje</w:t>
      </w:r>
      <w:r w:rsidRPr="00624696">
        <w:rPr>
          <w:spacing w:val="-14"/>
          <w:sz w:val="16"/>
          <w:lang w:val="es-AR"/>
        </w:rPr>
        <w:t xml:space="preserve"> </w:t>
      </w:r>
      <w:r w:rsidRPr="00624696">
        <w:rPr>
          <w:sz w:val="16"/>
          <w:lang w:val="es-AR"/>
        </w:rPr>
        <w:t>rendido</w:t>
      </w:r>
      <w:r w:rsidRPr="00624696">
        <w:rPr>
          <w:spacing w:val="-14"/>
          <w:sz w:val="16"/>
          <w:lang w:val="es-AR"/>
        </w:rPr>
        <w:t xml:space="preserve"> </w:t>
      </w:r>
      <w:r w:rsidRPr="00624696">
        <w:rPr>
          <w:sz w:val="16"/>
          <w:lang w:val="es-AR"/>
        </w:rPr>
        <w:t>por</w:t>
      </w:r>
      <w:r w:rsidRPr="00624696">
        <w:rPr>
          <w:spacing w:val="-16"/>
          <w:sz w:val="16"/>
          <w:lang w:val="es-AR"/>
        </w:rPr>
        <w:t xml:space="preserve"> </w:t>
      </w:r>
      <w:r w:rsidRPr="00624696">
        <w:rPr>
          <w:sz w:val="16"/>
          <w:lang w:val="es-AR"/>
        </w:rPr>
        <w:t>Sônia</w:t>
      </w:r>
      <w:r w:rsidRPr="00624696">
        <w:rPr>
          <w:spacing w:val="-18"/>
          <w:sz w:val="16"/>
          <w:lang w:val="es-AR"/>
        </w:rPr>
        <w:t xml:space="preserve"> </w:t>
      </w:r>
      <w:r w:rsidRPr="00624696">
        <w:rPr>
          <w:sz w:val="16"/>
          <w:lang w:val="es-AR"/>
        </w:rPr>
        <w:t>Marise</w:t>
      </w:r>
      <w:r w:rsidRPr="00624696">
        <w:rPr>
          <w:spacing w:val="-15"/>
          <w:sz w:val="16"/>
          <w:lang w:val="es-AR"/>
        </w:rPr>
        <w:t xml:space="preserve"> </w:t>
      </w:r>
      <w:r w:rsidRPr="00624696">
        <w:rPr>
          <w:sz w:val="16"/>
          <w:lang w:val="es-AR"/>
        </w:rPr>
        <w:t>Rodrigues</w:t>
      </w:r>
    </w:p>
    <w:p w14:paraId="4574C7B8" w14:textId="77777777" w:rsidR="00467FCA" w:rsidRPr="00624696" w:rsidRDefault="00467FCA">
      <w:pPr>
        <w:jc w:val="both"/>
        <w:rPr>
          <w:sz w:val="16"/>
          <w:lang w:val="es-AR"/>
        </w:rPr>
        <w:sectPr w:rsidR="00467FCA" w:rsidRPr="00624696">
          <w:pgSz w:w="12240" w:h="15840"/>
          <w:pgMar w:top="1500" w:right="1320" w:bottom="1220" w:left="1320" w:header="0" w:footer="1037" w:gutter="0"/>
          <w:cols w:space="720"/>
        </w:sectPr>
      </w:pPr>
    </w:p>
    <w:p w14:paraId="2C1EC59F" w14:textId="77777777" w:rsidR="00467FCA" w:rsidRPr="00624696" w:rsidRDefault="001B68EB">
      <w:pPr>
        <w:pStyle w:val="Textoindependiente"/>
        <w:spacing w:before="80"/>
        <w:ind w:left="120" w:right="36" w:hanging="1"/>
        <w:rPr>
          <w:lang w:val="es-AR"/>
        </w:rPr>
      </w:pPr>
      <w:r w:rsidRPr="00624696">
        <w:rPr>
          <w:lang w:val="es-AR"/>
        </w:rPr>
        <w:t>un bajo nivel de escolaridad</w:t>
      </w:r>
      <w:hyperlink w:anchor="_bookmark123" w:history="1">
        <w:r w:rsidRPr="00624696">
          <w:rPr>
            <w:position w:val="7"/>
            <w:sz w:val="13"/>
            <w:lang w:val="es-AR"/>
          </w:rPr>
          <w:t>99</w:t>
        </w:r>
      </w:hyperlink>
      <w:r w:rsidRPr="00624696">
        <w:rPr>
          <w:lang w:val="es-AR"/>
        </w:rPr>
        <w:t>. Además, eran contratadas informalmente, por medio de contratos verbales, y no eran regularmente registradas como empleadas</w:t>
      </w:r>
      <w:hyperlink w:anchor="_bookmark124" w:history="1">
        <w:r w:rsidRPr="00624696">
          <w:rPr>
            <w:position w:val="7"/>
            <w:sz w:val="13"/>
            <w:lang w:val="es-AR"/>
          </w:rPr>
          <w:t>100</w:t>
        </w:r>
      </w:hyperlink>
      <w:r w:rsidRPr="00624696">
        <w:rPr>
          <w:lang w:val="es-AR"/>
        </w:rPr>
        <w:t>.</w:t>
      </w:r>
    </w:p>
    <w:p w14:paraId="33902E31" w14:textId="77777777" w:rsidR="00467FCA" w:rsidRPr="00624696" w:rsidRDefault="00467FCA">
      <w:pPr>
        <w:pStyle w:val="Textoindependiente"/>
        <w:rPr>
          <w:lang w:val="es-AR"/>
        </w:rPr>
      </w:pPr>
    </w:p>
    <w:p w14:paraId="3D48E7F1" w14:textId="77777777" w:rsidR="00467FCA" w:rsidRPr="00624696" w:rsidRDefault="001B68EB">
      <w:pPr>
        <w:pStyle w:val="Prrafodelista"/>
        <w:numPr>
          <w:ilvl w:val="0"/>
          <w:numId w:val="50"/>
        </w:numPr>
        <w:tabs>
          <w:tab w:val="left" w:pos="687"/>
        </w:tabs>
        <w:spacing w:before="1"/>
        <w:ind w:left="119" w:right="116" w:firstLine="0"/>
        <w:jc w:val="both"/>
        <w:rPr>
          <w:sz w:val="20"/>
          <w:lang w:val="es-AR"/>
        </w:rPr>
      </w:pPr>
      <w:r w:rsidRPr="00624696">
        <w:rPr>
          <w:sz w:val="20"/>
          <w:lang w:val="es-AR"/>
        </w:rPr>
        <w:t>Asimismo, tenían salarios muy bajos</w:t>
      </w:r>
      <w:hyperlink w:anchor="_bookmark125" w:history="1">
        <w:r w:rsidRPr="00624696">
          <w:rPr>
            <w:position w:val="7"/>
            <w:sz w:val="13"/>
            <w:lang w:val="es-AR"/>
          </w:rPr>
          <w:t>101</w:t>
        </w:r>
      </w:hyperlink>
      <w:r w:rsidRPr="00624696">
        <w:rPr>
          <w:position w:val="7"/>
          <w:sz w:val="13"/>
          <w:lang w:val="es-AR"/>
        </w:rPr>
        <w:t xml:space="preserve"> </w:t>
      </w:r>
      <w:r w:rsidRPr="00624696">
        <w:rPr>
          <w:sz w:val="20"/>
          <w:lang w:val="es-AR"/>
        </w:rPr>
        <w:t>y no ganaban ningún monto adicional por el riesgo al que estaban sometidas diariamente en su labor. Respecto al pago por la labor realizada, las trabajadoras recibían R$ 0,50 (cincuenta centavos de reales</w:t>
      </w:r>
      <w:hyperlink w:anchor="_bookmark126" w:history="1">
        <w:r w:rsidRPr="00624696">
          <w:rPr>
            <w:position w:val="7"/>
            <w:sz w:val="13"/>
            <w:lang w:val="es-AR"/>
          </w:rPr>
          <w:t>102</w:t>
        </w:r>
      </w:hyperlink>
      <w:r w:rsidRPr="00624696">
        <w:rPr>
          <w:sz w:val="20"/>
          <w:lang w:val="es-AR"/>
        </w:rPr>
        <w:t>) por la producci</w:t>
      </w:r>
      <w:r w:rsidRPr="00624696">
        <w:rPr>
          <w:sz w:val="20"/>
          <w:lang w:val="es-AR"/>
        </w:rPr>
        <w:t>ón de mil cohetes</w:t>
      </w:r>
      <w:hyperlink w:anchor="_bookmark127" w:history="1">
        <w:r w:rsidRPr="00624696">
          <w:rPr>
            <w:position w:val="7"/>
            <w:sz w:val="13"/>
            <w:lang w:val="es-AR"/>
          </w:rPr>
          <w:t>103</w:t>
        </w:r>
      </w:hyperlink>
      <w:r w:rsidRPr="00624696">
        <w:rPr>
          <w:sz w:val="20"/>
          <w:lang w:val="es-AR"/>
        </w:rPr>
        <w:t xml:space="preserve">. Los habitantes del municipio de Santo Antônio de Jesus trabajaban en la fábrica de fuegos a falta de otra alternativa económica y debido a su condición de pobreza. Las empleadas de la fábrica de fuegos </w:t>
      </w:r>
      <w:r w:rsidRPr="00624696">
        <w:rPr>
          <w:sz w:val="20"/>
          <w:lang w:val="es-AR"/>
        </w:rPr>
        <w:t>no podían acceder a un trabajo en el comercio debido a su falta de alfabetización</w:t>
      </w:r>
      <w:hyperlink w:anchor="_bookmark128" w:history="1">
        <w:r w:rsidRPr="00624696">
          <w:rPr>
            <w:position w:val="7"/>
            <w:sz w:val="13"/>
            <w:lang w:val="es-AR"/>
          </w:rPr>
          <w:t>104</w:t>
        </w:r>
      </w:hyperlink>
      <w:r w:rsidRPr="00624696">
        <w:rPr>
          <w:position w:val="7"/>
          <w:sz w:val="13"/>
          <w:lang w:val="es-AR"/>
        </w:rPr>
        <w:t xml:space="preserve"> </w:t>
      </w:r>
      <w:r w:rsidRPr="00624696">
        <w:rPr>
          <w:sz w:val="20"/>
          <w:lang w:val="es-AR"/>
        </w:rPr>
        <w:t>y no eran recibidas para trabajar en el servicio doméstico debido a estereotipos que las asociaban, por ejemplo, con la delincuencia</w:t>
      </w:r>
      <w:hyperlink w:anchor="_bookmark129" w:history="1">
        <w:r w:rsidRPr="00624696">
          <w:rPr>
            <w:position w:val="7"/>
            <w:sz w:val="13"/>
            <w:lang w:val="es-AR"/>
          </w:rPr>
          <w:t>105</w:t>
        </w:r>
      </w:hyperlink>
      <w:r w:rsidRPr="00624696">
        <w:rPr>
          <w:sz w:val="20"/>
          <w:lang w:val="es-AR"/>
        </w:rPr>
        <w:t>.</w:t>
      </w:r>
    </w:p>
    <w:p w14:paraId="30F6CFBC" w14:textId="77777777" w:rsidR="00467FCA" w:rsidRPr="00624696" w:rsidRDefault="00467FCA">
      <w:pPr>
        <w:pStyle w:val="Textoindependiente"/>
        <w:rPr>
          <w:lang w:val="es-AR"/>
        </w:rPr>
      </w:pPr>
    </w:p>
    <w:p w14:paraId="078C2835" w14:textId="77777777" w:rsidR="00467FCA" w:rsidRPr="00624696" w:rsidRDefault="001B68EB">
      <w:pPr>
        <w:pStyle w:val="Prrafodelista"/>
        <w:numPr>
          <w:ilvl w:val="0"/>
          <w:numId w:val="50"/>
        </w:numPr>
        <w:tabs>
          <w:tab w:val="left" w:pos="757"/>
        </w:tabs>
        <w:ind w:left="119" w:right="117" w:firstLine="0"/>
        <w:jc w:val="both"/>
        <w:rPr>
          <w:sz w:val="20"/>
          <w:lang w:val="es-AR"/>
        </w:rPr>
      </w:pPr>
      <w:r w:rsidRPr="00624696">
        <w:rPr>
          <w:sz w:val="20"/>
          <w:lang w:val="es-AR"/>
        </w:rPr>
        <w:t>A las trabajadoras de la fábrica no les ofrecían equipos de protección individual</w:t>
      </w:r>
      <w:hyperlink w:anchor="_bookmark130" w:history="1">
        <w:r w:rsidRPr="00624696">
          <w:rPr>
            <w:position w:val="7"/>
            <w:sz w:val="13"/>
            <w:lang w:val="es-AR"/>
          </w:rPr>
          <w:t>106</w:t>
        </w:r>
      </w:hyperlink>
      <w:r w:rsidRPr="00624696">
        <w:rPr>
          <w:sz w:val="20"/>
          <w:lang w:val="es-AR"/>
        </w:rPr>
        <w:t>, ni entrenamiento o capacitación para ejercer su labor</w:t>
      </w:r>
      <w:hyperlink w:anchor="_bookmark131" w:history="1">
        <w:r w:rsidRPr="00624696">
          <w:rPr>
            <w:position w:val="7"/>
            <w:sz w:val="13"/>
            <w:lang w:val="es-AR"/>
          </w:rPr>
          <w:t>107</w:t>
        </w:r>
      </w:hyperlink>
      <w:r w:rsidRPr="00624696">
        <w:rPr>
          <w:sz w:val="20"/>
          <w:lang w:val="es-AR"/>
        </w:rPr>
        <w:t>. Además, había var</w:t>
      </w:r>
      <w:r w:rsidRPr="00624696">
        <w:rPr>
          <w:sz w:val="20"/>
          <w:lang w:val="es-AR"/>
        </w:rPr>
        <w:t>ias niñas y niños trabajando en la fábrica</w:t>
      </w:r>
      <w:hyperlink w:anchor="_bookmark132" w:history="1">
        <w:r w:rsidRPr="00624696">
          <w:rPr>
            <w:position w:val="7"/>
            <w:sz w:val="13"/>
            <w:lang w:val="es-AR"/>
          </w:rPr>
          <w:t>108</w:t>
        </w:r>
      </w:hyperlink>
      <w:r w:rsidRPr="00624696">
        <w:rPr>
          <w:sz w:val="20"/>
          <w:lang w:val="es-AR"/>
        </w:rPr>
        <w:t>, incluso desde los 6 años de edad</w:t>
      </w:r>
      <w:hyperlink w:anchor="_bookmark133" w:history="1">
        <w:r w:rsidRPr="00624696">
          <w:rPr>
            <w:position w:val="7"/>
            <w:sz w:val="13"/>
            <w:lang w:val="es-AR"/>
          </w:rPr>
          <w:t>109</w:t>
        </w:r>
      </w:hyperlink>
      <w:r w:rsidRPr="00624696">
        <w:rPr>
          <w:sz w:val="20"/>
          <w:lang w:val="es-AR"/>
        </w:rPr>
        <w:t>. Las niñas y los niños trabajaban</w:t>
      </w:r>
      <w:r w:rsidRPr="00624696">
        <w:rPr>
          <w:spacing w:val="-4"/>
          <w:sz w:val="20"/>
          <w:lang w:val="es-AR"/>
        </w:rPr>
        <w:t xml:space="preserve"> </w:t>
      </w:r>
      <w:r w:rsidRPr="00624696">
        <w:rPr>
          <w:sz w:val="20"/>
          <w:lang w:val="es-AR"/>
        </w:rPr>
        <w:t>6</w:t>
      </w:r>
      <w:r w:rsidRPr="00624696">
        <w:rPr>
          <w:spacing w:val="-5"/>
          <w:sz w:val="20"/>
          <w:lang w:val="es-AR"/>
        </w:rPr>
        <w:t xml:space="preserve"> </w:t>
      </w:r>
      <w:r w:rsidRPr="00624696">
        <w:rPr>
          <w:sz w:val="20"/>
          <w:lang w:val="es-AR"/>
        </w:rPr>
        <w:t>horas</w:t>
      </w:r>
      <w:r w:rsidRPr="00624696">
        <w:rPr>
          <w:spacing w:val="-4"/>
          <w:sz w:val="20"/>
          <w:lang w:val="es-AR"/>
        </w:rPr>
        <w:t xml:space="preserve"> </w:t>
      </w:r>
      <w:r w:rsidRPr="00624696">
        <w:rPr>
          <w:sz w:val="20"/>
          <w:lang w:val="es-AR"/>
        </w:rPr>
        <w:t>diarias</w:t>
      </w:r>
      <w:r w:rsidRPr="00624696">
        <w:rPr>
          <w:spacing w:val="-4"/>
          <w:sz w:val="20"/>
          <w:lang w:val="es-AR"/>
        </w:rPr>
        <w:t xml:space="preserve"> </w:t>
      </w:r>
      <w:r w:rsidRPr="00624696">
        <w:rPr>
          <w:sz w:val="20"/>
          <w:lang w:val="es-AR"/>
        </w:rPr>
        <w:t>en</w:t>
      </w:r>
      <w:r w:rsidRPr="00624696">
        <w:rPr>
          <w:spacing w:val="-4"/>
          <w:sz w:val="20"/>
          <w:lang w:val="es-AR"/>
        </w:rPr>
        <w:t xml:space="preserve"> </w:t>
      </w:r>
      <w:r w:rsidRPr="00624696">
        <w:rPr>
          <w:sz w:val="20"/>
          <w:lang w:val="es-AR"/>
        </w:rPr>
        <w:t>época</w:t>
      </w:r>
      <w:r w:rsidRPr="00624696">
        <w:rPr>
          <w:spacing w:val="-3"/>
          <w:sz w:val="20"/>
          <w:lang w:val="es-AR"/>
        </w:rPr>
        <w:t xml:space="preserve"> </w:t>
      </w:r>
      <w:r w:rsidRPr="00624696">
        <w:rPr>
          <w:sz w:val="20"/>
          <w:lang w:val="es-AR"/>
        </w:rPr>
        <w:t>escolar</w:t>
      </w:r>
      <w:r w:rsidRPr="00624696">
        <w:rPr>
          <w:spacing w:val="-4"/>
          <w:sz w:val="20"/>
          <w:lang w:val="es-AR"/>
        </w:rPr>
        <w:t xml:space="preserve"> </w:t>
      </w:r>
      <w:r w:rsidRPr="00624696">
        <w:rPr>
          <w:sz w:val="20"/>
          <w:lang w:val="es-AR"/>
        </w:rPr>
        <w:t>y</w:t>
      </w:r>
      <w:r w:rsidRPr="00624696">
        <w:rPr>
          <w:spacing w:val="-3"/>
          <w:sz w:val="20"/>
          <w:lang w:val="es-AR"/>
        </w:rPr>
        <w:t xml:space="preserve"> </w:t>
      </w:r>
      <w:r w:rsidRPr="00624696">
        <w:rPr>
          <w:sz w:val="20"/>
          <w:lang w:val="es-AR"/>
        </w:rPr>
        <w:t>todo</w:t>
      </w:r>
      <w:r w:rsidRPr="00624696">
        <w:rPr>
          <w:spacing w:val="-4"/>
          <w:sz w:val="20"/>
          <w:lang w:val="es-AR"/>
        </w:rPr>
        <w:t xml:space="preserve"> </w:t>
      </w:r>
      <w:r w:rsidRPr="00624696">
        <w:rPr>
          <w:sz w:val="20"/>
          <w:lang w:val="es-AR"/>
        </w:rPr>
        <w:t>el</w:t>
      </w:r>
      <w:r w:rsidRPr="00624696">
        <w:rPr>
          <w:spacing w:val="-5"/>
          <w:sz w:val="20"/>
          <w:lang w:val="es-AR"/>
        </w:rPr>
        <w:t xml:space="preserve"> </w:t>
      </w:r>
      <w:r w:rsidRPr="00624696">
        <w:rPr>
          <w:sz w:val="20"/>
          <w:lang w:val="es-AR"/>
        </w:rPr>
        <w:t>día</w:t>
      </w:r>
      <w:r w:rsidRPr="00624696">
        <w:rPr>
          <w:spacing w:val="-5"/>
          <w:sz w:val="20"/>
          <w:lang w:val="es-AR"/>
        </w:rPr>
        <w:t xml:space="preserve"> </w:t>
      </w:r>
      <w:r w:rsidRPr="00624696">
        <w:rPr>
          <w:sz w:val="20"/>
          <w:lang w:val="es-AR"/>
        </w:rPr>
        <w:t>durante</w:t>
      </w:r>
      <w:r w:rsidRPr="00624696">
        <w:rPr>
          <w:spacing w:val="-4"/>
          <w:sz w:val="20"/>
          <w:lang w:val="es-AR"/>
        </w:rPr>
        <w:t xml:space="preserve"> </w:t>
      </w:r>
      <w:r w:rsidRPr="00624696">
        <w:rPr>
          <w:sz w:val="20"/>
          <w:lang w:val="es-AR"/>
        </w:rPr>
        <w:t>sus</w:t>
      </w:r>
      <w:r w:rsidRPr="00624696">
        <w:rPr>
          <w:spacing w:val="-4"/>
          <w:sz w:val="20"/>
          <w:lang w:val="es-AR"/>
        </w:rPr>
        <w:t xml:space="preserve"> </w:t>
      </w:r>
      <w:r w:rsidRPr="00624696">
        <w:rPr>
          <w:sz w:val="20"/>
          <w:lang w:val="es-AR"/>
        </w:rPr>
        <w:t>vacaciones,</w:t>
      </w:r>
      <w:r w:rsidRPr="00624696">
        <w:rPr>
          <w:spacing w:val="-1"/>
          <w:sz w:val="20"/>
          <w:lang w:val="es-AR"/>
        </w:rPr>
        <w:t xml:space="preserve"> </w:t>
      </w:r>
      <w:r w:rsidRPr="00624696">
        <w:rPr>
          <w:sz w:val="20"/>
          <w:lang w:val="es-AR"/>
        </w:rPr>
        <w:t>en</w:t>
      </w:r>
      <w:r w:rsidRPr="00624696">
        <w:rPr>
          <w:spacing w:val="-4"/>
          <w:sz w:val="20"/>
          <w:lang w:val="es-AR"/>
        </w:rPr>
        <w:t xml:space="preserve"> </w:t>
      </w:r>
      <w:r w:rsidRPr="00624696">
        <w:rPr>
          <w:sz w:val="20"/>
          <w:lang w:val="es-AR"/>
        </w:rPr>
        <w:t>f</w:t>
      </w:r>
      <w:r w:rsidRPr="00624696">
        <w:rPr>
          <w:sz w:val="20"/>
          <w:lang w:val="es-AR"/>
        </w:rPr>
        <w:t>ines</w:t>
      </w:r>
      <w:r w:rsidRPr="00624696">
        <w:rPr>
          <w:spacing w:val="-6"/>
          <w:sz w:val="20"/>
          <w:lang w:val="es-AR"/>
        </w:rPr>
        <w:t xml:space="preserve"> </w:t>
      </w:r>
      <w:r w:rsidRPr="00624696">
        <w:rPr>
          <w:sz w:val="20"/>
          <w:lang w:val="es-AR"/>
        </w:rPr>
        <w:t>de semana</w:t>
      </w:r>
      <w:r w:rsidRPr="00624696">
        <w:rPr>
          <w:spacing w:val="-15"/>
          <w:sz w:val="20"/>
          <w:lang w:val="es-AR"/>
        </w:rPr>
        <w:t xml:space="preserve"> </w:t>
      </w:r>
      <w:r w:rsidRPr="00624696">
        <w:rPr>
          <w:sz w:val="20"/>
          <w:lang w:val="es-AR"/>
        </w:rPr>
        <w:t>y</w:t>
      </w:r>
      <w:r w:rsidRPr="00624696">
        <w:rPr>
          <w:spacing w:val="-14"/>
          <w:sz w:val="20"/>
          <w:lang w:val="es-AR"/>
        </w:rPr>
        <w:t xml:space="preserve"> </w:t>
      </w:r>
      <w:r w:rsidRPr="00624696">
        <w:rPr>
          <w:sz w:val="20"/>
          <w:lang w:val="es-AR"/>
        </w:rPr>
        <w:t>durante</w:t>
      </w:r>
      <w:r w:rsidRPr="00624696">
        <w:rPr>
          <w:spacing w:val="-15"/>
          <w:sz w:val="20"/>
          <w:lang w:val="es-AR"/>
        </w:rPr>
        <w:t xml:space="preserve"> </w:t>
      </w:r>
      <w:r w:rsidRPr="00624696">
        <w:rPr>
          <w:sz w:val="20"/>
          <w:lang w:val="es-AR"/>
        </w:rPr>
        <w:t>épocas</w:t>
      </w:r>
      <w:r w:rsidRPr="00624696">
        <w:rPr>
          <w:spacing w:val="-15"/>
          <w:sz w:val="20"/>
          <w:lang w:val="es-AR"/>
        </w:rPr>
        <w:t xml:space="preserve"> </w:t>
      </w:r>
      <w:r w:rsidRPr="00624696">
        <w:rPr>
          <w:sz w:val="20"/>
          <w:lang w:val="es-AR"/>
        </w:rPr>
        <w:t>festivas</w:t>
      </w:r>
      <w:hyperlink w:anchor="_bookmark134" w:history="1">
        <w:r w:rsidRPr="00624696">
          <w:rPr>
            <w:position w:val="7"/>
            <w:sz w:val="13"/>
            <w:lang w:val="es-AR"/>
          </w:rPr>
          <w:t>110</w:t>
        </w:r>
      </w:hyperlink>
      <w:r w:rsidRPr="00624696">
        <w:rPr>
          <w:sz w:val="20"/>
          <w:lang w:val="es-AR"/>
        </w:rPr>
        <w:t>.</w:t>
      </w:r>
      <w:r w:rsidRPr="00624696">
        <w:rPr>
          <w:spacing w:val="-15"/>
          <w:sz w:val="20"/>
          <w:lang w:val="es-AR"/>
        </w:rPr>
        <w:t xml:space="preserve"> </w:t>
      </w:r>
      <w:r w:rsidRPr="00624696">
        <w:rPr>
          <w:sz w:val="20"/>
          <w:lang w:val="es-AR"/>
        </w:rPr>
        <w:t>Las</w:t>
      </w:r>
      <w:r w:rsidRPr="00624696">
        <w:rPr>
          <w:spacing w:val="-15"/>
          <w:sz w:val="20"/>
          <w:lang w:val="es-AR"/>
        </w:rPr>
        <w:t xml:space="preserve"> </w:t>
      </w:r>
      <w:r w:rsidRPr="00624696">
        <w:rPr>
          <w:sz w:val="20"/>
          <w:lang w:val="es-AR"/>
        </w:rPr>
        <w:t>mujeres,</w:t>
      </w:r>
      <w:r w:rsidRPr="00624696">
        <w:rPr>
          <w:spacing w:val="-12"/>
          <w:sz w:val="20"/>
          <w:lang w:val="es-AR"/>
        </w:rPr>
        <w:t xml:space="preserve"> </w:t>
      </w:r>
      <w:r w:rsidRPr="00624696">
        <w:rPr>
          <w:sz w:val="20"/>
          <w:lang w:val="es-AR"/>
        </w:rPr>
        <w:t>en</w:t>
      </w:r>
      <w:r w:rsidRPr="00624696">
        <w:rPr>
          <w:spacing w:val="-13"/>
          <w:sz w:val="20"/>
          <w:lang w:val="es-AR"/>
        </w:rPr>
        <w:t xml:space="preserve"> </w:t>
      </w:r>
      <w:r w:rsidRPr="00624696">
        <w:rPr>
          <w:sz w:val="20"/>
          <w:lang w:val="es-AR"/>
        </w:rPr>
        <w:t>general,</w:t>
      </w:r>
      <w:r w:rsidRPr="00624696">
        <w:rPr>
          <w:spacing w:val="-15"/>
          <w:sz w:val="20"/>
          <w:lang w:val="es-AR"/>
        </w:rPr>
        <w:t xml:space="preserve"> </w:t>
      </w:r>
      <w:r w:rsidRPr="00624696">
        <w:rPr>
          <w:sz w:val="20"/>
          <w:lang w:val="es-AR"/>
        </w:rPr>
        <w:t>laboraban</w:t>
      </w:r>
      <w:r w:rsidRPr="00624696">
        <w:rPr>
          <w:spacing w:val="-13"/>
          <w:sz w:val="20"/>
          <w:lang w:val="es-AR"/>
        </w:rPr>
        <w:t xml:space="preserve"> </w:t>
      </w:r>
      <w:r w:rsidRPr="00624696">
        <w:rPr>
          <w:sz w:val="20"/>
          <w:lang w:val="es-AR"/>
        </w:rPr>
        <w:t>todo</w:t>
      </w:r>
      <w:r w:rsidRPr="00624696">
        <w:rPr>
          <w:spacing w:val="-15"/>
          <w:sz w:val="20"/>
          <w:lang w:val="es-AR"/>
        </w:rPr>
        <w:t xml:space="preserve"> </w:t>
      </w:r>
      <w:r w:rsidRPr="00624696">
        <w:rPr>
          <w:sz w:val="20"/>
          <w:lang w:val="es-AR"/>
        </w:rPr>
        <w:t>el</w:t>
      </w:r>
      <w:r w:rsidRPr="00624696">
        <w:rPr>
          <w:spacing w:val="-15"/>
          <w:sz w:val="20"/>
          <w:lang w:val="es-AR"/>
        </w:rPr>
        <w:t xml:space="preserve"> </w:t>
      </w:r>
      <w:r w:rsidRPr="00624696">
        <w:rPr>
          <w:sz w:val="20"/>
          <w:lang w:val="es-AR"/>
        </w:rPr>
        <w:t>día</w:t>
      </w:r>
      <w:hyperlink w:anchor="_bookmark135" w:history="1">
        <w:r w:rsidRPr="00624696">
          <w:rPr>
            <w:position w:val="7"/>
            <w:sz w:val="13"/>
            <w:lang w:val="es-AR"/>
          </w:rPr>
          <w:t>111</w:t>
        </w:r>
      </w:hyperlink>
      <w:r w:rsidRPr="00624696">
        <w:rPr>
          <w:sz w:val="20"/>
          <w:lang w:val="es-AR"/>
        </w:rPr>
        <w:t>,</w:t>
      </w:r>
      <w:r w:rsidRPr="00624696">
        <w:rPr>
          <w:spacing w:val="-15"/>
          <w:sz w:val="20"/>
          <w:lang w:val="es-AR"/>
        </w:rPr>
        <w:t xml:space="preserve"> </w:t>
      </w:r>
      <w:r w:rsidRPr="00624696">
        <w:rPr>
          <w:sz w:val="20"/>
          <w:lang w:val="es-AR"/>
        </w:rPr>
        <w:t>desde las</w:t>
      </w:r>
      <w:r w:rsidRPr="00624696">
        <w:rPr>
          <w:spacing w:val="-17"/>
          <w:sz w:val="20"/>
          <w:lang w:val="es-AR"/>
        </w:rPr>
        <w:t xml:space="preserve"> </w:t>
      </w:r>
      <w:r w:rsidRPr="00624696">
        <w:rPr>
          <w:sz w:val="20"/>
          <w:lang w:val="es-AR"/>
        </w:rPr>
        <w:t>6</w:t>
      </w:r>
      <w:r w:rsidRPr="00624696">
        <w:rPr>
          <w:spacing w:val="-15"/>
          <w:sz w:val="20"/>
          <w:lang w:val="es-AR"/>
        </w:rPr>
        <w:t xml:space="preserve"> </w:t>
      </w:r>
      <w:r w:rsidRPr="00624696">
        <w:rPr>
          <w:sz w:val="20"/>
          <w:lang w:val="es-AR"/>
        </w:rPr>
        <w:t>de</w:t>
      </w:r>
      <w:r w:rsidRPr="00624696">
        <w:rPr>
          <w:spacing w:val="-18"/>
          <w:sz w:val="20"/>
          <w:lang w:val="es-AR"/>
        </w:rPr>
        <w:t xml:space="preserve"> </w:t>
      </w:r>
      <w:r w:rsidRPr="00624696">
        <w:rPr>
          <w:sz w:val="20"/>
          <w:lang w:val="es-AR"/>
        </w:rPr>
        <w:t>la</w:t>
      </w:r>
      <w:r w:rsidRPr="00624696">
        <w:rPr>
          <w:spacing w:val="-15"/>
          <w:sz w:val="20"/>
          <w:lang w:val="es-AR"/>
        </w:rPr>
        <w:t xml:space="preserve"> </w:t>
      </w:r>
      <w:r w:rsidRPr="00624696">
        <w:rPr>
          <w:sz w:val="20"/>
          <w:lang w:val="es-AR"/>
        </w:rPr>
        <w:t>mañana</w:t>
      </w:r>
      <w:r w:rsidRPr="00624696">
        <w:rPr>
          <w:spacing w:val="-15"/>
          <w:sz w:val="20"/>
          <w:lang w:val="es-AR"/>
        </w:rPr>
        <w:t xml:space="preserve"> </w:t>
      </w:r>
      <w:r w:rsidRPr="00624696">
        <w:rPr>
          <w:sz w:val="20"/>
          <w:lang w:val="es-AR"/>
        </w:rPr>
        <w:t>hasta</w:t>
      </w:r>
      <w:r w:rsidRPr="00624696">
        <w:rPr>
          <w:spacing w:val="-16"/>
          <w:sz w:val="20"/>
          <w:lang w:val="es-AR"/>
        </w:rPr>
        <w:t xml:space="preserve"> </w:t>
      </w:r>
      <w:r w:rsidRPr="00624696">
        <w:rPr>
          <w:sz w:val="20"/>
          <w:lang w:val="es-AR"/>
        </w:rPr>
        <w:t>las</w:t>
      </w:r>
      <w:r w:rsidRPr="00624696">
        <w:rPr>
          <w:spacing w:val="-16"/>
          <w:sz w:val="20"/>
          <w:lang w:val="es-AR"/>
        </w:rPr>
        <w:t xml:space="preserve"> </w:t>
      </w:r>
      <w:r w:rsidRPr="00624696">
        <w:rPr>
          <w:sz w:val="20"/>
          <w:lang w:val="es-AR"/>
        </w:rPr>
        <w:t>5:30</w:t>
      </w:r>
      <w:r w:rsidRPr="00624696">
        <w:rPr>
          <w:spacing w:val="-15"/>
          <w:sz w:val="20"/>
          <w:lang w:val="es-AR"/>
        </w:rPr>
        <w:t xml:space="preserve"> </w:t>
      </w:r>
      <w:r w:rsidRPr="00624696">
        <w:rPr>
          <w:sz w:val="20"/>
          <w:lang w:val="es-AR"/>
        </w:rPr>
        <w:t>de</w:t>
      </w:r>
      <w:r w:rsidRPr="00624696">
        <w:rPr>
          <w:spacing w:val="-18"/>
          <w:sz w:val="20"/>
          <w:lang w:val="es-AR"/>
        </w:rPr>
        <w:t xml:space="preserve"> </w:t>
      </w:r>
      <w:r w:rsidRPr="00624696">
        <w:rPr>
          <w:sz w:val="20"/>
          <w:lang w:val="es-AR"/>
        </w:rPr>
        <w:t>la</w:t>
      </w:r>
      <w:r w:rsidRPr="00624696">
        <w:rPr>
          <w:spacing w:val="-15"/>
          <w:sz w:val="20"/>
          <w:lang w:val="es-AR"/>
        </w:rPr>
        <w:t xml:space="preserve"> </w:t>
      </w:r>
      <w:r w:rsidRPr="00624696">
        <w:rPr>
          <w:sz w:val="20"/>
          <w:lang w:val="es-AR"/>
        </w:rPr>
        <w:t>tarde</w:t>
      </w:r>
      <w:hyperlink w:anchor="_bookmark136" w:history="1">
        <w:r w:rsidRPr="00624696">
          <w:rPr>
            <w:position w:val="7"/>
            <w:sz w:val="13"/>
            <w:lang w:val="es-AR"/>
          </w:rPr>
          <w:t>112</w:t>
        </w:r>
        <w:r w:rsidRPr="00624696">
          <w:rPr>
            <w:spacing w:val="8"/>
            <w:position w:val="7"/>
            <w:sz w:val="13"/>
            <w:lang w:val="es-AR"/>
          </w:rPr>
          <w:t xml:space="preserve"> </w:t>
        </w:r>
      </w:hyperlink>
      <w:r w:rsidRPr="00624696">
        <w:rPr>
          <w:sz w:val="20"/>
          <w:lang w:val="es-AR"/>
        </w:rPr>
        <w:t>y</w:t>
      </w:r>
      <w:r w:rsidRPr="00624696">
        <w:rPr>
          <w:spacing w:val="-17"/>
          <w:sz w:val="20"/>
          <w:lang w:val="es-AR"/>
        </w:rPr>
        <w:t xml:space="preserve"> </w:t>
      </w:r>
      <w:r w:rsidRPr="00624696">
        <w:rPr>
          <w:sz w:val="20"/>
          <w:lang w:val="es-AR"/>
        </w:rPr>
        <w:t>podían</w:t>
      </w:r>
      <w:r w:rsidRPr="00624696">
        <w:rPr>
          <w:spacing w:val="-14"/>
          <w:sz w:val="20"/>
          <w:lang w:val="es-AR"/>
        </w:rPr>
        <w:t xml:space="preserve"> </w:t>
      </w:r>
      <w:r w:rsidRPr="00624696">
        <w:rPr>
          <w:sz w:val="20"/>
          <w:lang w:val="es-AR"/>
        </w:rPr>
        <w:t>hacer</w:t>
      </w:r>
      <w:r w:rsidRPr="00624696">
        <w:rPr>
          <w:spacing w:val="-17"/>
          <w:sz w:val="20"/>
          <w:lang w:val="es-AR"/>
        </w:rPr>
        <w:t xml:space="preserve"> </w:t>
      </w:r>
      <w:r w:rsidRPr="00624696">
        <w:rPr>
          <w:sz w:val="20"/>
          <w:lang w:val="es-AR"/>
        </w:rPr>
        <w:t>entre</w:t>
      </w:r>
      <w:r w:rsidRPr="00624696">
        <w:rPr>
          <w:spacing w:val="-18"/>
          <w:sz w:val="20"/>
          <w:lang w:val="es-AR"/>
        </w:rPr>
        <w:t xml:space="preserve"> </w:t>
      </w:r>
      <w:r w:rsidRPr="00624696">
        <w:rPr>
          <w:sz w:val="20"/>
          <w:lang w:val="es-AR"/>
        </w:rPr>
        <w:t>tres</w:t>
      </w:r>
      <w:r w:rsidRPr="00624696">
        <w:rPr>
          <w:spacing w:val="-14"/>
          <w:sz w:val="20"/>
          <w:lang w:val="es-AR"/>
        </w:rPr>
        <w:t xml:space="preserve"> </w:t>
      </w:r>
      <w:r w:rsidRPr="00624696">
        <w:rPr>
          <w:sz w:val="20"/>
          <w:lang w:val="es-AR"/>
        </w:rPr>
        <w:t>y</w:t>
      </w:r>
      <w:r w:rsidRPr="00624696">
        <w:rPr>
          <w:spacing w:val="-16"/>
          <w:sz w:val="20"/>
          <w:lang w:val="es-AR"/>
        </w:rPr>
        <w:t xml:space="preserve"> </w:t>
      </w:r>
      <w:r w:rsidRPr="00624696">
        <w:rPr>
          <w:sz w:val="20"/>
          <w:lang w:val="es-AR"/>
        </w:rPr>
        <w:t>seis</w:t>
      </w:r>
      <w:r w:rsidRPr="00624696">
        <w:rPr>
          <w:spacing w:val="-17"/>
          <w:sz w:val="20"/>
          <w:lang w:val="es-AR"/>
        </w:rPr>
        <w:t xml:space="preserve"> </w:t>
      </w:r>
      <w:r w:rsidRPr="00624696">
        <w:rPr>
          <w:sz w:val="20"/>
          <w:lang w:val="es-AR"/>
        </w:rPr>
        <w:t>mil</w:t>
      </w:r>
      <w:r w:rsidRPr="00624696">
        <w:rPr>
          <w:spacing w:val="-15"/>
          <w:sz w:val="20"/>
          <w:lang w:val="es-AR"/>
        </w:rPr>
        <w:t xml:space="preserve"> </w:t>
      </w:r>
      <w:r w:rsidRPr="00624696">
        <w:rPr>
          <w:sz w:val="20"/>
          <w:lang w:val="es-AR"/>
        </w:rPr>
        <w:t>cohetes</w:t>
      </w:r>
      <w:hyperlink w:anchor="_bookmark137" w:history="1">
        <w:r w:rsidRPr="00624696">
          <w:rPr>
            <w:position w:val="7"/>
            <w:sz w:val="13"/>
            <w:lang w:val="es-AR"/>
          </w:rPr>
          <w:t>113</w:t>
        </w:r>
      </w:hyperlink>
      <w:r w:rsidRPr="00624696">
        <w:rPr>
          <w:sz w:val="20"/>
          <w:lang w:val="es-AR"/>
        </w:rPr>
        <w:t>.</w:t>
      </w:r>
    </w:p>
    <w:p w14:paraId="26EF229E" w14:textId="77777777" w:rsidR="00467FCA" w:rsidRPr="00624696" w:rsidRDefault="00467FCA">
      <w:pPr>
        <w:pStyle w:val="Textoindependiente"/>
        <w:rPr>
          <w:lang w:val="es-AR"/>
        </w:rPr>
      </w:pPr>
    </w:p>
    <w:p w14:paraId="3F0FC511" w14:textId="77777777" w:rsidR="00467FCA" w:rsidRPr="00624696" w:rsidRDefault="001B68EB">
      <w:pPr>
        <w:pStyle w:val="Prrafodelista"/>
        <w:numPr>
          <w:ilvl w:val="0"/>
          <w:numId w:val="50"/>
        </w:numPr>
        <w:tabs>
          <w:tab w:val="left" w:pos="687"/>
        </w:tabs>
        <w:ind w:right="118" w:hanging="1"/>
        <w:jc w:val="both"/>
        <w:rPr>
          <w:sz w:val="20"/>
          <w:lang w:val="es-AR"/>
        </w:rPr>
      </w:pPr>
      <w:r w:rsidRPr="00624696">
        <w:rPr>
          <w:sz w:val="20"/>
          <w:lang w:val="es-AR"/>
        </w:rPr>
        <w:t>La</w:t>
      </w:r>
      <w:r w:rsidRPr="00624696">
        <w:rPr>
          <w:spacing w:val="-6"/>
          <w:sz w:val="20"/>
          <w:lang w:val="es-AR"/>
        </w:rPr>
        <w:t xml:space="preserve"> </w:t>
      </w:r>
      <w:r w:rsidRPr="00624696">
        <w:rPr>
          <w:sz w:val="20"/>
          <w:lang w:val="es-AR"/>
        </w:rPr>
        <w:t>fabricación</w:t>
      </w:r>
      <w:r w:rsidRPr="00624696">
        <w:rPr>
          <w:spacing w:val="-4"/>
          <w:sz w:val="20"/>
          <w:lang w:val="es-AR"/>
        </w:rPr>
        <w:t xml:space="preserve"> </w:t>
      </w:r>
      <w:r w:rsidRPr="00624696">
        <w:rPr>
          <w:sz w:val="20"/>
          <w:lang w:val="es-AR"/>
        </w:rPr>
        <w:t>de</w:t>
      </w:r>
      <w:r w:rsidRPr="00624696">
        <w:rPr>
          <w:spacing w:val="-7"/>
          <w:sz w:val="20"/>
          <w:lang w:val="es-AR"/>
        </w:rPr>
        <w:t xml:space="preserve"> </w:t>
      </w:r>
      <w:r w:rsidRPr="00624696">
        <w:rPr>
          <w:sz w:val="20"/>
          <w:lang w:val="es-AR"/>
        </w:rPr>
        <w:t>fuegos</w:t>
      </w:r>
      <w:r w:rsidRPr="00624696">
        <w:rPr>
          <w:spacing w:val="-4"/>
          <w:sz w:val="20"/>
          <w:lang w:val="es-AR"/>
        </w:rPr>
        <w:t xml:space="preserve"> </w:t>
      </w:r>
      <w:r w:rsidRPr="00624696">
        <w:rPr>
          <w:sz w:val="20"/>
          <w:lang w:val="es-AR"/>
        </w:rPr>
        <w:t>artificiales</w:t>
      </w:r>
      <w:r w:rsidRPr="00624696">
        <w:rPr>
          <w:spacing w:val="-6"/>
          <w:sz w:val="20"/>
          <w:lang w:val="es-AR"/>
        </w:rPr>
        <w:t xml:space="preserve"> </w:t>
      </w:r>
      <w:r w:rsidRPr="00624696">
        <w:rPr>
          <w:sz w:val="20"/>
          <w:lang w:val="es-AR"/>
        </w:rPr>
        <w:t>en</w:t>
      </w:r>
      <w:r w:rsidRPr="00624696">
        <w:rPr>
          <w:spacing w:val="-4"/>
          <w:sz w:val="20"/>
          <w:lang w:val="es-AR"/>
        </w:rPr>
        <w:t xml:space="preserve"> </w:t>
      </w:r>
      <w:r w:rsidRPr="00624696">
        <w:rPr>
          <w:sz w:val="20"/>
          <w:lang w:val="es-AR"/>
        </w:rPr>
        <w:t>la</w:t>
      </w:r>
      <w:r w:rsidRPr="00624696">
        <w:rPr>
          <w:spacing w:val="-4"/>
          <w:sz w:val="20"/>
          <w:lang w:val="es-AR"/>
        </w:rPr>
        <w:t xml:space="preserve"> </w:t>
      </w:r>
      <w:r w:rsidRPr="00624696">
        <w:rPr>
          <w:sz w:val="20"/>
          <w:lang w:val="es-AR"/>
        </w:rPr>
        <w:t>región</w:t>
      </w:r>
      <w:r w:rsidRPr="00624696">
        <w:rPr>
          <w:spacing w:val="-3"/>
          <w:sz w:val="20"/>
          <w:lang w:val="es-AR"/>
        </w:rPr>
        <w:t xml:space="preserve"> </w:t>
      </w:r>
      <w:r w:rsidRPr="00624696">
        <w:rPr>
          <w:sz w:val="20"/>
          <w:lang w:val="es-AR"/>
        </w:rPr>
        <w:t>no</w:t>
      </w:r>
      <w:r w:rsidRPr="00624696">
        <w:rPr>
          <w:spacing w:val="-6"/>
          <w:sz w:val="20"/>
          <w:lang w:val="es-AR"/>
        </w:rPr>
        <w:t xml:space="preserve"> </w:t>
      </w:r>
      <w:r w:rsidRPr="00624696">
        <w:rPr>
          <w:sz w:val="20"/>
          <w:lang w:val="es-AR"/>
        </w:rPr>
        <w:t>aparenta</w:t>
      </w:r>
      <w:r w:rsidRPr="00624696">
        <w:rPr>
          <w:spacing w:val="-5"/>
          <w:sz w:val="20"/>
          <w:lang w:val="es-AR"/>
        </w:rPr>
        <w:t xml:space="preserve"> </w:t>
      </w:r>
      <w:r w:rsidRPr="00624696">
        <w:rPr>
          <w:sz w:val="20"/>
          <w:lang w:val="es-AR"/>
        </w:rPr>
        <w:t>haber</w:t>
      </w:r>
      <w:r w:rsidRPr="00624696">
        <w:rPr>
          <w:spacing w:val="-7"/>
          <w:sz w:val="20"/>
          <w:lang w:val="es-AR"/>
        </w:rPr>
        <w:t xml:space="preserve"> </w:t>
      </w:r>
      <w:r w:rsidRPr="00624696">
        <w:rPr>
          <w:sz w:val="20"/>
          <w:lang w:val="es-AR"/>
        </w:rPr>
        <w:t>cambiado</w:t>
      </w:r>
      <w:r w:rsidRPr="00624696">
        <w:rPr>
          <w:spacing w:val="-6"/>
          <w:sz w:val="20"/>
          <w:lang w:val="es-AR"/>
        </w:rPr>
        <w:t xml:space="preserve"> </w:t>
      </w:r>
      <w:r w:rsidRPr="00624696">
        <w:rPr>
          <w:sz w:val="20"/>
          <w:lang w:val="es-AR"/>
        </w:rPr>
        <w:t>mucho</w:t>
      </w:r>
      <w:hyperlink w:anchor="_bookmark138" w:history="1">
        <w:r w:rsidRPr="00624696">
          <w:rPr>
            <w:position w:val="7"/>
            <w:sz w:val="13"/>
            <w:lang w:val="es-AR"/>
          </w:rPr>
          <w:t>114</w:t>
        </w:r>
      </w:hyperlink>
      <w:r w:rsidRPr="00624696">
        <w:rPr>
          <w:sz w:val="20"/>
          <w:lang w:val="es-AR"/>
        </w:rPr>
        <w:t>. Así, por ejemplo, la resolución del Juzgado de Trabajo de 29 de marzo de 2001 indicó que continuaban las actividades irregulares de producción de fuegos artificiales en la ciudad de Santo Antônio de Jesus. Además, reporta</w:t>
      </w:r>
      <w:r w:rsidRPr="00624696">
        <w:rPr>
          <w:sz w:val="20"/>
          <w:lang w:val="es-AR"/>
        </w:rPr>
        <w:t>jes de la red de televisión brasileña “Record” de</w:t>
      </w:r>
      <w:r w:rsidRPr="00624696">
        <w:rPr>
          <w:spacing w:val="-31"/>
          <w:sz w:val="20"/>
          <w:lang w:val="es-AR"/>
        </w:rPr>
        <w:t xml:space="preserve"> </w:t>
      </w:r>
      <w:r w:rsidRPr="00624696">
        <w:rPr>
          <w:sz w:val="20"/>
          <w:lang w:val="es-AR"/>
        </w:rPr>
        <w:t>los</w:t>
      </w:r>
    </w:p>
    <w:p w14:paraId="5B07E375" w14:textId="77777777" w:rsidR="00467FCA" w:rsidRPr="00624696" w:rsidRDefault="001B68EB">
      <w:pPr>
        <w:pStyle w:val="Textoindependiente"/>
        <w:spacing w:before="6"/>
        <w:rPr>
          <w:sz w:val="29"/>
          <w:lang w:val="es-AR"/>
        </w:rPr>
      </w:pPr>
      <w:r>
        <w:pict w14:anchorId="401A7E4C">
          <v:shape id="_x0000_s1176" style="position:absolute;margin-left:1in;margin-top:20.2pt;width:2in;height:.1pt;z-index:-251637760;mso-wrap-distance-left:0;mso-wrap-distance-right:0;mso-position-horizontal-relative:page" coordorigin="1440,404" coordsize="2880,0" path="m1440,404r2880,e" filled="f" strokeweight=".21131mm">
            <v:path arrowok="t"/>
            <w10:wrap type="topAndBottom" anchorx="page"/>
          </v:shape>
        </w:pict>
      </w:r>
    </w:p>
    <w:p w14:paraId="58ADE7E1" w14:textId="77777777" w:rsidR="00467FCA" w:rsidRPr="00624696" w:rsidRDefault="001B68EB">
      <w:pPr>
        <w:spacing w:before="74"/>
        <w:ind w:left="120"/>
        <w:jc w:val="both"/>
        <w:rPr>
          <w:sz w:val="16"/>
          <w:lang w:val="es-AR"/>
        </w:rPr>
      </w:pPr>
      <w:bookmarkStart w:id="149" w:name="_bookmark123"/>
      <w:bookmarkEnd w:id="149"/>
      <w:r w:rsidRPr="00624696">
        <w:rPr>
          <w:sz w:val="16"/>
          <w:lang w:val="es-AR"/>
        </w:rPr>
        <w:t xml:space="preserve">Pereira Tomasoni, </w:t>
      </w:r>
      <w:r w:rsidRPr="00624696">
        <w:rPr>
          <w:i/>
          <w:sz w:val="16"/>
          <w:lang w:val="es-AR"/>
        </w:rPr>
        <w:t>supra</w:t>
      </w:r>
      <w:r w:rsidRPr="00624696">
        <w:rPr>
          <w:sz w:val="16"/>
          <w:lang w:val="es-AR"/>
        </w:rPr>
        <w:t>.</w:t>
      </w:r>
    </w:p>
    <w:p w14:paraId="22A57D8E" w14:textId="77777777" w:rsidR="00467FCA" w:rsidRPr="00624696" w:rsidRDefault="001B68EB">
      <w:pPr>
        <w:tabs>
          <w:tab w:val="left" w:pos="839"/>
        </w:tabs>
        <w:ind w:left="119" w:right="115"/>
        <w:jc w:val="both"/>
        <w:rPr>
          <w:sz w:val="16"/>
          <w:lang w:val="es-AR"/>
        </w:rPr>
      </w:pPr>
      <w:r w:rsidRPr="00624696">
        <w:rPr>
          <w:position w:val="6"/>
          <w:sz w:val="10"/>
          <w:lang w:val="es-AR"/>
        </w:rPr>
        <w:t>99</w:t>
      </w:r>
      <w:r w:rsidRPr="00624696">
        <w:rPr>
          <w:position w:val="6"/>
          <w:sz w:val="10"/>
          <w:lang w:val="es-AR"/>
        </w:rPr>
        <w:tab/>
      </w:r>
      <w:r w:rsidRPr="00624696">
        <w:rPr>
          <w:i/>
          <w:sz w:val="16"/>
          <w:lang w:val="es-AR"/>
        </w:rPr>
        <w:t>Cfr.</w:t>
      </w:r>
      <w:r w:rsidRPr="00624696">
        <w:rPr>
          <w:i/>
          <w:spacing w:val="-7"/>
          <w:sz w:val="16"/>
          <w:lang w:val="es-AR"/>
        </w:rPr>
        <w:t xml:space="preserve"> </w:t>
      </w:r>
      <w:r w:rsidRPr="00624696">
        <w:rPr>
          <w:sz w:val="16"/>
          <w:lang w:val="es-AR"/>
        </w:rPr>
        <w:t>Documento</w:t>
      </w:r>
      <w:r w:rsidRPr="00624696">
        <w:rPr>
          <w:spacing w:val="-4"/>
          <w:sz w:val="16"/>
          <w:lang w:val="es-AR"/>
        </w:rPr>
        <w:t xml:space="preserve"> </w:t>
      </w:r>
      <w:r w:rsidRPr="00624696">
        <w:rPr>
          <w:sz w:val="16"/>
          <w:lang w:val="es-AR"/>
        </w:rPr>
        <w:t>Síntesis</w:t>
      </w:r>
      <w:r w:rsidRPr="00624696">
        <w:rPr>
          <w:spacing w:val="-7"/>
          <w:sz w:val="16"/>
          <w:lang w:val="es-AR"/>
        </w:rPr>
        <w:t xml:space="preserve"> </w:t>
      </w:r>
      <w:r w:rsidRPr="00624696">
        <w:rPr>
          <w:sz w:val="16"/>
          <w:lang w:val="es-AR"/>
        </w:rPr>
        <w:t>del</w:t>
      </w:r>
      <w:r w:rsidRPr="00624696">
        <w:rPr>
          <w:spacing w:val="-6"/>
          <w:sz w:val="16"/>
          <w:lang w:val="es-AR"/>
        </w:rPr>
        <w:t xml:space="preserve"> </w:t>
      </w:r>
      <w:r w:rsidRPr="00624696">
        <w:rPr>
          <w:sz w:val="16"/>
          <w:lang w:val="es-AR"/>
        </w:rPr>
        <w:t>Grupo</w:t>
      </w:r>
      <w:r w:rsidRPr="00624696">
        <w:rPr>
          <w:spacing w:val="-6"/>
          <w:sz w:val="16"/>
          <w:lang w:val="es-AR"/>
        </w:rPr>
        <w:t xml:space="preserve"> </w:t>
      </w:r>
      <w:r w:rsidRPr="00624696">
        <w:rPr>
          <w:sz w:val="16"/>
          <w:lang w:val="es-AR"/>
        </w:rPr>
        <w:t>de</w:t>
      </w:r>
      <w:r w:rsidRPr="00624696">
        <w:rPr>
          <w:spacing w:val="-6"/>
          <w:sz w:val="16"/>
          <w:lang w:val="es-AR"/>
        </w:rPr>
        <w:t xml:space="preserve"> </w:t>
      </w:r>
      <w:r w:rsidRPr="00624696">
        <w:rPr>
          <w:sz w:val="16"/>
          <w:lang w:val="es-AR"/>
        </w:rPr>
        <w:t>Trabajo,</w:t>
      </w:r>
      <w:r w:rsidRPr="00624696">
        <w:rPr>
          <w:spacing w:val="-6"/>
          <w:sz w:val="16"/>
          <w:lang w:val="es-AR"/>
        </w:rPr>
        <w:t xml:space="preserve"> </w:t>
      </w:r>
      <w:r w:rsidRPr="00624696">
        <w:rPr>
          <w:i/>
          <w:sz w:val="16"/>
          <w:lang w:val="es-AR"/>
        </w:rPr>
        <w:t>supra</w:t>
      </w:r>
      <w:r w:rsidRPr="00624696">
        <w:rPr>
          <w:sz w:val="16"/>
          <w:lang w:val="es-AR"/>
        </w:rPr>
        <w:t>,</w:t>
      </w:r>
      <w:r w:rsidRPr="00624696">
        <w:rPr>
          <w:spacing w:val="-6"/>
          <w:sz w:val="16"/>
          <w:lang w:val="es-AR"/>
        </w:rPr>
        <w:t xml:space="preserve"> </w:t>
      </w:r>
      <w:r w:rsidRPr="00624696">
        <w:rPr>
          <w:sz w:val="16"/>
          <w:lang w:val="es-AR"/>
        </w:rPr>
        <w:t>y</w:t>
      </w:r>
      <w:r w:rsidRPr="00624696">
        <w:rPr>
          <w:spacing w:val="-4"/>
          <w:sz w:val="16"/>
          <w:lang w:val="es-AR"/>
        </w:rPr>
        <w:t xml:space="preserve"> </w:t>
      </w:r>
      <w:r w:rsidRPr="00624696">
        <w:rPr>
          <w:sz w:val="16"/>
          <w:lang w:val="es-AR"/>
        </w:rPr>
        <w:t>Peritaje</w:t>
      </w:r>
      <w:r w:rsidRPr="00624696">
        <w:rPr>
          <w:spacing w:val="-5"/>
          <w:sz w:val="16"/>
          <w:lang w:val="es-AR"/>
        </w:rPr>
        <w:t xml:space="preserve"> </w:t>
      </w:r>
      <w:r w:rsidRPr="00624696">
        <w:rPr>
          <w:sz w:val="16"/>
          <w:lang w:val="es-AR"/>
        </w:rPr>
        <w:t>rendido</w:t>
      </w:r>
      <w:r w:rsidRPr="00624696">
        <w:rPr>
          <w:spacing w:val="-5"/>
          <w:sz w:val="16"/>
          <w:lang w:val="es-AR"/>
        </w:rPr>
        <w:t xml:space="preserve"> </w:t>
      </w:r>
      <w:r w:rsidRPr="00624696">
        <w:rPr>
          <w:sz w:val="16"/>
          <w:lang w:val="es-AR"/>
        </w:rPr>
        <w:t>por</w:t>
      </w:r>
      <w:r w:rsidRPr="00624696">
        <w:rPr>
          <w:spacing w:val="-6"/>
          <w:sz w:val="16"/>
          <w:lang w:val="es-AR"/>
        </w:rPr>
        <w:t xml:space="preserve"> </w:t>
      </w:r>
      <w:r w:rsidRPr="00624696">
        <w:rPr>
          <w:sz w:val="16"/>
          <w:lang w:val="es-AR"/>
        </w:rPr>
        <w:t>Sônia</w:t>
      </w:r>
      <w:r w:rsidRPr="00624696">
        <w:rPr>
          <w:spacing w:val="-8"/>
          <w:sz w:val="16"/>
          <w:lang w:val="es-AR"/>
        </w:rPr>
        <w:t xml:space="preserve"> </w:t>
      </w:r>
      <w:r w:rsidRPr="00624696">
        <w:rPr>
          <w:sz w:val="16"/>
          <w:lang w:val="es-AR"/>
        </w:rPr>
        <w:t>Marise</w:t>
      </w:r>
      <w:r w:rsidRPr="00624696">
        <w:rPr>
          <w:spacing w:val="-7"/>
          <w:sz w:val="16"/>
          <w:lang w:val="es-AR"/>
        </w:rPr>
        <w:t xml:space="preserve"> </w:t>
      </w:r>
      <w:r w:rsidRPr="00624696">
        <w:rPr>
          <w:sz w:val="16"/>
          <w:lang w:val="es-AR"/>
        </w:rPr>
        <w:t>Rodrigues</w:t>
      </w:r>
      <w:r w:rsidRPr="00624696">
        <w:rPr>
          <w:spacing w:val="-5"/>
          <w:sz w:val="16"/>
          <w:lang w:val="es-AR"/>
        </w:rPr>
        <w:t xml:space="preserve"> </w:t>
      </w:r>
      <w:r w:rsidRPr="00624696">
        <w:rPr>
          <w:sz w:val="16"/>
          <w:lang w:val="es-AR"/>
        </w:rPr>
        <w:t>Pereira Tomasoni,</w:t>
      </w:r>
      <w:r w:rsidRPr="00624696">
        <w:rPr>
          <w:spacing w:val="-1"/>
          <w:sz w:val="16"/>
          <w:lang w:val="es-AR"/>
        </w:rPr>
        <w:t xml:space="preserve"> </w:t>
      </w:r>
      <w:r w:rsidRPr="00624696">
        <w:rPr>
          <w:i/>
          <w:sz w:val="16"/>
          <w:lang w:val="es-AR"/>
        </w:rPr>
        <w:t>supra</w:t>
      </w:r>
      <w:r w:rsidRPr="00624696">
        <w:rPr>
          <w:sz w:val="16"/>
          <w:lang w:val="es-AR"/>
        </w:rPr>
        <w:t>.</w:t>
      </w:r>
    </w:p>
    <w:p w14:paraId="41CE69C2" w14:textId="77777777" w:rsidR="00467FCA" w:rsidRPr="00624696" w:rsidRDefault="001B68EB">
      <w:pPr>
        <w:tabs>
          <w:tab w:val="left" w:pos="839"/>
        </w:tabs>
        <w:ind w:left="120"/>
        <w:jc w:val="both"/>
        <w:rPr>
          <w:sz w:val="16"/>
          <w:lang w:val="es-AR"/>
        </w:rPr>
      </w:pPr>
      <w:bookmarkStart w:id="150" w:name="_bookmark124"/>
      <w:bookmarkEnd w:id="150"/>
      <w:r w:rsidRPr="00624696">
        <w:rPr>
          <w:position w:val="6"/>
          <w:sz w:val="10"/>
          <w:lang w:val="es-AR"/>
        </w:rPr>
        <w:t>100</w:t>
      </w:r>
      <w:r w:rsidRPr="00624696">
        <w:rPr>
          <w:position w:val="6"/>
          <w:sz w:val="10"/>
          <w:lang w:val="es-AR"/>
        </w:rPr>
        <w:tab/>
      </w:r>
      <w:r w:rsidRPr="00624696">
        <w:rPr>
          <w:i/>
          <w:sz w:val="16"/>
          <w:lang w:val="es-AR"/>
        </w:rPr>
        <w:t xml:space="preserve">Cfr. </w:t>
      </w:r>
      <w:r w:rsidRPr="00624696">
        <w:rPr>
          <w:sz w:val="16"/>
          <w:lang w:val="es-AR"/>
        </w:rPr>
        <w:t>Declaración rendida por Leila Cerqueira dos Santos,</w:t>
      </w:r>
      <w:r w:rsidRPr="00624696">
        <w:rPr>
          <w:spacing w:val="-14"/>
          <w:sz w:val="16"/>
          <w:lang w:val="es-AR"/>
        </w:rPr>
        <w:t xml:space="preserve"> </w:t>
      </w:r>
      <w:r w:rsidRPr="00624696">
        <w:rPr>
          <w:i/>
          <w:sz w:val="16"/>
          <w:lang w:val="es-AR"/>
        </w:rPr>
        <w:t>supra</w:t>
      </w:r>
      <w:r w:rsidRPr="00624696">
        <w:rPr>
          <w:sz w:val="16"/>
          <w:lang w:val="es-AR"/>
        </w:rPr>
        <w:t>.</w:t>
      </w:r>
    </w:p>
    <w:p w14:paraId="26BC01A8" w14:textId="77777777" w:rsidR="00467FCA" w:rsidRPr="00624696" w:rsidRDefault="001B68EB">
      <w:pPr>
        <w:tabs>
          <w:tab w:val="left" w:pos="839"/>
        </w:tabs>
        <w:ind w:left="120"/>
        <w:jc w:val="both"/>
        <w:rPr>
          <w:sz w:val="16"/>
          <w:lang w:val="es-AR"/>
        </w:rPr>
      </w:pPr>
      <w:bookmarkStart w:id="151" w:name="_bookmark125"/>
      <w:bookmarkEnd w:id="151"/>
      <w:r w:rsidRPr="00624696">
        <w:rPr>
          <w:position w:val="6"/>
          <w:sz w:val="10"/>
          <w:lang w:val="es-AR"/>
        </w:rPr>
        <w:t>101</w:t>
      </w:r>
      <w:r w:rsidRPr="00624696">
        <w:rPr>
          <w:position w:val="6"/>
          <w:sz w:val="10"/>
          <w:lang w:val="es-AR"/>
        </w:rPr>
        <w:tab/>
      </w:r>
      <w:bookmarkStart w:id="152" w:name="_bookmark126"/>
      <w:bookmarkEnd w:id="152"/>
      <w:r w:rsidRPr="00624696">
        <w:rPr>
          <w:i/>
          <w:sz w:val="16"/>
          <w:lang w:val="es-AR"/>
        </w:rPr>
        <w:t xml:space="preserve">Cfr. </w:t>
      </w:r>
      <w:r w:rsidRPr="00624696">
        <w:rPr>
          <w:sz w:val="16"/>
          <w:lang w:val="es-AR"/>
        </w:rPr>
        <w:t>Documento Síntesis del Grupo de Trabajo,</w:t>
      </w:r>
      <w:r w:rsidRPr="00624696">
        <w:rPr>
          <w:spacing w:val="-2"/>
          <w:sz w:val="16"/>
          <w:lang w:val="es-AR"/>
        </w:rPr>
        <w:t xml:space="preserve"> </w:t>
      </w:r>
      <w:r w:rsidRPr="00624696">
        <w:rPr>
          <w:i/>
          <w:sz w:val="16"/>
          <w:lang w:val="es-AR"/>
        </w:rPr>
        <w:t>supra</w:t>
      </w:r>
      <w:r w:rsidRPr="00624696">
        <w:rPr>
          <w:sz w:val="16"/>
          <w:lang w:val="es-AR"/>
        </w:rPr>
        <w:t>.</w:t>
      </w:r>
    </w:p>
    <w:p w14:paraId="15985D21" w14:textId="77777777" w:rsidR="00467FCA" w:rsidRPr="00624696" w:rsidRDefault="001B68EB">
      <w:pPr>
        <w:tabs>
          <w:tab w:val="left" w:pos="839"/>
        </w:tabs>
        <w:ind w:left="120"/>
        <w:jc w:val="both"/>
        <w:rPr>
          <w:sz w:val="16"/>
          <w:lang w:val="es-AR"/>
        </w:rPr>
      </w:pPr>
      <w:r w:rsidRPr="00624696">
        <w:rPr>
          <w:position w:val="6"/>
          <w:sz w:val="10"/>
          <w:lang w:val="es-AR"/>
        </w:rPr>
        <w:t>102</w:t>
      </w:r>
      <w:r w:rsidRPr="00624696">
        <w:rPr>
          <w:position w:val="6"/>
          <w:sz w:val="10"/>
          <w:lang w:val="es-AR"/>
        </w:rPr>
        <w:tab/>
      </w:r>
      <w:r w:rsidRPr="00624696">
        <w:rPr>
          <w:sz w:val="16"/>
          <w:lang w:val="es-AR"/>
        </w:rPr>
        <w:t>Para la fecha de los hechos de este caso, un dólar estadounidense equivalía a 1,2</w:t>
      </w:r>
      <w:r w:rsidRPr="00624696">
        <w:rPr>
          <w:spacing w:val="-20"/>
          <w:sz w:val="16"/>
          <w:lang w:val="es-AR"/>
        </w:rPr>
        <w:t xml:space="preserve"> </w:t>
      </w:r>
      <w:r w:rsidRPr="00624696">
        <w:rPr>
          <w:sz w:val="16"/>
          <w:lang w:val="es-AR"/>
        </w:rPr>
        <w:t>reales.</w:t>
      </w:r>
    </w:p>
    <w:p w14:paraId="11397F53" w14:textId="77777777" w:rsidR="00467FCA" w:rsidRPr="00624696" w:rsidRDefault="001B68EB">
      <w:pPr>
        <w:tabs>
          <w:tab w:val="left" w:pos="839"/>
        </w:tabs>
        <w:ind w:left="117" w:right="116" w:firstLine="2"/>
        <w:jc w:val="both"/>
        <w:rPr>
          <w:sz w:val="16"/>
          <w:lang w:val="es-AR"/>
        </w:rPr>
      </w:pPr>
      <w:bookmarkStart w:id="153" w:name="_bookmark127"/>
      <w:bookmarkEnd w:id="153"/>
      <w:r w:rsidRPr="00624696">
        <w:rPr>
          <w:position w:val="6"/>
          <w:sz w:val="10"/>
          <w:lang w:val="es-AR"/>
        </w:rPr>
        <w:t>103</w:t>
      </w:r>
      <w:r w:rsidRPr="00624696">
        <w:rPr>
          <w:position w:val="6"/>
          <w:sz w:val="10"/>
          <w:lang w:val="es-AR"/>
        </w:rPr>
        <w:tab/>
      </w:r>
      <w:r w:rsidRPr="00624696">
        <w:rPr>
          <w:sz w:val="16"/>
          <w:lang w:val="es-AR"/>
        </w:rPr>
        <w:t>El cohete o bombeta se compone de la sigui</w:t>
      </w:r>
      <w:r w:rsidRPr="00624696">
        <w:rPr>
          <w:sz w:val="16"/>
          <w:lang w:val="es-AR"/>
        </w:rPr>
        <w:t xml:space="preserve">ente materia prima: arena, ácido, plata, azufre y aluminio, </w:t>
      </w:r>
      <w:r w:rsidRPr="00624696">
        <w:rPr>
          <w:spacing w:val="-3"/>
          <w:sz w:val="16"/>
          <w:lang w:val="es-AR"/>
        </w:rPr>
        <w:t xml:space="preserve">que </w:t>
      </w:r>
      <w:r w:rsidRPr="00624696">
        <w:rPr>
          <w:sz w:val="16"/>
          <w:lang w:val="es-AR"/>
        </w:rPr>
        <w:t>se</w:t>
      </w:r>
      <w:r w:rsidRPr="00624696">
        <w:rPr>
          <w:spacing w:val="-7"/>
          <w:sz w:val="16"/>
          <w:lang w:val="es-AR"/>
        </w:rPr>
        <w:t xml:space="preserve"> </w:t>
      </w:r>
      <w:r w:rsidRPr="00624696">
        <w:rPr>
          <w:sz w:val="16"/>
          <w:lang w:val="es-AR"/>
        </w:rPr>
        <w:t>funden</w:t>
      </w:r>
      <w:r w:rsidRPr="00624696">
        <w:rPr>
          <w:spacing w:val="-6"/>
          <w:sz w:val="16"/>
          <w:lang w:val="es-AR"/>
        </w:rPr>
        <w:t xml:space="preserve"> </w:t>
      </w:r>
      <w:r w:rsidRPr="00624696">
        <w:rPr>
          <w:sz w:val="16"/>
          <w:lang w:val="es-AR"/>
        </w:rPr>
        <w:t>en</w:t>
      </w:r>
      <w:r w:rsidRPr="00624696">
        <w:rPr>
          <w:spacing w:val="-7"/>
          <w:sz w:val="16"/>
          <w:lang w:val="es-AR"/>
        </w:rPr>
        <w:t xml:space="preserve"> </w:t>
      </w:r>
      <w:r w:rsidRPr="00624696">
        <w:rPr>
          <w:sz w:val="16"/>
          <w:lang w:val="es-AR"/>
        </w:rPr>
        <w:t>un</w:t>
      </w:r>
      <w:r w:rsidRPr="00624696">
        <w:rPr>
          <w:spacing w:val="-6"/>
          <w:sz w:val="16"/>
          <w:lang w:val="es-AR"/>
        </w:rPr>
        <w:t xml:space="preserve"> </w:t>
      </w:r>
      <w:r w:rsidRPr="00624696">
        <w:rPr>
          <w:sz w:val="16"/>
          <w:lang w:val="es-AR"/>
        </w:rPr>
        <w:t>fuego</w:t>
      </w:r>
      <w:r w:rsidRPr="00624696">
        <w:rPr>
          <w:spacing w:val="-6"/>
          <w:sz w:val="16"/>
          <w:lang w:val="es-AR"/>
        </w:rPr>
        <w:t xml:space="preserve"> </w:t>
      </w:r>
      <w:r w:rsidRPr="00624696">
        <w:rPr>
          <w:sz w:val="16"/>
          <w:lang w:val="es-AR"/>
        </w:rPr>
        <w:t>caliente</w:t>
      </w:r>
      <w:r w:rsidRPr="00624696">
        <w:rPr>
          <w:spacing w:val="-5"/>
          <w:sz w:val="16"/>
          <w:lang w:val="es-AR"/>
        </w:rPr>
        <w:t xml:space="preserve"> </w:t>
      </w:r>
      <w:r w:rsidRPr="00624696">
        <w:rPr>
          <w:sz w:val="16"/>
          <w:lang w:val="es-AR"/>
        </w:rPr>
        <w:t>y</w:t>
      </w:r>
      <w:r w:rsidRPr="00624696">
        <w:rPr>
          <w:spacing w:val="-6"/>
          <w:sz w:val="16"/>
          <w:lang w:val="es-AR"/>
        </w:rPr>
        <w:t xml:space="preserve"> </w:t>
      </w:r>
      <w:r w:rsidRPr="00624696">
        <w:rPr>
          <w:sz w:val="16"/>
          <w:lang w:val="es-AR"/>
        </w:rPr>
        <w:t>se</w:t>
      </w:r>
      <w:r w:rsidRPr="00624696">
        <w:rPr>
          <w:spacing w:val="-7"/>
          <w:sz w:val="16"/>
          <w:lang w:val="es-AR"/>
        </w:rPr>
        <w:t xml:space="preserve"> </w:t>
      </w:r>
      <w:r w:rsidRPr="00624696">
        <w:rPr>
          <w:sz w:val="16"/>
          <w:lang w:val="es-AR"/>
        </w:rPr>
        <w:t>almacenan</w:t>
      </w:r>
      <w:r w:rsidRPr="00624696">
        <w:rPr>
          <w:spacing w:val="-5"/>
          <w:sz w:val="16"/>
          <w:lang w:val="es-AR"/>
        </w:rPr>
        <w:t xml:space="preserve"> </w:t>
      </w:r>
      <w:r w:rsidRPr="00624696">
        <w:rPr>
          <w:sz w:val="16"/>
          <w:lang w:val="es-AR"/>
        </w:rPr>
        <w:t>en</w:t>
      </w:r>
      <w:r w:rsidRPr="00624696">
        <w:rPr>
          <w:spacing w:val="-8"/>
          <w:sz w:val="16"/>
          <w:lang w:val="es-AR"/>
        </w:rPr>
        <w:t xml:space="preserve"> </w:t>
      </w:r>
      <w:r w:rsidRPr="00624696">
        <w:rPr>
          <w:sz w:val="16"/>
          <w:lang w:val="es-AR"/>
        </w:rPr>
        <w:t>una</w:t>
      </w:r>
      <w:r w:rsidRPr="00624696">
        <w:rPr>
          <w:spacing w:val="-5"/>
          <w:sz w:val="16"/>
          <w:lang w:val="es-AR"/>
        </w:rPr>
        <w:t xml:space="preserve"> </w:t>
      </w:r>
      <w:r w:rsidRPr="00624696">
        <w:rPr>
          <w:sz w:val="16"/>
          <w:lang w:val="es-AR"/>
        </w:rPr>
        <w:t>bolsa</w:t>
      </w:r>
      <w:r w:rsidRPr="00624696">
        <w:rPr>
          <w:spacing w:val="-6"/>
          <w:sz w:val="16"/>
          <w:lang w:val="es-AR"/>
        </w:rPr>
        <w:t xml:space="preserve"> </w:t>
      </w:r>
      <w:r w:rsidRPr="00624696">
        <w:rPr>
          <w:sz w:val="16"/>
          <w:lang w:val="es-AR"/>
        </w:rPr>
        <w:t>plástica.</w:t>
      </w:r>
      <w:r w:rsidRPr="00624696">
        <w:rPr>
          <w:spacing w:val="-5"/>
          <w:sz w:val="16"/>
          <w:lang w:val="es-AR"/>
        </w:rPr>
        <w:t xml:space="preserve"> </w:t>
      </w:r>
      <w:r w:rsidRPr="00624696">
        <w:rPr>
          <w:sz w:val="16"/>
          <w:lang w:val="es-AR"/>
        </w:rPr>
        <w:t>Para</w:t>
      </w:r>
      <w:r w:rsidRPr="00624696">
        <w:rPr>
          <w:spacing w:val="-8"/>
          <w:sz w:val="16"/>
          <w:lang w:val="es-AR"/>
        </w:rPr>
        <w:t xml:space="preserve"> </w:t>
      </w:r>
      <w:r w:rsidRPr="00624696">
        <w:rPr>
          <w:sz w:val="16"/>
          <w:lang w:val="es-AR"/>
        </w:rPr>
        <w:t>ser</w:t>
      </w:r>
      <w:r w:rsidRPr="00624696">
        <w:rPr>
          <w:spacing w:val="-5"/>
          <w:sz w:val="16"/>
          <w:lang w:val="es-AR"/>
        </w:rPr>
        <w:t xml:space="preserve"> </w:t>
      </w:r>
      <w:r w:rsidRPr="00624696">
        <w:rPr>
          <w:sz w:val="16"/>
          <w:lang w:val="es-AR"/>
        </w:rPr>
        <w:t>almacenados</w:t>
      </w:r>
      <w:r w:rsidRPr="00624696">
        <w:rPr>
          <w:spacing w:val="-8"/>
          <w:sz w:val="16"/>
          <w:lang w:val="es-AR"/>
        </w:rPr>
        <w:t xml:space="preserve"> </w:t>
      </w:r>
      <w:r w:rsidRPr="00624696">
        <w:rPr>
          <w:sz w:val="16"/>
          <w:lang w:val="es-AR"/>
        </w:rPr>
        <w:t>deben</w:t>
      </w:r>
      <w:r w:rsidRPr="00624696">
        <w:rPr>
          <w:spacing w:val="-5"/>
          <w:sz w:val="16"/>
          <w:lang w:val="es-AR"/>
        </w:rPr>
        <w:t xml:space="preserve"> </w:t>
      </w:r>
      <w:r w:rsidRPr="00624696">
        <w:rPr>
          <w:sz w:val="16"/>
          <w:lang w:val="es-AR"/>
        </w:rPr>
        <w:t>humedecerse</w:t>
      </w:r>
      <w:r w:rsidRPr="00624696">
        <w:rPr>
          <w:spacing w:val="-7"/>
          <w:sz w:val="16"/>
          <w:lang w:val="es-AR"/>
        </w:rPr>
        <w:t xml:space="preserve"> </w:t>
      </w:r>
      <w:r w:rsidRPr="00624696">
        <w:rPr>
          <w:sz w:val="16"/>
          <w:lang w:val="es-AR"/>
        </w:rPr>
        <w:t xml:space="preserve">con alcohol a tiempo para evitar un accidente. </w:t>
      </w:r>
      <w:r w:rsidRPr="00624696">
        <w:rPr>
          <w:i/>
          <w:sz w:val="16"/>
          <w:lang w:val="es-AR"/>
        </w:rPr>
        <w:t xml:space="preserve">Cfr. </w:t>
      </w:r>
      <w:r w:rsidRPr="00624696">
        <w:rPr>
          <w:sz w:val="16"/>
          <w:lang w:val="es-AR"/>
        </w:rPr>
        <w:t xml:space="preserve">SANTOS, Ana Maria. </w:t>
      </w:r>
      <w:r w:rsidRPr="00624696">
        <w:rPr>
          <w:i/>
          <w:sz w:val="16"/>
          <w:lang w:val="es-AR"/>
        </w:rPr>
        <w:t xml:space="preserve">“La Clandestinidad como Expresión de la Precarización del Trabajo en la Producción del Cohete de Masa en el Municipio de Santo Antônio de Jesus – Bahia: un estudio de caso en el barrio </w:t>
      </w:r>
      <w:r w:rsidRPr="00624696">
        <w:rPr>
          <w:i/>
          <w:sz w:val="16"/>
          <w:lang w:val="es-AR"/>
        </w:rPr>
        <w:t>Irmã Dulce”</w:t>
      </w:r>
      <w:r w:rsidRPr="00624696">
        <w:rPr>
          <w:sz w:val="16"/>
          <w:lang w:val="es-AR"/>
        </w:rPr>
        <w:t>,</w:t>
      </w:r>
      <w:r w:rsidRPr="00624696">
        <w:rPr>
          <w:spacing w:val="-5"/>
          <w:sz w:val="16"/>
          <w:lang w:val="es-AR"/>
        </w:rPr>
        <w:t xml:space="preserve"> </w:t>
      </w:r>
      <w:r w:rsidRPr="00624696">
        <w:rPr>
          <w:i/>
          <w:sz w:val="16"/>
          <w:lang w:val="es-AR"/>
        </w:rPr>
        <w:t>supra</w:t>
      </w:r>
      <w:r w:rsidRPr="00624696">
        <w:rPr>
          <w:sz w:val="16"/>
          <w:lang w:val="es-AR"/>
        </w:rPr>
        <w:t>.</w:t>
      </w:r>
    </w:p>
    <w:p w14:paraId="65D65FCD" w14:textId="77777777" w:rsidR="00467FCA" w:rsidRPr="00624696" w:rsidRDefault="001B68EB">
      <w:pPr>
        <w:tabs>
          <w:tab w:val="left" w:pos="839"/>
        </w:tabs>
        <w:spacing w:line="194" w:lineRule="exact"/>
        <w:ind w:left="120"/>
        <w:jc w:val="both"/>
        <w:rPr>
          <w:i/>
          <w:sz w:val="16"/>
          <w:lang w:val="es-AR"/>
        </w:rPr>
      </w:pPr>
      <w:bookmarkStart w:id="154" w:name="_bookmark128"/>
      <w:bookmarkEnd w:id="154"/>
      <w:r w:rsidRPr="00624696">
        <w:rPr>
          <w:position w:val="6"/>
          <w:sz w:val="10"/>
          <w:lang w:val="es-AR"/>
        </w:rPr>
        <w:t>104</w:t>
      </w:r>
      <w:r w:rsidRPr="00624696">
        <w:rPr>
          <w:position w:val="6"/>
          <w:sz w:val="10"/>
          <w:lang w:val="es-AR"/>
        </w:rPr>
        <w:tab/>
      </w:r>
      <w:r w:rsidRPr="00624696">
        <w:rPr>
          <w:i/>
          <w:sz w:val="16"/>
          <w:lang w:val="es-AR"/>
        </w:rPr>
        <w:t>Cfr</w:t>
      </w:r>
      <w:r w:rsidRPr="00624696">
        <w:rPr>
          <w:sz w:val="16"/>
          <w:lang w:val="es-AR"/>
        </w:rPr>
        <w:t>. Documento Síntesis del Grupo de Trabajo,</w:t>
      </w:r>
      <w:r w:rsidRPr="00624696">
        <w:rPr>
          <w:spacing w:val="-2"/>
          <w:sz w:val="16"/>
          <w:lang w:val="es-AR"/>
        </w:rPr>
        <w:t xml:space="preserve"> </w:t>
      </w:r>
      <w:r w:rsidRPr="00624696">
        <w:rPr>
          <w:i/>
          <w:sz w:val="16"/>
          <w:lang w:val="es-AR"/>
        </w:rPr>
        <w:t>supra.</w:t>
      </w:r>
    </w:p>
    <w:p w14:paraId="6C2634B4" w14:textId="77777777" w:rsidR="00467FCA" w:rsidRPr="00624696" w:rsidRDefault="001B68EB">
      <w:pPr>
        <w:tabs>
          <w:tab w:val="left" w:pos="839"/>
        </w:tabs>
        <w:spacing w:before="2"/>
        <w:ind w:left="119" w:right="113"/>
        <w:jc w:val="both"/>
        <w:rPr>
          <w:sz w:val="16"/>
          <w:lang w:val="es-AR"/>
        </w:rPr>
      </w:pPr>
      <w:bookmarkStart w:id="155" w:name="_bookmark129"/>
      <w:bookmarkEnd w:id="155"/>
      <w:r w:rsidRPr="00624696">
        <w:rPr>
          <w:position w:val="6"/>
          <w:sz w:val="10"/>
          <w:lang w:val="es-AR"/>
        </w:rPr>
        <w:t>105</w:t>
      </w:r>
      <w:r w:rsidRPr="00624696">
        <w:rPr>
          <w:position w:val="6"/>
          <w:sz w:val="10"/>
          <w:lang w:val="es-AR"/>
        </w:rPr>
        <w:tab/>
      </w:r>
      <w:r w:rsidRPr="00624696">
        <w:rPr>
          <w:sz w:val="16"/>
          <w:lang w:val="es-AR"/>
        </w:rPr>
        <w:t>De acuerdo con la declaración rendida por Leila Cerqueira dos Santos, “o trabajábamos en la fábrica o en casas</w:t>
      </w:r>
      <w:r w:rsidRPr="00624696">
        <w:rPr>
          <w:spacing w:val="-11"/>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familias,</w:t>
      </w:r>
      <w:r w:rsidRPr="00624696">
        <w:rPr>
          <w:spacing w:val="-8"/>
          <w:sz w:val="16"/>
          <w:lang w:val="es-AR"/>
        </w:rPr>
        <w:t xml:space="preserve"> </w:t>
      </w:r>
      <w:r w:rsidRPr="00624696">
        <w:rPr>
          <w:sz w:val="16"/>
          <w:lang w:val="es-AR"/>
        </w:rPr>
        <w:t>pero</w:t>
      </w:r>
      <w:r w:rsidRPr="00624696">
        <w:rPr>
          <w:spacing w:val="-8"/>
          <w:sz w:val="16"/>
          <w:lang w:val="es-AR"/>
        </w:rPr>
        <w:t xml:space="preserve"> </w:t>
      </w:r>
      <w:r w:rsidRPr="00624696">
        <w:rPr>
          <w:sz w:val="16"/>
          <w:lang w:val="es-AR"/>
        </w:rPr>
        <w:t>muchas</w:t>
      </w:r>
      <w:r w:rsidRPr="00624696">
        <w:rPr>
          <w:spacing w:val="-7"/>
          <w:sz w:val="16"/>
          <w:lang w:val="es-AR"/>
        </w:rPr>
        <w:t xml:space="preserve"> </w:t>
      </w:r>
      <w:r w:rsidRPr="00624696">
        <w:rPr>
          <w:sz w:val="16"/>
          <w:lang w:val="es-AR"/>
        </w:rPr>
        <w:t>familias</w:t>
      </w:r>
      <w:r w:rsidRPr="00624696">
        <w:rPr>
          <w:spacing w:val="-7"/>
          <w:sz w:val="16"/>
          <w:lang w:val="es-AR"/>
        </w:rPr>
        <w:t xml:space="preserve"> </w:t>
      </w:r>
      <w:r w:rsidRPr="00624696">
        <w:rPr>
          <w:sz w:val="16"/>
          <w:lang w:val="es-AR"/>
        </w:rPr>
        <w:t>no</w:t>
      </w:r>
      <w:r w:rsidRPr="00624696">
        <w:rPr>
          <w:spacing w:val="-7"/>
          <w:sz w:val="16"/>
          <w:lang w:val="es-AR"/>
        </w:rPr>
        <w:t xml:space="preserve"> </w:t>
      </w:r>
      <w:r w:rsidRPr="00624696">
        <w:rPr>
          <w:sz w:val="16"/>
          <w:lang w:val="es-AR"/>
        </w:rPr>
        <w:t>nos</w:t>
      </w:r>
      <w:r w:rsidRPr="00624696">
        <w:rPr>
          <w:spacing w:val="-11"/>
          <w:sz w:val="16"/>
          <w:lang w:val="es-AR"/>
        </w:rPr>
        <w:t xml:space="preserve"> </w:t>
      </w:r>
      <w:r w:rsidRPr="00624696">
        <w:rPr>
          <w:sz w:val="16"/>
          <w:lang w:val="es-AR"/>
        </w:rPr>
        <w:t>empleaban</w:t>
      </w:r>
      <w:r w:rsidRPr="00624696">
        <w:rPr>
          <w:spacing w:val="-11"/>
          <w:sz w:val="16"/>
          <w:lang w:val="es-AR"/>
        </w:rPr>
        <w:t xml:space="preserve"> </w:t>
      </w:r>
      <w:r w:rsidRPr="00624696">
        <w:rPr>
          <w:sz w:val="16"/>
          <w:lang w:val="es-AR"/>
        </w:rPr>
        <w:t>porque</w:t>
      </w:r>
      <w:r w:rsidRPr="00624696">
        <w:rPr>
          <w:spacing w:val="-9"/>
          <w:sz w:val="16"/>
          <w:lang w:val="es-AR"/>
        </w:rPr>
        <w:t xml:space="preserve"> </w:t>
      </w:r>
      <w:r w:rsidRPr="00624696">
        <w:rPr>
          <w:sz w:val="16"/>
          <w:lang w:val="es-AR"/>
        </w:rPr>
        <w:t>pensab</w:t>
      </w:r>
      <w:r w:rsidRPr="00624696">
        <w:rPr>
          <w:sz w:val="16"/>
          <w:lang w:val="es-AR"/>
        </w:rPr>
        <w:t>an</w:t>
      </w:r>
      <w:r w:rsidRPr="00624696">
        <w:rPr>
          <w:spacing w:val="-11"/>
          <w:sz w:val="16"/>
          <w:lang w:val="es-AR"/>
        </w:rPr>
        <w:t xml:space="preserve"> </w:t>
      </w:r>
      <w:r w:rsidRPr="00624696">
        <w:rPr>
          <w:sz w:val="16"/>
          <w:lang w:val="es-AR"/>
        </w:rPr>
        <w:t>que</w:t>
      </w:r>
      <w:r w:rsidRPr="00624696">
        <w:rPr>
          <w:spacing w:val="-10"/>
          <w:sz w:val="16"/>
          <w:lang w:val="es-AR"/>
        </w:rPr>
        <w:t xml:space="preserve"> </w:t>
      </w:r>
      <w:r w:rsidRPr="00624696">
        <w:rPr>
          <w:sz w:val="16"/>
          <w:lang w:val="es-AR"/>
        </w:rPr>
        <w:t>nosotros</w:t>
      </w:r>
      <w:r w:rsidRPr="00624696">
        <w:rPr>
          <w:spacing w:val="-13"/>
          <w:sz w:val="16"/>
          <w:lang w:val="es-AR"/>
        </w:rPr>
        <w:t xml:space="preserve"> </w:t>
      </w:r>
      <w:r w:rsidRPr="00624696">
        <w:rPr>
          <w:sz w:val="16"/>
          <w:lang w:val="es-AR"/>
        </w:rPr>
        <w:t>éramos</w:t>
      </w:r>
      <w:r w:rsidRPr="00624696">
        <w:rPr>
          <w:spacing w:val="-9"/>
          <w:sz w:val="16"/>
          <w:lang w:val="es-AR"/>
        </w:rPr>
        <w:t xml:space="preserve"> </w:t>
      </w:r>
      <w:r w:rsidRPr="00624696">
        <w:rPr>
          <w:sz w:val="16"/>
          <w:lang w:val="es-AR"/>
        </w:rPr>
        <w:t>de</w:t>
      </w:r>
      <w:r w:rsidRPr="00624696">
        <w:rPr>
          <w:spacing w:val="-10"/>
          <w:sz w:val="16"/>
          <w:lang w:val="es-AR"/>
        </w:rPr>
        <w:t xml:space="preserve"> </w:t>
      </w:r>
      <w:r w:rsidRPr="00624696">
        <w:rPr>
          <w:sz w:val="16"/>
          <w:lang w:val="es-AR"/>
        </w:rPr>
        <w:t>un</w:t>
      </w:r>
      <w:r w:rsidRPr="00624696">
        <w:rPr>
          <w:spacing w:val="-8"/>
          <w:sz w:val="16"/>
          <w:lang w:val="es-AR"/>
        </w:rPr>
        <w:t xml:space="preserve"> </w:t>
      </w:r>
      <w:r w:rsidRPr="00624696">
        <w:rPr>
          <w:sz w:val="16"/>
          <w:lang w:val="es-AR"/>
        </w:rPr>
        <w:t>barrio</w:t>
      </w:r>
      <w:r w:rsidRPr="00624696">
        <w:rPr>
          <w:spacing w:val="-10"/>
          <w:sz w:val="16"/>
          <w:lang w:val="es-AR"/>
        </w:rPr>
        <w:t xml:space="preserve"> </w:t>
      </w:r>
      <w:r w:rsidRPr="00624696">
        <w:rPr>
          <w:sz w:val="16"/>
          <w:lang w:val="es-AR"/>
        </w:rPr>
        <w:t>pobre y que podríamos hurtar o cometer hurtos y entonces nos discriminaban, no nos aceptaban y nos decían vengan mañana</w:t>
      </w:r>
      <w:r w:rsidRPr="00624696">
        <w:rPr>
          <w:spacing w:val="-7"/>
          <w:sz w:val="16"/>
          <w:lang w:val="es-AR"/>
        </w:rPr>
        <w:t xml:space="preserve"> </w:t>
      </w:r>
      <w:r w:rsidRPr="00624696">
        <w:rPr>
          <w:sz w:val="16"/>
          <w:lang w:val="es-AR"/>
        </w:rPr>
        <w:t>y</w:t>
      </w:r>
      <w:r w:rsidRPr="00624696">
        <w:rPr>
          <w:spacing w:val="-4"/>
          <w:sz w:val="16"/>
          <w:lang w:val="es-AR"/>
        </w:rPr>
        <w:t xml:space="preserve"> </w:t>
      </w:r>
      <w:r w:rsidRPr="00624696">
        <w:rPr>
          <w:sz w:val="16"/>
          <w:lang w:val="es-AR"/>
        </w:rPr>
        <w:t>esa</w:t>
      </w:r>
      <w:r w:rsidRPr="00624696">
        <w:rPr>
          <w:spacing w:val="-8"/>
          <w:sz w:val="16"/>
          <w:lang w:val="es-AR"/>
        </w:rPr>
        <w:t xml:space="preserve"> </w:t>
      </w:r>
      <w:r w:rsidRPr="00624696">
        <w:rPr>
          <w:sz w:val="16"/>
          <w:lang w:val="es-AR"/>
        </w:rPr>
        <w:t>historia</w:t>
      </w:r>
      <w:r w:rsidRPr="00624696">
        <w:rPr>
          <w:spacing w:val="-7"/>
          <w:sz w:val="16"/>
          <w:lang w:val="es-AR"/>
        </w:rPr>
        <w:t xml:space="preserve"> </w:t>
      </w:r>
      <w:r w:rsidRPr="00624696">
        <w:rPr>
          <w:sz w:val="16"/>
          <w:lang w:val="es-AR"/>
        </w:rPr>
        <w:t>siempre</w:t>
      </w:r>
      <w:r w:rsidRPr="00624696">
        <w:rPr>
          <w:spacing w:val="-5"/>
          <w:sz w:val="16"/>
          <w:lang w:val="es-AR"/>
        </w:rPr>
        <w:t xml:space="preserve"> </w:t>
      </w:r>
      <w:r w:rsidRPr="00624696">
        <w:rPr>
          <w:sz w:val="16"/>
          <w:lang w:val="es-AR"/>
        </w:rPr>
        <w:t>pasaba”.</w:t>
      </w:r>
      <w:r w:rsidRPr="00624696">
        <w:rPr>
          <w:spacing w:val="-6"/>
          <w:sz w:val="16"/>
          <w:lang w:val="es-AR"/>
        </w:rPr>
        <w:t xml:space="preserve"> </w:t>
      </w:r>
      <w:r w:rsidRPr="00624696">
        <w:rPr>
          <w:i/>
          <w:sz w:val="16"/>
          <w:lang w:val="es-AR"/>
        </w:rPr>
        <w:t>Cfr.</w:t>
      </w:r>
      <w:r w:rsidRPr="00624696">
        <w:rPr>
          <w:i/>
          <w:spacing w:val="-7"/>
          <w:sz w:val="16"/>
          <w:lang w:val="es-AR"/>
        </w:rPr>
        <w:t xml:space="preserve"> </w:t>
      </w:r>
      <w:r w:rsidRPr="00624696">
        <w:rPr>
          <w:sz w:val="16"/>
          <w:lang w:val="es-AR"/>
        </w:rPr>
        <w:t>Declaración</w:t>
      </w:r>
      <w:r w:rsidRPr="00624696">
        <w:rPr>
          <w:spacing w:val="-8"/>
          <w:sz w:val="16"/>
          <w:lang w:val="es-AR"/>
        </w:rPr>
        <w:t xml:space="preserve"> </w:t>
      </w:r>
      <w:r w:rsidRPr="00624696">
        <w:rPr>
          <w:sz w:val="16"/>
          <w:lang w:val="es-AR"/>
        </w:rPr>
        <w:t>rendida</w:t>
      </w:r>
      <w:r w:rsidRPr="00624696">
        <w:rPr>
          <w:spacing w:val="-6"/>
          <w:sz w:val="16"/>
          <w:lang w:val="es-AR"/>
        </w:rPr>
        <w:t xml:space="preserve"> </w:t>
      </w:r>
      <w:r w:rsidRPr="00624696">
        <w:rPr>
          <w:sz w:val="16"/>
          <w:lang w:val="es-AR"/>
        </w:rPr>
        <w:t>por</w:t>
      </w:r>
      <w:r w:rsidRPr="00624696">
        <w:rPr>
          <w:spacing w:val="-5"/>
          <w:sz w:val="16"/>
          <w:lang w:val="es-AR"/>
        </w:rPr>
        <w:t xml:space="preserve"> </w:t>
      </w:r>
      <w:r w:rsidRPr="00624696">
        <w:rPr>
          <w:sz w:val="16"/>
          <w:lang w:val="es-AR"/>
        </w:rPr>
        <w:t>Leila</w:t>
      </w:r>
      <w:r w:rsidRPr="00624696">
        <w:rPr>
          <w:spacing w:val="-6"/>
          <w:sz w:val="16"/>
          <w:lang w:val="es-AR"/>
        </w:rPr>
        <w:t xml:space="preserve"> </w:t>
      </w:r>
      <w:r w:rsidRPr="00624696">
        <w:rPr>
          <w:sz w:val="16"/>
          <w:lang w:val="es-AR"/>
        </w:rPr>
        <w:t>Cerqueira</w:t>
      </w:r>
      <w:r w:rsidRPr="00624696">
        <w:rPr>
          <w:spacing w:val="-8"/>
          <w:sz w:val="16"/>
          <w:lang w:val="es-AR"/>
        </w:rPr>
        <w:t xml:space="preserve"> </w:t>
      </w:r>
      <w:r w:rsidRPr="00624696">
        <w:rPr>
          <w:sz w:val="16"/>
          <w:lang w:val="es-AR"/>
        </w:rPr>
        <w:t>dos</w:t>
      </w:r>
      <w:r w:rsidRPr="00624696">
        <w:rPr>
          <w:spacing w:val="-8"/>
          <w:sz w:val="16"/>
          <w:lang w:val="es-AR"/>
        </w:rPr>
        <w:t xml:space="preserve"> </w:t>
      </w:r>
      <w:r w:rsidRPr="00624696">
        <w:rPr>
          <w:sz w:val="16"/>
          <w:lang w:val="es-AR"/>
        </w:rPr>
        <w:t>Santos,</w:t>
      </w:r>
      <w:r w:rsidRPr="00624696">
        <w:rPr>
          <w:spacing w:val="-6"/>
          <w:sz w:val="16"/>
          <w:lang w:val="es-AR"/>
        </w:rPr>
        <w:t xml:space="preserve"> </w:t>
      </w:r>
      <w:r w:rsidRPr="00624696">
        <w:rPr>
          <w:i/>
          <w:sz w:val="16"/>
          <w:lang w:val="es-AR"/>
        </w:rPr>
        <w:t>supra</w:t>
      </w:r>
      <w:r w:rsidRPr="00624696">
        <w:rPr>
          <w:sz w:val="16"/>
          <w:lang w:val="es-AR"/>
        </w:rPr>
        <w:t>.</w:t>
      </w:r>
      <w:r w:rsidRPr="00624696">
        <w:rPr>
          <w:spacing w:val="-6"/>
          <w:sz w:val="16"/>
          <w:lang w:val="es-AR"/>
        </w:rPr>
        <w:t xml:space="preserve"> </w:t>
      </w:r>
      <w:r w:rsidRPr="00624696">
        <w:rPr>
          <w:sz w:val="16"/>
          <w:lang w:val="es-AR"/>
        </w:rPr>
        <w:t>En</w:t>
      </w:r>
      <w:r w:rsidRPr="00624696">
        <w:rPr>
          <w:spacing w:val="-7"/>
          <w:sz w:val="16"/>
          <w:lang w:val="es-AR"/>
        </w:rPr>
        <w:t xml:space="preserve"> </w:t>
      </w:r>
      <w:r w:rsidRPr="00624696">
        <w:rPr>
          <w:sz w:val="16"/>
          <w:lang w:val="es-AR"/>
        </w:rPr>
        <w:t>el</w:t>
      </w:r>
      <w:r w:rsidRPr="00624696">
        <w:rPr>
          <w:spacing w:val="-6"/>
          <w:sz w:val="16"/>
          <w:lang w:val="es-AR"/>
        </w:rPr>
        <w:t xml:space="preserve"> </w:t>
      </w:r>
      <w:r w:rsidRPr="00624696">
        <w:rPr>
          <w:sz w:val="16"/>
          <w:lang w:val="es-AR"/>
        </w:rPr>
        <w:t>mismo sentido: Peritaje rendido por Sônia Marise Rodrigues Pereira Tomasoni,</w:t>
      </w:r>
      <w:r w:rsidRPr="00624696">
        <w:rPr>
          <w:spacing w:val="-9"/>
          <w:sz w:val="16"/>
          <w:lang w:val="es-AR"/>
        </w:rPr>
        <w:t xml:space="preserve"> </w:t>
      </w:r>
      <w:r w:rsidRPr="00624696">
        <w:rPr>
          <w:i/>
          <w:sz w:val="16"/>
          <w:lang w:val="es-AR"/>
        </w:rPr>
        <w:t>supra</w:t>
      </w:r>
      <w:r w:rsidRPr="00624696">
        <w:rPr>
          <w:sz w:val="16"/>
          <w:lang w:val="es-AR"/>
        </w:rPr>
        <w:t>.</w:t>
      </w:r>
    </w:p>
    <w:p w14:paraId="10C0D98D" w14:textId="77777777" w:rsidR="00467FCA" w:rsidRPr="00624696" w:rsidRDefault="001B68EB">
      <w:pPr>
        <w:tabs>
          <w:tab w:val="left" w:pos="839"/>
        </w:tabs>
        <w:ind w:left="119" w:right="113"/>
        <w:jc w:val="both"/>
        <w:rPr>
          <w:sz w:val="16"/>
          <w:lang w:val="es-AR"/>
        </w:rPr>
      </w:pPr>
      <w:bookmarkStart w:id="156" w:name="_bookmark130"/>
      <w:bookmarkEnd w:id="156"/>
      <w:r w:rsidRPr="00624696">
        <w:rPr>
          <w:position w:val="6"/>
          <w:sz w:val="10"/>
          <w:lang w:val="es-AR"/>
        </w:rPr>
        <w:t>106</w:t>
      </w:r>
      <w:r w:rsidRPr="00624696">
        <w:rPr>
          <w:position w:val="6"/>
          <w:sz w:val="10"/>
          <w:lang w:val="es-AR"/>
        </w:rPr>
        <w:tab/>
      </w:r>
      <w:r w:rsidRPr="00624696">
        <w:rPr>
          <w:i/>
          <w:sz w:val="16"/>
          <w:lang w:val="es-AR"/>
        </w:rPr>
        <w:t>Cfr</w:t>
      </w:r>
      <w:r w:rsidRPr="00624696">
        <w:rPr>
          <w:sz w:val="16"/>
          <w:lang w:val="es-AR"/>
        </w:rPr>
        <w:t xml:space="preserve">. Documento Síntesis del Grupo de Trabajo, </w:t>
      </w:r>
      <w:r w:rsidRPr="00624696">
        <w:rPr>
          <w:i/>
          <w:sz w:val="16"/>
          <w:lang w:val="es-AR"/>
        </w:rPr>
        <w:t>supra</w:t>
      </w:r>
      <w:r w:rsidRPr="00624696">
        <w:rPr>
          <w:sz w:val="16"/>
          <w:lang w:val="es-AR"/>
        </w:rPr>
        <w:t xml:space="preserve">; Declaración rendida por Leila Cerqueira dos Santos, </w:t>
      </w:r>
      <w:r w:rsidRPr="00624696">
        <w:rPr>
          <w:i/>
          <w:sz w:val="16"/>
          <w:lang w:val="es-AR"/>
        </w:rPr>
        <w:t>supra</w:t>
      </w:r>
      <w:r w:rsidRPr="00624696">
        <w:rPr>
          <w:sz w:val="16"/>
          <w:lang w:val="es-AR"/>
        </w:rPr>
        <w:t>; Peritaje rendido por Sônia Marise Rodrigues Pereira T</w:t>
      </w:r>
      <w:r w:rsidRPr="00624696">
        <w:rPr>
          <w:sz w:val="16"/>
          <w:lang w:val="es-AR"/>
        </w:rPr>
        <w:t>omasoni</w:t>
      </w:r>
      <w:r w:rsidRPr="00624696">
        <w:rPr>
          <w:i/>
          <w:sz w:val="16"/>
          <w:lang w:val="es-AR"/>
        </w:rPr>
        <w:t xml:space="preserve">, supra, </w:t>
      </w:r>
      <w:r w:rsidRPr="00624696">
        <w:rPr>
          <w:sz w:val="16"/>
          <w:lang w:val="es-AR"/>
        </w:rPr>
        <w:t>y Declaración rendida ante fedatario público por Bruno Silva dos Santos el 7 de enero de 2020 (expediente de fondo, folios 876 y</w:t>
      </w:r>
      <w:r w:rsidRPr="00624696">
        <w:rPr>
          <w:spacing w:val="-21"/>
          <w:sz w:val="16"/>
          <w:lang w:val="es-AR"/>
        </w:rPr>
        <w:t xml:space="preserve"> </w:t>
      </w:r>
      <w:r w:rsidRPr="00624696">
        <w:rPr>
          <w:sz w:val="16"/>
          <w:lang w:val="es-AR"/>
        </w:rPr>
        <w:t>877).</w:t>
      </w:r>
    </w:p>
    <w:p w14:paraId="5166A8F3" w14:textId="77777777" w:rsidR="00467FCA" w:rsidRPr="00624696" w:rsidRDefault="001B68EB">
      <w:pPr>
        <w:tabs>
          <w:tab w:val="left" w:pos="839"/>
        </w:tabs>
        <w:ind w:left="121" w:right="118" w:hanging="2"/>
        <w:jc w:val="both"/>
        <w:rPr>
          <w:sz w:val="16"/>
          <w:lang w:val="es-AR"/>
        </w:rPr>
      </w:pPr>
      <w:bookmarkStart w:id="157" w:name="_bookmark131"/>
      <w:bookmarkEnd w:id="157"/>
      <w:r w:rsidRPr="00624696">
        <w:rPr>
          <w:position w:val="6"/>
          <w:sz w:val="10"/>
          <w:lang w:val="es-AR"/>
        </w:rPr>
        <w:t>107</w:t>
      </w:r>
      <w:r w:rsidRPr="00624696">
        <w:rPr>
          <w:position w:val="6"/>
          <w:sz w:val="10"/>
          <w:lang w:val="es-AR"/>
        </w:rPr>
        <w:tab/>
      </w:r>
      <w:r w:rsidRPr="00624696">
        <w:rPr>
          <w:i/>
          <w:sz w:val="16"/>
          <w:lang w:val="es-AR"/>
        </w:rPr>
        <w:t>Cfr</w:t>
      </w:r>
      <w:r w:rsidRPr="00624696">
        <w:rPr>
          <w:sz w:val="16"/>
          <w:lang w:val="es-AR"/>
        </w:rPr>
        <w:t>.</w:t>
      </w:r>
      <w:r w:rsidRPr="00624696">
        <w:rPr>
          <w:spacing w:val="-14"/>
          <w:sz w:val="16"/>
          <w:lang w:val="es-AR"/>
        </w:rPr>
        <w:t xml:space="preserve"> </w:t>
      </w:r>
      <w:r w:rsidRPr="00624696">
        <w:rPr>
          <w:sz w:val="16"/>
          <w:lang w:val="es-AR"/>
        </w:rPr>
        <w:t>Documento</w:t>
      </w:r>
      <w:r w:rsidRPr="00624696">
        <w:rPr>
          <w:spacing w:val="-12"/>
          <w:sz w:val="16"/>
          <w:lang w:val="es-AR"/>
        </w:rPr>
        <w:t xml:space="preserve"> </w:t>
      </w:r>
      <w:r w:rsidRPr="00624696">
        <w:rPr>
          <w:sz w:val="16"/>
          <w:lang w:val="es-AR"/>
        </w:rPr>
        <w:t>Síntesis</w:t>
      </w:r>
      <w:r w:rsidRPr="00624696">
        <w:rPr>
          <w:spacing w:val="-13"/>
          <w:sz w:val="16"/>
          <w:lang w:val="es-AR"/>
        </w:rPr>
        <w:t xml:space="preserve"> </w:t>
      </w:r>
      <w:r w:rsidRPr="00624696">
        <w:rPr>
          <w:sz w:val="16"/>
          <w:lang w:val="es-AR"/>
        </w:rPr>
        <w:t>del</w:t>
      </w:r>
      <w:r w:rsidRPr="00624696">
        <w:rPr>
          <w:spacing w:val="-13"/>
          <w:sz w:val="16"/>
          <w:lang w:val="es-AR"/>
        </w:rPr>
        <w:t xml:space="preserve"> </w:t>
      </w:r>
      <w:r w:rsidRPr="00624696">
        <w:rPr>
          <w:sz w:val="16"/>
          <w:lang w:val="es-AR"/>
        </w:rPr>
        <w:t>Grupo</w:t>
      </w:r>
      <w:r w:rsidRPr="00624696">
        <w:rPr>
          <w:spacing w:val="-12"/>
          <w:sz w:val="16"/>
          <w:lang w:val="es-AR"/>
        </w:rPr>
        <w:t xml:space="preserve"> </w:t>
      </w:r>
      <w:r w:rsidRPr="00624696">
        <w:rPr>
          <w:sz w:val="16"/>
          <w:lang w:val="es-AR"/>
        </w:rPr>
        <w:t>de</w:t>
      </w:r>
      <w:r w:rsidRPr="00624696">
        <w:rPr>
          <w:spacing w:val="-13"/>
          <w:sz w:val="16"/>
          <w:lang w:val="es-AR"/>
        </w:rPr>
        <w:t xml:space="preserve"> </w:t>
      </w:r>
      <w:r w:rsidRPr="00624696">
        <w:rPr>
          <w:sz w:val="16"/>
          <w:lang w:val="es-AR"/>
        </w:rPr>
        <w:t>Trabajo,</w:t>
      </w:r>
      <w:r w:rsidRPr="00624696">
        <w:rPr>
          <w:spacing w:val="-11"/>
          <w:sz w:val="16"/>
          <w:lang w:val="es-AR"/>
        </w:rPr>
        <w:t xml:space="preserve"> </w:t>
      </w:r>
      <w:r w:rsidRPr="00624696">
        <w:rPr>
          <w:i/>
          <w:sz w:val="16"/>
          <w:lang w:val="es-AR"/>
        </w:rPr>
        <w:t>supra</w:t>
      </w:r>
      <w:r w:rsidRPr="00624696">
        <w:rPr>
          <w:sz w:val="16"/>
          <w:lang w:val="es-AR"/>
        </w:rPr>
        <w:t>,</w:t>
      </w:r>
      <w:r w:rsidRPr="00624696">
        <w:rPr>
          <w:spacing w:val="-13"/>
          <w:sz w:val="16"/>
          <w:lang w:val="es-AR"/>
        </w:rPr>
        <w:t xml:space="preserve"> </w:t>
      </w:r>
      <w:r w:rsidRPr="00624696">
        <w:rPr>
          <w:sz w:val="16"/>
          <w:lang w:val="es-AR"/>
        </w:rPr>
        <w:t>y</w:t>
      </w:r>
      <w:r w:rsidRPr="00624696">
        <w:rPr>
          <w:spacing w:val="-15"/>
          <w:sz w:val="16"/>
          <w:lang w:val="es-AR"/>
        </w:rPr>
        <w:t xml:space="preserve"> </w:t>
      </w:r>
      <w:r w:rsidRPr="00624696">
        <w:rPr>
          <w:sz w:val="16"/>
          <w:lang w:val="es-AR"/>
        </w:rPr>
        <w:t>Declaración</w:t>
      </w:r>
      <w:r w:rsidRPr="00624696">
        <w:rPr>
          <w:spacing w:val="-14"/>
          <w:sz w:val="16"/>
          <w:lang w:val="es-AR"/>
        </w:rPr>
        <w:t xml:space="preserve"> </w:t>
      </w:r>
      <w:r w:rsidRPr="00624696">
        <w:rPr>
          <w:sz w:val="16"/>
          <w:lang w:val="es-AR"/>
        </w:rPr>
        <w:t>rendida</w:t>
      </w:r>
      <w:r w:rsidRPr="00624696">
        <w:rPr>
          <w:spacing w:val="-13"/>
          <w:sz w:val="16"/>
          <w:lang w:val="es-AR"/>
        </w:rPr>
        <w:t xml:space="preserve"> </w:t>
      </w:r>
      <w:r w:rsidRPr="00624696">
        <w:rPr>
          <w:sz w:val="16"/>
          <w:lang w:val="es-AR"/>
        </w:rPr>
        <w:t>ante</w:t>
      </w:r>
      <w:r w:rsidRPr="00624696">
        <w:rPr>
          <w:spacing w:val="-13"/>
          <w:sz w:val="16"/>
          <w:lang w:val="es-AR"/>
        </w:rPr>
        <w:t xml:space="preserve"> </w:t>
      </w:r>
      <w:r w:rsidRPr="00624696">
        <w:rPr>
          <w:sz w:val="16"/>
          <w:lang w:val="es-AR"/>
        </w:rPr>
        <w:t>fedatario</w:t>
      </w:r>
      <w:r w:rsidRPr="00624696">
        <w:rPr>
          <w:spacing w:val="-12"/>
          <w:sz w:val="16"/>
          <w:lang w:val="es-AR"/>
        </w:rPr>
        <w:t xml:space="preserve"> </w:t>
      </w:r>
      <w:r w:rsidRPr="00624696">
        <w:rPr>
          <w:sz w:val="16"/>
          <w:lang w:val="es-AR"/>
        </w:rPr>
        <w:t>público</w:t>
      </w:r>
      <w:r w:rsidRPr="00624696">
        <w:rPr>
          <w:spacing w:val="-11"/>
          <w:sz w:val="16"/>
          <w:lang w:val="es-AR"/>
        </w:rPr>
        <w:t xml:space="preserve"> </w:t>
      </w:r>
      <w:r w:rsidRPr="00624696">
        <w:rPr>
          <w:sz w:val="16"/>
          <w:lang w:val="es-AR"/>
        </w:rPr>
        <w:t>por</w:t>
      </w:r>
      <w:r w:rsidRPr="00624696">
        <w:rPr>
          <w:spacing w:val="-12"/>
          <w:sz w:val="16"/>
          <w:lang w:val="es-AR"/>
        </w:rPr>
        <w:t xml:space="preserve"> </w:t>
      </w:r>
      <w:r w:rsidRPr="00624696">
        <w:rPr>
          <w:sz w:val="16"/>
          <w:lang w:val="es-AR"/>
        </w:rPr>
        <w:t>Bruno</w:t>
      </w:r>
      <w:bookmarkStart w:id="158" w:name="_bookmark132"/>
      <w:bookmarkEnd w:id="158"/>
      <w:r w:rsidRPr="00624696">
        <w:rPr>
          <w:sz w:val="16"/>
          <w:lang w:val="es-AR"/>
        </w:rPr>
        <w:t xml:space="preserve"> Silva dos Santos,</w:t>
      </w:r>
      <w:r w:rsidRPr="00624696">
        <w:rPr>
          <w:spacing w:val="-5"/>
          <w:sz w:val="16"/>
          <w:lang w:val="es-AR"/>
        </w:rPr>
        <w:t xml:space="preserve"> </w:t>
      </w:r>
      <w:r w:rsidRPr="00624696">
        <w:rPr>
          <w:i/>
          <w:sz w:val="16"/>
          <w:lang w:val="es-AR"/>
        </w:rPr>
        <w:t>supra</w:t>
      </w:r>
      <w:r w:rsidRPr="00624696">
        <w:rPr>
          <w:sz w:val="16"/>
          <w:lang w:val="es-AR"/>
        </w:rPr>
        <w:t>.</w:t>
      </w:r>
    </w:p>
    <w:p w14:paraId="6A6C4AFD" w14:textId="77777777" w:rsidR="00467FCA" w:rsidRPr="00624696" w:rsidRDefault="001B68EB">
      <w:pPr>
        <w:tabs>
          <w:tab w:val="left" w:pos="839"/>
        </w:tabs>
        <w:ind w:left="119" w:right="119"/>
        <w:jc w:val="both"/>
        <w:rPr>
          <w:sz w:val="16"/>
          <w:lang w:val="es-AR"/>
        </w:rPr>
      </w:pPr>
      <w:r w:rsidRPr="00624696">
        <w:rPr>
          <w:position w:val="6"/>
          <w:sz w:val="10"/>
          <w:lang w:val="es-AR"/>
        </w:rPr>
        <w:t>108</w:t>
      </w:r>
      <w:r w:rsidRPr="00624696">
        <w:rPr>
          <w:position w:val="6"/>
          <w:sz w:val="10"/>
          <w:lang w:val="es-AR"/>
        </w:rPr>
        <w:tab/>
      </w:r>
      <w:r w:rsidRPr="00624696">
        <w:rPr>
          <w:i/>
          <w:sz w:val="16"/>
          <w:lang w:val="es-AR"/>
        </w:rPr>
        <w:t xml:space="preserve">Cfr. </w:t>
      </w:r>
      <w:r w:rsidRPr="00624696">
        <w:rPr>
          <w:sz w:val="16"/>
          <w:lang w:val="es-AR"/>
        </w:rPr>
        <w:t>Peritaje rendido por Viviane de Jesus Forte en Audiencia Pública realizada el 31 de enero de 2020 ante la Corte IDH.</w:t>
      </w:r>
    </w:p>
    <w:p w14:paraId="5785CE82" w14:textId="77777777" w:rsidR="00467FCA" w:rsidRPr="00624696" w:rsidRDefault="001B68EB">
      <w:pPr>
        <w:tabs>
          <w:tab w:val="left" w:pos="839"/>
        </w:tabs>
        <w:ind w:left="120"/>
        <w:rPr>
          <w:i/>
          <w:sz w:val="16"/>
          <w:lang w:val="es-AR"/>
        </w:rPr>
      </w:pPr>
      <w:bookmarkStart w:id="159" w:name="_bookmark133"/>
      <w:bookmarkEnd w:id="159"/>
      <w:r w:rsidRPr="00624696">
        <w:rPr>
          <w:position w:val="6"/>
          <w:sz w:val="10"/>
          <w:lang w:val="es-AR"/>
        </w:rPr>
        <w:t>109</w:t>
      </w:r>
      <w:r w:rsidRPr="00624696">
        <w:rPr>
          <w:position w:val="6"/>
          <w:sz w:val="10"/>
          <w:lang w:val="es-AR"/>
        </w:rPr>
        <w:tab/>
      </w:r>
      <w:r w:rsidRPr="00624696">
        <w:rPr>
          <w:i/>
          <w:sz w:val="16"/>
          <w:lang w:val="es-AR"/>
        </w:rPr>
        <w:t xml:space="preserve">Cfr. </w:t>
      </w:r>
      <w:r w:rsidRPr="00624696">
        <w:rPr>
          <w:sz w:val="16"/>
          <w:lang w:val="es-AR"/>
        </w:rPr>
        <w:t>Peritaje rendido por Viviane de Jesus Forte,</w:t>
      </w:r>
      <w:r w:rsidRPr="00624696">
        <w:rPr>
          <w:spacing w:val="-8"/>
          <w:sz w:val="16"/>
          <w:lang w:val="es-AR"/>
        </w:rPr>
        <w:t xml:space="preserve"> </w:t>
      </w:r>
      <w:r w:rsidRPr="00624696">
        <w:rPr>
          <w:i/>
          <w:sz w:val="16"/>
          <w:lang w:val="es-AR"/>
        </w:rPr>
        <w:t>supra.</w:t>
      </w:r>
    </w:p>
    <w:p w14:paraId="43504212" w14:textId="77777777" w:rsidR="00467FCA" w:rsidRPr="00624696" w:rsidRDefault="001B68EB">
      <w:pPr>
        <w:tabs>
          <w:tab w:val="left" w:pos="839"/>
        </w:tabs>
        <w:ind w:left="120"/>
        <w:rPr>
          <w:sz w:val="16"/>
          <w:lang w:val="es-AR"/>
        </w:rPr>
      </w:pPr>
      <w:bookmarkStart w:id="160" w:name="_bookmark134"/>
      <w:bookmarkEnd w:id="160"/>
      <w:r w:rsidRPr="00624696">
        <w:rPr>
          <w:position w:val="6"/>
          <w:sz w:val="10"/>
          <w:lang w:val="es-AR"/>
        </w:rPr>
        <w:t>110</w:t>
      </w:r>
      <w:r w:rsidRPr="00624696">
        <w:rPr>
          <w:position w:val="6"/>
          <w:sz w:val="10"/>
          <w:lang w:val="es-AR"/>
        </w:rPr>
        <w:tab/>
      </w:r>
      <w:bookmarkStart w:id="161" w:name="_bookmark135"/>
      <w:bookmarkEnd w:id="161"/>
      <w:r w:rsidRPr="00624696">
        <w:rPr>
          <w:i/>
          <w:sz w:val="16"/>
          <w:lang w:val="es-AR"/>
        </w:rPr>
        <w:t xml:space="preserve">Cfr. </w:t>
      </w:r>
      <w:r w:rsidRPr="00624696">
        <w:rPr>
          <w:sz w:val="16"/>
          <w:lang w:val="es-AR"/>
        </w:rPr>
        <w:t>Declaración rendi</w:t>
      </w:r>
      <w:r w:rsidRPr="00624696">
        <w:rPr>
          <w:sz w:val="16"/>
          <w:lang w:val="es-AR"/>
        </w:rPr>
        <w:t>da ante fedatario público por Bruno Silva dos Santos,</w:t>
      </w:r>
      <w:r w:rsidRPr="00624696">
        <w:rPr>
          <w:spacing w:val="-16"/>
          <w:sz w:val="16"/>
          <w:lang w:val="es-AR"/>
        </w:rPr>
        <w:t xml:space="preserve"> </w:t>
      </w:r>
      <w:r w:rsidRPr="00624696">
        <w:rPr>
          <w:i/>
          <w:sz w:val="16"/>
          <w:lang w:val="es-AR"/>
        </w:rPr>
        <w:t>supra</w:t>
      </w:r>
      <w:r w:rsidRPr="00624696">
        <w:rPr>
          <w:sz w:val="16"/>
          <w:lang w:val="es-AR"/>
        </w:rPr>
        <w:t>.</w:t>
      </w:r>
    </w:p>
    <w:p w14:paraId="79037524" w14:textId="77777777" w:rsidR="00467FCA" w:rsidRPr="00624696" w:rsidRDefault="001B68EB">
      <w:pPr>
        <w:tabs>
          <w:tab w:val="left" w:pos="839"/>
        </w:tabs>
        <w:ind w:left="120" w:right="129" w:hanging="1"/>
        <w:rPr>
          <w:sz w:val="16"/>
          <w:lang w:val="es-AR"/>
        </w:rPr>
      </w:pPr>
      <w:r w:rsidRPr="00624696">
        <w:rPr>
          <w:position w:val="6"/>
          <w:sz w:val="10"/>
          <w:lang w:val="es-AR"/>
        </w:rPr>
        <w:t>111</w:t>
      </w:r>
      <w:r w:rsidRPr="00624696">
        <w:rPr>
          <w:position w:val="6"/>
          <w:sz w:val="10"/>
          <w:lang w:val="es-AR"/>
        </w:rPr>
        <w:tab/>
      </w:r>
      <w:r w:rsidRPr="00624696">
        <w:rPr>
          <w:i/>
          <w:sz w:val="16"/>
          <w:lang w:val="es-AR"/>
        </w:rPr>
        <w:t xml:space="preserve">Cfr. </w:t>
      </w:r>
      <w:r w:rsidRPr="00624696">
        <w:rPr>
          <w:sz w:val="16"/>
          <w:lang w:val="es-AR"/>
        </w:rPr>
        <w:t>Declaración rendida ante fedatario público por Claudia Reis dos Santos el 7 de enero de 2020 (expediente de fondo, folios 878 y</w:t>
      </w:r>
      <w:r w:rsidRPr="00624696">
        <w:rPr>
          <w:spacing w:val="-10"/>
          <w:sz w:val="16"/>
          <w:lang w:val="es-AR"/>
        </w:rPr>
        <w:t xml:space="preserve"> </w:t>
      </w:r>
      <w:r w:rsidRPr="00624696">
        <w:rPr>
          <w:sz w:val="16"/>
          <w:lang w:val="es-AR"/>
        </w:rPr>
        <w:t>879).</w:t>
      </w:r>
    </w:p>
    <w:p w14:paraId="14B1E6A8" w14:textId="77777777" w:rsidR="00467FCA" w:rsidRPr="00624696" w:rsidRDefault="001B68EB">
      <w:pPr>
        <w:tabs>
          <w:tab w:val="left" w:pos="839"/>
        </w:tabs>
        <w:ind w:left="120" w:right="112" w:hanging="1"/>
        <w:jc w:val="both"/>
        <w:rPr>
          <w:i/>
          <w:sz w:val="16"/>
          <w:lang w:val="es-AR"/>
        </w:rPr>
      </w:pPr>
      <w:bookmarkStart w:id="162" w:name="_bookmark136"/>
      <w:bookmarkEnd w:id="162"/>
      <w:r w:rsidRPr="00624696">
        <w:rPr>
          <w:position w:val="6"/>
          <w:sz w:val="10"/>
          <w:lang w:val="es-AR"/>
        </w:rPr>
        <w:t>112</w:t>
      </w:r>
      <w:r w:rsidRPr="00624696">
        <w:rPr>
          <w:position w:val="6"/>
          <w:sz w:val="10"/>
          <w:lang w:val="es-AR"/>
        </w:rPr>
        <w:tab/>
      </w:r>
      <w:r w:rsidRPr="00624696">
        <w:rPr>
          <w:sz w:val="16"/>
          <w:lang w:val="es-AR"/>
        </w:rPr>
        <w:t>De acuerdo con la declaración rendida por Leila Cerqueira dos Santos en Audiencia Pública ante la Corte IDH, trabajaba</w:t>
      </w:r>
      <w:r w:rsidRPr="00624696">
        <w:rPr>
          <w:sz w:val="16"/>
          <w:lang w:val="es-AR"/>
        </w:rPr>
        <w:t xml:space="preserve">n de 6 de la mañana a 5:30 de la tarde. </w:t>
      </w:r>
      <w:r w:rsidRPr="00624696">
        <w:rPr>
          <w:i/>
          <w:sz w:val="16"/>
          <w:lang w:val="es-AR"/>
        </w:rPr>
        <w:t xml:space="preserve">Cfr. </w:t>
      </w:r>
      <w:r w:rsidRPr="00624696">
        <w:rPr>
          <w:sz w:val="16"/>
          <w:lang w:val="es-AR"/>
        </w:rPr>
        <w:t xml:space="preserve">Declaración rendida por Leila Cerqueira dos Santos, </w:t>
      </w:r>
      <w:r w:rsidRPr="00624696">
        <w:rPr>
          <w:i/>
          <w:sz w:val="16"/>
          <w:lang w:val="es-AR"/>
        </w:rPr>
        <w:t>supra</w:t>
      </w:r>
      <w:r w:rsidRPr="00624696">
        <w:rPr>
          <w:sz w:val="16"/>
          <w:lang w:val="es-AR"/>
        </w:rPr>
        <w:t xml:space="preserve">. </w:t>
      </w:r>
      <w:r w:rsidRPr="00624696">
        <w:rPr>
          <w:i/>
          <w:sz w:val="16"/>
          <w:lang w:val="es-AR"/>
        </w:rPr>
        <w:t xml:space="preserve">Cfr. </w:t>
      </w:r>
      <w:r w:rsidRPr="00624696">
        <w:rPr>
          <w:sz w:val="16"/>
          <w:lang w:val="es-AR"/>
        </w:rPr>
        <w:t xml:space="preserve">BARBOSA JÚNIOR, José Amândio. </w:t>
      </w:r>
      <w:r w:rsidRPr="00624696">
        <w:rPr>
          <w:i/>
          <w:sz w:val="16"/>
          <w:lang w:val="es-AR"/>
        </w:rPr>
        <w:t>“La Producción de Fuegos Artificiales en el Municipio de Santo Antônio de Jesus/BA: un análisis de su contribución pa</w:t>
      </w:r>
      <w:r w:rsidRPr="00624696">
        <w:rPr>
          <w:i/>
          <w:sz w:val="16"/>
          <w:lang w:val="es-AR"/>
        </w:rPr>
        <w:t>ra el desarrollo local”</w:t>
      </w:r>
      <w:r w:rsidRPr="00624696">
        <w:rPr>
          <w:sz w:val="16"/>
          <w:lang w:val="es-AR"/>
        </w:rPr>
        <w:t>,</w:t>
      </w:r>
      <w:r w:rsidRPr="00624696">
        <w:rPr>
          <w:spacing w:val="-12"/>
          <w:sz w:val="16"/>
          <w:lang w:val="es-AR"/>
        </w:rPr>
        <w:t xml:space="preserve"> </w:t>
      </w:r>
      <w:r w:rsidRPr="00624696">
        <w:rPr>
          <w:i/>
          <w:sz w:val="16"/>
          <w:lang w:val="es-AR"/>
        </w:rPr>
        <w:t>supra.</w:t>
      </w:r>
    </w:p>
    <w:p w14:paraId="07EA892F" w14:textId="77777777" w:rsidR="00467FCA" w:rsidRPr="00624696" w:rsidRDefault="001B68EB">
      <w:pPr>
        <w:tabs>
          <w:tab w:val="left" w:pos="839"/>
        </w:tabs>
        <w:spacing w:line="194" w:lineRule="exact"/>
        <w:ind w:left="120"/>
        <w:jc w:val="both"/>
        <w:rPr>
          <w:sz w:val="16"/>
          <w:lang w:val="es-AR"/>
        </w:rPr>
      </w:pPr>
      <w:bookmarkStart w:id="163" w:name="_bookmark137"/>
      <w:bookmarkEnd w:id="163"/>
      <w:r w:rsidRPr="00624696">
        <w:rPr>
          <w:position w:val="6"/>
          <w:sz w:val="10"/>
          <w:lang w:val="es-AR"/>
        </w:rPr>
        <w:t>113</w:t>
      </w:r>
      <w:r w:rsidRPr="00624696">
        <w:rPr>
          <w:position w:val="6"/>
          <w:sz w:val="10"/>
          <w:lang w:val="es-AR"/>
        </w:rPr>
        <w:tab/>
      </w:r>
      <w:r w:rsidRPr="00624696">
        <w:rPr>
          <w:i/>
          <w:sz w:val="16"/>
          <w:lang w:val="es-AR"/>
        </w:rPr>
        <w:t xml:space="preserve">Cfr. </w:t>
      </w:r>
      <w:r w:rsidRPr="00624696">
        <w:rPr>
          <w:sz w:val="16"/>
          <w:lang w:val="es-AR"/>
        </w:rPr>
        <w:t>Declaración rendida por Maria Balbina dos Santos,</w:t>
      </w:r>
      <w:r w:rsidRPr="00624696">
        <w:rPr>
          <w:spacing w:val="-13"/>
          <w:sz w:val="16"/>
          <w:lang w:val="es-AR"/>
        </w:rPr>
        <w:t xml:space="preserve"> </w:t>
      </w:r>
      <w:r w:rsidRPr="00624696">
        <w:rPr>
          <w:i/>
          <w:sz w:val="16"/>
          <w:lang w:val="es-AR"/>
        </w:rPr>
        <w:t>supra</w:t>
      </w:r>
      <w:r w:rsidRPr="00624696">
        <w:rPr>
          <w:sz w:val="16"/>
          <w:lang w:val="es-AR"/>
        </w:rPr>
        <w:t>.</w:t>
      </w:r>
    </w:p>
    <w:p w14:paraId="4B9D94DC" w14:textId="77777777" w:rsidR="00467FCA" w:rsidRPr="00624696" w:rsidRDefault="001B68EB">
      <w:pPr>
        <w:tabs>
          <w:tab w:val="left" w:pos="839"/>
        </w:tabs>
        <w:ind w:left="120"/>
        <w:jc w:val="both"/>
        <w:rPr>
          <w:sz w:val="16"/>
          <w:lang w:val="es-AR"/>
        </w:rPr>
      </w:pPr>
      <w:bookmarkStart w:id="164" w:name="_bookmark138"/>
      <w:bookmarkEnd w:id="164"/>
      <w:r w:rsidRPr="00624696">
        <w:rPr>
          <w:position w:val="6"/>
          <w:sz w:val="10"/>
          <w:lang w:val="es-AR"/>
        </w:rPr>
        <w:t>114</w:t>
      </w:r>
      <w:r w:rsidRPr="00624696">
        <w:rPr>
          <w:position w:val="6"/>
          <w:sz w:val="10"/>
          <w:lang w:val="es-AR"/>
        </w:rPr>
        <w:tab/>
      </w:r>
      <w:r w:rsidRPr="00624696">
        <w:rPr>
          <w:i/>
          <w:sz w:val="16"/>
          <w:lang w:val="es-AR"/>
        </w:rPr>
        <w:t xml:space="preserve">Cfr. </w:t>
      </w:r>
      <w:r w:rsidRPr="00624696">
        <w:rPr>
          <w:sz w:val="16"/>
          <w:lang w:val="es-AR"/>
        </w:rPr>
        <w:t>Peritaje rendido por Sônia Marise Rodrigues Pereira Tomasoni,</w:t>
      </w:r>
      <w:r w:rsidRPr="00624696">
        <w:rPr>
          <w:spacing w:val="-12"/>
          <w:sz w:val="16"/>
          <w:lang w:val="es-AR"/>
        </w:rPr>
        <w:t xml:space="preserve"> </w:t>
      </w:r>
      <w:r w:rsidRPr="00624696">
        <w:rPr>
          <w:i/>
          <w:sz w:val="16"/>
          <w:lang w:val="es-AR"/>
        </w:rPr>
        <w:t>supra</w:t>
      </w:r>
      <w:r w:rsidRPr="00624696">
        <w:rPr>
          <w:sz w:val="16"/>
          <w:lang w:val="es-AR"/>
        </w:rPr>
        <w:t>.</w:t>
      </w:r>
    </w:p>
    <w:p w14:paraId="77648C04" w14:textId="77777777" w:rsidR="00467FCA" w:rsidRPr="00624696" w:rsidRDefault="00467FCA">
      <w:pPr>
        <w:jc w:val="both"/>
        <w:rPr>
          <w:sz w:val="16"/>
          <w:lang w:val="es-AR"/>
        </w:rPr>
        <w:sectPr w:rsidR="00467FCA" w:rsidRPr="00624696">
          <w:pgSz w:w="12240" w:h="15840"/>
          <w:pgMar w:top="1360" w:right="1320" w:bottom="1220" w:left="1320" w:header="0" w:footer="1037" w:gutter="0"/>
          <w:cols w:space="720"/>
        </w:sectPr>
      </w:pPr>
    </w:p>
    <w:p w14:paraId="675C7C52" w14:textId="77777777" w:rsidR="00467FCA" w:rsidRPr="00624696" w:rsidRDefault="001B68EB">
      <w:pPr>
        <w:pStyle w:val="Textoindependiente"/>
        <w:spacing w:before="80"/>
        <w:ind w:left="119" w:right="118"/>
        <w:jc w:val="both"/>
        <w:rPr>
          <w:lang w:val="es-AR"/>
        </w:rPr>
      </w:pPr>
      <w:r w:rsidRPr="00624696">
        <w:rPr>
          <w:lang w:val="es-AR"/>
        </w:rPr>
        <w:t>días 21 a 23 de marzo de 2007, revelaron que, en aquella época, la</w:t>
      </w:r>
      <w:r w:rsidRPr="00624696">
        <w:rPr>
          <w:lang w:val="es-AR"/>
        </w:rPr>
        <w:t xml:space="preserve"> familia “Prazeres” continuaba empleando, en condiciones de gran peligro, mano de obra de personas pobres (algunas</w:t>
      </w:r>
      <w:r w:rsidRPr="00624696">
        <w:rPr>
          <w:spacing w:val="-9"/>
          <w:lang w:val="es-AR"/>
        </w:rPr>
        <w:t xml:space="preserve"> </w:t>
      </w:r>
      <w:r w:rsidRPr="00624696">
        <w:rPr>
          <w:lang w:val="es-AR"/>
        </w:rPr>
        <w:t>de</w:t>
      </w:r>
      <w:r w:rsidRPr="00624696">
        <w:rPr>
          <w:spacing w:val="-7"/>
          <w:lang w:val="es-AR"/>
        </w:rPr>
        <w:t xml:space="preserve"> </w:t>
      </w:r>
      <w:r w:rsidRPr="00624696">
        <w:rPr>
          <w:lang w:val="es-AR"/>
        </w:rPr>
        <w:t>ellas</w:t>
      </w:r>
      <w:r w:rsidRPr="00624696">
        <w:rPr>
          <w:spacing w:val="-6"/>
          <w:lang w:val="es-AR"/>
        </w:rPr>
        <w:t xml:space="preserve"> </w:t>
      </w:r>
      <w:r w:rsidRPr="00624696">
        <w:rPr>
          <w:lang w:val="es-AR"/>
        </w:rPr>
        <w:t>niñas</w:t>
      </w:r>
      <w:r w:rsidRPr="00624696">
        <w:rPr>
          <w:spacing w:val="-6"/>
          <w:lang w:val="es-AR"/>
        </w:rPr>
        <w:t xml:space="preserve"> </w:t>
      </w:r>
      <w:r w:rsidRPr="00624696">
        <w:rPr>
          <w:lang w:val="es-AR"/>
        </w:rPr>
        <w:t>y</w:t>
      </w:r>
      <w:r w:rsidRPr="00624696">
        <w:rPr>
          <w:spacing w:val="-7"/>
          <w:lang w:val="es-AR"/>
        </w:rPr>
        <w:t xml:space="preserve"> </w:t>
      </w:r>
      <w:r w:rsidRPr="00624696">
        <w:rPr>
          <w:lang w:val="es-AR"/>
        </w:rPr>
        <w:t>niños)</w:t>
      </w:r>
      <w:r w:rsidRPr="00624696">
        <w:rPr>
          <w:spacing w:val="-5"/>
          <w:lang w:val="es-AR"/>
        </w:rPr>
        <w:t xml:space="preserve"> </w:t>
      </w:r>
      <w:r w:rsidRPr="00624696">
        <w:rPr>
          <w:lang w:val="es-AR"/>
        </w:rPr>
        <w:t>y</w:t>
      </w:r>
      <w:r w:rsidRPr="00624696">
        <w:rPr>
          <w:spacing w:val="-6"/>
          <w:lang w:val="es-AR"/>
        </w:rPr>
        <w:t xml:space="preserve"> </w:t>
      </w:r>
      <w:r w:rsidRPr="00624696">
        <w:rPr>
          <w:lang w:val="es-AR"/>
        </w:rPr>
        <w:t>que</w:t>
      </w:r>
      <w:r w:rsidRPr="00624696">
        <w:rPr>
          <w:spacing w:val="-7"/>
          <w:lang w:val="es-AR"/>
        </w:rPr>
        <w:t xml:space="preserve"> </w:t>
      </w:r>
      <w:r w:rsidRPr="00624696">
        <w:rPr>
          <w:lang w:val="es-AR"/>
        </w:rPr>
        <w:t>les</w:t>
      </w:r>
      <w:r w:rsidRPr="00624696">
        <w:rPr>
          <w:spacing w:val="-6"/>
          <w:lang w:val="es-AR"/>
        </w:rPr>
        <w:t xml:space="preserve"> </w:t>
      </w:r>
      <w:r w:rsidRPr="00624696">
        <w:rPr>
          <w:lang w:val="es-AR"/>
        </w:rPr>
        <w:t>pagaban</w:t>
      </w:r>
      <w:r w:rsidRPr="00624696">
        <w:rPr>
          <w:spacing w:val="-7"/>
          <w:lang w:val="es-AR"/>
        </w:rPr>
        <w:t xml:space="preserve"> </w:t>
      </w:r>
      <w:r w:rsidRPr="00624696">
        <w:rPr>
          <w:lang w:val="es-AR"/>
        </w:rPr>
        <w:t>solamente</w:t>
      </w:r>
      <w:r w:rsidRPr="00624696">
        <w:rPr>
          <w:spacing w:val="-6"/>
          <w:lang w:val="es-AR"/>
        </w:rPr>
        <w:t xml:space="preserve"> </w:t>
      </w:r>
      <w:r w:rsidRPr="00624696">
        <w:rPr>
          <w:lang w:val="es-AR"/>
        </w:rPr>
        <w:t>50</w:t>
      </w:r>
      <w:r w:rsidRPr="00624696">
        <w:rPr>
          <w:spacing w:val="-5"/>
          <w:lang w:val="es-AR"/>
        </w:rPr>
        <w:t xml:space="preserve"> </w:t>
      </w:r>
      <w:r w:rsidRPr="00624696">
        <w:rPr>
          <w:lang w:val="es-AR"/>
        </w:rPr>
        <w:t>centavos</w:t>
      </w:r>
      <w:r w:rsidRPr="00624696">
        <w:rPr>
          <w:spacing w:val="-6"/>
          <w:lang w:val="es-AR"/>
        </w:rPr>
        <w:t xml:space="preserve"> </w:t>
      </w:r>
      <w:r w:rsidRPr="00624696">
        <w:rPr>
          <w:lang w:val="es-AR"/>
        </w:rPr>
        <w:t>de</w:t>
      </w:r>
      <w:r w:rsidRPr="00624696">
        <w:rPr>
          <w:spacing w:val="-7"/>
          <w:lang w:val="es-AR"/>
        </w:rPr>
        <w:t xml:space="preserve"> </w:t>
      </w:r>
      <w:r w:rsidRPr="00624696">
        <w:rPr>
          <w:lang w:val="es-AR"/>
        </w:rPr>
        <w:t>reales</w:t>
      </w:r>
      <w:r w:rsidRPr="00624696">
        <w:rPr>
          <w:spacing w:val="-6"/>
          <w:lang w:val="es-AR"/>
        </w:rPr>
        <w:t xml:space="preserve"> </w:t>
      </w:r>
      <w:r w:rsidRPr="00624696">
        <w:rPr>
          <w:lang w:val="es-AR"/>
        </w:rPr>
        <w:t>por</w:t>
      </w:r>
      <w:r w:rsidRPr="00624696">
        <w:rPr>
          <w:spacing w:val="-7"/>
          <w:lang w:val="es-AR"/>
        </w:rPr>
        <w:t xml:space="preserve"> </w:t>
      </w:r>
      <w:r w:rsidRPr="00624696">
        <w:rPr>
          <w:lang w:val="es-AR"/>
        </w:rPr>
        <w:t>cada mil fuegos artificiales</w:t>
      </w:r>
      <w:r w:rsidRPr="00624696">
        <w:rPr>
          <w:spacing w:val="-5"/>
          <w:lang w:val="es-AR"/>
        </w:rPr>
        <w:t xml:space="preserve"> </w:t>
      </w:r>
      <w:r w:rsidRPr="00624696">
        <w:rPr>
          <w:lang w:val="es-AR"/>
        </w:rPr>
        <w:t>producidos</w:t>
      </w:r>
      <w:hyperlink w:anchor="_bookmark140" w:history="1">
        <w:r w:rsidRPr="00624696">
          <w:rPr>
            <w:position w:val="7"/>
            <w:sz w:val="13"/>
            <w:lang w:val="es-AR"/>
          </w:rPr>
          <w:t>115</w:t>
        </w:r>
      </w:hyperlink>
      <w:r w:rsidRPr="00624696">
        <w:rPr>
          <w:lang w:val="es-AR"/>
        </w:rPr>
        <w:t>.</w:t>
      </w:r>
    </w:p>
    <w:p w14:paraId="621A5431" w14:textId="77777777" w:rsidR="00467FCA" w:rsidRPr="00624696" w:rsidRDefault="00467FCA">
      <w:pPr>
        <w:pStyle w:val="Textoindependiente"/>
        <w:spacing w:before="11"/>
        <w:rPr>
          <w:sz w:val="19"/>
          <w:lang w:val="es-AR"/>
        </w:rPr>
      </w:pPr>
    </w:p>
    <w:p w14:paraId="271CC60D" w14:textId="77777777" w:rsidR="00467FCA" w:rsidRPr="00624696" w:rsidRDefault="001B68EB">
      <w:pPr>
        <w:pStyle w:val="Ttulo1"/>
        <w:numPr>
          <w:ilvl w:val="0"/>
          <w:numId w:val="44"/>
        </w:numPr>
        <w:tabs>
          <w:tab w:val="left" w:pos="840"/>
        </w:tabs>
        <w:ind w:left="839"/>
        <w:rPr>
          <w:lang w:val="es-AR"/>
        </w:rPr>
      </w:pPr>
      <w:bookmarkStart w:id="165" w:name="C._La_explosión_en_la_fábrica_de_fuegos"/>
      <w:bookmarkStart w:id="166" w:name="_bookmark139"/>
      <w:bookmarkEnd w:id="165"/>
      <w:bookmarkEnd w:id="166"/>
      <w:r w:rsidRPr="00624696">
        <w:rPr>
          <w:lang w:val="es-AR"/>
        </w:rPr>
        <w:t>La explosión en la fábrica de</w:t>
      </w:r>
      <w:r w:rsidRPr="00624696">
        <w:rPr>
          <w:spacing w:val="-8"/>
          <w:lang w:val="es-AR"/>
        </w:rPr>
        <w:t xml:space="preserve"> </w:t>
      </w:r>
      <w:r w:rsidRPr="00624696">
        <w:rPr>
          <w:lang w:val="es-AR"/>
        </w:rPr>
        <w:t>fuegos</w:t>
      </w:r>
    </w:p>
    <w:p w14:paraId="15E6A9EE" w14:textId="77777777" w:rsidR="00467FCA" w:rsidRPr="00624696" w:rsidRDefault="00467FCA">
      <w:pPr>
        <w:pStyle w:val="Textoindependiente"/>
        <w:spacing w:before="1"/>
        <w:rPr>
          <w:b/>
          <w:lang w:val="es-AR"/>
        </w:rPr>
      </w:pPr>
    </w:p>
    <w:p w14:paraId="4D11D4B2" w14:textId="77777777" w:rsidR="00467FCA" w:rsidRPr="00624696" w:rsidRDefault="001B68EB">
      <w:pPr>
        <w:pStyle w:val="Prrafodelista"/>
        <w:numPr>
          <w:ilvl w:val="0"/>
          <w:numId w:val="50"/>
        </w:numPr>
        <w:tabs>
          <w:tab w:val="left" w:pos="687"/>
        </w:tabs>
        <w:spacing w:before="1"/>
        <w:ind w:right="119" w:hanging="1"/>
        <w:jc w:val="both"/>
        <w:rPr>
          <w:sz w:val="20"/>
          <w:lang w:val="es-AR"/>
        </w:rPr>
      </w:pPr>
      <w:r w:rsidRPr="00624696">
        <w:rPr>
          <w:sz w:val="20"/>
          <w:lang w:val="es-AR"/>
        </w:rPr>
        <w:t>El</w:t>
      </w:r>
      <w:r w:rsidRPr="00624696">
        <w:rPr>
          <w:spacing w:val="-15"/>
          <w:sz w:val="20"/>
          <w:lang w:val="es-AR"/>
        </w:rPr>
        <w:t xml:space="preserve"> </w:t>
      </w:r>
      <w:r w:rsidRPr="00624696">
        <w:rPr>
          <w:sz w:val="20"/>
          <w:lang w:val="es-AR"/>
        </w:rPr>
        <w:t>11</w:t>
      </w:r>
      <w:r w:rsidRPr="00624696">
        <w:rPr>
          <w:spacing w:val="-13"/>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diciembre</w:t>
      </w:r>
      <w:r w:rsidRPr="00624696">
        <w:rPr>
          <w:spacing w:val="-13"/>
          <w:sz w:val="20"/>
          <w:lang w:val="es-AR"/>
        </w:rPr>
        <w:t xml:space="preserve"> </w:t>
      </w:r>
      <w:r w:rsidRPr="00624696">
        <w:rPr>
          <w:sz w:val="20"/>
          <w:lang w:val="es-AR"/>
        </w:rPr>
        <w:t>de</w:t>
      </w:r>
      <w:r w:rsidRPr="00624696">
        <w:rPr>
          <w:spacing w:val="-15"/>
          <w:sz w:val="20"/>
          <w:lang w:val="es-AR"/>
        </w:rPr>
        <w:t xml:space="preserve"> </w:t>
      </w:r>
      <w:r w:rsidRPr="00624696">
        <w:rPr>
          <w:sz w:val="20"/>
          <w:lang w:val="es-AR"/>
        </w:rPr>
        <w:t>1998,</w:t>
      </w:r>
      <w:r w:rsidRPr="00624696">
        <w:rPr>
          <w:spacing w:val="-16"/>
          <w:sz w:val="20"/>
          <w:lang w:val="es-AR"/>
        </w:rPr>
        <w:t xml:space="preserve"> </w:t>
      </w:r>
      <w:r w:rsidRPr="00624696">
        <w:rPr>
          <w:sz w:val="20"/>
          <w:lang w:val="es-AR"/>
        </w:rPr>
        <w:t>aproximadamente</w:t>
      </w:r>
      <w:r w:rsidRPr="00624696">
        <w:rPr>
          <w:spacing w:val="-13"/>
          <w:sz w:val="20"/>
          <w:lang w:val="es-AR"/>
        </w:rPr>
        <w:t xml:space="preserve"> </w:t>
      </w:r>
      <w:r w:rsidRPr="00624696">
        <w:rPr>
          <w:sz w:val="20"/>
          <w:lang w:val="es-AR"/>
        </w:rPr>
        <w:t>a</w:t>
      </w:r>
      <w:r w:rsidRPr="00624696">
        <w:rPr>
          <w:spacing w:val="-9"/>
          <w:sz w:val="20"/>
          <w:lang w:val="es-AR"/>
        </w:rPr>
        <w:t xml:space="preserve"> </w:t>
      </w:r>
      <w:r w:rsidRPr="00624696">
        <w:rPr>
          <w:sz w:val="20"/>
          <w:lang w:val="es-AR"/>
        </w:rPr>
        <w:t>las</w:t>
      </w:r>
      <w:r w:rsidRPr="00624696">
        <w:rPr>
          <w:spacing w:val="-15"/>
          <w:sz w:val="20"/>
          <w:lang w:val="es-AR"/>
        </w:rPr>
        <w:t xml:space="preserve"> </w:t>
      </w:r>
      <w:r w:rsidRPr="00624696">
        <w:rPr>
          <w:sz w:val="20"/>
          <w:lang w:val="es-AR"/>
        </w:rPr>
        <w:t>12:00</w:t>
      </w:r>
      <w:r w:rsidRPr="00624696">
        <w:rPr>
          <w:spacing w:val="-12"/>
          <w:sz w:val="20"/>
          <w:lang w:val="es-AR"/>
        </w:rPr>
        <w:t xml:space="preserve"> </w:t>
      </w:r>
      <w:r w:rsidRPr="00624696">
        <w:rPr>
          <w:sz w:val="20"/>
          <w:lang w:val="es-AR"/>
        </w:rPr>
        <w:t>del</w:t>
      </w:r>
      <w:r w:rsidRPr="00624696">
        <w:rPr>
          <w:spacing w:val="-11"/>
          <w:sz w:val="20"/>
          <w:lang w:val="es-AR"/>
        </w:rPr>
        <w:t xml:space="preserve"> </w:t>
      </w:r>
      <w:r w:rsidRPr="00624696">
        <w:rPr>
          <w:sz w:val="20"/>
          <w:lang w:val="es-AR"/>
        </w:rPr>
        <w:t>mediodía,</w:t>
      </w:r>
      <w:r w:rsidRPr="00624696">
        <w:rPr>
          <w:spacing w:val="-10"/>
          <w:sz w:val="20"/>
          <w:lang w:val="es-AR"/>
        </w:rPr>
        <w:t xml:space="preserve"> </w:t>
      </w:r>
      <w:r w:rsidRPr="00624696">
        <w:rPr>
          <w:sz w:val="20"/>
          <w:lang w:val="es-AR"/>
        </w:rPr>
        <w:t>se</w:t>
      </w:r>
      <w:r w:rsidRPr="00624696">
        <w:rPr>
          <w:spacing w:val="-13"/>
          <w:sz w:val="20"/>
          <w:lang w:val="es-AR"/>
        </w:rPr>
        <w:t xml:space="preserve"> </w:t>
      </w:r>
      <w:r w:rsidRPr="00624696">
        <w:rPr>
          <w:sz w:val="20"/>
          <w:lang w:val="es-AR"/>
        </w:rPr>
        <w:t>produjo</w:t>
      </w:r>
      <w:r w:rsidRPr="00624696">
        <w:rPr>
          <w:spacing w:val="-14"/>
          <w:sz w:val="20"/>
          <w:lang w:val="es-AR"/>
        </w:rPr>
        <w:t xml:space="preserve"> </w:t>
      </w:r>
      <w:r w:rsidRPr="00624696">
        <w:rPr>
          <w:sz w:val="20"/>
          <w:lang w:val="es-AR"/>
        </w:rPr>
        <w:t>una explosión en la fábrica de “Vardo de los Fuegos”</w:t>
      </w:r>
      <w:hyperlink w:anchor="_bookmark141" w:history="1">
        <w:r w:rsidRPr="00624696">
          <w:rPr>
            <w:position w:val="7"/>
            <w:sz w:val="13"/>
            <w:lang w:val="es-AR"/>
          </w:rPr>
          <w:t>116</w:t>
        </w:r>
      </w:hyperlink>
      <w:r w:rsidRPr="00624696">
        <w:rPr>
          <w:sz w:val="20"/>
          <w:lang w:val="es-AR"/>
        </w:rPr>
        <w:t>. Según consta en la acusación formal del Ministerio</w:t>
      </w:r>
      <w:r w:rsidRPr="00624696">
        <w:rPr>
          <w:spacing w:val="-12"/>
          <w:sz w:val="20"/>
          <w:lang w:val="es-AR"/>
        </w:rPr>
        <w:t xml:space="preserve"> </w:t>
      </w:r>
      <w:r w:rsidRPr="00624696">
        <w:rPr>
          <w:sz w:val="20"/>
          <w:lang w:val="es-AR"/>
        </w:rPr>
        <w:t>Público,</w:t>
      </w:r>
      <w:r w:rsidRPr="00624696">
        <w:rPr>
          <w:spacing w:val="-11"/>
          <w:sz w:val="20"/>
          <w:lang w:val="es-AR"/>
        </w:rPr>
        <w:t xml:space="preserve"> </w:t>
      </w:r>
      <w:r w:rsidRPr="00624696">
        <w:rPr>
          <w:sz w:val="20"/>
          <w:lang w:val="es-AR"/>
        </w:rPr>
        <w:t>los</w:t>
      </w:r>
      <w:r w:rsidRPr="00624696">
        <w:rPr>
          <w:spacing w:val="-11"/>
          <w:sz w:val="20"/>
          <w:lang w:val="es-AR"/>
        </w:rPr>
        <w:t xml:space="preserve"> </w:t>
      </w:r>
      <w:r w:rsidRPr="00624696">
        <w:rPr>
          <w:sz w:val="20"/>
          <w:lang w:val="es-AR"/>
        </w:rPr>
        <w:t>dueños</w:t>
      </w:r>
      <w:r w:rsidRPr="00624696">
        <w:rPr>
          <w:spacing w:val="-11"/>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la</w:t>
      </w:r>
      <w:r w:rsidRPr="00624696">
        <w:rPr>
          <w:spacing w:val="-11"/>
          <w:sz w:val="20"/>
          <w:lang w:val="es-AR"/>
        </w:rPr>
        <w:t xml:space="preserve"> </w:t>
      </w:r>
      <w:r w:rsidRPr="00624696">
        <w:rPr>
          <w:sz w:val="20"/>
          <w:lang w:val="es-AR"/>
        </w:rPr>
        <w:t>fábrica</w:t>
      </w:r>
      <w:r w:rsidRPr="00624696">
        <w:rPr>
          <w:spacing w:val="-10"/>
          <w:sz w:val="20"/>
          <w:lang w:val="es-AR"/>
        </w:rPr>
        <w:t xml:space="preserve"> </w:t>
      </w:r>
      <w:r w:rsidRPr="00624696">
        <w:rPr>
          <w:sz w:val="20"/>
          <w:lang w:val="es-AR"/>
        </w:rPr>
        <w:t>tenían</w:t>
      </w:r>
      <w:r w:rsidRPr="00624696">
        <w:rPr>
          <w:spacing w:val="-9"/>
          <w:sz w:val="20"/>
          <w:lang w:val="es-AR"/>
        </w:rPr>
        <w:t xml:space="preserve"> </w:t>
      </w:r>
      <w:r w:rsidRPr="00624696">
        <w:rPr>
          <w:sz w:val="20"/>
          <w:lang w:val="es-AR"/>
        </w:rPr>
        <w:t>conocimiento</w:t>
      </w:r>
      <w:r w:rsidRPr="00624696">
        <w:rPr>
          <w:spacing w:val="-11"/>
          <w:sz w:val="20"/>
          <w:lang w:val="es-AR"/>
        </w:rPr>
        <w:t xml:space="preserve"> </w:t>
      </w:r>
      <w:r w:rsidRPr="00624696">
        <w:rPr>
          <w:sz w:val="20"/>
          <w:lang w:val="es-AR"/>
        </w:rPr>
        <w:t>de</w:t>
      </w:r>
      <w:r w:rsidRPr="00624696">
        <w:rPr>
          <w:spacing w:val="-11"/>
          <w:sz w:val="20"/>
          <w:lang w:val="es-AR"/>
        </w:rPr>
        <w:t xml:space="preserve"> </w:t>
      </w:r>
      <w:r w:rsidRPr="00624696">
        <w:rPr>
          <w:sz w:val="20"/>
          <w:lang w:val="es-AR"/>
        </w:rPr>
        <w:t>que</w:t>
      </w:r>
      <w:r w:rsidRPr="00624696">
        <w:rPr>
          <w:spacing w:val="-12"/>
          <w:sz w:val="20"/>
          <w:lang w:val="es-AR"/>
        </w:rPr>
        <w:t xml:space="preserve"> </w:t>
      </w:r>
      <w:r w:rsidRPr="00624696">
        <w:rPr>
          <w:sz w:val="20"/>
          <w:lang w:val="es-AR"/>
        </w:rPr>
        <w:t>“era</w:t>
      </w:r>
      <w:r w:rsidRPr="00624696">
        <w:rPr>
          <w:spacing w:val="-10"/>
          <w:sz w:val="20"/>
          <w:lang w:val="es-AR"/>
        </w:rPr>
        <w:t xml:space="preserve"> </w:t>
      </w:r>
      <w:r w:rsidRPr="00624696">
        <w:rPr>
          <w:sz w:val="20"/>
          <w:lang w:val="es-AR"/>
        </w:rPr>
        <w:t>peligrosa</w:t>
      </w:r>
      <w:r w:rsidRPr="00624696">
        <w:rPr>
          <w:spacing w:val="-10"/>
          <w:sz w:val="20"/>
          <w:lang w:val="es-AR"/>
        </w:rPr>
        <w:t xml:space="preserve"> </w:t>
      </w:r>
      <w:r w:rsidRPr="00624696">
        <w:rPr>
          <w:sz w:val="20"/>
          <w:lang w:val="es-AR"/>
        </w:rPr>
        <w:t>y</w:t>
      </w:r>
      <w:r w:rsidRPr="00624696">
        <w:rPr>
          <w:spacing w:val="-11"/>
          <w:sz w:val="20"/>
          <w:lang w:val="es-AR"/>
        </w:rPr>
        <w:t xml:space="preserve"> </w:t>
      </w:r>
      <w:r w:rsidRPr="00624696">
        <w:rPr>
          <w:sz w:val="20"/>
          <w:lang w:val="es-AR"/>
        </w:rPr>
        <w:t>podría explotar</w:t>
      </w:r>
      <w:r w:rsidRPr="00624696">
        <w:rPr>
          <w:spacing w:val="-9"/>
          <w:sz w:val="20"/>
          <w:lang w:val="es-AR"/>
        </w:rPr>
        <w:t xml:space="preserve"> </w:t>
      </w:r>
      <w:r w:rsidRPr="00624696">
        <w:rPr>
          <w:sz w:val="20"/>
          <w:lang w:val="es-AR"/>
        </w:rPr>
        <w:t>en</w:t>
      </w:r>
      <w:r w:rsidRPr="00624696">
        <w:rPr>
          <w:spacing w:val="-5"/>
          <w:sz w:val="20"/>
          <w:lang w:val="es-AR"/>
        </w:rPr>
        <w:t xml:space="preserve"> </w:t>
      </w:r>
      <w:r w:rsidRPr="00624696">
        <w:rPr>
          <w:sz w:val="20"/>
          <w:lang w:val="es-AR"/>
        </w:rPr>
        <w:t>cualquier</w:t>
      </w:r>
      <w:r w:rsidRPr="00624696">
        <w:rPr>
          <w:spacing w:val="-8"/>
          <w:sz w:val="20"/>
          <w:lang w:val="es-AR"/>
        </w:rPr>
        <w:t xml:space="preserve"> </w:t>
      </w:r>
      <w:r w:rsidRPr="00624696">
        <w:rPr>
          <w:sz w:val="20"/>
          <w:lang w:val="es-AR"/>
        </w:rPr>
        <w:t>momento</w:t>
      </w:r>
      <w:r w:rsidRPr="00624696">
        <w:rPr>
          <w:spacing w:val="-9"/>
          <w:sz w:val="20"/>
          <w:lang w:val="es-AR"/>
        </w:rPr>
        <w:t xml:space="preserve"> </w:t>
      </w:r>
      <w:r w:rsidRPr="00624696">
        <w:rPr>
          <w:sz w:val="20"/>
          <w:lang w:val="es-AR"/>
        </w:rPr>
        <w:t>y</w:t>
      </w:r>
      <w:r w:rsidRPr="00624696">
        <w:rPr>
          <w:spacing w:val="-7"/>
          <w:sz w:val="20"/>
          <w:lang w:val="es-AR"/>
        </w:rPr>
        <w:t xml:space="preserve"> </w:t>
      </w:r>
      <w:r w:rsidRPr="00624696">
        <w:rPr>
          <w:sz w:val="20"/>
          <w:lang w:val="es-AR"/>
        </w:rPr>
        <w:t>provocar</w:t>
      </w:r>
      <w:r w:rsidRPr="00624696">
        <w:rPr>
          <w:spacing w:val="-10"/>
          <w:sz w:val="20"/>
          <w:lang w:val="es-AR"/>
        </w:rPr>
        <w:t xml:space="preserve"> </w:t>
      </w:r>
      <w:r w:rsidRPr="00624696">
        <w:rPr>
          <w:sz w:val="20"/>
          <w:lang w:val="es-AR"/>
        </w:rPr>
        <w:t>una</w:t>
      </w:r>
      <w:r w:rsidRPr="00624696">
        <w:rPr>
          <w:spacing w:val="-6"/>
          <w:sz w:val="20"/>
          <w:lang w:val="es-AR"/>
        </w:rPr>
        <w:t xml:space="preserve"> </w:t>
      </w:r>
      <w:r w:rsidRPr="00624696">
        <w:rPr>
          <w:sz w:val="20"/>
          <w:lang w:val="es-AR"/>
        </w:rPr>
        <w:t>tragedia”</w:t>
      </w:r>
      <w:r w:rsidRPr="00624696">
        <w:rPr>
          <w:spacing w:val="-8"/>
          <w:sz w:val="20"/>
          <w:lang w:val="es-AR"/>
        </w:rPr>
        <w:t xml:space="preserve"> </w:t>
      </w:r>
      <w:r w:rsidRPr="00624696">
        <w:rPr>
          <w:sz w:val="20"/>
          <w:lang w:val="es-AR"/>
        </w:rPr>
        <w:t>y,</w:t>
      </w:r>
      <w:r w:rsidRPr="00624696">
        <w:rPr>
          <w:spacing w:val="-7"/>
          <w:sz w:val="20"/>
          <w:lang w:val="es-AR"/>
        </w:rPr>
        <w:t xml:space="preserve"> </w:t>
      </w:r>
      <w:r w:rsidRPr="00624696">
        <w:rPr>
          <w:sz w:val="20"/>
          <w:lang w:val="es-AR"/>
        </w:rPr>
        <w:t>si</w:t>
      </w:r>
      <w:r w:rsidRPr="00624696">
        <w:rPr>
          <w:spacing w:val="-6"/>
          <w:sz w:val="20"/>
          <w:lang w:val="es-AR"/>
        </w:rPr>
        <w:t xml:space="preserve"> </w:t>
      </w:r>
      <w:r w:rsidRPr="00624696">
        <w:rPr>
          <w:sz w:val="20"/>
          <w:lang w:val="es-AR"/>
        </w:rPr>
        <w:t>bien</w:t>
      </w:r>
      <w:r w:rsidRPr="00624696">
        <w:rPr>
          <w:spacing w:val="-6"/>
          <w:sz w:val="20"/>
          <w:lang w:val="es-AR"/>
        </w:rPr>
        <w:t xml:space="preserve"> </w:t>
      </w:r>
      <w:r w:rsidRPr="00624696">
        <w:rPr>
          <w:sz w:val="20"/>
          <w:lang w:val="es-AR"/>
        </w:rPr>
        <w:t>contaban</w:t>
      </w:r>
      <w:r w:rsidRPr="00624696">
        <w:rPr>
          <w:spacing w:val="-8"/>
          <w:sz w:val="20"/>
          <w:lang w:val="es-AR"/>
        </w:rPr>
        <w:t xml:space="preserve"> </w:t>
      </w:r>
      <w:r w:rsidRPr="00624696">
        <w:rPr>
          <w:sz w:val="20"/>
          <w:lang w:val="es-AR"/>
        </w:rPr>
        <w:t>con</w:t>
      </w:r>
      <w:r w:rsidRPr="00624696">
        <w:rPr>
          <w:spacing w:val="-5"/>
          <w:sz w:val="20"/>
          <w:lang w:val="es-AR"/>
        </w:rPr>
        <w:t xml:space="preserve"> </w:t>
      </w:r>
      <w:r w:rsidRPr="00624696">
        <w:rPr>
          <w:sz w:val="20"/>
          <w:lang w:val="es-AR"/>
        </w:rPr>
        <w:t>autorización del Ministerio del Ejércit</w:t>
      </w:r>
      <w:r w:rsidRPr="00624696">
        <w:rPr>
          <w:sz w:val="20"/>
          <w:lang w:val="es-AR"/>
        </w:rPr>
        <w:t>o</w:t>
      </w:r>
      <w:hyperlink w:anchor="_bookmark142" w:history="1">
        <w:r w:rsidRPr="00624696">
          <w:rPr>
            <w:position w:val="7"/>
            <w:sz w:val="13"/>
            <w:lang w:val="es-AR"/>
          </w:rPr>
          <w:t>117</w:t>
        </w:r>
      </w:hyperlink>
      <w:r w:rsidRPr="00624696">
        <w:rPr>
          <w:sz w:val="20"/>
          <w:lang w:val="es-AR"/>
        </w:rPr>
        <w:t>, las actividades eran realizadas “de forma</w:t>
      </w:r>
      <w:r w:rsidRPr="00624696">
        <w:rPr>
          <w:spacing w:val="-13"/>
          <w:sz w:val="20"/>
          <w:lang w:val="es-AR"/>
        </w:rPr>
        <w:t xml:space="preserve"> </w:t>
      </w:r>
      <w:r w:rsidRPr="00624696">
        <w:rPr>
          <w:sz w:val="20"/>
          <w:lang w:val="es-AR"/>
        </w:rPr>
        <w:t>irregular”</w:t>
      </w:r>
      <w:hyperlink w:anchor="_bookmark143" w:history="1">
        <w:r w:rsidRPr="00624696">
          <w:rPr>
            <w:position w:val="7"/>
            <w:sz w:val="13"/>
            <w:lang w:val="es-AR"/>
          </w:rPr>
          <w:t>118</w:t>
        </w:r>
      </w:hyperlink>
      <w:r w:rsidRPr="00624696">
        <w:rPr>
          <w:sz w:val="20"/>
          <w:lang w:val="es-AR"/>
        </w:rPr>
        <w:t>.</w:t>
      </w:r>
    </w:p>
    <w:p w14:paraId="40198436" w14:textId="77777777" w:rsidR="00467FCA" w:rsidRPr="00624696" w:rsidRDefault="00467FCA">
      <w:pPr>
        <w:pStyle w:val="Textoindependiente"/>
        <w:rPr>
          <w:lang w:val="es-AR"/>
        </w:rPr>
      </w:pPr>
    </w:p>
    <w:p w14:paraId="2DF1D366" w14:textId="77777777" w:rsidR="00467FCA" w:rsidRPr="00624696" w:rsidRDefault="001B68EB">
      <w:pPr>
        <w:pStyle w:val="Prrafodelista"/>
        <w:numPr>
          <w:ilvl w:val="0"/>
          <w:numId w:val="50"/>
        </w:numPr>
        <w:tabs>
          <w:tab w:val="left" w:pos="687"/>
        </w:tabs>
        <w:ind w:left="119" w:right="117" w:firstLine="0"/>
        <w:jc w:val="both"/>
        <w:rPr>
          <w:sz w:val="20"/>
          <w:lang w:val="es-AR"/>
        </w:rPr>
      </w:pPr>
      <w:r w:rsidRPr="00624696">
        <w:rPr>
          <w:sz w:val="20"/>
          <w:lang w:val="es-AR"/>
        </w:rPr>
        <w:t>Como consecuencia de la explosión, murieron 60 personas y seis sobrevivieron. Entre las</w:t>
      </w:r>
      <w:r w:rsidRPr="00624696">
        <w:rPr>
          <w:spacing w:val="-6"/>
          <w:sz w:val="20"/>
          <w:lang w:val="es-AR"/>
        </w:rPr>
        <w:t xml:space="preserve"> </w:t>
      </w:r>
      <w:r w:rsidRPr="00624696">
        <w:rPr>
          <w:sz w:val="20"/>
          <w:lang w:val="es-AR"/>
        </w:rPr>
        <w:t>personas</w:t>
      </w:r>
      <w:r w:rsidRPr="00624696">
        <w:rPr>
          <w:spacing w:val="-5"/>
          <w:sz w:val="20"/>
          <w:lang w:val="es-AR"/>
        </w:rPr>
        <w:t xml:space="preserve"> </w:t>
      </w:r>
      <w:r w:rsidRPr="00624696">
        <w:rPr>
          <w:sz w:val="20"/>
          <w:lang w:val="es-AR"/>
        </w:rPr>
        <w:t>que</w:t>
      </w:r>
      <w:r w:rsidRPr="00624696">
        <w:rPr>
          <w:spacing w:val="-6"/>
          <w:sz w:val="20"/>
          <w:lang w:val="es-AR"/>
        </w:rPr>
        <w:t xml:space="preserve"> </w:t>
      </w:r>
      <w:r w:rsidRPr="00624696">
        <w:rPr>
          <w:sz w:val="20"/>
          <w:lang w:val="es-AR"/>
        </w:rPr>
        <w:t>perdieron</w:t>
      </w:r>
      <w:r w:rsidRPr="00624696">
        <w:rPr>
          <w:spacing w:val="-3"/>
          <w:sz w:val="20"/>
          <w:lang w:val="es-AR"/>
        </w:rPr>
        <w:t xml:space="preserve"> </w:t>
      </w:r>
      <w:r w:rsidRPr="00624696">
        <w:rPr>
          <w:sz w:val="20"/>
          <w:lang w:val="es-AR"/>
        </w:rPr>
        <w:t>la</w:t>
      </w:r>
      <w:r w:rsidRPr="00624696">
        <w:rPr>
          <w:spacing w:val="-5"/>
          <w:sz w:val="20"/>
          <w:lang w:val="es-AR"/>
        </w:rPr>
        <w:t xml:space="preserve"> </w:t>
      </w:r>
      <w:r w:rsidRPr="00624696">
        <w:rPr>
          <w:sz w:val="20"/>
          <w:lang w:val="es-AR"/>
        </w:rPr>
        <w:t>vida,</w:t>
      </w:r>
      <w:r w:rsidRPr="00624696">
        <w:rPr>
          <w:spacing w:val="-5"/>
          <w:sz w:val="20"/>
          <w:lang w:val="es-AR"/>
        </w:rPr>
        <w:t xml:space="preserve"> </w:t>
      </w:r>
      <w:r w:rsidRPr="00624696">
        <w:rPr>
          <w:sz w:val="20"/>
          <w:lang w:val="es-AR"/>
        </w:rPr>
        <w:t>se</w:t>
      </w:r>
      <w:r w:rsidRPr="00624696">
        <w:rPr>
          <w:spacing w:val="-3"/>
          <w:sz w:val="20"/>
          <w:lang w:val="es-AR"/>
        </w:rPr>
        <w:t xml:space="preserve"> </w:t>
      </w:r>
      <w:r w:rsidRPr="00624696">
        <w:rPr>
          <w:sz w:val="20"/>
          <w:lang w:val="es-AR"/>
        </w:rPr>
        <w:t>encontraban</w:t>
      </w:r>
      <w:r w:rsidRPr="00624696">
        <w:rPr>
          <w:spacing w:val="-3"/>
          <w:sz w:val="20"/>
          <w:lang w:val="es-AR"/>
        </w:rPr>
        <w:t xml:space="preserve"> </w:t>
      </w:r>
      <w:r w:rsidRPr="00624696">
        <w:rPr>
          <w:sz w:val="20"/>
          <w:lang w:val="es-AR"/>
        </w:rPr>
        <w:t>40</w:t>
      </w:r>
      <w:r w:rsidRPr="00624696">
        <w:rPr>
          <w:spacing w:val="-4"/>
          <w:sz w:val="20"/>
          <w:lang w:val="es-AR"/>
        </w:rPr>
        <w:t xml:space="preserve"> </w:t>
      </w:r>
      <w:r w:rsidRPr="00624696">
        <w:rPr>
          <w:sz w:val="20"/>
          <w:lang w:val="es-AR"/>
        </w:rPr>
        <w:t>mujeres,</w:t>
      </w:r>
      <w:r w:rsidRPr="00624696">
        <w:rPr>
          <w:spacing w:val="-6"/>
          <w:sz w:val="20"/>
          <w:lang w:val="es-AR"/>
        </w:rPr>
        <w:t xml:space="preserve"> </w:t>
      </w:r>
      <w:r w:rsidRPr="00624696">
        <w:rPr>
          <w:sz w:val="20"/>
          <w:lang w:val="es-AR"/>
        </w:rPr>
        <w:t>19</w:t>
      </w:r>
      <w:r w:rsidRPr="00624696">
        <w:rPr>
          <w:spacing w:val="-4"/>
          <w:sz w:val="20"/>
          <w:lang w:val="es-AR"/>
        </w:rPr>
        <w:t xml:space="preserve"> </w:t>
      </w:r>
      <w:r w:rsidRPr="00624696">
        <w:rPr>
          <w:sz w:val="20"/>
          <w:lang w:val="es-AR"/>
        </w:rPr>
        <w:t>niñas</w:t>
      </w:r>
      <w:r w:rsidRPr="00624696">
        <w:rPr>
          <w:spacing w:val="-5"/>
          <w:sz w:val="20"/>
          <w:lang w:val="es-AR"/>
        </w:rPr>
        <w:t xml:space="preserve"> </w:t>
      </w:r>
      <w:r w:rsidRPr="00624696">
        <w:rPr>
          <w:sz w:val="20"/>
          <w:lang w:val="es-AR"/>
        </w:rPr>
        <w:t>y</w:t>
      </w:r>
      <w:r w:rsidRPr="00624696">
        <w:rPr>
          <w:spacing w:val="-3"/>
          <w:sz w:val="20"/>
          <w:lang w:val="es-AR"/>
        </w:rPr>
        <w:t xml:space="preserve"> </w:t>
      </w:r>
      <w:r w:rsidRPr="00624696">
        <w:rPr>
          <w:sz w:val="20"/>
          <w:lang w:val="es-AR"/>
        </w:rPr>
        <w:t>un</w:t>
      </w:r>
      <w:r w:rsidRPr="00624696">
        <w:rPr>
          <w:spacing w:val="-5"/>
          <w:sz w:val="20"/>
          <w:lang w:val="es-AR"/>
        </w:rPr>
        <w:t xml:space="preserve"> </w:t>
      </w:r>
      <w:r w:rsidRPr="00624696">
        <w:rPr>
          <w:sz w:val="20"/>
          <w:lang w:val="es-AR"/>
        </w:rPr>
        <w:t>niño.</w:t>
      </w:r>
      <w:r w:rsidRPr="00624696">
        <w:rPr>
          <w:spacing w:val="-5"/>
          <w:sz w:val="20"/>
          <w:lang w:val="es-AR"/>
        </w:rPr>
        <w:t xml:space="preserve"> </w:t>
      </w:r>
      <w:r w:rsidRPr="00624696">
        <w:rPr>
          <w:sz w:val="20"/>
          <w:lang w:val="es-AR"/>
        </w:rPr>
        <w:t>Entre</w:t>
      </w:r>
      <w:r w:rsidRPr="00624696">
        <w:rPr>
          <w:spacing w:val="-6"/>
          <w:sz w:val="20"/>
          <w:lang w:val="es-AR"/>
        </w:rPr>
        <w:t xml:space="preserve"> </w:t>
      </w:r>
      <w:r w:rsidRPr="00624696">
        <w:rPr>
          <w:sz w:val="20"/>
          <w:lang w:val="es-AR"/>
        </w:rPr>
        <w:t>las personas sobrevivientes, se encontraban tres mujeres y dos niños y una niña, para un total de 23 niñas y niños, además de Vitória França da Silva, quien, ante el grave estado de salud de</w:t>
      </w:r>
      <w:r w:rsidRPr="00624696">
        <w:rPr>
          <w:spacing w:val="-12"/>
          <w:sz w:val="20"/>
          <w:lang w:val="es-AR"/>
        </w:rPr>
        <w:t xml:space="preserve"> </w:t>
      </w:r>
      <w:r w:rsidRPr="00624696">
        <w:rPr>
          <w:sz w:val="20"/>
          <w:lang w:val="es-AR"/>
        </w:rPr>
        <w:t>su</w:t>
      </w:r>
      <w:r w:rsidRPr="00624696">
        <w:rPr>
          <w:spacing w:val="-10"/>
          <w:sz w:val="20"/>
          <w:lang w:val="es-AR"/>
        </w:rPr>
        <w:t xml:space="preserve"> </w:t>
      </w:r>
      <w:r w:rsidRPr="00624696">
        <w:rPr>
          <w:sz w:val="20"/>
          <w:lang w:val="es-AR"/>
        </w:rPr>
        <w:t>madre</w:t>
      </w:r>
      <w:r w:rsidRPr="00624696">
        <w:rPr>
          <w:spacing w:val="-12"/>
          <w:sz w:val="20"/>
          <w:lang w:val="es-AR"/>
        </w:rPr>
        <w:t xml:space="preserve"> </w:t>
      </w:r>
      <w:r w:rsidRPr="00624696">
        <w:rPr>
          <w:sz w:val="20"/>
          <w:lang w:val="es-AR"/>
        </w:rPr>
        <w:t>embarazada</w:t>
      </w:r>
      <w:r w:rsidRPr="00624696">
        <w:rPr>
          <w:spacing w:val="-11"/>
          <w:sz w:val="20"/>
          <w:lang w:val="es-AR"/>
        </w:rPr>
        <w:t xml:space="preserve"> </w:t>
      </w:r>
      <w:r w:rsidRPr="00624696">
        <w:rPr>
          <w:sz w:val="20"/>
          <w:lang w:val="es-AR"/>
        </w:rPr>
        <w:t>(quien</w:t>
      </w:r>
      <w:r w:rsidRPr="00624696">
        <w:rPr>
          <w:spacing w:val="-10"/>
          <w:sz w:val="20"/>
          <w:lang w:val="es-AR"/>
        </w:rPr>
        <w:t xml:space="preserve"> </w:t>
      </w:r>
      <w:r w:rsidRPr="00624696">
        <w:rPr>
          <w:sz w:val="20"/>
          <w:lang w:val="es-AR"/>
        </w:rPr>
        <w:t>posteriormente</w:t>
      </w:r>
      <w:r w:rsidRPr="00624696">
        <w:rPr>
          <w:spacing w:val="-9"/>
          <w:sz w:val="20"/>
          <w:lang w:val="es-AR"/>
        </w:rPr>
        <w:t xml:space="preserve"> </w:t>
      </w:r>
      <w:r w:rsidRPr="00624696">
        <w:rPr>
          <w:sz w:val="20"/>
          <w:lang w:val="es-AR"/>
        </w:rPr>
        <w:t>falleció),</w:t>
      </w:r>
      <w:r w:rsidRPr="00624696">
        <w:rPr>
          <w:spacing w:val="-12"/>
          <w:sz w:val="20"/>
          <w:lang w:val="es-AR"/>
        </w:rPr>
        <w:t xml:space="preserve"> </w:t>
      </w:r>
      <w:r w:rsidRPr="00624696">
        <w:rPr>
          <w:sz w:val="20"/>
          <w:lang w:val="es-AR"/>
        </w:rPr>
        <w:t>nació</w:t>
      </w:r>
      <w:r w:rsidRPr="00624696">
        <w:rPr>
          <w:spacing w:val="-12"/>
          <w:sz w:val="20"/>
          <w:lang w:val="es-AR"/>
        </w:rPr>
        <w:t xml:space="preserve"> </w:t>
      </w:r>
      <w:r w:rsidRPr="00624696">
        <w:rPr>
          <w:sz w:val="20"/>
          <w:lang w:val="es-AR"/>
        </w:rPr>
        <w:t>de</w:t>
      </w:r>
      <w:r w:rsidRPr="00624696">
        <w:rPr>
          <w:spacing w:val="-12"/>
          <w:sz w:val="20"/>
          <w:lang w:val="es-AR"/>
        </w:rPr>
        <w:t xml:space="preserve"> </w:t>
      </w:r>
      <w:r w:rsidRPr="00624696">
        <w:rPr>
          <w:sz w:val="20"/>
          <w:lang w:val="es-AR"/>
        </w:rPr>
        <w:t>for</w:t>
      </w:r>
      <w:r w:rsidRPr="00624696">
        <w:rPr>
          <w:sz w:val="20"/>
          <w:lang w:val="es-AR"/>
        </w:rPr>
        <w:t>ma</w:t>
      </w:r>
      <w:r w:rsidRPr="00624696">
        <w:rPr>
          <w:spacing w:val="-10"/>
          <w:sz w:val="20"/>
          <w:lang w:val="es-AR"/>
        </w:rPr>
        <w:t xml:space="preserve"> </w:t>
      </w:r>
      <w:r w:rsidRPr="00624696">
        <w:rPr>
          <w:sz w:val="20"/>
          <w:lang w:val="es-AR"/>
        </w:rPr>
        <w:t>prematura</w:t>
      </w:r>
      <w:r w:rsidRPr="00624696">
        <w:rPr>
          <w:spacing w:val="-9"/>
          <w:sz w:val="20"/>
          <w:lang w:val="es-AR"/>
        </w:rPr>
        <w:t xml:space="preserve"> </w:t>
      </w:r>
      <w:r w:rsidRPr="00624696">
        <w:rPr>
          <w:sz w:val="20"/>
          <w:lang w:val="es-AR"/>
        </w:rPr>
        <w:t>en</w:t>
      </w:r>
      <w:r w:rsidRPr="00624696">
        <w:rPr>
          <w:spacing w:val="-10"/>
          <w:sz w:val="20"/>
          <w:lang w:val="es-AR"/>
        </w:rPr>
        <w:t xml:space="preserve"> </w:t>
      </w:r>
      <w:r w:rsidRPr="00624696">
        <w:rPr>
          <w:sz w:val="20"/>
          <w:lang w:val="es-AR"/>
        </w:rPr>
        <w:t>razón de la explosión, presentando por ello afectaciones a su salud</w:t>
      </w:r>
      <w:hyperlink w:anchor="_bookmark144" w:history="1">
        <w:r w:rsidRPr="00624696">
          <w:rPr>
            <w:position w:val="7"/>
            <w:sz w:val="13"/>
            <w:lang w:val="es-AR"/>
          </w:rPr>
          <w:t>119</w:t>
        </w:r>
      </w:hyperlink>
      <w:r w:rsidRPr="00624696">
        <w:rPr>
          <w:sz w:val="20"/>
          <w:lang w:val="es-AR"/>
        </w:rPr>
        <w:t xml:space="preserve">. Por otra parte, cuatro de las mujeres fallecidas se encontraban en estado de gestación. Los cuerpos de las personas fallecidas tuvieron </w:t>
      </w:r>
      <w:r w:rsidRPr="00624696">
        <w:rPr>
          <w:sz w:val="20"/>
          <w:lang w:val="es-AR"/>
        </w:rPr>
        <w:t>quemaduras graves y algunos estaban</w:t>
      </w:r>
      <w:r w:rsidRPr="00624696">
        <w:rPr>
          <w:spacing w:val="-4"/>
          <w:sz w:val="20"/>
          <w:lang w:val="es-AR"/>
        </w:rPr>
        <w:t xml:space="preserve"> </w:t>
      </w:r>
      <w:r w:rsidRPr="00624696">
        <w:rPr>
          <w:sz w:val="20"/>
          <w:lang w:val="es-AR"/>
        </w:rPr>
        <w:t>mutilados</w:t>
      </w:r>
      <w:hyperlink w:anchor="_bookmark145" w:history="1">
        <w:r w:rsidRPr="00624696">
          <w:rPr>
            <w:position w:val="7"/>
            <w:sz w:val="13"/>
            <w:lang w:val="es-AR"/>
          </w:rPr>
          <w:t>120</w:t>
        </w:r>
      </w:hyperlink>
      <w:r w:rsidRPr="00624696">
        <w:rPr>
          <w:sz w:val="20"/>
          <w:lang w:val="es-AR"/>
        </w:rPr>
        <w:t>.</w:t>
      </w:r>
    </w:p>
    <w:p w14:paraId="3147CA58" w14:textId="77777777" w:rsidR="00467FCA" w:rsidRPr="00624696" w:rsidRDefault="00467FCA">
      <w:pPr>
        <w:pStyle w:val="Textoindependiente"/>
        <w:spacing w:before="11"/>
        <w:rPr>
          <w:sz w:val="19"/>
          <w:lang w:val="es-AR"/>
        </w:rPr>
      </w:pPr>
    </w:p>
    <w:p w14:paraId="2A2A6717" w14:textId="77777777" w:rsidR="00467FCA" w:rsidRPr="00624696" w:rsidRDefault="001B68EB">
      <w:pPr>
        <w:pStyle w:val="Prrafodelista"/>
        <w:numPr>
          <w:ilvl w:val="0"/>
          <w:numId w:val="50"/>
        </w:numPr>
        <w:tabs>
          <w:tab w:val="left" w:pos="687"/>
        </w:tabs>
        <w:ind w:left="119" w:right="117" w:firstLine="0"/>
        <w:jc w:val="both"/>
        <w:rPr>
          <w:sz w:val="20"/>
          <w:lang w:val="es-AR"/>
        </w:rPr>
      </w:pPr>
      <w:r w:rsidRPr="00624696">
        <w:rPr>
          <w:sz w:val="20"/>
          <w:lang w:val="es-AR"/>
        </w:rPr>
        <w:t xml:space="preserve">Las personas sobrevivientes fueron atendidas por el hospital de la ciudad de Salvador, capital de Bahia, ya que la ciudad de Santo Antônio de Jesus no tenía un hospital con </w:t>
      </w:r>
      <w:r w:rsidRPr="00624696">
        <w:rPr>
          <w:sz w:val="20"/>
          <w:lang w:val="es-AR"/>
        </w:rPr>
        <w:t>una unidad para tratar a personas quemadas. Sin embargo, ninguna de ellas recibió tratamiento médico adecuado para recuperarse de las consecuencias del accidente. La mayoría de las sobrevivientes sufrieron lesiones corporales graves, desde la pérdida audit</w:t>
      </w:r>
      <w:r w:rsidRPr="00624696">
        <w:rPr>
          <w:sz w:val="20"/>
          <w:lang w:val="es-AR"/>
        </w:rPr>
        <w:t>iva, hasta quemaduras</w:t>
      </w:r>
      <w:r w:rsidRPr="00624696">
        <w:rPr>
          <w:spacing w:val="-19"/>
          <w:sz w:val="20"/>
          <w:lang w:val="es-AR"/>
        </w:rPr>
        <w:t xml:space="preserve"> </w:t>
      </w:r>
      <w:r w:rsidRPr="00624696">
        <w:rPr>
          <w:sz w:val="20"/>
          <w:lang w:val="es-AR"/>
        </w:rPr>
        <w:t>que</w:t>
      </w:r>
      <w:r w:rsidRPr="00624696">
        <w:rPr>
          <w:spacing w:val="-19"/>
          <w:sz w:val="20"/>
          <w:lang w:val="es-AR"/>
        </w:rPr>
        <w:t xml:space="preserve"> </w:t>
      </w:r>
      <w:r w:rsidRPr="00624696">
        <w:rPr>
          <w:sz w:val="20"/>
          <w:lang w:val="es-AR"/>
        </w:rPr>
        <w:t>alcanzaron</w:t>
      </w:r>
      <w:r w:rsidRPr="00624696">
        <w:rPr>
          <w:spacing w:val="-14"/>
          <w:sz w:val="20"/>
          <w:lang w:val="es-AR"/>
        </w:rPr>
        <w:t xml:space="preserve"> </w:t>
      </w:r>
      <w:r w:rsidRPr="00624696">
        <w:rPr>
          <w:sz w:val="20"/>
          <w:lang w:val="es-AR"/>
        </w:rPr>
        <w:t>casi</w:t>
      </w:r>
      <w:r w:rsidRPr="00624696">
        <w:rPr>
          <w:spacing w:val="-16"/>
          <w:sz w:val="20"/>
          <w:lang w:val="es-AR"/>
        </w:rPr>
        <w:t xml:space="preserve"> </w:t>
      </w:r>
      <w:r w:rsidRPr="00624696">
        <w:rPr>
          <w:sz w:val="20"/>
          <w:lang w:val="es-AR"/>
        </w:rPr>
        <w:t>el</w:t>
      </w:r>
      <w:r w:rsidRPr="00624696">
        <w:rPr>
          <w:spacing w:val="-17"/>
          <w:sz w:val="20"/>
          <w:lang w:val="es-AR"/>
        </w:rPr>
        <w:t xml:space="preserve"> </w:t>
      </w:r>
      <w:r w:rsidRPr="00624696">
        <w:rPr>
          <w:sz w:val="20"/>
          <w:lang w:val="es-AR"/>
        </w:rPr>
        <w:t>70%</w:t>
      </w:r>
      <w:r w:rsidRPr="00624696">
        <w:rPr>
          <w:spacing w:val="-17"/>
          <w:sz w:val="20"/>
          <w:lang w:val="es-AR"/>
        </w:rPr>
        <w:t xml:space="preserve"> </w:t>
      </w:r>
      <w:r w:rsidRPr="00624696">
        <w:rPr>
          <w:sz w:val="20"/>
          <w:lang w:val="es-AR"/>
        </w:rPr>
        <w:t>del</w:t>
      </w:r>
      <w:r w:rsidRPr="00624696">
        <w:rPr>
          <w:spacing w:val="-15"/>
          <w:sz w:val="20"/>
          <w:lang w:val="es-AR"/>
        </w:rPr>
        <w:t xml:space="preserve"> </w:t>
      </w:r>
      <w:r w:rsidRPr="00624696">
        <w:rPr>
          <w:sz w:val="20"/>
          <w:lang w:val="es-AR"/>
        </w:rPr>
        <w:t>cuerpo.</w:t>
      </w:r>
      <w:r w:rsidRPr="00624696">
        <w:rPr>
          <w:spacing w:val="-18"/>
          <w:sz w:val="20"/>
          <w:lang w:val="es-AR"/>
        </w:rPr>
        <w:t xml:space="preserve"> </w:t>
      </w:r>
      <w:r w:rsidRPr="00624696">
        <w:rPr>
          <w:sz w:val="20"/>
          <w:lang w:val="es-AR"/>
        </w:rPr>
        <w:t>Una</w:t>
      </w:r>
      <w:r w:rsidRPr="00624696">
        <w:rPr>
          <w:spacing w:val="-18"/>
          <w:sz w:val="20"/>
          <w:lang w:val="es-AR"/>
        </w:rPr>
        <w:t xml:space="preserve"> </w:t>
      </w:r>
      <w:r w:rsidRPr="00624696">
        <w:rPr>
          <w:sz w:val="20"/>
          <w:lang w:val="es-AR"/>
        </w:rPr>
        <w:t>de</w:t>
      </w:r>
      <w:r w:rsidRPr="00624696">
        <w:rPr>
          <w:spacing w:val="-19"/>
          <w:sz w:val="20"/>
          <w:lang w:val="es-AR"/>
        </w:rPr>
        <w:t xml:space="preserve"> </w:t>
      </w:r>
      <w:r w:rsidRPr="00624696">
        <w:rPr>
          <w:sz w:val="20"/>
          <w:lang w:val="es-AR"/>
        </w:rPr>
        <w:t>las</w:t>
      </w:r>
      <w:r w:rsidRPr="00624696">
        <w:rPr>
          <w:spacing w:val="-16"/>
          <w:sz w:val="20"/>
          <w:lang w:val="es-AR"/>
        </w:rPr>
        <w:t xml:space="preserve"> </w:t>
      </w:r>
      <w:r w:rsidRPr="00624696">
        <w:rPr>
          <w:sz w:val="20"/>
          <w:lang w:val="es-AR"/>
        </w:rPr>
        <w:t>sobrevivientes</w:t>
      </w:r>
      <w:r w:rsidRPr="00624696">
        <w:rPr>
          <w:spacing w:val="-18"/>
          <w:sz w:val="20"/>
          <w:lang w:val="es-AR"/>
        </w:rPr>
        <w:t xml:space="preserve"> </w:t>
      </w:r>
      <w:r w:rsidRPr="00624696">
        <w:rPr>
          <w:sz w:val="20"/>
          <w:lang w:val="es-AR"/>
        </w:rPr>
        <w:t>de</w:t>
      </w:r>
      <w:r w:rsidRPr="00624696">
        <w:rPr>
          <w:spacing w:val="-20"/>
          <w:sz w:val="20"/>
          <w:lang w:val="es-AR"/>
        </w:rPr>
        <w:t xml:space="preserve"> </w:t>
      </w:r>
      <w:r w:rsidRPr="00624696">
        <w:rPr>
          <w:sz w:val="20"/>
          <w:lang w:val="es-AR"/>
        </w:rPr>
        <w:t>la</w:t>
      </w:r>
      <w:r w:rsidRPr="00624696">
        <w:rPr>
          <w:spacing w:val="-15"/>
          <w:sz w:val="20"/>
          <w:lang w:val="es-AR"/>
        </w:rPr>
        <w:t xml:space="preserve"> </w:t>
      </w:r>
      <w:r w:rsidRPr="00624696">
        <w:rPr>
          <w:sz w:val="20"/>
          <w:lang w:val="es-AR"/>
        </w:rPr>
        <w:t>explosión, Leila</w:t>
      </w:r>
      <w:r w:rsidRPr="00624696">
        <w:rPr>
          <w:spacing w:val="-3"/>
          <w:sz w:val="20"/>
          <w:lang w:val="es-AR"/>
        </w:rPr>
        <w:t xml:space="preserve"> </w:t>
      </w:r>
      <w:r w:rsidRPr="00624696">
        <w:rPr>
          <w:sz w:val="20"/>
          <w:lang w:val="es-AR"/>
        </w:rPr>
        <w:t>Cerqueira</w:t>
      </w:r>
      <w:r w:rsidRPr="00624696">
        <w:rPr>
          <w:spacing w:val="-4"/>
          <w:sz w:val="20"/>
          <w:lang w:val="es-AR"/>
        </w:rPr>
        <w:t xml:space="preserve"> </w:t>
      </w:r>
      <w:r w:rsidRPr="00624696">
        <w:rPr>
          <w:sz w:val="20"/>
          <w:lang w:val="es-AR"/>
        </w:rPr>
        <w:t>dos</w:t>
      </w:r>
      <w:r w:rsidRPr="00624696">
        <w:rPr>
          <w:spacing w:val="-4"/>
          <w:sz w:val="20"/>
          <w:lang w:val="es-AR"/>
        </w:rPr>
        <w:t xml:space="preserve"> </w:t>
      </w:r>
      <w:r w:rsidRPr="00624696">
        <w:rPr>
          <w:sz w:val="20"/>
          <w:lang w:val="es-AR"/>
        </w:rPr>
        <w:t>Santos,</w:t>
      </w:r>
      <w:r w:rsidRPr="00624696">
        <w:rPr>
          <w:spacing w:val="-3"/>
          <w:sz w:val="20"/>
          <w:lang w:val="es-AR"/>
        </w:rPr>
        <w:t xml:space="preserve"> </w:t>
      </w:r>
      <w:r w:rsidRPr="00624696">
        <w:rPr>
          <w:sz w:val="20"/>
          <w:lang w:val="es-AR"/>
        </w:rPr>
        <w:t>declaró</w:t>
      </w:r>
      <w:r w:rsidRPr="00624696">
        <w:rPr>
          <w:spacing w:val="-4"/>
          <w:sz w:val="20"/>
          <w:lang w:val="es-AR"/>
        </w:rPr>
        <w:t xml:space="preserve"> </w:t>
      </w:r>
      <w:r w:rsidRPr="00624696">
        <w:rPr>
          <w:sz w:val="20"/>
          <w:lang w:val="es-AR"/>
        </w:rPr>
        <w:t>ante</w:t>
      </w:r>
      <w:r w:rsidRPr="00624696">
        <w:rPr>
          <w:spacing w:val="-6"/>
          <w:sz w:val="20"/>
          <w:lang w:val="es-AR"/>
        </w:rPr>
        <w:t xml:space="preserve"> </w:t>
      </w:r>
      <w:r w:rsidRPr="00624696">
        <w:rPr>
          <w:sz w:val="20"/>
          <w:lang w:val="es-AR"/>
        </w:rPr>
        <w:t>la</w:t>
      </w:r>
      <w:r w:rsidRPr="00624696">
        <w:rPr>
          <w:spacing w:val="-3"/>
          <w:sz w:val="20"/>
          <w:lang w:val="es-AR"/>
        </w:rPr>
        <w:t xml:space="preserve"> </w:t>
      </w:r>
      <w:r w:rsidRPr="00624696">
        <w:rPr>
          <w:sz w:val="20"/>
          <w:lang w:val="es-AR"/>
        </w:rPr>
        <w:t>Corte</w:t>
      </w:r>
      <w:r w:rsidRPr="00624696">
        <w:rPr>
          <w:spacing w:val="-6"/>
          <w:sz w:val="20"/>
          <w:lang w:val="es-AR"/>
        </w:rPr>
        <w:t xml:space="preserve"> </w:t>
      </w:r>
      <w:r w:rsidRPr="00624696">
        <w:rPr>
          <w:sz w:val="20"/>
          <w:lang w:val="es-AR"/>
        </w:rPr>
        <w:t>que</w:t>
      </w:r>
      <w:r w:rsidRPr="00624696">
        <w:rPr>
          <w:spacing w:val="-6"/>
          <w:sz w:val="20"/>
          <w:lang w:val="es-AR"/>
        </w:rPr>
        <w:t xml:space="preserve"> </w:t>
      </w:r>
      <w:r w:rsidRPr="00624696">
        <w:rPr>
          <w:sz w:val="20"/>
          <w:lang w:val="es-AR"/>
        </w:rPr>
        <w:t>tuvo</w:t>
      </w:r>
      <w:r w:rsidRPr="00624696">
        <w:rPr>
          <w:spacing w:val="-7"/>
          <w:sz w:val="20"/>
          <w:lang w:val="es-AR"/>
        </w:rPr>
        <w:t xml:space="preserve"> </w:t>
      </w:r>
      <w:r w:rsidRPr="00624696">
        <w:rPr>
          <w:sz w:val="20"/>
          <w:lang w:val="es-AR"/>
        </w:rPr>
        <w:t>quemaduras de</w:t>
      </w:r>
      <w:r w:rsidRPr="00624696">
        <w:rPr>
          <w:spacing w:val="-7"/>
          <w:sz w:val="20"/>
          <w:lang w:val="es-AR"/>
        </w:rPr>
        <w:t xml:space="preserve"> </w:t>
      </w:r>
      <w:r w:rsidRPr="00624696">
        <w:rPr>
          <w:sz w:val="20"/>
          <w:lang w:val="es-AR"/>
        </w:rPr>
        <w:t>tercer</w:t>
      </w:r>
      <w:r w:rsidRPr="00624696">
        <w:rPr>
          <w:spacing w:val="-6"/>
          <w:sz w:val="20"/>
          <w:lang w:val="es-AR"/>
        </w:rPr>
        <w:t xml:space="preserve"> </w:t>
      </w:r>
      <w:r w:rsidRPr="00624696">
        <w:rPr>
          <w:sz w:val="20"/>
          <w:lang w:val="es-AR"/>
        </w:rPr>
        <w:t>grado</w:t>
      </w:r>
      <w:r w:rsidRPr="00624696">
        <w:rPr>
          <w:spacing w:val="-1"/>
          <w:sz w:val="20"/>
          <w:lang w:val="es-AR"/>
        </w:rPr>
        <w:t xml:space="preserve"> </w:t>
      </w:r>
      <w:r w:rsidRPr="00624696">
        <w:rPr>
          <w:sz w:val="20"/>
          <w:lang w:val="es-AR"/>
        </w:rPr>
        <w:t>en</w:t>
      </w:r>
      <w:r w:rsidRPr="00624696">
        <w:rPr>
          <w:spacing w:val="-2"/>
          <w:sz w:val="20"/>
          <w:lang w:val="es-AR"/>
        </w:rPr>
        <w:t xml:space="preserve"> </w:t>
      </w:r>
      <w:r w:rsidRPr="00624696">
        <w:rPr>
          <w:sz w:val="20"/>
          <w:lang w:val="es-AR"/>
        </w:rPr>
        <w:t>el rostro, brazos y piernas, problemas de inflamación en el oído, además de varios dolores</w:t>
      </w:r>
      <w:hyperlink w:anchor="_bookmark146" w:history="1">
        <w:r w:rsidRPr="00624696">
          <w:rPr>
            <w:position w:val="7"/>
            <w:sz w:val="13"/>
            <w:lang w:val="es-AR"/>
          </w:rPr>
          <w:t>121</w:t>
        </w:r>
      </w:hyperlink>
      <w:r w:rsidRPr="00624696">
        <w:rPr>
          <w:sz w:val="20"/>
          <w:lang w:val="es-AR"/>
        </w:rPr>
        <w:t>. Otros</w:t>
      </w:r>
      <w:r w:rsidRPr="00624696">
        <w:rPr>
          <w:spacing w:val="-9"/>
          <w:sz w:val="20"/>
          <w:lang w:val="es-AR"/>
        </w:rPr>
        <w:t xml:space="preserve"> </w:t>
      </w:r>
      <w:r w:rsidRPr="00624696">
        <w:rPr>
          <w:sz w:val="20"/>
          <w:lang w:val="es-AR"/>
        </w:rPr>
        <w:t>dos</w:t>
      </w:r>
      <w:r w:rsidRPr="00624696">
        <w:rPr>
          <w:spacing w:val="-8"/>
          <w:sz w:val="20"/>
          <w:lang w:val="es-AR"/>
        </w:rPr>
        <w:t xml:space="preserve"> </w:t>
      </w:r>
      <w:r w:rsidRPr="00624696">
        <w:rPr>
          <w:sz w:val="20"/>
          <w:lang w:val="es-AR"/>
        </w:rPr>
        <w:t>sobrevivientes,</w:t>
      </w:r>
      <w:r w:rsidRPr="00624696">
        <w:rPr>
          <w:spacing w:val="-7"/>
          <w:sz w:val="20"/>
          <w:lang w:val="es-AR"/>
        </w:rPr>
        <w:t xml:space="preserve"> </w:t>
      </w:r>
      <w:r w:rsidRPr="00624696">
        <w:rPr>
          <w:sz w:val="20"/>
          <w:lang w:val="es-AR"/>
        </w:rPr>
        <w:t>un</w:t>
      </w:r>
      <w:r w:rsidRPr="00624696">
        <w:rPr>
          <w:spacing w:val="-8"/>
          <w:sz w:val="20"/>
          <w:lang w:val="es-AR"/>
        </w:rPr>
        <w:t xml:space="preserve"> </w:t>
      </w:r>
      <w:r w:rsidRPr="00624696">
        <w:rPr>
          <w:sz w:val="20"/>
          <w:lang w:val="es-AR"/>
        </w:rPr>
        <w:t>niño</w:t>
      </w:r>
      <w:r w:rsidRPr="00624696">
        <w:rPr>
          <w:spacing w:val="-10"/>
          <w:sz w:val="20"/>
          <w:lang w:val="es-AR"/>
        </w:rPr>
        <w:t xml:space="preserve"> </w:t>
      </w:r>
      <w:r w:rsidRPr="00624696">
        <w:rPr>
          <w:sz w:val="20"/>
          <w:lang w:val="es-AR"/>
        </w:rPr>
        <w:t>para</w:t>
      </w:r>
      <w:r w:rsidRPr="00624696">
        <w:rPr>
          <w:spacing w:val="-7"/>
          <w:sz w:val="20"/>
          <w:lang w:val="es-AR"/>
        </w:rPr>
        <w:t xml:space="preserve"> </w:t>
      </w:r>
      <w:r w:rsidRPr="00624696">
        <w:rPr>
          <w:sz w:val="20"/>
          <w:lang w:val="es-AR"/>
        </w:rPr>
        <w:t>la</w:t>
      </w:r>
      <w:r w:rsidRPr="00624696">
        <w:rPr>
          <w:spacing w:val="-7"/>
          <w:sz w:val="20"/>
          <w:lang w:val="es-AR"/>
        </w:rPr>
        <w:t xml:space="preserve"> </w:t>
      </w:r>
      <w:r w:rsidRPr="00624696">
        <w:rPr>
          <w:sz w:val="20"/>
          <w:lang w:val="es-AR"/>
        </w:rPr>
        <w:t>fecha</w:t>
      </w:r>
      <w:r w:rsidRPr="00624696">
        <w:rPr>
          <w:spacing w:val="-7"/>
          <w:sz w:val="20"/>
          <w:lang w:val="es-AR"/>
        </w:rPr>
        <w:t xml:space="preserve"> </w:t>
      </w:r>
      <w:r w:rsidRPr="00624696">
        <w:rPr>
          <w:sz w:val="20"/>
          <w:lang w:val="es-AR"/>
        </w:rPr>
        <w:t>de</w:t>
      </w:r>
      <w:r w:rsidRPr="00624696">
        <w:rPr>
          <w:spacing w:val="-10"/>
          <w:sz w:val="20"/>
          <w:lang w:val="es-AR"/>
        </w:rPr>
        <w:t xml:space="preserve"> </w:t>
      </w:r>
      <w:r w:rsidRPr="00624696">
        <w:rPr>
          <w:sz w:val="20"/>
          <w:lang w:val="es-AR"/>
        </w:rPr>
        <w:t>los</w:t>
      </w:r>
      <w:r w:rsidRPr="00624696">
        <w:rPr>
          <w:spacing w:val="-9"/>
          <w:sz w:val="20"/>
          <w:lang w:val="es-AR"/>
        </w:rPr>
        <w:t xml:space="preserve"> </w:t>
      </w:r>
      <w:r w:rsidRPr="00624696">
        <w:rPr>
          <w:sz w:val="20"/>
          <w:lang w:val="es-AR"/>
        </w:rPr>
        <w:t>hechos</w:t>
      </w:r>
      <w:r w:rsidRPr="00624696">
        <w:rPr>
          <w:spacing w:val="-8"/>
          <w:sz w:val="20"/>
          <w:lang w:val="es-AR"/>
        </w:rPr>
        <w:t xml:space="preserve"> </w:t>
      </w:r>
      <w:r w:rsidRPr="00624696">
        <w:rPr>
          <w:sz w:val="20"/>
          <w:lang w:val="es-AR"/>
        </w:rPr>
        <w:t>y</w:t>
      </w:r>
      <w:r w:rsidRPr="00624696">
        <w:rPr>
          <w:spacing w:val="-10"/>
          <w:sz w:val="20"/>
          <w:lang w:val="es-AR"/>
        </w:rPr>
        <w:t xml:space="preserve"> </w:t>
      </w:r>
      <w:r w:rsidRPr="00624696">
        <w:rPr>
          <w:sz w:val="20"/>
          <w:lang w:val="es-AR"/>
        </w:rPr>
        <w:t>una</w:t>
      </w:r>
      <w:r w:rsidRPr="00624696">
        <w:rPr>
          <w:spacing w:val="-7"/>
          <w:sz w:val="20"/>
          <w:lang w:val="es-AR"/>
        </w:rPr>
        <w:t xml:space="preserve"> </w:t>
      </w:r>
      <w:r w:rsidRPr="00624696">
        <w:rPr>
          <w:sz w:val="20"/>
          <w:lang w:val="es-AR"/>
        </w:rPr>
        <w:t>mujer,</w:t>
      </w:r>
      <w:r w:rsidRPr="00624696">
        <w:rPr>
          <w:spacing w:val="-10"/>
          <w:sz w:val="20"/>
          <w:lang w:val="es-AR"/>
        </w:rPr>
        <w:t xml:space="preserve"> </w:t>
      </w:r>
      <w:r w:rsidRPr="00624696">
        <w:rPr>
          <w:sz w:val="20"/>
          <w:lang w:val="es-AR"/>
        </w:rPr>
        <w:t>declararon</w:t>
      </w:r>
      <w:r w:rsidRPr="00624696">
        <w:rPr>
          <w:spacing w:val="-8"/>
          <w:sz w:val="20"/>
          <w:lang w:val="es-AR"/>
        </w:rPr>
        <w:t xml:space="preserve"> </w:t>
      </w:r>
      <w:r w:rsidRPr="00624696">
        <w:rPr>
          <w:sz w:val="20"/>
          <w:lang w:val="es-AR"/>
        </w:rPr>
        <w:t>que</w:t>
      </w:r>
      <w:r w:rsidRPr="00624696">
        <w:rPr>
          <w:spacing w:val="-8"/>
          <w:sz w:val="20"/>
          <w:lang w:val="es-AR"/>
        </w:rPr>
        <w:t xml:space="preserve"> </w:t>
      </w:r>
      <w:r w:rsidRPr="00624696">
        <w:rPr>
          <w:sz w:val="20"/>
          <w:lang w:val="es-AR"/>
        </w:rPr>
        <w:t>no recibieron asistencia médica para atender las secuelas de la</w:t>
      </w:r>
      <w:r w:rsidRPr="00624696">
        <w:rPr>
          <w:spacing w:val="-11"/>
          <w:sz w:val="20"/>
          <w:lang w:val="es-AR"/>
        </w:rPr>
        <w:t xml:space="preserve"> </w:t>
      </w:r>
      <w:r w:rsidRPr="00624696">
        <w:rPr>
          <w:sz w:val="20"/>
          <w:lang w:val="es-AR"/>
        </w:rPr>
        <w:t>explosión</w:t>
      </w:r>
      <w:hyperlink w:anchor="_bookmark147" w:history="1">
        <w:r w:rsidRPr="00624696">
          <w:rPr>
            <w:position w:val="7"/>
            <w:sz w:val="13"/>
            <w:lang w:val="es-AR"/>
          </w:rPr>
          <w:t>122</w:t>
        </w:r>
      </w:hyperlink>
      <w:r w:rsidRPr="00624696">
        <w:rPr>
          <w:sz w:val="20"/>
          <w:lang w:val="es-AR"/>
        </w:rPr>
        <w:t>.</w:t>
      </w:r>
    </w:p>
    <w:p w14:paraId="37C19E05" w14:textId="77777777" w:rsidR="00467FCA" w:rsidRPr="00624696" w:rsidRDefault="00467FCA">
      <w:pPr>
        <w:pStyle w:val="Textoindependiente"/>
        <w:rPr>
          <w:lang w:val="es-AR"/>
        </w:rPr>
      </w:pPr>
    </w:p>
    <w:p w14:paraId="19D7F64B" w14:textId="77777777" w:rsidR="00467FCA" w:rsidRPr="00624696" w:rsidRDefault="001B68EB">
      <w:pPr>
        <w:pStyle w:val="Prrafodelista"/>
        <w:numPr>
          <w:ilvl w:val="0"/>
          <w:numId w:val="50"/>
        </w:numPr>
        <w:tabs>
          <w:tab w:val="left" w:pos="687"/>
        </w:tabs>
        <w:ind w:right="118" w:hanging="1"/>
        <w:jc w:val="both"/>
        <w:rPr>
          <w:sz w:val="20"/>
          <w:lang w:val="es-AR"/>
        </w:rPr>
      </w:pPr>
      <w:r w:rsidRPr="00624696">
        <w:rPr>
          <w:sz w:val="20"/>
          <w:lang w:val="es-AR"/>
        </w:rPr>
        <w:t>Leila Cerqueira dos Santos relató que fue rescatada por una pareja que la llevó al hospital</w:t>
      </w:r>
      <w:r w:rsidRPr="00624696">
        <w:rPr>
          <w:spacing w:val="-6"/>
          <w:sz w:val="20"/>
          <w:lang w:val="es-AR"/>
        </w:rPr>
        <w:t xml:space="preserve"> </w:t>
      </w:r>
      <w:r w:rsidRPr="00624696">
        <w:rPr>
          <w:sz w:val="20"/>
          <w:lang w:val="es-AR"/>
        </w:rPr>
        <w:t>en</w:t>
      </w:r>
      <w:r w:rsidRPr="00624696">
        <w:rPr>
          <w:spacing w:val="-4"/>
          <w:sz w:val="20"/>
          <w:lang w:val="es-AR"/>
        </w:rPr>
        <w:t xml:space="preserve"> </w:t>
      </w:r>
      <w:r w:rsidRPr="00624696">
        <w:rPr>
          <w:sz w:val="20"/>
          <w:lang w:val="es-AR"/>
        </w:rPr>
        <w:t>Santo</w:t>
      </w:r>
      <w:r w:rsidRPr="00624696">
        <w:rPr>
          <w:spacing w:val="-7"/>
          <w:sz w:val="20"/>
          <w:lang w:val="es-AR"/>
        </w:rPr>
        <w:t xml:space="preserve"> </w:t>
      </w:r>
      <w:r w:rsidRPr="00624696">
        <w:rPr>
          <w:sz w:val="20"/>
          <w:lang w:val="es-AR"/>
        </w:rPr>
        <w:t>Antônio</w:t>
      </w:r>
      <w:r w:rsidRPr="00624696">
        <w:rPr>
          <w:spacing w:val="-6"/>
          <w:sz w:val="20"/>
          <w:lang w:val="es-AR"/>
        </w:rPr>
        <w:t xml:space="preserve"> </w:t>
      </w:r>
      <w:r w:rsidRPr="00624696">
        <w:rPr>
          <w:sz w:val="20"/>
          <w:lang w:val="es-AR"/>
        </w:rPr>
        <w:t>de</w:t>
      </w:r>
      <w:r w:rsidRPr="00624696">
        <w:rPr>
          <w:spacing w:val="-7"/>
          <w:sz w:val="20"/>
          <w:lang w:val="es-AR"/>
        </w:rPr>
        <w:t xml:space="preserve"> </w:t>
      </w:r>
      <w:r w:rsidRPr="00624696">
        <w:rPr>
          <w:sz w:val="20"/>
          <w:lang w:val="es-AR"/>
        </w:rPr>
        <w:t>Jesus</w:t>
      </w:r>
      <w:r w:rsidRPr="00624696">
        <w:rPr>
          <w:spacing w:val="-6"/>
          <w:sz w:val="20"/>
          <w:lang w:val="es-AR"/>
        </w:rPr>
        <w:t xml:space="preserve"> </w:t>
      </w:r>
      <w:r w:rsidRPr="00624696">
        <w:rPr>
          <w:sz w:val="20"/>
          <w:lang w:val="es-AR"/>
        </w:rPr>
        <w:t>en</w:t>
      </w:r>
      <w:r w:rsidRPr="00624696">
        <w:rPr>
          <w:spacing w:val="-5"/>
          <w:sz w:val="20"/>
          <w:lang w:val="es-AR"/>
        </w:rPr>
        <w:t xml:space="preserve"> </w:t>
      </w:r>
      <w:r w:rsidRPr="00624696">
        <w:rPr>
          <w:sz w:val="20"/>
          <w:lang w:val="es-AR"/>
        </w:rPr>
        <w:t>un</w:t>
      </w:r>
      <w:r w:rsidRPr="00624696">
        <w:rPr>
          <w:spacing w:val="-4"/>
          <w:sz w:val="20"/>
          <w:lang w:val="es-AR"/>
        </w:rPr>
        <w:t xml:space="preserve"> </w:t>
      </w:r>
      <w:r w:rsidRPr="00624696">
        <w:rPr>
          <w:sz w:val="20"/>
          <w:lang w:val="es-AR"/>
        </w:rPr>
        <w:t>carro</w:t>
      </w:r>
      <w:r w:rsidRPr="00624696">
        <w:rPr>
          <w:spacing w:val="-7"/>
          <w:sz w:val="20"/>
          <w:lang w:val="es-AR"/>
        </w:rPr>
        <w:t xml:space="preserve"> </w:t>
      </w:r>
      <w:r w:rsidRPr="00624696">
        <w:rPr>
          <w:sz w:val="20"/>
          <w:lang w:val="es-AR"/>
        </w:rPr>
        <w:t>pequeño,</w:t>
      </w:r>
      <w:r w:rsidRPr="00624696">
        <w:rPr>
          <w:spacing w:val="-6"/>
          <w:sz w:val="20"/>
          <w:lang w:val="es-AR"/>
        </w:rPr>
        <w:t xml:space="preserve"> </w:t>
      </w:r>
      <w:r w:rsidRPr="00624696">
        <w:rPr>
          <w:sz w:val="20"/>
          <w:lang w:val="es-AR"/>
        </w:rPr>
        <w:t>sin</w:t>
      </w:r>
      <w:r w:rsidRPr="00624696">
        <w:rPr>
          <w:spacing w:val="-4"/>
          <w:sz w:val="20"/>
          <w:lang w:val="es-AR"/>
        </w:rPr>
        <w:t xml:space="preserve"> </w:t>
      </w:r>
      <w:r w:rsidRPr="00624696">
        <w:rPr>
          <w:sz w:val="20"/>
          <w:lang w:val="es-AR"/>
        </w:rPr>
        <w:t>ni</w:t>
      </w:r>
      <w:r w:rsidRPr="00624696">
        <w:rPr>
          <w:sz w:val="20"/>
          <w:lang w:val="es-AR"/>
        </w:rPr>
        <w:t>ngún</w:t>
      </w:r>
      <w:r w:rsidRPr="00624696">
        <w:rPr>
          <w:spacing w:val="-5"/>
          <w:sz w:val="20"/>
          <w:lang w:val="es-AR"/>
        </w:rPr>
        <w:t xml:space="preserve"> </w:t>
      </w:r>
      <w:r w:rsidRPr="00624696">
        <w:rPr>
          <w:sz w:val="20"/>
          <w:lang w:val="es-AR"/>
        </w:rPr>
        <w:t>tipo</w:t>
      </w:r>
      <w:r w:rsidRPr="00624696">
        <w:rPr>
          <w:spacing w:val="-6"/>
          <w:sz w:val="20"/>
          <w:lang w:val="es-AR"/>
        </w:rPr>
        <w:t xml:space="preserve"> </w:t>
      </w:r>
      <w:r w:rsidRPr="00624696">
        <w:rPr>
          <w:sz w:val="20"/>
          <w:lang w:val="es-AR"/>
        </w:rPr>
        <w:t>de</w:t>
      </w:r>
      <w:r w:rsidRPr="00624696">
        <w:rPr>
          <w:spacing w:val="-7"/>
          <w:sz w:val="20"/>
          <w:lang w:val="es-AR"/>
        </w:rPr>
        <w:t xml:space="preserve"> </w:t>
      </w:r>
      <w:r w:rsidRPr="00624696">
        <w:rPr>
          <w:sz w:val="20"/>
          <w:lang w:val="es-AR"/>
        </w:rPr>
        <w:t>atención</w:t>
      </w:r>
      <w:r w:rsidRPr="00624696">
        <w:rPr>
          <w:spacing w:val="-5"/>
          <w:sz w:val="20"/>
          <w:lang w:val="es-AR"/>
        </w:rPr>
        <w:t xml:space="preserve"> </w:t>
      </w:r>
      <w:r w:rsidRPr="00624696">
        <w:rPr>
          <w:sz w:val="20"/>
          <w:lang w:val="es-AR"/>
        </w:rPr>
        <w:t>médica. Afirmó, además, que de aquel hospital la trasladaron con los otros sobrevivientes al hospital de la ciudad de Salvador, sin cuidado médico alguno, sólo les quitaron la</w:t>
      </w:r>
      <w:r w:rsidRPr="00624696">
        <w:rPr>
          <w:spacing w:val="-16"/>
          <w:sz w:val="20"/>
          <w:lang w:val="es-AR"/>
        </w:rPr>
        <w:t xml:space="preserve"> </w:t>
      </w:r>
      <w:r w:rsidRPr="00624696">
        <w:rPr>
          <w:sz w:val="20"/>
          <w:lang w:val="es-AR"/>
        </w:rPr>
        <w:t>ropa</w:t>
      </w:r>
      <w:hyperlink w:anchor="_bookmark148" w:history="1">
        <w:r w:rsidRPr="00624696">
          <w:rPr>
            <w:position w:val="7"/>
            <w:sz w:val="13"/>
            <w:lang w:val="es-AR"/>
          </w:rPr>
          <w:t>123</w:t>
        </w:r>
      </w:hyperlink>
      <w:r w:rsidRPr="00624696">
        <w:rPr>
          <w:sz w:val="20"/>
          <w:lang w:val="es-AR"/>
        </w:rPr>
        <w:t>.</w:t>
      </w:r>
    </w:p>
    <w:p w14:paraId="0D1051DF" w14:textId="77777777" w:rsidR="00467FCA" w:rsidRPr="00624696" w:rsidRDefault="00467FCA">
      <w:pPr>
        <w:pStyle w:val="Textoindependiente"/>
        <w:spacing w:before="1"/>
        <w:rPr>
          <w:lang w:val="es-AR"/>
        </w:rPr>
      </w:pPr>
    </w:p>
    <w:p w14:paraId="46219B72" w14:textId="77777777" w:rsidR="00467FCA" w:rsidRPr="00624696" w:rsidRDefault="001B68EB">
      <w:pPr>
        <w:pStyle w:val="Prrafodelista"/>
        <w:numPr>
          <w:ilvl w:val="0"/>
          <w:numId w:val="50"/>
        </w:numPr>
        <w:tabs>
          <w:tab w:val="left" w:pos="687"/>
        </w:tabs>
        <w:spacing w:before="1"/>
        <w:ind w:right="119" w:hanging="1"/>
        <w:jc w:val="both"/>
        <w:rPr>
          <w:sz w:val="20"/>
          <w:lang w:val="es-AR"/>
        </w:rPr>
      </w:pPr>
      <w:r w:rsidRPr="00624696">
        <w:rPr>
          <w:sz w:val="20"/>
          <w:lang w:val="es-AR"/>
        </w:rPr>
        <w:t>Al</w:t>
      </w:r>
      <w:r w:rsidRPr="00624696">
        <w:rPr>
          <w:spacing w:val="-5"/>
          <w:sz w:val="20"/>
          <w:lang w:val="es-AR"/>
        </w:rPr>
        <w:t xml:space="preserve"> </w:t>
      </w:r>
      <w:r w:rsidRPr="00624696">
        <w:rPr>
          <w:sz w:val="20"/>
          <w:lang w:val="es-AR"/>
        </w:rPr>
        <w:t>momento</w:t>
      </w:r>
      <w:r w:rsidRPr="00624696">
        <w:rPr>
          <w:spacing w:val="-6"/>
          <w:sz w:val="20"/>
          <w:lang w:val="es-AR"/>
        </w:rPr>
        <w:t xml:space="preserve"> </w:t>
      </w:r>
      <w:r w:rsidRPr="00624696">
        <w:rPr>
          <w:sz w:val="20"/>
          <w:lang w:val="es-AR"/>
        </w:rPr>
        <w:t>de</w:t>
      </w:r>
      <w:r w:rsidRPr="00624696">
        <w:rPr>
          <w:spacing w:val="-7"/>
          <w:sz w:val="20"/>
          <w:lang w:val="es-AR"/>
        </w:rPr>
        <w:t xml:space="preserve"> </w:t>
      </w:r>
      <w:r w:rsidRPr="00624696">
        <w:rPr>
          <w:sz w:val="20"/>
          <w:lang w:val="es-AR"/>
        </w:rPr>
        <w:t>la</w:t>
      </w:r>
      <w:r w:rsidRPr="00624696">
        <w:rPr>
          <w:spacing w:val="-1"/>
          <w:sz w:val="20"/>
          <w:lang w:val="es-AR"/>
        </w:rPr>
        <w:t xml:space="preserve"> </w:t>
      </w:r>
      <w:r w:rsidRPr="00624696">
        <w:rPr>
          <w:sz w:val="20"/>
          <w:lang w:val="es-AR"/>
        </w:rPr>
        <w:t>explosión,</w:t>
      </w:r>
      <w:r w:rsidRPr="00624696">
        <w:rPr>
          <w:spacing w:val="-6"/>
          <w:sz w:val="20"/>
          <w:lang w:val="es-AR"/>
        </w:rPr>
        <w:t xml:space="preserve"> </w:t>
      </w:r>
      <w:r w:rsidRPr="00624696">
        <w:rPr>
          <w:sz w:val="20"/>
          <w:lang w:val="es-AR"/>
        </w:rPr>
        <w:t>la</w:t>
      </w:r>
      <w:r w:rsidRPr="00624696">
        <w:rPr>
          <w:spacing w:val="-3"/>
          <w:sz w:val="20"/>
          <w:lang w:val="es-AR"/>
        </w:rPr>
        <w:t xml:space="preserve"> </w:t>
      </w:r>
      <w:r w:rsidRPr="00624696">
        <w:rPr>
          <w:sz w:val="20"/>
          <w:lang w:val="es-AR"/>
        </w:rPr>
        <w:t>fábrica</w:t>
      </w:r>
      <w:r w:rsidRPr="00624696">
        <w:rPr>
          <w:spacing w:val="-3"/>
          <w:sz w:val="20"/>
          <w:lang w:val="es-AR"/>
        </w:rPr>
        <w:t xml:space="preserve"> </w:t>
      </w:r>
      <w:r w:rsidRPr="00624696">
        <w:rPr>
          <w:sz w:val="20"/>
          <w:lang w:val="es-AR"/>
        </w:rPr>
        <w:t>contaba</w:t>
      </w:r>
      <w:r w:rsidRPr="00624696">
        <w:rPr>
          <w:spacing w:val="-3"/>
          <w:sz w:val="20"/>
          <w:lang w:val="es-AR"/>
        </w:rPr>
        <w:t xml:space="preserve"> </w:t>
      </w:r>
      <w:r w:rsidRPr="00624696">
        <w:rPr>
          <w:sz w:val="20"/>
          <w:lang w:val="es-AR"/>
        </w:rPr>
        <w:t>con</w:t>
      </w:r>
      <w:r w:rsidRPr="00624696">
        <w:rPr>
          <w:spacing w:val="-4"/>
          <w:sz w:val="20"/>
          <w:lang w:val="es-AR"/>
        </w:rPr>
        <w:t xml:space="preserve"> </w:t>
      </w:r>
      <w:r w:rsidRPr="00624696">
        <w:rPr>
          <w:sz w:val="20"/>
          <w:lang w:val="es-AR"/>
        </w:rPr>
        <w:t>permiso</w:t>
      </w:r>
      <w:r w:rsidRPr="00624696">
        <w:rPr>
          <w:spacing w:val="-4"/>
          <w:sz w:val="20"/>
          <w:lang w:val="es-AR"/>
        </w:rPr>
        <w:t xml:space="preserve"> </w:t>
      </w:r>
      <w:r w:rsidRPr="00624696">
        <w:rPr>
          <w:sz w:val="20"/>
          <w:lang w:val="es-AR"/>
        </w:rPr>
        <w:t>del</w:t>
      </w:r>
      <w:r w:rsidRPr="00624696">
        <w:rPr>
          <w:spacing w:val="-3"/>
          <w:sz w:val="20"/>
          <w:lang w:val="es-AR"/>
        </w:rPr>
        <w:t xml:space="preserve"> </w:t>
      </w:r>
      <w:r w:rsidRPr="00624696">
        <w:rPr>
          <w:sz w:val="20"/>
          <w:lang w:val="es-AR"/>
        </w:rPr>
        <w:t>Ministerio</w:t>
      </w:r>
      <w:r w:rsidRPr="00624696">
        <w:rPr>
          <w:spacing w:val="-7"/>
          <w:sz w:val="20"/>
          <w:lang w:val="es-AR"/>
        </w:rPr>
        <w:t xml:space="preserve"> </w:t>
      </w:r>
      <w:r w:rsidRPr="00624696">
        <w:rPr>
          <w:sz w:val="20"/>
          <w:lang w:val="es-AR"/>
        </w:rPr>
        <w:t>del</w:t>
      </w:r>
      <w:r w:rsidRPr="00624696">
        <w:rPr>
          <w:spacing w:val="-5"/>
          <w:sz w:val="20"/>
          <w:lang w:val="es-AR"/>
        </w:rPr>
        <w:t xml:space="preserve"> </w:t>
      </w:r>
      <w:r w:rsidRPr="00624696">
        <w:rPr>
          <w:sz w:val="20"/>
          <w:lang w:val="es-AR"/>
        </w:rPr>
        <w:t>Ejército</w:t>
      </w:r>
      <w:r w:rsidRPr="00624696">
        <w:rPr>
          <w:spacing w:val="-4"/>
          <w:sz w:val="20"/>
          <w:lang w:val="es-AR"/>
        </w:rPr>
        <w:t xml:space="preserve"> </w:t>
      </w:r>
      <w:r w:rsidRPr="00624696">
        <w:rPr>
          <w:sz w:val="20"/>
          <w:lang w:val="es-AR"/>
        </w:rPr>
        <w:t>y de la municipalidad</w:t>
      </w:r>
      <w:hyperlink w:anchor="_bookmark149" w:history="1">
        <w:r w:rsidRPr="00624696">
          <w:rPr>
            <w:position w:val="7"/>
            <w:sz w:val="13"/>
            <w:lang w:val="es-AR"/>
          </w:rPr>
          <w:t>124</w:t>
        </w:r>
      </w:hyperlink>
      <w:r w:rsidRPr="00624696">
        <w:rPr>
          <w:sz w:val="20"/>
          <w:lang w:val="es-AR"/>
        </w:rPr>
        <w:t>, así como con el Certificado de Registro número 381, emitido el 19</w:t>
      </w:r>
      <w:r w:rsidRPr="00624696">
        <w:rPr>
          <w:spacing w:val="-1"/>
          <w:sz w:val="20"/>
          <w:lang w:val="es-AR"/>
        </w:rPr>
        <w:t xml:space="preserve"> </w:t>
      </w:r>
      <w:r w:rsidRPr="00624696">
        <w:rPr>
          <w:spacing w:val="2"/>
          <w:sz w:val="20"/>
          <w:lang w:val="es-AR"/>
        </w:rPr>
        <w:t>de</w:t>
      </w:r>
    </w:p>
    <w:p w14:paraId="1255508A" w14:textId="77777777" w:rsidR="00467FCA" w:rsidRPr="00624696" w:rsidRDefault="001B68EB">
      <w:pPr>
        <w:pStyle w:val="Textoindependiente"/>
        <w:spacing w:before="7"/>
        <w:rPr>
          <w:sz w:val="13"/>
          <w:lang w:val="es-AR"/>
        </w:rPr>
      </w:pPr>
      <w:r>
        <w:pict w14:anchorId="536C0C5D">
          <v:shape id="_x0000_s1175" style="position:absolute;margin-left:1in;margin-top:10.5pt;width:2in;height:.1pt;z-index:-251636736;mso-wrap-distance-left:0;mso-wrap-distance-right:0;mso-position-horizontal-relative:page" coordorigin="1440,210" coordsize="2880,0" path="m1440,210r2880,e" filled="f" strokeweight=".6pt">
            <v:path arrowok="t"/>
            <w10:wrap type="topAndBottom" anchorx="page"/>
          </v:shape>
        </w:pict>
      </w:r>
    </w:p>
    <w:p w14:paraId="6DFF75BA" w14:textId="77777777" w:rsidR="00467FCA" w:rsidRPr="00624696" w:rsidRDefault="001B68EB">
      <w:pPr>
        <w:tabs>
          <w:tab w:val="left" w:pos="839"/>
        </w:tabs>
        <w:spacing w:before="74"/>
        <w:ind w:left="120"/>
        <w:rPr>
          <w:sz w:val="16"/>
          <w:lang w:val="es-AR"/>
        </w:rPr>
      </w:pPr>
      <w:bookmarkStart w:id="167" w:name="_bookmark140"/>
      <w:bookmarkEnd w:id="167"/>
      <w:r w:rsidRPr="00624696">
        <w:rPr>
          <w:position w:val="6"/>
          <w:sz w:val="10"/>
          <w:lang w:val="es-AR"/>
        </w:rPr>
        <w:t>115</w:t>
      </w:r>
      <w:r w:rsidRPr="00624696">
        <w:rPr>
          <w:position w:val="6"/>
          <w:sz w:val="10"/>
          <w:lang w:val="es-AR"/>
        </w:rPr>
        <w:tab/>
      </w:r>
      <w:r w:rsidRPr="00624696">
        <w:rPr>
          <w:i/>
          <w:sz w:val="16"/>
          <w:lang w:val="es-AR"/>
        </w:rPr>
        <w:t xml:space="preserve">Cfr. </w:t>
      </w:r>
      <w:r w:rsidRPr="00624696">
        <w:rPr>
          <w:sz w:val="16"/>
          <w:lang w:val="es-AR"/>
        </w:rPr>
        <w:t>Reportaje aparecido en “Record” de</w:t>
      </w:r>
      <w:r w:rsidRPr="00624696">
        <w:rPr>
          <w:sz w:val="16"/>
          <w:lang w:val="es-AR"/>
        </w:rPr>
        <w:t xml:space="preserve"> 21 de marzo de 2007 (expediente de prueba, folio</w:t>
      </w:r>
      <w:r w:rsidRPr="00624696">
        <w:rPr>
          <w:spacing w:val="-24"/>
          <w:sz w:val="16"/>
          <w:lang w:val="es-AR"/>
        </w:rPr>
        <w:t xml:space="preserve"> </w:t>
      </w:r>
      <w:r w:rsidRPr="00624696">
        <w:rPr>
          <w:sz w:val="16"/>
          <w:lang w:val="es-AR"/>
        </w:rPr>
        <w:t>82).</w:t>
      </w:r>
    </w:p>
    <w:p w14:paraId="7C54583A" w14:textId="77777777" w:rsidR="00467FCA" w:rsidRDefault="001B68EB">
      <w:pPr>
        <w:tabs>
          <w:tab w:val="left" w:pos="839"/>
        </w:tabs>
        <w:ind w:left="121" w:right="129" w:hanging="2"/>
        <w:rPr>
          <w:sz w:val="16"/>
        </w:rPr>
      </w:pPr>
      <w:bookmarkStart w:id="168" w:name="_bookmark141"/>
      <w:bookmarkEnd w:id="168"/>
      <w:r>
        <w:rPr>
          <w:position w:val="6"/>
          <w:sz w:val="10"/>
        </w:rPr>
        <w:t>116</w:t>
      </w:r>
      <w:r>
        <w:rPr>
          <w:position w:val="6"/>
          <w:sz w:val="10"/>
        </w:rPr>
        <w:tab/>
      </w:r>
      <w:r>
        <w:rPr>
          <w:i/>
          <w:sz w:val="16"/>
        </w:rPr>
        <w:t xml:space="preserve">Cfr. </w:t>
      </w:r>
      <w:r>
        <w:rPr>
          <w:sz w:val="16"/>
        </w:rPr>
        <w:t>Acusación formal del Ministerio Público de 12 de abril de 1999, expediente criminal 0000447-</w:t>
      </w:r>
      <w:bookmarkStart w:id="169" w:name="_bookmark142"/>
      <w:bookmarkEnd w:id="169"/>
      <w:r>
        <w:rPr>
          <w:sz w:val="16"/>
        </w:rPr>
        <w:t xml:space="preserve"> 05.1999.8.05.0229 (expediente de prueba, folios 39 a</w:t>
      </w:r>
      <w:r>
        <w:rPr>
          <w:spacing w:val="-5"/>
          <w:sz w:val="16"/>
        </w:rPr>
        <w:t xml:space="preserve"> </w:t>
      </w:r>
      <w:r>
        <w:rPr>
          <w:sz w:val="16"/>
        </w:rPr>
        <w:t>43).</w:t>
      </w:r>
    </w:p>
    <w:p w14:paraId="4AC9AC6B" w14:textId="77777777" w:rsidR="00467FCA" w:rsidRDefault="001B68EB">
      <w:pPr>
        <w:tabs>
          <w:tab w:val="left" w:pos="839"/>
        </w:tabs>
        <w:ind w:left="119" w:right="117"/>
        <w:rPr>
          <w:sz w:val="16"/>
        </w:rPr>
      </w:pPr>
      <w:r>
        <w:rPr>
          <w:position w:val="6"/>
          <w:sz w:val="10"/>
        </w:rPr>
        <w:t>117</w:t>
      </w:r>
      <w:r>
        <w:rPr>
          <w:position w:val="6"/>
          <w:sz w:val="10"/>
        </w:rPr>
        <w:tab/>
      </w:r>
      <w:r>
        <w:rPr>
          <w:sz w:val="16"/>
        </w:rPr>
        <w:t>El entonces Ministerio del Ejército (</w:t>
      </w:r>
      <w:r>
        <w:rPr>
          <w:sz w:val="16"/>
        </w:rPr>
        <w:t>1967 a 1999) es hoy el Ministério de la Defensa. Hasta el año de 1967, este Ministerio se llamava Ministerio de la</w:t>
      </w:r>
      <w:r>
        <w:rPr>
          <w:spacing w:val="-8"/>
          <w:sz w:val="16"/>
        </w:rPr>
        <w:t xml:space="preserve"> </w:t>
      </w:r>
      <w:r>
        <w:rPr>
          <w:sz w:val="16"/>
        </w:rPr>
        <w:t>Guerra.</w:t>
      </w:r>
    </w:p>
    <w:p w14:paraId="35E86EBF" w14:textId="77777777" w:rsidR="00467FCA" w:rsidRDefault="001B68EB">
      <w:pPr>
        <w:tabs>
          <w:tab w:val="left" w:pos="839"/>
        </w:tabs>
        <w:ind w:left="120"/>
        <w:rPr>
          <w:i/>
          <w:sz w:val="16"/>
        </w:rPr>
      </w:pPr>
      <w:bookmarkStart w:id="170" w:name="_bookmark143"/>
      <w:bookmarkEnd w:id="170"/>
      <w:r>
        <w:rPr>
          <w:position w:val="6"/>
          <w:sz w:val="10"/>
        </w:rPr>
        <w:t>118</w:t>
      </w:r>
      <w:r>
        <w:rPr>
          <w:position w:val="6"/>
          <w:sz w:val="10"/>
        </w:rPr>
        <w:tab/>
      </w:r>
      <w:r>
        <w:rPr>
          <w:i/>
          <w:sz w:val="16"/>
        </w:rPr>
        <w:t xml:space="preserve">Cfr. </w:t>
      </w:r>
      <w:r>
        <w:rPr>
          <w:sz w:val="16"/>
        </w:rPr>
        <w:t>Acusación formal del Ministerio Público de 12 de abril de 1999,</w:t>
      </w:r>
      <w:r>
        <w:rPr>
          <w:spacing w:val="-15"/>
          <w:sz w:val="16"/>
        </w:rPr>
        <w:t xml:space="preserve"> </w:t>
      </w:r>
      <w:r>
        <w:rPr>
          <w:i/>
          <w:sz w:val="16"/>
        </w:rPr>
        <w:t>supra.</w:t>
      </w:r>
    </w:p>
    <w:p w14:paraId="30ED621D" w14:textId="77777777" w:rsidR="00467FCA" w:rsidRDefault="001B68EB">
      <w:pPr>
        <w:tabs>
          <w:tab w:val="left" w:pos="839"/>
        </w:tabs>
        <w:ind w:left="119" w:right="129"/>
        <w:rPr>
          <w:sz w:val="16"/>
        </w:rPr>
      </w:pPr>
      <w:bookmarkStart w:id="171" w:name="_bookmark144"/>
      <w:bookmarkEnd w:id="171"/>
      <w:r>
        <w:rPr>
          <w:position w:val="6"/>
          <w:sz w:val="10"/>
        </w:rPr>
        <w:t>119</w:t>
      </w:r>
      <w:r>
        <w:rPr>
          <w:position w:val="6"/>
          <w:sz w:val="10"/>
        </w:rPr>
        <w:tab/>
      </w:r>
      <w:r>
        <w:rPr>
          <w:sz w:val="16"/>
        </w:rPr>
        <w:t>Los representantes sostienen, por ejemplo, que Vitória, hasta el día de hoy sufre de ataques epilépticos y una condición psicológica que ha comprometido todo su proceso de</w:t>
      </w:r>
      <w:r>
        <w:rPr>
          <w:spacing w:val="-8"/>
          <w:sz w:val="16"/>
        </w:rPr>
        <w:t xml:space="preserve"> </w:t>
      </w:r>
      <w:r>
        <w:rPr>
          <w:sz w:val="16"/>
        </w:rPr>
        <w:t>aprendizaje.</w:t>
      </w:r>
    </w:p>
    <w:p w14:paraId="1DD9CC60" w14:textId="77777777" w:rsidR="00467FCA" w:rsidRDefault="001B68EB">
      <w:pPr>
        <w:tabs>
          <w:tab w:val="left" w:pos="839"/>
        </w:tabs>
        <w:ind w:left="120"/>
        <w:rPr>
          <w:i/>
          <w:sz w:val="16"/>
        </w:rPr>
      </w:pPr>
      <w:bookmarkStart w:id="172" w:name="_bookmark145"/>
      <w:bookmarkEnd w:id="172"/>
      <w:r>
        <w:rPr>
          <w:position w:val="6"/>
          <w:sz w:val="10"/>
        </w:rPr>
        <w:t>120</w:t>
      </w:r>
      <w:r>
        <w:rPr>
          <w:position w:val="6"/>
          <w:sz w:val="10"/>
        </w:rPr>
        <w:tab/>
      </w:r>
      <w:r>
        <w:rPr>
          <w:i/>
          <w:sz w:val="16"/>
        </w:rPr>
        <w:t xml:space="preserve">Cfr. </w:t>
      </w:r>
      <w:r>
        <w:rPr>
          <w:sz w:val="16"/>
        </w:rPr>
        <w:t xml:space="preserve">Nota periodística </w:t>
      </w:r>
      <w:r>
        <w:rPr>
          <w:i/>
          <w:sz w:val="16"/>
        </w:rPr>
        <w:t>“Más de 60 muertes”,</w:t>
      </w:r>
      <w:r>
        <w:rPr>
          <w:i/>
          <w:spacing w:val="-6"/>
          <w:sz w:val="16"/>
        </w:rPr>
        <w:t xml:space="preserve"> </w:t>
      </w:r>
      <w:r>
        <w:rPr>
          <w:i/>
          <w:sz w:val="16"/>
        </w:rPr>
        <w:t>supra.</w:t>
      </w:r>
    </w:p>
    <w:p w14:paraId="4782508C" w14:textId="77777777" w:rsidR="00467FCA" w:rsidRDefault="001B68EB">
      <w:pPr>
        <w:tabs>
          <w:tab w:val="left" w:pos="839"/>
        </w:tabs>
        <w:ind w:left="120"/>
        <w:rPr>
          <w:sz w:val="16"/>
        </w:rPr>
      </w:pPr>
      <w:bookmarkStart w:id="173" w:name="_bookmark146"/>
      <w:bookmarkEnd w:id="173"/>
      <w:r>
        <w:rPr>
          <w:position w:val="6"/>
          <w:sz w:val="10"/>
        </w:rPr>
        <w:t>121</w:t>
      </w:r>
      <w:r>
        <w:rPr>
          <w:position w:val="6"/>
          <w:sz w:val="10"/>
        </w:rPr>
        <w:tab/>
      </w:r>
      <w:r>
        <w:rPr>
          <w:i/>
          <w:sz w:val="16"/>
        </w:rPr>
        <w:t xml:space="preserve">Cfr. </w:t>
      </w:r>
      <w:r>
        <w:rPr>
          <w:sz w:val="16"/>
        </w:rPr>
        <w:t>Declara</w:t>
      </w:r>
      <w:r>
        <w:rPr>
          <w:sz w:val="16"/>
        </w:rPr>
        <w:t>ción rendida por Leila Cerqueira dos Santos,</w:t>
      </w:r>
      <w:r>
        <w:rPr>
          <w:spacing w:val="-14"/>
          <w:sz w:val="16"/>
        </w:rPr>
        <w:t xml:space="preserve"> </w:t>
      </w:r>
      <w:r>
        <w:rPr>
          <w:i/>
          <w:sz w:val="16"/>
        </w:rPr>
        <w:t>supra</w:t>
      </w:r>
      <w:r>
        <w:rPr>
          <w:sz w:val="16"/>
        </w:rPr>
        <w:t>.</w:t>
      </w:r>
    </w:p>
    <w:p w14:paraId="6D58E43F" w14:textId="77777777" w:rsidR="00467FCA" w:rsidRDefault="001B68EB">
      <w:pPr>
        <w:tabs>
          <w:tab w:val="left" w:pos="839"/>
        </w:tabs>
        <w:ind w:left="120"/>
        <w:rPr>
          <w:sz w:val="16"/>
        </w:rPr>
      </w:pPr>
      <w:bookmarkStart w:id="174" w:name="_bookmark147"/>
      <w:bookmarkEnd w:id="174"/>
      <w:r>
        <w:rPr>
          <w:position w:val="6"/>
          <w:sz w:val="10"/>
        </w:rPr>
        <w:t>122</w:t>
      </w:r>
      <w:r>
        <w:rPr>
          <w:position w:val="6"/>
          <w:sz w:val="10"/>
        </w:rPr>
        <w:tab/>
      </w:r>
      <w:r>
        <w:rPr>
          <w:i/>
          <w:sz w:val="16"/>
        </w:rPr>
        <w:t>Cfr.</w:t>
      </w:r>
      <w:r>
        <w:rPr>
          <w:i/>
          <w:spacing w:val="10"/>
          <w:sz w:val="16"/>
        </w:rPr>
        <w:t xml:space="preserve"> </w:t>
      </w:r>
      <w:r>
        <w:rPr>
          <w:sz w:val="16"/>
        </w:rPr>
        <w:t>Declaraciones</w:t>
      </w:r>
      <w:r>
        <w:rPr>
          <w:spacing w:val="12"/>
          <w:sz w:val="16"/>
        </w:rPr>
        <w:t xml:space="preserve"> </w:t>
      </w:r>
      <w:r>
        <w:rPr>
          <w:sz w:val="16"/>
        </w:rPr>
        <w:t>rendidas</w:t>
      </w:r>
      <w:r>
        <w:rPr>
          <w:spacing w:val="10"/>
          <w:sz w:val="16"/>
        </w:rPr>
        <w:t xml:space="preserve"> </w:t>
      </w:r>
      <w:r>
        <w:rPr>
          <w:sz w:val="16"/>
        </w:rPr>
        <w:t>ante</w:t>
      </w:r>
      <w:r>
        <w:rPr>
          <w:spacing w:val="11"/>
          <w:sz w:val="16"/>
        </w:rPr>
        <w:t xml:space="preserve"> </w:t>
      </w:r>
      <w:r>
        <w:rPr>
          <w:sz w:val="16"/>
        </w:rPr>
        <w:t>fedatario</w:t>
      </w:r>
      <w:r>
        <w:rPr>
          <w:spacing w:val="13"/>
          <w:sz w:val="16"/>
        </w:rPr>
        <w:t xml:space="preserve"> </w:t>
      </w:r>
      <w:r>
        <w:rPr>
          <w:sz w:val="16"/>
        </w:rPr>
        <w:t>público</w:t>
      </w:r>
      <w:r>
        <w:rPr>
          <w:spacing w:val="9"/>
          <w:sz w:val="16"/>
        </w:rPr>
        <w:t xml:space="preserve"> </w:t>
      </w:r>
      <w:r>
        <w:rPr>
          <w:sz w:val="16"/>
        </w:rPr>
        <w:t>por</w:t>
      </w:r>
      <w:r>
        <w:rPr>
          <w:spacing w:val="13"/>
          <w:sz w:val="16"/>
        </w:rPr>
        <w:t xml:space="preserve"> </w:t>
      </w:r>
      <w:r>
        <w:rPr>
          <w:sz w:val="16"/>
        </w:rPr>
        <w:t>Bruno</w:t>
      </w:r>
      <w:r>
        <w:rPr>
          <w:spacing w:val="13"/>
          <w:sz w:val="16"/>
        </w:rPr>
        <w:t xml:space="preserve"> </w:t>
      </w:r>
      <w:r>
        <w:rPr>
          <w:sz w:val="16"/>
        </w:rPr>
        <w:t>Silva</w:t>
      </w:r>
      <w:r>
        <w:rPr>
          <w:spacing w:val="8"/>
          <w:sz w:val="16"/>
        </w:rPr>
        <w:t xml:space="preserve"> </w:t>
      </w:r>
      <w:r>
        <w:rPr>
          <w:sz w:val="16"/>
        </w:rPr>
        <w:t>dos</w:t>
      </w:r>
      <w:r>
        <w:rPr>
          <w:spacing w:val="10"/>
          <w:sz w:val="16"/>
        </w:rPr>
        <w:t xml:space="preserve"> </w:t>
      </w:r>
      <w:r>
        <w:rPr>
          <w:sz w:val="16"/>
        </w:rPr>
        <w:t>Santos</w:t>
      </w:r>
      <w:r>
        <w:rPr>
          <w:spacing w:val="10"/>
          <w:sz w:val="16"/>
        </w:rPr>
        <w:t xml:space="preserve"> </w:t>
      </w:r>
      <w:r>
        <w:rPr>
          <w:sz w:val="16"/>
        </w:rPr>
        <w:t>y</w:t>
      </w:r>
      <w:r>
        <w:rPr>
          <w:spacing w:val="10"/>
          <w:sz w:val="16"/>
        </w:rPr>
        <w:t xml:space="preserve"> </w:t>
      </w:r>
      <w:r>
        <w:rPr>
          <w:sz w:val="16"/>
        </w:rPr>
        <w:t>Claudia</w:t>
      </w:r>
      <w:r>
        <w:rPr>
          <w:spacing w:val="10"/>
          <w:sz w:val="16"/>
        </w:rPr>
        <w:t xml:space="preserve"> </w:t>
      </w:r>
      <w:r>
        <w:rPr>
          <w:sz w:val="16"/>
        </w:rPr>
        <w:t>Reis</w:t>
      </w:r>
      <w:r>
        <w:rPr>
          <w:spacing w:val="10"/>
          <w:sz w:val="16"/>
        </w:rPr>
        <w:t xml:space="preserve"> </w:t>
      </w:r>
      <w:r>
        <w:rPr>
          <w:sz w:val="16"/>
        </w:rPr>
        <w:t>dos</w:t>
      </w:r>
      <w:r>
        <w:rPr>
          <w:spacing w:val="12"/>
          <w:sz w:val="16"/>
        </w:rPr>
        <w:t xml:space="preserve"> </w:t>
      </w:r>
      <w:r>
        <w:rPr>
          <w:sz w:val="16"/>
        </w:rPr>
        <w:t>Santos,</w:t>
      </w:r>
    </w:p>
    <w:p w14:paraId="0639397B" w14:textId="77777777" w:rsidR="00467FCA" w:rsidRDefault="001B68EB">
      <w:pPr>
        <w:ind w:left="120"/>
        <w:rPr>
          <w:sz w:val="16"/>
        </w:rPr>
      </w:pPr>
      <w:r>
        <w:rPr>
          <w:i/>
          <w:sz w:val="16"/>
        </w:rPr>
        <w:t>supra</w:t>
      </w:r>
      <w:r>
        <w:rPr>
          <w:sz w:val="16"/>
        </w:rPr>
        <w:t>.</w:t>
      </w:r>
    </w:p>
    <w:p w14:paraId="5C5EC912" w14:textId="77777777" w:rsidR="00467FCA" w:rsidRDefault="001B68EB">
      <w:pPr>
        <w:tabs>
          <w:tab w:val="left" w:pos="839"/>
        </w:tabs>
        <w:ind w:left="120"/>
        <w:rPr>
          <w:sz w:val="16"/>
        </w:rPr>
      </w:pPr>
      <w:bookmarkStart w:id="175" w:name="_bookmark148"/>
      <w:bookmarkEnd w:id="175"/>
      <w:r>
        <w:rPr>
          <w:position w:val="6"/>
          <w:sz w:val="10"/>
        </w:rPr>
        <w:t>123</w:t>
      </w:r>
      <w:r>
        <w:rPr>
          <w:position w:val="6"/>
          <w:sz w:val="10"/>
        </w:rPr>
        <w:tab/>
      </w:r>
      <w:r>
        <w:rPr>
          <w:i/>
          <w:sz w:val="16"/>
        </w:rPr>
        <w:t xml:space="preserve">Cfr. </w:t>
      </w:r>
      <w:r>
        <w:rPr>
          <w:sz w:val="16"/>
        </w:rPr>
        <w:t>Declaración rendida por Leila Cerqueira dos Santos,</w:t>
      </w:r>
      <w:r>
        <w:rPr>
          <w:spacing w:val="-14"/>
          <w:sz w:val="16"/>
        </w:rPr>
        <w:t xml:space="preserve"> </w:t>
      </w:r>
      <w:r>
        <w:rPr>
          <w:i/>
          <w:sz w:val="16"/>
        </w:rPr>
        <w:t>supra</w:t>
      </w:r>
      <w:r>
        <w:rPr>
          <w:sz w:val="16"/>
        </w:rPr>
        <w:t>.</w:t>
      </w:r>
    </w:p>
    <w:p w14:paraId="3B54A9E1" w14:textId="77777777" w:rsidR="00467FCA" w:rsidRDefault="001B68EB">
      <w:pPr>
        <w:tabs>
          <w:tab w:val="left" w:pos="839"/>
        </w:tabs>
        <w:ind w:left="119" w:right="114"/>
        <w:rPr>
          <w:sz w:val="16"/>
        </w:rPr>
      </w:pPr>
      <w:bookmarkStart w:id="176" w:name="_bookmark149"/>
      <w:bookmarkEnd w:id="176"/>
      <w:r>
        <w:rPr>
          <w:position w:val="6"/>
          <w:sz w:val="10"/>
        </w:rPr>
        <w:t>124</w:t>
      </w:r>
      <w:r>
        <w:rPr>
          <w:position w:val="6"/>
          <w:sz w:val="10"/>
        </w:rPr>
        <w:tab/>
      </w:r>
      <w:r>
        <w:rPr>
          <w:i/>
          <w:sz w:val="16"/>
        </w:rPr>
        <w:t xml:space="preserve">Cfr. </w:t>
      </w:r>
      <w:r>
        <w:rPr>
          <w:sz w:val="16"/>
        </w:rPr>
        <w:t>Sentencia d</w:t>
      </w:r>
      <w:r>
        <w:rPr>
          <w:sz w:val="16"/>
        </w:rPr>
        <w:t xml:space="preserve">el Juzgado de Trabajo de Santo Antônio de Jesus, </w:t>
      </w:r>
      <w:r>
        <w:rPr>
          <w:i/>
          <w:sz w:val="16"/>
        </w:rPr>
        <w:t xml:space="preserve">supra, </w:t>
      </w:r>
      <w:r>
        <w:rPr>
          <w:sz w:val="16"/>
        </w:rPr>
        <w:t>y Licencia de funcionamiento concedida</w:t>
      </w:r>
      <w:r>
        <w:rPr>
          <w:spacing w:val="-9"/>
          <w:sz w:val="16"/>
        </w:rPr>
        <w:t xml:space="preserve"> </w:t>
      </w:r>
      <w:r>
        <w:rPr>
          <w:sz w:val="16"/>
        </w:rPr>
        <w:t>por</w:t>
      </w:r>
      <w:r>
        <w:rPr>
          <w:spacing w:val="-4"/>
          <w:sz w:val="16"/>
        </w:rPr>
        <w:t xml:space="preserve"> </w:t>
      </w:r>
      <w:r>
        <w:rPr>
          <w:sz w:val="16"/>
        </w:rPr>
        <w:t>la</w:t>
      </w:r>
      <w:r>
        <w:rPr>
          <w:spacing w:val="-8"/>
          <w:sz w:val="16"/>
        </w:rPr>
        <w:t xml:space="preserve"> </w:t>
      </w:r>
      <w:r>
        <w:rPr>
          <w:sz w:val="16"/>
        </w:rPr>
        <w:t>Municipalidad</w:t>
      </w:r>
      <w:r>
        <w:rPr>
          <w:spacing w:val="-8"/>
          <w:sz w:val="16"/>
        </w:rPr>
        <w:t xml:space="preserve"> </w:t>
      </w:r>
      <w:r>
        <w:rPr>
          <w:sz w:val="16"/>
        </w:rPr>
        <w:t>de</w:t>
      </w:r>
      <w:r>
        <w:rPr>
          <w:spacing w:val="-7"/>
          <w:sz w:val="16"/>
        </w:rPr>
        <w:t xml:space="preserve"> </w:t>
      </w:r>
      <w:r>
        <w:rPr>
          <w:sz w:val="16"/>
        </w:rPr>
        <w:t>Santo</w:t>
      </w:r>
      <w:r>
        <w:rPr>
          <w:spacing w:val="-7"/>
          <w:sz w:val="16"/>
        </w:rPr>
        <w:t xml:space="preserve"> </w:t>
      </w:r>
      <w:r>
        <w:rPr>
          <w:sz w:val="16"/>
        </w:rPr>
        <w:t>Antônio</w:t>
      </w:r>
      <w:r>
        <w:rPr>
          <w:spacing w:val="-7"/>
          <w:sz w:val="16"/>
        </w:rPr>
        <w:t xml:space="preserve"> </w:t>
      </w:r>
      <w:r>
        <w:rPr>
          <w:sz w:val="16"/>
        </w:rPr>
        <w:t>de</w:t>
      </w:r>
      <w:r>
        <w:rPr>
          <w:spacing w:val="-6"/>
          <w:sz w:val="16"/>
        </w:rPr>
        <w:t xml:space="preserve"> </w:t>
      </w:r>
      <w:r>
        <w:rPr>
          <w:sz w:val="16"/>
        </w:rPr>
        <w:t>Jesus,</w:t>
      </w:r>
      <w:r>
        <w:rPr>
          <w:spacing w:val="-8"/>
          <w:sz w:val="16"/>
        </w:rPr>
        <w:t xml:space="preserve"> </w:t>
      </w:r>
      <w:r>
        <w:rPr>
          <w:sz w:val="16"/>
        </w:rPr>
        <w:t>inscripción</w:t>
      </w:r>
      <w:r>
        <w:rPr>
          <w:spacing w:val="-6"/>
          <w:sz w:val="16"/>
        </w:rPr>
        <w:t xml:space="preserve"> </w:t>
      </w:r>
      <w:r>
        <w:rPr>
          <w:sz w:val="16"/>
        </w:rPr>
        <w:t>municipal</w:t>
      </w:r>
      <w:r>
        <w:rPr>
          <w:spacing w:val="-6"/>
          <w:sz w:val="16"/>
        </w:rPr>
        <w:t xml:space="preserve"> </w:t>
      </w:r>
      <w:r>
        <w:rPr>
          <w:sz w:val="16"/>
        </w:rPr>
        <w:t>No.</w:t>
      </w:r>
      <w:r>
        <w:rPr>
          <w:spacing w:val="-9"/>
          <w:sz w:val="16"/>
        </w:rPr>
        <w:t xml:space="preserve"> </w:t>
      </w:r>
      <w:r>
        <w:rPr>
          <w:sz w:val="16"/>
        </w:rPr>
        <w:t>004-312/001-50</w:t>
      </w:r>
      <w:r>
        <w:rPr>
          <w:spacing w:val="-4"/>
          <w:sz w:val="16"/>
        </w:rPr>
        <w:t xml:space="preserve"> </w:t>
      </w:r>
      <w:r>
        <w:rPr>
          <w:sz w:val="16"/>
        </w:rPr>
        <w:t>(expediente</w:t>
      </w:r>
      <w:r>
        <w:rPr>
          <w:spacing w:val="-7"/>
          <w:sz w:val="16"/>
        </w:rPr>
        <w:t xml:space="preserve"> </w:t>
      </w:r>
      <w:r>
        <w:rPr>
          <w:sz w:val="16"/>
        </w:rPr>
        <w:t>de</w:t>
      </w:r>
    </w:p>
    <w:p w14:paraId="3A05FD9F" w14:textId="77777777" w:rsidR="00467FCA" w:rsidRDefault="00467FCA">
      <w:pPr>
        <w:rPr>
          <w:sz w:val="16"/>
        </w:rPr>
        <w:sectPr w:rsidR="00467FCA">
          <w:pgSz w:w="12240" w:h="15840"/>
          <w:pgMar w:top="1360" w:right="1320" w:bottom="1220" w:left="1320" w:header="0" w:footer="1037" w:gutter="0"/>
          <w:cols w:space="720"/>
        </w:sectPr>
      </w:pPr>
    </w:p>
    <w:p w14:paraId="12DF9149" w14:textId="77777777" w:rsidR="00467FCA" w:rsidRDefault="001B68EB">
      <w:pPr>
        <w:pStyle w:val="Textoindependiente"/>
        <w:spacing w:before="80"/>
        <w:ind w:left="119" w:right="117"/>
        <w:jc w:val="both"/>
      </w:pPr>
      <w:r>
        <w:t>diciembre</w:t>
      </w:r>
      <w:r>
        <w:rPr>
          <w:spacing w:val="-17"/>
        </w:rPr>
        <w:t xml:space="preserve"> </w:t>
      </w:r>
      <w:r>
        <w:t>de</w:t>
      </w:r>
      <w:r>
        <w:rPr>
          <w:spacing w:val="-16"/>
        </w:rPr>
        <w:t xml:space="preserve"> </w:t>
      </w:r>
      <w:r>
        <w:t>1995,</w:t>
      </w:r>
      <w:r>
        <w:rPr>
          <w:spacing w:val="-17"/>
        </w:rPr>
        <w:t xml:space="preserve"> </w:t>
      </w:r>
      <w:r>
        <w:t>con</w:t>
      </w:r>
      <w:r>
        <w:rPr>
          <w:spacing w:val="-14"/>
        </w:rPr>
        <w:t xml:space="preserve"> </w:t>
      </w:r>
      <w:r>
        <w:t>vigencia</w:t>
      </w:r>
      <w:r>
        <w:rPr>
          <w:spacing w:val="-16"/>
        </w:rPr>
        <w:t xml:space="preserve"> </w:t>
      </w:r>
      <w:r>
        <w:t>hasta</w:t>
      </w:r>
      <w:r>
        <w:rPr>
          <w:spacing w:val="-15"/>
        </w:rPr>
        <w:t xml:space="preserve"> </w:t>
      </w:r>
      <w:r>
        <w:t>el</w:t>
      </w:r>
      <w:r>
        <w:rPr>
          <w:spacing w:val="-16"/>
        </w:rPr>
        <w:t xml:space="preserve"> </w:t>
      </w:r>
      <w:r>
        <w:t>31</w:t>
      </w:r>
      <w:r>
        <w:rPr>
          <w:spacing w:val="-17"/>
        </w:rPr>
        <w:t xml:space="preserve"> </w:t>
      </w:r>
      <w:r>
        <w:t>de</w:t>
      </w:r>
      <w:r>
        <w:rPr>
          <w:spacing w:val="-19"/>
        </w:rPr>
        <w:t xml:space="preserve"> </w:t>
      </w:r>
      <w:r>
        <w:t>diciembre</w:t>
      </w:r>
      <w:r>
        <w:rPr>
          <w:spacing w:val="-17"/>
        </w:rPr>
        <w:t xml:space="preserve"> </w:t>
      </w:r>
      <w:r>
        <w:t>de</w:t>
      </w:r>
      <w:r>
        <w:rPr>
          <w:spacing w:val="-16"/>
        </w:rPr>
        <w:t xml:space="preserve"> </w:t>
      </w:r>
      <w:r>
        <w:t>1998.</w:t>
      </w:r>
      <w:r>
        <w:rPr>
          <w:spacing w:val="-17"/>
        </w:rPr>
        <w:t xml:space="preserve"> </w:t>
      </w:r>
      <w:r>
        <w:t>Mediante</w:t>
      </w:r>
      <w:r>
        <w:rPr>
          <w:spacing w:val="-19"/>
        </w:rPr>
        <w:t xml:space="preserve"> </w:t>
      </w:r>
      <w:r>
        <w:t>dicho</w:t>
      </w:r>
      <w:r>
        <w:rPr>
          <w:spacing w:val="-15"/>
        </w:rPr>
        <w:t xml:space="preserve"> </w:t>
      </w:r>
      <w:r>
        <w:t>certificado, se autorizó a la empresa el almacenamiento de 20.000 kg de nitrato de potasio y 2.500 kg de</w:t>
      </w:r>
      <w:r>
        <w:rPr>
          <w:spacing w:val="-15"/>
        </w:rPr>
        <w:t xml:space="preserve"> </w:t>
      </w:r>
      <w:r>
        <w:t>pólvora</w:t>
      </w:r>
      <w:r>
        <w:rPr>
          <w:spacing w:val="-14"/>
        </w:rPr>
        <w:t xml:space="preserve"> </w:t>
      </w:r>
      <w:r>
        <w:t>negra</w:t>
      </w:r>
      <w:hyperlink w:anchor="_bookmark151" w:history="1">
        <w:r>
          <w:rPr>
            <w:position w:val="7"/>
            <w:sz w:val="13"/>
          </w:rPr>
          <w:t>125</w:t>
        </w:r>
      </w:hyperlink>
      <w:r>
        <w:t>.</w:t>
      </w:r>
      <w:r>
        <w:rPr>
          <w:spacing w:val="-15"/>
        </w:rPr>
        <w:t xml:space="preserve"> </w:t>
      </w:r>
      <w:r>
        <w:t>Sin</w:t>
      </w:r>
      <w:r>
        <w:rPr>
          <w:spacing w:val="-13"/>
        </w:rPr>
        <w:t xml:space="preserve"> </w:t>
      </w:r>
      <w:r>
        <w:t>embargo,</w:t>
      </w:r>
      <w:r>
        <w:rPr>
          <w:spacing w:val="-12"/>
        </w:rPr>
        <w:t xml:space="preserve"> </w:t>
      </w:r>
      <w:r>
        <w:t>desde</w:t>
      </w:r>
      <w:r>
        <w:rPr>
          <w:spacing w:val="-10"/>
        </w:rPr>
        <w:t xml:space="preserve"> </w:t>
      </w:r>
      <w:r>
        <w:t>el</w:t>
      </w:r>
      <w:r>
        <w:rPr>
          <w:spacing w:val="-12"/>
        </w:rPr>
        <w:t xml:space="preserve"> </w:t>
      </w:r>
      <w:r>
        <w:t>registro</w:t>
      </w:r>
      <w:r>
        <w:rPr>
          <w:spacing w:val="-14"/>
        </w:rPr>
        <w:t xml:space="preserve"> </w:t>
      </w:r>
      <w:r>
        <w:t>de</w:t>
      </w:r>
      <w:r>
        <w:rPr>
          <w:spacing w:val="-15"/>
        </w:rPr>
        <w:t xml:space="preserve"> </w:t>
      </w:r>
      <w:r>
        <w:t>la</w:t>
      </w:r>
      <w:r>
        <w:rPr>
          <w:spacing w:val="-11"/>
        </w:rPr>
        <w:t xml:space="preserve"> </w:t>
      </w:r>
      <w:r>
        <w:t>fábrica</w:t>
      </w:r>
      <w:r>
        <w:rPr>
          <w:spacing w:val="-14"/>
        </w:rPr>
        <w:t xml:space="preserve"> </w:t>
      </w:r>
      <w:r>
        <w:t>de</w:t>
      </w:r>
      <w:r>
        <w:rPr>
          <w:spacing w:val="-13"/>
        </w:rPr>
        <w:t xml:space="preserve"> </w:t>
      </w:r>
      <w:r>
        <w:t>fuegos,</w:t>
      </w:r>
      <w:r>
        <w:rPr>
          <w:spacing w:val="-15"/>
        </w:rPr>
        <w:t xml:space="preserve"> </w:t>
      </w:r>
      <w:r>
        <w:t>hasta</w:t>
      </w:r>
      <w:r>
        <w:rPr>
          <w:spacing w:val="-11"/>
        </w:rPr>
        <w:t xml:space="preserve"> </w:t>
      </w:r>
      <w:r>
        <w:t>el</w:t>
      </w:r>
      <w:r>
        <w:rPr>
          <w:spacing w:val="-11"/>
        </w:rPr>
        <w:t xml:space="preserve"> </w:t>
      </w:r>
      <w:r>
        <w:t>momento de la explosión, no hay noticia de ninguna actividad de fiscalización llevada a cabo por las autoridades estatales</w:t>
      </w:r>
      <w:hyperlink w:anchor="_bookmark152" w:history="1">
        <w:r>
          <w:rPr>
            <w:position w:val="7"/>
            <w:sz w:val="13"/>
          </w:rPr>
          <w:t>126</w:t>
        </w:r>
      </w:hyperlink>
      <w:r>
        <w:t>, tanto en materia de condiciones laborales, como relativas al</w:t>
      </w:r>
      <w:r>
        <w:rPr>
          <w:spacing w:val="-46"/>
        </w:rPr>
        <w:t xml:space="preserve"> </w:t>
      </w:r>
      <w:r>
        <w:t>control de</w:t>
      </w:r>
      <w:r>
        <w:rPr>
          <w:spacing w:val="-8"/>
        </w:rPr>
        <w:t xml:space="preserve"> </w:t>
      </w:r>
      <w:r>
        <w:t>activida</w:t>
      </w:r>
      <w:r>
        <w:t>des</w:t>
      </w:r>
      <w:r>
        <w:rPr>
          <w:spacing w:val="-5"/>
        </w:rPr>
        <w:t xml:space="preserve"> </w:t>
      </w:r>
      <w:r>
        <w:t>peligrosas.</w:t>
      </w:r>
      <w:r>
        <w:rPr>
          <w:spacing w:val="-6"/>
        </w:rPr>
        <w:t xml:space="preserve"> </w:t>
      </w:r>
      <w:r>
        <w:t>En</w:t>
      </w:r>
      <w:r>
        <w:rPr>
          <w:spacing w:val="-3"/>
        </w:rPr>
        <w:t xml:space="preserve"> </w:t>
      </w:r>
      <w:r>
        <w:t>ese</w:t>
      </w:r>
      <w:r>
        <w:rPr>
          <w:spacing w:val="-8"/>
        </w:rPr>
        <w:t xml:space="preserve"> </w:t>
      </w:r>
      <w:r>
        <w:t>sentido,</w:t>
      </w:r>
      <w:r>
        <w:rPr>
          <w:spacing w:val="-4"/>
        </w:rPr>
        <w:t xml:space="preserve"> </w:t>
      </w:r>
      <w:r>
        <w:t>el</w:t>
      </w:r>
      <w:r>
        <w:rPr>
          <w:spacing w:val="-4"/>
        </w:rPr>
        <w:t xml:space="preserve"> </w:t>
      </w:r>
      <w:r>
        <w:t>Estado</w:t>
      </w:r>
      <w:r>
        <w:rPr>
          <w:spacing w:val="-7"/>
        </w:rPr>
        <w:t xml:space="preserve"> </w:t>
      </w:r>
      <w:r>
        <w:t>afirmó,</w:t>
      </w:r>
      <w:r>
        <w:rPr>
          <w:spacing w:val="-5"/>
        </w:rPr>
        <w:t xml:space="preserve"> </w:t>
      </w:r>
      <w:r>
        <w:t>en</w:t>
      </w:r>
      <w:r>
        <w:rPr>
          <w:spacing w:val="-5"/>
        </w:rPr>
        <w:t xml:space="preserve"> </w:t>
      </w:r>
      <w:r>
        <w:t>la</w:t>
      </w:r>
      <w:r>
        <w:rPr>
          <w:spacing w:val="-5"/>
        </w:rPr>
        <w:t xml:space="preserve"> </w:t>
      </w:r>
      <w:r>
        <w:t>audiencia</w:t>
      </w:r>
      <w:r>
        <w:rPr>
          <w:spacing w:val="-6"/>
        </w:rPr>
        <w:t xml:space="preserve"> </w:t>
      </w:r>
      <w:r>
        <w:t>pública</w:t>
      </w:r>
      <w:r>
        <w:rPr>
          <w:spacing w:val="-6"/>
        </w:rPr>
        <w:t xml:space="preserve"> </w:t>
      </w:r>
      <w:r>
        <w:t>celebrada en 2006 ante la Comisión, que había fallado al no haber fiscalizado la fábrica de fuegos de Santo Antônio de</w:t>
      </w:r>
      <w:r>
        <w:rPr>
          <w:spacing w:val="-6"/>
        </w:rPr>
        <w:t xml:space="preserve"> </w:t>
      </w:r>
      <w:r>
        <w:t>Jesus</w:t>
      </w:r>
      <w:hyperlink w:anchor="_bookmark153" w:history="1">
        <w:r>
          <w:rPr>
            <w:position w:val="7"/>
            <w:sz w:val="13"/>
          </w:rPr>
          <w:t>127</w:t>
        </w:r>
      </w:hyperlink>
      <w:r>
        <w:t>.</w:t>
      </w:r>
    </w:p>
    <w:p w14:paraId="25D54CCD" w14:textId="77777777" w:rsidR="00467FCA" w:rsidRDefault="00467FCA">
      <w:pPr>
        <w:pStyle w:val="Textoindependiente"/>
        <w:spacing w:before="11"/>
        <w:rPr>
          <w:sz w:val="19"/>
        </w:rPr>
      </w:pPr>
    </w:p>
    <w:p w14:paraId="02F01F8E" w14:textId="77777777" w:rsidR="00467FCA" w:rsidRDefault="001B68EB">
      <w:pPr>
        <w:pStyle w:val="Prrafodelista"/>
        <w:numPr>
          <w:ilvl w:val="0"/>
          <w:numId w:val="50"/>
        </w:numPr>
        <w:tabs>
          <w:tab w:val="left" w:pos="687"/>
        </w:tabs>
        <w:ind w:right="119" w:hanging="1"/>
        <w:jc w:val="both"/>
        <w:rPr>
          <w:sz w:val="20"/>
        </w:rPr>
      </w:pPr>
      <w:r>
        <w:rPr>
          <w:sz w:val="20"/>
        </w:rPr>
        <w:t>Transcurridos</w:t>
      </w:r>
      <w:r>
        <w:rPr>
          <w:spacing w:val="-10"/>
          <w:sz w:val="20"/>
        </w:rPr>
        <w:t xml:space="preserve"> </w:t>
      </w:r>
      <w:r>
        <w:rPr>
          <w:sz w:val="20"/>
        </w:rPr>
        <w:t>dos</w:t>
      </w:r>
      <w:r>
        <w:rPr>
          <w:spacing w:val="-10"/>
          <w:sz w:val="20"/>
        </w:rPr>
        <w:t xml:space="preserve"> </w:t>
      </w:r>
      <w:r>
        <w:rPr>
          <w:sz w:val="20"/>
        </w:rPr>
        <w:t>dí</w:t>
      </w:r>
      <w:r>
        <w:rPr>
          <w:sz w:val="20"/>
        </w:rPr>
        <w:t>as</w:t>
      </w:r>
      <w:r>
        <w:rPr>
          <w:spacing w:val="-10"/>
          <w:sz w:val="20"/>
        </w:rPr>
        <w:t xml:space="preserve"> </w:t>
      </w:r>
      <w:r>
        <w:rPr>
          <w:sz w:val="20"/>
        </w:rPr>
        <w:t>desde</w:t>
      </w:r>
      <w:r>
        <w:rPr>
          <w:spacing w:val="-10"/>
          <w:sz w:val="20"/>
        </w:rPr>
        <w:t xml:space="preserve"> </w:t>
      </w:r>
      <w:r>
        <w:rPr>
          <w:sz w:val="20"/>
        </w:rPr>
        <w:t>la</w:t>
      </w:r>
      <w:r>
        <w:rPr>
          <w:spacing w:val="-8"/>
          <w:sz w:val="20"/>
        </w:rPr>
        <w:t xml:space="preserve"> </w:t>
      </w:r>
      <w:r>
        <w:rPr>
          <w:sz w:val="20"/>
        </w:rPr>
        <w:t>explosión,</w:t>
      </w:r>
      <w:r>
        <w:rPr>
          <w:spacing w:val="-9"/>
          <w:sz w:val="20"/>
        </w:rPr>
        <w:t xml:space="preserve"> </w:t>
      </w:r>
      <w:r>
        <w:rPr>
          <w:sz w:val="20"/>
        </w:rPr>
        <w:t>dentro</w:t>
      </w:r>
      <w:r>
        <w:rPr>
          <w:spacing w:val="-10"/>
          <w:sz w:val="20"/>
        </w:rPr>
        <w:t xml:space="preserve"> </w:t>
      </w:r>
      <w:r>
        <w:rPr>
          <w:sz w:val="20"/>
        </w:rPr>
        <w:t>del</w:t>
      </w:r>
      <w:r>
        <w:rPr>
          <w:spacing w:val="-9"/>
          <w:sz w:val="20"/>
        </w:rPr>
        <w:t xml:space="preserve"> </w:t>
      </w:r>
      <w:r>
        <w:rPr>
          <w:sz w:val="20"/>
        </w:rPr>
        <w:t>proceso</w:t>
      </w:r>
      <w:r>
        <w:rPr>
          <w:spacing w:val="-9"/>
          <w:sz w:val="20"/>
        </w:rPr>
        <w:t xml:space="preserve"> </w:t>
      </w:r>
      <w:r>
        <w:rPr>
          <w:sz w:val="20"/>
        </w:rPr>
        <w:t>administrativo</w:t>
      </w:r>
      <w:r>
        <w:rPr>
          <w:spacing w:val="-10"/>
          <w:sz w:val="20"/>
        </w:rPr>
        <w:t xml:space="preserve"> </w:t>
      </w:r>
      <w:r>
        <w:rPr>
          <w:sz w:val="20"/>
        </w:rPr>
        <w:t>iniciado</w:t>
      </w:r>
      <w:r>
        <w:rPr>
          <w:spacing w:val="-10"/>
          <w:sz w:val="20"/>
        </w:rPr>
        <w:t xml:space="preserve"> </w:t>
      </w:r>
      <w:r>
        <w:rPr>
          <w:sz w:val="20"/>
        </w:rPr>
        <w:t>en razón</w:t>
      </w:r>
      <w:r>
        <w:rPr>
          <w:spacing w:val="-8"/>
          <w:sz w:val="20"/>
        </w:rPr>
        <w:t xml:space="preserve"> </w:t>
      </w:r>
      <w:r>
        <w:rPr>
          <w:sz w:val="20"/>
        </w:rPr>
        <w:t>de</w:t>
      </w:r>
      <w:r>
        <w:rPr>
          <w:spacing w:val="-10"/>
          <w:sz w:val="20"/>
        </w:rPr>
        <w:t xml:space="preserve"> </w:t>
      </w:r>
      <w:r>
        <w:rPr>
          <w:sz w:val="20"/>
        </w:rPr>
        <w:t>la</w:t>
      </w:r>
      <w:r>
        <w:rPr>
          <w:spacing w:val="-8"/>
          <w:sz w:val="20"/>
        </w:rPr>
        <w:t xml:space="preserve"> </w:t>
      </w:r>
      <w:r>
        <w:rPr>
          <w:sz w:val="20"/>
        </w:rPr>
        <w:t>misma,</w:t>
      </w:r>
      <w:r>
        <w:rPr>
          <w:spacing w:val="-9"/>
          <w:sz w:val="20"/>
        </w:rPr>
        <w:t xml:space="preserve"> </w:t>
      </w:r>
      <w:r>
        <w:rPr>
          <w:sz w:val="20"/>
        </w:rPr>
        <w:t>el</w:t>
      </w:r>
      <w:r>
        <w:rPr>
          <w:spacing w:val="-8"/>
          <w:sz w:val="20"/>
        </w:rPr>
        <w:t xml:space="preserve"> </w:t>
      </w:r>
      <w:r>
        <w:rPr>
          <w:sz w:val="20"/>
        </w:rPr>
        <w:t>1°</w:t>
      </w:r>
      <w:r>
        <w:rPr>
          <w:spacing w:val="-7"/>
          <w:sz w:val="20"/>
        </w:rPr>
        <w:t xml:space="preserve"> </w:t>
      </w:r>
      <w:r>
        <w:rPr>
          <w:sz w:val="20"/>
        </w:rPr>
        <w:t>Teniente</w:t>
      </w:r>
      <w:r>
        <w:rPr>
          <w:spacing w:val="-10"/>
          <w:sz w:val="20"/>
        </w:rPr>
        <w:t xml:space="preserve"> </w:t>
      </w:r>
      <w:r>
        <w:rPr>
          <w:sz w:val="20"/>
        </w:rPr>
        <w:t>del</w:t>
      </w:r>
      <w:r>
        <w:rPr>
          <w:spacing w:val="-8"/>
          <w:sz w:val="20"/>
        </w:rPr>
        <w:t xml:space="preserve"> </w:t>
      </w:r>
      <w:r>
        <w:rPr>
          <w:sz w:val="20"/>
        </w:rPr>
        <w:t>Ejército,</w:t>
      </w:r>
      <w:r>
        <w:rPr>
          <w:spacing w:val="-9"/>
          <w:sz w:val="20"/>
        </w:rPr>
        <w:t xml:space="preserve"> </w:t>
      </w:r>
      <w:r>
        <w:rPr>
          <w:sz w:val="20"/>
        </w:rPr>
        <w:t>Ednaldo</w:t>
      </w:r>
      <w:r>
        <w:rPr>
          <w:spacing w:val="-9"/>
          <w:sz w:val="20"/>
        </w:rPr>
        <w:t xml:space="preserve"> </w:t>
      </w:r>
      <w:r>
        <w:rPr>
          <w:sz w:val="20"/>
        </w:rPr>
        <w:t>Ribeiro</w:t>
      </w:r>
      <w:r>
        <w:rPr>
          <w:spacing w:val="-10"/>
          <w:sz w:val="20"/>
        </w:rPr>
        <w:t xml:space="preserve"> </w:t>
      </w:r>
      <w:r>
        <w:rPr>
          <w:sz w:val="20"/>
        </w:rPr>
        <w:t>Santana</w:t>
      </w:r>
      <w:r>
        <w:rPr>
          <w:spacing w:val="-6"/>
          <w:sz w:val="20"/>
        </w:rPr>
        <w:t xml:space="preserve"> </w:t>
      </w:r>
      <w:r>
        <w:rPr>
          <w:sz w:val="20"/>
        </w:rPr>
        <w:t>Júnior,</w:t>
      </w:r>
      <w:r>
        <w:rPr>
          <w:spacing w:val="-8"/>
          <w:sz w:val="20"/>
        </w:rPr>
        <w:t xml:space="preserve"> </w:t>
      </w:r>
      <w:r>
        <w:rPr>
          <w:sz w:val="20"/>
        </w:rPr>
        <w:t>compareció</w:t>
      </w:r>
      <w:r>
        <w:rPr>
          <w:spacing w:val="-10"/>
          <w:sz w:val="20"/>
        </w:rPr>
        <w:t xml:space="preserve"> </w:t>
      </w:r>
      <w:r>
        <w:rPr>
          <w:sz w:val="20"/>
        </w:rPr>
        <w:t>al lugar de los hechos y confirmó el depósito de diversos materiales en violación a las normas de</w:t>
      </w:r>
      <w:r>
        <w:rPr>
          <w:spacing w:val="-12"/>
          <w:sz w:val="20"/>
        </w:rPr>
        <w:t xml:space="preserve"> </w:t>
      </w:r>
      <w:r>
        <w:rPr>
          <w:sz w:val="20"/>
        </w:rPr>
        <w:t>seguridad</w:t>
      </w:r>
      <w:r>
        <w:rPr>
          <w:spacing w:val="-10"/>
          <w:sz w:val="20"/>
        </w:rPr>
        <w:t xml:space="preserve"> </w:t>
      </w:r>
      <w:r>
        <w:rPr>
          <w:sz w:val="20"/>
        </w:rPr>
        <w:t>en</w:t>
      </w:r>
      <w:r>
        <w:rPr>
          <w:spacing w:val="-10"/>
          <w:sz w:val="20"/>
        </w:rPr>
        <w:t xml:space="preserve"> </w:t>
      </w:r>
      <w:r>
        <w:rPr>
          <w:sz w:val="20"/>
        </w:rPr>
        <w:t>el</w:t>
      </w:r>
      <w:r>
        <w:rPr>
          <w:spacing w:val="-10"/>
          <w:sz w:val="20"/>
        </w:rPr>
        <w:t xml:space="preserve"> </w:t>
      </w:r>
      <w:r>
        <w:rPr>
          <w:sz w:val="20"/>
        </w:rPr>
        <w:t>manejo</w:t>
      </w:r>
      <w:r>
        <w:rPr>
          <w:spacing w:val="-11"/>
          <w:sz w:val="20"/>
        </w:rPr>
        <w:t xml:space="preserve"> </w:t>
      </w:r>
      <w:r>
        <w:rPr>
          <w:sz w:val="20"/>
        </w:rPr>
        <w:t>y</w:t>
      </w:r>
      <w:r>
        <w:rPr>
          <w:spacing w:val="-12"/>
          <w:sz w:val="20"/>
        </w:rPr>
        <w:t xml:space="preserve"> </w:t>
      </w:r>
      <w:r>
        <w:rPr>
          <w:sz w:val="20"/>
        </w:rPr>
        <w:t>almacenamiento</w:t>
      </w:r>
      <w:r>
        <w:rPr>
          <w:spacing w:val="-11"/>
          <w:sz w:val="20"/>
        </w:rPr>
        <w:t xml:space="preserve"> </w:t>
      </w:r>
      <w:r>
        <w:rPr>
          <w:sz w:val="20"/>
        </w:rPr>
        <w:t>de</w:t>
      </w:r>
      <w:r>
        <w:rPr>
          <w:spacing w:val="-12"/>
          <w:sz w:val="20"/>
        </w:rPr>
        <w:t xml:space="preserve"> </w:t>
      </w:r>
      <w:r>
        <w:rPr>
          <w:sz w:val="20"/>
        </w:rPr>
        <w:t>explosivos,</w:t>
      </w:r>
      <w:r>
        <w:rPr>
          <w:spacing w:val="-11"/>
          <w:sz w:val="20"/>
        </w:rPr>
        <w:t xml:space="preserve"> </w:t>
      </w:r>
      <w:r>
        <w:rPr>
          <w:sz w:val="20"/>
        </w:rPr>
        <w:t>y</w:t>
      </w:r>
      <w:r>
        <w:rPr>
          <w:spacing w:val="-8"/>
          <w:sz w:val="20"/>
        </w:rPr>
        <w:t xml:space="preserve"> </w:t>
      </w:r>
      <w:r>
        <w:rPr>
          <w:sz w:val="20"/>
        </w:rPr>
        <w:t>el</w:t>
      </w:r>
      <w:r>
        <w:rPr>
          <w:spacing w:val="-11"/>
          <w:sz w:val="20"/>
        </w:rPr>
        <w:t xml:space="preserve"> </w:t>
      </w:r>
      <w:r>
        <w:rPr>
          <w:sz w:val="20"/>
        </w:rPr>
        <w:t>almacenaje</w:t>
      </w:r>
      <w:r>
        <w:rPr>
          <w:spacing w:val="-11"/>
          <w:sz w:val="20"/>
        </w:rPr>
        <w:t xml:space="preserve"> </w:t>
      </w:r>
      <w:r>
        <w:rPr>
          <w:sz w:val="20"/>
        </w:rPr>
        <w:t>de</w:t>
      </w:r>
      <w:r>
        <w:rPr>
          <w:spacing w:val="-12"/>
          <w:sz w:val="20"/>
        </w:rPr>
        <w:t xml:space="preserve"> </w:t>
      </w:r>
      <w:r>
        <w:rPr>
          <w:sz w:val="20"/>
        </w:rPr>
        <w:t>productos</w:t>
      </w:r>
      <w:r>
        <w:rPr>
          <w:spacing w:val="-11"/>
          <w:sz w:val="20"/>
        </w:rPr>
        <w:t xml:space="preserve"> </w:t>
      </w:r>
      <w:r>
        <w:rPr>
          <w:sz w:val="20"/>
        </w:rPr>
        <w:t>sin autorización, de manera que procedió a su</w:t>
      </w:r>
      <w:r>
        <w:rPr>
          <w:spacing w:val="-1"/>
          <w:sz w:val="20"/>
        </w:rPr>
        <w:t xml:space="preserve"> </w:t>
      </w:r>
      <w:r>
        <w:rPr>
          <w:sz w:val="20"/>
        </w:rPr>
        <w:t>confiscación</w:t>
      </w:r>
      <w:hyperlink w:anchor="_bookmark154" w:history="1">
        <w:r>
          <w:rPr>
            <w:position w:val="7"/>
            <w:sz w:val="13"/>
          </w:rPr>
          <w:t>128</w:t>
        </w:r>
      </w:hyperlink>
      <w:r>
        <w:rPr>
          <w:sz w:val="20"/>
        </w:rPr>
        <w:t>.</w:t>
      </w:r>
    </w:p>
    <w:p w14:paraId="50F73E36" w14:textId="77777777" w:rsidR="00467FCA" w:rsidRDefault="00467FCA">
      <w:pPr>
        <w:pStyle w:val="Textoindependiente"/>
        <w:spacing w:before="10"/>
        <w:rPr>
          <w:sz w:val="22"/>
        </w:rPr>
      </w:pPr>
    </w:p>
    <w:p w14:paraId="381A7D3B" w14:textId="77777777" w:rsidR="00467FCA" w:rsidRDefault="001B68EB">
      <w:pPr>
        <w:pStyle w:val="Prrafodelista"/>
        <w:numPr>
          <w:ilvl w:val="0"/>
          <w:numId w:val="50"/>
        </w:numPr>
        <w:tabs>
          <w:tab w:val="left" w:pos="687"/>
        </w:tabs>
        <w:ind w:left="119" w:right="118" w:firstLine="0"/>
        <w:jc w:val="both"/>
        <w:rPr>
          <w:sz w:val="20"/>
        </w:rPr>
      </w:pPr>
      <w:r>
        <w:rPr>
          <w:sz w:val="20"/>
        </w:rPr>
        <w:t>El 8 de enero de 1999, la policía civil emitió un peritaje técnico, la cual determinó que la</w:t>
      </w:r>
      <w:r>
        <w:rPr>
          <w:spacing w:val="-16"/>
          <w:sz w:val="20"/>
        </w:rPr>
        <w:t xml:space="preserve"> </w:t>
      </w:r>
      <w:r>
        <w:rPr>
          <w:sz w:val="20"/>
        </w:rPr>
        <w:t>explosión</w:t>
      </w:r>
      <w:r>
        <w:rPr>
          <w:spacing w:val="-16"/>
          <w:sz w:val="20"/>
        </w:rPr>
        <w:t xml:space="preserve"> </w:t>
      </w:r>
      <w:r>
        <w:rPr>
          <w:sz w:val="20"/>
        </w:rPr>
        <w:t>fue</w:t>
      </w:r>
      <w:r>
        <w:rPr>
          <w:spacing w:val="-15"/>
          <w:sz w:val="20"/>
        </w:rPr>
        <w:t xml:space="preserve"> </w:t>
      </w:r>
      <w:r>
        <w:rPr>
          <w:sz w:val="20"/>
        </w:rPr>
        <w:t>causada</w:t>
      </w:r>
      <w:r>
        <w:rPr>
          <w:spacing w:val="-13"/>
          <w:sz w:val="20"/>
        </w:rPr>
        <w:t xml:space="preserve"> </w:t>
      </w:r>
      <w:r>
        <w:rPr>
          <w:sz w:val="20"/>
        </w:rPr>
        <w:t>por</w:t>
      </w:r>
      <w:r>
        <w:rPr>
          <w:spacing w:val="-17"/>
          <w:sz w:val="20"/>
        </w:rPr>
        <w:t xml:space="preserve"> </w:t>
      </w:r>
      <w:r>
        <w:rPr>
          <w:sz w:val="20"/>
        </w:rPr>
        <w:t>la</w:t>
      </w:r>
      <w:r>
        <w:rPr>
          <w:spacing w:val="-16"/>
          <w:sz w:val="20"/>
        </w:rPr>
        <w:t xml:space="preserve"> </w:t>
      </w:r>
      <w:r>
        <w:rPr>
          <w:sz w:val="20"/>
        </w:rPr>
        <w:t>falta</w:t>
      </w:r>
      <w:r>
        <w:rPr>
          <w:spacing w:val="-16"/>
          <w:sz w:val="20"/>
        </w:rPr>
        <w:t xml:space="preserve"> </w:t>
      </w:r>
      <w:r>
        <w:rPr>
          <w:sz w:val="20"/>
        </w:rPr>
        <w:t>de</w:t>
      </w:r>
      <w:r>
        <w:rPr>
          <w:spacing w:val="-17"/>
          <w:sz w:val="20"/>
        </w:rPr>
        <w:t xml:space="preserve"> </w:t>
      </w:r>
      <w:r>
        <w:rPr>
          <w:sz w:val="20"/>
        </w:rPr>
        <w:t>seguridad</w:t>
      </w:r>
      <w:r>
        <w:rPr>
          <w:spacing w:val="-16"/>
          <w:sz w:val="20"/>
        </w:rPr>
        <w:t xml:space="preserve"> </w:t>
      </w:r>
      <w:r>
        <w:rPr>
          <w:sz w:val="20"/>
        </w:rPr>
        <w:t>vigente</w:t>
      </w:r>
      <w:r>
        <w:rPr>
          <w:spacing w:val="-17"/>
          <w:sz w:val="20"/>
        </w:rPr>
        <w:t xml:space="preserve"> </w:t>
      </w:r>
      <w:r>
        <w:rPr>
          <w:sz w:val="20"/>
        </w:rPr>
        <w:t>en</w:t>
      </w:r>
      <w:r>
        <w:rPr>
          <w:spacing w:val="-13"/>
          <w:sz w:val="20"/>
        </w:rPr>
        <w:t xml:space="preserve"> </w:t>
      </w:r>
      <w:r>
        <w:rPr>
          <w:sz w:val="20"/>
        </w:rPr>
        <w:t>el</w:t>
      </w:r>
      <w:r>
        <w:rPr>
          <w:spacing w:val="-16"/>
          <w:sz w:val="20"/>
        </w:rPr>
        <w:t xml:space="preserve"> </w:t>
      </w:r>
      <w:r>
        <w:rPr>
          <w:sz w:val="20"/>
        </w:rPr>
        <w:t>local,</w:t>
      </w:r>
      <w:r>
        <w:rPr>
          <w:spacing w:val="-17"/>
          <w:sz w:val="20"/>
        </w:rPr>
        <w:t xml:space="preserve"> </w:t>
      </w:r>
      <w:r>
        <w:rPr>
          <w:sz w:val="20"/>
        </w:rPr>
        <w:t>no</w:t>
      </w:r>
      <w:r>
        <w:rPr>
          <w:spacing w:val="-15"/>
          <w:sz w:val="20"/>
        </w:rPr>
        <w:t xml:space="preserve"> </w:t>
      </w:r>
      <w:r>
        <w:rPr>
          <w:sz w:val="20"/>
        </w:rPr>
        <w:t>solamente</w:t>
      </w:r>
      <w:r>
        <w:rPr>
          <w:spacing w:val="-17"/>
          <w:sz w:val="20"/>
        </w:rPr>
        <w:t xml:space="preserve"> </w:t>
      </w:r>
      <w:r>
        <w:rPr>
          <w:sz w:val="20"/>
        </w:rPr>
        <w:t>en</w:t>
      </w:r>
      <w:r>
        <w:rPr>
          <w:spacing w:val="-13"/>
          <w:sz w:val="20"/>
        </w:rPr>
        <w:t xml:space="preserve"> </w:t>
      </w:r>
      <w:r>
        <w:rPr>
          <w:sz w:val="20"/>
        </w:rPr>
        <w:t>relación con el almacenamiento de los propulsores y accesorios explosivos, sino también por haber sido manipulado dicho material indebidamente por personas no capacitadas para</w:t>
      </w:r>
      <w:r>
        <w:rPr>
          <w:spacing w:val="-22"/>
          <w:sz w:val="20"/>
        </w:rPr>
        <w:t xml:space="preserve"> </w:t>
      </w:r>
      <w:r>
        <w:rPr>
          <w:sz w:val="20"/>
        </w:rPr>
        <w:t>ello</w:t>
      </w:r>
      <w:hyperlink w:anchor="_bookmark155" w:history="1">
        <w:r>
          <w:rPr>
            <w:position w:val="7"/>
            <w:sz w:val="13"/>
          </w:rPr>
          <w:t>129</w:t>
        </w:r>
      </w:hyperlink>
      <w:r>
        <w:rPr>
          <w:sz w:val="20"/>
        </w:rPr>
        <w:t>.</w:t>
      </w:r>
    </w:p>
    <w:p w14:paraId="6B430238" w14:textId="77777777" w:rsidR="00467FCA" w:rsidRDefault="00467FCA">
      <w:pPr>
        <w:pStyle w:val="Textoindependiente"/>
        <w:spacing w:before="8"/>
        <w:rPr>
          <w:sz w:val="22"/>
        </w:rPr>
      </w:pPr>
    </w:p>
    <w:p w14:paraId="04B90A9E"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El Comando Militar del Noreste No. 6, dentro del proceso administrativo citado, emitió un dictamen concluyente, en el cual indicó que la empresa había cometido una serie de irregularidades</w:t>
      </w:r>
      <w:r>
        <w:rPr>
          <w:spacing w:val="-16"/>
          <w:sz w:val="20"/>
        </w:rPr>
        <w:t xml:space="preserve"> </w:t>
      </w:r>
      <w:r>
        <w:rPr>
          <w:sz w:val="20"/>
        </w:rPr>
        <w:t>(</w:t>
      </w:r>
      <w:r>
        <w:rPr>
          <w:i/>
          <w:sz w:val="20"/>
        </w:rPr>
        <w:t>infra</w:t>
      </w:r>
      <w:r>
        <w:rPr>
          <w:i/>
          <w:spacing w:val="-15"/>
          <w:sz w:val="20"/>
        </w:rPr>
        <w:t xml:space="preserve"> </w:t>
      </w:r>
      <w:hyperlink w:anchor="_bookmark182" w:history="1">
        <w:r>
          <w:rPr>
            <w:sz w:val="20"/>
          </w:rPr>
          <w:t>párr.</w:t>
        </w:r>
        <w:r>
          <w:rPr>
            <w:spacing w:val="-16"/>
            <w:sz w:val="20"/>
          </w:rPr>
          <w:t xml:space="preserve"> </w:t>
        </w:r>
        <w:r>
          <w:rPr>
            <w:sz w:val="20"/>
          </w:rPr>
          <w:t>92</w:t>
        </w:r>
      </w:hyperlink>
      <w:r>
        <w:rPr>
          <w:sz w:val="20"/>
        </w:rPr>
        <w:t>)</w:t>
      </w:r>
      <w:hyperlink w:anchor="_bookmark156" w:history="1">
        <w:r>
          <w:rPr>
            <w:position w:val="7"/>
            <w:sz w:val="13"/>
          </w:rPr>
          <w:t>130</w:t>
        </w:r>
      </w:hyperlink>
      <w:r>
        <w:rPr>
          <w:sz w:val="20"/>
        </w:rPr>
        <w:t>.</w:t>
      </w:r>
      <w:r>
        <w:rPr>
          <w:spacing w:val="-15"/>
          <w:sz w:val="20"/>
        </w:rPr>
        <w:t xml:space="preserve"> </w:t>
      </w:r>
      <w:r>
        <w:rPr>
          <w:sz w:val="20"/>
        </w:rPr>
        <w:t>El</w:t>
      </w:r>
      <w:r>
        <w:rPr>
          <w:spacing w:val="-15"/>
          <w:sz w:val="20"/>
        </w:rPr>
        <w:t xml:space="preserve"> </w:t>
      </w:r>
      <w:r>
        <w:rPr>
          <w:sz w:val="20"/>
        </w:rPr>
        <w:t>23</w:t>
      </w:r>
      <w:r>
        <w:rPr>
          <w:spacing w:val="-15"/>
          <w:sz w:val="20"/>
        </w:rPr>
        <w:t xml:space="preserve"> </w:t>
      </w:r>
      <w:r>
        <w:rPr>
          <w:sz w:val="20"/>
        </w:rPr>
        <w:t>de</w:t>
      </w:r>
      <w:r>
        <w:rPr>
          <w:spacing w:val="-16"/>
          <w:sz w:val="20"/>
        </w:rPr>
        <w:t xml:space="preserve"> </w:t>
      </w:r>
      <w:r>
        <w:rPr>
          <w:sz w:val="20"/>
        </w:rPr>
        <w:t>junio</w:t>
      </w:r>
      <w:r>
        <w:rPr>
          <w:spacing w:val="-15"/>
          <w:sz w:val="20"/>
        </w:rPr>
        <w:t xml:space="preserve"> </w:t>
      </w:r>
      <w:r>
        <w:rPr>
          <w:sz w:val="20"/>
        </w:rPr>
        <w:t>de</w:t>
      </w:r>
      <w:r>
        <w:rPr>
          <w:spacing w:val="-16"/>
          <w:sz w:val="20"/>
        </w:rPr>
        <w:t xml:space="preserve"> </w:t>
      </w:r>
      <w:r>
        <w:rPr>
          <w:sz w:val="20"/>
        </w:rPr>
        <w:t>1999,</w:t>
      </w:r>
      <w:r>
        <w:rPr>
          <w:spacing w:val="-16"/>
          <w:sz w:val="20"/>
        </w:rPr>
        <w:t xml:space="preserve"> </w:t>
      </w:r>
      <w:r>
        <w:rPr>
          <w:sz w:val="20"/>
        </w:rPr>
        <w:t>seis</w:t>
      </w:r>
      <w:r>
        <w:rPr>
          <w:spacing w:val="-16"/>
          <w:sz w:val="20"/>
        </w:rPr>
        <w:t xml:space="preserve"> </w:t>
      </w:r>
      <w:r>
        <w:rPr>
          <w:sz w:val="20"/>
        </w:rPr>
        <w:t>meses</w:t>
      </w:r>
      <w:r>
        <w:rPr>
          <w:spacing w:val="-15"/>
          <w:sz w:val="20"/>
        </w:rPr>
        <w:t xml:space="preserve"> </w:t>
      </w:r>
      <w:r>
        <w:rPr>
          <w:sz w:val="20"/>
        </w:rPr>
        <w:t>después</w:t>
      </w:r>
      <w:r>
        <w:rPr>
          <w:spacing w:val="-16"/>
          <w:sz w:val="20"/>
        </w:rPr>
        <w:t xml:space="preserve"> </w:t>
      </w:r>
      <w:r>
        <w:rPr>
          <w:sz w:val="20"/>
        </w:rPr>
        <w:t>de</w:t>
      </w:r>
      <w:r>
        <w:rPr>
          <w:spacing w:val="-16"/>
          <w:sz w:val="20"/>
        </w:rPr>
        <w:t xml:space="preserve"> </w:t>
      </w:r>
      <w:r>
        <w:rPr>
          <w:sz w:val="20"/>
        </w:rPr>
        <w:t>la</w:t>
      </w:r>
      <w:r>
        <w:rPr>
          <w:spacing w:val="-13"/>
          <w:sz w:val="20"/>
        </w:rPr>
        <w:t xml:space="preserve"> </w:t>
      </w:r>
      <w:r>
        <w:rPr>
          <w:sz w:val="20"/>
        </w:rPr>
        <w:t>explosión, el certificado de registro de la fábrica fue cancelado</w:t>
      </w:r>
      <w:hyperlink w:anchor="_bookmark157" w:history="1">
        <w:r>
          <w:rPr>
            <w:position w:val="7"/>
            <w:sz w:val="13"/>
          </w:rPr>
          <w:t>131</w:t>
        </w:r>
      </w:hyperlink>
      <w:r>
        <w:rPr>
          <w:sz w:val="20"/>
        </w:rPr>
        <w:t>. Sin embargo, existe constancia de que,</w:t>
      </w:r>
      <w:r>
        <w:rPr>
          <w:spacing w:val="-16"/>
          <w:sz w:val="20"/>
        </w:rPr>
        <w:t xml:space="preserve"> </w:t>
      </w:r>
      <w:r>
        <w:rPr>
          <w:sz w:val="20"/>
        </w:rPr>
        <w:t>al</w:t>
      </w:r>
      <w:r>
        <w:rPr>
          <w:spacing w:val="-12"/>
          <w:sz w:val="20"/>
        </w:rPr>
        <w:t xml:space="preserve"> </w:t>
      </w:r>
      <w:r>
        <w:rPr>
          <w:sz w:val="20"/>
        </w:rPr>
        <w:t>26</w:t>
      </w:r>
      <w:r>
        <w:rPr>
          <w:spacing w:val="-15"/>
          <w:sz w:val="20"/>
        </w:rPr>
        <w:t xml:space="preserve"> </w:t>
      </w:r>
      <w:r>
        <w:rPr>
          <w:sz w:val="20"/>
        </w:rPr>
        <w:t>de</w:t>
      </w:r>
      <w:r>
        <w:rPr>
          <w:spacing w:val="-13"/>
          <w:sz w:val="20"/>
        </w:rPr>
        <w:t xml:space="preserve"> </w:t>
      </w:r>
      <w:r>
        <w:rPr>
          <w:sz w:val="20"/>
        </w:rPr>
        <w:t>octubre</w:t>
      </w:r>
      <w:r>
        <w:rPr>
          <w:spacing w:val="-14"/>
          <w:sz w:val="20"/>
        </w:rPr>
        <w:t xml:space="preserve"> </w:t>
      </w:r>
      <w:r>
        <w:rPr>
          <w:sz w:val="20"/>
        </w:rPr>
        <w:t>de</w:t>
      </w:r>
      <w:r>
        <w:rPr>
          <w:spacing w:val="-14"/>
          <w:sz w:val="20"/>
        </w:rPr>
        <w:t xml:space="preserve"> </w:t>
      </w:r>
      <w:r>
        <w:rPr>
          <w:sz w:val="20"/>
        </w:rPr>
        <w:t>1999,</w:t>
      </w:r>
      <w:r>
        <w:rPr>
          <w:spacing w:val="-12"/>
          <w:sz w:val="20"/>
        </w:rPr>
        <w:t xml:space="preserve"> </w:t>
      </w:r>
      <w:r>
        <w:rPr>
          <w:sz w:val="20"/>
        </w:rPr>
        <w:t>Mário</w:t>
      </w:r>
      <w:r>
        <w:rPr>
          <w:spacing w:val="-16"/>
          <w:sz w:val="20"/>
        </w:rPr>
        <w:t xml:space="preserve"> </w:t>
      </w:r>
      <w:r>
        <w:rPr>
          <w:sz w:val="20"/>
        </w:rPr>
        <w:t>Fróes</w:t>
      </w:r>
      <w:r>
        <w:rPr>
          <w:spacing w:val="-13"/>
          <w:sz w:val="20"/>
        </w:rPr>
        <w:t xml:space="preserve"> </w:t>
      </w:r>
      <w:r>
        <w:rPr>
          <w:sz w:val="20"/>
        </w:rPr>
        <w:t>Prazeres</w:t>
      </w:r>
      <w:r>
        <w:rPr>
          <w:spacing w:val="-13"/>
          <w:sz w:val="20"/>
        </w:rPr>
        <w:t xml:space="preserve"> </w:t>
      </w:r>
      <w:r>
        <w:rPr>
          <w:sz w:val="20"/>
        </w:rPr>
        <w:t>Bastos</w:t>
      </w:r>
      <w:r>
        <w:rPr>
          <w:spacing w:val="-12"/>
          <w:sz w:val="20"/>
        </w:rPr>
        <w:t xml:space="preserve"> </w:t>
      </w:r>
      <w:r>
        <w:rPr>
          <w:sz w:val="20"/>
        </w:rPr>
        <w:t>continuaba</w:t>
      </w:r>
      <w:r>
        <w:rPr>
          <w:spacing w:val="-15"/>
          <w:sz w:val="20"/>
        </w:rPr>
        <w:t xml:space="preserve"> </w:t>
      </w:r>
      <w:r>
        <w:rPr>
          <w:sz w:val="20"/>
        </w:rPr>
        <w:t>ejerciendo</w:t>
      </w:r>
      <w:r>
        <w:rPr>
          <w:spacing w:val="-16"/>
          <w:sz w:val="20"/>
        </w:rPr>
        <w:t xml:space="preserve"> </w:t>
      </w:r>
      <w:r>
        <w:rPr>
          <w:sz w:val="20"/>
        </w:rPr>
        <w:t>actividades irregulares de producción de fuegos</w:t>
      </w:r>
      <w:r>
        <w:rPr>
          <w:spacing w:val="-9"/>
          <w:sz w:val="20"/>
        </w:rPr>
        <w:t xml:space="preserve"> </w:t>
      </w:r>
      <w:r>
        <w:rPr>
          <w:sz w:val="20"/>
        </w:rPr>
        <w:t>artificiales</w:t>
      </w:r>
      <w:hyperlink w:anchor="_bookmark158" w:history="1">
        <w:r>
          <w:rPr>
            <w:position w:val="7"/>
            <w:sz w:val="13"/>
          </w:rPr>
          <w:t>132</w:t>
        </w:r>
      </w:hyperlink>
      <w:r>
        <w:rPr>
          <w:sz w:val="20"/>
        </w:rPr>
        <w:t>.</w:t>
      </w:r>
    </w:p>
    <w:p w14:paraId="49D91502" w14:textId="77777777" w:rsidR="00467FCA" w:rsidRDefault="00467FCA">
      <w:pPr>
        <w:pStyle w:val="Textoindependiente"/>
      </w:pPr>
    </w:p>
    <w:p w14:paraId="2807BDC0" w14:textId="77777777" w:rsidR="00467FCA" w:rsidRDefault="001B68EB">
      <w:pPr>
        <w:pStyle w:val="Ttulo1"/>
        <w:numPr>
          <w:ilvl w:val="0"/>
          <w:numId w:val="44"/>
        </w:numPr>
        <w:tabs>
          <w:tab w:val="left" w:pos="840"/>
        </w:tabs>
        <w:ind w:left="839"/>
      </w:pPr>
      <w:bookmarkStart w:id="177" w:name="D._Los_procesos_internos"/>
      <w:bookmarkStart w:id="178" w:name="_bookmark150"/>
      <w:bookmarkEnd w:id="177"/>
      <w:bookmarkEnd w:id="178"/>
      <w:r>
        <w:t>Los procesos</w:t>
      </w:r>
      <w:r>
        <w:rPr>
          <w:spacing w:val="-1"/>
        </w:rPr>
        <w:t xml:space="preserve"> </w:t>
      </w:r>
      <w:r>
        <w:t>internos</w:t>
      </w:r>
    </w:p>
    <w:p w14:paraId="4C07484A" w14:textId="77777777" w:rsidR="00467FCA" w:rsidRDefault="00467FCA">
      <w:pPr>
        <w:pStyle w:val="Textoindependiente"/>
        <w:spacing w:before="10"/>
        <w:rPr>
          <w:b/>
          <w:sz w:val="19"/>
        </w:rPr>
      </w:pPr>
    </w:p>
    <w:p w14:paraId="4E6D1B0B" w14:textId="77777777" w:rsidR="00467FCA" w:rsidRDefault="001B68EB">
      <w:pPr>
        <w:pStyle w:val="Prrafodelista"/>
        <w:numPr>
          <w:ilvl w:val="0"/>
          <w:numId w:val="50"/>
        </w:numPr>
        <w:tabs>
          <w:tab w:val="left" w:pos="687"/>
        </w:tabs>
        <w:spacing w:before="1"/>
        <w:ind w:right="119" w:hanging="1"/>
        <w:jc w:val="both"/>
        <w:rPr>
          <w:sz w:val="20"/>
        </w:rPr>
      </w:pPr>
      <w:r>
        <w:rPr>
          <w:sz w:val="20"/>
        </w:rPr>
        <w:t>En relación con la explosión del 11 de diciembre de 1998, se iniciaron procesos civiles, laborale</w:t>
      </w:r>
      <w:r>
        <w:rPr>
          <w:sz w:val="20"/>
        </w:rPr>
        <w:t>s, penal y administrativo. A la fecha de aprobación del Informe de Admisibilidad y Fondo de la Comisión sólo habían culminado los procesos en la vía administrativa y algunos laborales,</w:t>
      </w:r>
      <w:r>
        <w:rPr>
          <w:spacing w:val="-19"/>
          <w:sz w:val="20"/>
        </w:rPr>
        <w:t xml:space="preserve"> </w:t>
      </w:r>
      <w:r>
        <w:rPr>
          <w:sz w:val="20"/>
        </w:rPr>
        <w:t>sin</w:t>
      </w:r>
      <w:r>
        <w:rPr>
          <w:spacing w:val="-19"/>
          <w:sz w:val="20"/>
        </w:rPr>
        <w:t xml:space="preserve"> </w:t>
      </w:r>
      <w:r>
        <w:rPr>
          <w:sz w:val="20"/>
        </w:rPr>
        <w:t>que</w:t>
      </w:r>
      <w:r>
        <w:rPr>
          <w:spacing w:val="-20"/>
          <w:sz w:val="20"/>
        </w:rPr>
        <w:t xml:space="preserve"> </w:t>
      </w:r>
      <w:r>
        <w:rPr>
          <w:sz w:val="20"/>
        </w:rPr>
        <w:t>se</w:t>
      </w:r>
      <w:r>
        <w:rPr>
          <w:spacing w:val="-19"/>
          <w:sz w:val="20"/>
        </w:rPr>
        <w:t xml:space="preserve"> </w:t>
      </w:r>
      <w:r>
        <w:rPr>
          <w:sz w:val="20"/>
        </w:rPr>
        <w:t>hubiera</w:t>
      </w:r>
      <w:r>
        <w:rPr>
          <w:spacing w:val="-18"/>
          <w:sz w:val="20"/>
        </w:rPr>
        <w:t xml:space="preserve"> </w:t>
      </w:r>
      <w:r>
        <w:rPr>
          <w:sz w:val="20"/>
        </w:rPr>
        <w:t>logrado</w:t>
      </w:r>
      <w:r>
        <w:rPr>
          <w:spacing w:val="-19"/>
          <w:sz w:val="20"/>
        </w:rPr>
        <w:t xml:space="preserve"> </w:t>
      </w:r>
      <w:r>
        <w:rPr>
          <w:sz w:val="20"/>
        </w:rPr>
        <w:t>la</w:t>
      </w:r>
      <w:r>
        <w:rPr>
          <w:spacing w:val="-18"/>
          <w:sz w:val="20"/>
        </w:rPr>
        <w:t xml:space="preserve"> </w:t>
      </w:r>
      <w:r>
        <w:rPr>
          <w:sz w:val="20"/>
        </w:rPr>
        <w:t>ejecución</w:t>
      </w:r>
      <w:r>
        <w:rPr>
          <w:spacing w:val="-16"/>
          <w:sz w:val="20"/>
        </w:rPr>
        <w:t xml:space="preserve"> </w:t>
      </w:r>
      <w:r>
        <w:rPr>
          <w:sz w:val="20"/>
        </w:rPr>
        <w:t>de</w:t>
      </w:r>
      <w:r>
        <w:rPr>
          <w:spacing w:val="-20"/>
          <w:sz w:val="20"/>
        </w:rPr>
        <w:t xml:space="preserve"> </w:t>
      </w:r>
      <w:r>
        <w:rPr>
          <w:sz w:val="20"/>
        </w:rPr>
        <w:t>la</w:t>
      </w:r>
      <w:r>
        <w:rPr>
          <w:spacing w:val="-17"/>
          <w:sz w:val="20"/>
        </w:rPr>
        <w:t xml:space="preserve"> </w:t>
      </w:r>
      <w:r>
        <w:rPr>
          <w:sz w:val="20"/>
        </w:rPr>
        <w:t>reparación</w:t>
      </w:r>
      <w:r>
        <w:rPr>
          <w:spacing w:val="-17"/>
          <w:sz w:val="20"/>
        </w:rPr>
        <w:t xml:space="preserve"> </w:t>
      </w:r>
      <w:r>
        <w:rPr>
          <w:sz w:val="20"/>
        </w:rPr>
        <w:t>en</w:t>
      </w:r>
      <w:r>
        <w:rPr>
          <w:spacing w:val="-17"/>
          <w:sz w:val="20"/>
        </w:rPr>
        <w:t xml:space="preserve"> </w:t>
      </w:r>
      <w:r>
        <w:rPr>
          <w:sz w:val="20"/>
        </w:rPr>
        <w:t>estos</w:t>
      </w:r>
      <w:r>
        <w:rPr>
          <w:spacing w:val="-21"/>
          <w:sz w:val="20"/>
        </w:rPr>
        <w:t xml:space="preserve"> </w:t>
      </w:r>
      <w:r>
        <w:rPr>
          <w:sz w:val="20"/>
        </w:rPr>
        <w:t>últimos.</w:t>
      </w:r>
      <w:r>
        <w:rPr>
          <w:spacing w:val="-18"/>
          <w:sz w:val="20"/>
        </w:rPr>
        <w:t xml:space="preserve"> </w:t>
      </w:r>
      <w:r>
        <w:rPr>
          <w:sz w:val="20"/>
        </w:rPr>
        <w:t>Los</w:t>
      </w:r>
      <w:r>
        <w:rPr>
          <w:spacing w:val="-22"/>
          <w:sz w:val="20"/>
        </w:rPr>
        <w:t xml:space="preserve"> </w:t>
      </w:r>
      <w:r>
        <w:rPr>
          <w:sz w:val="20"/>
        </w:rPr>
        <w:t>demás procesos, pasados más de 18 años, se encontraban pendientes en diversas</w:t>
      </w:r>
      <w:r>
        <w:rPr>
          <w:spacing w:val="-17"/>
          <w:sz w:val="20"/>
        </w:rPr>
        <w:t xml:space="preserve"> </w:t>
      </w:r>
      <w:r>
        <w:rPr>
          <w:sz w:val="20"/>
        </w:rPr>
        <w:t>etapas.</w:t>
      </w:r>
    </w:p>
    <w:p w14:paraId="4AB35EDF" w14:textId="77777777" w:rsidR="00467FCA" w:rsidRDefault="00467FCA">
      <w:pPr>
        <w:pStyle w:val="Textoindependiente"/>
      </w:pPr>
    </w:p>
    <w:p w14:paraId="5E4B5DBD" w14:textId="77777777" w:rsidR="00467FCA" w:rsidRDefault="001B68EB">
      <w:pPr>
        <w:pStyle w:val="Textoindependiente"/>
        <w:spacing w:before="4"/>
        <w:rPr>
          <w:sz w:val="12"/>
        </w:rPr>
      </w:pPr>
      <w:r>
        <w:pict w14:anchorId="7323350E">
          <v:shape id="_x0000_s1174" style="position:absolute;margin-left:1in;margin-top:9.8pt;width:2in;height:.1pt;z-index:-251635712;mso-wrap-distance-left:0;mso-wrap-distance-right:0;mso-position-horizontal-relative:page" coordorigin="1440,196" coordsize="2880,0" path="m1440,196r2880,e" filled="f" strokeweight=".6pt">
            <v:path arrowok="t"/>
            <w10:wrap type="topAndBottom" anchorx="page"/>
          </v:shape>
        </w:pict>
      </w:r>
    </w:p>
    <w:p w14:paraId="0C57F581" w14:textId="77777777" w:rsidR="00467FCA" w:rsidRDefault="001B68EB">
      <w:pPr>
        <w:spacing w:before="74"/>
        <w:ind w:left="120"/>
        <w:jc w:val="both"/>
        <w:rPr>
          <w:sz w:val="16"/>
        </w:rPr>
      </w:pPr>
      <w:r>
        <w:rPr>
          <w:sz w:val="16"/>
        </w:rPr>
        <w:t>prueba, folio 1776).</w:t>
      </w:r>
    </w:p>
    <w:p w14:paraId="2572012C" w14:textId="77777777" w:rsidR="00467FCA" w:rsidRDefault="001B68EB">
      <w:pPr>
        <w:tabs>
          <w:tab w:val="left" w:pos="839"/>
        </w:tabs>
        <w:ind w:left="119" w:right="115"/>
        <w:jc w:val="both"/>
        <w:rPr>
          <w:sz w:val="16"/>
        </w:rPr>
      </w:pPr>
      <w:bookmarkStart w:id="179" w:name="_bookmark151"/>
      <w:bookmarkEnd w:id="179"/>
      <w:r>
        <w:rPr>
          <w:position w:val="6"/>
          <w:sz w:val="10"/>
        </w:rPr>
        <w:t>125</w:t>
      </w:r>
      <w:r>
        <w:rPr>
          <w:position w:val="6"/>
          <w:sz w:val="10"/>
        </w:rPr>
        <w:tab/>
      </w:r>
      <w:r>
        <w:rPr>
          <w:i/>
          <w:sz w:val="16"/>
        </w:rPr>
        <w:t xml:space="preserve">Cfr. </w:t>
      </w:r>
      <w:r>
        <w:rPr>
          <w:sz w:val="16"/>
        </w:rPr>
        <w:t>Certificado de Registro número 381 - SFPC/6 de 19 de diciembre de 1995 del Ministerio del Ejército, a favor de Mário Fróes P</w:t>
      </w:r>
      <w:r>
        <w:rPr>
          <w:sz w:val="16"/>
        </w:rPr>
        <w:t>razeres Bastos (expediente de prueba, folio</w:t>
      </w:r>
      <w:r>
        <w:rPr>
          <w:spacing w:val="-15"/>
          <w:sz w:val="16"/>
        </w:rPr>
        <w:t xml:space="preserve"> </w:t>
      </w:r>
      <w:r>
        <w:rPr>
          <w:sz w:val="16"/>
        </w:rPr>
        <w:t>48).</w:t>
      </w:r>
    </w:p>
    <w:p w14:paraId="21A3CE60" w14:textId="77777777" w:rsidR="00467FCA" w:rsidRDefault="001B68EB">
      <w:pPr>
        <w:tabs>
          <w:tab w:val="left" w:pos="839"/>
        </w:tabs>
        <w:ind w:left="120"/>
        <w:jc w:val="both"/>
        <w:rPr>
          <w:i/>
          <w:sz w:val="16"/>
        </w:rPr>
      </w:pPr>
      <w:bookmarkStart w:id="180" w:name="_bookmark152"/>
      <w:bookmarkEnd w:id="180"/>
      <w:r>
        <w:rPr>
          <w:position w:val="6"/>
          <w:sz w:val="10"/>
        </w:rPr>
        <w:t>126</w:t>
      </w:r>
      <w:r>
        <w:rPr>
          <w:position w:val="6"/>
          <w:sz w:val="10"/>
        </w:rPr>
        <w:tab/>
      </w:r>
      <w:r>
        <w:rPr>
          <w:i/>
          <w:sz w:val="16"/>
        </w:rPr>
        <w:t xml:space="preserve">Cfr. </w:t>
      </w:r>
      <w:r>
        <w:rPr>
          <w:sz w:val="16"/>
        </w:rPr>
        <w:t>Documento Síntesis del Grupo de Trabajo,</w:t>
      </w:r>
      <w:r>
        <w:rPr>
          <w:spacing w:val="-2"/>
          <w:sz w:val="16"/>
        </w:rPr>
        <w:t xml:space="preserve"> </w:t>
      </w:r>
      <w:r>
        <w:rPr>
          <w:i/>
          <w:sz w:val="16"/>
        </w:rPr>
        <w:t>supra.</w:t>
      </w:r>
    </w:p>
    <w:p w14:paraId="2431071A" w14:textId="77777777" w:rsidR="00467FCA" w:rsidRDefault="001B68EB">
      <w:pPr>
        <w:tabs>
          <w:tab w:val="left" w:pos="839"/>
        </w:tabs>
        <w:ind w:left="119" w:right="110"/>
        <w:jc w:val="both"/>
        <w:rPr>
          <w:sz w:val="16"/>
        </w:rPr>
      </w:pPr>
      <w:bookmarkStart w:id="181" w:name="_bookmark153"/>
      <w:bookmarkEnd w:id="181"/>
      <w:r>
        <w:rPr>
          <w:position w:val="6"/>
          <w:sz w:val="10"/>
        </w:rPr>
        <w:t>127</w:t>
      </w:r>
      <w:r>
        <w:rPr>
          <w:position w:val="6"/>
          <w:sz w:val="10"/>
        </w:rPr>
        <w:tab/>
      </w:r>
      <w:r>
        <w:rPr>
          <w:i/>
          <w:sz w:val="16"/>
        </w:rPr>
        <w:t>Cfr</w:t>
      </w:r>
      <w:r>
        <w:rPr>
          <w:sz w:val="16"/>
        </w:rPr>
        <w:t>. Audiencia de Admisibilidad ante la CIDH, Caso 12.428, a partir del minuto 38:25 de la grabación (expediente</w:t>
      </w:r>
      <w:r>
        <w:rPr>
          <w:spacing w:val="-12"/>
          <w:sz w:val="16"/>
        </w:rPr>
        <w:t xml:space="preserve"> </w:t>
      </w:r>
      <w:r>
        <w:rPr>
          <w:sz w:val="16"/>
        </w:rPr>
        <w:t>de</w:t>
      </w:r>
      <w:r>
        <w:rPr>
          <w:spacing w:val="-14"/>
          <w:sz w:val="16"/>
        </w:rPr>
        <w:t xml:space="preserve"> </w:t>
      </w:r>
      <w:r>
        <w:rPr>
          <w:sz w:val="16"/>
        </w:rPr>
        <w:t>prueba,</w:t>
      </w:r>
      <w:r>
        <w:rPr>
          <w:spacing w:val="-13"/>
          <w:sz w:val="16"/>
        </w:rPr>
        <w:t xml:space="preserve"> </w:t>
      </w:r>
      <w:r>
        <w:rPr>
          <w:sz w:val="16"/>
        </w:rPr>
        <w:t>folio</w:t>
      </w:r>
      <w:r>
        <w:rPr>
          <w:spacing w:val="-11"/>
          <w:sz w:val="16"/>
        </w:rPr>
        <w:t xml:space="preserve"> </w:t>
      </w:r>
      <w:r>
        <w:rPr>
          <w:sz w:val="16"/>
        </w:rPr>
        <w:t>11).</w:t>
      </w:r>
      <w:r>
        <w:rPr>
          <w:spacing w:val="-11"/>
          <w:sz w:val="16"/>
        </w:rPr>
        <w:t xml:space="preserve"> </w:t>
      </w:r>
      <w:r>
        <w:rPr>
          <w:sz w:val="16"/>
        </w:rPr>
        <w:t>En</w:t>
      </w:r>
      <w:r>
        <w:rPr>
          <w:spacing w:val="-13"/>
          <w:sz w:val="16"/>
        </w:rPr>
        <w:t xml:space="preserve"> </w:t>
      </w:r>
      <w:r>
        <w:rPr>
          <w:sz w:val="16"/>
        </w:rPr>
        <w:t>el</w:t>
      </w:r>
      <w:r>
        <w:rPr>
          <w:spacing w:val="-13"/>
          <w:sz w:val="16"/>
        </w:rPr>
        <w:t xml:space="preserve"> </w:t>
      </w:r>
      <w:r>
        <w:rPr>
          <w:sz w:val="16"/>
        </w:rPr>
        <w:t>mismo</w:t>
      </w:r>
      <w:r>
        <w:rPr>
          <w:spacing w:val="-14"/>
          <w:sz w:val="16"/>
        </w:rPr>
        <w:t xml:space="preserve"> </w:t>
      </w:r>
      <w:r>
        <w:rPr>
          <w:sz w:val="16"/>
        </w:rPr>
        <w:t>sentido,</w:t>
      </w:r>
      <w:r>
        <w:rPr>
          <w:spacing w:val="-12"/>
          <w:sz w:val="16"/>
        </w:rPr>
        <w:t xml:space="preserve"> </w:t>
      </w:r>
      <w:r>
        <w:rPr>
          <w:sz w:val="16"/>
        </w:rPr>
        <w:t>en</w:t>
      </w:r>
      <w:r>
        <w:rPr>
          <w:spacing w:val="-13"/>
          <w:sz w:val="16"/>
        </w:rPr>
        <w:t xml:space="preserve"> </w:t>
      </w:r>
      <w:r>
        <w:rPr>
          <w:sz w:val="16"/>
        </w:rPr>
        <w:t>la</w:t>
      </w:r>
      <w:r>
        <w:rPr>
          <w:spacing w:val="-15"/>
          <w:sz w:val="16"/>
        </w:rPr>
        <w:t xml:space="preserve"> </w:t>
      </w:r>
      <w:r>
        <w:rPr>
          <w:sz w:val="16"/>
        </w:rPr>
        <w:t>decisión</w:t>
      </w:r>
      <w:r>
        <w:rPr>
          <w:spacing w:val="-13"/>
          <w:sz w:val="16"/>
        </w:rPr>
        <w:t xml:space="preserve"> </w:t>
      </w:r>
      <w:r>
        <w:rPr>
          <w:sz w:val="16"/>
        </w:rPr>
        <w:t>sobre</w:t>
      </w:r>
      <w:r>
        <w:rPr>
          <w:spacing w:val="-12"/>
          <w:sz w:val="16"/>
        </w:rPr>
        <w:t xml:space="preserve"> </w:t>
      </w:r>
      <w:r>
        <w:rPr>
          <w:sz w:val="16"/>
        </w:rPr>
        <w:t>la</w:t>
      </w:r>
      <w:r>
        <w:rPr>
          <w:spacing w:val="-13"/>
          <w:sz w:val="16"/>
        </w:rPr>
        <w:t xml:space="preserve"> </w:t>
      </w:r>
      <w:r>
        <w:rPr>
          <w:sz w:val="16"/>
        </w:rPr>
        <w:t>apelación</w:t>
      </w:r>
      <w:r>
        <w:rPr>
          <w:spacing w:val="-13"/>
          <w:sz w:val="16"/>
        </w:rPr>
        <w:t xml:space="preserve"> </w:t>
      </w:r>
      <w:r>
        <w:rPr>
          <w:sz w:val="16"/>
        </w:rPr>
        <w:t>de</w:t>
      </w:r>
      <w:r>
        <w:rPr>
          <w:spacing w:val="-12"/>
          <w:sz w:val="16"/>
        </w:rPr>
        <w:t xml:space="preserve"> </w:t>
      </w:r>
      <w:r>
        <w:rPr>
          <w:sz w:val="16"/>
        </w:rPr>
        <w:t>la</w:t>
      </w:r>
      <w:r>
        <w:rPr>
          <w:spacing w:val="-10"/>
          <w:sz w:val="16"/>
        </w:rPr>
        <w:t xml:space="preserve"> </w:t>
      </w:r>
      <w:r>
        <w:rPr>
          <w:sz w:val="16"/>
        </w:rPr>
        <w:t>demanda</w:t>
      </w:r>
      <w:r>
        <w:rPr>
          <w:spacing w:val="-12"/>
          <w:sz w:val="16"/>
        </w:rPr>
        <w:t xml:space="preserve"> </w:t>
      </w:r>
      <w:r>
        <w:rPr>
          <w:sz w:val="16"/>
        </w:rPr>
        <w:t>de</w:t>
      </w:r>
      <w:r>
        <w:rPr>
          <w:spacing w:val="-12"/>
          <w:sz w:val="16"/>
        </w:rPr>
        <w:t xml:space="preserve"> </w:t>
      </w:r>
      <w:r>
        <w:rPr>
          <w:sz w:val="16"/>
        </w:rPr>
        <w:t>las</w:t>
      </w:r>
      <w:r>
        <w:rPr>
          <w:spacing w:val="-12"/>
          <w:sz w:val="16"/>
        </w:rPr>
        <w:t xml:space="preserve"> </w:t>
      </w:r>
      <w:r>
        <w:rPr>
          <w:sz w:val="16"/>
        </w:rPr>
        <w:t>víctimas contra el Gobierno Federal y el estado de Bahia, el Tribunal Regional Federal concluyó que, después de la concesión de</w:t>
      </w:r>
      <w:r>
        <w:rPr>
          <w:spacing w:val="-8"/>
          <w:sz w:val="16"/>
        </w:rPr>
        <w:t xml:space="preserve"> </w:t>
      </w:r>
      <w:r>
        <w:rPr>
          <w:sz w:val="16"/>
        </w:rPr>
        <w:t>la</w:t>
      </w:r>
      <w:r>
        <w:rPr>
          <w:spacing w:val="-8"/>
          <w:sz w:val="16"/>
        </w:rPr>
        <w:t xml:space="preserve"> </w:t>
      </w:r>
      <w:r>
        <w:rPr>
          <w:sz w:val="16"/>
        </w:rPr>
        <w:t>licencia</w:t>
      </w:r>
      <w:r>
        <w:rPr>
          <w:spacing w:val="-10"/>
          <w:sz w:val="16"/>
        </w:rPr>
        <w:t xml:space="preserve"> </w:t>
      </w:r>
      <w:r>
        <w:rPr>
          <w:sz w:val="16"/>
        </w:rPr>
        <w:t>de</w:t>
      </w:r>
      <w:r>
        <w:rPr>
          <w:spacing w:val="-9"/>
          <w:sz w:val="16"/>
        </w:rPr>
        <w:t xml:space="preserve"> </w:t>
      </w:r>
      <w:r>
        <w:rPr>
          <w:sz w:val="16"/>
        </w:rPr>
        <w:t>funcionamiento</w:t>
      </w:r>
      <w:r>
        <w:rPr>
          <w:spacing w:val="-7"/>
          <w:sz w:val="16"/>
        </w:rPr>
        <w:t xml:space="preserve"> </w:t>
      </w:r>
      <w:r>
        <w:rPr>
          <w:sz w:val="16"/>
        </w:rPr>
        <w:t>de</w:t>
      </w:r>
      <w:r>
        <w:rPr>
          <w:spacing w:val="-10"/>
          <w:sz w:val="16"/>
        </w:rPr>
        <w:t xml:space="preserve"> </w:t>
      </w:r>
      <w:r>
        <w:rPr>
          <w:sz w:val="16"/>
        </w:rPr>
        <w:t>la</w:t>
      </w:r>
      <w:r>
        <w:rPr>
          <w:spacing w:val="-8"/>
          <w:sz w:val="16"/>
        </w:rPr>
        <w:t xml:space="preserve"> </w:t>
      </w:r>
      <w:r>
        <w:rPr>
          <w:sz w:val="16"/>
        </w:rPr>
        <w:t>fábrica</w:t>
      </w:r>
      <w:r>
        <w:rPr>
          <w:spacing w:val="-10"/>
          <w:sz w:val="16"/>
        </w:rPr>
        <w:t xml:space="preserve"> </w:t>
      </w:r>
      <w:r>
        <w:rPr>
          <w:sz w:val="16"/>
        </w:rPr>
        <w:t>no</w:t>
      </w:r>
      <w:r>
        <w:rPr>
          <w:spacing w:val="-7"/>
          <w:sz w:val="16"/>
        </w:rPr>
        <w:t xml:space="preserve"> </w:t>
      </w:r>
      <w:r>
        <w:rPr>
          <w:sz w:val="16"/>
        </w:rPr>
        <w:t>hubo</w:t>
      </w:r>
      <w:r>
        <w:rPr>
          <w:spacing w:val="-7"/>
          <w:sz w:val="16"/>
        </w:rPr>
        <w:t xml:space="preserve"> </w:t>
      </w:r>
      <w:r>
        <w:rPr>
          <w:sz w:val="16"/>
        </w:rPr>
        <w:t>ninguna</w:t>
      </w:r>
      <w:r>
        <w:rPr>
          <w:spacing w:val="-8"/>
          <w:sz w:val="16"/>
        </w:rPr>
        <w:t xml:space="preserve"> </w:t>
      </w:r>
      <w:r>
        <w:rPr>
          <w:sz w:val="16"/>
        </w:rPr>
        <w:t>actividad</w:t>
      </w:r>
      <w:r>
        <w:rPr>
          <w:spacing w:val="-9"/>
          <w:sz w:val="16"/>
        </w:rPr>
        <w:t xml:space="preserve"> </w:t>
      </w:r>
      <w:r>
        <w:rPr>
          <w:sz w:val="16"/>
        </w:rPr>
        <w:t>de</w:t>
      </w:r>
      <w:r>
        <w:rPr>
          <w:spacing w:val="-7"/>
          <w:sz w:val="16"/>
        </w:rPr>
        <w:t xml:space="preserve"> </w:t>
      </w:r>
      <w:r>
        <w:rPr>
          <w:sz w:val="16"/>
        </w:rPr>
        <w:t>inspección</w:t>
      </w:r>
      <w:r>
        <w:rPr>
          <w:spacing w:val="-8"/>
          <w:sz w:val="16"/>
        </w:rPr>
        <w:t xml:space="preserve"> </w:t>
      </w:r>
      <w:r>
        <w:rPr>
          <w:sz w:val="16"/>
        </w:rPr>
        <w:t>por</w:t>
      </w:r>
      <w:r>
        <w:rPr>
          <w:spacing w:val="-9"/>
          <w:sz w:val="16"/>
        </w:rPr>
        <w:t xml:space="preserve"> </w:t>
      </w:r>
      <w:r>
        <w:rPr>
          <w:sz w:val="16"/>
        </w:rPr>
        <w:t>parte</w:t>
      </w:r>
      <w:r>
        <w:rPr>
          <w:spacing w:val="-10"/>
          <w:sz w:val="16"/>
        </w:rPr>
        <w:t xml:space="preserve"> </w:t>
      </w:r>
      <w:r>
        <w:rPr>
          <w:sz w:val="16"/>
        </w:rPr>
        <w:t>de</w:t>
      </w:r>
      <w:r>
        <w:rPr>
          <w:spacing w:val="-10"/>
          <w:sz w:val="16"/>
        </w:rPr>
        <w:t xml:space="preserve"> </w:t>
      </w:r>
      <w:r>
        <w:rPr>
          <w:sz w:val="16"/>
        </w:rPr>
        <w:t>la</w:t>
      </w:r>
      <w:r>
        <w:rPr>
          <w:spacing w:val="-8"/>
          <w:sz w:val="16"/>
        </w:rPr>
        <w:t xml:space="preserve"> </w:t>
      </w:r>
      <w:r>
        <w:rPr>
          <w:sz w:val="16"/>
        </w:rPr>
        <w:t>agencia</w:t>
      </w:r>
      <w:r>
        <w:rPr>
          <w:spacing w:val="-8"/>
          <w:sz w:val="16"/>
        </w:rPr>
        <w:t xml:space="preserve"> </w:t>
      </w:r>
      <w:r>
        <w:rPr>
          <w:sz w:val="16"/>
        </w:rPr>
        <w:t>federal a</w:t>
      </w:r>
      <w:r>
        <w:rPr>
          <w:spacing w:val="-3"/>
          <w:sz w:val="16"/>
        </w:rPr>
        <w:t xml:space="preserve"> </w:t>
      </w:r>
      <w:r>
        <w:rPr>
          <w:sz w:val="16"/>
        </w:rPr>
        <w:t>cargo,</w:t>
      </w:r>
      <w:r>
        <w:rPr>
          <w:spacing w:val="-6"/>
          <w:sz w:val="16"/>
        </w:rPr>
        <w:t xml:space="preserve"> </w:t>
      </w:r>
      <w:r>
        <w:rPr>
          <w:sz w:val="16"/>
        </w:rPr>
        <w:t>exc</w:t>
      </w:r>
      <w:r>
        <w:rPr>
          <w:sz w:val="16"/>
        </w:rPr>
        <w:t>epto</w:t>
      </w:r>
      <w:r>
        <w:rPr>
          <w:spacing w:val="-3"/>
          <w:sz w:val="16"/>
        </w:rPr>
        <w:t xml:space="preserve"> </w:t>
      </w:r>
      <w:r>
        <w:rPr>
          <w:sz w:val="16"/>
        </w:rPr>
        <w:t>después</w:t>
      </w:r>
      <w:r>
        <w:rPr>
          <w:spacing w:val="-5"/>
          <w:sz w:val="16"/>
        </w:rPr>
        <w:t xml:space="preserve"> </w:t>
      </w:r>
      <w:r>
        <w:rPr>
          <w:sz w:val="16"/>
        </w:rPr>
        <w:t>de</w:t>
      </w:r>
      <w:r>
        <w:rPr>
          <w:spacing w:val="-4"/>
          <w:sz w:val="16"/>
        </w:rPr>
        <w:t xml:space="preserve"> </w:t>
      </w:r>
      <w:r>
        <w:rPr>
          <w:sz w:val="16"/>
        </w:rPr>
        <w:t>que</w:t>
      </w:r>
      <w:r>
        <w:rPr>
          <w:spacing w:val="-2"/>
          <w:sz w:val="16"/>
        </w:rPr>
        <w:t xml:space="preserve"> </w:t>
      </w:r>
      <w:r>
        <w:rPr>
          <w:sz w:val="16"/>
        </w:rPr>
        <w:t>se</w:t>
      </w:r>
      <w:r>
        <w:rPr>
          <w:spacing w:val="-4"/>
          <w:sz w:val="16"/>
        </w:rPr>
        <w:t xml:space="preserve"> </w:t>
      </w:r>
      <w:r>
        <w:rPr>
          <w:sz w:val="16"/>
        </w:rPr>
        <w:t>produjera</w:t>
      </w:r>
      <w:r>
        <w:rPr>
          <w:spacing w:val="-6"/>
          <w:sz w:val="16"/>
        </w:rPr>
        <w:t xml:space="preserve"> </w:t>
      </w:r>
      <w:r>
        <w:rPr>
          <w:sz w:val="16"/>
        </w:rPr>
        <w:t>el</w:t>
      </w:r>
      <w:r>
        <w:rPr>
          <w:spacing w:val="-5"/>
          <w:sz w:val="16"/>
        </w:rPr>
        <w:t xml:space="preserve"> </w:t>
      </w:r>
      <w:r>
        <w:rPr>
          <w:sz w:val="16"/>
        </w:rPr>
        <w:t>accidente.</w:t>
      </w:r>
      <w:r>
        <w:rPr>
          <w:spacing w:val="-8"/>
          <w:sz w:val="16"/>
        </w:rPr>
        <w:t xml:space="preserve"> </w:t>
      </w:r>
      <w:r>
        <w:rPr>
          <w:i/>
          <w:sz w:val="16"/>
        </w:rPr>
        <w:t>Cfr</w:t>
      </w:r>
      <w:r>
        <w:rPr>
          <w:sz w:val="16"/>
        </w:rPr>
        <w:t>.</w:t>
      </w:r>
      <w:r>
        <w:rPr>
          <w:spacing w:val="-3"/>
          <w:sz w:val="16"/>
        </w:rPr>
        <w:t xml:space="preserve"> </w:t>
      </w:r>
      <w:r>
        <w:rPr>
          <w:sz w:val="16"/>
        </w:rPr>
        <w:t>Decisión</w:t>
      </w:r>
      <w:r>
        <w:rPr>
          <w:spacing w:val="-6"/>
          <w:sz w:val="16"/>
        </w:rPr>
        <w:t xml:space="preserve"> </w:t>
      </w:r>
      <w:r>
        <w:rPr>
          <w:sz w:val="16"/>
        </w:rPr>
        <w:t>del</w:t>
      </w:r>
      <w:r>
        <w:rPr>
          <w:spacing w:val="-5"/>
          <w:sz w:val="16"/>
        </w:rPr>
        <w:t xml:space="preserve"> </w:t>
      </w:r>
      <w:r>
        <w:rPr>
          <w:sz w:val="16"/>
        </w:rPr>
        <w:t>Tribunal</w:t>
      </w:r>
      <w:r>
        <w:rPr>
          <w:spacing w:val="-6"/>
          <w:sz w:val="16"/>
        </w:rPr>
        <w:t xml:space="preserve"> </w:t>
      </w:r>
      <w:r>
        <w:rPr>
          <w:sz w:val="16"/>
        </w:rPr>
        <w:t>Regional</w:t>
      </w:r>
      <w:r>
        <w:rPr>
          <w:spacing w:val="-2"/>
          <w:sz w:val="16"/>
        </w:rPr>
        <w:t xml:space="preserve"> </w:t>
      </w:r>
      <w:r>
        <w:rPr>
          <w:sz w:val="16"/>
        </w:rPr>
        <w:t>Federal</w:t>
      </w:r>
      <w:r>
        <w:rPr>
          <w:spacing w:val="-6"/>
          <w:sz w:val="16"/>
        </w:rPr>
        <w:t xml:space="preserve"> </w:t>
      </w:r>
      <w:r>
        <w:rPr>
          <w:sz w:val="16"/>
        </w:rPr>
        <w:t>de</w:t>
      </w:r>
      <w:r>
        <w:rPr>
          <w:spacing w:val="-2"/>
          <w:sz w:val="16"/>
        </w:rPr>
        <w:t xml:space="preserve"> </w:t>
      </w:r>
      <w:r>
        <w:rPr>
          <w:sz w:val="16"/>
        </w:rPr>
        <w:t>la</w:t>
      </w:r>
      <w:r>
        <w:rPr>
          <w:spacing w:val="-5"/>
          <w:sz w:val="16"/>
        </w:rPr>
        <w:t xml:space="preserve"> </w:t>
      </w:r>
      <w:r>
        <w:rPr>
          <w:sz w:val="16"/>
        </w:rPr>
        <w:t>Primera Región que resolvió el recurso de apelación interpuesto en el marco de la acción civil No. 2002.33.00.005225-1, propuesta por las presuntas víctimas contra el Gobierno Federal y el Estado de Bahia (expediente de prueba, folios 2194 a</w:t>
      </w:r>
      <w:r>
        <w:rPr>
          <w:spacing w:val="-4"/>
          <w:sz w:val="16"/>
        </w:rPr>
        <w:t xml:space="preserve"> </w:t>
      </w:r>
      <w:r>
        <w:rPr>
          <w:sz w:val="16"/>
        </w:rPr>
        <w:t>2295).</w:t>
      </w:r>
    </w:p>
    <w:p w14:paraId="07EA3C34" w14:textId="77777777" w:rsidR="00467FCA" w:rsidRDefault="001B68EB">
      <w:pPr>
        <w:tabs>
          <w:tab w:val="left" w:pos="839"/>
        </w:tabs>
        <w:ind w:left="121" w:right="113" w:hanging="2"/>
        <w:jc w:val="both"/>
        <w:rPr>
          <w:sz w:val="16"/>
        </w:rPr>
      </w:pPr>
      <w:bookmarkStart w:id="182" w:name="_bookmark154"/>
      <w:bookmarkEnd w:id="182"/>
      <w:r>
        <w:rPr>
          <w:position w:val="6"/>
          <w:sz w:val="10"/>
        </w:rPr>
        <w:t>128</w:t>
      </w:r>
      <w:r>
        <w:rPr>
          <w:position w:val="6"/>
          <w:sz w:val="10"/>
        </w:rPr>
        <w:tab/>
      </w:r>
      <w:r>
        <w:rPr>
          <w:i/>
          <w:sz w:val="16"/>
        </w:rPr>
        <w:t>Cfr</w:t>
      </w:r>
      <w:r>
        <w:rPr>
          <w:i/>
          <w:sz w:val="16"/>
        </w:rPr>
        <w:t>.</w:t>
      </w:r>
      <w:r>
        <w:rPr>
          <w:i/>
          <w:spacing w:val="-15"/>
          <w:sz w:val="16"/>
        </w:rPr>
        <w:t xml:space="preserve"> </w:t>
      </w:r>
      <w:r>
        <w:rPr>
          <w:sz w:val="16"/>
        </w:rPr>
        <w:t>Constancia</w:t>
      </w:r>
      <w:r>
        <w:rPr>
          <w:spacing w:val="-15"/>
          <w:sz w:val="16"/>
        </w:rPr>
        <w:t xml:space="preserve"> </w:t>
      </w:r>
      <w:r>
        <w:rPr>
          <w:sz w:val="16"/>
        </w:rPr>
        <w:t>de</w:t>
      </w:r>
      <w:r>
        <w:rPr>
          <w:spacing w:val="-16"/>
          <w:sz w:val="16"/>
        </w:rPr>
        <w:t xml:space="preserve"> </w:t>
      </w:r>
      <w:r>
        <w:rPr>
          <w:sz w:val="16"/>
        </w:rPr>
        <w:t>confiscación</w:t>
      </w:r>
      <w:r>
        <w:rPr>
          <w:spacing w:val="-13"/>
          <w:sz w:val="16"/>
        </w:rPr>
        <w:t xml:space="preserve"> </w:t>
      </w:r>
      <w:r>
        <w:rPr>
          <w:sz w:val="16"/>
        </w:rPr>
        <w:t>del</w:t>
      </w:r>
      <w:r>
        <w:rPr>
          <w:spacing w:val="-15"/>
          <w:sz w:val="16"/>
        </w:rPr>
        <w:t xml:space="preserve"> </w:t>
      </w:r>
      <w:r>
        <w:rPr>
          <w:sz w:val="16"/>
        </w:rPr>
        <w:t>Ministerio</w:t>
      </w:r>
      <w:r>
        <w:rPr>
          <w:spacing w:val="-15"/>
          <w:sz w:val="16"/>
        </w:rPr>
        <w:t xml:space="preserve"> </w:t>
      </w:r>
      <w:r>
        <w:rPr>
          <w:sz w:val="16"/>
        </w:rPr>
        <w:t>del</w:t>
      </w:r>
      <w:r>
        <w:rPr>
          <w:spacing w:val="-15"/>
          <w:sz w:val="16"/>
        </w:rPr>
        <w:t xml:space="preserve"> </w:t>
      </w:r>
      <w:r>
        <w:rPr>
          <w:sz w:val="16"/>
        </w:rPr>
        <w:t>Ejército</w:t>
      </w:r>
      <w:r>
        <w:rPr>
          <w:spacing w:val="-13"/>
          <w:sz w:val="16"/>
        </w:rPr>
        <w:t xml:space="preserve"> </w:t>
      </w:r>
      <w:r>
        <w:rPr>
          <w:sz w:val="16"/>
        </w:rPr>
        <w:t>de</w:t>
      </w:r>
      <w:r>
        <w:rPr>
          <w:spacing w:val="-17"/>
          <w:sz w:val="16"/>
        </w:rPr>
        <w:t xml:space="preserve"> </w:t>
      </w:r>
      <w:r>
        <w:rPr>
          <w:sz w:val="16"/>
        </w:rPr>
        <w:t>13</w:t>
      </w:r>
      <w:r>
        <w:rPr>
          <w:spacing w:val="-16"/>
          <w:sz w:val="16"/>
        </w:rPr>
        <w:t xml:space="preserve"> </w:t>
      </w:r>
      <w:r>
        <w:rPr>
          <w:sz w:val="16"/>
        </w:rPr>
        <w:t>de</w:t>
      </w:r>
      <w:r>
        <w:rPr>
          <w:spacing w:val="-13"/>
          <w:sz w:val="16"/>
        </w:rPr>
        <w:t xml:space="preserve"> </w:t>
      </w:r>
      <w:r>
        <w:rPr>
          <w:sz w:val="16"/>
        </w:rPr>
        <w:t>diciembre</w:t>
      </w:r>
      <w:r>
        <w:rPr>
          <w:spacing w:val="-14"/>
          <w:sz w:val="16"/>
        </w:rPr>
        <w:t xml:space="preserve"> </w:t>
      </w:r>
      <w:r>
        <w:rPr>
          <w:sz w:val="16"/>
        </w:rPr>
        <w:t>de</w:t>
      </w:r>
      <w:r>
        <w:rPr>
          <w:spacing w:val="-16"/>
          <w:sz w:val="16"/>
        </w:rPr>
        <w:t xml:space="preserve"> </w:t>
      </w:r>
      <w:r>
        <w:rPr>
          <w:sz w:val="16"/>
        </w:rPr>
        <w:t>1998</w:t>
      </w:r>
      <w:r>
        <w:rPr>
          <w:spacing w:val="-14"/>
          <w:sz w:val="16"/>
        </w:rPr>
        <w:t xml:space="preserve"> </w:t>
      </w:r>
      <w:r>
        <w:rPr>
          <w:sz w:val="16"/>
        </w:rPr>
        <w:t>(expediente</w:t>
      </w:r>
      <w:r>
        <w:rPr>
          <w:spacing w:val="-14"/>
          <w:sz w:val="16"/>
        </w:rPr>
        <w:t xml:space="preserve"> </w:t>
      </w:r>
      <w:r>
        <w:rPr>
          <w:sz w:val="16"/>
        </w:rPr>
        <w:t>de</w:t>
      </w:r>
      <w:r>
        <w:rPr>
          <w:spacing w:val="-16"/>
          <w:sz w:val="16"/>
        </w:rPr>
        <w:t xml:space="preserve"> </w:t>
      </w:r>
      <w:r>
        <w:rPr>
          <w:sz w:val="16"/>
        </w:rPr>
        <w:t>prueba, folios 56 y</w:t>
      </w:r>
      <w:r>
        <w:rPr>
          <w:spacing w:val="-4"/>
          <w:sz w:val="16"/>
        </w:rPr>
        <w:t xml:space="preserve"> </w:t>
      </w:r>
      <w:r>
        <w:rPr>
          <w:sz w:val="16"/>
        </w:rPr>
        <w:t>57).</w:t>
      </w:r>
    </w:p>
    <w:p w14:paraId="40143C81" w14:textId="77777777" w:rsidR="00467FCA" w:rsidRDefault="001B68EB">
      <w:pPr>
        <w:tabs>
          <w:tab w:val="left" w:pos="839"/>
        </w:tabs>
        <w:ind w:left="119" w:right="117"/>
        <w:jc w:val="both"/>
        <w:rPr>
          <w:sz w:val="16"/>
        </w:rPr>
      </w:pPr>
      <w:bookmarkStart w:id="183" w:name="_bookmark155"/>
      <w:bookmarkEnd w:id="183"/>
      <w:r>
        <w:rPr>
          <w:position w:val="6"/>
          <w:sz w:val="10"/>
        </w:rPr>
        <w:t>129</w:t>
      </w:r>
      <w:r>
        <w:rPr>
          <w:position w:val="6"/>
          <w:sz w:val="10"/>
        </w:rPr>
        <w:tab/>
      </w:r>
      <w:r>
        <w:rPr>
          <w:i/>
          <w:sz w:val="16"/>
        </w:rPr>
        <w:t xml:space="preserve">Cfr. </w:t>
      </w:r>
      <w:r>
        <w:rPr>
          <w:sz w:val="16"/>
        </w:rPr>
        <w:t>Examen Pericial de la Secretaría de Seguridad Pública de 8 de enero de 1999 (expediente de prueba, folios 59 a</w:t>
      </w:r>
      <w:r>
        <w:rPr>
          <w:spacing w:val="-4"/>
          <w:sz w:val="16"/>
        </w:rPr>
        <w:t xml:space="preserve"> </w:t>
      </w:r>
      <w:r>
        <w:rPr>
          <w:sz w:val="16"/>
        </w:rPr>
        <w:t>63).</w:t>
      </w:r>
    </w:p>
    <w:p w14:paraId="636201BE" w14:textId="77777777" w:rsidR="00467FCA" w:rsidRDefault="001B68EB">
      <w:pPr>
        <w:tabs>
          <w:tab w:val="left" w:pos="839"/>
        </w:tabs>
        <w:ind w:left="120" w:right="117" w:hanging="1"/>
        <w:jc w:val="both"/>
        <w:rPr>
          <w:sz w:val="16"/>
        </w:rPr>
      </w:pPr>
      <w:bookmarkStart w:id="184" w:name="_bookmark156"/>
      <w:bookmarkEnd w:id="184"/>
      <w:r>
        <w:rPr>
          <w:position w:val="6"/>
          <w:sz w:val="10"/>
        </w:rPr>
        <w:t>130</w:t>
      </w:r>
      <w:r>
        <w:rPr>
          <w:position w:val="6"/>
          <w:sz w:val="10"/>
        </w:rPr>
        <w:tab/>
      </w:r>
      <w:r>
        <w:rPr>
          <w:i/>
          <w:sz w:val="16"/>
        </w:rPr>
        <w:t xml:space="preserve">Cfr. </w:t>
      </w:r>
      <w:r>
        <w:rPr>
          <w:sz w:val="16"/>
        </w:rPr>
        <w:t>Decisión de procedimiento administrativo del Ministerio del Ejército de 2 de diciembre de 1994 (expediente de prueba, folio</w:t>
      </w:r>
      <w:r>
        <w:rPr>
          <w:spacing w:val="-6"/>
          <w:sz w:val="16"/>
        </w:rPr>
        <w:t xml:space="preserve"> </w:t>
      </w:r>
      <w:r>
        <w:rPr>
          <w:sz w:val="16"/>
        </w:rPr>
        <w:t>53).</w:t>
      </w:r>
    </w:p>
    <w:p w14:paraId="41E9D0E8" w14:textId="77777777" w:rsidR="00467FCA" w:rsidRDefault="001B68EB">
      <w:pPr>
        <w:tabs>
          <w:tab w:val="left" w:pos="839"/>
        </w:tabs>
        <w:ind w:left="118" w:right="116" w:firstLine="1"/>
        <w:jc w:val="both"/>
        <w:rPr>
          <w:sz w:val="16"/>
        </w:rPr>
      </w:pPr>
      <w:bookmarkStart w:id="185" w:name="_bookmark157"/>
      <w:bookmarkEnd w:id="185"/>
      <w:r>
        <w:rPr>
          <w:position w:val="6"/>
          <w:sz w:val="10"/>
        </w:rPr>
        <w:t>13</w:t>
      </w:r>
      <w:r>
        <w:rPr>
          <w:position w:val="6"/>
          <w:sz w:val="10"/>
        </w:rPr>
        <w:t>1</w:t>
      </w:r>
      <w:r>
        <w:rPr>
          <w:position w:val="6"/>
          <w:sz w:val="10"/>
        </w:rPr>
        <w:tab/>
      </w:r>
      <w:r>
        <w:rPr>
          <w:i/>
          <w:sz w:val="16"/>
        </w:rPr>
        <w:t>Cfr</w:t>
      </w:r>
      <w:r>
        <w:rPr>
          <w:sz w:val="16"/>
        </w:rPr>
        <w:t>.</w:t>
      </w:r>
      <w:r>
        <w:rPr>
          <w:spacing w:val="-6"/>
          <w:sz w:val="16"/>
        </w:rPr>
        <w:t xml:space="preserve"> </w:t>
      </w:r>
      <w:r>
        <w:rPr>
          <w:sz w:val="16"/>
        </w:rPr>
        <w:t>Oficios</w:t>
      </w:r>
      <w:r>
        <w:rPr>
          <w:spacing w:val="-7"/>
          <w:sz w:val="16"/>
        </w:rPr>
        <w:t xml:space="preserve"> </w:t>
      </w:r>
      <w:r>
        <w:rPr>
          <w:sz w:val="16"/>
        </w:rPr>
        <w:t>No.</w:t>
      </w:r>
      <w:r>
        <w:rPr>
          <w:spacing w:val="-8"/>
          <w:sz w:val="16"/>
        </w:rPr>
        <w:t xml:space="preserve"> </w:t>
      </w:r>
      <w:r>
        <w:rPr>
          <w:sz w:val="16"/>
        </w:rPr>
        <w:t>592-SFPC/6</w:t>
      </w:r>
      <w:r>
        <w:rPr>
          <w:spacing w:val="-9"/>
          <w:sz w:val="16"/>
        </w:rPr>
        <w:t xml:space="preserve"> </w:t>
      </w:r>
      <w:r>
        <w:rPr>
          <w:sz w:val="16"/>
        </w:rPr>
        <w:t>y</w:t>
      </w:r>
      <w:r>
        <w:rPr>
          <w:spacing w:val="-7"/>
          <w:sz w:val="16"/>
        </w:rPr>
        <w:t xml:space="preserve"> </w:t>
      </w:r>
      <w:r>
        <w:rPr>
          <w:sz w:val="16"/>
        </w:rPr>
        <w:t>612-SFPC/6</w:t>
      </w:r>
      <w:r>
        <w:rPr>
          <w:spacing w:val="-5"/>
          <w:sz w:val="16"/>
        </w:rPr>
        <w:t xml:space="preserve"> </w:t>
      </w:r>
      <w:r>
        <w:rPr>
          <w:sz w:val="16"/>
        </w:rPr>
        <w:t>y</w:t>
      </w:r>
      <w:r>
        <w:rPr>
          <w:spacing w:val="-7"/>
          <w:sz w:val="16"/>
        </w:rPr>
        <w:t xml:space="preserve"> </w:t>
      </w:r>
      <w:r>
        <w:rPr>
          <w:sz w:val="16"/>
        </w:rPr>
        <w:t>Portaría</w:t>
      </w:r>
      <w:r>
        <w:rPr>
          <w:spacing w:val="-8"/>
          <w:sz w:val="16"/>
        </w:rPr>
        <w:t xml:space="preserve"> </w:t>
      </w:r>
      <w:r>
        <w:rPr>
          <w:sz w:val="16"/>
        </w:rPr>
        <w:t>No.</w:t>
      </w:r>
      <w:r>
        <w:rPr>
          <w:spacing w:val="-8"/>
          <w:sz w:val="16"/>
        </w:rPr>
        <w:t xml:space="preserve"> </w:t>
      </w:r>
      <w:r>
        <w:rPr>
          <w:sz w:val="16"/>
        </w:rPr>
        <w:t>13/DMB</w:t>
      </w:r>
      <w:r>
        <w:rPr>
          <w:spacing w:val="-7"/>
          <w:sz w:val="16"/>
        </w:rPr>
        <w:t xml:space="preserve"> </w:t>
      </w:r>
      <w:r>
        <w:rPr>
          <w:sz w:val="16"/>
        </w:rPr>
        <w:t>de</w:t>
      </w:r>
      <w:r>
        <w:rPr>
          <w:spacing w:val="-7"/>
          <w:sz w:val="16"/>
        </w:rPr>
        <w:t xml:space="preserve"> </w:t>
      </w:r>
      <w:r>
        <w:rPr>
          <w:sz w:val="16"/>
        </w:rPr>
        <w:t>1999.</w:t>
      </w:r>
      <w:r>
        <w:rPr>
          <w:spacing w:val="-7"/>
          <w:sz w:val="16"/>
        </w:rPr>
        <w:t xml:space="preserve"> </w:t>
      </w:r>
      <w:r>
        <w:rPr>
          <w:sz w:val="16"/>
        </w:rPr>
        <w:t>(expediente</w:t>
      </w:r>
      <w:r>
        <w:rPr>
          <w:spacing w:val="-7"/>
          <w:sz w:val="16"/>
        </w:rPr>
        <w:t xml:space="preserve"> </w:t>
      </w:r>
      <w:r>
        <w:rPr>
          <w:sz w:val="16"/>
        </w:rPr>
        <w:t>de</w:t>
      </w:r>
      <w:r>
        <w:rPr>
          <w:spacing w:val="-10"/>
          <w:sz w:val="16"/>
        </w:rPr>
        <w:t xml:space="preserve"> </w:t>
      </w:r>
      <w:r>
        <w:rPr>
          <w:sz w:val="16"/>
        </w:rPr>
        <w:t>prueba,</w:t>
      </w:r>
      <w:r>
        <w:rPr>
          <w:spacing w:val="-6"/>
          <w:sz w:val="16"/>
        </w:rPr>
        <w:t xml:space="preserve"> </w:t>
      </w:r>
      <w:r>
        <w:rPr>
          <w:sz w:val="16"/>
        </w:rPr>
        <w:t>folios</w:t>
      </w:r>
      <w:r>
        <w:rPr>
          <w:spacing w:val="-7"/>
          <w:sz w:val="16"/>
        </w:rPr>
        <w:t xml:space="preserve"> </w:t>
      </w:r>
      <w:r>
        <w:rPr>
          <w:sz w:val="16"/>
        </w:rPr>
        <w:t>50 a</w:t>
      </w:r>
      <w:r>
        <w:rPr>
          <w:spacing w:val="-1"/>
          <w:sz w:val="16"/>
        </w:rPr>
        <w:t xml:space="preserve"> </w:t>
      </w:r>
      <w:r>
        <w:rPr>
          <w:sz w:val="16"/>
        </w:rPr>
        <w:t>54).</w:t>
      </w:r>
    </w:p>
    <w:p w14:paraId="420029ED" w14:textId="77777777" w:rsidR="00467FCA" w:rsidRDefault="001B68EB">
      <w:pPr>
        <w:tabs>
          <w:tab w:val="left" w:pos="839"/>
        </w:tabs>
        <w:ind w:left="120"/>
        <w:jc w:val="both"/>
        <w:rPr>
          <w:i/>
          <w:sz w:val="16"/>
        </w:rPr>
      </w:pPr>
      <w:bookmarkStart w:id="186" w:name="_bookmark158"/>
      <w:bookmarkEnd w:id="186"/>
      <w:r>
        <w:rPr>
          <w:position w:val="6"/>
          <w:sz w:val="10"/>
        </w:rPr>
        <w:t>132</w:t>
      </w:r>
      <w:r>
        <w:rPr>
          <w:position w:val="6"/>
          <w:sz w:val="10"/>
        </w:rPr>
        <w:tab/>
      </w:r>
      <w:r>
        <w:rPr>
          <w:i/>
          <w:sz w:val="16"/>
        </w:rPr>
        <w:t xml:space="preserve">Cfr. </w:t>
      </w:r>
      <w:r>
        <w:rPr>
          <w:sz w:val="16"/>
        </w:rPr>
        <w:t>Sentencia del Juzgado de Trabajo de Santo Antônio de Jesus,</w:t>
      </w:r>
      <w:r>
        <w:rPr>
          <w:spacing w:val="-11"/>
          <w:sz w:val="16"/>
        </w:rPr>
        <w:t xml:space="preserve"> </w:t>
      </w:r>
      <w:r>
        <w:rPr>
          <w:i/>
          <w:sz w:val="16"/>
        </w:rPr>
        <w:t>supra.</w:t>
      </w:r>
    </w:p>
    <w:p w14:paraId="1B55342E" w14:textId="77777777" w:rsidR="00467FCA" w:rsidRDefault="00467FCA">
      <w:pPr>
        <w:jc w:val="both"/>
        <w:rPr>
          <w:sz w:val="16"/>
        </w:rPr>
        <w:sectPr w:rsidR="00467FCA">
          <w:pgSz w:w="12240" w:h="15840"/>
          <w:pgMar w:top="1360" w:right="1320" w:bottom="1220" w:left="1320" w:header="0" w:footer="1037" w:gutter="0"/>
          <w:cols w:space="720"/>
        </w:sectPr>
      </w:pPr>
    </w:p>
    <w:p w14:paraId="2EBF7C57" w14:textId="77777777" w:rsidR="00467FCA" w:rsidRDefault="001B68EB">
      <w:pPr>
        <w:pStyle w:val="Ttulo2"/>
        <w:numPr>
          <w:ilvl w:val="1"/>
          <w:numId w:val="44"/>
        </w:numPr>
        <w:tabs>
          <w:tab w:val="left" w:pos="1423"/>
          <w:tab w:val="left" w:pos="1424"/>
        </w:tabs>
        <w:spacing w:before="80"/>
      </w:pPr>
      <w:bookmarkStart w:id="187" w:name="D.1___Proceso_Penal"/>
      <w:bookmarkStart w:id="188" w:name="_bookmark159"/>
      <w:bookmarkEnd w:id="187"/>
      <w:bookmarkEnd w:id="188"/>
      <w:r>
        <w:t>Proceso</w:t>
      </w:r>
      <w:r>
        <w:rPr>
          <w:spacing w:val="-2"/>
        </w:rPr>
        <w:t xml:space="preserve"> </w:t>
      </w:r>
      <w:r>
        <w:t>Penal</w:t>
      </w:r>
    </w:p>
    <w:p w14:paraId="0311CEDB" w14:textId="77777777" w:rsidR="00467FCA" w:rsidRDefault="00467FCA">
      <w:pPr>
        <w:pStyle w:val="Textoindependiente"/>
        <w:spacing w:before="1"/>
        <w:rPr>
          <w:b/>
          <w:i/>
        </w:rPr>
      </w:pPr>
    </w:p>
    <w:p w14:paraId="5D395257" w14:textId="77777777" w:rsidR="00467FCA" w:rsidRDefault="001B68EB">
      <w:pPr>
        <w:pStyle w:val="Prrafodelista"/>
        <w:numPr>
          <w:ilvl w:val="0"/>
          <w:numId w:val="50"/>
        </w:numPr>
        <w:tabs>
          <w:tab w:val="left" w:pos="687"/>
        </w:tabs>
        <w:ind w:left="119" w:right="118" w:firstLine="0"/>
        <w:jc w:val="both"/>
        <w:rPr>
          <w:sz w:val="20"/>
        </w:rPr>
      </w:pPr>
      <w:r>
        <w:rPr>
          <w:sz w:val="20"/>
        </w:rPr>
        <w:t>Luego</w:t>
      </w:r>
      <w:r>
        <w:rPr>
          <w:spacing w:val="-19"/>
          <w:sz w:val="20"/>
        </w:rPr>
        <w:t xml:space="preserve"> </w:t>
      </w:r>
      <w:r>
        <w:rPr>
          <w:sz w:val="20"/>
        </w:rPr>
        <w:t>de</w:t>
      </w:r>
      <w:r>
        <w:rPr>
          <w:spacing w:val="-19"/>
          <w:sz w:val="20"/>
        </w:rPr>
        <w:t xml:space="preserve"> </w:t>
      </w:r>
      <w:r>
        <w:rPr>
          <w:sz w:val="20"/>
        </w:rPr>
        <w:t>la</w:t>
      </w:r>
      <w:r>
        <w:rPr>
          <w:spacing w:val="-17"/>
          <w:sz w:val="20"/>
        </w:rPr>
        <w:t xml:space="preserve"> </w:t>
      </w:r>
      <w:r>
        <w:rPr>
          <w:sz w:val="20"/>
        </w:rPr>
        <w:t>explosión</w:t>
      </w:r>
      <w:r>
        <w:rPr>
          <w:spacing w:val="-16"/>
          <w:sz w:val="20"/>
        </w:rPr>
        <w:t xml:space="preserve"> </w:t>
      </w:r>
      <w:r>
        <w:rPr>
          <w:sz w:val="20"/>
        </w:rPr>
        <w:t>del</w:t>
      </w:r>
      <w:r>
        <w:rPr>
          <w:spacing w:val="-17"/>
          <w:sz w:val="20"/>
        </w:rPr>
        <w:t xml:space="preserve"> </w:t>
      </w:r>
      <w:r>
        <w:rPr>
          <w:sz w:val="20"/>
        </w:rPr>
        <w:t>11</w:t>
      </w:r>
      <w:r>
        <w:rPr>
          <w:spacing w:val="-17"/>
          <w:sz w:val="20"/>
        </w:rPr>
        <w:t xml:space="preserve"> </w:t>
      </w:r>
      <w:r>
        <w:rPr>
          <w:sz w:val="20"/>
        </w:rPr>
        <w:t>de</w:t>
      </w:r>
      <w:r>
        <w:rPr>
          <w:spacing w:val="-18"/>
          <w:sz w:val="20"/>
        </w:rPr>
        <w:t xml:space="preserve"> </w:t>
      </w:r>
      <w:r>
        <w:rPr>
          <w:sz w:val="20"/>
        </w:rPr>
        <w:t>diciembre</w:t>
      </w:r>
      <w:r>
        <w:rPr>
          <w:spacing w:val="-19"/>
          <w:sz w:val="20"/>
        </w:rPr>
        <w:t xml:space="preserve"> </w:t>
      </w:r>
      <w:r>
        <w:rPr>
          <w:sz w:val="20"/>
        </w:rPr>
        <w:t>de</w:t>
      </w:r>
      <w:r>
        <w:rPr>
          <w:spacing w:val="-19"/>
          <w:sz w:val="20"/>
        </w:rPr>
        <w:t xml:space="preserve"> </w:t>
      </w:r>
      <w:r>
        <w:rPr>
          <w:sz w:val="20"/>
        </w:rPr>
        <w:t>1998,</w:t>
      </w:r>
      <w:r>
        <w:rPr>
          <w:spacing w:val="-18"/>
          <w:sz w:val="20"/>
        </w:rPr>
        <w:t xml:space="preserve"> </w:t>
      </w:r>
      <w:r>
        <w:rPr>
          <w:sz w:val="20"/>
        </w:rPr>
        <w:t>la</w:t>
      </w:r>
      <w:r>
        <w:rPr>
          <w:spacing w:val="-17"/>
          <w:sz w:val="20"/>
        </w:rPr>
        <w:t xml:space="preserve"> </w:t>
      </w:r>
      <w:r>
        <w:rPr>
          <w:sz w:val="20"/>
        </w:rPr>
        <w:t>policía</w:t>
      </w:r>
      <w:r>
        <w:rPr>
          <w:spacing w:val="-16"/>
          <w:sz w:val="20"/>
        </w:rPr>
        <w:t xml:space="preserve"> </w:t>
      </w:r>
      <w:r>
        <w:rPr>
          <w:sz w:val="20"/>
        </w:rPr>
        <w:t>civil</w:t>
      </w:r>
      <w:r>
        <w:rPr>
          <w:spacing w:val="-17"/>
          <w:sz w:val="20"/>
        </w:rPr>
        <w:t xml:space="preserve"> </w:t>
      </w:r>
      <w:r>
        <w:rPr>
          <w:sz w:val="20"/>
        </w:rPr>
        <w:t>inició</w:t>
      </w:r>
      <w:r>
        <w:rPr>
          <w:spacing w:val="-19"/>
          <w:sz w:val="20"/>
        </w:rPr>
        <w:t xml:space="preserve"> </w:t>
      </w:r>
      <w:r>
        <w:rPr>
          <w:sz w:val="20"/>
        </w:rPr>
        <w:t>una</w:t>
      </w:r>
      <w:r>
        <w:rPr>
          <w:spacing w:val="-15"/>
          <w:sz w:val="20"/>
        </w:rPr>
        <w:t xml:space="preserve"> </w:t>
      </w:r>
      <w:r>
        <w:rPr>
          <w:sz w:val="20"/>
        </w:rPr>
        <w:t>investigación de</w:t>
      </w:r>
      <w:r>
        <w:rPr>
          <w:spacing w:val="-4"/>
          <w:sz w:val="20"/>
        </w:rPr>
        <w:t xml:space="preserve"> </w:t>
      </w:r>
      <w:r>
        <w:rPr>
          <w:sz w:val="20"/>
        </w:rPr>
        <w:t>oficio</w:t>
      </w:r>
      <w:r>
        <w:rPr>
          <w:spacing w:val="-3"/>
          <w:sz w:val="20"/>
        </w:rPr>
        <w:t xml:space="preserve"> </w:t>
      </w:r>
      <w:r>
        <w:rPr>
          <w:sz w:val="20"/>
        </w:rPr>
        <w:t>producto</w:t>
      </w:r>
      <w:r>
        <w:rPr>
          <w:spacing w:val="-3"/>
          <w:sz w:val="20"/>
        </w:rPr>
        <w:t xml:space="preserve"> </w:t>
      </w:r>
      <w:r>
        <w:rPr>
          <w:sz w:val="20"/>
        </w:rPr>
        <w:t>de</w:t>
      </w:r>
      <w:r>
        <w:rPr>
          <w:spacing w:val="-6"/>
          <w:sz w:val="20"/>
        </w:rPr>
        <w:t xml:space="preserve"> </w:t>
      </w:r>
      <w:r>
        <w:rPr>
          <w:sz w:val="20"/>
        </w:rPr>
        <w:t>la cual,</w:t>
      </w:r>
      <w:r>
        <w:rPr>
          <w:spacing w:val="-3"/>
          <w:sz w:val="20"/>
        </w:rPr>
        <w:t xml:space="preserve"> </w:t>
      </w:r>
      <w:r>
        <w:rPr>
          <w:sz w:val="20"/>
        </w:rPr>
        <w:t>el</w:t>
      </w:r>
      <w:r>
        <w:rPr>
          <w:spacing w:val="-4"/>
          <w:sz w:val="20"/>
        </w:rPr>
        <w:t xml:space="preserve"> </w:t>
      </w:r>
      <w:r>
        <w:rPr>
          <w:sz w:val="20"/>
        </w:rPr>
        <w:t>12</w:t>
      </w:r>
      <w:r>
        <w:rPr>
          <w:spacing w:val="-2"/>
          <w:sz w:val="20"/>
        </w:rPr>
        <w:t xml:space="preserve"> </w:t>
      </w:r>
      <w:r>
        <w:rPr>
          <w:sz w:val="20"/>
        </w:rPr>
        <w:t>de</w:t>
      </w:r>
      <w:r>
        <w:rPr>
          <w:spacing w:val="-6"/>
          <w:sz w:val="20"/>
        </w:rPr>
        <w:t xml:space="preserve"> </w:t>
      </w:r>
      <w:r>
        <w:rPr>
          <w:sz w:val="20"/>
        </w:rPr>
        <w:t>abril</w:t>
      </w:r>
      <w:r>
        <w:rPr>
          <w:spacing w:val="-4"/>
          <w:sz w:val="20"/>
        </w:rPr>
        <w:t xml:space="preserve"> </w:t>
      </w:r>
      <w:r>
        <w:rPr>
          <w:sz w:val="20"/>
        </w:rPr>
        <w:t>de</w:t>
      </w:r>
      <w:r>
        <w:rPr>
          <w:spacing w:val="-3"/>
          <w:sz w:val="20"/>
        </w:rPr>
        <w:t xml:space="preserve"> </w:t>
      </w:r>
      <w:r>
        <w:rPr>
          <w:sz w:val="20"/>
        </w:rPr>
        <w:t>1999,</w:t>
      </w:r>
      <w:r>
        <w:rPr>
          <w:spacing w:val="-3"/>
          <w:sz w:val="20"/>
        </w:rPr>
        <w:t xml:space="preserve"> </w:t>
      </w:r>
      <w:r>
        <w:rPr>
          <w:sz w:val="20"/>
        </w:rPr>
        <w:t>el</w:t>
      </w:r>
      <w:r>
        <w:rPr>
          <w:spacing w:val="-4"/>
          <w:sz w:val="20"/>
        </w:rPr>
        <w:t xml:space="preserve"> </w:t>
      </w:r>
      <w:r>
        <w:rPr>
          <w:sz w:val="20"/>
        </w:rPr>
        <w:t>Ministerio</w:t>
      </w:r>
      <w:r>
        <w:rPr>
          <w:spacing w:val="-3"/>
          <w:sz w:val="20"/>
        </w:rPr>
        <w:t xml:space="preserve"> </w:t>
      </w:r>
      <w:r>
        <w:rPr>
          <w:sz w:val="20"/>
        </w:rPr>
        <w:t>Público</w:t>
      </w:r>
      <w:r>
        <w:rPr>
          <w:spacing w:val="-6"/>
          <w:sz w:val="20"/>
        </w:rPr>
        <w:t xml:space="preserve"> </w:t>
      </w:r>
      <w:r>
        <w:rPr>
          <w:sz w:val="20"/>
        </w:rPr>
        <w:t>del</w:t>
      </w:r>
      <w:r>
        <w:rPr>
          <w:spacing w:val="-2"/>
          <w:sz w:val="20"/>
        </w:rPr>
        <w:t xml:space="preserve"> </w:t>
      </w:r>
      <w:r>
        <w:rPr>
          <w:sz w:val="20"/>
        </w:rPr>
        <w:t>Estado</w:t>
      </w:r>
      <w:r>
        <w:rPr>
          <w:spacing w:val="-3"/>
          <w:sz w:val="20"/>
        </w:rPr>
        <w:t xml:space="preserve"> </w:t>
      </w:r>
      <w:r>
        <w:rPr>
          <w:sz w:val="20"/>
        </w:rPr>
        <w:t>de</w:t>
      </w:r>
      <w:r>
        <w:rPr>
          <w:spacing w:val="-3"/>
          <w:sz w:val="20"/>
        </w:rPr>
        <w:t xml:space="preserve"> </w:t>
      </w:r>
      <w:r>
        <w:rPr>
          <w:sz w:val="20"/>
        </w:rPr>
        <w:t>Bahia presentó</w:t>
      </w:r>
      <w:r>
        <w:rPr>
          <w:spacing w:val="-5"/>
          <w:sz w:val="20"/>
        </w:rPr>
        <w:t xml:space="preserve"> </w:t>
      </w:r>
      <w:r>
        <w:rPr>
          <w:sz w:val="20"/>
        </w:rPr>
        <w:t>una</w:t>
      </w:r>
      <w:r>
        <w:rPr>
          <w:spacing w:val="-5"/>
          <w:sz w:val="20"/>
        </w:rPr>
        <w:t xml:space="preserve"> </w:t>
      </w:r>
      <w:r>
        <w:rPr>
          <w:sz w:val="20"/>
        </w:rPr>
        <w:t>acusación</w:t>
      </w:r>
      <w:r>
        <w:rPr>
          <w:spacing w:val="-2"/>
          <w:sz w:val="20"/>
        </w:rPr>
        <w:t xml:space="preserve"> </w:t>
      </w:r>
      <w:r>
        <w:rPr>
          <w:sz w:val="20"/>
        </w:rPr>
        <w:t>formal</w:t>
      </w:r>
      <w:r>
        <w:rPr>
          <w:spacing w:val="-5"/>
          <w:sz w:val="20"/>
        </w:rPr>
        <w:t xml:space="preserve"> </w:t>
      </w:r>
      <w:r>
        <w:rPr>
          <w:sz w:val="20"/>
        </w:rPr>
        <w:t>por</w:t>
      </w:r>
      <w:r>
        <w:rPr>
          <w:spacing w:val="-4"/>
          <w:sz w:val="20"/>
        </w:rPr>
        <w:t xml:space="preserve"> </w:t>
      </w:r>
      <w:r>
        <w:rPr>
          <w:sz w:val="20"/>
        </w:rPr>
        <w:t>los</w:t>
      </w:r>
      <w:r>
        <w:rPr>
          <w:spacing w:val="-4"/>
          <w:sz w:val="20"/>
        </w:rPr>
        <w:t xml:space="preserve"> </w:t>
      </w:r>
      <w:r>
        <w:rPr>
          <w:sz w:val="20"/>
        </w:rPr>
        <w:t>crímenes</w:t>
      </w:r>
      <w:r>
        <w:rPr>
          <w:spacing w:val="-4"/>
          <w:sz w:val="20"/>
        </w:rPr>
        <w:t xml:space="preserve"> </w:t>
      </w:r>
      <w:r>
        <w:rPr>
          <w:sz w:val="20"/>
        </w:rPr>
        <w:t>de</w:t>
      </w:r>
      <w:r>
        <w:rPr>
          <w:spacing w:val="-7"/>
          <w:sz w:val="20"/>
        </w:rPr>
        <w:t xml:space="preserve"> </w:t>
      </w:r>
      <w:r>
        <w:rPr>
          <w:sz w:val="20"/>
        </w:rPr>
        <w:t>homicidio</w:t>
      </w:r>
      <w:r>
        <w:rPr>
          <w:spacing w:val="-4"/>
          <w:sz w:val="20"/>
        </w:rPr>
        <w:t xml:space="preserve"> </w:t>
      </w:r>
      <w:r>
        <w:rPr>
          <w:sz w:val="20"/>
        </w:rPr>
        <w:t>doloso</w:t>
      </w:r>
      <w:r>
        <w:rPr>
          <w:spacing w:val="-4"/>
          <w:sz w:val="20"/>
        </w:rPr>
        <w:t xml:space="preserve"> </w:t>
      </w:r>
      <w:r>
        <w:rPr>
          <w:sz w:val="20"/>
        </w:rPr>
        <w:t>y</w:t>
      </w:r>
      <w:r>
        <w:rPr>
          <w:spacing w:val="-4"/>
          <w:sz w:val="20"/>
        </w:rPr>
        <w:t xml:space="preserve"> </w:t>
      </w:r>
      <w:r>
        <w:rPr>
          <w:sz w:val="20"/>
        </w:rPr>
        <w:t>tentativa</w:t>
      </w:r>
      <w:r>
        <w:rPr>
          <w:spacing w:val="-5"/>
          <w:sz w:val="20"/>
        </w:rPr>
        <w:t xml:space="preserve"> </w:t>
      </w:r>
      <w:r>
        <w:rPr>
          <w:sz w:val="20"/>
        </w:rPr>
        <w:t>de</w:t>
      </w:r>
      <w:r>
        <w:rPr>
          <w:spacing w:val="-4"/>
          <w:sz w:val="20"/>
        </w:rPr>
        <w:t xml:space="preserve"> </w:t>
      </w:r>
      <w:r>
        <w:rPr>
          <w:sz w:val="20"/>
        </w:rPr>
        <w:t>homicidio contra el dueño de la fábrica Mário Fróes Prazeres Bastos, su padre Osvaldo Prazeres Bastos y seis de las personas que ejercían funciones administrativas en la</w:t>
      </w:r>
      <w:r>
        <w:rPr>
          <w:spacing w:val="-14"/>
          <w:sz w:val="20"/>
        </w:rPr>
        <w:t xml:space="preserve"> </w:t>
      </w:r>
      <w:r>
        <w:rPr>
          <w:sz w:val="20"/>
        </w:rPr>
        <w:t>fábrica</w:t>
      </w:r>
      <w:hyperlink w:anchor="_bookmark160" w:history="1">
        <w:r>
          <w:rPr>
            <w:position w:val="7"/>
            <w:sz w:val="13"/>
          </w:rPr>
          <w:t>133</w:t>
        </w:r>
      </w:hyperlink>
      <w:r>
        <w:rPr>
          <w:sz w:val="20"/>
        </w:rPr>
        <w:t>.</w:t>
      </w:r>
    </w:p>
    <w:p w14:paraId="7B18C8F1" w14:textId="77777777" w:rsidR="00467FCA" w:rsidRDefault="00467FCA">
      <w:pPr>
        <w:pStyle w:val="Textoindependiente"/>
        <w:spacing w:before="11"/>
        <w:rPr>
          <w:sz w:val="19"/>
        </w:rPr>
      </w:pPr>
    </w:p>
    <w:p w14:paraId="00E1C7A1" w14:textId="77777777" w:rsidR="00467FCA" w:rsidRDefault="001B68EB">
      <w:pPr>
        <w:pStyle w:val="Prrafodelista"/>
        <w:numPr>
          <w:ilvl w:val="0"/>
          <w:numId w:val="50"/>
        </w:numPr>
        <w:tabs>
          <w:tab w:val="left" w:pos="687"/>
        </w:tabs>
        <w:ind w:left="119" w:right="117" w:firstLine="0"/>
        <w:jc w:val="both"/>
        <w:rPr>
          <w:sz w:val="20"/>
        </w:rPr>
      </w:pPr>
      <w:r>
        <w:rPr>
          <w:sz w:val="20"/>
        </w:rPr>
        <w:t>El 9 de noviembre de 2004, el Juzgado de Primera Instancia Penal de Santo Antônio</w:t>
      </w:r>
      <w:r>
        <w:rPr>
          <w:spacing w:val="-47"/>
          <w:sz w:val="20"/>
        </w:rPr>
        <w:t xml:space="preserve"> </w:t>
      </w:r>
      <w:r>
        <w:rPr>
          <w:sz w:val="20"/>
        </w:rPr>
        <w:t>de Jesus,</w:t>
      </w:r>
      <w:r>
        <w:rPr>
          <w:spacing w:val="-8"/>
          <w:sz w:val="20"/>
        </w:rPr>
        <w:t xml:space="preserve"> </w:t>
      </w:r>
      <w:r>
        <w:rPr>
          <w:sz w:val="20"/>
        </w:rPr>
        <w:t>al</w:t>
      </w:r>
      <w:r>
        <w:rPr>
          <w:spacing w:val="-6"/>
          <w:sz w:val="20"/>
        </w:rPr>
        <w:t xml:space="preserve"> </w:t>
      </w:r>
      <w:r>
        <w:rPr>
          <w:sz w:val="20"/>
        </w:rPr>
        <w:t>encontrar</w:t>
      </w:r>
      <w:r>
        <w:rPr>
          <w:spacing w:val="-8"/>
          <w:sz w:val="20"/>
        </w:rPr>
        <w:t xml:space="preserve"> </w:t>
      </w:r>
      <w:r>
        <w:rPr>
          <w:sz w:val="20"/>
        </w:rPr>
        <w:t>indicios</w:t>
      </w:r>
      <w:r>
        <w:rPr>
          <w:spacing w:val="-7"/>
          <w:sz w:val="20"/>
        </w:rPr>
        <w:t xml:space="preserve"> </w:t>
      </w:r>
      <w:r>
        <w:rPr>
          <w:sz w:val="20"/>
        </w:rPr>
        <w:t>suficientes</w:t>
      </w:r>
      <w:r>
        <w:rPr>
          <w:spacing w:val="-7"/>
          <w:sz w:val="20"/>
        </w:rPr>
        <w:t xml:space="preserve"> </w:t>
      </w:r>
      <w:r>
        <w:rPr>
          <w:sz w:val="20"/>
        </w:rPr>
        <w:t>sobre</w:t>
      </w:r>
      <w:r>
        <w:rPr>
          <w:spacing w:val="-10"/>
          <w:sz w:val="20"/>
        </w:rPr>
        <w:t xml:space="preserve"> </w:t>
      </w:r>
      <w:r>
        <w:rPr>
          <w:sz w:val="20"/>
        </w:rPr>
        <w:t>la</w:t>
      </w:r>
      <w:r>
        <w:rPr>
          <w:spacing w:val="-5"/>
          <w:sz w:val="20"/>
        </w:rPr>
        <w:t xml:space="preserve"> </w:t>
      </w:r>
      <w:r>
        <w:rPr>
          <w:sz w:val="20"/>
        </w:rPr>
        <w:t>posible</w:t>
      </w:r>
      <w:r>
        <w:rPr>
          <w:spacing w:val="-8"/>
          <w:sz w:val="20"/>
        </w:rPr>
        <w:t xml:space="preserve"> </w:t>
      </w:r>
      <w:r>
        <w:rPr>
          <w:sz w:val="20"/>
        </w:rPr>
        <w:t>comisión</w:t>
      </w:r>
      <w:r>
        <w:rPr>
          <w:spacing w:val="-5"/>
          <w:sz w:val="20"/>
        </w:rPr>
        <w:t xml:space="preserve"> </w:t>
      </w:r>
      <w:r>
        <w:rPr>
          <w:sz w:val="20"/>
        </w:rPr>
        <w:t>de</w:t>
      </w:r>
      <w:r>
        <w:rPr>
          <w:spacing w:val="-8"/>
          <w:sz w:val="20"/>
        </w:rPr>
        <w:t xml:space="preserve"> </w:t>
      </w:r>
      <w:r>
        <w:rPr>
          <w:sz w:val="20"/>
        </w:rPr>
        <w:t>un</w:t>
      </w:r>
      <w:r>
        <w:rPr>
          <w:spacing w:val="-6"/>
          <w:sz w:val="20"/>
        </w:rPr>
        <w:t xml:space="preserve"> </w:t>
      </w:r>
      <w:r>
        <w:rPr>
          <w:sz w:val="20"/>
        </w:rPr>
        <w:t>delito,</w:t>
      </w:r>
      <w:r>
        <w:rPr>
          <w:spacing w:val="-7"/>
          <w:sz w:val="20"/>
        </w:rPr>
        <w:t xml:space="preserve"> </w:t>
      </w:r>
      <w:r>
        <w:rPr>
          <w:sz w:val="20"/>
        </w:rPr>
        <w:t>resolvió</w:t>
      </w:r>
      <w:r>
        <w:rPr>
          <w:spacing w:val="-8"/>
          <w:sz w:val="20"/>
        </w:rPr>
        <w:t xml:space="preserve"> </w:t>
      </w:r>
      <w:r>
        <w:rPr>
          <w:sz w:val="20"/>
        </w:rPr>
        <w:t>que</w:t>
      </w:r>
      <w:r>
        <w:rPr>
          <w:spacing w:val="-8"/>
          <w:sz w:val="20"/>
        </w:rPr>
        <w:t xml:space="preserve"> </w:t>
      </w:r>
      <w:r>
        <w:rPr>
          <w:sz w:val="20"/>
        </w:rPr>
        <w:t>los acusados</w:t>
      </w:r>
      <w:r>
        <w:rPr>
          <w:spacing w:val="-5"/>
          <w:sz w:val="20"/>
        </w:rPr>
        <w:t xml:space="preserve"> </w:t>
      </w:r>
      <w:r>
        <w:rPr>
          <w:sz w:val="20"/>
        </w:rPr>
        <w:t>debían</w:t>
      </w:r>
      <w:r>
        <w:rPr>
          <w:spacing w:val="-3"/>
          <w:sz w:val="20"/>
        </w:rPr>
        <w:t xml:space="preserve"> </w:t>
      </w:r>
      <w:r>
        <w:rPr>
          <w:sz w:val="20"/>
        </w:rPr>
        <w:t>ser</w:t>
      </w:r>
      <w:r>
        <w:rPr>
          <w:spacing w:val="-3"/>
          <w:sz w:val="20"/>
        </w:rPr>
        <w:t xml:space="preserve"> </w:t>
      </w:r>
      <w:r>
        <w:rPr>
          <w:sz w:val="20"/>
        </w:rPr>
        <w:t>sometidos</w:t>
      </w:r>
      <w:r>
        <w:rPr>
          <w:spacing w:val="-3"/>
          <w:sz w:val="20"/>
        </w:rPr>
        <w:t xml:space="preserve"> </w:t>
      </w:r>
      <w:r>
        <w:rPr>
          <w:sz w:val="20"/>
        </w:rPr>
        <w:t>al</w:t>
      </w:r>
      <w:r>
        <w:rPr>
          <w:spacing w:val="-4"/>
          <w:sz w:val="20"/>
        </w:rPr>
        <w:t xml:space="preserve"> </w:t>
      </w:r>
      <w:r>
        <w:rPr>
          <w:sz w:val="20"/>
        </w:rPr>
        <w:t>Tribunal</w:t>
      </w:r>
      <w:r>
        <w:rPr>
          <w:spacing w:val="-4"/>
          <w:sz w:val="20"/>
        </w:rPr>
        <w:t xml:space="preserve"> </w:t>
      </w:r>
      <w:r>
        <w:rPr>
          <w:sz w:val="20"/>
        </w:rPr>
        <w:t>de</w:t>
      </w:r>
      <w:r>
        <w:rPr>
          <w:spacing w:val="-6"/>
          <w:sz w:val="20"/>
        </w:rPr>
        <w:t xml:space="preserve"> </w:t>
      </w:r>
      <w:r>
        <w:rPr>
          <w:sz w:val="20"/>
        </w:rPr>
        <w:t>Jurados</w:t>
      </w:r>
      <w:hyperlink w:anchor="_bookmark161" w:history="1">
        <w:r>
          <w:rPr>
            <w:position w:val="7"/>
            <w:sz w:val="13"/>
          </w:rPr>
          <w:t>134</w:t>
        </w:r>
      </w:hyperlink>
      <w:r>
        <w:rPr>
          <w:sz w:val="20"/>
        </w:rPr>
        <w:t>.</w:t>
      </w:r>
      <w:r>
        <w:rPr>
          <w:spacing w:val="-5"/>
          <w:sz w:val="20"/>
        </w:rPr>
        <w:t xml:space="preserve"> </w:t>
      </w:r>
      <w:r>
        <w:rPr>
          <w:sz w:val="20"/>
        </w:rPr>
        <w:t>El</w:t>
      </w:r>
      <w:r>
        <w:rPr>
          <w:spacing w:val="-4"/>
          <w:sz w:val="20"/>
        </w:rPr>
        <w:t xml:space="preserve"> </w:t>
      </w:r>
      <w:r>
        <w:rPr>
          <w:sz w:val="20"/>
        </w:rPr>
        <w:t>18</w:t>
      </w:r>
      <w:r>
        <w:rPr>
          <w:spacing w:val="-4"/>
          <w:sz w:val="20"/>
        </w:rPr>
        <w:t xml:space="preserve"> </w:t>
      </w:r>
      <w:r>
        <w:rPr>
          <w:sz w:val="20"/>
        </w:rPr>
        <w:t>de</w:t>
      </w:r>
      <w:r>
        <w:rPr>
          <w:spacing w:val="-5"/>
          <w:sz w:val="20"/>
        </w:rPr>
        <w:t xml:space="preserve"> </w:t>
      </w:r>
      <w:r>
        <w:rPr>
          <w:sz w:val="20"/>
        </w:rPr>
        <w:t>julio</w:t>
      </w:r>
      <w:r>
        <w:rPr>
          <w:spacing w:val="-6"/>
          <w:sz w:val="20"/>
        </w:rPr>
        <w:t xml:space="preserve"> </w:t>
      </w:r>
      <w:r>
        <w:rPr>
          <w:sz w:val="20"/>
        </w:rPr>
        <w:t>de</w:t>
      </w:r>
      <w:r>
        <w:rPr>
          <w:spacing w:val="-3"/>
          <w:sz w:val="20"/>
        </w:rPr>
        <w:t xml:space="preserve"> </w:t>
      </w:r>
      <w:r>
        <w:rPr>
          <w:sz w:val="20"/>
        </w:rPr>
        <w:t>2007,</w:t>
      </w:r>
      <w:r>
        <w:rPr>
          <w:spacing w:val="-3"/>
          <w:sz w:val="20"/>
        </w:rPr>
        <w:t xml:space="preserve"> </w:t>
      </w:r>
      <w:r>
        <w:rPr>
          <w:sz w:val="20"/>
        </w:rPr>
        <w:t>el</w:t>
      </w:r>
      <w:r>
        <w:rPr>
          <w:spacing w:val="-4"/>
          <w:sz w:val="20"/>
        </w:rPr>
        <w:t xml:space="preserve"> </w:t>
      </w:r>
      <w:r>
        <w:rPr>
          <w:sz w:val="20"/>
        </w:rPr>
        <w:t>Ministerio Público</w:t>
      </w:r>
      <w:r>
        <w:rPr>
          <w:spacing w:val="-10"/>
          <w:sz w:val="20"/>
        </w:rPr>
        <w:t xml:space="preserve"> </w:t>
      </w:r>
      <w:r>
        <w:rPr>
          <w:sz w:val="20"/>
        </w:rPr>
        <w:t>solicitó</w:t>
      </w:r>
      <w:r>
        <w:rPr>
          <w:spacing w:val="-9"/>
          <w:sz w:val="20"/>
        </w:rPr>
        <w:t xml:space="preserve"> </w:t>
      </w:r>
      <w:r>
        <w:rPr>
          <w:sz w:val="20"/>
        </w:rPr>
        <w:t>al</w:t>
      </w:r>
      <w:r>
        <w:rPr>
          <w:spacing w:val="-8"/>
          <w:sz w:val="20"/>
        </w:rPr>
        <w:t xml:space="preserve"> </w:t>
      </w:r>
      <w:r>
        <w:rPr>
          <w:sz w:val="20"/>
        </w:rPr>
        <w:t>Tribunal</w:t>
      </w:r>
      <w:r>
        <w:rPr>
          <w:spacing w:val="-8"/>
          <w:sz w:val="20"/>
        </w:rPr>
        <w:t xml:space="preserve"> </w:t>
      </w:r>
      <w:r>
        <w:rPr>
          <w:sz w:val="20"/>
        </w:rPr>
        <w:t>de</w:t>
      </w:r>
      <w:r>
        <w:rPr>
          <w:spacing w:val="-9"/>
          <w:sz w:val="20"/>
        </w:rPr>
        <w:t xml:space="preserve"> </w:t>
      </w:r>
      <w:r>
        <w:rPr>
          <w:sz w:val="20"/>
        </w:rPr>
        <w:t>Justicia</w:t>
      </w:r>
      <w:r>
        <w:rPr>
          <w:spacing w:val="-8"/>
          <w:sz w:val="20"/>
        </w:rPr>
        <w:t xml:space="preserve"> </w:t>
      </w:r>
      <w:r>
        <w:rPr>
          <w:sz w:val="20"/>
        </w:rPr>
        <w:t>de</w:t>
      </w:r>
      <w:r>
        <w:rPr>
          <w:spacing w:val="-9"/>
          <w:sz w:val="20"/>
        </w:rPr>
        <w:t xml:space="preserve"> </w:t>
      </w:r>
      <w:r>
        <w:rPr>
          <w:sz w:val="20"/>
        </w:rPr>
        <w:t>Bahia</w:t>
      </w:r>
      <w:r>
        <w:rPr>
          <w:spacing w:val="-8"/>
          <w:sz w:val="20"/>
        </w:rPr>
        <w:t xml:space="preserve"> </w:t>
      </w:r>
      <w:r>
        <w:rPr>
          <w:sz w:val="20"/>
        </w:rPr>
        <w:t>que</w:t>
      </w:r>
      <w:r>
        <w:rPr>
          <w:spacing w:val="-9"/>
          <w:sz w:val="20"/>
        </w:rPr>
        <w:t xml:space="preserve"> </w:t>
      </w:r>
      <w:r>
        <w:rPr>
          <w:sz w:val="20"/>
        </w:rPr>
        <w:t>trasladara</w:t>
      </w:r>
      <w:r>
        <w:rPr>
          <w:spacing w:val="-8"/>
          <w:sz w:val="20"/>
        </w:rPr>
        <w:t xml:space="preserve"> </w:t>
      </w:r>
      <w:r>
        <w:rPr>
          <w:sz w:val="20"/>
        </w:rPr>
        <w:t>el</w:t>
      </w:r>
      <w:r>
        <w:rPr>
          <w:spacing w:val="-7"/>
          <w:sz w:val="20"/>
        </w:rPr>
        <w:t xml:space="preserve"> </w:t>
      </w:r>
      <w:r>
        <w:rPr>
          <w:sz w:val="20"/>
        </w:rPr>
        <w:t>caso</w:t>
      </w:r>
      <w:r>
        <w:rPr>
          <w:spacing w:val="-9"/>
          <w:sz w:val="20"/>
        </w:rPr>
        <w:t xml:space="preserve"> </w:t>
      </w:r>
      <w:r>
        <w:rPr>
          <w:sz w:val="20"/>
        </w:rPr>
        <w:t>a</w:t>
      </w:r>
      <w:r>
        <w:rPr>
          <w:spacing w:val="-8"/>
          <w:sz w:val="20"/>
        </w:rPr>
        <w:t xml:space="preserve"> </w:t>
      </w:r>
      <w:r>
        <w:rPr>
          <w:sz w:val="20"/>
        </w:rPr>
        <w:t>la</w:t>
      </w:r>
      <w:r>
        <w:rPr>
          <w:spacing w:val="-8"/>
          <w:sz w:val="20"/>
        </w:rPr>
        <w:t xml:space="preserve"> </w:t>
      </w:r>
      <w:r>
        <w:rPr>
          <w:sz w:val="20"/>
        </w:rPr>
        <w:t>ciudad</w:t>
      </w:r>
      <w:r>
        <w:rPr>
          <w:spacing w:val="-7"/>
          <w:sz w:val="20"/>
        </w:rPr>
        <w:t xml:space="preserve"> </w:t>
      </w:r>
      <w:r>
        <w:rPr>
          <w:sz w:val="20"/>
        </w:rPr>
        <w:t>de</w:t>
      </w:r>
      <w:r>
        <w:rPr>
          <w:spacing w:val="-9"/>
          <w:sz w:val="20"/>
        </w:rPr>
        <w:t xml:space="preserve"> </w:t>
      </w:r>
      <w:r>
        <w:rPr>
          <w:sz w:val="20"/>
        </w:rPr>
        <w:t>Salvador, al</w:t>
      </w:r>
      <w:r>
        <w:rPr>
          <w:spacing w:val="-12"/>
          <w:sz w:val="20"/>
        </w:rPr>
        <w:t xml:space="preserve"> </w:t>
      </w:r>
      <w:r>
        <w:rPr>
          <w:sz w:val="20"/>
        </w:rPr>
        <w:t>considerar</w:t>
      </w:r>
      <w:r>
        <w:rPr>
          <w:spacing w:val="-14"/>
          <w:sz w:val="20"/>
        </w:rPr>
        <w:t xml:space="preserve"> </w:t>
      </w:r>
      <w:r>
        <w:rPr>
          <w:sz w:val="20"/>
        </w:rPr>
        <w:t>que</w:t>
      </w:r>
      <w:r>
        <w:rPr>
          <w:spacing w:val="-14"/>
          <w:sz w:val="20"/>
        </w:rPr>
        <w:t xml:space="preserve"> </w:t>
      </w:r>
      <w:r>
        <w:rPr>
          <w:sz w:val="20"/>
        </w:rPr>
        <w:t>la</w:t>
      </w:r>
      <w:r>
        <w:rPr>
          <w:spacing w:val="-12"/>
          <w:sz w:val="20"/>
        </w:rPr>
        <w:t xml:space="preserve"> </w:t>
      </w:r>
      <w:r>
        <w:rPr>
          <w:sz w:val="20"/>
        </w:rPr>
        <w:t>influencia</w:t>
      </w:r>
      <w:r>
        <w:rPr>
          <w:spacing w:val="-10"/>
          <w:sz w:val="20"/>
        </w:rPr>
        <w:t xml:space="preserve"> </w:t>
      </w:r>
      <w:r>
        <w:rPr>
          <w:sz w:val="20"/>
        </w:rPr>
        <w:t>económica</w:t>
      </w:r>
      <w:r>
        <w:rPr>
          <w:spacing w:val="-10"/>
          <w:sz w:val="20"/>
        </w:rPr>
        <w:t xml:space="preserve"> </w:t>
      </w:r>
      <w:r>
        <w:rPr>
          <w:sz w:val="20"/>
        </w:rPr>
        <w:t>y</w:t>
      </w:r>
      <w:r>
        <w:rPr>
          <w:spacing w:val="-12"/>
          <w:sz w:val="20"/>
        </w:rPr>
        <w:t xml:space="preserve"> </w:t>
      </w:r>
      <w:r>
        <w:rPr>
          <w:sz w:val="20"/>
        </w:rPr>
        <w:t>política</w:t>
      </w:r>
      <w:r>
        <w:rPr>
          <w:spacing w:val="-12"/>
          <w:sz w:val="20"/>
        </w:rPr>
        <w:t xml:space="preserve"> </w:t>
      </w:r>
      <w:r>
        <w:rPr>
          <w:sz w:val="20"/>
        </w:rPr>
        <w:t>de</w:t>
      </w:r>
      <w:r>
        <w:rPr>
          <w:spacing w:val="-12"/>
          <w:sz w:val="20"/>
        </w:rPr>
        <w:t xml:space="preserve"> </w:t>
      </w:r>
      <w:r>
        <w:rPr>
          <w:sz w:val="20"/>
        </w:rPr>
        <w:t>los</w:t>
      </w:r>
      <w:r>
        <w:rPr>
          <w:spacing w:val="-13"/>
          <w:sz w:val="20"/>
        </w:rPr>
        <w:t xml:space="preserve"> </w:t>
      </w:r>
      <w:r>
        <w:rPr>
          <w:sz w:val="20"/>
        </w:rPr>
        <w:t>acusados</w:t>
      </w:r>
      <w:r>
        <w:rPr>
          <w:spacing w:val="-12"/>
          <w:sz w:val="20"/>
        </w:rPr>
        <w:t xml:space="preserve"> </w:t>
      </w:r>
      <w:r>
        <w:rPr>
          <w:sz w:val="20"/>
        </w:rPr>
        <w:t>podía</w:t>
      </w:r>
      <w:r>
        <w:rPr>
          <w:spacing w:val="-12"/>
          <w:sz w:val="20"/>
        </w:rPr>
        <w:t xml:space="preserve"> </w:t>
      </w:r>
      <w:r>
        <w:rPr>
          <w:sz w:val="20"/>
        </w:rPr>
        <w:t>obstaculizar</w:t>
      </w:r>
      <w:r>
        <w:rPr>
          <w:spacing w:val="-14"/>
          <w:sz w:val="20"/>
        </w:rPr>
        <w:t xml:space="preserve"> </w:t>
      </w:r>
      <w:r>
        <w:rPr>
          <w:sz w:val="20"/>
        </w:rPr>
        <w:t>la</w:t>
      </w:r>
      <w:r>
        <w:rPr>
          <w:spacing w:val="-12"/>
          <w:sz w:val="20"/>
        </w:rPr>
        <w:t xml:space="preserve"> </w:t>
      </w:r>
      <w:r>
        <w:rPr>
          <w:sz w:val="20"/>
        </w:rPr>
        <w:t>toma de decisión. Dicha solicitud fue acogida el 7 de noviembre de</w:t>
      </w:r>
      <w:r>
        <w:rPr>
          <w:spacing w:val="-9"/>
          <w:sz w:val="20"/>
        </w:rPr>
        <w:t xml:space="preserve"> </w:t>
      </w:r>
      <w:r>
        <w:rPr>
          <w:sz w:val="20"/>
        </w:rPr>
        <w:t>2007</w:t>
      </w:r>
      <w:hyperlink w:anchor="_bookmark162" w:history="1">
        <w:r>
          <w:rPr>
            <w:position w:val="7"/>
            <w:sz w:val="13"/>
          </w:rPr>
          <w:t>135</w:t>
        </w:r>
      </w:hyperlink>
      <w:r>
        <w:rPr>
          <w:sz w:val="20"/>
        </w:rPr>
        <w:t>.</w:t>
      </w:r>
    </w:p>
    <w:p w14:paraId="70B42B8D" w14:textId="77777777" w:rsidR="00467FCA" w:rsidRDefault="00467FCA">
      <w:pPr>
        <w:pStyle w:val="Textoindependiente"/>
      </w:pPr>
    </w:p>
    <w:p w14:paraId="4AF7A5AD" w14:textId="77777777" w:rsidR="00467FCA" w:rsidRDefault="001B68EB">
      <w:pPr>
        <w:pStyle w:val="Prrafodelista"/>
        <w:numPr>
          <w:ilvl w:val="0"/>
          <w:numId w:val="50"/>
        </w:numPr>
        <w:tabs>
          <w:tab w:val="left" w:pos="687"/>
        </w:tabs>
        <w:ind w:left="119" w:right="116" w:firstLine="0"/>
        <w:jc w:val="both"/>
        <w:rPr>
          <w:sz w:val="20"/>
        </w:rPr>
      </w:pPr>
      <w:r>
        <w:rPr>
          <w:sz w:val="20"/>
        </w:rPr>
        <w:t>El 20 de octubre de 2010 fueron condenadas cinco personas, entre ellas el dueño de la fábrica y su padre y absueltos tres acusados</w:t>
      </w:r>
      <w:hyperlink w:anchor="_bookmark163" w:history="1">
        <w:r>
          <w:rPr>
            <w:position w:val="7"/>
            <w:sz w:val="13"/>
          </w:rPr>
          <w:t>136</w:t>
        </w:r>
      </w:hyperlink>
      <w:r>
        <w:rPr>
          <w:sz w:val="20"/>
        </w:rPr>
        <w:t>. Contra esta decisión, los condenados presentaron</w:t>
      </w:r>
      <w:r>
        <w:rPr>
          <w:spacing w:val="-10"/>
          <w:sz w:val="20"/>
        </w:rPr>
        <w:t xml:space="preserve"> </w:t>
      </w:r>
      <w:r>
        <w:rPr>
          <w:sz w:val="20"/>
        </w:rPr>
        <w:t>recursos</w:t>
      </w:r>
      <w:r>
        <w:rPr>
          <w:spacing w:val="-10"/>
          <w:sz w:val="20"/>
        </w:rPr>
        <w:t xml:space="preserve"> </w:t>
      </w:r>
      <w:r>
        <w:rPr>
          <w:sz w:val="20"/>
        </w:rPr>
        <w:t>ordinarios,</w:t>
      </w:r>
      <w:r>
        <w:rPr>
          <w:spacing w:val="-9"/>
          <w:sz w:val="20"/>
        </w:rPr>
        <w:t xml:space="preserve"> </w:t>
      </w:r>
      <w:r>
        <w:rPr>
          <w:sz w:val="20"/>
        </w:rPr>
        <w:t>los</w:t>
      </w:r>
      <w:r>
        <w:rPr>
          <w:spacing w:val="-10"/>
          <w:sz w:val="20"/>
        </w:rPr>
        <w:t xml:space="preserve"> </w:t>
      </w:r>
      <w:r>
        <w:rPr>
          <w:sz w:val="20"/>
        </w:rPr>
        <w:t>cuales</w:t>
      </w:r>
      <w:r>
        <w:rPr>
          <w:spacing w:val="-12"/>
          <w:sz w:val="20"/>
        </w:rPr>
        <w:t xml:space="preserve"> </w:t>
      </w:r>
      <w:r>
        <w:rPr>
          <w:sz w:val="20"/>
        </w:rPr>
        <w:t>fueron</w:t>
      </w:r>
      <w:r>
        <w:rPr>
          <w:spacing w:val="-10"/>
          <w:sz w:val="20"/>
        </w:rPr>
        <w:t xml:space="preserve"> </w:t>
      </w:r>
      <w:r>
        <w:rPr>
          <w:sz w:val="20"/>
        </w:rPr>
        <w:t>desestimados</w:t>
      </w:r>
      <w:r>
        <w:rPr>
          <w:spacing w:val="-10"/>
          <w:sz w:val="20"/>
        </w:rPr>
        <w:t xml:space="preserve"> </w:t>
      </w:r>
      <w:r>
        <w:rPr>
          <w:sz w:val="20"/>
        </w:rPr>
        <w:t>por</w:t>
      </w:r>
      <w:r>
        <w:rPr>
          <w:spacing w:val="-12"/>
          <w:sz w:val="20"/>
        </w:rPr>
        <w:t xml:space="preserve"> </w:t>
      </w:r>
      <w:r>
        <w:rPr>
          <w:sz w:val="20"/>
        </w:rPr>
        <w:t>el</w:t>
      </w:r>
      <w:r>
        <w:rPr>
          <w:spacing w:val="-6"/>
          <w:sz w:val="20"/>
        </w:rPr>
        <w:t xml:space="preserve"> </w:t>
      </w:r>
      <w:r>
        <w:rPr>
          <w:sz w:val="20"/>
        </w:rPr>
        <w:t>Tribunal</w:t>
      </w:r>
      <w:r>
        <w:rPr>
          <w:spacing w:val="-10"/>
          <w:sz w:val="20"/>
        </w:rPr>
        <w:t xml:space="preserve"> </w:t>
      </w:r>
      <w:r>
        <w:rPr>
          <w:sz w:val="20"/>
        </w:rPr>
        <w:t>de</w:t>
      </w:r>
      <w:r>
        <w:rPr>
          <w:spacing w:val="-13"/>
          <w:sz w:val="20"/>
        </w:rPr>
        <w:t xml:space="preserve"> </w:t>
      </w:r>
      <w:r>
        <w:rPr>
          <w:sz w:val="20"/>
        </w:rPr>
        <w:t>Justicia</w:t>
      </w:r>
      <w:r>
        <w:rPr>
          <w:spacing w:val="-11"/>
          <w:sz w:val="20"/>
        </w:rPr>
        <w:t xml:space="preserve"> </w:t>
      </w:r>
      <w:r>
        <w:rPr>
          <w:sz w:val="20"/>
        </w:rPr>
        <w:t>de Bahia</w:t>
      </w:r>
      <w:r>
        <w:rPr>
          <w:spacing w:val="-10"/>
          <w:sz w:val="20"/>
        </w:rPr>
        <w:t xml:space="preserve"> </w:t>
      </w:r>
      <w:r>
        <w:rPr>
          <w:sz w:val="20"/>
        </w:rPr>
        <w:t>el</w:t>
      </w:r>
      <w:r>
        <w:rPr>
          <w:spacing w:val="-10"/>
          <w:sz w:val="20"/>
        </w:rPr>
        <w:t xml:space="preserve"> </w:t>
      </w:r>
      <w:r>
        <w:rPr>
          <w:sz w:val="20"/>
        </w:rPr>
        <w:t>26</w:t>
      </w:r>
      <w:r>
        <w:rPr>
          <w:spacing w:val="-10"/>
          <w:sz w:val="20"/>
        </w:rPr>
        <w:t xml:space="preserve"> </w:t>
      </w:r>
      <w:r>
        <w:rPr>
          <w:sz w:val="20"/>
        </w:rPr>
        <w:t>de</w:t>
      </w:r>
      <w:r>
        <w:rPr>
          <w:spacing w:val="-10"/>
          <w:sz w:val="20"/>
        </w:rPr>
        <w:t xml:space="preserve"> </w:t>
      </w:r>
      <w:r>
        <w:rPr>
          <w:sz w:val="20"/>
        </w:rPr>
        <w:t>abril</w:t>
      </w:r>
      <w:r>
        <w:rPr>
          <w:spacing w:val="-10"/>
          <w:sz w:val="20"/>
        </w:rPr>
        <w:t xml:space="preserve"> </w:t>
      </w:r>
      <w:r>
        <w:rPr>
          <w:sz w:val="20"/>
        </w:rPr>
        <w:t>del</w:t>
      </w:r>
      <w:r>
        <w:rPr>
          <w:spacing w:val="-8"/>
          <w:sz w:val="20"/>
        </w:rPr>
        <w:t xml:space="preserve"> </w:t>
      </w:r>
      <w:r>
        <w:rPr>
          <w:sz w:val="20"/>
        </w:rPr>
        <w:t>2012.</w:t>
      </w:r>
      <w:r>
        <w:rPr>
          <w:spacing w:val="-10"/>
          <w:sz w:val="20"/>
        </w:rPr>
        <w:t xml:space="preserve"> </w:t>
      </w:r>
      <w:r>
        <w:rPr>
          <w:sz w:val="20"/>
        </w:rPr>
        <w:t>Mientras</w:t>
      </w:r>
      <w:r>
        <w:rPr>
          <w:spacing w:val="-9"/>
          <w:sz w:val="20"/>
        </w:rPr>
        <w:t xml:space="preserve"> </w:t>
      </w:r>
      <w:r>
        <w:rPr>
          <w:sz w:val="20"/>
        </w:rPr>
        <w:t>estaba</w:t>
      </w:r>
      <w:r>
        <w:rPr>
          <w:spacing w:val="-8"/>
          <w:sz w:val="20"/>
        </w:rPr>
        <w:t xml:space="preserve"> </w:t>
      </w:r>
      <w:r>
        <w:rPr>
          <w:sz w:val="20"/>
        </w:rPr>
        <w:t>pendiente</w:t>
      </w:r>
      <w:r>
        <w:rPr>
          <w:spacing w:val="-10"/>
          <w:sz w:val="20"/>
        </w:rPr>
        <w:t xml:space="preserve"> </w:t>
      </w:r>
      <w:r>
        <w:rPr>
          <w:sz w:val="20"/>
        </w:rPr>
        <w:t>un</w:t>
      </w:r>
      <w:r>
        <w:rPr>
          <w:spacing w:val="-7"/>
          <w:sz w:val="20"/>
        </w:rPr>
        <w:t xml:space="preserve"> </w:t>
      </w:r>
      <w:r>
        <w:rPr>
          <w:sz w:val="20"/>
        </w:rPr>
        <w:t>recurso</w:t>
      </w:r>
      <w:r>
        <w:rPr>
          <w:spacing w:val="-9"/>
          <w:sz w:val="20"/>
        </w:rPr>
        <w:t xml:space="preserve"> </w:t>
      </w:r>
      <w:r>
        <w:rPr>
          <w:sz w:val="20"/>
        </w:rPr>
        <w:t>ante</w:t>
      </w:r>
      <w:r>
        <w:rPr>
          <w:spacing w:val="-9"/>
          <w:sz w:val="20"/>
        </w:rPr>
        <w:t xml:space="preserve"> </w:t>
      </w:r>
      <w:r>
        <w:rPr>
          <w:sz w:val="20"/>
        </w:rPr>
        <w:t>el</w:t>
      </w:r>
      <w:r>
        <w:rPr>
          <w:spacing w:val="-9"/>
          <w:sz w:val="20"/>
        </w:rPr>
        <w:t xml:space="preserve"> </w:t>
      </w:r>
      <w:r>
        <w:rPr>
          <w:sz w:val="20"/>
        </w:rPr>
        <w:t>Supremo</w:t>
      </w:r>
      <w:r>
        <w:rPr>
          <w:spacing w:val="-9"/>
          <w:sz w:val="20"/>
        </w:rPr>
        <w:t xml:space="preserve"> </w:t>
      </w:r>
      <w:r>
        <w:rPr>
          <w:sz w:val="20"/>
        </w:rPr>
        <w:t xml:space="preserve">Tribunal Federal, interpuesto el 12 de noviembre de 2018, los condenados interpusieron recursos de </w:t>
      </w:r>
      <w:r>
        <w:rPr>
          <w:i/>
          <w:sz w:val="20"/>
        </w:rPr>
        <w:t xml:space="preserve">habeas corpus </w:t>
      </w:r>
      <w:r>
        <w:rPr>
          <w:sz w:val="20"/>
        </w:rPr>
        <w:t xml:space="preserve">durante </w:t>
      </w:r>
      <w:r>
        <w:rPr>
          <w:sz w:val="20"/>
        </w:rPr>
        <w:t xml:space="preserve">el año de 2019. En virtud del </w:t>
      </w:r>
      <w:r>
        <w:rPr>
          <w:i/>
          <w:sz w:val="20"/>
        </w:rPr>
        <w:t xml:space="preserve">habeas corpus </w:t>
      </w:r>
      <w:r>
        <w:rPr>
          <w:sz w:val="20"/>
        </w:rPr>
        <w:t>interpuesto por Osvaldo Prazeres Bastos, el Tribunal de Justicia de Bahia declaró</w:t>
      </w:r>
      <w:hyperlink w:anchor="_bookmark164" w:history="1">
        <w:r>
          <w:rPr>
            <w:position w:val="7"/>
            <w:sz w:val="13"/>
          </w:rPr>
          <w:t>137</w:t>
        </w:r>
      </w:hyperlink>
      <w:r>
        <w:rPr>
          <w:position w:val="7"/>
          <w:sz w:val="13"/>
        </w:rPr>
        <w:t xml:space="preserve"> </w:t>
      </w:r>
      <w:r>
        <w:rPr>
          <w:sz w:val="20"/>
        </w:rPr>
        <w:t>la extinción de la pena por prescripción</w:t>
      </w:r>
      <w:hyperlink w:anchor="_bookmark165" w:history="1">
        <w:r>
          <w:rPr>
            <w:position w:val="7"/>
            <w:sz w:val="13"/>
          </w:rPr>
          <w:t>138</w:t>
        </w:r>
      </w:hyperlink>
      <w:r>
        <w:rPr>
          <w:sz w:val="20"/>
        </w:rPr>
        <w:t>. Los demás recursos</w:t>
      </w:r>
      <w:r>
        <w:rPr>
          <w:sz w:val="20"/>
        </w:rPr>
        <w:t xml:space="preserve"> de </w:t>
      </w:r>
      <w:r>
        <w:rPr>
          <w:i/>
          <w:sz w:val="20"/>
        </w:rPr>
        <w:t>habeas corpus</w:t>
      </w:r>
      <w:r>
        <w:rPr>
          <w:sz w:val="20"/>
        </w:rPr>
        <w:t>, presentados ante el Superior</w:t>
      </w:r>
      <w:r>
        <w:rPr>
          <w:spacing w:val="-44"/>
          <w:sz w:val="20"/>
        </w:rPr>
        <w:t xml:space="preserve"> </w:t>
      </w:r>
      <w:r>
        <w:rPr>
          <w:sz w:val="20"/>
        </w:rPr>
        <w:t>Tribunal de Justicia (STJ), tenían por objeto anular la decisión de apelación por no haber sido convocados a los abogados de los acusados a la sesión de deliberación del recurso de apelación</w:t>
      </w:r>
      <w:hyperlink w:anchor="_bookmark166" w:history="1">
        <w:r>
          <w:rPr>
            <w:position w:val="7"/>
            <w:sz w:val="13"/>
          </w:rPr>
          <w:t>139</w:t>
        </w:r>
      </w:hyperlink>
      <w:r>
        <w:rPr>
          <w:sz w:val="20"/>
        </w:rPr>
        <w:t>.</w:t>
      </w:r>
      <w:r>
        <w:rPr>
          <w:spacing w:val="9"/>
          <w:sz w:val="20"/>
        </w:rPr>
        <w:t xml:space="preserve"> </w:t>
      </w:r>
      <w:r>
        <w:rPr>
          <w:sz w:val="20"/>
        </w:rPr>
        <w:t>Estos</w:t>
      </w:r>
      <w:r>
        <w:rPr>
          <w:spacing w:val="11"/>
          <w:sz w:val="20"/>
        </w:rPr>
        <w:t xml:space="preserve"> </w:t>
      </w:r>
      <w:r>
        <w:rPr>
          <w:sz w:val="20"/>
        </w:rPr>
        <w:t>fueron</w:t>
      </w:r>
      <w:r>
        <w:rPr>
          <w:spacing w:val="10"/>
          <w:sz w:val="20"/>
        </w:rPr>
        <w:t xml:space="preserve"> </w:t>
      </w:r>
      <w:r>
        <w:rPr>
          <w:sz w:val="20"/>
        </w:rPr>
        <w:t>concedidos,</w:t>
      </w:r>
      <w:r>
        <w:rPr>
          <w:spacing w:val="11"/>
          <w:sz w:val="20"/>
        </w:rPr>
        <w:t xml:space="preserve"> </w:t>
      </w:r>
      <w:r>
        <w:rPr>
          <w:sz w:val="20"/>
        </w:rPr>
        <w:t>por</w:t>
      </w:r>
      <w:r>
        <w:rPr>
          <w:spacing w:val="8"/>
          <w:sz w:val="20"/>
        </w:rPr>
        <w:t xml:space="preserve"> </w:t>
      </w:r>
      <w:r>
        <w:rPr>
          <w:sz w:val="20"/>
        </w:rPr>
        <w:t>lo</w:t>
      </w:r>
      <w:r>
        <w:rPr>
          <w:spacing w:val="13"/>
          <w:sz w:val="20"/>
        </w:rPr>
        <w:t xml:space="preserve"> </w:t>
      </w:r>
      <w:r>
        <w:rPr>
          <w:sz w:val="20"/>
        </w:rPr>
        <w:t>que</w:t>
      </w:r>
      <w:r>
        <w:rPr>
          <w:spacing w:val="8"/>
          <w:sz w:val="20"/>
        </w:rPr>
        <w:t xml:space="preserve"> </w:t>
      </w:r>
      <w:r>
        <w:rPr>
          <w:sz w:val="20"/>
        </w:rPr>
        <w:t>se</w:t>
      </w:r>
      <w:r>
        <w:rPr>
          <w:spacing w:val="8"/>
          <w:sz w:val="20"/>
        </w:rPr>
        <w:t xml:space="preserve"> </w:t>
      </w:r>
      <w:r>
        <w:rPr>
          <w:sz w:val="20"/>
        </w:rPr>
        <w:t>determinó</w:t>
      </w:r>
      <w:r>
        <w:rPr>
          <w:spacing w:val="12"/>
          <w:sz w:val="20"/>
        </w:rPr>
        <w:t xml:space="preserve"> </w:t>
      </w:r>
      <w:r>
        <w:rPr>
          <w:sz w:val="20"/>
        </w:rPr>
        <w:t>que</w:t>
      </w:r>
      <w:r>
        <w:rPr>
          <w:spacing w:val="10"/>
          <w:sz w:val="20"/>
        </w:rPr>
        <w:t xml:space="preserve"> </w:t>
      </w:r>
      <w:r>
        <w:rPr>
          <w:sz w:val="20"/>
        </w:rPr>
        <w:t>se</w:t>
      </w:r>
      <w:r>
        <w:rPr>
          <w:spacing w:val="8"/>
          <w:sz w:val="20"/>
        </w:rPr>
        <w:t xml:space="preserve"> </w:t>
      </w:r>
      <w:r>
        <w:rPr>
          <w:sz w:val="20"/>
        </w:rPr>
        <w:t>debía</w:t>
      </w:r>
      <w:r>
        <w:rPr>
          <w:spacing w:val="9"/>
          <w:sz w:val="20"/>
        </w:rPr>
        <w:t xml:space="preserve"> </w:t>
      </w:r>
      <w:r>
        <w:rPr>
          <w:sz w:val="20"/>
        </w:rPr>
        <w:t>juzgar</w:t>
      </w:r>
    </w:p>
    <w:p w14:paraId="199BC0FB" w14:textId="77777777" w:rsidR="00467FCA" w:rsidRDefault="001B68EB">
      <w:pPr>
        <w:pStyle w:val="Textoindependiente"/>
        <w:spacing w:before="7"/>
        <w:rPr>
          <w:sz w:val="21"/>
        </w:rPr>
      </w:pPr>
      <w:r>
        <w:pict w14:anchorId="28B76228">
          <v:shape id="_x0000_s1173" style="position:absolute;margin-left:1in;margin-top:15.4pt;width:2in;height:.1pt;z-index:-251634688;mso-wrap-distance-left:0;mso-wrap-distance-right:0;mso-position-horizontal-relative:page" coordorigin="1440,308" coordsize="2880,0" path="m1440,308r2880,e" filled="f" strokeweight=".21131mm">
            <v:path arrowok="t"/>
            <w10:wrap type="topAndBottom" anchorx="page"/>
          </v:shape>
        </w:pict>
      </w:r>
    </w:p>
    <w:p w14:paraId="07471C94" w14:textId="77777777" w:rsidR="00467FCA" w:rsidRDefault="001B68EB">
      <w:pPr>
        <w:tabs>
          <w:tab w:val="left" w:pos="839"/>
        </w:tabs>
        <w:spacing w:before="74"/>
        <w:ind w:left="120"/>
        <w:rPr>
          <w:sz w:val="16"/>
        </w:rPr>
      </w:pPr>
      <w:bookmarkStart w:id="189" w:name="_bookmark160"/>
      <w:bookmarkEnd w:id="189"/>
      <w:r>
        <w:rPr>
          <w:position w:val="6"/>
          <w:sz w:val="10"/>
        </w:rPr>
        <w:t>133</w:t>
      </w:r>
      <w:r>
        <w:rPr>
          <w:position w:val="6"/>
          <w:sz w:val="10"/>
        </w:rPr>
        <w:tab/>
      </w:r>
      <w:r>
        <w:rPr>
          <w:i/>
          <w:sz w:val="16"/>
        </w:rPr>
        <w:t xml:space="preserve">Cfr. </w:t>
      </w:r>
      <w:r>
        <w:rPr>
          <w:sz w:val="16"/>
        </w:rPr>
        <w:t>Acusación formal del Ministerio Público,</w:t>
      </w:r>
      <w:r>
        <w:rPr>
          <w:spacing w:val="-8"/>
          <w:sz w:val="16"/>
        </w:rPr>
        <w:t xml:space="preserve"> </w:t>
      </w:r>
      <w:r>
        <w:rPr>
          <w:i/>
          <w:sz w:val="16"/>
        </w:rPr>
        <w:t>supra</w:t>
      </w:r>
      <w:r>
        <w:rPr>
          <w:sz w:val="16"/>
        </w:rPr>
        <w:t>.</w:t>
      </w:r>
    </w:p>
    <w:p w14:paraId="4E200081" w14:textId="77777777" w:rsidR="00467FCA" w:rsidRDefault="001B68EB">
      <w:pPr>
        <w:tabs>
          <w:tab w:val="left" w:pos="839"/>
        </w:tabs>
        <w:ind w:left="120" w:right="129" w:hanging="1"/>
        <w:rPr>
          <w:sz w:val="16"/>
        </w:rPr>
      </w:pPr>
      <w:bookmarkStart w:id="190" w:name="_bookmark161"/>
      <w:bookmarkEnd w:id="190"/>
      <w:r>
        <w:rPr>
          <w:position w:val="6"/>
          <w:sz w:val="10"/>
        </w:rPr>
        <w:t>134</w:t>
      </w:r>
      <w:r>
        <w:rPr>
          <w:position w:val="6"/>
          <w:sz w:val="10"/>
        </w:rPr>
        <w:tab/>
      </w:r>
      <w:r>
        <w:rPr>
          <w:i/>
          <w:sz w:val="16"/>
        </w:rPr>
        <w:t xml:space="preserve">Cfr. </w:t>
      </w:r>
      <w:r>
        <w:rPr>
          <w:sz w:val="16"/>
        </w:rPr>
        <w:t>Sentencia del Juzgado de Primera Instancia Penal de Santo Antônio de Jesus de 9 de noviembre de</w:t>
      </w:r>
      <w:bookmarkStart w:id="191" w:name="_bookmark162"/>
      <w:bookmarkEnd w:id="191"/>
      <w:r>
        <w:rPr>
          <w:sz w:val="16"/>
        </w:rPr>
        <w:t xml:space="preserve"> 2004 (expediente de prueba, folios 107 a</w:t>
      </w:r>
      <w:r>
        <w:rPr>
          <w:spacing w:val="-7"/>
          <w:sz w:val="16"/>
        </w:rPr>
        <w:t xml:space="preserve"> </w:t>
      </w:r>
      <w:r>
        <w:rPr>
          <w:sz w:val="16"/>
        </w:rPr>
        <w:t>109).</w:t>
      </w:r>
    </w:p>
    <w:p w14:paraId="3CC02B2E" w14:textId="77777777" w:rsidR="00467FCA" w:rsidRDefault="001B68EB">
      <w:pPr>
        <w:tabs>
          <w:tab w:val="left" w:pos="839"/>
        </w:tabs>
        <w:ind w:left="119" w:right="129"/>
        <w:rPr>
          <w:sz w:val="16"/>
        </w:rPr>
      </w:pPr>
      <w:r>
        <w:rPr>
          <w:position w:val="6"/>
          <w:sz w:val="10"/>
        </w:rPr>
        <w:t>135</w:t>
      </w:r>
      <w:r>
        <w:rPr>
          <w:position w:val="6"/>
          <w:sz w:val="10"/>
        </w:rPr>
        <w:tab/>
      </w:r>
      <w:r>
        <w:rPr>
          <w:i/>
          <w:sz w:val="16"/>
        </w:rPr>
        <w:t xml:space="preserve">Cfr. </w:t>
      </w:r>
      <w:r>
        <w:rPr>
          <w:sz w:val="16"/>
        </w:rPr>
        <w:t xml:space="preserve">Resumen del proceso criminal No. 0000447-05.1999.8.05.0229 en el Portal de Servicios e-SAJ del Tribunal </w:t>
      </w:r>
      <w:r>
        <w:rPr>
          <w:sz w:val="16"/>
        </w:rPr>
        <w:t>de Justicia del Estado de Bahia (expediente de prueba, folios 134 a</w:t>
      </w:r>
      <w:r>
        <w:rPr>
          <w:spacing w:val="-13"/>
          <w:sz w:val="16"/>
        </w:rPr>
        <w:t xml:space="preserve"> </w:t>
      </w:r>
      <w:r>
        <w:rPr>
          <w:sz w:val="16"/>
        </w:rPr>
        <w:t>138).</w:t>
      </w:r>
    </w:p>
    <w:p w14:paraId="33456724" w14:textId="77777777" w:rsidR="00467FCA" w:rsidRDefault="001B68EB">
      <w:pPr>
        <w:tabs>
          <w:tab w:val="left" w:pos="839"/>
        </w:tabs>
        <w:ind w:left="120"/>
        <w:rPr>
          <w:sz w:val="16"/>
        </w:rPr>
      </w:pPr>
      <w:bookmarkStart w:id="192" w:name="_bookmark163"/>
      <w:bookmarkEnd w:id="192"/>
      <w:r>
        <w:rPr>
          <w:position w:val="6"/>
          <w:sz w:val="10"/>
        </w:rPr>
        <w:t>136</w:t>
      </w:r>
      <w:r>
        <w:rPr>
          <w:position w:val="6"/>
          <w:sz w:val="10"/>
        </w:rPr>
        <w:tab/>
      </w:r>
      <w:r>
        <w:rPr>
          <w:i/>
          <w:sz w:val="16"/>
        </w:rPr>
        <w:t xml:space="preserve">Cfr. </w:t>
      </w:r>
      <w:r>
        <w:rPr>
          <w:sz w:val="16"/>
        </w:rPr>
        <w:t>Resumen del proceso criminal No. 0000447-05.1999.8.05.0229,</w:t>
      </w:r>
      <w:r>
        <w:rPr>
          <w:spacing w:val="-11"/>
          <w:sz w:val="16"/>
        </w:rPr>
        <w:t xml:space="preserve"> </w:t>
      </w:r>
      <w:r>
        <w:rPr>
          <w:i/>
          <w:sz w:val="16"/>
        </w:rPr>
        <w:t>supra</w:t>
      </w:r>
      <w:r>
        <w:rPr>
          <w:sz w:val="16"/>
        </w:rPr>
        <w:t>.</w:t>
      </w:r>
    </w:p>
    <w:p w14:paraId="0892AB58" w14:textId="77777777" w:rsidR="00467FCA" w:rsidRDefault="001B68EB">
      <w:pPr>
        <w:tabs>
          <w:tab w:val="left" w:pos="839"/>
        </w:tabs>
        <w:ind w:left="121" w:right="129" w:hanging="2"/>
        <w:rPr>
          <w:sz w:val="16"/>
        </w:rPr>
      </w:pPr>
      <w:bookmarkStart w:id="193" w:name="_bookmark164"/>
      <w:bookmarkEnd w:id="193"/>
      <w:r>
        <w:rPr>
          <w:position w:val="6"/>
          <w:sz w:val="10"/>
        </w:rPr>
        <w:t>137</w:t>
      </w:r>
      <w:r>
        <w:rPr>
          <w:position w:val="6"/>
          <w:sz w:val="10"/>
        </w:rPr>
        <w:tab/>
      </w:r>
      <w:r>
        <w:rPr>
          <w:i/>
          <w:sz w:val="16"/>
        </w:rPr>
        <w:t xml:space="preserve">Cfr. </w:t>
      </w:r>
      <w:r>
        <w:rPr>
          <w:sz w:val="16"/>
        </w:rPr>
        <w:t>Decisión del Tribunal de Justicia de Bahia en el Proceso del Habeas Corpus n. 8016892- 66.2019.8.</w:t>
      </w:r>
      <w:r>
        <w:rPr>
          <w:sz w:val="16"/>
        </w:rPr>
        <w:t>05.0000 (expediente de prueba, folios 4472 a</w:t>
      </w:r>
      <w:r>
        <w:rPr>
          <w:spacing w:val="-8"/>
          <w:sz w:val="16"/>
        </w:rPr>
        <w:t xml:space="preserve"> </w:t>
      </w:r>
      <w:r>
        <w:rPr>
          <w:sz w:val="16"/>
        </w:rPr>
        <w:t>4475).</w:t>
      </w:r>
    </w:p>
    <w:p w14:paraId="7DC40B95" w14:textId="77777777" w:rsidR="00467FCA" w:rsidRDefault="001B68EB">
      <w:pPr>
        <w:tabs>
          <w:tab w:val="left" w:pos="839"/>
        </w:tabs>
        <w:ind w:left="117" w:right="113" w:firstLine="2"/>
        <w:jc w:val="both"/>
        <w:rPr>
          <w:sz w:val="16"/>
        </w:rPr>
      </w:pPr>
      <w:bookmarkStart w:id="194" w:name="_bookmark165"/>
      <w:bookmarkEnd w:id="194"/>
      <w:r>
        <w:rPr>
          <w:position w:val="6"/>
          <w:sz w:val="10"/>
        </w:rPr>
        <w:t>138</w:t>
      </w:r>
      <w:r>
        <w:rPr>
          <w:position w:val="6"/>
          <w:sz w:val="10"/>
        </w:rPr>
        <w:tab/>
      </w:r>
      <w:r>
        <w:rPr>
          <w:sz w:val="16"/>
        </w:rPr>
        <w:t>La</w:t>
      </w:r>
      <w:r>
        <w:rPr>
          <w:spacing w:val="-5"/>
          <w:sz w:val="16"/>
        </w:rPr>
        <w:t xml:space="preserve"> </w:t>
      </w:r>
      <w:r>
        <w:rPr>
          <w:sz w:val="16"/>
        </w:rPr>
        <w:t>prescripción</w:t>
      </w:r>
      <w:r>
        <w:rPr>
          <w:spacing w:val="-8"/>
          <w:sz w:val="16"/>
        </w:rPr>
        <w:t xml:space="preserve"> </w:t>
      </w:r>
      <w:r>
        <w:rPr>
          <w:sz w:val="16"/>
        </w:rPr>
        <w:t>está</w:t>
      </w:r>
      <w:r>
        <w:rPr>
          <w:spacing w:val="-8"/>
          <w:sz w:val="16"/>
        </w:rPr>
        <w:t xml:space="preserve"> </w:t>
      </w:r>
      <w:r>
        <w:rPr>
          <w:sz w:val="16"/>
        </w:rPr>
        <w:t>regulada</w:t>
      </w:r>
      <w:r>
        <w:rPr>
          <w:spacing w:val="-8"/>
          <w:sz w:val="16"/>
        </w:rPr>
        <w:t xml:space="preserve"> </w:t>
      </w:r>
      <w:r>
        <w:rPr>
          <w:sz w:val="16"/>
        </w:rPr>
        <w:t>en</w:t>
      </w:r>
      <w:r>
        <w:rPr>
          <w:spacing w:val="-6"/>
          <w:sz w:val="16"/>
        </w:rPr>
        <w:t xml:space="preserve"> </w:t>
      </w:r>
      <w:r>
        <w:rPr>
          <w:sz w:val="16"/>
        </w:rPr>
        <w:t>los</w:t>
      </w:r>
      <w:r>
        <w:rPr>
          <w:spacing w:val="-4"/>
          <w:sz w:val="16"/>
        </w:rPr>
        <w:t xml:space="preserve"> </w:t>
      </w:r>
      <w:r>
        <w:rPr>
          <w:sz w:val="16"/>
        </w:rPr>
        <w:t>artículos</w:t>
      </w:r>
      <w:r>
        <w:rPr>
          <w:spacing w:val="-7"/>
          <w:sz w:val="16"/>
        </w:rPr>
        <w:t xml:space="preserve"> </w:t>
      </w:r>
      <w:r>
        <w:rPr>
          <w:sz w:val="16"/>
        </w:rPr>
        <w:t>109</w:t>
      </w:r>
      <w:r>
        <w:rPr>
          <w:spacing w:val="-6"/>
          <w:sz w:val="16"/>
        </w:rPr>
        <w:t xml:space="preserve"> </w:t>
      </w:r>
      <w:r>
        <w:rPr>
          <w:sz w:val="16"/>
        </w:rPr>
        <w:t>a</w:t>
      </w:r>
      <w:r>
        <w:rPr>
          <w:spacing w:val="-8"/>
          <w:sz w:val="16"/>
        </w:rPr>
        <w:t xml:space="preserve"> </w:t>
      </w:r>
      <w:r>
        <w:rPr>
          <w:sz w:val="16"/>
        </w:rPr>
        <w:t>119</w:t>
      </w:r>
      <w:r>
        <w:rPr>
          <w:spacing w:val="-7"/>
          <w:sz w:val="16"/>
        </w:rPr>
        <w:t xml:space="preserve"> </w:t>
      </w:r>
      <w:r>
        <w:rPr>
          <w:sz w:val="16"/>
        </w:rPr>
        <w:t>del</w:t>
      </w:r>
      <w:r>
        <w:rPr>
          <w:spacing w:val="-8"/>
          <w:sz w:val="16"/>
        </w:rPr>
        <w:t xml:space="preserve"> </w:t>
      </w:r>
      <w:r>
        <w:rPr>
          <w:sz w:val="16"/>
        </w:rPr>
        <w:t>Código</w:t>
      </w:r>
      <w:r>
        <w:rPr>
          <w:spacing w:val="-6"/>
          <w:sz w:val="16"/>
        </w:rPr>
        <w:t xml:space="preserve"> </w:t>
      </w:r>
      <w:r>
        <w:rPr>
          <w:sz w:val="16"/>
        </w:rPr>
        <w:t>Penal</w:t>
      </w:r>
      <w:r>
        <w:rPr>
          <w:spacing w:val="-6"/>
          <w:sz w:val="16"/>
        </w:rPr>
        <w:t xml:space="preserve"> </w:t>
      </w:r>
      <w:r>
        <w:rPr>
          <w:sz w:val="16"/>
        </w:rPr>
        <w:t>brasileño.</w:t>
      </w:r>
      <w:r>
        <w:rPr>
          <w:spacing w:val="-6"/>
          <w:sz w:val="16"/>
        </w:rPr>
        <w:t xml:space="preserve"> </w:t>
      </w:r>
      <w:r>
        <w:rPr>
          <w:sz w:val="16"/>
        </w:rPr>
        <w:t>Según</w:t>
      </w:r>
      <w:r>
        <w:rPr>
          <w:spacing w:val="-8"/>
          <w:sz w:val="16"/>
        </w:rPr>
        <w:t xml:space="preserve"> </w:t>
      </w:r>
      <w:r>
        <w:rPr>
          <w:sz w:val="16"/>
        </w:rPr>
        <w:t>dicha</w:t>
      </w:r>
      <w:r>
        <w:rPr>
          <w:spacing w:val="-6"/>
          <w:sz w:val="16"/>
        </w:rPr>
        <w:t xml:space="preserve"> </w:t>
      </w:r>
      <w:r>
        <w:rPr>
          <w:sz w:val="16"/>
        </w:rPr>
        <w:t>normativa, la</w:t>
      </w:r>
      <w:r>
        <w:rPr>
          <w:spacing w:val="-9"/>
          <w:sz w:val="16"/>
        </w:rPr>
        <w:t xml:space="preserve"> </w:t>
      </w:r>
      <w:r>
        <w:rPr>
          <w:sz w:val="16"/>
        </w:rPr>
        <w:t>prescripción</w:t>
      </w:r>
      <w:r>
        <w:rPr>
          <w:spacing w:val="-11"/>
          <w:sz w:val="16"/>
        </w:rPr>
        <w:t xml:space="preserve"> </w:t>
      </w:r>
      <w:r>
        <w:rPr>
          <w:sz w:val="16"/>
        </w:rPr>
        <w:t>se</w:t>
      </w:r>
      <w:r>
        <w:rPr>
          <w:spacing w:val="-13"/>
          <w:sz w:val="16"/>
        </w:rPr>
        <w:t xml:space="preserve"> </w:t>
      </w:r>
      <w:r>
        <w:rPr>
          <w:sz w:val="16"/>
        </w:rPr>
        <w:t>puede</w:t>
      </w:r>
      <w:r>
        <w:rPr>
          <w:spacing w:val="-10"/>
          <w:sz w:val="16"/>
        </w:rPr>
        <w:t xml:space="preserve"> </w:t>
      </w:r>
      <w:r>
        <w:rPr>
          <w:sz w:val="16"/>
        </w:rPr>
        <w:t>dividir</w:t>
      </w:r>
      <w:r>
        <w:rPr>
          <w:spacing w:val="-10"/>
          <w:sz w:val="16"/>
        </w:rPr>
        <w:t xml:space="preserve"> </w:t>
      </w:r>
      <w:r>
        <w:rPr>
          <w:sz w:val="16"/>
        </w:rPr>
        <w:t>en</w:t>
      </w:r>
      <w:r>
        <w:rPr>
          <w:spacing w:val="-11"/>
          <w:sz w:val="16"/>
        </w:rPr>
        <w:t xml:space="preserve"> </w:t>
      </w:r>
      <w:r>
        <w:rPr>
          <w:sz w:val="16"/>
        </w:rPr>
        <w:t>dos</w:t>
      </w:r>
      <w:r>
        <w:rPr>
          <w:spacing w:val="-10"/>
          <w:sz w:val="16"/>
        </w:rPr>
        <w:t xml:space="preserve"> </w:t>
      </w:r>
      <w:r>
        <w:rPr>
          <w:sz w:val="16"/>
        </w:rPr>
        <w:t>especies:</w:t>
      </w:r>
      <w:r>
        <w:rPr>
          <w:spacing w:val="-12"/>
          <w:sz w:val="16"/>
        </w:rPr>
        <w:t xml:space="preserve"> </w:t>
      </w:r>
      <w:r>
        <w:rPr>
          <w:sz w:val="16"/>
        </w:rPr>
        <w:t>prescripción</w:t>
      </w:r>
      <w:r>
        <w:rPr>
          <w:spacing w:val="-13"/>
          <w:sz w:val="16"/>
        </w:rPr>
        <w:t xml:space="preserve"> </w:t>
      </w:r>
      <w:r>
        <w:rPr>
          <w:sz w:val="16"/>
        </w:rPr>
        <w:t>de</w:t>
      </w:r>
      <w:r>
        <w:rPr>
          <w:spacing w:val="-10"/>
          <w:sz w:val="16"/>
        </w:rPr>
        <w:t xml:space="preserve"> </w:t>
      </w:r>
      <w:r>
        <w:rPr>
          <w:sz w:val="16"/>
        </w:rPr>
        <w:t>la</w:t>
      </w:r>
      <w:r>
        <w:rPr>
          <w:spacing w:val="-11"/>
          <w:sz w:val="16"/>
        </w:rPr>
        <w:t xml:space="preserve"> </w:t>
      </w:r>
      <w:r>
        <w:rPr>
          <w:sz w:val="16"/>
        </w:rPr>
        <w:t>pretensión</w:t>
      </w:r>
      <w:r>
        <w:rPr>
          <w:spacing w:val="-13"/>
          <w:sz w:val="16"/>
        </w:rPr>
        <w:t xml:space="preserve"> </w:t>
      </w:r>
      <w:r>
        <w:rPr>
          <w:i/>
          <w:sz w:val="16"/>
        </w:rPr>
        <w:t>punitiva</w:t>
      </w:r>
      <w:r>
        <w:rPr>
          <w:sz w:val="16"/>
        </w:rPr>
        <w:t>,</w:t>
      </w:r>
      <w:r>
        <w:rPr>
          <w:spacing w:val="-12"/>
          <w:sz w:val="16"/>
        </w:rPr>
        <w:t xml:space="preserve"> </w:t>
      </w:r>
      <w:r>
        <w:rPr>
          <w:sz w:val="16"/>
        </w:rPr>
        <w:t>la</w:t>
      </w:r>
      <w:r>
        <w:rPr>
          <w:spacing w:val="-8"/>
          <w:sz w:val="16"/>
        </w:rPr>
        <w:t xml:space="preserve"> </w:t>
      </w:r>
      <w:r>
        <w:rPr>
          <w:sz w:val="16"/>
        </w:rPr>
        <w:t>cual</w:t>
      </w:r>
      <w:r>
        <w:rPr>
          <w:spacing w:val="-11"/>
          <w:sz w:val="16"/>
        </w:rPr>
        <w:t xml:space="preserve"> </w:t>
      </w:r>
      <w:r>
        <w:rPr>
          <w:sz w:val="16"/>
        </w:rPr>
        <w:t>puede</w:t>
      </w:r>
      <w:r>
        <w:rPr>
          <w:spacing w:val="-11"/>
          <w:sz w:val="16"/>
        </w:rPr>
        <w:t xml:space="preserve"> </w:t>
      </w:r>
      <w:r>
        <w:rPr>
          <w:sz w:val="16"/>
        </w:rPr>
        <w:t>ocurrir</w:t>
      </w:r>
      <w:r>
        <w:rPr>
          <w:spacing w:val="-9"/>
          <w:sz w:val="16"/>
        </w:rPr>
        <w:t xml:space="preserve"> </w:t>
      </w:r>
      <w:r>
        <w:rPr>
          <w:sz w:val="16"/>
        </w:rPr>
        <w:t xml:space="preserve">mientras no haya una sentencia penal condenatoria definitiva, y prescripción de la pretensión </w:t>
      </w:r>
      <w:r>
        <w:rPr>
          <w:i/>
          <w:sz w:val="16"/>
        </w:rPr>
        <w:t>ejecutoria</w:t>
      </w:r>
      <w:r>
        <w:rPr>
          <w:sz w:val="16"/>
        </w:rPr>
        <w:t>, que puede suceder solo</w:t>
      </w:r>
      <w:r>
        <w:rPr>
          <w:spacing w:val="-4"/>
          <w:sz w:val="16"/>
        </w:rPr>
        <w:t xml:space="preserve"> </w:t>
      </w:r>
      <w:r>
        <w:rPr>
          <w:sz w:val="16"/>
        </w:rPr>
        <w:t>después</w:t>
      </w:r>
      <w:r>
        <w:rPr>
          <w:spacing w:val="-5"/>
          <w:sz w:val="16"/>
        </w:rPr>
        <w:t xml:space="preserve"> </w:t>
      </w:r>
      <w:r>
        <w:rPr>
          <w:sz w:val="16"/>
        </w:rPr>
        <w:t>de</w:t>
      </w:r>
      <w:r>
        <w:rPr>
          <w:spacing w:val="-7"/>
          <w:sz w:val="16"/>
        </w:rPr>
        <w:t xml:space="preserve"> </w:t>
      </w:r>
      <w:r>
        <w:rPr>
          <w:sz w:val="16"/>
        </w:rPr>
        <w:t>que</w:t>
      </w:r>
      <w:r>
        <w:rPr>
          <w:spacing w:val="-2"/>
          <w:sz w:val="16"/>
        </w:rPr>
        <w:t xml:space="preserve"> </w:t>
      </w:r>
      <w:r>
        <w:rPr>
          <w:sz w:val="16"/>
        </w:rPr>
        <w:t>haya</w:t>
      </w:r>
      <w:r>
        <w:rPr>
          <w:spacing w:val="-6"/>
          <w:sz w:val="16"/>
        </w:rPr>
        <w:t xml:space="preserve"> </w:t>
      </w:r>
      <w:r>
        <w:rPr>
          <w:sz w:val="16"/>
        </w:rPr>
        <w:t>una</w:t>
      </w:r>
      <w:r>
        <w:rPr>
          <w:spacing w:val="-3"/>
          <w:sz w:val="16"/>
        </w:rPr>
        <w:t xml:space="preserve"> </w:t>
      </w:r>
      <w:r>
        <w:rPr>
          <w:sz w:val="16"/>
        </w:rPr>
        <w:t>sentencia</w:t>
      </w:r>
      <w:r>
        <w:rPr>
          <w:spacing w:val="-5"/>
          <w:sz w:val="16"/>
        </w:rPr>
        <w:t xml:space="preserve"> </w:t>
      </w:r>
      <w:r>
        <w:rPr>
          <w:sz w:val="16"/>
        </w:rPr>
        <w:t>penal</w:t>
      </w:r>
      <w:r>
        <w:rPr>
          <w:spacing w:val="-6"/>
          <w:sz w:val="16"/>
        </w:rPr>
        <w:t xml:space="preserve"> </w:t>
      </w:r>
      <w:r>
        <w:rPr>
          <w:sz w:val="16"/>
        </w:rPr>
        <w:t>condenatoria</w:t>
      </w:r>
      <w:r>
        <w:rPr>
          <w:spacing w:val="-5"/>
          <w:sz w:val="16"/>
        </w:rPr>
        <w:t xml:space="preserve"> </w:t>
      </w:r>
      <w:r>
        <w:rPr>
          <w:sz w:val="16"/>
        </w:rPr>
        <w:t>definitiva.</w:t>
      </w:r>
      <w:r>
        <w:rPr>
          <w:spacing w:val="-4"/>
          <w:sz w:val="16"/>
        </w:rPr>
        <w:t xml:space="preserve"> </w:t>
      </w:r>
      <w:r>
        <w:rPr>
          <w:sz w:val="16"/>
        </w:rPr>
        <w:t>Los</w:t>
      </w:r>
      <w:r>
        <w:rPr>
          <w:spacing w:val="-5"/>
          <w:sz w:val="16"/>
        </w:rPr>
        <w:t xml:space="preserve"> </w:t>
      </w:r>
      <w:r>
        <w:rPr>
          <w:sz w:val="16"/>
        </w:rPr>
        <w:t>plazos</w:t>
      </w:r>
      <w:r>
        <w:rPr>
          <w:spacing w:val="-6"/>
          <w:sz w:val="16"/>
        </w:rPr>
        <w:t xml:space="preserve"> </w:t>
      </w:r>
      <w:r>
        <w:rPr>
          <w:sz w:val="16"/>
        </w:rPr>
        <w:t>de</w:t>
      </w:r>
      <w:r>
        <w:rPr>
          <w:spacing w:val="-5"/>
          <w:sz w:val="16"/>
        </w:rPr>
        <w:t xml:space="preserve"> </w:t>
      </w:r>
      <w:r>
        <w:rPr>
          <w:sz w:val="16"/>
        </w:rPr>
        <w:t>la</w:t>
      </w:r>
      <w:r>
        <w:rPr>
          <w:spacing w:val="-6"/>
          <w:sz w:val="16"/>
        </w:rPr>
        <w:t xml:space="preserve"> </w:t>
      </w:r>
      <w:r>
        <w:rPr>
          <w:sz w:val="16"/>
        </w:rPr>
        <w:t>prescripción</w:t>
      </w:r>
      <w:r>
        <w:rPr>
          <w:spacing w:val="-6"/>
          <w:sz w:val="16"/>
        </w:rPr>
        <w:t xml:space="preserve"> </w:t>
      </w:r>
      <w:r>
        <w:rPr>
          <w:sz w:val="16"/>
        </w:rPr>
        <w:t>de</w:t>
      </w:r>
      <w:r>
        <w:rPr>
          <w:spacing w:val="-5"/>
          <w:sz w:val="16"/>
        </w:rPr>
        <w:t xml:space="preserve"> </w:t>
      </w:r>
      <w:r>
        <w:rPr>
          <w:sz w:val="16"/>
        </w:rPr>
        <w:t>la</w:t>
      </w:r>
      <w:r>
        <w:rPr>
          <w:spacing w:val="-6"/>
          <w:sz w:val="16"/>
        </w:rPr>
        <w:t xml:space="preserve"> </w:t>
      </w:r>
      <w:r>
        <w:rPr>
          <w:sz w:val="16"/>
        </w:rPr>
        <w:t xml:space="preserve">pretensión </w:t>
      </w:r>
      <w:r>
        <w:rPr>
          <w:i/>
          <w:sz w:val="16"/>
        </w:rPr>
        <w:t>punitiva</w:t>
      </w:r>
      <w:r>
        <w:rPr>
          <w:sz w:val="16"/>
        </w:rPr>
        <w:t>,</w:t>
      </w:r>
      <w:r>
        <w:rPr>
          <w:spacing w:val="-4"/>
          <w:sz w:val="16"/>
        </w:rPr>
        <w:t xml:space="preserve"> </w:t>
      </w:r>
      <w:r>
        <w:rPr>
          <w:sz w:val="16"/>
        </w:rPr>
        <w:t>que</w:t>
      </w:r>
      <w:r>
        <w:rPr>
          <w:spacing w:val="-2"/>
          <w:sz w:val="16"/>
        </w:rPr>
        <w:t xml:space="preserve"> </w:t>
      </w:r>
      <w:r>
        <w:rPr>
          <w:sz w:val="16"/>
        </w:rPr>
        <w:t>se</w:t>
      </w:r>
      <w:r>
        <w:rPr>
          <w:spacing w:val="-1"/>
          <w:sz w:val="16"/>
        </w:rPr>
        <w:t xml:space="preserve"> </w:t>
      </w:r>
      <w:r>
        <w:rPr>
          <w:sz w:val="16"/>
        </w:rPr>
        <w:t>empiezan</w:t>
      </w:r>
      <w:r>
        <w:rPr>
          <w:spacing w:val="-4"/>
          <w:sz w:val="16"/>
        </w:rPr>
        <w:t xml:space="preserve"> </w:t>
      </w:r>
      <w:r>
        <w:rPr>
          <w:sz w:val="16"/>
        </w:rPr>
        <w:t>a</w:t>
      </w:r>
      <w:r>
        <w:rPr>
          <w:spacing w:val="-5"/>
          <w:sz w:val="16"/>
        </w:rPr>
        <w:t xml:space="preserve"> </w:t>
      </w:r>
      <w:r>
        <w:rPr>
          <w:sz w:val="16"/>
        </w:rPr>
        <w:t>contar,</w:t>
      </w:r>
      <w:r>
        <w:rPr>
          <w:spacing w:val="-3"/>
          <w:sz w:val="16"/>
        </w:rPr>
        <w:t xml:space="preserve"> </w:t>
      </w:r>
      <w:r>
        <w:rPr>
          <w:sz w:val="16"/>
        </w:rPr>
        <w:t>en</w:t>
      </w:r>
      <w:r>
        <w:rPr>
          <w:spacing w:val="-5"/>
          <w:sz w:val="16"/>
        </w:rPr>
        <w:t xml:space="preserve"> </w:t>
      </w:r>
      <w:r>
        <w:rPr>
          <w:sz w:val="16"/>
        </w:rPr>
        <w:t>general,</w:t>
      </w:r>
      <w:r>
        <w:rPr>
          <w:spacing w:val="-3"/>
          <w:sz w:val="16"/>
        </w:rPr>
        <w:t xml:space="preserve"> </w:t>
      </w:r>
      <w:r>
        <w:rPr>
          <w:sz w:val="16"/>
        </w:rPr>
        <w:t>desde</w:t>
      </w:r>
      <w:r>
        <w:rPr>
          <w:spacing w:val="-4"/>
          <w:sz w:val="16"/>
        </w:rPr>
        <w:t xml:space="preserve"> </w:t>
      </w:r>
      <w:r>
        <w:rPr>
          <w:sz w:val="16"/>
        </w:rPr>
        <w:t>el</w:t>
      </w:r>
      <w:r>
        <w:rPr>
          <w:spacing w:val="-6"/>
          <w:sz w:val="16"/>
        </w:rPr>
        <w:t xml:space="preserve"> </w:t>
      </w:r>
      <w:r>
        <w:rPr>
          <w:sz w:val="16"/>
        </w:rPr>
        <w:t>día</w:t>
      </w:r>
      <w:r>
        <w:rPr>
          <w:spacing w:val="-2"/>
          <w:sz w:val="16"/>
        </w:rPr>
        <w:t xml:space="preserve"> </w:t>
      </w:r>
      <w:r>
        <w:rPr>
          <w:sz w:val="16"/>
        </w:rPr>
        <w:t>en</w:t>
      </w:r>
      <w:r>
        <w:rPr>
          <w:spacing w:val="-4"/>
          <w:sz w:val="16"/>
        </w:rPr>
        <w:t xml:space="preserve"> </w:t>
      </w:r>
      <w:r>
        <w:rPr>
          <w:sz w:val="16"/>
        </w:rPr>
        <w:t>que</w:t>
      </w:r>
      <w:r>
        <w:rPr>
          <w:spacing w:val="-1"/>
          <w:sz w:val="16"/>
        </w:rPr>
        <w:t xml:space="preserve"> </w:t>
      </w:r>
      <w:r>
        <w:rPr>
          <w:sz w:val="16"/>
        </w:rPr>
        <w:t>el</w:t>
      </w:r>
      <w:r>
        <w:rPr>
          <w:spacing w:val="-6"/>
          <w:sz w:val="16"/>
        </w:rPr>
        <w:t xml:space="preserve"> </w:t>
      </w:r>
      <w:r>
        <w:rPr>
          <w:sz w:val="16"/>
        </w:rPr>
        <w:t>delito</w:t>
      </w:r>
      <w:r>
        <w:rPr>
          <w:spacing w:val="-3"/>
          <w:sz w:val="16"/>
        </w:rPr>
        <w:t xml:space="preserve"> </w:t>
      </w:r>
      <w:r>
        <w:rPr>
          <w:sz w:val="16"/>
        </w:rPr>
        <w:t>se</w:t>
      </w:r>
      <w:r>
        <w:rPr>
          <w:spacing w:val="-5"/>
          <w:sz w:val="16"/>
        </w:rPr>
        <w:t xml:space="preserve"> </w:t>
      </w:r>
      <w:r>
        <w:rPr>
          <w:sz w:val="16"/>
        </w:rPr>
        <w:t>consumó,</w:t>
      </w:r>
      <w:r>
        <w:rPr>
          <w:spacing w:val="-4"/>
          <w:sz w:val="16"/>
        </w:rPr>
        <w:t xml:space="preserve"> </w:t>
      </w:r>
      <w:r>
        <w:rPr>
          <w:sz w:val="16"/>
        </w:rPr>
        <w:t>varían</w:t>
      </w:r>
      <w:r>
        <w:rPr>
          <w:spacing w:val="-3"/>
          <w:sz w:val="16"/>
        </w:rPr>
        <w:t xml:space="preserve"> </w:t>
      </w:r>
      <w:r>
        <w:rPr>
          <w:sz w:val="16"/>
        </w:rPr>
        <w:t>de</w:t>
      </w:r>
      <w:r>
        <w:rPr>
          <w:spacing w:val="-5"/>
          <w:sz w:val="16"/>
        </w:rPr>
        <w:t xml:space="preserve"> </w:t>
      </w:r>
      <w:r>
        <w:rPr>
          <w:sz w:val="16"/>
        </w:rPr>
        <w:t>un</w:t>
      </w:r>
      <w:r>
        <w:rPr>
          <w:spacing w:val="-3"/>
          <w:sz w:val="16"/>
        </w:rPr>
        <w:t xml:space="preserve"> </w:t>
      </w:r>
      <w:r>
        <w:rPr>
          <w:sz w:val="16"/>
        </w:rPr>
        <w:t>delito</w:t>
      </w:r>
      <w:r>
        <w:rPr>
          <w:spacing w:val="-4"/>
          <w:sz w:val="16"/>
        </w:rPr>
        <w:t xml:space="preserve"> </w:t>
      </w:r>
      <w:r>
        <w:rPr>
          <w:sz w:val="16"/>
        </w:rPr>
        <w:t>a</w:t>
      </w:r>
      <w:r>
        <w:rPr>
          <w:spacing w:val="-5"/>
          <w:sz w:val="16"/>
        </w:rPr>
        <w:t xml:space="preserve"> </w:t>
      </w:r>
      <w:r>
        <w:rPr>
          <w:sz w:val="16"/>
        </w:rPr>
        <w:t>otro, y</w:t>
      </w:r>
      <w:r>
        <w:rPr>
          <w:spacing w:val="-2"/>
          <w:sz w:val="16"/>
        </w:rPr>
        <w:t xml:space="preserve"> </w:t>
      </w:r>
      <w:r>
        <w:rPr>
          <w:sz w:val="16"/>
        </w:rPr>
        <w:t>se</w:t>
      </w:r>
      <w:r>
        <w:rPr>
          <w:spacing w:val="-4"/>
          <w:sz w:val="16"/>
        </w:rPr>
        <w:t xml:space="preserve"> </w:t>
      </w:r>
      <w:r>
        <w:rPr>
          <w:sz w:val="16"/>
        </w:rPr>
        <w:t>definen</w:t>
      </w:r>
      <w:r>
        <w:rPr>
          <w:spacing w:val="-6"/>
          <w:sz w:val="16"/>
        </w:rPr>
        <w:t xml:space="preserve"> </w:t>
      </w:r>
      <w:r>
        <w:rPr>
          <w:sz w:val="16"/>
        </w:rPr>
        <w:t>en</w:t>
      </w:r>
      <w:r>
        <w:rPr>
          <w:spacing w:val="-5"/>
          <w:sz w:val="16"/>
        </w:rPr>
        <w:t xml:space="preserve"> </w:t>
      </w:r>
      <w:r>
        <w:rPr>
          <w:sz w:val="16"/>
        </w:rPr>
        <w:t>función</w:t>
      </w:r>
      <w:r>
        <w:rPr>
          <w:spacing w:val="-5"/>
          <w:sz w:val="16"/>
        </w:rPr>
        <w:t xml:space="preserve"> </w:t>
      </w:r>
      <w:r>
        <w:rPr>
          <w:sz w:val="16"/>
        </w:rPr>
        <w:t>de</w:t>
      </w:r>
      <w:r>
        <w:rPr>
          <w:spacing w:val="-5"/>
          <w:sz w:val="16"/>
        </w:rPr>
        <w:t xml:space="preserve"> </w:t>
      </w:r>
      <w:r>
        <w:rPr>
          <w:sz w:val="16"/>
        </w:rPr>
        <w:t>la</w:t>
      </w:r>
      <w:r>
        <w:rPr>
          <w:spacing w:val="-5"/>
          <w:sz w:val="16"/>
        </w:rPr>
        <w:t xml:space="preserve"> </w:t>
      </w:r>
      <w:r>
        <w:rPr>
          <w:sz w:val="16"/>
        </w:rPr>
        <w:t>pena</w:t>
      </w:r>
      <w:r>
        <w:rPr>
          <w:spacing w:val="-2"/>
          <w:sz w:val="16"/>
        </w:rPr>
        <w:t xml:space="preserve"> </w:t>
      </w:r>
      <w:r>
        <w:rPr>
          <w:sz w:val="16"/>
        </w:rPr>
        <w:t>máxima</w:t>
      </w:r>
      <w:r>
        <w:rPr>
          <w:spacing w:val="-3"/>
          <w:sz w:val="16"/>
        </w:rPr>
        <w:t xml:space="preserve"> </w:t>
      </w:r>
      <w:r>
        <w:rPr>
          <w:sz w:val="16"/>
        </w:rPr>
        <w:t>establecida,</w:t>
      </w:r>
      <w:r>
        <w:rPr>
          <w:spacing w:val="-5"/>
          <w:sz w:val="16"/>
        </w:rPr>
        <w:t xml:space="preserve"> </w:t>
      </w:r>
      <w:r>
        <w:rPr>
          <w:sz w:val="16"/>
        </w:rPr>
        <w:t>en</w:t>
      </w:r>
      <w:r>
        <w:rPr>
          <w:spacing w:val="-5"/>
          <w:sz w:val="16"/>
        </w:rPr>
        <w:t xml:space="preserve"> </w:t>
      </w:r>
      <w:r>
        <w:rPr>
          <w:sz w:val="16"/>
        </w:rPr>
        <w:t>abstracto,</w:t>
      </w:r>
      <w:r>
        <w:rPr>
          <w:spacing w:val="-6"/>
          <w:sz w:val="16"/>
        </w:rPr>
        <w:t xml:space="preserve"> </w:t>
      </w:r>
      <w:r>
        <w:rPr>
          <w:sz w:val="16"/>
        </w:rPr>
        <w:t>para</w:t>
      </w:r>
      <w:r>
        <w:rPr>
          <w:spacing w:val="-2"/>
          <w:sz w:val="16"/>
        </w:rPr>
        <w:t xml:space="preserve"> </w:t>
      </w:r>
      <w:r>
        <w:rPr>
          <w:sz w:val="16"/>
        </w:rPr>
        <w:t>la</w:t>
      </w:r>
      <w:r>
        <w:rPr>
          <w:spacing w:val="-6"/>
          <w:sz w:val="16"/>
        </w:rPr>
        <w:t xml:space="preserve"> </w:t>
      </w:r>
      <w:r>
        <w:rPr>
          <w:sz w:val="16"/>
        </w:rPr>
        <w:t>conducta</w:t>
      </w:r>
      <w:r>
        <w:rPr>
          <w:spacing w:val="-2"/>
          <w:sz w:val="16"/>
        </w:rPr>
        <w:t xml:space="preserve"> </w:t>
      </w:r>
      <w:r>
        <w:rPr>
          <w:sz w:val="16"/>
        </w:rPr>
        <w:t>delictiva.</w:t>
      </w:r>
      <w:r>
        <w:rPr>
          <w:spacing w:val="-2"/>
          <w:sz w:val="16"/>
        </w:rPr>
        <w:t xml:space="preserve"> </w:t>
      </w:r>
      <w:r>
        <w:rPr>
          <w:sz w:val="16"/>
        </w:rPr>
        <w:t>A</w:t>
      </w:r>
      <w:r>
        <w:rPr>
          <w:spacing w:val="-2"/>
          <w:sz w:val="16"/>
        </w:rPr>
        <w:t xml:space="preserve"> </w:t>
      </w:r>
      <w:r>
        <w:rPr>
          <w:sz w:val="16"/>
        </w:rPr>
        <w:t>su</w:t>
      </w:r>
      <w:r>
        <w:rPr>
          <w:spacing w:val="-5"/>
          <w:sz w:val="16"/>
        </w:rPr>
        <w:t xml:space="preserve"> </w:t>
      </w:r>
      <w:r>
        <w:rPr>
          <w:sz w:val="16"/>
        </w:rPr>
        <w:t>vez,</w:t>
      </w:r>
      <w:r>
        <w:rPr>
          <w:spacing w:val="-5"/>
          <w:sz w:val="16"/>
        </w:rPr>
        <w:t xml:space="preserve"> </w:t>
      </w:r>
      <w:r>
        <w:rPr>
          <w:sz w:val="16"/>
        </w:rPr>
        <w:t>los</w:t>
      </w:r>
      <w:r>
        <w:rPr>
          <w:spacing w:val="-5"/>
          <w:sz w:val="16"/>
        </w:rPr>
        <w:t xml:space="preserve"> </w:t>
      </w:r>
      <w:r>
        <w:rPr>
          <w:sz w:val="16"/>
        </w:rPr>
        <w:t xml:space="preserve">plazos de la prescripción de la pretensión </w:t>
      </w:r>
      <w:r>
        <w:rPr>
          <w:i/>
          <w:sz w:val="16"/>
        </w:rPr>
        <w:t xml:space="preserve">ejecutoria </w:t>
      </w:r>
      <w:r>
        <w:rPr>
          <w:sz w:val="16"/>
        </w:rPr>
        <w:t>se rigen por la pena efectivamente aplicada por medio de la sentencia condenatoria y empiezan a contar desde el día en que la condena quedó firme. Sin embargo, solamente se puede reconocer este</w:t>
      </w:r>
      <w:r>
        <w:rPr>
          <w:sz w:val="16"/>
        </w:rPr>
        <w:t xml:space="preserve"> tipo de prescripción después de que la condena quede en firme para ambas partes. De acuerdo con la</w:t>
      </w:r>
      <w:r>
        <w:rPr>
          <w:spacing w:val="-9"/>
          <w:sz w:val="16"/>
        </w:rPr>
        <w:t xml:space="preserve"> </w:t>
      </w:r>
      <w:r>
        <w:rPr>
          <w:sz w:val="16"/>
        </w:rPr>
        <w:t>normativa</w:t>
      </w:r>
      <w:r>
        <w:rPr>
          <w:spacing w:val="-10"/>
          <w:sz w:val="16"/>
        </w:rPr>
        <w:t xml:space="preserve"> </w:t>
      </w:r>
      <w:r>
        <w:rPr>
          <w:sz w:val="16"/>
        </w:rPr>
        <w:t>penal</w:t>
      </w:r>
      <w:r>
        <w:rPr>
          <w:spacing w:val="-11"/>
          <w:sz w:val="16"/>
        </w:rPr>
        <w:t xml:space="preserve"> </w:t>
      </w:r>
      <w:r>
        <w:rPr>
          <w:sz w:val="16"/>
        </w:rPr>
        <w:t>brasileña,</w:t>
      </w:r>
      <w:r>
        <w:rPr>
          <w:spacing w:val="-12"/>
          <w:sz w:val="16"/>
        </w:rPr>
        <w:t xml:space="preserve"> </w:t>
      </w:r>
      <w:r>
        <w:rPr>
          <w:sz w:val="16"/>
        </w:rPr>
        <w:t>hay</w:t>
      </w:r>
      <w:r>
        <w:rPr>
          <w:spacing w:val="-7"/>
          <w:sz w:val="16"/>
        </w:rPr>
        <w:t xml:space="preserve"> </w:t>
      </w:r>
      <w:r>
        <w:rPr>
          <w:sz w:val="16"/>
        </w:rPr>
        <w:t>también</w:t>
      </w:r>
      <w:r>
        <w:rPr>
          <w:spacing w:val="-8"/>
          <w:sz w:val="16"/>
        </w:rPr>
        <w:t xml:space="preserve"> </w:t>
      </w:r>
      <w:r>
        <w:rPr>
          <w:sz w:val="16"/>
        </w:rPr>
        <w:t>una</w:t>
      </w:r>
      <w:r>
        <w:rPr>
          <w:spacing w:val="-11"/>
          <w:sz w:val="16"/>
        </w:rPr>
        <w:t xml:space="preserve"> </w:t>
      </w:r>
      <w:r>
        <w:rPr>
          <w:sz w:val="16"/>
        </w:rPr>
        <w:t>tercera</w:t>
      </w:r>
      <w:r>
        <w:rPr>
          <w:spacing w:val="-10"/>
          <w:sz w:val="16"/>
        </w:rPr>
        <w:t xml:space="preserve"> </w:t>
      </w:r>
      <w:r>
        <w:rPr>
          <w:sz w:val="16"/>
        </w:rPr>
        <w:t>especie</w:t>
      </w:r>
      <w:r>
        <w:rPr>
          <w:spacing w:val="-10"/>
          <w:sz w:val="16"/>
        </w:rPr>
        <w:t xml:space="preserve"> </w:t>
      </w:r>
      <w:r>
        <w:rPr>
          <w:sz w:val="16"/>
        </w:rPr>
        <w:t>de</w:t>
      </w:r>
      <w:r>
        <w:rPr>
          <w:spacing w:val="-11"/>
          <w:sz w:val="16"/>
        </w:rPr>
        <w:t xml:space="preserve"> </w:t>
      </w:r>
      <w:r>
        <w:rPr>
          <w:sz w:val="16"/>
        </w:rPr>
        <w:t>prescripción,</w:t>
      </w:r>
      <w:r>
        <w:rPr>
          <w:spacing w:val="-11"/>
          <w:sz w:val="16"/>
        </w:rPr>
        <w:t xml:space="preserve"> </w:t>
      </w:r>
      <w:r>
        <w:rPr>
          <w:sz w:val="16"/>
        </w:rPr>
        <w:t>la</w:t>
      </w:r>
      <w:r>
        <w:rPr>
          <w:spacing w:val="-10"/>
          <w:sz w:val="16"/>
        </w:rPr>
        <w:t xml:space="preserve"> </w:t>
      </w:r>
      <w:r>
        <w:rPr>
          <w:sz w:val="16"/>
        </w:rPr>
        <w:t>cual</w:t>
      </w:r>
      <w:r>
        <w:rPr>
          <w:spacing w:val="-11"/>
          <w:sz w:val="16"/>
        </w:rPr>
        <w:t xml:space="preserve"> </w:t>
      </w:r>
      <w:r>
        <w:rPr>
          <w:sz w:val="16"/>
        </w:rPr>
        <w:t>ocurre</w:t>
      </w:r>
      <w:r>
        <w:rPr>
          <w:spacing w:val="-13"/>
          <w:sz w:val="16"/>
        </w:rPr>
        <w:t xml:space="preserve"> </w:t>
      </w:r>
      <w:r>
        <w:rPr>
          <w:sz w:val="16"/>
        </w:rPr>
        <w:t>después</w:t>
      </w:r>
      <w:r>
        <w:rPr>
          <w:spacing w:val="-12"/>
          <w:sz w:val="16"/>
        </w:rPr>
        <w:t xml:space="preserve"> </w:t>
      </w:r>
      <w:r>
        <w:rPr>
          <w:sz w:val="16"/>
        </w:rPr>
        <w:t>de</w:t>
      </w:r>
      <w:r>
        <w:rPr>
          <w:spacing w:val="-10"/>
          <w:sz w:val="16"/>
        </w:rPr>
        <w:t xml:space="preserve"> </w:t>
      </w:r>
      <w:r>
        <w:rPr>
          <w:sz w:val="16"/>
        </w:rPr>
        <w:t>la</w:t>
      </w:r>
      <w:r>
        <w:rPr>
          <w:spacing w:val="-10"/>
          <w:sz w:val="16"/>
        </w:rPr>
        <w:t xml:space="preserve"> </w:t>
      </w:r>
      <w:r>
        <w:rPr>
          <w:sz w:val="16"/>
        </w:rPr>
        <w:t>sentencia penal condenatoria, cuando solamente la d</w:t>
      </w:r>
      <w:r>
        <w:rPr>
          <w:sz w:val="16"/>
        </w:rPr>
        <w:t>efensa haya interpuesto recurso, es decir, cuando la sentencia ya haya quedado en firme para la Fiscalía. A partir de este momento, el plazo de prescripción se calculará en función de la pena aplicada (y ya no de la pena máxima en abstracto). La prescripci</w:t>
      </w:r>
      <w:r>
        <w:rPr>
          <w:sz w:val="16"/>
        </w:rPr>
        <w:t xml:space="preserve">ón de la pretensión </w:t>
      </w:r>
      <w:r>
        <w:rPr>
          <w:i/>
          <w:sz w:val="16"/>
        </w:rPr>
        <w:t xml:space="preserve">punitiva </w:t>
      </w:r>
      <w:r>
        <w:rPr>
          <w:sz w:val="16"/>
        </w:rPr>
        <w:t>se puede interrumpir por los siguientes hechos: la admisibilidad de la denuncia o queja, la decisión de sometimiento del caso al</w:t>
      </w:r>
      <w:r>
        <w:rPr>
          <w:spacing w:val="-4"/>
          <w:sz w:val="16"/>
        </w:rPr>
        <w:t xml:space="preserve"> </w:t>
      </w:r>
      <w:r>
        <w:rPr>
          <w:sz w:val="16"/>
        </w:rPr>
        <w:t>Tribunal</w:t>
      </w:r>
      <w:r>
        <w:rPr>
          <w:spacing w:val="-6"/>
          <w:sz w:val="16"/>
        </w:rPr>
        <w:t xml:space="preserve"> </w:t>
      </w:r>
      <w:r>
        <w:rPr>
          <w:sz w:val="16"/>
        </w:rPr>
        <w:t>de</w:t>
      </w:r>
      <w:r>
        <w:rPr>
          <w:spacing w:val="-5"/>
          <w:sz w:val="16"/>
        </w:rPr>
        <w:t xml:space="preserve"> </w:t>
      </w:r>
      <w:r>
        <w:rPr>
          <w:sz w:val="16"/>
        </w:rPr>
        <w:t>Jurados</w:t>
      </w:r>
      <w:r>
        <w:rPr>
          <w:spacing w:val="-5"/>
          <w:sz w:val="16"/>
        </w:rPr>
        <w:t xml:space="preserve"> </w:t>
      </w:r>
      <w:r>
        <w:rPr>
          <w:sz w:val="16"/>
        </w:rPr>
        <w:t>(“</w:t>
      </w:r>
      <w:r>
        <w:rPr>
          <w:i/>
          <w:sz w:val="16"/>
        </w:rPr>
        <w:t>decisão</w:t>
      </w:r>
      <w:r>
        <w:rPr>
          <w:i/>
          <w:spacing w:val="-5"/>
          <w:sz w:val="16"/>
        </w:rPr>
        <w:t xml:space="preserve"> </w:t>
      </w:r>
      <w:r>
        <w:rPr>
          <w:i/>
          <w:sz w:val="16"/>
        </w:rPr>
        <w:t>de</w:t>
      </w:r>
      <w:r>
        <w:rPr>
          <w:i/>
          <w:spacing w:val="-5"/>
          <w:sz w:val="16"/>
        </w:rPr>
        <w:t xml:space="preserve"> </w:t>
      </w:r>
      <w:r>
        <w:rPr>
          <w:i/>
          <w:sz w:val="16"/>
        </w:rPr>
        <w:t>pronúncia</w:t>
      </w:r>
      <w:r>
        <w:rPr>
          <w:sz w:val="16"/>
        </w:rPr>
        <w:t>”),</w:t>
      </w:r>
      <w:r>
        <w:rPr>
          <w:spacing w:val="-3"/>
          <w:sz w:val="16"/>
        </w:rPr>
        <w:t xml:space="preserve"> </w:t>
      </w:r>
      <w:r>
        <w:rPr>
          <w:sz w:val="16"/>
        </w:rPr>
        <w:t>la</w:t>
      </w:r>
      <w:r>
        <w:rPr>
          <w:spacing w:val="-6"/>
          <w:sz w:val="16"/>
        </w:rPr>
        <w:t xml:space="preserve"> </w:t>
      </w:r>
      <w:r>
        <w:rPr>
          <w:sz w:val="16"/>
        </w:rPr>
        <w:t>decisión</w:t>
      </w:r>
      <w:r>
        <w:rPr>
          <w:spacing w:val="-8"/>
          <w:sz w:val="16"/>
        </w:rPr>
        <w:t xml:space="preserve"> </w:t>
      </w:r>
      <w:r>
        <w:rPr>
          <w:sz w:val="16"/>
        </w:rPr>
        <w:t>que</w:t>
      </w:r>
      <w:r>
        <w:rPr>
          <w:spacing w:val="-6"/>
          <w:sz w:val="16"/>
        </w:rPr>
        <w:t xml:space="preserve"> </w:t>
      </w:r>
      <w:r>
        <w:rPr>
          <w:sz w:val="16"/>
        </w:rPr>
        <w:t>confirma</w:t>
      </w:r>
      <w:r>
        <w:rPr>
          <w:spacing w:val="-6"/>
          <w:sz w:val="16"/>
        </w:rPr>
        <w:t xml:space="preserve"> </w:t>
      </w:r>
      <w:r>
        <w:rPr>
          <w:sz w:val="16"/>
        </w:rPr>
        <w:t>dicho</w:t>
      </w:r>
      <w:r>
        <w:rPr>
          <w:spacing w:val="-4"/>
          <w:sz w:val="16"/>
        </w:rPr>
        <w:t xml:space="preserve"> </w:t>
      </w:r>
      <w:r>
        <w:rPr>
          <w:sz w:val="16"/>
        </w:rPr>
        <w:t>sometimiento,</w:t>
      </w:r>
      <w:r>
        <w:rPr>
          <w:spacing w:val="-3"/>
          <w:sz w:val="16"/>
        </w:rPr>
        <w:t xml:space="preserve"> </w:t>
      </w:r>
      <w:r>
        <w:rPr>
          <w:sz w:val="16"/>
        </w:rPr>
        <w:t>y</w:t>
      </w:r>
      <w:r>
        <w:rPr>
          <w:spacing w:val="-5"/>
          <w:sz w:val="16"/>
        </w:rPr>
        <w:t xml:space="preserve"> </w:t>
      </w:r>
      <w:r>
        <w:rPr>
          <w:sz w:val="16"/>
        </w:rPr>
        <w:t>la</w:t>
      </w:r>
      <w:r>
        <w:rPr>
          <w:spacing w:val="-6"/>
          <w:sz w:val="16"/>
        </w:rPr>
        <w:t xml:space="preserve"> </w:t>
      </w:r>
      <w:r>
        <w:rPr>
          <w:sz w:val="16"/>
        </w:rPr>
        <w:t>publicación</w:t>
      </w:r>
      <w:r>
        <w:rPr>
          <w:spacing w:val="-6"/>
          <w:sz w:val="16"/>
        </w:rPr>
        <w:t xml:space="preserve"> </w:t>
      </w:r>
      <w:r>
        <w:rPr>
          <w:sz w:val="16"/>
        </w:rPr>
        <w:t>de</w:t>
      </w:r>
      <w:r>
        <w:rPr>
          <w:spacing w:val="-2"/>
          <w:sz w:val="16"/>
        </w:rPr>
        <w:t xml:space="preserve"> </w:t>
      </w:r>
      <w:r>
        <w:rPr>
          <w:sz w:val="16"/>
        </w:rPr>
        <w:t>las sentencias no definitivas. Una vez interrumpido el cómputo del plazo de prescripción, este comenzará a contarse nuevamente,</w:t>
      </w:r>
      <w:r>
        <w:rPr>
          <w:spacing w:val="-9"/>
          <w:sz w:val="16"/>
        </w:rPr>
        <w:t xml:space="preserve"> </w:t>
      </w:r>
      <w:r>
        <w:rPr>
          <w:sz w:val="16"/>
        </w:rPr>
        <w:t>desde</w:t>
      </w:r>
      <w:r>
        <w:rPr>
          <w:spacing w:val="-10"/>
          <w:sz w:val="16"/>
        </w:rPr>
        <w:t xml:space="preserve"> </w:t>
      </w:r>
      <w:r>
        <w:rPr>
          <w:sz w:val="16"/>
        </w:rPr>
        <w:t>cero,</w:t>
      </w:r>
      <w:r>
        <w:rPr>
          <w:spacing w:val="-8"/>
          <w:sz w:val="16"/>
        </w:rPr>
        <w:t xml:space="preserve"> </w:t>
      </w:r>
      <w:r>
        <w:rPr>
          <w:sz w:val="16"/>
        </w:rPr>
        <w:t>a</w:t>
      </w:r>
      <w:r>
        <w:rPr>
          <w:spacing w:val="-10"/>
          <w:sz w:val="16"/>
        </w:rPr>
        <w:t xml:space="preserve"> </w:t>
      </w:r>
      <w:r>
        <w:rPr>
          <w:sz w:val="16"/>
        </w:rPr>
        <w:t>partir</w:t>
      </w:r>
      <w:r>
        <w:rPr>
          <w:spacing w:val="-9"/>
          <w:sz w:val="16"/>
        </w:rPr>
        <w:t xml:space="preserve"> </w:t>
      </w:r>
      <w:r>
        <w:rPr>
          <w:sz w:val="16"/>
        </w:rPr>
        <w:t>de</w:t>
      </w:r>
      <w:r>
        <w:rPr>
          <w:spacing w:val="-10"/>
          <w:sz w:val="16"/>
        </w:rPr>
        <w:t xml:space="preserve"> </w:t>
      </w:r>
      <w:r>
        <w:rPr>
          <w:sz w:val="16"/>
        </w:rPr>
        <w:t>la</w:t>
      </w:r>
      <w:r>
        <w:rPr>
          <w:spacing w:val="-8"/>
          <w:sz w:val="16"/>
        </w:rPr>
        <w:t xml:space="preserve"> </w:t>
      </w:r>
      <w:r>
        <w:rPr>
          <w:sz w:val="16"/>
        </w:rPr>
        <w:t>fecha</w:t>
      </w:r>
      <w:r>
        <w:rPr>
          <w:spacing w:val="-10"/>
          <w:sz w:val="16"/>
        </w:rPr>
        <w:t xml:space="preserve"> </w:t>
      </w:r>
      <w:r>
        <w:rPr>
          <w:sz w:val="16"/>
        </w:rPr>
        <w:t>de</w:t>
      </w:r>
      <w:r>
        <w:rPr>
          <w:spacing w:val="-10"/>
          <w:sz w:val="16"/>
        </w:rPr>
        <w:t xml:space="preserve"> </w:t>
      </w:r>
      <w:r>
        <w:rPr>
          <w:sz w:val="16"/>
        </w:rPr>
        <w:t>la</w:t>
      </w:r>
      <w:r>
        <w:rPr>
          <w:spacing w:val="-8"/>
          <w:sz w:val="16"/>
        </w:rPr>
        <w:t xml:space="preserve"> </w:t>
      </w:r>
      <w:r>
        <w:rPr>
          <w:sz w:val="16"/>
        </w:rPr>
        <w:t>interrupción.</w:t>
      </w:r>
      <w:r>
        <w:rPr>
          <w:spacing w:val="-8"/>
          <w:sz w:val="16"/>
        </w:rPr>
        <w:t xml:space="preserve"> </w:t>
      </w:r>
      <w:r>
        <w:rPr>
          <w:sz w:val="16"/>
        </w:rPr>
        <w:t>Otra</w:t>
      </w:r>
      <w:r>
        <w:rPr>
          <w:spacing w:val="-10"/>
          <w:sz w:val="16"/>
        </w:rPr>
        <w:t xml:space="preserve"> </w:t>
      </w:r>
      <w:r>
        <w:rPr>
          <w:sz w:val="16"/>
        </w:rPr>
        <w:t>disposición</w:t>
      </w:r>
      <w:r>
        <w:rPr>
          <w:spacing w:val="-12"/>
          <w:sz w:val="16"/>
        </w:rPr>
        <w:t xml:space="preserve"> </w:t>
      </w:r>
      <w:r>
        <w:rPr>
          <w:sz w:val="16"/>
        </w:rPr>
        <w:t>relevante</w:t>
      </w:r>
      <w:r>
        <w:rPr>
          <w:spacing w:val="-9"/>
          <w:sz w:val="16"/>
        </w:rPr>
        <w:t xml:space="preserve"> </w:t>
      </w:r>
      <w:r>
        <w:rPr>
          <w:sz w:val="16"/>
        </w:rPr>
        <w:t>del</w:t>
      </w:r>
      <w:r>
        <w:rPr>
          <w:spacing w:val="-11"/>
          <w:sz w:val="16"/>
        </w:rPr>
        <w:t xml:space="preserve"> </w:t>
      </w:r>
      <w:r>
        <w:rPr>
          <w:sz w:val="16"/>
        </w:rPr>
        <w:t>Código</w:t>
      </w:r>
      <w:r>
        <w:rPr>
          <w:spacing w:val="-9"/>
          <w:sz w:val="16"/>
        </w:rPr>
        <w:t xml:space="preserve"> </w:t>
      </w:r>
      <w:r>
        <w:rPr>
          <w:sz w:val="16"/>
        </w:rPr>
        <w:t>Pen</w:t>
      </w:r>
      <w:r>
        <w:rPr>
          <w:sz w:val="16"/>
        </w:rPr>
        <w:t>al</w:t>
      </w:r>
      <w:r>
        <w:rPr>
          <w:spacing w:val="-8"/>
          <w:sz w:val="16"/>
        </w:rPr>
        <w:t xml:space="preserve"> </w:t>
      </w:r>
      <w:r>
        <w:rPr>
          <w:sz w:val="16"/>
        </w:rPr>
        <w:t xml:space="preserve">brasileño establece que el plazo de prescripción se reducirá a la mitad cuando el delincuente tenga menos de 21 años en la fecha del delito o más de 70 en la fecha de la sentencia. </w:t>
      </w:r>
      <w:r>
        <w:rPr>
          <w:i/>
          <w:sz w:val="16"/>
        </w:rPr>
        <w:t xml:space="preserve">Cfr. </w:t>
      </w:r>
      <w:r>
        <w:rPr>
          <w:sz w:val="16"/>
        </w:rPr>
        <w:t>Código Penal de Brasil. Decreto Legislativo No. 2.848, promulgado e</w:t>
      </w:r>
      <w:r>
        <w:rPr>
          <w:sz w:val="16"/>
        </w:rPr>
        <w:t xml:space="preserve">l 7 de diciembre de 1940, artículos 109 a 119. Disponible en: </w:t>
      </w:r>
      <w:hyperlink r:id="rId15">
        <w:r>
          <w:rPr>
            <w:sz w:val="16"/>
            <w:u w:val="single"/>
          </w:rPr>
          <w:t>http://www.planalto.gov.br/ccivil_03/decreto-lei/del2848compilado.htm</w:t>
        </w:r>
      </w:hyperlink>
      <w:r>
        <w:rPr>
          <w:sz w:val="16"/>
        </w:rPr>
        <w:t>.</w:t>
      </w:r>
    </w:p>
    <w:p w14:paraId="64FD514E" w14:textId="77777777" w:rsidR="00467FCA" w:rsidRDefault="001B68EB">
      <w:pPr>
        <w:tabs>
          <w:tab w:val="left" w:pos="839"/>
        </w:tabs>
        <w:spacing w:before="1"/>
        <w:ind w:left="119" w:right="115"/>
        <w:jc w:val="both"/>
        <w:rPr>
          <w:sz w:val="16"/>
        </w:rPr>
      </w:pPr>
      <w:bookmarkStart w:id="195" w:name="_bookmark166"/>
      <w:bookmarkEnd w:id="195"/>
      <w:r>
        <w:rPr>
          <w:position w:val="6"/>
          <w:sz w:val="10"/>
        </w:rPr>
        <w:t>139</w:t>
      </w:r>
      <w:r>
        <w:rPr>
          <w:position w:val="6"/>
          <w:sz w:val="10"/>
        </w:rPr>
        <w:tab/>
      </w:r>
      <w:r>
        <w:rPr>
          <w:i/>
          <w:sz w:val="16"/>
        </w:rPr>
        <w:t xml:space="preserve">Cfr. </w:t>
      </w:r>
      <w:r>
        <w:rPr>
          <w:sz w:val="16"/>
        </w:rPr>
        <w:t xml:space="preserve">Decisión de la cautelar en el Proceso del </w:t>
      </w:r>
      <w:r>
        <w:rPr>
          <w:i/>
          <w:sz w:val="16"/>
        </w:rPr>
        <w:t xml:space="preserve">habeas corpus </w:t>
      </w:r>
      <w:r>
        <w:rPr>
          <w:sz w:val="16"/>
        </w:rPr>
        <w:t>No. 527.573 de 26 de agosto de 2019 (expediente</w:t>
      </w:r>
      <w:r>
        <w:rPr>
          <w:spacing w:val="-14"/>
          <w:sz w:val="16"/>
        </w:rPr>
        <w:t xml:space="preserve"> </w:t>
      </w:r>
      <w:r>
        <w:rPr>
          <w:sz w:val="16"/>
        </w:rPr>
        <w:t>de</w:t>
      </w:r>
      <w:r>
        <w:rPr>
          <w:spacing w:val="-14"/>
          <w:sz w:val="16"/>
        </w:rPr>
        <w:t xml:space="preserve"> </w:t>
      </w:r>
      <w:r>
        <w:rPr>
          <w:sz w:val="16"/>
        </w:rPr>
        <w:t>prueba,</w:t>
      </w:r>
      <w:r>
        <w:rPr>
          <w:spacing w:val="-15"/>
          <w:sz w:val="16"/>
        </w:rPr>
        <w:t xml:space="preserve"> </w:t>
      </w:r>
      <w:r>
        <w:rPr>
          <w:sz w:val="16"/>
        </w:rPr>
        <w:t>folios</w:t>
      </w:r>
      <w:r>
        <w:rPr>
          <w:spacing w:val="-16"/>
          <w:sz w:val="16"/>
        </w:rPr>
        <w:t xml:space="preserve"> </w:t>
      </w:r>
      <w:r>
        <w:rPr>
          <w:sz w:val="16"/>
        </w:rPr>
        <w:t>4477</w:t>
      </w:r>
      <w:r>
        <w:rPr>
          <w:spacing w:val="-14"/>
          <w:sz w:val="16"/>
        </w:rPr>
        <w:t xml:space="preserve"> </w:t>
      </w:r>
      <w:r>
        <w:rPr>
          <w:sz w:val="16"/>
        </w:rPr>
        <w:t>a</w:t>
      </w:r>
      <w:r>
        <w:rPr>
          <w:spacing w:val="-15"/>
          <w:sz w:val="16"/>
        </w:rPr>
        <w:t xml:space="preserve"> </w:t>
      </w:r>
      <w:r>
        <w:rPr>
          <w:sz w:val="16"/>
        </w:rPr>
        <w:t>4478),</w:t>
      </w:r>
      <w:r>
        <w:rPr>
          <w:spacing w:val="-14"/>
          <w:sz w:val="16"/>
        </w:rPr>
        <w:t xml:space="preserve"> </w:t>
      </w:r>
      <w:r>
        <w:rPr>
          <w:sz w:val="16"/>
        </w:rPr>
        <w:t>y</w:t>
      </w:r>
      <w:r>
        <w:rPr>
          <w:spacing w:val="-14"/>
          <w:sz w:val="16"/>
        </w:rPr>
        <w:t xml:space="preserve"> </w:t>
      </w:r>
      <w:r>
        <w:rPr>
          <w:sz w:val="16"/>
        </w:rPr>
        <w:t>Decisión</w:t>
      </w:r>
      <w:r>
        <w:rPr>
          <w:spacing w:val="-15"/>
          <w:sz w:val="16"/>
        </w:rPr>
        <w:t xml:space="preserve"> </w:t>
      </w:r>
      <w:r>
        <w:rPr>
          <w:sz w:val="16"/>
        </w:rPr>
        <w:t>sobre</w:t>
      </w:r>
      <w:r>
        <w:rPr>
          <w:spacing w:val="-12"/>
          <w:sz w:val="16"/>
        </w:rPr>
        <w:t xml:space="preserve"> </w:t>
      </w:r>
      <w:r>
        <w:rPr>
          <w:sz w:val="16"/>
        </w:rPr>
        <w:t>la</w:t>
      </w:r>
      <w:r>
        <w:rPr>
          <w:spacing w:val="-12"/>
          <w:sz w:val="16"/>
        </w:rPr>
        <w:t xml:space="preserve"> </w:t>
      </w:r>
      <w:r>
        <w:rPr>
          <w:sz w:val="16"/>
        </w:rPr>
        <w:t>medida</w:t>
      </w:r>
      <w:r>
        <w:rPr>
          <w:spacing w:val="-15"/>
          <w:sz w:val="16"/>
        </w:rPr>
        <w:t xml:space="preserve"> </w:t>
      </w:r>
      <w:r>
        <w:rPr>
          <w:sz w:val="16"/>
        </w:rPr>
        <w:t>cautelar</w:t>
      </w:r>
      <w:r>
        <w:rPr>
          <w:spacing w:val="-14"/>
          <w:sz w:val="16"/>
        </w:rPr>
        <w:t xml:space="preserve"> </w:t>
      </w:r>
      <w:r>
        <w:rPr>
          <w:sz w:val="16"/>
        </w:rPr>
        <w:t>en</w:t>
      </w:r>
      <w:r>
        <w:rPr>
          <w:spacing w:val="-15"/>
          <w:sz w:val="16"/>
        </w:rPr>
        <w:t xml:space="preserve"> </w:t>
      </w:r>
      <w:r>
        <w:rPr>
          <w:sz w:val="16"/>
        </w:rPr>
        <w:t>el</w:t>
      </w:r>
      <w:r>
        <w:rPr>
          <w:spacing w:val="-14"/>
          <w:sz w:val="16"/>
        </w:rPr>
        <w:t xml:space="preserve"> </w:t>
      </w:r>
      <w:r>
        <w:rPr>
          <w:sz w:val="16"/>
        </w:rPr>
        <w:t>pedido</w:t>
      </w:r>
      <w:r>
        <w:rPr>
          <w:spacing w:val="-14"/>
          <w:sz w:val="16"/>
        </w:rPr>
        <w:t xml:space="preserve"> </w:t>
      </w:r>
      <w:r>
        <w:rPr>
          <w:sz w:val="16"/>
        </w:rPr>
        <w:t>de</w:t>
      </w:r>
      <w:r>
        <w:rPr>
          <w:spacing w:val="-14"/>
          <w:sz w:val="16"/>
        </w:rPr>
        <w:t xml:space="preserve"> </w:t>
      </w:r>
      <w:r>
        <w:rPr>
          <w:sz w:val="16"/>
        </w:rPr>
        <w:t>extensión</w:t>
      </w:r>
      <w:r>
        <w:rPr>
          <w:spacing w:val="-14"/>
          <w:sz w:val="16"/>
        </w:rPr>
        <w:t xml:space="preserve"> </w:t>
      </w:r>
      <w:r>
        <w:rPr>
          <w:sz w:val="16"/>
        </w:rPr>
        <w:t>del</w:t>
      </w:r>
      <w:r>
        <w:rPr>
          <w:spacing w:val="-15"/>
          <w:sz w:val="16"/>
        </w:rPr>
        <w:t xml:space="preserve"> </w:t>
      </w:r>
      <w:r>
        <w:rPr>
          <w:sz w:val="16"/>
        </w:rPr>
        <w:t xml:space="preserve">proceso de </w:t>
      </w:r>
      <w:r>
        <w:rPr>
          <w:i/>
          <w:sz w:val="16"/>
        </w:rPr>
        <w:t xml:space="preserve">habeas corpus </w:t>
      </w:r>
      <w:r>
        <w:rPr>
          <w:sz w:val="16"/>
        </w:rPr>
        <w:t>No. 527.573-BA de 28 de agost</w:t>
      </w:r>
      <w:r>
        <w:rPr>
          <w:sz w:val="16"/>
        </w:rPr>
        <w:t>o de 2019 (expediente de prueba, folio</w:t>
      </w:r>
      <w:r>
        <w:rPr>
          <w:spacing w:val="-20"/>
          <w:sz w:val="16"/>
        </w:rPr>
        <w:t xml:space="preserve"> </w:t>
      </w:r>
      <w:r>
        <w:rPr>
          <w:sz w:val="16"/>
        </w:rPr>
        <w:t>4480).</w:t>
      </w:r>
    </w:p>
    <w:p w14:paraId="6525190A" w14:textId="77777777" w:rsidR="00467FCA" w:rsidRDefault="00467FCA">
      <w:pPr>
        <w:jc w:val="both"/>
        <w:rPr>
          <w:sz w:val="16"/>
        </w:rPr>
        <w:sectPr w:rsidR="00467FCA">
          <w:pgSz w:w="12240" w:h="15840"/>
          <w:pgMar w:top="1360" w:right="1320" w:bottom="1220" w:left="1320" w:header="0" w:footer="1037" w:gutter="0"/>
          <w:cols w:space="720"/>
        </w:sectPr>
      </w:pPr>
    </w:p>
    <w:p w14:paraId="5B3E9090" w14:textId="77777777" w:rsidR="00467FCA" w:rsidRDefault="001B68EB">
      <w:pPr>
        <w:pStyle w:val="Textoindependiente"/>
        <w:spacing w:before="80"/>
        <w:ind w:left="119" w:right="36"/>
      </w:pPr>
      <w:r>
        <w:t>nuevamente la apelación, con la debida notificación a los abogados de la defensa</w:t>
      </w:r>
      <w:hyperlink w:anchor="_bookmark168" w:history="1">
        <w:r>
          <w:rPr>
            <w:position w:val="7"/>
            <w:sz w:val="13"/>
          </w:rPr>
          <w:t>140</w:t>
        </w:r>
      </w:hyperlink>
      <w:r>
        <w:t>. Por lo tanto, el proceso penal aún no ha concluido.</w:t>
      </w:r>
    </w:p>
    <w:p w14:paraId="0A3CCECA" w14:textId="77777777" w:rsidR="00467FCA" w:rsidRDefault="00467FCA">
      <w:pPr>
        <w:pStyle w:val="Textoindependiente"/>
        <w:spacing w:before="1"/>
      </w:pPr>
    </w:p>
    <w:p w14:paraId="59D5D321" w14:textId="77777777" w:rsidR="00467FCA" w:rsidRDefault="001B68EB">
      <w:pPr>
        <w:pStyle w:val="Ttulo2"/>
        <w:numPr>
          <w:ilvl w:val="1"/>
          <w:numId w:val="44"/>
        </w:numPr>
        <w:tabs>
          <w:tab w:val="left" w:pos="1423"/>
          <w:tab w:val="left" w:pos="1424"/>
        </w:tabs>
        <w:ind w:hanging="585"/>
      </w:pPr>
      <w:bookmarkStart w:id="196" w:name="D.2___Procesos_civiles"/>
      <w:bookmarkStart w:id="197" w:name="_bookmark167"/>
      <w:bookmarkEnd w:id="196"/>
      <w:bookmarkEnd w:id="197"/>
      <w:r>
        <w:t>Procesos</w:t>
      </w:r>
      <w:r>
        <w:rPr>
          <w:spacing w:val="-1"/>
        </w:rPr>
        <w:t xml:space="preserve"> </w:t>
      </w:r>
      <w:r>
        <w:t>civiles</w:t>
      </w:r>
    </w:p>
    <w:p w14:paraId="7B117838" w14:textId="77777777" w:rsidR="00467FCA" w:rsidRDefault="00467FCA">
      <w:pPr>
        <w:pStyle w:val="Textoindependiente"/>
        <w:spacing w:before="10"/>
        <w:rPr>
          <w:b/>
          <w:i/>
          <w:sz w:val="19"/>
        </w:rPr>
      </w:pPr>
    </w:p>
    <w:p w14:paraId="683DF760" w14:textId="77777777" w:rsidR="00467FCA" w:rsidRDefault="001B68EB">
      <w:pPr>
        <w:pStyle w:val="Prrafodelista"/>
        <w:numPr>
          <w:ilvl w:val="0"/>
          <w:numId w:val="50"/>
        </w:numPr>
        <w:tabs>
          <w:tab w:val="left" w:pos="687"/>
        </w:tabs>
        <w:spacing w:before="1"/>
        <w:ind w:right="117" w:hanging="1"/>
        <w:jc w:val="both"/>
        <w:rPr>
          <w:sz w:val="20"/>
        </w:rPr>
      </w:pPr>
      <w:r>
        <w:rPr>
          <w:sz w:val="20"/>
        </w:rPr>
        <w:t>En el ámbito civil, fueron iniciados dos procesos: i) contra el Estado de Brasil, contra el estado de Bahia, contra la municipalidad de Santo Antônio de Jesus y contra la empresa de Mário</w:t>
      </w:r>
      <w:r>
        <w:rPr>
          <w:spacing w:val="-5"/>
          <w:sz w:val="20"/>
        </w:rPr>
        <w:t xml:space="preserve"> </w:t>
      </w:r>
      <w:r>
        <w:rPr>
          <w:sz w:val="20"/>
        </w:rPr>
        <w:t>Fróes</w:t>
      </w:r>
      <w:r>
        <w:rPr>
          <w:spacing w:val="-4"/>
          <w:sz w:val="20"/>
        </w:rPr>
        <w:t xml:space="preserve"> </w:t>
      </w:r>
      <w:r>
        <w:rPr>
          <w:sz w:val="20"/>
        </w:rPr>
        <w:t>Prazeres</w:t>
      </w:r>
      <w:r>
        <w:rPr>
          <w:spacing w:val="-5"/>
          <w:sz w:val="20"/>
        </w:rPr>
        <w:t xml:space="preserve"> </w:t>
      </w:r>
      <w:r>
        <w:rPr>
          <w:sz w:val="20"/>
        </w:rPr>
        <w:t>Bastos;</w:t>
      </w:r>
      <w:r>
        <w:rPr>
          <w:spacing w:val="-2"/>
          <w:sz w:val="20"/>
        </w:rPr>
        <w:t xml:space="preserve"> </w:t>
      </w:r>
      <w:r>
        <w:rPr>
          <w:sz w:val="20"/>
        </w:rPr>
        <w:t>y</w:t>
      </w:r>
      <w:r>
        <w:rPr>
          <w:spacing w:val="-6"/>
          <w:sz w:val="20"/>
        </w:rPr>
        <w:t xml:space="preserve"> </w:t>
      </w:r>
      <w:r>
        <w:rPr>
          <w:sz w:val="20"/>
        </w:rPr>
        <w:t>ii)</w:t>
      </w:r>
      <w:r>
        <w:rPr>
          <w:spacing w:val="-3"/>
          <w:sz w:val="20"/>
        </w:rPr>
        <w:t xml:space="preserve"> </w:t>
      </w:r>
      <w:r>
        <w:rPr>
          <w:sz w:val="20"/>
        </w:rPr>
        <w:t>contra</w:t>
      </w:r>
      <w:r>
        <w:rPr>
          <w:spacing w:val="-3"/>
          <w:sz w:val="20"/>
        </w:rPr>
        <w:t xml:space="preserve"> </w:t>
      </w:r>
      <w:r>
        <w:rPr>
          <w:sz w:val="20"/>
        </w:rPr>
        <w:t>Osvaldo</w:t>
      </w:r>
      <w:r>
        <w:rPr>
          <w:spacing w:val="-7"/>
          <w:sz w:val="20"/>
        </w:rPr>
        <w:t xml:space="preserve"> </w:t>
      </w:r>
      <w:r>
        <w:rPr>
          <w:sz w:val="20"/>
        </w:rPr>
        <w:t>Prazeres</w:t>
      </w:r>
      <w:r>
        <w:rPr>
          <w:spacing w:val="-5"/>
          <w:sz w:val="20"/>
        </w:rPr>
        <w:t xml:space="preserve"> </w:t>
      </w:r>
      <w:r>
        <w:rPr>
          <w:sz w:val="20"/>
        </w:rPr>
        <w:t>Bastos,</w:t>
      </w:r>
      <w:r>
        <w:rPr>
          <w:spacing w:val="-4"/>
          <w:sz w:val="20"/>
        </w:rPr>
        <w:t xml:space="preserve"> </w:t>
      </w:r>
      <w:r>
        <w:rPr>
          <w:sz w:val="20"/>
        </w:rPr>
        <w:t>Maria</w:t>
      </w:r>
      <w:r>
        <w:rPr>
          <w:spacing w:val="-5"/>
          <w:sz w:val="20"/>
        </w:rPr>
        <w:t xml:space="preserve"> </w:t>
      </w:r>
      <w:r>
        <w:rPr>
          <w:sz w:val="20"/>
        </w:rPr>
        <w:t>Julieta</w:t>
      </w:r>
      <w:r>
        <w:rPr>
          <w:spacing w:val="-6"/>
          <w:sz w:val="20"/>
        </w:rPr>
        <w:t xml:space="preserve"> </w:t>
      </w:r>
      <w:r>
        <w:rPr>
          <w:sz w:val="20"/>
        </w:rPr>
        <w:t>Fróes</w:t>
      </w:r>
      <w:r>
        <w:rPr>
          <w:spacing w:val="-4"/>
          <w:sz w:val="20"/>
        </w:rPr>
        <w:t xml:space="preserve"> </w:t>
      </w:r>
      <w:r>
        <w:rPr>
          <w:sz w:val="20"/>
        </w:rPr>
        <w:t>Bastos y Mário Fróes Prazeres</w:t>
      </w:r>
      <w:r>
        <w:rPr>
          <w:spacing w:val="-3"/>
          <w:sz w:val="20"/>
        </w:rPr>
        <w:t xml:space="preserve"> </w:t>
      </w:r>
      <w:r>
        <w:rPr>
          <w:sz w:val="20"/>
        </w:rPr>
        <w:t>Bastos.</w:t>
      </w:r>
    </w:p>
    <w:p w14:paraId="2C48019B" w14:textId="77777777" w:rsidR="00467FCA" w:rsidRDefault="00467FCA">
      <w:pPr>
        <w:pStyle w:val="Textoindependiente"/>
        <w:spacing w:before="1"/>
      </w:pPr>
    </w:p>
    <w:p w14:paraId="61726814" w14:textId="77777777" w:rsidR="00467FCA" w:rsidRDefault="001B68EB">
      <w:pPr>
        <w:pStyle w:val="Ttulo1"/>
        <w:numPr>
          <w:ilvl w:val="0"/>
          <w:numId w:val="43"/>
        </w:numPr>
        <w:tabs>
          <w:tab w:val="left" w:pos="1561"/>
        </w:tabs>
        <w:ind w:right="116"/>
        <w:jc w:val="both"/>
      </w:pPr>
      <w:bookmarkStart w:id="198" w:name="a._Causa_civil_contra_el_Estado_de_Brasi"/>
      <w:bookmarkEnd w:id="198"/>
      <w:r>
        <w:t>Causa civil contra el Estado de Brasil, el estado de Bahia, la Municipalidad de Santo Antônio de Jesus y la empresa Mário Fróes Prazeres Bastos (fábrica de</w:t>
      </w:r>
      <w:r>
        <w:rPr>
          <w:spacing w:val="-2"/>
        </w:rPr>
        <w:t xml:space="preserve"> </w:t>
      </w:r>
      <w:r>
        <w:t>fuegos)</w:t>
      </w:r>
    </w:p>
    <w:p w14:paraId="7D0FC01F" w14:textId="77777777" w:rsidR="00467FCA" w:rsidRDefault="00467FCA">
      <w:pPr>
        <w:pStyle w:val="Textoindependiente"/>
        <w:rPr>
          <w:b/>
        </w:rPr>
      </w:pPr>
    </w:p>
    <w:p w14:paraId="604A64F0" w14:textId="77777777" w:rsidR="00467FCA" w:rsidRDefault="001B68EB">
      <w:pPr>
        <w:pStyle w:val="Prrafodelista"/>
        <w:numPr>
          <w:ilvl w:val="0"/>
          <w:numId w:val="50"/>
        </w:numPr>
        <w:tabs>
          <w:tab w:val="left" w:pos="687"/>
        </w:tabs>
        <w:ind w:left="119" w:right="118" w:hanging="1"/>
        <w:jc w:val="both"/>
        <w:rPr>
          <w:sz w:val="20"/>
        </w:rPr>
      </w:pPr>
      <w:r>
        <w:rPr>
          <w:sz w:val="20"/>
        </w:rPr>
        <w:t>El</w:t>
      </w:r>
      <w:r>
        <w:rPr>
          <w:spacing w:val="-20"/>
          <w:sz w:val="20"/>
        </w:rPr>
        <w:t xml:space="preserve"> </w:t>
      </w:r>
      <w:r>
        <w:rPr>
          <w:sz w:val="20"/>
        </w:rPr>
        <w:t>4</w:t>
      </w:r>
      <w:r>
        <w:rPr>
          <w:spacing w:val="-19"/>
          <w:sz w:val="20"/>
        </w:rPr>
        <w:t xml:space="preserve"> </w:t>
      </w:r>
      <w:r>
        <w:rPr>
          <w:sz w:val="20"/>
        </w:rPr>
        <w:t>de</w:t>
      </w:r>
      <w:r>
        <w:rPr>
          <w:spacing w:val="-21"/>
          <w:sz w:val="20"/>
        </w:rPr>
        <w:t xml:space="preserve"> </w:t>
      </w:r>
      <w:r>
        <w:rPr>
          <w:sz w:val="20"/>
        </w:rPr>
        <w:t>marzo</w:t>
      </w:r>
      <w:r>
        <w:rPr>
          <w:spacing w:val="-21"/>
          <w:sz w:val="20"/>
        </w:rPr>
        <w:t xml:space="preserve"> </w:t>
      </w:r>
      <w:r>
        <w:rPr>
          <w:sz w:val="20"/>
        </w:rPr>
        <w:t>de</w:t>
      </w:r>
      <w:r>
        <w:rPr>
          <w:spacing w:val="-19"/>
          <w:sz w:val="20"/>
        </w:rPr>
        <w:t xml:space="preserve"> </w:t>
      </w:r>
      <w:r>
        <w:rPr>
          <w:sz w:val="20"/>
        </w:rPr>
        <w:t>2002,</w:t>
      </w:r>
      <w:r>
        <w:rPr>
          <w:spacing w:val="-20"/>
          <w:sz w:val="20"/>
        </w:rPr>
        <w:t xml:space="preserve"> </w:t>
      </w:r>
      <w:r>
        <w:rPr>
          <w:sz w:val="20"/>
        </w:rPr>
        <w:t>las</w:t>
      </w:r>
      <w:r>
        <w:rPr>
          <w:spacing w:val="-21"/>
          <w:sz w:val="20"/>
        </w:rPr>
        <w:t xml:space="preserve"> </w:t>
      </w:r>
      <w:r>
        <w:rPr>
          <w:sz w:val="20"/>
        </w:rPr>
        <w:t>presu</w:t>
      </w:r>
      <w:r>
        <w:rPr>
          <w:sz w:val="20"/>
        </w:rPr>
        <w:t>ntas</w:t>
      </w:r>
      <w:r>
        <w:rPr>
          <w:spacing w:val="-21"/>
          <w:sz w:val="20"/>
        </w:rPr>
        <w:t xml:space="preserve"> </w:t>
      </w:r>
      <w:r>
        <w:rPr>
          <w:sz w:val="20"/>
        </w:rPr>
        <w:t>víctimas</w:t>
      </w:r>
      <w:r>
        <w:rPr>
          <w:spacing w:val="-21"/>
          <w:sz w:val="20"/>
        </w:rPr>
        <w:t xml:space="preserve"> </w:t>
      </w:r>
      <w:r>
        <w:rPr>
          <w:sz w:val="20"/>
        </w:rPr>
        <w:t>y</w:t>
      </w:r>
      <w:r>
        <w:rPr>
          <w:spacing w:val="-15"/>
          <w:sz w:val="20"/>
        </w:rPr>
        <w:t xml:space="preserve"> </w:t>
      </w:r>
      <w:r>
        <w:rPr>
          <w:sz w:val="20"/>
        </w:rPr>
        <w:t>sus</w:t>
      </w:r>
      <w:r>
        <w:rPr>
          <w:spacing w:val="-21"/>
          <w:sz w:val="20"/>
        </w:rPr>
        <w:t xml:space="preserve"> </w:t>
      </w:r>
      <w:r>
        <w:rPr>
          <w:sz w:val="20"/>
        </w:rPr>
        <w:t>familiares</w:t>
      </w:r>
      <w:r>
        <w:rPr>
          <w:spacing w:val="-18"/>
          <w:sz w:val="20"/>
        </w:rPr>
        <w:t xml:space="preserve"> </w:t>
      </w:r>
      <w:r>
        <w:rPr>
          <w:sz w:val="20"/>
        </w:rPr>
        <w:t>presentaron</w:t>
      </w:r>
      <w:r>
        <w:rPr>
          <w:spacing w:val="-19"/>
          <w:sz w:val="20"/>
        </w:rPr>
        <w:t xml:space="preserve"> </w:t>
      </w:r>
      <w:r>
        <w:rPr>
          <w:sz w:val="20"/>
        </w:rPr>
        <w:t>una</w:t>
      </w:r>
      <w:r>
        <w:rPr>
          <w:spacing w:val="-20"/>
          <w:sz w:val="20"/>
        </w:rPr>
        <w:t xml:space="preserve"> </w:t>
      </w:r>
      <w:r>
        <w:rPr>
          <w:sz w:val="20"/>
        </w:rPr>
        <w:t>demanda contra el Estado de Brasil, el estado de Bahia, la Municipalidad de Santo Antônio de Jesus y la</w:t>
      </w:r>
      <w:r>
        <w:rPr>
          <w:spacing w:val="-17"/>
          <w:sz w:val="20"/>
        </w:rPr>
        <w:t xml:space="preserve"> </w:t>
      </w:r>
      <w:r>
        <w:rPr>
          <w:sz w:val="20"/>
        </w:rPr>
        <w:t>empresa</w:t>
      </w:r>
      <w:r>
        <w:rPr>
          <w:spacing w:val="-17"/>
          <w:sz w:val="20"/>
        </w:rPr>
        <w:t xml:space="preserve"> </w:t>
      </w:r>
      <w:r>
        <w:rPr>
          <w:sz w:val="20"/>
        </w:rPr>
        <w:t>de</w:t>
      </w:r>
      <w:r>
        <w:rPr>
          <w:spacing w:val="-19"/>
          <w:sz w:val="20"/>
        </w:rPr>
        <w:t xml:space="preserve"> </w:t>
      </w:r>
      <w:r>
        <w:rPr>
          <w:sz w:val="20"/>
        </w:rPr>
        <w:t>Mário</w:t>
      </w:r>
      <w:r>
        <w:rPr>
          <w:spacing w:val="-19"/>
          <w:sz w:val="20"/>
        </w:rPr>
        <w:t xml:space="preserve"> </w:t>
      </w:r>
      <w:r>
        <w:rPr>
          <w:sz w:val="20"/>
        </w:rPr>
        <w:t>Fróes</w:t>
      </w:r>
      <w:r>
        <w:rPr>
          <w:spacing w:val="-18"/>
          <w:sz w:val="20"/>
        </w:rPr>
        <w:t xml:space="preserve"> </w:t>
      </w:r>
      <w:r>
        <w:rPr>
          <w:sz w:val="20"/>
        </w:rPr>
        <w:t>Prazeres</w:t>
      </w:r>
      <w:r>
        <w:rPr>
          <w:spacing w:val="-18"/>
          <w:sz w:val="20"/>
        </w:rPr>
        <w:t xml:space="preserve"> </w:t>
      </w:r>
      <w:r>
        <w:rPr>
          <w:sz w:val="20"/>
        </w:rPr>
        <w:t>Bastos</w:t>
      </w:r>
      <w:r>
        <w:rPr>
          <w:spacing w:val="-17"/>
          <w:sz w:val="20"/>
        </w:rPr>
        <w:t xml:space="preserve"> </w:t>
      </w:r>
      <w:r>
        <w:rPr>
          <w:sz w:val="20"/>
        </w:rPr>
        <w:t>por</w:t>
      </w:r>
      <w:r>
        <w:rPr>
          <w:spacing w:val="-19"/>
          <w:sz w:val="20"/>
        </w:rPr>
        <w:t xml:space="preserve"> </w:t>
      </w:r>
      <w:r>
        <w:rPr>
          <w:sz w:val="20"/>
        </w:rPr>
        <w:t>daños</w:t>
      </w:r>
      <w:r>
        <w:rPr>
          <w:spacing w:val="-18"/>
          <w:sz w:val="20"/>
        </w:rPr>
        <w:t xml:space="preserve"> </w:t>
      </w:r>
      <w:r>
        <w:rPr>
          <w:sz w:val="20"/>
        </w:rPr>
        <w:t>morales</w:t>
      </w:r>
      <w:r>
        <w:rPr>
          <w:spacing w:val="-18"/>
          <w:sz w:val="20"/>
        </w:rPr>
        <w:t xml:space="preserve"> </w:t>
      </w:r>
      <w:r>
        <w:rPr>
          <w:sz w:val="20"/>
        </w:rPr>
        <w:t>y</w:t>
      </w:r>
      <w:r>
        <w:rPr>
          <w:spacing w:val="-18"/>
          <w:sz w:val="20"/>
        </w:rPr>
        <w:t xml:space="preserve"> </w:t>
      </w:r>
      <w:r>
        <w:rPr>
          <w:sz w:val="20"/>
        </w:rPr>
        <w:t>materiales.</w:t>
      </w:r>
      <w:r>
        <w:rPr>
          <w:spacing w:val="-18"/>
          <w:sz w:val="20"/>
        </w:rPr>
        <w:t xml:space="preserve"> </w:t>
      </w:r>
      <w:r>
        <w:rPr>
          <w:sz w:val="20"/>
        </w:rPr>
        <w:t>En</w:t>
      </w:r>
      <w:r>
        <w:rPr>
          <w:spacing w:val="-16"/>
          <w:sz w:val="20"/>
        </w:rPr>
        <w:t xml:space="preserve"> </w:t>
      </w:r>
      <w:r>
        <w:rPr>
          <w:sz w:val="20"/>
        </w:rPr>
        <w:t>dicha</w:t>
      </w:r>
      <w:r>
        <w:rPr>
          <w:spacing w:val="-17"/>
          <w:sz w:val="20"/>
        </w:rPr>
        <w:t xml:space="preserve"> </w:t>
      </w:r>
      <w:r>
        <w:rPr>
          <w:sz w:val="20"/>
        </w:rPr>
        <w:t>demanda solicitaron,</w:t>
      </w:r>
      <w:r>
        <w:rPr>
          <w:spacing w:val="-18"/>
          <w:sz w:val="20"/>
        </w:rPr>
        <w:t xml:space="preserve"> </w:t>
      </w:r>
      <w:r>
        <w:rPr>
          <w:sz w:val="20"/>
        </w:rPr>
        <w:t>además,</w:t>
      </w:r>
      <w:r>
        <w:rPr>
          <w:spacing w:val="-17"/>
          <w:sz w:val="20"/>
        </w:rPr>
        <w:t xml:space="preserve"> </w:t>
      </w:r>
      <w:r>
        <w:rPr>
          <w:sz w:val="20"/>
        </w:rPr>
        <w:t>la</w:t>
      </w:r>
      <w:r>
        <w:rPr>
          <w:spacing w:val="-16"/>
          <w:sz w:val="20"/>
        </w:rPr>
        <w:t xml:space="preserve"> </w:t>
      </w:r>
      <w:r>
        <w:rPr>
          <w:sz w:val="20"/>
        </w:rPr>
        <w:t>tutela</w:t>
      </w:r>
      <w:r>
        <w:rPr>
          <w:spacing w:val="-16"/>
          <w:sz w:val="20"/>
        </w:rPr>
        <w:t xml:space="preserve"> </w:t>
      </w:r>
      <w:r>
        <w:rPr>
          <w:sz w:val="20"/>
        </w:rPr>
        <w:t>anticipada</w:t>
      </w:r>
      <w:hyperlink w:anchor="_bookmark169" w:history="1">
        <w:r>
          <w:rPr>
            <w:position w:val="7"/>
            <w:sz w:val="13"/>
          </w:rPr>
          <w:t>141</w:t>
        </w:r>
        <w:r>
          <w:rPr>
            <w:spacing w:val="7"/>
            <w:position w:val="7"/>
            <w:sz w:val="13"/>
          </w:rPr>
          <w:t xml:space="preserve"> </w:t>
        </w:r>
      </w:hyperlink>
      <w:r>
        <w:rPr>
          <w:sz w:val="20"/>
        </w:rPr>
        <w:t>para</w:t>
      </w:r>
      <w:r>
        <w:rPr>
          <w:spacing w:val="-15"/>
          <w:sz w:val="20"/>
        </w:rPr>
        <w:t xml:space="preserve"> </w:t>
      </w:r>
      <w:r>
        <w:rPr>
          <w:sz w:val="20"/>
        </w:rPr>
        <w:t>los</w:t>
      </w:r>
      <w:r>
        <w:rPr>
          <w:spacing w:val="-15"/>
          <w:sz w:val="20"/>
        </w:rPr>
        <w:t xml:space="preserve"> </w:t>
      </w:r>
      <w:r>
        <w:rPr>
          <w:sz w:val="20"/>
        </w:rPr>
        <w:t>menores</w:t>
      </w:r>
      <w:r>
        <w:rPr>
          <w:spacing w:val="-17"/>
          <w:sz w:val="20"/>
        </w:rPr>
        <w:t xml:space="preserve"> </w:t>
      </w:r>
      <w:r>
        <w:rPr>
          <w:sz w:val="20"/>
        </w:rPr>
        <w:t>de</w:t>
      </w:r>
      <w:r>
        <w:rPr>
          <w:spacing w:val="-18"/>
          <w:sz w:val="20"/>
        </w:rPr>
        <w:t xml:space="preserve"> </w:t>
      </w:r>
      <w:r>
        <w:rPr>
          <w:sz w:val="20"/>
        </w:rPr>
        <w:t>18</w:t>
      </w:r>
      <w:r>
        <w:rPr>
          <w:spacing w:val="-16"/>
          <w:sz w:val="20"/>
        </w:rPr>
        <w:t xml:space="preserve"> </w:t>
      </w:r>
      <w:r>
        <w:rPr>
          <w:sz w:val="20"/>
        </w:rPr>
        <w:t>años,</w:t>
      </w:r>
      <w:r>
        <w:rPr>
          <w:spacing w:val="-16"/>
          <w:sz w:val="20"/>
        </w:rPr>
        <w:t xml:space="preserve"> </w:t>
      </w:r>
      <w:r>
        <w:rPr>
          <w:sz w:val="20"/>
        </w:rPr>
        <w:t>cuyas</w:t>
      </w:r>
      <w:r>
        <w:rPr>
          <w:spacing w:val="-17"/>
          <w:sz w:val="20"/>
        </w:rPr>
        <w:t xml:space="preserve"> </w:t>
      </w:r>
      <w:r>
        <w:rPr>
          <w:sz w:val="20"/>
        </w:rPr>
        <w:t>madres</w:t>
      </w:r>
      <w:r>
        <w:rPr>
          <w:spacing w:val="-17"/>
          <w:sz w:val="20"/>
        </w:rPr>
        <w:t xml:space="preserve"> </w:t>
      </w:r>
      <w:r>
        <w:rPr>
          <w:sz w:val="20"/>
        </w:rPr>
        <w:t>habían fallecido en la explosión</w:t>
      </w:r>
      <w:hyperlink w:anchor="_bookmark170" w:history="1">
        <w:r>
          <w:rPr>
            <w:position w:val="7"/>
            <w:sz w:val="13"/>
          </w:rPr>
          <w:t>142</w:t>
        </w:r>
      </w:hyperlink>
      <w:r>
        <w:rPr>
          <w:sz w:val="20"/>
        </w:rPr>
        <w:t>. La solicitud de tutela anticipada fue aceptada por el Juez F</w:t>
      </w:r>
      <w:r>
        <w:rPr>
          <w:sz w:val="20"/>
        </w:rPr>
        <w:t>ederal el 5 de marzo de 2002</w:t>
      </w:r>
      <w:hyperlink w:anchor="_bookmark171" w:history="1">
        <w:r>
          <w:rPr>
            <w:position w:val="7"/>
            <w:sz w:val="13"/>
          </w:rPr>
          <w:t>143</w:t>
        </w:r>
      </w:hyperlink>
      <w:r>
        <w:rPr>
          <w:sz w:val="20"/>
        </w:rPr>
        <w:t>. En su escrito presentado ante la Comisión el 18 de octubre de 2010, los peticionarios señalaron que de las 44 personas que perdieron a sus padres y demandaron al gobierno federal, solo 39 fue</w:t>
      </w:r>
      <w:r>
        <w:rPr>
          <w:sz w:val="20"/>
        </w:rPr>
        <w:t>ron beneficiadas por la decisión preliminar de tutela de una pensión mensual de un salario mínimo y, de estas, sólo 16 recibieron efectivamente dicho pago, pues, por el transcurso del tiempo, las demás ya tenían 18 años (edad</w:t>
      </w:r>
      <w:r>
        <w:rPr>
          <w:spacing w:val="-7"/>
          <w:sz w:val="20"/>
        </w:rPr>
        <w:t xml:space="preserve"> </w:t>
      </w:r>
      <w:r>
        <w:rPr>
          <w:sz w:val="20"/>
        </w:rPr>
        <w:t>máxima</w:t>
      </w:r>
      <w:r>
        <w:rPr>
          <w:spacing w:val="-4"/>
          <w:sz w:val="20"/>
        </w:rPr>
        <w:t xml:space="preserve"> </w:t>
      </w:r>
      <w:r>
        <w:rPr>
          <w:sz w:val="20"/>
        </w:rPr>
        <w:t>para</w:t>
      </w:r>
      <w:r>
        <w:rPr>
          <w:spacing w:val="-4"/>
          <w:sz w:val="20"/>
        </w:rPr>
        <w:t xml:space="preserve"> </w:t>
      </w:r>
      <w:r>
        <w:rPr>
          <w:sz w:val="20"/>
        </w:rPr>
        <w:t>recibir</w:t>
      </w:r>
      <w:r>
        <w:rPr>
          <w:spacing w:val="-8"/>
          <w:sz w:val="20"/>
        </w:rPr>
        <w:t xml:space="preserve"> </w:t>
      </w:r>
      <w:r>
        <w:rPr>
          <w:sz w:val="20"/>
        </w:rPr>
        <w:t>la</w:t>
      </w:r>
      <w:r>
        <w:rPr>
          <w:spacing w:val="-7"/>
          <w:sz w:val="20"/>
        </w:rPr>
        <w:t xml:space="preserve"> </w:t>
      </w:r>
      <w:r>
        <w:rPr>
          <w:sz w:val="20"/>
        </w:rPr>
        <w:t>pensión</w:t>
      </w:r>
      <w:r>
        <w:rPr>
          <w:sz w:val="20"/>
        </w:rPr>
        <w:t>,</w:t>
      </w:r>
      <w:r>
        <w:rPr>
          <w:spacing w:val="-5"/>
          <w:sz w:val="20"/>
        </w:rPr>
        <w:t xml:space="preserve"> </w:t>
      </w:r>
      <w:r>
        <w:rPr>
          <w:sz w:val="20"/>
        </w:rPr>
        <w:t>según</w:t>
      </w:r>
      <w:r>
        <w:rPr>
          <w:spacing w:val="-5"/>
          <w:sz w:val="20"/>
        </w:rPr>
        <w:t xml:space="preserve"> </w:t>
      </w:r>
      <w:r>
        <w:rPr>
          <w:sz w:val="20"/>
        </w:rPr>
        <w:t>la</w:t>
      </w:r>
      <w:r>
        <w:rPr>
          <w:spacing w:val="-4"/>
          <w:sz w:val="20"/>
        </w:rPr>
        <w:t xml:space="preserve"> </w:t>
      </w:r>
      <w:r>
        <w:rPr>
          <w:sz w:val="20"/>
        </w:rPr>
        <w:t>determinación</w:t>
      </w:r>
      <w:r>
        <w:rPr>
          <w:spacing w:val="-6"/>
          <w:sz w:val="20"/>
        </w:rPr>
        <w:t xml:space="preserve"> </w:t>
      </w:r>
      <w:r>
        <w:rPr>
          <w:sz w:val="20"/>
        </w:rPr>
        <w:t>judicial).</w:t>
      </w:r>
      <w:r>
        <w:rPr>
          <w:spacing w:val="-5"/>
          <w:sz w:val="20"/>
        </w:rPr>
        <w:t xml:space="preserve"> </w:t>
      </w:r>
      <w:r>
        <w:rPr>
          <w:sz w:val="20"/>
        </w:rPr>
        <w:t>Los</w:t>
      </w:r>
      <w:r>
        <w:rPr>
          <w:spacing w:val="-5"/>
          <w:sz w:val="20"/>
        </w:rPr>
        <w:t xml:space="preserve"> </w:t>
      </w:r>
      <w:r>
        <w:rPr>
          <w:sz w:val="20"/>
        </w:rPr>
        <w:t>demás</w:t>
      </w:r>
      <w:r>
        <w:rPr>
          <w:spacing w:val="-6"/>
          <w:sz w:val="20"/>
        </w:rPr>
        <w:t xml:space="preserve"> </w:t>
      </w:r>
      <w:r>
        <w:rPr>
          <w:sz w:val="20"/>
        </w:rPr>
        <w:t>familiares no habrían recibido reparación alguna del</w:t>
      </w:r>
      <w:r>
        <w:rPr>
          <w:spacing w:val="-4"/>
          <w:sz w:val="20"/>
        </w:rPr>
        <w:t xml:space="preserve"> </w:t>
      </w:r>
      <w:r>
        <w:rPr>
          <w:sz w:val="20"/>
        </w:rPr>
        <w:t>Estado</w:t>
      </w:r>
      <w:hyperlink w:anchor="_bookmark172" w:history="1">
        <w:r>
          <w:rPr>
            <w:position w:val="7"/>
            <w:sz w:val="13"/>
          </w:rPr>
          <w:t>144</w:t>
        </w:r>
      </w:hyperlink>
      <w:r>
        <w:rPr>
          <w:sz w:val="20"/>
        </w:rPr>
        <w:t>.</w:t>
      </w:r>
    </w:p>
    <w:p w14:paraId="210F38CF" w14:textId="77777777" w:rsidR="00467FCA" w:rsidRDefault="00467FCA">
      <w:pPr>
        <w:pStyle w:val="Textoindependiente"/>
        <w:spacing w:before="10"/>
        <w:rPr>
          <w:sz w:val="19"/>
        </w:rPr>
      </w:pPr>
    </w:p>
    <w:p w14:paraId="60032D12" w14:textId="77777777" w:rsidR="00467FCA" w:rsidRDefault="001B68EB">
      <w:pPr>
        <w:pStyle w:val="Prrafodelista"/>
        <w:numPr>
          <w:ilvl w:val="0"/>
          <w:numId w:val="50"/>
        </w:numPr>
        <w:tabs>
          <w:tab w:val="left" w:pos="687"/>
        </w:tabs>
        <w:ind w:left="119" w:right="117" w:firstLine="0"/>
        <w:jc w:val="both"/>
        <w:rPr>
          <w:sz w:val="20"/>
        </w:rPr>
      </w:pPr>
      <w:r>
        <w:rPr>
          <w:sz w:val="20"/>
        </w:rPr>
        <w:t>Continuando con el proceso principal, después de la emisión de la decisión de tutela anticipada, se realizó un desglose del proceso debido al alto número de litisconsortes (84). Producto de esta decisión se entablaron un total de 14 procesos distintos, cad</w:t>
      </w:r>
      <w:r>
        <w:rPr>
          <w:sz w:val="20"/>
        </w:rPr>
        <w:t>a uno con un máximo de cinco demandantes</w:t>
      </w:r>
      <w:hyperlink w:anchor="_bookmark173" w:history="1">
        <w:r>
          <w:rPr>
            <w:position w:val="7"/>
            <w:sz w:val="13"/>
          </w:rPr>
          <w:t>145</w:t>
        </w:r>
      </w:hyperlink>
      <w:r>
        <w:rPr>
          <w:sz w:val="20"/>
        </w:rPr>
        <w:t xml:space="preserve">. Los representantes han indicado que las sentencias </w:t>
      </w:r>
      <w:r>
        <w:rPr>
          <w:spacing w:val="2"/>
          <w:sz w:val="20"/>
        </w:rPr>
        <w:t xml:space="preserve">de </w:t>
      </w:r>
      <w:r>
        <w:rPr>
          <w:sz w:val="20"/>
        </w:rPr>
        <w:t>primera instancia se dictaron entre el 7 de julio de 2010 y el 26 de agosto de 2011, y contra ellas se interpusieron recursos</w:t>
      </w:r>
      <w:r>
        <w:rPr>
          <w:sz w:val="20"/>
        </w:rPr>
        <w:t xml:space="preserve"> de apelación que fueron negados entre el 31 de agosto de 2013 y el 20 de marzo de 2017. Se presentaron, además, recursos de aclaración contra las sentencias de apelación, los cuales fueron resueltos entre el 26 de octubre de 2015 y el 5</w:t>
      </w:r>
      <w:r>
        <w:rPr>
          <w:spacing w:val="-41"/>
          <w:sz w:val="20"/>
        </w:rPr>
        <w:t xml:space="preserve"> </w:t>
      </w:r>
      <w:r>
        <w:rPr>
          <w:sz w:val="20"/>
        </w:rPr>
        <w:t>de mayo de 2018. F</w:t>
      </w:r>
      <w:r>
        <w:rPr>
          <w:sz w:val="20"/>
        </w:rPr>
        <w:t>inalmente, el Gobierno Federal y el</w:t>
      </w:r>
      <w:r>
        <w:rPr>
          <w:spacing w:val="17"/>
          <w:sz w:val="20"/>
        </w:rPr>
        <w:t xml:space="preserve"> </w:t>
      </w:r>
      <w:r>
        <w:rPr>
          <w:sz w:val="20"/>
        </w:rPr>
        <w:t>estado de Bahia interpusieron recursos</w:t>
      </w:r>
    </w:p>
    <w:p w14:paraId="74E4FD81" w14:textId="77777777" w:rsidR="00467FCA" w:rsidRDefault="001B68EB">
      <w:pPr>
        <w:pStyle w:val="Textoindependiente"/>
        <w:spacing w:before="10"/>
        <w:rPr>
          <w:sz w:val="29"/>
        </w:rPr>
      </w:pPr>
      <w:r>
        <w:pict w14:anchorId="1E3D6CFA">
          <v:shape id="_x0000_s1172" style="position:absolute;margin-left:1in;margin-top:20.4pt;width:2in;height:.1pt;z-index:-251633664;mso-wrap-distance-left:0;mso-wrap-distance-right:0;mso-position-horizontal-relative:page" coordorigin="1440,408" coordsize="2880,0" path="m1440,408r2880,e" filled="f" strokeweight=".6pt">
            <v:path arrowok="t"/>
            <w10:wrap type="topAndBottom" anchorx="page"/>
          </v:shape>
        </w:pict>
      </w:r>
    </w:p>
    <w:p w14:paraId="0FDE2245" w14:textId="77777777" w:rsidR="00467FCA" w:rsidRDefault="001B68EB">
      <w:pPr>
        <w:tabs>
          <w:tab w:val="left" w:pos="839"/>
        </w:tabs>
        <w:spacing w:before="74"/>
        <w:ind w:left="119" w:right="114"/>
        <w:jc w:val="both"/>
        <w:rPr>
          <w:sz w:val="16"/>
        </w:rPr>
      </w:pPr>
      <w:bookmarkStart w:id="199" w:name="_bookmark168"/>
      <w:bookmarkEnd w:id="199"/>
      <w:r>
        <w:rPr>
          <w:position w:val="6"/>
          <w:sz w:val="10"/>
        </w:rPr>
        <w:t>140</w:t>
      </w:r>
      <w:r>
        <w:rPr>
          <w:position w:val="6"/>
          <w:sz w:val="10"/>
        </w:rPr>
        <w:tab/>
      </w:r>
      <w:r>
        <w:rPr>
          <w:i/>
          <w:sz w:val="16"/>
        </w:rPr>
        <w:t>Cfr.</w:t>
      </w:r>
      <w:r>
        <w:rPr>
          <w:i/>
          <w:spacing w:val="-8"/>
          <w:sz w:val="16"/>
        </w:rPr>
        <w:t xml:space="preserve"> </w:t>
      </w:r>
      <w:r>
        <w:rPr>
          <w:sz w:val="16"/>
        </w:rPr>
        <w:t>Decisión</w:t>
      </w:r>
      <w:r>
        <w:rPr>
          <w:spacing w:val="-11"/>
          <w:sz w:val="16"/>
        </w:rPr>
        <w:t xml:space="preserve"> </w:t>
      </w:r>
      <w:r>
        <w:rPr>
          <w:sz w:val="16"/>
        </w:rPr>
        <w:t>del</w:t>
      </w:r>
      <w:r>
        <w:rPr>
          <w:spacing w:val="-11"/>
          <w:sz w:val="16"/>
        </w:rPr>
        <w:t xml:space="preserve"> </w:t>
      </w:r>
      <w:r>
        <w:rPr>
          <w:sz w:val="16"/>
        </w:rPr>
        <w:t>STJ</w:t>
      </w:r>
      <w:r>
        <w:rPr>
          <w:spacing w:val="-8"/>
          <w:sz w:val="16"/>
        </w:rPr>
        <w:t xml:space="preserve"> </w:t>
      </w:r>
      <w:r>
        <w:rPr>
          <w:sz w:val="16"/>
        </w:rPr>
        <w:t>de</w:t>
      </w:r>
      <w:r>
        <w:rPr>
          <w:spacing w:val="-10"/>
          <w:sz w:val="16"/>
        </w:rPr>
        <w:t xml:space="preserve"> </w:t>
      </w:r>
      <w:r>
        <w:rPr>
          <w:sz w:val="16"/>
        </w:rPr>
        <w:t>Anulación</w:t>
      </w:r>
      <w:r>
        <w:rPr>
          <w:spacing w:val="-8"/>
          <w:sz w:val="16"/>
        </w:rPr>
        <w:t xml:space="preserve"> </w:t>
      </w:r>
      <w:r>
        <w:rPr>
          <w:sz w:val="16"/>
        </w:rPr>
        <w:t>de</w:t>
      </w:r>
      <w:r>
        <w:rPr>
          <w:spacing w:val="-10"/>
          <w:sz w:val="16"/>
        </w:rPr>
        <w:t xml:space="preserve"> </w:t>
      </w:r>
      <w:r>
        <w:rPr>
          <w:sz w:val="16"/>
        </w:rPr>
        <w:t>la</w:t>
      </w:r>
      <w:r>
        <w:rPr>
          <w:spacing w:val="-7"/>
          <w:sz w:val="16"/>
        </w:rPr>
        <w:t xml:space="preserve"> </w:t>
      </w:r>
      <w:r>
        <w:rPr>
          <w:sz w:val="16"/>
        </w:rPr>
        <w:t>Sentencia</w:t>
      </w:r>
      <w:r>
        <w:rPr>
          <w:spacing w:val="-8"/>
          <w:sz w:val="16"/>
        </w:rPr>
        <w:t xml:space="preserve"> </w:t>
      </w:r>
      <w:r>
        <w:rPr>
          <w:sz w:val="16"/>
        </w:rPr>
        <w:t>de</w:t>
      </w:r>
      <w:r>
        <w:rPr>
          <w:spacing w:val="-10"/>
          <w:sz w:val="16"/>
        </w:rPr>
        <w:t xml:space="preserve"> </w:t>
      </w:r>
      <w:r>
        <w:rPr>
          <w:sz w:val="16"/>
        </w:rPr>
        <w:t>Apelación</w:t>
      </w:r>
      <w:r>
        <w:rPr>
          <w:spacing w:val="-8"/>
          <w:sz w:val="16"/>
        </w:rPr>
        <w:t xml:space="preserve"> </w:t>
      </w:r>
      <w:r>
        <w:rPr>
          <w:sz w:val="16"/>
        </w:rPr>
        <w:t>en</w:t>
      </w:r>
      <w:r>
        <w:rPr>
          <w:spacing w:val="-8"/>
          <w:sz w:val="16"/>
        </w:rPr>
        <w:t xml:space="preserve"> </w:t>
      </w:r>
      <w:r>
        <w:rPr>
          <w:sz w:val="16"/>
        </w:rPr>
        <w:t>el</w:t>
      </w:r>
      <w:r>
        <w:rPr>
          <w:spacing w:val="-10"/>
          <w:sz w:val="16"/>
        </w:rPr>
        <w:t xml:space="preserve"> </w:t>
      </w:r>
      <w:r>
        <w:rPr>
          <w:sz w:val="16"/>
        </w:rPr>
        <w:t>proceso</w:t>
      </w:r>
      <w:r>
        <w:rPr>
          <w:spacing w:val="-9"/>
          <w:sz w:val="16"/>
        </w:rPr>
        <w:t xml:space="preserve"> </w:t>
      </w:r>
      <w:r>
        <w:rPr>
          <w:sz w:val="16"/>
        </w:rPr>
        <w:t>de</w:t>
      </w:r>
      <w:r>
        <w:rPr>
          <w:spacing w:val="-10"/>
          <w:sz w:val="16"/>
        </w:rPr>
        <w:t xml:space="preserve"> </w:t>
      </w:r>
      <w:r>
        <w:rPr>
          <w:i/>
          <w:sz w:val="16"/>
        </w:rPr>
        <w:t>habeas</w:t>
      </w:r>
      <w:r>
        <w:rPr>
          <w:i/>
          <w:spacing w:val="-7"/>
          <w:sz w:val="16"/>
        </w:rPr>
        <w:t xml:space="preserve"> </w:t>
      </w:r>
      <w:r>
        <w:rPr>
          <w:i/>
          <w:sz w:val="16"/>
        </w:rPr>
        <w:t>corpus</w:t>
      </w:r>
      <w:r>
        <w:rPr>
          <w:i/>
          <w:spacing w:val="-9"/>
          <w:sz w:val="16"/>
        </w:rPr>
        <w:t xml:space="preserve"> </w:t>
      </w:r>
      <w:r>
        <w:rPr>
          <w:sz w:val="16"/>
        </w:rPr>
        <w:t>No.</w:t>
      </w:r>
      <w:r>
        <w:rPr>
          <w:spacing w:val="-11"/>
          <w:sz w:val="16"/>
        </w:rPr>
        <w:t xml:space="preserve"> </w:t>
      </w:r>
      <w:r>
        <w:rPr>
          <w:sz w:val="16"/>
        </w:rPr>
        <w:t xml:space="preserve">527.573 de 25 de septiembre de 2019 (expediente de prueba, folios 4483 y 4484) y Decisión del STJ de Anulación de la Sentencia de Apelación en el Proceso de </w:t>
      </w:r>
      <w:r>
        <w:rPr>
          <w:i/>
          <w:sz w:val="16"/>
        </w:rPr>
        <w:t xml:space="preserve">habeas corpus </w:t>
      </w:r>
      <w:r>
        <w:rPr>
          <w:sz w:val="16"/>
        </w:rPr>
        <w:t>No. 527.605 de 25 de octubre de 2019 (expediente de prueba, folios 4486 y</w:t>
      </w:r>
      <w:r>
        <w:rPr>
          <w:spacing w:val="-4"/>
          <w:sz w:val="16"/>
        </w:rPr>
        <w:t xml:space="preserve"> </w:t>
      </w:r>
      <w:r>
        <w:rPr>
          <w:sz w:val="16"/>
        </w:rPr>
        <w:t>4487).</w:t>
      </w:r>
    </w:p>
    <w:p w14:paraId="57D573D4" w14:textId="77777777" w:rsidR="00467FCA" w:rsidRDefault="001B68EB">
      <w:pPr>
        <w:tabs>
          <w:tab w:val="left" w:pos="839"/>
        </w:tabs>
        <w:ind w:left="119" w:right="112"/>
        <w:jc w:val="both"/>
        <w:rPr>
          <w:sz w:val="16"/>
        </w:rPr>
      </w:pPr>
      <w:bookmarkStart w:id="200" w:name="_bookmark169"/>
      <w:bookmarkEnd w:id="200"/>
      <w:r>
        <w:rPr>
          <w:position w:val="6"/>
          <w:sz w:val="10"/>
        </w:rPr>
        <w:t>141</w:t>
      </w:r>
      <w:r>
        <w:rPr>
          <w:position w:val="6"/>
          <w:sz w:val="10"/>
        </w:rPr>
        <w:tab/>
      </w:r>
      <w:r>
        <w:rPr>
          <w:sz w:val="16"/>
        </w:rPr>
        <w:t>La anticipación de tutela, como lo expuso el Estado en su escrito de contestación, tiene como objeto que, en aquellos casos en los que el tiempo del proceso pueda perjudicar la eficacia y la obtención de justicia, se pueda anticipar la protección reivi</w:t>
      </w:r>
      <w:r>
        <w:rPr>
          <w:sz w:val="16"/>
        </w:rPr>
        <w:t>ndicada, cuando se cumplen determinados requisitos. Actualmente, el tema se regula en los</w:t>
      </w:r>
      <w:r>
        <w:rPr>
          <w:spacing w:val="-6"/>
          <w:sz w:val="16"/>
        </w:rPr>
        <w:t xml:space="preserve"> </w:t>
      </w:r>
      <w:r>
        <w:rPr>
          <w:sz w:val="16"/>
        </w:rPr>
        <w:t>artículos</w:t>
      </w:r>
      <w:r>
        <w:rPr>
          <w:spacing w:val="-10"/>
          <w:sz w:val="16"/>
        </w:rPr>
        <w:t xml:space="preserve"> </w:t>
      </w:r>
      <w:r>
        <w:rPr>
          <w:sz w:val="16"/>
        </w:rPr>
        <w:t>300</w:t>
      </w:r>
      <w:r>
        <w:rPr>
          <w:spacing w:val="-6"/>
          <w:sz w:val="16"/>
        </w:rPr>
        <w:t xml:space="preserve"> </w:t>
      </w:r>
      <w:r>
        <w:rPr>
          <w:sz w:val="16"/>
        </w:rPr>
        <w:t>y</w:t>
      </w:r>
      <w:r>
        <w:rPr>
          <w:spacing w:val="-9"/>
          <w:sz w:val="16"/>
        </w:rPr>
        <w:t xml:space="preserve"> </w:t>
      </w:r>
      <w:r>
        <w:rPr>
          <w:sz w:val="16"/>
        </w:rPr>
        <w:t>siguientes</w:t>
      </w:r>
      <w:r>
        <w:rPr>
          <w:spacing w:val="-10"/>
          <w:sz w:val="16"/>
        </w:rPr>
        <w:t xml:space="preserve"> </w:t>
      </w:r>
      <w:r>
        <w:rPr>
          <w:sz w:val="16"/>
        </w:rPr>
        <w:t>del</w:t>
      </w:r>
      <w:r>
        <w:rPr>
          <w:spacing w:val="-9"/>
          <w:sz w:val="16"/>
        </w:rPr>
        <w:t xml:space="preserve"> </w:t>
      </w:r>
      <w:r>
        <w:rPr>
          <w:sz w:val="16"/>
        </w:rPr>
        <w:t>Código</w:t>
      </w:r>
      <w:r>
        <w:rPr>
          <w:spacing w:val="-7"/>
          <w:sz w:val="16"/>
        </w:rPr>
        <w:t xml:space="preserve"> </w:t>
      </w:r>
      <w:r>
        <w:rPr>
          <w:sz w:val="16"/>
        </w:rPr>
        <w:t>de</w:t>
      </w:r>
      <w:r>
        <w:rPr>
          <w:spacing w:val="-7"/>
          <w:sz w:val="16"/>
        </w:rPr>
        <w:t xml:space="preserve"> </w:t>
      </w:r>
      <w:r>
        <w:rPr>
          <w:sz w:val="16"/>
        </w:rPr>
        <w:t>Procedimiento</w:t>
      </w:r>
      <w:r>
        <w:rPr>
          <w:spacing w:val="-9"/>
          <w:sz w:val="16"/>
        </w:rPr>
        <w:t xml:space="preserve"> </w:t>
      </w:r>
      <w:r>
        <w:rPr>
          <w:sz w:val="16"/>
        </w:rPr>
        <w:t>Civil</w:t>
      </w:r>
      <w:r>
        <w:rPr>
          <w:spacing w:val="-6"/>
          <w:sz w:val="16"/>
        </w:rPr>
        <w:t xml:space="preserve"> </w:t>
      </w:r>
      <w:r>
        <w:rPr>
          <w:sz w:val="16"/>
        </w:rPr>
        <w:t>de</w:t>
      </w:r>
      <w:r>
        <w:rPr>
          <w:spacing w:val="-11"/>
          <w:sz w:val="16"/>
        </w:rPr>
        <w:t xml:space="preserve"> </w:t>
      </w:r>
      <w:r>
        <w:rPr>
          <w:sz w:val="16"/>
        </w:rPr>
        <w:t>2015.</w:t>
      </w:r>
      <w:r>
        <w:rPr>
          <w:spacing w:val="-8"/>
          <w:sz w:val="16"/>
        </w:rPr>
        <w:t xml:space="preserve"> </w:t>
      </w:r>
      <w:r>
        <w:rPr>
          <w:i/>
          <w:sz w:val="16"/>
        </w:rPr>
        <w:t>Cfr.</w:t>
      </w:r>
      <w:r>
        <w:rPr>
          <w:i/>
          <w:spacing w:val="-8"/>
          <w:sz w:val="16"/>
        </w:rPr>
        <w:t xml:space="preserve"> </w:t>
      </w:r>
      <w:r>
        <w:rPr>
          <w:sz w:val="16"/>
        </w:rPr>
        <w:t>Código</w:t>
      </w:r>
      <w:r>
        <w:rPr>
          <w:spacing w:val="-7"/>
          <w:sz w:val="16"/>
        </w:rPr>
        <w:t xml:space="preserve"> </w:t>
      </w:r>
      <w:r>
        <w:rPr>
          <w:sz w:val="16"/>
        </w:rPr>
        <w:t>de</w:t>
      </w:r>
      <w:r>
        <w:rPr>
          <w:spacing w:val="-7"/>
          <w:sz w:val="16"/>
        </w:rPr>
        <w:t xml:space="preserve"> </w:t>
      </w:r>
      <w:r>
        <w:rPr>
          <w:sz w:val="16"/>
        </w:rPr>
        <w:t>Procedimiento</w:t>
      </w:r>
      <w:r>
        <w:rPr>
          <w:spacing w:val="-8"/>
          <w:sz w:val="16"/>
        </w:rPr>
        <w:t xml:space="preserve"> </w:t>
      </w:r>
      <w:r>
        <w:rPr>
          <w:sz w:val="16"/>
        </w:rPr>
        <w:t>Civil</w:t>
      </w:r>
      <w:r>
        <w:rPr>
          <w:spacing w:val="-8"/>
          <w:sz w:val="16"/>
        </w:rPr>
        <w:t xml:space="preserve"> </w:t>
      </w:r>
      <w:r>
        <w:rPr>
          <w:sz w:val="16"/>
        </w:rPr>
        <w:t>de</w:t>
      </w:r>
      <w:r>
        <w:rPr>
          <w:spacing w:val="-10"/>
          <w:sz w:val="16"/>
        </w:rPr>
        <w:t xml:space="preserve"> </w:t>
      </w:r>
      <w:r>
        <w:rPr>
          <w:sz w:val="16"/>
        </w:rPr>
        <w:t>Brasil. Ley</w:t>
      </w:r>
      <w:r>
        <w:rPr>
          <w:spacing w:val="-15"/>
          <w:sz w:val="16"/>
        </w:rPr>
        <w:t xml:space="preserve"> </w:t>
      </w:r>
      <w:r>
        <w:rPr>
          <w:sz w:val="16"/>
        </w:rPr>
        <w:t>No.</w:t>
      </w:r>
      <w:r>
        <w:rPr>
          <w:spacing w:val="-19"/>
          <w:sz w:val="16"/>
        </w:rPr>
        <w:t xml:space="preserve"> </w:t>
      </w:r>
      <w:r>
        <w:rPr>
          <w:sz w:val="16"/>
        </w:rPr>
        <w:t>13.105,</w:t>
      </w:r>
      <w:r>
        <w:rPr>
          <w:spacing w:val="-15"/>
          <w:sz w:val="16"/>
        </w:rPr>
        <w:t xml:space="preserve"> </w:t>
      </w:r>
      <w:r>
        <w:rPr>
          <w:sz w:val="16"/>
        </w:rPr>
        <w:t>promulgada</w:t>
      </w:r>
      <w:r>
        <w:rPr>
          <w:spacing w:val="-16"/>
          <w:sz w:val="16"/>
        </w:rPr>
        <w:t xml:space="preserve"> </w:t>
      </w:r>
      <w:r>
        <w:rPr>
          <w:sz w:val="16"/>
        </w:rPr>
        <w:t>el</w:t>
      </w:r>
      <w:r>
        <w:rPr>
          <w:spacing w:val="-19"/>
          <w:sz w:val="16"/>
        </w:rPr>
        <w:t xml:space="preserve"> </w:t>
      </w:r>
      <w:r>
        <w:rPr>
          <w:sz w:val="16"/>
        </w:rPr>
        <w:t>16</w:t>
      </w:r>
      <w:r>
        <w:rPr>
          <w:spacing w:val="-16"/>
          <w:sz w:val="16"/>
        </w:rPr>
        <w:t xml:space="preserve"> </w:t>
      </w:r>
      <w:r>
        <w:rPr>
          <w:sz w:val="16"/>
        </w:rPr>
        <w:t>de</w:t>
      </w:r>
      <w:r>
        <w:rPr>
          <w:spacing w:val="-15"/>
          <w:sz w:val="16"/>
        </w:rPr>
        <w:t xml:space="preserve"> </w:t>
      </w:r>
      <w:r>
        <w:rPr>
          <w:sz w:val="16"/>
        </w:rPr>
        <w:t>marzo</w:t>
      </w:r>
      <w:r>
        <w:rPr>
          <w:spacing w:val="-17"/>
          <w:sz w:val="16"/>
        </w:rPr>
        <w:t xml:space="preserve"> </w:t>
      </w:r>
      <w:r>
        <w:rPr>
          <w:sz w:val="16"/>
        </w:rPr>
        <w:t>de</w:t>
      </w:r>
      <w:r>
        <w:rPr>
          <w:spacing w:val="-17"/>
          <w:sz w:val="16"/>
        </w:rPr>
        <w:t xml:space="preserve"> </w:t>
      </w:r>
      <w:r>
        <w:rPr>
          <w:sz w:val="16"/>
        </w:rPr>
        <w:t>2015.</w:t>
      </w:r>
      <w:r>
        <w:rPr>
          <w:spacing w:val="-16"/>
          <w:sz w:val="16"/>
        </w:rPr>
        <w:t xml:space="preserve"> </w:t>
      </w:r>
      <w:r>
        <w:rPr>
          <w:sz w:val="16"/>
        </w:rPr>
        <w:t>Disponible</w:t>
      </w:r>
      <w:r>
        <w:rPr>
          <w:spacing w:val="-15"/>
          <w:sz w:val="16"/>
        </w:rPr>
        <w:t xml:space="preserve"> </w:t>
      </w:r>
      <w:r>
        <w:rPr>
          <w:sz w:val="16"/>
        </w:rPr>
        <w:t>en:</w:t>
      </w:r>
      <w:r>
        <w:rPr>
          <w:spacing w:val="-13"/>
          <w:sz w:val="16"/>
        </w:rPr>
        <w:t xml:space="preserve"> </w:t>
      </w:r>
      <w:hyperlink r:id="rId16" w:anchor="art1046">
        <w:r>
          <w:rPr>
            <w:sz w:val="16"/>
            <w:u w:val="single"/>
          </w:rPr>
          <w:t>http://www.planalto.gov.br/ccivil_03/_Ato2015-</w:t>
        </w:r>
      </w:hyperlink>
      <w:r>
        <w:rPr>
          <w:sz w:val="16"/>
        </w:rPr>
        <w:t xml:space="preserve"> </w:t>
      </w:r>
      <w:hyperlink r:id="rId17" w:anchor="art1046">
        <w:r>
          <w:rPr>
            <w:sz w:val="16"/>
            <w:u w:val="single"/>
          </w:rPr>
          <w:t>2018/2015/Lei/L13105.htm#art1046</w:t>
        </w:r>
      </w:hyperlink>
      <w:r>
        <w:rPr>
          <w:sz w:val="16"/>
        </w:rPr>
        <w:t>.</w:t>
      </w:r>
    </w:p>
    <w:p w14:paraId="32C95FC9" w14:textId="77777777" w:rsidR="00467FCA" w:rsidRDefault="001B68EB">
      <w:pPr>
        <w:tabs>
          <w:tab w:val="left" w:pos="839"/>
        </w:tabs>
        <w:ind w:left="120" w:right="113" w:hanging="1"/>
        <w:jc w:val="both"/>
        <w:rPr>
          <w:sz w:val="16"/>
        </w:rPr>
      </w:pPr>
      <w:bookmarkStart w:id="201" w:name="_bookmark170"/>
      <w:bookmarkEnd w:id="201"/>
      <w:r>
        <w:rPr>
          <w:position w:val="6"/>
          <w:sz w:val="10"/>
        </w:rPr>
        <w:t>142</w:t>
      </w:r>
      <w:r>
        <w:rPr>
          <w:position w:val="6"/>
          <w:sz w:val="10"/>
        </w:rPr>
        <w:tab/>
      </w:r>
      <w:r>
        <w:rPr>
          <w:i/>
          <w:sz w:val="16"/>
        </w:rPr>
        <w:t xml:space="preserve">Cfr. </w:t>
      </w:r>
      <w:r>
        <w:rPr>
          <w:sz w:val="16"/>
        </w:rPr>
        <w:t>Demanda inicial presentada ante la Justicia Federal en el Estado de Bahia, expediente número 2002.33.00.005225-1 de 4 de marzo de 2002 (expediente de prueba, folios 140 a</w:t>
      </w:r>
      <w:r>
        <w:rPr>
          <w:spacing w:val="-18"/>
          <w:sz w:val="16"/>
        </w:rPr>
        <w:t xml:space="preserve"> </w:t>
      </w:r>
      <w:r>
        <w:rPr>
          <w:sz w:val="16"/>
        </w:rPr>
        <w:t>185).</w:t>
      </w:r>
    </w:p>
    <w:p w14:paraId="726C7EB4" w14:textId="77777777" w:rsidR="00467FCA" w:rsidRDefault="001B68EB">
      <w:pPr>
        <w:tabs>
          <w:tab w:val="left" w:pos="839"/>
        </w:tabs>
        <w:ind w:left="119" w:right="113"/>
        <w:jc w:val="both"/>
        <w:rPr>
          <w:sz w:val="16"/>
        </w:rPr>
      </w:pPr>
      <w:bookmarkStart w:id="202" w:name="_bookmark171"/>
      <w:bookmarkEnd w:id="202"/>
      <w:r>
        <w:rPr>
          <w:position w:val="6"/>
          <w:sz w:val="10"/>
        </w:rPr>
        <w:t>143</w:t>
      </w:r>
      <w:r>
        <w:rPr>
          <w:position w:val="6"/>
          <w:sz w:val="10"/>
        </w:rPr>
        <w:tab/>
      </w:r>
      <w:r>
        <w:rPr>
          <w:i/>
          <w:sz w:val="16"/>
        </w:rPr>
        <w:t xml:space="preserve">Cfr. </w:t>
      </w:r>
      <w:r>
        <w:rPr>
          <w:sz w:val="16"/>
        </w:rPr>
        <w:t xml:space="preserve">Decisión </w:t>
      </w:r>
      <w:r>
        <w:rPr>
          <w:sz w:val="16"/>
        </w:rPr>
        <w:t>preliminar del Juez Federal de Primera Instancia sobre la tutela anticipada, expediente No. 2002.33.00.005225-1, de 5 de marzo de 2002 (expediente de prueba, folios 187 a</w:t>
      </w:r>
      <w:r>
        <w:rPr>
          <w:spacing w:val="-20"/>
          <w:sz w:val="16"/>
        </w:rPr>
        <w:t xml:space="preserve"> </w:t>
      </w:r>
      <w:r>
        <w:rPr>
          <w:sz w:val="16"/>
        </w:rPr>
        <w:t>189).</w:t>
      </w:r>
    </w:p>
    <w:p w14:paraId="4745B3AE" w14:textId="77777777" w:rsidR="00467FCA" w:rsidRDefault="001B68EB">
      <w:pPr>
        <w:tabs>
          <w:tab w:val="left" w:pos="839"/>
        </w:tabs>
        <w:ind w:left="119" w:right="116"/>
        <w:jc w:val="both"/>
        <w:rPr>
          <w:sz w:val="16"/>
        </w:rPr>
      </w:pPr>
      <w:bookmarkStart w:id="203" w:name="_bookmark172"/>
      <w:bookmarkEnd w:id="203"/>
      <w:r>
        <w:rPr>
          <w:position w:val="6"/>
          <w:sz w:val="10"/>
        </w:rPr>
        <w:t>144</w:t>
      </w:r>
      <w:r>
        <w:rPr>
          <w:position w:val="6"/>
          <w:sz w:val="10"/>
        </w:rPr>
        <w:tab/>
      </w:r>
      <w:r>
        <w:rPr>
          <w:i/>
          <w:sz w:val="16"/>
        </w:rPr>
        <w:t xml:space="preserve">Cfr. </w:t>
      </w:r>
      <w:r>
        <w:rPr>
          <w:sz w:val="16"/>
        </w:rPr>
        <w:t>Oficio No. 090/10 JG/RG de los representantes el 18 de octubre de 2010</w:t>
      </w:r>
      <w:r>
        <w:rPr>
          <w:sz w:val="16"/>
        </w:rPr>
        <w:t xml:space="preserve"> (expediente de prueba, folios 191 a</w:t>
      </w:r>
      <w:r>
        <w:rPr>
          <w:spacing w:val="-3"/>
          <w:sz w:val="16"/>
        </w:rPr>
        <w:t xml:space="preserve"> </w:t>
      </w:r>
      <w:r>
        <w:rPr>
          <w:sz w:val="16"/>
        </w:rPr>
        <w:t>193).</w:t>
      </w:r>
    </w:p>
    <w:p w14:paraId="580AF074" w14:textId="77777777" w:rsidR="00467FCA" w:rsidRDefault="001B68EB">
      <w:pPr>
        <w:tabs>
          <w:tab w:val="left" w:pos="839"/>
        </w:tabs>
        <w:ind w:left="120" w:right="112" w:hanging="1"/>
        <w:jc w:val="both"/>
        <w:rPr>
          <w:sz w:val="16"/>
        </w:rPr>
      </w:pPr>
      <w:bookmarkStart w:id="204" w:name="_bookmark173"/>
      <w:bookmarkEnd w:id="204"/>
      <w:r>
        <w:rPr>
          <w:position w:val="6"/>
          <w:sz w:val="10"/>
        </w:rPr>
        <w:t>145</w:t>
      </w:r>
      <w:r>
        <w:rPr>
          <w:position w:val="6"/>
          <w:sz w:val="10"/>
        </w:rPr>
        <w:tab/>
      </w:r>
      <w:r>
        <w:rPr>
          <w:i/>
          <w:sz w:val="16"/>
        </w:rPr>
        <w:t xml:space="preserve">Cfr. </w:t>
      </w:r>
      <w:r>
        <w:rPr>
          <w:sz w:val="16"/>
        </w:rPr>
        <w:t xml:space="preserve">Tabla de procesos civiles que se tramitan en la Justicia Federal (expediente de prueba, folios 1617 a 1619). En el resumen de los procesos que hace el Estado en su contestación no se menciona el caso No. </w:t>
      </w:r>
      <w:r>
        <w:rPr>
          <w:sz w:val="16"/>
        </w:rPr>
        <w:t>2004.33.00.021817-9.</w:t>
      </w:r>
    </w:p>
    <w:p w14:paraId="36B76E9A" w14:textId="77777777" w:rsidR="00467FCA" w:rsidRDefault="00467FCA">
      <w:pPr>
        <w:jc w:val="both"/>
        <w:rPr>
          <w:sz w:val="16"/>
        </w:rPr>
        <w:sectPr w:rsidR="00467FCA">
          <w:pgSz w:w="12240" w:h="15840"/>
          <w:pgMar w:top="1360" w:right="1320" w:bottom="1220" w:left="1320" w:header="0" w:footer="1037" w:gutter="0"/>
          <w:cols w:space="720"/>
        </w:sectPr>
      </w:pPr>
    </w:p>
    <w:p w14:paraId="361AE954" w14:textId="77777777" w:rsidR="00467FCA" w:rsidRDefault="001B68EB">
      <w:pPr>
        <w:pStyle w:val="Textoindependiente"/>
        <w:spacing w:before="80"/>
        <w:ind w:left="119" w:right="119"/>
        <w:jc w:val="both"/>
      </w:pPr>
      <w:r>
        <w:t xml:space="preserve">especiales y extraordinarios en 12 de los 14 procesos, de modo que 10 permanecen pendientes y dos tuvieron decisiones que quedaron firmes en septiembre de 2017 y abril de 2018. La Comisión señaló que no tiene información </w:t>
      </w:r>
      <w:r>
        <w:t>sobre el pago de reparaciones por parte del</w:t>
      </w:r>
      <w:r>
        <w:rPr>
          <w:spacing w:val="-8"/>
        </w:rPr>
        <w:t xml:space="preserve"> </w:t>
      </w:r>
      <w:r>
        <w:t>Estado,</w:t>
      </w:r>
      <w:r>
        <w:rPr>
          <w:spacing w:val="-7"/>
        </w:rPr>
        <w:t xml:space="preserve"> </w:t>
      </w:r>
      <w:r>
        <w:t>más</w:t>
      </w:r>
      <w:r>
        <w:rPr>
          <w:spacing w:val="-6"/>
        </w:rPr>
        <w:t xml:space="preserve"> </w:t>
      </w:r>
      <w:r>
        <w:t>allá</w:t>
      </w:r>
      <w:r>
        <w:rPr>
          <w:spacing w:val="-5"/>
        </w:rPr>
        <w:t xml:space="preserve"> </w:t>
      </w:r>
      <w:r>
        <w:t>de</w:t>
      </w:r>
      <w:r>
        <w:rPr>
          <w:spacing w:val="-7"/>
        </w:rPr>
        <w:t xml:space="preserve"> </w:t>
      </w:r>
      <w:r>
        <w:t>los</w:t>
      </w:r>
      <w:r>
        <w:rPr>
          <w:spacing w:val="-6"/>
        </w:rPr>
        <w:t xml:space="preserve"> </w:t>
      </w:r>
      <w:r>
        <w:t>pagos</w:t>
      </w:r>
      <w:r>
        <w:rPr>
          <w:spacing w:val="-9"/>
        </w:rPr>
        <w:t xml:space="preserve"> </w:t>
      </w:r>
      <w:r>
        <w:t>parciales</w:t>
      </w:r>
      <w:r>
        <w:rPr>
          <w:spacing w:val="-6"/>
        </w:rPr>
        <w:t xml:space="preserve"> </w:t>
      </w:r>
      <w:r>
        <w:t>relativos</w:t>
      </w:r>
      <w:r>
        <w:rPr>
          <w:spacing w:val="-6"/>
        </w:rPr>
        <w:t xml:space="preserve"> </w:t>
      </w:r>
      <w:r>
        <w:t>a</w:t>
      </w:r>
      <w:r>
        <w:rPr>
          <w:spacing w:val="-5"/>
        </w:rPr>
        <w:t xml:space="preserve"> </w:t>
      </w:r>
      <w:r>
        <w:t>la</w:t>
      </w:r>
      <w:r>
        <w:rPr>
          <w:spacing w:val="-8"/>
        </w:rPr>
        <w:t xml:space="preserve"> </w:t>
      </w:r>
      <w:r>
        <w:t>decisión</w:t>
      </w:r>
      <w:r>
        <w:rPr>
          <w:spacing w:val="-4"/>
        </w:rPr>
        <w:t xml:space="preserve"> </w:t>
      </w:r>
      <w:r>
        <w:t>de</w:t>
      </w:r>
      <w:r>
        <w:rPr>
          <w:spacing w:val="-7"/>
        </w:rPr>
        <w:t xml:space="preserve"> </w:t>
      </w:r>
      <w:r>
        <w:t>anticipación</w:t>
      </w:r>
      <w:r>
        <w:rPr>
          <w:spacing w:val="-4"/>
        </w:rPr>
        <w:t xml:space="preserve"> </w:t>
      </w:r>
      <w:r>
        <w:t>de</w:t>
      </w:r>
      <w:r>
        <w:rPr>
          <w:spacing w:val="-7"/>
        </w:rPr>
        <w:t xml:space="preserve"> </w:t>
      </w:r>
      <w:r>
        <w:t>tutela.</w:t>
      </w:r>
      <w:r>
        <w:rPr>
          <w:spacing w:val="-6"/>
        </w:rPr>
        <w:t xml:space="preserve"> </w:t>
      </w:r>
      <w:r>
        <w:t>El Estado tampoco aportó información sobre el</w:t>
      </w:r>
      <w:r>
        <w:rPr>
          <w:spacing w:val="-5"/>
        </w:rPr>
        <w:t xml:space="preserve"> </w:t>
      </w:r>
      <w:r>
        <w:t>tema.</w:t>
      </w:r>
    </w:p>
    <w:p w14:paraId="41761E1F" w14:textId="77777777" w:rsidR="00467FCA" w:rsidRDefault="00467FCA">
      <w:pPr>
        <w:pStyle w:val="Textoindependiente"/>
        <w:spacing w:before="1"/>
      </w:pPr>
    </w:p>
    <w:p w14:paraId="6B6E6699" w14:textId="77777777" w:rsidR="00467FCA" w:rsidRDefault="001B68EB">
      <w:pPr>
        <w:pStyle w:val="Ttulo1"/>
        <w:numPr>
          <w:ilvl w:val="0"/>
          <w:numId w:val="43"/>
        </w:numPr>
        <w:tabs>
          <w:tab w:val="left" w:pos="1560"/>
        </w:tabs>
        <w:ind w:right="117" w:hanging="361"/>
      </w:pPr>
      <w:bookmarkStart w:id="205" w:name="b._Acción_Civil_ex_delicto_contra_Osvald"/>
      <w:bookmarkEnd w:id="205"/>
      <w:r>
        <w:t xml:space="preserve">Acción Civil </w:t>
      </w:r>
      <w:r>
        <w:rPr>
          <w:i/>
        </w:rPr>
        <w:t xml:space="preserve">ex delicto </w:t>
      </w:r>
      <w:r>
        <w:t>contra Osvaldo Prazeres Bastos, Maria Julieta Fróes Bastos y Mário Fróes Prazeres</w:t>
      </w:r>
      <w:r>
        <w:rPr>
          <w:spacing w:val="-1"/>
        </w:rPr>
        <w:t xml:space="preserve"> </w:t>
      </w:r>
      <w:r>
        <w:t>Bastos</w:t>
      </w:r>
    </w:p>
    <w:p w14:paraId="0562E589" w14:textId="77777777" w:rsidR="00467FCA" w:rsidRDefault="00467FCA">
      <w:pPr>
        <w:pStyle w:val="Textoindependiente"/>
        <w:spacing w:before="10"/>
        <w:rPr>
          <w:b/>
          <w:sz w:val="19"/>
        </w:rPr>
      </w:pPr>
    </w:p>
    <w:p w14:paraId="3E0C6640" w14:textId="77777777" w:rsidR="00467FCA" w:rsidRDefault="001B68EB">
      <w:pPr>
        <w:pStyle w:val="Prrafodelista"/>
        <w:numPr>
          <w:ilvl w:val="0"/>
          <w:numId w:val="50"/>
        </w:numPr>
        <w:tabs>
          <w:tab w:val="left" w:pos="687"/>
        </w:tabs>
        <w:ind w:left="119" w:right="118" w:firstLine="0"/>
        <w:jc w:val="both"/>
        <w:rPr>
          <w:sz w:val="20"/>
        </w:rPr>
      </w:pPr>
      <w:r>
        <w:rPr>
          <w:sz w:val="20"/>
        </w:rPr>
        <w:t>El Estado indicó que el mismo año de la explosión de la fábrica de fuegos, esto es, en 1998,</w:t>
      </w:r>
      <w:r>
        <w:rPr>
          <w:spacing w:val="-8"/>
          <w:sz w:val="20"/>
        </w:rPr>
        <w:t xml:space="preserve"> </w:t>
      </w:r>
      <w:r>
        <w:rPr>
          <w:sz w:val="20"/>
        </w:rPr>
        <w:t>la</w:t>
      </w:r>
      <w:r>
        <w:rPr>
          <w:spacing w:val="-8"/>
          <w:sz w:val="20"/>
        </w:rPr>
        <w:t xml:space="preserve"> </w:t>
      </w:r>
      <w:r>
        <w:rPr>
          <w:sz w:val="20"/>
        </w:rPr>
        <w:t>Fiscalía</w:t>
      </w:r>
      <w:r>
        <w:rPr>
          <w:spacing w:val="-8"/>
          <w:sz w:val="20"/>
        </w:rPr>
        <w:t xml:space="preserve"> </w:t>
      </w:r>
      <w:r>
        <w:rPr>
          <w:sz w:val="20"/>
        </w:rPr>
        <w:t>del</w:t>
      </w:r>
      <w:r>
        <w:rPr>
          <w:spacing w:val="-7"/>
          <w:sz w:val="20"/>
        </w:rPr>
        <w:t xml:space="preserve"> </w:t>
      </w:r>
      <w:r>
        <w:rPr>
          <w:sz w:val="20"/>
        </w:rPr>
        <w:t>Estado</w:t>
      </w:r>
      <w:r>
        <w:rPr>
          <w:spacing w:val="-9"/>
          <w:sz w:val="20"/>
        </w:rPr>
        <w:t xml:space="preserve"> </w:t>
      </w:r>
      <w:r>
        <w:rPr>
          <w:sz w:val="20"/>
        </w:rPr>
        <w:t>de</w:t>
      </w:r>
      <w:r>
        <w:rPr>
          <w:spacing w:val="-7"/>
          <w:sz w:val="20"/>
        </w:rPr>
        <w:t xml:space="preserve"> </w:t>
      </w:r>
      <w:r>
        <w:rPr>
          <w:sz w:val="20"/>
        </w:rPr>
        <w:t>Bahia</w:t>
      </w:r>
      <w:r>
        <w:rPr>
          <w:spacing w:val="-7"/>
          <w:sz w:val="20"/>
        </w:rPr>
        <w:t xml:space="preserve"> </w:t>
      </w:r>
      <w:r>
        <w:rPr>
          <w:sz w:val="20"/>
        </w:rPr>
        <w:t>interpuso,</w:t>
      </w:r>
      <w:r>
        <w:rPr>
          <w:spacing w:val="-6"/>
          <w:sz w:val="20"/>
        </w:rPr>
        <w:t xml:space="preserve"> </w:t>
      </w:r>
      <w:r>
        <w:rPr>
          <w:sz w:val="20"/>
        </w:rPr>
        <w:t>ante</w:t>
      </w:r>
      <w:r>
        <w:rPr>
          <w:spacing w:val="-9"/>
          <w:sz w:val="20"/>
        </w:rPr>
        <w:t xml:space="preserve"> </w:t>
      </w:r>
      <w:r>
        <w:rPr>
          <w:sz w:val="20"/>
        </w:rPr>
        <w:t>el</w:t>
      </w:r>
      <w:r>
        <w:rPr>
          <w:spacing w:val="-7"/>
          <w:sz w:val="20"/>
        </w:rPr>
        <w:t xml:space="preserve"> </w:t>
      </w:r>
      <w:r>
        <w:rPr>
          <w:sz w:val="20"/>
        </w:rPr>
        <w:t>Primer</w:t>
      </w:r>
      <w:r>
        <w:rPr>
          <w:spacing w:val="-9"/>
          <w:sz w:val="20"/>
        </w:rPr>
        <w:t xml:space="preserve"> </w:t>
      </w:r>
      <w:r>
        <w:rPr>
          <w:sz w:val="20"/>
        </w:rPr>
        <w:t>Juzgado</w:t>
      </w:r>
      <w:r>
        <w:rPr>
          <w:spacing w:val="-7"/>
          <w:sz w:val="20"/>
        </w:rPr>
        <w:t xml:space="preserve"> </w:t>
      </w:r>
      <w:r>
        <w:rPr>
          <w:sz w:val="20"/>
        </w:rPr>
        <w:t>Civil</w:t>
      </w:r>
      <w:r>
        <w:rPr>
          <w:spacing w:val="-8"/>
          <w:sz w:val="20"/>
        </w:rPr>
        <w:t xml:space="preserve"> </w:t>
      </w:r>
      <w:r>
        <w:rPr>
          <w:sz w:val="20"/>
        </w:rPr>
        <w:t>de</w:t>
      </w:r>
      <w:r>
        <w:rPr>
          <w:spacing w:val="-8"/>
          <w:sz w:val="20"/>
        </w:rPr>
        <w:t xml:space="preserve"> </w:t>
      </w:r>
      <w:r>
        <w:rPr>
          <w:sz w:val="20"/>
        </w:rPr>
        <w:t>Santo</w:t>
      </w:r>
      <w:r>
        <w:rPr>
          <w:spacing w:val="-9"/>
          <w:sz w:val="20"/>
        </w:rPr>
        <w:t xml:space="preserve"> </w:t>
      </w:r>
      <w:r>
        <w:rPr>
          <w:sz w:val="20"/>
        </w:rPr>
        <w:t xml:space="preserve">Antônio de Jesus, la medida cautelar número 0002335-43.1998.805.0229, por la cual </w:t>
      </w:r>
      <w:r>
        <w:rPr>
          <w:sz w:val="20"/>
        </w:rPr>
        <w:t>solicitó el bloqueo de los bienes de los acusados Osvaldo Prazeres Bastos y Mário Prazeres Bastos, con el objetivo de garantizar las reparaciones de daños a favor de las víctimas sobrevivientes y herederos de las víctimas fallecidas en la</w:t>
      </w:r>
      <w:r>
        <w:rPr>
          <w:spacing w:val="-5"/>
          <w:sz w:val="20"/>
        </w:rPr>
        <w:t xml:space="preserve"> </w:t>
      </w:r>
      <w:r>
        <w:rPr>
          <w:sz w:val="20"/>
        </w:rPr>
        <w:t>explosión.</w:t>
      </w:r>
    </w:p>
    <w:p w14:paraId="7CBB88E7" w14:textId="77777777" w:rsidR="00467FCA" w:rsidRDefault="00467FCA">
      <w:pPr>
        <w:pStyle w:val="Textoindependiente"/>
        <w:spacing w:before="1"/>
      </w:pPr>
    </w:p>
    <w:p w14:paraId="417FF616" w14:textId="77777777" w:rsidR="00467FCA" w:rsidRDefault="001B68EB">
      <w:pPr>
        <w:pStyle w:val="Prrafodelista"/>
        <w:numPr>
          <w:ilvl w:val="0"/>
          <w:numId w:val="50"/>
        </w:numPr>
        <w:tabs>
          <w:tab w:val="left" w:pos="687"/>
        </w:tabs>
        <w:ind w:left="119" w:right="117" w:hanging="1"/>
        <w:jc w:val="both"/>
        <w:rPr>
          <w:sz w:val="20"/>
        </w:rPr>
      </w:pPr>
      <w:r>
        <w:rPr>
          <w:sz w:val="20"/>
        </w:rPr>
        <w:t xml:space="preserve">El 9 </w:t>
      </w:r>
      <w:r>
        <w:rPr>
          <w:sz w:val="20"/>
        </w:rPr>
        <w:t>de enero de 1999, de oficio, el Ministerio Público del Estado de Bahia junto con varios familiares de las víctimas de la explosión instauraron el proceso civil No. 0000186- 40.1999.805.0229 ante el Primer Juzgado Civil, contra Osvaldo Prazeres Bastos, Mári</w:t>
      </w:r>
      <w:r>
        <w:rPr>
          <w:sz w:val="20"/>
        </w:rPr>
        <w:t>o</w:t>
      </w:r>
      <w:r>
        <w:rPr>
          <w:spacing w:val="-41"/>
          <w:sz w:val="20"/>
        </w:rPr>
        <w:t xml:space="preserve"> </w:t>
      </w:r>
      <w:r>
        <w:rPr>
          <w:sz w:val="20"/>
        </w:rPr>
        <w:t>Fróes Prazeres</w:t>
      </w:r>
      <w:r>
        <w:rPr>
          <w:spacing w:val="-7"/>
          <w:sz w:val="20"/>
        </w:rPr>
        <w:t xml:space="preserve"> </w:t>
      </w:r>
      <w:r>
        <w:rPr>
          <w:sz w:val="20"/>
        </w:rPr>
        <w:t>Bastos</w:t>
      </w:r>
      <w:r>
        <w:rPr>
          <w:spacing w:val="-6"/>
          <w:sz w:val="20"/>
        </w:rPr>
        <w:t xml:space="preserve"> </w:t>
      </w:r>
      <w:r>
        <w:rPr>
          <w:sz w:val="20"/>
        </w:rPr>
        <w:t>y</w:t>
      </w:r>
      <w:r>
        <w:rPr>
          <w:spacing w:val="-3"/>
          <w:sz w:val="20"/>
        </w:rPr>
        <w:t xml:space="preserve"> </w:t>
      </w:r>
      <w:r>
        <w:rPr>
          <w:sz w:val="20"/>
        </w:rPr>
        <w:t>Maria</w:t>
      </w:r>
      <w:r>
        <w:rPr>
          <w:spacing w:val="-3"/>
          <w:sz w:val="20"/>
        </w:rPr>
        <w:t xml:space="preserve"> </w:t>
      </w:r>
      <w:r>
        <w:rPr>
          <w:sz w:val="20"/>
        </w:rPr>
        <w:t>Julieta</w:t>
      </w:r>
      <w:r>
        <w:rPr>
          <w:spacing w:val="-5"/>
          <w:sz w:val="20"/>
        </w:rPr>
        <w:t xml:space="preserve"> </w:t>
      </w:r>
      <w:r>
        <w:rPr>
          <w:sz w:val="20"/>
        </w:rPr>
        <w:t>Fróes</w:t>
      </w:r>
      <w:r>
        <w:rPr>
          <w:spacing w:val="-6"/>
          <w:sz w:val="20"/>
        </w:rPr>
        <w:t xml:space="preserve"> </w:t>
      </w:r>
      <w:r>
        <w:rPr>
          <w:sz w:val="20"/>
        </w:rPr>
        <w:t>Bastos</w:t>
      </w:r>
      <w:r>
        <w:rPr>
          <w:spacing w:val="-6"/>
          <w:sz w:val="20"/>
        </w:rPr>
        <w:t xml:space="preserve"> </w:t>
      </w:r>
      <w:r>
        <w:rPr>
          <w:sz w:val="20"/>
        </w:rPr>
        <w:t>con</w:t>
      </w:r>
      <w:r>
        <w:rPr>
          <w:spacing w:val="-4"/>
          <w:sz w:val="20"/>
        </w:rPr>
        <w:t xml:space="preserve"> </w:t>
      </w:r>
      <w:r>
        <w:rPr>
          <w:sz w:val="20"/>
        </w:rPr>
        <w:t>la</w:t>
      </w:r>
      <w:r>
        <w:rPr>
          <w:spacing w:val="-6"/>
          <w:sz w:val="20"/>
        </w:rPr>
        <w:t xml:space="preserve"> </w:t>
      </w:r>
      <w:r>
        <w:rPr>
          <w:sz w:val="20"/>
        </w:rPr>
        <w:t>finalidad</w:t>
      </w:r>
      <w:r>
        <w:rPr>
          <w:spacing w:val="-5"/>
          <w:sz w:val="20"/>
        </w:rPr>
        <w:t xml:space="preserve"> </w:t>
      </w:r>
      <w:r>
        <w:rPr>
          <w:sz w:val="20"/>
        </w:rPr>
        <w:t>de</w:t>
      </w:r>
      <w:r>
        <w:rPr>
          <w:spacing w:val="-7"/>
          <w:sz w:val="20"/>
        </w:rPr>
        <w:t xml:space="preserve"> </w:t>
      </w:r>
      <w:r>
        <w:rPr>
          <w:sz w:val="20"/>
        </w:rPr>
        <w:t>obtener</w:t>
      </w:r>
      <w:r>
        <w:rPr>
          <w:spacing w:val="-4"/>
          <w:sz w:val="20"/>
        </w:rPr>
        <w:t xml:space="preserve"> </w:t>
      </w:r>
      <w:r>
        <w:rPr>
          <w:sz w:val="20"/>
        </w:rPr>
        <w:t>reparaciones</w:t>
      </w:r>
      <w:hyperlink w:anchor="_bookmark174" w:history="1">
        <w:r>
          <w:rPr>
            <w:position w:val="7"/>
            <w:sz w:val="13"/>
          </w:rPr>
          <w:t>146</w:t>
        </w:r>
      </w:hyperlink>
      <w:r>
        <w:rPr>
          <w:sz w:val="20"/>
        </w:rPr>
        <w:t>.</w:t>
      </w:r>
      <w:r>
        <w:rPr>
          <w:spacing w:val="-6"/>
          <w:sz w:val="20"/>
        </w:rPr>
        <w:t xml:space="preserve"> </w:t>
      </w:r>
      <w:r>
        <w:rPr>
          <w:sz w:val="20"/>
        </w:rPr>
        <w:t>Este proceso</w:t>
      </w:r>
      <w:r>
        <w:rPr>
          <w:spacing w:val="-5"/>
          <w:sz w:val="20"/>
        </w:rPr>
        <w:t xml:space="preserve"> </w:t>
      </w:r>
      <w:r>
        <w:rPr>
          <w:sz w:val="20"/>
        </w:rPr>
        <w:t>terminó</w:t>
      </w:r>
      <w:r>
        <w:rPr>
          <w:spacing w:val="-4"/>
          <w:sz w:val="20"/>
        </w:rPr>
        <w:t xml:space="preserve"> </w:t>
      </w:r>
      <w:r>
        <w:rPr>
          <w:sz w:val="20"/>
        </w:rPr>
        <w:t>en</w:t>
      </w:r>
      <w:r>
        <w:rPr>
          <w:spacing w:val="-2"/>
          <w:sz w:val="20"/>
        </w:rPr>
        <w:t xml:space="preserve"> </w:t>
      </w:r>
      <w:r>
        <w:rPr>
          <w:sz w:val="20"/>
        </w:rPr>
        <w:t>primera</w:t>
      </w:r>
      <w:r>
        <w:rPr>
          <w:spacing w:val="-4"/>
          <w:sz w:val="20"/>
        </w:rPr>
        <w:t xml:space="preserve"> </w:t>
      </w:r>
      <w:r>
        <w:rPr>
          <w:sz w:val="20"/>
        </w:rPr>
        <w:t>instancia</w:t>
      </w:r>
      <w:r>
        <w:rPr>
          <w:spacing w:val="-5"/>
          <w:sz w:val="20"/>
        </w:rPr>
        <w:t xml:space="preserve"> </w:t>
      </w:r>
      <w:r>
        <w:rPr>
          <w:sz w:val="20"/>
        </w:rPr>
        <w:t>debido</w:t>
      </w:r>
      <w:r>
        <w:rPr>
          <w:spacing w:val="-4"/>
          <w:sz w:val="20"/>
        </w:rPr>
        <w:t xml:space="preserve"> </w:t>
      </w:r>
      <w:r>
        <w:rPr>
          <w:sz w:val="20"/>
        </w:rPr>
        <w:t>a</w:t>
      </w:r>
      <w:r>
        <w:rPr>
          <w:spacing w:val="-3"/>
          <w:sz w:val="20"/>
        </w:rPr>
        <w:t xml:space="preserve"> </w:t>
      </w:r>
      <w:r>
        <w:rPr>
          <w:sz w:val="20"/>
        </w:rPr>
        <w:t>un</w:t>
      </w:r>
      <w:r>
        <w:rPr>
          <w:spacing w:val="-4"/>
          <w:sz w:val="20"/>
        </w:rPr>
        <w:t xml:space="preserve"> </w:t>
      </w:r>
      <w:r>
        <w:rPr>
          <w:sz w:val="20"/>
        </w:rPr>
        <w:t>acuerdo</w:t>
      </w:r>
      <w:r>
        <w:rPr>
          <w:spacing w:val="-5"/>
          <w:sz w:val="20"/>
        </w:rPr>
        <w:t xml:space="preserve"> </w:t>
      </w:r>
      <w:r>
        <w:rPr>
          <w:sz w:val="20"/>
        </w:rPr>
        <w:t>entre</w:t>
      </w:r>
      <w:r>
        <w:rPr>
          <w:spacing w:val="-7"/>
          <w:sz w:val="20"/>
        </w:rPr>
        <w:t xml:space="preserve"> </w:t>
      </w:r>
      <w:r>
        <w:rPr>
          <w:sz w:val="20"/>
        </w:rPr>
        <w:t>las</w:t>
      </w:r>
      <w:r>
        <w:rPr>
          <w:spacing w:val="-4"/>
          <w:sz w:val="20"/>
        </w:rPr>
        <w:t xml:space="preserve"> </w:t>
      </w:r>
      <w:r>
        <w:rPr>
          <w:sz w:val="20"/>
        </w:rPr>
        <w:t>víctimas</w:t>
      </w:r>
      <w:r>
        <w:rPr>
          <w:spacing w:val="-6"/>
          <w:sz w:val="20"/>
        </w:rPr>
        <w:t xml:space="preserve"> </w:t>
      </w:r>
      <w:r>
        <w:rPr>
          <w:sz w:val="20"/>
        </w:rPr>
        <w:t>de</w:t>
      </w:r>
      <w:r>
        <w:rPr>
          <w:spacing w:val="-7"/>
          <w:sz w:val="20"/>
        </w:rPr>
        <w:t xml:space="preserve"> </w:t>
      </w:r>
      <w:r>
        <w:rPr>
          <w:sz w:val="20"/>
        </w:rPr>
        <w:t>la</w:t>
      </w:r>
      <w:r>
        <w:rPr>
          <w:spacing w:val="-2"/>
          <w:sz w:val="20"/>
        </w:rPr>
        <w:t xml:space="preserve"> </w:t>
      </w:r>
      <w:r>
        <w:rPr>
          <w:sz w:val="20"/>
        </w:rPr>
        <w:t>explosión, sus parientes y los demandados, suscrito el 8 de octubre de 2013</w:t>
      </w:r>
      <w:hyperlink w:anchor="_bookmark175" w:history="1">
        <w:r>
          <w:rPr>
            <w:position w:val="7"/>
            <w:sz w:val="13"/>
          </w:rPr>
          <w:t>147</w:t>
        </w:r>
      </w:hyperlink>
      <w:r>
        <w:rPr>
          <w:sz w:val="20"/>
        </w:rPr>
        <w:t>, el cual fue homologado por el Juzgado de primera instancia el 10 de diciembre de 2013. El acuerdo estableció una indemnización de aproximadament</w:t>
      </w:r>
      <w:r>
        <w:rPr>
          <w:sz w:val="20"/>
        </w:rPr>
        <w:t>e de R$ 1.280.000,00 (un millón doscientos ochenta mil reales), los cuales serían repartidos entre los titulares de los créditos. En vista del incumplimiento</w:t>
      </w:r>
      <w:r>
        <w:rPr>
          <w:spacing w:val="-8"/>
          <w:sz w:val="20"/>
        </w:rPr>
        <w:t xml:space="preserve"> </w:t>
      </w:r>
      <w:r>
        <w:rPr>
          <w:sz w:val="20"/>
        </w:rPr>
        <w:t>del</w:t>
      </w:r>
      <w:r>
        <w:rPr>
          <w:spacing w:val="-3"/>
          <w:sz w:val="20"/>
        </w:rPr>
        <w:t xml:space="preserve"> </w:t>
      </w:r>
      <w:r>
        <w:rPr>
          <w:sz w:val="20"/>
        </w:rPr>
        <w:t>acuerdo</w:t>
      </w:r>
      <w:r>
        <w:rPr>
          <w:spacing w:val="-4"/>
          <w:sz w:val="20"/>
        </w:rPr>
        <w:t xml:space="preserve"> </w:t>
      </w:r>
      <w:r>
        <w:rPr>
          <w:sz w:val="20"/>
        </w:rPr>
        <w:t>por</w:t>
      </w:r>
      <w:r>
        <w:rPr>
          <w:spacing w:val="-8"/>
          <w:sz w:val="20"/>
        </w:rPr>
        <w:t xml:space="preserve"> </w:t>
      </w:r>
      <w:r>
        <w:rPr>
          <w:sz w:val="20"/>
        </w:rPr>
        <w:t>parte</w:t>
      </w:r>
      <w:r>
        <w:rPr>
          <w:spacing w:val="-4"/>
          <w:sz w:val="20"/>
        </w:rPr>
        <w:t xml:space="preserve"> </w:t>
      </w:r>
      <w:r>
        <w:rPr>
          <w:sz w:val="20"/>
        </w:rPr>
        <w:t>de</w:t>
      </w:r>
      <w:r>
        <w:rPr>
          <w:spacing w:val="-4"/>
          <w:sz w:val="20"/>
        </w:rPr>
        <w:t xml:space="preserve"> </w:t>
      </w:r>
      <w:r>
        <w:rPr>
          <w:sz w:val="20"/>
        </w:rPr>
        <w:t>los</w:t>
      </w:r>
      <w:r>
        <w:rPr>
          <w:spacing w:val="-7"/>
          <w:sz w:val="20"/>
        </w:rPr>
        <w:t xml:space="preserve"> </w:t>
      </w:r>
      <w:r>
        <w:rPr>
          <w:sz w:val="20"/>
        </w:rPr>
        <w:t>demandados,</w:t>
      </w:r>
      <w:r>
        <w:rPr>
          <w:spacing w:val="-4"/>
          <w:sz w:val="20"/>
        </w:rPr>
        <w:t xml:space="preserve"> </w:t>
      </w:r>
      <w:r>
        <w:rPr>
          <w:sz w:val="20"/>
        </w:rPr>
        <w:t>el</w:t>
      </w:r>
      <w:r>
        <w:rPr>
          <w:spacing w:val="-3"/>
          <w:sz w:val="20"/>
        </w:rPr>
        <w:t xml:space="preserve"> </w:t>
      </w:r>
      <w:r>
        <w:rPr>
          <w:sz w:val="20"/>
        </w:rPr>
        <w:t>Ministerio</w:t>
      </w:r>
      <w:r>
        <w:rPr>
          <w:spacing w:val="-5"/>
          <w:sz w:val="20"/>
        </w:rPr>
        <w:t xml:space="preserve"> </w:t>
      </w:r>
      <w:r>
        <w:rPr>
          <w:sz w:val="20"/>
        </w:rPr>
        <w:t>Público</w:t>
      </w:r>
      <w:r>
        <w:rPr>
          <w:spacing w:val="-4"/>
          <w:sz w:val="20"/>
        </w:rPr>
        <w:t xml:space="preserve"> </w:t>
      </w:r>
      <w:r>
        <w:rPr>
          <w:sz w:val="20"/>
        </w:rPr>
        <w:t>interpuso</w:t>
      </w:r>
      <w:r>
        <w:rPr>
          <w:spacing w:val="-4"/>
          <w:sz w:val="20"/>
        </w:rPr>
        <w:t xml:space="preserve"> </w:t>
      </w:r>
      <w:r>
        <w:rPr>
          <w:sz w:val="20"/>
        </w:rPr>
        <w:t>una petición</w:t>
      </w:r>
      <w:r>
        <w:rPr>
          <w:spacing w:val="-8"/>
          <w:sz w:val="20"/>
        </w:rPr>
        <w:t xml:space="preserve"> </w:t>
      </w:r>
      <w:r>
        <w:rPr>
          <w:sz w:val="20"/>
        </w:rPr>
        <w:t>de</w:t>
      </w:r>
      <w:r>
        <w:rPr>
          <w:spacing w:val="-7"/>
          <w:sz w:val="20"/>
        </w:rPr>
        <w:t xml:space="preserve"> </w:t>
      </w:r>
      <w:r>
        <w:rPr>
          <w:sz w:val="20"/>
        </w:rPr>
        <w:t>cumplimiento</w:t>
      </w:r>
      <w:r>
        <w:rPr>
          <w:spacing w:val="-9"/>
          <w:sz w:val="20"/>
        </w:rPr>
        <w:t xml:space="preserve"> </w:t>
      </w:r>
      <w:r>
        <w:rPr>
          <w:sz w:val="20"/>
        </w:rPr>
        <w:t>de</w:t>
      </w:r>
      <w:r>
        <w:rPr>
          <w:spacing w:val="-10"/>
          <w:sz w:val="20"/>
        </w:rPr>
        <w:t xml:space="preserve"> </w:t>
      </w:r>
      <w:r>
        <w:rPr>
          <w:sz w:val="20"/>
        </w:rPr>
        <w:t>sentencia</w:t>
      </w:r>
      <w:r>
        <w:rPr>
          <w:spacing w:val="-5"/>
          <w:sz w:val="20"/>
        </w:rPr>
        <w:t xml:space="preserve"> </w:t>
      </w:r>
      <w:r>
        <w:rPr>
          <w:sz w:val="20"/>
        </w:rPr>
        <w:t>en</w:t>
      </w:r>
      <w:r>
        <w:rPr>
          <w:spacing w:val="-4"/>
          <w:sz w:val="20"/>
        </w:rPr>
        <w:t xml:space="preserve"> </w:t>
      </w:r>
      <w:r>
        <w:rPr>
          <w:sz w:val="20"/>
        </w:rPr>
        <w:t>la</w:t>
      </w:r>
      <w:r>
        <w:rPr>
          <w:spacing w:val="-9"/>
          <w:sz w:val="20"/>
        </w:rPr>
        <w:t xml:space="preserve"> </w:t>
      </w:r>
      <w:r>
        <w:rPr>
          <w:sz w:val="20"/>
        </w:rPr>
        <w:t>que</w:t>
      </w:r>
      <w:r>
        <w:rPr>
          <w:spacing w:val="-7"/>
          <w:sz w:val="20"/>
        </w:rPr>
        <w:t xml:space="preserve"> </w:t>
      </w:r>
      <w:r>
        <w:rPr>
          <w:sz w:val="20"/>
        </w:rPr>
        <w:t>solicitó</w:t>
      </w:r>
      <w:r>
        <w:rPr>
          <w:spacing w:val="-9"/>
          <w:sz w:val="20"/>
        </w:rPr>
        <w:t xml:space="preserve"> </w:t>
      </w:r>
      <w:r>
        <w:rPr>
          <w:sz w:val="20"/>
        </w:rPr>
        <w:t>la</w:t>
      </w:r>
      <w:r>
        <w:rPr>
          <w:spacing w:val="-5"/>
          <w:sz w:val="20"/>
        </w:rPr>
        <w:t xml:space="preserve"> </w:t>
      </w:r>
      <w:r>
        <w:rPr>
          <w:sz w:val="20"/>
        </w:rPr>
        <w:t>imposición</w:t>
      </w:r>
      <w:r>
        <w:rPr>
          <w:spacing w:val="-8"/>
          <w:sz w:val="20"/>
        </w:rPr>
        <w:t xml:space="preserve"> </w:t>
      </w:r>
      <w:r>
        <w:rPr>
          <w:sz w:val="20"/>
        </w:rPr>
        <w:t>de</w:t>
      </w:r>
      <w:r>
        <w:rPr>
          <w:spacing w:val="-7"/>
          <w:sz w:val="20"/>
        </w:rPr>
        <w:t xml:space="preserve"> </w:t>
      </w:r>
      <w:r>
        <w:rPr>
          <w:sz w:val="20"/>
        </w:rPr>
        <w:t>una</w:t>
      </w:r>
      <w:r>
        <w:rPr>
          <w:spacing w:val="-8"/>
          <w:sz w:val="20"/>
        </w:rPr>
        <w:t xml:space="preserve"> </w:t>
      </w:r>
      <w:r>
        <w:rPr>
          <w:sz w:val="20"/>
        </w:rPr>
        <w:t>multa.</w:t>
      </w:r>
      <w:r>
        <w:rPr>
          <w:spacing w:val="-9"/>
          <w:sz w:val="20"/>
        </w:rPr>
        <w:t xml:space="preserve"> </w:t>
      </w:r>
      <w:r>
        <w:rPr>
          <w:sz w:val="20"/>
        </w:rPr>
        <w:t>Además, señaló una lista de propiedades de Osvaldo Prazeres Bastos, a efectos de proceder a su embargo, en caso de que la deuda no fuera pagada</w:t>
      </w:r>
      <w:hyperlink w:anchor="_bookmark176" w:history="1">
        <w:r>
          <w:rPr>
            <w:position w:val="7"/>
            <w:sz w:val="13"/>
          </w:rPr>
          <w:t>148</w:t>
        </w:r>
      </w:hyperlink>
      <w:r>
        <w:rPr>
          <w:sz w:val="20"/>
        </w:rPr>
        <w:t xml:space="preserve">. El </w:t>
      </w:r>
      <w:r>
        <w:rPr>
          <w:sz w:val="20"/>
        </w:rPr>
        <w:t>Estado, en su contestación, indicó que hasta octubre de 2017 los demandados habían pagado la cantidad de R$ 1.940.000 (un millón novecientos cuarenta mil reales). Posteriormente, según indicó el Estado, el demandado hizo tres depósitos por un total de R$ 2</w:t>
      </w:r>
      <w:r>
        <w:rPr>
          <w:sz w:val="20"/>
        </w:rPr>
        <w:t>70.000 (doscientos setenta mil reales) y una de sus propiedades fue subastada, recaudando la cantidad de R$ 84.500 (ochenta y cuatro</w:t>
      </w:r>
      <w:r>
        <w:rPr>
          <w:spacing w:val="10"/>
          <w:sz w:val="20"/>
        </w:rPr>
        <w:t xml:space="preserve"> </w:t>
      </w:r>
      <w:r>
        <w:rPr>
          <w:sz w:val="20"/>
        </w:rPr>
        <w:t>mil</w:t>
      </w:r>
      <w:r>
        <w:rPr>
          <w:spacing w:val="12"/>
          <w:sz w:val="20"/>
        </w:rPr>
        <w:t xml:space="preserve"> </w:t>
      </w:r>
      <w:r>
        <w:rPr>
          <w:sz w:val="20"/>
        </w:rPr>
        <w:t>quinientos</w:t>
      </w:r>
      <w:r>
        <w:rPr>
          <w:spacing w:val="13"/>
          <w:sz w:val="20"/>
        </w:rPr>
        <w:t xml:space="preserve"> </w:t>
      </w:r>
      <w:r>
        <w:rPr>
          <w:sz w:val="20"/>
        </w:rPr>
        <w:t>reales).</w:t>
      </w:r>
      <w:r>
        <w:rPr>
          <w:spacing w:val="11"/>
          <w:sz w:val="20"/>
        </w:rPr>
        <w:t xml:space="preserve"> </w:t>
      </w:r>
      <w:r>
        <w:rPr>
          <w:sz w:val="20"/>
        </w:rPr>
        <w:t>Así,</w:t>
      </w:r>
      <w:r>
        <w:rPr>
          <w:spacing w:val="11"/>
          <w:sz w:val="20"/>
        </w:rPr>
        <w:t xml:space="preserve"> </w:t>
      </w:r>
      <w:r>
        <w:rPr>
          <w:sz w:val="20"/>
        </w:rPr>
        <w:t>la</w:t>
      </w:r>
      <w:r>
        <w:rPr>
          <w:spacing w:val="12"/>
          <w:sz w:val="20"/>
        </w:rPr>
        <w:t xml:space="preserve"> </w:t>
      </w:r>
      <w:r>
        <w:rPr>
          <w:sz w:val="20"/>
        </w:rPr>
        <w:t>deuda</w:t>
      </w:r>
      <w:r>
        <w:rPr>
          <w:spacing w:val="12"/>
          <w:sz w:val="20"/>
        </w:rPr>
        <w:t xml:space="preserve"> </w:t>
      </w:r>
      <w:r>
        <w:rPr>
          <w:sz w:val="20"/>
        </w:rPr>
        <w:t>actual</w:t>
      </w:r>
      <w:r>
        <w:rPr>
          <w:spacing w:val="12"/>
          <w:sz w:val="20"/>
        </w:rPr>
        <w:t xml:space="preserve"> </w:t>
      </w:r>
      <w:r>
        <w:rPr>
          <w:sz w:val="20"/>
        </w:rPr>
        <w:t>de</w:t>
      </w:r>
      <w:r>
        <w:rPr>
          <w:spacing w:val="10"/>
          <w:sz w:val="20"/>
        </w:rPr>
        <w:t xml:space="preserve"> </w:t>
      </w:r>
      <w:r>
        <w:rPr>
          <w:sz w:val="20"/>
        </w:rPr>
        <w:t>los</w:t>
      </w:r>
      <w:r>
        <w:rPr>
          <w:spacing w:val="13"/>
          <w:sz w:val="20"/>
        </w:rPr>
        <w:t xml:space="preserve"> </w:t>
      </w:r>
      <w:r>
        <w:rPr>
          <w:sz w:val="20"/>
        </w:rPr>
        <w:t>ejecutados</w:t>
      </w:r>
      <w:r>
        <w:rPr>
          <w:spacing w:val="11"/>
          <w:sz w:val="20"/>
        </w:rPr>
        <w:t xml:space="preserve"> </w:t>
      </w:r>
      <w:r>
        <w:rPr>
          <w:sz w:val="20"/>
        </w:rPr>
        <w:t>alcanza</w:t>
      </w:r>
      <w:r>
        <w:rPr>
          <w:spacing w:val="12"/>
          <w:sz w:val="20"/>
        </w:rPr>
        <w:t xml:space="preserve"> </w:t>
      </w:r>
      <w:r>
        <w:rPr>
          <w:sz w:val="20"/>
        </w:rPr>
        <w:t>la</w:t>
      </w:r>
      <w:r>
        <w:rPr>
          <w:spacing w:val="12"/>
          <w:sz w:val="20"/>
        </w:rPr>
        <w:t xml:space="preserve"> </w:t>
      </w:r>
      <w:r>
        <w:rPr>
          <w:sz w:val="20"/>
        </w:rPr>
        <w:t>suma</w:t>
      </w:r>
      <w:r>
        <w:rPr>
          <w:spacing w:val="12"/>
          <w:sz w:val="20"/>
        </w:rPr>
        <w:t xml:space="preserve"> </w:t>
      </w:r>
      <w:r>
        <w:rPr>
          <w:sz w:val="20"/>
        </w:rPr>
        <w:t>de</w:t>
      </w:r>
      <w:r>
        <w:rPr>
          <w:spacing w:val="10"/>
          <w:sz w:val="20"/>
        </w:rPr>
        <w:t xml:space="preserve"> </w:t>
      </w:r>
      <w:r>
        <w:rPr>
          <w:sz w:val="20"/>
        </w:rPr>
        <w:t>R$</w:t>
      </w:r>
    </w:p>
    <w:p w14:paraId="651080AF" w14:textId="77777777" w:rsidR="00467FCA" w:rsidRDefault="001B68EB">
      <w:pPr>
        <w:pStyle w:val="Textoindependiente"/>
        <w:ind w:left="119" w:right="116"/>
        <w:jc w:val="both"/>
      </w:pPr>
      <w:r>
        <w:t>475.038 (cuatrocientos setenta y cinco</w:t>
      </w:r>
      <w:r>
        <w:t xml:space="preserve"> mil treinta y ocho reales). Entre el 25 de noviembre de 2016 y el 4 de mayo de 2018, se emitieron autorizaciones judiciales para el pago de los valores recaudados a cada víctima</w:t>
      </w:r>
      <w:hyperlink w:anchor="_bookmark177" w:history="1">
        <w:r>
          <w:rPr>
            <w:position w:val="7"/>
            <w:sz w:val="13"/>
          </w:rPr>
          <w:t>149</w:t>
        </w:r>
      </w:hyperlink>
      <w:r>
        <w:t>. La Fiscalía local siguió solicitando el c</w:t>
      </w:r>
      <w:r>
        <w:t>umplimiento de la</w:t>
      </w:r>
      <w:r>
        <w:rPr>
          <w:spacing w:val="-5"/>
        </w:rPr>
        <w:t xml:space="preserve"> </w:t>
      </w:r>
      <w:r>
        <w:t>deuda</w:t>
      </w:r>
      <w:r>
        <w:rPr>
          <w:spacing w:val="-5"/>
        </w:rPr>
        <w:t xml:space="preserve"> </w:t>
      </w:r>
      <w:r>
        <w:t>restante</w:t>
      </w:r>
      <w:hyperlink w:anchor="_bookmark178" w:history="1">
        <w:r>
          <w:rPr>
            <w:position w:val="7"/>
            <w:sz w:val="13"/>
          </w:rPr>
          <w:t>150</w:t>
        </w:r>
      </w:hyperlink>
      <w:r>
        <w:t>,</w:t>
      </w:r>
      <w:r>
        <w:rPr>
          <w:spacing w:val="-5"/>
        </w:rPr>
        <w:t xml:space="preserve"> </w:t>
      </w:r>
      <w:r>
        <w:t>lo</w:t>
      </w:r>
      <w:r>
        <w:rPr>
          <w:spacing w:val="-7"/>
        </w:rPr>
        <w:t xml:space="preserve"> </w:t>
      </w:r>
      <w:r>
        <w:t>que</w:t>
      </w:r>
      <w:r>
        <w:rPr>
          <w:spacing w:val="-6"/>
        </w:rPr>
        <w:t xml:space="preserve"> </w:t>
      </w:r>
      <w:r>
        <w:t>culminó,</w:t>
      </w:r>
      <w:r>
        <w:rPr>
          <w:spacing w:val="-4"/>
        </w:rPr>
        <w:t xml:space="preserve"> </w:t>
      </w:r>
      <w:r>
        <w:t>en</w:t>
      </w:r>
      <w:r>
        <w:rPr>
          <w:spacing w:val="-4"/>
        </w:rPr>
        <w:t xml:space="preserve"> </w:t>
      </w:r>
      <w:r>
        <w:t>marzo</w:t>
      </w:r>
      <w:r>
        <w:rPr>
          <w:spacing w:val="-5"/>
        </w:rPr>
        <w:t xml:space="preserve"> </w:t>
      </w:r>
      <w:r>
        <w:t>de</w:t>
      </w:r>
      <w:r>
        <w:rPr>
          <w:spacing w:val="-4"/>
        </w:rPr>
        <w:t xml:space="preserve"> </w:t>
      </w:r>
      <w:r>
        <w:t>2019,</w:t>
      </w:r>
      <w:r>
        <w:rPr>
          <w:spacing w:val="-6"/>
        </w:rPr>
        <w:t xml:space="preserve"> </w:t>
      </w:r>
      <w:r>
        <w:t>con</w:t>
      </w:r>
      <w:r>
        <w:rPr>
          <w:spacing w:val="-3"/>
        </w:rPr>
        <w:t xml:space="preserve"> </w:t>
      </w:r>
      <w:r>
        <w:t>la</w:t>
      </w:r>
      <w:r>
        <w:rPr>
          <w:spacing w:val="-5"/>
        </w:rPr>
        <w:t xml:space="preserve"> </w:t>
      </w:r>
      <w:r>
        <w:t>homologación</w:t>
      </w:r>
      <w:r>
        <w:rPr>
          <w:spacing w:val="-3"/>
        </w:rPr>
        <w:t xml:space="preserve"> </w:t>
      </w:r>
      <w:r>
        <w:t>por</w:t>
      </w:r>
      <w:r>
        <w:rPr>
          <w:spacing w:val="-4"/>
        </w:rPr>
        <w:t xml:space="preserve"> </w:t>
      </w:r>
      <w:r>
        <w:t>el</w:t>
      </w:r>
      <w:r>
        <w:rPr>
          <w:spacing w:val="-5"/>
        </w:rPr>
        <w:t xml:space="preserve"> </w:t>
      </w:r>
      <w:r>
        <w:t>juez</w:t>
      </w:r>
      <w:r>
        <w:rPr>
          <w:spacing w:val="-4"/>
        </w:rPr>
        <w:t xml:space="preserve"> </w:t>
      </w:r>
      <w:r>
        <w:t>civil de un nuevo acuerdo con vistas a promover el pago de los montos</w:t>
      </w:r>
      <w:r>
        <w:rPr>
          <w:spacing w:val="-13"/>
        </w:rPr>
        <w:t xml:space="preserve"> </w:t>
      </w:r>
      <w:r>
        <w:t>faltantes</w:t>
      </w:r>
      <w:hyperlink w:anchor="_bookmark179" w:history="1">
        <w:r>
          <w:rPr>
            <w:position w:val="7"/>
            <w:sz w:val="13"/>
          </w:rPr>
          <w:t>151</w:t>
        </w:r>
      </w:hyperlink>
      <w:r>
        <w:t>.</w:t>
      </w:r>
    </w:p>
    <w:p w14:paraId="4525997C" w14:textId="77777777" w:rsidR="00467FCA" w:rsidRDefault="00467FCA">
      <w:pPr>
        <w:pStyle w:val="Textoindependiente"/>
      </w:pPr>
    </w:p>
    <w:p w14:paraId="4E7DF0B4" w14:textId="77777777" w:rsidR="00467FCA" w:rsidRDefault="001B68EB">
      <w:pPr>
        <w:pStyle w:val="Textoindependiente"/>
        <w:spacing w:before="9"/>
        <w:rPr>
          <w:sz w:val="13"/>
        </w:rPr>
      </w:pPr>
      <w:r>
        <w:pict w14:anchorId="358A817F">
          <v:shape id="_x0000_s1171" style="position:absolute;margin-left:1in;margin-top:10.6pt;width:2in;height:.1pt;z-index:-251632640;mso-wrap-distance-left:0;mso-wrap-distance-right:0;mso-position-horizontal-relative:page" coordorigin="1440,212" coordsize="2880,0" path="m1440,212r2880,e" filled="f" strokeweight=".6pt">
            <v:path arrowok="t"/>
            <w10:wrap type="topAndBottom" anchorx="page"/>
          </v:shape>
        </w:pict>
      </w:r>
    </w:p>
    <w:p w14:paraId="50880E3E" w14:textId="77777777" w:rsidR="00467FCA" w:rsidRDefault="001B68EB">
      <w:pPr>
        <w:tabs>
          <w:tab w:val="left" w:pos="839"/>
        </w:tabs>
        <w:spacing w:before="74"/>
        <w:ind w:left="119" w:right="114"/>
        <w:jc w:val="both"/>
        <w:rPr>
          <w:sz w:val="16"/>
        </w:rPr>
      </w:pPr>
      <w:bookmarkStart w:id="206" w:name="_bookmark174"/>
      <w:bookmarkEnd w:id="206"/>
      <w:r>
        <w:rPr>
          <w:position w:val="6"/>
          <w:sz w:val="10"/>
        </w:rPr>
        <w:t>146</w:t>
      </w:r>
      <w:r>
        <w:rPr>
          <w:position w:val="6"/>
          <w:sz w:val="10"/>
        </w:rPr>
        <w:tab/>
      </w:r>
      <w:r>
        <w:rPr>
          <w:sz w:val="16"/>
        </w:rPr>
        <w:t>El</w:t>
      </w:r>
      <w:r>
        <w:rPr>
          <w:spacing w:val="-2"/>
          <w:sz w:val="16"/>
        </w:rPr>
        <w:t xml:space="preserve"> </w:t>
      </w:r>
      <w:r>
        <w:rPr>
          <w:sz w:val="16"/>
        </w:rPr>
        <w:t>Estado</w:t>
      </w:r>
      <w:r>
        <w:rPr>
          <w:spacing w:val="-3"/>
          <w:sz w:val="16"/>
        </w:rPr>
        <w:t xml:space="preserve"> </w:t>
      </w:r>
      <w:r>
        <w:rPr>
          <w:sz w:val="16"/>
        </w:rPr>
        <w:t>de</w:t>
      </w:r>
      <w:r>
        <w:rPr>
          <w:spacing w:val="-2"/>
          <w:sz w:val="16"/>
        </w:rPr>
        <w:t xml:space="preserve"> </w:t>
      </w:r>
      <w:r>
        <w:rPr>
          <w:sz w:val="16"/>
        </w:rPr>
        <w:t>Brasil,</w:t>
      </w:r>
      <w:r>
        <w:rPr>
          <w:spacing w:val="-2"/>
          <w:sz w:val="16"/>
        </w:rPr>
        <w:t xml:space="preserve"> </w:t>
      </w:r>
      <w:r>
        <w:rPr>
          <w:sz w:val="16"/>
        </w:rPr>
        <w:t>en</w:t>
      </w:r>
      <w:r>
        <w:rPr>
          <w:spacing w:val="-4"/>
          <w:sz w:val="16"/>
        </w:rPr>
        <w:t xml:space="preserve"> </w:t>
      </w:r>
      <w:r>
        <w:rPr>
          <w:sz w:val="16"/>
        </w:rPr>
        <w:t>su</w:t>
      </w:r>
      <w:r>
        <w:rPr>
          <w:spacing w:val="-5"/>
          <w:sz w:val="16"/>
        </w:rPr>
        <w:t xml:space="preserve"> </w:t>
      </w:r>
      <w:r>
        <w:rPr>
          <w:sz w:val="16"/>
        </w:rPr>
        <w:t>contestación</w:t>
      </w:r>
      <w:r>
        <w:rPr>
          <w:spacing w:val="-3"/>
          <w:sz w:val="16"/>
        </w:rPr>
        <w:t xml:space="preserve"> </w:t>
      </w:r>
      <w:r>
        <w:rPr>
          <w:sz w:val="16"/>
        </w:rPr>
        <w:t>destacó</w:t>
      </w:r>
      <w:r>
        <w:rPr>
          <w:spacing w:val="-3"/>
          <w:sz w:val="16"/>
        </w:rPr>
        <w:t xml:space="preserve"> </w:t>
      </w:r>
      <w:r>
        <w:rPr>
          <w:sz w:val="16"/>
        </w:rPr>
        <w:t>que,</w:t>
      </w:r>
      <w:r>
        <w:rPr>
          <w:spacing w:val="-3"/>
          <w:sz w:val="16"/>
        </w:rPr>
        <w:t xml:space="preserve"> </w:t>
      </w:r>
      <w:r>
        <w:rPr>
          <w:sz w:val="16"/>
        </w:rPr>
        <w:t>conforme</w:t>
      </w:r>
      <w:r>
        <w:rPr>
          <w:spacing w:val="-1"/>
          <w:sz w:val="16"/>
        </w:rPr>
        <w:t xml:space="preserve"> </w:t>
      </w:r>
      <w:r>
        <w:rPr>
          <w:sz w:val="16"/>
        </w:rPr>
        <w:t>a</w:t>
      </w:r>
      <w:r>
        <w:rPr>
          <w:spacing w:val="-3"/>
          <w:sz w:val="16"/>
        </w:rPr>
        <w:t xml:space="preserve"> </w:t>
      </w:r>
      <w:r>
        <w:rPr>
          <w:sz w:val="16"/>
        </w:rPr>
        <w:t>la</w:t>
      </w:r>
      <w:r>
        <w:rPr>
          <w:spacing w:val="-2"/>
          <w:sz w:val="16"/>
        </w:rPr>
        <w:t xml:space="preserve"> </w:t>
      </w:r>
      <w:r>
        <w:rPr>
          <w:sz w:val="16"/>
        </w:rPr>
        <w:t>legislación</w:t>
      </w:r>
      <w:r>
        <w:rPr>
          <w:spacing w:val="-4"/>
          <w:sz w:val="16"/>
        </w:rPr>
        <w:t xml:space="preserve"> </w:t>
      </w:r>
      <w:r>
        <w:rPr>
          <w:sz w:val="16"/>
        </w:rPr>
        <w:t>brasileña,</w:t>
      </w:r>
      <w:r>
        <w:rPr>
          <w:spacing w:val="-2"/>
          <w:sz w:val="16"/>
        </w:rPr>
        <w:t xml:space="preserve"> </w:t>
      </w:r>
      <w:r>
        <w:rPr>
          <w:sz w:val="16"/>
        </w:rPr>
        <w:t>los</w:t>
      </w:r>
      <w:r>
        <w:rPr>
          <w:spacing w:val="-2"/>
          <w:sz w:val="16"/>
        </w:rPr>
        <w:t xml:space="preserve"> </w:t>
      </w:r>
      <w:r>
        <w:rPr>
          <w:sz w:val="16"/>
        </w:rPr>
        <w:t>procedimientos penales, civiles y administrativos son independientes entre sí, razón por la cual el Ministerio Público pudo, en 1998, iniciar un procedimiento civil con miras a indemnizar a las víctimas, aun cuando no se había concluido el proceso</w:t>
      </w:r>
      <w:bookmarkStart w:id="207" w:name="_bookmark175"/>
      <w:bookmarkEnd w:id="207"/>
      <w:r>
        <w:rPr>
          <w:sz w:val="16"/>
        </w:rPr>
        <w:t xml:space="preserve"> penal.</w:t>
      </w:r>
    </w:p>
    <w:p w14:paraId="0E974D19" w14:textId="77777777" w:rsidR="00467FCA" w:rsidRDefault="001B68EB">
      <w:pPr>
        <w:tabs>
          <w:tab w:val="left" w:pos="839"/>
        </w:tabs>
        <w:ind w:left="119" w:right="114"/>
        <w:jc w:val="both"/>
        <w:rPr>
          <w:sz w:val="16"/>
        </w:rPr>
      </w:pPr>
      <w:r>
        <w:rPr>
          <w:position w:val="6"/>
          <w:sz w:val="10"/>
        </w:rPr>
        <w:t>1</w:t>
      </w:r>
      <w:r>
        <w:rPr>
          <w:position w:val="6"/>
          <w:sz w:val="10"/>
        </w:rPr>
        <w:t>47</w:t>
      </w:r>
      <w:r>
        <w:rPr>
          <w:position w:val="6"/>
          <w:sz w:val="10"/>
        </w:rPr>
        <w:tab/>
      </w:r>
      <w:r>
        <w:rPr>
          <w:i/>
          <w:sz w:val="16"/>
        </w:rPr>
        <w:t>Cfr</w:t>
      </w:r>
      <w:r>
        <w:rPr>
          <w:sz w:val="16"/>
        </w:rPr>
        <w:t>. Acuerdo promovido por el Ministerio Público de Bahia el 8 de octubre de 2013 (expediente de prueba, folios 1956 a</w:t>
      </w:r>
      <w:r>
        <w:rPr>
          <w:spacing w:val="-5"/>
          <w:sz w:val="16"/>
        </w:rPr>
        <w:t xml:space="preserve"> </w:t>
      </w:r>
      <w:r>
        <w:rPr>
          <w:sz w:val="16"/>
        </w:rPr>
        <w:t>1959).</w:t>
      </w:r>
    </w:p>
    <w:p w14:paraId="5D757320" w14:textId="77777777" w:rsidR="00467FCA" w:rsidRDefault="001B68EB">
      <w:pPr>
        <w:tabs>
          <w:tab w:val="left" w:pos="839"/>
        </w:tabs>
        <w:ind w:left="119" w:right="117"/>
        <w:jc w:val="both"/>
        <w:rPr>
          <w:sz w:val="16"/>
        </w:rPr>
      </w:pPr>
      <w:bookmarkStart w:id="208" w:name="_bookmark176"/>
      <w:bookmarkEnd w:id="208"/>
      <w:r>
        <w:rPr>
          <w:position w:val="6"/>
          <w:sz w:val="10"/>
        </w:rPr>
        <w:t>148</w:t>
      </w:r>
      <w:r>
        <w:rPr>
          <w:position w:val="6"/>
          <w:sz w:val="10"/>
        </w:rPr>
        <w:tab/>
      </w:r>
      <w:r>
        <w:rPr>
          <w:i/>
          <w:sz w:val="16"/>
        </w:rPr>
        <w:t>Cfr.</w:t>
      </w:r>
      <w:r>
        <w:rPr>
          <w:i/>
          <w:spacing w:val="-7"/>
          <w:sz w:val="16"/>
        </w:rPr>
        <w:t xml:space="preserve"> </w:t>
      </w:r>
      <w:r>
        <w:rPr>
          <w:sz w:val="16"/>
        </w:rPr>
        <w:t>Resumen</w:t>
      </w:r>
      <w:r>
        <w:rPr>
          <w:spacing w:val="-6"/>
          <w:sz w:val="16"/>
        </w:rPr>
        <w:t xml:space="preserve"> </w:t>
      </w:r>
      <w:r>
        <w:rPr>
          <w:sz w:val="16"/>
        </w:rPr>
        <w:t>del</w:t>
      </w:r>
      <w:r>
        <w:rPr>
          <w:spacing w:val="-7"/>
          <w:sz w:val="16"/>
        </w:rPr>
        <w:t xml:space="preserve"> </w:t>
      </w:r>
      <w:r>
        <w:rPr>
          <w:sz w:val="16"/>
        </w:rPr>
        <w:t>proceso</w:t>
      </w:r>
      <w:r>
        <w:rPr>
          <w:spacing w:val="-5"/>
          <w:sz w:val="16"/>
        </w:rPr>
        <w:t xml:space="preserve"> </w:t>
      </w:r>
      <w:r>
        <w:rPr>
          <w:sz w:val="16"/>
        </w:rPr>
        <w:t>civil</w:t>
      </w:r>
      <w:r>
        <w:rPr>
          <w:spacing w:val="-6"/>
          <w:sz w:val="16"/>
        </w:rPr>
        <w:t xml:space="preserve"> </w:t>
      </w:r>
      <w:r>
        <w:rPr>
          <w:sz w:val="16"/>
        </w:rPr>
        <w:t>No.</w:t>
      </w:r>
      <w:r>
        <w:rPr>
          <w:spacing w:val="-6"/>
          <w:sz w:val="16"/>
        </w:rPr>
        <w:t xml:space="preserve"> </w:t>
      </w:r>
      <w:r>
        <w:rPr>
          <w:sz w:val="16"/>
        </w:rPr>
        <w:t>0000186-40.1999.8.05.0229</w:t>
      </w:r>
      <w:r>
        <w:rPr>
          <w:spacing w:val="-5"/>
          <w:sz w:val="16"/>
        </w:rPr>
        <w:t xml:space="preserve"> </w:t>
      </w:r>
      <w:r>
        <w:rPr>
          <w:sz w:val="16"/>
        </w:rPr>
        <w:t>en</w:t>
      </w:r>
      <w:r>
        <w:rPr>
          <w:spacing w:val="-7"/>
          <w:sz w:val="16"/>
        </w:rPr>
        <w:t xml:space="preserve"> </w:t>
      </w:r>
      <w:r>
        <w:rPr>
          <w:sz w:val="16"/>
        </w:rPr>
        <w:t>el</w:t>
      </w:r>
      <w:r>
        <w:rPr>
          <w:spacing w:val="-3"/>
          <w:sz w:val="16"/>
        </w:rPr>
        <w:t xml:space="preserve"> </w:t>
      </w:r>
      <w:r>
        <w:rPr>
          <w:sz w:val="16"/>
        </w:rPr>
        <w:t>Portal</w:t>
      </w:r>
      <w:r>
        <w:rPr>
          <w:spacing w:val="-7"/>
          <w:sz w:val="16"/>
        </w:rPr>
        <w:t xml:space="preserve"> </w:t>
      </w:r>
      <w:r>
        <w:rPr>
          <w:sz w:val="16"/>
        </w:rPr>
        <w:t>de</w:t>
      </w:r>
      <w:r>
        <w:rPr>
          <w:spacing w:val="-5"/>
          <w:sz w:val="16"/>
        </w:rPr>
        <w:t xml:space="preserve"> </w:t>
      </w:r>
      <w:r>
        <w:rPr>
          <w:sz w:val="16"/>
        </w:rPr>
        <w:t>Servicios</w:t>
      </w:r>
      <w:r>
        <w:rPr>
          <w:spacing w:val="-6"/>
          <w:sz w:val="16"/>
        </w:rPr>
        <w:t xml:space="preserve"> </w:t>
      </w:r>
      <w:r>
        <w:rPr>
          <w:sz w:val="16"/>
        </w:rPr>
        <w:t>e-SAJ</w:t>
      </w:r>
      <w:r>
        <w:rPr>
          <w:spacing w:val="-4"/>
          <w:sz w:val="16"/>
        </w:rPr>
        <w:t xml:space="preserve"> </w:t>
      </w:r>
      <w:r>
        <w:rPr>
          <w:sz w:val="16"/>
        </w:rPr>
        <w:t>del</w:t>
      </w:r>
      <w:r>
        <w:rPr>
          <w:spacing w:val="-4"/>
          <w:sz w:val="16"/>
        </w:rPr>
        <w:t xml:space="preserve"> </w:t>
      </w:r>
      <w:r>
        <w:rPr>
          <w:sz w:val="16"/>
        </w:rPr>
        <w:t>Tribunal de Justicia del E</w:t>
      </w:r>
      <w:r>
        <w:rPr>
          <w:sz w:val="16"/>
        </w:rPr>
        <w:t>stado de Bahia (expediente de prueba, folios 216 a</w:t>
      </w:r>
      <w:r>
        <w:rPr>
          <w:spacing w:val="-6"/>
          <w:sz w:val="16"/>
        </w:rPr>
        <w:t xml:space="preserve"> </w:t>
      </w:r>
      <w:r>
        <w:rPr>
          <w:sz w:val="16"/>
        </w:rPr>
        <w:t>230).</w:t>
      </w:r>
    </w:p>
    <w:p w14:paraId="7DCE718E" w14:textId="77777777" w:rsidR="00467FCA" w:rsidRDefault="001B68EB">
      <w:pPr>
        <w:tabs>
          <w:tab w:val="left" w:pos="839"/>
        </w:tabs>
        <w:ind w:left="119" w:right="113"/>
        <w:jc w:val="both"/>
        <w:rPr>
          <w:sz w:val="16"/>
        </w:rPr>
      </w:pPr>
      <w:bookmarkStart w:id="209" w:name="_bookmark177"/>
      <w:bookmarkEnd w:id="209"/>
      <w:r>
        <w:rPr>
          <w:position w:val="6"/>
          <w:sz w:val="10"/>
        </w:rPr>
        <w:t>149</w:t>
      </w:r>
      <w:r>
        <w:rPr>
          <w:position w:val="6"/>
          <w:sz w:val="10"/>
        </w:rPr>
        <w:tab/>
      </w:r>
      <w:r>
        <w:rPr>
          <w:i/>
          <w:sz w:val="16"/>
        </w:rPr>
        <w:t>Cfr.</w:t>
      </w:r>
      <w:r>
        <w:rPr>
          <w:i/>
          <w:spacing w:val="-7"/>
          <w:sz w:val="16"/>
        </w:rPr>
        <w:t xml:space="preserve"> </w:t>
      </w:r>
      <w:r>
        <w:rPr>
          <w:sz w:val="16"/>
        </w:rPr>
        <w:t>Autorizaciones</w:t>
      </w:r>
      <w:r>
        <w:rPr>
          <w:spacing w:val="-7"/>
          <w:sz w:val="16"/>
        </w:rPr>
        <w:t xml:space="preserve"> </w:t>
      </w:r>
      <w:r>
        <w:rPr>
          <w:sz w:val="16"/>
        </w:rPr>
        <w:t>de</w:t>
      </w:r>
      <w:r>
        <w:rPr>
          <w:spacing w:val="-7"/>
          <w:sz w:val="16"/>
        </w:rPr>
        <w:t xml:space="preserve"> </w:t>
      </w:r>
      <w:r>
        <w:rPr>
          <w:sz w:val="16"/>
        </w:rPr>
        <w:t>pago</w:t>
      </w:r>
      <w:r>
        <w:rPr>
          <w:spacing w:val="-5"/>
          <w:sz w:val="16"/>
        </w:rPr>
        <w:t xml:space="preserve"> </w:t>
      </w:r>
      <w:r>
        <w:rPr>
          <w:sz w:val="16"/>
        </w:rPr>
        <w:t>emitidas</w:t>
      </w:r>
      <w:r>
        <w:rPr>
          <w:spacing w:val="-5"/>
          <w:sz w:val="16"/>
        </w:rPr>
        <w:t xml:space="preserve"> </w:t>
      </w:r>
      <w:r>
        <w:rPr>
          <w:sz w:val="16"/>
        </w:rPr>
        <w:t>por</w:t>
      </w:r>
      <w:r>
        <w:rPr>
          <w:spacing w:val="-4"/>
          <w:sz w:val="16"/>
        </w:rPr>
        <w:t xml:space="preserve"> </w:t>
      </w:r>
      <w:r>
        <w:rPr>
          <w:sz w:val="16"/>
        </w:rPr>
        <w:t>el</w:t>
      </w:r>
      <w:r>
        <w:rPr>
          <w:spacing w:val="-7"/>
          <w:sz w:val="16"/>
        </w:rPr>
        <w:t xml:space="preserve"> </w:t>
      </w:r>
      <w:r>
        <w:rPr>
          <w:sz w:val="16"/>
        </w:rPr>
        <w:t>Juzgado</w:t>
      </w:r>
      <w:r>
        <w:rPr>
          <w:spacing w:val="-4"/>
          <w:sz w:val="16"/>
        </w:rPr>
        <w:t xml:space="preserve"> </w:t>
      </w:r>
      <w:r>
        <w:rPr>
          <w:sz w:val="16"/>
        </w:rPr>
        <w:t>Primero</w:t>
      </w:r>
      <w:r>
        <w:rPr>
          <w:spacing w:val="-4"/>
          <w:sz w:val="16"/>
        </w:rPr>
        <w:t xml:space="preserve"> </w:t>
      </w:r>
      <w:r>
        <w:rPr>
          <w:sz w:val="16"/>
        </w:rPr>
        <w:t>Civil</w:t>
      </w:r>
      <w:r>
        <w:rPr>
          <w:spacing w:val="-9"/>
          <w:sz w:val="16"/>
        </w:rPr>
        <w:t xml:space="preserve"> </w:t>
      </w:r>
      <w:r>
        <w:rPr>
          <w:sz w:val="16"/>
        </w:rPr>
        <w:t>de</w:t>
      </w:r>
      <w:r>
        <w:rPr>
          <w:spacing w:val="-7"/>
          <w:sz w:val="16"/>
        </w:rPr>
        <w:t xml:space="preserve"> </w:t>
      </w:r>
      <w:r>
        <w:rPr>
          <w:sz w:val="16"/>
        </w:rPr>
        <w:t>Santo</w:t>
      </w:r>
      <w:r>
        <w:rPr>
          <w:spacing w:val="-4"/>
          <w:sz w:val="16"/>
        </w:rPr>
        <w:t xml:space="preserve"> </w:t>
      </w:r>
      <w:r>
        <w:rPr>
          <w:sz w:val="16"/>
        </w:rPr>
        <w:t>Antônio</w:t>
      </w:r>
      <w:r>
        <w:rPr>
          <w:spacing w:val="-8"/>
          <w:sz w:val="16"/>
        </w:rPr>
        <w:t xml:space="preserve"> </w:t>
      </w:r>
      <w:r>
        <w:rPr>
          <w:sz w:val="16"/>
        </w:rPr>
        <w:t>de</w:t>
      </w:r>
      <w:r>
        <w:rPr>
          <w:spacing w:val="-7"/>
          <w:sz w:val="16"/>
        </w:rPr>
        <w:t xml:space="preserve"> </w:t>
      </w:r>
      <w:r>
        <w:rPr>
          <w:sz w:val="16"/>
        </w:rPr>
        <w:t>Jesus</w:t>
      </w:r>
      <w:r>
        <w:rPr>
          <w:spacing w:val="-5"/>
          <w:sz w:val="16"/>
        </w:rPr>
        <w:t xml:space="preserve"> </w:t>
      </w:r>
      <w:r>
        <w:rPr>
          <w:sz w:val="16"/>
        </w:rPr>
        <w:t>(expediente</w:t>
      </w:r>
      <w:r>
        <w:rPr>
          <w:spacing w:val="-7"/>
          <w:sz w:val="16"/>
        </w:rPr>
        <w:t xml:space="preserve"> </w:t>
      </w:r>
      <w:r>
        <w:rPr>
          <w:sz w:val="16"/>
        </w:rPr>
        <w:t>de prueba, folios 1964 a</w:t>
      </w:r>
      <w:r>
        <w:rPr>
          <w:spacing w:val="-5"/>
          <w:sz w:val="16"/>
        </w:rPr>
        <w:t xml:space="preserve"> </w:t>
      </w:r>
      <w:r>
        <w:rPr>
          <w:sz w:val="16"/>
        </w:rPr>
        <w:t>2189).</w:t>
      </w:r>
    </w:p>
    <w:p w14:paraId="73E75A1B" w14:textId="77777777" w:rsidR="00467FCA" w:rsidRDefault="001B68EB">
      <w:pPr>
        <w:tabs>
          <w:tab w:val="left" w:pos="839"/>
        </w:tabs>
        <w:ind w:left="119" w:right="119"/>
        <w:jc w:val="both"/>
        <w:rPr>
          <w:sz w:val="16"/>
        </w:rPr>
      </w:pPr>
      <w:bookmarkStart w:id="210" w:name="_bookmark178"/>
      <w:bookmarkEnd w:id="210"/>
      <w:r>
        <w:rPr>
          <w:position w:val="6"/>
          <w:sz w:val="10"/>
        </w:rPr>
        <w:t>150</w:t>
      </w:r>
      <w:r>
        <w:rPr>
          <w:position w:val="6"/>
          <w:sz w:val="10"/>
        </w:rPr>
        <w:tab/>
      </w:r>
      <w:r>
        <w:rPr>
          <w:i/>
          <w:sz w:val="16"/>
        </w:rPr>
        <w:t xml:space="preserve">Cfr. </w:t>
      </w:r>
      <w:r>
        <w:rPr>
          <w:sz w:val="16"/>
        </w:rPr>
        <w:t xml:space="preserve">Escrito de la Fiscalía del Estado de Bahia, Proceso No. 0000186-40.1999.8.05.0299 de 17 de junio </w:t>
      </w:r>
      <w:r>
        <w:rPr>
          <w:spacing w:val="-5"/>
          <w:sz w:val="16"/>
        </w:rPr>
        <w:t xml:space="preserve">de </w:t>
      </w:r>
      <w:r>
        <w:rPr>
          <w:sz w:val="16"/>
        </w:rPr>
        <w:t>2018 (expediente de prueba, folio 2191 y</w:t>
      </w:r>
      <w:r>
        <w:rPr>
          <w:spacing w:val="-9"/>
          <w:sz w:val="16"/>
        </w:rPr>
        <w:t xml:space="preserve"> </w:t>
      </w:r>
      <w:r>
        <w:rPr>
          <w:sz w:val="16"/>
        </w:rPr>
        <w:t>2192).</w:t>
      </w:r>
    </w:p>
    <w:p w14:paraId="0D78B207" w14:textId="77777777" w:rsidR="00467FCA" w:rsidRDefault="001B68EB">
      <w:pPr>
        <w:tabs>
          <w:tab w:val="left" w:pos="839"/>
        </w:tabs>
        <w:ind w:left="119" w:right="114"/>
        <w:jc w:val="both"/>
        <w:rPr>
          <w:sz w:val="16"/>
        </w:rPr>
      </w:pPr>
      <w:bookmarkStart w:id="211" w:name="_bookmark179"/>
      <w:bookmarkEnd w:id="211"/>
      <w:r>
        <w:rPr>
          <w:position w:val="6"/>
          <w:sz w:val="10"/>
        </w:rPr>
        <w:t>151</w:t>
      </w:r>
      <w:r>
        <w:rPr>
          <w:position w:val="6"/>
          <w:sz w:val="10"/>
        </w:rPr>
        <w:tab/>
      </w:r>
      <w:r>
        <w:rPr>
          <w:i/>
          <w:sz w:val="16"/>
        </w:rPr>
        <w:t>Cfr.</w:t>
      </w:r>
      <w:r>
        <w:rPr>
          <w:i/>
          <w:spacing w:val="-7"/>
          <w:sz w:val="16"/>
        </w:rPr>
        <w:t xml:space="preserve"> </w:t>
      </w:r>
      <w:r>
        <w:rPr>
          <w:sz w:val="16"/>
        </w:rPr>
        <w:t>Resumen</w:t>
      </w:r>
      <w:r>
        <w:rPr>
          <w:spacing w:val="-6"/>
          <w:sz w:val="16"/>
        </w:rPr>
        <w:t xml:space="preserve"> </w:t>
      </w:r>
      <w:r>
        <w:rPr>
          <w:sz w:val="16"/>
        </w:rPr>
        <w:t>del</w:t>
      </w:r>
      <w:r>
        <w:rPr>
          <w:spacing w:val="-7"/>
          <w:sz w:val="16"/>
        </w:rPr>
        <w:t xml:space="preserve"> </w:t>
      </w:r>
      <w:r>
        <w:rPr>
          <w:sz w:val="16"/>
        </w:rPr>
        <w:t>proceso</w:t>
      </w:r>
      <w:r>
        <w:rPr>
          <w:spacing w:val="-4"/>
          <w:sz w:val="16"/>
        </w:rPr>
        <w:t xml:space="preserve"> </w:t>
      </w:r>
      <w:r>
        <w:rPr>
          <w:sz w:val="16"/>
        </w:rPr>
        <w:t>civil</w:t>
      </w:r>
      <w:r>
        <w:rPr>
          <w:spacing w:val="-7"/>
          <w:sz w:val="16"/>
        </w:rPr>
        <w:t xml:space="preserve"> </w:t>
      </w:r>
      <w:r>
        <w:rPr>
          <w:sz w:val="16"/>
        </w:rPr>
        <w:t>No.</w:t>
      </w:r>
      <w:r>
        <w:rPr>
          <w:spacing w:val="-6"/>
          <w:sz w:val="16"/>
        </w:rPr>
        <w:t xml:space="preserve"> </w:t>
      </w:r>
      <w:r>
        <w:rPr>
          <w:sz w:val="16"/>
        </w:rPr>
        <w:t>0000186-40.1999.8.05.0229</w:t>
      </w:r>
      <w:r>
        <w:rPr>
          <w:spacing w:val="-5"/>
          <w:sz w:val="16"/>
        </w:rPr>
        <w:t xml:space="preserve"> </w:t>
      </w:r>
      <w:r>
        <w:rPr>
          <w:sz w:val="16"/>
        </w:rPr>
        <w:t>en</w:t>
      </w:r>
      <w:r>
        <w:rPr>
          <w:spacing w:val="-6"/>
          <w:sz w:val="16"/>
        </w:rPr>
        <w:t xml:space="preserve"> </w:t>
      </w:r>
      <w:r>
        <w:rPr>
          <w:sz w:val="16"/>
        </w:rPr>
        <w:t>el</w:t>
      </w:r>
      <w:r>
        <w:rPr>
          <w:spacing w:val="-4"/>
          <w:sz w:val="16"/>
        </w:rPr>
        <w:t xml:space="preserve"> </w:t>
      </w:r>
      <w:r>
        <w:rPr>
          <w:sz w:val="16"/>
        </w:rPr>
        <w:t>Portal</w:t>
      </w:r>
      <w:r>
        <w:rPr>
          <w:spacing w:val="-7"/>
          <w:sz w:val="16"/>
        </w:rPr>
        <w:t xml:space="preserve"> </w:t>
      </w:r>
      <w:r>
        <w:rPr>
          <w:sz w:val="16"/>
        </w:rPr>
        <w:t>de</w:t>
      </w:r>
      <w:r>
        <w:rPr>
          <w:spacing w:val="-5"/>
          <w:sz w:val="16"/>
        </w:rPr>
        <w:t xml:space="preserve"> </w:t>
      </w:r>
      <w:r>
        <w:rPr>
          <w:sz w:val="16"/>
        </w:rPr>
        <w:t>Servicios</w:t>
      </w:r>
      <w:r>
        <w:rPr>
          <w:spacing w:val="-6"/>
          <w:sz w:val="16"/>
        </w:rPr>
        <w:t xml:space="preserve"> </w:t>
      </w:r>
      <w:r>
        <w:rPr>
          <w:sz w:val="16"/>
        </w:rPr>
        <w:t>e-SAJ</w:t>
      </w:r>
      <w:r>
        <w:rPr>
          <w:spacing w:val="-4"/>
          <w:sz w:val="16"/>
        </w:rPr>
        <w:t xml:space="preserve"> </w:t>
      </w:r>
      <w:r>
        <w:rPr>
          <w:sz w:val="16"/>
        </w:rPr>
        <w:t>del</w:t>
      </w:r>
      <w:r>
        <w:rPr>
          <w:spacing w:val="-4"/>
          <w:sz w:val="16"/>
        </w:rPr>
        <w:t xml:space="preserve"> </w:t>
      </w:r>
      <w:r>
        <w:rPr>
          <w:sz w:val="16"/>
        </w:rPr>
        <w:t>Tribunal de Justicia del Estado de Bahia (expediente de prueba, folios 4924 a 4957) y Certificado del Juzgado Primero Civil de Santo Antônio de Jesus de 26 de marzo de 2019 (expediente de prueba, folios 3997 a</w:t>
      </w:r>
      <w:r>
        <w:rPr>
          <w:spacing w:val="-19"/>
          <w:sz w:val="16"/>
        </w:rPr>
        <w:t xml:space="preserve"> </w:t>
      </w:r>
      <w:r>
        <w:rPr>
          <w:sz w:val="16"/>
        </w:rPr>
        <w:t>4002).</w:t>
      </w:r>
    </w:p>
    <w:p w14:paraId="6A525F87" w14:textId="77777777" w:rsidR="00467FCA" w:rsidRDefault="00467FCA">
      <w:pPr>
        <w:jc w:val="both"/>
        <w:rPr>
          <w:sz w:val="16"/>
        </w:rPr>
        <w:sectPr w:rsidR="00467FCA">
          <w:pgSz w:w="12240" w:h="15840"/>
          <w:pgMar w:top="1360" w:right="1320" w:bottom="1220" w:left="1320" w:header="0" w:footer="1037" w:gutter="0"/>
          <w:cols w:space="720"/>
        </w:sectPr>
      </w:pPr>
    </w:p>
    <w:p w14:paraId="7527A597" w14:textId="77777777" w:rsidR="00467FCA" w:rsidRDefault="001B68EB">
      <w:pPr>
        <w:pStyle w:val="Ttulo2"/>
        <w:numPr>
          <w:ilvl w:val="1"/>
          <w:numId w:val="44"/>
        </w:numPr>
        <w:tabs>
          <w:tab w:val="left" w:pos="1287"/>
        </w:tabs>
        <w:spacing w:before="80"/>
        <w:ind w:left="1286" w:hanging="447"/>
      </w:pPr>
      <w:bookmarkStart w:id="212" w:name="D.3_Procesos_laborales"/>
      <w:bookmarkStart w:id="213" w:name="_bookmark180"/>
      <w:bookmarkEnd w:id="212"/>
      <w:bookmarkEnd w:id="213"/>
      <w:r>
        <w:t>Procesos</w:t>
      </w:r>
      <w:r>
        <w:rPr>
          <w:spacing w:val="-1"/>
        </w:rPr>
        <w:t xml:space="preserve"> </w:t>
      </w:r>
      <w:r>
        <w:t>laborales</w:t>
      </w:r>
    </w:p>
    <w:p w14:paraId="0D08931C" w14:textId="77777777" w:rsidR="00467FCA" w:rsidRDefault="00467FCA">
      <w:pPr>
        <w:pStyle w:val="Textoindependiente"/>
        <w:spacing w:before="1"/>
        <w:rPr>
          <w:b/>
          <w:i/>
        </w:rPr>
      </w:pPr>
    </w:p>
    <w:p w14:paraId="1D005963" w14:textId="77777777" w:rsidR="00467FCA" w:rsidRDefault="001B68EB">
      <w:pPr>
        <w:pStyle w:val="Prrafodelista"/>
        <w:numPr>
          <w:ilvl w:val="0"/>
          <w:numId w:val="50"/>
        </w:numPr>
        <w:tabs>
          <w:tab w:val="left" w:pos="687"/>
        </w:tabs>
        <w:ind w:left="119" w:right="117" w:hanging="1"/>
        <w:jc w:val="both"/>
        <w:rPr>
          <w:sz w:val="20"/>
        </w:rPr>
      </w:pPr>
      <w:r w:rsidRPr="00AF39D7">
        <w:rPr>
          <w:sz w:val="20"/>
          <w:lang w:val="es-AR"/>
        </w:rPr>
        <w:t>En el</w:t>
      </w:r>
      <w:r w:rsidRPr="00AF39D7">
        <w:rPr>
          <w:sz w:val="20"/>
          <w:lang w:val="es-AR"/>
        </w:rPr>
        <w:t xml:space="preserve"> ámbito laboral, durante los años de 2000 y 2001, se siguieron 76 procesos ante la Justicia de Trabajo de Santo Antônio de Jesus, de los cuales 30 fueron archivados definitivamente y otros 46 fueron declarados improcedentes en primera instancia. Frente a l</w:t>
      </w:r>
      <w:r w:rsidRPr="00AF39D7">
        <w:rPr>
          <w:sz w:val="20"/>
          <w:lang w:val="es-AR"/>
        </w:rPr>
        <w:t>as</w:t>
      </w:r>
      <w:r w:rsidRPr="00AF39D7">
        <w:rPr>
          <w:spacing w:val="-7"/>
          <w:sz w:val="20"/>
          <w:lang w:val="es-AR"/>
        </w:rPr>
        <w:t xml:space="preserve"> </w:t>
      </w:r>
      <w:r w:rsidRPr="00AF39D7">
        <w:rPr>
          <w:sz w:val="20"/>
          <w:lang w:val="es-AR"/>
        </w:rPr>
        <w:t>resoluciones</w:t>
      </w:r>
      <w:r w:rsidRPr="00AF39D7">
        <w:rPr>
          <w:spacing w:val="-9"/>
          <w:sz w:val="20"/>
          <w:lang w:val="es-AR"/>
        </w:rPr>
        <w:t xml:space="preserve"> </w:t>
      </w:r>
      <w:r w:rsidRPr="00AF39D7">
        <w:rPr>
          <w:sz w:val="20"/>
          <w:lang w:val="es-AR"/>
        </w:rPr>
        <w:t>que</w:t>
      </w:r>
      <w:r w:rsidRPr="00AF39D7">
        <w:rPr>
          <w:spacing w:val="-10"/>
          <w:sz w:val="20"/>
          <w:lang w:val="es-AR"/>
        </w:rPr>
        <w:t xml:space="preserve"> </w:t>
      </w:r>
      <w:r w:rsidRPr="00AF39D7">
        <w:rPr>
          <w:sz w:val="20"/>
          <w:lang w:val="es-AR"/>
        </w:rPr>
        <w:t>declararon</w:t>
      </w:r>
      <w:r w:rsidRPr="00AF39D7">
        <w:rPr>
          <w:spacing w:val="-7"/>
          <w:sz w:val="20"/>
          <w:lang w:val="es-AR"/>
        </w:rPr>
        <w:t xml:space="preserve"> </w:t>
      </w:r>
      <w:r w:rsidRPr="00AF39D7">
        <w:rPr>
          <w:sz w:val="20"/>
          <w:lang w:val="es-AR"/>
        </w:rPr>
        <w:t>improcedentes</w:t>
      </w:r>
      <w:r w:rsidRPr="00AF39D7">
        <w:rPr>
          <w:spacing w:val="-7"/>
          <w:sz w:val="20"/>
          <w:lang w:val="es-AR"/>
        </w:rPr>
        <w:t xml:space="preserve"> </w:t>
      </w:r>
      <w:r w:rsidRPr="00AF39D7">
        <w:rPr>
          <w:sz w:val="20"/>
          <w:lang w:val="es-AR"/>
        </w:rPr>
        <w:t>las</w:t>
      </w:r>
      <w:r w:rsidRPr="00AF39D7">
        <w:rPr>
          <w:spacing w:val="-9"/>
          <w:sz w:val="20"/>
          <w:lang w:val="es-AR"/>
        </w:rPr>
        <w:t xml:space="preserve"> </w:t>
      </w:r>
      <w:r w:rsidRPr="00AF39D7">
        <w:rPr>
          <w:sz w:val="20"/>
          <w:lang w:val="es-AR"/>
        </w:rPr>
        <w:t>demandas,</w:t>
      </w:r>
      <w:r w:rsidRPr="00AF39D7">
        <w:rPr>
          <w:spacing w:val="-4"/>
          <w:sz w:val="20"/>
          <w:lang w:val="es-AR"/>
        </w:rPr>
        <w:t xml:space="preserve"> </w:t>
      </w:r>
      <w:r w:rsidRPr="00AF39D7">
        <w:rPr>
          <w:sz w:val="20"/>
          <w:lang w:val="es-AR"/>
        </w:rPr>
        <w:t>se</w:t>
      </w:r>
      <w:r w:rsidRPr="00AF39D7">
        <w:rPr>
          <w:spacing w:val="-8"/>
          <w:sz w:val="20"/>
          <w:lang w:val="es-AR"/>
        </w:rPr>
        <w:t xml:space="preserve"> </w:t>
      </w:r>
      <w:r w:rsidRPr="00AF39D7">
        <w:rPr>
          <w:sz w:val="20"/>
          <w:lang w:val="es-AR"/>
        </w:rPr>
        <w:t>interpuso</w:t>
      </w:r>
      <w:r w:rsidRPr="00AF39D7">
        <w:rPr>
          <w:spacing w:val="-7"/>
          <w:sz w:val="20"/>
          <w:lang w:val="es-AR"/>
        </w:rPr>
        <w:t xml:space="preserve"> </w:t>
      </w:r>
      <w:r w:rsidRPr="00AF39D7">
        <w:rPr>
          <w:sz w:val="20"/>
          <w:lang w:val="es-AR"/>
        </w:rPr>
        <w:t>recurso</w:t>
      </w:r>
      <w:r w:rsidRPr="00AF39D7">
        <w:rPr>
          <w:spacing w:val="-5"/>
          <w:sz w:val="20"/>
          <w:lang w:val="es-AR"/>
        </w:rPr>
        <w:t xml:space="preserve"> </w:t>
      </w:r>
      <w:r w:rsidRPr="00AF39D7">
        <w:rPr>
          <w:sz w:val="20"/>
          <w:lang w:val="es-AR"/>
        </w:rPr>
        <w:t>ordinario, producto del cual el Tribunal Regional de Trabajo de la Quinta Región, dio la razón a las trabajadoras de la fábrica de fuegos y ordenó un nuevo pronunciamiento</w:t>
      </w:r>
      <w:hyperlink w:anchor="_bookmark183" w:history="1">
        <w:r w:rsidRPr="00AF39D7">
          <w:rPr>
            <w:position w:val="7"/>
            <w:sz w:val="13"/>
            <w:lang w:val="es-AR"/>
          </w:rPr>
          <w:t>152</w:t>
        </w:r>
      </w:hyperlink>
      <w:r w:rsidRPr="00AF39D7">
        <w:rPr>
          <w:sz w:val="20"/>
          <w:lang w:val="es-AR"/>
        </w:rPr>
        <w:t xml:space="preserve">. </w:t>
      </w:r>
      <w:r>
        <w:rPr>
          <w:sz w:val="20"/>
        </w:rPr>
        <w:t xml:space="preserve">Las nuevas resoluciones reconocieron el vínculo </w:t>
      </w:r>
      <w:r>
        <w:rPr>
          <w:sz w:val="20"/>
        </w:rPr>
        <w:t>laboral de las trabajadoras con Mário Fróes Prazeres Bastos y declararon parcialmente procedentes 18 de las demandas planteadas y una totalmente</w:t>
      </w:r>
      <w:r>
        <w:rPr>
          <w:spacing w:val="-23"/>
          <w:sz w:val="20"/>
        </w:rPr>
        <w:t xml:space="preserve"> </w:t>
      </w:r>
      <w:r>
        <w:rPr>
          <w:sz w:val="20"/>
        </w:rPr>
        <w:t>procedente.</w:t>
      </w:r>
      <w:r>
        <w:rPr>
          <w:spacing w:val="-19"/>
          <w:sz w:val="20"/>
        </w:rPr>
        <w:t xml:space="preserve"> </w:t>
      </w:r>
      <w:r>
        <w:rPr>
          <w:sz w:val="20"/>
        </w:rPr>
        <w:t>Seis</w:t>
      </w:r>
      <w:r>
        <w:rPr>
          <w:spacing w:val="-22"/>
          <w:sz w:val="20"/>
        </w:rPr>
        <w:t xml:space="preserve"> </w:t>
      </w:r>
      <w:r>
        <w:rPr>
          <w:sz w:val="20"/>
        </w:rPr>
        <w:t>de</w:t>
      </w:r>
      <w:r>
        <w:rPr>
          <w:spacing w:val="-20"/>
          <w:sz w:val="20"/>
        </w:rPr>
        <w:t xml:space="preserve"> </w:t>
      </w:r>
      <w:r>
        <w:rPr>
          <w:sz w:val="20"/>
        </w:rPr>
        <w:t>esos</w:t>
      </w:r>
      <w:r>
        <w:rPr>
          <w:spacing w:val="-23"/>
          <w:sz w:val="20"/>
        </w:rPr>
        <w:t xml:space="preserve"> </w:t>
      </w:r>
      <w:r>
        <w:rPr>
          <w:sz w:val="20"/>
        </w:rPr>
        <w:t>procesos</w:t>
      </w:r>
      <w:r>
        <w:rPr>
          <w:spacing w:val="-22"/>
          <w:sz w:val="20"/>
        </w:rPr>
        <w:t xml:space="preserve"> </w:t>
      </w:r>
      <w:r>
        <w:rPr>
          <w:sz w:val="20"/>
        </w:rPr>
        <w:t>permanecieron</w:t>
      </w:r>
      <w:r>
        <w:rPr>
          <w:spacing w:val="-17"/>
          <w:sz w:val="20"/>
        </w:rPr>
        <w:t xml:space="preserve"> </w:t>
      </w:r>
      <w:r>
        <w:rPr>
          <w:sz w:val="20"/>
        </w:rPr>
        <w:t>en</w:t>
      </w:r>
      <w:r>
        <w:rPr>
          <w:spacing w:val="-20"/>
          <w:sz w:val="20"/>
        </w:rPr>
        <w:t xml:space="preserve"> </w:t>
      </w:r>
      <w:r>
        <w:rPr>
          <w:sz w:val="20"/>
        </w:rPr>
        <w:t>archivo</w:t>
      </w:r>
      <w:r>
        <w:rPr>
          <w:spacing w:val="-21"/>
          <w:sz w:val="20"/>
        </w:rPr>
        <w:t xml:space="preserve"> </w:t>
      </w:r>
      <w:r>
        <w:rPr>
          <w:sz w:val="20"/>
        </w:rPr>
        <w:t>provisional</w:t>
      </w:r>
      <w:r>
        <w:rPr>
          <w:spacing w:val="-20"/>
          <w:sz w:val="20"/>
        </w:rPr>
        <w:t xml:space="preserve"> </w:t>
      </w:r>
      <w:r>
        <w:rPr>
          <w:sz w:val="20"/>
        </w:rPr>
        <w:t>por</w:t>
      </w:r>
      <w:r>
        <w:rPr>
          <w:spacing w:val="-22"/>
          <w:sz w:val="20"/>
        </w:rPr>
        <w:t xml:space="preserve"> </w:t>
      </w:r>
      <w:r>
        <w:rPr>
          <w:sz w:val="20"/>
        </w:rPr>
        <w:t>varios años</w:t>
      </w:r>
      <w:hyperlink w:anchor="_bookmark184" w:history="1">
        <w:r>
          <w:rPr>
            <w:position w:val="7"/>
            <w:sz w:val="13"/>
          </w:rPr>
          <w:t>153</w:t>
        </w:r>
      </w:hyperlink>
      <w:r>
        <w:rPr>
          <w:sz w:val="20"/>
        </w:rPr>
        <w:t>, pues no se habían encontrado bienes del condenado (Mario Prazeres Bastos) que permitieran su ejecución</w:t>
      </w:r>
      <w:hyperlink w:anchor="_bookmark185" w:history="1">
        <w:r>
          <w:rPr>
            <w:position w:val="7"/>
            <w:sz w:val="13"/>
          </w:rPr>
          <w:t>154</w:t>
        </w:r>
      </w:hyperlink>
      <w:r>
        <w:rPr>
          <w:sz w:val="20"/>
        </w:rPr>
        <w:t>. En agosto de 2018, en el marco del proceso laboral de Leila Cerqueira</w:t>
      </w:r>
      <w:r>
        <w:rPr>
          <w:spacing w:val="-6"/>
          <w:sz w:val="20"/>
        </w:rPr>
        <w:t xml:space="preserve"> </w:t>
      </w:r>
      <w:r>
        <w:rPr>
          <w:sz w:val="20"/>
        </w:rPr>
        <w:t>dos</w:t>
      </w:r>
      <w:r>
        <w:rPr>
          <w:spacing w:val="-9"/>
          <w:sz w:val="20"/>
        </w:rPr>
        <w:t xml:space="preserve"> </w:t>
      </w:r>
      <w:r>
        <w:rPr>
          <w:sz w:val="20"/>
        </w:rPr>
        <w:t>Santos,</w:t>
      </w:r>
      <w:r>
        <w:rPr>
          <w:spacing w:val="-6"/>
          <w:sz w:val="20"/>
        </w:rPr>
        <w:t xml:space="preserve"> </w:t>
      </w:r>
      <w:r>
        <w:rPr>
          <w:sz w:val="20"/>
        </w:rPr>
        <w:t>se</w:t>
      </w:r>
      <w:r>
        <w:rPr>
          <w:spacing w:val="-8"/>
          <w:sz w:val="20"/>
        </w:rPr>
        <w:t xml:space="preserve"> </w:t>
      </w:r>
      <w:r>
        <w:rPr>
          <w:sz w:val="20"/>
        </w:rPr>
        <w:t>embargó</w:t>
      </w:r>
      <w:r>
        <w:rPr>
          <w:spacing w:val="-7"/>
          <w:sz w:val="20"/>
        </w:rPr>
        <w:t xml:space="preserve"> </w:t>
      </w:r>
      <w:r>
        <w:rPr>
          <w:sz w:val="20"/>
        </w:rPr>
        <w:t>un</w:t>
      </w:r>
      <w:r>
        <w:rPr>
          <w:spacing w:val="-7"/>
          <w:sz w:val="20"/>
        </w:rPr>
        <w:t xml:space="preserve"> </w:t>
      </w:r>
      <w:r>
        <w:rPr>
          <w:sz w:val="20"/>
        </w:rPr>
        <w:t>bien</w:t>
      </w:r>
      <w:r>
        <w:rPr>
          <w:spacing w:val="-5"/>
          <w:sz w:val="20"/>
        </w:rPr>
        <w:t xml:space="preserve"> </w:t>
      </w:r>
      <w:r>
        <w:rPr>
          <w:sz w:val="20"/>
        </w:rPr>
        <w:t>de</w:t>
      </w:r>
      <w:r>
        <w:rPr>
          <w:spacing w:val="-7"/>
          <w:sz w:val="20"/>
        </w:rPr>
        <w:t xml:space="preserve"> </w:t>
      </w:r>
      <w:r>
        <w:rPr>
          <w:sz w:val="20"/>
        </w:rPr>
        <w:t>O</w:t>
      </w:r>
      <w:r>
        <w:rPr>
          <w:sz w:val="20"/>
        </w:rPr>
        <w:t>svaldo</w:t>
      </w:r>
      <w:r>
        <w:rPr>
          <w:spacing w:val="-6"/>
          <w:sz w:val="20"/>
        </w:rPr>
        <w:t xml:space="preserve"> </w:t>
      </w:r>
      <w:r>
        <w:rPr>
          <w:sz w:val="20"/>
        </w:rPr>
        <w:t>Prazeres</w:t>
      </w:r>
      <w:r>
        <w:rPr>
          <w:spacing w:val="-9"/>
          <w:sz w:val="20"/>
        </w:rPr>
        <w:t xml:space="preserve"> </w:t>
      </w:r>
      <w:r>
        <w:rPr>
          <w:sz w:val="20"/>
        </w:rPr>
        <w:t>Bastos,</w:t>
      </w:r>
      <w:r>
        <w:rPr>
          <w:spacing w:val="-5"/>
          <w:sz w:val="20"/>
        </w:rPr>
        <w:t xml:space="preserve"> </w:t>
      </w:r>
      <w:r>
        <w:rPr>
          <w:sz w:val="20"/>
        </w:rPr>
        <w:t>padre</w:t>
      </w:r>
      <w:r>
        <w:rPr>
          <w:spacing w:val="-7"/>
          <w:sz w:val="20"/>
        </w:rPr>
        <w:t xml:space="preserve"> </w:t>
      </w:r>
      <w:r>
        <w:rPr>
          <w:sz w:val="20"/>
        </w:rPr>
        <w:t>de</w:t>
      </w:r>
      <w:r>
        <w:rPr>
          <w:spacing w:val="-7"/>
          <w:sz w:val="20"/>
        </w:rPr>
        <w:t xml:space="preserve"> </w:t>
      </w:r>
      <w:r>
        <w:rPr>
          <w:sz w:val="20"/>
        </w:rPr>
        <w:t>Mário</w:t>
      </w:r>
      <w:r>
        <w:rPr>
          <w:spacing w:val="-8"/>
          <w:sz w:val="20"/>
        </w:rPr>
        <w:t xml:space="preserve"> </w:t>
      </w:r>
      <w:r>
        <w:rPr>
          <w:sz w:val="20"/>
        </w:rPr>
        <w:t>Fróes Prazeres Bastos, por un monto de R$ 1.800,000 (un millón ochocientos mil reales), el cual sería suficiente para indemnizar a las víctimas de todas las acciones cuyas ejecuciones estaban activas</w:t>
      </w:r>
      <w:hyperlink w:anchor="_bookmark186" w:history="1">
        <w:r>
          <w:rPr>
            <w:position w:val="7"/>
            <w:sz w:val="13"/>
          </w:rPr>
          <w:t>155</w:t>
        </w:r>
      </w:hyperlink>
      <w:r>
        <w:rPr>
          <w:sz w:val="20"/>
        </w:rPr>
        <w:t>.</w:t>
      </w:r>
    </w:p>
    <w:p w14:paraId="3171F7FE" w14:textId="77777777" w:rsidR="00467FCA" w:rsidRDefault="00467FCA">
      <w:pPr>
        <w:pStyle w:val="Textoindependiente"/>
        <w:spacing w:before="11"/>
        <w:rPr>
          <w:sz w:val="19"/>
        </w:rPr>
      </w:pPr>
    </w:p>
    <w:p w14:paraId="7C439A9F" w14:textId="77777777" w:rsidR="00467FCA" w:rsidRDefault="001B68EB">
      <w:pPr>
        <w:pStyle w:val="Ttulo2"/>
        <w:numPr>
          <w:ilvl w:val="1"/>
          <w:numId w:val="44"/>
        </w:numPr>
        <w:tabs>
          <w:tab w:val="left" w:pos="1287"/>
        </w:tabs>
        <w:ind w:left="1286" w:hanging="447"/>
      </w:pPr>
      <w:bookmarkStart w:id="214" w:name="D.4_Proceso_Administrativo"/>
      <w:bookmarkStart w:id="215" w:name="_bookmark181"/>
      <w:bookmarkEnd w:id="214"/>
      <w:bookmarkEnd w:id="215"/>
      <w:r>
        <w:t>Proceso Administrat</w:t>
      </w:r>
      <w:r>
        <w:t>ivo</w:t>
      </w:r>
    </w:p>
    <w:p w14:paraId="488FAD50" w14:textId="77777777" w:rsidR="00467FCA" w:rsidRDefault="00467FCA">
      <w:pPr>
        <w:pStyle w:val="Textoindependiente"/>
        <w:spacing w:before="1"/>
        <w:rPr>
          <w:b/>
          <w:i/>
        </w:rPr>
      </w:pPr>
    </w:p>
    <w:p w14:paraId="4AF8B11A" w14:textId="77777777" w:rsidR="00467FCA" w:rsidRDefault="001B68EB">
      <w:pPr>
        <w:pStyle w:val="Prrafodelista"/>
        <w:numPr>
          <w:ilvl w:val="0"/>
          <w:numId w:val="50"/>
        </w:numPr>
        <w:tabs>
          <w:tab w:val="left" w:pos="687"/>
        </w:tabs>
        <w:spacing w:before="1"/>
        <w:ind w:left="119" w:right="118" w:firstLine="0"/>
        <w:jc w:val="both"/>
        <w:rPr>
          <w:sz w:val="20"/>
        </w:rPr>
      </w:pPr>
      <w:r>
        <w:rPr>
          <w:sz w:val="20"/>
        </w:rPr>
        <w:t>Un proceso administrativo fue iniciado de oficio por la Sexta Región Militar del Ejército. Dentro</w:t>
      </w:r>
      <w:r>
        <w:rPr>
          <w:spacing w:val="-11"/>
          <w:sz w:val="20"/>
        </w:rPr>
        <w:t xml:space="preserve"> </w:t>
      </w:r>
      <w:r>
        <w:rPr>
          <w:sz w:val="20"/>
        </w:rPr>
        <w:t>de</w:t>
      </w:r>
      <w:r>
        <w:rPr>
          <w:spacing w:val="-10"/>
          <w:sz w:val="20"/>
        </w:rPr>
        <w:t xml:space="preserve"> </w:t>
      </w:r>
      <w:r>
        <w:rPr>
          <w:sz w:val="20"/>
        </w:rPr>
        <w:t>este</w:t>
      </w:r>
      <w:r>
        <w:rPr>
          <w:spacing w:val="-11"/>
          <w:sz w:val="20"/>
        </w:rPr>
        <w:t xml:space="preserve"> </w:t>
      </w:r>
      <w:r>
        <w:rPr>
          <w:sz w:val="20"/>
        </w:rPr>
        <w:t>proceso,</w:t>
      </w:r>
      <w:r>
        <w:rPr>
          <w:spacing w:val="-8"/>
          <w:sz w:val="20"/>
        </w:rPr>
        <w:t xml:space="preserve"> </w:t>
      </w:r>
      <w:r>
        <w:rPr>
          <w:sz w:val="20"/>
        </w:rPr>
        <w:t>dos</w:t>
      </w:r>
      <w:r>
        <w:rPr>
          <w:spacing w:val="-9"/>
          <w:sz w:val="20"/>
        </w:rPr>
        <w:t xml:space="preserve"> </w:t>
      </w:r>
      <w:r>
        <w:rPr>
          <w:sz w:val="20"/>
        </w:rPr>
        <w:t>días</w:t>
      </w:r>
      <w:r>
        <w:rPr>
          <w:spacing w:val="-9"/>
          <w:sz w:val="20"/>
        </w:rPr>
        <w:t xml:space="preserve"> </w:t>
      </w:r>
      <w:r>
        <w:rPr>
          <w:sz w:val="20"/>
        </w:rPr>
        <w:t>después</w:t>
      </w:r>
      <w:r>
        <w:rPr>
          <w:spacing w:val="-9"/>
          <w:sz w:val="20"/>
        </w:rPr>
        <w:t xml:space="preserve"> </w:t>
      </w:r>
      <w:r>
        <w:rPr>
          <w:sz w:val="20"/>
        </w:rPr>
        <w:t>de</w:t>
      </w:r>
      <w:r>
        <w:rPr>
          <w:spacing w:val="-9"/>
          <w:sz w:val="20"/>
        </w:rPr>
        <w:t xml:space="preserve"> </w:t>
      </w:r>
      <w:r>
        <w:rPr>
          <w:sz w:val="20"/>
        </w:rPr>
        <w:t>la</w:t>
      </w:r>
      <w:r>
        <w:rPr>
          <w:spacing w:val="-8"/>
          <w:sz w:val="20"/>
        </w:rPr>
        <w:t xml:space="preserve"> </w:t>
      </w:r>
      <w:r>
        <w:rPr>
          <w:sz w:val="20"/>
        </w:rPr>
        <w:t>explosión,</w:t>
      </w:r>
      <w:r>
        <w:rPr>
          <w:spacing w:val="-8"/>
          <w:sz w:val="20"/>
        </w:rPr>
        <w:t xml:space="preserve"> </w:t>
      </w:r>
      <w:r>
        <w:rPr>
          <w:sz w:val="20"/>
        </w:rPr>
        <w:t>el</w:t>
      </w:r>
      <w:r>
        <w:rPr>
          <w:spacing w:val="-7"/>
          <w:sz w:val="20"/>
        </w:rPr>
        <w:t xml:space="preserve"> </w:t>
      </w:r>
      <w:r>
        <w:rPr>
          <w:sz w:val="20"/>
        </w:rPr>
        <w:t>13</w:t>
      </w:r>
      <w:r>
        <w:rPr>
          <w:spacing w:val="-10"/>
          <w:sz w:val="20"/>
        </w:rPr>
        <w:t xml:space="preserve"> </w:t>
      </w:r>
      <w:r>
        <w:rPr>
          <w:sz w:val="20"/>
        </w:rPr>
        <w:t>de</w:t>
      </w:r>
      <w:r>
        <w:rPr>
          <w:spacing w:val="-11"/>
          <w:sz w:val="20"/>
        </w:rPr>
        <w:t xml:space="preserve"> </w:t>
      </w:r>
      <w:r>
        <w:rPr>
          <w:sz w:val="20"/>
        </w:rPr>
        <w:t>dicie</w:t>
      </w:r>
      <w:bookmarkStart w:id="216" w:name="_bookmark182"/>
      <w:bookmarkEnd w:id="216"/>
      <w:r>
        <w:rPr>
          <w:sz w:val="20"/>
        </w:rPr>
        <w:t>mbre</w:t>
      </w:r>
      <w:r>
        <w:rPr>
          <w:spacing w:val="-9"/>
          <w:sz w:val="20"/>
        </w:rPr>
        <w:t xml:space="preserve"> </w:t>
      </w:r>
      <w:r>
        <w:rPr>
          <w:sz w:val="20"/>
        </w:rPr>
        <w:t>de</w:t>
      </w:r>
      <w:r>
        <w:rPr>
          <w:spacing w:val="-9"/>
          <w:sz w:val="20"/>
        </w:rPr>
        <w:t xml:space="preserve"> </w:t>
      </w:r>
      <w:r>
        <w:rPr>
          <w:sz w:val="20"/>
        </w:rPr>
        <w:t>1998,</w:t>
      </w:r>
      <w:r>
        <w:rPr>
          <w:spacing w:val="-9"/>
          <w:sz w:val="20"/>
        </w:rPr>
        <w:t xml:space="preserve"> </w:t>
      </w:r>
      <w:r>
        <w:rPr>
          <w:sz w:val="20"/>
        </w:rPr>
        <w:t>fueron confiscados productos irregulares encontrados en la fábrica de fueg</w:t>
      </w:r>
      <w:r>
        <w:rPr>
          <w:sz w:val="20"/>
        </w:rPr>
        <w:t>os</w:t>
      </w:r>
      <w:hyperlink w:anchor="_bookmark187" w:history="1">
        <w:r>
          <w:rPr>
            <w:position w:val="7"/>
            <w:sz w:val="13"/>
          </w:rPr>
          <w:t>156</w:t>
        </w:r>
      </w:hyperlink>
      <w:r>
        <w:rPr>
          <w:sz w:val="20"/>
        </w:rPr>
        <w:t>. El 15 de diciembre del mismo año, se informó sobre la destrucción de los materiales incautados</w:t>
      </w:r>
      <w:hyperlink w:anchor="_bookmark188" w:history="1">
        <w:r>
          <w:rPr>
            <w:position w:val="7"/>
            <w:sz w:val="13"/>
          </w:rPr>
          <w:t>157</w:t>
        </w:r>
      </w:hyperlink>
      <w:r>
        <w:rPr>
          <w:sz w:val="20"/>
        </w:rPr>
        <w:t>. El 6 de</w:t>
      </w:r>
      <w:r>
        <w:rPr>
          <w:spacing w:val="-44"/>
          <w:sz w:val="20"/>
        </w:rPr>
        <w:t xml:space="preserve"> </w:t>
      </w:r>
      <w:r>
        <w:rPr>
          <w:sz w:val="20"/>
        </w:rPr>
        <w:t>junio de 1999</w:t>
      </w:r>
      <w:hyperlink w:anchor="_bookmark189" w:history="1">
        <w:r>
          <w:rPr>
            <w:position w:val="7"/>
            <w:sz w:val="13"/>
          </w:rPr>
          <w:t>158</w:t>
        </w:r>
      </w:hyperlink>
      <w:r>
        <w:rPr>
          <w:sz w:val="20"/>
        </w:rPr>
        <w:t>, se resolvió el proceso admin</w:t>
      </w:r>
      <w:r>
        <w:rPr>
          <w:sz w:val="20"/>
        </w:rPr>
        <w:t>istrativo disponiendo la cancelación definitiva del registro de la empresa al constatar las siguientes irregularidades: 1) falta de seguridad en sus instalaciones; 2) depósitos no registrados junto a los pabellones de fabricación; 3) fabricación de pólvora</w:t>
      </w:r>
      <w:r>
        <w:rPr>
          <w:sz w:val="20"/>
        </w:rPr>
        <w:t xml:space="preserve"> negra sin la respectiva autorización; 4) almacenaje de grandes cantidades de pólvora blanca sin la correspondiente autorización o registro; 5) falta de extintores</w:t>
      </w:r>
      <w:r>
        <w:rPr>
          <w:spacing w:val="-12"/>
          <w:sz w:val="20"/>
        </w:rPr>
        <w:t xml:space="preserve"> </w:t>
      </w:r>
      <w:r>
        <w:rPr>
          <w:sz w:val="20"/>
        </w:rPr>
        <w:t>en</w:t>
      </w:r>
      <w:r>
        <w:rPr>
          <w:spacing w:val="-13"/>
          <w:sz w:val="20"/>
        </w:rPr>
        <w:t xml:space="preserve"> </w:t>
      </w:r>
      <w:r>
        <w:rPr>
          <w:sz w:val="20"/>
        </w:rPr>
        <w:t>la</w:t>
      </w:r>
      <w:r>
        <w:rPr>
          <w:spacing w:val="-11"/>
          <w:sz w:val="20"/>
        </w:rPr>
        <w:t xml:space="preserve"> </w:t>
      </w:r>
      <w:r>
        <w:rPr>
          <w:sz w:val="20"/>
        </w:rPr>
        <w:t>mayoría</w:t>
      </w:r>
      <w:r>
        <w:rPr>
          <w:spacing w:val="-11"/>
          <w:sz w:val="20"/>
        </w:rPr>
        <w:t xml:space="preserve"> </w:t>
      </w:r>
      <w:r>
        <w:rPr>
          <w:sz w:val="20"/>
        </w:rPr>
        <w:t>de</w:t>
      </w:r>
      <w:r>
        <w:rPr>
          <w:spacing w:val="-15"/>
          <w:sz w:val="20"/>
        </w:rPr>
        <w:t xml:space="preserve"> </w:t>
      </w:r>
      <w:r>
        <w:rPr>
          <w:sz w:val="20"/>
        </w:rPr>
        <w:t>los</w:t>
      </w:r>
      <w:r>
        <w:rPr>
          <w:spacing w:val="-13"/>
          <w:sz w:val="20"/>
        </w:rPr>
        <w:t xml:space="preserve"> </w:t>
      </w:r>
      <w:r>
        <w:rPr>
          <w:sz w:val="20"/>
        </w:rPr>
        <w:t>depósitos;</w:t>
      </w:r>
      <w:r>
        <w:rPr>
          <w:spacing w:val="-13"/>
          <w:sz w:val="20"/>
        </w:rPr>
        <w:t xml:space="preserve"> </w:t>
      </w:r>
      <w:r>
        <w:rPr>
          <w:sz w:val="20"/>
        </w:rPr>
        <w:t>6)</w:t>
      </w:r>
      <w:r>
        <w:rPr>
          <w:spacing w:val="-11"/>
          <w:sz w:val="20"/>
        </w:rPr>
        <w:t xml:space="preserve"> </w:t>
      </w:r>
      <w:r>
        <w:rPr>
          <w:sz w:val="20"/>
        </w:rPr>
        <w:t>almacenaje</w:t>
      </w:r>
      <w:r>
        <w:rPr>
          <w:spacing w:val="-12"/>
          <w:sz w:val="20"/>
        </w:rPr>
        <w:t xml:space="preserve"> </w:t>
      </w:r>
      <w:r>
        <w:rPr>
          <w:sz w:val="20"/>
        </w:rPr>
        <w:t>de</w:t>
      </w:r>
      <w:r>
        <w:rPr>
          <w:spacing w:val="-14"/>
          <w:sz w:val="20"/>
        </w:rPr>
        <w:t xml:space="preserve"> </w:t>
      </w:r>
      <w:r>
        <w:rPr>
          <w:sz w:val="20"/>
        </w:rPr>
        <w:t>paquetes</w:t>
      </w:r>
      <w:r>
        <w:rPr>
          <w:spacing w:val="-14"/>
          <w:sz w:val="20"/>
        </w:rPr>
        <w:t xml:space="preserve"> </w:t>
      </w:r>
      <w:r>
        <w:rPr>
          <w:sz w:val="20"/>
        </w:rPr>
        <w:t>de</w:t>
      </w:r>
      <w:r>
        <w:rPr>
          <w:spacing w:val="-15"/>
          <w:sz w:val="20"/>
        </w:rPr>
        <w:t xml:space="preserve"> </w:t>
      </w:r>
      <w:r>
        <w:rPr>
          <w:sz w:val="20"/>
        </w:rPr>
        <w:t>fuegos</w:t>
      </w:r>
      <w:r>
        <w:rPr>
          <w:spacing w:val="-12"/>
          <w:sz w:val="20"/>
        </w:rPr>
        <w:t xml:space="preserve"> </w:t>
      </w:r>
      <w:r>
        <w:rPr>
          <w:sz w:val="20"/>
        </w:rPr>
        <w:t>de</w:t>
      </w:r>
      <w:r>
        <w:rPr>
          <w:spacing w:val="-11"/>
          <w:sz w:val="20"/>
        </w:rPr>
        <w:t xml:space="preserve"> </w:t>
      </w:r>
      <w:r>
        <w:rPr>
          <w:sz w:val="20"/>
        </w:rPr>
        <w:t>artificiales de marcas con las cuales no se mantenía ninguna relación comercial; 7) falta de</w:t>
      </w:r>
      <w:r>
        <w:rPr>
          <w:spacing w:val="-46"/>
          <w:sz w:val="20"/>
        </w:rPr>
        <w:t xml:space="preserve"> </w:t>
      </w:r>
      <w:r>
        <w:rPr>
          <w:sz w:val="20"/>
        </w:rPr>
        <w:t>justificación del</w:t>
      </w:r>
      <w:r>
        <w:rPr>
          <w:spacing w:val="45"/>
          <w:sz w:val="20"/>
        </w:rPr>
        <w:t xml:space="preserve"> </w:t>
      </w:r>
      <w:r>
        <w:rPr>
          <w:sz w:val="20"/>
        </w:rPr>
        <w:t>origen</w:t>
      </w:r>
      <w:r>
        <w:rPr>
          <w:spacing w:val="46"/>
          <w:sz w:val="20"/>
        </w:rPr>
        <w:t xml:space="preserve"> </w:t>
      </w:r>
      <w:r>
        <w:rPr>
          <w:sz w:val="20"/>
        </w:rPr>
        <w:t>de</w:t>
      </w:r>
      <w:r>
        <w:rPr>
          <w:spacing w:val="46"/>
          <w:sz w:val="20"/>
        </w:rPr>
        <w:t xml:space="preserve"> </w:t>
      </w:r>
      <w:r>
        <w:rPr>
          <w:sz w:val="20"/>
        </w:rPr>
        <w:t>una</w:t>
      </w:r>
      <w:r>
        <w:rPr>
          <w:spacing w:val="45"/>
          <w:sz w:val="20"/>
        </w:rPr>
        <w:t xml:space="preserve"> </w:t>
      </w:r>
      <w:r>
        <w:rPr>
          <w:sz w:val="20"/>
        </w:rPr>
        <w:t>parte</w:t>
      </w:r>
      <w:r>
        <w:rPr>
          <w:spacing w:val="43"/>
          <w:sz w:val="20"/>
        </w:rPr>
        <w:t xml:space="preserve"> </w:t>
      </w:r>
      <w:r>
        <w:rPr>
          <w:sz w:val="20"/>
        </w:rPr>
        <w:t>de</w:t>
      </w:r>
      <w:r>
        <w:rPr>
          <w:spacing w:val="43"/>
          <w:sz w:val="20"/>
        </w:rPr>
        <w:t xml:space="preserve"> </w:t>
      </w:r>
      <w:r>
        <w:rPr>
          <w:sz w:val="20"/>
        </w:rPr>
        <w:t>los</w:t>
      </w:r>
      <w:r>
        <w:rPr>
          <w:spacing w:val="44"/>
          <w:sz w:val="20"/>
        </w:rPr>
        <w:t xml:space="preserve"> </w:t>
      </w:r>
      <w:r>
        <w:rPr>
          <w:sz w:val="20"/>
        </w:rPr>
        <w:t>productos</w:t>
      </w:r>
      <w:r>
        <w:rPr>
          <w:spacing w:val="46"/>
          <w:sz w:val="20"/>
        </w:rPr>
        <w:t xml:space="preserve"> </w:t>
      </w:r>
      <w:r>
        <w:rPr>
          <w:sz w:val="20"/>
        </w:rPr>
        <w:t>controlados</w:t>
      </w:r>
      <w:r>
        <w:rPr>
          <w:spacing w:val="45"/>
          <w:sz w:val="20"/>
        </w:rPr>
        <w:t xml:space="preserve"> </w:t>
      </w:r>
      <w:r>
        <w:rPr>
          <w:sz w:val="20"/>
        </w:rPr>
        <w:t>encontrados</w:t>
      </w:r>
      <w:r>
        <w:rPr>
          <w:spacing w:val="46"/>
          <w:sz w:val="20"/>
        </w:rPr>
        <w:t xml:space="preserve"> </w:t>
      </w:r>
      <w:r>
        <w:rPr>
          <w:sz w:val="20"/>
        </w:rPr>
        <w:t>en</w:t>
      </w:r>
      <w:r>
        <w:rPr>
          <w:spacing w:val="46"/>
          <w:sz w:val="20"/>
        </w:rPr>
        <w:t xml:space="preserve"> </w:t>
      </w:r>
      <w:r>
        <w:rPr>
          <w:sz w:val="20"/>
        </w:rPr>
        <w:t>sus</w:t>
      </w:r>
      <w:r>
        <w:rPr>
          <w:spacing w:val="44"/>
          <w:sz w:val="20"/>
        </w:rPr>
        <w:t xml:space="preserve"> </w:t>
      </w:r>
      <w:r>
        <w:rPr>
          <w:sz w:val="20"/>
        </w:rPr>
        <w:t>depósitos;</w:t>
      </w:r>
      <w:r>
        <w:rPr>
          <w:spacing w:val="45"/>
          <w:sz w:val="20"/>
        </w:rPr>
        <w:t xml:space="preserve"> </w:t>
      </w:r>
      <w:r>
        <w:rPr>
          <w:sz w:val="20"/>
        </w:rPr>
        <w:t>8)</w:t>
      </w:r>
    </w:p>
    <w:p w14:paraId="41AF0085" w14:textId="77777777" w:rsidR="00467FCA" w:rsidRDefault="001B68EB">
      <w:pPr>
        <w:pStyle w:val="Textoindependiente"/>
        <w:spacing w:before="5"/>
        <w:rPr>
          <w:sz w:val="13"/>
        </w:rPr>
      </w:pPr>
      <w:r>
        <w:pict w14:anchorId="1D96B457">
          <v:shape id="_x0000_s1170" style="position:absolute;margin-left:1in;margin-top:10.4pt;width:2in;height:.1pt;z-index:-251631616;mso-wrap-distance-left:0;mso-wrap-distance-right:0;mso-position-horizontal-relative:page" coordorigin="1440,208" coordsize="2880,0" path="m1440,208r2880,e" filled="f" strokeweight=".21131mm">
            <v:path arrowok="t"/>
            <w10:wrap type="topAndBottom" anchorx="page"/>
          </v:shape>
        </w:pict>
      </w:r>
    </w:p>
    <w:p w14:paraId="71B3D27E" w14:textId="77777777" w:rsidR="00467FCA" w:rsidRDefault="001B68EB">
      <w:pPr>
        <w:tabs>
          <w:tab w:val="left" w:pos="839"/>
        </w:tabs>
        <w:spacing w:before="74"/>
        <w:ind w:left="120" w:right="114" w:hanging="1"/>
        <w:jc w:val="both"/>
        <w:rPr>
          <w:sz w:val="16"/>
        </w:rPr>
      </w:pPr>
      <w:bookmarkStart w:id="217" w:name="_bookmark183"/>
      <w:bookmarkEnd w:id="217"/>
      <w:r>
        <w:rPr>
          <w:position w:val="6"/>
          <w:sz w:val="10"/>
        </w:rPr>
        <w:t>152</w:t>
      </w:r>
      <w:r>
        <w:rPr>
          <w:position w:val="6"/>
          <w:sz w:val="10"/>
        </w:rPr>
        <w:tab/>
      </w:r>
      <w:r>
        <w:rPr>
          <w:i/>
          <w:sz w:val="16"/>
        </w:rPr>
        <w:t xml:space="preserve">Cfr. </w:t>
      </w:r>
      <w:r>
        <w:rPr>
          <w:sz w:val="16"/>
        </w:rPr>
        <w:t>Informe del Director Adjunto de Secretaría del Traba</w:t>
      </w:r>
      <w:r>
        <w:rPr>
          <w:sz w:val="16"/>
        </w:rPr>
        <w:t>jo en Santo Antônio de Jesus de 5 de octubre de 2005 (expediente de prueba, folio</w:t>
      </w:r>
      <w:r>
        <w:rPr>
          <w:spacing w:val="-7"/>
          <w:sz w:val="16"/>
        </w:rPr>
        <w:t xml:space="preserve"> </w:t>
      </w:r>
      <w:r>
        <w:rPr>
          <w:sz w:val="16"/>
        </w:rPr>
        <w:t>233).</w:t>
      </w:r>
    </w:p>
    <w:p w14:paraId="1A9F265C" w14:textId="77777777" w:rsidR="00467FCA" w:rsidRDefault="001B68EB">
      <w:pPr>
        <w:tabs>
          <w:tab w:val="left" w:pos="839"/>
        </w:tabs>
        <w:ind w:left="118" w:right="112" w:firstLine="1"/>
        <w:jc w:val="both"/>
        <w:rPr>
          <w:sz w:val="16"/>
        </w:rPr>
      </w:pPr>
      <w:bookmarkStart w:id="218" w:name="_bookmark184"/>
      <w:bookmarkEnd w:id="218"/>
      <w:r>
        <w:rPr>
          <w:position w:val="6"/>
          <w:sz w:val="10"/>
        </w:rPr>
        <w:t>153</w:t>
      </w:r>
      <w:r>
        <w:rPr>
          <w:position w:val="6"/>
          <w:sz w:val="10"/>
        </w:rPr>
        <w:tab/>
      </w:r>
      <w:r>
        <w:rPr>
          <w:sz w:val="16"/>
        </w:rPr>
        <w:t>La Corte no cuenta con la información exacta sobre el trámite de cada proceso laboral. Sin embargo, se deprende</w:t>
      </w:r>
      <w:r>
        <w:rPr>
          <w:spacing w:val="-5"/>
          <w:sz w:val="16"/>
        </w:rPr>
        <w:t xml:space="preserve"> </w:t>
      </w:r>
      <w:r>
        <w:rPr>
          <w:sz w:val="16"/>
        </w:rPr>
        <w:t>de</w:t>
      </w:r>
      <w:r>
        <w:rPr>
          <w:spacing w:val="-5"/>
          <w:sz w:val="16"/>
        </w:rPr>
        <w:t xml:space="preserve"> </w:t>
      </w:r>
      <w:r>
        <w:rPr>
          <w:sz w:val="16"/>
        </w:rPr>
        <w:t>la</w:t>
      </w:r>
      <w:r>
        <w:rPr>
          <w:spacing w:val="-8"/>
          <w:sz w:val="16"/>
        </w:rPr>
        <w:t xml:space="preserve"> </w:t>
      </w:r>
      <w:r>
        <w:rPr>
          <w:sz w:val="16"/>
        </w:rPr>
        <w:t>ficha</w:t>
      </w:r>
      <w:r>
        <w:rPr>
          <w:spacing w:val="-6"/>
          <w:sz w:val="16"/>
        </w:rPr>
        <w:t xml:space="preserve"> </w:t>
      </w:r>
      <w:r>
        <w:rPr>
          <w:sz w:val="16"/>
        </w:rPr>
        <w:t>de</w:t>
      </w:r>
      <w:r>
        <w:rPr>
          <w:spacing w:val="-7"/>
          <w:sz w:val="16"/>
        </w:rPr>
        <w:t xml:space="preserve"> </w:t>
      </w:r>
      <w:r>
        <w:rPr>
          <w:sz w:val="16"/>
        </w:rPr>
        <w:t>trámite</w:t>
      </w:r>
      <w:r>
        <w:rPr>
          <w:spacing w:val="-5"/>
          <w:sz w:val="16"/>
        </w:rPr>
        <w:t xml:space="preserve"> </w:t>
      </w:r>
      <w:r>
        <w:rPr>
          <w:sz w:val="16"/>
        </w:rPr>
        <w:t>del</w:t>
      </w:r>
      <w:r>
        <w:rPr>
          <w:spacing w:val="-8"/>
          <w:sz w:val="16"/>
        </w:rPr>
        <w:t xml:space="preserve"> </w:t>
      </w:r>
      <w:r>
        <w:rPr>
          <w:sz w:val="16"/>
        </w:rPr>
        <w:t>caso</w:t>
      </w:r>
      <w:r>
        <w:rPr>
          <w:spacing w:val="-5"/>
          <w:sz w:val="16"/>
        </w:rPr>
        <w:t xml:space="preserve"> </w:t>
      </w:r>
      <w:r>
        <w:rPr>
          <w:sz w:val="16"/>
        </w:rPr>
        <w:t>de</w:t>
      </w:r>
      <w:r>
        <w:rPr>
          <w:spacing w:val="-7"/>
          <w:sz w:val="16"/>
        </w:rPr>
        <w:t xml:space="preserve"> </w:t>
      </w:r>
      <w:r>
        <w:rPr>
          <w:sz w:val="16"/>
        </w:rPr>
        <w:t>Leila</w:t>
      </w:r>
      <w:r>
        <w:rPr>
          <w:spacing w:val="-6"/>
          <w:sz w:val="16"/>
        </w:rPr>
        <w:t xml:space="preserve"> </w:t>
      </w:r>
      <w:r>
        <w:rPr>
          <w:sz w:val="16"/>
        </w:rPr>
        <w:t>Cerqueira</w:t>
      </w:r>
      <w:r>
        <w:rPr>
          <w:spacing w:val="-6"/>
          <w:sz w:val="16"/>
        </w:rPr>
        <w:t xml:space="preserve"> </w:t>
      </w:r>
      <w:r>
        <w:rPr>
          <w:sz w:val="16"/>
        </w:rPr>
        <w:t>dos</w:t>
      </w:r>
      <w:r>
        <w:rPr>
          <w:spacing w:val="-7"/>
          <w:sz w:val="16"/>
        </w:rPr>
        <w:t xml:space="preserve"> </w:t>
      </w:r>
      <w:r>
        <w:rPr>
          <w:sz w:val="16"/>
        </w:rPr>
        <w:t>Santos,</w:t>
      </w:r>
      <w:r>
        <w:rPr>
          <w:spacing w:val="-6"/>
          <w:sz w:val="16"/>
        </w:rPr>
        <w:t xml:space="preserve"> </w:t>
      </w:r>
      <w:r>
        <w:rPr>
          <w:sz w:val="16"/>
        </w:rPr>
        <w:t>presentada</w:t>
      </w:r>
      <w:r>
        <w:rPr>
          <w:spacing w:val="-6"/>
          <w:sz w:val="16"/>
        </w:rPr>
        <w:t xml:space="preserve"> </w:t>
      </w:r>
      <w:r>
        <w:rPr>
          <w:sz w:val="16"/>
        </w:rPr>
        <w:t>por</w:t>
      </w:r>
      <w:r>
        <w:rPr>
          <w:spacing w:val="-3"/>
          <w:sz w:val="16"/>
        </w:rPr>
        <w:t xml:space="preserve"> </w:t>
      </w:r>
      <w:r>
        <w:rPr>
          <w:sz w:val="16"/>
        </w:rPr>
        <w:t>el</w:t>
      </w:r>
      <w:r>
        <w:rPr>
          <w:spacing w:val="-6"/>
          <w:sz w:val="16"/>
        </w:rPr>
        <w:t xml:space="preserve"> </w:t>
      </w:r>
      <w:r>
        <w:rPr>
          <w:sz w:val="16"/>
        </w:rPr>
        <w:t>Estado</w:t>
      </w:r>
      <w:r>
        <w:rPr>
          <w:spacing w:val="-7"/>
          <w:sz w:val="16"/>
        </w:rPr>
        <w:t xml:space="preserve"> </w:t>
      </w:r>
      <w:r>
        <w:rPr>
          <w:sz w:val="16"/>
        </w:rPr>
        <w:t>en</w:t>
      </w:r>
      <w:r>
        <w:rPr>
          <w:spacing w:val="-6"/>
          <w:sz w:val="16"/>
        </w:rPr>
        <w:t xml:space="preserve"> </w:t>
      </w:r>
      <w:r>
        <w:rPr>
          <w:sz w:val="16"/>
        </w:rPr>
        <w:t>su</w:t>
      </w:r>
      <w:r>
        <w:rPr>
          <w:spacing w:val="-6"/>
          <w:sz w:val="16"/>
        </w:rPr>
        <w:t xml:space="preserve"> </w:t>
      </w:r>
      <w:r>
        <w:rPr>
          <w:sz w:val="16"/>
        </w:rPr>
        <w:t>contestación, que</w:t>
      </w:r>
      <w:r>
        <w:rPr>
          <w:spacing w:val="-5"/>
          <w:sz w:val="16"/>
        </w:rPr>
        <w:t xml:space="preserve"> </w:t>
      </w:r>
      <w:r>
        <w:rPr>
          <w:sz w:val="16"/>
        </w:rPr>
        <w:t>su</w:t>
      </w:r>
      <w:r>
        <w:rPr>
          <w:spacing w:val="-5"/>
          <w:sz w:val="16"/>
        </w:rPr>
        <w:t xml:space="preserve"> </w:t>
      </w:r>
      <w:r>
        <w:rPr>
          <w:sz w:val="16"/>
        </w:rPr>
        <w:t>proceso</w:t>
      </w:r>
      <w:r>
        <w:rPr>
          <w:spacing w:val="-3"/>
          <w:sz w:val="16"/>
        </w:rPr>
        <w:t xml:space="preserve"> </w:t>
      </w:r>
      <w:r>
        <w:rPr>
          <w:sz w:val="16"/>
        </w:rPr>
        <w:t>estuvo</w:t>
      </w:r>
      <w:r>
        <w:rPr>
          <w:spacing w:val="-4"/>
          <w:sz w:val="16"/>
        </w:rPr>
        <w:t xml:space="preserve"> </w:t>
      </w:r>
      <w:r>
        <w:rPr>
          <w:sz w:val="16"/>
        </w:rPr>
        <w:t>archivado</w:t>
      </w:r>
      <w:r>
        <w:rPr>
          <w:spacing w:val="-3"/>
          <w:sz w:val="16"/>
        </w:rPr>
        <w:t xml:space="preserve"> </w:t>
      </w:r>
      <w:r>
        <w:rPr>
          <w:sz w:val="16"/>
        </w:rPr>
        <w:t>prov</w:t>
      </w:r>
      <w:r>
        <w:rPr>
          <w:sz w:val="16"/>
        </w:rPr>
        <w:t>isoriamente</w:t>
      </w:r>
      <w:r>
        <w:rPr>
          <w:spacing w:val="-4"/>
          <w:sz w:val="16"/>
        </w:rPr>
        <w:t xml:space="preserve"> </w:t>
      </w:r>
      <w:r>
        <w:rPr>
          <w:sz w:val="16"/>
        </w:rPr>
        <w:t>entre</w:t>
      </w:r>
      <w:r>
        <w:rPr>
          <w:spacing w:val="-4"/>
          <w:sz w:val="16"/>
        </w:rPr>
        <w:t xml:space="preserve"> </w:t>
      </w:r>
      <w:r>
        <w:rPr>
          <w:sz w:val="16"/>
        </w:rPr>
        <w:t>el</w:t>
      </w:r>
      <w:r>
        <w:rPr>
          <w:spacing w:val="-6"/>
          <w:sz w:val="16"/>
        </w:rPr>
        <w:t xml:space="preserve"> </w:t>
      </w:r>
      <w:r>
        <w:rPr>
          <w:sz w:val="16"/>
        </w:rPr>
        <w:t>8</w:t>
      </w:r>
      <w:r>
        <w:rPr>
          <w:spacing w:val="-5"/>
          <w:sz w:val="16"/>
        </w:rPr>
        <w:t xml:space="preserve"> </w:t>
      </w:r>
      <w:r>
        <w:rPr>
          <w:sz w:val="16"/>
        </w:rPr>
        <w:t>de</w:t>
      </w:r>
      <w:r>
        <w:rPr>
          <w:spacing w:val="-1"/>
          <w:sz w:val="16"/>
        </w:rPr>
        <w:t xml:space="preserve"> </w:t>
      </w:r>
      <w:r>
        <w:rPr>
          <w:sz w:val="16"/>
        </w:rPr>
        <w:t>noviembre</w:t>
      </w:r>
      <w:r>
        <w:rPr>
          <w:spacing w:val="-4"/>
          <w:sz w:val="16"/>
        </w:rPr>
        <w:t xml:space="preserve"> </w:t>
      </w:r>
      <w:r>
        <w:rPr>
          <w:sz w:val="16"/>
        </w:rPr>
        <w:t>de</w:t>
      </w:r>
      <w:r>
        <w:rPr>
          <w:spacing w:val="-7"/>
          <w:sz w:val="16"/>
        </w:rPr>
        <w:t xml:space="preserve"> </w:t>
      </w:r>
      <w:r>
        <w:rPr>
          <w:sz w:val="16"/>
        </w:rPr>
        <w:t>2002</w:t>
      </w:r>
      <w:r>
        <w:rPr>
          <w:spacing w:val="-6"/>
          <w:sz w:val="16"/>
        </w:rPr>
        <w:t xml:space="preserve"> </w:t>
      </w:r>
      <w:r>
        <w:rPr>
          <w:sz w:val="16"/>
        </w:rPr>
        <w:t>y</w:t>
      </w:r>
      <w:r>
        <w:rPr>
          <w:spacing w:val="-3"/>
          <w:sz w:val="16"/>
        </w:rPr>
        <w:t xml:space="preserve"> </w:t>
      </w:r>
      <w:r>
        <w:rPr>
          <w:sz w:val="16"/>
        </w:rPr>
        <w:t>el</w:t>
      </w:r>
      <w:r>
        <w:rPr>
          <w:spacing w:val="-5"/>
          <w:sz w:val="16"/>
        </w:rPr>
        <w:t xml:space="preserve"> </w:t>
      </w:r>
      <w:r>
        <w:rPr>
          <w:sz w:val="16"/>
        </w:rPr>
        <w:t>27</w:t>
      </w:r>
      <w:r>
        <w:rPr>
          <w:spacing w:val="-4"/>
          <w:sz w:val="16"/>
        </w:rPr>
        <w:t xml:space="preserve"> </w:t>
      </w:r>
      <w:r>
        <w:rPr>
          <w:sz w:val="16"/>
        </w:rPr>
        <w:t>de</w:t>
      </w:r>
      <w:r>
        <w:rPr>
          <w:spacing w:val="-6"/>
          <w:sz w:val="16"/>
        </w:rPr>
        <w:t xml:space="preserve"> </w:t>
      </w:r>
      <w:r>
        <w:rPr>
          <w:sz w:val="16"/>
        </w:rPr>
        <w:t>octubre</w:t>
      </w:r>
      <w:r>
        <w:rPr>
          <w:spacing w:val="-4"/>
          <w:sz w:val="16"/>
        </w:rPr>
        <w:t xml:space="preserve"> </w:t>
      </w:r>
      <w:r>
        <w:rPr>
          <w:sz w:val="16"/>
        </w:rPr>
        <w:t>de</w:t>
      </w:r>
      <w:r>
        <w:rPr>
          <w:spacing w:val="-7"/>
          <w:sz w:val="16"/>
        </w:rPr>
        <w:t xml:space="preserve"> </w:t>
      </w:r>
      <w:r>
        <w:rPr>
          <w:sz w:val="16"/>
        </w:rPr>
        <w:t>2009</w:t>
      </w:r>
      <w:r>
        <w:rPr>
          <w:spacing w:val="-6"/>
          <w:sz w:val="16"/>
        </w:rPr>
        <w:t xml:space="preserve"> </w:t>
      </w:r>
      <w:r>
        <w:rPr>
          <w:sz w:val="16"/>
        </w:rPr>
        <w:t>y</w:t>
      </w:r>
      <w:r>
        <w:rPr>
          <w:spacing w:val="-3"/>
          <w:sz w:val="16"/>
        </w:rPr>
        <w:t xml:space="preserve"> </w:t>
      </w:r>
      <w:r>
        <w:rPr>
          <w:sz w:val="16"/>
        </w:rPr>
        <w:t>por cuenta de la frustración de la ejecución, fue suspendido del 6 de agosto de 2010 al 24 de noviembre de 2011 y del 18 de diciembre de 2013 a 14 de mayo de 2014 (expediente de prueba, folio</w:t>
      </w:r>
      <w:r>
        <w:rPr>
          <w:spacing w:val="-21"/>
          <w:sz w:val="16"/>
        </w:rPr>
        <w:t xml:space="preserve"> </w:t>
      </w:r>
      <w:r>
        <w:rPr>
          <w:sz w:val="16"/>
        </w:rPr>
        <w:t>2624).</w:t>
      </w:r>
    </w:p>
    <w:p w14:paraId="668F5131" w14:textId="77777777" w:rsidR="00467FCA" w:rsidRDefault="001B68EB">
      <w:pPr>
        <w:tabs>
          <w:tab w:val="left" w:pos="839"/>
        </w:tabs>
        <w:spacing w:before="2"/>
        <w:ind w:left="120"/>
        <w:jc w:val="both"/>
        <w:rPr>
          <w:i/>
          <w:sz w:val="16"/>
        </w:rPr>
      </w:pPr>
      <w:bookmarkStart w:id="219" w:name="_bookmark185"/>
      <w:bookmarkEnd w:id="219"/>
      <w:r>
        <w:rPr>
          <w:position w:val="6"/>
          <w:sz w:val="10"/>
        </w:rPr>
        <w:t>154</w:t>
      </w:r>
      <w:r>
        <w:rPr>
          <w:position w:val="6"/>
          <w:sz w:val="10"/>
        </w:rPr>
        <w:tab/>
      </w:r>
      <w:r>
        <w:rPr>
          <w:i/>
          <w:sz w:val="16"/>
        </w:rPr>
        <w:t xml:space="preserve">Cfr. </w:t>
      </w:r>
      <w:r>
        <w:rPr>
          <w:sz w:val="16"/>
        </w:rPr>
        <w:t>Informe del Director Adjunto de Secretaría del T</w:t>
      </w:r>
      <w:r>
        <w:rPr>
          <w:sz w:val="16"/>
        </w:rPr>
        <w:t>rabajo en Santo Antônio de Jesus,</w:t>
      </w:r>
      <w:r>
        <w:rPr>
          <w:spacing w:val="-18"/>
          <w:sz w:val="16"/>
        </w:rPr>
        <w:t xml:space="preserve"> </w:t>
      </w:r>
      <w:r>
        <w:rPr>
          <w:i/>
          <w:sz w:val="16"/>
        </w:rPr>
        <w:t>supra.</w:t>
      </w:r>
    </w:p>
    <w:p w14:paraId="232AA05E" w14:textId="77777777" w:rsidR="00467FCA" w:rsidRDefault="001B68EB">
      <w:pPr>
        <w:tabs>
          <w:tab w:val="left" w:pos="839"/>
        </w:tabs>
        <w:ind w:left="120" w:right="116" w:hanging="1"/>
        <w:jc w:val="both"/>
        <w:rPr>
          <w:sz w:val="16"/>
        </w:rPr>
      </w:pPr>
      <w:bookmarkStart w:id="220" w:name="_bookmark186"/>
      <w:bookmarkEnd w:id="220"/>
      <w:r>
        <w:rPr>
          <w:position w:val="6"/>
          <w:sz w:val="10"/>
        </w:rPr>
        <w:t>155</w:t>
      </w:r>
      <w:r>
        <w:rPr>
          <w:position w:val="6"/>
          <w:sz w:val="10"/>
        </w:rPr>
        <w:tab/>
      </w:r>
      <w:r>
        <w:rPr>
          <w:i/>
          <w:sz w:val="16"/>
        </w:rPr>
        <w:t xml:space="preserve">Cfr. </w:t>
      </w:r>
      <w:r>
        <w:rPr>
          <w:sz w:val="16"/>
        </w:rPr>
        <w:t>Comunicación de la Jueza Cássia Magali Moreira Daltro del Juzgado de Trabajo de Santo Antônio de Jesus a la Abogacía General de la Unión, de 21 de febrero de 2019 (expediente de fondo, folio</w:t>
      </w:r>
      <w:r>
        <w:rPr>
          <w:spacing w:val="-22"/>
          <w:sz w:val="16"/>
        </w:rPr>
        <w:t xml:space="preserve"> </w:t>
      </w:r>
      <w:r>
        <w:rPr>
          <w:sz w:val="16"/>
        </w:rPr>
        <w:t>4106).</w:t>
      </w:r>
    </w:p>
    <w:p w14:paraId="3556E847" w14:textId="77777777" w:rsidR="00467FCA" w:rsidRDefault="001B68EB">
      <w:pPr>
        <w:tabs>
          <w:tab w:val="left" w:pos="839"/>
        </w:tabs>
        <w:ind w:left="119" w:right="117"/>
        <w:jc w:val="both"/>
        <w:rPr>
          <w:sz w:val="16"/>
        </w:rPr>
      </w:pPr>
      <w:bookmarkStart w:id="221" w:name="_bookmark187"/>
      <w:bookmarkEnd w:id="221"/>
      <w:r>
        <w:rPr>
          <w:position w:val="6"/>
          <w:sz w:val="10"/>
        </w:rPr>
        <w:t>156</w:t>
      </w:r>
      <w:r>
        <w:rPr>
          <w:position w:val="6"/>
          <w:sz w:val="10"/>
        </w:rPr>
        <w:tab/>
      </w:r>
      <w:r>
        <w:rPr>
          <w:i/>
          <w:sz w:val="16"/>
        </w:rPr>
        <w:t>Cfr.</w:t>
      </w:r>
      <w:r>
        <w:rPr>
          <w:i/>
          <w:spacing w:val="-3"/>
          <w:sz w:val="16"/>
        </w:rPr>
        <w:t xml:space="preserve"> </w:t>
      </w:r>
      <w:r>
        <w:rPr>
          <w:sz w:val="16"/>
        </w:rPr>
        <w:t>Constancia</w:t>
      </w:r>
      <w:r>
        <w:rPr>
          <w:spacing w:val="-3"/>
          <w:sz w:val="16"/>
        </w:rPr>
        <w:t xml:space="preserve"> </w:t>
      </w:r>
      <w:r>
        <w:rPr>
          <w:sz w:val="16"/>
        </w:rPr>
        <w:t>de</w:t>
      </w:r>
      <w:r>
        <w:rPr>
          <w:spacing w:val="-2"/>
          <w:sz w:val="16"/>
        </w:rPr>
        <w:t xml:space="preserve"> </w:t>
      </w:r>
      <w:r>
        <w:rPr>
          <w:sz w:val="16"/>
        </w:rPr>
        <w:t>aprehensión</w:t>
      </w:r>
      <w:r>
        <w:rPr>
          <w:spacing w:val="-4"/>
          <w:sz w:val="16"/>
        </w:rPr>
        <w:t xml:space="preserve"> </w:t>
      </w:r>
      <w:r>
        <w:rPr>
          <w:sz w:val="16"/>
        </w:rPr>
        <w:t>de</w:t>
      </w:r>
      <w:r>
        <w:rPr>
          <w:spacing w:val="-2"/>
          <w:sz w:val="16"/>
        </w:rPr>
        <w:t xml:space="preserve"> </w:t>
      </w:r>
      <w:r>
        <w:rPr>
          <w:sz w:val="16"/>
        </w:rPr>
        <w:t>la</w:t>
      </w:r>
      <w:r>
        <w:rPr>
          <w:spacing w:val="-3"/>
          <w:sz w:val="16"/>
        </w:rPr>
        <w:t xml:space="preserve"> </w:t>
      </w:r>
      <w:r>
        <w:rPr>
          <w:sz w:val="16"/>
        </w:rPr>
        <w:t>sexta</w:t>
      </w:r>
      <w:r>
        <w:rPr>
          <w:spacing w:val="-3"/>
          <w:sz w:val="16"/>
        </w:rPr>
        <w:t xml:space="preserve"> </w:t>
      </w:r>
      <w:r>
        <w:rPr>
          <w:sz w:val="16"/>
        </w:rPr>
        <w:t>Región</w:t>
      </w:r>
      <w:r>
        <w:rPr>
          <w:spacing w:val="-4"/>
          <w:sz w:val="16"/>
        </w:rPr>
        <w:t xml:space="preserve"> </w:t>
      </w:r>
      <w:r>
        <w:rPr>
          <w:sz w:val="16"/>
        </w:rPr>
        <w:t>del</w:t>
      </w:r>
      <w:r>
        <w:rPr>
          <w:spacing w:val="-2"/>
          <w:sz w:val="16"/>
        </w:rPr>
        <w:t xml:space="preserve"> </w:t>
      </w:r>
      <w:r>
        <w:rPr>
          <w:sz w:val="16"/>
        </w:rPr>
        <w:t>Comando</w:t>
      </w:r>
      <w:r>
        <w:rPr>
          <w:spacing w:val="-4"/>
          <w:sz w:val="16"/>
        </w:rPr>
        <w:t xml:space="preserve"> </w:t>
      </w:r>
      <w:r>
        <w:rPr>
          <w:sz w:val="16"/>
        </w:rPr>
        <w:t>Militar</w:t>
      </w:r>
      <w:r>
        <w:rPr>
          <w:spacing w:val="-1"/>
          <w:sz w:val="16"/>
        </w:rPr>
        <w:t xml:space="preserve"> </w:t>
      </w:r>
      <w:r>
        <w:rPr>
          <w:sz w:val="16"/>
        </w:rPr>
        <w:t>de</w:t>
      </w:r>
      <w:r>
        <w:rPr>
          <w:spacing w:val="-2"/>
          <w:sz w:val="16"/>
        </w:rPr>
        <w:t xml:space="preserve"> </w:t>
      </w:r>
      <w:r>
        <w:rPr>
          <w:sz w:val="16"/>
        </w:rPr>
        <w:t>Nordeste,</w:t>
      </w:r>
      <w:r>
        <w:rPr>
          <w:spacing w:val="-6"/>
          <w:sz w:val="16"/>
        </w:rPr>
        <w:t xml:space="preserve"> </w:t>
      </w:r>
      <w:r>
        <w:rPr>
          <w:sz w:val="16"/>
        </w:rPr>
        <w:t>de</w:t>
      </w:r>
      <w:r>
        <w:rPr>
          <w:spacing w:val="-5"/>
          <w:sz w:val="16"/>
        </w:rPr>
        <w:t xml:space="preserve"> </w:t>
      </w:r>
      <w:r>
        <w:rPr>
          <w:sz w:val="16"/>
        </w:rPr>
        <w:t>13</w:t>
      </w:r>
      <w:r>
        <w:rPr>
          <w:spacing w:val="-4"/>
          <w:sz w:val="16"/>
        </w:rPr>
        <w:t xml:space="preserve"> </w:t>
      </w:r>
      <w:r>
        <w:rPr>
          <w:sz w:val="16"/>
        </w:rPr>
        <w:t>de</w:t>
      </w:r>
      <w:r>
        <w:rPr>
          <w:spacing w:val="-2"/>
          <w:sz w:val="16"/>
        </w:rPr>
        <w:t xml:space="preserve"> </w:t>
      </w:r>
      <w:r>
        <w:rPr>
          <w:sz w:val="16"/>
        </w:rPr>
        <w:t>diciembre</w:t>
      </w:r>
      <w:r>
        <w:rPr>
          <w:spacing w:val="-1"/>
          <w:sz w:val="16"/>
        </w:rPr>
        <w:t xml:space="preserve"> </w:t>
      </w:r>
      <w:r>
        <w:rPr>
          <w:sz w:val="16"/>
        </w:rPr>
        <w:t>de 1998 (expediente de prueba, folio 1875 y</w:t>
      </w:r>
      <w:r>
        <w:rPr>
          <w:spacing w:val="-9"/>
          <w:sz w:val="16"/>
        </w:rPr>
        <w:t xml:space="preserve"> </w:t>
      </w:r>
      <w:r>
        <w:rPr>
          <w:sz w:val="16"/>
        </w:rPr>
        <w:t>1876).</w:t>
      </w:r>
    </w:p>
    <w:p w14:paraId="6219B31F" w14:textId="77777777" w:rsidR="00467FCA" w:rsidRDefault="001B68EB">
      <w:pPr>
        <w:tabs>
          <w:tab w:val="left" w:pos="839"/>
        </w:tabs>
        <w:ind w:left="119" w:right="117"/>
        <w:jc w:val="both"/>
        <w:rPr>
          <w:sz w:val="16"/>
        </w:rPr>
      </w:pPr>
      <w:bookmarkStart w:id="222" w:name="_bookmark188"/>
      <w:bookmarkEnd w:id="222"/>
      <w:r>
        <w:rPr>
          <w:position w:val="6"/>
          <w:sz w:val="10"/>
        </w:rPr>
        <w:t>157</w:t>
      </w:r>
      <w:r>
        <w:rPr>
          <w:position w:val="6"/>
          <w:sz w:val="10"/>
        </w:rPr>
        <w:tab/>
      </w:r>
      <w:r>
        <w:rPr>
          <w:i/>
          <w:sz w:val="16"/>
        </w:rPr>
        <w:t xml:space="preserve">Cfr. </w:t>
      </w:r>
      <w:r>
        <w:rPr>
          <w:sz w:val="16"/>
        </w:rPr>
        <w:t>Constancia de destrucción de la sexta Región del Comando Militar de Nordeste, de 15 de diciembre d</w:t>
      </w:r>
      <w:r>
        <w:rPr>
          <w:sz w:val="16"/>
        </w:rPr>
        <w:t>e</w:t>
      </w:r>
      <w:bookmarkStart w:id="223" w:name="_bookmark189"/>
      <w:bookmarkEnd w:id="223"/>
      <w:r>
        <w:rPr>
          <w:sz w:val="16"/>
        </w:rPr>
        <w:t xml:space="preserve"> 1998 (expediente de fondo, folio</w:t>
      </w:r>
      <w:r>
        <w:rPr>
          <w:spacing w:val="-4"/>
          <w:sz w:val="16"/>
        </w:rPr>
        <w:t xml:space="preserve"> </w:t>
      </w:r>
      <w:r>
        <w:rPr>
          <w:sz w:val="16"/>
        </w:rPr>
        <w:t>1878).</w:t>
      </w:r>
    </w:p>
    <w:p w14:paraId="0EF9A978" w14:textId="77777777" w:rsidR="00467FCA" w:rsidRDefault="001B68EB">
      <w:pPr>
        <w:tabs>
          <w:tab w:val="left" w:pos="839"/>
        </w:tabs>
        <w:ind w:left="119" w:right="111"/>
        <w:jc w:val="both"/>
        <w:rPr>
          <w:sz w:val="16"/>
        </w:rPr>
      </w:pPr>
      <w:r>
        <w:rPr>
          <w:position w:val="6"/>
          <w:sz w:val="10"/>
        </w:rPr>
        <w:t>158</w:t>
      </w:r>
      <w:r>
        <w:rPr>
          <w:position w:val="6"/>
          <w:sz w:val="10"/>
        </w:rPr>
        <w:tab/>
      </w:r>
      <w:r>
        <w:rPr>
          <w:sz w:val="16"/>
        </w:rPr>
        <w:t>Existen</w:t>
      </w:r>
      <w:r>
        <w:rPr>
          <w:spacing w:val="-12"/>
          <w:sz w:val="16"/>
        </w:rPr>
        <w:t xml:space="preserve"> </w:t>
      </w:r>
      <w:r>
        <w:rPr>
          <w:sz w:val="16"/>
        </w:rPr>
        <w:t>dos</w:t>
      </w:r>
      <w:r>
        <w:rPr>
          <w:spacing w:val="-12"/>
          <w:sz w:val="16"/>
        </w:rPr>
        <w:t xml:space="preserve"> </w:t>
      </w:r>
      <w:r>
        <w:rPr>
          <w:sz w:val="16"/>
        </w:rPr>
        <w:t>fechas</w:t>
      </w:r>
      <w:r>
        <w:rPr>
          <w:spacing w:val="-10"/>
          <w:sz w:val="16"/>
        </w:rPr>
        <w:t xml:space="preserve"> </w:t>
      </w:r>
      <w:r>
        <w:rPr>
          <w:sz w:val="16"/>
        </w:rPr>
        <w:t>indicadas</w:t>
      </w:r>
      <w:r>
        <w:rPr>
          <w:spacing w:val="-11"/>
          <w:sz w:val="16"/>
        </w:rPr>
        <w:t xml:space="preserve"> </w:t>
      </w:r>
      <w:r>
        <w:rPr>
          <w:sz w:val="16"/>
        </w:rPr>
        <w:t>sobre</w:t>
      </w:r>
      <w:r>
        <w:rPr>
          <w:spacing w:val="-10"/>
          <w:sz w:val="16"/>
        </w:rPr>
        <w:t xml:space="preserve"> </w:t>
      </w:r>
      <w:r>
        <w:rPr>
          <w:sz w:val="16"/>
        </w:rPr>
        <w:t>la</w:t>
      </w:r>
      <w:r>
        <w:rPr>
          <w:spacing w:val="-10"/>
          <w:sz w:val="16"/>
        </w:rPr>
        <w:t xml:space="preserve"> </w:t>
      </w:r>
      <w:r>
        <w:rPr>
          <w:sz w:val="16"/>
        </w:rPr>
        <w:t>emisión</w:t>
      </w:r>
      <w:r>
        <w:rPr>
          <w:spacing w:val="-12"/>
          <w:sz w:val="16"/>
        </w:rPr>
        <w:t xml:space="preserve"> </w:t>
      </w:r>
      <w:r>
        <w:rPr>
          <w:sz w:val="16"/>
        </w:rPr>
        <w:t>de</w:t>
      </w:r>
      <w:r>
        <w:rPr>
          <w:spacing w:val="-9"/>
          <w:sz w:val="16"/>
        </w:rPr>
        <w:t xml:space="preserve"> </w:t>
      </w:r>
      <w:r>
        <w:rPr>
          <w:sz w:val="16"/>
        </w:rPr>
        <w:t>esta</w:t>
      </w:r>
      <w:r>
        <w:rPr>
          <w:spacing w:val="-10"/>
          <w:sz w:val="16"/>
        </w:rPr>
        <w:t xml:space="preserve"> </w:t>
      </w:r>
      <w:r>
        <w:rPr>
          <w:sz w:val="16"/>
        </w:rPr>
        <w:t>resolución.</w:t>
      </w:r>
      <w:r>
        <w:rPr>
          <w:spacing w:val="-9"/>
          <w:sz w:val="16"/>
        </w:rPr>
        <w:t xml:space="preserve"> </w:t>
      </w:r>
      <w:r>
        <w:rPr>
          <w:sz w:val="16"/>
        </w:rPr>
        <w:t>La</w:t>
      </w:r>
      <w:r>
        <w:rPr>
          <w:spacing w:val="-10"/>
          <w:sz w:val="16"/>
        </w:rPr>
        <w:t xml:space="preserve"> </w:t>
      </w:r>
      <w:r>
        <w:rPr>
          <w:sz w:val="16"/>
        </w:rPr>
        <w:t>Comisión</w:t>
      </w:r>
      <w:r>
        <w:rPr>
          <w:spacing w:val="-12"/>
          <w:sz w:val="16"/>
        </w:rPr>
        <w:t xml:space="preserve"> </w:t>
      </w:r>
      <w:r>
        <w:rPr>
          <w:sz w:val="16"/>
        </w:rPr>
        <w:t>y</w:t>
      </w:r>
      <w:r>
        <w:rPr>
          <w:spacing w:val="-9"/>
          <w:sz w:val="16"/>
        </w:rPr>
        <w:t xml:space="preserve"> </w:t>
      </w:r>
      <w:r>
        <w:rPr>
          <w:sz w:val="16"/>
        </w:rPr>
        <w:t>los</w:t>
      </w:r>
      <w:r>
        <w:rPr>
          <w:spacing w:val="-10"/>
          <w:sz w:val="16"/>
        </w:rPr>
        <w:t xml:space="preserve"> </w:t>
      </w:r>
      <w:r>
        <w:rPr>
          <w:sz w:val="16"/>
        </w:rPr>
        <w:t>representantes</w:t>
      </w:r>
      <w:r>
        <w:rPr>
          <w:spacing w:val="-8"/>
          <w:sz w:val="16"/>
        </w:rPr>
        <w:t xml:space="preserve"> </w:t>
      </w:r>
      <w:r>
        <w:rPr>
          <w:sz w:val="16"/>
        </w:rPr>
        <w:t xml:space="preserve">indicaron que la finalización del proceso se dio el 2 de diciembre de 1999. Sin embargo, esta fecha es errónea, pues han tomado como referencia la fecha en las que se concedieron las copias certificadas de la resolución en cuestión y </w:t>
      </w:r>
      <w:r>
        <w:rPr>
          <w:spacing w:val="-4"/>
          <w:sz w:val="16"/>
        </w:rPr>
        <w:t xml:space="preserve">no </w:t>
      </w:r>
      <w:r>
        <w:rPr>
          <w:sz w:val="16"/>
        </w:rPr>
        <w:t>la</w:t>
      </w:r>
      <w:r>
        <w:rPr>
          <w:spacing w:val="-13"/>
          <w:sz w:val="16"/>
        </w:rPr>
        <w:t xml:space="preserve"> </w:t>
      </w:r>
      <w:r>
        <w:rPr>
          <w:sz w:val="16"/>
        </w:rPr>
        <w:t>de</w:t>
      </w:r>
      <w:r>
        <w:rPr>
          <w:spacing w:val="-14"/>
          <w:sz w:val="16"/>
        </w:rPr>
        <w:t xml:space="preserve"> </w:t>
      </w:r>
      <w:r>
        <w:rPr>
          <w:sz w:val="16"/>
        </w:rPr>
        <w:t>emisión</w:t>
      </w:r>
      <w:r>
        <w:rPr>
          <w:spacing w:val="-15"/>
          <w:sz w:val="16"/>
        </w:rPr>
        <w:t xml:space="preserve"> </w:t>
      </w:r>
      <w:r>
        <w:rPr>
          <w:sz w:val="16"/>
        </w:rPr>
        <w:t>de</w:t>
      </w:r>
      <w:r>
        <w:rPr>
          <w:spacing w:val="-12"/>
          <w:sz w:val="16"/>
        </w:rPr>
        <w:t xml:space="preserve"> </w:t>
      </w:r>
      <w:r>
        <w:rPr>
          <w:sz w:val="16"/>
        </w:rPr>
        <w:t>la</w:t>
      </w:r>
      <w:r>
        <w:rPr>
          <w:spacing w:val="-15"/>
          <w:sz w:val="16"/>
        </w:rPr>
        <w:t xml:space="preserve"> </w:t>
      </w:r>
      <w:r>
        <w:rPr>
          <w:sz w:val="16"/>
        </w:rPr>
        <w:t>misma.</w:t>
      </w:r>
      <w:r>
        <w:rPr>
          <w:spacing w:val="-12"/>
          <w:sz w:val="16"/>
        </w:rPr>
        <w:t xml:space="preserve"> </w:t>
      </w:r>
      <w:r>
        <w:rPr>
          <w:sz w:val="16"/>
        </w:rPr>
        <w:t>El</w:t>
      </w:r>
      <w:r>
        <w:rPr>
          <w:spacing w:val="-13"/>
          <w:sz w:val="16"/>
        </w:rPr>
        <w:t xml:space="preserve"> </w:t>
      </w:r>
      <w:r>
        <w:rPr>
          <w:sz w:val="16"/>
        </w:rPr>
        <w:t>Estado</w:t>
      </w:r>
      <w:r>
        <w:rPr>
          <w:spacing w:val="-11"/>
          <w:sz w:val="16"/>
        </w:rPr>
        <w:t xml:space="preserve"> </w:t>
      </w:r>
      <w:r>
        <w:rPr>
          <w:sz w:val="16"/>
        </w:rPr>
        <w:t>ha</w:t>
      </w:r>
      <w:r>
        <w:rPr>
          <w:spacing w:val="-14"/>
          <w:sz w:val="16"/>
        </w:rPr>
        <w:t xml:space="preserve"> </w:t>
      </w:r>
      <w:r>
        <w:rPr>
          <w:sz w:val="16"/>
        </w:rPr>
        <w:t>señalado</w:t>
      </w:r>
      <w:r>
        <w:rPr>
          <w:spacing w:val="-14"/>
          <w:sz w:val="16"/>
        </w:rPr>
        <w:t xml:space="preserve"> </w:t>
      </w:r>
      <w:r>
        <w:rPr>
          <w:sz w:val="16"/>
        </w:rPr>
        <w:t>que</w:t>
      </w:r>
      <w:r>
        <w:rPr>
          <w:spacing w:val="-12"/>
          <w:sz w:val="16"/>
        </w:rPr>
        <w:t xml:space="preserve"> </w:t>
      </w:r>
      <w:r>
        <w:rPr>
          <w:sz w:val="16"/>
        </w:rPr>
        <w:t>la</w:t>
      </w:r>
      <w:r>
        <w:rPr>
          <w:spacing w:val="-14"/>
          <w:sz w:val="16"/>
        </w:rPr>
        <w:t xml:space="preserve"> </w:t>
      </w:r>
      <w:r>
        <w:rPr>
          <w:sz w:val="16"/>
        </w:rPr>
        <w:t>fecha</w:t>
      </w:r>
      <w:r>
        <w:rPr>
          <w:spacing w:val="-15"/>
          <w:sz w:val="16"/>
        </w:rPr>
        <w:t xml:space="preserve"> </w:t>
      </w:r>
      <w:r>
        <w:rPr>
          <w:sz w:val="16"/>
        </w:rPr>
        <w:t>es</w:t>
      </w:r>
      <w:r>
        <w:rPr>
          <w:spacing w:val="-14"/>
          <w:sz w:val="16"/>
        </w:rPr>
        <w:t xml:space="preserve"> </w:t>
      </w:r>
      <w:r>
        <w:rPr>
          <w:sz w:val="16"/>
        </w:rPr>
        <w:t>el</w:t>
      </w:r>
      <w:r>
        <w:rPr>
          <w:spacing w:val="-14"/>
          <w:sz w:val="16"/>
        </w:rPr>
        <w:t xml:space="preserve"> </w:t>
      </w:r>
      <w:r>
        <w:rPr>
          <w:sz w:val="16"/>
        </w:rPr>
        <w:t>6</w:t>
      </w:r>
      <w:r>
        <w:rPr>
          <w:spacing w:val="-11"/>
          <w:sz w:val="16"/>
        </w:rPr>
        <w:t xml:space="preserve"> </w:t>
      </w:r>
      <w:r>
        <w:rPr>
          <w:sz w:val="16"/>
        </w:rPr>
        <w:t>de</w:t>
      </w:r>
      <w:r>
        <w:rPr>
          <w:spacing w:val="-12"/>
          <w:sz w:val="16"/>
        </w:rPr>
        <w:t xml:space="preserve"> </w:t>
      </w:r>
      <w:r>
        <w:rPr>
          <w:sz w:val="16"/>
        </w:rPr>
        <w:t>julio</w:t>
      </w:r>
      <w:r>
        <w:rPr>
          <w:spacing w:val="-13"/>
          <w:sz w:val="16"/>
        </w:rPr>
        <w:t xml:space="preserve"> </w:t>
      </w:r>
      <w:r>
        <w:rPr>
          <w:sz w:val="16"/>
        </w:rPr>
        <w:t>de</w:t>
      </w:r>
      <w:r>
        <w:rPr>
          <w:spacing w:val="-14"/>
          <w:sz w:val="16"/>
        </w:rPr>
        <w:t xml:space="preserve"> </w:t>
      </w:r>
      <w:r>
        <w:rPr>
          <w:sz w:val="16"/>
        </w:rPr>
        <w:t>1999,</w:t>
      </w:r>
      <w:r>
        <w:rPr>
          <w:spacing w:val="-13"/>
          <w:sz w:val="16"/>
        </w:rPr>
        <w:t xml:space="preserve"> </w:t>
      </w:r>
      <w:r>
        <w:rPr>
          <w:sz w:val="16"/>
        </w:rPr>
        <w:t>lo</w:t>
      </w:r>
      <w:r>
        <w:rPr>
          <w:spacing w:val="-10"/>
          <w:sz w:val="16"/>
        </w:rPr>
        <w:t xml:space="preserve"> </w:t>
      </w:r>
      <w:r>
        <w:rPr>
          <w:sz w:val="16"/>
        </w:rPr>
        <w:t>cual</w:t>
      </w:r>
      <w:r>
        <w:rPr>
          <w:spacing w:val="-13"/>
          <w:sz w:val="16"/>
        </w:rPr>
        <w:t xml:space="preserve"> </w:t>
      </w:r>
      <w:r>
        <w:rPr>
          <w:sz w:val="16"/>
        </w:rPr>
        <w:t>se</w:t>
      </w:r>
      <w:r>
        <w:rPr>
          <w:spacing w:val="-12"/>
          <w:sz w:val="16"/>
        </w:rPr>
        <w:t xml:space="preserve"> </w:t>
      </w:r>
      <w:r>
        <w:rPr>
          <w:sz w:val="16"/>
        </w:rPr>
        <w:t>encuentra</w:t>
      </w:r>
      <w:r>
        <w:rPr>
          <w:spacing w:val="-14"/>
          <w:sz w:val="16"/>
        </w:rPr>
        <w:t xml:space="preserve"> </w:t>
      </w:r>
      <w:r>
        <w:rPr>
          <w:sz w:val="16"/>
        </w:rPr>
        <w:t>respaldado por la fecha que en efecto consta en la Resolución del Departamento de Material Bélico del Ministerio de la</w:t>
      </w:r>
      <w:r>
        <w:rPr>
          <w:spacing w:val="-38"/>
          <w:sz w:val="16"/>
        </w:rPr>
        <w:t xml:space="preserve"> </w:t>
      </w:r>
      <w:r>
        <w:rPr>
          <w:sz w:val="16"/>
        </w:rPr>
        <w:t>Defensa. Sin embargo, de lo anterior, aunque no</w:t>
      </w:r>
      <w:r>
        <w:rPr>
          <w:sz w:val="16"/>
        </w:rPr>
        <w:t xml:space="preserve"> ha sido consignado esto por ninguna de las partes, se considera que puede existir</w:t>
      </w:r>
      <w:r>
        <w:rPr>
          <w:spacing w:val="-4"/>
          <w:sz w:val="16"/>
        </w:rPr>
        <w:t xml:space="preserve"> </w:t>
      </w:r>
      <w:r>
        <w:rPr>
          <w:sz w:val="16"/>
        </w:rPr>
        <w:t>un</w:t>
      </w:r>
      <w:r>
        <w:rPr>
          <w:spacing w:val="-6"/>
          <w:sz w:val="16"/>
        </w:rPr>
        <w:t xml:space="preserve"> </w:t>
      </w:r>
      <w:r>
        <w:rPr>
          <w:sz w:val="16"/>
        </w:rPr>
        <w:t>error</w:t>
      </w:r>
      <w:r>
        <w:rPr>
          <w:spacing w:val="-4"/>
          <w:sz w:val="16"/>
        </w:rPr>
        <w:t xml:space="preserve"> </w:t>
      </w:r>
      <w:r>
        <w:rPr>
          <w:sz w:val="16"/>
        </w:rPr>
        <w:t>en</w:t>
      </w:r>
      <w:r>
        <w:rPr>
          <w:spacing w:val="-6"/>
          <w:sz w:val="16"/>
        </w:rPr>
        <w:t xml:space="preserve"> </w:t>
      </w:r>
      <w:r>
        <w:rPr>
          <w:sz w:val="16"/>
        </w:rPr>
        <w:t>la</w:t>
      </w:r>
      <w:r>
        <w:rPr>
          <w:spacing w:val="-6"/>
          <w:sz w:val="16"/>
        </w:rPr>
        <w:t xml:space="preserve"> </w:t>
      </w:r>
      <w:r>
        <w:rPr>
          <w:sz w:val="16"/>
        </w:rPr>
        <w:t>fecha</w:t>
      </w:r>
      <w:r>
        <w:rPr>
          <w:spacing w:val="-5"/>
          <w:sz w:val="16"/>
        </w:rPr>
        <w:t xml:space="preserve"> </w:t>
      </w:r>
      <w:r>
        <w:rPr>
          <w:sz w:val="16"/>
        </w:rPr>
        <w:t>que</w:t>
      </w:r>
      <w:r>
        <w:rPr>
          <w:spacing w:val="-5"/>
          <w:sz w:val="16"/>
        </w:rPr>
        <w:t xml:space="preserve"> </w:t>
      </w:r>
      <w:r>
        <w:rPr>
          <w:sz w:val="16"/>
        </w:rPr>
        <w:t>consta</w:t>
      </w:r>
      <w:r>
        <w:rPr>
          <w:spacing w:val="-6"/>
          <w:sz w:val="16"/>
        </w:rPr>
        <w:t xml:space="preserve"> </w:t>
      </w:r>
      <w:r>
        <w:rPr>
          <w:sz w:val="16"/>
        </w:rPr>
        <w:t>en</w:t>
      </w:r>
      <w:r>
        <w:rPr>
          <w:spacing w:val="-6"/>
          <w:sz w:val="16"/>
        </w:rPr>
        <w:t xml:space="preserve"> </w:t>
      </w:r>
      <w:r>
        <w:rPr>
          <w:sz w:val="16"/>
        </w:rPr>
        <w:t>el</w:t>
      </w:r>
      <w:r>
        <w:rPr>
          <w:spacing w:val="-8"/>
          <w:sz w:val="16"/>
        </w:rPr>
        <w:t xml:space="preserve"> </w:t>
      </w:r>
      <w:r>
        <w:rPr>
          <w:sz w:val="16"/>
        </w:rPr>
        <w:t>documento</w:t>
      </w:r>
      <w:r>
        <w:rPr>
          <w:spacing w:val="-4"/>
          <w:sz w:val="16"/>
        </w:rPr>
        <w:t xml:space="preserve"> </w:t>
      </w:r>
      <w:r>
        <w:rPr>
          <w:sz w:val="16"/>
        </w:rPr>
        <w:t>presentado</w:t>
      </w:r>
      <w:r>
        <w:rPr>
          <w:spacing w:val="-4"/>
          <w:sz w:val="16"/>
        </w:rPr>
        <w:t xml:space="preserve"> </w:t>
      </w:r>
      <w:r>
        <w:rPr>
          <w:sz w:val="16"/>
        </w:rPr>
        <w:t>como</w:t>
      </w:r>
      <w:r>
        <w:rPr>
          <w:spacing w:val="-3"/>
          <w:sz w:val="16"/>
        </w:rPr>
        <w:t xml:space="preserve"> </w:t>
      </w:r>
      <w:r>
        <w:rPr>
          <w:sz w:val="16"/>
        </w:rPr>
        <w:t>prueba,</w:t>
      </w:r>
      <w:r>
        <w:rPr>
          <w:spacing w:val="-6"/>
          <w:sz w:val="16"/>
        </w:rPr>
        <w:t xml:space="preserve"> </w:t>
      </w:r>
      <w:r>
        <w:rPr>
          <w:sz w:val="16"/>
        </w:rPr>
        <w:t>pues</w:t>
      </w:r>
      <w:r>
        <w:rPr>
          <w:spacing w:val="-5"/>
          <w:sz w:val="16"/>
        </w:rPr>
        <w:t xml:space="preserve"> </w:t>
      </w:r>
      <w:r>
        <w:rPr>
          <w:sz w:val="16"/>
        </w:rPr>
        <w:t>la</w:t>
      </w:r>
      <w:r>
        <w:rPr>
          <w:spacing w:val="-3"/>
          <w:sz w:val="16"/>
        </w:rPr>
        <w:t xml:space="preserve"> </w:t>
      </w:r>
      <w:r>
        <w:rPr>
          <w:sz w:val="16"/>
        </w:rPr>
        <w:t>cancelación</w:t>
      </w:r>
      <w:r>
        <w:rPr>
          <w:spacing w:val="-6"/>
          <w:sz w:val="16"/>
        </w:rPr>
        <w:t xml:space="preserve"> </w:t>
      </w:r>
      <w:r>
        <w:rPr>
          <w:sz w:val="16"/>
        </w:rPr>
        <w:t>del</w:t>
      </w:r>
      <w:r>
        <w:rPr>
          <w:spacing w:val="-8"/>
          <w:sz w:val="16"/>
        </w:rPr>
        <w:t xml:space="preserve"> </w:t>
      </w:r>
      <w:r>
        <w:rPr>
          <w:sz w:val="16"/>
        </w:rPr>
        <w:t>registro</w:t>
      </w:r>
      <w:r>
        <w:rPr>
          <w:spacing w:val="-7"/>
          <w:sz w:val="16"/>
        </w:rPr>
        <w:t xml:space="preserve"> </w:t>
      </w:r>
      <w:r>
        <w:rPr>
          <w:sz w:val="16"/>
        </w:rPr>
        <w:t>de la empresa se dio el 23 de junio de 1999, razón por la cual, la resolución que la ordena no pudo ser emitida con posterioridad,</w:t>
      </w:r>
      <w:r>
        <w:rPr>
          <w:spacing w:val="-3"/>
          <w:sz w:val="16"/>
        </w:rPr>
        <w:t xml:space="preserve"> </w:t>
      </w:r>
      <w:r>
        <w:rPr>
          <w:sz w:val="16"/>
        </w:rPr>
        <w:t>es</w:t>
      </w:r>
      <w:r>
        <w:rPr>
          <w:spacing w:val="-2"/>
          <w:sz w:val="16"/>
        </w:rPr>
        <w:t xml:space="preserve"> </w:t>
      </w:r>
      <w:r>
        <w:rPr>
          <w:sz w:val="16"/>
        </w:rPr>
        <w:t>decir,</w:t>
      </w:r>
      <w:r>
        <w:rPr>
          <w:spacing w:val="-4"/>
          <w:sz w:val="16"/>
        </w:rPr>
        <w:t xml:space="preserve"> </w:t>
      </w:r>
      <w:r>
        <w:rPr>
          <w:sz w:val="16"/>
        </w:rPr>
        <w:t>el</w:t>
      </w:r>
      <w:r>
        <w:rPr>
          <w:spacing w:val="-5"/>
          <w:sz w:val="16"/>
        </w:rPr>
        <w:t xml:space="preserve"> </w:t>
      </w:r>
      <w:r>
        <w:rPr>
          <w:sz w:val="16"/>
        </w:rPr>
        <w:t>6</w:t>
      </w:r>
      <w:r>
        <w:rPr>
          <w:spacing w:val="-2"/>
          <w:sz w:val="16"/>
        </w:rPr>
        <w:t xml:space="preserve"> </w:t>
      </w:r>
      <w:r>
        <w:rPr>
          <w:sz w:val="16"/>
        </w:rPr>
        <w:t>de</w:t>
      </w:r>
      <w:r>
        <w:rPr>
          <w:spacing w:val="-5"/>
          <w:sz w:val="16"/>
        </w:rPr>
        <w:t xml:space="preserve"> </w:t>
      </w:r>
      <w:r>
        <w:rPr>
          <w:sz w:val="16"/>
        </w:rPr>
        <w:t>julio</w:t>
      </w:r>
      <w:r>
        <w:rPr>
          <w:spacing w:val="-2"/>
          <w:sz w:val="16"/>
        </w:rPr>
        <w:t xml:space="preserve"> </w:t>
      </w:r>
      <w:r>
        <w:rPr>
          <w:sz w:val="16"/>
        </w:rPr>
        <w:t>de</w:t>
      </w:r>
      <w:r>
        <w:rPr>
          <w:spacing w:val="-4"/>
          <w:sz w:val="16"/>
        </w:rPr>
        <w:t xml:space="preserve"> </w:t>
      </w:r>
      <w:r>
        <w:rPr>
          <w:sz w:val="16"/>
        </w:rPr>
        <w:t>1999.</w:t>
      </w:r>
      <w:r>
        <w:rPr>
          <w:spacing w:val="-3"/>
          <w:sz w:val="16"/>
        </w:rPr>
        <w:t xml:space="preserve"> </w:t>
      </w:r>
      <w:r>
        <w:rPr>
          <w:sz w:val="16"/>
        </w:rPr>
        <w:t>Así,</w:t>
      </w:r>
      <w:r>
        <w:rPr>
          <w:spacing w:val="-3"/>
          <w:sz w:val="16"/>
        </w:rPr>
        <w:t xml:space="preserve"> </w:t>
      </w:r>
      <w:r>
        <w:rPr>
          <w:sz w:val="16"/>
        </w:rPr>
        <w:t>se</w:t>
      </w:r>
      <w:r>
        <w:rPr>
          <w:spacing w:val="-5"/>
          <w:sz w:val="16"/>
        </w:rPr>
        <w:t xml:space="preserve"> </w:t>
      </w:r>
      <w:r>
        <w:rPr>
          <w:sz w:val="16"/>
        </w:rPr>
        <w:t>considera</w:t>
      </w:r>
      <w:r>
        <w:rPr>
          <w:spacing w:val="-2"/>
          <w:sz w:val="16"/>
        </w:rPr>
        <w:t xml:space="preserve"> </w:t>
      </w:r>
      <w:r>
        <w:rPr>
          <w:sz w:val="16"/>
        </w:rPr>
        <w:t>probable</w:t>
      </w:r>
      <w:r>
        <w:rPr>
          <w:spacing w:val="-5"/>
          <w:sz w:val="16"/>
        </w:rPr>
        <w:t xml:space="preserve"> </w:t>
      </w:r>
      <w:r>
        <w:rPr>
          <w:sz w:val="16"/>
        </w:rPr>
        <w:t>que</w:t>
      </w:r>
      <w:r>
        <w:rPr>
          <w:spacing w:val="-2"/>
          <w:sz w:val="16"/>
        </w:rPr>
        <w:t xml:space="preserve"> </w:t>
      </w:r>
      <w:r>
        <w:rPr>
          <w:sz w:val="16"/>
        </w:rPr>
        <w:t>la</w:t>
      </w:r>
      <w:r>
        <w:rPr>
          <w:spacing w:val="-3"/>
          <w:sz w:val="16"/>
        </w:rPr>
        <w:t xml:space="preserve"> </w:t>
      </w:r>
      <w:r>
        <w:rPr>
          <w:sz w:val="16"/>
        </w:rPr>
        <w:t>fecha</w:t>
      </w:r>
      <w:r>
        <w:rPr>
          <w:spacing w:val="-3"/>
          <w:sz w:val="16"/>
        </w:rPr>
        <w:t xml:space="preserve"> </w:t>
      </w:r>
      <w:r>
        <w:rPr>
          <w:sz w:val="16"/>
        </w:rPr>
        <w:t>real</w:t>
      </w:r>
      <w:r>
        <w:rPr>
          <w:spacing w:val="-5"/>
          <w:sz w:val="16"/>
        </w:rPr>
        <w:t xml:space="preserve"> </w:t>
      </w:r>
      <w:r>
        <w:rPr>
          <w:sz w:val="16"/>
        </w:rPr>
        <w:t>de</w:t>
      </w:r>
      <w:r>
        <w:rPr>
          <w:spacing w:val="-2"/>
          <w:sz w:val="16"/>
        </w:rPr>
        <w:t xml:space="preserve"> </w:t>
      </w:r>
      <w:r>
        <w:rPr>
          <w:sz w:val="16"/>
        </w:rPr>
        <w:t>esta</w:t>
      </w:r>
      <w:r>
        <w:rPr>
          <w:spacing w:val="-6"/>
          <w:sz w:val="16"/>
        </w:rPr>
        <w:t xml:space="preserve"> </w:t>
      </w:r>
      <w:r>
        <w:rPr>
          <w:sz w:val="16"/>
        </w:rPr>
        <w:t>resolución</w:t>
      </w:r>
      <w:r>
        <w:rPr>
          <w:spacing w:val="-3"/>
          <w:sz w:val="16"/>
        </w:rPr>
        <w:t xml:space="preserve"> </w:t>
      </w:r>
      <w:r>
        <w:rPr>
          <w:sz w:val="16"/>
        </w:rPr>
        <w:t>sea</w:t>
      </w:r>
      <w:r>
        <w:rPr>
          <w:spacing w:val="-3"/>
          <w:sz w:val="16"/>
        </w:rPr>
        <w:t xml:space="preserve"> </w:t>
      </w:r>
      <w:r>
        <w:rPr>
          <w:sz w:val="16"/>
        </w:rPr>
        <w:t>el</w:t>
      </w:r>
      <w:r>
        <w:rPr>
          <w:spacing w:val="-3"/>
          <w:sz w:val="16"/>
        </w:rPr>
        <w:t xml:space="preserve"> </w:t>
      </w:r>
      <w:r>
        <w:rPr>
          <w:sz w:val="16"/>
        </w:rPr>
        <w:t xml:space="preserve">6 de junio de 1999. </w:t>
      </w:r>
      <w:r>
        <w:rPr>
          <w:i/>
          <w:sz w:val="16"/>
        </w:rPr>
        <w:t>C</w:t>
      </w:r>
      <w:r>
        <w:rPr>
          <w:i/>
          <w:sz w:val="16"/>
        </w:rPr>
        <w:t xml:space="preserve">fr. </w:t>
      </w:r>
      <w:r>
        <w:rPr>
          <w:sz w:val="16"/>
        </w:rPr>
        <w:t>Resolución del Departamento de Material Bélico del Ministerio de la Defensa de 6 de junio de 1999 (expediente de prueba, folios 53 y 1868 a</w:t>
      </w:r>
      <w:r>
        <w:rPr>
          <w:spacing w:val="-12"/>
          <w:sz w:val="16"/>
        </w:rPr>
        <w:t xml:space="preserve"> </w:t>
      </w:r>
      <w:r>
        <w:rPr>
          <w:sz w:val="16"/>
        </w:rPr>
        <w:t>1869).</w:t>
      </w:r>
    </w:p>
    <w:p w14:paraId="1AE72814" w14:textId="77777777" w:rsidR="00467FCA" w:rsidRDefault="00467FCA">
      <w:pPr>
        <w:jc w:val="both"/>
        <w:rPr>
          <w:sz w:val="16"/>
        </w:rPr>
        <w:sectPr w:rsidR="00467FCA">
          <w:pgSz w:w="12240" w:h="15840"/>
          <w:pgMar w:top="1360" w:right="1320" w:bottom="1220" w:left="1320" w:header="0" w:footer="1037" w:gutter="0"/>
          <w:cols w:space="720"/>
        </w:sectPr>
      </w:pPr>
    </w:p>
    <w:p w14:paraId="30F945AF" w14:textId="77777777" w:rsidR="00467FCA" w:rsidRDefault="001B68EB">
      <w:pPr>
        <w:pStyle w:val="Textoindependiente"/>
        <w:spacing w:before="80"/>
        <w:ind w:left="120" w:right="36"/>
      </w:pPr>
      <w:r>
        <w:t>indebido almacenamiento, al guardar en un mismo depósito clorato de potasio, nitrato de potasio, pólvora negra, pólvora blanca y fuegos artificiales ya elaborados</w:t>
      </w:r>
      <w:hyperlink w:anchor="_bookmark192" w:history="1">
        <w:r>
          <w:rPr>
            <w:position w:val="7"/>
            <w:sz w:val="13"/>
          </w:rPr>
          <w:t>159</w:t>
        </w:r>
      </w:hyperlink>
      <w:r>
        <w:t>.</w:t>
      </w:r>
    </w:p>
    <w:p w14:paraId="65F309D0" w14:textId="77777777" w:rsidR="00467FCA" w:rsidRDefault="00467FCA">
      <w:pPr>
        <w:pStyle w:val="Textoindependiente"/>
      </w:pPr>
    </w:p>
    <w:p w14:paraId="37CC5617" w14:textId="77777777" w:rsidR="00467FCA" w:rsidRDefault="001B68EB">
      <w:pPr>
        <w:pStyle w:val="Prrafodelista"/>
        <w:numPr>
          <w:ilvl w:val="0"/>
          <w:numId w:val="50"/>
        </w:numPr>
        <w:tabs>
          <w:tab w:val="left" w:pos="687"/>
        </w:tabs>
        <w:spacing w:before="1"/>
        <w:ind w:left="119" w:right="118" w:firstLine="0"/>
        <w:jc w:val="both"/>
        <w:rPr>
          <w:sz w:val="20"/>
        </w:rPr>
      </w:pPr>
      <w:r>
        <w:rPr>
          <w:sz w:val="20"/>
        </w:rPr>
        <w:t>En cumplimiento de la Resolución anterior, el 23 de juni</w:t>
      </w:r>
      <w:r>
        <w:rPr>
          <w:sz w:val="20"/>
        </w:rPr>
        <w:t>o de 1999, mediante Decreto No. 013/DMB, el Ministerio del Ejército canceló el Certificado de Registro de la fábrica en cuestión</w:t>
      </w:r>
      <w:r>
        <w:rPr>
          <w:spacing w:val="-12"/>
          <w:sz w:val="20"/>
        </w:rPr>
        <w:t xml:space="preserve"> </w:t>
      </w:r>
      <w:r>
        <w:rPr>
          <w:sz w:val="20"/>
        </w:rPr>
        <w:t>(</w:t>
      </w:r>
      <w:r>
        <w:rPr>
          <w:i/>
          <w:sz w:val="20"/>
        </w:rPr>
        <w:t>supra</w:t>
      </w:r>
      <w:r>
        <w:rPr>
          <w:i/>
          <w:spacing w:val="-13"/>
          <w:sz w:val="20"/>
        </w:rPr>
        <w:t xml:space="preserve"> </w:t>
      </w:r>
      <w:r>
        <w:rPr>
          <w:sz w:val="20"/>
        </w:rPr>
        <w:t>párr.</w:t>
      </w:r>
      <w:r>
        <w:rPr>
          <w:spacing w:val="-13"/>
          <w:sz w:val="20"/>
        </w:rPr>
        <w:t xml:space="preserve"> </w:t>
      </w:r>
      <w:r>
        <w:rPr>
          <w:sz w:val="20"/>
        </w:rPr>
        <w:t>81).</w:t>
      </w:r>
      <w:r>
        <w:rPr>
          <w:spacing w:val="-12"/>
          <w:sz w:val="20"/>
        </w:rPr>
        <w:t xml:space="preserve"> </w:t>
      </w:r>
      <w:r>
        <w:rPr>
          <w:sz w:val="20"/>
        </w:rPr>
        <w:t>El</w:t>
      </w:r>
      <w:r>
        <w:rPr>
          <w:spacing w:val="-12"/>
          <w:sz w:val="20"/>
        </w:rPr>
        <w:t xml:space="preserve"> </w:t>
      </w:r>
      <w:r>
        <w:rPr>
          <w:sz w:val="20"/>
        </w:rPr>
        <w:t>13</w:t>
      </w:r>
      <w:r>
        <w:rPr>
          <w:spacing w:val="-12"/>
          <w:sz w:val="20"/>
        </w:rPr>
        <w:t xml:space="preserve"> </w:t>
      </w:r>
      <w:r>
        <w:rPr>
          <w:sz w:val="20"/>
        </w:rPr>
        <w:t>de</w:t>
      </w:r>
      <w:r>
        <w:rPr>
          <w:spacing w:val="-14"/>
          <w:sz w:val="20"/>
        </w:rPr>
        <w:t xml:space="preserve"> </w:t>
      </w:r>
      <w:r>
        <w:rPr>
          <w:sz w:val="20"/>
        </w:rPr>
        <w:t>octubre</w:t>
      </w:r>
      <w:r>
        <w:rPr>
          <w:spacing w:val="-13"/>
          <w:sz w:val="20"/>
        </w:rPr>
        <w:t xml:space="preserve"> </w:t>
      </w:r>
      <w:r>
        <w:rPr>
          <w:sz w:val="20"/>
        </w:rPr>
        <w:t>de</w:t>
      </w:r>
      <w:r>
        <w:rPr>
          <w:spacing w:val="-14"/>
          <w:sz w:val="20"/>
        </w:rPr>
        <w:t xml:space="preserve"> </w:t>
      </w:r>
      <w:r>
        <w:rPr>
          <w:sz w:val="20"/>
        </w:rPr>
        <w:t>1999,</w:t>
      </w:r>
      <w:r>
        <w:rPr>
          <w:spacing w:val="-13"/>
          <w:sz w:val="20"/>
        </w:rPr>
        <w:t xml:space="preserve"> </w:t>
      </w:r>
      <w:r>
        <w:rPr>
          <w:sz w:val="20"/>
        </w:rPr>
        <w:t>el</w:t>
      </w:r>
      <w:r>
        <w:rPr>
          <w:spacing w:val="-11"/>
          <w:sz w:val="20"/>
        </w:rPr>
        <w:t xml:space="preserve"> </w:t>
      </w:r>
      <w:r>
        <w:rPr>
          <w:sz w:val="20"/>
        </w:rPr>
        <w:t>Comandante</w:t>
      </w:r>
      <w:r>
        <w:rPr>
          <w:spacing w:val="-14"/>
          <w:sz w:val="20"/>
        </w:rPr>
        <w:t xml:space="preserve"> </w:t>
      </w:r>
      <w:r>
        <w:rPr>
          <w:sz w:val="20"/>
        </w:rPr>
        <w:t>de</w:t>
      </w:r>
      <w:r>
        <w:rPr>
          <w:spacing w:val="-14"/>
          <w:sz w:val="20"/>
        </w:rPr>
        <w:t xml:space="preserve"> </w:t>
      </w:r>
      <w:r>
        <w:rPr>
          <w:sz w:val="20"/>
        </w:rPr>
        <w:t>la</w:t>
      </w:r>
      <w:r>
        <w:rPr>
          <w:spacing w:val="-11"/>
          <w:sz w:val="20"/>
        </w:rPr>
        <w:t xml:space="preserve"> </w:t>
      </w:r>
      <w:r>
        <w:rPr>
          <w:sz w:val="20"/>
        </w:rPr>
        <w:t>Sexta</w:t>
      </w:r>
      <w:r>
        <w:rPr>
          <w:spacing w:val="-13"/>
          <w:sz w:val="20"/>
        </w:rPr>
        <w:t xml:space="preserve"> </w:t>
      </w:r>
      <w:r>
        <w:rPr>
          <w:sz w:val="20"/>
        </w:rPr>
        <w:t>Región</w:t>
      </w:r>
      <w:r>
        <w:rPr>
          <w:spacing w:val="-12"/>
          <w:sz w:val="20"/>
        </w:rPr>
        <w:t xml:space="preserve"> </w:t>
      </w:r>
      <w:r>
        <w:rPr>
          <w:sz w:val="20"/>
        </w:rPr>
        <w:t xml:space="preserve">Militar informó al Jefe de Policía Civil de Santo </w:t>
      </w:r>
      <w:r>
        <w:rPr>
          <w:sz w:val="20"/>
        </w:rPr>
        <w:t>Antônio de Jesus que el material encontrado en las naves de fabricación sería destruido y los productos guardados en los almacenes serían incautados para ser inspeccionados y evitar el riesgo de nuevas</w:t>
      </w:r>
      <w:r>
        <w:rPr>
          <w:spacing w:val="-12"/>
          <w:sz w:val="20"/>
        </w:rPr>
        <w:t xml:space="preserve"> </w:t>
      </w:r>
      <w:r>
        <w:rPr>
          <w:sz w:val="20"/>
        </w:rPr>
        <w:t>explosiones</w:t>
      </w:r>
      <w:hyperlink w:anchor="_bookmark193" w:history="1">
        <w:r>
          <w:rPr>
            <w:position w:val="7"/>
            <w:sz w:val="13"/>
          </w:rPr>
          <w:t>160</w:t>
        </w:r>
      </w:hyperlink>
      <w:r>
        <w:rPr>
          <w:sz w:val="20"/>
        </w:rPr>
        <w:t>.</w:t>
      </w:r>
    </w:p>
    <w:p w14:paraId="350F8EEA" w14:textId="77777777" w:rsidR="00467FCA" w:rsidRDefault="00467FCA">
      <w:pPr>
        <w:pStyle w:val="Textoindependiente"/>
      </w:pPr>
    </w:p>
    <w:p w14:paraId="30EA89B1" w14:textId="77777777" w:rsidR="00467FCA" w:rsidRDefault="001B68EB">
      <w:pPr>
        <w:pStyle w:val="Ttulo1"/>
        <w:numPr>
          <w:ilvl w:val="0"/>
          <w:numId w:val="44"/>
        </w:numPr>
        <w:tabs>
          <w:tab w:val="left" w:pos="840"/>
        </w:tabs>
        <w:ind w:left="839"/>
      </w:pPr>
      <w:bookmarkStart w:id="224" w:name="E._Marco_normativo_vigente_para_la_fecha"/>
      <w:bookmarkStart w:id="225" w:name="_bookmark190"/>
      <w:bookmarkEnd w:id="224"/>
      <w:bookmarkEnd w:id="225"/>
      <w:r>
        <w:t>Marco</w:t>
      </w:r>
      <w:r>
        <w:t xml:space="preserve"> normativo vigente para la fecha de los</w:t>
      </w:r>
      <w:r>
        <w:rPr>
          <w:spacing w:val="-7"/>
        </w:rPr>
        <w:t xml:space="preserve"> </w:t>
      </w:r>
      <w:r>
        <w:t>hechos</w:t>
      </w:r>
    </w:p>
    <w:p w14:paraId="30B1073F" w14:textId="77777777" w:rsidR="00467FCA" w:rsidRDefault="00467FCA">
      <w:pPr>
        <w:pStyle w:val="Textoindependiente"/>
        <w:spacing w:before="10"/>
        <w:rPr>
          <w:b/>
          <w:sz w:val="19"/>
        </w:rPr>
      </w:pPr>
    </w:p>
    <w:p w14:paraId="126FBB5B" w14:textId="77777777" w:rsidR="00467FCA" w:rsidRDefault="001B68EB">
      <w:pPr>
        <w:pStyle w:val="Ttulo2"/>
        <w:numPr>
          <w:ilvl w:val="1"/>
          <w:numId w:val="44"/>
        </w:numPr>
        <w:tabs>
          <w:tab w:val="left" w:pos="1560"/>
        </w:tabs>
        <w:spacing w:before="1"/>
        <w:ind w:left="1559" w:hanging="721"/>
        <w:jc w:val="both"/>
      </w:pPr>
      <w:bookmarkStart w:id="226" w:name="E.1__En_relación_con_el_control_de_activ"/>
      <w:bookmarkStart w:id="227" w:name="_bookmark191"/>
      <w:bookmarkEnd w:id="226"/>
      <w:bookmarkEnd w:id="227"/>
      <w:r>
        <w:t>En relación con el control de actividades</w:t>
      </w:r>
      <w:r>
        <w:rPr>
          <w:spacing w:val="-8"/>
        </w:rPr>
        <w:t xml:space="preserve"> </w:t>
      </w:r>
      <w:r>
        <w:t>peligrosas</w:t>
      </w:r>
    </w:p>
    <w:p w14:paraId="63733FC3" w14:textId="77777777" w:rsidR="00467FCA" w:rsidRDefault="00467FCA">
      <w:pPr>
        <w:pStyle w:val="Textoindependiente"/>
        <w:spacing w:before="1"/>
        <w:rPr>
          <w:b/>
          <w:i/>
        </w:rPr>
      </w:pPr>
    </w:p>
    <w:p w14:paraId="57621466" w14:textId="77777777" w:rsidR="00467FCA" w:rsidRDefault="001B68EB">
      <w:pPr>
        <w:pStyle w:val="Prrafodelista"/>
        <w:numPr>
          <w:ilvl w:val="0"/>
          <w:numId w:val="50"/>
        </w:numPr>
        <w:tabs>
          <w:tab w:val="left" w:pos="687"/>
        </w:tabs>
        <w:ind w:left="119" w:right="119" w:hanging="1"/>
        <w:jc w:val="both"/>
        <w:rPr>
          <w:sz w:val="20"/>
        </w:rPr>
      </w:pPr>
      <w:r>
        <w:rPr>
          <w:sz w:val="20"/>
        </w:rPr>
        <w:t>La</w:t>
      </w:r>
      <w:r>
        <w:rPr>
          <w:spacing w:val="-6"/>
          <w:sz w:val="20"/>
        </w:rPr>
        <w:t xml:space="preserve"> </w:t>
      </w:r>
      <w:r>
        <w:rPr>
          <w:sz w:val="20"/>
        </w:rPr>
        <w:t>actividad</w:t>
      </w:r>
      <w:r>
        <w:rPr>
          <w:spacing w:val="-6"/>
          <w:sz w:val="20"/>
        </w:rPr>
        <w:t xml:space="preserve"> </w:t>
      </w:r>
      <w:r>
        <w:rPr>
          <w:sz w:val="20"/>
        </w:rPr>
        <w:t>de</w:t>
      </w:r>
      <w:r>
        <w:rPr>
          <w:spacing w:val="-5"/>
          <w:sz w:val="20"/>
        </w:rPr>
        <w:t xml:space="preserve"> </w:t>
      </w:r>
      <w:r>
        <w:rPr>
          <w:sz w:val="20"/>
        </w:rPr>
        <w:t>fabricación</w:t>
      </w:r>
      <w:r>
        <w:rPr>
          <w:spacing w:val="-5"/>
          <w:sz w:val="20"/>
        </w:rPr>
        <w:t xml:space="preserve"> </w:t>
      </w:r>
      <w:r>
        <w:rPr>
          <w:sz w:val="20"/>
        </w:rPr>
        <w:t>de</w:t>
      </w:r>
      <w:r>
        <w:rPr>
          <w:spacing w:val="-7"/>
          <w:sz w:val="20"/>
        </w:rPr>
        <w:t xml:space="preserve"> </w:t>
      </w:r>
      <w:r>
        <w:rPr>
          <w:sz w:val="20"/>
        </w:rPr>
        <w:t>fuegos</w:t>
      </w:r>
      <w:r>
        <w:rPr>
          <w:spacing w:val="-7"/>
          <w:sz w:val="20"/>
        </w:rPr>
        <w:t xml:space="preserve"> </w:t>
      </w:r>
      <w:r>
        <w:rPr>
          <w:sz w:val="20"/>
        </w:rPr>
        <w:t>artificiales</w:t>
      </w:r>
      <w:r>
        <w:rPr>
          <w:spacing w:val="-5"/>
          <w:sz w:val="20"/>
        </w:rPr>
        <w:t xml:space="preserve"> </w:t>
      </w:r>
      <w:r>
        <w:rPr>
          <w:sz w:val="20"/>
        </w:rPr>
        <w:t>está</w:t>
      </w:r>
      <w:r>
        <w:rPr>
          <w:spacing w:val="-6"/>
          <w:sz w:val="20"/>
        </w:rPr>
        <w:t xml:space="preserve"> </w:t>
      </w:r>
      <w:r>
        <w:rPr>
          <w:sz w:val="20"/>
        </w:rPr>
        <w:t>prevista</w:t>
      </w:r>
      <w:r>
        <w:rPr>
          <w:spacing w:val="-5"/>
          <w:sz w:val="20"/>
        </w:rPr>
        <w:t xml:space="preserve"> </w:t>
      </w:r>
      <w:r>
        <w:rPr>
          <w:sz w:val="20"/>
        </w:rPr>
        <w:t>y</w:t>
      </w:r>
      <w:r>
        <w:rPr>
          <w:spacing w:val="-7"/>
          <w:sz w:val="20"/>
        </w:rPr>
        <w:t xml:space="preserve"> </w:t>
      </w:r>
      <w:r>
        <w:rPr>
          <w:sz w:val="20"/>
        </w:rPr>
        <w:t>definida</w:t>
      </w:r>
      <w:r>
        <w:rPr>
          <w:spacing w:val="-6"/>
          <w:sz w:val="20"/>
        </w:rPr>
        <w:t xml:space="preserve"> </w:t>
      </w:r>
      <w:r>
        <w:rPr>
          <w:sz w:val="20"/>
        </w:rPr>
        <w:t>bajo</w:t>
      </w:r>
      <w:r>
        <w:rPr>
          <w:spacing w:val="-7"/>
          <w:sz w:val="20"/>
        </w:rPr>
        <w:t xml:space="preserve"> </w:t>
      </w:r>
      <w:r>
        <w:rPr>
          <w:sz w:val="20"/>
        </w:rPr>
        <w:t>el</w:t>
      </w:r>
      <w:r>
        <w:rPr>
          <w:spacing w:val="-5"/>
          <w:sz w:val="20"/>
        </w:rPr>
        <w:t xml:space="preserve"> </w:t>
      </w:r>
      <w:r>
        <w:rPr>
          <w:sz w:val="20"/>
        </w:rPr>
        <w:t>número 8121-05 en el Código Brasileño de Profesiones</w:t>
      </w:r>
      <w:hyperlink w:anchor="_bookmark194" w:history="1">
        <w:r>
          <w:rPr>
            <w:position w:val="7"/>
            <w:sz w:val="13"/>
          </w:rPr>
          <w:t>161</w:t>
        </w:r>
      </w:hyperlink>
      <w:r>
        <w:rPr>
          <w:sz w:val="20"/>
        </w:rPr>
        <w:t>; el trabajador del sector recibe el nombre genérico de</w:t>
      </w:r>
      <w:r>
        <w:rPr>
          <w:spacing w:val="-1"/>
          <w:sz w:val="20"/>
        </w:rPr>
        <w:t xml:space="preserve"> </w:t>
      </w:r>
      <w:r>
        <w:rPr>
          <w:sz w:val="20"/>
        </w:rPr>
        <w:t>pirotécnico.</w:t>
      </w:r>
    </w:p>
    <w:p w14:paraId="68B570DB" w14:textId="77777777" w:rsidR="00467FCA" w:rsidRDefault="00467FCA">
      <w:pPr>
        <w:pStyle w:val="Textoindependiente"/>
        <w:spacing w:before="11"/>
        <w:rPr>
          <w:sz w:val="19"/>
        </w:rPr>
      </w:pPr>
    </w:p>
    <w:p w14:paraId="13B77FAA" w14:textId="77777777" w:rsidR="00467FCA" w:rsidRDefault="001B68EB">
      <w:pPr>
        <w:pStyle w:val="Prrafodelista"/>
        <w:numPr>
          <w:ilvl w:val="0"/>
          <w:numId w:val="50"/>
        </w:numPr>
        <w:tabs>
          <w:tab w:val="left" w:pos="687"/>
        </w:tabs>
        <w:spacing w:before="1"/>
        <w:ind w:left="119" w:right="118" w:firstLine="0"/>
        <w:jc w:val="both"/>
        <w:rPr>
          <w:sz w:val="20"/>
        </w:rPr>
      </w:pPr>
      <w:r>
        <w:rPr>
          <w:sz w:val="20"/>
        </w:rPr>
        <w:t xml:space="preserve">En Brasil existía, para la fecha de los hechos, una reglamentación sobre el control de actividades </w:t>
      </w:r>
      <w:r>
        <w:rPr>
          <w:sz w:val="20"/>
        </w:rPr>
        <w:t>peligrosas. Así, el Decreto No. 55.649 de 28 de enero de 1965</w:t>
      </w:r>
      <w:hyperlink w:anchor="_bookmark195" w:history="1">
        <w:r>
          <w:rPr>
            <w:position w:val="7"/>
            <w:sz w:val="13"/>
          </w:rPr>
          <w:t>162</w:t>
        </w:r>
      </w:hyperlink>
      <w:r>
        <w:rPr>
          <w:position w:val="7"/>
          <w:sz w:val="13"/>
        </w:rPr>
        <w:t xml:space="preserve"> </w:t>
      </w:r>
      <w:r>
        <w:rPr>
          <w:sz w:val="20"/>
        </w:rPr>
        <w:t>disponía, en su artículo 11, que era responsabilidad del Ministerio de la Guerra autorizar la producción y fiscalizar el comercio de productos controlados, inc</w:t>
      </w:r>
      <w:r>
        <w:rPr>
          <w:sz w:val="20"/>
        </w:rPr>
        <w:t>luidos los fuegos artificiales, y que esta tarea,</w:t>
      </w:r>
      <w:r>
        <w:rPr>
          <w:spacing w:val="-6"/>
          <w:sz w:val="20"/>
        </w:rPr>
        <w:t xml:space="preserve"> </w:t>
      </w:r>
      <w:r>
        <w:rPr>
          <w:sz w:val="20"/>
        </w:rPr>
        <w:t>conforme</w:t>
      </w:r>
      <w:r>
        <w:rPr>
          <w:spacing w:val="-6"/>
          <w:sz w:val="20"/>
        </w:rPr>
        <w:t xml:space="preserve"> </w:t>
      </w:r>
      <w:r>
        <w:rPr>
          <w:sz w:val="20"/>
        </w:rPr>
        <w:t>al</w:t>
      </w:r>
      <w:r>
        <w:rPr>
          <w:spacing w:val="-8"/>
          <w:sz w:val="20"/>
        </w:rPr>
        <w:t xml:space="preserve"> </w:t>
      </w:r>
      <w:r>
        <w:rPr>
          <w:sz w:val="20"/>
        </w:rPr>
        <w:t>artículo</w:t>
      </w:r>
      <w:r>
        <w:rPr>
          <w:spacing w:val="-8"/>
          <w:sz w:val="20"/>
        </w:rPr>
        <w:t xml:space="preserve"> </w:t>
      </w:r>
      <w:r>
        <w:rPr>
          <w:sz w:val="20"/>
        </w:rPr>
        <w:t>4</w:t>
      </w:r>
      <w:r>
        <w:rPr>
          <w:spacing w:val="-7"/>
          <w:sz w:val="20"/>
        </w:rPr>
        <w:t xml:space="preserve"> </w:t>
      </w:r>
      <w:r>
        <w:rPr>
          <w:sz w:val="20"/>
        </w:rPr>
        <w:t>de</w:t>
      </w:r>
      <w:r>
        <w:rPr>
          <w:spacing w:val="-8"/>
          <w:sz w:val="20"/>
        </w:rPr>
        <w:t xml:space="preserve"> </w:t>
      </w:r>
      <w:r>
        <w:rPr>
          <w:sz w:val="20"/>
        </w:rPr>
        <w:t>la</w:t>
      </w:r>
      <w:r>
        <w:rPr>
          <w:spacing w:val="-5"/>
          <w:sz w:val="20"/>
        </w:rPr>
        <w:t xml:space="preserve"> </w:t>
      </w:r>
      <w:r>
        <w:rPr>
          <w:sz w:val="20"/>
        </w:rPr>
        <w:t>misma</w:t>
      </w:r>
      <w:r>
        <w:rPr>
          <w:spacing w:val="-4"/>
          <w:sz w:val="20"/>
        </w:rPr>
        <w:t xml:space="preserve"> </w:t>
      </w:r>
      <w:r>
        <w:rPr>
          <w:sz w:val="20"/>
        </w:rPr>
        <w:t>legislación,</w:t>
      </w:r>
      <w:r>
        <w:rPr>
          <w:spacing w:val="-5"/>
          <w:sz w:val="20"/>
        </w:rPr>
        <w:t xml:space="preserve"> </w:t>
      </w:r>
      <w:r>
        <w:rPr>
          <w:sz w:val="20"/>
        </w:rPr>
        <w:t>podría</w:t>
      </w:r>
      <w:r>
        <w:rPr>
          <w:spacing w:val="-8"/>
          <w:sz w:val="20"/>
        </w:rPr>
        <w:t xml:space="preserve"> </w:t>
      </w:r>
      <w:r>
        <w:rPr>
          <w:sz w:val="20"/>
        </w:rPr>
        <w:t>ser</w:t>
      </w:r>
      <w:r>
        <w:rPr>
          <w:spacing w:val="-8"/>
          <w:sz w:val="20"/>
        </w:rPr>
        <w:t xml:space="preserve"> </w:t>
      </w:r>
      <w:r>
        <w:rPr>
          <w:sz w:val="20"/>
        </w:rPr>
        <w:t>delegada</w:t>
      </w:r>
      <w:r>
        <w:rPr>
          <w:spacing w:val="-8"/>
          <w:sz w:val="20"/>
        </w:rPr>
        <w:t xml:space="preserve"> </w:t>
      </w:r>
      <w:r>
        <w:rPr>
          <w:sz w:val="20"/>
        </w:rPr>
        <w:t>a</w:t>
      </w:r>
      <w:r>
        <w:rPr>
          <w:spacing w:val="-4"/>
          <w:sz w:val="20"/>
        </w:rPr>
        <w:t xml:space="preserve"> </w:t>
      </w:r>
      <w:r>
        <w:rPr>
          <w:sz w:val="20"/>
        </w:rPr>
        <w:t>otros</w:t>
      </w:r>
      <w:r>
        <w:rPr>
          <w:spacing w:val="-6"/>
          <w:sz w:val="20"/>
        </w:rPr>
        <w:t xml:space="preserve"> </w:t>
      </w:r>
      <w:r>
        <w:rPr>
          <w:sz w:val="20"/>
        </w:rPr>
        <w:t>órganos</w:t>
      </w:r>
      <w:r>
        <w:rPr>
          <w:spacing w:val="-8"/>
          <w:sz w:val="20"/>
        </w:rPr>
        <w:t xml:space="preserve"> </w:t>
      </w:r>
      <w:r>
        <w:rPr>
          <w:sz w:val="20"/>
        </w:rPr>
        <w:t>del Gobierno Federal, como los estados o los municipios, mediante</w:t>
      </w:r>
      <w:r>
        <w:rPr>
          <w:spacing w:val="-9"/>
          <w:sz w:val="20"/>
        </w:rPr>
        <w:t xml:space="preserve"> </w:t>
      </w:r>
      <w:r>
        <w:rPr>
          <w:sz w:val="20"/>
        </w:rPr>
        <w:t>convenio.</w:t>
      </w:r>
    </w:p>
    <w:p w14:paraId="01A96B23" w14:textId="77777777" w:rsidR="00467FCA" w:rsidRDefault="00467FCA">
      <w:pPr>
        <w:pStyle w:val="Textoindependiente"/>
      </w:pPr>
    </w:p>
    <w:p w14:paraId="5B7FD10A" w14:textId="77777777" w:rsidR="00467FCA" w:rsidRDefault="001B68EB">
      <w:pPr>
        <w:pStyle w:val="Prrafodelista"/>
        <w:numPr>
          <w:ilvl w:val="0"/>
          <w:numId w:val="50"/>
        </w:numPr>
        <w:tabs>
          <w:tab w:val="left" w:pos="687"/>
        </w:tabs>
        <w:ind w:right="120" w:hanging="1"/>
        <w:jc w:val="both"/>
        <w:rPr>
          <w:sz w:val="20"/>
        </w:rPr>
      </w:pPr>
      <w:r>
        <w:rPr>
          <w:sz w:val="20"/>
        </w:rPr>
        <w:t>El mencionado Decreto establecía, además, que</w:t>
      </w:r>
      <w:r>
        <w:rPr>
          <w:sz w:val="20"/>
        </w:rPr>
        <w:t xml:space="preserve"> el registro era una medida obligatoria y general para las empresas que producían, entre otros, fuegos artificiales, y que el documento</w:t>
      </w:r>
      <w:r>
        <w:rPr>
          <w:spacing w:val="-19"/>
          <w:sz w:val="20"/>
        </w:rPr>
        <w:t xml:space="preserve"> </w:t>
      </w:r>
      <w:r>
        <w:rPr>
          <w:sz w:val="20"/>
        </w:rPr>
        <w:t>que</w:t>
      </w:r>
      <w:r>
        <w:rPr>
          <w:spacing w:val="-19"/>
          <w:sz w:val="20"/>
        </w:rPr>
        <w:t xml:space="preserve"> </w:t>
      </w:r>
      <w:r>
        <w:rPr>
          <w:sz w:val="20"/>
        </w:rPr>
        <w:t>las</w:t>
      </w:r>
      <w:r>
        <w:rPr>
          <w:spacing w:val="-18"/>
          <w:sz w:val="20"/>
        </w:rPr>
        <w:t xml:space="preserve"> </w:t>
      </w:r>
      <w:r>
        <w:rPr>
          <w:sz w:val="20"/>
        </w:rPr>
        <w:t>habilitaba</w:t>
      </w:r>
      <w:r>
        <w:rPr>
          <w:spacing w:val="-16"/>
          <w:sz w:val="20"/>
        </w:rPr>
        <w:t xml:space="preserve"> </w:t>
      </w:r>
      <w:r>
        <w:rPr>
          <w:sz w:val="20"/>
        </w:rPr>
        <w:t>para</w:t>
      </w:r>
      <w:r>
        <w:rPr>
          <w:spacing w:val="-15"/>
          <w:sz w:val="20"/>
        </w:rPr>
        <w:t xml:space="preserve"> </w:t>
      </w:r>
      <w:r>
        <w:rPr>
          <w:sz w:val="20"/>
        </w:rPr>
        <w:t>su</w:t>
      </w:r>
      <w:r>
        <w:rPr>
          <w:spacing w:val="-14"/>
          <w:sz w:val="20"/>
        </w:rPr>
        <w:t xml:space="preserve"> </w:t>
      </w:r>
      <w:r>
        <w:rPr>
          <w:sz w:val="20"/>
        </w:rPr>
        <w:t>funcionamiento</w:t>
      </w:r>
      <w:r>
        <w:rPr>
          <w:spacing w:val="-16"/>
          <w:sz w:val="20"/>
        </w:rPr>
        <w:t xml:space="preserve"> </w:t>
      </w:r>
      <w:r>
        <w:rPr>
          <w:sz w:val="20"/>
        </w:rPr>
        <w:t>era</w:t>
      </w:r>
      <w:r>
        <w:rPr>
          <w:spacing w:val="-15"/>
          <w:sz w:val="20"/>
        </w:rPr>
        <w:t xml:space="preserve"> </w:t>
      </w:r>
      <w:r>
        <w:rPr>
          <w:sz w:val="20"/>
        </w:rPr>
        <w:t>el</w:t>
      </w:r>
      <w:r>
        <w:rPr>
          <w:spacing w:val="-15"/>
          <w:sz w:val="20"/>
        </w:rPr>
        <w:t xml:space="preserve"> </w:t>
      </w:r>
      <w:r>
        <w:rPr>
          <w:sz w:val="20"/>
        </w:rPr>
        <w:t>llamado</w:t>
      </w:r>
      <w:r>
        <w:rPr>
          <w:spacing w:val="-15"/>
          <w:sz w:val="20"/>
        </w:rPr>
        <w:t xml:space="preserve"> </w:t>
      </w:r>
      <w:r>
        <w:rPr>
          <w:sz w:val="20"/>
        </w:rPr>
        <w:t>“Título</w:t>
      </w:r>
      <w:r>
        <w:rPr>
          <w:spacing w:val="-19"/>
          <w:sz w:val="20"/>
        </w:rPr>
        <w:t xml:space="preserve"> </w:t>
      </w:r>
      <w:r>
        <w:rPr>
          <w:sz w:val="20"/>
        </w:rPr>
        <w:t>de</w:t>
      </w:r>
      <w:r>
        <w:rPr>
          <w:spacing w:val="-16"/>
          <w:sz w:val="20"/>
        </w:rPr>
        <w:t xml:space="preserve"> </w:t>
      </w:r>
      <w:r>
        <w:rPr>
          <w:sz w:val="20"/>
        </w:rPr>
        <w:t>Registro”,</w:t>
      </w:r>
      <w:r>
        <w:rPr>
          <w:spacing w:val="-16"/>
          <w:sz w:val="20"/>
        </w:rPr>
        <w:t xml:space="preserve"> </w:t>
      </w:r>
      <w:r>
        <w:rPr>
          <w:sz w:val="20"/>
        </w:rPr>
        <w:t>cuya validez era de tres</w:t>
      </w:r>
      <w:r>
        <w:rPr>
          <w:spacing w:val="-5"/>
          <w:sz w:val="20"/>
        </w:rPr>
        <w:t xml:space="preserve"> </w:t>
      </w:r>
      <w:r>
        <w:rPr>
          <w:sz w:val="20"/>
        </w:rPr>
        <w:t>años</w:t>
      </w:r>
      <w:hyperlink w:anchor="_bookmark196" w:history="1">
        <w:r>
          <w:rPr>
            <w:position w:val="7"/>
            <w:sz w:val="13"/>
          </w:rPr>
          <w:t>163</w:t>
        </w:r>
      </w:hyperlink>
      <w:r>
        <w:rPr>
          <w:sz w:val="20"/>
        </w:rPr>
        <w:t>.</w:t>
      </w:r>
    </w:p>
    <w:p w14:paraId="518356BB" w14:textId="77777777" w:rsidR="00467FCA" w:rsidRDefault="00467FCA">
      <w:pPr>
        <w:pStyle w:val="Textoindependiente"/>
        <w:spacing w:before="11"/>
        <w:rPr>
          <w:sz w:val="19"/>
        </w:rPr>
      </w:pPr>
    </w:p>
    <w:p w14:paraId="36A33108" w14:textId="77777777" w:rsidR="00467FCA" w:rsidRDefault="001B68EB">
      <w:pPr>
        <w:pStyle w:val="Prrafodelista"/>
        <w:numPr>
          <w:ilvl w:val="0"/>
          <w:numId w:val="50"/>
        </w:numPr>
        <w:tabs>
          <w:tab w:val="left" w:pos="687"/>
        </w:tabs>
        <w:ind w:right="120" w:hanging="1"/>
        <w:jc w:val="both"/>
        <w:rPr>
          <w:sz w:val="20"/>
        </w:rPr>
      </w:pPr>
      <w:r>
        <w:rPr>
          <w:sz w:val="20"/>
        </w:rPr>
        <w:t>Además, la legislación imponía al entonces Ministerio de la Guerra las siguientes competencias:</w:t>
      </w:r>
    </w:p>
    <w:p w14:paraId="2D9CC55E" w14:textId="77777777" w:rsidR="00467FCA" w:rsidRDefault="00467FCA">
      <w:pPr>
        <w:pStyle w:val="Textoindependiente"/>
      </w:pPr>
    </w:p>
    <w:p w14:paraId="724C693C" w14:textId="77777777" w:rsidR="00467FCA" w:rsidRDefault="001B68EB">
      <w:pPr>
        <w:ind w:left="751" w:right="869"/>
        <w:jc w:val="both"/>
        <w:rPr>
          <w:sz w:val="16"/>
        </w:rPr>
      </w:pPr>
      <w:r>
        <w:rPr>
          <w:sz w:val="16"/>
        </w:rPr>
        <w:t>a) decidir sobre los productos que han de considerarse como controlados; b) decidir sobre la</w:t>
      </w:r>
      <w:r>
        <w:rPr>
          <w:sz w:val="16"/>
        </w:rPr>
        <w:t>s empresas de registro civil que tienen por finalidad la fabricación, la recuperación, mantenimiento, utilización industrial, manipulación, exportación, importación, almacenamiento y comercio de productos</w:t>
      </w:r>
      <w:r>
        <w:rPr>
          <w:spacing w:val="-11"/>
          <w:sz w:val="16"/>
        </w:rPr>
        <w:t xml:space="preserve"> </w:t>
      </w:r>
      <w:r>
        <w:rPr>
          <w:sz w:val="16"/>
        </w:rPr>
        <w:t>controlados,</w:t>
      </w:r>
      <w:r>
        <w:rPr>
          <w:spacing w:val="-9"/>
          <w:sz w:val="16"/>
        </w:rPr>
        <w:t xml:space="preserve"> </w:t>
      </w:r>
      <w:r>
        <w:rPr>
          <w:sz w:val="16"/>
        </w:rPr>
        <w:t>incluyendo</w:t>
      </w:r>
      <w:r>
        <w:rPr>
          <w:spacing w:val="-8"/>
          <w:sz w:val="16"/>
        </w:rPr>
        <w:t xml:space="preserve"> </w:t>
      </w:r>
      <w:r>
        <w:rPr>
          <w:sz w:val="16"/>
        </w:rPr>
        <w:t>talleres</w:t>
      </w:r>
      <w:r>
        <w:rPr>
          <w:spacing w:val="-10"/>
          <w:sz w:val="16"/>
        </w:rPr>
        <w:t xml:space="preserve"> </w:t>
      </w:r>
      <w:r>
        <w:rPr>
          <w:sz w:val="16"/>
        </w:rPr>
        <w:t>de</w:t>
      </w:r>
      <w:r>
        <w:rPr>
          <w:spacing w:val="-13"/>
          <w:sz w:val="16"/>
        </w:rPr>
        <w:t xml:space="preserve"> </w:t>
      </w:r>
      <w:r>
        <w:rPr>
          <w:sz w:val="16"/>
        </w:rPr>
        <w:t>pirotecnia;</w:t>
      </w:r>
      <w:r>
        <w:rPr>
          <w:spacing w:val="-9"/>
          <w:sz w:val="16"/>
        </w:rPr>
        <w:t xml:space="preserve"> </w:t>
      </w:r>
      <w:r>
        <w:rPr>
          <w:sz w:val="16"/>
        </w:rPr>
        <w:t>c)</w:t>
      </w:r>
      <w:r>
        <w:rPr>
          <w:spacing w:val="-12"/>
          <w:sz w:val="16"/>
        </w:rPr>
        <w:t xml:space="preserve"> </w:t>
      </w:r>
      <w:r>
        <w:rPr>
          <w:sz w:val="16"/>
        </w:rPr>
        <w:t>decidir</w:t>
      </w:r>
      <w:r>
        <w:rPr>
          <w:spacing w:val="-9"/>
          <w:sz w:val="16"/>
        </w:rPr>
        <w:t xml:space="preserve"> </w:t>
      </w:r>
      <w:r>
        <w:rPr>
          <w:sz w:val="16"/>
        </w:rPr>
        <w:t>sobre</w:t>
      </w:r>
      <w:r>
        <w:rPr>
          <w:spacing w:val="-8"/>
          <w:sz w:val="16"/>
        </w:rPr>
        <w:t xml:space="preserve"> </w:t>
      </w:r>
      <w:r>
        <w:rPr>
          <w:sz w:val="16"/>
        </w:rPr>
        <w:t>la</w:t>
      </w:r>
      <w:r>
        <w:rPr>
          <w:spacing w:val="-11"/>
          <w:sz w:val="16"/>
        </w:rPr>
        <w:t xml:space="preserve"> </w:t>
      </w:r>
      <w:r>
        <w:rPr>
          <w:sz w:val="16"/>
        </w:rPr>
        <w:t>cancelación</w:t>
      </w:r>
      <w:r>
        <w:rPr>
          <w:spacing w:val="-11"/>
          <w:sz w:val="16"/>
        </w:rPr>
        <w:t xml:space="preserve"> </w:t>
      </w:r>
      <w:r>
        <w:rPr>
          <w:sz w:val="16"/>
        </w:rPr>
        <w:t>de</w:t>
      </w:r>
      <w:r>
        <w:rPr>
          <w:spacing w:val="-11"/>
          <w:sz w:val="16"/>
        </w:rPr>
        <w:t xml:space="preserve"> </w:t>
      </w:r>
      <w:r>
        <w:rPr>
          <w:sz w:val="16"/>
        </w:rPr>
        <w:t>registros otorgados cuando no cumplen con los requisitos legales y reglamentarios, o aplicar las sanciones establecidas […]; g) inspeccionar la fabricación, recuperación, utilización industrial, manipulación, exportación, im</w:t>
      </w:r>
      <w:r>
        <w:rPr>
          <w:sz w:val="16"/>
        </w:rPr>
        <w:t>portación, despacho de aduanas, almacenamiento, comercio y tráfico de productos controlados</w:t>
      </w:r>
      <w:hyperlink w:anchor="_bookmark197" w:history="1">
        <w:r>
          <w:rPr>
            <w:position w:val="6"/>
            <w:sz w:val="10"/>
          </w:rPr>
          <w:t>164</w:t>
        </w:r>
      </w:hyperlink>
      <w:r>
        <w:rPr>
          <w:sz w:val="16"/>
        </w:rPr>
        <w:t>.</w:t>
      </w:r>
    </w:p>
    <w:p w14:paraId="786E0493" w14:textId="77777777" w:rsidR="00467FCA" w:rsidRDefault="00467FCA">
      <w:pPr>
        <w:pStyle w:val="Textoindependiente"/>
        <w:rPr>
          <w:sz w:val="16"/>
        </w:rPr>
      </w:pPr>
    </w:p>
    <w:p w14:paraId="2FB27D41" w14:textId="77777777" w:rsidR="00467FCA" w:rsidRDefault="001B68EB">
      <w:pPr>
        <w:pStyle w:val="Prrafodelista"/>
        <w:numPr>
          <w:ilvl w:val="0"/>
          <w:numId w:val="50"/>
        </w:numPr>
        <w:tabs>
          <w:tab w:val="left" w:pos="687"/>
        </w:tabs>
        <w:ind w:left="686"/>
        <w:jc w:val="both"/>
        <w:rPr>
          <w:sz w:val="20"/>
        </w:rPr>
      </w:pPr>
      <w:r>
        <w:rPr>
          <w:sz w:val="20"/>
        </w:rPr>
        <w:t>En</w:t>
      </w:r>
      <w:r>
        <w:rPr>
          <w:spacing w:val="-10"/>
          <w:sz w:val="20"/>
        </w:rPr>
        <w:t xml:space="preserve"> </w:t>
      </w:r>
      <w:r>
        <w:rPr>
          <w:sz w:val="20"/>
        </w:rPr>
        <w:t>cuanto</w:t>
      </w:r>
      <w:r>
        <w:rPr>
          <w:spacing w:val="-11"/>
          <w:sz w:val="20"/>
        </w:rPr>
        <w:t xml:space="preserve"> </w:t>
      </w:r>
      <w:r>
        <w:rPr>
          <w:sz w:val="20"/>
        </w:rPr>
        <w:t>a</w:t>
      </w:r>
      <w:r>
        <w:rPr>
          <w:spacing w:val="-10"/>
          <w:sz w:val="20"/>
        </w:rPr>
        <w:t xml:space="preserve"> </w:t>
      </w:r>
      <w:r>
        <w:rPr>
          <w:sz w:val="20"/>
        </w:rPr>
        <w:t>la</w:t>
      </w:r>
      <w:r>
        <w:rPr>
          <w:spacing w:val="-8"/>
          <w:sz w:val="20"/>
        </w:rPr>
        <w:t xml:space="preserve"> </w:t>
      </w:r>
      <w:r>
        <w:rPr>
          <w:sz w:val="20"/>
        </w:rPr>
        <w:t>obligatoriedad</w:t>
      </w:r>
      <w:r>
        <w:rPr>
          <w:spacing w:val="-10"/>
          <w:sz w:val="20"/>
        </w:rPr>
        <w:t xml:space="preserve"> </w:t>
      </w:r>
      <w:r>
        <w:rPr>
          <w:sz w:val="20"/>
        </w:rPr>
        <w:t>del</w:t>
      </w:r>
      <w:r>
        <w:rPr>
          <w:spacing w:val="-10"/>
          <w:sz w:val="20"/>
        </w:rPr>
        <w:t xml:space="preserve"> </w:t>
      </w:r>
      <w:r>
        <w:rPr>
          <w:sz w:val="20"/>
        </w:rPr>
        <w:t>registro</w:t>
      </w:r>
      <w:r>
        <w:rPr>
          <w:spacing w:val="-9"/>
          <w:sz w:val="20"/>
        </w:rPr>
        <w:t xml:space="preserve"> </w:t>
      </w:r>
      <w:r>
        <w:rPr>
          <w:sz w:val="20"/>
        </w:rPr>
        <w:t>y</w:t>
      </w:r>
      <w:r>
        <w:rPr>
          <w:spacing w:val="-9"/>
          <w:sz w:val="20"/>
        </w:rPr>
        <w:t xml:space="preserve"> </w:t>
      </w:r>
      <w:r>
        <w:rPr>
          <w:sz w:val="20"/>
        </w:rPr>
        <w:t>fiscalización</w:t>
      </w:r>
      <w:r>
        <w:rPr>
          <w:spacing w:val="-9"/>
          <w:sz w:val="20"/>
        </w:rPr>
        <w:t xml:space="preserve"> </w:t>
      </w:r>
      <w:r>
        <w:rPr>
          <w:sz w:val="20"/>
        </w:rPr>
        <w:t>por</w:t>
      </w:r>
      <w:r>
        <w:rPr>
          <w:spacing w:val="-11"/>
          <w:sz w:val="20"/>
        </w:rPr>
        <w:t xml:space="preserve"> </w:t>
      </w:r>
      <w:r>
        <w:rPr>
          <w:sz w:val="20"/>
        </w:rPr>
        <w:t>parte</w:t>
      </w:r>
      <w:r>
        <w:rPr>
          <w:spacing w:val="-9"/>
          <w:sz w:val="20"/>
        </w:rPr>
        <w:t xml:space="preserve"> </w:t>
      </w:r>
      <w:r>
        <w:rPr>
          <w:sz w:val="20"/>
        </w:rPr>
        <w:t>del</w:t>
      </w:r>
      <w:r>
        <w:rPr>
          <w:spacing w:val="-7"/>
          <w:sz w:val="20"/>
        </w:rPr>
        <w:t xml:space="preserve"> </w:t>
      </w:r>
      <w:r>
        <w:rPr>
          <w:sz w:val="20"/>
        </w:rPr>
        <w:t>Estado,</w:t>
      </w:r>
      <w:r>
        <w:rPr>
          <w:spacing w:val="-8"/>
          <w:sz w:val="20"/>
        </w:rPr>
        <w:t xml:space="preserve"> </w:t>
      </w:r>
      <w:r>
        <w:rPr>
          <w:sz w:val="20"/>
        </w:rPr>
        <w:t>el</w:t>
      </w:r>
      <w:r>
        <w:rPr>
          <w:spacing w:val="-7"/>
          <w:sz w:val="20"/>
        </w:rPr>
        <w:t xml:space="preserve"> </w:t>
      </w:r>
      <w:r>
        <w:rPr>
          <w:sz w:val="20"/>
        </w:rPr>
        <w:t>Decreto</w:t>
      </w:r>
    </w:p>
    <w:p w14:paraId="6D7BF835" w14:textId="77777777" w:rsidR="00467FCA" w:rsidRDefault="001B68EB">
      <w:pPr>
        <w:pStyle w:val="Textoindependiente"/>
        <w:spacing w:before="9"/>
        <w:rPr>
          <w:sz w:val="21"/>
        </w:rPr>
      </w:pPr>
      <w:r>
        <w:pict w14:anchorId="399120DB">
          <v:shape id="_x0000_s1169" style="position:absolute;margin-left:1in;margin-top:15.5pt;width:2in;height:.1pt;z-index:-251630592;mso-wrap-distance-left:0;mso-wrap-distance-right:0;mso-position-horizontal-relative:page" coordorigin="1440,310" coordsize="2880,0" path="m1440,310r2880,e" filled="f" strokeweight=".6pt">
            <v:path arrowok="t"/>
            <w10:wrap type="topAndBottom" anchorx="page"/>
          </v:shape>
        </w:pict>
      </w:r>
    </w:p>
    <w:p w14:paraId="47EE020A" w14:textId="77777777" w:rsidR="00467FCA" w:rsidRDefault="001B68EB">
      <w:pPr>
        <w:tabs>
          <w:tab w:val="left" w:pos="839"/>
        </w:tabs>
        <w:spacing w:before="74"/>
        <w:ind w:left="120"/>
        <w:jc w:val="both"/>
        <w:rPr>
          <w:i/>
          <w:sz w:val="16"/>
        </w:rPr>
      </w:pPr>
      <w:bookmarkStart w:id="228" w:name="_bookmark192"/>
      <w:bookmarkEnd w:id="228"/>
      <w:r>
        <w:rPr>
          <w:position w:val="6"/>
          <w:sz w:val="10"/>
        </w:rPr>
        <w:t>159</w:t>
      </w:r>
      <w:r>
        <w:rPr>
          <w:position w:val="6"/>
          <w:sz w:val="10"/>
        </w:rPr>
        <w:tab/>
      </w:r>
      <w:bookmarkStart w:id="229" w:name="_bookmark193"/>
      <w:bookmarkEnd w:id="229"/>
      <w:r>
        <w:rPr>
          <w:i/>
          <w:sz w:val="16"/>
        </w:rPr>
        <w:t xml:space="preserve">Cfr. </w:t>
      </w:r>
      <w:r>
        <w:rPr>
          <w:sz w:val="16"/>
        </w:rPr>
        <w:t>Resolución del Departamento de Material Bélico del Ministerio de la Defensa,</w:t>
      </w:r>
      <w:r>
        <w:rPr>
          <w:spacing w:val="-18"/>
          <w:sz w:val="16"/>
        </w:rPr>
        <w:t xml:space="preserve"> </w:t>
      </w:r>
      <w:r>
        <w:rPr>
          <w:i/>
          <w:sz w:val="16"/>
        </w:rPr>
        <w:t>supra.</w:t>
      </w:r>
    </w:p>
    <w:p w14:paraId="10D10BFB" w14:textId="77777777" w:rsidR="00467FCA" w:rsidRDefault="001B68EB">
      <w:pPr>
        <w:tabs>
          <w:tab w:val="left" w:pos="839"/>
        </w:tabs>
        <w:ind w:left="120" w:right="115" w:hanging="1"/>
        <w:jc w:val="both"/>
        <w:rPr>
          <w:sz w:val="16"/>
        </w:rPr>
      </w:pPr>
      <w:r>
        <w:rPr>
          <w:position w:val="6"/>
          <w:sz w:val="10"/>
        </w:rPr>
        <w:t>160</w:t>
      </w:r>
      <w:r>
        <w:rPr>
          <w:position w:val="6"/>
          <w:sz w:val="10"/>
        </w:rPr>
        <w:tab/>
      </w:r>
      <w:r>
        <w:rPr>
          <w:i/>
          <w:sz w:val="16"/>
        </w:rPr>
        <w:t>Cfr.</w:t>
      </w:r>
      <w:r>
        <w:rPr>
          <w:i/>
          <w:spacing w:val="-14"/>
          <w:sz w:val="16"/>
        </w:rPr>
        <w:t xml:space="preserve"> </w:t>
      </w:r>
      <w:r>
        <w:rPr>
          <w:sz w:val="16"/>
        </w:rPr>
        <w:t>Oficio</w:t>
      </w:r>
      <w:r>
        <w:rPr>
          <w:spacing w:val="-14"/>
          <w:sz w:val="16"/>
        </w:rPr>
        <w:t xml:space="preserve"> </w:t>
      </w:r>
      <w:r>
        <w:rPr>
          <w:sz w:val="16"/>
        </w:rPr>
        <w:t>No.</w:t>
      </w:r>
      <w:r>
        <w:rPr>
          <w:spacing w:val="-15"/>
          <w:sz w:val="16"/>
        </w:rPr>
        <w:t xml:space="preserve"> </w:t>
      </w:r>
      <w:r>
        <w:rPr>
          <w:sz w:val="16"/>
        </w:rPr>
        <w:t>592-SFPC/6</w:t>
      </w:r>
      <w:r>
        <w:rPr>
          <w:spacing w:val="-14"/>
          <w:sz w:val="16"/>
        </w:rPr>
        <w:t xml:space="preserve"> </w:t>
      </w:r>
      <w:r>
        <w:rPr>
          <w:sz w:val="16"/>
        </w:rPr>
        <w:t>del</w:t>
      </w:r>
      <w:r>
        <w:rPr>
          <w:spacing w:val="-15"/>
          <w:sz w:val="16"/>
        </w:rPr>
        <w:t xml:space="preserve"> </w:t>
      </w:r>
      <w:r>
        <w:rPr>
          <w:sz w:val="16"/>
        </w:rPr>
        <w:t>Comandante</w:t>
      </w:r>
      <w:r>
        <w:rPr>
          <w:spacing w:val="-14"/>
          <w:sz w:val="16"/>
        </w:rPr>
        <w:t xml:space="preserve"> </w:t>
      </w:r>
      <w:r>
        <w:rPr>
          <w:sz w:val="16"/>
        </w:rPr>
        <w:t>de</w:t>
      </w:r>
      <w:r>
        <w:rPr>
          <w:spacing w:val="-12"/>
          <w:sz w:val="16"/>
        </w:rPr>
        <w:t xml:space="preserve"> </w:t>
      </w:r>
      <w:r>
        <w:rPr>
          <w:sz w:val="16"/>
        </w:rPr>
        <w:t>la</w:t>
      </w:r>
      <w:r>
        <w:rPr>
          <w:spacing w:val="-15"/>
          <w:sz w:val="16"/>
        </w:rPr>
        <w:t xml:space="preserve"> </w:t>
      </w:r>
      <w:r>
        <w:rPr>
          <w:sz w:val="16"/>
        </w:rPr>
        <w:t>Sexta</w:t>
      </w:r>
      <w:r>
        <w:rPr>
          <w:spacing w:val="-15"/>
          <w:sz w:val="16"/>
        </w:rPr>
        <w:t xml:space="preserve"> </w:t>
      </w:r>
      <w:r>
        <w:rPr>
          <w:sz w:val="16"/>
        </w:rPr>
        <w:t>Región</w:t>
      </w:r>
      <w:r>
        <w:rPr>
          <w:spacing w:val="-13"/>
          <w:sz w:val="16"/>
        </w:rPr>
        <w:t xml:space="preserve"> </w:t>
      </w:r>
      <w:r>
        <w:rPr>
          <w:sz w:val="16"/>
        </w:rPr>
        <w:t>Militar,</w:t>
      </w:r>
      <w:r>
        <w:rPr>
          <w:spacing w:val="-14"/>
          <w:sz w:val="16"/>
        </w:rPr>
        <w:t xml:space="preserve"> </w:t>
      </w:r>
      <w:r>
        <w:rPr>
          <w:sz w:val="16"/>
        </w:rPr>
        <w:t>de</w:t>
      </w:r>
      <w:r>
        <w:rPr>
          <w:spacing w:val="-14"/>
          <w:sz w:val="16"/>
        </w:rPr>
        <w:t xml:space="preserve"> </w:t>
      </w:r>
      <w:r>
        <w:rPr>
          <w:sz w:val="16"/>
        </w:rPr>
        <w:t>13</w:t>
      </w:r>
      <w:r>
        <w:rPr>
          <w:spacing w:val="-13"/>
          <w:sz w:val="16"/>
        </w:rPr>
        <w:t xml:space="preserve"> </w:t>
      </w:r>
      <w:r>
        <w:rPr>
          <w:sz w:val="16"/>
        </w:rPr>
        <w:t>de</w:t>
      </w:r>
      <w:r>
        <w:rPr>
          <w:spacing w:val="-14"/>
          <w:sz w:val="16"/>
        </w:rPr>
        <w:t xml:space="preserve"> </w:t>
      </w:r>
      <w:r>
        <w:rPr>
          <w:sz w:val="16"/>
        </w:rPr>
        <w:t>octubre</w:t>
      </w:r>
      <w:r>
        <w:rPr>
          <w:spacing w:val="-14"/>
          <w:sz w:val="16"/>
        </w:rPr>
        <w:t xml:space="preserve"> </w:t>
      </w:r>
      <w:r>
        <w:rPr>
          <w:sz w:val="16"/>
        </w:rPr>
        <w:t>de</w:t>
      </w:r>
      <w:r>
        <w:rPr>
          <w:spacing w:val="-14"/>
          <w:sz w:val="16"/>
        </w:rPr>
        <w:t xml:space="preserve"> </w:t>
      </w:r>
      <w:r>
        <w:rPr>
          <w:sz w:val="16"/>
        </w:rPr>
        <w:t>1999</w:t>
      </w:r>
      <w:r>
        <w:rPr>
          <w:spacing w:val="-14"/>
          <w:sz w:val="16"/>
        </w:rPr>
        <w:t xml:space="preserve"> </w:t>
      </w:r>
      <w:r>
        <w:rPr>
          <w:sz w:val="16"/>
        </w:rPr>
        <w:t>(expediente de pruebas, folio 50 y</w:t>
      </w:r>
      <w:r>
        <w:rPr>
          <w:spacing w:val="-10"/>
          <w:sz w:val="16"/>
        </w:rPr>
        <w:t xml:space="preserve"> </w:t>
      </w:r>
      <w:r>
        <w:rPr>
          <w:sz w:val="16"/>
        </w:rPr>
        <w:t>51).</w:t>
      </w:r>
    </w:p>
    <w:p w14:paraId="3EC56790" w14:textId="77777777" w:rsidR="00467FCA" w:rsidRDefault="001B68EB">
      <w:pPr>
        <w:tabs>
          <w:tab w:val="left" w:pos="839"/>
        </w:tabs>
        <w:ind w:left="120" w:right="112" w:hanging="1"/>
        <w:jc w:val="both"/>
        <w:rPr>
          <w:sz w:val="16"/>
        </w:rPr>
      </w:pPr>
      <w:bookmarkStart w:id="230" w:name="_bookmark194"/>
      <w:bookmarkEnd w:id="230"/>
      <w:r>
        <w:rPr>
          <w:position w:val="6"/>
          <w:sz w:val="10"/>
        </w:rPr>
        <w:t>161</w:t>
      </w:r>
      <w:r>
        <w:rPr>
          <w:position w:val="6"/>
          <w:sz w:val="10"/>
        </w:rPr>
        <w:tab/>
      </w:r>
      <w:r>
        <w:rPr>
          <w:i/>
          <w:sz w:val="16"/>
        </w:rPr>
        <w:t xml:space="preserve">Cfr. </w:t>
      </w:r>
      <w:r>
        <w:rPr>
          <w:sz w:val="16"/>
        </w:rPr>
        <w:t xml:space="preserve">Ministerio del Trabajo. Clasificación Brasileña de Ocupaciones, No. 8121-05: Pirotécnico y 8121-10: Trabajador de fabricación de municiones y explosivos. Disponible en: </w:t>
      </w:r>
      <w:hyperlink r:id="rId18">
        <w:r>
          <w:rPr>
            <w:sz w:val="16"/>
            <w:u w:val="single"/>
          </w:rPr>
          <w:t>http://www.mtecbo.gov.br/cbosite/pages/pesquisas/BuscaPorTituloResultado.jsf</w:t>
        </w:r>
      </w:hyperlink>
      <w:r>
        <w:rPr>
          <w:sz w:val="16"/>
        </w:rPr>
        <w:t>.</w:t>
      </w:r>
      <w:r>
        <w:rPr>
          <w:spacing w:val="-4"/>
          <w:sz w:val="16"/>
        </w:rPr>
        <w:t xml:space="preserve"> </w:t>
      </w:r>
      <w:r>
        <w:rPr>
          <w:sz w:val="16"/>
        </w:rPr>
        <w:t>.</w:t>
      </w:r>
    </w:p>
    <w:p w14:paraId="3622CED0" w14:textId="77777777" w:rsidR="00467FCA" w:rsidRDefault="001B68EB">
      <w:pPr>
        <w:tabs>
          <w:tab w:val="left" w:pos="839"/>
        </w:tabs>
        <w:ind w:left="119" w:right="113"/>
        <w:rPr>
          <w:sz w:val="16"/>
        </w:rPr>
      </w:pPr>
      <w:bookmarkStart w:id="231" w:name="_bookmark195"/>
      <w:bookmarkEnd w:id="231"/>
      <w:r>
        <w:rPr>
          <w:position w:val="6"/>
          <w:sz w:val="10"/>
        </w:rPr>
        <w:t>162</w:t>
      </w:r>
      <w:r>
        <w:rPr>
          <w:position w:val="6"/>
          <w:sz w:val="10"/>
        </w:rPr>
        <w:tab/>
      </w:r>
      <w:r>
        <w:rPr>
          <w:i/>
          <w:sz w:val="16"/>
        </w:rPr>
        <w:t xml:space="preserve">Cfr. </w:t>
      </w:r>
      <w:r>
        <w:rPr>
          <w:sz w:val="16"/>
        </w:rPr>
        <w:t xml:space="preserve">Decreto No. 55.649 de 28 de enero de 1965. Disponible en: </w:t>
      </w:r>
      <w:hyperlink r:id="rId19">
        <w:r>
          <w:rPr>
            <w:sz w:val="16"/>
            <w:u w:val="single"/>
          </w:rPr>
          <w:t>http://www.planal</w:t>
        </w:r>
        <w:r>
          <w:rPr>
            <w:sz w:val="16"/>
            <w:u w:val="single"/>
          </w:rPr>
          <w:t>to.gov.br/ccivil_03/decreto/Antigos/D55649.htm</w:t>
        </w:r>
      </w:hyperlink>
      <w:r>
        <w:rPr>
          <w:sz w:val="16"/>
        </w:rPr>
        <w:t>. El Decreto No. 55.649 de 28 de enero de 1965 fue</w:t>
      </w:r>
      <w:r>
        <w:rPr>
          <w:spacing w:val="-2"/>
          <w:sz w:val="16"/>
        </w:rPr>
        <w:t xml:space="preserve"> </w:t>
      </w:r>
      <w:r>
        <w:rPr>
          <w:sz w:val="16"/>
        </w:rPr>
        <w:t>revocado</w:t>
      </w:r>
      <w:r>
        <w:rPr>
          <w:spacing w:val="-2"/>
          <w:sz w:val="16"/>
        </w:rPr>
        <w:t xml:space="preserve"> </w:t>
      </w:r>
      <w:r>
        <w:rPr>
          <w:sz w:val="16"/>
        </w:rPr>
        <w:t>por</w:t>
      </w:r>
      <w:r>
        <w:rPr>
          <w:spacing w:val="-1"/>
          <w:sz w:val="16"/>
        </w:rPr>
        <w:t xml:space="preserve"> </w:t>
      </w:r>
      <w:r>
        <w:rPr>
          <w:sz w:val="16"/>
        </w:rPr>
        <w:t>el</w:t>
      </w:r>
      <w:r>
        <w:rPr>
          <w:spacing w:val="-6"/>
          <w:sz w:val="16"/>
        </w:rPr>
        <w:t xml:space="preserve"> </w:t>
      </w:r>
      <w:r>
        <w:rPr>
          <w:sz w:val="16"/>
        </w:rPr>
        <w:t>Decreto</w:t>
      </w:r>
      <w:r>
        <w:rPr>
          <w:spacing w:val="-1"/>
          <w:sz w:val="16"/>
        </w:rPr>
        <w:t xml:space="preserve"> </w:t>
      </w:r>
      <w:r>
        <w:rPr>
          <w:sz w:val="16"/>
        </w:rPr>
        <w:t>No.</w:t>
      </w:r>
      <w:r>
        <w:rPr>
          <w:spacing w:val="-3"/>
          <w:sz w:val="16"/>
        </w:rPr>
        <w:t xml:space="preserve"> </w:t>
      </w:r>
      <w:r>
        <w:rPr>
          <w:sz w:val="16"/>
        </w:rPr>
        <w:t>2.998</w:t>
      </w:r>
      <w:r>
        <w:rPr>
          <w:spacing w:val="-3"/>
          <w:sz w:val="16"/>
        </w:rPr>
        <w:t xml:space="preserve"> </w:t>
      </w:r>
      <w:r>
        <w:rPr>
          <w:sz w:val="16"/>
        </w:rPr>
        <w:t>de</w:t>
      </w:r>
      <w:r>
        <w:rPr>
          <w:spacing w:val="-5"/>
          <w:sz w:val="16"/>
        </w:rPr>
        <w:t xml:space="preserve"> </w:t>
      </w:r>
      <w:r>
        <w:rPr>
          <w:sz w:val="16"/>
        </w:rPr>
        <w:t>23</w:t>
      </w:r>
      <w:r>
        <w:rPr>
          <w:spacing w:val="-4"/>
          <w:sz w:val="16"/>
        </w:rPr>
        <w:t xml:space="preserve"> </w:t>
      </w:r>
      <w:r>
        <w:rPr>
          <w:sz w:val="16"/>
        </w:rPr>
        <w:t>de</w:t>
      </w:r>
      <w:r>
        <w:rPr>
          <w:spacing w:val="-1"/>
          <w:sz w:val="16"/>
        </w:rPr>
        <w:t xml:space="preserve"> </w:t>
      </w:r>
      <w:r>
        <w:rPr>
          <w:sz w:val="16"/>
        </w:rPr>
        <w:t>marzo</w:t>
      </w:r>
      <w:r>
        <w:rPr>
          <w:spacing w:val="-2"/>
          <w:sz w:val="16"/>
        </w:rPr>
        <w:t xml:space="preserve"> </w:t>
      </w:r>
      <w:r>
        <w:rPr>
          <w:sz w:val="16"/>
        </w:rPr>
        <w:t>de</w:t>
      </w:r>
      <w:r>
        <w:rPr>
          <w:spacing w:val="-1"/>
          <w:sz w:val="16"/>
        </w:rPr>
        <w:t xml:space="preserve"> </w:t>
      </w:r>
      <w:r>
        <w:rPr>
          <w:sz w:val="16"/>
        </w:rPr>
        <w:t>1999.</w:t>
      </w:r>
      <w:r>
        <w:rPr>
          <w:spacing w:val="-3"/>
          <w:sz w:val="16"/>
        </w:rPr>
        <w:t xml:space="preserve"> </w:t>
      </w:r>
      <w:r>
        <w:rPr>
          <w:sz w:val="16"/>
        </w:rPr>
        <w:t>A</w:t>
      </w:r>
      <w:r>
        <w:rPr>
          <w:spacing w:val="-1"/>
          <w:sz w:val="16"/>
        </w:rPr>
        <w:t xml:space="preserve"> </w:t>
      </w:r>
      <w:r>
        <w:rPr>
          <w:sz w:val="16"/>
        </w:rPr>
        <w:t>su</w:t>
      </w:r>
      <w:r>
        <w:rPr>
          <w:spacing w:val="-4"/>
          <w:sz w:val="16"/>
        </w:rPr>
        <w:t xml:space="preserve"> </w:t>
      </w:r>
      <w:r>
        <w:rPr>
          <w:sz w:val="16"/>
        </w:rPr>
        <w:t>vez,</w:t>
      </w:r>
      <w:r>
        <w:rPr>
          <w:spacing w:val="-3"/>
          <w:sz w:val="16"/>
        </w:rPr>
        <w:t xml:space="preserve"> </w:t>
      </w:r>
      <w:r>
        <w:rPr>
          <w:sz w:val="16"/>
        </w:rPr>
        <w:t>fue</w:t>
      </w:r>
      <w:r>
        <w:rPr>
          <w:spacing w:val="-1"/>
          <w:sz w:val="16"/>
        </w:rPr>
        <w:t xml:space="preserve"> </w:t>
      </w:r>
      <w:r>
        <w:rPr>
          <w:sz w:val="16"/>
        </w:rPr>
        <w:t>revocado</w:t>
      </w:r>
      <w:r>
        <w:rPr>
          <w:spacing w:val="-2"/>
          <w:sz w:val="16"/>
        </w:rPr>
        <w:t xml:space="preserve"> </w:t>
      </w:r>
      <w:r>
        <w:rPr>
          <w:sz w:val="16"/>
        </w:rPr>
        <w:t>por</w:t>
      </w:r>
      <w:r>
        <w:rPr>
          <w:spacing w:val="-1"/>
          <w:sz w:val="16"/>
        </w:rPr>
        <w:t xml:space="preserve"> </w:t>
      </w:r>
      <w:r>
        <w:rPr>
          <w:sz w:val="16"/>
        </w:rPr>
        <w:t>el</w:t>
      </w:r>
      <w:r>
        <w:rPr>
          <w:spacing w:val="-3"/>
          <w:sz w:val="16"/>
        </w:rPr>
        <w:t xml:space="preserve"> </w:t>
      </w:r>
      <w:r>
        <w:rPr>
          <w:sz w:val="16"/>
        </w:rPr>
        <w:t>Decreto</w:t>
      </w:r>
      <w:r>
        <w:rPr>
          <w:spacing w:val="-1"/>
          <w:sz w:val="16"/>
        </w:rPr>
        <w:t xml:space="preserve"> </w:t>
      </w:r>
      <w:r>
        <w:rPr>
          <w:sz w:val="16"/>
        </w:rPr>
        <w:t>No.</w:t>
      </w:r>
      <w:r>
        <w:rPr>
          <w:spacing w:val="-3"/>
          <w:sz w:val="16"/>
        </w:rPr>
        <w:t xml:space="preserve"> </w:t>
      </w:r>
      <w:r>
        <w:rPr>
          <w:sz w:val="16"/>
        </w:rPr>
        <w:t>3.665</w:t>
      </w:r>
      <w:r>
        <w:rPr>
          <w:spacing w:val="-2"/>
          <w:sz w:val="16"/>
        </w:rPr>
        <w:t xml:space="preserve"> </w:t>
      </w:r>
      <w:r>
        <w:rPr>
          <w:sz w:val="16"/>
        </w:rPr>
        <w:t>de 20 de noviembre de 2000. Este también fue revocado por el Decreto No. 9.493 de 5 de septiembre de 2018, el cual fue revocado por el Decreto No. 10.030 de 30 de septiembre de 2019, vigente a la</w:t>
      </w:r>
      <w:r>
        <w:rPr>
          <w:spacing w:val="-18"/>
          <w:sz w:val="16"/>
        </w:rPr>
        <w:t xml:space="preserve"> </w:t>
      </w:r>
      <w:r>
        <w:rPr>
          <w:sz w:val="16"/>
        </w:rPr>
        <w:t>fecha.</w:t>
      </w:r>
    </w:p>
    <w:p w14:paraId="7064D0AF" w14:textId="77777777" w:rsidR="00467FCA" w:rsidRDefault="001B68EB">
      <w:pPr>
        <w:tabs>
          <w:tab w:val="left" w:pos="839"/>
        </w:tabs>
        <w:spacing w:line="194" w:lineRule="exact"/>
        <w:ind w:left="120"/>
        <w:rPr>
          <w:i/>
          <w:sz w:val="16"/>
        </w:rPr>
      </w:pPr>
      <w:bookmarkStart w:id="232" w:name="_bookmark196"/>
      <w:bookmarkEnd w:id="232"/>
      <w:r>
        <w:rPr>
          <w:position w:val="6"/>
          <w:sz w:val="10"/>
        </w:rPr>
        <w:t>163</w:t>
      </w:r>
      <w:r>
        <w:rPr>
          <w:position w:val="6"/>
          <w:sz w:val="10"/>
        </w:rPr>
        <w:tab/>
      </w:r>
      <w:r>
        <w:rPr>
          <w:i/>
          <w:sz w:val="16"/>
        </w:rPr>
        <w:t xml:space="preserve">Cfr. </w:t>
      </w:r>
      <w:r>
        <w:rPr>
          <w:sz w:val="16"/>
        </w:rPr>
        <w:t xml:space="preserve">Decreto No. 55.649, </w:t>
      </w:r>
      <w:r>
        <w:rPr>
          <w:i/>
          <w:sz w:val="16"/>
        </w:rPr>
        <w:t xml:space="preserve">supra, </w:t>
      </w:r>
      <w:r>
        <w:rPr>
          <w:sz w:val="16"/>
        </w:rPr>
        <w:t>artículos 32 y</w:t>
      </w:r>
      <w:r>
        <w:rPr>
          <w:spacing w:val="-10"/>
          <w:sz w:val="16"/>
        </w:rPr>
        <w:t xml:space="preserve"> </w:t>
      </w:r>
      <w:r>
        <w:rPr>
          <w:sz w:val="16"/>
        </w:rPr>
        <w:t>33</w:t>
      </w:r>
      <w:r>
        <w:rPr>
          <w:i/>
          <w:sz w:val="16"/>
        </w:rPr>
        <w:t>.</w:t>
      </w:r>
    </w:p>
    <w:p w14:paraId="66A6C295" w14:textId="77777777" w:rsidR="00467FCA" w:rsidRDefault="001B68EB">
      <w:pPr>
        <w:tabs>
          <w:tab w:val="left" w:pos="839"/>
        </w:tabs>
        <w:ind w:left="120"/>
        <w:rPr>
          <w:i/>
          <w:sz w:val="16"/>
        </w:rPr>
      </w:pPr>
      <w:bookmarkStart w:id="233" w:name="_bookmark197"/>
      <w:bookmarkEnd w:id="233"/>
      <w:r>
        <w:rPr>
          <w:position w:val="6"/>
          <w:sz w:val="10"/>
        </w:rPr>
        <w:t>164</w:t>
      </w:r>
      <w:r>
        <w:rPr>
          <w:position w:val="6"/>
          <w:sz w:val="10"/>
        </w:rPr>
        <w:tab/>
      </w:r>
      <w:r>
        <w:rPr>
          <w:i/>
          <w:sz w:val="16"/>
        </w:rPr>
        <w:t xml:space="preserve">Cfr. </w:t>
      </w:r>
      <w:r>
        <w:rPr>
          <w:sz w:val="16"/>
        </w:rPr>
        <w:t xml:space="preserve">Decreto No. 55.649, </w:t>
      </w:r>
      <w:r>
        <w:rPr>
          <w:i/>
          <w:sz w:val="16"/>
        </w:rPr>
        <w:t xml:space="preserve">supra, </w:t>
      </w:r>
      <w:r>
        <w:rPr>
          <w:sz w:val="16"/>
        </w:rPr>
        <w:t>artículo</w:t>
      </w:r>
      <w:r>
        <w:rPr>
          <w:spacing w:val="-8"/>
          <w:sz w:val="16"/>
        </w:rPr>
        <w:t xml:space="preserve"> </w:t>
      </w:r>
      <w:r>
        <w:rPr>
          <w:sz w:val="16"/>
        </w:rPr>
        <w:t>21</w:t>
      </w:r>
      <w:r>
        <w:rPr>
          <w:i/>
          <w:sz w:val="16"/>
        </w:rPr>
        <w:t>.</w:t>
      </w:r>
    </w:p>
    <w:p w14:paraId="2683B575" w14:textId="77777777" w:rsidR="00467FCA" w:rsidRDefault="00467FCA">
      <w:pPr>
        <w:rPr>
          <w:sz w:val="16"/>
        </w:rPr>
        <w:sectPr w:rsidR="00467FCA">
          <w:pgSz w:w="12240" w:h="15840"/>
          <w:pgMar w:top="1360" w:right="1320" w:bottom="1220" w:left="1320" w:header="0" w:footer="1037" w:gutter="0"/>
          <w:cols w:space="720"/>
        </w:sectPr>
      </w:pPr>
    </w:p>
    <w:p w14:paraId="25D50F7D" w14:textId="77777777" w:rsidR="00467FCA" w:rsidRDefault="001B68EB">
      <w:pPr>
        <w:pStyle w:val="Textoindependiente"/>
        <w:spacing w:before="80"/>
        <w:ind w:left="120" w:right="36"/>
      </w:pPr>
      <w:r>
        <w:t>55.649</w:t>
      </w:r>
      <w:r>
        <w:rPr>
          <w:spacing w:val="-20"/>
        </w:rPr>
        <w:t xml:space="preserve"> </w:t>
      </w:r>
      <w:r>
        <w:t>señalaba</w:t>
      </w:r>
      <w:r>
        <w:rPr>
          <w:spacing w:val="-21"/>
        </w:rPr>
        <w:t xml:space="preserve"> </w:t>
      </w:r>
      <w:r>
        <w:t>que</w:t>
      </w:r>
      <w:r>
        <w:rPr>
          <w:spacing w:val="-22"/>
        </w:rPr>
        <w:t xml:space="preserve"> </w:t>
      </w:r>
      <w:r>
        <w:t>a</w:t>
      </w:r>
      <w:r>
        <w:rPr>
          <w:spacing w:val="-17"/>
        </w:rPr>
        <w:t xml:space="preserve"> </w:t>
      </w:r>
      <w:r>
        <w:t>cada</w:t>
      </w:r>
      <w:r>
        <w:rPr>
          <w:spacing w:val="-21"/>
        </w:rPr>
        <w:t xml:space="preserve"> </w:t>
      </w:r>
      <w:r>
        <w:t>región</w:t>
      </w:r>
      <w:r>
        <w:rPr>
          <w:spacing w:val="-20"/>
        </w:rPr>
        <w:t xml:space="preserve"> </w:t>
      </w:r>
      <w:r>
        <w:t>militar</w:t>
      </w:r>
      <w:r>
        <w:rPr>
          <w:spacing w:val="-21"/>
        </w:rPr>
        <w:t xml:space="preserve"> </w:t>
      </w:r>
      <w:r>
        <w:t>le</w:t>
      </w:r>
      <w:r>
        <w:rPr>
          <w:spacing w:val="-20"/>
        </w:rPr>
        <w:t xml:space="preserve"> </w:t>
      </w:r>
      <w:r>
        <w:t>correspondía,</w:t>
      </w:r>
      <w:r>
        <w:rPr>
          <w:spacing w:val="-21"/>
        </w:rPr>
        <w:t xml:space="preserve"> </w:t>
      </w:r>
      <w:r>
        <w:t>entre</w:t>
      </w:r>
      <w:r>
        <w:rPr>
          <w:spacing w:val="-20"/>
        </w:rPr>
        <w:t xml:space="preserve"> </w:t>
      </w:r>
      <w:r>
        <w:t>otras,</w:t>
      </w:r>
      <w:r>
        <w:rPr>
          <w:spacing w:val="-18"/>
        </w:rPr>
        <w:t xml:space="preserve"> </w:t>
      </w:r>
      <w:r>
        <w:t>registrar</w:t>
      </w:r>
      <w:r>
        <w:rPr>
          <w:spacing w:val="-20"/>
        </w:rPr>
        <w:t xml:space="preserve"> </w:t>
      </w:r>
      <w:r>
        <w:t>las</w:t>
      </w:r>
      <w:r>
        <w:rPr>
          <w:spacing w:val="-19"/>
        </w:rPr>
        <w:t xml:space="preserve"> </w:t>
      </w:r>
      <w:r>
        <w:t>empresas, llevar a cabo la fiscalización y realizar</w:t>
      </w:r>
      <w:r>
        <w:rPr>
          <w:spacing w:val="-5"/>
        </w:rPr>
        <w:t xml:space="preserve"> </w:t>
      </w:r>
      <w:r>
        <w:t>inspecciones</w:t>
      </w:r>
      <w:hyperlink w:anchor="_bookmark199" w:history="1">
        <w:r>
          <w:rPr>
            <w:position w:val="7"/>
            <w:sz w:val="13"/>
          </w:rPr>
          <w:t>165</w:t>
        </w:r>
      </w:hyperlink>
      <w:r>
        <w:t>.</w:t>
      </w:r>
    </w:p>
    <w:p w14:paraId="79BFFAE9" w14:textId="77777777" w:rsidR="00467FCA" w:rsidRDefault="00467FCA">
      <w:pPr>
        <w:pStyle w:val="Textoindependiente"/>
      </w:pPr>
    </w:p>
    <w:p w14:paraId="5509A7F1" w14:textId="77777777" w:rsidR="00467FCA" w:rsidRDefault="001B68EB">
      <w:pPr>
        <w:pStyle w:val="Prrafodelista"/>
        <w:numPr>
          <w:ilvl w:val="0"/>
          <w:numId w:val="50"/>
        </w:numPr>
        <w:tabs>
          <w:tab w:val="left" w:pos="687"/>
        </w:tabs>
        <w:spacing w:before="1"/>
        <w:ind w:right="118" w:firstLine="0"/>
        <w:jc w:val="both"/>
        <w:rPr>
          <w:sz w:val="20"/>
        </w:rPr>
      </w:pPr>
      <w:r>
        <w:rPr>
          <w:sz w:val="20"/>
        </w:rPr>
        <w:t>Particularmente</w:t>
      </w:r>
      <w:r>
        <w:rPr>
          <w:spacing w:val="-20"/>
          <w:sz w:val="20"/>
        </w:rPr>
        <w:t xml:space="preserve"> </w:t>
      </w:r>
      <w:r>
        <w:rPr>
          <w:sz w:val="20"/>
        </w:rPr>
        <w:t>respecto</w:t>
      </w:r>
      <w:r>
        <w:rPr>
          <w:spacing w:val="-21"/>
          <w:sz w:val="20"/>
        </w:rPr>
        <w:t xml:space="preserve"> </w:t>
      </w:r>
      <w:r>
        <w:rPr>
          <w:sz w:val="20"/>
        </w:rPr>
        <w:t>a</w:t>
      </w:r>
      <w:r>
        <w:rPr>
          <w:spacing w:val="-18"/>
          <w:sz w:val="20"/>
        </w:rPr>
        <w:t xml:space="preserve"> </w:t>
      </w:r>
      <w:r>
        <w:rPr>
          <w:sz w:val="20"/>
        </w:rPr>
        <w:t>fiscalización,</w:t>
      </w:r>
      <w:r>
        <w:rPr>
          <w:spacing w:val="-19"/>
          <w:sz w:val="20"/>
        </w:rPr>
        <w:t xml:space="preserve"> </w:t>
      </w:r>
      <w:r>
        <w:rPr>
          <w:sz w:val="20"/>
        </w:rPr>
        <w:t>el</w:t>
      </w:r>
      <w:r>
        <w:rPr>
          <w:spacing w:val="-17"/>
          <w:sz w:val="20"/>
        </w:rPr>
        <w:t xml:space="preserve"> </w:t>
      </w:r>
      <w:r>
        <w:rPr>
          <w:sz w:val="20"/>
        </w:rPr>
        <w:t>citado</w:t>
      </w:r>
      <w:r>
        <w:rPr>
          <w:spacing w:val="-22"/>
          <w:sz w:val="20"/>
        </w:rPr>
        <w:t xml:space="preserve"> </w:t>
      </w:r>
      <w:r>
        <w:rPr>
          <w:sz w:val="20"/>
        </w:rPr>
        <w:t>Decreto</w:t>
      </w:r>
      <w:r>
        <w:rPr>
          <w:spacing w:val="-19"/>
          <w:sz w:val="20"/>
        </w:rPr>
        <w:t xml:space="preserve"> </w:t>
      </w:r>
      <w:r>
        <w:rPr>
          <w:sz w:val="20"/>
        </w:rPr>
        <w:t>determinaba</w:t>
      </w:r>
      <w:r>
        <w:rPr>
          <w:spacing w:val="-18"/>
          <w:sz w:val="20"/>
        </w:rPr>
        <w:t xml:space="preserve"> </w:t>
      </w:r>
      <w:r>
        <w:rPr>
          <w:sz w:val="20"/>
        </w:rPr>
        <w:t>que</w:t>
      </w:r>
      <w:r>
        <w:rPr>
          <w:spacing w:val="-21"/>
          <w:sz w:val="20"/>
        </w:rPr>
        <w:t xml:space="preserve"> </w:t>
      </w:r>
      <w:r>
        <w:rPr>
          <w:sz w:val="20"/>
        </w:rPr>
        <w:t>la</w:t>
      </w:r>
      <w:r>
        <w:rPr>
          <w:spacing w:val="-18"/>
          <w:sz w:val="20"/>
        </w:rPr>
        <w:t xml:space="preserve"> </w:t>
      </w:r>
      <w:r>
        <w:rPr>
          <w:sz w:val="20"/>
        </w:rPr>
        <w:t>inspección de los depósitos de las fábricas sería llevada a cabo por los departamentos de inspección del Ministerio de la Guerra, en colaboración con la policía civil y los gobiernos municipales. La disposición también atribuía a las policías locales la ve</w:t>
      </w:r>
      <w:r>
        <w:rPr>
          <w:sz w:val="20"/>
        </w:rPr>
        <w:t xml:space="preserve">rificación constante de los inventarios mantenidos en los depósitos, así como la implementación de las determinaciones técnicas y condiciones de seguridad, de modo que cualquier irregularidad se debía comunicar al órgano de fiscalización del Ministerio de </w:t>
      </w:r>
      <w:r>
        <w:rPr>
          <w:sz w:val="20"/>
        </w:rPr>
        <w:t>la</w:t>
      </w:r>
      <w:r>
        <w:rPr>
          <w:spacing w:val="-6"/>
          <w:sz w:val="20"/>
        </w:rPr>
        <w:t xml:space="preserve"> </w:t>
      </w:r>
      <w:r>
        <w:rPr>
          <w:sz w:val="20"/>
        </w:rPr>
        <w:t>Guerra</w:t>
      </w:r>
      <w:hyperlink w:anchor="_bookmark200" w:history="1">
        <w:r>
          <w:rPr>
            <w:position w:val="7"/>
            <w:sz w:val="13"/>
          </w:rPr>
          <w:t>166</w:t>
        </w:r>
      </w:hyperlink>
      <w:r>
        <w:rPr>
          <w:sz w:val="20"/>
        </w:rPr>
        <w:t>.</w:t>
      </w:r>
    </w:p>
    <w:p w14:paraId="6E7CA695" w14:textId="77777777" w:rsidR="00467FCA" w:rsidRDefault="00467FCA">
      <w:pPr>
        <w:pStyle w:val="Textoindependiente"/>
        <w:spacing w:before="11"/>
        <w:rPr>
          <w:sz w:val="19"/>
        </w:rPr>
      </w:pPr>
    </w:p>
    <w:p w14:paraId="3F0FA0C2" w14:textId="77777777" w:rsidR="00467FCA" w:rsidRDefault="001B68EB">
      <w:pPr>
        <w:pStyle w:val="Prrafodelista"/>
        <w:numPr>
          <w:ilvl w:val="0"/>
          <w:numId w:val="50"/>
        </w:numPr>
        <w:tabs>
          <w:tab w:val="left" w:pos="687"/>
        </w:tabs>
        <w:ind w:left="119" w:right="118" w:firstLine="0"/>
        <w:jc w:val="both"/>
        <w:rPr>
          <w:sz w:val="20"/>
        </w:rPr>
      </w:pPr>
      <w:r>
        <w:rPr>
          <w:sz w:val="20"/>
        </w:rPr>
        <w:t>Asimismo, el Decreto 55.649 establecía que, tras la verificación personal, o en vista de denuncias o información sobre la existencia de violaciones a la normativa, delitos u ofensas criminales, la autoridad mi</w:t>
      </w:r>
      <w:r>
        <w:rPr>
          <w:sz w:val="20"/>
        </w:rPr>
        <w:t>litar encargada de inspeccionar los productos controlados por el Ministerio de la Guerra debía proceder a los actos preparatorios para la investigación regular de una eventual</w:t>
      </w:r>
      <w:r>
        <w:rPr>
          <w:spacing w:val="-4"/>
          <w:sz w:val="20"/>
        </w:rPr>
        <w:t xml:space="preserve"> </w:t>
      </w:r>
      <w:r>
        <w:rPr>
          <w:sz w:val="20"/>
        </w:rPr>
        <w:t>infracción</w:t>
      </w:r>
      <w:hyperlink w:anchor="_bookmark201" w:history="1">
        <w:r>
          <w:rPr>
            <w:position w:val="7"/>
            <w:sz w:val="13"/>
          </w:rPr>
          <w:t>167</w:t>
        </w:r>
      </w:hyperlink>
      <w:r>
        <w:rPr>
          <w:sz w:val="20"/>
        </w:rPr>
        <w:t>.</w:t>
      </w:r>
    </w:p>
    <w:p w14:paraId="55970B6A" w14:textId="77777777" w:rsidR="00467FCA" w:rsidRDefault="00467FCA">
      <w:pPr>
        <w:pStyle w:val="Textoindependiente"/>
        <w:spacing w:before="1"/>
      </w:pPr>
    </w:p>
    <w:p w14:paraId="1E9DD2A7" w14:textId="77777777" w:rsidR="00467FCA" w:rsidRDefault="001B68EB">
      <w:pPr>
        <w:pStyle w:val="Prrafodelista"/>
        <w:numPr>
          <w:ilvl w:val="0"/>
          <w:numId w:val="50"/>
        </w:numPr>
        <w:tabs>
          <w:tab w:val="left" w:pos="687"/>
        </w:tabs>
        <w:ind w:left="119" w:right="117" w:firstLine="0"/>
        <w:jc w:val="both"/>
        <w:rPr>
          <w:sz w:val="20"/>
        </w:rPr>
      </w:pPr>
      <w:r>
        <w:rPr>
          <w:sz w:val="20"/>
        </w:rPr>
        <w:t>La legislación del Estado de Bah</w:t>
      </w:r>
      <w:r>
        <w:rPr>
          <w:sz w:val="20"/>
        </w:rPr>
        <w:t>ia también contenía disposiciones en el mismo sentido. En</w:t>
      </w:r>
      <w:r>
        <w:rPr>
          <w:spacing w:val="-8"/>
          <w:sz w:val="20"/>
        </w:rPr>
        <w:t xml:space="preserve"> </w:t>
      </w:r>
      <w:r>
        <w:rPr>
          <w:sz w:val="20"/>
        </w:rPr>
        <w:t>efecto,</w:t>
      </w:r>
      <w:r>
        <w:rPr>
          <w:spacing w:val="-8"/>
          <w:sz w:val="20"/>
        </w:rPr>
        <w:t xml:space="preserve"> </w:t>
      </w:r>
      <w:r>
        <w:rPr>
          <w:sz w:val="20"/>
        </w:rPr>
        <w:t>el</w:t>
      </w:r>
      <w:r>
        <w:rPr>
          <w:spacing w:val="-8"/>
          <w:sz w:val="20"/>
        </w:rPr>
        <w:t xml:space="preserve"> </w:t>
      </w:r>
      <w:r>
        <w:rPr>
          <w:sz w:val="20"/>
        </w:rPr>
        <w:t>Decreto</w:t>
      </w:r>
      <w:r>
        <w:rPr>
          <w:spacing w:val="-10"/>
          <w:sz w:val="20"/>
        </w:rPr>
        <w:t xml:space="preserve"> </w:t>
      </w:r>
      <w:r>
        <w:rPr>
          <w:sz w:val="20"/>
        </w:rPr>
        <w:t>Estatal</w:t>
      </w:r>
      <w:r>
        <w:rPr>
          <w:spacing w:val="-9"/>
          <w:sz w:val="20"/>
        </w:rPr>
        <w:t xml:space="preserve"> </w:t>
      </w:r>
      <w:r>
        <w:rPr>
          <w:sz w:val="20"/>
        </w:rPr>
        <w:t>6.465</w:t>
      </w:r>
      <w:r>
        <w:rPr>
          <w:spacing w:val="-8"/>
          <w:sz w:val="20"/>
        </w:rPr>
        <w:t xml:space="preserve"> </w:t>
      </w:r>
      <w:r>
        <w:rPr>
          <w:sz w:val="20"/>
        </w:rPr>
        <w:t>de</w:t>
      </w:r>
      <w:r>
        <w:rPr>
          <w:spacing w:val="-10"/>
          <w:sz w:val="20"/>
        </w:rPr>
        <w:t xml:space="preserve"> </w:t>
      </w:r>
      <w:r>
        <w:rPr>
          <w:sz w:val="20"/>
        </w:rPr>
        <w:t>1997</w:t>
      </w:r>
      <w:r>
        <w:rPr>
          <w:spacing w:val="-8"/>
          <w:sz w:val="20"/>
        </w:rPr>
        <w:t xml:space="preserve"> </w:t>
      </w:r>
      <w:r>
        <w:rPr>
          <w:sz w:val="20"/>
        </w:rPr>
        <w:t>asignaba</w:t>
      </w:r>
      <w:r>
        <w:rPr>
          <w:spacing w:val="-9"/>
          <w:sz w:val="20"/>
        </w:rPr>
        <w:t xml:space="preserve"> </w:t>
      </w:r>
      <w:r>
        <w:rPr>
          <w:sz w:val="20"/>
        </w:rPr>
        <w:t>a</w:t>
      </w:r>
      <w:r>
        <w:rPr>
          <w:spacing w:val="-9"/>
          <w:sz w:val="20"/>
        </w:rPr>
        <w:t xml:space="preserve"> </w:t>
      </w:r>
      <w:r>
        <w:rPr>
          <w:sz w:val="20"/>
        </w:rPr>
        <w:t>la</w:t>
      </w:r>
      <w:r>
        <w:rPr>
          <w:spacing w:val="-9"/>
          <w:sz w:val="20"/>
        </w:rPr>
        <w:t xml:space="preserve"> </w:t>
      </w:r>
      <w:r>
        <w:rPr>
          <w:sz w:val="20"/>
        </w:rPr>
        <w:t>Secretaría</w:t>
      </w:r>
      <w:r>
        <w:rPr>
          <w:spacing w:val="-9"/>
          <w:sz w:val="20"/>
        </w:rPr>
        <w:t xml:space="preserve"> </w:t>
      </w:r>
      <w:r>
        <w:rPr>
          <w:sz w:val="20"/>
        </w:rPr>
        <w:t>de</w:t>
      </w:r>
      <w:r>
        <w:rPr>
          <w:spacing w:val="-8"/>
          <w:sz w:val="20"/>
        </w:rPr>
        <w:t xml:space="preserve"> </w:t>
      </w:r>
      <w:r>
        <w:rPr>
          <w:sz w:val="20"/>
        </w:rPr>
        <w:t>Seguridad</w:t>
      </w:r>
      <w:r>
        <w:rPr>
          <w:spacing w:val="-8"/>
          <w:sz w:val="20"/>
        </w:rPr>
        <w:t xml:space="preserve"> </w:t>
      </w:r>
      <w:r>
        <w:rPr>
          <w:sz w:val="20"/>
        </w:rPr>
        <w:t>Pública</w:t>
      </w:r>
      <w:r>
        <w:rPr>
          <w:spacing w:val="-9"/>
          <w:sz w:val="20"/>
        </w:rPr>
        <w:t xml:space="preserve"> </w:t>
      </w:r>
      <w:r>
        <w:rPr>
          <w:sz w:val="20"/>
        </w:rPr>
        <w:t>del estado la atribución de autorizar el funcionamiento de establecimientos que producían o comercializaban fuegos artificiales y de inspeccionar la producción, venta, quema y uso de fuegos</w:t>
      </w:r>
      <w:r>
        <w:rPr>
          <w:spacing w:val="-2"/>
          <w:sz w:val="20"/>
        </w:rPr>
        <w:t xml:space="preserve"> </w:t>
      </w:r>
      <w:r>
        <w:rPr>
          <w:sz w:val="20"/>
        </w:rPr>
        <w:t>artificiales</w:t>
      </w:r>
      <w:hyperlink w:anchor="_bookmark202" w:history="1">
        <w:r>
          <w:rPr>
            <w:position w:val="7"/>
            <w:sz w:val="13"/>
          </w:rPr>
          <w:t>168</w:t>
        </w:r>
      </w:hyperlink>
      <w:r>
        <w:rPr>
          <w:sz w:val="20"/>
        </w:rPr>
        <w:t>.</w:t>
      </w:r>
    </w:p>
    <w:p w14:paraId="27A70EC9" w14:textId="77777777" w:rsidR="00467FCA" w:rsidRDefault="00467FCA">
      <w:pPr>
        <w:pStyle w:val="Textoindependiente"/>
        <w:spacing w:before="10"/>
        <w:rPr>
          <w:sz w:val="19"/>
        </w:rPr>
      </w:pPr>
    </w:p>
    <w:p w14:paraId="4EEEFEC0" w14:textId="77777777" w:rsidR="00467FCA" w:rsidRDefault="001B68EB">
      <w:pPr>
        <w:pStyle w:val="Ttulo2"/>
        <w:tabs>
          <w:tab w:val="left" w:pos="1559"/>
        </w:tabs>
        <w:spacing w:before="1"/>
      </w:pPr>
      <w:bookmarkStart w:id="234" w:name="E.2__En_relación_con_el_derecho_al_traba"/>
      <w:bookmarkStart w:id="235" w:name="_bookmark198"/>
      <w:bookmarkEnd w:id="234"/>
      <w:bookmarkEnd w:id="235"/>
      <w:r>
        <w:t>E.2</w:t>
      </w:r>
      <w:r>
        <w:tab/>
        <w:t xml:space="preserve">En relación </w:t>
      </w:r>
      <w:r>
        <w:t>con el derecho al</w:t>
      </w:r>
      <w:r>
        <w:rPr>
          <w:spacing w:val="-8"/>
        </w:rPr>
        <w:t xml:space="preserve"> </w:t>
      </w:r>
      <w:r>
        <w:t>trabajo</w:t>
      </w:r>
    </w:p>
    <w:p w14:paraId="41AFDB66" w14:textId="77777777" w:rsidR="00467FCA" w:rsidRDefault="00467FCA">
      <w:pPr>
        <w:pStyle w:val="Textoindependiente"/>
        <w:spacing w:before="1"/>
        <w:rPr>
          <w:b/>
          <w:i/>
        </w:rPr>
      </w:pPr>
    </w:p>
    <w:p w14:paraId="1280B51E" w14:textId="77777777" w:rsidR="00467FCA" w:rsidRDefault="001B68EB">
      <w:pPr>
        <w:pStyle w:val="Prrafodelista"/>
        <w:numPr>
          <w:ilvl w:val="0"/>
          <w:numId w:val="50"/>
        </w:numPr>
        <w:tabs>
          <w:tab w:val="left" w:pos="687"/>
        </w:tabs>
        <w:ind w:left="119" w:right="121" w:firstLine="0"/>
        <w:jc w:val="both"/>
        <w:rPr>
          <w:sz w:val="20"/>
        </w:rPr>
      </w:pPr>
      <w:r>
        <w:rPr>
          <w:sz w:val="20"/>
        </w:rPr>
        <w:t>La Constitución de la República Federativa de Brasil (en adelante “la Constitución de Brasil” o “la Constitución”)</w:t>
      </w:r>
      <w:hyperlink w:anchor="_bookmark203" w:history="1">
        <w:r>
          <w:rPr>
            <w:position w:val="7"/>
            <w:sz w:val="13"/>
          </w:rPr>
          <w:t>169</w:t>
        </w:r>
      </w:hyperlink>
      <w:r>
        <w:rPr>
          <w:sz w:val="20"/>
        </w:rPr>
        <w:t xml:space="preserve">, promulgada en 1988, se refiere al derecho al trabajo y a las garantías que de </w:t>
      </w:r>
      <w:r>
        <w:rPr>
          <w:sz w:val="20"/>
        </w:rPr>
        <w:t>este se desprenden. En ese sentido señala, en sus artículos 6º y</w:t>
      </w:r>
      <w:r>
        <w:rPr>
          <w:spacing w:val="-25"/>
          <w:sz w:val="20"/>
        </w:rPr>
        <w:t xml:space="preserve"> </w:t>
      </w:r>
      <w:r>
        <w:rPr>
          <w:sz w:val="20"/>
        </w:rPr>
        <w:t>7º:</w:t>
      </w:r>
    </w:p>
    <w:p w14:paraId="6EB10A4D" w14:textId="77777777" w:rsidR="00467FCA" w:rsidRDefault="00467FCA">
      <w:pPr>
        <w:pStyle w:val="Textoindependiente"/>
        <w:spacing w:before="11"/>
        <w:rPr>
          <w:sz w:val="19"/>
        </w:rPr>
      </w:pPr>
    </w:p>
    <w:p w14:paraId="18E513FA" w14:textId="77777777" w:rsidR="00467FCA" w:rsidRDefault="001B68EB">
      <w:pPr>
        <w:ind w:left="751" w:right="870"/>
        <w:jc w:val="both"/>
        <w:rPr>
          <w:sz w:val="16"/>
        </w:rPr>
      </w:pPr>
      <w:r>
        <w:rPr>
          <w:sz w:val="16"/>
        </w:rPr>
        <w:t>Art. 6. Son derechos sociales la educación, la salud, la alimentación, el trabajo, la vivienda, el transporte, el ocio, la seguridad social, la maternidad y la proyección de la infancia,</w:t>
      </w:r>
      <w:r>
        <w:rPr>
          <w:sz w:val="16"/>
        </w:rPr>
        <w:t xml:space="preserve"> la asistencia a los desvalidos, en la forma de esta Constitución.</w:t>
      </w:r>
    </w:p>
    <w:p w14:paraId="273C15CB" w14:textId="77777777" w:rsidR="00467FCA" w:rsidRDefault="00467FCA">
      <w:pPr>
        <w:pStyle w:val="Textoindependiente"/>
        <w:rPr>
          <w:sz w:val="16"/>
        </w:rPr>
      </w:pPr>
    </w:p>
    <w:p w14:paraId="471CDA86" w14:textId="77777777" w:rsidR="00467FCA" w:rsidRDefault="001B68EB">
      <w:pPr>
        <w:ind w:left="751" w:right="868"/>
        <w:jc w:val="both"/>
        <w:rPr>
          <w:sz w:val="16"/>
        </w:rPr>
      </w:pPr>
      <w:r>
        <w:rPr>
          <w:sz w:val="16"/>
        </w:rPr>
        <w:t>Art. 7. Son derechos de los trabajadores urbanos y rurales (…) 4. El salario mínimo (…); 8. El decimotercer</w:t>
      </w:r>
      <w:r>
        <w:rPr>
          <w:spacing w:val="-5"/>
          <w:sz w:val="16"/>
        </w:rPr>
        <w:t xml:space="preserve"> </w:t>
      </w:r>
      <w:r>
        <w:rPr>
          <w:sz w:val="16"/>
        </w:rPr>
        <w:t>salario</w:t>
      </w:r>
      <w:r>
        <w:rPr>
          <w:spacing w:val="-4"/>
          <w:sz w:val="16"/>
        </w:rPr>
        <w:t xml:space="preserve"> </w:t>
      </w:r>
      <w:r>
        <w:rPr>
          <w:sz w:val="16"/>
        </w:rPr>
        <w:t>(…);</w:t>
      </w:r>
      <w:r>
        <w:rPr>
          <w:spacing w:val="-7"/>
          <w:sz w:val="16"/>
        </w:rPr>
        <w:t xml:space="preserve"> </w:t>
      </w:r>
      <w:r>
        <w:rPr>
          <w:sz w:val="16"/>
        </w:rPr>
        <w:t>16.</w:t>
      </w:r>
      <w:r>
        <w:rPr>
          <w:spacing w:val="-8"/>
          <w:sz w:val="16"/>
        </w:rPr>
        <w:t xml:space="preserve"> </w:t>
      </w:r>
      <w:r>
        <w:rPr>
          <w:sz w:val="16"/>
        </w:rPr>
        <w:t>La</w:t>
      </w:r>
      <w:r>
        <w:rPr>
          <w:spacing w:val="-4"/>
          <w:sz w:val="16"/>
        </w:rPr>
        <w:t xml:space="preserve"> </w:t>
      </w:r>
      <w:r>
        <w:rPr>
          <w:sz w:val="16"/>
        </w:rPr>
        <w:t>remuneración</w:t>
      </w:r>
      <w:r>
        <w:rPr>
          <w:spacing w:val="-6"/>
          <w:sz w:val="16"/>
        </w:rPr>
        <w:t xml:space="preserve"> </w:t>
      </w:r>
      <w:r>
        <w:rPr>
          <w:sz w:val="16"/>
        </w:rPr>
        <w:t>por</w:t>
      </w:r>
      <w:r>
        <w:rPr>
          <w:spacing w:val="-6"/>
          <w:sz w:val="16"/>
        </w:rPr>
        <w:t xml:space="preserve"> </w:t>
      </w:r>
      <w:r>
        <w:rPr>
          <w:sz w:val="16"/>
        </w:rPr>
        <w:t>servicio</w:t>
      </w:r>
      <w:r>
        <w:rPr>
          <w:spacing w:val="-8"/>
          <w:sz w:val="16"/>
        </w:rPr>
        <w:t xml:space="preserve"> </w:t>
      </w:r>
      <w:r>
        <w:rPr>
          <w:sz w:val="16"/>
        </w:rPr>
        <w:t>extraordinario</w:t>
      </w:r>
      <w:r>
        <w:rPr>
          <w:spacing w:val="-4"/>
          <w:sz w:val="16"/>
        </w:rPr>
        <w:t xml:space="preserve"> </w:t>
      </w:r>
      <w:r>
        <w:rPr>
          <w:sz w:val="16"/>
        </w:rPr>
        <w:t>(…);</w:t>
      </w:r>
      <w:r>
        <w:rPr>
          <w:spacing w:val="-7"/>
          <w:sz w:val="16"/>
        </w:rPr>
        <w:t xml:space="preserve"> </w:t>
      </w:r>
      <w:r>
        <w:rPr>
          <w:sz w:val="16"/>
        </w:rPr>
        <w:t>(…)</w:t>
      </w:r>
      <w:r>
        <w:rPr>
          <w:spacing w:val="-6"/>
          <w:sz w:val="16"/>
        </w:rPr>
        <w:t xml:space="preserve"> </w:t>
      </w:r>
      <w:r>
        <w:rPr>
          <w:sz w:val="16"/>
        </w:rPr>
        <w:t>22.</w:t>
      </w:r>
      <w:r>
        <w:rPr>
          <w:spacing w:val="-7"/>
          <w:sz w:val="16"/>
        </w:rPr>
        <w:t xml:space="preserve"> </w:t>
      </w:r>
      <w:r>
        <w:rPr>
          <w:sz w:val="16"/>
        </w:rPr>
        <w:t>la</w:t>
      </w:r>
      <w:r>
        <w:rPr>
          <w:spacing w:val="-6"/>
          <w:sz w:val="16"/>
        </w:rPr>
        <w:t xml:space="preserve"> </w:t>
      </w:r>
      <w:r>
        <w:rPr>
          <w:sz w:val="16"/>
        </w:rPr>
        <w:t>reducción de riesgos inherentes al trabajo, por medio de normas de salud, higiene y seguridad; 23. La remuneración adicional por actividades penosas, insalubres o peligrosas (…); 28. el seguro de accidentes (…); 33. La prohibición del trabajo nocturno, pel</w:t>
      </w:r>
      <w:r>
        <w:rPr>
          <w:sz w:val="16"/>
        </w:rPr>
        <w:t>igroso o insalubre a los menores de dieciocho</w:t>
      </w:r>
      <w:r>
        <w:rPr>
          <w:spacing w:val="-5"/>
          <w:sz w:val="16"/>
        </w:rPr>
        <w:t xml:space="preserve"> </w:t>
      </w:r>
      <w:r>
        <w:rPr>
          <w:sz w:val="16"/>
        </w:rPr>
        <w:t>años</w:t>
      </w:r>
      <w:r>
        <w:rPr>
          <w:spacing w:val="-7"/>
          <w:sz w:val="16"/>
        </w:rPr>
        <w:t xml:space="preserve"> </w:t>
      </w:r>
      <w:r>
        <w:rPr>
          <w:sz w:val="16"/>
        </w:rPr>
        <w:t>y</w:t>
      </w:r>
      <w:r>
        <w:rPr>
          <w:spacing w:val="-6"/>
          <w:sz w:val="16"/>
        </w:rPr>
        <w:t xml:space="preserve"> </w:t>
      </w:r>
      <w:r>
        <w:rPr>
          <w:sz w:val="16"/>
        </w:rPr>
        <w:t>de</w:t>
      </w:r>
      <w:r>
        <w:rPr>
          <w:spacing w:val="-7"/>
          <w:sz w:val="16"/>
        </w:rPr>
        <w:t xml:space="preserve"> </w:t>
      </w:r>
      <w:r>
        <w:rPr>
          <w:sz w:val="16"/>
        </w:rPr>
        <w:t>cualquier</w:t>
      </w:r>
      <w:r>
        <w:rPr>
          <w:spacing w:val="-10"/>
          <w:sz w:val="16"/>
        </w:rPr>
        <w:t xml:space="preserve"> </w:t>
      </w:r>
      <w:r>
        <w:rPr>
          <w:sz w:val="16"/>
        </w:rPr>
        <w:t>trabajo</w:t>
      </w:r>
      <w:r>
        <w:rPr>
          <w:spacing w:val="-7"/>
          <w:sz w:val="16"/>
        </w:rPr>
        <w:t xml:space="preserve"> </w:t>
      </w:r>
      <w:r>
        <w:rPr>
          <w:sz w:val="16"/>
        </w:rPr>
        <w:t>a</w:t>
      </w:r>
      <w:r>
        <w:rPr>
          <w:spacing w:val="-8"/>
          <w:sz w:val="16"/>
        </w:rPr>
        <w:t xml:space="preserve"> </w:t>
      </w:r>
      <w:r>
        <w:rPr>
          <w:sz w:val="16"/>
        </w:rPr>
        <w:t>las</w:t>
      </w:r>
      <w:r>
        <w:rPr>
          <w:spacing w:val="-7"/>
          <w:sz w:val="16"/>
        </w:rPr>
        <w:t xml:space="preserve"> </w:t>
      </w:r>
      <w:r>
        <w:rPr>
          <w:sz w:val="16"/>
        </w:rPr>
        <w:t>menores</w:t>
      </w:r>
      <w:r>
        <w:rPr>
          <w:spacing w:val="-7"/>
          <w:sz w:val="16"/>
        </w:rPr>
        <w:t xml:space="preserve"> </w:t>
      </w:r>
      <w:r>
        <w:rPr>
          <w:sz w:val="16"/>
        </w:rPr>
        <w:t>de</w:t>
      </w:r>
      <w:r>
        <w:rPr>
          <w:spacing w:val="-8"/>
          <w:sz w:val="16"/>
        </w:rPr>
        <w:t xml:space="preserve"> </w:t>
      </w:r>
      <w:r>
        <w:rPr>
          <w:sz w:val="16"/>
        </w:rPr>
        <w:t>catorce,</w:t>
      </w:r>
      <w:r>
        <w:rPr>
          <w:spacing w:val="-6"/>
          <w:sz w:val="16"/>
        </w:rPr>
        <w:t xml:space="preserve"> </w:t>
      </w:r>
      <w:r>
        <w:rPr>
          <w:sz w:val="16"/>
        </w:rPr>
        <w:t>salvo</w:t>
      </w:r>
      <w:r>
        <w:rPr>
          <w:spacing w:val="-7"/>
          <w:sz w:val="16"/>
        </w:rPr>
        <w:t xml:space="preserve"> </w:t>
      </w:r>
      <w:r>
        <w:rPr>
          <w:sz w:val="16"/>
        </w:rPr>
        <w:t>en</w:t>
      </w:r>
      <w:r>
        <w:rPr>
          <w:spacing w:val="-8"/>
          <w:sz w:val="16"/>
        </w:rPr>
        <w:t xml:space="preserve"> </w:t>
      </w:r>
      <w:r>
        <w:rPr>
          <w:sz w:val="16"/>
        </w:rPr>
        <w:t>condición</w:t>
      </w:r>
      <w:r>
        <w:rPr>
          <w:spacing w:val="-8"/>
          <w:sz w:val="16"/>
        </w:rPr>
        <w:t xml:space="preserve"> </w:t>
      </w:r>
      <w:r>
        <w:rPr>
          <w:sz w:val="16"/>
        </w:rPr>
        <w:t>de</w:t>
      </w:r>
      <w:r>
        <w:rPr>
          <w:spacing w:val="-8"/>
          <w:sz w:val="16"/>
        </w:rPr>
        <w:t xml:space="preserve"> </w:t>
      </w:r>
      <w:r>
        <w:rPr>
          <w:sz w:val="16"/>
        </w:rPr>
        <w:t>aprendiz</w:t>
      </w:r>
      <w:r>
        <w:rPr>
          <w:spacing w:val="-5"/>
          <w:sz w:val="16"/>
        </w:rPr>
        <w:t xml:space="preserve"> </w:t>
      </w:r>
      <w:r>
        <w:rPr>
          <w:sz w:val="16"/>
        </w:rPr>
        <w:t>(…).</w:t>
      </w:r>
    </w:p>
    <w:p w14:paraId="38F80EFC" w14:textId="77777777" w:rsidR="00467FCA" w:rsidRDefault="00467FCA">
      <w:pPr>
        <w:pStyle w:val="Textoindependiente"/>
        <w:spacing w:before="2"/>
      </w:pPr>
    </w:p>
    <w:p w14:paraId="1F63BE41" w14:textId="77777777" w:rsidR="00467FCA" w:rsidRDefault="001B68EB">
      <w:pPr>
        <w:pStyle w:val="Prrafodelista"/>
        <w:numPr>
          <w:ilvl w:val="0"/>
          <w:numId w:val="50"/>
        </w:numPr>
        <w:tabs>
          <w:tab w:val="left" w:pos="687"/>
        </w:tabs>
        <w:ind w:left="119" w:right="119" w:firstLine="0"/>
        <w:jc w:val="both"/>
        <w:rPr>
          <w:sz w:val="20"/>
        </w:rPr>
      </w:pPr>
      <w:r>
        <w:rPr>
          <w:sz w:val="20"/>
        </w:rPr>
        <w:t>Las</w:t>
      </w:r>
      <w:r>
        <w:rPr>
          <w:spacing w:val="-10"/>
          <w:sz w:val="20"/>
        </w:rPr>
        <w:t xml:space="preserve"> </w:t>
      </w:r>
      <w:r>
        <w:rPr>
          <w:sz w:val="20"/>
        </w:rPr>
        <w:t>normas</w:t>
      </w:r>
      <w:r>
        <w:rPr>
          <w:spacing w:val="-10"/>
          <w:sz w:val="20"/>
        </w:rPr>
        <w:t xml:space="preserve"> </w:t>
      </w:r>
      <w:r>
        <w:rPr>
          <w:sz w:val="20"/>
        </w:rPr>
        <w:t>sociales</w:t>
      </w:r>
      <w:r>
        <w:rPr>
          <w:spacing w:val="-9"/>
          <w:sz w:val="20"/>
        </w:rPr>
        <w:t xml:space="preserve"> </w:t>
      </w:r>
      <w:r>
        <w:rPr>
          <w:sz w:val="20"/>
        </w:rPr>
        <w:t>previstas</w:t>
      </w:r>
      <w:r>
        <w:rPr>
          <w:spacing w:val="-10"/>
          <w:sz w:val="20"/>
        </w:rPr>
        <w:t xml:space="preserve"> </w:t>
      </w:r>
      <w:r>
        <w:rPr>
          <w:sz w:val="20"/>
        </w:rPr>
        <w:t>en</w:t>
      </w:r>
      <w:r>
        <w:rPr>
          <w:spacing w:val="-8"/>
          <w:sz w:val="20"/>
        </w:rPr>
        <w:t xml:space="preserve"> </w:t>
      </w:r>
      <w:r>
        <w:rPr>
          <w:sz w:val="20"/>
        </w:rPr>
        <w:t>la</w:t>
      </w:r>
      <w:r>
        <w:rPr>
          <w:spacing w:val="-9"/>
          <w:sz w:val="20"/>
        </w:rPr>
        <w:t xml:space="preserve"> </w:t>
      </w:r>
      <w:r>
        <w:rPr>
          <w:sz w:val="20"/>
        </w:rPr>
        <w:t>Constitución</w:t>
      </w:r>
      <w:r>
        <w:rPr>
          <w:spacing w:val="-9"/>
          <w:sz w:val="20"/>
        </w:rPr>
        <w:t xml:space="preserve"> </w:t>
      </w:r>
      <w:r>
        <w:rPr>
          <w:sz w:val="20"/>
        </w:rPr>
        <w:t>se</w:t>
      </w:r>
      <w:r>
        <w:rPr>
          <w:spacing w:val="-10"/>
          <w:sz w:val="20"/>
        </w:rPr>
        <w:t xml:space="preserve"> </w:t>
      </w:r>
      <w:r>
        <w:rPr>
          <w:sz w:val="20"/>
        </w:rPr>
        <w:t>reafirman</w:t>
      </w:r>
      <w:r>
        <w:rPr>
          <w:spacing w:val="-8"/>
          <w:sz w:val="20"/>
        </w:rPr>
        <w:t xml:space="preserve"> </w:t>
      </w:r>
      <w:r>
        <w:rPr>
          <w:sz w:val="20"/>
        </w:rPr>
        <w:t>en</w:t>
      </w:r>
      <w:r>
        <w:rPr>
          <w:spacing w:val="-9"/>
          <w:sz w:val="20"/>
        </w:rPr>
        <w:t xml:space="preserve"> </w:t>
      </w:r>
      <w:r>
        <w:rPr>
          <w:sz w:val="20"/>
        </w:rPr>
        <w:t>la</w:t>
      </w:r>
      <w:r>
        <w:rPr>
          <w:spacing w:val="-9"/>
          <w:sz w:val="20"/>
        </w:rPr>
        <w:t xml:space="preserve"> </w:t>
      </w:r>
      <w:r>
        <w:rPr>
          <w:sz w:val="20"/>
        </w:rPr>
        <w:t>Consolidación</w:t>
      </w:r>
      <w:r>
        <w:rPr>
          <w:spacing w:val="-8"/>
          <w:sz w:val="20"/>
        </w:rPr>
        <w:t xml:space="preserve"> </w:t>
      </w:r>
      <w:r>
        <w:rPr>
          <w:sz w:val="20"/>
        </w:rPr>
        <w:t>de</w:t>
      </w:r>
      <w:r>
        <w:rPr>
          <w:spacing w:val="-9"/>
          <w:sz w:val="20"/>
        </w:rPr>
        <w:t xml:space="preserve"> </w:t>
      </w:r>
      <w:r>
        <w:rPr>
          <w:sz w:val="20"/>
        </w:rPr>
        <w:t>las Leyes</w:t>
      </w:r>
      <w:r>
        <w:rPr>
          <w:spacing w:val="-6"/>
          <w:sz w:val="20"/>
        </w:rPr>
        <w:t xml:space="preserve"> </w:t>
      </w:r>
      <w:r>
        <w:rPr>
          <w:sz w:val="20"/>
        </w:rPr>
        <w:t>del</w:t>
      </w:r>
      <w:r>
        <w:rPr>
          <w:spacing w:val="-5"/>
          <w:sz w:val="20"/>
        </w:rPr>
        <w:t xml:space="preserve"> </w:t>
      </w:r>
      <w:r>
        <w:rPr>
          <w:sz w:val="20"/>
        </w:rPr>
        <w:t>Trabajo</w:t>
      </w:r>
      <w:r>
        <w:rPr>
          <w:spacing w:val="-6"/>
          <w:sz w:val="20"/>
        </w:rPr>
        <w:t xml:space="preserve"> </w:t>
      </w:r>
      <w:r>
        <w:rPr>
          <w:sz w:val="20"/>
        </w:rPr>
        <w:t>(en</w:t>
      </w:r>
      <w:r>
        <w:rPr>
          <w:spacing w:val="-7"/>
          <w:sz w:val="20"/>
        </w:rPr>
        <w:t xml:space="preserve"> </w:t>
      </w:r>
      <w:r>
        <w:rPr>
          <w:sz w:val="20"/>
        </w:rPr>
        <w:t>adelante</w:t>
      </w:r>
      <w:r>
        <w:rPr>
          <w:spacing w:val="-8"/>
          <w:sz w:val="20"/>
        </w:rPr>
        <w:t xml:space="preserve"> </w:t>
      </w:r>
      <w:r>
        <w:rPr>
          <w:sz w:val="20"/>
        </w:rPr>
        <w:t>“CLT”)</w:t>
      </w:r>
      <w:hyperlink w:anchor="_bookmark204" w:history="1">
        <w:r>
          <w:rPr>
            <w:position w:val="7"/>
            <w:sz w:val="13"/>
          </w:rPr>
          <w:t>170</w:t>
        </w:r>
      </w:hyperlink>
      <w:r>
        <w:rPr>
          <w:sz w:val="20"/>
        </w:rPr>
        <w:t>,</w:t>
      </w:r>
      <w:r>
        <w:rPr>
          <w:spacing w:val="-8"/>
          <w:sz w:val="20"/>
        </w:rPr>
        <w:t xml:space="preserve"> </w:t>
      </w:r>
      <w:r>
        <w:rPr>
          <w:sz w:val="20"/>
        </w:rPr>
        <w:t>la</w:t>
      </w:r>
      <w:r>
        <w:rPr>
          <w:spacing w:val="-8"/>
          <w:sz w:val="20"/>
        </w:rPr>
        <w:t xml:space="preserve"> </w:t>
      </w:r>
      <w:r>
        <w:rPr>
          <w:sz w:val="20"/>
        </w:rPr>
        <w:t>cual</w:t>
      </w:r>
      <w:r>
        <w:rPr>
          <w:spacing w:val="-5"/>
          <w:sz w:val="20"/>
        </w:rPr>
        <w:t xml:space="preserve"> </w:t>
      </w:r>
      <w:r>
        <w:rPr>
          <w:sz w:val="20"/>
        </w:rPr>
        <w:t>se</w:t>
      </w:r>
      <w:r>
        <w:rPr>
          <w:spacing w:val="-8"/>
          <w:sz w:val="20"/>
        </w:rPr>
        <w:t xml:space="preserve"> </w:t>
      </w:r>
      <w:r>
        <w:rPr>
          <w:sz w:val="20"/>
        </w:rPr>
        <w:t>aplica</w:t>
      </w:r>
      <w:r>
        <w:rPr>
          <w:spacing w:val="-8"/>
          <w:sz w:val="20"/>
        </w:rPr>
        <w:t xml:space="preserve"> </w:t>
      </w:r>
      <w:r>
        <w:rPr>
          <w:sz w:val="20"/>
        </w:rPr>
        <w:t>a</w:t>
      </w:r>
      <w:r>
        <w:rPr>
          <w:spacing w:val="-8"/>
          <w:sz w:val="20"/>
        </w:rPr>
        <w:t xml:space="preserve"> </w:t>
      </w:r>
      <w:r>
        <w:rPr>
          <w:sz w:val="20"/>
        </w:rPr>
        <w:t>todos</w:t>
      </w:r>
      <w:r>
        <w:rPr>
          <w:spacing w:val="-8"/>
          <w:sz w:val="20"/>
        </w:rPr>
        <w:t xml:space="preserve"> </w:t>
      </w:r>
      <w:r>
        <w:rPr>
          <w:sz w:val="20"/>
        </w:rPr>
        <w:t>los</w:t>
      </w:r>
      <w:r>
        <w:rPr>
          <w:spacing w:val="-9"/>
          <w:sz w:val="20"/>
        </w:rPr>
        <w:t xml:space="preserve"> </w:t>
      </w:r>
      <w:r>
        <w:rPr>
          <w:sz w:val="20"/>
        </w:rPr>
        <w:t>trabajadores</w:t>
      </w:r>
      <w:r>
        <w:rPr>
          <w:spacing w:val="-6"/>
          <w:sz w:val="20"/>
        </w:rPr>
        <w:t xml:space="preserve"> </w:t>
      </w:r>
      <w:r>
        <w:rPr>
          <w:sz w:val="20"/>
        </w:rPr>
        <w:t>en</w:t>
      </w:r>
      <w:r>
        <w:rPr>
          <w:spacing w:val="-7"/>
          <w:sz w:val="20"/>
        </w:rPr>
        <w:t xml:space="preserve"> </w:t>
      </w:r>
      <w:r>
        <w:rPr>
          <w:sz w:val="20"/>
        </w:rPr>
        <w:t>el</w:t>
      </w:r>
      <w:r>
        <w:rPr>
          <w:spacing w:val="-6"/>
          <w:sz w:val="20"/>
        </w:rPr>
        <w:t xml:space="preserve"> </w:t>
      </w:r>
      <w:r>
        <w:rPr>
          <w:sz w:val="20"/>
        </w:rPr>
        <w:t>país. En</w:t>
      </w:r>
      <w:r>
        <w:rPr>
          <w:spacing w:val="17"/>
          <w:sz w:val="20"/>
        </w:rPr>
        <w:t xml:space="preserve"> </w:t>
      </w:r>
      <w:r>
        <w:rPr>
          <w:sz w:val="20"/>
        </w:rPr>
        <w:t>efecto,</w:t>
      </w:r>
      <w:r>
        <w:rPr>
          <w:spacing w:val="18"/>
          <w:sz w:val="20"/>
        </w:rPr>
        <w:t xml:space="preserve"> </w:t>
      </w:r>
      <w:r>
        <w:rPr>
          <w:sz w:val="20"/>
        </w:rPr>
        <w:t>la</w:t>
      </w:r>
      <w:r>
        <w:rPr>
          <w:spacing w:val="19"/>
          <w:sz w:val="20"/>
        </w:rPr>
        <w:t xml:space="preserve"> </w:t>
      </w:r>
      <w:r>
        <w:rPr>
          <w:sz w:val="20"/>
        </w:rPr>
        <w:t>CLT</w:t>
      </w:r>
      <w:r>
        <w:rPr>
          <w:spacing w:val="18"/>
          <w:sz w:val="20"/>
        </w:rPr>
        <w:t xml:space="preserve"> </w:t>
      </w:r>
      <w:r>
        <w:rPr>
          <w:sz w:val="20"/>
        </w:rPr>
        <w:t>también</w:t>
      </w:r>
      <w:r>
        <w:rPr>
          <w:spacing w:val="17"/>
          <w:sz w:val="20"/>
        </w:rPr>
        <w:t xml:space="preserve"> </w:t>
      </w:r>
      <w:r>
        <w:rPr>
          <w:sz w:val="20"/>
        </w:rPr>
        <w:t>prevé</w:t>
      </w:r>
      <w:r>
        <w:rPr>
          <w:spacing w:val="20"/>
          <w:sz w:val="20"/>
        </w:rPr>
        <w:t xml:space="preserve"> </w:t>
      </w:r>
      <w:r>
        <w:rPr>
          <w:sz w:val="20"/>
        </w:rPr>
        <w:t>el</w:t>
      </w:r>
      <w:r>
        <w:rPr>
          <w:spacing w:val="19"/>
          <w:sz w:val="20"/>
        </w:rPr>
        <w:t xml:space="preserve"> </w:t>
      </w:r>
      <w:r>
        <w:rPr>
          <w:sz w:val="20"/>
        </w:rPr>
        <w:t>salario</w:t>
      </w:r>
      <w:r>
        <w:rPr>
          <w:spacing w:val="15"/>
          <w:sz w:val="20"/>
        </w:rPr>
        <w:t xml:space="preserve"> </w:t>
      </w:r>
      <w:r>
        <w:rPr>
          <w:sz w:val="20"/>
        </w:rPr>
        <w:t>mínimo</w:t>
      </w:r>
      <w:hyperlink w:anchor="_bookmark205" w:history="1">
        <w:r>
          <w:rPr>
            <w:position w:val="7"/>
            <w:sz w:val="13"/>
          </w:rPr>
          <w:t>171</w:t>
        </w:r>
      </w:hyperlink>
      <w:r>
        <w:rPr>
          <w:sz w:val="20"/>
        </w:rPr>
        <w:t>,</w:t>
      </w:r>
      <w:r>
        <w:rPr>
          <w:spacing w:val="18"/>
          <w:sz w:val="20"/>
        </w:rPr>
        <w:t xml:space="preserve"> </w:t>
      </w:r>
      <w:r>
        <w:rPr>
          <w:sz w:val="20"/>
        </w:rPr>
        <w:t>el</w:t>
      </w:r>
      <w:r>
        <w:rPr>
          <w:spacing w:val="17"/>
          <w:sz w:val="20"/>
        </w:rPr>
        <w:t xml:space="preserve"> </w:t>
      </w:r>
      <w:r>
        <w:rPr>
          <w:sz w:val="20"/>
        </w:rPr>
        <w:t>decimotercer</w:t>
      </w:r>
      <w:r>
        <w:rPr>
          <w:spacing w:val="18"/>
          <w:sz w:val="20"/>
        </w:rPr>
        <w:t xml:space="preserve"> </w:t>
      </w:r>
      <w:r>
        <w:rPr>
          <w:sz w:val="20"/>
        </w:rPr>
        <w:t>salario</w:t>
      </w:r>
      <w:hyperlink w:anchor="_bookmark206" w:history="1">
        <w:r>
          <w:rPr>
            <w:position w:val="7"/>
            <w:sz w:val="13"/>
          </w:rPr>
          <w:t>172</w:t>
        </w:r>
      </w:hyperlink>
      <w:r>
        <w:rPr>
          <w:sz w:val="20"/>
        </w:rPr>
        <w:t>,</w:t>
      </w:r>
      <w:r>
        <w:rPr>
          <w:spacing w:val="18"/>
          <w:sz w:val="20"/>
        </w:rPr>
        <w:t xml:space="preserve"> </w:t>
      </w:r>
      <w:r>
        <w:rPr>
          <w:sz w:val="20"/>
        </w:rPr>
        <w:t>la</w:t>
      </w:r>
    </w:p>
    <w:p w14:paraId="50867BE2" w14:textId="77777777" w:rsidR="00467FCA" w:rsidRDefault="00467FCA">
      <w:pPr>
        <w:pStyle w:val="Textoindependiente"/>
      </w:pPr>
    </w:p>
    <w:p w14:paraId="524B76C0" w14:textId="77777777" w:rsidR="00467FCA" w:rsidRDefault="001B68EB">
      <w:pPr>
        <w:pStyle w:val="Textoindependiente"/>
        <w:spacing w:before="7"/>
        <w:rPr>
          <w:sz w:val="21"/>
        </w:rPr>
      </w:pPr>
      <w:r>
        <w:pict w14:anchorId="0FA654B1">
          <v:shape id="_x0000_s1168" style="position:absolute;margin-left:1in;margin-top:15.4pt;width:2in;height:.1pt;z-index:-251629568;mso-wrap-distance-left:0;mso-wrap-distance-right:0;mso-position-horizontal-relative:page" coordorigin="1440,308" coordsize="2880,0" path="m1440,308r2880,e" filled="f" strokeweight=".6pt">
            <v:path arrowok="t"/>
            <w10:wrap type="topAndBottom" anchorx="page"/>
          </v:shape>
        </w:pict>
      </w:r>
    </w:p>
    <w:p w14:paraId="341781F0" w14:textId="77777777" w:rsidR="00467FCA" w:rsidRDefault="001B68EB">
      <w:pPr>
        <w:tabs>
          <w:tab w:val="left" w:pos="839"/>
        </w:tabs>
        <w:spacing w:before="74"/>
        <w:ind w:left="120"/>
        <w:rPr>
          <w:sz w:val="16"/>
        </w:rPr>
      </w:pPr>
      <w:bookmarkStart w:id="236" w:name="_bookmark199"/>
      <w:bookmarkEnd w:id="236"/>
      <w:r>
        <w:rPr>
          <w:position w:val="6"/>
          <w:sz w:val="10"/>
        </w:rPr>
        <w:t>165</w:t>
      </w:r>
      <w:r>
        <w:rPr>
          <w:position w:val="6"/>
          <w:sz w:val="10"/>
        </w:rPr>
        <w:tab/>
      </w:r>
      <w:bookmarkStart w:id="237" w:name="_bookmark200"/>
      <w:bookmarkEnd w:id="237"/>
      <w:r>
        <w:rPr>
          <w:i/>
          <w:sz w:val="16"/>
        </w:rPr>
        <w:t xml:space="preserve">Cfr. </w:t>
      </w:r>
      <w:r>
        <w:rPr>
          <w:sz w:val="16"/>
        </w:rPr>
        <w:t xml:space="preserve">Decreto No. 55.649 de 28 de enero de 1965, </w:t>
      </w:r>
      <w:r>
        <w:rPr>
          <w:i/>
          <w:sz w:val="16"/>
        </w:rPr>
        <w:t xml:space="preserve">supra, </w:t>
      </w:r>
      <w:r>
        <w:rPr>
          <w:sz w:val="16"/>
        </w:rPr>
        <w:t>artículo</w:t>
      </w:r>
      <w:r>
        <w:rPr>
          <w:spacing w:val="-11"/>
          <w:sz w:val="16"/>
        </w:rPr>
        <w:t xml:space="preserve"> </w:t>
      </w:r>
      <w:r>
        <w:rPr>
          <w:sz w:val="16"/>
        </w:rPr>
        <w:t>23.</w:t>
      </w:r>
    </w:p>
    <w:p w14:paraId="04E09408" w14:textId="77777777" w:rsidR="00467FCA" w:rsidRDefault="001B68EB">
      <w:pPr>
        <w:tabs>
          <w:tab w:val="left" w:pos="839"/>
        </w:tabs>
        <w:ind w:left="120"/>
        <w:rPr>
          <w:sz w:val="16"/>
        </w:rPr>
      </w:pPr>
      <w:r>
        <w:rPr>
          <w:position w:val="6"/>
          <w:sz w:val="10"/>
        </w:rPr>
        <w:t>166</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w:t>
      </w:r>
      <w:r>
        <w:rPr>
          <w:spacing w:val="-27"/>
          <w:sz w:val="16"/>
        </w:rPr>
        <w:t xml:space="preserve"> </w:t>
      </w:r>
      <w:r>
        <w:rPr>
          <w:sz w:val="16"/>
        </w:rPr>
        <w:t>256.</w:t>
      </w:r>
    </w:p>
    <w:p w14:paraId="369BA117" w14:textId="77777777" w:rsidR="00467FCA" w:rsidRDefault="001B68EB">
      <w:pPr>
        <w:tabs>
          <w:tab w:val="left" w:pos="839"/>
        </w:tabs>
        <w:ind w:left="120"/>
        <w:rPr>
          <w:sz w:val="16"/>
        </w:rPr>
      </w:pPr>
      <w:bookmarkStart w:id="238" w:name="_bookmark201"/>
      <w:bookmarkEnd w:id="238"/>
      <w:r>
        <w:rPr>
          <w:position w:val="6"/>
          <w:sz w:val="10"/>
        </w:rPr>
        <w:t>167</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w:t>
      </w:r>
      <w:r>
        <w:rPr>
          <w:spacing w:val="-27"/>
          <w:sz w:val="16"/>
        </w:rPr>
        <w:t xml:space="preserve"> </w:t>
      </w:r>
      <w:r>
        <w:rPr>
          <w:sz w:val="16"/>
        </w:rPr>
        <w:t>279.</w:t>
      </w:r>
    </w:p>
    <w:p w14:paraId="0B7FD350" w14:textId="77777777" w:rsidR="00467FCA" w:rsidRDefault="001B68EB">
      <w:pPr>
        <w:tabs>
          <w:tab w:val="left" w:pos="839"/>
        </w:tabs>
        <w:ind w:left="119" w:right="113"/>
        <w:jc w:val="both"/>
        <w:rPr>
          <w:sz w:val="16"/>
        </w:rPr>
      </w:pPr>
      <w:bookmarkStart w:id="239" w:name="_bookmark202"/>
      <w:bookmarkEnd w:id="239"/>
      <w:r>
        <w:rPr>
          <w:position w:val="6"/>
          <w:sz w:val="10"/>
        </w:rPr>
        <w:t>168</w:t>
      </w:r>
      <w:r>
        <w:rPr>
          <w:position w:val="6"/>
          <w:sz w:val="10"/>
        </w:rPr>
        <w:tab/>
      </w:r>
      <w:r>
        <w:rPr>
          <w:i/>
          <w:sz w:val="16"/>
        </w:rPr>
        <w:t>Cfr.</w:t>
      </w:r>
      <w:r>
        <w:rPr>
          <w:i/>
          <w:spacing w:val="-6"/>
          <w:sz w:val="16"/>
        </w:rPr>
        <w:t xml:space="preserve"> </w:t>
      </w:r>
      <w:r>
        <w:rPr>
          <w:i/>
          <w:sz w:val="16"/>
        </w:rPr>
        <w:t>Amicus</w:t>
      </w:r>
      <w:r>
        <w:rPr>
          <w:i/>
          <w:spacing w:val="-7"/>
          <w:sz w:val="16"/>
        </w:rPr>
        <w:t xml:space="preserve"> </w:t>
      </w:r>
      <w:r>
        <w:rPr>
          <w:i/>
          <w:sz w:val="16"/>
        </w:rPr>
        <w:t>Curiae</w:t>
      </w:r>
      <w:r>
        <w:rPr>
          <w:i/>
          <w:spacing w:val="-7"/>
          <w:sz w:val="16"/>
        </w:rPr>
        <w:t xml:space="preserve"> </w:t>
      </w:r>
      <w:r>
        <w:rPr>
          <w:sz w:val="16"/>
        </w:rPr>
        <w:t>de</w:t>
      </w:r>
      <w:r>
        <w:rPr>
          <w:spacing w:val="-7"/>
          <w:sz w:val="16"/>
        </w:rPr>
        <w:t xml:space="preserve"> </w:t>
      </w:r>
      <w:r>
        <w:rPr>
          <w:sz w:val="16"/>
        </w:rPr>
        <w:t>la</w:t>
      </w:r>
      <w:r>
        <w:rPr>
          <w:spacing w:val="-5"/>
          <w:sz w:val="16"/>
        </w:rPr>
        <w:t xml:space="preserve"> </w:t>
      </w:r>
      <w:r>
        <w:rPr>
          <w:sz w:val="16"/>
        </w:rPr>
        <w:t>Clínica</w:t>
      </w:r>
      <w:r>
        <w:rPr>
          <w:spacing w:val="-6"/>
          <w:sz w:val="16"/>
        </w:rPr>
        <w:t xml:space="preserve"> </w:t>
      </w:r>
      <w:r>
        <w:rPr>
          <w:sz w:val="16"/>
        </w:rPr>
        <w:t>de</w:t>
      </w:r>
      <w:r>
        <w:rPr>
          <w:spacing w:val="-7"/>
          <w:sz w:val="16"/>
        </w:rPr>
        <w:t xml:space="preserve"> </w:t>
      </w:r>
      <w:r>
        <w:rPr>
          <w:sz w:val="16"/>
        </w:rPr>
        <w:t>Derechos</w:t>
      </w:r>
      <w:r>
        <w:rPr>
          <w:spacing w:val="-7"/>
          <w:sz w:val="16"/>
        </w:rPr>
        <w:t xml:space="preserve"> </w:t>
      </w:r>
      <w:r>
        <w:rPr>
          <w:sz w:val="16"/>
        </w:rPr>
        <w:t>Humanos</w:t>
      </w:r>
      <w:r>
        <w:rPr>
          <w:spacing w:val="-7"/>
          <w:sz w:val="16"/>
        </w:rPr>
        <w:t xml:space="preserve"> </w:t>
      </w:r>
      <w:r>
        <w:rPr>
          <w:sz w:val="16"/>
        </w:rPr>
        <w:t>e</w:t>
      </w:r>
      <w:r>
        <w:rPr>
          <w:spacing w:val="-6"/>
          <w:sz w:val="16"/>
        </w:rPr>
        <w:t xml:space="preserve"> </w:t>
      </w:r>
      <w:r>
        <w:rPr>
          <w:sz w:val="16"/>
        </w:rPr>
        <w:t>Derecho</w:t>
      </w:r>
      <w:r>
        <w:rPr>
          <w:spacing w:val="-7"/>
          <w:sz w:val="16"/>
        </w:rPr>
        <w:t xml:space="preserve"> </w:t>
      </w:r>
      <w:r>
        <w:rPr>
          <w:sz w:val="16"/>
        </w:rPr>
        <w:t>Ambiental</w:t>
      </w:r>
      <w:r>
        <w:rPr>
          <w:spacing w:val="-8"/>
          <w:sz w:val="16"/>
        </w:rPr>
        <w:t xml:space="preserve"> </w:t>
      </w:r>
      <w:r>
        <w:rPr>
          <w:sz w:val="16"/>
        </w:rPr>
        <w:t>de</w:t>
      </w:r>
      <w:r>
        <w:rPr>
          <w:spacing w:val="-5"/>
          <w:sz w:val="16"/>
        </w:rPr>
        <w:t xml:space="preserve"> </w:t>
      </w:r>
      <w:r>
        <w:rPr>
          <w:sz w:val="16"/>
        </w:rPr>
        <w:t>la</w:t>
      </w:r>
      <w:r>
        <w:rPr>
          <w:spacing w:val="-8"/>
          <w:sz w:val="16"/>
        </w:rPr>
        <w:t xml:space="preserve"> </w:t>
      </w:r>
      <w:r>
        <w:rPr>
          <w:sz w:val="16"/>
        </w:rPr>
        <w:t>Universidad</w:t>
      </w:r>
      <w:r>
        <w:rPr>
          <w:spacing w:val="-6"/>
          <w:sz w:val="16"/>
        </w:rPr>
        <w:t xml:space="preserve"> </w:t>
      </w:r>
      <w:r>
        <w:rPr>
          <w:sz w:val="16"/>
        </w:rPr>
        <w:t>del</w:t>
      </w:r>
      <w:r>
        <w:rPr>
          <w:spacing w:val="-6"/>
          <w:sz w:val="16"/>
        </w:rPr>
        <w:t xml:space="preserve"> </w:t>
      </w:r>
      <w:r>
        <w:rPr>
          <w:sz w:val="16"/>
        </w:rPr>
        <w:t>Estado</w:t>
      </w:r>
      <w:r>
        <w:rPr>
          <w:spacing w:val="-7"/>
          <w:sz w:val="16"/>
        </w:rPr>
        <w:t xml:space="preserve"> </w:t>
      </w:r>
      <w:r>
        <w:rPr>
          <w:sz w:val="16"/>
        </w:rPr>
        <w:t xml:space="preserve">de Amazonas, </w:t>
      </w:r>
      <w:r>
        <w:rPr>
          <w:i/>
          <w:sz w:val="16"/>
        </w:rPr>
        <w:t>supra</w:t>
      </w:r>
      <w:r>
        <w:rPr>
          <w:sz w:val="16"/>
        </w:rPr>
        <w:t xml:space="preserve">, y Decreto del estado de Bahia No. 6.465 de 09 de junio de 1997, disponible en: </w:t>
      </w:r>
      <w:hyperlink r:id="rId20">
        <w:r>
          <w:rPr>
            <w:sz w:val="16"/>
            <w:u w:val="single"/>
          </w:rPr>
          <w:t>https://governo-</w:t>
        </w:r>
      </w:hyperlink>
      <w:r>
        <w:rPr>
          <w:sz w:val="16"/>
        </w:rPr>
        <w:t xml:space="preserve"> </w:t>
      </w:r>
      <w:hyperlink r:id="rId21">
        <w:r>
          <w:rPr>
            <w:sz w:val="16"/>
            <w:u w:val="single"/>
          </w:rPr>
          <w:t>ba.jusbrasil.com.br/legislacao/79274/decreto-6465-97</w:t>
        </w:r>
      </w:hyperlink>
      <w:r>
        <w:rPr>
          <w:sz w:val="16"/>
        </w:rPr>
        <w:t>.</w:t>
      </w:r>
    </w:p>
    <w:p w14:paraId="41DA6361" w14:textId="77777777" w:rsidR="00467FCA" w:rsidRDefault="001B68EB">
      <w:pPr>
        <w:tabs>
          <w:tab w:val="left" w:pos="839"/>
        </w:tabs>
        <w:ind w:left="119" w:right="2942"/>
        <w:rPr>
          <w:sz w:val="16"/>
        </w:rPr>
      </w:pPr>
      <w:bookmarkStart w:id="240" w:name="_bookmark203"/>
      <w:bookmarkEnd w:id="240"/>
      <w:r>
        <w:rPr>
          <w:position w:val="6"/>
          <w:sz w:val="10"/>
        </w:rPr>
        <w:t>169</w:t>
      </w:r>
      <w:r>
        <w:rPr>
          <w:position w:val="6"/>
          <w:sz w:val="10"/>
        </w:rPr>
        <w:tab/>
      </w:r>
      <w:r>
        <w:rPr>
          <w:i/>
          <w:sz w:val="16"/>
        </w:rPr>
        <w:t xml:space="preserve">Cfr. </w:t>
      </w:r>
      <w:r>
        <w:rPr>
          <w:sz w:val="16"/>
        </w:rPr>
        <w:t>Constitución de la República Federal de Brasil, 1988. Disponible en:</w:t>
      </w:r>
      <w:bookmarkStart w:id="241" w:name="_bookmark204"/>
      <w:bookmarkEnd w:id="241"/>
      <w:r>
        <w:rPr>
          <w:sz w:val="16"/>
        </w:rPr>
        <w:t xml:space="preserve"> </w:t>
      </w:r>
      <w:hyperlink r:id="rId22">
        <w:r>
          <w:rPr>
            <w:sz w:val="16"/>
            <w:u w:val="single"/>
          </w:rPr>
          <w:t>http://www.planalto.gov.br/ccivil_03/constituicao/constituicao.htm.</w:t>
        </w:r>
      </w:hyperlink>
    </w:p>
    <w:p w14:paraId="7223465E" w14:textId="77777777" w:rsidR="00467FCA" w:rsidRDefault="001B68EB">
      <w:pPr>
        <w:tabs>
          <w:tab w:val="left" w:pos="839"/>
        </w:tabs>
        <w:ind w:left="119" w:right="117"/>
        <w:rPr>
          <w:sz w:val="16"/>
        </w:rPr>
      </w:pPr>
      <w:r>
        <w:rPr>
          <w:position w:val="6"/>
          <w:sz w:val="10"/>
        </w:rPr>
        <w:t>170</w:t>
      </w:r>
      <w:r>
        <w:rPr>
          <w:position w:val="6"/>
          <w:sz w:val="10"/>
        </w:rPr>
        <w:tab/>
      </w:r>
      <w:r>
        <w:rPr>
          <w:i/>
          <w:sz w:val="16"/>
        </w:rPr>
        <w:t>Cfr.</w:t>
      </w:r>
      <w:r>
        <w:rPr>
          <w:i/>
          <w:spacing w:val="-12"/>
          <w:sz w:val="16"/>
        </w:rPr>
        <w:t xml:space="preserve"> </w:t>
      </w:r>
      <w:r>
        <w:rPr>
          <w:sz w:val="16"/>
        </w:rPr>
        <w:t>Consolidación</w:t>
      </w:r>
      <w:r>
        <w:rPr>
          <w:spacing w:val="-13"/>
          <w:sz w:val="16"/>
        </w:rPr>
        <w:t xml:space="preserve"> </w:t>
      </w:r>
      <w:r>
        <w:rPr>
          <w:sz w:val="16"/>
        </w:rPr>
        <w:t>de</w:t>
      </w:r>
      <w:r>
        <w:rPr>
          <w:spacing w:val="-12"/>
          <w:sz w:val="16"/>
        </w:rPr>
        <w:t xml:space="preserve"> </w:t>
      </w:r>
      <w:r>
        <w:rPr>
          <w:sz w:val="16"/>
        </w:rPr>
        <w:t>las</w:t>
      </w:r>
      <w:r>
        <w:rPr>
          <w:spacing w:val="-11"/>
          <w:sz w:val="16"/>
        </w:rPr>
        <w:t xml:space="preserve"> </w:t>
      </w:r>
      <w:r>
        <w:rPr>
          <w:sz w:val="16"/>
        </w:rPr>
        <w:t>Ley</w:t>
      </w:r>
      <w:r>
        <w:rPr>
          <w:sz w:val="16"/>
        </w:rPr>
        <w:t>es</w:t>
      </w:r>
      <w:r>
        <w:rPr>
          <w:spacing w:val="-10"/>
          <w:sz w:val="16"/>
        </w:rPr>
        <w:t xml:space="preserve"> </w:t>
      </w:r>
      <w:r>
        <w:rPr>
          <w:sz w:val="16"/>
        </w:rPr>
        <w:t>del</w:t>
      </w:r>
      <w:r>
        <w:rPr>
          <w:spacing w:val="-11"/>
          <w:sz w:val="16"/>
        </w:rPr>
        <w:t xml:space="preserve"> </w:t>
      </w:r>
      <w:r>
        <w:rPr>
          <w:sz w:val="16"/>
        </w:rPr>
        <w:t>Trabajo.</w:t>
      </w:r>
      <w:r>
        <w:rPr>
          <w:spacing w:val="-12"/>
          <w:sz w:val="16"/>
        </w:rPr>
        <w:t xml:space="preserve"> </w:t>
      </w:r>
      <w:r>
        <w:rPr>
          <w:sz w:val="16"/>
        </w:rPr>
        <w:t>Decreto</w:t>
      </w:r>
      <w:r>
        <w:rPr>
          <w:spacing w:val="-9"/>
          <w:sz w:val="16"/>
        </w:rPr>
        <w:t xml:space="preserve"> </w:t>
      </w:r>
      <w:r>
        <w:rPr>
          <w:sz w:val="16"/>
        </w:rPr>
        <w:t>legislativo</w:t>
      </w:r>
      <w:r>
        <w:rPr>
          <w:spacing w:val="-9"/>
          <w:sz w:val="16"/>
        </w:rPr>
        <w:t xml:space="preserve"> </w:t>
      </w:r>
      <w:r>
        <w:rPr>
          <w:sz w:val="16"/>
        </w:rPr>
        <w:t>No.</w:t>
      </w:r>
      <w:r>
        <w:rPr>
          <w:spacing w:val="-14"/>
          <w:sz w:val="16"/>
        </w:rPr>
        <w:t xml:space="preserve"> </w:t>
      </w:r>
      <w:r>
        <w:rPr>
          <w:sz w:val="16"/>
        </w:rPr>
        <w:t>5.452,</w:t>
      </w:r>
      <w:r>
        <w:rPr>
          <w:spacing w:val="-13"/>
          <w:sz w:val="16"/>
        </w:rPr>
        <w:t xml:space="preserve"> </w:t>
      </w:r>
      <w:r>
        <w:rPr>
          <w:sz w:val="16"/>
        </w:rPr>
        <w:t>de</w:t>
      </w:r>
      <w:r>
        <w:rPr>
          <w:spacing w:val="-12"/>
          <w:sz w:val="16"/>
        </w:rPr>
        <w:t xml:space="preserve"> </w:t>
      </w:r>
      <w:r>
        <w:rPr>
          <w:sz w:val="16"/>
        </w:rPr>
        <w:t>1</w:t>
      </w:r>
      <w:r>
        <w:rPr>
          <w:spacing w:val="-10"/>
          <w:sz w:val="16"/>
        </w:rPr>
        <w:t xml:space="preserve"> </w:t>
      </w:r>
      <w:r>
        <w:rPr>
          <w:sz w:val="16"/>
        </w:rPr>
        <w:t>de</w:t>
      </w:r>
      <w:r>
        <w:rPr>
          <w:spacing w:val="-10"/>
          <w:sz w:val="16"/>
        </w:rPr>
        <w:t xml:space="preserve"> </w:t>
      </w:r>
      <w:r>
        <w:rPr>
          <w:sz w:val="16"/>
        </w:rPr>
        <w:t>mayo</w:t>
      </w:r>
      <w:r>
        <w:rPr>
          <w:spacing w:val="-11"/>
          <w:sz w:val="16"/>
        </w:rPr>
        <w:t xml:space="preserve"> </w:t>
      </w:r>
      <w:r>
        <w:rPr>
          <w:sz w:val="16"/>
        </w:rPr>
        <w:t>de</w:t>
      </w:r>
      <w:r>
        <w:rPr>
          <w:spacing w:val="-13"/>
          <w:sz w:val="16"/>
        </w:rPr>
        <w:t xml:space="preserve"> </w:t>
      </w:r>
      <w:r>
        <w:rPr>
          <w:sz w:val="16"/>
        </w:rPr>
        <w:t>1943.</w:t>
      </w:r>
      <w:r>
        <w:rPr>
          <w:spacing w:val="-11"/>
          <w:sz w:val="16"/>
        </w:rPr>
        <w:t xml:space="preserve"> </w:t>
      </w:r>
      <w:r>
        <w:rPr>
          <w:sz w:val="16"/>
        </w:rPr>
        <w:t>Disponible en:</w:t>
      </w:r>
      <w:r>
        <w:rPr>
          <w:spacing w:val="-1"/>
          <w:sz w:val="16"/>
        </w:rPr>
        <w:t xml:space="preserve"> </w:t>
      </w:r>
      <w:hyperlink r:id="rId23">
        <w:r>
          <w:rPr>
            <w:sz w:val="16"/>
            <w:u w:val="single"/>
          </w:rPr>
          <w:t>http://www.planalto.gov.br/ccivil_03/decreto-lei/del5452.htm</w:t>
        </w:r>
      </w:hyperlink>
      <w:r>
        <w:rPr>
          <w:sz w:val="16"/>
          <w:u w:val="single"/>
        </w:rPr>
        <w:t>.</w:t>
      </w:r>
    </w:p>
    <w:p w14:paraId="4E4F84F3" w14:textId="77777777" w:rsidR="00467FCA" w:rsidRDefault="001B68EB">
      <w:pPr>
        <w:tabs>
          <w:tab w:val="left" w:pos="839"/>
        </w:tabs>
        <w:ind w:left="120"/>
        <w:rPr>
          <w:i/>
          <w:sz w:val="16"/>
        </w:rPr>
      </w:pPr>
      <w:bookmarkStart w:id="242" w:name="_bookmark205"/>
      <w:bookmarkEnd w:id="242"/>
      <w:r>
        <w:rPr>
          <w:position w:val="6"/>
          <w:sz w:val="10"/>
        </w:rPr>
        <w:t>171</w:t>
      </w:r>
      <w:r>
        <w:rPr>
          <w:position w:val="6"/>
          <w:sz w:val="10"/>
        </w:rPr>
        <w:tab/>
      </w:r>
      <w:r>
        <w:rPr>
          <w:i/>
          <w:sz w:val="16"/>
        </w:rPr>
        <w:t xml:space="preserve">Cfr. </w:t>
      </w:r>
      <w:r>
        <w:rPr>
          <w:sz w:val="16"/>
        </w:rPr>
        <w:t xml:space="preserve">Consolidación de las </w:t>
      </w:r>
      <w:r>
        <w:rPr>
          <w:sz w:val="16"/>
        </w:rPr>
        <w:t xml:space="preserve">Leyes del Trabajo, </w:t>
      </w:r>
      <w:r>
        <w:rPr>
          <w:i/>
          <w:sz w:val="16"/>
        </w:rPr>
        <w:t xml:space="preserve">supra, </w:t>
      </w:r>
      <w:r>
        <w:rPr>
          <w:sz w:val="16"/>
        </w:rPr>
        <w:t>artículos 76 a</w:t>
      </w:r>
      <w:r>
        <w:rPr>
          <w:spacing w:val="-22"/>
          <w:sz w:val="16"/>
        </w:rPr>
        <w:t xml:space="preserve"> </w:t>
      </w:r>
      <w:r>
        <w:rPr>
          <w:sz w:val="16"/>
        </w:rPr>
        <w:t>83</w:t>
      </w:r>
      <w:r>
        <w:rPr>
          <w:i/>
          <w:sz w:val="16"/>
        </w:rPr>
        <w:t>.</w:t>
      </w:r>
    </w:p>
    <w:p w14:paraId="5BAC4168" w14:textId="77777777" w:rsidR="00467FCA" w:rsidRDefault="001B68EB">
      <w:pPr>
        <w:tabs>
          <w:tab w:val="left" w:pos="839"/>
        </w:tabs>
        <w:ind w:left="120"/>
        <w:rPr>
          <w:i/>
          <w:sz w:val="16"/>
        </w:rPr>
      </w:pPr>
      <w:bookmarkStart w:id="243" w:name="_bookmark206"/>
      <w:bookmarkEnd w:id="243"/>
      <w:r>
        <w:rPr>
          <w:position w:val="6"/>
          <w:sz w:val="10"/>
        </w:rPr>
        <w:t>172</w:t>
      </w:r>
      <w:r>
        <w:rPr>
          <w:position w:val="6"/>
          <w:sz w:val="10"/>
        </w:rPr>
        <w:tab/>
      </w:r>
      <w:r>
        <w:rPr>
          <w:i/>
          <w:sz w:val="16"/>
        </w:rPr>
        <w:t xml:space="preserve">Cfr. </w:t>
      </w:r>
      <w:r>
        <w:rPr>
          <w:sz w:val="16"/>
        </w:rPr>
        <w:t xml:space="preserve">Consolidación de las Leyes del Trabajo, </w:t>
      </w:r>
      <w:r>
        <w:rPr>
          <w:i/>
          <w:sz w:val="16"/>
        </w:rPr>
        <w:t xml:space="preserve">supra, </w:t>
      </w:r>
      <w:r>
        <w:rPr>
          <w:sz w:val="16"/>
        </w:rPr>
        <w:t>artículo 611-B,</w:t>
      </w:r>
      <w:r>
        <w:rPr>
          <w:spacing w:val="-27"/>
          <w:sz w:val="16"/>
        </w:rPr>
        <w:t xml:space="preserve"> </w:t>
      </w:r>
      <w:r>
        <w:rPr>
          <w:sz w:val="16"/>
        </w:rPr>
        <w:t>V</w:t>
      </w:r>
      <w:r>
        <w:rPr>
          <w:i/>
          <w:sz w:val="16"/>
        </w:rPr>
        <w:t>.</w:t>
      </w:r>
    </w:p>
    <w:p w14:paraId="7A561888" w14:textId="77777777" w:rsidR="00467FCA" w:rsidRDefault="00467FCA">
      <w:pPr>
        <w:rPr>
          <w:sz w:val="16"/>
        </w:rPr>
        <w:sectPr w:rsidR="00467FCA">
          <w:pgSz w:w="12240" w:h="15840"/>
          <w:pgMar w:top="1360" w:right="1320" w:bottom="1220" w:left="1320" w:header="0" w:footer="1037" w:gutter="0"/>
          <w:cols w:space="720"/>
        </w:sectPr>
      </w:pPr>
    </w:p>
    <w:p w14:paraId="53F80CDF" w14:textId="77777777" w:rsidR="00467FCA" w:rsidRDefault="001B68EB">
      <w:pPr>
        <w:pStyle w:val="Textoindependiente"/>
        <w:spacing w:before="80"/>
        <w:ind w:left="119" w:right="119"/>
        <w:jc w:val="both"/>
      </w:pPr>
      <w:r>
        <w:t>remuneración por servicio extraordinario</w:t>
      </w:r>
      <w:hyperlink w:anchor="_bookmark207" w:history="1">
        <w:r>
          <w:rPr>
            <w:position w:val="7"/>
            <w:sz w:val="13"/>
          </w:rPr>
          <w:t>173</w:t>
        </w:r>
      </w:hyperlink>
      <w:r>
        <w:t>, la remuneración adicional por actividades penosas, insalubres o peligrosas</w:t>
      </w:r>
      <w:hyperlink w:anchor="_bookmark208" w:history="1">
        <w:r>
          <w:rPr>
            <w:position w:val="7"/>
            <w:sz w:val="13"/>
          </w:rPr>
          <w:t>174</w:t>
        </w:r>
      </w:hyperlink>
      <w:r>
        <w:t>, el seguro de accidentes</w:t>
      </w:r>
      <w:hyperlink w:anchor="_bookmark209" w:history="1">
        <w:r>
          <w:rPr>
            <w:position w:val="7"/>
            <w:sz w:val="13"/>
          </w:rPr>
          <w:t>175</w:t>
        </w:r>
      </w:hyperlink>
      <w:r>
        <w:t>, la prohibición del trabajo nocturno,</w:t>
      </w:r>
      <w:r>
        <w:rPr>
          <w:spacing w:val="-16"/>
        </w:rPr>
        <w:t xml:space="preserve"> </w:t>
      </w:r>
      <w:r>
        <w:t>peligroso</w:t>
      </w:r>
      <w:r>
        <w:rPr>
          <w:spacing w:val="-13"/>
        </w:rPr>
        <w:t xml:space="preserve"> </w:t>
      </w:r>
      <w:r>
        <w:t>o</w:t>
      </w:r>
      <w:r>
        <w:rPr>
          <w:spacing w:val="-14"/>
        </w:rPr>
        <w:t xml:space="preserve"> </w:t>
      </w:r>
      <w:r>
        <w:t>insalubre</w:t>
      </w:r>
      <w:r>
        <w:rPr>
          <w:spacing w:val="-13"/>
        </w:rPr>
        <w:t xml:space="preserve"> </w:t>
      </w:r>
      <w:r>
        <w:t>a</w:t>
      </w:r>
      <w:r>
        <w:rPr>
          <w:spacing w:val="-15"/>
        </w:rPr>
        <w:t xml:space="preserve"> </w:t>
      </w:r>
      <w:r>
        <w:t>los</w:t>
      </w:r>
      <w:r>
        <w:rPr>
          <w:spacing w:val="-12"/>
        </w:rPr>
        <w:t xml:space="preserve"> </w:t>
      </w:r>
      <w:r>
        <w:t>menores</w:t>
      </w:r>
      <w:r>
        <w:rPr>
          <w:spacing w:val="-13"/>
        </w:rPr>
        <w:t xml:space="preserve"> </w:t>
      </w:r>
      <w:r>
        <w:t>de</w:t>
      </w:r>
      <w:r>
        <w:rPr>
          <w:spacing w:val="-15"/>
        </w:rPr>
        <w:t xml:space="preserve"> </w:t>
      </w:r>
      <w:r>
        <w:t>18</w:t>
      </w:r>
      <w:r>
        <w:rPr>
          <w:spacing w:val="-12"/>
        </w:rPr>
        <w:t xml:space="preserve"> </w:t>
      </w:r>
      <w:r>
        <w:t>años</w:t>
      </w:r>
      <w:r>
        <w:rPr>
          <w:spacing w:val="-12"/>
        </w:rPr>
        <w:t xml:space="preserve"> </w:t>
      </w:r>
      <w:r>
        <w:t>y</w:t>
      </w:r>
      <w:r>
        <w:rPr>
          <w:spacing w:val="-15"/>
        </w:rPr>
        <w:t xml:space="preserve"> </w:t>
      </w:r>
      <w:r>
        <w:t>de</w:t>
      </w:r>
      <w:r>
        <w:rPr>
          <w:spacing w:val="-13"/>
        </w:rPr>
        <w:t xml:space="preserve"> </w:t>
      </w:r>
      <w:r>
        <w:t>cualquier</w:t>
      </w:r>
      <w:r>
        <w:rPr>
          <w:spacing w:val="-14"/>
        </w:rPr>
        <w:t xml:space="preserve"> </w:t>
      </w:r>
      <w:r>
        <w:t>trabajo</w:t>
      </w:r>
      <w:r>
        <w:rPr>
          <w:spacing w:val="-13"/>
        </w:rPr>
        <w:t xml:space="preserve"> </w:t>
      </w:r>
      <w:r>
        <w:t>a</w:t>
      </w:r>
      <w:r>
        <w:rPr>
          <w:spacing w:val="-15"/>
        </w:rPr>
        <w:t xml:space="preserve"> </w:t>
      </w:r>
      <w:r>
        <w:t>los</w:t>
      </w:r>
      <w:r>
        <w:rPr>
          <w:spacing w:val="-15"/>
        </w:rPr>
        <w:t xml:space="preserve"> </w:t>
      </w:r>
      <w:r>
        <w:t>menores de dieciséis, salvo en condición de aprendiz, entre los 14 y 16 años</w:t>
      </w:r>
      <w:hyperlink w:anchor="_bookmark210" w:history="1">
        <w:r>
          <w:rPr>
            <w:position w:val="7"/>
            <w:sz w:val="13"/>
          </w:rPr>
          <w:t>176</w:t>
        </w:r>
      </w:hyperlink>
      <w:r>
        <w:t>, entre muchos otros derechos que asisten a los trabajadores en el territorio de</w:t>
      </w:r>
      <w:r>
        <w:rPr>
          <w:spacing w:val="-12"/>
        </w:rPr>
        <w:t xml:space="preserve"> </w:t>
      </w:r>
      <w:r>
        <w:t>Brasil.</w:t>
      </w:r>
    </w:p>
    <w:p w14:paraId="6E129D67" w14:textId="77777777" w:rsidR="00467FCA" w:rsidRDefault="00467FCA">
      <w:pPr>
        <w:pStyle w:val="Textoindependiente"/>
        <w:spacing w:before="1"/>
      </w:pPr>
    </w:p>
    <w:p w14:paraId="5B2D62D1" w14:textId="77777777" w:rsidR="00467FCA" w:rsidRDefault="001B68EB">
      <w:pPr>
        <w:pStyle w:val="Prrafodelista"/>
        <w:numPr>
          <w:ilvl w:val="0"/>
          <w:numId w:val="50"/>
        </w:numPr>
        <w:tabs>
          <w:tab w:val="left" w:pos="687"/>
        </w:tabs>
        <w:ind w:left="119" w:right="117" w:firstLine="0"/>
        <w:jc w:val="both"/>
        <w:rPr>
          <w:sz w:val="20"/>
        </w:rPr>
      </w:pPr>
      <w:r>
        <w:rPr>
          <w:sz w:val="20"/>
        </w:rPr>
        <w:t>La CLT cuenta también con un capítulo específico que se refiere a las normas de prevención de accidentes y enfermedades laborales, aunque no existía en 1998 legislación específica</w:t>
      </w:r>
      <w:r>
        <w:rPr>
          <w:spacing w:val="-16"/>
          <w:sz w:val="20"/>
        </w:rPr>
        <w:t xml:space="preserve"> </w:t>
      </w:r>
      <w:r>
        <w:rPr>
          <w:sz w:val="20"/>
        </w:rPr>
        <w:t>sobre</w:t>
      </w:r>
      <w:r>
        <w:rPr>
          <w:spacing w:val="-17"/>
          <w:sz w:val="20"/>
        </w:rPr>
        <w:t xml:space="preserve"> </w:t>
      </w:r>
      <w:r>
        <w:rPr>
          <w:sz w:val="20"/>
        </w:rPr>
        <w:t>prevención</w:t>
      </w:r>
      <w:r>
        <w:rPr>
          <w:spacing w:val="-16"/>
          <w:sz w:val="20"/>
        </w:rPr>
        <w:t xml:space="preserve"> </w:t>
      </w:r>
      <w:r>
        <w:rPr>
          <w:sz w:val="20"/>
        </w:rPr>
        <w:t>de</w:t>
      </w:r>
      <w:r>
        <w:rPr>
          <w:spacing w:val="-17"/>
          <w:sz w:val="20"/>
        </w:rPr>
        <w:t xml:space="preserve"> </w:t>
      </w:r>
      <w:r>
        <w:rPr>
          <w:sz w:val="20"/>
        </w:rPr>
        <w:t>accidentes</w:t>
      </w:r>
      <w:r>
        <w:rPr>
          <w:spacing w:val="-16"/>
          <w:sz w:val="20"/>
        </w:rPr>
        <w:t xml:space="preserve"> </w:t>
      </w:r>
      <w:r>
        <w:rPr>
          <w:sz w:val="20"/>
        </w:rPr>
        <w:t>en</w:t>
      </w:r>
      <w:r>
        <w:rPr>
          <w:spacing w:val="-15"/>
          <w:sz w:val="20"/>
        </w:rPr>
        <w:t xml:space="preserve"> </w:t>
      </w:r>
      <w:r>
        <w:rPr>
          <w:sz w:val="20"/>
        </w:rPr>
        <w:t>el</w:t>
      </w:r>
      <w:r>
        <w:rPr>
          <w:spacing w:val="-15"/>
          <w:sz w:val="20"/>
        </w:rPr>
        <w:t xml:space="preserve"> </w:t>
      </w:r>
      <w:r>
        <w:rPr>
          <w:sz w:val="20"/>
        </w:rPr>
        <w:t>sector</w:t>
      </w:r>
      <w:r>
        <w:rPr>
          <w:spacing w:val="-17"/>
          <w:sz w:val="20"/>
        </w:rPr>
        <w:t xml:space="preserve"> </w:t>
      </w:r>
      <w:r>
        <w:rPr>
          <w:sz w:val="20"/>
        </w:rPr>
        <w:t>de</w:t>
      </w:r>
      <w:r>
        <w:rPr>
          <w:spacing w:val="-16"/>
          <w:sz w:val="20"/>
        </w:rPr>
        <w:t xml:space="preserve"> </w:t>
      </w:r>
      <w:r>
        <w:rPr>
          <w:sz w:val="20"/>
        </w:rPr>
        <w:t>fuegos</w:t>
      </w:r>
      <w:r>
        <w:rPr>
          <w:spacing w:val="-17"/>
          <w:sz w:val="20"/>
        </w:rPr>
        <w:t xml:space="preserve"> </w:t>
      </w:r>
      <w:r>
        <w:rPr>
          <w:sz w:val="20"/>
        </w:rPr>
        <w:t>artificiales</w:t>
      </w:r>
      <w:hyperlink w:anchor="_bookmark211" w:history="1">
        <w:r>
          <w:rPr>
            <w:position w:val="7"/>
            <w:sz w:val="13"/>
          </w:rPr>
          <w:t>177</w:t>
        </w:r>
      </w:hyperlink>
      <w:r>
        <w:rPr>
          <w:sz w:val="20"/>
        </w:rPr>
        <w:t>.</w:t>
      </w:r>
      <w:r>
        <w:rPr>
          <w:spacing w:val="-18"/>
          <w:sz w:val="20"/>
        </w:rPr>
        <w:t xml:space="preserve"> </w:t>
      </w:r>
      <w:r>
        <w:rPr>
          <w:sz w:val="20"/>
        </w:rPr>
        <w:t>En</w:t>
      </w:r>
      <w:r>
        <w:rPr>
          <w:spacing w:val="-15"/>
          <w:sz w:val="20"/>
        </w:rPr>
        <w:t xml:space="preserve"> </w:t>
      </w:r>
      <w:r>
        <w:rPr>
          <w:sz w:val="20"/>
        </w:rPr>
        <w:t>ese</w:t>
      </w:r>
      <w:r>
        <w:rPr>
          <w:spacing w:val="-16"/>
          <w:sz w:val="20"/>
        </w:rPr>
        <w:t xml:space="preserve"> </w:t>
      </w:r>
      <w:r>
        <w:rPr>
          <w:sz w:val="20"/>
        </w:rPr>
        <w:t>sentido, la CLT, en el artículo 166, pone a cargo de la empresa la obligación de proporcionar a los empleados, de forma gratuita, equipos de protección individual adecuados al riesgo, cuando las medid</w:t>
      </w:r>
      <w:r>
        <w:rPr>
          <w:sz w:val="20"/>
        </w:rPr>
        <w:t>as generales no ofrezcan una protección completa contra los riesgos de accidentes y daños a la salud del empleado. Además, el artículo 193 de la CLT señala que son consideradas actividades u operaciones peligrosas, de acuerdo con la reglamentación aprobada</w:t>
      </w:r>
      <w:r>
        <w:rPr>
          <w:sz w:val="20"/>
        </w:rPr>
        <w:t xml:space="preserve"> por el Ministerio del Trabajo, aquellas que implican el contacto permanente con explosivos en condición de riesgo acentuado</w:t>
      </w:r>
      <w:hyperlink w:anchor="_bookmark212" w:history="1">
        <w:r>
          <w:rPr>
            <w:position w:val="7"/>
            <w:sz w:val="13"/>
          </w:rPr>
          <w:t>178</w:t>
        </w:r>
      </w:hyperlink>
      <w:r>
        <w:rPr>
          <w:sz w:val="20"/>
        </w:rPr>
        <w:t>. Por su parte, el artículo 195 dispone que la caracterización y clasificación de la insalubridad</w:t>
      </w:r>
      <w:r>
        <w:rPr>
          <w:sz w:val="20"/>
        </w:rPr>
        <w:t xml:space="preserve"> y peligrosidad, de acuerdo con las normas del Ministerio del Trabajo, se realizará a través de una inspección bajo la responsabilidad de un médico o ingeniero registrado en el Ministerio, sin prejuicio de la acción fiscalizadora del Ministerio del Trabajo</w:t>
      </w:r>
      <w:r>
        <w:rPr>
          <w:sz w:val="20"/>
        </w:rPr>
        <w:t>, ni de la inspección de oficio de dicho</w:t>
      </w:r>
      <w:r>
        <w:rPr>
          <w:spacing w:val="-15"/>
          <w:sz w:val="20"/>
        </w:rPr>
        <w:t xml:space="preserve"> </w:t>
      </w:r>
      <w:r>
        <w:rPr>
          <w:sz w:val="20"/>
        </w:rPr>
        <w:t>órgano.</w:t>
      </w:r>
    </w:p>
    <w:p w14:paraId="7734C310" w14:textId="77777777" w:rsidR="00467FCA" w:rsidRDefault="00467FCA">
      <w:pPr>
        <w:pStyle w:val="Textoindependiente"/>
      </w:pPr>
    </w:p>
    <w:p w14:paraId="3E2C4688" w14:textId="77777777" w:rsidR="00467FCA" w:rsidRDefault="001B68EB">
      <w:pPr>
        <w:pStyle w:val="Prrafodelista"/>
        <w:numPr>
          <w:ilvl w:val="0"/>
          <w:numId w:val="50"/>
        </w:numPr>
        <w:tabs>
          <w:tab w:val="left" w:pos="687"/>
        </w:tabs>
        <w:ind w:left="119" w:right="120" w:firstLine="0"/>
        <w:jc w:val="both"/>
        <w:rPr>
          <w:sz w:val="20"/>
        </w:rPr>
      </w:pPr>
      <w:r>
        <w:rPr>
          <w:sz w:val="20"/>
        </w:rPr>
        <w:t>La</w:t>
      </w:r>
      <w:r>
        <w:rPr>
          <w:spacing w:val="-16"/>
          <w:sz w:val="20"/>
        </w:rPr>
        <w:t xml:space="preserve"> </w:t>
      </w:r>
      <w:r>
        <w:rPr>
          <w:sz w:val="20"/>
        </w:rPr>
        <w:t>CLT</w:t>
      </w:r>
      <w:r>
        <w:rPr>
          <w:spacing w:val="-16"/>
          <w:sz w:val="20"/>
        </w:rPr>
        <w:t xml:space="preserve"> </w:t>
      </w:r>
      <w:r>
        <w:rPr>
          <w:sz w:val="20"/>
        </w:rPr>
        <w:t>también</w:t>
      </w:r>
      <w:r>
        <w:rPr>
          <w:spacing w:val="-15"/>
          <w:sz w:val="20"/>
        </w:rPr>
        <w:t xml:space="preserve"> </w:t>
      </w:r>
      <w:r>
        <w:rPr>
          <w:sz w:val="20"/>
        </w:rPr>
        <w:t>impone</w:t>
      </w:r>
      <w:r>
        <w:rPr>
          <w:spacing w:val="-16"/>
          <w:sz w:val="20"/>
        </w:rPr>
        <w:t xml:space="preserve"> </w:t>
      </w:r>
      <w:r>
        <w:rPr>
          <w:sz w:val="20"/>
        </w:rPr>
        <w:t>importantes</w:t>
      </w:r>
      <w:r>
        <w:rPr>
          <w:spacing w:val="-14"/>
          <w:sz w:val="20"/>
        </w:rPr>
        <w:t xml:space="preserve"> </w:t>
      </w:r>
      <w:r>
        <w:rPr>
          <w:sz w:val="20"/>
        </w:rPr>
        <w:t>salvaguardas</w:t>
      </w:r>
      <w:r>
        <w:rPr>
          <w:spacing w:val="-13"/>
          <w:sz w:val="20"/>
        </w:rPr>
        <w:t xml:space="preserve"> </w:t>
      </w:r>
      <w:r>
        <w:rPr>
          <w:sz w:val="20"/>
        </w:rPr>
        <w:t>en</w:t>
      </w:r>
      <w:r>
        <w:rPr>
          <w:spacing w:val="-15"/>
          <w:sz w:val="20"/>
        </w:rPr>
        <w:t xml:space="preserve"> </w:t>
      </w:r>
      <w:r>
        <w:rPr>
          <w:sz w:val="20"/>
        </w:rPr>
        <w:t>relación</w:t>
      </w:r>
      <w:r>
        <w:rPr>
          <w:spacing w:val="-14"/>
          <w:sz w:val="20"/>
        </w:rPr>
        <w:t xml:space="preserve"> </w:t>
      </w:r>
      <w:r>
        <w:rPr>
          <w:sz w:val="20"/>
        </w:rPr>
        <w:t>con</w:t>
      </w:r>
      <w:r>
        <w:rPr>
          <w:spacing w:val="-13"/>
          <w:sz w:val="20"/>
        </w:rPr>
        <w:t xml:space="preserve"> </w:t>
      </w:r>
      <w:r>
        <w:rPr>
          <w:sz w:val="20"/>
        </w:rPr>
        <w:t>el</w:t>
      </w:r>
      <w:r>
        <w:rPr>
          <w:spacing w:val="-15"/>
          <w:sz w:val="20"/>
        </w:rPr>
        <w:t xml:space="preserve"> </w:t>
      </w:r>
      <w:r>
        <w:rPr>
          <w:sz w:val="20"/>
        </w:rPr>
        <w:t>trabajo</w:t>
      </w:r>
      <w:r>
        <w:rPr>
          <w:spacing w:val="-17"/>
          <w:sz w:val="20"/>
        </w:rPr>
        <w:t xml:space="preserve"> </w:t>
      </w:r>
      <w:r>
        <w:rPr>
          <w:sz w:val="20"/>
        </w:rPr>
        <w:t>de</w:t>
      </w:r>
      <w:r>
        <w:rPr>
          <w:spacing w:val="-14"/>
          <w:sz w:val="20"/>
        </w:rPr>
        <w:t xml:space="preserve"> </w:t>
      </w:r>
      <w:r>
        <w:rPr>
          <w:sz w:val="20"/>
        </w:rPr>
        <w:t>menores de edad. Así, prohíbe expresamente se realice en lugares que perjudiquen su formación académica o que sean peligrosos, in</w:t>
      </w:r>
      <w:r>
        <w:rPr>
          <w:sz w:val="20"/>
        </w:rPr>
        <w:t>salubres y en horarios que afecten la asistencia a la escuela</w:t>
      </w:r>
      <w:hyperlink w:anchor="_bookmark213" w:history="1">
        <w:r>
          <w:rPr>
            <w:position w:val="7"/>
            <w:sz w:val="13"/>
          </w:rPr>
          <w:t>179</w:t>
        </w:r>
      </w:hyperlink>
      <w:r>
        <w:rPr>
          <w:sz w:val="20"/>
        </w:rPr>
        <w:t>.</w:t>
      </w:r>
    </w:p>
    <w:p w14:paraId="439AA3DA" w14:textId="77777777" w:rsidR="00467FCA" w:rsidRDefault="00467FCA">
      <w:pPr>
        <w:pStyle w:val="Textoindependiente"/>
        <w:spacing w:before="11"/>
        <w:rPr>
          <w:sz w:val="19"/>
        </w:rPr>
      </w:pPr>
    </w:p>
    <w:p w14:paraId="1E8CB0DF" w14:textId="77777777" w:rsidR="00467FCA" w:rsidRDefault="001B68EB">
      <w:pPr>
        <w:pStyle w:val="Prrafodelista"/>
        <w:numPr>
          <w:ilvl w:val="0"/>
          <w:numId w:val="50"/>
        </w:numPr>
        <w:tabs>
          <w:tab w:val="left" w:pos="687"/>
        </w:tabs>
        <w:ind w:left="119" w:right="119" w:firstLine="0"/>
        <w:jc w:val="both"/>
        <w:rPr>
          <w:sz w:val="20"/>
        </w:rPr>
      </w:pPr>
      <w:r>
        <w:rPr>
          <w:sz w:val="20"/>
        </w:rPr>
        <w:t>La CLT se complementa con las normas administrativas emitidas por el Ministerio de Trabajo</w:t>
      </w:r>
      <w:r>
        <w:rPr>
          <w:spacing w:val="-8"/>
          <w:sz w:val="20"/>
        </w:rPr>
        <w:t xml:space="preserve"> </w:t>
      </w:r>
      <w:r>
        <w:rPr>
          <w:sz w:val="20"/>
        </w:rPr>
        <w:t>y</w:t>
      </w:r>
      <w:r>
        <w:rPr>
          <w:spacing w:val="-6"/>
          <w:sz w:val="20"/>
        </w:rPr>
        <w:t xml:space="preserve"> </w:t>
      </w:r>
      <w:r>
        <w:rPr>
          <w:sz w:val="20"/>
        </w:rPr>
        <w:t>Empleo</w:t>
      </w:r>
      <w:r>
        <w:rPr>
          <w:spacing w:val="-7"/>
          <w:sz w:val="20"/>
        </w:rPr>
        <w:t xml:space="preserve"> </w:t>
      </w:r>
      <w:r>
        <w:rPr>
          <w:sz w:val="20"/>
        </w:rPr>
        <w:t>que</w:t>
      </w:r>
      <w:r>
        <w:rPr>
          <w:spacing w:val="-7"/>
          <w:sz w:val="20"/>
        </w:rPr>
        <w:t xml:space="preserve"> </w:t>
      </w:r>
      <w:r>
        <w:rPr>
          <w:sz w:val="20"/>
        </w:rPr>
        <w:t>regulan</w:t>
      </w:r>
      <w:r>
        <w:rPr>
          <w:spacing w:val="-7"/>
          <w:sz w:val="20"/>
        </w:rPr>
        <w:t xml:space="preserve"> </w:t>
      </w:r>
      <w:r>
        <w:rPr>
          <w:sz w:val="20"/>
        </w:rPr>
        <w:t>las</w:t>
      </w:r>
      <w:r>
        <w:rPr>
          <w:spacing w:val="-9"/>
          <w:sz w:val="20"/>
        </w:rPr>
        <w:t xml:space="preserve"> </w:t>
      </w:r>
      <w:r>
        <w:rPr>
          <w:sz w:val="20"/>
        </w:rPr>
        <w:t>profesiones</w:t>
      </w:r>
      <w:r>
        <w:rPr>
          <w:spacing w:val="-7"/>
          <w:sz w:val="20"/>
        </w:rPr>
        <w:t xml:space="preserve"> </w:t>
      </w:r>
      <w:r>
        <w:rPr>
          <w:sz w:val="20"/>
        </w:rPr>
        <w:t>de</w:t>
      </w:r>
      <w:r>
        <w:rPr>
          <w:spacing w:val="-9"/>
          <w:sz w:val="20"/>
        </w:rPr>
        <w:t xml:space="preserve"> </w:t>
      </w:r>
      <w:r>
        <w:rPr>
          <w:sz w:val="20"/>
        </w:rPr>
        <w:t>manera</w:t>
      </w:r>
      <w:r>
        <w:rPr>
          <w:spacing w:val="-5"/>
          <w:sz w:val="20"/>
        </w:rPr>
        <w:t xml:space="preserve"> </w:t>
      </w:r>
      <w:r>
        <w:rPr>
          <w:sz w:val="20"/>
        </w:rPr>
        <w:t>más</w:t>
      </w:r>
      <w:r>
        <w:rPr>
          <w:spacing w:val="-7"/>
          <w:sz w:val="20"/>
        </w:rPr>
        <w:t xml:space="preserve"> </w:t>
      </w:r>
      <w:r>
        <w:rPr>
          <w:sz w:val="20"/>
        </w:rPr>
        <w:t>detallada,</w:t>
      </w:r>
      <w:r>
        <w:rPr>
          <w:spacing w:val="-8"/>
          <w:sz w:val="20"/>
        </w:rPr>
        <w:t xml:space="preserve"> </w:t>
      </w:r>
      <w:r>
        <w:rPr>
          <w:sz w:val="20"/>
        </w:rPr>
        <w:t>proporcionando,</w:t>
      </w:r>
      <w:r>
        <w:rPr>
          <w:spacing w:val="-6"/>
          <w:sz w:val="20"/>
        </w:rPr>
        <w:t xml:space="preserve"> </w:t>
      </w:r>
      <w:r>
        <w:rPr>
          <w:sz w:val="20"/>
        </w:rPr>
        <w:t>por ejemplo, los criterios que debe seguir el empleador para un trabajo saludable y</w:t>
      </w:r>
      <w:r>
        <w:rPr>
          <w:spacing w:val="-28"/>
          <w:sz w:val="20"/>
        </w:rPr>
        <w:t xml:space="preserve"> </w:t>
      </w:r>
      <w:r>
        <w:rPr>
          <w:sz w:val="20"/>
        </w:rPr>
        <w:t>seguro.</w:t>
      </w:r>
    </w:p>
    <w:p w14:paraId="166A2A37" w14:textId="77777777" w:rsidR="00467FCA" w:rsidRDefault="00467FCA">
      <w:pPr>
        <w:pStyle w:val="Textoindependiente"/>
      </w:pPr>
    </w:p>
    <w:p w14:paraId="01E2333C" w14:textId="77777777" w:rsidR="00467FCA" w:rsidRDefault="001B68EB">
      <w:pPr>
        <w:pStyle w:val="Prrafodelista"/>
        <w:numPr>
          <w:ilvl w:val="0"/>
          <w:numId w:val="50"/>
        </w:numPr>
        <w:tabs>
          <w:tab w:val="left" w:pos="687"/>
        </w:tabs>
        <w:ind w:left="119" w:right="118" w:firstLine="0"/>
        <w:jc w:val="both"/>
        <w:rPr>
          <w:sz w:val="20"/>
        </w:rPr>
      </w:pPr>
      <w:r>
        <w:rPr>
          <w:sz w:val="20"/>
        </w:rPr>
        <w:t>La Ordenanza número 3.214 de 1978, que contiene la Norma Regulatoria No. 16, reglamentó las condiciones de peligrosidad. Dicha norma def</w:t>
      </w:r>
      <w:r>
        <w:rPr>
          <w:sz w:val="20"/>
        </w:rPr>
        <w:t>inió las actividades peligrosas, entre ellas, el almacenamiento de explosivos y las operaciones de manipulación de explosivos</w:t>
      </w:r>
      <w:hyperlink w:anchor="_bookmark214" w:history="1">
        <w:r>
          <w:rPr>
            <w:position w:val="7"/>
            <w:sz w:val="13"/>
          </w:rPr>
          <w:t>180</w:t>
        </w:r>
      </w:hyperlink>
      <w:r>
        <w:rPr>
          <w:sz w:val="20"/>
        </w:rPr>
        <w:t>.</w:t>
      </w:r>
    </w:p>
    <w:p w14:paraId="5DD44190" w14:textId="77777777" w:rsidR="00467FCA" w:rsidRDefault="00467FCA">
      <w:pPr>
        <w:pStyle w:val="Textoindependiente"/>
        <w:spacing w:before="1"/>
      </w:pPr>
    </w:p>
    <w:p w14:paraId="32E41712" w14:textId="77777777" w:rsidR="00467FCA" w:rsidRDefault="001B68EB">
      <w:pPr>
        <w:pStyle w:val="Prrafodelista"/>
        <w:numPr>
          <w:ilvl w:val="0"/>
          <w:numId w:val="50"/>
        </w:numPr>
        <w:tabs>
          <w:tab w:val="left" w:pos="687"/>
        </w:tabs>
        <w:ind w:left="119" w:right="119" w:hanging="1"/>
        <w:jc w:val="both"/>
        <w:rPr>
          <w:sz w:val="20"/>
        </w:rPr>
      </w:pPr>
      <w:r>
        <w:rPr>
          <w:sz w:val="20"/>
        </w:rPr>
        <w:t xml:space="preserve">Además, la Norma Regulatoria No. </w:t>
      </w:r>
      <w:r>
        <w:rPr>
          <w:spacing w:val="2"/>
          <w:sz w:val="20"/>
        </w:rPr>
        <w:t>16</w:t>
      </w:r>
      <w:hyperlink w:anchor="_bookmark215" w:history="1">
        <w:r>
          <w:rPr>
            <w:spacing w:val="2"/>
            <w:position w:val="7"/>
            <w:sz w:val="13"/>
          </w:rPr>
          <w:t>181</w:t>
        </w:r>
      </w:hyperlink>
      <w:r>
        <w:rPr>
          <w:spacing w:val="2"/>
          <w:position w:val="7"/>
          <w:sz w:val="13"/>
        </w:rPr>
        <w:t xml:space="preserve"> </w:t>
      </w:r>
      <w:r>
        <w:rPr>
          <w:sz w:val="20"/>
        </w:rPr>
        <w:t>del Ministerio de Trab</w:t>
      </w:r>
      <w:r>
        <w:rPr>
          <w:sz w:val="20"/>
        </w:rPr>
        <w:t>ajo, así como el artículo 193, párrafo 1, de la CLT (</w:t>
      </w:r>
      <w:r>
        <w:rPr>
          <w:i/>
          <w:sz w:val="20"/>
        </w:rPr>
        <w:t xml:space="preserve">supra </w:t>
      </w:r>
      <w:r>
        <w:rPr>
          <w:sz w:val="20"/>
        </w:rPr>
        <w:t>párr. 104), estipulan el pago adicional de un 30% sobre el salario regular para trabajadores en actividades peligrosas, mientras que la Norma Regulatoria No. 19</w:t>
      </w:r>
      <w:hyperlink w:anchor="_bookmark216" w:history="1">
        <w:r>
          <w:rPr>
            <w:position w:val="7"/>
            <w:sz w:val="13"/>
          </w:rPr>
          <w:t>182</w:t>
        </w:r>
      </w:hyperlink>
      <w:r>
        <w:rPr>
          <w:position w:val="7"/>
          <w:sz w:val="13"/>
        </w:rPr>
        <w:t xml:space="preserve"> </w:t>
      </w:r>
      <w:r>
        <w:rPr>
          <w:sz w:val="20"/>
        </w:rPr>
        <w:t>d</w:t>
      </w:r>
      <w:r>
        <w:rPr>
          <w:sz w:val="20"/>
        </w:rPr>
        <w:t>el mismo organismo, reglamentó las actividades con explosivos y estableció</w:t>
      </w:r>
      <w:r>
        <w:rPr>
          <w:spacing w:val="-10"/>
          <w:sz w:val="20"/>
        </w:rPr>
        <w:t xml:space="preserve"> </w:t>
      </w:r>
      <w:r>
        <w:rPr>
          <w:sz w:val="20"/>
        </w:rPr>
        <w:t>disposiciones</w:t>
      </w:r>
      <w:r>
        <w:rPr>
          <w:spacing w:val="-9"/>
          <w:sz w:val="20"/>
        </w:rPr>
        <w:t xml:space="preserve"> </w:t>
      </w:r>
      <w:r>
        <w:rPr>
          <w:sz w:val="20"/>
        </w:rPr>
        <w:t>relativas</w:t>
      </w:r>
      <w:r>
        <w:rPr>
          <w:spacing w:val="-11"/>
          <w:sz w:val="20"/>
        </w:rPr>
        <w:t xml:space="preserve"> </w:t>
      </w:r>
      <w:r>
        <w:rPr>
          <w:sz w:val="20"/>
        </w:rPr>
        <w:t>a</w:t>
      </w:r>
      <w:r>
        <w:rPr>
          <w:spacing w:val="-9"/>
          <w:sz w:val="20"/>
        </w:rPr>
        <w:t xml:space="preserve"> </w:t>
      </w:r>
      <w:r>
        <w:rPr>
          <w:sz w:val="20"/>
        </w:rPr>
        <w:t>la</w:t>
      </w:r>
      <w:r>
        <w:rPr>
          <w:spacing w:val="-8"/>
          <w:sz w:val="20"/>
        </w:rPr>
        <w:t xml:space="preserve"> </w:t>
      </w:r>
      <w:r>
        <w:rPr>
          <w:sz w:val="20"/>
        </w:rPr>
        <w:t>seguridad</w:t>
      </w:r>
      <w:r>
        <w:rPr>
          <w:spacing w:val="-11"/>
          <w:sz w:val="20"/>
        </w:rPr>
        <w:t xml:space="preserve"> </w:t>
      </w:r>
      <w:r>
        <w:rPr>
          <w:sz w:val="20"/>
        </w:rPr>
        <w:t>laboral</w:t>
      </w:r>
      <w:r>
        <w:rPr>
          <w:spacing w:val="-7"/>
          <w:sz w:val="20"/>
        </w:rPr>
        <w:t xml:space="preserve"> </w:t>
      </w:r>
      <w:r>
        <w:rPr>
          <w:sz w:val="20"/>
        </w:rPr>
        <w:t>y</w:t>
      </w:r>
      <w:r>
        <w:rPr>
          <w:spacing w:val="-8"/>
          <w:sz w:val="20"/>
        </w:rPr>
        <w:t xml:space="preserve"> </w:t>
      </w:r>
      <w:r>
        <w:rPr>
          <w:sz w:val="20"/>
        </w:rPr>
        <w:t>normas</w:t>
      </w:r>
      <w:r>
        <w:rPr>
          <w:spacing w:val="-10"/>
          <w:sz w:val="20"/>
        </w:rPr>
        <w:t xml:space="preserve"> </w:t>
      </w:r>
      <w:r>
        <w:rPr>
          <w:sz w:val="20"/>
        </w:rPr>
        <w:t>relativas</w:t>
      </w:r>
      <w:r>
        <w:rPr>
          <w:spacing w:val="-11"/>
          <w:sz w:val="20"/>
        </w:rPr>
        <w:t xml:space="preserve"> </w:t>
      </w:r>
      <w:r>
        <w:rPr>
          <w:sz w:val="20"/>
        </w:rPr>
        <w:t>al</w:t>
      </w:r>
      <w:r>
        <w:rPr>
          <w:spacing w:val="-7"/>
          <w:sz w:val="20"/>
        </w:rPr>
        <w:t xml:space="preserve"> </w:t>
      </w:r>
      <w:r>
        <w:rPr>
          <w:sz w:val="20"/>
        </w:rPr>
        <w:t>local</w:t>
      </w:r>
      <w:r>
        <w:rPr>
          <w:spacing w:val="-11"/>
          <w:sz w:val="20"/>
        </w:rPr>
        <w:t xml:space="preserve"> </w:t>
      </w:r>
      <w:r>
        <w:rPr>
          <w:sz w:val="20"/>
        </w:rPr>
        <w:t>de</w:t>
      </w:r>
      <w:r>
        <w:rPr>
          <w:spacing w:val="-11"/>
          <w:sz w:val="20"/>
        </w:rPr>
        <w:t xml:space="preserve"> </w:t>
      </w:r>
      <w:r>
        <w:rPr>
          <w:sz w:val="20"/>
        </w:rPr>
        <w:t>trabajo.</w:t>
      </w:r>
    </w:p>
    <w:p w14:paraId="7355CB47" w14:textId="77777777" w:rsidR="00467FCA" w:rsidRDefault="001B68EB">
      <w:pPr>
        <w:pStyle w:val="Textoindependiente"/>
        <w:spacing w:before="8"/>
        <w:rPr>
          <w:sz w:val="13"/>
        </w:rPr>
      </w:pPr>
      <w:r>
        <w:pict w14:anchorId="7B0BC9B0">
          <v:shape id="_x0000_s1167" style="position:absolute;margin-left:1in;margin-top:10.55pt;width:2in;height:.1pt;z-index:-251628544;mso-wrap-distance-left:0;mso-wrap-distance-right:0;mso-position-horizontal-relative:page" coordorigin="1440,211" coordsize="2880,0" path="m1440,211r2880,e" filled="f" strokeweight=".6pt">
            <v:path arrowok="t"/>
            <w10:wrap type="topAndBottom" anchorx="page"/>
          </v:shape>
        </w:pict>
      </w:r>
    </w:p>
    <w:p w14:paraId="3D645668" w14:textId="77777777" w:rsidR="00467FCA" w:rsidRDefault="001B68EB">
      <w:pPr>
        <w:tabs>
          <w:tab w:val="left" w:pos="839"/>
        </w:tabs>
        <w:spacing w:before="74"/>
        <w:ind w:left="120"/>
        <w:rPr>
          <w:i/>
          <w:sz w:val="16"/>
        </w:rPr>
      </w:pPr>
      <w:bookmarkStart w:id="244" w:name="_bookmark207"/>
      <w:bookmarkEnd w:id="244"/>
      <w:r>
        <w:rPr>
          <w:position w:val="6"/>
          <w:sz w:val="10"/>
        </w:rPr>
        <w:t>173</w:t>
      </w:r>
      <w:r>
        <w:rPr>
          <w:position w:val="6"/>
          <w:sz w:val="10"/>
        </w:rPr>
        <w:tab/>
      </w:r>
      <w:r>
        <w:rPr>
          <w:i/>
          <w:sz w:val="16"/>
        </w:rPr>
        <w:t xml:space="preserve">Cfr. </w:t>
      </w:r>
      <w:r>
        <w:rPr>
          <w:sz w:val="16"/>
        </w:rPr>
        <w:t xml:space="preserve">Consolidación de las Leyes del Trabajo, </w:t>
      </w:r>
      <w:r>
        <w:rPr>
          <w:i/>
          <w:sz w:val="16"/>
        </w:rPr>
        <w:t xml:space="preserve">supra, </w:t>
      </w:r>
      <w:r>
        <w:rPr>
          <w:sz w:val="16"/>
        </w:rPr>
        <w:t>artículos 142, §5 y 611-B,</w:t>
      </w:r>
      <w:r>
        <w:rPr>
          <w:spacing w:val="-15"/>
          <w:sz w:val="16"/>
        </w:rPr>
        <w:t xml:space="preserve"> </w:t>
      </w:r>
      <w:r>
        <w:rPr>
          <w:sz w:val="16"/>
        </w:rPr>
        <w:t>X</w:t>
      </w:r>
      <w:r>
        <w:rPr>
          <w:i/>
          <w:sz w:val="16"/>
        </w:rPr>
        <w:t>.</w:t>
      </w:r>
    </w:p>
    <w:p w14:paraId="4D53B81C" w14:textId="77777777" w:rsidR="00467FCA" w:rsidRDefault="001B68EB">
      <w:pPr>
        <w:tabs>
          <w:tab w:val="left" w:pos="839"/>
        </w:tabs>
        <w:ind w:left="120"/>
        <w:rPr>
          <w:i/>
          <w:sz w:val="16"/>
        </w:rPr>
      </w:pPr>
      <w:bookmarkStart w:id="245" w:name="_bookmark208"/>
      <w:bookmarkEnd w:id="245"/>
      <w:r>
        <w:rPr>
          <w:position w:val="6"/>
          <w:sz w:val="10"/>
        </w:rPr>
        <w:t>174</w:t>
      </w:r>
      <w:r>
        <w:rPr>
          <w:position w:val="6"/>
          <w:sz w:val="10"/>
        </w:rPr>
        <w:tab/>
      </w:r>
      <w:r>
        <w:rPr>
          <w:i/>
          <w:sz w:val="16"/>
        </w:rPr>
        <w:t xml:space="preserve">Cfr. </w:t>
      </w:r>
      <w:r>
        <w:rPr>
          <w:sz w:val="16"/>
        </w:rPr>
        <w:t xml:space="preserve">Consolidación de las Leyes del Trabajo, </w:t>
      </w:r>
      <w:r>
        <w:rPr>
          <w:i/>
          <w:sz w:val="16"/>
        </w:rPr>
        <w:t xml:space="preserve">supra, </w:t>
      </w:r>
      <w:r>
        <w:rPr>
          <w:sz w:val="16"/>
        </w:rPr>
        <w:t>artículo 193, §</w:t>
      </w:r>
      <w:r>
        <w:rPr>
          <w:spacing w:val="-13"/>
          <w:sz w:val="16"/>
        </w:rPr>
        <w:t xml:space="preserve"> </w:t>
      </w:r>
      <w:r>
        <w:rPr>
          <w:sz w:val="16"/>
        </w:rPr>
        <w:t>1</w:t>
      </w:r>
      <w:r>
        <w:rPr>
          <w:i/>
          <w:sz w:val="16"/>
        </w:rPr>
        <w:t>.</w:t>
      </w:r>
    </w:p>
    <w:p w14:paraId="1FCAEC55" w14:textId="77777777" w:rsidR="00467FCA" w:rsidRDefault="001B68EB">
      <w:pPr>
        <w:tabs>
          <w:tab w:val="left" w:pos="839"/>
        </w:tabs>
        <w:ind w:left="120"/>
        <w:rPr>
          <w:i/>
          <w:sz w:val="16"/>
        </w:rPr>
      </w:pPr>
      <w:bookmarkStart w:id="246" w:name="_bookmark209"/>
      <w:bookmarkEnd w:id="246"/>
      <w:r>
        <w:rPr>
          <w:position w:val="6"/>
          <w:sz w:val="10"/>
        </w:rPr>
        <w:t>175</w:t>
      </w:r>
      <w:r>
        <w:rPr>
          <w:position w:val="6"/>
          <w:sz w:val="10"/>
        </w:rPr>
        <w:tab/>
      </w:r>
      <w:bookmarkStart w:id="247" w:name="_bookmark210"/>
      <w:bookmarkEnd w:id="247"/>
      <w:r>
        <w:rPr>
          <w:i/>
          <w:sz w:val="16"/>
        </w:rPr>
        <w:t xml:space="preserve">Cfr. </w:t>
      </w:r>
      <w:r>
        <w:rPr>
          <w:sz w:val="16"/>
        </w:rPr>
        <w:t xml:space="preserve">Consolidación de las Leyes del Trabajo, </w:t>
      </w:r>
      <w:r>
        <w:rPr>
          <w:i/>
          <w:sz w:val="16"/>
        </w:rPr>
        <w:t xml:space="preserve">supra, </w:t>
      </w:r>
      <w:r>
        <w:rPr>
          <w:sz w:val="16"/>
        </w:rPr>
        <w:t>artículo 458,</w:t>
      </w:r>
      <w:r>
        <w:rPr>
          <w:spacing w:val="-11"/>
          <w:sz w:val="16"/>
        </w:rPr>
        <w:t xml:space="preserve"> </w:t>
      </w:r>
      <w:r>
        <w:rPr>
          <w:sz w:val="16"/>
        </w:rPr>
        <w:t>IV</w:t>
      </w:r>
      <w:r>
        <w:rPr>
          <w:i/>
          <w:sz w:val="16"/>
        </w:rPr>
        <w:t>.</w:t>
      </w:r>
    </w:p>
    <w:p w14:paraId="46D92A68" w14:textId="77777777" w:rsidR="00467FCA" w:rsidRDefault="001B68EB">
      <w:pPr>
        <w:tabs>
          <w:tab w:val="left" w:pos="839"/>
        </w:tabs>
        <w:ind w:left="120"/>
        <w:rPr>
          <w:sz w:val="16"/>
        </w:rPr>
      </w:pPr>
      <w:r>
        <w:rPr>
          <w:position w:val="6"/>
          <w:sz w:val="10"/>
        </w:rPr>
        <w:t>176</w:t>
      </w:r>
      <w:r>
        <w:rPr>
          <w:position w:val="6"/>
          <w:sz w:val="10"/>
        </w:rPr>
        <w:tab/>
      </w:r>
      <w:bookmarkStart w:id="248" w:name="_bookmark211"/>
      <w:bookmarkEnd w:id="248"/>
      <w:r>
        <w:rPr>
          <w:i/>
          <w:sz w:val="16"/>
        </w:rPr>
        <w:t xml:space="preserve">Cfr. </w:t>
      </w:r>
      <w:r>
        <w:rPr>
          <w:sz w:val="16"/>
        </w:rPr>
        <w:t xml:space="preserve">Consolidación de las Leyes del Trabajo, </w:t>
      </w:r>
      <w:r>
        <w:rPr>
          <w:i/>
          <w:sz w:val="16"/>
        </w:rPr>
        <w:t xml:space="preserve">supra, </w:t>
      </w:r>
      <w:r>
        <w:rPr>
          <w:sz w:val="16"/>
        </w:rPr>
        <w:t>artículo 611-B,</w:t>
      </w:r>
      <w:r>
        <w:rPr>
          <w:spacing w:val="-12"/>
          <w:sz w:val="16"/>
        </w:rPr>
        <w:t xml:space="preserve"> </w:t>
      </w:r>
      <w:r>
        <w:rPr>
          <w:sz w:val="16"/>
        </w:rPr>
        <w:t>XXIII.</w:t>
      </w:r>
    </w:p>
    <w:p w14:paraId="143CB419" w14:textId="77777777" w:rsidR="00467FCA" w:rsidRDefault="001B68EB">
      <w:pPr>
        <w:tabs>
          <w:tab w:val="left" w:pos="839"/>
        </w:tabs>
        <w:ind w:left="120"/>
        <w:rPr>
          <w:sz w:val="16"/>
        </w:rPr>
      </w:pPr>
      <w:r>
        <w:rPr>
          <w:position w:val="6"/>
          <w:sz w:val="10"/>
        </w:rPr>
        <w:t>177</w:t>
      </w:r>
      <w:r>
        <w:rPr>
          <w:position w:val="6"/>
          <w:sz w:val="10"/>
        </w:rPr>
        <w:tab/>
      </w:r>
      <w:r>
        <w:rPr>
          <w:i/>
          <w:sz w:val="16"/>
        </w:rPr>
        <w:t xml:space="preserve">Cfr. </w:t>
      </w:r>
      <w:r>
        <w:rPr>
          <w:sz w:val="16"/>
        </w:rPr>
        <w:t>Peritaje rendido por Viviane de Jesus Forte,</w:t>
      </w:r>
      <w:r>
        <w:rPr>
          <w:spacing w:val="-8"/>
          <w:sz w:val="16"/>
        </w:rPr>
        <w:t xml:space="preserve"> </w:t>
      </w:r>
      <w:r>
        <w:rPr>
          <w:i/>
          <w:sz w:val="16"/>
        </w:rPr>
        <w:t>supra</w:t>
      </w:r>
      <w:r>
        <w:rPr>
          <w:sz w:val="16"/>
        </w:rPr>
        <w:t>.</w:t>
      </w:r>
    </w:p>
    <w:p w14:paraId="77D5CE2A" w14:textId="77777777" w:rsidR="00467FCA" w:rsidRDefault="001B68EB">
      <w:pPr>
        <w:tabs>
          <w:tab w:val="left" w:pos="839"/>
        </w:tabs>
        <w:ind w:left="120"/>
        <w:rPr>
          <w:i/>
          <w:sz w:val="16"/>
        </w:rPr>
      </w:pPr>
      <w:bookmarkStart w:id="249" w:name="_bookmark212"/>
      <w:bookmarkEnd w:id="249"/>
      <w:r>
        <w:rPr>
          <w:position w:val="6"/>
          <w:sz w:val="10"/>
        </w:rPr>
        <w:t>178</w:t>
      </w:r>
      <w:r>
        <w:rPr>
          <w:position w:val="6"/>
          <w:sz w:val="10"/>
        </w:rPr>
        <w:tab/>
      </w:r>
      <w:r>
        <w:rPr>
          <w:i/>
          <w:sz w:val="16"/>
        </w:rPr>
        <w:t xml:space="preserve">Cfr. </w:t>
      </w:r>
      <w:r>
        <w:rPr>
          <w:sz w:val="16"/>
        </w:rPr>
        <w:t xml:space="preserve">Consolidación de las Leyes del Trabajo, </w:t>
      </w:r>
      <w:r>
        <w:rPr>
          <w:i/>
          <w:sz w:val="16"/>
        </w:rPr>
        <w:t>supra</w:t>
      </w:r>
      <w:r>
        <w:rPr>
          <w:sz w:val="16"/>
        </w:rPr>
        <w:t>, artículo</w:t>
      </w:r>
      <w:r>
        <w:rPr>
          <w:spacing w:val="-10"/>
          <w:sz w:val="16"/>
        </w:rPr>
        <w:t xml:space="preserve"> </w:t>
      </w:r>
      <w:r>
        <w:rPr>
          <w:sz w:val="16"/>
        </w:rPr>
        <w:t>193</w:t>
      </w:r>
      <w:r>
        <w:rPr>
          <w:i/>
          <w:sz w:val="16"/>
        </w:rPr>
        <w:t>.</w:t>
      </w:r>
    </w:p>
    <w:p w14:paraId="60530C1B" w14:textId="77777777" w:rsidR="00467FCA" w:rsidRDefault="001B68EB">
      <w:pPr>
        <w:tabs>
          <w:tab w:val="left" w:pos="839"/>
        </w:tabs>
        <w:ind w:left="120"/>
        <w:rPr>
          <w:i/>
          <w:sz w:val="16"/>
        </w:rPr>
      </w:pPr>
      <w:bookmarkStart w:id="250" w:name="_bookmark213"/>
      <w:bookmarkEnd w:id="250"/>
      <w:r>
        <w:rPr>
          <w:position w:val="6"/>
          <w:sz w:val="10"/>
        </w:rPr>
        <w:t>179</w:t>
      </w:r>
      <w:r>
        <w:rPr>
          <w:position w:val="6"/>
          <w:sz w:val="10"/>
        </w:rPr>
        <w:tab/>
      </w:r>
      <w:bookmarkStart w:id="251" w:name="_bookmark214"/>
      <w:bookmarkEnd w:id="251"/>
      <w:r>
        <w:rPr>
          <w:i/>
          <w:sz w:val="16"/>
        </w:rPr>
        <w:t xml:space="preserve">Cfr. </w:t>
      </w:r>
      <w:r>
        <w:rPr>
          <w:sz w:val="16"/>
        </w:rPr>
        <w:t xml:space="preserve">Consolidación de las Leyes del Trabajo, </w:t>
      </w:r>
      <w:r>
        <w:rPr>
          <w:i/>
          <w:sz w:val="16"/>
        </w:rPr>
        <w:t>supra</w:t>
      </w:r>
      <w:r>
        <w:rPr>
          <w:sz w:val="16"/>
        </w:rPr>
        <w:t>,</w:t>
      </w:r>
      <w:r>
        <w:rPr>
          <w:sz w:val="16"/>
        </w:rPr>
        <w:t xml:space="preserve"> artículos 403 a</w:t>
      </w:r>
      <w:r>
        <w:rPr>
          <w:spacing w:val="-12"/>
          <w:sz w:val="16"/>
        </w:rPr>
        <w:t xml:space="preserve"> </w:t>
      </w:r>
      <w:r>
        <w:rPr>
          <w:sz w:val="16"/>
        </w:rPr>
        <w:t>405</w:t>
      </w:r>
      <w:r>
        <w:rPr>
          <w:i/>
          <w:sz w:val="16"/>
        </w:rPr>
        <w:t>.</w:t>
      </w:r>
    </w:p>
    <w:p w14:paraId="6D04428B" w14:textId="77777777" w:rsidR="00467FCA" w:rsidRDefault="001B68EB">
      <w:pPr>
        <w:tabs>
          <w:tab w:val="left" w:pos="839"/>
        </w:tabs>
        <w:ind w:left="119" w:right="114"/>
        <w:rPr>
          <w:sz w:val="16"/>
        </w:rPr>
      </w:pPr>
      <w:r>
        <w:rPr>
          <w:position w:val="6"/>
          <w:sz w:val="10"/>
        </w:rPr>
        <w:t>180</w:t>
      </w:r>
      <w:r>
        <w:rPr>
          <w:position w:val="6"/>
          <w:sz w:val="10"/>
        </w:rPr>
        <w:tab/>
      </w:r>
      <w:r>
        <w:rPr>
          <w:i/>
          <w:sz w:val="16"/>
        </w:rPr>
        <w:t xml:space="preserve">Cfr. </w:t>
      </w:r>
      <w:r>
        <w:rPr>
          <w:sz w:val="16"/>
        </w:rPr>
        <w:t xml:space="preserve">Norma Regulatoria No. 16 (NR 16 – Actividades y operaciones peligrosas), disponible en: </w:t>
      </w:r>
      <w:hyperlink r:id="rId24">
        <w:r>
          <w:rPr>
            <w:sz w:val="16"/>
            <w:u w:val="single"/>
          </w:rPr>
          <w:t>https://enit.trabalho.gov.br/</w:t>
        </w:r>
        <w:r>
          <w:rPr>
            <w:sz w:val="16"/>
            <w:u w:val="single"/>
          </w:rPr>
          <w:t>portal/images/Arquivos_SST/SST_NR/NR-16-atualizada-2019.pdf</w:t>
        </w:r>
      </w:hyperlink>
      <w:r>
        <w:rPr>
          <w:sz w:val="16"/>
        </w:rPr>
        <w:t>, y Ordenanza</w:t>
      </w:r>
      <w:r>
        <w:rPr>
          <w:spacing w:val="38"/>
          <w:sz w:val="16"/>
        </w:rPr>
        <w:t xml:space="preserve"> </w:t>
      </w:r>
      <w:r>
        <w:rPr>
          <w:sz w:val="16"/>
        </w:rPr>
        <w:t>No.</w:t>
      </w:r>
    </w:p>
    <w:p w14:paraId="5779CD6C" w14:textId="77777777" w:rsidR="00467FCA" w:rsidRDefault="001B68EB">
      <w:pPr>
        <w:tabs>
          <w:tab w:val="left" w:pos="1365"/>
          <w:tab w:val="left" w:pos="2380"/>
          <w:tab w:val="left" w:pos="3261"/>
          <w:tab w:val="left" w:pos="4235"/>
          <w:tab w:val="left" w:pos="5412"/>
          <w:tab w:val="left" w:pos="6384"/>
          <w:tab w:val="left" w:pos="7627"/>
          <w:tab w:val="left" w:pos="9211"/>
        </w:tabs>
        <w:ind w:left="120" w:right="117"/>
        <w:rPr>
          <w:sz w:val="16"/>
        </w:rPr>
      </w:pPr>
      <w:r>
        <w:rPr>
          <w:sz w:val="16"/>
        </w:rPr>
        <w:t>3.214</w:t>
      </w:r>
      <w:r>
        <w:rPr>
          <w:sz w:val="16"/>
        </w:rPr>
        <w:tab/>
        <w:t>del</w:t>
      </w:r>
      <w:r>
        <w:rPr>
          <w:sz w:val="16"/>
        </w:rPr>
        <w:tab/>
        <w:t>8</w:t>
      </w:r>
      <w:r>
        <w:rPr>
          <w:sz w:val="16"/>
        </w:rPr>
        <w:tab/>
        <w:t>de</w:t>
      </w:r>
      <w:r>
        <w:rPr>
          <w:sz w:val="16"/>
        </w:rPr>
        <w:tab/>
        <w:t>junio</w:t>
      </w:r>
      <w:r>
        <w:rPr>
          <w:sz w:val="16"/>
        </w:rPr>
        <w:tab/>
        <w:t>de</w:t>
      </w:r>
      <w:r>
        <w:rPr>
          <w:sz w:val="16"/>
        </w:rPr>
        <w:tab/>
        <w:t>1978,</w:t>
      </w:r>
      <w:r>
        <w:rPr>
          <w:sz w:val="16"/>
        </w:rPr>
        <w:tab/>
        <w:t>disponible</w:t>
      </w:r>
      <w:r>
        <w:rPr>
          <w:sz w:val="16"/>
        </w:rPr>
        <w:tab/>
      </w:r>
      <w:r>
        <w:rPr>
          <w:spacing w:val="-7"/>
          <w:sz w:val="16"/>
        </w:rPr>
        <w:t>en:</w:t>
      </w:r>
      <w:r>
        <w:rPr>
          <w:spacing w:val="-7"/>
          <w:sz w:val="16"/>
          <w:u w:val="single"/>
        </w:rPr>
        <w:t xml:space="preserve"> </w:t>
      </w:r>
      <w:hyperlink r:id="rId25">
        <w:r>
          <w:rPr>
            <w:sz w:val="16"/>
            <w:u w:val="single"/>
          </w:rPr>
          <w:t>https://enit.trabalho.gov.br/portal/images/Arquivos_SST/SST_Legislacao/SST_Legislacao_Portarias_1978/00-</w:t>
        </w:r>
        <w:r>
          <w:rPr>
            <w:sz w:val="16"/>
            <w:u w:val="single"/>
          </w:rPr>
          <w:t>--</w:t>
        </w:r>
      </w:hyperlink>
      <w:hyperlink r:id="rId26">
        <w:r>
          <w:rPr>
            <w:sz w:val="16"/>
            <w:u w:val="single"/>
          </w:rPr>
          <w:t xml:space="preserve"> Portaria-MTb-n.-3.214_78.pdf</w:t>
        </w:r>
        <w:r>
          <w:rPr>
            <w:sz w:val="16"/>
          </w:rPr>
          <w:t>.</w:t>
        </w:r>
      </w:hyperlink>
    </w:p>
    <w:p w14:paraId="76CA9D0B" w14:textId="77777777" w:rsidR="00467FCA" w:rsidRDefault="001B68EB">
      <w:pPr>
        <w:tabs>
          <w:tab w:val="left" w:pos="839"/>
        </w:tabs>
        <w:ind w:left="120"/>
        <w:rPr>
          <w:sz w:val="16"/>
        </w:rPr>
      </w:pPr>
      <w:bookmarkStart w:id="252" w:name="_bookmark215"/>
      <w:bookmarkEnd w:id="252"/>
      <w:r>
        <w:rPr>
          <w:position w:val="6"/>
          <w:sz w:val="10"/>
        </w:rPr>
        <w:t>181</w:t>
      </w:r>
      <w:r>
        <w:rPr>
          <w:position w:val="6"/>
          <w:sz w:val="10"/>
        </w:rPr>
        <w:tab/>
      </w:r>
      <w:r>
        <w:rPr>
          <w:i/>
          <w:sz w:val="16"/>
        </w:rPr>
        <w:t xml:space="preserve">Cfr. </w:t>
      </w:r>
      <w:r>
        <w:rPr>
          <w:sz w:val="16"/>
        </w:rPr>
        <w:t xml:space="preserve">Norma Regulatoria No. 16, </w:t>
      </w:r>
      <w:r>
        <w:rPr>
          <w:i/>
          <w:sz w:val="16"/>
        </w:rPr>
        <w:t>supra</w:t>
      </w:r>
      <w:r>
        <w:rPr>
          <w:sz w:val="16"/>
        </w:rPr>
        <w:t>, artículo</w:t>
      </w:r>
      <w:r>
        <w:rPr>
          <w:spacing w:val="-10"/>
          <w:sz w:val="16"/>
        </w:rPr>
        <w:t xml:space="preserve"> </w:t>
      </w:r>
      <w:r>
        <w:rPr>
          <w:sz w:val="16"/>
        </w:rPr>
        <w:t>16.2.</w:t>
      </w:r>
    </w:p>
    <w:p w14:paraId="55F7B604" w14:textId="77777777" w:rsidR="00467FCA" w:rsidRDefault="001B68EB">
      <w:pPr>
        <w:tabs>
          <w:tab w:val="left" w:pos="839"/>
        </w:tabs>
        <w:ind w:left="120" w:right="117" w:hanging="1"/>
        <w:rPr>
          <w:sz w:val="16"/>
        </w:rPr>
      </w:pPr>
      <w:bookmarkStart w:id="253" w:name="_bookmark216"/>
      <w:bookmarkEnd w:id="253"/>
      <w:r>
        <w:rPr>
          <w:position w:val="6"/>
          <w:sz w:val="10"/>
        </w:rPr>
        <w:t>182</w:t>
      </w:r>
      <w:r>
        <w:rPr>
          <w:position w:val="6"/>
          <w:sz w:val="10"/>
        </w:rPr>
        <w:tab/>
      </w:r>
      <w:r>
        <w:rPr>
          <w:i/>
          <w:sz w:val="16"/>
        </w:rPr>
        <w:t>Cfr.</w:t>
      </w:r>
      <w:r>
        <w:rPr>
          <w:i/>
          <w:spacing w:val="-6"/>
          <w:sz w:val="16"/>
        </w:rPr>
        <w:t xml:space="preserve"> </w:t>
      </w:r>
      <w:r>
        <w:rPr>
          <w:sz w:val="16"/>
        </w:rPr>
        <w:t>Nor</w:t>
      </w:r>
      <w:r>
        <w:rPr>
          <w:sz w:val="16"/>
        </w:rPr>
        <w:t>ma</w:t>
      </w:r>
      <w:r>
        <w:rPr>
          <w:spacing w:val="-8"/>
          <w:sz w:val="16"/>
        </w:rPr>
        <w:t xml:space="preserve"> </w:t>
      </w:r>
      <w:r>
        <w:rPr>
          <w:sz w:val="16"/>
        </w:rPr>
        <w:t>Regulatoria</w:t>
      </w:r>
      <w:r>
        <w:rPr>
          <w:spacing w:val="-6"/>
          <w:sz w:val="16"/>
        </w:rPr>
        <w:t xml:space="preserve"> </w:t>
      </w:r>
      <w:r>
        <w:rPr>
          <w:sz w:val="16"/>
        </w:rPr>
        <w:t>No.</w:t>
      </w:r>
      <w:r>
        <w:rPr>
          <w:spacing w:val="-8"/>
          <w:sz w:val="16"/>
        </w:rPr>
        <w:t xml:space="preserve"> </w:t>
      </w:r>
      <w:r>
        <w:rPr>
          <w:sz w:val="16"/>
        </w:rPr>
        <w:t>19</w:t>
      </w:r>
      <w:r>
        <w:rPr>
          <w:spacing w:val="-6"/>
          <w:sz w:val="16"/>
        </w:rPr>
        <w:t xml:space="preserve"> </w:t>
      </w:r>
      <w:r>
        <w:rPr>
          <w:sz w:val="16"/>
        </w:rPr>
        <w:t>(NR</w:t>
      </w:r>
      <w:r>
        <w:rPr>
          <w:spacing w:val="-4"/>
          <w:sz w:val="16"/>
        </w:rPr>
        <w:t xml:space="preserve"> </w:t>
      </w:r>
      <w:r>
        <w:rPr>
          <w:sz w:val="16"/>
        </w:rPr>
        <w:t>19</w:t>
      </w:r>
      <w:r>
        <w:rPr>
          <w:spacing w:val="-6"/>
          <w:sz w:val="16"/>
        </w:rPr>
        <w:t xml:space="preserve"> </w:t>
      </w:r>
      <w:r>
        <w:rPr>
          <w:sz w:val="16"/>
        </w:rPr>
        <w:t>–</w:t>
      </w:r>
      <w:r>
        <w:rPr>
          <w:spacing w:val="-4"/>
          <w:sz w:val="16"/>
        </w:rPr>
        <w:t xml:space="preserve"> </w:t>
      </w:r>
      <w:r>
        <w:rPr>
          <w:sz w:val="16"/>
        </w:rPr>
        <w:t>Explosivos),</w:t>
      </w:r>
      <w:r>
        <w:rPr>
          <w:spacing w:val="-8"/>
          <w:sz w:val="16"/>
        </w:rPr>
        <w:t xml:space="preserve"> </w:t>
      </w:r>
      <w:r>
        <w:rPr>
          <w:sz w:val="16"/>
        </w:rPr>
        <w:t>Decreto</w:t>
      </w:r>
      <w:r>
        <w:rPr>
          <w:spacing w:val="-4"/>
          <w:sz w:val="16"/>
        </w:rPr>
        <w:t xml:space="preserve"> </w:t>
      </w:r>
      <w:r>
        <w:rPr>
          <w:sz w:val="16"/>
        </w:rPr>
        <w:t>No.</w:t>
      </w:r>
      <w:r>
        <w:rPr>
          <w:spacing w:val="-8"/>
          <w:sz w:val="16"/>
        </w:rPr>
        <w:t xml:space="preserve"> </w:t>
      </w:r>
      <w:r>
        <w:rPr>
          <w:sz w:val="16"/>
        </w:rPr>
        <w:t>3.214</w:t>
      </w:r>
      <w:r>
        <w:rPr>
          <w:spacing w:val="-4"/>
          <w:sz w:val="16"/>
        </w:rPr>
        <w:t xml:space="preserve"> </w:t>
      </w:r>
      <w:r>
        <w:rPr>
          <w:sz w:val="16"/>
        </w:rPr>
        <w:t>del</w:t>
      </w:r>
      <w:r>
        <w:rPr>
          <w:spacing w:val="-8"/>
          <w:sz w:val="16"/>
        </w:rPr>
        <w:t xml:space="preserve"> </w:t>
      </w:r>
      <w:r>
        <w:rPr>
          <w:sz w:val="16"/>
        </w:rPr>
        <w:t>08</w:t>
      </w:r>
      <w:r>
        <w:rPr>
          <w:spacing w:val="-4"/>
          <w:sz w:val="16"/>
        </w:rPr>
        <w:t xml:space="preserve"> </w:t>
      </w:r>
      <w:r>
        <w:rPr>
          <w:sz w:val="16"/>
        </w:rPr>
        <w:t>de</w:t>
      </w:r>
      <w:r>
        <w:rPr>
          <w:spacing w:val="-7"/>
          <w:sz w:val="16"/>
        </w:rPr>
        <w:t xml:space="preserve"> </w:t>
      </w:r>
      <w:r>
        <w:rPr>
          <w:sz w:val="16"/>
        </w:rPr>
        <w:t>junio</w:t>
      </w:r>
      <w:r>
        <w:rPr>
          <w:spacing w:val="-4"/>
          <w:sz w:val="16"/>
        </w:rPr>
        <w:t xml:space="preserve"> </w:t>
      </w:r>
      <w:r>
        <w:rPr>
          <w:sz w:val="16"/>
        </w:rPr>
        <w:t>de</w:t>
      </w:r>
      <w:r>
        <w:rPr>
          <w:spacing w:val="-7"/>
          <w:sz w:val="16"/>
        </w:rPr>
        <w:t xml:space="preserve"> </w:t>
      </w:r>
      <w:r>
        <w:rPr>
          <w:sz w:val="16"/>
        </w:rPr>
        <w:t>1978.</w:t>
      </w:r>
      <w:r>
        <w:rPr>
          <w:spacing w:val="-6"/>
          <w:sz w:val="16"/>
        </w:rPr>
        <w:t xml:space="preserve"> </w:t>
      </w:r>
      <w:r>
        <w:rPr>
          <w:sz w:val="16"/>
        </w:rPr>
        <w:t>Disponible en:</w:t>
      </w:r>
      <w:r>
        <w:rPr>
          <w:spacing w:val="-1"/>
          <w:sz w:val="16"/>
        </w:rPr>
        <w:t xml:space="preserve"> </w:t>
      </w:r>
      <w:hyperlink r:id="rId27">
        <w:r>
          <w:rPr>
            <w:sz w:val="16"/>
            <w:u w:val="single"/>
          </w:rPr>
          <w:t>https://enit.trabalho.gov.br/portal/images/Arquivos_SST/SST_NR</w:t>
        </w:r>
        <w:r>
          <w:rPr>
            <w:sz w:val="16"/>
            <w:u w:val="single"/>
          </w:rPr>
          <w:t>/NR-19.pdf</w:t>
        </w:r>
      </w:hyperlink>
      <w:r>
        <w:rPr>
          <w:sz w:val="16"/>
        </w:rPr>
        <w:t>.</w:t>
      </w:r>
    </w:p>
    <w:p w14:paraId="1B0E9D95" w14:textId="77777777" w:rsidR="00467FCA" w:rsidRDefault="00467FCA">
      <w:pPr>
        <w:rPr>
          <w:sz w:val="16"/>
        </w:rPr>
        <w:sectPr w:rsidR="00467FCA">
          <w:pgSz w:w="12240" w:h="15840"/>
          <w:pgMar w:top="1360" w:right="1320" w:bottom="1220" w:left="1320" w:header="0" w:footer="1037" w:gutter="0"/>
          <w:cols w:space="720"/>
        </w:sectPr>
      </w:pPr>
    </w:p>
    <w:p w14:paraId="1AC026B6" w14:textId="77777777" w:rsidR="00467FCA" w:rsidRDefault="001B68EB">
      <w:pPr>
        <w:pStyle w:val="Prrafodelista"/>
        <w:numPr>
          <w:ilvl w:val="0"/>
          <w:numId w:val="50"/>
        </w:numPr>
        <w:tabs>
          <w:tab w:val="left" w:pos="687"/>
        </w:tabs>
        <w:spacing w:before="183"/>
        <w:ind w:left="119" w:right="120" w:firstLine="0"/>
        <w:jc w:val="both"/>
        <w:rPr>
          <w:sz w:val="20"/>
        </w:rPr>
      </w:pPr>
      <w:r>
        <w:rPr>
          <w:sz w:val="20"/>
        </w:rPr>
        <w:t>Finalmente, además de las disposiciones legislativas ya mencionadas, el Estatuto del Niño y del Adolescente (en adelante “ECA”, por sus siglas en portugués) prohíbe cualquier trabajo para niños y niñas menores de catorce años</w:t>
      </w:r>
      <w:hyperlink w:anchor="_bookmark220" w:history="1">
        <w:r>
          <w:rPr>
            <w:position w:val="7"/>
            <w:sz w:val="13"/>
          </w:rPr>
          <w:t>183</w:t>
        </w:r>
      </w:hyperlink>
      <w:r>
        <w:rPr>
          <w:sz w:val="20"/>
        </w:rPr>
        <w:t>. El ECA también veda el trabajo peligroso, insalubre o penoso a</w:t>
      </w:r>
      <w:r>
        <w:rPr>
          <w:spacing w:val="-5"/>
          <w:sz w:val="20"/>
        </w:rPr>
        <w:t xml:space="preserve"> </w:t>
      </w:r>
      <w:r>
        <w:rPr>
          <w:sz w:val="20"/>
        </w:rPr>
        <w:t>adolescentes</w:t>
      </w:r>
      <w:hyperlink w:anchor="_bookmark221" w:history="1">
        <w:r>
          <w:rPr>
            <w:position w:val="7"/>
            <w:sz w:val="13"/>
          </w:rPr>
          <w:t>184</w:t>
        </w:r>
      </w:hyperlink>
      <w:r>
        <w:rPr>
          <w:sz w:val="20"/>
        </w:rPr>
        <w:t>.</w:t>
      </w:r>
    </w:p>
    <w:p w14:paraId="5899D5D4" w14:textId="77777777" w:rsidR="00467FCA" w:rsidRDefault="00467FCA">
      <w:pPr>
        <w:pStyle w:val="Textoindependiente"/>
        <w:spacing w:before="1"/>
      </w:pPr>
    </w:p>
    <w:p w14:paraId="20AD0B52" w14:textId="77777777" w:rsidR="00467FCA" w:rsidRDefault="001B68EB">
      <w:pPr>
        <w:pStyle w:val="Ttulo1"/>
        <w:spacing w:line="276" w:lineRule="auto"/>
        <w:ind w:left="4396" w:right="4398" w:firstLine="1"/>
        <w:jc w:val="center"/>
      </w:pPr>
      <w:bookmarkStart w:id="254" w:name="VIII_FONDO"/>
      <w:bookmarkStart w:id="255" w:name="_bookmark217"/>
      <w:bookmarkEnd w:id="254"/>
      <w:bookmarkEnd w:id="255"/>
      <w:r>
        <w:t xml:space="preserve">VIII </w:t>
      </w:r>
      <w:r>
        <w:rPr>
          <w:w w:val="95"/>
        </w:rPr>
        <w:t>FONDO</w:t>
      </w:r>
    </w:p>
    <w:p w14:paraId="29981272" w14:textId="77777777" w:rsidR="00467FCA" w:rsidRDefault="00467FCA">
      <w:pPr>
        <w:pStyle w:val="Textoindependiente"/>
        <w:rPr>
          <w:b/>
        </w:rPr>
      </w:pPr>
    </w:p>
    <w:p w14:paraId="4A086818" w14:textId="77777777" w:rsidR="00467FCA" w:rsidRDefault="001B68EB">
      <w:pPr>
        <w:pStyle w:val="Prrafodelista"/>
        <w:numPr>
          <w:ilvl w:val="0"/>
          <w:numId w:val="50"/>
        </w:numPr>
        <w:tabs>
          <w:tab w:val="left" w:pos="687"/>
        </w:tabs>
        <w:ind w:left="119" w:right="117" w:firstLine="0"/>
        <w:jc w:val="both"/>
        <w:rPr>
          <w:sz w:val="20"/>
        </w:rPr>
      </w:pPr>
      <w:r>
        <w:rPr>
          <w:sz w:val="20"/>
        </w:rPr>
        <w:t>Los</w:t>
      </w:r>
      <w:r>
        <w:rPr>
          <w:spacing w:val="-5"/>
          <w:sz w:val="20"/>
        </w:rPr>
        <w:t xml:space="preserve"> </w:t>
      </w:r>
      <w:r>
        <w:rPr>
          <w:sz w:val="20"/>
        </w:rPr>
        <w:t>hechos</w:t>
      </w:r>
      <w:r>
        <w:rPr>
          <w:spacing w:val="-7"/>
          <w:sz w:val="20"/>
        </w:rPr>
        <w:t xml:space="preserve"> </w:t>
      </w:r>
      <w:r>
        <w:rPr>
          <w:sz w:val="20"/>
        </w:rPr>
        <w:t>de</w:t>
      </w:r>
      <w:r>
        <w:rPr>
          <w:spacing w:val="-4"/>
          <w:sz w:val="20"/>
        </w:rPr>
        <w:t xml:space="preserve"> </w:t>
      </w:r>
      <w:r>
        <w:rPr>
          <w:sz w:val="20"/>
        </w:rPr>
        <w:t>este</w:t>
      </w:r>
      <w:r>
        <w:rPr>
          <w:spacing w:val="-5"/>
          <w:sz w:val="20"/>
        </w:rPr>
        <w:t xml:space="preserve"> </w:t>
      </w:r>
      <w:r>
        <w:rPr>
          <w:sz w:val="20"/>
        </w:rPr>
        <w:t>caso</w:t>
      </w:r>
      <w:r>
        <w:rPr>
          <w:spacing w:val="-5"/>
          <w:sz w:val="20"/>
        </w:rPr>
        <w:t xml:space="preserve"> </w:t>
      </w:r>
      <w:r>
        <w:rPr>
          <w:sz w:val="20"/>
        </w:rPr>
        <w:t>se</w:t>
      </w:r>
      <w:r>
        <w:rPr>
          <w:spacing w:val="-4"/>
          <w:sz w:val="20"/>
        </w:rPr>
        <w:t xml:space="preserve"> </w:t>
      </w:r>
      <w:r>
        <w:rPr>
          <w:sz w:val="20"/>
        </w:rPr>
        <w:t>relacionan</w:t>
      </w:r>
      <w:r>
        <w:rPr>
          <w:spacing w:val="-5"/>
          <w:sz w:val="20"/>
        </w:rPr>
        <w:t xml:space="preserve"> </w:t>
      </w:r>
      <w:r>
        <w:rPr>
          <w:sz w:val="20"/>
        </w:rPr>
        <w:t>con</w:t>
      </w:r>
      <w:r>
        <w:rPr>
          <w:spacing w:val="-5"/>
          <w:sz w:val="20"/>
        </w:rPr>
        <w:t xml:space="preserve"> </w:t>
      </w:r>
      <w:r>
        <w:rPr>
          <w:sz w:val="20"/>
        </w:rPr>
        <w:t>la</w:t>
      </w:r>
      <w:r>
        <w:rPr>
          <w:spacing w:val="-3"/>
          <w:sz w:val="20"/>
        </w:rPr>
        <w:t xml:space="preserve"> </w:t>
      </w:r>
      <w:r>
        <w:rPr>
          <w:sz w:val="20"/>
        </w:rPr>
        <w:t>presunta</w:t>
      </w:r>
      <w:r>
        <w:rPr>
          <w:spacing w:val="-6"/>
          <w:sz w:val="20"/>
        </w:rPr>
        <w:t xml:space="preserve"> </w:t>
      </w:r>
      <w:r>
        <w:rPr>
          <w:sz w:val="20"/>
        </w:rPr>
        <w:t>responsabilidad</w:t>
      </w:r>
      <w:r>
        <w:rPr>
          <w:spacing w:val="-5"/>
          <w:sz w:val="20"/>
        </w:rPr>
        <w:t xml:space="preserve"> </w:t>
      </w:r>
      <w:r>
        <w:rPr>
          <w:sz w:val="20"/>
        </w:rPr>
        <w:t>internacional</w:t>
      </w:r>
      <w:r>
        <w:rPr>
          <w:spacing w:val="-6"/>
          <w:sz w:val="20"/>
        </w:rPr>
        <w:t xml:space="preserve"> </w:t>
      </w:r>
      <w:r>
        <w:rPr>
          <w:sz w:val="20"/>
        </w:rPr>
        <w:t>del Estado brasileño por cuenta de las alegadas violaciones a los derechos humanos ocurridas por la explosión de una fábrica de fuegos en la que fallecieron 60 personas (40 mujeres adultas, 19 niñas y un niño) y seis sobrevivieron (tres mujeres adultas, un</w:t>
      </w:r>
      <w:r>
        <w:rPr>
          <w:sz w:val="20"/>
        </w:rPr>
        <w:t>a niña, dos niños y una niña que nació luego de la explosión y como consecuencia directa de</w:t>
      </w:r>
      <w:r>
        <w:rPr>
          <w:spacing w:val="-22"/>
          <w:sz w:val="20"/>
        </w:rPr>
        <w:t xml:space="preserve"> </w:t>
      </w:r>
      <w:r>
        <w:rPr>
          <w:sz w:val="20"/>
        </w:rPr>
        <w:t>esta).</w:t>
      </w:r>
    </w:p>
    <w:p w14:paraId="3F8E41E7" w14:textId="77777777" w:rsidR="00467FCA" w:rsidRDefault="00467FCA">
      <w:pPr>
        <w:pStyle w:val="Textoindependiente"/>
        <w:spacing w:before="1"/>
      </w:pPr>
    </w:p>
    <w:p w14:paraId="4F8304F2" w14:textId="77777777" w:rsidR="00467FCA" w:rsidRDefault="001B68EB">
      <w:pPr>
        <w:pStyle w:val="Prrafodelista"/>
        <w:numPr>
          <w:ilvl w:val="0"/>
          <w:numId w:val="50"/>
        </w:numPr>
        <w:tabs>
          <w:tab w:val="left" w:pos="687"/>
        </w:tabs>
        <w:ind w:left="119" w:right="115" w:firstLine="0"/>
        <w:jc w:val="both"/>
        <w:rPr>
          <w:sz w:val="20"/>
        </w:rPr>
      </w:pPr>
      <w:r>
        <w:rPr>
          <w:sz w:val="20"/>
        </w:rPr>
        <w:t>En</w:t>
      </w:r>
      <w:r>
        <w:rPr>
          <w:spacing w:val="-8"/>
          <w:sz w:val="20"/>
        </w:rPr>
        <w:t xml:space="preserve"> </w:t>
      </w:r>
      <w:r>
        <w:rPr>
          <w:sz w:val="20"/>
        </w:rPr>
        <w:t>el</w:t>
      </w:r>
      <w:r>
        <w:rPr>
          <w:spacing w:val="-7"/>
          <w:sz w:val="20"/>
        </w:rPr>
        <w:t xml:space="preserve"> </w:t>
      </w:r>
      <w:r>
        <w:rPr>
          <w:sz w:val="20"/>
        </w:rPr>
        <w:t>presente</w:t>
      </w:r>
      <w:r>
        <w:rPr>
          <w:spacing w:val="-7"/>
          <w:sz w:val="20"/>
        </w:rPr>
        <w:t xml:space="preserve"> </w:t>
      </w:r>
      <w:r>
        <w:rPr>
          <w:sz w:val="20"/>
        </w:rPr>
        <w:t>capítulo,</w:t>
      </w:r>
      <w:r>
        <w:rPr>
          <w:spacing w:val="-7"/>
          <w:sz w:val="20"/>
        </w:rPr>
        <w:t xml:space="preserve"> </w:t>
      </w:r>
      <w:r>
        <w:rPr>
          <w:sz w:val="20"/>
        </w:rPr>
        <w:t>la</w:t>
      </w:r>
      <w:r>
        <w:rPr>
          <w:spacing w:val="-8"/>
          <w:sz w:val="20"/>
        </w:rPr>
        <w:t xml:space="preserve"> </w:t>
      </w:r>
      <w:r>
        <w:rPr>
          <w:sz w:val="20"/>
        </w:rPr>
        <w:t>Corte</w:t>
      </w:r>
      <w:r>
        <w:rPr>
          <w:spacing w:val="-7"/>
          <w:sz w:val="20"/>
        </w:rPr>
        <w:t xml:space="preserve"> </w:t>
      </w:r>
      <w:r>
        <w:rPr>
          <w:sz w:val="20"/>
        </w:rPr>
        <w:t>abordará</w:t>
      </w:r>
      <w:r>
        <w:rPr>
          <w:spacing w:val="-6"/>
          <w:sz w:val="20"/>
        </w:rPr>
        <w:t xml:space="preserve"> </w:t>
      </w:r>
      <w:r>
        <w:rPr>
          <w:sz w:val="20"/>
        </w:rPr>
        <w:t>el</w:t>
      </w:r>
      <w:r>
        <w:rPr>
          <w:spacing w:val="-5"/>
          <w:sz w:val="20"/>
        </w:rPr>
        <w:t xml:space="preserve"> </w:t>
      </w:r>
      <w:r>
        <w:rPr>
          <w:sz w:val="20"/>
        </w:rPr>
        <w:t>examen</w:t>
      </w:r>
      <w:r>
        <w:rPr>
          <w:spacing w:val="-7"/>
          <w:sz w:val="20"/>
        </w:rPr>
        <w:t xml:space="preserve"> </w:t>
      </w:r>
      <w:r>
        <w:rPr>
          <w:sz w:val="20"/>
        </w:rPr>
        <w:t>de</w:t>
      </w:r>
      <w:r>
        <w:rPr>
          <w:spacing w:val="-9"/>
          <w:sz w:val="20"/>
        </w:rPr>
        <w:t xml:space="preserve"> </w:t>
      </w:r>
      <w:r>
        <w:rPr>
          <w:sz w:val="20"/>
        </w:rPr>
        <w:t>fondo</w:t>
      </w:r>
      <w:r>
        <w:rPr>
          <w:spacing w:val="-8"/>
          <w:sz w:val="20"/>
        </w:rPr>
        <w:t xml:space="preserve"> </w:t>
      </w:r>
      <w:r>
        <w:rPr>
          <w:sz w:val="20"/>
        </w:rPr>
        <w:t>del</w:t>
      </w:r>
      <w:r>
        <w:rPr>
          <w:spacing w:val="-5"/>
          <w:sz w:val="20"/>
        </w:rPr>
        <w:t xml:space="preserve"> </w:t>
      </w:r>
      <w:r>
        <w:rPr>
          <w:sz w:val="20"/>
        </w:rPr>
        <w:t>caso.</w:t>
      </w:r>
      <w:r>
        <w:rPr>
          <w:spacing w:val="-5"/>
          <w:sz w:val="20"/>
        </w:rPr>
        <w:t xml:space="preserve"> </w:t>
      </w:r>
      <w:r>
        <w:rPr>
          <w:sz w:val="20"/>
        </w:rPr>
        <w:t>Para</w:t>
      </w:r>
      <w:r>
        <w:rPr>
          <w:spacing w:val="-8"/>
          <w:sz w:val="20"/>
        </w:rPr>
        <w:t xml:space="preserve"> </w:t>
      </w:r>
      <w:r>
        <w:rPr>
          <w:sz w:val="20"/>
        </w:rPr>
        <w:t>precisar</w:t>
      </w:r>
      <w:r>
        <w:rPr>
          <w:spacing w:val="-7"/>
          <w:sz w:val="20"/>
        </w:rPr>
        <w:t xml:space="preserve"> </w:t>
      </w:r>
      <w:r>
        <w:rPr>
          <w:sz w:val="20"/>
        </w:rPr>
        <w:t>el alcance de la responsabilidad internacional de Brasil, examinará las violaciones alegadas de la siguiente forma: 1) en primer lugar, se referirá a las posibles afectaciones al derecho a la vida y a la integridad personal y a los derechos de la niña y de</w:t>
      </w:r>
      <w:r>
        <w:rPr>
          <w:sz w:val="20"/>
        </w:rPr>
        <w:t>l niño (artículos 4.1, 5.1 y 19 de la Convención) en relación con el artículo 1.1 de la Convención; 2) posteriormente, hará referencia al derecho a condiciones equitativas y satisfactorias que garanticen la seguridad, la salud y la higiene en el trabajo, a</w:t>
      </w:r>
      <w:r>
        <w:rPr>
          <w:sz w:val="20"/>
        </w:rPr>
        <w:t xml:space="preserve"> los derechos de la niñas y del niño, al derecho a la igualdad y la prohibición de discriminación (artículos 1.1, 19, 24 y 26 de la Convención); 3) en tercer lugar, se referirá a los derechos a las garantías judiciales y a la protección judicial (artículos</w:t>
      </w:r>
      <w:r>
        <w:rPr>
          <w:sz w:val="20"/>
        </w:rPr>
        <w:t xml:space="preserve"> 8.1 y 25 de la Convención); y por último, 4) abordará el análisis del derecho a la integridad personal de los familiares de las presuntas víctimas (artículo 5 de la</w:t>
      </w:r>
      <w:r>
        <w:rPr>
          <w:spacing w:val="-44"/>
          <w:sz w:val="20"/>
        </w:rPr>
        <w:t xml:space="preserve"> </w:t>
      </w:r>
      <w:r>
        <w:rPr>
          <w:sz w:val="20"/>
        </w:rPr>
        <w:t>Convención).</w:t>
      </w:r>
    </w:p>
    <w:p w14:paraId="7061A36F" w14:textId="77777777" w:rsidR="00467FCA" w:rsidRDefault="00467FCA">
      <w:pPr>
        <w:pStyle w:val="Textoindependiente"/>
        <w:spacing w:before="11"/>
        <w:rPr>
          <w:sz w:val="19"/>
        </w:rPr>
      </w:pPr>
    </w:p>
    <w:p w14:paraId="6CC7CC43" w14:textId="77777777" w:rsidR="00467FCA" w:rsidRDefault="001B68EB">
      <w:pPr>
        <w:pStyle w:val="Ttulo1"/>
        <w:ind w:left="150" w:right="153"/>
        <w:jc w:val="center"/>
      </w:pPr>
      <w:bookmarkStart w:id="256" w:name="VIII-1_DERECHOS_A_LA_VIDA,_A_LA_INTEGRID"/>
      <w:bookmarkStart w:id="257" w:name="_bookmark218"/>
      <w:bookmarkEnd w:id="256"/>
      <w:bookmarkEnd w:id="257"/>
      <w:r>
        <w:t>VIII-1</w:t>
      </w:r>
    </w:p>
    <w:p w14:paraId="47F418C1" w14:textId="77777777" w:rsidR="00467FCA" w:rsidRDefault="001B68EB">
      <w:pPr>
        <w:spacing w:before="36" w:line="278" w:lineRule="auto"/>
        <w:ind w:left="158" w:right="153"/>
        <w:jc w:val="center"/>
        <w:rPr>
          <w:b/>
          <w:sz w:val="20"/>
        </w:rPr>
      </w:pPr>
      <w:r>
        <w:rPr>
          <w:b/>
          <w:sz w:val="20"/>
        </w:rPr>
        <w:t xml:space="preserve">DERECHOS A LA VIDA, A LA INTEGRIDAD PERSONAL Y DE LA NIÑA Y DEL NIÑO </w:t>
      </w:r>
      <w:r>
        <w:rPr>
          <w:b/>
          <w:sz w:val="20"/>
        </w:rPr>
        <w:t>EN RELACIÓN CON LAS OBLIGACIONES DE RESPETO Y GARANTÍA (ARTÍCULOS 4.1,</w:t>
      </w:r>
    </w:p>
    <w:p w14:paraId="7A668C09" w14:textId="77777777" w:rsidR="00467FCA" w:rsidRDefault="001B68EB">
      <w:pPr>
        <w:pStyle w:val="Prrafodelista"/>
        <w:numPr>
          <w:ilvl w:val="1"/>
          <w:numId w:val="42"/>
        </w:numPr>
        <w:tabs>
          <w:tab w:val="left" w:pos="623"/>
        </w:tabs>
        <w:spacing w:line="278" w:lineRule="auto"/>
        <w:ind w:right="204" w:hanging="3974"/>
        <w:rPr>
          <w:b/>
          <w:sz w:val="20"/>
        </w:rPr>
      </w:pPr>
      <w:r>
        <w:rPr>
          <w:b/>
          <w:sz w:val="20"/>
        </w:rPr>
        <w:t>y 19 DE LA CONVENCIÓN AMERICANA EN RELACIÓN CON EL ARTÍCULO 1.1</w:t>
      </w:r>
      <w:r>
        <w:rPr>
          <w:b/>
          <w:spacing w:val="-26"/>
          <w:sz w:val="20"/>
        </w:rPr>
        <w:t xml:space="preserve"> </w:t>
      </w:r>
      <w:r>
        <w:rPr>
          <w:b/>
          <w:sz w:val="20"/>
        </w:rPr>
        <w:t>DE LA</w:t>
      </w:r>
      <w:r>
        <w:rPr>
          <w:b/>
          <w:spacing w:val="-4"/>
          <w:sz w:val="20"/>
        </w:rPr>
        <w:t xml:space="preserve"> </w:t>
      </w:r>
      <w:r>
        <w:rPr>
          <w:b/>
          <w:sz w:val="20"/>
        </w:rPr>
        <w:t>MISMA)</w:t>
      </w:r>
    </w:p>
    <w:p w14:paraId="4B173300" w14:textId="77777777" w:rsidR="00467FCA" w:rsidRDefault="00467FCA">
      <w:pPr>
        <w:pStyle w:val="Textoindependiente"/>
        <w:spacing w:before="4"/>
        <w:rPr>
          <w:b/>
          <w:sz w:val="19"/>
        </w:rPr>
      </w:pPr>
    </w:p>
    <w:p w14:paraId="540C590C" w14:textId="77777777" w:rsidR="00467FCA" w:rsidRDefault="001B68EB">
      <w:pPr>
        <w:pStyle w:val="Ttulo1"/>
        <w:numPr>
          <w:ilvl w:val="2"/>
          <w:numId w:val="42"/>
        </w:numPr>
        <w:tabs>
          <w:tab w:val="left" w:pos="839"/>
        </w:tabs>
        <w:spacing w:before="1"/>
      </w:pPr>
      <w:bookmarkStart w:id="258" w:name="_bookmark219"/>
      <w:bookmarkEnd w:id="258"/>
      <w:r>
        <w:t>Alegatos de las partes y de la</w:t>
      </w:r>
      <w:r>
        <w:rPr>
          <w:spacing w:val="-3"/>
        </w:rPr>
        <w:t xml:space="preserve"> </w:t>
      </w:r>
      <w:r>
        <w:t>Comisión</w:t>
      </w:r>
    </w:p>
    <w:p w14:paraId="78C0F739" w14:textId="77777777" w:rsidR="00467FCA" w:rsidRDefault="00467FCA">
      <w:pPr>
        <w:pStyle w:val="Textoindependiente"/>
        <w:spacing w:before="10"/>
        <w:rPr>
          <w:b/>
          <w:sz w:val="19"/>
        </w:rPr>
      </w:pPr>
    </w:p>
    <w:p w14:paraId="1DD94C0E" w14:textId="77777777" w:rsidR="00467FCA" w:rsidRDefault="001B68EB">
      <w:pPr>
        <w:pStyle w:val="Prrafodelista"/>
        <w:numPr>
          <w:ilvl w:val="0"/>
          <w:numId w:val="50"/>
        </w:numPr>
        <w:tabs>
          <w:tab w:val="left" w:pos="685"/>
        </w:tabs>
        <w:ind w:left="118" w:right="118" w:firstLine="0"/>
        <w:jc w:val="both"/>
        <w:rPr>
          <w:sz w:val="20"/>
        </w:rPr>
      </w:pPr>
      <w:r>
        <w:rPr>
          <w:sz w:val="20"/>
        </w:rPr>
        <w:t>La</w:t>
      </w:r>
      <w:r>
        <w:rPr>
          <w:spacing w:val="-10"/>
          <w:sz w:val="20"/>
        </w:rPr>
        <w:t xml:space="preserve"> </w:t>
      </w:r>
      <w:r>
        <w:rPr>
          <w:b/>
          <w:i/>
          <w:sz w:val="20"/>
        </w:rPr>
        <w:t>Comisión</w:t>
      </w:r>
      <w:r>
        <w:rPr>
          <w:b/>
          <w:i/>
          <w:spacing w:val="-5"/>
          <w:sz w:val="20"/>
        </w:rPr>
        <w:t xml:space="preserve"> </w:t>
      </w:r>
      <w:r>
        <w:rPr>
          <w:sz w:val="20"/>
        </w:rPr>
        <w:t>señaló</w:t>
      </w:r>
      <w:r>
        <w:rPr>
          <w:spacing w:val="-8"/>
          <w:sz w:val="20"/>
        </w:rPr>
        <w:t xml:space="preserve"> </w:t>
      </w:r>
      <w:r>
        <w:rPr>
          <w:sz w:val="20"/>
        </w:rPr>
        <w:t>que,</w:t>
      </w:r>
      <w:r>
        <w:rPr>
          <w:spacing w:val="-7"/>
          <w:sz w:val="20"/>
        </w:rPr>
        <w:t xml:space="preserve"> </w:t>
      </w:r>
      <w:r>
        <w:rPr>
          <w:sz w:val="20"/>
        </w:rPr>
        <w:t>conforme</w:t>
      </w:r>
      <w:r>
        <w:rPr>
          <w:spacing w:val="-8"/>
          <w:sz w:val="20"/>
        </w:rPr>
        <w:t xml:space="preserve"> </w:t>
      </w:r>
      <w:r>
        <w:rPr>
          <w:sz w:val="20"/>
        </w:rPr>
        <w:t>a</w:t>
      </w:r>
      <w:r>
        <w:rPr>
          <w:spacing w:val="-10"/>
          <w:sz w:val="20"/>
        </w:rPr>
        <w:t xml:space="preserve"> </w:t>
      </w:r>
      <w:r>
        <w:rPr>
          <w:sz w:val="20"/>
        </w:rPr>
        <w:t>la</w:t>
      </w:r>
      <w:r>
        <w:rPr>
          <w:spacing w:val="-6"/>
          <w:sz w:val="20"/>
        </w:rPr>
        <w:t xml:space="preserve"> </w:t>
      </w:r>
      <w:r>
        <w:rPr>
          <w:sz w:val="20"/>
        </w:rPr>
        <w:t>legislación</w:t>
      </w:r>
      <w:r>
        <w:rPr>
          <w:spacing w:val="-8"/>
          <w:sz w:val="20"/>
        </w:rPr>
        <w:t xml:space="preserve"> </w:t>
      </w:r>
      <w:r>
        <w:rPr>
          <w:sz w:val="20"/>
        </w:rPr>
        <w:t>brasileña,</w:t>
      </w:r>
      <w:r>
        <w:rPr>
          <w:spacing w:val="-7"/>
          <w:sz w:val="20"/>
        </w:rPr>
        <w:t xml:space="preserve"> </w:t>
      </w:r>
      <w:r>
        <w:rPr>
          <w:sz w:val="20"/>
        </w:rPr>
        <w:t>las</w:t>
      </w:r>
      <w:r>
        <w:rPr>
          <w:spacing w:val="-7"/>
          <w:sz w:val="20"/>
        </w:rPr>
        <w:t xml:space="preserve"> </w:t>
      </w:r>
      <w:r>
        <w:rPr>
          <w:sz w:val="20"/>
        </w:rPr>
        <w:t>a</w:t>
      </w:r>
      <w:r>
        <w:rPr>
          <w:sz w:val="20"/>
        </w:rPr>
        <w:t>ctividades</w:t>
      </w:r>
      <w:r>
        <w:rPr>
          <w:spacing w:val="-8"/>
          <w:sz w:val="20"/>
        </w:rPr>
        <w:t xml:space="preserve"> </w:t>
      </w:r>
      <w:r>
        <w:rPr>
          <w:sz w:val="20"/>
        </w:rPr>
        <w:t>vinculadas a explosivos debían ser autorizadas e inspeccionadas por el Estado. En el presente caso, la fábrica</w:t>
      </w:r>
      <w:r>
        <w:rPr>
          <w:spacing w:val="-16"/>
          <w:sz w:val="20"/>
        </w:rPr>
        <w:t xml:space="preserve"> </w:t>
      </w:r>
      <w:r>
        <w:rPr>
          <w:sz w:val="20"/>
        </w:rPr>
        <w:t>de</w:t>
      </w:r>
      <w:r>
        <w:rPr>
          <w:spacing w:val="-16"/>
          <w:sz w:val="20"/>
        </w:rPr>
        <w:t xml:space="preserve"> </w:t>
      </w:r>
      <w:r>
        <w:rPr>
          <w:sz w:val="20"/>
        </w:rPr>
        <w:t>fuegos</w:t>
      </w:r>
      <w:r>
        <w:rPr>
          <w:spacing w:val="-16"/>
          <w:sz w:val="20"/>
        </w:rPr>
        <w:t xml:space="preserve"> </w:t>
      </w:r>
      <w:r>
        <w:rPr>
          <w:sz w:val="20"/>
        </w:rPr>
        <w:t>donde</w:t>
      </w:r>
      <w:r>
        <w:rPr>
          <w:spacing w:val="-16"/>
          <w:sz w:val="20"/>
        </w:rPr>
        <w:t xml:space="preserve"> </w:t>
      </w:r>
      <w:r>
        <w:rPr>
          <w:sz w:val="20"/>
        </w:rPr>
        <w:t>ocurrió</w:t>
      </w:r>
      <w:r>
        <w:rPr>
          <w:spacing w:val="-16"/>
          <w:sz w:val="20"/>
        </w:rPr>
        <w:t xml:space="preserve"> </w:t>
      </w:r>
      <w:r>
        <w:rPr>
          <w:sz w:val="20"/>
        </w:rPr>
        <w:t>la</w:t>
      </w:r>
      <w:r>
        <w:rPr>
          <w:spacing w:val="-16"/>
          <w:sz w:val="20"/>
        </w:rPr>
        <w:t xml:space="preserve"> </w:t>
      </w:r>
      <w:r>
        <w:rPr>
          <w:sz w:val="20"/>
        </w:rPr>
        <w:t>explosión</w:t>
      </w:r>
      <w:r>
        <w:rPr>
          <w:spacing w:val="-14"/>
          <w:sz w:val="20"/>
        </w:rPr>
        <w:t xml:space="preserve"> </w:t>
      </w:r>
      <w:r>
        <w:rPr>
          <w:sz w:val="20"/>
        </w:rPr>
        <w:t>contaba</w:t>
      </w:r>
      <w:r>
        <w:rPr>
          <w:spacing w:val="-17"/>
          <w:sz w:val="20"/>
        </w:rPr>
        <w:t xml:space="preserve"> </w:t>
      </w:r>
      <w:r>
        <w:rPr>
          <w:sz w:val="20"/>
        </w:rPr>
        <w:t>con</w:t>
      </w:r>
      <w:r>
        <w:rPr>
          <w:spacing w:val="-16"/>
          <w:sz w:val="20"/>
        </w:rPr>
        <w:t xml:space="preserve"> </w:t>
      </w:r>
      <w:r>
        <w:rPr>
          <w:sz w:val="20"/>
        </w:rPr>
        <w:t>permiso</w:t>
      </w:r>
      <w:r>
        <w:rPr>
          <w:spacing w:val="-19"/>
          <w:sz w:val="20"/>
        </w:rPr>
        <w:t xml:space="preserve"> </w:t>
      </w:r>
      <w:r>
        <w:rPr>
          <w:sz w:val="20"/>
        </w:rPr>
        <w:t>de</w:t>
      </w:r>
      <w:r>
        <w:rPr>
          <w:spacing w:val="-16"/>
          <w:sz w:val="20"/>
        </w:rPr>
        <w:t xml:space="preserve"> </w:t>
      </w:r>
      <w:r>
        <w:rPr>
          <w:sz w:val="20"/>
        </w:rPr>
        <w:t>funcionamiento</w:t>
      </w:r>
      <w:r>
        <w:rPr>
          <w:spacing w:val="-19"/>
          <w:sz w:val="20"/>
        </w:rPr>
        <w:t xml:space="preserve"> </w:t>
      </w:r>
      <w:r>
        <w:rPr>
          <w:sz w:val="20"/>
        </w:rPr>
        <w:t>por</w:t>
      </w:r>
      <w:r>
        <w:rPr>
          <w:spacing w:val="-19"/>
          <w:sz w:val="20"/>
        </w:rPr>
        <w:t xml:space="preserve"> </w:t>
      </w:r>
      <w:r>
        <w:rPr>
          <w:sz w:val="20"/>
        </w:rPr>
        <w:t>parte del Ejército. Partiendo de lo anterior, concluyó que el Estado tenía relación directa con las actividades</w:t>
      </w:r>
      <w:r>
        <w:rPr>
          <w:spacing w:val="-14"/>
          <w:sz w:val="20"/>
        </w:rPr>
        <w:t xml:space="preserve"> </w:t>
      </w:r>
      <w:r>
        <w:rPr>
          <w:sz w:val="20"/>
        </w:rPr>
        <w:t>que</w:t>
      </w:r>
      <w:r>
        <w:rPr>
          <w:spacing w:val="-14"/>
          <w:sz w:val="20"/>
        </w:rPr>
        <w:t xml:space="preserve"> </w:t>
      </w:r>
      <w:r>
        <w:rPr>
          <w:sz w:val="20"/>
        </w:rPr>
        <w:t>se</w:t>
      </w:r>
      <w:r>
        <w:rPr>
          <w:spacing w:val="-15"/>
          <w:sz w:val="20"/>
        </w:rPr>
        <w:t xml:space="preserve"> </w:t>
      </w:r>
      <w:r>
        <w:rPr>
          <w:sz w:val="20"/>
        </w:rPr>
        <w:t>estaban</w:t>
      </w:r>
      <w:r>
        <w:rPr>
          <w:spacing w:val="-14"/>
          <w:sz w:val="20"/>
        </w:rPr>
        <w:t xml:space="preserve"> </w:t>
      </w:r>
      <w:r>
        <w:rPr>
          <w:sz w:val="20"/>
        </w:rPr>
        <w:t>realizando</w:t>
      </w:r>
      <w:r>
        <w:rPr>
          <w:spacing w:val="-15"/>
          <w:sz w:val="20"/>
        </w:rPr>
        <w:t xml:space="preserve"> </w:t>
      </w:r>
      <w:r>
        <w:rPr>
          <w:sz w:val="20"/>
        </w:rPr>
        <w:t>en</w:t>
      </w:r>
      <w:r>
        <w:rPr>
          <w:spacing w:val="-14"/>
          <w:sz w:val="20"/>
        </w:rPr>
        <w:t xml:space="preserve"> </w:t>
      </w:r>
      <w:r>
        <w:rPr>
          <w:sz w:val="20"/>
        </w:rPr>
        <w:t>la</w:t>
      </w:r>
      <w:r>
        <w:rPr>
          <w:spacing w:val="-13"/>
          <w:sz w:val="20"/>
        </w:rPr>
        <w:t xml:space="preserve"> </w:t>
      </w:r>
      <w:r>
        <w:rPr>
          <w:sz w:val="20"/>
        </w:rPr>
        <w:t>fábrica,</w:t>
      </w:r>
      <w:r>
        <w:rPr>
          <w:spacing w:val="-16"/>
          <w:sz w:val="20"/>
        </w:rPr>
        <w:t xml:space="preserve"> </w:t>
      </w:r>
      <w:r>
        <w:rPr>
          <w:sz w:val="20"/>
        </w:rPr>
        <w:t>por</w:t>
      </w:r>
      <w:r>
        <w:rPr>
          <w:spacing w:val="-17"/>
          <w:sz w:val="20"/>
        </w:rPr>
        <w:t xml:space="preserve"> </w:t>
      </w:r>
      <w:r>
        <w:rPr>
          <w:sz w:val="20"/>
        </w:rPr>
        <w:t>lo</w:t>
      </w:r>
      <w:r>
        <w:rPr>
          <w:spacing w:val="-16"/>
          <w:sz w:val="20"/>
        </w:rPr>
        <w:t xml:space="preserve"> </w:t>
      </w:r>
      <w:r>
        <w:rPr>
          <w:sz w:val="20"/>
        </w:rPr>
        <w:t>que</w:t>
      </w:r>
      <w:r>
        <w:rPr>
          <w:spacing w:val="-16"/>
          <w:sz w:val="20"/>
        </w:rPr>
        <w:t xml:space="preserve"> </w:t>
      </w:r>
      <w:r>
        <w:rPr>
          <w:sz w:val="20"/>
        </w:rPr>
        <w:t>conocía</w:t>
      </w:r>
      <w:r>
        <w:rPr>
          <w:spacing w:val="-16"/>
          <w:sz w:val="20"/>
        </w:rPr>
        <w:t xml:space="preserve"> </w:t>
      </w:r>
      <w:r>
        <w:rPr>
          <w:sz w:val="20"/>
        </w:rPr>
        <w:t>el</w:t>
      </w:r>
      <w:r>
        <w:rPr>
          <w:spacing w:val="-11"/>
          <w:sz w:val="20"/>
        </w:rPr>
        <w:t xml:space="preserve"> </w:t>
      </w:r>
      <w:r>
        <w:rPr>
          <w:sz w:val="20"/>
        </w:rPr>
        <w:t>riesgo</w:t>
      </w:r>
      <w:r>
        <w:rPr>
          <w:spacing w:val="-16"/>
          <w:sz w:val="20"/>
        </w:rPr>
        <w:t xml:space="preserve"> </w:t>
      </w:r>
      <w:r>
        <w:rPr>
          <w:sz w:val="20"/>
        </w:rPr>
        <w:t>potencial</w:t>
      </w:r>
      <w:r>
        <w:rPr>
          <w:spacing w:val="-13"/>
          <w:sz w:val="20"/>
        </w:rPr>
        <w:t xml:space="preserve"> </w:t>
      </w:r>
      <w:r>
        <w:rPr>
          <w:sz w:val="20"/>
        </w:rPr>
        <w:t xml:space="preserve">para la vida e integridad personal al que estaban expuestos los </w:t>
      </w:r>
      <w:r>
        <w:rPr>
          <w:sz w:val="20"/>
        </w:rPr>
        <w:t>trabajadores, así como debía conocer que ahí existía una de las peores formas de trabajo infantil. A pesar de lo anterior, indicó</w:t>
      </w:r>
      <w:r>
        <w:rPr>
          <w:spacing w:val="-11"/>
          <w:sz w:val="20"/>
        </w:rPr>
        <w:t xml:space="preserve"> </w:t>
      </w:r>
      <w:r>
        <w:rPr>
          <w:sz w:val="20"/>
        </w:rPr>
        <w:t>la</w:t>
      </w:r>
      <w:r>
        <w:rPr>
          <w:spacing w:val="-8"/>
          <w:sz w:val="20"/>
        </w:rPr>
        <w:t xml:space="preserve"> </w:t>
      </w:r>
      <w:r>
        <w:rPr>
          <w:sz w:val="20"/>
        </w:rPr>
        <w:t>Comisión,</w:t>
      </w:r>
      <w:r>
        <w:rPr>
          <w:spacing w:val="-6"/>
          <w:sz w:val="20"/>
        </w:rPr>
        <w:t xml:space="preserve"> </w:t>
      </w:r>
      <w:r>
        <w:rPr>
          <w:sz w:val="20"/>
        </w:rPr>
        <w:t>el</w:t>
      </w:r>
      <w:r>
        <w:rPr>
          <w:spacing w:val="-10"/>
          <w:sz w:val="20"/>
        </w:rPr>
        <w:t xml:space="preserve"> </w:t>
      </w:r>
      <w:r>
        <w:rPr>
          <w:sz w:val="20"/>
        </w:rPr>
        <w:t>Estado</w:t>
      </w:r>
      <w:r>
        <w:rPr>
          <w:spacing w:val="-10"/>
          <w:sz w:val="20"/>
        </w:rPr>
        <w:t xml:space="preserve"> </w:t>
      </w:r>
      <w:r>
        <w:rPr>
          <w:sz w:val="20"/>
        </w:rPr>
        <w:t>no</w:t>
      </w:r>
      <w:r>
        <w:rPr>
          <w:spacing w:val="-9"/>
          <w:sz w:val="20"/>
        </w:rPr>
        <w:t xml:space="preserve"> </w:t>
      </w:r>
      <w:r>
        <w:rPr>
          <w:sz w:val="20"/>
        </w:rPr>
        <w:t>proporcionó</w:t>
      </w:r>
      <w:r>
        <w:rPr>
          <w:spacing w:val="-9"/>
          <w:sz w:val="20"/>
        </w:rPr>
        <w:t xml:space="preserve"> </w:t>
      </w:r>
      <w:r>
        <w:rPr>
          <w:sz w:val="20"/>
        </w:rPr>
        <w:t>ninguna</w:t>
      </w:r>
      <w:r>
        <w:rPr>
          <w:spacing w:val="-10"/>
          <w:sz w:val="20"/>
        </w:rPr>
        <w:t xml:space="preserve"> </w:t>
      </w:r>
      <w:r>
        <w:rPr>
          <w:sz w:val="20"/>
        </w:rPr>
        <w:t>información</w:t>
      </w:r>
      <w:r>
        <w:rPr>
          <w:spacing w:val="-6"/>
          <w:sz w:val="20"/>
        </w:rPr>
        <w:t xml:space="preserve"> </w:t>
      </w:r>
      <w:r>
        <w:rPr>
          <w:sz w:val="20"/>
        </w:rPr>
        <w:t>que</w:t>
      </w:r>
      <w:r>
        <w:rPr>
          <w:spacing w:val="-9"/>
          <w:sz w:val="20"/>
        </w:rPr>
        <w:t xml:space="preserve"> </w:t>
      </w:r>
      <w:r>
        <w:rPr>
          <w:sz w:val="20"/>
        </w:rPr>
        <w:t>pruebe</w:t>
      </w:r>
      <w:r>
        <w:rPr>
          <w:spacing w:val="-9"/>
          <w:sz w:val="20"/>
        </w:rPr>
        <w:t xml:space="preserve"> </w:t>
      </w:r>
      <w:r>
        <w:rPr>
          <w:sz w:val="20"/>
        </w:rPr>
        <w:t>que</w:t>
      </w:r>
      <w:r>
        <w:rPr>
          <w:spacing w:val="-9"/>
          <w:sz w:val="20"/>
        </w:rPr>
        <w:t xml:space="preserve"> </w:t>
      </w:r>
      <w:r>
        <w:rPr>
          <w:sz w:val="20"/>
        </w:rPr>
        <w:t>durante</w:t>
      </w:r>
      <w:r>
        <w:rPr>
          <w:spacing w:val="-9"/>
          <w:sz w:val="20"/>
        </w:rPr>
        <w:t xml:space="preserve"> </w:t>
      </w:r>
      <w:r>
        <w:rPr>
          <w:sz w:val="20"/>
        </w:rPr>
        <w:t xml:space="preserve">los tres años transcurridos desde que otorgó </w:t>
      </w:r>
      <w:r>
        <w:rPr>
          <w:sz w:val="20"/>
        </w:rPr>
        <w:t>la autorización, hasta que ocurrió la explosión, se hubiera realizado alguna inspección o fiscalización en la fábrica, lo cual fue reconocido en la audiencia realizada ante la Comisión Interamericana. Así, en consideración de la Comisión, no haber realizad</w:t>
      </w:r>
      <w:r>
        <w:rPr>
          <w:sz w:val="20"/>
        </w:rPr>
        <w:t>o ninguna inspección o fiscalización en la fábrica, conociendo el</w:t>
      </w:r>
      <w:r>
        <w:rPr>
          <w:spacing w:val="-37"/>
          <w:sz w:val="20"/>
        </w:rPr>
        <w:t xml:space="preserve"> </w:t>
      </w:r>
      <w:r>
        <w:rPr>
          <w:sz w:val="20"/>
        </w:rPr>
        <w:t>contexto</w:t>
      </w:r>
    </w:p>
    <w:p w14:paraId="344782CA" w14:textId="77777777" w:rsidR="00467FCA" w:rsidRDefault="001B68EB">
      <w:pPr>
        <w:pStyle w:val="Textoindependiente"/>
        <w:spacing w:before="7"/>
        <w:rPr>
          <w:sz w:val="28"/>
        </w:rPr>
      </w:pPr>
      <w:r>
        <w:pict w14:anchorId="0E455868">
          <v:shape id="_x0000_s1166" style="position:absolute;margin-left:1in;margin-top:19.65pt;width:2in;height:.1pt;z-index:-251627520;mso-wrap-distance-left:0;mso-wrap-distance-right:0;mso-position-horizontal-relative:page" coordorigin="1440,393" coordsize="2880,0" path="m1440,393r2880,e" filled="f" strokeweight=".6pt">
            <v:path arrowok="t"/>
            <w10:wrap type="topAndBottom" anchorx="page"/>
          </v:shape>
        </w:pict>
      </w:r>
    </w:p>
    <w:p w14:paraId="367140B9" w14:textId="77777777" w:rsidR="00467FCA" w:rsidRDefault="001B68EB">
      <w:pPr>
        <w:tabs>
          <w:tab w:val="left" w:pos="839"/>
        </w:tabs>
        <w:spacing w:before="74"/>
        <w:ind w:left="119" w:right="129"/>
        <w:rPr>
          <w:sz w:val="16"/>
        </w:rPr>
      </w:pPr>
      <w:bookmarkStart w:id="259" w:name="_bookmark220"/>
      <w:bookmarkEnd w:id="259"/>
      <w:r>
        <w:rPr>
          <w:position w:val="6"/>
          <w:sz w:val="10"/>
        </w:rPr>
        <w:t>183</w:t>
      </w:r>
      <w:r>
        <w:rPr>
          <w:position w:val="6"/>
          <w:sz w:val="10"/>
        </w:rPr>
        <w:tab/>
      </w:r>
      <w:r>
        <w:rPr>
          <w:i/>
          <w:sz w:val="16"/>
        </w:rPr>
        <w:t xml:space="preserve">Cfr. </w:t>
      </w:r>
      <w:r>
        <w:rPr>
          <w:sz w:val="16"/>
        </w:rPr>
        <w:t xml:space="preserve">Estatuto del Niño y del Adolescente, Ley No. 8.069 de 13 de julio de 1990, artículo 60. Disponible en: </w:t>
      </w:r>
      <w:hyperlink r:id="rId28">
        <w:r>
          <w:rPr>
            <w:sz w:val="16"/>
            <w:u w:val="single"/>
          </w:rPr>
          <w:t>http://www.planalto.gov.br/ccivil_03/leis/l8069.htm</w:t>
        </w:r>
      </w:hyperlink>
      <w:r>
        <w:rPr>
          <w:sz w:val="16"/>
        </w:rPr>
        <w:t>.</w:t>
      </w:r>
    </w:p>
    <w:p w14:paraId="31CCBBAB" w14:textId="77777777" w:rsidR="00467FCA" w:rsidRDefault="001B68EB">
      <w:pPr>
        <w:tabs>
          <w:tab w:val="left" w:pos="839"/>
        </w:tabs>
        <w:ind w:left="119" w:right="129"/>
        <w:rPr>
          <w:sz w:val="16"/>
        </w:rPr>
      </w:pPr>
      <w:bookmarkStart w:id="260" w:name="_bookmark221"/>
      <w:bookmarkEnd w:id="260"/>
      <w:r>
        <w:rPr>
          <w:position w:val="6"/>
          <w:sz w:val="10"/>
        </w:rPr>
        <w:t>184</w:t>
      </w:r>
      <w:r>
        <w:rPr>
          <w:position w:val="6"/>
          <w:sz w:val="10"/>
        </w:rPr>
        <w:tab/>
      </w:r>
      <w:r>
        <w:rPr>
          <w:i/>
          <w:sz w:val="16"/>
        </w:rPr>
        <w:t xml:space="preserve">Cfr. </w:t>
      </w:r>
      <w:r>
        <w:rPr>
          <w:sz w:val="16"/>
        </w:rPr>
        <w:t xml:space="preserve">Estatuto del Niño y </w:t>
      </w:r>
      <w:r>
        <w:rPr>
          <w:sz w:val="16"/>
        </w:rPr>
        <w:t xml:space="preserve">del Adolescente, </w:t>
      </w:r>
      <w:r>
        <w:rPr>
          <w:i/>
          <w:sz w:val="16"/>
        </w:rPr>
        <w:t>supra</w:t>
      </w:r>
      <w:r>
        <w:rPr>
          <w:sz w:val="16"/>
        </w:rPr>
        <w:t>, artículo 67, II</w:t>
      </w:r>
      <w:r>
        <w:rPr>
          <w:i/>
          <w:sz w:val="16"/>
        </w:rPr>
        <w:t xml:space="preserve">. </w:t>
      </w:r>
      <w:r>
        <w:rPr>
          <w:sz w:val="16"/>
        </w:rPr>
        <w:t>El término adolescente en este contexto se refiere a niñas y niños entre 14 y 18</w:t>
      </w:r>
      <w:r>
        <w:rPr>
          <w:spacing w:val="-1"/>
          <w:sz w:val="16"/>
        </w:rPr>
        <w:t xml:space="preserve"> </w:t>
      </w:r>
      <w:r>
        <w:rPr>
          <w:sz w:val="16"/>
        </w:rPr>
        <w:t>años.</w:t>
      </w:r>
    </w:p>
    <w:p w14:paraId="16486D62" w14:textId="77777777" w:rsidR="00467FCA" w:rsidRDefault="00467FCA">
      <w:pPr>
        <w:rPr>
          <w:sz w:val="16"/>
        </w:rPr>
        <w:sectPr w:rsidR="00467FCA">
          <w:pgSz w:w="12240" w:h="15840"/>
          <w:pgMar w:top="1500" w:right="1320" w:bottom="1220" w:left="1320" w:header="0" w:footer="1037" w:gutter="0"/>
          <w:cols w:space="720"/>
        </w:sectPr>
      </w:pPr>
    </w:p>
    <w:p w14:paraId="73990F68" w14:textId="77777777" w:rsidR="00467FCA" w:rsidRDefault="001B68EB">
      <w:pPr>
        <w:pStyle w:val="Textoindependiente"/>
        <w:spacing w:before="80"/>
        <w:ind w:left="120" w:right="117"/>
        <w:jc w:val="both"/>
      </w:pPr>
      <w:r>
        <w:t xml:space="preserve">generalizado de actividades peligrosas con fuegos artificiales en la zona, resulta suficiente para establecer que </w:t>
      </w:r>
      <w:r>
        <w:t>el Estado no sólo no cumplía con sus deberes, sino que fue tolerante y aquiescente</w:t>
      </w:r>
      <w:r>
        <w:rPr>
          <w:spacing w:val="-12"/>
        </w:rPr>
        <w:t xml:space="preserve"> </w:t>
      </w:r>
      <w:r>
        <w:t>con</w:t>
      </w:r>
      <w:r>
        <w:rPr>
          <w:spacing w:val="-10"/>
        </w:rPr>
        <w:t xml:space="preserve"> </w:t>
      </w:r>
      <w:r>
        <w:t>lo</w:t>
      </w:r>
      <w:r>
        <w:rPr>
          <w:spacing w:val="-11"/>
        </w:rPr>
        <w:t xml:space="preserve"> </w:t>
      </w:r>
      <w:r>
        <w:t>sucedido,</w:t>
      </w:r>
      <w:r>
        <w:rPr>
          <w:spacing w:val="-12"/>
        </w:rPr>
        <w:t xml:space="preserve"> </w:t>
      </w:r>
      <w:r>
        <w:t>razón</w:t>
      </w:r>
      <w:r>
        <w:rPr>
          <w:spacing w:val="-10"/>
        </w:rPr>
        <w:t xml:space="preserve"> </w:t>
      </w:r>
      <w:r>
        <w:t>por</w:t>
      </w:r>
      <w:r>
        <w:rPr>
          <w:spacing w:val="-11"/>
        </w:rPr>
        <w:t xml:space="preserve"> </w:t>
      </w:r>
      <w:r>
        <w:t>la</w:t>
      </w:r>
      <w:r>
        <w:rPr>
          <w:spacing w:val="-11"/>
        </w:rPr>
        <w:t xml:space="preserve"> </w:t>
      </w:r>
      <w:r>
        <w:t>cual</w:t>
      </w:r>
      <w:r>
        <w:rPr>
          <w:spacing w:val="-9"/>
        </w:rPr>
        <w:t xml:space="preserve"> </w:t>
      </w:r>
      <w:r>
        <w:t>es</w:t>
      </w:r>
      <w:r>
        <w:rPr>
          <w:spacing w:val="-11"/>
        </w:rPr>
        <w:t xml:space="preserve"> </w:t>
      </w:r>
      <w:r>
        <w:t>responsable</w:t>
      </w:r>
      <w:r>
        <w:rPr>
          <w:spacing w:val="-13"/>
        </w:rPr>
        <w:t xml:space="preserve"> </w:t>
      </w:r>
      <w:r>
        <w:t>por</w:t>
      </w:r>
      <w:r>
        <w:rPr>
          <w:spacing w:val="-10"/>
        </w:rPr>
        <w:t xml:space="preserve"> </w:t>
      </w:r>
      <w:r>
        <w:t>el</w:t>
      </w:r>
      <w:r>
        <w:rPr>
          <w:spacing w:val="-10"/>
        </w:rPr>
        <w:t xml:space="preserve"> </w:t>
      </w:r>
      <w:r>
        <w:t>incumplimiento</w:t>
      </w:r>
      <w:r>
        <w:rPr>
          <w:spacing w:val="-12"/>
        </w:rPr>
        <w:t xml:space="preserve"> </w:t>
      </w:r>
      <w:r>
        <w:t>del</w:t>
      </w:r>
      <w:r>
        <w:rPr>
          <w:spacing w:val="-11"/>
        </w:rPr>
        <w:t xml:space="preserve"> </w:t>
      </w:r>
      <w:r>
        <w:t>deber de respeto y garantía de los derechos a la vida y a la integridad personal, en relación con</w:t>
      </w:r>
      <w:r>
        <w:rPr>
          <w:spacing w:val="-47"/>
        </w:rPr>
        <w:t xml:space="preserve"> </w:t>
      </w:r>
      <w:r>
        <w:t>las obligaciones establecidas en los artículos 19 y 1.1 de la Convención</w:t>
      </w:r>
      <w:r>
        <w:rPr>
          <w:spacing w:val="-13"/>
        </w:rPr>
        <w:t xml:space="preserve"> </w:t>
      </w:r>
      <w:r>
        <w:t>Americana.</w:t>
      </w:r>
    </w:p>
    <w:p w14:paraId="51F0FB92" w14:textId="77777777" w:rsidR="00467FCA" w:rsidRDefault="00467FCA">
      <w:pPr>
        <w:pStyle w:val="Textoindependiente"/>
        <w:spacing w:before="1"/>
      </w:pPr>
    </w:p>
    <w:p w14:paraId="24EFF45F" w14:textId="77777777" w:rsidR="00467FCA" w:rsidRDefault="001B68EB">
      <w:pPr>
        <w:pStyle w:val="Prrafodelista"/>
        <w:numPr>
          <w:ilvl w:val="0"/>
          <w:numId w:val="50"/>
        </w:numPr>
        <w:tabs>
          <w:tab w:val="left" w:pos="687"/>
        </w:tabs>
        <w:ind w:right="116" w:firstLine="0"/>
        <w:jc w:val="both"/>
        <w:rPr>
          <w:sz w:val="20"/>
        </w:rPr>
      </w:pPr>
      <w:r>
        <w:rPr>
          <w:sz w:val="20"/>
        </w:rPr>
        <w:t xml:space="preserve">Los </w:t>
      </w:r>
      <w:r>
        <w:rPr>
          <w:b/>
          <w:i/>
          <w:sz w:val="20"/>
        </w:rPr>
        <w:t xml:space="preserve">representantes </w:t>
      </w:r>
      <w:r>
        <w:rPr>
          <w:sz w:val="20"/>
        </w:rPr>
        <w:t>añadieron que, de acuerdo con la normatividad vigente, era responsabilidad del Ministerio del Ejército autorizar la producción y fiscalizar la fabricac</w:t>
      </w:r>
      <w:r>
        <w:rPr>
          <w:sz w:val="20"/>
        </w:rPr>
        <w:t xml:space="preserve">ión, almacenamiento y el comercio de productos controlados y que esa tarea podía ser delegada a otros órganos del Gobierno Federal, los estados o los municipios. Por lo anterior, concluyeron que el Estado es responsable por la vulneración del derecho a la </w:t>
      </w:r>
      <w:r>
        <w:rPr>
          <w:sz w:val="20"/>
        </w:rPr>
        <w:t>vida de las víctimas de la explosión, pues no existe prueba de ningún acto de fiscalización por parte de ninguna</w:t>
      </w:r>
      <w:r>
        <w:rPr>
          <w:spacing w:val="-8"/>
          <w:sz w:val="20"/>
        </w:rPr>
        <w:t xml:space="preserve"> </w:t>
      </w:r>
      <w:r>
        <w:rPr>
          <w:sz w:val="20"/>
        </w:rPr>
        <w:t>institución</w:t>
      </w:r>
      <w:r>
        <w:rPr>
          <w:spacing w:val="-7"/>
          <w:sz w:val="20"/>
        </w:rPr>
        <w:t xml:space="preserve"> </w:t>
      </w:r>
      <w:r>
        <w:rPr>
          <w:sz w:val="20"/>
        </w:rPr>
        <w:t>del</w:t>
      </w:r>
      <w:r>
        <w:rPr>
          <w:spacing w:val="-5"/>
          <w:sz w:val="20"/>
        </w:rPr>
        <w:t xml:space="preserve"> </w:t>
      </w:r>
      <w:r>
        <w:rPr>
          <w:sz w:val="20"/>
        </w:rPr>
        <w:t>Estado,</w:t>
      </w:r>
      <w:r>
        <w:rPr>
          <w:spacing w:val="-8"/>
          <w:sz w:val="20"/>
        </w:rPr>
        <w:t xml:space="preserve"> </w:t>
      </w:r>
      <w:r>
        <w:rPr>
          <w:sz w:val="20"/>
        </w:rPr>
        <w:t>a</w:t>
      </w:r>
      <w:r>
        <w:rPr>
          <w:spacing w:val="-4"/>
          <w:sz w:val="20"/>
        </w:rPr>
        <w:t xml:space="preserve"> </w:t>
      </w:r>
      <w:r>
        <w:rPr>
          <w:sz w:val="20"/>
        </w:rPr>
        <w:t>pesar</w:t>
      </w:r>
      <w:r>
        <w:rPr>
          <w:spacing w:val="-9"/>
          <w:sz w:val="20"/>
        </w:rPr>
        <w:t xml:space="preserve"> </w:t>
      </w:r>
      <w:r>
        <w:rPr>
          <w:sz w:val="20"/>
        </w:rPr>
        <w:t>de</w:t>
      </w:r>
      <w:r>
        <w:rPr>
          <w:spacing w:val="-9"/>
          <w:sz w:val="20"/>
        </w:rPr>
        <w:t xml:space="preserve"> </w:t>
      </w:r>
      <w:r>
        <w:rPr>
          <w:sz w:val="20"/>
        </w:rPr>
        <w:t>que</w:t>
      </w:r>
      <w:r>
        <w:rPr>
          <w:spacing w:val="-8"/>
          <w:sz w:val="20"/>
        </w:rPr>
        <w:t xml:space="preserve"> </w:t>
      </w:r>
      <w:r>
        <w:rPr>
          <w:sz w:val="20"/>
        </w:rPr>
        <w:t>la</w:t>
      </w:r>
      <w:r>
        <w:rPr>
          <w:spacing w:val="-8"/>
          <w:sz w:val="20"/>
        </w:rPr>
        <w:t xml:space="preserve"> </w:t>
      </w:r>
      <w:r>
        <w:rPr>
          <w:sz w:val="20"/>
        </w:rPr>
        <w:t>fabricación</w:t>
      </w:r>
      <w:r>
        <w:rPr>
          <w:spacing w:val="-7"/>
          <w:sz w:val="20"/>
        </w:rPr>
        <w:t xml:space="preserve"> </w:t>
      </w:r>
      <w:r>
        <w:rPr>
          <w:sz w:val="20"/>
        </w:rPr>
        <w:t>clandestina</w:t>
      </w:r>
      <w:r>
        <w:rPr>
          <w:spacing w:val="-8"/>
          <w:sz w:val="20"/>
        </w:rPr>
        <w:t xml:space="preserve"> </w:t>
      </w:r>
      <w:r>
        <w:rPr>
          <w:sz w:val="20"/>
        </w:rPr>
        <w:t>de</w:t>
      </w:r>
      <w:r>
        <w:rPr>
          <w:spacing w:val="-6"/>
          <w:sz w:val="20"/>
        </w:rPr>
        <w:t xml:space="preserve"> </w:t>
      </w:r>
      <w:r>
        <w:rPr>
          <w:sz w:val="20"/>
        </w:rPr>
        <w:t>fuegos</w:t>
      </w:r>
      <w:r>
        <w:rPr>
          <w:spacing w:val="-6"/>
          <w:sz w:val="20"/>
        </w:rPr>
        <w:t xml:space="preserve"> </w:t>
      </w:r>
      <w:r>
        <w:rPr>
          <w:sz w:val="20"/>
        </w:rPr>
        <w:t>artificiales en la ciudad de Santo Antônio de Jesus era un hecho público y notorio. Sobre las víctimas sobrevivientes, indicaron que sufrieron graves violaciones a su integridad física y psicológica en</w:t>
      </w:r>
      <w:r>
        <w:rPr>
          <w:spacing w:val="-12"/>
          <w:sz w:val="20"/>
        </w:rPr>
        <w:t xml:space="preserve"> </w:t>
      </w:r>
      <w:r>
        <w:rPr>
          <w:sz w:val="20"/>
        </w:rPr>
        <w:t>violación</w:t>
      </w:r>
      <w:r>
        <w:rPr>
          <w:spacing w:val="-12"/>
          <w:sz w:val="20"/>
        </w:rPr>
        <w:t xml:space="preserve"> </w:t>
      </w:r>
      <w:r>
        <w:rPr>
          <w:sz w:val="20"/>
        </w:rPr>
        <w:t>al</w:t>
      </w:r>
      <w:r>
        <w:rPr>
          <w:spacing w:val="-12"/>
          <w:sz w:val="20"/>
        </w:rPr>
        <w:t xml:space="preserve"> </w:t>
      </w:r>
      <w:r>
        <w:rPr>
          <w:sz w:val="20"/>
        </w:rPr>
        <w:t>artículo</w:t>
      </w:r>
      <w:r>
        <w:rPr>
          <w:spacing w:val="-14"/>
          <w:sz w:val="20"/>
        </w:rPr>
        <w:t xml:space="preserve"> </w:t>
      </w:r>
      <w:r>
        <w:rPr>
          <w:sz w:val="20"/>
        </w:rPr>
        <w:t>5.1</w:t>
      </w:r>
      <w:r>
        <w:rPr>
          <w:spacing w:val="-12"/>
          <w:sz w:val="20"/>
        </w:rPr>
        <w:t xml:space="preserve"> </w:t>
      </w:r>
      <w:r>
        <w:rPr>
          <w:sz w:val="20"/>
        </w:rPr>
        <w:t>de</w:t>
      </w:r>
      <w:r>
        <w:rPr>
          <w:spacing w:val="-14"/>
          <w:sz w:val="20"/>
        </w:rPr>
        <w:t xml:space="preserve"> </w:t>
      </w:r>
      <w:r>
        <w:rPr>
          <w:sz w:val="20"/>
        </w:rPr>
        <w:t>la</w:t>
      </w:r>
      <w:r>
        <w:rPr>
          <w:spacing w:val="-12"/>
          <w:sz w:val="20"/>
        </w:rPr>
        <w:t xml:space="preserve"> </w:t>
      </w:r>
      <w:r>
        <w:rPr>
          <w:sz w:val="20"/>
        </w:rPr>
        <w:t>Convención,</w:t>
      </w:r>
      <w:r>
        <w:rPr>
          <w:spacing w:val="-11"/>
          <w:sz w:val="20"/>
        </w:rPr>
        <w:t xml:space="preserve"> </w:t>
      </w:r>
      <w:r>
        <w:rPr>
          <w:sz w:val="20"/>
        </w:rPr>
        <w:t>por</w:t>
      </w:r>
      <w:r>
        <w:rPr>
          <w:spacing w:val="-11"/>
          <w:sz w:val="20"/>
        </w:rPr>
        <w:t xml:space="preserve"> </w:t>
      </w:r>
      <w:r>
        <w:rPr>
          <w:sz w:val="20"/>
        </w:rPr>
        <w:t>las</w:t>
      </w:r>
      <w:r>
        <w:rPr>
          <w:spacing w:val="-13"/>
          <w:sz w:val="20"/>
        </w:rPr>
        <w:t xml:space="preserve"> </w:t>
      </w:r>
      <w:r>
        <w:rPr>
          <w:sz w:val="20"/>
        </w:rPr>
        <w:t>le</w:t>
      </w:r>
      <w:r>
        <w:rPr>
          <w:sz w:val="20"/>
        </w:rPr>
        <w:t>siones</w:t>
      </w:r>
      <w:r>
        <w:rPr>
          <w:spacing w:val="-13"/>
          <w:sz w:val="20"/>
        </w:rPr>
        <w:t xml:space="preserve"> </w:t>
      </w:r>
      <w:r>
        <w:rPr>
          <w:sz w:val="20"/>
        </w:rPr>
        <w:t>y</w:t>
      </w:r>
      <w:r>
        <w:rPr>
          <w:spacing w:val="-11"/>
          <w:sz w:val="20"/>
        </w:rPr>
        <w:t xml:space="preserve"> </w:t>
      </w:r>
      <w:r>
        <w:rPr>
          <w:sz w:val="20"/>
        </w:rPr>
        <w:t>secuelas</w:t>
      </w:r>
      <w:r>
        <w:rPr>
          <w:spacing w:val="-11"/>
          <w:sz w:val="20"/>
        </w:rPr>
        <w:t xml:space="preserve"> </w:t>
      </w:r>
      <w:r>
        <w:rPr>
          <w:sz w:val="20"/>
        </w:rPr>
        <w:t>ocasionadas</w:t>
      </w:r>
      <w:r>
        <w:rPr>
          <w:spacing w:val="-12"/>
          <w:sz w:val="20"/>
        </w:rPr>
        <w:t xml:space="preserve"> </w:t>
      </w:r>
      <w:r>
        <w:rPr>
          <w:sz w:val="20"/>
        </w:rPr>
        <w:t>producto de</w:t>
      </w:r>
      <w:r>
        <w:rPr>
          <w:spacing w:val="-20"/>
          <w:sz w:val="20"/>
        </w:rPr>
        <w:t xml:space="preserve"> </w:t>
      </w:r>
      <w:r>
        <w:rPr>
          <w:sz w:val="20"/>
        </w:rPr>
        <w:t>las</w:t>
      </w:r>
      <w:r>
        <w:rPr>
          <w:spacing w:val="-18"/>
          <w:sz w:val="20"/>
        </w:rPr>
        <w:t xml:space="preserve"> </w:t>
      </w:r>
      <w:r>
        <w:rPr>
          <w:sz w:val="20"/>
        </w:rPr>
        <w:t>quemaduras</w:t>
      </w:r>
      <w:r>
        <w:rPr>
          <w:spacing w:val="-19"/>
          <w:sz w:val="20"/>
        </w:rPr>
        <w:t xml:space="preserve"> </w:t>
      </w:r>
      <w:r>
        <w:rPr>
          <w:sz w:val="20"/>
        </w:rPr>
        <w:t>y</w:t>
      </w:r>
      <w:r>
        <w:rPr>
          <w:spacing w:val="-18"/>
          <w:sz w:val="20"/>
        </w:rPr>
        <w:t xml:space="preserve"> </w:t>
      </w:r>
      <w:r>
        <w:rPr>
          <w:sz w:val="20"/>
        </w:rPr>
        <w:t>la</w:t>
      </w:r>
      <w:r>
        <w:rPr>
          <w:spacing w:val="-15"/>
          <w:sz w:val="20"/>
        </w:rPr>
        <w:t xml:space="preserve"> </w:t>
      </w:r>
      <w:r>
        <w:rPr>
          <w:sz w:val="20"/>
        </w:rPr>
        <w:t>pérdida</w:t>
      </w:r>
      <w:r>
        <w:rPr>
          <w:spacing w:val="-18"/>
          <w:sz w:val="20"/>
        </w:rPr>
        <w:t xml:space="preserve"> </w:t>
      </w:r>
      <w:r>
        <w:rPr>
          <w:sz w:val="20"/>
        </w:rPr>
        <w:t>de</w:t>
      </w:r>
      <w:r>
        <w:rPr>
          <w:spacing w:val="-16"/>
          <w:sz w:val="20"/>
        </w:rPr>
        <w:t xml:space="preserve"> </w:t>
      </w:r>
      <w:r>
        <w:rPr>
          <w:sz w:val="20"/>
        </w:rPr>
        <w:t>sus</w:t>
      </w:r>
      <w:r>
        <w:rPr>
          <w:spacing w:val="-19"/>
          <w:sz w:val="20"/>
        </w:rPr>
        <w:t xml:space="preserve"> </w:t>
      </w:r>
      <w:r>
        <w:rPr>
          <w:sz w:val="20"/>
        </w:rPr>
        <w:t>seres</w:t>
      </w:r>
      <w:r>
        <w:rPr>
          <w:spacing w:val="-18"/>
          <w:sz w:val="20"/>
        </w:rPr>
        <w:t xml:space="preserve"> </w:t>
      </w:r>
      <w:r>
        <w:rPr>
          <w:sz w:val="20"/>
        </w:rPr>
        <w:t>queridos.</w:t>
      </w:r>
      <w:r>
        <w:rPr>
          <w:spacing w:val="-18"/>
          <w:sz w:val="20"/>
        </w:rPr>
        <w:t xml:space="preserve"> </w:t>
      </w:r>
      <w:r>
        <w:rPr>
          <w:sz w:val="20"/>
        </w:rPr>
        <w:t>Este</w:t>
      </w:r>
      <w:r>
        <w:rPr>
          <w:spacing w:val="-20"/>
          <w:sz w:val="20"/>
        </w:rPr>
        <w:t xml:space="preserve"> </w:t>
      </w:r>
      <w:r>
        <w:rPr>
          <w:sz w:val="20"/>
        </w:rPr>
        <w:t>sufrimiento</w:t>
      </w:r>
      <w:r>
        <w:rPr>
          <w:spacing w:val="-19"/>
          <w:sz w:val="20"/>
        </w:rPr>
        <w:t xml:space="preserve"> </w:t>
      </w:r>
      <w:r>
        <w:rPr>
          <w:sz w:val="20"/>
        </w:rPr>
        <w:t>habría</w:t>
      </w:r>
      <w:r>
        <w:rPr>
          <w:spacing w:val="-18"/>
          <w:sz w:val="20"/>
        </w:rPr>
        <w:t xml:space="preserve"> </w:t>
      </w:r>
      <w:r>
        <w:rPr>
          <w:sz w:val="20"/>
        </w:rPr>
        <w:t>sido</w:t>
      </w:r>
      <w:r>
        <w:rPr>
          <w:spacing w:val="-16"/>
          <w:sz w:val="20"/>
        </w:rPr>
        <w:t xml:space="preserve"> </w:t>
      </w:r>
      <w:r>
        <w:rPr>
          <w:sz w:val="20"/>
        </w:rPr>
        <w:t>empeorado por la total ausencia de asistencia médica, psiquiátrica y</w:t>
      </w:r>
      <w:r>
        <w:rPr>
          <w:spacing w:val="-10"/>
          <w:sz w:val="20"/>
        </w:rPr>
        <w:t xml:space="preserve"> </w:t>
      </w:r>
      <w:r>
        <w:rPr>
          <w:sz w:val="20"/>
        </w:rPr>
        <w:t>psicológica.</w:t>
      </w:r>
    </w:p>
    <w:p w14:paraId="247E9C4E" w14:textId="77777777" w:rsidR="00467FCA" w:rsidRDefault="00467FCA">
      <w:pPr>
        <w:pStyle w:val="Textoindependiente"/>
        <w:spacing w:before="11"/>
        <w:rPr>
          <w:sz w:val="19"/>
        </w:rPr>
      </w:pPr>
    </w:p>
    <w:p w14:paraId="283F343B" w14:textId="77777777" w:rsidR="00467FCA" w:rsidRDefault="001B68EB">
      <w:pPr>
        <w:pStyle w:val="Prrafodelista"/>
        <w:numPr>
          <w:ilvl w:val="0"/>
          <w:numId w:val="50"/>
        </w:numPr>
        <w:tabs>
          <w:tab w:val="left" w:pos="687"/>
        </w:tabs>
        <w:ind w:right="116" w:firstLine="0"/>
        <w:jc w:val="both"/>
        <w:rPr>
          <w:sz w:val="20"/>
        </w:rPr>
      </w:pPr>
      <w:r>
        <w:rPr>
          <w:sz w:val="20"/>
        </w:rPr>
        <w:t xml:space="preserve">El </w:t>
      </w:r>
      <w:r>
        <w:rPr>
          <w:b/>
          <w:i/>
          <w:sz w:val="20"/>
        </w:rPr>
        <w:t xml:space="preserve">Estado </w:t>
      </w:r>
      <w:r>
        <w:rPr>
          <w:sz w:val="20"/>
        </w:rPr>
        <w:t>señaló que no puede ser considerado responsable por la violación de los derechos a la vida e integridad personal, pues no se ha comprobado que existió un consentim</w:t>
      </w:r>
      <w:r>
        <w:rPr>
          <w:sz w:val="20"/>
        </w:rPr>
        <w:t>iento consciente por parte de agentes estatales para la producción del acto ilícito. Indicó que, por el contrario, el requisito de la licencia para el funcionamiento de la empresa fue</w:t>
      </w:r>
      <w:r>
        <w:rPr>
          <w:spacing w:val="-12"/>
          <w:sz w:val="20"/>
        </w:rPr>
        <w:t xml:space="preserve"> </w:t>
      </w:r>
      <w:r>
        <w:rPr>
          <w:sz w:val="20"/>
        </w:rPr>
        <w:t>debidamente</w:t>
      </w:r>
      <w:r>
        <w:rPr>
          <w:spacing w:val="-9"/>
          <w:sz w:val="20"/>
        </w:rPr>
        <w:t xml:space="preserve"> </w:t>
      </w:r>
      <w:r>
        <w:rPr>
          <w:sz w:val="20"/>
        </w:rPr>
        <w:t>cumplido,</w:t>
      </w:r>
      <w:r>
        <w:rPr>
          <w:spacing w:val="-12"/>
          <w:sz w:val="20"/>
        </w:rPr>
        <w:t xml:space="preserve"> </w:t>
      </w:r>
      <w:r>
        <w:rPr>
          <w:sz w:val="20"/>
        </w:rPr>
        <w:t>determinándose</w:t>
      </w:r>
      <w:r>
        <w:rPr>
          <w:spacing w:val="-11"/>
          <w:sz w:val="20"/>
        </w:rPr>
        <w:t xml:space="preserve"> </w:t>
      </w:r>
      <w:r>
        <w:rPr>
          <w:sz w:val="20"/>
        </w:rPr>
        <w:t>la</w:t>
      </w:r>
      <w:r>
        <w:rPr>
          <w:spacing w:val="-8"/>
          <w:sz w:val="20"/>
        </w:rPr>
        <w:t xml:space="preserve"> </w:t>
      </w:r>
      <w:r>
        <w:rPr>
          <w:sz w:val="20"/>
        </w:rPr>
        <w:t>capacidad</w:t>
      </w:r>
      <w:r>
        <w:rPr>
          <w:spacing w:val="-11"/>
          <w:sz w:val="20"/>
        </w:rPr>
        <w:t xml:space="preserve"> </w:t>
      </w:r>
      <w:r>
        <w:rPr>
          <w:sz w:val="20"/>
        </w:rPr>
        <w:t>de</w:t>
      </w:r>
      <w:r>
        <w:rPr>
          <w:spacing w:val="-9"/>
          <w:sz w:val="20"/>
        </w:rPr>
        <w:t xml:space="preserve"> </w:t>
      </w:r>
      <w:r>
        <w:rPr>
          <w:sz w:val="20"/>
        </w:rPr>
        <w:t>los</w:t>
      </w:r>
      <w:r>
        <w:rPr>
          <w:spacing w:val="-10"/>
          <w:sz w:val="20"/>
        </w:rPr>
        <w:t xml:space="preserve"> </w:t>
      </w:r>
      <w:r>
        <w:rPr>
          <w:sz w:val="20"/>
        </w:rPr>
        <w:t>particulares</w:t>
      </w:r>
      <w:r>
        <w:rPr>
          <w:spacing w:val="-11"/>
          <w:sz w:val="20"/>
        </w:rPr>
        <w:t xml:space="preserve"> </w:t>
      </w:r>
      <w:r>
        <w:rPr>
          <w:sz w:val="20"/>
        </w:rPr>
        <w:t>pa</w:t>
      </w:r>
      <w:r>
        <w:rPr>
          <w:sz w:val="20"/>
        </w:rPr>
        <w:t>ra</w:t>
      </w:r>
      <w:r>
        <w:rPr>
          <w:spacing w:val="-10"/>
          <w:sz w:val="20"/>
        </w:rPr>
        <w:t xml:space="preserve"> </w:t>
      </w:r>
      <w:r>
        <w:rPr>
          <w:sz w:val="20"/>
        </w:rPr>
        <w:t>actuar</w:t>
      </w:r>
      <w:r>
        <w:rPr>
          <w:spacing w:val="-10"/>
          <w:sz w:val="20"/>
        </w:rPr>
        <w:t xml:space="preserve"> </w:t>
      </w:r>
      <w:r>
        <w:rPr>
          <w:sz w:val="20"/>
        </w:rPr>
        <w:t>en</w:t>
      </w:r>
      <w:r>
        <w:rPr>
          <w:spacing w:val="-7"/>
          <w:sz w:val="20"/>
        </w:rPr>
        <w:t xml:space="preserve"> </w:t>
      </w:r>
      <w:r>
        <w:rPr>
          <w:sz w:val="20"/>
        </w:rPr>
        <w:t>el campo</w:t>
      </w:r>
      <w:r>
        <w:rPr>
          <w:spacing w:val="-16"/>
          <w:sz w:val="20"/>
        </w:rPr>
        <w:t xml:space="preserve"> </w:t>
      </w:r>
      <w:r>
        <w:rPr>
          <w:sz w:val="20"/>
        </w:rPr>
        <w:t>de</w:t>
      </w:r>
      <w:r>
        <w:rPr>
          <w:spacing w:val="-16"/>
          <w:sz w:val="20"/>
        </w:rPr>
        <w:t xml:space="preserve"> </w:t>
      </w:r>
      <w:r>
        <w:rPr>
          <w:sz w:val="20"/>
        </w:rPr>
        <w:t>la</w:t>
      </w:r>
      <w:r>
        <w:rPr>
          <w:spacing w:val="-12"/>
          <w:sz w:val="20"/>
        </w:rPr>
        <w:t xml:space="preserve"> </w:t>
      </w:r>
      <w:r>
        <w:rPr>
          <w:sz w:val="20"/>
        </w:rPr>
        <w:t>fabricación</w:t>
      </w:r>
      <w:r>
        <w:rPr>
          <w:spacing w:val="-12"/>
          <w:sz w:val="20"/>
        </w:rPr>
        <w:t xml:space="preserve"> </w:t>
      </w:r>
      <w:r>
        <w:rPr>
          <w:sz w:val="20"/>
        </w:rPr>
        <w:t>de</w:t>
      </w:r>
      <w:r>
        <w:rPr>
          <w:spacing w:val="-16"/>
          <w:sz w:val="20"/>
        </w:rPr>
        <w:t xml:space="preserve"> </w:t>
      </w:r>
      <w:r>
        <w:rPr>
          <w:sz w:val="20"/>
        </w:rPr>
        <w:t>fuegos</w:t>
      </w:r>
      <w:r>
        <w:rPr>
          <w:spacing w:val="-16"/>
          <w:sz w:val="20"/>
        </w:rPr>
        <w:t xml:space="preserve"> </w:t>
      </w:r>
      <w:r>
        <w:rPr>
          <w:sz w:val="20"/>
        </w:rPr>
        <w:t>artificiales,</w:t>
      </w:r>
      <w:r>
        <w:rPr>
          <w:spacing w:val="-13"/>
          <w:sz w:val="20"/>
        </w:rPr>
        <w:t xml:space="preserve"> </w:t>
      </w:r>
      <w:r>
        <w:rPr>
          <w:sz w:val="20"/>
        </w:rPr>
        <w:t>sin</w:t>
      </w:r>
      <w:r>
        <w:rPr>
          <w:spacing w:val="-14"/>
          <w:sz w:val="20"/>
        </w:rPr>
        <w:t xml:space="preserve"> </w:t>
      </w:r>
      <w:r>
        <w:rPr>
          <w:sz w:val="20"/>
        </w:rPr>
        <w:t>que</w:t>
      </w:r>
      <w:r>
        <w:rPr>
          <w:spacing w:val="-14"/>
          <w:sz w:val="20"/>
        </w:rPr>
        <w:t xml:space="preserve"> </w:t>
      </w:r>
      <w:r>
        <w:rPr>
          <w:sz w:val="20"/>
        </w:rPr>
        <w:t>el</w:t>
      </w:r>
      <w:r>
        <w:rPr>
          <w:spacing w:val="-15"/>
          <w:sz w:val="20"/>
        </w:rPr>
        <w:t xml:space="preserve"> </w:t>
      </w:r>
      <w:r>
        <w:rPr>
          <w:sz w:val="20"/>
        </w:rPr>
        <w:t>Ejército</w:t>
      </w:r>
      <w:r>
        <w:rPr>
          <w:spacing w:val="-14"/>
          <w:sz w:val="20"/>
        </w:rPr>
        <w:t xml:space="preserve"> </w:t>
      </w:r>
      <w:r>
        <w:rPr>
          <w:sz w:val="20"/>
        </w:rPr>
        <w:t>y</w:t>
      </w:r>
      <w:r>
        <w:rPr>
          <w:spacing w:val="-13"/>
          <w:sz w:val="20"/>
        </w:rPr>
        <w:t xml:space="preserve"> </w:t>
      </w:r>
      <w:r>
        <w:rPr>
          <w:sz w:val="20"/>
        </w:rPr>
        <w:t>otros</w:t>
      </w:r>
      <w:r>
        <w:rPr>
          <w:spacing w:val="-11"/>
          <w:sz w:val="20"/>
        </w:rPr>
        <w:t xml:space="preserve"> </w:t>
      </w:r>
      <w:r>
        <w:rPr>
          <w:sz w:val="20"/>
        </w:rPr>
        <w:t>órganos</w:t>
      </w:r>
      <w:r>
        <w:rPr>
          <w:spacing w:val="-16"/>
          <w:sz w:val="20"/>
        </w:rPr>
        <w:t xml:space="preserve"> </w:t>
      </w:r>
      <w:r>
        <w:rPr>
          <w:sz w:val="20"/>
        </w:rPr>
        <w:t>de</w:t>
      </w:r>
      <w:r>
        <w:rPr>
          <w:spacing w:val="-16"/>
          <w:sz w:val="20"/>
        </w:rPr>
        <w:t xml:space="preserve"> </w:t>
      </w:r>
      <w:r>
        <w:rPr>
          <w:sz w:val="20"/>
        </w:rPr>
        <w:t>inspección en el ámbito estatal o municipal fueran específicamente notificados de la ocurrencia de ilegalidades previas a la explosión de la fábrica. Indicó que el Estado ha demostrado el cumplimiento de sus obligaciones relativas a la protección del derec</w:t>
      </w:r>
      <w:r>
        <w:rPr>
          <w:sz w:val="20"/>
        </w:rPr>
        <w:t>ho a la vida, pues, posterior a la explosión, puso a disposición de las presuntas víctimas los recursos internos, algunos de los cuales han tenido decisiones preliminares o definitivas y han permitido la determinación de los culpables y la reparación a los</w:t>
      </w:r>
      <w:r>
        <w:rPr>
          <w:sz w:val="20"/>
        </w:rPr>
        <w:t xml:space="preserve"> damnificados. Por lo anterior, solicitó a la</w:t>
      </w:r>
      <w:r>
        <w:rPr>
          <w:spacing w:val="-8"/>
          <w:sz w:val="20"/>
        </w:rPr>
        <w:t xml:space="preserve"> </w:t>
      </w:r>
      <w:r>
        <w:rPr>
          <w:sz w:val="20"/>
        </w:rPr>
        <w:t>Corte</w:t>
      </w:r>
      <w:r>
        <w:rPr>
          <w:spacing w:val="-9"/>
          <w:sz w:val="20"/>
        </w:rPr>
        <w:t xml:space="preserve"> </w:t>
      </w:r>
      <w:r>
        <w:rPr>
          <w:sz w:val="20"/>
        </w:rPr>
        <w:t>que,</w:t>
      </w:r>
      <w:r>
        <w:rPr>
          <w:spacing w:val="-6"/>
          <w:sz w:val="20"/>
        </w:rPr>
        <w:t xml:space="preserve"> </w:t>
      </w:r>
      <w:r>
        <w:rPr>
          <w:sz w:val="20"/>
        </w:rPr>
        <w:t>con</w:t>
      </w:r>
      <w:r>
        <w:rPr>
          <w:spacing w:val="-4"/>
          <w:sz w:val="20"/>
        </w:rPr>
        <w:t xml:space="preserve"> </w:t>
      </w:r>
      <w:r>
        <w:rPr>
          <w:sz w:val="20"/>
        </w:rPr>
        <w:t>el</w:t>
      </w:r>
      <w:r>
        <w:rPr>
          <w:spacing w:val="-6"/>
          <w:sz w:val="20"/>
        </w:rPr>
        <w:t xml:space="preserve"> </w:t>
      </w:r>
      <w:r>
        <w:rPr>
          <w:sz w:val="20"/>
        </w:rPr>
        <w:t>objetivo</w:t>
      </w:r>
      <w:r>
        <w:rPr>
          <w:spacing w:val="-9"/>
          <w:sz w:val="20"/>
        </w:rPr>
        <w:t xml:space="preserve"> </w:t>
      </w:r>
      <w:r>
        <w:rPr>
          <w:sz w:val="20"/>
        </w:rPr>
        <w:t>de</w:t>
      </w:r>
      <w:r>
        <w:rPr>
          <w:spacing w:val="-7"/>
          <w:sz w:val="20"/>
        </w:rPr>
        <w:t xml:space="preserve"> </w:t>
      </w:r>
      <w:r>
        <w:rPr>
          <w:sz w:val="20"/>
        </w:rPr>
        <w:t>reconocer</w:t>
      </w:r>
      <w:r>
        <w:rPr>
          <w:spacing w:val="-9"/>
          <w:sz w:val="20"/>
        </w:rPr>
        <w:t xml:space="preserve"> </w:t>
      </w:r>
      <w:r>
        <w:rPr>
          <w:sz w:val="20"/>
        </w:rPr>
        <w:t>que</w:t>
      </w:r>
      <w:r>
        <w:rPr>
          <w:spacing w:val="-6"/>
          <w:sz w:val="20"/>
        </w:rPr>
        <w:t xml:space="preserve"> </w:t>
      </w:r>
      <w:r>
        <w:rPr>
          <w:sz w:val="20"/>
        </w:rPr>
        <w:t>la</w:t>
      </w:r>
      <w:r>
        <w:rPr>
          <w:spacing w:val="-5"/>
          <w:sz w:val="20"/>
        </w:rPr>
        <w:t xml:space="preserve"> </w:t>
      </w:r>
      <w:r>
        <w:rPr>
          <w:sz w:val="20"/>
        </w:rPr>
        <w:t>responsabilidad</w:t>
      </w:r>
      <w:r>
        <w:rPr>
          <w:spacing w:val="-7"/>
          <w:sz w:val="20"/>
        </w:rPr>
        <w:t xml:space="preserve"> </w:t>
      </w:r>
      <w:r>
        <w:rPr>
          <w:sz w:val="20"/>
        </w:rPr>
        <w:t>primaria</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protección</w:t>
      </w:r>
      <w:r>
        <w:rPr>
          <w:spacing w:val="-7"/>
          <w:sz w:val="20"/>
        </w:rPr>
        <w:t xml:space="preserve"> </w:t>
      </w:r>
      <w:r>
        <w:rPr>
          <w:sz w:val="20"/>
        </w:rPr>
        <w:t>de los derechos humanos ha sido ejercida de manera regular por el Estado brasileño y a fin de que este órgano internacion</w:t>
      </w:r>
      <w:r>
        <w:rPr>
          <w:sz w:val="20"/>
        </w:rPr>
        <w:t>al no actúe como cuarta instancia, considere las decisiones internas sobre el</w:t>
      </w:r>
      <w:r>
        <w:rPr>
          <w:spacing w:val="-1"/>
          <w:sz w:val="20"/>
        </w:rPr>
        <w:t xml:space="preserve"> </w:t>
      </w:r>
      <w:r>
        <w:rPr>
          <w:sz w:val="20"/>
        </w:rPr>
        <w:t>tema.</w:t>
      </w:r>
    </w:p>
    <w:p w14:paraId="1BC37162" w14:textId="77777777" w:rsidR="00467FCA" w:rsidRDefault="00467FCA">
      <w:pPr>
        <w:pStyle w:val="Textoindependiente"/>
        <w:spacing w:before="1"/>
      </w:pPr>
    </w:p>
    <w:p w14:paraId="33E18E0D" w14:textId="77777777" w:rsidR="00467FCA" w:rsidRDefault="001B68EB">
      <w:pPr>
        <w:pStyle w:val="Ttulo1"/>
        <w:numPr>
          <w:ilvl w:val="2"/>
          <w:numId w:val="42"/>
        </w:numPr>
        <w:tabs>
          <w:tab w:val="left" w:pos="841"/>
        </w:tabs>
        <w:ind w:left="840"/>
      </w:pPr>
      <w:bookmarkStart w:id="261" w:name="_bookmark222"/>
      <w:bookmarkEnd w:id="261"/>
      <w:r>
        <w:t>Consideraciones de la</w:t>
      </w:r>
      <w:r>
        <w:rPr>
          <w:spacing w:val="-3"/>
        </w:rPr>
        <w:t xml:space="preserve"> </w:t>
      </w:r>
      <w:r>
        <w:t>Corte</w:t>
      </w:r>
    </w:p>
    <w:p w14:paraId="6F134D34" w14:textId="77777777" w:rsidR="00467FCA" w:rsidRDefault="00467FCA">
      <w:pPr>
        <w:pStyle w:val="Textoindependiente"/>
        <w:spacing w:before="1"/>
        <w:rPr>
          <w:b/>
        </w:rPr>
      </w:pPr>
    </w:p>
    <w:p w14:paraId="5285C4D7" w14:textId="77777777" w:rsidR="00467FCA" w:rsidRDefault="001B68EB">
      <w:pPr>
        <w:pStyle w:val="Prrafodelista"/>
        <w:numPr>
          <w:ilvl w:val="0"/>
          <w:numId w:val="50"/>
        </w:numPr>
        <w:tabs>
          <w:tab w:val="left" w:pos="687"/>
        </w:tabs>
        <w:ind w:left="119" w:right="117" w:firstLine="0"/>
        <w:jc w:val="both"/>
        <w:rPr>
          <w:sz w:val="20"/>
        </w:rPr>
      </w:pPr>
      <w:r>
        <w:rPr>
          <w:sz w:val="20"/>
        </w:rPr>
        <w:t xml:space="preserve">De acuerdo con el artículo 1.1 de la Convención Americana, los Estados tienen la obligación </w:t>
      </w:r>
      <w:r>
        <w:rPr>
          <w:i/>
          <w:sz w:val="20"/>
        </w:rPr>
        <w:t xml:space="preserve">erga omnes </w:t>
      </w:r>
      <w:r>
        <w:rPr>
          <w:sz w:val="20"/>
        </w:rPr>
        <w:t xml:space="preserve">de respetar y garantizar las normas de </w:t>
      </w:r>
      <w:r>
        <w:rPr>
          <w:sz w:val="20"/>
        </w:rPr>
        <w:t>protección y la efectividad de los derechos humanos reconocidos en su texto</w:t>
      </w:r>
      <w:hyperlink w:anchor="_bookmark223" w:history="1">
        <w:r>
          <w:rPr>
            <w:position w:val="7"/>
            <w:sz w:val="13"/>
          </w:rPr>
          <w:t>185</w:t>
        </w:r>
      </w:hyperlink>
      <w:r>
        <w:rPr>
          <w:sz w:val="20"/>
        </w:rPr>
        <w:t>. De modo que la responsabilidad internacional</w:t>
      </w:r>
      <w:r>
        <w:rPr>
          <w:spacing w:val="-14"/>
          <w:sz w:val="20"/>
        </w:rPr>
        <w:t xml:space="preserve"> </w:t>
      </w:r>
      <w:r>
        <w:rPr>
          <w:sz w:val="20"/>
        </w:rPr>
        <w:t>del</w:t>
      </w:r>
      <w:r>
        <w:rPr>
          <w:spacing w:val="-13"/>
          <w:sz w:val="20"/>
        </w:rPr>
        <w:t xml:space="preserve"> </w:t>
      </w:r>
      <w:r>
        <w:rPr>
          <w:sz w:val="20"/>
        </w:rPr>
        <w:t>Estado</w:t>
      </w:r>
      <w:r>
        <w:rPr>
          <w:spacing w:val="-13"/>
          <w:sz w:val="20"/>
        </w:rPr>
        <w:t xml:space="preserve"> </w:t>
      </w:r>
      <w:r>
        <w:rPr>
          <w:sz w:val="20"/>
        </w:rPr>
        <w:t>se</w:t>
      </w:r>
      <w:r>
        <w:rPr>
          <w:spacing w:val="-15"/>
          <w:sz w:val="20"/>
        </w:rPr>
        <w:t xml:space="preserve"> </w:t>
      </w:r>
      <w:r>
        <w:rPr>
          <w:sz w:val="20"/>
        </w:rPr>
        <w:t>fundamenta</w:t>
      </w:r>
      <w:r>
        <w:rPr>
          <w:spacing w:val="-13"/>
          <w:sz w:val="20"/>
        </w:rPr>
        <w:t xml:space="preserve"> </w:t>
      </w:r>
      <w:r>
        <w:rPr>
          <w:sz w:val="20"/>
        </w:rPr>
        <w:t>en</w:t>
      </w:r>
      <w:r>
        <w:rPr>
          <w:spacing w:val="-13"/>
          <w:sz w:val="20"/>
        </w:rPr>
        <w:t xml:space="preserve"> </w:t>
      </w:r>
      <w:r>
        <w:rPr>
          <w:sz w:val="20"/>
        </w:rPr>
        <w:t>acciones</w:t>
      </w:r>
      <w:r>
        <w:rPr>
          <w:spacing w:val="-15"/>
          <w:sz w:val="20"/>
        </w:rPr>
        <w:t xml:space="preserve"> </w:t>
      </w:r>
      <w:r>
        <w:rPr>
          <w:sz w:val="20"/>
        </w:rPr>
        <w:t>u</w:t>
      </w:r>
      <w:r>
        <w:rPr>
          <w:spacing w:val="-13"/>
          <w:sz w:val="20"/>
        </w:rPr>
        <w:t xml:space="preserve"> </w:t>
      </w:r>
      <w:r>
        <w:rPr>
          <w:sz w:val="20"/>
        </w:rPr>
        <w:t>omisiones</w:t>
      </w:r>
      <w:r>
        <w:rPr>
          <w:spacing w:val="-14"/>
          <w:sz w:val="20"/>
        </w:rPr>
        <w:t xml:space="preserve"> </w:t>
      </w:r>
      <w:r>
        <w:rPr>
          <w:sz w:val="20"/>
        </w:rPr>
        <w:t>de</w:t>
      </w:r>
      <w:r>
        <w:rPr>
          <w:spacing w:val="-14"/>
          <w:sz w:val="20"/>
        </w:rPr>
        <w:t xml:space="preserve"> </w:t>
      </w:r>
      <w:r>
        <w:rPr>
          <w:sz w:val="20"/>
        </w:rPr>
        <w:t>cualquiera</w:t>
      </w:r>
      <w:r>
        <w:rPr>
          <w:spacing w:val="-13"/>
          <w:sz w:val="20"/>
        </w:rPr>
        <w:t xml:space="preserve"> </w:t>
      </w:r>
      <w:r>
        <w:rPr>
          <w:sz w:val="20"/>
        </w:rPr>
        <w:t>de</w:t>
      </w:r>
      <w:r>
        <w:rPr>
          <w:spacing w:val="-15"/>
          <w:sz w:val="20"/>
        </w:rPr>
        <w:t xml:space="preserve"> </w:t>
      </w:r>
      <w:r>
        <w:rPr>
          <w:sz w:val="20"/>
        </w:rPr>
        <w:t>sus</w:t>
      </w:r>
      <w:r>
        <w:rPr>
          <w:spacing w:val="-13"/>
          <w:sz w:val="20"/>
        </w:rPr>
        <w:t xml:space="preserve"> </w:t>
      </w:r>
      <w:r>
        <w:rPr>
          <w:sz w:val="20"/>
        </w:rPr>
        <w:t>órganos o poderes, independiente de su jerarquía, que violen los derechos reconocidos en la Convención</w:t>
      </w:r>
      <w:hyperlink w:anchor="_bookmark224" w:history="1">
        <w:r>
          <w:rPr>
            <w:position w:val="7"/>
            <w:sz w:val="13"/>
          </w:rPr>
          <w:t>186</w:t>
        </w:r>
      </w:hyperlink>
      <w:r>
        <w:rPr>
          <w:sz w:val="20"/>
        </w:rPr>
        <w:t>.</w:t>
      </w:r>
      <w:r>
        <w:rPr>
          <w:spacing w:val="-11"/>
          <w:sz w:val="20"/>
        </w:rPr>
        <w:t xml:space="preserve"> </w:t>
      </w:r>
      <w:r>
        <w:rPr>
          <w:sz w:val="20"/>
        </w:rPr>
        <w:t>Por</w:t>
      </w:r>
      <w:r>
        <w:rPr>
          <w:spacing w:val="-11"/>
          <w:sz w:val="20"/>
        </w:rPr>
        <w:t xml:space="preserve"> </w:t>
      </w:r>
      <w:r>
        <w:rPr>
          <w:sz w:val="20"/>
        </w:rPr>
        <w:t>consiguiente,</w:t>
      </w:r>
      <w:r>
        <w:rPr>
          <w:spacing w:val="-11"/>
          <w:sz w:val="20"/>
        </w:rPr>
        <w:t xml:space="preserve"> </w:t>
      </w:r>
      <w:r>
        <w:rPr>
          <w:sz w:val="20"/>
        </w:rPr>
        <w:t>los</w:t>
      </w:r>
      <w:r>
        <w:rPr>
          <w:spacing w:val="-11"/>
          <w:sz w:val="20"/>
        </w:rPr>
        <w:t xml:space="preserve"> </w:t>
      </w:r>
      <w:r>
        <w:rPr>
          <w:sz w:val="20"/>
        </w:rPr>
        <w:t>Estados</w:t>
      </w:r>
      <w:r>
        <w:rPr>
          <w:spacing w:val="-11"/>
          <w:sz w:val="20"/>
        </w:rPr>
        <w:t xml:space="preserve"> </w:t>
      </w:r>
      <w:r>
        <w:rPr>
          <w:sz w:val="20"/>
        </w:rPr>
        <w:t>se</w:t>
      </w:r>
      <w:r>
        <w:rPr>
          <w:spacing w:val="-9"/>
          <w:sz w:val="20"/>
        </w:rPr>
        <w:t xml:space="preserve"> </w:t>
      </w:r>
      <w:r>
        <w:rPr>
          <w:sz w:val="20"/>
        </w:rPr>
        <w:t>comprometen</w:t>
      </w:r>
      <w:r>
        <w:rPr>
          <w:spacing w:val="-9"/>
          <w:sz w:val="20"/>
        </w:rPr>
        <w:t xml:space="preserve"> </w:t>
      </w:r>
      <w:r>
        <w:rPr>
          <w:sz w:val="20"/>
        </w:rPr>
        <w:t>no</w:t>
      </w:r>
      <w:r>
        <w:rPr>
          <w:spacing w:val="-9"/>
          <w:sz w:val="20"/>
        </w:rPr>
        <w:t xml:space="preserve"> </w:t>
      </w:r>
      <w:r>
        <w:rPr>
          <w:sz w:val="20"/>
        </w:rPr>
        <w:t>solo</w:t>
      </w:r>
      <w:r>
        <w:rPr>
          <w:spacing w:val="-11"/>
          <w:sz w:val="20"/>
        </w:rPr>
        <w:t xml:space="preserve"> </w:t>
      </w:r>
      <w:r>
        <w:rPr>
          <w:sz w:val="20"/>
        </w:rPr>
        <w:t>a</w:t>
      </w:r>
      <w:r>
        <w:rPr>
          <w:spacing w:val="-10"/>
          <w:sz w:val="20"/>
        </w:rPr>
        <w:t xml:space="preserve"> </w:t>
      </w:r>
      <w:r>
        <w:rPr>
          <w:sz w:val="20"/>
        </w:rPr>
        <w:t>respetar</w:t>
      </w:r>
      <w:r>
        <w:rPr>
          <w:spacing w:val="-11"/>
          <w:sz w:val="20"/>
        </w:rPr>
        <w:t xml:space="preserve"> </w:t>
      </w:r>
      <w:r>
        <w:rPr>
          <w:sz w:val="20"/>
        </w:rPr>
        <w:t>los</w:t>
      </w:r>
      <w:r>
        <w:rPr>
          <w:spacing w:val="-11"/>
          <w:sz w:val="20"/>
        </w:rPr>
        <w:t xml:space="preserve"> </w:t>
      </w:r>
      <w:r>
        <w:rPr>
          <w:sz w:val="20"/>
        </w:rPr>
        <w:t>derechos y</w:t>
      </w:r>
      <w:r>
        <w:rPr>
          <w:spacing w:val="41"/>
          <w:sz w:val="20"/>
        </w:rPr>
        <w:t xml:space="preserve"> </w:t>
      </w:r>
      <w:r>
        <w:rPr>
          <w:sz w:val="20"/>
        </w:rPr>
        <w:t>libertades</w:t>
      </w:r>
      <w:r>
        <w:rPr>
          <w:spacing w:val="44"/>
          <w:sz w:val="20"/>
        </w:rPr>
        <w:t xml:space="preserve"> </w:t>
      </w:r>
      <w:r>
        <w:rPr>
          <w:sz w:val="20"/>
        </w:rPr>
        <w:t>en</w:t>
      </w:r>
      <w:r>
        <w:rPr>
          <w:spacing w:val="46"/>
          <w:sz w:val="20"/>
        </w:rPr>
        <w:t xml:space="preserve"> </w:t>
      </w:r>
      <w:r>
        <w:rPr>
          <w:sz w:val="20"/>
        </w:rPr>
        <w:t>ella</w:t>
      </w:r>
      <w:r>
        <w:rPr>
          <w:spacing w:val="45"/>
          <w:sz w:val="20"/>
        </w:rPr>
        <w:t xml:space="preserve"> </w:t>
      </w:r>
      <w:r>
        <w:rPr>
          <w:sz w:val="20"/>
        </w:rPr>
        <w:t>reconocidos</w:t>
      </w:r>
      <w:r>
        <w:rPr>
          <w:spacing w:val="43"/>
          <w:sz w:val="20"/>
        </w:rPr>
        <w:t xml:space="preserve"> </w:t>
      </w:r>
      <w:r>
        <w:rPr>
          <w:sz w:val="20"/>
        </w:rPr>
        <w:t>(obliga</w:t>
      </w:r>
      <w:r>
        <w:rPr>
          <w:sz w:val="20"/>
        </w:rPr>
        <w:t>ción</w:t>
      </w:r>
      <w:r>
        <w:rPr>
          <w:spacing w:val="43"/>
          <w:sz w:val="20"/>
        </w:rPr>
        <w:t xml:space="preserve"> </w:t>
      </w:r>
      <w:r>
        <w:rPr>
          <w:sz w:val="20"/>
        </w:rPr>
        <w:t>negativa),</w:t>
      </w:r>
      <w:r>
        <w:rPr>
          <w:spacing w:val="44"/>
          <w:sz w:val="20"/>
        </w:rPr>
        <w:t xml:space="preserve"> </w:t>
      </w:r>
      <w:r>
        <w:rPr>
          <w:sz w:val="20"/>
        </w:rPr>
        <w:t>sino</w:t>
      </w:r>
      <w:r>
        <w:rPr>
          <w:spacing w:val="44"/>
          <w:sz w:val="20"/>
        </w:rPr>
        <w:t xml:space="preserve"> </w:t>
      </w:r>
      <w:r>
        <w:rPr>
          <w:sz w:val="20"/>
        </w:rPr>
        <w:t>también</w:t>
      </w:r>
      <w:r>
        <w:rPr>
          <w:spacing w:val="45"/>
          <w:sz w:val="20"/>
        </w:rPr>
        <w:t xml:space="preserve"> </w:t>
      </w:r>
      <w:r>
        <w:rPr>
          <w:sz w:val="20"/>
        </w:rPr>
        <w:t>a</w:t>
      </w:r>
      <w:r>
        <w:rPr>
          <w:spacing w:val="42"/>
          <w:sz w:val="20"/>
        </w:rPr>
        <w:t xml:space="preserve"> </w:t>
      </w:r>
      <w:r>
        <w:rPr>
          <w:sz w:val="20"/>
        </w:rPr>
        <w:t>adoptar</w:t>
      </w:r>
      <w:r>
        <w:rPr>
          <w:spacing w:val="43"/>
          <w:sz w:val="20"/>
        </w:rPr>
        <w:t xml:space="preserve"> </w:t>
      </w:r>
      <w:r>
        <w:rPr>
          <w:sz w:val="20"/>
        </w:rPr>
        <w:t>todas</w:t>
      </w:r>
      <w:r>
        <w:rPr>
          <w:spacing w:val="41"/>
          <w:sz w:val="20"/>
        </w:rPr>
        <w:t xml:space="preserve"> </w:t>
      </w:r>
      <w:r>
        <w:rPr>
          <w:sz w:val="20"/>
        </w:rPr>
        <w:t>las</w:t>
      </w:r>
    </w:p>
    <w:p w14:paraId="70DD5D2B" w14:textId="77777777" w:rsidR="00467FCA" w:rsidRDefault="00467FCA">
      <w:pPr>
        <w:pStyle w:val="Textoindependiente"/>
      </w:pPr>
    </w:p>
    <w:p w14:paraId="774C3E7E" w14:textId="77777777" w:rsidR="00467FCA" w:rsidRDefault="00467FCA">
      <w:pPr>
        <w:pStyle w:val="Textoindependiente"/>
      </w:pPr>
    </w:p>
    <w:p w14:paraId="43065BFD" w14:textId="77777777" w:rsidR="00467FCA" w:rsidRDefault="001B68EB">
      <w:pPr>
        <w:pStyle w:val="Textoindependiente"/>
        <w:spacing w:before="6"/>
        <w:rPr>
          <w:sz w:val="17"/>
        </w:rPr>
      </w:pPr>
      <w:r>
        <w:pict w14:anchorId="155D3DD0">
          <v:shape id="_x0000_s1165" style="position:absolute;margin-left:1in;margin-top:12.9pt;width:2in;height:.1pt;z-index:-251626496;mso-wrap-distance-left:0;mso-wrap-distance-right:0;mso-position-horizontal-relative:page" coordorigin="1440,258" coordsize="2880,0" path="m1440,258r2880,e" filled="f" strokeweight=".6pt">
            <v:path arrowok="t"/>
            <w10:wrap type="topAndBottom" anchorx="page"/>
          </v:shape>
        </w:pict>
      </w:r>
    </w:p>
    <w:p w14:paraId="6603C842" w14:textId="77777777" w:rsidR="00467FCA" w:rsidRDefault="001B68EB">
      <w:pPr>
        <w:tabs>
          <w:tab w:val="left" w:pos="839"/>
        </w:tabs>
        <w:spacing w:before="74"/>
        <w:ind w:left="118" w:right="115" w:firstLine="1"/>
        <w:jc w:val="both"/>
        <w:rPr>
          <w:sz w:val="16"/>
        </w:rPr>
      </w:pPr>
      <w:bookmarkStart w:id="262" w:name="_bookmark223"/>
      <w:bookmarkEnd w:id="262"/>
      <w:r>
        <w:rPr>
          <w:position w:val="6"/>
          <w:sz w:val="10"/>
        </w:rPr>
        <w:t>185</w:t>
      </w:r>
      <w:r>
        <w:rPr>
          <w:position w:val="6"/>
          <w:sz w:val="10"/>
        </w:rPr>
        <w:tab/>
      </w:r>
      <w:r>
        <w:rPr>
          <w:i/>
          <w:sz w:val="16"/>
        </w:rPr>
        <w:t xml:space="preserve">Cfr. Caso de la “Masacre de Mapiripán” Vs. Colombia. </w:t>
      </w:r>
      <w:r>
        <w:rPr>
          <w:sz w:val="16"/>
        </w:rPr>
        <w:t>Sentencia de 15 de septiembre de 2005. Serie C No. 134,</w:t>
      </w:r>
      <w:r>
        <w:rPr>
          <w:spacing w:val="-7"/>
          <w:sz w:val="16"/>
        </w:rPr>
        <w:t xml:space="preserve"> </w:t>
      </w:r>
      <w:r>
        <w:rPr>
          <w:sz w:val="16"/>
        </w:rPr>
        <w:t>párr.</w:t>
      </w:r>
      <w:r>
        <w:rPr>
          <w:spacing w:val="-6"/>
          <w:sz w:val="16"/>
        </w:rPr>
        <w:t xml:space="preserve"> </w:t>
      </w:r>
      <w:r>
        <w:rPr>
          <w:sz w:val="16"/>
        </w:rPr>
        <w:t>111,</w:t>
      </w:r>
      <w:r>
        <w:rPr>
          <w:spacing w:val="-6"/>
          <w:sz w:val="16"/>
        </w:rPr>
        <w:t xml:space="preserve"> </w:t>
      </w:r>
      <w:r>
        <w:rPr>
          <w:sz w:val="16"/>
        </w:rPr>
        <w:t>y</w:t>
      </w:r>
      <w:r>
        <w:rPr>
          <w:spacing w:val="-7"/>
          <w:sz w:val="16"/>
        </w:rPr>
        <w:t xml:space="preserve"> </w:t>
      </w:r>
      <w:r>
        <w:rPr>
          <w:i/>
          <w:sz w:val="16"/>
        </w:rPr>
        <w:t>Caso</w:t>
      </w:r>
      <w:r>
        <w:rPr>
          <w:i/>
          <w:spacing w:val="-7"/>
          <w:sz w:val="16"/>
        </w:rPr>
        <w:t xml:space="preserve"> </w:t>
      </w:r>
      <w:r>
        <w:rPr>
          <w:i/>
          <w:sz w:val="16"/>
        </w:rPr>
        <w:t>Vereda</w:t>
      </w:r>
      <w:r>
        <w:rPr>
          <w:i/>
          <w:spacing w:val="-6"/>
          <w:sz w:val="16"/>
        </w:rPr>
        <w:t xml:space="preserve"> </w:t>
      </w:r>
      <w:r>
        <w:rPr>
          <w:i/>
          <w:sz w:val="16"/>
        </w:rPr>
        <w:t>La</w:t>
      </w:r>
      <w:r>
        <w:rPr>
          <w:i/>
          <w:spacing w:val="-3"/>
          <w:sz w:val="16"/>
        </w:rPr>
        <w:t xml:space="preserve"> </w:t>
      </w:r>
      <w:r>
        <w:rPr>
          <w:i/>
          <w:sz w:val="16"/>
        </w:rPr>
        <w:t>Esperanza</w:t>
      </w:r>
      <w:r>
        <w:rPr>
          <w:i/>
          <w:spacing w:val="-6"/>
          <w:sz w:val="16"/>
        </w:rPr>
        <w:t xml:space="preserve"> </w:t>
      </w:r>
      <w:r>
        <w:rPr>
          <w:i/>
          <w:sz w:val="16"/>
        </w:rPr>
        <w:t>Vs.</w:t>
      </w:r>
      <w:r>
        <w:rPr>
          <w:i/>
          <w:spacing w:val="-6"/>
          <w:sz w:val="16"/>
        </w:rPr>
        <w:t xml:space="preserve"> </w:t>
      </w:r>
      <w:r>
        <w:rPr>
          <w:i/>
          <w:sz w:val="16"/>
        </w:rPr>
        <w:t>Colombia.</w:t>
      </w:r>
      <w:r>
        <w:rPr>
          <w:i/>
          <w:spacing w:val="-6"/>
          <w:sz w:val="16"/>
        </w:rPr>
        <w:t xml:space="preserve"> </w:t>
      </w:r>
      <w:r>
        <w:rPr>
          <w:i/>
          <w:sz w:val="16"/>
        </w:rPr>
        <w:t>Excepciones</w:t>
      </w:r>
      <w:r>
        <w:rPr>
          <w:i/>
          <w:spacing w:val="-5"/>
          <w:sz w:val="16"/>
        </w:rPr>
        <w:t xml:space="preserve"> </w:t>
      </w:r>
      <w:r>
        <w:rPr>
          <w:i/>
          <w:sz w:val="16"/>
        </w:rPr>
        <w:t>Preliminares,</w:t>
      </w:r>
      <w:r>
        <w:rPr>
          <w:i/>
          <w:spacing w:val="-6"/>
          <w:sz w:val="16"/>
        </w:rPr>
        <w:t xml:space="preserve"> </w:t>
      </w:r>
      <w:r>
        <w:rPr>
          <w:i/>
          <w:sz w:val="16"/>
        </w:rPr>
        <w:t>Fondo,</w:t>
      </w:r>
      <w:r>
        <w:rPr>
          <w:i/>
          <w:spacing w:val="-6"/>
          <w:sz w:val="16"/>
        </w:rPr>
        <w:t xml:space="preserve"> </w:t>
      </w:r>
      <w:r>
        <w:rPr>
          <w:i/>
          <w:sz w:val="16"/>
        </w:rPr>
        <w:t>Reparaciones</w:t>
      </w:r>
      <w:r>
        <w:rPr>
          <w:i/>
          <w:spacing w:val="-6"/>
          <w:sz w:val="16"/>
        </w:rPr>
        <w:t xml:space="preserve"> </w:t>
      </w:r>
      <w:r>
        <w:rPr>
          <w:i/>
          <w:sz w:val="16"/>
        </w:rPr>
        <w:t>y</w:t>
      </w:r>
      <w:r>
        <w:rPr>
          <w:i/>
          <w:spacing w:val="-4"/>
          <w:sz w:val="16"/>
        </w:rPr>
        <w:t xml:space="preserve"> </w:t>
      </w:r>
      <w:r>
        <w:rPr>
          <w:i/>
          <w:sz w:val="16"/>
        </w:rPr>
        <w:t>Costas</w:t>
      </w:r>
      <w:r>
        <w:rPr>
          <w:sz w:val="16"/>
        </w:rPr>
        <w:t>. Sentencia de 31 de agosto de 2017. Serie C No. 341, párr.</w:t>
      </w:r>
      <w:r>
        <w:rPr>
          <w:spacing w:val="-19"/>
          <w:sz w:val="16"/>
        </w:rPr>
        <w:t xml:space="preserve"> </w:t>
      </w:r>
      <w:r>
        <w:rPr>
          <w:sz w:val="16"/>
        </w:rPr>
        <w:t>82.</w:t>
      </w:r>
    </w:p>
    <w:p w14:paraId="3A267387" w14:textId="77777777" w:rsidR="00467FCA" w:rsidRDefault="001B68EB">
      <w:pPr>
        <w:tabs>
          <w:tab w:val="left" w:pos="686"/>
        </w:tabs>
        <w:ind w:left="119" w:right="115"/>
        <w:jc w:val="both"/>
        <w:rPr>
          <w:sz w:val="16"/>
        </w:rPr>
      </w:pPr>
      <w:bookmarkStart w:id="263" w:name="_bookmark224"/>
      <w:bookmarkEnd w:id="263"/>
      <w:r>
        <w:rPr>
          <w:position w:val="6"/>
          <w:sz w:val="10"/>
        </w:rPr>
        <w:t>186</w:t>
      </w:r>
      <w:r>
        <w:rPr>
          <w:position w:val="6"/>
          <w:sz w:val="10"/>
        </w:rPr>
        <w:tab/>
      </w:r>
      <w:r>
        <w:rPr>
          <w:i/>
          <w:sz w:val="16"/>
        </w:rPr>
        <w:t>Cfr. Caso Velásquez Rodríguez Vs. Honduras. Fondo, supra</w:t>
      </w:r>
      <w:r>
        <w:rPr>
          <w:sz w:val="16"/>
        </w:rPr>
        <w:t xml:space="preserve">, párr. 164, y </w:t>
      </w:r>
      <w:r>
        <w:rPr>
          <w:i/>
          <w:sz w:val="16"/>
        </w:rPr>
        <w:t xml:space="preserve">Caso Díaz Loreto y otros Vs. Venezuela. Excepciones Preliminares, Fondo, Reparaciones y Costas. </w:t>
      </w:r>
      <w:r>
        <w:rPr>
          <w:sz w:val="16"/>
        </w:rPr>
        <w:t>Sentencia de 19 de noviembre de 2019. Serie C No. 392, párr.</w:t>
      </w:r>
      <w:r>
        <w:rPr>
          <w:spacing w:val="-5"/>
          <w:sz w:val="16"/>
        </w:rPr>
        <w:t xml:space="preserve"> </w:t>
      </w:r>
      <w:r>
        <w:rPr>
          <w:sz w:val="16"/>
        </w:rPr>
        <w:t>69.</w:t>
      </w:r>
    </w:p>
    <w:p w14:paraId="702ADCEE" w14:textId="77777777" w:rsidR="00467FCA" w:rsidRDefault="00467FCA">
      <w:pPr>
        <w:jc w:val="both"/>
        <w:rPr>
          <w:sz w:val="16"/>
        </w:rPr>
        <w:sectPr w:rsidR="00467FCA">
          <w:pgSz w:w="12240" w:h="15840"/>
          <w:pgMar w:top="1360" w:right="1320" w:bottom="1220" w:left="1320" w:header="0" w:footer="1037" w:gutter="0"/>
          <w:cols w:space="720"/>
        </w:sectPr>
      </w:pPr>
    </w:p>
    <w:p w14:paraId="376A7CF7" w14:textId="77777777" w:rsidR="00467FCA" w:rsidRDefault="001B68EB">
      <w:pPr>
        <w:pStyle w:val="Textoindependiente"/>
        <w:spacing w:before="80"/>
        <w:ind w:left="120" w:right="115" w:hanging="1"/>
        <w:jc w:val="both"/>
      </w:pPr>
      <w:r>
        <w:t>medidas apropiadas para garantizarlos (obligación positiva)</w:t>
      </w:r>
      <w:hyperlink w:anchor="_bookmark225" w:history="1">
        <w:r>
          <w:rPr>
            <w:position w:val="7"/>
            <w:sz w:val="13"/>
          </w:rPr>
          <w:t>187</w:t>
        </w:r>
      </w:hyperlink>
      <w:r>
        <w:t>. En este sentido, la Corte ha establecido que no basta con que los Estados se abst</w:t>
      </w:r>
      <w:r>
        <w:t>engan de violar los derechos, sino que es imperativa la adopción de medidas positivas, determinables en función de las particulares necesidades de protección del sujeto de derecho, ya sea por su condición personal o por la situación específica en que se en</w:t>
      </w:r>
      <w:r>
        <w:t>cuentre</w:t>
      </w:r>
      <w:hyperlink w:anchor="_bookmark226" w:history="1">
        <w:r>
          <w:rPr>
            <w:position w:val="7"/>
            <w:sz w:val="13"/>
          </w:rPr>
          <w:t>188</w:t>
        </w:r>
      </w:hyperlink>
      <w:r>
        <w:t>.</w:t>
      </w:r>
    </w:p>
    <w:p w14:paraId="0B48D5CB" w14:textId="77777777" w:rsidR="00467FCA" w:rsidRDefault="00467FCA">
      <w:pPr>
        <w:pStyle w:val="Textoindependiente"/>
        <w:spacing w:before="1"/>
      </w:pPr>
    </w:p>
    <w:p w14:paraId="043E79DB" w14:textId="77777777" w:rsidR="00467FCA" w:rsidRDefault="001B68EB">
      <w:pPr>
        <w:pStyle w:val="Prrafodelista"/>
        <w:numPr>
          <w:ilvl w:val="0"/>
          <w:numId w:val="50"/>
        </w:numPr>
        <w:tabs>
          <w:tab w:val="left" w:pos="687"/>
        </w:tabs>
        <w:ind w:left="119" w:right="116" w:firstLine="0"/>
        <w:jc w:val="both"/>
        <w:rPr>
          <w:sz w:val="20"/>
        </w:rPr>
      </w:pPr>
      <w:r>
        <w:rPr>
          <w:sz w:val="20"/>
        </w:rPr>
        <w:t>Adicionalmente, la Corte ha establecido de forma reiterada que el derecho a la vida juega un papel fundamental en la Convención Americana y que su garantía es indispensable para el ejercicio de los demás derecho</w:t>
      </w:r>
      <w:r>
        <w:rPr>
          <w:sz w:val="20"/>
        </w:rPr>
        <w:t>s</w:t>
      </w:r>
      <w:hyperlink w:anchor="_bookmark227" w:history="1">
        <w:r>
          <w:rPr>
            <w:position w:val="7"/>
            <w:sz w:val="13"/>
          </w:rPr>
          <w:t>189</w:t>
        </w:r>
      </w:hyperlink>
      <w:r>
        <w:rPr>
          <w:sz w:val="20"/>
        </w:rPr>
        <w:t>. Al respecto, ha entendido que del artículo 4, en relación con el artículo 1.1 de la Convención, se desprende que ninguna persona puede ser privada de su vida arbitrariamente (obligación negativa), y que los Estados deben adoptar todas</w:t>
      </w:r>
      <w:r>
        <w:rPr>
          <w:spacing w:val="-9"/>
          <w:sz w:val="20"/>
        </w:rPr>
        <w:t xml:space="preserve"> </w:t>
      </w:r>
      <w:r>
        <w:rPr>
          <w:sz w:val="20"/>
        </w:rPr>
        <w:t>las</w:t>
      </w:r>
      <w:r>
        <w:rPr>
          <w:spacing w:val="-6"/>
          <w:sz w:val="20"/>
        </w:rPr>
        <w:t xml:space="preserve"> </w:t>
      </w:r>
      <w:r>
        <w:rPr>
          <w:sz w:val="20"/>
        </w:rPr>
        <w:t>medidas</w:t>
      </w:r>
      <w:r>
        <w:rPr>
          <w:spacing w:val="-6"/>
          <w:sz w:val="20"/>
        </w:rPr>
        <w:t xml:space="preserve"> </w:t>
      </w:r>
      <w:r>
        <w:rPr>
          <w:sz w:val="20"/>
        </w:rPr>
        <w:t>adecuad</w:t>
      </w:r>
      <w:r>
        <w:rPr>
          <w:sz w:val="20"/>
        </w:rPr>
        <w:t>as</w:t>
      </w:r>
      <w:r>
        <w:rPr>
          <w:spacing w:val="-8"/>
          <w:sz w:val="20"/>
        </w:rPr>
        <w:t xml:space="preserve"> </w:t>
      </w:r>
      <w:r>
        <w:rPr>
          <w:sz w:val="20"/>
        </w:rPr>
        <w:t>para</w:t>
      </w:r>
      <w:r>
        <w:rPr>
          <w:spacing w:val="-8"/>
          <w:sz w:val="20"/>
        </w:rPr>
        <w:t xml:space="preserve"> </w:t>
      </w:r>
      <w:r>
        <w:rPr>
          <w:sz w:val="20"/>
        </w:rPr>
        <w:t>proteger</w:t>
      </w:r>
      <w:r>
        <w:rPr>
          <w:spacing w:val="-8"/>
          <w:sz w:val="20"/>
        </w:rPr>
        <w:t xml:space="preserve"> </w:t>
      </w:r>
      <w:r>
        <w:rPr>
          <w:sz w:val="20"/>
        </w:rPr>
        <w:t>y</w:t>
      </w:r>
      <w:r>
        <w:rPr>
          <w:spacing w:val="-6"/>
          <w:sz w:val="20"/>
        </w:rPr>
        <w:t xml:space="preserve"> </w:t>
      </w:r>
      <w:r>
        <w:rPr>
          <w:sz w:val="20"/>
        </w:rPr>
        <w:t>preservar</w:t>
      </w:r>
      <w:r>
        <w:rPr>
          <w:spacing w:val="-7"/>
          <w:sz w:val="20"/>
        </w:rPr>
        <w:t xml:space="preserve"> </w:t>
      </w:r>
      <w:r>
        <w:rPr>
          <w:sz w:val="20"/>
        </w:rPr>
        <w:t>este</w:t>
      </w:r>
      <w:r>
        <w:rPr>
          <w:spacing w:val="-8"/>
          <w:sz w:val="20"/>
        </w:rPr>
        <w:t xml:space="preserve"> </w:t>
      </w:r>
      <w:r>
        <w:rPr>
          <w:sz w:val="20"/>
        </w:rPr>
        <w:t>derecho</w:t>
      </w:r>
      <w:r>
        <w:rPr>
          <w:spacing w:val="-9"/>
          <w:sz w:val="20"/>
        </w:rPr>
        <w:t xml:space="preserve"> </w:t>
      </w:r>
      <w:r>
        <w:rPr>
          <w:sz w:val="20"/>
        </w:rPr>
        <w:t>(obligación</w:t>
      </w:r>
      <w:r>
        <w:rPr>
          <w:spacing w:val="-7"/>
          <w:sz w:val="20"/>
        </w:rPr>
        <w:t xml:space="preserve"> </w:t>
      </w:r>
      <w:r>
        <w:rPr>
          <w:sz w:val="20"/>
        </w:rPr>
        <w:t>positiva)</w:t>
      </w:r>
      <w:hyperlink w:anchor="_bookmark228" w:history="1">
        <w:r>
          <w:rPr>
            <w:position w:val="7"/>
            <w:sz w:val="13"/>
          </w:rPr>
          <w:t>190</w:t>
        </w:r>
      </w:hyperlink>
      <w:r>
        <w:rPr>
          <w:sz w:val="20"/>
        </w:rPr>
        <w:t>. En ese sentido, el artículo 4 de la Convención implica el deber de los Estados de adoptar las medidas</w:t>
      </w:r>
      <w:r>
        <w:rPr>
          <w:spacing w:val="-14"/>
          <w:sz w:val="20"/>
        </w:rPr>
        <w:t xml:space="preserve"> </w:t>
      </w:r>
      <w:r>
        <w:rPr>
          <w:sz w:val="20"/>
        </w:rPr>
        <w:t>necesarias</w:t>
      </w:r>
      <w:r>
        <w:rPr>
          <w:spacing w:val="-13"/>
          <w:sz w:val="20"/>
        </w:rPr>
        <w:t xml:space="preserve"> </w:t>
      </w:r>
      <w:r>
        <w:rPr>
          <w:sz w:val="20"/>
        </w:rPr>
        <w:t>para</w:t>
      </w:r>
      <w:r>
        <w:rPr>
          <w:spacing w:val="-12"/>
          <w:sz w:val="20"/>
        </w:rPr>
        <w:t xml:space="preserve"> </w:t>
      </w:r>
      <w:r>
        <w:rPr>
          <w:sz w:val="20"/>
        </w:rPr>
        <w:t>crear</w:t>
      </w:r>
      <w:r>
        <w:rPr>
          <w:spacing w:val="-14"/>
          <w:sz w:val="20"/>
        </w:rPr>
        <w:t xml:space="preserve"> </w:t>
      </w:r>
      <w:r>
        <w:rPr>
          <w:sz w:val="20"/>
        </w:rPr>
        <w:t>un</w:t>
      </w:r>
      <w:r>
        <w:rPr>
          <w:spacing w:val="-12"/>
          <w:sz w:val="20"/>
        </w:rPr>
        <w:t xml:space="preserve"> </w:t>
      </w:r>
      <w:r>
        <w:rPr>
          <w:sz w:val="20"/>
        </w:rPr>
        <w:t>marco</w:t>
      </w:r>
      <w:r>
        <w:rPr>
          <w:spacing w:val="-12"/>
          <w:sz w:val="20"/>
        </w:rPr>
        <w:t xml:space="preserve"> </w:t>
      </w:r>
      <w:r>
        <w:rPr>
          <w:sz w:val="20"/>
        </w:rPr>
        <w:t>normativo</w:t>
      </w:r>
      <w:r>
        <w:rPr>
          <w:spacing w:val="-14"/>
          <w:sz w:val="20"/>
        </w:rPr>
        <w:t xml:space="preserve"> </w:t>
      </w:r>
      <w:r>
        <w:rPr>
          <w:sz w:val="20"/>
        </w:rPr>
        <w:t>adecuado</w:t>
      </w:r>
      <w:r>
        <w:rPr>
          <w:spacing w:val="-11"/>
          <w:sz w:val="20"/>
        </w:rPr>
        <w:t xml:space="preserve"> </w:t>
      </w:r>
      <w:r>
        <w:rPr>
          <w:sz w:val="20"/>
        </w:rPr>
        <w:t>que</w:t>
      </w:r>
      <w:r>
        <w:rPr>
          <w:spacing w:val="-14"/>
          <w:sz w:val="20"/>
        </w:rPr>
        <w:t xml:space="preserve"> </w:t>
      </w:r>
      <w:r>
        <w:rPr>
          <w:sz w:val="20"/>
        </w:rPr>
        <w:t>disuada</w:t>
      </w:r>
      <w:r>
        <w:rPr>
          <w:spacing w:val="-13"/>
          <w:sz w:val="20"/>
        </w:rPr>
        <w:t xml:space="preserve"> </w:t>
      </w:r>
      <w:r>
        <w:rPr>
          <w:sz w:val="20"/>
        </w:rPr>
        <w:t>cualquier</w:t>
      </w:r>
      <w:r>
        <w:rPr>
          <w:spacing w:val="-14"/>
          <w:sz w:val="20"/>
        </w:rPr>
        <w:t xml:space="preserve"> </w:t>
      </w:r>
      <w:r>
        <w:rPr>
          <w:sz w:val="20"/>
        </w:rPr>
        <w:t>amenaza al derecho a la vida</w:t>
      </w:r>
      <w:hyperlink w:anchor="_bookmark229" w:history="1">
        <w:r>
          <w:rPr>
            <w:position w:val="7"/>
            <w:sz w:val="13"/>
          </w:rPr>
          <w:t>191</w:t>
        </w:r>
      </w:hyperlink>
      <w:r>
        <w:rPr>
          <w:sz w:val="20"/>
        </w:rPr>
        <w:t xml:space="preserve">. En relación con el derecho a la integridad personal, el artículo 5.1 </w:t>
      </w:r>
      <w:r>
        <w:rPr>
          <w:spacing w:val="2"/>
          <w:sz w:val="20"/>
        </w:rPr>
        <w:t xml:space="preserve">de </w:t>
      </w:r>
      <w:r>
        <w:rPr>
          <w:sz w:val="20"/>
        </w:rPr>
        <w:t>la</w:t>
      </w:r>
      <w:r>
        <w:rPr>
          <w:spacing w:val="-8"/>
          <w:sz w:val="20"/>
        </w:rPr>
        <w:t xml:space="preserve"> </w:t>
      </w:r>
      <w:r>
        <w:rPr>
          <w:sz w:val="20"/>
        </w:rPr>
        <w:t>Convención</w:t>
      </w:r>
      <w:r>
        <w:rPr>
          <w:spacing w:val="-7"/>
          <w:sz w:val="20"/>
        </w:rPr>
        <w:t xml:space="preserve"> </w:t>
      </w:r>
      <w:r>
        <w:rPr>
          <w:sz w:val="20"/>
        </w:rPr>
        <w:t>lo</w:t>
      </w:r>
      <w:r>
        <w:rPr>
          <w:spacing w:val="-7"/>
          <w:sz w:val="20"/>
        </w:rPr>
        <w:t xml:space="preserve"> </w:t>
      </w:r>
      <w:r>
        <w:rPr>
          <w:sz w:val="20"/>
        </w:rPr>
        <w:t>consagra</w:t>
      </w:r>
      <w:r>
        <w:rPr>
          <w:spacing w:val="-5"/>
          <w:sz w:val="20"/>
        </w:rPr>
        <w:t xml:space="preserve"> </w:t>
      </w:r>
      <w:r>
        <w:rPr>
          <w:sz w:val="20"/>
        </w:rPr>
        <w:t>en</w:t>
      </w:r>
      <w:r>
        <w:rPr>
          <w:spacing w:val="-7"/>
          <w:sz w:val="20"/>
        </w:rPr>
        <w:t xml:space="preserve"> </w:t>
      </w:r>
      <w:r>
        <w:rPr>
          <w:sz w:val="20"/>
        </w:rPr>
        <w:t>términos</w:t>
      </w:r>
      <w:r>
        <w:rPr>
          <w:spacing w:val="-8"/>
          <w:sz w:val="20"/>
        </w:rPr>
        <w:t xml:space="preserve"> </w:t>
      </w:r>
      <w:r>
        <w:rPr>
          <w:sz w:val="20"/>
        </w:rPr>
        <w:t>generales,</w:t>
      </w:r>
      <w:r>
        <w:rPr>
          <w:spacing w:val="-8"/>
          <w:sz w:val="20"/>
        </w:rPr>
        <w:t xml:space="preserve"> </w:t>
      </w:r>
      <w:r>
        <w:rPr>
          <w:sz w:val="20"/>
        </w:rPr>
        <w:t>al</w:t>
      </w:r>
      <w:r>
        <w:rPr>
          <w:spacing w:val="-5"/>
          <w:sz w:val="20"/>
        </w:rPr>
        <w:t xml:space="preserve"> </w:t>
      </w:r>
      <w:r>
        <w:rPr>
          <w:sz w:val="20"/>
        </w:rPr>
        <w:t>referirse</w:t>
      </w:r>
      <w:r>
        <w:rPr>
          <w:spacing w:val="-7"/>
          <w:sz w:val="20"/>
        </w:rPr>
        <w:t xml:space="preserve"> </w:t>
      </w:r>
      <w:r>
        <w:rPr>
          <w:sz w:val="20"/>
        </w:rPr>
        <w:t>a</w:t>
      </w:r>
      <w:r>
        <w:rPr>
          <w:spacing w:val="-8"/>
          <w:sz w:val="20"/>
        </w:rPr>
        <w:t xml:space="preserve"> </w:t>
      </w:r>
      <w:r>
        <w:rPr>
          <w:sz w:val="20"/>
        </w:rPr>
        <w:t>la</w:t>
      </w:r>
      <w:r>
        <w:rPr>
          <w:spacing w:val="-5"/>
          <w:sz w:val="20"/>
        </w:rPr>
        <w:t xml:space="preserve"> </w:t>
      </w:r>
      <w:r>
        <w:rPr>
          <w:sz w:val="20"/>
        </w:rPr>
        <w:t>integridad</w:t>
      </w:r>
      <w:r>
        <w:rPr>
          <w:spacing w:val="-6"/>
          <w:sz w:val="20"/>
        </w:rPr>
        <w:t xml:space="preserve"> </w:t>
      </w:r>
      <w:r>
        <w:rPr>
          <w:sz w:val="20"/>
        </w:rPr>
        <w:t>física,</w:t>
      </w:r>
      <w:r>
        <w:rPr>
          <w:spacing w:val="-8"/>
          <w:sz w:val="20"/>
        </w:rPr>
        <w:t xml:space="preserve"> </w:t>
      </w:r>
      <w:r>
        <w:rPr>
          <w:sz w:val="20"/>
        </w:rPr>
        <w:t>psíquica</w:t>
      </w:r>
      <w:r>
        <w:rPr>
          <w:spacing w:val="-8"/>
          <w:sz w:val="20"/>
        </w:rPr>
        <w:t xml:space="preserve"> </w:t>
      </w:r>
      <w:r>
        <w:rPr>
          <w:sz w:val="20"/>
        </w:rPr>
        <w:t>y moral. La Corte ha reconocido que su eventual violación tiene distintas connotaciones de grado, y que las secuelas físicas y psíquicas de su presunta violación varían de intensidad según</w:t>
      </w:r>
      <w:r>
        <w:rPr>
          <w:spacing w:val="-8"/>
          <w:sz w:val="20"/>
        </w:rPr>
        <w:t xml:space="preserve"> </w:t>
      </w:r>
      <w:r>
        <w:rPr>
          <w:sz w:val="20"/>
        </w:rPr>
        <w:t>factores</w:t>
      </w:r>
      <w:r>
        <w:rPr>
          <w:spacing w:val="-6"/>
          <w:sz w:val="20"/>
        </w:rPr>
        <w:t xml:space="preserve"> </w:t>
      </w:r>
      <w:r>
        <w:rPr>
          <w:sz w:val="20"/>
        </w:rPr>
        <w:t>endógenos</w:t>
      </w:r>
      <w:r>
        <w:rPr>
          <w:spacing w:val="-9"/>
          <w:sz w:val="20"/>
        </w:rPr>
        <w:t xml:space="preserve"> </w:t>
      </w:r>
      <w:r>
        <w:rPr>
          <w:sz w:val="20"/>
        </w:rPr>
        <w:t>y</w:t>
      </w:r>
      <w:r>
        <w:rPr>
          <w:spacing w:val="-7"/>
          <w:sz w:val="20"/>
        </w:rPr>
        <w:t xml:space="preserve"> </w:t>
      </w:r>
      <w:r>
        <w:rPr>
          <w:sz w:val="20"/>
        </w:rPr>
        <w:t>exógenos,</w:t>
      </w:r>
      <w:r>
        <w:rPr>
          <w:spacing w:val="-8"/>
          <w:sz w:val="20"/>
        </w:rPr>
        <w:t xml:space="preserve"> </w:t>
      </w:r>
      <w:r>
        <w:rPr>
          <w:sz w:val="20"/>
        </w:rPr>
        <w:t>que</w:t>
      </w:r>
      <w:r>
        <w:rPr>
          <w:spacing w:val="-9"/>
          <w:sz w:val="20"/>
        </w:rPr>
        <w:t xml:space="preserve"> </w:t>
      </w:r>
      <w:r>
        <w:rPr>
          <w:sz w:val="20"/>
        </w:rPr>
        <w:t>deben</w:t>
      </w:r>
      <w:r>
        <w:rPr>
          <w:spacing w:val="-8"/>
          <w:sz w:val="20"/>
        </w:rPr>
        <w:t xml:space="preserve"> </w:t>
      </w:r>
      <w:r>
        <w:rPr>
          <w:sz w:val="20"/>
        </w:rPr>
        <w:t>ser</w:t>
      </w:r>
      <w:r>
        <w:rPr>
          <w:spacing w:val="-9"/>
          <w:sz w:val="20"/>
        </w:rPr>
        <w:t xml:space="preserve"> </w:t>
      </w:r>
      <w:r>
        <w:rPr>
          <w:sz w:val="20"/>
        </w:rPr>
        <w:t>demostrados</w:t>
      </w:r>
      <w:r>
        <w:rPr>
          <w:spacing w:val="-9"/>
          <w:sz w:val="20"/>
        </w:rPr>
        <w:t xml:space="preserve"> </w:t>
      </w:r>
      <w:r>
        <w:rPr>
          <w:sz w:val="20"/>
        </w:rPr>
        <w:t>e</w:t>
      </w:r>
      <w:r>
        <w:rPr>
          <w:sz w:val="20"/>
        </w:rPr>
        <w:t>n</w:t>
      </w:r>
      <w:r>
        <w:rPr>
          <w:spacing w:val="-5"/>
          <w:sz w:val="20"/>
        </w:rPr>
        <w:t xml:space="preserve"> </w:t>
      </w:r>
      <w:r>
        <w:rPr>
          <w:sz w:val="20"/>
        </w:rPr>
        <w:t>cada</w:t>
      </w:r>
      <w:r>
        <w:rPr>
          <w:spacing w:val="-8"/>
          <w:sz w:val="20"/>
        </w:rPr>
        <w:t xml:space="preserve"> </w:t>
      </w:r>
      <w:r>
        <w:rPr>
          <w:sz w:val="20"/>
        </w:rPr>
        <w:t>caso</w:t>
      </w:r>
      <w:r>
        <w:rPr>
          <w:spacing w:val="-9"/>
          <w:sz w:val="20"/>
        </w:rPr>
        <w:t xml:space="preserve"> </w:t>
      </w:r>
      <w:r>
        <w:rPr>
          <w:sz w:val="20"/>
        </w:rPr>
        <w:t>concreto</w:t>
      </w:r>
      <w:hyperlink w:anchor="_bookmark230" w:history="1">
        <w:r>
          <w:rPr>
            <w:position w:val="7"/>
            <w:sz w:val="13"/>
          </w:rPr>
          <w:t>192</w:t>
        </w:r>
      </w:hyperlink>
      <w:r>
        <w:rPr>
          <w:sz w:val="20"/>
        </w:rPr>
        <w:t>. Por otra parte, debido a que en este caso algunas de las presuntas víctimas eran niñas y niños, es necesario señalar que, de acuerdo con el artículo 19 de la Convención Americana, tienen derecho a la</w:t>
      </w:r>
      <w:r>
        <w:rPr>
          <w:sz w:val="20"/>
        </w:rPr>
        <w:t>s medidas de protección que por su condición de menores de edad requieran.</w:t>
      </w:r>
    </w:p>
    <w:p w14:paraId="6BD5875F" w14:textId="77777777" w:rsidR="00467FCA" w:rsidRDefault="00467FCA">
      <w:pPr>
        <w:pStyle w:val="Textoindependiente"/>
      </w:pPr>
    </w:p>
    <w:p w14:paraId="79B725EB" w14:textId="77777777" w:rsidR="00467FCA" w:rsidRDefault="001B68EB">
      <w:pPr>
        <w:pStyle w:val="Prrafodelista"/>
        <w:numPr>
          <w:ilvl w:val="0"/>
          <w:numId w:val="50"/>
        </w:numPr>
        <w:tabs>
          <w:tab w:val="left" w:pos="687"/>
        </w:tabs>
        <w:ind w:left="119" w:right="117" w:firstLine="0"/>
        <w:jc w:val="both"/>
        <w:rPr>
          <w:sz w:val="20"/>
        </w:rPr>
      </w:pPr>
      <w:r>
        <w:rPr>
          <w:sz w:val="20"/>
        </w:rPr>
        <w:t>Ahora bien, la obligación de garantía se proyecta más allá de la relación entre los agentes estatales y las personas sometidas a su jurisdicción, y abarca el deber de prevenir, en</w:t>
      </w:r>
      <w:r>
        <w:rPr>
          <w:spacing w:val="-4"/>
          <w:sz w:val="20"/>
        </w:rPr>
        <w:t xml:space="preserve"> </w:t>
      </w:r>
      <w:r>
        <w:rPr>
          <w:sz w:val="20"/>
        </w:rPr>
        <w:t>la</w:t>
      </w:r>
      <w:r>
        <w:rPr>
          <w:spacing w:val="-5"/>
          <w:sz w:val="20"/>
        </w:rPr>
        <w:t xml:space="preserve"> </w:t>
      </w:r>
      <w:r>
        <w:rPr>
          <w:sz w:val="20"/>
        </w:rPr>
        <w:t>esfera</w:t>
      </w:r>
      <w:r>
        <w:rPr>
          <w:spacing w:val="-3"/>
          <w:sz w:val="20"/>
        </w:rPr>
        <w:t xml:space="preserve"> </w:t>
      </w:r>
      <w:r>
        <w:rPr>
          <w:sz w:val="20"/>
        </w:rPr>
        <w:t>privada,</w:t>
      </w:r>
      <w:r>
        <w:rPr>
          <w:spacing w:val="-5"/>
          <w:sz w:val="20"/>
        </w:rPr>
        <w:t xml:space="preserve"> </w:t>
      </w:r>
      <w:r>
        <w:rPr>
          <w:sz w:val="20"/>
        </w:rPr>
        <w:t>que</w:t>
      </w:r>
      <w:r>
        <w:rPr>
          <w:spacing w:val="-7"/>
          <w:sz w:val="20"/>
        </w:rPr>
        <w:t xml:space="preserve"> </w:t>
      </w:r>
      <w:r>
        <w:rPr>
          <w:sz w:val="20"/>
        </w:rPr>
        <w:t>terceros</w:t>
      </w:r>
      <w:r>
        <w:rPr>
          <w:spacing w:val="-6"/>
          <w:sz w:val="20"/>
        </w:rPr>
        <w:t xml:space="preserve"> </w:t>
      </w:r>
      <w:r>
        <w:rPr>
          <w:sz w:val="20"/>
        </w:rPr>
        <w:t>vulneren</w:t>
      </w:r>
      <w:r>
        <w:rPr>
          <w:spacing w:val="-4"/>
          <w:sz w:val="20"/>
        </w:rPr>
        <w:t xml:space="preserve"> </w:t>
      </w:r>
      <w:r>
        <w:rPr>
          <w:sz w:val="20"/>
        </w:rPr>
        <w:t>los</w:t>
      </w:r>
      <w:r>
        <w:rPr>
          <w:spacing w:val="-3"/>
          <w:sz w:val="20"/>
        </w:rPr>
        <w:t xml:space="preserve"> </w:t>
      </w:r>
      <w:r>
        <w:rPr>
          <w:sz w:val="20"/>
        </w:rPr>
        <w:t>bienes</w:t>
      </w:r>
      <w:r>
        <w:rPr>
          <w:spacing w:val="-6"/>
          <w:sz w:val="20"/>
        </w:rPr>
        <w:t xml:space="preserve"> </w:t>
      </w:r>
      <w:r>
        <w:rPr>
          <w:sz w:val="20"/>
        </w:rPr>
        <w:t>jurídicos</w:t>
      </w:r>
      <w:r>
        <w:rPr>
          <w:spacing w:val="-6"/>
          <w:sz w:val="20"/>
        </w:rPr>
        <w:t xml:space="preserve"> </w:t>
      </w:r>
      <w:r>
        <w:rPr>
          <w:sz w:val="20"/>
        </w:rPr>
        <w:t>protegidos</w:t>
      </w:r>
      <w:hyperlink w:anchor="_bookmark231" w:history="1">
        <w:r>
          <w:rPr>
            <w:position w:val="7"/>
            <w:sz w:val="13"/>
          </w:rPr>
          <w:t>193</w:t>
        </w:r>
      </w:hyperlink>
      <w:r>
        <w:rPr>
          <w:sz w:val="20"/>
        </w:rPr>
        <w:t>.</w:t>
      </w:r>
      <w:r>
        <w:rPr>
          <w:spacing w:val="-6"/>
          <w:sz w:val="20"/>
        </w:rPr>
        <w:t xml:space="preserve"> </w:t>
      </w:r>
      <w:r>
        <w:rPr>
          <w:sz w:val="20"/>
        </w:rPr>
        <w:t>No</w:t>
      </w:r>
      <w:r>
        <w:rPr>
          <w:spacing w:val="-5"/>
          <w:sz w:val="20"/>
        </w:rPr>
        <w:t xml:space="preserve"> </w:t>
      </w:r>
      <w:r>
        <w:rPr>
          <w:sz w:val="20"/>
        </w:rPr>
        <w:t>obstante,</w:t>
      </w:r>
      <w:r>
        <w:rPr>
          <w:spacing w:val="-6"/>
          <w:sz w:val="20"/>
        </w:rPr>
        <w:t xml:space="preserve"> </w:t>
      </w:r>
      <w:r>
        <w:rPr>
          <w:sz w:val="20"/>
        </w:rPr>
        <w:t>la Corte ha considerado que un Estado no puede ser responsable por cualquier violación de derechos</w:t>
      </w:r>
      <w:r>
        <w:rPr>
          <w:spacing w:val="-19"/>
          <w:sz w:val="20"/>
        </w:rPr>
        <w:t xml:space="preserve"> </w:t>
      </w:r>
      <w:r>
        <w:rPr>
          <w:sz w:val="20"/>
        </w:rPr>
        <w:t>humanos</w:t>
      </w:r>
      <w:r>
        <w:rPr>
          <w:spacing w:val="-17"/>
          <w:sz w:val="20"/>
        </w:rPr>
        <w:t xml:space="preserve"> </w:t>
      </w:r>
      <w:r>
        <w:rPr>
          <w:sz w:val="20"/>
        </w:rPr>
        <w:t>cometida</w:t>
      </w:r>
      <w:r>
        <w:rPr>
          <w:spacing w:val="-18"/>
          <w:sz w:val="20"/>
        </w:rPr>
        <w:t xml:space="preserve"> </w:t>
      </w:r>
      <w:r>
        <w:rPr>
          <w:sz w:val="20"/>
        </w:rPr>
        <w:t>por</w:t>
      </w:r>
      <w:r>
        <w:rPr>
          <w:spacing w:val="-19"/>
          <w:sz w:val="20"/>
        </w:rPr>
        <w:t xml:space="preserve"> </w:t>
      </w:r>
      <w:r>
        <w:rPr>
          <w:sz w:val="20"/>
        </w:rPr>
        <w:t>particulares</w:t>
      </w:r>
      <w:r>
        <w:rPr>
          <w:spacing w:val="-19"/>
          <w:sz w:val="20"/>
        </w:rPr>
        <w:t xml:space="preserve"> </w:t>
      </w:r>
      <w:r>
        <w:rPr>
          <w:sz w:val="20"/>
        </w:rPr>
        <w:t>dentro</w:t>
      </w:r>
      <w:r>
        <w:rPr>
          <w:spacing w:val="-19"/>
          <w:sz w:val="20"/>
        </w:rPr>
        <w:t xml:space="preserve"> </w:t>
      </w:r>
      <w:r>
        <w:rPr>
          <w:sz w:val="20"/>
        </w:rPr>
        <w:t>de</w:t>
      </w:r>
      <w:r>
        <w:rPr>
          <w:spacing w:val="-17"/>
          <w:sz w:val="20"/>
        </w:rPr>
        <w:t xml:space="preserve"> </w:t>
      </w:r>
      <w:r>
        <w:rPr>
          <w:sz w:val="20"/>
        </w:rPr>
        <w:t>su</w:t>
      </w:r>
      <w:r>
        <w:rPr>
          <w:spacing w:val="-17"/>
          <w:sz w:val="20"/>
        </w:rPr>
        <w:t xml:space="preserve"> </w:t>
      </w:r>
      <w:r>
        <w:rPr>
          <w:sz w:val="20"/>
        </w:rPr>
        <w:t>jurisdicción.</w:t>
      </w:r>
      <w:r>
        <w:rPr>
          <w:spacing w:val="-18"/>
          <w:sz w:val="20"/>
        </w:rPr>
        <w:t xml:space="preserve"> </w:t>
      </w:r>
      <w:r>
        <w:rPr>
          <w:sz w:val="20"/>
        </w:rPr>
        <w:t>El</w:t>
      </w:r>
      <w:r>
        <w:rPr>
          <w:spacing w:val="-18"/>
          <w:sz w:val="20"/>
        </w:rPr>
        <w:t xml:space="preserve"> </w:t>
      </w:r>
      <w:r>
        <w:rPr>
          <w:sz w:val="20"/>
        </w:rPr>
        <w:t>carácter</w:t>
      </w:r>
      <w:r>
        <w:rPr>
          <w:spacing w:val="-17"/>
          <w:sz w:val="20"/>
        </w:rPr>
        <w:t xml:space="preserve"> </w:t>
      </w:r>
      <w:r>
        <w:rPr>
          <w:i/>
          <w:sz w:val="20"/>
        </w:rPr>
        <w:t>erga</w:t>
      </w:r>
      <w:r>
        <w:rPr>
          <w:i/>
          <w:spacing w:val="-17"/>
          <w:sz w:val="20"/>
        </w:rPr>
        <w:t xml:space="preserve"> </w:t>
      </w:r>
      <w:r>
        <w:rPr>
          <w:i/>
          <w:sz w:val="20"/>
        </w:rPr>
        <w:t xml:space="preserve">omnes </w:t>
      </w:r>
      <w:r>
        <w:rPr>
          <w:sz w:val="20"/>
        </w:rPr>
        <w:t>de las obligaciones convencionales de garantía a cargo de los Estados, no implica su responsabilidad</w:t>
      </w:r>
      <w:r>
        <w:rPr>
          <w:spacing w:val="-11"/>
          <w:sz w:val="20"/>
        </w:rPr>
        <w:t xml:space="preserve"> </w:t>
      </w:r>
      <w:r>
        <w:rPr>
          <w:sz w:val="20"/>
        </w:rPr>
        <w:t>ilimitada</w:t>
      </w:r>
      <w:r>
        <w:rPr>
          <w:spacing w:val="-13"/>
          <w:sz w:val="20"/>
        </w:rPr>
        <w:t xml:space="preserve"> </w:t>
      </w:r>
      <w:r>
        <w:rPr>
          <w:sz w:val="20"/>
        </w:rPr>
        <w:t>frente</w:t>
      </w:r>
      <w:r>
        <w:rPr>
          <w:spacing w:val="-15"/>
          <w:sz w:val="20"/>
        </w:rPr>
        <w:t xml:space="preserve"> </w:t>
      </w:r>
      <w:r>
        <w:rPr>
          <w:sz w:val="20"/>
        </w:rPr>
        <w:t>a</w:t>
      </w:r>
      <w:r>
        <w:rPr>
          <w:spacing w:val="-8"/>
          <w:sz w:val="20"/>
        </w:rPr>
        <w:t xml:space="preserve"> </w:t>
      </w:r>
      <w:r>
        <w:rPr>
          <w:sz w:val="20"/>
        </w:rPr>
        <w:t>cualquier</w:t>
      </w:r>
      <w:r>
        <w:rPr>
          <w:spacing w:val="-12"/>
          <w:sz w:val="20"/>
        </w:rPr>
        <w:t xml:space="preserve"> </w:t>
      </w:r>
      <w:r>
        <w:rPr>
          <w:sz w:val="20"/>
        </w:rPr>
        <w:t>acto</w:t>
      </w:r>
      <w:r>
        <w:rPr>
          <w:spacing w:val="-11"/>
          <w:sz w:val="20"/>
        </w:rPr>
        <w:t xml:space="preserve"> </w:t>
      </w:r>
      <w:r>
        <w:rPr>
          <w:sz w:val="20"/>
        </w:rPr>
        <w:t>de</w:t>
      </w:r>
      <w:r>
        <w:rPr>
          <w:spacing w:val="-13"/>
          <w:sz w:val="20"/>
        </w:rPr>
        <w:t xml:space="preserve"> </w:t>
      </w:r>
      <w:r>
        <w:rPr>
          <w:sz w:val="20"/>
        </w:rPr>
        <w:t>particulares.</w:t>
      </w:r>
      <w:r>
        <w:rPr>
          <w:spacing w:val="-11"/>
          <w:sz w:val="20"/>
        </w:rPr>
        <w:t xml:space="preserve"> </w:t>
      </w:r>
      <w:r>
        <w:rPr>
          <w:sz w:val="20"/>
        </w:rPr>
        <w:t>Así,</w:t>
      </w:r>
      <w:r>
        <w:rPr>
          <w:spacing w:val="-10"/>
          <w:sz w:val="20"/>
        </w:rPr>
        <w:t xml:space="preserve"> </w:t>
      </w:r>
      <w:r>
        <w:rPr>
          <w:sz w:val="20"/>
        </w:rPr>
        <w:t>aunque</w:t>
      </w:r>
      <w:r>
        <w:rPr>
          <w:spacing w:val="-14"/>
          <w:sz w:val="20"/>
        </w:rPr>
        <w:t xml:space="preserve"> </w:t>
      </w:r>
      <w:r>
        <w:rPr>
          <w:sz w:val="20"/>
        </w:rPr>
        <w:t>un</w:t>
      </w:r>
      <w:r>
        <w:rPr>
          <w:spacing w:val="-13"/>
          <w:sz w:val="20"/>
        </w:rPr>
        <w:t xml:space="preserve"> </w:t>
      </w:r>
      <w:r>
        <w:rPr>
          <w:sz w:val="20"/>
        </w:rPr>
        <w:t>acto,</w:t>
      </w:r>
      <w:r>
        <w:rPr>
          <w:spacing w:val="-8"/>
          <w:sz w:val="20"/>
        </w:rPr>
        <w:t xml:space="preserve"> </w:t>
      </w:r>
      <w:r>
        <w:rPr>
          <w:sz w:val="20"/>
        </w:rPr>
        <w:t>omisión o hecho de u</w:t>
      </w:r>
      <w:r>
        <w:rPr>
          <w:sz w:val="20"/>
        </w:rPr>
        <w:t>n particular tenga como consecuencia jurídica la violación de los derechos de otro, este no es automáticamente atribuible al Estado, sino que corresponde analizar las circunstancias</w:t>
      </w:r>
      <w:r>
        <w:rPr>
          <w:spacing w:val="-11"/>
          <w:sz w:val="20"/>
        </w:rPr>
        <w:t xml:space="preserve"> </w:t>
      </w:r>
      <w:r>
        <w:rPr>
          <w:sz w:val="20"/>
        </w:rPr>
        <w:t>particulares</w:t>
      </w:r>
      <w:r>
        <w:rPr>
          <w:spacing w:val="-11"/>
          <w:sz w:val="20"/>
        </w:rPr>
        <w:t xml:space="preserve"> </w:t>
      </w:r>
      <w:r>
        <w:rPr>
          <w:sz w:val="20"/>
        </w:rPr>
        <w:t>del</w:t>
      </w:r>
      <w:r>
        <w:rPr>
          <w:spacing w:val="-6"/>
          <w:sz w:val="20"/>
        </w:rPr>
        <w:t xml:space="preserve"> </w:t>
      </w:r>
      <w:r>
        <w:rPr>
          <w:sz w:val="20"/>
        </w:rPr>
        <w:t>caso</w:t>
      </w:r>
      <w:r>
        <w:rPr>
          <w:spacing w:val="-9"/>
          <w:sz w:val="20"/>
        </w:rPr>
        <w:t xml:space="preserve"> </w:t>
      </w:r>
      <w:r>
        <w:rPr>
          <w:sz w:val="20"/>
        </w:rPr>
        <w:t>y</w:t>
      </w:r>
      <w:r>
        <w:rPr>
          <w:spacing w:val="-10"/>
          <w:sz w:val="20"/>
        </w:rPr>
        <w:t xml:space="preserve"> </w:t>
      </w:r>
      <w:r>
        <w:rPr>
          <w:sz w:val="20"/>
        </w:rPr>
        <w:t>la</w:t>
      </w:r>
      <w:r>
        <w:rPr>
          <w:spacing w:val="-8"/>
          <w:sz w:val="20"/>
        </w:rPr>
        <w:t xml:space="preserve"> </w:t>
      </w:r>
      <w:r>
        <w:rPr>
          <w:sz w:val="20"/>
        </w:rPr>
        <w:t>concreción</w:t>
      </w:r>
      <w:r>
        <w:rPr>
          <w:spacing w:val="-9"/>
          <w:sz w:val="20"/>
        </w:rPr>
        <w:t xml:space="preserve"> </w:t>
      </w:r>
      <w:r>
        <w:rPr>
          <w:sz w:val="20"/>
        </w:rPr>
        <w:t>de</w:t>
      </w:r>
      <w:r>
        <w:rPr>
          <w:spacing w:val="-8"/>
          <w:sz w:val="20"/>
        </w:rPr>
        <w:t xml:space="preserve"> </w:t>
      </w:r>
      <w:r>
        <w:rPr>
          <w:sz w:val="20"/>
        </w:rPr>
        <w:t>las</w:t>
      </w:r>
      <w:r>
        <w:rPr>
          <w:spacing w:val="-9"/>
          <w:sz w:val="20"/>
        </w:rPr>
        <w:t xml:space="preserve"> </w:t>
      </w:r>
      <w:r>
        <w:rPr>
          <w:sz w:val="20"/>
        </w:rPr>
        <w:t>obligaciones</w:t>
      </w:r>
      <w:r>
        <w:rPr>
          <w:spacing w:val="-9"/>
          <w:sz w:val="20"/>
        </w:rPr>
        <w:t xml:space="preserve"> </w:t>
      </w:r>
      <w:r>
        <w:rPr>
          <w:sz w:val="20"/>
        </w:rPr>
        <w:t>de</w:t>
      </w:r>
      <w:r>
        <w:rPr>
          <w:spacing w:val="-10"/>
          <w:sz w:val="20"/>
        </w:rPr>
        <w:t xml:space="preserve"> </w:t>
      </w:r>
      <w:r>
        <w:rPr>
          <w:sz w:val="20"/>
        </w:rPr>
        <w:t>garantía</w:t>
      </w:r>
      <w:hyperlink w:anchor="_bookmark232" w:history="1">
        <w:r>
          <w:rPr>
            <w:position w:val="7"/>
            <w:sz w:val="13"/>
          </w:rPr>
          <w:t>194</w:t>
        </w:r>
      </w:hyperlink>
      <w:r>
        <w:rPr>
          <w:sz w:val="20"/>
        </w:rPr>
        <w:t>.</w:t>
      </w:r>
      <w:r>
        <w:rPr>
          <w:spacing w:val="-11"/>
          <w:sz w:val="20"/>
        </w:rPr>
        <w:t xml:space="preserve"> </w:t>
      </w:r>
      <w:r>
        <w:rPr>
          <w:sz w:val="20"/>
        </w:rPr>
        <w:t>En</w:t>
      </w:r>
      <w:r>
        <w:rPr>
          <w:spacing w:val="-6"/>
          <w:sz w:val="20"/>
        </w:rPr>
        <w:t xml:space="preserve"> </w:t>
      </w:r>
      <w:r>
        <w:rPr>
          <w:sz w:val="20"/>
        </w:rPr>
        <w:t>este sentido,</w:t>
      </w:r>
      <w:r>
        <w:rPr>
          <w:spacing w:val="-7"/>
          <w:sz w:val="20"/>
        </w:rPr>
        <w:t xml:space="preserve"> </w:t>
      </w:r>
      <w:r>
        <w:rPr>
          <w:sz w:val="20"/>
        </w:rPr>
        <w:t>la</w:t>
      </w:r>
      <w:r>
        <w:rPr>
          <w:spacing w:val="-4"/>
          <w:sz w:val="20"/>
        </w:rPr>
        <w:t xml:space="preserve"> </w:t>
      </w:r>
      <w:r>
        <w:rPr>
          <w:sz w:val="20"/>
        </w:rPr>
        <w:t>Corte</w:t>
      </w:r>
      <w:r>
        <w:rPr>
          <w:spacing w:val="-5"/>
          <w:sz w:val="20"/>
        </w:rPr>
        <w:t xml:space="preserve"> </w:t>
      </w:r>
      <w:r>
        <w:rPr>
          <w:sz w:val="20"/>
        </w:rPr>
        <w:t>deberá</w:t>
      </w:r>
      <w:r>
        <w:rPr>
          <w:spacing w:val="-3"/>
          <w:sz w:val="20"/>
        </w:rPr>
        <w:t xml:space="preserve"> </w:t>
      </w:r>
      <w:r>
        <w:rPr>
          <w:sz w:val="20"/>
        </w:rPr>
        <w:t>verificar</w:t>
      </w:r>
      <w:r>
        <w:rPr>
          <w:spacing w:val="-8"/>
          <w:sz w:val="20"/>
        </w:rPr>
        <w:t xml:space="preserve"> </w:t>
      </w:r>
      <w:r>
        <w:rPr>
          <w:sz w:val="20"/>
        </w:rPr>
        <w:t>si</w:t>
      </w:r>
      <w:r>
        <w:rPr>
          <w:spacing w:val="-6"/>
          <w:sz w:val="20"/>
        </w:rPr>
        <w:t xml:space="preserve"> </w:t>
      </w:r>
      <w:r>
        <w:rPr>
          <w:sz w:val="20"/>
        </w:rPr>
        <w:t>le</w:t>
      </w:r>
      <w:r>
        <w:rPr>
          <w:spacing w:val="-5"/>
          <w:sz w:val="20"/>
        </w:rPr>
        <w:t xml:space="preserve"> </w:t>
      </w:r>
      <w:r>
        <w:rPr>
          <w:sz w:val="20"/>
        </w:rPr>
        <w:t>es</w:t>
      </w:r>
      <w:r>
        <w:rPr>
          <w:spacing w:val="-6"/>
          <w:sz w:val="20"/>
        </w:rPr>
        <w:t xml:space="preserve"> </w:t>
      </w:r>
      <w:r>
        <w:rPr>
          <w:sz w:val="20"/>
        </w:rPr>
        <w:t>atribuible</w:t>
      </w:r>
      <w:r>
        <w:rPr>
          <w:spacing w:val="-8"/>
          <w:sz w:val="20"/>
        </w:rPr>
        <w:t xml:space="preserve"> </w:t>
      </w:r>
      <w:r>
        <w:rPr>
          <w:sz w:val="20"/>
        </w:rPr>
        <w:t>responsabilidad</w:t>
      </w:r>
      <w:r>
        <w:rPr>
          <w:spacing w:val="-6"/>
          <w:sz w:val="20"/>
        </w:rPr>
        <w:t xml:space="preserve"> </w:t>
      </w:r>
      <w:r>
        <w:rPr>
          <w:sz w:val="20"/>
        </w:rPr>
        <w:t>internacional</w:t>
      </w:r>
      <w:r>
        <w:rPr>
          <w:spacing w:val="-5"/>
          <w:sz w:val="20"/>
        </w:rPr>
        <w:t xml:space="preserve"> </w:t>
      </w:r>
      <w:r>
        <w:rPr>
          <w:sz w:val="20"/>
        </w:rPr>
        <w:t>al</w:t>
      </w:r>
      <w:r>
        <w:rPr>
          <w:spacing w:val="-6"/>
          <w:sz w:val="20"/>
        </w:rPr>
        <w:t xml:space="preserve"> </w:t>
      </w:r>
      <w:r>
        <w:rPr>
          <w:sz w:val="20"/>
        </w:rPr>
        <w:t>Estado</w:t>
      </w:r>
      <w:r>
        <w:rPr>
          <w:spacing w:val="-8"/>
          <w:sz w:val="20"/>
        </w:rPr>
        <w:t xml:space="preserve"> </w:t>
      </w:r>
      <w:r>
        <w:rPr>
          <w:sz w:val="20"/>
        </w:rPr>
        <w:t>en el caso</w:t>
      </w:r>
      <w:r>
        <w:rPr>
          <w:spacing w:val="-1"/>
          <w:sz w:val="20"/>
        </w:rPr>
        <w:t xml:space="preserve"> </w:t>
      </w:r>
      <w:r>
        <w:rPr>
          <w:sz w:val="20"/>
        </w:rPr>
        <w:t>concreto</w:t>
      </w:r>
      <w:hyperlink w:anchor="_bookmark233" w:history="1">
        <w:r>
          <w:rPr>
            <w:position w:val="7"/>
            <w:sz w:val="13"/>
          </w:rPr>
          <w:t>195</w:t>
        </w:r>
      </w:hyperlink>
      <w:r>
        <w:rPr>
          <w:sz w:val="20"/>
        </w:rPr>
        <w:t>.</w:t>
      </w:r>
    </w:p>
    <w:p w14:paraId="0236A37B" w14:textId="77777777" w:rsidR="00467FCA" w:rsidRDefault="001B68EB">
      <w:pPr>
        <w:pStyle w:val="Textoindependiente"/>
        <w:spacing w:before="8"/>
        <w:rPr>
          <w:sz w:val="13"/>
        </w:rPr>
      </w:pPr>
      <w:r>
        <w:pict w14:anchorId="35191899">
          <v:shape id="_x0000_s1164" style="position:absolute;margin-left:1in;margin-top:10.55pt;width:2in;height:.1pt;z-index:-251625472;mso-wrap-distance-left:0;mso-wrap-distance-right:0;mso-position-horizontal-relative:page" coordorigin="1440,211" coordsize="2880,0" path="m1440,211r2880,e" filled="f" strokeweight=".6pt">
            <v:path arrowok="t"/>
            <w10:wrap type="topAndBottom" anchorx="page"/>
          </v:shape>
        </w:pict>
      </w:r>
    </w:p>
    <w:p w14:paraId="052A69F2" w14:textId="77777777" w:rsidR="00467FCA" w:rsidRDefault="001B68EB">
      <w:pPr>
        <w:tabs>
          <w:tab w:val="left" w:pos="839"/>
        </w:tabs>
        <w:spacing w:before="74"/>
        <w:ind w:left="119" w:right="114"/>
        <w:jc w:val="both"/>
        <w:rPr>
          <w:sz w:val="16"/>
        </w:rPr>
      </w:pPr>
      <w:bookmarkStart w:id="264" w:name="_bookmark225"/>
      <w:bookmarkEnd w:id="264"/>
      <w:r>
        <w:rPr>
          <w:position w:val="6"/>
          <w:sz w:val="10"/>
        </w:rPr>
        <w:t>187</w:t>
      </w:r>
      <w:r>
        <w:rPr>
          <w:position w:val="6"/>
          <w:sz w:val="10"/>
        </w:rPr>
        <w:tab/>
      </w:r>
      <w:r>
        <w:rPr>
          <w:i/>
          <w:sz w:val="16"/>
        </w:rPr>
        <w:t>Cfr. Caso Velásquez Rodríguez Vs. Honduras. Fondo</w:t>
      </w:r>
      <w:r>
        <w:rPr>
          <w:sz w:val="16"/>
        </w:rPr>
        <w:t xml:space="preserve">, </w:t>
      </w:r>
      <w:r>
        <w:rPr>
          <w:i/>
          <w:sz w:val="16"/>
        </w:rPr>
        <w:t>supra</w:t>
      </w:r>
      <w:r>
        <w:rPr>
          <w:sz w:val="16"/>
        </w:rPr>
        <w:t xml:space="preserve">, párrs. 165 y 166, y </w:t>
      </w:r>
      <w:r>
        <w:rPr>
          <w:i/>
          <w:sz w:val="16"/>
        </w:rPr>
        <w:t>Caso Noguera y otra Vs. Paraguay, supra</w:t>
      </w:r>
      <w:r>
        <w:rPr>
          <w:sz w:val="16"/>
        </w:rPr>
        <w:t>, párr.</w:t>
      </w:r>
      <w:r>
        <w:rPr>
          <w:spacing w:val="-4"/>
          <w:sz w:val="16"/>
        </w:rPr>
        <w:t xml:space="preserve"> </w:t>
      </w:r>
      <w:r>
        <w:rPr>
          <w:sz w:val="16"/>
        </w:rPr>
        <w:t>65.</w:t>
      </w:r>
    </w:p>
    <w:p w14:paraId="472F2E99" w14:textId="77777777" w:rsidR="00467FCA" w:rsidRDefault="001B68EB">
      <w:pPr>
        <w:tabs>
          <w:tab w:val="left" w:pos="839"/>
        </w:tabs>
        <w:ind w:left="119" w:right="114"/>
        <w:jc w:val="both"/>
        <w:rPr>
          <w:sz w:val="16"/>
        </w:rPr>
      </w:pPr>
      <w:bookmarkStart w:id="265" w:name="_bookmark226"/>
      <w:bookmarkEnd w:id="265"/>
      <w:r>
        <w:rPr>
          <w:position w:val="6"/>
          <w:sz w:val="10"/>
        </w:rPr>
        <w:t>188</w:t>
      </w:r>
      <w:r>
        <w:rPr>
          <w:position w:val="6"/>
          <w:sz w:val="10"/>
        </w:rPr>
        <w:tab/>
      </w:r>
      <w:r>
        <w:rPr>
          <w:i/>
          <w:sz w:val="16"/>
        </w:rPr>
        <w:t xml:space="preserve">Cfr. Caso de la Masacre de Pueblo Bello Vs. Colombia. </w:t>
      </w:r>
      <w:r>
        <w:rPr>
          <w:sz w:val="16"/>
        </w:rPr>
        <w:t xml:space="preserve">Sentencia de 31 de enero de 2006. Serie C No. 140, párr. 111, y </w:t>
      </w:r>
      <w:r>
        <w:rPr>
          <w:i/>
          <w:sz w:val="16"/>
        </w:rPr>
        <w:t>Caso Vereda La Esperanza Vs. Colombia, supra</w:t>
      </w:r>
      <w:r>
        <w:rPr>
          <w:sz w:val="16"/>
        </w:rPr>
        <w:t>, párr.</w:t>
      </w:r>
      <w:r>
        <w:rPr>
          <w:spacing w:val="-10"/>
          <w:sz w:val="16"/>
        </w:rPr>
        <w:t xml:space="preserve"> </w:t>
      </w:r>
      <w:r>
        <w:rPr>
          <w:sz w:val="16"/>
        </w:rPr>
        <w:t>82.</w:t>
      </w:r>
    </w:p>
    <w:p w14:paraId="781B9190" w14:textId="77777777" w:rsidR="00467FCA" w:rsidRDefault="001B68EB">
      <w:pPr>
        <w:tabs>
          <w:tab w:val="left" w:pos="839"/>
        </w:tabs>
        <w:ind w:left="119" w:right="115"/>
        <w:jc w:val="both"/>
        <w:rPr>
          <w:sz w:val="16"/>
        </w:rPr>
      </w:pPr>
      <w:bookmarkStart w:id="266" w:name="_bookmark227"/>
      <w:bookmarkEnd w:id="266"/>
      <w:r>
        <w:rPr>
          <w:position w:val="6"/>
          <w:sz w:val="10"/>
        </w:rPr>
        <w:t>189</w:t>
      </w:r>
      <w:r>
        <w:rPr>
          <w:position w:val="6"/>
          <w:sz w:val="10"/>
        </w:rPr>
        <w:tab/>
      </w:r>
      <w:r>
        <w:rPr>
          <w:i/>
          <w:sz w:val="16"/>
        </w:rPr>
        <w:t xml:space="preserve">Cfr. Caso de los “Niños de la Calle” (Villagrán Morales y otros) Vs. Guatemala. Fondo. </w:t>
      </w:r>
      <w:r>
        <w:rPr>
          <w:sz w:val="16"/>
        </w:rPr>
        <w:t xml:space="preserve">Sentencia de 19 de noviembre de 1999. Serie C No. 63, párr. 144, y </w:t>
      </w:r>
      <w:r>
        <w:rPr>
          <w:i/>
          <w:sz w:val="16"/>
        </w:rPr>
        <w:t>Caso Noguera y otra Vs. Paraguay, supra</w:t>
      </w:r>
      <w:r>
        <w:rPr>
          <w:sz w:val="16"/>
        </w:rPr>
        <w:t>, párr.</w:t>
      </w:r>
      <w:r>
        <w:rPr>
          <w:spacing w:val="-23"/>
          <w:sz w:val="16"/>
        </w:rPr>
        <w:t xml:space="preserve"> </w:t>
      </w:r>
      <w:r>
        <w:rPr>
          <w:sz w:val="16"/>
        </w:rPr>
        <w:t>65.</w:t>
      </w:r>
    </w:p>
    <w:p w14:paraId="54AC4B1B" w14:textId="77777777" w:rsidR="00467FCA" w:rsidRDefault="001B68EB">
      <w:pPr>
        <w:tabs>
          <w:tab w:val="left" w:pos="839"/>
        </w:tabs>
        <w:ind w:left="120" w:right="115" w:hanging="1"/>
        <w:jc w:val="both"/>
        <w:rPr>
          <w:sz w:val="16"/>
        </w:rPr>
      </w:pPr>
      <w:bookmarkStart w:id="267" w:name="_bookmark228"/>
      <w:bookmarkEnd w:id="267"/>
      <w:r>
        <w:rPr>
          <w:position w:val="6"/>
          <w:sz w:val="10"/>
        </w:rPr>
        <w:t>190</w:t>
      </w:r>
      <w:r>
        <w:rPr>
          <w:position w:val="6"/>
          <w:sz w:val="10"/>
        </w:rPr>
        <w:tab/>
      </w:r>
      <w:r>
        <w:rPr>
          <w:i/>
          <w:sz w:val="16"/>
        </w:rPr>
        <w:t>Cfr. Caso de los “Niños de la Calle” (Villagrán</w:t>
      </w:r>
      <w:r>
        <w:rPr>
          <w:i/>
          <w:sz w:val="16"/>
        </w:rPr>
        <w:t xml:space="preserve"> Morales y otros) Vs. Guatemala, supra</w:t>
      </w:r>
      <w:r>
        <w:rPr>
          <w:sz w:val="16"/>
        </w:rPr>
        <w:t xml:space="preserve">, párr. 139, y </w:t>
      </w:r>
      <w:r>
        <w:rPr>
          <w:i/>
          <w:sz w:val="16"/>
        </w:rPr>
        <w:t>Caso</w:t>
      </w:r>
      <w:bookmarkStart w:id="268" w:name="_bookmark229"/>
      <w:bookmarkEnd w:id="268"/>
      <w:r>
        <w:rPr>
          <w:i/>
          <w:sz w:val="16"/>
        </w:rPr>
        <w:t xml:space="preserve"> Noguera y otra Vs. Paraguay, supra</w:t>
      </w:r>
      <w:r>
        <w:rPr>
          <w:sz w:val="16"/>
        </w:rPr>
        <w:t>, párr.</w:t>
      </w:r>
      <w:r>
        <w:rPr>
          <w:spacing w:val="-12"/>
          <w:sz w:val="16"/>
        </w:rPr>
        <w:t xml:space="preserve"> </w:t>
      </w:r>
      <w:r>
        <w:rPr>
          <w:sz w:val="16"/>
        </w:rPr>
        <w:t>65.</w:t>
      </w:r>
    </w:p>
    <w:p w14:paraId="70CA2625" w14:textId="77777777" w:rsidR="00467FCA" w:rsidRDefault="001B68EB">
      <w:pPr>
        <w:tabs>
          <w:tab w:val="left" w:pos="839"/>
        </w:tabs>
        <w:ind w:left="119" w:right="113"/>
        <w:jc w:val="both"/>
        <w:rPr>
          <w:sz w:val="16"/>
        </w:rPr>
      </w:pPr>
      <w:r>
        <w:rPr>
          <w:position w:val="6"/>
          <w:sz w:val="10"/>
        </w:rPr>
        <w:t>191</w:t>
      </w:r>
      <w:r>
        <w:rPr>
          <w:position w:val="6"/>
          <w:sz w:val="10"/>
        </w:rPr>
        <w:tab/>
      </w:r>
      <w:r>
        <w:rPr>
          <w:i/>
          <w:sz w:val="16"/>
        </w:rPr>
        <w:t>Cfr. Caso Comunidad Indígena Sawhoyamaxa Vs. Paraguay. Fondo, Reparaciones y Costas</w:t>
      </w:r>
      <w:r>
        <w:rPr>
          <w:sz w:val="16"/>
        </w:rPr>
        <w:t>. Sentencia de 29</w:t>
      </w:r>
      <w:r>
        <w:rPr>
          <w:spacing w:val="-13"/>
          <w:sz w:val="16"/>
        </w:rPr>
        <w:t xml:space="preserve"> </w:t>
      </w:r>
      <w:r>
        <w:rPr>
          <w:sz w:val="16"/>
        </w:rPr>
        <w:t>de</w:t>
      </w:r>
      <w:r>
        <w:rPr>
          <w:spacing w:val="-11"/>
          <w:sz w:val="16"/>
        </w:rPr>
        <w:t xml:space="preserve"> </w:t>
      </w:r>
      <w:r>
        <w:rPr>
          <w:sz w:val="16"/>
        </w:rPr>
        <w:t>marzo</w:t>
      </w:r>
      <w:r>
        <w:rPr>
          <w:spacing w:val="-13"/>
          <w:sz w:val="16"/>
        </w:rPr>
        <w:t xml:space="preserve"> </w:t>
      </w:r>
      <w:r>
        <w:rPr>
          <w:sz w:val="16"/>
        </w:rPr>
        <w:t>de</w:t>
      </w:r>
      <w:r>
        <w:rPr>
          <w:spacing w:val="-13"/>
          <w:sz w:val="16"/>
        </w:rPr>
        <w:t xml:space="preserve"> </w:t>
      </w:r>
      <w:r>
        <w:rPr>
          <w:sz w:val="16"/>
        </w:rPr>
        <w:t>2006.</w:t>
      </w:r>
      <w:r>
        <w:rPr>
          <w:spacing w:val="-12"/>
          <w:sz w:val="16"/>
        </w:rPr>
        <w:t xml:space="preserve"> </w:t>
      </w:r>
      <w:r>
        <w:rPr>
          <w:sz w:val="16"/>
        </w:rPr>
        <w:t>Serie</w:t>
      </w:r>
      <w:r>
        <w:rPr>
          <w:spacing w:val="-13"/>
          <w:sz w:val="16"/>
        </w:rPr>
        <w:t xml:space="preserve"> </w:t>
      </w:r>
      <w:r>
        <w:rPr>
          <w:sz w:val="16"/>
        </w:rPr>
        <w:t>C</w:t>
      </w:r>
      <w:r>
        <w:rPr>
          <w:spacing w:val="-13"/>
          <w:sz w:val="16"/>
        </w:rPr>
        <w:t xml:space="preserve"> </w:t>
      </w:r>
      <w:r>
        <w:rPr>
          <w:sz w:val="16"/>
        </w:rPr>
        <w:t>No.</w:t>
      </w:r>
      <w:r>
        <w:rPr>
          <w:spacing w:val="-12"/>
          <w:sz w:val="16"/>
        </w:rPr>
        <w:t xml:space="preserve"> </w:t>
      </w:r>
      <w:r>
        <w:rPr>
          <w:sz w:val="16"/>
        </w:rPr>
        <w:t>146,</w:t>
      </w:r>
      <w:r>
        <w:rPr>
          <w:spacing w:val="-14"/>
          <w:sz w:val="16"/>
        </w:rPr>
        <w:t xml:space="preserve"> </w:t>
      </w:r>
      <w:r>
        <w:rPr>
          <w:sz w:val="16"/>
        </w:rPr>
        <w:t>párr.</w:t>
      </w:r>
      <w:r>
        <w:rPr>
          <w:spacing w:val="-12"/>
          <w:sz w:val="16"/>
        </w:rPr>
        <w:t xml:space="preserve"> </w:t>
      </w:r>
      <w:r>
        <w:rPr>
          <w:sz w:val="16"/>
        </w:rPr>
        <w:t>153,</w:t>
      </w:r>
      <w:r>
        <w:rPr>
          <w:spacing w:val="-12"/>
          <w:sz w:val="16"/>
        </w:rPr>
        <w:t xml:space="preserve"> </w:t>
      </w:r>
      <w:r>
        <w:rPr>
          <w:sz w:val="16"/>
        </w:rPr>
        <w:t>y</w:t>
      </w:r>
      <w:r>
        <w:rPr>
          <w:spacing w:val="-14"/>
          <w:sz w:val="16"/>
        </w:rPr>
        <w:t xml:space="preserve"> </w:t>
      </w:r>
      <w:r>
        <w:rPr>
          <w:i/>
          <w:sz w:val="16"/>
        </w:rPr>
        <w:t>Caso</w:t>
      </w:r>
      <w:r>
        <w:rPr>
          <w:i/>
          <w:spacing w:val="-14"/>
          <w:sz w:val="16"/>
        </w:rPr>
        <w:t xml:space="preserve"> </w:t>
      </w:r>
      <w:r>
        <w:rPr>
          <w:i/>
          <w:sz w:val="16"/>
        </w:rPr>
        <w:t>Ortiz</w:t>
      </w:r>
      <w:r>
        <w:rPr>
          <w:i/>
          <w:spacing w:val="-12"/>
          <w:sz w:val="16"/>
        </w:rPr>
        <w:t xml:space="preserve"> </w:t>
      </w:r>
      <w:r>
        <w:rPr>
          <w:i/>
          <w:sz w:val="16"/>
        </w:rPr>
        <w:t>Hernández</w:t>
      </w:r>
      <w:r>
        <w:rPr>
          <w:i/>
          <w:spacing w:val="-14"/>
          <w:sz w:val="16"/>
        </w:rPr>
        <w:t xml:space="preserve"> </w:t>
      </w:r>
      <w:r>
        <w:rPr>
          <w:i/>
          <w:sz w:val="16"/>
        </w:rPr>
        <w:t>y</w:t>
      </w:r>
      <w:r>
        <w:rPr>
          <w:i/>
          <w:spacing w:val="-13"/>
          <w:sz w:val="16"/>
        </w:rPr>
        <w:t xml:space="preserve"> </w:t>
      </w:r>
      <w:r>
        <w:rPr>
          <w:i/>
          <w:sz w:val="16"/>
        </w:rPr>
        <w:t>otros</w:t>
      </w:r>
      <w:r>
        <w:rPr>
          <w:i/>
          <w:spacing w:val="-11"/>
          <w:sz w:val="16"/>
        </w:rPr>
        <w:t xml:space="preserve"> </w:t>
      </w:r>
      <w:r>
        <w:rPr>
          <w:i/>
          <w:sz w:val="16"/>
        </w:rPr>
        <w:t>Vs.</w:t>
      </w:r>
      <w:r>
        <w:rPr>
          <w:i/>
          <w:spacing w:val="-12"/>
          <w:sz w:val="16"/>
        </w:rPr>
        <w:t xml:space="preserve"> </w:t>
      </w:r>
      <w:r>
        <w:rPr>
          <w:i/>
          <w:sz w:val="16"/>
        </w:rPr>
        <w:t>Venezuela.</w:t>
      </w:r>
      <w:r>
        <w:rPr>
          <w:i/>
          <w:spacing w:val="-12"/>
          <w:sz w:val="16"/>
        </w:rPr>
        <w:t xml:space="preserve"> </w:t>
      </w:r>
      <w:r>
        <w:rPr>
          <w:i/>
          <w:sz w:val="16"/>
        </w:rPr>
        <w:t>Fondo,</w:t>
      </w:r>
      <w:r>
        <w:rPr>
          <w:i/>
          <w:spacing w:val="-12"/>
          <w:sz w:val="16"/>
        </w:rPr>
        <w:t xml:space="preserve"> </w:t>
      </w:r>
      <w:r>
        <w:rPr>
          <w:i/>
          <w:sz w:val="16"/>
        </w:rPr>
        <w:t xml:space="preserve">Reparaciones y Costas. </w:t>
      </w:r>
      <w:r>
        <w:rPr>
          <w:sz w:val="16"/>
        </w:rPr>
        <w:t>Sentencia de 22 de agosto de 2017. Serie C No. 338, párr.</w:t>
      </w:r>
      <w:r>
        <w:rPr>
          <w:spacing w:val="-26"/>
          <w:sz w:val="16"/>
        </w:rPr>
        <w:t xml:space="preserve"> </w:t>
      </w:r>
      <w:r>
        <w:rPr>
          <w:sz w:val="16"/>
        </w:rPr>
        <w:t>110.</w:t>
      </w:r>
    </w:p>
    <w:p w14:paraId="16264365" w14:textId="77777777" w:rsidR="00467FCA" w:rsidRDefault="001B68EB">
      <w:pPr>
        <w:tabs>
          <w:tab w:val="left" w:pos="839"/>
        </w:tabs>
        <w:ind w:left="119" w:right="116"/>
        <w:jc w:val="both"/>
        <w:rPr>
          <w:sz w:val="16"/>
        </w:rPr>
      </w:pPr>
      <w:bookmarkStart w:id="269" w:name="_bookmark230"/>
      <w:bookmarkEnd w:id="269"/>
      <w:r>
        <w:rPr>
          <w:position w:val="6"/>
          <w:sz w:val="10"/>
        </w:rPr>
        <w:t>192</w:t>
      </w:r>
      <w:r>
        <w:rPr>
          <w:position w:val="6"/>
          <w:sz w:val="10"/>
        </w:rPr>
        <w:tab/>
      </w:r>
      <w:r>
        <w:rPr>
          <w:i/>
          <w:sz w:val="16"/>
        </w:rPr>
        <w:t xml:space="preserve">Cfr. Caso Loayza Tamayo Vs. Perú. Fondo. </w:t>
      </w:r>
      <w:r>
        <w:rPr>
          <w:sz w:val="16"/>
        </w:rPr>
        <w:t xml:space="preserve">Sentencia de 17 de septiembre de 1997. Serie C No. 33, párr. 57, y </w:t>
      </w:r>
      <w:r>
        <w:rPr>
          <w:i/>
          <w:sz w:val="16"/>
        </w:rPr>
        <w:t>Caso M</w:t>
      </w:r>
      <w:r>
        <w:rPr>
          <w:i/>
          <w:sz w:val="16"/>
        </w:rPr>
        <w:t>ontesinos Mejía Vs. Ecuador, supra</w:t>
      </w:r>
      <w:r>
        <w:rPr>
          <w:sz w:val="16"/>
        </w:rPr>
        <w:t>, párr.</w:t>
      </w:r>
      <w:r>
        <w:rPr>
          <w:spacing w:val="-18"/>
          <w:sz w:val="16"/>
        </w:rPr>
        <w:t xml:space="preserve"> </w:t>
      </w:r>
      <w:r>
        <w:rPr>
          <w:sz w:val="16"/>
        </w:rPr>
        <w:t>150.</w:t>
      </w:r>
    </w:p>
    <w:p w14:paraId="54F4272C" w14:textId="77777777" w:rsidR="00467FCA" w:rsidRDefault="001B68EB">
      <w:pPr>
        <w:tabs>
          <w:tab w:val="left" w:pos="839"/>
        </w:tabs>
        <w:ind w:left="119" w:right="116"/>
        <w:jc w:val="both"/>
        <w:rPr>
          <w:sz w:val="16"/>
        </w:rPr>
      </w:pPr>
      <w:bookmarkStart w:id="270" w:name="_bookmark231"/>
      <w:bookmarkEnd w:id="270"/>
      <w:r>
        <w:rPr>
          <w:position w:val="6"/>
          <w:sz w:val="10"/>
        </w:rPr>
        <w:t>193</w:t>
      </w:r>
      <w:r>
        <w:rPr>
          <w:position w:val="6"/>
          <w:sz w:val="10"/>
        </w:rPr>
        <w:tab/>
      </w:r>
      <w:r>
        <w:rPr>
          <w:i/>
          <w:sz w:val="16"/>
        </w:rPr>
        <w:t>Cfr. Caso de la “Masacre de Mapiripán” Vs. Colombia</w:t>
      </w:r>
      <w:r>
        <w:rPr>
          <w:sz w:val="16"/>
        </w:rPr>
        <w:t xml:space="preserve">, </w:t>
      </w:r>
      <w:r>
        <w:rPr>
          <w:i/>
          <w:sz w:val="16"/>
        </w:rPr>
        <w:t>supra</w:t>
      </w:r>
      <w:r>
        <w:rPr>
          <w:sz w:val="16"/>
        </w:rPr>
        <w:t xml:space="preserve">, párr. 111, y </w:t>
      </w:r>
      <w:r>
        <w:rPr>
          <w:i/>
          <w:sz w:val="16"/>
        </w:rPr>
        <w:t>Caso Pueblo Indígena Xucuru y sus miembros Vs. Brasil, supra</w:t>
      </w:r>
      <w:r>
        <w:rPr>
          <w:sz w:val="16"/>
        </w:rPr>
        <w:t>, párr.</w:t>
      </w:r>
      <w:r>
        <w:rPr>
          <w:spacing w:val="-5"/>
          <w:sz w:val="16"/>
        </w:rPr>
        <w:t xml:space="preserve"> </w:t>
      </w:r>
      <w:r>
        <w:rPr>
          <w:sz w:val="16"/>
        </w:rPr>
        <w:t>173.</w:t>
      </w:r>
    </w:p>
    <w:p w14:paraId="358FA6A4" w14:textId="77777777" w:rsidR="00467FCA" w:rsidRDefault="001B68EB">
      <w:pPr>
        <w:tabs>
          <w:tab w:val="left" w:pos="839"/>
        </w:tabs>
        <w:ind w:left="119" w:right="113"/>
        <w:jc w:val="both"/>
        <w:rPr>
          <w:sz w:val="16"/>
        </w:rPr>
      </w:pPr>
      <w:bookmarkStart w:id="271" w:name="_bookmark232"/>
      <w:bookmarkEnd w:id="271"/>
      <w:r>
        <w:rPr>
          <w:position w:val="6"/>
          <w:sz w:val="10"/>
        </w:rPr>
        <w:t>194</w:t>
      </w:r>
      <w:r>
        <w:rPr>
          <w:position w:val="6"/>
          <w:sz w:val="10"/>
        </w:rPr>
        <w:tab/>
      </w:r>
      <w:r>
        <w:rPr>
          <w:i/>
          <w:sz w:val="16"/>
        </w:rPr>
        <w:t>Cfr. Caso de la Masacre de Pueblo Bello Vs. Colombia, supra</w:t>
      </w:r>
      <w:r>
        <w:rPr>
          <w:sz w:val="16"/>
        </w:rPr>
        <w:t xml:space="preserve">, párr. 123, y </w:t>
      </w:r>
      <w:r>
        <w:rPr>
          <w:i/>
          <w:sz w:val="16"/>
        </w:rPr>
        <w:t>Caso Gómez Virula y otros Vs. Guatemala. Excepción Preliminar, Fondo, Reparaciones y Costas</w:t>
      </w:r>
      <w:r>
        <w:rPr>
          <w:sz w:val="16"/>
        </w:rPr>
        <w:t>. Sentencia de 21 de noviembre de 2019. Serie C No. 393, párr.</w:t>
      </w:r>
      <w:r>
        <w:rPr>
          <w:spacing w:val="-7"/>
          <w:sz w:val="16"/>
        </w:rPr>
        <w:t xml:space="preserve"> </w:t>
      </w:r>
      <w:r>
        <w:rPr>
          <w:sz w:val="16"/>
        </w:rPr>
        <w:t>56.</w:t>
      </w:r>
    </w:p>
    <w:p w14:paraId="62F8AB61" w14:textId="77777777" w:rsidR="00467FCA" w:rsidRDefault="001B68EB">
      <w:pPr>
        <w:tabs>
          <w:tab w:val="left" w:pos="839"/>
        </w:tabs>
        <w:ind w:left="120"/>
        <w:jc w:val="both"/>
        <w:rPr>
          <w:sz w:val="16"/>
        </w:rPr>
      </w:pPr>
      <w:bookmarkStart w:id="272" w:name="_bookmark233"/>
      <w:bookmarkEnd w:id="272"/>
      <w:r>
        <w:rPr>
          <w:position w:val="6"/>
          <w:sz w:val="10"/>
        </w:rPr>
        <w:t>195</w:t>
      </w:r>
      <w:r>
        <w:rPr>
          <w:position w:val="6"/>
          <w:sz w:val="10"/>
        </w:rPr>
        <w:tab/>
      </w:r>
      <w:r>
        <w:rPr>
          <w:i/>
          <w:sz w:val="16"/>
        </w:rPr>
        <w:t>Cfr.</w:t>
      </w:r>
      <w:r>
        <w:rPr>
          <w:i/>
          <w:spacing w:val="10"/>
          <w:sz w:val="16"/>
        </w:rPr>
        <w:t xml:space="preserve"> </w:t>
      </w:r>
      <w:r>
        <w:rPr>
          <w:i/>
          <w:sz w:val="16"/>
        </w:rPr>
        <w:t>Caso</w:t>
      </w:r>
      <w:r>
        <w:rPr>
          <w:i/>
          <w:spacing w:val="9"/>
          <w:sz w:val="16"/>
        </w:rPr>
        <w:t xml:space="preserve"> </w:t>
      </w:r>
      <w:r>
        <w:rPr>
          <w:i/>
          <w:sz w:val="16"/>
        </w:rPr>
        <w:t>Ximenes</w:t>
      </w:r>
      <w:r>
        <w:rPr>
          <w:i/>
          <w:spacing w:val="8"/>
          <w:sz w:val="16"/>
        </w:rPr>
        <w:t xml:space="preserve"> </w:t>
      </w:r>
      <w:r>
        <w:rPr>
          <w:i/>
          <w:sz w:val="16"/>
        </w:rPr>
        <w:t>Lo</w:t>
      </w:r>
      <w:r>
        <w:rPr>
          <w:i/>
          <w:sz w:val="16"/>
        </w:rPr>
        <w:t>pes</w:t>
      </w:r>
      <w:r>
        <w:rPr>
          <w:i/>
          <w:spacing w:val="7"/>
          <w:sz w:val="16"/>
        </w:rPr>
        <w:t xml:space="preserve"> </w:t>
      </w:r>
      <w:r>
        <w:rPr>
          <w:i/>
          <w:sz w:val="16"/>
        </w:rPr>
        <w:t>Vs.</w:t>
      </w:r>
      <w:r>
        <w:rPr>
          <w:i/>
          <w:spacing w:val="7"/>
          <w:sz w:val="16"/>
        </w:rPr>
        <w:t xml:space="preserve"> </w:t>
      </w:r>
      <w:r>
        <w:rPr>
          <w:i/>
          <w:sz w:val="16"/>
        </w:rPr>
        <w:t>Brasil.</w:t>
      </w:r>
      <w:r>
        <w:rPr>
          <w:i/>
          <w:spacing w:val="7"/>
          <w:sz w:val="16"/>
        </w:rPr>
        <w:t xml:space="preserve"> </w:t>
      </w:r>
      <w:r>
        <w:rPr>
          <w:sz w:val="16"/>
        </w:rPr>
        <w:t>Sentencia</w:t>
      </w:r>
      <w:r>
        <w:rPr>
          <w:spacing w:val="7"/>
          <w:sz w:val="16"/>
        </w:rPr>
        <w:t xml:space="preserve"> </w:t>
      </w:r>
      <w:r>
        <w:rPr>
          <w:sz w:val="16"/>
        </w:rPr>
        <w:t>de</w:t>
      </w:r>
      <w:r>
        <w:rPr>
          <w:spacing w:val="9"/>
          <w:sz w:val="16"/>
        </w:rPr>
        <w:t xml:space="preserve"> </w:t>
      </w:r>
      <w:r>
        <w:rPr>
          <w:sz w:val="16"/>
        </w:rPr>
        <w:t>4</w:t>
      </w:r>
      <w:r>
        <w:rPr>
          <w:spacing w:val="9"/>
          <w:sz w:val="16"/>
        </w:rPr>
        <w:t xml:space="preserve"> </w:t>
      </w:r>
      <w:r>
        <w:rPr>
          <w:sz w:val="16"/>
        </w:rPr>
        <w:t>de</w:t>
      </w:r>
      <w:r>
        <w:rPr>
          <w:spacing w:val="11"/>
          <w:sz w:val="16"/>
        </w:rPr>
        <w:t xml:space="preserve"> </w:t>
      </w:r>
      <w:r>
        <w:rPr>
          <w:sz w:val="16"/>
        </w:rPr>
        <w:t>julio</w:t>
      </w:r>
      <w:r>
        <w:rPr>
          <w:spacing w:val="9"/>
          <w:sz w:val="16"/>
        </w:rPr>
        <w:t xml:space="preserve"> </w:t>
      </w:r>
      <w:r>
        <w:rPr>
          <w:sz w:val="16"/>
        </w:rPr>
        <w:t>de</w:t>
      </w:r>
      <w:r>
        <w:rPr>
          <w:spacing w:val="7"/>
          <w:sz w:val="16"/>
        </w:rPr>
        <w:t xml:space="preserve"> </w:t>
      </w:r>
      <w:r>
        <w:rPr>
          <w:sz w:val="16"/>
        </w:rPr>
        <w:t>2006.</w:t>
      </w:r>
      <w:r>
        <w:rPr>
          <w:spacing w:val="7"/>
          <w:sz w:val="16"/>
        </w:rPr>
        <w:t xml:space="preserve"> </w:t>
      </w:r>
      <w:r>
        <w:rPr>
          <w:sz w:val="16"/>
        </w:rPr>
        <w:t>Serie</w:t>
      </w:r>
      <w:r>
        <w:rPr>
          <w:spacing w:val="8"/>
          <w:sz w:val="16"/>
        </w:rPr>
        <w:t xml:space="preserve"> </w:t>
      </w:r>
      <w:r>
        <w:rPr>
          <w:sz w:val="16"/>
        </w:rPr>
        <w:t>C</w:t>
      </w:r>
      <w:r>
        <w:rPr>
          <w:spacing w:val="9"/>
          <w:sz w:val="16"/>
        </w:rPr>
        <w:t xml:space="preserve"> </w:t>
      </w:r>
      <w:r>
        <w:rPr>
          <w:sz w:val="16"/>
        </w:rPr>
        <w:t>No.</w:t>
      </w:r>
      <w:r>
        <w:rPr>
          <w:spacing w:val="8"/>
          <w:sz w:val="16"/>
        </w:rPr>
        <w:t xml:space="preserve"> </w:t>
      </w:r>
      <w:r>
        <w:rPr>
          <w:sz w:val="16"/>
        </w:rPr>
        <w:t>149,</w:t>
      </w:r>
      <w:r>
        <w:rPr>
          <w:spacing w:val="7"/>
          <w:sz w:val="16"/>
        </w:rPr>
        <w:t xml:space="preserve"> </w:t>
      </w:r>
      <w:r>
        <w:rPr>
          <w:sz w:val="16"/>
        </w:rPr>
        <w:t>párrs.</w:t>
      </w:r>
      <w:r>
        <w:rPr>
          <w:spacing w:val="7"/>
          <w:sz w:val="16"/>
        </w:rPr>
        <w:t xml:space="preserve"> </w:t>
      </w:r>
      <w:r>
        <w:rPr>
          <w:sz w:val="16"/>
        </w:rPr>
        <w:t>99</w:t>
      </w:r>
      <w:r>
        <w:rPr>
          <w:spacing w:val="9"/>
          <w:sz w:val="16"/>
        </w:rPr>
        <w:t xml:space="preserve"> </w:t>
      </w:r>
      <w:r>
        <w:rPr>
          <w:sz w:val="16"/>
        </w:rPr>
        <w:t>y</w:t>
      </w:r>
      <w:r>
        <w:rPr>
          <w:spacing w:val="10"/>
          <w:sz w:val="16"/>
        </w:rPr>
        <w:t xml:space="preserve"> </w:t>
      </w:r>
      <w:r>
        <w:rPr>
          <w:sz w:val="16"/>
        </w:rPr>
        <w:t>125,</w:t>
      </w:r>
      <w:r>
        <w:rPr>
          <w:spacing w:val="7"/>
          <w:sz w:val="16"/>
        </w:rPr>
        <w:t xml:space="preserve"> </w:t>
      </w:r>
      <w:r>
        <w:rPr>
          <w:sz w:val="16"/>
        </w:rPr>
        <w:t>y</w:t>
      </w:r>
    </w:p>
    <w:p w14:paraId="78D3A537" w14:textId="77777777" w:rsidR="00467FCA" w:rsidRDefault="001B68EB">
      <w:pPr>
        <w:ind w:left="120"/>
        <w:jc w:val="both"/>
        <w:rPr>
          <w:sz w:val="16"/>
        </w:rPr>
      </w:pPr>
      <w:r>
        <w:rPr>
          <w:i/>
          <w:sz w:val="16"/>
        </w:rPr>
        <w:t>Caso</w:t>
      </w:r>
      <w:r>
        <w:rPr>
          <w:i/>
          <w:spacing w:val="-5"/>
          <w:sz w:val="16"/>
        </w:rPr>
        <w:t xml:space="preserve"> </w:t>
      </w:r>
      <w:r>
        <w:rPr>
          <w:i/>
          <w:sz w:val="16"/>
        </w:rPr>
        <w:t>Gonzales</w:t>
      </w:r>
      <w:r>
        <w:rPr>
          <w:i/>
          <w:spacing w:val="-5"/>
          <w:sz w:val="16"/>
        </w:rPr>
        <w:t xml:space="preserve"> </w:t>
      </w:r>
      <w:r>
        <w:rPr>
          <w:i/>
          <w:sz w:val="16"/>
        </w:rPr>
        <w:t>Lluy</w:t>
      </w:r>
      <w:r>
        <w:rPr>
          <w:i/>
          <w:spacing w:val="-6"/>
          <w:sz w:val="16"/>
        </w:rPr>
        <w:t xml:space="preserve"> </w:t>
      </w:r>
      <w:r>
        <w:rPr>
          <w:i/>
          <w:sz w:val="16"/>
        </w:rPr>
        <w:t>y</w:t>
      </w:r>
      <w:r>
        <w:rPr>
          <w:i/>
          <w:spacing w:val="-4"/>
          <w:sz w:val="16"/>
        </w:rPr>
        <w:t xml:space="preserve"> </w:t>
      </w:r>
      <w:r>
        <w:rPr>
          <w:i/>
          <w:sz w:val="16"/>
        </w:rPr>
        <w:t>otros</w:t>
      </w:r>
      <w:r>
        <w:rPr>
          <w:i/>
          <w:spacing w:val="-7"/>
          <w:sz w:val="16"/>
        </w:rPr>
        <w:t xml:space="preserve"> </w:t>
      </w:r>
      <w:r>
        <w:rPr>
          <w:i/>
          <w:sz w:val="16"/>
        </w:rPr>
        <w:t>Vs.</w:t>
      </w:r>
      <w:r>
        <w:rPr>
          <w:i/>
          <w:spacing w:val="-4"/>
          <w:sz w:val="16"/>
        </w:rPr>
        <w:t xml:space="preserve"> </w:t>
      </w:r>
      <w:r>
        <w:rPr>
          <w:i/>
          <w:sz w:val="16"/>
        </w:rPr>
        <w:t>Ecuador.</w:t>
      </w:r>
      <w:r>
        <w:rPr>
          <w:i/>
          <w:spacing w:val="-6"/>
          <w:sz w:val="16"/>
        </w:rPr>
        <w:t xml:space="preserve"> </w:t>
      </w:r>
      <w:r>
        <w:rPr>
          <w:i/>
          <w:sz w:val="16"/>
        </w:rPr>
        <w:t>Excepciones</w:t>
      </w:r>
      <w:r>
        <w:rPr>
          <w:i/>
          <w:spacing w:val="-5"/>
          <w:sz w:val="16"/>
        </w:rPr>
        <w:t xml:space="preserve"> </w:t>
      </w:r>
      <w:r>
        <w:rPr>
          <w:i/>
          <w:sz w:val="16"/>
        </w:rPr>
        <w:t>Preliminares,</w:t>
      </w:r>
      <w:r>
        <w:rPr>
          <w:i/>
          <w:spacing w:val="-6"/>
          <w:sz w:val="16"/>
        </w:rPr>
        <w:t xml:space="preserve"> </w:t>
      </w:r>
      <w:r>
        <w:rPr>
          <w:i/>
          <w:sz w:val="16"/>
        </w:rPr>
        <w:t>Fondo,</w:t>
      </w:r>
      <w:r>
        <w:rPr>
          <w:i/>
          <w:spacing w:val="-6"/>
          <w:sz w:val="16"/>
        </w:rPr>
        <w:t xml:space="preserve"> </w:t>
      </w:r>
      <w:r>
        <w:rPr>
          <w:i/>
          <w:sz w:val="16"/>
        </w:rPr>
        <w:t>Reparaciones</w:t>
      </w:r>
      <w:r>
        <w:rPr>
          <w:i/>
          <w:spacing w:val="-7"/>
          <w:sz w:val="16"/>
        </w:rPr>
        <w:t xml:space="preserve"> </w:t>
      </w:r>
      <w:r>
        <w:rPr>
          <w:i/>
          <w:sz w:val="16"/>
        </w:rPr>
        <w:t>y</w:t>
      </w:r>
      <w:r>
        <w:rPr>
          <w:i/>
          <w:spacing w:val="-6"/>
          <w:sz w:val="16"/>
        </w:rPr>
        <w:t xml:space="preserve"> </w:t>
      </w:r>
      <w:r>
        <w:rPr>
          <w:i/>
          <w:sz w:val="16"/>
        </w:rPr>
        <w:t>Costas.</w:t>
      </w:r>
      <w:r>
        <w:rPr>
          <w:i/>
          <w:spacing w:val="-6"/>
          <w:sz w:val="16"/>
        </w:rPr>
        <w:t xml:space="preserve"> </w:t>
      </w:r>
      <w:r>
        <w:rPr>
          <w:sz w:val="16"/>
        </w:rPr>
        <w:t>Sentencia</w:t>
      </w:r>
      <w:r>
        <w:rPr>
          <w:spacing w:val="-6"/>
          <w:sz w:val="16"/>
        </w:rPr>
        <w:t xml:space="preserve"> </w:t>
      </w:r>
      <w:r>
        <w:rPr>
          <w:sz w:val="16"/>
        </w:rPr>
        <w:t>de</w:t>
      </w:r>
      <w:r>
        <w:rPr>
          <w:spacing w:val="-7"/>
          <w:sz w:val="16"/>
        </w:rPr>
        <w:t xml:space="preserve"> </w:t>
      </w:r>
      <w:r>
        <w:rPr>
          <w:sz w:val="16"/>
        </w:rPr>
        <w:t>1</w:t>
      </w:r>
      <w:r>
        <w:rPr>
          <w:spacing w:val="-4"/>
          <w:sz w:val="16"/>
        </w:rPr>
        <w:t xml:space="preserve"> </w:t>
      </w:r>
      <w:r>
        <w:rPr>
          <w:sz w:val="16"/>
        </w:rPr>
        <w:t>de</w:t>
      </w:r>
    </w:p>
    <w:p w14:paraId="6A762E48" w14:textId="77777777" w:rsidR="00467FCA" w:rsidRDefault="00467FCA">
      <w:pPr>
        <w:jc w:val="both"/>
        <w:rPr>
          <w:sz w:val="16"/>
        </w:rPr>
        <w:sectPr w:rsidR="00467FCA">
          <w:pgSz w:w="12240" w:h="15840"/>
          <w:pgMar w:top="1360" w:right="1320" w:bottom="1220" w:left="1320" w:header="0" w:footer="1037" w:gutter="0"/>
          <w:cols w:space="720"/>
        </w:sectPr>
      </w:pPr>
    </w:p>
    <w:p w14:paraId="52DA715F" w14:textId="77777777" w:rsidR="00467FCA" w:rsidRDefault="001B68EB">
      <w:pPr>
        <w:pStyle w:val="Prrafodelista"/>
        <w:numPr>
          <w:ilvl w:val="0"/>
          <w:numId w:val="50"/>
        </w:numPr>
        <w:tabs>
          <w:tab w:val="left" w:pos="687"/>
        </w:tabs>
        <w:spacing w:before="183"/>
        <w:ind w:left="119" w:right="116" w:firstLine="0"/>
        <w:jc w:val="both"/>
        <w:rPr>
          <w:sz w:val="20"/>
        </w:rPr>
      </w:pPr>
      <w:r>
        <w:rPr>
          <w:sz w:val="20"/>
        </w:rPr>
        <w:t>En este caso, la Corte encuentra que los Estados tienen el deber de regular, supervisar y fiscalizar la práctica de actividades peligrosas, que implican riesgos significativos para la vida e integridad de las personas sometidas a su jurisdicción, como medi</w:t>
      </w:r>
      <w:r>
        <w:rPr>
          <w:sz w:val="20"/>
        </w:rPr>
        <w:t>da para proteger y preservar estos</w:t>
      </w:r>
      <w:r>
        <w:rPr>
          <w:spacing w:val="-3"/>
          <w:sz w:val="20"/>
        </w:rPr>
        <w:t xml:space="preserve"> </w:t>
      </w:r>
      <w:r>
        <w:rPr>
          <w:sz w:val="20"/>
        </w:rPr>
        <w:t>derechos.</w:t>
      </w:r>
    </w:p>
    <w:p w14:paraId="213C34F6" w14:textId="77777777" w:rsidR="00467FCA" w:rsidRDefault="00467FCA">
      <w:pPr>
        <w:pStyle w:val="Textoindependiente"/>
        <w:spacing w:before="1"/>
      </w:pPr>
    </w:p>
    <w:p w14:paraId="1DC886FA" w14:textId="77777777" w:rsidR="00467FCA" w:rsidRDefault="001B68EB">
      <w:pPr>
        <w:pStyle w:val="Prrafodelista"/>
        <w:numPr>
          <w:ilvl w:val="0"/>
          <w:numId w:val="50"/>
        </w:numPr>
        <w:tabs>
          <w:tab w:val="left" w:pos="686"/>
        </w:tabs>
        <w:ind w:left="119" w:right="115" w:firstLine="0"/>
        <w:jc w:val="both"/>
        <w:rPr>
          <w:sz w:val="20"/>
        </w:rPr>
      </w:pPr>
      <w:r>
        <w:rPr>
          <w:sz w:val="20"/>
        </w:rPr>
        <w:t>La Corte se ha pronunciado en diferentes oportunidades sobre la obligación de regulación, en particular, en relación con la prestación de servicios públicos de salud</w:t>
      </w:r>
      <w:hyperlink w:anchor="_bookmark234" w:history="1">
        <w:r>
          <w:rPr>
            <w:position w:val="7"/>
            <w:sz w:val="13"/>
          </w:rPr>
          <w:t>196</w:t>
        </w:r>
      </w:hyperlink>
      <w:r>
        <w:rPr>
          <w:sz w:val="20"/>
        </w:rPr>
        <w:t xml:space="preserve">. Al respecto, ha señalado que el Estado tiene el deber </w:t>
      </w:r>
      <w:r>
        <w:rPr>
          <w:sz w:val="20"/>
        </w:rPr>
        <w:t>de regular de manera específica las actividades que implican riesgos significativos para la salud de las personas, como el funcionamiento de bancos de sangre</w:t>
      </w:r>
      <w:hyperlink w:anchor="_bookmark235" w:history="1">
        <w:r>
          <w:rPr>
            <w:position w:val="7"/>
            <w:sz w:val="13"/>
          </w:rPr>
          <w:t>197</w:t>
        </w:r>
      </w:hyperlink>
      <w:r>
        <w:rPr>
          <w:sz w:val="20"/>
        </w:rPr>
        <w:t xml:space="preserve">. En relación con el deber de regular también se ha pronunciado </w:t>
      </w:r>
      <w:r>
        <w:rPr>
          <w:sz w:val="20"/>
        </w:rPr>
        <w:t>el Tribunal Europeo de Derechos Humanos, en un caso referido a una explosión de metano en un vertedero de desechos. En esa decisión, el Tribunal Europeo encontró que la</w:t>
      </w:r>
      <w:r>
        <w:rPr>
          <w:spacing w:val="-9"/>
          <w:sz w:val="20"/>
        </w:rPr>
        <w:t xml:space="preserve"> </w:t>
      </w:r>
      <w:r>
        <w:rPr>
          <w:sz w:val="20"/>
        </w:rPr>
        <w:t>obligación</w:t>
      </w:r>
      <w:r>
        <w:rPr>
          <w:spacing w:val="-7"/>
          <w:sz w:val="20"/>
        </w:rPr>
        <w:t xml:space="preserve"> </w:t>
      </w:r>
      <w:r>
        <w:rPr>
          <w:sz w:val="20"/>
        </w:rPr>
        <w:t>de</w:t>
      </w:r>
      <w:r>
        <w:rPr>
          <w:spacing w:val="-9"/>
          <w:sz w:val="20"/>
        </w:rPr>
        <w:t xml:space="preserve"> </w:t>
      </w:r>
      <w:r>
        <w:rPr>
          <w:sz w:val="20"/>
        </w:rPr>
        <w:t>adoptar</w:t>
      </w:r>
      <w:r>
        <w:rPr>
          <w:spacing w:val="-7"/>
          <w:sz w:val="20"/>
        </w:rPr>
        <w:t xml:space="preserve"> </w:t>
      </w:r>
      <w:r>
        <w:rPr>
          <w:sz w:val="20"/>
        </w:rPr>
        <w:t>todas</w:t>
      </w:r>
      <w:r>
        <w:rPr>
          <w:spacing w:val="-9"/>
          <w:sz w:val="20"/>
        </w:rPr>
        <w:t xml:space="preserve"> </w:t>
      </w:r>
      <w:r>
        <w:rPr>
          <w:sz w:val="20"/>
        </w:rPr>
        <w:t>las</w:t>
      </w:r>
      <w:r>
        <w:rPr>
          <w:spacing w:val="-9"/>
          <w:sz w:val="20"/>
        </w:rPr>
        <w:t xml:space="preserve"> </w:t>
      </w:r>
      <w:r>
        <w:rPr>
          <w:sz w:val="20"/>
        </w:rPr>
        <w:t>medidas</w:t>
      </w:r>
      <w:r>
        <w:rPr>
          <w:spacing w:val="-9"/>
          <w:sz w:val="20"/>
        </w:rPr>
        <w:t xml:space="preserve"> </w:t>
      </w:r>
      <w:r>
        <w:rPr>
          <w:sz w:val="20"/>
        </w:rPr>
        <w:t>necesarias</w:t>
      </w:r>
      <w:r>
        <w:rPr>
          <w:spacing w:val="-7"/>
          <w:sz w:val="20"/>
        </w:rPr>
        <w:t xml:space="preserve"> </w:t>
      </w:r>
      <w:r>
        <w:rPr>
          <w:sz w:val="20"/>
        </w:rPr>
        <w:t>para</w:t>
      </w:r>
      <w:r>
        <w:rPr>
          <w:spacing w:val="-5"/>
          <w:sz w:val="20"/>
        </w:rPr>
        <w:t xml:space="preserve"> </w:t>
      </w:r>
      <w:r>
        <w:rPr>
          <w:sz w:val="20"/>
        </w:rPr>
        <w:t>salvaguardar</w:t>
      </w:r>
      <w:r>
        <w:rPr>
          <w:spacing w:val="-9"/>
          <w:sz w:val="20"/>
        </w:rPr>
        <w:t xml:space="preserve"> </w:t>
      </w:r>
      <w:r>
        <w:rPr>
          <w:sz w:val="20"/>
        </w:rPr>
        <w:t>el</w:t>
      </w:r>
      <w:r>
        <w:rPr>
          <w:spacing w:val="-5"/>
          <w:sz w:val="20"/>
        </w:rPr>
        <w:t xml:space="preserve"> </w:t>
      </w:r>
      <w:r>
        <w:rPr>
          <w:sz w:val="20"/>
        </w:rPr>
        <w:t>derecho</w:t>
      </w:r>
      <w:r>
        <w:rPr>
          <w:spacing w:val="-9"/>
          <w:sz w:val="20"/>
        </w:rPr>
        <w:t xml:space="preserve"> </w:t>
      </w:r>
      <w:r>
        <w:rPr>
          <w:sz w:val="20"/>
        </w:rPr>
        <w:t>a</w:t>
      </w:r>
      <w:r>
        <w:rPr>
          <w:spacing w:val="-6"/>
          <w:sz w:val="20"/>
        </w:rPr>
        <w:t xml:space="preserve"> </w:t>
      </w:r>
      <w:r>
        <w:rPr>
          <w:sz w:val="20"/>
        </w:rPr>
        <w:t>la</w:t>
      </w:r>
      <w:r>
        <w:rPr>
          <w:spacing w:val="-8"/>
          <w:sz w:val="20"/>
        </w:rPr>
        <w:t xml:space="preserve"> </w:t>
      </w:r>
      <w:r>
        <w:rPr>
          <w:sz w:val="20"/>
        </w:rPr>
        <w:t>vida, implica el deber del Estado de establecer un marco legislativo y administrativo que disuada las amenazas al derecho, y que esa obligación se aplica indiscutiblemente en el contexto de actividades peligrosas</w:t>
      </w:r>
      <w:hyperlink w:anchor="_bookmark236" w:history="1">
        <w:r>
          <w:rPr>
            <w:position w:val="7"/>
            <w:sz w:val="13"/>
          </w:rPr>
          <w:t>198</w:t>
        </w:r>
      </w:hyperlink>
      <w:r>
        <w:rPr>
          <w:sz w:val="20"/>
        </w:rPr>
        <w:t>.</w:t>
      </w:r>
    </w:p>
    <w:p w14:paraId="30EEF4D8" w14:textId="77777777" w:rsidR="00467FCA" w:rsidRDefault="00467FCA">
      <w:pPr>
        <w:pStyle w:val="Textoindependiente"/>
        <w:spacing w:before="11"/>
        <w:rPr>
          <w:sz w:val="19"/>
        </w:rPr>
      </w:pPr>
    </w:p>
    <w:p w14:paraId="5A33DC02" w14:textId="77777777" w:rsidR="00467FCA" w:rsidRDefault="001B68EB">
      <w:pPr>
        <w:pStyle w:val="Prrafodelista"/>
        <w:numPr>
          <w:ilvl w:val="0"/>
          <w:numId w:val="50"/>
        </w:numPr>
        <w:tabs>
          <w:tab w:val="left" w:pos="687"/>
        </w:tabs>
        <w:ind w:left="119" w:right="117" w:firstLine="0"/>
        <w:jc w:val="both"/>
        <w:rPr>
          <w:sz w:val="20"/>
        </w:rPr>
      </w:pPr>
      <w:r>
        <w:rPr>
          <w:sz w:val="20"/>
        </w:rPr>
        <w:t>Respec</w:t>
      </w:r>
      <w:r>
        <w:rPr>
          <w:sz w:val="20"/>
        </w:rPr>
        <w:t>to</w:t>
      </w:r>
      <w:r>
        <w:rPr>
          <w:spacing w:val="-6"/>
          <w:sz w:val="20"/>
        </w:rPr>
        <w:t xml:space="preserve"> </w:t>
      </w:r>
      <w:r>
        <w:rPr>
          <w:sz w:val="20"/>
        </w:rPr>
        <w:t>a</w:t>
      </w:r>
      <w:r>
        <w:rPr>
          <w:spacing w:val="-5"/>
          <w:sz w:val="20"/>
        </w:rPr>
        <w:t xml:space="preserve"> </w:t>
      </w:r>
      <w:r>
        <w:rPr>
          <w:sz w:val="20"/>
        </w:rPr>
        <w:t>la</w:t>
      </w:r>
      <w:r>
        <w:rPr>
          <w:spacing w:val="-5"/>
          <w:sz w:val="20"/>
        </w:rPr>
        <w:t xml:space="preserve"> </w:t>
      </w:r>
      <w:r>
        <w:rPr>
          <w:sz w:val="20"/>
        </w:rPr>
        <w:t>supervisión</w:t>
      </w:r>
      <w:r>
        <w:rPr>
          <w:spacing w:val="-7"/>
          <w:sz w:val="20"/>
        </w:rPr>
        <w:t xml:space="preserve"> </w:t>
      </w:r>
      <w:r>
        <w:rPr>
          <w:sz w:val="20"/>
        </w:rPr>
        <w:t>y</w:t>
      </w:r>
      <w:r>
        <w:rPr>
          <w:spacing w:val="-6"/>
          <w:sz w:val="20"/>
        </w:rPr>
        <w:t xml:space="preserve"> </w:t>
      </w:r>
      <w:r>
        <w:rPr>
          <w:sz w:val="20"/>
        </w:rPr>
        <w:t>fiscalización,</w:t>
      </w:r>
      <w:r>
        <w:rPr>
          <w:spacing w:val="-9"/>
          <w:sz w:val="20"/>
        </w:rPr>
        <w:t xml:space="preserve"> </w:t>
      </w:r>
      <w:r>
        <w:rPr>
          <w:sz w:val="20"/>
        </w:rPr>
        <w:t>la</w:t>
      </w:r>
      <w:r>
        <w:rPr>
          <w:spacing w:val="-5"/>
          <w:sz w:val="20"/>
        </w:rPr>
        <w:t xml:space="preserve"> </w:t>
      </w:r>
      <w:r>
        <w:rPr>
          <w:sz w:val="20"/>
        </w:rPr>
        <w:t>Corte</w:t>
      </w:r>
      <w:r>
        <w:rPr>
          <w:spacing w:val="-8"/>
          <w:sz w:val="20"/>
        </w:rPr>
        <w:t xml:space="preserve"> </w:t>
      </w:r>
      <w:r>
        <w:rPr>
          <w:sz w:val="20"/>
        </w:rPr>
        <w:t>ha</w:t>
      </w:r>
      <w:r>
        <w:rPr>
          <w:spacing w:val="-5"/>
          <w:sz w:val="20"/>
        </w:rPr>
        <w:t xml:space="preserve"> </w:t>
      </w:r>
      <w:r>
        <w:rPr>
          <w:sz w:val="20"/>
        </w:rPr>
        <w:t>sostenido</w:t>
      </w:r>
      <w:r>
        <w:rPr>
          <w:spacing w:val="-9"/>
          <w:sz w:val="20"/>
        </w:rPr>
        <w:t xml:space="preserve"> </w:t>
      </w:r>
      <w:r>
        <w:rPr>
          <w:sz w:val="20"/>
        </w:rPr>
        <w:t>que</w:t>
      </w:r>
      <w:r>
        <w:rPr>
          <w:spacing w:val="-7"/>
          <w:sz w:val="20"/>
        </w:rPr>
        <w:t xml:space="preserve"> </w:t>
      </w:r>
      <w:r>
        <w:rPr>
          <w:sz w:val="20"/>
        </w:rPr>
        <w:t>se</w:t>
      </w:r>
      <w:r>
        <w:rPr>
          <w:spacing w:val="-7"/>
          <w:sz w:val="20"/>
        </w:rPr>
        <w:t xml:space="preserve"> </w:t>
      </w:r>
      <w:r>
        <w:rPr>
          <w:sz w:val="20"/>
        </w:rPr>
        <w:t>trata</w:t>
      </w:r>
      <w:r>
        <w:rPr>
          <w:spacing w:val="-8"/>
          <w:sz w:val="20"/>
        </w:rPr>
        <w:t xml:space="preserve"> </w:t>
      </w:r>
      <w:r>
        <w:rPr>
          <w:sz w:val="20"/>
        </w:rPr>
        <w:t>de</w:t>
      </w:r>
      <w:r>
        <w:rPr>
          <w:spacing w:val="-7"/>
          <w:sz w:val="20"/>
        </w:rPr>
        <w:t xml:space="preserve"> </w:t>
      </w:r>
      <w:r>
        <w:rPr>
          <w:sz w:val="20"/>
        </w:rPr>
        <w:t>un</w:t>
      </w:r>
      <w:r>
        <w:rPr>
          <w:spacing w:val="-6"/>
          <w:sz w:val="20"/>
        </w:rPr>
        <w:t xml:space="preserve"> </w:t>
      </w:r>
      <w:r>
        <w:rPr>
          <w:sz w:val="20"/>
        </w:rPr>
        <w:t>deber del Estado, incluso cuando la actividad la presta una entidad privada. En ese sentido, este Tribunal</w:t>
      </w:r>
      <w:r>
        <w:rPr>
          <w:spacing w:val="-13"/>
          <w:sz w:val="20"/>
        </w:rPr>
        <w:t xml:space="preserve"> </w:t>
      </w:r>
      <w:r>
        <w:rPr>
          <w:sz w:val="20"/>
        </w:rPr>
        <w:t>ha</w:t>
      </w:r>
      <w:r>
        <w:rPr>
          <w:spacing w:val="-13"/>
          <w:sz w:val="20"/>
        </w:rPr>
        <w:t xml:space="preserve"> </w:t>
      </w:r>
      <w:r>
        <w:rPr>
          <w:sz w:val="20"/>
        </w:rPr>
        <w:t>establecido</w:t>
      </w:r>
      <w:r>
        <w:rPr>
          <w:spacing w:val="-15"/>
          <w:sz w:val="20"/>
        </w:rPr>
        <w:t xml:space="preserve"> </w:t>
      </w:r>
      <w:r>
        <w:rPr>
          <w:sz w:val="20"/>
        </w:rPr>
        <w:t>la</w:t>
      </w:r>
      <w:r>
        <w:rPr>
          <w:spacing w:val="-13"/>
          <w:sz w:val="20"/>
        </w:rPr>
        <w:t xml:space="preserve"> </w:t>
      </w:r>
      <w:r>
        <w:rPr>
          <w:sz w:val="20"/>
        </w:rPr>
        <w:t>responsabilidad</w:t>
      </w:r>
      <w:r>
        <w:rPr>
          <w:spacing w:val="-13"/>
          <w:sz w:val="20"/>
        </w:rPr>
        <w:t xml:space="preserve"> </w:t>
      </w:r>
      <w:r>
        <w:rPr>
          <w:sz w:val="20"/>
        </w:rPr>
        <w:t>estatal</w:t>
      </w:r>
      <w:r>
        <w:rPr>
          <w:spacing w:val="-12"/>
          <w:sz w:val="20"/>
        </w:rPr>
        <w:t xml:space="preserve"> </w:t>
      </w:r>
      <w:r>
        <w:rPr>
          <w:sz w:val="20"/>
        </w:rPr>
        <w:t>por</w:t>
      </w:r>
      <w:r>
        <w:rPr>
          <w:spacing w:val="-15"/>
          <w:sz w:val="20"/>
        </w:rPr>
        <w:t xml:space="preserve"> </w:t>
      </w:r>
      <w:r>
        <w:rPr>
          <w:sz w:val="20"/>
        </w:rPr>
        <w:t>las</w:t>
      </w:r>
      <w:r>
        <w:rPr>
          <w:spacing w:val="-14"/>
          <w:sz w:val="20"/>
        </w:rPr>
        <w:t xml:space="preserve"> </w:t>
      </w:r>
      <w:r>
        <w:rPr>
          <w:sz w:val="20"/>
        </w:rPr>
        <w:t>afectaciones</w:t>
      </w:r>
      <w:r>
        <w:rPr>
          <w:spacing w:val="-14"/>
          <w:sz w:val="20"/>
        </w:rPr>
        <w:t xml:space="preserve"> </w:t>
      </w:r>
      <w:r>
        <w:rPr>
          <w:sz w:val="20"/>
        </w:rPr>
        <w:t>producid</w:t>
      </w:r>
      <w:r>
        <w:rPr>
          <w:sz w:val="20"/>
        </w:rPr>
        <w:t>as</w:t>
      </w:r>
      <w:r>
        <w:rPr>
          <w:spacing w:val="-13"/>
          <w:sz w:val="20"/>
        </w:rPr>
        <w:t xml:space="preserve"> </w:t>
      </w:r>
      <w:r>
        <w:rPr>
          <w:sz w:val="20"/>
        </w:rPr>
        <w:t>por</w:t>
      </w:r>
      <w:r>
        <w:rPr>
          <w:spacing w:val="-15"/>
          <w:sz w:val="20"/>
        </w:rPr>
        <w:t xml:space="preserve"> </w:t>
      </w:r>
      <w:r>
        <w:rPr>
          <w:sz w:val="20"/>
        </w:rPr>
        <w:t>terceros que</w:t>
      </w:r>
      <w:r>
        <w:rPr>
          <w:spacing w:val="-21"/>
          <w:sz w:val="20"/>
        </w:rPr>
        <w:t xml:space="preserve"> </w:t>
      </w:r>
      <w:r>
        <w:rPr>
          <w:sz w:val="20"/>
        </w:rPr>
        <w:t>prestaban</w:t>
      </w:r>
      <w:r>
        <w:rPr>
          <w:spacing w:val="-18"/>
          <w:sz w:val="20"/>
        </w:rPr>
        <w:t xml:space="preserve"> </w:t>
      </w:r>
      <w:r>
        <w:rPr>
          <w:sz w:val="20"/>
        </w:rPr>
        <w:t>un</w:t>
      </w:r>
      <w:r>
        <w:rPr>
          <w:spacing w:val="-19"/>
          <w:sz w:val="20"/>
        </w:rPr>
        <w:t xml:space="preserve"> </w:t>
      </w:r>
      <w:r>
        <w:rPr>
          <w:sz w:val="20"/>
        </w:rPr>
        <w:t>servicio</w:t>
      </w:r>
      <w:r>
        <w:rPr>
          <w:spacing w:val="-20"/>
          <w:sz w:val="20"/>
        </w:rPr>
        <w:t xml:space="preserve"> </w:t>
      </w:r>
      <w:r>
        <w:rPr>
          <w:sz w:val="20"/>
        </w:rPr>
        <w:t>de</w:t>
      </w:r>
      <w:r>
        <w:rPr>
          <w:spacing w:val="-18"/>
          <w:sz w:val="20"/>
        </w:rPr>
        <w:t xml:space="preserve"> </w:t>
      </w:r>
      <w:r>
        <w:rPr>
          <w:sz w:val="20"/>
        </w:rPr>
        <w:t>salud,</w:t>
      </w:r>
      <w:r>
        <w:rPr>
          <w:spacing w:val="-18"/>
          <w:sz w:val="20"/>
        </w:rPr>
        <w:t xml:space="preserve"> </w:t>
      </w:r>
      <w:r>
        <w:rPr>
          <w:sz w:val="20"/>
        </w:rPr>
        <w:t>cuando</w:t>
      </w:r>
      <w:r>
        <w:rPr>
          <w:spacing w:val="-18"/>
          <w:sz w:val="20"/>
        </w:rPr>
        <w:t xml:space="preserve"> </w:t>
      </w:r>
      <w:r>
        <w:rPr>
          <w:sz w:val="20"/>
        </w:rPr>
        <w:t>esta</w:t>
      </w:r>
      <w:r>
        <w:rPr>
          <w:spacing w:val="-17"/>
          <w:sz w:val="20"/>
        </w:rPr>
        <w:t xml:space="preserve"> </w:t>
      </w:r>
      <w:r>
        <w:rPr>
          <w:sz w:val="20"/>
        </w:rPr>
        <w:t>se</w:t>
      </w:r>
      <w:r>
        <w:rPr>
          <w:spacing w:val="-20"/>
          <w:sz w:val="20"/>
        </w:rPr>
        <w:t xml:space="preserve"> </w:t>
      </w:r>
      <w:r>
        <w:rPr>
          <w:sz w:val="20"/>
        </w:rPr>
        <w:t>debe</w:t>
      </w:r>
      <w:r>
        <w:rPr>
          <w:spacing w:val="-21"/>
          <w:sz w:val="20"/>
        </w:rPr>
        <w:t xml:space="preserve"> </w:t>
      </w:r>
      <w:r>
        <w:rPr>
          <w:sz w:val="20"/>
        </w:rPr>
        <w:t>a</w:t>
      </w:r>
      <w:r>
        <w:rPr>
          <w:spacing w:val="-19"/>
          <w:sz w:val="20"/>
        </w:rPr>
        <w:t xml:space="preserve"> </w:t>
      </w:r>
      <w:r>
        <w:rPr>
          <w:sz w:val="20"/>
        </w:rPr>
        <w:t>la</w:t>
      </w:r>
      <w:r>
        <w:rPr>
          <w:spacing w:val="-16"/>
          <w:sz w:val="20"/>
        </w:rPr>
        <w:t xml:space="preserve"> </w:t>
      </w:r>
      <w:r>
        <w:rPr>
          <w:sz w:val="20"/>
        </w:rPr>
        <w:t>falta</w:t>
      </w:r>
      <w:r>
        <w:rPr>
          <w:spacing w:val="-20"/>
          <w:sz w:val="20"/>
        </w:rPr>
        <w:t xml:space="preserve"> </w:t>
      </w:r>
      <w:r>
        <w:rPr>
          <w:sz w:val="20"/>
        </w:rPr>
        <w:t>de</w:t>
      </w:r>
      <w:r>
        <w:rPr>
          <w:spacing w:val="-18"/>
          <w:sz w:val="20"/>
        </w:rPr>
        <w:t xml:space="preserve"> </w:t>
      </w:r>
      <w:r>
        <w:rPr>
          <w:sz w:val="20"/>
        </w:rPr>
        <w:t>fiscalización</w:t>
      </w:r>
      <w:r>
        <w:rPr>
          <w:spacing w:val="-19"/>
          <w:sz w:val="20"/>
        </w:rPr>
        <w:t xml:space="preserve"> </w:t>
      </w:r>
      <w:r>
        <w:rPr>
          <w:sz w:val="20"/>
        </w:rPr>
        <w:t>del</w:t>
      </w:r>
      <w:r>
        <w:rPr>
          <w:spacing w:val="-18"/>
          <w:sz w:val="20"/>
        </w:rPr>
        <w:t xml:space="preserve"> </w:t>
      </w:r>
      <w:r>
        <w:rPr>
          <w:sz w:val="20"/>
        </w:rPr>
        <w:t>Estado</w:t>
      </w:r>
      <w:hyperlink w:anchor="_bookmark237" w:history="1">
        <w:r>
          <w:rPr>
            <w:position w:val="7"/>
            <w:sz w:val="13"/>
          </w:rPr>
          <w:t>199</w:t>
        </w:r>
      </w:hyperlink>
      <w:r>
        <w:rPr>
          <w:sz w:val="13"/>
        </w:rPr>
        <w:t xml:space="preserve"> </w:t>
      </w:r>
      <w:r>
        <w:rPr>
          <w:sz w:val="20"/>
        </w:rPr>
        <w:t>y</w:t>
      </w:r>
      <w:r>
        <w:rPr>
          <w:spacing w:val="-12"/>
          <w:sz w:val="20"/>
        </w:rPr>
        <w:t xml:space="preserve"> </w:t>
      </w:r>
      <w:r>
        <w:rPr>
          <w:sz w:val="20"/>
        </w:rPr>
        <w:t>ha</w:t>
      </w:r>
      <w:r>
        <w:rPr>
          <w:spacing w:val="-11"/>
          <w:sz w:val="20"/>
        </w:rPr>
        <w:t xml:space="preserve"> </w:t>
      </w:r>
      <w:r>
        <w:rPr>
          <w:sz w:val="20"/>
        </w:rPr>
        <w:t>señalado</w:t>
      </w:r>
      <w:r>
        <w:rPr>
          <w:spacing w:val="-11"/>
          <w:sz w:val="20"/>
        </w:rPr>
        <w:t xml:space="preserve"> </w:t>
      </w:r>
      <w:r>
        <w:rPr>
          <w:sz w:val="20"/>
        </w:rPr>
        <w:t>que</w:t>
      </w:r>
      <w:r>
        <w:rPr>
          <w:spacing w:val="-12"/>
          <w:sz w:val="20"/>
        </w:rPr>
        <w:t xml:space="preserve"> </w:t>
      </w:r>
      <w:r>
        <w:rPr>
          <w:sz w:val="20"/>
        </w:rPr>
        <w:t>la</w:t>
      </w:r>
      <w:r>
        <w:rPr>
          <w:spacing w:val="-8"/>
          <w:sz w:val="20"/>
        </w:rPr>
        <w:t xml:space="preserve"> </w:t>
      </w:r>
      <w:r>
        <w:rPr>
          <w:sz w:val="20"/>
        </w:rPr>
        <w:t>obligación</w:t>
      </w:r>
      <w:r>
        <w:rPr>
          <w:spacing w:val="-10"/>
          <w:sz w:val="20"/>
        </w:rPr>
        <w:t xml:space="preserve"> </w:t>
      </w:r>
      <w:r>
        <w:rPr>
          <w:sz w:val="20"/>
        </w:rPr>
        <w:t>de</w:t>
      </w:r>
      <w:r>
        <w:rPr>
          <w:spacing w:val="-9"/>
          <w:sz w:val="20"/>
        </w:rPr>
        <w:t xml:space="preserve"> </w:t>
      </w:r>
      <w:r>
        <w:rPr>
          <w:sz w:val="20"/>
        </w:rPr>
        <w:t>fiscalización</w:t>
      </w:r>
      <w:r>
        <w:rPr>
          <w:spacing w:val="-8"/>
          <w:sz w:val="20"/>
        </w:rPr>
        <w:t xml:space="preserve"> </w:t>
      </w:r>
      <w:r>
        <w:rPr>
          <w:sz w:val="20"/>
        </w:rPr>
        <w:t>estatal</w:t>
      </w:r>
      <w:r>
        <w:rPr>
          <w:spacing w:val="-11"/>
          <w:sz w:val="20"/>
        </w:rPr>
        <w:t xml:space="preserve"> </w:t>
      </w:r>
      <w:r>
        <w:rPr>
          <w:sz w:val="20"/>
        </w:rPr>
        <w:t>comprende</w:t>
      </w:r>
      <w:r>
        <w:rPr>
          <w:spacing w:val="-11"/>
          <w:sz w:val="20"/>
        </w:rPr>
        <w:t xml:space="preserve"> </w:t>
      </w:r>
      <w:r>
        <w:rPr>
          <w:sz w:val="20"/>
        </w:rPr>
        <w:t>tanto</w:t>
      </w:r>
      <w:r>
        <w:rPr>
          <w:spacing w:val="-8"/>
          <w:sz w:val="20"/>
        </w:rPr>
        <w:t xml:space="preserve"> </w:t>
      </w:r>
      <w:r>
        <w:rPr>
          <w:sz w:val="20"/>
        </w:rPr>
        <w:t>a</w:t>
      </w:r>
      <w:r>
        <w:rPr>
          <w:spacing w:val="-10"/>
          <w:sz w:val="20"/>
        </w:rPr>
        <w:t xml:space="preserve"> </w:t>
      </w:r>
      <w:r>
        <w:rPr>
          <w:sz w:val="20"/>
        </w:rPr>
        <w:t>servicios</w:t>
      </w:r>
      <w:r>
        <w:rPr>
          <w:spacing w:val="-10"/>
          <w:sz w:val="20"/>
        </w:rPr>
        <w:t xml:space="preserve"> </w:t>
      </w:r>
      <w:r>
        <w:rPr>
          <w:sz w:val="20"/>
        </w:rPr>
        <w:t>prestados por el Estado, directa o indirectamente, como a los ofrecidos por particulares</w:t>
      </w:r>
      <w:hyperlink w:anchor="_bookmark238" w:history="1">
        <w:r>
          <w:rPr>
            <w:position w:val="7"/>
            <w:sz w:val="13"/>
          </w:rPr>
          <w:t>200</w:t>
        </w:r>
      </w:hyperlink>
      <w:r>
        <w:rPr>
          <w:sz w:val="20"/>
        </w:rPr>
        <w:t>. La Corte ha precisado el alcance de la responsabilidad del Estado cuando incumple estas obligaciones frente a entidades privadas, e</w:t>
      </w:r>
      <w:r>
        <w:rPr>
          <w:sz w:val="20"/>
        </w:rPr>
        <w:t>n los siguientes</w:t>
      </w:r>
      <w:r>
        <w:rPr>
          <w:spacing w:val="-5"/>
          <w:sz w:val="20"/>
        </w:rPr>
        <w:t xml:space="preserve"> </w:t>
      </w:r>
      <w:r>
        <w:rPr>
          <w:sz w:val="20"/>
        </w:rPr>
        <w:t>términos:</w:t>
      </w:r>
    </w:p>
    <w:p w14:paraId="128C14E4" w14:textId="77777777" w:rsidR="00467FCA" w:rsidRDefault="00467FCA">
      <w:pPr>
        <w:pStyle w:val="Textoindependiente"/>
        <w:spacing w:before="11"/>
        <w:rPr>
          <w:sz w:val="19"/>
        </w:rPr>
      </w:pPr>
    </w:p>
    <w:p w14:paraId="230A3257" w14:textId="77777777" w:rsidR="00467FCA" w:rsidRDefault="001B68EB">
      <w:pPr>
        <w:ind w:left="840" w:right="1011"/>
        <w:jc w:val="both"/>
        <w:rPr>
          <w:sz w:val="16"/>
        </w:rPr>
      </w:pPr>
      <w:r>
        <w:rPr>
          <w:sz w:val="16"/>
        </w:rPr>
        <w:t>Cuando se trata de competencias esenciales relacionadas con la supervisión y fiscalización de la prestación de servicios de interés público, como la salud, sea por entidades públicas o privadas (como es el caso de un hospital privado), la responsabilidad r</w:t>
      </w:r>
      <w:r>
        <w:rPr>
          <w:sz w:val="16"/>
        </w:rPr>
        <w:t>esulta por la omisión en el cumplimiento del deber de supervisar la prestación del servicio para proteger el bien respectivo</w:t>
      </w:r>
      <w:hyperlink w:anchor="_bookmark239" w:history="1">
        <w:r>
          <w:rPr>
            <w:position w:val="6"/>
            <w:sz w:val="10"/>
          </w:rPr>
          <w:t>201</w:t>
        </w:r>
      </w:hyperlink>
      <w:r>
        <w:rPr>
          <w:sz w:val="16"/>
        </w:rPr>
        <w:t>.</w:t>
      </w:r>
    </w:p>
    <w:p w14:paraId="593A0055" w14:textId="77777777" w:rsidR="00467FCA" w:rsidRDefault="00467FCA">
      <w:pPr>
        <w:pStyle w:val="Textoindependiente"/>
        <w:spacing w:before="2"/>
      </w:pPr>
    </w:p>
    <w:p w14:paraId="212B96B8" w14:textId="77777777" w:rsidR="00467FCA" w:rsidRDefault="001B68EB">
      <w:pPr>
        <w:pStyle w:val="Prrafodelista"/>
        <w:numPr>
          <w:ilvl w:val="0"/>
          <w:numId w:val="50"/>
        </w:numPr>
        <w:tabs>
          <w:tab w:val="left" w:pos="687"/>
        </w:tabs>
        <w:ind w:right="119" w:firstLine="0"/>
        <w:jc w:val="both"/>
        <w:rPr>
          <w:sz w:val="20"/>
        </w:rPr>
      </w:pPr>
      <w:r>
        <w:rPr>
          <w:sz w:val="20"/>
        </w:rPr>
        <w:t>Ahora bien, el presente caso no involucra la prestación de servicios de salud, sino la realiza</w:t>
      </w:r>
      <w:r>
        <w:rPr>
          <w:sz w:val="20"/>
        </w:rPr>
        <w:t>ción de una actividad especialmente peligrosa bajo la supervisión y fiscalización del Estado</w:t>
      </w:r>
      <w:hyperlink w:anchor="_bookmark240" w:history="1">
        <w:r>
          <w:rPr>
            <w:position w:val="7"/>
            <w:sz w:val="13"/>
          </w:rPr>
          <w:t>202</w:t>
        </w:r>
      </w:hyperlink>
      <w:r>
        <w:rPr>
          <w:sz w:val="20"/>
        </w:rPr>
        <w:t>. Respecto de esta actividad, por los riesgos específicos que implicaba para la vida e</w:t>
      </w:r>
      <w:r>
        <w:rPr>
          <w:spacing w:val="4"/>
          <w:sz w:val="20"/>
        </w:rPr>
        <w:t xml:space="preserve"> </w:t>
      </w:r>
      <w:r>
        <w:rPr>
          <w:sz w:val="20"/>
        </w:rPr>
        <w:t>integridad</w:t>
      </w:r>
      <w:r>
        <w:rPr>
          <w:spacing w:val="7"/>
          <w:sz w:val="20"/>
        </w:rPr>
        <w:t xml:space="preserve"> </w:t>
      </w:r>
      <w:r>
        <w:rPr>
          <w:sz w:val="20"/>
        </w:rPr>
        <w:t>de</w:t>
      </w:r>
      <w:r>
        <w:rPr>
          <w:spacing w:val="5"/>
          <w:sz w:val="20"/>
        </w:rPr>
        <w:t xml:space="preserve"> </w:t>
      </w:r>
      <w:r>
        <w:rPr>
          <w:sz w:val="20"/>
        </w:rPr>
        <w:t>las</w:t>
      </w:r>
      <w:r>
        <w:rPr>
          <w:spacing w:val="6"/>
          <w:sz w:val="20"/>
        </w:rPr>
        <w:t xml:space="preserve"> </w:t>
      </w:r>
      <w:r>
        <w:rPr>
          <w:sz w:val="20"/>
        </w:rPr>
        <w:t>personas,</w:t>
      </w:r>
      <w:r>
        <w:rPr>
          <w:spacing w:val="8"/>
          <w:sz w:val="20"/>
        </w:rPr>
        <w:t xml:space="preserve"> </w:t>
      </w:r>
      <w:r>
        <w:rPr>
          <w:sz w:val="20"/>
        </w:rPr>
        <w:t>el</w:t>
      </w:r>
      <w:r>
        <w:rPr>
          <w:spacing w:val="8"/>
          <w:sz w:val="20"/>
        </w:rPr>
        <w:t xml:space="preserve"> </w:t>
      </w:r>
      <w:r>
        <w:rPr>
          <w:sz w:val="20"/>
        </w:rPr>
        <w:t>Estado</w:t>
      </w:r>
      <w:r>
        <w:rPr>
          <w:spacing w:val="8"/>
          <w:sz w:val="20"/>
        </w:rPr>
        <w:t xml:space="preserve"> </w:t>
      </w:r>
      <w:r>
        <w:rPr>
          <w:sz w:val="20"/>
        </w:rPr>
        <w:t>tení</w:t>
      </w:r>
      <w:r>
        <w:rPr>
          <w:sz w:val="20"/>
        </w:rPr>
        <w:t>a</w:t>
      </w:r>
      <w:r>
        <w:rPr>
          <w:spacing w:val="7"/>
          <w:sz w:val="20"/>
        </w:rPr>
        <w:t xml:space="preserve"> </w:t>
      </w:r>
      <w:r>
        <w:rPr>
          <w:sz w:val="20"/>
        </w:rPr>
        <w:t>la</w:t>
      </w:r>
      <w:r>
        <w:rPr>
          <w:spacing w:val="9"/>
          <w:sz w:val="20"/>
        </w:rPr>
        <w:t xml:space="preserve"> </w:t>
      </w:r>
      <w:r>
        <w:rPr>
          <w:sz w:val="20"/>
        </w:rPr>
        <w:t>obligación</w:t>
      </w:r>
      <w:r>
        <w:rPr>
          <w:spacing w:val="8"/>
          <w:sz w:val="20"/>
        </w:rPr>
        <w:t xml:space="preserve"> </w:t>
      </w:r>
      <w:r>
        <w:rPr>
          <w:sz w:val="20"/>
        </w:rPr>
        <w:t>de</w:t>
      </w:r>
      <w:r>
        <w:rPr>
          <w:spacing w:val="9"/>
          <w:sz w:val="20"/>
        </w:rPr>
        <w:t xml:space="preserve"> </w:t>
      </w:r>
      <w:r>
        <w:rPr>
          <w:sz w:val="20"/>
        </w:rPr>
        <w:t>regular,</w:t>
      </w:r>
      <w:r>
        <w:rPr>
          <w:spacing w:val="8"/>
          <w:sz w:val="20"/>
        </w:rPr>
        <w:t xml:space="preserve"> </w:t>
      </w:r>
      <w:r>
        <w:rPr>
          <w:sz w:val="20"/>
        </w:rPr>
        <w:t>supervisar</w:t>
      </w:r>
      <w:r>
        <w:rPr>
          <w:spacing w:val="5"/>
          <w:sz w:val="20"/>
        </w:rPr>
        <w:t xml:space="preserve"> </w:t>
      </w:r>
      <w:r>
        <w:rPr>
          <w:sz w:val="20"/>
        </w:rPr>
        <w:t>y</w:t>
      </w:r>
      <w:r>
        <w:rPr>
          <w:spacing w:val="8"/>
          <w:sz w:val="20"/>
        </w:rPr>
        <w:t xml:space="preserve"> </w:t>
      </w:r>
      <w:r>
        <w:rPr>
          <w:sz w:val="20"/>
        </w:rPr>
        <w:t>fiscalizar</w:t>
      </w:r>
    </w:p>
    <w:p w14:paraId="2041E285" w14:textId="77777777" w:rsidR="00467FCA" w:rsidRDefault="001B68EB">
      <w:pPr>
        <w:pStyle w:val="Textoindependiente"/>
        <w:spacing w:before="8"/>
        <w:rPr>
          <w:sz w:val="13"/>
        </w:rPr>
      </w:pPr>
      <w:r>
        <w:pict w14:anchorId="1ED17CBA">
          <v:shape id="_x0000_s1163" style="position:absolute;margin-left:1in;margin-top:10.6pt;width:2in;height:.1pt;z-index:-251624448;mso-wrap-distance-left:0;mso-wrap-distance-right:0;mso-position-horizontal-relative:page" coordorigin="1440,212" coordsize="2880,0" path="m1440,212r2880,e" filled="f" strokeweight=".6pt">
            <v:path arrowok="t"/>
            <w10:wrap type="topAndBottom" anchorx="page"/>
          </v:shape>
        </w:pict>
      </w:r>
    </w:p>
    <w:p w14:paraId="1A9BBB58" w14:textId="77777777" w:rsidR="00467FCA" w:rsidRDefault="001B68EB">
      <w:pPr>
        <w:spacing w:before="74"/>
        <w:ind w:left="120"/>
        <w:jc w:val="both"/>
        <w:rPr>
          <w:sz w:val="16"/>
        </w:rPr>
      </w:pPr>
      <w:r>
        <w:rPr>
          <w:sz w:val="16"/>
        </w:rPr>
        <w:t>septiembre de 2015. Serie C No. 298, párr. 170.</w:t>
      </w:r>
    </w:p>
    <w:p w14:paraId="636EED31" w14:textId="77777777" w:rsidR="00467FCA" w:rsidRDefault="001B68EB">
      <w:pPr>
        <w:tabs>
          <w:tab w:val="left" w:pos="839"/>
        </w:tabs>
        <w:ind w:left="119" w:right="116"/>
        <w:jc w:val="both"/>
        <w:rPr>
          <w:sz w:val="16"/>
        </w:rPr>
      </w:pPr>
      <w:bookmarkStart w:id="273" w:name="_bookmark234"/>
      <w:bookmarkEnd w:id="273"/>
      <w:r>
        <w:rPr>
          <w:position w:val="6"/>
          <w:sz w:val="10"/>
        </w:rPr>
        <w:t>196</w:t>
      </w:r>
      <w:r>
        <w:rPr>
          <w:position w:val="6"/>
          <w:sz w:val="10"/>
        </w:rPr>
        <w:tab/>
      </w:r>
      <w:r>
        <w:rPr>
          <w:i/>
          <w:sz w:val="16"/>
        </w:rPr>
        <w:t>Cfr. Caso Ximenes Lopes Vs. Brasil, supra, párr. 99</w:t>
      </w:r>
      <w:r>
        <w:rPr>
          <w:sz w:val="16"/>
        </w:rPr>
        <w:t xml:space="preserve">; </w:t>
      </w:r>
      <w:r>
        <w:rPr>
          <w:i/>
          <w:sz w:val="16"/>
        </w:rPr>
        <w:t xml:space="preserve">Caso Suárez Peralta Vs. Ecuador. Excepciones Preliminares, Fondo, Reparaciones y Costas. </w:t>
      </w:r>
      <w:r>
        <w:rPr>
          <w:sz w:val="16"/>
        </w:rPr>
        <w:t>Sentenci</w:t>
      </w:r>
      <w:r>
        <w:rPr>
          <w:sz w:val="16"/>
        </w:rPr>
        <w:t xml:space="preserve">a de 21 de mayo de 2013. Serie C No. 261, párr. 134, y </w:t>
      </w:r>
      <w:r>
        <w:rPr>
          <w:i/>
          <w:sz w:val="16"/>
        </w:rPr>
        <w:t>Caso Gonzales Lluy y otros Vs. Ecuador, supra</w:t>
      </w:r>
      <w:r>
        <w:rPr>
          <w:sz w:val="16"/>
        </w:rPr>
        <w:t>, párr.</w:t>
      </w:r>
      <w:r>
        <w:rPr>
          <w:spacing w:val="-12"/>
          <w:sz w:val="16"/>
        </w:rPr>
        <w:t xml:space="preserve"> </w:t>
      </w:r>
      <w:r>
        <w:rPr>
          <w:sz w:val="16"/>
        </w:rPr>
        <w:t>177.</w:t>
      </w:r>
    </w:p>
    <w:p w14:paraId="318E62EB" w14:textId="77777777" w:rsidR="00467FCA" w:rsidRDefault="001B68EB">
      <w:pPr>
        <w:tabs>
          <w:tab w:val="left" w:pos="839"/>
        </w:tabs>
        <w:ind w:left="120"/>
        <w:jc w:val="both"/>
        <w:rPr>
          <w:sz w:val="16"/>
        </w:rPr>
      </w:pPr>
      <w:bookmarkStart w:id="274" w:name="_bookmark235"/>
      <w:bookmarkEnd w:id="274"/>
      <w:r>
        <w:rPr>
          <w:position w:val="6"/>
          <w:sz w:val="10"/>
        </w:rPr>
        <w:t>197</w:t>
      </w:r>
      <w:r>
        <w:rPr>
          <w:position w:val="6"/>
          <w:sz w:val="10"/>
        </w:rPr>
        <w:tab/>
      </w:r>
      <w:r>
        <w:rPr>
          <w:i/>
          <w:sz w:val="16"/>
        </w:rPr>
        <w:t xml:space="preserve">Cfr. Caso Gonzales Lluy y otros Vs. Ecuador, supra, </w:t>
      </w:r>
      <w:r>
        <w:rPr>
          <w:sz w:val="16"/>
        </w:rPr>
        <w:t>párr.</w:t>
      </w:r>
      <w:r>
        <w:rPr>
          <w:spacing w:val="-11"/>
          <w:sz w:val="16"/>
        </w:rPr>
        <w:t xml:space="preserve"> </w:t>
      </w:r>
      <w:r>
        <w:rPr>
          <w:sz w:val="16"/>
        </w:rPr>
        <w:t>178.</w:t>
      </w:r>
    </w:p>
    <w:p w14:paraId="3E759D59" w14:textId="77777777" w:rsidR="00467FCA" w:rsidRDefault="001B68EB">
      <w:pPr>
        <w:tabs>
          <w:tab w:val="left" w:pos="839"/>
        </w:tabs>
        <w:ind w:left="119" w:right="114"/>
        <w:jc w:val="both"/>
        <w:rPr>
          <w:sz w:val="16"/>
        </w:rPr>
      </w:pPr>
      <w:bookmarkStart w:id="275" w:name="_bookmark236"/>
      <w:bookmarkEnd w:id="275"/>
      <w:r>
        <w:rPr>
          <w:position w:val="6"/>
          <w:sz w:val="10"/>
        </w:rPr>
        <w:t>198</w:t>
      </w:r>
      <w:r>
        <w:rPr>
          <w:position w:val="6"/>
          <w:sz w:val="10"/>
        </w:rPr>
        <w:tab/>
      </w:r>
      <w:r>
        <w:rPr>
          <w:i/>
          <w:sz w:val="16"/>
        </w:rPr>
        <w:t xml:space="preserve">Cfr. </w:t>
      </w:r>
      <w:r>
        <w:rPr>
          <w:sz w:val="16"/>
        </w:rPr>
        <w:t xml:space="preserve">TEDH, </w:t>
      </w:r>
      <w:r>
        <w:rPr>
          <w:i/>
          <w:sz w:val="16"/>
        </w:rPr>
        <w:t>Caso Öneryildiz Vs. Turquía</w:t>
      </w:r>
      <w:r>
        <w:rPr>
          <w:sz w:val="16"/>
        </w:rPr>
        <w:t>, No. 48939/99, Sentencia de 30 de noviembre de 2004, párrs 89 y 90.</w:t>
      </w:r>
    </w:p>
    <w:p w14:paraId="41224037" w14:textId="77777777" w:rsidR="00467FCA" w:rsidRDefault="001B68EB">
      <w:pPr>
        <w:tabs>
          <w:tab w:val="left" w:pos="839"/>
        </w:tabs>
        <w:ind w:left="120"/>
        <w:jc w:val="both"/>
        <w:rPr>
          <w:sz w:val="16"/>
        </w:rPr>
      </w:pPr>
      <w:bookmarkStart w:id="276" w:name="_bookmark237"/>
      <w:bookmarkEnd w:id="276"/>
      <w:r>
        <w:rPr>
          <w:position w:val="6"/>
          <w:sz w:val="10"/>
        </w:rPr>
        <w:t>199</w:t>
      </w:r>
      <w:r>
        <w:rPr>
          <w:position w:val="6"/>
          <w:sz w:val="10"/>
        </w:rPr>
        <w:tab/>
      </w:r>
      <w:r>
        <w:rPr>
          <w:i/>
          <w:sz w:val="16"/>
        </w:rPr>
        <w:t>Cfr.</w:t>
      </w:r>
      <w:r>
        <w:rPr>
          <w:i/>
          <w:spacing w:val="4"/>
          <w:sz w:val="16"/>
        </w:rPr>
        <w:t xml:space="preserve"> </w:t>
      </w:r>
      <w:r>
        <w:rPr>
          <w:i/>
          <w:sz w:val="16"/>
        </w:rPr>
        <w:t>Caso</w:t>
      </w:r>
      <w:r>
        <w:rPr>
          <w:i/>
          <w:spacing w:val="4"/>
          <w:sz w:val="16"/>
        </w:rPr>
        <w:t xml:space="preserve"> </w:t>
      </w:r>
      <w:r>
        <w:rPr>
          <w:i/>
          <w:sz w:val="16"/>
        </w:rPr>
        <w:t>Ximenes</w:t>
      </w:r>
      <w:r>
        <w:rPr>
          <w:i/>
          <w:spacing w:val="6"/>
          <w:sz w:val="16"/>
        </w:rPr>
        <w:t xml:space="preserve"> </w:t>
      </w:r>
      <w:r>
        <w:rPr>
          <w:i/>
          <w:sz w:val="16"/>
        </w:rPr>
        <w:t>Lopes</w:t>
      </w:r>
      <w:r>
        <w:rPr>
          <w:i/>
          <w:spacing w:val="4"/>
          <w:sz w:val="16"/>
        </w:rPr>
        <w:t xml:space="preserve"> </w:t>
      </w:r>
      <w:r>
        <w:rPr>
          <w:i/>
          <w:sz w:val="16"/>
        </w:rPr>
        <w:t>Vs.</w:t>
      </w:r>
      <w:r>
        <w:rPr>
          <w:i/>
          <w:spacing w:val="5"/>
          <w:sz w:val="16"/>
        </w:rPr>
        <w:t xml:space="preserve"> </w:t>
      </w:r>
      <w:r>
        <w:rPr>
          <w:i/>
          <w:sz w:val="16"/>
        </w:rPr>
        <w:t>Brasil,</w:t>
      </w:r>
      <w:r>
        <w:rPr>
          <w:i/>
          <w:spacing w:val="7"/>
          <w:sz w:val="16"/>
        </w:rPr>
        <w:t xml:space="preserve"> </w:t>
      </w:r>
      <w:r>
        <w:rPr>
          <w:i/>
          <w:sz w:val="16"/>
        </w:rPr>
        <w:t>supra,</w:t>
      </w:r>
      <w:r>
        <w:rPr>
          <w:i/>
          <w:spacing w:val="4"/>
          <w:sz w:val="16"/>
        </w:rPr>
        <w:t xml:space="preserve"> </w:t>
      </w:r>
      <w:r>
        <w:rPr>
          <w:sz w:val="16"/>
        </w:rPr>
        <w:t>párr.</w:t>
      </w:r>
      <w:r>
        <w:rPr>
          <w:spacing w:val="5"/>
          <w:sz w:val="16"/>
        </w:rPr>
        <w:t xml:space="preserve"> </w:t>
      </w:r>
      <w:r>
        <w:rPr>
          <w:sz w:val="16"/>
        </w:rPr>
        <w:t>95</w:t>
      </w:r>
      <w:r>
        <w:rPr>
          <w:i/>
          <w:sz w:val="16"/>
        </w:rPr>
        <w:t>;</w:t>
      </w:r>
      <w:r>
        <w:rPr>
          <w:i/>
          <w:spacing w:val="4"/>
          <w:sz w:val="16"/>
        </w:rPr>
        <w:t xml:space="preserve"> </w:t>
      </w:r>
      <w:r>
        <w:rPr>
          <w:i/>
          <w:sz w:val="16"/>
        </w:rPr>
        <w:t>Caso</w:t>
      </w:r>
      <w:r>
        <w:rPr>
          <w:i/>
          <w:spacing w:val="4"/>
          <w:sz w:val="16"/>
        </w:rPr>
        <w:t xml:space="preserve"> </w:t>
      </w:r>
      <w:r>
        <w:rPr>
          <w:i/>
          <w:sz w:val="16"/>
        </w:rPr>
        <w:t>Suárez</w:t>
      </w:r>
      <w:r>
        <w:rPr>
          <w:i/>
          <w:spacing w:val="5"/>
          <w:sz w:val="16"/>
        </w:rPr>
        <w:t xml:space="preserve"> </w:t>
      </w:r>
      <w:r>
        <w:rPr>
          <w:i/>
          <w:sz w:val="16"/>
        </w:rPr>
        <w:t>Peralta</w:t>
      </w:r>
      <w:r>
        <w:rPr>
          <w:i/>
          <w:spacing w:val="5"/>
          <w:sz w:val="16"/>
        </w:rPr>
        <w:t xml:space="preserve"> </w:t>
      </w:r>
      <w:r>
        <w:rPr>
          <w:i/>
          <w:sz w:val="16"/>
        </w:rPr>
        <w:t>Vs.</w:t>
      </w:r>
      <w:r>
        <w:rPr>
          <w:i/>
          <w:spacing w:val="4"/>
          <w:sz w:val="16"/>
        </w:rPr>
        <w:t xml:space="preserve"> </w:t>
      </w:r>
      <w:r>
        <w:rPr>
          <w:i/>
          <w:sz w:val="16"/>
        </w:rPr>
        <w:t>Ecuador,</w:t>
      </w:r>
      <w:r>
        <w:rPr>
          <w:i/>
          <w:spacing w:val="5"/>
          <w:sz w:val="16"/>
        </w:rPr>
        <w:t xml:space="preserve"> </w:t>
      </w:r>
      <w:r>
        <w:rPr>
          <w:i/>
          <w:sz w:val="16"/>
        </w:rPr>
        <w:t>supra,</w:t>
      </w:r>
      <w:r>
        <w:rPr>
          <w:i/>
          <w:spacing w:val="5"/>
          <w:sz w:val="16"/>
        </w:rPr>
        <w:t xml:space="preserve"> </w:t>
      </w:r>
      <w:r>
        <w:rPr>
          <w:sz w:val="16"/>
        </w:rPr>
        <w:t>párr.</w:t>
      </w:r>
      <w:r>
        <w:rPr>
          <w:spacing w:val="5"/>
          <w:sz w:val="16"/>
        </w:rPr>
        <w:t xml:space="preserve"> </w:t>
      </w:r>
      <w:r>
        <w:rPr>
          <w:sz w:val="16"/>
        </w:rPr>
        <w:t>144,</w:t>
      </w:r>
      <w:r>
        <w:rPr>
          <w:spacing w:val="5"/>
          <w:sz w:val="16"/>
        </w:rPr>
        <w:t xml:space="preserve"> </w:t>
      </w:r>
      <w:r>
        <w:rPr>
          <w:sz w:val="16"/>
        </w:rPr>
        <w:t>y</w:t>
      </w:r>
    </w:p>
    <w:p w14:paraId="5A065280" w14:textId="77777777" w:rsidR="00467FCA" w:rsidRDefault="001B68EB">
      <w:pPr>
        <w:ind w:left="120"/>
        <w:jc w:val="both"/>
        <w:rPr>
          <w:sz w:val="16"/>
        </w:rPr>
      </w:pPr>
      <w:bookmarkStart w:id="277" w:name="_bookmark238"/>
      <w:bookmarkEnd w:id="277"/>
      <w:r>
        <w:rPr>
          <w:i/>
          <w:sz w:val="16"/>
        </w:rPr>
        <w:t xml:space="preserve">Caso Gonzales Lluy y otros Vs. Ecuador, supra, </w:t>
      </w:r>
      <w:r>
        <w:rPr>
          <w:sz w:val="16"/>
        </w:rPr>
        <w:t>párr. 191.</w:t>
      </w:r>
    </w:p>
    <w:p w14:paraId="3F97CE25" w14:textId="77777777" w:rsidR="00467FCA" w:rsidRDefault="001B68EB">
      <w:pPr>
        <w:tabs>
          <w:tab w:val="left" w:pos="839"/>
        </w:tabs>
        <w:ind w:left="120"/>
        <w:jc w:val="both"/>
        <w:rPr>
          <w:sz w:val="16"/>
        </w:rPr>
      </w:pPr>
      <w:r>
        <w:rPr>
          <w:position w:val="6"/>
          <w:sz w:val="10"/>
        </w:rPr>
        <w:t>200</w:t>
      </w:r>
      <w:r>
        <w:rPr>
          <w:position w:val="6"/>
          <w:sz w:val="10"/>
        </w:rPr>
        <w:tab/>
      </w:r>
      <w:r>
        <w:rPr>
          <w:i/>
          <w:sz w:val="16"/>
        </w:rPr>
        <w:t xml:space="preserve">Cfr. Caso Ximenes Lopes Vs. Brasil, supra, </w:t>
      </w:r>
      <w:r>
        <w:rPr>
          <w:sz w:val="16"/>
        </w:rPr>
        <w:t xml:space="preserve">párr. 141, </w:t>
      </w:r>
      <w:r>
        <w:rPr>
          <w:i/>
          <w:sz w:val="16"/>
        </w:rPr>
        <w:t xml:space="preserve">Caso Suárez Peralta Vs. Ecuador, supra, </w:t>
      </w:r>
      <w:r>
        <w:rPr>
          <w:sz w:val="16"/>
        </w:rPr>
        <w:t>párr. 149,</w:t>
      </w:r>
      <w:r>
        <w:rPr>
          <w:spacing w:val="-14"/>
          <w:sz w:val="16"/>
        </w:rPr>
        <w:t xml:space="preserve"> </w:t>
      </w:r>
      <w:r>
        <w:rPr>
          <w:sz w:val="16"/>
        </w:rPr>
        <w:t>y</w:t>
      </w:r>
    </w:p>
    <w:p w14:paraId="3DCC2C85" w14:textId="77777777" w:rsidR="00467FCA" w:rsidRDefault="001B68EB">
      <w:pPr>
        <w:ind w:left="119"/>
        <w:jc w:val="both"/>
        <w:rPr>
          <w:sz w:val="16"/>
        </w:rPr>
      </w:pPr>
      <w:r>
        <w:rPr>
          <w:i/>
          <w:sz w:val="16"/>
        </w:rPr>
        <w:t>Caso Gonzales Lluy y otros Vs. Ecuador</w:t>
      </w:r>
      <w:r>
        <w:rPr>
          <w:sz w:val="16"/>
        </w:rPr>
        <w:t xml:space="preserve">, </w:t>
      </w:r>
      <w:r>
        <w:rPr>
          <w:i/>
          <w:sz w:val="16"/>
        </w:rPr>
        <w:t>supra</w:t>
      </w:r>
      <w:r>
        <w:rPr>
          <w:sz w:val="16"/>
        </w:rPr>
        <w:t>, párr. 184.</w:t>
      </w:r>
    </w:p>
    <w:p w14:paraId="5CD4C44E" w14:textId="77777777" w:rsidR="00467FCA" w:rsidRDefault="001B68EB">
      <w:pPr>
        <w:tabs>
          <w:tab w:val="left" w:pos="839"/>
        </w:tabs>
        <w:ind w:left="120" w:right="115"/>
        <w:jc w:val="both"/>
        <w:rPr>
          <w:sz w:val="16"/>
        </w:rPr>
      </w:pPr>
      <w:bookmarkStart w:id="278" w:name="_bookmark239"/>
      <w:bookmarkEnd w:id="278"/>
      <w:r>
        <w:rPr>
          <w:position w:val="6"/>
          <w:sz w:val="10"/>
        </w:rPr>
        <w:t>201</w:t>
      </w:r>
      <w:r>
        <w:rPr>
          <w:position w:val="6"/>
          <w:sz w:val="10"/>
        </w:rPr>
        <w:tab/>
      </w:r>
      <w:r>
        <w:rPr>
          <w:i/>
          <w:sz w:val="16"/>
        </w:rPr>
        <w:t>Caso Albán Cornejo y otro</w:t>
      </w:r>
      <w:r>
        <w:rPr>
          <w:i/>
          <w:sz w:val="16"/>
        </w:rPr>
        <w:t>s. Vs. Ecuador</w:t>
      </w:r>
      <w:r>
        <w:rPr>
          <w:sz w:val="16"/>
        </w:rPr>
        <w:t xml:space="preserve">. </w:t>
      </w:r>
      <w:r>
        <w:rPr>
          <w:i/>
          <w:sz w:val="16"/>
        </w:rPr>
        <w:t xml:space="preserve">Fondo, Reparaciones y Costas. </w:t>
      </w:r>
      <w:r>
        <w:rPr>
          <w:sz w:val="16"/>
        </w:rPr>
        <w:t>Sentencia de 22 de noviembre de 2007. Serie C No. 171, párr.</w:t>
      </w:r>
      <w:r>
        <w:rPr>
          <w:spacing w:val="-14"/>
          <w:sz w:val="16"/>
        </w:rPr>
        <w:t xml:space="preserve"> </w:t>
      </w:r>
      <w:r>
        <w:rPr>
          <w:sz w:val="16"/>
        </w:rPr>
        <w:t>119.</w:t>
      </w:r>
    </w:p>
    <w:p w14:paraId="697BC3F1" w14:textId="77777777" w:rsidR="00467FCA" w:rsidRDefault="001B68EB">
      <w:pPr>
        <w:tabs>
          <w:tab w:val="left" w:pos="839"/>
        </w:tabs>
        <w:ind w:left="120" w:right="112" w:hanging="1"/>
        <w:jc w:val="both"/>
        <w:rPr>
          <w:sz w:val="16"/>
        </w:rPr>
      </w:pPr>
      <w:bookmarkStart w:id="279" w:name="_bookmark240"/>
      <w:bookmarkEnd w:id="279"/>
      <w:r>
        <w:rPr>
          <w:position w:val="6"/>
          <w:sz w:val="10"/>
        </w:rPr>
        <w:t>202</w:t>
      </w:r>
      <w:r>
        <w:rPr>
          <w:position w:val="6"/>
          <w:sz w:val="10"/>
        </w:rPr>
        <w:tab/>
      </w:r>
      <w:r>
        <w:rPr>
          <w:sz w:val="16"/>
        </w:rPr>
        <w:t>De acuerdo con la Resolución de la Asamblea General de las Naciones Unidas sobre Responsabilidad del Estado por hechos internacionalmente il</w:t>
      </w:r>
      <w:r>
        <w:rPr>
          <w:sz w:val="16"/>
        </w:rPr>
        <w:t>ícitos, es posible atribuir responsabilidad al Estado cuando se trata de un comportamiento bajo su dirección o control. En ese sentido, el artículo 8º de la Resolución señala: “Se considerará hecho del Estado según el derecho internacional el comportamient</w:t>
      </w:r>
      <w:r>
        <w:rPr>
          <w:sz w:val="16"/>
        </w:rPr>
        <w:t>o de una persona o de un grupo de personas si esa</w:t>
      </w:r>
      <w:r>
        <w:rPr>
          <w:spacing w:val="-3"/>
          <w:sz w:val="16"/>
        </w:rPr>
        <w:t xml:space="preserve"> </w:t>
      </w:r>
      <w:r>
        <w:rPr>
          <w:sz w:val="16"/>
        </w:rPr>
        <w:t>persona</w:t>
      </w:r>
      <w:r>
        <w:rPr>
          <w:spacing w:val="-3"/>
          <w:sz w:val="16"/>
        </w:rPr>
        <w:t xml:space="preserve"> </w:t>
      </w:r>
      <w:r>
        <w:rPr>
          <w:sz w:val="16"/>
        </w:rPr>
        <w:t>o</w:t>
      </w:r>
      <w:r>
        <w:rPr>
          <w:spacing w:val="-2"/>
          <w:sz w:val="16"/>
        </w:rPr>
        <w:t xml:space="preserve"> </w:t>
      </w:r>
      <w:r>
        <w:rPr>
          <w:sz w:val="16"/>
        </w:rPr>
        <w:t>ese</w:t>
      </w:r>
      <w:r>
        <w:rPr>
          <w:spacing w:val="-2"/>
          <w:sz w:val="16"/>
        </w:rPr>
        <w:t xml:space="preserve"> </w:t>
      </w:r>
      <w:r>
        <w:rPr>
          <w:sz w:val="16"/>
        </w:rPr>
        <w:t>grupo</w:t>
      </w:r>
      <w:r>
        <w:rPr>
          <w:spacing w:val="-2"/>
          <w:sz w:val="16"/>
        </w:rPr>
        <w:t xml:space="preserve"> </w:t>
      </w:r>
      <w:r>
        <w:rPr>
          <w:sz w:val="16"/>
        </w:rPr>
        <w:t>de</w:t>
      </w:r>
      <w:r>
        <w:rPr>
          <w:spacing w:val="-5"/>
          <w:sz w:val="16"/>
        </w:rPr>
        <w:t xml:space="preserve"> </w:t>
      </w:r>
      <w:r>
        <w:rPr>
          <w:sz w:val="16"/>
        </w:rPr>
        <w:t>personas</w:t>
      </w:r>
      <w:r>
        <w:rPr>
          <w:spacing w:val="-2"/>
          <w:sz w:val="16"/>
        </w:rPr>
        <w:t xml:space="preserve"> </w:t>
      </w:r>
      <w:r>
        <w:rPr>
          <w:sz w:val="16"/>
        </w:rPr>
        <w:t>actúa</w:t>
      </w:r>
      <w:r>
        <w:rPr>
          <w:spacing w:val="-3"/>
          <w:sz w:val="16"/>
        </w:rPr>
        <w:t xml:space="preserve"> </w:t>
      </w:r>
      <w:r>
        <w:rPr>
          <w:sz w:val="16"/>
        </w:rPr>
        <w:t>de</w:t>
      </w:r>
      <w:r>
        <w:rPr>
          <w:spacing w:val="-2"/>
          <w:sz w:val="16"/>
        </w:rPr>
        <w:t xml:space="preserve"> </w:t>
      </w:r>
      <w:r>
        <w:rPr>
          <w:sz w:val="16"/>
        </w:rPr>
        <w:t>hecho</w:t>
      </w:r>
      <w:r>
        <w:rPr>
          <w:spacing w:val="-2"/>
          <w:sz w:val="16"/>
        </w:rPr>
        <w:t xml:space="preserve"> </w:t>
      </w:r>
      <w:r>
        <w:rPr>
          <w:sz w:val="16"/>
        </w:rPr>
        <w:t>por</w:t>
      </w:r>
      <w:r>
        <w:rPr>
          <w:spacing w:val="-2"/>
          <w:sz w:val="16"/>
        </w:rPr>
        <w:t xml:space="preserve"> </w:t>
      </w:r>
      <w:r>
        <w:rPr>
          <w:sz w:val="16"/>
        </w:rPr>
        <w:t>instrucciones</w:t>
      </w:r>
      <w:r>
        <w:rPr>
          <w:spacing w:val="-5"/>
          <w:sz w:val="16"/>
        </w:rPr>
        <w:t xml:space="preserve"> </w:t>
      </w:r>
      <w:r>
        <w:rPr>
          <w:sz w:val="16"/>
        </w:rPr>
        <w:t>o</w:t>
      </w:r>
      <w:r>
        <w:rPr>
          <w:spacing w:val="-1"/>
          <w:sz w:val="16"/>
        </w:rPr>
        <w:t xml:space="preserve"> </w:t>
      </w:r>
      <w:r>
        <w:rPr>
          <w:sz w:val="16"/>
        </w:rPr>
        <w:t>bajo</w:t>
      </w:r>
      <w:r>
        <w:rPr>
          <w:spacing w:val="-2"/>
          <w:sz w:val="16"/>
        </w:rPr>
        <w:t xml:space="preserve"> </w:t>
      </w:r>
      <w:r>
        <w:rPr>
          <w:sz w:val="16"/>
        </w:rPr>
        <w:t>la</w:t>
      </w:r>
      <w:r>
        <w:rPr>
          <w:spacing w:val="-3"/>
          <w:sz w:val="16"/>
        </w:rPr>
        <w:t xml:space="preserve"> </w:t>
      </w:r>
      <w:r>
        <w:rPr>
          <w:sz w:val="16"/>
        </w:rPr>
        <w:t>dirección</w:t>
      </w:r>
      <w:r>
        <w:rPr>
          <w:spacing w:val="-6"/>
          <w:sz w:val="16"/>
        </w:rPr>
        <w:t xml:space="preserve"> </w:t>
      </w:r>
      <w:r>
        <w:rPr>
          <w:sz w:val="16"/>
        </w:rPr>
        <w:t>o</w:t>
      </w:r>
      <w:r>
        <w:rPr>
          <w:spacing w:val="-2"/>
          <w:sz w:val="16"/>
        </w:rPr>
        <w:t xml:space="preserve"> </w:t>
      </w:r>
      <w:r>
        <w:rPr>
          <w:sz w:val="16"/>
        </w:rPr>
        <w:t>el</w:t>
      </w:r>
      <w:r>
        <w:rPr>
          <w:spacing w:val="-3"/>
          <w:sz w:val="16"/>
        </w:rPr>
        <w:t xml:space="preserve"> </w:t>
      </w:r>
      <w:r>
        <w:rPr>
          <w:sz w:val="16"/>
        </w:rPr>
        <w:t>control</w:t>
      </w:r>
      <w:r>
        <w:rPr>
          <w:spacing w:val="-4"/>
          <w:sz w:val="16"/>
        </w:rPr>
        <w:t xml:space="preserve"> </w:t>
      </w:r>
      <w:r>
        <w:rPr>
          <w:sz w:val="16"/>
        </w:rPr>
        <w:t>de</w:t>
      </w:r>
      <w:r>
        <w:rPr>
          <w:spacing w:val="-5"/>
          <w:sz w:val="16"/>
        </w:rPr>
        <w:t xml:space="preserve"> </w:t>
      </w:r>
      <w:r>
        <w:rPr>
          <w:sz w:val="16"/>
        </w:rPr>
        <w:t>ese</w:t>
      </w:r>
      <w:r>
        <w:rPr>
          <w:spacing w:val="-2"/>
          <w:sz w:val="16"/>
        </w:rPr>
        <w:t xml:space="preserve"> </w:t>
      </w:r>
      <w:r>
        <w:rPr>
          <w:sz w:val="16"/>
        </w:rPr>
        <w:t>Estado al</w:t>
      </w:r>
      <w:r>
        <w:rPr>
          <w:spacing w:val="-4"/>
          <w:sz w:val="16"/>
        </w:rPr>
        <w:t xml:space="preserve"> </w:t>
      </w:r>
      <w:r>
        <w:rPr>
          <w:sz w:val="16"/>
        </w:rPr>
        <w:t>observar</w:t>
      </w:r>
      <w:r>
        <w:rPr>
          <w:spacing w:val="-5"/>
          <w:sz w:val="16"/>
        </w:rPr>
        <w:t xml:space="preserve"> </w:t>
      </w:r>
      <w:r>
        <w:rPr>
          <w:sz w:val="16"/>
        </w:rPr>
        <w:t>ese</w:t>
      </w:r>
      <w:r>
        <w:rPr>
          <w:spacing w:val="-5"/>
          <w:sz w:val="16"/>
        </w:rPr>
        <w:t xml:space="preserve"> </w:t>
      </w:r>
      <w:r>
        <w:rPr>
          <w:sz w:val="16"/>
        </w:rPr>
        <w:t>comportamiento”.</w:t>
      </w:r>
      <w:r>
        <w:rPr>
          <w:spacing w:val="-3"/>
          <w:sz w:val="16"/>
        </w:rPr>
        <w:t xml:space="preserve"> </w:t>
      </w:r>
      <w:r>
        <w:rPr>
          <w:sz w:val="16"/>
        </w:rPr>
        <w:t>Asamblea</w:t>
      </w:r>
      <w:r>
        <w:rPr>
          <w:spacing w:val="-6"/>
          <w:sz w:val="16"/>
        </w:rPr>
        <w:t xml:space="preserve"> </w:t>
      </w:r>
      <w:r>
        <w:rPr>
          <w:sz w:val="16"/>
        </w:rPr>
        <w:t>General</w:t>
      </w:r>
      <w:r>
        <w:rPr>
          <w:spacing w:val="-6"/>
          <w:sz w:val="16"/>
        </w:rPr>
        <w:t xml:space="preserve"> </w:t>
      </w:r>
      <w:r>
        <w:rPr>
          <w:sz w:val="16"/>
        </w:rPr>
        <w:t>de</w:t>
      </w:r>
      <w:r>
        <w:rPr>
          <w:spacing w:val="-6"/>
          <w:sz w:val="16"/>
        </w:rPr>
        <w:t xml:space="preserve"> </w:t>
      </w:r>
      <w:r>
        <w:rPr>
          <w:sz w:val="16"/>
        </w:rPr>
        <w:t>las</w:t>
      </w:r>
      <w:r>
        <w:rPr>
          <w:spacing w:val="-5"/>
          <w:sz w:val="16"/>
        </w:rPr>
        <w:t xml:space="preserve"> </w:t>
      </w:r>
      <w:r>
        <w:rPr>
          <w:sz w:val="16"/>
        </w:rPr>
        <w:t>Naciones</w:t>
      </w:r>
      <w:r>
        <w:rPr>
          <w:spacing w:val="-6"/>
          <w:sz w:val="16"/>
        </w:rPr>
        <w:t xml:space="preserve"> </w:t>
      </w:r>
      <w:r>
        <w:rPr>
          <w:sz w:val="16"/>
        </w:rPr>
        <w:t>Unidas,</w:t>
      </w:r>
      <w:r>
        <w:rPr>
          <w:spacing w:val="-6"/>
          <w:sz w:val="16"/>
        </w:rPr>
        <w:t xml:space="preserve"> </w:t>
      </w:r>
      <w:r>
        <w:rPr>
          <w:i/>
          <w:sz w:val="16"/>
        </w:rPr>
        <w:t>Responsabilidad</w:t>
      </w:r>
      <w:r>
        <w:rPr>
          <w:i/>
          <w:spacing w:val="-5"/>
          <w:sz w:val="16"/>
        </w:rPr>
        <w:t xml:space="preserve"> </w:t>
      </w:r>
      <w:r>
        <w:rPr>
          <w:i/>
          <w:sz w:val="16"/>
        </w:rPr>
        <w:t>del</w:t>
      </w:r>
      <w:r>
        <w:rPr>
          <w:i/>
          <w:spacing w:val="-6"/>
          <w:sz w:val="16"/>
        </w:rPr>
        <w:t xml:space="preserve"> </w:t>
      </w:r>
      <w:r>
        <w:rPr>
          <w:i/>
          <w:sz w:val="16"/>
        </w:rPr>
        <w:t>Estado</w:t>
      </w:r>
      <w:r>
        <w:rPr>
          <w:i/>
          <w:spacing w:val="-5"/>
          <w:sz w:val="16"/>
        </w:rPr>
        <w:t xml:space="preserve"> </w:t>
      </w:r>
      <w:r>
        <w:rPr>
          <w:i/>
          <w:sz w:val="16"/>
        </w:rPr>
        <w:t>por</w:t>
      </w:r>
      <w:r>
        <w:rPr>
          <w:i/>
          <w:spacing w:val="-4"/>
          <w:sz w:val="16"/>
        </w:rPr>
        <w:t xml:space="preserve"> </w:t>
      </w:r>
      <w:r>
        <w:rPr>
          <w:i/>
          <w:sz w:val="16"/>
        </w:rPr>
        <w:t>hechos internacionalmente ilícitos</w:t>
      </w:r>
      <w:r>
        <w:rPr>
          <w:sz w:val="16"/>
        </w:rPr>
        <w:t>, 28 de enero de 2002, UN Doc. AG/56/83, artículo</w:t>
      </w:r>
      <w:r>
        <w:rPr>
          <w:spacing w:val="-13"/>
          <w:sz w:val="16"/>
        </w:rPr>
        <w:t xml:space="preserve"> </w:t>
      </w:r>
      <w:r>
        <w:rPr>
          <w:sz w:val="16"/>
        </w:rPr>
        <w:t>8.</w:t>
      </w:r>
    </w:p>
    <w:p w14:paraId="4C18EC10" w14:textId="77777777" w:rsidR="00467FCA" w:rsidRDefault="00467FCA">
      <w:pPr>
        <w:jc w:val="both"/>
        <w:rPr>
          <w:sz w:val="16"/>
        </w:rPr>
        <w:sectPr w:rsidR="00467FCA">
          <w:pgSz w:w="12240" w:h="15840"/>
          <w:pgMar w:top="1500" w:right="1320" w:bottom="1220" w:left="1320" w:header="0" w:footer="1037" w:gutter="0"/>
          <w:cols w:space="720"/>
        </w:sectPr>
      </w:pPr>
    </w:p>
    <w:p w14:paraId="7324F0C9" w14:textId="77777777" w:rsidR="00467FCA" w:rsidRDefault="001B68EB">
      <w:pPr>
        <w:pStyle w:val="Textoindependiente"/>
        <w:spacing w:before="80"/>
        <w:ind w:left="120"/>
      </w:pPr>
      <w:r>
        <w:t>su ejercicio, para prevenir la violación de los derechos de los individuos que allí trabajaban.</w:t>
      </w:r>
    </w:p>
    <w:p w14:paraId="6B363A17" w14:textId="77777777" w:rsidR="00467FCA" w:rsidRDefault="00467FCA">
      <w:pPr>
        <w:pStyle w:val="Textoindependiente"/>
        <w:spacing w:before="1"/>
      </w:pPr>
    </w:p>
    <w:p w14:paraId="1A5F73ED" w14:textId="77777777" w:rsidR="00467FCA" w:rsidRDefault="001B68EB">
      <w:pPr>
        <w:pStyle w:val="Prrafodelista"/>
        <w:numPr>
          <w:ilvl w:val="0"/>
          <w:numId w:val="50"/>
        </w:numPr>
        <w:tabs>
          <w:tab w:val="left" w:pos="687"/>
        </w:tabs>
        <w:ind w:right="118" w:firstLine="0"/>
        <w:jc w:val="both"/>
        <w:rPr>
          <w:sz w:val="20"/>
        </w:rPr>
      </w:pPr>
      <w:r>
        <w:rPr>
          <w:sz w:val="20"/>
        </w:rPr>
        <w:t>Conforme a lo anterior, la Corte pasa a establecer si es posible atribuir responsabilidad internacional al Estado por la violación de los derechos a la vida y la integridad personal de las presuntas víctimas fallecidas y sobrevivientes de la explosión de l</w:t>
      </w:r>
      <w:r>
        <w:rPr>
          <w:sz w:val="20"/>
        </w:rPr>
        <w:t>a fábrica de “Vardo de los</w:t>
      </w:r>
      <w:r>
        <w:rPr>
          <w:spacing w:val="-14"/>
          <w:sz w:val="20"/>
        </w:rPr>
        <w:t xml:space="preserve"> </w:t>
      </w:r>
      <w:r>
        <w:rPr>
          <w:sz w:val="20"/>
        </w:rPr>
        <w:t>fuegos”.</w:t>
      </w:r>
      <w:r>
        <w:rPr>
          <w:spacing w:val="-15"/>
          <w:sz w:val="20"/>
        </w:rPr>
        <w:t xml:space="preserve"> </w:t>
      </w:r>
      <w:r>
        <w:rPr>
          <w:sz w:val="20"/>
        </w:rPr>
        <w:t>Para</w:t>
      </w:r>
      <w:r>
        <w:rPr>
          <w:spacing w:val="-13"/>
          <w:sz w:val="20"/>
        </w:rPr>
        <w:t xml:space="preserve"> </w:t>
      </w:r>
      <w:r>
        <w:rPr>
          <w:sz w:val="20"/>
        </w:rPr>
        <w:t>ello,</w:t>
      </w:r>
      <w:r>
        <w:rPr>
          <w:spacing w:val="-15"/>
          <w:sz w:val="20"/>
        </w:rPr>
        <w:t xml:space="preserve"> </w:t>
      </w:r>
      <w:r>
        <w:rPr>
          <w:sz w:val="20"/>
        </w:rPr>
        <w:t>a</w:t>
      </w:r>
      <w:r>
        <w:rPr>
          <w:spacing w:val="-11"/>
          <w:sz w:val="20"/>
        </w:rPr>
        <w:t xml:space="preserve"> </w:t>
      </w:r>
      <w:r>
        <w:rPr>
          <w:sz w:val="20"/>
        </w:rPr>
        <w:t>continuación,</w:t>
      </w:r>
      <w:r>
        <w:rPr>
          <w:spacing w:val="-16"/>
          <w:sz w:val="20"/>
        </w:rPr>
        <w:t xml:space="preserve"> </w:t>
      </w:r>
      <w:r>
        <w:rPr>
          <w:sz w:val="20"/>
        </w:rPr>
        <w:t>(1)</w:t>
      </w:r>
      <w:r>
        <w:rPr>
          <w:spacing w:val="-12"/>
          <w:sz w:val="20"/>
        </w:rPr>
        <w:t xml:space="preserve"> </w:t>
      </w:r>
      <w:r>
        <w:rPr>
          <w:sz w:val="20"/>
        </w:rPr>
        <w:t>se</w:t>
      </w:r>
      <w:r>
        <w:rPr>
          <w:spacing w:val="-16"/>
          <w:sz w:val="20"/>
        </w:rPr>
        <w:t xml:space="preserve"> </w:t>
      </w:r>
      <w:r>
        <w:rPr>
          <w:sz w:val="20"/>
        </w:rPr>
        <w:t>hará</w:t>
      </w:r>
      <w:r>
        <w:rPr>
          <w:spacing w:val="-15"/>
          <w:sz w:val="20"/>
        </w:rPr>
        <w:t xml:space="preserve"> </w:t>
      </w:r>
      <w:r>
        <w:rPr>
          <w:sz w:val="20"/>
        </w:rPr>
        <w:t>referencia</w:t>
      </w:r>
      <w:r>
        <w:rPr>
          <w:spacing w:val="-12"/>
          <w:sz w:val="20"/>
        </w:rPr>
        <w:t xml:space="preserve"> </w:t>
      </w:r>
      <w:r>
        <w:rPr>
          <w:sz w:val="20"/>
        </w:rPr>
        <w:t>a</w:t>
      </w:r>
      <w:r>
        <w:rPr>
          <w:spacing w:val="-15"/>
          <w:sz w:val="20"/>
        </w:rPr>
        <w:t xml:space="preserve"> </w:t>
      </w:r>
      <w:r>
        <w:rPr>
          <w:sz w:val="20"/>
        </w:rPr>
        <w:t>la</w:t>
      </w:r>
      <w:r>
        <w:rPr>
          <w:spacing w:val="-12"/>
          <w:sz w:val="20"/>
        </w:rPr>
        <w:t xml:space="preserve"> </w:t>
      </w:r>
      <w:r>
        <w:rPr>
          <w:sz w:val="20"/>
        </w:rPr>
        <w:t>regulación</w:t>
      </w:r>
      <w:r>
        <w:rPr>
          <w:spacing w:val="-14"/>
          <w:sz w:val="20"/>
        </w:rPr>
        <w:t xml:space="preserve"> </w:t>
      </w:r>
      <w:r>
        <w:rPr>
          <w:sz w:val="20"/>
        </w:rPr>
        <w:t>que,</w:t>
      </w:r>
      <w:r>
        <w:rPr>
          <w:spacing w:val="-13"/>
          <w:sz w:val="20"/>
        </w:rPr>
        <w:t xml:space="preserve"> </w:t>
      </w:r>
      <w:r>
        <w:rPr>
          <w:sz w:val="20"/>
        </w:rPr>
        <w:t>para</w:t>
      </w:r>
      <w:r>
        <w:rPr>
          <w:spacing w:val="-15"/>
          <w:sz w:val="20"/>
        </w:rPr>
        <w:t xml:space="preserve"> </w:t>
      </w:r>
      <w:r>
        <w:rPr>
          <w:sz w:val="20"/>
        </w:rPr>
        <w:t>la</w:t>
      </w:r>
      <w:r>
        <w:rPr>
          <w:spacing w:val="-12"/>
          <w:sz w:val="20"/>
        </w:rPr>
        <w:t xml:space="preserve"> </w:t>
      </w:r>
      <w:r>
        <w:rPr>
          <w:sz w:val="20"/>
        </w:rPr>
        <w:t>época de los hechos, imponía al Estado el deber de fiscalizar el ejercicio de actividades peligrosas. Posteriormente,</w:t>
      </w:r>
      <w:r>
        <w:rPr>
          <w:spacing w:val="-17"/>
          <w:sz w:val="20"/>
        </w:rPr>
        <w:t xml:space="preserve"> </w:t>
      </w:r>
      <w:r>
        <w:rPr>
          <w:sz w:val="20"/>
        </w:rPr>
        <w:t>(2)</w:t>
      </w:r>
      <w:r>
        <w:rPr>
          <w:spacing w:val="-12"/>
          <w:sz w:val="20"/>
        </w:rPr>
        <w:t xml:space="preserve"> </w:t>
      </w:r>
      <w:r>
        <w:rPr>
          <w:sz w:val="20"/>
        </w:rPr>
        <w:t>se</w:t>
      </w:r>
      <w:r>
        <w:rPr>
          <w:spacing w:val="-14"/>
          <w:sz w:val="20"/>
        </w:rPr>
        <w:t xml:space="preserve"> </w:t>
      </w:r>
      <w:r>
        <w:rPr>
          <w:sz w:val="20"/>
        </w:rPr>
        <w:t>hará</w:t>
      </w:r>
      <w:r>
        <w:rPr>
          <w:spacing w:val="-13"/>
          <w:sz w:val="20"/>
        </w:rPr>
        <w:t xml:space="preserve"> </w:t>
      </w:r>
      <w:r>
        <w:rPr>
          <w:sz w:val="20"/>
        </w:rPr>
        <w:t>el</w:t>
      </w:r>
      <w:r>
        <w:rPr>
          <w:spacing w:val="-12"/>
          <w:sz w:val="20"/>
        </w:rPr>
        <w:t xml:space="preserve"> </w:t>
      </w:r>
      <w:r>
        <w:rPr>
          <w:sz w:val="20"/>
        </w:rPr>
        <w:t>análisis</w:t>
      </w:r>
      <w:r>
        <w:rPr>
          <w:spacing w:val="-13"/>
          <w:sz w:val="20"/>
        </w:rPr>
        <w:t xml:space="preserve"> </w:t>
      </w:r>
      <w:r>
        <w:rPr>
          <w:sz w:val="20"/>
        </w:rPr>
        <w:t>de</w:t>
      </w:r>
      <w:r>
        <w:rPr>
          <w:spacing w:val="-15"/>
          <w:sz w:val="20"/>
        </w:rPr>
        <w:t xml:space="preserve"> </w:t>
      </w:r>
      <w:r>
        <w:rPr>
          <w:sz w:val="20"/>
        </w:rPr>
        <w:t>la</w:t>
      </w:r>
      <w:r>
        <w:rPr>
          <w:spacing w:val="-13"/>
          <w:sz w:val="20"/>
        </w:rPr>
        <w:t xml:space="preserve"> </w:t>
      </w:r>
      <w:r>
        <w:rPr>
          <w:sz w:val="20"/>
        </w:rPr>
        <w:t>atribución</w:t>
      </w:r>
      <w:r>
        <w:rPr>
          <w:spacing w:val="-14"/>
          <w:sz w:val="20"/>
        </w:rPr>
        <w:t xml:space="preserve"> </w:t>
      </w:r>
      <w:r>
        <w:rPr>
          <w:sz w:val="20"/>
        </w:rPr>
        <w:t>de</w:t>
      </w:r>
      <w:r>
        <w:rPr>
          <w:spacing w:val="-15"/>
          <w:sz w:val="20"/>
        </w:rPr>
        <w:t xml:space="preserve"> </w:t>
      </w:r>
      <w:r>
        <w:rPr>
          <w:sz w:val="20"/>
        </w:rPr>
        <w:t>responsabilidad</w:t>
      </w:r>
      <w:r>
        <w:rPr>
          <w:spacing w:val="-15"/>
          <w:sz w:val="20"/>
        </w:rPr>
        <w:t xml:space="preserve"> </w:t>
      </w:r>
      <w:r>
        <w:rPr>
          <w:sz w:val="20"/>
        </w:rPr>
        <w:t>en</w:t>
      </w:r>
      <w:r>
        <w:rPr>
          <w:spacing w:val="-9"/>
          <w:sz w:val="20"/>
        </w:rPr>
        <w:t xml:space="preserve"> </w:t>
      </w:r>
      <w:r>
        <w:rPr>
          <w:sz w:val="20"/>
        </w:rPr>
        <w:t>el</w:t>
      </w:r>
      <w:r>
        <w:rPr>
          <w:spacing w:val="-13"/>
          <w:sz w:val="20"/>
        </w:rPr>
        <w:t xml:space="preserve"> </w:t>
      </w:r>
      <w:r>
        <w:rPr>
          <w:sz w:val="20"/>
        </w:rPr>
        <w:t>caso</w:t>
      </w:r>
      <w:r>
        <w:rPr>
          <w:spacing w:val="-14"/>
          <w:sz w:val="20"/>
        </w:rPr>
        <w:t xml:space="preserve"> </w:t>
      </w:r>
      <w:r>
        <w:rPr>
          <w:sz w:val="20"/>
        </w:rPr>
        <w:t>concreto. En ese apartado, el Tribunal procederá a establecer si Brasil omitió sus obligaciones en materia</w:t>
      </w:r>
      <w:r>
        <w:rPr>
          <w:spacing w:val="-7"/>
          <w:sz w:val="20"/>
        </w:rPr>
        <w:t xml:space="preserve"> </w:t>
      </w:r>
      <w:r>
        <w:rPr>
          <w:sz w:val="20"/>
        </w:rPr>
        <w:t>de</w:t>
      </w:r>
      <w:r>
        <w:rPr>
          <w:spacing w:val="-8"/>
          <w:sz w:val="20"/>
        </w:rPr>
        <w:t xml:space="preserve"> </w:t>
      </w:r>
      <w:r>
        <w:rPr>
          <w:sz w:val="20"/>
        </w:rPr>
        <w:t>regulación,</w:t>
      </w:r>
      <w:r>
        <w:rPr>
          <w:spacing w:val="-5"/>
          <w:sz w:val="20"/>
        </w:rPr>
        <w:t xml:space="preserve"> </w:t>
      </w:r>
      <w:r>
        <w:rPr>
          <w:sz w:val="20"/>
        </w:rPr>
        <w:t>supervisión</w:t>
      </w:r>
      <w:r>
        <w:rPr>
          <w:spacing w:val="-5"/>
          <w:sz w:val="20"/>
        </w:rPr>
        <w:t xml:space="preserve"> </w:t>
      </w:r>
      <w:r>
        <w:rPr>
          <w:sz w:val="20"/>
        </w:rPr>
        <w:t>y</w:t>
      </w:r>
      <w:r>
        <w:rPr>
          <w:spacing w:val="-8"/>
          <w:sz w:val="20"/>
        </w:rPr>
        <w:t xml:space="preserve"> </w:t>
      </w:r>
      <w:r>
        <w:rPr>
          <w:sz w:val="20"/>
        </w:rPr>
        <w:t>fiscalización</w:t>
      </w:r>
      <w:r>
        <w:rPr>
          <w:spacing w:val="-5"/>
          <w:sz w:val="20"/>
        </w:rPr>
        <w:t xml:space="preserve"> </w:t>
      </w:r>
      <w:r>
        <w:rPr>
          <w:sz w:val="20"/>
        </w:rPr>
        <w:t>del</w:t>
      </w:r>
      <w:r>
        <w:rPr>
          <w:spacing w:val="-6"/>
          <w:sz w:val="20"/>
        </w:rPr>
        <w:t xml:space="preserve"> </w:t>
      </w:r>
      <w:r>
        <w:rPr>
          <w:sz w:val="20"/>
        </w:rPr>
        <w:t>ejercicio</w:t>
      </w:r>
      <w:r>
        <w:rPr>
          <w:spacing w:val="-8"/>
          <w:sz w:val="20"/>
        </w:rPr>
        <w:t xml:space="preserve"> </w:t>
      </w:r>
      <w:r>
        <w:rPr>
          <w:sz w:val="20"/>
        </w:rPr>
        <w:t>de</w:t>
      </w:r>
      <w:r>
        <w:rPr>
          <w:spacing w:val="-8"/>
          <w:sz w:val="20"/>
        </w:rPr>
        <w:t xml:space="preserve"> </w:t>
      </w:r>
      <w:r>
        <w:rPr>
          <w:sz w:val="20"/>
        </w:rPr>
        <w:t>una</w:t>
      </w:r>
      <w:r>
        <w:rPr>
          <w:spacing w:val="-7"/>
          <w:sz w:val="20"/>
        </w:rPr>
        <w:t xml:space="preserve"> </w:t>
      </w:r>
      <w:r>
        <w:rPr>
          <w:sz w:val="20"/>
        </w:rPr>
        <w:t>actividad</w:t>
      </w:r>
      <w:r>
        <w:rPr>
          <w:spacing w:val="-6"/>
          <w:sz w:val="20"/>
        </w:rPr>
        <w:t xml:space="preserve"> </w:t>
      </w:r>
      <w:r>
        <w:rPr>
          <w:sz w:val="20"/>
        </w:rPr>
        <w:t>peligrosa,</w:t>
      </w:r>
      <w:r>
        <w:rPr>
          <w:spacing w:val="-7"/>
          <w:sz w:val="20"/>
        </w:rPr>
        <w:t xml:space="preserve"> </w:t>
      </w:r>
      <w:r>
        <w:rPr>
          <w:sz w:val="20"/>
        </w:rPr>
        <w:t>y</w:t>
      </w:r>
      <w:r>
        <w:rPr>
          <w:spacing w:val="-7"/>
          <w:sz w:val="20"/>
        </w:rPr>
        <w:t xml:space="preserve"> </w:t>
      </w:r>
      <w:r>
        <w:rPr>
          <w:sz w:val="20"/>
        </w:rPr>
        <w:t>si esa conducta omisiva tuvo un impacto en la violación de los derechos a la vida e integridad personal en el caso</w:t>
      </w:r>
      <w:r>
        <w:rPr>
          <w:spacing w:val="3"/>
          <w:sz w:val="20"/>
        </w:rPr>
        <w:t xml:space="preserve"> </w:t>
      </w:r>
      <w:r>
        <w:rPr>
          <w:sz w:val="20"/>
        </w:rPr>
        <w:t>concreto.</w:t>
      </w:r>
    </w:p>
    <w:p w14:paraId="5AEF1068" w14:textId="77777777" w:rsidR="00467FCA" w:rsidRDefault="00467FCA">
      <w:pPr>
        <w:pStyle w:val="Textoindependiente"/>
      </w:pPr>
    </w:p>
    <w:p w14:paraId="2055404C" w14:textId="77777777" w:rsidR="00467FCA" w:rsidRDefault="001B68EB">
      <w:pPr>
        <w:pStyle w:val="Prrafodelista"/>
        <w:numPr>
          <w:ilvl w:val="0"/>
          <w:numId w:val="50"/>
        </w:numPr>
        <w:tabs>
          <w:tab w:val="left" w:pos="687"/>
        </w:tabs>
        <w:ind w:right="116" w:firstLine="0"/>
        <w:jc w:val="both"/>
        <w:rPr>
          <w:sz w:val="20"/>
        </w:rPr>
      </w:pPr>
      <w:r>
        <w:rPr>
          <w:sz w:val="20"/>
        </w:rPr>
        <w:t xml:space="preserve">Finalmente, es necesario señalar que Brasil reconoció la competencia contenciosa de la Corte Interamericana el 10 de diciembre de </w:t>
      </w:r>
      <w:r>
        <w:rPr>
          <w:sz w:val="20"/>
        </w:rPr>
        <w:t>1998 (</w:t>
      </w:r>
      <w:r>
        <w:rPr>
          <w:i/>
          <w:sz w:val="20"/>
        </w:rPr>
        <w:t xml:space="preserve">supra </w:t>
      </w:r>
      <w:r>
        <w:rPr>
          <w:sz w:val="20"/>
        </w:rPr>
        <w:t>párr. 15), es decir un día antes de la explosión de la fábrica de fuegos a la que se refiere este caso. No obstante, Brasil había adherido</w:t>
      </w:r>
      <w:r>
        <w:rPr>
          <w:spacing w:val="-8"/>
          <w:sz w:val="20"/>
        </w:rPr>
        <w:t xml:space="preserve"> </w:t>
      </w:r>
      <w:r>
        <w:rPr>
          <w:sz w:val="20"/>
        </w:rPr>
        <w:t>a</w:t>
      </w:r>
      <w:r>
        <w:rPr>
          <w:spacing w:val="-5"/>
          <w:sz w:val="20"/>
        </w:rPr>
        <w:t xml:space="preserve"> </w:t>
      </w:r>
      <w:r>
        <w:rPr>
          <w:sz w:val="20"/>
        </w:rPr>
        <w:t>la</w:t>
      </w:r>
      <w:r>
        <w:rPr>
          <w:spacing w:val="-5"/>
          <w:sz w:val="20"/>
        </w:rPr>
        <w:t xml:space="preserve"> </w:t>
      </w:r>
      <w:r>
        <w:rPr>
          <w:sz w:val="20"/>
        </w:rPr>
        <w:t>Convención</w:t>
      </w:r>
      <w:r>
        <w:rPr>
          <w:spacing w:val="-4"/>
          <w:sz w:val="20"/>
        </w:rPr>
        <w:t xml:space="preserve"> </w:t>
      </w:r>
      <w:r>
        <w:rPr>
          <w:sz w:val="20"/>
        </w:rPr>
        <w:t>Americana</w:t>
      </w:r>
      <w:r>
        <w:rPr>
          <w:spacing w:val="-3"/>
          <w:sz w:val="20"/>
        </w:rPr>
        <w:t xml:space="preserve"> </w:t>
      </w:r>
      <w:r>
        <w:rPr>
          <w:sz w:val="20"/>
        </w:rPr>
        <w:t>el</w:t>
      </w:r>
      <w:r>
        <w:rPr>
          <w:spacing w:val="-5"/>
          <w:sz w:val="20"/>
        </w:rPr>
        <w:t xml:space="preserve"> </w:t>
      </w:r>
      <w:r>
        <w:rPr>
          <w:sz w:val="20"/>
        </w:rPr>
        <w:t>25</w:t>
      </w:r>
      <w:r>
        <w:rPr>
          <w:spacing w:val="-5"/>
          <w:sz w:val="20"/>
        </w:rPr>
        <w:t xml:space="preserve"> </w:t>
      </w:r>
      <w:r>
        <w:rPr>
          <w:sz w:val="20"/>
        </w:rPr>
        <w:t>de</w:t>
      </w:r>
      <w:r>
        <w:rPr>
          <w:spacing w:val="-7"/>
          <w:sz w:val="20"/>
        </w:rPr>
        <w:t xml:space="preserve"> </w:t>
      </w:r>
      <w:r>
        <w:rPr>
          <w:sz w:val="20"/>
        </w:rPr>
        <w:t>septiembre</w:t>
      </w:r>
      <w:r>
        <w:rPr>
          <w:spacing w:val="-7"/>
          <w:sz w:val="20"/>
        </w:rPr>
        <w:t xml:space="preserve"> </w:t>
      </w:r>
      <w:r>
        <w:rPr>
          <w:sz w:val="20"/>
        </w:rPr>
        <w:t>de</w:t>
      </w:r>
      <w:r>
        <w:rPr>
          <w:spacing w:val="-7"/>
          <w:sz w:val="20"/>
        </w:rPr>
        <w:t xml:space="preserve"> </w:t>
      </w:r>
      <w:r>
        <w:rPr>
          <w:sz w:val="20"/>
        </w:rPr>
        <w:t>1992,</w:t>
      </w:r>
      <w:r>
        <w:rPr>
          <w:spacing w:val="-6"/>
          <w:sz w:val="20"/>
        </w:rPr>
        <w:t xml:space="preserve"> </w:t>
      </w:r>
      <w:r>
        <w:rPr>
          <w:sz w:val="20"/>
        </w:rPr>
        <w:t>fecha</w:t>
      </w:r>
      <w:r>
        <w:rPr>
          <w:spacing w:val="-6"/>
          <w:sz w:val="20"/>
        </w:rPr>
        <w:t xml:space="preserve"> </w:t>
      </w:r>
      <w:r>
        <w:rPr>
          <w:sz w:val="20"/>
        </w:rPr>
        <w:t>a</w:t>
      </w:r>
      <w:r>
        <w:rPr>
          <w:spacing w:val="-5"/>
          <w:sz w:val="20"/>
        </w:rPr>
        <w:t xml:space="preserve"> </w:t>
      </w:r>
      <w:r>
        <w:rPr>
          <w:sz w:val="20"/>
        </w:rPr>
        <w:t>partir</w:t>
      </w:r>
      <w:r>
        <w:rPr>
          <w:spacing w:val="-7"/>
          <w:sz w:val="20"/>
        </w:rPr>
        <w:t xml:space="preserve"> </w:t>
      </w:r>
      <w:r>
        <w:rPr>
          <w:sz w:val="20"/>
        </w:rPr>
        <w:t>de</w:t>
      </w:r>
      <w:r>
        <w:rPr>
          <w:spacing w:val="-7"/>
          <w:sz w:val="20"/>
        </w:rPr>
        <w:t xml:space="preserve"> </w:t>
      </w:r>
      <w:r>
        <w:rPr>
          <w:sz w:val="20"/>
        </w:rPr>
        <w:t>la</w:t>
      </w:r>
      <w:r>
        <w:rPr>
          <w:spacing w:val="-5"/>
          <w:sz w:val="20"/>
        </w:rPr>
        <w:t xml:space="preserve"> </w:t>
      </w:r>
      <w:r>
        <w:rPr>
          <w:sz w:val="20"/>
        </w:rPr>
        <w:t>cual</w:t>
      </w:r>
      <w:r>
        <w:rPr>
          <w:spacing w:val="-5"/>
          <w:sz w:val="20"/>
        </w:rPr>
        <w:t xml:space="preserve"> </w:t>
      </w:r>
      <w:r>
        <w:rPr>
          <w:sz w:val="20"/>
        </w:rPr>
        <w:t xml:space="preserve">la Convención comenzó a </w:t>
      </w:r>
      <w:r>
        <w:rPr>
          <w:sz w:val="20"/>
        </w:rPr>
        <w:t>tener efectos respecto del Estado brasileño y a partir de la cual son exigibles las obligaciones del</w:t>
      </w:r>
      <w:r>
        <w:rPr>
          <w:spacing w:val="-2"/>
          <w:sz w:val="20"/>
        </w:rPr>
        <w:t xml:space="preserve"> </w:t>
      </w:r>
      <w:r>
        <w:rPr>
          <w:sz w:val="20"/>
        </w:rPr>
        <w:t>Estado.</w:t>
      </w:r>
    </w:p>
    <w:p w14:paraId="01906746" w14:textId="77777777" w:rsidR="00467FCA" w:rsidRDefault="00467FCA">
      <w:pPr>
        <w:pStyle w:val="Textoindependiente"/>
        <w:spacing w:before="1"/>
      </w:pPr>
    </w:p>
    <w:p w14:paraId="1BD69CBB" w14:textId="77777777" w:rsidR="00467FCA" w:rsidRDefault="001B68EB">
      <w:pPr>
        <w:pStyle w:val="Ttulo2"/>
        <w:numPr>
          <w:ilvl w:val="3"/>
          <w:numId w:val="42"/>
        </w:numPr>
        <w:tabs>
          <w:tab w:val="left" w:pos="1561"/>
        </w:tabs>
        <w:jc w:val="both"/>
      </w:pPr>
      <w:bookmarkStart w:id="280" w:name="B.1__Regulación_de_la_fabricación_de_fue"/>
      <w:bookmarkStart w:id="281" w:name="_bookmark241"/>
      <w:bookmarkEnd w:id="280"/>
      <w:bookmarkEnd w:id="281"/>
      <w:r>
        <w:t>Regulación de la fabricación de fuegos artificiales en</w:t>
      </w:r>
      <w:r>
        <w:rPr>
          <w:spacing w:val="-9"/>
        </w:rPr>
        <w:t xml:space="preserve"> </w:t>
      </w:r>
      <w:r>
        <w:t>Brasil</w:t>
      </w:r>
    </w:p>
    <w:p w14:paraId="13478389" w14:textId="77777777" w:rsidR="00467FCA" w:rsidRDefault="00467FCA">
      <w:pPr>
        <w:pStyle w:val="Textoindependiente"/>
        <w:spacing w:before="10"/>
        <w:rPr>
          <w:b/>
          <w:i/>
          <w:sz w:val="19"/>
        </w:rPr>
      </w:pPr>
    </w:p>
    <w:p w14:paraId="398DD654" w14:textId="77777777" w:rsidR="00467FCA" w:rsidRDefault="001B68EB">
      <w:pPr>
        <w:pStyle w:val="Prrafodelista"/>
        <w:numPr>
          <w:ilvl w:val="0"/>
          <w:numId w:val="50"/>
        </w:numPr>
        <w:tabs>
          <w:tab w:val="left" w:pos="687"/>
        </w:tabs>
        <w:spacing w:before="1"/>
        <w:ind w:left="119" w:right="118" w:firstLine="0"/>
        <w:jc w:val="both"/>
        <w:rPr>
          <w:sz w:val="20"/>
        </w:rPr>
      </w:pPr>
      <w:r>
        <w:rPr>
          <w:sz w:val="20"/>
        </w:rPr>
        <w:t xml:space="preserve">Brasil, para la fecha de la explosión de la fábrica de fuegos, contaba con regulación federal y estatal que catalogaba la fabricación de fuegos artificiales como una actividad peligrosa y que imponía el deber de fiscalizar dicha actividad. Así, el Decreto </w:t>
      </w:r>
      <w:r>
        <w:rPr>
          <w:sz w:val="20"/>
        </w:rPr>
        <w:t>número 55.649 de 28 de enero de 1965 disponía, en su artículo 11</w:t>
      </w:r>
      <w:hyperlink w:anchor="_bookmark242" w:history="1">
        <w:r>
          <w:rPr>
            <w:position w:val="7"/>
            <w:sz w:val="13"/>
          </w:rPr>
          <w:t>203</w:t>
        </w:r>
      </w:hyperlink>
      <w:r>
        <w:rPr>
          <w:sz w:val="20"/>
        </w:rPr>
        <w:t>, que era responsabilidad del Ministerio de la Guerra autorizar la producción y fiscalizar el comercio de productos controlados, incluidos los fuegos artificiales, y que esta tarea, conforme al artículo 4 de la misma legislación, podría ser delegada a otro</w:t>
      </w:r>
      <w:r>
        <w:rPr>
          <w:sz w:val="20"/>
        </w:rPr>
        <w:t>s órganos del Gobierno Federal, los estados o los municipios mediante</w:t>
      </w:r>
      <w:r>
        <w:rPr>
          <w:spacing w:val="-5"/>
          <w:sz w:val="20"/>
        </w:rPr>
        <w:t xml:space="preserve"> </w:t>
      </w:r>
      <w:r>
        <w:rPr>
          <w:sz w:val="20"/>
        </w:rPr>
        <w:t>convenio.</w:t>
      </w:r>
    </w:p>
    <w:p w14:paraId="11643583" w14:textId="77777777" w:rsidR="00467FCA" w:rsidRDefault="00467FCA">
      <w:pPr>
        <w:pStyle w:val="Textoindependiente"/>
      </w:pPr>
    </w:p>
    <w:p w14:paraId="4C65AE6B" w14:textId="77777777" w:rsidR="00467FCA" w:rsidRDefault="001B68EB">
      <w:pPr>
        <w:pStyle w:val="Prrafodelista"/>
        <w:numPr>
          <w:ilvl w:val="0"/>
          <w:numId w:val="50"/>
        </w:numPr>
        <w:tabs>
          <w:tab w:val="left" w:pos="687"/>
        </w:tabs>
        <w:ind w:left="119" w:right="119" w:firstLine="0"/>
        <w:jc w:val="both"/>
        <w:rPr>
          <w:sz w:val="20"/>
        </w:rPr>
      </w:pPr>
      <w:r>
        <w:rPr>
          <w:sz w:val="20"/>
        </w:rPr>
        <w:t>El mencionado Decreto establecía, además, que el registro era una medida obligatoria y</w:t>
      </w:r>
      <w:r>
        <w:rPr>
          <w:spacing w:val="-18"/>
          <w:sz w:val="20"/>
        </w:rPr>
        <w:t xml:space="preserve"> </w:t>
      </w:r>
      <w:r>
        <w:rPr>
          <w:sz w:val="20"/>
        </w:rPr>
        <w:t>general</w:t>
      </w:r>
      <w:r>
        <w:rPr>
          <w:spacing w:val="-17"/>
          <w:sz w:val="20"/>
        </w:rPr>
        <w:t xml:space="preserve"> </w:t>
      </w:r>
      <w:r>
        <w:rPr>
          <w:sz w:val="20"/>
        </w:rPr>
        <w:t>para</w:t>
      </w:r>
      <w:r>
        <w:rPr>
          <w:spacing w:val="-17"/>
          <w:sz w:val="20"/>
        </w:rPr>
        <w:t xml:space="preserve"> </w:t>
      </w:r>
      <w:r>
        <w:rPr>
          <w:sz w:val="20"/>
        </w:rPr>
        <w:t>las</w:t>
      </w:r>
      <w:r>
        <w:rPr>
          <w:spacing w:val="-16"/>
          <w:sz w:val="20"/>
        </w:rPr>
        <w:t xml:space="preserve"> </w:t>
      </w:r>
      <w:r>
        <w:rPr>
          <w:sz w:val="20"/>
        </w:rPr>
        <w:t>empresas</w:t>
      </w:r>
      <w:r>
        <w:rPr>
          <w:spacing w:val="-17"/>
          <w:sz w:val="20"/>
        </w:rPr>
        <w:t xml:space="preserve"> </w:t>
      </w:r>
      <w:r>
        <w:rPr>
          <w:sz w:val="20"/>
        </w:rPr>
        <w:t>que</w:t>
      </w:r>
      <w:r>
        <w:rPr>
          <w:spacing w:val="-19"/>
          <w:sz w:val="20"/>
        </w:rPr>
        <w:t xml:space="preserve"> </w:t>
      </w:r>
      <w:r>
        <w:rPr>
          <w:sz w:val="20"/>
        </w:rPr>
        <w:t>producían,</w:t>
      </w:r>
      <w:r>
        <w:rPr>
          <w:spacing w:val="-16"/>
          <w:sz w:val="20"/>
        </w:rPr>
        <w:t xml:space="preserve"> </w:t>
      </w:r>
      <w:r>
        <w:rPr>
          <w:sz w:val="20"/>
        </w:rPr>
        <w:t>entre</w:t>
      </w:r>
      <w:r>
        <w:rPr>
          <w:spacing w:val="-19"/>
          <w:sz w:val="20"/>
        </w:rPr>
        <w:t xml:space="preserve"> </w:t>
      </w:r>
      <w:r>
        <w:rPr>
          <w:sz w:val="20"/>
        </w:rPr>
        <w:t>otros,</w:t>
      </w:r>
      <w:r>
        <w:rPr>
          <w:spacing w:val="-16"/>
          <w:sz w:val="20"/>
        </w:rPr>
        <w:t xml:space="preserve"> </w:t>
      </w:r>
      <w:r>
        <w:rPr>
          <w:sz w:val="20"/>
        </w:rPr>
        <w:t>fuegos</w:t>
      </w:r>
      <w:r>
        <w:rPr>
          <w:spacing w:val="-17"/>
          <w:sz w:val="20"/>
        </w:rPr>
        <w:t xml:space="preserve"> </w:t>
      </w:r>
      <w:r>
        <w:rPr>
          <w:sz w:val="20"/>
        </w:rPr>
        <w:t>artificiales</w:t>
      </w:r>
      <w:r>
        <w:rPr>
          <w:spacing w:val="-18"/>
          <w:sz w:val="20"/>
        </w:rPr>
        <w:t xml:space="preserve"> </w:t>
      </w:r>
      <w:r>
        <w:rPr>
          <w:sz w:val="20"/>
        </w:rPr>
        <w:t>y</w:t>
      </w:r>
      <w:r>
        <w:rPr>
          <w:spacing w:val="-18"/>
          <w:sz w:val="20"/>
        </w:rPr>
        <w:t xml:space="preserve"> </w:t>
      </w:r>
      <w:r>
        <w:rPr>
          <w:sz w:val="20"/>
        </w:rPr>
        <w:t>que</w:t>
      </w:r>
      <w:r>
        <w:rPr>
          <w:spacing w:val="-16"/>
          <w:sz w:val="20"/>
        </w:rPr>
        <w:t xml:space="preserve"> </w:t>
      </w:r>
      <w:r>
        <w:rPr>
          <w:sz w:val="20"/>
        </w:rPr>
        <w:t>el</w:t>
      </w:r>
      <w:r>
        <w:rPr>
          <w:spacing w:val="-17"/>
          <w:sz w:val="20"/>
        </w:rPr>
        <w:t xml:space="preserve"> </w:t>
      </w:r>
      <w:r>
        <w:rPr>
          <w:sz w:val="20"/>
        </w:rPr>
        <w:t>docum</w:t>
      </w:r>
      <w:r>
        <w:rPr>
          <w:sz w:val="20"/>
        </w:rPr>
        <w:t>ento que</w:t>
      </w:r>
      <w:r>
        <w:rPr>
          <w:spacing w:val="-5"/>
          <w:sz w:val="20"/>
        </w:rPr>
        <w:t xml:space="preserve"> </w:t>
      </w:r>
      <w:r>
        <w:rPr>
          <w:sz w:val="20"/>
        </w:rPr>
        <w:t>las</w:t>
      </w:r>
      <w:r>
        <w:rPr>
          <w:spacing w:val="-4"/>
          <w:sz w:val="20"/>
        </w:rPr>
        <w:t xml:space="preserve"> </w:t>
      </w:r>
      <w:r>
        <w:rPr>
          <w:sz w:val="20"/>
        </w:rPr>
        <w:t>habilita</w:t>
      </w:r>
      <w:r>
        <w:rPr>
          <w:spacing w:val="-4"/>
          <w:sz w:val="20"/>
        </w:rPr>
        <w:t xml:space="preserve"> </w:t>
      </w:r>
      <w:r>
        <w:rPr>
          <w:sz w:val="20"/>
        </w:rPr>
        <w:t>para</w:t>
      </w:r>
      <w:r>
        <w:rPr>
          <w:spacing w:val="-3"/>
          <w:sz w:val="20"/>
        </w:rPr>
        <w:t xml:space="preserve"> </w:t>
      </w:r>
      <w:r>
        <w:rPr>
          <w:sz w:val="20"/>
        </w:rPr>
        <w:t>su</w:t>
      </w:r>
      <w:r>
        <w:rPr>
          <w:spacing w:val="-3"/>
          <w:sz w:val="20"/>
        </w:rPr>
        <w:t xml:space="preserve"> </w:t>
      </w:r>
      <w:r>
        <w:rPr>
          <w:sz w:val="20"/>
        </w:rPr>
        <w:t>funcionamiento</w:t>
      </w:r>
      <w:r>
        <w:rPr>
          <w:spacing w:val="-2"/>
          <w:sz w:val="20"/>
        </w:rPr>
        <w:t xml:space="preserve"> </w:t>
      </w:r>
      <w:r>
        <w:rPr>
          <w:sz w:val="20"/>
        </w:rPr>
        <w:t>es</w:t>
      </w:r>
      <w:r>
        <w:rPr>
          <w:spacing w:val="-2"/>
          <w:sz w:val="20"/>
        </w:rPr>
        <w:t xml:space="preserve"> </w:t>
      </w:r>
      <w:r>
        <w:rPr>
          <w:sz w:val="20"/>
        </w:rPr>
        <w:t>el</w:t>
      </w:r>
      <w:r>
        <w:rPr>
          <w:spacing w:val="-3"/>
          <w:sz w:val="20"/>
        </w:rPr>
        <w:t xml:space="preserve"> </w:t>
      </w:r>
      <w:r>
        <w:rPr>
          <w:sz w:val="20"/>
        </w:rPr>
        <w:t>llamado</w:t>
      </w:r>
      <w:r>
        <w:rPr>
          <w:spacing w:val="-5"/>
          <w:sz w:val="20"/>
        </w:rPr>
        <w:t xml:space="preserve"> </w:t>
      </w:r>
      <w:r>
        <w:rPr>
          <w:sz w:val="20"/>
        </w:rPr>
        <w:t>“Título</w:t>
      </w:r>
      <w:r>
        <w:rPr>
          <w:spacing w:val="-4"/>
          <w:sz w:val="20"/>
        </w:rPr>
        <w:t xml:space="preserve"> </w:t>
      </w:r>
      <w:r>
        <w:rPr>
          <w:sz w:val="20"/>
        </w:rPr>
        <w:t>de</w:t>
      </w:r>
      <w:r>
        <w:rPr>
          <w:spacing w:val="-4"/>
          <w:sz w:val="20"/>
        </w:rPr>
        <w:t xml:space="preserve"> </w:t>
      </w:r>
      <w:r>
        <w:rPr>
          <w:sz w:val="20"/>
        </w:rPr>
        <w:t>Registro”,</w:t>
      </w:r>
      <w:r>
        <w:rPr>
          <w:spacing w:val="-5"/>
          <w:sz w:val="20"/>
        </w:rPr>
        <w:t xml:space="preserve"> </w:t>
      </w:r>
      <w:r>
        <w:rPr>
          <w:sz w:val="20"/>
        </w:rPr>
        <w:t>cuya</w:t>
      </w:r>
      <w:r>
        <w:rPr>
          <w:spacing w:val="-3"/>
          <w:sz w:val="20"/>
        </w:rPr>
        <w:t xml:space="preserve"> </w:t>
      </w:r>
      <w:r>
        <w:rPr>
          <w:sz w:val="20"/>
        </w:rPr>
        <w:t>validez</w:t>
      </w:r>
      <w:r>
        <w:rPr>
          <w:spacing w:val="-3"/>
          <w:sz w:val="20"/>
        </w:rPr>
        <w:t xml:space="preserve"> </w:t>
      </w:r>
      <w:r>
        <w:rPr>
          <w:sz w:val="20"/>
        </w:rPr>
        <w:t>es</w:t>
      </w:r>
      <w:r>
        <w:rPr>
          <w:spacing w:val="-4"/>
          <w:sz w:val="20"/>
        </w:rPr>
        <w:t xml:space="preserve"> </w:t>
      </w:r>
      <w:r>
        <w:rPr>
          <w:sz w:val="20"/>
        </w:rPr>
        <w:t>de tres</w:t>
      </w:r>
      <w:r>
        <w:rPr>
          <w:spacing w:val="1"/>
          <w:sz w:val="20"/>
        </w:rPr>
        <w:t xml:space="preserve"> </w:t>
      </w:r>
      <w:r>
        <w:rPr>
          <w:sz w:val="20"/>
        </w:rPr>
        <w:t>años</w:t>
      </w:r>
      <w:hyperlink w:anchor="_bookmark243" w:history="1">
        <w:r>
          <w:rPr>
            <w:position w:val="7"/>
            <w:sz w:val="13"/>
          </w:rPr>
          <w:t>204</w:t>
        </w:r>
      </w:hyperlink>
      <w:r>
        <w:rPr>
          <w:sz w:val="20"/>
        </w:rPr>
        <w:t>.</w:t>
      </w:r>
    </w:p>
    <w:p w14:paraId="73E111D0" w14:textId="77777777" w:rsidR="00467FCA" w:rsidRDefault="00467FCA">
      <w:pPr>
        <w:pStyle w:val="Textoindependiente"/>
        <w:spacing w:before="11"/>
        <w:rPr>
          <w:sz w:val="19"/>
        </w:rPr>
      </w:pPr>
    </w:p>
    <w:p w14:paraId="1C755BB1" w14:textId="77777777" w:rsidR="00467FCA" w:rsidRDefault="001B68EB">
      <w:pPr>
        <w:pStyle w:val="Prrafodelista"/>
        <w:numPr>
          <w:ilvl w:val="0"/>
          <w:numId w:val="50"/>
        </w:numPr>
        <w:tabs>
          <w:tab w:val="left" w:pos="687"/>
        </w:tabs>
        <w:spacing w:before="1"/>
        <w:ind w:left="119" w:right="122" w:firstLine="0"/>
        <w:jc w:val="both"/>
        <w:rPr>
          <w:sz w:val="20"/>
        </w:rPr>
      </w:pPr>
      <w:r>
        <w:rPr>
          <w:sz w:val="20"/>
        </w:rPr>
        <w:t>Además, la legislación en comento imponía al Ministerio de la Guerra las siguientes competencias:</w:t>
      </w:r>
    </w:p>
    <w:p w14:paraId="5D4B43FB" w14:textId="77777777" w:rsidR="00467FCA" w:rsidRDefault="00467FCA">
      <w:pPr>
        <w:pStyle w:val="Textoindependiente"/>
        <w:spacing w:before="11"/>
        <w:rPr>
          <w:sz w:val="19"/>
        </w:rPr>
      </w:pPr>
    </w:p>
    <w:p w14:paraId="2B7BD43E" w14:textId="77777777" w:rsidR="00467FCA" w:rsidRDefault="001B68EB">
      <w:pPr>
        <w:spacing w:before="1"/>
        <w:ind w:left="751" w:right="870"/>
        <w:jc w:val="both"/>
        <w:rPr>
          <w:sz w:val="16"/>
        </w:rPr>
      </w:pPr>
      <w:r>
        <w:rPr>
          <w:sz w:val="16"/>
        </w:rPr>
        <w:t>a) decidir sobre los productos que han de considerarse como controlados; b) decidir sobre las empresas de registro civil que tienen por finalidad la fabricac</w:t>
      </w:r>
      <w:r>
        <w:rPr>
          <w:sz w:val="16"/>
        </w:rPr>
        <w:t>ión, la recuperación, mantenimiento, utilización industrial, manipulación, exportación, importación, almacenamiento y comercio de productos</w:t>
      </w:r>
      <w:r>
        <w:rPr>
          <w:spacing w:val="-11"/>
          <w:sz w:val="16"/>
        </w:rPr>
        <w:t xml:space="preserve"> </w:t>
      </w:r>
      <w:r>
        <w:rPr>
          <w:sz w:val="16"/>
        </w:rPr>
        <w:t>controlados,</w:t>
      </w:r>
      <w:r>
        <w:rPr>
          <w:spacing w:val="-9"/>
          <w:sz w:val="16"/>
        </w:rPr>
        <w:t xml:space="preserve"> </w:t>
      </w:r>
      <w:r>
        <w:rPr>
          <w:sz w:val="16"/>
        </w:rPr>
        <w:t>incluyendo</w:t>
      </w:r>
      <w:r>
        <w:rPr>
          <w:spacing w:val="-8"/>
          <w:sz w:val="16"/>
        </w:rPr>
        <w:t xml:space="preserve"> </w:t>
      </w:r>
      <w:r>
        <w:rPr>
          <w:sz w:val="16"/>
        </w:rPr>
        <w:t>talleres</w:t>
      </w:r>
      <w:r>
        <w:rPr>
          <w:spacing w:val="-10"/>
          <w:sz w:val="16"/>
        </w:rPr>
        <w:t xml:space="preserve"> </w:t>
      </w:r>
      <w:r>
        <w:rPr>
          <w:sz w:val="16"/>
        </w:rPr>
        <w:t>de</w:t>
      </w:r>
      <w:r>
        <w:rPr>
          <w:spacing w:val="-13"/>
          <w:sz w:val="16"/>
        </w:rPr>
        <w:t xml:space="preserve"> </w:t>
      </w:r>
      <w:r>
        <w:rPr>
          <w:sz w:val="16"/>
        </w:rPr>
        <w:t>pirotecnia;</w:t>
      </w:r>
      <w:r>
        <w:rPr>
          <w:spacing w:val="-9"/>
          <w:sz w:val="16"/>
        </w:rPr>
        <w:t xml:space="preserve"> </w:t>
      </w:r>
      <w:r>
        <w:rPr>
          <w:sz w:val="16"/>
        </w:rPr>
        <w:t>c)</w:t>
      </w:r>
      <w:r>
        <w:rPr>
          <w:spacing w:val="-12"/>
          <w:sz w:val="16"/>
        </w:rPr>
        <w:t xml:space="preserve"> </w:t>
      </w:r>
      <w:r>
        <w:rPr>
          <w:sz w:val="16"/>
        </w:rPr>
        <w:t>decidir</w:t>
      </w:r>
      <w:r>
        <w:rPr>
          <w:spacing w:val="-9"/>
          <w:sz w:val="16"/>
        </w:rPr>
        <w:t xml:space="preserve"> </w:t>
      </w:r>
      <w:r>
        <w:rPr>
          <w:sz w:val="16"/>
        </w:rPr>
        <w:t>sobre</w:t>
      </w:r>
      <w:r>
        <w:rPr>
          <w:spacing w:val="-8"/>
          <w:sz w:val="16"/>
        </w:rPr>
        <w:t xml:space="preserve"> </w:t>
      </w:r>
      <w:r>
        <w:rPr>
          <w:sz w:val="16"/>
        </w:rPr>
        <w:t>la</w:t>
      </w:r>
      <w:r>
        <w:rPr>
          <w:spacing w:val="-11"/>
          <w:sz w:val="16"/>
        </w:rPr>
        <w:t xml:space="preserve"> </w:t>
      </w:r>
      <w:r>
        <w:rPr>
          <w:sz w:val="16"/>
        </w:rPr>
        <w:t>cancelación</w:t>
      </w:r>
      <w:r>
        <w:rPr>
          <w:spacing w:val="-11"/>
          <w:sz w:val="16"/>
        </w:rPr>
        <w:t xml:space="preserve"> </w:t>
      </w:r>
      <w:r>
        <w:rPr>
          <w:sz w:val="16"/>
        </w:rPr>
        <w:t>de</w:t>
      </w:r>
      <w:r>
        <w:rPr>
          <w:spacing w:val="-11"/>
          <w:sz w:val="16"/>
        </w:rPr>
        <w:t xml:space="preserve"> </w:t>
      </w:r>
      <w:r>
        <w:rPr>
          <w:sz w:val="16"/>
        </w:rPr>
        <w:t>registros otorgados cuando no cum</w:t>
      </w:r>
      <w:r>
        <w:rPr>
          <w:sz w:val="16"/>
        </w:rPr>
        <w:t>plen con los requisitos legales y reglamentarios, o aplicar las sanciones establecidas […]; g) inspeccionar la fabricación, recuperación, utilización industrial, manipulación, exportación, importación, despacho de aduanas, almacenamiento, comercio y tráfic</w:t>
      </w:r>
      <w:r>
        <w:rPr>
          <w:sz w:val="16"/>
        </w:rPr>
        <w:t>o de productos controlados</w:t>
      </w:r>
      <w:hyperlink w:anchor="_bookmark244" w:history="1">
        <w:r>
          <w:rPr>
            <w:position w:val="6"/>
            <w:sz w:val="10"/>
          </w:rPr>
          <w:t>205</w:t>
        </w:r>
      </w:hyperlink>
      <w:r>
        <w:rPr>
          <w:sz w:val="16"/>
        </w:rPr>
        <w:t>.</w:t>
      </w:r>
    </w:p>
    <w:p w14:paraId="488A231E" w14:textId="77777777" w:rsidR="00467FCA" w:rsidRDefault="00467FCA">
      <w:pPr>
        <w:pStyle w:val="Textoindependiente"/>
        <w:spacing w:before="11"/>
        <w:rPr>
          <w:sz w:val="19"/>
        </w:rPr>
      </w:pPr>
    </w:p>
    <w:p w14:paraId="76721282" w14:textId="77777777" w:rsidR="00467FCA" w:rsidRDefault="001B68EB">
      <w:pPr>
        <w:pStyle w:val="Prrafodelista"/>
        <w:numPr>
          <w:ilvl w:val="0"/>
          <w:numId w:val="50"/>
        </w:numPr>
        <w:tabs>
          <w:tab w:val="left" w:pos="687"/>
        </w:tabs>
        <w:ind w:right="116" w:firstLine="0"/>
        <w:jc w:val="both"/>
        <w:rPr>
          <w:sz w:val="20"/>
        </w:rPr>
      </w:pPr>
      <w:r>
        <w:rPr>
          <w:sz w:val="20"/>
        </w:rPr>
        <w:t>En</w:t>
      </w:r>
      <w:r>
        <w:rPr>
          <w:spacing w:val="-10"/>
          <w:sz w:val="20"/>
        </w:rPr>
        <w:t xml:space="preserve"> </w:t>
      </w:r>
      <w:r>
        <w:rPr>
          <w:sz w:val="20"/>
        </w:rPr>
        <w:t>cuanto</w:t>
      </w:r>
      <w:r>
        <w:rPr>
          <w:spacing w:val="-11"/>
          <w:sz w:val="20"/>
        </w:rPr>
        <w:t xml:space="preserve"> </w:t>
      </w:r>
      <w:r>
        <w:rPr>
          <w:sz w:val="20"/>
        </w:rPr>
        <w:t>a</w:t>
      </w:r>
      <w:r>
        <w:rPr>
          <w:spacing w:val="-10"/>
          <w:sz w:val="20"/>
        </w:rPr>
        <w:t xml:space="preserve"> </w:t>
      </w:r>
      <w:r>
        <w:rPr>
          <w:sz w:val="20"/>
        </w:rPr>
        <w:t>la</w:t>
      </w:r>
      <w:r>
        <w:rPr>
          <w:spacing w:val="-9"/>
          <w:sz w:val="20"/>
        </w:rPr>
        <w:t xml:space="preserve"> </w:t>
      </w:r>
      <w:r>
        <w:rPr>
          <w:sz w:val="20"/>
        </w:rPr>
        <w:t>obligatoriedad</w:t>
      </w:r>
      <w:r>
        <w:rPr>
          <w:spacing w:val="-10"/>
          <w:sz w:val="20"/>
        </w:rPr>
        <w:t xml:space="preserve"> </w:t>
      </w:r>
      <w:r>
        <w:rPr>
          <w:sz w:val="20"/>
        </w:rPr>
        <w:t>del</w:t>
      </w:r>
      <w:r>
        <w:rPr>
          <w:spacing w:val="-10"/>
          <w:sz w:val="20"/>
        </w:rPr>
        <w:t xml:space="preserve"> </w:t>
      </w:r>
      <w:r>
        <w:rPr>
          <w:sz w:val="20"/>
        </w:rPr>
        <w:t>registro</w:t>
      </w:r>
      <w:r>
        <w:rPr>
          <w:spacing w:val="-9"/>
          <w:sz w:val="20"/>
        </w:rPr>
        <w:t xml:space="preserve"> </w:t>
      </w:r>
      <w:r>
        <w:rPr>
          <w:sz w:val="20"/>
        </w:rPr>
        <w:t>y</w:t>
      </w:r>
      <w:r>
        <w:rPr>
          <w:spacing w:val="-9"/>
          <w:sz w:val="20"/>
        </w:rPr>
        <w:t xml:space="preserve"> </w:t>
      </w:r>
      <w:r>
        <w:rPr>
          <w:sz w:val="20"/>
        </w:rPr>
        <w:t>fiscalización</w:t>
      </w:r>
      <w:r>
        <w:rPr>
          <w:spacing w:val="-9"/>
          <w:sz w:val="20"/>
        </w:rPr>
        <w:t xml:space="preserve"> </w:t>
      </w:r>
      <w:r>
        <w:rPr>
          <w:sz w:val="20"/>
        </w:rPr>
        <w:t>por</w:t>
      </w:r>
      <w:r>
        <w:rPr>
          <w:spacing w:val="-11"/>
          <w:sz w:val="20"/>
        </w:rPr>
        <w:t xml:space="preserve"> </w:t>
      </w:r>
      <w:r>
        <w:rPr>
          <w:sz w:val="20"/>
        </w:rPr>
        <w:t>parte</w:t>
      </w:r>
      <w:r>
        <w:rPr>
          <w:spacing w:val="-10"/>
          <w:sz w:val="20"/>
        </w:rPr>
        <w:t xml:space="preserve"> </w:t>
      </w:r>
      <w:r>
        <w:rPr>
          <w:sz w:val="20"/>
        </w:rPr>
        <w:t>del</w:t>
      </w:r>
      <w:r>
        <w:rPr>
          <w:spacing w:val="-7"/>
          <w:sz w:val="20"/>
        </w:rPr>
        <w:t xml:space="preserve"> </w:t>
      </w:r>
      <w:r>
        <w:rPr>
          <w:sz w:val="20"/>
        </w:rPr>
        <w:t>Estado,</w:t>
      </w:r>
      <w:r>
        <w:rPr>
          <w:spacing w:val="-8"/>
          <w:sz w:val="20"/>
        </w:rPr>
        <w:t xml:space="preserve"> </w:t>
      </w:r>
      <w:r>
        <w:rPr>
          <w:sz w:val="20"/>
        </w:rPr>
        <w:t>el</w:t>
      </w:r>
      <w:r>
        <w:rPr>
          <w:spacing w:val="-8"/>
          <w:sz w:val="20"/>
        </w:rPr>
        <w:t xml:space="preserve"> </w:t>
      </w:r>
      <w:r>
        <w:rPr>
          <w:sz w:val="20"/>
        </w:rPr>
        <w:t>Decreto 55.649</w:t>
      </w:r>
      <w:r>
        <w:rPr>
          <w:spacing w:val="16"/>
          <w:sz w:val="20"/>
        </w:rPr>
        <w:t xml:space="preserve"> </w:t>
      </w:r>
      <w:r>
        <w:rPr>
          <w:sz w:val="20"/>
        </w:rPr>
        <w:t>señalaba</w:t>
      </w:r>
      <w:r>
        <w:rPr>
          <w:spacing w:val="15"/>
          <w:sz w:val="20"/>
        </w:rPr>
        <w:t xml:space="preserve"> </w:t>
      </w:r>
      <w:r>
        <w:rPr>
          <w:sz w:val="20"/>
        </w:rPr>
        <w:t>que</w:t>
      </w:r>
      <w:r>
        <w:rPr>
          <w:spacing w:val="15"/>
          <w:sz w:val="20"/>
        </w:rPr>
        <w:t xml:space="preserve"> </w:t>
      </w:r>
      <w:r>
        <w:rPr>
          <w:sz w:val="20"/>
        </w:rPr>
        <w:t>a</w:t>
      </w:r>
      <w:r>
        <w:rPr>
          <w:spacing w:val="20"/>
          <w:sz w:val="20"/>
        </w:rPr>
        <w:t xml:space="preserve"> </w:t>
      </w:r>
      <w:r>
        <w:rPr>
          <w:sz w:val="20"/>
        </w:rPr>
        <w:t>cada</w:t>
      </w:r>
      <w:r>
        <w:rPr>
          <w:spacing w:val="15"/>
          <w:sz w:val="20"/>
        </w:rPr>
        <w:t xml:space="preserve"> </w:t>
      </w:r>
      <w:r>
        <w:rPr>
          <w:sz w:val="20"/>
        </w:rPr>
        <w:t>región</w:t>
      </w:r>
      <w:r>
        <w:rPr>
          <w:spacing w:val="17"/>
          <w:sz w:val="20"/>
        </w:rPr>
        <w:t xml:space="preserve"> </w:t>
      </w:r>
      <w:r>
        <w:rPr>
          <w:sz w:val="20"/>
        </w:rPr>
        <w:t>militar</w:t>
      </w:r>
      <w:r>
        <w:rPr>
          <w:spacing w:val="14"/>
          <w:sz w:val="20"/>
        </w:rPr>
        <w:t xml:space="preserve"> </w:t>
      </w:r>
      <w:r>
        <w:rPr>
          <w:sz w:val="20"/>
        </w:rPr>
        <w:t>le</w:t>
      </w:r>
      <w:r>
        <w:rPr>
          <w:spacing w:val="15"/>
          <w:sz w:val="20"/>
        </w:rPr>
        <w:t xml:space="preserve"> </w:t>
      </w:r>
      <w:r>
        <w:rPr>
          <w:sz w:val="20"/>
        </w:rPr>
        <w:t>correspondía,</w:t>
      </w:r>
      <w:r>
        <w:rPr>
          <w:spacing w:val="17"/>
          <w:sz w:val="20"/>
        </w:rPr>
        <w:t xml:space="preserve"> </w:t>
      </w:r>
      <w:r>
        <w:rPr>
          <w:sz w:val="20"/>
        </w:rPr>
        <w:t>entre</w:t>
      </w:r>
      <w:r>
        <w:rPr>
          <w:spacing w:val="15"/>
          <w:sz w:val="20"/>
        </w:rPr>
        <w:t xml:space="preserve"> </w:t>
      </w:r>
      <w:r>
        <w:rPr>
          <w:sz w:val="20"/>
        </w:rPr>
        <w:t>otras,</w:t>
      </w:r>
      <w:r>
        <w:rPr>
          <w:spacing w:val="15"/>
          <w:sz w:val="20"/>
        </w:rPr>
        <w:t xml:space="preserve"> </w:t>
      </w:r>
      <w:r>
        <w:rPr>
          <w:sz w:val="20"/>
        </w:rPr>
        <w:t>registrar</w:t>
      </w:r>
      <w:r>
        <w:rPr>
          <w:spacing w:val="17"/>
          <w:sz w:val="20"/>
        </w:rPr>
        <w:t xml:space="preserve"> </w:t>
      </w:r>
      <w:r>
        <w:rPr>
          <w:sz w:val="20"/>
        </w:rPr>
        <w:t>y</w:t>
      </w:r>
      <w:r>
        <w:rPr>
          <w:spacing w:val="16"/>
          <w:sz w:val="20"/>
        </w:rPr>
        <w:t xml:space="preserve"> </w:t>
      </w:r>
      <w:r>
        <w:rPr>
          <w:sz w:val="20"/>
        </w:rPr>
        <w:t>realizar</w:t>
      </w:r>
    </w:p>
    <w:p w14:paraId="113CF28D" w14:textId="77777777" w:rsidR="00467FCA" w:rsidRDefault="00467FCA">
      <w:pPr>
        <w:pStyle w:val="Textoindependiente"/>
      </w:pPr>
    </w:p>
    <w:p w14:paraId="6A31BF4C" w14:textId="77777777" w:rsidR="00467FCA" w:rsidRDefault="001B68EB">
      <w:pPr>
        <w:pStyle w:val="Textoindependiente"/>
        <w:spacing w:before="9"/>
        <w:rPr>
          <w:sz w:val="17"/>
        </w:rPr>
      </w:pPr>
      <w:r>
        <w:pict w14:anchorId="65AAA88F">
          <v:shape id="_x0000_s1162" style="position:absolute;margin-left:1in;margin-top:13.05pt;width:2in;height:.1pt;z-index:-251623424;mso-wrap-distance-left:0;mso-wrap-distance-right:0;mso-position-horizontal-relative:page" coordorigin="1440,261" coordsize="2880,0" path="m1440,261r2880,e" filled="f" strokeweight=".6pt">
            <v:path arrowok="t"/>
            <w10:wrap type="topAndBottom" anchorx="page"/>
          </v:shape>
        </w:pict>
      </w:r>
    </w:p>
    <w:p w14:paraId="1184A9AB" w14:textId="77777777" w:rsidR="00467FCA" w:rsidRDefault="001B68EB">
      <w:pPr>
        <w:tabs>
          <w:tab w:val="left" w:pos="839"/>
        </w:tabs>
        <w:spacing w:before="74"/>
        <w:ind w:left="120"/>
        <w:rPr>
          <w:sz w:val="16"/>
        </w:rPr>
      </w:pPr>
      <w:bookmarkStart w:id="282" w:name="_bookmark242"/>
      <w:bookmarkEnd w:id="282"/>
      <w:r>
        <w:rPr>
          <w:position w:val="6"/>
          <w:sz w:val="10"/>
        </w:rPr>
        <w:t>203</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w:t>
      </w:r>
      <w:r>
        <w:rPr>
          <w:spacing w:val="-11"/>
          <w:sz w:val="16"/>
        </w:rPr>
        <w:t xml:space="preserve"> </w:t>
      </w:r>
      <w:r>
        <w:rPr>
          <w:sz w:val="16"/>
        </w:rPr>
        <w:t>11.</w:t>
      </w:r>
    </w:p>
    <w:p w14:paraId="296DBD8B" w14:textId="77777777" w:rsidR="00467FCA" w:rsidRDefault="001B68EB">
      <w:pPr>
        <w:tabs>
          <w:tab w:val="left" w:pos="839"/>
        </w:tabs>
        <w:ind w:left="120"/>
        <w:rPr>
          <w:sz w:val="16"/>
        </w:rPr>
      </w:pPr>
      <w:bookmarkStart w:id="283" w:name="_bookmark243"/>
      <w:bookmarkEnd w:id="283"/>
      <w:r>
        <w:rPr>
          <w:position w:val="6"/>
          <w:sz w:val="10"/>
        </w:rPr>
        <w:t>204</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artículos 32 y</w:t>
      </w:r>
      <w:r>
        <w:rPr>
          <w:spacing w:val="-17"/>
          <w:sz w:val="16"/>
        </w:rPr>
        <w:t xml:space="preserve"> </w:t>
      </w:r>
      <w:r>
        <w:rPr>
          <w:sz w:val="16"/>
        </w:rPr>
        <w:t>33.</w:t>
      </w:r>
    </w:p>
    <w:p w14:paraId="720D4EB7" w14:textId="77777777" w:rsidR="00467FCA" w:rsidRDefault="001B68EB">
      <w:pPr>
        <w:tabs>
          <w:tab w:val="left" w:pos="839"/>
        </w:tabs>
        <w:ind w:left="120"/>
        <w:rPr>
          <w:sz w:val="16"/>
        </w:rPr>
      </w:pPr>
      <w:bookmarkStart w:id="284" w:name="_bookmark244"/>
      <w:bookmarkEnd w:id="284"/>
      <w:r>
        <w:rPr>
          <w:position w:val="6"/>
          <w:sz w:val="10"/>
        </w:rPr>
        <w:t>205</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w:t>
      </w:r>
      <w:r>
        <w:rPr>
          <w:spacing w:val="-11"/>
          <w:sz w:val="16"/>
        </w:rPr>
        <w:t xml:space="preserve"> </w:t>
      </w:r>
      <w:r>
        <w:rPr>
          <w:sz w:val="16"/>
        </w:rPr>
        <w:t>21.</w:t>
      </w:r>
    </w:p>
    <w:p w14:paraId="0391BECA" w14:textId="77777777" w:rsidR="00467FCA" w:rsidRDefault="00467FCA">
      <w:pPr>
        <w:rPr>
          <w:sz w:val="16"/>
        </w:rPr>
        <w:sectPr w:rsidR="00467FCA">
          <w:pgSz w:w="12240" w:h="15840"/>
          <w:pgMar w:top="1360" w:right="1320" w:bottom="1220" w:left="1320" w:header="0" w:footer="1037" w:gutter="0"/>
          <w:cols w:space="720"/>
        </w:sectPr>
      </w:pPr>
    </w:p>
    <w:p w14:paraId="09510C0D" w14:textId="77777777" w:rsidR="00467FCA" w:rsidRDefault="001B68EB">
      <w:pPr>
        <w:pStyle w:val="Textoindependiente"/>
        <w:spacing w:before="80"/>
        <w:ind w:left="120"/>
      </w:pPr>
      <w:r>
        <w:t>inspecciones a las e</w:t>
      </w:r>
      <w:r>
        <w:t>mpresas</w:t>
      </w:r>
      <w:hyperlink w:anchor="_bookmark246" w:history="1">
        <w:r>
          <w:rPr>
            <w:position w:val="7"/>
            <w:sz w:val="13"/>
          </w:rPr>
          <w:t>206</w:t>
        </w:r>
      </w:hyperlink>
      <w:r>
        <w:t>.</w:t>
      </w:r>
    </w:p>
    <w:p w14:paraId="0547F8D6" w14:textId="77777777" w:rsidR="00467FCA" w:rsidRDefault="00467FCA">
      <w:pPr>
        <w:pStyle w:val="Textoindependiente"/>
        <w:spacing w:before="1"/>
      </w:pPr>
    </w:p>
    <w:p w14:paraId="3521E05E" w14:textId="77777777" w:rsidR="00467FCA" w:rsidRDefault="001B68EB">
      <w:pPr>
        <w:pStyle w:val="Prrafodelista"/>
        <w:numPr>
          <w:ilvl w:val="0"/>
          <w:numId w:val="50"/>
        </w:numPr>
        <w:tabs>
          <w:tab w:val="left" w:pos="687"/>
        </w:tabs>
        <w:ind w:left="119" w:right="118" w:firstLine="0"/>
        <w:jc w:val="both"/>
        <w:rPr>
          <w:sz w:val="20"/>
        </w:rPr>
      </w:pPr>
      <w:r>
        <w:rPr>
          <w:sz w:val="20"/>
        </w:rPr>
        <w:t>Particularmente</w:t>
      </w:r>
      <w:r>
        <w:rPr>
          <w:spacing w:val="-20"/>
          <w:sz w:val="20"/>
        </w:rPr>
        <w:t xml:space="preserve"> </w:t>
      </w:r>
      <w:r>
        <w:rPr>
          <w:sz w:val="20"/>
        </w:rPr>
        <w:t>respecto</w:t>
      </w:r>
      <w:r>
        <w:rPr>
          <w:spacing w:val="-21"/>
          <w:sz w:val="20"/>
        </w:rPr>
        <w:t xml:space="preserve"> </w:t>
      </w:r>
      <w:r>
        <w:rPr>
          <w:sz w:val="20"/>
        </w:rPr>
        <w:t>a</w:t>
      </w:r>
      <w:r>
        <w:rPr>
          <w:spacing w:val="-18"/>
          <w:sz w:val="20"/>
        </w:rPr>
        <w:t xml:space="preserve"> </w:t>
      </w:r>
      <w:r>
        <w:rPr>
          <w:sz w:val="20"/>
        </w:rPr>
        <w:t>fiscalización,</w:t>
      </w:r>
      <w:r>
        <w:rPr>
          <w:spacing w:val="-18"/>
          <w:sz w:val="20"/>
        </w:rPr>
        <w:t xml:space="preserve"> </w:t>
      </w:r>
      <w:r>
        <w:rPr>
          <w:sz w:val="20"/>
        </w:rPr>
        <w:t>el</w:t>
      </w:r>
      <w:r>
        <w:rPr>
          <w:spacing w:val="-18"/>
          <w:sz w:val="20"/>
        </w:rPr>
        <w:t xml:space="preserve"> </w:t>
      </w:r>
      <w:r>
        <w:rPr>
          <w:sz w:val="20"/>
        </w:rPr>
        <w:t>citado</w:t>
      </w:r>
      <w:r>
        <w:rPr>
          <w:spacing w:val="-21"/>
          <w:sz w:val="20"/>
        </w:rPr>
        <w:t xml:space="preserve"> </w:t>
      </w:r>
      <w:r>
        <w:rPr>
          <w:sz w:val="20"/>
        </w:rPr>
        <w:t>Decreto</w:t>
      </w:r>
      <w:r>
        <w:rPr>
          <w:spacing w:val="-18"/>
          <w:sz w:val="20"/>
        </w:rPr>
        <w:t xml:space="preserve"> </w:t>
      </w:r>
      <w:r>
        <w:rPr>
          <w:sz w:val="20"/>
        </w:rPr>
        <w:t>determinaba</w:t>
      </w:r>
      <w:r>
        <w:rPr>
          <w:spacing w:val="-18"/>
          <w:sz w:val="20"/>
        </w:rPr>
        <w:t xml:space="preserve"> </w:t>
      </w:r>
      <w:r>
        <w:rPr>
          <w:sz w:val="20"/>
        </w:rPr>
        <w:t>que</w:t>
      </w:r>
      <w:r>
        <w:rPr>
          <w:spacing w:val="-21"/>
          <w:sz w:val="20"/>
        </w:rPr>
        <w:t xml:space="preserve"> </w:t>
      </w:r>
      <w:r>
        <w:rPr>
          <w:sz w:val="20"/>
        </w:rPr>
        <w:t>la</w:t>
      </w:r>
      <w:r>
        <w:rPr>
          <w:spacing w:val="-18"/>
          <w:sz w:val="20"/>
        </w:rPr>
        <w:t xml:space="preserve"> </w:t>
      </w:r>
      <w:r>
        <w:rPr>
          <w:sz w:val="20"/>
        </w:rPr>
        <w:t>inspección de los depósitos de las fábricas sería llevada a cabo por los departamentos de inspección del Ministerio de la Guerra, en colaboración con la policía civil y los gobiernos municipales. La disposición también atribuía a las policías locales la ve</w:t>
      </w:r>
      <w:r>
        <w:rPr>
          <w:sz w:val="20"/>
        </w:rPr>
        <w:t xml:space="preserve">rificación constante de los inventarios mantenidos en los depósitos, así como la implementación de las determinaciones técnicas y condiciones de seguridad, de modo que cualquier irregularidad se debía comunicar al órgano de fiscalización del Ministerio de </w:t>
      </w:r>
      <w:r>
        <w:rPr>
          <w:sz w:val="20"/>
        </w:rPr>
        <w:t>la</w:t>
      </w:r>
      <w:r>
        <w:rPr>
          <w:spacing w:val="-6"/>
          <w:sz w:val="20"/>
        </w:rPr>
        <w:t xml:space="preserve"> </w:t>
      </w:r>
      <w:r>
        <w:rPr>
          <w:sz w:val="20"/>
        </w:rPr>
        <w:t>Guerra</w:t>
      </w:r>
      <w:hyperlink w:anchor="_bookmark247" w:history="1">
        <w:r>
          <w:rPr>
            <w:position w:val="7"/>
            <w:sz w:val="13"/>
          </w:rPr>
          <w:t>207</w:t>
        </w:r>
      </w:hyperlink>
      <w:r>
        <w:rPr>
          <w:sz w:val="20"/>
        </w:rPr>
        <w:t>.</w:t>
      </w:r>
    </w:p>
    <w:p w14:paraId="6FA93995" w14:textId="77777777" w:rsidR="00467FCA" w:rsidRDefault="00467FCA">
      <w:pPr>
        <w:pStyle w:val="Textoindependiente"/>
      </w:pPr>
    </w:p>
    <w:p w14:paraId="4A12F540" w14:textId="77777777" w:rsidR="00467FCA" w:rsidRDefault="001B68EB">
      <w:pPr>
        <w:pStyle w:val="Prrafodelista"/>
        <w:numPr>
          <w:ilvl w:val="0"/>
          <w:numId w:val="50"/>
        </w:numPr>
        <w:tabs>
          <w:tab w:val="left" w:pos="687"/>
        </w:tabs>
        <w:ind w:left="119" w:right="118" w:firstLine="0"/>
        <w:jc w:val="both"/>
        <w:rPr>
          <w:sz w:val="20"/>
        </w:rPr>
      </w:pPr>
      <w:r>
        <w:rPr>
          <w:sz w:val="20"/>
        </w:rPr>
        <w:t>Asimismo, el Decreto 55.649 establecía que, tras la verificación personal, o en vista de denuncias o información sobre la existencia de violaciones a la normativa, delitos u ofensas criminales, la autoridad mi</w:t>
      </w:r>
      <w:r>
        <w:rPr>
          <w:sz w:val="20"/>
        </w:rPr>
        <w:t>litar encargada de inspeccionar los productos controlados por el Ministerio de la Guerra debía proceder a los actos preparatorios para la investigación regular de una eventual</w:t>
      </w:r>
      <w:r>
        <w:rPr>
          <w:spacing w:val="-4"/>
          <w:sz w:val="20"/>
        </w:rPr>
        <w:t xml:space="preserve"> </w:t>
      </w:r>
      <w:r>
        <w:rPr>
          <w:sz w:val="20"/>
        </w:rPr>
        <w:t>infracción</w:t>
      </w:r>
      <w:hyperlink w:anchor="_bookmark248" w:history="1">
        <w:r>
          <w:rPr>
            <w:position w:val="7"/>
            <w:sz w:val="13"/>
          </w:rPr>
          <w:t>208</w:t>
        </w:r>
      </w:hyperlink>
      <w:r>
        <w:rPr>
          <w:sz w:val="20"/>
        </w:rPr>
        <w:t>.</w:t>
      </w:r>
    </w:p>
    <w:p w14:paraId="54577649" w14:textId="77777777" w:rsidR="00467FCA" w:rsidRDefault="00467FCA">
      <w:pPr>
        <w:pStyle w:val="Textoindependiente"/>
        <w:spacing w:before="10"/>
        <w:rPr>
          <w:sz w:val="19"/>
        </w:rPr>
      </w:pPr>
    </w:p>
    <w:p w14:paraId="3A61A6C9" w14:textId="77777777" w:rsidR="00467FCA" w:rsidRDefault="001B68EB">
      <w:pPr>
        <w:pStyle w:val="Prrafodelista"/>
        <w:numPr>
          <w:ilvl w:val="0"/>
          <w:numId w:val="50"/>
        </w:numPr>
        <w:tabs>
          <w:tab w:val="left" w:pos="687"/>
        </w:tabs>
        <w:ind w:left="119" w:right="117" w:firstLine="0"/>
        <w:jc w:val="both"/>
        <w:rPr>
          <w:sz w:val="20"/>
        </w:rPr>
      </w:pPr>
      <w:r>
        <w:rPr>
          <w:sz w:val="20"/>
        </w:rPr>
        <w:t>La legislación del Estado de Bah</w:t>
      </w:r>
      <w:r>
        <w:rPr>
          <w:sz w:val="20"/>
        </w:rPr>
        <w:t>ia también contenía disposiciones en el mismo sentido. En</w:t>
      </w:r>
      <w:r>
        <w:rPr>
          <w:spacing w:val="-8"/>
          <w:sz w:val="20"/>
        </w:rPr>
        <w:t xml:space="preserve"> </w:t>
      </w:r>
      <w:r>
        <w:rPr>
          <w:sz w:val="20"/>
        </w:rPr>
        <w:t>efecto,</w:t>
      </w:r>
      <w:r>
        <w:rPr>
          <w:spacing w:val="-8"/>
          <w:sz w:val="20"/>
        </w:rPr>
        <w:t xml:space="preserve"> </w:t>
      </w:r>
      <w:r>
        <w:rPr>
          <w:sz w:val="20"/>
        </w:rPr>
        <w:t>el</w:t>
      </w:r>
      <w:r>
        <w:rPr>
          <w:spacing w:val="-8"/>
          <w:sz w:val="20"/>
        </w:rPr>
        <w:t xml:space="preserve"> </w:t>
      </w:r>
      <w:r>
        <w:rPr>
          <w:sz w:val="20"/>
        </w:rPr>
        <w:t>Decreto</w:t>
      </w:r>
      <w:r>
        <w:rPr>
          <w:spacing w:val="-10"/>
          <w:sz w:val="20"/>
        </w:rPr>
        <w:t xml:space="preserve"> </w:t>
      </w:r>
      <w:r>
        <w:rPr>
          <w:sz w:val="20"/>
        </w:rPr>
        <w:t>Estatal</w:t>
      </w:r>
      <w:r>
        <w:rPr>
          <w:spacing w:val="-9"/>
          <w:sz w:val="20"/>
        </w:rPr>
        <w:t xml:space="preserve"> </w:t>
      </w:r>
      <w:r>
        <w:rPr>
          <w:sz w:val="20"/>
        </w:rPr>
        <w:t>6.465</w:t>
      </w:r>
      <w:r>
        <w:rPr>
          <w:spacing w:val="-8"/>
          <w:sz w:val="20"/>
        </w:rPr>
        <w:t xml:space="preserve"> </w:t>
      </w:r>
      <w:r>
        <w:rPr>
          <w:sz w:val="20"/>
        </w:rPr>
        <w:t>de</w:t>
      </w:r>
      <w:r>
        <w:rPr>
          <w:spacing w:val="-10"/>
          <w:sz w:val="20"/>
        </w:rPr>
        <w:t xml:space="preserve"> </w:t>
      </w:r>
      <w:r>
        <w:rPr>
          <w:sz w:val="20"/>
        </w:rPr>
        <w:t>1997</w:t>
      </w:r>
      <w:r>
        <w:rPr>
          <w:spacing w:val="-8"/>
          <w:sz w:val="20"/>
        </w:rPr>
        <w:t xml:space="preserve"> </w:t>
      </w:r>
      <w:r>
        <w:rPr>
          <w:sz w:val="20"/>
        </w:rPr>
        <w:t>asignaba</w:t>
      </w:r>
      <w:r>
        <w:rPr>
          <w:spacing w:val="-9"/>
          <w:sz w:val="20"/>
        </w:rPr>
        <w:t xml:space="preserve"> </w:t>
      </w:r>
      <w:r>
        <w:rPr>
          <w:sz w:val="20"/>
        </w:rPr>
        <w:t>a</w:t>
      </w:r>
      <w:r>
        <w:rPr>
          <w:spacing w:val="-9"/>
          <w:sz w:val="20"/>
        </w:rPr>
        <w:t xml:space="preserve"> </w:t>
      </w:r>
      <w:r>
        <w:rPr>
          <w:sz w:val="20"/>
        </w:rPr>
        <w:t>la</w:t>
      </w:r>
      <w:r>
        <w:rPr>
          <w:spacing w:val="-9"/>
          <w:sz w:val="20"/>
        </w:rPr>
        <w:t xml:space="preserve"> </w:t>
      </w:r>
      <w:r>
        <w:rPr>
          <w:sz w:val="20"/>
        </w:rPr>
        <w:t>Secretaría</w:t>
      </w:r>
      <w:r>
        <w:rPr>
          <w:spacing w:val="-9"/>
          <w:sz w:val="20"/>
        </w:rPr>
        <w:t xml:space="preserve"> </w:t>
      </w:r>
      <w:r>
        <w:rPr>
          <w:sz w:val="20"/>
        </w:rPr>
        <w:t>de</w:t>
      </w:r>
      <w:r>
        <w:rPr>
          <w:spacing w:val="-8"/>
          <w:sz w:val="20"/>
        </w:rPr>
        <w:t xml:space="preserve"> </w:t>
      </w:r>
      <w:r>
        <w:rPr>
          <w:sz w:val="20"/>
        </w:rPr>
        <w:t>Seguridad</w:t>
      </w:r>
      <w:r>
        <w:rPr>
          <w:spacing w:val="-7"/>
          <w:sz w:val="20"/>
        </w:rPr>
        <w:t xml:space="preserve"> </w:t>
      </w:r>
      <w:r>
        <w:rPr>
          <w:sz w:val="20"/>
        </w:rPr>
        <w:t>Pública</w:t>
      </w:r>
      <w:r>
        <w:rPr>
          <w:spacing w:val="-9"/>
          <w:sz w:val="20"/>
        </w:rPr>
        <w:t xml:space="preserve"> </w:t>
      </w:r>
      <w:r>
        <w:rPr>
          <w:sz w:val="20"/>
        </w:rPr>
        <w:t>del estado la atribución de autorizar el funcionamiento de establecimientos que producían o comercializaban fue</w:t>
      </w:r>
      <w:r>
        <w:rPr>
          <w:sz w:val="20"/>
        </w:rPr>
        <w:t>gos artificiales y de inspeccionar la producción, venta, quema y uso de fuegos</w:t>
      </w:r>
      <w:r>
        <w:rPr>
          <w:spacing w:val="-2"/>
          <w:sz w:val="20"/>
        </w:rPr>
        <w:t xml:space="preserve"> </w:t>
      </w:r>
      <w:r>
        <w:rPr>
          <w:sz w:val="20"/>
        </w:rPr>
        <w:t>artificiales</w:t>
      </w:r>
      <w:hyperlink w:anchor="_bookmark249" w:history="1">
        <w:r>
          <w:rPr>
            <w:position w:val="7"/>
            <w:sz w:val="13"/>
          </w:rPr>
          <w:t>209</w:t>
        </w:r>
      </w:hyperlink>
      <w:r>
        <w:rPr>
          <w:sz w:val="20"/>
        </w:rPr>
        <w:t>.</w:t>
      </w:r>
    </w:p>
    <w:p w14:paraId="4F4845CF" w14:textId="77777777" w:rsidR="00467FCA" w:rsidRDefault="00467FCA">
      <w:pPr>
        <w:pStyle w:val="Textoindependiente"/>
        <w:spacing w:before="1"/>
      </w:pPr>
    </w:p>
    <w:p w14:paraId="22AAF968" w14:textId="77777777" w:rsidR="00467FCA" w:rsidRDefault="001B68EB">
      <w:pPr>
        <w:pStyle w:val="Prrafodelista"/>
        <w:numPr>
          <w:ilvl w:val="0"/>
          <w:numId w:val="50"/>
        </w:numPr>
        <w:tabs>
          <w:tab w:val="left" w:pos="687"/>
        </w:tabs>
        <w:ind w:left="119" w:right="117" w:firstLine="0"/>
        <w:jc w:val="both"/>
        <w:rPr>
          <w:sz w:val="20"/>
        </w:rPr>
      </w:pPr>
      <w:r>
        <w:rPr>
          <w:sz w:val="20"/>
        </w:rPr>
        <w:t xml:space="preserve">Conforme a lo anterior, las actividades que implicaban contacto o manipulación de explosivos eran consideradas peligrosas; las empresas que las realizaban debían ser registradas, y las autoridades del orden nacional, estatal y municipal, en particular, el </w:t>
      </w:r>
      <w:r>
        <w:rPr>
          <w:sz w:val="20"/>
        </w:rPr>
        <w:t>entonces Ministerio del Ejército, las Secretarías de Seguridad Pública, la policía civil y los gobiernos</w:t>
      </w:r>
      <w:r>
        <w:rPr>
          <w:spacing w:val="-13"/>
          <w:sz w:val="20"/>
        </w:rPr>
        <w:t xml:space="preserve"> </w:t>
      </w:r>
      <w:r>
        <w:rPr>
          <w:sz w:val="20"/>
        </w:rPr>
        <w:t>municipales,</w:t>
      </w:r>
      <w:r>
        <w:rPr>
          <w:spacing w:val="-9"/>
          <w:sz w:val="20"/>
        </w:rPr>
        <w:t xml:space="preserve"> </w:t>
      </w:r>
      <w:r>
        <w:rPr>
          <w:sz w:val="20"/>
        </w:rPr>
        <w:t>en</w:t>
      </w:r>
      <w:r>
        <w:rPr>
          <w:spacing w:val="-10"/>
          <w:sz w:val="20"/>
        </w:rPr>
        <w:t xml:space="preserve"> </w:t>
      </w:r>
      <w:r>
        <w:rPr>
          <w:sz w:val="20"/>
        </w:rPr>
        <w:t>el</w:t>
      </w:r>
      <w:r>
        <w:rPr>
          <w:spacing w:val="-11"/>
          <w:sz w:val="20"/>
        </w:rPr>
        <w:t xml:space="preserve"> </w:t>
      </w:r>
      <w:r>
        <w:rPr>
          <w:sz w:val="20"/>
        </w:rPr>
        <w:t>ámbito</w:t>
      </w:r>
      <w:r>
        <w:rPr>
          <w:spacing w:val="-10"/>
          <w:sz w:val="20"/>
        </w:rPr>
        <w:t xml:space="preserve"> </w:t>
      </w:r>
      <w:r>
        <w:rPr>
          <w:sz w:val="20"/>
        </w:rPr>
        <w:t>de</w:t>
      </w:r>
      <w:r>
        <w:rPr>
          <w:spacing w:val="-11"/>
          <w:sz w:val="20"/>
        </w:rPr>
        <w:t xml:space="preserve"> </w:t>
      </w:r>
      <w:r>
        <w:rPr>
          <w:sz w:val="20"/>
        </w:rPr>
        <w:t>sus</w:t>
      </w:r>
      <w:r>
        <w:rPr>
          <w:spacing w:val="-12"/>
          <w:sz w:val="20"/>
        </w:rPr>
        <w:t xml:space="preserve"> </w:t>
      </w:r>
      <w:r>
        <w:rPr>
          <w:sz w:val="20"/>
        </w:rPr>
        <w:t>competencias,</w:t>
      </w:r>
      <w:r>
        <w:rPr>
          <w:spacing w:val="-12"/>
          <w:sz w:val="20"/>
        </w:rPr>
        <w:t xml:space="preserve"> </w:t>
      </w:r>
      <w:r>
        <w:rPr>
          <w:sz w:val="20"/>
        </w:rPr>
        <w:t>debían</w:t>
      </w:r>
      <w:r>
        <w:rPr>
          <w:spacing w:val="-10"/>
          <w:sz w:val="20"/>
        </w:rPr>
        <w:t xml:space="preserve"> </w:t>
      </w:r>
      <w:r>
        <w:rPr>
          <w:sz w:val="20"/>
        </w:rPr>
        <w:t>fiscalizar</w:t>
      </w:r>
      <w:r>
        <w:rPr>
          <w:spacing w:val="-12"/>
          <w:sz w:val="20"/>
        </w:rPr>
        <w:t xml:space="preserve"> </w:t>
      </w:r>
      <w:r>
        <w:rPr>
          <w:sz w:val="20"/>
        </w:rPr>
        <w:t>las</w:t>
      </w:r>
      <w:r>
        <w:rPr>
          <w:spacing w:val="-12"/>
          <w:sz w:val="20"/>
        </w:rPr>
        <w:t xml:space="preserve"> </w:t>
      </w:r>
      <w:r>
        <w:rPr>
          <w:sz w:val="20"/>
        </w:rPr>
        <w:t>actividades</w:t>
      </w:r>
      <w:r>
        <w:rPr>
          <w:spacing w:val="-12"/>
          <w:sz w:val="20"/>
        </w:rPr>
        <w:t xml:space="preserve"> </w:t>
      </w:r>
      <w:r>
        <w:rPr>
          <w:sz w:val="20"/>
        </w:rPr>
        <w:t>allí desplegadas. Además, el nivel de supervisión y fiscalización sobr</w:t>
      </w:r>
      <w:r>
        <w:rPr>
          <w:sz w:val="20"/>
        </w:rPr>
        <w:t>e dicha actividad debía ser el más alto posible, teniendo en cuenta los riesgos que el ejercicio de una actividad de tal nivel de peligrosidad</w:t>
      </w:r>
      <w:r>
        <w:rPr>
          <w:spacing w:val="-3"/>
          <w:sz w:val="20"/>
        </w:rPr>
        <w:t xml:space="preserve"> </w:t>
      </w:r>
      <w:r>
        <w:rPr>
          <w:sz w:val="20"/>
        </w:rPr>
        <w:t>implicaban.</w:t>
      </w:r>
    </w:p>
    <w:p w14:paraId="142ED124" w14:textId="77777777" w:rsidR="00467FCA" w:rsidRDefault="00467FCA">
      <w:pPr>
        <w:pStyle w:val="Textoindependiente"/>
        <w:spacing w:before="1"/>
      </w:pPr>
    </w:p>
    <w:p w14:paraId="631A1B0E" w14:textId="77777777" w:rsidR="00467FCA" w:rsidRDefault="001B68EB">
      <w:pPr>
        <w:pStyle w:val="Prrafodelista"/>
        <w:numPr>
          <w:ilvl w:val="0"/>
          <w:numId w:val="50"/>
        </w:numPr>
        <w:tabs>
          <w:tab w:val="left" w:pos="687"/>
        </w:tabs>
        <w:spacing w:before="1"/>
        <w:ind w:left="119" w:right="117" w:firstLine="0"/>
        <w:jc w:val="both"/>
        <w:rPr>
          <w:sz w:val="20"/>
        </w:rPr>
      </w:pPr>
      <w:r>
        <w:rPr>
          <w:sz w:val="20"/>
        </w:rPr>
        <w:t>Así, la Corte nota que, al momento de los hechos, Brasil contaba con una regulación específica sobre</w:t>
      </w:r>
      <w:r>
        <w:rPr>
          <w:sz w:val="20"/>
        </w:rPr>
        <w:t xml:space="preserve"> la fabricación de fuegos artificiales y sobre el control y fiscalización de las actividades que involucraban explosivos. Es decir, había cumplido con su obligación de regulación y contaba con una normatividad que reconocía que la fabricación de fuegos art</w:t>
      </w:r>
      <w:r>
        <w:rPr>
          <w:sz w:val="20"/>
        </w:rPr>
        <w:t>ificiales era una actividad peligrosa. Esa normatividad tenía por objetivo evitar accidentes mediante la fiscalización de la producción de fuegos artificiales. Corresponde entonces establecer si las obligaciones que se desprenden de la regulación de esta a</w:t>
      </w:r>
      <w:r>
        <w:rPr>
          <w:sz w:val="20"/>
        </w:rPr>
        <w:t>ctividad peligrosa fueron cumplidas por el Estado de</w:t>
      </w:r>
      <w:r>
        <w:rPr>
          <w:spacing w:val="-4"/>
          <w:sz w:val="20"/>
        </w:rPr>
        <w:t xml:space="preserve"> </w:t>
      </w:r>
      <w:r>
        <w:rPr>
          <w:sz w:val="20"/>
        </w:rPr>
        <w:t>Brasil.</w:t>
      </w:r>
    </w:p>
    <w:p w14:paraId="7B8CE523" w14:textId="77777777" w:rsidR="00467FCA" w:rsidRDefault="00467FCA">
      <w:pPr>
        <w:pStyle w:val="Textoindependiente"/>
        <w:spacing w:before="11"/>
        <w:rPr>
          <w:sz w:val="19"/>
        </w:rPr>
      </w:pPr>
    </w:p>
    <w:p w14:paraId="673F75FC" w14:textId="77777777" w:rsidR="00467FCA" w:rsidRDefault="001B68EB">
      <w:pPr>
        <w:pStyle w:val="Ttulo2"/>
        <w:numPr>
          <w:ilvl w:val="3"/>
          <w:numId w:val="42"/>
        </w:numPr>
        <w:tabs>
          <w:tab w:val="left" w:pos="1559"/>
          <w:tab w:val="left" w:pos="1560"/>
        </w:tabs>
        <w:ind w:left="839" w:right="117" w:hanging="1"/>
      </w:pPr>
      <w:bookmarkStart w:id="285" w:name="B.2__Análisis_de_la_presunta_atribución_"/>
      <w:bookmarkStart w:id="286" w:name="_bookmark245"/>
      <w:bookmarkEnd w:id="285"/>
      <w:bookmarkEnd w:id="286"/>
      <w:r>
        <w:t xml:space="preserve">Análisis de la presunta atribución de responsabilidad al Estado en el </w:t>
      </w:r>
      <w:r>
        <w:t>presente</w:t>
      </w:r>
      <w:r>
        <w:rPr>
          <w:spacing w:val="-3"/>
        </w:rPr>
        <w:t xml:space="preserve"> </w:t>
      </w:r>
      <w:r>
        <w:t>caso</w:t>
      </w:r>
    </w:p>
    <w:p w14:paraId="089E3192" w14:textId="77777777" w:rsidR="00467FCA" w:rsidRDefault="00467FCA">
      <w:pPr>
        <w:pStyle w:val="Textoindependiente"/>
        <w:rPr>
          <w:b/>
          <w:i/>
        </w:rPr>
      </w:pPr>
    </w:p>
    <w:p w14:paraId="37E06C88" w14:textId="77777777" w:rsidR="00467FCA" w:rsidRDefault="001B68EB">
      <w:pPr>
        <w:pStyle w:val="Prrafodelista"/>
        <w:numPr>
          <w:ilvl w:val="0"/>
          <w:numId w:val="50"/>
        </w:numPr>
        <w:tabs>
          <w:tab w:val="left" w:pos="687"/>
        </w:tabs>
        <w:ind w:left="119" w:right="119" w:firstLine="0"/>
        <w:jc w:val="both"/>
        <w:rPr>
          <w:sz w:val="20"/>
        </w:rPr>
      </w:pPr>
      <w:r>
        <w:rPr>
          <w:sz w:val="20"/>
        </w:rPr>
        <w:t>En</w:t>
      </w:r>
      <w:r>
        <w:rPr>
          <w:spacing w:val="-9"/>
          <w:sz w:val="20"/>
        </w:rPr>
        <w:t xml:space="preserve"> </w:t>
      </w:r>
      <w:r>
        <w:rPr>
          <w:sz w:val="20"/>
        </w:rPr>
        <w:t>relación</w:t>
      </w:r>
      <w:r>
        <w:rPr>
          <w:spacing w:val="-7"/>
          <w:sz w:val="20"/>
        </w:rPr>
        <w:t xml:space="preserve"> </w:t>
      </w:r>
      <w:r>
        <w:rPr>
          <w:sz w:val="20"/>
        </w:rPr>
        <w:t>con</w:t>
      </w:r>
      <w:r>
        <w:rPr>
          <w:spacing w:val="-7"/>
          <w:sz w:val="20"/>
        </w:rPr>
        <w:t xml:space="preserve"> </w:t>
      </w:r>
      <w:r>
        <w:rPr>
          <w:sz w:val="20"/>
        </w:rPr>
        <w:t>la</w:t>
      </w:r>
      <w:r>
        <w:rPr>
          <w:spacing w:val="-7"/>
          <w:sz w:val="20"/>
        </w:rPr>
        <w:t xml:space="preserve"> </w:t>
      </w:r>
      <w:r>
        <w:rPr>
          <w:sz w:val="20"/>
        </w:rPr>
        <w:t>responsabilidad</w:t>
      </w:r>
      <w:r>
        <w:rPr>
          <w:spacing w:val="-10"/>
          <w:sz w:val="20"/>
        </w:rPr>
        <w:t xml:space="preserve"> </w:t>
      </w:r>
      <w:r>
        <w:rPr>
          <w:sz w:val="20"/>
        </w:rPr>
        <w:t>del</w:t>
      </w:r>
      <w:r>
        <w:rPr>
          <w:spacing w:val="-10"/>
          <w:sz w:val="20"/>
        </w:rPr>
        <w:t xml:space="preserve"> </w:t>
      </w:r>
      <w:r>
        <w:rPr>
          <w:sz w:val="20"/>
        </w:rPr>
        <w:t>Estado</w:t>
      </w:r>
      <w:r>
        <w:rPr>
          <w:spacing w:val="-8"/>
          <w:sz w:val="20"/>
        </w:rPr>
        <w:t xml:space="preserve"> </w:t>
      </w:r>
      <w:r>
        <w:rPr>
          <w:sz w:val="20"/>
        </w:rPr>
        <w:t>por</w:t>
      </w:r>
      <w:r>
        <w:rPr>
          <w:spacing w:val="-11"/>
          <w:sz w:val="20"/>
        </w:rPr>
        <w:t xml:space="preserve"> </w:t>
      </w:r>
      <w:r>
        <w:rPr>
          <w:sz w:val="20"/>
        </w:rPr>
        <w:t>las</w:t>
      </w:r>
      <w:r>
        <w:rPr>
          <w:spacing w:val="-9"/>
          <w:sz w:val="20"/>
        </w:rPr>
        <w:t xml:space="preserve"> </w:t>
      </w:r>
      <w:r>
        <w:rPr>
          <w:sz w:val="20"/>
        </w:rPr>
        <w:t>violaciones</w:t>
      </w:r>
      <w:r>
        <w:rPr>
          <w:spacing w:val="-10"/>
          <w:sz w:val="20"/>
        </w:rPr>
        <w:t xml:space="preserve"> </w:t>
      </w:r>
      <w:r>
        <w:rPr>
          <w:sz w:val="20"/>
        </w:rPr>
        <w:t>a</w:t>
      </w:r>
      <w:r>
        <w:rPr>
          <w:spacing w:val="-8"/>
          <w:sz w:val="20"/>
        </w:rPr>
        <w:t xml:space="preserve"> </w:t>
      </w:r>
      <w:r>
        <w:rPr>
          <w:sz w:val="20"/>
        </w:rPr>
        <w:t>los</w:t>
      </w:r>
      <w:r>
        <w:rPr>
          <w:spacing w:val="-11"/>
          <w:sz w:val="20"/>
        </w:rPr>
        <w:t xml:space="preserve"> </w:t>
      </w:r>
      <w:r>
        <w:rPr>
          <w:sz w:val="20"/>
        </w:rPr>
        <w:t>derechos</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vida y</w:t>
      </w:r>
      <w:r>
        <w:rPr>
          <w:spacing w:val="-14"/>
          <w:sz w:val="20"/>
        </w:rPr>
        <w:t xml:space="preserve"> </w:t>
      </w:r>
      <w:r>
        <w:rPr>
          <w:sz w:val="20"/>
        </w:rPr>
        <w:t>a</w:t>
      </w:r>
      <w:r>
        <w:rPr>
          <w:spacing w:val="-10"/>
          <w:sz w:val="20"/>
        </w:rPr>
        <w:t xml:space="preserve"> </w:t>
      </w:r>
      <w:r>
        <w:rPr>
          <w:sz w:val="20"/>
        </w:rPr>
        <w:t>la</w:t>
      </w:r>
      <w:r>
        <w:rPr>
          <w:spacing w:val="-13"/>
          <w:sz w:val="20"/>
        </w:rPr>
        <w:t xml:space="preserve"> </w:t>
      </w:r>
      <w:r>
        <w:rPr>
          <w:sz w:val="20"/>
        </w:rPr>
        <w:t>integridad</w:t>
      </w:r>
      <w:r>
        <w:rPr>
          <w:spacing w:val="-13"/>
          <w:sz w:val="20"/>
        </w:rPr>
        <w:t xml:space="preserve"> </w:t>
      </w:r>
      <w:r>
        <w:rPr>
          <w:sz w:val="20"/>
        </w:rPr>
        <w:t>personal</w:t>
      </w:r>
      <w:r>
        <w:rPr>
          <w:spacing w:val="-12"/>
          <w:sz w:val="20"/>
        </w:rPr>
        <w:t xml:space="preserve"> </w:t>
      </w:r>
      <w:r>
        <w:rPr>
          <w:sz w:val="20"/>
        </w:rPr>
        <w:t>de</w:t>
      </w:r>
      <w:r>
        <w:rPr>
          <w:spacing w:val="-12"/>
          <w:sz w:val="20"/>
        </w:rPr>
        <w:t xml:space="preserve"> </w:t>
      </w:r>
      <w:r>
        <w:rPr>
          <w:sz w:val="20"/>
        </w:rPr>
        <w:t>los</w:t>
      </w:r>
      <w:r>
        <w:rPr>
          <w:spacing w:val="-10"/>
          <w:sz w:val="20"/>
        </w:rPr>
        <w:t xml:space="preserve"> </w:t>
      </w:r>
      <w:r>
        <w:rPr>
          <w:sz w:val="20"/>
        </w:rPr>
        <w:t>individuos</w:t>
      </w:r>
      <w:r>
        <w:rPr>
          <w:spacing w:val="-11"/>
          <w:sz w:val="20"/>
        </w:rPr>
        <w:t xml:space="preserve"> </w:t>
      </w:r>
      <w:r>
        <w:rPr>
          <w:sz w:val="20"/>
        </w:rPr>
        <w:t>fallecidos</w:t>
      </w:r>
      <w:r>
        <w:rPr>
          <w:spacing w:val="-11"/>
          <w:sz w:val="20"/>
        </w:rPr>
        <w:t xml:space="preserve"> </w:t>
      </w:r>
      <w:r>
        <w:rPr>
          <w:sz w:val="20"/>
        </w:rPr>
        <w:t>y</w:t>
      </w:r>
      <w:r>
        <w:rPr>
          <w:spacing w:val="-12"/>
          <w:sz w:val="20"/>
        </w:rPr>
        <w:t xml:space="preserve"> </w:t>
      </w:r>
      <w:r>
        <w:rPr>
          <w:sz w:val="20"/>
        </w:rPr>
        <w:t>sobrevivientes</w:t>
      </w:r>
      <w:r>
        <w:rPr>
          <w:spacing w:val="-11"/>
          <w:sz w:val="20"/>
        </w:rPr>
        <w:t xml:space="preserve"> </w:t>
      </w:r>
      <w:r>
        <w:rPr>
          <w:sz w:val="20"/>
        </w:rPr>
        <w:t>de</w:t>
      </w:r>
      <w:r>
        <w:rPr>
          <w:spacing w:val="-14"/>
          <w:sz w:val="20"/>
        </w:rPr>
        <w:t xml:space="preserve"> </w:t>
      </w:r>
      <w:r>
        <w:rPr>
          <w:sz w:val="20"/>
        </w:rPr>
        <w:t>la</w:t>
      </w:r>
      <w:r>
        <w:rPr>
          <w:spacing w:val="-11"/>
          <w:sz w:val="20"/>
        </w:rPr>
        <w:t xml:space="preserve"> </w:t>
      </w:r>
      <w:r>
        <w:rPr>
          <w:sz w:val="20"/>
        </w:rPr>
        <w:t>explosión</w:t>
      </w:r>
      <w:r>
        <w:rPr>
          <w:spacing w:val="-9"/>
          <w:sz w:val="20"/>
        </w:rPr>
        <w:t xml:space="preserve"> </w:t>
      </w:r>
      <w:r>
        <w:rPr>
          <w:sz w:val="20"/>
        </w:rPr>
        <w:t>ocurrida el</w:t>
      </w:r>
      <w:r>
        <w:rPr>
          <w:spacing w:val="-16"/>
          <w:sz w:val="20"/>
        </w:rPr>
        <w:t xml:space="preserve"> </w:t>
      </w:r>
      <w:r>
        <w:rPr>
          <w:sz w:val="20"/>
        </w:rPr>
        <w:t>11</w:t>
      </w:r>
      <w:r>
        <w:rPr>
          <w:spacing w:val="-15"/>
          <w:sz w:val="20"/>
        </w:rPr>
        <w:t xml:space="preserve"> </w:t>
      </w:r>
      <w:r>
        <w:rPr>
          <w:sz w:val="20"/>
        </w:rPr>
        <w:t>de</w:t>
      </w:r>
      <w:r>
        <w:rPr>
          <w:spacing w:val="-16"/>
          <w:sz w:val="20"/>
        </w:rPr>
        <w:t xml:space="preserve"> </w:t>
      </w:r>
      <w:r>
        <w:rPr>
          <w:sz w:val="20"/>
        </w:rPr>
        <w:t>diciembre</w:t>
      </w:r>
      <w:r>
        <w:rPr>
          <w:spacing w:val="-16"/>
          <w:sz w:val="20"/>
        </w:rPr>
        <w:t xml:space="preserve"> </w:t>
      </w:r>
      <w:r>
        <w:rPr>
          <w:sz w:val="20"/>
        </w:rPr>
        <w:t>de</w:t>
      </w:r>
      <w:r>
        <w:rPr>
          <w:spacing w:val="-16"/>
          <w:sz w:val="20"/>
        </w:rPr>
        <w:t xml:space="preserve"> </w:t>
      </w:r>
      <w:r>
        <w:rPr>
          <w:sz w:val="20"/>
        </w:rPr>
        <w:t>1998,</w:t>
      </w:r>
      <w:r>
        <w:rPr>
          <w:spacing w:val="-16"/>
          <w:sz w:val="20"/>
        </w:rPr>
        <w:t xml:space="preserve"> </w:t>
      </w:r>
      <w:r>
        <w:rPr>
          <w:sz w:val="20"/>
        </w:rPr>
        <w:t>la</w:t>
      </w:r>
      <w:r>
        <w:rPr>
          <w:spacing w:val="-15"/>
          <w:sz w:val="20"/>
        </w:rPr>
        <w:t xml:space="preserve"> </w:t>
      </w:r>
      <w:r>
        <w:rPr>
          <w:sz w:val="20"/>
        </w:rPr>
        <w:t>Corte</w:t>
      </w:r>
      <w:r>
        <w:rPr>
          <w:spacing w:val="-16"/>
          <w:sz w:val="20"/>
        </w:rPr>
        <w:t xml:space="preserve"> </w:t>
      </w:r>
      <w:r>
        <w:rPr>
          <w:sz w:val="20"/>
        </w:rPr>
        <w:t>encuentra</w:t>
      </w:r>
      <w:r>
        <w:rPr>
          <w:spacing w:val="-15"/>
          <w:sz w:val="20"/>
        </w:rPr>
        <w:t xml:space="preserve"> </w:t>
      </w:r>
      <w:r>
        <w:rPr>
          <w:sz w:val="20"/>
        </w:rPr>
        <w:t>que</w:t>
      </w:r>
      <w:r>
        <w:rPr>
          <w:spacing w:val="-16"/>
          <w:sz w:val="20"/>
        </w:rPr>
        <w:t xml:space="preserve"> </w:t>
      </w:r>
      <w:r>
        <w:rPr>
          <w:sz w:val="20"/>
        </w:rPr>
        <w:t>el</w:t>
      </w:r>
      <w:r>
        <w:rPr>
          <w:spacing w:val="-15"/>
          <w:sz w:val="20"/>
        </w:rPr>
        <w:t xml:space="preserve"> </w:t>
      </w:r>
      <w:r>
        <w:rPr>
          <w:sz w:val="20"/>
        </w:rPr>
        <w:t>Estado</w:t>
      </w:r>
      <w:r>
        <w:rPr>
          <w:spacing w:val="-14"/>
          <w:sz w:val="20"/>
        </w:rPr>
        <w:t xml:space="preserve"> </w:t>
      </w:r>
      <w:r>
        <w:rPr>
          <w:sz w:val="20"/>
        </w:rPr>
        <w:t>catalogó</w:t>
      </w:r>
      <w:r>
        <w:rPr>
          <w:spacing w:val="-16"/>
          <w:sz w:val="20"/>
        </w:rPr>
        <w:t xml:space="preserve"> </w:t>
      </w:r>
      <w:r>
        <w:rPr>
          <w:sz w:val="20"/>
        </w:rPr>
        <w:t>la</w:t>
      </w:r>
      <w:r>
        <w:rPr>
          <w:spacing w:val="-15"/>
          <w:sz w:val="20"/>
        </w:rPr>
        <w:t xml:space="preserve"> </w:t>
      </w:r>
      <w:r>
        <w:rPr>
          <w:sz w:val="20"/>
        </w:rPr>
        <w:t>fabricación</w:t>
      </w:r>
      <w:r>
        <w:rPr>
          <w:spacing w:val="-15"/>
          <w:sz w:val="20"/>
        </w:rPr>
        <w:t xml:space="preserve"> </w:t>
      </w:r>
      <w:r>
        <w:rPr>
          <w:sz w:val="20"/>
        </w:rPr>
        <w:t>de</w:t>
      </w:r>
      <w:r>
        <w:rPr>
          <w:spacing w:val="-14"/>
          <w:sz w:val="20"/>
        </w:rPr>
        <w:t xml:space="preserve"> </w:t>
      </w:r>
      <w:r>
        <w:rPr>
          <w:sz w:val="20"/>
        </w:rPr>
        <w:t>fuegos artificiales como una actividad peligrosa (</w:t>
      </w:r>
      <w:r>
        <w:rPr>
          <w:i/>
          <w:sz w:val="20"/>
        </w:rPr>
        <w:t xml:space="preserve">supra </w:t>
      </w:r>
      <w:r>
        <w:rPr>
          <w:sz w:val="20"/>
        </w:rPr>
        <w:t>párr. 124) y reglamen</w:t>
      </w:r>
      <w:r>
        <w:rPr>
          <w:sz w:val="20"/>
        </w:rPr>
        <w:t>tó las condiciones en que</w:t>
      </w:r>
      <w:r>
        <w:rPr>
          <w:spacing w:val="26"/>
          <w:sz w:val="20"/>
        </w:rPr>
        <w:t xml:space="preserve"> </w:t>
      </w:r>
      <w:r>
        <w:rPr>
          <w:sz w:val="20"/>
        </w:rPr>
        <w:t>debía</w:t>
      </w:r>
      <w:r>
        <w:rPr>
          <w:spacing w:val="30"/>
          <w:sz w:val="20"/>
        </w:rPr>
        <w:t xml:space="preserve"> </w:t>
      </w:r>
      <w:r>
        <w:rPr>
          <w:sz w:val="20"/>
        </w:rPr>
        <w:t>ejercerse.</w:t>
      </w:r>
      <w:r>
        <w:rPr>
          <w:spacing w:val="29"/>
          <w:sz w:val="20"/>
        </w:rPr>
        <w:t xml:space="preserve"> </w:t>
      </w:r>
      <w:r>
        <w:rPr>
          <w:sz w:val="20"/>
        </w:rPr>
        <w:t>En</w:t>
      </w:r>
      <w:r>
        <w:rPr>
          <w:spacing w:val="29"/>
          <w:sz w:val="20"/>
        </w:rPr>
        <w:t xml:space="preserve"> </w:t>
      </w:r>
      <w:r>
        <w:rPr>
          <w:sz w:val="20"/>
        </w:rPr>
        <w:t>ese</w:t>
      </w:r>
      <w:r>
        <w:rPr>
          <w:spacing w:val="26"/>
          <w:sz w:val="20"/>
        </w:rPr>
        <w:t xml:space="preserve"> </w:t>
      </w:r>
      <w:r>
        <w:rPr>
          <w:sz w:val="20"/>
        </w:rPr>
        <w:t>sentido,</w:t>
      </w:r>
      <w:r>
        <w:rPr>
          <w:spacing w:val="29"/>
          <w:sz w:val="20"/>
        </w:rPr>
        <w:t xml:space="preserve"> </w:t>
      </w:r>
      <w:r>
        <w:rPr>
          <w:sz w:val="20"/>
        </w:rPr>
        <w:t>esta</w:t>
      </w:r>
      <w:r>
        <w:rPr>
          <w:spacing w:val="28"/>
          <w:sz w:val="20"/>
        </w:rPr>
        <w:t xml:space="preserve"> </w:t>
      </w:r>
      <w:r>
        <w:rPr>
          <w:sz w:val="20"/>
        </w:rPr>
        <w:t>actividad</w:t>
      </w:r>
      <w:r>
        <w:rPr>
          <w:spacing w:val="28"/>
          <w:sz w:val="20"/>
        </w:rPr>
        <w:t xml:space="preserve"> </w:t>
      </w:r>
      <w:r>
        <w:rPr>
          <w:sz w:val="20"/>
        </w:rPr>
        <w:t>solo</w:t>
      </w:r>
      <w:r>
        <w:rPr>
          <w:spacing w:val="26"/>
          <w:sz w:val="20"/>
        </w:rPr>
        <w:t xml:space="preserve"> </w:t>
      </w:r>
      <w:r>
        <w:rPr>
          <w:sz w:val="20"/>
        </w:rPr>
        <w:t>podía</w:t>
      </w:r>
      <w:r>
        <w:rPr>
          <w:spacing w:val="27"/>
          <w:sz w:val="20"/>
        </w:rPr>
        <w:t xml:space="preserve"> </w:t>
      </w:r>
      <w:r>
        <w:rPr>
          <w:sz w:val="20"/>
        </w:rPr>
        <w:t>desplegarse</w:t>
      </w:r>
      <w:r>
        <w:rPr>
          <w:spacing w:val="27"/>
          <w:sz w:val="20"/>
        </w:rPr>
        <w:t xml:space="preserve"> </w:t>
      </w:r>
      <w:r>
        <w:rPr>
          <w:sz w:val="20"/>
        </w:rPr>
        <w:t>posterior</w:t>
      </w:r>
      <w:r>
        <w:rPr>
          <w:spacing w:val="26"/>
          <w:sz w:val="20"/>
        </w:rPr>
        <w:t xml:space="preserve"> </w:t>
      </w:r>
      <w:r>
        <w:rPr>
          <w:sz w:val="20"/>
        </w:rPr>
        <w:t>a</w:t>
      </w:r>
      <w:r>
        <w:rPr>
          <w:spacing w:val="27"/>
          <w:sz w:val="20"/>
        </w:rPr>
        <w:t xml:space="preserve"> </w:t>
      </w:r>
      <w:r>
        <w:rPr>
          <w:sz w:val="20"/>
        </w:rPr>
        <w:t>un</w:t>
      </w:r>
    </w:p>
    <w:p w14:paraId="37B0639D" w14:textId="77777777" w:rsidR="00467FCA" w:rsidRDefault="001B68EB">
      <w:pPr>
        <w:pStyle w:val="Textoindependiente"/>
        <w:spacing w:before="7"/>
        <w:rPr>
          <w:sz w:val="13"/>
        </w:rPr>
      </w:pPr>
      <w:r>
        <w:pict w14:anchorId="5F11709B">
          <v:shape id="_x0000_s1161" style="position:absolute;margin-left:1in;margin-top:10.55pt;width:2in;height:.1pt;z-index:-251622400;mso-wrap-distance-left:0;mso-wrap-distance-right:0;mso-position-horizontal-relative:page" coordorigin="1440,211" coordsize="2880,0" path="m1440,211r2880,e" filled="f" strokeweight=".6pt">
            <v:path arrowok="t"/>
            <w10:wrap type="topAndBottom" anchorx="page"/>
          </v:shape>
        </w:pict>
      </w:r>
    </w:p>
    <w:p w14:paraId="04EA5F72" w14:textId="77777777" w:rsidR="00467FCA" w:rsidRDefault="001B68EB">
      <w:pPr>
        <w:tabs>
          <w:tab w:val="left" w:pos="839"/>
        </w:tabs>
        <w:spacing w:before="74"/>
        <w:ind w:left="120"/>
        <w:rPr>
          <w:sz w:val="16"/>
        </w:rPr>
      </w:pPr>
      <w:bookmarkStart w:id="287" w:name="_bookmark246"/>
      <w:bookmarkEnd w:id="287"/>
      <w:r>
        <w:rPr>
          <w:position w:val="6"/>
          <w:sz w:val="10"/>
        </w:rPr>
        <w:t>206</w:t>
      </w:r>
      <w:r>
        <w:rPr>
          <w:position w:val="6"/>
          <w:sz w:val="10"/>
        </w:rPr>
        <w:tab/>
      </w:r>
      <w:bookmarkStart w:id="288" w:name="_bookmark247"/>
      <w:bookmarkEnd w:id="288"/>
      <w:r>
        <w:rPr>
          <w:i/>
          <w:sz w:val="16"/>
        </w:rPr>
        <w:t xml:space="preserve">Cfr. </w:t>
      </w:r>
      <w:r>
        <w:rPr>
          <w:sz w:val="16"/>
        </w:rPr>
        <w:t xml:space="preserve">Decreto No. 55.649 de 28 de enero de 1965, </w:t>
      </w:r>
      <w:r>
        <w:rPr>
          <w:i/>
          <w:sz w:val="16"/>
        </w:rPr>
        <w:t xml:space="preserve">supra, </w:t>
      </w:r>
      <w:r>
        <w:rPr>
          <w:sz w:val="16"/>
        </w:rPr>
        <w:t>artículo</w:t>
      </w:r>
      <w:r>
        <w:rPr>
          <w:spacing w:val="-11"/>
          <w:sz w:val="16"/>
        </w:rPr>
        <w:t xml:space="preserve"> </w:t>
      </w:r>
      <w:r>
        <w:rPr>
          <w:sz w:val="16"/>
        </w:rPr>
        <w:t>23.</w:t>
      </w:r>
    </w:p>
    <w:p w14:paraId="2E5C50FD" w14:textId="77777777" w:rsidR="00467FCA" w:rsidRDefault="001B68EB">
      <w:pPr>
        <w:tabs>
          <w:tab w:val="left" w:pos="839"/>
        </w:tabs>
        <w:ind w:left="120"/>
        <w:rPr>
          <w:sz w:val="16"/>
        </w:rPr>
      </w:pPr>
      <w:r>
        <w:rPr>
          <w:position w:val="6"/>
          <w:sz w:val="10"/>
        </w:rPr>
        <w:t>207</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w:t>
      </w:r>
      <w:r>
        <w:rPr>
          <w:spacing w:val="-27"/>
          <w:sz w:val="16"/>
        </w:rPr>
        <w:t xml:space="preserve"> </w:t>
      </w:r>
      <w:r>
        <w:rPr>
          <w:sz w:val="16"/>
        </w:rPr>
        <w:t>256.</w:t>
      </w:r>
    </w:p>
    <w:p w14:paraId="269BB2B5" w14:textId="77777777" w:rsidR="00467FCA" w:rsidRDefault="001B68EB">
      <w:pPr>
        <w:tabs>
          <w:tab w:val="left" w:pos="839"/>
        </w:tabs>
        <w:ind w:left="120"/>
        <w:rPr>
          <w:sz w:val="16"/>
        </w:rPr>
      </w:pPr>
      <w:bookmarkStart w:id="289" w:name="_bookmark248"/>
      <w:bookmarkEnd w:id="289"/>
      <w:r>
        <w:rPr>
          <w:position w:val="6"/>
          <w:sz w:val="10"/>
        </w:rPr>
        <w:t>208</w:t>
      </w:r>
      <w:r>
        <w:rPr>
          <w:position w:val="6"/>
          <w:sz w:val="10"/>
        </w:rPr>
        <w:tab/>
      </w:r>
      <w:r>
        <w:rPr>
          <w:i/>
          <w:sz w:val="16"/>
        </w:rPr>
        <w:t xml:space="preserve">Cfr. </w:t>
      </w:r>
      <w:r>
        <w:rPr>
          <w:sz w:val="16"/>
        </w:rPr>
        <w:t xml:space="preserve">Decreto No. 55.649 de 28 de enero de 1965, </w:t>
      </w:r>
      <w:r>
        <w:rPr>
          <w:i/>
          <w:sz w:val="16"/>
        </w:rPr>
        <w:t xml:space="preserve">supra, </w:t>
      </w:r>
      <w:r>
        <w:rPr>
          <w:sz w:val="16"/>
        </w:rPr>
        <w:t>artículo</w:t>
      </w:r>
      <w:r>
        <w:rPr>
          <w:spacing w:val="-27"/>
          <w:sz w:val="16"/>
        </w:rPr>
        <w:t xml:space="preserve"> </w:t>
      </w:r>
      <w:r>
        <w:rPr>
          <w:sz w:val="16"/>
        </w:rPr>
        <w:t>279.</w:t>
      </w:r>
    </w:p>
    <w:p w14:paraId="3E239774" w14:textId="77777777" w:rsidR="00467FCA" w:rsidRDefault="001B68EB">
      <w:pPr>
        <w:tabs>
          <w:tab w:val="left" w:pos="839"/>
        </w:tabs>
        <w:ind w:left="119" w:right="117"/>
        <w:rPr>
          <w:i/>
          <w:sz w:val="16"/>
        </w:rPr>
      </w:pPr>
      <w:bookmarkStart w:id="290" w:name="_bookmark249"/>
      <w:bookmarkEnd w:id="290"/>
      <w:r>
        <w:rPr>
          <w:position w:val="6"/>
          <w:sz w:val="10"/>
        </w:rPr>
        <w:t>209</w:t>
      </w:r>
      <w:r>
        <w:rPr>
          <w:position w:val="6"/>
          <w:sz w:val="10"/>
        </w:rPr>
        <w:tab/>
      </w:r>
      <w:r>
        <w:rPr>
          <w:i/>
          <w:sz w:val="16"/>
        </w:rPr>
        <w:t xml:space="preserve">Cfr. Amicus Curiae </w:t>
      </w:r>
      <w:r>
        <w:rPr>
          <w:sz w:val="16"/>
        </w:rPr>
        <w:t>presentado por la Clínica de Derechos Humanos y Derecho Ambiental de la Universidad del Estado d</w:t>
      </w:r>
      <w:r>
        <w:rPr>
          <w:sz w:val="16"/>
        </w:rPr>
        <w:t xml:space="preserve">e Amazonas, </w:t>
      </w:r>
      <w:r>
        <w:rPr>
          <w:i/>
          <w:sz w:val="16"/>
        </w:rPr>
        <w:t>supra</w:t>
      </w:r>
      <w:r>
        <w:rPr>
          <w:sz w:val="16"/>
        </w:rPr>
        <w:t>, y Decreto del estado de Bahia No. 6.465 de 09 de junio de 1997</w:t>
      </w:r>
      <w:r>
        <w:rPr>
          <w:i/>
          <w:sz w:val="16"/>
        </w:rPr>
        <w:t>,</w:t>
      </w:r>
      <w:r>
        <w:rPr>
          <w:i/>
          <w:spacing w:val="-25"/>
          <w:sz w:val="16"/>
        </w:rPr>
        <w:t xml:space="preserve"> </w:t>
      </w:r>
      <w:r>
        <w:rPr>
          <w:i/>
          <w:sz w:val="16"/>
        </w:rPr>
        <w:t>supra.</w:t>
      </w:r>
    </w:p>
    <w:p w14:paraId="767624D7" w14:textId="77777777" w:rsidR="00467FCA" w:rsidRDefault="00467FCA">
      <w:pPr>
        <w:rPr>
          <w:sz w:val="16"/>
        </w:rPr>
        <w:sectPr w:rsidR="00467FCA">
          <w:pgSz w:w="12240" w:h="15840"/>
          <w:pgMar w:top="1360" w:right="1320" w:bottom="1220" w:left="1320" w:header="0" w:footer="1037" w:gutter="0"/>
          <w:cols w:space="720"/>
        </w:sectPr>
      </w:pPr>
    </w:p>
    <w:p w14:paraId="2D7034EE" w14:textId="77777777" w:rsidR="00467FCA" w:rsidRDefault="001B68EB">
      <w:pPr>
        <w:pStyle w:val="Textoindependiente"/>
        <w:spacing w:before="80"/>
        <w:ind w:left="119" w:right="119"/>
        <w:jc w:val="both"/>
      </w:pPr>
      <w:r>
        <w:t>registro y bajo estrictos permisos (</w:t>
      </w:r>
      <w:r>
        <w:rPr>
          <w:i/>
        </w:rPr>
        <w:t xml:space="preserve">supra </w:t>
      </w:r>
      <w:r>
        <w:t>párr. 125). En este caso, esos permisos fueron otorgados</w:t>
      </w:r>
      <w:r>
        <w:rPr>
          <w:spacing w:val="-10"/>
        </w:rPr>
        <w:t xml:space="preserve"> </w:t>
      </w:r>
      <w:r>
        <w:t>y</w:t>
      </w:r>
      <w:r>
        <w:rPr>
          <w:spacing w:val="-9"/>
        </w:rPr>
        <w:t xml:space="preserve"> </w:t>
      </w:r>
      <w:r>
        <w:t>el</w:t>
      </w:r>
      <w:r>
        <w:rPr>
          <w:spacing w:val="-11"/>
        </w:rPr>
        <w:t xml:space="preserve"> </w:t>
      </w:r>
      <w:r>
        <w:t>funcionamiento</w:t>
      </w:r>
      <w:r>
        <w:rPr>
          <w:spacing w:val="-11"/>
        </w:rPr>
        <w:t xml:space="preserve"> </w:t>
      </w:r>
      <w:r>
        <w:t>de</w:t>
      </w:r>
      <w:r>
        <w:rPr>
          <w:spacing w:val="-12"/>
        </w:rPr>
        <w:t xml:space="preserve"> </w:t>
      </w:r>
      <w:r>
        <w:t>la</w:t>
      </w:r>
      <w:r>
        <w:rPr>
          <w:spacing w:val="-8"/>
        </w:rPr>
        <w:t xml:space="preserve"> </w:t>
      </w:r>
      <w:r>
        <w:t>fábrica</w:t>
      </w:r>
      <w:r>
        <w:rPr>
          <w:spacing w:val="-11"/>
        </w:rPr>
        <w:t xml:space="preserve"> </w:t>
      </w:r>
      <w:r>
        <w:t>en</w:t>
      </w:r>
      <w:r>
        <w:rPr>
          <w:spacing w:val="-8"/>
        </w:rPr>
        <w:t xml:space="preserve"> </w:t>
      </w:r>
      <w:r>
        <w:t>cuestión,</w:t>
      </w:r>
      <w:r>
        <w:rPr>
          <w:spacing w:val="-12"/>
        </w:rPr>
        <w:t xml:space="preserve"> </w:t>
      </w:r>
      <w:r>
        <w:t>aunque</w:t>
      </w:r>
      <w:r>
        <w:rPr>
          <w:spacing w:val="-11"/>
        </w:rPr>
        <w:t xml:space="preserve"> </w:t>
      </w:r>
      <w:r>
        <w:t>irregular,</w:t>
      </w:r>
      <w:r>
        <w:rPr>
          <w:spacing w:val="-12"/>
        </w:rPr>
        <w:t xml:space="preserve"> </w:t>
      </w:r>
      <w:r>
        <w:t>no</w:t>
      </w:r>
      <w:r>
        <w:rPr>
          <w:spacing w:val="-9"/>
        </w:rPr>
        <w:t xml:space="preserve"> </w:t>
      </w:r>
      <w:r>
        <w:t>era</w:t>
      </w:r>
      <w:r>
        <w:rPr>
          <w:spacing w:val="-11"/>
        </w:rPr>
        <w:t xml:space="preserve"> </w:t>
      </w:r>
      <w:r>
        <w:t>clandestino. Es decir, el Estado había otorgado permiso para el funcionamiento de la fábrica y, por ello, sabía el tipo de actividad que allí se desplegaba. En esa medida, tenía la obligación clara y exigible</w:t>
      </w:r>
      <w:r>
        <w:rPr>
          <w:spacing w:val="-17"/>
        </w:rPr>
        <w:t xml:space="preserve"> </w:t>
      </w:r>
      <w:r>
        <w:t>de</w:t>
      </w:r>
      <w:r>
        <w:rPr>
          <w:spacing w:val="-17"/>
        </w:rPr>
        <w:t xml:space="preserve"> </w:t>
      </w:r>
      <w:r>
        <w:t>supervisa</w:t>
      </w:r>
      <w:r>
        <w:t>r</w:t>
      </w:r>
      <w:r>
        <w:rPr>
          <w:spacing w:val="-14"/>
        </w:rPr>
        <w:t xml:space="preserve"> </w:t>
      </w:r>
      <w:r>
        <w:t>y</w:t>
      </w:r>
      <w:r>
        <w:rPr>
          <w:spacing w:val="-14"/>
        </w:rPr>
        <w:t xml:space="preserve"> </w:t>
      </w:r>
      <w:r>
        <w:t>fiscalizar</w:t>
      </w:r>
      <w:r>
        <w:rPr>
          <w:spacing w:val="-15"/>
        </w:rPr>
        <w:t xml:space="preserve"> </w:t>
      </w:r>
      <w:r>
        <w:t>su</w:t>
      </w:r>
      <w:r>
        <w:rPr>
          <w:spacing w:val="-14"/>
        </w:rPr>
        <w:t xml:space="preserve"> </w:t>
      </w:r>
      <w:r>
        <w:t>operación.</w:t>
      </w:r>
      <w:r>
        <w:rPr>
          <w:spacing w:val="-17"/>
        </w:rPr>
        <w:t xml:space="preserve"> </w:t>
      </w:r>
      <w:r>
        <w:t>Ese</w:t>
      </w:r>
      <w:r>
        <w:rPr>
          <w:spacing w:val="-17"/>
        </w:rPr>
        <w:t xml:space="preserve"> </w:t>
      </w:r>
      <w:r>
        <w:t>deber</w:t>
      </w:r>
      <w:r>
        <w:rPr>
          <w:spacing w:val="-16"/>
        </w:rPr>
        <w:t xml:space="preserve"> </w:t>
      </w:r>
      <w:r>
        <w:t>comprendía</w:t>
      </w:r>
      <w:r>
        <w:rPr>
          <w:spacing w:val="-16"/>
        </w:rPr>
        <w:t xml:space="preserve"> </w:t>
      </w:r>
      <w:r>
        <w:t>la</w:t>
      </w:r>
      <w:r>
        <w:rPr>
          <w:spacing w:val="-13"/>
        </w:rPr>
        <w:t xml:space="preserve"> </w:t>
      </w:r>
      <w:r>
        <w:t>producción</w:t>
      </w:r>
      <w:r>
        <w:rPr>
          <w:spacing w:val="-14"/>
        </w:rPr>
        <w:t xml:space="preserve"> </w:t>
      </w:r>
      <w:r>
        <w:t>de</w:t>
      </w:r>
      <w:r>
        <w:rPr>
          <w:spacing w:val="-15"/>
        </w:rPr>
        <w:t xml:space="preserve"> </w:t>
      </w:r>
      <w:r>
        <w:t>fuegos artificiales</w:t>
      </w:r>
      <w:r>
        <w:rPr>
          <w:spacing w:val="-10"/>
        </w:rPr>
        <w:t xml:space="preserve"> </w:t>
      </w:r>
      <w:r>
        <w:t>y</w:t>
      </w:r>
      <w:r>
        <w:rPr>
          <w:spacing w:val="-6"/>
        </w:rPr>
        <w:t xml:space="preserve"> </w:t>
      </w:r>
      <w:r>
        <w:t>la</w:t>
      </w:r>
      <w:r>
        <w:rPr>
          <w:spacing w:val="-8"/>
        </w:rPr>
        <w:t xml:space="preserve"> </w:t>
      </w:r>
      <w:r>
        <w:t>manipulación</w:t>
      </w:r>
      <w:r>
        <w:rPr>
          <w:spacing w:val="-7"/>
        </w:rPr>
        <w:t xml:space="preserve"> </w:t>
      </w:r>
      <w:r>
        <w:t>y</w:t>
      </w:r>
      <w:r>
        <w:rPr>
          <w:spacing w:val="-9"/>
        </w:rPr>
        <w:t xml:space="preserve"> </w:t>
      </w:r>
      <w:r>
        <w:t>almacenamiento</w:t>
      </w:r>
      <w:r>
        <w:rPr>
          <w:spacing w:val="-7"/>
        </w:rPr>
        <w:t xml:space="preserve"> </w:t>
      </w:r>
      <w:r>
        <w:t>de</w:t>
      </w:r>
      <w:r>
        <w:rPr>
          <w:spacing w:val="-9"/>
        </w:rPr>
        <w:t xml:space="preserve"> </w:t>
      </w:r>
      <w:r>
        <w:t>los</w:t>
      </w:r>
      <w:r>
        <w:rPr>
          <w:spacing w:val="-9"/>
        </w:rPr>
        <w:t xml:space="preserve"> </w:t>
      </w:r>
      <w:r>
        <w:t>inventarios</w:t>
      </w:r>
      <w:r>
        <w:rPr>
          <w:spacing w:val="-9"/>
        </w:rPr>
        <w:t xml:space="preserve"> </w:t>
      </w:r>
      <w:r>
        <w:t>de</w:t>
      </w:r>
      <w:r>
        <w:rPr>
          <w:spacing w:val="-9"/>
        </w:rPr>
        <w:t xml:space="preserve"> </w:t>
      </w:r>
      <w:r>
        <w:t>pólvora,</w:t>
      </w:r>
      <w:r>
        <w:rPr>
          <w:spacing w:val="-7"/>
        </w:rPr>
        <w:t xml:space="preserve"> </w:t>
      </w:r>
      <w:r>
        <w:t>e</w:t>
      </w:r>
      <w:r>
        <w:rPr>
          <w:spacing w:val="-9"/>
        </w:rPr>
        <w:t xml:space="preserve"> </w:t>
      </w:r>
      <w:r>
        <w:t>involucraba</w:t>
      </w:r>
      <w:r>
        <w:rPr>
          <w:spacing w:val="-8"/>
        </w:rPr>
        <w:t xml:space="preserve"> </w:t>
      </w:r>
      <w:r>
        <w:t>a autoridades del orden nacional, estatal y</w:t>
      </w:r>
      <w:r>
        <w:rPr>
          <w:spacing w:val="-1"/>
        </w:rPr>
        <w:t xml:space="preserve"> </w:t>
      </w:r>
      <w:r>
        <w:t>municipal.</w:t>
      </w:r>
    </w:p>
    <w:p w14:paraId="44AB6CCC" w14:textId="77777777" w:rsidR="00467FCA" w:rsidRDefault="00467FCA">
      <w:pPr>
        <w:pStyle w:val="Textoindependiente"/>
      </w:pPr>
    </w:p>
    <w:p w14:paraId="7F799BE2" w14:textId="77777777" w:rsidR="00467FCA" w:rsidRDefault="001B68EB">
      <w:pPr>
        <w:pStyle w:val="Prrafodelista"/>
        <w:numPr>
          <w:ilvl w:val="0"/>
          <w:numId w:val="50"/>
        </w:numPr>
        <w:tabs>
          <w:tab w:val="left" w:pos="686"/>
        </w:tabs>
        <w:ind w:left="119" w:right="118" w:firstLine="0"/>
        <w:jc w:val="both"/>
        <w:rPr>
          <w:sz w:val="20"/>
        </w:rPr>
      </w:pPr>
      <w:r>
        <w:rPr>
          <w:sz w:val="20"/>
        </w:rPr>
        <w:t>Sin embargo, pese a que las autoridades habían otorgado el permiso para el funcionamiento de la fábrica y a que, como consecuencia de ese permiso, el Estado tenía la obligación de fiscalizar, este no indicó ni se desprende del expediente, que hubiera reali</w:t>
      </w:r>
      <w:r>
        <w:rPr>
          <w:sz w:val="20"/>
        </w:rPr>
        <w:t>zado ninguna</w:t>
      </w:r>
      <w:r>
        <w:rPr>
          <w:spacing w:val="-20"/>
          <w:sz w:val="20"/>
        </w:rPr>
        <w:t xml:space="preserve"> </w:t>
      </w:r>
      <w:r>
        <w:rPr>
          <w:sz w:val="20"/>
        </w:rPr>
        <w:t>acción</w:t>
      </w:r>
      <w:r>
        <w:rPr>
          <w:spacing w:val="-19"/>
          <w:sz w:val="20"/>
        </w:rPr>
        <w:t xml:space="preserve"> </w:t>
      </w:r>
      <w:r>
        <w:rPr>
          <w:sz w:val="20"/>
        </w:rPr>
        <w:t>de</w:t>
      </w:r>
      <w:r>
        <w:rPr>
          <w:spacing w:val="-19"/>
          <w:sz w:val="20"/>
        </w:rPr>
        <w:t xml:space="preserve"> </w:t>
      </w:r>
      <w:r>
        <w:rPr>
          <w:sz w:val="20"/>
        </w:rPr>
        <w:t>control</w:t>
      </w:r>
      <w:r>
        <w:rPr>
          <w:spacing w:val="-17"/>
          <w:sz w:val="20"/>
        </w:rPr>
        <w:t xml:space="preserve"> </w:t>
      </w:r>
      <w:r>
        <w:rPr>
          <w:sz w:val="20"/>
        </w:rPr>
        <w:t>o</w:t>
      </w:r>
      <w:r>
        <w:rPr>
          <w:spacing w:val="-18"/>
          <w:sz w:val="20"/>
        </w:rPr>
        <w:t xml:space="preserve"> </w:t>
      </w:r>
      <w:r>
        <w:rPr>
          <w:sz w:val="20"/>
        </w:rPr>
        <w:t>fiscalización</w:t>
      </w:r>
      <w:r>
        <w:rPr>
          <w:spacing w:val="-19"/>
          <w:sz w:val="20"/>
        </w:rPr>
        <w:t xml:space="preserve"> </w:t>
      </w:r>
      <w:r>
        <w:rPr>
          <w:sz w:val="20"/>
        </w:rPr>
        <w:t>previa</w:t>
      </w:r>
      <w:r>
        <w:rPr>
          <w:spacing w:val="-16"/>
          <w:sz w:val="20"/>
        </w:rPr>
        <w:t xml:space="preserve"> </w:t>
      </w:r>
      <w:r>
        <w:rPr>
          <w:sz w:val="20"/>
        </w:rPr>
        <w:t>a</w:t>
      </w:r>
      <w:r>
        <w:rPr>
          <w:spacing w:val="-17"/>
          <w:sz w:val="20"/>
        </w:rPr>
        <w:t xml:space="preserve"> </w:t>
      </w:r>
      <w:r>
        <w:rPr>
          <w:sz w:val="20"/>
        </w:rPr>
        <w:t>la</w:t>
      </w:r>
      <w:r>
        <w:rPr>
          <w:spacing w:val="-17"/>
          <w:sz w:val="20"/>
        </w:rPr>
        <w:t xml:space="preserve"> </w:t>
      </w:r>
      <w:r>
        <w:rPr>
          <w:sz w:val="20"/>
        </w:rPr>
        <w:t>explosión.</w:t>
      </w:r>
      <w:r>
        <w:rPr>
          <w:spacing w:val="-19"/>
          <w:sz w:val="20"/>
        </w:rPr>
        <w:t xml:space="preserve"> </w:t>
      </w:r>
      <w:r>
        <w:rPr>
          <w:sz w:val="20"/>
        </w:rPr>
        <w:t>Antes</w:t>
      </w:r>
      <w:r>
        <w:rPr>
          <w:spacing w:val="-18"/>
          <w:sz w:val="20"/>
        </w:rPr>
        <w:t xml:space="preserve"> </w:t>
      </w:r>
      <w:r>
        <w:rPr>
          <w:sz w:val="20"/>
        </w:rPr>
        <w:t>bien,</w:t>
      </w:r>
      <w:r>
        <w:rPr>
          <w:spacing w:val="-20"/>
          <w:sz w:val="20"/>
        </w:rPr>
        <w:t xml:space="preserve"> </w:t>
      </w:r>
      <w:r>
        <w:rPr>
          <w:sz w:val="20"/>
        </w:rPr>
        <w:t>durante</w:t>
      </w:r>
      <w:r>
        <w:rPr>
          <w:spacing w:val="-21"/>
          <w:sz w:val="20"/>
        </w:rPr>
        <w:t xml:space="preserve"> </w:t>
      </w:r>
      <w:r>
        <w:rPr>
          <w:sz w:val="20"/>
        </w:rPr>
        <w:t>la</w:t>
      </w:r>
      <w:r>
        <w:rPr>
          <w:spacing w:val="-17"/>
          <w:sz w:val="20"/>
        </w:rPr>
        <w:t xml:space="preserve"> </w:t>
      </w:r>
      <w:r>
        <w:rPr>
          <w:sz w:val="20"/>
        </w:rPr>
        <w:t>audiencia realizada</w:t>
      </w:r>
      <w:r>
        <w:rPr>
          <w:spacing w:val="-4"/>
          <w:sz w:val="20"/>
        </w:rPr>
        <w:t xml:space="preserve"> </w:t>
      </w:r>
      <w:r>
        <w:rPr>
          <w:sz w:val="20"/>
        </w:rPr>
        <w:t>el</w:t>
      </w:r>
      <w:r>
        <w:rPr>
          <w:spacing w:val="-5"/>
          <w:sz w:val="20"/>
        </w:rPr>
        <w:t xml:space="preserve"> </w:t>
      </w:r>
      <w:r>
        <w:rPr>
          <w:sz w:val="20"/>
        </w:rPr>
        <w:t>19</w:t>
      </w:r>
      <w:r>
        <w:rPr>
          <w:spacing w:val="-5"/>
          <w:sz w:val="20"/>
        </w:rPr>
        <w:t xml:space="preserve"> </w:t>
      </w:r>
      <w:r>
        <w:rPr>
          <w:sz w:val="20"/>
        </w:rPr>
        <w:t>de</w:t>
      </w:r>
      <w:r>
        <w:rPr>
          <w:spacing w:val="-5"/>
          <w:sz w:val="20"/>
        </w:rPr>
        <w:t xml:space="preserve"> </w:t>
      </w:r>
      <w:r>
        <w:rPr>
          <w:sz w:val="20"/>
        </w:rPr>
        <w:t>octubre</w:t>
      </w:r>
      <w:r>
        <w:rPr>
          <w:spacing w:val="-7"/>
          <w:sz w:val="20"/>
        </w:rPr>
        <w:t xml:space="preserve"> </w:t>
      </w:r>
      <w:r>
        <w:rPr>
          <w:sz w:val="20"/>
        </w:rPr>
        <w:t>de</w:t>
      </w:r>
      <w:r>
        <w:rPr>
          <w:spacing w:val="-7"/>
          <w:sz w:val="20"/>
        </w:rPr>
        <w:t xml:space="preserve"> </w:t>
      </w:r>
      <w:r>
        <w:rPr>
          <w:sz w:val="20"/>
        </w:rPr>
        <w:t>2006</w:t>
      </w:r>
      <w:r>
        <w:rPr>
          <w:spacing w:val="-6"/>
          <w:sz w:val="20"/>
        </w:rPr>
        <w:t xml:space="preserve"> </w:t>
      </w:r>
      <w:r>
        <w:rPr>
          <w:sz w:val="20"/>
        </w:rPr>
        <w:t>ante</w:t>
      </w:r>
      <w:r>
        <w:rPr>
          <w:spacing w:val="-7"/>
          <w:sz w:val="20"/>
        </w:rPr>
        <w:t xml:space="preserve"> </w:t>
      </w:r>
      <w:r>
        <w:rPr>
          <w:sz w:val="20"/>
        </w:rPr>
        <w:t>la</w:t>
      </w:r>
      <w:r>
        <w:rPr>
          <w:spacing w:val="-3"/>
          <w:sz w:val="20"/>
        </w:rPr>
        <w:t xml:space="preserve"> </w:t>
      </w:r>
      <w:r>
        <w:rPr>
          <w:sz w:val="20"/>
        </w:rPr>
        <w:t>Comisión</w:t>
      </w:r>
      <w:r>
        <w:rPr>
          <w:spacing w:val="-5"/>
          <w:sz w:val="20"/>
        </w:rPr>
        <w:t xml:space="preserve"> </w:t>
      </w:r>
      <w:r>
        <w:rPr>
          <w:sz w:val="20"/>
        </w:rPr>
        <w:t>Interamericana,</w:t>
      </w:r>
      <w:r>
        <w:rPr>
          <w:spacing w:val="-4"/>
          <w:sz w:val="20"/>
        </w:rPr>
        <w:t xml:space="preserve"> </w:t>
      </w:r>
      <w:r>
        <w:rPr>
          <w:sz w:val="20"/>
        </w:rPr>
        <w:t>el</w:t>
      </w:r>
      <w:r>
        <w:rPr>
          <w:spacing w:val="-3"/>
          <w:sz w:val="20"/>
        </w:rPr>
        <w:t xml:space="preserve"> </w:t>
      </w:r>
      <w:r>
        <w:rPr>
          <w:sz w:val="20"/>
        </w:rPr>
        <w:t>Estado</w:t>
      </w:r>
      <w:r>
        <w:rPr>
          <w:spacing w:val="-8"/>
          <w:sz w:val="20"/>
        </w:rPr>
        <w:t xml:space="preserve"> </w:t>
      </w:r>
      <w:r>
        <w:rPr>
          <w:sz w:val="20"/>
        </w:rPr>
        <w:t>reconoció</w:t>
      </w:r>
      <w:r>
        <w:rPr>
          <w:spacing w:val="-7"/>
          <w:sz w:val="20"/>
        </w:rPr>
        <w:t xml:space="preserve"> </w:t>
      </w:r>
      <w:r>
        <w:rPr>
          <w:sz w:val="20"/>
        </w:rPr>
        <w:t>que “falló al</w:t>
      </w:r>
      <w:r>
        <w:rPr>
          <w:spacing w:val="-1"/>
          <w:sz w:val="20"/>
        </w:rPr>
        <w:t xml:space="preserve"> </w:t>
      </w:r>
      <w:r>
        <w:rPr>
          <w:sz w:val="20"/>
        </w:rPr>
        <w:t>fiscalizar”</w:t>
      </w:r>
      <w:hyperlink w:anchor="_bookmark250" w:history="1">
        <w:r>
          <w:rPr>
            <w:position w:val="7"/>
            <w:sz w:val="13"/>
          </w:rPr>
          <w:t>210</w:t>
        </w:r>
      </w:hyperlink>
      <w:r>
        <w:rPr>
          <w:sz w:val="20"/>
        </w:rPr>
        <w:t>.</w:t>
      </w:r>
    </w:p>
    <w:p w14:paraId="775E1BC5" w14:textId="77777777" w:rsidR="00467FCA" w:rsidRDefault="00467FCA">
      <w:pPr>
        <w:pStyle w:val="Textoindependiente"/>
      </w:pPr>
    </w:p>
    <w:p w14:paraId="705C3958" w14:textId="77777777" w:rsidR="00467FCA" w:rsidRDefault="001B68EB">
      <w:pPr>
        <w:pStyle w:val="Prrafodelista"/>
        <w:numPr>
          <w:ilvl w:val="0"/>
          <w:numId w:val="50"/>
        </w:numPr>
        <w:tabs>
          <w:tab w:val="left" w:pos="687"/>
        </w:tabs>
        <w:ind w:left="119" w:right="118" w:firstLine="0"/>
        <w:jc w:val="both"/>
        <w:rPr>
          <w:sz w:val="20"/>
        </w:rPr>
      </w:pPr>
      <w:r>
        <w:rPr>
          <w:sz w:val="20"/>
        </w:rPr>
        <w:t>Incluso, una sentencia dictada en uno de los procesos internos en relación con estos hechos, al juzgar parcialmente procedente la demanda de las víctimas contra el Gobierno Federal y el estado de Bahia</w:t>
      </w:r>
      <w:hyperlink w:anchor="_bookmark251" w:history="1">
        <w:r>
          <w:rPr>
            <w:position w:val="7"/>
            <w:sz w:val="13"/>
          </w:rPr>
          <w:t>211</w:t>
        </w:r>
      </w:hyperlink>
      <w:r>
        <w:rPr>
          <w:sz w:val="20"/>
        </w:rPr>
        <w:t>, ratificó que el Es</w:t>
      </w:r>
      <w:r>
        <w:rPr>
          <w:sz w:val="20"/>
        </w:rPr>
        <w:t>tado había incurrido en responsabilidad al incumplir</w:t>
      </w:r>
      <w:r>
        <w:rPr>
          <w:spacing w:val="-15"/>
          <w:sz w:val="20"/>
        </w:rPr>
        <w:t xml:space="preserve"> </w:t>
      </w:r>
      <w:r>
        <w:rPr>
          <w:sz w:val="20"/>
        </w:rPr>
        <w:t>con</w:t>
      </w:r>
      <w:r>
        <w:rPr>
          <w:spacing w:val="-12"/>
          <w:sz w:val="20"/>
        </w:rPr>
        <w:t xml:space="preserve"> </w:t>
      </w:r>
      <w:r>
        <w:rPr>
          <w:sz w:val="20"/>
        </w:rPr>
        <w:t>su</w:t>
      </w:r>
      <w:r>
        <w:rPr>
          <w:spacing w:val="-13"/>
          <w:sz w:val="20"/>
        </w:rPr>
        <w:t xml:space="preserve"> </w:t>
      </w:r>
      <w:r>
        <w:rPr>
          <w:sz w:val="20"/>
        </w:rPr>
        <w:t>deber</w:t>
      </w:r>
      <w:r>
        <w:rPr>
          <w:spacing w:val="-14"/>
          <w:sz w:val="20"/>
        </w:rPr>
        <w:t xml:space="preserve"> </w:t>
      </w:r>
      <w:r>
        <w:rPr>
          <w:sz w:val="20"/>
        </w:rPr>
        <w:t>de</w:t>
      </w:r>
      <w:r>
        <w:rPr>
          <w:spacing w:val="-15"/>
          <w:sz w:val="20"/>
        </w:rPr>
        <w:t xml:space="preserve"> </w:t>
      </w:r>
      <w:r>
        <w:rPr>
          <w:sz w:val="20"/>
        </w:rPr>
        <w:t>fiscalización.</w:t>
      </w:r>
      <w:r>
        <w:rPr>
          <w:spacing w:val="-13"/>
          <w:sz w:val="20"/>
        </w:rPr>
        <w:t xml:space="preserve"> </w:t>
      </w:r>
      <w:r>
        <w:rPr>
          <w:sz w:val="20"/>
        </w:rPr>
        <w:t>En</w:t>
      </w:r>
      <w:r>
        <w:rPr>
          <w:spacing w:val="-13"/>
          <w:sz w:val="20"/>
        </w:rPr>
        <w:t xml:space="preserve"> </w:t>
      </w:r>
      <w:r>
        <w:rPr>
          <w:sz w:val="20"/>
        </w:rPr>
        <w:t>el</w:t>
      </w:r>
      <w:r>
        <w:rPr>
          <w:spacing w:val="-12"/>
          <w:sz w:val="20"/>
        </w:rPr>
        <w:t xml:space="preserve"> </w:t>
      </w:r>
      <w:r>
        <w:rPr>
          <w:sz w:val="20"/>
        </w:rPr>
        <w:t>mismo</w:t>
      </w:r>
      <w:r>
        <w:rPr>
          <w:spacing w:val="-15"/>
          <w:sz w:val="20"/>
        </w:rPr>
        <w:t xml:space="preserve"> </w:t>
      </w:r>
      <w:r>
        <w:rPr>
          <w:sz w:val="20"/>
        </w:rPr>
        <w:t>sentido,</w:t>
      </w:r>
      <w:r>
        <w:rPr>
          <w:spacing w:val="-13"/>
          <w:sz w:val="20"/>
        </w:rPr>
        <w:t xml:space="preserve"> </w:t>
      </w:r>
      <w:r>
        <w:rPr>
          <w:sz w:val="20"/>
        </w:rPr>
        <w:t>una</w:t>
      </w:r>
      <w:r>
        <w:rPr>
          <w:spacing w:val="-13"/>
          <w:sz w:val="20"/>
        </w:rPr>
        <w:t xml:space="preserve"> </w:t>
      </w:r>
      <w:r>
        <w:rPr>
          <w:sz w:val="20"/>
        </w:rPr>
        <w:t>de</w:t>
      </w:r>
      <w:r>
        <w:rPr>
          <w:spacing w:val="-14"/>
          <w:sz w:val="20"/>
        </w:rPr>
        <w:t xml:space="preserve"> </w:t>
      </w:r>
      <w:r>
        <w:rPr>
          <w:sz w:val="20"/>
        </w:rPr>
        <w:t>las</w:t>
      </w:r>
      <w:r>
        <w:rPr>
          <w:spacing w:val="-14"/>
          <w:sz w:val="20"/>
        </w:rPr>
        <w:t xml:space="preserve"> </w:t>
      </w:r>
      <w:r>
        <w:rPr>
          <w:sz w:val="20"/>
        </w:rPr>
        <w:t>sentencias</w:t>
      </w:r>
      <w:r>
        <w:rPr>
          <w:spacing w:val="-11"/>
          <w:sz w:val="20"/>
        </w:rPr>
        <w:t xml:space="preserve"> </w:t>
      </w:r>
      <w:r>
        <w:rPr>
          <w:sz w:val="20"/>
        </w:rPr>
        <w:t>en</w:t>
      </w:r>
      <w:r>
        <w:rPr>
          <w:spacing w:val="-13"/>
          <w:sz w:val="20"/>
        </w:rPr>
        <w:t xml:space="preserve"> </w:t>
      </w:r>
      <w:r>
        <w:rPr>
          <w:sz w:val="20"/>
        </w:rPr>
        <w:t xml:space="preserve">materia laboral afirmó que la producción de fuegos artificiales era una actividad común y peligrosa, de conocimiento “público </w:t>
      </w:r>
      <w:r>
        <w:rPr>
          <w:sz w:val="20"/>
        </w:rPr>
        <w:t>y notorio” y reconoció la falta de</w:t>
      </w:r>
      <w:r>
        <w:rPr>
          <w:spacing w:val="-12"/>
          <w:sz w:val="20"/>
        </w:rPr>
        <w:t xml:space="preserve"> </w:t>
      </w:r>
      <w:r>
        <w:rPr>
          <w:sz w:val="20"/>
        </w:rPr>
        <w:t>fiscalización</w:t>
      </w:r>
      <w:hyperlink w:anchor="_bookmark252" w:history="1">
        <w:r>
          <w:rPr>
            <w:position w:val="7"/>
            <w:sz w:val="13"/>
          </w:rPr>
          <w:t>212</w:t>
        </w:r>
      </w:hyperlink>
      <w:r>
        <w:rPr>
          <w:sz w:val="20"/>
        </w:rPr>
        <w:t>.</w:t>
      </w:r>
    </w:p>
    <w:p w14:paraId="1D10CAA6" w14:textId="77777777" w:rsidR="00467FCA" w:rsidRDefault="00467FCA">
      <w:pPr>
        <w:pStyle w:val="Textoindependiente"/>
      </w:pPr>
    </w:p>
    <w:p w14:paraId="283B0884" w14:textId="77777777" w:rsidR="00467FCA" w:rsidRDefault="001B68EB">
      <w:pPr>
        <w:pStyle w:val="Prrafodelista"/>
        <w:numPr>
          <w:ilvl w:val="0"/>
          <w:numId w:val="50"/>
        </w:numPr>
        <w:tabs>
          <w:tab w:val="left" w:pos="687"/>
        </w:tabs>
        <w:ind w:right="116" w:firstLine="0"/>
        <w:jc w:val="both"/>
        <w:rPr>
          <w:sz w:val="20"/>
        </w:rPr>
      </w:pPr>
      <w:r>
        <w:rPr>
          <w:sz w:val="20"/>
        </w:rPr>
        <w:t>La</w:t>
      </w:r>
      <w:r>
        <w:rPr>
          <w:spacing w:val="-6"/>
          <w:sz w:val="20"/>
        </w:rPr>
        <w:t xml:space="preserve"> </w:t>
      </w:r>
      <w:r>
        <w:rPr>
          <w:sz w:val="20"/>
        </w:rPr>
        <w:t>falta</w:t>
      </w:r>
      <w:r>
        <w:rPr>
          <w:spacing w:val="-3"/>
          <w:sz w:val="20"/>
        </w:rPr>
        <w:t xml:space="preserve"> </w:t>
      </w:r>
      <w:r>
        <w:rPr>
          <w:sz w:val="20"/>
        </w:rPr>
        <w:t>de</w:t>
      </w:r>
      <w:r>
        <w:rPr>
          <w:spacing w:val="-4"/>
          <w:sz w:val="20"/>
        </w:rPr>
        <w:t xml:space="preserve"> </w:t>
      </w:r>
      <w:r>
        <w:rPr>
          <w:sz w:val="20"/>
        </w:rPr>
        <w:t>fiscalización por</w:t>
      </w:r>
      <w:r>
        <w:rPr>
          <w:spacing w:val="-4"/>
          <w:sz w:val="20"/>
        </w:rPr>
        <w:t xml:space="preserve"> </w:t>
      </w:r>
      <w:r>
        <w:rPr>
          <w:sz w:val="20"/>
        </w:rPr>
        <w:t>parte</w:t>
      </w:r>
      <w:r>
        <w:rPr>
          <w:spacing w:val="-7"/>
          <w:sz w:val="20"/>
        </w:rPr>
        <w:t xml:space="preserve"> </w:t>
      </w:r>
      <w:r>
        <w:rPr>
          <w:sz w:val="20"/>
        </w:rPr>
        <w:t>del</w:t>
      </w:r>
      <w:r>
        <w:rPr>
          <w:spacing w:val="-5"/>
          <w:sz w:val="20"/>
        </w:rPr>
        <w:t xml:space="preserve"> </w:t>
      </w:r>
      <w:r>
        <w:rPr>
          <w:sz w:val="20"/>
        </w:rPr>
        <w:t>Estado</w:t>
      </w:r>
      <w:r>
        <w:rPr>
          <w:spacing w:val="-7"/>
          <w:sz w:val="20"/>
        </w:rPr>
        <w:t xml:space="preserve"> </w:t>
      </w:r>
      <w:r>
        <w:rPr>
          <w:sz w:val="20"/>
        </w:rPr>
        <w:t>también</w:t>
      </w:r>
      <w:r>
        <w:rPr>
          <w:spacing w:val="-4"/>
          <w:sz w:val="20"/>
        </w:rPr>
        <w:t xml:space="preserve"> </w:t>
      </w:r>
      <w:r>
        <w:rPr>
          <w:sz w:val="20"/>
        </w:rPr>
        <w:t>fue</w:t>
      </w:r>
      <w:r>
        <w:rPr>
          <w:spacing w:val="-2"/>
          <w:sz w:val="20"/>
        </w:rPr>
        <w:t xml:space="preserve"> </w:t>
      </w:r>
      <w:r>
        <w:rPr>
          <w:sz w:val="20"/>
        </w:rPr>
        <w:t>objeto</w:t>
      </w:r>
      <w:r>
        <w:rPr>
          <w:spacing w:val="-4"/>
          <w:sz w:val="20"/>
        </w:rPr>
        <w:t xml:space="preserve"> </w:t>
      </w:r>
      <w:r>
        <w:rPr>
          <w:sz w:val="20"/>
        </w:rPr>
        <w:t>de</w:t>
      </w:r>
      <w:r>
        <w:rPr>
          <w:spacing w:val="-4"/>
          <w:sz w:val="20"/>
        </w:rPr>
        <w:t xml:space="preserve"> </w:t>
      </w:r>
      <w:r>
        <w:rPr>
          <w:sz w:val="20"/>
        </w:rPr>
        <w:t>una</w:t>
      </w:r>
      <w:r>
        <w:rPr>
          <w:spacing w:val="-6"/>
          <w:sz w:val="20"/>
        </w:rPr>
        <w:t xml:space="preserve"> </w:t>
      </w:r>
      <w:r>
        <w:rPr>
          <w:sz w:val="20"/>
        </w:rPr>
        <w:t>denuncia</w:t>
      </w:r>
      <w:r>
        <w:rPr>
          <w:spacing w:val="-5"/>
          <w:sz w:val="20"/>
        </w:rPr>
        <w:t xml:space="preserve"> </w:t>
      </w:r>
      <w:r>
        <w:rPr>
          <w:sz w:val="20"/>
        </w:rPr>
        <w:t>hecha por</w:t>
      </w:r>
      <w:r>
        <w:rPr>
          <w:spacing w:val="-9"/>
          <w:sz w:val="20"/>
        </w:rPr>
        <w:t xml:space="preserve"> </w:t>
      </w:r>
      <w:r>
        <w:rPr>
          <w:sz w:val="20"/>
        </w:rPr>
        <w:t>un</w:t>
      </w:r>
      <w:r>
        <w:rPr>
          <w:spacing w:val="-9"/>
          <w:sz w:val="20"/>
        </w:rPr>
        <w:t xml:space="preserve"> </w:t>
      </w:r>
      <w:r>
        <w:rPr>
          <w:sz w:val="20"/>
        </w:rPr>
        <w:t>comandante</w:t>
      </w:r>
      <w:r>
        <w:rPr>
          <w:spacing w:val="-9"/>
          <w:sz w:val="20"/>
        </w:rPr>
        <w:t xml:space="preserve"> </w:t>
      </w:r>
      <w:r>
        <w:rPr>
          <w:sz w:val="20"/>
        </w:rPr>
        <w:t>del</w:t>
      </w:r>
      <w:r>
        <w:rPr>
          <w:spacing w:val="-6"/>
          <w:sz w:val="20"/>
        </w:rPr>
        <w:t xml:space="preserve"> </w:t>
      </w:r>
      <w:r>
        <w:rPr>
          <w:sz w:val="20"/>
        </w:rPr>
        <w:t>Ejército</w:t>
      </w:r>
      <w:r>
        <w:rPr>
          <w:spacing w:val="-9"/>
          <w:sz w:val="20"/>
        </w:rPr>
        <w:t xml:space="preserve"> </w:t>
      </w:r>
      <w:r>
        <w:rPr>
          <w:sz w:val="20"/>
        </w:rPr>
        <w:t>brasileño,</w:t>
      </w:r>
      <w:r>
        <w:rPr>
          <w:spacing w:val="-8"/>
          <w:sz w:val="20"/>
        </w:rPr>
        <w:t xml:space="preserve"> </w:t>
      </w:r>
      <w:r>
        <w:rPr>
          <w:sz w:val="20"/>
        </w:rPr>
        <w:t>el</w:t>
      </w:r>
      <w:r>
        <w:rPr>
          <w:spacing w:val="-7"/>
          <w:sz w:val="20"/>
        </w:rPr>
        <w:t xml:space="preserve"> </w:t>
      </w:r>
      <w:r>
        <w:rPr>
          <w:sz w:val="20"/>
        </w:rPr>
        <w:t>26</w:t>
      </w:r>
      <w:r>
        <w:rPr>
          <w:spacing w:val="-7"/>
          <w:sz w:val="20"/>
        </w:rPr>
        <w:t xml:space="preserve"> </w:t>
      </w:r>
      <w:r>
        <w:rPr>
          <w:sz w:val="20"/>
        </w:rPr>
        <w:t>de</w:t>
      </w:r>
      <w:r>
        <w:rPr>
          <w:spacing w:val="-9"/>
          <w:sz w:val="20"/>
        </w:rPr>
        <w:t xml:space="preserve"> </w:t>
      </w:r>
      <w:r>
        <w:rPr>
          <w:sz w:val="20"/>
        </w:rPr>
        <w:t>octubre</w:t>
      </w:r>
      <w:r>
        <w:rPr>
          <w:spacing w:val="-9"/>
          <w:sz w:val="20"/>
        </w:rPr>
        <w:t xml:space="preserve"> </w:t>
      </w:r>
      <w:r>
        <w:rPr>
          <w:sz w:val="20"/>
        </w:rPr>
        <w:t>de</w:t>
      </w:r>
      <w:r>
        <w:rPr>
          <w:spacing w:val="-9"/>
          <w:sz w:val="20"/>
        </w:rPr>
        <w:t xml:space="preserve"> </w:t>
      </w:r>
      <w:r>
        <w:rPr>
          <w:sz w:val="20"/>
        </w:rPr>
        <w:t>1999,</w:t>
      </w:r>
      <w:r>
        <w:rPr>
          <w:spacing w:val="-8"/>
          <w:sz w:val="20"/>
        </w:rPr>
        <w:t xml:space="preserve"> </w:t>
      </w:r>
      <w:r>
        <w:rPr>
          <w:sz w:val="20"/>
        </w:rPr>
        <w:t>ante</w:t>
      </w:r>
      <w:r>
        <w:rPr>
          <w:spacing w:val="-9"/>
          <w:sz w:val="20"/>
        </w:rPr>
        <w:t xml:space="preserve"> </w:t>
      </w:r>
      <w:r>
        <w:rPr>
          <w:sz w:val="20"/>
        </w:rPr>
        <w:t>el</w:t>
      </w:r>
      <w:r>
        <w:rPr>
          <w:spacing w:val="-10"/>
          <w:sz w:val="20"/>
        </w:rPr>
        <w:t xml:space="preserve"> </w:t>
      </w:r>
      <w:r>
        <w:rPr>
          <w:sz w:val="20"/>
        </w:rPr>
        <w:t>Juzgado</w:t>
      </w:r>
      <w:r>
        <w:rPr>
          <w:spacing w:val="-9"/>
          <w:sz w:val="20"/>
        </w:rPr>
        <w:t xml:space="preserve"> </w:t>
      </w:r>
      <w:r>
        <w:rPr>
          <w:sz w:val="20"/>
        </w:rPr>
        <w:t>Penal</w:t>
      </w:r>
      <w:r>
        <w:rPr>
          <w:spacing w:val="-10"/>
          <w:sz w:val="20"/>
        </w:rPr>
        <w:t xml:space="preserve"> </w:t>
      </w:r>
      <w:r>
        <w:rPr>
          <w:sz w:val="20"/>
        </w:rPr>
        <w:t>de Santo Antônio de Jesus, en la cual señaló que “la fabricación de bombetas es realizada libremente, con la anuencia del Gobierno Municipal”. En este sentido, durante la audiencia pública</w:t>
      </w:r>
      <w:r>
        <w:rPr>
          <w:spacing w:val="-6"/>
          <w:sz w:val="20"/>
        </w:rPr>
        <w:t xml:space="preserve"> </w:t>
      </w:r>
      <w:r>
        <w:rPr>
          <w:sz w:val="20"/>
        </w:rPr>
        <w:t>celebrada</w:t>
      </w:r>
      <w:r>
        <w:rPr>
          <w:spacing w:val="-1"/>
          <w:sz w:val="20"/>
        </w:rPr>
        <w:t xml:space="preserve"> </w:t>
      </w:r>
      <w:r>
        <w:rPr>
          <w:sz w:val="20"/>
        </w:rPr>
        <w:t>el</w:t>
      </w:r>
      <w:r>
        <w:rPr>
          <w:spacing w:val="-6"/>
          <w:sz w:val="20"/>
        </w:rPr>
        <w:t xml:space="preserve"> </w:t>
      </w:r>
      <w:r>
        <w:rPr>
          <w:sz w:val="20"/>
        </w:rPr>
        <w:t>31</w:t>
      </w:r>
      <w:r>
        <w:rPr>
          <w:spacing w:val="-3"/>
          <w:sz w:val="20"/>
        </w:rPr>
        <w:t xml:space="preserve"> </w:t>
      </w:r>
      <w:r>
        <w:rPr>
          <w:sz w:val="20"/>
        </w:rPr>
        <w:t>de</w:t>
      </w:r>
      <w:r>
        <w:rPr>
          <w:spacing w:val="-5"/>
          <w:sz w:val="20"/>
        </w:rPr>
        <w:t xml:space="preserve"> </w:t>
      </w:r>
      <w:r>
        <w:rPr>
          <w:sz w:val="20"/>
        </w:rPr>
        <w:t>enero</w:t>
      </w:r>
      <w:r>
        <w:rPr>
          <w:spacing w:val="-5"/>
          <w:sz w:val="20"/>
        </w:rPr>
        <w:t xml:space="preserve"> </w:t>
      </w:r>
      <w:r>
        <w:rPr>
          <w:sz w:val="20"/>
        </w:rPr>
        <w:t>de</w:t>
      </w:r>
      <w:r>
        <w:rPr>
          <w:spacing w:val="-5"/>
          <w:sz w:val="20"/>
        </w:rPr>
        <w:t xml:space="preserve"> </w:t>
      </w:r>
      <w:r>
        <w:rPr>
          <w:sz w:val="20"/>
        </w:rPr>
        <w:t>2020,</w:t>
      </w:r>
      <w:r>
        <w:rPr>
          <w:spacing w:val="-4"/>
          <w:sz w:val="20"/>
        </w:rPr>
        <w:t xml:space="preserve"> </w:t>
      </w:r>
      <w:r>
        <w:rPr>
          <w:sz w:val="20"/>
        </w:rPr>
        <w:t>los</w:t>
      </w:r>
      <w:r>
        <w:rPr>
          <w:spacing w:val="-7"/>
          <w:sz w:val="20"/>
        </w:rPr>
        <w:t xml:space="preserve"> </w:t>
      </w:r>
      <w:r>
        <w:rPr>
          <w:sz w:val="20"/>
        </w:rPr>
        <w:t>agentes</w:t>
      </w:r>
      <w:r>
        <w:rPr>
          <w:spacing w:val="-5"/>
          <w:sz w:val="20"/>
        </w:rPr>
        <w:t xml:space="preserve"> </w:t>
      </w:r>
      <w:r>
        <w:rPr>
          <w:sz w:val="20"/>
        </w:rPr>
        <w:t>del</w:t>
      </w:r>
      <w:r>
        <w:rPr>
          <w:spacing w:val="-3"/>
          <w:sz w:val="20"/>
        </w:rPr>
        <w:t xml:space="preserve"> </w:t>
      </w:r>
      <w:r>
        <w:rPr>
          <w:sz w:val="20"/>
        </w:rPr>
        <w:t>Est</w:t>
      </w:r>
      <w:r>
        <w:rPr>
          <w:sz w:val="20"/>
        </w:rPr>
        <w:t>ado</w:t>
      </w:r>
      <w:r>
        <w:rPr>
          <w:spacing w:val="-5"/>
          <w:sz w:val="20"/>
        </w:rPr>
        <w:t xml:space="preserve"> </w:t>
      </w:r>
      <w:r>
        <w:rPr>
          <w:sz w:val="20"/>
        </w:rPr>
        <w:t>reconocieron</w:t>
      </w:r>
      <w:r>
        <w:rPr>
          <w:spacing w:val="-5"/>
          <w:sz w:val="20"/>
        </w:rPr>
        <w:t xml:space="preserve"> </w:t>
      </w:r>
      <w:r>
        <w:rPr>
          <w:sz w:val="20"/>
        </w:rPr>
        <w:t>que,</w:t>
      </w:r>
      <w:r>
        <w:rPr>
          <w:spacing w:val="-6"/>
          <w:sz w:val="20"/>
        </w:rPr>
        <w:t xml:space="preserve"> </w:t>
      </w:r>
      <w:r>
        <w:rPr>
          <w:sz w:val="20"/>
        </w:rPr>
        <w:t>teniendo en cuenta la extensión territorial del Estado, existen “limitaciones razonables” para realizar actividades de auditoría y fiscalización de las diferentes actividades económicas y que el Estado no puede “garantizar que el 100%</w:t>
      </w:r>
      <w:r>
        <w:rPr>
          <w:sz w:val="20"/>
        </w:rPr>
        <w:t xml:space="preserve"> de los establecimientos y de las situaciones se supervisen”</w:t>
      </w:r>
      <w:hyperlink w:anchor="_bookmark253" w:history="1">
        <w:r>
          <w:rPr>
            <w:position w:val="7"/>
            <w:sz w:val="13"/>
          </w:rPr>
          <w:t>213</w:t>
        </w:r>
      </w:hyperlink>
      <w:r>
        <w:rPr>
          <w:sz w:val="20"/>
        </w:rPr>
        <w:t>.</w:t>
      </w:r>
    </w:p>
    <w:p w14:paraId="7BC26AFE" w14:textId="77777777" w:rsidR="00467FCA" w:rsidRDefault="00467FCA">
      <w:pPr>
        <w:pStyle w:val="Textoindependiente"/>
      </w:pPr>
    </w:p>
    <w:p w14:paraId="6C8F9792"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En suma, luego del análisis de las pruebas que obran en el expediente y de las obligaciones del Estado, la Corte encuentra que el Estado de Brasil falló en su</w:t>
      </w:r>
      <w:r>
        <w:rPr>
          <w:sz w:val="20"/>
        </w:rPr>
        <w:t xml:space="preserve"> deber de fiscalizar la fábrica de “Vardo de los fuegos” y permitió que los procesos necesarios para la fabricación</w:t>
      </w:r>
      <w:r>
        <w:rPr>
          <w:spacing w:val="-8"/>
          <w:sz w:val="20"/>
        </w:rPr>
        <w:t xml:space="preserve"> </w:t>
      </w:r>
      <w:r>
        <w:rPr>
          <w:sz w:val="20"/>
        </w:rPr>
        <w:t>de</w:t>
      </w:r>
      <w:r>
        <w:rPr>
          <w:spacing w:val="-10"/>
          <w:sz w:val="20"/>
        </w:rPr>
        <w:t xml:space="preserve"> </w:t>
      </w:r>
      <w:r>
        <w:rPr>
          <w:sz w:val="20"/>
        </w:rPr>
        <w:t>los</w:t>
      </w:r>
      <w:r>
        <w:rPr>
          <w:spacing w:val="-7"/>
          <w:sz w:val="20"/>
        </w:rPr>
        <w:t xml:space="preserve"> </w:t>
      </w:r>
      <w:r>
        <w:rPr>
          <w:sz w:val="20"/>
        </w:rPr>
        <w:t>fuegos</w:t>
      </w:r>
      <w:r>
        <w:rPr>
          <w:spacing w:val="-10"/>
          <w:sz w:val="20"/>
        </w:rPr>
        <w:t xml:space="preserve"> </w:t>
      </w:r>
      <w:r>
        <w:rPr>
          <w:sz w:val="20"/>
        </w:rPr>
        <w:t>artificiales</w:t>
      </w:r>
      <w:r>
        <w:rPr>
          <w:spacing w:val="-9"/>
          <w:sz w:val="20"/>
        </w:rPr>
        <w:t xml:space="preserve"> </w:t>
      </w:r>
      <w:r>
        <w:rPr>
          <w:sz w:val="20"/>
        </w:rPr>
        <w:t>ocurrieran</w:t>
      </w:r>
      <w:r>
        <w:rPr>
          <w:spacing w:val="-5"/>
          <w:sz w:val="20"/>
        </w:rPr>
        <w:t xml:space="preserve"> </w:t>
      </w:r>
      <w:r>
        <w:rPr>
          <w:sz w:val="20"/>
        </w:rPr>
        <w:t>al</w:t>
      </w:r>
      <w:r>
        <w:rPr>
          <w:spacing w:val="-9"/>
          <w:sz w:val="20"/>
        </w:rPr>
        <w:t xml:space="preserve"> </w:t>
      </w:r>
      <w:r>
        <w:rPr>
          <w:sz w:val="20"/>
        </w:rPr>
        <w:t>margen</w:t>
      </w:r>
      <w:r>
        <w:rPr>
          <w:spacing w:val="-8"/>
          <w:sz w:val="20"/>
        </w:rPr>
        <w:t xml:space="preserve"> </w:t>
      </w:r>
      <w:r>
        <w:rPr>
          <w:sz w:val="20"/>
        </w:rPr>
        <w:t>de</w:t>
      </w:r>
      <w:r>
        <w:rPr>
          <w:spacing w:val="-7"/>
          <w:sz w:val="20"/>
        </w:rPr>
        <w:t xml:space="preserve"> </w:t>
      </w:r>
      <w:r>
        <w:rPr>
          <w:sz w:val="20"/>
        </w:rPr>
        <w:t>los</w:t>
      </w:r>
      <w:r>
        <w:rPr>
          <w:spacing w:val="-7"/>
          <w:sz w:val="20"/>
        </w:rPr>
        <w:t xml:space="preserve"> </w:t>
      </w:r>
      <w:r>
        <w:rPr>
          <w:sz w:val="20"/>
        </w:rPr>
        <w:t>estándares</w:t>
      </w:r>
      <w:r>
        <w:rPr>
          <w:spacing w:val="-10"/>
          <w:sz w:val="20"/>
        </w:rPr>
        <w:t xml:space="preserve"> </w:t>
      </w:r>
      <w:r>
        <w:rPr>
          <w:sz w:val="20"/>
        </w:rPr>
        <w:t>mínimos</w:t>
      </w:r>
      <w:r>
        <w:rPr>
          <w:spacing w:val="-7"/>
          <w:sz w:val="20"/>
        </w:rPr>
        <w:t xml:space="preserve"> </w:t>
      </w:r>
      <w:r>
        <w:rPr>
          <w:sz w:val="20"/>
        </w:rPr>
        <w:t>exigidos en la legislación interna para este tipo de actividad. Lo que a su vez fue la causa de la explosión de la fábrica de fuegos, según se desprende de las pericias elaboradas a nivel interno por las autoridades competentes (</w:t>
      </w:r>
      <w:r>
        <w:rPr>
          <w:i/>
          <w:sz w:val="20"/>
        </w:rPr>
        <w:t xml:space="preserve">supra </w:t>
      </w:r>
      <w:r>
        <w:rPr>
          <w:sz w:val="20"/>
        </w:rPr>
        <w:t>párr. 80). Por lo tan</w:t>
      </w:r>
      <w:r>
        <w:rPr>
          <w:sz w:val="20"/>
        </w:rPr>
        <w:t>to, la conducta omisiva del Estado contribuyó a que se produjera la</w:t>
      </w:r>
      <w:r>
        <w:rPr>
          <w:spacing w:val="-5"/>
          <w:sz w:val="20"/>
        </w:rPr>
        <w:t xml:space="preserve"> </w:t>
      </w:r>
      <w:r>
        <w:rPr>
          <w:sz w:val="20"/>
        </w:rPr>
        <w:t>explosión.</w:t>
      </w:r>
    </w:p>
    <w:p w14:paraId="5BB69B46" w14:textId="77777777" w:rsidR="00467FCA" w:rsidRDefault="00467FCA">
      <w:pPr>
        <w:pStyle w:val="Textoindependiente"/>
        <w:spacing w:before="11"/>
        <w:rPr>
          <w:sz w:val="19"/>
        </w:rPr>
      </w:pPr>
    </w:p>
    <w:p w14:paraId="076FA12D" w14:textId="77777777" w:rsidR="00467FCA" w:rsidRDefault="001B68EB">
      <w:pPr>
        <w:pStyle w:val="Prrafodelista"/>
        <w:numPr>
          <w:ilvl w:val="0"/>
          <w:numId w:val="50"/>
        </w:numPr>
        <w:tabs>
          <w:tab w:val="left" w:pos="687"/>
        </w:tabs>
        <w:ind w:left="119" w:right="117" w:firstLine="0"/>
        <w:jc w:val="both"/>
        <w:rPr>
          <w:sz w:val="20"/>
        </w:rPr>
      </w:pPr>
      <w:r>
        <w:rPr>
          <w:sz w:val="20"/>
        </w:rPr>
        <w:t>Esa conducta omisiva del Estado, en sus diferentes instancias, dio lugar a la violación de</w:t>
      </w:r>
      <w:r>
        <w:rPr>
          <w:spacing w:val="-9"/>
          <w:sz w:val="20"/>
        </w:rPr>
        <w:t xml:space="preserve"> </w:t>
      </w:r>
      <w:r>
        <w:rPr>
          <w:sz w:val="20"/>
        </w:rPr>
        <w:t>los</w:t>
      </w:r>
      <w:r>
        <w:rPr>
          <w:spacing w:val="-8"/>
          <w:sz w:val="20"/>
        </w:rPr>
        <w:t xml:space="preserve"> </w:t>
      </w:r>
      <w:r>
        <w:rPr>
          <w:sz w:val="20"/>
        </w:rPr>
        <w:t>derechos</w:t>
      </w:r>
      <w:r>
        <w:rPr>
          <w:spacing w:val="-6"/>
          <w:sz w:val="20"/>
        </w:rPr>
        <w:t xml:space="preserve"> </w:t>
      </w:r>
      <w:r>
        <w:rPr>
          <w:sz w:val="20"/>
        </w:rPr>
        <w:t>a</w:t>
      </w:r>
      <w:r>
        <w:rPr>
          <w:spacing w:val="-7"/>
          <w:sz w:val="20"/>
        </w:rPr>
        <w:t xml:space="preserve"> </w:t>
      </w:r>
      <w:r>
        <w:rPr>
          <w:sz w:val="20"/>
        </w:rPr>
        <w:t>la</w:t>
      </w:r>
      <w:r>
        <w:rPr>
          <w:spacing w:val="-5"/>
          <w:sz w:val="20"/>
        </w:rPr>
        <w:t xml:space="preserve"> </w:t>
      </w:r>
      <w:r>
        <w:rPr>
          <w:sz w:val="20"/>
        </w:rPr>
        <w:t>vida</w:t>
      </w:r>
      <w:r>
        <w:rPr>
          <w:spacing w:val="-7"/>
          <w:sz w:val="20"/>
        </w:rPr>
        <w:t xml:space="preserve"> </w:t>
      </w:r>
      <w:r>
        <w:rPr>
          <w:sz w:val="20"/>
        </w:rPr>
        <w:t>de</w:t>
      </w:r>
      <w:r>
        <w:rPr>
          <w:spacing w:val="-9"/>
          <w:sz w:val="20"/>
        </w:rPr>
        <w:t xml:space="preserve"> </w:t>
      </w:r>
      <w:r>
        <w:rPr>
          <w:sz w:val="20"/>
        </w:rPr>
        <w:t>las</w:t>
      </w:r>
      <w:r>
        <w:rPr>
          <w:spacing w:val="-8"/>
          <w:sz w:val="20"/>
        </w:rPr>
        <w:t xml:space="preserve"> </w:t>
      </w:r>
      <w:r>
        <w:rPr>
          <w:sz w:val="20"/>
        </w:rPr>
        <w:t>60</w:t>
      </w:r>
      <w:r>
        <w:rPr>
          <w:spacing w:val="-7"/>
          <w:sz w:val="20"/>
        </w:rPr>
        <w:t xml:space="preserve"> </w:t>
      </w:r>
      <w:r>
        <w:rPr>
          <w:sz w:val="20"/>
        </w:rPr>
        <w:t>personas</w:t>
      </w:r>
      <w:r>
        <w:rPr>
          <w:spacing w:val="-8"/>
          <w:sz w:val="20"/>
        </w:rPr>
        <w:t xml:space="preserve"> </w:t>
      </w:r>
      <w:r>
        <w:rPr>
          <w:sz w:val="20"/>
        </w:rPr>
        <w:t>que</w:t>
      </w:r>
      <w:r>
        <w:rPr>
          <w:spacing w:val="-8"/>
          <w:sz w:val="20"/>
        </w:rPr>
        <w:t xml:space="preserve"> </w:t>
      </w:r>
      <w:r>
        <w:rPr>
          <w:sz w:val="20"/>
        </w:rPr>
        <w:t>perdieron</w:t>
      </w:r>
      <w:r>
        <w:rPr>
          <w:spacing w:val="-7"/>
          <w:sz w:val="20"/>
        </w:rPr>
        <w:t xml:space="preserve"> </w:t>
      </w:r>
      <w:r>
        <w:rPr>
          <w:sz w:val="20"/>
        </w:rPr>
        <w:t>la</w:t>
      </w:r>
      <w:r>
        <w:rPr>
          <w:spacing w:val="-7"/>
          <w:sz w:val="20"/>
        </w:rPr>
        <w:t xml:space="preserve"> </w:t>
      </w:r>
      <w:r>
        <w:rPr>
          <w:sz w:val="20"/>
        </w:rPr>
        <w:t>vida</w:t>
      </w:r>
      <w:r>
        <w:rPr>
          <w:spacing w:val="-5"/>
          <w:sz w:val="20"/>
        </w:rPr>
        <w:t xml:space="preserve"> </w:t>
      </w:r>
      <w:r>
        <w:rPr>
          <w:sz w:val="20"/>
        </w:rPr>
        <w:t>como</w:t>
      </w:r>
      <w:r>
        <w:rPr>
          <w:spacing w:val="-8"/>
          <w:sz w:val="20"/>
        </w:rPr>
        <w:t xml:space="preserve"> </w:t>
      </w:r>
      <w:r>
        <w:rPr>
          <w:sz w:val="20"/>
        </w:rPr>
        <w:t>consecuencia</w:t>
      </w:r>
      <w:r>
        <w:rPr>
          <w:spacing w:val="-8"/>
          <w:sz w:val="20"/>
        </w:rPr>
        <w:t xml:space="preserve"> </w:t>
      </w:r>
      <w:r>
        <w:rPr>
          <w:sz w:val="20"/>
        </w:rPr>
        <w:t>dir</w:t>
      </w:r>
      <w:r>
        <w:rPr>
          <w:sz w:val="20"/>
        </w:rPr>
        <w:t>ecta de</w:t>
      </w:r>
      <w:r>
        <w:rPr>
          <w:spacing w:val="-19"/>
          <w:sz w:val="20"/>
        </w:rPr>
        <w:t xml:space="preserve"> </w:t>
      </w:r>
      <w:r>
        <w:rPr>
          <w:sz w:val="20"/>
        </w:rPr>
        <w:t>la</w:t>
      </w:r>
      <w:r>
        <w:rPr>
          <w:spacing w:val="-14"/>
          <w:sz w:val="20"/>
        </w:rPr>
        <w:t xml:space="preserve"> </w:t>
      </w:r>
      <w:r>
        <w:rPr>
          <w:sz w:val="20"/>
        </w:rPr>
        <w:t>explosión</w:t>
      </w:r>
      <w:r>
        <w:rPr>
          <w:spacing w:val="-16"/>
          <w:sz w:val="20"/>
        </w:rPr>
        <w:t xml:space="preserve"> </w:t>
      </w:r>
      <w:r>
        <w:rPr>
          <w:sz w:val="20"/>
        </w:rPr>
        <w:t>de</w:t>
      </w:r>
      <w:r>
        <w:rPr>
          <w:spacing w:val="-18"/>
          <w:sz w:val="20"/>
        </w:rPr>
        <w:t xml:space="preserve"> </w:t>
      </w:r>
      <w:r>
        <w:rPr>
          <w:sz w:val="20"/>
        </w:rPr>
        <w:t>la</w:t>
      </w:r>
      <w:r>
        <w:rPr>
          <w:spacing w:val="-14"/>
          <w:sz w:val="20"/>
        </w:rPr>
        <w:t xml:space="preserve"> </w:t>
      </w:r>
      <w:r>
        <w:rPr>
          <w:sz w:val="20"/>
        </w:rPr>
        <w:t>fábrica</w:t>
      </w:r>
      <w:r>
        <w:rPr>
          <w:spacing w:val="-17"/>
          <w:sz w:val="20"/>
        </w:rPr>
        <w:t xml:space="preserve"> </w:t>
      </w:r>
      <w:r>
        <w:rPr>
          <w:sz w:val="20"/>
        </w:rPr>
        <w:t>de</w:t>
      </w:r>
      <w:r>
        <w:rPr>
          <w:spacing w:val="-18"/>
          <w:sz w:val="20"/>
        </w:rPr>
        <w:t xml:space="preserve"> </w:t>
      </w:r>
      <w:r>
        <w:rPr>
          <w:sz w:val="20"/>
        </w:rPr>
        <w:t>fuegos</w:t>
      </w:r>
      <w:r>
        <w:rPr>
          <w:spacing w:val="-17"/>
          <w:sz w:val="20"/>
        </w:rPr>
        <w:t xml:space="preserve"> </w:t>
      </w:r>
      <w:r>
        <w:rPr>
          <w:sz w:val="20"/>
        </w:rPr>
        <w:t>de</w:t>
      </w:r>
      <w:r>
        <w:rPr>
          <w:spacing w:val="-19"/>
          <w:sz w:val="20"/>
        </w:rPr>
        <w:t xml:space="preserve"> </w:t>
      </w:r>
      <w:r>
        <w:rPr>
          <w:sz w:val="20"/>
        </w:rPr>
        <w:t>Santo</w:t>
      </w:r>
      <w:r>
        <w:rPr>
          <w:spacing w:val="-15"/>
          <w:sz w:val="20"/>
        </w:rPr>
        <w:t xml:space="preserve"> </w:t>
      </w:r>
      <w:r>
        <w:rPr>
          <w:sz w:val="20"/>
        </w:rPr>
        <w:t>Antônio</w:t>
      </w:r>
      <w:r>
        <w:rPr>
          <w:spacing w:val="-18"/>
          <w:sz w:val="20"/>
        </w:rPr>
        <w:t xml:space="preserve"> </w:t>
      </w:r>
      <w:r>
        <w:rPr>
          <w:sz w:val="20"/>
        </w:rPr>
        <w:t>de</w:t>
      </w:r>
      <w:r>
        <w:rPr>
          <w:spacing w:val="-19"/>
          <w:sz w:val="20"/>
        </w:rPr>
        <w:t xml:space="preserve"> </w:t>
      </w:r>
      <w:r>
        <w:rPr>
          <w:sz w:val="20"/>
        </w:rPr>
        <w:t>Jesus,</w:t>
      </w:r>
      <w:r>
        <w:rPr>
          <w:spacing w:val="-15"/>
          <w:sz w:val="20"/>
        </w:rPr>
        <w:t xml:space="preserve"> </w:t>
      </w:r>
      <w:r>
        <w:rPr>
          <w:sz w:val="20"/>
        </w:rPr>
        <w:t>y</w:t>
      </w:r>
      <w:r>
        <w:rPr>
          <w:spacing w:val="-17"/>
          <w:sz w:val="20"/>
        </w:rPr>
        <w:t xml:space="preserve"> </w:t>
      </w:r>
      <w:r>
        <w:rPr>
          <w:sz w:val="20"/>
        </w:rPr>
        <w:t>del</w:t>
      </w:r>
      <w:r>
        <w:rPr>
          <w:spacing w:val="-15"/>
          <w:sz w:val="20"/>
        </w:rPr>
        <w:t xml:space="preserve"> </w:t>
      </w:r>
      <w:r>
        <w:rPr>
          <w:sz w:val="20"/>
        </w:rPr>
        <w:t>derecho</w:t>
      </w:r>
      <w:r>
        <w:rPr>
          <w:spacing w:val="-18"/>
          <w:sz w:val="20"/>
        </w:rPr>
        <w:t xml:space="preserve"> </w:t>
      </w:r>
      <w:r>
        <w:rPr>
          <w:sz w:val="20"/>
        </w:rPr>
        <w:t>a</w:t>
      </w:r>
      <w:r>
        <w:rPr>
          <w:spacing w:val="-16"/>
          <w:sz w:val="20"/>
        </w:rPr>
        <w:t xml:space="preserve"> </w:t>
      </w:r>
      <w:r>
        <w:rPr>
          <w:sz w:val="20"/>
        </w:rPr>
        <w:t>la</w:t>
      </w:r>
      <w:r>
        <w:rPr>
          <w:spacing w:val="-17"/>
          <w:sz w:val="20"/>
        </w:rPr>
        <w:t xml:space="preserve"> </w:t>
      </w:r>
      <w:r>
        <w:rPr>
          <w:sz w:val="20"/>
        </w:rPr>
        <w:t>integridad personal de las seis personas que sobrevivieron. En particular, en relación con los sobrevivientes, para esta Corte es posible afirmar que sufrieron una afectación a su derecho a la integridad personal, por cuenta de las secuelas físicas y psico</w:t>
      </w:r>
      <w:r>
        <w:rPr>
          <w:sz w:val="20"/>
        </w:rPr>
        <w:t>lógicas padecidas. Así, los</w:t>
      </w:r>
    </w:p>
    <w:p w14:paraId="6086FF88" w14:textId="77777777" w:rsidR="00467FCA" w:rsidRDefault="001B68EB">
      <w:pPr>
        <w:pStyle w:val="Textoindependiente"/>
        <w:spacing w:before="8"/>
        <w:rPr>
          <w:sz w:val="17"/>
        </w:rPr>
      </w:pPr>
      <w:r>
        <w:pict w14:anchorId="3B19D169">
          <v:shape id="_x0000_s1160" style="position:absolute;margin-left:1in;margin-top:13pt;width:2in;height:.1pt;z-index:-251621376;mso-wrap-distance-left:0;mso-wrap-distance-right:0;mso-position-horizontal-relative:page" coordorigin="1440,260" coordsize="2880,0" path="m1440,260r2880,e" filled="f" strokeweight=".6pt">
            <v:path arrowok="t"/>
            <w10:wrap type="topAndBottom" anchorx="page"/>
          </v:shape>
        </w:pict>
      </w:r>
    </w:p>
    <w:p w14:paraId="3605E97C" w14:textId="77777777" w:rsidR="00467FCA" w:rsidRDefault="001B68EB">
      <w:pPr>
        <w:tabs>
          <w:tab w:val="left" w:pos="839"/>
        </w:tabs>
        <w:spacing w:before="74"/>
        <w:ind w:left="119" w:right="129"/>
        <w:rPr>
          <w:sz w:val="16"/>
        </w:rPr>
      </w:pPr>
      <w:bookmarkStart w:id="291" w:name="_bookmark250"/>
      <w:bookmarkEnd w:id="291"/>
      <w:r>
        <w:rPr>
          <w:position w:val="6"/>
          <w:sz w:val="10"/>
        </w:rPr>
        <w:t>210</w:t>
      </w:r>
      <w:r>
        <w:rPr>
          <w:position w:val="6"/>
          <w:sz w:val="10"/>
        </w:rPr>
        <w:tab/>
      </w:r>
      <w:r>
        <w:rPr>
          <w:i/>
          <w:sz w:val="16"/>
        </w:rPr>
        <w:t>Cfr</w:t>
      </w:r>
      <w:r>
        <w:rPr>
          <w:sz w:val="16"/>
        </w:rPr>
        <w:t>. Manifestación del Estado en la audiencia pública de admisibilidad ante la Comisión Interamericana, el</w:t>
      </w:r>
      <w:bookmarkStart w:id="292" w:name="_bookmark251"/>
      <w:bookmarkEnd w:id="292"/>
      <w:r>
        <w:rPr>
          <w:sz w:val="16"/>
        </w:rPr>
        <w:t xml:space="preserve"> 19 de octubre de 2006,</w:t>
      </w:r>
      <w:r>
        <w:rPr>
          <w:spacing w:val="-7"/>
          <w:sz w:val="16"/>
        </w:rPr>
        <w:t xml:space="preserve"> </w:t>
      </w:r>
      <w:r>
        <w:rPr>
          <w:i/>
          <w:sz w:val="16"/>
        </w:rPr>
        <w:t>supra</w:t>
      </w:r>
      <w:r>
        <w:rPr>
          <w:sz w:val="16"/>
        </w:rPr>
        <w:t>.</w:t>
      </w:r>
    </w:p>
    <w:p w14:paraId="1BDB152A" w14:textId="77777777" w:rsidR="00467FCA" w:rsidRDefault="001B68EB">
      <w:pPr>
        <w:tabs>
          <w:tab w:val="left" w:pos="839"/>
        </w:tabs>
        <w:ind w:left="119" w:right="129"/>
        <w:rPr>
          <w:sz w:val="16"/>
        </w:rPr>
      </w:pPr>
      <w:r>
        <w:rPr>
          <w:position w:val="6"/>
          <w:sz w:val="10"/>
        </w:rPr>
        <w:t>211</w:t>
      </w:r>
      <w:r>
        <w:rPr>
          <w:position w:val="6"/>
          <w:sz w:val="10"/>
        </w:rPr>
        <w:tab/>
      </w:r>
      <w:r>
        <w:rPr>
          <w:i/>
          <w:sz w:val="16"/>
        </w:rPr>
        <w:t xml:space="preserve">Cfr. </w:t>
      </w:r>
      <w:r>
        <w:rPr>
          <w:sz w:val="16"/>
        </w:rPr>
        <w:t>Sentencia de apelación del Tribunal Regional Federal de la Primera Región. P</w:t>
      </w:r>
      <w:r>
        <w:rPr>
          <w:sz w:val="16"/>
        </w:rPr>
        <w:t>roceso 0005241- 13.2002.4.01.3300 (expediente de prueba, folio</w:t>
      </w:r>
      <w:r>
        <w:rPr>
          <w:spacing w:val="-5"/>
          <w:sz w:val="16"/>
        </w:rPr>
        <w:t xml:space="preserve"> </w:t>
      </w:r>
      <w:r>
        <w:rPr>
          <w:sz w:val="16"/>
        </w:rPr>
        <w:t>2200).</w:t>
      </w:r>
    </w:p>
    <w:p w14:paraId="3EC79AF0" w14:textId="77777777" w:rsidR="00467FCA" w:rsidRDefault="001B68EB">
      <w:pPr>
        <w:tabs>
          <w:tab w:val="left" w:pos="839"/>
        </w:tabs>
        <w:ind w:left="120"/>
        <w:rPr>
          <w:sz w:val="16"/>
        </w:rPr>
      </w:pPr>
      <w:bookmarkStart w:id="293" w:name="_bookmark252"/>
      <w:bookmarkEnd w:id="293"/>
      <w:r>
        <w:rPr>
          <w:position w:val="6"/>
          <w:sz w:val="10"/>
        </w:rPr>
        <w:t>212</w:t>
      </w:r>
      <w:r>
        <w:rPr>
          <w:position w:val="6"/>
          <w:sz w:val="10"/>
        </w:rPr>
        <w:tab/>
      </w:r>
      <w:r>
        <w:rPr>
          <w:i/>
          <w:sz w:val="16"/>
        </w:rPr>
        <w:t xml:space="preserve">Cfr. </w:t>
      </w:r>
      <w:r>
        <w:rPr>
          <w:sz w:val="16"/>
        </w:rPr>
        <w:t>Sentencia del Juzgado de Trabajo de Santo Antônio de Jesus,</w:t>
      </w:r>
      <w:r>
        <w:rPr>
          <w:spacing w:val="-11"/>
          <w:sz w:val="16"/>
        </w:rPr>
        <w:t xml:space="preserve"> </w:t>
      </w:r>
      <w:r>
        <w:rPr>
          <w:i/>
          <w:sz w:val="16"/>
        </w:rPr>
        <w:t>supra</w:t>
      </w:r>
      <w:r>
        <w:rPr>
          <w:sz w:val="16"/>
        </w:rPr>
        <w:t>.</w:t>
      </w:r>
    </w:p>
    <w:p w14:paraId="0A8FC940" w14:textId="77777777" w:rsidR="00467FCA" w:rsidRDefault="001B68EB">
      <w:pPr>
        <w:tabs>
          <w:tab w:val="left" w:pos="839"/>
        </w:tabs>
        <w:ind w:left="120"/>
        <w:rPr>
          <w:sz w:val="16"/>
        </w:rPr>
      </w:pPr>
      <w:bookmarkStart w:id="294" w:name="_bookmark253"/>
      <w:bookmarkEnd w:id="294"/>
      <w:r>
        <w:rPr>
          <w:position w:val="6"/>
          <w:sz w:val="10"/>
        </w:rPr>
        <w:t>213</w:t>
      </w:r>
      <w:r>
        <w:rPr>
          <w:position w:val="6"/>
          <w:sz w:val="10"/>
        </w:rPr>
        <w:tab/>
      </w:r>
      <w:r>
        <w:rPr>
          <w:i/>
          <w:sz w:val="16"/>
        </w:rPr>
        <w:t>Cfr.</w:t>
      </w:r>
      <w:r>
        <w:rPr>
          <w:i/>
          <w:spacing w:val="-9"/>
          <w:sz w:val="16"/>
        </w:rPr>
        <w:t xml:space="preserve"> </w:t>
      </w:r>
      <w:r>
        <w:rPr>
          <w:sz w:val="16"/>
        </w:rPr>
        <w:t>Manifestación</w:t>
      </w:r>
      <w:r>
        <w:rPr>
          <w:spacing w:val="-8"/>
          <w:sz w:val="16"/>
        </w:rPr>
        <w:t xml:space="preserve"> </w:t>
      </w:r>
      <w:r>
        <w:rPr>
          <w:sz w:val="16"/>
        </w:rPr>
        <w:t>del</w:t>
      </w:r>
      <w:r>
        <w:rPr>
          <w:spacing w:val="-6"/>
          <w:sz w:val="16"/>
        </w:rPr>
        <w:t xml:space="preserve"> </w:t>
      </w:r>
      <w:r>
        <w:rPr>
          <w:sz w:val="16"/>
        </w:rPr>
        <w:t>Estado</w:t>
      </w:r>
      <w:r>
        <w:rPr>
          <w:spacing w:val="-9"/>
          <w:sz w:val="16"/>
        </w:rPr>
        <w:t xml:space="preserve"> </w:t>
      </w:r>
      <w:r>
        <w:rPr>
          <w:sz w:val="16"/>
        </w:rPr>
        <w:t>en</w:t>
      </w:r>
      <w:r>
        <w:rPr>
          <w:spacing w:val="-6"/>
          <w:sz w:val="16"/>
        </w:rPr>
        <w:t xml:space="preserve"> </w:t>
      </w:r>
      <w:r>
        <w:rPr>
          <w:sz w:val="16"/>
        </w:rPr>
        <w:t>la</w:t>
      </w:r>
      <w:r>
        <w:rPr>
          <w:spacing w:val="-6"/>
          <w:sz w:val="16"/>
        </w:rPr>
        <w:t xml:space="preserve"> </w:t>
      </w:r>
      <w:r>
        <w:rPr>
          <w:sz w:val="16"/>
        </w:rPr>
        <w:t>audiencia</w:t>
      </w:r>
      <w:r>
        <w:rPr>
          <w:spacing w:val="-6"/>
          <w:sz w:val="16"/>
        </w:rPr>
        <w:t xml:space="preserve"> </w:t>
      </w:r>
      <w:r>
        <w:rPr>
          <w:sz w:val="16"/>
        </w:rPr>
        <w:t>pública</w:t>
      </w:r>
      <w:r>
        <w:rPr>
          <w:spacing w:val="-6"/>
          <w:sz w:val="16"/>
        </w:rPr>
        <w:t xml:space="preserve"> </w:t>
      </w:r>
      <w:r>
        <w:rPr>
          <w:sz w:val="16"/>
        </w:rPr>
        <w:t>celebrada</w:t>
      </w:r>
      <w:r>
        <w:rPr>
          <w:spacing w:val="-6"/>
          <w:sz w:val="16"/>
        </w:rPr>
        <w:t xml:space="preserve"> </w:t>
      </w:r>
      <w:r>
        <w:rPr>
          <w:sz w:val="16"/>
        </w:rPr>
        <w:t>en</w:t>
      </w:r>
      <w:r>
        <w:rPr>
          <w:spacing w:val="-8"/>
          <w:sz w:val="16"/>
        </w:rPr>
        <w:t xml:space="preserve"> </w:t>
      </w:r>
      <w:r>
        <w:rPr>
          <w:sz w:val="16"/>
        </w:rPr>
        <w:t>el</w:t>
      </w:r>
      <w:r>
        <w:rPr>
          <w:spacing w:val="-8"/>
          <w:sz w:val="16"/>
        </w:rPr>
        <w:t xml:space="preserve"> </w:t>
      </w:r>
      <w:r>
        <w:rPr>
          <w:sz w:val="16"/>
        </w:rPr>
        <w:t>presente</w:t>
      </w:r>
      <w:r>
        <w:rPr>
          <w:spacing w:val="-7"/>
          <w:sz w:val="16"/>
        </w:rPr>
        <w:t xml:space="preserve"> </w:t>
      </w:r>
      <w:r>
        <w:rPr>
          <w:sz w:val="16"/>
        </w:rPr>
        <w:t>caso,</w:t>
      </w:r>
      <w:r>
        <w:rPr>
          <w:spacing w:val="-8"/>
          <w:sz w:val="16"/>
        </w:rPr>
        <w:t xml:space="preserve"> </w:t>
      </w:r>
      <w:r>
        <w:rPr>
          <w:sz w:val="16"/>
        </w:rPr>
        <w:t>el</w:t>
      </w:r>
      <w:r>
        <w:rPr>
          <w:spacing w:val="-8"/>
          <w:sz w:val="16"/>
        </w:rPr>
        <w:t xml:space="preserve"> </w:t>
      </w:r>
      <w:r>
        <w:rPr>
          <w:sz w:val="16"/>
        </w:rPr>
        <w:t>31</w:t>
      </w:r>
      <w:r>
        <w:rPr>
          <w:spacing w:val="-6"/>
          <w:sz w:val="16"/>
        </w:rPr>
        <w:t xml:space="preserve"> </w:t>
      </w:r>
      <w:r>
        <w:rPr>
          <w:sz w:val="16"/>
        </w:rPr>
        <w:t>de</w:t>
      </w:r>
      <w:r>
        <w:rPr>
          <w:spacing w:val="-5"/>
          <w:sz w:val="16"/>
        </w:rPr>
        <w:t xml:space="preserve"> </w:t>
      </w:r>
      <w:r>
        <w:rPr>
          <w:sz w:val="16"/>
        </w:rPr>
        <w:t>enero</w:t>
      </w:r>
      <w:r>
        <w:rPr>
          <w:spacing w:val="-8"/>
          <w:sz w:val="16"/>
        </w:rPr>
        <w:t xml:space="preserve"> </w:t>
      </w:r>
      <w:r>
        <w:rPr>
          <w:sz w:val="16"/>
        </w:rPr>
        <w:t>de</w:t>
      </w:r>
      <w:r>
        <w:rPr>
          <w:spacing w:val="-7"/>
          <w:sz w:val="16"/>
        </w:rPr>
        <w:t xml:space="preserve"> </w:t>
      </w:r>
      <w:r>
        <w:rPr>
          <w:sz w:val="16"/>
        </w:rPr>
        <w:t>2020.</w:t>
      </w:r>
    </w:p>
    <w:p w14:paraId="49284A7B" w14:textId="77777777" w:rsidR="00467FCA" w:rsidRDefault="00467FCA">
      <w:pPr>
        <w:rPr>
          <w:sz w:val="16"/>
        </w:rPr>
        <w:sectPr w:rsidR="00467FCA">
          <w:pgSz w:w="12240" w:h="15840"/>
          <w:pgMar w:top="1360" w:right="1320" w:bottom="1220" w:left="1320" w:header="0" w:footer="1037" w:gutter="0"/>
          <w:cols w:space="720"/>
        </w:sectPr>
      </w:pPr>
    </w:p>
    <w:p w14:paraId="29BE2D4C" w14:textId="77777777" w:rsidR="00467FCA" w:rsidRDefault="001B68EB">
      <w:pPr>
        <w:pStyle w:val="Textoindependiente"/>
        <w:spacing w:before="80"/>
        <w:ind w:left="119" w:right="116"/>
        <w:jc w:val="both"/>
      </w:pPr>
      <w:r>
        <w:t>sobrevivientes se enfrentaron a la muerte de sus compañeros, dentro de los que se encontraban niños, niñas y mujeres, y, dentro de las niñas y mujeres, algunas de ellas embarazadas, y quienes eran en algunos casos sus familiares; padecieron un grave sufrim</w:t>
      </w:r>
      <w:r>
        <w:t xml:space="preserve">iento físico y psicológico por cuenta de la explosión, que se evidencia por ejemplo en las graves quemaduras y otras dolencias, y sufrieron por la falta de atención adecuada a sus afectaciones físicas y psicológicas. A juicio de la Corte, este sufrimiento </w:t>
      </w:r>
      <w:r>
        <w:t xml:space="preserve">constituye una violación al derecho a la integridad personal con impactos duraderos en sus vidas. Adicionalmente, debido a que dentro de las personas fallecidas y sobrevivientes había niñas y niños, la Corte encuentra que en este caso se violó el artículo </w:t>
      </w:r>
      <w:r>
        <w:t>19 de la Convención Americana.</w:t>
      </w:r>
    </w:p>
    <w:p w14:paraId="7FDC8390" w14:textId="77777777" w:rsidR="00467FCA" w:rsidRDefault="00467FCA">
      <w:pPr>
        <w:pStyle w:val="Textoindependiente"/>
      </w:pPr>
    </w:p>
    <w:p w14:paraId="49B02C0A" w14:textId="77777777" w:rsidR="00467FCA" w:rsidRDefault="001B68EB">
      <w:pPr>
        <w:pStyle w:val="Ttulo2"/>
        <w:numPr>
          <w:ilvl w:val="3"/>
          <w:numId w:val="42"/>
        </w:numPr>
        <w:tabs>
          <w:tab w:val="left" w:pos="1274"/>
        </w:tabs>
        <w:ind w:left="1273" w:hanging="435"/>
      </w:pPr>
      <w:bookmarkStart w:id="295" w:name="B.3_Conclusión"/>
      <w:bookmarkStart w:id="296" w:name="_bookmark254"/>
      <w:bookmarkEnd w:id="295"/>
      <w:bookmarkEnd w:id="296"/>
      <w:r>
        <w:t>Conclusión</w:t>
      </w:r>
    </w:p>
    <w:p w14:paraId="069657E0" w14:textId="77777777" w:rsidR="00467FCA" w:rsidRDefault="00467FCA">
      <w:pPr>
        <w:pStyle w:val="Textoindependiente"/>
        <w:spacing w:before="1"/>
        <w:rPr>
          <w:b/>
          <w:i/>
        </w:rPr>
      </w:pPr>
    </w:p>
    <w:p w14:paraId="50B5D07D" w14:textId="77777777" w:rsidR="00467FCA" w:rsidRDefault="001B68EB">
      <w:pPr>
        <w:pStyle w:val="Prrafodelista"/>
        <w:numPr>
          <w:ilvl w:val="0"/>
          <w:numId w:val="50"/>
        </w:numPr>
        <w:tabs>
          <w:tab w:val="left" w:pos="686"/>
        </w:tabs>
        <w:ind w:left="119" w:right="118" w:firstLine="0"/>
        <w:jc w:val="both"/>
        <w:rPr>
          <w:sz w:val="20"/>
        </w:rPr>
      </w:pPr>
      <w:r>
        <w:rPr>
          <w:sz w:val="20"/>
        </w:rPr>
        <w:t>En</w:t>
      </w:r>
      <w:r>
        <w:rPr>
          <w:spacing w:val="-17"/>
          <w:sz w:val="20"/>
        </w:rPr>
        <w:t xml:space="preserve"> </w:t>
      </w:r>
      <w:r>
        <w:rPr>
          <w:sz w:val="20"/>
        </w:rPr>
        <w:t>virtud</w:t>
      </w:r>
      <w:r>
        <w:rPr>
          <w:spacing w:val="-17"/>
          <w:sz w:val="20"/>
        </w:rPr>
        <w:t xml:space="preserve"> </w:t>
      </w:r>
      <w:r>
        <w:rPr>
          <w:sz w:val="20"/>
        </w:rPr>
        <w:t>del</w:t>
      </w:r>
      <w:r>
        <w:rPr>
          <w:spacing w:val="-17"/>
          <w:sz w:val="20"/>
        </w:rPr>
        <w:t xml:space="preserve"> </w:t>
      </w:r>
      <w:r>
        <w:rPr>
          <w:sz w:val="20"/>
        </w:rPr>
        <w:t>análisis</w:t>
      </w:r>
      <w:r>
        <w:rPr>
          <w:spacing w:val="-19"/>
          <w:sz w:val="20"/>
        </w:rPr>
        <w:t xml:space="preserve"> </w:t>
      </w:r>
      <w:r>
        <w:rPr>
          <w:sz w:val="20"/>
        </w:rPr>
        <w:t>hecho</w:t>
      </w:r>
      <w:r>
        <w:rPr>
          <w:spacing w:val="-19"/>
          <w:sz w:val="20"/>
        </w:rPr>
        <w:t xml:space="preserve"> </w:t>
      </w:r>
      <w:r>
        <w:rPr>
          <w:sz w:val="20"/>
        </w:rPr>
        <w:t>en</w:t>
      </w:r>
      <w:r>
        <w:rPr>
          <w:spacing w:val="-16"/>
          <w:sz w:val="20"/>
        </w:rPr>
        <w:t xml:space="preserve"> </w:t>
      </w:r>
      <w:r>
        <w:rPr>
          <w:sz w:val="20"/>
        </w:rPr>
        <w:t>los</w:t>
      </w:r>
      <w:r>
        <w:rPr>
          <w:spacing w:val="-17"/>
          <w:sz w:val="20"/>
        </w:rPr>
        <w:t xml:space="preserve"> </w:t>
      </w:r>
      <w:r>
        <w:rPr>
          <w:sz w:val="20"/>
        </w:rPr>
        <w:t>párrafos</w:t>
      </w:r>
      <w:r>
        <w:rPr>
          <w:spacing w:val="-16"/>
          <w:sz w:val="20"/>
        </w:rPr>
        <w:t xml:space="preserve"> </w:t>
      </w:r>
      <w:r>
        <w:rPr>
          <w:sz w:val="20"/>
        </w:rPr>
        <w:t>precedentes</w:t>
      </w:r>
      <w:r>
        <w:rPr>
          <w:spacing w:val="-16"/>
          <w:sz w:val="20"/>
        </w:rPr>
        <w:t xml:space="preserve"> </w:t>
      </w:r>
      <w:r>
        <w:rPr>
          <w:sz w:val="20"/>
        </w:rPr>
        <w:t>y</w:t>
      </w:r>
      <w:r>
        <w:rPr>
          <w:spacing w:val="-19"/>
          <w:sz w:val="20"/>
        </w:rPr>
        <w:t xml:space="preserve"> </w:t>
      </w:r>
      <w:r>
        <w:rPr>
          <w:sz w:val="20"/>
        </w:rPr>
        <w:t>las</w:t>
      </w:r>
      <w:r>
        <w:rPr>
          <w:spacing w:val="-18"/>
          <w:sz w:val="20"/>
        </w:rPr>
        <w:t xml:space="preserve"> </w:t>
      </w:r>
      <w:r>
        <w:rPr>
          <w:sz w:val="20"/>
        </w:rPr>
        <w:t>determinaciones</w:t>
      </w:r>
      <w:r>
        <w:rPr>
          <w:spacing w:val="-16"/>
          <w:sz w:val="20"/>
        </w:rPr>
        <w:t xml:space="preserve"> </w:t>
      </w:r>
      <w:r>
        <w:rPr>
          <w:sz w:val="20"/>
        </w:rPr>
        <w:t>realizadas en este capítulo, la Corte concluye que Brasil es responsable por la violación de los</w:t>
      </w:r>
      <w:r>
        <w:rPr>
          <w:spacing w:val="40"/>
          <w:sz w:val="20"/>
        </w:rPr>
        <w:t xml:space="preserve"> </w:t>
      </w:r>
      <w:r>
        <w:rPr>
          <w:sz w:val="20"/>
        </w:rPr>
        <w:t>artículos</w:t>
      </w:r>
    </w:p>
    <w:p w14:paraId="6A0C3A60" w14:textId="77777777" w:rsidR="00467FCA" w:rsidRDefault="001B68EB">
      <w:pPr>
        <w:pStyle w:val="Prrafodelista"/>
        <w:numPr>
          <w:ilvl w:val="1"/>
          <w:numId w:val="41"/>
        </w:numPr>
        <w:tabs>
          <w:tab w:val="left" w:pos="506"/>
        </w:tabs>
        <w:ind w:right="117" w:firstLine="0"/>
        <w:jc w:val="both"/>
        <w:rPr>
          <w:sz w:val="20"/>
        </w:rPr>
      </w:pPr>
      <w:r>
        <w:rPr>
          <w:sz w:val="20"/>
        </w:rPr>
        <w:t>y</w:t>
      </w:r>
      <w:r>
        <w:rPr>
          <w:spacing w:val="-12"/>
          <w:sz w:val="20"/>
        </w:rPr>
        <w:t xml:space="preserve"> </w:t>
      </w:r>
      <w:r>
        <w:rPr>
          <w:sz w:val="20"/>
        </w:rPr>
        <w:t>19</w:t>
      </w:r>
      <w:r>
        <w:rPr>
          <w:spacing w:val="-10"/>
          <w:sz w:val="20"/>
        </w:rPr>
        <w:t xml:space="preserve"> </w:t>
      </w:r>
      <w:r>
        <w:rPr>
          <w:sz w:val="20"/>
        </w:rPr>
        <w:t>de</w:t>
      </w:r>
      <w:r>
        <w:rPr>
          <w:spacing w:val="-12"/>
          <w:sz w:val="20"/>
        </w:rPr>
        <w:t xml:space="preserve"> </w:t>
      </w:r>
      <w:r>
        <w:rPr>
          <w:sz w:val="20"/>
        </w:rPr>
        <w:t>la</w:t>
      </w:r>
      <w:r>
        <w:rPr>
          <w:spacing w:val="-11"/>
          <w:sz w:val="20"/>
        </w:rPr>
        <w:t xml:space="preserve"> </w:t>
      </w:r>
      <w:r>
        <w:rPr>
          <w:sz w:val="20"/>
        </w:rPr>
        <w:t>Convención</w:t>
      </w:r>
      <w:r>
        <w:rPr>
          <w:spacing w:val="-12"/>
          <w:sz w:val="20"/>
        </w:rPr>
        <w:t xml:space="preserve"> </w:t>
      </w:r>
      <w:r>
        <w:rPr>
          <w:sz w:val="20"/>
        </w:rPr>
        <w:t>Americana,</w:t>
      </w:r>
      <w:r>
        <w:rPr>
          <w:spacing w:val="-11"/>
          <w:sz w:val="20"/>
        </w:rPr>
        <w:t xml:space="preserve"> </w:t>
      </w:r>
      <w:r>
        <w:rPr>
          <w:sz w:val="20"/>
        </w:rPr>
        <w:t>en</w:t>
      </w:r>
      <w:r>
        <w:rPr>
          <w:spacing w:val="-10"/>
          <w:sz w:val="20"/>
        </w:rPr>
        <w:t xml:space="preserve"> </w:t>
      </w:r>
      <w:r>
        <w:rPr>
          <w:sz w:val="20"/>
        </w:rPr>
        <w:t>relación</w:t>
      </w:r>
      <w:r>
        <w:rPr>
          <w:spacing w:val="-9"/>
          <w:sz w:val="20"/>
        </w:rPr>
        <w:t xml:space="preserve"> </w:t>
      </w:r>
      <w:r>
        <w:rPr>
          <w:sz w:val="20"/>
        </w:rPr>
        <w:t>con</w:t>
      </w:r>
      <w:r>
        <w:rPr>
          <w:spacing w:val="-9"/>
          <w:sz w:val="20"/>
        </w:rPr>
        <w:t xml:space="preserve"> </w:t>
      </w:r>
      <w:r>
        <w:rPr>
          <w:sz w:val="20"/>
        </w:rPr>
        <w:t>el</w:t>
      </w:r>
      <w:r>
        <w:rPr>
          <w:spacing w:val="-11"/>
          <w:sz w:val="20"/>
        </w:rPr>
        <w:t xml:space="preserve"> </w:t>
      </w:r>
      <w:r>
        <w:rPr>
          <w:sz w:val="20"/>
        </w:rPr>
        <w:t>artículo</w:t>
      </w:r>
      <w:r>
        <w:rPr>
          <w:spacing w:val="-11"/>
          <w:sz w:val="20"/>
        </w:rPr>
        <w:t xml:space="preserve"> </w:t>
      </w:r>
      <w:r>
        <w:rPr>
          <w:sz w:val="20"/>
        </w:rPr>
        <w:t>1.1</w:t>
      </w:r>
      <w:r>
        <w:rPr>
          <w:spacing w:val="-10"/>
          <w:sz w:val="20"/>
        </w:rPr>
        <w:t xml:space="preserve"> </w:t>
      </w:r>
      <w:r>
        <w:rPr>
          <w:sz w:val="20"/>
        </w:rPr>
        <w:t>de</w:t>
      </w:r>
      <w:r>
        <w:rPr>
          <w:spacing w:val="-13"/>
          <w:sz w:val="20"/>
        </w:rPr>
        <w:t xml:space="preserve"> </w:t>
      </w:r>
      <w:r>
        <w:rPr>
          <w:sz w:val="20"/>
        </w:rPr>
        <w:t>la</w:t>
      </w:r>
      <w:r>
        <w:rPr>
          <w:spacing w:val="-10"/>
          <w:sz w:val="20"/>
        </w:rPr>
        <w:t xml:space="preserve"> </w:t>
      </w:r>
      <w:r>
        <w:rPr>
          <w:sz w:val="20"/>
        </w:rPr>
        <w:t>misma,</w:t>
      </w:r>
      <w:r>
        <w:rPr>
          <w:spacing w:val="-8"/>
          <w:sz w:val="20"/>
        </w:rPr>
        <w:t xml:space="preserve"> </w:t>
      </w:r>
      <w:r>
        <w:rPr>
          <w:sz w:val="20"/>
        </w:rPr>
        <w:t>en</w:t>
      </w:r>
      <w:r>
        <w:rPr>
          <w:spacing w:val="-13"/>
          <w:sz w:val="20"/>
        </w:rPr>
        <w:t xml:space="preserve"> </w:t>
      </w:r>
      <w:r>
        <w:rPr>
          <w:sz w:val="20"/>
        </w:rPr>
        <w:t>perjuicio de las 60 personas fallecidas, entre las cuales se encontraban 20 niñas y niños</w:t>
      </w:r>
      <w:hyperlink w:anchor="_bookmark257" w:history="1">
        <w:r>
          <w:rPr>
            <w:position w:val="7"/>
            <w:sz w:val="13"/>
          </w:rPr>
          <w:t>214</w:t>
        </w:r>
      </w:hyperlink>
      <w:r>
        <w:rPr>
          <w:sz w:val="20"/>
        </w:rPr>
        <w:t>, y de los artículos 5.1 y 19 de la Convención Americana, en relación con</w:t>
      </w:r>
      <w:r>
        <w:rPr>
          <w:sz w:val="20"/>
        </w:rPr>
        <w:t xml:space="preserve"> el artículo 1.1 de la misma, en</w:t>
      </w:r>
      <w:r>
        <w:rPr>
          <w:spacing w:val="-12"/>
          <w:sz w:val="20"/>
        </w:rPr>
        <w:t xml:space="preserve"> </w:t>
      </w:r>
      <w:r>
        <w:rPr>
          <w:sz w:val="20"/>
        </w:rPr>
        <w:t>perjuicio</w:t>
      </w:r>
      <w:r>
        <w:rPr>
          <w:spacing w:val="-11"/>
          <w:sz w:val="20"/>
        </w:rPr>
        <w:t xml:space="preserve"> </w:t>
      </w:r>
      <w:r>
        <w:rPr>
          <w:sz w:val="20"/>
        </w:rPr>
        <w:t>de</w:t>
      </w:r>
      <w:r>
        <w:rPr>
          <w:spacing w:val="-10"/>
          <w:sz w:val="20"/>
        </w:rPr>
        <w:t xml:space="preserve"> </w:t>
      </w:r>
      <w:r>
        <w:rPr>
          <w:sz w:val="20"/>
        </w:rPr>
        <w:t>las</w:t>
      </w:r>
      <w:r>
        <w:rPr>
          <w:spacing w:val="-11"/>
          <w:sz w:val="20"/>
        </w:rPr>
        <w:t xml:space="preserve"> </w:t>
      </w:r>
      <w:r>
        <w:rPr>
          <w:sz w:val="20"/>
        </w:rPr>
        <w:t>seis</w:t>
      </w:r>
      <w:r>
        <w:rPr>
          <w:spacing w:val="-10"/>
          <w:sz w:val="20"/>
        </w:rPr>
        <w:t xml:space="preserve"> </w:t>
      </w:r>
      <w:r>
        <w:rPr>
          <w:sz w:val="20"/>
        </w:rPr>
        <w:t>personas</w:t>
      </w:r>
      <w:r>
        <w:rPr>
          <w:spacing w:val="-11"/>
          <w:sz w:val="20"/>
        </w:rPr>
        <w:t xml:space="preserve"> </w:t>
      </w:r>
      <w:r>
        <w:rPr>
          <w:sz w:val="20"/>
        </w:rPr>
        <w:t>sobrevivientes,</w:t>
      </w:r>
      <w:r>
        <w:rPr>
          <w:spacing w:val="-8"/>
          <w:sz w:val="20"/>
        </w:rPr>
        <w:t xml:space="preserve"> </w:t>
      </w:r>
      <w:r>
        <w:rPr>
          <w:sz w:val="20"/>
        </w:rPr>
        <w:t>tres</w:t>
      </w:r>
      <w:r>
        <w:rPr>
          <w:spacing w:val="-10"/>
          <w:sz w:val="20"/>
        </w:rPr>
        <w:t xml:space="preserve"> </w:t>
      </w:r>
      <w:r>
        <w:rPr>
          <w:sz w:val="20"/>
        </w:rPr>
        <w:t>de</w:t>
      </w:r>
      <w:r>
        <w:rPr>
          <w:spacing w:val="-14"/>
          <w:sz w:val="20"/>
        </w:rPr>
        <w:t xml:space="preserve"> </w:t>
      </w:r>
      <w:r>
        <w:rPr>
          <w:sz w:val="20"/>
        </w:rPr>
        <w:t>las</w:t>
      </w:r>
      <w:r>
        <w:rPr>
          <w:spacing w:val="-10"/>
          <w:sz w:val="20"/>
        </w:rPr>
        <w:t xml:space="preserve"> </w:t>
      </w:r>
      <w:r>
        <w:rPr>
          <w:sz w:val="20"/>
        </w:rPr>
        <w:t>cuales</w:t>
      </w:r>
      <w:r>
        <w:rPr>
          <w:spacing w:val="-11"/>
          <w:sz w:val="20"/>
        </w:rPr>
        <w:t xml:space="preserve"> </w:t>
      </w:r>
      <w:r>
        <w:rPr>
          <w:sz w:val="20"/>
        </w:rPr>
        <w:t>eran</w:t>
      </w:r>
      <w:r>
        <w:rPr>
          <w:spacing w:val="-11"/>
          <w:sz w:val="20"/>
        </w:rPr>
        <w:t xml:space="preserve"> </w:t>
      </w:r>
      <w:r>
        <w:rPr>
          <w:sz w:val="20"/>
        </w:rPr>
        <w:t>niños</w:t>
      </w:r>
      <w:hyperlink w:anchor="_bookmark258" w:history="1">
        <w:r>
          <w:rPr>
            <w:position w:val="7"/>
            <w:sz w:val="13"/>
          </w:rPr>
          <w:t>215</w:t>
        </w:r>
      </w:hyperlink>
      <w:r>
        <w:rPr>
          <w:sz w:val="20"/>
        </w:rPr>
        <w:t>,</w:t>
      </w:r>
      <w:r>
        <w:rPr>
          <w:spacing w:val="-13"/>
          <w:sz w:val="20"/>
        </w:rPr>
        <w:t xml:space="preserve"> </w:t>
      </w:r>
      <w:r>
        <w:rPr>
          <w:sz w:val="20"/>
        </w:rPr>
        <w:t>tal</w:t>
      </w:r>
      <w:r>
        <w:rPr>
          <w:spacing w:val="-11"/>
          <w:sz w:val="20"/>
        </w:rPr>
        <w:t xml:space="preserve"> </w:t>
      </w:r>
      <w:r>
        <w:rPr>
          <w:sz w:val="20"/>
        </w:rPr>
        <w:t>como</w:t>
      </w:r>
      <w:r>
        <w:rPr>
          <w:spacing w:val="-11"/>
          <w:sz w:val="20"/>
        </w:rPr>
        <w:t xml:space="preserve"> </w:t>
      </w:r>
      <w:r>
        <w:rPr>
          <w:sz w:val="20"/>
        </w:rPr>
        <w:t>son identificados</w:t>
      </w:r>
      <w:r>
        <w:rPr>
          <w:spacing w:val="-9"/>
          <w:sz w:val="20"/>
        </w:rPr>
        <w:t xml:space="preserve"> </w:t>
      </w:r>
      <w:r>
        <w:rPr>
          <w:sz w:val="20"/>
        </w:rPr>
        <w:t>en</w:t>
      </w:r>
      <w:r>
        <w:rPr>
          <w:spacing w:val="-9"/>
          <w:sz w:val="20"/>
        </w:rPr>
        <w:t xml:space="preserve"> </w:t>
      </w:r>
      <w:r>
        <w:rPr>
          <w:sz w:val="20"/>
        </w:rPr>
        <w:t>el</w:t>
      </w:r>
      <w:r>
        <w:rPr>
          <w:spacing w:val="-9"/>
          <w:sz w:val="20"/>
        </w:rPr>
        <w:t xml:space="preserve"> </w:t>
      </w:r>
      <w:r>
        <w:rPr>
          <w:sz w:val="20"/>
        </w:rPr>
        <w:t>Anexo</w:t>
      </w:r>
      <w:r>
        <w:rPr>
          <w:spacing w:val="-11"/>
          <w:sz w:val="20"/>
        </w:rPr>
        <w:t xml:space="preserve"> </w:t>
      </w:r>
      <w:r>
        <w:rPr>
          <w:sz w:val="20"/>
        </w:rPr>
        <w:t>No.</w:t>
      </w:r>
      <w:r>
        <w:rPr>
          <w:spacing w:val="-12"/>
          <w:sz w:val="20"/>
        </w:rPr>
        <w:t xml:space="preserve"> </w:t>
      </w:r>
      <w:r>
        <w:rPr>
          <w:sz w:val="20"/>
        </w:rPr>
        <w:t>1</w:t>
      </w:r>
      <w:r>
        <w:rPr>
          <w:spacing w:val="-10"/>
          <w:sz w:val="20"/>
        </w:rPr>
        <w:t xml:space="preserve"> </w:t>
      </w:r>
      <w:r>
        <w:rPr>
          <w:sz w:val="20"/>
        </w:rPr>
        <w:t>de</w:t>
      </w:r>
      <w:r>
        <w:rPr>
          <w:spacing w:val="-11"/>
          <w:sz w:val="20"/>
        </w:rPr>
        <w:t xml:space="preserve"> </w:t>
      </w:r>
      <w:r>
        <w:rPr>
          <w:sz w:val="20"/>
        </w:rPr>
        <w:t>esta</w:t>
      </w:r>
      <w:r>
        <w:rPr>
          <w:spacing w:val="-9"/>
          <w:sz w:val="20"/>
        </w:rPr>
        <w:t xml:space="preserve"> </w:t>
      </w:r>
      <w:r>
        <w:rPr>
          <w:sz w:val="20"/>
        </w:rPr>
        <w:t>sentencia,</w:t>
      </w:r>
      <w:r>
        <w:rPr>
          <w:spacing w:val="-13"/>
          <w:sz w:val="20"/>
        </w:rPr>
        <w:t xml:space="preserve"> </w:t>
      </w:r>
      <w:r>
        <w:rPr>
          <w:sz w:val="20"/>
        </w:rPr>
        <w:t>lo</w:t>
      </w:r>
      <w:r>
        <w:rPr>
          <w:spacing w:val="-13"/>
          <w:sz w:val="20"/>
        </w:rPr>
        <w:t xml:space="preserve"> </w:t>
      </w:r>
      <w:r>
        <w:rPr>
          <w:sz w:val="20"/>
        </w:rPr>
        <w:t>anterior</w:t>
      </w:r>
      <w:r>
        <w:rPr>
          <w:spacing w:val="-11"/>
          <w:sz w:val="20"/>
        </w:rPr>
        <w:t xml:space="preserve"> </w:t>
      </w:r>
      <w:r>
        <w:rPr>
          <w:sz w:val="20"/>
        </w:rPr>
        <w:t>como</w:t>
      </w:r>
      <w:r>
        <w:rPr>
          <w:spacing w:val="-11"/>
          <w:sz w:val="20"/>
        </w:rPr>
        <w:t xml:space="preserve"> </w:t>
      </w:r>
      <w:r>
        <w:rPr>
          <w:sz w:val="20"/>
        </w:rPr>
        <w:t>resultado</w:t>
      </w:r>
      <w:r>
        <w:rPr>
          <w:spacing w:val="-13"/>
          <w:sz w:val="20"/>
        </w:rPr>
        <w:t xml:space="preserve"> </w:t>
      </w:r>
      <w:r>
        <w:rPr>
          <w:sz w:val="20"/>
        </w:rPr>
        <w:t>de</w:t>
      </w:r>
      <w:r>
        <w:rPr>
          <w:spacing w:val="-11"/>
          <w:sz w:val="20"/>
        </w:rPr>
        <w:t xml:space="preserve"> </w:t>
      </w:r>
      <w:r>
        <w:rPr>
          <w:sz w:val="20"/>
        </w:rPr>
        <w:t>las</w:t>
      </w:r>
      <w:r>
        <w:rPr>
          <w:spacing w:val="-10"/>
          <w:sz w:val="20"/>
        </w:rPr>
        <w:t xml:space="preserve"> </w:t>
      </w:r>
      <w:r>
        <w:rPr>
          <w:sz w:val="20"/>
        </w:rPr>
        <w:t>omisiones estatales que llevaron a la explosión de la fábrica de “Vardo de los fuegos” en Santo Antônio de Jesus el 11 de diciembre de</w:t>
      </w:r>
      <w:r>
        <w:rPr>
          <w:spacing w:val="-10"/>
          <w:sz w:val="20"/>
        </w:rPr>
        <w:t xml:space="preserve"> </w:t>
      </w:r>
      <w:r>
        <w:rPr>
          <w:sz w:val="20"/>
        </w:rPr>
        <w:t>1998.</w:t>
      </w:r>
    </w:p>
    <w:p w14:paraId="72287573" w14:textId="77777777" w:rsidR="00467FCA" w:rsidRDefault="00467FCA">
      <w:pPr>
        <w:pStyle w:val="Textoindependiente"/>
        <w:rPr>
          <w:sz w:val="24"/>
        </w:rPr>
      </w:pPr>
    </w:p>
    <w:p w14:paraId="152EB14B" w14:textId="77777777" w:rsidR="00467FCA" w:rsidRDefault="001B68EB">
      <w:pPr>
        <w:pStyle w:val="Ttulo1"/>
        <w:spacing w:before="195"/>
        <w:ind w:left="151" w:right="153"/>
        <w:jc w:val="center"/>
      </w:pPr>
      <w:bookmarkStart w:id="297" w:name="VIII-2_DERECHOS_DE_LA_NIÑA_Y_DEL_NIÑO,_A"/>
      <w:bookmarkStart w:id="298" w:name="_bookmark255"/>
      <w:bookmarkEnd w:id="297"/>
      <w:bookmarkEnd w:id="298"/>
      <w:r>
        <w:t>VIII-2</w:t>
      </w:r>
    </w:p>
    <w:p w14:paraId="3B544F1B" w14:textId="77777777" w:rsidR="00467FCA" w:rsidRDefault="001B68EB">
      <w:pPr>
        <w:spacing w:before="35" w:line="276" w:lineRule="auto"/>
        <w:ind w:left="155" w:right="153"/>
        <w:jc w:val="center"/>
        <w:rPr>
          <w:b/>
          <w:sz w:val="20"/>
        </w:rPr>
      </w:pPr>
      <w:r>
        <w:rPr>
          <w:b/>
          <w:sz w:val="20"/>
        </w:rPr>
        <w:t>DERECHOS DE LA NIÑA Y DEL NIÑO, A LA IGUAL PROTECCIÓN DE LA LEY, A LA PROHIBICIÓN DE DISCRIMINACIÓN Y AL TR</w:t>
      </w:r>
      <w:r>
        <w:rPr>
          <w:b/>
          <w:sz w:val="20"/>
        </w:rPr>
        <w:t>ABAJO, EN RELACIÓN CON LAS OBLIGACIONES DE RESPETO Y GARANTÍA (ARTÍCULOS 19, 24 y 26 DE LA CONVENCIÓN AMERICANA EN RELACIÓN CON EL ARTICULO 1.1 DE LA MISMA)</w:t>
      </w:r>
    </w:p>
    <w:p w14:paraId="2C6B95E0" w14:textId="77777777" w:rsidR="00467FCA" w:rsidRDefault="00467FCA">
      <w:pPr>
        <w:pStyle w:val="Textoindependiente"/>
        <w:rPr>
          <w:b/>
        </w:rPr>
      </w:pPr>
    </w:p>
    <w:p w14:paraId="36618EC3" w14:textId="77777777" w:rsidR="00467FCA" w:rsidRDefault="001B68EB">
      <w:pPr>
        <w:pStyle w:val="Ttulo1"/>
        <w:numPr>
          <w:ilvl w:val="2"/>
          <w:numId w:val="41"/>
        </w:numPr>
        <w:tabs>
          <w:tab w:val="left" w:pos="839"/>
        </w:tabs>
        <w:ind w:hanging="362"/>
      </w:pPr>
      <w:bookmarkStart w:id="299" w:name="_bookmark256"/>
      <w:bookmarkEnd w:id="299"/>
      <w:r>
        <w:t>Alegatos de las partes y de la</w:t>
      </w:r>
      <w:r>
        <w:rPr>
          <w:spacing w:val="-3"/>
        </w:rPr>
        <w:t xml:space="preserve"> </w:t>
      </w:r>
      <w:r>
        <w:t>Comisión</w:t>
      </w:r>
    </w:p>
    <w:p w14:paraId="57AEA741" w14:textId="77777777" w:rsidR="00467FCA" w:rsidRDefault="00467FCA">
      <w:pPr>
        <w:pStyle w:val="Textoindependiente"/>
        <w:spacing w:before="1"/>
        <w:rPr>
          <w:b/>
        </w:rPr>
      </w:pPr>
    </w:p>
    <w:p w14:paraId="62534F57" w14:textId="77777777" w:rsidR="00467FCA" w:rsidRDefault="001B68EB">
      <w:pPr>
        <w:pStyle w:val="Prrafodelista"/>
        <w:numPr>
          <w:ilvl w:val="0"/>
          <w:numId w:val="50"/>
        </w:numPr>
        <w:tabs>
          <w:tab w:val="left" w:pos="685"/>
        </w:tabs>
        <w:ind w:left="117" w:right="118" w:firstLine="0"/>
        <w:jc w:val="both"/>
        <w:rPr>
          <w:sz w:val="20"/>
        </w:rPr>
      </w:pPr>
      <w:r>
        <w:rPr>
          <w:sz w:val="20"/>
        </w:rPr>
        <w:t xml:space="preserve">La </w:t>
      </w:r>
      <w:r>
        <w:rPr>
          <w:b/>
          <w:i/>
          <w:sz w:val="20"/>
        </w:rPr>
        <w:t xml:space="preserve">Comisión </w:t>
      </w:r>
      <w:r>
        <w:rPr>
          <w:sz w:val="20"/>
        </w:rPr>
        <w:t>señaló que la Carta de la OEA, en su artículo 45, establece que el trabajo es un derecho y deber social que otorga dignidad a quien lo realiza y debe prestarse en condiciones que, incluyendo un régimen de salarios justos, aseguren la vida, la salud y un ni</w:t>
      </w:r>
      <w:r>
        <w:rPr>
          <w:sz w:val="20"/>
        </w:rPr>
        <w:t>vel económico decoroso. Añadió que el artículo 34.g del mismo instrumento incluye, entre las metas para lograr un desarrollo integral, salarios justos, oportunidades de empleo y condiciones de trabajo aceptables para todos. Asimismo, la Declaración America</w:t>
      </w:r>
      <w:r>
        <w:rPr>
          <w:sz w:val="20"/>
        </w:rPr>
        <w:t>na establece en su artículo XIV “el derecho al trabajo en condiciones dignas” y, en el mismo sentido, el Protocolo de San Salvador dispone que “toda persona tiene derecho al trabajo, incluyendo la oportunidad</w:t>
      </w:r>
      <w:r>
        <w:rPr>
          <w:spacing w:val="-19"/>
          <w:sz w:val="20"/>
        </w:rPr>
        <w:t xml:space="preserve"> </w:t>
      </w:r>
      <w:r>
        <w:rPr>
          <w:sz w:val="20"/>
        </w:rPr>
        <w:t>de</w:t>
      </w:r>
      <w:r>
        <w:rPr>
          <w:spacing w:val="-21"/>
          <w:sz w:val="20"/>
        </w:rPr>
        <w:t xml:space="preserve"> </w:t>
      </w:r>
      <w:r>
        <w:rPr>
          <w:sz w:val="20"/>
        </w:rPr>
        <w:t>obtener</w:t>
      </w:r>
      <w:r>
        <w:rPr>
          <w:spacing w:val="-20"/>
          <w:sz w:val="20"/>
        </w:rPr>
        <w:t xml:space="preserve"> </w:t>
      </w:r>
      <w:r>
        <w:rPr>
          <w:sz w:val="20"/>
        </w:rPr>
        <w:t>los</w:t>
      </w:r>
      <w:r>
        <w:rPr>
          <w:spacing w:val="-21"/>
          <w:sz w:val="20"/>
        </w:rPr>
        <w:t xml:space="preserve"> </w:t>
      </w:r>
      <w:r>
        <w:rPr>
          <w:sz w:val="20"/>
        </w:rPr>
        <w:t>medios</w:t>
      </w:r>
      <w:r>
        <w:rPr>
          <w:spacing w:val="-21"/>
          <w:sz w:val="20"/>
        </w:rPr>
        <w:t xml:space="preserve"> </w:t>
      </w:r>
      <w:r>
        <w:rPr>
          <w:sz w:val="20"/>
        </w:rPr>
        <w:t>para</w:t>
      </w:r>
      <w:r>
        <w:rPr>
          <w:spacing w:val="-19"/>
          <w:sz w:val="20"/>
        </w:rPr>
        <w:t xml:space="preserve"> </w:t>
      </w:r>
      <w:r>
        <w:rPr>
          <w:sz w:val="20"/>
        </w:rPr>
        <w:t>llevar</w:t>
      </w:r>
      <w:r>
        <w:rPr>
          <w:spacing w:val="-21"/>
          <w:sz w:val="20"/>
        </w:rPr>
        <w:t xml:space="preserve"> </w:t>
      </w:r>
      <w:r>
        <w:rPr>
          <w:sz w:val="20"/>
        </w:rPr>
        <w:t>una</w:t>
      </w:r>
      <w:r>
        <w:rPr>
          <w:spacing w:val="-20"/>
          <w:sz w:val="20"/>
        </w:rPr>
        <w:t xml:space="preserve"> </w:t>
      </w:r>
      <w:r>
        <w:rPr>
          <w:sz w:val="20"/>
        </w:rPr>
        <w:t>vida</w:t>
      </w:r>
      <w:r>
        <w:rPr>
          <w:spacing w:val="-19"/>
          <w:sz w:val="20"/>
        </w:rPr>
        <w:t xml:space="preserve"> </w:t>
      </w:r>
      <w:r>
        <w:rPr>
          <w:sz w:val="20"/>
        </w:rPr>
        <w:t>dign</w:t>
      </w:r>
      <w:r>
        <w:rPr>
          <w:sz w:val="20"/>
        </w:rPr>
        <w:t>a”.</w:t>
      </w:r>
      <w:r>
        <w:rPr>
          <w:spacing w:val="-20"/>
          <w:sz w:val="20"/>
        </w:rPr>
        <w:t xml:space="preserve"> </w:t>
      </w:r>
      <w:r>
        <w:rPr>
          <w:sz w:val="20"/>
        </w:rPr>
        <w:t>Teniendo</w:t>
      </w:r>
      <w:r>
        <w:rPr>
          <w:spacing w:val="-16"/>
          <w:sz w:val="20"/>
        </w:rPr>
        <w:t xml:space="preserve"> </w:t>
      </w:r>
      <w:r>
        <w:rPr>
          <w:sz w:val="20"/>
        </w:rPr>
        <w:t>en</w:t>
      </w:r>
      <w:r>
        <w:rPr>
          <w:spacing w:val="-18"/>
          <w:sz w:val="20"/>
        </w:rPr>
        <w:t xml:space="preserve"> </w:t>
      </w:r>
      <w:r>
        <w:rPr>
          <w:sz w:val="20"/>
        </w:rPr>
        <w:t>cuenta</w:t>
      </w:r>
      <w:r>
        <w:rPr>
          <w:spacing w:val="-20"/>
          <w:sz w:val="20"/>
        </w:rPr>
        <w:t xml:space="preserve"> </w:t>
      </w:r>
      <w:r>
        <w:rPr>
          <w:sz w:val="20"/>
        </w:rPr>
        <w:t>lo</w:t>
      </w:r>
      <w:r>
        <w:rPr>
          <w:spacing w:val="-21"/>
          <w:sz w:val="20"/>
        </w:rPr>
        <w:t xml:space="preserve"> </w:t>
      </w:r>
      <w:r>
        <w:rPr>
          <w:sz w:val="20"/>
        </w:rPr>
        <w:t>anterior, concluyó que el derecho al trabajo constituye una de las normas económicas y sociales mencionadas</w:t>
      </w:r>
      <w:r>
        <w:rPr>
          <w:spacing w:val="-12"/>
          <w:sz w:val="20"/>
        </w:rPr>
        <w:t xml:space="preserve"> </w:t>
      </w:r>
      <w:r>
        <w:rPr>
          <w:sz w:val="20"/>
        </w:rPr>
        <w:t>en</w:t>
      </w:r>
      <w:r>
        <w:rPr>
          <w:spacing w:val="-7"/>
          <w:sz w:val="20"/>
        </w:rPr>
        <w:t xml:space="preserve"> </w:t>
      </w:r>
      <w:r>
        <w:rPr>
          <w:sz w:val="20"/>
        </w:rPr>
        <w:t>el</w:t>
      </w:r>
      <w:r>
        <w:rPr>
          <w:spacing w:val="-10"/>
          <w:sz w:val="20"/>
        </w:rPr>
        <w:t xml:space="preserve"> </w:t>
      </w:r>
      <w:r>
        <w:rPr>
          <w:sz w:val="20"/>
        </w:rPr>
        <w:t>artículo</w:t>
      </w:r>
      <w:r>
        <w:rPr>
          <w:spacing w:val="-11"/>
          <w:sz w:val="20"/>
        </w:rPr>
        <w:t xml:space="preserve"> </w:t>
      </w:r>
      <w:r>
        <w:rPr>
          <w:sz w:val="20"/>
        </w:rPr>
        <w:t>26</w:t>
      </w:r>
      <w:r>
        <w:rPr>
          <w:spacing w:val="-10"/>
          <w:sz w:val="20"/>
        </w:rPr>
        <w:t xml:space="preserve"> </w:t>
      </w:r>
      <w:r>
        <w:rPr>
          <w:sz w:val="20"/>
        </w:rPr>
        <w:t>de</w:t>
      </w:r>
      <w:r>
        <w:rPr>
          <w:spacing w:val="-11"/>
          <w:sz w:val="20"/>
        </w:rPr>
        <w:t xml:space="preserve"> </w:t>
      </w:r>
      <w:r>
        <w:rPr>
          <w:sz w:val="20"/>
        </w:rPr>
        <w:t>la</w:t>
      </w:r>
      <w:r>
        <w:rPr>
          <w:spacing w:val="-10"/>
          <w:sz w:val="20"/>
        </w:rPr>
        <w:t xml:space="preserve"> </w:t>
      </w:r>
      <w:r>
        <w:rPr>
          <w:sz w:val="20"/>
        </w:rPr>
        <w:t>Convención,</w:t>
      </w:r>
      <w:r>
        <w:rPr>
          <w:spacing w:val="-11"/>
          <w:sz w:val="20"/>
        </w:rPr>
        <w:t xml:space="preserve"> </w:t>
      </w:r>
      <w:r>
        <w:rPr>
          <w:sz w:val="20"/>
        </w:rPr>
        <w:t>razón</w:t>
      </w:r>
      <w:r>
        <w:rPr>
          <w:spacing w:val="-9"/>
          <w:sz w:val="20"/>
        </w:rPr>
        <w:t xml:space="preserve"> </w:t>
      </w:r>
      <w:r>
        <w:rPr>
          <w:sz w:val="20"/>
        </w:rPr>
        <w:t>por</w:t>
      </w:r>
      <w:r>
        <w:rPr>
          <w:spacing w:val="-11"/>
          <w:sz w:val="20"/>
        </w:rPr>
        <w:t xml:space="preserve"> </w:t>
      </w:r>
      <w:r>
        <w:rPr>
          <w:sz w:val="20"/>
        </w:rPr>
        <w:t>la</w:t>
      </w:r>
      <w:r>
        <w:rPr>
          <w:spacing w:val="-9"/>
          <w:sz w:val="20"/>
        </w:rPr>
        <w:t xml:space="preserve"> </w:t>
      </w:r>
      <w:r>
        <w:rPr>
          <w:sz w:val="20"/>
        </w:rPr>
        <w:t>cual</w:t>
      </w:r>
      <w:r>
        <w:rPr>
          <w:spacing w:val="-10"/>
          <w:sz w:val="20"/>
        </w:rPr>
        <w:t xml:space="preserve"> </w:t>
      </w:r>
      <w:r>
        <w:rPr>
          <w:sz w:val="20"/>
        </w:rPr>
        <w:t>los</w:t>
      </w:r>
      <w:r>
        <w:rPr>
          <w:spacing w:val="-11"/>
          <w:sz w:val="20"/>
        </w:rPr>
        <w:t xml:space="preserve"> </w:t>
      </w:r>
      <w:r>
        <w:rPr>
          <w:sz w:val="20"/>
        </w:rPr>
        <w:t>Estados</w:t>
      </w:r>
      <w:r>
        <w:rPr>
          <w:spacing w:val="-11"/>
          <w:sz w:val="20"/>
        </w:rPr>
        <w:t xml:space="preserve"> </w:t>
      </w:r>
      <w:r>
        <w:rPr>
          <w:sz w:val="20"/>
        </w:rPr>
        <w:t>deben</w:t>
      </w:r>
      <w:r>
        <w:rPr>
          <w:spacing w:val="-9"/>
          <w:sz w:val="20"/>
        </w:rPr>
        <w:t xml:space="preserve"> </w:t>
      </w:r>
      <w:r>
        <w:rPr>
          <w:sz w:val="20"/>
        </w:rPr>
        <w:t>velar</w:t>
      </w:r>
      <w:r>
        <w:rPr>
          <w:spacing w:val="-11"/>
          <w:sz w:val="20"/>
        </w:rPr>
        <w:t xml:space="preserve"> </w:t>
      </w:r>
      <w:r>
        <w:rPr>
          <w:sz w:val="20"/>
        </w:rPr>
        <w:t>por</w:t>
      </w:r>
    </w:p>
    <w:p w14:paraId="31179792" w14:textId="77777777" w:rsidR="00467FCA" w:rsidRDefault="001B68EB">
      <w:pPr>
        <w:pStyle w:val="Textoindependiente"/>
        <w:spacing w:before="7"/>
        <w:rPr>
          <w:sz w:val="18"/>
        </w:rPr>
      </w:pPr>
      <w:r>
        <w:pict w14:anchorId="68838095">
          <v:shape id="_x0000_s1159" style="position:absolute;margin-left:1in;margin-top:13.6pt;width:2in;height:.1pt;z-index:-251620352;mso-wrap-distance-left:0;mso-wrap-distance-right:0;mso-position-horizontal-relative:page" coordorigin="1440,272" coordsize="2880,0" path="m1440,272r2880,e" filled="f" strokeweight=".6pt">
            <v:path arrowok="t"/>
            <w10:wrap type="topAndBottom" anchorx="page"/>
          </v:shape>
        </w:pict>
      </w:r>
    </w:p>
    <w:p w14:paraId="711E8325" w14:textId="77777777" w:rsidR="00467FCA" w:rsidRDefault="001B68EB">
      <w:pPr>
        <w:tabs>
          <w:tab w:val="left" w:pos="839"/>
        </w:tabs>
        <w:spacing w:before="74"/>
        <w:ind w:left="120"/>
        <w:jc w:val="both"/>
        <w:rPr>
          <w:sz w:val="16"/>
        </w:rPr>
      </w:pPr>
      <w:bookmarkStart w:id="300" w:name="_bookmark257"/>
      <w:bookmarkEnd w:id="300"/>
      <w:r>
        <w:rPr>
          <w:position w:val="6"/>
          <w:sz w:val="10"/>
        </w:rPr>
        <w:t>214</w:t>
      </w:r>
      <w:r>
        <w:rPr>
          <w:position w:val="6"/>
          <w:sz w:val="10"/>
        </w:rPr>
        <w:tab/>
      </w:r>
      <w:r>
        <w:rPr>
          <w:sz w:val="16"/>
        </w:rPr>
        <w:t>El</w:t>
      </w:r>
      <w:r>
        <w:rPr>
          <w:spacing w:val="-6"/>
          <w:sz w:val="16"/>
        </w:rPr>
        <w:t xml:space="preserve"> </w:t>
      </w:r>
      <w:r>
        <w:rPr>
          <w:sz w:val="16"/>
        </w:rPr>
        <w:t>Estado</w:t>
      </w:r>
      <w:r>
        <w:rPr>
          <w:spacing w:val="-4"/>
          <w:sz w:val="16"/>
        </w:rPr>
        <w:t xml:space="preserve"> </w:t>
      </w:r>
      <w:r>
        <w:rPr>
          <w:sz w:val="16"/>
        </w:rPr>
        <w:t>es</w:t>
      </w:r>
      <w:r>
        <w:rPr>
          <w:spacing w:val="-4"/>
          <w:sz w:val="16"/>
        </w:rPr>
        <w:t xml:space="preserve"> </w:t>
      </w:r>
      <w:r>
        <w:rPr>
          <w:sz w:val="16"/>
        </w:rPr>
        <w:t>responsable</w:t>
      </w:r>
      <w:r>
        <w:rPr>
          <w:spacing w:val="-7"/>
          <w:sz w:val="16"/>
        </w:rPr>
        <w:t xml:space="preserve"> </w:t>
      </w:r>
      <w:r>
        <w:rPr>
          <w:sz w:val="16"/>
        </w:rPr>
        <w:t>por</w:t>
      </w:r>
      <w:r>
        <w:rPr>
          <w:spacing w:val="-5"/>
          <w:sz w:val="16"/>
        </w:rPr>
        <w:t xml:space="preserve"> </w:t>
      </w:r>
      <w:r>
        <w:rPr>
          <w:sz w:val="16"/>
        </w:rPr>
        <w:t>la</w:t>
      </w:r>
      <w:r>
        <w:rPr>
          <w:spacing w:val="-6"/>
          <w:sz w:val="16"/>
        </w:rPr>
        <w:t xml:space="preserve"> </w:t>
      </w:r>
      <w:r>
        <w:rPr>
          <w:sz w:val="16"/>
        </w:rPr>
        <w:t>violación</w:t>
      </w:r>
      <w:r>
        <w:rPr>
          <w:spacing w:val="-5"/>
          <w:sz w:val="16"/>
        </w:rPr>
        <w:t xml:space="preserve"> </w:t>
      </w:r>
      <w:r>
        <w:rPr>
          <w:sz w:val="16"/>
        </w:rPr>
        <w:t>a</w:t>
      </w:r>
      <w:r>
        <w:rPr>
          <w:spacing w:val="-8"/>
          <w:sz w:val="16"/>
        </w:rPr>
        <w:t xml:space="preserve"> </w:t>
      </w:r>
      <w:r>
        <w:rPr>
          <w:sz w:val="16"/>
        </w:rPr>
        <w:t>los</w:t>
      </w:r>
      <w:r>
        <w:rPr>
          <w:spacing w:val="-6"/>
          <w:sz w:val="16"/>
        </w:rPr>
        <w:t xml:space="preserve"> </w:t>
      </w:r>
      <w:r>
        <w:rPr>
          <w:sz w:val="16"/>
        </w:rPr>
        <w:t>artículos</w:t>
      </w:r>
      <w:r>
        <w:rPr>
          <w:spacing w:val="-7"/>
          <w:sz w:val="16"/>
        </w:rPr>
        <w:t xml:space="preserve"> </w:t>
      </w:r>
      <w:r>
        <w:rPr>
          <w:sz w:val="16"/>
        </w:rPr>
        <w:t>4.1</w:t>
      </w:r>
      <w:r>
        <w:rPr>
          <w:spacing w:val="-8"/>
          <w:sz w:val="16"/>
        </w:rPr>
        <w:t xml:space="preserve"> </w:t>
      </w:r>
      <w:r>
        <w:rPr>
          <w:sz w:val="16"/>
        </w:rPr>
        <w:t>y</w:t>
      </w:r>
      <w:r>
        <w:rPr>
          <w:spacing w:val="-4"/>
          <w:sz w:val="16"/>
        </w:rPr>
        <w:t xml:space="preserve"> </w:t>
      </w:r>
      <w:r>
        <w:rPr>
          <w:sz w:val="16"/>
        </w:rPr>
        <w:t>19</w:t>
      </w:r>
      <w:r>
        <w:rPr>
          <w:spacing w:val="-5"/>
          <w:sz w:val="16"/>
        </w:rPr>
        <w:t xml:space="preserve"> </w:t>
      </w:r>
      <w:r>
        <w:rPr>
          <w:sz w:val="16"/>
        </w:rPr>
        <w:t>de</w:t>
      </w:r>
      <w:r>
        <w:rPr>
          <w:spacing w:val="-7"/>
          <w:sz w:val="16"/>
        </w:rPr>
        <w:t xml:space="preserve"> </w:t>
      </w:r>
      <w:r>
        <w:rPr>
          <w:sz w:val="16"/>
        </w:rPr>
        <w:t>la</w:t>
      </w:r>
      <w:r>
        <w:rPr>
          <w:spacing w:val="-5"/>
          <w:sz w:val="16"/>
        </w:rPr>
        <w:t xml:space="preserve"> </w:t>
      </w:r>
      <w:r>
        <w:rPr>
          <w:sz w:val="16"/>
        </w:rPr>
        <w:t>Convención</w:t>
      </w:r>
      <w:r>
        <w:rPr>
          <w:spacing w:val="-8"/>
          <w:sz w:val="16"/>
        </w:rPr>
        <w:t xml:space="preserve"> </w:t>
      </w:r>
      <w:r>
        <w:rPr>
          <w:sz w:val="16"/>
        </w:rPr>
        <w:t>en</w:t>
      </w:r>
      <w:r>
        <w:rPr>
          <w:spacing w:val="-7"/>
          <w:sz w:val="16"/>
        </w:rPr>
        <w:t xml:space="preserve"> </w:t>
      </w:r>
      <w:r>
        <w:rPr>
          <w:sz w:val="16"/>
        </w:rPr>
        <w:t>relación</w:t>
      </w:r>
      <w:r>
        <w:rPr>
          <w:spacing w:val="-5"/>
          <w:sz w:val="16"/>
        </w:rPr>
        <w:t xml:space="preserve"> </w:t>
      </w:r>
      <w:r>
        <w:rPr>
          <w:sz w:val="16"/>
        </w:rPr>
        <w:t>con</w:t>
      </w:r>
      <w:r>
        <w:rPr>
          <w:spacing w:val="-8"/>
          <w:sz w:val="16"/>
        </w:rPr>
        <w:t xml:space="preserve"> </w:t>
      </w:r>
      <w:r>
        <w:rPr>
          <w:sz w:val="16"/>
        </w:rPr>
        <w:t>el</w:t>
      </w:r>
      <w:r>
        <w:rPr>
          <w:spacing w:val="-5"/>
          <w:sz w:val="16"/>
        </w:rPr>
        <w:t xml:space="preserve"> </w:t>
      </w:r>
      <w:r>
        <w:rPr>
          <w:sz w:val="16"/>
        </w:rPr>
        <w:t>artículo</w:t>
      </w:r>
    </w:p>
    <w:p w14:paraId="3A9A0ABE" w14:textId="77777777" w:rsidR="00467FCA" w:rsidRDefault="001B68EB">
      <w:pPr>
        <w:ind w:left="119" w:right="112" w:hanging="1"/>
        <w:jc w:val="both"/>
        <w:rPr>
          <w:sz w:val="16"/>
        </w:rPr>
      </w:pPr>
      <w:r>
        <w:rPr>
          <w:sz w:val="16"/>
        </w:rPr>
        <w:t>1.1 de la Convención en perjuicio de las niñas y niños Adriana dos Santos, Adriana Santos Rocha, Aldeci Silva dos Santos,</w:t>
      </w:r>
      <w:r>
        <w:rPr>
          <w:spacing w:val="-13"/>
          <w:sz w:val="16"/>
        </w:rPr>
        <w:t xml:space="preserve"> </w:t>
      </w:r>
      <w:r>
        <w:rPr>
          <w:sz w:val="16"/>
        </w:rPr>
        <w:t>Aldeni</w:t>
      </w:r>
      <w:r>
        <w:rPr>
          <w:spacing w:val="-12"/>
          <w:sz w:val="16"/>
        </w:rPr>
        <w:t xml:space="preserve"> </w:t>
      </w:r>
      <w:r>
        <w:rPr>
          <w:sz w:val="16"/>
        </w:rPr>
        <w:t>Silva</w:t>
      </w:r>
      <w:r>
        <w:rPr>
          <w:spacing w:val="-14"/>
          <w:sz w:val="16"/>
        </w:rPr>
        <w:t xml:space="preserve"> </w:t>
      </w:r>
      <w:r>
        <w:rPr>
          <w:sz w:val="16"/>
        </w:rPr>
        <w:t>dos</w:t>
      </w:r>
      <w:r>
        <w:rPr>
          <w:spacing w:val="-13"/>
          <w:sz w:val="16"/>
        </w:rPr>
        <w:t xml:space="preserve"> </w:t>
      </w:r>
      <w:r>
        <w:rPr>
          <w:sz w:val="16"/>
        </w:rPr>
        <w:t>Santos,</w:t>
      </w:r>
      <w:r>
        <w:rPr>
          <w:spacing w:val="-13"/>
          <w:sz w:val="16"/>
        </w:rPr>
        <w:t xml:space="preserve"> </w:t>
      </w:r>
      <w:r>
        <w:rPr>
          <w:sz w:val="16"/>
        </w:rPr>
        <w:t>Alex</w:t>
      </w:r>
      <w:r>
        <w:rPr>
          <w:spacing w:val="-13"/>
          <w:sz w:val="16"/>
        </w:rPr>
        <w:t xml:space="preserve"> </w:t>
      </w:r>
      <w:r>
        <w:rPr>
          <w:sz w:val="16"/>
        </w:rPr>
        <w:t>Santos</w:t>
      </w:r>
      <w:r>
        <w:rPr>
          <w:spacing w:val="-13"/>
          <w:sz w:val="16"/>
        </w:rPr>
        <w:t xml:space="preserve"> </w:t>
      </w:r>
      <w:r>
        <w:rPr>
          <w:sz w:val="16"/>
        </w:rPr>
        <w:t>Costa,</w:t>
      </w:r>
      <w:r>
        <w:rPr>
          <w:spacing w:val="-12"/>
          <w:sz w:val="16"/>
        </w:rPr>
        <w:t xml:space="preserve"> </w:t>
      </w:r>
      <w:r>
        <w:rPr>
          <w:sz w:val="16"/>
        </w:rPr>
        <w:t>Andreia</w:t>
      </w:r>
      <w:r>
        <w:rPr>
          <w:spacing w:val="-15"/>
          <w:sz w:val="16"/>
        </w:rPr>
        <w:t xml:space="preserve"> </w:t>
      </w:r>
      <w:r>
        <w:rPr>
          <w:sz w:val="16"/>
        </w:rPr>
        <w:t>dos</w:t>
      </w:r>
      <w:r>
        <w:rPr>
          <w:spacing w:val="-13"/>
          <w:sz w:val="16"/>
        </w:rPr>
        <w:t xml:space="preserve"> </w:t>
      </w:r>
      <w:r>
        <w:rPr>
          <w:sz w:val="16"/>
        </w:rPr>
        <w:t>Santos,</w:t>
      </w:r>
      <w:r>
        <w:rPr>
          <w:spacing w:val="-14"/>
          <w:sz w:val="16"/>
        </w:rPr>
        <w:t xml:space="preserve"> </w:t>
      </w:r>
      <w:r>
        <w:rPr>
          <w:sz w:val="16"/>
        </w:rPr>
        <w:t>Aristela</w:t>
      </w:r>
      <w:r>
        <w:rPr>
          <w:spacing w:val="-14"/>
          <w:sz w:val="16"/>
        </w:rPr>
        <w:t xml:space="preserve"> </w:t>
      </w:r>
      <w:r>
        <w:rPr>
          <w:sz w:val="16"/>
        </w:rPr>
        <w:t>Santos</w:t>
      </w:r>
      <w:r>
        <w:rPr>
          <w:spacing w:val="-13"/>
          <w:sz w:val="16"/>
        </w:rPr>
        <w:t xml:space="preserve"> </w:t>
      </w:r>
      <w:r>
        <w:rPr>
          <w:sz w:val="16"/>
        </w:rPr>
        <w:t>de</w:t>
      </w:r>
      <w:r>
        <w:rPr>
          <w:spacing w:val="-14"/>
          <w:sz w:val="16"/>
        </w:rPr>
        <w:t xml:space="preserve"> </w:t>
      </w:r>
      <w:r>
        <w:rPr>
          <w:sz w:val="16"/>
        </w:rPr>
        <w:t>Jesus,</w:t>
      </w:r>
      <w:r>
        <w:rPr>
          <w:spacing w:val="-12"/>
          <w:sz w:val="16"/>
        </w:rPr>
        <w:t xml:space="preserve"> </w:t>
      </w:r>
      <w:r>
        <w:rPr>
          <w:sz w:val="16"/>
        </w:rPr>
        <w:t>Arlete</w:t>
      </w:r>
      <w:r>
        <w:rPr>
          <w:spacing w:val="-11"/>
          <w:sz w:val="16"/>
        </w:rPr>
        <w:t xml:space="preserve"> </w:t>
      </w:r>
      <w:r>
        <w:rPr>
          <w:sz w:val="16"/>
        </w:rPr>
        <w:t>Silva</w:t>
      </w:r>
      <w:r>
        <w:rPr>
          <w:spacing w:val="-14"/>
          <w:sz w:val="16"/>
        </w:rPr>
        <w:t xml:space="preserve"> </w:t>
      </w:r>
      <w:r>
        <w:rPr>
          <w:sz w:val="16"/>
        </w:rPr>
        <w:t>Santos, Carla Alexandra Cerquei</w:t>
      </w:r>
      <w:r>
        <w:rPr>
          <w:sz w:val="16"/>
        </w:rPr>
        <w:t>ra Santos, Carla Reis dos Santos, Daiane dos Santos Conceição, Daniela Cerqueira Reis, Fabiana</w:t>
      </w:r>
      <w:r>
        <w:rPr>
          <w:spacing w:val="-16"/>
          <w:sz w:val="16"/>
        </w:rPr>
        <w:t xml:space="preserve"> </w:t>
      </w:r>
      <w:r>
        <w:rPr>
          <w:sz w:val="16"/>
        </w:rPr>
        <w:t>Santos</w:t>
      </w:r>
      <w:r>
        <w:rPr>
          <w:spacing w:val="-17"/>
          <w:sz w:val="16"/>
        </w:rPr>
        <w:t xml:space="preserve"> </w:t>
      </w:r>
      <w:r>
        <w:rPr>
          <w:sz w:val="16"/>
        </w:rPr>
        <w:t>Rocha,</w:t>
      </w:r>
      <w:r>
        <w:rPr>
          <w:spacing w:val="-15"/>
          <w:sz w:val="16"/>
        </w:rPr>
        <w:t xml:space="preserve"> </w:t>
      </w:r>
      <w:r>
        <w:rPr>
          <w:sz w:val="16"/>
        </w:rPr>
        <w:t>Francisneide</w:t>
      </w:r>
      <w:r>
        <w:rPr>
          <w:spacing w:val="-15"/>
          <w:sz w:val="16"/>
        </w:rPr>
        <w:t xml:space="preserve"> </w:t>
      </w:r>
      <w:r>
        <w:rPr>
          <w:sz w:val="16"/>
        </w:rPr>
        <w:t>Bispo</w:t>
      </w:r>
      <w:r>
        <w:rPr>
          <w:spacing w:val="-16"/>
          <w:sz w:val="16"/>
        </w:rPr>
        <w:t xml:space="preserve"> </w:t>
      </w:r>
      <w:r>
        <w:rPr>
          <w:sz w:val="16"/>
        </w:rPr>
        <w:t>dos</w:t>
      </w:r>
      <w:r>
        <w:rPr>
          <w:spacing w:val="-17"/>
          <w:sz w:val="16"/>
        </w:rPr>
        <w:t xml:space="preserve"> </w:t>
      </w:r>
      <w:r>
        <w:rPr>
          <w:sz w:val="16"/>
        </w:rPr>
        <w:t>Santos,</w:t>
      </w:r>
      <w:r>
        <w:rPr>
          <w:spacing w:val="-16"/>
          <w:sz w:val="16"/>
        </w:rPr>
        <w:t xml:space="preserve"> </w:t>
      </w:r>
      <w:r>
        <w:rPr>
          <w:sz w:val="16"/>
        </w:rPr>
        <w:t>Girlene</w:t>
      </w:r>
      <w:r>
        <w:rPr>
          <w:spacing w:val="-14"/>
          <w:sz w:val="16"/>
        </w:rPr>
        <w:t xml:space="preserve"> </w:t>
      </w:r>
      <w:r>
        <w:rPr>
          <w:sz w:val="16"/>
        </w:rPr>
        <w:t>dos</w:t>
      </w:r>
      <w:r>
        <w:rPr>
          <w:spacing w:val="-15"/>
          <w:sz w:val="16"/>
        </w:rPr>
        <w:t xml:space="preserve"> </w:t>
      </w:r>
      <w:r>
        <w:rPr>
          <w:sz w:val="16"/>
        </w:rPr>
        <w:t>Santos</w:t>
      </w:r>
      <w:r>
        <w:rPr>
          <w:spacing w:val="-14"/>
          <w:sz w:val="16"/>
        </w:rPr>
        <w:t xml:space="preserve"> </w:t>
      </w:r>
      <w:r>
        <w:rPr>
          <w:sz w:val="16"/>
        </w:rPr>
        <w:t>Souza,</w:t>
      </w:r>
      <w:r>
        <w:rPr>
          <w:spacing w:val="-15"/>
          <w:sz w:val="16"/>
        </w:rPr>
        <w:t xml:space="preserve"> </w:t>
      </w:r>
      <w:r>
        <w:rPr>
          <w:sz w:val="16"/>
        </w:rPr>
        <w:t>Luciene</w:t>
      </w:r>
      <w:r>
        <w:rPr>
          <w:spacing w:val="-15"/>
          <w:sz w:val="16"/>
        </w:rPr>
        <w:t xml:space="preserve"> </w:t>
      </w:r>
      <w:r>
        <w:rPr>
          <w:sz w:val="16"/>
        </w:rPr>
        <w:t>Oliveira</w:t>
      </w:r>
      <w:r>
        <w:rPr>
          <w:spacing w:val="-15"/>
          <w:sz w:val="16"/>
        </w:rPr>
        <w:t xml:space="preserve"> </w:t>
      </w:r>
      <w:r>
        <w:rPr>
          <w:sz w:val="16"/>
        </w:rPr>
        <w:t>dos</w:t>
      </w:r>
      <w:r>
        <w:rPr>
          <w:spacing w:val="-14"/>
          <w:sz w:val="16"/>
        </w:rPr>
        <w:t xml:space="preserve"> </w:t>
      </w:r>
      <w:r>
        <w:rPr>
          <w:sz w:val="16"/>
        </w:rPr>
        <w:t>Santos,</w:t>
      </w:r>
      <w:r>
        <w:rPr>
          <w:spacing w:val="-16"/>
          <w:sz w:val="16"/>
        </w:rPr>
        <w:t xml:space="preserve"> </w:t>
      </w:r>
      <w:r>
        <w:rPr>
          <w:sz w:val="16"/>
        </w:rPr>
        <w:t xml:space="preserve">Luciene dos Santos Ribeiro, Mairla Santos Costa, Núbia Silva </w:t>
      </w:r>
      <w:r>
        <w:rPr>
          <w:sz w:val="16"/>
        </w:rPr>
        <w:t>dos Santos y Rosângela de Jesus França, fallecidos en la explosión.</w:t>
      </w:r>
    </w:p>
    <w:p w14:paraId="429AEEDE" w14:textId="77777777" w:rsidR="00467FCA" w:rsidRDefault="001B68EB">
      <w:pPr>
        <w:tabs>
          <w:tab w:val="left" w:pos="839"/>
        </w:tabs>
        <w:spacing w:line="194" w:lineRule="exact"/>
        <w:ind w:left="120"/>
        <w:jc w:val="both"/>
        <w:rPr>
          <w:sz w:val="16"/>
        </w:rPr>
      </w:pPr>
      <w:bookmarkStart w:id="301" w:name="_bookmark258"/>
      <w:bookmarkEnd w:id="301"/>
      <w:r>
        <w:rPr>
          <w:position w:val="6"/>
          <w:sz w:val="10"/>
        </w:rPr>
        <w:t>215</w:t>
      </w:r>
      <w:r>
        <w:rPr>
          <w:position w:val="6"/>
          <w:sz w:val="10"/>
        </w:rPr>
        <w:tab/>
      </w:r>
      <w:r>
        <w:rPr>
          <w:sz w:val="16"/>
        </w:rPr>
        <w:t>El</w:t>
      </w:r>
      <w:r>
        <w:rPr>
          <w:spacing w:val="-6"/>
          <w:sz w:val="16"/>
        </w:rPr>
        <w:t xml:space="preserve"> </w:t>
      </w:r>
      <w:r>
        <w:rPr>
          <w:sz w:val="16"/>
        </w:rPr>
        <w:t>Estado</w:t>
      </w:r>
      <w:r>
        <w:rPr>
          <w:spacing w:val="-3"/>
          <w:sz w:val="16"/>
        </w:rPr>
        <w:t xml:space="preserve"> </w:t>
      </w:r>
      <w:r>
        <w:rPr>
          <w:sz w:val="16"/>
        </w:rPr>
        <w:t>es</w:t>
      </w:r>
      <w:r>
        <w:rPr>
          <w:spacing w:val="-5"/>
          <w:sz w:val="16"/>
        </w:rPr>
        <w:t xml:space="preserve"> </w:t>
      </w:r>
      <w:r>
        <w:rPr>
          <w:sz w:val="16"/>
        </w:rPr>
        <w:t>responsable</w:t>
      </w:r>
      <w:r>
        <w:rPr>
          <w:spacing w:val="-6"/>
          <w:sz w:val="16"/>
        </w:rPr>
        <w:t xml:space="preserve"> </w:t>
      </w:r>
      <w:r>
        <w:rPr>
          <w:sz w:val="16"/>
        </w:rPr>
        <w:t>por</w:t>
      </w:r>
      <w:r>
        <w:rPr>
          <w:spacing w:val="-6"/>
          <w:sz w:val="16"/>
        </w:rPr>
        <w:t xml:space="preserve"> </w:t>
      </w:r>
      <w:r>
        <w:rPr>
          <w:sz w:val="16"/>
        </w:rPr>
        <w:t>la</w:t>
      </w:r>
      <w:r>
        <w:rPr>
          <w:spacing w:val="-5"/>
          <w:sz w:val="16"/>
        </w:rPr>
        <w:t xml:space="preserve"> </w:t>
      </w:r>
      <w:r>
        <w:rPr>
          <w:sz w:val="16"/>
        </w:rPr>
        <w:t>violación</w:t>
      </w:r>
      <w:r>
        <w:rPr>
          <w:spacing w:val="-6"/>
          <w:sz w:val="16"/>
        </w:rPr>
        <w:t xml:space="preserve"> </w:t>
      </w:r>
      <w:r>
        <w:rPr>
          <w:sz w:val="16"/>
        </w:rPr>
        <w:t>a</w:t>
      </w:r>
      <w:r>
        <w:rPr>
          <w:spacing w:val="-7"/>
          <w:sz w:val="16"/>
        </w:rPr>
        <w:t xml:space="preserve"> </w:t>
      </w:r>
      <w:r>
        <w:rPr>
          <w:sz w:val="16"/>
        </w:rPr>
        <w:t>los</w:t>
      </w:r>
      <w:r>
        <w:rPr>
          <w:spacing w:val="-6"/>
          <w:sz w:val="16"/>
        </w:rPr>
        <w:t xml:space="preserve"> </w:t>
      </w:r>
      <w:r>
        <w:rPr>
          <w:sz w:val="16"/>
        </w:rPr>
        <w:t>artículos</w:t>
      </w:r>
      <w:r>
        <w:rPr>
          <w:spacing w:val="-7"/>
          <w:sz w:val="16"/>
        </w:rPr>
        <w:t xml:space="preserve"> </w:t>
      </w:r>
      <w:r>
        <w:rPr>
          <w:sz w:val="16"/>
        </w:rPr>
        <w:t>5.1</w:t>
      </w:r>
      <w:r>
        <w:rPr>
          <w:spacing w:val="-8"/>
          <w:sz w:val="16"/>
        </w:rPr>
        <w:t xml:space="preserve"> </w:t>
      </w:r>
      <w:r>
        <w:rPr>
          <w:sz w:val="16"/>
        </w:rPr>
        <w:t>y</w:t>
      </w:r>
      <w:r>
        <w:rPr>
          <w:spacing w:val="-4"/>
          <w:sz w:val="16"/>
        </w:rPr>
        <w:t xml:space="preserve"> </w:t>
      </w:r>
      <w:r>
        <w:rPr>
          <w:sz w:val="16"/>
        </w:rPr>
        <w:t>19</w:t>
      </w:r>
      <w:r>
        <w:rPr>
          <w:spacing w:val="-5"/>
          <w:sz w:val="16"/>
        </w:rPr>
        <w:t xml:space="preserve"> </w:t>
      </w:r>
      <w:r>
        <w:rPr>
          <w:sz w:val="16"/>
        </w:rPr>
        <w:t>de</w:t>
      </w:r>
      <w:r>
        <w:rPr>
          <w:spacing w:val="-7"/>
          <w:sz w:val="16"/>
        </w:rPr>
        <w:t xml:space="preserve"> </w:t>
      </w:r>
      <w:r>
        <w:rPr>
          <w:sz w:val="16"/>
        </w:rPr>
        <w:t>la</w:t>
      </w:r>
      <w:r>
        <w:rPr>
          <w:spacing w:val="-5"/>
          <w:sz w:val="16"/>
        </w:rPr>
        <w:t xml:space="preserve"> </w:t>
      </w:r>
      <w:r>
        <w:rPr>
          <w:sz w:val="16"/>
        </w:rPr>
        <w:t>Convención</w:t>
      </w:r>
      <w:r>
        <w:rPr>
          <w:spacing w:val="-7"/>
          <w:sz w:val="16"/>
        </w:rPr>
        <w:t xml:space="preserve"> </w:t>
      </w:r>
      <w:r>
        <w:rPr>
          <w:sz w:val="16"/>
        </w:rPr>
        <w:t>en</w:t>
      </w:r>
      <w:r>
        <w:rPr>
          <w:spacing w:val="-8"/>
          <w:sz w:val="16"/>
        </w:rPr>
        <w:t xml:space="preserve"> </w:t>
      </w:r>
      <w:r>
        <w:rPr>
          <w:sz w:val="16"/>
        </w:rPr>
        <w:t>relación</w:t>
      </w:r>
      <w:r>
        <w:rPr>
          <w:spacing w:val="-5"/>
          <w:sz w:val="16"/>
        </w:rPr>
        <w:t xml:space="preserve"> </w:t>
      </w:r>
      <w:r>
        <w:rPr>
          <w:sz w:val="16"/>
        </w:rPr>
        <w:t>con</w:t>
      </w:r>
      <w:r>
        <w:rPr>
          <w:spacing w:val="-8"/>
          <w:sz w:val="16"/>
        </w:rPr>
        <w:t xml:space="preserve"> </w:t>
      </w:r>
      <w:r>
        <w:rPr>
          <w:sz w:val="16"/>
        </w:rPr>
        <w:t>el</w:t>
      </w:r>
      <w:r>
        <w:rPr>
          <w:spacing w:val="-5"/>
          <w:sz w:val="16"/>
        </w:rPr>
        <w:t xml:space="preserve"> </w:t>
      </w:r>
      <w:r>
        <w:rPr>
          <w:sz w:val="16"/>
        </w:rPr>
        <w:t>artículo</w:t>
      </w:r>
    </w:p>
    <w:p w14:paraId="4CCA9E4D" w14:textId="77777777" w:rsidR="00467FCA" w:rsidRDefault="001B68EB">
      <w:pPr>
        <w:ind w:left="119" w:right="115" w:hanging="1"/>
        <w:jc w:val="both"/>
        <w:rPr>
          <w:sz w:val="16"/>
        </w:rPr>
      </w:pPr>
      <w:r>
        <w:rPr>
          <w:sz w:val="16"/>
        </w:rPr>
        <w:t>1.1 respecto de la niña Maria Joelma de Jesus Santos y respecto de los niños Bruno Silva dos Santos y Wellington Silva dos Santos, sobrevivientes de la explosión.</w:t>
      </w:r>
    </w:p>
    <w:p w14:paraId="1427E025" w14:textId="77777777" w:rsidR="00467FCA" w:rsidRDefault="00467FCA">
      <w:pPr>
        <w:jc w:val="both"/>
        <w:rPr>
          <w:sz w:val="16"/>
        </w:rPr>
        <w:sectPr w:rsidR="00467FCA">
          <w:pgSz w:w="12240" w:h="15840"/>
          <w:pgMar w:top="1360" w:right="1320" w:bottom="1220" w:left="1320" w:header="0" w:footer="1037" w:gutter="0"/>
          <w:cols w:space="720"/>
        </w:sectPr>
      </w:pPr>
    </w:p>
    <w:p w14:paraId="58CE9BB2" w14:textId="77777777" w:rsidR="00467FCA" w:rsidRDefault="001B68EB">
      <w:pPr>
        <w:pStyle w:val="Textoindependiente"/>
        <w:spacing w:before="80"/>
        <w:ind w:left="120"/>
      </w:pPr>
      <w:r>
        <w:t>su desarrollo progresivo e implementar las medidas necesarias para hacerlo efec</w:t>
      </w:r>
      <w:r>
        <w:t>tivo.</w:t>
      </w:r>
    </w:p>
    <w:p w14:paraId="0937D49C" w14:textId="77777777" w:rsidR="00467FCA" w:rsidRDefault="00467FCA">
      <w:pPr>
        <w:pStyle w:val="Textoindependiente"/>
        <w:spacing w:before="1"/>
      </w:pPr>
    </w:p>
    <w:p w14:paraId="3DE40916" w14:textId="77777777" w:rsidR="00467FCA" w:rsidRDefault="001B68EB">
      <w:pPr>
        <w:pStyle w:val="Prrafodelista"/>
        <w:numPr>
          <w:ilvl w:val="0"/>
          <w:numId w:val="50"/>
        </w:numPr>
        <w:tabs>
          <w:tab w:val="left" w:pos="687"/>
        </w:tabs>
        <w:ind w:right="116" w:firstLine="0"/>
        <w:jc w:val="both"/>
        <w:rPr>
          <w:sz w:val="20"/>
        </w:rPr>
      </w:pPr>
      <w:r>
        <w:rPr>
          <w:sz w:val="20"/>
        </w:rPr>
        <w:t xml:space="preserve">Por otro lado, debido a que en el presente caso varias niñas y niños fueron víctimas de la explosión, la Comisión consideró necesario incorporar en el análisis los estándares internacionales específicos sobre trabajo infantil. Recordó que, conforme </w:t>
      </w:r>
      <w:r>
        <w:rPr>
          <w:sz w:val="20"/>
        </w:rPr>
        <w:t>a lo establecido por la Corte, las niñas y niños son titulares de los derechos reconocidos en la Convención Americana, y que el Estado debe, por ello, prestar especial atención a sus necesidades y derechos.</w:t>
      </w:r>
    </w:p>
    <w:p w14:paraId="703D7578" w14:textId="77777777" w:rsidR="00467FCA" w:rsidRDefault="00467FCA">
      <w:pPr>
        <w:pStyle w:val="Textoindependiente"/>
        <w:spacing w:before="10"/>
        <w:rPr>
          <w:sz w:val="19"/>
        </w:rPr>
      </w:pPr>
    </w:p>
    <w:p w14:paraId="00D06CB1" w14:textId="77777777" w:rsidR="00467FCA" w:rsidRDefault="001B68EB">
      <w:pPr>
        <w:pStyle w:val="Prrafodelista"/>
        <w:numPr>
          <w:ilvl w:val="0"/>
          <w:numId w:val="50"/>
        </w:numPr>
        <w:tabs>
          <w:tab w:val="left" w:pos="687"/>
        </w:tabs>
        <w:ind w:left="119" w:right="117" w:firstLine="0"/>
        <w:jc w:val="both"/>
        <w:rPr>
          <w:sz w:val="20"/>
        </w:rPr>
      </w:pPr>
      <w:r>
        <w:rPr>
          <w:sz w:val="20"/>
        </w:rPr>
        <w:t>La</w:t>
      </w:r>
      <w:r>
        <w:rPr>
          <w:spacing w:val="-12"/>
          <w:sz w:val="20"/>
        </w:rPr>
        <w:t xml:space="preserve"> </w:t>
      </w:r>
      <w:r>
        <w:rPr>
          <w:sz w:val="20"/>
        </w:rPr>
        <w:t>Comisión</w:t>
      </w:r>
      <w:r>
        <w:rPr>
          <w:spacing w:val="-9"/>
          <w:sz w:val="20"/>
        </w:rPr>
        <w:t xml:space="preserve"> </w:t>
      </w:r>
      <w:r>
        <w:rPr>
          <w:sz w:val="20"/>
        </w:rPr>
        <w:t>señaló</w:t>
      </w:r>
      <w:r>
        <w:rPr>
          <w:spacing w:val="-11"/>
          <w:sz w:val="20"/>
        </w:rPr>
        <w:t xml:space="preserve"> </w:t>
      </w:r>
      <w:r>
        <w:rPr>
          <w:sz w:val="20"/>
        </w:rPr>
        <w:t>también</w:t>
      </w:r>
      <w:r>
        <w:rPr>
          <w:spacing w:val="-12"/>
          <w:sz w:val="20"/>
        </w:rPr>
        <w:t xml:space="preserve"> </w:t>
      </w:r>
      <w:r>
        <w:rPr>
          <w:sz w:val="20"/>
        </w:rPr>
        <w:t>que</w:t>
      </w:r>
      <w:r>
        <w:rPr>
          <w:spacing w:val="-9"/>
          <w:sz w:val="20"/>
        </w:rPr>
        <w:t xml:space="preserve"> </w:t>
      </w:r>
      <w:r>
        <w:rPr>
          <w:sz w:val="20"/>
        </w:rPr>
        <w:t>en</w:t>
      </w:r>
      <w:r>
        <w:rPr>
          <w:spacing w:val="-9"/>
          <w:sz w:val="20"/>
        </w:rPr>
        <w:t xml:space="preserve"> </w:t>
      </w:r>
      <w:r>
        <w:rPr>
          <w:sz w:val="20"/>
        </w:rPr>
        <w:t>este</w:t>
      </w:r>
      <w:r>
        <w:rPr>
          <w:spacing w:val="-9"/>
          <w:sz w:val="20"/>
        </w:rPr>
        <w:t xml:space="preserve"> </w:t>
      </w:r>
      <w:r>
        <w:rPr>
          <w:sz w:val="20"/>
        </w:rPr>
        <w:t>caso</w:t>
      </w:r>
      <w:r>
        <w:rPr>
          <w:spacing w:val="-14"/>
          <w:sz w:val="20"/>
        </w:rPr>
        <w:t xml:space="preserve"> </w:t>
      </w:r>
      <w:r>
        <w:rPr>
          <w:sz w:val="20"/>
        </w:rPr>
        <w:t>hay</w:t>
      </w:r>
      <w:r>
        <w:rPr>
          <w:spacing w:val="-13"/>
          <w:sz w:val="20"/>
        </w:rPr>
        <w:t xml:space="preserve"> </w:t>
      </w:r>
      <w:r>
        <w:rPr>
          <w:sz w:val="20"/>
        </w:rPr>
        <w:t>un</w:t>
      </w:r>
      <w:r>
        <w:rPr>
          <w:spacing w:val="-12"/>
          <w:sz w:val="20"/>
        </w:rPr>
        <w:t xml:space="preserve"> </w:t>
      </w:r>
      <w:r>
        <w:rPr>
          <w:sz w:val="20"/>
        </w:rPr>
        <w:t>nexo</w:t>
      </w:r>
      <w:r>
        <w:rPr>
          <w:spacing w:val="-11"/>
          <w:sz w:val="20"/>
        </w:rPr>
        <w:t xml:space="preserve"> </w:t>
      </w:r>
      <w:r>
        <w:rPr>
          <w:sz w:val="20"/>
        </w:rPr>
        <w:t>claro</w:t>
      </w:r>
      <w:r>
        <w:rPr>
          <w:spacing w:val="-11"/>
          <w:sz w:val="20"/>
        </w:rPr>
        <w:t xml:space="preserve"> </w:t>
      </w:r>
      <w:r>
        <w:rPr>
          <w:sz w:val="20"/>
        </w:rPr>
        <w:t>entre</w:t>
      </w:r>
      <w:r>
        <w:rPr>
          <w:spacing w:val="-11"/>
          <w:sz w:val="20"/>
        </w:rPr>
        <w:t xml:space="preserve"> </w:t>
      </w:r>
      <w:r>
        <w:rPr>
          <w:sz w:val="20"/>
        </w:rPr>
        <w:t>el</w:t>
      </w:r>
      <w:r>
        <w:rPr>
          <w:spacing w:val="-12"/>
          <w:sz w:val="20"/>
        </w:rPr>
        <w:t xml:space="preserve"> </w:t>
      </w:r>
      <w:r>
        <w:rPr>
          <w:sz w:val="20"/>
        </w:rPr>
        <w:t>incumplimiento de las obligaciones del Estado, la situación de pobreza de las víctimas y la falta de opciones de empleo. En ese sentido, afirmó que “la fabricación de fuegos artificiales era para el momento de los hechos la principal, por no decir, la únic</w:t>
      </w:r>
      <w:r>
        <w:rPr>
          <w:sz w:val="20"/>
        </w:rPr>
        <w:t>a opción laboral para los habitantes de Santo Antônio de Jesus, quienes, dada su situación de pobreza, no tenían otra</w:t>
      </w:r>
      <w:r>
        <w:rPr>
          <w:spacing w:val="-48"/>
          <w:sz w:val="20"/>
        </w:rPr>
        <w:t xml:space="preserve"> </w:t>
      </w:r>
      <w:r>
        <w:rPr>
          <w:sz w:val="20"/>
        </w:rPr>
        <w:t>alternativa que</w:t>
      </w:r>
      <w:r>
        <w:rPr>
          <w:spacing w:val="-10"/>
          <w:sz w:val="20"/>
        </w:rPr>
        <w:t xml:space="preserve"> </w:t>
      </w:r>
      <w:r>
        <w:rPr>
          <w:sz w:val="20"/>
        </w:rPr>
        <w:t>aceptar</w:t>
      </w:r>
      <w:r>
        <w:rPr>
          <w:spacing w:val="-7"/>
          <w:sz w:val="20"/>
        </w:rPr>
        <w:t xml:space="preserve"> </w:t>
      </w:r>
      <w:r>
        <w:rPr>
          <w:sz w:val="20"/>
        </w:rPr>
        <w:t>un</w:t>
      </w:r>
      <w:r>
        <w:rPr>
          <w:spacing w:val="-8"/>
          <w:sz w:val="20"/>
        </w:rPr>
        <w:t xml:space="preserve"> </w:t>
      </w:r>
      <w:r>
        <w:rPr>
          <w:sz w:val="20"/>
        </w:rPr>
        <w:t>trabajo</w:t>
      </w:r>
      <w:r>
        <w:rPr>
          <w:spacing w:val="-4"/>
          <w:sz w:val="20"/>
        </w:rPr>
        <w:t xml:space="preserve"> </w:t>
      </w:r>
      <w:r>
        <w:rPr>
          <w:sz w:val="20"/>
        </w:rPr>
        <w:t>de</w:t>
      </w:r>
      <w:r>
        <w:rPr>
          <w:spacing w:val="-9"/>
          <w:sz w:val="20"/>
        </w:rPr>
        <w:t xml:space="preserve"> </w:t>
      </w:r>
      <w:r>
        <w:rPr>
          <w:sz w:val="20"/>
        </w:rPr>
        <w:t>alto</w:t>
      </w:r>
      <w:r>
        <w:rPr>
          <w:spacing w:val="-8"/>
          <w:sz w:val="20"/>
        </w:rPr>
        <w:t xml:space="preserve"> </w:t>
      </w:r>
      <w:r>
        <w:rPr>
          <w:sz w:val="20"/>
        </w:rPr>
        <w:t>riesgo,</w:t>
      </w:r>
      <w:r>
        <w:rPr>
          <w:spacing w:val="-6"/>
          <w:sz w:val="20"/>
        </w:rPr>
        <w:t xml:space="preserve"> </w:t>
      </w:r>
      <w:r>
        <w:rPr>
          <w:sz w:val="20"/>
        </w:rPr>
        <w:t>con</w:t>
      </w:r>
      <w:r>
        <w:rPr>
          <w:spacing w:val="-5"/>
          <w:sz w:val="20"/>
        </w:rPr>
        <w:t xml:space="preserve"> </w:t>
      </w:r>
      <w:r>
        <w:rPr>
          <w:sz w:val="20"/>
        </w:rPr>
        <w:t>baja</w:t>
      </w:r>
      <w:r>
        <w:rPr>
          <w:spacing w:val="-5"/>
          <w:sz w:val="20"/>
        </w:rPr>
        <w:t xml:space="preserve"> </w:t>
      </w:r>
      <w:r>
        <w:rPr>
          <w:sz w:val="20"/>
        </w:rPr>
        <w:t>paga</w:t>
      </w:r>
      <w:r>
        <w:rPr>
          <w:spacing w:val="-8"/>
          <w:sz w:val="20"/>
        </w:rPr>
        <w:t xml:space="preserve"> </w:t>
      </w:r>
      <w:r>
        <w:rPr>
          <w:sz w:val="20"/>
        </w:rPr>
        <w:t>y</w:t>
      </w:r>
      <w:r>
        <w:rPr>
          <w:spacing w:val="-9"/>
          <w:sz w:val="20"/>
        </w:rPr>
        <w:t xml:space="preserve"> </w:t>
      </w:r>
      <w:r>
        <w:rPr>
          <w:sz w:val="20"/>
        </w:rPr>
        <w:t>sin</w:t>
      </w:r>
      <w:r>
        <w:rPr>
          <w:spacing w:val="-4"/>
          <w:sz w:val="20"/>
        </w:rPr>
        <w:t xml:space="preserve"> </w:t>
      </w:r>
      <w:r>
        <w:rPr>
          <w:sz w:val="20"/>
        </w:rPr>
        <w:t>medidas</w:t>
      </w:r>
      <w:r>
        <w:rPr>
          <w:spacing w:val="-7"/>
          <w:sz w:val="20"/>
        </w:rPr>
        <w:t xml:space="preserve"> </w:t>
      </w:r>
      <w:r>
        <w:rPr>
          <w:sz w:val="20"/>
        </w:rPr>
        <w:t>de</w:t>
      </w:r>
      <w:r>
        <w:rPr>
          <w:spacing w:val="-7"/>
          <w:sz w:val="20"/>
        </w:rPr>
        <w:t xml:space="preserve"> </w:t>
      </w:r>
      <w:r>
        <w:rPr>
          <w:sz w:val="20"/>
        </w:rPr>
        <w:t>seguridad</w:t>
      </w:r>
      <w:r>
        <w:rPr>
          <w:spacing w:val="-7"/>
          <w:sz w:val="20"/>
        </w:rPr>
        <w:t xml:space="preserve"> </w:t>
      </w:r>
      <w:r>
        <w:rPr>
          <w:sz w:val="20"/>
        </w:rPr>
        <w:t>adecuadas”. Destacó, además, el riesgo mayor d</w:t>
      </w:r>
      <w:r>
        <w:rPr>
          <w:sz w:val="20"/>
        </w:rPr>
        <w:t>e violaciones a los derechos humanos que se desprende de las condiciones de pobreza y que en el caso de niñas y niños esta situación los expone al trabajo informal y a las peores formas de trabajo</w:t>
      </w:r>
      <w:r>
        <w:rPr>
          <w:spacing w:val="-11"/>
          <w:sz w:val="20"/>
        </w:rPr>
        <w:t xml:space="preserve"> </w:t>
      </w:r>
      <w:r>
        <w:rPr>
          <w:sz w:val="20"/>
        </w:rPr>
        <w:t>infantil.</w:t>
      </w:r>
    </w:p>
    <w:p w14:paraId="56E66B96" w14:textId="77777777" w:rsidR="00467FCA" w:rsidRDefault="00467FCA">
      <w:pPr>
        <w:pStyle w:val="Textoindependiente"/>
        <w:spacing w:before="1"/>
      </w:pPr>
    </w:p>
    <w:p w14:paraId="60BA368D" w14:textId="77777777" w:rsidR="00467FCA" w:rsidRDefault="001B68EB">
      <w:pPr>
        <w:pStyle w:val="Prrafodelista"/>
        <w:numPr>
          <w:ilvl w:val="0"/>
          <w:numId w:val="50"/>
        </w:numPr>
        <w:tabs>
          <w:tab w:val="left" w:pos="686"/>
        </w:tabs>
        <w:ind w:left="119" w:right="117" w:firstLine="0"/>
        <w:jc w:val="both"/>
        <w:rPr>
          <w:sz w:val="20"/>
        </w:rPr>
      </w:pPr>
      <w:r>
        <w:rPr>
          <w:sz w:val="20"/>
        </w:rPr>
        <w:t>Conforme a los anteriores argumentos, la Comisió</w:t>
      </w:r>
      <w:r>
        <w:rPr>
          <w:sz w:val="20"/>
        </w:rPr>
        <w:t>n concluyó que el Estado violó, en perjuicio</w:t>
      </w:r>
      <w:r>
        <w:rPr>
          <w:spacing w:val="-8"/>
          <w:sz w:val="20"/>
        </w:rPr>
        <w:t xml:space="preserve"> </w:t>
      </w:r>
      <w:r>
        <w:rPr>
          <w:sz w:val="20"/>
        </w:rPr>
        <w:t>de</w:t>
      </w:r>
      <w:r>
        <w:rPr>
          <w:spacing w:val="-7"/>
          <w:sz w:val="20"/>
        </w:rPr>
        <w:t xml:space="preserve"> </w:t>
      </w:r>
      <w:r>
        <w:rPr>
          <w:sz w:val="20"/>
        </w:rPr>
        <w:t>las</w:t>
      </w:r>
      <w:r>
        <w:rPr>
          <w:spacing w:val="-5"/>
          <w:sz w:val="20"/>
        </w:rPr>
        <w:t xml:space="preserve"> </w:t>
      </w:r>
      <w:r>
        <w:rPr>
          <w:sz w:val="20"/>
        </w:rPr>
        <w:t>víctimas,</w:t>
      </w:r>
      <w:r>
        <w:rPr>
          <w:spacing w:val="-7"/>
          <w:sz w:val="20"/>
        </w:rPr>
        <w:t xml:space="preserve"> </w:t>
      </w:r>
      <w:r>
        <w:rPr>
          <w:sz w:val="20"/>
        </w:rPr>
        <w:t>el</w:t>
      </w:r>
      <w:r>
        <w:rPr>
          <w:spacing w:val="-5"/>
          <w:sz w:val="20"/>
        </w:rPr>
        <w:t xml:space="preserve"> </w:t>
      </w:r>
      <w:r>
        <w:rPr>
          <w:sz w:val="20"/>
        </w:rPr>
        <w:t>derecho</w:t>
      </w:r>
      <w:r>
        <w:rPr>
          <w:spacing w:val="-5"/>
          <w:sz w:val="20"/>
        </w:rPr>
        <w:t xml:space="preserve"> </w:t>
      </w:r>
      <w:r>
        <w:rPr>
          <w:sz w:val="20"/>
        </w:rPr>
        <w:t>al</w:t>
      </w:r>
      <w:r>
        <w:rPr>
          <w:spacing w:val="-5"/>
          <w:sz w:val="20"/>
        </w:rPr>
        <w:t xml:space="preserve"> </w:t>
      </w:r>
      <w:r>
        <w:rPr>
          <w:sz w:val="20"/>
        </w:rPr>
        <w:t>trabajo,</w:t>
      </w:r>
      <w:r>
        <w:rPr>
          <w:spacing w:val="-2"/>
          <w:sz w:val="20"/>
        </w:rPr>
        <w:t xml:space="preserve"> </w:t>
      </w:r>
      <w:r>
        <w:rPr>
          <w:sz w:val="20"/>
        </w:rPr>
        <w:t>establecido</w:t>
      </w:r>
      <w:r>
        <w:rPr>
          <w:spacing w:val="-5"/>
          <w:sz w:val="20"/>
        </w:rPr>
        <w:t xml:space="preserve"> </w:t>
      </w:r>
      <w:r>
        <w:rPr>
          <w:sz w:val="20"/>
        </w:rPr>
        <w:t>en</w:t>
      </w:r>
      <w:r>
        <w:rPr>
          <w:spacing w:val="-4"/>
          <w:sz w:val="20"/>
        </w:rPr>
        <w:t xml:space="preserve"> </w:t>
      </w:r>
      <w:r>
        <w:rPr>
          <w:sz w:val="20"/>
        </w:rPr>
        <w:t>el</w:t>
      </w:r>
      <w:r>
        <w:rPr>
          <w:spacing w:val="-6"/>
          <w:sz w:val="20"/>
        </w:rPr>
        <w:t xml:space="preserve"> </w:t>
      </w:r>
      <w:r>
        <w:rPr>
          <w:sz w:val="20"/>
        </w:rPr>
        <w:t>artículo</w:t>
      </w:r>
      <w:r>
        <w:rPr>
          <w:spacing w:val="-7"/>
          <w:sz w:val="20"/>
        </w:rPr>
        <w:t xml:space="preserve"> </w:t>
      </w:r>
      <w:r>
        <w:rPr>
          <w:sz w:val="20"/>
        </w:rPr>
        <w:t>26</w:t>
      </w:r>
      <w:r>
        <w:rPr>
          <w:spacing w:val="-5"/>
          <w:sz w:val="20"/>
        </w:rPr>
        <w:t xml:space="preserve"> </w:t>
      </w:r>
      <w:r>
        <w:rPr>
          <w:sz w:val="20"/>
        </w:rPr>
        <w:t>de</w:t>
      </w:r>
      <w:r>
        <w:rPr>
          <w:spacing w:val="-8"/>
          <w:sz w:val="20"/>
        </w:rPr>
        <w:t xml:space="preserve"> </w:t>
      </w:r>
      <w:r>
        <w:rPr>
          <w:sz w:val="20"/>
        </w:rPr>
        <w:t>la</w:t>
      </w:r>
      <w:r>
        <w:rPr>
          <w:spacing w:val="-5"/>
          <w:sz w:val="20"/>
        </w:rPr>
        <w:t xml:space="preserve"> </w:t>
      </w:r>
      <w:r>
        <w:rPr>
          <w:sz w:val="20"/>
        </w:rPr>
        <w:t>Convención Americana, en relación con las obligaciones establecidas en los artículos 1.1 y 2 del mismo instrumento, así como el artícul</w:t>
      </w:r>
      <w:r>
        <w:rPr>
          <w:sz w:val="20"/>
        </w:rPr>
        <w:t>o 19 en el caso de las niñas y niños. Además, sostuvo que, por haber un nexo claro entre el incumplimiento de dichas obligaciones y la situación de pobreza de las víctimas, el Estado también es responsable por la violación del principio de igualdad y no di</w:t>
      </w:r>
      <w:r>
        <w:rPr>
          <w:sz w:val="20"/>
        </w:rPr>
        <w:t>scriminación establecido en los artículos 24 y 1.1 de la</w:t>
      </w:r>
      <w:r>
        <w:rPr>
          <w:spacing w:val="-19"/>
          <w:sz w:val="20"/>
        </w:rPr>
        <w:t xml:space="preserve"> </w:t>
      </w:r>
      <w:r>
        <w:rPr>
          <w:sz w:val="20"/>
        </w:rPr>
        <w:t>Convención.</w:t>
      </w:r>
    </w:p>
    <w:p w14:paraId="62CBBB74" w14:textId="77777777" w:rsidR="00467FCA" w:rsidRDefault="00467FCA">
      <w:pPr>
        <w:pStyle w:val="Textoindependiente"/>
      </w:pPr>
    </w:p>
    <w:p w14:paraId="3CE33120" w14:textId="77777777" w:rsidR="00467FCA" w:rsidRDefault="001B68EB">
      <w:pPr>
        <w:pStyle w:val="Prrafodelista"/>
        <w:numPr>
          <w:ilvl w:val="0"/>
          <w:numId w:val="50"/>
        </w:numPr>
        <w:tabs>
          <w:tab w:val="left" w:pos="687"/>
        </w:tabs>
        <w:ind w:left="119" w:right="116" w:firstLine="0"/>
        <w:jc w:val="both"/>
        <w:rPr>
          <w:sz w:val="20"/>
        </w:rPr>
      </w:pPr>
      <w:r>
        <w:rPr>
          <w:sz w:val="20"/>
        </w:rPr>
        <w:t>Los</w:t>
      </w:r>
      <w:r>
        <w:rPr>
          <w:spacing w:val="-4"/>
          <w:sz w:val="20"/>
        </w:rPr>
        <w:t xml:space="preserve"> </w:t>
      </w:r>
      <w:r>
        <w:rPr>
          <w:b/>
          <w:i/>
          <w:sz w:val="20"/>
        </w:rPr>
        <w:t>representantes</w:t>
      </w:r>
      <w:r>
        <w:rPr>
          <w:i/>
          <w:sz w:val="20"/>
        </w:rPr>
        <w:t>,</w:t>
      </w:r>
      <w:r>
        <w:rPr>
          <w:i/>
          <w:spacing w:val="-8"/>
          <w:sz w:val="20"/>
        </w:rPr>
        <w:t xml:space="preserve"> </w:t>
      </w:r>
      <w:r>
        <w:rPr>
          <w:sz w:val="20"/>
        </w:rPr>
        <w:t>además</w:t>
      </w:r>
      <w:r>
        <w:rPr>
          <w:spacing w:val="-6"/>
          <w:sz w:val="20"/>
        </w:rPr>
        <w:t xml:space="preserve"> </w:t>
      </w:r>
      <w:r>
        <w:rPr>
          <w:sz w:val="20"/>
        </w:rPr>
        <w:t>de</w:t>
      </w:r>
      <w:r>
        <w:rPr>
          <w:spacing w:val="-6"/>
          <w:sz w:val="20"/>
        </w:rPr>
        <w:t xml:space="preserve"> </w:t>
      </w:r>
      <w:r>
        <w:rPr>
          <w:sz w:val="20"/>
        </w:rPr>
        <w:t>lo</w:t>
      </w:r>
      <w:r>
        <w:rPr>
          <w:spacing w:val="-4"/>
          <w:sz w:val="20"/>
        </w:rPr>
        <w:t xml:space="preserve"> </w:t>
      </w:r>
      <w:r>
        <w:rPr>
          <w:sz w:val="20"/>
        </w:rPr>
        <w:t>dicho</w:t>
      </w:r>
      <w:r>
        <w:rPr>
          <w:spacing w:val="-5"/>
          <w:sz w:val="20"/>
        </w:rPr>
        <w:t xml:space="preserve"> </w:t>
      </w:r>
      <w:r>
        <w:rPr>
          <w:sz w:val="20"/>
        </w:rPr>
        <w:t>por</w:t>
      </w:r>
      <w:r>
        <w:rPr>
          <w:spacing w:val="-7"/>
          <w:sz w:val="20"/>
        </w:rPr>
        <w:t xml:space="preserve"> </w:t>
      </w:r>
      <w:r>
        <w:rPr>
          <w:sz w:val="20"/>
        </w:rPr>
        <w:t>la</w:t>
      </w:r>
      <w:r>
        <w:rPr>
          <w:spacing w:val="-4"/>
          <w:sz w:val="20"/>
        </w:rPr>
        <w:t xml:space="preserve"> </w:t>
      </w:r>
      <w:r>
        <w:rPr>
          <w:sz w:val="20"/>
        </w:rPr>
        <w:t>Comisión,</w:t>
      </w:r>
      <w:r>
        <w:rPr>
          <w:spacing w:val="-6"/>
          <w:sz w:val="20"/>
        </w:rPr>
        <w:t xml:space="preserve"> </w:t>
      </w:r>
      <w:r>
        <w:rPr>
          <w:sz w:val="20"/>
        </w:rPr>
        <w:t>señalaron</w:t>
      </w:r>
      <w:r>
        <w:rPr>
          <w:spacing w:val="-3"/>
          <w:sz w:val="20"/>
        </w:rPr>
        <w:t xml:space="preserve"> </w:t>
      </w:r>
      <w:r>
        <w:rPr>
          <w:sz w:val="20"/>
        </w:rPr>
        <w:t>que,</w:t>
      </w:r>
      <w:r>
        <w:rPr>
          <w:spacing w:val="-6"/>
          <w:sz w:val="20"/>
        </w:rPr>
        <w:t xml:space="preserve"> </w:t>
      </w:r>
      <w:r>
        <w:rPr>
          <w:sz w:val="20"/>
        </w:rPr>
        <w:t>a</w:t>
      </w:r>
      <w:r>
        <w:rPr>
          <w:spacing w:val="-4"/>
          <w:sz w:val="20"/>
        </w:rPr>
        <w:t xml:space="preserve"> </w:t>
      </w:r>
      <w:r>
        <w:rPr>
          <w:sz w:val="20"/>
        </w:rPr>
        <w:t>la</w:t>
      </w:r>
      <w:r>
        <w:rPr>
          <w:spacing w:val="-5"/>
          <w:sz w:val="20"/>
        </w:rPr>
        <w:t xml:space="preserve"> </w:t>
      </w:r>
      <w:r>
        <w:rPr>
          <w:sz w:val="20"/>
        </w:rPr>
        <w:t>fecha</w:t>
      </w:r>
      <w:r>
        <w:rPr>
          <w:spacing w:val="-4"/>
          <w:sz w:val="20"/>
        </w:rPr>
        <w:t xml:space="preserve"> </w:t>
      </w:r>
      <w:r>
        <w:rPr>
          <w:sz w:val="20"/>
        </w:rPr>
        <w:t>de la explosión, tanto la Constitución, como las leyes del trabajo y las regulaciones administrativas del Ministerio de Trabajo de Brasil, garantizaban una serie de derechos del trabajador.</w:t>
      </w:r>
      <w:r>
        <w:rPr>
          <w:spacing w:val="-11"/>
          <w:sz w:val="20"/>
        </w:rPr>
        <w:t xml:space="preserve"> </w:t>
      </w:r>
      <w:r>
        <w:rPr>
          <w:sz w:val="20"/>
        </w:rPr>
        <w:t>Indicaron</w:t>
      </w:r>
      <w:r>
        <w:rPr>
          <w:spacing w:val="-9"/>
          <w:sz w:val="20"/>
        </w:rPr>
        <w:t xml:space="preserve"> </w:t>
      </w:r>
      <w:r>
        <w:rPr>
          <w:sz w:val="20"/>
        </w:rPr>
        <w:t>también</w:t>
      </w:r>
      <w:r>
        <w:rPr>
          <w:spacing w:val="-9"/>
          <w:sz w:val="20"/>
        </w:rPr>
        <w:t xml:space="preserve"> </w:t>
      </w:r>
      <w:r>
        <w:rPr>
          <w:sz w:val="20"/>
        </w:rPr>
        <w:t>que</w:t>
      </w:r>
      <w:r>
        <w:rPr>
          <w:spacing w:val="-9"/>
          <w:sz w:val="20"/>
        </w:rPr>
        <w:t xml:space="preserve"> </w:t>
      </w:r>
      <w:r>
        <w:rPr>
          <w:sz w:val="20"/>
        </w:rPr>
        <w:t>el</w:t>
      </w:r>
      <w:r>
        <w:rPr>
          <w:spacing w:val="-9"/>
          <w:sz w:val="20"/>
        </w:rPr>
        <w:t xml:space="preserve"> </w:t>
      </w:r>
      <w:r>
        <w:rPr>
          <w:sz w:val="20"/>
        </w:rPr>
        <w:t>Estado</w:t>
      </w:r>
      <w:r>
        <w:rPr>
          <w:spacing w:val="-9"/>
          <w:sz w:val="20"/>
        </w:rPr>
        <w:t xml:space="preserve"> </w:t>
      </w:r>
      <w:r>
        <w:rPr>
          <w:sz w:val="20"/>
        </w:rPr>
        <w:t>contaba</w:t>
      </w:r>
      <w:r>
        <w:rPr>
          <w:spacing w:val="-10"/>
          <w:sz w:val="20"/>
        </w:rPr>
        <w:t xml:space="preserve"> </w:t>
      </w:r>
      <w:r>
        <w:rPr>
          <w:sz w:val="20"/>
        </w:rPr>
        <w:t>y</w:t>
      </w:r>
      <w:r>
        <w:rPr>
          <w:spacing w:val="-11"/>
          <w:sz w:val="20"/>
        </w:rPr>
        <w:t xml:space="preserve"> </w:t>
      </w:r>
      <w:r>
        <w:rPr>
          <w:sz w:val="20"/>
        </w:rPr>
        <w:t>cuenta</w:t>
      </w:r>
      <w:r>
        <w:rPr>
          <w:spacing w:val="-9"/>
          <w:sz w:val="20"/>
        </w:rPr>
        <w:t xml:space="preserve"> </w:t>
      </w:r>
      <w:r>
        <w:rPr>
          <w:sz w:val="20"/>
        </w:rPr>
        <w:t>con</w:t>
      </w:r>
      <w:r>
        <w:rPr>
          <w:spacing w:val="-9"/>
          <w:sz w:val="20"/>
        </w:rPr>
        <w:t xml:space="preserve"> </w:t>
      </w:r>
      <w:r>
        <w:rPr>
          <w:sz w:val="20"/>
        </w:rPr>
        <w:t>normas</w:t>
      </w:r>
      <w:r>
        <w:rPr>
          <w:spacing w:val="-11"/>
          <w:sz w:val="20"/>
        </w:rPr>
        <w:t xml:space="preserve"> </w:t>
      </w:r>
      <w:r>
        <w:rPr>
          <w:sz w:val="20"/>
        </w:rPr>
        <w:t>que</w:t>
      </w:r>
      <w:r>
        <w:rPr>
          <w:spacing w:val="-9"/>
          <w:sz w:val="20"/>
        </w:rPr>
        <w:t xml:space="preserve"> </w:t>
      </w:r>
      <w:r>
        <w:rPr>
          <w:sz w:val="20"/>
        </w:rPr>
        <w:t>pr</w:t>
      </w:r>
      <w:r>
        <w:rPr>
          <w:sz w:val="20"/>
        </w:rPr>
        <w:t>otegen</w:t>
      </w:r>
      <w:r>
        <w:rPr>
          <w:spacing w:val="-8"/>
          <w:sz w:val="20"/>
        </w:rPr>
        <w:t xml:space="preserve"> </w:t>
      </w:r>
      <w:r>
        <w:rPr>
          <w:sz w:val="20"/>
        </w:rPr>
        <w:t>a</w:t>
      </w:r>
      <w:r>
        <w:rPr>
          <w:spacing w:val="-10"/>
          <w:sz w:val="20"/>
        </w:rPr>
        <w:t xml:space="preserve"> </w:t>
      </w:r>
      <w:r>
        <w:rPr>
          <w:sz w:val="20"/>
        </w:rPr>
        <w:t>los trabajadores de actividades peligrosas. Sin embargo, estas no fueron ni son debidamente implementadas.</w:t>
      </w:r>
      <w:r>
        <w:rPr>
          <w:spacing w:val="-19"/>
          <w:sz w:val="20"/>
        </w:rPr>
        <w:t xml:space="preserve"> </w:t>
      </w:r>
      <w:r>
        <w:rPr>
          <w:sz w:val="20"/>
        </w:rPr>
        <w:t>De</w:t>
      </w:r>
      <w:r>
        <w:rPr>
          <w:spacing w:val="-20"/>
          <w:sz w:val="20"/>
        </w:rPr>
        <w:t xml:space="preserve"> </w:t>
      </w:r>
      <w:r>
        <w:rPr>
          <w:sz w:val="20"/>
        </w:rPr>
        <w:t>forma</w:t>
      </w:r>
      <w:r>
        <w:rPr>
          <w:spacing w:val="-20"/>
          <w:sz w:val="20"/>
        </w:rPr>
        <w:t xml:space="preserve"> </w:t>
      </w:r>
      <w:r>
        <w:rPr>
          <w:sz w:val="20"/>
        </w:rPr>
        <w:t>adicional,</w:t>
      </w:r>
      <w:r>
        <w:rPr>
          <w:spacing w:val="-22"/>
          <w:sz w:val="20"/>
        </w:rPr>
        <w:t xml:space="preserve"> </w:t>
      </w:r>
      <w:r>
        <w:rPr>
          <w:sz w:val="20"/>
        </w:rPr>
        <w:t>aportaron</w:t>
      </w:r>
      <w:r>
        <w:rPr>
          <w:spacing w:val="-17"/>
          <w:sz w:val="20"/>
        </w:rPr>
        <w:t xml:space="preserve"> </w:t>
      </w:r>
      <w:r>
        <w:rPr>
          <w:sz w:val="20"/>
        </w:rPr>
        <w:t>e</w:t>
      </w:r>
      <w:r>
        <w:rPr>
          <w:spacing w:val="-21"/>
          <w:sz w:val="20"/>
        </w:rPr>
        <w:t xml:space="preserve"> </w:t>
      </w:r>
      <w:r>
        <w:rPr>
          <w:sz w:val="20"/>
        </w:rPr>
        <w:t>hicieron</w:t>
      </w:r>
      <w:r>
        <w:rPr>
          <w:spacing w:val="-20"/>
          <w:sz w:val="20"/>
        </w:rPr>
        <w:t xml:space="preserve"> </w:t>
      </w:r>
      <w:r>
        <w:rPr>
          <w:sz w:val="20"/>
        </w:rPr>
        <w:t>mención</w:t>
      </w:r>
      <w:r>
        <w:rPr>
          <w:spacing w:val="-20"/>
          <w:sz w:val="20"/>
        </w:rPr>
        <w:t xml:space="preserve"> </w:t>
      </w:r>
      <w:r>
        <w:rPr>
          <w:sz w:val="20"/>
        </w:rPr>
        <w:t>a</w:t>
      </w:r>
      <w:r>
        <w:rPr>
          <w:spacing w:val="-20"/>
          <w:sz w:val="20"/>
        </w:rPr>
        <w:t xml:space="preserve"> </w:t>
      </w:r>
      <w:r>
        <w:rPr>
          <w:sz w:val="20"/>
        </w:rPr>
        <w:t>tres</w:t>
      </w:r>
      <w:r>
        <w:rPr>
          <w:spacing w:val="-22"/>
          <w:sz w:val="20"/>
        </w:rPr>
        <w:t xml:space="preserve"> </w:t>
      </w:r>
      <w:r>
        <w:rPr>
          <w:sz w:val="20"/>
        </w:rPr>
        <w:t>estudios</w:t>
      </w:r>
      <w:r>
        <w:rPr>
          <w:spacing w:val="-19"/>
          <w:sz w:val="20"/>
        </w:rPr>
        <w:t xml:space="preserve"> </w:t>
      </w:r>
      <w:r>
        <w:rPr>
          <w:sz w:val="20"/>
        </w:rPr>
        <w:t>en</w:t>
      </w:r>
      <w:r>
        <w:rPr>
          <w:spacing w:val="-19"/>
          <w:sz w:val="20"/>
        </w:rPr>
        <w:t xml:space="preserve"> </w:t>
      </w:r>
      <w:r>
        <w:rPr>
          <w:sz w:val="20"/>
        </w:rPr>
        <w:t>los</w:t>
      </w:r>
      <w:r>
        <w:rPr>
          <w:spacing w:val="-22"/>
          <w:sz w:val="20"/>
        </w:rPr>
        <w:t xml:space="preserve"> </w:t>
      </w:r>
      <w:r>
        <w:rPr>
          <w:sz w:val="20"/>
        </w:rPr>
        <w:t>cuales se establece que la situación de desigualdad, precarización laboral, riesgo y ausencia de fiscalización, se mantiene en el municipio de Santo Antônio de</w:t>
      </w:r>
      <w:r>
        <w:rPr>
          <w:spacing w:val="-13"/>
          <w:sz w:val="20"/>
        </w:rPr>
        <w:t xml:space="preserve"> </w:t>
      </w:r>
      <w:r>
        <w:rPr>
          <w:sz w:val="20"/>
        </w:rPr>
        <w:t>Jesus</w:t>
      </w:r>
      <w:hyperlink w:anchor="_bookmark259" w:history="1">
        <w:r>
          <w:rPr>
            <w:position w:val="7"/>
            <w:sz w:val="13"/>
          </w:rPr>
          <w:t>216</w:t>
        </w:r>
      </w:hyperlink>
      <w:r>
        <w:rPr>
          <w:sz w:val="20"/>
        </w:rPr>
        <w:t>.</w:t>
      </w:r>
    </w:p>
    <w:p w14:paraId="72E0663F" w14:textId="77777777" w:rsidR="00467FCA" w:rsidRDefault="00467FCA">
      <w:pPr>
        <w:pStyle w:val="Textoindependiente"/>
      </w:pPr>
    </w:p>
    <w:p w14:paraId="25BF85FC" w14:textId="77777777" w:rsidR="00467FCA" w:rsidRDefault="001B68EB">
      <w:pPr>
        <w:pStyle w:val="Prrafodelista"/>
        <w:numPr>
          <w:ilvl w:val="0"/>
          <w:numId w:val="50"/>
        </w:numPr>
        <w:tabs>
          <w:tab w:val="left" w:pos="687"/>
        </w:tabs>
        <w:ind w:left="119" w:right="117" w:firstLine="0"/>
        <w:jc w:val="both"/>
        <w:rPr>
          <w:sz w:val="20"/>
        </w:rPr>
      </w:pPr>
      <w:r>
        <w:rPr>
          <w:sz w:val="20"/>
        </w:rPr>
        <w:t>Finalmente, respecto a la vulneración del artículo 19</w:t>
      </w:r>
      <w:r>
        <w:rPr>
          <w:sz w:val="20"/>
        </w:rPr>
        <w:t xml:space="preserve"> de la Convención, señalaron que, como lo establece el preámbulo de la Convención sobre los Derechos del Niño, los Estados están obligados a proteger y cuidar a los niños tanto antes como después de su</w:t>
      </w:r>
      <w:r>
        <w:rPr>
          <w:spacing w:val="-34"/>
          <w:sz w:val="20"/>
        </w:rPr>
        <w:t xml:space="preserve"> </w:t>
      </w:r>
      <w:r>
        <w:rPr>
          <w:sz w:val="20"/>
        </w:rPr>
        <w:t>nacimiento.</w:t>
      </w:r>
    </w:p>
    <w:p w14:paraId="3F83DB34" w14:textId="77777777" w:rsidR="00467FCA" w:rsidRDefault="00467FCA">
      <w:pPr>
        <w:pStyle w:val="Textoindependiente"/>
      </w:pPr>
    </w:p>
    <w:p w14:paraId="407D3EBF" w14:textId="77777777" w:rsidR="00467FCA" w:rsidRDefault="001B68EB">
      <w:pPr>
        <w:pStyle w:val="Prrafodelista"/>
        <w:numPr>
          <w:ilvl w:val="0"/>
          <w:numId w:val="50"/>
        </w:numPr>
        <w:tabs>
          <w:tab w:val="left" w:pos="687"/>
        </w:tabs>
        <w:ind w:left="119" w:right="117" w:firstLine="0"/>
        <w:jc w:val="both"/>
        <w:rPr>
          <w:sz w:val="20"/>
        </w:rPr>
      </w:pPr>
      <w:r>
        <w:rPr>
          <w:sz w:val="20"/>
        </w:rPr>
        <w:t xml:space="preserve">El </w:t>
      </w:r>
      <w:r>
        <w:rPr>
          <w:b/>
          <w:i/>
          <w:sz w:val="20"/>
        </w:rPr>
        <w:t>Estado</w:t>
      </w:r>
      <w:r>
        <w:rPr>
          <w:sz w:val="20"/>
        </w:rPr>
        <w:t>, sobre la vulneración del artíc</w:t>
      </w:r>
      <w:r>
        <w:rPr>
          <w:sz w:val="20"/>
        </w:rPr>
        <w:t>ulo 24 de la Convención, indicó que dispone</w:t>
      </w:r>
      <w:r>
        <w:rPr>
          <w:spacing w:val="-47"/>
          <w:sz w:val="20"/>
        </w:rPr>
        <w:t xml:space="preserve"> </w:t>
      </w:r>
      <w:r>
        <w:rPr>
          <w:sz w:val="20"/>
        </w:rPr>
        <w:t>de una</w:t>
      </w:r>
      <w:r>
        <w:rPr>
          <w:spacing w:val="-16"/>
          <w:sz w:val="20"/>
        </w:rPr>
        <w:t xml:space="preserve"> </w:t>
      </w:r>
      <w:r>
        <w:rPr>
          <w:sz w:val="20"/>
        </w:rPr>
        <w:t>estructura</w:t>
      </w:r>
      <w:r>
        <w:rPr>
          <w:spacing w:val="-16"/>
          <w:sz w:val="20"/>
        </w:rPr>
        <w:t xml:space="preserve"> </w:t>
      </w:r>
      <w:r>
        <w:rPr>
          <w:sz w:val="20"/>
        </w:rPr>
        <w:t>legal</w:t>
      </w:r>
      <w:r>
        <w:rPr>
          <w:spacing w:val="-13"/>
          <w:sz w:val="20"/>
        </w:rPr>
        <w:t xml:space="preserve"> </w:t>
      </w:r>
      <w:r>
        <w:rPr>
          <w:sz w:val="20"/>
        </w:rPr>
        <w:t>efectiva</w:t>
      </w:r>
      <w:r>
        <w:rPr>
          <w:spacing w:val="-16"/>
          <w:sz w:val="20"/>
        </w:rPr>
        <w:t xml:space="preserve"> </w:t>
      </w:r>
      <w:r>
        <w:rPr>
          <w:sz w:val="20"/>
        </w:rPr>
        <w:t>para</w:t>
      </w:r>
      <w:r>
        <w:rPr>
          <w:spacing w:val="-13"/>
          <w:sz w:val="20"/>
        </w:rPr>
        <w:t xml:space="preserve"> </w:t>
      </w:r>
      <w:r>
        <w:rPr>
          <w:sz w:val="20"/>
        </w:rPr>
        <w:t>la</w:t>
      </w:r>
      <w:r>
        <w:rPr>
          <w:spacing w:val="-16"/>
          <w:sz w:val="20"/>
        </w:rPr>
        <w:t xml:space="preserve"> </w:t>
      </w:r>
      <w:r>
        <w:rPr>
          <w:sz w:val="20"/>
        </w:rPr>
        <w:t>protección</w:t>
      </w:r>
      <w:r>
        <w:rPr>
          <w:spacing w:val="-13"/>
          <w:sz w:val="20"/>
        </w:rPr>
        <w:t xml:space="preserve"> </w:t>
      </w:r>
      <w:r>
        <w:rPr>
          <w:sz w:val="20"/>
        </w:rPr>
        <w:t>de</w:t>
      </w:r>
      <w:r>
        <w:rPr>
          <w:spacing w:val="-17"/>
          <w:sz w:val="20"/>
        </w:rPr>
        <w:t xml:space="preserve"> </w:t>
      </w:r>
      <w:r>
        <w:rPr>
          <w:sz w:val="20"/>
        </w:rPr>
        <w:t>los</w:t>
      </w:r>
      <w:r>
        <w:rPr>
          <w:spacing w:val="-17"/>
          <w:sz w:val="20"/>
        </w:rPr>
        <w:t xml:space="preserve"> </w:t>
      </w:r>
      <w:r>
        <w:rPr>
          <w:sz w:val="20"/>
        </w:rPr>
        <w:t>derechos</w:t>
      </w:r>
      <w:r>
        <w:rPr>
          <w:spacing w:val="-14"/>
          <w:sz w:val="20"/>
        </w:rPr>
        <w:t xml:space="preserve"> </w:t>
      </w:r>
      <w:r>
        <w:rPr>
          <w:sz w:val="20"/>
        </w:rPr>
        <w:t>sociales</w:t>
      </w:r>
      <w:r>
        <w:rPr>
          <w:spacing w:val="-12"/>
          <w:sz w:val="20"/>
        </w:rPr>
        <w:t xml:space="preserve"> </w:t>
      </w:r>
      <w:r>
        <w:rPr>
          <w:sz w:val="20"/>
        </w:rPr>
        <w:t>dirigida</w:t>
      </w:r>
      <w:r>
        <w:rPr>
          <w:spacing w:val="-16"/>
          <w:sz w:val="20"/>
        </w:rPr>
        <w:t xml:space="preserve"> </w:t>
      </w:r>
      <w:r>
        <w:rPr>
          <w:sz w:val="20"/>
        </w:rPr>
        <w:t>a</w:t>
      </w:r>
      <w:r>
        <w:rPr>
          <w:spacing w:val="-15"/>
          <w:sz w:val="20"/>
        </w:rPr>
        <w:t xml:space="preserve"> </w:t>
      </w:r>
      <w:r>
        <w:rPr>
          <w:sz w:val="20"/>
        </w:rPr>
        <w:t>la</w:t>
      </w:r>
      <w:r>
        <w:rPr>
          <w:spacing w:val="-16"/>
          <w:sz w:val="20"/>
        </w:rPr>
        <w:t xml:space="preserve"> </w:t>
      </w:r>
      <w:r>
        <w:rPr>
          <w:sz w:val="20"/>
        </w:rPr>
        <w:t>reducción de las desigualdades. De forma adicional, señaló que ha cumplido de forma fiel con el deber progresivo</w:t>
      </w:r>
      <w:r>
        <w:rPr>
          <w:spacing w:val="-4"/>
          <w:sz w:val="20"/>
        </w:rPr>
        <w:t xml:space="preserve"> </w:t>
      </w:r>
      <w:r>
        <w:rPr>
          <w:sz w:val="20"/>
        </w:rPr>
        <w:t>de</w:t>
      </w:r>
      <w:r>
        <w:rPr>
          <w:spacing w:val="-4"/>
          <w:sz w:val="20"/>
        </w:rPr>
        <w:t xml:space="preserve"> </w:t>
      </w:r>
      <w:r>
        <w:rPr>
          <w:sz w:val="20"/>
        </w:rPr>
        <w:t>garantía</w:t>
      </w:r>
      <w:r>
        <w:rPr>
          <w:spacing w:val="-2"/>
          <w:sz w:val="20"/>
        </w:rPr>
        <w:t xml:space="preserve"> </w:t>
      </w:r>
      <w:r>
        <w:rPr>
          <w:sz w:val="20"/>
        </w:rPr>
        <w:t>de</w:t>
      </w:r>
      <w:r>
        <w:rPr>
          <w:spacing w:val="-7"/>
          <w:sz w:val="20"/>
        </w:rPr>
        <w:t xml:space="preserve"> </w:t>
      </w:r>
      <w:r>
        <w:rPr>
          <w:sz w:val="20"/>
        </w:rPr>
        <w:t>dichos</w:t>
      </w:r>
      <w:r>
        <w:rPr>
          <w:spacing w:val="-6"/>
          <w:sz w:val="20"/>
        </w:rPr>
        <w:t xml:space="preserve"> </w:t>
      </w:r>
      <w:r>
        <w:rPr>
          <w:sz w:val="20"/>
        </w:rPr>
        <w:t>derechos</w:t>
      </w:r>
      <w:r>
        <w:rPr>
          <w:spacing w:val="-3"/>
          <w:sz w:val="20"/>
        </w:rPr>
        <w:t xml:space="preserve"> </w:t>
      </w:r>
      <w:r>
        <w:rPr>
          <w:sz w:val="20"/>
        </w:rPr>
        <w:t>pues,</w:t>
      </w:r>
      <w:r>
        <w:rPr>
          <w:spacing w:val="-6"/>
          <w:sz w:val="20"/>
        </w:rPr>
        <w:t xml:space="preserve"> </w:t>
      </w:r>
      <w:r>
        <w:rPr>
          <w:sz w:val="20"/>
        </w:rPr>
        <w:t>durante</w:t>
      </w:r>
      <w:r>
        <w:rPr>
          <w:spacing w:val="-3"/>
          <w:sz w:val="20"/>
        </w:rPr>
        <w:t xml:space="preserve"> </w:t>
      </w:r>
      <w:r>
        <w:rPr>
          <w:sz w:val="20"/>
        </w:rPr>
        <w:t>el</w:t>
      </w:r>
      <w:r>
        <w:rPr>
          <w:spacing w:val="-5"/>
          <w:sz w:val="20"/>
        </w:rPr>
        <w:t xml:space="preserve"> </w:t>
      </w:r>
      <w:r>
        <w:rPr>
          <w:sz w:val="20"/>
        </w:rPr>
        <w:t>trámite</w:t>
      </w:r>
      <w:r>
        <w:rPr>
          <w:spacing w:val="-7"/>
          <w:sz w:val="20"/>
        </w:rPr>
        <w:t xml:space="preserve"> </w:t>
      </w:r>
      <w:r>
        <w:rPr>
          <w:sz w:val="20"/>
        </w:rPr>
        <w:t>llevado</w:t>
      </w:r>
      <w:r>
        <w:rPr>
          <w:spacing w:val="-6"/>
          <w:sz w:val="20"/>
        </w:rPr>
        <w:t xml:space="preserve"> </w:t>
      </w:r>
      <w:r>
        <w:rPr>
          <w:sz w:val="20"/>
        </w:rPr>
        <w:t>ante</w:t>
      </w:r>
      <w:r>
        <w:rPr>
          <w:spacing w:val="-7"/>
          <w:sz w:val="20"/>
        </w:rPr>
        <w:t xml:space="preserve"> </w:t>
      </w:r>
      <w:r>
        <w:rPr>
          <w:sz w:val="20"/>
        </w:rPr>
        <w:t>la</w:t>
      </w:r>
      <w:r>
        <w:rPr>
          <w:spacing w:val="-4"/>
          <w:sz w:val="20"/>
        </w:rPr>
        <w:t xml:space="preserve"> </w:t>
      </w:r>
      <w:r>
        <w:rPr>
          <w:sz w:val="20"/>
        </w:rPr>
        <w:t>Comisión, diversas</w:t>
      </w:r>
      <w:r>
        <w:rPr>
          <w:spacing w:val="-10"/>
          <w:sz w:val="20"/>
        </w:rPr>
        <w:t xml:space="preserve"> </w:t>
      </w:r>
      <w:r>
        <w:rPr>
          <w:sz w:val="20"/>
        </w:rPr>
        <w:t>políticas</w:t>
      </w:r>
      <w:r>
        <w:rPr>
          <w:spacing w:val="-12"/>
          <w:sz w:val="20"/>
        </w:rPr>
        <w:t xml:space="preserve"> </w:t>
      </w:r>
      <w:r>
        <w:rPr>
          <w:sz w:val="20"/>
        </w:rPr>
        <w:t>públicas</w:t>
      </w:r>
      <w:r>
        <w:rPr>
          <w:spacing w:val="-12"/>
          <w:sz w:val="20"/>
        </w:rPr>
        <w:t xml:space="preserve"> </w:t>
      </w:r>
      <w:r>
        <w:rPr>
          <w:sz w:val="20"/>
        </w:rPr>
        <w:t>federales,</w:t>
      </w:r>
      <w:r>
        <w:rPr>
          <w:spacing w:val="-7"/>
          <w:sz w:val="20"/>
        </w:rPr>
        <w:t xml:space="preserve"> </w:t>
      </w:r>
      <w:r>
        <w:rPr>
          <w:sz w:val="20"/>
        </w:rPr>
        <w:t>estatales</w:t>
      </w:r>
      <w:r>
        <w:rPr>
          <w:spacing w:val="-10"/>
          <w:sz w:val="20"/>
        </w:rPr>
        <w:t xml:space="preserve"> </w:t>
      </w:r>
      <w:r>
        <w:rPr>
          <w:sz w:val="20"/>
        </w:rPr>
        <w:t>y</w:t>
      </w:r>
      <w:r>
        <w:rPr>
          <w:spacing w:val="-9"/>
          <w:sz w:val="20"/>
        </w:rPr>
        <w:t xml:space="preserve"> </w:t>
      </w:r>
      <w:r>
        <w:rPr>
          <w:sz w:val="20"/>
        </w:rPr>
        <w:t>municipales</w:t>
      </w:r>
      <w:r>
        <w:rPr>
          <w:spacing w:val="-10"/>
          <w:sz w:val="20"/>
        </w:rPr>
        <w:t xml:space="preserve"> </w:t>
      </w:r>
      <w:r>
        <w:rPr>
          <w:sz w:val="20"/>
        </w:rPr>
        <w:t>fueron</w:t>
      </w:r>
      <w:r>
        <w:rPr>
          <w:spacing w:val="-9"/>
          <w:sz w:val="20"/>
        </w:rPr>
        <w:t xml:space="preserve"> </w:t>
      </w:r>
      <w:r>
        <w:rPr>
          <w:sz w:val="20"/>
        </w:rPr>
        <w:t>llevadas</w:t>
      </w:r>
      <w:r>
        <w:rPr>
          <w:spacing w:val="-12"/>
          <w:sz w:val="20"/>
        </w:rPr>
        <w:t xml:space="preserve"> </w:t>
      </w:r>
      <w:r>
        <w:rPr>
          <w:sz w:val="20"/>
        </w:rPr>
        <w:t>a</w:t>
      </w:r>
      <w:r>
        <w:rPr>
          <w:spacing w:val="-9"/>
          <w:sz w:val="20"/>
        </w:rPr>
        <w:t xml:space="preserve"> </w:t>
      </w:r>
      <w:r>
        <w:rPr>
          <w:sz w:val="20"/>
        </w:rPr>
        <w:t>cabo</w:t>
      </w:r>
      <w:r>
        <w:rPr>
          <w:spacing w:val="-10"/>
          <w:sz w:val="20"/>
        </w:rPr>
        <w:t xml:space="preserve"> </w:t>
      </w:r>
      <w:r>
        <w:rPr>
          <w:sz w:val="20"/>
        </w:rPr>
        <w:t>con</w:t>
      </w:r>
      <w:r>
        <w:rPr>
          <w:spacing w:val="-8"/>
          <w:sz w:val="20"/>
        </w:rPr>
        <w:t xml:space="preserve"> </w:t>
      </w:r>
      <w:r>
        <w:rPr>
          <w:sz w:val="20"/>
        </w:rPr>
        <w:t xml:space="preserve">dicho objetivo. En específico, hizo referencia al programa </w:t>
      </w:r>
      <w:r>
        <w:rPr>
          <w:i/>
          <w:sz w:val="20"/>
        </w:rPr>
        <w:t xml:space="preserve">Bolsa Familia </w:t>
      </w:r>
      <w:r>
        <w:rPr>
          <w:sz w:val="20"/>
        </w:rPr>
        <w:t>del cual se ha</w:t>
      </w:r>
      <w:r>
        <w:rPr>
          <w:sz w:val="20"/>
        </w:rPr>
        <w:t>brían beneficiado,</w:t>
      </w:r>
      <w:r>
        <w:rPr>
          <w:spacing w:val="-14"/>
          <w:sz w:val="20"/>
        </w:rPr>
        <w:t xml:space="preserve"> </w:t>
      </w:r>
      <w:r>
        <w:rPr>
          <w:sz w:val="20"/>
        </w:rPr>
        <w:t>a</w:t>
      </w:r>
      <w:r>
        <w:rPr>
          <w:spacing w:val="-10"/>
          <w:sz w:val="20"/>
        </w:rPr>
        <w:t xml:space="preserve"> </w:t>
      </w:r>
      <w:r>
        <w:rPr>
          <w:sz w:val="20"/>
        </w:rPr>
        <w:t>diciembre</w:t>
      </w:r>
      <w:r>
        <w:rPr>
          <w:spacing w:val="-11"/>
          <w:sz w:val="20"/>
        </w:rPr>
        <w:t xml:space="preserve"> </w:t>
      </w:r>
      <w:r>
        <w:rPr>
          <w:sz w:val="20"/>
        </w:rPr>
        <w:t>de</w:t>
      </w:r>
      <w:r>
        <w:rPr>
          <w:spacing w:val="-14"/>
          <w:sz w:val="20"/>
        </w:rPr>
        <w:t xml:space="preserve"> </w:t>
      </w:r>
      <w:r>
        <w:rPr>
          <w:sz w:val="20"/>
        </w:rPr>
        <w:t>2018,</w:t>
      </w:r>
      <w:r>
        <w:rPr>
          <w:spacing w:val="-13"/>
          <w:sz w:val="20"/>
        </w:rPr>
        <w:t xml:space="preserve"> </w:t>
      </w:r>
      <w:r>
        <w:rPr>
          <w:sz w:val="20"/>
        </w:rPr>
        <w:t>9.418</w:t>
      </w:r>
      <w:r>
        <w:rPr>
          <w:spacing w:val="-10"/>
          <w:sz w:val="20"/>
        </w:rPr>
        <w:t xml:space="preserve"> </w:t>
      </w:r>
      <w:r>
        <w:rPr>
          <w:sz w:val="20"/>
        </w:rPr>
        <w:t>familias</w:t>
      </w:r>
      <w:r>
        <w:rPr>
          <w:spacing w:val="-11"/>
          <w:sz w:val="20"/>
        </w:rPr>
        <w:t xml:space="preserve"> </w:t>
      </w:r>
      <w:r>
        <w:rPr>
          <w:sz w:val="20"/>
        </w:rPr>
        <w:t>del</w:t>
      </w:r>
      <w:r>
        <w:rPr>
          <w:spacing w:val="-13"/>
          <w:sz w:val="20"/>
        </w:rPr>
        <w:t xml:space="preserve"> </w:t>
      </w:r>
      <w:r>
        <w:rPr>
          <w:sz w:val="20"/>
        </w:rPr>
        <w:t>Municipio</w:t>
      </w:r>
      <w:r>
        <w:rPr>
          <w:spacing w:val="-14"/>
          <w:sz w:val="20"/>
        </w:rPr>
        <w:t xml:space="preserve"> </w:t>
      </w:r>
      <w:r>
        <w:rPr>
          <w:sz w:val="20"/>
        </w:rPr>
        <w:t>de</w:t>
      </w:r>
      <w:r>
        <w:rPr>
          <w:spacing w:val="-14"/>
          <w:sz w:val="20"/>
        </w:rPr>
        <w:t xml:space="preserve"> </w:t>
      </w:r>
      <w:r>
        <w:rPr>
          <w:sz w:val="20"/>
        </w:rPr>
        <w:t>Santo</w:t>
      </w:r>
      <w:r>
        <w:rPr>
          <w:spacing w:val="-11"/>
          <w:sz w:val="20"/>
        </w:rPr>
        <w:t xml:space="preserve"> </w:t>
      </w:r>
      <w:r>
        <w:rPr>
          <w:sz w:val="20"/>
        </w:rPr>
        <w:t>Antônio</w:t>
      </w:r>
      <w:r>
        <w:rPr>
          <w:spacing w:val="-14"/>
          <w:sz w:val="20"/>
        </w:rPr>
        <w:t xml:space="preserve"> </w:t>
      </w:r>
      <w:r>
        <w:rPr>
          <w:sz w:val="20"/>
        </w:rPr>
        <w:t>de</w:t>
      </w:r>
      <w:r>
        <w:rPr>
          <w:spacing w:val="-14"/>
          <w:sz w:val="20"/>
        </w:rPr>
        <w:t xml:space="preserve"> </w:t>
      </w:r>
      <w:r>
        <w:rPr>
          <w:sz w:val="20"/>
        </w:rPr>
        <w:t>Jesus,</w:t>
      </w:r>
      <w:r>
        <w:rPr>
          <w:spacing w:val="-13"/>
          <w:sz w:val="20"/>
        </w:rPr>
        <w:t xml:space="preserve"> </w:t>
      </w:r>
      <w:r>
        <w:rPr>
          <w:sz w:val="20"/>
        </w:rPr>
        <w:t>por un</w:t>
      </w:r>
      <w:r>
        <w:rPr>
          <w:spacing w:val="12"/>
          <w:sz w:val="20"/>
        </w:rPr>
        <w:t xml:space="preserve"> </w:t>
      </w:r>
      <w:r>
        <w:rPr>
          <w:sz w:val="20"/>
        </w:rPr>
        <w:t>monto</w:t>
      </w:r>
      <w:r>
        <w:rPr>
          <w:spacing w:val="10"/>
          <w:sz w:val="20"/>
        </w:rPr>
        <w:t xml:space="preserve"> </w:t>
      </w:r>
      <w:r>
        <w:rPr>
          <w:sz w:val="20"/>
        </w:rPr>
        <w:t>total</w:t>
      </w:r>
      <w:r>
        <w:rPr>
          <w:spacing w:val="12"/>
          <w:sz w:val="20"/>
        </w:rPr>
        <w:t xml:space="preserve"> </w:t>
      </w:r>
      <w:r>
        <w:rPr>
          <w:sz w:val="20"/>
        </w:rPr>
        <w:t>de</w:t>
      </w:r>
      <w:r>
        <w:rPr>
          <w:spacing w:val="11"/>
          <w:sz w:val="20"/>
        </w:rPr>
        <w:t xml:space="preserve"> </w:t>
      </w:r>
      <w:r>
        <w:rPr>
          <w:sz w:val="20"/>
        </w:rPr>
        <w:t>un</w:t>
      </w:r>
      <w:r>
        <w:rPr>
          <w:spacing w:val="12"/>
          <w:sz w:val="20"/>
        </w:rPr>
        <w:t xml:space="preserve"> </w:t>
      </w:r>
      <w:r>
        <w:rPr>
          <w:sz w:val="20"/>
        </w:rPr>
        <w:t>R$</w:t>
      </w:r>
      <w:r>
        <w:rPr>
          <w:spacing w:val="12"/>
          <w:sz w:val="20"/>
        </w:rPr>
        <w:t xml:space="preserve"> </w:t>
      </w:r>
      <w:r>
        <w:rPr>
          <w:sz w:val="20"/>
        </w:rPr>
        <w:t>1.509.750.</w:t>
      </w:r>
      <w:r>
        <w:rPr>
          <w:spacing w:val="12"/>
          <w:sz w:val="20"/>
        </w:rPr>
        <w:t xml:space="preserve"> </w:t>
      </w:r>
      <w:r>
        <w:rPr>
          <w:sz w:val="20"/>
        </w:rPr>
        <w:t>Resaltó,</w:t>
      </w:r>
      <w:r>
        <w:rPr>
          <w:spacing w:val="11"/>
          <w:sz w:val="20"/>
        </w:rPr>
        <w:t xml:space="preserve"> </w:t>
      </w:r>
      <w:r>
        <w:rPr>
          <w:sz w:val="20"/>
        </w:rPr>
        <w:t>además,</w:t>
      </w:r>
      <w:r>
        <w:rPr>
          <w:spacing w:val="13"/>
          <w:sz w:val="20"/>
        </w:rPr>
        <w:t xml:space="preserve"> </w:t>
      </w:r>
      <w:r>
        <w:rPr>
          <w:sz w:val="20"/>
        </w:rPr>
        <w:t>la</w:t>
      </w:r>
      <w:r>
        <w:rPr>
          <w:spacing w:val="11"/>
          <w:sz w:val="20"/>
        </w:rPr>
        <w:t xml:space="preserve"> </w:t>
      </w:r>
      <w:r>
        <w:rPr>
          <w:sz w:val="20"/>
        </w:rPr>
        <w:t>implementación</w:t>
      </w:r>
      <w:r>
        <w:rPr>
          <w:spacing w:val="13"/>
          <w:sz w:val="20"/>
        </w:rPr>
        <w:t xml:space="preserve"> </w:t>
      </w:r>
      <w:r>
        <w:rPr>
          <w:sz w:val="20"/>
        </w:rPr>
        <w:t>de</w:t>
      </w:r>
      <w:r>
        <w:rPr>
          <w:spacing w:val="10"/>
          <w:sz w:val="20"/>
        </w:rPr>
        <w:t xml:space="preserve"> </w:t>
      </w:r>
      <w:r>
        <w:rPr>
          <w:sz w:val="20"/>
        </w:rPr>
        <w:t>los</w:t>
      </w:r>
      <w:r>
        <w:rPr>
          <w:spacing w:val="11"/>
          <w:sz w:val="20"/>
        </w:rPr>
        <w:t xml:space="preserve"> </w:t>
      </w:r>
      <w:r>
        <w:rPr>
          <w:sz w:val="20"/>
        </w:rPr>
        <w:t>programas</w:t>
      </w:r>
    </w:p>
    <w:p w14:paraId="1FDCEB99" w14:textId="77777777" w:rsidR="00467FCA" w:rsidRDefault="001B68EB">
      <w:pPr>
        <w:pStyle w:val="Textoindependiente"/>
        <w:spacing w:before="8"/>
        <w:rPr>
          <w:sz w:val="13"/>
        </w:rPr>
      </w:pPr>
      <w:r>
        <w:pict w14:anchorId="17E8D35C">
          <v:shape id="_x0000_s1158" style="position:absolute;margin-left:1in;margin-top:10.6pt;width:2in;height:.1pt;z-index:-251619328;mso-wrap-distance-left:0;mso-wrap-distance-right:0;mso-position-horizontal-relative:page" coordorigin="1440,212" coordsize="2880,0" path="m1440,212r2880,e" filled="f" strokeweight=".6pt">
            <v:path arrowok="t"/>
            <w10:wrap type="topAndBottom" anchorx="page"/>
          </v:shape>
        </w:pict>
      </w:r>
    </w:p>
    <w:p w14:paraId="7947079F" w14:textId="77777777" w:rsidR="00467FCA" w:rsidRDefault="001B68EB">
      <w:pPr>
        <w:tabs>
          <w:tab w:val="left" w:pos="839"/>
        </w:tabs>
        <w:spacing w:before="74"/>
        <w:ind w:left="118" w:right="115" w:firstLine="1"/>
        <w:jc w:val="both"/>
        <w:rPr>
          <w:i/>
          <w:sz w:val="16"/>
        </w:rPr>
      </w:pPr>
      <w:bookmarkStart w:id="302" w:name="_bookmark259"/>
      <w:bookmarkEnd w:id="302"/>
      <w:r>
        <w:rPr>
          <w:position w:val="6"/>
          <w:sz w:val="10"/>
        </w:rPr>
        <w:t>216</w:t>
      </w:r>
      <w:r>
        <w:rPr>
          <w:position w:val="6"/>
          <w:sz w:val="10"/>
        </w:rPr>
        <w:tab/>
      </w:r>
      <w:r>
        <w:rPr>
          <w:i/>
          <w:sz w:val="16"/>
        </w:rPr>
        <w:t>Cfr.</w:t>
      </w:r>
      <w:r>
        <w:rPr>
          <w:i/>
          <w:spacing w:val="-11"/>
          <w:sz w:val="16"/>
        </w:rPr>
        <w:t xml:space="preserve"> </w:t>
      </w:r>
      <w:r>
        <w:rPr>
          <w:sz w:val="16"/>
        </w:rPr>
        <w:t>BARBOSA</w:t>
      </w:r>
      <w:r>
        <w:rPr>
          <w:spacing w:val="-12"/>
          <w:sz w:val="16"/>
        </w:rPr>
        <w:t xml:space="preserve"> </w:t>
      </w:r>
      <w:r>
        <w:rPr>
          <w:sz w:val="16"/>
        </w:rPr>
        <w:t>JÚNIOR,</w:t>
      </w:r>
      <w:r>
        <w:rPr>
          <w:spacing w:val="-11"/>
          <w:sz w:val="16"/>
        </w:rPr>
        <w:t xml:space="preserve"> </w:t>
      </w:r>
      <w:r>
        <w:rPr>
          <w:sz w:val="16"/>
        </w:rPr>
        <w:t>José</w:t>
      </w:r>
      <w:r>
        <w:rPr>
          <w:spacing w:val="-12"/>
          <w:sz w:val="16"/>
        </w:rPr>
        <w:t xml:space="preserve"> </w:t>
      </w:r>
      <w:r>
        <w:rPr>
          <w:sz w:val="16"/>
        </w:rPr>
        <w:t>Amândio.</w:t>
      </w:r>
      <w:r>
        <w:rPr>
          <w:spacing w:val="-11"/>
          <w:sz w:val="16"/>
        </w:rPr>
        <w:t xml:space="preserve"> </w:t>
      </w:r>
      <w:r>
        <w:rPr>
          <w:i/>
          <w:sz w:val="16"/>
        </w:rPr>
        <w:t>“La</w:t>
      </w:r>
      <w:r>
        <w:rPr>
          <w:i/>
          <w:spacing w:val="-13"/>
          <w:sz w:val="16"/>
        </w:rPr>
        <w:t xml:space="preserve"> </w:t>
      </w:r>
      <w:r>
        <w:rPr>
          <w:i/>
          <w:sz w:val="16"/>
        </w:rPr>
        <w:t>Producción</w:t>
      </w:r>
      <w:r>
        <w:rPr>
          <w:i/>
          <w:spacing w:val="-12"/>
          <w:sz w:val="16"/>
        </w:rPr>
        <w:t xml:space="preserve"> </w:t>
      </w:r>
      <w:r>
        <w:rPr>
          <w:i/>
          <w:sz w:val="16"/>
        </w:rPr>
        <w:t>de</w:t>
      </w:r>
      <w:r>
        <w:rPr>
          <w:i/>
          <w:spacing w:val="-14"/>
          <w:sz w:val="16"/>
        </w:rPr>
        <w:t xml:space="preserve"> </w:t>
      </w:r>
      <w:r>
        <w:rPr>
          <w:i/>
          <w:sz w:val="16"/>
        </w:rPr>
        <w:t>Fuegos</w:t>
      </w:r>
      <w:r>
        <w:rPr>
          <w:i/>
          <w:spacing w:val="-14"/>
          <w:sz w:val="16"/>
        </w:rPr>
        <w:t xml:space="preserve"> </w:t>
      </w:r>
      <w:r>
        <w:rPr>
          <w:i/>
          <w:sz w:val="16"/>
        </w:rPr>
        <w:t>Artificiales</w:t>
      </w:r>
      <w:r>
        <w:rPr>
          <w:i/>
          <w:spacing w:val="-12"/>
          <w:sz w:val="16"/>
        </w:rPr>
        <w:t xml:space="preserve"> </w:t>
      </w:r>
      <w:r>
        <w:rPr>
          <w:i/>
          <w:sz w:val="16"/>
        </w:rPr>
        <w:t>en</w:t>
      </w:r>
      <w:r>
        <w:rPr>
          <w:i/>
          <w:spacing w:val="-13"/>
          <w:sz w:val="16"/>
        </w:rPr>
        <w:t xml:space="preserve"> </w:t>
      </w:r>
      <w:r>
        <w:rPr>
          <w:i/>
          <w:sz w:val="16"/>
        </w:rPr>
        <w:t>el</w:t>
      </w:r>
      <w:r>
        <w:rPr>
          <w:i/>
          <w:spacing w:val="-12"/>
          <w:sz w:val="16"/>
        </w:rPr>
        <w:t xml:space="preserve"> </w:t>
      </w:r>
      <w:r>
        <w:rPr>
          <w:i/>
          <w:sz w:val="16"/>
        </w:rPr>
        <w:t>Municipio</w:t>
      </w:r>
      <w:r>
        <w:rPr>
          <w:i/>
          <w:spacing w:val="-14"/>
          <w:sz w:val="16"/>
        </w:rPr>
        <w:t xml:space="preserve"> </w:t>
      </w:r>
      <w:r>
        <w:rPr>
          <w:i/>
          <w:sz w:val="16"/>
        </w:rPr>
        <w:t>de</w:t>
      </w:r>
      <w:r>
        <w:rPr>
          <w:i/>
          <w:spacing w:val="-12"/>
          <w:sz w:val="16"/>
        </w:rPr>
        <w:t xml:space="preserve"> </w:t>
      </w:r>
      <w:r>
        <w:rPr>
          <w:i/>
          <w:sz w:val="16"/>
        </w:rPr>
        <w:t>Santo</w:t>
      </w:r>
      <w:r>
        <w:rPr>
          <w:i/>
          <w:spacing w:val="-11"/>
          <w:sz w:val="16"/>
        </w:rPr>
        <w:t xml:space="preserve"> </w:t>
      </w:r>
      <w:r>
        <w:rPr>
          <w:i/>
          <w:sz w:val="16"/>
        </w:rPr>
        <w:t>Antônio de Jesus/BA: un análisis de su contribución para el desarrollo local”</w:t>
      </w:r>
      <w:r>
        <w:rPr>
          <w:sz w:val="16"/>
        </w:rPr>
        <w:t xml:space="preserve">, </w:t>
      </w:r>
      <w:r>
        <w:rPr>
          <w:i/>
          <w:sz w:val="16"/>
        </w:rPr>
        <w:t>supra</w:t>
      </w:r>
      <w:r>
        <w:rPr>
          <w:sz w:val="16"/>
        </w:rPr>
        <w:t xml:space="preserve">; SANTOS, Ana Maria. </w:t>
      </w:r>
      <w:r>
        <w:rPr>
          <w:i/>
          <w:sz w:val="16"/>
        </w:rPr>
        <w:t>“La Clandestinidad como</w:t>
      </w:r>
      <w:r>
        <w:rPr>
          <w:i/>
          <w:spacing w:val="-9"/>
          <w:sz w:val="16"/>
        </w:rPr>
        <w:t xml:space="preserve"> </w:t>
      </w:r>
      <w:r>
        <w:rPr>
          <w:i/>
          <w:sz w:val="16"/>
        </w:rPr>
        <w:t>Expresión</w:t>
      </w:r>
      <w:r>
        <w:rPr>
          <w:i/>
          <w:spacing w:val="-11"/>
          <w:sz w:val="16"/>
        </w:rPr>
        <w:t xml:space="preserve"> </w:t>
      </w:r>
      <w:r>
        <w:rPr>
          <w:i/>
          <w:sz w:val="16"/>
        </w:rPr>
        <w:t>de</w:t>
      </w:r>
      <w:r>
        <w:rPr>
          <w:i/>
          <w:spacing w:val="-7"/>
          <w:sz w:val="16"/>
        </w:rPr>
        <w:t xml:space="preserve"> </w:t>
      </w:r>
      <w:r>
        <w:rPr>
          <w:i/>
          <w:sz w:val="16"/>
        </w:rPr>
        <w:t>la</w:t>
      </w:r>
      <w:r>
        <w:rPr>
          <w:i/>
          <w:spacing w:val="-9"/>
          <w:sz w:val="16"/>
        </w:rPr>
        <w:t xml:space="preserve"> </w:t>
      </w:r>
      <w:r>
        <w:rPr>
          <w:i/>
          <w:sz w:val="16"/>
        </w:rPr>
        <w:t>Precarización</w:t>
      </w:r>
      <w:r>
        <w:rPr>
          <w:i/>
          <w:spacing w:val="-8"/>
          <w:sz w:val="16"/>
        </w:rPr>
        <w:t xml:space="preserve"> </w:t>
      </w:r>
      <w:r>
        <w:rPr>
          <w:i/>
          <w:sz w:val="16"/>
        </w:rPr>
        <w:t>del</w:t>
      </w:r>
      <w:r>
        <w:rPr>
          <w:i/>
          <w:spacing w:val="-8"/>
          <w:sz w:val="16"/>
        </w:rPr>
        <w:t xml:space="preserve"> </w:t>
      </w:r>
      <w:r>
        <w:rPr>
          <w:i/>
          <w:sz w:val="16"/>
        </w:rPr>
        <w:t>Trabajo</w:t>
      </w:r>
      <w:r>
        <w:rPr>
          <w:i/>
          <w:spacing w:val="-9"/>
          <w:sz w:val="16"/>
        </w:rPr>
        <w:t xml:space="preserve"> </w:t>
      </w:r>
      <w:r>
        <w:rPr>
          <w:i/>
          <w:sz w:val="16"/>
        </w:rPr>
        <w:t>en</w:t>
      </w:r>
      <w:r>
        <w:rPr>
          <w:i/>
          <w:spacing w:val="-8"/>
          <w:sz w:val="16"/>
        </w:rPr>
        <w:t xml:space="preserve"> </w:t>
      </w:r>
      <w:r>
        <w:rPr>
          <w:i/>
          <w:sz w:val="16"/>
        </w:rPr>
        <w:t>la</w:t>
      </w:r>
      <w:r>
        <w:rPr>
          <w:i/>
          <w:spacing w:val="-9"/>
          <w:sz w:val="16"/>
        </w:rPr>
        <w:t xml:space="preserve"> </w:t>
      </w:r>
      <w:r>
        <w:rPr>
          <w:i/>
          <w:sz w:val="16"/>
        </w:rPr>
        <w:t>Producción</w:t>
      </w:r>
      <w:r>
        <w:rPr>
          <w:i/>
          <w:spacing w:val="-11"/>
          <w:sz w:val="16"/>
        </w:rPr>
        <w:t xml:space="preserve"> </w:t>
      </w:r>
      <w:r>
        <w:rPr>
          <w:i/>
          <w:sz w:val="16"/>
        </w:rPr>
        <w:t>del</w:t>
      </w:r>
      <w:r>
        <w:rPr>
          <w:i/>
          <w:spacing w:val="-11"/>
          <w:sz w:val="16"/>
        </w:rPr>
        <w:t xml:space="preserve"> </w:t>
      </w:r>
      <w:r>
        <w:rPr>
          <w:i/>
          <w:sz w:val="16"/>
        </w:rPr>
        <w:t>Cohete</w:t>
      </w:r>
      <w:r>
        <w:rPr>
          <w:i/>
          <w:spacing w:val="-11"/>
          <w:sz w:val="16"/>
        </w:rPr>
        <w:t xml:space="preserve"> </w:t>
      </w:r>
      <w:r>
        <w:rPr>
          <w:i/>
          <w:sz w:val="16"/>
        </w:rPr>
        <w:t>de</w:t>
      </w:r>
      <w:r>
        <w:rPr>
          <w:i/>
          <w:spacing w:val="-10"/>
          <w:sz w:val="16"/>
        </w:rPr>
        <w:t xml:space="preserve"> </w:t>
      </w:r>
      <w:r>
        <w:rPr>
          <w:i/>
          <w:sz w:val="16"/>
        </w:rPr>
        <w:t>Masa</w:t>
      </w:r>
      <w:r>
        <w:rPr>
          <w:i/>
          <w:spacing w:val="-10"/>
          <w:sz w:val="16"/>
        </w:rPr>
        <w:t xml:space="preserve"> </w:t>
      </w:r>
      <w:r>
        <w:rPr>
          <w:i/>
          <w:sz w:val="16"/>
        </w:rPr>
        <w:t>en</w:t>
      </w:r>
      <w:r>
        <w:rPr>
          <w:i/>
          <w:spacing w:val="-8"/>
          <w:sz w:val="16"/>
        </w:rPr>
        <w:t xml:space="preserve"> </w:t>
      </w:r>
      <w:r>
        <w:rPr>
          <w:i/>
          <w:sz w:val="16"/>
        </w:rPr>
        <w:t>el</w:t>
      </w:r>
      <w:r>
        <w:rPr>
          <w:i/>
          <w:spacing w:val="-12"/>
          <w:sz w:val="16"/>
        </w:rPr>
        <w:t xml:space="preserve"> </w:t>
      </w:r>
      <w:r>
        <w:rPr>
          <w:i/>
          <w:sz w:val="16"/>
        </w:rPr>
        <w:t>Municipio</w:t>
      </w:r>
      <w:r>
        <w:rPr>
          <w:i/>
          <w:spacing w:val="-9"/>
          <w:sz w:val="16"/>
        </w:rPr>
        <w:t xml:space="preserve"> </w:t>
      </w:r>
      <w:r>
        <w:rPr>
          <w:i/>
          <w:sz w:val="16"/>
        </w:rPr>
        <w:t>de</w:t>
      </w:r>
      <w:r>
        <w:rPr>
          <w:i/>
          <w:spacing w:val="-10"/>
          <w:sz w:val="16"/>
        </w:rPr>
        <w:t xml:space="preserve"> </w:t>
      </w:r>
      <w:r>
        <w:rPr>
          <w:i/>
          <w:sz w:val="16"/>
        </w:rPr>
        <w:t>Santo</w:t>
      </w:r>
      <w:r>
        <w:rPr>
          <w:i/>
          <w:spacing w:val="-11"/>
          <w:sz w:val="16"/>
        </w:rPr>
        <w:t xml:space="preserve"> </w:t>
      </w:r>
      <w:r>
        <w:rPr>
          <w:i/>
          <w:sz w:val="16"/>
        </w:rPr>
        <w:t>Antônio de</w:t>
      </w:r>
      <w:r>
        <w:rPr>
          <w:i/>
          <w:spacing w:val="-2"/>
          <w:sz w:val="16"/>
        </w:rPr>
        <w:t xml:space="preserve"> </w:t>
      </w:r>
      <w:r>
        <w:rPr>
          <w:i/>
          <w:sz w:val="16"/>
        </w:rPr>
        <w:t>Jesus</w:t>
      </w:r>
      <w:r>
        <w:rPr>
          <w:i/>
          <w:spacing w:val="-5"/>
          <w:sz w:val="16"/>
        </w:rPr>
        <w:t xml:space="preserve"> </w:t>
      </w:r>
      <w:r>
        <w:rPr>
          <w:i/>
          <w:sz w:val="16"/>
        </w:rPr>
        <w:t>–</w:t>
      </w:r>
      <w:r>
        <w:rPr>
          <w:i/>
          <w:spacing w:val="-1"/>
          <w:sz w:val="16"/>
        </w:rPr>
        <w:t xml:space="preserve"> </w:t>
      </w:r>
      <w:r>
        <w:rPr>
          <w:i/>
          <w:sz w:val="16"/>
        </w:rPr>
        <w:t>Bahia:</w:t>
      </w:r>
      <w:r>
        <w:rPr>
          <w:i/>
          <w:spacing w:val="-1"/>
          <w:sz w:val="16"/>
        </w:rPr>
        <w:t xml:space="preserve"> </w:t>
      </w:r>
      <w:r>
        <w:rPr>
          <w:i/>
          <w:sz w:val="16"/>
        </w:rPr>
        <w:t>un</w:t>
      </w:r>
      <w:r>
        <w:rPr>
          <w:i/>
          <w:spacing w:val="-3"/>
          <w:sz w:val="16"/>
        </w:rPr>
        <w:t xml:space="preserve"> </w:t>
      </w:r>
      <w:r>
        <w:rPr>
          <w:i/>
          <w:sz w:val="16"/>
        </w:rPr>
        <w:t>estudio</w:t>
      </w:r>
      <w:r>
        <w:rPr>
          <w:i/>
          <w:spacing w:val="-4"/>
          <w:sz w:val="16"/>
        </w:rPr>
        <w:t xml:space="preserve"> </w:t>
      </w:r>
      <w:r>
        <w:rPr>
          <w:i/>
          <w:sz w:val="16"/>
        </w:rPr>
        <w:t>de</w:t>
      </w:r>
      <w:r>
        <w:rPr>
          <w:i/>
          <w:spacing w:val="-2"/>
          <w:sz w:val="16"/>
        </w:rPr>
        <w:t xml:space="preserve"> </w:t>
      </w:r>
      <w:r>
        <w:rPr>
          <w:i/>
          <w:sz w:val="16"/>
        </w:rPr>
        <w:t>caso</w:t>
      </w:r>
      <w:r>
        <w:rPr>
          <w:i/>
          <w:spacing w:val="-1"/>
          <w:sz w:val="16"/>
        </w:rPr>
        <w:t xml:space="preserve"> </w:t>
      </w:r>
      <w:r>
        <w:rPr>
          <w:i/>
          <w:sz w:val="16"/>
        </w:rPr>
        <w:t>en</w:t>
      </w:r>
      <w:r>
        <w:rPr>
          <w:i/>
          <w:spacing w:val="-4"/>
          <w:sz w:val="16"/>
        </w:rPr>
        <w:t xml:space="preserve"> </w:t>
      </w:r>
      <w:r>
        <w:rPr>
          <w:i/>
          <w:sz w:val="16"/>
        </w:rPr>
        <w:t>el</w:t>
      </w:r>
      <w:r>
        <w:rPr>
          <w:i/>
          <w:spacing w:val="-2"/>
          <w:sz w:val="16"/>
        </w:rPr>
        <w:t xml:space="preserve"> </w:t>
      </w:r>
      <w:r>
        <w:rPr>
          <w:i/>
          <w:sz w:val="16"/>
        </w:rPr>
        <w:t>barrio</w:t>
      </w:r>
      <w:r>
        <w:rPr>
          <w:i/>
          <w:spacing w:val="-2"/>
          <w:sz w:val="16"/>
        </w:rPr>
        <w:t xml:space="preserve"> </w:t>
      </w:r>
      <w:r>
        <w:rPr>
          <w:i/>
          <w:sz w:val="16"/>
        </w:rPr>
        <w:t>Irmã</w:t>
      </w:r>
      <w:r>
        <w:rPr>
          <w:i/>
          <w:spacing w:val="-2"/>
          <w:sz w:val="16"/>
        </w:rPr>
        <w:t xml:space="preserve"> </w:t>
      </w:r>
      <w:r>
        <w:rPr>
          <w:i/>
          <w:sz w:val="16"/>
        </w:rPr>
        <w:t>Dulce”,</w:t>
      </w:r>
      <w:r>
        <w:rPr>
          <w:i/>
          <w:spacing w:val="-4"/>
          <w:sz w:val="16"/>
        </w:rPr>
        <w:t xml:space="preserve"> </w:t>
      </w:r>
      <w:r>
        <w:rPr>
          <w:i/>
          <w:sz w:val="16"/>
        </w:rPr>
        <w:t>supra,</w:t>
      </w:r>
      <w:r>
        <w:rPr>
          <w:i/>
          <w:spacing w:val="-6"/>
          <w:sz w:val="16"/>
        </w:rPr>
        <w:t xml:space="preserve"> </w:t>
      </w:r>
      <w:r>
        <w:rPr>
          <w:sz w:val="16"/>
        </w:rPr>
        <w:t>y</w:t>
      </w:r>
      <w:r>
        <w:rPr>
          <w:spacing w:val="-1"/>
          <w:sz w:val="16"/>
        </w:rPr>
        <w:t xml:space="preserve"> </w:t>
      </w:r>
      <w:r>
        <w:rPr>
          <w:sz w:val="16"/>
        </w:rPr>
        <w:t>TOMASONI,</w:t>
      </w:r>
      <w:r>
        <w:rPr>
          <w:spacing w:val="-6"/>
          <w:sz w:val="16"/>
        </w:rPr>
        <w:t xml:space="preserve"> </w:t>
      </w:r>
      <w:r>
        <w:rPr>
          <w:sz w:val="16"/>
        </w:rPr>
        <w:t>Sônia</w:t>
      </w:r>
      <w:r>
        <w:rPr>
          <w:spacing w:val="-5"/>
          <w:sz w:val="16"/>
        </w:rPr>
        <w:t xml:space="preserve"> </w:t>
      </w:r>
      <w:r>
        <w:rPr>
          <w:sz w:val="16"/>
        </w:rPr>
        <w:t>Marise</w:t>
      </w:r>
      <w:r>
        <w:rPr>
          <w:spacing w:val="-2"/>
          <w:sz w:val="16"/>
        </w:rPr>
        <w:t xml:space="preserve"> </w:t>
      </w:r>
      <w:r>
        <w:rPr>
          <w:sz w:val="16"/>
        </w:rPr>
        <w:t>Rodrigues</w:t>
      </w:r>
      <w:r>
        <w:rPr>
          <w:spacing w:val="-1"/>
          <w:sz w:val="16"/>
        </w:rPr>
        <w:t xml:space="preserve"> </w:t>
      </w:r>
      <w:r>
        <w:rPr>
          <w:sz w:val="16"/>
        </w:rPr>
        <w:t>Pereira. “</w:t>
      </w:r>
      <w:r>
        <w:rPr>
          <w:i/>
          <w:sz w:val="16"/>
        </w:rPr>
        <w:t>Dinámica socioespacial de la producción de fuegos artificiales en Santo Antônio de Jesus-BA”,</w:t>
      </w:r>
      <w:r>
        <w:rPr>
          <w:i/>
          <w:spacing w:val="-18"/>
          <w:sz w:val="16"/>
        </w:rPr>
        <w:t xml:space="preserve"> </w:t>
      </w:r>
      <w:r>
        <w:rPr>
          <w:i/>
          <w:sz w:val="16"/>
        </w:rPr>
        <w:t>supra.</w:t>
      </w:r>
    </w:p>
    <w:p w14:paraId="34FC640F" w14:textId="77777777" w:rsidR="00467FCA" w:rsidRDefault="00467FCA">
      <w:pPr>
        <w:jc w:val="both"/>
        <w:rPr>
          <w:sz w:val="16"/>
        </w:rPr>
        <w:sectPr w:rsidR="00467FCA">
          <w:pgSz w:w="12240" w:h="15840"/>
          <w:pgMar w:top="1360" w:right="1320" w:bottom="1220" w:left="1320" w:header="0" w:footer="1037" w:gutter="0"/>
          <w:cols w:space="720"/>
        </w:sectPr>
      </w:pPr>
    </w:p>
    <w:p w14:paraId="519772AF" w14:textId="77777777" w:rsidR="00467FCA" w:rsidRDefault="001B68EB">
      <w:pPr>
        <w:pStyle w:val="Textoindependiente"/>
        <w:spacing w:before="80"/>
        <w:ind w:left="119" w:right="117"/>
        <w:jc w:val="both"/>
      </w:pPr>
      <w:r>
        <w:t>de erradicación del trabajo infantil (PETI) y erradicación del trabajo esclavo, producto de los cuales</w:t>
      </w:r>
      <w:r>
        <w:rPr>
          <w:spacing w:val="-11"/>
        </w:rPr>
        <w:t xml:space="preserve"> </w:t>
      </w:r>
      <w:r>
        <w:t>habría</w:t>
      </w:r>
      <w:r>
        <w:rPr>
          <w:spacing w:val="-10"/>
        </w:rPr>
        <w:t xml:space="preserve"> </w:t>
      </w:r>
      <w:r>
        <w:t>disminuido</w:t>
      </w:r>
      <w:r>
        <w:rPr>
          <w:spacing w:val="-14"/>
        </w:rPr>
        <w:t xml:space="preserve"> </w:t>
      </w:r>
      <w:r>
        <w:t>la</w:t>
      </w:r>
      <w:r>
        <w:rPr>
          <w:spacing w:val="-10"/>
        </w:rPr>
        <w:t xml:space="preserve"> </w:t>
      </w:r>
      <w:r>
        <w:t>presencia</w:t>
      </w:r>
      <w:r>
        <w:rPr>
          <w:spacing w:val="-10"/>
        </w:rPr>
        <w:t xml:space="preserve"> </w:t>
      </w:r>
      <w:r>
        <w:t>de</w:t>
      </w:r>
      <w:r>
        <w:rPr>
          <w:spacing w:val="-12"/>
        </w:rPr>
        <w:t xml:space="preserve"> </w:t>
      </w:r>
      <w:r>
        <w:t>niño</w:t>
      </w:r>
      <w:r>
        <w:t>s,</w:t>
      </w:r>
      <w:r>
        <w:rPr>
          <w:spacing w:val="-8"/>
        </w:rPr>
        <w:t xml:space="preserve"> </w:t>
      </w:r>
      <w:r>
        <w:t>niñas</w:t>
      </w:r>
      <w:r>
        <w:rPr>
          <w:spacing w:val="-13"/>
        </w:rPr>
        <w:t xml:space="preserve"> </w:t>
      </w:r>
      <w:r>
        <w:t>y</w:t>
      </w:r>
      <w:r>
        <w:rPr>
          <w:spacing w:val="-13"/>
        </w:rPr>
        <w:t xml:space="preserve"> </w:t>
      </w:r>
      <w:r>
        <w:t>adultos</w:t>
      </w:r>
      <w:r>
        <w:rPr>
          <w:spacing w:val="-11"/>
        </w:rPr>
        <w:t xml:space="preserve"> </w:t>
      </w:r>
      <w:r>
        <w:t>en</w:t>
      </w:r>
      <w:r>
        <w:rPr>
          <w:spacing w:val="-11"/>
        </w:rPr>
        <w:t xml:space="preserve"> </w:t>
      </w:r>
      <w:r>
        <w:t>trabajos</w:t>
      </w:r>
      <w:r>
        <w:rPr>
          <w:spacing w:val="-13"/>
        </w:rPr>
        <w:t xml:space="preserve"> </w:t>
      </w:r>
      <w:r>
        <w:t>precarios</w:t>
      </w:r>
      <w:r>
        <w:rPr>
          <w:spacing w:val="-11"/>
        </w:rPr>
        <w:t xml:space="preserve"> </w:t>
      </w:r>
      <w:r>
        <w:t>y</w:t>
      </w:r>
      <w:r>
        <w:rPr>
          <w:spacing w:val="-11"/>
        </w:rPr>
        <w:t xml:space="preserve"> </w:t>
      </w:r>
      <w:r>
        <w:t>de</w:t>
      </w:r>
      <w:r>
        <w:rPr>
          <w:spacing w:val="-12"/>
        </w:rPr>
        <w:t xml:space="preserve"> </w:t>
      </w:r>
      <w:r>
        <w:t>alto peligro.</w:t>
      </w:r>
      <w:r>
        <w:rPr>
          <w:spacing w:val="-22"/>
        </w:rPr>
        <w:t xml:space="preserve"> </w:t>
      </w:r>
      <w:r>
        <w:t>Finalmente,</w:t>
      </w:r>
      <w:r>
        <w:rPr>
          <w:spacing w:val="-21"/>
        </w:rPr>
        <w:t xml:space="preserve"> </w:t>
      </w:r>
      <w:r>
        <w:t>señaló</w:t>
      </w:r>
      <w:r>
        <w:rPr>
          <w:spacing w:val="-22"/>
        </w:rPr>
        <w:t xml:space="preserve"> </w:t>
      </w:r>
      <w:r>
        <w:t>que,</w:t>
      </w:r>
      <w:r>
        <w:rPr>
          <w:spacing w:val="-19"/>
        </w:rPr>
        <w:t xml:space="preserve"> </w:t>
      </w:r>
      <w:r>
        <w:t>en</w:t>
      </w:r>
      <w:r>
        <w:rPr>
          <w:spacing w:val="-20"/>
        </w:rPr>
        <w:t xml:space="preserve"> </w:t>
      </w:r>
      <w:r>
        <w:t>aplicación</w:t>
      </w:r>
      <w:r>
        <w:rPr>
          <w:spacing w:val="-20"/>
        </w:rPr>
        <w:t xml:space="preserve"> </w:t>
      </w:r>
      <w:r>
        <w:t>de</w:t>
      </w:r>
      <w:r>
        <w:rPr>
          <w:spacing w:val="-20"/>
        </w:rPr>
        <w:t xml:space="preserve"> </w:t>
      </w:r>
      <w:r>
        <w:t>la</w:t>
      </w:r>
      <w:r>
        <w:rPr>
          <w:spacing w:val="-21"/>
        </w:rPr>
        <w:t xml:space="preserve"> </w:t>
      </w:r>
      <w:r>
        <w:t>temática</w:t>
      </w:r>
      <w:r>
        <w:rPr>
          <w:spacing w:val="-18"/>
        </w:rPr>
        <w:t xml:space="preserve"> </w:t>
      </w:r>
      <w:r>
        <w:t>“empresas</w:t>
      </w:r>
      <w:r>
        <w:rPr>
          <w:spacing w:val="-20"/>
        </w:rPr>
        <w:t xml:space="preserve"> </w:t>
      </w:r>
      <w:r>
        <w:t>y</w:t>
      </w:r>
      <w:r>
        <w:rPr>
          <w:spacing w:val="-19"/>
        </w:rPr>
        <w:t xml:space="preserve"> </w:t>
      </w:r>
      <w:r>
        <w:t>derechos</w:t>
      </w:r>
      <w:r>
        <w:rPr>
          <w:spacing w:val="-22"/>
        </w:rPr>
        <w:t xml:space="preserve"> </w:t>
      </w:r>
      <w:r>
        <w:t>humanos”, el Ministerio de la Mujer, la Familia y los Derechos Humanos de Brasil ha ejecutado diversas acciones,</w:t>
      </w:r>
      <w:r>
        <w:rPr>
          <w:spacing w:val="-11"/>
        </w:rPr>
        <w:t xml:space="preserve"> </w:t>
      </w:r>
      <w:r>
        <w:t>entre</w:t>
      </w:r>
      <w:r>
        <w:rPr>
          <w:spacing w:val="-11"/>
        </w:rPr>
        <w:t xml:space="preserve"> </w:t>
      </w:r>
      <w:r>
        <w:t>ellas,</w:t>
      </w:r>
      <w:r>
        <w:rPr>
          <w:spacing w:val="-12"/>
        </w:rPr>
        <w:t xml:space="preserve"> </w:t>
      </w:r>
      <w:r>
        <w:t>la</w:t>
      </w:r>
      <w:r>
        <w:rPr>
          <w:spacing w:val="-11"/>
        </w:rPr>
        <w:t xml:space="preserve"> </w:t>
      </w:r>
      <w:r>
        <w:t>implementación</w:t>
      </w:r>
      <w:r>
        <w:rPr>
          <w:spacing w:val="-11"/>
        </w:rPr>
        <w:t xml:space="preserve"> </w:t>
      </w:r>
      <w:r>
        <w:t>de</w:t>
      </w:r>
      <w:r>
        <w:rPr>
          <w:spacing w:val="-12"/>
        </w:rPr>
        <w:t xml:space="preserve"> </w:t>
      </w:r>
      <w:r>
        <w:t>actividades</w:t>
      </w:r>
      <w:r>
        <w:rPr>
          <w:spacing w:val="-13"/>
        </w:rPr>
        <w:t xml:space="preserve"> </w:t>
      </w:r>
      <w:r>
        <w:t>de</w:t>
      </w:r>
      <w:r>
        <w:rPr>
          <w:spacing w:val="-11"/>
        </w:rPr>
        <w:t xml:space="preserve"> </w:t>
      </w:r>
      <w:r>
        <w:t>fomento</w:t>
      </w:r>
      <w:r>
        <w:rPr>
          <w:spacing w:val="-13"/>
        </w:rPr>
        <w:t xml:space="preserve"> </w:t>
      </w:r>
      <w:r>
        <w:t>y</w:t>
      </w:r>
      <w:r>
        <w:rPr>
          <w:spacing w:val="-10"/>
        </w:rPr>
        <w:t xml:space="preserve"> </w:t>
      </w:r>
      <w:r>
        <w:t>fortalecimiento</w:t>
      </w:r>
      <w:r>
        <w:rPr>
          <w:spacing w:val="-13"/>
        </w:rPr>
        <w:t xml:space="preserve"> </w:t>
      </w:r>
      <w:r>
        <w:t>relativas al</w:t>
      </w:r>
      <w:r>
        <w:rPr>
          <w:spacing w:val="-11"/>
        </w:rPr>
        <w:t xml:space="preserve"> </w:t>
      </w:r>
      <w:r>
        <w:t>Decreto</w:t>
      </w:r>
      <w:r>
        <w:rPr>
          <w:spacing w:val="-9"/>
        </w:rPr>
        <w:t xml:space="preserve"> </w:t>
      </w:r>
      <w:r>
        <w:t>No.</w:t>
      </w:r>
      <w:r>
        <w:rPr>
          <w:spacing w:val="-8"/>
        </w:rPr>
        <w:t xml:space="preserve"> </w:t>
      </w:r>
      <w:r>
        <w:t>9.571</w:t>
      </w:r>
      <w:r>
        <w:rPr>
          <w:spacing w:val="-8"/>
        </w:rPr>
        <w:t xml:space="preserve"> </w:t>
      </w:r>
      <w:r>
        <w:t>de</w:t>
      </w:r>
      <w:r>
        <w:rPr>
          <w:spacing w:val="-7"/>
        </w:rPr>
        <w:t xml:space="preserve"> </w:t>
      </w:r>
      <w:r>
        <w:t>22</w:t>
      </w:r>
      <w:r>
        <w:rPr>
          <w:spacing w:val="-11"/>
        </w:rPr>
        <w:t xml:space="preserve"> </w:t>
      </w:r>
      <w:r>
        <w:t>de</w:t>
      </w:r>
      <w:r>
        <w:rPr>
          <w:spacing w:val="-9"/>
        </w:rPr>
        <w:t xml:space="preserve"> </w:t>
      </w:r>
      <w:r>
        <w:t>noviembre</w:t>
      </w:r>
      <w:r>
        <w:rPr>
          <w:spacing w:val="-9"/>
        </w:rPr>
        <w:t xml:space="preserve"> </w:t>
      </w:r>
      <w:r>
        <w:t>de</w:t>
      </w:r>
      <w:r>
        <w:rPr>
          <w:spacing w:val="-10"/>
        </w:rPr>
        <w:t xml:space="preserve"> </w:t>
      </w:r>
      <w:r>
        <w:t>2018,</w:t>
      </w:r>
      <w:r>
        <w:rPr>
          <w:spacing w:val="-8"/>
        </w:rPr>
        <w:t xml:space="preserve"> </w:t>
      </w:r>
      <w:r>
        <w:t>el</w:t>
      </w:r>
      <w:r>
        <w:rPr>
          <w:spacing w:val="-10"/>
        </w:rPr>
        <w:t xml:space="preserve"> </w:t>
      </w:r>
      <w:r>
        <w:t>cual</w:t>
      </w:r>
      <w:r>
        <w:rPr>
          <w:spacing w:val="-8"/>
        </w:rPr>
        <w:t xml:space="preserve"> </w:t>
      </w:r>
      <w:r>
        <w:t>e</w:t>
      </w:r>
      <w:r>
        <w:t>stablece</w:t>
      </w:r>
      <w:r>
        <w:rPr>
          <w:spacing w:val="-9"/>
        </w:rPr>
        <w:t xml:space="preserve"> </w:t>
      </w:r>
      <w:r>
        <w:t>las</w:t>
      </w:r>
      <w:r>
        <w:rPr>
          <w:spacing w:val="-9"/>
        </w:rPr>
        <w:t xml:space="preserve"> </w:t>
      </w:r>
      <w:r>
        <w:t>directrices</w:t>
      </w:r>
      <w:r>
        <w:rPr>
          <w:spacing w:val="-10"/>
        </w:rPr>
        <w:t xml:space="preserve"> </w:t>
      </w:r>
      <w:r>
        <w:t>nacionales sobre empresas y derechos humanos para medianas y grandes empresas, incluidas transnacionales con actividad en el</w:t>
      </w:r>
      <w:r>
        <w:rPr>
          <w:spacing w:val="-1"/>
        </w:rPr>
        <w:t xml:space="preserve"> </w:t>
      </w:r>
      <w:r>
        <w:t>país.</w:t>
      </w:r>
    </w:p>
    <w:p w14:paraId="3A17783E" w14:textId="77777777" w:rsidR="00467FCA" w:rsidRDefault="00467FCA">
      <w:pPr>
        <w:pStyle w:val="Textoindependiente"/>
        <w:spacing w:before="11"/>
        <w:rPr>
          <w:sz w:val="19"/>
        </w:rPr>
      </w:pPr>
    </w:p>
    <w:p w14:paraId="316CC61B" w14:textId="77777777" w:rsidR="00467FCA" w:rsidRDefault="001B68EB">
      <w:pPr>
        <w:pStyle w:val="Prrafodelista"/>
        <w:numPr>
          <w:ilvl w:val="0"/>
          <w:numId w:val="50"/>
        </w:numPr>
        <w:tabs>
          <w:tab w:val="left" w:pos="687"/>
        </w:tabs>
        <w:ind w:right="118" w:firstLine="0"/>
        <w:jc w:val="both"/>
        <w:rPr>
          <w:sz w:val="20"/>
        </w:rPr>
      </w:pPr>
      <w:r>
        <w:rPr>
          <w:sz w:val="20"/>
        </w:rPr>
        <w:t>Sobre la vulneración del derecho al trabajo, argumentó, en primer lugar, que este no es</w:t>
      </w:r>
      <w:r>
        <w:rPr>
          <w:spacing w:val="-11"/>
          <w:sz w:val="20"/>
        </w:rPr>
        <w:t xml:space="preserve"> </w:t>
      </w:r>
      <w:r>
        <w:rPr>
          <w:sz w:val="20"/>
        </w:rPr>
        <w:t>directamente</w:t>
      </w:r>
      <w:r>
        <w:rPr>
          <w:spacing w:val="-10"/>
          <w:sz w:val="20"/>
        </w:rPr>
        <w:t xml:space="preserve"> </w:t>
      </w:r>
      <w:r>
        <w:rPr>
          <w:sz w:val="20"/>
        </w:rPr>
        <w:t>justiciable</w:t>
      </w:r>
      <w:r>
        <w:rPr>
          <w:spacing w:val="-10"/>
          <w:sz w:val="20"/>
        </w:rPr>
        <w:t xml:space="preserve"> </w:t>
      </w:r>
      <w:r>
        <w:rPr>
          <w:sz w:val="20"/>
        </w:rPr>
        <w:t>en</w:t>
      </w:r>
      <w:r>
        <w:rPr>
          <w:spacing w:val="-8"/>
          <w:sz w:val="20"/>
        </w:rPr>
        <w:t xml:space="preserve"> </w:t>
      </w:r>
      <w:r>
        <w:rPr>
          <w:sz w:val="20"/>
        </w:rPr>
        <w:t>el</w:t>
      </w:r>
      <w:r>
        <w:rPr>
          <w:spacing w:val="-8"/>
          <w:sz w:val="20"/>
        </w:rPr>
        <w:t xml:space="preserve"> </w:t>
      </w:r>
      <w:r>
        <w:rPr>
          <w:sz w:val="20"/>
        </w:rPr>
        <w:t>sistema</w:t>
      </w:r>
      <w:r>
        <w:rPr>
          <w:spacing w:val="-9"/>
          <w:sz w:val="20"/>
        </w:rPr>
        <w:t xml:space="preserve"> </w:t>
      </w:r>
      <w:r>
        <w:rPr>
          <w:sz w:val="20"/>
        </w:rPr>
        <w:t>interamericano.</w:t>
      </w:r>
      <w:r>
        <w:rPr>
          <w:spacing w:val="-9"/>
          <w:sz w:val="20"/>
        </w:rPr>
        <w:t xml:space="preserve"> </w:t>
      </w:r>
      <w:r>
        <w:rPr>
          <w:sz w:val="20"/>
        </w:rPr>
        <w:t>Sin</w:t>
      </w:r>
      <w:r>
        <w:rPr>
          <w:spacing w:val="-10"/>
          <w:sz w:val="20"/>
        </w:rPr>
        <w:t xml:space="preserve"> </w:t>
      </w:r>
      <w:r>
        <w:rPr>
          <w:sz w:val="20"/>
        </w:rPr>
        <w:t>perjuicio</w:t>
      </w:r>
      <w:r>
        <w:rPr>
          <w:spacing w:val="-8"/>
          <w:sz w:val="20"/>
        </w:rPr>
        <w:t xml:space="preserve"> </w:t>
      </w:r>
      <w:r>
        <w:rPr>
          <w:sz w:val="20"/>
        </w:rPr>
        <w:t>de</w:t>
      </w:r>
      <w:r>
        <w:rPr>
          <w:spacing w:val="-12"/>
          <w:sz w:val="20"/>
        </w:rPr>
        <w:t xml:space="preserve"> </w:t>
      </w:r>
      <w:r>
        <w:rPr>
          <w:sz w:val="20"/>
        </w:rPr>
        <w:t>lo</w:t>
      </w:r>
      <w:r>
        <w:rPr>
          <w:spacing w:val="-12"/>
          <w:sz w:val="20"/>
        </w:rPr>
        <w:t xml:space="preserve"> </w:t>
      </w:r>
      <w:r>
        <w:rPr>
          <w:sz w:val="20"/>
        </w:rPr>
        <w:t>anterior,</w:t>
      </w:r>
      <w:r>
        <w:rPr>
          <w:spacing w:val="-7"/>
          <w:sz w:val="20"/>
        </w:rPr>
        <w:t xml:space="preserve"> </w:t>
      </w:r>
      <w:r>
        <w:rPr>
          <w:sz w:val="20"/>
        </w:rPr>
        <w:t>expresó que Brasil contaba y cuenta con un amplio marco legal que protege los derechos de los trabajadores,</w:t>
      </w:r>
      <w:r>
        <w:rPr>
          <w:spacing w:val="-13"/>
          <w:sz w:val="20"/>
        </w:rPr>
        <w:t xml:space="preserve"> </w:t>
      </w:r>
      <w:r>
        <w:rPr>
          <w:sz w:val="20"/>
        </w:rPr>
        <w:t>incluyendo</w:t>
      </w:r>
      <w:r>
        <w:rPr>
          <w:spacing w:val="-13"/>
          <w:sz w:val="20"/>
        </w:rPr>
        <w:t xml:space="preserve"> </w:t>
      </w:r>
      <w:r>
        <w:rPr>
          <w:sz w:val="20"/>
        </w:rPr>
        <w:t>aquellos</w:t>
      </w:r>
      <w:r>
        <w:rPr>
          <w:spacing w:val="-13"/>
          <w:sz w:val="20"/>
        </w:rPr>
        <w:t xml:space="preserve"> </w:t>
      </w:r>
      <w:r>
        <w:rPr>
          <w:sz w:val="20"/>
        </w:rPr>
        <w:t>que</w:t>
      </w:r>
      <w:r>
        <w:rPr>
          <w:spacing w:val="-12"/>
          <w:sz w:val="20"/>
        </w:rPr>
        <w:t xml:space="preserve"> </w:t>
      </w:r>
      <w:r>
        <w:rPr>
          <w:sz w:val="20"/>
        </w:rPr>
        <w:t>desempeñen</w:t>
      </w:r>
      <w:r>
        <w:rPr>
          <w:spacing w:val="-11"/>
          <w:sz w:val="20"/>
        </w:rPr>
        <w:t xml:space="preserve"> </w:t>
      </w:r>
      <w:r>
        <w:rPr>
          <w:sz w:val="20"/>
        </w:rPr>
        <w:t>actividades</w:t>
      </w:r>
      <w:r>
        <w:rPr>
          <w:spacing w:val="-13"/>
          <w:sz w:val="20"/>
        </w:rPr>
        <w:t xml:space="preserve"> </w:t>
      </w:r>
      <w:r>
        <w:rPr>
          <w:sz w:val="20"/>
        </w:rPr>
        <w:t>peligrosas.</w:t>
      </w:r>
      <w:r>
        <w:rPr>
          <w:spacing w:val="-13"/>
          <w:sz w:val="20"/>
        </w:rPr>
        <w:t xml:space="preserve"> </w:t>
      </w:r>
      <w:r>
        <w:rPr>
          <w:sz w:val="20"/>
        </w:rPr>
        <w:t>Asimismo,</w:t>
      </w:r>
      <w:r>
        <w:rPr>
          <w:spacing w:val="-9"/>
          <w:sz w:val="20"/>
        </w:rPr>
        <w:t xml:space="preserve"> </w:t>
      </w:r>
      <w:r>
        <w:rPr>
          <w:sz w:val="20"/>
        </w:rPr>
        <w:t>precisó que ha cumplido con el deber de desarrollo progresivo del derecho al tr</w:t>
      </w:r>
      <w:r>
        <w:rPr>
          <w:sz w:val="20"/>
        </w:rPr>
        <w:t xml:space="preserve">abajo sin que se vislumbren retrocesos. Finalmente, señaló que no se ha demostrado de forma específica, el nexo causal o la previsibilidad del riesgo real e inmediato que supuestamente representaba la fábrica para, en aplicación de la jurisprudencia de la </w:t>
      </w:r>
      <w:r>
        <w:rPr>
          <w:sz w:val="20"/>
        </w:rPr>
        <w:t>Corte, asignar responsabilidad al Estado por actos de</w:t>
      </w:r>
      <w:r>
        <w:rPr>
          <w:spacing w:val="-7"/>
          <w:sz w:val="20"/>
        </w:rPr>
        <w:t xml:space="preserve"> </w:t>
      </w:r>
      <w:r>
        <w:rPr>
          <w:sz w:val="20"/>
        </w:rPr>
        <w:t>particulares.</w:t>
      </w:r>
    </w:p>
    <w:p w14:paraId="34F8BCA5" w14:textId="77777777" w:rsidR="00467FCA" w:rsidRDefault="00467FCA">
      <w:pPr>
        <w:pStyle w:val="Textoindependiente"/>
        <w:spacing w:before="1"/>
      </w:pPr>
    </w:p>
    <w:p w14:paraId="4569E0AE" w14:textId="77777777" w:rsidR="00467FCA" w:rsidRDefault="001B68EB">
      <w:pPr>
        <w:pStyle w:val="Ttulo1"/>
        <w:numPr>
          <w:ilvl w:val="2"/>
          <w:numId w:val="41"/>
        </w:numPr>
        <w:tabs>
          <w:tab w:val="left" w:pos="841"/>
        </w:tabs>
        <w:ind w:left="840" w:hanging="362"/>
      </w:pPr>
      <w:bookmarkStart w:id="303" w:name="_bookmark260"/>
      <w:bookmarkEnd w:id="303"/>
      <w:r>
        <w:t>Consideraciones de la</w:t>
      </w:r>
      <w:r>
        <w:rPr>
          <w:spacing w:val="-3"/>
        </w:rPr>
        <w:t xml:space="preserve"> </w:t>
      </w:r>
      <w:r>
        <w:t>Corte</w:t>
      </w:r>
    </w:p>
    <w:p w14:paraId="09DD4BC8" w14:textId="77777777" w:rsidR="00467FCA" w:rsidRDefault="00467FCA">
      <w:pPr>
        <w:pStyle w:val="Textoindependiente"/>
        <w:spacing w:before="1"/>
        <w:rPr>
          <w:b/>
        </w:rPr>
      </w:pPr>
    </w:p>
    <w:p w14:paraId="09B0DF99" w14:textId="77777777" w:rsidR="00467FCA" w:rsidRDefault="001B68EB">
      <w:pPr>
        <w:pStyle w:val="Prrafodelista"/>
        <w:numPr>
          <w:ilvl w:val="0"/>
          <w:numId w:val="50"/>
        </w:numPr>
        <w:tabs>
          <w:tab w:val="left" w:pos="687"/>
        </w:tabs>
        <w:ind w:right="116" w:firstLine="0"/>
        <w:jc w:val="both"/>
        <w:rPr>
          <w:sz w:val="20"/>
        </w:rPr>
      </w:pPr>
      <w:r>
        <w:rPr>
          <w:sz w:val="20"/>
        </w:rPr>
        <w:t>En primer lugar, la Corte recuerda que la explosión objeto del presente caso ocurrió en una fábrica de fuegos de propiedad privada y que, tal como se establec</w:t>
      </w:r>
      <w:r>
        <w:rPr>
          <w:sz w:val="20"/>
        </w:rPr>
        <w:t>ió en el capítulo VIII- 1, el Estado no puede ser considerado responsable por cualquier violación a los derechos humanos cometida por particulares dentro de su jurisdicción, de modo que, corresponde analizar</w:t>
      </w:r>
      <w:r>
        <w:rPr>
          <w:spacing w:val="-21"/>
          <w:sz w:val="20"/>
        </w:rPr>
        <w:t xml:space="preserve"> </w:t>
      </w:r>
      <w:r>
        <w:rPr>
          <w:sz w:val="20"/>
        </w:rPr>
        <w:t>las</w:t>
      </w:r>
      <w:r>
        <w:rPr>
          <w:spacing w:val="-21"/>
          <w:sz w:val="20"/>
        </w:rPr>
        <w:t xml:space="preserve"> </w:t>
      </w:r>
      <w:r>
        <w:rPr>
          <w:sz w:val="20"/>
        </w:rPr>
        <w:t>circunstancias</w:t>
      </w:r>
      <w:r>
        <w:rPr>
          <w:spacing w:val="-21"/>
          <w:sz w:val="20"/>
        </w:rPr>
        <w:t xml:space="preserve"> </w:t>
      </w:r>
      <w:r>
        <w:rPr>
          <w:sz w:val="20"/>
        </w:rPr>
        <w:t>particulares</w:t>
      </w:r>
      <w:r>
        <w:rPr>
          <w:spacing w:val="-21"/>
          <w:sz w:val="20"/>
        </w:rPr>
        <w:t xml:space="preserve"> </w:t>
      </w:r>
      <w:r>
        <w:rPr>
          <w:sz w:val="20"/>
        </w:rPr>
        <w:t>del</w:t>
      </w:r>
      <w:r>
        <w:rPr>
          <w:spacing w:val="-17"/>
          <w:sz w:val="20"/>
        </w:rPr>
        <w:t xml:space="preserve"> </w:t>
      </w:r>
      <w:r>
        <w:rPr>
          <w:sz w:val="20"/>
        </w:rPr>
        <w:t>caso</w:t>
      </w:r>
      <w:r>
        <w:rPr>
          <w:spacing w:val="-20"/>
          <w:sz w:val="20"/>
        </w:rPr>
        <w:t xml:space="preserve"> </w:t>
      </w:r>
      <w:r>
        <w:rPr>
          <w:sz w:val="20"/>
        </w:rPr>
        <w:t>y</w:t>
      </w:r>
      <w:r>
        <w:rPr>
          <w:spacing w:val="-20"/>
          <w:sz w:val="20"/>
        </w:rPr>
        <w:t xml:space="preserve"> </w:t>
      </w:r>
      <w:r>
        <w:rPr>
          <w:sz w:val="20"/>
        </w:rPr>
        <w:t>la</w:t>
      </w:r>
      <w:r>
        <w:rPr>
          <w:spacing w:val="-20"/>
          <w:sz w:val="20"/>
        </w:rPr>
        <w:t xml:space="preserve"> </w:t>
      </w:r>
      <w:r>
        <w:rPr>
          <w:sz w:val="20"/>
        </w:rPr>
        <w:t>co</w:t>
      </w:r>
      <w:r>
        <w:rPr>
          <w:sz w:val="20"/>
        </w:rPr>
        <w:t>ncreción</w:t>
      </w:r>
      <w:r>
        <w:rPr>
          <w:spacing w:val="-19"/>
          <w:sz w:val="20"/>
        </w:rPr>
        <w:t xml:space="preserve"> </w:t>
      </w:r>
      <w:r>
        <w:rPr>
          <w:sz w:val="20"/>
        </w:rPr>
        <w:t>de</w:t>
      </w:r>
      <w:r>
        <w:rPr>
          <w:spacing w:val="-21"/>
          <w:sz w:val="20"/>
        </w:rPr>
        <w:t xml:space="preserve"> </w:t>
      </w:r>
      <w:r>
        <w:rPr>
          <w:sz w:val="20"/>
        </w:rPr>
        <w:t>las</w:t>
      </w:r>
      <w:r>
        <w:rPr>
          <w:spacing w:val="-21"/>
          <w:sz w:val="20"/>
        </w:rPr>
        <w:t xml:space="preserve"> </w:t>
      </w:r>
      <w:r>
        <w:rPr>
          <w:sz w:val="20"/>
        </w:rPr>
        <w:t>obligaciones</w:t>
      </w:r>
      <w:r>
        <w:rPr>
          <w:spacing w:val="-20"/>
          <w:sz w:val="20"/>
        </w:rPr>
        <w:t xml:space="preserve"> </w:t>
      </w:r>
      <w:r>
        <w:rPr>
          <w:sz w:val="20"/>
        </w:rPr>
        <w:t>de</w:t>
      </w:r>
      <w:r>
        <w:rPr>
          <w:spacing w:val="-21"/>
          <w:sz w:val="20"/>
        </w:rPr>
        <w:t xml:space="preserve"> </w:t>
      </w:r>
      <w:r>
        <w:rPr>
          <w:sz w:val="20"/>
        </w:rPr>
        <w:t>garantía, para establecer si es atribuible responsabilidad internacional al Estado en el caso concreto (</w:t>
      </w:r>
      <w:r>
        <w:rPr>
          <w:i/>
          <w:sz w:val="20"/>
        </w:rPr>
        <w:t xml:space="preserve">supra </w:t>
      </w:r>
      <w:r>
        <w:rPr>
          <w:sz w:val="20"/>
        </w:rPr>
        <w:t>párr.</w:t>
      </w:r>
      <w:r>
        <w:rPr>
          <w:spacing w:val="-1"/>
          <w:sz w:val="20"/>
        </w:rPr>
        <w:t xml:space="preserve"> </w:t>
      </w:r>
      <w:r>
        <w:rPr>
          <w:sz w:val="20"/>
        </w:rPr>
        <w:t>117).</w:t>
      </w:r>
    </w:p>
    <w:p w14:paraId="617E9CF0" w14:textId="77777777" w:rsidR="00467FCA" w:rsidRDefault="00467FCA">
      <w:pPr>
        <w:pStyle w:val="Textoindependiente"/>
      </w:pPr>
    </w:p>
    <w:p w14:paraId="51579168" w14:textId="77777777" w:rsidR="00467FCA" w:rsidRDefault="001B68EB">
      <w:pPr>
        <w:pStyle w:val="Prrafodelista"/>
        <w:numPr>
          <w:ilvl w:val="0"/>
          <w:numId w:val="50"/>
        </w:numPr>
        <w:tabs>
          <w:tab w:val="left" w:pos="687"/>
        </w:tabs>
        <w:ind w:left="119" w:right="117" w:firstLine="0"/>
        <w:jc w:val="both"/>
        <w:rPr>
          <w:sz w:val="20"/>
        </w:rPr>
      </w:pPr>
      <w:r>
        <w:rPr>
          <w:sz w:val="20"/>
        </w:rPr>
        <w:t>Sobre este asunto, la Corte recuerda que el Estado tenía la obligación de garantizar los derechos reconocidos en la Convención Americana y que ello implicaba la adopción de las medidas necesarias para prevenir eventuales violaciones. Previamente, se determ</w:t>
      </w:r>
      <w:r>
        <w:rPr>
          <w:sz w:val="20"/>
        </w:rPr>
        <w:t>inó que la fabricación</w:t>
      </w:r>
      <w:r>
        <w:rPr>
          <w:spacing w:val="-9"/>
          <w:sz w:val="20"/>
        </w:rPr>
        <w:t xml:space="preserve"> </w:t>
      </w:r>
      <w:r>
        <w:rPr>
          <w:sz w:val="20"/>
        </w:rPr>
        <w:t>de</w:t>
      </w:r>
      <w:r>
        <w:rPr>
          <w:spacing w:val="-8"/>
          <w:sz w:val="20"/>
        </w:rPr>
        <w:t xml:space="preserve"> </w:t>
      </w:r>
      <w:r>
        <w:rPr>
          <w:sz w:val="20"/>
        </w:rPr>
        <w:t>fuegos</w:t>
      </w:r>
      <w:r>
        <w:rPr>
          <w:spacing w:val="-10"/>
          <w:sz w:val="20"/>
        </w:rPr>
        <w:t xml:space="preserve"> </w:t>
      </w:r>
      <w:r>
        <w:rPr>
          <w:sz w:val="20"/>
        </w:rPr>
        <w:t>artificiales</w:t>
      </w:r>
      <w:r>
        <w:rPr>
          <w:spacing w:val="-7"/>
          <w:sz w:val="20"/>
        </w:rPr>
        <w:t xml:space="preserve"> </w:t>
      </w:r>
      <w:r>
        <w:rPr>
          <w:sz w:val="20"/>
        </w:rPr>
        <w:t>es</w:t>
      </w:r>
      <w:r>
        <w:rPr>
          <w:spacing w:val="-10"/>
          <w:sz w:val="20"/>
        </w:rPr>
        <w:t xml:space="preserve"> </w:t>
      </w:r>
      <w:r>
        <w:rPr>
          <w:sz w:val="20"/>
        </w:rPr>
        <w:t>una</w:t>
      </w:r>
      <w:r>
        <w:rPr>
          <w:spacing w:val="-10"/>
          <w:sz w:val="20"/>
        </w:rPr>
        <w:t xml:space="preserve"> </w:t>
      </w:r>
      <w:r>
        <w:rPr>
          <w:sz w:val="20"/>
        </w:rPr>
        <w:t>actividad</w:t>
      </w:r>
      <w:r>
        <w:rPr>
          <w:spacing w:val="-8"/>
          <w:sz w:val="20"/>
        </w:rPr>
        <w:t xml:space="preserve"> </w:t>
      </w:r>
      <w:r>
        <w:rPr>
          <w:sz w:val="20"/>
        </w:rPr>
        <w:t>peligrosa</w:t>
      </w:r>
      <w:r>
        <w:rPr>
          <w:spacing w:val="-6"/>
          <w:sz w:val="20"/>
        </w:rPr>
        <w:t xml:space="preserve"> </w:t>
      </w:r>
      <w:r>
        <w:rPr>
          <w:sz w:val="20"/>
        </w:rPr>
        <w:t>(</w:t>
      </w:r>
      <w:r>
        <w:rPr>
          <w:i/>
          <w:sz w:val="20"/>
        </w:rPr>
        <w:t>supra</w:t>
      </w:r>
      <w:r>
        <w:rPr>
          <w:i/>
          <w:spacing w:val="-9"/>
          <w:sz w:val="20"/>
        </w:rPr>
        <w:t xml:space="preserve"> </w:t>
      </w:r>
      <w:r>
        <w:rPr>
          <w:sz w:val="20"/>
        </w:rPr>
        <w:t>párr.</w:t>
      </w:r>
      <w:r>
        <w:rPr>
          <w:spacing w:val="-8"/>
          <w:sz w:val="20"/>
        </w:rPr>
        <w:t xml:space="preserve"> </w:t>
      </w:r>
      <w:r>
        <w:rPr>
          <w:sz w:val="20"/>
        </w:rPr>
        <w:t>121).</w:t>
      </w:r>
      <w:r>
        <w:rPr>
          <w:spacing w:val="-9"/>
          <w:sz w:val="20"/>
        </w:rPr>
        <w:t xml:space="preserve"> </w:t>
      </w:r>
      <w:r>
        <w:rPr>
          <w:sz w:val="20"/>
        </w:rPr>
        <w:t>En</w:t>
      </w:r>
      <w:r>
        <w:rPr>
          <w:spacing w:val="-8"/>
          <w:sz w:val="20"/>
        </w:rPr>
        <w:t xml:space="preserve"> </w:t>
      </w:r>
      <w:r>
        <w:rPr>
          <w:sz w:val="20"/>
        </w:rPr>
        <w:t>esa</w:t>
      </w:r>
      <w:r>
        <w:rPr>
          <w:spacing w:val="-9"/>
          <w:sz w:val="20"/>
        </w:rPr>
        <w:t xml:space="preserve"> </w:t>
      </w:r>
      <w:r>
        <w:rPr>
          <w:sz w:val="20"/>
        </w:rPr>
        <w:t>medida, en</w:t>
      </w:r>
      <w:r>
        <w:rPr>
          <w:spacing w:val="-15"/>
          <w:sz w:val="20"/>
        </w:rPr>
        <w:t xml:space="preserve"> </w:t>
      </w:r>
      <w:r>
        <w:rPr>
          <w:sz w:val="20"/>
        </w:rPr>
        <w:t>el</w:t>
      </w:r>
      <w:r>
        <w:rPr>
          <w:spacing w:val="-16"/>
          <w:sz w:val="20"/>
        </w:rPr>
        <w:t xml:space="preserve"> </w:t>
      </w:r>
      <w:r>
        <w:rPr>
          <w:sz w:val="20"/>
        </w:rPr>
        <w:t>caso</w:t>
      </w:r>
      <w:r>
        <w:rPr>
          <w:spacing w:val="-15"/>
          <w:sz w:val="20"/>
        </w:rPr>
        <w:t xml:space="preserve"> </w:t>
      </w:r>
      <w:r>
        <w:rPr>
          <w:sz w:val="20"/>
        </w:rPr>
        <w:t>concreto,</w:t>
      </w:r>
      <w:r>
        <w:rPr>
          <w:spacing w:val="-17"/>
          <w:sz w:val="20"/>
        </w:rPr>
        <w:t xml:space="preserve"> </w:t>
      </w:r>
      <w:r>
        <w:rPr>
          <w:sz w:val="20"/>
        </w:rPr>
        <w:t>el</w:t>
      </w:r>
      <w:r>
        <w:rPr>
          <w:spacing w:val="-15"/>
          <w:sz w:val="20"/>
        </w:rPr>
        <w:t xml:space="preserve"> </w:t>
      </w:r>
      <w:r>
        <w:rPr>
          <w:sz w:val="20"/>
        </w:rPr>
        <w:t>Estado</w:t>
      </w:r>
      <w:r>
        <w:rPr>
          <w:spacing w:val="-15"/>
          <w:sz w:val="20"/>
        </w:rPr>
        <w:t xml:space="preserve"> </w:t>
      </w:r>
      <w:r>
        <w:rPr>
          <w:sz w:val="20"/>
        </w:rPr>
        <w:t>estaba</w:t>
      </w:r>
      <w:r>
        <w:rPr>
          <w:spacing w:val="-16"/>
          <w:sz w:val="20"/>
        </w:rPr>
        <w:t xml:space="preserve"> </w:t>
      </w:r>
      <w:r>
        <w:rPr>
          <w:sz w:val="20"/>
        </w:rPr>
        <w:t>obligado</w:t>
      </w:r>
      <w:r>
        <w:rPr>
          <w:spacing w:val="-17"/>
          <w:sz w:val="20"/>
        </w:rPr>
        <w:t xml:space="preserve"> </w:t>
      </w:r>
      <w:r>
        <w:rPr>
          <w:sz w:val="20"/>
        </w:rPr>
        <w:t>a</w:t>
      </w:r>
      <w:r>
        <w:rPr>
          <w:spacing w:val="-13"/>
          <w:sz w:val="20"/>
        </w:rPr>
        <w:t xml:space="preserve"> </w:t>
      </w:r>
      <w:r>
        <w:rPr>
          <w:sz w:val="20"/>
        </w:rPr>
        <w:t>regular,</w:t>
      </w:r>
      <w:r>
        <w:rPr>
          <w:spacing w:val="-16"/>
          <w:sz w:val="20"/>
        </w:rPr>
        <w:t xml:space="preserve"> </w:t>
      </w:r>
      <w:r>
        <w:rPr>
          <w:sz w:val="20"/>
        </w:rPr>
        <w:t>supervisar</w:t>
      </w:r>
      <w:r>
        <w:rPr>
          <w:spacing w:val="-15"/>
          <w:sz w:val="20"/>
        </w:rPr>
        <w:t xml:space="preserve"> </w:t>
      </w:r>
      <w:r>
        <w:rPr>
          <w:sz w:val="20"/>
        </w:rPr>
        <w:t>y</w:t>
      </w:r>
      <w:r>
        <w:rPr>
          <w:spacing w:val="-16"/>
          <w:sz w:val="20"/>
        </w:rPr>
        <w:t xml:space="preserve"> </w:t>
      </w:r>
      <w:r>
        <w:rPr>
          <w:sz w:val="20"/>
        </w:rPr>
        <w:t>fiscalizar</w:t>
      </w:r>
      <w:r>
        <w:rPr>
          <w:spacing w:val="-17"/>
          <w:sz w:val="20"/>
        </w:rPr>
        <w:t xml:space="preserve"> </w:t>
      </w:r>
      <w:r>
        <w:rPr>
          <w:sz w:val="20"/>
        </w:rPr>
        <w:t>las</w:t>
      </w:r>
      <w:r>
        <w:rPr>
          <w:spacing w:val="-16"/>
          <w:sz w:val="20"/>
        </w:rPr>
        <w:t xml:space="preserve"> </w:t>
      </w:r>
      <w:r>
        <w:rPr>
          <w:sz w:val="20"/>
        </w:rPr>
        <w:t>condiciones de seguridad en el trabajo, con el objeto de preven</w:t>
      </w:r>
      <w:r>
        <w:rPr>
          <w:sz w:val="20"/>
        </w:rPr>
        <w:t>ir accidentes laborales ocasionados por la manipulación de sustancias</w:t>
      </w:r>
      <w:r>
        <w:rPr>
          <w:spacing w:val="-3"/>
          <w:sz w:val="20"/>
        </w:rPr>
        <w:t xml:space="preserve"> </w:t>
      </w:r>
      <w:r>
        <w:rPr>
          <w:sz w:val="20"/>
        </w:rPr>
        <w:t>peligrosas.</w:t>
      </w:r>
    </w:p>
    <w:p w14:paraId="2772240A" w14:textId="77777777" w:rsidR="00467FCA" w:rsidRDefault="00467FCA">
      <w:pPr>
        <w:pStyle w:val="Textoindependiente"/>
        <w:spacing w:before="12"/>
        <w:rPr>
          <w:sz w:val="19"/>
        </w:rPr>
      </w:pPr>
    </w:p>
    <w:p w14:paraId="60DD64A1" w14:textId="77777777" w:rsidR="00467FCA" w:rsidRDefault="001B68EB">
      <w:pPr>
        <w:pStyle w:val="Prrafodelista"/>
        <w:numPr>
          <w:ilvl w:val="0"/>
          <w:numId w:val="50"/>
        </w:numPr>
        <w:tabs>
          <w:tab w:val="left" w:pos="687"/>
        </w:tabs>
        <w:ind w:right="118" w:firstLine="0"/>
        <w:jc w:val="both"/>
        <w:rPr>
          <w:sz w:val="20"/>
        </w:rPr>
      </w:pPr>
      <w:r>
        <w:rPr>
          <w:sz w:val="20"/>
        </w:rPr>
        <w:t>La</w:t>
      </w:r>
      <w:r>
        <w:rPr>
          <w:spacing w:val="-12"/>
          <w:sz w:val="20"/>
        </w:rPr>
        <w:t xml:space="preserve"> </w:t>
      </w:r>
      <w:r>
        <w:rPr>
          <w:sz w:val="20"/>
        </w:rPr>
        <w:t>anterior</w:t>
      </w:r>
      <w:r>
        <w:rPr>
          <w:spacing w:val="-11"/>
          <w:sz w:val="20"/>
        </w:rPr>
        <w:t xml:space="preserve"> </w:t>
      </w:r>
      <w:r>
        <w:rPr>
          <w:sz w:val="20"/>
        </w:rPr>
        <w:t>conclusión</w:t>
      </w:r>
      <w:r>
        <w:rPr>
          <w:spacing w:val="-9"/>
          <w:sz w:val="20"/>
        </w:rPr>
        <w:t xml:space="preserve"> </w:t>
      </w:r>
      <w:r>
        <w:rPr>
          <w:sz w:val="20"/>
        </w:rPr>
        <w:t>es</w:t>
      </w:r>
      <w:r>
        <w:rPr>
          <w:spacing w:val="-11"/>
          <w:sz w:val="20"/>
        </w:rPr>
        <w:t xml:space="preserve"> </w:t>
      </w:r>
      <w:r>
        <w:rPr>
          <w:sz w:val="20"/>
        </w:rPr>
        <w:t>reforzada</w:t>
      </w:r>
      <w:r>
        <w:rPr>
          <w:spacing w:val="-11"/>
          <w:sz w:val="20"/>
        </w:rPr>
        <w:t xml:space="preserve"> </w:t>
      </w:r>
      <w:r>
        <w:rPr>
          <w:sz w:val="20"/>
        </w:rPr>
        <w:t>por</w:t>
      </w:r>
      <w:r>
        <w:rPr>
          <w:spacing w:val="-11"/>
          <w:sz w:val="20"/>
        </w:rPr>
        <w:t xml:space="preserve"> </w:t>
      </w:r>
      <w:r>
        <w:rPr>
          <w:sz w:val="20"/>
        </w:rPr>
        <w:t>los</w:t>
      </w:r>
      <w:r>
        <w:rPr>
          <w:spacing w:val="-11"/>
          <w:sz w:val="20"/>
        </w:rPr>
        <w:t xml:space="preserve"> </w:t>
      </w:r>
      <w:r>
        <w:rPr>
          <w:sz w:val="20"/>
        </w:rPr>
        <w:t>Principios</w:t>
      </w:r>
      <w:r>
        <w:rPr>
          <w:spacing w:val="-13"/>
          <w:sz w:val="20"/>
        </w:rPr>
        <w:t xml:space="preserve"> </w:t>
      </w:r>
      <w:r>
        <w:rPr>
          <w:sz w:val="20"/>
        </w:rPr>
        <w:t>Rectores</w:t>
      </w:r>
      <w:r>
        <w:rPr>
          <w:spacing w:val="-10"/>
          <w:sz w:val="20"/>
        </w:rPr>
        <w:t xml:space="preserve"> </w:t>
      </w:r>
      <w:r>
        <w:rPr>
          <w:sz w:val="20"/>
        </w:rPr>
        <w:t>de</w:t>
      </w:r>
      <w:r>
        <w:rPr>
          <w:spacing w:val="-11"/>
          <w:sz w:val="20"/>
        </w:rPr>
        <w:t xml:space="preserve"> </w:t>
      </w:r>
      <w:r>
        <w:rPr>
          <w:sz w:val="20"/>
        </w:rPr>
        <w:t>Naciones</w:t>
      </w:r>
      <w:r>
        <w:rPr>
          <w:spacing w:val="-11"/>
          <w:sz w:val="20"/>
        </w:rPr>
        <w:t xml:space="preserve"> </w:t>
      </w:r>
      <w:r>
        <w:rPr>
          <w:sz w:val="20"/>
        </w:rPr>
        <w:t>Unidas</w:t>
      </w:r>
      <w:r>
        <w:rPr>
          <w:spacing w:val="-11"/>
          <w:sz w:val="20"/>
        </w:rPr>
        <w:t xml:space="preserve"> </w:t>
      </w:r>
      <w:r>
        <w:rPr>
          <w:sz w:val="20"/>
        </w:rPr>
        <w:t>sobre las empresas y los derechos humanos, que señalan que “[e]n cumplimiento de su obligación de protección, los Estados deben: a) Hacer cumplir las leyes que tengan por objeto o por efecto hacer respetar los derechos humanos a las empresas, evaluar perió</w:t>
      </w:r>
      <w:r>
        <w:rPr>
          <w:sz w:val="20"/>
        </w:rPr>
        <w:t>dicamente si tales leyes resultan adecuadas y remediar eventuales carencias</w:t>
      </w:r>
      <w:r>
        <w:rPr>
          <w:spacing w:val="-2"/>
          <w:sz w:val="20"/>
        </w:rPr>
        <w:t xml:space="preserve"> </w:t>
      </w:r>
      <w:r>
        <w:rPr>
          <w:sz w:val="20"/>
        </w:rPr>
        <w:t>[…]”</w:t>
      </w:r>
      <w:hyperlink w:anchor="_bookmark261" w:history="1">
        <w:r>
          <w:rPr>
            <w:position w:val="7"/>
            <w:sz w:val="13"/>
          </w:rPr>
          <w:t>217</w:t>
        </w:r>
      </w:hyperlink>
      <w:r>
        <w:rPr>
          <w:sz w:val="20"/>
        </w:rPr>
        <w:t>.</w:t>
      </w:r>
    </w:p>
    <w:p w14:paraId="286A5BE4" w14:textId="77777777" w:rsidR="00467FCA" w:rsidRDefault="001B68EB">
      <w:pPr>
        <w:pStyle w:val="Textoindependiente"/>
        <w:spacing w:before="8"/>
        <w:rPr>
          <w:sz w:val="21"/>
        </w:rPr>
      </w:pPr>
      <w:r>
        <w:pict w14:anchorId="5A01343B">
          <v:shape id="_x0000_s1157" style="position:absolute;margin-left:1in;margin-top:15.45pt;width:2in;height:.1pt;z-index:-251618304;mso-wrap-distance-left:0;mso-wrap-distance-right:0;mso-position-horizontal-relative:page" coordorigin="1440,309" coordsize="2880,0" path="m1440,309r2880,e" filled="f" strokeweight=".6pt">
            <v:path arrowok="t"/>
            <w10:wrap type="topAndBottom" anchorx="page"/>
          </v:shape>
        </w:pict>
      </w:r>
    </w:p>
    <w:p w14:paraId="135406C8" w14:textId="77777777" w:rsidR="00467FCA" w:rsidRDefault="001B68EB">
      <w:pPr>
        <w:tabs>
          <w:tab w:val="left" w:pos="839"/>
        </w:tabs>
        <w:spacing w:before="74"/>
        <w:ind w:left="119" w:right="112"/>
        <w:jc w:val="both"/>
        <w:rPr>
          <w:sz w:val="16"/>
        </w:rPr>
      </w:pPr>
      <w:bookmarkStart w:id="304" w:name="_bookmark261"/>
      <w:bookmarkEnd w:id="304"/>
      <w:r>
        <w:rPr>
          <w:position w:val="6"/>
          <w:sz w:val="10"/>
        </w:rPr>
        <w:t>217</w:t>
      </w:r>
      <w:r>
        <w:rPr>
          <w:position w:val="6"/>
          <w:sz w:val="10"/>
        </w:rPr>
        <w:tab/>
      </w:r>
      <w:r>
        <w:rPr>
          <w:sz w:val="16"/>
        </w:rPr>
        <w:t xml:space="preserve">Consejo de Derechos Humanos. </w:t>
      </w:r>
      <w:r>
        <w:rPr>
          <w:i/>
          <w:sz w:val="16"/>
        </w:rPr>
        <w:t xml:space="preserve">Principios Rectores de Naciones Unidas sobre las empresas y los derechos humanos, </w:t>
      </w:r>
      <w:r>
        <w:rPr>
          <w:sz w:val="16"/>
        </w:rPr>
        <w:t>UN Doc. A/HRC/17/31, 1</w:t>
      </w:r>
      <w:r>
        <w:rPr>
          <w:sz w:val="16"/>
        </w:rPr>
        <w:t xml:space="preserve">6 de junio de 2011, principio No. 3. En relación con la fiscalización de las condiciones laborales, también resulta relevante el contenido de la Guía de Principios sobre Responsabilidad Social de las Empresas en el campo de los Derechos Humanos y el Medio </w:t>
      </w:r>
      <w:r>
        <w:rPr>
          <w:sz w:val="16"/>
        </w:rPr>
        <w:t>Ambiente en las Américas. Al respecto la guía señala:</w:t>
      </w:r>
      <w:r>
        <w:rPr>
          <w:spacing w:val="-2"/>
          <w:sz w:val="16"/>
        </w:rPr>
        <w:t xml:space="preserve"> </w:t>
      </w:r>
      <w:r>
        <w:rPr>
          <w:sz w:val="16"/>
        </w:rPr>
        <w:t>“j.</w:t>
      </w:r>
      <w:r>
        <w:rPr>
          <w:spacing w:val="-3"/>
          <w:sz w:val="16"/>
        </w:rPr>
        <w:t xml:space="preserve"> </w:t>
      </w:r>
      <w:r>
        <w:rPr>
          <w:sz w:val="16"/>
        </w:rPr>
        <w:t>Las</w:t>
      </w:r>
      <w:r>
        <w:rPr>
          <w:spacing w:val="-2"/>
          <w:sz w:val="16"/>
        </w:rPr>
        <w:t xml:space="preserve"> </w:t>
      </w:r>
      <w:r>
        <w:rPr>
          <w:sz w:val="16"/>
        </w:rPr>
        <w:t>empresas</w:t>
      </w:r>
      <w:r>
        <w:rPr>
          <w:spacing w:val="-3"/>
          <w:sz w:val="16"/>
        </w:rPr>
        <w:t xml:space="preserve"> </w:t>
      </w:r>
      <w:r>
        <w:rPr>
          <w:sz w:val="16"/>
        </w:rPr>
        <w:t>y</w:t>
      </w:r>
      <w:r>
        <w:rPr>
          <w:spacing w:val="-2"/>
          <w:sz w:val="16"/>
        </w:rPr>
        <w:t xml:space="preserve"> </w:t>
      </w:r>
      <w:r>
        <w:rPr>
          <w:sz w:val="16"/>
        </w:rPr>
        <w:t>los</w:t>
      </w:r>
      <w:r>
        <w:rPr>
          <w:spacing w:val="-2"/>
          <w:sz w:val="16"/>
        </w:rPr>
        <w:t xml:space="preserve"> </w:t>
      </w:r>
      <w:r>
        <w:rPr>
          <w:sz w:val="16"/>
        </w:rPr>
        <w:t>Estados</w:t>
      </w:r>
      <w:r>
        <w:rPr>
          <w:spacing w:val="-3"/>
          <w:sz w:val="16"/>
        </w:rPr>
        <w:t xml:space="preserve"> </w:t>
      </w:r>
      <w:r>
        <w:rPr>
          <w:sz w:val="16"/>
        </w:rPr>
        <w:t>donde</w:t>
      </w:r>
      <w:r>
        <w:rPr>
          <w:spacing w:val="-2"/>
          <w:sz w:val="16"/>
        </w:rPr>
        <w:t xml:space="preserve"> </w:t>
      </w:r>
      <w:r>
        <w:rPr>
          <w:sz w:val="16"/>
        </w:rPr>
        <w:t>estas</w:t>
      </w:r>
      <w:r>
        <w:rPr>
          <w:spacing w:val="-2"/>
          <w:sz w:val="16"/>
        </w:rPr>
        <w:t xml:space="preserve"> </w:t>
      </w:r>
      <w:r>
        <w:rPr>
          <w:sz w:val="16"/>
        </w:rPr>
        <w:t>operan,</w:t>
      </w:r>
      <w:r>
        <w:rPr>
          <w:spacing w:val="-6"/>
          <w:sz w:val="16"/>
        </w:rPr>
        <w:t xml:space="preserve"> </w:t>
      </w:r>
      <w:r>
        <w:rPr>
          <w:sz w:val="16"/>
        </w:rPr>
        <w:t>deben</w:t>
      </w:r>
      <w:r>
        <w:rPr>
          <w:spacing w:val="-7"/>
          <w:sz w:val="16"/>
        </w:rPr>
        <w:t xml:space="preserve"> </w:t>
      </w:r>
      <w:r>
        <w:rPr>
          <w:sz w:val="16"/>
        </w:rPr>
        <w:t>fortalecer</w:t>
      </w:r>
      <w:r>
        <w:rPr>
          <w:spacing w:val="-2"/>
          <w:sz w:val="16"/>
        </w:rPr>
        <w:t xml:space="preserve"> </w:t>
      </w:r>
      <w:r>
        <w:rPr>
          <w:sz w:val="16"/>
        </w:rPr>
        <w:t>respectivamente,</w:t>
      </w:r>
      <w:r>
        <w:rPr>
          <w:spacing w:val="-1"/>
          <w:sz w:val="16"/>
        </w:rPr>
        <w:t xml:space="preserve"> </w:t>
      </w:r>
      <w:r>
        <w:rPr>
          <w:sz w:val="16"/>
        </w:rPr>
        <w:t>los</w:t>
      </w:r>
      <w:r>
        <w:rPr>
          <w:spacing w:val="-3"/>
          <w:sz w:val="16"/>
        </w:rPr>
        <w:t xml:space="preserve"> </w:t>
      </w:r>
      <w:r>
        <w:rPr>
          <w:sz w:val="16"/>
        </w:rPr>
        <w:t>sistemas</w:t>
      </w:r>
      <w:r>
        <w:rPr>
          <w:spacing w:val="-2"/>
          <w:sz w:val="16"/>
        </w:rPr>
        <w:t xml:space="preserve"> </w:t>
      </w:r>
      <w:r>
        <w:rPr>
          <w:sz w:val="16"/>
        </w:rPr>
        <w:t>internos y externos de seguimiento, fiscalización y control del cumplimiento de los derechos laborales, de los derechos humanos</w:t>
      </w:r>
      <w:r>
        <w:rPr>
          <w:spacing w:val="-13"/>
          <w:sz w:val="16"/>
        </w:rPr>
        <w:t xml:space="preserve"> </w:t>
      </w:r>
      <w:r>
        <w:rPr>
          <w:sz w:val="16"/>
        </w:rPr>
        <w:t>y</w:t>
      </w:r>
      <w:r>
        <w:rPr>
          <w:spacing w:val="-14"/>
          <w:sz w:val="16"/>
        </w:rPr>
        <w:t xml:space="preserve"> </w:t>
      </w:r>
      <w:r>
        <w:rPr>
          <w:sz w:val="16"/>
        </w:rPr>
        <w:t>de</w:t>
      </w:r>
      <w:r>
        <w:rPr>
          <w:spacing w:val="-15"/>
          <w:sz w:val="16"/>
        </w:rPr>
        <w:t xml:space="preserve"> </w:t>
      </w:r>
      <w:r>
        <w:rPr>
          <w:sz w:val="16"/>
        </w:rPr>
        <w:t>la</w:t>
      </w:r>
      <w:r>
        <w:rPr>
          <w:spacing w:val="-13"/>
          <w:sz w:val="16"/>
        </w:rPr>
        <w:t xml:space="preserve"> </w:t>
      </w:r>
      <w:r>
        <w:rPr>
          <w:sz w:val="16"/>
        </w:rPr>
        <w:t>protección</w:t>
      </w:r>
      <w:r>
        <w:rPr>
          <w:spacing w:val="-14"/>
          <w:sz w:val="16"/>
        </w:rPr>
        <w:t xml:space="preserve"> </w:t>
      </w:r>
      <w:r>
        <w:rPr>
          <w:sz w:val="16"/>
        </w:rPr>
        <w:t>del</w:t>
      </w:r>
      <w:r>
        <w:rPr>
          <w:spacing w:val="-13"/>
          <w:sz w:val="16"/>
        </w:rPr>
        <w:t xml:space="preserve"> </w:t>
      </w:r>
      <w:r>
        <w:rPr>
          <w:sz w:val="16"/>
        </w:rPr>
        <w:t>medio</w:t>
      </w:r>
      <w:r>
        <w:rPr>
          <w:spacing w:val="-11"/>
          <w:sz w:val="16"/>
        </w:rPr>
        <w:t xml:space="preserve"> </w:t>
      </w:r>
      <w:r>
        <w:rPr>
          <w:sz w:val="16"/>
        </w:rPr>
        <w:t>ambiente.</w:t>
      </w:r>
      <w:r>
        <w:rPr>
          <w:spacing w:val="-14"/>
          <w:sz w:val="16"/>
        </w:rPr>
        <w:t xml:space="preserve"> </w:t>
      </w:r>
      <w:r>
        <w:rPr>
          <w:sz w:val="16"/>
        </w:rPr>
        <w:t>Esto</w:t>
      </w:r>
      <w:r>
        <w:rPr>
          <w:spacing w:val="-14"/>
          <w:sz w:val="16"/>
        </w:rPr>
        <w:t xml:space="preserve"> </w:t>
      </w:r>
      <w:r>
        <w:rPr>
          <w:sz w:val="16"/>
        </w:rPr>
        <w:t>implica,</w:t>
      </w:r>
      <w:r>
        <w:rPr>
          <w:spacing w:val="-14"/>
          <w:sz w:val="16"/>
        </w:rPr>
        <w:t xml:space="preserve"> </w:t>
      </w:r>
      <w:r>
        <w:rPr>
          <w:sz w:val="16"/>
        </w:rPr>
        <w:t>necesariamente,</w:t>
      </w:r>
      <w:r>
        <w:rPr>
          <w:spacing w:val="-13"/>
          <w:sz w:val="16"/>
        </w:rPr>
        <w:t xml:space="preserve"> </w:t>
      </w:r>
      <w:r>
        <w:rPr>
          <w:sz w:val="16"/>
        </w:rPr>
        <w:t>que</w:t>
      </w:r>
      <w:r>
        <w:rPr>
          <w:spacing w:val="-13"/>
          <w:sz w:val="16"/>
        </w:rPr>
        <w:t xml:space="preserve"> </w:t>
      </w:r>
      <w:r>
        <w:rPr>
          <w:sz w:val="16"/>
        </w:rPr>
        <w:t>los</w:t>
      </w:r>
      <w:r>
        <w:rPr>
          <w:spacing w:val="-12"/>
          <w:sz w:val="16"/>
        </w:rPr>
        <w:t xml:space="preserve"> </w:t>
      </w:r>
      <w:r>
        <w:rPr>
          <w:sz w:val="16"/>
        </w:rPr>
        <w:t>Estados</w:t>
      </w:r>
      <w:r>
        <w:rPr>
          <w:spacing w:val="-14"/>
          <w:sz w:val="16"/>
        </w:rPr>
        <w:t xml:space="preserve"> </w:t>
      </w:r>
      <w:r>
        <w:rPr>
          <w:sz w:val="16"/>
        </w:rPr>
        <w:t>implementen</w:t>
      </w:r>
      <w:r>
        <w:rPr>
          <w:spacing w:val="-17"/>
          <w:sz w:val="16"/>
        </w:rPr>
        <w:t xml:space="preserve"> </w:t>
      </w:r>
      <w:r>
        <w:rPr>
          <w:sz w:val="16"/>
        </w:rPr>
        <w:t>políticas eficientes de fiscali</w:t>
      </w:r>
      <w:r>
        <w:rPr>
          <w:sz w:val="16"/>
        </w:rPr>
        <w:t>zación y supervisión de las empresas en el desarrollo de sus actividades como también que las propias</w:t>
      </w:r>
      <w:r>
        <w:rPr>
          <w:spacing w:val="-8"/>
          <w:sz w:val="16"/>
        </w:rPr>
        <w:t xml:space="preserve"> </w:t>
      </w:r>
      <w:r>
        <w:rPr>
          <w:sz w:val="16"/>
        </w:rPr>
        <w:t>empresas</w:t>
      </w:r>
      <w:r>
        <w:rPr>
          <w:spacing w:val="-5"/>
          <w:sz w:val="16"/>
        </w:rPr>
        <w:t xml:space="preserve"> </w:t>
      </w:r>
      <w:r>
        <w:rPr>
          <w:sz w:val="16"/>
        </w:rPr>
        <w:t>establezcan</w:t>
      </w:r>
      <w:r>
        <w:rPr>
          <w:spacing w:val="-8"/>
          <w:sz w:val="16"/>
        </w:rPr>
        <w:t xml:space="preserve"> </w:t>
      </w:r>
      <w:r>
        <w:rPr>
          <w:sz w:val="16"/>
        </w:rPr>
        <w:t>políticas</w:t>
      </w:r>
      <w:r>
        <w:rPr>
          <w:spacing w:val="-7"/>
          <w:sz w:val="16"/>
        </w:rPr>
        <w:t xml:space="preserve"> </w:t>
      </w:r>
      <w:r>
        <w:rPr>
          <w:sz w:val="16"/>
        </w:rPr>
        <w:t>para</w:t>
      </w:r>
      <w:r>
        <w:rPr>
          <w:spacing w:val="-8"/>
          <w:sz w:val="16"/>
        </w:rPr>
        <w:t xml:space="preserve"> </w:t>
      </w:r>
      <w:r>
        <w:rPr>
          <w:sz w:val="16"/>
        </w:rPr>
        <w:t>garantizar</w:t>
      </w:r>
      <w:r>
        <w:rPr>
          <w:spacing w:val="-7"/>
          <w:sz w:val="16"/>
        </w:rPr>
        <w:t xml:space="preserve"> </w:t>
      </w:r>
      <w:r>
        <w:rPr>
          <w:sz w:val="16"/>
        </w:rPr>
        <w:t>el</w:t>
      </w:r>
      <w:r>
        <w:rPr>
          <w:spacing w:val="-6"/>
          <w:sz w:val="16"/>
        </w:rPr>
        <w:t xml:space="preserve"> </w:t>
      </w:r>
      <w:r>
        <w:rPr>
          <w:sz w:val="16"/>
        </w:rPr>
        <w:t>respeto</w:t>
      </w:r>
      <w:r>
        <w:rPr>
          <w:spacing w:val="-8"/>
          <w:sz w:val="16"/>
        </w:rPr>
        <w:t xml:space="preserve"> </w:t>
      </w:r>
      <w:r>
        <w:rPr>
          <w:sz w:val="16"/>
        </w:rPr>
        <w:t>de</w:t>
      </w:r>
      <w:r>
        <w:rPr>
          <w:spacing w:val="-7"/>
          <w:sz w:val="16"/>
        </w:rPr>
        <w:t xml:space="preserve"> </w:t>
      </w:r>
      <w:r>
        <w:rPr>
          <w:sz w:val="16"/>
        </w:rPr>
        <w:t>los</w:t>
      </w:r>
      <w:r>
        <w:rPr>
          <w:spacing w:val="-7"/>
          <w:sz w:val="16"/>
        </w:rPr>
        <w:t xml:space="preserve"> </w:t>
      </w:r>
      <w:r>
        <w:rPr>
          <w:sz w:val="16"/>
        </w:rPr>
        <w:t>derechos</w:t>
      </w:r>
      <w:r>
        <w:rPr>
          <w:spacing w:val="-7"/>
          <w:sz w:val="16"/>
        </w:rPr>
        <w:t xml:space="preserve"> </w:t>
      </w:r>
      <w:r>
        <w:rPr>
          <w:sz w:val="16"/>
        </w:rPr>
        <w:t>humanos</w:t>
      </w:r>
      <w:r>
        <w:rPr>
          <w:spacing w:val="-5"/>
          <w:sz w:val="16"/>
        </w:rPr>
        <w:t xml:space="preserve"> </w:t>
      </w:r>
      <w:r>
        <w:rPr>
          <w:sz w:val="16"/>
        </w:rPr>
        <w:t>y</w:t>
      </w:r>
      <w:r>
        <w:rPr>
          <w:spacing w:val="-7"/>
          <w:sz w:val="16"/>
        </w:rPr>
        <w:t xml:space="preserve"> </w:t>
      </w:r>
      <w:r>
        <w:rPr>
          <w:sz w:val="16"/>
        </w:rPr>
        <w:t>del</w:t>
      </w:r>
      <w:r>
        <w:rPr>
          <w:spacing w:val="-8"/>
          <w:sz w:val="16"/>
        </w:rPr>
        <w:t xml:space="preserve"> </w:t>
      </w:r>
      <w:r>
        <w:rPr>
          <w:sz w:val="16"/>
        </w:rPr>
        <w:t>medio</w:t>
      </w:r>
      <w:r>
        <w:rPr>
          <w:spacing w:val="-5"/>
          <w:sz w:val="16"/>
        </w:rPr>
        <w:t xml:space="preserve"> </w:t>
      </w:r>
      <w:r>
        <w:rPr>
          <w:sz w:val="16"/>
        </w:rPr>
        <w:t>ambiente</w:t>
      </w:r>
      <w:r>
        <w:rPr>
          <w:spacing w:val="-5"/>
          <w:sz w:val="16"/>
        </w:rPr>
        <w:t xml:space="preserve"> </w:t>
      </w:r>
      <w:r>
        <w:rPr>
          <w:sz w:val="16"/>
        </w:rPr>
        <w:t>en sus operaciones. Ambos mecanismos de fiscalización deben consultar fuentes externas, incluidas las partes afectadas.</w:t>
      </w:r>
      <w:r>
        <w:rPr>
          <w:spacing w:val="26"/>
          <w:sz w:val="16"/>
        </w:rPr>
        <w:t xml:space="preserve"> </w:t>
      </w:r>
      <w:r>
        <w:rPr>
          <w:sz w:val="16"/>
        </w:rPr>
        <w:t>k.</w:t>
      </w:r>
      <w:r>
        <w:rPr>
          <w:spacing w:val="-14"/>
          <w:sz w:val="16"/>
        </w:rPr>
        <w:t xml:space="preserve"> </w:t>
      </w:r>
      <w:r>
        <w:rPr>
          <w:sz w:val="16"/>
        </w:rPr>
        <w:t>Los</w:t>
      </w:r>
      <w:r>
        <w:rPr>
          <w:spacing w:val="-14"/>
          <w:sz w:val="16"/>
        </w:rPr>
        <w:t xml:space="preserve"> </w:t>
      </w:r>
      <w:r>
        <w:rPr>
          <w:sz w:val="16"/>
        </w:rPr>
        <w:t>mecanismos</w:t>
      </w:r>
      <w:r>
        <w:rPr>
          <w:spacing w:val="-14"/>
          <w:sz w:val="16"/>
        </w:rPr>
        <w:t xml:space="preserve"> </w:t>
      </w:r>
      <w:r>
        <w:rPr>
          <w:sz w:val="16"/>
        </w:rPr>
        <w:t>internos</w:t>
      </w:r>
      <w:r>
        <w:rPr>
          <w:spacing w:val="-17"/>
          <w:sz w:val="16"/>
        </w:rPr>
        <w:t xml:space="preserve"> </w:t>
      </w:r>
      <w:r>
        <w:rPr>
          <w:sz w:val="16"/>
        </w:rPr>
        <w:t>y</w:t>
      </w:r>
      <w:r>
        <w:rPr>
          <w:spacing w:val="-13"/>
          <w:sz w:val="16"/>
        </w:rPr>
        <w:t xml:space="preserve"> </w:t>
      </w:r>
      <w:r>
        <w:rPr>
          <w:sz w:val="16"/>
        </w:rPr>
        <w:t>externos</w:t>
      </w:r>
      <w:r>
        <w:rPr>
          <w:spacing w:val="-17"/>
          <w:sz w:val="16"/>
        </w:rPr>
        <w:t xml:space="preserve"> </w:t>
      </w:r>
      <w:r>
        <w:rPr>
          <w:sz w:val="16"/>
        </w:rPr>
        <w:t>de</w:t>
      </w:r>
      <w:r>
        <w:rPr>
          <w:spacing w:val="-14"/>
          <w:sz w:val="16"/>
        </w:rPr>
        <w:t xml:space="preserve"> </w:t>
      </w:r>
      <w:r>
        <w:rPr>
          <w:sz w:val="16"/>
        </w:rPr>
        <w:t>fiscalización</w:t>
      </w:r>
      <w:r>
        <w:rPr>
          <w:spacing w:val="-15"/>
          <w:sz w:val="16"/>
        </w:rPr>
        <w:t xml:space="preserve"> </w:t>
      </w:r>
      <w:r>
        <w:rPr>
          <w:sz w:val="16"/>
        </w:rPr>
        <w:t>y</w:t>
      </w:r>
      <w:r>
        <w:rPr>
          <w:spacing w:val="-13"/>
          <w:sz w:val="16"/>
        </w:rPr>
        <w:t xml:space="preserve"> </w:t>
      </w:r>
      <w:r>
        <w:rPr>
          <w:sz w:val="16"/>
        </w:rPr>
        <w:t>control</w:t>
      </w:r>
      <w:r>
        <w:rPr>
          <w:spacing w:val="-15"/>
          <w:sz w:val="16"/>
        </w:rPr>
        <w:t xml:space="preserve"> </w:t>
      </w:r>
      <w:r>
        <w:rPr>
          <w:sz w:val="16"/>
        </w:rPr>
        <w:t>deben</w:t>
      </w:r>
      <w:r>
        <w:rPr>
          <w:spacing w:val="-13"/>
          <w:sz w:val="16"/>
        </w:rPr>
        <w:t xml:space="preserve"> </w:t>
      </w:r>
      <w:r>
        <w:rPr>
          <w:sz w:val="16"/>
        </w:rPr>
        <w:t>ser</w:t>
      </w:r>
      <w:r>
        <w:rPr>
          <w:spacing w:val="-14"/>
          <w:sz w:val="16"/>
        </w:rPr>
        <w:t xml:space="preserve"> </w:t>
      </w:r>
      <w:r>
        <w:rPr>
          <w:sz w:val="16"/>
        </w:rPr>
        <w:t>transparentes</w:t>
      </w:r>
      <w:r>
        <w:rPr>
          <w:spacing w:val="-13"/>
          <w:sz w:val="16"/>
        </w:rPr>
        <w:t xml:space="preserve"> </w:t>
      </w:r>
      <w:r>
        <w:rPr>
          <w:sz w:val="16"/>
        </w:rPr>
        <w:t>e</w:t>
      </w:r>
      <w:r>
        <w:rPr>
          <w:spacing w:val="-14"/>
          <w:sz w:val="16"/>
        </w:rPr>
        <w:t xml:space="preserve"> </w:t>
      </w:r>
      <w:r>
        <w:rPr>
          <w:sz w:val="16"/>
        </w:rPr>
        <w:t xml:space="preserve">independientes de las estructuras de control </w:t>
      </w:r>
      <w:r>
        <w:rPr>
          <w:sz w:val="16"/>
        </w:rPr>
        <w:t>de las empresas y de cualquier tipo de influencia</w:t>
      </w:r>
      <w:r>
        <w:rPr>
          <w:spacing w:val="-14"/>
          <w:sz w:val="16"/>
        </w:rPr>
        <w:t xml:space="preserve"> </w:t>
      </w:r>
      <w:r>
        <w:rPr>
          <w:sz w:val="16"/>
        </w:rPr>
        <w:t>política”.</w:t>
      </w:r>
    </w:p>
    <w:p w14:paraId="1994EF0A" w14:textId="77777777" w:rsidR="00467FCA" w:rsidRDefault="00467FCA">
      <w:pPr>
        <w:jc w:val="both"/>
        <w:rPr>
          <w:sz w:val="16"/>
        </w:rPr>
        <w:sectPr w:rsidR="00467FCA">
          <w:pgSz w:w="12240" w:h="15840"/>
          <w:pgMar w:top="1360" w:right="1320" w:bottom="1220" w:left="1320" w:header="0" w:footer="1037" w:gutter="0"/>
          <w:cols w:space="720"/>
        </w:sectPr>
      </w:pPr>
    </w:p>
    <w:p w14:paraId="01A317F2" w14:textId="77777777" w:rsidR="00467FCA" w:rsidRDefault="00467FCA">
      <w:pPr>
        <w:pStyle w:val="Textoindependiente"/>
        <w:spacing w:before="7"/>
        <w:rPr>
          <w:sz w:val="9"/>
        </w:rPr>
      </w:pPr>
    </w:p>
    <w:p w14:paraId="68DA5310" w14:textId="77777777" w:rsidR="00467FCA" w:rsidRDefault="001B68EB">
      <w:pPr>
        <w:pStyle w:val="Prrafodelista"/>
        <w:numPr>
          <w:ilvl w:val="0"/>
          <w:numId w:val="50"/>
        </w:numPr>
        <w:tabs>
          <w:tab w:val="left" w:pos="687"/>
        </w:tabs>
        <w:spacing w:before="100"/>
        <w:ind w:right="118" w:firstLine="0"/>
        <w:jc w:val="both"/>
        <w:rPr>
          <w:sz w:val="20"/>
        </w:rPr>
      </w:pPr>
      <w:r>
        <w:rPr>
          <w:sz w:val="20"/>
        </w:rPr>
        <w:t>En ese sentido, el artículo 193 de la CLT señala que son consideradas actividades u operaciones peligrosas, de acuerdo con la reglamentación aprobada por el Ministerio del Trabajo,</w:t>
      </w:r>
      <w:r>
        <w:rPr>
          <w:spacing w:val="-7"/>
          <w:sz w:val="20"/>
        </w:rPr>
        <w:t xml:space="preserve"> </w:t>
      </w:r>
      <w:r>
        <w:rPr>
          <w:sz w:val="20"/>
        </w:rPr>
        <w:t>aquellas</w:t>
      </w:r>
      <w:r>
        <w:rPr>
          <w:spacing w:val="-7"/>
          <w:sz w:val="20"/>
        </w:rPr>
        <w:t xml:space="preserve"> </w:t>
      </w:r>
      <w:r>
        <w:rPr>
          <w:sz w:val="20"/>
        </w:rPr>
        <w:t>que</w:t>
      </w:r>
      <w:r>
        <w:rPr>
          <w:spacing w:val="-5"/>
          <w:sz w:val="20"/>
        </w:rPr>
        <w:t xml:space="preserve"> </w:t>
      </w:r>
      <w:r>
        <w:rPr>
          <w:sz w:val="20"/>
        </w:rPr>
        <w:t>implican</w:t>
      </w:r>
      <w:r>
        <w:rPr>
          <w:spacing w:val="-5"/>
          <w:sz w:val="20"/>
        </w:rPr>
        <w:t xml:space="preserve"> </w:t>
      </w:r>
      <w:r>
        <w:rPr>
          <w:sz w:val="20"/>
        </w:rPr>
        <w:t>el</w:t>
      </w:r>
      <w:r>
        <w:rPr>
          <w:spacing w:val="-3"/>
          <w:sz w:val="20"/>
        </w:rPr>
        <w:t xml:space="preserve"> </w:t>
      </w:r>
      <w:r>
        <w:rPr>
          <w:sz w:val="20"/>
        </w:rPr>
        <w:t>contacto</w:t>
      </w:r>
      <w:r>
        <w:rPr>
          <w:spacing w:val="-8"/>
          <w:sz w:val="20"/>
        </w:rPr>
        <w:t xml:space="preserve"> </w:t>
      </w:r>
      <w:r>
        <w:rPr>
          <w:sz w:val="20"/>
        </w:rPr>
        <w:t>permanente</w:t>
      </w:r>
      <w:r>
        <w:rPr>
          <w:spacing w:val="-5"/>
          <w:sz w:val="20"/>
        </w:rPr>
        <w:t xml:space="preserve"> </w:t>
      </w:r>
      <w:r>
        <w:rPr>
          <w:sz w:val="20"/>
        </w:rPr>
        <w:t>con</w:t>
      </w:r>
      <w:r>
        <w:rPr>
          <w:spacing w:val="-3"/>
          <w:sz w:val="20"/>
        </w:rPr>
        <w:t xml:space="preserve"> </w:t>
      </w:r>
      <w:r>
        <w:rPr>
          <w:sz w:val="20"/>
        </w:rPr>
        <w:t>explosivos</w:t>
      </w:r>
      <w:r>
        <w:rPr>
          <w:spacing w:val="-5"/>
          <w:sz w:val="20"/>
        </w:rPr>
        <w:t xml:space="preserve"> </w:t>
      </w:r>
      <w:r>
        <w:rPr>
          <w:sz w:val="20"/>
        </w:rPr>
        <w:t>en</w:t>
      </w:r>
      <w:r>
        <w:rPr>
          <w:spacing w:val="-2"/>
          <w:sz w:val="20"/>
        </w:rPr>
        <w:t xml:space="preserve"> </w:t>
      </w:r>
      <w:r>
        <w:rPr>
          <w:sz w:val="20"/>
        </w:rPr>
        <w:t>condición</w:t>
      </w:r>
      <w:r>
        <w:rPr>
          <w:spacing w:val="-5"/>
          <w:sz w:val="20"/>
        </w:rPr>
        <w:t xml:space="preserve"> </w:t>
      </w:r>
      <w:r>
        <w:rPr>
          <w:sz w:val="20"/>
        </w:rPr>
        <w:t>de</w:t>
      </w:r>
      <w:r>
        <w:rPr>
          <w:spacing w:val="-5"/>
          <w:sz w:val="20"/>
        </w:rPr>
        <w:t xml:space="preserve"> </w:t>
      </w:r>
      <w:r>
        <w:rPr>
          <w:sz w:val="20"/>
        </w:rPr>
        <w:t>riesgo acentuado</w:t>
      </w:r>
      <w:hyperlink w:anchor="_bookmark262" w:history="1">
        <w:r>
          <w:rPr>
            <w:position w:val="7"/>
            <w:sz w:val="13"/>
          </w:rPr>
          <w:t>218</w:t>
        </w:r>
        <w:r>
          <w:rPr>
            <w:spacing w:val="16"/>
            <w:position w:val="7"/>
            <w:sz w:val="13"/>
          </w:rPr>
          <w:t xml:space="preserve"> </w:t>
        </w:r>
      </w:hyperlink>
      <w:r>
        <w:rPr>
          <w:sz w:val="20"/>
        </w:rPr>
        <w:t>y</w:t>
      </w:r>
      <w:r>
        <w:rPr>
          <w:spacing w:val="-6"/>
          <w:sz w:val="20"/>
        </w:rPr>
        <w:t xml:space="preserve"> </w:t>
      </w:r>
      <w:r>
        <w:rPr>
          <w:sz w:val="20"/>
        </w:rPr>
        <w:t>el</w:t>
      </w:r>
      <w:r>
        <w:rPr>
          <w:spacing w:val="-5"/>
          <w:sz w:val="20"/>
        </w:rPr>
        <w:t xml:space="preserve"> </w:t>
      </w:r>
      <w:r>
        <w:rPr>
          <w:sz w:val="20"/>
        </w:rPr>
        <w:t>artículo</w:t>
      </w:r>
      <w:r>
        <w:rPr>
          <w:spacing w:val="-4"/>
          <w:sz w:val="20"/>
        </w:rPr>
        <w:t xml:space="preserve"> </w:t>
      </w:r>
      <w:r>
        <w:rPr>
          <w:sz w:val="20"/>
        </w:rPr>
        <w:t>195</w:t>
      </w:r>
      <w:r>
        <w:rPr>
          <w:spacing w:val="-7"/>
          <w:sz w:val="20"/>
        </w:rPr>
        <w:t xml:space="preserve"> </w:t>
      </w:r>
      <w:r>
        <w:rPr>
          <w:sz w:val="20"/>
        </w:rPr>
        <w:t>dispone</w:t>
      </w:r>
      <w:r>
        <w:rPr>
          <w:spacing w:val="-9"/>
          <w:sz w:val="20"/>
        </w:rPr>
        <w:t xml:space="preserve"> </w:t>
      </w:r>
      <w:r>
        <w:rPr>
          <w:sz w:val="20"/>
        </w:rPr>
        <w:t>que</w:t>
      </w:r>
      <w:r>
        <w:rPr>
          <w:spacing w:val="-9"/>
          <w:sz w:val="20"/>
        </w:rPr>
        <w:t xml:space="preserve"> </w:t>
      </w:r>
      <w:r>
        <w:rPr>
          <w:sz w:val="20"/>
        </w:rPr>
        <w:t>la</w:t>
      </w:r>
      <w:r>
        <w:rPr>
          <w:spacing w:val="-4"/>
          <w:sz w:val="20"/>
        </w:rPr>
        <w:t xml:space="preserve"> </w:t>
      </w:r>
      <w:r>
        <w:rPr>
          <w:sz w:val="20"/>
        </w:rPr>
        <w:t>caracterización</w:t>
      </w:r>
      <w:r>
        <w:rPr>
          <w:spacing w:val="-4"/>
          <w:sz w:val="20"/>
        </w:rPr>
        <w:t xml:space="preserve"> </w:t>
      </w:r>
      <w:r>
        <w:rPr>
          <w:sz w:val="20"/>
        </w:rPr>
        <w:t>y</w:t>
      </w:r>
      <w:r>
        <w:rPr>
          <w:spacing w:val="-6"/>
          <w:sz w:val="20"/>
        </w:rPr>
        <w:t xml:space="preserve"> </w:t>
      </w:r>
      <w:r>
        <w:rPr>
          <w:sz w:val="20"/>
        </w:rPr>
        <w:t>clasificación</w:t>
      </w:r>
      <w:r>
        <w:rPr>
          <w:spacing w:val="-7"/>
          <w:sz w:val="20"/>
        </w:rPr>
        <w:t xml:space="preserve"> </w:t>
      </w:r>
      <w:r>
        <w:rPr>
          <w:sz w:val="20"/>
        </w:rPr>
        <w:t>de</w:t>
      </w:r>
      <w:r>
        <w:rPr>
          <w:spacing w:val="-7"/>
          <w:sz w:val="20"/>
        </w:rPr>
        <w:t xml:space="preserve"> </w:t>
      </w:r>
      <w:r>
        <w:rPr>
          <w:sz w:val="20"/>
        </w:rPr>
        <w:t>la</w:t>
      </w:r>
      <w:r>
        <w:rPr>
          <w:spacing w:val="-8"/>
          <w:sz w:val="20"/>
        </w:rPr>
        <w:t xml:space="preserve"> </w:t>
      </w:r>
      <w:r>
        <w:rPr>
          <w:sz w:val="20"/>
        </w:rPr>
        <w:t>insalubridad y peligrosidad, de acuerdo con las normas del Ministerio del Trabajo, se realizará a través</w:t>
      </w:r>
      <w:r>
        <w:rPr>
          <w:spacing w:val="-47"/>
          <w:sz w:val="20"/>
        </w:rPr>
        <w:t xml:space="preserve"> </w:t>
      </w:r>
      <w:r>
        <w:rPr>
          <w:sz w:val="20"/>
        </w:rPr>
        <w:t>de una inspección bajo la responsabilidad de un médico o ingeniero registrado en el Ministerio, sin prejuicio de la acción fiscalizadora del Ministerio</w:t>
      </w:r>
      <w:r>
        <w:rPr>
          <w:sz w:val="20"/>
        </w:rPr>
        <w:t xml:space="preserve"> del Trabajo, ni de la inspección de oficio de dicho</w:t>
      </w:r>
      <w:r>
        <w:rPr>
          <w:spacing w:val="-2"/>
          <w:sz w:val="20"/>
        </w:rPr>
        <w:t xml:space="preserve"> </w:t>
      </w:r>
      <w:r>
        <w:rPr>
          <w:sz w:val="20"/>
        </w:rPr>
        <w:t>órgano</w:t>
      </w:r>
      <w:hyperlink w:anchor="_bookmark263" w:history="1">
        <w:r>
          <w:rPr>
            <w:position w:val="7"/>
            <w:sz w:val="13"/>
          </w:rPr>
          <w:t>219</w:t>
        </w:r>
      </w:hyperlink>
      <w:r>
        <w:rPr>
          <w:sz w:val="20"/>
        </w:rPr>
        <w:t>.</w:t>
      </w:r>
    </w:p>
    <w:p w14:paraId="1AB176D7" w14:textId="77777777" w:rsidR="00467FCA" w:rsidRDefault="00467FCA">
      <w:pPr>
        <w:pStyle w:val="Textoindependiente"/>
        <w:spacing w:before="8"/>
        <w:rPr>
          <w:sz w:val="22"/>
        </w:rPr>
      </w:pPr>
    </w:p>
    <w:p w14:paraId="2528D5DF" w14:textId="77777777" w:rsidR="00467FCA" w:rsidRDefault="001B68EB">
      <w:pPr>
        <w:pStyle w:val="Prrafodelista"/>
        <w:numPr>
          <w:ilvl w:val="0"/>
          <w:numId w:val="50"/>
        </w:numPr>
        <w:tabs>
          <w:tab w:val="left" w:pos="687"/>
        </w:tabs>
        <w:ind w:left="119" w:right="116" w:firstLine="0"/>
        <w:jc w:val="both"/>
        <w:rPr>
          <w:sz w:val="20"/>
        </w:rPr>
      </w:pPr>
      <w:r>
        <w:rPr>
          <w:sz w:val="20"/>
        </w:rPr>
        <w:t>Por otra parte, la Corte encuentra que la Constitución de Brasil y las leyes nacionales sobre derechos laborales y sobre derechos de la niña y del niño, establ</w:t>
      </w:r>
      <w:r>
        <w:rPr>
          <w:sz w:val="20"/>
        </w:rPr>
        <w:t>ecían una prohibición absoluta</w:t>
      </w:r>
      <w:r>
        <w:rPr>
          <w:spacing w:val="-6"/>
          <w:sz w:val="20"/>
        </w:rPr>
        <w:t xml:space="preserve"> </w:t>
      </w:r>
      <w:r>
        <w:rPr>
          <w:sz w:val="20"/>
        </w:rPr>
        <w:t>del</w:t>
      </w:r>
      <w:r>
        <w:rPr>
          <w:spacing w:val="-5"/>
          <w:sz w:val="20"/>
        </w:rPr>
        <w:t xml:space="preserve"> </w:t>
      </w:r>
      <w:r>
        <w:rPr>
          <w:sz w:val="20"/>
        </w:rPr>
        <w:t>trabajo</w:t>
      </w:r>
      <w:r>
        <w:rPr>
          <w:spacing w:val="-7"/>
          <w:sz w:val="20"/>
        </w:rPr>
        <w:t xml:space="preserve"> </w:t>
      </w:r>
      <w:r>
        <w:rPr>
          <w:sz w:val="20"/>
        </w:rPr>
        <w:t>de</w:t>
      </w:r>
      <w:r>
        <w:rPr>
          <w:spacing w:val="-4"/>
          <w:sz w:val="20"/>
        </w:rPr>
        <w:t xml:space="preserve"> </w:t>
      </w:r>
      <w:r>
        <w:rPr>
          <w:sz w:val="20"/>
        </w:rPr>
        <w:t>menores</w:t>
      </w:r>
      <w:r>
        <w:rPr>
          <w:spacing w:val="-6"/>
          <w:sz w:val="20"/>
        </w:rPr>
        <w:t xml:space="preserve"> </w:t>
      </w:r>
      <w:r>
        <w:rPr>
          <w:sz w:val="20"/>
        </w:rPr>
        <w:t>de</w:t>
      </w:r>
      <w:r>
        <w:rPr>
          <w:spacing w:val="-7"/>
          <w:sz w:val="20"/>
        </w:rPr>
        <w:t xml:space="preserve"> </w:t>
      </w:r>
      <w:r>
        <w:rPr>
          <w:sz w:val="20"/>
        </w:rPr>
        <w:t>18</w:t>
      </w:r>
      <w:r>
        <w:rPr>
          <w:spacing w:val="-4"/>
          <w:sz w:val="20"/>
        </w:rPr>
        <w:t xml:space="preserve"> </w:t>
      </w:r>
      <w:r>
        <w:rPr>
          <w:sz w:val="20"/>
        </w:rPr>
        <w:t>años</w:t>
      </w:r>
      <w:r>
        <w:rPr>
          <w:spacing w:val="-4"/>
          <w:sz w:val="20"/>
        </w:rPr>
        <w:t xml:space="preserve"> </w:t>
      </w:r>
      <w:r>
        <w:rPr>
          <w:sz w:val="20"/>
        </w:rPr>
        <w:t>en</w:t>
      </w:r>
      <w:r>
        <w:rPr>
          <w:spacing w:val="-2"/>
          <w:sz w:val="20"/>
        </w:rPr>
        <w:t xml:space="preserve"> </w:t>
      </w:r>
      <w:r>
        <w:rPr>
          <w:sz w:val="20"/>
        </w:rPr>
        <w:t>actividades</w:t>
      </w:r>
      <w:r>
        <w:rPr>
          <w:spacing w:val="-6"/>
          <w:sz w:val="20"/>
        </w:rPr>
        <w:t xml:space="preserve"> </w:t>
      </w:r>
      <w:r>
        <w:rPr>
          <w:sz w:val="20"/>
        </w:rPr>
        <w:t>peligrosas</w:t>
      </w:r>
      <w:r>
        <w:rPr>
          <w:spacing w:val="-6"/>
          <w:sz w:val="20"/>
        </w:rPr>
        <w:t xml:space="preserve"> </w:t>
      </w:r>
      <w:r>
        <w:rPr>
          <w:sz w:val="20"/>
        </w:rPr>
        <w:t>(</w:t>
      </w:r>
      <w:r>
        <w:rPr>
          <w:i/>
          <w:sz w:val="20"/>
        </w:rPr>
        <w:t>supra</w:t>
      </w:r>
      <w:r>
        <w:rPr>
          <w:i/>
          <w:spacing w:val="-6"/>
          <w:sz w:val="20"/>
        </w:rPr>
        <w:t xml:space="preserve"> </w:t>
      </w:r>
      <w:r>
        <w:rPr>
          <w:sz w:val="20"/>
        </w:rPr>
        <w:t>párrs.</w:t>
      </w:r>
      <w:r>
        <w:rPr>
          <w:spacing w:val="-6"/>
          <w:sz w:val="20"/>
        </w:rPr>
        <w:t xml:space="preserve"> </w:t>
      </w:r>
      <w:r>
        <w:rPr>
          <w:sz w:val="20"/>
        </w:rPr>
        <w:t>102,</w:t>
      </w:r>
      <w:r>
        <w:rPr>
          <w:spacing w:val="-6"/>
          <w:sz w:val="20"/>
        </w:rPr>
        <w:t xml:space="preserve"> </w:t>
      </w:r>
      <w:r>
        <w:rPr>
          <w:sz w:val="20"/>
        </w:rPr>
        <w:t>105 y 109) y que era un hecho notorio que en la fábrica de fuegos trabajaban niñas y niños, en algunos casos desde los 6 años (</w:t>
      </w:r>
      <w:r>
        <w:rPr>
          <w:i/>
          <w:sz w:val="20"/>
        </w:rPr>
        <w:t xml:space="preserve">supra </w:t>
      </w:r>
      <w:r>
        <w:rPr>
          <w:sz w:val="20"/>
        </w:rPr>
        <w:t>párr. 72). En ese sentido, en virtud del deber de garantía, el Estado estaba en la obligación de tomar las medidas necesarias para prevenir eventuales</w:t>
      </w:r>
      <w:r>
        <w:rPr>
          <w:spacing w:val="-7"/>
          <w:sz w:val="20"/>
        </w:rPr>
        <w:t xml:space="preserve"> </w:t>
      </w:r>
      <w:r>
        <w:rPr>
          <w:sz w:val="20"/>
        </w:rPr>
        <w:t>violaciones</w:t>
      </w:r>
      <w:r>
        <w:rPr>
          <w:spacing w:val="-6"/>
          <w:sz w:val="20"/>
        </w:rPr>
        <w:t xml:space="preserve"> </w:t>
      </w:r>
      <w:r>
        <w:rPr>
          <w:sz w:val="20"/>
        </w:rPr>
        <w:t>a</w:t>
      </w:r>
      <w:r>
        <w:rPr>
          <w:spacing w:val="-5"/>
          <w:sz w:val="20"/>
        </w:rPr>
        <w:t xml:space="preserve"> </w:t>
      </w:r>
      <w:r>
        <w:rPr>
          <w:sz w:val="20"/>
        </w:rPr>
        <w:t>los</w:t>
      </w:r>
      <w:r>
        <w:rPr>
          <w:spacing w:val="-7"/>
          <w:sz w:val="20"/>
        </w:rPr>
        <w:t xml:space="preserve"> </w:t>
      </w:r>
      <w:r>
        <w:rPr>
          <w:sz w:val="20"/>
        </w:rPr>
        <w:t>derechos</w:t>
      </w:r>
      <w:r>
        <w:rPr>
          <w:spacing w:val="-6"/>
          <w:sz w:val="20"/>
        </w:rPr>
        <w:t xml:space="preserve"> </w:t>
      </w:r>
      <w:r>
        <w:rPr>
          <w:sz w:val="20"/>
        </w:rPr>
        <w:t>de</w:t>
      </w:r>
      <w:r>
        <w:rPr>
          <w:spacing w:val="-7"/>
          <w:sz w:val="20"/>
        </w:rPr>
        <w:t xml:space="preserve"> </w:t>
      </w:r>
      <w:r>
        <w:rPr>
          <w:sz w:val="20"/>
        </w:rPr>
        <w:t>la</w:t>
      </w:r>
      <w:r>
        <w:rPr>
          <w:spacing w:val="-8"/>
          <w:sz w:val="20"/>
        </w:rPr>
        <w:t xml:space="preserve"> </w:t>
      </w:r>
      <w:r>
        <w:rPr>
          <w:sz w:val="20"/>
        </w:rPr>
        <w:t>niña</w:t>
      </w:r>
      <w:r>
        <w:rPr>
          <w:spacing w:val="-6"/>
          <w:sz w:val="20"/>
        </w:rPr>
        <w:t xml:space="preserve"> </w:t>
      </w:r>
      <w:r>
        <w:rPr>
          <w:sz w:val="20"/>
        </w:rPr>
        <w:t>y</w:t>
      </w:r>
      <w:r>
        <w:rPr>
          <w:spacing w:val="-7"/>
          <w:sz w:val="20"/>
        </w:rPr>
        <w:t xml:space="preserve"> </w:t>
      </w:r>
      <w:r>
        <w:rPr>
          <w:sz w:val="20"/>
        </w:rPr>
        <w:t>del</w:t>
      </w:r>
      <w:r>
        <w:rPr>
          <w:spacing w:val="-5"/>
          <w:sz w:val="20"/>
        </w:rPr>
        <w:t xml:space="preserve"> </w:t>
      </w:r>
      <w:r>
        <w:rPr>
          <w:sz w:val="20"/>
        </w:rPr>
        <w:t>niño,</w:t>
      </w:r>
      <w:r>
        <w:rPr>
          <w:spacing w:val="-6"/>
          <w:sz w:val="20"/>
        </w:rPr>
        <w:t xml:space="preserve"> </w:t>
      </w:r>
      <w:r>
        <w:rPr>
          <w:sz w:val="20"/>
        </w:rPr>
        <w:t>esas</w:t>
      </w:r>
      <w:r>
        <w:rPr>
          <w:spacing w:val="-7"/>
          <w:sz w:val="20"/>
        </w:rPr>
        <w:t xml:space="preserve"> </w:t>
      </w:r>
      <w:r>
        <w:rPr>
          <w:sz w:val="20"/>
        </w:rPr>
        <w:t>medidas</w:t>
      </w:r>
      <w:r>
        <w:rPr>
          <w:spacing w:val="-9"/>
          <w:sz w:val="20"/>
        </w:rPr>
        <w:t xml:space="preserve"> </w:t>
      </w:r>
      <w:r>
        <w:rPr>
          <w:sz w:val="20"/>
        </w:rPr>
        <w:t>implicaban,</w:t>
      </w:r>
      <w:r>
        <w:rPr>
          <w:spacing w:val="-6"/>
          <w:sz w:val="20"/>
        </w:rPr>
        <w:t xml:space="preserve"> </w:t>
      </w:r>
      <w:r>
        <w:rPr>
          <w:sz w:val="20"/>
        </w:rPr>
        <w:t>en</w:t>
      </w:r>
      <w:r>
        <w:rPr>
          <w:spacing w:val="-5"/>
          <w:sz w:val="20"/>
        </w:rPr>
        <w:t xml:space="preserve"> </w:t>
      </w:r>
      <w:r>
        <w:rPr>
          <w:sz w:val="20"/>
        </w:rPr>
        <w:t>este caso concreto, fiscali</w:t>
      </w:r>
      <w:r>
        <w:rPr>
          <w:sz w:val="20"/>
        </w:rPr>
        <w:t>zar las condiciones de trabajo y verificar que en la fábrica de fuegos no se encontraran menores de edad</w:t>
      </w:r>
      <w:r>
        <w:rPr>
          <w:spacing w:val="-2"/>
          <w:sz w:val="20"/>
        </w:rPr>
        <w:t xml:space="preserve"> </w:t>
      </w:r>
      <w:r>
        <w:rPr>
          <w:sz w:val="20"/>
        </w:rPr>
        <w:t>trabajando.</w:t>
      </w:r>
    </w:p>
    <w:p w14:paraId="2AA19598" w14:textId="77777777" w:rsidR="00467FCA" w:rsidRDefault="00467FCA">
      <w:pPr>
        <w:pStyle w:val="Textoindependiente"/>
        <w:spacing w:before="10"/>
        <w:rPr>
          <w:sz w:val="22"/>
        </w:rPr>
      </w:pPr>
    </w:p>
    <w:p w14:paraId="13F4A9EF" w14:textId="77777777" w:rsidR="00467FCA" w:rsidRDefault="001B68EB">
      <w:pPr>
        <w:pStyle w:val="Prrafodelista"/>
        <w:numPr>
          <w:ilvl w:val="0"/>
          <w:numId w:val="50"/>
        </w:numPr>
        <w:tabs>
          <w:tab w:val="left" w:pos="687"/>
        </w:tabs>
        <w:ind w:right="117" w:firstLine="0"/>
        <w:jc w:val="both"/>
        <w:rPr>
          <w:sz w:val="20"/>
        </w:rPr>
      </w:pPr>
      <w:r>
        <w:rPr>
          <w:sz w:val="20"/>
        </w:rPr>
        <w:t>Ahora bien, el Tribunal advierte que el problema jurídico planteado por los representantes se relaciona con la alegada responsabilidad int</w:t>
      </w:r>
      <w:r>
        <w:rPr>
          <w:sz w:val="20"/>
        </w:rPr>
        <w:t>ernacional del Estado por la falta de fiscalización que ocasionó la violación del derecho a condiciones equitativas y satisfactorias</w:t>
      </w:r>
      <w:r>
        <w:rPr>
          <w:spacing w:val="-10"/>
          <w:sz w:val="20"/>
        </w:rPr>
        <w:t xml:space="preserve"> </w:t>
      </w:r>
      <w:r>
        <w:rPr>
          <w:sz w:val="20"/>
        </w:rPr>
        <w:t>que</w:t>
      </w:r>
      <w:r>
        <w:rPr>
          <w:spacing w:val="-10"/>
          <w:sz w:val="20"/>
        </w:rPr>
        <w:t xml:space="preserve"> </w:t>
      </w:r>
      <w:r>
        <w:rPr>
          <w:sz w:val="20"/>
        </w:rPr>
        <w:t>garanticen</w:t>
      </w:r>
      <w:r>
        <w:rPr>
          <w:spacing w:val="-7"/>
          <w:sz w:val="20"/>
        </w:rPr>
        <w:t xml:space="preserve"> </w:t>
      </w:r>
      <w:r>
        <w:rPr>
          <w:sz w:val="20"/>
        </w:rPr>
        <w:t>la</w:t>
      </w:r>
      <w:r>
        <w:rPr>
          <w:spacing w:val="-9"/>
          <w:sz w:val="20"/>
        </w:rPr>
        <w:t xml:space="preserve"> </w:t>
      </w:r>
      <w:r>
        <w:rPr>
          <w:sz w:val="20"/>
        </w:rPr>
        <w:t>seguridad,</w:t>
      </w:r>
      <w:r>
        <w:rPr>
          <w:spacing w:val="-9"/>
          <w:sz w:val="20"/>
        </w:rPr>
        <w:t xml:space="preserve"> </w:t>
      </w:r>
      <w:r>
        <w:rPr>
          <w:sz w:val="20"/>
        </w:rPr>
        <w:t>la</w:t>
      </w:r>
      <w:r>
        <w:rPr>
          <w:spacing w:val="-9"/>
          <w:sz w:val="20"/>
        </w:rPr>
        <w:t xml:space="preserve"> </w:t>
      </w:r>
      <w:r>
        <w:rPr>
          <w:sz w:val="20"/>
        </w:rPr>
        <w:t>salud</w:t>
      </w:r>
      <w:r>
        <w:rPr>
          <w:spacing w:val="-8"/>
          <w:sz w:val="20"/>
        </w:rPr>
        <w:t xml:space="preserve"> </w:t>
      </w:r>
      <w:r>
        <w:rPr>
          <w:sz w:val="20"/>
        </w:rPr>
        <w:t>y</w:t>
      </w:r>
      <w:r>
        <w:rPr>
          <w:spacing w:val="-8"/>
          <w:sz w:val="20"/>
        </w:rPr>
        <w:t xml:space="preserve"> </w:t>
      </w:r>
      <w:r>
        <w:rPr>
          <w:sz w:val="20"/>
        </w:rPr>
        <w:t>la</w:t>
      </w:r>
      <w:r>
        <w:rPr>
          <w:spacing w:val="-9"/>
          <w:sz w:val="20"/>
        </w:rPr>
        <w:t xml:space="preserve"> </w:t>
      </w:r>
      <w:r>
        <w:rPr>
          <w:sz w:val="20"/>
        </w:rPr>
        <w:t>higiene</w:t>
      </w:r>
      <w:r>
        <w:rPr>
          <w:spacing w:val="-9"/>
          <w:sz w:val="20"/>
        </w:rPr>
        <w:t xml:space="preserve"> </w:t>
      </w:r>
      <w:r>
        <w:rPr>
          <w:sz w:val="20"/>
        </w:rPr>
        <w:t>en</w:t>
      </w:r>
      <w:r>
        <w:rPr>
          <w:spacing w:val="-8"/>
          <w:sz w:val="20"/>
        </w:rPr>
        <w:t xml:space="preserve"> </w:t>
      </w:r>
      <w:r>
        <w:rPr>
          <w:sz w:val="20"/>
        </w:rPr>
        <w:t>el</w:t>
      </w:r>
      <w:r>
        <w:rPr>
          <w:spacing w:val="-7"/>
          <w:sz w:val="20"/>
        </w:rPr>
        <w:t xml:space="preserve"> </w:t>
      </w:r>
      <w:r>
        <w:rPr>
          <w:sz w:val="20"/>
        </w:rPr>
        <w:t>trabajo,</w:t>
      </w:r>
      <w:r>
        <w:rPr>
          <w:spacing w:val="-10"/>
          <w:sz w:val="20"/>
        </w:rPr>
        <w:t xml:space="preserve"> </w:t>
      </w:r>
      <w:r>
        <w:rPr>
          <w:sz w:val="20"/>
        </w:rPr>
        <w:t>entendido</w:t>
      </w:r>
      <w:r>
        <w:rPr>
          <w:spacing w:val="-8"/>
          <w:sz w:val="20"/>
        </w:rPr>
        <w:t xml:space="preserve"> </w:t>
      </w:r>
      <w:r>
        <w:rPr>
          <w:sz w:val="20"/>
        </w:rPr>
        <w:t>como un derecho protegido por el artículo 26 de</w:t>
      </w:r>
      <w:r>
        <w:rPr>
          <w:sz w:val="20"/>
        </w:rPr>
        <w:t xml:space="preserve"> la Convención Americana. Al respecto, la Corte recuerda que en el </w:t>
      </w:r>
      <w:r>
        <w:rPr>
          <w:i/>
          <w:sz w:val="20"/>
        </w:rPr>
        <w:t>Caso Poblete Vilches y otros Vs. Chile</w:t>
      </w:r>
      <w:r>
        <w:rPr>
          <w:sz w:val="20"/>
        </w:rPr>
        <w:t>,</w:t>
      </w:r>
      <w:r>
        <w:rPr>
          <w:spacing w:val="-10"/>
          <w:sz w:val="20"/>
        </w:rPr>
        <w:t xml:space="preserve"> </w:t>
      </w:r>
      <w:r>
        <w:rPr>
          <w:sz w:val="20"/>
        </w:rPr>
        <w:t>señaló:</w:t>
      </w:r>
    </w:p>
    <w:p w14:paraId="2C27F4C4" w14:textId="77777777" w:rsidR="00467FCA" w:rsidRDefault="00467FCA">
      <w:pPr>
        <w:pStyle w:val="Textoindependiente"/>
        <w:spacing w:before="11"/>
        <w:rPr>
          <w:sz w:val="19"/>
        </w:rPr>
      </w:pPr>
    </w:p>
    <w:p w14:paraId="13E5CCDC" w14:textId="77777777" w:rsidR="00467FCA" w:rsidRDefault="001B68EB">
      <w:pPr>
        <w:ind w:left="839" w:right="1012"/>
        <w:jc w:val="both"/>
        <w:rPr>
          <w:sz w:val="16"/>
        </w:rPr>
      </w:pPr>
      <w:r>
        <w:rPr>
          <w:sz w:val="16"/>
        </w:rPr>
        <w:t>Así,</w:t>
      </w:r>
      <w:r>
        <w:rPr>
          <w:spacing w:val="-4"/>
          <w:sz w:val="16"/>
        </w:rPr>
        <w:t xml:space="preserve"> </w:t>
      </w:r>
      <w:r>
        <w:rPr>
          <w:sz w:val="16"/>
        </w:rPr>
        <w:t>resulta</w:t>
      </w:r>
      <w:r>
        <w:rPr>
          <w:spacing w:val="-4"/>
          <w:sz w:val="16"/>
        </w:rPr>
        <w:t xml:space="preserve"> </w:t>
      </w:r>
      <w:r>
        <w:rPr>
          <w:sz w:val="16"/>
        </w:rPr>
        <w:t>claro</w:t>
      </w:r>
      <w:r>
        <w:rPr>
          <w:spacing w:val="-3"/>
          <w:sz w:val="16"/>
        </w:rPr>
        <w:t xml:space="preserve"> </w:t>
      </w:r>
      <w:r>
        <w:rPr>
          <w:sz w:val="16"/>
        </w:rPr>
        <w:t>interpretar</w:t>
      </w:r>
      <w:r>
        <w:rPr>
          <w:spacing w:val="-5"/>
          <w:sz w:val="16"/>
        </w:rPr>
        <w:t xml:space="preserve"> </w:t>
      </w:r>
      <w:r>
        <w:rPr>
          <w:sz w:val="16"/>
        </w:rPr>
        <w:t>que</w:t>
      </w:r>
      <w:r>
        <w:rPr>
          <w:spacing w:val="-3"/>
          <w:sz w:val="16"/>
        </w:rPr>
        <w:t xml:space="preserve"> </w:t>
      </w:r>
      <w:r>
        <w:rPr>
          <w:sz w:val="16"/>
        </w:rPr>
        <w:t>la</w:t>
      </w:r>
      <w:r>
        <w:rPr>
          <w:spacing w:val="-4"/>
          <w:sz w:val="16"/>
        </w:rPr>
        <w:t xml:space="preserve"> </w:t>
      </w:r>
      <w:r>
        <w:rPr>
          <w:sz w:val="16"/>
        </w:rPr>
        <w:t>Convención</w:t>
      </w:r>
      <w:r>
        <w:rPr>
          <w:spacing w:val="-6"/>
          <w:sz w:val="16"/>
        </w:rPr>
        <w:t xml:space="preserve"> </w:t>
      </w:r>
      <w:r>
        <w:rPr>
          <w:sz w:val="16"/>
        </w:rPr>
        <w:t>Americana</w:t>
      </w:r>
      <w:r>
        <w:rPr>
          <w:spacing w:val="-4"/>
          <w:sz w:val="16"/>
        </w:rPr>
        <w:t xml:space="preserve"> </w:t>
      </w:r>
      <w:r>
        <w:rPr>
          <w:sz w:val="16"/>
        </w:rPr>
        <w:t>incorporó</w:t>
      </w:r>
      <w:r>
        <w:rPr>
          <w:spacing w:val="-5"/>
          <w:sz w:val="16"/>
        </w:rPr>
        <w:t xml:space="preserve"> </w:t>
      </w:r>
      <w:r>
        <w:rPr>
          <w:sz w:val="16"/>
        </w:rPr>
        <w:t>en</w:t>
      </w:r>
      <w:r>
        <w:rPr>
          <w:spacing w:val="-7"/>
          <w:sz w:val="16"/>
        </w:rPr>
        <w:t xml:space="preserve"> </w:t>
      </w:r>
      <w:r>
        <w:rPr>
          <w:sz w:val="16"/>
        </w:rPr>
        <w:t>su</w:t>
      </w:r>
      <w:r>
        <w:rPr>
          <w:spacing w:val="-4"/>
          <w:sz w:val="16"/>
        </w:rPr>
        <w:t xml:space="preserve"> </w:t>
      </w:r>
      <w:r>
        <w:rPr>
          <w:sz w:val="16"/>
        </w:rPr>
        <w:t>catálogo</w:t>
      </w:r>
      <w:r>
        <w:rPr>
          <w:spacing w:val="-4"/>
          <w:sz w:val="16"/>
        </w:rPr>
        <w:t xml:space="preserve"> </w:t>
      </w:r>
      <w:r>
        <w:rPr>
          <w:sz w:val="16"/>
        </w:rPr>
        <w:t>de</w:t>
      </w:r>
      <w:r>
        <w:rPr>
          <w:spacing w:val="-6"/>
          <w:sz w:val="16"/>
        </w:rPr>
        <w:t xml:space="preserve"> </w:t>
      </w:r>
      <w:r>
        <w:rPr>
          <w:sz w:val="16"/>
        </w:rPr>
        <w:t>derechos protegidos los denominados derechos económicos, sociales, culturales y ambientales (DESCA), a través de una derivación de las normas reconocidas en la Carta de la Organización de los Estados Americanos (OEA), así como de las normas de interpretaci</w:t>
      </w:r>
      <w:r>
        <w:rPr>
          <w:sz w:val="16"/>
        </w:rPr>
        <w:t>ón dispuestas en el propio artículo</w:t>
      </w:r>
      <w:r>
        <w:rPr>
          <w:spacing w:val="-15"/>
          <w:sz w:val="16"/>
        </w:rPr>
        <w:t xml:space="preserve"> </w:t>
      </w:r>
      <w:r>
        <w:rPr>
          <w:sz w:val="16"/>
        </w:rPr>
        <w:t>29</w:t>
      </w:r>
      <w:r>
        <w:rPr>
          <w:spacing w:val="-15"/>
          <w:sz w:val="16"/>
        </w:rPr>
        <w:t xml:space="preserve"> </w:t>
      </w:r>
      <w:r>
        <w:rPr>
          <w:sz w:val="16"/>
        </w:rPr>
        <w:t>de</w:t>
      </w:r>
      <w:r>
        <w:rPr>
          <w:spacing w:val="-14"/>
          <w:sz w:val="16"/>
        </w:rPr>
        <w:t xml:space="preserve"> </w:t>
      </w:r>
      <w:r>
        <w:rPr>
          <w:sz w:val="16"/>
        </w:rPr>
        <w:t>la</w:t>
      </w:r>
      <w:r>
        <w:rPr>
          <w:spacing w:val="-16"/>
          <w:sz w:val="16"/>
        </w:rPr>
        <w:t xml:space="preserve"> </w:t>
      </w:r>
      <w:r>
        <w:rPr>
          <w:sz w:val="16"/>
        </w:rPr>
        <w:t>Convención;</w:t>
      </w:r>
      <w:r>
        <w:rPr>
          <w:spacing w:val="-15"/>
          <w:sz w:val="16"/>
        </w:rPr>
        <w:t xml:space="preserve"> </w:t>
      </w:r>
      <w:r>
        <w:rPr>
          <w:sz w:val="16"/>
        </w:rPr>
        <w:t>particularmente,</w:t>
      </w:r>
      <w:r>
        <w:rPr>
          <w:spacing w:val="-15"/>
          <w:sz w:val="16"/>
        </w:rPr>
        <w:t xml:space="preserve"> </w:t>
      </w:r>
      <w:r>
        <w:rPr>
          <w:sz w:val="16"/>
        </w:rPr>
        <w:t>que</w:t>
      </w:r>
      <w:r>
        <w:rPr>
          <w:spacing w:val="-15"/>
          <w:sz w:val="16"/>
        </w:rPr>
        <w:t xml:space="preserve"> </w:t>
      </w:r>
      <w:r>
        <w:rPr>
          <w:sz w:val="16"/>
        </w:rPr>
        <w:t>impide</w:t>
      </w:r>
      <w:r>
        <w:rPr>
          <w:spacing w:val="-15"/>
          <w:sz w:val="16"/>
        </w:rPr>
        <w:t xml:space="preserve"> </w:t>
      </w:r>
      <w:r>
        <w:rPr>
          <w:sz w:val="16"/>
        </w:rPr>
        <w:t>limitar</w:t>
      </w:r>
      <w:r>
        <w:rPr>
          <w:spacing w:val="-14"/>
          <w:sz w:val="16"/>
        </w:rPr>
        <w:t xml:space="preserve"> </w:t>
      </w:r>
      <w:r>
        <w:rPr>
          <w:sz w:val="16"/>
        </w:rPr>
        <w:t>o</w:t>
      </w:r>
      <w:r>
        <w:rPr>
          <w:spacing w:val="-15"/>
          <w:sz w:val="16"/>
        </w:rPr>
        <w:t xml:space="preserve"> </w:t>
      </w:r>
      <w:r>
        <w:rPr>
          <w:sz w:val="16"/>
        </w:rPr>
        <w:t>excluir</w:t>
      </w:r>
      <w:r>
        <w:rPr>
          <w:spacing w:val="-14"/>
          <w:sz w:val="16"/>
        </w:rPr>
        <w:t xml:space="preserve"> </w:t>
      </w:r>
      <w:r>
        <w:rPr>
          <w:sz w:val="16"/>
        </w:rPr>
        <w:t>el</w:t>
      </w:r>
      <w:r>
        <w:rPr>
          <w:spacing w:val="-18"/>
          <w:sz w:val="16"/>
        </w:rPr>
        <w:t xml:space="preserve"> </w:t>
      </w:r>
      <w:r>
        <w:rPr>
          <w:sz w:val="16"/>
        </w:rPr>
        <w:t>goce</w:t>
      </w:r>
      <w:r>
        <w:rPr>
          <w:spacing w:val="-18"/>
          <w:sz w:val="16"/>
        </w:rPr>
        <w:t xml:space="preserve"> </w:t>
      </w:r>
      <w:r>
        <w:rPr>
          <w:sz w:val="16"/>
        </w:rPr>
        <w:t>de</w:t>
      </w:r>
      <w:r>
        <w:rPr>
          <w:spacing w:val="-14"/>
          <w:sz w:val="16"/>
        </w:rPr>
        <w:t xml:space="preserve"> </w:t>
      </w:r>
      <w:r>
        <w:rPr>
          <w:sz w:val="16"/>
        </w:rPr>
        <w:t>los</w:t>
      </w:r>
      <w:r>
        <w:rPr>
          <w:spacing w:val="-15"/>
          <w:sz w:val="16"/>
        </w:rPr>
        <w:t xml:space="preserve"> </w:t>
      </w:r>
      <w:r>
        <w:rPr>
          <w:sz w:val="16"/>
        </w:rPr>
        <w:t xml:space="preserve">derechos establecidos en la Declaración Americana e inclusive </w:t>
      </w:r>
      <w:r>
        <w:rPr>
          <w:spacing w:val="-2"/>
          <w:sz w:val="16"/>
        </w:rPr>
        <w:t xml:space="preserve">los </w:t>
      </w:r>
      <w:r>
        <w:rPr>
          <w:sz w:val="16"/>
        </w:rPr>
        <w:t>reconocidos en materia interna. Asimismo, de conformidad con una interpr</w:t>
      </w:r>
      <w:r>
        <w:rPr>
          <w:sz w:val="16"/>
        </w:rPr>
        <w:t>etación sistemática, teleológica y evolutiva, la Corte ha recurrido al corpus iuris internacional y nacional en la materia para dar contenido específico al alcance de los derechos tutelados por la Convención, a fin de derivar el alcance de las obligaciones</w:t>
      </w:r>
      <w:r>
        <w:rPr>
          <w:sz w:val="16"/>
        </w:rPr>
        <w:t xml:space="preserve"> específicas de cada</w:t>
      </w:r>
      <w:r>
        <w:rPr>
          <w:spacing w:val="-1"/>
          <w:sz w:val="16"/>
        </w:rPr>
        <w:t xml:space="preserve"> </w:t>
      </w:r>
      <w:r>
        <w:rPr>
          <w:sz w:val="16"/>
        </w:rPr>
        <w:t>derecho</w:t>
      </w:r>
      <w:hyperlink w:anchor="_bookmark264" w:history="1">
        <w:r>
          <w:rPr>
            <w:position w:val="6"/>
            <w:sz w:val="10"/>
          </w:rPr>
          <w:t>220</w:t>
        </w:r>
      </w:hyperlink>
      <w:r>
        <w:rPr>
          <w:sz w:val="16"/>
        </w:rPr>
        <w:t>.</w:t>
      </w:r>
    </w:p>
    <w:p w14:paraId="71F0DC99" w14:textId="77777777" w:rsidR="00467FCA" w:rsidRDefault="00467FCA">
      <w:pPr>
        <w:pStyle w:val="Textoindependiente"/>
      </w:pPr>
    </w:p>
    <w:p w14:paraId="404BE121" w14:textId="77777777" w:rsidR="00467FCA" w:rsidRDefault="001B68EB">
      <w:pPr>
        <w:pStyle w:val="Prrafodelista"/>
        <w:numPr>
          <w:ilvl w:val="0"/>
          <w:numId w:val="50"/>
        </w:numPr>
        <w:tabs>
          <w:tab w:val="left" w:pos="687"/>
        </w:tabs>
        <w:ind w:left="119" w:right="119" w:firstLine="0"/>
        <w:jc w:val="both"/>
        <w:rPr>
          <w:sz w:val="20"/>
        </w:rPr>
      </w:pPr>
      <w:r>
        <w:rPr>
          <w:sz w:val="20"/>
        </w:rPr>
        <w:t>En</w:t>
      </w:r>
      <w:r>
        <w:rPr>
          <w:spacing w:val="-10"/>
          <w:sz w:val="20"/>
        </w:rPr>
        <w:t xml:space="preserve"> </w:t>
      </w:r>
      <w:r>
        <w:rPr>
          <w:sz w:val="20"/>
        </w:rPr>
        <w:t>ese</w:t>
      </w:r>
      <w:r>
        <w:rPr>
          <w:spacing w:val="-9"/>
          <w:sz w:val="20"/>
        </w:rPr>
        <w:t xml:space="preserve"> </w:t>
      </w:r>
      <w:r>
        <w:rPr>
          <w:sz w:val="20"/>
        </w:rPr>
        <w:t>sentido,</w:t>
      </w:r>
      <w:r>
        <w:rPr>
          <w:spacing w:val="-8"/>
          <w:sz w:val="20"/>
        </w:rPr>
        <w:t xml:space="preserve"> </w:t>
      </w:r>
      <w:r>
        <w:rPr>
          <w:sz w:val="20"/>
        </w:rPr>
        <w:t>en</w:t>
      </w:r>
      <w:r>
        <w:rPr>
          <w:spacing w:val="-7"/>
          <w:sz w:val="20"/>
        </w:rPr>
        <w:t xml:space="preserve"> </w:t>
      </w:r>
      <w:r>
        <w:rPr>
          <w:sz w:val="20"/>
        </w:rPr>
        <w:t>este</w:t>
      </w:r>
      <w:r>
        <w:rPr>
          <w:spacing w:val="-9"/>
          <w:sz w:val="20"/>
        </w:rPr>
        <w:t xml:space="preserve"> </w:t>
      </w:r>
      <w:r>
        <w:rPr>
          <w:sz w:val="20"/>
        </w:rPr>
        <w:t>apartado</w:t>
      </w:r>
      <w:r>
        <w:rPr>
          <w:spacing w:val="-11"/>
          <w:sz w:val="20"/>
        </w:rPr>
        <w:t xml:space="preserve"> </w:t>
      </w:r>
      <w:r>
        <w:rPr>
          <w:sz w:val="20"/>
        </w:rPr>
        <w:t>la</w:t>
      </w:r>
      <w:r>
        <w:rPr>
          <w:spacing w:val="-8"/>
          <w:sz w:val="20"/>
        </w:rPr>
        <w:t xml:space="preserve"> </w:t>
      </w:r>
      <w:r>
        <w:rPr>
          <w:sz w:val="20"/>
        </w:rPr>
        <w:t>Corte</w:t>
      </w:r>
      <w:r>
        <w:rPr>
          <w:spacing w:val="-9"/>
          <w:sz w:val="20"/>
        </w:rPr>
        <w:t xml:space="preserve"> </w:t>
      </w:r>
      <w:r>
        <w:rPr>
          <w:sz w:val="20"/>
        </w:rPr>
        <w:t>se</w:t>
      </w:r>
      <w:r>
        <w:rPr>
          <w:spacing w:val="-12"/>
          <w:sz w:val="20"/>
        </w:rPr>
        <w:t xml:space="preserve"> </w:t>
      </w:r>
      <w:r>
        <w:rPr>
          <w:sz w:val="20"/>
        </w:rPr>
        <w:t>pronunciará</w:t>
      </w:r>
      <w:r>
        <w:rPr>
          <w:spacing w:val="-10"/>
          <w:sz w:val="20"/>
        </w:rPr>
        <w:t xml:space="preserve"> </w:t>
      </w:r>
      <w:r>
        <w:rPr>
          <w:sz w:val="20"/>
        </w:rPr>
        <w:t>sobre</w:t>
      </w:r>
      <w:r>
        <w:rPr>
          <w:spacing w:val="-9"/>
          <w:sz w:val="20"/>
        </w:rPr>
        <w:t xml:space="preserve"> </w:t>
      </w:r>
      <w:r>
        <w:rPr>
          <w:sz w:val="20"/>
        </w:rPr>
        <w:t>el</w:t>
      </w:r>
      <w:r>
        <w:rPr>
          <w:spacing w:val="-10"/>
          <w:sz w:val="20"/>
        </w:rPr>
        <w:t xml:space="preserve"> </w:t>
      </w:r>
      <w:r>
        <w:rPr>
          <w:sz w:val="20"/>
        </w:rPr>
        <w:t>derecho</w:t>
      </w:r>
      <w:r>
        <w:rPr>
          <w:spacing w:val="-11"/>
          <w:sz w:val="20"/>
        </w:rPr>
        <w:t xml:space="preserve"> </w:t>
      </w:r>
      <w:r>
        <w:rPr>
          <w:sz w:val="20"/>
        </w:rPr>
        <w:t>a</w:t>
      </w:r>
      <w:r>
        <w:rPr>
          <w:spacing w:val="-10"/>
          <w:sz w:val="20"/>
        </w:rPr>
        <w:t xml:space="preserve"> </w:t>
      </w:r>
      <w:r>
        <w:rPr>
          <w:sz w:val="20"/>
        </w:rPr>
        <w:t>condiciones de trabajo equitativas y satisfactorias como componente del derecho al trabajo</w:t>
      </w:r>
      <w:hyperlink w:anchor="_bookmark265" w:history="1">
        <w:r>
          <w:rPr>
            <w:position w:val="7"/>
            <w:sz w:val="13"/>
          </w:rPr>
          <w:t>221</w:t>
        </w:r>
      </w:hyperlink>
      <w:r>
        <w:rPr>
          <w:sz w:val="20"/>
        </w:rPr>
        <w:t>, y a su alegada</w:t>
      </w:r>
      <w:r>
        <w:rPr>
          <w:spacing w:val="-9"/>
          <w:sz w:val="20"/>
        </w:rPr>
        <w:t xml:space="preserve"> </w:t>
      </w:r>
      <w:r>
        <w:rPr>
          <w:sz w:val="20"/>
        </w:rPr>
        <w:t>violación</w:t>
      </w:r>
      <w:r>
        <w:rPr>
          <w:spacing w:val="-5"/>
          <w:sz w:val="20"/>
        </w:rPr>
        <w:t xml:space="preserve"> </w:t>
      </w:r>
      <w:r>
        <w:rPr>
          <w:sz w:val="20"/>
        </w:rPr>
        <w:t>respecto</w:t>
      </w:r>
      <w:r>
        <w:rPr>
          <w:spacing w:val="-9"/>
          <w:sz w:val="20"/>
        </w:rPr>
        <w:t xml:space="preserve"> </w:t>
      </w:r>
      <w:r>
        <w:rPr>
          <w:sz w:val="20"/>
        </w:rPr>
        <w:t>de</w:t>
      </w:r>
      <w:r>
        <w:rPr>
          <w:spacing w:val="-8"/>
          <w:sz w:val="20"/>
        </w:rPr>
        <w:t xml:space="preserve"> </w:t>
      </w:r>
      <w:r>
        <w:rPr>
          <w:sz w:val="20"/>
        </w:rPr>
        <w:t>las</w:t>
      </w:r>
      <w:r>
        <w:rPr>
          <w:spacing w:val="-10"/>
          <w:sz w:val="20"/>
        </w:rPr>
        <w:t xml:space="preserve"> </w:t>
      </w:r>
      <w:r>
        <w:rPr>
          <w:sz w:val="20"/>
        </w:rPr>
        <w:t>trabajadoras</w:t>
      </w:r>
      <w:r>
        <w:rPr>
          <w:spacing w:val="-9"/>
          <w:sz w:val="20"/>
        </w:rPr>
        <w:t xml:space="preserve"> </w:t>
      </w:r>
      <w:r>
        <w:rPr>
          <w:sz w:val="20"/>
        </w:rPr>
        <w:t>de</w:t>
      </w:r>
      <w:r>
        <w:rPr>
          <w:spacing w:val="-10"/>
          <w:sz w:val="20"/>
        </w:rPr>
        <w:t xml:space="preserve"> </w:t>
      </w:r>
      <w:r>
        <w:rPr>
          <w:sz w:val="20"/>
        </w:rPr>
        <w:t>la</w:t>
      </w:r>
      <w:r>
        <w:rPr>
          <w:spacing w:val="-8"/>
          <w:sz w:val="20"/>
        </w:rPr>
        <w:t xml:space="preserve"> </w:t>
      </w:r>
      <w:r>
        <w:rPr>
          <w:sz w:val="20"/>
        </w:rPr>
        <w:t>fábrica</w:t>
      </w:r>
      <w:r>
        <w:rPr>
          <w:spacing w:val="-6"/>
          <w:sz w:val="20"/>
        </w:rPr>
        <w:t xml:space="preserve"> </w:t>
      </w:r>
      <w:r>
        <w:rPr>
          <w:sz w:val="20"/>
        </w:rPr>
        <w:t>de</w:t>
      </w:r>
      <w:r>
        <w:rPr>
          <w:spacing w:val="-8"/>
          <w:sz w:val="20"/>
        </w:rPr>
        <w:t xml:space="preserve"> </w:t>
      </w:r>
      <w:r>
        <w:rPr>
          <w:sz w:val="20"/>
        </w:rPr>
        <w:t>fuegos.</w:t>
      </w:r>
      <w:r>
        <w:rPr>
          <w:spacing w:val="-6"/>
          <w:sz w:val="20"/>
        </w:rPr>
        <w:t xml:space="preserve"> </w:t>
      </w:r>
      <w:r>
        <w:rPr>
          <w:sz w:val="20"/>
        </w:rPr>
        <w:t>Para</w:t>
      </w:r>
      <w:r>
        <w:rPr>
          <w:spacing w:val="-9"/>
          <w:sz w:val="20"/>
        </w:rPr>
        <w:t xml:space="preserve"> </w:t>
      </w:r>
      <w:r>
        <w:rPr>
          <w:sz w:val="20"/>
        </w:rPr>
        <w:t>tal</w:t>
      </w:r>
      <w:r>
        <w:rPr>
          <w:spacing w:val="-6"/>
          <w:sz w:val="20"/>
        </w:rPr>
        <w:t xml:space="preserve"> </w:t>
      </w:r>
      <w:r>
        <w:rPr>
          <w:sz w:val="20"/>
        </w:rPr>
        <w:t>efecto</w:t>
      </w:r>
      <w:r>
        <w:rPr>
          <w:spacing w:val="-7"/>
          <w:sz w:val="20"/>
        </w:rPr>
        <w:t xml:space="preserve"> </w:t>
      </w:r>
      <w:r>
        <w:rPr>
          <w:sz w:val="20"/>
        </w:rPr>
        <w:t>seguirá el siguiente orden: en pri</w:t>
      </w:r>
      <w:r>
        <w:rPr>
          <w:sz w:val="20"/>
        </w:rPr>
        <w:t>mer lugar, se referirá (1) al derecho a condiciones equitativas y satisfactorias</w:t>
      </w:r>
      <w:r>
        <w:rPr>
          <w:spacing w:val="-10"/>
          <w:sz w:val="20"/>
        </w:rPr>
        <w:t xml:space="preserve"> </w:t>
      </w:r>
      <w:r>
        <w:rPr>
          <w:sz w:val="20"/>
        </w:rPr>
        <w:t>que</w:t>
      </w:r>
      <w:r>
        <w:rPr>
          <w:spacing w:val="-10"/>
          <w:sz w:val="20"/>
        </w:rPr>
        <w:t xml:space="preserve"> </w:t>
      </w:r>
      <w:r>
        <w:rPr>
          <w:sz w:val="20"/>
        </w:rPr>
        <w:t>garanticen</w:t>
      </w:r>
      <w:r>
        <w:rPr>
          <w:spacing w:val="-8"/>
          <w:sz w:val="20"/>
        </w:rPr>
        <w:t xml:space="preserve"> </w:t>
      </w:r>
      <w:r>
        <w:rPr>
          <w:sz w:val="20"/>
        </w:rPr>
        <w:t>la</w:t>
      </w:r>
      <w:r>
        <w:rPr>
          <w:spacing w:val="-9"/>
          <w:sz w:val="20"/>
        </w:rPr>
        <w:t xml:space="preserve"> </w:t>
      </w:r>
      <w:r>
        <w:rPr>
          <w:sz w:val="20"/>
        </w:rPr>
        <w:t>seguridad,</w:t>
      </w:r>
      <w:r>
        <w:rPr>
          <w:spacing w:val="-10"/>
          <w:sz w:val="20"/>
        </w:rPr>
        <w:t xml:space="preserve"> </w:t>
      </w:r>
      <w:r>
        <w:rPr>
          <w:sz w:val="20"/>
        </w:rPr>
        <w:t>la</w:t>
      </w:r>
      <w:r>
        <w:rPr>
          <w:spacing w:val="-9"/>
          <w:sz w:val="20"/>
        </w:rPr>
        <w:t xml:space="preserve"> </w:t>
      </w:r>
      <w:r>
        <w:rPr>
          <w:sz w:val="20"/>
        </w:rPr>
        <w:t>salud</w:t>
      </w:r>
      <w:r>
        <w:rPr>
          <w:spacing w:val="-7"/>
          <w:sz w:val="20"/>
        </w:rPr>
        <w:t xml:space="preserve"> </w:t>
      </w:r>
      <w:r>
        <w:rPr>
          <w:sz w:val="20"/>
        </w:rPr>
        <w:t>y</w:t>
      </w:r>
      <w:r>
        <w:rPr>
          <w:spacing w:val="-9"/>
          <w:sz w:val="20"/>
        </w:rPr>
        <w:t xml:space="preserve"> </w:t>
      </w:r>
      <w:r>
        <w:rPr>
          <w:sz w:val="20"/>
        </w:rPr>
        <w:t>la</w:t>
      </w:r>
      <w:r>
        <w:rPr>
          <w:spacing w:val="-9"/>
          <w:sz w:val="20"/>
        </w:rPr>
        <w:t xml:space="preserve"> </w:t>
      </w:r>
      <w:r>
        <w:rPr>
          <w:sz w:val="20"/>
        </w:rPr>
        <w:t>higiene</w:t>
      </w:r>
      <w:r>
        <w:rPr>
          <w:spacing w:val="-10"/>
          <w:sz w:val="20"/>
        </w:rPr>
        <w:t xml:space="preserve"> </w:t>
      </w:r>
      <w:r>
        <w:rPr>
          <w:sz w:val="20"/>
        </w:rPr>
        <w:t>en</w:t>
      </w:r>
      <w:r>
        <w:rPr>
          <w:spacing w:val="-8"/>
          <w:sz w:val="20"/>
        </w:rPr>
        <w:t xml:space="preserve"> </w:t>
      </w:r>
      <w:r>
        <w:rPr>
          <w:sz w:val="20"/>
        </w:rPr>
        <w:t>el</w:t>
      </w:r>
      <w:r>
        <w:rPr>
          <w:spacing w:val="-8"/>
          <w:sz w:val="20"/>
        </w:rPr>
        <w:t xml:space="preserve"> </w:t>
      </w:r>
      <w:r>
        <w:rPr>
          <w:sz w:val="20"/>
        </w:rPr>
        <w:t>trabajo.</w:t>
      </w:r>
      <w:r>
        <w:rPr>
          <w:spacing w:val="-9"/>
          <w:sz w:val="20"/>
        </w:rPr>
        <w:t xml:space="preserve"> </w:t>
      </w:r>
      <w:r>
        <w:rPr>
          <w:sz w:val="20"/>
        </w:rPr>
        <w:t>Posteriormente, en atención a los alegatos de la Comisión y los representantes, en el sentido de que niños y niñas se encontraban expuestos a una forma de trabajo especialmente peligroso, la Corte se referirá (2) a la prohibición del trabajo infantil en co</w:t>
      </w:r>
      <w:r>
        <w:rPr>
          <w:sz w:val="20"/>
        </w:rPr>
        <w:t>ndiciones peligrosas e insalubres y del trabajo de menores de 14 años. En tercer lugar, (3) hará referencia a la prohibición de discriminación</w:t>
      </w:r>
      <w:r>
        <w:rPr>
          <w:spacing w:val="-17"/>
          <w:sz w:val="20"/>
        </w:rPr>
        <w:t xml:space="preserve"> </w:t>
      </w:r>
      <w:r>
        <w:rPr>
          <w:sz w:val="20"/>
        </w:rPr>
        <w:t>y</w:t>
      </w:r>
      <w:r>
        <w:rPr>
          <w:spacing w:val="-16"/>
          <w:sz w:val="20"/>
        </w:rPr>
        <w:t xml:space="preserve"> </w:t>
      </w:r>
      <w:r>
        <w:rPr>
          <w:sz w:val="20"/>
        </w:rPr>
        <w:t>su</w:t>
      </w:r>
      <w:r>
        <w:rPr>
          <w:spacing w:val="-14"/>
          <w:sz w:val="20"/>
        </w:rPr>
        <w:t xml:space="preserve"> </w:t>
      </w:r>
      <w:r>
        <w:rPr>
          <w:sz w:val="20"/>
        </w:rPr>
        <w:t>relación</w:t>
      </w:r>
      <w:r>
        <w:rPr>
          <w:spacing w:val="-17"/>
          <w:sz w:val="20"/>
        </w:rPr>
        <w:t xml:space="preserve"> </w:t>
      </w:r>
      <w:r>
        <w:rPr>
          <w:sz w:val="20"/>
        </w:rPr>
        <w:t>con</w:t>
      </w:r>
      <w:r>
        <w:rPr>
          <w:spacing w:val="-14"/>
          <w:sz w:val="20"/>
        </w:rPr>
        <w:t xml:space="preserve"> </w:t>
      </w:r>
      <w:r>
        <w:rPr>
          <w:sz w:val="20"/>
        </w:rPr>
        <w:t>el</w:t>
      </w:r>
      <w:r>
        <w:rPr>
          <w:spacing w:val="-18"/>
          <w:sz w:val="20"/>
        </w:rPr>
        <w:t xml:space="preserve"> </w:t>
      </w:r>
      <w:r>
        <w:rPr>
          <w:sz w:val="20"/>
        </w:rPr>
        <w:t>caso</w:t>
      </w:r>
      <w:r>
        <w:rPr>
          <w:spacing w:val="-16"/>
          <w:sz w:val="20"/>
        </w:rPr>
        <w:t xml:space="preserve"> </w:t>
      </w:r>
      <w:r>
        <w:rPr>
          <w:sz w:val="20"/>
        </w:rPr>
        <w:t>concreto</w:t>
      </w:r>
      <w:r>
        <w:rPr>
          <w:spacing w:val="-17"/>
          <w:sz w:val="20"/>
        </w:rPr>
        <w:t xml:space="preserve"> </w:t>
      </w:r>
      <w:r>
        <w:rPr>
          <w:sz w:val="20"/>
        </w:rPr>
        <w:t>y,</w:t>
      </w:r>
      <w:r>
        <w:rPr>
          <w:spacing w:val="-18"/>
          <w:sz w:val="20"/>
        </w:rPr>
        <w:t xml:space="preserve"> </w:t>
      </w:r>
      <w:r>
        <w:rPr>
          <w:sz w:val="20"/>
        </w:rPr>
        <w:t>por</w:t>
      </w:r>
      <w:r>
        <w:rPr>
          <w:spacing w:val="-17"/>
          <w:sz w:val="20"/>
        </w:rPr>
        <w:t xml:space="preserve"> </w:t>
      </w:r>
      <w:r>
        <w:rPr>
          <w:sz w:val="20"/>
        </w:rPr>
        <w:t>último,</w:t>
      </w:r>
      <w:r>
        <w:rPr>
          <w:spacing w:val="-16"/>
          <w:sz w:val="20"/>
        </w:rPr>
        <w:t xml:space="preserve"> </w:t>
      </w:r>
      <w:r>
        <w:rPr>
          <w:sz w:val="20"/>
        </w:rPr>
        <w:t>(4)</w:t>
      </w:r>
      <w:r>
        <w:rPr>
          <w:spacing w:val="-18"/>
          <w:sz w:val="20"/>
        </w:rPr>
        <w:t xml:space="preserve"> </w:t>
      </w:r>
      <w:r>
        <w:rPr>
          <w:sz w:val="20"/>
        </w:rPr>
        <w:t>presentará</w:t>
      </w:r>
      <w:r>
        <w:rPr>
          <w:spacing w:val="-17"/>
          <w:sz w:val="20"/>
        </w:rPr>
        <w:t xml:space="preserve"> </w:t>
      </w:r>
      <w:r>
        <w:rPr>
          <w:sz w:val="20"/>
        </w:rPr>
        <w:t>las</w:t>
      </w:r>
      <w:r>
        <w:rPr>
          <w:spacing w:val="-17"/>
          <w:sz w:val="20"/>
        </w:rPr>
        <w:t xml:space="preserve"> </w:t>
      </w:r>
      <w:r>
        <w:rPr>
          <w:sz w:val="20"/>
        </w:rPr>
        <w:t>conclusiones</w:t>
      </w:r>
    </w:p>
    <w:p w14:paraId="3A087918" w14:textId="77777777" w:rsidR="00467FCA" w:rsidRDefault="001B68EB">
      <w:pPr>
        <w:pStyle w:val="Textoindependiente"/>
        <w:spacing w:before="7"/>
        <w:rPr>
          <w:sz w:val="29"/>
        </w:rPr>
      </w:pPr>
      <w:r>
        <w:pict w14:anchorId="7B3DA408">
          <v:shape id="_x0000_s1156" style="position:absolute;margin-left:1in;margin-top:20.25pt;width:2in;height:.1pt;z-index:-251617280;mso-wrap-distance-left:0;mso-wrap-distance-right:0;mso-position-horizontal-relative:page" coordorigin="1440,405" coordsize="2880,0" path="m1440,405r2880,e" filled="f" strokeweight=".6pt">
            <v:path arrowok="t"/>
            <w10:wrap type="topAndBottom" anchorx="page"/>
          </v:shape>
        </w:pict>
      </w:r>
    </w:p>
    <w:p w14:paraId="721A59D8" w14:textId="77777777" w:rsidR="00467FCA" w:rsidRDefault="001B68EB">
      <w:pPr>
        <w:tabs>
          <w:tab w:val="left" w:pos="839"/>
        </w:tabs>
        <w:spacing w:before="74"/>
        <w:ind w:left="120"/>
        <w:rPr>
          <w:sz w:val="16"/>
        </w:rPr>
      </w:pPr>
      <w:bookmarkStart w:id="305" w:name="_bookmark262"/>
      <w:bookmarkEnd w:id="305"/>
      <w:r>
        <w:rPr>
          <w:position w:val="6"/>
          <w:sz w:val="10"/>
        </w:rPr>
        <w:t>218</w:t>
      </w:r>
      <w:r>
        <w:rPr>
          <w:position w:val="6"/>
          <w:sz w:val="10"/>
        </w:rPr>
        <w:tab/>
      </w:r>
      <w:r>
        <w:rPr>
          <w:i/>
          <w:sz w:val="16"/>
        </w:rPr>
        <w:t xml:space="preserve">Cfr. </w:t>
      </w:r>
      <w:r>
        <w:rPr>
          <w:sz w:val="16"/>
        </w:rPr>
        <w:t>Consolidación de las</w:t>
      </w:r>
      <w:r>
        <w:rPr>
          <w:sz w:val="16"/>
        </w:rPr>
        <w:t xml:space="preserve"> Leyes del Trabajo, </w:t>
      </w:r>
      <w:r>
        <w:rPr>
          <w:i/>
          <w:sz w:val="16"/>
        </w:rPr>
        <w:t>supra</w:t>
      </w:r>
      <w:r>
        <w:rPr>
          <w:sz w:val="16"/>
        </w:rPr>
        <w:t>, artículo</w:t>
      </w:r>
      <w:r>
        <w:rPr>
          <w:spacing w:val="-21"/>
          <w:sz w:val="16"/>
        </w:rPr>
        <w:t xml:space="preserve"> </w:t>
      </w:r>
      <w:r>
        <w:rPr>
          <w:sz w:val="16"/>
        </w:rPr>
        <w:t>193.</w:t>
      </w:r>
    </w:p>
    <w:p w14:paraId="77F5A249" w14:textId="77777777" w:rsidR="00467FCA" w:rsidRDefault="001B68EB">
      <w:pPr>
        <w:tabs>
          <w:tab w:val="left" w:pos="839"/>
        </w:tabs>
        <w:ind w:left="120"/>
        <w:rPr>
          <w:sz w:val="16"/>
        </w:rPr>
      </w:pPr>
      <w:bookmarkStart w:id="306" w:name="_bookmark263"/>
      <w:bookmarkEnd w:id="306"/>
      <w:r>
        <w:rPr>
          <w:position w:val="6"/>
          <w:sz w:val="10"/>
        </w:rPr>
        <w:t>219</w:t>
      </w:r>
      <w:r>
        <w:rPr>
          <w:position w:val="6"/>
          <w:sz w:val="10"/>
        </w:rPr>
        <w:tab/>
      </w:r>
      <w:bookmarkStart w:id="307" w:name="_bookmark264"/>
      <w:bookmarkEnd w:id="307"/>
      <w:r>
        <w:rPr>
          <w:i/>
          <w:sz w:val="16"/>
        </w:rPr>
        <w:t xml:space="preserve">Cfr. </w:t>
      </w:r>
      <w:r>
        <w:rPr>
          <w:sz w:val="16"/>
        </w:rPr>
        <w:t xml:space="preserve">Consolidación de las Leyes del Trabajo, </w:t>
      </w:r>
      <w:r>
        <w:rPr>
          <w:i/>
          <w:sz w:val="16"/>
        </w:rPr>
        <w:t>supra</w:t>
      </w:r>
      <w:r>
        <w:rPr>
          <w:sz w:val="16"/>
        </w:rPr>
        <w:t>, artículo</w:t>
      </w:r>
      <w:r>
        <w:rPr>
          <w:spacing w:val="-21"/>
          <w:sz w:val="16"/>
        </w:rPr>
        <w:t xml:space="preserve"> </w:t>
      </w:r>
      <w:r>
        <w:rPr>
          <w:sz w:val="16"/>
        </w:rPr>
        <w:t>195.</w:t>
      </w:r>
    </w:p>
    <w:p w14:paraId="255FBD3D" w14:textId="77777777" w:rsidR="00467FCA" w:rsidRDefault="001B68EB">
      <w:pPr>
        <w:tabs>
          <w:tab w:val="left" w:pos="839"/>
        </w:tabs>
        <w:ind w:left="120"/>
        <w:rPr>
          <w:sz w:val="16"/>
        </w:rPr>
      </w:pPr>
      <w:r>
        <w:rPr>
          <w:position w:val="6"/>
          <w:sz w:val="10"/>
        </w:rPr>
        <w:t>220</w:t>
      </w:r>
      <w:r>
        <w:rPr>
          <w:position w:val="6"/>
          <w:sz w:val="10"/>
        </w:rPr>
        <w:tab/>
      </w:r>
      <w:r>
        <w:rPr>
          <w:i/>
          <w:sz w:val="16"/>
        </w:rPr>
        <w:t>Caso Poblete Vilches y Otros Vs. Chile, supra</w:t>
      </w:r>
      <w:r>
        <w:rPr>
          <w:sz w:val="16"/>
        </w:rPr>
        <w:t>, párr.</w:t>
      </w:r>
      <w:r>
        <w:rPr>
          <w:spacing w:val="-16"/>
          <w:sz w:val="16"/>
        </w:rPr>
        <w:t xml:space="preserve"> </w:t>
      </w:r>
      <w:r>
        <w:rPr>
          <w:sz w:val="16"/>
        </w:rPr>
        <w:t>103.</w:t>
      </w:r>
    </w:p>
    <w:p w14:paraId="64EB843B" w14:textId="77777777" w:rsidR="00467FCA" w:rsidRDefault="001B68EB">
      <w:pPr>
        <w:tabs>
          <w:tab w:val="left" w:pos="839"/>
        </w:tabs>
        <w:ind w:left="118" w:right="113" w:firstLine="1"/>
        <w:jc w:val="both"/>
        <w:rPr>
          <w:sz w:val="16"/>
        </w:rPr>
      </w:pPr>
      <w:bookmarkStart w:id="308" w:name="_bookmark265"/>
      <w:bookmarkEnd w:id="308"/>
      <w:r>
        <w:rPr>
          <w:position w:val="6"/>
          <w:sz w:val="10"/>
        </w:rPr>
        <w:t>221</w:t>
      </w:r>
      <w:r>
        <w:rPr>
          <w:position w:val="6"/>
          <w:sz w:val="10"/>
        </w:rPr>
        <w:tab/>
      </w:r>
      <w:r>
        <w:rPr>
          <w:i/>
          <w:sz w:val="16"/>
        </w:rPr>
        <w:t xml:space="preserve">Cfr. </w:t>
      </w:r>
      <w:r>
        <w:rPr>
          <w:sz w:val="16"/>
        </w:rPr>
        <w:t xml:space="preserve">Comité de Derechos Económicos, Sociales y Culturales, </w:t>
      </w:r>
      <w:r>
        <w:rPr>
          <w:i/>
          <w:sz w:val="16"/>
        </w:rPr>
        <w:t xml:space="preserve">Observación General No. 23: El derecho a condiciones de trabajo equitativas y satisfactorias, </w:t>
      </w:r>
      <w:r>
        <w:rPr>
          <w:sz w:val="16"/>
        </w:rPr>
        <w:t xml:space="preserve">UN Doc. E/C.12/GC/23, 27 de abril de 2016, y </w:t>
      </w:r>
      <w:r>
        <w:rPr>
          <w:i/>
          <w:sz w:val="16"/>
        </w:rPr>
        <w:t>Caso Spoltore Vs. Argentina</w:t>
      </w:r>
      <w:r>
        <w:rPr>
          <w:sz w:val="16"/>
        </w:rPr>
        <w:t xml:space="preserve">, </w:t>
      </w:r>
      <w:r>
        <w:rPr>
          <w:i/>
          <w:sz w:val="16"/>
        </w:rPr>
        <w:t>supra</w:t>
      </w:r>
      <w:r>
        <w:rPr>
          <w:sz w:val="16"/>
        </w:rPr>
        <w:t>, párr. 82 a</w:t>
      </w:r>
      <w:r>
        <w:rPr>
          <w:spacing w:val="-7"/>
          <w:sz w:val="16"/>
        </w:rPr>
        <w:t xml:space="preserve"> </w:t>
      </w:r>
      <w:r>
        <w:rPr>
          <w:sz w:val="16"/>
        </w:rPr>
        <w:t>100.</w:t>
      </w:r>
    </w:p>
    <w:p w14:paraId="3A3CB8AE" w14:textId="77777777" w:rsidR="00467FCA" w:rsidRDefault="00467FCA">
      <w:pPr>
        <w:jc w:val="both"/>
        <w:rPr>
          <w:sz w:val="16"/>
        </w:rPr>
        <w:sectPr w:rsidR="00467FCA">
          <w:pgSz w:w="12240" w:h="15840"/>
          <w:pgMar w:top="1500" w:right="1320" w:bottom="1220" w:left="1320" w:header="0" w:footer="1037" w:gutter="0"/>
          <w:cols w:space="720"/>
        </w:sectPr>
      </w:pPr>
    </w:p>
    <w:p w14:paraId="4685BE9B" w14:textId="77777777" w:rsidR="00467FCA" w:rsidRDefault="001B68EB">
      <w:pPr>
        <w:pStyle w:val="Textoindependiente"/>
        <w:spacing w:before="80"/>
        <w:ind w:left="120"/>
      </w:pPr>
      <w:r>
        <w:t>de este apartado.</w:t>
      </w:r>
    </w:p>
    <w:p w14:paraId="13EE2085" w14:textId="77777777" w:rsidR="00467FCA" w:rsidRDefault="00467FCA">
      <w:pPr>
        <w:pStyle w:val="Textoindependiente"/>
        <w:spacing w:before="1"/>
      </w:pPr>
    </w:p>
    <w:p w14:paraId="31624A7C" w14:textId="77777777" w:rsidR="00467FCA" w:rsidRDefault="001B68EB">
      <w:pPr>
        <w:pStyle w:val="Ttulo2"/>
        <w:numPr>
          <w:ilvl w:val="3"/>
          <w:numId w:val="41"/>
        </w:numPr>
        <w:tabs>
          <w:tab w:val="left" w:pos="1559"/>
          <w:tab w:val="left" w:pos="1561"/>
        </w:tabs>
        <w:ind w:right="122" w:hanging="1"/>
      </w:pPr>
      <w:bookmarkStart w:id="309" w:name="B.1__El_derecho_a_condiciones_equitativa"/>
      <w:bookmarkStart w:id="310" w:name="_bookmark266"/>
      <w:bookmarkEnd w:id="309"/>
      <w:bookmarkEnd w:id="310"/>
      <w:r>
        <w:t xml:space="preserve">El derecho a condiciones equitativas y satisfactorias que garanticen la </w:t>
      </w:r>
      <w:r>
        <w:t>seguridad, la salud y la higiene en el</w:t>
      </w:r>
      <w:r>
        <w:rPr>
          <w:spacing w:val="-5"/>
        </w:rPr>
        <w:t xml:space="preserve"> </w:t>
      </w:r>
      <w:r>
        <w:t>trabajo</w:t>
      </w:r>
    </w:p>
    <w:p w14:paraId="22D04B6B" w14:textId="77777777" w:rsidR="00467FCA" w:rsidRDefault="00467FCA">
      <w:pPr>
        <w:pStyle w:val="Textoindependiente"/>
        <w:spacing w:before="10"/>
        <w:rPr>
          <w:b/>
          <w:i/>
          <w:sz w:val="19"/>
        </w:rPr>
      </w:pPr>
    </w:p>
    <w:p w14:paraId="2BEA0F94" w14:textId="77777777" w:rsidR="00467FCA" w:rsidRDefault="001B68EB">
      <w:pPr>
        <w:pStyle w:val="Prrafodelista"/>
        <w:numPr>
          <w:ilvl w:val="0"/>
          <w:numId w:val="50"/>
        </w:numPr>
        <w:tabs>
          <w:tab w:val="left" w:pos="687"/>
        </w:tabs>
        <w:spacing w:before="1"/>
        <w:ind w:left="119" w:right="114" w:firstLine="0"/>
        <w:jc w:val="both"/>
        <w:rPr>
          <w:sz w:val="20"/>
        </w:rPr>
      </w:pPr>
      <w:r>
        <w:rPr>
          <w:sz w:val="20"/>
        </w:rPr>
        <w:t>Para identificar aquellos derechos que pueden ser derivados interpretativamente del artículo 26 de la C</w:t>
      </w:r>
      <w:r>
        <w:rPr>
          <w:sz w:val="20"/>
        </w:rPr>
        <w:t>onvención Americana, se debe considerar que este realiza una remisión directa a las normas económicas, sociales y sobre educación, ciencia y cultura contenidas en la Carta de la OEA. De una lectura de este último instrumento, la Corte advierte que los artí</w:t>
      </w:r>
      <w:r>
        <w:rPr>
          <w:sz w:val="20"/>
        </w:rPr>
        <w:t>culos</w:t>
      </w:r>
      <w:r>
        <w:rPr>
          <w:spacing w:val="-7"/>
          <w:sz w:val="20"/>
        </w:rPr>
        <w:t xml:space="preserve"> </w:t>
      </w:r>
      <w:r>
        <w:rPr>
          <w:sz w:val="20"/>
        </w:rPr>
        <w:t>45.b</w:t>
      </w:r>
      <w:r>
        <w:rPr>
          <w:spacing w:val="-8"/>
          <w:sz w:val="20"/>
        </w:rPr>
        <w:t xml:space="preserve"> </w:t>
      </w:r>
      <w:r>
        <w:rPr>
          <w:sz w:val="20"/>
        </w:rPr>
        <w:t>y</w:t>
      </w:r>
      <w:r>
        <w:rPr>
          <w:spacing w:val="-6"/>
          <w:sz w:val="20"/>
        </w:rPr>
        <w:t xml:space="preserve"> </w:t>
      </w:r>
      <w:r>
        <w:rPr>
          <w:sz w:val="20"/>
        </w:rPr>
        <w:t>c</w:t>
      </w:r>
      <w:hyperlink w:anchor="_bookmark267" w:history="1">
        <w:r>
          <w:rPr>
            <w:position w:val="7"/>
            <w:sz w:val="13"/>
          </w:rPr>
          <w:t>222</w:t>
        </w:r>
      </w:hyperlink>
      <w:r>
        <w:rPr>
          <w:sz w:val="20"/>
        </w:rPr>
        <w:t>,</w:t>
      </w:r>
      <w:r>
        <w:rPr>
          <w:spacing w:val="-9"/>
          <w:sz w:val="20"/>
        </w:rPr>
        <w:t xml:space="preserve"> </w:t>
      </w:r>
      <w:r>
        <w:rPr>
          <w:sz w:val="20"/>
        </w:rPr>
        <w:t>46</w:t>
      </w:r>
      <w:hyperlink w:anchor="_bookmark268" w:history="1">
        <w:r>
          <w:rPr>
            <w:position w:val="7"/>
            <w:sz w:val="13"/>
          </w:rPr>
          <w:t>223</w:t>
        </w:r>
        <w:r>
          <w:rPr>
            <w:spacing w:val="15"/>
            <w:position w:val="7"/>
            <w:sz w:val="13"/>
          </w:rPr>
          <w:t xml:space="preserve"> </w:t>
        </w:r>
      </w:hyperlink>
      <w:r>
        <w:rPr>
          <w:sz w:val="20"/>
        </w:rPr>
        <w:t>y</w:t>
      </w:r>
      <w:r>
        <w:rPr>
          <w:spacing w:val="-9"/>
          <w:sz w:val="20"/>
        </w:rPr>
        <w:t xml:space="preserve"> </w:t>
      </w:r>
      <w:r>
        <w:rPr>
          <w:sz w:val="20"/>
        </w:rPr>
        <w:t>34.g</w:t>
      </w:r>
      <w:hyperlink w:anchor="_bookmark269" w:history="1">
        <w:r>
          <w:rPr>
            <w:position w:val="7"/>
            <w:sz w:val="13"/>
          </w:rPr>
          <w:t>224</w:t>
        </w:r>
        <w:r>
          <w:rPr>
            <w:spacing w:val="16"/>
            <w:position w:val="7"/>
            <w:sz w:val="13"/>
          </w:rPr>
          <w:t xml:space="preserve"> </w:t>
        </w:r>
      </w:hyperlink>
      <w:r>
        <w:rPr>
          <w:sz w:val="20"/>
        </w:rPr>
        <w:t>de</w:t>
      </w:r>
      <w:r>
        <w:rPr>
          <w:spacing w:val="-9"/>
          <w:sz w:val="20"/>
        </w:rPr>
        <w:t xml:space="preserve"> </w:t>
      </w:r>
      <w:r>
        <w:rPr>
          <w:sz w:val="20"/>
        </w:rPr>
        <w:t>la</w:t>
      </w:r>
      <w:r>
        <w:rPr>
          <w:spacing w:val="-6"/>
          <w:sz w:val="20"/>
        </w:rPr>
        <w:t xml:space="preserve"> </w:t>
      </w:r>
      <w:r>
        <w:rPr>
          <w:sz w:val="20"/>
        </w:rPr>
        <w:t>Carta</w:t>
      </w:r>
      <w:r>
        <w:rPr>
          <w:spacing w:val="-6"/>
          <w:sz w:val="20"/>
        </w:rPr>
        <w:t xml:space="preserve"> </w:t>
      </w:r>
      <w:r>
        <w:rPr>
          <w:sz w:val="20"/>
        </w:rPr>
        <w:t>establecen</w:t>
      </w:r>
      <w:r>
        <w:rPr>
          <w:spacing w:val="-7"/>
          <w:sz w:val="20"/>
        </w:rPr>
        <w:t xml:space="preserve"> </w:t>
      </w:r>
      <w:r>
        <w:rPr>
          <w:sz w:val="20"/>
        </w:rPr>
        <w:t>una</w:t>
      </w:r>
      <w:r>
        <w:rPr>
          <w:spacing w:val="-8"/>
          <w:sz w:val="20"/>
        </w:rPr>
        <w:t xml:space="preserve"> </w:t>
      </w:r>
      <w:r>
        <w:rPr>
          <w:sz w:val="20"/>
        </w:rPr>
        <w:t>serie</w:t>
      </w:r>
      <w:r>
        <w:rPr>
          <w:spacing w:val="-9"/>
          <w:sz w:val="20"/>
        </w:rPr>
        <w:t xml:space="preserve"> </w:t>
      </w:r>
      <w:r>
        <w:rPr>
          <w:sz w:val="20"/>
        </w:rPr>
        <w:t>de</w:t>
      </w:r>
      <w:r>
        <w:rPr>
          <w:spacing w:val="-8"/>
          <w:sz w:val="20"/>
        </w:rPr>
        <w:t xml:space="preserve"> </w:t>
      </w:r>
      <w:r>
        <w:rPr>
          <w:sz w:val="20"/>
        </w:rPr>
        <w:t>normas</w:t>
      </w:r>
      <w:r>
        <w:rPr>
          <w:spacing w:val="-7"/>
          <w:sz w:val="20"/>
        </w:rPr>
        <w:t xml:space="preserve"> </w:t>
      </w:r>
      <w:r>
        <w:rPr>
          <w:sz w:val="20"/>
        </w:rPr>
        <w:t>que</w:t>
      </w:r>
      <w:r>
        <w:rPr>
          <w:spacing w:val="-9"/>
          <w:sz w:val="20"/>
        </w:rPr>
        <w:t xml:space="preserve"> </w:t>
      </w:r>
      <w:r>
        <w:rPr>
          <w:sz w:val="20"/>
        </w:rPr>
        <w:t>permiten identificar</w:t>
      </w:r>
      <w:r>
        <w:rPr>
          <w:spacing w:val="-9"/>
          <w:sz w:val="20"/>
        </w:rPr>
        <w:t xml:space="preserve"> </w:t>
      </w:r>
      <w:r>
        <w:rPr>
          <w:sz w:val="20"/>
        </w:rPr>
        <w:t>el</w:t>
      </w:r>
      <w:r>
        <w:rPr>
          <w:spacing w:val="-9"/>
          <w:sz w:val="20"/>
        </w:rPr>
        <w:t xml:space="preserve"> </w:t>
      </w:r>
      <w:r>
        <w:rPr>
          <w:sz w:val="20"/>
        </w:rPr>
        <w:t>derecho</w:t>
      </w:r>
      <w:r>
        <w:rPr>
          <w:spacing w:val="-10"/>
          <w:sz w:val="20"/>
        </w:rPr>
        <w:t xml:space="preserve"> </w:t>
      </w:r>
      <w:r>
        <w:rPr>
          <w:sz w:val="20"/>
        </w:rPr>
        <w:t>al</w:t>
      </w:r>
      <w:r>
        <w:rPr>
          <w:spacing w:val="-5"/>
          <w:sz w:val="20"/>
        </w:rPr>
        <w:t xml:space="preserve"> </w:t>
      </w:r>
      <w:r>
        <w:rPr>
          <w:sz w:val="20"/>
        </w:rPr>
        <w:t>trabajo</w:t>
      </w:r>
      <w:hyperlink w:anchor="_bookmark270" w:history="1">
        <w:r>
          <w:rPr>
            <w:position w:val="7"/>
            <w:sz w:val="13"/>
          </w:rPr>
          <w:t>225</w:t>
        </w:r>
      </w:hyperlink>
      <w:r>
        <w:rPr>
          <w:sz w:val="20"/>
        </w:rPr>
        <w:t>.</w:t>
      </w:r>
      <w:r>
        <w:rPr>
          <w:spacing w:val="-10"/>
          <w:sz w:val="20"/>
        </w:rPr>
        <w:t xml:space="preserve"> </w:t>
      </w:r>
      <w:r>
        <w:rPr>
          <w:sz w:val="20"/>
        </w:rPr>
        <w:t>En</w:t>
      </w:r>
      <w:r>
        <w:rPr>
          <w:spacing w:val="-8"/>
          <w:sz w:val="20"/>
        </w:rPr>
        <w:t xml:space="preserve"> </w:t>
      </w:r>
      <w:r>
        <w:rPr>
          <w:sz w:val="20"/>
        </w:rPr>
        <w:t>particular,</w:t>
      </w:r>
      <w:r>
        <w:rPr>
          <w:spacing w:val="-10"/>
          <w:sz w:val="20"/>
        </w:rPr>
        <w:t xml:space="preserve"> </w:t>
      </w:r>
      <w:r>
        <w:rPr>
          <w:sz w:val="20"/>
        </w:rPr>
        <w:t>la</w:t>
      </w:r>
      <w:r>
        <w:rPr>
          <w:spacing w:val="-8"/>
          <w:sz w:val="20"/>
        </w:rPr>
        <w:t xml:space="preserve"> </w:t>
      </w:r>
      <w:r>
        <w:rPr>
          <w:sz w:val="20"/>
        </w:rPr>
        <w:t>Corte</w:t>
      </w:r>
      <w:r>
        <w:rPr>
          <w:spacing w:val="-8"/>
          <w:sz w:val="20"/>
        </w:rPr>
        <w:t xml:space="preserve"> </w:t>
      </w:r>
      <w:r>
        <w:rPr>
          <w:sz w:val="20"/>
        </w:rPr>
        <w:t>nota</w:t>
      </w:r>
      <w:r>
        <w:rPr>
          <w:spacing w:val="-9"/>
          <w:sz w:val="20"/>
        </w:rPr>
        <w:t xml:space="preserve"> </w:t>
      </w:r>
      <w:r>
        <w:rPr>
          <w:sz w:val="20"/>
        </w:rPr>
        <w:t>que</w:t>
      </w:r>
      <w:r>
        <w:rPr>
          <w:spacing w:val="-8"/>
          <w:sz w:val="20"/>
        </w:rPr>
        <w:t xml:space="preserve"> </w:t>
      </w:r>
      <w:r>
        <w:rPr>
          <w:sz w:val="20"/>
        </w:rPr>
        <w:t>el</w:t>
      </w:r>
      <w:r>
        <w:rPr>
          <w:spacing w:val="-10"/>
          <w:sz w:val="20"/>
        </w:rPr>
        <w:t xml:space="preserve"> </w:t>
      </w:r>
      <w:r>
        <w:rPr>
          <w:sz w:val="20"/>
        </w:rPr>
        <w:t>artículo</w:t>
      </w:r>
      <w:r>
        <w:rPr>
          <w:spacing w:val="-10"/>
          <w:sz w:val="20"/>
        </w:rPr>
        <w:t xml:space="preserve"> </w:t>
      </w:r>
      <w:r>
        <w:rPr>
          <w:sz w:val="20"/>
        </w:rPr>
        <w:t>45.b</w:t>
      </w:r>
      <w:r>
        <w:rPr>
          <w:spacing w:val="-6"/>
          <w:sz w:val="20"/>
        </w:rPr>
        <w:t xml:space="preserve"> </w:t>
      </w:r>
      <w:r>
        <w:rPr>
          <w:sz w:val="20"/>
        </w:rPr>
        <w:t>de</w:t>
      </w:r>
      <w:r>
        <w:rPr>
          <w:spacing w:val="-8"/>
          <w:sz w:val="20"/>
        </w:rPr>
        <w:t xml:space="preserve"> </w:t>
      </w:r>
      <w:r>
        <w:rPr>
          <w:sz w:val="20"/>
        </w:rPr>
        <w:t>la</w:t>
      </w:r>
      <w:r>
        <w:rPr>
          <w:spacing w:val="-10"/>
          <w:sz w:val="20"/>
        </w:rPr>
        <w:t xml:space="preserve"> </w:t>
      </w:r>
      <w:r>
        <w:rPr>
          <w:sz w:val="20"/>
        </w:rPr>
        <w:t>Carta de la OEA establece que “b) [e]l trabajo es un derecho y un deber social, otorga dignidad a quien lo realiza y debe prestarse en condiciones que, incluyendo un</w:t>
      </w:r>
      <w:r>
        <w:rPr>
          <w:sz w:val="20"/>
        </w:rPr>
        <w:t xml:space="preserve"> régimen de salarios justos, aseguren la vida, la salud y un nivel económico decoroso para el trabajador y su familia, tanto en sus años de trabajo como en su vejez, o cuando cualquier circunstancia lo prive de la posibilidad de trabajar”. De esta forma, l</w:t>
      </w:r>
      <w:r>
        <w:rPr>
          <w:sz w:val="20"/>
        </w:rPr>
        <w:t>a Corte considera que existe una referencia con el suficiente grado de especificidad al derecho a condiciones de trabajo equitativas y satisfactorias para derivar su existencia y reconocimiento implícito en la Carta de</w:t>
      </w:r>
      <w:r>
        <w:rPr>
          <w:spacing w:val="-14"/>
          <w:sz w:val="20"/>
        </w:rPr>
        <w:t xml:space="preserve"> </w:t>
      </w:r>
      <w:r>
        <w:rPr>
          <w:sz w:val="20"/>
        </w:rPr>
        <w:t>la</w:t>
      </w:r>
      <w:r>
        <w:rPr>
          <w:spacing w:val="-12"/>
          <w:sz w:val="20"/>
        </w:rPr>
        <w:t xml:space="preserve"> </w:t>
      </w:r>
      <w:r>
        <w:rPr>
          <w:sz w:val="20"/>
        </w:rPr>
        <w:t>OEA.</w:t>
      </w:r>
      <w:r>
        <w:rPr>
          <w:spacing w:val="-12"/>
          <w:sz w:val="20"/>
        </w:rPr>
        <w:t xml:space="preserve"> </w:t>
      </w:r>
      <w:r>
        <w:rPr>
          <w:sz w:val="20"/>
        </w:rPr>
        <w:t>Conforme</w:t>
      </w:r>
      <w:r>
        <w:rPr>
          <w:spacing w:val="-14"/>
          <w:sz w:val="20"/>
        </w:rPr>
        <w:t xml:space="preserve"> </w:t>
      </w:r>
      <w:r>
        <w:rPr>
          <w:sz w:val="20"/>
        </w:rPr>
        <w:t>a</w:t>
      </w:r>
      <w:r>
        <w:rPr>
          <w:spacing w:val="-11"/>
          <w:sz w:val="20"/>
        </w:rPr>
        <w:t xml:space="preserve"> </w:t>
      </w:r>
      <w:r>
        <w:rPr>
          <w:sz w:val="20"/>
        </w:rPr>
        <w:t>lo</w:t>
      </w:r>
      <w:r>
        <w:rPr>
          <w:spacing w:val="-14"/>
          <w:sz w:val="20"/>
        </w:rPr>
        <w:t xml:space="preserve"> </w:t>
      </w:r>
      <w:r>
        <w:rPr>
          <w:sz w:val="20"/>
        </w:rPr>
        <w:t>anterior,</w:t>
      </w:r>
      <w:r>
        <w:rPr>
          <w:spacing w:val="-13"/>
          <w:sz w:val="20"/>
        </w:rPr>
        <w:t xml:space="preserve"> </w:t>
      </w:r>
      <w:r>
        <w:rPr>
          <w:sz w:val="20"/>
        </w:rPr>
        <w:t>la</w:t>
      </w:r>
      <w:r>
        <w:rPr>
          <w:spacing w:val="-11"/>
          <w:sz w:val="20"/>
        </w:rPr>
        <w:t xml:space="preserve"> </w:t>
      </w:r>
      <w:r>
        <w:rPr>
          <w:sz w:val="20"/>
        </w:rPr>
        <w:t>Co</w:t>
      </w:r>
      <w:r>
        <w:rPr>
          <w:sz w:val="20"/>
        </w:rPr>
        <w:t>rte</w:t>
      </w:r>
      <w:r>
        <w:rPr>
          <w:spacing w:val="-14"/>
          <w:sz w:val="20"/>
        </w:rPr>
        <w:t xml:space="preserve"> </w:t>
      </w:r>
      <w:r>
        <w:rPr>
          <w:sz w:val="20"/>
        </w:rPr>
        <w:t>considera</w:t>
      </w:r>
      <w:r>
        <w:rPr>
          <w:spacing w:val="-11"/>
          <w:sz w:val="20"/>
        </w:rPr>
        <w:t xml:space="preserve"> </w:t>
      </w:r>
      <w:r>
        <w:rPr>
          <w:sz w:val="20"/>
        </w:rPr>
        <w:t>que</w:t>
      </w:r>
      <w:r>
        <w:rPr>
          <w:spacing w:val="-11"/>
          <w:sz w:val="20"/>
        </w:rPr>
        <w:t xml:space="preserve"> </w:t>
      </w:r>
      <w:r>
        <w:rPr>
          <w:sz w:val="20"/>
        </w:rPr>
        <w:t>el</w:t>
      </w:r>
      <w:r>
        <w:rPr>
          <w:spacing w:val="-12"/>
          <w:sz w:val="20"/>
        </w:rPr>
        <w:t xml:space="preserve"> </w:t>
      </w:r>
      <w:r>
        <w:rPr>
          <w:sz w:val="20"/>
        </w:rPr>
        <w:t>derecho</w:t>
      </w:r>
      <w:r>
        <w:rPr>
          <w:spacing w:val="-13"/>
          <w:sz w:val="20"/>
        </w:rPr>
        <w:t xml:space="preserve"> </w:t>
      </w:r>
      <w:r>
        <w:rPr>
          <w:sz w:val="20"/>
        </w:rPr>
        <w:t>a</w:t>
      </w:r>
      <w:r>
        <w:rPr>
          <w:spacing w:val="-12"/>
          <w:sz w:val="20"/>
        </w:rPr>
        <w:t xml:space="preserve"> </w:t>
      </w:r>
      <w:r>
        <w:rPr>
          <w:sz w:val="20"/>
        </w:rPr>
        <w:t>condiciones</w:t>
      </w:r>
      <w:r>
        <w:rPr>
          <w:spacing w:val="-12"/>
          <w:sz w:val="20"/>
        </w:rPr>
        <w:t xml:space="preserve"> </w:t>
      </w:r>
      <w:r>
        <w:rPr>
          <w:sz w:val="20"/>
        </w:rPr>
        <w:t>equitativas y satisfactorias que aseguren la seguridad, la salud y la higiene en el trabajo, es un derecho protegido por el artículo 26 de la Convención. En el presente caso, la Corte no considera necesario pronun</w:t>
      </w:r>
      <w:r>
        <w:rPr>
          <w:sz w:val="20"/>
        </w:rPr>
        <w:t>ciarse sobre otros posibles elementos del derecho a condiciones de trabajo equitativas y satisfactorias que se encuentran también protegidos por el artículo</w:t>
      </w:r>
      <w:r>
        <w:rPr>
          <w:spacing w:val="-21"/>
          <w:sz w:val="20"/>
        </w:rPr>
        <w:t xml:space="preserve"> </w:t>
      </w:r>
      <w:r>
        <w:rPr>
          <w:sz w:val="20"/>
        </w:rPr>
        <w:t>26.</w:t>
      </w:r>
    </w:p>
    <w:p w14:paraId="4D647416" w14:textId="77777777" w:rsidR="00467FCA" w:rsidRDefault="00467FCA">
      <w:pPr>
        <w:pStyle w:val="Textoindependiente"/>
        <w:spacing w:before="1"/>
      </w:pPr>
    </w:p>
    <w:p w14:paraId="21C6493C" w14:textId="77777777" w:rsidR="00467FCA" w:rsidRDefault="001B68EB">
      <w:pPr>
        <w:pStyle w:val="Prrafodelista"/>
        <w:numPr>
          <w:ilvl w:val="0"/>
          <w:numId w:val="50"/>
        </w:numPr>
        <w:tabs>
          <w:tab w:val="left" w:pos="687"/>
        </w:tabs>
        <w:spacing w:before="1"/>
        <w:ind w:left="119" w:right="117" w:firstLine="0"/>
        <w:jc w:val="both"/>
        <w:rPr>
          <w:sz w:val="20"/>
        </w:rPr>
      </w:pPr>
      <w:r>
        <w:rPr>
          <w:sz w:val="20"/>
        </w:rPr>
        <w:t>Corresponde a este Tribunal determinar los alcances del derecho a condiciones de trabajo que a</w:t>
      </w:r>
      <w:r>
        <w:rPr>
          <w:sz w:val="20"/>
        </w:rPr>
        <w:t>seguren la seguridad, salud e higiene del trabajador en el marco de los hechos del</w:t>
      </w:r>
      <w:r>
        <w:rPr>
          <w:spacing w:val="-8"/>
          <w:sz w:val="20"/>
        </w:rPr>
        <w:t xml:space="preserve"> </w:t>
      </w:r>
      <w:r>
        <w:rPr>
          <w:sz w:val="20"/>
        </w:rPr>
        <w:t>presente</w:t>
      </w:r>
      <w:r>
        <w:rPr>
          <w:spacing w:val="-9"/>
          <w:sz w:val="20"/>
        </w:rPr>
        <w:t xml:space="preserve"> </w:t>
      </w:r>
      <w:r>
        <w:rPr>
          <w:sz w:val="20"/>
        </w:rPr>
        <w:t>caso,</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luz</w:t>
      </w:r>
      <w:r>
        <w:rPr>
          <w:spacing w:val="-8"/>
          <w:sz w:val="20"/>
        </w:rPr>
        <w:t xml:space="preserve"> </w:t>
      </w:r>
      <w:r>
        <w:rPr>
          <w:sz w:val="20"/>
        </w:rPr>
        <w:t>del</w:t>
      </w:r>
      <w:r>
        <w:rPr>
          <w:spacing w:val="-7"/>
          <w:sz w:val="20"/>
        </w:rPr>
        <w:t xml:space="preserve"> </w:t>
      </w:r>
      <w:r>
        <w:rPr>
          <w:i/>
          <w:sz w:val="20"/>
        </w:rPr>
        <w:t>corpus</w:t>
      </w:r>
      <w:r>
        <w:rPr>
          <w:i/>
          <w:spacing w:val="-9"/>
          <w:sz w:val="20"/>
        </w:rPr>
        <w:t xml:space="preserve"> </w:t>
      </w:r>
      <w:r>
        <w:rPr>
          <w:i/>
          <w:sz w:val="20"/>
        </w:rPr>
        <w:t>iuris</w:t>
      </w:r>
      <w:r>
        <w:rPr>
          <w:i/>
          <w:spacing w:val="-9"/>
          <w:sz w:val="20"/>
        </w:rPr>
        <w:t xml:space="preserve"> </w:t>
      </w:r>
      <w:r>
        <w:rPr>
          <w:sz w:val="20"/>
        </w:rPr>
        <w:t>internacional</w:t>
      </w:r>
      <w:r>
        <w:rPr>
          <w:spacing w:val="-8"/>
          <w:sz w:val="20"/>
        </w:rPr>
        <w:t xml:space="preserve"> </w:t>
      </w:r>
      <w:r>
        <w:rPr>
          <w:sz w:val="20"/>
        </w:rPr>
        <w:t>sobre</w:t>
      </w:r>
      <w:r>
        <w:rPr>
          <w:spacing w:val="-9"/>
          <w:sz w:val="20"/>
        </w:rPr>
        <w:t xml:space="preserve"> </w:t>
      </w:r>
      <w:r>
        <w:rPr>
          <w:sz w:val="20"/>
        </w:rPr>
        <w:t>la</w:t>
      </w:r>
      <w:r>
        <w:rPr>
          <w:spacing w:val="-9"/>
          <w:sz w:val="20"/>
        </w:rPr>
        <w:t xml:space="preserve"> </w:t>
      </w:r>
      <w:r>
        <w:rPr>
          <w:sz w:val="20"/>
        </w:rPr>
        <w:t>materia</w:t>
      </w:r>
      <w:r>
        <w:rPr>
          <w:spacing w:val="-8"/>
          <w:sz w:val="20"/>
        </w:rPr>
        <w:t xml:space="preserve"> </w:t>
      </w:r>
      <w:r>
        <w:rPr>
          <w:sz w:val="20"/>
        </w:rPr>
        <w:t>y</w:t>
      </w:r>
      <w:r>
        <w:rPr>
          <w:spacing w:val="-8"/>
          <w:sz w:val="20"/>
        </w:rPr>
        <w:t xml:space="preserve"> </w:t>
      </w:r>
      <w:r>
        <w:rPr>
          <w:sz w:val="20"/>
        </w:rPr>
        <w:t>de</w:t>
      </w:r>
      <w:r>
        <w:rPr>
          <w:spacing w:val="-9"/>
          <w:sz w:val="20"/>
        </w:rPr>
        <w:t xml:space="preserve"> </w:t>
      </w:r>
      <w:r>
        <w:rPr>
          <w:sz w:val="20"/>
        </w:rPr>
        <w:t>la</w:t>
      </w:r>
      <w:r>
        <w:rPr>
          <w:spacing w:val="-8"/>
          <w:sz w:val="20"/>
        </w:rPr>
        <w:t xml:space="preserve"> </w:t>
      </w:r>
      <w:r>
        <w:rPr>
          <w:sz w:val="20"/>
        </w:rPr>
        <w:t>normatividad interna</w:t>
      </w:r>
      <w:r>
        <w:rPr>
          <w:spacing w:val="-16"/>
          <w:sz w:val="20"/>
        </w:rPr>
        <w:t xml:space="preserve"> </w:t>
      </w:r>
      <w:r>
        <w:rPr>
          <w:sz w:val="20"/>
        </w:rPr>
        <w:t>del</w:t>
      </w:r>
      <w:r>
        <w:rPr>
          <w:spacing w:val="-15"/>
          <w:sz w:val="20"/>
        </w:rPr>
        <w:t xml:space="preserve"> </w:t>
      </w:r>
      <w:r>
        <w:rPr>
          <w:sz w:val="20"/>
        </w:rPr>
        <w:t>Estado</w:t>
      </w:r>
      <w:r>
        <w:rPr>
          <w:spacing w:val="-17"/>
          <w:sz w:val="20"/>
        </w:rPr>
        <w:t xml:space="preserve"> </w:t>
      </w:r>
      <w:r>
        <w:rPr>
          <w:sz w:val="20"/>
        </w:rPr>
        <w:t>de</w:t>
      </w:r>
      <w:r>
        <w:rPr>
          <w:spacing w:val="-16"/>
          <w:sz w:val="20"/>
        </w:rPr>
        <w:t xml:space="preserve"> </w:t>
      </w:r>
      <w:r>
        <w:rPr>
          <w:sz w:val="20"/>
        </w:rPr>
        <w:t>Brasil.</w:t>
      </w:r>
      <w:r>
        <w:rPr>
          <w:spacing w:val="-16"/>
          <w:sz w:val="20"/>
        </w:rPr>
        <w:t xml:space="preserve"> </w:t>
      </w:r>
      <w:r>
        <w:rPr>
          <w:sz w:val="20"/>
        </w:rPr>
        <w:t>La</w:t>
      </w:r>
      <w:r>
        <w:rPr>
          <w:spacing w:val="-16"/>
          <w:sz w:val="20"/>
        </w:rPr>
        <w:t xml:space="preserve"> </w:t>
      </w:r>
      <w:r>
        <w:rPr>
          <w:sz w:val="20"/>
        </w:rPr>
        <w:t>Corte</w:t>
      </w:r>
      <w:r>
        <w:rPr>
          <w:spacing w:val="-16"/>
          <w:sz w:val="20"/>
        </w:rPr>
        <w:t xml:space="preserve"> </w:t>
      </w:r>
      <w:r>
        <w:rPr>
          <w:sz w:val="20"/>
        </w:rPr>
        <w:t>recuerda</w:t>
      </w:r>
      <w:r>
        <w:rPr>
          <w:spacing w:val="-15"/>
          <w:sz w:val="20"/>
        </w:rPr>
        <w:t xml:space="preserve"> </w:t>
      </w:r>
      <w:r>
        <w:rPr>
          <w:sz w:val="20"/>
        </w:rPr>
        <w:t>que</w:t>
      </w:r>
      <w:r>
        <w:rPr>
          <w:spacing w:val="-17"/>
          <w:sz w:val="20"/>
        </w:rPr>
        <w:t xml:space="preserve"> </w:t>
      </w:r>
      <w:r>
        <w:rPr>
          <w:sz w:val="20"/>
        </w:rPr>
        <w:t>las</w:t>
      </w:r>
      <w:r>
        <w:rPr>
          <w:spacing w:val="-16"/>
          <w:sz w:val="20"/>
        </w:rPr>
        <w:t xml:space="preserve"> </w:t>
      </w:r>
      <w:r>
        <w:rPr>
          <w:sz w:val="20"/>
        </w:rPr>
        <w:t>obligaciones</w:t>
      </w:r>
      <w:r>
        <w:rPr>
          <w:spacing w:val="-14"/>
          <w:sz w:val="20"/>
        </w:rPr>
        <w:t xml:space="preserve"> </w:t>
      </w:r>
      <w:r>
        <w:rPr>
          <w:sz w:val="20"/>
        </w:rPr>
        <w:t>contenidas</w:t>
      </w:r>
      <w:r>
        <w:rPr>
          <w:spacing w:val="-16"/>
          <w:sz w:val="20"/>
        </w:rPr>
        <w:t xml:space="preserve"> </w:t>
      </w:r>
      <w:r>
        <w:rPr>
          <w:sz w:val="20"/>
        </w:rPr>
        <w:t>en</w:t>
      </w:r>
      <w:r>
        <w:rPr>
          <w:spacing w:val="-14"/>
          <w:sz w:val="20"/>
        </w:rPr>
        <w:t xml:space="preserve"> </w:t>
      </w:r>
      <w:r>
        <w:rPr>
          <w:sz w:val="20"/>
        </w:rPr>
        <w:t>los</w:t>
      </w:r>
      <w:r>
        <w:rPr>
          <w:spacing w:val="-17"/>
          <w:sz w:val="20"/>
        </w:rPr>
        <w:t xml:space="preserve"> </w:t>
      </w:r>
      <w:r>
        <w:rPr>
          <w:sz w:val="20"/>
        </w:rPr>
        <w:t>artículos</w:t>
      </w:r>
    </w:p>
    <w:p w14:paraId="4EF44316" w14:textId="77777777" w:rsidR="00467FCA" w:rsidRDefault="001B68EB">
      <w:pPr>
        <w:pStyle w:val="Textoindependiente"/>
        <w:ind w:left="119" w:right="118"/>
        <w:jc w:val="both"/>
      </w:pPr>
      <w:r>
        <w:t>1.1 y 2 de la Convención Americana constituyen, en definitiva, la base para la</w:t>
      </w:r>
      <w:r>
        <w:rPr>
          <w:spacing w:val="-43"/>
        </w:rPr>
        <w:t xml:space="preserve"> </w:t>
      </w:r>
      <w:r>
        <w:t>determinación de</w:t>
      </w:r>
      <w:r>
        <w:rPr>
          <w:spacing w:val="-7"/>
        </w:rPr>
        <w:t xml:space="preserve"> </w:t>
      </w:r>
      <w:r>
        <w:t>responsabilidad</w:t>
      </w:r>
      <w:r>
        <w:rPr>
          <w:spacing w:val="-7"/>
        </w:rPr>
        <w:t xml:space="preserve"> </w:t>
      </w:r>
      <w:r>
        <w:t>internacional</w:t>
      </w:r>
      <w:r>
        <w:rPr>
          <w:spacing w:val="-7"/>
        </w:rPr>
        <w:t xml:space="preserve"> </w:t>
      </w:r>
      <w:r>
        <w:t>a</w:t>
      </w:r>
      <w:r>
        <w:rPr>
          <w:spacing w:val="-5"/>
        </w:rPr>
        <w:t xml:space="preserve"> </w:t>
      </w:r>
      <w:r>
        <w:t>un</w:t>
      </w:r>
      <w:r>
        <w:rPr>
          <w:spacing w:val="-7"/>
        </w:rPr>
        <w:t xml:space="preserve"> </w:t>
      </w:r>
      <w:r>
        <w:t>Estado</w:t>
      </w:r>
      <w:r>
        <w:rPr>
          <w:spacing w:val="-9"/>
        </w:rPr>
        <w:t xml:space="preserve"> </w:t>
      </w:r>
      <w:r>
        <w:t>por</w:t>
      </w:r>
      <w:r>
        <w:rPr>
          <w:spacing w:val="-7"/>
        </w:rPr>
        <w:t xml:space="preserve"> </w:t>
      </w:r>
      <w:r>
        <w:t>violaciones</w:t>
      </w:r>
      <w:r>
        <w:rPr>
          <w:spacing w:val="-9"/>
        </w:rPr>
        <w:t xml:space="preserve"> </w:t>
      </w:r>
      <w:r>
        <w:t>a</w:t>
      </w:r>
      <w:r>
        <w:rPr>
          <w:spacing w:val="-5"/>
        </w:rPr>
        <w:t xml:space="preserve"> </w:t>
      </w:r>
      <w:r>
        <w:t>los</w:t>
      </w:r>
      <w:r>
        <w:rPr>
          <w:spacing w:val="-6"/>
        </w:rPr>
        <w:t xml:space="preserve"> </w:t>
      </w:r>
      <w:r>
        <w:t>derechos</w:t>
      </w:r>
      <w:r>
        <w:rPr>
          <w:spacing w:val="-6"/>
        </w:rPr>
        <w:t xml:space="preserve"> </w:t>
      </w:r>
      <w:r>
        <w:t>reconocidos</w:t>
      </w:r>
      <w:r>
        <w:rPr>
          <w:spacing w:val="-4"/>
        </w:rPr>
        <w:t xml:space="preserve"> </w:t>
      </w:r>
      <w:r>
        <w:t>en</w:t>
      </w:r>
      <w:r>
        <w:rPr>
          <w:spacing w:val="-7"/>
        </w:rPr>
        <w:t xml:space="preserve"> </w:t>
      </w:r>
      <w:r>
        <w:t>la Convención</w:t>
      </w:r>
      <w:hyperlink w:anchor="_bookmark271" w:history="1">
        <w:r>
          <w:rPr>
            <w:position w:val="7"/>
            <w:sz w:val="13"/>
          </w:rPr>
          <w:t>226</w:t>
        </w:r>
      </w:hyperlink>
      <w:r>
        <w:t>,</w:t>
      </w:r>
      <w:r>
        <w:rPr>
          <w:spacing w:val="-20"/>
        </w:rPr>
        <w:t xml:space="preserve"> </w:t>
      </w:r>
      <w:r>
        <w:t>incluidos</w:t>
      </w:r>
      <w:r>
        <w:rPr>
          <w:spacing w:val="-21"/>
        </w:rPr>
        <w:t xml:space="preserve"> </w:t>
      </w:r>
      <w:r>
        <w:t>aquellos</w:t>
      </w:r>
      <w:r>
        <w:rPr>
          <w:spacing w:val="-18"/>
        </w:rPr>
        <w:t xml:space="preserve"> </w:t>
      </w:r>
      <w:r>
        <w:t>reconocidos</w:t>
      </w:r>
      <w:r>
        <w:rPr>
          <w:spacing w:val="-18"/>
        </w:rPr>
        <w:t xml:space="preserve"> </w:t>
      </w:r>
      <w:r>
        <w:t>en</w:t>
      </w:r>
      <w:r>
        <w:rPr>
          <w:spacing w:val="-16"/>
        </w:rPr>
        <w:t xml:space="preserve"> </w:t>
      </w:r>
      <w:r>
        <w:t>virtud</w:t>
      </w:r>
      <w:r>
        <w:rPr>
          <w:spacing w:val="-19"/>
        </w:rPr>
        <w:t xml:space="preserve"> </w:t>
      </w:r>
      <w:r>
        <w:t>del</w:t>
      </w:r>
      <w:r>
        <w:rPr>
          <w:spacing w:val="-17"/>
        </w:rPr>
        <w:t xml:space="preserve"> </w:t>
      </w:r>
      <w:r>
        <w:t>artículo</w:t>
      </w:r>
      <w:r>
        <w:rPr>
          <w:spacing w:val="-19"/>
        </w:rPr>
        <w:t xml:space="preserve"> </w:t>
      </w:r>
      <w:r>
        <w:t>26.</w:t>
      </w:r>
      <w:r>
        <w:rPr>
          <w:spacing w:val="-18"/>
        </w:rPr>
        <w:t xml:space="preserve"> </w:t>
      </w:r>
      <w:r>
        <w:t>Sin</w:t>
      </w:r>
      <w:r>
        <w:rPr>
          <w:spacing w:val="-16"/>
        </w:rPr>
        <w:t xml:space="preserve"> </w:t>
      </w:r>
      <w:r>
        <w:t>embargo,</w:t>
      </w:r>
      <w:r>
        <w:rPr>
          <w:spacing w:val="-18"/>
        </w:rPr>
        <w:t xml:space="preserve"> </w:t>
      </w:r>
      <w:r>
        <w:t>la</w:t>
      </w:r>
      <w:r>
        <w:rPr>
          <w:spacing w:val="-17"/>
        </w:rPr>
        <w:t xml:space="preserve"> </w:t>
      </w:r>
      <w:r>
        <w:t xml:space="preserve">misma Convención </w:t>
      </w:r>
      <w:r>
        <w:rPr>
          <w:spacing w:val="12"/>
        </w:rPr>
        <w:t xml:space="preserve"> </w:t>
      </w:r>
      <w:r>
        <w:t xml:space="preserve">hace </w:t>
      </w:r>
      <w:r>
        <w:rPr>
          <w:spacing w:val="11"/>
        </w:rPr>
        <w:t xml:space="preserve"> </w:t>
      </w:r>
      <w:r>
        <w:t xml:space="preserve">expresa </w:t>
      </w:r>
      <w:r>
        <w:rPr>
          <w:spacing w:val="15"/>
        </w:rPr>
        <w:t xml:space="preserve"> </w:t>
      </w:r>
      <w:r>
        <w:t xml:space="preserve">referencia </w:t>
      </w:r>
      <w:r>
        <w:rPr>
          <w:spacing w:val="12"/>
        </w:rPr>
        <w:t xml:space="preserve"> </w:t>
      </w:r>
      <w:r>
        <w:t xml:space="preserve">a </w:t>
      </w:r>
      <w:r>
        <w:rPr>
          <w:spacing w:val="11"/>
        </w:rPr>
        <w:t xml:space="preserve"> </w:t>
      </w:r>
      <w:r>
        <w:t xml:space="preserve">las </w:t>
      </w:r>
      <w:r>
        <w:rPr>
          <w:spacing w:val="14"/>
        </w:rPr>
        <w:t xml:space="preserve"> </w:t>
      </w:r>
      <w:r>
        <w:t xml:space="preserve">normas </w:t>
      </w:r>
      <w:r>
        <w:rPr>
          <w:spacing w:val="11"/>
        </w:rPr>
        <w:t xml:space="preserve"> </w:t>
      </w:r>
      <w:r>
        <w:t xml:space="preserve">del </w:t>
      </w:r>
      <w:r>
        <w:rPr>
          <w:spacing w:val="12"/>
        </w:rPr>
        <w:t xml:space="preserve"> </w:t>
      </w:r>
      <w:r>
        <w:t xml:space="preserve">derecho </w:t>
      </w:r>
      <w:r>
        <w:rPr>
          <w:spacing w:val="10"/>
        </w:rPr>
        <w:t xml:space="preserve"> </w:t>
      </w:r>
      <w:r>
        <w:t xml:space="preserve">internacional </w:t>
      </w:r>
      <w:r>
        <w:rPr>
          <w:spacing w:val="12"/>
        </w:rPr>
        <w:t xml:space="preserve"> </w:t>
      </w:r>
      <w:r>
        <w:t xml:space="preserve">para </w:t>
      </w:r>
      <w:r>
        <w:rPr>
          <w:spacing w:val="12"/>
        </w:rPr>
        <w:t xml:space="preserve"> </w:t>
      </w:r>
      <w:r>
        <w:t>su</w:t>
      </w:r>
    </w:p>
    <w:p w14:paraId="0BBE76FE" w14:textId="77777777" w:rsidR="00467FCA" w:rsidRDefault="001B68EB">
      <w:pPr>
        <w:pStyle w:val="Textoindependiente"/>
        <w:spacing w:before="5"/>
        <w:rPr>
          <w:sz w:val="13"/>
        </w:rPr>
      </w:pPr>
      <w:r>
        <w:pict w14:anchorId="06CAB6A1">
          <v:shape id="_x0000_s1155" style="position:absolute;margin-left:1in;margin-top:10.4pt;width:2in;height:.1pt;z-index:-251616256;mso-wrap-distance-left:0;mso-wrap-distance-right:0;mso-position-horizontal-relative:page" coordorigin="1440,208" coordsize="2880,0" path="m1440,208r2880,e" filled="f" strokeweight=".21131mm">
            <v:path arrowok="t"/>
            <w10:wrap type="topAndBottom" anchorx="page"/>
          </v:shape>
        </w:pict>
      </w:r>
    </w:p>
    <w:p w14:paraId="24E79324" w14:textId="77777777" w:rsidR="00467FCA" w:rsidRDefault="001B68EB">
      <w:pPr>
        <w:tabs>
          <w:tab w:val="left" w:pos="839"/>
        </w:tabs>
        <w:spacing w:before="74"/>
        <w:ind w:left="118" w:right="113" w:firstLine="1"/>
        <w:jc w:val="both"/>
        <w:rPr>
          <w:sz w:val="16"/>
        </w:rPr>
      </w:pPr>
      <w:bookmarkStart w:id="311" w:name="_bookmark267"/>
      <w:bookmarkEnd w:id="311"/>
      <w:r>
        <w:rPr>
          <w:position w:val="6"/>
          <w:sz w:val="10"/>
        </w:rPr>
        <w:t>222</w:t>
      </w:r>
      <w:r>
        <w:rPr>
          <w:position w:val="6"/>
          <w:sz w:val="10"/>
        </w:rPr>
        <w:tab/>
      </w:r>
      <w:r>
        <w:rPr>
          <w:i/>
          <w:sz w:val="16"/>
        </w:rPr>
        <w:t xml:space="preserve">Cfr. </w:t>
      </w:r>
      <w:r>
        <w:rPr>
          <w:sz w:val="16"/>
        </w:rPr>
        <w:t>Artículo 45 de la Carta de la OEA. - Los Estados miembros, convencidos de que el hombre sólo puede alcanzar la plena realización de sus aspiraciones dentro de un orden social justo, acompañado de desarrollo económico</w:t>
      </w:r>
      <w:r>
        <w:rPr>
          <w:spacing w:val="-5"/>
          <w:sz w:val="16"/>
        </w:rPr>
        <w:t xml:space="preserve"> </w:t>
      </w:r>
      <w:r>
        <w:rPr>
          <w:sz w:val="16"/>
        </w:rPr>
        <w:t>y</w:t>
      </w:r>
      <w:r>
        <w:rPr>
          <w:spacing w:val="-2"/>
          <w:sz w:val="16"/>
        </w:rPr>
        <w:t xml:space="preserve"> </w:t>
      </w:r>
      <w:r>
        <w:rPr>
          <w:sz w:val="16"/>
        </w:rPr>
        <w:t>verdadera</w:t>
      </w:r>
      <w:r>
        <w:rPr>
          <w:spacing w:val="-3"/>
          <w:sz w:val="16"/>
        </w:rPr>
        <w:t xml:space="preserve"> </w:t>
      </w:r>
      <w:r>
        <w:rPr>
          <w:sz w:val="16"/>
        </w:rPr>
        <w:t>paz,</w:t>
      </w:r>
      <w:r>
        <w:rPr>
          <w:spacing w:val="-4"/>
          <w:sz w:val="16"/>
        </w:rPr>
        <w:t xml:space="preserve"> </w:t>
      </w:r>
      <w:r>
        <w:rPr>
          <w:sz w:val="16"/>
        </w:rPr>
        <w:t>convienen</w:t>
      </w:r>
      <w:r>
        <w:rPr>
          <w:spacing w:val="-5"/>
          <w:sz w:val="16"/>
        </w:rPr>
        <w:t xml:space="preserve"> </w:t>
      </w:r>
      <w:r>
        <w:rPr>
          <w:sz w:val="16"/>
        </w:rPr>
        <w:t>en</w:t>
      </w:r>
      <w:r>
        <w:rPr>
          <w:spacing w:val="-4"/>
          <w:sz w:val="16"/>
        </w:rPr>
        <w:t xml:space="preserve"> </w:t>
      </w:r>
      <w:r>
        <w:rPr>
          <w:sz w:val="16"/>
        </w:rPr>
        <w:t>dedicar</w:t>
      </w:r>
      <w:r>
        <w:rPr>
          <w:spacing w:val="-4"/>
          <w:sz w:val="16"/>
        </w:rPr>
        <w:t xml:space="preserve"> </w:t>
      </w:r>
      <w:r>
        <w:rPr>
          <w:sz w:val="16"/>
        </w:rPr>
        <w:t>sus</w:t>
      </w:r>
      <w:r>
        <w:rPr>
          <w:spacing w:val="-2"/>
          <w:sz w:val="16"/>
        </w:rPr>
        <w:t xml:space="preserve"> </w:t>
      </w:r>
      <w:r>
        <w:rPr>
          <w:sz w:val="16"/>
        </w:rPr>
        <w:t>máximos</w:t>
      </w:r>
      <w:r>
        <w:rPr>
          <w:spacing w:val="-2"/>
          <w:sz w:val="16"/>
        </w:rPr>
        <w:t xml:space="preserve"> </w:t>
      </w:r>
      <w:r>
        <w:rPr>
          <w:sz w:val="16"/>
        </w:rPr>
        <w:t>esfuerzos</w:t>
      </w:r>
      <w:r>
        <w:rPr>
          <w:spacing w:val="-3"/>
          <w:sz w:val="16"/>
        </w:rPr>
        <w:t xml:space="preserve"> </w:t>
      </w:r>
      <w:r>
        <w:rPr>
          <w:sz w:val="16"/>
        </w:rPr>
        <w:t>a</w:t>
      </w:r>
      <w:r>
        <w:rPr>
          <w:spacing w:val="-3"/>
          <w:sz w:val="16"/>
        </w:rPr>
        <w:t xml:space="preserve"> </w:t>
      </w:r>
      <w:r>
        <w:rPr>
          <w:sz w:val="16"/>
        </w:rPr>
        <w:t>la</w:t>
      </w:r>
      <w:r>
        <w:rPr>
          <w:spacing w:val="-3"/>
          <w:sz w:val="16"/>
        </w:rPr>
        <w:t xml:space="preserve"> </w:t>
      </w:r>
      <w:r>
        <w:rPr>
          <w:sz w:val="16"/>
        </w:rPr>
        <w:t>aplicación</w:t>
      </w:r>
      <w:r>
        <w:rPr>
          <w:spacing w:val="-6"/>
          <w:sz w:val="16"/>
        </w:rPr>
        <w:t xml:space="preserve"> </w:t>
      </w:r>
      <w:r>
        <w:rPr>
          <w:sz w:val="16"/>
        </w:rPr>
        <w:t>de</w:t>
      </w:r>
      <w:r>
        <w:rPr>
          <w:spacing w:val="-3"/>
          <w:sz w:val="16"/>
        </w:rPr>
        <w:t xml:space="preserve"> </w:t>
      </w:r>
      <w:r>
        <w:rPr>
          <w:sz w:val="16"/>
        </w:rPr>
        <w:t>los</w:t>
      </w:r>
      <w:r>
        <w:rPr>
          <w:spacing w:val="-2"/>
          <w:sz w:val="16"/>
        </w:rPr>
        <w:t xml:space="preserve"> </w:t>
      </w:r>
      <w:r>
        <w:rPr>
          <w:sz w:val="16"/>
        </w:rPr>
        <w:t>siguientes</w:t>
      </w:r>
      <w:r>
        <w:rPr>
          <w:spacing w:val="-2"/>
          <w:sz w:val="16"/>
        </w:rPr>
        <w:t xml:space="preserve"> </w:t>
      </w:r>
      <w:r>
        <w:rPr>
          <w:sz w:val="16"/>
        </w:rPr>
        <w:t>principios y</w:t>
      </w:r>
      <w:r>
        <w:rPr>
          <w:spacing w:val="-4"/>
          <w:sz w:val="16"/>
        </w:rPr>
        <w:t xml:space="preserve"> </w:t>
      </w:r>
      <w:r>
        <w:rPr>
          <w:sz w:val="16"/>
        </w:rPr>
        <w:t>mecanismos:</w:t>
      </w:r>
      <w:r>
        <w:rPr>
          <w:spacing w:val="-6"/>
          <w:sz w:val="16"/>
        </w:rPr>
        <w:t xml:space="preserve"> </w:t>
      </w:r>
      <w:r>
        <w:rPr>
          <w:sz w:val="16"/>
        </w:rPr>
        <w:t>[…]</w:t>
      </w:r>
      <w:r>
        <w:rPr>
          <w:spacing w:val="-8"/>
          <w:sz w:val="16"/>
        </w:rPr>
        <w:t xml:space="preserve"> </w:t>
      </w:r>
      <w:r>
        <w:rPr>
          <w:sz w:val="16"/>
        </w:rPr>
        <w:t>b)</w:t>
      </w:r>
      <w:r>
        <w:rPr>
          <w:spacing w:val="-6"/>
          <w:sz w:val="16"/>
        </w:rPr>
        <w:t xml:space="preserve"> </w:t>
      </w:r>
      <w:r>
        <w:rPr>
          <w:sz w:val="16"/>
        </w:rPr>
        <w:t>El</w:t>
      </w:r>
      <w:r>
        <w:rPr>
          <w:spacing w:val="-6"/>
          <w:sz w:val="16"/>
        </w:rPr>
        <w:t xml:space="preserve"> </w:t>
      </w:r>
      <w:r>
        <w:rPr>
          <w:sz w:val="16"/>
        </w:rPr>
        <w:t>trabajo</w:t>
      </w:r>
      <w:r>
        <w:rPr>
          <w:spacing w:val="-4"/>
          <w:sz w:val="16"/>
        </w:rPr>
        <w:t xml:space="preserve"> </w:t>
      </w:r>
      <w:r>
        <w:rPr>
          <w:sz w:val="16"/>
        </w:rPr>
        <w:t>es</w:t>
      </w:r>
      <w:r>
        <w:rPr>
          <w:spacing w:val="-6"/>
          <w:sz w:val="16"/>
        </w:rPr>
        <w:t xml:space="preserve"> </w:t>
      </w:r>
      <w:r>
        <w:rPr>
          <w:sz w:val="16"/>
        </w:rPr>
        <w:t>un</w:t>
      </w:r>
      <w:r>
        <w:rPr>
          <w:spacing w:val="-6"/>
          <w:sz w:val="16"/>
        </w:rPr>
        <w:t xml:space="preserve"> </w:t>
      </w:r>
      <w:r>
        <w:rPr>
          <w:sz w:val="16"/>
        </w:rPr>
        <w:t>derecho</w:t>
      </w:r>
      <w:r>
        <w:rPr>
          <w:spacing w:val="-4"/>
          <w:sz w:val="16"/>
        </w:rPr>
        <w:t xml:space="preserve"> </w:t>
      </w:r>
      <w:r>
        <w:rPr>
          <w:sz w:val="16"/>
        </w:rPr>
        <w:t>y</w:t>
      </w:r>
      <w:r>
        <w:rPr>
          <w:spacing w:val="-7"/>
          <w:sz w:val="16"/>
        </w:rPr>
        <w:t xml:space="preserve"> </w:t>
      </w:r>
      <w:r>
        <w:rPr>
          <w:sz w:val="16"/>
        </w:rPr>
        <w:t>un</w:t>
      </w:r>
      <w:r>
        <w:rPr>
          <w:spacing w:val="-6"/>
          <w:sz w:val="16"/>
        </w:rPr>
        <w:t xml:space="preserve"> </w:t>
      </w:r>
      <w:r>
        <w:rPr>
          <w:sz w:val="16"/>
        </w:rPr>
        <w:t>deber</w:t>
      </w:r>
      <w:r>
        <w:rPr>
          <w:spacing w:val="-4"/>
          <w:sz w:val="16"/>
        </w:rPr>
        <w:t xml:space="preserve"> </w:t>
      </w:r>
      <w:r>
        <w:rPr>
          <w:sz w:val="16"/>
        </w:rPr>
        <w:t>social,</w:t>
      </w:r>
      <w:r>
        <w:rPr>
          <w:spacing w:val="-6"/>
          <w:sz w:val="16"/>
        </w:rPr>
        <w:t xml:space="preserve"> </w:t>
      </w:r>
      <w:r>
        <w:rPr>
          <w:sz w:val="16"/>
        </w:rPr>
        <w:t>otorga</w:t>
      </w:r>
      <w:r>
        <w:rPr>
          <w:spacing w:val="-7"/>
          <w:sz w:val="16"/>
        </w:rPr>
        <w:t xml:space="preserve"> </w:t>
      </w:r>
      <w:r>
        <w:rPr>
          <w:sz w:val="16"/>
        </w:rPr>
        <w:t>dignidad</w:t>
      </w:r>
      <w:r>
        <w:rPr>
          <w:spacing w:val="-4"/>
          <w:sz w:val="16"/>
        </w:rPr>
        <w:t xml:space="preserve"> </w:t>
      </w:r>
      <w:r>
        <w:rPr>
          <w:sz w:val="16"/>
        </w:rPr>
        <w:t>a</w:t>
      </w:r>
      <w:r>
        <w:rPr>
          <w:spacing w:val="-8"/>
          <w:sz w:val="16"/>
        </w:rPr>
        <w:t xml:space="preserve"> </w:t>
      </w:r>
      <w:r>
        <w:rPr>
          <w:sz w:val="16"/>
        </w:rPr>
        <w:t>quien</w:t>
      </w:r>
      <w:r>
        <w:rPr>
          <w:spacing w:val="-8"/>
          <w:sz w:val="16"/>
        </w:rPr>
        <w:t xml:space="preserve"> </w:t>
      </w:r>
      <w:r>
        <w:rPr>
          <w:sz w:val="16"/>
        </w:rPr>
        <w:t>lo</w:t>
      </w:r>
      <w:r>
        <w:rPr>
          <w:spacing w:val="-4"/>
          <w:sz w:val="16"/>
        </w:rPr>
        <w:t xml:space="preserve"> </w:t>
      </w:r>
      <w:r>
        <w:rPr>
          <w:sz w:val="16"/>
        </w:rPr>
        <w:t>realiza</w:t>
      </w:r>
      <w:r>
        <w:rPr>
          <w:spacing w:val="-6"/>
          <w:sz w:val="16"/>
        </w:rPr>
        <w:t xml:space="preserve"> </w:t>
      </w:r>
      <w:r>
        <w:rPr>
          <w:sz w:val="16"/>
        </w:rPr>
        <w:t>y</w:t>
      </w:r>
      <w:r>
        <w:rPr>
          <w:spacing w:val="-7"/>
          <w:sz w:val="16"/>
        </w:rPr>
        <w:t xml:space="preserve"> </w:t>
      </w:r>
      <w:r>
        <w:rPr>
          <w:sz w:val="16"/>
        </w:rPr>
        <w:t>debe</w:t>
      </w:r>
      <w:r>
        <w:rPr>
          <w:spacing w:val="-6"/>
          <w:sz w:val="16"/>
        </w:rPr>
        <w:t xml:space="preserve"> </w:t>
      </w:r>
      <w:r>
        <w:rPr>
          <w:sz w:val="16"/>
        </w:rPr>
        <w:t>prestarse en condiciones que, incluyendo un régimen de salarios justos, as</w:t>
      </w:r>
      <w:r>
        <w:rPr>
          <w:sz w:val="16"/>
        </w:rPr>
        <w:t>eguren la vida, la salud y un nivel económico decoroso para el trabajador y su familia, tanto en sus años de trabajo como en su vejez, o cuando cualquier circunstancia lo prive de la posibilidad de trabajar; c) Los empleadores y los trabajadores, tanto rur</w:t>
      </w:r>
      <w:r>
        <w:rPr>
          <w:sz w:val="16"/>
        </w:rPr>
        <w:t>ales como urbanos, tienen el derecho de asociarse libremente para la defensa y promoción de sus intereses, incluyendo el derecho de negociación colectiva y el de huelga por parte de los trabajadores, el reconocimiento de la personería jurídica de las asoci</w:t>
      </w:r>
      <w:r>
        <w:rPr>
          <w:sz w:val="16"/>
        </w:rPr>
        <w:t>aciones y la protección de su libertad e independencia, todo de conformidad con la legislación respectiva</w:t>
      </w:r>
      <w:r>
        <w:rPr>
          <w:spacing w:val="-3"/>
          <w:sz w:val="16"/>
        </w:rPr>
        <w:t xml:space="preserve"> </w:t>
      </w:r>
      <w:r>
        <w:rPr>
          <w:sz w:val="16"/>
        </w:rPr>
        <w:t>[…].</w:t>
      </w:r>
    </w:p>
    <w:p w14:paraId="63048DA3" w14:textId="77777777" w:rsidR="00467FCA" w:rsidRDefault="001B68EB">
      <w:pPr>
        <w:tabs>
          <w:tab w:val="left" w:pos="839"/>
        </w:tabs>
        <w:spacing w:before="2"/>
        <w:ind w:left="119" w:right="114"/>
        <w:jc w:val="both"/>
        <w:rPr>
          <w:sz w:val="16"/>
        </w:rPr>
      </w:pPr>
      <w:bookmarkStart w:id="312" w:name="_bookmark268"/>
      <w:bookmarkEnd w:id="312"/>
      <w:r>
        <w:rPr>
          <w:position w:val="6"/>
          <w:sz w:val="10"/>
        </w:rPr>
        <w:t>223</w:t>
      </w:r>
      <w:r>
        <w:rPr>
          <w:position w:val="6"/>
          <w:sz w:val="10"/>
        </w:rPr>
        <w:tab/>
      </w:r>
      <w:r>
        <w:rPr>
          <w:i/>
          <w:sz w:val="16"/>
        </w:rPr>
        <w:t xml:space="preserve">Cfr. </w:t>
      </w:r>
      <w:r>
        <w:rPr>
          <w:sz w:val="16"/>
        </w:rPr>
        <w:t>Artículo 46 de la Carta de la OEA. - Los Estados miembros reconocen que, para facilitar el proceso de la integración regional latinoamer</w:t>
      </w:r>
      <w:r>
        <w:rPr>
          <w:sz w:val="16"/>
        </w:rPr>
        <w:t>icana, es necesario armonizar la legislación social de los países en desarrollo, especialmente en el campo laboral y de la seguridad social, a fin de que los derechos de los trabajadores sean igualmente protegidos, y convienen en realizar los máximos esfue</w:t>
      </w:r>
      <w:r>
        <w:rPr>
          <w:sz w:val="16"/>
        </w:rPr>
        <w:t>rzos para alcanzar esta</w:t>
      </w:r>
      <w:r>
        <w:rPr>
          <w:spacing w:val="-19"/>
          <w:sz w:val="16"/>
        </w:rPr>
        <w:t xml:space="preserve"> </w:t>
      </w:r>
      <w:r>
        <w:rPr>
          <w:sz w:val="16"/>
        </w:rPr>
        <w:t>finalidad.</w:t>
      </w:r>
    </w:p>
    <w:p w14:paraId="40BAA3F2" w14:textId="77777777" w:rsidR="00467FCA" w:rsidRDefault="001B68EB">
      <w:pPr>
        <w:tabs>
          <w:tab w:val="left" w:pos="839"/>
        </w:tabs>
        <w:ind w:left="120" w:right="110" w:hanging="1"/>
        <w:jc w:val="both"/>
        <w:rPr>
          <w:sz w:val="16"/>
        </w:rPr>
      </w:pPr>
      <w:bookmarkStart w:id="313" w:name="_bookmark269"/>
      <w:bookmarkEnd w:id="313"/>
      <w:r>
        <w:rPr>
          <w:position w:val="6"/>
          <w:sz w:val="10"/>
        </w:rPr>
        <w:t>224</w:t>
      </w:r>
      <w:r>
        <w:rPr>
          <w:position w:val="6"/>
          <w:sz w:val="10"/>
        </w:rPr>
        <w:tab/>
      </w:r>
      <w:r>
        <w:rPr>
          <w:i/>
          <w:sz w:val="16"/>
        </w:rPr>
        <w:t xml:space="preserve">Cfr. </w:t>
      </w:r>
      <w:r>
        <w:rPr>
          <w:sz w:val="16"/>
        </w:rPr>
        <w:t xml:space="preserve">Artículo 34.g de la Carta de la OEA. - Los Estados miembros convienen en que la igualdad de oportunidades, la eliminación de la pobreza crítica y la distribución equitativa de la riqueza y del ingreso, así como la plena participación de sus pueblos en las </w:t>
      </w:r>
      <w:r>
        <w:rPr>
          <w:sz w:val="16"/>
        </w:rPr>
        <w:t>decisiones relativas a su propio desarrollo, son, entre otros, objetivos básicos</w:t>
      </w:r>
      <w:r>
        <w:rPr>
          <w:spacing w:val="-18"/>
          <w:sz w:val="16"/>
        </w:rPr>
        <w:t xml:space="preserve"> </w:t>
      </w:r>
      <w:r>
        <w:rPr>
          <w:sz w:val="16"/>
        </w:rPr>
        <w:t>del</w:t>
      </w:r>
      <w:r>
        <w:rPr>
          <w:spacing w:val="-18"/>
          <w:sz w:val="16"/>
        </w:rPr>
        <w:t xml:space="preserve"> </w:t>
      </w:r>
      <w:r>
        <w:rPr>
          <w:sz w:val="16"/>
        </w:rPr>
        <w:t>desarrollo</w:t>
      </w:r>
      <w:r>
        <w:rPr>
          <w:spacing w:val="-14"/>
          <w:sz w:val="16"/>
        </w:rPr>
        <w:t xml:space="preserve"> </w:t>
      </w:r>
      <w:r>
        <w:rPr>
          <w:sz w:val="16"/>
        </w:rPr>
        <w:t>integral.</w:t>
      </w:r>
      <w:r>
        <w:rPr>
          <w:spacing w:val="-16"/>
          <w:sz w:val="16"/>
        </w:rPr>
        <w:t xml:space="preserve"> </w:t>
      </w:r>
      <w:r>
        <w:rPr>
          <w:sz w:val="16"/>
        </w:rPr>
        <w:t>Para</w:t>
      </w:r>
      <w:r>
        <w:rPr>
          <w:spacing w:val="-15"/>
          <w:sz w:val="16"/>
        </w:rPr>
        <w:t xml:space="preserve"> </w:t>
      </w:r>
      <w:r>
        <w:rPr>
          <w:sz w:val="16"/>
        </w:rPr>
        <w:t>lograrlos,</w:t>
      </w:r>
      <w:r>
        <w:rPr>
          <w:spacing w:val="-15"/>
          <w:sz w:val="16"/>
        </w:rPr>
        <w:t xml:space="preserve"> </w:t>
      </w:r>
      <w:r>
        <w:rPr>
          <w:sz w:val="16"/>
        </w:rPr>
        <w:t>convienen</w:t>
      </w:r>
      <w:r>
        <w:rPr>
          <w:spacing w:val="-16"/>
          <w:sz w:val="16"/>
        </w:rPr>
        <w:t xml:space="preserve"> </w:t>
      </w:r>
      <w:r>
        <w:rPr>
          <w:sz w:val="16"/>
        </w:rPr>
        <w:t>asimismo</w:t>
      </w:r>
      <w:r>
        <w:rPr>
          <w:spacing w:val="-15"/>
          <w:sz w:val="16"/>
        </w:rPr>
        <w:t xml:space="preserve"> </w:t>
      </w:r>
      <w:r>
        <w:rPr>
          <w:sz w:val="16"/>
        </w:rPr>
        <w:t>en</w:t>
      </w:r>
      <w:r>
        <w:rPr>
          <w:spacing w:val="-18"/>
          <w:sz w:val="16"/>
        </w:rPr>
        <w:t xml:space="preserve"> </w:t>
      </w:r>
      <w:r>
        <w:rPr>
          <w:sz w:val="16"/>
        </w:rPr>
        <w:t>dedicar</w:t>
      </w:r>
      <w:r>
        <w:rPr>
          <w:spacing w:val="-16"/>
          <w:sz w:val="16"/>
        </w:rPr>
        <w:t xml:space="preserve"> </w:t>
      </w:r>
      <w:r>
        <w:rPr>
          <w:sz w:val="16"/>
        </w:rPr>
        <w:t>sus</w:t>
      </w:r>
      <w:r>
        <w:rPr>
          <w:spacing w:val="-14"/>
          <w:sz w:val="16"/>
        </w:rPr>
        <w:t xml:space="preserve"> </w:t>
      </w:r>
      <w:r>
        <w:rPr>
          <w:sz w:val="16"/>
        </w:rPr>
        <w:t>máximos</w:t>
      </w:r>
      <w:r>
        <w:rPr>
          <w:spacing w:val="-15"/>
          <w:sz w:val="16"/>
        </w:rPr>
        <w:t xml:space="preserve"> </w:t>
      </w:r>
      <w:r>
        <w:rPr>
          <w:sz w:val="16"/>
        </w:rPr>
        <w:t>esfuerzos</w:t>
      </w:r>
      <w:r>
        <w:rPr>
          <w:spacing w:val="-14"/>
          <w:sz w:val="16"/>
        </w:rPr>
        <w:t xml:space="preserve"> </w:t>
      </w:r>
      <w:r>
        <w:rPr>
          <w:sz w:val="16"/>
        </w:rPr>
        <w:t>a</w:t>
      </w:r>
      <w:r>
        <w:rPr>
          <w:spacing w:val="-17"/>
          <w:sz w:val="16"/>
        </w:rPr>
        <w:t xml:space="preserve"> </w:t>
      </w:r>
      <w:r>
        <w:rPr>
          <w:sz w:val="16"/>
        </w:rPr>
        <w:t>la</w:t>
      </w:r>
      <w:r>
        <w:rPr>
          <w:spacing w:val="-16"/>
          <w:sz w:val="16"/>
        </w:rPr>
        <w:t xml:space="preserve"> </w:t>
      </w:r>
      <w:r>
        <w:rPr>
          <w:sz w:val="16"/>
        </w:rPr>
        <w:t>consecución de</w:t>
      </w:r>
      <w:r>
        <w:rPr>
          <w:spacing w:val="-11"/>
          <w:sz w:val="16"/>
        </w:rPr>
        <w:t xml:space="preserve"> </w:t>
      </w:r>
      <w:r>
        <w:rPr>
          <w:sz w:val="16"/>
        </w:rPr>
        <w:t>las</w:t>
      </w:r>
      <w:r>
        <w:rPr>
          <w:spacing w:val="-10"/>
          <w:sz w:val="16"/>
        </w:rPr>
        <w:t xml:space="preserve"> </w:t>
      </w:r>
      <w:r>
        <w:rPr>
          <w:sz w:val="16"/>
        </w:rPr>
        <w:t>siguientes</w:t>
      </w:r>
      <w:r>
        <w:rPr>
          <w:spacing w:val="-10"/>
          <w:sz w:val="16"/>
        </w:rPr>
        <w:t xml:space="preserve"> </w:t>
      </w:r>
      <w:r>
        <w:rPr>
          <w:sz w:val="16"/>
        </w:rPr>
        <w:t>metas</w:t>
      </w:r>
      <w:r>
        <w:rPr>
          <w:spacing w:val="-11"/>
          <w:sz w:val="16"/>
        </w:rPr>
        <w:t xml:space="preserve"> </w:t>
      </w:r>
      <w:r>
        <w:rPr>
          <w:sz w:val="16"/>
        </w:rPr>
        <w:t>básicas:</w:t>
      </w:r>
      <w:r>
        <w:rPr>
          <w:spacing w:val="-12"/>
          <w:sz w:val="16"/>
        </w:rPr>
        <w:t xml:space="preserve"> </w:t>
      </w:r>
      <w:r>
        <w:rPr>
          <w:sz w:val="16"/>
        </w:rPr>
        <w:t>[…]</w:t>
      </w:r>
      <w:r>
        <w:rPr>
          <w:spacing w:val="-11"/>
          <w:sz w:val="16"/>
        </w:rPr>
        <w:t xml:space="preserve"> </w:t>
      </w:r>
      <w:r>
        <w:rPr>
          <w:sz w:val="16"/>
        </w:rPr>
        <w:t>g)</w:t>
      </w:r>
      <w:r>
        <w:rPr>
          <w:spacing w:val="-2"/>
          <w:sz w:val="16"/>
        </w:rPr>
        <w:t xml:space="preserve"> </w:t>
      </w:r>
      <w:r>
        <w:rPr>
          <w:sz w:val="16"/>
        </w:rPr>
        <w:t>Salarios</w:t>
      </w:r>
      <w:r>
        <w:rPr>
          <w:spacing w:val="-11"/>
          <w:sz w:val="16"/>
        </w:rPr>
        <w:t xml:space="preserve"> </w:t>
      </w:r>
      <w:r>
        <w:rPr>
          <w:sz w:val="16"/>
        </w:rPr>
        <w:t>justos,</w:t>
      </w:r>
      <w:r>
        <w:rPr>
          <w:spacing w:val="-11"/>
          <w:sz w:val="16"/>
        </w:rPr>
        <w:t xml:space="preserve"> </w:t>
      </w:r>
      <w:r>
        <w:rPr>
          <w:sz w:val="16"/>
        </w:rPr>
        <w:t>oportuni</w:t>
      </w:r>
      <w:r>
        <w:rPr>
          <w:sz w:val="16"/>
        </w:rPr>
        <w:t>dades</w:t>
      </w:r>
      <w:r>
        <w:rPr>
          <w:spacing w:val="-11"/>
          <w:sz w:val="16"/>
        </w:rPr>
        <w:t xml:space="preserve"> </w:t>
      </w:r>
      <w:r>
        <w:rPr>
          <w:sz w:val="16"/>
        </w:rPr>
        <w:t>de</w:t>
      </w:r>
      <w:r>
        <w:rPr>
          <w:spacing w:val="-13"/>
          <w:sz w:val="16"/>
        </w:rPr>
        <w:t xml:space="preserve"> </w:t>
      </w:r>
      <w:r>
        <w:rPr>
          <w:sz w:val="16"/>
        </w:rPr>
        <w:t>empleo</w:t>
      </w:r>
      <w:r>
        <w:rPr>
          <w:spacing w:val="-9"/>
          <w:sz w:val="16"/>
        </w:rPr>
        <w:t xml:space="preserve"> </w:t>
      </w:r>
      <w:r>
        <w:rPr>
          <w:sz w:val="16"/>
        </w:rPr>
        <w:t>y</w:t>
      </w:r>
      <w:r>
        <w:rPr>
          <w:spacing w:val="-12"/>
          <w:sz w:val="16"/>
        </w:rPr>
        <w:t xml:space="preserve"> </w:t>
      </w:r>
      <w:r>
        <w:rPr>
          <w:sz w:val="16"/>
        </w:rPr>
        <w:t>condiciones</w:t>
      </w:r>
      <w:r>
        <w:rPr>
          <w:spacing w:val="-11"/>
          <w:sz w:val="16"/>
        </w:rPr>
        <w:t xml:space="preserve"> </w:t>
      </w:r>
      <w:r>
        <w:rPr>
          <w:sz w:val="16"/>
        </w:rPr>
        <w:t>de</w:t>
      </w:r>
      <w:r>
        <w:rPr>
          <w:spacing w:val="-9"/>
          <w:sz w:val="16"/>
        </w:rPr>
        <w:t xml:space="preserve"> </w:t>
      </w:r>
      <w:r>
        <w:rPr>
          <w:sz w:val="16"/>
        </w:rPr>
        <w:t>trabajo</w:t>
      </w:r>
      <w:r>
        <w:rPr>
          <w:spacing w:val="-10"/>
          <w:sz w:val="16"/>
        </w:rPr>
        <w:t xml:space="preserve"> </w:t>
      </w:r>
      <w:r>
        <w:rPr>
          <w:sz w:val="16"/>
        </w:rPr>
        <w:t>aceptables</w:t>
      </w:r>
      <w:bookmarkStart w:id="314" w:name="_bookmark270"/>
      <w:bookmarkEnd w:id="314"/>
      <w:r>
        <w:rPr>
          <w:sz w:val="16"/>
        </w:rPr>
        <w:t xml:space="preserve"> para</w:t>
      </w:r>
      <w:r>
        <w:rPr>
          <w:spacing w:val="-1"/>
          <w:sz w:val="16"/>
        </w:rPr>
        <w:t xml:space="preserve"> </w:t>
      </w:r>
      <w:r>
        <w:rPr>
          <w:sz w:val="16"/>
        </w:rPr>
        <w:t>todos.</w:t>
      </w:r>
    </w:p>
    <w:p w14:paraId="53304CCF" w14:textId="77777777" w:rsidR="00467FCA" w:rsidRDefault="001B68EB">
      <w:pPr>
        <w:tabs>
          <w:tab w:val="left" w:pos="839"/>
        </w:tabs>
        <w:ind w:left="119" w:right="114"/>
        <w:jc w:val="both"/>
        <w:rPr>
          <w:sz w:val="16"/>
        </w:rPr>
      </w:pPr>
      <w:r>
        <w:rPr>
          <w:position w:val="6"/>
          <w:sz w:val="10"/>
        </w:rPr>
        <w:t>225</w:t>
      </w:r>
      <w:r>
        <w:rPr>
          <w:position w:val="6"/>
          <w:sz w:val="10"/>
        </w:rPr>
        <w:tab/>
      </w:r>
      <w:r>
        <w:rPr>
          <w:i/>
          <w:sz w:val="16"/>
        </w:rPr>
        <w:t>Cfr</w:t>
      </w:r>
      <w:r>
        <w:rPr>
          <w:sz w:val="16"/>
        </w:rPr>
        <w:t>.</w:t>
      </w:r>
      <w:r>
        <w:rPr>
          <w:spacing w:val="-8"/>
          <w:sz w:val="16"/>
        </w:rPr>
        <w:t xml:space="preserve"> </w:t>
      </w:r>
      <w:r>
        <w:rPr>
          <w:i/>
          <w:sz w:val="16"/>
        </w:rPr>
        <w:t>Caso</w:t>
      </w:r>
      <w:r>
        <w:rPr>
          <w:i/>
          <w:spacing w:val="-9"/>
          <w:sz w:val="16"/>
        </w:rPr>
        <w:t xml:space="preserve"> </w:t>
      </w:r>
      <w:r>
        <w:rPr>
          <w:i/>
          <w:sz w:val="16"/>
        </w:rPr>
        <w:t>Lagos</w:t>
      </w:r>
      <w:r>
        <w:rPr>
          <w:i/>
          <w:spacing w:val="-9"/>
          <w:sz w:val="16"/>
        </w:rPr>
        <w:t xml:space="preserve"> </w:t>
      </w:r>
      <w:r>
        <w:rPr>
          <w:i/>
          <w:sz w:val="16"/>
        </w:rPr>
        <w:t>del</w:t>
      </w:r>
      <w:r>
        <w:rPr>
          <w:i/>
          <w:spacing w:val="-11"/>
          <w:sz w:val="16"/>
        </w:rPr>
        <w:t xml:space="preserve"> </w:t>
      </w:r>
      <w:r>
        <w:rPr>
          <w:i/>
          <w:sz w:val="16"/>
        </w:rPr>
        <w:t>Campo</w:t>
      </w:r>
      <w:r>
        <w:rPr>
          <w:i/>
          <w:spacing w:val="-8"/>
          <w:sz w:val="16"/>
        </w:rPr>
        <w:t xml:space="preserve"> </w:t>
      </w:r>
      <w:r>
        <w:rPr>
          <w:i/>
          <w:sz w:val="16"/>
        </w:rPr>
        <w:t>Vs.</w:t>
      </w:r>
      <w:r>
        <w:rPr>
          <w:i/>
          <w:spacing w:val="-8"/>
          <w:sz w:val="16"/>
        </w:rPr>
        <w:t xml:space="preserve"> </w:t>
      </w:r>
      <w:r>
        <w:rPr>
          <w:i/>
          <w:sz w:val="16"/>
        </w:rPr>
        <w:t>Perú,</w:t>
      </w:r>
      <w:r>
        <w:rPr>
          <w:i/>
          <w:spacing w:val="-11"/>
          <w:sz w:val="16"/>
        </w:rPr>
        <w:t xml:space="preserve"> </w:t>
      </w:r>
      <w:r>
        <w:rPr>
          <w:i/>
          <w:sz w:val="16"/>
        </w:rPr>
        <w:t>supra</w:t>
      </w:r>
      <w:r>
        <w:rPr>
          <w:sz w:val="16"/>
        </w:rPr>
        <w:t>,</w:t>
      </w:r>
      <w:r>
        <w:rPr>
          <w:spacing w:val="-7"/>
          <w:sz w:val="16"/>
        </w:rPr>
        <w:t xml:space="preserve"> </w:t>
      </w:r>
      <w:r>
        <w:rPr>
          <w:sz w:val="16"/>
        </w:rPr>
        <w:t>párr.</w:t>
      </w:r>
      <w:r>
        <w:rPr>
          <w:spacing w:val="-11"/>
          <w:sz w:val="16"/>
        </w:rPr>
        <w:t xml:space="preserve"> </w:t>
      </w:r>
      <w:r>
        <w:rPr>
          <w:sz w:val="16"/>
        </w:rPr>
        <w:t>143,</w:t>
      </w:r>
      <w:r>
        <w:rPr>
          <w:spacing w:val="-10"/>
          <w:sz w:val="16"/>
        </w:rPr>
        <w:t xml:space="preserve"> </w:t>
      </w:r>
      <w:r>
        <w:rPr>
          <w:sz w:val="16"/>
        </w:rPr>
        <w:t>y</w:t>
      </w:r>
      <w:r>
        <w:rPr>
          <w:spacing w:val="-9"/>
          <w:sz w:val="16"/>
        </w:rPr>
        <w:t xml:space="preserve"> </w:t>
      </w:r>
      <w:r>
        <w:rPr>
          <w:i/>
          <w:sz w:val="16"/>
        </w:rPr>
        <w:t>Caso</w:t>
      </w:r>
      <w:r>
        <w:rPr>
          <w:i/>
          <w:spacing w:val="-8"/>
          <w:sz w:val="16"/>
        </w:rPr>
        <w:t xml:space="preserve"> </w:t>
      </w:r>
      <w:r>
        <w:rPr>
          <w:i/>
          <w:sz w:val="16"/>
        </w:rPr>
        <w:t>San</w:t>
      </w:r>
      <w:r>
        <w:rPr>
          <w:i/>
          <w:spacing w:val="-11"/>
          <w:sz w:val="16"/>
        </w:rPr>
        <w:t xml:space="preserve"> </w:t>
      </w:r>
      <w:r>
        <w:rPr>
          <w:i/>
          <w:sz w:val="16"/>
        </w:rPr>
        <w:t>Miguel</w:t>
      </w:r>
      <w:r>
        <w:rPr>
          <w:i/>
          <w:spacing w:val="-8"/>
          <w:sz w:val="16"/>
        </w:rPr>
        <w:t xml:space="preserve"> </w:t>
      </w:r>
      <w:r>
        <w:rPr>
          <w:i/>
          <w:sz w:val="16"/>
        </w:rPr>
        <w:t>Sosa</w:t>
      </w:r>
      <w:r>
        <w:rPr>
          <w:i/>
          <w:spacing w:val="-9"/>
          <w:sz w:val="16"/>
        </w:rPr>
        <w:t xml:space="preserve"> </w:t>
      </w:r>
      <w:r>
        <w:rPr>
          <w:i/>
          <w:sz w:val="16"/>
        </w:rPr>
        <w:t>y</w:t>
      </w:r>
      <w:r>
        <w:rPr>
          <w:i/>
          <w:spacing w:val="-11"/>
          <w:sz w:val="16"/>
        </w:rPr>
        <w:t xml:space="preserve"> </w:t>
      </w:r>
      <w:r>
        <w:rPr>
          <w:i/>
          <w:sz w:val="16"/>
        </w:rPr>
        <w:t>otras</w:t>
      </w:r>
      <w:r>
        <w:rPr>
          <w:i/>
          <w:spacing w:val="-9"/>
          <w:sz w:val="16"/>
        </w:rPr>
        <w:t xml:space="preserve"> </w:t>
      </w:r>
      <w:r>
        <w:rPr>
          <w:i/>
          <w:sz w:val="16"/>
        </w:rPr>
        <w:t>Vs.</w:t>
      </w:r>
      <w:r>
        <w:rPr>
          <w:i/>
          <w:spacing w:val="-8"/>
          <w:sz w:val="16"/>
        </w:rPr>
        <w:t xml:space="preserve"> </w:t>
      </w:r>
      <w:r>
        <w:rPr>
          <w:i/>
          <w:sz w:val="16"/>
        </w:rPr>
        <w:t>Venezuela,</w:t>
      </w:r>
      <w:r>
        <w:rPr>
          <w:i/>
          <w:spacing w:val="-7"/>
          <w:sz w:val="16"/>
        </w:rPr>
        <w:t xml:space="preserve"> </w:t>
      </w:r>
      <w:r>
        <w:rPr>
          <w:i/>
          <w:sz w:val="16"/>
        </w:rPr>
        <w:t>supra</w:t>
      </w:r>
      <w:r>
        <w:rPr>
          <w:sz w:val="16"/>
        </w:rPr>
        <w:t>, párr.</w:t>
      </w:r>
      <w:r>
        <w:rPr>
          <w:spacing w:val="-1"/>
          <w:sz w:val="16"/>
        </w:rPr>
        <w:t xml:space="preserve"> </w:t>
      </w:r>
      <w:r>
        <w:rPr>
          <w:sz w:val="16"/>
        </w:rPr>
        <w:t>220.</w:t>
      </w:r>
    </w:p>
    <w:p w14:paraId="7EFF8F7D" w14:textId="77777777" w:rsidR="00467FCA" w:rsidRDefault="001B68EB">
      <w:pPr>
        <w:tabs>
          <w:tab w:val="left" w:pos="839"/>
        </w:tabs>
        <w:ind w:left="120" w:right="116" w:hanging="1"/>
        <w:jc w:val="both"/>
        <w:rPr>
          <w:sz w:val="16"/>
        </w:rPr>
      </w:pPr>
      <w:bookmarkStart w:id="315" w:name="_bookmark271"/>
      <w:bookmarkEnd w:id="315"/>
      <w:r>
        <w:rPr>
          <w:position w:val="6"/>
          <w:sz w:val="10"/>
        </w:rPr>
        <w:t>226</w:t>
      </w:r>
      <w:r>
        <w:rPr>
          <w:position w:val="6"/>
          <w:sz w:val="10"/>
        </w:rPr>
        <w:tab/>
      </w:r>
      <w:r>
        <w:rPr>
          <w:i/>
          <w:sz w:val="16"/>
        </w:rPr>
        <w:t>Cfr. Caso de la “Masacre de Mapiripán” Vs. Colombia, supra</w:t>
      </w:r>
      <w:r>
        <w:rPr>
          <w:sz w:val="16"/>
        </w:rPr>
        <w:t xml:space="preserve">, párr. 107, y </w:t>
      </w:r>
      <w:r>
        <w:rPr>
          <w:i/>
          <w:sz w:val="16"/>
        </w:rPr>
        <w:t>Caso Hernández Vs. Argentina, supra</w:t>
      </w:r>
      <w:r>
        <w:rPr>
          <w:sz w:val="16"/>
        </w:rPr>
        <w:t>, párr.</w:t>
      </w:r>
      <w:r>
        <w:rPr>
          <w:spacing w:val="-5"/>
          <w:sz w:val="16"/>
        </w:rPr>
        <w:t xml:space="preserve"> </w:t>
      </w:r>
      <w:r>
        <w:rPr>
          <w:sz w:val="16"/>
        </w:rPr>
        <w:t>65.</w:t>
      </w:r>
    </w:p>
    <w:p w14:paraId="2D30BD00" w14:textId="77777777" w:rsidR="00467FCA" w:rsidRDefault="00467FCA">
      <w:pPr>
        <w:jc w:val="both"/>
        <w:rPr>
          <w:sz w:val="16"/>
        </w:rPr>
        <w:sectPr w:rsidR="00467FCA">
          <w:pgSz w:w="12240" w:h="15840"/>
          <w:pgMar w:top="1360" w:right="1320" w:bottom="1220" w:left="1320" w:header="0" w:footer="1037" w:gutter="0"/>
          <w:cols w:space="720"/>
        </w:sectPr>
      </w:pPr>
    </w:p>
    <w:p w14:paraId="41CF75F4" w14:textId="77777777" w:rsidR="00467FCA" w:rsidRDefault="001B68EB">
      <w:pPr>
        <w:pStyle w:val="Textoindependiente"/>
        <w:spacing w:before="80"/>
        <w:ind w:left="119" w:right="117"/>
        <w:jc w:val="both"/>
      </w:pPr>
      <w:r>
        <w:t>interpretación</w:t>
      </w:r>
      <w:r>
        <w:rPr>
          <w:spacing w:val="-5"/>
        </w:rPr>
        <w:t xml:space="preserve"> </w:t>
      </w:r>
      <w:r>
        <w:t>y</w:t>
      </w:r>
      <w:r>
        <w:rPr>
          <w:spacing w:val="-7"/>
        </w:rPr>
        <w:t xml:space="preserve"> </w:t>
      </w:r>
      <w:r>
        <w:t>aplicación,</w:t>
      </w:r>
      <w:r>
        <w:rPr>
          <w:spacing w:val="-7"/>
        </w:rPr>
        <w:t xml:space="preserve"> </w:t>
      </w:r>
      <w:r>
        <w:t>específicamente</w:t>
      </w:r>
      <w:r>
        <w:rPr>
          <w:spacing w:val="-5"/>
        </w:rPr>
        <w:t xml:space="preserve"> </w:t>
      </w:r>
      <w:r>
        <w:t>a</w:t>
      </w:r>
      <w:r>
        <w:rPr>
          <w:spacing w:val="-5"/>
        </w:rPr>
        <w:t xml:space="preserve"> </w:t>
      </w:r>
      <w:r>
        <w:t>través</w:t>
      </w:r>
      <w:r>
        <w:rPr>
          <w:spacing w:val="-5"/>
        </w:rPr>
        <w:t xml:space="preserve"> </w:t>
      </w:r>
      <w:r>
        <w:t>del</w:t>
      </w:r>
      <w:r>
        <w:rPr>
          <w:spacing w:val="-6"/>
        </w:rPr>
        <w:t xml:space="preserve"> </w:t>
      </w:r>
      <w:r>
        <w:t>artículo</w:t>
      </w:r>
      <w:r>
        <w:rPr>
          <w:spacing w:val="-8"/>
        </w:rPr>
        <w:t xml:space="preserve"> </w:t>
      </w:r>
      <w:r>
        <w:t>29,</w:t>
      </w:r>
      <w:r>
        <w:rPr>
          <w:spacing w:val="-4"/>
        </w:rPr>
        <w:t xml:space="preserve"> </w:t>
      </w:r>
      <w:r>
        <w:t>el</w:t>
      </w:r>
      <w:r>
        <w:rPr>
          <w:spacing w:val="-6"/>
        </w:rPr>
        <w:t xml:space="preserve"> </w:t>
      </w:r>
      <w:r>
        <w:t>cual</w:t>
      </w:r>
      <w:r>
        <w:rPr>
          <w:spacing w:val="-6"/>
        </w:rPr>
        <w:t xml:space="preserve"> </w:t>
      </w:r>
      <w:r>
        <w:t>prevé</w:t>
      </w:r>
      <w:r>
        <w:rPr>
          <w:spacing w:val="-5"/>
        </w:rPr>
        <w:t xml:space="preserve"> </w:t>
      </w:r>
      <w:r>
        <w:t>el</w:t>
      </w:r>
      <w:r>
        <w:rPr>
          <w:spacing w:val="-6"/>
        </w:rPr>
        <w:t xml:space="preserve"> </w:t>
      </w:r>
      <w:r>
        <w:t xml:space="preserve">principio </w:t>
      </w:r>
      <w:r>
        <w:rPr>
          <w:i/>
        </w:rPr>
        <w:t>pro persona</w:t>
      </w:r>
      <w:hyperlink w:anchor="_bookmark272" w:history="1">
        <w:r>
          <w:rPr>
            <w:position w:val="7"/>
            <w:sz w:val="13"/>
          </w:rPr>
          <w:t>227</w:t>
        </w:r>
      </w:hyperlink>
      <w:r>
        <w:t>. De esta manera, como ha sido la práctica constante de este Tribunal</w:t>
      </w:r>
      <w:hyperlink w:anchor="_bookmark273" w:history="1">
        <w:r>
          <w:rPr>
            <w:position w:val="7"/>
            <w:sz w:val="13"/>
          </w:rPr>
          <w:t>228</w:t>
        </w:r>
      </w:hyperlink>
      <w:r>
        <w:t>, al determinar la compatibilidad de las acciones y omisiones del Estado o de sus normas con la propia Convención u otr</w:t>
      </w:r>
      <w:r>
        <w:t>os tratados respecto de los cuales tiene competencia, la Corte puede interpretar</w:t>
      </w:r>
      <w:r>
        <w:rPr>
          <w:spacing w:val="-11"/>
        </w:rPr>
        <w:t xml:space="preserve"> </w:t>
      </w:r>
      <w:r>
        <w:t>las</w:t>
      </w:r>
      <w:r>
        <w:rPr>
          <w:spacing w:val="-9"/>
        </w:rPr>
        <w:t xml:space="preserve"> </w:t>
      </w:r>
      <w:r>
        <w:t>obligaciones</w:t>
      </w:r>
      <w:r>
        <w:rPr>
          <w:spacing w:val="-11"/>
        </w:rPr>
        <w:t xml:space="preserve"> </w:t>
      </w:r>
      <w:r>
        <w:t>y</w:t>
      </w:r>
      <w:r>
        <w:rPr>
          <w:spacing w:val="-11"/>
        </w:rPr>
        <w:t xml:space="preserve"> </w:t>
      </w:r>
      <w:r>
        <w:t>derechos</w:t>
      </w:r>
      <w:r>
        <w:rPr>
          <w:spacing w:val="-11"/>
        </w:rPr>
        <w:t xml:space="preserve"> </w:t>
      </w:r>
      <w:r>
        <w:t>en</w:t>
      </w:r>
      <w:r>
        <w:rPr>
          <w:spacing w:val="-9"/>
        </w:rPr>
        <w:t xml:space="preserve"> </w:t>
      </w:r>
      <w:r>
        <w:t>ellos</w:t>
      </w:r>
      <w:r>
        <w:rPr>
          <w:spacing w:val="-9"/>
        </w:rPr>
        <w:t xml:space="preserve"> </w:t>
      </w:r>
      <w:r>
        <w:t>contenidos</w:t>
      </w:r>
      <w:r>
        <w:rPr>
          <w:spacing w:val="-10"/>
        </w:rPr>
        <w:t xml:space="preserve"> </w:t>
      </w:r>
      <w:r>
        <w:t>a</w:t>
      </w:r>
      <w:r>
        <w:rPr>
          <w:spacing w:val="-12"/>
        </w:rPr>
        <w:t xml:space="preserve"> </w:t>
      </w:r>
      <w:r>
        <w:t>la</w:t>
      </w:r>
      <w:r>
        <w:rPr>
          <w:spacing w:val="-10"/>
        </w:rPr>
        <w:t xml:space="preserve"> </w:t>
      </w:r>
      <w:r>
        <w:t>luz</w:t>
      </w:r>
      <w:r>
        <w:rPr>
          <w:spacing w:val="-12"/>
        </w:rPr>
        <w:t xml:space="preserve"> </w:t>
      </w:r>
      <w:r>
        <w:t>de</w:t>
      </w:r>
      <w:r>
        <w:rPr>
          <w:spacing w:val="-11"/>
        </w:rPr>
        <w:t xml:space="preserve"> </w:t>
      </w:r>
      <w:r>
        <w:t>otros</w:t>
      </w:r>
      <w:r>
        <w:rPr>
          <w:spacing w:val="-12"/>
        </w:rPr>
        <w:t xml:space="preserve"> </w:t>
      </w:r>
      <w:r>
        <w:t>tratados</w:t>
      </w:r>
      <w:r>
        <w:rPr>
          <w:spacing w:val="-11"/>
        </w:rPr>
        <w:t xml:space="preserve"> </w:t>
      </w:r>
      <w:r>
        <w:t>y</w:t>
      </w:r>
      <w:r>
        <w:rPr>
          <w:spacing w:val="-13"/>
        </w:rPr>
        <w:t xml:space="preserve"> </w:t>
      </w:r>
      <w:r>
        <w:t>normas pertinentes</w:t>
      </w:r>
      <w:hyperlink w:anchor="_bookmark274" w:history="1">
        <w:r>
          <w:rPr>
            <w:position w:val="7"/>
            <w:sz w:val="13"/>
          </w:rPr>
          <w:t>229</w:t>
        </w:r>
      </w:hyperlink>
      <w:r>
        <w:t>.</w:t>
      </w:r>
    </w:p>
    <w:p w14:paraId="4EECDA05" w14:textId="77777777" w:rsidR="00467FCA" w:rsidRDefault="00467FCA">
      <w:pPr>
        <w:pStyle w:val="Textoindependiente"/>
      </w:pPr>
    </w:p>
    <w:p w14:paraId="6F74DD7C" w14:textId="77777777" w:rsidR="00467FCA" w:rsidRDefault="001B68EB">
      <w:pPr>
        <w:pStyle w:val="Prrafodelista"/>
        <w:numPr>
          <w:ilvl w:val="0"/>
          <w:numId w:val="50"/>
        </w:numPr>
        <w:tabs>
          <w:tab w:val="left" w:pos="687"/>
        </w:tabs>
        <w:ind w:left="119" w:right="117" w:firstLine="0"/>
        <w:jc w:val="both"/>
        <w:rPr>
          <w:sz w:val="20"/>
        </w:rPr>
      </w:pPr>
      <w:r>
        <w:rPr>
          <w:sz w:val="20"/>
        </w:rPr>
        <w:t>De esta forma, la Corte utilizará las fuen</w:t>
      </w:r>
      <w:r>
        <w:rPr>
          <w:sz w:val="20"/>
        </w:rPr>
        <w:t xml:space="preserve">tes, principios y criterios del </w:t>
      </w:r>
      <w:r>
        <w:rPr>
          <w:i/>
          <w:sz w:val="20"/>
        </w:rPr>
        <w:t xml:space="preserve">corpus iuris </w:t>
      </w:r>
      <w:r>
        <w:rPr>
          <w:sz w:val="20"/>
        </w:rPr>
        <w:t>internacional</w:t>
      </w:r>
      <w:r>
        <w:rPr>
          <w:spacing w:val="-19"/>
          <w:sz w:val="20"/>
        </w:rPr>
        <w:t xml:space="preserve"> </w:t>
      </w:r>
      <w:r>
        <w:rPr>
          <w:sz w:val="20"/>
        </w:rPr>
        <w:t>como</w:t>
      </w:r>
      <w:r>
        <w:rPr>
          <w:spacing w:val="-19"/>
          <w:sz w:val="20"/>
        </w:rPr>
        <w:t xml:space="preserve"> </w:t>
      </w:r>
      <w:r>
        <w:rPr>
          <w:sz w:val="20"/>
        </w:rPr>
        <w:t>normativa</w:t>
      </w:r>
      <w:r>
        <w:rPr>
          <w:spacing w:val="-19"/>
          <w:sz w:val="20"/>
        </w:rPr>
        <w:t xml:space="preserve"> </w:t>
      </w:r>
      <w:r>
        <w:rPr>
          <w:sz w:val="20"/>
        </w:rPr>
        <w:t>especial</w:t>
      </w:r>
      <w:r>
        <w:rPr>
          <w:spacing w:val="-18"/>
          <w:sz w:val="20"/>
        </w:rPr>
        <w:t xml:space="preserve"> </w:t>
      </w:r>
      <w:r>
        <w:rPr>
          <w:sz w:val="20"/>
        </w:rPr>
        <w:t>aplicable</w:t>
      </w:r>
      <w:r>
        <w:rPr>
          <w:spacing w:val="-20"/>
          <w:sz w:val="20"/>
        </w:rPr>
        <w:t xml:space="preserve"> </w:t>
      </w:r>
      <w:r>
        <w:rPr>
          <w:sz w:val="20"/>
        </w:rPr>
        <w:t>en</w:t>
      </w:r>
      <w:r>
        <w:rPr>
          <w:spacing w:val="-18"/>
          <w:sz w:val="20"/>
        </w:rPr>
        <w:t xml:space="preserve"> </w:t>
      </w:r>
      <w:r>
        <w:rPr>
          <w:sz w:val="20"/>
        </w:rPr>
        <w:t>la</w:t>
      </w:r>
      <w:r>
        <w:rPr>
          <w:spacing w:val="-21"/>
          <w:sz w:val="20"/>
        </w:rPr>
        <w:t xml:space="preserve"> </w:t>
      </w:r>
      <w:r>
        <w:rPr>
          <w:sz w:val="20"/>
        </w:rPr>
        <w:t>determinación</w:t>
      </w:r>
      <w:r>
        <w:rPr>
          <w:spacing w:val="-18"/>
          <w:sz w:val="20"/>
        </w:rPr>
        <w:t xml:space="preserve"> </w:t>
      </w:r>
      <w:r>
        <w:rPr>
          <w:sz w:val="20"/>
        </w:rPr>
        <w:t>del</w:t>
      </w:r>
      <w:r>
        <w:rPr>
          <w:spacing w:val="-21"/>
          <w:sz w:val="20"/>
        </w:rPr>
        <w:t xml:space="preserve"> </w:t>
      </w:r>
      <w:r>
        <w:rPr>
          <w:sz w:val="20"/>
        </w:rPr>
        <w:t>contenido</w:t>
      </w:r>
      <w:r>
        <w:rPr>
          <w:spacing w:val="-20"/>
          <w:sz w:val="20"/>
        </w:rPr>
        <w:t xml:space="preserve"> </w:t>
      </w:r>
      <w:r>
        <w:rPr>
          <w:sz w:val="20"/>
        </w:rPr>
        <w:t>del</w:t>
      </w:r>
      <w:r>
        <w:rPr>
          <w:spacing w:val="-19"/>
          <w:sz w:val="20"/>
        </w:rPr>
        <w:t xml:space="preserve"> </w:t>
      </w:r>
      <w:r>
        <w:rPr>
          <w:sz w:val="20"/>
        </w:rPr>
        <w:t>derecho a</w:t>
      </w:r>
      <w:r>
        <w:rPr>
          <w:spacing w:val="-10"/>
          <w:sz w:val="20"/>
        </w:rPr>
        <w:t xml:space="preserve"> </w:t>
      </w:r>
      <w:r>
        <w:rPr>
          <w:sz w:val="20"/>
        </w:rPr>
        <w:t>condiciones</w:t>
      </w:r>
      <w:r>
        <w:rPr>
          <w:spacing w:val="-9"/>
          <w:sz w:val="20"/>
        </w:rPr>
        <w:t xml:space="preserve"> </w:t>
      </w:r>
      <w:r>
        <w:rPr>
          <w:sz w:val="20"/>
        </w:rPr>
        <w:t>equitativas</w:t>
      </w:r>
      <w:r>
        <w:rPr>
          <w:spacing w:val="-10"/>
          <w:sz w:val="20"/>
        </w:rPr>
        <w:t xml:space="preserve"> </w:t>
      </w:r>
      <w:r>
        <w:rPr>
          <w:sz w:val="20"/>
        </w:rPr>
        <w:t>y</w:t>
      </w:r>
      <w:r>
        <w:rPr>
          <w:spacing w:val="-8"/>
          <w:sz w:val="20"/>
        </w:rPr>
        <w:t xml:space="preserve"> </w:t>
      </w:r>
      <w:r>
        <w:rPr>
          <w:sz w:val="20"/>
        </w:rPr>
        <w:t>satisfactorias</w:t>
      </w:r>
      <w:r>
        <w:rPr>
          <w:spacing w:val="-10"/>
          <w:sz w:val="20"/>
        </w:rPr>
        <w:t xml:space="preserve"> </w:t>
      </w:r>
      <w:r>
        <w:rPr>
          <w:sz w:val="20"/>
        </w:rPr>
        <w:t>de</w:t>
      </w:r>
      <w:r>
        <w:rPr>
          <w:spacing w:val="-11"/>
          <w:sz w:val="20"/>
        </w:rPr>
        <w:t xml:space="preserve"> </w:t>
      </w:r>
      <w:r>
        <w:rPr>
          <w:sz w:val="20"/>
        </w:rPr>
        <w:t>trabajo.</w:t>
      </w:r>
      <w:r>
        <w:rPr>
          <w:spacing w:val="-10"/>
          <w:sz w:val="20"/>
        </w:rPr>
        <w:t xml:space="preserve"> </w:t>
      </w:r>
      <w:r>
        <w:rPr>
          <w:sz w:val="20"/>
        </w:rPr>
        <w:t>Este</w:t>
      </w:r>
      <w:r>
        <w:rPr>
          <w:spacing w:val="-11"/>
          <w:sz w:val="20"/>
        </w:rPr>
        <w:t xml:space="preserve"> </w:t>
      </w:r>
      <w:r>
        <w:rPr>
          <w:sz w:val="20"/>
        </w:rPr>
        <w:t>Tribunal</w:t>
      </w:r>
      <w:r>
        <w:rPr>
          <w:spacing w:val="-9"/>
          <w:sz w:val="20"/>
        </w:rPr>
        <w:t xml:space="preserve"> </w:t>
      </w:r>
      <w:r>
        <w:rPr>
          <w:sz w:val="20"/>
        </w:rPr>
        <w:t>señala</w:t>
      </w:r>
      <w:r>
        <w:rPr>
          <w:spacing w:val="-10"/>
          <w:sz w:val="20"/>
        </w:rPr>
        <w:t xml:space="preserve"> </w:t>
      </w:r>
      <w:r>
        <w:rPr>
          <w:sz w:val="20"/>
        </w:rPr>
        <w:t>que</w:t>
      </w:r>
      <w:r>
        <w:rPr>
          <w:spacing w:val="-11"/>
          <w:sz w:val="20"/>
        </w:rPr>
        <w:t xml:space="preserve"> </w:t>
      </w:r>
      <w:r>
        <w:rPr>
          <w:sz w:val="20"/>
        </w:rPr>
        <w:t>la</w:t>
      </w:r>
      <w:r>
        <w:rPr>
          <w:spacing w:val="-9"/>
          <w:sz w:val="20"/>
        </w:rPr>
        <w:t xml:space="preserve"> </w:t>
      </w:r>
      <w:r>
        <w:rPr>
          <w:sz w:val="20"/>
        </w:rPr>
        <w:t>utilización</w:t>
      </w:r>
      <w:r>
        <w:rPr>
          <w:spacing w:val="-9"/>
          <w:sz w:val="20"/>
        </w:rPr>
        <w:t xml:space="preserve"> </w:t>
      </w:r>
      <w:r>
        <w:rPr>
          <w:sz w:val="20"/>
        </w:rPr>
        <w:t>de la</w:t>
      </w:r>
      <w:r>
        <w:rPr>
          <w:spacing w:val="-6"/>
          <w:sz w:val="20"/>
        </w:rPr>
        <w:t xml:space="preserve"> </w:t>
      </w:r>
      <w:r>
        <w:rPr>
          <w:sz w:val="20"/>
        </w:rPr>
        <w:t>normativa</w:t>
      </w:r>
      <w:r>
        <w:rPr>
          <w:spacing w:val="-3"/>
          <w:sz w:val="20"/>
        </w:rPr>
        <w:t xml:space="preserve"> </w:t>
      </w:r>
      <w:r>
        <w:rPr>
          <w:sz w:val="20"/>
        </w:rPr>
        <w:t>antes</w:t>
      </w:r>
      <w:r>
        <w:rPr>
          <w:spacing w:val="-4"/>
          <w:sz w:val="20"/>
        </w:rPr>
        <w:t xml:space="preserve"> </w:t>
      </w:r>
      <w:r>
        <w:rPr>
          <w:sz w:val="20"/>
        </w:rPr>
        <w:t>mencionada</w:t>
      </w:r>
      <w:r>
        <w:rPr>
          <w:spacing w:val="-6"/>
          <w:sz w:val="20"/>
        </w:rPr>
        <w:t xml:space="preserve"> </w:t>
      </w:r>
      <w:r>
        <w:rPr>
          <w:sz w:val="20"/>
        </w:rPr>
        <w:t>para</w:t>
      </w:r>
      <w:r>
        <w:rPr>
          <w:spacing w:val="-3"/>
          <w:sz w:val="20"/>
        </w:rPr>
        <w:t xml:space="preserve"> </w:t>
      </w:r>
      <w:r>
        <w:rPr>
          <w:sz w:val="20"/>
        </w:rPr>
        <w:t>la</w:t>
      </w:r>
      <w:r>
        <w:rPr>
          <w:spacing w:val="-3"/>
          <w:sz w:val="20"/>
        </w:rPr>
        <w:t xml:space="preserve"> </w:t>
      </w:r>
      <w:r>
        <w:rPr>
          <w:sz w:val="20"/>
        </w:rPr>
        <w:t>determinación</w:t>
      </w:r>
      <w:r>
        <w:rPr>
          <w:spacing w:val="-5"/>
          <w:sz w:val="20"/>
        </w:rPr>
        <w:t xml:space="preserve"> </w:t>
      </w:r>
      <w:r>
        <w:rPr>
          <w:sz w:val="20"/>
        </w:rPr>
        <w:t>del</w:t>
      </w:r>
      <w:r>
        <w:rPr>
          <w:spacing w:val="-5"/>
          <w:sz w:val="20"/>
        </w:rPr>
        <w:t xml:space="preserve"> </w:t>
      </w:r>
      <w:r>
        <w:rPr>
          <w:sz w:val="20"/>
        </w:rPr>
        <w:t>derecho</w:t>
      </w:r>
      <w:r>
        <w:rPr>
          <w:spacing w:val="-4"/>
          <w:sz w:val="20"/>
        </w:rPr>
        <w:t xml:space="preserve"> </w:t>
      </w:r>
      <w:r>
        <w:rPr>
          <w:sz w:val="20"/>
        </w:rPr>
        <w:t>en</w:t>
      </w:r>
      <w:r>
        <w:rPr>
          <w:spacing w:val="-3"/>
          <w:sz w:val="20"/>
        </w:rPr>
        <w:t xml:space="preserve"> </w:t>
      </w:r>
      <w:r>
        <w:rPr>
          <w:sz w:val="20"/>
        </w:rPr>
        <w:t>cuestión</w:t>
      </w:r>
      <w:r>
        <w:rPr>
          <w:spacing w:val="-2"/>
          <w:sz w:val="20"/>
        </w:rPr>
        <w:t xml:space="preserve"> </w:t>
      </w:r>
      <w:r>
        <w:rPr>
          <w:sz w:val="20"/>
        </w:rPr>
        <w:t>se</w:t>
      </w:r>
      <w:r>
        <w:rPr>
          <w:spacing w:val="-7"/>
          <w:sz w:val="20"/>
        </w:rPr>
        <w:t xml:space="preserve"> </w:t>
      </w:r>
      <w:r>
        <w:rPr>
          <w:sz w:val="20"/>
        </w:rPr>
        <w:t>utilizará</w:t>
      </w:r>
      <w:r>
        <w:rPr>
          <w:spacing w:val="-1"/>
          <w:sz w:val="20"/>
        </w:rPr>
        <w:t xml:space="preserve"> </w:t>
      </w:r>
      <w:r>
        <w:rPr>
          <w:sz w:val="20"/>
        </w:rPr>
        <w:t>en forma complementaria a la normativa convencional. Al respecto, la Corte afirma que no está asumiendo competencia sobre tratados en los que no la tiene, ni tampoco está</w:t>
      </w:r>
      <w:r>
        <w:rPr>
          <w:sz w:val="20"/>
        </w:rPr>
        <w:t xml:space="preserve"> otorgando jerarquía convencional a normas contenidas en otros instrumentos nacionales o internacionales relacionados con los derechos económicos, sociales, culturales y ambientales (en adelante “DESCA”)</w:t>
      </w:r>
      <w:hyperlink w:anchor="_bookmark275" w:history="1">
        <w:r>
          <w:rPr>
            <w:position w:val="7"/>
            <w:sz w:val="13"/>
          </w:rPr>
          <w:t>230</w:t>
        </w:r>
      </w:hyperlink>
      <w:r>
        <w:rPr>
          <w:sz w:val="20"/>
        </w:rPr>
        <w:t>. Por el contrario, la Corte realizará una interpretación de conformidad con las pautas previstas por el artículo 29 y conforme a su práctica jurisprudencial, que permita actualizar el sentido de los derechos derivados de la Carta de la OEA, que se encuent</w:t>
      </w:r>
      <w:r>
        <w:rPr>
          <w:sz w:val="20"/>
        </w:rPr>
        <w:t>ran reconocidos por el artículo 26 de la Convención. Además, en la determinación del derecho a condiciones de trabajo que aseguren la seguridad, la salud y la higiene del trabajador dará un especial énfasis a la Declaración Americana, pues tal y como lo es</w:t>
      </w:r>
      <w:r>
        <w:rPr>
          <w:sz w:val="20"/>
        </w:rPr>
        <w:t>tableció este</w:t>
      </w:r>
      <w:r>
        <w:rPr>
          <w:spacing w:val="-3"/>
          <w:sz w:val="20"/>
        </w:rPr>
        <w:t xml:space="preserve"> </w:t>
      </w:r>
      <w:r>
        <w:rPr>
          <w:sz w:val="20"/>
        </w:rPr>
        <w:t>Tribunal:</w:t>
      </w:r>
    </w:p>
    <w:p w14:paraId="7161DEEC" w14:textId="77777777" w:rsidR="00467FCA" w:rsidRDefault="00467FCA">
      <w:pPr>
        <w:pStyle w:val="Textoindependiente"/>
        <w:spacing w:before="11"/>
        <w:rPr>
          <w:sz w:val="19"/>
        </w:rPr>
      </w:pPr>
    </w:p>
    <w:p w14:paraId="52B1EDC2" w14:textId="77777777" w:rsidR="00467FCA" w:rsidRDefault="001B68EB">
      <w:pPr>
        <w:ind w:left="839" w:right="1012"/>
        <w:jc w:val="both"/>
        <w:rPr>
          <w:sz w:val="16"/>
        </w:rPr>
      </w:pPr>
      <w:r>
        <w:rPr>
          <w:sz w:val="16"/>
        </w:rPr>
        <w:t>[…] [L]os Estados Miembros han entendido que la Declaración contiene y define aquellos derechos humanos esenciales a los que la Carta se refiere, de manera que no se puede interpretar y aplicar la Carta de la Organización en materia de derechos humanos, si</w:t>
      </w:r>
      <w:r>
        <w:rPr>
          <w:sz w:val="16"/>
        </w:rPr>
        <w:t>n integrar las normas pertinentes de ella con las correspondientes disposiciones de la Declaración, como resulta de la práctica seguida por los órganos de la OEA</w:t>
      </w:r>
      <w:hyperlink w:anchor="_bookmark276" w:history="1">
        <w:r>
          <w:rPr>
            <w:position w:val="6"/>
            <w:sz w:val="10"/>
          </w:rPr>
          <w:t>231</w:t>
        </w:r>
      </w:hyperlink>
      <w:r>
        <w:rPr>
          <w:sz w:val="16"/>
        </w:rPr>
        <w:t>.</w:t>
      </w:r>
    </w:p>
    <w:p w14:paraId="0EFB0638" w14:textId="77777777" w:rsidR="00467FCA" w:rsidRDefault="00467FCA">
      <w:pPr>
        <w:pStyle w:val="Textoindependiente"/>
        <w:spacing w:before="2"/>
      </w:pPr>
    </w:p>
    <w:p w14:paraId="4F2A448C" w14:textId="77777777" w:rsidR="00467FCA" w:rsidRDefault="001B68EB">
      <w:pPr>
        <w:pStyle w:val="Prrafodelista"/>
        <w:numPr>
          <w:ilvl w:val="0"/>
          <w:numId w:val="50"/>
        </w:numPr>
        <w:tabs>
          <w:tab w:val="left" w:pos="687"/>
        </w:tabs>
        <w:ind w:right="117" w:firstLine="0"/>
        <w:jc w:val="both"/>
        <w:rPr>
          <w:sz w:val="20"/>
        </w:rPr>
      </w:pPr>
      <w:r>
        <w:rPr>
          <w:sz w:val="20"/>
        </w:rPr>
        <w:t>En</w:t>
      </w:r>
      <w:r>
        <w:rPr>
          <w:spacing w:val="-8"/>
          <w:sz w:val="20"/>
        </w:rPr>
        <w:t xml:space="preserve"> </w:t>
      </w:r>
      <w:r>
        <w:rPr>
          <w:sz w:val="20"/>
        </w:rPr>
        <w:t>el</w:t>
      </w:r>
      <w:r>
        <w:rPr>
          <w:spacing w:val="-7"/>
          <w:sz w:val="20"/>
        </w:rPr>
        <w:t xml:space="preserve"> </w:t>
      </w:r>
      <w:r>
        <w:rPr>
          <w:sz w:val="20"/>
        </w:rPr>
        <w:t>mismo</w:t>
      </w:r>
      <w:r>
        <w:rPr>
          <w:spacing w:val="-8"/>
          <w:sz w:val="20"/>
        </w:rPr>
        <w:t xml:space="preserve"> </w:t>
      </w:r>
      <w:r>
        <w:rPr>
          <w:sz w:val="20"/>
        </w:rPr>
        <w:t>sentido,</w:t>
      </w:r>
      <w:r>
        <w:rPr>
          <w:spacing w:val="-6"/>
          <w:sz w:val="20"/>
        </w:rPr>
        <w:t xml:space="preserve"> </w:t>
      </w:r>
      <w:r>
        <w:rPr>
          <w:sz w:val="20"/>
        </w:rPr>
        <w:t>este</w:t>
      </w:r>
      <w:r>
        <w:rPr>
          <w:spacing w:val="-10"/>
          <w:sz w:val="20"/>
        </w:rPr>
        <w:t xml:space="preserve"> </w:t>
      </w:r>
      <w:r>
        <w:rPr>
          <w:sz w:val="20"/>
        </w:rPr>
        <w:t>Tribunal</w:t>
      </w:r>
      <w:r>
        <w:rPr>
          <w:spacing w:val="-7"/>
          <w:sz w:val="20"/>
        </w:rPr>
        <w:t xml:space="preserve"> </w:t>
      </w:r>
      <w:r>
        <w:rPr>
          <w:sz w:val="20"/>
        </w:rPr>
        <w:t>ha</w:t>
      </w:r>
      <w:r>
        <w:rPr>
          <w:spacing w:val="-8"/>
          <w:sz w:val="20"/>
        </w:rPr>
        <w:t xml:space="preserve"> </w:t>
      </w:r>
      <w:r>
        <w:rPr>
          <w:sz w:val="20"/>
        </w:rPr>
        <w:t>señalado</w:t>
      </w:r>
      <w:r>
        <w:rPr>
          <w:spacing w:val="-8"/>
          <w:sz w:val="20"/>
        </w:rPr>
        <w:t xml:space="preserve"> </w:t>
      </w:r>
      <w:r>
        <w:rPr>
          <w:sz w:val="20"/>
        </w:rPr>
        <w:t>en</w:t>
      </w:r>
      <w:r>
        <w:rPr>
          <w:spacing w:val="-7"/>
          <w:sz w:val="20"/>
        </w:rPr>
        <w:t xml:space="preserve"> </w:t>
      </w:r>
      <w:r>
        <w:rPr>
          <w:sz w:val="20"/>
        </w:rPr>
        <w:t>otras</w:t>
      </w:r>
      <w:r>
        <w:rPr>
          <w:spacing w:val="-7"/>
          <w:sz w:val="20"/>
        </w:rPr>
        <w:t xml:space="preserve"> </w:t>
      </w:r>
      <w:r>
        <w:rPr>
          <w:sz w:val="20"/>
        </w:rPr>
        <w:t>o</w:t>
      </w:r>
      <w:r>
        <w:rPr>
          <w:sz w:val="20"/>
        </w:rPr>
        <w:t>portunidades</w:t>
      </w:r>
      <w:r>
        <w:rPr>
          <w:spacing w:val="-6"/>
          <w:sz w:val="20"/>
        </w:rPr>
        <w:t xml:space="preserve"> </w:t>
      </w:r>
      <w:r>
        <w:rPr>
          <w:sz w:val="20"/>
        </w:rPr>
        <w:t>que</w:t>
      </w:r>
      <w:r>
        <w:rPr>
          <w:spacing w:val="-9"/>
          <w:sz w:val="20"/>
        </w:rPr>
        <w:t xml:space="preserve"> </w:t>
      </w:r>
      <w:r>
        <w:rPr>
          <w:sz w:val="20"/>
        </w:rPr>
        <w:t>los</w:t>
      </w:r>
      <w:r>
        <w:rPr>
          <w:spacing w:val="-10"/>
          <w:sz w:val="20"/>
        </w:rPr>
        <w:t xml:space="preserve"> </w:t>
      </w:r>
      <w:r>
        <w:rPr>
          <w:sz w:val="20"/>
        </w:rPr>
        <w:t>tratados de derechos humanos son instrumentos vivos, cuya interpretación tiene que acompañar la evolución de los tiempos y las condiciones de vida actuales. Tal interpretación evolutiva es consecuente con las reglas generales de interp</w:t>
      </w:r>
      <w:r>
        <w:rPr>
          <w:sz w:val="20"/>
        </w:rPr>
        <w:t>retación establecidas en el artículo 29 de la Convención Americana, así como con la Convención de Viena</w:t>
      </w:r>
      <w:hyperlink w:anchor="_bookmark277" w:history="1">
        <w:r>
          <w:rPr>
            <w:position w:val="7"/>
            <w:sz w:val="13"/>
          </w:rPr>
          <w:t>232</w:t>
        </w:r>
      </w:hyperlink>
      <w:r>
        <w:rPr>
          <w:sz w:val="20"/>
        </w:rPr>
        <w:t>. Además, el párrafo tercero del artículo 31 de la Convención de Viena autoriza la utilización de medios interpretativ</w:t>
      </w:r>
      <w:r>
        <w:rPr>
          <w:sz w:val="20"/>
        </w:rPr>
        <w:t>os tales como los acuerdos o la práctica o reglas relevantes del derecho internacional que los Estados</w:t>
      </w:r>
      <w:r>
        <w:rPr>
          <w:spacing w:val="45"/>
          <w:sz w:val="20"/>
        </w:rPr>
        <w:t xml:space="preserve"> </w:t>
      </w:r>
      <w:r>
        <w:rPr>
          <w:sz w:val="20"/>
        </w:rPr>
        <w:t>hayan</w:t>
      </w:r>
      <w:r>
        <w:rPr>
          <w:spacing w:val="48"/>
          <w:sz w:val="20"/>
        </w:rPr>
        <w:t xml:space="preserve"> </w:t>
      </w:r>
      <w:r>
        <w:rPr>
          <w:sz w:val="20"/>
        </w:rPr>
        <w:t>manifestado</w:t>
      </w:r>
      <w:r>
        <w:rPr>
          <w:spacing w:val="46"/>
          <w:sz w:val="20"/>
        </w:rPr>
        <w:t xml:space="preserve"> </w:t>
      </w:r>
      <w:r>
        <w:rPr>
          <w:sz w:val="20"/>
        </w:rPr>
        <w:t>sobre</w:t>
      </w:r>
      <w:r>
        <w:rPr>
          <w:spacing w:val="46"/>
          <w:sz w:val="20"/>
        </w:rPr>
        <w:t xml:space="preserve"> </w:t>
      </w:r>
      <w:r>
        <w:rPr>
          <w:sz w:val="20"/>
        </w:rPr>
        <w:t>la</w:t>
      </w:r>
      <w:r>
        <w:rPr>
          <w:spacing w:val="47"/>
          <w:sz w:val="20"/>
        </w:rPr>
        <w:t xml:space="preserve"> </w:t>
      </w:r>
      <w:r>
        <w:rPr>
          <w:sz w:val="20"/>
        </w:rPr>
        <w:t>materia</w:t>
      </w:r>
      <w:r>
        <w:rPr>
          <w:spacing w:val="50"/>
          <w:sz w:val="20"/>
        </w:rPr>
        <w:t xml:space="preserve"> </w:t>
      </w:r>
      <w:r>
        <w:rPr>
          <w:sz w:val="20"/>
        </w:rPr>
        <w:t>del</w:t>
      </w:r>
      <w:r>
        <w:rPr>
          <w:spacing w:val="47"/>
          <w:sz w:val="20"/>
        </w:rPr>
        <w:t xml:space="preserve"> </w:t>
      </w:r>
      <w:r>
        <w:rPr>
          <w:sz w:val="20"/>
        </w:rPr>
        <w:t>tratado,</w:t>
      </w:r>
      <w:r>
        <w:rPr>
          <w:spacing w:val="46"/>
          <w:sz w:val="20"/>
        </w:rPr>
        <w:t xml:space="preserve"> </w:t>
      </w:r>
      <w:r>
        <w:rPr>
          <w:sz w:val="20"/>
        </w:rPr>
        <w:t>los</w:t>
      </w:r>
      <w:r>
        <w:rPr>
          <w:spacing w:val="49"/>
          <w:sz w:val="20"/>
        </w:rPr>
        <w:t xml:space="preserve"> </w:t>
      </w:r>
      <w:r>
        <w:rPr>
          <w:sz w:val="20"/>
        </w:rPr>
        <w:t>cuales</w:t>
      </w:r>
      <w:r>
        <w:rPr>
          <w:spacing w:val="49"/>
          <w:sz w:val="20"/>
        </w:rPr>
        <w:t xml:space="preserve"> </w:t>
      </w:r>
      <w:r>
        <w:rPr>
          <w:sz w:val="20"/>
        </w:rPr>
        <w:t>son</w:t>
      </w:r>
      <w:r>
        <w:rPr>
          <w:spacing w:val="47"/>
          <w:sz w:val="20"/>
        </w:rPr>
        <w:t xml:space="preserve"> </w:t>
      </w:r>
      <w:r>
        <w:rPr>
          <w:sz w:val="20"/>
        </w:rPr>
        <w:t>algunos</w:t>
      </w:r>
      <w:r>
        <w:rPr>
          <w:spacing w:val="49"/>
          <w:sz w:val="20"/>
        </w:rPr>
        <w:t xml:space="preserve"> </w:t>
      </w:r>
      <w:r>
        <w:rPr>
          <w:sz w:val="20"/>
        </w:rPr>
        <w:t>de</w:t>
      </w:r>
      <w:r>
        <w:rPr>
          <w:spacing w:val="46"/>
          <w:sz w:val="20"/>
        </w:rPr>
        <w:t xml:space="preserve"> </w:t>
      </w:r>
      <w:r>
        <w:rPr>
          <w:sz w:val="20"/>
        </w:rPr>
        <w:t>los</w:t>
      </w:r>
    </w:p>
    <w:p w14:paraId="23947D29" w14:textId="77777777" w:rsidR="00467FCA" w:rsidRDefault="001B68EB">
      <w:pPr>
        <w:pStyle w:val="Textoindependiente"/>
        <w:spacing w:before="8"/>
        <w:rPr>
          <w:sz w:val="13"/>
        </w:rPr>
      </w:pPr>
      <w:r>
        <w:pict w14:anchorId="29CCEB5F">
          <v:shape id="_x0000_s1154" style="position:absolute;margin-left:1in;margin-top:10.6pt;width:2in;height:.1pt;z-index:-251615232;mso-wrap-distance-left:0;mso-wrap-distance-right:0;mso-position-horizontal-relative:page" coordorigin="1440,212" coordsize="2880,0" path="m1440,212r2880,e" filled="f" strokeweight=".6pt">
            <v:path arrowok="t"/>
            <w10:wrap type="topAndBottom" anchorx="page"/>
          </v:shape>
        </w:pict>
      </w:r>
    </w:p>
    <w:p w14:paraId="1292609E" w14:textId="77777777" w:rsidR="00467FCA" w:rsidRDefault="001B68EB">
      <w:pPr>
        <w:tabs>
          <w:tab w:val="left" w:pos="839"/>
        </w:tabs>
        <w:spacing w:before="74"/>
        <w:ind w:left="119" w:right="113"/>
        <w:jc w:val="both"/>
        <w:rPr>
          <w:sz w:val="16"/>
        </w:rPr>
      </w:pPr>
      <w:bookmarkStart w:id="316" w:name="_bookmark272"/>
      <w:bookmarkEnd w:id="316"/>
      <w:r>
        <w:rPr>
          <w:position w:val="6"/>
          <w:sz w:val="10"/>
        </w:rPr>
        <w:t>227</w:t>
      </w:r>
      <w:r>
        <w:rPr>
          <w:position w:val="6"/>
          <w:sz w:val="10"/>
        </w:rPr>
        <w:tab/>
      </w:r>
      <w:r>
        <w:rPr>
          <w:i/>
          <w:sz w:val="16"/>
        </w:rPr>
        <w:t xml:space="preserve">Cfr. Caso familia Pacheco Tineo Vs. Bolivia. Excepciones Preliminares, Fondo, Reparaciones y Costas. </w:t>
      </w:r>
      <w:r>
        <w:rPr>
          <w:sz w:val="16"/>
        </w:rPr>
        <w:t xml:space="preserve">Sentencia de 25 de noviembre de 2013. Serie C No. 272, párr. 143, y </w:t>
      </w:r>
      <w:r>
        <w:rPr>
          <w:i/>
          <w:sz w:val="16"/>
        </w:rPr>
        <w:t>Caso Hernández Vs. Argentina, supra</w:t>
      </w:r>
      <w:r>
        <w:rPr>
          <w:sz w:val="16"/>
        </w:rPr>
        <w:t>, párr. 65.</w:t>
      </w:r>
    </w:p>
    <w:p w14:paraId="14915542" w14:textId="77777777" w:rsidR="00467FCA" w:rsidRDefault="001B68EB">
      <w:pPr>
        <w:tabs>
          <w:tab w:val="left" w:pos="839"/>
        </w:tabs>
        <w:ind w:left="120" w:right="110" w:hanging="1"/>
        <w:jc w:val="both"/>
        <w:rPr>
          <w:sz w:val="16"/>
        </w:rPr>
      </w:pPr>
      <w:bookmarkStart w:id="317" w:name="_bookmark273"/>
      <w:bookmarkEnd w:id="317"/>
      <w:r>
        <w:rPr>
          <w:position w:val="6"/>
          <w:sz w:val="10"/>
        </w:rPr>
        <w:t>228</w:t>
      </w:r>
      <w:r>
        <w:rPr>
          <w:position w:val="6"/>
          <w:sz w:val="10"/>
        </w:rPr>
        <w:tab/>
      </w:r>
      <w:r>
        <w:rPr>
          <w:i/>
          <w:sz w:val="16"/>
        </w:rPr>
        <w:t xml:space="preserve">Cfr. Caso Gelman Vs. Uruguay. Fondo </w:t>
      </w:r>
      <w:r>
        <w:rPr>
          <w:i/>
          <w:sz w:val="16"/>
        </w:rPr>
        <w:t xml:space="preserve">y Reparaciones. </w:t>
      </w:r>
      <w:r>
        <w:rPr>
          <w:sz w:val="16"/>
        </w:rPr>
        <w:t xml:space="preserve">Sentencia de 24 de febrero de 2011. Serie C No. 221, párr. 78 y 121; </w:t>
      </w:r>
      <w:r>
        <w:rPr>
          <w:i/>
          <w:sz w:val="16"/>
        </w:rPr>
        <w:t xml:space="preserve">Caso Atala Riffo y niñas Vs. Chile. Fondo, Reparaciones y Costas. </w:t>
      </w:r>
      <w:r>
        <w:rPr>
          <w:sz w:val="16"/>
        </w:rPr>
        <w:t xml:space="preserve">Sentencia de 24 de febrero de 2012. Serie C No. 239, párr. 83; </w:t>
      </w:r>
      <w:r>
        <w:rPr>
          <w:i/>
          <w:sz w:val="16"/>
        </w:rPr>
        <w:t>Caso familia Pacheco Tineo Vs. Bolivia, su</w:t>
      </w:r>
      <w:r>
        <w:rPr>
          <w:i/>
          <w:sz w:val="16"/>
        </w:rPr>
        <w:t>pra</w:t>
      </w:r>
      <w:r>
        <w:rPr>
          <w:sz w:val="16"/>
        </w:rPr>
        <w:t xml:space="preserve">, párr. 129; </w:t>
      </w:r>
      <w:r>
        <w:rPr>
          <w:i/>
          <w:sz w:val="16"/>
        </w:rPr>
        <w:t xml:space="preserve">Caso I.V. Vs. Bolivia. Excepciones Preliminares, Fondo, Reparaciones y Costas. </w:t>
      </w:r>
      <w:r>
        <w:rPr>
          <w:sz w:val="16"/>
        </w:rPr>
        <w:t xml:space="preserve">Sentencia de 30 de noviembre de 2016. Serie C No. 329, párr. 168; </w:t>
      </w:r>
      <w:r>
        <w:rPr>
          <w:i/>
          <w:sz w:val="16"/>
        </w:rPr>
        <w:t>Caso Lagos del Campo Vs. Perú, supra</w:t>
      </w:r>
      <w:r>
        <w:rPr>
          <w:sz w:val="16"/>
        </w:rPr>
        <w:t xml:space="preserve">, párr. 145; </w:t>
      </w:r>
      <w:r>
        <w:rPr>
          <w:i/>
          <w:sz w:val="16"/>
        </w:rPr>
        <w:t>Caso Poblete Vilches y Otros Vs. Chile, supra</w:t>
      </w:r>
      <w:r>
        <w:rPr>
          <w:sz w:val="16"/>
        </w:rPr>
        <w:t>,</w:t>
      </w:r>
      <w:r>
        <w:rPr>
          <w:sz w:val="16"/>
        </w:rPr>
        <w:t xml:space="preserve"> párr. 103;</w:t>
      </w:r>
      <w:r>
        <w:rPr>
          <w:spacing w:val="-7"/>
          <w:sz w:val="16"/>
        </w:rPr>
        <w:t xml:space="preserve"> </w:t>
      </w:r>
      <w:r>
        <w:rPr>
          <w:i/>
          <w:sz w:val="16"/>
        </w:rPr>
        <w:t>Caso</w:t>
      </w:r>
      <w:r>
        <w:rPr>
          <w:i/>
          <w:spacing w:val="-4"/>
          <w:sz w:val="16"/>
        </w:rPr>
        <w:t xml:space="preserve"> </w:t>
      </w:r>
      <w:r>
        <w:rPr>
          <w:i/>
          <w:sz w:val="16"/>
        </w:rPr>
        <w:t>Cuscul</w:t>
      </w:r>
      <w:r>
        <w:rPr>
          <w:i/>
          <w:spacing w:val="-4"/>
          <w:sz w:val="16"/>
        </w:rPr>
        <w:t xml:space="preserve"> </w:t>
      </w:r>
      <w:r>
        <w:rPr>
          <w:i/>
          <w:sz w:val="16"/>
        </w:rPr>
        <w:t>Pivaral</w:t>
      </w:r>
      <w:r>
        <w:rPr>
          <w:i/>
          <w:spacing w:val="-6"/>
          <w:sz w:val="16"/>
        </w:rPr>
        <w:t xml:space="preserve"> </w:t>
      </w:r>
      <w:r>
        <w:rPr>
          <w:i/>
          <w:sz w:val="16"/>
        </w:rPr>
        <w:t>y</w:t>
      </w:r>
      <w:r>
        <w:rPr>
          <w:i/>
          <w:spacing w:val="-6"/>
          <w:sz w:val="16"/>
        </w:rPr>
        <w:t xml:space="preserve"> </w:t>
      </w:r>
      <w:r>
        <w:rPr>
          <w:i/>
          <w:sz w:val="16"/>
        </w:rPr>
        <w:t>otros</w:t>
      </w:r>
      <w:r>
        <w:rPr>
          <w:i/>
          <w:spacing w:val="-5"/>
          <w:sz w:val="16"/>
        </w:rPr>
        <w:t xml:space="preserve"> </w:t>
      </w:r>
      <w:r>
        <w:rPr>
          <w:i/>
          <w:sz w:val="16"/>
        </w:rPr>
        <w:t>Vs.</w:t>
      </w:r>
      <w:r>
        <w:rPr>
          <w:i/>
          <w:spacing w:val="-7"/>
          <w:sz w:val="16"/>
        </w:rPr>
        <w:t xml:space="preserve"> </w:t>
      </w:r>
      <w:r>
        <w:rPr>
          <w:i/>
          <w:sz w:val="16"/>
        </w:rPr>
        <w:t>Guatemala,</w:t>
      </w:r>
      <w:r>
        <w:rPr>
          <w:i/>
          <w:spacing w:val="-6"/>
          <w:sz w:val="16"/>
        </w:rPr>
        <w:t xml:space="preserve"> </w:t>
      </w:r>
      <w:r>
        <w:rPr>
          <w:i/>
          <w:sz w:val="16"/>
        </w:rPr>
        <w:t>supra</w:t>
      </w:r>
      <w:r>
        <w:rPr>
          <w:sz w:val="16"/>
        </w:rPr>
        <w:t>,</w:t>
      </w:r>
      <w:r>
        <w:rPr>
          <w:spacing w:val="-6"/>
          <w:sz w:val="16"/>
        </w:rPr>
        <w:t xml:space="preserve"> </w:t>
      </w:r>
      <w:r>
        <w:rPr>
          <w:sz w:val="16"/>
        </w:rPr>
        <w:t>párr.</w:t>
      </w:r>
      <w:r>
        <w:rPr>
          <w:spacing w:val="-3"/>
          <w:sz w:val="16"/>
        </w:rPr>
        <w:t xml:space="preserve"> </w:t>
      </w:r>
      <w:r>
        <w:rPr>
          <w:sz w:val="16"/>
        </w:rPr>
        <w:t>100;</w:t>
      </w:r>
      <w:r>
        <w:rPr>
          <w:spacing w:val="-6"/>
          <w:sz w:val="16"/>
        </w:rPr>
        <w:t xml:space="preserve"> </w:t>
      </w:r>
      <w:r>
        <w:rPr>
          <w:i/>
          <w:sz w:val="16"/>
        </w:rPr>
        <w:t>Caso</w:t>
      </w:r>
      <w:r>
        <w:rPr>
          <w:i/>
          <w:spacing w:val="-4"/>
          <w:sz w:val="16"/>
        </w:rPr>
        <w:t xml:space="preserve"> </w:t>
      </w:r>
      <w:r>
        <w:rPr>
          <w:i/>
          <w:sz w:val="16"/>
        </w:rPr>
        <w:t>Asociación</w:t>
      </w:r>
      <w:r>
        <w:rPr>
          <w:i/>
          <w:spacing w:val="-4"/>
          <w:sz w:val="16"/>
        </w:rPr>
        <w:t xml:space="preserve"> </w:t>
      </w:r>
      <w:r>
        <w:rPr>
          <w:i/>
          <w:sz w:val="16"/>
        </w:rPr>
        <w:t>Nacional</w:t>
      </w:r>
      <w:r>
        <w:rPr>
          <w:i/>
          <w:spacing w:val="-3"/>
          <w:sz w:val="16"/>
        </w:rPr>
        <w:t xml:space="preserve"> </w:t>
      </w:r>
      <w:r>
        <w:rPr>
          <w:i/>
          <w:sz w:val="16"/>
        </w:rPr>
        <w:t>de</w:t>
      </w:r>
      <w:r>
        <w:rPr>
          <w:i/>
          <w:spacing w:val="-5"/>
          <w:sz w:val="16"/>
        </w:rPr>
        <w:t xml:space="preserve"> </w:t>
      </w:r>
      <w:r>
        <w:rPr>
          <w:i/>
          <w:sz w:val="16"/>
        </w:rPr>
        <w:t>Cesantes</w:t>
      </w:r>
      <w:r>
        <w:rPr>
          <w:i/>
          <w:spacing w:val="-5"/>
          <w:sz w:val="16"/>
        </w:rPr>
        <w:t xml:space="preserve"> </w:t>
      </w:r>
      <w:r>
        <w:rPr>
          <w:i/>
          <w:sz w:val="16"/>
        </w:rPr>
        <w:t>y</w:t>
      </w:r>
      <w:r>
        <w:rPr>
          <w:i/>
          <w:spacing w:val="-4"/>
          <w:sz w:val="16"/>
        </w:rPr>
        <w:t xml:space="preserve"> </w:t>
      </w:r>
      <w:r>
        <w:rPr>
          <w:i/>
          <w:sz w:val="16"/>
        </w:rPr>
        <w:t xml:space="preserve">Jubilados </w:t>
      </w:r>
      <w:r>
        <w:rPr>
          <w:i/>
          <w:sz w:val="16"/>
        </w:rPr>
        <w:t>de la Superintendencia Nacional de Administración Tributaria (ANCEJUB-SUNAT) Vs. Perú, supra</w:t>
      </w:r>
      <w:r>
        <w:rPr>
          <w:sz w:val="16"/>
        </w:rPr>
        <w:t xml:space="preserve">, párr. 158, y </w:t>
      </w:r>
      <w:r>
        <w:rPr>
          <w:i/>
          <w:sz w:val="16"/>
        </w:rPr>
        <w:t>Caso Hernández Vs. Argentina, supra</w:t>
      </w:r>
      <w:r>
        <w:rPr>
          <w:sz w:val="16"/>
        </w:rPr>
        <w:t>, párr.</w:t>
      </w:r>
      <w:r>
        <w:rPr>
          <w:spacing w:val="-8"/>
          <w:sz w:val="16"/>
        </w:rPr>
        <w:t xml:space="preserve"> </w:t>
      </w:r>
      <w:r>
        <w:rPr>
          <w:sz w:val="16"/>
        </w:rPr>
        <w:t>65.</w:t>
      </w:r>
    </w:p>
    <w:p w14:paraId="26807FDF" w14:textId="77777777" w:rsidR="00467FCA" w:rsidRDefault="001B68EB">
      <w:pPr>
        <w:tabs>
          <w:tab w:val="left" w:pos="839"/>
        </w:tabs>
        <w:spacing w:line="194" w:lineRule="exact"/>
        <w:ind w:left="120"/>
        <w:jc w:val="both"/>
        <w:rPr>
          <w:sz w:val="16"/>
        </w:rPr>
      </w:pPr>
      <w:bookmarkStart w:id="318" w:name="_bookmark274"/>
      <w:bookmarkEnd w:id="318"/>
      <w:r>
        <w:rPr>
          <w:position w:val="6"/>
          <w:sz w:val="10"/>
        </w:rPr>
        <w:t>229</w:t>
      </w:r>
      <w:r>
        <w:rPr>
          <w:position w:val="6"/>
          <w:sz w:val="10"/>
        </w:rPr>
        <w:tab/>
      </w:r>
      <w:bookmarkStart w:id="319" w:name="_bookmark275"/>
      <w:bookmarkEnd w:id="319"/>
      <w:r>
        <w:rPr>
          <w:i/>
          <w:sz w:val="16"/>
        </w:rPr>
        <w:t>Cfr. Caso Muelle Flores Vs. Perú, supra</w:t>
      </w:r>
      <w:r>
        <w:rPr>
          <w:sz w:val="16"/>
        </w:rPr>
        <w:t xml:space="preserve">, párr. 176, y </w:t>
      </w:r>
      <w:r>
        <w:rPr>
          <w:i/>
          <w:sz w:val="16"/>
        </w:rPr>
        <w:t>Caso Hernández Vs. Argentina, supra</w:t>
      </w:r>
      <w:r>
        <w:rPr>
          <w:sz w:val="16"/>
        </w:rPr>
        <w:t>, párr.</w:t>
      </w:r>
      <w:r>
        <w:rPr>
          <w:spacing w:val="-22"/>
          <w:sz w:val="16"/>
        </w:rPr>
        <w:t xml:space="preserve"> </w:t>
      </w:r>
      <w:r>
        <w:rPr>
          <w:sz w:val="16"/>
        </w:rPr>
        <w:t>6</w:t>
      </w:r>
      <w:r>
        <w:rPr>
          <w:sz w:val="16"/>
        </w:rPr>
        <w:t>5.</w:t>
      </w:r>
    </w:p>
    <w:p w14:paraId="2AB65F03" w14:textId="77777777" w:rsidR="00467FCA" w:rsidRDefault="001B68EB">
      <w:pPr>
        <w:tabs>
          <w:tab w:val="left" w:pos="839"/>
        </w:tabs>
        <w:ind w:left="119" w:right="118"/>
        <w:jc w:val="both"/>
        <w:rPr>
          <w:sz w:val="16"/>
        </w:rPr>
      </w:pPr>
      <w:r>
        <w:rPr>
          <w:position w:val="6"/>
          <w:sz w:val="10"/>
        </w:rPr>
        <w:t>230</w:t>
      </w:r>
      <w:r>
        <w:rPr>
          <w:position w:val="6"/>
          <w:sz w:val="10"/>
        </w:rPr>
        <w:tab/>
      </w:r>
      <w:r>
        <w:rPr>
          <w:i/>
          <w:sz w:val="16"/>
        </w:rPr>
        <w:t>Cfr. Caso Familia Pacheco Tineo Vs. Bolivia, supra</w:t>
      </w:r>
      <w:r>
        <w:rPr>
          <w:sz w:val="16"/>
        </w:rPr>
        <w:t xml:space="preserve">, párr. 143, y </w:t>
      </w:r>
      <w:r>
        <w:rPr>
          <w:i/>
          <w:sz w:val="16"/>
        </w:rPr>
        <w:t>Caso Comunidades Indígenas Miembros de la Asociación Lhaka Honhat (Nuestra Tierra) Vs. Argentina, supra</w:t>
      </w:r>
      <w:r>
        <w:rPr>
          <w:sz w:val="16"/>
        </w:rPr>
        <w:t>, párr.</w:t>
      </w:r>
      <w:r>
        <w:rPr>
          <w:spacing w:val="-13"/>
          <w:sz w:val="16"/>
        </w:rPr>
        <w:t xml:space="preserve"> </w:t>
      </w:r>
      <w:r>
        <w:rPr>
          <w:sz w:val="16"/>
        </w:rPr>
        <w:t>199.</w:t>
      </w:r>
    </w:p>
    <w:p w14:paraId="3167B721" w14:textId="77777777" w:rsidR="00467FCA" w:rsidRDefault="001B68EB">
      <w:pPr>
        <w:tabs>
          <w:tab w:val="left" w:pos="839"/>
        </w:tabs>
        <w:ind w:left="119" w:right="118"/>
        <w:jc w:val="both"/>
        <w:rPr>
          <w:sz w:val="16"/>
        </w:rPr>
      </w:pPr>
      <w:bookmarkStart w:id="320" w:name="_bookmark276"/>
      <w:bookmarkEnd w:id="320"/>
      <w:r>
        <w:rPr>
          <w:position w:val="6"/>
          <w:sz w:val="10"/>
        </w:rPr>
        <w:t>231</w:t>
      </w:r>
      <w:r>
        <w:rPr>
          <w:position w:val="6"/>
          <w:sz w:val="10"/>
        </w:rPr>
        <w:tab/>
      </w:r>
      <w:r>
        <w:rPr>
          <w:i/>
          <w:sz w:val="16"/>
        </w:rPr>
        <w:t>Interpretación</w:t>
      </w:r>
      <w:r>
        <w:rPr>
          <w:i/>
          <w:spacing w:val="-7"/>
          <w:sz w:val="16"/>
        </w:rPr>
        <w:t xml:space="preserve"> </w:t>
      </w:r>
      <w:r>
        <w:rPr>
          <w:i/>
          <w:sz w:val="16"/>
        </w:rPr>
        <w:t>de</w:t>
      </w:r>
      <w:r>
        <w:rPr>
          <w:i/>
          <w:spacing w:val="-5"/>
          <w:sz w:val="16"/>
        </w:rPr>
        <w:t xml:space="preserve"> </w:t>
      </w:r>
      <w:r>
        <w:rPr>
          <w:i/>
          <w:sz w:val="16"/>
        </w:rPr>
        <w:t>la</w:t>
      </w:r>
      <w:r>
        <w:rPr>
          <w:i/>
          <w:spacing w:val="-3"/>
          <w:sz w:val="16"/>
        </w:rPr>
        <w:t xml:space="preserve"> </w:t>
      </w:r>
      <w:r>
        <w:rPr>
          <w:i/>
          <w:sz w:val="16"/>
        </w:rPr>
        <w:t>Declaración</w:t>
      </w:r>
      <w:r>
        <w:rPr>
          <w:i/>
          <w:spacing w:val="-7"/>
          <w:sz w:val="16"/>
        </w:rPr>
        <w:t xml:space="preserve"> </w:t>
      </w:r>
      <w:r>
        <w:rPr>
          <w:i/>
          <w:sz w:val="16"/>
        </w:rPr>
        <w:t>Americana</w:t>
      </w:r>
      <w:r>
        <w:rPr>
          <w:i/>
          <w:spacing w:val="-3"/>
          <w:sz w:val="16"/>
        </w:rPr>
        <w:t xml:space="preserve"> </w:t>
      </w:r>
      <w:r>
        <w:rPr>
          <w:i/>
          <w:sz w:val="16"/>
        </w:rPr>
        <w:t>de</w:t>
      </w:r>
      <w:r>
        <w:rPr>
          <w:i/>
          <w:spacing w:val="-2"/>
          <w:sz w:val="16"/>
        </w:rPr>
        <w:t xml:space="preserve"> </w:t>
      </w:r>
      <w:r>
        <w:rPr>
          <w:i/>
          <w:sz w:val="16"/>
        </w:rPr>
        <w:t>los</w:t>
      </w:r>
      <w:r>
        <w:rPr>
          <w:i/>
          <w:spacing w:val="-6"/>
          <w:sz w:val="16"/>
        </w:rPr>
        <w:t xml:space="preserve"> </w:t>
      </w:r>
      <w:r>
        <w:rPr>
          <w:i/>
          <w:sz w:val="16"/>
        </w:rPr>
        <w:t>Derechos</w:t>
      </w:r>
      <w:r>
        <w:rPr>
          <w:i/>
          <w:spacing w:val="-5"/>
          <w:sz w:val="16"/>
        </w:rPr>
        <w:t xml:space="preserve"> </w:t>
      </w:r>
      <w:r>
        <w:rPr>
          <w:i/>
          <w:sz w:val="16"/>
        </w:rPr>
        <w:t>y</w:t>
      </w:r>
      <w:r>
        <w:rPr>
          <w:i/>
          <w:spacing w:val="-4"/>
          <w:sz w:val="16"/>
        </w:rPr>
        <w:t xml:space="preserve"> </w:t>
      </w:r>
      <w:r>
        <w:rPr>
          <w:i/>
          <w:sz w:val="16"/>
        </w:rPr>
        <w:t>Deb</w:t>
      </w:r>
      <w:r>
        <w:rPr>
          <w:i/>
          <w:sz w:val="16"/>
        </w:rPr>
        <w:t>eres</w:t>
      </w:r>
      <w:r>
        <w:rPr>
          <w:i/>
          <w:spacing w:val="-6"/>
          <w:sz w:val="16"/>
        </w:rPr>
        <w:t xml:space="preserve"> </w:t>
      </w:r>
      <w:r>
        <w:rPr>
          <w:i/>
          <w:sz w:val="16"/>
        </w:rPr>
        <w:t>del</w:t>
      </w:r>
      <w:r>
        <w:rPr>
          <w:i/>
          <w:spacing w:val="-3"/>
          <w:sz w:val="16"/>
        </w:rPr>
        <w:t xml:space="preserve"> </w:t>
      </w:r>
      <w:r>
        <w:rPr>
          <w:i/>
          <w:sz w:val="16"/>
        </w:rPr>
        <w:t>Hombre,</w:t>
      </w:r>
      <w:r>
        <w:rPr>
          <w:i/>
          <w:spacing w:val="-6"/>
          <w:sz w:val="16"/>
        </w:rPr>
        <w:t xml:space="preserve"> </w:t>
      </w:r>
      <w:r>
        <w:rPr>
          <w:i/>
          <w:sz w:val="16"/>
        </w:rPr>
        <w:t>en</w:t>
      </w:r>
      <w:r>
        <w:rPr>
          <w:i/>
          <w:spacing w:val="-5"/>
          <w:sz w:val="16"/>
        </w:rPr>
        <w:t xml:space="preserve"> </w:t>
      </w:r>
      <w:r>
        <w:rPr>
          <w:i/>
          <w:sz w:val="16"/>
        </w:rPr>
        <w:t>el</w:t>
      </w:r>
      <w:r>
        <w:rPr>
          <w:i/>
          <w:spacing w:val="-8"/>
          <w:sz w:val="16"/>
        </w:rPr>
        <w:t xml:space="preserve"> </w:t>
      </w:r>
      <w:r>
        <w:rPr>
          <w:i/>
          <w:sz w:val="16"/>
        </w:rPr>
        <w:t>marco</w:t>
      </w:r>
      <w:r>
        <w:rPr>
          <w:i/>
          <w:spacing w:val="-7"/>
          <w:sz w:val="16"/>
        </w:rPr>
        <w:t xml:space="preserve"> </w:t>
      </w:r>
      <w:r>
        <w:rPr>
          <w:i/>
          <w:sz w:val="16"/>
        </w:rPr>
        <w:t>del</w:t>
      </w:r>
      <w:r>
        <w:rPr>
          <w:i/>
          <w:spacing w:val="-4"/>
          <w:sz w:val="16"/>
        </w:rPr>
        <w:t xml:space="preserve"> </w:t>
      </w:r>
      <w:r>
        <w:rPr>
          <w:i/>
          <w:sz w:val="16"/>
        </w:rPr>
        <w:t>artículo 64</w:t>
      </w:r>
      <w:r>
        <w:rPr>
          <w:i/>
          <w:spacing w:val="-12"/>
          <w:sz w:val="16"/>
        </w:rPr>
        <w:t xml:space="preserve"> </w:t>
      </w:r>
      <w:r>
        <w:rPr>
          <w:i/>
          <w:sz w:val="16"/>
        </w:rPr>
        <w:t>de</w:t>
      </w:r>
      <w:r>
        <w:rPr>
          <w:i/>
          <w:spacing w:val="-12"/>
          <w:sz w:val="16"/>
        </w:rPr>
        <w:t xml:space="preserve"> </w:t>
      </w:r>
      <w:r>
        <w:rPr>
          <w:i/>
          <w:sz w:val="16"/>
        </w:rPr>
        <w:t>la</w:t>
      </w:r>
      <w:r>
        <w:rPr>
          <w:i/>
          <w:spacing w:val="-13"/>
          <w:sz w:val="16"/>
        </w:rPr>
        <w:t xml:space="preserve"> </w:t>
      </w:r>
      <w:r>
        <w:rPr>
          <w:i/>
          <w:sz w:val="16"/>
        </w:rPr>
        <w:t>Convención</w:t>
      </w:r>
      <w:r>
        <w:rPr>
          <w:i/>
          <w:spacing w:val="-13"/>
          <w:sz w:val="16"/>
        </w:rPr>
        <w:t xml:space="preserve"> </w:t>
      </w:r>
      <w:r>
        <w:rPr>
          <w:i/>
          <w:sz w:val="16"/>
        </w:rPr>
        <w:t>Americana</w:t>
      </w:r>
      <w:r>
        <w:rPr>
          <w:i/>
          <w:spacing w:val="-10"/>
          <w:sz w:val="16"/>
        </w:rPr>
        <w:t xml:space="preserve"> </w:t>
      </w:r>
      <w:r>
        <w:rPr>
          <w:i/>
          <w:sz w:val="16"/>
        </w:rPr>
        <w:t>sobre</w:t>
      </w:r>
      <w:r>
        <w:rPr>
          <w:i/>
          <w:spacing w:val="-11"/>
          <w:sz w:val="16"/>
        </w:rPr>
        <w:t xml:space="preserve"> </w:t>
      </w:r>
      <w:r>
        <w:rPr>
          <w:i/>
          <w:sz w:val="16"/>
        </w:rPr>
        <w:t>Derechos</w:t>
      </w:r>
      <w:r>
        <w:rPr>
          <w:i/>
          <w:spacing w:val="-10"/>
          <w:sz w:val="16"/>
        </w:rPr>
        <w:t xml:space="preserve"> </w:t>
      </w:r>
      <w:r>
        <w:rPr>
          <w:i/>
          <w:sz w:val="16"/>
        </w:rPr>
        <w:t>Humanos.</w:t>
      </w:r>
      <w:r>
        <w:rPr>
          <w:i/>
          <w:spacing w:val="-13"/>
          <w:sz w:val="16"/>
        </w:rPr>
        <w:t xml:space="preserve"> </w:t>
      </w:r>
      <w:r>
        <w:rPr>
          <w:sz w:val="16"/>
        </w:rPr>
        <w:t>Opinión</w:t>
      </w:r>
      <w:r>
        <w:rPr>
          <w:spacing w:val="-11"/>
          <w:sz w:val="16"/>
        </w:rPr>
        <w:t xml:space="preserve"> </w:t>
      </w:r>
      <w:r>
        <w:rPr>
          <w:sz w:val="16"/>
        </w:rPr>
        <w:t>Consultiva</w:t>
      </w:r>
      <w:r>
        <w:rPr>
          <w:spacing w:val="-11"/>
          <w:sz w:val="16"/>
        </w:rPr>
        <w:t xml:space="preserve"> </w:t>
      </w:r>
      <w:r>
        <w:rPr>
          <w:sz w:val="16"/>
        </w:rPr>
        <w:t>OC-10/89</w:t>
      </w:r>
      <w:r>
        <w:rPr>
          <w:spacing w:val="-12"/>
          <w:sz w:val="16"/>
        </w:rPr>
        <w:t xml:space="preserve"> </w:t>
      </w:r>
      <w:r>
        <w:rPr>
          <w:sz w:val="16"/>
        </w:rPr>
        <w:t>de</w:t>
      </w:r>
      <w:r>
        <w:rPr>
          <w:spacing w:val="-12"/>
          <w:sz w:val="16"/>
        </w:rPr>
        <w:t xml:space="preserve"> </w:t>
      </w:r>
      <w:r>
        <w:rPr>
          <w:sz w:val="16"/>
        </w:rPr>
        <w:t>14</w:t>
      </w:r>
      <w:r>
        <w:rPr>
          <w:spacing w:val="-11"/>
          <w:sz w:val="16"/>
        </w:rPr>
        <w:t xml:space="preserve"> </w:t>
      </w:r>
      <w:r>
        <w:rPr>
          <w:sz w:val="16"/>
        </w:rPr>
        <w:t>de</w:t>
      </w:r>
      <w:r>
        <w:rPr>
          <w:spacing w:val="-10"/>
          <w:sz w:val="16"/>
        </w:rPr>
        <w:t xml:space="preserve"> </w:t>
      </w:r>
      <w:r>
        <w:rPr>
          <w:sz w:val="16"/>
        </w:rPr>
        <w:t>julio</w:t>
      </w:r>
      <w:r>
        <w:rPr>
          <w:spacing w:val="-11"/>
          <w:sz w:val="16"/>
        </w:rPr>
        <w:t xml:space="preserve"> </w:t>
      </w:r>
      <w:r>
        <w:rPr>
          <w:sz w:val="16"/>
        </w:rPr>
        <w:t>de</w:t>
      </w:r>
      <w:r>
        <w:rPr>
          <w:spacing w:val="-14"/>
          <w:sz w:val="16"/>
        </w:rPr>
        <w:t xml:space="preserve"> </w:t>
      </w:r>
      <w:r>
        <w:rPr>
          <w:sz w:val="16"/>
        </w:rPr>
        <w:t>1989.</w:t>
      </w:r>
      <w:r>
        <w:rPr>
          <w:spacing w:val="-14"/>
          <w:sz w:val="16"/>
        </w:rPr>
        <w:t xml:space="preserve"> </w:t>
      </w:r>
      <w:r>
        <w:rPr>
          <w:sz w:val="16"/>
        </w:rPr>
        <w:t>Serie A No. 10, párr.</w:t>
      </w:r>
      <w:r>
        <w:rPr>
          <w:spacing w:val="-6"/>
          <w:sz w:val="16"/>
        </w:rPr>
        <w:t xml:space="preserve"> </w:t>
      </w:r>
      <w:r>
        <w:rPr>
          <w:sz w:val="16"/>
        </w:rPr>
        <w:t>43.</w:t>
      </w:r>
    </w:p>
    <w:p w14:paraId="72E939F0" w14:textId="77777777" w:rsidR="00467FCA" w:rsidRDefault="001B68EB">
      <w:pPr>
        <w:tabs>
          <w:tab w:val="left" w:pos="839"/>
        </w:tabs>
        <w:ind w:left="120" w:right="109" w:hanging="1"/>
        <w:jc w:val="both"/>
        <w:rPr>
          <w:sz w:val="16"/>
        </w:rPr>
      </w:pPr>
      <w:bookmarkStart w:id="321" w:name="_bookmark277"/>
      <w:bookmarkEnd w:id="321"/>
      <w:r>
        <w:rPr>
          <w:position w:val="6"/>
          <w:sz w:val="10"/>
        </w:rPr>
        <w:t>232</w:t>
      </w:r>
      <w:r>
        <w:rPr>
          <w:position w:val="6"/>
          <w:sz w:val="10"/>
        </w:rPr>
        <w:tab/>
      </w:r>
      <w:r>
        <w:rPr>
          <w:i/>
          <w:sz w:val="16"/>
        </w:rPr>
        <w:t>Cfr</w:t>
      </w:r>
      <w:r>
        <w:rPr>
          <w:sz w:val="16"/>
        </w:rPr>
        <w:t>.</w:t>
      </w:r>
      <w:r>
        <w:rPr>
          <w:spacing w:val="-12"/>
          <w:sz w:val="16"/>
        </w:rPr>
        <w:t xml:space="preserve"> </w:t>
      </w:r>
      <w:r>
        <w:rPr>
          <w:i/>
          <w:sz w:val="16"/>
        </w:rPr>
        <w:t>El</w:t>
      </w:r>
      <w:r>
        <w:rPr>
          <w:i/>
          <w:spacing w:val="-13"/>
          <w:sz w:val="16"/>
        </w:rPr>
        <w:t xml:space="preserve"> </w:t>
      </w:r>
      <w:r>
        <w:rPr>
          <w:i/>
          <w:sz w:val="16"/>
        </w:rPr>
        <w:t>Derecho</w:t>
      </w:r>
      <w:r>
        <w:rPr>
          <w:i/>
          <w:spacing w:val="-11"/>
          <w:sz w:val="16"/>
        </w:rPr>
        <w:t xml:space="preserve"> </w:t>
      </w:r>
      <w:r>
        <w:rPr>
          <w:i/>
          <w:sz w:val="16"/>
        </w:rPr>
        <w:t>a</w:t>
      </w:r>
      <w:r>
        <w:rPr>
          <w:i/>
          <w:spacing w:val="-14"/>
          <w:sz w:val="16"/>
        </w:rPr>
        <w:t xml:space="preserve"> </w:t>
      </w:r>
      <w:r>
        <w:rPr>
          <w:i/>
          <w:sz w:val="16"/>
        </w:rPr>
        <w:t>la</w:t>
      </w:r>
      <w:r>
        <w:rPr>
          <w:i/>
          <w:spacing w:val="-10"/>
          <w:sz w:val="16"/>
        </w:rPr>
        <w:t xml:space="preserve"> </w:t>
      </w:r>
      <w:r>
        <w:rPr>
          <w:i/>
          <w:sz w:val="16"/>
        </w:rPr>
        <w:t>Información</w:t>
      </w:r>
      <w:r>
        <w:rPr>
          <w:i/>
          <w:spacing w:val="-11"/>
          <w:sz w:val="16"/>
        </w:rPr>
        <w:t xml:space="preserve"> </w:t>
      </w:r>
      <w:r>
        <w:rPr>
          <w:i/>
          <w:sz w:val="16"/>
        </w:rPr>
        <w:t>sobre</w:t>
      </w:r>
      <w:r>
        <w:rPr>
          <w:i/>
          <w:spacing w:val="-13"/>
          <w:sz w:val="16"/>
        </w:rPr>
        <w:t xml:space="preserve"> </w:t>
      </w:r>
      <w:r>
        <w:rPr>
          <w:i/>
          <w:sz w:val="16"/>
        </w:rPr>
        <w:t>la</w:t>
      </w:r>
      <w:r>
        <w:rPr>
          <w:i/>
          <w:spacing w:val="-13"/>
          <w:sz w:val="16"/>
        </w:rPr>
        <w:t xml:space="preserve"> </w:t>
      </w:r>
      <w:r>
        <w:rPr>
          <w:i/>
          <w:sz w:val="16"/>
        </w:rPr>
        <w:t>Asistencia</w:t>
      </w:r>
      <w:r>
        <w:rPr>
          <w:i/>
          <w:spacing w:val="-15"/>
          <w:sz w:val="16"/>
        </w:rPr>
        <w:t xml:space="preserve"> </w:t>
      </w:r>
      <w:r>
        <w:rPr>
          <w:i/>
          <w:sz w:val="16"/>
        </w:rPr>
        <w:t>Consular</w:t>
      </w:r>
      <w:r>
        <w:rPr>
          <w:i/>
          <w:spacing w:val="-15"/>
          <w:sz w:val="16"/>
        </w:rPr>
        <w:t xml:space="preserve"> </w:t>
      </w:r>
      <w:r>
        <w:rPr>
          <w:i/>
          <w:sz w:val="16"/>
        </w:rPr>
        <w:t>en</w:t>
      </w:r>
      <w:r>
        <w:rPr>
          <w:i/>
          <w:spacing w:val="-11"/>
          <w:sz w:val="16"/>
        </w:rPr>
        <w:t xml:space="preserve"> </w:t>
      </w:r>
      <w:r>
        <w:rPr>
          <w:i/>
          <w:sz w:val="16"/>
        </w:rPr>
        <w:t>el</w:t>
      </w:r>
      <w:r>
        <w:rPr>
          <w:i/>
          <w:spacing w:val="-15"/>
          <w:sz w:val="16"/>
        </w:rPr>
        <w:t xml:space="preserve"> </w:t>
      </w:r>
      <w:r>
        <w:rPr>
          <w:i/>
          <w:sz w:val="16"/>
        </w:rPr>
        <w:t>Marco</w:t>
      </w:r>
      <w:r>
        <w:rPr>
          <w:i/>
          <w:spacing w:val="-14"/>
          <w:sz w:val="16"/>
        </w:rPr>
        <w:t xml:space="preserve"> </w:t>
      </w:r>
      <w:r>
        <w:rPr>
          <w:i/>
          <w:sz w:val="16"/>
        </w:rPr>
        <w:t>de</w:t>
      </w:r>
      <w:r>
        <w:rPr>
          <w:i/>
          <w:spacing w:val="-13"/>
          <w:sz w:val="16"/>
        </w:rPr>
        <w:t xml:space="preserve"> </w:t>
      </w:r>
      <w:r>
        <w:rPr>
          <w:i/>
          <w:sz w:val="16"/>
        </w:rPr>
        <w:t>las</w:t>
      </w:r>
      <w:r>
        <w:rPr>
          <w:i/>
          <w:spacing w:val="-12"/>
          <w:sz w:val="16"/>
        </w:rPr>
        <w:t xml:space="preserve"> </w:t>
      </w:r>
      <w:r>
        <w:rPr>
          <w:i/>
          <w:sz w:val="16"/>
        </w:rPr>
        <w:t>Garantías</w:t>
      </w:r>
      <w:r>
        <w:rPr>
          <w:i/>
          <w:spacing w:val="-12"/>
          <w:sz w:val="16"/>
        </w:rPr>
        <w:t xml:space="preserve"> </w:t>
      </w:r>
      <w:r>
        <w:rPr>
          <w:i/>
          <w:sz w:val="16"/>
        </w:rPr>
        <w:t>del</w:t>
      </w:r>
      <w:r>
        <w:rPr>
          <w:i/>
          <w:spacing w:val="-12"/>
          <w:sz w:val="16"/>
        </w:rPr>
        <w:t xml:space="preserve"> </w:t>
      </w:r>
      <w:r>
        <w:rPr>
          <w:i/>
          <w:sz w:val="16"/>
        </w:rPr>
        <w:t>Debido</w:t>
      </w:r>
      <w:r>
        <w:rPr>
          <w:i/>
          <w:spacing w:val="-11"/>
          <w:sz w:val="16"/>
        </w:rPr>
        <w:t xml:space="preserve"> </w:t>
      </w:r>
      <w:r>
        <w:rPr>
          <w:i/>
          <w:sz w:val="16"/>
        </w:rPr>
        <w:t xml:space="preserve">Proceso Legal. </w:t>
      </w:r>
      <w:r>
        <w:rPr>
          <w:sz w:val="16"/>
        </w:rPr>
        <w:t xml:space="preserve">Opinión Consultiva OC-16/99 de 1 de octubre de 1999. Serie A No. 16, párr. 114, y </w:t>
      </w:r>
      <w:r>
        <w:rPr>
          <w:i/>
          <w:sz w:val="16"/>
        </w:rPr>
        <w:t>Caso Hernández Vs. Argentina, supra</w:t>
      </w:r>
      <w:r>
        <w:rPr>
          <w:sz w:val="16"/>
        </w:rPr>
        <w:t>, párr.</w:t>
      </w:r>
      <w:r>
        <w:rPr>
          <w:spacing w:val="-7"/>
          <w:sz w:val="16"/>
        </w:rPr>
        <w:t xml:space="preserve"> </w:t>
      </w:r>
      <w:r>
        <w:rPr>
          <w:sz w:val="16"/>
        </w:rPr>
        <w:t>65.</w:t>
      </w:r>
    </w:p>
    <w:p w14:paraId="78609AEE" w14:textId="77777777" w:rsidR="00467FCA" w:rsidRDefault="00467FCA">
      <w:pPr>
        <w:jc w:val="both"/>
        <w:rPr>
          <w:sz w:val="16"/>
        </w:rPr>
        <w:sectPr w:rsidR="00467FCA">
          <w:pgSz w:w="12240" w:h="15840"/>
          <w:pgMar w:top="1360" w:right="1320" w:bottom="1220" w:left="1320" w:header="0" w:footer="1037" w:gutter="0"/>
          <w:cols w:space="720"/>
        </w:sectPr>
      </w:pPr>
    </w:p>
    <w:p w14:paraId="2D248849" w14:textId="77777777" w:rsidR="00467FCA" w:rsidRDefault="001B68EB">
      <w:pPr>
        <w:pStyle w:val="Textoindependiente"/>
        <w:spacing w:before="80"/>
        <w:ind w:left="120" w:right="118"/>
        <w:jc w:val="both"/>
      </w:pPr>
      <w:r>
        <w:t>métodos</w:t>
      </w:r>
      <w:r>
        <w:rPr>
          <w:spacing w:val="-19"/>
        </w:rPr>
        <w:t xml:space="preserve"> </w:t>
      </w:r>
      <w:r>
        <w:t>que</w:t>
      </w:r>
      <w:r>
        <w:rPr>
          <w:spacing w:val="-19"/>
        </w:rPr>
        <w:t xml:space="preserve"> </w:t>
      </w:r>
      <w:r>
        <w:t>se</w:t>
      </w:r>
      <w:r>
        <w:rPr>
          <w:spacing w:val="-19"/>
        </w:rPr>
        <w:t xml:space="preserve"> </w:t>
      </w:r>
      <w:r>
        <w:t>relacionan</w:t>
      </w:r>
      <w:r>
        <w:rPr>
          <w:spacing w:val="-19"/>
        </w:rPr>
        <w:t xml:space="preserve"> </w:t>
      </w:r>
      <w:r>
        <w:t>con</w:t>
      </w:r>
      <w:r>
        <w:rPr>
          <w:spacing w:val="-16"/>
        </w:rPr>
        <w:t xml:space="preserve"> </w:t>
      </w:r>
      <w:r>
        <w:t>una</w:t>
      </w:r>
      <w:r>
        <w:rPr>
          <w:spacing w:val="-20"/>
        </w:rPr>
        <w:t xml:space="preserve"> </w:t>
      </w:r>
      <w:r>
        <w:t>visión</w:t>
      </w:r>
      <w:r>
        <w:rPr>
          <w:spacing w:val="-16"/>
        </w:rPr>
        <w:t xml:space="preserve"> </w:t>
      </w:r>
      <w:r>
        <w:t>evolutiva</w:t>
      </w:r>
      <w:r>
        <w:rPr>
          <w:spacing w:val="-20"/>
        </w:rPr>
        <w:t xml:space="preserve"> </w:t>
      </w:r>
      <w:r>
        <w:t>del</w:t>
      </w:r>
      <w:r>
        <w:rPr>
          <w:spacing w:val="-19"/>
        </w:rPr>
        <w:t xml:space="preserve"> </w:t>
      </w:r>
      <w:r>
        <w:t>Tratado.</w:t>
      </w:r>
      <w:r>
        <w:rPr>
          <w:spacing w:val="-21"/>
        </w:rPr>
        <w:t xml:space="preserve"> </w:t>
      </w:r>
      <w:r>
        <w:t>De</w:t>
      </w:r>
      <w:r>
        <w:rPr>
          <w:spacing w:val="-19"/>
        </w:rPr>
        <w:t xml:space="preserve"> </w:t>
      </w:r>
      <w:r>
        <w:t>esta</w:t>
      </w:r>
      <w:r>
        <w:rPr>
          <w:spacing w:val="-20"/>
        </w:rPr>
        <w:t xml:space="preserve"> </w:t>
      </w:r>
      <w:r>
        <w:t>forma,</w:t>
      </w:r>
      <w:r>
        <w:rPr>
          <w:spacing w:val="-18"/>
        </w:rPr>
        <w:t xml:space="preserve"> </w:t>
      </w:r>
      <w:r>
        <w:t>con</w:t>
      </w:r>
      <w:r>
        <w:rPr>
          <w:spacing w:val="-16"/>
        </w:rPr>
        <w:t xml:space="preserve"> </w:t>
      </w:r>
      <w:r>
        <w:t>el</w:t>
      </w:r>
      <w:r>
        <w:rPr>
          <w:spacing w:val="-17"/>
        </w:rPr>
        <w:t xml:space="preserve"> </w:t>
      </w:r>
      <w:r>
        <w:t>objetivo de determinar el alcance del derecho a condiciones de trabajo que aseguren la seguridad, salud e higiene del trabajador, tal y como se deriva de las normas económicas, sociales y sobre educación, ciencia y cultura de la Carta de</w:t>
      </w:r>
      <w:r>
        <w:t xml:space="preserve"> la OEA, el Tribunal hará referencia a los instrumentos relevantes del </w:t>
      </w:r>
      <w:r>
        <w:rPr>
          <w:i/>
        </w:rPr>
        <w:t>corpus iuris</w:t>
      </w:r>
      <w:r>
        <w:rPr>
          <w:i/>
          <w:spacing w:val="-3"/>
        </w:rPr>
        <w:t xml:space="preserve"> </w:t>
      </w:r>
      <w:r>
        <w:t>internacional.</w:t>
      </w:r>
    </w:p>
    <w:p w14:paraId="6D8D1AAE" w14:textId="77777777" w:rsidR="00467FCA" w:rsidRDefault="00467FCA">
      <w:pPr>
        <w:pStyle w:val="Textoindependiente"/>
        <w:spacing w:before="1"/>
      </w:pPr>
    </w:p>
    <w:p w14:paraId="59456DF6" w14:textId="77777777" w:rsidR="00467FCA" w:rsidRDefault="001B68EB">
      <w:pPr>
        <w:pStyle w:val="Prrafodelista"/>
        <w:numPr>
          <w:ilvl w:val="0"/>
          <w:numId w:val="50"/>
        </w:numPr>
        <w:tabs>
          <w:tab w:val="left" w:pos="687"/>
        </w:tabs>
        <w:ind w:left="119" w:right="119" w:firstLine="0"/>
        <w:jc w:val="both"/>
        <w:rPr>
          <w:sz w:val="20"/>
        </w:rPr>
      </w:pPr>
      <w:r>
        <w:rPr>
          <w:sz w:val="20"/>
        </w:rPr>
        <w:t>A</w:t>
      </w:r>
      <w:r>
        <w:rPr>
          <w:spacing w:val="-7"/>
          <w:sz w:val="20"/>
        </w:rPr>
        <w:t xml:space="preserve"> </w:t>
      </w:r>
      <w:r>
        <w:rPr>
          <w:sz w:val="20"/>
        </w:rPr>
        <w:t>continuación,</w:t>
      </w:r>
      <w:r>
        <w:rPr>
          <w:spacing w:val="-6"/>
          <w:sz w:val="20"/>
        </w:rPr>
        <w:t xml:space="preserve"> </w:t>
      </w:r>
      <w:r>
        <w:rPr>
          <w:sz w:val="20"/>
        </w:rPr>
        <w:t>este</w:t>
      </w:r>
      <w:r>
        <w:rPr>
          <w:spacing w:val="-7"/>
          <w:sz w:val="20"/>
        </w:rPr>
        <w:t xml:space="preserve"> </w:t>
      </w:r>
      <w:r>
        <w:rPr>
          <w:sz w:val="20"/>
        </w:rPr>
        <w:t>Tribunal</w:t>
      </w:r>
      <w:r>
        <w:rPr>
          <w:spacing w:val="-7"/>
          <w:sz w:val="20"/>
        </w:rPr>
        <w:t xml:space="preserve"> </w:t>
      </w:r>
      <w:r>
        <w:rPr>
          <w:sz w:val="20"/>
        </w:rPr>
        <w:t>procede</w:t>
      </w:r>
      <w:r>
        <w:rPr>
          <w:spacing w:val="-9"/>
          <w:sz w:val="20"/>
        </w:rPr>
        <w:t xml:space="preserve"> </w:t>
      </w:r>
      <w:r>
        <w:rPr>
          <w:sz w:val="20"/>
        </w:rPr>
        <w:t>a</w:t>
      </w:r>
      <w:r>
        <w:rPr>
          <w:spacing w:val="-2"/>
          <w:sz w:val="20"/>
        </w:rPr>
        <w:t xml:space="preserve"> </w:t>
      </w:r>
      <w:r>
        <w:rPr>
          <w:sz w:val="20"/>
        </w:rPr>
        <w:t>verificar</w:t>
      </w:r>
      <w:r>
        <w:rPr>
          <w:spacing w:val="-7"/>
          <w:sz w:val="20"/>
        </w:rPr>
        <w:t xml:space="preserve"> </w:t>
      </w:r>
      <w:r>
        <w:rPr>
          <w:sz w:val="20"/>
        </w:rPr>
        <w:t>el</w:t>
      </w:r>
      <w:r>
        <w:rPr>
          <w:spacing w:val="-5"/>
          <w:sz w:val="20"/>
        </w:rPr>
        <w:t xml:space="preserve"> </w:t>
      </w:r>
      <w:r>
        <w:rPr>
          <w:sz w:val="20"/>
        </w:rPr>
        <w:t>alcance</w:t>
      </w:r>
      <w:r>
        <w:rPr>
          <w:spacing w:val="-7"/>
          <w:sz w:val="20"/>
        </w:rPr>
        <w:t xml:space="preserve"> </w:t>
      </w:r>
      <w:r>
        <w:rPr>
          <w:sz w:val="20"/>
        </w:rPr>
        <w:t>y</w:t>
      </w:r>
      <w:r>
        <w:rPr>
          <w:spacing w:val="-6"/>
          <w:sz w:val="20"/>
        </w:rPr>
        <w:t xml:space="preserve"> </w:t>
      </w:r>
      <w:r>
        <w:rPr>
          <w:sz w:val="20"/>
        </w:rPr>
        <w:t>contenido</w:t>
      </w:r>
      <w:r>
        <w:rPr>
          <w:spacing w:val="-7"/>
          <w:sz w:val="20"/>
        </w:rPr>
        <w:t xml:space="preserve"> </w:t>
      </w:r>
      <w:r>
        <w:rPr>
          <w:sz w:val="20"/>
        </w:rPr>
        <w:t>de</w:t>
      </w:r>
      <w:r>
        <w:rPr>
          <w:spacing w:val="-6"/>
          <w:sz w:val="20"/>
        </w:rPr>
        <w:t xml:space="preserve"> </w:t>
      </w:r>
      <w:r>
        <w:rPr>
          <w:sz w:val="20"/>
        </w:rPr>
        <w:t>este</w:t>
      </w:r>
      <w:r>
        <w:rPr>
          <w:spacing w:val="-7"/>
          <w:sz w:val="20"/>
        </w:rPr>
        <w:t xml:space="preserve"> </w:t>
      </w:r>
      <w:r>
        <w:rPr>
          <w:sz w:val="20"/>
        </w:rPr>
        <w:t>derecho para los efectos del presente</w:t>
      </w:r>
      <w:r>
        <w:rPr>
          <w:spacing w:val="-4"/>
          <w:sz w:val="20"/>
        </w:rPr>
        <w:t xml:space="preserve"> </w:t>
      </w:r>
      <w:r>
        <w:rPr>
          <w:sz w:val="20"/>
        </w:rPr>
        <w:t>caso.</w:t>
      </w:r>
    </w:p>
    <w:p w14:paraId="57984DCF" w14:textId="77777777" w:rsidR="00467FCA" w:rsidRDefault="00467FCA">
      <w:pPr>
        <w:pStyle w:val="Textoindependiente"/>
        <w:spacing w:before="7"/>
        <w:rPr>
          <w:sz w:val="22"/>
        </w:rPr>
      </w:pPr>
    </w:p>
    <w:p w14:paraId="08EDD711" w14:textId="77777777" w:rsidR="00467FCA" w:rsidRDefault="001B68EB">
      <w:pPr>
        <w:pStyle w:val="Ttulo2"/>
        <w:numPr>
          <w:ilvl w:val="4"/>
          <w:numId w:val="41"/>
        </w:numPr>
        <w:tabs>
          <w:tab w:val="left" w:pos="1493"/>
        </w:tabs>
        <w:ind w:right="120" w:firstLine="0"/>
      </w:pPr>
      <w:bookmarkStart w:id="322" w:name="B.1.1_El_contenido_del_derecho_a_condici"/>
      <w:bookmarkStart w:id="323" w:name="_bookmark278"/>
      <w:bookmarkEnd w:id="322"/>
      <w:bookmarkEnd w:id="323"/>
      <w:r>
        <w:t>El</w:t>
      </w:r>
      <w:r>
        <w:t xml:space="preserve"> contenido del derecho a condiciones equitativas y satisfactorias que </w:t>
      </w:r>
      <w:r>
        <w:t>garanticen la seguridad, la salud y la higiene en el</w:t>
      </w:r>
      <w:r>
        <w:rPr>
          <w:spacing w:val="-5"/>
        </w:rPr>
        <w:t xml:space="preserve"> </w:t>
      </w:r>
      <w:r>
        <w:t>trabajo</w:t>
      </w:r>
    </w:p>
    <w:p w14:paraId="27606AFD" w14:textId="77777777" w:rsidR="00467FCA" w:rsidRDefault="00467FCA">
      <w:pPr>
        <w:pStyle w:val="Textoindependiente"/>
        <w:spacing w:before="10"/>
        <w:rPr>
          <w:b/>
          <w:i/>
          <w:sz w:val="22"/>
        </w:rPr>
      </w:pPr>
    </w:p>
    <w:p w14:paraId="38F52E26" w14:textId="77777777" w:rsidR="00467FCA" w:rsidRDefault="001B68EB">
      <w:pPr>
        <w:pStyle w:val="Prrafodelista"/>
        <w:numPr>
          <w:ilvl w:val="0"/>
          <w:numId w:val="50"/>
        </w:numPr>
        <w:tabs>
          <w:tab w:val="left" w:pos="687"/>
        </w:tabs>
        <w:ind w:right="118" w:firstLine="0"/>
        <w:jc w:val="both"/>
        <w:rPr>
          <w:sz w:val="20"/>
        </w:rPr>
      </w:pPr>
      <w:r>
        <w:rPr>
          <w:sz w:val="20"/>
        </w:rPr>
        <w:t>Como se indicó en el apartado anterior, el artículo 45.b de la Carta de la OEA señala expresamente que el trabajo deberá ser</w:t>
      </w:r>
      <w:r>
        <w:rPr>
          <w:sz w:val="20"/>
        </w:rPr>
        <w:t xml:space="preserve"> ejercido en condiciones que aseguren la vida y la salud</w:t>
      </w:r>
      <w:r>
        <w:rPr>
          <w:spacing w:val="-11"/>
          <w:sz w:val="20"/>
        </w:rPr>
        <w:t xml:space="preserve"> </w:t>
      </w:r>
      <w:r>
        <w:rPr>
          <w:sz w:val="20"/>
        </w:rPr>
        <w:t>del</w:t>
      </w:r>
      <w:r>
        <w:rPr>
          <w:spacing w:val="-7"/>
          <w:sz w:val="20"/>
        </w:rPr>
        <w:t xml:space="preserve"> </w:t>
      </w:r>
      <w:r>
        <w:rPr>
          <w:sz w:val="20"/>
        </w:rPr>
        <w:t>trabajador</w:t>
      </w:r>
      <w:r>
        <w:rPr>
          <w:spacing w:val="-9"/>
          <w:sz w:val="20"/>
        </w:rPr>
        <w:t xml:space="preserve"> </w:t>
      </w:r>
      <w:r>
        <w:rPr>
          <w:sz w:val="20"/>
        </w:rPr>
        <w:t>(</w:t>
      </w:r>
      <w:r>
        <w:rPr>
          <w:i/>
          <w:sz w:val="20"/>
        </w:rPr>
        <w:t>supra</w:t>
      </w:r>
      <w:r>
        <w:rPr>
          <w:i/>
          <w:spacing w:val="-10"/>
          <w:sz w:val="20"/>
        </w:rPr>
        <w:t xml:space="preserve"> </w:t>
      </w:r>
      <w:r>
        <w:rPr>
          <w:sz w:val="20"/>
        </w:rPr>
        <w:t>párr.</w:t>
      </w:r>
      <w:r>
        <w:rPr>
          <w:spacing w:val="-9"/>
          <w:sz w:val="20"/>
        </w:rPr>
        <w:t xml:space="preserve"> </w:t>
      </w:r>
      <w:r>
        <w:rPr>
          <w:sz w:val="20"/>
        </w:rPr>
        <w:t>155).</w:t>
      </w:r>
      <w:r>
        <w:rPr>
          <w:spacing w:val="-11"/>
          <w:sz w:val="20"/>
        </w:rPr>
        <w:t xml:space="preserve"> </w:t>
      </w:r>
      <w:r>
        <w:rPr>
          <w:sz w:val="20"/>
        </w:rPr>
        <w:t>Asimismo,</w:t>
      </w:r>
      <w:r>
        <w:rPr>
          <w:spacing w:val="-8"/>
          <w:sz w:val="20"/>
        </w:rPr>
        <w:t xml:space="preserve"> </w:t>
      </w:r>
      <w:r>
        <w:rPr>
          <w:sz w:val="20"/>
        </w:rPr>
        <w:t>el</w:t>
      </w:r>
      <w:r>
        <w:rPr>
          <w:spacing w:val="-8"/>
          <w:sz w:val="20"/>
        </w:rPr>
        <w:t xml:space="preserve"> </w:t>
      </w:r>
      <w:r>
        <w:rPr>
          <w:sz w:val="20"/>
        </w:rPr>
        <w:t>artículo</w:t>
      </w:r>
      <w:r>
        <w:rPr>
          <w:spacing w:val="-9"/>
          <w:sz w:val="20"/>
        </w:rPr>
        <w:t xml:space="preserve"> </w:t>
      </w:r>
      <w:r>
        <w:rPr>
          <w:sz w:val="20"/>
        </w:rPr>
        <w:t>XIV</w:t>
      </w:r>
      <w:r>
        <w:rPr>
          <w:spacing w:val="-7"/>
          <w:sz w:val="20"/>
        </w:rPr>
        <w:t xml:space="preserve"> </w:t>
      </w:r>
      <w:r>
        <w:rPr>
          <w:sz w:val="20"/>
        </w:rPr>
        <w:t>de</w:t>
      </w:r>
      <w:r>
        <w:rPr>
          <w:spacing w:val="-9"/>
          <w:sz w:val="20"/>
        </w:rPr>
        <w:t xml:space="preserve"> </w:t>
      </w:r>
      <w:r>
        <w:rPr>
          <w:sz w:val="20"/>
        </w:rPr>
        <w:t>la</w:t>
      </w:r>
      <w:r>
        <w:rPr>
          <w:spacing w:val="-8"/>
          <w:sz w:val="20"/>
        </w:rPr>
        <w:t xml:space="preserve"> </w:t>
      </w:r>
      <w:r>
        <w:rPr>
          <w:sz w:val="20"/>
        </w:rPr>
        <w:t>Declaración</w:t>
      </w:r>
      <w:r>
        <w:rPr>
          <w:spacing w:val="-7"/>
          <w:sz w:val="20"/>
        </w:rPr>
        <w:t xml:space="preserve"> </w:t>
      </w:r>
      <w:r>
        <w:rPr>
          <w:sz w:val="20"/>
        </w:rPr>
        <w:t>Americana de los Derechos y Deberes del Hombre (en adelante “Declaración Americana”) permite identificar</w:t>
      </w:r>
      <w:r>
        <w:rPr>
          <w:spacing w:val="-5"/>
          <w:sz w:val="20"/>
        </w:rPr>
        <w:t xml:space="preserve"> </w:t>
      </w:r>
      <w:r>
        <w:rPr>
          <w:sz w:val="20"/>
        </w:rPr>
        <w:t>el</w:t>
      </w:r>
      <w:r>
        <w:rPr>
          <w:spacing w:val="-6"/>
          <w:sz w:val="20"/>
        </w:rPr>
        <w:t xml:space="preserve"> </w:t>
      </w:r>
      <w:r>
        <w:rPr>
          <w:sz w:val="20"/>
        </w:rPr>
        <w:t>derecho</w:t>
      </w:r>
      <w:r>
        <w:rPr>
          <w:spacing w:val="-7"/>
          <w:sz w:val="20"/>
        </w:rPr>
        <w:t xml:space="preserve"> </w:t>
      </w:r>
      <w:r>
        <w:rPr>
          <w:sz w:val="20"/>
        </w:rPr>
        <w:t>a</w:t>
      </w:r>
      <w:r>
        <w:rPr>
          <w:spacing w:val="-1"/>
          <w:sz w:val="20"/>
        </w:rPr>
        <w:t xml:space="preserve"> </w:t>
      </w:r>
      <w:r>
        <w:rPr>
          <w:sz w:val="20"/>
        </w:rPr>
        <w:t>con</w:t>
      </w:r>
      <w:r>
        <w:rPr>
          <w:sz w:val="20"/>
        </w:rPr>
        <w:t>diciones</w:t>
      </w:r>
      <w:r>
        <w:rPr>
          <w:spacing w:val="-5"/>
          <w:sz w:val="20"/>
        </w:rPr>
        <w:t xml:space="preserve"> </w:t>
      </w:r>
      <w:r>
        <w:rPr>
          <w:sz w:val="20"/>
        </w:rPr>
        <w:t>de</w:t>
      </w:r>
      <w:r>
        <w:rPr>
          <w:spacing w:val="-4"/>
          <w:sz w:val="20"/>
        </w:rPr>
        <w:t xml:space="preserve"> </w:t>
      </w:r>
      <w:r>
        <w:rPr>
          <w:sz w:val="20"/>
        </w:rPr>
        <w:t>trabajo</w:t>
      </w:r>
      <w:r>
        <w:rPr>
          <w:spacing w:val="-5"/>
          <w:sz w:val="20"/>
        </w:rPr>
        <w:t xml:space="preserve"> </w:t>
      </w:r>
      <w:r>
        <w:rPr>
          <w:sz w:val="20"/>
        </w:rPr>
        <w:t>equitativas</w:t>
      </w:r>
      <w:r>
        <w:rPr>
          <w:spacing w:val="-7"/>
          <w:sz w:val="20"/>
        </w:rPr>
        <w:t xml:space="preserve"> </w:t>
      </w:r>
      <w:r>
        <w:rPr>
          <w:sz w:val="20"/>
        </w:rPr>
        <w:t>y</w:t>
      </w:r>
      <w:r>
        <w:rPr>
          <w:spacing w:val="-6"/>
          <w:sz w:val="20"/>
        </w:rPr>
        <w:t xml:space="preserve"> </w:t>
      </w:r>
      <w:r>
        <w:rPr>
          <w:sz w:val="20"/>
        </w:rPr>
        <w:t>satisfactorias</w:t>
      </w:r>
      <w:r>
        <w:rPr>
          <w:spacing w:val="-7"/>
          <w:sz w:val="20"/>
        </w:rPr>
        <w:t xml:space="preserve"> </w:t>
      </w:r>
      <w:r>
        <w:rPr>
          <w:sz w:val="20"/>
        </w:rPr>
        <w:t>al</w:t>
      </w:r>
      <w:r>
        <w:rPr>
          <w:spacing w:val="-4"/>
          <w:sz w:val="20"/>
        </w:rPr>
        <w:t xml:space="preserve"> </w:t>
      </w:r>
      <w:r>
        <w:rPr>
          <w:sz w:val="20"/>
        </w:rPr>
        <w:t>señalar</w:t>
      </w:r>
      <w:r>
        <w:rPr>
          <w:spacing w:val="-4"/>
          <w:sz w:val="20"/>
        </w:rPr>
        <w:t xml:space="preserve"> </w:t>
      </w:r>
      <w:r>
        <w:rPr>
          <w:sz w:val="20"/>
        </w:rPr>
        <w:t>que</w:t>
      </w:r>
      <w:r>
        <w:rPr>
          <w:spacing w:val="-5"/>
          <w:sz w:val="20"/>
        </w:rPr>
        <w:t xml:space="preserve"> </w:t>
      </w:r>
      <w:r>
        <w:rPr>
          <w:sz w:val="20"/>
        </w:rPr>
        <w:t>toda persona tiene derecho “al trabajo en condiciones</w:t>
      </w:r>
      <w:r>
        <w:rPr>
          <w:spacing w:val="-11"/>
          <w:sz w:val="20"/>
        </w:rPr>
        <w:t xml:space="preserve"> </w:t>
      </w:r>
      <w:r>
        <w:rPr>
          <w:sz w:val="20"/>
        </w:rPr>
        <w:t>dignas”.</w:t>
      </w:r>
    </w:p>
    <w:p w14:paraId="30F83129" w14:textId="77777777" w:rsidR="00467FCA" w:rsidRDefault="00467FCA">
      <w:pPr>
        <w:pStyle w:val="Textoindependiente"/>
      </w:pPr>
    </w:p>
    <w:p w14:paraId="3C82C511" w14:textId="77777777" w:rsidR="00467FCA" w:rsidRDefault="001B68EB">
      <w:pPr>
        <w:pStyle w:val="Prrafodelista"/>
        <w:numPr>
          <w:ilvl w:val="0"/>
          <w:numId w:val="50"/>
        </w:numPr>
        <w:tabs>
          <w:tab w:val="left" w:pos="688"/>
        </w:tabs>
        <w:ind w:right="114" w:firstLine="0"/>
        <w:jc w:val="both"/>
        <w:rPr>
          <w:sz w:val="20"/>
        </w:rPr>
      </w:pPr>
      <w:r>
        <w:rPr>
          <w:sz w:val="20"/>
        </w:rPr>
        <w:t>El derecho a condiciones equitativas y satisfactorias de trabajo ha sido reconocido en diferentes</w:t>
      </w:r>
      <w:r>
        <w:rPr>
          <w:spacing w:val="-9"/>
          <w:sz w:val="20"/>
        </w:rPr>
        <w:t xml:space="preserve"> </w:t>
      </w:r>
      <w:r>
        <w:rPr>
          <w:sz w:val="20"/>
        </w:rPr>
        <w:t>instrumentos</w:t>
      </w:r>
      <w:r>
        <w:rPr>
          <w:spacing w:val="-6"/>
          <w:sz w:val="20"/>
        </w:rPr>
        <w:t xml:space="preserve"> </w:t>
      </w:r>
      <w:r>
        <w:rPr>
          <w:sz w:val="20"/>
        </w:rPr>
        <w:t>internacionales</w:t>
      </w:r>
      <w:r>
        <w:rPr>
          <w:spacing w:val="-6"/>
          <w:sz w:val="20"/>
        </w:rPr>
        <w:t xml:space="preserve"> </w:t>
      </w:r>
      <w:r>
        <w:rPr>
          <w:sz w:val="20"/>
        </w:rPr>
        <w:t>que</w:t>
      </w:r>
      <w:r>
        <w:rPr>
          <w:spacing w:val="-6"/>
          <w:sz w:val="20"/>
        </w:rPr>
        <w:t xml:space="preserve"> </w:t>
      </w:r>
      <w:r>
        <w:rPr>
          <w:sz w:val="20"/>
        </w:rPr>
        <w:t>se</w:t>
      </w:r>
      <w:r>
        <w:rPr>
          <w:spacing w:val="-7"/>
          <w:sz w:val="20"/>
        </w:rPr>
        <w:t xml:space="preserve"> </w:t>
      </w:r>
      <w:r>
        <w:rPr>
          <w:sz w:val="20"/>
        </w:rPr>
        <w:t>suman</w:t>
      </w:r>
      <w:r>
        <w:rPr>
          <w:spacing w:val="-7"/>
          <w:sz w:val="20"/>
        </w:rPr>
        <w:t xml:space="preserve"> </w:t>
      </w:r>
      <w:r>
        <w:rPr>
          <w:sz w:val="20"/>
        </w:rPr>
        <w:t>a</w:t>
      </w:r>
      <w:r>
        <w:rPr>
          <w:spacing w:val="-8"/>
          <w:sz w:val="20"/>
        </w:rPr>
        <w:t xml:space="preserve"> </w:t>
      </w:r>
      <w:r>
        <w:rPr>
          <w:sz w:val="20"/>
        </w:rPr>
        <w:t>la</w:t>
      </w:r>
      <w:r>
        <w:rPr>
          <w:spacing w:val="-4"/>
          <w:sz w:val="20"/>
        </w:rPr>
        <w:t xml:space="preserve"> </w:t>
      </w:r>
      <w:r>
        <w:rPr>
          <w:sz w:val="20"/>
        </w:rPr>
        <w:t>Carta</w:t>
      </w:r>
      <w:r>
        <w:rPr>
          <w:spacing w:val="-8"/>
          <w:sz w:val="20"/>
        </w:rPr>
        <w:t xml:space="preserve"> </w:t>
      </w:r>
      <w:r>
        <w:rPr>
          <w:sz w:val="20"/>
        </w:rPr>
        <w:t>de</w:t>
      </w:r>
      <w:r>
        <w:rPr>
          <w:spacing w:val="-9"/>
          <w:sz w:val="20"/>
        </w:rPr>
        <w:t xml:space="preserve"> </w:t>
      </w:r>
      <w:r>
        <w:rPr>
          <w:sz w:val="20"/>
        </w:rPr>
        <w:t>la</w:t>
      </w:r>
      <w:r>
        <w:rPr>
          <w:spacing w:val="-3"/>
          <w:sz w:val="20"/>
        </w:rPr>
        <w:t xml:space="preserve"> </w:t>
      </w:r>
      <w:r>
        <w:rPr>
          <w:sz w:val="20"/>
        </w:rPr>
        <w:t>OEA</w:t>
      </w:r>
      <w:r>
        <w:rPr>
          <w:spacing w:val="-6"/>
          <w:sz w:val="20"/>
        </w:rPr>
        <w:t xml:space="preserve"> </w:t>
      </w:r>
      <w:r>
        <w:rPr>
          <w:sz w:val="20"/>
        </w:rPr>
        <w:t>y</w:t>
      </w:r>
      <w:r>
        <w:rPr>
          <w:spacing w:val="-8"/>
          <w:sz w:val="20"/>
        </w:rPr>
        <w:t xml:space="preserve"> </w:t>
      </w:r>
      <w:r>
        <w:rPr>
          <w:sz w:val="20"/>
        </w:rPr>
        <w:t>a</w:t>
      </w:r>
      <w:r>
        <w:rPr>
          <w:spacing w:val="-5"/>
          <w:sz w:val="20"/>
        </w:rPr>
        <w:t xml:space="preserve"> </w:t>
      </w:r>
      <w:r>
        <w:rPr>
          <w:sz w:val="20"/>
        </w:rPr>
        <w:t>la</w:t>
      </w:r>
      <w:r>
        <w:rPr>
          <w:spacing w:val="-5"/>
          <w:sz w:val="20"/>
        </w:rPr>
        <w:t xml:space="preserve"> </w:t>
      </w:r>
      <w:r>
        <w:rPr>
          <w:sz w:val="20"/>
        </w:rPr>
        <w:t>Declaración Americana. Así, en el Sistema Interamericano, el artículo 7 del Protocolo Ad</w:t>
      </w:r>
      <w:r>
        <w:rPr>
          <w:sz w:val="20"/>
        </w:rPr>
        <w:t>icional a la Convención Americana sobre Derechos Humanos en materia de Derechos Económicos, Sociales y Culturales “Protocolo de San Salvador” (en adelante “Protocolo de San Salvador”)</w:t>
      </w:r>
      <w:hyperlink w:anchor="_bookmark279" w:history="1">
        <w:r>
          <w:rPr>
            <w:position w:val="7"/>
            <w:sz w:val="13"/>
          </w:rPr>
          <w:t>233</w:t>
        </w:r>
      </w:hyperlink>
      <w:r>
        <w:rPr>
          <w:position w:val="7"/>
          <w:sz w:val="13"/>
        </w:rPr>
        <w:t xml:space="preserve"> </w:t>
      </w:r>
      <w:r>
        <w:rPr>
          <w:sz w:val="20"/>
        </w:rPr>
        <w:t>establece que “[l]os Estados partes e</w:t>
      </w:r>
      <w:r>
        <w:rPr>
          <w:sz w:val="20"/>
        </w:rPr>
        <w:t>n el presente Protocolo reconocen que el derecho al trabajo al que se refiere el artículo anterior supone que toda persona goce del mismo en condiciones justas, equitativas y satisfactorias, para lo cual dichos Estados garantizarán</w:t>
      </w:r>
      <w:r>
        <w:rPr>
          <w:spacing w:val="-14"/>
          <w:sz w:val="20"/>
        </w:rPr>
        <w:t xml:space="preserve"> </w:t>
      </w:r>
      <w:r>
        <w:rPr>
          <w:sz w:val="20"/>
        </w:rPr>
        <w:t>en</w:t>
      </w:r>
      <w:r>
        <w:rPr>
          <w:spacing w:val="-13"/>
          <w:sz w:val="20"/>
        </w:rPr>
        <w:t xml:space="preserve"> </w:t>
      </w:r>
      <w:r>
        <w:rPr>
          <w:sz w:val="20"/>
        </w:rPr>
        <w:t>sus</w:t>
      </w:r>
      <w:r>
        <w:rPr>
          <w:spacing w:val="-14"/>
          <w:sz w:val="20"/>
        </w:rPr>
        <w:t xml:space="preserve"> </w:t>
      </w:r>
      <w:r>
        <w:rPr>
          <w:sz w:val="20"/>
        </w:rPr>
        <w:t>legislaciones</w:t>
      </w:r>
      <w:r>
        <w:rPr>
          <w:spacing w:val="-14"/>
          <w:sz w:val="20"/>
        </w:rPr>
        <w:t xml:space="preserve"> </w:t>
      </w:r>
      <w:r>
        <w:rPr>
          <w:sz w:val="20"/>
        </w:rPr>
        <w:t>nac</w:t>
      </w:r>
      <w:r>
        <w:rPr>
          <w:sz w:val="20"/>
        </w:rPr>
        <w:t>ionales,</w:t>
      </w:r>
      <w:r>
        <w:rPr>
          <w:spacing w:val="-15"/>
          <w:sz w:val="20"/>
        </w:rPr>
        <w:t xml:space="preserve"> </w:t>
      </w:r>
      <w:r>
        <w:rPr>
          <w:sz w:val="20"/>
        </w:rPr>
        <w:t>de</w:t>
      </w:r>
      <w:r>
        <w:rPr>
          <w:spacing w:val="-12"/>
          <w:sz w:val="20"/>
        </w:rPr>
        <w:t xml:space="preserve"> </w:t>
      </w:r>
      <w:r>
        <w:rPr>
          <w:sz w:val="20"/>
        </w:rPr>
        <w:t>manera</w:t>
      </w:r>
      <w:r>
        <w:rPr>
          <w:spacing w:val="-13"/>
          <w:sz w:val="20"/>
        </w:rPr>
        <w:t xml:space="preserve"> </w:t>
      </w:r>
      <w:r>
        <w:rPr>
          <w:sz w:val="20"/>
        </w:rPr>
        <w:t>particular:</w:t>
      </w:r>
      <w:r>
        <w:rPr>
          <w:spacing w:val="-14"/>
          <w:sz w:val="20"/>
        </w:rPr>
        <w:t xml:space="preserve"> </w:t>
      </w:r>
      <w:r>
        <w:rPr>
          <w:sz w:val="20"/>
        </w:rPr>
        <w:t>[…]</w:t>
      </w:r>
      <w:r>
        <w:rPr>
          <w:spacing w:val="-13"/>
          <w:sz w:val="20"/>
        </w:rPr>
        <w:t xml:space="preserve"> </w:t>
      </w:r>
      <w:r>
        <w:rPr>
          <w:sz w:val="20"/>
        </w:rPr>
        <w:t>la</w:t>
      </w:r>
      <w:r>
        <w:rPr>
          <w:spacing w:val="-13"/>
          <w:sz w:val="20"/>
        </w:rPr>
        <w:t xml:space="preserve"> </w:t>
      </w:r>
      <w:r>
        <w:rPr>
          <w:sz w:val="20"/>
        </w:rPr>
        <w:t>seguridad</w:t>
      </w:r>
      <w:r>
        <w:rPr>
          <w:spacing w:val="-11"/>
          <w:sz w:val="20"/>
        </w:rPr>
        <w:t xml:space="preserve"> </w:t>
      </w:r>
      <w:r>
        <w:rPr>
          <w:sz w:val="20"/>
        </w:rPr>
        <w:t>e</w:t>
      </w:r>
      <w:r>
        <w:rPr>
          <w:spacing w:val="-16"/>
          <w:sz w:val="20"/>
        </w:rPr>
        <w:t xml:space="preserve"> </w:t>
      </w:r>
      <w:r>
        <w:rPr>
          <w:sz w:val="20"/>
        </w:rPr>
        <w:t>higiene en el</w:t>
      </w:r>
      <w:r>
        <w:rPr>
          <w:spacing w:val="-2"/>
          <w:sz w:val="20"/>
        </w:rPr>
        <w:t xml:space="preserve"> </w:t>
      </w:r>
      <w:r>
        <w:rPr>
          <w:sz w:val="20"/>
        </w:rPr>
        <w:t>trabajo”.</w:t>
      </w:r>
    </w:p>
    <w:p w14:paraId="7FCEE87A" w14:textId="77777777" w:rsidR="00467FCA" w:rsidRDefault="00467FCA">
      <w:pPr>
        <w:pStyle w:val="Textoindependiente"/>
      </w:pPr>
    </w:p>
    <w:p w14:paraId="3FB97F37" w14:textId="77777777" w:rsidR="00467FCA" w:rsidRDefault="001B68EB">
      <w:pPr>
        <w:pStyle w:val="Prrafodelista"/>
        <w:numPr>
          <w:ilvl w:val="0"/>
          <w:numId w:val="50"/>
        </w:numPr>
        <w:tabs>
          <w:tab w:val="left" w:pos="687"/>
        </w:tabs>
        <w:ind w:right="117" w:firstLine="0"/>
        <w:jc w:val="both"/>
        <w:rPr>
          <w:sz w:val="20"/>
        </w:rPr>
      </w:pPr>
      <w:r>
        <w:rPr>
          <w:sz w:val="20"/>
        </w:rPr>
        <w:t xml:space="preserve">En el ámbito universal, la Declaración Universal de Derechos Humanos establece que “[t]oda persona tiene derecho a […] condiciones equitativas y satisfactorias de trabajo” </w:t>
      </w:r>
      <w:hyperlink w:anchor="_bookmark280" w:history="1">
        <w:r>
          <w:rPr>
            <w:position w:val="7"/>
            <w:sz w:val="13"/>
          </w:rPr>
          <w:t>234</w:t>
        </w:r>
      </w:hyperlink>
      <w:r>
        <w:rPr>
          <w:sz w:val="20"/>
        </w:rPr>
        <w:t>. Por su parte, el Pacto Internacional de Derecho</w:t>
      </w:r>
      <w:r>
        <w:rPr>
          <w:sz w:val="20"/>
        </w:rPr>
        <w:t>s Económicos, Sociales y Culturales</w:t>
      </w:r>
      <w:r>
        <w:rPr>
          <w:spacing w:val="-40"/>
          <w:sz w:val="20"/>
        </w:rPr>
        <w:t xml:space="preserve"> </w:t>
      </w:r>
      <w:r>
        <w:rPr>
          <w:sz w:val="20"/>
        </w:rPr>
        <w:t>establece que “[l]os Estados Partes en el presente Pacto reconocen el derecho de toda persona al</w:t>
      </w:r>
      <w:r>
        <w:rPr>
          <w:spacing w:val="-45"/>
          <w:sz w:val="20"/>
        </w:rPr>
        <w:t xml:space="preserve"> </w:t>
      </w:r>
      <w:r>
        <w:rPr>
          <w:sz w:val="20"/>
        </w:rPr>
        <w:t>goce de condiciones de trabajo equitativas y satisfactorias que le aseguren en especial: […] b) La seguridad y la higiene e</w:t>
      </w:r>
      <w:r>
        <w:rPr>
          <w:sz w:val="20"/>
        </w:rPr>
        <w:t>n el</w:t>
      </w:r>
      <w:r>
        <w:rPr>
          <w:spacing w:val="-2"/>
          <w:sz w:val="20"/>
        </w:rPr>
        <w:t xml:space="preserve"> </w:t>
      </w:r>
      <w:r>
        <w:rPr>
          <w:sz w:val="20"/>
        </w:rPr>
        <w:t>trabajo”</w:t>
      </w:r>
      <w:hyperlink w:anchor="_bookmark281" w:history="1">
        <w:r>
          <w:rPr>
            <w:position w:val="7"/>
            <w:sz w:val="13"/>
          </w:rPr>
          <w:t>235</w:t>
        </w:r>
      </w:hyperlink>
      <w:r>
        <w:rPr>
          <w:sz w:val="20"/>
        </w:rPr>
        <w:t>.</w:t>
      </w:r>
    </w:p>
    <w:p w14:paraId="4A52343A" w14:textId="77777777" w:rsidR="00467FCA" w:rsidRDefault="00467FCA">
      <w:pPr>
        <w:pStyle w:val="Textoindependiente"/>
      </w:pPr>
    </w:p>
    <w:p w14:paraId="4EAA6757" w14:textId="77777777" w:rsidR="00467FCA" w:rsidRDefault="001B68EB">
      <w:pPr>
        <w:pStyle w:val="Prrafodelista"/>
        <w:numPr>
          <w:ilvl w:val="0"/>
          <w:numId w:val="50"/>
        </w:numPr>
        <w:tabs>
          <w:tab w:val="left" w:pos="687"/>
        </w:tabs>
        <w:ind w:right="116" w:firstLine="0"/>
        <w:jc w:val="both"/>
        <w:rPr>
          <w:sz w:val="20"/>
        </w:rPr>
      </w:pPr>
      <w:r>
        <w:rPr>
          <w:sz w:val="20"/>
        </w:rPr>
        <w:t xml:space="preserve">En similar sentido, el artículo 11.1 de la Convención sobre la Eliminación de todas las Formas de Discriminación contra la Mujer establece que los Estados adoptarán las medidas apropiadas para eliminar la discriminación contra las mujeres en el trabajo, e </w:t>
      </w:r>
      <w:r>
        <w:rPr>
          <w:sz w:val="20"/>
        </w:rPr>
        <w:t>incluye dentro de este tipo de medidas “el derecho a la protección de la salud y a la seguridad en las condiciones de trabajo, incluso la salvaguardia de la función de</w:t>
      </w:r>
      <w:r>
        <w:rPr>
          <w:spacing w:val="-9"/>
          <w:sz w:val="20"/>
        </w:rPr>
        <w:t xml:space="preserve"> </w:t>
      </w:r>
      <w:r>
        <w:rPr>
          <w:sz w:val="20"/>
        </w:rPr>
        <w:t>reproducción”</w:t>
      </w:r>
      <w:hyperlink w:anchor="_bookmark282" w:history="1">
        <w:r>
          <w:rPr>
            <w:position w:val="7"/>
            <w:sz w:val="13"/>
          </w:rPr>
          <w:t>236</w:t>
        </w:r>
      </w:hyperlink>
      <w:r>
        <w:rPr>
          <w:sz w:val="20"/>
        </w:rPr>
        <w:t>.</w:t>
      </w:r>
    </w:p>
    <w:p w14:paraId="7A4B5F60" w14:textId="77777777" w:rsidR="00467FCA" w:rsidRDefault="00467FCA">
      <w:pPr>
        <w:pStyle w:val="Textoindependiente"/>
        <w:spacing w:before="11"/>
        <w:rPr>
          <w:sz w:val="19"/>
        </w:rPr>
      </w:pPr>
    </w:p>
    <w:p w14:paraId="3896DFDC" w14:textId="77777777" w:rsidR="00467FCA" w:rsidRDefault="001B68EB">
      <w:pPr>
        <w:pStyle w:val="Prrafodelista"/>
        <w:numPr>
          <w:ilvl w:val="0"/>
          <w:numId w:val="50"/>
        </w:numPr>
        <w:tabs>
          <w:tab w:val="left" w:pos="687"/>
        </w:tabs>
        <w:ind w:right="117" w:firstLine="0"/>
        <w:jc w:val="both"/>
        <w:rPr>
          <w:sz w:val="20"/>
        </w:rPr>
      </w:pPr>
      <w:r>
        <w:rPr>
          <w:sz w:val="20"/>
        </w:rPr>
        <w:t>En el ámbito de la Organización Inter</w:t>
      </w:r>
      <w:r>
        <w:rPr>
          <w:sz w:val="20"/>
        </w:rPr>
        <w:t>nacional del Trabajo (en adelante “OIT”), su Constitución señala que “es urgente mejorar [las] condiciones [de trabajo], por ejemplo, en lo concerniente a […] protección del trabajador contra las enfermedades, sean o no profesionales,</w:t>
      </w:r>
      <w:r>
        <w:rPr>
          <w:spacing w:val="-13"/>
          <w:sz w:val="20"/>
        </w:rPr>
        <w:t xml:space="preserve"> </w:t>
      </w:r>
      <w:r>
        <w:rPr>
          <w:sz w:val="20"/>
        </w:rPr>
        <w:t>y</w:t>
      </w:r>
      <w:r>
        <w:rPr>
          <w:spacing w:val="-11"/>
          <w:sz w:val="20"/>
        </w:rPr>
        <w:t xml:space="preserve"> </w:t>
      </w:r>
      <w:r>
        <w:rPr>
          <w:sz w:val="20"/>
        </w:rPr>
        <w:t>contra</w:t>
      </w:r>
      <w:r>
        <w:rPr>
          <w:spacing w:val="-11"/>
          <w:sz w:val="20"/>
        </w:rPr>
        <w:t xml:space="preserve"> </w:t>
      </w:r>
      <w:r>
        <w:rPr>
          <w:sz w:val="20"/>
        </w:rPr>
        <w:t>los</w:t>
      </w:r>
      <w:r>
        <w:rPr>
          <w:spacing w:val="-13"/>
          <w:sz w:val="20"/>
        </w:rPr>
        <w:t xml:space="preserve"> </w:t>
      </w:r>
      <w:r>
        <w:rPr>
          <w:sz w:val="20"/>
        </w:rPr>
        <w:t>accident</w:t>
      </w:r>
      <w:r>
        <w:rPr>
          <w:sz w:val="20"/>
        </w:rPr>
        <w:t>es</w:t>
      </w:r>
      <w:r>
        <w:rPr>
          <w:spacing w:val="-12"/>
          <w:sz w:val="20"/>
        </w:rPr>
        <w:t xml:space="preserve"> </w:t>
      </w:r>
      <w:r>
        <w:rPr>
          <w:sz w:val="20"/>
        </w:rPr>
        <w:t>del</w:t>
      </w:r>
      <w:r>
        <w:rPr>
          <w:spacing w:val="-12"/>
          <w:sz w:val="20"/>
        </w:rPr>
        <w:t xml:space="preserve"> </w:t>
      </w:r>
      <w:r>
        <w:rPr>
          <w:sz w:val="20"/>
        </w:rPr>
        <w:t>trabajo,</w:t>
      </w:r>
      <w:r>
        <w:rPr>
          <w:spacing w:val="-12"/>
          <w:sz w:val="20"/>
        </w:rPr>
        <w:t xml:space="preserve"> </w:t>
      </w:r>
      <w:r>
        <w:rPr>
          <w:sz w:val="20"/>
        </w:rPr>
        <w:t>protección</w:t>
      </w:r>
      <w:r>
        <w:rPr>
          <w:spacing w:val="-12"/>
          <w:sz w:val="20"/>
        </w:rPr>
        <w:t xml:space="preserve"> </w:t>
      </w:r>
      <w:r>
        <w:rPr>
          <w:sz w:val="20"/>
        </w:rPr>
        <w:t>de</w:t>
      </w:r>
      <w:r>
        <w:rPr>
          <w:spacing w:val="-14"/>
          <w:sz w:val="20"/>
        </w:rPr>
        <w:t xml:space="preserve"> </w:t>
      </w:r>
      <w:r>
        <w:rPr>
          <w:sz w:val="20"/>
        </w:rPr>
        <w:t>los</w:t>
      </w:r>
      <w:r>
        <w:rPr>
          <w:spacing w:val="-12"/>
          <w:sz w:val="20"/>
        </w:rPr>
        <w:t xml:space="preserve"> </w:t>
      </w:r>
      <w:r>
        <w:rPr>
          <w:sz w:val="20"/>
        </w:rPr>
        <w:t>niños,</w:t>
      </w:r>
      <w:r>
        <w:rPr>
          <w:spacing w:val="-13"/>
          <w:sz w:val="20"/>
        </w:rPr>
        <w:t xml:space="preserve"> </w:t>
      </w:r>
      <w:r>
        <w:rPr>
          <w:sz w:val="20"/>
        </w:rPr>
        <w:t>de</w:t>
      </w:r>
      <w:r>
        <w:rPr>
          <w:spacing w:val="-13"/>
          <w:sz w:val="20"/>
        </w:rPr>
        <w:t xml:space="preserve"> </w:t>
      </w:r>
      <w:r>
        <w:rPr>
          <w:sz w:val="20"/>
        </w:rPr>
        <w:t>los</w:t>
      </w:r>
      <w:r>
        <w:rPr>
          <w:spacing w:val="-13"/>
          <w:sz w:val="20"/>
        </w:rPr>
        <w:t xml:space="preserve"> </w:t>
      </w:r>
      <w:r>
        <w:rPr>
          <w:sz w:val="20"/>
        </w:rPr>
        <w:t>adolescentes</w:t>
      </w:r>
    </w:p>
    <w:p w14:paraId="0F16C9AD" w14:textId="77777777" w:rsidR="00467FCA" w:rsidRDefault="001B68EB">
      <w:pPr>
        <w:pStyle w:val="Textoindependiente"/>
        <w:spacing w:before="3"/>
        <w:rPr>
          <w:sz w:val="12"/>
        </w:rPr>
      </w:pPr>
      <w:r>
        <w:pict w14:anchorId="356E6DC9">
          <v:shape id="_x0000_s1153" style="position:absolute;margin-left:1in;margin-top:9.75pt;width:2in;height:.1pt;z-index:-251614208;mso-wrap-distance-left:0;mso-wrap-distance-right:0;mso-position-horizontal-relative:page" coordorigin="1440,195" coordsize="2880,0" path="m1440,195r2880,e" filled="f" strokeweight=".6pt">
            <v:path arrowok="t"/>
            <w10:wrap type="topAndBottom" anchorx="page"/>
          </v:shape>
        </w:pict>
      </w:r>
    </w:p>
    <w:p w14:paraId="7843A1A6" w14:textId="77777777" w:rsidR="00467FCA" w:rsidRDefault="001B68EB">
      <w:pPr>
        <w:tabs>
          <w:tab w:val="left" w:pos="839"/>
        </w:tabs>
        <w:spacing w:before="74"/>
        <w:ind w:left="120"/>
        <w:rPr>
          <w:sz w:val="16"/>
        </w:rPr>
      </w:pPr>
      <w:bookmarkStart w:id="324" w:name="_bookmark279"/>
      <w:bookmarkEnd w:id="324"/>
      <w:r>
        <w:rPr>
          <w:position w:val="6"/>
          <w:sz w:val="10"/>
        </w:rPr>
        <w:t>233</w:t>
      </w:r>
      <w:r>
        <w:rPr>
          <w:position w:val="6"/>
          <w:sz w:val="10"/>
        </w:rPr>
        <w:tab/>
      </w:r>
      <w:r>
        <w:rPr>
          <w:sz w:val="16"/>
        </w:rPr>
        <w:t>Brasil adhirió al Protocolo de San Salvador el 21 de agosto de</w:t>
      </w:r>
      <w:r>
        <w:rPr>
          <w:spacing w:val="-13"/>
          <w:sz w:val="16"/>
        </w:rPr>
        <w:t xml:space="preserve"> </w:t>
      </w:r>
      <w:r>
        <w:rPr>
          <w:sz w:val="16"/>
        </w:rPr>
        <w:t>1996.</w:t>
      </w:r>
    </w:p>
    <w:p w14:paraId="559D5929" w14:textId="77777777" w:rsidR="00467FCA" w:rsidRDefault="001B68EB">
      <w:pPr>
        <w:tabs>
          <w:tab w:val="left" w:pos="839"/>
        </w:tabs>
        <w:ind w:left="120"/>
        <w:rPr>
          <w:sz w:val="16"/>
        </w:rPr>
      </w:pPr>
      <w:bookmarkStart w:id="325" w:name="_bookmark280"/>
      <w:bookmarkEnd w:id="325"/>
      <w:r>
        <w:rPr>
          <w:position w:val="6"/>
          <w:sz w:val="10"/>
        </w:rPr>
        <w:t>234</w:t>
      </w:r>
      <w:r>
        <w:rPr>
          <w:position w:val="6"/>
          <w:sz w:val="10"/>
        </w:rPr>
        <w:tab/>
      </w:r>
      <w:bookmarkStart w:id="326" w:name="_bookmark281"/>
      <w:bookmarkEnd w:id="326"/>
      <w:r>
        <w:rPr>
          <w:sz w:val="16"/>
        </w:rPr>
        <w:t>Declaración Universal de Derechos Humanos, artículo</w:t>
      </w:r>
      <w:r>
        <w:rPr>
          <w:spacing w:val="-2"/>
          <w:sz w:val="16"/>
        </w:rPr>
        <w:t xml:space="preserve"> </w:t>
      </w:r>
      <w:r>
        <w:rPr>
          <w:sz w:val="16"/>
        </w:rPr>
        <w:t>23.</w:t>
      </w:r>
    </w:p>
    <w:p w14:paraId="10725D7A" w14:textId="77777777" w:rsidR="00467FCA" w:rsidRDefault="001B68EB">
      <w:pPr>
        <w:tabs>
          <w:tab w:val="left" w:pos="839"/>
        </w:tabs>
        <w:ind w:left="119" w:right="115"/>
        <w:rPr>
          <w:sz w:val="16"/>
        </w:rPr>
      </w:pPr>
      <w:r>
        <w:rPr>
          <w:position w:val="6"/>
          <w:sz w:val="10"/>
        </w:rPr>
        <w:t>235</w:t>
      </w:r>
      <w:r>
        <w:rPr>
          <w:position w:val="6"/>
          <w:sz w:val="10"/>
        </w:rPr>
        <w:tab/>
      </w:r>
      <w:r>
        <w:rPr>
          <w:sz w:val="16"/>
        </w:rPr>
        <w:t>Pacto</w:t>
      </w:r>
      <w:r>
        <w:rPr>
          <w:spacing w:val="-3"/>
          <w:sz w:val="16"/>
        </w:rPr>
        <w:t xml:space="preserve"> </w:t>
      </w:r>
      <w:r>
        <w:rPr>
          <w:sz w:val="16"/>
        </w:rPr>
        <w:t>Internacional</w:t>
      </w:r>
      <w:r>
        <w:rPr>
          <w:spacing w:val="-5"/>
          <w:sz w:val="16"/>
        </w:rPr>
        <w:t xml:space="preserve"> </w:t>
      </w:r>
      <w:r>
        <w:rPr>
          <w:sz w:val="16"/>
        </w:rPr>
        <w:t>de</w:t>
      </w:r>
      <w:r>
        <w:rPr>
          <w:spacing w:val="-6"/>
          <w:sz w:val="16"/>
        </w:rPr>
        <w:t xml:space="preserve"> </w:t>
      </w:r>
      <w:r>
        <w:rPr>
          <w:sz w:val="16"/>
        </w:rPr>
        <w:t>Derechos</w:t>
      </w:r>
      <w:r>
        <w:rPr>
          <w:spacing w:val="-3"/>
          <w:sz w:val="16"/>
        </w:rPr>
        <w:t xml:space="preserve"> </w:t>
      </w:r>
      <w:r>
        <w:rPr>
          <w:sz w:val="16"/>
        </w:rPr>
        <w:t>Económicos,</w:t>
      </w:r>
      <w:r>
        <w:rPr>
          <w:spacing w:val="-4"/>
          <w:sz w:val="16"/>
        </w:rPr>
        <w:t xml:space="preserve"> </w:t>
      </w:r>
      <w:r>
        <w:rPr>
          <w:sz w:val="16"/>
        </w:rPr>
        <w:t>Sociales</w:t>
      </w:r>
      <w:r>
        <w:rPr>
          <w:spacing w:val="-6"/>
          <w:sz w:val="16"/>
        </w:rPr>
        <w:t xml:space="preserve"> </w:t>
      </w:r>
      <w:r>
        <w:rPr>
          <w:sz w:val="16"/>
        </w:rPr>
        <w:t>y</w:t>
      </w:r>
      <w:r>
        <w:rPr>
          <w:spacing w:val="-2"/>
          <w:sz w:val="16"/>
        </w:rPr>
        <w:t xml:space="preserve"> </w:t>
      </w:r>
      <w:r>
        <w:rPr>
          <w:sz w:val="16"/>
        </w:rPr>
        <w:t>Culturales</w:t>
      </w:r>
      <w:r>
        <w:rPr>
          <w:spacing w:val="-3"/>
          <w:sz w:val="16"/>
        </w:rPr>
        <w:t xml:space="preserve"> </w:t>
      </w:r>
      <w:r>
        <w:rPr>
          <w:sz w:val="16"/>
        </w:rPr>
        <w:t>(PIDESC),</w:t>
      </w:r>
      <w:r>
        <w:rPr>
          <w:spacing w:val="-4"/>
          <w:sz w:val="16"/>
        </w:rPr>
        <w:t xml:space="preserve"> </w:t>
      </w:r>
      <w:r>
        <w:rPr>
          <w:sz w:val="16"/>
        </w:rPr>
        <w:t>artículo</w:t>
      </w:r>
      <w:r>
        <w:rPr>
          <w:spacing w:val="-5"/>
          <w:sz w:val="16"/>
        </w:rPr>
        <w:t xml:space="preserve"> </w:t>
      </w:r>
      <w:r>
        <w:rPr>
          <w:sz w:val="16"/>
        </w:rPr>
        <w:t>7.b).</w:t>
      </w:r>
      <w:r>
        <w:rPr>
          <w:spacing w:val="-5"/>
          <w:sz w:val="16"/>
        </w:rPr>
        <w:t xml:space="preserve"> </w:t>
      </w:r>
      <w:r>
        <w:rPr>
          <w:sz w:val="16"/>
        </w:rPr>
        <w:t>Brasil</w:t>
      </w:r>
      <w:r>
        <w:rPr>
          <w:spacing w:val="-5"/>
          <w:sz w:val="16"/>
        </w:rPr>
        <w:t xml:space="preserve"> </w:t>
      </w:r>
      <w:r>
        <w:rPr>
          <w:sz w:val="16"/>
        </w:rPr>
        <w:t>adhirió</w:t>
      </w:r>
      <w:r>
        <w:rPr>
          <w:spacing w:val="-2"/>
          <w:sz w:val="16"/>
        </w:rPr>
        <w:t xml:space="preserve"> </w:t>
      </w:r>
      <w:r>
        <w:rPr>
          <w:sz w:val="16"/>
        </w:rPr>
        <w:t>al PIDESC el 24 de enero de</w:t>
      </w:r>
      <w:r>
        <w:rPr>
          <w:spacing w:val="-7"/>
          <w:sz w:val="16"/>
        </w:rPr>
        <w:t xml:space="preserve"> </w:t>
      </w:r>
      <w:r>
        <w:rPr>
          <w:sz w:val="16"/>
        </w:rPr>
        <w:t>1992.</w:t>
      </w:r>
    </w:p>
    <w:p w14:paraId="0E78D429" w14:textId="77777777" w:rsidR="00467FCA" w:rsidRDefault="001B68EB">
      <w:pPr>
        <w:tabs>
          <w:tab w:val="left" w:pos="839"/>
        </w:tabs>
        <w:ind w:left="120" w:right="129" w:hanging="1"/>
        <w:rPr>
          <w:sz w:val="16"/>
        </w:rPr>
      </w:pPr>
      <w:bookmarkStart w:id="327" w:name="_bookmark282"/>
      <w:bookmarkEnd w:id="327"/>
      <w:r>
        <w:rPr>
          <w:position w:val="6"/>
          <w:sz w:val="10"/>
        </w:rPr>
        <w:t>236</w:t>
      </w:r>
      <w:r>
        <w:rPr>
          <w:position w:val="6"/>
          <w:sz w:val="10"/>
        </w:rPr>
        <w:tab/>
      </w:r>
      <w:r>
        <w:rPr>
          <w:sz w:val="16"/>
        </w:rPr>
        <w:t>Convención sobre la Eliminación de todas las Formas de Discriminación contra la Mujer (CEDAW), artículo 11.1.f.</w:t>
      </w:r>
    </w:p>
    <w:p w14:paraId="4C6FDD45" w14:textId="77777777" w:rsidR="00467FCA" w:rsidRDefault="00467FCA">
      <w:pPr>
        <w:rPr>
          <w:sz w:val="16"/>
        </w:rPr>
        <w:sectPr w:rsidR="00467FCA">
          <w:pgSz w:w="12240" w:h="15840"/>
          <w:pgMar w:top="1360" w:right="1320" w:bottom="1220" w:left="1320" w:header="0" w:footer="1037" w:gutter="0"/>
          <w:cols w:space="720"/>
        </w:sectPr>
      </w:pPr>
    </w:p>
    <w:p w14:paraId="7A8878A1" w14:textId="77777777" w:rsidR="00467FCA" w:rsidRDefault="001B68EB">
      <w:pPr>
        <w:pStyle w:val="Textoindependiente"/>
        <w:spacing w:before="80"/>
        <w:ind w:left="119" w:right="116"/>
        <w:jc w:val="both"/>
      </w:pPr>
      <w:r>
        <w:t>y de las mujeres”</w:t>
      </w:r>
      <w:hyperlink w:anchor="_bookmark283" w:history="1">
        <w:r>
          <w:rPr>
            <w:position w:val="7"/>
            <w:sz w:val="13"/>
          </w:rPr>
          <w:t>237</w:t>
        </w:r>
      </w:hyperlink>
      <w:r>
        <w:t>. Por su parte, el Convenio No. 81 de 1947 de la OIT sobre la inspección del trabajo</w:t>
      </w:r>
      <w:hyperlink w:anchor="_bookmark284" w:history="1">
        <w:r>
          <w:rPr>
            <w:position w:val="7"/>
            <w:sz w:val="13"/>
          </w:rPr>
          <w:t>238</w:t>
        </w:r>
      </w:hyperlink>
      <w:r>
        <w:t>, dispone que los Estados parte deben “mantener un sistema de inspección del trabajo en los establecimientos indust</w:t>
      </w:r>
      <w:r>
        <w:t>riales”</w:t>
      </w:r>
      <w:hyperlink w:anchor="_bookmark285" w:history="1">
        <w:r>
          <w:rPr>
            <w:position w:val="7"/>
            <w:sz w:val="13"/>
          </w:rPr>
          <w:t>239</w:t>
        </w:r>
      </w:hyperlink>
      <w:r>
        <w:t>, que dicho sistema “se aplicará a todos los establecimientos</w:t>
      </w:r>
      <w:r>
        <w:rPr>
          <w:spacing w:val="-9"/>
        </w:rPr>
        <w:t xml:space="preserve"> </w:t>
      </w:r>
      <w:r>
        <w:t>a</w:t>
      </w:r>
      <w:r>
        <w:rPr>
          <w:spacing w:val="-6"/>
        </w:rPr>
        <w:t xml:space="preserve"> </w:t>
      </w:r>
      <w:r>
        <w:t>cuyo</w:t>
      </w:r>
      <w:r>
        <w:rPr>
          <w:spacing w:val="-8"/>
        </w:rPr>
        <w:t xml:space="preserve"> </w:t>
      </w:r>
      <w:r>
        <w:t>respecto</w:t>
      </w:r>
      <w:r>
        <w:rPr>
          <w:spacing w:val="-10"/>
        </w:rPr>
        <w:t xml:space="preserve"> </w:t>
      </w:r>
      <w:r>
        <w:t>los</w:t>
      </w:r>
      <w:r>
        <w:rPr>
          <w:spacing w:val="-10"/>
        </w:rPr>
        <w:t xml:space="preserve"> </w:t>
      </w:r>
      <w:r>
        <w:t>inspectores</w:t>
      </w:r>
      <w:r>
        <w:rPr>
          <w:spacing w:val="-9"/>
        </w:rPr>
        <w:t xml:space="preserve"> </w:t>
      </w:r>
      <w:r>
        <w:t>del</w:t>
      </w:r>
      <w:r>
        <w:rPr>
          <w:spacing w:val="-8"/>
        </w:rPr>
        <w:t xml:space="preserve"> </w:t>
      </w:r>
      <w:r>
        <w:t>trabajo</w:t>
      </w:r>
      <w:r>
        <w:rPr>
          <w:spacing w:val="-8"/>
        </w:rPr>
        <w:t xml:space="preserve"> </w:t>
      </w:r>
      <w:r>
        <w:t>estén</w:t>
      </w:r>
      <w:r>
        <w:rPr>
          <w:spacing w:val="-8"/>
        </w:rPr>
        <w:t xml:space="preserve"> </w:t>
      </w:r>
      <w:r>
        <w:t>encargados</w:t>
      </w:r>
      <w:r>
        <w:rPr>
          <w:spacing w:val="-7"/>
        </w:rPr>
        <w:t xml:space="preserve"> </w:t>
      </w:r>
      <w:r>
        <w:t>de</w:t>
      </w:r>
      <w:r>
        <w:rPr>
          <w:spacing w:val="-8"/>
        </w:rPr>
        <w:t xml:space="preserve"> </w:t>
      </w:r>
      <w:r>
        <w:t>velar</w:t>
      </w:r>
      <w:r>
        <w:rPr>
          <w:spacing w:val="-10"/>
        </w:rPr>
        <w:t xml:space="preserve"> </w:t>
      </w:r>
      <w:r>
        <w:t>por</w:t>
      </w:r>
      <w:r>
        <w:rPr>
          <w:spacing w:val="-6"/>
        </w:rPr>
        <w:t xml:space="preserve"> </w:t>
      </w:r>
      <w:r>
        <w:t>el cumplimiento de las disposiciones legales relativas a las condiciones de trabajo y a la protección</w:t>
      </w:r>
      <w:r>
        <w:rPr>
          <w:spacing w:val="-14"/>
        </w:rPr>
        <w:t xml:space="preserve"> </w:t>
      </w:r>
      <w:r>
        <w:t>de</w:t>
      </w:r>
      <w:r>
        <w:rPr>
          <w:spacing w:val="-15"/>
        </w:rPr>
        <w:t xml:space="preserve"> </w:t>
      </w:r>
      <w:r>
        <w:t>los</w:t>
      </w:r>
      <w:r>
        <w:rPr>
          <w:spacing w:val="-16"/>
        </w:rPr>
        <w:t xml:space="preserve"> </w:t>
      </w:r>
      <w:r>
        <w:t>trabajadores</w:t>
      </w:r>
      <w:r>
        <w:rPr>
          <w:spacing w:val="-12"/>
        </w:rPr>
        <w:t xml:space="preserve"> </w:t>
      </w:r>
      <w:r>
        <w:t>en</w:t>
      </w:r>
      <w:r>
        <w:rPr>
          <w:spacing w:val="-12"/>
        </w:rPr>
        <w:t xml:space="preserve"> </w:t>
      </w:r>
      <w:r>
        <w:t>el</w:t>
      </w:r>
      <w:r>
        <w:rPr>
          <w:spacing w:val="-11"/>
        </w:rPr>
        <w:t xml:space="preserve"> </w:t>
      </w:r>
      <w:r>
        <w:t>ejercicio</w:t>
      </w:r>
      <w:r>
        <w:rPr>
          <w:spacing w:val="-16"/>
        </w:rPr>
        <w:t xml:space="preserve"> </w:t>
      </w:r>
      <w:r>
        <w:t>de</w:t>
      </w:r>
      <w:r>
        <w:rPr>
          <w:spacing w:val="-13"/>
        </w:rPr>
        <w:t xml:space="preserve"> </w:t>
      </w:r>
      <w:r>
        <w:t>su</w:t>
      </w:r>
      <w:r>
        <w:rPr>
          <w:spacing w:val="-14"/>
        </w:rPr>
        <w:t xml:space="preserve"> </w:t>
      </w:r>
      <w:r>
        <w:t>profesión”</w:t>
      </w:r>
      <w:hyperlink w:anchor="_bookmark286" w:history="1">
        <w:r>
          <w:rPr>
            <w:position w:val="7"/>
            <w:sz w:val="13"/>
          </w:rPr>
          <w:t>240</w:t>
        </w:r>
      </w:hyperlink>
      <w:r>
        <w:t>,</w:t>
      </w:r>
      <w:r>
        <w:rPr>
          <w:spacing w:val="-15"/>
        </w:rPr>
        <w:t xml:space="preserve"> </w:t>
      </w:r>
      <w:r>
        <w:t>y</w:t>
      </w:r>
      <w:r>
        <w:rPr>
          <w:spacing w:val="-13"/>
        </w:rPr>
        <w:t xml:space="preserve"> </w:t>
      </w:r>
      <w:r>
        <w:t>estará</w:t>
      </w:r>
      <w:r>
        <w:rPr>
          <w:spacing w:val="-9"/>
        </w:rPr>
        <w:t xml:space="preserve"> </w:t>
      </w:r>
      <w:r>
        <w:t>encargado</w:t>
      </w:r>
      <w:r>
        <w:rPr>
          <w:spacing w:val="-16"/>
        </w:rPr>
        <w:t xml:space="preserve"> </w:t>
      </w:r>
      <w:r>
        <w:t>de</w:t>
      </w:r>
      <w:r>
        <w:rPr>
          <w:spacing w:val="-13"/>
        </w:rPr>
        <w:t xml:space="preserve"> </w:t>
      </w:r>
      <w:r>
        <w:t>“velar por el cumplimiento de las disposici</w:t>
      </w:r>
      <w:r>
        <w:t>ones legales relativas a las condiciones de trabajo y a la protección de los trabajadores en el ejercicio de su profesión, tales como las disposiciones sobre</w:t>
      </w:r>
      <w:r>
        <w:rPr>
          <w:spacing w:val="-10"/>
        </w:rPr>
        <w:t xml:space="preserve"> </w:t>
      </w:r>
      <w:r>
        <w:t>horas</w:t>
      </w:r>
      <w:r>
        <w:rPr>
          <w:spacing w:val="-9"/>
        </w:rPr>
        <w:t xml:space="preserve"> </w:t>
      </w:r>
      <w:r>
        <w:t>de</w:t>
      </w:r>
      <w:r>
        <w:rPr>
          <w:spacing w:val="-10"/>
        </w:rPr>
        <w:t xml:space="preserve"> </w:t>
      </w:r>
      <w:r>
        <w:t>trabajo,</w:t>
      </w:r>
      <w:r>
        <w:rPr>
          <w:spacing w:val="-6"/>
        </w:rPr>
        <w:t xml:space="preserve"> </w:t>
      </w:r>
      <w:r>
        <w:t>salarios,</w:t>
      </w:r>
      <w:r>
        <w:rPr>
          <w:spacing w:val="-9"/>
        </w:rPr>
        <w:t xml:space="preserve"> </w:t>
      </w:r>
      <w:r>
        <w:t>seguridad,</w:t>
      </w:r>
      <w:r>
        <w:rPr>
          <w:spacing w:val="-8"/>
        </w:rPr>
        <w:t xml:space="preserve"> </w:t>
      </w:r>
      <w:r>
        <w:t>higiene</w:t>
      </w:r>
      <w:r>
        <w:rPr>
          <w:spacing w:val="-9"/>
        </w:rPr>
        <w:t xml:space="preserve"> </w:t>
      </w:r>
      <w:r>
        <w:t>y</w:t>
      </w:r>
      <w:r>
        <w:rPr>
          <w:spacing w:val="-9"/>
        </w:rPr>
        <w:t xml:space="preserve"> </w:t>
      </w:r>
      <w:r>
        <w:t>bienestar,</w:t>
      </w:r>
      <w:r>
        <w:rPr>
          <w:spacing w:val="-6"/>
        </w:rPr>
        <w:t xml:space="preserve"> </w:t>
      </w:r>
      <w:r>
        <w:t>empleo</w:t>
      </w:r>
      <w:r>
        <w:rPr>
          <w:spacing w:val="-8"/>
        </w:rPr>
        <w:t xml:space="preserve"> </w:t>
      </w:r>
      <w:r>
        <w:t>de</w:t>
      </w:r>
      <w:r>
        <w:rPr>
          <w:spacing w:val="-9"/>
        </w:rPr>
        <w:t xml:space="preserve"> </w:t>
      </w:r>
      <w:r>
        <w:t>menores</w:t>
      </w:r>
      <w:r>
        <w:rPr>
          <w:spacing w:val="-10"/>
        </w:rPr>
        <w:t xml:space="preserve"> </w:t>
      </w:r>
      <w:r>
        <w:t>y</w:t>
      </w:r>
      <w:r>
        <w:rPr>
          <w:spacing w:val="-8"/>
        </w:rPr>
        <w:t xml:space="preserve"> </w:t>
      </w:r>
      <w:r>
        <w:t>demás disposicione</w:t>
      </w:r>
      <w:r>
        <w:t>s afines, en la medida en que los inspectores del trabajo estén encargados de velar por el cumplimiento de dichas</w:t>
      </w:r>
      <w:r>
        <w:rPr>
          <w:spacing w:val="-6"/>
        </w:rPr>
        <w:t xml:space="preserve"> </w:t>
      </w:r>
      <w:r>
        <w:t>disposiciones”</w:t>
      </w:r>
      <w:hyperlink w:anchor="_bookmark287" w:history="1">
        <w:r>
          <w:rPr>
            <w:position w:val="7"/>
            <w:sz w:val="13"/>
          </w:rPr>
          <w:t>241</w:t>
        </w:r>
      </w:hyperlink>
      <w:r>
        <w:t>.</w:t>
      </w:r>
    </w:p>
    <w:p w14:paraId="6088AD26" w14:textId="77777777" w:rsidR="00467FCA" w:rsidRDefault="00467FCA">
      <w:pPr>
        <w:pStyle w:val="Textoindependiente"/>
        <w:spacing w:before="11"/>
        <w:rPr>
          <w:sz w:val="19"/>
        </w:rPr>
      </w:pPr>
    </w:p>
    <w:p w14:paraId="766783F6"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Además, el Convenio No. 155 de 1981 de la OIT, sobre seguridad y salud de los trabajadores</w:t>
      </w:r>
      <w:hyperlink w:anchor="_bookmark288" w:history="1">
        <w:r>
          <w:rPr>
            <w:position w:val="7"/>
            <w:sz w:val="13"/>
          </w:rPr>
          <w:t>242</w:t>
        </w:r>
      </w:hyperlink>
      <w:r>
        <w:rPr>
          <w:sz w:val="20"/>
        </w:rPr>
        <w:t>, establece que los Estados deben “formular, poner en práctica y reexaminar periódicamente una política nacional coherente en mater</w:t>
      </w:r>
      <w:r>
        <w:rPr>
          <w:sz w:val="20"/>
        </w:rPr>
        <w:t>ia de seguridad y salud de los trabajadores y medio ambiente de trabajo”, cuyo objeto sea “prevenir los accidentes y los daños para la salud que sean consecuencia del trabajo, guarden relación con la actividad laboral o sobrevengan durante el trabajo”</w:t>
      </w:r>
      <w:hyperlink w:anchor="_bookmark289" w:history="1">
        <w:r>
          <w:rPr>
            <w:position w:val="7"/>
            <w:sz w:val="13"/>
          </w:rPr>
          <w:t>243</w:t>
        </w:r>
      </w:hyperlink>
      <w:r>
        <w:rPr>
          <w:sz w:val="20"/>
        </w:rPr>
        <w:t>. De acuerdo con los peritajes recibidos en esta Corte, esa política “debe identificar las actividades riesgosas para la salud y seguridad de los trabajadores, determinar aquellas operaciones, procesos, agentes o sustancias qu</w:t>
      </w:r>
      <w:r>
        <w:rPr>
          <w:sz w:val="20"/>
        </w:rPr>
        <w:t>e, por su riesgo, deban estar prohibidas, limitadas, sujetas a autorización o control de la autoridad competente, y establecer procedimientos para la declaración de accidentes de trabajo por parte de los empleadores, y la elaboración de</w:t>
      </w:r>
      <w:r>
        <w:rPr>
          <w:spacing w:val="-5"/>
          <w:sz w:val="20"/>
        </w:rPr>
        <w:t xml:space="preserve"> </w:t>
      </w:r>
      <w:r>
        <w:rPr>
          <w:sz w:val="20"/>
        </w:rPr>
        <w:t>estadísticas”</w:t>
      </w:r>
      <w:hyperlink w:anchor="_bookmark290" w:history="1">
        <w:r>
          <w:rPr>
            <w:position w:val="7"/>
            <w:sz w:val="13"/>
          </w:rPr>
          <w:t>244</w:t>
        </w:r>
      </w:hyperlink>
      <w:r>
        <w:rPr>
          <w:sz w:val="20"/>
        </w:rPr>
        <w:t>.</w:t>
      </w:r>
    </w:p>
    <w:p w14:paraId="7C3E698D" w14:textId="77777777" w:rsidR="00467FCA" w:rsidRDefault="00467FCA">
      <w:pPr>
        <w:pStyle w:val="Textoindependiente"/>
        <w:spacing w:before="1"/>
      </w:pPr>
    </w:p>
    <w:p w14:paraId="016449BA" w14:textId="77777777" w:rsidR="00467FCA" w:rsidRDefault="001B68EB">
      <w:pPr>
        <w:pStyle w:val="Prrafodelista"/>
        <w:numPr>
          <w:ilvl w:val="0"/>
          <w:numId w:val="50"/>
        </w:numPr>
        <w:tabs>
          <w:tab w:val="left" w:pos="687"/>
        </w:tabs>
        <w:ind w:left="119" w:right="119" w:firstLine="0"/>
        <w:jc w:val="both"/>
        <w:rPr>
          <w:sz w:val="20"/>
        </w:rPr>
      </w:pPr>
      <w:r>
        <w:rPr>
          <w:sz w:val="20"/>
        </w:rPr>
        <w:t>El Comité de Derechos Económicos, Sociales y Culturales también se ha referido al derecho a condiciones equitativas y satisfactorias de trabajo, tanto en relación con otros derechos, como de manera específica. Así, la Observación General No. 14, sobre el d</w:t>
      </w:r>
      <w:r>
        <w:rPr>
          <w:sz w:val="20"/>
        </w:rPr>
        <w:t>erecho al</w:t>
      </w:r>
      <w:r>
        <w:rPr>
          <w:spacing w:val="-17"/>
          <w:sz w:val="20"/>
        </w:rPr>
        <w:t xml:space="preserve"> </w:t>
      </w:r>
      <w:r>
        <w:rPr>
          <w:sz w:val="20"/>
        </w:rPr>
        <w:t>disfrute</w:t>
      </w:r>
      <w:r>
        <w:rPr>
          <w:spacing w:val="-19"/>
          <w:sz w:val="20"/>
        </w:rPr>
        <w:t xml:space="preserve"> </w:t>
      </w:r>
      <w:r>
        <w:rPr>
          <w:sz w:val="20"/>
        </w:rPr>
        <w:t>del</w:t>
      </w:r>
      <w:r>
        <w:rPr>
          <w:spacing w:val="-17"/>
          <w:sz w:val="20"/>
        </w:rPr>
        <w:t xml:space="preserve"> </w:t>
      </w:r>
      <w:r>
        <w:rPr>
          <w:sz w:val="20"/>
        </w:rPr>
        <w:t>más</w:t>
      </w:r>
      <w:r>
        <w:rPr>
          <w:spacing w:val="-18"/>
          <w:sz w:val="20"/>
        </w:rPr>
        <w:t xml:space="preserve"> </w:t>
      </w:r>
      <w:r>
        <w:rPr>
          <w:sz w:val="20"/>
        </w:rPr>
        <w:t>alto</w:t>
      </w:r>
      <w:r>
        <w:rPr>
          <w:spacing w:val="-19"/>
          <w:sz w:val="20"/>
        </w:rPr>
        <w:t xml:space="preserve"> </w:t>
      </w:r>
      <w:r>
        <w:rPr>
          <w:sz w:val="20"/>
        </w:rPr>
        <w:t>nivel</w:t>
      </w:r>
      <w:r>
        <w:rPr>
          <w:spacing w:val="-17"/>
          <w:sz w:val="20"/>
        </w:rPr>
        <w:t xml:space="preserve"> </w:t>
      </w:r>
      <w:r>
        <w:rPr>
          <w:sz w:val="20"/>
        </w:rPr>
        <w:t>posible</w:t>
      </w:r>
      <w:r>
        <w:rPr>
          <w:spacing w:val="-19"/>
          <w:sz w:val="20"/>
        </w:rPr>
        <w:t xml:space="preserve"> </w:t>
      </w:r>
      <w:r>
        <w:rPr>
          <w:sz w:val="20"/>
        </w:rPr>
        <w:t>de</w:t>
      </w:r>
      <w:r>
        <w:rPr>
          <w:spacing w:val="-18"/>
          <w:sz w:val="20"/>
        </w:rPr>
        <w:t xml:space="preserve"> </w:t>
      </w:r>
      <w:r>
        <w:rPr>
          <w:sz w:val="20"/>
        </w:rPr>
        <w:t>salud,</w:t>
      </w:r>
      <w:r>
        <w:rPr>
          <w:spacing w:val="-16"/>
          <w:sz w:val="20"/>
        </w:rPr>
        <w:t xml:space="preserve"> </w:t>
      </w:r>
      <w:r>
        <w:rPr>
          <w:sz w:val="20"/>
        </w:rPr>
        <w:t>se</w:t>
      </w:r>
      <w:r>
        <w:rPr>
          <w:spacing w:val="-16"/>
          <w:sz w:val="20"/>
        </w:rPr>
        <w:t xml:space="preserve"> </w:t>
      </w:r>
      <w:r>
        <w:rPr>
          <w:sz w:val="20"/>
        </w:rPr>
        <w:t>refiere</w:t>
      </w:r>
      <w:r>
        <w:rPr>
          <w:spacing w:val="-19"/>
          <w:sz w:val="20"/>
        </w:rPr>
        <w:t xml:space="preserve"> </w:t>
      </w:r>
      <w:r>
        <w:rPr>
          <w:sz w:val="20"/>
        </w:rPr>
        <w:t>a</w:t>
      </w:r>
      <w:r>
        <w:rPr>
          <w:spacing w:val="-15"/>
          <w:sz w:val="20"/>
        </w:rPr>
        <w:t xml:space="preserve"> </w:t>
      </w:r>
      <w:r>
        <w:rPr>
          <w:sz w:val="20"/>
        </w:rPr>
        <w:t>“la</w:t>
      </w:r>
      <w:r>
        <w:rPr>
          <w:spacing w:val="-17"/>
          <w:sz w:val="20"/>
        </w:rPr>
        <w:t xml:space="preserve"> </w:t>
      </w:r>
      <w:r>
        <w:rPr>
          <w:sz w:val="20"/>
        </w:rPr>
        <w:t>adopción</w:t>
      </w:r>
      <w:r>
        <w:rPr>
          <w:spacing w:val="-16"/>
          <w:sz w:val="20"/>
        </w:rPr>
        <w:t xml:space="preserve"> </w:t>
      </w:r>
      <w:r>
        <w:rPr>
          <w:sz w:val="20"/>
        </w:rPr>
        <w:t>de</w:t>
      </w:r>
      <w:r>
        <w:rPr>
          <w:spacing w:val="-16"/>
          <w:sz w:val="20"/>
        </w:rPr>
        <w:t xml:space="preserve"> </w:t>
      </w:r>
      <w:r>
        <w:rPr>
          <w:sz w:val="20"/>
        </w:rPr>
        <w:t>medidas</w:t>
      </w:r>
      <w:r>
        <w:rPr>
          <w:spacing w:val="-18"/>
          <w:sz w:val="20"/>
        </w:rPr>
        <w:t xml:space="preserve"> </w:t>
      </w:r>
      <w:r>
        <w:rPr>
          <w:sz w:val="20"/>
        </w:rPr>
        <w:t>preventivas en lo que respecta a los accidentes laborales y enfermedades profesionales”</w:t>
      </w:r>
      <w:hyperlink w:anchor="_bookmark291" w:history="1">
        <w:r>
          <w:rPr>
            <w:position w:val="7"/>
            <w:sz w:val="13"/>
          </w:rPr>
          <w:t>245</w:t>
        </w:r>
      </w:hyperlink>
      <w:r>
        <w:rPr>
          <w:position w:val="7"/>
          <w:sz w:val="13"/>
        </w:rPr>
        <w:t xml:space="preserve"> </w:t>
      </w:r>
      <w:r>
        <w:rPr>
          <w:sz w:val="20"/>
        </w:rPr>
        <w:t>y la Observación General No. 18, sobre e</w:t>
      </w:r>
      <w:r>
        <w:rPr>
          <w:sz w:val="20"/>
        </w:rPr>
        <w:t>l derecho al trabajo, habla del “derecho del trabajador</w:t>
      </w:r>
      <w:r>
        <w:rPr>
          <w:spacing w:val="-51"/>
          <w:sz w:val="20"/>
        </w:rPr>
        <w:t xml:space="preserve"> </w:t>
      </w:r>
      <w:r>
        <w:rPr>
          <w:sz w:val="20"/>
        </w:rPr>
        <w:t>a condiciones justas y favorables de trabajo, en particular a condiciones laborales</w:t>
      </w:r>
      <w:r>
        <w:rPr>
          <w:spacing w:val="-25"/>
          <w:sz w:val="20"/>
        </w:rPr>
        <w:t xml:space="preserve"> </w:t>
      </w:r>
      <w:r>
        <w:rPr>
          <w:sz w:val="20"/>
        </w:rPr>
        <w:t>seguras”</w:t>
      </w:r>
      <w:hyperlink w:anchor="_bookmark292" w:history="1">
        <w:r>
          <w:rPr>
            <w:position w:val="7"/>
            <w:sz w:val="13"/>
          </w:rPr>
          <w:t>246</w:t>
        </w:r>
      </w:hyperlink>
      <w:r>
        <w:rPr>
          <w:sz w:val="20"/>
        </w:rPr>
        <w:t>.</w:t>
      </w:r>
    </w:p>
    <w:p w14:paraId="7F6D0FA7" w14:textId="77777777" w:rsidR="00467FCA" w:rsidRDefault="00467FCA">
      <w:pPr>
        <w:pStyle w:val="Textoindependiente"/>
        <w:spacing w:before="12"/>
        <w:rPr>
          <w:sz w:val="19"/>
        </w:rPr>
      </w:pPr>
    </w:p>
    <w:p w14:paraId="15FE6485" w14:textId="77777777" w:rsidR="00467FCA" w:rsidRDefault="001B68EB">
      <w:pPr>
        <w:pStyle w:val="Prrafodelista"/>
        <w:numPr>
          <w:ilvl w:val="0"/>
          <w:numId w:val="50"/>
        </w:numPr>
        <w:tabs>
          <w:tab w:val="left" w:pos="687"/>
        </w:tabs>
        <w:ind w:left="119" w:right="116" w:firstLine="0"/>
        <w:jc w:val="both"/>
        <w:rPr>
          <w:sz w:val="20"/>
        </w:rPr>
      </w:pPr>
      <w:r>
        <w:rPr>
          <w:sz w:val="20"/>
        </w:rPr>
        <w:t>De</w:t>
      </w:r>
      <w:r>
        <w:rPr>
          <w:spacing w:val="-8"/>
          <w:sz w:val="20"/>
        </w:rPr>
        <w:t xml:space="preserve"> </w:t>
      </w:r>
      <w:r>
        <w:rPr>
          <w:sz w:val="20"/>
        </w:rPr>
        <w:t>manera</w:t>
      </w:r>
      <w:r>
        <w:rPr>
          <w:spacing w:val="-5"/>
          <w:sz w:val="20"/>
        </w:rPr>
        <w:t xml:space="preserve"> </w:t>
      </w:r>
      <w:r>
        <w:rPr>
          <w:sz w:val="20"/>
        </w:rPr>
        <w:t>específica,</w:t>
      </w:r>
      <w:r>
        <w:rPr>
          <w:spacing w:val="-6"/>
          <w:sz w:val="20"/>
        </w:rPr>
        <w:t xml:space="preserve"> </w:t>
      </w:r>
      <w:r>
        <w:rPr>
          <w:sz w:val="20"/>
        </w:rPr>
        <w:t>la</w:t>
      </w:r>
      <w:r>
        <w:rPr>
          <w:spacing w:val="-9"/>
          <w:sz w:val="20"/>
        </w:rPr>
        <w:t xml:space="preserve"> </w:t>
      </w:r>
      <w:r>
        <w:rPr>
          <w:sz w:val="20"/>
        </w:rPr>
        <w:t>Observación</w:t>
      </w:r>
      <w:r>
        <w:rPr>
          <w:spacing w:val="-4"/>
          <w:sz w:val="20"/>
        </w:rPr>
        <w:t xml:space="preserve"> </w:t>
      </w:r>
      <w:r>
        <w:rPr>
          <w:sz w:val="20"/>
        </w:rPr>
        <w:t>General</w:t>
      </w:r>
      <w:r>
        <w:rPr>
          <w:spacing w:val="-5"/>
          <w:sz w:val="20"/>
        </w:rPr>
        <w:t xml:space="preserve"> </w:t>
      </w:r>
      <w:r>
        <w:rPr>
          <w:sz w:val="20"/>
        </w:rPr>
        <w:t>No.</w:t>
      </w:r>
      <w:r>
        <w:rPr>
          <w:spacing w:val="-6"/>
          <w:sz w:val="20"/>
        </w:rPr>
        <w:t xml:space="preserve"> </w:t>
      </w:r>
      <w:r>
        <w:rPr>
          <w:sz w:val="20"/>
        </w:rPr>
        <w:t>23</w:t>
      </w:r>
      <w:r>
        <w:rPr>
          <w:spacing w:val="-6"/>
          <w:sz w:val="20"/>
        </w:rPr>
        <w:t xml:space="preserve"> </w:t>
      </w:r>
      <w:r>
        <w:rPr>
          <w:sz w:val="20"/>
        </w:rPr>
        <w:t>sobre</w:t>
      </w:r>
      <w:r>
        <w:rPr>
          <w:spacing w:val="-7"/>
          <w:sz w:val="20"/>
        </w:rPr>
        <w:t xml:space="preserve"> </w:t>
      </w:r>
      <w:r>
        <w:rPr>
          <w:sz w:val="20"/>
        </w:rPr>
        <w:t>el</w:t>
      </w:r>
      <w:r>
        <w:rPr>
          <w:spacing w:val="-7"/>
          <w:sz w:val="20"/>
        </w:rPr>
        <w:t xml:space="preserve"> </w:t>
      </w:r>
      <w:r>
        <w:rPr>
          <w:sz w:val="20"/>
        </w:rPr>
        <w:t>derecho</w:t>
      </w:r>
      <w:r>
        <w:rPr>
          <w:spacing w:val="-7"/>
          <w:sz w:val="20"/>
        </w:rPr>
        <w:t xml:space="preserve"> </w:t>
      </w:r>
      <w:r>
        <w:rPr>
          <w:sz w:val="20"/>
        </w:rPr>
        <w:t>a</w:t>
      </w:r>
      <w:r>
        <w:rPr>
          <w:spacing w:val="-6"/>
          <w:sz w:val="20"/>
        </w:rPr>
        <w:t xml:space="preserve"> </w:t>
      </w:r>
      <w:r>
        <w:rPr>
          <w:sz w:val="20"/>
        </w:rPr>
        <w:t>condiciones</w:t>
      </w:r>
      <w:r>
        <w:rPr>
          <w:spacing w:val="-6"/>
          <w:sz w:val="20"/>
        </w:rPr>
        <w:t xml:space="preserve"> </w:t>
      </w:r>
      <w:r>
        <w:rPr>
          <w:sz w:val="20"/>
        </w:rPr>
        <w:t>de trabajo</w:t>
      </w:r>
      <w:r>
        <w:rPr>
          <w:spacing w:val="-8"/>
          <w:sz w:val="20"/>
        </w:rPr>
        <w:t xml:space="preserve"> </w:t>
      </w:r>
      <w:r>
        <w:rPr>
          <w:sz w:val="20"/>
        </w:rPr>
        <w:t>equitativas</w:t>
      </w:r>
      <w:r>
        <w:rPr>
          <w:spacing w:val="-6"/>
          <w:sz w:val="20"/>
        </w:rPr>
        <w:t xml:space="preserve"> </w:t>
      </w:r>
      <w:r>
        <w:rPr>
          <w:sz w:val="20"/>
        </w:rPr>
        <w:t>y</w:t>
      </w:r>
      <w:r>
        <w:rPr>
          <w:spacing w:val="-4"/>
          <w:sz w:val="20"/>
        </w:rPr>
        <w:t xml:space="preserve"> </w:t>
      </w:r>
      <w:r>
        <w:rPr>
          <w:sz w:val="20"/>
        </w:rPr>
        <w:t>satisfactorias,</w:t>
      </w:r>
      <w:r>
        <w:rPr>
          <w:spacing w:val="-6"/>
          <w:sz w:val="20"/>
        </w:rPr>
        <w:t xml:space="preserve"> </w:t>
      </w:r>
      <w:r>
        <w:rPr>
          <w:sz w:val="20"/>
        </w:rPr>
        <w:t>señala</w:t>
      </w:r>
      <w:r>
        <w:rPr>
          <w:spacing w:val="-5"/>
          <w:sz w:val="20"/>
        </w:rPr>
        <w:t xml:space="preserve"> </w:t>
      </w:r>
      <w:r>
        <w:rPr>
          <w:sz w:val="20"/>
        </w:rPr>
        <w:t>que</w:t>
      </w:r>
      <w:r>
        <w:rPr>
          <w:spacing w:val="-8"/>
          <w:sz w:val="20"/>
        </w:rPr>
        <w:t xml:space="preserve"> </w:t>
      </w:r>
      <w:r>
        <w:rPr>
          <w:sz w:val="20"/>
        </w:rPr>
        <w:t>este</w:t>
      </w:r>
      <w:r>
        <w:rPr>
          <w:spacing w:val="-7"/>
          <w:sz w:val="20"/>
        </w:rPr>
        <w:t xml:space="preserve"> </w:t>
      </w:r>
      <w:r>
        <w:rPr>
          <w:sz w:val="20"/>
        </w:rPr>
        <w:t>es</w:t>
      </w:r>
      <w:r>
        <w:rPr>
          <w:spacing w:val="-6"/>
          <w:sz w:val="20"/>
        </w:rPr>
        <w:t xml:space="preserve"> </w:t>
      </w:r>
      <w:r>
        <w:rPr>
          <w:sz w:val="20"/>
        </w:rPr>
        <w:t>un</w:t>
      </w:r>
      <w:r>
        <w:rPr>
          <w:spacing w:val="-5"/>
          <w:sz w:val="20"/>
        </w:rPr>
        <w:t xml:space="preserve"> </w:t>
      </w:r>
      <w:r>
        <w:rPr>
          <w:sz w:val="20"/>
        </w:rPr>
        <w:t>derecho</w:t>
      </w:r>
      <w:r>
        <w:rPr>
          <w:spacing w:val="-7"/>
          <w:sz w:val="20"/>
        </w:rPr>
        <w:t xml:space="preserve"> </w:t>
      </w:r>
      <w:r>
        <w:rPr>
          <w:sz w:val="20"/>
        </w:rPr>
        <w:t>reconocido</w:t>
      </w:r>
      <w:r>
        <w:rPr>
          <w:spacing w:val="-7"/>
          <w:sz w:val="20"/>
        </w:rPr>
        <w:t xml:space="preserve"> </w:t>
      </w:r>
      <w:r>
        <w:rPr>
          <w:sz w:val="20"/>
        </w:rPr>
        <w:t>por</w:t>
      </w:r>
      <w:r>
        <w:rPr>
          <w:spacing w:val="-5"/>
          <w:sz w:val="20"/>
        </w:rPr>
        <w:t xml:space="preserve"> </w:t>
      </w:r>
      <w:r>
        <w:rPr>
          <w:sz w:val="20"/>
        </w:rPr>
        <w:t>el</w:t>
      </w:r>
      <w:r>
        <w:rPr>
          <w:spacing w:val="-5"/>
          <w:sz w:val="20"/>
        </w:rPr>
        <w:t xml:space="preserve"> </w:t>
      </w:r>
      <w:r>
        <w:rPr>
          <w:sz w:val="20"/>
        </w:rPr>
        <w:t>Pacto</w:t>
      </w:r>
      <w:r>
        <w:rPr>
          <w:spacing w:val="-7"/>
          <w:sz w:val="20"/>
        </w:rPr>
        <w:t xml:space="preserve"> </w:t>
      </w:r>
      <w:r>
        <w:rPr>
          <w:sz w:val="20"/>
        </w:rPr>
        <w:t>de Derechos Económicos, Sociales y Culturales (en adelante “PIDESC”), que es componente y resultado</w:t>
      </w:r>
      <w:r>
        <w:rPr>
          <w:spacing w:val="-22"/>
          <w:sz w:val="20"/>
        </w:rPr>
        <w:t xml:space="preserve"> </w:t>
      </w:r>
      <w:r>
        <w:rPr>
          <w:sz w:val="20"/>
        </w:rPr>
        <w:t>de</w:t>
      </w:r>
      <w:r>
        <w:rPr>
          <w:spacing w:val="-19"/>
          <w:sz w:val="20"/>
        </w:rPr>
        <w:t xml:space="preserve"> </w:t>
      </w:r>
      <w:r>
        <w:rPr>
          <w:sz w:val="20"/>
        </w:rPr>
        <w:t>otros</w:t>
      </w:r>
      <w:r>
        <w:rPr>
          <w:spacing w:val="-21"/>
          <w:sz w:val="20"/>
        </w:rPr>
        <w:t xml:space="preserve"> </w:t>
      </w:r>
      <w:r>
        <w:rPr>
          <w:sz w:val="20"/>
        </w:rPr>
        <w:t>derechos</w:t>
      </w:r>
      <w:hyperlink w:anchor="_bookmark293" w:history="1">
        <w:r>
          <w:rPr>
            <w:position w:val="7"/>
            <w:sz w:val="13"/>
          </w:rPr>
          <w:t>247</w:t>
        </w:r>
      </w:hyperlink>
      <w:r>
        <w:rPr>
          <w:sz w:val="20"/>
        </w:rPr>
        <w:t>.</w:t>
      </w:r>
      <w:r>
        <w:rPr>
          <w:spacing w:val="-20"/>
          <w:sz w:val="20"/>
        </w:rPr>
        <w:t xml:space="preserve"> </w:t>
      </w:r>
      <w:r>
        <w:rPr>
          <w:sz w:val="20"/>
        </w:rPr>
        <w:t>Además,</w:t>
      </w:r>
      <w:r>
        <w:rPr>
          <w:spacing w:val="-21"/>
          <w:sz w:val="20"/>
        </w:rPr>
        <w:t xml:space="preserve"> </w:t>
      </w:r>
      <w:r>
        <w:rPr>
          <w:sz w:val="20"/>
        </w:rPr>
        <w:t>hace</w:t>
      </w:r>
      <w:r>
        <w:rPr>
          <w:spacing w:val="-21"/>
          <w:sz w:val="20"/>
        </w:rPr>
        <w:t xml:space="preserve"> </w:t>
      </w:r>
      <w:r>
        <w:rPr>
          <w:sz w:val="20"/>
        </w:rPr>
        <w:t>otras</w:t>
      </w:r>
      <w:r>
        <w:rPr>
          <w:spacing w:val="-18"/>
          <w:sz w:val="20"/>
        </w:rPr>
        <w:t xml:space="preserve"> </w:t>
      </w:r>
      <w:r>
        <w:rPr>
          <w:sz w:val="20"/>
        </w:rPr>
        <w:t>consideraciones</w:t>
      </w:r>
      <w:r>
        <w:rPr>
          <w:spacing w:val="-19"/>
          <w:sz w:val="20"/>
        </w:rPr>
        <w:t xml:space="preserve"> </w:t>
      </w:r>
      <w:r>
        <w:rPr>
          <w:sz w:val="20"/>
        </w:rPr>
        <w:t>relevantes</w:t>
      </w:r>
      <w:r>
        <w:rPr>
          <w:spacing w:val="-21"/>
          <w:sz w:val="20"/>
        </w:rPr>
        <w:t xml:space="preserve"> </w:t>
      </w:r>
      <w:r>
        <w:rPr>
          <w:sz w:val="20"/>
        </w:rPr>
        <w:t>para</w:t>
      </w:r>
      <w:r>
        <w:rPr>
          <w:spacing w:val="-20"/>
          <w:sz w:val="20"/>
        </w:rPr>
        <w:t xml:space="preserve"> </w:t>
      </w:r>
      <w:r>
        <w:rPr>
          <w:sz w:val="20"/>
        </w:rPr>
        <w:t>el</w:t>
      </w:r>
      <w:r>
        <w:rPr>
          <w:spacing w:val="-19"/>
          <w:sz w:val="20"/>
        </w:rPr>
        <w:t xml:space="preserve"> </w:t>
      </w:r>
      <w:r>
        <w:rPr>
          <w:sz w:val="20"/>
        </w:rPr>
        <w:t>análisis de este caso. Primero, reitera que el derecho a condiciones equitativas y satisfactorias de trabajo se aplica a toda persona, sin diferencia de sexo, edad o sector en el que se desempeñe,</w:t>
      </w:r>
      <w:r>
        <w:rPr>
          <w:spacing w:val="17"/>
          <w:sz w:val="20"/>
        </w:rPr>
        <w:t xml:space="preserve"> </w:t>
      </w:r>
      <w:r>
        <w:rPr>
          <w:sz w:val="20"/>
        </w:rPr>
        <w:t>incluso</w:t>
      </w:r>
      <w:r>
        <w:rPr>
          <w:spacing w:val="17"/>
          <w:sz w:val="20"/>
        </w:rPr>
        <w:t xml:space="preserve"> </w:t>
      </w:r>
      <w:r>
        <w:rPr>
          <w:sz w:val="20"/>
        </w:rPr>
        <w:t>si</w:t>
      </w:r>
      <w:r>
        <w:rPr>
          <w:spacing w:val="21"/>
          <w:sz w:val="20"/>
        </w:rPr>
        <w:t xml:space="preserve"> </w:t>
      </w:r>
      <w:r>
        <w:rPr>
          <w:sz w:val="20"/>
        </w:rPr>
        <w:t>se</w:t>
      </w:r>
      <w:r>
        <w:rPr>
          <w:spacing w:val="17"/>
          <w:sz w:val="20"/>
        </w:rPr>
        <w:t xml:space="preserve"> </w:t>
      </w:r>
      <w:r>
        <w:rPr>
          <w:sz w:val="20"/>
        </w:rPr>
        <w:t>trata</w:t>
      </w:r>
      <w:r>
        <w:rPr>
          <w:spacing w:val="19"/>
          <w:sz w:val="20"/>
        </w:rPr>
        <w:t xml:space="preserve"> </w:t>
      </w:r>
      <w:r>
        <w:rPr>
          <w:sz w:val="20"/>
        </w:rPr>
        <w:t>de</w:t>
      </w:r>
      <w:r>
        <w:rPr>
          <w:spacing w:val="17"/>
          <w:sz w:val="20"/>
        </w:rPr>
        <w:t xml:space="preserve"> </w:t>
      </w:r>
      <w:r>
        <w:rPr>
          <w:sz w:val="20"/>
        </w:rPr>
        <w:t>trabajo</w:t>
      </w:r>
      <w:r>
        <w:rPr>
          <w:spacing w:val="17"/>
          <w:sz w:val="20"/>
        </w:rPr>
        <w:t xml:space="preserve"> </w:t>
      </w:r>
      <w:r>
        <w:rPr>
          <w:sz w:val="20"/>
        </w:rPr>
        <w:t>informal</w:t>
      </w:r>
      <w:hyperlink w:anchor="_bookmark294" w:history="1">
        <w:r>
          <w:rPr>
            <w:position w:val="7"/>
            <w:sz w:val="13"/>
          </w:rPr>
          <w:t>248</w:t>
        </w:r>
      </w:hyperlink>
      <w:r>
        <w:rPr>
          <w:sz w:val="20"/>
        </w:rPr>
        <w:t>.</w:t>
      </w:r>
      <w:r>
        <w:rPr>
          <w:spacing w:val="18"/>
          <w:sz w:val="20"/>
        </w:rPr>
        <w:t xml:space="preserve"> </w:t>
      </w:r>
      <w:r>
        <w:rPr>
          <w:sz w:val="20"/>
        </w:rPr>
        <w:t>Segundo,</w:t>
      </w:r>
      <w:r>
        <w:rPr>
          <w:spacing w:val="20"/>
          <w:sz w:val="20"/>
        </w:rPr>
        <w:t xml:space="preserve"> </w:t>
      </w:r>
      <w:r>
        <w:rPr>
          <w:sz w:val="20"/>
        </w:rPr>
        <w:t>se</w:t>
      </w:r>
      <w:r>
        <w:rPr>
          <w:spacing w:val="17"/>
          <w:sz w:val="20"/>
        </w:rPr>
        <w:t xml:space="preserve"> </w:t>
      </w:r>
      <w:r>
        <w:rPr>
          <w:sz w:val="20"/>
        </w:rPr>
        <w:t>refiere</w:t>
      </w:r>
      <w:r>
        <w:rPr>
          <w:spacing w:val="17"/>
          <w:sz w:val="20"/>
        </w:rPr>
        <w:t xml:space="preserve"> </w:t>
      </w:r>
      <w:r>
        <w:rPr>
          <w:sz w:val="20"/>
        </w:rPr>
        <w:t>a</w:t>
      </w:r>
      <w:r>
        <w:rPr>
          <w:spacing w:val="19"/>
          <w:sz w:val="20"/>
        </w:rPr>
        <w:t xml:space="preserve"> </w:t>
      </w:r>
      <w:r>
        <w:rPr>
          <w:sz w:val="20"/>
        </w:rPr>
        <w:t>los</w:t>
      </w:r>
      <w:r>
        <w:rPr>
          <w:spacing w:val="20"/>
          <w:sz w:val="20"/>
        </w:rPr>
        <w:t xml:space="preserve"> </w:t>
      </w:r>
      <w:r>
        <w:rPr>
          <w:sz w:val="20"/>
        </w:rPr>
        <w:t>elementos</w:t>
      </w:r>
    </w:p>
    <w:p w14:paraId="5B630214" w14:textId="77777777" w:rsidR="00467FCA" w:rsidRDefault="001B68EB">
      <w:pPr>
        <w:pStyle w:val="Textoindependiente"/>
        <w:spacing w:before="8"/>
        <w:rPr>
          <w:sz w:val="17"/>
        </w:rPr>
      </w:pPr>
      <w:r>
        <w:pict w14:anchorId="68767C6D">
          <v:shape id="_x0000_s1152" style="position:absolute;margin-left:1in;margin-top:13pt;width:2in;height:.1pt;z-index:-251613184;mso-wrap-distance-left:0;mso-wrap-distance-right:0;mso-position-horizontal-relative:page" coordorigin="1440,260" coordsize="2880,0" path="m1440,260r2880,e" filled="f" strokeweight=".6pt">
            <v:path arrowok="t"/>
            <w10:wrap type="topAndBottom" anchorx="page"/>
          </v:shape>
        </w:pict>
      </w:r>
    </w:p>
    <w:p w14:paraId="0053A936" w14:textId="77777777" w:rsidR="00467FCA" w:rsidRDefault="001B68EB">
      <w:pPr>
        <w:tabs>
          <w:tab w:val="left" w:pos="839"/>
        </w:tabs>
        <w:spacing w:before="74"/>
        <w:ind w:left="120"/>
        <w:rPr>
          <w:sz w:val="16"/>
        </w:rPr>
      </w:pPr>
      <w:bookmarkStart w:id="328" w:name="_bookmark283"/>
      <w:bookmarkEnd w:id="328"/>
      <w:r>
        <w:rPr>
          <w:position w:val="6"/>
          <w:sz w:val="10"/>
        </w:rPr>
        <w:t>237</w:t>
      </w:r>
      <w:r>
        <w:rPr>
          <w:position w:val="6"/>
          <w:sz w:val="10"/>
        </w:rPr>
        <w:tab/>
      </w:r>
      <w:r>
        <w:rPr>
          <w:sz w:val="16"/>
        </w:rPr>
        <w:t xml:space="preserve">Organización Internacional del Trabajo. </w:t>
      </w:r>
      <w:r>
        <w:rPr>
          <w:i/>
          <w:sz w:val="16"/>
        </w:rPr>
        <w:t>Constitución</w:t>
      </w:r>
      <w:r>
        <w:rPr>
          <w:sz w:val="16"/>
        </w:rPr>
        <w:t>.</w:t>
      </w:r>
      <w:r>
        <w:rPr>
          <w:spacing w:val="-9"/>
          <w:sz w:val="16"/>
        </w:rPr>
        <w:t xml:space="preserve"> </w:t>
      </w:r>
      <w:r>
        <w:rPr>
          <w:sz w:val="16"/>
        </w:rPr>
        <w:t>Preámbulo.</w:t>
      </w:r>
    </w:p>
    <w:p w14:paraId="248F3E55" w14:textId="77777777" w:rsidR="00467FCA" w:rsidRDefault="001B68EB">
      <w:pPr>
        <w:tabs>
          <w:tab w:val="left" w:pos="839"/>
        </w:tabs>
        <w:ind w:left="120"/>
        <w:rPr>
          <w:sz w:val="16"/>
        </w:rPr>
      </w:pPr>
      <w:bookmarkStart w:id="329" w:name="_bookmark284"/>
      <w:bookmarkEnd w:id="329"/>
      <w:r>
        <w:rPr>
          <w:position w:val="6"/>
          <w:sz w:val="10"/>
        </w:rPr>
        <w:t>238</w:t>
      </w:r>
      <w:r>
        <w:rPr>
          <w:position w:val="6"/>
          <w:sz w:val="10"/>
        </w:rPr>
        <w:tab/>
      </w:r>
      <w:r>
        <w:rPr>
          <w:sz w:val="16"/>
        </w:rPr>
        <w:t>Ratificado por Brasil el 11 de octubre de 1989 y vigente para la fecha de los</w:t>
      </w:r>
      <w:r>
        <w:rPr>
          <w:spacing w:val="-16"/>
          <w:sz w:val="16"/>
        </w:rPr>
        <w:t xml:space="preserve"> </w:t>
      </w:r>
      <w:r>
        <w:rPr>
          <w:sz w:val="16"/>
        </w:rPr>
        <w:t>hechos.</w:t>
      </w:r>
    </w:p>
    <w:p w14:paraId="265701D2" w14:textId="77777777" w:rsidR="00467FCA" w:rsidRDefault="001B68EB">
      <w:pPr>
        <w:tabs>
          <w:tab w:val="left" w:pos="839"/>
        </w:tabs>
        <w:ind w:left="120"/>
        <w:rPr>
          <w:sz w:val="16"/>
        </w:rPr>
      </w:pPr>
      <w:bookmarkStart w:id="330" w:name="_bookmark285"/>
      <w:bookmarkEnd w:id="330"/>
      <w:r>
        <w:rPr>
          <w:position w:val="6"/>
          <w:sz w:val="10"/>
        </w:rPr>
        <w:t>239</w:t>
      </w:r>
      <w:r>
        <w:rPr>
          <w:position w:val="6"/>
          <w:sz w:val="10"/>
        </w:rPr>
        <w:tab/>
      </w:r>
      <w:r>
        <w:rPr>
          <w:sz w:val="16"/>
        </w:rPr>
        <w:t>Organización Internacional del Trabajo</w:t>
      </w:r>
      <w:r>
        <w:rPr>
          <w:sz w:val="16"/>
        </w:rPr>
        <w:t xml:space="preserve">, </w:t>
      </w:r>
      <w:r>
        <w:rPr>
          <w:i/>
          <w:sz w:val="16"/>
        </w:rPr>
        <w:t xml:space="preserve">Convenio No. 81 sobre la Inspección del Trabajo, </w:t>
      </w:r>
      <w:r>
        <w:rPr>
          <w:sz w:val="16"/>
        </w:rPr>
        <w:t>1947, artículo</w:t>
      </w:r>
      <w:r>
        <w:rPr>
          <w:spacing w:val="-36"/>
          <w:sz w:val="16"/>
        </w:rPr>
        <w:t xml:space="preserve"> </w:t>
      </w:r>
      <w:r>
        <w:rPr>
          <w:sz w:val="16"/>
        </w:rPr>
        <w:t>1.</w:t>
      </w:r>
    </w:p>
    <w:p w14:paraId="72EDAD54" w14:textId="77777777" w:rsidR="00467FCA" w:rsidRDefault="001B68EB">
      <w:pPr>
        <w:tabs>
          <w:tab w:val="left" w:pos="839"/>
        </w:tabs>
        <w:ind w:left="120"/>
        <w:rPr>
          <w:sz w:val="16"/>
        </w:rPr>
      </w:pPr>
      <w:bookmarkStart w:id="331" w:name="_bookmark286"/>
      <w:bookmarkEnd w:id="331"/>
      <w:r>
        <w:rPr>
          <w:position w:val="6"/>
          <w:sz w:val="10"/>
        </w:rPr>
        <w:t>240</w:t>
      </w:r>
      <w:r>
        <w:rPr>
          <w:position w:val="6"/>
          <w:sz w:val="10"/>
        </w:rPr>
        <w:tab/>
      </w:r>
      <w:bookmarkStart w:id="332" w:name="_bookmark287"/>
      <w:bookmarkEnd w:id="332"/>
      <w:r>
        <w:rPr>
          <w:sz w:val="16"/>
        </w:rPr>
        <w:t xml:space="preserve">Organización Internacional del Trabajo, </w:t>
      </w:r>
      <w:r>
        <w:rPr>
          <w:i/>
          <w:sz w:val="16"/>
        </w:rPr>
        <w:t xml:space="preserve">Convenio No. 81, supra, </w:t>
      </w:r>
      <w:r>
        <w:rPr>
          <w:sz w:val="16"/>
        </w:rPr>
        <w:t>artículo</w:t>
      </w:r>
      <w:r>
        <w:rPr>
          <w:spacing w:val="-14"/>
          <w:sz w:val="16"/>
        </w:rPr>
        <w:t xml:space="preserve"> </w:t>
      </w:r>
      <w:r>
        <w:rPr>
          <w:sz w:val="16"/>
        </w:rPr>
        <w:t>2.1.</w:t>
      </w:r>
    </w:p>
    <w:p w14:paraId="231F59C4" w14:textId="77777777" w:rsidR="00467FCA" w:rsidRDefault="001B68EB">
      <w:pPr>
        <w:tabs>
          <w:tab w:val="left" w:pos="839"/>
        </w:tabs>
        <w:ind w:left="120"/>
        <w:rPr>
          <w:sz w:val="16"/>
        </w:rPr>
      </w:pPr>
      <w:r>
        <w:rPr>
          <w:position w:val="6"/>
          <w:sz w:val="10"/>
        </w:rPr>
        <w:t>241</w:t>
      </w:r>
      <w:r>
        <w:rPr>
          <w:position w:val="6"/>
          <w:sz w:val="10"/>
        </w:rPr>
        <w:tab/>
      </w:r>
      <w:bookmarkStart w:id="333" w:name="_bookmark288"/>
      <w:bookmarkEnd w:id="333"/>
      <w:r>
        <w:rPr>
          <w:sz w:val="16"/>
        </w:rPr>
        <w:t xml:space="preserve">Organización Internacional del Trabajo, </w:t>
      </w:r>
      <w:r>
        <w:rPr>
          <w:i/>
          <w:sz w:val="16"/>
        </w:rPr>
        <w:t xml:space="preserve">Convenio No. 81, supra, </w:t>
      </w:r>
      <w:r>
        <w:rPr>
          <w:sz w:val="16"/>
        </w:rPr>
        <w:t>artículo</w:t>
      </w:r>
      <w:r>
        <w:rPr>
          <w:spacing w:val="-15"/>
          <w:sz w:val="16"/>
        </w:rPr>
        <w:t xml:space="preserve"> </w:t>
      </w:r>
      <w:r>
        <w:rPr>
          <w:sz w:val="16"/>
        </w:rPr>
        <w:t>3.1.a.</w:t>
      </w:r>
    </w:p>
    <w:p w14:paraId="04C37D90" w14:textId="77777777" w:rsidR="00467FCA" w:rsidRDefault="001B68EB">
      <w:pPr>
        <w:tabs>
          <w:tab w:val="left" w:pos="839"/>
        </w:tabs>
        <w:ind w:left="120"/>
        <w:rPr>
          <w:sz w:val="16"/>
        </w:rPr>
      </w:pPr>
      <w:r>
        <w:rPr>
          <w:position w:val="6"/>
          <w:sz w:val="10"/>
        </w:rPr>
        <w:t>242</w:t>
      </w:r>
      <w:r>
        <w:rPr>
          <w:position w:val="6"/>
          <w:sz w:val="10"/>
        </w:rPr>
        <w:tab/>
      </w:r>
      <w:r>
        <w:rPr>
          <w:sz w:val="16"/>
        </w:rPr>
        <w:t>Ratificado por Brasil el 18 de mayo de 1992 y vigente para la fecha de los</w:t>
      </w:r>
      <w:r>
        <w:rPr>
          <w:spacing w:val="-21"/>
          <w:sz w:val="16"/>
        </w:rPr>
        <w:t xml:space="preserve"> </w:t>
      </w:r>
      <w:r>
        <w:rPr>
          <w:sz w:val="16"/>
        </w:rPr>
        <w:t>hechos.</w:t>
      </w:r>
    </w:p>
    <w:p w14:paraId="5AB4AA1E" w14:textId="77777777" w:rsidR="00467FCA" w:rsidRDefault="001B68EB">
      <w:pPr>
        <w:tabs>
          <w:tab w:val="left" w:pos="839"/>
        </w:tabs>
        <w:ind w:left="120"/>
        <w:rPr>
          <w:i/>
          <w:sz w:val="16"/>
        </w:rPr>
      </w:pPr>
      <w:bookmarkStart w:id="334" w:name="_bookmark289"/>
      <w:bookmarkEnd w:id="334"/>
      <w:r>
        <w:rPr>
          <w:position w:val="6"/>
          <w:sz w:val="10"/>
        </w:rPr>
        <w:t>243</w:t>
      </w:r>
      <w:r>
        <w:rPr>
          <w:position w:val="6"/>
          <w:sz w:val="10"/>
        </w:rPr>
        <w:tab/>
      </w:r>
      <w:r>
        <w:rPr>
          <w:sz w:val="16"/>
        </w:rPr>
        <w:t>Organización</w:t>
      </w:r>
      <w:r>
        <w:rPr>
          <w:spacing w:val="24"/>
          <w:sz w:val="16"/>
        </w:rPr>
        <w:t xml:space="preserve"> </w:t>
      </w:r>
      <w:r>
        <w:rPr>
          <w:sz w:val="16"/>
        </w:rPr>
        <w:t>Internacional</w:t>
      </w:r>
      <w:r>
        <w:rPr>
          <w:spacing w:val="24"/>
          <w:sz w:val="16"/>
        </w:rPr>
        <w:t xml:space="preserve"> </w:t>
      </w:r>
      <w:r>
        <w:rPr>
          <w:sz w:val="16"/>
        </w:rPr>
        <w:t>del</w:t>
      </w:r>
      <w:r>
        <w:rPr>
          <w:spacing w:val="24"/>
          <w:sz w:val="16"/>
        </w:rPr>
        <w:t xml:space="preserve"> </w:t>
      </w:r>
      <w:r>
        <w:rPr>
          <w:sz w:val="16"/>
        </w:rPr>
        <w:t>Trabajo,</w:t>
      </w:r>
      <w:r>
        <w:rPr>
          <w:spacing w:val="22"/>
          <w:sz w:val="16"/>
        </w:rPr>
        <w:t xml:space="preserve"> </w:t>
      </w:r>
      <w:r>
        <w:rPr>
          <w:i/>
          <w:sz w:val="16"/>
        </w:rPr>
        <w:t>Convenio</w:t>
      </w:r>
      <w:r>
        <w:rPr>
          <w:i/>
          <w:spacing w:val="23"/>
          <w:sz w:val="16"/>
        </w:rPr>
        <w:t xml:space="preserve"> </w:t>
      </w:r>
      <w:r>
        <w:rPr>
          <w:i/>
          <w:sz w:val="16"/>
        </w:rPr>
        <w:t>No.</w:t>
      </w:r>
      <w:r>
        <w:rPr>
          <w:i/>
          <w:spacing w:val="22"/>
          <w:sz w:val="16"/>
        </w:rPr>
        <w:t xml:space="preserve"> </w:t>
      </w:r>
      <w:r>
        <w:rPr>
          <w:i/>
          <w:sz w:val="16"/>
        </w:rPr>
        <w:t>155</w:t>
      </w:r>
      <w:r>
        <w:rPr>
          <w:i/>
          <w:spacing w:val="24"/>
          <w:sz w:val="16"/>
        </w:rPr>
        <w:t xml:space="preserve"> </w:t>
      </w:r>
      <w:r>
        <w:rPr>
          <w:i/>
          <w:sz w:val="16"/>
        </w:rPr>
        <w:t>sobre</w:t>
      </w:r>
      <w:r>
        <w:rPr>
          <w:i/>
          <w:spacing w:val="23"/>
          <w:sz w:val="16"/>
        </w:rPr>
        <w:t xml:space="preserve"> </w:t>
      </w:r>
      <w:r>
        <w:rPr>
          <w:i/>
          <w:sz w:val="16"/>
        </w:rPr>
        <w:t>seguridad</w:t>
      </w:r>
      <w:r>
        <w:rPr>
          <w:i/>
          <w:spacing w:val="22"/>
          <w:sz w:val="16"/>
        </w:rPr>
        <w:t xml:space="preserve"> </w:t>
      </w:r>
      <w:r>
        <w:rPr>
          <w:i/>
          <w:sz w:val="16"/>
        </w:rPr>
        <w:t>y</w:t>
      </w:r>
      <w:r>
        <w:rPr>
          <w:i/>
          <w:spacing w:val="24"/>
          <w:sz w:val="16"/>
        </w:rPr>
        <w:t xml:space="preserve"> </w:t>
      </w:r>
      <w:r>
        <w:rPr>
          <w:i/>
          <w:sz w:val="16"/>
        </w:rPr>
        <w:t>salud</w:t>
      </w:r>
      <w:r>
        <w:rPr>
          <w:i/>
          <w:spacing w:val="23"/>
          <w:sz w:val="16"/>
        </w:rPr>
        <w:t xml:space="preserve"> </w:t>
      </w:r>
      <w:r>
        <w:rPr>
          <w:i/>
          <w:sz w:val="16"/>
        </w:rPr>
        <w:t>de</w:t>
      </w:r>
      <w:r>
        <w:rPr>
          <w:i/>
          <w:spacing w:val="23"/>
          <w:sz w:val="16"/>
        </w:rPr>
        <w:t xml:space="preserve"> </w:t>
      </w:r>
      <w:r>
        <w:rPr>
          <w:i/>
          <w:sz w:val="16"/>
        </w:rPr>
        <w:t>los</w:t>
      </w:r>
      <w:r>
        <w:rPr>
          <w:i/>
          <w:spacing w:val="23"/>
          <w:sz w:val="16"/>
        </w:rPr>
        <w:t xml:space="preserve"> </w:t>
      </w:r>
      <w:r>
        <w:rPr>
          <w:i/>
          <w:sz w:val="16"/>
        </w:rPr>
        <w:t>trabajadores,</w:t>
      </w:r>
    </w:p>
    <w:p w14:paraId="5FEF3290" w14:textId="77777777" w:rsidR="00467FCA" w:rsidRDefault="001B68EB">
      <w:pPr>
        <w:ind w:left="119"/>
        <w:rPr>
          <w:sz w:val="16"/>
        </w:rPr>
      </w:pPr>
      <w:bookmarkStart w:id="335" w:name="_bookmark290"/>
      <w:bookmarkEnd w:id="335"/>
      <w:r>
        <w:rPr>
          <w:sz w:val="16"/>
        </w:rPr>
        <w:t>1981, art. 4.</w:t>
      </w:r>
    </w:p>
    <w:p w14:paraId="7673AD34" w14:textId="77777777" w:rsidR="00467FCA" w:rsidRDefault="001B68EB">
      <w:pPr>
        <w:tabs>
          <w:tab w:val="left" w:pos="839"/>
        </w:tabs>
        <w:ind w:left="120"/>
        <w:rPr>
          <w:sz w:val="16"/>
        </w:rPr>
      </w:pPr>
      <w:r>
        <w:rPr>
          <w:position w:val="6"/>
          <w:sz w:val="10"/>
        </w:rPr>
        <w:t>244</w:t>
      </w:r>
      <w:r>
        <w:rPr>
          <w:position w:val="6"/>
          <w:sz w:val="10"/>
        </w:rPr>
        <w:tab/>
      </w:r>
      <w:r>
        <w:rPr>
          <w:sz w:val="16"/>
        </w:rPr>
        <w:t xml:space="preserve">Peritaje presentado ante la Corte Interamericana </w:t>
      </w:r>
      <w:r>
        <w:rPr>
          <w:sz w:val="16"/>
        </w:rPr>
        <w:t>por Christian Courtis (expediente de fondo, folio</w:t>
      </w:r>
      <w:r>
        <w:rPr>
          <w:spacing w:val="-23"/>
          <w:sz w:val="16"/>
        </w:rPr>
        <w:t xml:space="preserve"> </w:t>
      </w:r>
      <w:r>
        <w:rPr>
          <w:sz w:val="16"/>
        </w:rPr>
        <w:t>897).</w:t>
      </w:r>
    </w:p>
    <w:p w14:paraId="4EC89D80" w14:textId="77777777" w:rsidR="00467FCA" w:rsidRDefault="001B68EB">
      <w:pPr>
        <w:tabs>
          <w:tab w:val="left" w:pos="839"/>
        </w:tabs>
        <w:ind w:left="119" w:right="117"/>
        <w:rPr>
          <w:sz w:val="16"/>
        </w:rPr>
      </w:pPr>
      <w:bookmarkStart w:id="336" w:name="_bookmark291"/>
      <w:bookmarkEnd w:id="336"/>
      <w:r>
        <w:rPr>
          <w:position w:val="6"/>
          <w:sz w:val="10"/>
        </w:rPr>
        <w:t>245</w:t>
      </w:r>
      <w:r>
        <w:rPr>
          <w:position w:val="6"/>
          <w:sz w:val="10"/>
        </w:rPr>
        <w:tab/>
      </w:r>
      <w:r>
        <w:rPr>
          <w:sz w:val="16"/>
        </w:rPr>
        <w:t xml:space="preserve">Comité de Derechos Económicos, Sociales y Culturales, </w:t>
      </w:r>
      <w:r>
        <w:rPr>
          <w:i/>
          <w:sz w:val="16"/>
        </w:rPr>
        <w:t xml:space="preserve">Observación General No. 14: El derecho al disfrute del más alto nivel posible de salud, </w:t>
      </w:r>
      <w:r>
        <w:rPr>
          <w:sz w:val="16"/>
        </w:rPr>
        <w:t>UN Doc. E/C.12/2000/4, 11 de agosto de 2000, párr.</w:t>
      </w:r>
      <w:r>
        <w:rPr>
          <w:spacing w:val="-23"/>
          <w:sz w:val="16"/>
        </w:rPr>
        <w:t xml:space="preserve"> </w:t>
      </w:r>
      <w:r>
        <w:rPr>
          <w:sz w:val="16"/>
        </w:rPr>
        <w:t>15.</w:t>
      </w:r>
    </w:p>
    <w:p w14:paraId="014F09DA" w14:textId="77777777" w:rsidR="00467FCA" w:rsidRDefault="001B68EB">
      <w:pPr>
        <w:tabs>
          <w:tab w:val="left" w:pos="839"/>
        </w:tabs>
        <w:ind w:left="119" w:right="129"/>
        <w:rPr>
          <w:sz w:val="16"/>
        </w:rPr>
      </w:pPr>
      <w:bookmarkStart w:id="337" w:name="_bookmark292"/>
      <w:bookmarkEnd w:id="337"/>
      <w:r>
        <w:rPr>
          <w:position w:val="6"/>
          <w:sz w:val="10"/>
        </w:rPr>
        <w:t>246</w:t>
      </w:r>
      <w:r>
        <w:rPr>
          <w:position w:val="6"/>
          <w:sz w:val="10"/>
        </w:rPr>
        <w:tab/>
      </w:r>
      <w:r>
        <w:rPr>
          <w:sz w:val="16"/>
        </w:rPr>
        <w:t xml:space="preserve">Comité de Derechos Económicos, Sociales y Culturales, </w:t>
      </w:r>
      <w:r>
        <w:rPr>
          <w:i/>
          <w:sz w:val="16"/>
        </w:rPr>
        <w:t>Observación General No. 18: El derecho a trabajo</w:t>
      </w:r>
      <w:r>
        <w:rPr>
          <w:sz w:val="16"/>
        </w:rPr>
        <w:t>, UN Doc. E/C.12/GC/18, 24 de noviembre de 2005, párr.</w:t>
      </w:r>
      <w:r>
        <w:rPr>
          <w:spacing w:val="-16"/>
          <w:sz w:val="16"/>
        </w:rPr>
        <w:t xml:space="preserve"> </w:t>
      </w:r>
      <w:r>
        <w:rPr>
          <w:sz w:val="16"/>
        </w:rPr>
        <w:t>12.c.</w:t>
      </w:r>
    </w:p>
    <w:p w14:paraId="50399536" w14:textId="77777777" w:rsidR="00467FCA" w:rsidRDefault="001B68EB">
      <w:pPr>
        <w:tabs>
          <w:tab w:val="left" w:pos="839"/>
        </w:tabs>
        <w:ind w:left="120"/>
        <w:rPr>
          <w:sz w:val="16"/>
        </w:rPr>
      </w:pPr>
      <w:bookmarkStart w:id="338" w:name="_bookmark293"/>
      <w:bookmarkEnd w:id="338"/>
      <w:r>
        <w:rPr>
          <w:position w:val="6"/>
          <w:sz w:val="10"/>
        </w:rPr>
        <w:t>247</w:t>
      </w:r>
      <w:r>
        <w:rPr>
          <w:position w:val="6"/>
          <w:sz w:val="10"/>
        </w:rPr>
        <w:tab/>
      </w:r>
      <w:r>
        <w:rPr>
          <w:i/>
          <w:sz w:val="16"/>
        </w:rPr>
        <w:t xml:space="preserve">Cfr. </w:t>
      </w:r>
      <w:r>
        <w:rPr>
          <w:sz w:val="16"/>
        </w:rPr>
        <w:t xml:space="preserve">Comité de Derechos Económicos, Sociales y Culturales, </w:t>
      </w:r>
      <w:r>
        <w:rPr>
          <w:i/>
          <w:sz w:val="16"/>
        </w:rPr>
        <w:t>Observación General No. 23, supra</w:t>
      </w:r>
      <w:r>
        <w:rPr>
          <w:sz w:val="16"/>
        </w:rPr>
        <w:t>, párr.</w:t>
      </w:r>
      <w:r>
        <w:rPr>
          <w:spacing w:val="-30"/>
          <w:sz w:val="16"/>
        </w:rPr>
        <w:t xml:space="preserve"> </w:t>
      </w:r>
      <w:r>
        <w:rPr>
          <w:sz w:val="16"/>
        </w:rPr>
        <w:t>1.</w:t>
      </w:r>
    </w:p>
    <w:p w14:paraId="4C1E081E" w14:textId="77777777" w:rsidR="00467FCA" w:rsidRDefault="001B68EB">
      <w:pPr>
        <w:tabs>
          <w:tab w:val="left" w:pos="839"/>
        </w:tabs>
        <w:ind w:left="119" w:right="114"/>
        <w:rPr>
          <w:sz w:val="16"/>
        </w:rPr>
      </w:pPr>
      <w:bookmarkStart w:id="339" w:name="_bookmark294"/>
      <w:bookmarkEnd w:id="339"/>
      <w:r>
        <w:rPr>
          <w:position w:val="6"/>
          <w:sz w:val="10"/>
        </w:rPr>
        <w:t>248</w:t>
      </w:r>
      <w:r>
        <w:rPr>
          <w:position w:val="6"/>
          <w:sz w:val="10"/>
        </w:rPr>
        <w:tab/>
      </w:r>
      <w:r>
        <w:rPr>
          <w:i/>
          <w:sz w:val="16"/>
        </w:rPr>
        <w:t>Cfr.</w:t>
      </w:r>
      <w:r>
        <w:rPr>
          <w:i/>
          <w:spacing w:val="-6"/>
          <w:sz w:val="16"/>
        </w:rPr>
        <w:t xml:space="preserve"> </w:t>
      </w:r>
      <w:r>
        <w:rPr>
          <w:sz w:val="16"/>
        </w:rPr>
        <w:t>Comité</w:t>
      </w:r>
      <w:r>
        <w:rPr>
          <w:spacing w:val="-5"/>
          <w:sz w:val="16"/>
        </w:rPr>
        <w:t xml:space="preserve"> </w:t>
      </w:r>
      <w:r>
        <w:rPr>
          <w:sz w:val="16"/>
        </w:rPr>
        <w:t>de</w:t>
      </w:r>
      <w:r>
        <w:rPr>
          <w:spacing w:val="-5"/>
          <w:sz w:val="16"/>
        </w:rPr>
        <w:t xml:space="preserve"> </w:t>
      </w:r>
      <w:r>
        <w:rPr>
          <w:sz w:val="16"/>
        </w:rPr>
        <w:t>Derechos</w:t>
      </w:r>
      <w:r>
        <w:rPr>
          <w:spacing w:val="-4"/>
          <w:sz w:val="16"/>
        </w:rPr>
        <w:t xml:space="preserve"> </w:t>
      </w:r>
      <w:r>
        <w:rPr>
          <w:sz w:val="16"/>
        </w:rPr>
        <w:t>Económicos,</w:t>
      </w:r>
      <w:r>
        <w:rPr>
          <w:spacing w:val="-6"/>
          <w:sz w:val="16"/>
        </w:rPr>
        <w:t xml:space="preserve"> </w:t>
      </w:r>
      <w:r>
        <w:rPr>
          <w:sz w:val="16"/>
        </w:rPr>
        <w:t>Sociales</w:t>
      </w:r>
      <w:r>
        <w:rPr>
          <w:spacing w:val="-7"/>
          <w:sz w:val="16"/>
        </w:rPr>
        <w:t xml:space="preserve"> </w:t>
      </w:r>
      <w:r>
        <w:rPr>
          <w:sz w:val="16"/>
        </w:rPr>
        <w:t>y</w:t>
      </w:r>
      <w:r>
        <w:rPr>
          <w:spacing w:val="-4"/>
          <w:sz w:val="16"/>
        </w:rPr>
        <w:t xml:space="preserve"> </w:t>
      </w:r>
      <w:r>
        <w:rPr>
          <w:sz w:val="16"/>
        </w:rPr>
        <w:t>Culturales,</w:t>
      </w:r>
      <w:r>
        <w:rPr>
          <w:spacing w:val="-5"/>
          <w:sz w:val="16"/>
        </w:rPr>
        <w:t xml:space="preserve"> </w:t>
      </w:r>
      <w:r>
        <w:rPr>
          <w:i/>
          <w:sz w:val="16"/>
        </w:rPr>
        <w:t>Observación</w:t>
      </w:r>
      <w:r>
        <w:rPr>
          <w:i/>
          <w:spacing w:val="-6"/>
          <w:sz w:val="16"/>
        </w:rPr>
        <w:t xml:space="preserve"> </w:t>
      </w:r>
      <w:r>
        <w:rPr>
          <w:i/>
          <w:sz w:val="16"/>
        </w:rPr>
        <w:t>General</w:t>
      </w:r>
      <w:r>
        <w:rPr>
          <w:i/>
          <w:spacing w:val="-6"/>
          <w:sz w:val="16"/>
        </w:rPr>
        <w:t xml:space="preserve"> </w:t>
      </w:r>
      <w:r>
        <w:rPr>
          <w:i/>
          <w:sz w:val="16"/>
        </w:rPr>
        <w:t>No:</w:t>
      </w:r>
      <w:r>
        <w:rPr>
          <w:i/>
          <w:spacing w:val="-6"/>
          <w:sz w:val="16"/>
        </w:rPr>
        <w:t xml:space="preserve"> </w:t>
      </w:r>
      <w:r>
        <w:rPr>
          <w:i/>
          <w:sz w:val="16"/>
        </w:rPr>
        <w:t>23,</w:t>
      </w:r>
      <w:r>
        <w:rPr>
          <w:i/>
          <w:spacing w:val="-7"/>
          <w:sz w:val="16"/>
        </w:rPr>
        <w:t xml:space="preserve"> </w:t>
      </w:r>
      <w:r>
        <w:rPr>
          <w:i/>
          <w:sz w:val="16"/>
        </w:rPr>
        <w:t>supra</w:t>
      </w:r>
      <w:r>
        <w:rPr>
          <w:sz w:val="16"/>
        </w:rPr>
        <w:t>,</w:t>
      </w:r>
      <w:r>
        <w:rPr>
          <w:spacing w:val="-6"/>
          <w:sz w:val="16"/>
        </w:rPr>
        <w:t xml:space="preserve"> </w:t>
      </w:r>
      <w:r>
        <w:rPr>
          <w:sz w:val="16"/>
        </w:rPr>
        <w:t>párr.</w:t>
      </w:r>
      <w:r>
        <w:rPr>
          <w:spacing w:val="-6"/>
          <w:sz w:val="16"/>
        </w:rPr>
        <w:t xml:space="preserve"> </w:t>
      </w:r>
      <w:r>
        <w:rPr>
          <w:sz w:val="16"/>
        </w:rPr>
        <w:t>5.</w:t>
      </w:r>
      <w:r>
        <w:rPr>
          <w:spacing w:val="-6"/>
          <w:sz w:val="16"/>
        </w:rPr>
        <w:t xml:space="preserve"> </w:t>
      </w:r>
      <w:r>
        <w:rPr>
          <w:sz w:val="16"/>
        </w:rPr>
        <w:t>En este</w:t>
      </w:r>
      <w:r>
        <w:rPr>
          <w:spacing w:val="-10"/>
          <w:sz w:val="16"/>
        </w:rPr>
        <w:t xml:space="preserve"> </w:t>
      </w:r>
      <w:r>
        <w:rPr>
          <w:sz w:val="16"/>
        </w:rPr>
        <w:t>caso</w:t>
      </w:r>
      <w:r>
        <w:rPr>
          <w:spacing w:val="-11"/>
          <w:sz w:val="16"/>
        </w:rPr>
        <w:t xml:space="preserve"> </w:t>
      </w:r>
      <w:r>
        <w:rPr>
          <w:sz w:val="16"/>
        </w:rPr>
        <w:t>es</w:t>
      </w:r>
      <w:r>
        <w:rPr>
          <w:spacing w:val="-12"/>
          <w:sz w:val="16"/>
        </w:rPr>
        <w:t xml:space="preserve"> </w:t>
      </w:r>
      <w:r>
        <w:rPr>
          <w:sz w:val="16"/>
        </w:rPr>
        <w:t>necesario</w:t>
      </w:r>
      <w:r>
        <w:rPr>
          <w:spacing w:val="-11"/>
          <w:sz w:val="16"/>
        </w:rPr>
        <w:t xml:space="preserve"> </w:t>
      </w:r>
      <w:r>
        <w:rPr>
          <w:sz w:val="16"/>
        </w:rPr>
        <w:t>destacar</w:t>
      </w:r>
      <w:r>
        <w:rPr>
          <w:spacing w:val="-11"/>
          <w:sz w:val="16"/>
        </w:rPr>
        <w:t xml:space="preserve"> </w:t>
      </w:r>
      <w:r>
        <w:rPr>
          <w:sz w:val="16"/>
        </w:rPr>
        <w:t>que</w:t>
      </w:r>
      <w:r>
        <w:rPr>
          <w:spacing w:val="-9"/>
          <w:sz w:val="16"/>
        </w:rPr>
        <w:t xml:space="preserve"> </w:t>
      </w:r>
      <w:r>
        <w:rPr>
          <w:sz w:val="16"/>
        </w:rPr>
        <w:t>la</w:t>
      </w:r>
      <w:r>
        <w:rPr>
          <w:spacing w:val="-13"/>
          <w:sz w:val="16"/>
        </w:rPr>
        <w:t xml:space="preserve"> </w:t>
      </w:r>
      <w:r>
        <w:rPr>
          <w:sz w:val="16"/>
        </w:rPr>
        <w:t>fábrica</w:t>
      </w:r>
      <w:r>
        <w:rPr>
          <w:spacing w:val="-13"/>
          <w:sz w:val="16"/>
        </w:rPr>
        <w:t xml:space="preserve"> </w:t>
      </w:r>
      <w:r>
        <w:rPr>
          <w:sz w:val="16"/>
        </w:rPr>
        <w:t>d</w:t>
      </w:r>
      <w:r>
        <w:rPr>
          <w:sz w:val="16"/>
        </w:rPr>
        <w:t>e</w:t>
      </w:r>
      <w:r>
        <w:rPr>
          <w:spacing w:val="-12"/>
          <w:sz w:val="16"/>
        </w:rPr>
        <w:t xml:space="preserve"> </w:t>
      </w:r>
      <w:r>
        <w:rPr>
          <w:sz w:val="16"/>
        </w:rPr>
        <w:t>fuegos</w:t>
      </w:r>
      <w:r>
        <w:rPr>
          <w:spacing w:val="-12"/>
          <w:sz w:val="16"/>
        </w:rPr>
        <w:t xml:space="preserve"> </w:t>
      </w:r>
      <w:r>
        <w:rPr>
          <w:sz w:val="16"/>
        </w:rPr>
        <w:t>era</w:t>
      </w:r>
      <w:r>
        <w:rPr>
          <w:spacing w:val="-13"/>
          <w:sz w:val="16"/>
        </w:rPr>
        <w:t xml:space="preserve"> </w:t>
      </w:r>
      <w:r>
        <w:rPr>
          <w:sz w:val="16"/>
        </w:rPr>
        <w:t>una</w:t>
      </w:r>
      <w:r>
        <w:rPr>
          <w:spacing w:val="-10"/>
          <w:sz w:val="16"/>
        </w:rPr>
        <w:t xml:space="preserve"> </w:t>
      </w:r>
      <w:r>
        <w:rPr>
          <w:sz w:val="16"/>
        </w:rPr>
        <w:t>pequeña</w:t>
      </w:r>
      <w:r>
        <w:rPr>
          <w:spacing w:val="-10"/>
          <w:sz w:val="16"/>
        </w:rPr>
        <w:t xml:space="preserve"> </w:t>
      </w:r>
      <w:r>
        <w:rPr>
          <w:sz w:val="16"/>
        </w:rPr>
        <w:t>empresa</w:t>
      </w:r>
      <w:r>
        <w:rPr>
          <w:spacing w:val="-13"/>
          <w:sz w:val="16"/>
        </w:rPr>
        <w:t xml:space="preserve"> </w:t>
      </w:r>
      <w:r>
        <w:rPr>
          <w:sz w:val="16"/>
        </w:rPr>
        <w:t>privada,</w:t>
      </w:r>
      <w:r>
        <w:rPr>
          <w:spacing w:val="-11"/>
          <w:sz w:val="16"/>
        </w:rPr>
        <w:t xml:space="preserve"> </w:t>
      </w:r>
      <w:r>
        <w:rPr>
          <w:sz w:val="16"/>
        </w:rPr>
        <w:t>que</w:t>
      </w:r>
      <w:r>
        <w:rPr>
          <w:spacing w:val="-12"/>
          <w:sz w:val="16"/>
        </w:rPr>
        <w:t xml:space="preserve"> </w:t>
      </w:r>
      <w:r>
        <w:rPr>
          <w:sz w:val="16"/>
        </w:rPr>
        <w:t>operaba</w:t>
      </w:r>
      <w:r>
        <w:rPr>
          <w:spacing w:val="-12"/>
          <w:sz w:val="16"/>
        </w:rPr>
        <w:t xml:space="preserve"> </w:t>
      </w:r>
      <w:r>
        <w:rPr>
          <w:sz w:val="16"/>
        </w:rPr>
        <w:t>en</w:t>
      </w:r>
      <w:r>
        <w:rPr>
          <w:spacing w:val="-11"/>
          <w:sz w:val="16"/>
        </w:rPr>
        <w:t xml:space="preserve"> </w:t>
      </w:r>
      <w:r>
        <w:rPr>
          <w:sz w:val="16"/>
        </w:rPr>
        <w:t>un</w:t>
      </w:r>
      <w:r>
        <w:rPr>
          <w:spacing w:val="-13"/>
          <w:sz w:val="16"/>
        </w:rPr>
        <w:t xml:space="preserve"> </w:t>
      </w:r>
      <w:r>
        <w:rPr>
          <w:sz w:val="16"/>
        </w:rPr>
        <w:t>marco</w:t>
      </w:r>
    </w:p>
    <w:p w14:paraId="372A417D" w14:textId="77777777" w:rsidR="00467FCA" w:rsidRDefault="00467FCA">
      <w:pPr>
        <w:rPr>
          <w:sz w:val="16"/>
        </w:rPr>
        <w:sectPr w:rsidR="00467FCA">
          <w:pgSz w:w="12240" w:h="15840"/>
          <w:pgMar w:top="1360" w:right="1320" w:bottom="1220" w:left="1320" w:header="0" w:footer="1037" w:gutter="0"/>
          <w:cols w:space="720"/>
        </w:sectPr>
      </w:pPr>
    </w:p>
    <w:p w14:paraId="6B1F2309" w14:textId="77777777" w:rsidR="00467FCA" w:rsidRDefault="001B68EB">
      <w:pPr>
        <w:pStyle w:val="Textoindependiente"/>
        <w:spacing w:before="80"/>
        <w:ind w:left="120" w:right="120"/>
        <w:jc w:val="both"/>
      </w:pPr>
      <w:r>
        <w:t>básicos de este derecho, aunque señala que no son exhaustivos. Dentro de esos elementos, listados en el artículo 7 del PIDESC, se cuentan las condiciones de seguridad e higiene en el trabajo.</w:t>
      </w:r>
    </w:p>
    <w:p w14:paraId="24900D2D" w14:textId="77777777" w:rsidR="00467FCA" w:rsidRDefault="00467FCA">
      <w:pPr>
        <w:pStyle w:val="Textoindependiente"/>
      </w:pPr>
    </w:p>
    <w:p w14:paraId="45564965" w14:textId="77777777" w:rsidR="00467FCA" w:rsidRDefault="001B68EB">
      <w:pPr>
        <w:pStyle w:val="Prrafodelista"/>
        <w:numPr>
          <w:ilvl w:val="0"/>
          <w:numId w:val="50"/>
        </w:numPr>
        <w:tabs>
          <w:tab w:val="left" w:pos="687"/>
        </w:tabs>
        <w:ind w:left="119" w:right="117" w:firstLine="0"/>
        <w:jc w:val="both"/>
        <w:rPr>
          <w:sz w:val="20"/>
        </w:rPr>
      </w:pPr>
      <w:r>
        <w:rPr>
          <w:sz w:val="20"/>
        </w:rPr>
        <w:t>En particular, en relación con la seguridad e higiene en el tra</w:t>
      </w:r>
      <w:r>
        <w:rPr>
          <w:sz w:val="20"/>
        </w:rPr>
        <w:t>bajo, la Observación General No. 23 dispone que “[l]a prevención de accidentes y enfermedades profesionales es un componente fundamental del derecho a unas condiciones de trabajo equitativas y satisfactorias, y guarda estrecha relación con otros derechos r</w:t>
      </w:r>
      <w:r>
        <w:rPr>
          <w:sz w:val="20"/>
        </w:rPr>
        <w:t>econocidos en el Pacto, en particular</w:t>
      </w:r>
      <w:r>
        <w:rPr>
          <w:spacing w:val="-9"/>
          <w:sz w:val="20"/>
        </w:rPr>
        <w:t xml:space="preserve"> </w:t>
      </w:r>
      <w:r>
        <w:rPr>
          <w:sz w:val="20"/>
        </w:rPr>
        <w:t>con</w:t>
      </w:r>
      <w:r>
        <w:rPr>
          <w:spacing w:val="-6"/>
          <w:sz w:val="20"/>
        </w:rPr>
        <w:t xml:space="preserve"> </w:t>
      </w:r>
      <w:r>
        <w:rPr>
          <w:sz w:val="20"/>
        </w:rPr>
        <w:t>el</w:t>
      </w:r>
      <w:r>
        <w:rPr>
          <w:spacing w:val="-6"/>
          <w:sz w:val="20"/>
        </w:rPr>
        <w:t xml:space="preserve"> </w:t>
      </w:r>
      <w:r>
        <w:rPr>
          <w:sz w:val="20"/>
        </w:rPr>
        <w:t>derecho</w:t>
      </w:r>
      <w:r>
        <w:rPr>
          <w:spacing w:val="-10"/>
          <w:sz w:val="20"/>
        </w:rPr>
        <w:t xml:space="preserve"> </w:t>
      </w:r>
      <w:r>
        <w:rPr>
          <w:sz w:val="20"/>
        </w:rPr>
        <w:t>al</w:t>
      </w:r>
      <w:r>
        <w:rPr>
          <w:spacing w:val="-7"/>
          <w:sz w:val="20"/>
        </w:rPr>
        <w:t xml:space="preserve"> </w:t>
      </w:r>
      <w:r>
        <w:rPr>
          <w:sz w:val="20"/>
        </w:rPr>
        <w:t>más</w:t>
      </w:r>
      <w:r>
        <w:rPr>
          <w:spacing w:val="-10"/>
          <w:sz w:val="20"/>
        </w:rPr>
        <w:t xml:space="preserve"> </w:t>
      </w:r>
      <w:r>
        <w:rPr>
          <w:sz w:val="20"/>
        </w:rPr>
        <w:t>alto</w:t>
      </w:r>
      <w:r>
        <w:rPr>
          <w:spacing w:val="-10"/>
          <w:sz w:val="20"/>
        </w:rPr>
        <w:t xml:space="preserve"> </w:t>
      </w:r>
      <w:r>
        <w:rPr>
          <w:sz w:val="20"/>
        </w:rPr>
        <w:t>nivel</w:t>
      </w:r>
      <w:r>
        <w:rPr>
          <w:spacing w:val="-9"/>
          <w:sz w:val="20"/>
        </w:rPr>
        <w:t xml:space="preserve"> </w:t>
      </w:r>
      <w:r>
        <w:rPr>
          <w:sz w:val="20"/>
        </w:rPr>
        <w:t>posible</w:t>
      </w:r>
      <w:r>
        <w:rPr>
          <w:spacing w:val="-11"/>
          <w:sz w:val="20"/>
        </w:rPr>
        <w:t xml:space="preserve"> </w:t>
      </w:r>
      <w:r>
        <w:rPr>
          <w:sz w:val="20"/>
        </w:rPr>
        <w:t>de</w:t>
      </w:r>
      <w:r>
        <w:rPr>
          <w:spacing w:val="-10"/>
          <w:sz w:val="20"/>
        </w:rPr>
        <w:t xml:space="preserve"> </w:t>
      </w:r>
      <w:r>
        <w:rPr>
          <w:sz w:val="20"/>
        </w:rPr>
        <w:t>salud</w:t>
      </w:r>
      <w:r>
        <w:rPr>
          <w:spacing w:val="-6"/>
          <w:sz w:val="20"/>
        </w:rPr>
        <w:t xml:space="preserve"> </w:t>
      </w:r>
      <w:r>
        <w:rPr>
          <w:sz w:val="20"/>
        </w:rPr>
        <w:t>física</w:t>
      </w:r>
      <w:r>
        <w:rPr>
          <w:spacing w:val="-8"/>
          <w:sz w:val="20"/>
        </w:rPr>
        <w:t xml:space="preserve"> </w:t>
      </w:r>
      <w:r>
        <w:rPr>
          <w:sz w:val="20"/>
        </w:rPr>
        <w:t>y</w:t>
      </w:r>
      <w:r>
        <w:rPr>
          <w:spacing w:val="-7"/>
          <w:sz w:val="20"/>
        </w:rPr>
        <w:t xml:space="preserve"> </w:t>
      </w:r>
      <w:r>
        <w:rPr>
          <w:sz w:val="20"/>
        </w:rPr>
        <w:t>mental”</w:t>
      </w:r>
      <w:hyperlink w:anchor="_bookmark295" w:history="1">
        <w:r>
          <w:rPr>
            <w:position w:val="7"/>
            <w:sz w:val="13"/>
          </w:rPr>
          <w:t>249</w:t>
        </w:r>
      </w:hyperlink>
      <w:r>
        <w:rPr>
          <w:sz w:val="20"/>
        </w:rPr>
        <w:t>.</w:t>
      </w:r>
      <w:r>
        <w:rPr>
          <w:spacing w:val="-10"/>
          <w:sz w:val="20"/>
        </w:rPr>
        <w:t xml:space="preserve"> </w:t>
      </w:r>
      <w:r>
        <w:rPr>
          <w:sz w:val="20"/>
        </w:rPr>
        <w:t>En</w:t>
      </w:r>
      <w:r>
        <w:rPr>
          <w:spacing w:val="-6"/>
          <w:sz w:val="20"/>
        </w:rPr>
        <w:t xml:space="preserve"> </w:t>
      </w:r>
      <w:r>
        <w:rPr>
          <w:sz w:val="20"/>
        </w:rPr>
        <w:t>ese</w:t>
      </w:r>
      <w:r>
        <w:rPr>
          <w:spacing w:val="-8"/>
          <w:sz w:val="20"/>
        </w:rPr>
        <w:t xml:space="preserve"> </w:t>
      </w:r>
      <w:r>
        <w:rPr>
          <w:sz w:val="20"/>
        </w:rPr>
        <w:t>sentido, indica que los Estados “deberían adoptar una política nacional para prevenir los accidentes y daños</w:t>
      </w:r>
      <w:r>
        <w:rPr>
          <w:sz w:val="20"/>
        </w:rPr>
        <w:t xml:space="preserve"> a la salud relacionados con el trabajo mediante la reducción al mínimo de los riesgos en el entorno de</w:t>
      </w:r>
      <w:r>
        <w:rPr>
          <w:spacing w:val="-2"/>
          <w:sz w:val="20"/>
        </w:rPr>
        <w:t xml:space="preserve"> </w:t>
      </w:r>
      <w:r>
        <w:rPr>
          <w:sz w:val="20"/>
        </w:rPr>
        <w:t>trabajo”</w:t>
      </w:r>
      <w:hyperlink w:anchor="_bookmark296" w:history="1">
        <w:r>
          <w:rPr>
            <w:position w:val="7"/>
            <w:sz w:val="13"/>
          </w:rPr>
          <w:t>250</w:t>
        </w:r>
      </w:hyperlink>
      <w:r>
        <w:rPr>
          <w:sz w:val="20"/>
        </w:rPr>
        <w:t>.</w:t>
      </w:r>
    </w:p>
    <w:p w14:paraId="1A4A7D90" w14:textId="77777777" w:rsidR="00467FCA" w:rsidRDefault="00467FCA">
      <w:pPr>
        <w:pStyle w:val="Textoindependiente"/>
        <w:spacing w:before="1"/>
      </w:pPr>
    </w:p>
    <w:p w14:paraId="36BFB6EF" w14:textId="77777777" w:rsidR="00467FCA" w:rsidRDefault="001B68EB">
      <w:pPr>
        <w:pStyle w:val="Prrafodelista"/>
        <w:numPr>
          <w:ilvl w:val="0"/>
          <w:numId w:val="50"/>
        </w:numPr>
        <w:tabs>
          <w:tab w:val="left" w:pos="687"/>
        </w:tabs>
        <w:ind w:left="119" w:right="116" w:firstLine="0"/>
        <w:jc w:val="both"/>
        <w:rPr>
          <w:sz w:val="20"/>
        </w:rPr>
      </w:pPr>
      <w:r>
        <w:rPr>
          <w:sz w:val="20"/>
        </w:rPr>
        <w:t>Además</w:t>
      </w:r>
      <w:r>
        <w:rPr>
          <w:spacing w:val="-6"/>
          <w:sz w:val="20"/>
        </w:rPr>
        <w:t xml:space="preserve"> </w:t>
      </w:r>
      <w:r>
        <w:rPr>
          <w:sz w:val="20"/>
        </w:rPr>
        <w:t>de</w:t>
      </w:r>
      <w:r>
        <w:rPr>
          <w:spacing w:val="-7"/>
          <w:sz w:val="20"/>
        </w:rPr>
        <w:t xml:space="preserve"> </w:t>
      </w:r>
      <w:r>
        <w:rPr>
          <w:sz w:val="20"/>
        </w:rPr>
        <w:t>estar</w:t>
      </w:r>
      <w:r>
        <w:rPr>
          <w:spacing w:val="-7"/>
          <w:sz w:val="20"/>
        </w:rPr>
        <w:t xml:space="preserve"> </w:t>
      </w:r>
      <w:r>
        <w:rPr>
          <w:sz w:val="20"/>
        </w:rPr>
        <w:t>ampliamente</w:t>
      </w:r>
      <w:r>
        <w:rPr>
          <w:spacing w:val="-4"/>
          <w:sz w:val="20"/>
        </w:rPr>
        <w:t xml:space="preserve"> </w:t>
      </w:r>
      <w:r>
        <w:rPr>
          <w:sz w:val="20"/>
        </w:rPr>
        <w:t>reconocido</w:t>
      </w:r>
      <w:r>
        <w:rPr>
          <w:spacing w:val="-3"/>
          <w:sz w:val="20"/>
        </w:rPr>
        <w:t xml:space="preserve"> </w:t>
      </w:r>
      <w:r>
        <w:rPr>
          <w:sz w:val="20"/>
        </w:rPr>
        <w:t>en</w:t>
      </w:r>
      <w:r>
        <w:rPr>
          <w:spacing w:val="-2"/>
          <w:sz w:val="20"/>
        </w:rPr>
        <w:t xml:space="preserve"> </w:t>
      </w:r>
      <w:r>
        <w:rPr>
          <w:sz w:val="20"/>
        </w:rPr>
        <w:t>el</w:t>
      </w:r>
      <w:r>
        <w:rPr>
          <w:spacing w:val="-5"/>
          <w:sz w:val="20"/>
        </w:rPr>
        <w:t xml:space="preserve"> </w:t>
      </w:r>
      <w:r>
        <w:rPr>
          <w:i/>
          <w:sz w:val="20"/>
        </w:rPr>
        <w:t>corpus</w:t>
      </w:r>
      <w:r>
        <w:rPr>
          <w:i/>
          <w:spacing w:val="-6"/>
          <w:sz w:val="20"/>
        </w:rPr>
        <w:t xml:space="preserve"> </w:t>
      </w:r>
      <w:r>
        <w:rPr>
          <w:i/>
          <w:sz w:val="20"/>
        </w:rPr>
        <w:t>iuris</w:t>
      </w:r>
      <w:r>
        <w:rPr>
          <w:i/>
          <w:spacing w:val="-7"/>
          <w:sz w:val="20"/>
        </w:rPr>
        <w:t xml:space="preserve"> </w:t>
      </w:r>
      <w:r>
        <w:rPr>
          <w:sz w:val="20"/>
        </w:rPr>
        <w:t>internacional</w:t>
      </w:r>
      <w:hyperlink w:anchor="_bookmark297" w:history="1">
        <w:r>
          <w:rPr>
            <w:position w:val="7"/>
            <w:sz w:val="13"/>
          </w:rPr>
          <w:t>251</w:t>
        </w:r>
      </w:hyperlink>
      <w:r>
        <w:rPr>
          <w:sz w:val="20"/>
        </w:rPr>
        <w:t>,</w:t>
      </w:r>
      <w:r>
        <w:rPr>
          <w:spacing w:val="-6"/>
          <w:sz w:val="20"/>
        </w:rPr>
        <w:t xml:space="preserve"> </w:t>
      </w:r>
      <w:r>
        <w:rPr>
          <w:sz w:val="20"/>
        </w:rPr>
        <w:t>el</w:t>
      </w:r>
      <w:r>
        <w:rPr>
          <w:spacing w:val="-4"/>
          <w:sz w:val="20"/>
        </w:rPr>
        <w:t xml:space="preserve"> </w:t>
      </w:r>
      <w:r>
        <w:rPr>
          <w:sz w:val="20"/>
        </w:rPr>
        <w:t>derecho a condiciones equitativas y satisfactorias de trabajo también ha sido reconocido en las Constituciones</w:t>
      </w:r>
      <w:r>
        <w:rPr>
          <w:spacing w:val="-19"/>
          <w:sz w:val="20"/>
        </w:rPr>
        <w:t xml:space="preserve"> </w:t>
      </w:r>
      <w:r>
        <w:rPr>
          <w:sz w:val="20"/>
        </w:rPr>
        <w:t>y</w:t>
      </w:r>
      <w:r>
        <w:rPr>
          <w:spacing w:val="-16"/>
          <w:sz w:val="20"/>
        </w:rPr>
        <w:t xml:space="preserve"> </w:t>
      </w:r>
      <w:r>
        <w:rPr>
          <w:sz w:val="20"/>
        </w:rPr>
        <w:t>en</w:t>
      </w:r>
      <w:r>
        <w:rPr>
          <w:spacing w:val="-17"/>
          <w:sz w:val="20"/>
        </w:rPr>
        <w:t xml:space="preserve"> </w:t>
      </w:r>
      <w:r>
        <w:rPr>
          <w:sz w:val="20"/>
        </w:rPr>
        <w:t>la</w:t>
      </w:r>
      <w:r>
        <w:rPr>
          <w:spacing w:val="-18"/>
          <w:sz w:val="20"/>
        </w:rPr>
        <w:t xml:space="preserve"> </w:t>
      </w:r>
      <w:r>
        <w:rPr>
          <w:sz w:val="20"/>
        </w:rPr>
        <w:t>legislación</w:t>
      </w:r>
      <w:r>
        <w:rPr>
          <w:spacing w:val="-17"/>
          <w:sz w:val="20"/>
        </w:rPr>
        <w:t xml:space="preserve"> </w:t>
      </w:r>
      <w:r>
        <w:rPr>
          <w:sz w:val="20"/>
        </w:rPr>
        <w:t>de</w:t>
      </w:r>
      <w:r>
        <w:rPr>
          <w:spacing w:val="-20"/>
          <w:sz w:val="20"/>
        </w:rPr>
        <w:t xml:space="preserve"> </w:t>
      </w:r>
      <w:r>
        <w:rPr>
          <w:sz w:val="20"/>
        </w:rPr>
        <w:t>los</w:t>
      </w:r>
      <w:r>
        <w:rPr>
          <w:spacing w:val="-19"/>
          <w:sz w:val="20"/>
        </w:rPr>
        <w:t xml:space="preserve"> </w:t>
      </w:r>
      <w:r>
        <w:rPr>
          <w:sz w:val="20"/>
        </w:rPr>
        <w:t>países</w:t>
      </w:r>
      <w:r>
        <w:rPr>
          <w:spacing w:val="-18"/>
          <w:sz w:val="20"/>
        </w:rPr>
        <w:t xml:space="preserve"> </w:t>
      </w:r>
      <w:r>
        <w:rPr>
          <w:sz w:val="20"/>
        </w:rPr>
        <w:t>que</w:t>
      </w:r>
      <w:r>
        <w:rPr>
          <w:spacing w:val="-20"/>
          <w:sz w:val="20"/>
        </w:rPr>
        <w:t xml:space="preserve"> </w:t>
      </w:r>
      <w:r>
        <w:rPr>
          <w:sz w:val="20"/>
        </w:rPr>
        <w:t>han</w:t>
      </w:r>
      <w:r>
        <w:rPr>
          <w:spacing w:val="-17"/>
          <w:sz w:val="20"/>
        </w:rPr>
        <w:t xml:space="preserve"> </w:t>
      </w:r>
      <w:r>
        <w:rPr>
          <w:sz w:val="20"/>
        </w:rPr>
        <w:t>reconocido</w:t>
      </w:r>
      <w:r>
        <w:rPr>
          <w:spacing w:val="-20"/>
          <w:sz w:val="20"/>
        </w:rPr>
        <w:t xml:space="preserve"> </w:t>
      </w:r>
      <w:r>
        <w:rPr>
          <w:sz w:val="20"/>
        </w:rPr>
        <w:t>la</w:t>
      </w:r>
      <w:r>
        <w:rPr>
          <w:spacing w:val="-16"/>
          <w:sz w:val="20"/>
        </w:rPr>
        <w:t xml:space="preserve"> </w:t>
      </w:r>
      <w:r>
        <w:rPr>
          <w:sz w:val="20"/>
        </w:rPr>
        <w:t>competencia</w:t>
      </w:r>
      <w:r>
        <w:rPr>
          <w:spacing w:val="-14"/>
          <w:sz w:val="20"/>
        </w:rPr>
        <w:t xml:space="preserve"> </w:t>
      </w:r>
      <w:r>
        <w:rPr>
          <w:sz w:val="20"/>
        </w:rPr>
        <w:t>contenciosa de la Corte Interamericana</w:t>
      </w:r>
      <w:hyperlink w:anchor="_bookmark298" w:history="1">
        <w:r>
          <w:rPr>
            <w:position w:val="7"/>
            <w:sz w:val="13"/>
          </w:rPr>
          <w:t>252</w:t>
        </w:r>
      </w:hyperlink>
      <w:r>
        <w:rPr>
          <w:position w:val="7"/>
          <w:sz w:val="13"/>
        </w:rPr>
        <w:t xml:space="preserve"> </w:t>
      </w:r>
      <w:r>
        <w:rPr>
          <w:sz w:val="20"/>
        </w:rPr>
        <w:t>y, en particular, por el Estado brasileño. Este último, para la fecha de la explosión de la fábrica de fuegos, no solo reconocía el derecho a condiciones equitativas</w:t>
      </w:r>
      <w:r>
        <w:rPr>
          <w:spacing w:val="-10"/>
          <w:sz w:val="20"/>
        </w:rPr>
        <w:t xml:space="preserve"> </w:t>
      </w:r>
      <w:r>
        <w:rPr>
          <w:sz w:val="20"/>
        </w:rPr>
        <w:t>y</w:t>
      </w:r>
      <w:r>
        <w:rPr>
          <w:spacing w:val="-8"/>
          <w:sz w:val="20"/>
        </w:rPr>
        <w:t xml:space="preserve"> </w:t>
      </w:r>
      <w:r>
        <w:rPr>
          <w:sz w:val="20"/>
        </w:rPr>
        <w:t>satisfactorias</w:t>
      </w:r>
      <w:r>
        <w:rPr>
          <w:spacing w:val="-11"/>
          <w:sz w:val="20"/>
        </w:rPr>
        <w:t xml:space="preserve"> </w:t>
      </w:r>
      <w:r>
        <w:rPr>
          <w:sz w:val="20"/>
        </w:rPr>
        <w:t>de</w:t>
      </w:r>
      <w:r>
        <w:rPr>
          <w:spacing w:val="-9"/>
          <w:sz w:val="20"/>
        </w:rPr>
        <w:t xml:space="preserve"> </w:t>
      </w:r>
      <w:r>
        <w:rPr>
          <w:sz w:val="20"/>
        </w:rPr>
        <w:t>trabajo,</w:t>
      </w:r>
      <w:r>
        <w:rPr>
          <w:spacing w:val="-8"/>
          <w:sz w:val="20"/>
        </w:rPr>
        <w:t xml:space="preserve"> </w:t>
      </w:r>
      <w:r>
        <w:rPr>
          <w:sz w:val="20"/>
        </w:rPr>
        <w:t>sino</w:t>
      </w:r>
      <w:r>
        <w:rPr>
          <w:spacing w:val="-9"/>
          <w:sz w:val="20"/>
        </w:rPr>
        <w:t xml:space="preserve"> </w:t>
      </w:r>
      <w:r>
        <w:rPr>
          <w:sz w:val="20"/>
        </w:rPr>
        <w:t>que</w:t>
      </w:r>
      <w:r>
        <w:rPr>
          <w:spacing w:val="-7"/>
          <w:sz w:val="20"/>
        </w:rPr>
        <w:t xml:space="preserve"> </w:t>
      </w:r>
      <w:r>
        <w:rPr>
          <w:sz w:val="20"/>
        </w:rPr>
        <w:t>además</w:t>
      </w:r>
      <w:r>
        <w:rPr>
          <w:spacing w:val="-9"/>
          <w:sz w:val="20"/>
        </w:rPr>
        <w:t xml:space="preserve"> </w:t>
      </w:r>
      <w:r>
        <w:rPr>
          <w:sz w:val="20"/>
        </w:rPr>
        <w:t>contaba</w:t>
      </w:r>
      <w:r>
        <w:rPr>
          <w:spacing w:val="-8"/>
          <w:sz w:val="20"/>
        </w:rPr>
        <w:t xml:space="preserve"> </w:t>
      </w:r>
      <w:r>
        <w:rPr>
          <w:sz w:val="20"/>
        </w:rPr>
        <w:t>con</w:t>
      </w:r>
      <w:r>
        <w:rPr>
          <w:spacing w:val="-7"/>
          <w:sz w:val="20"/>
        </w:rPr>
        <w:t xml:space="preserve"> </w:t>
      </w:r>
      <w:r>
        <w:rPr>
          <w:sz w:val="20"/>
        </w:rPr>
        <w:t>una</w:t>
      </w:r>
      <w:r>
        <w:rPr>
          <w:spacing w:val="-10"/>
          <w:sz w:val="20"/>
        </w:rPr>
        <w:t xml:space="preserve"> </w:t>
      </w:r>
      <w:r>
        <w:rPr>
          <w:sz w:val="20"/>
        </w:rPr>
        <w:t>normatividad</w:t>
      </w:r>
      <w:r>
        <w:rPr>
          <w:spacing w:val="-10"/>
          <w:sz w:val="20"/>
        </w:rPr>
        <w:t xml:space="preserve"> </w:t>
      </w:r>
      <w:r>
        <w:rPr>
          <w:sz w:val="20"/>
        </w:rPr>
        <w:t>que</w:t>
      </w:r>
      <w:r>
        <w:rPr>
          <w:spacing w:val="-11"/>
          <w:sz w:val="20"/>
        </w:rPr>
        <w:t xml:space="preserve"> </w:t>
      </w:r>
      <w:r>
        <w:rPr>
          <w:sz w:val="20"/>
        </w:rPr>
        <w:t>le imponía el deber de fiscalizar esas</w:t>
      </w:r>
      <w:r>
        <w:rPr>
          <w:spacing w:val="-9"/>
          <w:sz w:val="20"/>
        </w:rPr>
        <w:t xml:space="preserve"> </w:t>
      </w:r>
      <w:r>
        <w:rPr>
          <w:sz w:val="20"/>
        </w:rPr>
        <w:t>condiciones.</w:t>
      </w:r>
    </w:p>
    <w:p w14:paraId="73D9BC72" w14:textId="77777777" w:rsidR="00467FCA" w:rsidRDefault="001B68EB">
      <w:pPr>
        <w:pStyle w:val="Textoindependiente"/>
        <w:spacing w:before="7"/>
        <w:rPr>
          <w:sz w:val="29"/>
        </w:rPr>
      </w:pPr>
      <w:r>
        <w:pict w14:anchorId="24905B95">
          <v:shape id="_x0000_s1151" style="position:absolute;margin-left:1in;margin-top:20.2pt;width:2in;height:.1pt;z-index:-251612160;mso-wrap-distance-left:0;mso-wrap-distance-right:0;mso-position-horizontal-relative:page" coordorigin="1440,404" coordsize="2880,0" path="m1440,404r2880,e" filled="f" strokeweight=".21131mm">
            <v:path arrowok="t"/>
            <w10:wrap type="topAndBottom" anchorx="page"/>
          </v:shape>
        </w:pict>
      </w:r>
    </w:p>
    <w:p w14:paraId="031F6884" w14:textId="77777777" w:rsidR="00467FCA" w:rsidRDefault="001B68EB">
      <w:pPr>
        <w:spacing w:before="74"/>
        <w:ind w:left="117" w:right="112" w:firstLine="2"/>
        <w:jc w:val="both"/>
        <w:rPr>
          <w:sz w:val="16"/>
        </w:rPr>
      </w:pPr>
      <w:r>
        <w:rPr>
          <w:sz w:val="16"/>
        </w:rPr>
        <w:t>de economía informal. Al respecto, el principio No. 14 sobre las empresas y los derechos humanos de Naciones Unidas, señala que: “La responsabilidad de las empresas de r</w:t>
      </w:r>
      <w:r>
        <w:rPr>
          <w:sz w:val="16"/>
        </w:rPr>
        <w:t>espetar los derechos humanos se aplica a todas las empresas independientemente de su tamaño, sector, contexto operacional, propietario y estructura. Sin embargo, la magnitud y la complejidad de los medios dispuestos por las empresas para asumir esa respons</w:t>
      </w:r>
      <w:r>
        <w:rPr>
          <w:sz w:val="16"/>
        </w:rPr>
        <w:t>abilidad puede variar</w:t>
      </w:r>
      <w:r>
        <w:rPr>
          <w:spacing w:val="-4"/>
          <w:sz w:val="16"/>
        </w:rPr>
        <w:t xml:space="preserve"> </w:t>
      </w:r>
      <w:r>
        <w:rPr>
          <w:sz w:val="16"/>
        </w:rPr>
        <w:t>en</w:t>
      </w:r>
      <w:r>
        <w:rPr>
          <w:spacing w:val="-4"/>
          <w:sz w:val="16"/>
        </w:rPr>
        <w:t xml:space="preserve"> </w:t>
      </w:r>
      <w:r>
        <w:rPr>
          <w:sz w:val="16"/>
        </w:rPr>
        <w:t>función</w:t>
      </w:r>
      <w:r>
        <w:rPr>
          <w:spacing w:val="-4"/>
          <w:sz w:val="16"/>
        </w:rPr>
        <w:t xml:space="preserve"> </w:t>
      </w:r>
      <w:r>
        <w:rPr>
          <w:sz w:val="16"/>
        </w:rPr>
        <w:t>de</w:t>
      </w:r>
      <w:r>
        <w:rPr>
          <w:spacing w:val="-2"/>
          <w:sz w:val="16"/>
        </w:rPr>
        <w:t xml:space="preserve"> </w:t>
      </w:r>
      <w:r>
        <w:rPr>
          <w:sz w:val="16"/>
        </w:rPr>
        <w:t>esos</w:t>
      </w:r>
      <w:r>
        <w:rPr>
          <w:spacing w:val="-2"/>
          <w:sz w:val="16"/>
        </w:rPr>
        <w:t xml:space="preserve"> </w:t>
      </w:r>
      <w:r>
        <w:rPr>
          <w:sz w:val="16"/>
        </w:rPr>
        <w:t>factores</w:t>
      </w:r>
      <w:r>
        <w:rPr>
          <w:spacing w:val="-2"/>
          <w:sz w:val="16"/>
        </w:rPr>
        <w:t xml:space="preserve"> </w:t>
      </w:r>
      <w:r>
        <w:rPr>
          <w:sz w:val="16"/>
        </w:rPr>
        <w:t>y</w:t>
      </w:r>
      <w:r>
        <w:rPr>
          <w:spacing w:val="-4"/>
          <w:sz w:val="16"/>
        </w:rPr>
        <w:t xml:space="preserve"> </w:t>
      </w:r>
      <w:r>
        <w:rPr>
          <w:sz w:val="16"/>
        </w:rPr>
        <w:t>de</w:t>
      </w:r>
      <w:r>
        <w:rPr>
          <w:spacing w:val="-2"/>
          <w:sz w:val="16"/>
        </w:rPr>
        <w:t xml:space="preserve"> </w:t>
      </w:r>
      <w:r>
        <w:rPr>
          <w:sz w:val="16"/>
        </w:rPr>
        <w:t>la</w:t>
      </w:r>
      <w:r>
        <w:rPr>
          <w:spacing w:val="-2"/>
          <w:sz w:val="16"/>
        </w:rPr>
        <w:t xml:space="preserve"> </w:t>
      </w:r>
      <w:r>
        <w:rPr>
          <w:sz w:val="16"/>
        </w:rPr>
        <w:t>gravedad</w:t>
      </w:r>
      <w:r>
        <w:rPr>
          <w:spacing w:val="-4"/>
          <w:sz w:val="16"/>
        </w:rPr>
        <w:t xml:space="preserve"> </w:t>
      </w:r>
      <w:r>
        <w:rPr>
          <w:sz w:val="16"/>
        </w:rPr>
        <w:t>de</w:t>
      </w:r>
      <w:r>
        <w:rPr>
          <w:spacing w:val="-2"/>
          <w:sz w:val="16"/>
        </w:rPr>
        <w:t xml:space="preserve"> </w:t>
      </w:r>
      <w:r>
        <w:rPr>
          <w:sz w:val="16"/>
        </w:rPr>
        <w:t>las</w:t>
      </w:r>
      <w:r>
        <w:rPr>
          <w:spacing w:val="-2"/>
          <w:sz w:val="16"/>
        </w:rPr>
        <w:t xml:space="preserve"> </w:t>
      </w:r>
      <w:r>
        <w:rPr>
          <w:sz w:val="16"/>
        </w:rPr>
        <w:t>consecuencias</w:t>
      </w:r>
      <w:r>
        <w:rPr>
          <w:spacing w:val="-2"/>
          <w:sz w:val="16"/>
        </w:rPr>
        <w:t xml:space="preserve"> </w:t>
      </w:r>
      <w:r>
        <w:rPr>
          <w:sz w:val="16"/>
        </w:rPr>
        <w:t>negativas</w:t>
      </w:r>
      <w:r>
        <w:rPr>
          <w:spacing w:val="-2"/>
          <w:sz w:val="16"/>
        </w:rPr>
        <w:t xml:space="preserve"> </w:t>
      </w:r>
      <w:r>
        <w:rPr>
          <w:sz w:val="16"/>
        </w:rPr>
        <w:t>de</w:t>
      </w:r>
      <w:r>
        <w:rPr>
          <w:spacing w:val="-2"/>
          <w:sz w:val="16"/>
        </w:rPr>
        <w:t xml:space="preserve"> </w:t>
      </w:r>
      <w:r>
        <w:rPr>
          <w:sz w:val="16"/>
        </w:rPr>
        <w:t>las</w:t>
      </w:r>
      <w:r>
        <w:rPr>
          <w:spacing w:val="-2"/>
          <w:sz w:val="16"/>
        </w:rPr>
        <w:t xml:space="preserve"> </w:t>
      </w:r>
      <w:r>
        <w:rPr>
          <w:sz w:val="16"/>
        </w:rPr>
        <w:t>actividades</w:t>
      </w:r>
      <w:r>
        <w:rPr>
          <w:spacing w:val="-4"/>
          <w:sz w:val="16"/>
        </w:rPr>
        <w:t xml:space="preserve"> </w:t>
      </w:r>
      <w:r>
        <w:rPr>
          <w:sz w:val="16"/>
        </w:rPr>
        <w:t>de</w:t>
      </w:r>
      <w:r>
        <w:rPr>
          <w:spacing w:val="-2"/>
          <w:sz w:val="16"/>
        </w:rPr>
        <w:t xml:space="preserve"> </w:t>
      </w:r>
      <w:r>
        <w:rPr>
          <w:sz w:val="16"/>
        </w:rPr>
        <w:t>la</w:t>
      </w:r>
      <w:r>
        <w:rPr>
          <w:spacing w:val="-3"/>
          <w:sz w:val="16"/>
        </w:rPr>
        <w:t xml:space="preserve"> </w:t>
      </w:r>
      <w:r>
        <w:rPr>
          <w:sz w:val="16"/>
        </w:rPr>
        <w:t>empresa sobre los derechos humanos”. Por su parte, el Grupo de Trabajo sobre la cuestión de los derechos humanos y las empresas trans</w:t>
      </w:r>
      <w:r>
        <w:rPr>
          <w:sz w:val="16"/>
        </w:rPr>
        <w:t>nacionales y otras empresas ha comprobado que “[l]os trabajadores del sector informal no tienen protección jurídica y social derivada de su trabajo, generalmente no están sindicados y sus condiciones de trabajo se sustraen más fácilmente a la vigilancia de</w:t>
      </w:r>
      <w:r>
        <w:rPr>
          <w:sz w:val="16"/>
        </w:rPr>
        <w:t xml:space="preserve"> las inspecciones del trabajo”. Pese a ello, las obligaciones en materia de</w:t>
      </w:r>
      <w:r>
        <w:rPr>
          <w:spacing w:val="-6"/>
          <w:sz w:val="16"/>
        </w:rPr>
        <w:t xml:space="preserve"> </w:t>
      </w:r>
      <w:r>
        <w:rPr>
          <w:sz w:val="16"/>
        </w:rPr>
        <w:t>derechos</w:t>
      </w:r>
      <w:r>
        <w:rPr>
          <w:spacing w:val="-2"/>
          <w:sz w:val="16"/>
        </w:rPr>
        <w:t xml:space="preserve"> </w:t>
      </w:r>
      <w:r>
        <w:rPr>
          <w:sz w:val="16"/>
        </w:rPr>
        <w:t>humanos</w:t>
      </w:r>
      <w:r>
        <w:rPr>
          <w:spacing w:val="-6"/>
          <w:sz w:val="16"/>
        </w:rPr>
        <w:t xml:space="preserve"> </w:t>
      </w:r>
      <w:r>
        <w:rPr>
          <w:sz w:val="16"/>
        </w:rPr>
        <w:t>se</w:t>
      </w:r>
      <w:r>
        <w:rPr>
          <w:spacing w:val="-5"/>
          <w:sz w:val="16"/>
        </w:rPr>
        <w:t xml:space="preserve"> </w:t>
      </w:r>
      <w:r>
        <w:rPr>
          <w:sz w:val="16"/>
        </w:rPr>
        <w:t>mantienen.</w:t>
      </w:r>
      <w:r>
        <w:rPr>
          <w:spacing w:val="-4"/>
          <w:sz w:val="16"/>
        </w:rPr>
        <w:t xml:space="preserve"> </w:t>
      </w:r>
      <w:r>
        <w:rPr>
          <w:sz w:val="16"/>
        </w:rPr>
        <w:t>En</w:t>
      </w:r>
      <w:r>
        <w:rPr>
          <w:spacing w:val="-5"/>
          <w:sz w:val="16"/>
        </w:rPr>
        <w:t xml:space="preserve"> </w:t>
      </w:r>
      <w:r>
        <w:rPr>
          <w:sz w:val="16"/>
        </w:rPr>
        <w:t>esa</w:t>
      </w:r>
      <w:r>
        <w:rPr>
          <w:spacing w:val="-3"/>
          <w:sz w:val="16"/>
        </w:rPr>
        <w:t xml:space="preserve"> </w:t>
      </w:r>
      <w:r>
        <w:rPr>
          <w:sz w:val="16"/>
        </w:rPr>
        <w:t>medida,</w:t>
      </w:r>
      <w:r>
        <w:rPr>
          <w:spacing w:val="-4"/>
          <w:sz w:val="16"/>
        </w:rPr>
        <w:t xml:space="preserve"> </w:t>
      </w:r>
      <w:r>
        <w:rPr>
          <w:sz w:val="16"/>
        </w:rPr>
        <w:t>“todas</w:t>
      </w:r>
      <w:r>
        <w:rPr>
          <w:spacing w:val="-5"/>
          <w:sz w:val="16"/>
        </w:rPr>
        <w:t xml:space="preserve"> </w:t>
      </w:r>
      <w:r>
        <w:rPr>
          <w:sz w:val="16"/>
        </w:rPr>
        <w:t>las</w:t>
      </w:r>
      <w:r>
        <w:rPr>
          <w:spacing w:val="-2"/>
          <w:sz w:val="16"/>
        </w:rPr>
        <w:t xml:space="preserve"> </w:t>
      </w:r>
      <w:r>
        <w:rPr>
          <w:sz w:val="16"/>
        </w:rPr>
        <w:t>empresas,</w:t>
      </w:r>
      <w:r>
        <w:rPr>
          <w:spacing w:val="-7"/>
          <w:sz w:val="16"/>
        </w:rPr>
        <w:t xml:space="preserve"> </w:t>
      </w:r>
      <w:r>
        <w:rPr>
          <w:sz w:val="16"/>
        </w:rPr>
        <w:t>desde</w:t>
      </w:r>
      <w:r>
        <w:rPr>
          <w:spacing w:val="-2"/>
          <w:sz w:val="16"/>
        </w:rPr>
        <w:t xml:space="preserve"> </w:t>
      </w:r>
      <w:r>
        <w:rPr>
          <w:sz w:val="16"/>
        </w:rPr>
        <w:t>las</w:t>
      </w:r>
      <w:r>
        <w:rPr>
          <w:spacing w:val="-5"/>
          <w:sz w:val="16"/>
        </w:rPr>
        <w:t xml:space="preserve"> </w:t>
      </w:r>
      <w:r>
        <w:rPr>
          <w:sz w:val="16"/>
        </w:rPr>
        <w:t>pequeñas</w:t>
      </w:r>
      <w:r>
        <w:rPr>
          <w:spacing w:val="-3"/>
          <w:sz w:val="16"/>
        </w:rPr>
        <w:t xml:space="preserve"> </w:t>
      </w:r>
      <w:r>
        <w:rPr>
          <w:sz w:val="16"/>
        </w:rPr>
        <w:t>y</w:t>
      </w:r>
      <w:r>
        <w:rPr>
          <w:spacing w:val="-4"/>
          <w:sz w:val="16"/>
        </w:rPr>
        <w:t xml:space="preserve"> </w:t>
      </w:r>
      <w:r>
        <w:rPr>
          <w:sz w:val="16"/>
        </w:rPr>
        <w:t>medianas</w:t>
      </w:r>
      <w:r>
        <w:rPr>
          <w:spacing w:val="-3"/>
          <w:sz w:val="16"/>
        </w:rPr>
        <w:t xml:space="preserve"> </w:t>
      </w:r>
      <w:r>
        <w:rPr>
          <w:sz w:val="16"/>
        </w:rPr>
        <w:t>hasta</w:t>
      </w:r>
      <w:r>
        <w:rPr>
          <w:spacing w:val="-3"/>
          <w:sz w:val="16"/>
        </w:rPr>
        <w:t xml:space="preserve"> </w:t>
      </w:r>
      <w:r>
        <w:rPr>
          <w:sz w:val="16"/>
        </w:rPr>
        <w:t>las grandes multinacionales, deben ejercer la debida diligencia en materia de derechos humanos (tal como se expone en los Principios Rectores 17 a 21), con vistas a evitar que sus propias actividades provoquen o contribuyan a provocar consecuencias negativ</w:t>
      </w:r>
      <w:r>
        <w:rPr>
          <w:sz w:val="16"/>
        </w:rPr>
        <w:t xml:space="preserve">as sobre los derechos humanos y a que tomen medidas para mitigar y hacer frente a cualquiera de esas consecuencias que esté directamente relacionada con sus operaciones, en particular contribuyendo a su reparación”. </w:t>
      </w:r>
      <w:r>
        <w:rPr>
          <w:i/>
          <w:sz w:val="16"/>
        </w:rPr>
        <w:t>Cfr. Principios Rectores de Naciones Uni</w:t>
      </w:r>
      <w:r>
        <w:rPr>
          <w:i/>
          <w:sz w:val="16"/>
        </w:rPr>
        <w:t xml:space="preserve">das sobre las empresas y los derechos humanos, supra, </w:t>
      </w:r>
      <w:r>
        <w:rPr>
          <w:sz w:val="16"/>
        </w:rPr>
        <w:t xml:space="preserve">principio No. 14 e </w:t>
      </w:r>
      <w:r>
        <w:rPr>
          <w:i/>
          <w:sz w:val="16"/>
        </w:rPr>
        <w:t>Informe del Grupo de Trabajo sobre la cuestión de los derechos humanos y las empresas transnacionales y otras empresas</w:t>
      </w:r>
      <w:r>
        <w:rPr>
          <w:sz w:val="16"/>
        </w:rPr>
        <w:t>, UN Doc. A/HRC/35/32, 24 de abril de 2017, párrs. 10 y</w:t>
      </w:r>
      <w:r>
        <w:rPr>
          <w:spacing w:val="-29"/>
          <w:sz w:val="16"/>
        </w:rPr>
        <w:t xml:space="preserve"> </w:t>
      </w:r>
      <w:r>
        <w:rPr>
          <w:sz w:val="16"/>
        </w:rPr>
        <w:t>16.</w:t>
      </w:r>
    </w:p>
    <w:p w14:paraId="66F9303F" w14:textId="77777777" w:rsidR="00467FCA" w:rsidRDefault="001B68EB">
      <w:pPr>
        <w:tabs>
          <w:tab w:val="left" w:pos="839"/>
        </w:tabs>
        <w:spacing w:before="1"/>
        <w:ind w:left="120"/>
        <w:rPr>
          <w:sz w:val="16"/>
        </w:rPr>
      </w:pPr>
      <w:bookmarkStart w:id="340" w:name="_bookmark295"/>
      <w:bookmarkEnd w:id="340"/>
      <w:r>
        <w:rPr>
          <w:position w:val="6"/>
          <w:sz w:val="10"/>
        </w:rPr>
        <w:t>249</w:t>
      </w:r>
      <w:r>
        <w:rPr>
          <w:position w:val="6"/>
          <w:sz w:val="10"/>
        </w:rPr>
        <w:tab/>
      </w:r>
      <w:r>
        <w:rPr>
          <w:sz w:val="16"/>
        </w:rPr>
        <w:t>C</w:t>
      </w:r>
      <w:r>
        <w:rPr>
          <w:sz w:val="16"/>
        </w:rPr>
        <w:t xml:space="preserve">omité de Derechos Económicos, Sociales y Culturales, </w:t>
      </w:r>
      <w:r>
        <w:rPr>
          <w:i/>
          <w:sz w:val="16"/>
        </w:rPr>
        <w:t>Observación General No. 23, supra</w:t>
      </w:r>
      <w:r>
        <w:rPr>
          <w:sz w:val="16"/>
        </w:rPr>
        <w:t>, párr.</w:t>
      </w:r>
      <w:r>
        <w:rPr>
          <w:spacing w:val="22"/>
          <w:sz w:val="16"/>
        </w:rPr>
        <w:t xml:space="preserve"> </w:t>
      </w:r>
      <w:r>
        <w:rPr>
          <w:sz w:val="16"/>
        </w:rPr>
        <w:t>25.</w:t>
      </w:r>
    </w:p>
    <w:p w14:paraId="00BCC5BF" w14:textId="77777777" w:rsidR="00467FCA" w:rsidRDefault="001B68EB">
      <w:pPr>
        <w:tabs>
          <w:tab w:val="left" w:pos="839"/>
        </w:tabs>
        <w:ind w:left="120"/>
        <w:rPr>
          <w:sz w:val="16"/>
        </w:rPr>
      </w:pPr>
      <w:bookmarkStart w:id="341" w:name="_bookmark296"/>
      <w:bookmarkEnd w:id="341"/>
      <w:r>
        <w:rPr>
          <w:position w:val="6"/>
          <w:sz w:val="10"/>
        </w:rPr>
        <w:t>250</w:t>
      </w:r>
      <w:r>
        <w:rPr>
          <w:position w:val="6"/>
          <w:sz w:val="10"/>
        </w:rPr>
        <w:tab/>
      </w:r>
      <w:r>
        <w:rPr>
          <w:sz w:val="16"/>
        </w:rPr>
        <w:t xml:space="preserve">Comité de Derechos Económicos, Sociales y Culturales, </w:t>
      </w:r>
      <w:r>
        <w:rPr>
          <w:i/>
          <w:sz w:val="16"/>
        </w:rPr>
        <w:t xml:space="preserve">Observación General No. 23, supra, </w:t>
      </w:r>
      <w:r>
        <w:rPr>
          <w:sz w:val="16"/>
        </w:rPr>
        <w:t>párr.</w:t>
      </w:r>
      <w:r>
        <w:rPr>
          <w:spacing w:val="22"/>
          <w:sz w:val="16"/>
        </w:rPr>
        <w:t xml:space="preserve"> </w:t>
      </w:r>
      <w:r>
        <w:rPr>
          <w:sz w:val="16"/>
        </w:rPr>
        <w:t>25.</w:t>
      </w:r>
    </w:p>
    <w:p w14:paraId="64FAE73B" w14:textId="77777777" w:rsidR="00467FCA" w:rsidRDefault="001B68EB">
      <w:pPr>
        <w:tabs>
          <w:tab w:val="left" w:pos="686"/>
        </w:tabs>
        <w:ind w:left="119" w:right="117"/>
        <w:rPr>
          <w:sz w:val="16"/>
        </w:rPr>
      </w:pPr>
      <w:bookmarkStart w:id="342" w:name="_bookmark297"/>
      <w:bookmarkEnd w:id="342"/>
      <w:r>
        <w:rPr>
          <w:position w:val="6"/>
          <w:sz w:val="10"/>
        </w:rPr>
        <w:t>251</w:t>
      </w:r>
      <w:r>
        <w:rPr>
          <w:position w:val="6"/>
          <w:sz w:val="10"/>
        </w:rPr>
        <w:tab/>
      </w:r>
      <w:r>
        <w:rPr>
          <w:sz w:val="16"/>
        </w:rPr>
        <w:t>Ver, además: Carta Social Europea, artículo 2; Carta de los Derechos Fundamentales de la Unión Europea, artículo</w:t>
      </w:r>
      <w:r>
        <w:rPr>
          <w:spacing w:val="-12"/>
          <w:sz w:val="16"/>
        </w:rPr>
        <w:t xml:space="preserve"> </w:t>
      </w:r>
      <w:r>
        <w:rPr>
          <w:sz w:val="16"/>
        </w:rPr>
        <w:t>31,</w:t>
      </w:r>
      <w:r>
        <w:rPr>
          <w:spacing w:val="-13"/>
          <w:sz w:val="16"/>
        </w:rPr>
        <w:t xml:space="preserve"> </w:t>
      </w:r>
      <w:r>
        <w:rPr>
          <w:sz w:val="16"/>
        </w:rPr>
        <w:t>y</w:t>
      </w:r>
      <w:r>
        <w:rPr>
          <w:spacing w:val="-14"/>
          <w:sz w:val="16"/>
        </w:rPr>
        <w:t xml:space="preserve"> </w:t>
      </w:r>
      <w:r>
        <w:rPr>
          <w:sz w:val="16"/>
        </w:rPr>
        <w:t>Carta</w:t>
      </w:r>
      <w:r>
        <w:rPr>
          <w:spacing w:val="-13"/>
          <w:sz w:val="16"/>
        </w:rPr>
        <w:t xml:space="preserve"> </w:t>
      </w:r>
      <w:r>
        <w:rPr>
          <w:sz w:val="16"/>
        </w:rPr>
        <w:t>Africana</w:t>
      </w:r>
      <w:r>
        <w:rPr>
          <w:spacing w:val="-16"/>
          <w:sz w:val="16"/>
        </w:rPr>
        <w:t xml:space="preserve"> </w:t>
      </w:r>
      <w:r>
        <w:rPr>
          <w:sz w:val="16"/>
        </w:rPr>
        <w:t>de</w:t>
      </w:r>
      <w:r>
        <w:rPr>
          <w:spacing w:val="-12"/>
          <w:sz w:val="16"/>
        </w:rPr>
        <w:t xml:space="preserve"> </w:t>
      </w:r>
      <w:r>
        <w:rPr>
          <w:sz w:val="16"/>
        </w:rPr>
        <w:t>Derechos</w:t>
      </w:r>
      <w:r>
        <w:rPr>
          <w:spacing w:val="-12"/>
          <w:sz w:val="16"/>
        </w:rPr>
        <w:t xml:space="preserve"> </w:t>
      </w:r>
      <w:r>
        <w:rPr>
          <w:sz w:val="16"/>
        </w:rPr>
        <w:t>Humanos</w:t>
      </w:r>
      <w:r>
        <w:rPr>
          <w:spacing w:val="-14"/>
          <w:sz w:val="16"/>
        </w:rPr>
        <w:t xml:space="preserve"> </w:t>
      </w:r>
      <w:r>
        <w:rPr>
          <w:sz w:val="16"/>
        </w:rPr>
        <w:t>y</w:t>
      </w:r>
      <w:r>
        <w:rPr>
          <w:spacing w:val="-14"/>
          <w:sz w:val="16"/>
        </w:rPr>
        <w:t xml:space="preserve"> </w:t>
      </w:r>
      <w:r>
        <w:rPr>
          <w:sz w:val="16"/>
        </w:rPr>
        <w:t>de</w:t>
      </w:r>
      <w:r>
        <w:rPr>
          <w:spacing w:val="-13"/>
          <w:sz w:val="16"/>
        </w:rPr>
        <w:t xml:space="preserve"> </w:t>
      </w:r>
      <w:r>
        <w:rPr>
          <w:sz w:val="16"/>
        </w:rPr>
        <w:t>los</w:t>
      </w:r>
      <w:r>
        <w:rPr>
          <w:spacing w:val="-14"/>
          <w:sz w:val="16"/>
        </w:rPr>
        <w:t xml:space="preserve"> </w:t>
      </w:r>
      <w:r>
        <w:rPr>
          <w:sz w:val="16"/>
        </w:rPr>
        <w:t>Pueblos,</w:t>
      </w:r>
      <w:r>
        <w:rPr>
          <w:spacing w:val="-13"/>
          <w:sz w:val="16"/>
        </w:rPr>
        <w:t xml:space="preserve"> </w:t>
      </w:r>
      <w:r>
        <w:rPr>
          <w:sz w:val="16"/>
        </w:rPr>
        <w:t>artículo</w:t>
      </w:r>
      <w:r>
        <w:rPr>
          <w:spacing w:val="-14"/>
          <w:sz w:val="16"/>
        </w:rPr>
        <w:t xml:space="preserve"> </w:t>
      </w:r>
      <w:r>
        <w:rPr>
          <w:sz w:val="16"/>
        </w:rPr>
        <w:t>15</w:t>
      </w:r>
      <w:r>
        <w:rPr>
          <w:spacing w:val="-12"/>
          <w:sz w:val="16"/>
        </w:rPr>
        <w:t xml:space="preserve"> </w:t>
      </w:r>
      <w:r>
        <w:rPr>
          <w:sz w:val="16"/>
        </w:rPr>
        <w:t>(Brasil</w:t>
      </w:r>
      <w:r>
        <w:rPr>
          <w:spacing w:val="-13"/>
          <w:sz w:val="16"/>
        </w:rPr>
        <w:t xml:space="preserve"> </w:t>
      </w:r>
      <w:r>
        <w:rPr>
          <w:sz w:val="16"/>
        </w:rPr>
        <w:t>no</w:t>
      </w:r>
      <w:r>
        <w:rPr>
          <w:spacing w:val="-14"/>
          <w:sz w:val="16"/>
        </w:rPr>
        <w:t xml:space="preserve"> </w:t>
      </w:r>
      <w:r>
        <w:rPr>
          <w:sz w:val="16"/>
        </w:rPr>
        <w:t>es</w:t>
      </w:r>
      <w:r>
        <w:rPr>
          <w:spacing w:val="-12"/>
          <w:sz w:val="16"/>
        </w:rPr>
        <w:t xml:space="preserve"> </w:t>
      </w:r>
      <w:r>
        <w:rPr>
          <w:sz w:val="16"/>
        </w:rPr>
        <w:t>parte</w:t>
      </w:r>
      <w:r>
        <w:rPr>
          <w:spacing w:val="-14"/>
          <w:sz w:val="16"/>
        </w:rPr>
        <w:t xml:space="preserve"> </w:t>
      </w:r>
      <w:r>
        <w:rPr>
          <w:sz w:val="16"/>
        </w:rPr>
        <w:t>de</w:t>
      </w:r>
      <w:r>
        <w:rPr>
          <w:spacing w:val="-13"/>
          <w:sz w:val="16"/>
        </w:rPr>
        <w:t xml:space="preserve"> </w:t>
      </w:r>
      <w:r>
        <w:rPr>
          <w:sz w:val="16"/>
        </w:rPr>
        <w:t>estos</w:t>
      </w:r>
      <w:r>
        <w:rPr>
          <w:spacing w:val="-14"/>
          <w:sz w:val="16"/>
        </w:rPr>
        <w:t xml:space="preserve"> </w:t>
      </w:r>
      <w:r>
        <w:rPr>
          <w:sz w:val="16"/>
        </w:rPr>
        <w:t>tratados).</w:t>
      </w:r>
    </w:p>
    <w:p w14:paraId="0885C124" w14:textId="77777777" w:rsidR="00467FCA" w:rsidRDefault="001B68EB">
      <w:pPr>
        <w:tabs>
          <w:tab w:val="left" w:pos="839"/>
        </w:tabs>
        <w:ind w:left="115" w:right="113" w:firstLine="5"/>
        <w:jc w:val="both"/>
        <w:rPr>
          <w:sz w:val="16"/>
        </w:rPr>
      </w:pPr>
      <w:bookmarkStart w:id="343" w:name="_bookmark298"/>
      <w:bookmarkEnd w:id="343"/>
      <w:r>
        <w:rPr>
          <w:position w:val="6"/>
          <w:sz w:val="10"/>
        </w:rPr>
        <w:t>252</w:t>
      </w:r>
      <w:r>
        <w:rPr>
          <w:position w:val="6"/>
          <w:sz w:val="10"/>
        </w:rPr>
        <w:tab/>
      </w:r>
      <w:r>
        <w:rPr>
          <w:i/>
          <w:sz w:val="16"/>
        </w:rPr>
        <w:t xml:space="preserve">Cfr. Constitución Nacional de Argentina, </w:t>
      </w:r>
      <w:r>
        <w:rPr>
          <w:sz w:val="16"/>
        </w:rPr>
        <w:t xml:space="preserve">artículo 14 bis y </w:t>
      </w:r>
      <w:r>
        <w:rPr>
          <w:i/>
          <w:sz w:val="16"/>
        </w:rPr>
        <w:t xml:space="preserve">Ley de Contrato de Trabajo </w:t>
      </w:r>
      <w:r>
        <w:rPr>
          <w:sz w:val="16"/>
        </w:rPr>
        <w:t xml:space="preserve">No. 20.744, artículo 75; </w:t>
      </w:r>
      <w:r>
        <w:rPr>
          <w:i/>
          <w:sz w:val="16"/>
        </w:rPr>
        <w:t xml:space="preserve">Constitución Política del Estado Plurinacional de Bolivia, </w:t>
      </w:r>
      <w:r>
        <w:rPr>
          <w:sz w:val="16"/>
        </w:rPr>
        <w:t xml:space="preserve">artículo 46 y </w:t>
      </w:r>
      <w:r>
        <w:rPr>
          <w:i/>
          <w:sz w:val="16"/>
        </w:rPr>
        <w:t>Ley General del Trabajo</w:t>
      </w:r>
      <w:r>
        <w:rPr>
          <w:sz w:val="16"/>
        </w:rPr>
        <w:t xml:space="preserve">, artículo 67; </w:t>
      </w:r>
      <w:r>
        <w:rPr>
          <w:i/>
          <w:sz w:val="16"/>
        </w:rPr>
        <w:t>Constitución</w:t>
      </w:r>
      <w:r>
        <w:rPr>
          <w:i/>
          <w:spacing w:val="-6"/>
          <w:sz w:val="16"/>
        </w:rPr>
        <w:t xml:space="preserve"> </w:t>
      </w:r>
      <w:r>
        <w:rPr>
          <w:i/>
          <w:sz w:val="16"/>
        </w:rPr>
        <w:t>Política</w:t>
      </w:r>
      <w:r>
        <w:rPr>
          <w:i/>
          <w:spacing w:val="-6"/>
          <w:sz w:val="16"/>
        </w:rPr>
        <w:t xml:space="preserve"> </w:t>
      </w:r>
      <w:r>
        <w:rPr>
          <w:i/>
          <w:sz w:val="16"/>
        </w:rPr>
        <w:t>de</w:t>
      </w:r>
      <w:r>
        <w:rPr>
          <w:i/>
          <w:spacing w:val="-7"/>
          <w:sz w:val="16"/>
        </w:rPr>
        <w:t xml:space="preserve"> </w:t>
      </w:r>
      <w:r>
        <w:rPr>
          <w:i/>
          <w:sz w:val="16"/>
        </w:rPr>
        <w:t>la</w:t>
      </w:r>
      <w:r>
        <w:rPr>
          <w:i/>
          <w:spacing w:val="-8"/>
          <w:sz w:val="16"/>
        </w:rPr>
        <w:t xml:space="preserve"> </w:t>
      </w:r>
      <w:r>
        <w:rPr>
          <w:i/>
          <w:sz w:val="16"/>
        </w:rPr>
        <w:t>Repúbl</w:t>
      </w:r>
      <w:r>
        <w:rPr>
          <w:i/>
          <w:sz w:val="16"/>
        </w:rPr>
        <w:t>ica</w:t>
      </w:r>
      <w:r>
        <w:rPr>
          <w:i/>
          <w:spacing w:val="-6"/>
          <w:sz w:val="16"/>
        </w:rPr>
        <w:t xml:space="preserve"> </w:t>
      </w:r>
      <w:r>
        <w:rPr>
          <w:i/>
          <w:sz w:val="16"/>
        </w:rPr>
        <w:t>de</w:t>
      </w:r>
      <w:r>
        <w:rPr>
          <w:i/>
          <w:spacing w:val="-6"/>
          <w:sz w:val="16"/>
        </w:rPr>
        <w:t xml:space="preserve"> </w:t>
      </w:r>
      <w:r>
        <w:rPr>
          <w:i/>
          <w:sz w:val="16"/>
        </w:rPr>
        <w:t>Chile,</w:t>
      </w:r>
      <w:r>
        <w:rPr>
          <w:i/>
          <w:spacing w:val="-6"/>
          <w:sz w:val="16"/>
        </w:rPr>
        <w:t xml:space="preserve"> </w:t>
      </w:r>
      <w:r>
        <w:rPr>
          <w:sz w:val="16"/>
        </w:rPr>
        <w:t>artículo</w:t>
      </w:r>
      <w:r>
        <w:rPr>
          <w:spacing w:val="-7"/>
          <w:sz w:val="16"/>
        </w:rPr>
        <w:t xml:space="preserve"> </w:t>
      </w:r>
      <w:r>
        <w:rPr>
          <w:sz w:val="16"/>
        </w:rPr>
        <w:t>5</w:t>
      </w:r>
      <w:r>
        <w:rPr>
          <w:spacing w:val="-6"/>
          <w:sz w:val="16"/>
        </w:rPr>
        <w:t xml:space="preserve"> </w:t>
      </w:r>
      <w:r>
        <w:rPr>
          <w:sz w:val="16"/>
        </w:rPr>
        <w:t>y</w:t>
      </w:r>
      <w:r>
        <w:rPr>
          <w:spacing w:val="-7"/>
          <w:sz w:val="16"/>
        </w:rPr>
        <w:t xml:space="preserve"> </w:t>
      </w:r>
      <w:r>
        <w:rPr>
          <w:sz w:val="16"/>
        </w:rPr>
        <w:t>19.16,</w:t>
      </w:r>
      <w:r>
        <w:rPr>
          <w:spacing w:val="-7"/>
          <w:sz w:val="16"/>
        </w:rPr>
        <w:t xml:space="preserve"> </w:t>
      </w:r>
      <w:r>
        <w:rPr>
          <w:sz w:val="16"/>
        </w:rPr>
        <w:t>Código</w:t>
      </w:r>
      <w:r>
        <w:rPr>
          <w:spacing w:val="-7"/>
          <w:sz w:val="16"/>
        </w:rPr>
        <w:t xml:space="preserve"> </w:t>
      </w:r>
      <w:r>
        <w:rPr>
          <w:sz w:val="16"/>
        </w:rPr>
        <w:t>del</w:t>
      </w:r>
      <w:r>
        <w:rPr>
          <w:spacing w:val="-8"/>
          <w:sz w:val="16"/>
        </w:rPr>
        <w:t xml:space="preserve"> </w:t>
      </w:r>
      <w:r>
        <w:rPr>
          <w:sz w:val="16"/>
        </w:rPr>
        <w:t>Trabajo,</w:t>
      </w:r>
      <w:r>
        <w:rPr>
          <w:spacing w:val="-6"/>
          <w:sz w:val="16"/>
        </w:rPr>
        <w:t xml:space="preserve"> </w:t>
      </w:r>
      <w:r>
        <w:rPr>
          <w:sz w:val="16"/>
        </w:rPr>
        <w:t>artículo</w:t>
      </w:r>
      <w:r>
        <w:rPr>
          <w:spacing w:val="-4"/>
          <w:sz w:val="16"/>
        </w:rPr>
        <w:t xml:space="preserve"> </w:t>
      </w:r>
      <w:r>
        <w:rPr>
          <w:sz w:val="16"/>
        </w:rPr>
        <w:t>153</w:t>
      </w:r>
      <w:r>
        <w:rPr>
          <w:spacing w:val="-5"/>
          <w:sz w:val="16"/>
        </w:rPr>
        <w:t xml:space="preserve"> </w:t>
      </w:r>
      <w:r>
        <w:rPr>
          <w:sz w:val="16"/>
        </w:rPr>
        <w:t>y</w:t>
      </w:r>
      <w:r>
        <w:rPr>
          <w:spacing w:val="-4"/>
          <w:sz w:val="16"/>
        </w:rPr>
        <w:t xml:space="preserve"> </w:t>
      </w:r>
      <w:r>
        <w:rPr>
          <w:sz w:val="16"/>
        </w:rPr>
        <w:t>Ley</w:t>
      </w:r>
      <w:r>
        <w:rPr>
          <w:spacing w:val="-7"/>
          <w:sz w:val="16"/>
        </w:rPr>
        <w:t xml:space="preserve"> </w:t>
      </w:r>
      <w:r>
        <w:rPr>
          <w:sz w:val="16"/>
        </w:rPr>
        <w:t>16.744</w:t>
      </w:r>
      <w:r>
        <w:rPr>
          <w:spacing w:val="-6"/>
          <w:sz w:val="16"/>
        </w:rPr>
        <w:t xml:space="preserve"> </w:t>
      </w:r>
      <w:r>
        <w:rPr>
          <w:sz w:val="16"/>
        </w:rPr>
        <w:t xml:space="preserve">sobre riesgos de accidentes de trabajo y enfermedades profesionales; </w:t>
      </w:r>
      <w:r>
        <w:rPr>
          <w:i/>
          <w:sz w:val="16"/>
        </w:rPr>
        <w:t xml:space="preserve">Constitución Política de Colombia, </w:t>
      </w:r>
      <w:r>
        <w:rPr>
          <w:sz w:val="16"/>
        </w:rPr>
        <w:t xml:space="preserve">artículos 25 y 53 y Decreto 1072 de 2015 o </w:t>
      </w:r>
      <w:r>
        <w:rPr>
          <w:i/>
          <w:sz w:val="16"/>
        </w:rPr>
        <w:t>Decreto Único Reglamentario d</w:t>
      </w:r>
      <w:r>
        <w:rPr>
          <w:i/>
          <w:sz w:val="16"/>
        </w:rPr>
        <w:t xml:space="preserve">el Sector Trabajo, </w:t>
      </w:r>
      <w:r>
        <w:rPr>
          <w:sz w:val="16"/>
        </w:rPr>
        <w:t>Libro 2, Parte 2, Título 4 (Riesgos Laborales),</w:t>
      </w:r>
      <w:r>
        <w:rPr>
          <w:spacing w:val="-6"/>
          <w:sz w:val="16"/>
        </w:rPr>
        <w:t xml:space="preserve"> </w:t>
      </w:r>
      <w:r>
        <w:rPr>
          <w:sz w:val="16"/>
        </w:rPr>
        <w:t>Capítulo</w:t>
      </w:r>
      <w:r>
        <w:rPr>
          <w:spacing w:val="-4"/>
          <w:sz w:val="16"/>
        </w:rPr>
        <w:t xml:space="preserve"> </w:t>
      </w:r>
      <w:r>
        <w:rPr>
          <w:sz w:val="16"/>
        </w:rPr>
        <w:t>6;</w:t>
      </w:r>
      <w:r>
        <w:rPr>
          <w:spacing w:val="-8"/>
          <w:sz w:val="16"/>
        </w:rPr>
        <w:t xml:space="preserve"> </w:t>
      </w:r>
      <w:r>
        <w:rPr>
          <w:i/>
          <w:sz w:val="16"/>
        </w:rPr>
        <w:t>Constitución</w:t>
      </w:r>
      <w:r>
        <w:rPr>
          <w:i/>
          <w:spacing w:val="-6"/>
          <w:sz w:val="16"/>
        </w:rPr>
        <w:t xml:space="preserve"> </w:t>
      </w:r>
      <w:r>
        <w:rPr>
          <w:i/>
          <w:sz w:val="16"/>
        </w:rPr>
        <w:t>Política</w:t>
      </w:r>
      <w:r>
        <w:rPr>
          <w:i/>
          <w:spacing w:val="-6"/>
          <w:sz w:val="16"/>
        </w:rPr>
        <w:t xml:space="preserve"> </w:t>
      </w:r>
      <w:r>
        <w:rPr>
          <w:i/>
          <w:sz w:val="16"/>
        </w:rPr>
        <w:t>de</w:t>
      </w:r>
      <w:r>
        <w:rPr>
          <w:i/>
          <w:spacing w:val="-5"/>
          <w:sz w:val="16"/>
        </w:rPr>
        <w:t xml:space="preserve"> </w:t>
      </w:r>
      <w:r>
        <w:rPr>
          <w:i/>
          <w:sz w:val="16"/>
        </w:rPr>
        <w:t>la</w:t>
      </w:r>
      <w:r>
        <w:rPr>
          <w:i/>
          <w:spacing w:val="-6"/>
          <w:sz w:val="16"/>
        </w:rPr>
        <w:t xml:space="preserve"> </w:t>
      </w:r>
      <w:r>
        <w:rPr>
          <w:i/>
          <w:sz w:val="16"/>
        </w:rPr>
        <w:t>República</w:t>
      </w:r>
      <w:r>
        <w:rPr>
          <w:i/>
          <w:spacing w:val="-8"/>
          <w:sz w:val="16"/>
        </w:rPr>
        <w:t xml:space="preserve"> </w:t>
      </w:r>
      <w:r>
        <w:rPr>
          <w:i/>
          <w:sz w:val="16"/>
        </w:rPr>
        <w:t>de</w:t>
      </w:r>
      <w:r>
        <w:rPr>
          <w:i/>
          <w:spacing w:val="-5"/>
          <w:sz w:val="16"/>
        </w:rPr>
        <w:t xml:space="preserve"> </w:t>
      </w:r>
      <w:r>
        <w:rPr>
          <w:i/>
          <w:sz w:val="16"/>
        </w:rPr>
        <w:t>Costa</w:t>
      </w:r>
      <w:r>
        <w:rPr>
          <w:i/>
          <w:spacing w:val="-8"/>
          <w:sz w:val="16"/>
        </w:rPr>
        <w:t xml:space="preserve"> </w:t>
      </w:r>
      <w:r>
        <w:rPr>
          <w:i/>
          <w:sz w:val="16"/>
        </w:rPr>
        <w:t>Rica</w:t>
      </w:r>
      <w:r>
        <w:rPr>
          <w:sz w:val="16"/>
        </w:rPr>
        <w:t>,</w:t>
      </w:r>
      <w:r>
        <w:rPr>
          <w:spacing w:val="-6"/>
          <w:sz w:val="16"/>
        </w:rPr>
        <w:t xml:space="preserve"> </w:t>
      </w:r>
      <w:r>
        <w:rPr>
          <w:sz w:val="16"/>
        </w:rPr>
        <w:t>artículo</w:t>
      </w:r>
      <w:r>
        <w:rPr>
          <w:spacing w:val="-7"/>
          <w:sz w:val="16"/>
        </w:rPr>
        <w:t xml:space="preserve"> </w:t>
      </w:r>
      <w:r>
        <w:rPr>
          <w:sz w:val="16"/>
        </w:rPr>
        <w:t>56</w:t>
      </w:r>
      <w:r>
        <w:rPr>
          <w:spacing w:val="-6"/>
          <w:sz w:val="16"/>
        </w:rPr>
        <w:t xml:space="preserve"> </w:t>
      </w:r>
      <w:r>
        <w:rPr>
          <w:sz w:val="16"/>
        </w:rPr>
        <w:t>y</w:t>
      </w:r>
      <w:r>
        <w:rPr>
          <w:spacing w:val="-6"/>
          <w:sz w:val="16"/>
        </w:rPr>
        <w:t xml:space="preserve"> </w:t>
      </w:r>
      <w:r>
        <w:rPr>
          <w:sz w:val="16"/>
        </w:rPr>
        <w:t>Código</w:t>
      </w:r>
      <w:r>
        <w:rPr>
          <w:spacing w:val="-4"/>
          <w:sz w:val="16"/>
        </w:rPr>
        <w:t xml:space="preserve"> </w:t>
      </w:r>
      <w:r>
        <w:rPr>
          <w:sz w:val="16"/>
        </w:rPr>
        <w:t>del</w:t>
      </w:r>
      <w:r>
        <w:rPr>
          <w:spacing w:val="-6"/>
          <w:sz w:val="16"/>
        </w:rPr>
        <w:t xml:space="preserve"> </w:t>
      </w:r>
      <w:r>
        <w:rPr>
          <w:sz w:val="16"/>
        </w:rPr>
        <w:t>Trabajo,</w:t>
      </w:r>
      <w:r>
        <w:rPr>
          <w:spacing w:val="-6"/>
          <w:sz w:val="16"/>
        </w:rPr>
        <w:t xml:space="preserve"> </w:t>
      </w:r>
      <w:r>
        <w:rPr>
          <w:sz w:val="16"/>
        </w:rPr>
        <w:t>artículos 283</w:t>
      </w:r>
      <w:r>
        <w:rPr>
          <w:spacing w:val="-7"/>
          <w:sz w:val="16"/>
        </w:rPr>
        <w:t xml:space="preserve"> </w:t>
      </w:r>
      <w:r>
        <w:rPr>
          <w:sz w:val="16"/>
        </w:rPr>
        <w:t>y</w:t>
      </w:r>
      <w:r>
        <w:rPr>
          <w:spacing w:val="-7"/>
          <w:sz w:val="16"/>
        </w:rPr>
        <w:t xml:space="preserve"> </w:t>
      </w:r>
      <w:r>
        <w:rPr>
          <w:sz w:val="16"/>
        </w:rPr>
        <w:t>284;</w:t>
      </w:r>
      <w:r>
        <w:rPr>
          <w:spacing w:val="-9"/>
          <w:sz w:val="16"/>
        </w:rPr>
        <w:t xml:space="preserve"> </w:t>
      </w:r>
      <w:r>
        <w:rPr>
          <w:i/>
          <w:sz w:val="16"/>
        </w:rPr>
        <w:t>Constitución</w:t>
      </w:r>
      <w:r>
        <w:rPr>
          <w:i/>
          <w:spacing w:val="-6"/>
          <w:sz w:val="16"/>
        </w:rPr>
        <w:t xml:space="preserve"> </w:t>
      </w:r>
      <w:r>
        <w:rPr>
          <w:i/>
          <w:sz w:val="16"/>
        </w:rPr>
        <w:t>de</w:t>
      </w:r>
      <w:r>
        <w:rPr>
          <w:i/>
          <w:spacing w:val="-5"/>
          <w:sz w:val="16"/>
        </w:rPr>
        <w:t xml:space="preserve"> </w:t>
      </w:r>
      <w:r>
        <w:rPr>
          <w:i/>
          <w:sz w:val="16"/>
        </w:rPr>
        <w:t>la</w:t>
      </w:r>
      <w:r>
        <w:rPr>
          <w:i/>
          <w:spacing w:val="-8"/>
          <w:sz w:val="16"/>
        </w:rPr>
        <w:t xml:space="preserve"> </w:t>
      </w:r>
      <w:r>
        <w:rPr>
          <w:i/>
          <w:sz w:val="16"/>
        </w:rPr>
        <w:t>República</w:t>
      </w:r>
      <w:r>
        <w:rPr>
          <w:i/>
          <w:spacing w:val="-6"/>
          <w:sz w:val="16"/>
        </w:rPr>
        <w:t xml:space="preserve"> </w:t>
      </w:r>
      <w:r>
        <w:rPr>
          <w:i/>
          <w:sz w:val="16"/>
        </w:rPr>
        <w:t>de</w:t>
      </w:r>
      <w:r>
        <w:rPr>
          <w:i/>
          <w:spacing w:val="-7"/>
          <w:sz w:val="16"/>
        </w:rPr>
        <w:t xml:space="preserve"> </w:t>
      </w:r>
      <w:r>
        <w:rPr>
          <w:i/>
          <w:sz w:val="16"/>
        </w:rPr>
        <w:t>Ecuador,</w:t>
      </w:r>
      <w:r>
        <w:rPr>
          <w:i/>
          <w:spacing w:val="-6"/>
          <w:sz w:val="16"/>
        </w:rPr>
        <w:t xml:space="preserve"> </w:t>
      </w:r>
      <w:r>
        <w:rPr>
          <w:sz w:val="16"/>
        </w:rPr>
        <w:t>artículo</w:t>
      </w:r>
      <w:r>
        <w:rPr>
          <w:spacing w:val="-7"/>
          <w:sz w:val="16"/>
        </w:rPr>
        <w:t xml:space="preserve"> </w:t>
      </w:r>
      <w:r>
        <w:rPr>
          <w:sz w:val="16"/>
        </w:rPr>
        <w:t>33</w:t>
      </w:r>
      <w:r>
        <w:rPr>
          <w:spacing w:val="-6"/>
          <w:sz w:val="16"/>
        </w:rPr>
        <w:t xml:space="preserve"> </w:t>
      </w:r>
      <w:r>
        <w:rPr>
          <w:sz w:val="16"/>
        </w:rPr>
        <w:t>y</w:t>
      </w:r>
      <w:r>
        <w:rPr>
          <w:spacing w:val="-4"/>
          <w:sz w:val="16"/>
        </w:rPr>
        <w:t xml:space="preserve"> </w:t>
      </w:r>
      <w:r>
        <w:rPr>
          <w:sz w:val="16"/>
        </w:rPr>
        <w:t>Código</w:t>
      </w:r>
      <w:r>
        <w:rPr>
          <w:spacing w:val="-7"/>
          <w:sz w:val="16"/>
        </w:rPr>
        <w:t xml:space="preserve"> </w:t>
      </w:r>
      <w:r>
        <w:rPr>
          <w:sz w:val="16"/>
        </w:rPr>
        <w:t>del</w:t>
      </w:r>
      <w:r>
        <w:rPr>
          <w:spacing w:val="-6"/>
          <w:sz w:val="16"/>
        </w:rPr>
        <w:t xml:space="preserve"> </w:t>
      </w:r>
      <w:r>
        <w:rPr>
          <w:sz w:val="16"/>
        </w:rPr>
        <w:t>Trabajo,</w:t>
      </w:r>
      <w:r>
        <w:rPr>
          <w:spacing w:val="-6"/>
          <w:sz w:val="16"/>
        </w:rPr>
        <w:t xml:space="preserve"> </w:t>
      </w:r>
      <w:r>
        <w:rPr>
          <w:sz w:val="16"/>
        </w:rPr>
        <w:t>artículos</w:t>
      </w:r>
      <w:r>
        <w:rPr>
          <w:spacing w:val="-5"/>
          <w:sz w:val="16"/>
        </w:rPr>
        <w:t xml:space="preserve"> </w:t>
      </w:r>
      <w:r>
        <w:rPr>
          <w:sz w:val="16"/>
        </w:rPr>
        <w:t>38</w:t>
      </w:r>
      <w:r>
        <w:rPr>
          <w:spacing w:val="-6"/>
          <w:sz w:val="16"/>
        </w:rPr>
        <w:t xml:space="preserve"> </w:t>
      </w:r>
      <w:r>
        <w:rPr>
          <w:sz w:val="16"/>
        </w:rPr>
        <w:t>y</w:t>
      </w:r>
      <w:r>
        <w:rPr>
          <w:spacing w:val="-7"/>
          <w:sz w:val="16"/>
        </w:rPr>
        <w:t xml:space="preserve"> </w:t>
      </w:r>
      <w:r>
        <w:rPr>
          <w:sz w:val="16"/>
        </w:rPr>
        <w:t>42;</w:t>
      </w:r>
      <w:r>
        <w:rPr>
          <w:spacing w:val="-9"/>
          <w:sz w:val="16"/>
        </w:rPr>
        <w:t xml:space="preserve"> </w:t>
      </w:r>
      <w:r>
        <w:rPr>
          <w:i/>
          <w:sz w:val="16"/>
        </w:rPr>
        <w:t>Constitución Política</w:t>
      </w:r>
      <w:r>
        <w:rPr>
          <w:i/>
          <w:spacing w:val="-14"/>
          <w:sz w:val="16"/>
        </w:rPr>
        <w:t xml:space="preserve"> </w:t>
      </w:r>
      <w:r>
        <w:rPr>
          <w:i/>
          <w:sz w:val="16"/>
        </w:rPr>
        <w:t>de</w:t>
      </w:r>
      <w:r>
        <w:rPr>
          <w:i/>
          <w:spacing w:val="-13"/>
          <w:sz w:val="16"/>
        </w:rPr>
        <w:t xml:space="preserve"> </w:t>
      </w:r>
      <w:r>
        <w:rPr>
          <w:i/>
          <w:sz w:val="16"/>
        </w:rPr>
        <w:t>El</w:t>
      </w:r>
      <w:r>
        <w:rPr>
          <w:i/>
          <w:spacing w:val="-13"/>
          <w:sz w:val="16"/>
        </w:rPr>
        <w:t xml:space="preserve"> </w:t>
      </w:r>
      <w:r>
        <w:rPr>
          <w:i/>
          <w:sz w:val="16"/>
        </w:rPr>
        <w:t>Salvador</w:t>
      </w:r>
      <w:r>
        <w:rPr>
          <w:sz w:val="16"/>
        </w:rPr>
        <w:t>,</w:t>
      </w:r>
      <w:r>
        <w:rPr>
          <w:spacing w:val="-14"/>
          <w:sz w:val="16"/>
        </w:rPr>
        <w:t xml:space="preserve"> </w:t>
      </w:r>
      <w:r>
        <w:rPr>
          <w:sz w:val="16"/>
        </w:rPr>
        <w:t>artículo</w:t>
      </w:r>
      <w:r>
        <w:rPr>
          <w:spacing w:val="-14"/>
          <w:sz w:val="16"/>
        </w:rPr>
        <w:t xml:space="preserve"> </w:t>
      </w:r>
      <w:r>
        <w:rPr>
          <w:sz w:val="16"/>
        </w:rPr>
        <w:t>2</w:t>
      </w:r>
      <w:r>
        <w:rPr>
          <w:spacing w:val="-14"/>
          <w:sz w:val="16"/>
        </w:rPr>
        <w:t xml:space="preserve"> </w:t>
      </w:r>
      <w:r>
        <w:rPr>
          <w:sz w:val="16"/>
        </w:rPr>
        <w:t>y</w:t>
      </w:r>
      <w:r>
        <w:rPr>
          <w:spacing w:val="-14"/>
          <w:sz w:val="16"/>
        </w:rPr>
        <w:t xml:space="preserve"> </w:t>
      </w:r>
      <w:r>
        <w:rPr>
          <w:sz w:val="16"/>
        </w:rPr>
        <w:t>Código</w:t>
      </w:r>
      <w:r>
        <w:rPr>
          <w:spacing w:val="-12"/>
          <w:sz w:val="16"/>
        </w:rPr>
        <w:t xml:space="preserve"> </w:t>
      </w:r>
      <w:r>
        <w:rPr>
          <w:sz w:val="16"/>
        </w:rPr>
        <w:t>de</w:t>
      </w:r>
      <w:r>
        <w:rPr>
          <w:spacing w:val="-12"/>
          <w:sz w:val="16"/>
        </w:rPr>
        <w:t xml:space="preserve"> </w:t>
      </w:r>
      <w:r>
        <w:rPr>
          <w:sz w:val="16"/>
        </w:rPr>
        <w:t>Trabajo</w:t>
      </w:r>
      <w:r>
        <w:rPr>
          <w:spacing w:val="-12"/>
          <w:sz w:val="16"/>
        </w:rPr>
        <w:t xml:space="preserve"> </w:t>
      </w:r>
      <w:r>
        <w:rPr>
          <w:sz w:val="16"/>
        </w:rPr>
        <w:t>artículos</w:t>
      </w:r>
      <w:r>
        <w:rPr>
          <w:spacing w:val="-13"/>
          <w:sz w:val="16"/>
        </w:rPr>
        <w:t xml:space="preserve"> </w:t>
      </w:r>
      <w:r>
        <w:rPr>
          <w:sz w:val="16"/>
        </w:rPr>
        <w:t>106</w:t>
      </w:r>
      <w:r>
        <w:rPr>
          <w:spacing w:val="-11"/>
          <w:sz w:val="16"/>
        </w:rPr>
        <w:t xml:space="preserve"> </w:t>
      </w:r>
      <w:r>
        <w:rPr>
          <w:sz w:val="16"/>
        </w:rPr>
        <w:t>y</w:t>
      </w:r>
      <w:r>
        <w:rPr>
          <w:spacing w:val="-17"/>
          <w:sz w:val="16"/>
        </w:rPr>
        <w:t xml:space="preserve"> </w:t>
      </w:r>
      <w:r>
        <w:rPr>
          <w:sz w:val="16"/>
        </w:rPr>
        <w:t>314;</w:t>
      </w:r>
      <w:r>
        <w:rPr>
          <w:spacing w:val="-13"/>
          <w:sz w:val="16"/>
        </w:rPr>
        <w:t xml:space="preserve"> </w:t>
      </w:r>
      <w:r>
        <w:rPr>
          <w:i/>
          <w:sz w:val="16"/>
        </w:rPr>
        <w:t>Constitución</w:t>
      </w:r>
      <w:r>
        <w:rPr>
          <w:i/>
          <w:spacing w:val="-14"/>
          <w:sz w:val="16"/>
        </w:rPr>
        <w:t xml:space="preserve"> </w:t>
      </w:r>
      <w:r>
        <w:rPr>
          <w:i/>
          <w:sz w:val="16"/>
        </w:rPr>
        <w:t>Política</w:t>
      </w:r>
      <w:r>
        <w:rPr>
          <w:i/>
          <w:spacing w:val="-13"/>
          <w:sz w:val="16"/>
        </w:rPr>
        <w:t xml:space="preserve"> </w:t>
      </w:r>
      <w:r>
        <w:rPr>
          <w:i/>
          <w:sz w:val="16"/>
        </w:rPr>
        <w:t>de</w:t>
      </w:r>
      <w:r>
        <w:rPr>
          <w:i/>
          <w:spacing w:val="-15"/>
          <w:sz w:val="16"/>
        </w:rPr>
        <w:t xml:space="preserve"> </w:t>
      </w:r>
      <w:r>
        <w:rPr>
          <w:i/>
          <w:sz w:val="16"/>
        </w:rPr>
        <w:t>Guatemala</w:t>
      </w:r>
      <w:r>
        <w:rPr>
          <w:sz w:val="16"/>
        </w:rPr>
        <w:t>,</w:t>
      </w:r>
      <w:r>
        <w:rPr>
          <w:spacing w:val="-13"/>
          <w:sz w:val="16"/>
        </w:rPr>
        <w:t xml:space="preserve"> </w:t>
      </w:r>
      <w:r>
        <w:rPr>
          <w:sz w:val="16"/>
        </w:rPr>
        <w:t xml:space="preserve">artículo 101 y </w:t>
      </w:r>
      <w:r>
        <w:rPr>
          <w:i/>
          <w:sz w:val="16"/>
        </w:rPr>
        <w:t>Código de Trabajo</w:t>
      </w:r>
      <w:r>
        <w:rPr>
          <w:sz w:val="16"/>
        </w:rPr>
        <w:t xml:space="preserve">, artículos 61, 122, 148, 197 y 278; </w:t>
      </w:r>
      <w:r>
        <w:rPr>
          <w:i/>
          <w:sz w:val="16"/>
        </w:rPr>
        <w:t xml:space="preserve">Constitución Política de la República de Haití, </w:t>
      </w:r>
      <w:r>
        <w:rPr>
          <w:sz w:val="16"/>
        </w:rPr>
        <w:t>artículo 35</w:t>
      </w:r>
      <w:r>
        <w:rPr>
          <w:spacing w:val="-14"/>
          <w:sz w:val="16"/>
        </w:rPr>
        <w:t xml:space="preserve"> </w:t>
      </w:r>
      <w:r>
        <w:rPr>
          <w:sz w:val="16"/>
        </w:rPr>
        <w:t>y</w:t>
      </w:r>
      <w:r>
        <w:rPr>
          <w:spacing w:val="-12"/>
          <w:sz w:val="16"/>
        </w:rPr>
        <w:t xml:space="preserve"> </w:t>
      </w:r>
      <w:r>
        <w:rPr>
          <w:i/>
          <w:sz w:val="16"/>
        </w:rPr>
        <w:t>Código</w:t>
      </w:r>
      <w:r>
        <w:rPr>
          <w:i/>
          <w:spacing w:val="-11"/>
          <w:sz w:val="16"/>
        </w:rPr>
        <w:t xml:space="preserve"> </w:t>
      </w:r>
      <w:r>
        <w:rPr>
          <w:i/>
          <w:sz w:val="16"/>
        </w:rPr>
        <w:t>de</w:t>
      </w:r>
      <w:r>
        <w:rPr>
          <w:i/>
          <w:spacing w:val="-13"/>
          <w:sz w:val="16"/>
        </w:rPr>
        <w:t xml:space="preserve"> </w:t>
      </w:r>
      <w:r>
        <w:rPr>
          <w:i/>
          <w:sz w:val="16"/>
        </w:rPr>
        <w:t>Trabajo</w:t>
      </w:r>
      <w:r>
        <w:rPr>
          <w:i/>
          <w:spacing w:val="-10"/>
          <w:sz w:val="16"/>
        </w:rPr>
        <w:t xml:space="preserve"> </w:t>
      </w:r>
      <w:r>
        <w:rPr>
          <w:sz w:val="16"/>
        </w:rPr>
        <w:t>artículos</w:t>
      </w:r>
      <w:r>
        <w:rPr>
          <w:spacing w:val="-12"/>
          <w:sz w:val="16"/>
        </w:rPr>
        <w:t xml:space="preserve"> </w:t>
      </w:r>
      <w:r>
        <w:rPr>
          <w:sz w:val="16"/>
        </w:rPr>
        <w:t>438-441</w:t>
      </w:r>
      <w:r>
        <w:rPr>
          <w:spacing w:val="-12"/>
          <w:sz w:val="16"/>
        </w:rPr>
        <w:t xml:space="preserve"> </w:t>
      </w:r>
      <w:r>
        <w:rPr>
          <w:sz w:val="16"/>
        </w:rPr>
        <w:t>y</w:t>
      </w:r>
      <w:r>
        <w:rPr>
          <w:spacing w:val="-15"/>
          <w:sz w:val="16"/>
        </w:rPr>
        <w:t xml:space="preserve"> </w:t>
      </w:r>
      <w:r>
        <w:rPr>
          <w:sz w:val="16"/>
        </w:rPr>
        <w:t>451-487;</w:t>
      </w:r>
      <w:r>
        <w:rPr>
          <w:spacing w:val="-13"/>
          <w:sz w:val="16"/>
        </w:rPr>
        <w:t xml:space="preserve"> </w:t>
      </w:r>
      <w:r>
        <w:rPr>
          <w:i/>
          <w:sz w:val="16"/>
        </w:rPr>
        <w:t>Constitución</w:t>
      </w:r>
      <w:r>
        <w:rPr>
          <w:i/>
          <w:spacing w:val="-12"/>
          <w:sz w:val="16"/>
        </w:rPr>
        <w:t xml:space="preserve"> </w:t>
      </w:r>
      <w:r>
        <w:rPr>
          <w:i/>
          <w:sz w:val="16"/>
        </w:rPr>
        <w:t>de</w:t>
      </w:r>
      <w:r>
        <w:rPr>
          <w:i/>
          <w:spacing w:val="-13"/>
          <w:sz w:val="16"/>
        </w:rPr>
        <w:t xml:space="preserve"> </w:t>
      </w:r>
      <w:r>
        <w:rPr>
          <w:i/>
          <w:sz w:val="16"/>
        </w:rPr>
        <w:t>la</w:t>
      </w:r>
      <w:r>
        <w:rPr>
          <w:i/>
          <w:spacing w:val="-13"/>
          <w:sz w:val="16"/>
        </w:rPr>
        <w:t xml:space="preserve"> </w:t>
      </w:r>
      <w:r>
        <w:rPr>
          <w:i/>
          <w:sz w:val="16"/>
        </w:rPr>
        <w:t>República</w:t>
      </w:r>
      <w:r>
        <w:rPr>
          <w:i/>
          <w:spacing w:val="-14"/>
          <w:sz w:val="16"/>
        </w:rPr>
        <w:t xml:space="preserve"> </w:t>
      </w:r>
      <w:r>
        <w:rPr>
          <w:i/>
          <w:sz w:val="16"/>
        </w:rPr>
        <w:t>de</w:t>
      </w:r>
      <w:r>
        <w:rPr>
          <w:i/>
          <w:spacing w:val="-12"/>
          <w:sz w:val="16"/>
        </w:rPr>
        <w:t xml:space="preserve"> </w:t>
      </w:r>
      <w:r>
        <w:rPr>
          <w:i/>
          <w:sz w:val="16"/>
        </w:rPr>
        <w:t>Honduras</w:t>
      </w:r>
      <w:r>
        <w:rPr>
          <w:sz w:val="16"/>
        </w:rPr>
        <w:t>,</w:t>
      </w:r>
      <w:r>
        <w:rPr>
          <w:spacing w:val="-12"/>
          <w:sz w:val="16"/>
        </w:rPr>
        <w:t xml:space="preserve"> </w:t>
      </w:r>
      <w:r>
        <w:rPr>
          <w:sz w:val="16"/>
        </w:rPr>
        <w:t>artículo</w:t>
      </w:r>
      <w:r>
        <w:rPr>
          <w:spacing w:val="-12"/>
          <w:sz w:val="16"/>
        </w:rPr>
        <w:t xml:space="preserve"> </w:t>
      </w:r>
      <w:r>
        <w:rPr>
          <w:sz w:val="16"/>
        </w:rPr>
        <w:t>128</w:t>
      </w:r>
      <w:r>
        <w:rPr>
          <w:spacing w:val="-14"/>
          <w:sz w:val="16"/>
        </w:rPr>
        <w:t xml:space="preserve"> </w:t>
      </w:r>
      <w:r>
        <w:rPr>
          <w:sz w:val="16"/>
        </w:rPr>
        <w:t>y</w:t>
      </w:r>
      <w:r>
        <w:rPr>
          <w:spacing w:val="-12"/>
          <w:sz w:val="16"/>
        </w:rPr>
        <w:t xml:space="preserve"> </w:t>
      </w:r>
      <w:r>
        <w:rPr>
          <w:i/>
          <w:sz w:val="16"/>
        </w:rPr>
        <w:t>Código de</w:t>
      </w:r>
      <w:r>
        <w:rPr>
          <w:i/>
          <w:spacing w:val="-3"/>
          <w:sz w:val="16"/>
        </w:rPr>
        <w:t xml:space="preserve"> </w:t>
      </w:r>
      <w:r>
        <w:rPr>
          <w:i/>
          <w:sz w:val="16"/>
        </w:rPr>
        <w:t>Trabajo,</w:t>
      </w:r>
      <w:r>
        <w:rPr>
          <w:i/>
          <w:spacing w:val="-4"/>
          <w:sz w:val="16"/>
        </w:rPr>
        <w:t xml:space="preserve"> </w:t>
      </w:r>
      <w:r>
        <w:rPr>
          <w:sz w:val="16"/>
        </w:rPr>
        <w:t>artículos</w:t>
      </w:r>
      <w:r>
        <w:rPr>
          <w:spacing w:val="-6"/>
          <w:sz w:val="16"/>
        </w:rPr>
        <w:t xml:space="preserve"> </w:t>
      </w:r>
      <w:r>
        <w:rPr>
          <w:sz w:val="16"/>
        </w:rPr>
        <w:t>391</w:t>
      </w:r>
      <w:r>
        <w:rPr>
          <w:spacing w:val="-4"/>
          <w:sz w:val="16"/>
        </w:rPr>
        <w:t xml:space="preserve"> </w:t>
      </w:r>
      <w:r>
        <w:rPr>
          <w:sz w:val="16"/>
        </w:rPr>
        <w:t>y</w:t>
      </w:r>
      <w:r>
        <w:rPr>
          <w:spacing w:val="-5"/>
          <w:sz w:val="16"/>
        </w:rPr>
        <w:t xml:space="preserve"> </w:t>
      </w:r>
      <w:r>
        <w:rPr>
          <w:sz w:val="16"/>
        </w:rPr>
        <w:t>395;</w:t>
      </w:r>
      <w:r>
        <w:rPr>
          <w:spacing w:val="-6"/>
          <w:sz w:val="16"/>
        </w:rPr>
        <w:t xml:space="preserve"> </w:t>
      </w:r>
      <w:r>
        <w:rPr>
          <w:i/>
          <w:sz w:val="16"/>
        </w:rPr>
        <w:t>Constitución</w:t>
      </w:r>
      <w:r>
        <w:rPr>
          <w:i/>
          <w:spacing w:val="-1"/>
          <w:sz w:val="16"/>
        </w:rPr>
        <w:t xml:space="preserve"> </w:t>
      </w:r>
      <w:r>
        <w:rPr>
          <w:i/>
          <w:sz w:val="16"/>
        </w:rPr>
        <w:t>Política</w:t>
      </w:r>
      <w:r>
        <w:rPr>
          <w:i/>
          <w:spacing w:val="-3"/>
          <w:sz w:val="16"/>
        </w:rPr>
        <w:t xml:space="preserve"> </w:t>
      </w:r>
      <w:r>
        <w:rPr>
          <w:i/>
          <w:sz w:val="16"/>
        </w:rPr>
        <w:t>de</w:t>
      </w:r>
      <w:r>
        <w:rPr>
          <w:i/>
          <w:spacing w:val="-7"/>
          <w:sz w:val="16"/>
        </w:rPr>
        <w:t xml:space="preserve"> </w:t>
      </w:r>
      <w:r>
        <w:rPr>
          <w:i/>
          <w:sz w:val="16"/>
        </w:rPr>
        <w:t>México,</w:t>
      </w:r>
      <w:r>
        <w:rPr>
          <w:i/>
          <w:spacing w:val="-7"/>
          <w:sz w:val="16"/>
        </w:rPr>
        <w:t xml:space="preserve"> </w:t>
      </w:r>
      <w:r>
        <w:rPr>
          <w:sz w:val="16"/>
        </w:rPr>
        <w:t>artículo</w:t>
      </w:r>
      <w:r>
        <w:rPr>
          <w:spacing w:val="-4"/>
          <w:sz w:val="16"/>
        </w:rPr>
        <w:t xml:space="preserve"> </w:t>
      </w:r>
      <w:r>
        <w:rPr>
          <w:sz w:val="16"/>
        </w:rPr>
        <w:t>123</w:t>
      </w:r>
      <w:r>
        <w:rPr>
          <w:spacing w:val="-7"/>
          <w:sz w:val="16"/>
        </w:rPr>
        <w:t xml:space="preserve"> </w:t>
      </w:r>
      <w:r>
        <w:rPr>
          <w:sz w:val="16"/>
        </w:rPr>
        <w:t>y</w:t>
      </w:r>
      <w:r>
        <w:rPr>
          <w:spacing w:val="-2"/>
          <w:sz w:val="16"/>
        </w:rPr>
        <w:t xml:space="preserve"> </w:t>
      </w:r>
      <w:r>
        <w:rPr>
          <w:i/>
          <w:sz w:val="16"/>
        </w:rPr>
        <w:t>Ley</w:t>
      </w:r>
      <w:r>
        <w:rPr>
          <w:i/>
          <w:spacing w:val="-7"/>
          <w:sz w:val="16"/>
        </w:rPr>
        <w:t xml:space="preserve"> </w:t>
      </w:r>
      <w:r>
        <w:rPr>
          <w:i/>
          <w:sz w:val="16"/>
        </w:rPr>
        <w:t>Federal</w:t>
      </w:r>
      <w:r>
        <w:rPr>
          <w:i/>
          <w:spacing w:val="-4"/>
          <w:sz w:val="16"/>
        </w:rPr>
        <w:t xml:space="preserve"> </w:t>
      </w:r>
      <w:r>
        <w:rPr>
          <w:i/>
          <w:sz w:val="16"/>
        </w:rPr>
        <w:t>del</w:t>
      </w:r>
      <w:r>
        <w:rPr>
          <w:i/>
          <w:spacing w:val="-6"/>
          <w:sz w:val="16"/>
        </w:rPr>
        <w:t xml:space="preserve"> </w:t>
      </w:r>
      <w:r>
        <w:rPr>
          <w:i/>
          <w:sz w:val="16"/>
        </w:rPr>
        <w:t>Trabajo</w:t>
      </w:r>
      <w:r>
        <w:rPr>
          <w:sz w:val="16"/>
        </w:rPr>
        <w:t>,</w:t>
      </w:r>
      <w:r>
        <w:rPr>
          <w:spacing w:val="-7"/>
          <w:sz w:val="16"/>
        </w:rPr>
        <w:t xml:space="preserve"> </w:t>
      </w:r>
      <w:r>
        <w:rPr>
          <w:sz w:val="16"/>
        </w:rPr>
        <w:t>artículos</w:t>
      </w:r>
      <w:r>
        <w:rPr>
          <w:spacing w:val="-5"/>
          <w:sz w:val="16"/>
        </w:rPr>
        <w:t xml:space="preserve"> </w:t>
      </w:r>
      <w:r>
        <w:rPr>
          <w:sz w:val="16"/>
        </w:rPr>
        <w:t xml:space="preserve">23, 166, 175, 541 y 542; </w:t>
      </w:r>
      <w:r>
        <w:rPr>
          <w:i/>
          <w:sz w:val="16"/>
        </w:rPr>
        <w:t>Constitución Política de la República de Nicaragua</w:t>
      </w:r>
      <w:r>
        <w:rPr>
          <w:sz w:val="16"/>
        </w:rPr>
        <w:t xml:space="preserve">, artículo 83 y </w:t>
      </w:r>
      <w:r>
        <w:rPr>
          <w:i/>
          <w:sz w:val="16"/>
        </w:rPr>
        <w:t xml:space="preserve">Código del Trabajo, </w:t>
      </w:r>
      <w:r>
        <w:rPr>
          <w:sz w:val="16"/>
        </w:rPr>
        <w:t xml:space="preserve">artículos 100 a 105; </w:t>
      </w:r>
      <w:r>
        <w:rPr>
          <w:i/>
          <w:sz w:val="16"/>
        </w:rPr>
        <w:t xml:space="preserve">Constitución Política de Panamá, </w:t>
      </w:r>
      <w:r>
        <w:rPr>
          <w:sz w:val="16"/>
        </w:rPr>
        <w:t>artículo</w:t>
      </w:r>
      <w:r>
        <w:rPr>
          <w:sz w:val="16"/>
        </w:rPr>
        <w:t xml:space="preserve"> 64 y </w:t>
      </w:r>
      <w:r>
        <w:rPr>
          <w:i/>
          <w:sz w:val="16"/>
        </w:rPr>
        <w:t>Código del Trabajo</w:t>
      </w:r>
      <w:r>
        <w:rPr>
          <w:sz w:val="16"/>
        </w:rPr>
        <w:t xml:space="preserve">, artículos 282 y 284; </w:t>
      </w:r>
      <w:r>
        <w:rPr>
          <w:i/>
          <w:sz w:val="16"/>
        </w:rPr>
        <w:t>Constitución de la</w:t>
      </w:r>
      <w:r>
        <w:rPr>
          <w:i/>
          <w:spacing w:val="-3"/>
          <w:sz w:val="16"/>
        </w:rPr>
        <w:t xml:space="preserve"> </w:t>
      </w:r>
      <w:r>
        <w:rPr>
          <w:i/>
          <w:sz w:val="16"/>
        </w:rPr>
        <w:t>República</w:t>
      </w:r>
      <w:r>
        <w:rPr>
          <w:i/>
          <w:spacing w:val="-6"/>
          <w:sz w:val="16"/>
        </w:rPr>
        <w:t xml:space="preserve"> </w:t>
      </w:r>
      <w:r>
        <w:rPr>
          <w:i/>
          <w:sz w:val="16"/>
        </w:rPr>
        <w:t>del</w:t>
      </w:r>
      <w:r>
        <w:rPr>
          <w:i/>
          <w:spacing w:val="-6"/>
          <w:sz w:val="16"/>
        </w:rPr>
        <w:t xml:space="preserve"> </w:t>
      </w:r>
      <w:r>
        <w:rPr>
          <w:i/>
          <w:sz w:val="16"/>
        </w:rPr>
        <w:t>Paraguay</w:t>
      </w:r>
      <w:r>
        <w:rPr>
          <w:sz w:val="16"/>
        </w:rPr>
        <w:t>,</w:t>
      </w:r>
      <w:r>
        <w:rPr>
          <w:spacing w:val="-4"/>
          <w:sz w:val="16"/>
        </w:rPr>
        <w:t xml:space="preserve"> </w:t>
      </w:r>
      <w:r>
        <w:rPr>
          <w:sz w:val="16"/>
        </w:rPr>
        <w:t>artículos</w:t>
      </w:r>
      <w:r>
        <w:rPr>
          <w:spacing w:val="-4"/>
          <w:sz w:val="16"/>
        </w:rPr>
        <w:t xml:space="preserve"> </w:t>
      </w:r>
      <w:r>
        <w:rPr>
          <w:sz w:val="16"/>
        </w:rPr>
        <w:t>86,</w:t>
      </w:r>
      <w:r>
        <w:rPr>
          <w:spacing w:val="-6"/>
          <w:sz w:val="16"/>
        </w:rPr>
        <w:t xml:space="preserve"> </w:t>
      </w:r>
      <w:r>
        <w:rPr>
          <w:sz w:val="16"/>
        </w:rPr>
        <w:t>89,</w:t>
      </w:r>
      <w:r>
        <w:rPr>
          <w:spacing w:val="-6"/>
          <w:sz w:val="16"/>
        </w:rPr>
        <w:t xml:space="preserve"> </w:t>
      </w:r>
      <w:r>
        <w:rPr>
          <w:sz w:val="16"/>
        </w:rPr>
        <w:t>90,</w:t>
      </w:r>
      <w:r>
        <w:rPr>
          <w:spacing w:val="-6"/>
          <w:sz w:val="16"/>
        </w:rPr>
        <w:t xml:space="preserve"> </w:t>
      </w:r>
      <w:r>
        <w:rPr>
          <w:sz w:val="16"/>
        </w:rPr>
        <w:t>92</w:t>
      </w:r>
      <w:r>
        <w:rPr>
          <w:spacing w:val="-4"/>
          <w:sz w:val="16"/>
        </w:rPr>
        <w:t xml:space="preserve"> </w:t>
      </w:r>
      <w:r>
        <w:rPr>
          <w:sz w:val="16"/>
        </w:rPr>
        <w:t>y</w:t>
      </w:r>
      <w:r>
        <w:rPr>
          <w:spacing w:val="-6"/>
          <w:sz w:val="16"/>
        </w:rPr>
        <w:t xml:space="preserve"> </w:t>
      </w:r>
      <w:r>
        <w:rPr>
          <w:sz w:val="16"/>
        </w:rPr>
        <w:t>99</w:t>
      </w:r>
      <w:r>
        <w:rPr>
          <w:spacing w:val="-4"/>
          <w:sz w:val="16"/>
        </w:rPr>
        <w:t xml:space="preserve"> </w:t>
      </w:r>
      <w:r>
        <w:rPr>
          <w:sz w:val="16"/>
        </w:rPr>
        <w:t>y</w:t>
      </w:r>
      <w:r>
        <w:rPr>
          <w:spacing w:val="-7"/>
          <w:sz w:val="16"/>
        </w:rPr>
        <w:t xml:space="preserve"> </w:t>
      </w:r>
      <w:r>
        <w:rPr>
          <w:i/>
          <w:sz w:val="16"/>
        </w:rPr>
        <w:t>Código</w:t>
      </w:r>
      <w:r>
        <w:rPr>
          <w:i/>
          <w:spacing w:val="-4"/>
          <w:sz w:val="16"/>
        </w:rPr>
        <w:t xml:space="preserve"> </w:t>
      </w:r>
      <w:r>
        <w:rPr>
          <w:i/>
          <w:sz w:val="16"/>
        </w:rPr>
        <w:t>del</w:t>
      </w:r>
      <w:r>
        <w:rPr>
          <w:i/>
          <w:spacing w:val="-2"/>
          <w:sz w:val="16"/>
        </w:rPr>
        <w:t xml:space="preserve"> </w:t>
      </w:r>
      <w:r>
        <w:rPr>
          <w:i/>
          <w:sz w:val="16"/>
        </w:rPr>
        <w:t>Trabajo</w:t>
      </w:r>
      <w:r>
        <w:rPr>
          <w:sz w:val="16"/>
        </w:rPr>
        <w:t>,</w:t>
      </w:r>
      <w:r>
        <w:rPr>
          <w:spacing w:val="-4"/>
          <w:sz w:val="16"/>
        </w:rPr>
        <w:t xml:space="preserve"> </w:t>
      </w:r>
      <w:r>
        <w:rPr>
          <w:sz w:val="16"/>
        </w:rPr>
        <w:t>artículos</w:t>
      </w:r>
      <w:r>
        <w:rPr>
          <w:spacing w:val="-5"/>
          <w:sz w:val="16"/>
        </w:rPr>
        <w:t xml:space="preserve"> </w:t>
      </w:r>
      <w:r>
        <w:rPr>
          <w:sz w:val="16"/>
        </w:rPr>
        <w:t>36,</w:t>
      </w:r>
      <w:r>
        <w:rPr>
          <w:spacing w:val="-3"/>
          <w:sz w:val="16"/>
        </w:rPr>
        <w:t xml:space="preserve"> </w:t>
      </w:r>
      <w:r>
        <w:rPr>
          <w:sz w:val="16"/>
        </w:rPr>
        <w:t>49,</w:t>
      </w:r>
      <w:r>
        <w:rPr>
          <w:spacing w:val="-6"/>
          <w:sz w:val="16"/>
        </w:rPr>
        <w:t xml:space="preserve"> </w:t>
      </w:r>
      <w:r>
        <w:rPr>
          <w:sz w:val="16"/>
        </w:rPr>
        <w:t>194,</w:t>
      </w:r>
      <w:r>
        <w:rPr>
          <w:spacing w:val="-5"/>
          <w:sz w:val="16"/>
        </w:rPr>
        <w:t xml:space="preserve"> </w:t>
      </w:r>
      <w:r>
        <w:rPr>
          <w:sz w:val="16"/>
        </w:rPr>
        <w:t>273,</w:t>
      </w:r>
      <w:r>
        <w:rPr>
          <w:spacing w:val="-6"/>
          <w:sz w:val="16"/>
        </w:rPr>
        <w:t xml:space="preserve"> </w:t>
      </w:r>
      <w:r>
        <w:rPr>
          <w:sz w:val="16"/>
        </w:rPr>
        <w:t>274</w:t>
      </w:r>
      <w:r>
        <w:rPr>
          <w:spacing w:val="-4"/>
          <w:sz w:val="16"/>
        </w:rPr>
        <w:t xml:space="preserve"> </w:t>
      </w:r>
      <w:r>
        <w:rPr>
          <w:sz w:val="16"/>
        </w:rPr>
        <w:t>y</w:t>
      </w:r>
      <w:r>
        <w:rPr>
          <w:spacing w:val="-7"/>
          <w:sz w:val="16"/>
        </w:rPr>
        <w:t xml:space="preserve"> </w:t>
      </w:r>
      <w:r>
        <w:rPr>
          <w:sz w:val="16"/>
        </w:rPr>
        <w:t xml:space="preserve">398; </w:t>
      </w:r>
      <w:r>
        <w:rPr>
          <w:i/>
          <w:sz w:val="16"/>
        </w:rPr>
        <w:t>Constitución Política de Perú</w:t>
      </w:r>
      <w:r>
        <w:rPr>
          <w:sz w:val="16"/>
        </w:rPr>
        <w:t xml:space="preserve">, artículos 22 y 24 y </w:t>
      </w:r>
      <w:r>
        <w:rPr>
          <w:i/>
          <w:sz w:val="16"/>
        </w:rPr>
        <w:t>Ley General del Trabajo</w:t>
      </w:r>
      <w:r>
        <w:rPr>
          <w:sz w:val="16"/>
        </w:rPr>
        <w:t xml:space="preserve">, artículo 322; </w:t>
      </w:r>
      <w:r>
        <w:rPr>
          <w:i/>
          <w:sz w:val="16"/>
        </w:rPr>
        <w:t xml:space="preserve">Constitución Política de la República Dominicana, </w:t>
      </w:r>
      <w:r>
        <w:rPr>
          <w:sz w:val="16"/>
        </w:rPr>
        <w:t>articulo 62 y Decreto 522-06 de 2006 (</w:t>
      </w:r>
      <w:r>
        <w:rPr>
          <w:i/>
          <w:sz w:val="16"/>
        </w:rPr>
        <w:t>Reglamento de Seguridad y Salud en el Trabajo</w:t>
      </w:r>
      <w:r>
        <w:rPr>
          <w:sz w:val="16"/>
        </w:rPr>
        <w:t xml:space="preserve">); </w:t>
      </w:r>
      <w:r>
        <w:rPr>
          <w:i/>
          <w:sz w:val="16"/>
        </w:rPr>
        <w:t>Constitución de la República de Surinam</w:t>
      </w:r>
      <w:r>
        <w:rPr>
          <w:sz w:val="16"/>
        </w:rPr>
        <w:t>, artículo 28</w:t>
      </w:r>
      <w:r>
        <w:rPr>
          <w:i/>
          <w:sz w:val="16"/>
        </w:rPr>
        <w:t>; Constitución de la Repúblic</w:t>
      </w:r>
      <w:r>
        <w:rPr>
          <w:i/>
          <w:sz w:val="16"/>
        </w:rPr>
        <w:t>a Oriental del Uruguay</w:t>
      </w:r>
      <w:r>
        <w:rPr>
          <w:sz w:val="16"/>
        </w:rPr>
        <w:t>, artículos 7, 53 y 54, y Ley 5.032 de 1914 y Ley 5.350 de 19 de noviembre de</w:t>
      </w:r>
      <w:r>
        <w:rPr>
          <w:spacing w:val="-21"/>
          <w:sz w:val="16"/>
        </w:rPr>
        <w:t xml:space="preserve"> </w:t>
      </w:r>
      <w:r>
        <w:rPr>
          <w:sz w:val="16"/>
        </w:rPr>
        <w:t>1915.</w:t>
      </w:r>
    </w:p>
    <w:p w14:paraId="0E4F46F1" w14:textId="77777777" w:rsidR="00467FCA" w:rsidRDefault="00467FCA">
      <w:pPr>
        <w:jc w:val="both"/>
        <w:rPr>
          <w:sz w:val="16"/>
        </w:rPr>
        <w:sectPr w:rsidR="00467FCA">
          <w:pgSz w:w="12240" w:h="15840"/>
          <w:pgMar w:top="1360" w:right="1320" w:bottom="1220" w:left="1320" w:header="0" w:footer="1037" w:gutter="0"/>
          <w:cols w:space="720"/>
        </w:sectPr>
      </w:pPr>
    </w:p>
    <w:p w14:paraId="12613C42" w14:textId="77777777" w:rsidR="00467FCA" w:rsidRDefault="001B68EB">
      <w:pPr>
        <w:pStyle w:val="Prrafodelista"/>
        <w:numPr>
          <w:ilvl w:val="0"/>
          <w:numId w:val="50"/>
        </w:numPr>
        <w:tabs>
          <w:tab w:val="left" w:pos="687"/>
        </w:tabs>
        <w:spacing w:before="183"/>
        <w:ind w:right="117" w:firstLine="0"/>
        <w:jc w:val="both"/>
        <w:rPr>
          <w:sz w:val="20"/>
        </w:rPr>
      </w:pPr>
      <w:r>
        <w:rPr>
          <w:sz w:val="20"/>
        </w:rPr>
        <w:t>Así, la Constitución de Brasil consagra el derecho al trabajo y las garantías que de este se</w:t>
      </w:r>
      <w:r>
        <w:rPr>
          <w:spacing w:val="-7"/>
          <w:sz w:val="20"/>
        </w:rPr>
        <w:t xml:space="preserve"> </w:t>
      </w:r>
      <w:r>
        <w:rPr>
          <w:sz w:val="20"/>
        </w:rPr>
        <w:t>desprenden.</w:t>
      </w:r>
      <w:r>
        <w:rPr>
          <w:spacing w:val="-6"/>
          <w:sz w:val="20"/>
        </w:rPr>
        <w:t xml:space="preserve"> </w:t>
      </w:r>
      <w:r>
        <w:rPr>
          <w:sz w:val="20"/>
        </w:rPr>
        <w:t>En</w:t>
      </w:r>
      <w:r>
        <w:rPr>
          <w:spacing w:val="-3"/>
          <w:sz w:val="20"/>
        </w:rPr>
        <w:t xml:space="preserve"> </w:t>
      </w:r>
      <w:r>
        <w:rPr>
          <w:sz w:val="20"/>
        </w:rPr>
        <w:t>ese</w:t>
      </w:r>
      <w:r>
        <w:rPr>
          <w:spacing w:val="-7"/>
          <w:sz w:val="20"/>
        </w:rPr>
        <w:t xml:space="preserve"> </w:t>
      </w:r>
      <w:r>
        <w:rPr>
          <w:sz w:val="20"/>
        </w:rPr>
        <w:t>sentido</w:t>
      </w:r>
      <w:r>
        <w:rPr>
          <w:spacing w:val="-6"/>
          <w:sz w:val="20"/>
        </w:rPr>
        <w:t xml:space="preserve"> </w:t>
      </w:r>
      <w:r>
        <w:rPr>
          <w:sz w:val="20"/>
        </w:rPr>
        <w:t>señala,</w:t>
      </w:r>
      <w:r>
        <w:rPr>
          <w:spacing w:val="-3"/>
          <w:sz w:val="20"/>
        </w:rPr>
        <w:t xml:space="preserve"> </w:t>
      </w:r>
      <w:r>
        <w:rPr>
          <w:sz w:val="20"/>
        </w:rPr>
        <w:t>en</w:t>
      </w:r>
      <w:r>
        <w:rPr>
          <w:spacing w:val="-4"/>
          <w:sz w:val="20"/>
        </w:rPr>
        <w:t xml:space="preserve"> </w:t>
      </w:r>
      <w:r>
        <w:rPr>
          <w:sz w:val="20"/>
        </w:rPr>
        <w:t>su</w:t>
      </w:r>
      <w:r>
        <w:rPr>
          <w:spacing w:val="-7"/>
          <w:sz w:val="20"/>
        </w:rPr>
        <w:t xml:space="preserve"> </w:t>
      </w:r>
      <w:r>
        <w:rPr>
          <w:sz w:val="20"/>
        </w:rPr>
        <w:t>ar</w:t>
      </w:r>
      <w:r>
        <w:rPr>
          <w:sz w:val="20"/>
        </w:rPr>
        <w:t>tículo</w:t>
      </w:r>
      <w:r>
        <w:rPr>
          <w:spacing w:val="-8"/>
          <w:sz w:val="20"/>
        </w:rPr>
        <w:t xml:space="preserve"> </w:t>
      </w:r>
      <w:r>
        <w:rPr>
          <w:sz w:val="20"/>
        </w:rPr>
        <w:t>7,</w:t>
      </w:r>
      <w:r>
        <w:rPr>
          <w:spacing w:val="-6"/>
          <w:sz w:val="20"/>
        </w:rPr>
        <w:t xml:space="preserve"> </w:t>
      </w:r>
      <w:r>
        <w:rPr>
          <w:sz w:val="20"/>
        </w:rPr>
        <w:t>que</w:t>
      </w:r>
      <w:r>
        <w:rPr>
          <w:spacing w:val="-6"/>
          <w:sz w:val="20"/>
        </w:rPr>
        <w:t xml:space="preserve"> </w:t>
      </w:r>
      <w:r>
        <w:rPr>
          <w:sz w:val="20"/>
        </w:rPr>
        <w:t>son</w:t>
      </w:r>
      <w:r>
        <w:rPr>
          <w:spacing w:val="-7"/>
          <w:sz w:val="20"/>
        </w:rPr>
        <w:t xml:space="preserve"> </w:t>
      </w:r>
      <w:r>
        <w:rPr>
          <w:sz w:val="20"/>
        </w:rPr>
        <w:t>derechos</w:t>
      </w:r>
      <w:r>
        <w:rPr>
          <w:spacing w:val="-9"/>
          <w:sz w:val="20"/>
        </w:rPr>
        <w:t xml:space="preserve"> </w:t>
      </w:r>
      <w:r>
        <w:rPr>
          <w:sz w:val="20"/>
        </w:rPr>
        <w:t>de</w:t>
      </w:r>
      <w:r>
        <w:rPr>
          <w:spacing w:val="-6"/>
          <w:sz w:val="20"/>
        </w:rPr>
        <w:t xml:space="preserve"> </w:t>
      </w:r>
      <w:r>
        <w:rPr>
          <w:sz w:val="20"/>
        </w:rPr>
        <w:t>los</w:t>
      </w:r>
      <w:r>
        <w:rPr>
          <w:spacing w:val="-7"/>
          <w:sz w:val="20"/>
        </w:rPr>
        <w:t xml:space="preserve"> </w:t>
      </w:r>
      <w:r>
        <w:rPr>
          <w:sz w:val="20"/>
        </w:rPr>
        <w:t>trabajadores urbanos</w:t>
      </w:r>
      <w:r>
        <w:rPr>
          <w:spacing w:val="-13"/>
          <w:sz w:val="20"/>
        </w:rPr>
        <w:t xml:space="preserve"> </w:t>
      </w:r>
      <w:r>
        <w:rPr>
          <w:sz w:val="20"/>
        </w:rPr>
        <w:t>y</w:t>
      </w:r>
      <w:r>
        <w:rPr>
          <w:spacing w:val="-11"/>
          <w:sz w:val="20"/>
        </w:rPr>
        <w:t xml:space="preserve"> </w:t>
      </w:r>
      <w:r>
        <w:rPr>
          <w:sz w:val="20"/>
        </w:rPr>
        <w:t>rurales</w:t>
      </w:r>
      <w:r>
        <w:rPr>
          <w:spacing w:val="-13"/>
          <w:sz w:val="20"/>
        </w:rPr>
        <w:t xml:space="preserve"> </w:t>
      </w:r>
      <w:r>
        <w:rPr>
          <w:sz w:val="20"/>
        </w:rPr>
        <w:t>la</w:t>
      </w:r>
      <w:r>
        <w:rPr>
          <w:spacing w:val="-11"/>
          <w:sz w:val="20"/>
        </w:rPr>
        <w:t xml:space="preserve"> </w:t>
      </w:r>
      <w:r>
        <w:rPr>
          <w:sz w:val="20"/>
        </w:rPr>
        <w:t>reducción</w:t>
      </w:r>
      <w:r>
        <w:rPr>
          <w:spacing w:val="-12"/>
          <w:sz w:val="20"/>
        </w:rPr>
        <w:t xml:space="preserve"> </w:t>
      </w:r>
      <w:r>
        <w:rPr>
          <w:sz w:val="20"/>
        </w:rPr>
        <w:t>de</w:t>
      </w:r>
      <w:r>
        <w:rPr>
          <w:spacing w:val="-11"/>
          <w:sz w:val="20"/>
        </w:rPr>
        <w:t xml:space="preserve"> </w:t>
      </w:r>
      <w:r>
        <w:rPr>
          <w:sz w:val="20"/>
        </w:rPr>
        <w:t>riesgos</w:t>
      </w:r>
      <w:r>
        <w:rPr>
          <w:spacing w:val="-13"/>
          <w:sz w:val="20"/>
        </w:rPr>
        <w:t xml:space="preserve"> </w:t>
      </w:r>
      <w:r>
        <w:rPr>
          <w:sz w:val="20"/>
        </w:rPr>
        <w:t>inherentes</w:t>
      </w:r>
      <w:r>
        <w:rPr>
          <w:spacing w:val="-12"/>
          <w:sz w:val="20"/>
        </w:rPr>
        <w:t xml:space="preserve"> </w:t>
      </w:r>
      <w:r>
        <w:rPr>
          <w:sz w:val="20"/>
        </w:rPr>
        <w:t>al</w:t>
      </w:r>
      <w:r>
        <w:rPr>
          <w:spacing w:val="-12"/>
          <w:sz w:val="20"/>
        </w:rPr>
        <w:t xml:space="preserve"> </w:t>
      </w:r>
      <w:r>
        <w:rPr>
          <w:sz w:val="20"/>
        </w:rPr>
        <w:t>trabajo</w:t>
      </w:r>
      <w:r>
        <w:rPr>
          <w:spacing w:val="-14"/>
          <w:sz w:val="20"/>
        </w:rPr>
        <w:t xml:space="preserve"> </w:t>
      </w:r>
      <w:r>
        <w:rPr>
          <w:sz w:val="20"/>
        </w:rPr>
        <w:t>por</w:t>
      </w:r>
      <w:r>
        <w:rPr>
          <w:spacing w:val="-14"/>
          <w:sz w:val="20"/>
        </w:rPr>
        <w:t xml:space="preserve"> </w:t>
      </w:r>
      <w:r>
        <w:rPr>
          <w:sz w:val="20"/>
        </w:rPr>
        <w:t>medio</w:t>
      </w:r>
      <w:r>
        <w:rPr>
          <w:spacing w:val="-13"/>
          <w:sz w:val="20"/>
        </w:rPr>
        <w:t xml:space="preserve"> </w:t>
      </w:r>
      <w:r>
        <w:rPr>
          <w:sz w:val="20"/>
        </w:rPr>
        <w:t>de</w:t>
      </w:r>
      <w:r>
        <w:rPr>
          <w:spacing w:val="-14"/>
          <w:sz w:val="20"/>
        </w:rPr>
        <w:t xml:space="preserve"> </w:t>
      </w:r>
      <w:r>
        <w:rPr>
          <w:sz w:val="20"/>
        </w:rPr>
        <w:t>normas</w:t>
      </w:r>
      <w:r>
        <w:rPr>
          <w:spacing w:val="-13"/>
          <w:sz w:val="20"/>
        </w:rPr>
        <w:t xml:space="preserve"> </w:t>
      </w:r>
      <w:r>
        <w:rPr>
          <w:sz w:val="20"/>
        </w:rPr>
        <w:t>de</w:t>
      </w:r>
      <w:r>
        <w:rPr>
          <w:spacing w:val="-13"/>
          <w:sz w:val="20"/>
        </w:rPr>
        <w:t xml:space="preserve"> </w:t>
      </w:r>
      <w:r>
        <w:rPr>
          <w:sz w:val="20"/>
        </w:rPr>
        <w:t>salud, higiene y seguridad; el seguro de accidentes, y la prohibición del trabajo nocturno, peligroso o</w:t>
      </w:r>
      <w:r>
        <w:rPr>
          <w:spacing w:val="-7"/>
          <w:sz w:val="20"/>
        </w:rPr>
        <w:t xml:space="preserve"> </w:t>
      </w:r>
      <w:r>
        <w:rPr>
          <w:sz w:val="20"/>
        </w:rPr>
        <w:t>insalubre</w:t>
      </w:r>
      <w:r>
        <w:rPr>
          <w:spacing w:val="-6"/>
          <w:sz w:val="20"/>
        </w:rPr>
        <w:t xml:space="preserve"> </w:t>
      </w:r>
      <w:r>
        <w:rPr>
          <w:sz w:val="20"/>
        </w:rPr>
        <w:t>a</w:t>
      </w:r>
      <w:r>
        <w:rPr>
          <w:spacing w:val="-4"/>
          <w:sz w:val="20"/>
        </w:rPr>
        <w:t xml:space="preserve"> </w:t>
      </w:r>
      <w:r>
        <w:rPr>
          <w:sz w:val="20"/>
        </w:rPr>
        <w:t>los</w:t>
      </w:r>
      <w:r>
        <w:rPr>
          <w:spacing w:val="-3"/>
          <w:sz w:val="20"/>
        </w:rPr>
        <w:t xml:space="preserve"> </w:t>
      </w:r>
      <w:r>
        <w:rPr>
          <w:sz w:val="20"/>
        </w:rPr>
        <w:t>menores</w:t>
      </w:r>
      <w:r>
        <w:rPr>
          <w:spacing w:val="-5"/>
          <w:sz w:val="20"/>
        </w:rPr>
        <w:t xml:space="preserve"> </w:t>
      </w:r>
      <w:r>
        <w:rPr>
          <w:sz w:val="20"/>
        </w:rPr>
        <w:t>de</w:t>
      </w:r>
      <w:r>
        <w:rPr>
          <w:spacing w:val="-6"/>
          <w:sz w:val="20"/>
        </w:rPr>
        <w:t xml:space="preserve"> </w:t>
      </w:r>
      <w:r>
        <w:rPr>
          <w:sz w:val="20"/>
        </w:rPr>
        <w:t>dieciocho</w:t>
      </w:r>
      <w:r>
        <w:rPr>
          <w:spacing w:val="-3"/>
          <w:sz w:val="20"/>
        </w:rPr>
        <w:t xml:space="preserve"> </w:t>
      </w:r>
      <w:r>
        <w:rPr>
          <w:sz w:val="20"/>
        </w:rPr>
        <w:t>años</w:t>
      </w:r>
      <w:r>
        <w:rPr>
          <w:spacing w:val="-3"/>
          <w:sz w:val="20"/>
        </w:rPr>
        <w:t xml:space="preserve"> </w:t>
      </w:r>
      <w:r>
        <w:rPr>
          <w:sz w:val="20"/>
        </w:rPr>
        <w:t>y</w:t>
      </w:r>
      <w:r>
        <w:rPr>
          <w:spacing w:val="-5"/>
          <w:sz w:val="20"/>
        </w:rPr>
        <w:t xml:space="preserve"> </w:t>
      </w:r>
      <w:r>
        <w:rPr>
          <w:sz w:val="20"/>
        </w:rPr>
        <w:t>de</w:t>
      </w:r>
      <w:r>
        <w:rPr>
          <w:spacing w:val="-6"/>
          <w:sz w:val="20"/>
        </w:rPr>
        <w:t xml:space="preserve"> </w:t>
      </w:r>
      <w:r>
        <w:rPr>
          <w:sz w:val="20"/>
        </w:rPr>
        <w:t>cualquier</w:t>
      </w:r>
      <w:r>
        <w:rPr>
          <w:spacing w:val="-6"/>
          <w:sz w:val="20"/>
        </w:rPr>
        <w:t xml:space="preserve"> </w:t>
      </w:r>
      <w:r>
        <w:rPr>
          <w:sz w:val="20"/>
        </w:rPr>
        <w:t>trabajo</w:t>
      </w:r>
      <w:r>
        <w:rPr>
          <w:spacing w:val="-7"/>
          <w:sz w:val="20"/>
        </w:rPr>
        <w:t xml:space="preserve"> </w:t>
      </w:r>
      <w:r>
        <w:rPr>
          <w:sz w:val="20"/>
        </w:rPr>
        <w:t>a</w:t>
      </w:r>
      <w:r>
        <w:rPr>
          <w:spacing w:val="-4"/>
          <w:sz w:val="20"/>
        </w:rPr>
        <w:t xml:space="preserve"> </w:t>
      </w:r>
      <w:r>
        <w:rPr>
          <w:sz w:val="20"/>
        </w:rPr>
        <w:t>los</w:t>
      </w:r>
      <w:r>
        <w:rPr>
          <w:spacing w:val="-3"/>
          <w:sz w:val="20"/>
        </w:rPr>
        <w:t xml:space="preserve"> </w:t>
      </w:r>
      <w:r>
        <w:rPr>
          <w:sz w:val="20"/>
        </w:rPr>
        <w:t>menores</w:t>
      </w:r>
      <w:r>
        <w:rPr>
          <w:spacing w:val="-5"/>
          <w:sz w:val="20"/>
        </w:rPr>
        <w:t xml:space="preserve"> </w:t>
      </w:r>
      <w:r>
        <w:rPr>
          <w:sz w:val="20"/>
        </w:rPr>
        <w:t>de</w:t>
      </w:r>
      <w:r>
        <w:rPr>
          <w:spacing w:val="-6"/>
          <w:sz w:val="20"/>
        </w:rPr>
        <w:t xml:space="preserve"> </w:t>
      </w:r>
      <w:r>
        <w:rPr>
          <w:sz w:val="20"/>
        </w:rPr>
        <w:t>catorce, excepto en la condición de aprendiz, de los 14 a los 16 años,</w:t>
      </w:r>
      <w:r>
        <w:rPr>
          <w:sz w:val="20"/>
        </w:rPr>
        <w:t xml:space="preserve"> entre varios</w:t>
      </w:r>
      <w:r>
        <w:rPr>
          <w:spacing w:val="-16"/>
          <w:sz w:val="20"/>
        </w:rPr>
        <w:t xml:space="preserve"> </w:t>
      </w:r>
      <w:r>
        <w:rPr>
          <w:sz w:val="20"/>
        </w:rPr>
        <w:t>otros.</w:t>
      </w:r>
    </w:p>
    <w:p w14:paraId="37516600" w14:textId="77777777" w:rsidR="00467FCA" w:rsidRDefault="00467FCA">
      <w:pPr>
        <w:pStyle w:val="Textoindependiente"/>
      </w:pPr>
    </w:p>
    <w:p w14:paraId="48C2E66A" w14:textId="77777777" w:rsidR="00467FCA" w:rsidRDefault="001B68EB">
      <w:pPr>
        <w:pStyle w:val="Prrafodelista"/>
        <w:numPr>
          <w:ilvl w:val="0"/>
          <w:numId w:val="50"/>
        </w:numPr>
        <w:tabs>
          <w:tab w:val="left" w:pos="686"/>
        </w:tabs>
        <w:ind w:left="119" w:right="116" w:firstLine="0"/>
        <w:jc w:val="both"/>
        <w:rPr>
          <w:sz w:val="20"/>
        </w:rPr>
      </w:pPr>
      <w:r>
        <w:rPr>
          <w:sz w:val="20"/>
        </w:rPr>
        <w:t>Por otra parte, la Consolidación de las Leyes del Trabajo cuenta con un capítulo específico sobre las normas de prevención de accidentes y enfermedades laborales. Por ejemplo, en su artículo 166, pone a cargo de la empresa la obligaci</w:t>
      </w:r>
      <w:r>
        <w:rPr>
          <w:sz w:val="20"/>
        </w:rPr>
        <w:t>ón de proporcionar a los empleados, de forma gratuita, equipos de protección individual adecuados al riesgo, cuando las medidas generales no ofrezcan una protección completa contra los riesgos de accidentes y</w:t>
      </w:r>
      <w:r>
        <w:rPr>
          <w:spacing w:val="-18"/>
          <w:sz w:val="20"/>
        </w:rPr>
        <w:t xml:space="preserve"> </w:t>
      </w:r>
      <w:r>
        <w:rPr>
          <w:sz w:val="20"/>
        </w:rPr>
        <w:t>daños</w:t>
      </w:r>
      <w:r>
        <w:rPr>
          <w:spacing w:val="-17"/>
          <w:sz w:val="20"/>
        </w:rPr>
        <w:t xml:space="preserve"> </w:t>
      </w:r>
      <w:r>
        <w:rPr>
          <w:sz w:val="20"/>
        </w:rPr>
        <w:t>a</w:t>
      </w:r>
      <w:r>
        <w:rPr>
          <w:spacing w:val="-15"/>
          <w:sz w:val="20"/>
        </w:rPr>
        <w:t xml:space="preserve"> </w:t>
      </w:r>
      <w:r>
        <w:rPr>
          <w:sz w:val="20"/>
        </w:rPr>
        <w:t>la</w:t>
      </w:r>
      <w:r>
        <w:rPr>
          <w:spacing w:val="-16"/>
          <w:sz w:val="20"/>
        </w:rPr>
        <w:t xml:space="preserve"> </w:t>
      </w:r>
      <w:r>
        <w:rPr>
          <w:sz w:val="20"/>
        </w:rPr>
        <w:t>salud</w:t>
      </w:r>
      <w:hyperlink w:anchor="_bookmark299" w:history="1">
        <w:r>
          <w:rPr>
            <w:position w:val="7"/>
            <w:sz w:val="13"/>
          </w:rPr>
          <w:t>253</w:t>
        </w:r>
      </w:hyperlink>
      <w:r>
        <w:rPr>
          <w:sz w:val="20"/>
        </w:rPr>
        <w:t>.</w:t>
      </w:r>
      <w:r>
        <w:rPr>
          <w:spacing w:val="-17"/>
          <w:sz w:val="20"/>
        </w:rPr>
        <w:t xml:space="preserve"> </w:t>
      </w:r>
      <w:r>
        <w:rPr>
          <w:sz w:val="20"/>
        </w:rPr>
        <w:t>Por</w:t>
      </w:r>
      <w:r>
        <w:rPr>
          <w:spacing w:val="-19"/>
          <w:sz w:val="20"/>
        </w:rPr>
        <w:t xml:space="preserve"> </w:t>
      </w:r>
      <w:r>
        <w:rPr>
          <w:sz w:val="20"/>
        </w:rPr>
        <w:t>su</w:t>
      </w:r>
      <w:r>
        <w:rPr>
          <w:spacing w:val="-15"/>
          <w:sz w:val="20"/>
        </w:rPr>
        <w:t xml:space="preserve"> </w:t>
      </w:r>
      <w:r>
        <w:rPr>
          <w:sz w:val="20"/>
        </w:rPr>
        <w:t>parte,</w:t>
      </w:r>
      <w:r>
        <w:rPr>
          <w:spacing w:val="-15"/>
          <w:sz w:val="20"/>
        </w:rPr>
        <w:t xml:space="preserve"> </w:t>
      </w:r>
      <w:r>
        <w:rPr>
          <w:sz w:val="20"/>
        </w:rPr>
        <w:t>el</w:t>
      </w:r>
      <w:r>
        <w:rPr>
          <w:spacing w:val="-17"/>
          <w:sz w:val="20"/>
        </w:rPr>
        <w:t xml:space="preserve"> </w:t>
      </w:r>
      <w:r>
        <w:rPr>
          <w:sz w:val="20"/>
        </w:rPr>
        <w:t>artículo</w:t>
      </w:r>
      <w:r>
        <w:rPr>
          <w:spacing w:val="-18"/>
          <w:sz w:val="20"/>
        </w:rPr>
        <w:t xml:space="preserve"> </w:t>
      </w:r>
      <w:r>
        <w:rPr>
          <w:sz w:val="20"/>
        </w:rPr>
        <w:t>195</w:t>
      </w:r>
      <w:r>
        <w:rPr>
          <w:spacing w:val="-16"/>
          <w:sz w:val="20"/>
        </w:rPr>
        <w:t xml:space="preserve"> </w:t>
      </w:r>
      <w:r>
        <w:rPr>
          <w:sz w:val="20"/>
        </w:rPr>
        <w:t>dispone</w:t>
      </w:r>
      <w:r>
        <w:rPr>
          <w:spacing w:val="-19"/>
          <w:sz w:val="20"/>
        </w:rPr>
        <w:t xml:space="preserve"> </w:t>
      </w:r>
      <w:r>
        <w:rPr>
          <w:sz w:val="20"/>
        </w:rPr>
        <w:t>que</w:t>
      </w:r>
      <w:r>
        <w:rPr>
          <w:spacing w:val="-18"/>
          <w:sz w:val="20"/>
        </w:rPr>
        <w:t xml:space="preserve"> </w:t>
      </w:r>
      <w:r>
        <w:rPr>
          <w:sz w:val="20"/>
        </w:rPr>
        <w:t>la</w:t>
      </w:r>
      <w:r>
        <w:rPr>
          <w:spacing w:val="-16"/>
          <w:sz w:val="20"/>
        </w:rPr>
        <w:t xml:space="preserve"> </w:t>
      </w:r>
      <w:r>
        <w:rPr>
          <w:sz w:val="20"/>
        </w:rPr>
        <w:t>caracterización</w:t>
      </w:r>
      <w:r>
        <w:rPr>
          <w:spacing w:val="-16"/>
          <w:sz w:val="20"/>
        </w:rPr>
        <w:t xml:space="preserve"> </w:t>
      </w:r>
      <w:r>
        <w:rPr>
          <w:sz w:val="20"/>
        </w:rPr>
        <w:t>y</w:t>
      </w:r>
      <w:r>
        <w:rPr>
          <w:spacing w:val="-14"/>
          <w:sz w:val="20"/>
        </w:rPr>
        <w:t xml:space="preserve"> </w:t>
      </w:r>
      <w:r>
        <w:rPr>
          <w:sz w:val="20"/>
        </w:rPr>
        <w:t>clasificación de la insalubridad y peligrosidad, de acuerdo con las normas del Ministerio del Trabajo, se hará a través de una inspección bajo la responsabili</w:t>
      </w:r>
      <w:r>
        <w:rPr>
          <w:sz w:val="20"/>
        </w:rPr>
        <w:t>dad de un médico o ingeniero registrado en el Ministerio, sin prejuicio de la acción fiscalizadora del Ministerio del Trabajo, ni de la inspección de oficio de dicho órgano</w:t>
      </w:r>
      <w:hyperlink w:anchor="_bookmark300" w:history="1">
        <w:r>
          <w:rPr>
            <w:position w:val="7"/>
            <w:sz w:val="13"/>
          </w:rPr>
          <w:t>254</w:t>
        </w:r>
      </w:hyperlink>
      <w:r>
        <w:rPr>
          <w:sz w:val="20"/>
        </w:rPr>
        <w:t>. La CLT es complementada por las normas administ</w:t>
      </w:r>
      <w:r>
        <w:rPr>
          <w:sz w:val="20"/>
        </w:rPr>
        <w:t>rativas emitidas por el Ministerio de Trabajo y Empleo, que regulan las profesiones de manera más detallada y proporcionan, por ejemplo, los criterios que debe seguir el empleador</w:t>
      </w:r>
      <w:r>
        <w:rPr>
          <w:spacing w:val="-14"/>
          <w:sz w:val="20"/>
        </w:rPr>
        <w:t xml:space="preserve"> </w:t>
      </w:r>
      <w:r>
        <w:rPr>
          <w:sz w:val="20"/>
        </w:rPr>
        <w:t>para</w:t>
      </w:r>
      <w:r>
        <w:rPr>
          <w:spacing w:val="-12"/>
          <w:sz w:val="20"/>
        </w:rPr>
        <w:t xml:space="preserve"> </w:t>
      </w:r>
      <w:r>
        <w:rPr>
          <w:sz w:val="20"/>
        </w:rPr>
        <w:t>un</w:t>
      </w:r>
      <w:r>
        <w:rPr>
          <w:spacing w:val="-14"/>
          <w:sz w:val="20"/>
        </w:rPr>
        <w:t xml:space="preserve"> </w:t>
      </w:r>
      <w:r>
        <w:rPr>
          <w:sz w:val="20"/>
        </w:rPr>
        <w:t>trabajo</w:t>
      </w:r>
      <w:r>
        <w:rPr>
          <w:spacing w:val="-16"/>
          <w:sz w:val="20"/>
        </w:rPr>
        <w:t xml:space="preserve"> </w:t>
      </w:r>
      <w:r>
        <w:rPr>
          <w:sz w:val="20"/>
        </w:rPr>
        <w:t>saludable</w:t>
      </w:r>
      <w:r>
        <w:rPr>
          <w:spacing w:val="-13"/>
          <w:sz w:val="20"/>
        </w:rPr>
        <w:t xml:space="preserve"> </w:t>
      </w:r>
      <w:r>
        <w:rPr>
          <w:sz w:val="20"/>
        </w:rPr>
        <w:t>y</w:t>
      </w:r>
      <w:r>
        <w:rPr>
          <w:spacing w:val="-13"/>
          <w:sz w:val="20"/>
        </w:rPr>
        <w:t xml:space="preserve"> </w:t>
      </w:r>
      <w:r>
        <w:rPr>
          <w:sz w:val="20"/>
        </w:rPr>
        <w:t>seguro.</w:t>
      </w:r>
      <w:r>
        <w:rPr>
          <w:spacing w:val="-11"/>
          <w:sz w:val="20"/>
        </w:rPr>
        <w:t xml:space="preserve"> </w:t>
      </w:r>
      <w:r>
        <w:rPr>
          <w:sz w:val="20"/>
        </w:rPr>
        <w:t>Así,</w:t>
      </w:r>
      <w:r>
        <w:rPr>
          <w:spacing w:val="-16"/>
          <w:sz w:val="20"/>
        </w:rPr>
        <w:t xml:space="preserve"> </w:t>
      </w:r>
      <w:r>
        <w:rPr>
          <w:sz w:val="20"/>
        </w:rPr>
        <w:t>la</w:t>
      </w:r>
      <w:r>
        <w:rPr>
          <w:spacing w:val="-13"/>
          <w:sz w:val="20"/>
        </w:rPr>
        <w:t xml:space="preserve"> </w:t>
      </w:r>
      <w:r>
        <w:rPr>
          <w:sz w:val="20"/>
        </w:rPr>
        <w:t>Norma</w:t>
      </w:r>
      <w:r>
        <w:rPr>
          <w:spacing w:val="-11"/>
          <w:sz w:val="20"/>
        </w:rPr>
        <w:t xml:space="preserve"> </w:t>
      </w:r>
      <w:r>
        <w:rPr>
          <w:sz w:val="20"/>
        </w:rPr>
        <w:t>Regulatoria</w:t>
      </w:r>
      <w:r>
        <w:rPr>
          <w:spacing w:val="-13"/>
          <w:sz w:val="20"/>
        </w:rPr>
        <w:t xml:space="preserve"> </w:t>
      </w:r>
      <w:r>
        <w:rPr>
          <w:sz w:val="20"/>
        </w:rPr>
        <w:t>No.</w:t>
      </w:r>
      <w:r>
        <w:rPr>
          <w:spacing w:val="-13"/>
          <w:sz w:val="20"/>
        </w:rPr>
        <w:t xml:space="preserve"> </w:t>
      </w:r>
      <w:r>
        <w:rPr>
          <w:sz w:val="20"/>
        </w:rPr>
        <w:t>19</w:t>
      </w:r>
      <w:r>
        <w:rPr>
          <w:spacing w:val="-15"/>
          <w:sz w:val="20"/>
        </w:rPr>
        <w:t xml:space="preserve"> </w:t>
      </w:r>
      <w:r>
        <w:rPr>
          <w:sz w:val="20"/>
        </w:rPr>
        <w:t>del</w:t>
      </w:r>
      <w:r>
        <w:rPr>
          <w:spacing w:val="-14"/>
          <w:sz w:val="20"/>
        </w:rPr>
        <w:t xml:space="preserve"> </w:t>
      </w:r>
      <w:r>
        <w:rPr>
          <w:sz w:val="20"/>
        </w:rPr>
        <w:t>Min</w:t>
      </w:r>
      <w:r>
        <w:rPr>
          <w:sz w:val="20"/>
        </w:rPr>
        <w:t>isterio del Trabajo, reglamenta las actividades con explosivos y contempla disposiciones relativas a la</w:t>
      </w:r>
      <w:r>
        <w:rPr>
          <w:spacing w:val="-14"/>
          <w:sz w:val="20"/>
        </w:rPr>
        <w:t xml:space="preserve"> </w:t>
      </w:r>
      <w:r>
        <w:rPr>
          <w:sz w:val="20"/>
        </w:rPr>
        <w:t>seguridad</w:t>
      </w:r>
      <w:r>
        <w:rPr>
          <w:spacing w:val="-14"/>
          <w:sz w:val="20"/>
        </w:rPr>
        <w:t xml:space="preserve"> </w:t>
      </w:r>
      <w:r>
        <w:rPr>
          <w:sz w:val="20"/>
        </w:rPr>
        <w:t>laboral</w:t>
      </w:r>
      <w:r>
        <w:rPr>
          <w:spacing w:val="-11"/>
          <w:sz w:val="20"/>
        </w:rPr>
        <w:t xml:space="preserve"> </w:t>
      </w:r>
      <w:r>
        <w:rPr>
          <w:sz w:val="20"/>
        </w:rPr>
        <w:t>y</w:t>
      </w:r>
      <w:r>
        <w:rPr>
          <w:spacing w:val="-14"/>
          <w:sz w:val="20"/>
        </w:rPr>
        <w:t xml:space="preserve"> </w:t>
      </w:r>
      <w:r>
        <w:rPr>
          <w:sz w:val="20"/>
        </w:rPr>
        <w:t>normas</w:t>
      </w:r>
      <w:r>
        <w:rPr>
          <w:spacing w:val="-12"/>
          <w:sz w:val="20"/>
        </w:rPr>
        <w:t xml:space="preserve"> </w:t>
      </w:r>
      <w:r>
        <w:rPr>
          <w:sz w:val="20"/>
        </w:rPr>
        <w:t>relativas</w:t>
      </w:r>
      <w:r>
        <w:rPr>
          <w:spacing w:val="-12"/>
          <w:sz w:val="20"/>
        </w:rPr>
        <w:t xml:space="preserve"> </w:t>
      </w:r>
      <w:r>
        <w:rPr>
          <w:sz w:val="20"/>
        </w:rPr>
        <w:t>al</w:t>
      </w:r>
      <w:r>
        <w:rPr>
          <w:spacing w:val="-14"/>
          <w:sz w:val="20"/>
        </w:rPr>
        <w:t xml:space="preserve"> </w:t>
      </w:r>
      <w:r>
        <w:rPr>
          <w:sz w:val="20"/>
        </w:rPr>
        <w:t>local</w:t>
      </w:r>
      <w:r>
        <w:rPr>
          <w:spacing w:val="-14"/>
          <w:sz w:val="20"/>
        </w:rPr>
        <w:t xml:space="preserve"> </w:t>
      </w:r>
      <w:r>
        <w:rPr>
          <w:sz w:val="20"/>
        </w:rPr>
        <w:t>de</w:t>
      </w:r>
      <w:r>
        <w:rPr>
          <w:spacing w:val="-15"/>
          <w:sz w:val="20"/>
        </w:rPr>
        <w:t xml:space="preserve"> </w:t>
      </w:r>
      <w:r>
        <w:rPr>
          <w:sz w:val="20"/>
        </w:rPr>
        <w:t>trabajo</w:t>
      </w:r>
      <w:hyperlink w:anchor="_bookmark301" w:history="1">
        <w:r>
          <w:rPr>
            <w:position w:val="7"/>
            <w:sz w:val="13"/>
          </w:rPr>
          <w:t>255</w:t>
        </w:r>
      </w:hyperlink>
      <w:r>
        <w:rPr>
          <w:sz w:val="20"/>
        </w:rPr>
        <w:t>.</w:t>
      </w:r>
      <w:r>
        <w:rPr>
          <w:spacing w:val="-15"/>
          <w:sz w:val="20"/>
        </w:rPr>
        <w:t xml:space="preserve"> </w:t>
      </w:r>
      <w:r>
        <w:rPr>
          <w:sz w:val="20"/>
        </w:rPr>
        <w:t>Conforme</w:t>
      </w:r>
      <w:r>
        <w:rPr>
          <w:spacing w:val="-13"/>
          <w:sz w:val="20"/>
        </w:rPr>
        <w:t xml:space="preserve"> </w:t>
      </w:r>
      <w:r>
        <w:rPr>
          <w:sz w:val="20"/>
        </w:rPr>
        <w:t>a</w:t>
      </w:r>
      <w:r>
        <w:rPr>
          <w:spacing w:val="-14"/>
          <w:sz w:val="20"/>
        </w:rPr>
        <w:t xml:space="preserve"> </w:t>
      </w:r>
      <w:r>
        <w:rPr>
          <w:sz w:val="20"/>
        </w:rPr>
        <w:t>lo</w:t>
      </w:r>
      <w:r>
        <w:rPr>
          <w:spacing w:val="-13"/>
          <w:sz w:val="20"/>
        </w:rPr>
        <w:t xml:space="preserve"> </w:t>
      </w:r>
      <w:r>
        <w:rPr>
          <w:sz w:val="20"/>
        </w:rPr>
        <w:t>anterior,</w:t>
      </w:r>
      <w:r>
        <w:rPr>
          <w:spacing w:val="-12"/>
          <w:sz w:val="20"/>
        </w:rPr>
        <w:t xml:space="preserve"> </w:t>
      </w:r>
      <w:r>
        <w:rPr>
          <w:sz w:val="20"/>
        </w:rPr>
        <w:t>el</w:t>
      </w:r>
      <w:r>
        <w:rPr>
          <w:spacing w:val="-13"/>
          <w:sz w:val="20"/>
        </w:rPr>
        <w:t xml:space="preserve"> </w:t>
      </w:r>
      <w:r>
        <w:rPr>
          <w:sz w:val="20"/>
        </w:rPr>
        <w:t>Estado tenía la obligación de fiscalizar la existencia de condiciones de trabajo equitativas y satisfactorias que aseguraran la seguridad e higiene en el</w:t>
      </w:r>
      <w:r>
        <w:rPr>
          <w:spacing w:val="-5"/>
          <w:sz w:val="20"/>
        </w:rPr>
        <w:t xml:space="preserve"> </w:t>
      </w:r>
      <w:r>
        <w:rPr>
          <w:sz w:val="20"/>
        </w:rPr>
        <w:t>trabajo.</w:t>
      </w:r>
    </w:p>
    <w:p w14:paraId="780E573B" w14:textId="77777777" w:rsidR="00467FCA" w:rsidRDefault="00467FCA">
      <w:pPr>
        <w:pStyle w:val="Textoindependiente"/>
      </w:pPr>
    </w:p>
    <w:p w14:paraId="593573C2" w14:textId="77777777" w:rsidR="00467FCA" w:rsidRDefault="001B68EB">
      <w:pPr>
        <w:pStyle w:val="Prrafodelista"/>
        <w:numPr>
          <w:ilvl w:val="0"/>
          <w:numId w:val="50"/>
        </w:numPr>
        <w:tabs>
          <w:tab w:val="left" w:pos="687"/>
        </w:tabs>
        <w:ind w:left="119" w:right="117" w:firstLine="0"/>
        <w:jc w:val="both"/>
        <w:rPr>
          <w:sz w:val="20"/>
        </w:rPr>
      </w:pPr>
      <w:r>
        <w:rPr>
          <w:sz w:val="20"/>
        </w:rPr>
        <w:t>La Corte considera que la naturaleza y alcance de las obligaciones que derivan de la protecc</w:t>
      </w:r>
      <w:r>
        <w:rPr>
          <w:sz w:val="20"/>
        </w:rPr>
        <w:t>ión de las condiciones de trabajo que aseguren la seguridad, salud e higiene del trabajador, incluyen aspectos que tienen una exigibilidad inmediata, así como aspectos que tienen un carácter progresivo</w:t>
      </w:r>
      <w:hyperlink w:anchor="_bookmark302" w:history="1">
        <w:r>
          <w:rPr>
            <w:position w:val="7"/>
            <w:sz w:val="13"/>
          </w:rPr>
          <w:t>256</w:t>
        </w:r>
      </w:hyperlink>
      <w:r>
        <w:rPr>
          <w:sz w:val="20"/>
        </w:rPr>
        <w:t>. Al respecto, la Co</w:t>
      </w:r>
      <w:r>
        <w:rPr>
          <w:sz w:val="20"/>
        </w:rPr>
        <w:t>rte recuerda que, en relación con las primeras (obligaciones de exigibilidad inmediata), los Estados deben garantizar que este derecho se ejerza sin discriminación, así como adoptar medidas eficaces para su plena realización</w:t>
      </w:r>
      <w:hyperlink w:anchor="_bookmark303" w:history="1">
        <w:r>
          <w:rPr>
            <w:position w:val="7"/>
            <w:sz w:val="13"/>
          </w:rPr>
          <w:t>257</w:t>
        </w:r>
      </w:hyperlink>
      <w:r>
        <w:rPr>
          <w:sz w:val="20"/>
        </w:rPr>
        <w:t>. Respecto a las segundas (obligaciones de carácter progresivo), la realización progresiva significa que los Estados partes tienen la obligación concreta y constante de avanzar</w:t>
      </w:r>
      <w:r>
        <w:rPr>
          <w:spacing w:val="-11"/>
          <w:sz w:val="20"/>
        </w:rPr>
        <w:t xml:space="preserve"> </w:t>
      </w:r>
      <w:r>
        <w:rPr>
          <w:sz w:val="20"/>
        </w:rPr>
        <w:t>lo</w:t>
      </w:r>
      <w:r>
        <w:rPr>
          <w:spacing w:val="-8"/>
          <w:sz w:val="20"/>
        </w:rPr>
        <w:t xml:space="preserve"> </w:t>
      </w:r>
      <w:r>
        <w:rPr>
          <w:sz w:val="20"/>
        </w:rPr>
        <w:t>más</w:t>
      </w:r>
      <w:r>
        <w:rPr>
          <w:spacing w:val="-8"/>
          <w:sz w:val="20"/>
        </w:rPr>
        <w:t xml:space="preserve"> </w:t>
      </w:r>
      <w:r>
        <w:rPr>
          <w:sz w:val="20"/>
        </w:rPr>
        <w:t>expedita</w:t>
      </w:r>
      <w:r>
        <w:rPr>
          <w:spacing w:val="-7"/>
          <w:sz w:val="20"/>
        </w:rPr>
        <w:t xml:space="preserve"> </w:t>
      </w:r>
      <w:r>
        <w:rPr>
          <w:sz w:val="20"/>
        </w:rPr>
        <w:t>y</w:t>
      </w:r>
      <w:r>
        <w:rPr>
          <w:spacing w:val="-8"/>
          <w:sz w:val="20"/>
        </w:rPr>
        <w:t xml:space="preserve"> </w:t>
      </w:r>
      <w:r>
        <w:rPr>
          <w:sz w:val="20"/>
        </w:rPr>
        <w:t>eficazmente</w:t>
      </w:r>
      <w:r>
        <w:rPr>
          <w:spacing w:val="-10"/>
          <w:sz w:val="20"/>
        </w:rPr>
        <w:t xml:space="preserve"> </w:t>
      </w:r>
      <w:r>
        <w:rPr>
          <w:sz w:val="20"/>
        </w:rPr>
        <w:t>posible</w:t>
      </w:r>
      <w:r>
        <w:rPr>
          <w:spacing w:val="-10"/>
          <w:sz w:val="20"/>
        </w:rPr>
        <w:t xml:space="preserve"> </w:t>
      </w:r>
      <w:r>
        <w:rPr>
          <w:sz w:val="20"/>
        </w:rPr>
        <w:t>hacia</w:t>
      </w:r>
      <w:r>
        <w:rPr>
          <w:spacing w:val="-9"/>
          <w:sz w:val="20"/>
        </w:rPr>
        <w:t xml:space="preserve"> </w:t>
      </w:r>
      <w:r>
        <w:rPr>
          <w:sz w:val="20"/>
        </w:rPr>
        <w:t>la</w:t>
      </w:r>
      <w:r>
        <w:rPr>
          <w:spacing w:val="-8"/>
          <w:sz w:val="20"/>
        </w:rPr>
        <w:t xml:space="preserve"> </w:t>
      </w:r>
      <w:r>
        <w:rPr>
          <w:sz w:val="20"/>
        </w:rPr>
        <w:t>plena</w:t>
      </w:r>
      <w:r>
        <w:rPr>
          <w:spacing w:val="-7"/>
          <w:sz w:val="20"/>
        </w:rPr>
        <w:t xml:space="preserve"> </w:t>
      </w:r>
      <w:r>
        <w:rPr>
          <w:sz w:val="20"/>
        </w:rPr>
        <w:t>efectividad</w:t>
      </w:r>
      <w:r>
        <w:rPr>
          <w:spacing w:val="-6"/>
          <w:sz w:val="20"/>
        </w:rPr>
        <w:t xml:space="preserve"> </w:t>
      </w:r>
      <w:r>
        <w:rPr>
          <w:sz w:val="20"/>
        </w:rPr>
        <w:t>de</w:t>
      </w:r>
      <w:r>
        <w:rPr>
          <w:spacing w:val="-8"/>
          <w:sz w:val="20"/>
        </w:rPr>
        <w:t xml:space="preserve"> </w:t>
      </w:r>
      <w:r>
        <w:rPr>
          <w:sz w:val="20"/>
        </w:rPr>
        <w:t>dicho</w:t>
      </w:r>
      <w:r>
        <w:rPr>
          <w:spacing w:val="-10"/>
          <w:sz w:val="20"/>
        </w:rPr>
        <w:t xml:space="preserve"> </w:t>
      </w:r>
      <w:r>
        <w:rPr>
          <w:sz w:val="20"/>
        </w:rPr>
        <w:t>de</w:t>
      </w:r>
      <w:r>
        <w:rPr>
          <w:sz w:val="20"/>
        </w:rPr>
        <w:t>recho</w:t>
      </w:r>
      <w:hyperlink w:anchor="_bookmark304" w:history="1">
        <w:r>
          <w:rPr>
            <w:position w:val="7"/>
            <w:sz w:val="13"/>
          </w:rPr>
          <w:t>258</w:t>
        </w:r>
      </w:hyperlink>
      <w:r>
        <w:rPr>
          <w:sz w:val="20"/>
        </w:rPr>
        <w:t>, en la medida de sus recursos disponibles, por vía legislativa u otros medios apropiados. Asimismo, se impone la obligación de no regresividad frente a la realización de los derechos alcanzados</w:t>
      </w:r>
      <w:hyperlink w:anchor="_bookmark305" w:history="1">
        <w:r>
          <w:rPr>
            <w:position w:val="7"/>
            <w:sz w:val="13"/>
          </w:rPr>
          <w:t>259</w:t>
        </w:r>
      </w:hyperlink>
      <w:r>
        <w:rPr>
          <w:sz w:val="20"/>
        </w:rPr>
        <w:t>.</w:t>
      </w:r>
      <w:r>
        <w:rPr>
          <w:spacing w:val="-11"/>
          <w:sz w:val="20"/>
        </w:rPr>
        <w:t xml:space="preserve"> </w:t>
      </w:r>
      <w:r>
        <w:rPr>
          <w:sz w:val="20"/>
        </w:rPr>
        <w:t>En</w:t>
      </w:r>
      <w:r>
        <w:rPr>
          <w:spacing w:val="-9"/>
          <w:sz w:val="20"/>
        </w:rPr>
        <w:t xml:space="preserve"> </w:t>
      </w:r>
      <w:r>
        <w:rPr>
          <w:sz w:val="20"/>
        </w:rPr>
        <w:t>virtud</w:t>
      </w:r>
      <w:r>
        <w:rPr>
          <w:spacing w:val="-9"/>
          <w:sz w:val="20"/>
        </w:rPr>
        <w:t xml:space="preserve"> </w:t>
      </w:r>
      <w:r>
        <w:rPr>
          <w:sz w:val="20"/>
        </w:rPr>
        <w:t>de</w:t>
      </w:r>
      <w:r>
        <w:rPr>
          <w:spacing w:val="-11"/>
          <w:sz w:val="20"/>
        </w:rPr>
        <w:t xml:space="preserve"> </w:t>
      </w:r>
      <w:r>
        <w:rPr>
          <w:sz w:val="20"/>
        </w:rPr>
        <w:t>lo</w:t>
      </w:r>
      <w:r>
        <w:rPr>
          <w:spacing w:val="-10"/>
          <w:sz w:val="20"/>
        </w:rPr>
        <w:t xml:space="preserve"> </w:t>
      </w:r>
      <w:r>
        <w:rPr>
          <w:sz w:val="20"/>
        </w:rPr>
        <w:t>anterior,</w:t>
      </w:r>
      <w:r>
        <w:rPr>
          <w:spacing w:val="-11"/>
          <w:sz w:val="20"/>
        </w:rPr>
        <w:t xml:space="preserve"> </w:t>
      </w:r>
      <w:r>
        <w:rPr>
          <w:sz w:val="20"/>
        </w:rPr>
        <w:t>las</w:t>
      </w:r>
      <w:r>
        <w:rPr>
          <w:spacing w:val="-9"/>
          <w:sz w:val="20"/>
        </w:rPr>
        <w:t xml:space="preserve"> </w:t>
      </w:r>
      <w:r>
        <w:rPr>
          <w:sz w:val="20"/>
        </w:rPr>
        <w:t>obligaciones</w:t>
      </w:r>
      <w:r>
        <w:rPr>
          <w:spacing w:val="-8"/>
          <w:sz w:val="20"/>
        </w:rPr>
        <w:t xml:space="preserve"> </w:t>
      </w:r>
      <w:r>
        <w:rPr>
          <w:sz w:val="20"/>
        </w:rPr>
        <w:t>convencionales</w:t>
      </w:r>
      <w:r>
        <w:rPr>
          <w:spacing w:val="-11"/>
          <w:sz w:val="20"/>
        </w:rPr>
        <w:t xml:space="preserve"> </w:t>
      </w:r>
      <w:r>
        <w:rPr>
          <w:sz w:val="20"/>
        </w:rPr>
        <w:t>de</w:t>
      </w:r>
      <w:r>
        <w:rPr>
          <w:spacing w:val="-8"/>
          <w:sz w:val="20"/>
        </w:rPr>
        <w:t xml:space="preserve"> </w:t>
      </w:r>
      <w:r>
        <w:rPr>
          <w:sz w:val="20"/>
        </w:rPr>
        <w:t>respeto</w:t>
      </w:r>
      <w:r>
        <w:rPr>
          <w:spacing w:val="-11"/>
          <w:sz w:val="20"/>
        </w:rPr>
        <w:t xml:space="preserve"> </w:t>
      </w:r>
      <w:r>
        <w:rPr>
          <w:sz w:val="20"/>
        </w:rPr>
        <w:t>y</w:t>
      </w:r>
      <w:r>
        <w:rPr>
          <w:spacing w:val="-11"/>
          <w:sz w:val="20"/>
        </w:rPr>
        <w:t xml:space="preserve"> </w:t>
      </w:r>
      <w:r>
        <w:rPr>
          <w:sz w:val="20"/>
        </w:rPr>
        <w:t>garantía, así</w:t>
      </w:r>
      <w:r>
        <w:rPr>
          <w:spacing w:val="16"/>
          <w:sz w:val="20"/>
        </w:rPr>
        <w:t xml:space="preserve"> </w:t>
      </w:r>
      <w:r>
        <w:rPr>
          <w:sz w:val="20"/>
        </w:rPr>
        <w:t>como</w:t>
      </w:r>
      <w:r>
        <w:rPr>
          <w:spacing w:val="14"/>
          <w:sz w:val="20"/>
        </w:rPr>
        <w:t xml:space="preserve"> </w:t>
      </w:r>
      <w:r>
        <w:rPr>
          <w:sz w:val="20"/>
        </w:rPr>
        <w:t>de</w:t>
      </w:r>
      <w:r>
        <w:rPr>
          <w:spacing w:val="14"/>
          <w:sz w:val="20"/>
        </w:rPr>
        <w:t xml:space="preserve"> </w:t>
      </w:r>
      <w:r>
        <w:rPr>
          <w:sz w:val="20"/>
        </w:rPr>
        <w:t>adopción</w:t>
      </w:r>
      <w:r>
        <w:rPr>
          <w:spacing w:val="20"/>
          <w:sz w:val="20"/>
        </w:rPr>
        <w:t xml:space="preserve"> </w:t>
      </w:r>
      <w:r>
        <w:rPr>
          <w:sz w:val="20"/>
        </w:rPr>
        <w:t>de</w:t>
      </w:r>
      <w:r>
        <w:rPr>
          <w:spacing w:val="14"/>
          <w:sz w:val="20"/>
        </w:rPr>
        <w:t xml:space="preserve"> </w:t>
      </w:r>
      <w:r>
        <w:rPr>
          <w:sz w:val="20"/>
        </w:rPr>
        <w:t>medidas</w:t>
      </w:r>
      <w:r>
        <w:rPr>
          <w:spacing w:val="15"/>
          <w:sz w:val="20"/>
        </w:rPr>
        <w:t xml:space="preserve"> </w:t>
      </w:r>
      <w:r>
        <w:rPr>
          <w:sz w:val="20"/>
        </w:rPr>
        <w:t>de</w:t>
      </w:r>
      <w:r>
        <w:rPr>
          <w:spacing w:val="15"/>
          <w:sz w:val="20"/>
        </w:rPr>
        <w:t xml:space="preserve"> </w:t>
      </w:r>
      <w:r>
        <w:rPr>
          <w:sz w:val="20"/>
        </w:rPr>
        <w:t>derecho</w:t>
      </w:r>
      <w:r>
        <w:rPr>
          <w:spacing w:val="14"/>
          <w:sz w:val="20"/>
        </w:rPr>
        <w:t xml:space="preserve"> </w:t>
      </w:r>
      <w:r>
        <w:rPr>
          <w:sz w:val="20"/>
        </w:rPr>
        <w:t>interno</w:t>
      </w:r>
      <w:r>
        <w:rPr>
          <w:spacing w:val="14"/>
          <w:sz w:val="20"/>
        </w:rPr>
        <w:t xml:space="preserve"> </w:t>
      </w:r>
      <w:r>
        <w:rPr>
          <w:sz w:val="20"/>
        </w:rPr>
        <w:t>(artículos</w:t>
      </w:r>
      <w:r>
        <w:rPr>
          <w:spacing w:val="18"/>
          <w:sz w:val="20"/>
        </w:rPr>
        <w:t xml:space="preserve"> </w:t>
      </w:r>
      <w:r>
        <w:rPr>
          <w:sz w:val="20"/>
        </w:rPr>
        <w:t>1.1</w:t>
      </w:r>
      <w:r>
        <w:rPr>
          <w:spacing w:val="16"/>
          <w:sz w:val="20"/>
        </w:rPr>
        <w:t xml:space="preserve"> </w:t>
      </w:r>
      <w:r>
        <w:rPr>
          <w:sz w:val="20"/>
        </w:rPr>
        <w:t>y</w:t>
      </w:r>
      <w:r>
        <w:rPr>
          <w:spacing w:val="15"/>
          <w:sz w:val="20"/>
        </w:rPr>
        <w:t xml:space="preserve"> </w:t>
      </w:r>
      <w:r>
        <w:rPr>
          <w:sz w:val="20"/>
        </w:rPr>
        <w:t>2),</w:t>
      </w:r>
      <w:r>
        <w:rPr>
          <w:spacing w:val="18"/>
          <w:sz w:val="20"/>
        </w:rPr>
        <w:t xml:space="preserve"> </w:t>
      </w:r>
      <w:r>
        <w:rPr>
          <w:sz w:val="20"/>
        </w:rPr>
        <w:t>resultan</w:t>
      </w:r>
    </w:p>
    <w:p w14:paraId="72A6C718" w14:textId="77777777" w:rsidR="00467FCA" w:rsidRDefault="00467FCA">
      <w:pPr>
        <w:pStyle w:val="Textoindependiente"/>
      </w:pPr>
    </w:p>
    <w:p w14:paraId="0330D9F6" w14:textId="77777777" w:rsidR="00467FCA" w:rsidRDefault="001B68EB">
      <w:pPr>
        <w:pStyle w:val="Textoindependiente"/>
        <w:spacing w:before="9"/>
        <w:rPr>
          <w:sz w:val="13"/>
        </w:rPr>
      </w:pPr>
      <w:r>
        <w:pict w14:anchorId="511631E1">
          <v:shape id="_x0000_s1150" style="position:absolute;margin-left:1in;margin-top:10.6pt;width:2in;height:.1pt;z-index:-251611136;mso-wrap-distance-left:0;mso-wrap-distance-right:0;mso-position-horizontal-relative:page" coordorigin="1440,212" coordsize="2880,0" path="m1440,212r2880,e" filled="f" strokeweight=".6pt">
            <v:path arrowok="t"/>
            <w10:wrap type="topAndBottom" anchorx="page"/>
          </v:shape>
        </w:pict>
      </w:r>
    </w:p>
    <w:p w14:paraId="042657C3" w14:textId="77777777" w:rsidR="00467FCA" w:rsidRDefault="001B68EB">
      <w:pPr>
        <w:tabs>
          <w:tab w:val="left" w:pos="839"/>
        </w:tabs>
        <w:spacing w:before="74"/>
        <w:ind w:left="120"/>
        <w:rPr>
          <w:sz w:val="16"/>
        </w:rPr>
      </w:pPr>
      <w:bookmarkStart w:id="344" w:name="_bookmark299"/>
      <w:bookmarkEnd w:id="344"/>
      <w:r>
        <w:rPr>
          <w:position w:val="6"/>
          <w:sz w:val="10"/>
        </w:rPr>
        <w:t>253</w:t>
      </w:r>
      <w:r>
        <w:rPr>
          <w:position w:val="6"/>
          <w:sz w:val="10"/>
        </w:rPr>
        <w:tab/>
      </w:r>
      <w:r>
        <w:rPr>
          <w:i/>
          <w:sz w:val="16"/>
        </w:rPr>
        <w:t xml:space="preserve">Cfr. </w:t>
      </w:r>
      <w:r>
        <w:rPr>
          <w:sz w:val="16"/>
        </w:rPr>
        <w:t xml:space="preserve">Consolidación de las Leyes del Trabajo, </w:t>
      </w:r>
      <w:r>
        <w:rPr>
          <w:i/>
          <w:sz w:val="16"/>
        </w:rPr>
        <w:t xml:space="preserve">supra, </w:t>
      </w:r>
      <w:r>
        <w:rPr>
          <w:sz w:val="16"/>
        </w:rPr>
        <w:t>artículo</w:t>
      </w:r>
      <w:r>
        <w:rPr>
          <w:spacing w:val="-21"/>
          <w:sz w:val="16"/>
        </w:rPr>
        <w:t xml:space="preserve"> </w:t>
      </w:r>
      <w:r>
        <w:rPr>
          <w:sz w:val="16"/>
        </w:rPr>
        <w:t>166.</w:t>
      </w:r>
    </w:p>
    <w:p w14:paraId="4E017975" w14:textId="77777777" w:rsidR="00467FCA" w:rsidRDefault="001B68EB">
      <w:pPr>
        <w:tabs>
          <w:tab w:val="left" w:pos="839"/>
        </w:tabs>
        <w:ind w:left="120"/>
        <w:rPr>
          <w:sz w:val="16"/>
        </w:rPr>
      </w:pPr>
      <w:bookmarkStart w:id="345" w:name="_bookmark300"/>
      <w:bookmarkEnd w:id="345"/>
      <w:r>
        <w:rPr>
          <w:position w:val="6"/>
          <w:sz w:val="10"/>
        </w:rPr>
        <w:t>254</w:t>
      </w:r>
      <w:r>
        <w:rPr>
          <w:position w:val="6"/>
          <w:sz w:val="10"/>
        </w:rPr>
        <w:tab/>
      </w:r>
      <w:r>
        <w:rPr>
          <w:i/>
          <w:sz w:val="16"/>
        </w:rPr>
        <w:t xml:space="preserve">Cfr. </w:t>
      </w:r>
      <w:r>
        <w:rPr>
          <w:sz w:val="16"/>
        </w:rPr>
        <w:t xml:space="preserve">Consolidación de las Leyes del Trabajo, </w:t>
      </w:r>
      <w:r>
        <w:rPr>
          <w:i/>
          <w:sz w:val="16"/>
        </w:rPr>
        <w:t>supra</w:t>
      </w:r>
      <w:r>
        <w:rPr>
          <w:sz w:val="16"/>
        </w:rPr>
        <w:t>, artículo</w:t>
      </w:r>
      <w:r>
        <w:rPr>
          <w:spacing w:val="-21"/>
          <w:sz w:val="16"/>
        </w:rPr>
        <w:t xml:space="preserve"> </w:t>
      </w:r>
      <w:r>
        <w:rPr>
          <w:sz w:val="16"/>
        </w:rPr>
        <w:t>195.</w:t>
      </w:r>
    </w:p>
    <w:p w14:paraId="299D4F05" w14:textId="77777777" w:rsidR="00467FCA" w:rsidRDefault="001B68EB">
      <w:pPr>
        <w:tabs>
          <w:tab w:val="left" w:pos="839"/>
        </w:tabs>
        <w:ind w:left="120"/>
        <w:rPr>
          <w:sz w:val="16"/>
        </w:rPr>
      </w:pPr>
      <w:bookmarkStart w:id="346" w:name="_bookmark301"/>
      <w:bookmarkEnd w:id="346"/>
      <w:r>
        <w:rPr>
          <w:position w:val="6"/>
          <w:sz w:val="10"/>
        </w:rPr>
        <w:t>255</w:t>
      </w:r>
      <w:r>
        <w:rPr>
          <w:position w:val="6"/>
          <w:sz w:val="10"/>
        </w:rPr>
        <w:tab/>
      </w:r>
      <w:bookmarkStart w:id="347" w:name="_bookmark302"/>
      <w:bookmarkEnd w:id="347"/>
      <w:r>
        <w:rPr>
          <w:i/>
          <w:sz w:val="16"/>
        </w:rPr>
        <w:t xml:space="preserve">Cfr. </w:t>
      </w:r>
      <w:r>
        <w:rPr>
          <w:sz w:val="16"/>
        </w:rPr>
        <w:t>Norma Regulatoria No. 19 (NR 19 – Explosivos),</w:t>
      </w:r>
      <w:r>
        <w:rPr>
          <w:spacing w:val="-11"/>
          <w:sz w:val="16"/>
        </w:rPr>
        <w:t xml:space="preserve"> </w:t>
      </w:r>
      <w:r>
        <w:rPr>
          <w:i/>
          <w:sz w:val="16"/>
        </w:rPr>
        <w:t>supra</w:t>
      </w:r>
      <w:r>
        <w:rPr>
          <w:sz w:val="16"/>
        </w:rPr>
        <w:t>.</w:t>
      </w:r>
    </w:p>
    <w:p w14:paraId="12ED2EFD" w14:textId="77777777" w:rsidR="00467FCA" w:rsidRDefault="001B68EB">
      <w:pPr>
        <w:tabs>
          <w:tab w:val="left" w:pos="839"/>
        </w:tabs>
        <w:ind w:left="119" w:right="117"/>
        <w:rPr>
          <w:sz w:val="16"/>
        </w:rPr>
      </w:pPr>
      <w:r>
        <w:rPr>
          <w:position w:val="6"/>
          <w:sz w:val="10"/>
        </w:rPr>
        <w:t>256</w:t>
      </w:r>
      <w:r>
        <w:rPr>
          <w:position w:val="6"/>
          <w:sz w:val="10"/>
        </w:rPr>
        <w:tab/>
      </w:r>
      <w:r>
        <w:rPr>
          <w:i/>
          <w:sz w:val="16"/>
        </w:rPr>
        <w:t>Mutatis</w:t>
      </w:r>
      <w:r>
        <w:rPr>
          <w:i/>
          <w:spacing w:val="-2"/>
          <w:sz w:val="16"/>
        </w:rPr>
        <w:t xml:space="preserve"> </w:t>
      </w:r>
      <w:r>
        <w:rPr>
          <w:i/>
          <w:sz w:val="16"/>
        </w:rPr>
        <w:t>mutandi,</w:t>
      </w:r>
      <w:r>
        <w:rPr>
          <w:i/>
          <w:spacing w:val="-4"/>
          <w:sz w:val="16"/>
        </w:rPr>
        <w:t xml:space="preserve"> </w:t>
      </w:r>
      <w:r>
        <w:rPr>
          <w:i/>
          <w:sz w:val="16"/>
        </w:rPr>
        <w:t>Cfr.</w:t>
      </w:r>
      <w:r>
        <w:rPr>
          <w:i/>
          <w:spacing w:val="-6"/>
          <w:sz w:val="16"/>
        </w:rPr>
        <w:t xml:space="preserve"> </w:t>
      </w:r>
      <w:r>
        <w:rPr>
          <w:i/>
          <w:sz w:val="16"/>
        </w:rPr>
        <w:t>Caso</w:t>
      </w:r>
      <w:r>
        <w:rPr>
          <w:i/>
          <w:spacing w:val="-2"/>
          <w:sz w:val="16"/>
        </w:rPr>
        <w:t xml:space="preserve"> </w:t>
      </w:r>
      <w:r>
        <w:rPr>
          <w:i/>
          <w:sz w:val="16"/>
        </w:rPr>
        <w:t>Poblete</w:t>
      </w:r>
      <w:r>
        <w:rPr>
          <w:i/>
          <w:spacing w:val="-2"/>
          <w:sz w:val="16"/>
        </w:rPr>
        <w:t xml:space="preserve"> </w:t>
      </w:r>
      <w:r>
        <w:rPr>
          <w:i/>
          <w:sz w:val="16"/>
        </w:rPr>
        <w:t>Vilches</w:t>
      </w:r>
      <w:r>
        <w:rPr>
          <w:i/>
          <w:spacing w:val="-5"/>
          <w:sz w:val="16"/>
        </w:rPr>
        <w:t xml:space="preserve"> </w:t>
      </w:r>
      <w:r>
        <w:rPr>
          <w:i/>
          <w:sz w:val="16"/>
        </w:rPr>
        <w:t>y</w:t>
      </w:r>
      <w:r>
        <w:rPr>
          <w:i/>
          <w:spacing w:val="-4"/>
          <w:sz w:val="16"/>
        </w:rPr>
        <w:t xml:space="preserve"> </w:t>
      </w:r>
      <w:r>
        <w:rPr>
          <w:i/>
          <w:sz w:val="16"/>
        </w:rPr>
        <w:t>otros</w:t>
      </w:r>
      <w:r>
        <w:rPr>
          <w:i/>
          <w:spacing w:val="-5"/>
          <w:sz w:val="16"/>
        </w:rPr>
        <w:t xml:space="preserve"> </w:t>
      </w:r>
      <w:r>
        <w:rPr>
          <w:i/>
          <w:sz w:val="16"/>
        </w:rPr>
        <w:t>Vs.</w:t>
      </w:r>
      <w:r>
        <w:rPr>
          <w:i/>
          <w:spacing w:val="-5"/>
          <w:sz w:val="16"/>
        </w:rPr>
        <w:t xml:space="preserve"> </w:t>
      </w:r>
      <w:r>
        <w:rPr>
          <w:i/>
          <w:sz w:val="16"/>
        </w:rPr>
        <w:t>Chile,</w:t>
      </w:r>
      <w:r>
        <w:rPr>
          <w:i/>
          <w:spacing w:val="-4"/>
          <w:sz w:val="16"/>
        </w:rPr>
        <w:t xml:space="preserve"> </w:t>
      </w:r>
      <w:r>
        <w:rPr>
          <w:i/>
          <w:sz w:val="16"/>
        </w:rPr>
        <w:t>supra</w:t>
      </w:r>
      <w:r>
        <w:rPr>
          <w:sz w:val="16"/>
        </w:rPr>
        <w:t>,</w:t>
      </w:r>
      <w:r>
        <w:rPr>
          <w:spacing w:val="-6"/>
          <w:sz w:val="16"/>
        </w:rPr>
        <w:t xml:space="preserve"> </w:t>
      </w:r>
      <w:r>
        <w:rPr>
          <w:sz w:val="16"/>
        </w:rPr>
        <w:t>párr.</w:t>
      </w:r>
      <w:r>
        <w:rPr>
          <w:spacing w:val="-3"/>
          <w:sz w:val="16"/>
        </w:rPr>
        <w:t xml:space="preserve"> </w:t>
      </w:r>
      <w:r>
        <w:rPr>
          <w:sz w:val="16"/>
        </w:rPr>
        <w:t>104,</w:t>
      </w:r>
      <w:r>
        <w:rPr>
          <w:spacing w:val="-3"/>
          <w:sz w:val="16"/>
        </w:rPr>
        <w:t xml:space="preserve"> </w:t>
      </w:r>
      <w:r>
        <w:rPr>
          <w:sz w:val="16"/>
        </w:rPr>
        <w:t>y</w:t>
      </w:r>
      <w:r>
        <w:rPr>
          <w:spacing w:val="-4"/>
          <w:sz w:val="16"/>
        </w:rPr>
        <w:t xml:space="preserve"> </w:t>
      </w:r>
      <w:r>
        <w:rPr>
          <w:i/>
          <w:sz w:val="16"/>
        </w:rPr>
        <w:t>Caso</w:t>
      </w:r>
      <w:r>
        <w:rPr>
          <w:i/>
          <w:spacing w:val="-2"/>
          <w:sz w:val="16"/>
        </w:rPr>
        <w:t xml:space="preserve"> </w:t>
      </w:r>
      <w:r>
        <w:rPr>
          <w:i/>
          <w:sz w:val="16"/>
        </w:rPr>
        <w:t>Cuscul</w:t>
      </w:r>
      <w:r>
        <w:rPr>
          <w:i/>
          <w:spacing w:val="-4"/>
          <w:sz w:val="16"/>
        </w:rPr>
        <w:t xml:space="preserve"> </w:t>
      </w:r>
      <w:r>
        <w:rPr>
          <w:i/>
          <w:sz w:val="16"/>
        </w:rPr>
        <w:t>Pivaral</w:t>
      </w:r>
      <w:r>
        <w:rPr>
          <w:i/>
          <w:spacing w:val="-4"/>
          <w:sz w:val="16"/>
        </w:rPr>
        <w:t xml:space="preserve"> </w:t>
      </w:r>
      <w:r>
        <w:rPr>
          <w:i/>
          <w:sz w:val="16"/>
        </w:rPr>
        <w:t>y</w:t>
      </w:r>
      <w:r>
        <w:rPr>
          <w:i/>
          <w:spacing w:val="-3"/>
          <w:sz w:val="16"/>
        </w:rPr>
        <w:t xml:space="preserve"> </w:t>
      </w:r>
      <w:r>
        <w:rPr>
          <w:i/>
          <w:sz w:val="16"/>
        </w:rPr>
        <w:t xml:space="preserve">otros </w:t>
      </w:r>
      <w:r>
        <w:rPr>
          <w:i/>
          <w:sz w:val="16"/>
        </w:rPr>
        <w:t>Vs. Guatemala</w:t>
      </w:r>
      <w:r>
        <w:rPr>
          <w:sz w:val="16"/>
        </w:rPr>
        <w:t xml:space="preserve">, </w:t>
      </w:r>
      <w:r>
        <w:rPr>
          <w:i/>
          <w:sz w:val="16"/>
        </w:rPr>
        <w:t>supra</w:t>
      </w:r>
      <w:r>
        <w:rPr>
          <w:sz w:val="16"/>
        </w:rPr>
        <w:t>, párr.</w:t>
      </w:r>
      <w:r>
        <w:rPr>
          <w:spacing w:val="-6"/>
          <w:sz w:val="16"/>
        </w:rPr>
        <w:t xml:space="preserve"> </w:t>
      </w:r>
      <w:r>
        <w:rPr>
          <w:sz w:val="16"/>
        </w:rPr>
        <w:t>98.</w:t>
      </w:r>
    </w:p>
    <w:p w14:paraId="30304DEB" w14:textId="77777777" w:rsidR="00467FCA" w:rsidRDefault="001B68EB">
      <w:pPr>
        <w:tabs>
          <w:tab w:val="left" w:pos="839"/>
        </w:tabs>
        <w:ind w:left="118" w:right="111" w:firstLine="1"/>
        <w:jc w:val="both"/>
        <w:rPr>
          <w:sz w:val="16"/>
        </w:rPr>
      </w:pPr>
      <w:bookmarkStart w:id="348" w:name="_bookmark303"/>
      <w:bookmarkEnd w:id="348"/>
      <w:r>
        <w:rPr>
          <w:position w:val="6"/>
          <w:sz w:val="10"/>
        </w:rPr>
        <w:t>257</w:t>
      </w:r>
      <w:r>
        <w:rPr>
          <w:position w:val="6"/>
          <w:sz w:val="10"/>
        </w:rPr>
        <w:tab/>
      </w:r>
      <w:r>
        <w:rPr>
          <w:i/>
          <w:sz w:val="16"/>
        </w:rPr>
        <w:t xml:space="preserve">Cfr. </w:t>
      </w:r>
      <w:r>
        <w:rPr>
          <w:sz w:val="16"/>
        </w:rPr>
        <w:t xml:space="preserve">Comité de Derechos Económicos, Sociales y Culturales, </w:t>
      </w:r>
      <w:r>
        <w:rPr>
          <w:i/>
          <w:sz w:val="16"/>
        </w:rPr>
        <w:t>Observación General No. 3: La índole de las obligaciones</w:t>
      </w:r>
      <w:r>
        <w:rPr>
          <w:i/>
          <w:spacing w:val="-7"/>
          <w:sz w:val="16"/>
        </w:rPr>
        <w:t xml:space="preserve"> </w:t>
      </w:r>
      <w:r>
        <w:rPr>
          <w:i/>
          <w:sz w:val="16"/>
        </w:rPr>
        <w:t>de</w:t>
      </w:r>
      <w:r>
        <w:rPr>
          <w:i/>
          <w:spacing w:val="-7"/>
          <w:sz w:val="16"/>
        </w:rPr>
        <w:t xml:space="preserve"> </w:t>
      </w:r>
      <w:r>
        <w:rPr>
          <w:i/>
          <w:sz w:val="16"/>
        </w:rPr>
        <w:t>los</w:t>
      </w:r>
      <w:r>
        <w:rPr>
          <w:i/>
          <w:spacing w:val="-7"/>
          <w:sz w:val="16"/>
        </w:rPr>
        <w:t xml:space="preserve"> </w:t>
      </w:r>
      <w:r>
        <w:rPr>
          <w:i/>
          <w:sz w:val="16"/>
        </w:rPr>
        <w:t>Estados</w:t>
      </w:r>
      <w:r>
        <w:rPr>
          <w:i/>
          <w:spacing w:val="-7"/>
          <w:sz w:val="16"/>
        </w:rPr>
        <w:t xml:space="preserve"> </w:t>
      </w:r>
      <w:r>
        <w:rPr>
          <w:i/>
          <w:sz w:val="16"/>
        </w:rPr>
        <w:t>Partes</w:t>
      </w:r>
      <w:r>
        <w:rPr>
          <w:i/>
          <w:spacing w:val="-5"/>
          <w:sz w:val="16"/>
        </w:rPr>
        <w:t xml:space="preserve"> </w:t>
      </w:r>
      <w:r>
        <w:rPr>
          <w:i/>
          <w:sz w:val="16"/>
        </w:rPr>
        <w:t>(párrafo</w:t>
      </w:r>
      <w:r>
        <w:rPr>
          <w:i/>
          <w:spacing w:val="-6"/>
          <w:sz w:val="16"/>
        </w:rPr>
        <w:t xml:space="preserve"> </w:t>
      </w:r>
      <w:r>
        <w:rPr>
          <w:i/>
          <w:sz w:val="16"/>
        </w:rPr>
        <w:t>1</w:t>
      </w:r>
      <w:r>
        <w:rPr>
          <w:i/>
          <w:spacing w:val="-6"/>
          <w:sz w:val="16"/>
        </w:rPr>
        <w:t xml:space="preserve"> </w:t>
      </w:r>
      <w:r>
        <w:rPr>
          <w:i/>
          <w:sz w:val="16"/>
        </w:rPr>
        <w:t>del</w:t>
      </w:r>
      <w:r>
        <w:rPr>
          <w:i/>
          <w:spacing w:val="-8"/>
          <w:sz w:val="16"/>
        </w:rPr>
        <w:t xml:space="preserve"> </w:t>
      </w:r>
      <w:r>
        <w:rPr>
          <w:i/>
          <w:sz w:val="16"/>
        </w:rPr>
        <w:t>artículo</w:t>
      </w:r>
      <w:r>
        <w:rPr>
          <w:i/>
          <w:spacing w:val="-7"/>
          <w:sz w:val="16"/>
        </w:rPr>
        <w:t xml:space="preserve"> </w:t>
      </w:r>
      <w:r>
        <w:rPr>
          <w:i/>
          <w:sz w:val="16"/>
        </w:rPr>
        <w:t>2</w:t>
      </w:r>
      <w:r>
        <w:rPr>
          <w:i/>
          <w:spacing w:val="-6"/>
          <w:sz w:val="16"/>
        </w:rPr>
        <w:t xml:space="preserve"> </w:t>
      </w:r>
      <w:r>
        <w:rPr>
          <w:i/>
          <w:sz w:val="16"/>
        </w:rPr>
        <w:t>del</w:t>
      </w:r>
      <w:r>
        <w:rPr>
          <w:i/>
          <w:spacing w:val="-5"/>
          <w:sz w:val="16"/>
        </w:rPr>
        <w:t xml:space="preserve"> </w:t>
      </w:r>
      <w:r>
        <w:rPr>
          <w:i/>
          <w:sz w:val="16"/>
        </w:rPr>
        <w:t>Pacto),</w:t>
      </w:r>
      <w:r>
        <w:rPr>
          <w:i/>
          <w:spacing w:val="-6"/>
          <w:sz w:val="16"/>
        </w:rPr>
        <w:t xml:space="preserve"> </w:t>
      </w:r>
      <w:r>
        <w:rPr>
          <w:sz w:val="16"/>
        </w:rPr>
        <w:t>UN</w:t>
      </w:r>
      <w:r>
        <w:rPr>
          <w:spacing w:val="-10"/>
          <w:sz w:val="16"/>
        </w:rPr>
        <w:t xml:space="preserve"> </w:t>
      </w:r>
      <w:r>
        <w:rPr>
          <w:sz w:val="16"/>
        </w:rPr>
        <w:t>Doc.</w:t>
      </w:r>
      <w:r>
        <w:rPr>
          <w:spacing w:val="-8"/>
          <w:sz w:val="16"/>
        </w:rPr>
        <w:t xml:space="preserve"> </w:t>
      </w:r>
      <w:r>
        <w:rPr>
          <w:sz w:val="16"/>
        </w:rPr>
        <w:t>E/1991/23,</w:t>
      </w:r>
      <w:r>
        <w:rPr>
          <w:spacing w:val="-8"/>
          <w:sz w:val="16"/>
        </w:rPr>
        <w:t xml:space="preserve"> </w:t>
      </w:r>
      <w:r>
        <w:rPr>
          <w:sz w:val="16"/>
        </w:rPr>
        <w:t>14</w:t>
      </w:r>
      <w:r>
        <w:rPr>
          <w:spacing w:val="-5"/>
          <w:sz w:val="16"/>
        </w:rPr>
        <w:t xml:space="preserve"> </w:t>
      </w:r>
      <w:r>
        <w:rPr>
          <w:sz w:val="16"/>
        </w:rPr>
        <w:t>de</w:t>
      </w:r>
      <w:r>
        <w:rPr>
          <w:spacing w:val="-7"/>
          <w:sz w:val="16"/>
        </w:rPr>
        <w:t xml:space="preserve"> </w:t>
      </w:r>
      <w:r>
        <w:rPr>
          <w:sz w:val="16"/>
        </w:rPr>
        <w:t>diciembre</w:t>
      </w:r>
      <w:r>
        <w:rPr>
          <w:spacing w:val="-7"/>
          <w:sz w:val="16"/>
        </w:rPr>
        <w:t xml:space="preserve"> </w:t>
      </w:r>
      <w:r>
        <w:rPr>
          <w:sz w:val="16"/>
        </w:rPr>
        <w:t>de</w:t>
      </w:r>
      <w:r>
        <w:rPr>
          <w:spacing w:val="-10"/>
          <w:sz w:val="16"/>
        </w:rPr>
        <w:t xml:space="preserve"> </w:t>
      </w:r>
      <w:r>
        <w:rPr>
          <w:sz w:val="16"/>
        </w:rPr>
        <w:t xml:space="preserve">1990, párr. 3 y Comité de Derechos Económicos, Sociales y Culturales, </w:t>
      </w:r>
      <w:r>
        <w:rPr>
          <w:i/>
          <w:sz w:val="16"/>
        </w:rPr>
        <w:t>Observación General No. 19: El derecho a la seguridad social (artículo 9)</w:t>
      </w:r>
      <w:r>
        <w:rPr>
          <w:sz w:val="16"/>
        </w:rPr>
        <w:t>, UN Doc. E/C.12/GC/19, 4 de febrero de 2008, párr.</w:t>
      </w:r>
      <w:r>
        <w:rPr>
          <w:spacing w:val="-22"/>
          <w:sz w:val="16"/>
        </w:rPr>
        <w:t xml:space="preserve"> </w:t>
      </w:r>
      <w:r>
        <w:rPr>
          <w:sz w:val="16"/>
        </w:rPr>
        <w:t>40.</w:t>
      </w:r>
    </w:p>
    <w:p w14:paraId="4829F814" w14:textId="77777777" w:rsidR="00467FCA" w:rsidRDefault="001B68EB">
      <w:pPr>
        <w:tabs>
          <w:tab w:val="left" w:pos="839"/>
        </w:tabs>
        <w:ind w:left="120" w:right="115" w:hanging="1"/>
        <w:jc w:val="both"/>
        <w:rPr>
          <w:sz w:val="16"/>
        </w:rPr>
      </w:pPr>
      <w:bookmarkStart w:id="349" w:name="_bookmark304"/>
      <w:bookmarkEnd w:id="349"/>
      <w:r>
        <w:rPr>
          <w:position w:val="6"/>
          <w:sz w:val="10"/>
        </w:rPr>
        <w:t>258</w:t>
      </w:r>
      <w:r>
        <w:rPr>
          <w:position w:val="6"/>
          <w:sz w:val="10"/>
        </w:rPr>
        <w:tab/>
      </w:r>
      <w:r>
        <w:rPr>
          <w:i/>
          <w:sz w:val="16"/>
        </w:rPr>
        <w:t xml:space="preserve">Cfr. </w:t>
      </w:r>
      <w:r>
        <w:rPr>
          <w:sz w:val="16"/>
        </w:rPr>
        <w:t>Comité de Derechos Económicos, Sociales y Cultur</w:t>
      </w:r>
      <w:r>
        <w:rPr>
          <w:sz w:val="16"/>
        </w:rPr>
        <w:t xml:space="preserve">ales, </w:t>
      </w:r>
      <w:r>
        <w:rPr>
          <w:i/>
          <w:sz w:val="16"/>
        </w:rPr>
        <w:t>Observación General No. 3, supra</w:t>
      </w:r>
      <w:r>
        <w:rPr>
          <w:sz w:val="16"/>
        </w:rPr>
        <w:t>, párr. 9 y</w:t>
      </w:r>
      <w:bookmarkStart w:id="350" w:name="_bookmark305"/>
      <w:bookmarkEnd w:id="350"/>
      <w:r>
        <w:rPr>
          <w:sz w:val="16"/>
        </w:rPr>
        <w:t xml:space="preserve"> Comité de Derechos Económicos, Sociales y Culturales, </w:t>
      </w:r>
      <w:r>
        <w:rPr>
          <w:i/>
          <w:sz w:val="16"/>
        </w:rPr>
        <w:t>Observación General No. 19</w:t>
      </w:r>
      <w:r>
        <w:rPr>
          <w:sz w:val="16"/>
        </w:rPr>
        <w:t xml:space="preserve">, </w:t>
      </w:r>
      <w:r>
        <w:rPr>
          <w:i/>
          <w:sz w:val="16"/>
        </w:rPr>
        <w:t>supra</w:t>
      </w:r>
      <w:r>
        <w:rPr>
          <w:sz w:val="16"/>
        </w:rPr>
        <w:t>, párrs. 40 y</w:t>
      </w:r>
      <w:r>
        <w:rPr>
          <w:spacing w:val="-28"/>
          <w:sz w:val="16"/>
        </w:rPr>
        <w:t xml:space="preserve"> </w:t>
      </w:r>
      <w:r>
        <w:rPr>
          <w:sz w:val="16"/>
        </w:rPr>
        <w:t>41.</w:t>
      </w:r>
    </w:p>
    <w:p w14:paraId="0D1EEA97" w14:textId="77777777" w:rsidR="00467FCA" w:rsidRDefault="001B68EB">
      <w:pPr>
        <w:tabs>
          <w:tab w:val="left" w:pos="839"/>
        </w:tabs>
        <w:ind w:left="119" w:right="112"/>
        <w:jc w:val="both"/>
        <w:rPr>
          <w:sz w:val="16"/>
        </w:rPr>
      </w:pPr>
      <w:r>
        <w:rPr>
          <w:position w:val="6"/>
          <w:sz w:val="10"/>
        </w:rPr>
        <w:t>259</w:t>
      </w:r>
      <w:r>
        <w:rPr>
          <w:position w:val="6"/>
          <w:sz w:val="10"/>
        </w:rPr>
        <w:tab/>
      </w:r>
      <w:r>
        <w:rPr>
          <w:i/>
          <w:sz w:val="16"/>
        </w:rPr>
        <w:t>Cfr.</w:t>
      </w:r>
      <w:r>
        <w:rPr>
          <w:i/>
          <w:spacing w:val="-12"/>
          <w:sz w:val="16"/>
        </w:rPr>
        <w:t xml:space="preserve"> </w:t>
      </w:r>
      <w:r>
        <w:rPr>
          <w:i/>
          <w:sz w:val="16"/>
        </w:rPr>
        <w:t>Caso</w:t>
      </w:r>
      <w:r>
        <w:rPr>
          <w:i/>
          <w:spacing w:val="-10"/>
          <w:sz w:val="16"/>
        </w:rPr>
        <w:t xml:space="preserve"> </w:t>
      </w:r>
      <w:r>
        <w:rPr>
          <w:i/>
          <w:sz w:val="16"/>
        </w:rPr>
        <w:t>Acevedo</w:t>
      </w:r>
      <w:r>
        <w:rPr>
          <w:i/>
          <w:spacing w:val="-9"/>
          <w:sz w:val="16"/>
        </w:rPr>
        <w:t xml:space="preserve"> </w:t>
      </w:r>
      <w:r>
        <w:rPr>
          <w:i/>
          <w:sz w:val="16"/>
        </w:rPr>
        <w:t>Buendía</w:t>
      </w:r>
      <w:r>
        <w:rPr>
          <w:i/>
          <w:spacing w:val="-11"/>
          <w:sz w:val="16"/>
        </w:rPr>
        <w:t xml:space="preserve"> </w:t>
      </w:r>
      <w:r>
        <w:rPr>
          <w:i/>
          <w:sz w:val="16"/>
        </w:rPr>
        <w:t>y</w:t>
      </w:r>
      <w:r>
        <w:rPr>
          <w:i/>
          <w:spacing w:val="-11"/>
          <w:sz w:val="16"/>
        </w:rPr>
        <w:t xml:space="preserve"> </w:t>
      </w:r>
      <w:r>
        <w:rPr>
          <w:i/>
          <w:sz w:val="16"/>
        </w:rPr>
        <w:t>otros</w:t>
      </w:r>
      <w:r>
        <w:rPr>
          <w:i/>
          <w:spacing w:val="-10"/>
          <w:sz w:val="16"/>
        </w:rPr>
        <w:t xml:space="preserve"> </w:t>
      </w:r>
      <w:r>
        <w:rPr>
          <w:i/>
          <w:sz w:val="16"/>
        </w:rPr>
        <w:t>(“Cesantes</w:t>
      </w:r>
      <w:r>
        <w:rPr>
          <w:i/>
          <w:spacing w:val="-13"/>
          <w:sz w:val="16"/>
        </w:rPr>
        <w:t xml:space="preserve"> </w:t>
      </w:r>
      <w:r>
        <w:rPr>
          <w:i/>
          <w:sz w:val="16"/>
        </w:rPr>
        <w:t>y</w:t>
      </w:r>
      <w:r>
        <w:rPr>
          <w:i/>
          <w:spacing w:val="-9"/>
          <w:sz w:val="16"/>
        </w:rPr>
        <w:t xml:space="preserve"> </w:t>
      </w:r>
      <w:r>
        <w:rPr>
          <w:i/>
          <w:sz w:val="16"/>
        </w:rPr>
        <w:t>Jubilados</w:t>
      </w:r>
      <w:r>
        <w:rPr>
          <w:i/>
          <w:spacing w:val="-10"/>
          <w:sz w:val="16"/>
        </w:rPr>
        <w:t xml:space="preserve"> </w:t>
      </w:r>
      <w:r>
        <w:rPr>
          <w:i/>
          <w:sz w:val="16"/>
        </w:rPr>
        <w:t>de</w:t>
      </w:r>
      <w:r>
        <w:rPr>
          <w:i/>
          <w:spacing w:val="-12"/>
          <w:sz w:val="16"/>
        </w:rPr>
        <w:t xml:space="preserve"> </w:t>
      </w:r>
      <w:r>
        <w:rPr>
          <w:i/>
          <w:sz w:val="16"/>
        </w:rPr>
        <w:t>la</w:t>
      </w:r>
      <w:r>
        <w:rPr>
          <w:i/>
          <w:spacing w:val="-11"/>
          <w:sz w:val="16"/>
        </w:rPr>
        <w:t xml:space="preserve"> </w:t>
      </w:r>
      <w:r>
        <w:rPr>
          <w:i/>
          <w:sz w:val="16"/>
        </w:rPr>
        <w:t>Contraloría”)</w:t>
      </w:r>
      <w:r>
        <w:rPr>
          <w:i/>
          <w:spacing w:val="-12"/>
          <w:sz w:val="16"/>
        </w:rPr>
        <w:t xml:space="preserve"> </w:t>
      </w:r>
      <w:r>
        <w:rPr>
          <w:i/>
          <w:sz w:val="16"/>
        </w:rPr>
        <w:t>Vs.</w:t>
      </w:r>
      <w:r>
        <w:rPr>
          <w:i/>
          <w:spacing w:val="-11"/>
          <w:sz w:val="16"/>
        </w:rPr>
        <w:t xml:space="preserve"> </w:t>
      </w:r>
      <w:r>
        <w:rPr>
          <w:i/>
          <w:sz w:val="16"/>
        </w:rPr>
        <w:t>Perú.</w:t>
      </w:r>
      <w:r>
        <w:rPr>
          <w:i/>
          <w:spacing w:val="-12"/>
          <w:sz w:val="16"/>
        </w:rPr>
        <w:t xml:space="preserve"> </w:t>
      </w:r>
      <w:r>
        <w:rPr>
          <w:i/>
          <w:sz w:val="16"/>
        </w:rPr>
        <w:t>Excepción</w:t>
      </w:r>
      <w:r>
        <w:rPr>
          <w:i/>
          <w:spacing w:val="-11"/>
          <w:sz w:val="16"/>
        </w:rPr>
        <w:t xml:space="preserve"> </w:t>
      </w:r>
      <w:r>
        <w:rPr>
          <w:i/>
          <w:sz w:val="16"/>
        </w:rPr>
        <w:t>Preliminar, Fondo,</w:t>
      </w:r>
      <w:r>
        <w:rPr>
          <w:i/>
          <w:spacing w:val="-11"/>
          <w:sz w:val="16"/>
        </w:rPr>
        <w:t xml:space="preserve"> </w:t>
      </w:r>
      <w:r>
        <w:rPr>
          <w:i/>
          <w:sz w:val="16"/>
        </w:rPr>
        <w:t>Reparaciones</w:t>
      </w:r>
      <w:r>
        <w:rPr>
          <w:i/>
          <w:spacing w:val="-6"/>
          <w:sz w:val="16"/>
        </w:rPr>
        <w:t xml:space="preserve"> </w:t>
      </w:r>
      <w:r>
        <w:rPr>
          <w:i/>
          <w:sz w:val="16"/>
        </w:rPr>
        <w:t>y</w:t>
      </w:r>
      <w:r>
        <w:rPr>
          <w:i/>
          <w:spacing w:val="-8"/>
          <w:sz w:val="16"/>
        </w:rPr>
        <w:t xml:space="preserve"> </w:t>
      </w:r>
      <w:r>
        <w:rPr>
          <w:i/>
          <w:sz w:val="16"/>
        </w:rPr>
        <w:t>Costas.</w:t>
      </w:r>
      <w:r>
        <w:rPr>
          <w:i/>
          <w:spacing w:val="-8"/>
          <w:sz w:val="16"/>
        </w:rPr>
        <w:t xml:space="preserve"> </w:t>
      </w:r>
      <w:r>
        <w:rPr>
          <w:sz w:val="16"/>
        </w:rPr>
        <w:t>Sentencia</w:t>
      </w:r>
      <w:r>
        <w:rPr>
          <w:spacing w:val="-7"/>
          <w:sz w:val="16"/>
        </w:rPr>
        <w:t xml:space="preserve"> </w:t>
      </w:r>
      <w:r>
        <w:rPr>
          <w:sz w:val="16"/>
        </w:rPr>
        <w:t>de</w:t>
      </w:r>
      <w:r>
        <w:rPr>
          <w:spacing w:val="-9"/>
          <w:sz w:val="16"/>
        </w:rPr>
        <w:t xml:space="preserve"> </w:t>
      </w:r>
      <w:r>
        <w:rPr>
          <w:sz w:val="16"/>
        </w:rPr>
        <w:t>1</w:t>
      </w:r>
      <w:r>
        <w:rPr>
          <w:spacing w:val="-9"/>
          <w:sz w:val="16"/>
        </w:rPr>
        <w:t xml:space="preserve"> </w:t>
      </w:r>
      <w:r>
        <w:rPr>
          <w:sz w:val="16"/>
        </w:rPr>
        <w:t>de</w:t>
      </w:r>
      <w:r>
        <w:rPr>
          <w:spacing w:val="-6"/>
          <w:sz w:val="16"/>
        </w:rPr>
        <w:t xml:space="preserve"> </w:t>
      </w:r>
      <w:r>
        <w:rPr>
          <w:sz w:val="16"/>
        </w:rPr>
        <w:t>julio</w:t>
      </w:r>
      <w:r>
        <w:rPr>
          <w:spacing w:val="-6"/>
          <w:sz w:val="16"/>
        </w:rPr>
        <w:t xml:space="preserve"> </w:t>
      </w:r>
      <w:r>
        <w:rPr>
          <w:sz w:val="16"/>
        </w:rPr>
        <w:t>de</w:t>
      </w:r>
      <w:r>
        <w:rPr>
          <w:spacing w:val="-6"/>
          <w:sz w:val="16"/>
        </w:rPr>
        <w:t xml:space="preserve"> </w:t>
      </w:r>
      <w:r>
        <w:rPr>
          <w:sz w:val="16"/>
        </w:rPr>
        <w:t>2009.</w:t>
      </w:r>
      <w:r>
        <w:rPr>
          <w:spacing w:val="-11"/>
          <w:sz w:val="16"/>
        </w:rPr>
        <w:t xml:space="preserve"> </w:t>
      </w:r>
      <w:r>
        <w:rPr>
          <w:sz w:val="16"/>
        </w:rPr>
        <w:t>Serie</w:t>
      </w:r>
      <w:r>
        <w:rPr>
          <w:spacing w:val="-9"/>
          <w:sz w:val="16"/>
        </w:rPr>
        <w:t xml:space="preserve"> </w:t>
      </w:r>
      <w:r>
        <w:rPr>
          <w:sz w:val="16"/>
        </w:rPr>
        <w:t>C</w:t>
      </w:r>
      <w:r>
        <w:rPr>
          <w:spacing w:val="-6"/>
          <w:sz w:val="16"/>
        </w:rPr>
        <w:t xml:space="preserve"> </w:t>
      </w:r>
      <w:r>
        <w:rPr>
          <w:sz w:val="16"/>
        </w:rPr>
        <w:t>No.</w:t>
      </w:r>
      <w:r>
        <w:rPr>
          <w:spacing w:val="-8"/>
          <w:sz w:val="16"/>
        </w:rPr>
        <w:t xml:space="preserve"> </w:t>
      </w:r>
      <w:r>
        <w:rPr>
          <w:sz w:val="16"/>
        </w:rPr>
        <w:t>198,</w:t>
      </w:r>
      <w:r>
        <w:rPr>
          <w:spacing w:val="-10"/>
          <w:sz w:val="16"/>
        </w:rPr>
        <w:t xml:space="preserve"> </w:t>
      </w:r>
      <w:r>
        <w:rPr>
          <w:sz w:val="16"/>
        </w:rPr>
        <w:t>párrs.</w:t>
      </w:r>
      <w:r>
        <w:rPr>
          <w:spacing w:val="-10"/>
          <w:sz w:val="16"/>
        </w:rPr>
        <w:t xml:space="preserve"> </w:t>
      </w:r>
      <w:r>
        <w:rPr>
          <w:sz w:val="16"/>
        </w:rPr>
        <w:t>102</w:t>
      </w:r>
      <w:r>
        <w:rPr>
          <w:spacing w:val="-6"/>
          <w:sz w:val="16"/>
        </w:rPr>
        <w:t xml:space="preserve"> </w:t>
      </w:r>
      <w:r>
        <w:rPr>
          <w:sz w:val="16"/>
        </w:rPr>
        <w:t>a</w:t>
      </w:r>
      <w:r>
        <w:rPr>
          <w:spacing w:val="-8"/>
          <w:sz w:val="16"/>
        </w:rPr>
        <w:t xml:space="preserve"> </w:t>
      </w:r>
      <w:r>
        <w:rPr>
          <w:sz w:val="16"/>
        </w:rPr>
        <w:t>103,</w:t>
      </w:r>
      <w:r>
        <w:rPr>
          <w:spacing w:val="-7"/>
          <w:sz w:val="16"/>
        </w:rPr>
        <w:t xml:space="preserve"> </w:t>
      </w:r>
      <w:r>
        <w:rPr>
          <w:sz w:val="16"/>
        </w:rPr>
        <w:t>y</w:t>
      </w:r>
      <w:r>
        <w:rPr>
          <w:spacing w:val="-8"/>
          <w:sz w:val="16"/>
        </w:rPr>
        <w:t xml:space="preserve"> </w:t>
      </w:r>
      <w:r>
        <w:rPr>
          <w:i/>
          <w:sz w:val="16"/>
        </w:rPr>
        <w:t>Caso</w:t>
      </w:r>
      <w:r>
        <w:rPr>
          <w:i/>
          <w:spacing w:val="-9"/>
          <w:sz w:val="16"/>
        </w:rPr>
        <w:t xml:space="preserve"> </w:t>
      </w:r>
      <w:r>
        <w:rPr>
          <w:i/>
          <w:sz w:val="16"/>
        </w:rPr>
        <w:t>Asociación Nacional de Cesantes y Jubilados de la Superintendencia Nacional de Administración Tributaria (ANCEJUB-SUNAT) Vs. Perú</w:t>
      </w:r>
      <w:r>
        <w:rPr>
          <w:i/>
          <w:sz w:val="16"/>
        </w:rPr>
        <w:t>, supra</w:t>
      </w:r>
      <w:r>
        <w:rPr>
          <w:sz w:val="16"/>
        </w:rPr>
        <w:t>, párr.</w:t>
      </w:r>
      <w:r>
        <w:rPr>
          <w:spacing w:val="-6"/>
          <w:sz w:val="16"/>
        </w:rPr>
        <w:t xml:space="preserve"> </w:t>
      </w:r>
      <w:r>
        <w:rPr>
          <w:sz w:val="16"/>
        </w:rPr>
        <w:t>173.</w:t>
      </w:r>
    </w:p>
    <w:p w14:paraId="761A55BB" w14:textId="77777777" w:rsidR="00467FCA" w:rsidRDefault="00467FCA">
      <w:pPr>
        <w:jc w:val="both"/>
        <w:rPr>
          <w:sz w:val="16"/>
        </w:rPr>
        <w:sectPr w:rsidR="00467FCA">
          <w:pgSz w:w="12240" w:h="15840"/>
          <w:pgMar w:top="1500" w:right="1320" w:bottom="1220" w:left="1320" w:header="0" w:footer="1037" w:gutter="0"/>
          <w:cols w:space="720"/>
        </w:sectPr>
      </w:pPr>
    </w:p>
    <w:p w14:paraId="6B57CD95" w14:textId="77777777" w:rsidR="00467FCA" w:rsidRDefault="001B68EB">
      <w:pPr>
        <w:pStyle w:val="Textoindependiente"/>
        <w:spacing w:before="80"/>
        <w:ind w:left="120"/>
        <w:rPr>
          <w:sz w:val="16"/>
        </w:rPr>
      </w:pPr>
      <w:r>
        <w:t>fundamentales para alcanzar su efectividad</w:t>
      </w:r>
      <w:hyperlink w:anchor="_bookmark308" w:history="1">
        <w:r>
          <w:rPr>
            <w:position w:val="7"/>
            <w:sz w:val="13"/>
          </w:rPr>
          <w:t>260</w:t>
        </w:r>
      </w:hyperlink>
      <w:r>
        <w:rPr>
          <w:sz w:val="16"/>
        </w:rPr>
        <w:t>.</w:t>
      </w:r>
    </w:p>
    <w:p w14:paraId="2276C7A4" w14:textId="77777777" w:rsidR="00467FCA" w:rsidRDefault="00467FCA">
      <w:pPr>
        <w:pStyle w:val="Textoindependiente"/>
        <w:spacing w:before="1"/>
      </w:pPr>
    </w:p>
    <w:p w14:paraId="41D59174" w14:textId="77777777" w:rsidR="00467FCA" w:rsidRDefault="001B68EB">
      <w:pPr>
        <w:pStyle w:val="Prrafodelista"/>
        <w:numPr>
          <w:ilvl w:val="0"/>
          <w:numId w:val="50"/>
        </w:numPr>
        <w:tabs>
          <w:tab w:val="left" w:pos="687"/>
        </w:tabs>
        <w:ind w:right="116" w:firstLine="0"/>
        <w:jc w:val="both"/>
        <w:rPr>
          <w:sz w:val="20"/>
        </w:rPr>
      </w:pPr>
      <w:r>
        <w:rPr>
          <w:sz w:val="20"/>
        </w:rPr>
        <w:t xml:space="preserve">Sin perjuicio de lo anterior, la Corte nota que el presente caso no versa sobre las obligaciones de progresividad derivadas del artículo 26 de la Convención, sino que se refiere a la falta de garantía del derecho a condiciones equitativas y satisfactorias </w:t>
      </w:r>
      <w:r>
        <w:rPr>
          <w:sz w:val="20"/>
        </w:rPr>
        <w:t>que aseguren la seguridad, la salud y la higiene en el trabajo, debido a la falta de</w:t>
      </w:r>
      <w:r>
        <w:rPr>
          <w:spacing w:val="-16"/>
          <w:sz w:val="20"/>
        </w:rPr>
        <w:t xml:space="preserve"> </w:t>
      </w:r>
      <w:r>
        <w:rPr>
          <w:sz w:val="20"/>
        </w:rPr>
        <w:t>fiscalización.</w:t>
      </w:r>
    </w:p>
    <w:p w14:paraId="3939F5CB" w14:textId="77777777" w:rsidR="00467FCA" w:rsidRDefault="00467FCA">
      <w:pPr>
        <w:pStyle w:val="Textoindependiente"/>
        <w:spacing w:before="11"/>
        <w:rPr>
          <w:sz w:val="19"/>
        </w:rPr>
      </w:pPr>
    </w:p>
    <w:p w14:paraId="7F9740BD"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 xml:space="preserve">Tomando en cuenta los hechos y particularidades del presente caso, la Corte concluye que este derecho implica que el trabajador pueda realizar sus labores </w:t>
      </w:r>
      <w:r>
        <w:rPr>
          <w:sz w:val="20"/>
        </w:rPr>
        <w:t>en condiciones adecuadas de seguridad, higiene y salud que prevengan accidentes de trabajo</w:t>
      </w:r>
      <w:hyperlink w:anchor="_bookmark309" w:history="1">
        <w:r>
          <w:rPr>
            <w:position w:val="7"/>
            <w:sz w:val="13"/>
          </w:rPr>
          <w:t>261</w:t>
        </w:r>
      </w:hyperlink>
      <w:r>
        <w:rPr>
          <w:sz w:val="20"/>
        </w:rPr>
        <w:t>, lo cual resulta especialmente relevante cuando se trata de actividades que implican riesgos significativos para la vida e integri</w:t>
      </w:r>
      <w:r>
        <w:rPr>
          <w:sz w:val="20"/>
        </w:rPr>
        <w:t>dad de las personas. Además, de forma particular, a la luz de la legislación brasileña, este derecho implica la adopción de medidas para la prevención y reducción</w:t>
      </w:r>
      <w:r>
        <w:rPr>
          <w:spacing w:val="-5"/>
          <w:sz w:val="20"/>
        </w:rPr>
        <w:t xml:space="preserve"> </w:t>
      </w:r>
      <w:r>
        <w:rPr>
          <w:sz w:val="20"/>
        </w:rPr>
        <w:t>de</w:t>
      </w:r>
      <w:r>
        <w:rPr>
          <w:spacing w:val="-5"/>
          <w:sz w:val="20"/>
        </w:rPr>
        <w:t xml:space="preserve"> </w:t>
      </w:r>
      <w:r>
        <w:rPr>
          <w:sz w:val="20"/>
        </w:rPr>
        <w:t>riesgos</w:t>
      </w:r>
      <w:r>
        <w:rPr>
          <w:spacing w:val="-7"/>
          <w:sz w:val="20"/>
        </w:rPr>
        <w:t xml:space="preserve"> </w:t>
      </w:r>
      <w:r>
        <w:rPr>
          <w:sz w:val="20"/>
        </w:rPr>
        <w:t>inherentes</w:t>
      </w:r>
      <w:r>
        <w:rPr>
          <w:spacing w:val="-7"/>
          <w:sz w:val="20"/>
        </w:rPr>
        <w:t xml:space="preserve"> </w:t>
      </w:r>
      <w:r>
        <w:rPr>
          <w:sz w:val="20"/>
        </w:rPr>
        <w:t>al</w:t>
      </w:r>
      <w:r>
        <w:rPr>
          <w:spacing w:val="-6"/>
          <w:sz w:val="20"/>
        </w:rPr>
        <w:t xml:space="preserve"> </w:t>
      </w:r>
      <w:r>
        <w:rPr>
          <w:sz w:val="20"/>
        </w:rPr>
        <w:t>trabajo</w:t>
      </w:r>
      <w:r>
        <w:rPr>
          <w:spacing w:val="-8"/>
          <w:sz w:val="20"/>
        </w:rPr>
        <w:t xml:space="preserve"> </w:t>
      </w:r>
      <w:r>
        <w:rPr>
          <w:sz w:val="20"/>
        </w:rPr>
        <w:t>y</w:t>
      </w:r>
      <w:r>
        <w:rPr>
          <w:spacing w:val="-6"/>
          <w:sz w:val="20"/>
        </w:rPr>
        <w:t xml:space="preserve"> </w:t>
      </w:r>
      <w:r>
        <w:rPr>
          <w:sz w:val="20"/>
        </w:rPr>
        <w:t>de</w:t>
      </w:r>
      <w:r>
        <w:rPr>
          <w:spacing w:val="-5"/>
          <w:sz w:val="20"/>
        </w:rPr>
        <w:t xml:space="preserve"> </w:t>
      </w:r>
      <w:r>
        <w:rPr>
          <w:sz w:val="20"/>
        </w:rPr>
        <w:t>accidentes</w:t>
      </w:r>
      <w:r>
        <w:rPr>
          <w:spacing w:val="-7"/>
          <w:sz w:val="20"/>
        </w:rPr>
        <w:t xml:space="preserve"> </w:t>
      </w:r>
      <w:r>
        <w:rPr>
          <w:sz w:val="20"/>
        </w:rPr>
        <w:t>laborales;</w:t>
      </w:r>
      <w:r>
        <w:rPr>
          <w:spacing w:val="-6"/>
          <w:sz w:val="20"/>
        </w:rPr>
        <w:t xml:space="preserve"> </w:t>
      </w:r>
      <w:r>
        <w:rPr>
          <w:sz w:val="20"/>
        </w:rPr>
        <w:t>la</w:t>
      </w:r>
      <w:r>
        <w:rPr>
          <w:spacing w:val="-6"/>
          <w:sz w:val="20"/>
        </w:rPr>
        <w:t xml:space="preserve"> </w:t>
      </w:r>
      <w:r>
        <w:rPr>
          <w:sz w:val="20"/>
        </w:rPr>
        <w:t>obligación</w:t>
      </w:r>
      <w:r>
        <w:rPr>
          <w:spacing w:val="-5"/>
          <w:sz w:val="20"/>
        </w:rPr>
        <w:t xml:space="preserve"> </w:t>
      </w:r>
      <w:r>
        <w:rPr>
          <w:sz w:val="20"/>
        </w:rPr>
        <w:t>de</w:t>
      </w:r>
      <w:r>
        <w:rPr>
          <w:spacing w:val="-8"/>
          <w:sz w:val="20"/>
        </w:rPr>
        <w:t xml:space="preserve"> </w:t>
      </w:r>
      <w:r>
        <w:rPr>
          <w:sz w:val="20"/>
        </w:rPr>
        <w:t>proveer equipos</w:t>
      </w:r>
      <w:r>
        <w:rPr>
          <w:spacing w:val="-17"/>
          <w:sz w:val="20"/>
        </w:rPr>
        <w:t xml:space="preserve"> </w:t>
      </w:r>
      <w:r>
        <w:rPr>
          <w:sz w:val="20"/>
        </w:rPr>
        <w:t>de</w:t>
      </w:r>
      <w:r>
        <w:rPr>
          <w:spacing w:val="-17"/>
          <w:sz w:val="20"/>
        </w:rPr>
        <w:t xml:space="preserve"> </w:t>
      </w:r>
      <w:r>
        <w:rPr>
          <w:sz w:val="20"/>
        </w:rPr>
        <w:t>protección</w:t>
      </w:r>
      <w:r>
        <w:rPr>
          <w:spacing w:val="-15"/>
          <w:sz w:val="20"/>
        </w:rPr>
        <w:t xml:space="preserve"> </w:t>
      </w:r>
      <w:r>
        <w:rPr>
          <w:sz w:val="20"/>
        </w:rPr>
        <w:t>adecuados</w:t>
      </w:r>
      <w:r>
        <w:rPr>
          <w:spacing w:val="-17"/>
          <w:sz w:val="20"/>
        </w:rPr>
        <w:t xml:space="preserve"> </w:t>
      </w:r>
      <w:r>
        <w:rPr>
          <w:sz w:val="20"/>
        </w:rPr>
        <w:t>frente</w:t>
      </w:r>
      <w:r>
        <w:rPr>
          <w:spacing w:val="-17"/>
          <w:sz w:val="20"/>
        </w:rPr>
        <w:t xml:space="preserve"> </w:t>
      </w:r>
      <w:r>
        <w:rPr>
          <w:sz w:val="20"/>
        </w:rPr>
        <w:t>a</w:t>
      </w:r>
      <w:r>
        <w:rPr>
          <w:spacing w:val="-16"/>
          <w:sz w:val="20"/>
        </w:rPr>
        <w:t xml:space="preserve"> </w:t>
      </w:r>
      <w:r>
        <w:rPr>
          <w:sz w:val="20"/>
        </w:rPr>
        <w:t>los</w:t>
      </w:r>
      <w:r>
        <w:rPr>
          <w:spacing w:val="-14"/>
          <w:sz w:val="20"/>
        </w:rPr>
        <w:t xml:space="preserve"> </w:t>
      </w:r>
      <w:r>
        <w:rPr>
          <w:sz w:val="20"/>
        </w:rPr>
        <w:t>riesgos</w:t>
      </w:r>
      <w:r>
        <w:rPr>
          <w:spacing w:val="-17"/>
          <w:sz w:val="20"/>
        </w:rPr>
        <w:t xml:space="preserve"> </w:t>
      </w:r>
      <w:r>
        <w:rPr>
          <w:sz w:val="20"/>
        </w:rPr>
        <w:t>derivados</w:t>
      </w:r>
      <w:r>
        <w:rPr>
          <w:spacing w:val="-17"/>
          <w:sz w:val="20"/>
        </w:rPr>
        <w:t xml:space="preserve"> </w:t>
      </w:r>
      <w:r>
        <w:rPr>
          <w:sz w:val="20"/>
        </w:rPr>
        <w:t>del</w:t>
      </w:r>
      <w:r>
        <w:rPr>
          <w:spacing w:val="-16"/>
          <w:sz w:val="20"/>
        </w:rPr>
        <w:t xml:space="preserve"> </w:t>
      </w:r>
      <w:r>
        <w:rPr>
          <w:sz w:val="20"/>
        </w:rPr>
        <w:t>trabajo;</w:t>
      </w:r>
      <w:r>
        <w:rPr>
          <w:spacing w:val="-15"/>
          <w:sz w:val="20"/>
        </w:rPr>
        <w:t xml:space="preserve"> </w:t>
      </w:r>
      <w:r>
        <w:rPr>
          <w:sz w:val="20"/>
        </w:rPr>
        <w:t>la</w:t>
      </w:r>
      <w:r>
        <w:rPr>
          <w:spacing w:val="-16"/>
          <w:sz w:val="20"/>
        </w:rPr>
        <w:t xml:space="preserve"> </w:t>
      </w:r>
      <w:r>
        <w:rPr>
          <w:sz w:val="20"/>
        </w:rPr>
        <w:t>caracterización, a cargo de las autoridades de trabajo de la insalubridad e inseguridad en el trabajo; y la obligación de fiscalizar estas condiciones, también cargo de las autoridades</w:t>
      </w:r>
      <w:r>
        <w:rPr>
          <w:spacing w:val="-26"/>
          <w:sz w:val="20"/>
        </w:rPr>
        <w:t xml:space="preserve"> </w:t>
      </w:r>
      <w:r>
        <w:rPr>
          <w:sz w:val="20"/>
        </w:rPr>
        <w:t>laborales.</w:t>
      </w:r>
    </w:p>
    <w:p w14:paraId="689B8440" w14:textId="77777777" w:rsidR="00467FCA" w:rsidRDefault="00467FCA">
      <w:pPr>
        <w:pStyle w:val="Textoindependiente"/>
        <w:spacing w:before="12"/>
        <w:rPr>
          <w:sz w:val="19"/>
        </w:rPr>
      </w:pPr>
    </w:p>
    <w:p w14:paraId="312D732D" w14:textId="77777777" w:rsidR="00467FCA" w:rsidRDefault="001B68EB">
      <w:pPr>
        <w:pStyle w:val="Ttulo2"/>
        <w:numPr>
          <w:ilvl w:val="4"/>
          <w:numId w:val="41"/>
        </w:numPr>
        <w:tabs>
          <w:tab w:val="left" w:pos="1610"/>
        </w:tabs>
        <w:ind w:left="839" w:right="120" w:firstLine="0"/>
      </w:pPr>
      <w:bookmarkStart w:id="351" w:name="B.1.2_Afectación_del_derecho_a_condicion"/>
      <w:bookmarkStart w:id="352" w:name="_bookmark306"/>
      <w:bookmarkEnd w:id="351"/>
      <w:bookmarkEnd w:id="352"/>
      <w:r>
        <w:t xml:space="preserve">Afectación del derecho a condiciones de trabajo equitativas y </w:t>
      </w:r>
      <w:r>
        <w:t>satisfactorias en el caso</w:t>
      </w:r>
      <w:r>
        <w:rPr>
          <w:spacing w:val="-6"/>
        </w:rPr>
        <w:t xml:space="preserve"> </w:t>
      </w:r>
      <w:r>
        <w:t>concreto</w:t>
      </w:r>
    </w:p>
    <w:p w14:paraId="37A85CB7" w14:textId="77777777" w:rsidR="00467FCA" w:rsidRDefault="00467FCA">
      <w:pPr>
        <w:pStyle w:val="Textoindependiente"/>
        <w:rPr>
          <w:b/>
          <w:i/>
        </w:rPr>
      </w:pPr>
    </w:p>
    <w:p w14:paraId="50F9AA60" w14:textId="77777777" w:rsidR="00467FCA" w:rsidRDefault="001B68EB">
      <w:pPr>
        <w:pStyle w:val="Prrafodelista"/>
        <w:numPr>
          <w:ilvl w:val="0"/>
          <w:numId w:val="50"/>
        </w:numPr>
        <w:tabs>
          <w:tab w:val="left" w:pos="687"/>
        </w:tabs>
        <w:ind w:left="119" w:right="117" w:firstLine="0"/>
        <w:jc w:val="both"/>
        <w:rPr>
          <w:sz w:val="20"/>
        </w:rPr>
      </w:pPr>
      <w:r>
        <w:rPr>
          <w:sz w:val="20"/>
        </w:rPr>
        <w:t>Según se ha expuesto, Brasil tenía la obligación de garantizar condiciones de trabajo equitativas y satisfactorias en los términos descritos en el párrafo anterior. Sin embargo, las empleadas de la fábrica de “Vardo de los fuegos” trabajaban en condiciones</w:t>
      </w:r>
      <w:r>
        <w:rPr>
          <w:sz w:val="20"/>
        </w:rPr>
        <w:t xml:space="preserve"> de precariedad, insalubridad e inseguridad, en carpas ubicadas en potreros que no reunían los más mínimos estándares de seguridad para la realización de una actividad peligrosa y que no reunían condiciones que permitieran evitar o prevenir accidentes de t</w:t>
      </w:r>
      <w:r>
        <w:rPr>
          <w:sz w:val="20"/>
        </w:rPr>
        <w:t>rabajo. Nunca recibieron instrucción</w:t>
      </w:r>
      <w:r>
        <w:rPr>
          <w:spacing w:val="-13"/>
          <w:sz w:val="20"/>
        </w:rPr>
        <w:t xml:space="preserve"> </w:t>
      </w:r>
      <w:r>
        <w:rPr>
          <w:sz w:val="20"/>
        </w:rPr>
        <w:t>alguna</w:t>
      </w:r>
      <w:r>
        <w:rPr>
          <w:spacing w:val="-16"/>
          <w:sz w:val="20"/>
        </w:rPr>
        <w:t xml:space="preserve"> </w:t>
      </w:r>
      <w:r>
        <w:rPr>
          <w:sz w:val="20"/>
        </w:rPr>
        <w:t>sobre</w:t>
      </w:r>
      <w:r>
        <w:rPr>
          <w:spacing w:val="-15"/>
          <w:sz w:val="20"/>
        </w:rPr>
        <w:t xml:space="preserve"> </w:t>
      </w:r>
      <w:r>
        <w:rPr>
          <w:sz w:val="20"/>
        </w:rPr>
        <w:t>medidas</w:t>
      </w:r>
      <w:r>
        <w:rPr>
          <w:spacing w:val="-14"/>
          <w:sz w:val="20"/>
        </w:rPr>
        <w:t xml:space="preserve"> </w:t>
      </w:r>
      <w:r>
        <w:rPr>
          <w:sz w:val="20"/>
        </w:rPr>
        <w:t>de</w:t>
      </w:r>
      <w:r>
        <w:rPr>
          <w:spacing w:val="-14"/>
          <w:sz w:val="20"/>
        </w:rPr>
        <w:t xml:space="preserve"> </w:t>
      </w:r>
      <w:r>
        <w:rPr>
          <w:sz w:val="20"/>
        </w:rPr>
        <w:t>seguridad,</w:t>
      </w:r>
      <w:r>
        <w:rPr>
          <w:spacing w:val="-12"/>
          <w:sz w:val="20"/>
        </w:rPr>
        <w:t xml:space="preserve"> </w:t>
      </w:r>
      <w:r>
        <w:rPr>
          <w:sz w:val="20"/>
        </w:rPr>
        <w:t>ni</w:t>
      </w:r>
      <w:r>
        <w:rPr>
          <w:spacing w:val="-16"/>
          <w:sz w:val="20"/>
        </w:rPr>
        <w:t xml:space="preserve"> </w:t>
      </w:r>
      <w:r>
        <w:rPr>
          <w:sz w:val="20"/>
        </w:rPr>
        <w:t>elementos</w:t>
      </w:r>
      <w:r>
        <w:rPr>
          <w:spacing w:val="-17"/>
          <w:sz w:val="20"/>
        </w:rPr>
        <w:t xml:space="preserve"> </w:t>
      </w:r>
      <w:r>
        <w:rPr>
          <w:sz w:val="20"/>
        </w:rPr>
        <w:t>de</w:t>
      </w:r>
      <w:r>
        <w:rPr>
          <w:spacing w:val="-17"/>
          <w:sz w:val="20"/>
        </w:rPr>
        <w:t xml:space="preserve"> </w:t>
      </w:r>
      <w:r>
        <w:rPr>
          <w:sz w:val="20"/>
        </w:rPr>
        <w:t>protección</w:t>
      </w:r>
      <w:r>
        <w:rPr>
          <w:spacing w:val="-14"/>
          <w:sz w:val="20"/>
        </w:rPr>
        <w:t xml:space="preserve"> </w:t>
      </w:r>
      <w:r>
        <w:rPr>
          <w:sz w:val="20"/>
        </w:rPr>
        <w:t>para</w:t>
      </w:r>
      <w:r>
        <w:rPr>
          <w:spacing w:val="-13"/>
          <w:sz w:val="20"/>
        </w:rPr>
        <w:t xml:space="preserve"> </w:t>
      </w:r>
      <w:r>
        <w:rPr>
          <w:sz w:val="20"/>
        </w:rPr>
        <w:t>la</w:t>
      </w:r>
      <w:r>
        <w:rPr>
          <w:spacing w:val="-13"/>
          <w:sz w:val="20"/>
        </w:rPr>
        <w:t xml:space="preserve"> </w:t>
      </w:r>
      <w:r>
        <w:rPr>
          <w:sz w:val="20"/>
        </w:rPr>
        <w:t>realización del trabajo. Todo lo anterior ocurrió sin que el Estado ejerciera ninguna labor de supervisión o</w:t>
      </w:r>
      <w:r>
        <w:rPr>
          <w:spacing w:val="-9"/>
          <w:sz w:val="20"/>
        </w:rPr>
        <w:t xml:space="preserve"> </w:t>
      </w:r>
      <w:r>
        <w:rPr>
          <w:sz w:val="20"/>
        </w:rPr>
        <w:t>fiscalización</w:t>
      </w:r>
      <w:r>
        <w:rPr>
          <w:spacing w:val="-5"/>
          <w:sz w:val="20"/>
        </w:rPr>
        <w:t xml:space="preserve"> </w:t>
      </w:r>
      <w:r>
        <w:rPr>
          <w:sz w:val="20"/>
        </w:rPr>
        <w:t>orientada</w:t>
      </w:r>
      <w:r>
        <w:rPr>
          <w:spacing w:val="-5"/>
          <w:sz w:val="20"/>
        </w:rPr>
        <w:t xml:space="preserve"> </w:t>
      </w:r>
      <w:r>
        <w:rPr>
          <w:sz w:val="20"/>
        </w:rPr>
        <w:t>a</w:t>
      </w:r>
      <w:r>
        <w:rPr>
          <w:spacing w:val="-6"/>
          <w:sz w:val="20"/>
        </w:rPr>
        <w:t xml:space="preserve"> </w:t>
      </w:r>
      <w:r>
        <w:rPr>
          <w:sz w:val="20"/>
        </w:rPr>
        <w:t>verificar</w:t>
      </w:r>
      <w:r>
        <w:rPr>
          <w:spacing w:val="-9"/>
          <w:sz w:val="20"/>
        </w:rPr>
        <w:t xml:space="preserve"> </w:t>
      </w:r>
      <w:r>
        <w:rPr>
          <w:sz w:val="20"/>
        </w:rPr>
        <w:t>las</w:t>
      </w:r>
      <w:r>
        <w:rPr>
          <w:spacing w:val="-7"/>
          <w:sz w:val="20"/>
        </w:rPr>
        <w:t xml:space="preserve"> </w:t>
      </w:r>
      <w:r>
        <w:rPr>
          <w:sz w:val="20"/>
        </w:rPr>
        <w:t>condiciones</w:t>
      </w:r>
      <w:r>
        <w:rPr>
          <w:spacing w:val="-7"/>
          <w:sz w:val="20"/>
        </w:rPr>
        <w:t xml:space="preserve"> </w:t>
      </w:r>
      <w:r>
        <w:rPr>
          <w:sz w:val="20"/>
        </w:rPr>
        <w:t>laborales</w:t>
      </w:r>
      <w:r>
        <w:rPr>
          <w:spacing w:val="-8"/>
          <w:sz w:val="20"/>
        </w:rPr>
        <w:t xml:space="preserve"> </w:t>
      </w:r>
      <w:r>
        <w:rPr>
          <w:sz w:val="20"/>
        </w:rPr>
        <w:t>de</w:t>
      </w:r>
      <w:r>
        <w:rPr>
          <w:spacing w:val="-8"/>
          <w:sz w:val="20"/>
        </w:rPr>
        <w:t xml:space="preserve"> </w:t>
      </w:r>
      <w:r>
        <w:rPr>
          <w:sz w:val="20"/>
        </w:rPr>
        <w:t>quienes</w:t>
      </w:r>
      <w:r>
        <w:rPr>
          <w:spacing w:val="-5"/>
          <w:sz w:val="20"/>
        </w:rPr>
        <w:t xml:space="preserve"> </w:t>
      </w:r>
      <w:r>
        <w:rPr>
          <w:sz w:val="20"/>
        </w:rPr>
        <w:t>se</w:t>
      </w:r>
      <w:r>
        <w:rPr>
          <w:spacing w:val="-9"/>
          <w:sz w:val="20"/>
        </w:rPr>
        <w:t xml:space="preserve"> </w:t>
      </w:r>
      <w:r>
        <w:rPr>
          <w:sz w:val="20"/>
        </w:rPr>
        <w:t>desempeñaban</w:t>
      </w:r>
      <w:r>
        <w:rPr>
          <w:spacing w:val="-5"/>
          <w:sz w:val="20"/>
        </w:rPr>
        <w:t xml:space="preserve"> </w:t>
      </w:r>
      <w:r>
        <w:rPr>
          <w:sz w:val="20"/>
        </w:rPr>
        <w:t>en la</w:t>
      </w:r>
      <w:r>
        <w:rPr>
          <w:spacing w:val="-12"/>
          <w:sz w:val="20"/>
        </w:rPr>
        <w:t xml:space="preserve"> </w:t>
      </w:r>
      <w:r>
        <w:rPr>
          <w:sz w:val="20"/>
        </w:rPr>
        <w:t>fábrica</w:t>
      </w:r>
      <w:r>
        <w:rPr>
          <w:spacing w:val="-12"/>
          <w:sz w:val="20"/>
        </w:rPr>
        <w:t xml:space="preserve"> </w:t>
      </w:r>
      <w:r>
        <w:rPr>
          <w:sz w:val="20"/>
        </w:rPr>
        <w:t>de</w:t>
      </w:r>
      <w:r>
        <w:rPr>
          <w:spacing w:val="-14"/>
          <w:sz w:val="20"/>
        </w:rPr>
        <w:t xml:space="preserve"> </w:t>
      </w:r>
      <w:r>
        <w:rPr>
          <w:sz w:val="20"/>
        </w:rPr>
        <w:t>fuegos,</w:t>
      </w:r>
      <w:r>
        <w:rPr>
          <w:spacing w:val="-13"/>
          <w:sz w:val="20"/>
        </w:rPr>
        <w:t xml:space="preserve"> </w:t>
      </w:r>
      <w:r>
        <w:rPr>
          <w:sz w:val="20"/>
        </w:rPr>
        <w:t>ni</w:t>
      </w:r>
      <w:r>
        <w:rPr>
          <w:spacing w:val="-10"/>
          <w:sz w:val="20"/>
        </w:rPr>
        <w:t xml:space="preserve"> </w:t>
      </w:r>
      <w:r>
        <w:rPr>
          <w:sz w:val="20"/>
        </w:rPr>
        <w:t>emprendiera</w:t>
      </w:r>
      <w:r>
        <w:rPr>
          <w:spacing w:val="-12"/>
          <w:sz w:val="20"/>
        </w:rPr>
        <w:t xml:space="preserve"> </w:t>
      </w:r>
      <w:r>
        <w:rPr>
          <w:sz w:val="20"/>
        </w:rPr>
        <w:t>alguna</w:t>
      </w:r>
      <w:r>
        <w:rPr>
          <w:spacing w:val="-12"/>
          <w:sz w:val="20"/>
        </w:rPr>
        <w:t xml:space="preserve"> </w:t>
      </w:r>
      <w:r>
        <w:rPr>
          <w:sz w:val="20"/>
        </w:rPr>
        <w:t>acción</w:t>
      </w:r>
      <w:r>
        <w:rPr>
          <w:spacing w:val="-12"/>
          <w:sz w:val="20"/>
        </w:rPr>
        <w:t xml:space="preserve"> </w:t>
      </w:r>
      <w:r>
        <w:rPr>
          <w:sz w:val="20"/>
        </w:rPr>
        <w:t>orientada</w:t>
      </w:r>
      <w:r>
        <w:rPr>
          <w:spacing w:val="-12"/>
          <w:sz w:val="20"/>
        </w:rPr>
        <w:t xml:space="preserve"> </w:t>
      </w:r>
      <w:r>
        <w:rPr>
          <w:sz w:val="20"/>
        </w:rPr>
        <w:t>a</w:t>
      </w:r>
      <w:r>
        <w:rPr>
          <w:spacing w:val="-12"/>
          <w:sz w:val="20"/>
        </w:rPr>
        <w:t xml:space="preserve"> </w:t>
      </w:r>
      <w:r>
        <w:rPr>
          <w:sz w:val="20"/>
        </w:rPr>
        <w:t>prevenir</w:t>
      </w:r>
      <w:r>
        <w:rPr>
          <w:spacing w:val="-14"/>
          <w:sz w:val="20"/>
        </w:rPr>
        <w:t xml:space="preserve"> </w:t>
      </w:r>
      <w:r>
        <w:rPr>
          <w:sz w:val="20"/>
        </w:rPr>
        <w:t>accidentes</w:t>
      </w:r>
      <w:r>
        <w:rPr>
          <w:spacing w:val="-12"/>
          <w:sz w:val="20"/>
        </w:rPr>
        <w:t xml:space="preserve"> </w:t>
      </w:r>
      <w:r>
        <w:rPr>
          <w:sz w:val="20"/>
        </w:rPr>
        <w:t>pese</w:t>
      </w:r>
      <w:r>
        <w:rPr>
          <w:spacing w:val="-14"/>
          <w:sz w:val="20"/>
        </w:rPr>
        <w:t xml:space="preserve"> </w:t>
      </w:r>
      <w:r>
        <w:rPr>
          <w:sz w:val="20"/>
        </w:rPr>
        <w:t>a</w:t>
      </w:r>
      <w:r>
        <w:rPr>
          <w:spacing w:val="-12"/>
          <w:sz w:val="20"/>
        </w:rPr>
        <w:t xml:space="preserve"> </w:t>
      </w:r>
      <w:r>
        <w:rPr>
          <w:sz w:val="20"/>
        </w:rPr>
        <w:t>que la actividad desplegada en la fábrica era caracterizada por la normatividad interna como especialmente</w:t>
      </w:r>
      <w:r>
        <w:rPr>
          <w:spacing w:val="-3"/>
          <w:sz w:val="20"/>
        </w:rPr>
        <w:t xml:space="preserve"> </w:t>
      </w:r>
      <w:r>
        <w:rPr>
          <w:sz w:val="20"/>
        </w:rPr>
        <w:t>peligrosa.</w:t>
      </w:r>
    </w:p>
    <w:p w14:paraId="150A132C" w14:textId="77777777" w:rsidR="00467FCA" w:rsidRDefault="00467FCA">
      <w:pPr>
        <w:pStyle w:val="Textoindependiente"/>
        <w:spacing w:before="11"/>
        <w:rPr>
          <w:sz w:val="19"/>
        </w:rPr>
      </w:pPr>
    </w:p>
    <w:p w14:paraId="3E8E40D9" w14:textId="77777777" w:rsidR="00467FCA" w:rsidRDefault="001B68EB">
      <w:pPr>
        <w:pStyle w:val="Prrafodelista"/>
        <w:numPr>
          <w:ilvl w:val="0"/>
          <w:numId w:val="50"/>
        </w:numPr>
        <w:tabs>
          <w:tab w:val="left" w:pos="686"/>
        </w:tabs>
        <w:ind w:left="119" w:right="117" w:firstLine="0"/>
        <w:jc w:val="both"/>
        <w:rPr>
          <w:sz w:val="20"/>
        </w:rPr>
      </w:pPr>
      <w:r>
        <w:rPr>
          <w:sz w:val="20"/>
        </w:rPr>
        <w:t xml:space="preserve">Conforme a lo anterior, el Estado desconoció el derecho a condiciones equitativas y satisfactorias de trabajo, en la medida en que falló </w:t>
      </w:r>
      <w:r>
        <w:rPr>
          <w:sz w:val="20"/>
        </w:rPr>
        <w:t>en su deber de prevenir accidentes de trabajo. Dicho deber resulta aún más relevante debido a la magnitud de los hechos del presente</w:t>
      </w:r>
      <w:r>
        <w:rPr>
          <w:spacing w:val="-2"/>
          <w:sz w:val="20"/>
        </w:rPr>
        <w:t xml:space="preserve"> </w:t>
      </w:r>
      <w:r>
        <w:rPr>
          <w:sz w:val="20"/>
        </w:rPr>
        <w:t>caso,</w:t>
      </w:r>
      <w:r>
        <w:rPr>
          <w:spacing w:val="-4"/>
          <w:sz w:val="20"/>
        </w:rPr>
        <w:t xml:space="preserve"> </w:t>
      </w:r>
      <w:r>
        <w:rPr>
          <w:sz w:val="20"/>
        </w:rPr>
        <w:t>que</w:t>
      </w:r>
      <w:r>
        <w:rPr>
          <w:spacing w:val="-3"/>
          <w:sz w:val="20"/>
        </w:rPr>
        <w:t xml:space="preserve"> </w:t>
      </w:r>
      <w:r>
        <w:rPr>
          <w:sz w:val="20"/>
        </w:rPr>
        <w:t>terminaron</w:t>
      </w:r>
      <w:r>
        <w:rPr>
          <w:spacing w:val="-4"/>
          <w:sz w:val="20"/>
        </w:rPr>
        <w:t xml:space="preserve"> </w:t>
      </w:r>
      <w:r>
        <w:rPr>
          <w:sz w:val="20"/>
        </w:rPr>
        <w:t>por</w:t>
      </w:r>
      <w:r>
        <w:rPr>
          <w:spacing w:val="-4"/>
          <w:sz w:val="20"/>
        </w:rPr>
        <w:t xml:space="preserve"> </w:t>
      </w:r>
      <w:r>
        <w:rPr>
          <w:sz w:val="20"/>
        </w:rPr>
        <w:t>afectar</w:t>
      </w:r>
      <w:r>
        <w:rPr>
          <w:spacing w:val="-6"/>
          <w:sz w:val="20"/>
        </w:rPr>
        <w:t xml:space="preserve"> </w:t>
      </w:r>
      <w:r>
        <w:rPr>
          <w:sz w:val="20"/>
        </w:rPr>
        <w:t>gravemente</w:t>
      </w:r>
      <w:r>
        <w:rPr>
          <w:spacing w:val="-4"/>
          <w:sz w:val="20"/>
        </w:rPr>
        <w:t xml:space="preserve"> </w:t>
      </w:r>
      <w:r>
        <w:rPr>
          <w:sz w:val="20"/>
        </w:rPr>
        <w:t>la</w:t>
      </w:r>
      <w:r>
        <w:rPr>
          <w:spacing w:val="-3"/>
          <w:sz w:val="20"/>
        </w:rPr>
        <w:t xml:space="preserve"> </w:t>
      </w:r>
      <w:r>
        <w:rPr>
          <w:sz w:val="20"/>
        </w:rPr>
        <w:t>vida</w:t>
      </w:r>
      <w:r>
        <w:rPr>
          <w:spacing w:val="-4"/>
          <w:sz w:val="20"/>
        </w:rPr>
        <w:t xml:space="preserve"> </w:t>
      </w:r>
      <w:r>
        <w:rPr>
          <w:sz w:val="20"/>
        </w:rPr>
        <w:t>y</w:t>
      </w:r>
      <w:r>
        <w:rPr>
          <w:spacing w:val="-3"/>
          <w:sz w:val="20"/>
        </w:rPr>
        <w:t xml:space="preserve"> </w:t>
      </w:r>
      <w:r>
        <w:rPr>
          <w:sz w:val="20"/>
        </w:rPr>
        <w:t>la</w:t>
      </w:r>
      <w:r>
        <w:rPr>
          <w:spacing w:val="-2"/>
          <w:sz w:val="20"/>
        </w:rPr>
        <w:t xml:space="preserve"> </w:t>
      </w:r>
      <w:r>
        <w:rPr>
          <w:sz w:val="20"/>
        </w:rPr>
        <w:t>integridad</w:t>
      </w:r>
      <w:r>
        <w:rPr>
          <w:spacing w:val="-5"/>
          <w:sz w:val="20"/>
        </w:rPr>
        <w:t xml:space="preserve"> </w:t>
      </w:r>
      <w:r>
        <w:rPr>
          <w:sz w:val="20"/>
        </w:rPr>
        <w:t>personal</w:t>
      </w:r>
      <w:r>
        <w:rPr>
          <w:spacing w:val="-5"/>
          <w:sz w:val="20"/>
        </w:rPr>
        <w:t xml:space="preserve"> </w:t>
      </w:r>
      <w:r>
        <w:rPr>
          <w:sz w:val="20"/>
        </w:rPr>
        <w:t>de</w:t>
      </w:r>
      <w:r>
        <w:rPr>
          <w:spacing w:val="-3"/>
          <w:sz w:val="20"/>
        </w:rPr>
        <w:t xml:space="preserve"> </w:t>
      </w:r>
      <w:r>
        <w:rPr>
          <w:sz w:val="20"/>
        </w:rPr>
        <w:t>las trabajadoras</w:t>
      </w:r>
      <w:r>
        <w:rPr>
          <w:spacing w:val="-12"/>
          <w:sz w:val="20"/>
        </w:rPr>
        <w:t xml:space="preserve"> </w:t>
      </w:r>
      <w:r>
        <w:rPr>
          <w:sz w:val="20"/>
        </w:rPr>
        <w:t>y</w:t>
      </w:r>
      <w:r>
        <w:rPr>
          <w:spacing w:val="-12"/>
          <w:sz w:val="20"/>
        </w:rPr>
        <w:t xml:space="preserve"> </w:t>
      </w:r>
      <w:r>
        <w:rPr>
          <w:sz w:val="20"/>
        </w:rPr>
        <w:t>trabajadores.</w:t>
      </w:r>
      <w:r>
        <w:rPr>
          <w:spacing w:val="-11"/>
          <w:sz w:val="20"/>
        </w:rPr>
        <w:t xml:space="preserve"> </w:t>
      </w:r>
      <w:r>
        <w:rPr>
          <w:sz w:val="20"/>
        </w:rPr>
        <w:t>En</w:t>
      </w:r>
      <w:r>
        <w:rPr>
          <w:spacing w:val="-10"/>
          <w:sz w:val="20"/>
        </w:rPr>
        <w:t xml:space="preserve"> </w:t>
      </w:r>
      <w:r>
        <w:rPr>
          <w:sz w:val="20"/>
        </w:rPr>
        <w:t>este</w:t>
      </w:r>
      <w:r>
        <w:rPr>
          <w:spacing w:val="-11"/>
          <w:sz w:val="20"/>
        </w:rPr>
        <w:t xml:space="preserve"> </w:t>
      </w:r>
      <w:r>
        <w:rPr>
          <w:sz w:val="20"/>
        </w:rPr>
        <w:t>ca</w:t>
      </w:r>
      <w:r>
        <w:rPr>
          <w:sz w:val="20"/>
        </w:rPr>
        <w:t>so,</w:t>
      </w:r>
      <w:r>
        <w:rPr>
          <w:spacing w:val="-9"/>
          <w:sz w:val="20"/>
        </w:rPr>
        <w:t xml:space="preserve"> </w:t>
      </w:r>
      <w:r>
        <w:rPr>
          <w:sz w:val="20"/>
        </w:rPr>
        <w:t>si</w:t>
      </w:r>
      <w:r>
        <w:rPr>
          <w:spacing w:val="-10"/>
          <w:sz w:val="20"/>
        </w:rPr>
        <w:t xml:space="preserve"> </w:t>
      </w:r>
      <w:r>
        <w:rPr>
          <w:sz w:val="20"/>
        </w:rPr>
        <w:t>bien</w:t>
      </w:r>
      <w:r>
        <w:rPr>
          <w:spacing w:val="-10"/>
          <w:sz w:val="20"/>
        </w:rPr>
        <w:t xml:space="preserve"> </w:t>
      </w:r>
      <w:r>
        <w:rPr>
          <w:sz w:val="20"/>
        </w:rPr>
        <w:t>Brasil</w:t>
      </w:r>
      <w:r>
        <w:rPr>
          <w:spacing w:val="-11"/>
          <w:sz w:val="20"/>
        </w:rPr>
        <w:t xml:space="preserve"> </w:t>
      </w:r>
      <w:r>
        <w:rPr>
          <w:sz w:val="20"/>
        </w:rPr>
        <w:t>cumplió</w:t>
      </w:r>
      <w:r>
        <w:rPr>
          <w:spacing w:val="-11"/>
          <w:sz w:val="20"/>
        </w:rPr>
        <w:t xml:space="preserve"> </w:t>
      </w:r>
      <w:r>
        <w:rPr>
          <w:sz w:val="20"/>
        </w:rPr>
        <w:t>con</w:t>
      </w:r>
      <w:r>
        <w:rPr>
          <w:spacing w:val="-10"/>
          <w:sz w:val="20"/>
        </w:rPr>
        <w:t xml:space="preserve"> </w:t>
      </w:r>
      <w:r>
        <w:rPr>
          <w:sz w:val="20"/>
        </w:rPr>
        <w:t>su</w:t>
      </w:r>
      <w:r>
        <w:rPr>
          <w:spacing w:val="-8"/>
          <w:sz w:val="20"/>
        </w:rPr>
        <w:t xml:space="preserve"> </w:t>
      </w:r>
      <w:r>
        <w:rPr>
          <w:sz w:val="20"/>
        </w:rPr>
        <w:t>deber</w:t>
      </w:r>
      <w:r>
        <w:rPr>
          <w:spacing w:val="-11"/>
          <w:sz w:val="20"/>
        </w:rPr>
        <w:t xml:space="preserve"> </w:t>
      </w:r>
      <w:r>
        <w:rPr>
          <w:sz w:val="20"/>
        </w:rPr>
        <w:t>de</w:t>
      </w:r>
      <w:r>
        <w:rPr>
          <w:spacing w:val="-10"/>
          <w:sz w:val="20"/>
        </w:rPr>
        <w:t xml:space="preserve"> </w:t>
      </w:r>
      <w:r>
        <w:rPr>
          <w:sz w:val="20"/>
        </w:rPr>
        <w:t>reglamentar la</w:t>
      </w:r>
      <w:r>
        <w:rPr>
          <w:spacing w:val="-6"/>
          <w:sz w:val="20"/>
        </w:rPr>
        <w:t xml:space="preserve"> </w:t>
      </w:r>
      <w:r>
        <w:rPr>
          <w:sz w:val="20"/>
        </w:rPr>
        <w:t>actividad</w:t>
      </w:r>
      <w:r>
        <w:rPr>
          <w:spacing w:val="-6"/>
          <w:sz w:val="20"/>
        </w:rPr>
        <w:t xml:space="preserve"> </w:t>
      </w:r>
      <w:r>
        <w:rPr>
          <w:sz w:val="20"/>
        </w:rPr>
        <w:t>desarrollada</w:t>
      </w:r>
      <w:r>
        <w:rPr>
          <w:spacing w:val="-4"/>
          <w:sz w:val="20"/>
        </w:rPr>
        <w:t xml:space="preserve"> </w:t>
      </w:r>
      <w:r>
        <w:rPr>
          <w:sz w:val="20"/>
        </w:rPr>
        <w:t>en</w:t>
      </w:r>
      <w:r>
        <w:rPr>
          <w:spacing w:val="-4"/>
          <w:sz w:val="20"/>
        </w:rPr>
        <w:t xml:space="preserve"> </w:t>
      </w:r>
      <w:r>
        <w:rPr>
          <w:sz w:val="20"/>
        </w:rPr>
        <w:t>la</w:t>
      </w:r>
      <w:r>
        <w:rPr>
          <w:spacing w:val="-6"/>
          <w:sz w:val="20"/>
        </w:rPr>
        <w:t xml:space="preserve"> </w:t>
      </w:r>
      <w:r>
        <w:rPr>
          <w:sz w:val="20"/>
        </w:rPr>
        <w:t>fábrica</w:t>
      </w:r>
      <w:r>
        <w:rPr>
          <w:spacing w:val="-6"/>
          <w:sz w:val="20"/>
        </w:rPr>
        <w:t xml:space="preserve"> </w:t>
      </w:r>
      <w:r>
        <w:rPr>
          <w:sz w:val="20"/>
        </w:rPr>
        <w:t>de</w:t>
      </w:r>
      <w:r>
        <w:rPr>
          <w:spacing w:val="-8"/>
          <w:sz w:val="20"/>
        </w:rPr>
        <w:t xml:space="preserve"> </w:t>
      </w:r>
      <w:r>
        <w:rPr>
          <w:sz w:val="20"/>
        </w:rPr>
        <w:t>fuegos</w:t>
      </w:r>
      <w:r>
        <w:rPr>
          <w:spacing w:val="-4"/>
          <w:sz w:val="20"/>
        </w:rPr>
        <w:t xml:space="preserve"> </w:t>
      </w:r>
      <w:r>
        <w:rPr>
          <w:sz w:val="20"/>
        </w:rPr>
        <w:t>(</w:t>
      </w:r>
      <w:r>
        <w:rPr>
          <w:i/>
          <w:sz w:val="20"/>
        </w:rPr>
        <w:t>supra</w:t>
      </w:r>
      <w:r>
        <w:rPr>
          <w:i/>
          <w:spacing w:val="-6"/>
          <w:sz w:val="20"/>
        </w:rPr>
        <w:t xml:space="preserve"> </w:t>
      </w:r>
      <w:r>
        <w:rPr>
          <w:sz w:val="20"/>
        </w:rPr>
        <w:t>párr.</w:t>
      </w:r>
      <w:r>
        <w:rPr>
          <w:spacing w:val="-7"/>
          <w:sz w:val="20"/>
        </w:rPr>
        <w:t xml:space="preserve"> </w:t>
      </w:r>
      <w:r>
        <w:rPr>
          <w:sz w:val="20"/>
        </w:rPr>
        <w:t>171),</w:t>
      </w:r>
      <w:r>
        <w:rPr>
          <w:spacing w:val="-6"/>
          <w:sz w:val="20"/>
        </w:rPr>
        <w:t xml:space="preserve"> </w:t>
      </w:r>
      <w:r>
        <w:rPr>
          <w:sz w:val="20"/>
        </w:rPr>
        <w:t>falló</w:t>
      </w:r>
      <w:r>
        <w:rPr>
          <w:spacing w:val="-5"/>
          <w:sz w:val="20"/>
        </w:rPr>
        <w:t xml:space="preserve"> </w:t>
      </w:r>
      <w:r>
        <w:rPr>
          <w:sz w:val="20"/>
        </w:rPr>
        <w:t>al</w:t>
      </w:r>
      <w:r>
        <w:rPr>
          <w:spacing w:val="-6"/>
          <w:sz w:val="20"/>
        </w:rPr>
        <w:t xml:space="preserve"> </w:t>
      </w:r>
      <w:r>
        <w:rPr>
          <w:sz w:val="20"/>
        </w:rPr>
        <w:t>ejercer</w:t>
      </w:r>
      <w:r>
        <w:rPr>
          <w:spacing w:val="-5"/>
          <w:sz w:val="20"/>
        </w:rPr>
        <w:t xml:space="preserve"> </w:t>
      </w:r>
      <w:r>
        <w:rPr>
          <w:sz w:val="20"/>
        </w:rPr>
        <w:t>el</w:t>
      </w:r>
      <w:r>
        <w:rPr>
          <w:spacing w:val="-5"/>
          <w:sz w:val="20"/>
        </w:rPr>
        <w:t xml:space="preserve"> </w:t>
      </w:r>
      <w:r>
        <w:rPr>
          <w:sz w:val="20"/>
        </w:rPr>
        <w:t>control</w:t>
      </w:r>
      <w:r>
        <w:rPr>
          <w:spacing w:val="-6"/>
          <w:sz w:val="20"/>
        </w:rPr>
        <w:t xml:space="preserve"> </w:t>
      </w:r>
      <w:r>
        <w:rPr>
          <w:sz w:val="20"/>
        </w:rPr>
        <w:t>y fiscalización de las condiciones laborales, como medida necesaria para la prevención de accidentes. Ello, pese a que las relaciones laborales exigen supervisión por parte del Estado, más</w:t>
      </w:r>
      <w:r>
        <w:rPr>
          <w:spacing w:val="-11"/>
          <w:sz w:val="20"/>
        </w:rPr>
        <w:t xml:space="preserve"> </w:t>
      </w:r>
      <w:r>
        <w:rPr>
          <w:sz w:val="20"/>
        </w:rPr>
        <w:t>aún</w:t>
      </w:r>
      <w:r>
        <w:rPr>
          <w:spacing w:val="-8"/>
          <w:sz w:val="20"/>
        </w:rPr>
        <w:t xml:space="preserve"> </w:t>
      </w:r>
      <w:r>
        <w:rPr>
          <w:sz w:val="20"/>
        </w:rPr>
        <w:t>cuando</w:t>
      </w:r>
      <w:r>
        <w:rPr>
          <w:spacing w:val="-9"/>
          <w:sz w:val="20"/>
        </w:rPr>
        <w:t xml:space="preserve"> </w:t>
      </w:r>
      <w:r>
        <w:rPr>
          <w:sz w:val="20"/>
        </w:rPr>
        <w:t>se</w:t>
      </w:r>
      <w:r>
        <w:rPr>
          <w:spacing w:val="-9"/>
          <w:sz w:val="20"/>
        </w:rPr>
        <w:t xml:space="preserve"> </w:t>
      </w:r>
      <w:r>
        <w:rPr>
          <w:sz w:val="20"/>
        </w:rPr>
        <w:t>trata</w:t>
      </w:r>
      <w:r>
        <w:rPr>
          <w:spacing w:val="-10"/>
          <w:sz w:val="20"/>
        </w:rPr>
        <w:t xml:space="preserve"> </w:t>
      </w:r>
      <w:r>
        <w:rPr>
          <w:sz w:val="20"/>
        </w:rPr>
        <w:t>del</w:t>
      </w:r>
      <w:r>
        <w:rPr>
          <w:spacing w:val="-7"/>
          <w:sz w:val="20"/>
        </w:rPr>
        <w:t xml:space="preserve"> </w:t>
      </w:r>
      <w:r>
        <w:rPr>
          <w:sz w:val="20"/>
        </w:rPr>
        <w:t>ejercicio</w:t>
      </w:r>
      <w:r>
        <w:rPr>
          <w:spacing w:val="-9"/>
          <w:sz w:val="20"/>
        </w:rPr>
        <w:t xml:space="preserve"> </w:t>
      </w:r>
      <w:r>
        <w:rPr>
          <w:sz w:val="20"/>
        </w:rPr>
        <w:t>de</w:t>
      </w:r>
      <w:r>
        <w:rPr>
          <w:spacing w:val="-9"/>
          <w:sz w:val="20"/>
        </w:rPr>
        <w:t xml:space="preserve"> </w:t>
      </w:r>
      <w:r>
        <w:rPr>
          <w:sz w:val="20"/>
        </w:rPr>
        <w:t>actividades</w:t>
      </w:r>
      <w:r>
        <w:rPr>
          <w:spacing w:val="-9"/>
          <w:sz w:val="20"/>
        </w:rPr>
        <w:t xml:space="preserve"> </w:t>
      </w:r>
      <w:r>
        <w:rPr>
          <w:sz w:val="20"/>
        </w:rPr>
        <w:t>peligrosas.</w:t>
      </w:r>
      <w:r>
        <w:rPr>
          <w:spacing w:val="-8"/>
          <w:sz w:val="20"/>
        </w:rPr>
        <w:t xml:space="preserve"> </w:t>
      </w:r>
      <w:r>
        <w:rPr>
          <w:sz w:val="20"/>
        </w:rPr>
        <w:t>De</w:t>
      </w:r>
      <w:r>
        <w:rPr>
          <w:spacing w:val="-11"/>
          <w:sz w:val="20"/>
        </w:rPr>
        <w:t xml:space="preserve"> </w:t>
      </w:r>
      <w:r>
        <w:rPr>
          <w:sz w:val="20"/>
        </w:rPr>
        <w:t>mod</w:t>
      </w:r>
      <w:r>
        <w:rPr>
          <w:sz w:val="20"/>
        </w:rPr>
        <w:t>o</w:t>
      </w:r>
      <w:r>
        <w:rPr>
          <w:spacing w:val="-11"/>
          <w:sz w:val="20"/>
        </w:rPr>
        <w:t xml:space="preserve"> </w:t>
      </w:r>
      <w:r>
        <w:rPr>
          <w:sz w:val="20"/>
        </w:rPr>
        <w:t>que,</w:t>
      </w:r>
      <w:r>
        <w:rPr>
          <w:spacing w:val="-8"/>
          <w:sz w:val="20"/>
        </w:rPr>
        <w:t xml:space="preserve"> </w:t>
      </w:r>
      <w:r>
        <w:rPr>
          <w:sz w:val="20"/>
        </w:rPr>
        <w:t>el</w:t>
      </w:r>
      <w:r>
        <w:rPr>
          <w:spacing w:val="-10"/>
          <w:sz w:val="20"/>
        </w:rPr>
        <w:t xml:space="preserve"> </w:t>
      </w:r>
      <w:r>
        <w:rPr>
          <w:sz w:val="20"/>
        </w:rPr>
        <w:t>Estado</w:t>
      </w:r>
      <w:r>
        <w:rPr>
          <w:spacing w:val="-9"/>
          <w:sz w:val="20"/>
        </w:rPr>
        <w:t xml:space="preserve"> </w:t>
      </w:r>
      <w:r>
        <w:rPr>
          <w:sz w:val="20"/>
        </w:rPr>
        <w:t>violó el derecho contenido en el artículo 26 de la Convención</w:t>
      </w:r>
      <w:r>
        <w:rPr>
          <w:spacing w:val="-8"/>
          <w:sz w:val="20"/>
        </w:rPr>
        <w:t xml:space="preserve"> </w:t>
      </w:r>
      <w:r>
        <w:rPr>
          <w:sz w:val="20"/>
        </w:rPr>
        <w:t>Americana.</w:t>
      </w:r>
    </w:p>
    <w:p w14:paraId="725A91B5" w14:textId="77777777" w:rsidR="00467FCA" w:rsidRDefault="00467FCA">
      <w:pPr>
        <w:pStyle w:val="Textoindependiente"/>
      </w:pPr>
    </w:p>
    <w:p w14:paraId="1794B488" w14:textId="77777777" w:rsidR="00467FCA" w:rsidRDefault="001B68EB">
      <w:pPr>
        <w:pStyle w:val="Ttulo2"/>
        <w:numPr>
          <w:ilvl w:val="1"/>
          <w:numId w:val="40"/>
        </w:numPr>
        <w:tabs>
          <w:tab w:val="left" w:pos="1559"/>
          <w:tab w:val="left" w:pos="1560"/>
        </w:tabs>
      </w:pPr>
      <w:bookmarkStart w:id="353" w:name="B.2__Prohibición_del_trabajo_infantil"/>
      <w:bookmarkStart w:id="354" w:name="_bookmark307"/>
      <w:bookmarkEnd w:id="353"/>
      <w:bookmarkEnd w:id="354"/>
      <w:r>
        <w:t>Prohibición del trabajo</w:t>
      </w:r>
      <w:r>
        <w:rPr>
          <w:spacing w:val="-5"/>
        </w:rPr>
        <w:t xml:space="preserve"> </w:t>
      </w:r>
      <w:r>
        <w:t>infantil</w:t>
      </w:r>
    </w:p>
    <w:p w14:paraId="3EDE8EE9" w14:textId="77777777" w:rsidR="00467FCA" w:rsidRDefault="001B68EB">
      <w:pPr>
        <w:pStyle w:val="Textoindependiente"/>
        <w:spacing w:before="9"/>
        <w:rPr>
          <w:b/>
          <w:i/>
          <w:sz w:val="21"/>
        </w:rPr>
      </w:pPr>
      <w:r>
        <w:pict w14:anchorId="5B845AE8">
          <v:shape id="_x0000_s1149" style="position:absolute;margin-left:1in;margin-top:15.45pt;width:2in;height:.1pt;z-index:-251610112;mso-wrap-distance-left:0;mso-wrap-distance-right:0;mso-position-horizontal-relative:page" coordorigin="1440,309" coordsize="2880,0" path="m1440,309r2880,e" filled="f" strokeweight=".6pt">
            <v:path arrowok="t"/>
            <w10:wrap type="topAndBottom" anchorx="page"/>
          </v:shape>
        </w:pict>
      </w:r>
    </w:p>
    <w:p w14:paraId="7B1D61C0" w14:textId="77777777" w:rsidR="00467FCA" w:rsidRDefault="001B68EB">
      <w:pPr>
        <w:tabs>
          <w:tab w:val="left" w:pos="839"/>
        </w:tabs>
        <w:spacing w:before="74"/>
        <w:ind w:left="120" w:right="111" w:hanging="1"/>
        <w:jc w:val="both"/>
        <w:rPr>
          <w:sz w:val="16"/>
        </w:rPr>
      </w:pPr>
      <w:bookmarkStart w:id="355" w:name="_bookmark308"/>
      <w:bookmarkEnd w:id="355"/>
      <w:r>
        <w:rPr>
          <w:position w:val="6"/>
          <w:sz w:val="10"/>
        </w:rPr>
        <w:t>260</w:t>
      </w:r>
      <w:r>
        <w:rPr>
          <w:position w:val="6"/>
          <w:sz w:val="10"/>
        </w:rPr>
        <w:tab/>
      </w:r>
      <w:r>
        <w:rPr>
          <w:i/>
          <w:sz w:val="16"/>
        </w:rPr>
        <w:t>Cfr. Caso Poblete Vilches y otros Vs. Chile, supra</w:t>
      </w:r>
      <w:r>
        <w:rPr>
          <w:sz w:val="16"/>
        </w:rPr>
        <w:t xml:space="preserve">, párr. 104, y </w:t>
      </w:r>
      <w:r>
        <w:rPr>
          <w:i/>
          <w:sz w:val="16"/>
        </w:rPr>
        <w:t>Caso Asociación Nacional de Cesantes y Jubilados</w:t>
      </w:r>
      <w:r>
        <w:rPr>
          <w:i/>
          <w:spacing w:val="-13"/>
          <w:sz w:val="16"/>
        </w:rPr>
        <w:t xml:space="preserve"> </w:t>
      </w:r>
      <w:r>
        <w:rPr>
          <w:i/>
          <w:sz w:val="16"/>
        </w:rPr>
        <w:t>de</w:t>
      </w:r>
      <w:r>
        <w:rPr>
          <w:i/>
          <w:spacing w:val="-12"/>
          <w:sz w:val="16"/>
        </w:rPr>
        <w:t xml:space="preserve"> </w:t>
      </w:r>
      <w:r>
        <w:rPr>
          <w:i/>
          <w:sz w:val="16"/>
        </w:rPr>
        <w:t>la</w:t>
      </w:r>
      <w:r>
        <w:rPr>
          <w:i/>
          <w:spacing w:val="-13"/>
          <w:sz w:val="16"/>
        </w:rPr>
        <w:t xml:space="preserve"> </w:t>
      </w:r>
      <w:r>
        <w:rPr>
          <w:i/>
          <w:sz w:val="16"/>
        </w:rPr>
        <w:t>Superintendencia</w:t>
      </w:r>
      <w:r>
        <w:rPr>
          <w:i/>
          <w:spacing w:val="-10"/>
          <w:sz w:val="16"/>
        </w:rPr>
        <w:t xml:space="preserve"> </w:t>
      </w:r>
      <w:r>
        <w:rPr>
          <w:i/>
          <w:sz w:val="16"/>
        </w:rPr>
        <w:t>Nacional</w:t>
      </w:r>
      <w:r>
        <w:rPr>
          <w:i/>
          <w:spacing w:val="-13"/>
          <w:sz w:val="16"/>
        </w:rPr>
        <w:t xml:space="preserve"> </w:t>
      </w:r>
      <w:r>
        <w:rPr>
          <w:i/>
          <w:sz w:val="16"/>
        </w:rPr>
        <w:t>de</w:t>
      </w:r>
      <w:r>
        <w:rPr>
          <w:i/>
          <w:spacing w:val="-14"/>
          <w:sz w:val="16"/>
        </w:rPr>
        <w:t xml:space="preserve"> </w:t>
      </w:r>
      <w:r>
        <w:rPr>
          <w:i/>
          <w:sz w:val="16"/>
        </w:rPr>
        <w:t>Administración</w:t>
      </w:r>
      <w:r>
        <w:rPr>
          <w:i/>
          <w:spacing w:val="-13"/>
          <w:sz w:val="16"/>
        </w:rPr>
        <w:t xml:space="preserve"> </w:t>
      </w:r>
      <w:r>
        <w:rPr>
          <w:i/>
          <w:sz w:val="16"/>
        </w:rPr>
        <w:t>Tributaria</w:t>
      </w:r>
      <w:r>
        <w:rPr>
          <w:i/>
          <w:spacing w:val="-13"/>
          <w:sz w:val="16"/>
        </w:rPr>
        <w:t xml:space="preserve"> </w:t>
      </w:r>
      <w:r>
        <w:rPr>
          <w:i/>
          <w:sz w:val="16"/>
        </w:rPr>
        <w:t>(ANCEJUB-SUNAT)</w:t>
      </w:r>
      <w:r>
        <w:rPr>
          <w:i/>
          <w:spacing w:val="-13"/>
          <w:sz w:val="16"/>
        </w:rPr>
        <w:t xml:space="preserve"> </w:t>
      </w:r>
      <w:r>
        <w:rPr>
          <w:i/>
          <w:sz w:val="16"/>
        </w:rPr>
        <w:t>Vs.</w:t>
      </w:r>
      <w:r>
        <w:rPr>
          <w:i/>
          <w:spacing w:val="-11"/>
          <w:sz w:val="16"/>
        </w:rPr>
        <w:t xml:space="preserve"> </w:t>
      </w:r>
      <w:r>
        <w:rPr>
          <w:i/>
          <w:sz w:val="16"/>
        </w:rPr>
        <w:t>Perú,</w:t>
      </w:r>
      <w:r>
        <w:rPr>
          <w:i/>
          <w:spacing w:val="-14"/>
          <w:sz w:val="16"/>
        </w:rPr>
        <w:t xml:space="preserve"> </w:t>
      </w:r>
      <w:r>
        <w:rPr>
          <w:i/>
          <w:sz w:val="16"/>
        </w:rPr>
        <w:t>supra</w:t>
      </w:r>
      <w:r>
        <w:rPr>
          <w:sz w:val="16"/>
        </w:rPr>
        <w:t>,</w:t>
      </w:r>
      <w:r>
        <w:rPr>
          <w:spacing w:val="-13"/>
          <w:sz w:val="16"/>
        </w:rPr>
        <w:t xml:space="preserve"> </w:t>
      </w:r>
      <w:r>
        <w:rPr>
          <w:sz w:val="16"/>
        </w:rPr>
        <w:t>párr.</w:t>
      </w:r>
      <w:r>
        <w:rPr>
          <w:spacing w:val="-15"/>
          <w:sz w:val="16"/>
        </w:rPr>
        <w:t xml:space="preserve"> </w:t>
      </w:r>
      <w:r>
        <w:rPr>
          <w:sz w:val="16"/>
        </w:rPr>
        <w:t>173.</w:t>
      </w:r>
    </w:p>
    <w:p w14:paraId="313BEC2D" w14:textId="77777777" w:rsidR="00467FCA" w:rsidRDefault="001B68EB">
      <w:pPr>
        <w:tabs>
          <w:tab w:val="left" w:pos="839"/>
        </w:tabs>
        <w:ind w:left="120" w:right="111" w:hanging="1"/>
        <w:jc w:val="both"/>
        <w:rPr>
          <w:sz w:val="16"/>
        </w:rPr>
      </w:pPr>
      <w:bookmarkStart w:id="356" w:name="_bookmark309"/>
      <w:bookmarkEnd w:id="356"/>
      <w:r>
        <w:rPr>
          <w:position w:val="6"/>
          <w:sz w:val="10"/>
        </w:rPr>
        <w:t>261</w:t>
      </w:r>
      <w:r>
        <w:rPr>
          <w:position w:val="6"/>
          <w:sz w:val="10"/>
        </w:rPr>
        <w:tab/>
      </w:r>
      <w:r>
        <w:rPr>
          <w:sz w:val="16"/>
        </w:rPr>
        <w:t>De acuerdo con la Organización Internacional del Trabajo (OIT): “(a) el término “accidente del tra</w:t>
      </w:r>
      <w:r>
        <w:rPr>
          <w:sz w:val="16"/>
        </w:rPr>
        <w:t>bajo” designa los accidentes ocurridos en el curso del trabajo o en relación con el trabajo que causen lesiones mortales o no</w:t>
      </w:r>
      <w:r>
        <w:rPr>
          <w:spacing w:val="-10"/>
          <w:sz w:val="16"/>
        </w:rPr>
        <w:t xml:space="preserve"> </w:t>
      </w:r>
      <w:r>
        <w:rPr>
          <w:sz w:val="16"/>
        </w:rPr>
        <w:t>mortales;</w:t>
      </w:r>
      <w:r>
        <w:rPr>
          <w:spacing w:val="-12"/>
          <w:sz w:val="16"/>
        </w:rPr>
        <w:t xml:space="preserve"> </w:t>
      </w:r>
      <w:r>
        <w:rPr>
          <w:sz w:val="16"/>
        </w:rPr>
        <w:t>(b)</w:t>
      </w:r>
      <w:r>
        <w:rPr>
          <w:spacing w:val="-11"/>
          <w:sz w:val="16"/>
        </w:rPr>
        <w:t xml:space="preserve"> </w:t>
      </w:r>
      <w:r>
        <w:rPr>
          <w:sz w:val="16"/>
        </w:rPr>
        <w:t>el</w:t>
      </w:r>
      <w:r>
        <w:rPr>
          <w:spacing w:val="-12"/>
          <w:sz w:val="16"/>
        </w:rPr>
        <w:t xml:space="preserve"> </w:t>
      </w:r>
      <w:r>
        <w:rPr>
          <w:sz w:val="16"/>
        </w:rPr>
        <w:t>término</w:t>
      </w:r>
      <w:r>
        <w:rPr>
          <w:spacing w:val="-11"/>
          <w:sz w:val="16"/>
        </w:rPr>
        <w:t xml:space="preserve"> </w:t>
      </w:r>
      <w:r>
        <w:rPr>
          <w:sz w:val="16"/>
        </w:rPr>
        <w:t>“enfermedad</w:t>
      </w:r>
      <w:r>
        <w:rPr>
          <w:spacing w:val="-10"/>
          <w:sz w:val="16"/>
        </w:rPr>
        <w:t xml:space="preserve"> </w:t>
      </w:r>
      <w:r>
        <w:rPr>
          <w:sz w:val="16"/>
        </w:rPr>
        <w:t>profesional"</w:t>
      </w:r>
      <w:r>
        <w:rPr>
          <w:spacing w:val="-9"/>
          <w:sz w:val="16"/>
        </w:rPr>
        <w:t xml:space="preserve"> </w:t>
      </w:r>
      <w:r>
        <w:rPr>
          <w:sz w:val="16"/>
        </w:rPr>
        <w:t>designa</w:t>
      </w:r>
      <w:r>
        <w:rPr>
          <w:spacing w:val="-11"/>
          <w:sz w:val="16"/>
        </w:rPr>
        <w:t xml:space="preserve"> </w:t>
      </w:r>
      <w:r>
        <w:rPr>
          <w:sz w:val="16"/>
        </w:rPr>
        <w:t>toda</w:t>
      </w:r>
      <w:r>
        <w:rPr>
          <w:spacing w:val="-11"/>
          <w:sz w:val="16"/>
        </w:rPr>
        <w:t xml:space="preserve"> </w:t>
      </w:r>
      <w:r>
        <w:rPr>
          <w:sz w:val="16"/>
        </w:rPr>
        <w:t>enfermedad</w:t>
      </w:r>
      <w:r>
        <w:rPr>
          <w:spacing w:val="-9"/>
          <w:sz w:val="16"/>
        </w:rPr>
        <w:t xml:space="preserve"> </w:t>
      </w:r>
      <w:r>
        <w:rPr>
          <w:sz w:val="16"/>
        </w:rPr>
        <w:t>contraída</w:t>
      </w:r>
      <w:r>
        <w:rPr>
          <w:spacing w:val="-11"/>
          <w:sz w:val="16"/>
        </w:rPr>
        <w:t xml:space="preserve"> </w:t>
      </w:r>
      <w:r>
        <w:rPr>
          <w:sz w:val="16"/>
        </w:rPr>
        <w:t>por</w:t>
      </w:r>
      <w:r>
        <w:rPr>
          <w:spacing w:val="-9"/>
          <w:sz w:val="16"/>
        </w:rPr>
        <w:t xml:space="preserve"> </w:t>
      </w:r>
      <w:r>
        <w:rPr>
          <w:sz w:val="16"/>
        </w:rPr>
        <w:t>la</w:t>
      </w:r>
      <w:r>
        <w:rPr>
          <w:spacing w:val="-11"/>
          <w:sz w:val="16"/>
        </w:rPr>
        <w:t xml:space="preserve"> </w:t>
      </w:r>
      <w:r>
        <w:rPr>
          <w:sz w:val="16"/>
        </w:rPr>
        <w:t>exposición</w:t>
      </w:r>
      <w:r>
        <w:rPr>
          <w:spacing w:val="-11"/>
          <w:sz w:val="16"/>
        </w:rPr>
        <w:t xml:space="preserve"> </w:t>
      </w:r>
      <w:r>
        <w:rPr>
          <w:sz w:val="16"/>
        </w:rPr>
        <w:t>a</w:t>
      </w:r>
      <w:r>
        <w:rPr>
          <w:spacing w:val="-14"/>
          <w:sz w:val="16"/>
        </w:rPr>
        <w:t xml:space="preserve"> </w:t>
      </w:r>
      <w:r>
        <w:rPr>
          <w:sz w:val="16"/>
        </w:rPr>
        <w:t xml:space="preserve">factores de riesgo que resulte de la actividad laboral”. </w:t>
      </w:r>
      <w:r>
        <w:rPr>
          <w:i/>
          <w:sz w:val="16"/>
        </w:rPr>
        <w:t xml:space="preserve">Cfr. </w:t>
      </w:r>
      <w:r>
        <w:rPr>
          <w:sz w:val="16"/>
        </w:rPr>
        <w:t xml:space="preserve">Organización Internacional del Trabajo. </w:t>
      </w:r>
      <w:r>
        <w:rPr>
          <w:i/>
          <w:sz w:val="16"/>
        </w:rPr>
        <w:t>Protocolo 155 relativo al Convenio sobre seguridad y salud de los trabajadores</w:t>
      </w:r>
      <w:r>
        <w:rPr>
          <w:sz w:val="16"/>
        </w:rPr>
        <w:t>, artículo 1. Brasil no ha ratificado este</w:t>
      </w:r>
      <w:r>
        <w:rPr>
          <w:spacing w:val="-20"/>
          <w:sz w:val="16"/>
        </w:rPr>
        <w:t xml:space="preserve"> </w:t>
      </w:r>
      <w:r>
        <w:rPr>
          <w:sz w:val="16"/>
        </w:rPr>
        <w:t>protocolo.</w:t>
      </w:r>
    </w:p>
    <w:p w14:paraId="62E043B3" w14:textId="77777777" w:rsidR="00467FCA" w:rsidRDefault="00467FCA">
      <w:pPr>
        <w:jc w:val="both"/>
        <w:rPr>
          <w:sz w:val="16"/>
        </w:rPr>
        <w:sectPr w:rsidR="00467FCA">
          <w:pgSz w:w="12240" w:h="15840"/>
          <w:pgMar w:top="1360" w:right="1320" w:bottom="1220" w:left="1320" w:header="0" w:footer="1037" w:gutter="0"/>
          <w:cols w:space="720"/>
        </w:sectPr>
      </w:pPr>
    </w:p>
    <w:p w14:paraId="5092238F" w14:textId="77777777" w:rsidR="00467FCA" w:rsidRDefault="001B68EB">
      <w:pPr>
        <w:pStyle w:val="Prrafodelista"/>
        <w:numPr>
          <w:ilvl w:val="0"/>
          <w:numId w:val="50"/>
        </w:numPr>
        <w:tabs>
          <w:tab w:val="left" w:pos="687"/>
        </w:tabs>
        <w:spacing w:before="183"/>
        <w:ind w:left="119" w:right="117" w:firstLine="0"/>
        <w:jc w:val="both"/>
        <w:rPr>
          <w:sz w:val="20"/>
        </w:rPr>
      </w:pPr>
      <w:r>
        <w:rPr>
          <w:sz w:val="20"/>
        </w:rPr>
        <w:t>La Corte encuentra que varias niñas, niños y adolescentes trabajaban en la fábrica de fuegos.</w:t>
      </w:r>
      <w:r>
        <w:rPr>
          <w:spacing w:val="-9"/>
          <w:sz w:val="20"/>
        </w:rPr>
        <w:t xml:space="preserve"> </w:t>
      </w:r>
      <w:r>
        <w:rPr>
          <w:sz w:val="20"/>
        </w:rPr>
        <w:t>Así,</w:t>
      </w:r>
      <w:r>
        <w:rPr>
          <w:spacing w:val="-8"/>
          <w:sz w:val="20"/>
        </w:rPr>
        <w:t xml:space="preserve"> </w:t>
      </w:r>
      <w:r>
        <w:rPr>
          <w:sz w:val="20"/>
        </w:rPr>
        <w:t>de</w:t>
      </w:r>
      <w:r>
        <w:rPr>
          <w:spacing w:val="-9"/>
          <w:sz w:val="20"/>
        </w:rPr>
        <w:t xml:space="preserve"> </w:t>
      </w:r>
      <w:r>
        <w:rPr>
          <w:sz w:val="20"/>
        </w:rPr>
        <w:t>las</w:t>
      </w:r>
      <w:r>
        <w:rPr>
          <w:spacing w:val="-7"/>
          <w:sz w:val="20"/>
        </w:rPr>
        <w:t xml:space="preserve"> </w:t>
      </w:r>
      <w:r>
        <w:rPr>
          <w:sz w:val="20"/>
        </w:rPr>
        <w:t>60</w:t>
      </w:r>
      <w:r>
        <w:rPr>
          <w:spacing w:val="-7"/>
          <w:sz w:val="20"/>
        </w:rPr>
        <w:t xml:space="preserve"> </w:t>
      </w:r>
      <w:r>
        <w:rPr>
          <w:sz w:val="20"/>
        </w:rPr>
        <w:t>personas</w:t>
      </w:r>
      <w:r>
        <w:rPr>
          <w:spacing w:val="-9"/>
          <w:sz w:val="20"/>
        </w:rPr>
        <w:t xml:space="preserve"> </w:t>
      </w:r>
      <w:r>
        <w:rPr>
          <w:sz w:val="20"/>
        </w:rPr>
        <w:t>fallecidas,</w:t>
      </w:r>
      <w:r>
        <w:rPr>
          <w:spacing w:val="-7"/>
          <w:sz w:val="20"/>
        </w:rPr>
        <w:t xml:space="preserve"> </w:t>
      </w:r>
      <w:r>
        <w:rPr>
          <w:sz w:val="20"/>
        </w:rPr>
        <w:t>19</w:t>
      </w:r>
      <w:r>
        <w:rPr>
          <w:spacing w:val="-7"/>
          <w:sz w:val="20"/>
        </w:rPr>
        <w:t xml:space="preserve"> </w:t>
      </w:r>
      <w:r>
        <w:rPr>
          <w:sz w:val="20"/>
        </w:rPr>
        <w:t>eran</w:t>
      </w:r>
      <w:r>
        <w:rPr>
          <w:spacing w:val="-7"/>
          <w:sz w:val="20"/>
        </w:rPr>
        <w:t xml:space="preserve"> </w:t>
      </w:r>
      <w:r>
        <w:rPr>
          <w:sz w:val="20"/>
        </w:rPr>
        <w:t>niñas</w:t>
      </w:r>
      <w:r>
        <w:rPr>
          <w:spacing w:val="-8"/>
          <w:sz w:val="20"/>
        </w:rPr>
        <w:t xml:space="preserve"> </w:t>
      </w:r>
      <w:r>
        <w:rPr>
          <w:sz w:val="20"/>
        </w:rPr>
        <w:t>y</w:t>
      </w:r>
      <w:r>
        <w:rPr>
          <w:spacing w:val="-7"/>
          <w:sz w:val="20"/>
        </w:rPr>
        <w:t xml:space="preserve"> </w:t>
      </w:r>
      <w:r>
        <w:rPr>
          <w:sz w:val="20"/>
        </w:rPr>
        <w:t>uno</w:t>
      </w:r>
      <w:r>
        <w:rPr>
          <w:spacing w:val="-9"/>
          <w:sz w:val="20"/>
        </w:rPr>
        <w:t xml:space="preserve"> </w:t>
      </w:r>
      <w:r>
        <w:rPr>
          <w:sz w:val="20"/>
        </w:rPr>
        <w:t>era</w:t>
      </w:r>
      <w:r>
        <w:rPr>
          <w:spacing w:val="-7"/>
          <w:sz w:val="20"/>
        </w:rPr>
        <w:t xml:space="preserve"> </w:t>
      </w:r>
      <w:r>
        <w:rPr>
          <w:sz w:val="20"/>
        </w:rPr>
        <w:t>un</w:t>
      </w:r>
      <w:r>
        <w:rPr>
          <w:spacing w:val="-7"/>
          <w:sz w:val="20"/>
        </w:rPr>
        <w:t xml:space="preserve"> </w:t>
      </w:r>
      <w:r>
        <w:rPr>
          <w:sz w:val="20"/>
        </w:rPr>
        <w:t>niño,</w:t>
      </w:r>
      <w:r>
        <w:rPr>
          <w:spacing w:val="-7"/>
          <w:sz w:val="20"/>
        </w:rPr>
        <w:t xml:space="preserve"> </w:t>
      </w:r>
      <w:r>
        <w:rPr>
          <w:sz w:val="20"/>
        </w:rPr>
        <w:t>con</w:t>
      </w:r>
      <w:r>
        <w:rPr>
          <w:spacing w:val="-6"/>
          <w:sz w:val="20"/>
        </w:rPr>
        <w:t xml:space="preserve"> </w:t>
      </w:r>
      <w:r>
        <w:rPr>
          <w:sz w:val="20"/>
        </w:rPr>
        <w:t>edades</w:t>
      </w:r>
      <w:r>
        <w:rPr>
          <w:spacing w:val="-9"/>
          <w:sz w:val="20"/>
        </w:rPr>
        <w:t xml:space="preserve"> </w:t>
      </w:r>
      <w:r>
        <w:rPr>
          <w:sz w:val="20"/>
        </w:rPr>
        <w:t>desde los 11 años. Por su parte, dentro de los sobrevivientes había una niña y dos</w:t>
      </w:r>
      <w:r>
        <w:rPr>
          <w:sz w:val="20"/>
        </w:rPr>
        <w:t xml:space="preserve"> niños de entre 15 y 17</w:t>
      </w:r>
      <w:r>
        <w:rPr>
          <w:spacing w:val="-5"/>
          <w:sz w:val="20"/>
        </w:rPr>
        <w:t xml:space="preserve"> </w:t>
      </w:r>
      <w:r>
        <w:rPr>
          <w:sz w:val="20"/>
        </w:rPr>
        <w:t>años.</w:t>
      </w:r>
    </w:p>
    <w:p w14:paraId="116B169E" w14:textId="77777777" w:rsidR="00467FCA" w:rsidRDefault="00467FCA">
      <w:pPr>
        <w:pStyle w:val="Textoindependiente"/>
        <w:spacing w:before="1"/>
      </w:pPr>
    </w:p>
    <w:p w14:paraId="544F73EE" w14:textId="77777777" w:rsidR="00467FCA" w:rsidRDefault="001B68EB">
      <w:pPr>
        <w:pStyle w:val="Prrafodelista"/>
        <w:numPr>
          <w:ilvl w:val="0"/>
          <w:numId w:val="50"/>
        </w:numPr>
        <w:tabs>
          <w:tab w:val="left" w:pos="687"/>
        </w:tabs>
        <w:ind w:left="119" w:right="117" w:firstLine="0"/>
        <w:jc w:val="both"/>
        <w:rPr>
          <w:sz w:val="20"/>
        </w:rPr>
      </w:pPr>
      <w:r>
        <w:rPr>
          <w:sz w:val="20"/>
        </w:rPr>
        <w:t>Al respecto, la Convención Americana dispone, en su artículo 19, que las niñas y los niños tienen derecho a medidas de protección especiales. De acuerdo con la jurisprudencia de este Tribunal, este mandato impacta la interpre</w:t>
      </w:r>
      <w:r>
        <w:rPr>
          <w:sz w:val="20"/>
        </w:rPr>
        <w:t>tación de los demás derechos reconocidos en la Convención</w:t>
      </w:r>
      <w:hyperlink w:anchor="_bookmark310" w:history="1">
        <w:r>
          <w:rPr>
            <w:position w:val="7"/>
            <w:sz w:val="13"/>
          </w:rPr>
          <w:t>262</w:t>
        </w:r>
      </w:hyperlink>
      <w:r>
        <w:rPr>
          <w:sz w:val="20"/>
        </w:rPr>
        <w:t>, incluido el derecho al trabajo en los términos definidos en el apartado anterior. Además, esta Corte ha entendido que el artículo 19 de la Convención establece</w:t>
      </w:r>
      <w:r>
        <w:rPr>
          <w:spacing w:val="-42"/>
          <w:sz w:val="20"/>
        </w:rPr>
        <w:t xml:space="preserve"> </w:t>
      </w:r>
      <w:r>
        <w:rPr>
          <w:sz w:val="20"/>
        </w:rPr>
        <w:t>un</w:t>
      </w:r>
      <w:r>
        <w:rPr>
          <w:sz w:val="20"/>
        </w:rPr>
        <w:t>a obligación a cargo del Estado de respetar y asegurar los derechos reconocidos a los niños en otros instrumentos internacionales, de modo que, al momento de definir el contenido y alcance de las obligaciones del Estado en relación con los derechos de niña</w:t>
      </w:r>
      <w:r>
        <w:rPr>
          <w:sz w:val="20"/>
        </w:rPr>
        <w:t xml:space="preserve">s y niños, es necesario acudir al </w:t>
      </w:r>
      <w:r>
        <w:rPr>
          <w:i/>
          <w:sz w:val="20"/>
        </w:rPr>
        <w:t xml:space="preserve">corpus iuris </w:t>
      </w:r>
      <w:r>
        <w:rPr>
          <w:sz w:val="20"/>
        </w:rPr>
        <w:t>internacional</w:t>
      </w:r>
      <w:hyperlink w:anchor="_bookmark311" w:history="1">
        <w:r>
          <w:rPr>
            <w:position w:val="7"/>
            <w:sz w:val="13"/>
          </w:rPr>
          <w:t>263</w:t>
        </w:r>
      </w:hyperlink>
      <w:r>
        <w:rPr>
          <w:sz w:val="20"/>
        </w:rPr>
        <w:t>, en particular a la Convención sobre los Derechos del Niño (en adelante</w:t>
      </w:r>
      <w:r>
        <w:rPr>
          <w:spacing w:val="-2"/>
          <w:sz w:val="20"/>
        </w:rPr>
        <w:t xml:space="preserve"> </w:t>
      </w:r>
      <w:r>
        <w:rPr>
          <w:sz w:val="20"/>
        </w:rPr>
        <w:t>“CDN”)</w:t>
      </w:r>
      <w:hyperlink w:anchor="_bookmark312" w:history="1">
        <w:r>
          <w:rPr>
            <w:position w:val="7"/>
            <w:sz w:val="13"/>
          </w:rPr>
          <w:t>264</w:t>
        </w:r>
      </w:hyperlink>
      <w:r>
        <w:rPr>
          <w:sz w:val="20"/>
        </w:rPr>
        <w:t>.</w:t>
      </w:r>
    </w:p>
    <w:p w14:paraId="071F44B6" w14:textId="77777777" w:rsidR="00467FCA" w:rsidRDefault="00467FCA">
      <w:pPr>
        <w:pStyle w:val="Textoindependiente"/>
      </w:pPr>
    </w:p>
    <w:p w14:paraId="559BA606" w14:textId="77777777" w:rsidR="00467FCA" w:rsidRDefault="001B68EB">
      <w:pPr>
        <w:pStyle w:val="Prrafodelista"/>
        <w:numPr>
          <w:ilvl w:val="0"/>
          <w:numId w:val="50"/>
        </w:numPr>
        <w:tabs>
          <w:tab w:val="left" w:pos="687"/>
        </w:tabs>
        <w:ind w:left="119" w:right="117" w:firstLine="0"/>
        <w:jc w:val="both"/>
        <w:rPr>
          <w:sz w:val="13"/>
        </w:rPr>
      </w:pPr>
      <w:r>
        <w:rPr>
          <w:sz w:val="20"/>
        </w:rPr>
        <w:t>La CDN establece, en su artículo 32, el derecho de niñas y niños a ser protegidos de la explotación</w:t>
      </w:r>
      <w:r>
        <w:rPr>
          <w:spacing w:val="-13"/>
          <w:sz w:val="20"/>
        </w:rPr>
        <w:t xml:space="preserve"> </w:t>
      </w:r>
      <w:r>
        <w:rPr>
          <w:sz w:val="20"/>
        </w:rPr>
        <w:t>económica</w:t>
      </w:r>
      <w:r>
        <w:rPr>
          <w:spacing w:val="-16"/>
          <w:sz w:val="20"/>
        </w:rPr>
        <w:t xml:space="preserve"> </w:t>
      </w:r>
      <w:r>
        <w:rPr>
          <w:sz w:val="20"/>
        </w:rPr>
        <w:t>y</w:t>
      </w:r>
      <w:r>
        <w:rPr>
          <w:spacing w:val="-14"/>
          <w:sz w:val="20"/>
        </w:rPr>
        <w:t xml:space="preserve"> </w:t>
      </w:r>
      <w:r>
        <w:rPr>
          <w:sz w:val="20"/>
        </w:rPr>
        <w:t>de</w:t>
      </w:r>
      <w:r>
        <w:rPr>
          <w:spacing w:val="-17"/>
          <w:sz w:val="20"/>
        </w:rPr>
        <w:t xml:space="preserve"> </w:t>
      </w:r>
      <w:r>
        <w:rPr>
          <w:sz w:val="20"/>
        </w:rPr>
        <w:t>trabajos</w:t>
      </w:r>
      <w:r>
        <w:rPr>
          <w:spacing w:val="-14"/>
          <w:sz w:val="20"/>
        </w:rPr>
        <w:t xml:space="preserve"> </w:t>
      </w:r>
      <w:r>
        <w:rPr>
          <w:sz w:val="20"/>
        </w:rPr>
        <w:t>peligrosos</w:t>
      </w:r>
      <w:r>
        <w:rPr>
          <w:spacing w:val="-16"/>
          <w:sz w:val="20"/>
        </w:rPr>
        <w:t xml:space="preserve"> </w:t>
      </w:r>
      <w:r>
        <w:rPr>
          <w:sz w:val="20"/>
        </w:rPr>
        <w:t>que</w:t>
      </w:r>
      <w:r>
        <w:rPr>
          <w:spacing w:val="-17"/>
          <w:sz w:val="20"/>
        </w:rPr>
        <w:t xml:space="preserve"> </w:t>
      </w:r>
      <w:r>
        <w:rPr>
          <w:sz w:val="20"/>
        </w:rPr>
        <w:t>puedan</w:t>
      </w:r>
      <w:r>
        <w:rPr>
          <w:spacing w:val="-13"/>
          <w:sz w:val="20"/>
        </w:rPr>
        <w:t xml:space="preserve"> </w:t>
      </w:r>
      <w:r>
        <w:rPr>
          <w:sz w:val="20"/>
        </w:rPr>
        <w:t>entorpecer</w:t>
      </w:r>
      <w:r>
        <w:rPr>
          <w:spacing w:val="-17"/>
          <w:sz w:val="20"/>
        </w:rPr>
        <w:t xml:space="preserve"> </w:t>
      </w:r>
      <w:r>
        <w:rPr>
          <w:sz w:val="20"/>
        </w:rPr>
        <w:t>su</w:t>
      </w:r>
      <w:r>
        <w:rPr>
          <w:spacing w:val="-14"/>
          <w:sz w:val="20"/>
        </w:rPr>
        <w:t xml:space="preserve"> </w:t>
      </w:r>
      <w:r>
        <w:rPr>
          <w:sz w:val="20"/>
        </w:rPr>
        <w:t>educación</w:t>
      </w:r>
      <w:r>
        <w:rPr>
          <w:spacing w:val="-15"/>
          <w:sz w:val="20"/>
        </w:rPr>
        <w:t xml:space="preserve"> </w:t>
      </w:r>
      <w:r>
        <w:rPr>
          <w:sz w:val="20"/>
        </w:rPr>
        <w:t>o</w:t>
      </w:r>
      <w:r>
        <w:rPr>
          <w:spacing w:val="-15"/>
          <w:sz w:val="20"/>
        </w:rPr>
        <w:t xml:space="preserve"> </w:t>
      </w:r>
      <w:r>
        <w:rPr>
          <w:sz w:val="20"/>
        </w:rPr>
        <w:t>afectar su salud o desarrollo</w:t>
      </w:r>
      <w:hyperlink w:anchor="_bookmark313" w:history="1">
        <w:r>
          <w:rPr>
            <w:position w:val="7"/>
            <w:sz w:val="13"/>
          </w:rPr>
          <w:t>265</w:t>
        </w:r>
      </w:hyperlink>
      <w:r>
        <w:rPr>
          <w:sz w:val="20"/>
        </w:rPr>
        <w:t>. Esta obligación co</w:t>
      </w:r>
      <w:r>
        <w:rPr>
          <w:sz w:val="20"/>
        </w:rPr>
        <w:t>incide con lo establecido en el texto de la Constitución</w:t>
      </w:r>
      <w:r>
        <w:rPr>
          <w:spacing w:val="-9"/>
          <w:sz w:val="20"/>
        </w:rPr>
        <w:t xml:space="preserve"> </w:t>
      </w:r>
      <w:r>
        <w:rPr>
          <w:sz w:val="20"/>
        </w:rPr>
        <w:t>de</w:t>
      </w:r>
      <w:r>
        <w:rPr>
          <w:spacing w:val="-9"/>
          <w:sz w:val="20"/>
        </w:rPr>
        <w:t xml:space="preserve"> </w:t>
      </w:r>
      <w:r>
        <w:rPr>
          <w:sz w:val="20"/>
        </w:rPr>
        <w:t>Brasil</w:t>
      </w:r>
      <w:r>
        <w:rPr>
          <w:spacing w:val="-9"/>
          <w:sz w:val="20"/>
        </w:rPr>
        <w:t xml:space="preserve"> </w:t>
      </w:r>
      <w:r>
        <w:rPr>
          <w:sz w:val="20"/>
        </w:rPr>
        <w:t>que</w:t>
      </w:r>
      <w:r>
        <w:rPr>
          <w:spacing w:val="-11"/>
          <w:sz w:val="20"/>
        </w:rPr>
        <w:t xml:space="preserve"> </w:t>
      </w:r>
      <w:r>
        <w:rPr>
          <w:sz w:val="20"/>
        </w:rPr>
        <w:t>prohíbe,</w:t>
      </w:r>
      <w:r>
        <w:rPr>
          <w:spacing w:val="-7"/>
          <w:sz w:val="20"/>
        </w:rPr>
        <w:t xml:space="preserve"> </w:t>
      </w:r>
      <w:r>
        <w:rPr>
          <w:sz w:val="20"/>
        </w:rPr>
        <w:t>en</w:t>
      </w:r>
      <w:r>
        <w:rPr>
          <w:spacing w:val="-7"/>
          <w:sz w:val="20"/>
        </w:rPr>
        <w:t xml:space="preserve"> </w:t>
      </w:r>
      <w:r>
        <w:rPr>
          <w:sz w:val="20"/>
        </w:rPr>
        <w:t>su</w:t>
      </w:r>
      <w:r>
        <w:rPr>
          <w:spacing w:val="-8"/>
          <w:sz w:val="20"/>
        </w:rPr>
        <w:t xml:space="preserve"> </w:t>
      </w:r>
      <w:r>
        <w:rPr>
          <w:sz w:val="20"/>
        </w:rPr>
        <w:t>artículo</w:t>
      </w:r>
      <w:r>
        <w:rPr>
          <w:spacing w:val="-11"/>
          <w:sz w:val="20"/>
        </w:rPr>
        <w:t xml:space="preserve"> </w:t>
      </w:r>
      <w:r>
        <w:rPr>
          <w:sz w:val="20"/>
        </w:rPr>
        <w:t>7,</w:t>
      </w:r>
      <w:r>
        <w:rPr>
          <w:spacing w:val="-8"/>
          <w:sz w:val="20"/>
        </w:rPr>
        <w:t xml:space="preserve"> </w:t>
      </w:r>
      <w:r>
        <w:rPr>
          <w:sz w:val="20"/>
        </w:rPr>
        <w:t>el</w:t>
      </w:r>
      <w:r>
        <w:rPr>
          <w:spacing w:val="-9"/>
          <w:sz w:val="20"/>
        </w:rPr>
        <w:t xml:space="preserve"> </w:t>
      </w:r>
      <w:r>
        <w:rPr>
          <w:sz w:val="20"/>
        </w:rPr>
        <w:t>trabajo</w:t>
      </w:r>
      <w:r>
        <w:rPr>
          <w:spacing w:val="-9"/>
          <w:sz w:val="20"/>
        </w:rPr>
        <w:t xml:space="preserve"> </w:t>
      </w:r>
      <w:r>
        <w:rPr>
          <w:sz w:val="20"/>
        </w:rPr>
        <w:t>nocturno,</w:t>
      </w:r>
      <w:r>
        <w:rPr>
          <w:spacing w:val="-7"/>
          <w:sz w:val="20"/>
        </w:rPr>
        <w:t xml:space="preserve"> </w:t>
      </w:r>
      <w:r>
        <w:rPr>
          <w:sz w:val="20"/>
        </w:rPr>
        <w:t>peligroso</w:t>
      </w:r>
      <w:r>
        <w:rPr>
          <w:spacing w:val="-9"/>
          <w:sz w:val="20"/>
        </w:rPr>
        <w:t xml:space="preserve"> </w:t>
      </w:r>
      <w:r>
        <w:rPr>
          <w:sz w:val="20"/>
        </w:rPr>
        <w:t>o</w:t>
      </w:r>
      <w:r>
        <w:rPr>
          <w:spacing w:val="-8"/>
          <w:sz w:val="20"/>
        </w:rPr>
        <w:t xml:space="preserve"> </w:t>
      </w:r>
      <w:r>
        <w:rPr>
          <w:sz w:val="20"/>
        </w:rPr>
        <w:t>insalubre de</w:t>
      </w:r>
      <w:r>
        <w:rPr>
          <w:spacing w:val="-19"/>
          <w:sz w:val="20"/>
        </w:rPr>
        <w:t xml:space="preserve"> </w:t>
      </w:r>
      <w:r>
        <w:rPr>
          <w:sz w:val="20"/>
        </w:rPr>
        <w:t>los</w:t>
      </w:r>
      <w:r>
        <w:rPr>
          <w:spacing w:val="-16"/>
          <w:sz w:val="20"/>
        </w:rPr>
        <w:t xml:space="preserve"> </w:t>
      </w:r>
      <w:r>
        <w:rPr>
          <w:sz w:val="20"/>
        </w:rPr>
        <w:t>menores</w:t>
      </w:r>
      <w:r>
        <w:rPr>
          <w:spacing w:val="-16"/>
          <w:sz w:val="20"/>
        </w:rPr>
        <w:t xml:space="preserve"> </w:t>
      </w:r>
      <w:r>
        <w:rPr>
          <w:sz w:val="20"/>
        </w:rPr>
        <w:t>de</w:t>
      </w:r>
      <w:r>
        <w:rPr>
          <w:spacing w:val="-16"/>
          <w:sz w:val="20"/>
        </w:rPr>
        <w:t xml:space="preserve"> </w:t>
      </w:r>
      <w:r>
        <w:rPr>
          <w:sz w:val="20"/>
        </w:rPr>
        <w:t>18</w:t>
      </w:r>
      <w:r>
        <w:rPr>
          <w:spacing w:val="-15"/>
          <w:sz w:val="20"/>
        </w:rPr>
        <w:t xml:space="preserve"> </w:t>
      </w:r>
      <w:r>
        <w:rPr>
          <w:sz w:val="20"/>
        </w:rPr>
        <w:t>años</w:t>
      </w:r>
      <w:r>
        <w:rPr>
          <w:spacing w:val="-16"/>
          <w:sz w:val="20"/>
        </w:rPr>
        <w:t xml:space="preserve"> </w:t>
      </w:r>
      <w:r>
        <w:rPr>
          <w:sz w:val="20"/>
        </w:rPr>
        <w:t>y</w:t>
      </w:r>
      <w:r>
        <w:rPr>
          <w:spacing w:val="-15"/>
          <w:sz w:val="20"/>
        </w:rPr>
        <w:t xml:space="preserve"> </w:t>
      </w:r>
      <w:r>
        <w:rPr>
          <w:sz w:val="20"/>
        </w:rPr>
        <w:t>el</w:t>
      </w:r>
      <w:r>
        <w:rPr>
          <w:spacing w:val="-15"/>
          <w:sz w:val="20"/>
        </w:rPr>
        <w:t xml:space="preserve"> </w:t>
      </w:r>
      <w:r>
        <w:rPr>
          <w:sz w:val="20"/>
        </w:rPr>
        <w:t>trabajo</w:t>
      </w:r>
      <w:r>
        <w:rPr>
          <w:spacing w:val="-16"/>
          <w:sz w:val="20"/>
        </w:rPr>
        <w:t xml:space="preserve"> </w:t>
      </w:r>
      <w:r>
        <w:rPr>
          <w:sz w:val="20"/>
        </w:rPr>
        <w:t>de</w:t>
      </w:r>
      <w:r>
        <w:rPr>
          <w:spacing w:val="-16"/>
          <w:sz w:val="20"/>
        </w:rPr>
        <w:t xml:space="preserve"> </w:t>
      </w:r>
      <w:r>
        <w:rPr>
          <w:sz w:val="20"/>
        </w:rPr>
        <w:t>menores</w:t>
      </w:r>
      <w:r>
        <w:rPr>
          <w:spacing w:val="-16"/>
          <w:sz w:val="20"/>
        </w:rPr>
        <w:t xml:space="preserve"> </w:t>
      </w:r>
      <w:r>
        <w:rPr>
          <w:sz w:val="20"/>
        </w:rPr>
        <w:t>de</w:t>
      </w:r>
      <w:r>
        <w:rPr>
          <w:spacing w:val="-16"/>
          <w:sz w:val="20"/>
        </w:rPr>
        <w:t xml:space="preserve"> </w:t>
      </w:r>
      <w:r>
        <w:rPr>
          <w:sz w:val="20"/>
        </w:rPr>
        <w:t>16</w:t>
      </w:r>
      <w:r>
        <w:rPr>
          <w:spacing w:val="-17"/>
          <w:sz w:val="20"/>
        </w:rPr>
        <w:t xml:space="preserve"> </w:t>
      </w:r>
      <w:r>
        <w:rPr>
          <w:sz w:val="20"/>
        </w:rPr>
        <w:t>años,</w:t>
      </w:r>
      <w:r>
        <w:rPr>
          <w:spacing w:val="-16"/>
          <w:sz w:val="20"/>
        </w:rPr>
        <w:t xml:space="preserve"> </w:t>
      </w:r>
      <w:r>
        <w:rPr>
          <w:sz w:val="20"/>
        </w:rPr>
        <w:t>salvo</w:t>
      </w:r>
      <w:r>
        <w:rPr>
          <w:spacing w:val="-14"/>
          <w:sz w:val="20"/>
        </w:rPr>
        <w:t xml:space="preserve"> </w:t>
      </w:r>
      <w:r>
        <w:rPr>
          <w:sz w:val="20"/>
        </w:rPr>
        <w:t>en</w:t>
      </w:r>
      <w:r>
        <w:rPr>
          <w:spacing w:val="-14"/>
          <w:sz w:val="20"/>
        </w:rPr>
        <w:t xml:space="preserve"> </w:t>
      </w:r>
      <w:r>
        <w:rPr>
          <w:sz w:val="20"/>
        </w:rPr>
        <w:t>condición</w:t>
      </w:r>
      <w:r>
        <w:rPr>
          <w:spacing w:val="-14"/>
          <w:sz w:val="20"/>
        </w:rPr>
        <w:t xml:space="preserve"> </w:t>
      </w:r>
      <w:r>
        <w:rPr>
          <w:sz w:val="20"/>
        </w:rPr>
        <w:t>de</w:t>
      </w:r>
      <w:r>
        <w:rPr>
          <w:spacing w:val="-16"/>
          <w:sz w:val="20"/>
        </w:rPr>
        <w:t xml:space="preserve"> </w:t>
      </w:r>
      <w:r>
        <w:rPr>
          <w:sz w:val="20"/>
        </w:rPr>
        <w:t>aprendiz (</w:t>
      </w:r>
      <w:r>
        <w:rPr>
          <w:i/>
          <w:sz w:val="20"/>
        </w:rPr>
        <w:t xml:space="preserve">supra </w:t>
      </w:r>
      <w:r>
        <w:rPr>
          <w:sz w:val="20"/>
        </w:rPr>
        <w:t>párr. 102). En el mismo sentido, la CLT prohíbe el trabajo nocturno, peligroso o insalubre</w:t>
      </w:r>
      <w:r>
        <w:rPr>
          <w:spacing w:val="-21"/>
          <w:sz w:val="20"/>
        </w:rPr>
        <w:t xml:space="preserve"> </w:t>
      </w:r>
      <w:r>
        <w:rPr>
          <w:sz w:val="20"/>
        </w:rPr>
        <w:t>a</w:t>
      </w:r>
      <w:r>
        <w:rPr>
          <w:spacing w:val="-19"/>
          <w:sz w:val="20"/>
        </w:rPr>
        <w:t xml:space="preserve"> </w:t>
      </w:r>
      <w:r>
        <w:rPr>
          <w:sz w:val="20"/>
        </w:rPr>
        <w:t>los</w:t>
      </w:r>
      <w:r>
        <w:rPr>
          <w:spacing w:val="-20"/>
          <w:sz w:val="20"/>
        </w:rPr>
        <w:t xml:space="preserve"> </w:t>
      </w:r>
      <w:r>
        <w:rPr>
          <w:sz w:val="20"/>
        </w:rPr>
        <w:t>menores</w:t>
      </w:r>
      <w:r>
        <w:rPr>
          <w:spacing w:val="-18"/>
          <w:sz w:val="20"/>
        </w:rPr>
        <w:t xml:space="preserve"> </w:t>
      </w:r>
      <w:r>
        <w:rPr>
          <w:sz w:val="20"/>
        </w:rPr>
        <w:t>de</w:t>
      </w:r>
      <w:r>
        <w:rPr>
          <w:spacing w:val="-20"/>
          <w:sz w:val="20"/>
        </w:rPr>
        <w:t xml:space="preserve"> </w:t>
      </w:r>
      <w:r>
        <w:rPr>
          <w:sz w:val="20"/>
        </w:rPr>
        <w:t>18</w:t>
      </w:r>
      <w:r>
        <w:rPr>
          <w:spacing w:val="-19"/>
          <w:sz w:val="20"/>
        </w:rPr>
        <w:t xml:space="preserve"> </w:t>
      </w:r>
      <w:r>
        <w:rPr>
          <w:sz w:val="20"/>
        </w:rPr>
        <w:t>años</w:t>
      </w:r>
      <w:r>
        <w:rPr>
          <w:spacing w:val="-20"/>
          <w:sz w:val="20"/>
        </w:rPr>
        <w:t xml:space="preserve"> </w:t>
      </w:r>
      <w:r>
        <w:rPr>
          <w:sz w:val="20"/>
        </w:rPr>
        <w:t>y</w:t>
      </w:r>
      <w:r>
        <w:rPr>
          <w:spacing w:val="-18"/>
          <w:sz w:val="20"/>
        </w:rPr>
        <w:t xml:space="preserve"> </w:t>
      </w:r>
      <w:r>
        <w:rPr>
          <w:sz w:val="20"/>
        </w:rPr>
        <w:t>cualquier</w:t>
      </w:r>
      <w:r>
        <w:rPr>
          <w:spacing w:val="-20"/>
          <w:sz w:val="20"/>
        </w:rPr>
        <w:t xml:space="preserve"> </w:t>
      </w:r>
      <w:r>
        <w:rPr>
          <w:sz w:val="20"/>
        </w:rPr>
        <w:t>trabajo</w:t>
      </w:r>
      <w:r>
        <w:rPr>
          <w:spacing w:val="-20"/>
          <w:sz w:val="20"/>
        </w:rPr>
        <w:t xml:space="preserve"> </w:t>
      </w:r>
      <w:r>
        <w:rPr>
          <w:sz w:val="20"/>
        </w:rPr>
        <w:t>a</w:t>
      </w:r>
      <w:r>
        <w:rPr>
          <w:spacing w:val="-20"/>
          <w:sz w:val="20"/>
        </w:rPr>
        <w:t xml:space="preserve"> </w:t>
      </w:r>
      <w:r>
        <w:rPr>
          <w:sz w:val="20"/>
        </w:rPr>
        <w:t>los</w:t>
      </w:r>
      <w:r>
        <w:rPr>
          <w:spacing w:val="-20"/>
          <w:sz w:val="20"/>
        </w:rPr>
        <w:t xml:space="preserve"> </w:t>
      </w:r>
      <w:r>
        <w:rPr>
          <w:sz w:val="20"/>
        </w:rPr>
        <w:t>menores</w:t>
      </w:r>
      <w:r>
        <w:rPr>
          <w:spacing w:val="-20"/>
          <w:sz w:val="20"/>
        </w:rPr>
        <w:t xml:space="preserve"> </w:t>
      </w:r>
      <w:r>
        <w:rPr>
          <w:sz w:val="20"/>
        </w:rPr>
        <w:t>de</w:t>
      </w:r>
      <w:r>
        <w:rPr>
          <w:spacing w:val="-18"/>
          <w:sz w:val="20"/>
        </w:rPr>
        <w:t xml:space="preserve"> </w:t>
      </w:r>
      <w:r>
        <w:rPr>
          <w:sz w:val="20"/>
        </w:rPr>
        <w:t>16,</w:t>
      </w:r>
      <w:r>
        <w:rPr>
          <w:spacing w:val="-20"/>
          <w:sz w:val="20"/>
        </w:rPr>
        <w:t xml:space="preserve"> </w:t>
      </w:r>
      <w:r>
        <w:rPr>
          <w:sz w:val="20"/>
        </w:rPr>
        <w:t>salvo</w:t>
      </w:r>
      <w:r>
        <w:rPr>
          <w:spacing w:val="-20"/>
          <w:sz w:val="20"/>
        </w:rPr>
        <w:t xml:space="preserve"> </w:t>
      </w:r>
      <w:r>
        <w:rPr>
          <w:sz w:val="20"/>
        </w:rPr>
        <w:t>en</w:t>
      </w:r>
      <w:r>
        <w:rPr>
          <w:spacing w:val="-15"/>
          <w:sz w:val="20"/>
        </w:rPr>
        <w:t xml:space="preserve"> </w:t>
      </w:r>
      <w:r>
        <w:rPr>
          <w:sz w:val="20"/>
        </w:rPr>
        <w:t>condición de</w:t>
      </w:r>
      <w:r>
        <w:rPr>
          <w:spacing w:val="-9"/>
          <w:sz w:val="20"/>
        </w:rPr>
        <w:t xml:space="preserve"> </w:t>
      </w:r>
      <w:r>
        <w:rPr>
          <w:sz w:val="20"/>
        </w:rPr>
        <w:t>aprendiz,</w:t>
      </w:r>
      <w:r>
        <w:rPr>
          <w:spacing w:val="-5"/>
          <w:sz w:val="20"/>
        </w:rPr>
        <w:t xml:space="preserve"> </w:t>
      </w:r>
      <w:r>
        <w:rPr>
          <w:sz w:val="20"/>
        </w:rPr>
        <w:t>entre</w:t>
      </w:r>
      <w:r>
        <w:rPr>
          <w:spacing w:val="-8"/>
          <w:sz w:val="20"/>
        </w:rPr>
        <w:t xml:space="preserve"> </w:t>
      </w:r>
      <w:r>
        <w:rPr>
          <w:sz w:val="20"/>
        </w:rPr>
        <w:t>14</w:t>
      </w:r>
      <w:r>
        <w:rPr>
          <w:spacing w:val="-4"/>
          <w:sz w:val="20"/>
        </w:rPr>
        <w:t xml:space="preserve"> </w:t>
      </w:r>
      <w:r>
        <w:rPr>
          <w:sz w:val="20"/>
        </w:rPr>
        <w:t>y</w:t>
      </w:r>
      <w:r>
        <w:rPr>
          <w:spacing w:val="-5"/>
          <w:sz w:val="20"/>
        </w:rPr>
        <w:t xml:space="preserve"> </w:t>
      </w:r>
      <w:r>
        <w:rPr>
          <w:sz w:val="20"/>
        </w:rPr>
        <w:t>16</w:t>
      </w:r>
      <w:r>
        <w:rPr>
          <w:spacing w:val="-7"/>
          <w:sz w:val="20"/>
        </w:rPr>
        <w:t xml:space="preserve"> </w:t>
      </w:r>
      <w:r>
        <w:rPr>
          <w:sz w:val="20"/>
        </w:rPr>
        <w:t>años</w:t>
      </w:r>
      <w:hyperlink w:anchor="_bookmark314" w:history="1">
        <w:r>
          <w:rPr>
            <w:position w:val="7"/>
            <w:sz w:val="13"/>
          </w:rPr>
          <w:t>266</w:t>
        </w:r>
      </w:hyperlink>
      <w:r>
        <w:rPr>
          <w:sz w:val="20"/>
        </w:rPr>
        <w:t>.</w:t>
      </w:r>
      <w:r>
        <w:rPr>
          <w:spacing w:val="-8"/>
          <w:sz w:val="20"/>
        </w:rPr>
        <w:t xml:space="preserve"> </w:t>
      </w:r>
      <w:r>
        <w:rPr>
          <w:sz w:val="20"/>
        </w:rPr>
        <w:t>Finalmente,</w:t>
      </w:r>
      <w:r>
        <w:rPr>
          <w:spacing w:val="-8"/>
          <w:sz w:val="20"/>
        </w:rPr>
        <w:t xml:space="preserve"> </w:t>
      </w:r>
      <w:r>
        <w:rPr>
          <w:sz w:val="20"/>
        </w:rPr>
        <w:t>además</w:t>
      </w:r>
      <w:r>
        <w:rPr>
          <w:spacing w:val="-5"/>
          <w:sz w:val="20"/>
        </w:rPr>
        <w:t xml:space="preserve"> </w:t>
      </w:r>
      <w:r>
        <w:rPr>
          <w:sz w:val="20"/>
        </w:rPr>
        <w:t>de</w:t>
      </w:r>
      <w:r>
        <w:rPr>
          <w:spacing w:val="-8"/>
          <w:sz w:val="20"/>
        </w:rPr>
        <w:t xml:space="preserve"> </w:t>
      </w:r>
      <w:r>
        <w:rPr>
          <w:sz w:val="20"/>
        </w:rPr>
        <w:t>las</w:t>
      </w:r>
      <w:r>
        <w:rPr>
          <w:spacing w:val="-8"/>
          <w:sz w:val="20"/>
        </w:rPr>
        <w:t xml:space="preserve"> </w:t>
      </w:r>
      <w:r>
        <w:rPr>
          <w:sz w:val="20"/>
        </w:rPr>
        <w:t>disposiciones</w:t>
      </w:r>
      <w:r>
        <w:rPr>
          <w:spacing w:val="-8"/>
          <w:sz w:val="20"/>
        </w:rPr>
        <w:t xml:space="preserve"> </w:t>
      </w:r>
      <w:r>
        <w:rPr>
          <w:sz w:val="20"/>
        </w:rPr>
        <w:t>mencionadas,</w:t>
      </w:r>
      <w:r>
        <w:rPr>
          <w:spacing w:val="-5"/>
          <w:sz w:val="20"/>
        </w:rPr>
        <w:t xml:space="preserve"> </w:t>
      </w:r>
      <w:r>
        <w:rPr>
          <w:sz w:val="20"/>
        </w:rPr>
        <w:t>el Estatuto del Niño y del Adolescente prohíbe cualquier trabajo para niños menores de 14 años</w:t>
      </w:r>
      <w:hyperlink w:anchor="_bookmark315" w:history="1">
        <w:r>
          <w:rPr>
            <w:position w:val="7"/>
            <w:sz w:val="13"/>
          </w:rPr>
          <w:t>267</w:t>
        </w:r>
      </w:hyperlink>
      <w:r>
        <w:rPr>
          <w:position w:val="7"/>
          <w:sz w:val="13"/>
        </w:rPr>
        <w:t xml:space="preserve"> </w:t>
      </w:r>
      <w:r>
        <w:rPr>
          <w:sz w:val="20"/>
        </w:rPr>
        <w:t>y veda el trabajo peligroso, insalubre</w:t>
      </w:r>
      <w:r>
        <w:rPr>
          <w:sz w:val="20"/>
        </w:rPr>
        <w:t xml:space="preserve"> o penoso a</w:t>
      </w:r>
      <w:r>
        <w:rPr>
          <w:spacing w:val="-33"/>
          <w:sz w:val="20"/>
        </w:rPr>
        <w:t xml:space="preserve"> </w:t>
      </w:r>
      <w:r>
        <w:rPr>
          <w:sz w:val="20"/>
        </w:rPr>
        <w:t>adolescentes</w:t>
      </w:r>
      <w:hyperlink w:anchor="_bookmark316" w:history="1">
        <w:r>
          <w:rPr>
            <w:position w:val="7"/>
            <w:sz w:val="13"/>
          </w:rPr>
          <w:t>268</w:t>
        </w:r>
      </w:hyperlink>
    </w:p>
    <w:p w14:paraId="4F3D1EF4" w14:textId="77777777" w:rsidR="00467FCA" w:rsidRDefault="00467FCA">
      <w:pPr>
        <w:pStyle w:val="Textoindependiente"/>
      </w:pPr>
    </w:p>
    <w:p w14:paraId="76D94A42" w14:textId="77777777" w:rsidR="00467FCA" w:rsidRDefault="001B68EB">
      <w:pPr>
        <w:pStyle w:val="Prrafodelista"/>
        <w:numPr>
          <w:ilvl w:val="0"/>
          <w:numId w:val="50"/>
        </w:numPr>
        <w:tabs>
          <w:tab w:val="left" w:pos="687"/>
        </w:tabs>
        <w:ind w:left="119" w:right="116" w:firstLine="0"/>
        <w:jc w:val="both"/>
        <w:rPr>
          <w:sz w:val="20"/>
        </w:rPr>
      </w:pPr>
      <w:r>
        <w:rPr>
          <w:sz w:val="20"/>
        </w:rPr>
        <w:t>En este sentido, con base en los criterios enunciados, la Corte encuentra que, a la luz de la Convención Americana, los niños tienen derecho a medidas de protección especiales. Estas medidas, con</w:t>
      </w:r>
      <w:r>
        <w:rPr>
          <w:sz w:val="20"/>
        </w:rPr>
        <w:t>forme a la CDN, incluyen la protección frente a trabajos que puedan entorpecer su educación o afectar su salud y desarrollo, como es el caso de la fabricación de fuegos artificiales. Adicionalmente, la Corte encuentra, en aplicación del artículo 29.b de la</w:t>
      </w:r>
      <w:r>
        <w:rPr>
          <w:sz w:val="20"/>
        </w:rPr>
        <w:t xml:space="preserve"> Convención Americana y a la luz de la normatividad brasileña, que el trabajo nocturno, peligroso e insalubre de menores de 18 años estaba absolutamente prohibido en Brasil para la fecha de los hechos. De este modo, el Estado debía tomar todas las medidas </w:t>
      </w:r>
      <w:r>
        <w:rPr>
          <w:sz w:val="20"/>
        </w:rPr>
        <w:t>a su alcance para</w:t>
      </w:r>
      <w:r>
        <w:rPr>
          <w:spacing w:val="12"/>
          <w:sz w:val="20"/>
        </w:rPr>
        <w:t xml:space="preserve"> </w:t>
      </w:r>
      <w:r>
        <w:rPr>
          <w:sz w:val="20"/>
        </w:rPr>
        <w:t>garantizar</w:t>
      </w:r>
      <w:r>
        <w:rPr>
          <w:spacing w:val="10"/>
          <w:sz w:val="20"/>
        </w:rPr>
        <w:t xml:space="preserve"> </w:t>
      </w:r>
      <w:r>
        <w:rPr>
          <w:sz w:val="20"/>
        </w:rPr>
        <w:t>que</w:t>
      </w:r>
      <w:r>
        <w:rPr>
          <w:spacing w:val="11"/>
          <w:sz w:val="20"/>
        </w:rPr>
        <w:t xml:space="preserve"> </w:t>
      </w:r>
      <w:r>
        <w:rPr>
          <w:sz w:val="20"/>
        </w:rPr>
        <w:t>ninguna</w:t>
      </w:r>
      <w:r>
        <w:rPr>
          <w:spacing w:val="12"/>
          <w:sz w:val="20"/>
        </w:rPr>
        <w:t xml:space="preserve"> </w:t>
      </w:r>
      <w:r>
        <w:rPr>
          <w:sz w:val="20"/>
        </w:rPr>
        <w:t>niña</w:t>
      </w:r>
      <w:r>
        <w:rPr>
          <w:spacing w:val="12"/>
          <w:sz w:val="20"/>
        </w:rPr>
        <w:t xml:space="preserve"> </w:t>
      </w:r>
      <w:r>
        <w:rPr>
          <w:sz w:val="20"/>
        </w:rPr>
        <w:t>o</w:t>
      </w:r>
      <w:r>
        <w:rPr>
          <w:spacing w:val="11"/>
          <w:sz w:val="20"/>
        </w:rPr>
        <w:t xml:space="preserve"> </w:t>
      </w:r>
      <w:r>
        <w:rPr>
          <w:sz w:val="20"/>
        </w:rPr>
        <w:t>niño</w:t>
      </w:r>
      <w:r>
        <w:rPr>
          <w:spacing w:val="10"/>
          <w:sz w:val="20"/>
        </w:rPr>
        <w:t xml:space="preserve"> </w:t>
      </w:r>
      <w:r>
        <w:rPr>
          <w:sz w:val="20"/>
        </w:rPr>
        <w:t>trabajara</w:t>
      </w:r>
      <w:r>
        <w:rPr>
          <w:spacing w:val="15"/>
          <w:sz w:val="20"/>
        </w:rPr>
        <w:t xml:space="preserve"> </w:t>
      </w:r>
      <w:r>
        <w:rPr>
          <w:sz w:val="20"/>
        </w:rPr>
        <w:t>en</w:t>
      </w:r>
      <w:r>
        <w:rPr>
          <w:spacing w:val="12"/>
          <w:sz w:val="20"/>
        </w:rPr>
        <w:t xml:space="preserve"> </w:t>
      </w:r>
      <w:r>
        <w:rPr>
          <w:sz w:val="20"/>
        </w:rPr>
        <w:t>oficios</w:t>
      </w:r>
      <w:r>
        <w:rPr>
          <w:spacing w:val="13"/>
          <w:sz w:val="20"/>
        </w:rPr>
        <w:t xml:space="preserve"> </w:t>
      </w:r>
      <w:r>
        <w:rPr>
          <w:sz w:val="20"/>
        </w:rPr>
        <w:t>como</w:t>
      </w:r>
      <w:r>
        <w:rPr>
          <w:spacing w:val="11"/>
          <w:sz w:val="20"/>
        </w:rPr>
        <w:t xml:space="preserve"> </w:t>
      </w:r>
      <w:r>
        <w:rPr>
          <w:sz w:val="20"/>
        </w:rPr>
        <w:t>los</w:t>
      </w:r>
      <w:r>
        <w:rPr>
          <w:spacing w:val="13"/>
          <w:sz w:val="20"/>
        </w:rPr>
        <w:t xml:space="preserve"> </w:t>
      </w:r>
      <w:r>
        <w:rPr>
          <w:sz w:val="20"/>
        </w:rPr>
        <w:t>desempeñados</w:t>
      </w:r>
      <w:r>
        <w:rPr>
          <w:spacing w:val="13"/>
          <w:sz w:val="20"/>
        </w:rPr>
        <w:t xml:space="preserve"> </w:t>
      </w:r>
      <w:r>
        <w:rPr>
          <w:sz w:val="20"/>
        </w:rPr>
        <w:t>en</w:t>
      </w:r>
      <w:r>
        <w:rPr>
          <w:spacing w:val="13"/>
          <w:sz w:val="20"/>
        </w:rPr>
        <w:t xml:space="preserve"> </w:t>
      </w:r>
      <w:r>
        <w:rPr>
          <w:sz w:val="20"/>
        </w:rPr>
        <w:t>la</w:t>
      </w:r>
    </w:p>
    <w:p w14:paraId="0902BB18" w14:textId="77777777" w:rsidR="00467FCA" w:rsidRDefault="00467FCA">
      <w:pPr>
        <w:pStyle w:val="Textoindependiente"/>
      </w:pPr>
    </w:p>
    <w:p w14:paraId="48D03799" w14:textId="77777777" w:rsidR="00467FCA" w:rsidRDefault="001B68EB">
      <w:pPr>
        <w:pStyle w:val="Textoindependiente"/>
        <w:spacing w:before="8"/>
        <w:rPr>
          <w:sz w:val="21"/>
        </w:rPr>
      </w:pPr>
      <w:r>
        <w:pict w14:anchorId="7FA04BC5">
          <v:shape id="_x0000_s1148" style="position:absolute;margin-left:1in;margin-top:15.45pt;width:2in;height:.1pt;z-index:-251609088;mso-wrap-distance-left:0;mso-wrap-distance-right:0;mso-position-horizontal-relative:page" coordorigin="1440,309" coordsize="2880,0" path="m1440,309r2880,e" filled="f" strokeweight=".6pt">
            <v:path arrowok="t"/>
            <w10:wrap type="topAndBottom" anchorx="page"/>
          </v:shape>
        </w:pict>
      </w:r>
    </w:p>
    <w:p w14:paraId="76F1C50A" w14:textId="77777777" w:rsidR="00467FCA" w:rsidRDefault="001B68EB">
      <w:pPr>
        <w:tabs>
          <w:tab w:val="left" w:pos="839"/>
        </w:tabs>
        <w:spacing w:before="74"/>
        <w:ind w:left="119" w:right="114"/>
        <w:jc w:val="both"/>
        <w:rPr>
          <w:sz w:val="16"/>
        </w:rPr>
      </w:pPr>
      <w:bookmarkStart w:id="357" w:name="_bookmark310"/>
      <w:bookmarkEnd w:id="357"/>
      <w:r>
        <w:rPr>
          <w:position w:val="6"/>
          <w:sz w:val="10"/>
        </w:rPr>
        <w:t>262</w:t>
      </w:r>
      <w:r>
        <w:rPr>
          <w:position w:val="6"/>
          <w:sz w:val="10"/>
        </w:rPr>
        <w:tab/>
      </w:r>
      <w:r>
        <w:rPr>
          <w:i/>
          <w:sz w:val="16"/>
        </w:rPr>
        <w:t xml:space="preserve">Cfr. Caso Ramírez Escobar y otros Vs. Guatemala. Fondo, Reparaciones y Costas. </w:t>
      </w:r>
      <w:r>
        <w:rPr>
          <w:sz w:val="16"/>
        </w:rPr>
        <w:t xml:space="preserve">Sentencia de 9 de marzo de 2018. Serie C No. 351, párr. 150, y </w:t>
      </w:r>
      <w:r>
        <w:rPr>
          <w:i/>
          <w:sz w:val="16"/>
        </w:rPr>
        <w:t xml:space="preserve">Caso Rochac Hernández y otros Vs. El Salvador. Fondo, Reparaciones y Costas. </w:t>
      </w:r>
      <w:r>
        <w:rPr>
          <w:sz w:val="16"/>
        </w:rPr>
        <w:t>Sentencia de 14 de octubre de 2014. S</w:t>
      </w:r>
      <w:r>
        <w:rPr>
          <w:sz w:val="16"/>
        </w:rPr>
        <w:t>erie C No. 285, párr.</w:t>
      </w:r>
      <w:r>
        <w:rPr>
          <w:spacing w:val="-17"/>
          <w:sz w:val="16"/>
        </w:rPr>
        <w:t xml:space="preserve"> </w:t>
      </w:r>
      <w:r>
        <w:rPr>
          <w:sz w:val="16"/>
        </w:rPr>
        <w:t>106.</w:t>
      </w:r>
    </w:p>
    <w:p w14:paraId="34211662" w14:textId="77777777" w:rsidR="00467FCA" w:rsidRDefault="001B68EB">
      <w:pPr>
        <w:tabs>
          <w:tab w:val="left" w:pos="839"/>
        </w:tabs>
        <w:ind w:left="121" w:right="113" w:hanging="2"/>
        <w:jc w:val="both"/>
        <w:rPr>
          <w:sz w:val="16"/>
        </w:rPr>
      </w:pPr>
      <w:bookmarkStart w:id="358" w:name="_bookmark311"/>
      <w:bookmarkEnd w:id="358"/>
      <w:r>
        <w:rPr>
          <w:position w:val="6"/>
          <w:sz w:val="10"/>
        </w:rPr>
        <w:t>263</w:t>
      </w:r>
      <w:r>
        <w:rPr>
          <w:position w:val="6"/>
          <w:sz w:val="10"/>
        </w:rPr>
        <w:tab/>
      </w:r>
      <w:r>
        <w:rPr>
          <w:i/>
          <w:sz w:val="16"/>
        </w:rPr>
        <w:t xml:space="preserve">Cfr. Caso de los “Niños de la Calle” (Villagrán Morales y otros) Vs. Guatemala. Reparaciones y Costas. </w:t>
      </w:r>
      <w:r>
        <w:rPr>
          <w:sz w:val="16"/>
        </w:rPr>
        <w:t xml:space="preserve">Sentencia de 26 de mayo de 2001. Serie C No. 77, párr. 194, y </w:t>
      </w:r>
      <w:r>
        <w:rPr>
          <w:i/>
          <w:sz w:val="16"/>
        </w:rPr>
        <w:t>Caso Rochac Hernández y otros Vs. El Salvador</w:t>
      </w:r>
      <w:r>
        <w:rPr>
          <w:sz w:val="16"/>
        </w:rPr>
        <w:t>,</w:t>
      </w:r>
      <w:bookmarkStart w:id="359" w:name="_bookmark312"/>
      <w:bookmarkEnd w:id="359"/>
      <w:r>
        <w:rPr>
          <w:sz w:val="16"/>
        </w:rPr>
        <w:t xml:space="preserve"> </w:t>
      </w:r>
      <w:r>
        <w:rPr>
          <w:i/>
          <w:sz w:val="16"/>
        </w:rPr>
        <w:t xml:space="preserve">supra, </w:t>
      </w:r>
      <w:r>
        <w:rPr>
          <w:sz w:val="16"/>
        </w:rPr>
        <w:t>párr.</w:t>
      </w:r>
      <w:r>
        <w:rPr>
          <w:spacing w:val="-5"/>
          <w:sz w:val="16"/>
        </w:rPr>
        <w:t xml:space="preserve"> </w:t>
      </w:r>
      <w:r>
        <w:rPr>
          <w:sz w:val="16"/>
        </w:rPr>
        <w:t>106.</w:t>
      </w:r>
    </w:p>
    <w:p w14:paraId="746469EA" w14:textId="77777777" w:rsidR="00467FCA" w:rsidRDefault="001B68EB">
      <w:pPr>
        <w:tabs>
          <w:tab w:val="left" w:pos="839"/>
        </w:tabs>
        <w:ind w:left="120"/>
        <w:jc w:val="both"/>
        <w:rPr>
          <w:sz w:val="16"/>
        </w:rPr>
      </w:pPr>
      <w:r>
        <w:rPr>
          <w:position w:val="6"/>
          <w:sz w:val="10"/>
        </w:rPr>
        <w:t>264</w:t>
      </w:r>
      <w:r>
        <w:rPr>
          <w:position w:val="6"/>
          <w:sz w:val="10"/>
        </w:rPr>
        <w:tab/>
      </w:r>
      <w:r>
        <w:rPr>
          <w:sz w:val="16"/>
        </w:rPr>
        <w:t>Brasil ratificó la Convención sobre Derechos del Niño el 24 de septiembre de</w:t>
      </w:r>
      <w:r>
        <w:rPr>
          <w:spacing w:val="-19"/>
          <w:sz w:val="16"/>
        </w:rPr>
        <w:t xml:space="preserve"> </w:t>
      </w:r>
      <w:r>
        <w:rPr>
          <w:sz w:val="16"/>
        </w:rPr>
        <w:t>1990.</w:t>
      </w:r>
    </w:p>
    <w:p w14:paraId="4B403EAD" w14:textId="77777777" w:rsidR="00467FCA" w:rsidRDefault="001B68EB">
      <w:pPr>
        <w:tabs>
          <w:tab w:val="left" w:pos="839"/>
        </w:tabs>
        <w:ind w:left="119" w:right="113"/>
        <w:jc w:val="both"/>
        <w:rPr>
          <w:sz w:val="16"/>
        </w:rPr>
      </w:pPr>
      <w:bookmarkStart w:id="360" w:name="_bookmark313"/>
      <w:bookmarkEnd w:id="360"/>
      <w:r>
        <w:rPr>
          <w:position w:val="6"/>
          <w:sz w:val="10"/>
        </w:rPr>
        <w:t>265</w:t>
      </w:r>
      <w:r>
        <w:rPr>
          <w:position w:val="6"/>
          <w:sz w:val="10"/>
        </w:rPr>
        <w:tab/>
      </w:r>
      <w:r>
        <w:rPr>
          <w:sz w:val="16"/>
        </w:rPr>
        <w:t>En relación con este asunto, el Comité de los Derechos del Niño ha reconocido que el trabajo de menores de</w:t>
      </w:r>
      <w:r>
        <w:rPr>
          <w:spacing w:val="-5"/>
          <w:sz w:val="16"/>
        </w:rPr>
        <w:t xml:space="preserve"> </w:t>
      </w:r>
      <w:r>
        <w:rPr>
          <w:sz w:val="16"/>
        </w:rPr>
        <w:t>edad</w:t>
      </w:r>
      <w:r>
        <w:rPr>
          <w:spacing w:val="-7"/>
          <w:sz w:val="16"/>
        </w:rPr>
        <w:t xml:space="preserve"> </w:t>
      </w:r>
      <w:r>
        <w:rPr>
          <w:sz w:val="16"/>
        </w:rPr>
        <w:t>en</w:t>
      </w:r>
      <w:r>
        <w:rPr>
          <w:spacing w:val="-6"/>
          <w:sz w:val="16"/>
        </w:rPr>
        <w:t xml:space="preserve"> </w:t>
      </w:r>
      <w:r>
        <w:rPr>
          <w:sz w:val="16"/>
        </w:rPr>
        <w:t>sectores</w:t>
      </w:r>
      <w:r>
        <w:rPr>
          <w:spacing w:val="-4"/>
          <w:sz w:val="16"/>
        </w:rPr>
        <w:t xml:space="preserve"> </w:t>
      </w:r>
      <w:r>
        <w:rPr>
          <w:sz w:val="16"/>
        </w:rPr>
        <w:t>informales</w:t>
      </w:r>
      <w:r>
        <w:rPr>
          <w:spacing w:val="-5"/>
          <w:sz w:val="16"/>
        </w:rPr>
        <w:t xml:space="preserve"> </w:t>
      </w:r>
      <w:r>
        <w:rPr>
          <w:sz w:val="16"/>
        </w:rPr>
        <w:t>de</w:t>
      </w:r>
      <w:r>
        <w:rPr>
          <w:spacing w:val="-7"/>
          <w:sz w:val="16"/>
        </w:rPr>
        <w:t xml:space="preserve"> </w:t>
      </w:r>
      <w:r>
        <w:rPr>
          <w:sz w:val="16"/>
        </w:rPr>
        <w:t>la</w:t>
      </w:r>
      <w:r>
        <w:rPr>
          <w:spacing w:val="-6"/>
          <w:sz w:val="16"/>
        </w:rPr>
        <w:t xml:space="preserve"> </w:t>
      </w:r>
      <w:r>
        <w:rPr>
          <w:sz w:val="16"/>
        </w:rPr>
        <w:t>economía</w:t>
      </w:r>
      <w:r>
        <w:rPr>
          <w:spacing w:val="-6"/>
          <w:sz w:val="16"/>
        </w:rPr>
        <w:t xml:space="preserve"> </w:t>
      </w:r>
      <w:r>
        <w:rPr>
          <w:sz w:val="16"/>
        </w:rPr>
        <w:t>es</w:t>
      </w:r>
      <w:r>
        <w:rPr>
          <w:spacing w:val="-7"/>
          <w:sz w:val="16"/>
        </w:rPr>
        <w:t xml:space="preserve"> </w:t>
      </w:r>
      <w:r>
        <w:rPr>
          <w:sz w:val="16"/>
        </w:rPr>
        <w:t>especialmente</w:t>
      </w:r>
      <w:r>
        <w:rPr>
          <w:spacing w:val="-5"/>
          <w:sz w:val="16"/>
        </w:rPr>
        <w:t xml:space="preserve"> </w:t>
      </w:r>
      <w:r>
        <w:rPr>
          <w:sz w:val="16"/>
        </w:rPr>
        <w:t>peligroso</w:t>
      </w:r>
      <w:r>
        <w:rPr>
          <w:spacing w:val="-7"/>
          <w:sz w:val="16"/>
        </w:rPr>
        <w:t xml:space="preserve"> </w:t>
      </w:r>
      <w:r>
        <w:rPr>
          <w:sz w:val="16"/>
        </w:rPr>
        <w:t>para</w:t>
      </w:r>
      <w:r>
        <w:rPr>
          <w:spacing w:val="-7"/>
          <w:sz w:val="16"/>
        </w:rPr>
        <w:t xml:space="preserve"> </w:t>
      </w:r>
      <w:r>
        <w:rPr>
          <w:sz w:val="16"/>
        </w:rPr>
        <w:t>el</w:t>
      </w:r>
      <w:r>
        <w:rPr>
          <w:spacing w:val="-6"/>
          <w:sz w:val="16"/>
        </w:rPr>
        <w:t xml:space="preserve"> </w:t>
      </w:r>
      <w:r>
        <w:rPr>
          <w:sz w:val="16"/>
        </w:rPr>
        <w:t>disfrute</w:t>
      </w:r>
      <w:r>
        <w:rPr>
          <w:spacing w:val="-7"/>
          <w:sz w:val="16"/>
        </w:rPr>
        <w:t xml:space="preserve"> </w:t>
      </w:r>
      <w:r>
        <w:rPr>
          <w:sz w:val="16"/>
        </w:rPr>
        <w:t>de</w:t>
      </w:r>
      <w:r>
        <w:rPr>
          <w:spacing w:val="-5"/>
          <w:sz w:val="16"/>
        </w:rPr>
        <w:t xml:space="preserve"> </w:t>
      </w:r>
      <w:r>
        <w:rPr>
          <w:sz w:val="16"/>
        </w:rPr>
        <w:t>sus</w:t>
      </w:r>
      <w:r>
        <w:rPr>
          <w:spacing w:val="-7"/>
          <w:sz w:val="16"/>
        </w:rPr>
        <w:t xml:space="preserve"> </w:t>
      </w:r>
      <w:r>
        <w:rPr>
          <w:sz w:val="16"/>
        </w:rPr>
        <w:t>derechos</w:t>
      </w:r>
      <w:r>
        <w:rPr>
          <w:spacing w:val="-7"/>
          <w:sz w:val="16"/>
        </w:rPr>
        <w:t xml:space="preserve"> </w:t>
      </w:r>
      <w:r>
        <w:rPr>
          <w:sz w:val="16"/>
        </w:rPr>
        <w:t>y</w:t>
      </w:r>
      <w:r>
        <w:rPr>
          <w:spacing w:val="-7"/>
          <w:sz w:val="16"/>
        </w:rPr>
        <w:t xml:space="preserve"> </w:t>
      </w:r>
      <w:r>
        <w:rPr>
          <w:sz w:val="16"/>
        </w:rPr>
        <w:t>que</w:t>
      </w:r>
      <w:r>
        <w:rPr>
          <w:spacing w:val="-5"/>
          <w:sz w:val="16"/>
        </w:rPr>
        <w:t xml:space="preserve"> </w:t>
      </w:r>
      <w:r>
        <w:rPr>
          <w:sz w:val="16"/>
        </w:rPr>
        <w:t>los niños y niñas que trabajan en esfera</w:t>
      </w:r>
      <w:r>
        <w:rPr>
          <w:sz w:val="16"/>
        </w:rPr>
        <w:t>s ocultas de trabajo informal se enfrentan a “precariedad laboral; una remuneración escasa, irregular o incluso nula; riesgos para la salud; falta de seguridad social; restricciones a la libertad de asociación; y una protección inadecuada contra la discrim</w:t>
      </w:r>
      <w:r>
        <w:rPr>
          <w:sz w:val="16"/>
        </w:rPr>
        <w:t xml:space="preserve">inación y la violencia o la explotación”. </w:t>
      </w:r>
      <w:r>
        <w:rPr>
          <w:spacing w:val="-2"/>
          <w:sz w:val="16"/>
        </w:rPr>
        <w:t xml:space="preserve">Comité </w:t>
      </w:r>
      <w:r>
        <w:rPr>
          <w:sz w:val="16"/>
        </w:rPr>
        <w:t xml:space="preserve">de los Derechos del Niño, </w:t>
      </w:r>
      <w:r>
        <w:rPr>
          <w:i/>
          <w:sz w:val="16"/>
        </w:rPr>
        <w:t xml:space="preserve">Observación General No. 16: Las obligaciones del Estado en relación con el impacto del sector empresarial en los derechos del niño, </w:t>
      </w:r>
      <w:r>
        <w:rPr>
          <w:sz w:val="16"/>
        </w:rPr>
        <w:t>UN Doc. CRC/C/GC/16, 17 de abril de 2013, párr.</w:t>
      </w:r>
      <w:r>
        <w:rPr>
          <w:spacing w:val="-23"/>
          <w:sz w:val="16"/>
        </w:rPr>
        <w:t xml:space="preserve"> </w:t>
      </w:r>
      <w:r>
        <w:rPr>
          <w:sz w:val="16"/>
        </w:rPr>
        <w:t>35.</w:t>
      </w:r>
    </w:p>
    <w:p w14:paraId="7AB158AC" w14:textId="77777777" w:rsidR="00467FCA" w:rsidRDefault="001B68EB">
      <w:pPr>
        <w:tabs>
          <w:tab w:val="left" w:pos="839"/>
        </w:tabs>
        <w:spacing w:line="194" w:lineRule="exact"/>
        <w:ind w:left="120"/>
        <w:jc w:val="both"/>
        <w:rPr>
          <w:sz w:val="16"/>
        </w:rPr>
      </w:pPr>
      <w:bookmarkStart w:id="361" w:name="_bookmark314"/>
      <w:bookmarkEnd w:id="361"/>
      <w:r>
        <w:rPr>
          <w:position w:val="6"/>
          <w:sz w:val="10"/>
        </w:rPr>
        <w:t>266</w:t>
      </w:r>
      <w:r>
        <w:rPr>
          <w:position w:val="6"/>
          <w:sz w:val="10"/>
        </w:rPr>
        <w:tab/>
      </w:r>
      <w:r>
        <w:rPr>
          <w:i/>
          <w:sz w:val="16"/>
        </w:rPr>
        <w:t xml:space="preserve">Cfr. </w:t>
      </w:r>
      <w:r>
        <w:rPr>
          <w:sz w:val="16"/>
        </w:rPr>
        <w:t xml:space="preserve">Consolidación de las Leyes del Trabajo, </w:t>
      </w:r>
      <w:r>
        <w:rPr>
          <w:i/>
          <w:sz w:val="16"/>
        </w:rPr>
        <w:t xml:space="preserve">supra, </w:t>
      </w:r>
      <w:r>
        <w:rPr>
          <w:sz w:val="16"/>
        </w:rPr>
        <w:t>artículo 611-B,</w:t>
      </w:r>
      <w:r>
        <w:rPr>
          <w:spacing w:val="-12"/>
          <w:sz w:val="16"/>
        </w:rPr>
        <w:t xml:space="preserve"> </w:t>
      </w:r>
      <w:r>
        <w:rPr>
          <w:sz w:val="16"/>
        </w:rPr>
        <w:t>XXIII.</w:t>
      </w:r>
    </w:p>
    <w:p w14:paraId="00A3B8EC" w14:textId="77777777" w:rsidR="00467FCA" w:rsidRDefault="001B68EB">
      <w:pPr>
        <w:tabs>
          <w:tab w:val="left" w:pos="839"/>
        </w:tabs>
        <w:ind w:left="120"/>
        <w:jc w:val="both"/>
        <w:rPr>
          <w:sz w:val="16"/>
        </w:rPr>
      </w:pPr>
      <w:bookmarkStart w:id="362" w:name="_bookmark315"/>
      <w:bookmarkEnd w:id="362"/>
      <w:r>
        <w:rPr>
          <w:position w:val="6"/>
          <w:sz w:val="10"/>
        </w:rPr>
        <w:t>267</w:t>
      </w:r>
      <w:r>
        <w:rPr>
          <w:position w:val="6"/>
          <w:sz w:val="10"/>
        </w:rPr>
        <w:tab/>
      </w:r>
      <w:r>
        <w:rPr>
          <w:i/>
          <w:sz w:val="16"/>
        </w:rPr>
        <w:t xml:space="preserve">Cfr. </w:t>
      </w:r>
      <w:r>
        <w:rPr>
          <w:sz w:val="16"/>
        </w:rPr>
        <w:t xml:space="preserve">Estatuto del Niño y del Adolescente, </w:t>
      </w:r>
      <w:r>
        <w:rPr>
          <w:i/>
          <w:sz w:val="16"/>
        </w:rPr>
        <w:t>supra</w:t>
      </w:r>
      <w:r>
        <w:rPr>
          <w:sz w:val="16"/>
        </w:rPr>
        <w:t>, artículo</w:t>
      </w:r>
      <w:r>
        <w:rPr>
          <w:spacing w:val="-5"/>
          <w:sz w:val="16"/>
        </w:rPr>
        <w:t xml:space="preserve"> </w:t>
      </w:r>
      <w:r>
        <w:rPr>
          <w:sz w:val="16"/>
        </w:rPr>
        <w:t>60.</w:t>
      </w:r>
    </w:p>
    <w:p w14:paraId="23F9E1B8" w14:textId="77777777" w:rsidR="00467FCA" w:rsidRDefault="001B68EB">
      <w:pPr>
        <w:tabs>
          <w:tab w:val="left" w:pos="839"/>
        </w:tabs>
        <w:ind w:left="120"/>
        <w:jc w:val="both"/>
        <w:rPr>
          <w:sz w:val="16"/>
        </w:rPr>
      </w:pPr>
      <w:bookmarkStart w:id="363" w:name="_bookmark316"/>
      <w:bookmarkEnd w:id="363"/>
      <w:r>
        <w:rPr>
          <w:position w:val="6"/>
          <w:sz w:val="10"/>
        </w:rPr>
        <w:t>268</w:t>
      </w:r>
      <w:r>
        <w:rPr>
          <w:position w:val="6"/>
          <w:sz w:val="10"/>
        </w:rPr>
        <w:tab/>
      </w:r>
      <w:r>
        <w:rPr>
          <w:i/>
          <w:sz w:val="16"/>
        </w:rPr>
        <w:t xml:space="preserve">Cfr. </w:t>
      </w:r>
      <w:r>
        <w:rPr>
          <w:sz w:val="16"/>
        </w:rPr>
        <w:t xml:space="preserve">Estatuto del Niño y del Adolescente, </w:t>
      </w:r>
      <w:r>
        <w:rPr>
          <w:i/>
          <w:sz w:val="16"/>
        </w:rPr>
        <w:t>supra</w:t>
      </w:r>
      <w:r>
        <w:rPr>
          <w:sz w:val="16"/>
        </w:rPr>
        <w:t>, artículo 67,</w:t>
      </w:r>
      <w:r>
        <w:rPr>
          <w:spacing w:val="-7"/>
          <w:sz w:val="16"/>
        </w:rPr>
        <w:t xml:space="preserve"> </w:t>
      </w:r>
      <w:r>
        <w:rPr>
          <w:sz w:val="16"/>
        </w:rPr>
        <w:t>II.</w:t>
      </w:r>
    </w:p>
    <w:p w14:paraId="44551B39" w14:textId="77777777" w:rsidR="00467FCA" w:rsidRDefault="00467FCA">
      <w:pPr>
        <w:jc w:val="both"/>
        <w:rPr>
          <w:sz w:val="16"/>
        </w:rPr>
        <w:sectPr w:rsidR="00467FCA">
          <w:pgSz w:w="12240" w:h="15840"/>
          <w:pgMar w:top="1500" w:right="1320" w:bottom="1220" w:left="1320" w:header="0" w:footer="1037" w:gutter="0"/>
          <w:cols w:space="720"/>
        </w:sectPr>
      </w:pPr>
    </w:p>
    <w:p w14:paraId="100234B6" w14:textId="77777777" w:rsidR="00467FCA" w:rsidRDefault="001B68EB">
      <w:pPr>
        <w:pStyle w:val="Textoindependiente"/>
        <w:spacing w:before="80"/>
        <w:ind w:left="120"/>
      </w:pPr>
      <w:r>
        <w:t>fábrica de fuegos</w:t>
      </w:r>
      <w:hyperlink w:anchor="_bookmark318" w:history="1">
        <w:r>
          <w:rPr>
            <w:position w:val="7"/>
            <w:sz w:val="13"/>
          </w:rPr>
          <w:t>269</w:t>
        </w:r>
      </w:hyperlink>
      <w:r>
        <w:t>.</w:t>
      </w:r>
    </w:p>
    <w:p w14:paraId="3FACE191" w14:textId="77777777" w:rsidR="00467FCA" w:rsidRDefault="00467FCA">
      <w:pPr>
        <w:pStyle w:val="Textoindependiente"/>
        <w:spacing w:before="1"/>
      </w:pPr>
    </w:p>
    <w:p w14:paraId="66563B09" w14:textId="77777777" w:rsidR="00467FCA" w:rsidRDefault="001B68EB">
      <w:pPr>
        <w:pStyle w:val="Prrafodelista"/>
        <w:numPr>
          <w:ilvl w:val="0"/>
          <w:numId w:val="50"/>
        </w:numPr>
        <w:tabs>
          <w:tab w:val="left" w:pos="687"/>
        </w:tabs>
        <w:ind w:left="119" w:right="116" w:firstLine="0"/>
        <w:jc w:val="both"/>
        <w:rPr>
          <w:sz w:val="20"/>
        </w:rPr>
      </w:pPr>
      <w:r>
        <w:rPr>
          <w:sz w:val="20"/>
        </w:rPr>
        <w:t>Por todo lo expuesto, la Corte encuentra que el Estado incumplió el mandato contenido en el artículo 19 de la Convención Americana, en relación con el artículo 26 del mismo instrumento respecto de las niñas y niños fallecido</w:t>
      </w:r>
      <w:r>
        <w:rPr>
          <w:sz w:val="20"/>
        </w:rPr>
        <w:t>s y sobrevivientes a la explosión de la fábrica de fuegos, al no adoptar las medidas de protección que su condición de niñas y niños imponía</w:t>
      </w:r>
      <w:r>
        <w:rPr>
          <w:spacing w:val="-10"/>
          <w:sz w:val="20"/>
        </w:rPr>
        <w:t xml:space="preserve"> </w:t>
      </w:r>
      <w:r>
        <w:rPr>
          <w:sz w:val="20"/>
        </w:rPr>
        <w:t>y</w:t>
      </w:r>
      <w:r>
        <w:rPr>
          <w:spacing w:val="-11"/>
          <w:sz w:val="20"/>
        </w:rPr>
        <w:t xml:space="preserve"> </w:t>
      </w:r>
      <w:r>
        <w:rPr>
          <w:sz w:val="20"/>
        </w:rPr>
        <w:t>permitir</w:t>
      </w:r>
      <w:r>
        <w:rPr>
          <w:spacing w:val="-11"/>
          <w:sz w:val="20"/>
        </w:rPr>
        <w:t xml:space="preserve"> </w:t>
      </w:r>
      <w:r>
        <w:rPr>
          <w:sz w:val="20"/>
        </w:rPr>
        <w:t>que</w:t>
      </w:r>
      <w:r>
        <w:rPr>
          <w:spacing w:val="-8"/>
          <w:sz w:val="20"/>
        </w:rPr>
        <w:t xml:space="preserve"> </w:t>
      </w:r>
      <w:r>
        <w:rPr>
          <w:sz w:val="20"/>
        </w:rPr>
        <w:t>niñas</w:t>
      </w:r>
      <w:r>
        <w:rPr>
          <w:spacing w:val="-11"/>
          <w:sz w:val="20"/>
        </w:rPr>
        <w:t xml:space="preserve"> </w:t>
      </w:r>
      <w:r>
        <w:rPr>
          <w:sz w:val="20"/>
        </w:rPr>
        <w:t>y</w:t>
      </w:r>
      <w:r>
        <w:rPr>
          <w:spacing w:val="-11"/>
          <w:sz w:val="20"/>
        </w:rPr>
        <w:t xml:space="preserve"> </w:t>
      </w:r>
      <w:r>
        <w:rPr>
          <w:sz w:val="20"/>
        </w:rPr>
        <w:t>niños,</w:t>
      </w:r>
      <w:r>
        <w:rPr>
          <w:spacing w:val="-10"/>
          <w:sz w:val="20"/>
        </w:rPr>
        <w:t xml:space="preserve"> </w:t>
      </w:r>
      <w:r>
        <w:rPr>
          <w:sz w:val="20"/>
        </w:rPr>
        <w:t>desde</w:t>
      </w:r>
      <w:r>
        <w:rPr>
          <w:spacing w:val="-11"/>
          <w:sz w:val="20"/>
        </w:rPr>
        <w:t xml:space="preserve"> </w:t>
      </w:r>
      <w:r>
        <w:rPr>
          <w:sz w:val="20"/>
        </w:rPr>
        <w:t>los</w:t>
      </w:r>
      <w:r>
        <w:rPr>
          <w:spacing w:val="-9"/>
          <w:sz w:val="20"/>
        </w:rPr>
        <w:t xml:space="preserve"> </w:t>
      </w:r>
      <w:r>
        <w:rPr>
          <w:sz w:val="20"/>
        </w:rPr>
        <w:t>once</w:t>
      </w:r>
      <w:r>
        <w:rPr>
          <w:spacing w:val="-8"/>
          <w:sz w:val="20"/>
        </w:rPr>
        <w:t xml:space="preserve"> </w:t>
      </w:r>
      <w:r>
        <w:rPr>
          <w:sz w:val="20"/>
        </w:rPr>
        <w:t>años</w:t>
      </w:r>
      <w:r>
        <w:rPr>
          <w:spacing w:val="-9"/>
          <w:sz w:val="20"/>
        </w:rPr>
        <w:t xml:space="preserve"> </w:t>
      </w:r>
      <w:r>
        <w:rPr>
          <w:sz w:val="20"/>
        </w:rPr>
        <w:t>de</w:t>
      </w:r>
      <w:r>
        <w:rPr>
          <w:spacing w:val="-9"/>
          <w:sz w:val="20"/>
        </w:rPr>
        <w:t xml:space="preserve"> </w:t>
      </w:r>
      <w:r>
        <w:rPr>
          <w:sz w:val="20"/>
        </w:rPr>
        <w:t>edad</w:t>
      </w:r>
      <w:r>
        <w:rPr>
          <w:spacing w:val="-7"/>
          <w:sz w:val="20"/>
        </w:rPr>
        <w:t xml:space="preserve"> </w:t>
      </w:r>
      <w:r>
        <w:rPr>
          <w:sz w:val="20"/>
        </w:rPr>
        <w:t>se</w:t>
      </w:r>
      <w:r>
        <w:rPr>
          <w:spacing w:val="-8"/>
          <w:sz w:val="20"/>
        </w:rPr>
        <w:t xml:space="preserve"> </w:t>
      </w:r>
      <w:r>
        <w:rPr>
          <w:sz w:val="20"/>
        </w:rPr>
        <w:t>encontraran</w:t>
      </w:r>
      <w:r>
        <w:rPr>
          <w:spacing w:val="-9"/>
          <w:sz w:val="20"/>
        </w:rPr>
        <w:t xml:space="preserve"> </w:t>
      </w:r>
      <w:r>
        <w:rPr>
          <w:sz w:val="20"/>
        </w:rPr>
        <w:t>trabajando al momento de la</w:t>
      </w:r>
      <w:r>
        <w:rPr>
          <w:spacing w:val="-5"/>
          <w:sz w:val="20"/>
        </w:rPr>
        <w:t xml:space="preserve"> </w:t>
      </w:r>
      <w:r>
        <w:rPr>
          <w:sz w:val="20"/>
        </w:rPr>
        <w:t>explosión.</w:t>
      </w:r>
    </w:p>
    <w:p w14:paraId="1523AD6D" w14:textId="77777777" w:rsidR="00467FCA" w:rsidRDefault="00467FCA">
      <w:pPr>
        <w:pStyle w:val="Textoindependiente"/>
        <w:spacing w:before="10"/>
        <w:rPr>
          <w:sz w:val="19"/>
        </w:rPr>
      </w:pPr>
    </w:p>
    <w:p w14:paraId="14C0EA52" w14:textId="77777777" w:rsidR="00467FCA" w:rsidRDefault="001B68EB">
      <w:pPr>
        <w:pStyle w:val="Ttulo2"/>
        <w:numPr>
          <w:ilvl w:val="1"/>
          <w:numId w:val="40"/>
        </w:numPr>
        <w:tabs>
          <w:tab w:val="left" w:pos="1559"/>
          <w:tab w:val="left" w:pos="1560"/>
        </w:tabs>
      </w:pPr>
      <w:bookmarkStart w:id="364" w:name="B.3__Prohibición_de_discriminación"/>
      <w:bookmarkStart w:id="365" w:name="_bookmark317"/>
      <w:bookmarkEnd w:id="364"/>
      <w:bookmarkEnd w:id="365"/>
      <w:r>
        <w:t>P</w:t>
      </w:r>
      <w:r>
        <w:t>rohibición de</w:t>
      </w:r>
      <w:r>
        <w:rPr>
          <w:spacing w:val="-1"/>
        </w:rPr>
        <w:t xml:space="preserve"> </w:t>
      </w:r>
      <w:r>
        <w:t>discriminación</w:t>
      </w:r>
    </w:p>
    <w:p w14:paraId="47E9F659" w14:textId="77777777" w:rsidR="00467FCA" w:rsidRDefault="00467FCA">
      <w:pPr>
        <w:pStyle w:val="Textoindependiente"/>
        <w:spacing w:before="1"/>
        <w:rPr>
          <w:b/>
          <w:i/>
        </w:rPr>
      </w:pPr>
    </w:p>
    <w:p w14:paraId="759C94C3" w14:textId="77777777" w:rsidR="00467FCA" w:rsidRDefault="001B68EB">
      <w:pPr>
        <w:pStyle w:val="Prrafodelista"/>
        <w:numPr>
          <w:ilvl w:val="0"/>
          <w:numId w:val="50"/>
        </w:numPr>
        <w:tabs>
          <w:tab w:val="left" w:pos="687"/>
        </w:tabs>
        <w:spacing w:before="1"/>
        <w:ind w:left="119" w:right="117" w:firstLine="0"/>
        <w:jc w:val="both"/>
        <w:rPr>
          <w:sz w:val="20"/>
        </w:rPr>
      </w:pPr>
      <w:r>
        <w:rPr>
          <w:sz w:val="20"/>
        </w:rPr>
        <w:t xml:space="preserve">Como ha señalado en oportunidades previas, la Corte recuerda que, en la actual etapa de evolución del derecho internacional, el principio fundamental de igualdad y no discriminación ha ingresado en el dominio del </w:t>
      </w:r>
      <w:r>
        <w:rPr>
          <w:i/>
          <w:sz w:val="20"/>
        </w:rPr>
        <w:t xml:space="preserve">jus cogens </w:t>
      </w:r>
      <w:r>
        <w:rPr>
          <w:sz w:val="20"/>
        </w:rPr>
        <w:t xml:space="preserve">y </w:t>
      </w:r>
      <w:r>
        <w:rPr>
          <w:sz w:val="20"/>
        </w:rPr>
        <w:t>permea todo el ordenamiento jurídico</w:t>
      </w:r>
      <w:r>
        <w:rPr>
          <w:i/>
          <w:sz w:val="20"/>
        </w:rPr>
        <w:t xml:space="preserve">. </w:t>
      </w:r>
      <w:r>
        <w:rPr>
          <w:sz w:val="20"/>
        </w:rPr>
        <w:t>Además, sobre este principio descansa el orden público nacional e internacional. En consecuencia, los Estados deben abstenerse de realizar acciones que de cualquier manera vayan dirigidas, directa o indirectamente, a c</w:t>
      </w:r>
      <w:r>
        <w:rPr>
          <w:sz w:val="20"/>
        </w:rPr>
        <w:t>rear situaciones de discriminación de jure o de facto</w:t>
      </w:r>
      <w:hyperlink w:anchor="_bookmark319" w:history="1">
        <w:r>
          <w:rPr>
            <w:position w:val="7"/>
            <w:sz w:val="13"/>
          </w:rPr>
          <w:t>270</w:t>
        </w:r>
      </w:hyperlink>
      <w:r>
        <w:rPr>
          <w:sz w:val="20"/>
        </w:rPr>
        <w:t>.</w:t>
      </w:r>
      <w:r>
        <w:rPr>
          <w:spacing w:val="-7"/>
          <w:sz w:val="20"/>
        </w:rPr>
        <w:t xml:space="preserve"> </w:t>
      </w:r>
      <w:r>
        <w:rPr>
          <w:sz w:val="20"/>
        </w:rPr>
        <w:t>En</w:t>
      </w:r>
      <w:r>
        <w:rPr>
          <w:spacing w:val="-7"/>
          <w:sz w:val="20"/>
        </w:rPr>
        <w:t xml:space="preserve"> </w:t>
      </w:r>
      <w:r>
        <w:rPr>
          <w:sz w:val="20"/>
        </w:rPr>
        <w:t>este</w:t>
      </w:r>
      <w:r>
        <w:rPr>
          <w:spacing w:val="-5"/>
          <w:sz w:val="20"/>
        </w:rPr>
        <w:t xml:space="preserve"> </w:t>
      </w:r>
      <w:r>
        <w:rPr>
          <w:sz w:val="20"/>
        </w:rPr>
        <w:t>sentido,</w:t>
      </w:r>
      <w:r>
        <w:rPr>
          <w:spacing w:val="-6"/>
          <w:sz w:val="20"/>
        </w:rPr>
        <w:t xml:space="preserve"> </w:t>
      </w:r>
      <w:r>
        <w:rPr>
          <w:sz w:val="20"/>
        </w:rPr>
        <w:t>la</w:t>
      </w:r>
      <w:r>
        <w:rPr>
          <w:spacing w:val="-9"/>
          <w:sz w:val="20"/>
        </w:rPr>
        <w:t xml:space="preserve"> </w:t>
      </w:r>
      <w:r>
        <w:rPr>
          <w:sz w:val="20"/>
        </w:rPr>
        <w:t>Convención</w:t>
      </w:r>
      <w:r>
        <w:rPr>
          <w:spacing w:val="-7"/>
          <w:sz w:val="20"/>
        </w:rPr>
        <w:t xml:space="preserve"> </w:t>
      </w:r>
      <w:r>
        <w:rPr>
          <w:sz w:val="20"/>
        </w:rPr>
        <w:t>Americana,</w:t>
      </w:r>
      <w:r>
        <w:rPr>
          <w:spacing w:val="-7"/>
          <w:sz w:val="20"/>
        </w:rPr>
        <w:t xml:space="preserve"> </w:t>
      </w:r>
      <w:r>
        <w:rPr>
          <w:sz w:val="20"/>
        </w:rPr>
        <w:t>en</w:t>
      </w:r>
      <w:r>
        <w:rPr>
          <w:spacing w:val="-7"/>
          <w:sz w:val="20"/>
        </w:rPr>
        <w:t xml:space="preserve"> </w:t>
      </w:r>
      <w:r>
        <w:rPr>
          <w:sz w:val="20"/>
        </w:rPr>
        <w:t>la</w:t>
      </w:r>
      <w:r>
        <w:rPr>
          <w:spacing w:val="-3"/>
          <w:sz w:val="20"/>
        </w:rPr>
        <w:t xml:space="preserve"> </w:t>
      </w:r>
      <w:r>
        <w:rPr>
          <w:sz w:val="20"/>
        </w:rPr>
        <w:t>obligación</w:t>
      </w:r>
      <w:r>
        <w:rPr>
          <w:spacing w:val="-5"/>
          <w:sz w:val="20"/>
        </w:rPr>
        <w:t xml:space="preserve"> </w:t>
      </w:r>
      <w:r>
        <w:rPr>
          <w:sz w:val="20"/>
        </w:rPr>
        <w:t>general</w:t>
      </w:r>
      <w:r>
        <w:rPr>
          <w:spacing w:val="-5"/>
          <w:sz w:val="20"/>
        </w:rPr>
        <w:t xml:space="preserve"> </w:t>
      </w:r>
      <w:r>
        <w:rPr>
          <w:sz w:val="20"/>
        </w:rPr>
        <w:t>establecida</w:t>
      </w:r>
      <w:r>
        <w:rPr>
          <w:spacing w:val="-6"/>
          <w:sz w:val="20"/>
        </w:rPr>
        <w:t xml:space="preserve"> </w:t>
      </w:r>
      <w:r>
        <w:rPr>
          <w:sz w:val="20"/>
        </w:rPr>
        <w:t>en</w:t>
      </w:r>
      <w:r>
        <w:rPr>
          <w:spacing w:val="-3"/>
          <w:sz w:val="20"/>
        </w:rPr>
        <w:t xml:space="preserve"> </w:t>
      </w:r>
      <w:r>
        <w:rPr>
          <w:sz w:val="20"/>
        </w:rPr>
        <w:t>el artículo 1.1, se refiere al deber del Estado de respetar y garantizar “sin discri</w:t>
      </w:r>
      <w:r>
        <w:rPr>
          <w:sz w:val="20"/>
        </w:rPr>
        <w:t>minación” los derechos contenidos en la Convención, mientras que en el artículo 24 protege el derecho a “igual protección de la ley”</w:t>
      </w:r>
      <w:hyperlink w:anchor="_bookmark320" w:history="1">
        <w:r>
          <w:rPr>
            <w:position w:val="7"/>
            <w:sz w:val="13"/>
          </w:rPr>
          <w:t>271</w:t>
        </w:r>
      </w:hyperlink>
      <w:r>
        <w:rPr>
          <w:sz w:val="20"/>
        </w:rPr>
        <w:t>. Es decir, el artículo 1.1 garantiza que todos los derechos convencionales sean garantiz</w:t>
      </w:r>
      <w:r>
        <w:rPr>
          <w:sz w:val="20"/>
        </w:rPr>
        <w:t>ados sin discriminación, mientras que el 24 ordena que no se otorguen tratos desiguales en las leyes internas de cada Estado o en su aplicación. De modo que,</w:t>
      </w:r>
      <w:r>
        <w:rPr>
          <w:spacing w:val="-9"/>
          <w:sz w:val="20"/>
        </w:rPr>
        <w:t xml:space="preserve"> </w:t>
      </w:r>
      <w:r>
        <w:rPr>
          <w:sz w:val="20"/>
        </w:rPr>
        <w:t>si</w:t>
      </w:r>
      <w:r>
        <w:rPr>
          <w:spacing w:val="-7"/>
          <w:sz w:val="20"/>
        </w:rPr>
        <w:t xml:space="preserve"> </w:t>
      </w:r>
      <w:r>
        <w:rPr>
          <w:sz w:val="20"/>
        </w:rPr>
        <w:t>un</w:t>
      </w:r>
      <w:r>
        <w:rPr>
          <w:spacing w:val="-8"/>
          <w:sz w:val="20"/>
        </w:rPr>
        <w:t xml:space="preserve"> </w:t>
      </w:r>
      <w:r>
        <w:rPr>
          <w:sz w:val="20"/>
        </w:rPr>
        <w:t>Estado</w:t>
      </w:r>
      <w:r>
        <w:rPr>
          <w:spacing w:val="-9"/>
          <w:sz w:val="20"/>
        </w:rPr>
        <w:t xml:space="preserve"> </w:t>
      </w:r>
      <w:r>
        <w:rPr>
          <w:sz w:val="20"/>
        </w:rPr>
        <w:t>discrimina</w:t>
      </w:r>
      <w:r>
        <w:rPr>
          <w:spacing w:val="-8"/>
          <w:sz w:val="20"/>
        </w:rPr>
        <w:t xml:space="preserve"> </w:t>
      </w:r>
      <w:r>
        <w:rPr>
          <w:sz w:val="20"/>
        </w:rPr>
        <w:t>en</w:t>
      </w:r>
      <w:r>
        <w:rPr>
          <w:spacing w:val="-8"/>
          <w:sz w:val="20"/>
        </w:rPr>
        <w:t xml:space="preserve"> </w:t>
      </w:r>
      <w:r>
        <w:rPr>
          <w:sz w:val="20"/>
        </w:rPr>
        <w:t>el</w:t>
      </w:r>
      <w:r>
        <w:rPr>
          <w:spacing w:val="-5"/>
          <w:sz w:val="20"/>
        </w:rPr>
        <w:t xml:space="preserve"> </w:t>
      </w:r>
      <w:r>
        <w:rPr>
          <w:sz w:val="20"/>
        </w:rPr>
        <w:t>respeto</w:t>
      </w:r>
      <w:r>
        <w:rPr>
          <w:spacing w:val="-9"/>
          <w:sz w:val="20"/>
        </w:rPr>
        <w:t xml:space="preserve"> </w:t>
      </w:r>
      <w:r>
        <w:rPr>
          <w:sz w:val="20"/>
        </w:rPr>
        <w:t>o</w:t>
      </w:r>
      <w:r>
        <w:rPr>
          <w:spacing w:val="-10"/>
          <w:sz w:val="20"/>
        </w:rPr>
        <w:t xml:space="preserve"> </w:t>
      </w:r>
      <w:r>
        <w:rPr>
          <w:sz w:val="20"/>
        </w:rPr>
        <w:t>garantía</w:t>
      </w:r>
      <w:r>
        <w:rPr>
          <w:spacing w:val="-8"/>
          <w:sz w:val="20"/>
        </w:rPr>
        <w:t xml:space="preserve"> </w:t>
      </w:r>
      <w:r>
        <w:rPr>
          <w:sz w:val="20"/>
        </w:rPr>
        <w:t>de</w:t>
      </w:r>
      <w:r>
        <w:rPr>
          <w:spacing w:val="-9"/>
          <w:sz w:val="20"/>
        </w:rPr>
        <w:t xml:space="preserve"> </w:t>
      </w:r>
      <w:r>
        <w:rPr>
          <w:sz w:val="20"/>
        </w:rPr>
        <w:t>un</w:t>
      </w:r>
      <w:r>
        <w:rPr>
          <w:spacing w:val="-8"/>
          <w:sz w:val="20"/>
        </w:rPr>
        <w:t xml:space="preserve"> </w:t>
      </w:r>
      <w:r>
        <w:rPr>
          <w:sz w:val="20"/>
        </w:rPr>
        <w:t>derecho</w:t>
      </w:r>
      <w:r>
        <w:rPr>
          <w:spacing w:val="-6"/>
          <w:sz w:val="20"/>
        </w:rPr>
        <w:t xml:space="preserve"> </w:t>
      </w:r>
      <w:r>
        <w:rPr>
          <w:sz w:val="20"/>
        </w:rPr>
        <w:t>convencional,</w:t>
      </w:r>
      <w:r>
        <w:rPr>
          <w:spacing w:val="-9"/>
          <w:sz w:val="20"/>
        </w:rPr>
        <w:t xml:space="preserve"> </w:t>
      </w:r>
      <w:r>
        <w:rPr>
          <w:sz w:val="20"/>
        </w:rPr>
        <w:t>incumpliría la obligación establecida en el artículo 1.1 y el derecho sustantivo en cuestión. En cambio, si la discriminación se refiere a una protección desigual de la ley interna o de su aplicación, el hecho debe analizarse a la luz del artículo 24 de la</w:t>
      </w:r>
      <w:r>
        <w:rPr>
          <w:sz w:val="20"/>
        </w:rPr>
        <w:t xml:space="preserve"> Convención</w:t>
      </w:r>
      <w:r>
        <w:rPr>
          <w:spacing w:val="-15"/>
          <w:sz w:val="20"/>
        </w:rPr>
        <w:t xml:space="preserve"> </w:t>
      </w:r>
      <w:r>
        <w:rPr>
          <w:sz w:val="20"/>
        </w:rPr>
        <w:t>Americana</w:t>
      </w:r>
      <w:hyperlink w:anchor="_bookmark321" w:history="1">
        <w:r>
          <w:rPr>
            <w:position w:val="7"/>
            <w:sz w:val="13"/>
          </w:rPr>
          <w:t>272</w:t>
        </w:r>
      </w:hyperlink>
      <w:r>
        <w:rPr>
          <w:sz w:val="20"/>
        </w:rPr>
        <w:t>.</w:t>
      </w:r>
    </w:p>
    <w:p w14:paraId="1303F447" w14:textId="77777777" w:rsidR="00467FCA" w:rsidRDefault="00467FCA">
      <w:pPr>
        <w:pStyle w:val="Textoindependiente"/>
      </w:pPr>
    </w:p>
    <w:p w14:paraId="19BF0FF4" w14:textId="77777777" w:rsidR="00467FCA" w:rsidRDefault="001B68EB">
      <w:pPr>
        <w:pStyle w:val="Prrafodelista"/>
        <w:numPr>
          <w:ilvl w:val="0"/>
          <w:numId w:val="50"/>
        </w:numPr>
        <w:tabs>
          <w:tab w:val="left" w:pos="687"/>
        </w:tabs>
        <w:ind w:left="119" w:right="117" w:firstLine="0"/>
        <w:jc w:val="both"/>
        <w:rPr>
          <w:sz w:val="20"/>
        </w:rPr>
      </w:pPr>
      <w:r>
        <w:rPr>
          <w:sz w:val="20"/>
        </w:rPr>
        <w:t>A la luz de lo anterior, la Corte ha señalado que “los Estados tienen la obligación de no introducir</w:t>
      </w:r>
      <w:r>
        <w:rPr>
          <w:spacing w:val="-17"/>
          <w:sz w:val="20"/>
        </w:rPr>
        <w:t xml:space="preserve"> </w:t>
      </w:r>
      <w:r>
        <w:rPr>
          <w:sz w:val="20"/>
        </w:rPr>
        <w:t>en</w:t>
      </w:r>
      <w:r>
        <w:rPr>
          <w:spacing w:val="-16"/>
          <w:sz w:val="20"/>
        </w:rPr>
        <w:t xml:space="preserve"> </w:t>
      </w:r>
      <w:r>
        <w:rPr>
          <w:sz w:val="20"/>
        </w:rPr>
        <w:t>su</w:t>
      </w:r>
      <w:r>
        <w:rPr>
          <w:spacing w:val="-16"/>
          <w:sz w:val="20"/>
        </w:rPr>
        <w:t xml:space="preserve"> </w:t>
      </w:r>
      <w:r>
        <w:rPr>
          <w:sz w:val="20"/>
        </w:rPr>
        <w:t>ordenamiento</w:t>
      </w:r>
      <w:r>
        <w:rPr>
          <w:spacing w:val="-18"/>
          <w:sz w:val="20"/>
        </w:rPr>
        <w:t xml:space="preserve"> </w:t>
      </w:r>
      <w:r>
        <w:rPr>
          <w:sz w:val="20"/>
        </w:rPr>
        <w:t>jurídico</w:t>
      </w:r>
      <w:r>
        <w:rPr>
          <w:spacing w:val="-16"/>
          <w:sz w:val="20"/>
        </w:rPr>
        <w:t xml:space="preserve"> </w:t>
      </w:r>
      <w:r>
        <w:rPr>
          <w:sz w:val="20"/>
        </w:rPr>
        <w:t>regulaciones</w:t>
      </w:r>
      <w:r>
        <w:rPr>
          <w:spacing w:val="-18"/>
          <w:sz w:val="20"/>
        </w:rPr>
        <w:t xml:space="preserve"> </w:t>
      </w:r>
      <w:r>
        <w:rPr>
          <w:sz w:val="20"/>
        </w:rPr>
        <w:t>discriminatorias,</w:t>
      </w:r>
      <w:r>
        <w:rPr>
          <w:spacing w:val="-19"/>
          <w:sz w:val="20"/>
        </w:rPr>
        <w:t xml:space="preserve"> </w:t>
      </w:r>
      <w:r>
        <w:rPr>
          <w:sz w:val="20"/>
        </w:rPr>
        <w:t>eliminar</w:t>
      </w:r>
      <w:r>
        <w:rPr>
          <w:spacing w:val="-18"/>
          <w:sz w:val="20"/>
        </w:rPr>
        <w:t xml:space="preserve"> </w:t>
      </w:r>
      <w:r>
        <w:rPr>
          <w:sz w:val="20"/>
        </w:rPr>
        <w:t>las</w:t>
      </w:r>
      <w:r>
        <w:rPr>
          <w:spacing w:val="-18"/>
          <w:sz w:val="20"/>
        </w:rPr>
        <w:t xml:space="preserve"> </w:t>
      </w:r>
      <w:r>
        <w:rPr>
          <w:sz w:val="20"/>
        </w:rPr>
        <w:t>regulaciones de carácter discriminatorio, combatir las prácticas de este carácter y</w:t>
      </w:r>
      <w:r>
        <w:rPr>
          <w:sz w:val="20"/>
        </w:rPr>
        <w:t xml:space="preserve"> establecer normas y otras medidas que reconozcan y aseguren la efectiva igualdad ante la ley de todas las personas”</w:t>
      </w:r>
      <w:hyperlink w:anchor="_bookmark322" w:history="1">
        <w:r>
          <w:rPr>
            <w:position w:val="7"/>
            <w:sz w:val="13"/>
          </w:rPr>
          <w:t>273</w:t>
        </w:r>
      </w:hyperlink>
      <w:r>
        <w:rPr>
          <w:sz w:val="20"/>
        </w:rPr>
        <w:t>.</w:t>
      </w:r>
      <w:r>
        <w:rPr>
          <w:spacing w:val="-7"/>
          <w:sz w:val="20"/>
        </w:rPr>
        <w:t xml:space="preserve"> </w:t>
      </w:r>
      <w:r>
        <w:rPr>
          <w:sz w:val="20"/>
        </w:rPr>
        <w:t>Conforme</w:t>
      </w:r>
      <w:r>
        <w:rPr>
          <w:spacing w:val="-7"/>
          <w:sz w:val="20"/>
        </w:rPr>
        <w:t xml:space="preserve"> </w:t>
      </w:r>
      <w:r>
        <w:rPr>
          <w:sz w:val="20"/>
        </w:rPr>
        <w:t>a</w:t>
      </w:r>
      <w:r>
        <w:rPr>
          <w:spacing w:val="-3"/>
          <w:sz w:val="20"/>
        </w:rPr>
        <w:t xml:space="preserve"> </w:t>
      </w:r>
      <w:r>
        <w:rPr>
          <w:sz w:val="20"/>
        </w:rPr>
        <w:t>lo</w:t>
      </w:r>
      <w:r>
        <w:rPr>
          <w:spacing w:val="-7"/>
          <w:sz w:val="20"/>
        </w:rPr>
        <w:t xml:space="preserve"> </w:t>
      </w:r>
      <w:r>
        <w:rPr>
          <w:sz w:val="20"/>
        </w:rPr>
        <w:t>anterior,</w:t>
      </w:r>
      <w:r>
        <w:rPr>
          <w:spacing w:val="-4"/>
          <w:sz w:val="20"/>
        </w:rPr>
        <w:t xml:space="preserve"> </w:t>
      </w:r>
      <w:r>
        <w:rPr>
          <w:sz w:val="20"/>
        </w:rPr>
        <w:t>en</w:t>
      </w:r>
      <w:r>
        <w:rPr>
          <w:spacing w:val="-2"/>
          <w:sz w:val="20"/>
        </w:rPr>
        <w:t xml:space="preserve"> </w:t>
      </w:r>
      <w:r>
        <w:rPr>
          <w:sz w:val="20"/>
        </w:rPr>
        <w:t>este</w:t>
      </w:r>
      <w:r>
        <w:rPr>
          <w:spacing w:val="-7"/>
          <w:sz w:val="20"/>
        </w:rPr>
        <w:t xml:space="preserve"> </w:t>
      </w:r>
      <w:r>
        <w:rPr>
          <w:sz w:val="20"/>
        </w:rPr>
        <w:t>caso</w:t>
      </w:r>
      <w:r>
        <w:rPr>
          <w:spacing w:val="-2"/>
          <w:sz w:val="20"/>
        </w:rPr>
        <w:t xml:space="preserve"> </w:t>
      </w:r>
      <w:r>
        <w:rPr>
          <w:sz w:val="20"/>
        </w:rPr>
        <w:t>la</w:t>
      </w:r>
      <w:r>
        <w:rPr>
          <w:spacing w:val="-5"/>
          <w:sz w:val="20"/>
        </w:rPr>
        <w:t xml:space="preserve"> </w:t>
      </w:r>
      <w:r>
        <w:rPr>
          <w:sz w:val="20"/>
        </w:rPr>
        <w:t>Corte</w:t>
      </w:r>
      <w:r>
        <w:rPr>
          <w:spacing w:val="-7"/>
          <w:sz w:val="20"/>
        </w:rPr>
        <w:t xml:space="preserve"> </w:t>
      </w:r>
      <w:r>
        <w:rPr>
          <w:sz w:val="20"/>
        </w:rPr>
        <w:t>analizará</w:t>
      </w:r>
      <w:r>
        <w:rPr>
          <w:spacing w:val="-3"/>
          <w:sz w:val="20"/>
        </w:rPr>
        <w:t xml:space="preserve"> </w:t>
      </w:r>
      <w:r>
        <w:rPr>
          <w:sz w:val="20"/>
        </w:rPr>
        <w:t>las</w:t>
      </w:r>
      <w:r>
        <w:rPr>
          <w:spacing w:val="-5"/>
          <w:sz w:val="20"/>
        </w:rPr>
        <w:t xml:space="preserve"> </w:t>
      </w:r>
      <w:r>
        <w:rPr>
          <w:sz w:val="20"/>
        </w:rPr>
        <w:t>violaciones</w:t>
      </w:r>
      <w:r>
        <w:rPr>
          <w:spacing w:val="-4"/>
          <w:sz w:val="20"/>
        </w:rPr>
        <w:t xml:space="preserve"> </w:t>
      </w:r>
      <w:r>
        <w:rPr>
          <w:sz w:val="20"/>
        </w:rPr>
        <w:t>alegadas a</w:t>
      </w:r>
      <w:r>
        <w:rPr>
          <w:spacing w:val="-17"/>
          <w:sz w:val="20"/>
        </w:rPr>
        <w:t xml:space="preserve"> </w:t>
      </w:r>
      <w:r>
        <w:rPr>
          <w:sz w:val="20"/>
        </w:rPr>
        <w:t>la</w:t>
      </w:r>
      <w:r>
        <w:rPr>
          <w:spacing w:val="-16"/>
          <w:sz w:val="20"/>
        </w:rPr>
        <w:t xml:space="preserve"> </w:t>
      </w:r>
      <w:r>
        <w:rPr>
          <w:sz w:val="20"/>
        </w:rPr>
        <w:t>luz</w:t>
      </w:r>
      <w:r>
        <w:rPr>
          <w:spacing w:val="-16"/>
          <w:sz w:val="20"/>
        </w:rPr>
        <w:t xml:space="preserve"> </w:t>
      </w:r>
      <w:r>
        <w:rPr>
          <w:sz w:val="20"/>
        </w:rPr>
        <w:t>de</w:t>
      </w:r>
      <w:r>
        <w:rPr>
          <w:spacing w:val="-15"/>
          <w:sz w:val="20"/>
        </w:rPr>
        <w:t xml:space="preserve"> </w:t>
      </w:r>
      <w:r>
        <w:rPr>
          <w:sz w:val="20"/>
        </w:rPr>
        <w:t>los</w:t>
      </w:r>
      <w:r>
        <w:rPr>
          <w:spacing w:val="-15"/>
          <w:sz w:val="20"/>
        </w:rPr>
        <w:t xml:space="preserve"> </w:t>
      </w:r>
      <w:r>
        <w:rPr>
          <w:sz w:val="20"/>
        </w:rPr>
        <w:t>artículos</w:t>
      </w:r>
      <w:r>
        <w:rPr>
          <w:spacing w:val="-15"/>
          <w:sz w:val="20"/>
        </w:rPr>
        <w:t xml:space="preserve"> </w:t>
      </w:r>
      <w:r>
        <w:rPr>
          <w:sz w:val="20"/>
        </w:rPr>
        <w:t>1.1</w:t>
      </w:r>
      <w:r>
        <w:rPr>
          <w:spacing w:val="-17"/>
          <w:sz w:val="20"/>
        </w:rPr>
        <w:t xml:space="preserve"> </w:t>
      </w:r>
      <w:r>
        <w:rPr>
          <w:sz w:val="20"/>
        </w:rPr>
        <w:t>y</w:t>
      </w:r>
      <w:r>
        <w:rPr>
          <w:spacing w:val="-14"/>
          <w:sz w:val="20"/>
        </w:rPr>
        <w:t xml:space="preserve"> </w:t>
      </w:r>
      <w:r>
        <w:rPr>
          <w:sz w:val="20"/>
        </w:rPr>
        <w:t>24</w:t>
      </w:r>
      <w:r>
        <w:rPr>
          <w:spacing w:val="-13"/>
          <w:sz w:val="20"/>
        </w:rPr>
        <w:t xml:space="preserve"> </w:t>
      </w:r>
      <w:r>
        <w:rPr>
          <w:sz w:val="20"/>
        </w:rPr>
        <w:t>de</w:t>
      </w:r>
      <w:r>
        <w:rPr>
          <w:spacing w:val="-15"/>
          <w:sz w:val="20"/>
        </w:rPr>
        <w:t xml:space="preserve"> </w:t>
      </w:r>
      <w:r>
        <w:rPr>
          <w:sz w:val="20"/>
        </w:rPr>
        <w:t>la</w:t>
      </w:r>
      <w:r>
        <w:rPr>
          <w:spacing w:val="-16"/>
          <w:sz w:val="20"/>
        </w:rPr>
        <w:t xml:space="preserve"> </w:t>
      </w:r>
      <w:r>
        <w:rPr>
          <w:sz w:val="20"/>
        </w:rPr>
        <w:t>Convención,</w:t>
      </w:r>
      <w:r>
        <w:rPr>
          <w:spacing w:val="-18"/>
          <w:sz w:val="20"/>
        </w:rPr>
        <w:t xml:space="preserve"> </w:t>
      </w:r>
      <w:r>
        <w:rPr>
          <w:sz w:val="20"/>
        </w:rPr>
        <w:t>toda</w:t>
      </w:r>
      <w:r>
        <w:rPr>
          <w:spacing w:val="-14"/>
          <w:sz w:val="20"/>
        </w:rPr>
        <w:t xml:space="preserve"> </w:t>
      </w:r>
      <w:r>
        <w:rPr>
          <w:sz w:val="20"/>
        </w:rPr>
        <w:t>vez</w:t>
      </w:r>
      <w:r>
        <w:rPr>
          <w:spacing w:val="-16"/>
          <w:sz w:val="20"/>
        </w:rPr>
        <w:t xml:space="preserve"> </w:t>
      </w:r>
      <w:r>
        <w:rPr>
          <w:sz w:val="20"/>
        </w:rPr>
        <w:t>que</w:t>
      </w:r>
      <w:r>
        <w:rPr>
          <w:spacing w:val="-18"/>
          <w:sz w:val="20"/>
        </w:rPr>
        <w:t xml:space="preserve"> </w:t>
      </w:r>
      <w:r>
        <w:rPr>
          <w:sz w:val="20"/>
        </w:rPr>
        <w:t>los</w:t>
      </w:r>
      <w:r>
        <w:rPr>
          <w:spacing w:val="-15"/>
          <w:sz w:val="20"/>
        </w:rPr>
        <w:t xml:space="preserve"> </w:t>
      </w:r>
      <w:r>
        <w:rPr>
          <w:sz w:val="20"/>
        </w:rPr>
        <w:t>argumentos</w:t>
      </w:r>
      <w:r>
        <w:rPr>
          <w:spacing w:val="-15"/>
          <w:sz w:val="20"/>
        </w:rPr>
        <w:t xml:space="preserve"> </w:t>
      </w:r>
      <w:r>
        <w:rPr>
          <w:sz w:val="20"/>
        </w:rPr>
        <w:t>de</w:t>
      </w:r>
      <w:r>
        <w:rPr>
          <w:spacing w:val="-16"/>
          <w:sz w:val="20"/>
        </w:rPr>
        <w:t xml:space="preserve"> </w:t>
      </w:r>
      <w:r>
        <w:rPr>
          <w:sz w:val="20"/>
        </w:rPr>
        <w:t>la</w:t>
      </w:r>
      <w:r>
        <w:rPr>
          <w:spacing w:val="-14"/>
          <w:sz w:val="20"/>
        </w:rPr>
        <w:t xml:space="preserve"> </w:t>
      </w:r>
      <w:r>
        <w:rPr>
          <w:sz w:val="20"/>
        </w:rPr>
        <w:t>Comisión</w:t>
      </w:r>
    </w:p>
    <w:p w14:paraId="51D3B40B" w14:textId="77777777" w:rsidR="00467FCA" w:rsidRDefault="001B68EB">
      <w:pPr>
        <w:pStyle w:val="Textoindependiente"/>
        <w:spacing w:before="8"/>
        <w:rPr>
          <w:sz w:val="21"/>
        </w:rPr>
      </w:pPr>
      <w:r>
        <w:pict w14:anchorId="4387CE6F">
          <v:shape id="_x0000_s1147" style="position:absolute;margin-left:1in;margin-top:15.45pt;width:2in;height:.1pt;z-index:-251608064;mso-wrap-distance-left:0;mso-wrap-distance-right:0;mso-position-horizontal-relative:page" coordorigin="1440,309" coordsize="2880,0" path="m1440,309r2880,e" filled="f" strokeweight=".6pt">
            <v:path arrowok="t"/>
            <w10:wrap type="topAndBottom" anchorx="page"/>
          </v:shape>
        </w:pict>
      </w:r>
    </w:p>
    <w:p w14:paraId="41AEF0DF" w14:textId="77777777" w:rsidR="00467FCA" w:rsidRDefault="001B68EB">
      <w:pPr>
        <w:tabs>
          <w:tab w:val="left" w:pos="839"/>
        </w:tabs>
        <w:spacing w:before="74"/>
        <w:ind w:left="115" w:right="115" w:firstLine="4"/>
        <w:jc w:val="both"/>
        <w:rPr>
          <w:sz w:val="16"/>
        </w:rPr>
      </w:pPr>
      <w:bookmarkStart w:id="366" w:name="_bookmark318"/>
      <w:bookmarkEnd w:id="366"/>
      <w:r>
        <w:rPr>
          <w:position w:val="6"/>
          <w:sz w:val="10"/>
        </w:rPr>
        <w:t>269</w:t>
      </w:r>
      <w:r>
        <w:rPr>
          <w:position w:val="6"/>
          <w:sz w:val="10"/>
        </w:rPr>
        <w:tab/>
      </w:r>
      <w:r>
        <w:rPr>
          <w:sz w:val="16"/>
        </w:rPr>
        <w:t>Esta</w:t>
      </w:r>
      <w:r>
        <w:rPr>
          <w:spacing w:val="-2"/>
          <w:sz w:val="16"/>
        </w:rPr>
        <w:t xml:space="preserve"> </w:t>
      </w:r>
      <w:r>
        <w:rPr>
          <w:sz w:val="16"/>
        </w:rPr>
        <w:t>conclusión</w:t>
      </w:r>
      <w:r>
        <w:rPr>
          <w:spacing w:val="-2"/>
          <w:sz w:val="16"/>
        </w:rPr>
        <w:t xml:space="preserve"> </w:t>
      </w:r>
      <w:r>
        <w:rPr>
          <w:sz w:val="16"/>
        </w:rPr>
        <w:t>es</w:t>
      </w:r>
      <w:r>
        <w:rPr>
          <w:spacing w:val="-2"/>
          <w:sz w:val="16"/>
        </w:rPr>
        <w:t xml:space="preserve"> </w:t>
      </w:r>
      <w:r>
        <w:rPr>
          <w:sz w:val="16"/>
        </w:rPr>
        <w:t>reforzada</w:t>
      </w:r>
      <w:r>
        <w:rPr>
          <w:spacing w:val="-7"/>
          <w:sz w:val="16"/>
        </w:rPr>
        <w:t xml:space="preserve"> </w:t>
      </w:r>
      <w:r>
        <w:rPr>
          <w:sz w:val="16"/>
        </w:rPr>
        <w:t>por</w:t>
      </w:r>
      <w:r>
        <w:rPr>
          <w:spacing w:val="-2"/>
          <w:sz w:val="16"/>
        </w:rPr>
        <w:t xml:space="preserve"> </w:t>
      </w:r>
      <w:r>
        <w:rPr>
          <w:sz w:val="16"/>
        </w:rPr>
        <w:t>el</w:t>
      </w:r>
      <w:r>
        <w:rPr>
          <w:spacing w:val="-4"/>
          <w:sz w:val="16"/>
        </w:rPr>
        <w:t xml:space="preserve"> </w:t>
      </w:r>
      <w:r>
        <w:rPr>
          <w:sz w:val="16"/>
        </w:rPr>
        <w:t>contenido</w:t>
      </w:r>
      <w:r>
        <w:rPr>
          <w:spacing w:val="-3"/>
          <w:sz w:val="16"/>
        </w:rPr>
        <w:t xml:space="preserve"> </w:t>
      </w:r>
      <w:r>
        <w:rPr>
          <w:sz w:val="16"/>
        </w:rPr>
        <w:t>de los</w:t>
      </w:r>
      <w:r>
        <w:rPr>
          <w:spacing w:val="-3"/>
          <w:sz w:val="16"/>
        </w:rPr>
        <w:t xml:space="preserve"> </w:t>
      </w:r>
      <w:r>
        <w:rPr>
          <w:sz w:val="16"/>
        </w:rPr>
        <w:t>Convenios</w:t>
      </w:r>
      <w:r>
        <w:rPr>
          <w:spacing w:val="-3"/>
          <w:sz w:val="16"/>
        </w:rPr>
        <w:t xml:space="preserve"> </w:t>
      </w:r>
      <w:r>
        <w:rPr>
          <w:sz w:val="16"/>
        </w:rPr>
        <w:t>de</w:t>
      </w:r>
      <w:r>
        <w:rPr>
          <w:spacing w:val="-2"/>
          <w:sz w:val="16"/>
        </w:rPr>
        <w:t xml:space="preserve"> </w:t>
      </w:r>
      <w:r>
        <w:rPr>
          <w:sz w:val="16"/>
        </w:rPr>
        <w:t>la</w:t>
      </w:r>
      <w:r>
        <w:rPr>
          <w:spacing w:val="-4"/>
          <w:sz w:val="16"/>
        </w:rPr>
        <w:t xml:space="preserve"> </w:t>
      </w:r>
      <w:r>
        <w:rPr>
          <w:sz w:val="16"/>
        </w:rPr>
        <w:t>OIT</w:t>
      </w:r>
      <w:r>
        <w:rPr>
          <w:spacing w:val="-3"/>
          <w:sz w:val="16"/>
        </w:rPr>
        <w:t xml:space="preserve"> </w:t>
      </w:r>
      <w:r>
        <w:rPr>
          <w:sz w:val="16"/>
        </w:rPr>
        <w:t>sobre</w:t>
      </w:r>
      <w:r>
        <w:rPr>
          <w:spacing w:val="-3"/>
          <w:sz w:val="16"/>
        </w:rPr>
        <w:t xml:space="preserve"> </w:t>
      </w:r>
      <w:r>
        <w:rPr>
          <w:sz w:val="16"/>
        </w:rPr>
        <w:t>trabajo</w:t>
      </w:r>
      <w:r>
        <w:rPr>
          <w:spacing w:val="-3"/>
          <w:sz w:val="16"/>
        </w:rPr>
        <w:t xml:space="preserve"> </w:t>
      </w:r>
      <w:r>
        <w:rPr>
          <w:sz w:val="16"/>
        </w:rPr>
        <w:t>infantil</w:t>
      </w:r>
      <w:r>
        <w:rPr>
          <w:spacing w:val="-1"/>
          <w:sz w:val="16"/>
        </w:rPr>
        <w:t xml:space="preserve"> </w:t>
      </w:r>
      <w:r>
        <w:rPr>
          <w:sz w:val="16"/>
        </w:rPr>
        <w:t>que,</w:t>
      </w:r>
      <w:r>
        <w:rPr>
          <w:spacing w:val="-2"/>
          <w:sz w:val="16"/>
        </w:rPr>
        <w:t xml:space="preserve"> </w:t>
      </w:r>
      <w:r>
        <w:rPr>
          <w:sz w:val="16"/>
        </w:rPr>
        <w:t>aunque fueron</w:t>
      </w:r>
      <w:r>
        <w:rPr>
          <w:spacing w:val="-4"/>
          <w:sz w:val="16"/>
        </w:rPr>
        <w:t xml:space="preserve"> </w:t>
      </w:r>
      <w:r>
        <w:rPr>
          <w:sz w:val="16"/>
        </w:rPr>
        <w:t>ratificados</w:t>
      </w:r>
      <w:r>
        <w:rPr>
          <w:spacing w:val="-4"/>
          <w:sz w:val="16"/>
        </w:rPr>
        <w:t xml:space="preserve"> </w:t>
      </w:r>
      <w:r>
        <w:rPr>
          <w:sz w:val="16"/>
        </w:rPr>
        <w:t>por</w:t>
      </w:r>
      <w:r>
        <w:rPr>
          <w:spacing w:val="-4"/>
          <w:sz w:val="16"/>
        </w:rPr>
        <w:t xml:space="preserve"> </w:t>
      </w:r>
      <w:r>
        <w:rPr>
          <w:sz w:val="16"/>
        </w:rPr>
        <w:t>Brasil</w:t>
      </w:r>
      <w:r>
        <w:rPr>
          <w:spacing w:val="-3"/>
          <w:sz w:val="16"/>
        </w:rPr>
        <w:t xml:space="preserve"> </w:t>
      </w:r>
      <w:r>
        <w:rPr>
          <w:sz w:val="16"/>
        </w:rPr>
        <w:t>luego</w:t>
      </w:r>
      <w:r>
        <w:rPr>
          <w:spacing w:val="-4"/>
          <w:sz w:val="16"/>
        </w:rPr>
        <w:t xml:space="preserve"> </w:t>
      </w:r>
      <w:r>
        <w:rPr>
          <w:sz w:val="16"/>
        </w:rPr>
        <w:t>de</w:t>
      </w:r>
      <w:r>
        <w:rPr>
          <w:spacing w:val="-4"/>
          <w:sz w:val="16"/>
        </w:rPr>
        <w:t xml:space="preserve"> </w:t>
      </w:r>
      <w:r>
        <w:rPr>
          <w:sz w:val="16"/>
        </w:rPr>
        <w:t>la</w:t>
      </w:r>
      <w:r>
        <w:rPr>
          <w:spacing w:val="-3"/>
          <w:sz w:val="16"/>
        </w:rPr>
        <w:t xml:space="preserve"> </w:t>
      </w:r>
      <w:r>
        <w:rPr>
          <w:sz w:val="16"/>
        </w:rPr>
        <w:t>fecha</w:t>
      </w:r>
      <w:r>
        <w:rPr>
          <w:spacing w:val="-2"/>
          <w:sz w:val="16"/>
        </w:rPr>
        <w:t xml:space="preserve"> </w:t>
      </w:r>
      <w:r>
        <w:rPr>
          <w:sz w:val="16"/>
        </w:rPr>
        <w:t>de</w:t>
      </w:r>
      <w:r>
        <w:rPr>
          <w:spacing w:val="-5"/>
          <w:sz w:val="16"/>
        </w:rPr>
        <w:t xml:space="preserve"> </w:t>
      </w:r>
      <w:r>
        <w:rPr>
          <w:sz w:val="16"/>
        </w:rPr>
        <w:t>los</w:t>
      </w:r>
      <w:r>
        <w:rPr>
          <w:spacing w:val="-1"/>
          <w:sz w:val="16"/>
        </w:rPr>
        <w:t xml:space="preserve"> </w:t>
      </w:r>
      <w:r>
        <w:rPr>
          <w:sz w:val="16"/>
        </w:rPr>
        <w:t>hechos,</w:t>
      </w:r>
      <w:r>
        <w:rPr>
          <w:spacing w:val="-6"/>
          <w:sz w:val="16"/>
        </w:rPr>
        <w:t xml:space="preserve"> </w:t>
      </w:r>
      <w:r>
        <w:rPr>
          <w:sz w:val="16"/>
        </w:rPr>
        <w:t>indican</w:t>
      </w:r>
      <w:r>
        <w:rPr>
          <w:spacing w:val="-2"/>
          <w:sz w:val="16"/>
        </w:rPr>
        <w:t xml:space="preserve"> </w:t>
      </w:r>
      <w:r>
        <w:rPr>
          <w:sz w:val="16"/>
        </w:rPr>
        <w:t>que</w:t>
      </w:r>
      <w:r>
        <w:rPr>
          <w:spacing w:val="-2"/>
          <w:sz w:val="16"/>
        </w:rPr>
        <w:t xml:space="preserve"> </w:t>
      </w:r>
      <w:r>
        <w:rPr>
          <w:sz w:val="16"/>
        </w:rPr>
        <w:t>menores</w:t>
      </w:r>
      <w:r>
        <w:rPr>
          <w:spacing w:val="-4"/>
          <w:sz w:val="16"/>
        </w:rPr>
        <w:t xml:space="preserve"> </w:t>
      </w:r>
      <w:r>
        <w:rPr>
          <w:sz w:val="16"/>
        </w:rPr>
        <w:t>de</w:t>
      </w:r>
      <w:r>
        <w:rPr>
          <w:spacing w:val="-5"/>
          <w:sz w:val="16"/>
        </w:rPr>
        <w:t xml:space="preserve"> </w:t>
      </w:r>
      <w:r>
        <w:rPr>
          <w:sz w:val="16"/>
        </w:rPr>
        <w:t>18</w:t>
      </w:r>
      <w:r>
        <w:rPr>
          <w:spacing w:val="-3"/>
          <w:sz w:val="16"/>
        </w:rPr>
        <w:t xml:space="preserve"> </w:t>
      </w:r>
      <w:r>
        <w:rPr>
          <w:sz w:val="16"/>
        </w:rPr>
        <w:t>años</w:t>
      </w:r>
      <w:r>
        <w:rPr>
          <w:spacing w:val="-2"/>
          <w:sz w:val="16"/>
        </w:rPr>
        <w:t xml:space="preserve"> </w:t>
      </w:r>
      <w:r>
        <w:rPr>
          <w:sz w:val="16"/>
        </w:rPr>
        <w:t>no</w:t>
      </w:r>
      <w:r>
        <w:rPr>
          <w:spacing w:val="-3"/>
          <w:sz w:val="16"/>
        </w:rPr>
        <w:t xml:space="preserve"> </w:t>
      </w:r>
      <w:r>
        <w:rPr>
          <w:sz w:val="16"/>
        </w:rPr>
        <w:t>deben</w:t>
      </w:r>
      <w:r>
        <w:rPr>
          <w:spacing w:val="-3"/>
          <w:sz w:val="16"/>
        </w:rPr>
        <w:t xml:space="preserve"> </w:t>
      </w:r>
      <w:r>
        <w:rPr>
          <w:sz w:val="16"/>
        </w:rPr>
        <w:t>desempeñar trabajos</w:t>
      </w:r>
      <w:r>
        <w:rPr>
          <w:spacing w:val="-8"/>
          <w:sz w:val="16"/>
        </w:rPr>
        <w:t xml:space="preserve"> </w:t>
      </w:r>
      <w:r>
        <w:rPr>
          <w:sz w:val="16"/>
        </w:rPr>
        <w:t>peligrosos.</w:t>
      </w:r>
      <w:r>
        <w:rPr>
          <w:spacing w:val="-6"/>
          <w:sz w:val="16"/>
        </w:rPr>
        <w:t xml:space="preserve"> </w:t>
      </w:r>
      <w:r>
        <w:rPr>
          <w:sz w:val="16"/>
        </w:rPr>
        <w:t>En</w:t>
      </w:r>
      <w:r>
        <w:rPr>
          <w:spacing w:val="-6"/>
          <w:sz w:val="16"/>
        </w:rPr>
        <w:t xml:space="preserve"> </w:t>
      </w:r>
      <w:r>
        <w:rPr>
          <w:sz w:val="16"/>
        </w:rPr>
        <w:t>ese</w:t>
      </w:r>
      <w:r>
        <w:rPr>
          <w:spacing w:val="-5"/>
          <w:sz w:val="16"/>
        </w:rPr>
        <w:t xml:space="preserve"> </w:t>
      </w:r>
      <w:r>
        <w:rPr>
          <w:sz w:val="16"/>
        </w:rPr>
        <w:t>sentido,</w:t>
      </w:r>
      <w:r>
        <w:rPr>
          <w:spacing w:val="-4"/>
          <w:sz w:val="16"/>
        </w:rPr>
        <w:t xml:space="preserve"> </w:t>
      </w:r>
      <w:r>
        <w:rPr>
          <w:sz w:val="16"/>
        </w:rPr>
        <w:t>el</w:t>
      </w:r>
      <w:r>
        <w:rPr>
          <w:spacing w:val="-7"/>
          <w:sz w:val="16"/>
        </w:rPr>
        <w:t xml:space="preserve"> </w:t>
      </w:r>
      <w:r>
        <w:rPr>
          <w:sz w:val="16"/>
        </w:rPr>
        <w:t>Convenio</w:t>
      </w:r>
      <w:r>
        <w:rPr>
          <w:spacing w:val="-7"/>
          <w:sz w:val="16"/>
        </w:rPr>
        <w:t xml:space="preserve"> </w:t>
      </w:r>
      <w:r>
        <w:rPr>
          <w:sz w:val="16"/>
        </w:rPr>
        <w:t>138</w:t>
      </w:r>
      <w:r>
        <w:rPr>
          <w:spacing w:val="-6"/>
          <w:sz w:val="16"/>
        </w:rPr>
        <w:t xml:space="preserve"> </w:t>
      </w:r>
      <w:r>
        <w:rPr>
          <w:sz w:val="16"/>
        </w:rPr>
        <w:t>de</w:t>
      </w:r>
      <w:r>
        <w:rPr>
          <w:spacing w:val="-5"/>
          <w:sz w:val="16"/>
        </w:rPr>
        <w:t xml:space="preserve"> </w:t>
      </w:r>
      <w:r>
        <w:rPr>
          <w:sz w:val="16"/>
        </w:rPr>
        <w:t>1993</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OIT</w:t>
      </w:r>
      <w:r>
        <w:rPr>
          <w:spacing w:val="-6"/>
          <w:sz w:val="16"/>
        </w:rPr>
        <w:t xml:space="preserve"> </w:t>
      </w:r>
      <w:r>
        <w:rPr>
          <w:sz w:val="16"/>
        </w:rPr>
        <w:t>sobre</w:t>
      </w:r>
      <w:r>
        <w:rPr>
          <w:spacing w:val="-5"/>
          <w:sz w:val="16"/>
        </w:rPr>
        <w:t xml:space="preserve"> </w:t>
      </w:r>
      <w:r>
        <w:rPr>
          <w:sz w:val="16"/>
        </w:rPr>
        <w:t>edad</w:t>
      </w:r>
      <w:r>
        <w:rPr>
          <w:spacing w:val="-5"/>
          <w:sz w:val="16"/>
        </w:rPr>
        <w:t xml:space="preserve"> </w:t>
      </w:r>
      <w:r>
        <w:rPr>
          <w:sz w:val="16"/>
        </w:rPr>
        <w:t>mínima,</w:t>
      </w:r>
      <w:r>
        <w:rPr>
          <w:spacing w:val="-4"/>
          <w:sz w:val="16"/>
        </w:rPr>
        <w:t xml:space="preserve"> </w:t>
      </w:r>
      <w:r>
        <w:rPr>
          <w:sz w:val="16"/>
        </w:rPr>
        <w:t>establece</w:t>
      </w:r>
      <w:r>
        <w:rPr>
          <w:spacing w:val="-5"/>
          <w:sz w:val="16"/>
        </w:rPr>
        <w:t xml:space="preserve"> </w:t>
      </w:r>
      <w:r>
        <w:rPr>
          <w:sz w:val="16"/>
        </w:rPr>
        <w:t>que</w:t>
      </w:r>
      <w:r>
        <w:rPr>
          <w:spacing w:val="-7"/>
          <w:sz w:val="16"/>
        </w:rPr>
        <w:t xml:space="preserve"> </w:t>
      </w:r>
      <w:r>
        <w:rPr>
          <w:sz w:val="16"/>
        </w:rPr>
        <w:t>“[l]a</w:t>
      </w:r>
      <w:r>
        <w:rPr>
          <w:spacing w:val="-3"/>
          <w:sz w:val="16"/>
        </w:rPr>
        <w:t xml:space="preserve"> </w:t>
      </w:r>
      <w:r>
        <w:rPr>
          <w:sz w:val="16"/>
        </w:rPr>
        <w:t>edad mínima</w:t>
      </w:r>
      <w:r>
        <w:rPr>
          <w:spacing w:val="-6"/>
          <w:sz w:val="16"/>
        </w:rPr>
        <w:t xml:space="preserve"> </w:t>
      </w:r>
      <w:r>
        <w:rPr>
          <w:sz w:val="16"/>
        </w:rPr>
        <w:t>de</w:t>
      </w:r>
      <w:r>
        <w:rPr>
          <w:spacing w:val="-5"/>
          <w:sz w:val="16"/>
        </w:rPr>
        <w:t xml:space="preserve"> </w:t>
      </w:r>
      <w:r>
        <w:rPr>
          <w:sz w:val="16"/>
        </w:rPr>
        <w:t>admisión</w:t>
      </w:r>
      <w:r>
        <w:rPr>
          <w:spacing w:val="-6"/>
          <w:sz w:val="16"/>
        </w:rPr>
        <w:t xml:space="preserve"> </w:t>
      </w:r>
      <w:r>
        <w:rPr>
          <w:sz w:val="16"/>
        </w:rPr>
        <w:t>a</w:t>
      </w:r>
      <w:r>
        <w:rPr>
          <w:spacing w:val="-5"/>
          <w:sz w:val="16"/>
        </w:rPr>
        <w:t xml:space="preserve"> </w:t>
      </w:r>
      <w:r>
        <w:rPr>
          <w:sz w:val="16"/>
        </w:rPr>
        <w:t>todo</w:t>
      </w:r>
      <w:r>
        <w:rPr>
          <w:spacing w:val="-4"/>
          <w:sz w:val="16"/>
        </w:rPr>
        <w:t xml:space="preserve"> </w:t>
      </w:r>
      <w:r>
        <w:rPr>
          <w:sz w:val="16"/>
        </w:rPr>
        <w:t>tipo</w:t>
      </w:r>
      <w:r>
        <w:rPr>
          <w:spacing w:val="-4"/>
          <w:sz w:val="16"/>
        </w:rPr>
        <w:t xml:space="preserve"> </w:t>
      </w:r>
      <w:r>
        <w:rPr>
          <w:sz w:val="16"/>
        </w:rPr>
        <w:t>de</w:t>
      </w:r>
      <w:r>
        <w:rPr>
          <w:spacing w:val="-7"/>
          <w:sz w:val="16"/>
        </w:rPr>
        <w:t xml:space="preserve"> </w:t>
      </w:r>
      <w:r>
        <w:rPr>
          <w:sz w:val="16"/>
        </w:rPr>
        <w:t>empleo</w:t>
      </w:r>
      <w:r>
        <w:rPr>
          <w:spacing w:val="-3"/>
          <w:sz w:val="16"/>
        </w:rPr>
        <w:t xml:space="preserve"> </w:t>
      </w:r>
      <w:r>
        <w:rPr>
          <w:sz w:val="16"/>
        </w:rPr>
        <w:t>o</w:t>
      </w:r>
      <w:r>
        <w:rPr>
          <w:spacing w:val="-7"/>
          <w:sz w:val="16"/>
        </w:rPr>
        <w:t xml:space="preserve"> </w:t>
      </w:r>
      <w:r>
        <w:rPr>
          <w:sz w:val="16"/>
        </w:rPr>
        <w:t>trabajo</w:t>
      </w:r>
      <w:r>
        <w:rPr>
          <w:spacing w:val="-4"/>
          <w:sz w:val="16"/>
        </w:rPr>
        <w:t xml:space="preserve"> </w:t>
      </w:r>
      <w:r>
        <w:rPr>
          <w:sz w:val="16"/>
        </w:rPr>
        <w:t>que</w:t>
      </w:r>
      <w:r>
        <w:rPr>
          <w:spacing w:val="-6"/>
          <w:sz w:val="16"/>
        </w:rPr>
        <w:t xml:space="preserve"> </w:t>
      </w:r>
      <w:r>
        <w:rPr>
          <w:sz w:val="16"/>
        </w:rPr>
        <w:t>por</w:t>
      </w:r>
      <w:r>
        <w:rPr>
          <w:spacing w:val="-6"/>
          <w:sz w:val="16"/>
        </w:rPr>
        <w:t xml:space="preserve"> </w:t>
      </w:r>
      <w:r>
        <w:rPr>
          <w:sz w:val="16"/>
        </w:rPr>
        <w:t>su</w:t>
      </w:r>
      <w:r>
        <w:rPr>
          <w:spacing w:val="-6"/>
          <w:sz w:val="16"/>
        </w:rPr>
        <w:t xml:space="preserve"> </w:t>
      </w:r>
      <w:r>
        <w:rPr>
          <w:sz w:val="16"/>
        </w:rPr>
        <w:t>naturaleza</w:t>
      </w:r>
      <w:r>
        <w:rPr>
          <w:spacing w:val="-5"/>
          <w:sz w:val="16"/>
        </w:rPr>
        <w:t xml:space="preserve"> </w:t>
      </w:r>
      <w:r>
        <w:rPr>
          <w:sz w:val="16"/>
        </w:rPr>
        <w:t>o</w:t>
      </w:r>
      <w:r>
        <w:rPr>
          <w:spacing w:val="-3"/>
          <w:sz w:val="16"/>
        </w:rPr>
        <w:t xml:space="preserve"> </w:t>
      </w:r>
      <w:r>
        <w:rPr>
          <w:sz w:val="16"/>
        </w:rPr>
        <w:t>las</w:t>
      </w:r>
      <w:r>
        <w:rPr>
          <w:spacing w:val="-5"/>
          <w:sz w:val="16"/>
        </w:rPr>
        <w:t xml:space="preserve"> </w:t>
      </w:r>
      <w:r>
        <w:rPr>
          <w:sz w:val="16"/>
        </w:rPr>
        <w:t>condiciones</w:t>
      </w:r>
      <w:r>
        <w:rPr>
          <w:spacing w:val="-5"/>
          <w:sz w:val="16"/>
        </w:rPr>
        <w:t xml:space="preserve"> </w:t>
      </w:r>
      <w:r>
        <w:rPr>
          <w:sz w:val="16"/>
        </w:rPr>
        <w:t>en</w:t>
      </w:r>
      <w:r>
        <w:rPr>
          <w:spacing w:val="-5"/>
          <w:sz w:val="16"/>
        </w:rPr>
        <w:t xml:space="preserve"> </w:t>
      </w:r>
      <w:r>
        <w:rPr>
          <w:sz w:val="16"/>
        </w:rPr>
        <w:t>que</w:t>
      </w:r>
      <w:r>
        <w:rPr>
          <w:spacing w:val="-7"/>
          <w:sz w:val="16"/>
        </w:rPr>
        <w:t xml:space="preserve"> </w:t>
      </w:r>
      <w:r>
        <w:rPr>
          <w:sz w:val="16"/>
        </w:rPr>
        <w:t>se</w:t>
      </w:r>
      <w:r>
        <w:rPr>
          <w:spacing w:val="-7"/>
          <w:sz w:val="16"/>
        </w:rPr>
        <w:t xml:space="preserve"> </w:t>
      </w:r>
      <w:r>
        <w:rPr>
          <w:sz w:val="16"/>
        </w:rPr>
        <w:t>realice</w:t>
      </w:r>
      <w:r>
        <w:rPr>
          <w:spacing w:val="-5"/>
          <w:sz w:val="16"/>
        </w:rPr>
        <w:t xml:space="preserve"> </w:t>
      </w:r>
      <w:r>
        <w:rPr>
          <w:sz w:val="16"/>
        </w:rPr>
        <w:t>pueda resultar peligroso para la salud, la seguridad o la moralidad de los menores no deberá ser inferior a dieciocho años” (Brasil</w:t>
      </w:r>
      <w:r>
        <w:rPr>
          <w:spacing w:val="-8"/>
          <w:sz w:val="16"/>
        </w:rPr>
        <w:t xml:space="preserve"> </w:t>
      </w:r>
      <w:r>
        <w:rPr>
          <w:sz w:val="16"/>
        </w:rPr>
        <w:t>ratificó</w:t>
      </w:r>
      <w:r>
        <w:rPr>
          <w:spacing w:val="-9"/>
          <w:sz w:val="16"/>
        </w:rPr>
        <w:t xml:space="preserve"> </w:t>
      </w:r>
      <w:r>
        <w:rPr>
          <w:sz w:val="16"/>
        </w:rPr>
        <w:t>el</w:t>
      </w:r>
      <w:r>
        <w:rPr>
          <w:spacing w:val="-8"/>
          <w:sz w:val="16"/>
        </w:rPr>
        <w:t xml:space="preserve"> </w:t>
      </w:r>
      <w:r>
        <w:rPr>
          <w:sz w:val="16"/>
        </w:rPr>
        <w:t>Convenio</w:t>
      </w:r>
      <w:r>
        <w:rPr>
          <w:spacing w:val="-9"/>
          <w:sz w:val="16"/>
        </w:rPr>
        <w:t xml:space="preserve"> </w:t>
      </w:r>
      <w:r>
        <w:rPr>
          <w:sz w:val="16"/>
        </w:rPr>
        <w:t>138</w:t>
      </w:r>
      <w:r>
        <w:rPr>
          <w:spacing w:val="-8"/>
          <w:sz w:val="16"/>
        </w:rPr>
        <w:t xml:space="preserve"> </w:t>
      </w:r>
      <w:r>
        <w:rPr>
          <w:sz w:val="16"/>
        </w:rPr>
        <w:t>de</w:t>
      </w:r>
      <w:r>
        <w:rPr>
          <w:spacing w:val="-10"/>
          <w:sz w:val="16"/>
        </w:rPr>
        <w:t xml:space="preserve"> </w:t>
      </w:r>
      <w:r>
        <w:rPr>
          <w:sz w:val="16"/>
        </w:rPr>
        <w:t>1973</w:t>
      </w:r>
      <w:r>
        <w:rPr>
          <w:spacing w:val="-7"/>
          <w:sz w:val="16"/>
        </w:rPr>
        <w:t xml:space="preserve"> </w:t>
      </w:r>
      <w:r>
        <w:rPr>
          <w:sz w:val="16"/>
        </w:rPr>
        <w:t>el</w:t>
      </w:r>
      <w:r>
        <w:rPr>
          <w:spacing w:val="-11"/>
          <w:sz w:val="16"/>
        </w:rPr>
        <w:t xml:space="preserve"> </w:t>
      </w:r>
      <w:r>
        <w:rPr>
          <w:sz w:val="16"/>
        </w:rPr>
        <w:t>28</w:t>
      </w:r>
      <w:r>
        <w:rPr>
          <w:spacing w:val="-8"/>
          <w:sz w:val="16"/>
        </w:rPr>
        <w:t xml:space="preserve"> </w:t>
      </w:r>
      <w:r>
        <w:rPr>
          <w:sz w:val="16"/>
        </w:rPr>
        <w:t>de</w:t>
      </w:r>
      <w:r>
        <w:rPr>
          <w:spacing w:val="-7"/>
          <w:sz w:val="16"/>
        </w:rPr>
        <w:t xml:space="preserve"> </w:t>
      </w:r>
      <w:r>
        <w:rPr>
          <w:sz w:val="16"/>
        </w:rPr>
        <w:t>junio</w:t>
      </w:r>
      <w:r>
        <w:rPr>
          <w:spacing w:val="-7"/>
          <w:sz w:val="16"/>
        </w:rPr>
        <w:t xml:space="preserve"> </w:t>
      </w:r>
      <w:r>
        <w:rPr>
          <w:sz w:val="16"/>
        </w:rPr>
        <w:t>de</w:t>
      </w:r>
      <w:r>
        <w:rPr>
          <w:spacing w:val="-9"/>
          <w:sz w:val="16"/>
        </w:rPr>
        <w:t xml:space="preserve"> </w:t>
      </w:r>
      <w:r>
        <w:rPr>
          <w:sz w:val="16"/>
        </w:rPr>
        <w:t>2001,</w:t>
      </w:r>
      <w:r>
        <w:rPr>
          <w:spacing w:val="-7"/>
          <w:sz w:val="16"/>
        </w:rPr>
        <w:t xml:space="preserve"> </w:t>
      </w:r>
      <w:r>
        <w:rPr>
          <w:sz w:val="16"/>
        </w:rPr>
        <w:t>es</w:t>
      </w:r>
      <w:r>
        <w:rPr>
          <w:spacing w:val="-9"/>
          <w:sz w:val="16"/>
        </w:rPr>
        <w:t xml:space="preserve"> </w:t>
      </w:r>
      <w:r>
        <w:rPr>
          <w:sz w:val="16"/>
        </w:rPr>
        <w:t>decir,</w:t>
      </w:r>
      <w:r>
        <w:rPr>
          <w:spacing w:val="-8"/>
          <w:sz w:val="16"/>
        </w:rPr>
        <w:t xml:space="preserve"> </w:t>
      </w:r>
      <w:r>
        <w:rPr>
          <w:sz w:val="16"/>
        </w:rPr>
        <w:t>luego</w:t>
      </w:r>
      <w:r>
        <w:rPr>
          <w:spacing w:val="-7"/>
          <w:sz w:val="16"/>
        </w:rPr>
        <w:t xml:space="preserve"> </w:t>
      </w:r>
      <w:r>
        <w:rPr>
          <w:sz w:val="16"/>
        </w:rPr>
        <w:t>de</w:t>
      </w:r>
      <w:r>
        <w:rPr>
          <w:spacing w:val="-7"/>
          <w:sz w:val="16"/>
        </w:rPr>
        <w:t xml:space="preserve"> </w:t>
      </w:r>
      <w:r>
        <w:rPr>
          <w:sz w:val="16"/>
        </w:rPr>
        <w:t>ocurridos</w:t>
      </w:r>
      <w:r>
        <w:rPr>
          <w:spacing w:val="-9"/>
          <w:sz w:val="16"/>
        </w:rPr>
        <w:t xml:space="preserve"> </w:t>
      </w:r>
      <w:r>
        <w:rPr>
          <w:sz w:val="16"/>
        </w:rPr>
        <w:t>los</w:t>
      </w:r>
      <w:r>
        <w:rPr>
          <w:spacing w:val="-7"/>
          <w:sz w:val="16"/>
        </w:rPr>
        <w:t xml:space="preserve"> </w:t>
      </w:r>
      <w:r>
        <w:rPr>
          <w:sz w:val="16"/>
        </w:rPr>
        <w:t>hechos</w:t>
      </w:r>
      <w:r>
        <w:rPr>
          <w:spacing w:val="-10"/>
          <w:sz w:val="16"/>
        </w:rPr>
        <w:t xml:space="preserve"> </w:t>
      </w:r>
      <w:r>
        <w:rPr>
          <w:sz w:val="16"/>
        </w:rPr>
        <w:t>de</w:t>
      </w:r>
      <w:r>
        <w:rPr>
          <w:spacing w:val="-9"/>
          <w:sz w:val="16"/>
        </w:rPr>
        <w:t xml:space="preserve"> </w:t>
      </w:r>
      <w:r>
        <w:rPr>
          <w:sz w:val="16"/>
        </w:rPr>
        <w:t>este</w:t>
      </w:r>
      <w:r>
        <w:rPr>
          <w:spacing w:val="-6"/>
          <w:sz w:val="16"/>
        </w:rPr>
        <w:t xml:space="preserve"> </w:t>
      </w:r>
      <w:r>
        <w:rPr>
          <w:sz w:val="16"/>
        </w:rPr>
        <w:t>caso). Por su parte, el Convenio 182 de 1999 de la OIT sobre las peores formas de trabajo infantil, señala que una de las peores formas de trabajo infantil es “el trabajo que, por su naturaleza o por las condiciones en que se lleva a cabo, e</w:t>
      </w:r>
      <w:r>
        <w:rPr>
          <w:sz w:val="16"/>
        </w:rPr>
        <w:t>s probable que dañe la salud, la seguridad o la moralidad de los niños”, y que los Estados deben “elaborar y poner en</w:t>
      </w:r>
      <w:r>
        <w:rPr>
          <w:spacing w:val="-9"/>
          <w:sz w:val="16"/>
        </w:rPr>
        <w:t xml:space="preserve"> </w:t>
      </w:r>
      <w:r>
        <w:rPr>
          <w:sz w:val="16"/>
        </w:rPr>
        <w:t>práctica</w:t>
      </w:r>
      <w:r>
        <w:rPr>
          <w:spacing w:val="-9"/>
          <w:sz w:val="16"/>
        </w:rPr>
        <w:t xml:space="preserve"> </w:t>
      </w:r>
      <w:r>
        <w:rPr>
          <w:sz w:val="16"/>
        </w:rPr>
        <w:t>programas</w:t>
      </w:r>
      <w:r>
        <w:rPr>
          <w:spacing w:val="-11"/>
          <w:sz w:val="16"/>
        </w:rPr>
        <w:t xml:space="preserve"> </w:t>
      </w:r>
      <w:r>
        <w:rPr>
          <w:sz w:val="16"/>
        </w:rPr>
        <w:t>de</w:t>
      </w:r>
      <w:r>
        <w:rPr>
          <w:spacing w:val="-8"/>
          <w:sz w:val="16"/>
        </w:rPr>
        <w:t xml:space="preserve"> </w:t>
      </w:r>
      <w:r>
        <w:rPr>
          <w:sz w:val="16"/>
        </w:rPr>
        <w:t>acción</w:t>
      </w:r>
      <w:r>
        <w:rPr>
          <w:spacing w:val="-9"/>
          <w:sz w:val="16"/>
        </w:rPr>
        <w:t xml:space="preserve"> </w:t>
      </w:r>
      <w:r>
        <w:rPr>
          <w:sz w:val="16"/>
        </w:rPr>
        <w:t>para</w:t>
      </w:r>
      <w:r>
        <w:rPr>
          <w:spacing w:val="-8"/>
          <w:sz w:val="16"/>
        </w:rPr>
        <w:t xml:space="preserve"> </w:t>
      </w:r>
      <w:r>
        <w:rPr>
          <w:sz w:val="16"/>
        </w:rPr>
        <w:t>eliminar,</w:t>
      </w:r>
      <w:r>
        <w:rPr>
          <w:spacing w:val="-4"/>
          <w:sz w:val="16"/>
        </w:rPr>
        <w:t xml:space="preserve"> </w:t>
      </w:r>
      <w:r>
        <w:rPr>
          <w:sz w:val="16"/>
        </w:rPr>
        <w:t>como</w:t>
      </w:r>
      <w:r>
        <w:rPr>
          <w:spacing w:val="-8"/>
          <w:sz w:val="16"/>
        </w:rPr>
        <w:t xml:space="preserve"> </w:t>
      </w:r>
      <w:r>
        <w:rPr>
          <w:sz w:val="16"/>
        </w:rPr>
        <w:t>medida</w:t>
      </w:r>
      <w:r>
        <w:rPr>
          <w:spacing w:val="-9"/>
          <w:sz w:val="16"/>
        </w:rPr>
        <w:t xml:space="preserve"> </w:t>
      </w:r>
      <w:r>
        <w:rPr>
          <w:sz w:val="16"/>
        </w:rPr>
        <w:t>prioritaria,</w:t>
      </w:r>
      <w:r>
        <w:rPr>
          <w:spacing w:val="-9"/>
          <w:sz w:val="16"/>
        </w:rPr>
        <w:t xml:space="preserve"> </w:t>
      </w:r>
      <w:r>
        <w:rPr>
          <w:sz w:val="16"/>
        </w:rPr>
        <w:t>las</w:t>
      </w:r>
      <w:r>
        <w:rPr>
          <w:spacing w:val="-8"/>
          <w:sz w:val="16"/>
        </w:rPr>
        <w:t xml:space="preserve"> </w:t>
      </w:r>
      <w:r>
        <w:rPr>
          <w:sz w:val="16"/>
        </w:rPr>
        <w:t>peores</w:t>
      </w:r>
      <w:r>
        <w:rPr>
          <w:spacing w:val="-11"/>
          <w:sz w:val="16"/>
        </w:rPr>
        <w:t xml:space="preserve"> </w:t>
      </w:r>
      <w:r>
        <w:rPr>
          <w:sz w:val="16"/>
        </w:rPr>
        <w:t>formas</w:t>
      </w:r>
      <w:r>
        <w:rPr>
          <w:spacing w:val="-7"/>
          <w:sz w:val="16"/>
        </w:rPr>
        <w:t xml:space="preserve"> </w:t>
      </w:r>
      <w:r>
        <w:rPr>
          <w:sz w:val="16"/>
        </w:rPr>
        <w:t>de</w:t>
      </w:r>
      <w:r>
        <w:rPr>
          <w:spacing w:val="-8"/>
          <w:sz w:val="16"/>
        </w:rPr>
        <w:t xml:space="preserve"> </w:t>
      </w:r>
      <w:r>
        <w:rPr>
          <w:sz w:val="16"/>
        </w:rPr>
        <w:t>trabajo</w:t>
      </w:r>
      <w:r>
        <w:rPr>
          <w:spacing w:val="-8"/>
          <w:sz w:val="16"/>
        </w:rPr>
        <w:t xml:space="preserve"> </w:t>
      </w:r>
      <w:r>
        <w:rPr>
          <w:sz w:val="16"/>
        </w:rPr>
        <w:t>infantil”</w:t>
      </w:r>
      <w:r>
        <w:rPr>
          <w:spacing w:val="-8"/>
          <w:sz w:val="16"/>
        </w:rPr>
        <w:t xml:space="preserve"> </w:t>
      </w:r>
      <w:r>
        <w:rPr>
          <w:sz w:val="16"/>
        </w:rPr>
        <w:t>(Brasil ratificó el Convenio 1</w:t>
      </w:r>
      <w:r>
        <w:rPr>
          <w:sz w:val="16"/>
        </w:rPr>
        <w:t xml:space="preserve">82 de 1999 de la OIT sobre las peores formas de trabajo infantil el 2 de febrero de 2000, </w:t>
      </w:r>
      <w:r>
        <w:rPr>
          <w:spacing w:val="-3"/>
          <w:sz w:val="16"/>
        </w:rPr>
        <w:t xml:space="preserve">es </w:t>
      </w:r>
      <w:r>
        <w:rPr>
          <w:sz w:val="16"/>
        </w:rPr>
        <w:t>decir, luego de ocurridos los hechos de este caso)</w:t>
      </w:r>
      <w:r>
        <w:rPr>
          <w:i/>
          <w:sz w:val="16"/>
        </w:rPr>
        <w:t xml:space="preserve">. </w:t>
      </w:r>
      <w:r>
        <w:rPr>
          <w:sz w:val="16"/>
        </w:rPr>
        <w:t>Ver, además: Declaración de la OIT relativa a los principios y derechos fundamentales en el trabajo, adoptada e</w:t>
      </w:r>
      <w:r>
        <w:rPr>
          <w:sz w:val="16"/>
        </w:rPr>
        <w:t>n</w:t>
      </w:r>
      <w:r>
        <w:rPr>
          <w:spacing w:val="-11"/>
          <w:sz w:val="16"/>
        </w:rPr>
        <w:t xml:space="preserve"> </w:t>
      </w:r>
      <w:r>
        <w:rPr>
          <w:sz w:val="16"/>
        </w:rPr>
        <w:t>1998.</w:t>
      </w:r>
    </w:p>
    <w:p w14:paraId="6F5B83E9" w14:textId="77777777" w:rsidR="00467FCA" w:rsidRDefault="001B68EB">
      <w:pPr>
        <w:tabs>
          <w:tab w:val="left" w:pos="839"/>
        </w:tabs>
        <w:ind w:left="119" w:right="120"/>
        <w:jc w:val="both"/>
        <w:rPr>
          <w:sz w:val="16"/>
        </w:rPr>
      </w:pPr>
      <w:bookmarkStart w:id="367" w:name="_bookmark319"/>
      <w:bookmarkEnd w:id="367"/>
      <w:r>
        <w:rPr>
          <w:position w:val="6"/>
          <w:sz w:val="10"/>
        </w:rPr>
        <w:t>270</w:t>
      </w:r>
      <w:r>
        <w:rPr>
          <w:position w:val="6"/>
          <w:sz w:val="10"/>
        </w:rPr>
        <w:tab/>
      </w:r>
      <w:r>
        <w:rPr>
          <w:i/>
          <w:sz w:val="16"/>
        </w:rPr>
        <w:t>Cfr.</w:t>
      </w:r>
      <w:r>
        <w:rPr>
          <w:i/>
          <w:spacing w:val="-7"/>
          <w:sz w:val="16"/>
        </w:rPr>
        <w:t xml:space="preserve"> </w:t>
      </w:r>
      <w:r>
        <w:rPr>
          <w:i/>
          <w:sz w:val="16"/>
        </w:rPr>
        <w:t>Condición</w:t>
      </w:r>
      <w:r>
        <w:rPr>
          <w:i/>
          <w:spacing w:val="-8"/>
          <w:sz w:val="16"/>
        </w:rPr>
        <w:t xml:space="preserve"> </w:t>
      </w:r>
      <w:r>
        <w:rPr>
          <w:i/>
          <w:sz w:val="16"/>
        </w:rPr>
        <w:t>jurídica</w:t>
      </w:r>
      <w:r>
        <w:rPr>
          <w:i/>
          <w:spacing w:val="-8"/>
          <w:sz w:val="16"/>
        </w:rPr>
        <w:t xml:space="preserve"> </w:t>
      </w:r>
      <w:r>
        <w:rPr>
          <w:i/>
          <w:sz w:val="16"/>
        </w:rPr>
        <w:t>y</w:t>
      </w:r>
      <w:r>
        <w:rPr>
          <w:i/>
          <w:spacing w:val="-6"/>
          <w:sz w:val="16"/>
        </w:rPr>
        <w:t xml:space="preserve"> </w:t>
      </w:r>
      <w:r>
        <w:rPr>
          <w:i/>
          <w:sz w:val="16"/>
        </w:rPr>
        <w:t>derechos</w:t>
      </w:r>
      <w:r>
        <w:rPr>
          <w:i/>
          <w:spacing w:val="-8"/>
          <w:sz w:val="16"/>
        </w:rPr>
        <w:t xml:space="preserve"> </w:t>
      </w:r>
      <w:r>
        <w:rPr>
          <w:i/>
          <w:sz w:val="16"/>
        </w:rPr>
        <w:t>de</w:t>
      </w:r>
      <w:r>
        <w:rPr>
          <w:i/>
          <w:spacing w:val="-5"/>
          <w:sz w:val="16"/>
        </w:rPr>
        <w:t xml:space="preserve"> </w:t>
      </w:r>
      <w:r>
        <w:rPr>
          <w:i/>
          <w:sz w:val="16"/>
        </w:rPr>
        <w:t>los</w:t>
      </w:r>
      <w:r>
        <w:rPr>
          <w:i/>
          <w:spacing w:val="-7"/>
          <w:sz w:val="16"/>
        </w:rPr>
        <w:t xml:space="preserve"> </w:t>
      </w:r>
      <w:r>
        <w:rPr>
          <w:i/>
          <w:sz w:val="16"/>
        </w:rPr>
        <w:t>migrantes</w:t>
      </w:r>
      <w:r>
        <w:rPr>
          <w:i/>
          <w:spacing w:val="-8"/>
          <w:sz w:val="16"/>
        </w:rPr>
        <w:t xml:space="preserve"> </w:t>
      </w:r>
      <w:r>
        <w:rPr>
          <w:i/>
          <w:sz w:val="16"/>
        </w:rPr>
        <w:t>indocumentados.</w:t>
      </w:r>
      <w:r>
        <w:rPr>
          <w:i/>
          <w:spacing w:val="-8"/>
          <w:sz w:val="16"/>
        </w:rPr>
        <w:t xml:space="preserve"> </w:t>
      </w:r>
      <w:r>
        <w:rPr>
          <w:sz w:val="16"/>
        </w:rPr>
        <w:t>Opinión</w:t>
      </w:r>
      <w:r>
        <w:rPr>
          <w:spacing w:val="-8"/>
          <w:sz w:val="16"/>
        </w:rPr>
        <w:t xml:space="preserve"> </w:t>
      </w:r>
      <w:r>
        <w:rPr>
          <w:sz w:val="16"/>
        </w:rPr>
        <w:t>Consultiva</w:t>
      </w:r>
      <w:r>
        <w:rPr>
          <w:spacing w:val="-8"/>
          <w:sz w:val="16"/>
        </w:rPr>
        <w:t xml:space="preserve"> </w:t>
      </w:r>
      <w:r>
        <w:rPr>
          <w:sz w:val="16"/>
        </w:rPr>
        <w:t>OC-18/03</w:t>
      </w:r>
      <w:r>
        <w:rPr>
          <w:spacing w:val="-7"/>
          <w:sz w:val="16"/>
        </w:rPr>
        <w:t xml:space="preserve"> </w:t>
      </w:r>
      <w:r>
        <w:rPr>
          <w:sz w:val="16"/>
        </w:rPr>
        <w:t>de</w:t>
      </w:r>
      <w:r>
        <w:rPr>
          <w:spacing w:val="-8"/>
          <w:sz w:val="16"/>
        </w:rPr>
        <w:t xml:space="preserve"> </w:t>
      </w:r>
      <w:r>
        <w:rPr>
          <w:sz w:val="16"/>
        </w:rPr>
        <w:t>17</w:t>
      </w:r>
      <w:r>
        <w:rPr>
          <w:spacing w:val="-6"/>
          <w:sz w:val="16"/>
        </w:rPr>
        <w:t xml:space="preserve"> </w:t>
      </w:r>
      <w:r>
        <w:rPr>
          <w:sz w:val="16"/>
        </w:rPr>
        <w:t xml:space="preserve">de septiembre de 2003. Serie A No. 18, párr. 103, y </w:t>
      </w:r>
      <w:r>
        <w:rPr>
          <w:i/>
          <w:sz w:val="16"/>
        </w:rPr>
        <w:t>Caso Montesinos Mejía Vs. Ecuador, supra</w:t>
      </w:r>
      <w:r>
        <w:rPr>
          <w:sz w:val="16"/>
        </w:rPr>
        <w:t>, párr.</w:t>
      </w:r>
      <w:r>
        <w:rPr>
          <w:spacing w:val="-31"/>
          <w:sz w:val="16"/>
        </w:rPr>
        <w:t xml:space="preserve"> </w:t>
      </w:r>
      <w:r>
        <w:rPr>
          <w:sz w:val="16"/>
        </w:rPr>
        <w:t>125.</w:t>
      </w:r>
    </w:p>
    <w:p w14:paraId="24E066E0" w14:textId="77777777" w:rsidR="00467FCA" w:rsidRDefault="001B68EB">
      <w:pPr>
        <w:tabs>
          <w:tab w:val="left" w:pos="839"/>
        </w:tabs>
        <w:ind w:left="120" w:right="110" w:hanging="1"/>
        <w:jc w:val="both"/>
        <w:rPr>
          <w:sz w:val="16"/>
        </w:rPr>
      </w:pPr>
      <w:bookmarkStart w:id="368" w:name="_bookmark320"/>
      <w:bookmarkEnd w:id="368"/>
      <w:r>
        <w:rPr>
          <w:position w:val="6"/>
          <w:sz w:val="10"/>
        </w:rPr>
        <w:t>271</w:t>
      </w:r>
      <w:r>
        <w:rPr>
          <w:position w:val="6"/>
          <w:sz w:val="10"/>
        </w:rPr>
        <w:tab/>
      </w:r>
      <w:r>
        <w:rPr>
          <w:i/>
          <w:sz w:val="16"/>
        </w:rPr>
        <w:t>Cfr.</w:t>
      </w:r>
      <w:r>
        <w:rPr>
          <w:i/>
          <w:spacing w:val="-12"/>
          <w:sz w:val="16"/>
        </w:rPr>
        <w:t xml:space="preserve"> </w:t>
      </w:r>
      <w:r>
        <w:rPr>
          <w:i/>
          <w:sz w:val="16"/>
        </w:rPr>
        <w:t>Caso</w:t>
      </w:r>
      <w:r>
        <w:rPr>
          <w:i/>
          <w:spacing w:val="-10"/>
          <w:sz w:val="16"/>
        </w:rPr>
        <w:t xml:space="preserve"> </w:t>
      </w:r>
      <w:r>
        <w:rPr>
          <w:i/>
          <w:sz w:val="16"/>
        </w:rPr>
        <w:t>Apitz</w:t>
      </w:r>
      <w:r>
        <w:rPr>
          <w:i/>
          <w:spacing w:val="-11"/>
          <w:sz w:val="16"/>
        </w:rPr>
        <w:t xml:space="preserve"> </w:t>
      </w:r>
      <w:r>
        <w:rPr>
          <w:i/>
          <w:sz w:val="16"/>
        </w:rPr>
        <w:t>Barbera</w:t>
      </w:r>
      <w:r>
        <w:rPr>
          <w:i/>
          <w:spacing w:val="-10"/>
          <w:sz w:val="16"/>
        </w:rPr>
        <w:t xml:space="preserve"> </w:t>
      </w:r>
      <w:r>
        <w:rPr>
          <w:i/>
          <w:sz w:val="16"/>
        </w:rPr>
        <w:t>y</w:t>
      </w:r>
      <w:r>
        <w:rPr>
          <w:i/>
          <w:spacing w:val="-12"/>
          <w:sz w:val="16"/>
        </w:rPr>
        <w:t xml:space="preserve"> </w:t>
      </w:r>
      <w:r>
        <w:rPr>
          <w:i/>
          <w:sz w:val="16"/>
        </w:rPr>
        <w:t>otros</w:t>
      </w:r>
      <w:r>
        <w:rPr>
          <w:i/>
          <w:spacing w:val="-10"/>
          <w:sz w:val="16"/>
        </w:rPr>
        <w:t xml:space="preserve"> </w:t>
      </w:r>
      <w:r>
        <w:rPr>
          <w:i/>
          <w:sz w:val="16"/>
        </w:rPr>
        <w:t>(“Corte</w:t>
      </w:r>
      <w:r>
        <w:rPr>
          <w:i/>
          <w:spacing w:val="-9"/>
          <w:sz w:val="16"/>
        </w:rPr>
        <w:t xml:space="preserve"> </w:t>
      </w:r>
      <w:r>
        <w:rPr>
          <w:i/>
          <w:sz w:val="16"/>
        </w:rPr>
        <w:t>Primera</w:t>
      </w:r>
      <w:r>
        <w:rPr>
          <w:i/>
          <w:spacing w:val="-14"/>
          <w:sz w:val="16"/>
        </w:rPr>
        <w:t xml:space="preserve"> </w:t>
      </w:r>
      <w:r>
        <w:rPr>
          <w:i/>
          <w:sz w:val="16"/>
        </w:rPr>
        <w:t>de</w:t>
      </w:r>
      <w:r>
        <w:rPr>
          <w:i/>
          <w:spacing w:val="-10"/>
          <w:sz w:val="16"/>
        </w:rPr>
        <w:t xml:space="preserve"> </w:t>
      </w:r>
      <w:r>
        <w:rPr>
          <w:i/>
          <w:sz w:val="16"/>
        </w:rPr>
        <w:t>lo</w:t>
      </w:r>
      <w:r>
        <w:rPr>
          <w:i/>
          <w:spacing w:val="-9"/>
          <w:sz w:val="16"/>
        </w:rPr>
        <w:t xml:space="preserve"> </w:t>
      </w:r>
      <w:r>
        <w:rPr>
          <w:i/>
          <w:sz w:val="16"/>
        </w:rPr>
        <w:t>Contencioso</w:t>
      </w:r>
      <w:r>
        <w:rPr>
          <w:i/>
          <w:spacing w:val="-12"/>
          <w:sz w:val="16"/>
        </w:rPr>
        <w:t xml:space="preserve"> </w:t>
      </w:r>
      <w:r>
        <w:rPr>
          <w:i/>
          <w:sz w:val="16"/>
        </w:rPr>
        <w:t>Administrativo”)</w:t>
      </w:r>
      <w:r>
        <w:rPr>
          <w:i/>
          <w:spacing w:val="-14"/>
          <w:sz w:val="16"/>
        </w:rPr>
        <w:t xml:space="preserve"> </w:t>
      </w:r>
      <w:r>
        <w:rPr>
          <w:i/>
          <w:sz w:val="16"/>
        </w:rPr>
        <w:t>Vs.</w:t>
      </w:r>
      <w:r>
        <w:rPr>
          <w:i/>
          <w:spacing w:val="-11"/>
          <w:sz w:val="16"/>
        </w:rPr>
        <w:t xml:space="preserve"> </w:t>
      </w:r>
      <w:r>
        <w:rPr>
          <w:i/>
          <w:sz w:val="16"/>
        </w:rPr>
        <w:t>Venezuela.</w:t>
      </w:r>
      <w:r>
        <w:rPr>
          <w:i/>
          <w:spacing w:val="-12"/>
          <w:sz w:val="16"/>
        </w:rPr>
        <w:t xml:space="preserve"> </w:t>
      </w:r>
      <w:r>
        <w:rPr>
          <w:i/>
          <w:sz w:val="16"/>
        </w:rPr>
        <w:t xml:space="preserve">Excepción Preliminar, Fondo, Reparaciones y Costas. </w:t>
      </w:r>
      <w:r>
        <w:rPr>
          <w:sz w:val="16"/>
        </w:rPr>
        <w:t xml:space="preserve">Sentencia de 5 de agosto de 2008. Serie C No. 182, párr. 209, y </w:t>
      </w:r>
      <w:r>
        <w:rPr>
          <w:i/>
          <w:sz w:val="16"/>
        </w:rPr>
        <w:t>Caso V.R.P., V.P.C. y otros Vs. Nicaragua. Excepciones Preliminares,</w:t>
      </w:r>
      <w:r>
        <w:rPr>
          <w:i/>
          <w:sz w:val="16"/>
        </w:rPr>
        <w:t xml:space="preserve"> Fondo, Reparaciones y Costas. </w:t>
      </w:r>
      <w:r>
        <w:rPr>
          <w:sz w:val="16"/>
        </w:rPr>
        <w:t>Sentencia de 8 de marzo de 2018. Serie C No. 350, párr.</w:t>
      </w:r>
      <w:r>
        <w:rPr>
          <w:spacing w:val="-16"/>
          <w:sz w:val="16"/>
        </w:rPr>
        <w:t xml:space="preserve"> </w:t>
      </w:r>
      <w:r>
        <w:rPr>
          <w:sz w:val="16"/>
        </w:rPr>
        <w:t>289.</w:t>
      </w:r>
    </w:p>
    <w:p w14:paraId="4FD76223" w14:textId="77777777" w:rsidR="00467FCA" w:rsidRDefault="001B68EB">
      <w:pPr>
        <w:tabs>
          <w:tab w:val="left" w:pos="839"/>
        </w:tabs>
        <w:ind w:left="120" w:right="114" w:hanging="1"/>
        <w:jc w:val="both"/>
        <w:rPr>
          <w:sz w:val="16"/>
        </w:rPr>
      </w:pPr>
      <w:bookmarkStart w:id="369" w:name="_bookmark321"/>
      <w:bookmarkEnd w:id="369"/>
      <w:r>
        <w:rPr>
          <w:position w:val="6"/>
          <w:sz w:val="10"/>
        </w:rPr>
        <w:t>272</w:t>
      </w:r>
      <w:r>
        <w:rPr>
          <w:position w:val="6"/>
          <w:sz w:val="10"/>
        </w:rPr>
        <w:tab/>
      </w:r>
      <w:r>
        <w:rPr>
          <w:i/>
          <w:sz w:val="16"/>
        </w:rPr>
        <w:t>Cfr. Caso Apitz Barbera y otros</w:t>
      </w:r>
      <w:r>
        <w:rPr>
          <w:sz w:val="16"/>
        </w:rPr>
        <w:t xml:space="preserve">, </w:t>
      </w:r>
      <w:r>
        <w:rPr>
          <w:i/>
          <w:sz w:val="16"/>
        </w:rPr>
        <w:t xml:space="preserve">supra, </w:t>
      </w:r>
      <w:r>
        <w:rPr>
          <w:sz w:val="16"/>
        </w:rPr>
        <w:t xml:space="preserve">párr. 209, y </w:t>
      </w:r>
      <w:r>
        <w:rPr>
          <w:i/>
          <w:sz w:val="16"/>
        </w:rPr>
        <w:t>Caso San Miguel Sosa y otras Vs. Venezuela, supra</w:t>
      </w:r>
      <w:r>
        <w:rPr>
          <w:sz w:val="16"/>
        </w:rPr>
        <w:t>, párr.</w:t>
      </w:r>
      <w:r>
        <w:rPr>
          <w:spacing w:val="-1"/>
          <w:sz w:val="16"/>
        </w:rPr>
        <w:t xml:space="preserve"> </w:t>
      </w:r>
      <w:r>
        <w:rPr>
          <w:sz w:val="16"/>
        </w:rPr>
        <w:t>162.</w:t>
      </w:r>
    </w:p>
    <w:p w14:paraId="14DCAC7D" w14:textId="77777777" w:rsidR="00467FCA" w:rsidRDefault="001B68EB">
      <w:pPr>
        <w:tabs>
          <w:tab w:val="left" w:pos="839"/>
        </w:tabs>
        <w:ind w:left="120"/>
        <w:jc w:val="both"/>
        <w:rPr>
          <w:sz w:val="16"/>
        </w:rPr>
      </w:pPr>
      <w:bookmarkStart w:id="370" w:name="_bookmark322"/>
      <w:bookmarkEnd w:id="370"/>
      <w:r>
        <w:rPr>
          <w:position w:val="6"/>
          <w:sz w:val="10"/>
        </w:rPr>
        <w:t>273</w:t>
      </w:r>
      <w:r>
        <w:rPr>
          <w:position w:val="6"/>
          <w:sz w:val="10"/>
        </w:rPr>
        <w:tab/>
      </w:r>
      <w:r>
        <w:rPr>
          <w:i/>
          <w:sz w:val="16"/>
        </w:rPr>
        <w:t>Caso V.R.P., V.P.C. y otros Vs. Nicaragua</w:t>
      </w:r>
      <w:r>
        <w:rPr>
          <w:i/>
          <w:sz w:val="16"/>
        </w:rPr>
        <w:t>, supra</w:t>
      </w:r>
      <w:r>
        <w:rPr>
          <w:sz w:val="16"/>
        </w:rPr>
        <w:t>, párr.</w:t>
      </w:r>
      <w:r>
        <w:rPr>
          <w:spacing w:val="-11"/>
          <w:sz w:val="16"/>
        </w:rPr>
        <w:t xml:space="preserve"> </w:t>
      </w:r>
      <w:r>
        <w:rPr>
          <w:sz w:val="16"/>
        </w:rPr>
        <w:t>289.</w:t>
      </w:r>
    </w:p>
    <w:p w14:paraId="70D1EDBB" w14:textId="77777777" w:rsidR="00467FCA" w:rsidRDefault="00467FCA">
      <w:pPr>
        <w:jc w:val="both"/>
        <w:rPr>
          <w:sz w:val="16"/>
        </w:rPr>
        <w:sectPr w:rsidR="00467FCA">
          <w:pgSz w:w="12240" w:h="15840"/>
          <w:pgMar w:top="1360" w:right="1320" w:bottom="1220" w:left="1320" w:header="0" w:footer="1037" w:gutter="0"/>
          <w:cols w:space="720"/>
        </w:sectPr>
      </w:pPr>
    </w:p>
    <w:p w14:paraId="409A1339" w14:textId="77777777" w:rsidR="00467FCA" w:rsidRDefault="001B68EB">
      <w:pPr>
        <w:pStyle w:val="Textoindependiente"/>
        <w:spacing w:before="80"/>
        <w:ind w:left="120" w:right="116"/>
        <w:jc w:val="both"/>
      </w:pPr>
      <w:r>
        <w:t>y los representantes se centran tanto en la alegada discriminación sufrida por las presuntas víctimas por su condición de mujeres, afrodescendientes y por su situación de pobreza; al igual</w:t>
      </w:r>
      <w:r>
        <w:rPr>
          <w:spacing w:val="-8"/>
        </w:rPr>
        <w:t xml:space="preserve"> </w:t>
      </w:r>
      <w:r>
        <w:t>que</w:t>
      </w:r>
      <w:r>
        <w:rPr>
          <w:spacing w:val="-9"/>
        </w:rPr>
        <w:t xml:space="preserve"> </w:t>
      </w:r>
      <w:r>
        <w:t>por</w:t>
      </w:r>
      <w:r>
        <w:rPr>
          <w:spacing w:val="-9"/>
        </w:rPr>
        <w:t xml:space="preserve"> </w:t>
      </w:r>
      <w:r>
        <w:t>la</w:t>
      </w:r>
      <w:r>
        <w:rPr>
          <w:spacing w:val="-9"/>
        </w:rPr>
        <w:t xml:space="preserve"> </w:t>
      </w:r>
      <w:r>
        <w:t>falta</w:t>
      </w:r>
      <w:r>
        <w:rPr>
          <w:spacing w:val="-8"/>
        </w:rPr>
        <w:t xml:space="preserve"> </w:t>
      </w:r>
      <w:r>
        <w:t>de</w:t>
      </w:r>
      <w:r>
        <w:rPr>
          <w:spacing w:val="-7"/>
        </w:rPr>
        <w:t xml:space="preserve"> </w:t>
      </w:r>
      <w:r>
        <w:t>adopción</w:t>
      </w:r>
      <w:r>
        <w:rPr>
          <w:spacing w:val="-7"/>
        </w:rPr>
        <w:t xml:space="preserve"> </w:t>
      </w:r>
      <w:r>
        <w:t>de</w:t>
      </w:r>
      <w:r>
        <w:rPr>
          <w:spacing w:val="-10"/>
        </w:rPr>
        <w:t xml:space="preserve"> </w:t>
      </w:r>
      <w:r>
        <w:t>medidas</w:t>
      </w:r>
      <w:r>
        <w:rPr>
          <w:spacing w:val="-9"/>
        </w:rPr>
        <w:t xml:space="preserve"> </w:t>
      </w:r>
      <w:r>
        <w:t>de</w:t>
      </w:r>
      <w:r>
        <w:rPr>
          <w:spacing w:val="-7"/>
        </w:rPr>
        <w:t xml:space="preserve"> </w:t>
      </w:r>
      <w:r>
        <w:t>acción</w:t>
      </w:r>
      <w:r>
        <w:rPr>
          <w:spacing w:val="-8"/>
        </w:rPr>
        <w:t xml:space="preserve"> </w:t>
      </w:r>
      <w:r>
        <w:t>positiva</w:t>
      </w:r>
      <w:r>
        <w:rPr>
          <w:spacing w:val="-8"/>
        </w:rPr>
        <w:t xml:space="preserve"> </w:t>
      </w:r>
      <w:r>
        <w:t>para</w:t>
      </w:r>
      <w:r>
        <w:rPr>
          <w:spacing w:val="-8"/>
        </w:rPr>
        <w:t xml:space="preserve"> </w:t>
      </w:r>
      <w:r>
        <w:t>garantizar</w:t>
      </w:r>
      <w:r>
        <w:rPr>
          <w:spacing w:val="-9"/>
        </w:rPr>
        <w:t xml:space="preserve"> </w:t>
      </w:r>
      <w:r>
        <w:t>sus</w:t>
      </w:r>
      <w:r>
        <w:rPr>
          <w:spacing w:val="-10"/>
        </w:rPr>
        <w:t xml:space="preserve"> </w:t>
      </w:r>
      <w:r>
        <w:t>derechos convencionales.</w:t>
      </w:r>
    </w:p>
    <w:p w14:paraId="71E047F2" w14:textId="77777777" w:rsidR="00467FCA" w:rsidRDefault="00467FCA">
      <w:pPr>
        <w:pStyle w:val="Textoindependiente"/>
        <w:spacing w:before="11"/>
        <w:rPr>
          <w:sz w:val="19"/>
        </w:rPr>
      </w:pPr>
    </w:p>
    <w:p w14:paraId="443511BD"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En particular, en relación con el artículo 1.1 de la Convención, la Corte ha establecido que se trata de una norma de carácter general cuyo contenido se extiende a todas las disposiciones</w:t>
      </w:r>
      <w:r>
        <w:rPr>
          <w:spacing w:val="-7"/>
          <w:sz w:val="20"/>
        </w:rPr>
        <w:t xml:space="preserve"> </w:t>
      </w:r>
      <w:r>
        <w:rPr>
          <w:sz w:val="20"/>
        </w:rPr>
        <w:t>del</w:t>
      </w:r>
      <w:r>
        <w:rPr>
          <w:spacing w:val="-5"/>
          <w:sz w:val="20"/>
        </w:rPr>
        <w:t xml:space="preserve"> </w:t>
      </w:r>
      <w:r>
        <w:rPr>
          <w:sz w:val="20"/>
        </w:rPr>
        <w:t>tratado</w:t>
      </w:r>
      <w:r>
        <w:rPr>
          <w:spacing w:val="-4"/>
          <w:sz w:val="20"/>
        </w:rPr>
        <w:t xml:space="preserve"> </w:t>
      </w:r>
      <w:r>
        <w:rPr>
          <w:sz w:val="20"/>
        </w:rPr>
        <w:t>e</w:t>
      </w:r>
      <w:r>
        <w:rPr>
          <w:spacing w:val="-8"/>
          <w:sz w:val="20"/>
        </w:rPr>
        <w:t xml:space="preserve"> </w:t>
      </w:r>
      <w:r>
        <w:rPr>
          <w:sz w:val="20"/>
        </w:rPr>
        <w:t>implica</w:t>
      </w:r>
      <w:r>
        <w:rPr>
          <w:spacing w:val="-3"/>
          <w:sz w:val="20"/>
        </w:rPr>
        <w:t xml:space="preserve"> </w:t>
      </w:r>
      <w:r>
        <w:rPr>
          <w:sz w:val="20"/>
        </w:rPr>
        <w:t>la</w:t>
      </w:r>
      <w:r>
        <w:rPr>
          <w:spacing w:val="-3"/>
          <w:sz w:val="20"/>
        </w:rPr>
        <w:t xml:space="preserve"> </w:t>
      </w:r>
      <w:r>
        <w:rPr>
          <w:sz w:val="20"/>
        </w:rPr>
        <w:t>obligación</w:t>
      </w:r>
      <w:r>
        <w:rPr>
          <w:spacing w:val="-3"/>
          <w:sz w:val="20"/>
        </w:rPr>
        <w:t xml:space="preserve"> </w:t>
      </w:r>
      <w:r>
        <w:rPr>
          <w:sz w:val="20"/>
        </w:rPr>
        <w:t>de</w:t>
      </w:r>
      <w:r>
        <w:rPr>
          <w:spacing w:val="-7"/>
          <w:sz w:val="20"/>
        </w:rPr>
        <w:t xml:space="preserve"> </w:t>
      </w:r>
      <w:r>
        <w:rPr>
          <w:sz w:val="20"/>
        </w:rPr>
        <w:t>los</w:t>
      </w:r>
      <w:r>
        <w:rPr>
          <w:spacing w:val="-4"/>
          <w:sz w:val="20"/>
        </w:rPr>
        <w:t xml:space="preserve"> </w:t>
      </w:r>
      <w:r>
        <w:rPr>
          <w:sz w:val="20"/>
        </w:rPr>
        <w:t>Estados</w:t>
      </w:r>
      <w:r>
        <w:rPr>
          <w:spacing w:val="-6"/>
          <w:sz w:val="20"/>
        </w:rPr>
        <w:t xml:space="preserve"> </w:t>
      </w:r>
      <w:r>
        <w:rPr>
          <w:sz w:val="20"/>
        </w:rPr>
        <w:t>Parte</w:t>
      </w:r>
      <w:r>
        <w:rPr>
          <w:spacing w:val="-5"/>
          <w:sz w:val="20"/>
        </w:rPr>
        <w:t xml:space="preserve"> </w:t>
      </w:r>
      <w:r>
        <w:rPr>
          <w:sz w:val="20"/>
        </w:rPr>
        <w:t>de</w:t>
      </w:r>
      <w:r>
        <w:rPr>
          <w:spacing w:val="-4"/>
          <w:sz w:val="20"/>
        </w:rPr>
        <w:t xml:space="preserve"> </w:t>
      </w:r>
      <w:r>
        <w:rPr>
          <w:sz w:val="20"/>
        </w:rPr>
        <w:t>respetar</w:t>
      </w:r>
      <w:r>
        <w:rPr>
          <w:spacing w:val="-4"/>
          <w:sz w:val="20"/>
        </w:rPr>
        <w:t xml:space="preserve"> </w:t>
      </w:r>
      <w:r>
        <w:rPr>
          <w:sz w:val="20"/>
        </w:rPr>
        <w:t>y</w:t>
      </w:r>
      <w:r>
        <w:rPr>
          <w:spacing w:val="-7"/>
          <w:sz w:val="20"/>
        </w:rPr>
        <w:t xml:space="preserve"> </w:t>
      </w:r>
      <w:r>
        <w:rPr>
          <w:sz w:val="20"/>
        </w:rPr>
        <w:t xml:space="preserve">garantizar el pleno y libre ejercicio de los derechos y libertades allí reconocidas “sin discriminación alguna”. Es decir, cualquiera que sea el origen o la forma que asuma un tratamiento que pueda ser considerado discriminatorio respecto del ejercicio </w:t>
      </w:r>
      <w:r>
        <w:rPr>
          <w:sz w:val="20"/>
        </w:rPr>
        <w:t>de los derechos garantizados en la</w:t>
      </w:r>
      <w:r>
        <w:rPr>
          <w:spacing w:val="-15"/>
          <w:sz w:val="20"/>
        </w:rPr>
        <w:t xml:space="preserve"> </w:t>
      </w:r>
      <w:r>
        <w:rPr>
          <w:sz w:val="20"/>
        </w:rPr>
        <w:t>Convención,</w:t>
      </w:r>
      <w:r>
        <w:rPr>
          <w:spacing w:val="-12"/>
          <w:sz w:val="20"/>
        </w:rPr>
        <w:t xml:space="preserve"> </w:t>
      </w:r>
      <w:r>
        <w:rPr>
          <w:sz w:val="20"/>
        </w:rPr>
        <w:t>es</w:t>
      </w:r>
      <w:r>
        <w:rPr>
          <w:spacing w:val="-15"/>
          <w:sz w:val="20"/>
        </w:rPr>
        <w:t xml:space="preserve"> </w:t>
      </w:r>
      <w:r>
        <w:rPr>
          <w:i/>
          <w:sz w:val="20"/>
        </w:rPr>
        <w:t>per</w:t>
      </w:r>
      <w:r>
        <w:rPr>
          <w:i/>
          <w:spacing w:val="-10"/>
          <w:sz w:val="20"/>
        </w:rPr>
        <w:t xml:space="preserve"> </w:t>
      </w:r>
      <w:r>
        <w:rPr>
          <w:i/>
          <w:sz w:val="20"/>
        </w:rPr>
        <w:t>se</w:t>
      </w:r>
      <w:r>
        <w:rPr>
          <w:i/>
          <w:spacing w:val="-14"/>
          <w:sz w:val="20"/>
        </w:rPr>
        <w:t xml:space="preserve"> </w:t>
      </w:r>
      <w:r>
        <w:rPr>
          <w:sz w:val="20"/>
        </w:rPr>
        <w:t>incompatible</w:t>
      </w:r>
      <w:r>
        <w:rPr>
          <w:spacing w:val="-13"/>
          <w:sz w:val="20"/>
        </w:rPr>
        <w:t xml:space="preserve"> </w:t>
      </w:r>
      <w:r>
        <w:rPr>
          <w:sz w:val="20"/>
        </w:rPr>
        <w:t>con</w:t>
      </w:r>
      <w:r>
        <w:rPr>
          <w:spacing w:val="-11"/>
          <w:sz w:val="20"/>
        </w:rPr>
        <w:t xml:space="preserve"> </w:t>
      </w:r>
      <w:r>
        <w:rPr>
          <w:sz w:val="20"/>
        </w:rPr>
        <w:t>esta</w:t>
      </w:r>
      <w:hyperlink w:anchor="_bookmark323" w:history="1">
        <w:r>
          <w:rPr>
            <w:position w:val="7"/>
            <w:sz w:val="13"/>
          </w:rPr>
          <w:t>274</w:t>
        </w:r>
      </w:hyperlink>
      <w:r>
        <w:rPr>
          <w:sz w:val="20"/>
        </w:rPr>
        <w:t>.</w:t>
      </w:r>
      <w:r>
        <w:rPr>
          <w:spacing w:val="-12"/>
          <w:sz w:val="20"/>
        </w:rPr>
        <w:t xml:space="preserve"> </w:t>
      </w:r>
      <w:r>
        <w:rPr>
          <w:sz w:val="20"/>
        </w:rPr>
        <w:t>De</w:t>
      </w:r>
      <w:r>
        <w:rPr>
          <w:spacing w:val="-13"/>
          <w:sz w:val="20"/>
        </w:rPr>
        <w:t xml:space="preserve"> </w:t>
      </w:r>
      <w:r>
        <w:rPr>
          <w:sz w:val="20"/>
        </w:rPr>
        <w:t>modo</w:t>
      </w:r>
      <w:r>
        <w:rPr>
          <w:spacing w:val="-16"/>
          <w:sz w:val="20"/>
        </w:rPr>
        <w:t xml:space="preserve"> </w:t>
      </w:r>
      <w:r>
        <w:rPr>
          <w:sz w:val="20"/>
        </w:rPr>
        <w:t>que</w:t>
      </w:r>
      <w:r>
        <w:rPr>
          <w:spacing w:val="-13"/>
          <w:sz w:val="20"/>
        </w:rPr>
        <w:t xml:space="preserve"> </w:t>
      </w:r>
      <w:r>
        <w:rPr>
          <w:sz w:val="20"/>
        </w:rPr>
        <w:t>el</w:t>
      </w:r>
      <w:r>
        <w:rPr>
          <w:spacing w:val="-11"/>
          <w:sz w:val="20"/>
        </w:rPr>
        <w:t xml:space="preserve"> </w:t>
      </w:r>
      <w:r>
        <w:rPr>
          <w:sz w:val="20"/>
        </w:rPr>
        <w:t>incumplimiento</w:t>
      </w:r>
      <w:r>
        <w:rPr>
          <w:spacing w:val="-15"/>
          <w:sz w:val="20"/>
        </w:rPr>
        <w:t xml:space="preserve"> </w:t>
      </w:r>
      <w:r>
        <w:rPr>
          <w:sz w:val="20"/>
        </w:rPr>
        <w:t>del</w:t>
      </w:r>
      <w:r>
        <w:rPr>
          <w:spacing w:val="-11"/>
          <w:sz w:val="20"/>
        </w:rPr>
        <w:t xml:space="preserve"> </w:t>
      </w:r>
      <w:r>
        <w:rPr>
          <w:sz w:val="20"/>
        </w:rPr>
        <w:t>Estado, mediante cualquier tratamiento discriminatorio, de la obligación general de respetar y garantizar los derechos humanos, le genera responsabilidad internacional</w:t>
      </w:r>
      <w:hyperlink w:anchor="_bookmark324" w:history="1">
        <w:r>
          <w:rPr>
            <w:position w:val="7"/>
            <w:sz w:val="13"/>
          </w:rPr>
          <w:t>275</w:t>
        </w:r>
      </w:hyperlink>
      <w:r>
        <w:rPr>
          <w:sz w:val="20"/>
        </w:rPr>
        <w:t>. Es por ello que existe</w:t>
      </w:r>
      <w:r>
        <w:rPr>
          <w:spacing w:val="-22"/>
          <w:sz w:val="20"/>
        </w:rPr>
        <w:t xml:space="preserve"> </w:t>
      </w:r>
      <w:r>
        <w:rPr>
          <w:sz w:val="20"/>
        </w:rPr>
        <w:t>un</w:t>
      </w:r>
      <w:r>
        <w:rPr>
          <w:spacing w:val="-16"/>
          <w:sz w:val="20"/>
        </w:rPr>
        <w:t xml:space="preserve"> </w:t>
      </w:r>
      <w:r>
        <w:rPr>
          <w:sz w:val="20"/>
        </w:rPr>
        <w:t>vínculo</w:t>
      </w:r>
      <w:r>
        <w:rPr>
          <w:spacing w:val="-21"/>
          <w:sz w:val="20"/>
        </w:rPr>
        <w:t xml:space="preserve"> </w:t>
      </w:r>
      <w:r>
        <w:rPr>
          <w:sz w:val="20"/>
        </w:rPr>
        <w:t>indisoluble</w:t>
      </w:r>
      <w:r>
        <w:rPr>
          <w:spacing w:val="-21"/>
          <w:sz w:val="20"/>
        </w:rPr>
        <w:t xml:space="preserve"> </w:t>
      </w:r>
      <w:r>
        <w:rPr>
          <w:sz w:val="20"/>
        </w:rPr>
        <w:t>entre</w:t>
      </w:r>
      <w:r>
        <w:rPr>
          <w:spacing w:val="-19"/>
          <w:sz w:val="20"/>
        </w:rPr>
        <w:t xml:space="preserve"> </w:t>
      </w:r>
      <w:r>
        <w:rPr>
          <w:sz w:val="20"/>
        </w:rPr>
        <w:t>la</w:t>
      </w:r>
      <w:r>
        <w:rPr>
          <w:spacing w:val="-17"/>
          <w:sz w:val="20"/>
        </w:rPr>
        <w:t xml:space="preserve"> </w:t>
      </w:r>
      <w:r>
        <w:rPr>
          <w:sz w:val="20"/>
        </w:rPr>
        <w:t>obligación</w:t>
      </w:r>
      <w:r>
        <w:rPr>
          <w:spacing w:val="-17"/>
          <w:sz w:val="20"/>
        </w:rPr>
        <w:t xml:space="preserve"> </w:t>
      </w:r>
      <w:r>
        <w:rPr>
          <w:sz w:val="20"/>
        </w:rPr>
        <w:t>de</w:t>
      </w:r>
      <w:r>
        <w:rPr>
          <w:spacing w:val="-19"/>
          <w:sz w:val="20"/>
        </w:rPr>
        <w:t xml:space="preserve"> </w:t>
      </w:r>
      <w:r>
        <w:rPr>
          <w:sz w:val="20"/>
        </w:rPr>
        <w:t>respetar</w:t>
      </w:r>
      <w:r>
        <w:rPr>
          <w:spacing w:val="-19"/>
          <w:sz w:val="20"/>
        </w:rPr>
        <w:t xml:space="preserve"> </w:t>
      </w:r>
      <w:r>
        <w:rPr>
          <w:sz w:val="20"/>
        </w:rPr>
        <w:t>y</w:t>
      </w:r>
      <w:r>
        <w:rPr>
          <w:spacing w:val="-20"/>
          <w:sz w:val="20"/>
        </w:rPr>
        <w:t xml:space="preserve"> </w:t>
      </w:r>
      <w:r>
        <w:rPr>
          <w:sz w:val="20"/>
        </w:rPr>
        <w:t>garantizar</w:t>
      </w:r>
      <w:r>
        <w:rPr>
          <w:spacing w:val="-18"/>
          <w:sz w:val="20"/>
        </w:rPr>
        <w:t xml:space="preserve"> </w:t>
      </w:r>
      <w:r>
        <w:rPr>
          <w:sz w:val="20"/>
        </w:rPr>
        <w:t>los</w:t>
      </w:r>
      <w:r>
        <w:rPr>
          <w:spacing w:val="-21"/>
          <w:sz w:val="20"/>
        </w:rPr>
        <w:t xml:space="preserve"> </w:t>
      </w:r>
      <w:r>
        <w:rPr>
          <w:sz w:val="20"/>
        </w:rPr>
        <w:t>derechos</w:t>
      </w:r>
      <w:r>
        <w:rPr>
          <w:spacing w:val="-18"/>
          <w:sz w:val="20"/>
        </w:rPr>
        <w:t xml:space="preserve"> </w:t>
      </w:r>
      <w:r>
        <w:rPr>
          <w:sz w:val="20"/>
        </w:rPr>
        <w:t>humanos y el principio de igualdad y no</w:t>
      </w:r>
      <w:r>
        <w:rPr>
          <w:spacing w:val="-11"/>
          <w:sz w:val="20"/>
        </w:rPr>
        <w:t xml:space="preserve"> </w:t>
      </w:r>
      <w:r>
        <w:rPr>
          <w:sz w:val="20"/>
        </w:rPr>
        <w:t>discriminación</w:t>
      </w:r>
      <w:hyperlink w:anchor="_bookmark325" w:history="1">
        <w:r>
          <w:rPr>
            <w:position w:val="7"/>
            <w:sz w:val="13"/>
          </w:rPr>
          <w:t>276</w:t>
        </w:r>
      </w:hyperlink>
      <w:r>
        <w:rPr>
          <w:sz w:val="20"/>
        </w:rPr>
        <w:t>.</w:t>
      </w:r>
    </w:p>
    <w:p w14:paraId="42F65F32" w14:textId="77777777" w:rsidR="00467FCA" w:rsidRDefault="00467FCA">
      <w:pPr>
        <w:pStyle w:val="Textoindependiente"/>
        <w:spacing w:before="1"/>
      </w:pPr>
    </w:p>
    <w:p w14:paraId="00AECB59" w14:textId="77777777" w:rsidR="00467FCA" w:rsidRDefault="001B68EB">
      <w:pPr>
        <w:pStyle w:val="Prrafodelista"/>
        <w:numPr>
          <w:ilvl w:val="0"/>
          <w:numId w:val="50"/>
        </w:numPr>
        <w:tabs>
          <w:tab w:val="left" w:pos="687"/>
        </w:tabs>
        <w:ind w:left="119" w:right="118" w:firstLine="0"/>
        <w:jc w:val="both"/>
        <w:rPr>
          <w:sz w:val="20"/>
        </w:rPr>
      </w:pPr>
      <w:r>
        <w:rPr>
          <w:sz w:val="20"/>
        </w:rPr>
        <w:t>En relación con la discriminación por razón de la pobreza en la que se encontraban las trabajadoras de la fábrica de fuegos, lo primero que se debe señalar es que esta no es considerada una categoría especial de protección al tenor literal del artículo 1.1</w:t>
      </w:r>
      <w:r>
        <w:rPr>
          <w:sz w:val="20"/>
        </w:rPr>
        <w:t xml:space="preserve"> de la Convención Americana. Sin embargo, ello no es un obstáculo para considerar que la discriminación</w:t>
      </w:r>
      <w:r>
        <w:rPr>
          <w:spacing w:val="-6"/>
          <w:sz w:val="20"/>
        </w:rPr>
        <w:t xml:space="preserve"> </w:t>
      </w:r>
      <w:r>
        <w:rPr>
          <w:sz w:val="20"/>
        </w:rPr>
        <w:t>por</w:t>
      </w:r>
      <w:r>
        <w:rPr>
          <w:spacing w:val="-6"/>
          <w:sz w:val="20"/>
        </w:rPr>
        <w:t xml:space="preserve"> </w:t>
      </w:r>
      <w:r>
        <w:rPr>
          <w:sz w:val="20"/>
        </w:rPr>
        <w:t>esta</w:t>
      </w:r>
      <w:r>
        <w:rPr>
          <w:spacing w:val="-4"/>
          <w:sz w:val="20"/>
        </w:rPr>
        <w:t xml:space="preserve"> </w:t>
      </w:r>
      <w:r>
        <w:rPr>
          <w:sz w:val="20"/>
        </w:rPr>
        <w:t>razón</w:t>
      </w:r>
      <w:r>
        <w:rPr>
          <w:spacing w:val="-4"/>
          <w:sz w:val="20"/>
        </w:rPr>
        <w:t xml:space="preserve"> </w:t>
      </w:r>
      <w:r>
        <w:rPr>
          <w:sz w:val="20"/>
        </w:rPr>
        <w:t>está</w:t>
      </w:r>
      <w:r>
        <w:rPr>
          <w:spacing w:val="-7"/>
          <w:sz w:val="20"/>
        </w:rPr>
        <w:t xml:space="preserve"> </w:t>
      </w:r>
      <w:r>
        <w:rPr>
          <w:sz w:val="20"/>
        </w:rPr>
        <w:t>prohibida</w:t>
      </w:r>
      <w:r>
        <w:rPr>
          <w:spacing w:val="-6"/>
          <w:sz w:val="20"/>
        </w:rPr>
        <w:t xml:space="preserve"> </w:t>
      </w:r>
      <w:r>
        <w:rPr>
          <w:sz w:val="20"/>
        </w:rPr>
        <w:t>por</w:t>
      </w:r>
      <w:r>
        <w:rPr>
          <w:spacing w:val="-6"/>
          <w:sz w:val="20"/>
        </w:rPr>
        <w:t xml:space="preserve"> </w:t>
      </w:r>
      <w:r>
        <w:rPr>
          <w:sz w:val="20"/>
        </w:rPr>
        <w:t>las</w:t>
      </w:r>
      <w:r>
        <w:rPr>
          <w:spacing w:val="-7"/>
          <w:sz w:val="20"/>
        </w:rPr>
        <w:t xml:space="preserve"> </w:t>
      </w:r>
      <w:r>
        <w:rPr>
          <w:sz w:val="20"/>
        </w:rPr>
        <w:t>normas</w:t>
      </w:r>
      <w:r>
        <w:rPr>
          <w:spacing w:val="-6"/>
          <w:sz w:val="20"/>
        </w:rPr>
        <w:t xml:space="preserve"> </w:t>
      </w:r>
      <w:r>
        <w:rPr>
          <w:sz w:val="20"/>
        </w:rPr>
        <w:t>convencionales.</w:t>
      </w:r>
      <w:r>
        <w:rPr>
          <w:spacing w:val="-5"/>
          <w:sz w:val="20"/>
        </w:rPr>
        <w:t xml:space="preserve"> </w:t>
      </w:r>
      <w:r>
        <w:rPr>
          <w:sz w:val="20"/>
        </w:rPr>
        <w:t>Primero,</w:t>
      </w:r>
      <w:r>
        <w:rPr>
          <w:spacing w:val="-6"/>
          <w:sz w:val="20"/>
        </w:rPr>
        <w:t xml:space="preserve"> </w:t>
      </w:r>
      <w:r>
        <w:rPr>
          <w:sz w:val="20"/>
        </w:rPr>
        <w:t>porque el listado contenido en el artículo 1.1 de la Convención no es taxativo sin</w:t>
      </w:r>
      <w:r>
        <w:rPr>
          <w:sz w:val="20"/>
        </w:rPr>
        <w:t>o enunciativo y segundo, porque la pobreza bien puede entenderse dentro de la categoría de “posición económica” a la que se refiere expresamente el referido artículo, o en relación con otras categorías de protección como el “origen […] social” u “otra cond</w:t>
      </w:r>
      <w:r>
        <w:rPr>
          <w:sz w:val="20"/>
        </w:rPr>
        <w:t>ición social”</w:t>
      </w:r>
      <w:hyperlink w:anchor="_bookmark326" w:history="1">
        <w:r>
          <w:rPr>
            <w:position w:val="7"/>
            <w:sz w:val="13"/>
          </w:rPr>
          <w:t>277</w:t>
        </w:r>
      </w:hyperlink>
      <w:r>
        <w:rPr>
          <w:sz w:val="20"/>
        </w:rPr>
        <w:t>, en función de su carácter</w:t>
      </w:r>
      <w:r>
        <w:rPr>
          <w:spacing w:val="-3"/>
          <w:sz w:val="20"/>
        </w:rPr>
        <w:t xml:space="preserve"> </w:t>
      </w:r>
      <w:r>
        <w:rPr>
          <w:sz w:val="20"/>
        </w:rPr>
        <w:t>multidimensional.</w:t>
      </w:r>
    </w:p>
    <w:p w14:paraId="4CBBC210" w14:textId="77777777" w:rsidR="00467FCA" w:rsidRDefault="00467FCA">
      <w:pPr>
        <w:pStyle w:val="Textoindependiente"/>
      </w:pPr>
    </w:p>
    <w:p w14:paraId="5A10CA83" w14:textId="77777777" w:rsidR="00467FCA" w:rsidRDefault="001B68EB">
      <w:pPr>
        <w:pStyle w:val="Prrafodelista"/>
        <w:numPr>
          <w:ilvl w:val="0"/>
          <w:numId w:val="50"/>
        </w:numPr>
        <w:tabs>
          <w:tab w:val="left" w:pos="687"/>
        </w:tabs>
        <w:ind w:left="119" w:right="116" w:firstLine="0"/>
        <w:jc w:val="both"/>
        <w:rPr>
          <w:sz w:val="20"/>
        </w:rPr>
      </w:pPr>
      <w:r>
        <w:rPr>
          <w:sz w:val="20"/>
        </w:rPr>
        <w:t>Al respecto, la Corte recuerda que los Estados están obligados “a adoptar medidas positivas para revertir o cambiar situaciones discriminatorias existentes en su</w:t>
      </w:r>
      <w:r>
        <w:rPr>
          <w:sz w:val="20"/>
        </w:rPr>
        <w:t>s sociedades, en perjuicio de determinado grupo de personas. Esto implica el deber especial de protección que el Estado debe ejercer respecto de actuaciones y prácticas de terceros que, bajo su tolerancia</w:t>
      </w:r>
      <w:r>
        <w:rPr>
          <w:spacing w:val="-6"/>
          <w:sz w:val="20"/>
        </w:rPr>
        <w:t xml:space="preserve"> </w:t>
      </w:r>
      <w:r>
        <w:rPr>
          <w:sz w:val="20"/>
        </w:rPr>
        <w:t>o</w:t>
      </w:r>
      <w:r>
        <w:rPr>
          <w:spacing w:val="-10"/>
          <w:sz w:val="20"/>
        </w:rPr>
        <w:t xml:space="preserve"> </w:t>
      </w:r>
      <w:r>
        <w:rPr>
          <w:sz w:val="20"/>
        </w:rPr>
        <w:t>aquiescencia,</w:t>
      </w:r>
      <w:r>
        <w:rPr>
          <w:spacing w:val="-8"/>
          <w:sz w:val="20"/>
        </w:rPr>
        <w:t xml:space="preserve"> </w:t>
      </w:r>
      <w:r>
        <w:rPr>
          <w:sz w:val="20"/>
        </w:rPr>
        <w:t>creen,</w:t>
      </w:r>
      <w:r>
        <w:rPr>
          <w:spacing w:val="-7"/>
          <w:sz w:val="20"/>
        </w:rPr>
        <w:t xml:space="preserve"> </w:t>
      </w:r>
      <w:r>
        <w:rPr>
          <w:sz w:val="20"/>
        </w:rPr>
        <w:t>mantengan</w:t>
      </w:r>
      <w:r>
        <w:rPr>
          <w:spacing w:val="-8"/>
          <w:sz w:val="20"/>
        </w:rPr>
        <w:t xml:space="preserve"> </w:t>
      </w:r>
      <w:r>
        <w:rPr>
          <w:sz w:val="20"/>
        </w:rPr>
        <w:t>o</w:t>
      </w:r>
      <w:r>
        <w:rPr>
          <w:spacing w:val="-6"/>
          <w:sz w:val="20"/>
        </w:rPr>
        <w:t xml:space="preserve"> </w:t>
      </w:r>
      <w:r>
        <w:rPr>
          <w:sz w:val="20"/>
        </w:rPr>
        <w:t>favorezcan</w:t>
      </w:r>
      <w:r>
        <w:rPr>
          <w:spacing w:val="-5"/>
          <w:sz w:val="20"/>
        </w:rPr>
        <w:t xml:space="preserve"> </w:t>
      </w:r>
      <w:r>
        <w:rPr>
          <w:sz w:val="20"/>
        </w:rPr>
        <w:t>las</w:t>
      </w:r>
      <w:r>
        <w:rPr>
          <w:spacing w:val="-7"/>
          <w:sz w:val="20"/>
        </w:rPr>
        <w:t xml:space="preserve"> </w:t>
      </w:r>
      <w:r>
        <w:rPr>
          <w:sz w:val="20"/>
        </w:rPr>
        <w:t>s</w:t>
      </w:r>
      <w:r>
        <w:rPr>
          <w:sz w:val="20"/>
        </w:rPr>
        <w:t>ituaciones</w:t>
      </w:r>
      <w:r>
        <w:rPr>
          <w:spacing w:val="-10"/>
          <w:sz w:val="20"/>
        </w:rPr>
        <w:t xml:space="preserve"> </w:t>
      </w:r>
      <w:r>
        <w:rPr>
          <w:sz w:val="20"/>
        </w:rPr>
        <w:t>discriminatorias”</w:t>
      </w:r>
      <w:hyperlink w:anchor="_bookmark327" w:history="1">
        <w:r>
          <w:rPr>
            <w:position w:val="7"/>
            <w:sz w:val="13"/>
          </w:rPr>
          <w:t>278</w:t>
        </w:r>
      </w:hyperlink>
      <w:r>
        <w:rPr>
          <w:sz w:val="13"/>
        </w:rPr>
        <w:t xml:space="preserve"> </w:t>
      </w:r>
      <w:r>
        <w:rPr>
          <w:sz w:val="20"/>
        </w:rPr>
        <w:t>y,</w:t>
      </w:r>
      <w:r>
        <w:rPr>
          <w:spacing w:val="10"/>
          <w:sz w:val="20"/>
        </w:rPr>
        <w:t xml:space="preserve"> </w:t>
      </w:r>
      <w:r>
        <w:rPr>
          <w:sz w:val="20"/>
        </w:rPr>
        <w:t>además,</w:t>
      </w:r>
      <w:r>
        <w:rPr>
          <w:spacing w:val="10"/>
          <w:sz w:val="20"/>
        </w:rPr>
        <w:t xml:space="preserve"> </w:t>
      </w:r>
      <w:r>
        <w:rPr>
          <w:sz w:val="20"/>
        </w:rPr>
        <w:t>que</w:t>
      </w:r>
      <w:r>
        <w:rPr>
          <w:spacing w:val="13"/>
          <w:sz w:val="20"/>
        </w:rPr>
        <w:t xml:space="preserve"> </w:t>
      </w:r>
      <w:r>
        <w:rPr>
          <w:sz w:val="20"/>
        </w:rPr>
        <w:t>los</w:t>
      </w:r>
      <w:r>
        <w:rPr>
          <w:spacing w:val="10"/>
          <w:sz w:val="20"/>
        </w:rPr>
        <w:t xml:space="preserve"> </w:t>
      </w:r>
      <w:r>
        <w:rPr>
          <w:sz w:val="20"/>
        </w:rPr>
        <w:t>Estados</w:t>
      </w:r>
      <w:r>
        <w:rPr>
          <w:spacing w:val="12"/>
          <w:sz w:val="20"/>
        </w:rPr>
        <w:t xml:space="preserve"> </w:t>
      </w:r>
      <w:r>
        <w:rPr>
          <w:sz w:val="20"/>
        </w:rPr>
        <w:t>están</w:t>
      </w:r>
      <w:r>
        <w:rPr>
          <w:spacing w:val="15"/>
          <w:sz w:val="20"/>
        </w:rPr>
        <w:t xml:space="preserve"> </w:t>
      </w:r>
      <w:r>
        <w:rPr>
          <w:sz w:val="20"/>
        </w:rPr>
        <w:t>obligados</w:t>
      </w:r>
      <w:r>
        <w:rPr>
          <w:spacing w:val="10"/>
          <w:sz w:val="20"/>
        </w:rPr>
        <w:t xml:space="preserve"> </w:t>
      </w:r>
      <w:r>
        <w:rPr>
          <w:sz w:val="20"/>
        </w:rPr>
        <w:t>a</w:t>
      </w:r>
      <w:r>
        <w:rPr>
          <w:spacing w:val="15"/>
          <w:sz w:val="20"/>
        </w:rPr>
        <w:t xml:space="preserve"> </w:t>
      </w:r>
      <w:r>
        <w:rPr>
          <w:sz w:val="20"/>
        </w:rPr>
        <w:t>adoptar</w:t>
      </w:r>
      <w:r>
        <w:rPr>
          <w:spacing w:val="10"/>
          <w:sz w:val="20"/>
        </w:rPr>
        <w:t xml:space="preserve"> </w:t>
      </w:r>
      <w:r>
        <w:rPr>
          <w:sz w:val="20"/>
        </w:rPr>
        <w:t>medidas</w:t>
      </w:r>
      <w:r>
        <w:rPr>
          <w:spacing w:val="12"/>
          <w:sz w:val="20"/>
        </w:rPr>
        <w:t xml:space="preserve"> </w:t>
      </w:r>
      <w:r>
        <w:rPr>
          <w:sz w:val="20"/>
        </w:rPr>
        <w:t>positivas,</w:t>
      </w:r>
      <w:r>
        <w:rPr>
          <w:spacing w:val="10"/>
          <w:sz w:val="20"/>
        </w:rPr>
        <w:t xml:space="preserve"> </w:t>
      </w:r>
      <w:r>
        <w:rPr>
          <w:sz w:val="20"/>
        </w:rPr>
        <w:t>determinables</w:t>
      </w:r>
      <w:r>
        <w:rPr>
          <w:spacing w:val="13"/>
          <w:sz w:val="20"/>
        </w:rPr>
        <w:t xml:space="preserve"> </w:t>
      </w:r>
      <w:r>
        <w:rPr>
          <w:sz w:val="20"/>
        </w:rPr>
        <w:t>en</w:t>
      </w:r>
    </w:p>
    <w:p w14:paraId="5135DBB4" w14:textId="77777777" w:rsidR="00467FCA" w:rsidRDefault="001B68EB">
      <w:pPr>
        <w:pStyle w:val="Textoindependiente"/>
        <w:spacing w:before="8"/>
        <w:rPr>
          <w:sz w:val="21"/>
        </w:rPr>
      </w:pPr>
      <w:r>
        <w:pict w14:anchorId="4C075A8E">
          <v:shape id="_x0000_s1146" style="position:absolute;margin-left:1in;margin-top:15.45pt;width:2in;height:.1pt;z-index:-251607040;mso-wrap-distance-left:0;mso-wrap-distance-right:0;mso-position-horizontal-relative:page" coordorigin="1440,309" coordsize="2880,0" path="m1440,309r2880,e" filled="f" strokeweight=".6pt">
            <v:path arrowok="t"/>
            <w10:wrap type="topAndBottom" anchorx="page"/>
          </v:shape>
        </w:pict>
      </w:r>
    </w:p>
    <w:p w14:paraId="1A3A799C" w14:textId="77777777" w:rsidR="00467FCA" w:rsidRDefault="001B68EB">
      <w:pPr>
        <w:tabs>
          <w:tab w:val="left" w:pos="839"/>
        </w:tabs>
        <w:spacing w:before="74"/>
        <w:ind w:left="120" w:right="113" w:hanging="1"/>
        <w:jc w:val="both"/>
        <w:rPr>
          <w:sz w:val="16"/>
        </w:rPr>
      </w:pPr>
      <w:bookmarkStart w:id="371" w:name="_bookmark323"/>
      <w:bookmarkEnd w:id="371"/>
      <w:r>
        <w:rPr>
          <w:position w:val="6"/>
          <w:sz w:val="10"/>
        </w:rPr>
        <w:t>274</w:t>
      </w:r>
      <w:r>
        <w:rPr>
          <w:position w:val="6"/>
          <w:sz w:val="10"/>
        </w:rPr>
        <w:tab/>
      </w:r>
      <w:r>
        <w:rPr>
          <w:i/>
          <w:sz w:val="16"/>
        </w:rPr>
        <w:t xml:space="preserve">Cfr. Propuesta de modificación a la Constitución Política de Costa Rica relacionada con la naturalización. </w:t>
      </w:r>
      <w:r>
        <w:rPr>
          <w:sz w:val="16"/>
        </w:rPr>
        <w:t xml:space="preserve">Opinión Consultiva OC-4/84 de 19 de enero de 1984. Serie A No. 4, párr. 53, y </w:t>
      </w:r>
      <w:r>
        <w:rPr>
          <w:i/>
          <w:sz w:val="16"/>
        </w:rPr>
        <w:t>Caso Ramírez Escobar y otros Vs. Guatemala, supra</w:t>
      </w:r>
      <w:r>
        <w:rPr>
          <w:sz w:val="16"/>
        </w:rPr>
        <w:t>, párr.</w:t>
      </w:r>
      <w:r>
        <w:rPr>
          <w:spacing w:val="-5"/>
          <w:sz w:val="16"/>
        </w:rPr>
        <w:t xml:space="preserve"> </w:t>
      </w:r>
      <w:r>
        <w:rPr>
          <w:sz w:val="16"/>
        </w:rPr>
        <w:t>271.</w:t>
      </w:r>
    </w:p>
    <w:p w14:paraId="50581AC1" w14:textId="77777777" w:rsidR="00467FCA" w:rsidRDefault="001B68EB">
      <w:pPr>
        <w:tabs>
          <w:tab w:val="left" w:pos="839"/>
        </w:tabs>
        <w:ind w:left="119" w:right="113"/>
        <w:jc w:val="both"/>
        <w:rPr>
          <w:sz w:val="16"/>
        </w:rPr>
      </w:pPr>
      <w:bookmarkStart w:id="372" w:name="_bookmark324"/>
      <w:bookmarkEnd w:id="372"/>
      <w:r>
        <w:rPr>
          <w:position w:val="6"/>
          <w:sz w:val="10"/>
        </w:rPr>
        <w:t>275</w:t>
      </w:r>
      <w:r>
        <w:rPr>
          <w:position w:val="6"/>
          <w:sz w:val="10"/>
        </w:rPr>
        <w:tab/>
      </w:r>
      <w:r>
        <w:rPr>
          <w:i/>
          <w:sz w:val="16"/>
        </w:rPr>
        <w:t xml:space="preserve">Cfr. </w:t>
      </w:r>
      <w:r>
        <w:rPr>
          <w:i/>
          <w:sz w:val="16"/>
        </w:rPr>
        <w:t>Condición jurídica y derechos de los migrantes indocumentados, supra</w:t>
      </w:r>
      <w:r>
        <w:rPr>
          <w:sz w:val="16"/>
        </w:rPr>
        <w:t xml:space="preserve">, párr. 85, y </w:t>
      </w:r>
      <w:r>
        <w:rPr>
          <w:i/>
          <w:sz w:val="16"/>
        </w:rPr>
        <w:t>Caso Ramírez Escobar y otros Vs. Guatemala, supra</w:t>
      </w:r>
      <w:r>
        <w:rPr>
          <w:sz w:val="16"/>
        </w:rPr>
        <w:t>, párr.</w:t>
      </w:r>
      <w:r>
        <w:rPr>
          <w:spacing w:val="-10"/>
          <w:sz w:val="16"/>
        </w:rPr>
        <w:t xml:space="preserve"> </w:t>
      </w:r>
      <w:r>
        <w:rPr>
          <w:sz w:val="16"/>
        </w:rPr>
        <w:t>271.</w:t>
      </w:r>
    </w:p>
    <w:p w14:paraId="5F074A15" w14:textId="77777777" w:rsidR="00467FCA" w:rsidRDefault="001B68EB">
      <w:pPr>
        <w:tabs>
          <w:tab w:val="left" w:pos="839"/>
        </w:tabs>
        <w:ind w:left="119" w:right="113"/>
        <w:jc w:val="both"/>
        <w:rPr>
          <w:sz w:val="16"/>
        </w:rPr>
      </w:pPr>
      <w:bookmarkStart w:id="373" w:name="_bookmark325"/>
      <w:bookmarkEnd w:id="373"/>
      <w:r>
        <w:rPr>
          <w:position w:val="6"/>
          <w:sz w:val="10"/>
        </w:rPr>
        <w:t>276</w:t>
      </w:r>
      <w:r>
        <w:rPr>
          <w:position w:val="6"/>
          <w:sz w:val="10"/>
        </w:rPr>
        <w:tab/>
      </w:r>
      <w:r>
        <w:rPr>
          <w:i/>
          <w:sz w:val="16"/>
        </w:rPr>
        <w:t>Cfr. Condición jurídica y derechos de los migrantes indocumentados, supra</w:t>
      </w:r>
      <w:r>
        <w:rPr>
          <w:sz w:val="16"/>
        </w:rPr>
        <w:t xml:space="preserve">, párr. 85, y </w:t>
      </w:r>
      <w:r>
        <w:rPr>
          <w:i/>
          <w:sz w:val="16"/>
        </w:rPr>
        <w:t xml:space="preserve">Caso Ramírez Escobar </w:t>
      </w:r>
      <w:r>
        <w:rPr>
          <w:i/>
          <w:sz w:val="16"/>
        </w:rPr>
        <w:t>y otros Vs. Guatemala, supra</w:t>
      </w:r>
      <w:r>
        <w:rPr>
          <w:sz w:val="16"/>
        </w:rPr>
        <w:t>, párr.</w:t>
      </w:r>
      <w:r>
        <w:rPr>
          <w:spacing w:val="-10"/>
          <w:sz w:val="16"/>
        </w:rPr>
        <w:t xml:space="preserve"> </w:t>
      </w:r>
      <w:r>
        <w:rPr>
          <w:sz w:val="16"/>
        </w:rPr>
        <w:t>271.</w:t>
      </w:r>
    </w:p>
    <w:p w14:paraId="35B1FE04" w14:textId="77777777" w:rsidR="00467FCA" w:rsidRDefault="001B68EB">
      <w:pPr>
        <w:tabs>
          <w:tab w:val="left" w:pos="827"/>
        </w:tabs>
        <w:ind w:left="118" w:right="111" w:firstLine="1"/>
        <w:jc w:val="both"/>
        <w:rPr>
          <w:sz w:val="16"/>
        </w:rPr>
      </w:pPr>
      <w:bookmarkStart w:id="374" w:name="_bookmark326"/>
      <w:bookmarkEnd w:id="374"/>
      <w:r>
        <w:rPr>
          <w:position w:val="6"/>
          <w:sz w:val="10"/>
        </w:rPr>
        <w:t>277</w:t>
      </w:r>
      <w:r>
        <w:rPr>
          <w:position w:val="6"/>
          <w:sz w:val="10"/>
        </w:rPr>
        <w:tab/>
      </w:r>
      <w:r>
        <w:rPr>
          <w:sz w:val="16"/>
        </w:rPr>
        <w:t>En relación con el PIDESC, el Comité del Pacto de Derechos Económicos, Sociales y Culturales, en su Observación General No. 20, señaló que la inclusión de “</w:t>
      </w:r>
      <w:r>
        <w:rPr>
          <w:i/>
          <w:sz w:val="16"/>
        </w:rPr>
        <w:t xml:space="preserve">cualquier otra condición social” </w:t>
      </w:r>
      <w:r>
        <w:rPr>
          <w:sz w:val="16"/>
        </w:rPr>
        <w:t xml:space="preserve">indica que esta lista </w:t>
      </w:r>
      <w:r>
        <w:rPr>
          <w:sz w:val="16"/>
        </w:rPr>
        <w:t>no es exhaustiva y que pueden incluirse otros motivos en esta categoría. Así, ha expresado que el carácter de la discriminación varía según el contexto y evoluciona con el tiempo. Por lo tanto, la discriminación basada en “otra condición social” exige un p</w:t>
      </w:r>
      <w:r>
        <w:rPr>
          <w:sz w:val="16"/>
        </w:rPr>
        <w:t>lanteamiento flexible que incluya otras formas de trato diferencial que: i) no puede justificarse de forma razonable y objetiva, y ii) que tenga un carácter comparable con los motivos expresamente reconocidos</w:t>
      </w:r>
      <w:r>
        <w:rPr>
          <w:i/>
          <w:sz w:val="16"/>
        </w:rPr>
        <w:t>.</w:t>
      </w:r>
      <w:r>
        <w:rPr>
          <w:i/>
          <w:spacing w:val="-7"/>
          <w:sz w:val="16"/>
        </w:rPr>
        <w:t xml:space="preserve"> </w:t>
      </w:r>
      <w:r>
        <w:rPr>
          <w:sz w:val="16"/>
        </w:rPr>
        <w:t>Estos</w:t>
      </w:r>
      <w:r>
        <w:rPr>
          <w:spacing w:val="-6"/>
          <w:sz w:val="16"/>
        </w:rPr>
        <w:t xml:space="preserve"> </w:t>
      </w:r>
      <w:r>
        <w:rPr>
          <w:sz w:val="16"/>
        </w:rPr>
        <w:t>motivos</w:t>
      </w:r>
      <w:r>
        <w:rPr>
          <w:spacing w:val="-6"/>
          <w:sz w:val="16"/>
        </w:rPr>
        <w:t xml:space="preserve"> </w:t>
      </w:r>
      <w:r>
        <w:rPr>
          <w:sz w:val="16"/>
        </w:rPr>
        <w:t>adicionales</w:t>
      </w:r>
      <w:r>
        <w:rPr>
          <w:spacing w:val="-6"/>
          <w:sz w:val="16"/>
        </w:rPr>
        <w:t xml:space="preserve"> </w:t>
      </w:r>
      <w:r>
        <w:rPr>
          <w:sz w:val="16"/>
        </w:rPr>
        <w:t>se</w:t>
      </w:r>
      <w:r>
        <w:rPr>
          <w:spacing w:val="-8"/>
          <w:sz w:val="16"/>
        </w:rPr>
        <w:t xml:space="preserve"> </w:t>
      </w:r>
      <w:r>
        <w:rPr>
          <w:sz w:val="16"/>
        </w:rPr>
        <w:t>reconocen</w:t>
      </w:r>
      <w:r>
        <w:rPr>
          <w:spacing w:val="-9"/>
          <w:sz w:val="16"/>
        </w:rPr>
        <w:t xml:space="preserve"> </w:t>
      </w:r>
      <w:r>
        <w:rPr>
          <w:sz w:val="16"/>
        </w:rPr>
        <w:t>general</w:t>
      </w:r>
      <w:r>
        <w:rPr>
          <w:sz w:val="16"/>
        </w:rPr>
        <w:t>mente</w:t>
      </w:r>
      <w:r>
        <w:rPr>
          <w:spacing w:val="-5"/>
          <w:sz w:val="16"/>
        </w:rPr>
        <w:t xml:space="preserve"> </w:t>
      </w:r>
      <w:r>
        <w:rPr>
          <w:sz w:val="16"/>
        </w:rPr>
        <w:t>cuando</w:t>
      </w:r>
      <w:r>
        <w:rPr>
          <w:spacing w:val="-8"/>
          <w:sz w:val="16"/>
        </w:rPr>
        <w:t xml:space="preserve"> </w:t>
      </w:r>
      <w:r>
        <w:rPr>
          <w:sz w:val="16"/>
        </w:rPr>
        <w:t>reflejan</w:t>
      </w:r>
      <w:r>
        <w:rPr>
          <w:spacing w:val="-7"/>
          <w:sz w:val="16"/>
        </w:rPr>
        <w:t xml:space="preserve"> </w:t>
      </w:r>
      <w:r>
        <w:rPr>
          <w:sz w:val="16"/>
        </w:rPr>
        <w:t>la</w:t>
      </w:r>
      <w:r>
        <w:rPr>
          <w:spacing w:val="-9"/>
          <w:sz w:val="16"/>
        </w:rPr>
        <w:t xml:space="preserve"> </w:t>
      </w:r>
      <w:r>
        <w:rPr>
          <w:sz w:val="16"/>
        </w:rPr>
        <w:t>experiencia</w:t>
      </w:r>
      <w:r>
        <w:rPr>
          <w:spacing w:val="-7"/>
          <w:sz w:val="16"/>
        </w:rPr>
        <w:t xml:space="preserve"> </w:t>
      </w:r>
      <w:r>
        <w:rPr>
          <w:sz w:val="16"/>
        </w:rPr>
        <w:t>de</w:t>
      </w:r>
      <w:r>
        <w:rPr>
          <w:spacing w:val="-7"/>
          <w:sz w:val="16"/>
        </w:rPr>
        <w:t xml:space="preserve"> </w:t>
      </w:r>
      <w:r>
        <w:rPr>
          <w:sz w:val="16"/>
        </w:rPr>
        <w:t>grupos</w:t>
      </w:r>
      <w:r>
        <w:rPr>
          <w:spacing w:val="-6"/>
          <w:sz w:val="16"/>
        </w:rPr>
        <w:t xml:space="preserve"> </w:t>
      </w:r>
      <w:r>
        <w:rPr>
          <w:sz w:val="16"/>
        </w:rPr>
        <w:t xml:space="preserve">sociales vulnerables que han sido marginados en el pasado o que lo siguen siendo. En ese sentido, el Comité del PIDESC </w:t>
      </w:r>
      <w:r>
        <w:rPr>
          <w:spacing w:val="-4"/>
          <w:sz w:val="16"/>
        </w:rPr>
        <w:t xml:space="preserve">ha </w:t>
      </w:r>
      <w:r>
        <w:rPr>
          <w:sz w:val="16"/>
        </w:rPr>
        <w:t>expresado</w:t>
      </w:r>
      <w:r>
        <w:rPr>
          <w:spacing w:val="-4"/>
          <w:sz w:val="16"/>
        </w:rPr>
        <w:t xml:space="preserve"> </w:t>
      </w:r>
      <w:r>
        <w:rPr>
          <w:sz w:val="16"/>
        </w:rPr>
        <w:t>que</w:t>
      </w:r>
      <w:r>
        <w:rPr>
          <w:spacing w:val="-5"/>
          <w:sz w:val="16"/>
        </w:rPr>
        <w:t xml:space="preserve"> </w:t>
      </w:r>
      <w:r>
        <w:rPr>
          <w:sz w:val="16"/>
        </w:rPr>
        <w:t>otros</w:t>
      </w:r>
      <w:r>
        <w:rPr>
          <w:spacing w:val="-2"/>
          <w:sz w:val="16"/>
        </w:rPr>
        <w:t xml:space="preserve"> </w:t>
      </w:r>
      <w:r>
        <w:rPr>
          <w:sz w:val="16"/>
        </w:rPr>
        <w:t>posibles</w:t>
      </w:r>
      <w:r>
        <w:rPr>
          <w:spacing w:val="-5"/>
          <w:sz w:val="16"/>
        </w:rPr>
        <w:t xml:space="preserve"> </w:t>
      </w:r>
      <w:r>
        <w:rPr>
          <w:sz w:val="16"/>
        </w:rPr>
        <w:t>motivos</w:t>
      </w:r>
      <w:r>
        <w:rPr>
          <w:spacing w:val="-5"/>
          <w:sz w:val="16"/>
        </w:rPr>
        <w:t xml:space="preserve"> </w:t>
      </w:r>
      <w:r>
        <w:rPr>
          <w:sz w:val="16"/>
        </w:rPr>
        <w:t>prohibidos</w:t>
      </w:r>
      <w:r>
        <w:rPr>
          <w:spacing w:val="-5"/>
          <w:sz w:val="16"/>
        </w:rPr>
        <w:t xml:space="preserve"> </w:t>
      </w:r>
      <w:r>
        <w:rPr>
          <w:sz w:val="16"/>
        </w:rPr>
        <w:t>de</w:t>
      </w:r>
      <w:r>
        <w:rPr>
          <w:spacing w:val="-2"/>
          <w:sz w:val="16"/>
        </w:rPr>
        <w:t xml:space="preserve"> </w:t>
      </w:r>
      <w:r>
        <w:rPr>
          <w:sz w:val="16"/>
        </w:rPr>
        <w:t>discriminación</w:t>
      </w:r>
      <w:r>
        <w:rPr>
          <w:spacing w:val="-3"/>
          <w:sz w:val="16"/>
        </w:rPr>
        <w:t xml:space="preserve"> </w:t>
      </w:r>
      <w:r>
        <w:rPr>
          <w:sz w:val="16"/>
        </w:rPr>
        <w:t>podrían</w:t>
      </w:r>
      <w:r>
        <w:rPr>
          <w:spacing w:val="-4"/>
          <w:sz w:val="16"/>
        </w:rPr>
        <w:t xml:space="preserve"> </w:t>
      </w:r>
      <w:r>
        <w:rPr>
          <w:sz w:val="16"/>
        </w:rPr>
        <w:t>ser</w:t>
      </w:r>
      <w:r>
        <w:rPr>
          <w:spacing w:val="-2"/>
          <w:sz w:val="16"/>
        </w:rPr>
        <w:t xml:space="preserve"> </w:t>
      </w:r>
      <w:r>
        <w:rPr>
          <w:sz w:val="16"/>
        </w:rPr>
        <w:t>producto</w:t>
      </w:r>
      <w:r>
        <w:rPr>
          <w:spacing w:val="-4"/>
          <w:sz w:val="16"/>
        </w:rPr>
        <w:t xml:space="preserve"> </w:t>
      </w:r>
      <w:r>
        <w:rPr>
          <w:sz w:val="16"/>
        </w:rPr>
        <w:t>o</w:t>
      </w:r>
      <w:r>
        <w:rPr>
          <w:spacing w:val="-4"/>
          <w:sz w:val="16"/>
        </w:rPr>
        <w:t xml:space="preserve"> </w:t>
      </w:r>
      <w:r>
        <w:rPr>
          <w:sz w:val="16"/>
        </w:rPr>
        <w:t>una</w:t>
      </w:r>
      <w:r>
        <w:rPr>
          <w:spacing w:val="-3"/>
          <w:sz w:val="16"/>
        </w:rPr>
        <w:t xml:space="preserve"> </w:t>
      </w:r>
      <w:r>
        <w:rPr>
          <w:sz w:val="16"/>
        </w:rPr>
        <w:t>intersección</w:t>
      </w:r>
      <w:r>
        <w:rPr>
          <w:spacing w:val="-3"/>
          <w:sz w:val="16"/>
        </w:rPr>
        <w:t xml:space="preserve"> </w:t>
      </w:r>
      <w:r>
        <w:rPr>
          <w:sz w:val="16"/>
        </w:rPr>
        <w:t>de</w:t>
      </w:r>
      <w:r>
        <w:rPr>
          <w:spacing w:val="-2"/>
          <w:sz w:val="16"/>
        </w:rPr>
        <w:t xml:space="preserve"> </w:t>
      </w:r>
      <w:r>
        <w:rPr>
          <w:sz w:val="16"/>
        </w:rPr>
        <w:t>dos</w:t>
      </w:r>
      <w:r>
        <w:rPr>
          <w:spacing w:val="-5"/>
          <w:sz w:val="16"/>
        </w:rPr>
        <w:t xml:space="preserve"> </w:t>
      </w:r>
      <w:r>
        <w:rPr>
          <w:sz w:val="16"/>
        </w:rPr>
        <w:t>o más causas prohibid</w:t>
      </w:r>
      <w:r>
        <w:rPr>
          <w:sz w:val="16"/>
        </w:rPr>
        <w:t xml:space="preserve">as de discriminación, expresas o no expresas. </w:t>
      </w:r>
      <w:r>
        <w:rPr>
          <w:i/>
          <w:sz w:val="16"/>
        </w:rPr>
        <w:t xml:space="preserve">Cfr. </w:t>
      </w:r>
      <w:r>
        <w:rPr>
          <w:sz w:val="16"/>
        </w:rPr>
        <w:t xml:space="preserve">Comité de Derechos Económicos, Sociales y Culturales, </w:t>
      </w:r>
      <w:r>
        <w:rPr>
          <w:i/>
          <w:sz w:val="16"/>
        </w:rPr>
        <w:t>Observación General No. 20: La no discriminación y los derechos económicos, sociales y culturales (artículo 2, párrafo 2 del Pacto Internacional de los</w:t>
      </w:r>
      <w:r>
        <w:rPr>
          <w:i/>
          <w:sz w:val="16"/>
        </w:rPr>
        <w:t xml:space="preserve"> Derechos Económicos, Sociales y Culturales)</w:t>
      </w:r>
      <w:r>
        <w:rPr>
          <w:sz w:val="16"/>
        </w:rPr>
        <w:t>, UN Doc. E/C.12/GC/20, 2 de julio de 2009, párrs. 15 y</w:t>
      </w:r>
      <w:r>
        <w:rPr>
          <w:spacing w:val="-14"/>
          <w:sz w:val="16"/>
        </w:rPr>
        <w:t xml:space="preserve"> </w:t>
      </w:r>
      <w:r>
        <w:rPr>
          <w:sz w:val="16"/>
        </w:rPr>
        <w:t>27.</w:t>
      </w:r>
    </w:p>
    <w:p w14:paraId="086AB8FF" w14:textId="77777777" w:rsidR="00467FCA" w:rsidRDefault="001B68EB">
      <w:pPr>
        <w:ind w:left="119" w:right="117"/>
        <w:jc w:val="both"/>
        <w:rPr>
          <w:sz w:val="16"/>
        </w:rPr>
      </w:pPr>
      <w:bookmarkStart w:id="375" w:name="_bookmark327"/>
      <w:bookmarkEnd w:id="375"/>
      <w:r>
        <w:rPr>
          <w:position w:val="6"/>
          <w:sz w:val="10"/>
        </w:rPr>
        <w:t xml:space="preserve">278 </w:t>
      </w:r>
      <w:r>
        <w:rPr>
          <w:i/>
          <w:sz w:val="16"/>
        </w:rPr>
        <w:t xml:space="preserve">Cfr. Condición Jurídica y Derechos de los Migrantes Indocumentados, supra, </w:t>
      </w:r>
      <w:r>
        <w:rPr>
          <w:sz w:val="16"/>
        </w:rPr>
        <w:t xml:space="preserve">párr. 104, y </w:t>
      </w:r>
      <w:r>
        <w:rPr>
          <w:i/>
          <w:sz w:val="16"/>
        </w:rPr>
        <w:t>Caso Trabajadores de la Hacienda Brasil Verde Vs. Brasil, su</w:t>
      </w:r>
      <w:r>
        <w:rPr>
          <w:i/>
          <w:sz w:val="16"/>
        </w:rPr>
        <w:t>pra</w:t>
      </w:r>
      <w:r>
        <w:rPr>
          <w:sz w:val="16"/>
        </w:rPr>
        <w:t>, párr.</w:t>
      </w:r>
      <w:r>
        <w:rPr>
          <w:spacing w:val="-9"/>
          <w:sz w:val="16"/>
        </w:rPr>
        <w:t xml:space="preserve"> </w:t>
      </w:r>
      <w:r>
        <w:rPr>
          <w:sz w:val="16"/>
        </w:rPr>
        <w:t>336.</w:t>
      </w:r>
    </w:p>
    <w:p w14:paraId="0147C470" w14:textId="77777777" w:rsidR="00467FCA" w:rsidRDefault="00467FCA">
      <w:pPr>
        <w:jc w:val="both"/>
        <w:rPr>
          <w:sz w:val="16"/>
        </w:rPr>
        <w:sectPr w:rsidR="00467FCA">
          <w:pgSz w:w="12240" w:h="15840"/>
          <w:pgMar w:top="1360" w:right="1320" w:bottom="1220" w:left="1320" w:header="0" w:footer="1037" w:gutter="0"/>
          <w:cols w:space="720"/>
        </w:sectPr>
      </w:pPr>
    </w:p>
    <w:p w14:paraId="3947C033" w14:textId="77777777" w:rsidR="00467FCA" w:rsidRDefault="001B68EB">
      <w:pPr>
        <w:pStyle w:val="Textoindependiente"/>
        <w:spacing w:before="80"/>
        <w:ind w:left="120" w:right="120"/>
        <w:jc w:val="both"/>
      </w:pPr>
      <w:r>
        <w:t>función de las particulares necesidades de protección del sujeto de derecho, ya sea por su condición personal o por la situación específica en que se encuentre</w:t>
      </w:r>
      <w:hyperlink w:anchor="_bookmark328" w:history="1">
        <w:r>
          <w:rPr>
            <w:position w:val="7"/>
            <w:sz w:val="13"/>
          </w:rPr>
          <w:t>279</w:t>
        </w:r>
      </w:hyperlink>
      <w:r>
        <w:t>, como la extrema pobreza o marginación</w:t>
      </w:r>
      <w:hyperlink w:anchor="_bookmark329" w:history="1">
        <w:r>
          <w:rPr>
            <w:position w:val="7"/>
            <w:sz w:val="13"/>
          </w:rPr>
          <w:t>280</w:t>
        </w:r>
      </w:hyperlink>
      <w:r>
        <w:t>.</w:t>
      </w:r>
    </w:p>
    <w:p w14:paraId="10A53142" w14:textId="77777777" w:rsidR="00467FCA" w:rsidRDefault="00467FCA">
      <w:pPr>
        <w:pStyle w:val="Textoindependiente"/>
      </w:pPr>
    </w:p>
    <w:p w14:paraId="2C5F6FEB" w14:textId="77777777" w:rsidR="00467FCA" w:rsidRDefault="001B68EB">
      <w:pPr>
        <w:pStyle w:val="Prrafodelista"/>
        <w:numPr>
          <w:ilvl w:val="0"/>
          <w:numId w:val="50"/>
        </w:numPr>
        <w:tabs>
          <w:tab w:val="left" w:pos="687"/>
        </w:tabs>
        <w:ind w:left="119" w:right="115" w:firstLine="0"/>
        <w:jc w:val="both"/>
        <w:rPr>
          <w:sz w:val="20"/>
        </w:rPr>
      </w:pPr>
      <w:r>
        <w:rPr>
          <w:sz w:val="20"/>
        </w:rPr>
        <w:t>La Corte Interamericana ya se ha pronunciado sobre la pobreza y la prohibición de discriminación por posición económica. En ese sentido, ha reconocido en varias de sus decisiones</w:t>
      </w:r>
      <w:r>
        <w:rPr>
          <w:spacing w:val="-10"/>
          <w:sz w:val="20"/>
        </w:rPr>
        <w:t xml:space="preserve"> </w:t>
      </w:r>
      <w:r>
        <w:rPr>
          <w:sz w:val="20"/>
        </w:rPr>
        <w:t>que</w:t>
      </w:r>
      <w:r>
        <w:rPr>
          <w:spacing w:val="-7"/>
          <w:sz w:val="20"/>
        </w:rPr>
        <w:t xml:space="preserve"> </w:t>
      </w:r>
      <w:r>
        <w:rPr>
          <w:sz w:val="20"/>
        </w:rPr>
        <w:t>las</w:t>
      </w:r>
      <w:r>
        <w:rPr>
          <w:spacing w:val="-6"/>
          <w:sz w:val="20"/>
        </w:rPr>
        <w:t xml:space="preserve"> </w:t>
      </w:r>
      <w:r>
        <w:rPr>
          <w:sz w:val="20"/>
        </w:rPr>
        <w:t>violaciones</w:t>
      </w:r>
      <w:r>
        <w:rPr>
          <w:spacing w:val="-6"/>
          <w:sz w:val="20"/>
        </w:rPr>
        <w:t xml:space="preserve"> </w:t>
      </w:r>
      <w:r>
        <w:rPr>
          <w:sz w:val="20"/>
        </w:rPr>
        <w:t>de</w:t>
      </w:r>
      <w:r>
        <w:rPr>
          <w:spacing w:val="-7"/>
          <w:sz w:val="20"/>
        </w:rPr>
        <w:t xml:space="preserve"> </w:t>
      </w:r>
      <w:r>
        <w:rPr>
          <w:sz w:val="20"/>
        </w:rPr>
        <w:t>derechos</w:t>
      </w:r>
      <w:r>
        <w:rPr>
          <w:spacing w:val="-7"/>
          <w:sz w:val="20"/>
        </w:rPr>
        <w:t xml:space="preserve"> </w:t>
      </w:r>
      <w:r>
        <w:rPr>
          <w:sz w:val="20"/>
        </w:rPr>
        <w:t>humanos</w:t>
      </w:r>
      <w:r>
        <w:rPr>
          <w:spacing w:val="-9"/>
          <w:sz w:val="20"/>
        </w:rPr>
        <w:t xml:space="preserve"> </w:t>
      </w:r>
      <w:r>
        <w:rPr>
          <w:sz w:val="20"/>
        </w:rPr>
        <w:t>han</w:t>
      </w:r>
      <w:r>
        <w:rPr>
          <w:spacing w:val="-4"/>
          <w:sz w:val="20"/>
        </w:rPr>
        <w:t xml:space="preserve"> </w:t>
      </w:r>
      <w:r>
        <w:rPr>
          <w:sz w:val="20"/>
        </w:rPr>
        <w:t>estado</w:t>
      </w:r>
      <w:r>
        <w:rPr>
          <w:spacing w:val="-6"/>
          <w:sz w:val="20"/>
        </w:rPr>
        <w:t xml:space="preserve"> </w:t>
      </w:r>
      <w:r>
        <w:rPr>
          <w:sz w:val="20"/>
        </w:rPr>
        <w:t>acompañadas</w:t>
      </w:r>
      <w:r>
        <w:rPr>
          <w:spacing w:val="-9"/>
          <w:sz w:val="20"/>
        </w:rPr>
        <w:t xml:space="preserve"> </w:t>
      </w:r>
      <w:r>
        <w:rPr>
          <w:sz w:val="20"/>
        </w:rPr>
        <w:t>de</w:t>
      </w:r>
      <w:r>
        <w:rPr>
          <w:spacing w:val="-8"/>
          <w:sz w:val="20"/>
        </w:rPr>
        <w:t xml:space="preserve"> </w:t>
      </w:r>
      <w:r>
        <w:rPr>
          <w:sz w:val="20"/>
        </w:rPr>
        <w:t>situaciones de exclusión y marginación por la situación de pobreza de las víctimas y ha identificado a la pobreza como un factor de vulnerabilidad que profundiza el impacto de la victimización</w:t>
      </w:r>
      <w:hyperlink w:anchor="_bookmark330" w:history="1">
        <w:r>
          <w:rPr>
            <w:position w:val="7"/>
            <w:sz w:val="13"/>
          </w:rPr>
          <w:t>281</w:t>
        </w:r>
      </w:hyperlink>
      <w:r>
        <w:rPr>
          <w:sz w:val="20"/>
        </w:rPr>
        <w:t>. Recientement</w:t>
      </w:r>
      <w:r>
        <w:rPr>
          <w:sz w:val="20"/>
        </w:rPr>
        <w:t>e,</w:t>
      </w:r>
      <w:r>
        <w:rPr>
          <w:spacing w:val="-5"/>
          <w:sz w:val="20"/>
        </w:rPr>
        <w:t xml:space="preserve"> </w:t>
      </w:r>
      <w:r>
        <w:rPr>
          <w:sz w:val="20"/>
        </w:rPr>
        <w:t>en</w:t>
      </w:r>
      <w:r>
        <w:rPr>
          <w:spacing w:val="-3"/>
          <w:sz w:val="20"/>
        </w:rPr>
        <w:t xml:space="preserve"> </w:t>
      </w:r>
      <w:r>
        <w:rPr>
          <w:sz w:val="20"/>
        </w:rPr>
        <w:t>el</w:t>
      </w:r>
      <w:r>
        <w:rPr>
          <w:spacing w:val="-4"/>
          <w:sz w:val="20"/>
        </w:rPr>
        <w:t xml:space="preserve"> </w:t>
      </w:r>
      <w:r>
        <w:rPr>
          <w:i/>
          <w:sz w:val="20"/>
        </w:rPr>
        <w:t>Caso</w:t>
      </w:r>
      <w:r>
        <w:rPr>
          <w:i/>
          <w:spacing w:val="-4"/>
          <w:sz w:val="20"/>
        </w:rPr>
        <w:t xml:space="preserve"> </w:t>
      </w:r>
      <w:r>
        <w:rPr>
          <w:i/>
          <w:sz w:val="20"/>
        </w:rPr>
        <w:t>Trabajadores</w:t>
      </w:r>
      <w:r>
        <w:rPr>
          <w:i/>
          <w:spacing w:val="-5"/>
          <w:sz w:val="20"/>
        </w:rPr>
        <w:t xml:space="preserve"> </w:t>
      </w:r>
      <w:r>
        <w:rPr>
          <w:i/>
          <w:sz w:val="20"/>
        </w:rPr>
        <w:t>de</w:t>
      </w:r>
      <w:r>
        <w:rPr>
          <w:i/>
          <w:spacing w:val="-4"/>
          <w:sz w:val="20"/>
        </w:rPr>
        <w:t xml:space="preserve"> </w:t>
      </w:r>
      <w:r>
        <w:rPr>
          <w:i/>
          <w:sz w:val="20"/>
        </w:rPr>
        <w:t>la</w:t>
      </w:r>
      <w:r>
        <w:rPr>
          <w:i/>
          <w:spacing w:val="-4"/>
          <w:sz w:val="20"/>
        </w:rPr>
        <w:t xml:space="preserve"> </w:t>
      </w:r>
      <w:r>
        <w:rPr>
          <w:i/>
          <w:sz w:val="20"/>
        </w:rPr>
        <w:t>Hacienda</w:t>
      </w:r>
      <w:r>
        <w:rPr>
          <w:i/>
          <w:spacing w:val="-6"/>
          <w:sz w:val="20"/>
        </w:rPr>
        <w:t xml:space="preserve"> </w:t>
      </w:r>
      <w:r>
        <w:rPr>
          <w:i/>
          <w:sz w:val="20"/>
        </w:rPr>
        <w:t>Brasil</w:t>
      </w:r>
      <w:r>
        <w:rPr>
          <w:i/>
          <w:spacing w:val="-5"/>
          <w:sz w:val="20"/>
        </w:rPr>
        <w:t xml:space="preserve"> </w:t>
      </w:r>
      <w:r>
        <w:rPr>
          <w:i/>
          <w:sz w:val="20"/>
        </w:rPr>
        <w:t>Verde</w:t>
      </w:r>
      <w:r>
        <w:rPr>
          <w:i/>
          <w:spacing w:val="-8"/>
          <w:sz w:val="20"/>
        </w:rPr>
        <w:t xml:space="preserve"> </w:t>
      </w:r>
      <w:r>
        <w:rPr>
          <w:i/>
          <w:sz w:val="20"/>
        </w:rPr>
        <w:t>Vs.</w:t>
      </w:r>
      <w:r>
        <w:rPr>
          <w:i/>
          <w:spacing w:val="-6"/>
          <w:sz w:val="20"/>
        </w:rPr>
        <w:t xml:space="preserve"> </w:t>
      </w:r>
      <w:r>
        <w:rPr>
          <w:i/>
          <w:sz w:val="20"/>
        </w:rPr>
        <w:t>Brasil</w:t>
      </w:r>
      <w:r>
        <w:rPr>
          <w:sz w:val="20"/>
        </w:rPr>
        <w:t>,</w:t>
      </w:r>
      <w:r>
        <w:rPr>
          <w:spacing w:val="-2"/>
          <w:sz w:val="20"/>
        </w:rPr>
        <w:t xml:space="preserve"> </w:t>
      </w:r>
      <w:r>
        <w:rPr>
          <w:sz w:val="20"/>
        </w:rPr>
        <w:t>encontró</w:t>
      </w:r>
      <w:r>
        <w:rPr>
          <w:spacing w:val="-5"/>
          <w:sz w:val="20"/>
        </w:rPr>
        <w:t xml:space="preserve"> </w:t>
      </w:r>
      <w:r>
        <w:rPr>
          <w:sz w:val="20"/>
        </w:rPr>
        <w:t>que “el</w:t>
      </w:r>
      <w:r>
        <w:rPr>
          <w:spacing w:val="-10"/>
          <w:sz w:val="20"/>
        </w:rPr>
        <w:t xml:space="preserve"> </w:t>
      </w:r>
      <w:r>
        <w:rPr>
          <w:sz w:val="20"/>
        </w:rPr>
        <w:t>Estado</w:t>
      </w:r>
      <w:r>
        <w:rPr>
          <w:spacing w:val="-11"/>
          <w:sz w:val="20"/>
        </w:rPr>
        <w:t xml:space="preserve"> </w:t>
      </w:r>
      <w:r>
        <w:rPr>
          <w:sz w:val="20"/>
        </w:rPr>
        <w:t>no</w:t>
      </w:r>
      <w:r>
        <w:rPr>
          <w:spacing w:val="-9"/>
          <w:sz w:val="20"/>
        </w:rPr>
        <w:t xml:space="preserve"> </w:t>
      </w:r>
      <w:r>
        <w:rPr>
          <w:sz w:val="20"/>
        </w:rPr>
        <w:t>consideró</w:t>
      </w:r>
      <w:r>
        <w:rPr>
          <w:spacing w:val="-6"/>
          <w:sz w:val="20"/>
        </w:rPr>
        <w:t xml:space="preserve"> </w:t>
      </w:r>
      <w:r>
        <w:rPr>
          <w:sz w:val="20"/>
        </w:rPr>
        <w:t>la</w:t>
      </w:r>
      <w:r>
        <w:rPr>
          <w:spacing w:val="-10"/>
          <w:sz w:val="20"/>
        </w:rPr>
        <w:t xml:space="preserve"> </w:t>
      </w:r>
      <w:r>
        <w:rPr>
          <w:sz w:val="20"/>
        </w:rPr>
        <w:t>vulnerabilidad</w:t>
      </w:r>
      <w:r>
        <w:rPr>
          <w:spacing w:val="-10"/>
          <w:sz w:val="20"/>
        </w:rPr>
        <w:t xml:space="preserve"> </w:t>
      </w:r>
      <w:r>
        <w:rPr>
          <w:sz w:val="20"/>
        </w:rPr>
        <w:t>de</w:t>
      </w:r>
      <w:r>
        <w:rPr>
          <w:spacing w:val="-11"/>
          <w:sz w:val="20"/>
        </w:rPr>
        <w:t xml:space="preserve"> </w:t>
      </w:r>
      <w:r>
        <w:rPr>
          <w:sz w:val="20"/>
        </w:rPr>
        <w:t>los</w:t>
      </w:r>
      <w:r>
        <w:rPr>
          <w:spacing w:val="-9"/>
          <w:sz w:val="20"/>
        </w:rPr>
        <w:t xml:space="preserve"> </w:t>
      </w:r>
      <w:r>
        <w:rPr>
          <w:sz w:val="20"/>
        </w:rPr>
        <w:t>85</w:t>
      </w:r>
      <w:r>
        <w:rPr>
          <w:spacing w:val="-9"/>
          <w:sz w:val="20"/>
        </w:rPr>
        <w:t xml:space="preserve"> </w:t>
      </w:r>
      <w:r>
        <w:rPr>
          <w:sz w:val="20"/>
        </w:rPr>
        <w:t>trabajadores</w:t>
      </w:r>
      <w:r>
        <w:rPr>
          <w:spacing w:val="-9"/>
          <w:sz w:val="20"/>
        </w:rPr>
        <w:t xml:space="preserve"> </w:t>
      </w:r>
      <w:r>
        <w:rPr>
          <w:sz w:val="20"/>
        </w:rPr>
        <w:t>rescatados</w:t>
      </w:r>
      <w:r>
        <w:rPr>
          <w:spacing w:val="-9"/>
          <w:sz w:val="20"/>
        </w:rPr>
        <w:t xml:space="preserve"> </w:t>
      </w:r>
      <w:r>
        <w:rPr>
          <w:sz w:val="20"/>
        </w:rPr>
        <w:t>el</w:t>
      </w:r>
      <w:r>
        <w:rPr>
          <w:spacing w:val="-10"/>
          <w:sz w:val="20"/>
        </w:rPr>
        <w:t xml:space="preserve"> </w:t>
      </w:r>
      <w:r>
        <w:rPr>
          <w:sz w:val="20"/>
        </w:rPr>
        <w:t>15</w:t>
      </w:r>
      <w:r>
        <w:rPr>
          <w:spacing w:val="-10"/>
          <w:sz w:val="20"/>
        </w:rPr>
        <w:t xml:space="preserve"> </w:t>
      </w:r>
      <w:r>
        <w:rPr>
          <w:sz w:val="20"/>
        </w:rPr>
        <w:t>de</w:t>
      </w:r>
      <w:r>
        <w:rPr>
          <w:spacing w:val="-11"/>
          <w:sz w:val="20"/>
        </w:rPr>
        <w:t xml:space="preserve"> </w:t>
      </w:r>
      <w:r>
        <w:rPr>
          <w:sz w:val="20"/>
        </w:rPr>
        <w:t>marzo</w:t>
      </w:r>
      <w:r>
        <w:rPr>
          <w:spacing w:val="-9"/>
          <w:sz w:val="20"/>
        </w:rPr>
        <w:t xml:space="preserve"> </w:t>
      </w:r>
      <w:r>
        <w:rPr>
          <w:sz w:val="20"/>
        </w:rPr>
        <w:t>de 2000, en virtud de la discriminación con base en la posición económica a la que estaban sometidos”</w:t>
      </w:r>
      <w:hyperlink w:anchor="_bookmark331" w:history="1">
        <w:r>
          <w:rPr>
            <w:position w:val="7"/>
            <w:sz w:val="13"/>
          </w:rPr>
          <w:t>282</w:t>
        </w:r>
      </w:hyperlink>
      <w:r>
        <w:rPr>
          <w:position w:val="7"/>
          <w:sz w:val="13"/>
        </w:rPr>
        <w:t xml:space="preserve"> </w:t>
      </w:r>
      <w:r>
        <w:rPr>
          <w:sz w:val="20"/>
        </w:rPr>
        <w:t>y encontró al Estado responsable de la situación de discriminación estructural histórica en razón de la posición económ</w:t>
      </w:r>
      <w:r>
        <w:rPr>
          <w:sz w:val="20"/>
        </w:rPr>
        <w:t>ica de las víctimas</w:t>
      </w:r>
      <w:hyperlink w:anchor="_bookmark332" w:history="1">
        <w:r>
          <w:rPr>
            <w:position w:val="7"/>
            <w:sz w:val="13"/>
          </w:rPr>
          <w:t>283</w:t>
        </w:r>
      </w:hyperlink>
      <w:r>
        <w:rPr>
          <w:sz w:val="20"/>
        </w:rPr>
        <w:t xml:space="preserve">. Además, en el </w:t>
      </w:r>
      <w:r>
        <w:rPr>
          <w:i/>
          <w:sz w:val="20"/>
        </w:rPr>
        <w:t>Caso Trabajadores de la Hacienda Brasil Verde Vs. Brasil</w:t>
      </w:r>
      <w:r>
        <w:rPr>
          <w:sz w:val="20"/>
        </w:rPr>
        <w:t>, la Corte señaló que, en un evento de discriminación estructural, se debe considerar en qué medida la victimización del caso conc</w:t>
      </w:r>
      <w:r>
        <w:rPr>
          <w:sz w:val="20"/>
        </w:rPr>
        <w:t>reto evidencia la vulnerabilidad de las personas que pertenecen a un</w:t>
      </w:r>
      <w:r>
        <w:rPr>
          <w:spacing w:val="-20"/>
          <w:sz w:val="20"/>
        </w:rPr>
        <w:t xml:space="preserve"> </w:t>
      </w:r>
      <w:r>
        <w:rPr>
          <w:sz w:val="20"/>
        </w:rPr>
        <w:t>grupo.</w:t>
      </w:r>
    </w:p>
    <w:p w14:paraId="64555406" w14:textId="77777777" w:rsidR="00467FCA" w:rsidRDefault="00467FCA">
      <w:pPr>
        <w:pStyle w:val="Textoindependiente"/>
      </w:pPr>
    </w:p>
    <w:p w14:paraId="38855939" w14:textId="77777777" w:rsidR="00467FCA" w:rsidRDefault="001B68EB">
      <w:pPr>
        <w:pStyle w:val="Prrafodelista"/>
        <w:numPr>
          <w:ilvl w:val="0"/>
          <w:numId w:val="50"/>
        </w:numPr>
        <w:tabs>
          <w:tab w:val="left" w:pos="687"/>
        </w:tabs>
        <w:ind w:right="117" w:firstLine="0"/>
        <w:jc w:val="both"/>
        <w:rPr>
          <w:sz w:val="20"/>
        </w:rPr>
      </w:pPr>
      <w:r>
        <w:rPr>
          <w:sz w:val="20"/>
        </w:rPr>
        <w:t>En el presente caso, la Comisión sostuvo que hay un nexo entre el incumplimiento de las obligaciones del Estado y la situación de pobreza que se vivía en el municipio de Santo Ant</w:t>
      </w:r>
      <w:r>
        <w:rPr>
          <w:sz w:val="20"/>
        </w:rPr>
        <w:t>ônio de Jesus, de modo que las condiciones de pobreza de las trabajadoras de la fábrica de fuegos artificiales habrían llevado a la violación de su derecho a condiciones equitativas y satisfactorias de trabajo sin discriminación. Lo anterior indica que est</w:t>
      </w:r>
      <w:r>
        <w:rPr>
          <w:sz w:val="20"/>
        </w:rPr>
        <w:t>e caso se trata de una alegada discriminación estructural en razón de la pobreza</w:t>
      </w:r>
      <w:hyperlink w:anchor="_bookmark333" w:history="1">
        <w:r>
          <w:rPr>
            <w:position w:val="7"/>
            <w:sz w:val="13"/>
          </w:rPr>
          <w:t>284</w:t>
        </w:r>
      </w:hyperlink>
      <w:r>
        <w:rPr>
          <w:sz w:val="20"/>
        </w:rPr>
        <w:t>. Sobre el particular, la Corte constata que las presuntas víctimas eran personas que, por cuenta de la discriminación estructural por su con</w:t>
      </w:r>
      <w:r>
        <w:rPr>
          <w:sz w:val="20"/>
        </w:rPr>
        <w:t>dición de pobreza, no podían acceder a otra de fuente de ingresos y debían exponerse al aceptar un trabajo en condiciones de vulnerabilidad, que desconocía los mandatos de la Convención Americana y que las expuso a los hechos</w:t>
      </w:r>
      <w:r>
        <w:rPr>
          <w:spacing w:val="-24"/>
          <w:sz w:val="20"/>
        </w:rPr>
        <w:t xml:space="preserve"> </w:t>
      </w:r>
      <w:r>
        <w:rPr>
          <w:sz w:val="20"/>
        </w:rPr>
        <w:t>victimizantes.</w:t>
      </w:r>
    </w:p>
    <w:p w14:paraId="6EBCC0E3" w14:textId="77777777" w:rsidR="00467FCA" w:rsidRDefault="00467FCA">
      <w:pPr>
        <w:pStyle w:val="Textoindependiente"/>
      </w:pPr>
    </w:p>
    <w:p w14:paraId="5A40B4DB" w14:textId="77777777" w:rsidR="00467FCA" w:rsidRDefault="001B68EB">
      <w:pPr>
        <w:pStyle w:val="Prrafodelista"/>
        <w:numPr>
          <w:ilvl w:val="0"/>
          <w:numId w:val="50"/>
        </w:numPr>
        <w:tabs>
          <w:tab w:val="left" w:pos="687"/>
        </w:tabs>
        <w:ind w:right="116" w:firstLine="0"/>
        <w:jc w:val="both"/>
        <w:rPr>
          <w:sz w:val="20"/>
        </w:rPr>
      </w:pPr>
      <w:r>
        <w:rPr>
          <w:sz w:val="20"/>
        </w:rPr>
        <w:t>Así,</w:t>
      </w:r>
      <w:r>
        <w:rPr>
          <w:spacing w:val="-7"/>
          <w:sz w:val="20"/>
        </w:rPr>
        <w:t xml:space="preserve"> </w:t>
      </w:r>
      <w:r>
        <w:rPr>
          <w:sz w:val="20"/>
        </w:rPr>
        <w:t>el</w:t>
      </w:r>
      <w:r>
        <w:rPr>
          <w:spacing w:val="-5"/>
          <w:sz w:val="20"/>
        </w:rPr>
        <w:t xml:space="preserve"> </w:t>
      </w:r>
      <w:r>
        <w:rPr>
          <w:sz w:val="20"/>
        </w:rPr>
        <w:t>hecho</w:t>
      </w:r>
      <w:r>
        <w:rPr>
          <w:spacing w:val="-7"/>
          <w:sz w:val="20"/>
        </w:rPr>
        <w:t xml:space="preserve"> </w:t>
      </w:r>
      <w:r>
        <w:rPr>
          <w:sz w:val="20"/>
        </w:rPr>
        <w:t>de</w:t>
      </w:r>
      <w:r>
        <w:rPr>
          <w:spacing w:val="-8"/>
          <w:sz w:val="20"/>
        </w:rPr>
        <w:t xml:space="preserve"> </w:t>
      </w:r>
      <w:r>
        <w:rPr>
          <w:sz w:val="20"/>
        </w:rPr>
        <w:t>que</w:t>
      </w:r>
      <w:r>
        <w:rPr>
          <w:spacing w:val="-7"/>
          <w:sz w:val="20"/>
        </w:rPr>
        <w:t xml:space="preserve"> </w:t>
      </w:r>
      <w:r>
        <w:rPr>
          <w:sz w:val="20"/>
        </w:rPr>
        <w:t>una</w:t>
      </w:r>
      <w:r>
        <w:rPr>
          <w:spacing w:val="-5"/>
          <w:sz w:val="20"/>
        </w:rPr>
        <w:t xml:space="preserve"> </w:t>
      </w:r>
      <w:r>
        <w:rPr>
          <w:sz w:val="20"/>
        </w:rPr>
        <w:t>actividad</w:t>
      </w:r>
      <w:r>
        <w:rPr>
          <w:spacing w:val="-5"/>
          <w:sz w:val="20"/>
        </w:rPr>
        <w:t xml:space="preserve"> </w:t>
      </w:r>
      <w:r>
        <w:rPr>
          <w:sz w:val="20"/>
        </w:rPr>
        <w:t>económica</w:t>
      </w:r>
      <w:r>
        <w:rPr>
          <w:spacing w:val="-4"/>
          <w:sz w:val="20"/>
        </w:rPr>
        <w:t xml:space="preserve"> </w:t>
      </w:r>
      <w:r>
        <w:rPr>
          <w:sz w:val="20"/>
        </w:rPr>
        <w:t>especialmente</w:t>
      </w:r>
      <w:r>
        <w:rPr>
          <w:spacing w:val="-4"/>
          <w:sz w:val="20"/>
        </w:rPr>
        <w:t xml:space="preserve"> </w:t>
      </w:r>
      <w:r>
        <w:rPr>
          <w:sz w:val="20"/>
        </w:rPr>
        <w:t>riesgosa</w:t>
      </w:r>
      <w:r>
        <w:rPr>
          <w:spacing w:val="-5"/>
          <w:sz w:val="20"/>
        </w:rPr>
        <w:t xml:space="preserve"> </w:t>
      </w:r>
      <w:r>
        <w:rPr>
          <w:sz w:val="20"/>
        </w:rPr>
        <w:t>se</w:t>
      </w:r>
      <w:r>
        <w:rPr>
          <w:spacing w:val="-8"/>
          <w:sz w:val="20"/>
        </w:rPr>
        <w:t xml:space="preserve"> </w:t>
      </w:r>
      <w:r>
        <w:rPr>
          <w:sz w:val="20"/>
        </w:rPr>
        <w:t>haya</w:t>
      </w:r>
      <w:r>
        <w:rPr>
          <w:spacing w:val="-5"/>
          <w:sz w:val="20"/>
        </w:rPr>
        <w:t xml:space="preserve"> </w:t>
      </w:r>
      <w:r>
        <w:rPr>
          <w:sz w:val="20"/>
        </w:rPr>
        <w:t>instalado en la zona está relacionado con la pobreza y marginación de la población que allí residía y reside.</w:t>
      </w:r>
      <w:r>
        <w:rPr>
          <w:spacing w:val="-13"/>
          <w:sz w:val="20"/>
        </w:rPr>
        <w:t xml:space="preserve"> </w:t>
      </w:r>
      <w:r>
        <w:rPr>
          <w:sz w:val="20"/>
        </w:rPr>
        <w:t>Para</w:t>
      </w:r>
      <w:r>
        <w:rPr>
          <w:spacing w:val="-11"/>
          <w:sz w:val="20"/>
        </w:rPr>
        <w:t xml:space="preserve"> </w:t>
      </w:r>
      <w:r>
        <w:rPr>
          <w:sz w:val="20"/>
        </w:rPr>
        <w:t>los</w:t>
      </w:r>
      <w:r>
        <w:rPr>
          <w:spacing w:val="-13"/>
          <w:sz w:val="20"/>
        </w:rPr>
        <w:t xml:space="preserve"> </w:t>
      </w:r>
      <w:r>
        <w:rPr>
          <w:sz w:val="20"/>
        </w:rPr>
        <w:t>habitantes</w:t>
      </w:r>
      <w:r>
        <w:rPr>
          <w:spacing w:val="-15"/>
          <w:sz w:val="20"/>
        </w:rPr>
        <w:t xml:space="preserve"> </w:t>
      </w:r>
      <w:r>
        <w:rPr>
          <w:sz w:val="20"/>
        </w:rPr>
        <w:t>de</w:t>
      </w:r>
      <w:r>
        <w:rPr>
          <w:spacing w:val="-15"/>
          <w:sz w:val="20"/>
        </w:rPr>
        <w:t xml:space="preserve"> </w:t>
      </w:r>
      <w:r>
        <w:rPr>
          <w:sz w:val="20"/>
        </w:rPr>
        <w:t>los</w:t>
      </w:r>
      <w:r>
        <w:rPr>
          <w:spacing w:val="-15"/>
          <w:sz w:val="20"/>
        </w:rPr>
        <w:t xml:space="preserve"> </w:t>
      </w:r>
      <w:r>
        <w:rPr>
          <w:sz w:val="20"/>
        </w:rPr>
        <w:t>barrios</w:t>
      </w:r>
      <w:r>
        <w:rPr>
          <w:spacing w:val="-16"/>
          <w:sz w:val="20"/>
        </w:rPr>
        <w:t xml:space="preserve"> </w:t>
      </w:r>
      <w:r>
        <w:rPr>
          <w:sz w:val="20"/>
        </w:rPr>
        <w:t>de</w:t>
      </w:r>
      <w:r>
        <w:rPr>
          <w:spacing w:val="-15"/>
          <w:sz w:val="20"/>
        </w:rPr>
        <w:t xml:space="preserve"> </w:t>
      </w:r>
      <w:r>
        <w:rPr>
          <w:sz w:val="20"/>
        </w:rPr>
        <w:t>origen</w:t>
      </w:r>
      <w:r>
        <w:rPr>
          <w:spacing w:val="-13"/>
          <w:sz w:val="20"/>
        </w:rPr>
        <w:t xml:space="preserve"> </w:t>
      </w:r>
      <w:r>
        <w:rPr>
          <w:sz w:val="20"/>
        </w:rPr>
        <w:t>de</w:t>
      </w:r>
      <w:r>
        <w:rPr>
          <w:spacing w:val="-16"/>
          <w:sz w:val="20"/>
        </w:rPr>
        <w:t xml:space="preserve"> </w:t>
      </w:r>
      <w:r>
        <w:rPr>
          <w:sz w:val="20"/>
        </w:rPr>
        <w:t>las</w:t>
      </w:r>
      <w:r>
        <w:rPr>
          <w:spacing w:val="-15"/>
          <w:sz w:val="20"/>
        </w:rPr>
        <w:t xml:space="preserve"> </w:t>
      </w:r>
      <w:r>
        <w:rPr>
          <w:sz w:val="20"/>
        </w:rPr>
        <w:t>trabajadoras</w:t>
      </w:r>
      <w:r>
        <w:rPr>
          <w:spacing w:val="-15"/>
          <w:sz w:val="20"/>
        </w:rPr>
        <w:t xml:space="preserve"> </w:t>
      </w:r>
      <w:r>
        <w:rPr>
          <w:sz w:val="20"/>
        </w:rPr>
        <w:t>de</w:t>
      </w:r>
      <w:r>
        <w:rPr>
          <w:spacing w:val="-15"/>
          <w:sz w:val="20"/>
        </w:rPr>
        <w:t xml:space="preserve"> </w:t>
      </w:r>
      <w:r>
        <w:rPr>
          <w:sz w:val="20"/>
        </w:rPr>
        <w:t>la</w:t>
      </w:r>
      <w:r>
        <w:rPr>
          <w:spacing w:val="-15"/>
          <w:sz w:val="20"/>
        </w:rPr>
        <w:t xml:space="preserve"> </w:t>
      </w:r>
      <w:r>
        <w:rPr>
          <w:sz w:val="20"/>
        </w:rPr>
        <w:t>fábrica</w:t>
      </w:r>
      <w:r>
        <w:rPr>
          <w:spacing w:val="-14"/>
          <w:sz w:val="20"/>
        </w:rPr>
        <w:t xml:space="preserve"> </w:t>
      </w:r>
      <w:r>
        <w:rPr>
          <w:sz w:val="20"/>
        </w:rPr>
        <w:t>de</w:t>
      </w:r>
      <w:r>
        <w:rPr>
          <w:spacing w:val="-15"/>
          <w:sz w:val="20"/>
        </w:rPr>
        <w:t xml:space="preserve"> </w:t>
      </w:r>
      <w:r>
        <w:rPr>
          <w:sz w:val="20"/>
        </w:rPr>
        <w:t>fuegos,</w:t>
      </w:r>
    </w:p>
    <w:p w14:paraId="7F672114" w14:textId="77777777" w:rsidR="00467FCA" w:rsidRDefault="001B68EB">
      <w:pPr>
        <w:pStyle w:val="Textoindependiente"/>
        <w:spacing w:before="7"/>
        <w:rPr>
          <w:sz w:val="13"/>
        </w:rPr>
      </w:pPr>
      <w:r>
        <w:pict w14:anchorId="5129D872">
          <v:shape id="_x0000_s1145" style="position:absolute;margin-left:1in;margin-top:10.5pt;width:2in;height:.1pt;z-index:-251606016;mso-wrap-distance-left:0;mso-wrap-distance-right:0;mso-position-horizontal-relative:page" coordorigin="1440,210" coordsize="2880,0" path="m1440,210r2880,e" filled="f" strokeweight=".21131mm">
            <v:path arrowok="t"/>
            <w10:wrap type="topAndBottom" anchorx="page"/>
          </v:shape>
        </w:pict>
      </w:r>
    </w:p>
    <w:p w14:paraId="326CEF35" w14:textId="77777777" w:rsidR="00467FCA" w:rsidRDefault="001B68EB">
      <w:pPr>
        <w:tabs>
          <w:tab w:val="left" w:pos="839"/>
        </w:tabs>
        <w:spacing w:before="74"/>
        <w:ind w:left="119" w:right="117"/>
        <w:jc w:val="both"/>
        <w:rPr>
          <w:sz w:val="16"/>
        </w:rPr>
      </w:pPr>
      <w:bookmarkStart w:id="376" w:name="_bookmark328"/>
      <w:bookmarkEnd w:id="376"/>
      <w:r>
        <w:rPr>
          <w:position w:val="6"/>
          <w:sz w:val="10"/>
        </w:rPr>
        <w:t>279</w:t>
      </w:r>
      <w:r>
        <w:rPr>
          <w:position w:val="6"/>
          <w:sz w:val="10"/>
        </w:rPr>
        <w:tab/>
      </w:r>
      <w:r>
        <w:rPr>
          <w:i/>
          <w:sz w:val="16"/>
        </w:rPr>
        <w:t>Cfr. Caso de la "Masacre de Mapiripán" Vs. Colombi</w:t>
      </w:r>
      <w:r>
        <w:rPr>
          <w:i/>
          <w:sz w:val="16"/>
        </w:rPr>
        <w:t>a</w:t>
      </w:r>
      <w:r>
        <w:rPr>
          <w:sz w:val="16"/>
        </w:rPr>
        <w:t xml:space="preserve">, </w:t>
      </w:r>
      <w:r>
        <w:rPr>
          <w:i/>
          <w:sz w:val="16"/>
        </w:rPr>
        <w:t>supra</w:t>
      </w:r>
      <w:r>
        <w:rPr>
          <w:sz w:val="16"/>
        </w:rPr>
        <w:t xml:space="preserve">, párrs. 111 y 113, y </w:t>
      </w:r>
      <w:r>
        <w:rPr>
          <w:i/>
          <w:sz w:val="16"/>
        </w:rPr>
        <w:t>Caso Trabajadores de la Hacienda Brasil Verde Vs. Brasil, supra</w:t>
      </w:r>
      <w:r>
        <w:rPr>
          <w:sz w:val="16"/>
        </w:rPr>
        <w:t>, párr.</w:t>
      </w:r>
      <w:r>
        <w:rPr>
          <w:spacing w:val="-9"/>
          <w:sz w:val="16"/>
        </w:rPr>
        <w:t xml:space="preserve"> </w:t>
      </w:r>
      <w:r>
        <w:rPr>
          <w:sz w:val="16"/>
        </w:rPr>
        <w:t>337.</w:t>
      </w:r>
    </w:p>
    <w:p w14:paraId="1821904F" w14:textId="77777777" w:rsidR="00467FCA" w:rsidRDefault="001B68EB">
      <w:pPr>
        <w:tabs>
          <w:tab w:val="left" w:pos="839"/>
        </w:tabs>
        <w:spacing w:line="242" w:lineRule="auto"/>
        <w:ind w:left="119" w:right="114"/>
        <w:jc w:val="both"/>
        <w:rPr>
          <w:sz w:val="16"/>
        </w:rPr>
      </w:pPr>
      <w:bookmarkStart w:id="377" w:name="_bookmark329"/>
      <w:bookmarkEnd w:id="377"/>
      <w:r>
        <w:rPr>
          <w:position w:val="6"/>
          <w:sz w:val="10"/>
        </w:rPr>
        <w:t>280</w:t>
      </w:r>
      <w:r>
        <w:rPr>
          <w:position w:val="6"/>
          <w:sz w:val="10"/>
        </w:rPr>
        <w:tab/>
      </w:r>
      <w:r>
        <w:rPr>
          <w:i/>
          <w:sz w:val="16"/>
        </w:rPr>
        <w:t>Cfr. Caso Comunidad Indígena Sawhoyamaxa Vs. Paraguay, supra</w:t>
      </w:r>
      <w:r>
        <w:rPr>
          <w:sz w:val="16"/>
        </w:rPr>
        <w:t xml:space="preserve">, párr. 154, y </w:t>
      </w:r>
      <w:r>
        <w:rPr>
          <w:i/>
          <w:sz w:val="16"/>
        </w:rPr>
        <w:t>Caso Trabajadores de la Hacienda Brasil Verde Vs. Brasil, supra</w:t>
      </w:r>
      <w:r>
        <w:rPr>
          <w:sz w:val="16"/>
        </w:rPr>
        <w:t>, párr.</w:t>
      </w:r>
      <w:r>
        <w:rPr>
          <w:spacing w:val="-8"/>
          <w:sz w:val="16"/>
        </w:rPr>
        <w:t xml:space="preserve"> </w:t>
      </w:r>
      <w:r>
        <w:rPr>
          <w:sz w:val="16"/>
        </w:rPr>
        <w:t>337.</w:t>
      </w:r>
    </w:p>
    <w:p w14:paraId="5AA9E82F" w14:textId="77777777" w:rsidR="00467FCA" w:rsidRDefault="001B68EB">
      <w:pPr>
        <w:tabs>
          <w:tab w:val="left" w:pos="839"/>
        </w:tabs>
        <w:ind w:left="119" w:right="110"/>
        <w:jc w:val="both"/>
        <w:rPr>
          <w:sz w:val="16"/>
        </w:rPr>
      </w:pPr>
      <w:bookmarkStart w:id="378" w:name="_bookmark330"/>
      <w:bookmarkEnd w:id="378"/>
      <w:r>
        <w:rPr>
          <w:position w:val="6"/>
          <w:sz w:val="10"/>
        </w:rPr>
        <w:t>281</w:t>
      </w:r>
      <w:r>
        <w:rPr>
          <w:position w:val="6"/>
          <w:sz w:val="10"/>
        </w:rPr>
        <w:tab/>
      </w:r>
      <w:r>
        <w:rPr>
          <w:i/>
          <w:sz w:val="16"/>
        </w:rPr>
        <w:t>Cfr. Caso "Instituto de Reeducación del Menor" Vs. Paraguay. Excepciones Preliminares, Fondo, Reparaciones y Costas</w:t>
      </w:r>
      <w:r>
        <w:rPr>
          <w:sz w:val="16"/>
        </w:rPr>
        <w:t xml:space="preserve">. Sentencia de 2 de septiembre de 2004. Serie C No. 112, párr. 262; </w:t>
      </w:r>
      <w:r>
        <w:rPr>
          <w:i/>
          <w:sz w:val="16"/>
        </w:rPr>
        <w:t>Caso de la Comunidad Moiwana Vs. Surinam. Excepciones Preliminar</w:t>
      </w:r>
      <w:r>
        <w:rPr>
          <w:i/>
          <w:sz w:val="16"/>
        </w:rPr>
        <w:t xml:space="preserve">es, Fondo, Reparaciones y Costas. </w:t>
      </w:r>
      <w:r>
        <w:rPr>
          <w:sz w:val="16"/>
        </w:rPr>
        <w:t xml:space="preserve">Sentencia de 15 de junio de 2005. Serie C No. 124, párr. 186; </w:t>
      </w:r>
      <w:r>
        <w:rPr>
          <w:i/>
          <w:sz w:val="16"/>
        </w:rPr>
        <w:t>Caso de la "Masacre de Mapiripán" Vs. Colombia</w:t>
      </w:r>
      <w:r>
        <w:rPr>
          <w:sz w:val="16"/>
        </w:rPr>
        <w:t xml:space="preserve">, </w:t>
      </w:r>
      <w:r>
        <w:rPr>
          <w:i/>
          <w:sz w:val="16"/>
        </w:rPr>
        <w:t>supra</w:t>
      </w:r>
      <w:r>
        <w:rPr>
          <w:sz w:val="16"/>
        </w:rPr>
        <w:t xml:space="preserve">, párr. 180; </w:t>
      </w:r>
      <w:r>
        <w:rPr>
          <w:i/>
          <w:sz w:val="16"/>
        </w:rPr>
        <w:t>Caso Comunidad Indígena Sawhoyamaxa Vs. Paraguay, supra</w:t>
      </w:r>
      <w:r>
        <w:rPr>
          <w:sz w:val="16"/>
        </w:rPr>
        <w:t xml:space="preserve">, párr. 154; </w:t>
      </w:r>
      <w:r>
        <w:rPr>
          <w:i/>
          <w:sz w:val="16"/>
        </w:rPr>
        <w:t>Caso Ximenes Lopes Vs. Brasil, supra</w:t>
      </w:r>
      <w:r>
        <w:rPr>
          <w:sz w:val="16"/>
        </w:rPr>
        <w:t xml:space="preserve">, párr. 104; </w:t>
      </w:r>
      <w:r>
        <w:rPr>
          <w:i/>
          <w:sz w:val="16"/>
        </w:rPr>
        <w:t>Caso Servellón García y otros Vs. Honduras</w:t>
      </w:r>
      <w:r>
        <w:rPr>
          <w:sz w:val="16"/>
        </w:rPr>
        <w:t xml:space="preserve">. Sentencia de 21 de septiembre de 2006. Serie C No. 152, párr. 116; </w:t>
      </w:r>
      <w:r>
        <w:rPr>
          <w:i/>
          <w:sz w:val="16"/>
        </w:rPr>
        <w:t xml:space="preserve">Caso Comunidad Indígena Xákmok Kásek Vs. Paraguay. Fondo, Reparaciones y Costas. </w:t>
      </w:r>
      <w:r>
        <w:rPr>
          <w:sz w:val="16"/>
        </w:rPr>
        <w:t>Sentencia de 24</w:t>
      </w:r>
      <w:r>
        <w:rPr>
          <w:sz w:val="16"/>
        </w:rPr>
        <w:t xml:space="preserve"> de agosto de 2010.</w:t>
      </w:r>
      <w:r>
        <w:rPr>
          <w:spacing w:val="-12"/>
          <w:sz w:val="16"/>
        </w:rPr>
        <w:t xml:space="preserve"> </w:t>
      </w:r>
      <w:r>
        <w:rPr>
          <w:sz w:val="16"/>
        </w:rPr>
        <w:t>Serie</w:t>
      </w:r>
      <w:r>
        <w:rPr>
          <w:spacing w:val="-7"/>
          <w:sz w:val="16"/>
        </w:rPr>
        <w:t xml:space="preserve"> </w:t>
      </w:r>
      <w:r>
        <w:rPr>
          <w:sz w:val="16"/>
        </w:rPr>
        <w:t>C</w:t>
      </w:r>
      <w:r>
        <w:rPr>
          <w:spacing w:val="-7"/>
          <w:sz w:val="16"/>
        </w:rPr>
        <w:t xml:space="preserve"> </w:t>
      </w:r>
      <w:r>
        <w:rPr>
          <w:sz w:val="16"/>
        </w:rPr>
        <w:t>No.</w:t>
      </w:r>
      <w:r>
        <w:rPr>
          <w:spacing w:val="-8"/>
          <w:sz w:val="16"/>
        </w:rPr>
        <w:t xml:space="preserve"> </w:t>
      </w:r>
      <w:r>
        <w:rPr>
          <w:sz w:val="16"/>
        </w:rPr>
        <w:t>214,</w:t>
      </w:r>
      <w:r>
        <w:rPr>
          <w:spacing w:val="-8"/>
          <w:sz w:val="16"/>
        </w:rPr>
        <w:t xml:space="preserve"> </w:t>
      </w:r>
      <w:r>
        <w:rPr>
          <w:sz w:val="16"/>
        </w:rPr>
        <w:t>párr.</w:t>
      </w:r>
      <w:r>
        <w:rPr>
          <w:spacing w:val="-8"/>
          <w:sz w:val="16"/>
        </w:rPr>
        <w:t xml:space="preserve"> </w:t>
      </w:r>
      <w:r>
        <w:rPr>
          <w:sz w:val="16"/>
        </w:rPr>
        <w:t>233;</w:t>
      </w:r>
      <w:r>
        <w:rPr>
          <w:spacing w:val="-9"/>
          <w:sz w:val="16"/>
        </w:rPr>
        <w:t xml:space="preserve"> </w:t>
      </w:r>
      <w:r>
        <w:rPr>
          <w:i/>
          <w:sz w:val="16"/>
        </w:rPr>
        <w:t>Caso</w:t>
      </w:r>
      <w:r>
        <w:rPr>
          <w:i/>
          <w:spacing w:val="-10"/>
          <w:sz w:val="16"/>
        </w:rPr>
        <w:t xml:space="preserve"> </w:t>
      </w:r>
      <w:r>
        <w:rPr>
          <w:i/>
          <w:sz w:val="16"/>
        </w:rPr>
        <w:t>Rosendo</w:t>
      </w:r>
      <w:r>
        <w:rPr>
          <w:i/>
          <w:spacing w:val="-6"/>
          <w:sz w:val="16"/>
        </w:rPr>
        <w:t xml:space="preserve"> </w:t>
      </w:r>
      <w:r>
        <w:rPr>
          <w:i/>
          <w:sz w:val="16"/>
        </w:rPr>
        <w:t>Cantú</w:t>
      </w:r>
      <w:r>
        <w:rPr>
          <w:i/>
          <w:spacing w:val="-8"/>
          <w:sz w:val="16"/>
        </w:rPr>
        <w:t xml:space="preserve"> </w:t>
      </w:r>
      <w:r>
        <w:rPr>
          <w:i/>
          <w:sz w:val="16"/>
        </w:rPr>
        <w:t>y</w:t>
      </w:r>
      <w:r>
        <w:rPr>
          <w:i/>
          <w:spacing w:val="-9"/>
          <w:sz w:val="16"/>
        </w:rPr>
        <w:t xml:space="preserve"> </w:t>
      </w:r>
      <w:r>
        <w:rPr>
          <w:i/>
          <w:sz w:val="16"/>
        </w:rPr>
        <w:t>otra</w:t>
      </w:r>
      <w:r>
        <w:rPr>
          <w:i/>
          <w:spacing w:val="-8"/>
          <w:sz w:val="16"/>
        </w:rPr>
        <w:t xml:space="preserve"> </w:t>
      </w:r>
      <w:r>
        <w:rPr>
          <w:i/>
          <w:sz w:val="16"/>
        </w:rPr>
        <w:t>Vs.</w:t>
      </w:r>
      <w:r>
        <w:rPr>
          <w:i/>
          <w:spacing w:val="-8"/>
          <w:sz w:val="16"/>
        </w:rPr>
        <w:t xml:space="preserve"> </w:t>
      </w:r>
      <w:r>
        <w:rPr>
          <w:i/>
          <w:sz w:val="16"/>
        </w:rPr>
        <w:t>México.</w:t>
      </w:r>
      <w:r>
        <w:rPr>
          <w:i/>
          <w:spacing w:val="-8"/>
          <w:sz w:val="16"/>
        </w:rPr>
        <w:t xml:space="preserve"> </w:t>
      </w:r>
      <w:r>
        <w:rPr>
          <w:i/>
          <w:sz w:val="16"/>
        </w:rPr>
        <w:t>Excepción</w:t>
      </w:r>
      <w:r>
        <w:rPr>
          <w:i/>
          <w:spacing w:val="-9"/>
          <w:sz w:val="16"/>
        </w:rPr>
        <w:t xml:space="preserve"> </w:t>
      </w:r>
      <w:r>
        <w:rPr>
          <w:i/>
          <w:sz w:val="16"/>
        </w:rPr>
        <w:t>Preliminar,</w:t>
      </w:r>
      <w:r>
        <w:rPr>
          <w:i/>
          <w:spacing w:val="-8"/>
          <w:sz w:val="16"/>
        </w:rPr>
        <w:t xml:space="preserve"> </w:t>
      </w:r>
      <w:r>
        <w:rPr>
          <w:i/>
          <w:sz w:val="16"/>
        </w:rPr>
        <w:t>Fondo,</w:t>
      </w:r>
      <w:r>
        <w:rPr>
          <w:i/>
          <w:spacing w:val="-8"/>
          <w:sz w:val="16"/>
        </w:rPr>
        <w:t xml:space="preserve"> </w:t>
      </w:r>
      <w:r>
        <w:rPr>
          <w:i/>
          <w:sz w:val="16"/>
        </w:rPr>
        <w:t>Reparaciones y Costas</w:t>
      </w:r>
      <w:r>
        <w:rPr>
          <w:sz w:val="16"/>
        </w:rPr>
        <w:t>. Sentencia de 31 de agosto de 2010. Serie C No. 216, párr. 201; C</w:t>
      </w:r>
      <w:r>
        <w:rPr>
          <w:i/>
          <w:sz w:val="16"/>
        </w:rPr>
        <w:t>aso Furlan y familiares Vs. Argentina. Excepciones</w:t>
      </w:r>
      <w:r>
        <w:rPr>
          <w:i/>
          <w:spacing w:val="-5"/>
          <w:sz w:val="16"/>
        </w:rPr>
        <w:t xml:space="preserve"> </w:t>
      </w:r>
      <w:r>
        <w:rPr>
          <w:i/>
          <w:sz w:val="16"/>
        </w:rPr>
        <w:t>Pre</w:t>
      </w:r>
      <w:r>
        <w:rPr>
          <w:i/>
          <w:sz w:val="16"/>
        </w:rPr>
        <w:t>liminares,</w:t>
      </w:r>
      <w:r>
        <w:rPr>
          <w:i/>
          <w:spacing w:val="-6"/>
          <w:sz w:val="16"/>
        </w:rPr>
        <w:t xml:space="preserve"> </w:t>
      </w:r>
      <w:r>
        <w:rPr>
          <w:i/>
          <w:sz w:val="16"/>
        </w:rPr>
        <w:t>Fondo,</w:t>
      </w:r>
      <w:r>
        <w:rPr>
          <w:i/>
          <w:spacing w:val="-6"/>
          <w:sz w:val="16"/>
        </w:rPr>
        <w:t xml:space="preserve"> </w:t>
      </w:r>
      <w:r>
        <w:rPr>
          <w:i/>
          <w:sz w:val="16"/>
        </w:rPr>
        <w:t>Reparaciones</w:t>
      </w:r>
      <w:r>
        <w:rPr>
          <w:i/>
          <w:spacing w:val="-7"/>
          <w:sz w:val="16"/>
        </w:rPr>
        <w:t xml:space="preserve"> </w:t>
      </w:r>
      <w:r>
        <w:rPr>
          <w:i/>
          <w:sz w:val="16"/>
        </w:rPr>
        <w:t>y</w:t>
      </w:r>
      <w:r>
        <w:rPr>
          <w:i/>
          <w:spacing w:val="-5"/>
          <w:sz w:val="16"/>
        </w:rPr>
        <w:t xml:space="preserve"> </w:t>
      </w:r>
      <w:r>
        <w:rPr>
          <w:i/>
          <w:sz w:val="16"/>
        </w:rPr>
        <w:t>Costas.</w:t>
      </w:r>
      <w:r>
        <w:rPr>
          <w:i/>
          <w:spacing w:val="-8"/>
          <w:sz w:val="16"/>
        </w:rPr>
        <w:t xml:space="preserve"> </w:t>
      </w:r>
      <w:r>
        <w:rPr>
          <w:sz w:val="16"/>
        </w:rPr>
        <w:t>Sentencia</w:t>
      </w:r>
      <w:r>
        <w:rPr>
          <w:spacing w:val="-3"/>
          <w:sz w:val="16"/>
        </w:rPr>
        <w:t xml:space="preserve"> </w:t>
      </w:r>
      <w:r>
        <w:rPr>
          <w:sz w:val="16"/>
        </w:rPr>
        <w:t>de</w:t>
      </w:r>
      <w:r>
        <w:rPr>
          <w:spacing w:val="-7"/>
          <w:sz w:val="16"/>
        </w:rPr>
        <w:t xml:space="preserve"> </w:t>
      </w:r>
      <w:r>
        <w:rPr>
          <w:sz w:val="16"/>
        </w:rPr>
        <w:t>31</w:t>
      </w:r>
      <w:r>
        <w:rPr>
          <w:spacing w:val="-3"/>
          <w:sz w:val="16"/>
        </w:rPr>
        <w:t xml:space="preserve"> </w:t>
      </w:r>
      <w:r>
        <w:rPr>
          <w:sz w:val="16"/>
        </w:rPr>
        <w:t>de</w:t>
      </w:r>
      <w:r>
        <w:rPr>
          <w:spacing w:val="-5"/>
          <w:sz w:val="16"/>
        </w:rPr>
        <w:t xml:space="preserve"> </w:t>
      </w:r>
      <w:r>
        <w:rPr>
          <w:sz w:val="16"/>
        </w:rPr>
        <w:t>agosto</w:t>
      </w:r>
      <w:r>
        <w:rPr>
          <w:spacing w:val="-4"/>
          <w:sz w:val="16"/>
        </w:rPr>
        <w:t xml:space="preserve"> </w:t>
      </w:r>
      <w:r>
        <w:rPr>
          <w:sz w:val="16"/>
        </w:rPr>
        <w:t>de</w:t>
      </w:r>
      <w:r>
        <w:rPr>
          <w:spacing w:val="-5"/>
          <w:sz w:val="16"/>
        </w:rPr>
        <w:t xml:space="preserve"> </w:t>
      </w:r>
      <w:r>
        <w:rPr>
          <w:sz w:val="16"/>
        </w:rPr>
        <w:t>2012.</w:t>
      </w:r>
      <w:r>
        <w:rPr>
          <w:spacing w:val="-5"/>
          <w:sz w:val="16"/>
        </w:rPr>
        <w:t xml:space="preserve"> </w:t>
      </w:r>
      <w:r>
        <w:rPr>
          <w:sz w:val="16"/>
        </w:rPr>
        <w:t>Serie</w:t>
      </w:r>
      <w:r>
        <w:rPr>
          <w:spacing w:val="-7"/>
          <w:sz w:val="16"/>
        </w:rPr>
        <w:t xml:space="preserve"> </w:t>
      </w:r>
      <w:r>
        <w:rPr>
          <w:sz w:val="16"/>
        </w:rPr>
        <w:t>C</w:t>
      </w:r>
      <w:r>
        <w:rPr>
          <w:spacing w:val="-4"/>
          <w:sz w:val="16"/>
        </w:rPr>
        <w:t xml:space="preserve"> </w:t>
      </w:r>
      <w:r>
        <w:rPr>
          <w:sz w:val="16"/>
        </w:rPr>
        <w:t>No.</w:t>
      </w:r>
      <w:r>
        <w:rPr>
          <w:spacing w:val="-8"/>
          <w:sz w:val="16"/>
        </w:rPr>
        <w:t xml:space="preserve"> </w:t>
      </w:r>
      <w:r>
        <w:rPr>
          <w:sz w:val="16"/>
        </w:rPr>
        <w:t>246,</w:t>
      </w:r>
      <w:r>
        <w:rPr>
          <w:spacing w:val="-6"/>
          <w:sz w:val="16"/>
        </w:rPr>
        <w:t xml:space="preserve"> </w:t>
      </w:r>
      <w:r>
        <w:rPr>
          <w:sz w:val="16"/>
        </w:rPr>
        <w:t xml:space="preserve">párr. 201; </w:t>
      </w:r>
      <w:r>
        <w:rPr>
          <w:i/>
          <w:sz w:val="16"/>
        </w:rPr>
        <w:t>Caso Uzcátegui y otros Vs. Venezuela. Fondo y Reparaciones</w:t>
      </w:r>
      <w:r>
        <w:rPr>
          <w:sz w:val="16"/>
        </w:rPr>
        <w:t>. Sentencia de 3 de septiembre de 2012. Serie C No.</w:t>
      </w:r>
      <w:r>
        <w:rPr>
          <w:spacing w:val="-11"/>
          <w:sz w:val="16"/>
        </w:rPr>
        <w:t xml:space="preserve"> </w:t>
      </w:r>
      <w:r>
        <w:rPr>
          <w:sz w:val="16"/>
        </w:rPr>
        <w:t>249,</w:t>
      </w:r>
      <w:r>
        <w:rPr>
          <w:spacing w:val="-11"/>
          <w:sz w:val="16"/>
        </w:rPr>
        <w:t xml:space="preserve"> </w:t>
      </w:r>
      <w:r>
        <w:rPr>
          <w:sz w:val="16"/>
        </w:rPr>
        <w:t>párr.</w:t>
      </w:r>
      <w:r>
        <w:rPr>
          <w:spacing w:val="-11"/>
          <w:sz w:val="16"/>
        </w:rPr>
        <w:t xml:space="preserve"> </w:t>
      </w:r>
      <w:r>
        <w:rPr>
          <w:sz w:val="16"/>
        </w:rPr>
        <w:t>204;</w:t>
      </w:r>
      <w:r>
        <w:rPr>
          <w:spacing w:val="-11"/>
          <w:sz w:val="16"/>
        </w:rPr>
        <w:t xml:space="preserve"> </w:t>
      </w:r>
      <w:r>
        <w:rPr>
          <w:i/>
          <w:sz w:val="16"/>
        </w:rPr>
        <w:t>Caso</w:t>
      </w:r>
      <w:r>
        <w:rPr>
          <w:i/>
          <w:spacing w:val="-10"/>
          <w:sz w:val="16"/>
        </w:rPr>
        <w:t xml:space="preserve"> </w:t>
      </w:r>
      <w:r>
        <w:rPr>
          <w:i/>
          <w:sz w:val="16"/>
        </w:rPr>
        <w:t>Masacre</w:t>
      </w:r>
      <w:r>
        <w:rPr>
          <w:i/>
          <w:spacing w:val="-9"/>
          <w:sz w:val="16"/>
        </w:rPr>
        <w:t xml:space="preserve"> </w:t>
      </w:r>
      <w:r>
        <w:rPr>
          <w:i/>
          <w:sz w:val="16"/>
        </w:rPr>
        <w:t>de</w:t>
      </w:r>
      <w:r>
        <w:rPr>
          <w:i/>
          <w:spacing w:val="-10"/>
          <w:sz w:val="16"/>
        </w:rPr>
        <w:t xml:space="preserve"> </w:t>
      </w:r>
      <w:r>
        <w:rPr>
          <w:i/>
          <w:sz w:val="16"/>
        </w:rPr>
        <w:t>Santo</w:t>
      </w:r>
      <w:r>
        <w:rPr>
          <w:i/>
          <w:spacing w:val="-9"/>
          <w:sz w:val="16"/>
        </w:rPr>
        <w:t xml:space="preserve"> </w:t>
      </w:r>
      <w:r>
        <w:rPr>
          <w:i/>
          <w:sz w:val="16"/>
        </w:rPr>
        <w:t>Domingo</w:t>
      </w:r>
      <w:r>
        <w:rPr>
          <w:i/>
          <w:spacing w:val="-9"/>
          <w:sz w:val="16"/>
        </w:rPr>
        <w:t xml:space="preserve"> </w:t>
      </w:r>
      <w:r>
        <w:rPr>
          <w:i/>
          <w:sz w:val="16"/>
        </w:rPr>
        <w:t>Vs.</w:t>
      </w:r>
      <w:r>
        <w:rPr>
          <w:i/>
          <w:spacing w:val="-8"/>
          <w:sz w:val="16"/>
        </w:rPr>
        <w:t xml:space="preserve"> </w:t>
      </w:r>
      <w:r>
        <w:rPr>
          <w:i/>
          <w:sz w:val="16"/>
        </w:rPr>
        <w:t>Colombia.</w:t>
      </w:r>
      <w:r>
        <w:rPr>
          <w:i/>
          <w:spacing w:val="-7"/>
          <w:sz w:val="16"/>
        </w:rPr>
        <w:t xml:space="preserve"> </w:t>
      </w:r>
      <w:r>
        <w:rPr>
          <w:i/>
          <w:sz w:val="16"/>
        </w:rPr>
        <w:t>Excepciones</w:t>
      </w:r>
      <w:r>
        <w:rPr>
          <w:i/>
          <w:spacing w:val="-9"/>
          <w:sz w:val="16"/>
        </w:rPr>
        <w:t xml:space="preserve"> </w:t>
      </w:r>
      <w:r>
        <w:rPr>
          <w:i/>
          <w:sz w:val="16"/>
        </w:rPr>
        <w:t>Preliminares,</w:t>
      </w:r>
      <w:r>
        <w:rPr>
          <w:i/>
          <w:spacing w:val="-11"/>
          <w:sz w:val="16"/>
        </w:rPr>
        <w:t xml:space="preserve"> </w:t>
      </w:r>
      <w:r>
        <w:rPr>
          <w:i/>
          <w:sz w:val="16"/>
        </w:rPr>
        <w:t>Fondo</w:t>
      </w:r>
      <w:r>
        <w:rPr>
          <w:i/>
          <w:spacing w:val="-9"/>
          <w:sz w:val="16"/>
        </w:rPr>
        <w:t xml:space="preserve"> </w:t>
      </w:r>
      <w:r>
        <w:rPr>
          <w:i/>
          <w:sz w:val="16"/>
        </w:rPr>
        <w:t>y</w:t>
      </w:r>
      <w:r>
        <w:rPr>
          <w:i/>
          <w:spacing w:val="-9"/>
          <w:sz w:val="16"/>
        </w:rPr>
        <w:t xml:space="preserve"> </w:t>
      </w:r>
      <w:r>
        <w:rPr>
          <w:i/>
          <w:sz w:val="16"/>
        </w:rPr>
        <w:t xml:space="preserve">Reparaciones. </w:t>
      </w:r>
      <w:r>
        <w:rPr>
          <w:sz w:val="16"/>
        </w:rPr>
        <w:t>Sentencia</w:t>
      </w:r>
      <w:r>
        <w:rPr>
          <w:spacing w:val="-8"/>
          <w:sz w:val="16"/>
        </w:rPr>
        <w:t xml:space="preserve"> </w:t>
      </w:r>
      <w:r>
        <w:rPr>
          <w:sz w:val="16"/>
        </w:rPr>
        <w:t>de</w:t>
      </w:r>
      <w:r>
        <w:rPr>
          <w:spacing w:val="-8"/>
          <w:sz w:val="16"/>
        </w:rPr>
        <w:t xml:space="preserve"> </w:t>
      </w:r>
      <w:r>
        <w:rPr>
          <w:sz w:val="16"/>
        </w:rPr>
        <w:t>30</w:t>
      </w:r>
      <w:r>
        <w:rPr>
          <w:spacing w:val="-9"/>
          <w:sz w:val="16"/>
        </w:rPr>
        <w:t xml:space="preserve"> </w:t>
      </w:r>
      <w:r>
        <w:rPr>
          <w:sz w:val="16"/>
        </w:rPr>
        <w:t>de</w:t>
      </w:r>
      <w:r>
        <w:rPr>
          <w:spacing w:val="-9"/>
          <w:sz w:val="16"/>
        </w:rPr>
        <w:t xml:space="preserve"> </w:t>
      </w:r>
      <w:r>
        <w:rPr>
          <w:sz w:val="16"/>
        </w:rPr>
        <w:t>noviembre</w:t>
      </w:r>
      <w:r>
        <w:rPr>
          <w:spacing w:val="-10"/>
          <w:sz w:val="16"/>
        </w:rPr>
        <w:t xml:space="preserve"> </w:t>
      </w:r>
      <w:r>
        <w:rPr>
          <w:sz w:val="16"/>
        </w:rPr>
        <w:t>de</w:t>
      </w:r>
      <w:r>
        <w:rPr>
          <w:spacing w:val="-11"/>
          <w:sz w:val="16"/>
        </w:rPr>
        <w:t xml:space="preserve"> </w:t>
      </w:r>
      <w:r>
        <w:rPr>
          <w:sz w:val="16"/>
        </w:rPr>
        <w:t>2012.</w:t>
      </w:r>
      <w:r>
        <w:rPr>
          <w:spacing w:val="-11"/>
          <w:sz w:val="16"/>
        </w:rPr>
        <w:t xml:space="preserve"> </w:t>
      </w:r>
      <w:r>
        <w:rPr>
          <w:sz w:val="16"/>
        </w:rPr>
        <w:t>Serie</w:t>
      </w:r>
      <w:r>
        <w:rPr>
          <w:spacing w:val="-11"/>
          <w:sz w:val="16"/>
        </w:rPr>
        <w:t xml:space="preserve"> </w:t>
      </w:r>
      <w:r>
        <w:rPr>
          <w:sz w:val="16"/>
        </w:rPr>
        <w:t>C</w:t>
      </w:r>
      <w:r>
        <w:rPr>
          <w:spacing w:val="-7"/>
          <w:sz w:val="16"/>
        </w:rPr>
        <w:t xml:space="preserve"> </w:t>
      </w:r>
      <w:r>
        <w:rPr>
          <w:sz w:val="16"/>
        </w:rPr>
        <w:t>No.</w:t>
      </w:r>
      <w:r>
        <w:rPr>
          <w:spacing w:val="-10"/>
          <w:sz w:val="16"/>
        </w:rPr>
        <w:t xml:space="preserve"> </w:t>
      </w:r>
      <w:r>
        <w:rPr>
          <w:sz w:val="16"/>
        </w:rPr>
        <w:t>259,</w:t>
      </w:r>
      <w:r>
        <w:rPr>
          <w:spacing w:val="-11"/>
          <w:sz w:val="16"/>
        </w:rPr>
        <w:t xml:space="preserve"> </w:t>
      </w:r>
      <w:r>
        <w:rPr>
          <w:sz w:val="16"/>
        </w:rPr>
        <w:t>párrs.</w:t>
      </w:r>
      <w:r>
        <w:rPr>
          <w:spacing w:val="-10"/>
          <w:sz w:val="16"/>
        </w:rPr>
        <w:t xml:space="preserve"> </w:t>
      </w:r>
      <w:r>
        <w:rPr>
          <w:sz w:val="16"/>
        </w:rPr>
        <w:t>273</w:t>
      </w:r>
      <w:r>
        <w:rPr>
          <w:spacing w:val="-8"/>
          <w:sz w:val="16"/>
        </w:rPr>
        <w:t xml:space="preserve"> </w:t>
      </w:r>
      <w:r>
        <w:rPr>
          <w:sz w:val="16"/>
        </w:rPr>
        <w:t>a</w:t>
      </w:r>
      <w:r>
        <w:rPr>
          <w:spacing w:val="-10"/>
          <w:sz w:val="16"/>
        </w:rPr>
        <w:t xml:space="preserve"> </w:t>
      </w:r>
      <w:r>
        <w:rPr>
          <w:sz w:val="16"/>
        </w:rPr>
        <w:t>274,</w:t>
      </w:r>
      <w:r>
        <w:rPr>
          <w:spacing w:val="-10"/>
          <w:sz w:val="16"/>
        </w:rPr>
        <w:t xml:space="preserve"> </w:t>
      </w:r>
      <w:r>
        <w:rPr>
          <w:sz w:val="16"/>
        </w:rPr>
        <w:t>y</w:t>
      </w:r>
      <w:r>
        <w:rPr>
          <w:spacing w:val="-11"/>
          <w:sz w:val="16"/>
        </w:rPr>
        <w:t xml:space="preserve"> </w:t>
      </w:r>
      <w:r>
        <w:rPr>
          <w:i/>
          <w:sz w:val="16"/>
        </w:rPr>
        <w:t>Caso</w:t>
      </w:r>
      <w:r>
        <w:rPr>
          <w:i/>
          <w:spacing w:val="-8"/>
          <w:sz w:val="16"/>
        </w:rPr>
        <w:t xml:space="preserve"> </w:t>
      </w:r>
      <w:r>
        <w:rPr>
          <w:i/>
          <w:sz w:val="16"/>
        </w:rPr>
        <w:t>Gonzales</w:t>
      </w:r>
      <w:r>
        <w:rPr>
          <w:i/>
          <w:spacing w:val="-7"/>
          <w:sz w:val="16"/>
        </w:rPr>
        <w:t xml:space="preserve"> </w:t>
      </w:r>
      <w:r>
        <w:rPr>
          <w:i/>
          <w:sz w:val="16"/>
        </w:rPr>
        <w:t>Lluy</w:t>
      </w:r>
      <w:r>
        <w:rPr>
          <w:i/>
          <w:spacing w:val="-8"/>
          <w:sz w:val="16"/>
        </w:rPr>
        <w:t xml:space="preserve"> </w:t>
      </w:r>
      <w:r>
        <w:rPr>
          <w:i/>
          <w:sz w:val="16"/>
        </w:rPr>
        <w:t>y</w:t>
      </w:r>
      <w:r>
        <w:rPr>
          <w:i/>
          <w:spacing w:val="-11"/>
          <w:sz w:val="16"/>
        </w:rPr>
        <w:t xml:space="preserve"> </w:t>
      </w:r>
      <w:r>
        <w:rPr>
          <w:i/>
          <w:sz w:val="16"/>
        </w:rPr>
        <w:t>otros</w:t>
      </w:r>
      <w:r>
        <w:rPr>
          <w:i/>
          <w:spacing w:val="-8"/>
          <w:sz w:val="16"/>
        </w:rPr>
        <w:t xml:space="preserve"> </w:t>
      </w:r>
      <w:r>
        <w:rPr>
          <w:i/>
          <w:sz w:val="16"/>
        </w:rPr>
        <w:t>Vs.</w:t>
      </w:r>
      <w:r>
        <w:rPr>
          <w:i/>
          <w:spacing w:val="-11"/>
          <w:sz w:val="16"/>
        </w:rPr>
        <w:t xml:space="preserve"> </w:t>
      </w:r>
      <w:r>
        <w:rPr>
          <w:i/>
          <w:sz w:val="16"/>
        </w:rPr>
        <w:t>Ecuador, supra</w:t>
      </w:r>
      <w:r>
        <w:rPr>
          <w:sz w:val="16"/>
        </w:rPr>
        <w:t>, párr.</w:t>
      </w:r>
      <w:r>
        <w:rPr>
          <w:spacing w:val="-5"/>
          <w:sz w:val="16"/>
        </w:rPr>
        <w:t xml:space="preserve"> </w:t>
      </w:r>
      <w:r>
        <w:rPr>
          <w:sz w:val="16"/>
        </w:rPr>
        <w:t>193.</w:t>
      </w:r>
    </w:p>
    <w:p w14:paraId="433D49D6" w14:textId="77777777" w:rsidR="00467FCA" w:rsidRDefault="001B68EB">
      <w:pPr>
        <w:tabs>
          <w:tab w:val="left" w:pos="839"/>
        </w:tabs>
        <w:spacing w:line="194" w:lineRule="exact"/>
        <w:ind w:left="120"/>
        <w:jc w:val="both"/>
        <w:rPr>
          <w:sz w:val="16"/>
        </w:rPr>
      </w:pPr>
      <w:bookmarkStart w:id="379" w:name="_bookmark331"/>
      <w:bookmarkEnd w:id="379"/>
      <w:r>
        <w:rPr>
          <w:position w:val="6"/>
          <w:sz w:val="10"/>
        </w:rPr>
        <w:t>282</w:t>
      </w:r>
      <w:r>
        <w:rPr>
          <w:position w:val="6"/>
          <w:sz w:val="10"/>
        </w:rPr>
        <w:tab/>
      </w:r>
      <w:r>
        <w:rPr>
          <w:i/>
          <w:sz w:val="16"/>
        </w:rPr>
        <w:t xml:space="preserve">Caso Trabajadores de la Hacienda Brasil Verde Vs. Brasil, supra, </w:t>
      </w:r>
      <w:r>
        <w:rPr>
          <w:sz w:val="16"/>
        </w:rPr>
        <w:t>párr.</w:t>
      </w:r>
      <w:r>
        <w:rPr>
          <w:spacing w:val="-15"/>
          <w:sz w:val="16"/>
        </w:rPr>
        <w:t xml:space="preserve"> </w:t>
      </w:r>
      <w:r>
        <w:rPr>
          <w:sz w:val="16"/>
        </w:rPr>
        <w:t>341.</w:t>
      </w:r>
    </w:p>
    <w:p w14:paraId="21466CC3" w14:textId="77777777" w:rsidR="00467FCA" w:rsidRDefault="001B68EB">
      <w:pPr>
        <w:tabs>
          <w:tab w:val="left" w:pos="839"/>
        </w:tabs>
        <w:ind w:left="120"/>
        <w:jc w:val="both"/>
        <w:rPr>
          <w:sz w:val="16"/>
        </w:rPr>
      </w:pPr>
      <w:bookmarkStart w:id="380" w:name="_bookmark332"/>
      <w:bookmarkEnd w:id="380"/>
      <w:r>
        <w:rPr>
          <w:position w:val="6"/>
          <w:sz w:val="10"/>
        </w:rPr>
        <w:t>283</w:t>
      </w:r>
      <w:r>
        <w:rPr>
          <w:position w:val="6"/>
          <w:sz w:val="10"/>
        </w:rPr>
        <w:tab/>
      </w:r>
      <w:r>
        <w:rPr>
          <w:i/>
          <w:sz w:val="16"/>
        </w:rPr>
        <w:t xml:space="preserve">Cfr. Caso Trabajadores de la Hacienda Brasil Verde Vs. Brasil, supra, </w:t>
      </w:r>
      <w:r>
        <w:rPr>
          <w:sz w:val="16"/>
        </w:rPr>
        <w:t>Punto Resolutivo No.</w:t>
      </w:r>
      <w:r>
        <w:rPr>
          <w:spacing w:val="-18"/>
          <w:sz w:val="16"/>
        </w:rPr>
        <w:t xml:space="preserve"> </w:t>
      </w:r>
      <w:r>
        <w:rPr>
          <w:sz w:val="16"/>
        </w:rPr>
        <w:t>4.</w:t>
      </w:r>
    </w:p>
    <w:p w14:paraId="25C73C66" w14:textId="77777777" w:rsidR="00467FCA" w:rsidRDefault="001B68EB">
      <w:pPr>
        <w:tabs>
          <w:tab w:val="left" w:pos="686"/>
        </w:tabs>
        <w:ind w:left="119" w:right="113"/>
        <w:jc w:val="both"/>
        <w:rPr>
          <w:sz w:val="16"/>
        </w:rPr>
      </w:pPr>
      <w:bookmarkStart w:id="381" w:name="_bookmark333"/>
      <w:bookmarkEnd w:id="381"/>
      <w:r>
        <w:rPr>
          <w:position w:val="6"/>
          <w:sz w:val="10"/>
        </w:rPr>
        <w:t>284</w:t>
      </w:r>
      <w:r>
        <w:rPr>
          <w:position w:val="6"/>
          <w:sz w:val="10"/>
        </w:rPr>
        <w:tab/>
      </w:r>
      <w:r>
        <w:rPr>
          <w:sz w:val="16"/>
        </w:rPr>
        <w:t>La discriminación estructural se refiere a comportamientos arraigados en la sociedad, que implican actos de discriminación indirecta contra grupos determinado</w:t>
      </w:r>
      <w:r>
        <w:rPr>
          <w:sz w:val="16"/>
        </w:rPr>
        <w:t xml:space="preserve">s y que se manifiestan en prácticas que generan desventajas comparativas. Estas prácticas pueden presentarse como neutras, pero tienen efectos desproporcionados en los grupos discriminados. </w:t>
      </w:r>
      <w:r>
        <w:rPr>
          <w:i/>
          <w:sz w:val="16"/>
        </w:rPr>
        <w:t xml:space="preserve">Cfr. </w:t>
      </w:r>
      <w:r>
        <w:rPr>
          <w:sz w:val="16"/>
        </w:rPr>
        <w:t>Comité de Derechos Económicos, Sociales y Culturales</w:t>
      </w:r>
      <w:r>
        <w:rPr>
          <w:i/>
          <w:sz w:val="16"/>
        </w:rPr>
        <w:t>, Observa</w:t>
      </w:r>
      <w:r>
        <w:rPr>
          <w:i/>
          <w:sz w:val="16"/>
        </w:rPr>
        <w:t>ción General No. 20, supra</w:t>
      </w:r>
      <w:r>
        <w:rPr>
          <w:sz w:val="16"/>
        </w:rPr>
        <w:t>, párr.</w:t>
      </w:r>
      <w:r>
        <w:rPr>
          <w:spacing w:val="-4"/>
          <w:sz w:val="16"/>
        </w:rPr>
        <w:t xml:space="preserve"> </w:t>
      </w:r>
      <w:r>
        <w:rPr>
          <w:sz w:val="16"/>
        </w:rPr>
        <w:t>12.</w:t>
      </w:r>
    </w:p>
    <w:p w14:paraId="6764DA70" w14:textId="77777777" w:rsidR="00467FCA" w:rsidRDefault="00467FCA">
      <w:pPr>
        <w:jc w:val="both"/>
        <w:rPr>
          <w:sz w:val="16"/>
        </w:rPr>
        <w:sectPr w:rsidR="00467FCA">
          <w:pgSz w:w="12240" w:h="15840"/>
          <w:pgMar w:top="1360" w:right="1320" w:bottom="1220" w:left="1320" w:header="0" w:footer="1037" w:gutter="0"/>
          <w:cols w:space="720"/>
        </w:sectPr>
      </w:pPr>
    </w:p>
    <w:p w14:paraId="231CDC2C" w14:textId="77777777" w:rsidR="00467FCA" w:rsidRDefault="001B68EB">
      <w:pPr>
        <w:pStyle w:val="Textoindependiente"/>
        <w:spacing w:before="80"/>
        <w:ind w:left="119" w:right="116"/>
        <w:jc w:val="both"/>
      </w:pPr>
      <w:r>
        <w:t>el</w:t>
      </w:r>
      <w:r>
        <w:rPr>
          <w:spacing w:val="-8"/>
        </w:rPr>
        <w:t xml:space="preserve"> </w:t>
      </w:r>
      <w:r>
        <w:t>trabajo</w:t>
      </w:r>
      <w:r>
        <w:rPr>
          <w:spacing w:val="-8"/>
        </w:rPr>
        <w:t xml:space="preserve"> </w:t>
      </w:r>
      <w:r>
        <w:t>que</w:t>
      </w:r>
      <w:r>
        <w:rPr>
          <w:spacing w:val="-7"/>
        </w:rPr>
        <w:t xml:space="preserve"> </w:t>
      </w:r>
      <w:r>
        <w:t>allí</w:t>
      </w:r>
      <w:r>
        <w:rPr>
          <w:spacing w:val="-7"/>
        </w:rPr>
        <w:t xml:space="preserve"> </w:t>
      </w:r>
      <w:r>
        <w:t>les</w:t>
      </w:r>
      <w:r>
        <w:rPr>
          <w:spacing w:val="-6"/>
        </w:rPr>
        <w:t xml:space="preserve"> </w:t>
      </w:r>
      <w:r>
        <w:t>ofrecían</w:t>
      </w:r>
      <w:r>
        <w:rPr>
          <w:spacing w:val="-3"/>
        </w:rPr>
        <w:t xml:space="preserve"> </w:t>
      </w:r>
      <w:r>
        <w:t>era</w:t>
      </w:r>
      <w:r>
        <w:rPr>
          <w:spacing w:val="-5"/>
        </w:rPr>
        <w:t xml:space="preserve"> </w:t>
      </w:r>
      <w:r>
        <w:t>la</w:t>
      </w:r>
      <w:r>
        <w:rPr>
          <w:spacing w:val="-7"/>
        </w:rPr>
        <w:t xml:space="preserve"> </w:t>
      </w:r>
      <w:r>
        <w:t>principal,</w:t>
      </w:r>
      <w:r>
        <w:rPr>
          <w:spacing w:val="-6"/>
        </w:rPr>
        <w:t xml:space="preserve"> </w:t>
      </w:r>
      <w:r>
        <w:t>sino</w:t>
      </w:r>
      <w:r>
        <w:rPr>
          <w:spacing w:val="-8"/>
        </w:rPr>
        <w:t xml:space="preserve"> </w:t>
      </w:r>
      <w:r>
        <w:t>la</w:t>
      </w:r>
      <w:r>
        <w:rPr>
          <w:spacing w:val="-8"/>
        </w:rPr>
        <w:t xml:space="preserve"> </w:t>
      </w:r>
      <w:r>
        <w:t>única</w:t>
      </w:r>
      <w:r>
        <w:rPr>
          <w:spacing w:val="-4"/>
        </w:rPr>
        <w:t xml:space="preserve"> </w:t>
      </w:r>
      <w:r>
        <w:t>opción</w:t>
      </w:r>
      <w:r>
        <w:rPr>
          <w:spacing w:val="-7"/>
        </w:rPr>
        <w:t xml:space="preserve"> </w:t>
      </w:r>
      <w:r>
        <w:t>laboral,</w:t>
      </w:r>
      <w:r>
        <w:rPr>
          <w:spacing w:val="-7"/>
        </w:rPr>
        <w:t xml:space="preserve"> </w:t>
      </w:r>
      <w:r>
        <w:t>pues</w:t>
      </w:r>
      <w:r>
        <w:rPr>
          <w:spacing w:val="-6"/>
        </w:rPr>
        <w:t xml:space="preserve"> </w:t>
      </w:r>
      <w:r>
        <w:t>se</w:t>
      </w:r>
      <w:r>
        <w:rPr>
          <w:spacing w:val="-8"/>
        </w:rPr>
        <w:t xml:space="preserve"> </w:t>
      </w:r>
      <w:r>
        <w:t>trataba</w:t>
      </w:r>
      <w:r>
        <w:rPr>
          <w:spacing w:val="-8"/>
        </w:rPr>
        <w:t xml:space="preserve"> </w:t>
      </w:r>
      <w:r>
        <w:t>de personas con muy bajo nivel de escolaridad y alfabetización, que además eran perfiladas como poco confiables y, por estas razones, no podían acceder a otro empleo</w:t>
      </w:r>
      <w:hyperlink w:anchor="_bookmark334" w:history="1">
        <w:r>
          <w:rPr>
            <w:position w:val="7"/>
            <w:sz w:val="13"/>
          </w:rPr>
          <w:t>285</w:t>
        </w:r>
      </w:hyperlink>
      <w:r>
        <w:t>. Al respecto, los Principios Rectores sobre Extrema Pob</w:t>
      </w:r>
      <w:r>
        <w:t>reza y Derechos Humanos reconocen que “las personas</w:t>
      </w:r>
      <w:r>
        <w:rPr>
          <w:spacing w:val="-17"/>
        </w:rPr>
        <w:t xml:space="preserve"> </w:t>
      </w:r>
      <w:r>
        <w:t>que</w:t>
      </w:r>
      <w:r>
        <w:rPr>
          <w:spacing w:val="-20"/>
        </w:rPr>
        <w:t xml:space="preserve"> </w:t>
      </w:r>
      <w:r>
        <w:t>viven</w:t>
      </w:r>
      <w:r>
        <w:rPr>
          <w:spacing w:val="-14"/>
        </w:rPr>
        <w:t xml:space="preserve"> </w:t>
      </w:r>
      <w:r>
        <w:t>en</w:t>
      </w:r>
      <w:r>
        <w:rPr>
          <w:spacing w:val="-17"/>
        </w:rPr>
        <w:t xml:space="preserve"> </w:t>
      </w:r>
      <w:r>
        <w:t>la</w:t>
      </w:r>
      <w:r>
        <w:rPr>
          <w:spacing w:val="-17"/>
        </w:rPr>
        <w:t xml:space="preserve"> </w:t>
      </w:r>
      <w:r>
        <w:t>pobreza</w:t>
      </w:r>
      <w:r>
        <w:rPr>
          <w:spacing w:val="-18"/>
        </w:rPr>
        <w:t xml:space="preserve"> </w:t>
      </w:r>
      <w:r>
        <w:t>se</w:t>
      </w:r>
      <w:r>
        <w:rPr>
          <w:spacing w:val="-19"/>
        </w:rPr>
        <w:t xml:space="preserve"> </w:t>
      </w:r>
      <w:r>
        <w:t>ven</w:t>
      </w:r>
      <w:r>
        <w:rPr>
          <w:spacing w:val="-15"/>
        </w:rPr>
        <w:t xml:space="preserve"> </w:t>
      </w:r>
      <w:r>
        <w:t>enfrentadas</w:t>
      </w:r>
      <w:r>
        <w:rPr>
          <w:spacing w:val="-18"/>
        </w:rPr>
        <w:t xml:space="preserve"> </w:t>
      </w:r>
      <w:r>
        <w:t>al</w:t>
      </w:r>
      <w:r>
        <w:rPr>
          <w:spacing w:val="-18"/>
        </w:rPr>
        <w:t xml:space="preserve"> </w:t>
      </w:r>
      <w:r>
        <w:t>desempleo</w:t>
      </w:r>
      <w:r>
        <w:rPr>
          <w:spacing w:val="-16"/>
        </w:rPr>
        <w:t xml:space="preserve"> </w:t>
      </w:r>
      <w:r>
        <w:t>o</w:t>
      </w:r>
      <w:r>
        <w:rPr>
          <w:spacing w:val="-17"/>
        </w:rPr>
        <w:t xml:space="preserve"> </w:t>
      </w:r>
      <w:r>
        <w:t>el</w:t>
      </w:r>
      <w:r>
        <w:rPr>
          <w:spacing w:val="-18"/>
        </w:rPr>
        <w:t xml:space="preserve"> </w:t>
      </w:r>
      <w:r>
        <w:t>subempleo</w:t>
      </w:r>
      <w:r>
        <w:rPr>
          <w:spacing w:val="-16"/>
        </w:rPr>
        <w:t xml:space="preserve"> </w:t>
      </w:r>
      <w:r>
        <w:t>y</w:t>
      </w:r>
      <w:r>
        <w:rPr>
          <w:spacing w:val="-19"/>
        </w:rPr>
        <w:t xml:space="preserve"> </w:t>
      </w:r>
      <w:r>
        <w:t>al</w:t>
      </w:r>
      <w:r>
        <w:rPr>
          <w:spacing w:val="-17"/>
        </w:rPr>
        <w:t xml:space="preserve"> </w:t>
      </w:r>
      <w:r>
        <w:t>trabajo ocasional sin garantías, con bajos salarios y condiciones de trabajo inseguras y degradantes”</w:t>
      </w:r>
      <w:hyperlink w:anchor="_bookmark335" w:history="1">
        <w:r>
          <w:rPr>
            <w:position w:val="7"/>
            <w:sz w:val="13"/>
          </w:rPr>
          <w:t>286</w:t>
        </w:r>
      </w:hyperlink>
      <w:r>
        <w:t>.</w:t>
      </w:r>
    </w:p>
    <w:p w14:paraId="25374387" w14:textId="77777777" w:rsidR="00467FCA" w:rsidRDefault="00467FCA">
      <w:pPr>
        <w:pStyle w:val="Textoindependiente"/>
      </w:pPr>
    </w:p>
    <w:p w14:paraId="542646B7" w14:textId="77777777" w:rsidR="00467FCA" w:rsidRDefault="001B68EB">
      <w:pPr>
        <w:pStyle w:val="Prrafodelista"/>
        <w:numPr>
          <w:ilvl w:val="0"/>
          <w:numId w:val="50"/>
        </w:numPr>
        <w:tabs>
          <w:tab w:val="left" w:pos="687"/>
        </w:tabs>
        <w:ind w:left="119" w:right="117" w:firstLine="0"/>
        <w:jc w:val="both"/>
        <w:rPr>
          <w:sz w:val="20"/>
        </w:rPr>
      </w:pPr>
      <w:r>
        <w:rPr>
          <w:sz w:val="20"/>
        </w:rPr>
        <w:t>Además de la discriminación estructural en función de la condición de pobreza de las presuntas víctimas, esta Corte considera que en ellas confluían distintas desventajas estructurales que impactaron su victimización. Estas desventajas eran tant</w:t>
      </w:r>
      <w:r>
        <w:rPr>
          <w:sz w:val="20"/>
        </w:rPr>
        <w:t>o económicas y sociales, como referidas a grupos determinados de personas</w:t>
      </w:r>
      <w:hyperlink w:anchor="_bookmark336" w:history="1">
        <w:r>
          <w:rPr>
            <w:position w:val="7"/>
            <w:sz w:val="13"/>
          </w:rPr>
          <w:t>287</w:t>
        </w:r>
      </w:hyperlink>
      <w:r>
        <w:rPr>
          <w:sz w:val="20"/>
        </w:rPr>
        <w:t>. Es decir, se observa una confluencia de factores de discriminación. Este Tribunal se ha referido a dicho concepto de forma expresa o tácita en dif</w:t>
      </w:r>
      <w:r>
        <w:rPr>
          <w:sz w:val="20"/>
        </w:rPr>
        <w:t>erentes sentencias</w:t>
      </w:r>
      <w:hyperlink w:anchor="_bookmark337" w:history="1">
        <w:r>
          <w:rPr>
            <w:position w:val="7"/>
            <w:sz w:val="13"/>
          </w:rPr>
          <w:t>288</w:t>
        </w:r>
      </w:hyperlink>
      <w:r>
        <w:rPr>
          <w:position w:val="7"/>
          <w:sz w:val="13"/>
        </w:rPr>
        <w:t xml:space="preserve"> </w:t>
      </w:r>
      <w:r>
        <w:rPr>
          <w:sz w:val="20"/>
        </w:rPr>
        <w:t>y ha utilizado para ello diferentes categorías.</w:t>
      </w:r>
    </w:p>
    <w:p w14:paraId="5B73CEEB" w14:textId="77777777" w:rsidR="00467FCA" w:rsidRDefault="00467FCA">
      <w:pPr>
        <w:pStyle w:val="Textoindependiente"/>
        <w:spacing w:before="11"/>
        <w:rPr>
          <w:sz w:val="19"/>
        </w:rPr>
      </w:pPr>
    </w:p>
    <w:p w14:paraId="04D5F18E" w14:textId="77777777" w:rsidR="00467FCA" w:rsidRDefault="001B68EB">
      <w:pPr>
        <w:pStyle w:val="Prrafodelista"/>
        <w:numPr>
          <w:ilvl w:val="0"/>
          <w:numId w:val="50"/>
        </w:numPr>
        <w:tabs>
          <w:tab w:val="left" w:pos="687"/>
        </w:tabs>
        <w:ind w:left="119" w:right="117" w:firstLine="0"/>
        <w:jc w:val="both"/>
        <w:rPr>
          <w:sz w:val="20"/>
        </w:rPr>
      </w:pPr>
      <w:r>
        <w:rPr>
          <w:sz w:val="20"/>
        </w:rPr>
        <w:t>Ahora bien, la intersección de factores de discriminación en este caso incrementó las desventajas comparativas de las presuntas víctimas. De modo que las</w:t>
      </w:r>
      <w:r>
        <w:rPr>
          <w:sz w:val="20"/>
        </w:rPr>
        <w:t xml:space="preserve"> presuntas víctimas comparten factores específicos de discriminación que sufren las personas en situación de pobreza, las mujeres y las y los afrodescendientes, pero, además, padecen una forma específica</w:t>
      </w:r>
      <w:r>
        <w:rPr>
          <w:spacing w:val="-16"/>
          <w:sz w:val="20"/>
        </w:rPr>
        <w:t xml:space="preserve"> </w:t>
      </w:r>
      <w:r>
        <w:rPr>
          <w:sz w:val="20"/>
        </w:rPr>
        <w:t>de</w:t>
      </w:r>
      <w:r>
        <w:rPr>
          <w:spacing w:val="-15"/>
          <w:sz w:val="20"/>
        </w:rPr>
        <w:t xml:space="preserve"> </w:t>
      </w:r>
      <w:r>
        <w:rPr>
          <w:sz w:val="20"/>
        </w:rPr>
        <w:t>discriminación</w:t>
      </w:r>
      <w:r>
        <w:rPr>
          <w:spacing w:val="-14"/>
          <w:sz w:val="20"/>
        </w:rPr>
        <w:t xml:space="preserve"> </w:t>
      </w:r>
      <w:r>
        <w:rPr>
          <w:sz w:val="20"/>
        </w:rPr>
        <w:t>por</w:t>
      </w:r>
      <w:r>
        <w:rPr>
          <w:spacing w:val="-15"/>
          <w:sz w:val="20"/>
        </w:rPr>
        <w:t xml:space="preserve"> </w:t>
      </w:r>
      <w:r>
        <w:rPr>
          <w:sz w:val="20"/>
        </w:rPr>
        <w:t>cuenta</w:t>
      </w:r>
      <w:r>
        <w:rPr>
          <w:spacing w:val="-16"/>
          <w:sz w:val="20"/>
        </w:rPr>
        <w:t xml:space="preserve"> </w:t>
      </w:r>
      <w:r>
        <w:rPr>
          <w:sz w:val="20"/>
        </w:rPr>
        <w:t>de</w:t>
      </w:r>
      <w:r>
        <w:rPr>
          <w:spacing w:val="-14"/>
          <w:sz w:val="20"/>
        </w:rPr>
        <w:t xml:space="preserve"> </w:t>
      </w:r>
      <w:r>
        <w:rPr>
          <w:sz w:val="20"/>
        </w:rPr>
        <w:t>la</w:t>
      </w:r>
      <w:r>
        <w:rPr>
          <w:spacing w:val="-16"/>
          <w:sz w:val="20"/>
        </w:rPr>
        <w:t xml:space="preserve"> </w:t>
      </w:r>
      <w:r>
        <w:rPr>
          <w:sz w:val="20"/>
        </w:rPr>
        <w:t>confluencia</w:t>
      </w:r>
      <w:r>
        <w:rPr>
          <w:spacing w:val="-16"/>
          <w:sz w:val="20"/>
        </w:rPr>
        <w:t xml:space="preserve"> </w:t>
      </w:r>
      <w:r>
        <w:rPr>
          <w:sz w:val="20"/>
        </w:rPr>
        <w:t>de</w:t>
      </w:r>
      <w:r>
        <w:rPr>
          <w:spacing w:val="-16"/>
          <w:sz w:val="20"/>
        </w:rPr>
        <w:t xml:space="preserve"> </w:t>
      </w:r>
      <w:r>
        <w:rPr>
          <w:sz w:val="20"/>
        </w:rPr>
        <w:t>todos</w:t>
      </w:r>
      <w:r>
        <w:rPr>
          <w:spacing w:val="-14"/>
          <w:sz w:val="20"/>
        </w:rPr>
        <w:t xml:space="preserve"> </w:t>
      </w:r>
      <w:r>
        <w:rPr>
          <w:sz w:val="20"/>
        </w:rPr>
        <w:t>estos</w:t>
      </w:r>
      <w:r>
        <w:rPr>
          <w:spacing w:val="-14"/>
          <w:sz w:val="20"/>
        </w:rPr>
        <w:t xml:space="preserve"> </w:t>
      </w:r>
      <w:r>
        <w:rPr>
          <w:sz w:val="20"/>
        </w:rPr>
        <w:t>factores</w:t>
      </w:r>
      <w:r>
        <w:rPr>
          <w:spacing w:val="-13"/>
          <w:sz w:val="20"/>
        </w:rPr>
        <w:t xml:space="preserve"> </w:t>
      </w:r>
      <w:r>
        <w:rPr>
          <w:sz w:val="20"/>
        </w:rPr>
        <w:t>y,</w:t>
      </w:r>
      <w:r>
        <w:rPr>
          <w:spacing w:val="-14"/>
          <w:sz w:val="20"/>
        </w:rPr>
        <w:t xml:space="preserve"> </w:t>
      </w:r>
      <w:r>
        <w:rPr>
          <w:sz w:val="20"/>
        </w:rPr>
        <w:t>en</w:t>
      </w:r>
      <w:r>
        <w:rPr>
          <w:spacing w:val="-15"/>
          <w:sz w:val="20"/>
        </w:rPr>
        <w:t xml:space="preserve"> </w:t>
      </w:r>
      <w:r>
        <w:rPr>
          <w:sz w:val="20"/>
        </w:rPr>
        <w:t>algunos casos,</w:t>
      </w:r>
      <w:r>
        <w:rPr>
          <w:spacing w:val="-14"/>
          <w:sz w:val="20"/>
        </w:rPr>
        <w:t xml:space="preserve"> </w:t>
      </w:r>
      <w:r>
        <w:rPr>
          <w:sz w:val="20"/>
        </w:rPr>
        <w:t>por</w:t>
      </w:r>
      <w:r>
        <w:rPr>
          <w:spacing w:val="-11"/>
          <w:sz w:val="20"/>
        </w:rPr>
        <w:t xml:space="preserve"> </w:t>
      </w:r>
      <w:r>
        <w:rPr>
          <w:sz w:val="20"/>
        </w:rPr>
        <w:t>estar</w:t>
      </w:r>
      <w:r>
        <w:rPr>
          <w:spacing w:val="-14"/>
          <w:sz w:val="20"/>
        </w:rPr>
        <w:t xml:space="preserve"> </w:t>
      </w:r>
      <w:r>
        <w:rPr>
          <w:sz w:val="20"/>
        </w:rPr>
        <w:t>embarazadas,</w:t>
      </w:r>
      <w:r>
        <w:rPr>
          <w:spacing w:val="-13"/>
          <w:sz w:val="20"/>
        </w:rPr>
        <w:t xml:space="preserve"> </w:t>
      </w:r>
      <w:r>
        <w:rPr>
          <w:sz w:val="20"/>
        </w:rPr>
        <w:t>por</w:t>
      </w:r>
      <w:r>
        <w:rPr>
          <w:spacing w:val="-14"/>
          <w:sz w:val="20"/>
        </w:rPr>
        <w:t xml:space="preserve"> </w:t>
      </w:r>
      <w:r>
        <w:rPr>
          <w:sz w:val="20"/>
        </w:rPr>
        <w:t>ser</w:t>
      </w:r>
      <w:r>
        <w:rPr>
          <w:spacing w:val="-14"/>
          <w:sz w:val="20"/>
        </w:rPr>
        <w:t xml:space="preserve"> </w:t>
      </w:r>
      <w:r>
        <w:rPr>
          <w:sz w:val="20"/>
        </w:rPr>
        <w:t>niñas,</w:t>
      </w:r>
      <w:r>
        <w:rPr>
          <w:spacing w:val="-12"/>
          <w:sz w:val="20"/>
        </w:rPr>
        <w:t xml:space="preserve"> </w:t>
      </w:r>
      <w:r>
        <w:rPr>
          <w:sz w:val="20"/>
        </w:rPr>
        <w:t>o</w:t>
      </w:r>
      <w:r>
        <w:rPr>
          <w:spacing w:val="-14"/>
          <w:sz w:val="20"/>
        </w:rPr>
        <w:t xml:space="preserve"> </w:t>
      </w:r>
      <w:r>
        <w:rPr>
          <w:sz w:val="20"/>
        </w:rPr>
        <w:t>por</w:t>
      </w:r>
      <w:r>
        <w:rPr>
          <w:spacing w:val="-11"/>
          <w:sz w:val="20"/>
        </w:rPr>
        <w:t xml:space="preserve"> </w:t>
      </w:r>
      <w:r>
        <w:rPr>
          <w:sz w:val="20"/>
        </w:rPr>
        <w:t>ser</w:t>
      </w:r>
      <w:r>
        <w:rPr>
          <w:spacing w:val="-14"/>
          <w:sz w:val="20"/>
        </w:rPr>
        <w:t xml:space="preserve"> </w:t>
      </w:r>
      <w:r>
        <w:rPr>
          <w:sz w:val="20"/>
        </w:rPr>
        <w:t>niñas</w:t>
      </w:r>
      <w:r>
        <w:rPr>
          <w:spacing w:val="-13"/>
          <w:sz w:val="20"/>
        </w:rPr>
        <w:t xml:space="preserve"> </w:t>
      </w:r>
      <w:r>
        <w:rPr>
          <w:sz w:val="20"/>
        </w:rPr>
        <w:t>y</w:t>
      </w:r>
      <w:r>
        <w:rPr>
          <w:spacing w:val="-11"/>
          <w:sz w:val="20"/>
        </w:rPr>
        <w:t xml:space="preserve"> </w:t>
      </w:r>
      <w:r>
        <w:rPr>
          <w:sz w:val="20"/>
        </w:rPr>
        <w:t>estar</w:t>
      </w:r>
      <w:r>
        <w:rPr>
          <w:spacing w:val="-12"/>
          <w:sz w:val="20"/>
        </w:rPr>
        <w:t xml:space="preserve"> </w:t>
      </w:r>
      <w:r>
        <w:rPr>
          <w:sz w:val="20"/>
        </w:rPr>
        <w:t>embarazadas.</w:t>
      </w:r>
      <w:r>
        <w:rPr>
          <w:spacing w:val="-13"/>
          <w:sz w:val="20"/>
        </w:rPr>
        <w:t xml:space="preserve"> </w:t>
      </w:r>
      <w:r>
        <w:rPr>
          <w:sz w:val="20"/>
        </w:rPr>
        <w:t>Sobre</w:t>
      </w:r>
      <w:r>
        <w:rPr>
          <w:spacing w:val="-11"/>
          <w:sz w:val="20"/>
        </w:rPr>
        <w:t xml:space="preserve"> </w:t>
      </w:r>
      <w:r>
        <w:rPr>
          <w:sz w:val="20"/>
        </w:rPr>
        <w:t>este asunto es importante destacar que esta Corte ha establecido que el estado de embarazo puede constituir una condición de particul</w:t>
      </w:r>
      <w:r>
        <w:rPr>
          <w:sz w:val="20"/>
        </w:rPr>
        <w:t>ar vulnerabilidad</w:t>
      </w:r>
      <w:hyperlink w:anchor="_bookmark338" w:history="1">
        <w:r>
          <w:rPr>
            <w:position w:val="7"/>
            <w:sz w:val="13"/>
          </w:rPr>
          <w:t>289</w:t>
        </w:r>
      </w:hyperlink>
      <w:r>
        <w:rPr>
          <w:position w:val="7"/>
          <w:sz w:val="13"/>
        </w:rPr>
        <w:t xml:space="preserve"> </w:t>
      </w:r>
      <w:r>
        <w:rPr>
          <w:sz w:val="20"/>
        </w:rPr>
        <w:t xml:space="preserve">y que, en algunos casos </w:t>
      </w:r>
      <w:r>
        <w:rPr>
          <w:spacing w:val="2"/>
          <w:sz w:val="20"/>
        </w:rPr>
        <w:t xml:space="preserve">de </w:t>
      </w:r>
      <w:r>
        <w:rPr>
          <w:sz w:val="20"/>
        </w:rPr>
        <w:t>victimización, puede existir una afectación diferenciada por cuenta del</w:t>
      </w:r>
      <w:r>
        <w:rPr>
          <w:spacing w:val="-16"/>
          <w:sz w:val="20"/>
        </w:rPr>
        <w:t xml:space="preserve"> </w:t>
      </w:r>
      <w:r>
        <w:rPr>
          <w:sz w:val="20"/>
        </w:rPr>
        <w:t>embarazo</w:t>
      </w:r>
      <w:hyperlink w:anchor="_bookmark339" w:history="1">
        <w:r>
          <w:rPr>
            <w:position w:val="7"/>
            <w:sz w:val="13"/>
          </w:rPr>
          <w:t>290</w:t>
        </w:r>
      </w:hyperlink>
      <w:r>
        <w:rPr>
          <w:sz w:val="20"/>
        </w:rPr>
        <w:t>.</w:t>
      </w:r>
    </w:p>
    <w:p w14:paraId="1EA08272" w14:textId="77777777" w:rsidR="00467FCA" w:rsidRDefault="00467FCA">
      <w:pPr>
        <w:pStyle w:val="Textoindependiente"/>
        <w:spacing w:before="1"/>
      </w:pPr>
    </w:p>
    <w:p w14:paraId="0EB90930" w14:textId="77777777" w:rsidR="00467FCA" w:rsidRDefault="001B68EB">
      <w:pPr>
        <w:pStyle w:val="Prrafodelista"/>
        <w:numPr>
          <w:ilvl w:val="0"/>
          <w:numId w:val="50"/>
        </w:numPr>
        <w:tabs>
          <w:tab w:val="left" w:pos="687"/>
        </w:tabs>
        <w:ind w:right="117" w:hanging="1"/>
        <w:jc w:val="both"/>
        <w:rPr>
          <w:sz w:val="20"/>
        </w:rPr>
      </w:pPr>
      <w:r>
        <w:rPr>
          <w:sz w:val="20"/>
        </w:rPr>
        <w:t>En relación con la discriminación padecida por las mujeres</w:t>
      </w:r>
      <w:hyperlink w:anchor="_bookmark340" w:history="1">
        <w:r>
          <w:rPr>
            <w:position w:val="7"/>
            <w:sz w:val="13"/>
          </w:rPr>
          <w:t>291</w:t>
        </w:r>
      </w:hyperlink>
      <w:r>
        <w:rPr>
          <w:sz w:val="20"/>
        </w:rPr>
        <w:t>, el Comité para la Eliminación de la Discriminación contra la Mujer de Naciones Unidas, en un informe de</w:t>
      </w:r>
      <w:r>
        <w:rPr>
          <w:spacing w:val="-48"/>
          <w:sz w:val="20"/>
        </w:rPr>
        <w:t xml:space="preserve"> </w:t>
      </w:r>
      <w:r>
        <w:rPr>
          <w:sz w:val="20"/>
        </w:rPr>
        <w:t>2012,</w:t>
      </w:r>
    </w:p>
    <w:p w14:paraId="6BA22BA2" w14:textId="77777777" w:rsidR="00467FCA" w:rsidRDefault="001B68EB">
      <w:pPr>
        <w:pStyle w:val="Textoindependiente"/>
        <w:spacing w:before="7"/>
        <w:rPr>
          <w:sz w:val="13"/>
        </w:rPr>
      </w:pPr>
      <w:r>
        <w:pict w14:anchorId="4D61659B">
          <v:shape id="_x0000_s1144" style="position:absolute;margin-left:1in;margin-top:10.55pt;width:2in;height:.1pt;z-index:-251604992;mso-wrap-distance-left:0;mso-wrap-distance-right:0;mso-position-horizontal-relative:page" coordorigin="1440,211" coordsize="2880,0" path="m1440,211r2880,e" filled="f" strokeweight=".21131mm">
            <v:path arrowok="t"/>
            <w10:wrap type="topAndBottom" anchorx="page"/>
          </v:shape>
        </w:pict>
      </w:r>
    </w:p>
    <w:p w14:paraId="4770E4B4" w14:textId="77777777" w:rsidR="00467FCA" w:rsidRDefault="001B68EB">
      <w:pPr>
        <w:tabs>
          <w:tab w:val="left" w:pos="839"/>
        </w:tabs>
        <w:spacing w:before="74"/>
        <w:ind w:left="119" w:right="116"/>
        <w:jc w:val="both"/>
        <w:rPr>
          <w:sz w:val="16"/>
        </w:rPr>
      </w:pPr>
      <w:bookmarkStart w:id="382" w:name="_bookmark334"/>
      <w:bookmarkEnd w:id="382"/>
      <w:r>
        <w:rPr>
          <w:position w:val="6"/>
          <w:sz w:val="10"/>
        </w:rPr>
        <w:t>285</w:t>
      </w:r>
      <w:r>
        <w:rPr>
          <w:position w:val="6"/>
          <w:sz w:val="10"/>
        </w:rPr>
        <w:tab/>
      </w:r>
      <w:r>
        <w:rPr>
          <w:sz w:val="16"/>
        </w:rPr>
        <w:t>Al respecto, la señora Leila Cerqueira dos Santos, afirmó: “Sólo este trabajo era disponible, porque o trabajábamos en la fábrica o en casas de familias, pero muchas familias no nos empleaban porque pensaban que nosotros</w:t>
      </w:r>
      <w:r>
        <w:rPr>
          <w:spacing w:val="-6"/>
          <w:sz w:val="16"/>
        </w:rPr>
        <w:t xml:space="preserve"> </w:t>
      </w:r>
      <w:r>
        <w:rPr>
          <w:sz w:val="16"/>
        </w:rPr>
        <w:t>éramos</w:t>
      </w:r>
      <w:r>
        <w:rPr>
          <w:spacing w:val="-2"/>
          <w:sz w:val="16"/>
        </w:rPr>
        <w:t xml:space="preserve"> </w:t>
      </w:r>
      <w:r>
        <w:rPr>
          <w:sz w:val="16"/>
        </w:rPr>
        <w:t>de</w:t>
      </w:r>
      <w:r>
        <w:rPr>
          <w:spacing w:val="-2"/>
          <w:sz w:val="16"/>
        </w:rPr>
        <w:t xml:space="preserve"> </w:t>
      </w:r>
      <w:r>
        <w:rPr>
          <w:sz w:val="16"/>
        </w:rPr>
        <w:t>un</w:t>
      </w:r>
      <w:r>
        <w:rPr>
          <w:spacing w:val="-4"/>
          <w:sz w:val="16"/>
        </w:rPr>
        <w:t xml:space="preserve"> </w:t>
      </w:r>
      <w:r>
        <w:rPr>
          <w:sz w:val="16"/>
        </w:rPr>
        <w:t>barrio</w:t>
      </w:r>
      <w:r>
        <w:rPr>
          <w:spacing w:val="-5"/>
          <w:sz w:val="16"/>
        </w:rPr>
        <w:t xml:space="preserve"> </w:t>
      </w:r>
      <w:r>
        <w:rPr>
          <w:sz w:val="16"/>
        </w:rPr>
        <w:t>pobre</w:t>
      </w:r>
      <w:r>
        <w:rPr>
          <w:spacing w:val="-5"/>
          <w:sz w:val="16"/>
        </w:rPr>
        <w:t xml:space="preserve"> </w:t>
      </w:r>
      <w:r>
        <w:rPr>
          <w:sz w:val="16"/>
        </w:rPr>
        <w:t>y</w:t>
      </w:r>
      <w:r>
        <w:rPr>
          <w:spacing w:val="-2"/>
          <w:sz w:val="16"/>
        </w:rPr>
        <w:t xml:space="preserve"> </w:t>
      </w:r>
      <w:r>
        <w:rPr>
          <w:sz w:val="16"/>
        </w:rPr>
        <w:t>que</w:t>
      </w:r>
      <w:r>
        <w:rPr>
          <w:spacing w:val="-5"/>
          <w:sz w:val="16"/>
        </w:rPr>
        <w:t xml:space="preserve"> </w:t>
      </w:r>
      <w:r>
        <w:rPr>
          <w:sz w:val="16"/>
        </w:rPr>
        <w:t>pod</w:t>
      </w:r>
      <w:r>
        <w:rPr>
          <w:sz w:val="16"/>
        </w:rPr>
        <w:t>ríamos</w:t>
      </w:r>
      <w:r>
        <w:rPr>
          <w:spacing w:val="-2"/>
          <w:sz w:val="16"/>
        </w:rPr>
        <w:t xml:space="preserve"> </w:t>
      </w:r>
      <w:r>
        <w:rPr>
          <w:sz w:val="16"/>
        </w:rPr>
        <w:t>hurtar</w:t>
      </w:r>
      <w:r>
        <w:rPr>
          <w:spacing w:val="-5"/>
          <w:sz w:val="16"/>
        </w:rPr>
        <w:t xml:space="preserve"> </w:t>
      </w:r>
      <w:r>
        <w:rPr>
          <w:sz w:val="16"/>
        </w:rPr>
        <w:t>o</w:t>
      </w:r>
      <w:r>
        <w:rPr>
          <w:spacing w:val="-2"/>
          <w:sz w:val="16"/>
        </w:rPr>
        <w:t xml:space="preserve"> </w:t>
      </w:r>
      <w:r>
        <w:rPr>
          <w:sz w:val="16"/>
        </w:rPr>
        <w:t>cometer</w:t>
      </w:r>
      <w:r>
        <w:rPr>
          <w:spacing w:val="-1"/>
          <w:sz w:val="16"/>
        </w:rPr>
        <w:t xml:space="preserve"> </w:t>
      </w:r>
      <w:r>
        <w:rPr>
          <w:sz w:val="16"/>
        </w:rPr>
        <w:t>hurtos</w:t>
      </w:r>
      <w:r>
        <w:rPr>
          <w:spacing w:val="-5"/>
          <w:sz w:val="16"/>
        </w:rPr>
        <w:t xml:space="preserve"> </w:t>
      </w:r>
      <w:r>
        <w:rPr>
          <w:sz w:val="16"/>
        </w:rPr>
        <w:t>y</w:t>
      </w:r>
      <w:r>
        <w:rPr>
          <w:spacing w:val="-3"/>
          <w:sz w:val="16"/>
        </w:rPr>
        <w:t xml:space="preserve"> </w:t>
      </w:r>
      <w:r>
        <w:rPr>
          <w:sz w:val="16"/>
        </w:rPr>
        <w:t>entonces</w:t>
      </w:r>
      <w:r>
        <w:rPr>
          <w:spacing w:val="-5"/>
          <w:sz w:val="16"/>
        </w:rPr>
        <w:t xml:space="preserve"> </w:t>
      </w:r>
      <w:r>
        <w:rPr>
          <w:sz w:val="16"/>
        </w:rPr>
        <w:t>nos</w:t>
      </w:r>
      <w:r>
        <w:rPr>
          <w:spacing w:val="-2"/>
          <w:sz w:val="16"/>
        </w:rPr>
        <w:t xml:space="preserve"> </w:t>
      </w:r>
      <w:r>
        <w:rPr>
          <w:sz w:val="16"/>
        </w:rPr>
        <w:t>discriminaban,</w:t>
      </w:r>
      <w:r>
        <w:rPr>
          <w:spacing w:val="-1"/>
          <w:sz w:val="16"/>
        </w:rPr>
        <w:t xml:space="preserve"> </w:t>
      </w:r>
      <w:r>
        <w:rPr>
          <w:sz w:val="16"/>
        </w:rPr>
        <w:t>no</w:t>
      </w:r>
      <w:r>
        <w:rPr>
          <w:spacing w:val="-3"/>
          <w:sz w:val="16"/>
        </w:rPr>
        <w:t xml:space="preserve"> </w:t>
      </w:r>
      <w:r>
        <w:rPr>
          <w:sz w:val="16"/>
        </w:rPr>
        <w:t>nos aceptaban”. Declaración rendida por Leila Cerqueira dos Santos,</w:t>
      </w:r>
      <w:r>
        <w:rPr>
          <w:spacing w:val="-11"/>
          <w:sz w:val="16"/>
        </w:rPr>
        <w:t xml:space="preserve"> </w:t>
      </w:r>
      <w:r>
        <w:rPr>
          <w:i/>
          <w:sz w:val="16"/>
        </w:rPr>
        <w:t>supra</w:t>
      </w:r>
      <w:r>
        <w:rPr>
          <w:sz w:val="16"/>
        </w:rPr>
        <w:t>.</w:t>
      </w:r>
    </w:p>
    <w:p w14:paraId="5102BB29" w14:textId="77777777" w:rsidR="00467FCA" w:rsidRDefault="001B68EB">
      <w:pPr>
        <w:tabs>
          <w:tab w:val="left" w:pos="839"/>
        </w:tabs>
        <w:ind w:left="119" w:right="114"/>
        <w:jc w:val="both"/>
        <w:rPr>
          <w:sz w:val="16"/>
        </w:rPr>
      </w:pPr>
      <w:bookmarkStart w:id="383" w:name="_bookmark335"/>
      <w:bookmarkEnd w:id="383"/>
      <w:r>
        <w:rPr>
          <w:position w:val="6"/>
          <w:sz w:val="10"/>
        </w:rPr>
        <w:t>286</w:t>
      </w:r>
      <w:r>
        <w:rPr>
          <w:position w:val="6"/>
          <w:sz w:val="10"/>
        </w:rPr>
        <w:tab/>
      </w:r>
      <w:r>
        <w:rPr>
          <w:sz w:val="16"/>
        </w:rPr>
        <w:t xml:space="preserve">Consejo de Derechos Humanos, </w:t>
      </w:r>
      <w:r>
        <w:rPr>
          <w:i/>
          <w:sz w:val="16"/>
        </w:rPr>
        <w:t>Principios Rectores de Naciones Unidas sobre la Extrema Pobreza y los Derechos Human</w:t>
      </w:r>
      <w:r>
        <w:rPr>
          <w:i/>
          <w:sz w:val="16"/>
        </w:rPr>
        <w:t>os</w:t>
      </w:r>
      <w:r>
        <w:rPr>
          <w:sz w:val="16"/>
        </w:rPr>
        <w:t>, UN Doc. A/HRC/21/39, 27 de septiembre de 2012, principio</w:t>
      </w:r>
      <w:r>
        <w:rPr>
          <w:spacing w:val="-17"/>
          <w:sz w:val="16"/>
        </w:rPr>
        <w:t xml:space="preserve"> </w:t>
      </w:r>
      <w:r>
        <w:rPr>
          <w:sz w:val="16"/>
        </w:rPr>
        <w:t>83.</w:t>
      </w:r>
    </w:p>
    <w:p w14:paraId="70D2F1B4" w14:textId="77777777" w:rsidR="00467FCA" w:rsidRDefault="001B68EB">
      <w:pPr>
        <w:tabs>
          <w:tab w:val="left" w:pos="839"/>
        </w:tabs>
        <w:ind w:left="120" w:right="115" w:hanging="1"/>
        <w:jc w:val="both"/>
        <w:rPr>
          <w:sz w:val="16"/>
        </w:rPr>
      </w:pPr>
      <w:bookmarkStart w:id="384" w:name="_bookmark336"/>
      <w:bookmarkEnd w:id="384"/>
      <w:r>
        <w:rPr>
          <w:position w:val="6"/>
          <w:sz w:val="10"/>
        </w:rPr>
        <w:t>287</w:t>
      </w:r>
      <w:r>
        <w:rPr>
          <w:position w:val="6"/>
          <w:sz w:val="10"/>
        </w:rPr>
        <w:tab/>
      </w:r>
      <w:r>
        <w:rPr>
          <w:i/>
          <w:sz w:val="16"/>
        </w:rPr>
        <w:t xml:space="preserve">Cfr. </w:t>
      </w:r>
      <w:r>
        <w:rPr>
          <w:sz w:val="16"/>
        </w:rPr>
        <w:t>Informe del Relator Especial sobre la extrema pobreza y los derechos humanos, Sr. Philip Alston, UN Doc. A/HRC/29/31, 27 de mayo de 2015, párr.</w:t>
      </w:r>
      <w:r>
        <w:rPr>
          <w:spacing w:val="-14"/>
          <w:sz w:val="16"/>
        </w:rPr>
        <w:t xml:space="preserve"> </w:t>
      </w:r>
      <w:r>
        <w:rPr>
          <w:sz w:val="16"/>
        </w:rPr>
        <w:t>7.</w:t>
      </w:r>
    </w:p>
    <w:p w14:paraId="678F701D" w14:textId="77777777" w:rsidR="00467FCA" w:rsidRDefault="001B68EB">
      <w:pPr>
        <w:tabs>
          <w:tab w:val="left" w:pos="839"/>
        </w:tabs>
        <w:spacing w:before="2"/>
        <w:ind w:left="117" w:right="113" w:firstLine="2"/>
        <w:jc w:val="both"/>
        <w:rPr>
          <w:sz w:val="16"/>
        </w:rPr>
      </w:pPr>
      <w:bookmarkStart w:id="385" w:name="_bookmark337"/>
      <w:bookmarkEnd w:id="385"/>
      <w:r>
        <w:rPr>
          <w:position w:val="6"/>
          <w:sz w:val="10"/>
        </w:rPr>
        <w:t>288</w:t>
      </w:r>
      <w:r>
        <w:rPr>
          <w:position w:val="6"/>
          <w:sz w:val="10"/>
        </w:rPr>
        <w:tab/>
      </w:r>
      <w:r>
        <w:rPr>
          <w:i/>
          <w:sz w:val="16"/>
        </w:rPr>
        <w:t>Cfr. Caso del Penal Miguel Cast</w:t>
      </w:r>
      <w:r>
        <w:rPr>
          <w:i/>
          <w:sz w:val="16"/>
        </w:rPr>
        <w:t xml:space="preserve">ro Castro Vs. Perú. Fondo, Reparaciones y Costas. </w:t>
      </w:r>
      <w:r>
        <w:rPr>
          <w:sz w:val="16"/>
        </w:rPr>
        <w:t xml:space="preserve">Sentencia de 25 de noviembre de 2006. Serie C No. 160, párrs. 233 y 293; </w:t>
      </w:r>
      <w:r>
        <w:rPr>
          <w:i/>
          <w:sz w:val="16"/>
        </w:rPr>
        <w:t xml:space="preserve">Caso Fernández Ortega y otros Vs. México. Excepción Preliminar, Fondo, Reparaciones y Costas. </w:t>
      </w:r>
      <w:r>
        <w:rPr>
          <w:sz w:val="16"/>
        </w:rPr>
        <w:t>Sentencia de 30 de agosto de 2010. Seri</w:t>
      </w:r>
      <w:r>
        <w:rPr>
          <w:sz w:val="16"/>
        </w:rPr>
        <w:t xml:space="preserve">e C No. 215, párr. 185; </w:t>
      </w:r>
      <w:r>
        <w:rPr>
          <w:i/>
          <w:sz w:val="16"/>
        </w:rPr>
        <w:t>Caso Rosendo Cantú y otra Vs. México, supra</w:t>
      </w:r>
      <w:r>
        <w:rPr>
          <w:sz w:val="16"/>
        </w:rPr>
        <w:t xml:space="preserve">, párr. 169; </w:t>
      </w:r>
      <w:r>
        <w:rPr>
          <w:i/>
          <w:sz w:val="16"/>
        </w:rPr>
        <w:t>Caso Gonzales Lluy y otros Vs. Ecuador, supra</w:t>
      </w:r>
      <w:r>
        <w:rPr>
          <w:sz w:val="16"/>
        </w:rPr>
        <w:t xml:space="preserve">, párr. 290; </w:t>
      </w:r>
      <w:r>
        <w:rPr>
          <w:i/>
          <w:sz w:val="16"/>
        </w:rPr>
        <w:t>Caso V.R.P., V.P.C. y otros Vs. Nicaragua, supra</w:t>
      </w:r>
      <w:r>
        <w:rPr>
          <w:sz w:val="16"/>
        </w:rPr>
        <w:t xml:space="preserve">, párr. 154; </w:t>
      </w:r>
      <w:r>
        <w:rPr>
          <w:i/>
          <w:sz w:val="16"/>
        </w:rPr>
        <w:t>Caso Ramírez Escobar y otros Vs. Guatemala, supra</w:t>
      </w:r>
      <w:r>
        <w:rPr>
          <w:sz w:val="16"/>
        </w:rPr>
        <w:t xml:space="preserve">, párr. </w:t>
      </w:r>
      <w:r>
        <w:rPr>
          <w:sz w:val="16"/>
        </w:rPr>
        <w:t xml:space="preserve">304, y </w:t>
      </w:r>
      <w:r>
        <w:rPr>
          <w:i/>
          <w:sz w:val="16"/>
        </w:rPr>
        <w:t xml:space="preserve">Caso Cuscul Pivaral y otros Vs. Guatemala, supra, </w:t>
      </w:r>
      <w:r>
        <w:rPr>
          <w:sz w:val="16"/>
        </w:rPr>
        <w:t>párrs. 128 y</w:t>
      </w:r>
      <w:r>
        <w:rPr>
          <w:spacing w:val="-19"/>
          <w:sz w:val="16"/>
        </w:rPr>
        <w:t xml:space="preserve"> </w:t>
      </w:r>
      <w:r>
        <w:rPr>
          <w:sz w:val="16"/>
        </w:rPr>
        <w:t>138.</w:t>
      </w:r>
    </w:p>
    <w:p w14:paraId="04CCEDC4" w14:textId="77777777" w:rsidR="00467FCA" w:rsidRDefault="001B68EB">
      <w:pPr>
        <w:tabs>
          <w:tab w:val="left" w:pos="839"/>
        </w:tabs>
        <w:spacing w:line="194" w:lineRule="exact"/>
        <w:ind w:left="120"/>
        <w:jc w:val="both"/>
        <w:rPr>
          <w:sz w:val="16"/>
        </w:rPr>
      </w:pPr>
      <w:bookmarkStart w:id="386" w:name="_bookmark338"/>
      <w:bookmarkEnd w:id="386"/>
      <w:r>
        <w:rPr>
          <w:position w:val="6"/>
          <w:sz w:val="10"/>
        </w:rPr>
        <w:t>289</w:t>
      </w:r>
      <w:r>
        <w:rPr>
          <w:position w:val="6"/>
          <w:sz w:val="10"/>
        </w:rPr>
        <w:tab/>
      </w:r>
      <w:r>
        <w:rPr>
          <w:i/>
          <w:sz w:val="16"/>
        </w:rPr>
        <w:t xml:space="preserve">Cfr. Caso Gelman Vs. Uruguay. Fondo y Reparaciones, supra, </w:t>
      </w:r>
      <w:r>
        <w:rPr>
          <w:sz w:val="16"/>
        </w:rPr>
        <w:t>párr.</w:t>
      </w:r>
      <w:r>
        <w:rPr>
          <w:spacing w:val="-13"/>
          <w:sz w:val="16"/>
        </w:rPr>
        <w:t xml:space="preserve"> </w:t>
      </w:r>
      <w:r>
        <w:rPr>
          <w:sz w:val="16"/>
        </w:rPr>
        <w:t>97.</w:t>
      </w:r>
    </w:p>
    <w:p w14:paraId="44CA3AE4" w14:textId="77777777" w:rsidR="00467FCA" w:rsidRDefault="001B68EB">
      <w:pPr>
        <w:tabs>
          <w:tab w:val="left" w:pos="839"/>
        </w:tabs>
        <w:ind w:left="119" w:right="116"/>
        <w:jc w:val="both"/>
        <w:rPr>
          <w:sz w:val="16"/>
        </w:rPr>
      </w:pPr>
      <w:bookmarkStart w:id="387" w:name="_bookmark339"/>
      <w:bookmarkEnd w:id="387"/>
      <w:r>
        <w:rPr>
          <w:position w:val="6"/>
          <w:sz w:val="10"/>
        </w:rPr>
        <w:t>290</w:t>
      </w:r>
      <w:r>
        <w:rPr>
          <w:position w:val="6"/>
          <w:sz w:val="10"/>
        </w:rPr>
        <w:tab/>
      </w:r>
      <w:r>
        <w:rPr>
          <w:i/>
          <w:sz w:val="16"/>
        </w:rPr>
        <w:t xml:space="preserve">Cfr. Caso del Penal Miguel Castro Castro Vs. Perú, supra, </w:t>
      </w:r>
      <w:r>
        <w:rPr>
          <w:sz w:val="16"/>
        </w:rPr>
        <w:t xml:space="preserve">párr. 292, y </w:t>
      </w:r>
      <w:r>
        <w:rPr>
          <w:i/>
          <w:sz w:val="16"/>
        </w:rPr>
        <w:t>Caso Gelman Vs. Uruguay. Fondo y Reparaciones</w:t>
      </w:r>
      <w:r>
        <w:rPr>
          <w:sz w:val="16"/>
        </w:rPr>
        <w:t xml:space="preserve">, </w:t>
      </w:r>
      <w:r>
        <w:rPr>
          <w:i/>
          <w:sz w:val="16"/>
        </w:rPr>
        <w:t>supra</w:t>
      </w:r>
      <w:r>
        <w:rPr>
          <w:sz w:val="16"/>
        </w:rPr>
        <w:t>, párr.</w:t>
      </w:r>
      <w:r>
        <w:rPr>
          <w:spacing w:val="-6"/>
          <w:sz w:val="16"/>
        </w:rPr>
        <w:t xml:space="preserve"> </w:t>
      </w:r>
      <w:r>
        <w:rPr>
          <w:sz w:val="16"/>
        </w:rPr>
        <w:t>97.</w:t>
      </w:r>
    </w:p>
    <w:p w14:paraId="1D4209A2" w14:textId="77777777" w:rsidR="00467FCA" w:rsidRDefault="001B68EB">
      <w:pPr>
        <w:tabs>
          <w:tab w:val="left" w:pos="839"/>
        </w:tabs>
        <w:ind w:left="118" w:right="113" w:firstLine="1"/>
        <w:jc w:val="both"/>
        <w:rPr>
          <w:sz w:val="16"/>
        </w:rPr>
      </w:pPr>
      <w:bookmarkStart w:id="388" w:name="_bookmark340"/>
      <w:bookmarkEnd w:id="388"/>
      <w:r>
        <w:rPr>
          <w:position w:val="6"/>
          <w:sz w:val="10"/>
        </w:rPr>
        <w:t>291</w:t>
      </w:r>
      <w:r>
        <w:rPr>
          <w:position w:val="6"/>
          <w:sz w:val="10"/>
        </w:rPr>
        <w:tab/>
      </w:r>
      <w:r>
        <w:rPr>
          <w:sz w:val="16"/>
        </w:rPr>
        <w:t>Según la Encuesta Nacional de Muestra por Hogar realizada en Brasil por el IBGE (PNAD 2003), aproximadamente</w:t>
      </w:r>
      <w:r>
        <w:rPr>
          <w:spacing w:val="-10"/>
          <w:sz w:val="16"/>
        </w:rPr>
        <w:t xml:space="preserve"> </w:t>
      </w:r>
      <w:r>
        <w:rPr>
          <w:sz w:val="16"/>
        </w:rPr>
        <w:t>un</w:t>
      </w:r>
      <w:r>
        <w:rPr>
          <w:spacing w:val="-11"/>
          <w:sz w:val="16"/>
        </w:rPr>
        <w:t xml:space="preserve"> </w:t>
      </w:r>
      <w:r>
        <w:rPr>
          <w:sz w:val="16"/>
        </w:rPr>
        <w:t>21%</w:t>
      </w:r>
      <w:r>
        <w:rPr>
          <w:spacing w:val="-12"/>
          <w:sz w:val="16"/>
        </w:rPr>
        <w:t xml:space="preserve"> </w:t>
      </w:r>
      <w:r>
        <w:rPr>
          <w:sz w:val="16"/>
        </w:rPr>
        <w:t>d</w:t>
      </w:r>
      <w:r>
        <w:rPr>
          <w:sz w:val="16"/>
        </w:rPr>
        <w:t>e</w:t>
      </w:r>
      <w:r>
        <w:rPr>
          <w:spacing w:val="-12"/>
          <w:sz w:val="16"/>
        </w:rPr>
        <w:t xml:space="preserve"> </w:t>
      </w:r>
      <w:r>
        <w:rPr>
          <w:sz w:val="16"/>
        </w:rPr>
        <w:t>las</w:t>
      </w:r>
      <w:r>
        <w:rPr>
          <w:spacing w:val="-10"/>
          <w:sz w:val="16"/>
        </w:rPr>
        <w:t xml:space="preserve"> </w:t>
      </w:r>
      <w:r>
        <w:rPr>
          <w:sz w:val="16"/>
        </w:rPr>
        <w:t>mujeres</w:t>
      </w:r>
      <w:r>
        <w:rPr>
          <w:spacing w:val="-10"/>
          <w:sz w:val="16"/>
        </w:rPr>
        <w:t xml:space="preserve"> </w:t>
      </w:r>
      <w:r>
        <w:rPr>
          <w:sz w:val="16"/>
        </w:rPr>
        <w:t>afrodescendientes</w:t>
      </w:r>
      <w:r>
        <w:rPr>
          <w:spacing w:val="-12"/>
          <w:sz w:val="16"/>
        </w:rPr>
        <w:t xml:space="preserve"> </w:t>
      </w:r>
      <w:r>
        <w:rPr>
          <w:sz w:val="16"/>
        </w:rPr>
        <w:t>son</w:t>
      </w:r>
      <w:r>
        <w:rPr>
          <w:spacing w:val="-11"/>
          <w:sz w:val="16"/>
        </w:rPr>
        <w:t xml:space="preserve"> </w:t>
      </w:r>
      <w:r>
        <w:rPr>
          <w:sz w:val="16"/>
        </w:rPr>
        <w:t>empleadas</w:t>
      </w:r>
      <w:r>
        <w:rPr>
          <w:spacing w:val="-9"/>
          <w:sz w:val="16"/>
        </w:rPr>
        <w:t xml:space="preserve"> </w:t>
      </w:r>
      <w:r>
        <w:rPr>
          <w:sz w:val="16"/>
        </w:rPr>
        <w:t>domésticas</w:t>
      </w:r>
      <w:r>
        <w:rPr>
          <w:spacing w:val="-9"/>
          <w:sz w:val="16"/>
        </w:rPr>
        <w:t xml:space="preserve"> </w:t>
      </w:r>
      <w:r>
        <w:rPr>
          <w:sz w:val="16"/>
        </w:rPr>
        <w:t>y</w:t>
      </w:r>
      <w:r>
        <w:rPr>
          <w:spacing w:val="-14"/>
          <w:sz w:val="16"/>
        </w:rPr>
        <w:t xml:space="preserve"> </w:t>
      </w:r>
      <w:r>
        <w:rPr>
          <w:sz w:val="16"/>
        </w:rPr>
        <w:t>solo</w:t>
      </w:r>
      <w:r>
        <w:rPr>
          <w:spacing w:val="-12"/>
          <w:sz w:val="16"/>
        </w:rPr>
        <w:t xml:space="preserve"> </w:t>
      </w:r>
      <w:r>
        <w:rPr>
          <w:sz w:val="16"/>
        </w:rPr>
        <w:t>el</w:t>
      </w:r>
      <w:r>
        <w:rPr>
          <w:spacing w:val="-11"/>
          <w:sz w:val="16"/>
        </w:rPr>
        <w:t xml:space="preserve"> </w:t>
      </w:r>
      <w:r>
        <w:rPr>
          <w:sz w:val="16"/>
        </w:rPr>
        <w:t>23%</w:t>
      </w:r>
      <w:r>
        <w:rPr>
          <w:spacing w:val="-12"/>
          <w:sz w:val="16"/>
        </w:rPr>
        <w:t xml:space="preserve"> </w:t>
      </w:r>
      <w:r>
        <w:rPr>
          <w:sz w:val="16"/>
        </w:rPr>
        <w:t>de</w:t>
      </w:r>
      <w:r>
        <w:rPr>
          <w:spacing w:val="-12"/>
          <w:sz w:val="16"/>
        </w:rPr>
        <w:t xml:space="preserve"> </w:t>
      </w:r>
      <w:r>
        <w:rPr>
          <w:sz w:val="16"/>
        </w:rPr>
        <w:t>ellas</w:t>
      </w:r>
      <w:r>
        <w:rPr>
          <w:spacing w:val="-9"/>
          <w:sz w:val="16"/>
        </w:rPr>
        <w:t xml:space="preserve"> </w:t>
      </w:r>
      <w:r>
        <w:rPr>
          <w:sz w:val="16"/>
        </w:rPr>
        <w:t>tienen un</w:t>
      </w:r>
      <w:r>
        <w:rPr>
          <w:spacing w:val="-4"/>
          <w:sz w:val="16"/>
        </w:rPr>
        <w:t xml:space="preserve"> </w:t>
      </w:r>
      <w:r>
        <w:rPr>
          <w:sz w:val="16"/>
        </w:rPr>
        <w:t>registro</w:t>
      </w:r>
      <w:r>
        <w:rPr>
          <w:spacing w:val="-4"/>
          <w:sz w:val="16"/>
        </w:rPr>
        <w:t xml:space="preserve"> </w:t>
      </w:r>
      <w:r>
        <w:rPr>
          <w:sz w:val="16"/>
        </w:rPr>
        <w:t>formal</w:t>
      </w:r>
      <w:r>
        <w:rPr>
          <w:spacing w:val="-6"/>
          <w:sz w:val="16"/>
        </w:rPr>
        <w:t xml:space="preserve"> </w:t>
      </w:r>
      <w:r>
        <w:rPr>
          <w:sz w:val="16"/>
        </w:rPr>
        <w:t>de</w:t>
      </w:r>
      <w:r>
        <w:rPr>
          <w:spacing w:val="-5"/>
          <w:sz w:val="16"/>
        </w:rPr>
        <w:t xml:space="preserve"> </w:t>
      </w:r>
      <w:r>
        <w:rPr>
          <w:sz w:val="16"/>
        </w:rPr>
        <w:t>trabajo,</w:t>
      </w:r>
      <w:r>
        <w:rPr>
          <w:spacing w:val="-8"/>
          <w:sz w:val="16"/>
        </w:rPr>
        <w:t xml:space="preserve"> </w:t>
      </w:r>
      <w:r>
        <w:rPr>
          <w:sz w:val="16"/>
        </w:rPr>
        <w:t>frente</w:t>
      </w:r>
      <w:r>
        <w:rPr>
          <w:spacing w:val="-5"/>
          <w:sz w:val="16"/>
        </w:rPr>
        <w:t xml:space="preserve"> </w:t>
      </w:r>
      <w:r>
        <w:rPr>
          <w:sz w:val="16"/>
        </w:rPr>
        <w:t>al</w:t>
      </w:r>
      <w:r>
        <w:rPr>
          <w:spacing w:val="-8"/>
          <w:sz w:val="16"/>
        </w:rPr>
        <w:t xml:space="preserve"> </w:t>
      </w:r>
      <w:r>
        <w:rPr>
          <w:sz w:val="16"/>
        </w:rPr>
        <w:t>12.5%</w:t>
      </w:r>
      <w:r>
        <w:rPr>
          <w:spacing w:val="-5"/>
          <w:sz w:val="16"/>
        </w:rPr>
        <w:t xml:space="preserve"> </w:t>
      </w:r>
      <w:r>
        <w:rPr>
          <w:sz w:val="16"/>
        </w:rPr>
        <w:t>de</w:t>
      </w:r>
      <w:r>
        <w:rPr>
          <w:spacing w:val="-5"/>
          <w:sz w:val="16"/>
        </w:rPr>
        <w:t xml:space="preserve"> </w:t>
      </w:r>
      <w:r>
        <w:rPr>
          <w:sz w:val="16"/>
        </w:rPr>
        <w:t>las</w:t>
      </w:r>
      <w:r>
        <w:rPr>
          <w:spacing w:val="-5"/>
          <w:sz w:val="16"/>
        </w:rPr>
        <w:t xml:space="preserve"> </w:t>
      </w:r>
      <w:r>
        <w:rPr>
          <w:sz w:val="16"/>
        </w:rPr>
        <w:t>mujeres</w:t>
      </w:r>
      <w:r>
        <w:rPr>
          <w:spacing w:val="-5"/>
          <w:sz w:val="16"/>
        </w:rPr>
        <w:t xml:space="preserve"> </w:t>
      </w:r>
      <w:r>
        <w:rPr>
          <w:sz w:val="16"/>
        </w:rPr>
        <w:t>blancas</w:t>
      </w:r>
      <w:r>
        <w:rPr>
          <w:spacing w:val="-5"/>
          <w:sz w:val="16"/>
        </w:rPr>
        <w:t xml:space="preserve"> </w:t>
      </w:r>
      <w:r>
        <w:rPr>
          <w:sz w:val="16"/>
        </w:rPr>
        <w:t>que</w:t>
      </w:r>
      <w:r>
        <w:rPr>
          <w:spacing w:val="-6"/>
          <w:sz w:val="16"/>
        </w:rPr>
        <w:t xml:space="preserve"> </w:t>
      </w:r>
      <w:r>
        <w:rPr>
          <w:sz w:val="16"/>
        </w:rPr>
        <w:t>son</w:t>
      </w:r>
      <w:r>
        <w:rPr>
          <w:spacing w:val="-6"/>
          <w:sz w:val="16"/>
        </w:rPr>
        <w:t xml:space="preserve"> </w:t>
      </w:r>
      <w:r>
        <w:rPr>
          <w:sz w:val="16"/>
        </w:rPr>
        <w:t>empleadas</w:t>
      </w:r>
      <w:r>
        <w:rPr>
          <w:spacing w:val="-7"/>
          <w:sz w:val="16"/>
        </w:rPr>
        <w:t xml:space="preserve"> </w:t>
      </w:r>
      <w:r>
        <w:rPr>
          <w:sz w:val="16"/>
        </w:rPr>
        <w:t>domésticas</w:t>
      </w:r>
      <w:r>
        <w:rPr>
          <w:spacing w:val="-5"/>
          <w:sz w:val="16"/>
        </w:rPr>
        <w:t xml:space="preserve"> </w:t>
      </w:r>
      <w:r>
        <w:rPr>
          <w:sz w:val="16"/>
        </w:rPr>
        <w:t>y</w:t>
      </w:r>
      <w:r>
        <w:rPr>
          <w:spacing w:val="-7"/>
          <w:sz w:val="16"/>
        </w:rPr>
        <w:t xml:space="preserve"> </w:t>
      </w:r>
      <w:r>
        <w:rPr>
          <w:sz w:val="16"/>
        </w:rPr>
        <w:t>de</w:t>
      </w:r>
      <w:r>
        <w:rPr>
          <w:spacing w:val="-5"/>
          <w:sz w:val="16"/>
        </w:rPr>
        <w:t xml:space="preserve"> </w:t>
      </w:r>
      <w:r>
        <w:rPr>
          <w:sz w:val="16"/>
        </w:rPr>
        <w:t>las</w:t>
      </w:r>
      <w:r>
        <w:rPr>
          <w:spacing w:val="-5"/>
          <w:sz w:val="16"/>
        </w:rPr>
        <w:t xml:space="preserve"> </w:t>
      </w:r>
      <w:r>
        <w:rPr>
          <w:sz w:val="16"/>
        </w:rPr>
        <w:t>cuales el 30% están debidamente registradas. El ingreso mensual promedio de las mujeres afrodescendientes en Brasil en 2003 era de casi la mitad del monto que recibían las mujeres blancas. Entre los hombres blancos y las mujeres afrodescendientes hay una d</w:t>
      </w:r>
      <w:r>
        <w:rPr>
          <w:sz w:val="16"/>
        </w:rPr>
        <w:t>iferencia de casi 9 puntos porcentuales en sus tasas de desempleo. Mientras que para los hombres blancos esta cifra es del 8,3%, para las mujeres afrodescendientes se eleva al 16,6%. De las mujeres brasileñas empleadas de 16 años o más, el 17% son trabajad</w:t>
      </w:r>
      <w:r>
        <w:rPr>
          <w:sz w:val="16"/>
        </w:rPr>
        <w:t>oras domésticas y, entre ellas, la gran mayoría son mujeres afrodescendientes que, en general, no disfrutan de ningún derecho laboral, ya que no trabajan con un contrato</w:t>
      </w:r>
      <w:r>
        <w:rPr>
          <w:spacing w:val="-4"/>
          <w:sz w:val="16"/>
        </w:rPr>
        <w:t xml:space="preserve"> </w:t>
      </w:r>
      <w:r>
        <w:rPr>
          <w:sz w:val="16"/>
        </w:rPr>
        <w:t>formal.</w:t>
      </w:r>
      <w:r>
        <w:rPr>
          <w:spacing w:val="-2"/>
          <w:sz w:val="16"/>
        </w:rPr>
        <w:t xml:space="preserve"> </w:t>
      </w:r>
      <w:r>
        <w:rPr>
          <w:sz w:val="16"/>
        </w:rPr>
        <w:t>Los</w:t>
      </w:r>
      <w:r>
        <w:rPr>
          <w:spacing w:val="-5"/>
          <w:sz w:val="16"/>
        </w:rPr>
        <w:t xml:space="preserve"> </w:t>
      </w:r>
      <w:r>
        <w:rPr>
          <w:sz w:val="16"/>
        </w:rPr>
        <w:t>datos</w:t>
      </w:r>
      <w:r>
        <w:rPr>
          <w:spacing w:val="-4"/>
          <w:sz w:val="16"/>
        </w:rPr>
        <w:t xml:space="preserve"> </w:t>
      </w:r>
      <w:r>
        <w:rPr>
          <w:sz w:val="16"/>
        </w:rPr>
        <w:t>también</w:t>
      </w:r>
      <w:r>
        <w:rPr>
          <w:spacing w:val="-3"/>
          <w:sz w:val="16"/>
        </w:rPr>
        <w:t xml:space="preserve"> </w:t>
      </w:r>
      <w:r>
        <w:rPr>
          <w:sz w:val="16"/>
        </w:rPr>
        <w:t>muestran</w:t>
      </w:r>
      <w:r>
        <w:rPr>
          <w:spacing w:val="-5"/>
          <w:sz w:val="16"/>
        </w:rPr>
        <w:t xml:space="preserve"> </w:t>
      </w:r>
      <w:r>
        <w:rPr>
          <w:sz w:val="16"/>
        </w:rPr>
        <w:t>que</w:t>
      </w:r>
      <w:r>
        <w:rPr>
          <w:spacing w:val="-2"/>
          <w:sz w:val="16"/>
        </w:rPr>
        <w:t xml:space="preserve"> </w:t>
      </w:r>
      <w:r>
        <w:rPr>
          <w:sz w:val="16"/>
        </w:rPr>
        <w:t>las</w:t>
      </w:r>
      <w:r>
        <w:rPr>
          <w:spacing w:val="-1"/>
          <w:sz w:val="16"/>
        </w:rPr>
        <w:t xml:space="preserve"> </w:t>
      </w:r>
      <w:r>
        <w:rPr>
          <w:sz w:val="16"/>
        </w:rPr>
        <w:t>mujeres</w:t>
      </w:r>
      <w:r>
        <w:rPr>
          <w:spacing w:val="-2"/>
          <w:sz w:val="16"/>
        </w:rPr>
        <w:t xml:space="preserve"> </w:t>
      </w:r>
      <w:r>
        <w:rPr>
          <w:sz w:val="16"/>
        </w:rPr>
        <w:t>afrodescendientes</w:t>
      </w:r>
      <w:r>
        <w:rPr>
          <w:spacing w:val="-2"/>
          <w:sz w:val="16"/>
        </w:rPr>
        <w:t xml:space="preserve"> </w:t>
      </w:r>
      <w:r>
        <w:rPr>
          <w:sz w:val="16"/>
        </w:rPr>
        <w:t>ganan</w:t>
      </w:r>
      <w:r>
        <w:rPr>
          <w:spacing w:val="-5"/>
          <w:sz w:val="16"/>
        </w:rPr>
        <w:t xml:space="preserve"> </w:t>
      </w:r>
      <w:r>
        <w:rPr>
          <w:sz w:val="16"/>
        </w:rPr>
        <w:t>un</w:t>
      </w:r>
      <w:r>
        <w:rPr>
          <w:spacing w:val="-3"/>
          <w:sz w:val="16"/>
        </w:rPr>
        <w:t xml:space="preserve"> </w:t>
      </w:r>
      <w:r>
        <w:rPr>
          <w:sz w:val="16"/>
        </w:rPr>
        <w:t>65%</w:t>
      </w:r>
      <w:r>
        <w:rPr>
          <w:spacing w:val="-5"/>
          <w:sz w:val="16"/>
        </w:rPr>
        <w:t xml:space="preserve"> </w:t>
      </w:r>
      <w:r>
        <w:rPr>
          <w:sz w:val="16"/>
        </w:rPr>
        <w:t>de</w:t>
      </w:r>
      <w:r>
        <w:rPr>
          <w:spacing w:val="-1"/>
          <w:sz w:val="16"/>
        </w:rPr>
        <w:t xml:space="preserve"> </w:t>
      </w:r>
      <w:r>
        <w:rPr>
          <w:sz w:val="16"/>
        </w:rPr>
        <w:t>l</w:t>
      </w:r>
      <w:r>
        <w:rPr>
          <w:sz w:val="16"/>
        </w:rPr>
        <w:t>o</w:t>
      </w:r>
      <w:r>
        <w:rPr>
          <w:spacing w:val="-2"/>
          <w:sz w:val="16"/>
        </w:rPr>
        <w:t xml:space="preserve"> </w:t>
      </w:r>
      <w:r>
        <w:rPr>
          <w:sz w:val="16"/>
        </w:rPr>
        <w:t>que</w:t>
      </w:r>
      <w:r>
        <w:rPr>
          <w:spacing w:val="-4"/>
          <w:sz w:val="16"/>
        </w:rPr>
        <w:t xml:space="preserve"> </w:t>
      </w:r>
      <w:r>
        <w:rPr>
          <w:sz w:val="16"/>
        </w:rPr>
        <w:t>ganan</w:t>
      </w:r>
      <w:r>
        <w:rPr>
          <w:spacing w:val="-4"/>
          <w:sz w:val="16"/>
        </w:rPr>
        <w:t xml:space="preserve"> </w:t>
      </w:r>
      <w:r>
        <w:rPr>
          <w:sz w:val="16"/>
        </w:rPr>
        <w:t xml:space="preserve">los hombres del mismo grupo racial y solo un 30% del ingreso promedio de los hombres blancos. </w:t>
      </w:r>
      <w:r>
        <w:rPr>
          <w:i/>
          <w:sz w:val="16"/>
        </w:rPr>
        <w:t xml:space="preserve">Cfr. </w:t>
      </w:r>
      <w:r>
        <w:rPr>
          <w:sz w:val="16"/>
        </w:rPr>
        <w:t>Retrato de las Desigualdades: Género y Raza, UNIFEM e IPEA, Brasil, 2003. Disponible en: https</w:t>
      </w:r>
      <w:hyperlink r:id="rId29">
        <w:r>
          <w:rPr>
            <w:sz w:val="16"/>
          </w:rPr>
          <w:t>://w</w:t>
        </w:r>
      </w:hyperlink>
      <w:r>
        <w:rPr>
          <w:sz w:val="16"/>
        </w:rPr>
        <w:t>ww</w:t>
      </w:r>
      <w:hyperlink r:id="rId30">
        <w:r>
          <w:rPr>
            <w:sz w:val="16"/>
          </w:rPr>
          <w:t>.i</w:t>
        </w:r>
      </w:hyperlink>
      <w:r>
        <w:rPr>
          <w:sz w:val="16"/>
        </w:rPr>
        <w:t>p</w:t>
      </w:r>
      <w:hyperlink r:id="rId31">
        <w:r>
          <w:rPr>
            <w:sz w:val="16"/>
          </w:rPr>
          <w:t>ea.gov.br/retrato/pdf/primeiraedicao.pdf.</w:t>
        </w:r>
      </w:hyperlink>
    </w:p>
    <w:p w14:paraId="0978464D" w14:textId="77777777" w:rsidR="00467FCA" w:rsidRDefault="00467FCA">
      <w:pPr>
        <w:jc w:val="both"/>
        <w:rPr>
          <w:sz w:val="16"/>
        </w:rPr>
        <w:sectPr w:rsidR="00467FCA">
          <w:pgSz w:w="12240" w:h="15840"/>
          <w:pgMar w:top="1360" w:right="1320" w:bottom="1220" w:left="1320" w:header="0" w:footer="1037" w:gutter="0"/>
          <w:cols w:space="720"/>
        </w:sectPr>
      </w:pPr>
    </w:p>
    <w:p w14:paraId="662D9F28" w14:textId="77777777" w:rsidR="00467FCA" w:rsidRDefault="001B68EB">
      <w:pPr>
        <w:pStyle w:val="Textoindependiente"/>
        <w:spacing w:before="80"/>
        <w:ind w:left="119" w:right="118"/>
        <w:jc w:val="both"/>
      </w:pPr>
      <w:r>
        <w:t xml:space="preserve">señaló que la igualdad </w:t>
      </w:r>
      <w:r>
        <w:t>entre hombres y mujeres en el mercado laboral es un problema en Brasil y que “le preocupa[ba] que los estereotipos relacionados con el género y la raza contribuyan a la segregación de mujeres afrodescendientes e indígenas en los empleos de menor calidad”</w:t>
      </w:r>
      <w:hyperlink w:anchor="_bookmark341" w:history="1">
        <w:r>
          <w:rPr>
            <w:position w:val="7"/>
            <w:sz w:val="13"/>
          </w:rPr>
          <w:t>292</w:t>
        </w:r>
      </w:hyperlink>
      <w:r>
        <w:t>.</w:t>
      </w:r>
    </w:p>
    <w:p w14:paraId="7F3FC1A8" w14:textId="77777777" w:rsidR="00467FCA" w:rsidRDefault="00467FCA">
      <w:pPr>
        <w:pStyle w:val="Textoindependiente"/>
        <w:spacing w:before="11"/>
        <w:rPr>
          <w:sz w:val="19"/>
        </w:rPr>
      </w:pPr>
    </w:p>
    <w:p w14:paraId="4BF53B19" w14:textId="77777777" w:rsidR="00467FCA" w:rsidRDefault="001B68EB">
      <w:pPr>
        <w:pStyle w:val="Prrafodelista"/>
        <w:numPr>
          <w:ilvl w:val="0"/>
          <w:numId w:val="50"/>
        </w:numPr>
        <w:tabs>
          <w:tab w:val="left" w:pos="687"/>
        </w:tabs>
        <w:ind w:left="119" w:right="117" w:firstLine="0"/>
        <w:jc w:val="both"/>
        <w:rPr>
          <w:sz w:val="20"/>
        </w:rPr>
      </w:pPr>
      <w:r>
        <w:rPr>
          <w:sz w:val="20"/>
        </w:rPr>
        <w:t>Por</w:t>
      </w:r>
      <w:r>
        <w:rPr>
          <w:spacing w:val="-10"/>
          <w:sz w:val="20"/>
        </w:rPr>
        <w:t xml:space="preserve"> </w:t>
      </w:r>
      <w:r>
        <w:rPr>
          <w:sz w:val="20"/>
        </w:rPr>
        <w:t>su</w:t>
      </w:r>
      <w:r>
        <w:rPr>
          <w:spacing w:val="-9"/>
          <w:sz w:val="20"/>
        </w:rPr>
        <w:t xml:space="preserve"> </w:t>
      </w:r>
      <w:r>
        <w:rPr>
          <w:sz w:val="20"/>
        </w:rPr>
        <w:t>parte,</w:t>
      </w:r>
      <w:r>
        <w:rPr>
          <w:spacing w:val="-8"/>
          <w:sz w:val="20"/>
        </w:rPr>
        <w:t xml:space="preserve"> </w:t>
      </w:r>
      <w:r>
        <w:rPr>
          <w:sz w:val="20"/>
        </w:rPr>
        <w:t>la</w:t>
      </w:r>
      <w:r>
        <w:rPr>
          <w:spacing w:val="-11"/>
          <w:sz w:val="20"/>
        </w:rPr>
        <w:t xml:space="preserve"> </w:t>
      </w:r>
      <w:r>
        <w:rPr>
          <w:sz w:val="20"/>
        </w:rPr>
        <w:t>discriminación</w:t>
      </w:r>
      <w:r>
        <w:rPr>
          <w:spacing w:val="-9"/>
          <w:sz w:val="20"/>
        </w:rPr>
        <w:t xml:space="preserve"> </w:t>
      </w:r>
      <w:r>
        <w:rPr>
          <w:sz w:val="20"/>
        </w:rPr>
        <w:t>contra</w:t>
      </w:r>
      <w:r>
        <w:rPr>
          <w:spacing w:val="-10"/>
          <w:sz w:val="20"/>
        </w:rPr>
        <w:t xml:space="preserve"> </w:t>
      </w:r>
      <w:r>
        <w:rPr>
          <w:sz w:val="20"/>
        </w:rPr>
        <w:t>la</w:t>
      </w:r>
      <w:r>
        <w:rPr>
          <w:spacing w:val="-9"/>
          <w:sz w:val="20"/>
        </w:rPr>
        <w:t xml:space="preserve"> </w:t>
      </w:r>
      <w:r>
        <w:rPr>
          <w:sz w:val="20"/>
        </w:rPr>
        <w:t>población</w:t>
      </w:r>
      <w:r>
        <w:rPr>
          <w:spacing w:val="-9"/>
          <w:sz w:val="20"/>
        </w:rPr>
        <w:t xml:space="preserve"> </w:t>
      </w:r>
      <w:r>
        <w:rPr>
          <w:sz w:val="20"/>
        </w:rPr>
        <w:t>negra</w:t>
      </w:r>
      <w:r>
        <w:rPr>
          <w:spacing w:val="-9"/>
          <w:sz w:val="20"/>
        </w:rPr>
        <w:t xml:space="preserve"> </w:t>
      </w:r>
      <w:r>
        <w:rPr>
          <w:sz w:val="20"/>
        </w:rPr>
        <w:t>en</w:t>
      </w:r>
      <w:r>
        <w:rPr>
          <w:spacing w:val="-9"/>
          <w:sz w:val="20"/>
        </w:rPr>
        <w:t xml:space="preserve"> </w:t>
      </w:r>
      <w:r>
        <w:rPr>
          <w:sz w:val="20"/>
        </w:rPr>
        <w:t>Brasil</w:t>
      </w:r>
      <w:r>
        <w:rPr>
          <w:spacing w:val="-10"/>
          <w:sz w:val="20"/>
        </w:rPr>
        <w:t xml:space="preserve"> </w:t>
      </w:r>
      <w:r>
        <w:rPr>
          <w:sz w:val="20"/>
        </w:rPr>
        <w:t>ha</w:t>
      </w:r>
      <w:r>
        <w:rPr>
          <w:spacing w:val="-9"/>
          <w:sz w:val="20"/>
        </w:rPr>
        <w:t xml:space="preserve"> </w:t>
      </w:r>
      <w:r>
        <w:rPr>
          <w:sz w:val="20"/>
        </w:rPr>
        <w:t>sido</w:t>
      </w:r>
      <w:r>
        <w:rPr>
          <w:spacing w:val="-11"/>
          <w:sz w:val="20"/>
        </w:rPr>
        <w:t xml:space="preserve"> </w:t>
      </w:r>
      <w:r>
        <w:rPr>
          <w:sz w:val="20"/>
        </w:rPr>
        <w:t>una</w:t>
      </w:r>
      <w:r>
        <w:rPr>
          <w:spacing w:val="-10"/>
          <w:sz w:val="20"/>
        </w:rPr>
        <w:t xml:space="preserve"> </w:t>
      </w:r>
      <w:r>
        <w:rPr>
          <w:sz w:val="20"/>
        </w:rPr>
        <w:t xml:space="preserve">constante histórica. De acuerdo con el Comité de los Derechos del Niño, según datos de 2006, “[e]n el Brasil entre el 10% más rico de la población, únicamente el 18% son personas de descendencia africana (mestizos o negros); entre el 10% más pobre, el 71% </w:t>
      </w:r>
      <w:r>
        <w:rPr>
          <w:sz w:val="20"/>
        </w:rPr>
        <w:t>son negros o mestizos”</w:t>
      </w:r>
      <w:hyperlink w:anchor="_bookmark342" w:history="1">
        <w:r>
          <w:rPr>
            <w:position w:val="7"/>
            <w:sz w:val="13"/>
          </w:rPr>
          <w:t>293</w:t>
        </w:r>
      </w:hyperlink>
      <w:r>
        <w:rPr>
          <w:sz w:val="20"/>
        </w:rPr>
        <w:t>. Por su parte, el Comité para la Eliminación de la Discriminación Racial le ha reiterado al Estado, en diversas oportunidades, su preocupación por desigualdad que afecta a las comunidades negras y m</w:t>
      </w:r>
      <w:r>
        <w:rPr>
          <w:sz w:val="20"/>
        </w:rPr>
        <w:t>estizas y por su impacto en el ejercicio de otros</w:t>
      </w:r>
      <w:r>
        <w:rPr>
          <w:spacing w:val="-25"/>
          <w:sz w:val="20"/>
        </w:rPr>
        <w:t xml:space="preserve"> </w:t>
      </w:r>
      <w:r>
        <w:rPr>
          <w:sz w:val="20"/>
        </w:rPr>
        <w:t>derechos</w:t>
      </w:r>
      <w:hyperlink w:anchor="_bookmark343" w:history="1">
        <w:r>
          <w:rPr>
            <w:position w:val="7"/>
            <w:sz w:val="13"/>
          </w:rPr>
          <w:t>294</w:t>
        </w:r>
      </w:hyperlink>
      <w:r>
        <w:rPr>
          <w:sz w:val="20"/>
        </w:rPr>
        <w:t>.</w:t>
      </w:r>
    </w:p>
    <w:p w14:paraId="19E90BAC" w14:textId="77777777" w:rsidR="00467FCA" w:rsidRDefault="00467FCA">
      <w:pPr>
        <w:pStyle w:val="Textoindependiente"/>
        <w:spacing w:before="9"/>
        <w:rPr>
          <w:sz w:val="22"/>
        </w:rPr>
      </w:pPr>
    </w:p>
    <w:p w14:paraId="1C7173F1" w14:textId="77777777" w:rsidR="00467FCA" w:rsidRDefault="001B68EB">
      <w:pPr>
        <w:pStyle w:val="Prrafodelista"/>
        <w:numPr>
          <w:ilvl w:val="0"/>
          <w:numId w:val="50"/>
        </w:numPr>
        <w:tabs>
          <w:tab w:val="left" w:pos="687"/>
        </w:tabs>
        <w:ind w:left="119" w:right="116" w:firstLine="0"/>
        <w:jc w:val="both"/>
        <w:rPr>
          <w:sz w:val="20"/>
        </w:rPr>
      </w:pPr>
      <w:r>
        <w:rPr>
          <w:sz w:val="20"/>
        </w:rPr>
        <w:t>En relación con la situación de las niñas y niños, la Comisión Interamericana encontró que en Brasil, para 1997, un año antes de la explosión, el ausentismo esc</w:t>
      </w:r>
      <w:r>
        <w:rPr>
          <w:sz w:val="20"/>
        </w:rPr>
        <w:t>olar de los niños y niñas</w:t>
      </w:r>
      <w:r>
        <w:rPr>
          <w:spacing w:val="-9"/>
          <w:sz w:val="20"/>
        </w:rPr>
        <w:t xml:space="preserve"> </w:t>
      </w:r>
      <w:r>
        <w:rPr>
          <w:sz w:val="20"/>
        </w:rPr>
        <w:t>afrodescendientes</w:t>
      </w:r>
      <w:r>
        <w:rPr>
          <w:spacing w:val="-6"/>
          <w:sz w:val="20"/>
        </w:rPr>
        <w:t xml:space="preserve"> </w:t>
      </w:r>
      <w:r>
        <w:rPr>
          <w:sz w:val="20"/>
        </w:rPr>
        <w:t>se</w:t>
      </w:r>
      <w:r>
        <w:rPr>
          <w:spacing w:val="-7"/>
          <w:sz w:val="20"/>
        </w:rPr>
        <w:t xml:space="preserve"> </w:t>
      </w:r>
      <w:r>
        <w:rPr>
          <w:sz w:val="20"/>
        </w:rPr>
        <w:t>debía</w:t>
      </w:r>
      <w:r>
        <w:rPr>
          <w:spacing w:val="-6"/>
          <w:sz w:val="20"/>
        </w:rPr>
        <w:t xml:space="preserve"> </w:t>
      </w:r>
      <w:r>
        <w:rPr>
          <w:sz w:val="20"/>
        </w:rPr>
        <w:t>a</w:t>
      </w:r>
      <w:r>
        <w:rPr>
          <w:spacing w:val="-7"/>
          <w:sz w:val="20"/>
        </w:rPr>
        <w:t xml:space="preserve"> </w:t>
      </w:r>
      <w:r>
        <w:rPr>
          <w:sz w:val="20"/>
        </w:rPr>
        <w:t>su</w:t>
      </w:r>
      <w:r>
        <w:rPr>
          <w:spacing w:val="-5"/>
          <w:sz w:val="20"/>
        </w:rPr>
        <w:t xml:space="preserve"> </w:t>
      </w:r>
      <w:r>
        <w:rPr>
          <w:sz w:val="20"/>
        </w:rPr>
        <w:t>necesidad</w:t>
      </w:r>
      <w:r>
        <w:rPr>
          <w:spacing w:val="-5"/>
          <w:sz w:val="20"/>
        </w:rPr>
        <w:t xml:space="preserve"> </w:t>
      </w:r>
      <w:r>
        <w:rPr>
          <w:sz w:val="20"/>
        </w:rPr>
        <w:t>de</w:t>
      </w:r>
      <w:r>
        <w:rPr>
          <w:spacing w:val="-7"/>
          <w:sz w:val="20"/>
        </w:rPr>
        <w:t xml:space="preserve"> </w:t>
      </w:r>
      <w:r>
        <w:rPr>
          <w:sz w:val="20"/>
        </w:rPr>
        <w:t>contribuir</w:t>
      </w:r>
      <w:r>
        <w:rPr>
          <w:spacing w:val="-7"/>
          <w:sz w:val="20"/>
        </w:rPr>
        <w:t xml:space="preserve"> </w:t>
      </w:r>
      <w:r>
        <w:rPr>
          <w:sz w:val="20"/>
        </w:rPr>
        <w:t>con</w:t>
      </w:r>
      <w:r>
        <w:rPr>
          <w:spacing w:val="-4"/>
          <w:sz w:val="20"/>
        </w:rPr>
        <w:t xml:space="preserve"> </w:t>
      </w:r>
      <w:r>
        <w:rPr>
          <w:sz w:val="20"/>
        </w:rPr>
        <w:t>el</w:t>
      </w:r>
      <w:r>
        <w:rPr>
          <w:spacing w:val="-8"/>
          <w:sz w:val="20"/>
        </w:rPr>
        <w:t xml:space="preserve"> </w:t>
      </w:r>
      <w:r>
        <w:rPr>
          <w:sz w:val="20"/>
        </w:rPr>
        <w:t>ingreso</w:t>
      </w:r>
      <w:r>
        <w:rPr>
          <w:spacing w:val="-9"/>
          <w:sz w:val="20"/>
        </w:rPr>
        <w:t xml:space="preserve"> </w:t>
      </w:r>
      <w:r>
        <w:rPr>
          <w:sz w:val="20"/>
        </w:rPr>
        <w:t>familiar</w:t>
      </w:r>
      <w:hyperlink w:anchor="_bookmark344" w:history="1">
        <w:r>
          <w:rPr>
            <w:position w:val="7"/>
            <w:sz w:val="13"/>
          </w:rPr>
          <w:t>295</w:t>
        </w:r>
        <w:r>
          <w:rPr>
            <w:spacing w:val="16"/>
            <w:position w:val="7"/>
            <w:sz w:val="13"/>
          </w:rPr>
          <w:t xml:space="preserve"> </w:t>
        </w:r>
      </w:hyperlink>
      <w:r>
        <w:rPr>
          <w:sz w:val="20"/>
        </w:rPr>
        <w:t>y</w:t>
      </w:r>
      <w:r>
        <w:rPr>
          <w:spacing w:val="-8"/>
          <w:sz w:val="20"/>
        </w:rPr>
        <w:t xml:space="preserve"> </w:t>
      </w:r>
      <w:r>
        <w:rPr>
          <w:sz w:val="20"/>
        </w:rPr>
        <w:t>que era común que las niñas y los niños trabajaran en la industria, con productos tóxicos e insalubres y en condiciones peligrosas</w:t>
      </w:r>
      <w:hyperlink w:anchor="_bookmark345" w:history="1">
        <w:r>
          <w:rPr>
            <w:position w:val="7"/>
            <w:sz w:val="13"/>
          </w:rPr>
          <w:t>296</w:t>
        </w:r>
      </w:hyperlink>
      <w:r>
        <w:rPr>
          <w:sz w:val="20"/>
        </w:rPr>
        <w:t>, pese a que la Constitución de Brasil prohibía el trabajo de menores de 16, salvo que se t</w:t>
      </w:r>
      <w:r>
        <w:rPr>
          <w:sz w:val="20"/>
        </w:rPr>
        <w:t xml:space="preserve">ratara de aprendices y el trabajo de menores de 18 años en condiciones peligrosas e insalubres. Además, de acuerdo con uno de los peritajes presentados ante la Corte, el trabajo infantil es un fenómeno de alta incidencia en Brasil. Según cifras oficiales, </w:t>
      </w:r>
      <w:r>
        <w:rPr>
          <w:sz w:val="20"/>
        </w:rPr>
        <w:t>para 2015 había 2,7 millones de niños y adolescentes trabajando, la mayoría de ellos, niños afrodescendientes que viven en zonas urbanas y realizan un trabajo remunerado. Además, el trabajo infantil afecta a los grupos particularmente</w:t>
      </w:r>
      <w:r>
        <w:rPr>
          <w:spacing w:val="-25"/>
          <w:sz w:val="20"/>
        </w:rPr>
        <w:t xml:space="preserve"> </w:t>
      </w:r>
      <w:r>
        <w:rPr>
          <w:sz w:val="20"/>
        </w:rPr>
        <w:t>vulnerables</w:t>
      </w:r>
      <w:hyperlink w:anchor="_bookmark346" w:history="1">
        <w:r>
          <w:rPr>
            <w:position w:val="7"/>
            <w:sz w:val="13"/>
          </w:rPr>
          <w:t>297</w:t>
        </w:r>
      </w:hyperlink>
      <w:r>
        <w:rPr>
          <w:sz w:val="20"/>
        </w:rPr>
        <w:t>.</w:t>
      </w:r>
    </w:p>
    <w:p w14:paraId="4779AFB4" w14:textId="77777777" w:rsidR="00467FCA" w:rsidRDefault="00467FCA">
      <w:pPr>
        <w:pStyle w:val="Textoindependiente"/>
        <w:spacing w:before="2"/>
      </w:pPr>
    </w:p>
    <w:p w14:paraId="22566D5A" w14:textId="77777777" w:rsidR="00467FCA" w:rsidRDefault="001B68EB">
      <w:pPr>
        <w:pStyle w:val="Prrafodelista"/>
        <w:numPr>
          <w:ilvl w:val="0"/>
          <w:numId w:val="50"/>
        </w:numPr>
        <w:tabs>
          <w:tab w:val="left" w:pos="687"/>
        </w:tabs>
        <w:ind w:left="119" w:right="117" w:firstLine="0"/>
        <w:jc w:val="both"/>
        <w:rPr>
          <w:sz w:val="20"/>
        </w:rPr>
      </w:pPr>
      <w:r>
        <w:rPr>
          <w:sz w:val="20"/>
        </w:rPr>
        <w:t>Ahora bien, las desventajas económicas y sociales, cuando se relacionan con las referidas</w:t>
      </w:r>
      <w:r>
        <w:rPr>
          <w:spacing w:val="-21"/>
          <w:sz w:val="20"/>
        </w:rPr>
        <w:t xml:space="preserve"> </w:t>
      </w:r>
      <w:r>
        <w:rPr>
          <w:sz w:val="20"/>
        </w:rPr>
        <w:t>a</w:t>
      </w:r>
      <w:r>
        <w:rPr>
          <w:spacing w:val="-18"/>
          <w:sz w:val="20"/>
        </w:rPr>
        <w:t xml:space="preserve"> </w:t>
      </w:r>
      <w:r>
        <w:rPr>
          <w:sz w:val="20"/>
        </w:rPr>
        <w:t>grupos</w:t>
      </w:r>
      <w:r>
        <w:rPr>
          <w:spacing w:val="-21"/>
          <w:sz w:val="20"/>
        </w:rPr>
        <w:t xml:space="preserve"> </w:t>
      </w:r>
      <w:r>
        <w:rPr>
          <w:sz w:val="20"/>
        </w:rPr>
        <w:t>poblacionales</w:t>
      </w:r>
      <w:r>
        <w:rPr>
          <w:spacing w:val="-21"/>
          <w:sz w:val="20"/>
        </w:rPr>
        <w:t xml:space="preserve"> </w:t>
      </w:r>
      <w:r>
        <w:rPr>
          <w:sz w:val="20"/>
        </w:rPr>
        <w:t>pueden</w:t>
      </w:r>
      <w:r>
        <w:rPr>
          <w:spacing w:val="-19"/>
          <w:sz w:val="20"/>
        </w:rPr>
        <w:t xml:space="preserve"> </w:t>
      </w:r>
      <w:r>
        <w:rPr>
          <w:sz w:val="20"/>
        </w:rPr>
        <w:t>imponer</w:t>
      </w:r>
      <w:r>
        <w:rPr>
          <w:spacing w:val="-21"/>
          <w:sz w:val="20"/>
        </w:rPr>
        <w:t xml:space="preserve"> </w:t>
      </w:r>
      <w:r>
        <w:rPr>
          <w:sz w:val="20"/>
        </w:rPr>
        <w:t>mayores</w:t>
      </w:r>
      <w:r>
        <w:rPr>
          <w:spacing w:val="-21"/>
          <w:sz w:val="20"/>
        </w:rPr>
        <w:t xml:space="preserve"> </w:t>
      </w:r>
      <w:r>
        <w:rPr>
          <w:sz w:val="20"/>
        </w:rPr>
        <w:t>desventajas.</w:t>
      </w:r>
      <w:r>
        <w:rPr>
          <w:spacing w:val="-18"/>
          <w:sz w:val="20"/>
        </w:rPr>
        <w:t xml:space="preserve"> </w:t>
      </w:r>
      <w:r>
        <w:rPr>
          <w:sz w:val="20"/>
        </w:rPr>
        <w:t>Así,</w:t>
      </w:r>
      <w:r>
        <w:rPr>
          <w:spacing w:val="-20"/>
          <w:sz w:val="20"/>
        </w:rPr>
        <w:t xml:space="preserve"> </w:t>
      </w:r>
      <w:r>
        <w:rPr>
          <w:sz w:val="20"/>
        </w:rPr>
        <w:t>por</w:t>
      </w:r>
      <w:r>
        <w:rPr>
          <w:spacing w:val="-18"/>
          <w:sz w:val="20"/>
        </w:rPr>
        <w:t xml:space="preserve"> </w:t>
      </w:r>
      <w:r>
        <w:rPr>
          <w:sz w:val="20"/>
        </w:rPr>
        <w:t>ejemplo</w:t>
      </w:r>
      <w:r>
        <w:rPr>
          <w:spacing w:val="-21"/>
          <w:sz w:val="20"/>
        </w:rPr>
        <w:t xml:space="preserve"> </w:t>
      </w:r>
      <w:r>
        <w:rPr>
          <w:sz w:val="20"/>
        </w:rPr>
        <w:t>“[e]n muchos</w:t>
      </w:r>
      <w:r>
        <w:rPr>
          <w:spacing w:val="-9"/>
          <w:sz w:val="20"/>
        </w:rPr>
        <w:t xml:space="preserve"> </w:t>
      </w:r>
      <w:r>
        <w:rPr>
          <w:sz w:val="20"/>
        </w:rPr>
        <w:t>países,</w:t>
      </w:r>
      <w:r>
        <w:rPr>
          <w:spacing w:val="-6"/>
          <w:sz w:val="20"/>
        </w:rPr>
        <w:t xml:space="preserve"> </w:t>
      </w:r>
      <w:r>
        <w:rPr>
          <w:sz w:val="20"/>
        </w:rPr>
        <w:t>el</w:t>
      </w:r>
      <w:r>
        <w:rPr>
          <w:spacing w:val="-4"/>
          <w:sz w:val="20"/>
        </w:rPr>
        <w:t xml:space="preserve"> </w:t>
      </w:r>
      <w:r>
        <w:rPr>
          <w:sz w:val="20"/>
        </w:rPr>
        <w:t>sector</w:t>
      </w:r>
      <w:r>
        <w:rPr>
          <w:spacing w:val="-9"/>
          <w:sz w:val="20"/>
        </w:rPr>
        <w:t xml:space="preserve"> </w:t>
      </w:r>
      <w:r>
        <w:rPr>
          <w:sz w:val="20"/>
        </w:rPr>
        <w:t>más</w:t>
      </w:r>
      <w:r>
        <w:rPr>
          <w:spacing w:val="-9"/>
          <w:sz w:val="20"/>
        </w:rPr>
        <w:t xml:space="preserve"> </w:t>
      </w:r>
      <w:r>
        <w:rPr>
          <w:sz w:val="20"/>
        </w:rPr>
        <w:t>pobre</w:t>
      </w:r>
      <w:r>
        <w:rPr>
          <w:spacing w:val="-8"/>
          <w:sz w:val="20"/>
        </w:rPr>
        <w:t xml:space="preserve"> </w:t>
      </w:r>
      <w:r>
        <w:rPr>
          <w:sz w:val="20"/>
        </w:rPr>
        <w:t>de</w:t>
      </w:r>
      <w:r>
        <w:rPr>
          <w:spacing w:val="-9"/>
          <w:sz w:val="20"/>
        </w:rPr>
        <w:t xml:space="preserve"> </w:t>
      </w:r>
      <w:r>
        <w:rPr>
          <w:sz w:val="20"/>
        </w:rPr>
        <w:t>la</w:t>
      </w:r>
      <w:r>
        <w:rPr>
          <w:spacing w:val="-4"/>
          <w:sz w:val="20"/>
        </w:rPr>
        <w:t xml:space="preserve"> </w:t>
      </w:r>
      <w:r>
        <w:rPr>
          <w:sz w:val="20"/>
        </w:rPr>
        <w:t>población</w:t>
      </w:r>
      <w:r>
        <w:rPr>
          <w:spacing w:val="-4"/>
          <w:sz w:val="20"/>
        </w:rPr>
        <w:t xml:space="preserve"> </w:t>
      </w:r>
      <w:r>
        <w:rPr>
          <w:sz w:val="20"/>
        </w:rPr>
        <w:t>coinc</w:t>
      </w:r>
      <w:r>
        <w:rPr>
          <w:sz w:val="20"/>
        </w:rPr>
        <w:t>ide</w:t>
      </w:r>
      <w:r>
        <w:rPr>
          <w:spacing w:val="-7"/>
          <w:sz w:val="20"/>
        </w:rPr>
        <w:t xml:space="preserve"> </w:t>
      </w:r>
      <w:r>
        <w:rPr>
          <w:sz w:val="20"/>
        </w:rPr>
        <w:t>con</w:t>
      </w:r>
      <w:r>
        <w:rPr>
          <w:spacing w:val="-6"/>
          <w:sz w:val="20"/>
        </w:rPr>
        <w:t xml:space="preserve"> </w:t>
      </w:r>
      <w:r>
        <w:rPr>
          <w:sz w:val="20"/>
        </w:rPr>
        <w:t>los</w:t>
      </w:r>
      <w:r>
        <w:rPr>
          <w:spacing w:val="-6"/>
          <w:sz w:val="20"/>
        </w:rPr>
        <w:t xml:space="preserve"> </w:t>
      </w:r>
      <w:r>
        <w:rPr>
          <w:sz w:val="20"/>
        </w:rPr>
        <w:t>grupos</w:t>
      </w:r>
      <w:r>
        <w:rPr>
          <w:spacing w:val="-6"/>
          <w:sz w:val="20"/>
        </w:rPr>
        <w:t xml:space="preserve"> </w:t>
      </w:r>
      <w:r>
        <w:rPr>
          <w:sz w:val="20"/>
        </w:rPr>
        <w:t>sociales</w:t>
      </w:r>
      <w:r>
        <w:rPr>
          <w:spacing w:val="-5"/>
          <w:sz w:val="20"/>
        </w:rPr>
        <w:t xml:space="preserve"> </w:t>
      </w:r>
      <w:r>
        <w:rPr>
          <w:sz w:val="20"/>
        </w:rPr>
        <w:t>y</w:t>
      </w:r>
      <w:r>
        <w:rPr>
          <w:spacing w:val="-6"/>
          <w:sz w:val="20"/>
        </w:rPr>
        <w:t xml:space="preserve"> </w:t>
      </w:r>
      <w:r>
        <w:rPr>
          <w:sz w:val="20"/>
        </w:rPr>
        <w:t>étnicos que son objeto de discriminación”</w:t>
      </w:r>
      <w:hyperlink w:anchor="_bookmark347" w:history="1">
        <w:r>
          <w:rPr>
            <w:position w:val="7"/>
            <w:sz w:val="13"/>
          </w:rPr>
          <w:t>298</w:t>
        </w:r>
      </w:hyperlink>
      <w:r>
        <w:rPr>
          <w:sz w:val="20"/>
        </w:rPr>
        <w:t>. En el mismo sentido, el Comité para la Eliminación de la</w:t>
      </w:r>
      <w:r>
        <w:rPr>
          <w:spacing w:val="-9"/>
          <w:sz w:val="20"/>
        </w:rPr>
        <w:t xml:space="preserve"> </w:t>
      </w:r>
      <w:r>
        <w:rPr>
          <w:sz w:val="20"/>
        </w:rPr>
        <w:t>Discriminación</w:t>
      </w:r>
      <w:r>
        <w:rPr>
          <w:spacing w:val="-7"/>
          <w:sz w:val="20"/>
        </w:rPr>
        <w:t xml:space="preserve"> </w:t>
      </w:r>
      <w:r>
        <w:rPr>
          <w:sz w:val="20"/>
        </w:rPr>
        <w:t>contra</w:t>
      </w:r>
      <w:r>
        <w:rPr>
          <w:spacing w:val="-6"/>
          <w:sz w:val="20"/>
        </w:rPr>
        <w:t xml:space="preserve"> </w:t>
      </w:r>
      <w:r>
        <w:rPr>
          <w:sz w:val="20"/>
        </w:rPr>
        <w:t>la</w:t>
      </w:r>
      <w:r>
        <w:rPr>
          <w:spacing w:val="-8"/>
          <w:sz w:val="20"/>
        </w:rPr>
        <w:t xml:space="preserve"> </w:t>
      </w:r>
      <w:r>
        <w:rPr>
          <w:sz w:val="20"/>
        </w:rPr>
        <w:t>Mujer,</w:t>
      </w:r>
      <w:r>
        <w:rPr>
          <w:spacing w:val="-9"/>
          <w:sz w:val="20"/>
        </w:rPr>
        <w:t xml:space="preserve"> </w:t>
      </w:r>
      <w:r>
        <w:rPr>
          <w:sz w:val="20"/>
        </w:rPr>
        <w:t>en</w:t>
      </w:r>
      <w:r>
        <w:rPr>
          <w:spacing w:val="-4"/>
          <w:sz w:val="20"/>
        </w:rPr>
        <w:t xml:space="preserve"> </w:t>
      </w:r>
      <w:r>
        <w:rPr>
          <w:sz w:val="20"/>
        </w:rPr>
        <w:t>su</w:t>
      </w:r>
      <w:r>
        <w:rPr>
          <w:spacing w:val="-8"/>
          <w:sz w:val="20"/>
        </w:rPr>
        <w:t xml:space="preserve"> </w:t>
      </w:r>
      <w:r>
        <w:rPr>
          <w:sz w:val="20"/>
        </w:rPr>
        <w:t>dictamen</w:t>
      </w:r>
      <w:r>
        <w:rPr>
          <w:spacing w:val="-7"/>
          <w:sz w:val="20"/>
        </w:rPr>
        <w:t xml:space="preserve"> </w:t>
      </w:r>
      <w:r>
        <w:rPr>
          <w:sz w:val="20"/>
        </w:rPr>
        <w:t>sobre</w:t>
      </w:r>
      <w:r>
        <w:rPr>
          <w:spacing w:val="-9"/>
          <w:sz w:val="20"/>
        </w:rPr>
        <w:t xml:space="preserve"> </w:t>
      </w:r>
      <w:r>
        <w:rPr>
          <w:sz w:val="20"/>
        </w:rPr>
        <w:t>la</w:t>
      </w:r>
      <w:r>
        <w:rPr>
          <w:spacing w:val="-9"/>
          <w:sz w:val="20"/>
        </w:rPr>
        <w:t xml:space="preserve"> </w:t>
      </w:r>
      <w:r>
        <w:rPr>
          <w:sz w:val="20"/>
        </w:rPr>
        <w:t>Comunicación</w:t>
      </w:r>
      <w:r>
        <w:rPr>
          <w:spacing w:val="-4"/>
          <w:sz w:val="20"/>
        </w:rPr>
        <w:t xml:space="preserve"> </w:t>
      </w:r>
      <w:r>
        <w:rPr>
          <w:sz w:val="20"/>
        </w:rPr>
        <w:t>No.</w:t>
      </w:r>
      <w:r>
        <w:rPr>
          <w:spacing w:val="-9"/>
          <w:sz w:val="20"/>
        </w:rPr>
        <w:t xml:space="preserve"> </w:t>
      </w:r>
      <w:r>
        <w:rPr>
          <w:sz w:val="20"/>
        </w:rPr>
        <w:t>17</w:t>
      </w:r>
      <w:r>
        <w:rPr>
          <w:spacing w:val="-7"/>
          <w:sz w:val="20"/>
        </w:rPr>
        <w:t xml:space="preserve"> </w:t>
      </w:r>
      <w:r>
        <w:rPr>
          <w:sz w:val="20"/>
        </w:rPr>
        <w:t>de</w:t>
      </w:r>
      <w:r>
        <w:rPr>
          <w:spacing w:val="-10"/>
          <w:sz w:val="20"/>
        </w:rPr>
        <w:t xml:space="preserve"> </w:t>
      </w:r>
      <w:r>
        <w:rPr>
          <w:sz w:val="20"/>
        </w:rPr>
        <w:t>2008</w:t>
      </w:r>
      <w:r>
        <w:rPr>
          <w:spacing w:val="-7"/>
          <w:sz w:val="20"/>
        </w:rPr>
        <w:t xml:space="preserve"> </w:t>
      </w:r>
      <w:r>
        <w:rPr>
          <w:sz w:val="20"/>
        </w:rPr>
        <w:t>y</w:t>
      </w:r>
      <w:r>
        <w:rPr>
          <w:spacing w:val="-9"/>
          <w:sz w:val="20"/>
        </w:rPr>
        <w:t xml:space="preserve"> </w:t>
      </w:r>
      <w:r>
        <w:rPr>
          <w:sz w:val="20"/>
        </w:rPr>
        <w:t>en referencia a sus observaciones finales sobre Brasil del 15 de agosto de 2007, destacó que la discriminación</w:t>
      </w:r>
      <w:r>
        <w:rPr>
          <w:spacing w:val="-11"/>
          <w:sz w:val="20"/>
        </w:rPr>
        <w:t xml:space="preserve"> </w:t>
      </w:r>
      <w:r>
        <w:rPr>
          <w:sz w:val="20"/>
        </w:rPr>
        <w:t>contra</w:t>
      </w:r>
      <w:r>
        <w:rPr>
          <w:spacing w:val="-11"/>
          <w:sz w:val="20"/>
        </w:rPr>
        <w:t xml:space="preserve"> </w:t>
      </w:r>
      <w:r>
        <w:rPr>
          <w:sz w:val="20"/>
        </w:rPr>
        <w:t>las</w:t>
      </w:r>
      <w:r>
        <w:rPr>
          <w:spacing w:val="-12"/>
          <w:sz w:val="20"/>
        </w:rPr>
        <w:t xml:space="preserve"> </w:t>
      </w:r>
      <w:r>
        <w:rPr>
          <w:sz w:val="20"/>
        </w:rPr>
        <w:t>mujeres</w:t>
      </w:r>
      <w:r>
        <w:rPr>
          <w:spacing w:val="-10"/>
          <w:sz w:val="20"/>
        </w:rPr>
        <w:t xml:space="preserve"> </w:t>
      </w:r>
      <w:r>
        <w:rPr>
          <w:sz w:val="20"/>
        </w:rPr>
        <w:t>en</w:t>
      </w:r>
      <w:r>
        <w:rPr>
          <w:spacing w:val="-8"/>
          <w:sz w:val="20"/>
        </w:rPr>
        <w:t xml:space="preserve"> </w:t>
      </w:r>
      <w:r>
        <w:rPr>
          <w:sz w:val="20"/>
        </w:rPr>
        <w:t>ese</w:t>
      </w:r>
      <w:r>
        <w:rPr>
          <w:spacing w:val="-11"/>
          <w:sz w:val="20"/>
        </w:rPr>
        <w:t xml:space="preserve"> </w:t>
      </w:r>
      <w:r>
        <w:rPr>
          <w:sz w:val="20"/>
        </w:rPr>
        <w:t>país</w:t>
      </w:r>
      <w:r>
        <w:rPr>
          <w:spacing w:val="-10"/>
          <w:sz w:val="20"/>
        </w:rPr>
        <w:t xml:space="preserve"> </w:t>
      </w:r>
      <w:r>
        <w:rPr>
          <w:sz w:val="20"/>
        </w:rPr>
        <w:t>es</w:t>
      </w:r>
      <w:r>
        <w:rPr>
          <w:spacing w:val="-10"/>
          <w:sz w:val="20"/>
        </w:rPr>
        <w:t xml:space="preserve"> </w:t>
      </w:r>
      <w:r>
        <w:rPr>
          <w:sz w:val="20"/>
        </w:rPr>
        <w:t>“exacerbada</w:t>
      </w:r>
      <w:r>
        <w:rPr>
          <w:spacing w:val="-11"/>
          <w:sz w:val="20"/>
        </w:rPr>
        <w:t xml:space="preserve"> </w:t>
      </w:r>
      <w:r>
        <w:rPr>
          <w:sz w:val="20"/>
        </w:rPr>
        <w:t>por</w:t>
      </w:r>
      <w:r>
        <w:rPr>
          <w:spacing w:val="-12"/>
          <w:sz w:val="20"/>
        </w:rPr>
        <w:t xml:space="preserve"> </w:t>
      </w:r>
      <w:r>
        <w:rPr>
          <w:sz w:val="20"/>
        </w:rPr>
        <w:t>las</w:t>
      </w:r>
      <w:r>
        <w:rPr>
          <w:spacing w:val="-12"/>
          <w:sz w:val="20"/>
        </w:rPr>
        <w:t xml:space="preserve"> </w:t>
      </w:r>
      <w:r>
        <w:rPr>
          <w:sz w:val="20"/>
        </w:rPr>
        <w:t>disparidades</w:t>
      </w:r>
      <w:r>
        <w:rPr>
          <w:spacing w:val="-10"/>
          <w:sz w:val="20"/>
        </w:rPr>
        <w:t xml:space="preserve"> </w:t>
      </w:r>
      <w:r>
        <w:rPr>
          <w:sz w:val="20"/>
        </w:rPr>
        <w:t xml:space="preserve">regionales, económicas y sociales” y recordó “que la discriminación contra la </w:t>
      </w:r>
      <w:r>
        <w:rPr>
          <w:sz w:val="20"/>
        </w:rPr>
        <w:t>mujer basada en el sexo y el género está indisolublemente vinculada a otros factores que afectan a la mujer, como la raza, el origen étnico, la religión o las creencias, la salud, la condición jurídica y social, la edad, la clase, la casta y la orientación</w:t>
      </w:r>
      <w:r>
        <w:rPr>
          <w:sz w:val="20"/>
        </w:rPr>
        <w:t xml:space="preserve"> sexual y la identidad de</w:t>
      </w:r>
      <w:r>
        <w:rPr>
          <w:spacing w:val="-9"/>
          <w:sz w:val="20"/>
        </w:rPr>
        <w:t xml:space="preserve"> </w:t>
      </w:r>
      <w:r>
        <w:rPr>
          <w:sz w:val="20"/>
        </w:rPr>
        <w:t>género”</w:t>
      </w:r>
      <w:hyperlink w:anchor="_bookmark348" w:history="1">
        <w:r>
          <w:rPr>
            <w:position w:val="7"/>
            <w:sz w:val="13"/>
          </w:rPr>
          <w:t>299</w:t>
        </w:r>
      </w:hyperlink>
      <w:r>
        <w:rPr>
          <w:sz w:val="20"/>
        </w:rPr>
        <w:t>.</w:t>
      </w:r>
    </w:p>
    <w:p w14:paraId="68ADCAD1" w14:textId="77777777" w:rsidR="00467FCA" w:rsidRDefault="001B68EB">
      <w:pPr>
        <w:pStyle w:val="Textoindependiente"/>
        <w:spacing w:before="11"/>
        <w:rPr>
          <w:sz w:val="26"/>
        </w:rPr>
      </w:pPr>
      <w:r>
        <w:pict w14:anchorId="2C83BD22">
          <v:shape id="_x0000_s1143" style="position:absolute;margin-left:1in;margin-top:18.65pt;width:2in;height:.1pt;z-index:-251603968;mso-wrap-distance-left:0;mso-wrap-distance-right:0;mso-position-horizontal-relative:page" coordorigin="1440,373" coordsize="2880,0" path="m1440,373r2880,e" filled="f" strokeweight=".6pt">
            <v:path arrowok="t"/>
            <w10:wrap type="topAndBottom" anchorx="page"/>
          </v:shape>
        </w:pict>
      </w:r>
    </w:p>
    <w:p w14:paraId="6E4AABCF" w14:textId="77777777" w:rsidR="00467FCA" w:rsidRDefault="001B68EB">
      <w:pPr>
        <w:tabs>
          <w:tab w:val="left" w:pos="839"/>
        </w:tabs>
        <w:spacing w:before="74"/>
        <w:ind w:left="119" w:right="115"/>
        <w:jc w:val="both"/>
        <w:rPr>
          <w:sz w:val="16"/>
        </w:rPr>
      </w:pPr>
      <w:bookmarkStart w:id="389" w:name="_bookmark341"/>
      <w:bookmarkEnd w:id="389"/>
      <w:r>
        <w:rPr>
          <w:position w:val="6"/>
          <w:sz w:val="10"/>
        </w:rPr>
        <w:t>292</w:t>
      </w:r>
      <w:r>
        <w:rPr>
          <w:position w:val="6"/>
          <w:sz w:val="10"/>
        </w:rPr>
        <w:tab/>
      </w:r>
      <w:r>
        <w:rPr>
          <w:sz w:val="16"/>
        </w:rPr>
        <w:t>Comité</w:t>
      </w:r>
      <w:r>
        <w:rPr>
          <w:spacing w:val="-11"/>
          <w:sz w:val="16"/>
        </w:rPr>
        <w:t xml:space="preserve"> </w:t>
      </w:r>
      <w:r>
        <w:rPr>
          <w:sz w:val="16"/>
        </w:rPr>
        <w:t>para</w:t>
      </w:r>
      <w:r>
        <w:rPr>
          <w:spacing w:val="-8"/>
          <w:sz w:val="16"/>
        </w:rPr>
        <w:t xml:space="preserve"> </w:t>
      </w:r>
      <w:r>
        <w:rPr>
          <w:sz w:val="16"/>
        </w:rPr>
        <w:t>la</w:t>
      </w:r>
      <w:r>
        <w:rPr>
          <w:spacing w:val="-11"/>
          <w:sz w:val="16"/>
        </w:rPr>
        <w:t xml:space="preserve"> </w:t>
      </w:r>
      <w:r>
        <w:rPr>
          <w:sz w:val="16"/>
        </w:rPr>
        <w:t>Eliminación</w:t>
      </w:r>
      <w:r>
        <w:rPr>
          <w:spacing w:val="-8"/>
          <w:sz w:val="16"/>
        </w:rPr>
        <w:t xml:space="preserve"> </w:t>
      </w:r>
      <w:r>
        <w:rPr>
          <w:sz w:val="16"/>
        </w:rPr>
        <w:t>de</w:t>
      </w:r>
      <w:r>
        <w:rPr>
          <w:spacing w:val="-10"/>
          <w:sz w:val="16"/>
        </w:rPr>
        <w:t xml:space="preserve"> </w:t>
      </w:r>
      <w:r>
        <w:rPr>
          <w:sz w:val="16"/>
        </w:rPr>
        <w:t>la</w:t>
      </w:r>
      <w:r>
        <w:rPr>
          <w:spacing w:val="-8"/>
          <w:sz w:val="16"/>
        </w:rPr>
        <w:t xml:space="preserve"> </w:t>
      </w:r>
      <w:r>
        <w:rPr>
          <w:sz w:val="16"/>
        </w:rPr>
        <w:t>Discriminación</w:t>
      </w:r>
      <w:r>
        <w:rPr>
          <w:spacing w:val="-12"/>
          <w:sz w:val="16"/>
        </w:rPr>
        <w:t xml:space="preserve"> </w:t>
      </w:r>
      <w:r>
        <w:rPr>
          <w:sz w:val="16"/>
        </w:rPr>
        <w:t>contra</w:t>
      </w:r>
      <w:r>
        <w:rPr>
          <w:spacing w:val="-10"/>
          <w:sz w:val="16"/>
        </w:rPr>
        <w:t xml:space="preserve"> </w:t>
      </w:r>
      <w:r>
        <w:rPr>
          <w:sz w:val="16"/>
        </w:rPr>
        <w:t>la</w:t>
      </w:r>
      <w:r>
        <w:rPr>
          <w:spacing w:val="-11"/>
          <w:sz w:val="16"/>
        </w:rPr>
        <w:t xml:space="preserve"> </w:t>
      </w:r>
      <w:r>
        <w:rPr>
          <w:sz w:val="16"/>
        </w:rPr>
        <w:t>Mujer,</w:t>
      </w:r>
      <w:r>
        <w:rPr>
          <w:spacing w:val="-11"/>
          <w:sz w:val="16"/>
        </w:rPr>
        <w:t xml:space="preserve"> </w:t>
      </w:r>
      <w:r>
        <w:rPr>
          <w:sz w:val="16"/>
        </w:rPr>
        <w:t>Observaciones</w:t>
      </w:r>
      <w:r>
        <w:rPr>
          <w:spacing w:val="-10"/>
          <w:sz w:val="16"/>
        </w:rPr>
        <w:t xml:space="preserve"> </w:t>
      </w:r>
      <w:r>
        <w:rPr>
          <w:sz w:val="16"/>
        </w:rPr>
        <w:t>Finales</w:t>
      </w:r>
      <w:r>
        <w:rPr>
          <w:spacing w:val="-10"/>
          <w:sz w:val="16"/>
        </w:rPr>
        <w:t xml:space="preserve"> </w:t>
      </w:r>
      <w:r>
        <w:rPr>
          <w:sz w:val="16"/>
        </w:rPr>
        <w:t>sobre</w:t>
      </w:r>
      <w:r>
        <w:rPr>
          <w:spacing w:val="-8"/>
          <w:sz w:val="16"/>
        </w:rPr>
        <w:t xml:space="preserve"> </w:t>
      </w:r>
      <w:r>
        <w:rPr>
          <w:sz w:val="16"/>
        </w:rPr>
        <w:t>Brasil,</w:t>
      </w:r>
      <w:r>
        <w:rPr>
          <w:spacing w:val="-8"/>
          <w:sz w:val="16"/>
        </w:rPr>
        <w:t xml:space="preserve"> </w:t>
      </w:r>
      <w:r>
        <w:rPr>
          <w:sz w:val="16"/>
        </w:rPr>
        <w:t>UN</w:t>
      </w:r>
      <w:r>
        <w:rPr>
          <w:spacing w:val="-13"/>
          <w:sz w:val="16"/>
        </w:rPr>
        <w:t xml:space="preserve"> </w:t>
      </w:r>
      <w:r>
        <w:rPr>
          <w:sz w:val="16"/>
        </w:rPr>
        <w:t>Doc. CEDAW/C/BRA/CO/7, 23 de marzo de 2012, párr.</w:t>
      </w:r>
      <w:r>
        <w:rPr>
          <w:spacing w:val="-15"/>
          <w:sz w:val="16"/>
        </w:rPr>
        <w:t xml:space="preserve"> </w:t>
      </w:r>
      <w:r>
        <w:rPr>
          <w:sz w:val="16"/>
        </w:rPr>
        <w:t>26.</w:t>
      </w:r>
    </w:p>
    <w:p w14:paraId="41AE1604" w14:textId="77777777" w:rsidR="00467FCA" w:rsidRDefault="001B68EB">
      <w:pPr>
        <w:tabs>
          <w:tab w:val="left" w:pos="839"/>
        </w:tabs>
        <w:ind w:left="119" w:right="115"/>
        <w:jc w:val="both"/>
        <w:rPr>
          <w:sz w:val="16"/>
        </w:rPr>
      </w:pPr>
      <w:bookmarkStart w:id="390" w:name="_bookmark342"/>
      <w:bookmarkEnd w:id="390"/>
      <w:r>
        <w:rPr>
          <w:position w:val="6"/>
          <w:sz w:val="10"/>
        </w:rPr>
        <w:t>293</w:t>
      </w:r>
      <w:r>
        <w:rPr>
          <w:position w:val="6"/>
          <w:sz w:val="10"/>
        </w:rPr>
        <w:tab/>
      </w:r>
      <w:r>
        <w:rPr>
          <w:sz w:val="16"/>
        </w:rPr>
        <w:t>Comité de los Derechos del Niño, Examen de los informes presentados por los Estados partes en virtud del artículo 44 de la Convención, Brasil, UN Doc. CRC/C/BRA/2-4, 8 de diciembre de 2014, párr.</w:t>
      </w:r>
      <w:r>
        <w:rPr>
          <w:spacing w:val="-23"/>
          <w:sz w:val="16"/>
        </w:rPr>
        <w:t xml:space="preserve"> </w:t>
      </w:r>
      <w:r>
        <w:rPr>
          <w:sz w:val="16"/>
        </w:rPr>
        <w:t>99</w:t>
      </w:r>
      <w:r>
        <w:rPr>
          <w:sz w:val="16"/>
        </w:rPr>
        <w:t>.</w:t>
      </w:r>
    </w:p>
    <w:p w14:paraId="4E8F6DFF" w14:textId="77777777" w:rsidR="00467FCA" w:rsidRDefault="001B68EB">
      <w:pPr>
        <w:tabs>
          <w:tab w:val="left" w:pos="839"/>
        </w:tabs>
        <w:ind w:left="120" w:right="111" w:hanging="1"/>
        <w:jc w:val="both"/>
        <w:rPr>
          <w:sz w:val="16"/>
        </w:rPr>
      </w:pPr>
      <w:bookmarkStart w:id="391" w:name="_bookmark343"/>
      <w:bookmarkEnd w:id="391"/>
      <w:r>
        <w:rPr>
          <w:position w:val="6"/>
          <w:sz w:val="10"/>
        </w:rPr>
        <w:t>294</w:t>
      </w:r>
      <w:r>
        <w:rPr>
          <w:position w:val="6"/>
          <w:sz w:val="10"/>
        </w:rPr>
        <w:tab/>
      </w:r>
      <w:r>
        <w:rPr>
          <w:sz w:val="16"/>
        </w:rPr>
        <w:t xml:space="preserve">El Comité para la Eliminación de la Discriminación Racial le ha reiterado al Estado de Brasil, en diversas oportunidades, su preocupación por “la persistencia de desigualdades profundas y estructurales que afectan a las comunidades negra y mestiza y </w:t>
      </w:r>
      <w:r>
        <w:rPr>
          <w:sz w:val="16"/>
        </w:rPr>
        <w:t xml:space="preserve">las poblaciones indígenas”. En un informe de 1996, dicho Comité encontró que las actitudes discriminatorias se manifiestan en distintos niveles de la vida política, económica y social del país y conciernen, entre otros, el derecho a la vida y seguridad de </w:t>
      </w:r>
      <w:r>
        <w:rPr>
          <w:sz w:val="16"/>
        </w:rPr>
        <w:t xml:space="preserve">las personas. </w:t>
      </w:r>
      <w:r>
        <w:rPr>
          <w:i/>
          <w:sz w:val="16"/>
        </w:rPr>
        <w:t>Cfr</w:t>
      </w:r>
      <w:r>
        <w:rPr>
          <w:sz w:val="16"/>
        </w:rPr>
        <w:t>. Comité para la Eliminación de la Discriminación Racial, UN Doc. CERD/C/64/CO/2, 28 de abril de 2004, párr. 12 y Comité para la Eliminación de la</w:t>
      </w:r>
      <w:bookmarkStart w:id="392" w:name="_bookmark344"/>
      <w:bookmarkEnd w:id="392"/>
      <w:r>
        <w:rPr>
          <w:sz w:val="16"/>
        </w:rPr>
        <w:t xml:space="preserve"> Discriminación Racial, UN Doc. CERD/C/304/Add.11, 27 de septiembre de 1996, párrs. 8 a</w:t>
      </w:r>
      <w:r>
        <w:rPr>
          <w:spacing w:val="-26"/>
          <w:sz w:val="16"/>
        </w:rPr>
        <w:t xml:space="preserve"> </w:t>
      </w:r>
      <w:r>
        <w:rPr>
          <w:sz w:val="16"/>
        </w:rPr>
        <w:t>10.</w:t>
      </w:r>
    </w:p>
    <w:p w14:paraId="6F7BA19B" w14:textId="77777777" w:rsidR="00467FCA" w:rsidRDefault="001B68EB">
      <w:pPr>
        <w:tabs>
          <w:tab w:val="left" w:pos="839"/>
        </w:tabs>
        <w:ind w:left="119" w:right="115"/>
        <w:jc w:val="both"/>
        <w:rPr>
          <w:sz w:val="16"/>
        </w:rPr>
      </w:pPr>
      <w:r>
        <w:rPr>
          <w:position w:val="6"/>
          <w:sz w:val="10"/>
        </w:rPr>
        <w:t>2</w:t>
      </w:r>
      <w:r>
        <w:rPr>
          <w:position w:val="6"/>
          <w:sz w:val="10"/>
        </w:rPr>
        <w:t>95</w:t>
      </w:r>
      <w:r>
        <w:rPr>
          <w:position w:val="6"/>
          <w:sz w:val="10"/>
        </w:rPr>
        <w:tab/>
      </w:r>
      <w:r>
        <w:rPr>
          <w:i/>
          <w:sz w:val="16"/>
        </w:rPr>
        <w:t>Cfr.</w:t>
      </w:r>
      <w:r>
        <w:rPr>
          <w:i/>
          <w:spacing w:val="-9"/>
          <w:sz w:val="16"/>
        </w:rPr>
        <w:t xml:space="preserve"> </w:t>
      </w:r>
      <w:r>
        <w:rPr>
          <w:sz w:val="16"/>
        </w:rPr>
        <w:t>CIDH,</w:t>
      </w:r>
      <w:r>
        <w:rPr>
          <w:spacing w:val="-9"/>
          <w:sz w:val="16"/>
        </w:rPr>
        <w:t xml:space="preserve"> </w:t>
      </w:r>
      <w:r>
        <w:rPr>
          <w:i/>
          <w:sz w:val="16"/>
        </w:rPr>
        <w:t>Informe</w:t>
      </w:r>
      <w:r>
        <w:rPr>
          <w:i/>
          <w:spacing w:val="-10"/>
          <w:sz w:val="16"/>
        </w:rPr>
        <w:t xml:space="preserve"> </w:t>
      </w:r>
      <w:r>
        <w:rPr>
          <w:i/>
          <w:sz w:val="16"/>
        </w:rPr>
        <w:t>sobre</w:t>
      </w:r>
      <w:r>
        <w:rPr>
          <w:i/>
          <w:spacing w:val="-7"/>
          <w:sz w:val="16"/>
        </w:rPr>
        <w:t xml:space="preserve"> </w:t>
      </w:r>
      <w:r>
        <w:rPr>
          <w:i/>
          <w:sz w:val="16"/>
        </w:rPr>
        <w:t>la</w:t>
      </w:r>
      <w:r>
        <w:rPr>
          <w:i/>
          <w:spacing w:val="-11"/>
          <w:sz w:val="16"/>
        </w:rPr>
        <w:t xml:space="preserve"> </w:t>
      </w:r>
      <w:r>
        <w:rPr>
          <w:i/>
          <w:sz w:val="16"/>
        </w:rPr>
        <w:t>situación</w:t>
      </w:r>
      <w:r>
        <w:rPr>
          <w:i/>
          <w:spacing w:val="-9"/>
          <w:sz w:val="16"/>
        </w:rPr>
        <w:t xml:space="preserve"> </w:t>
      </w:r>
      <w:r>
        <w:rPr>
          <w:i/>
          <w:sz w:val="16"/>
        </w:rPr>
        <w:t>de</w:t>
      </w:r>
      <w:r>
        <w:rPr>
          <w:i/>
          <w:spacing w:val="-10"/>
          <w:sz w:val="16"/>
        </w:rPr>
        <w:t xml:space="preserve"> </w:t>
      </w:r>
      <w:r>
        <w:rPr>
          <w:i/>
          <w:sz w:val="16"/>
        </w:rPr>
        <w:t>los</w:t>
      </w:r>
      <w:r>
        <w:rPr>
          <w:i/>
          <w:spacing w:val="-11"/>
          <w:sz w:val="16"/>
        </w:rPr>
        <w:t xml:space="preserve"> </w:t>
      </w:r>
      <w:r>
        <w:rPr>
          <w:i/>
          <w:sz w:val="16"/>
        </w:rPr>
        <w:t>Derechos</w:t>
      </w:r>
      <w:r>
        <w:rPr>
          <w:i/>
          <w:spacing w:val="-8"/>
          <w:sz w:val="16"/>
        </w:rPr>
        <w:t xml:space="preserve"> </w:t>
      </w:r>
      <w:r>
        <w:rPr>
          <w:i/>
          <w:sz w:val="16"/>
        </w:rPr>
        <w:t>Humanos</w:t>
      </w:r>
      <w:r>
        <w:rPr>
          <w:i/>
          <w:spacing w:val="-8"/>
          <w:sz w:val="16"/>
        </w:rPr>
        <w:t xml:space="preserve"> </w:t>
      </w:r>
      <w:r>
        <w:rPr>
          <w:i/>
          <w:sz w:val="16"/>
        </w:rPr>
        <w:t>en</w:t>
      </w:r>
      <w:r>
        <w:rPr>
          <w:i/>
          <w:spacing w:val="-11"/>
          <w:sz w:val="16"/>
        </w:rPr>
        <w:t xml:space="preserve"> </w:t>
      </w:r>
      <w:r>
        <w:rPr>
          <w:i/>
          <w:sz w:val="16"/>
        </w:rPr>
        <w:t>Brasil,</w:t>
      </w:r>
      <w:r>
        <w:rPr>
          <w:i/>
          <w:spacing w:val="-9"/>
          <w:sz w:val="16"/>
        </w:rPr>
        <w:t xml:space="preserve"> </w:t>
      </w:r>
      <w:r>
        <w:rPr>
          <w:sz w:val="16"/>
        </w:rPr>
        <w:t>Discriminación</w:t>
      </w:r>
      <w:r>
        <w:rPr>
          <w:spacing w:val="-12"/>
          <w:sz w:val="16"/>
        </w:rPr>
        <w:t xml:space="preserve"> </w:t>
      </w:r>
      <w:r>
        <w:rPr>
          <w:sz w:val="16"/>
        </w:rPr>
        <w:t>Racial.</w:t>
      </w:r>
      <w:r>
        <w:rPr>
          <w:spacing w:val="-8"/>
          <w:sz w:val="16"/>
        </w:rPr>
        <w:t xml:space="preserve"> </w:t>
      </w:r>
      <w:r>
        <w:rPr>
          <w:sz w:val="16"/>
        </w:rPr>
        <w:t>Documento UN Doc. OEA/Ser.L/V/II.97, Doc. 29 rev.1, 29 septiembre 1997, Capítulo IX, párr.</w:t>
      </w:r>
      <w:r>
        <w:rPr>
          <w:spacing w:val="-21"/>
          <w:sz w:val="16"/>
        </w:rPr>
        <w:t xml:space="preserve"> </w:t>
      </w:r>
      <w:r>
        <w:rPr>
          <w:sz w:val="16"/>
        </w:rPr>
        <w:t>3.</w:t>
      </w:r>
    </w:p>
    <w:p w14:paraId="74F3AC92" w14:textId="77777777" w:rsidR="00467FCA" w:rsidRDefault="001B68EB">
      <w:pPr>
        <w:tabs>
          <w:tab w:val="left" w:pos="839"/>
        </w:tabs>
        <w:ind w:left="120"/>
        <w:jc w:val="both"/>
        <w:rPr>
          <w:sz w:val="16"/>
        </w:rPr>
      </w:pPr>
      <w:bookmarkStart w:id="393" w:name="_bookmark345"/>
      <w:bookmarkEnd w:id="393"/>
      <w:r>
        <w:rPr>
          <w:position w:val="6"/>
          <w:sz w:val="10"/>
        </w:rPr>
        <w:t>296</w:t>
      </w:r>
      <w:r>
        <w:rPr>
          <w:position w:val="6"/>
          <w:sz w:val="10"/>
        </w:rPr>
        <w:tab/>
      </w:r>
      <w:r>
        <w:rPr>
          <w:i/>
          <w:sz w:val="16"/>
        </w:rPr>
        <w:t xml:space="preserve">Cfr. Informe sobre la situación de los Derechos Humanos en Brasil, supra, </w:t>
      </w:r>
      <w:r>
        <w:rPr>
          <w:sz w:val="16"/>
        </w:rPr>
        <w:t>Capítulo V, párr.</w:t>
      </w:r>
      <w:r>
        <w:rPr>
          <w:spacing w:val="-20"/>
          <w:sz w:val="16"/>
        </w:rPr>
        <w:t xml:space="preserve"> </w:t>
      </w:r>
      <w:r>
        <w:rPr>
          <w:sz w:val="16"/>
        </w:rPr>
        <w:t>40.</w:t>
      </w:r>
    </w:p>
    <w:p w14:paraId="43304138" w14:textId="77777777" w:rsidR="00467FCA" w:rsidRDefault="001B68EB">
      <w:pPr>
        <w:tabs>
          <w:tab w:val="left" w:pos="839"/>
        </w:tabs>
        <w:ind w:left="119" w:right="114"/>
        <w:jc w:val="both"/>
        <w:rPr>
          <w:sz w:val="16"/>
        </w:rPr>
      </w:pPr>
      <w:bookmarkStart w:id="394" w:name="_bookmark346"/>
      <w:bookmarkEnd w:id="394"/>
      <w:r>
        <w:rPr>
          <w:position w:val="6"/>
          <w:sz w:val="10"/>
        </w:rPr>
        <w:t>297</w:t>
      </w:r>
      <w:r>
        <w:rPr>
          <w:position w:val="6"/>
          <w:sz w:val="10"/>
        </w:rPr>
        <w:tab/>
      </w:r>
      <w:r>
        <w:rPr>
          <w:i/>
          <w:sz w:val="16"/>
        </w:rPr>
        <w:t xml:space="preserve">Cfr. </w:t>
      </w:r>
      <w:r>
        <w:rPr>
          <w:sz w:val="16"/>
        </w:rPr>
        <w:t>Peritaje presentado ante la Corte IDH por Miguel Cill</w:t>
      </w:r>
      <w:r>
        <w:rPr>
          <w:sz w:val="16"/>
        </w:rPr>
        <w:t>ero Bruñol (expediente de fondo, folios 911 a 912 y</w:t>
      </w:r>
      <w:r>
        <w:rPr>
          <w:spacing w:val="-1"/>
          <w:sz w:val="16"/>
        </w:rPr>
        <w:t xml:space="preserve"> </w:t>
      </w:r>
      <w:r>
        <w:rPr>
          <w:sz w:val="16"/>
        </w:rPr>
        <w:t>943).</w:t>
      </w:r>
    </w:p>
    <w:p w14:paraId="2D42D5A4" w14:textId="77777777" w:rsidR="00467FCA" w:rsidRDefault="001B68EB">
      <w:pPr>
        <w:tabs>
          <w:tab w:val="left" w:pos="839"/>
        </w:tabs>
        <w:ind w:left="120"/>
        <w:jc w:val="both"/>
        <w:rPr>
          <w:sz w:val="16"/>
        </w:rPr>
      </w:pPr>
      <w:bookmarkStart w:id="395" w:name="_bookmark347"/>
      <w:bookmarkEnd w:id="395"/>
      <w:r>
        <w:rPr>
          <w:position w:val="6"/>
          <w:sz w:val="10"/>
        </w:rPr>
        <w:t>298</w:t>
      </w:r>
      <w:r>
        <w:rPr>
          <w:position w:val="6"/>
          <w:sz w:val="10"/>
        </w:rPr>
        <w:tab/>
      </w:r>
      <w:r>
        <w:rPr>
          <w:sz w:val="16"/>
        </w:rPr>
        <w:t xml:space="preserve">Informe del Relator Especial sobre la extrema pobreza y los derechos humanos, </w:t>
      </w:r>
      <w:r>
        <w:rPr>
          <w:i/>
          <w:sz w:val="16"/>
        </w:rPr>
        <w:t>supra</w:t>
      </w:r>
      <w:r>
        <w:rPr>
          <w:sz w:val="16"/>
        </w:rPr>
        <w:t>, párr.</w:t>
      </w:r>
      <w:r>
        <w:rPr>
          <w:spacing w:val="-25"/>
          <w:sz w:val="16"/>
        </w:rPr>
        <w:t xml:space="preserve"> </w:t>
      </w:r>
      <w:r>
        <w:rPr>
          <w:sz w:val="16"/>
        </w:rPr>
        <w:t>24.</w:t>
      </w:r>
    </w:p>
    <w:p w14:paraId="780AB550" w14:textId="77777777" w:rsidR="00467FCA" w:rsidRDefault="001B68EB">
      <w:pPr>
        <w:tabs>
          <w:tab w:val="left" w:pos="839"/>
        </w:tabs>
        <w:ind w:left="120" w:right="114" w:hanging="1"/>
        <w:jc w:val="both"/>
        <w:rPr>
          <w:sz w:val="16"/>
        </w:rPr>
      </w:pPr>
      <w:bookmarkStart w:id="396" w:name="_bookmark348"/>
      <w:bookmarkEnd w:id="396"/>
      <w:r>
        <w:rPr>
          <w:position w:val="6"/>
          <w:sz w:val="10"/>
        </w:rPr>
        <w:t>299</w:t>
      </w:r>
      <w:r>
        <w:rPr>
          <w:position w:val="6"/>
          <w:sz w:val="10"/>
        </w:rPr>
        <w:tab/>
      </w:r>
      <w:r>
        <w:rPr>
          <w:sz w:val="16"/>
        </w:rPr>
        <w:t>Comité para la Eliminación de la Discriminación contra la Mujer, Alyne da Silva Pimentel Teixeira c. Brasil (comunicación No. 17 de 2008), UN Doc. CEDAW/C/49/D/17/2008, dictamen aprobado el 25 de julio de</w:t>
      </w:r>
      <w:r>
        <w:rPr>
          <w:spacing w:val="-31"/>
          <w:sz w:val="16"/>
        </w:rPr>
        <w:t xml:space="preserve"> </w:t>
      </w:r>
      <w:r>
        <w:rPr>
          <w:sz w:val="16"/>
        </w:rPr>
        <w:t>2011.</w:t>
      </w:r>
    </w:p>
    <w:p w14:paraId="4DDABBDE" w14:textId="77777777" w:rsidR="00467FCA" w:rsidRDefault="00467FCA">
      <w:pPr>
        <w:jc w:val="both"/>
        <w:rPr>
          <w:sz w:val="16"/>
        </w:rPr>
        <w:sectPr w:rsidR="00467FCA">
          <w:pgSz w:w="12240" w:h="15840"/>
          <w:pgMar w:top="1360" w:right="1320" w:bottom="1220" w:left="1320" w:header="0" w:footer="1037" w:gutter="0"/>
          <w:cols w:space="720"/>
        </w:sectPr>
      </w:pPr>
    </w:p>
    <w:p w14:paraId="5B660C96" w14:textId="77777777" w:rsidR="00467FCA" w:rsidRDefault="001B68EB">
      <w:pPr>
        <w:pStyle w:val="Prrafodelista"/>
        <w:numPr>
          <w:ilvl w:val="0"/>
          <w:numId w:val="50"/>
        </w:numPr>
        <w:tabs>
          <w:tab w:val="left" w:pos="687"/>
        </w:tabs>
        <w:spacing w:before="183"/>
        <w:ind w:left="117" w:right="119" w:firstLine="2"/>
        <w:jc w:val="both"/>
        <w:rPr>
          <w:sz w:val="20"/>
        </w:rPr>
      </w:pPr>
      <w:r>
        <w:rPr>
          <w:sz w:val="20"/>
        </w:rPr>
        <w:t xml:space="preserve">En el mismo sentido, el Comité </w:t>
      </w:r>
      <w:r>
        <w:rPr>
          <w:sz w:val="20"/>
        </w:rPr>
        <w:t xml:space="preserve">para la Eliminación de la Discriminación contra la Mujer de Naciones Unidas ha manifestado su preocupación “por los efectos de la pobreza sobre las mujeres brasileñas de ascendencia africana […] y otros grupos de mujeres socialmente excluidos o marginados </w:t>
      </w:r>
      <w:r>
        <w:rPr>
          <w:sz w:val="20"/>
        </w:rPr>
        <w:t>y su posición desventajosa en relación con el acceso a la educación, la salud, el saneamiento básico, el empleo, la información y la justicia”</w:t>
      </w:r>
      <w:hyperlink w:anchor="_bookmark349" w:history="1">
        <w:r>
          <w:rPr>
            <w:position w:val="7"/>
            <w:sz w:val="13"/>
          </w:rPr>
          <w:t>300</w:t>
        </w:r>
      </w:hyperlink>
      <w:r>
        <w:rPr>
          <w:position w:val="7"/>
          <w:sz w:val="13"/>
        </w:rPr>
        <w:t xml:space="preserve"> </w:t>
      </w:r>
      <w:r>
        <w:rPr>
          <w:sz w:val="20"/>
        </w:rPr>
        <w:t>y porque “las deficientes condiciones de empleo de la mujer en general, inclui</w:t>
      </w:r>
      <w:r>
        <w:rPr>
          <w:sz w:val="20"/>
        </w:rPr>
        <w:t>da la segregación vertical y horizontal, se vean agravadas por la raza o el origen</w:t>
      </w:r>
      <w:r>
        <w:rPr>
          <w:spacing w:val="-1"/>
          <w:sz w:val="20"/>
        </w:rPr>
        <w:t xml:space="preserve"> </w:t>
      </w:r>
      <w:r>
        <w:rPr>
          <w:sz w:val="20"/>
        </w:rPr>
        <w:t>étnico”</w:t>
      </w:r>
      <w:hyperlink w:anchor="_bookmark350" w:history="1">
        <w:r>
          <w:rPr>
            <w:position w:val="7"/>
            <w:sz w:val="13"/>
          </w:rPr>
          <w:t>301</w:t>
        </w:r>
      </w:hyperlink>
      <w:r>
        <w:rPr>
          <w:sz w:val="20"/>
        </w:rPr>
        <w:t>.</w:t>
      </w:r>
    </w:p>
    <w:p w14:paraId="74FDC7A2" w14:textId="77777777" w:rsidR="00467FCA" w:rsidRDefault="00467FCA">
      <w:pPr>
        <w:pStyle w:val="Textoindependiente"/>
        <w:spacing w:before="11"/>
        <w:rPr>
          <w:sz w:val="19"/>
        </w:rPr>
      </w:pPr>
    </w:p>
    <w:p w14:paraId="46E07655" w14:textId="77777777" w:rsidR="00467FCA" w:rsidRDefault="001B68EB">
      <w:pPr>
        <w:pStyle w:val="Prrafodelista"/>
        <w:numPr>
          <w:ilvl w:val="0"/>
          <w:numId w:val="50"/>
        </w:numPr>
        <w:tabs>
          <w:tab w:val="left" w:pos="687"/>
        </w:tabs>
        <w:ind w:left="119" w:right="115" w:firstLine="0"/>
        <w:jc w:val="both"/>
        <w:rPr>
          <w:sz w:val="20"/>
        </w:rPr>
      </w:pPr>
      <w:r>
        <w:rPr>
          <w:sz w:val="20"/>
        </w:rPr>
        <w:t>En este caso, la Corte pudo constatar que las presuntas víctimas estaban inmersas en patrones de discriminación estructural e interseccional. Las presuntas víctimas se encontraban en una situación de pobreza estructural y eran, en una amplísima mayoría, mu</w:t>
      </w:r>
      <w:r>
        <w:rPr>
          <w:sz w:val="20"/>
        </w:rPr>
        <w:t>jeres y niñas afrodescendientes</w:t>
      </w:r>
      <w:hyperlink w:anchor="_bookmark351" w:history="1">
        <w:r>
          <w:rPr>
            <w:position w:val="7"/>
            <w:sz w:val="13"/>
          </w:rPr>
          <w:t>302</w:t>
        </w:r>
      </w:hyperlink>
      <w:r>
        <w:rPr>
          <w:sz w:val="20"/>
        </w:rPr>
        <w:t>, cuatro de ellas estaban embarazadas y no contaban con</w:t>
      </w:r>
      <w:r>
        <w:rPr>
          <w:spacing w:val="-4"/>
          <w:sz w:val="20"/>
        </w:rPr>
        <w:t xml:space="preserve"> </w:t>
      </w:r>
      <w:r>
        <w:rPr>
          <w:sz w:val="20"/>
        </w:rPr>
        <w:t>ninguna</w:t>
      </w:r>
      <w:r>
        <w:rPr>
          <w:spacing w:val="-5"/>
          <w:sz w:val="20"/>
        </w:rPr>
        <w:t xml:space="preserve"> </w:t>
      </w:r>
      <w:r>
        <w:rPr>
          <w:sz w:val="20"/>
        </w:rPr>
        <w:t>otra</w:t>
      </w:r>
      <w:r>
        <w:rPr>
          <w:spacing w:val="-5"/>
          <w:sz w:val="20"/>
        </w:rPr>
        <w:t xml:space="preserve"> </w:t>
      </w:r>
      <w:r>
        <w:rPr>
          <w:sz w:val="20"/>
        </w:rPr>
        <w:t>alternativa</w:t>
      </w:r>
      <w:r>
        <w:rPr>
          <w:spacing w:val="-4"/>
          <w:sz w:val="20"/>
        </w:rPr>
        <w:t xml:space="preserve"> </w:t>
      </w:r>
      <w:r>
        <w:rPr>
          <w:sz w:val="20"/>
        </w:rPr>
        <w:t>económica</w:t>
      </w:r>
      <w:r>
        <w:rPr>
          <w:spacing w:val="-3"/>
          <w:sz w:val="20"/>
        </w:rPr>
        <w:t xml:space="preserve"> </w:t>
      </w:r>
      <w:r>
        <w:rPr>
          <w:sz w:val="20"/>
        </w:rPr>
        <w:t>más</w:t>
      </w:r>
      <w:r>
        <w:rPr>
          <w:spacing w:val="-4"/>
          <w:sz w:val="20"/>
        </w:rPr>
        <w:t xml:space="preserve"> </w:t>
      </w:r>
      <w:r>
        <w:rPr>
          <w:sz w:val="20"/>
        </w:rPr>
        <w:t>que</w:t>
      </w:r>
      <w:r>
        <w:rPr>
          <w:spacing w:val="-6"/>
          <w:sz w:val="20"/>
        </w:rPr>
        <w:t xml:space="preserve"> </w:t>
      </w:r>
      <w:r>
        <w:rPr>
          <w:sz w:val="20"/>
        </w:rPr>
        <w:t>aceptar</w:t>
      </w:r>
      <w:r>
        <w:rPr>
          <w:spacing w:val="-7"/>
          <w:sz w:val="20"/>
        </w:rPr>
        <w:t xml:space="preserve"> </w:t>
      </w:r>
      <w:r>
        <w:rPr>
          <w:sz w:val="20"/>
        </w:rPr>
        <w:t>un</w:t>
      </w:r>
      <w:r>
        <w:rPr>
          <w:spacing w:val="-4"/>
          <w:sz w:val="20"/>
        </w:rPr>
        <w:t xml:space="preserve"> </w:t>
      </w:r>
      <w:r>
        <w:rPr>
          <w:sz w:val="20"/>
        </w:rPr>
        <w:t>trabajo</w:t>
      </w:r>
      <w:r>
        <w:rPr>
          <w:spacing w:val="-5"/>
          <w:sz w:val="20"/>
        </w:rPr>
        <w:t xml:space="preserve"> </w:t>
      </w:r>
      <w:r>
        <w:rPr>
          <w:sz w:val="20"/>
        </w:rPr>
        <w:t>peligroso</w:t>
      </w:r>
      <w:r>
        <w:rPr>
          <w:spacing w:val="-4"/>
          <w:sz w:val="20"/>
        </w:rPr>
        <w:t xml:space="preserve"> </w:t>
      </w:r>
      <w:r>
        <w:rPr>
          <w:sz w:val="20"/>
        </w:rPr>
        <w:t>en</w:t>
      </w:r>
      <w:r>
        <w:rPr>
          <w:spacing w:val="-2"/>
          <w:sz w:val="20"/>
        </w:rPr>
        <w:t xml:space="preserve"> </w:t>
      </w:r>
      <w:r>
        <w:rPr>
          <w:sz w:val="20"/>
        </w:rPr>
        <w:t>condiciones de explotación. La confluencia de estos factore</w:t>
      </w:r>
      <w:r>
        <w:rPr>
          <w:sz w:val="20"/>
        </w:rPr>
        <w:t>s hizo posible que una fábrica como la que se describe</w:t>
      </w:r>
      <w:r>
        <w:rPr>
          <w:spacing w:val="-2"/>
          <w:sz w:val="20"/>
        </w:rPr>
        <w:t xml:space="preserve"> </w:t>
      </w:r>
      <w:r>
        <w:rPr>
          <w:sz w:val="20"/>
        </w:rPr>
        <w:t>en</w:t>
      </w:r>
      <w:r>
        <w:rPr>
          <w:spacing w:val="-4"/>
          <w:sz w:val="20"/>
        </w:rPr>
        <w:t xml:space="preserve"> </w:t>
      </w:r>
      <w:r>
        <w:rPr>
          <w:sz w:val="20"/>
        </w:rPr>
        <w:t>este</w:t>
      </w:r>
      <w:r>
        <w:rPr>
          <w:spacing w:val="-4"/>
          <w:sz w:val="20"/>
        </w:rPr>
        <w:t xml:space="preserve"> </w:t>
      </w:r>
      <w:r>
        <w:rPr>
          <w:sz w:val="20"/>
        </w:rPr>
        <w:t>proceso</w:t>
      </w:r>
      <w:r>
        <w:rPr>
          <w:spacing w:val="-7"/>
          <w:sz w:val="20"/>
        </w:rPr>
        <w:t xml:space="preserve"> </w:t>
      </w:r>
      <w:r>
        <w:rPr>
          <w:sz w:val="20"/>
        </w:rPr>
        <w:t>haya</w:t>
      </w:r>
      <w:r>
        <w:rPr>
          <w:spacing w:val="-3"/>
          <w:sz w:val="20"/>
        </w:rPr>
        <w:t xml:space="preserve"> </w:t>
      </w:r>
      <w:r>
        <w:rPr>
          <w:sz w:val="20"/>
        </w:rPr>
        <w:t>podida</w:t>
      </w:r>
      <w:r>
        <w:rPr>
          <w:spacing w:val="-3"/>
          <w:sz w:val="20"/>
        </w:rPr>
        <w:t xml:space="preserve"> </w:t>
      </w:r>
      <w:r>
        <w:rPr>
          <w:sz w:val="20"/>
        </w:rPr>
        <w:t>instalarse</w:t>
      </w:r>
      <w:r>
        <w:rPr>
          <w:spacing w:val="-4"/>
          <w:sz w:val="20"/>
        </w:rPr>
        <w:t xml:space="preserve"> </w:t>
      </w:r>
      <w:r>
        <w:rPr>
          <w:sz w:val="20"/>
        </w:rPr>
        <w:t>y</w:t>
      </w:r>
      <w:r>
        <w:rPr>
          <w:spacing w:val="-3"/>
          <w:sz w:val="20"/>
        </w:rPr>
        <w:t xml:space="preserve"> </w:t>
      </w:r>
      <w:r>
        <w:rPr>
          <w:sz w:val="20"/>
        </w:rPr>
        <w:t>operar</w:t>
      </w:r>
      <w:r>
        <w:rPr>
          <w:spacing w:val="-3"/>
          <w:sz w:val="20"/>
        </w:rPr>
        <w:t xml:space="preserve"> </w:t>
      </w:r>
      <w:r>
        <w:rPr>
          <w:sz w:val="20"/>
        </w:rPr>
        <w:t>en</w:t>
      </w:r>
      <w:r>
        <w:rPr>
          <w:spacing w:val="-4"/>
          <w:sz w:val="20"/>
        </w:rPr>
        <w:t xml:space="preserve"> </w:t>
      </w:r>
      <w:r>
        <w:rPr>
          <w:sz w:val="20"/>
        </w:rPr>
        <w:t>la</w:t>
      </w:r>
      <w:r>
        <w:rPr>
          <w:spacing w:val="-5"/>
          <w:sz w:val="20"/>
        </w:rPr>
        <w:t xml:space="preserve"> </w:t>
      </w:r>
      <w:r>
        <w:rPr>
          <w:sz w:val="20"/>
        </w:rPr>
        <w:t>zona</w:t>
      </w:r>
      <w:r>
        <w:rPr>
          <w:spacing w:val="-5"/>
          <w:sz w:val="20"/>
        </w:rPr>
        <w:t xml:space="preserve"> </w:t>
      </w:r>
      <w:r>
        <w:rPr>
          <w:sz w:val="20"/>
        </w:rPr>
        <w:t>y</w:t>
      </w:r>
      <w:r>
        <w:rPr>
          <w:spacing w:val="-3"/>
          <w:sz w:val="20"/>
        </w:rPr>
        <w:t xml:space="preserve"> </w:t>
      </w:r>
      <w:r>
        <w:rPr>
          <w:sz w:val="20"/>
        </w:rPr>
        <w:t>que</w:t>
      </w:r>
      <w:r>
        <w:rPr>
          <w:spacing w:val="-7"/>
          <w:sz w:val="20"/>
        </w:rPr>
        <w:t xml:space="preserve"> </w:t>
      </w:r>
      <w:r>
        <w:rPr>
          <w:sz w:val="20"/>
        </w:rPr>
        <w:t>las</w:t>
      </w:r>
      <w:r>
        <w:rPr>
          <w:spacing w:val="-4"/>
          <w:sz w:val="20"/>
        </w:rPr>
        <w:t xml:space="preserve"> </w:t>
      </w:r>
      <w:r>
        <w:rPr>
          <w:sz w:val="20"/>
        </w:rPr>
        <w:t>mujeres,</w:t>
      </w:r>
      <w:r>
        <w:rPr>
          <w:spacing w:val="-5"/>
          <w:sz w:val="20"/>
        </w:rPr>
        <w:t xml:space="preserve"> </w:t>
      </w:r>
      <w:r>
        <w:rPr>
          <w:sz w:val="20"/>
        </w:rPr>
        <w:t>niñas y niños presuntas víctimas se hayan visto compelidos a trabajar</w:t>
      </w:r>
      <w:r>
        <w:rPr>
          <w:spacing w:val="-15"/>
          <w:sz w:val="20"/>
        </w:rPr>
        <w:t xml:space="preserve"> </w:t>
      </w:r>
      <w:r>
        <w:rPr>
          <w:sz w:val="20"/>
        </w:rPr>
        <w:t>allí.</w:t>
      </w:r>
    </w:p>
    <w:p w14:paraId="2C2864AF" w14:textId="77777777" w:rsidR="00467FCA" w:rsidRDefault="00467FCA">
      <w:pPr>
        <w:pStyle w:val="Textoindependiente"/>
        <w:spacing w:before="1"/>
      </w:pPr>
    </w:p>
    <w:p w14:paraId="24AB6431" w14:textId="77777777" w:rsidR="00467FCA" w:rsidRDefault="001B68EB">
      <w:pPr>
        <w:pStyle w:val="Prrafodelista"/>
        <w:numPr>
          <w:ilvl w:val="0"/>
          <w:numId w:val="50"/>
        </w:numPr>
        <w:tabs>
          <w:tab w:val="left" w:pos="687"/>
        </w:tabs>
        <w:spacing w:before="1"/>
        <w:ind w:left="119" w:right="117" w:firstLine="0"/>
        <w:jc w:val="both"/>
        <w:rPr>
          <w:sz w:val="20"/>
        </w:rPr>
      </w:pPr>
      <w:r>
        <w:rPr>
          <w:sz w:val="20"/>
        </w:rPr>
        <w:t>Sobre este asunto, es necesario destacar que e</w:t>
      </w:r>
      <w:r>
        <w:rPr>
          <w:sz w:val="20"/>
        </w:rPr>
        <w:t>l hecho de que las presuntas víctimas pertenecieran a un grupo en especial situación de vulnerabilidad acentuaba los deberes de respeto y garantía a cargo del Estado. Sin embargo, conforme se desprende del acervo probatorio del caso, el Estado no adoptó me</w:t>
      </w:r>
      <w:r>
        <w:rPr>
          <w:sz w:val="20"/>
        </w:rPr>
        <w:t>didas orientadas a garantizar el ejercicio del derecho a condiciones de trabajo equitativas y satisfactorias sin discriminación, y la intersección de desventajas comparativas hizo que la experiencia de victimización en este caso fuese</w:t>
      </w:r>
      <w:r>
        <w:rPr>
          <w:spacing w:val="-3"/>
          <w:sz w:val="20"/>
        </w:rPr>
        <w:t xml:space="preserve"> </w:t>
      </w:r>
      <w:r>
        <w:rPr>
          <w:sz w:val="20"/>
        </w:rPr>
        <w:t>agravada.</w:t>
      </w:r>
    </w:p>
    <w:p w14:paraId="5E2F84BD" w14:textId="77777777" w:rsidR="00467FCA" w:rsidRDefault="00467FCA">
      <w:pPr>
        <w:pStyle w:val="Textoindependiente"/>
        <w:spacing w:before="8"/>
        <w:rPr>
          <w:sz w:val="22"/>
        </w:rPr>
      </w:pPr>
    </w:p>
    <w:p w14:paraId="600437CD" w14:textId="77777777" w:rsidR="00467FCA" w:rsidRDefault="001B68EB">
      <w:pPr>
        <w:pStyle w:val="Prrafodelista"/>
        <w:numPr>
          <w:ilvl w:val="0"/>
          <w:numId w:val="50"/>
        </w:numPr>
        <w:tabs>
          <w:tab w:val="left" w:pos="687"/>
        </w:tabs>
        <w:ind w:left="119" w:right="116" w:firstLine="0"/>
        <w:jc w:val="both"/>
        <w:rPr>
          <w:sz w:val="20"/>
        </w:rPr>
      </w:pPr>
      <w:r>
        <w:rPr>
          <w:sz w:val="20"/>
        </w:rPr>
        <w:t>Por</w:t>
      </w:r>
      <w:r>
        <w:rPr>
          <w:spacing w:val="-7"/>
          <w:sz w:val="20"/>
        </w:rPr>
        <w:t xml:space="preserve"> </w:t>
      </w:r>
      <w:r>
        <w:rPr>
          <w:sz w:val="20"/>
        </w:rPr>
        <w:t>otra</w:t>
      </w:r>
      <w:r>
        <w:rPr>
          <w:spacing w:val="-8"/>
          <w:sz w:val="20"/>
        </w:rPr>
        <w:t xml:space="preserve"> </w:t>
      </w:r>
      <w:r>
        <w:rPr>
          <w:sz w:val="20"/>
        </w:rPr>
        <w:t>parte,</w:t>
      </w:r>
      <w:r>
        <w:rPr>
          <w:spacing w:val="-7"/>
          <w:sz w:val="20"/>
        </w:rPr>
        <w:t xml:space="preserve"> </w:t>
      </w:r>
      <w:r>
        <w:rPr>
          <w:sz w:val="20"/>
        </w:rPr>
        <w:t>la</w:t>
      </w:r>
      <w:r>
        <w:rPr>
          <w:spacing w:val="-8"/>
          <w:sz w:val="20"/>
        </w:rPr>
        <w:t xml:space="preserve"> </w:t>
      </w:r>
      <w:r>
        <w:rPr>
          <w:sz w:val="20"/>
        </w:rPr>
        <w:t>Corte</w:t>
      </w:r>
      <w:r>
        <w:rPr>
          <w:spacing w:val="-9"/>
          <w:sz w:val="20"/>
        </w:rPr>
        <w:t xml:space="preserve"> </w:t>
      </w:r>
      <w:r>
        <w:rPr>
          <w:sz w:val="20"/>
        </w:rPr>
        <w:t>encuentra</w:t>
      </w:r>
      <w:r>
        <w:rPr>
          <w:spacing w:val="-7"/>
          <w:sz w:val="20"/>
        </w:rPr>
        <w:t xml:space="preserve"> </w:t>
      </w:r>
      <w:r>
        <w:rPr>
          <w:sz w:val="20"/>
        </w:rPr>
        <w:t>que</w:t>
      </w:r>
      <w:r>
        <w:rPr>
          <w:spacing w:val="-9"/>
          <w:sz w:val="20"/>
        </w:rPr>
        <w:t xml:space="preserve"> </w:t>
      </w:r>
      <w:r>
        <w:rPr>
          <w:sz w:val="20"/>
        </w:rPr>
        <w:t>del</w:t>
      </w:r>
      <w:r>
        <w:rPr>
          <w:spacing w:val="-10"/>
          <w:sz w:val="20"/>
        </w:rPr>
        <w:t xml:space="preserve"> </w:t>
      </w:r>
      <w:r>
        <w:rPr>
          <w:sz w:val="20"/>
        </w:rPr>
        <w:t>artículo</w:t>
      </w:r>
      <w:r>
        <w:rPr>
          <w:spacing w:val="-10"/>
          <w:sz w:val="20"/>
        </w:rPr>
        <w:t xml:space="preserve"> </w:t>
      </w:r>
      <w:r>
        <w:rPr>
          <w:sz w:val="20"/>
        </w:rPr>
        <w:t>24</w:t>
      </w:r>
      <w:r>
        <w:rPr>
          <w:spacing w:val="-7"/>
          <w:sz w:val="20"/>
        </w:rPr>
        <w:t xml:space="preserve"> </w:t>
      </w:r>
      <w:r>
        <w:rPr>
          <w:sz w:val="20"/>
        </w:rPr>
        <w:t>de</w:t>
      </w:r>
      <w:r>
        <w:rPr>
          <w:spacing w:val="-8"/>
          <w:sz w:val="20"/>
        </w:rPr>
        <w:t xml:space="preserve"> </w:t>
      </w:r>
      <w:r>
        <w:rPr>
          <w:sz w:val="20"/>
        </w:rPr>
        <w:t>la</w:t>
      </w:r>
      <w:r>
        <w:rPr>
          <w:spacing w:val="-8"/>
          <w:sz w:val="20"/>
        </w:rPr>
        <w:t xml:space="preserve"> </w:t>
      </w:r>
      <w:r>
        <w:rPr>
          <w:sz w:val="20"/>
        </w:rPr>
        <w:t>Convención</w:t>
      </w:r>
      <w:r>
        <w:rPr>
          <w:spacing w:val="-7"/>
          <w:sz w:val="20"/>
        </w:rPr>
        <w:t xml:space="preserve"> </w:t>
      </w:r>
      <w:r>
        <w:rPr>
          <w:sz w:val="20"/>
        </w:rPr>
        <w:t>se</w:t>
      </w:r>
      <w:r>
        <w:rPr>
          <w:spacing w:val="-10"/>
          <w:sz w:val="20"/>
        </w:rPr>
        <w:t xml:space="preserve"> </w:t>
      </w:r>
      <w:r>
        <w:rPr>
          <w:sz w:val="20"/>
        </w:rPr>
        <w:t>desprende</w:t>
      </w:r>
      <w:r>
        <w:rPr>
          <w:spacing w:val="-9"/>
          <w:sz w:val="20"/>
        </w:rPr>
        <w:t xml:space="preserve"> </w:t>
      </w:r>
      <w:r>
        <w:rPr>
          <w:sz w:val="20"/>
        </w:rPr>
        <w:t>un mandato orientado a garantizar la igualdad material, lo que no sucedió en el presente caso. En</w:t>
      </w:r>
      <w:r>
        <w:rPr>
          <w:spacing w:val="-5"/>
          <w:sz w:val="20"/>
        </w:rPr>
        <w:t xml:space="preserve"> </w:t>
      </w:r>
      <w:r>
        <w:rPr>
          <w:sz w:val="20"/>
        </w:rPr>
        <w:t>ese</w:t>
      </w:r>
      <w:r>
        <w:rPr>
          <w:spacing w:val="-4"/>
          <w:sz w:val="20"/>
        </w:rPr>
        <w:t xml:space="preserve"> </w:t>
      </w:r>
      <w:r>
        <w:rPr>
          <w:sz w:val="20"/>
        </w:rPr>
        <w:t>sentido,</w:t>
      </w:r>
      <w:r>
        <w:rPr>
          <w:spacing w:val="-5"/>
          <w:sz w:val="20"/>
        </w:rPr>
        <w:t xml:space="preserve"> </w:t>
      </w:r>
      <w:r>
        <w:rPr>
          <w:sz w:val="20"/>
        </w:rPr>
        <w:t>el</w:t>
      </w:r>
      <w:r>
        <w:rPr>
          <w:spacing w:val="-5"/>
          <w:sz w:val="20"/>
        </w:rPr>
        <w:t xml:space="preserve"> </w:t>
      </w:r>
      <w:r>
        <w:rPr>
          <w:sz w:val="20"/>
        </w:rPr>
        <w:t>derecho</w:t>
      </w:r>
      <w:r>
        <w:rPr>
          <w:spacing w:val="-8"/>
          <w:sz w:val="20"/>
        </w:rPr>
        <w:t xml:space="preserve"> </w:t>
      </w:r>
      <w:r>
        <w:rPr>
          <w:sz w:val="20"/>
        </w:rPr>
        <w:t>a</w:t>
      </w:r>
      <w:r>
        <w:rPr>
          <w:spacing w:val="-5"/>
          <w:sz w:val="20"/>
        </w:rPr>
        <w:t xml:space="preserve"> </w:t>
      </w:r>
      <w:r>
        <w:rPr>
          <w:sz w:val="20"/>
        </w:rPr>
        <w:t>la</w:t>
      </w:r>
      <w:r>
        <w:rPr>
          <w:spacing w:val="-6"/>
          <w:sz w:val="20"/>
        </w:rPr>
        <w:t xml:space="preserve"> </w:t>
      </w:r>
      <w:r>
        <w:rPr>
          <w:sz w:val="20"/>
        </w:rPr>
        <w:t>igualdad</w:t>
      </w:r>
      <w:r>
        <w:rPr>
          <w:spacing w:val="-5"/>
          <w:sz w:val="20"/>
        </w:rPr>
        <w:t xml:space="preserve"> </w:t>
      </w:r>
      <w:r>
        <w:rPr>
          <w:sz w:val="20"/>
        </w:rPr>
        <w:t>garantizado</w:t>
      </w:r>
      <w:r>
        <w:rPr>
          <w:spacing w:val="-8"/>
          <w:sz w:val="20"/>
        </w:rPr>
        <w:t xml:space="preserve"> </w:t>
      </w:r>
      <w:r>
        <w:rPr>
          <w:sz w:val="20"/>
        </w:rPr>
        <w:t>por</w:t>
      </w:r>
      <w:r>
        <w:rPr>
          <w:spacing w:val="-4"/>
          <w:sz w:val="20"/>
        </w:rPr>
        <w:t xml:space="preserve"> </w:t>
      </w:r>
      <w:r>
        <w:rPr>
          <w:sz w:val="20"/>
        </w:rPr>
        <w:t>el</w:t>
      </w:r>
      <w:r>
        <w:rPr>
          <w:spacing w:val="-6"/>
          <w:sz w:val="20"/>
        </w:rPr>
        <w:t xml:space="preserve"> </w:t>
      </w:r>
      <w:r>
        <w:rPr>
          <w:sz w:val="20"/>
        </w:rPr>
        <w:t>artículo</w:t>
      </w:r>
      <w:r>
        <w:rPr>
          <w:spacing w:val="-7"/>
          <w:sz w:val="20"/>
        </w:rPr>
        <w:t xml:space="preserve"> </w:t>
      </w:r>
      <w:r>
        <w:rPr>
          <w:sz w:val="20"/>
        </w:rPr>
        <w:t>24</w:t>
      </w:r>
      <w:r>
        <w:rPr>
          <w:spacing w:val="-5"/>
          <w:sz w:val="20"/>
        </w:rPr>
        <w:t xml:space="preserve"> </w:t>
      </w:r>
      <w:r>
        <w:rPr>
          <w:sz w:val="20"/>
        </w:rPr>
        <w:t>convenci</w:t>
      </w:r>
      <w:r>
        <w:rPr>
          <w:sz w:val="20"/>
        </w:rPr>
        <w:t>onal</w:t>
      </w:r>
      <w:r>
        <w:rPr>
          <w:spacing w:val="-6"/>
          <w:sz w:val="20"/>
        </w:rPr>
        <w:t xml:space="preserve"> </w:t>
      </w:r>
      <w:r>
        <w:rPr>
          <w:sz w:val="20"/>
        </w:rPr>
        <w:t>tiene</w:t>
      </w:r>
      <w:r>
        <w:rPr>
          <w:spacing w:val="-6"/>
          <w:sz w:val="20"/>
        </w:rPr>
        <w:t xml:space="preserve"> </w:t>
      </w:r>
      <w:r>
        <w:rPr>
          <w:sz w:val="20"/>
        </w:rPr>
        <w:t>dos dimensiones, la primera una dimensión formal, que establece la igualdad ante la ley. La segunda, una dimensión material o sustancial, que ordena la adopción de medidas positivas de promoción a favor de grupos históricamente discriminados o m</w:t>
      </w:r>
      <w:r>
        <w:rPr>
          <w:sz w:val="20"/>
        </w:rPr>
        <w:t>arginados en razón de los factores a los que hace referencia el artículo 1.1 de la Convención Americana. Lo anterior quiere decir que el derecho a la igualdad implica la obligación de adoptar medidas para garantizar</w:t>
      </w:r>
      <w:r>
        <w:rPr>
          <w:spacing w:val="-22"/>
          <w:sz w:val="20"/>
        </w:rPr>
        <w:t xml:space="preserve"> </w:t>
      </w:r>
      <w:r>
        <w:rPr>
          <w:sz w:val="20"/>
        </w:rPr>
        <w:t>que</w:t>
      </w:r>
      <w:r>
        <w:rPr>
          <w:spacing w:val="-21"/>
          <w:sz w:val="20"/>
        </w:rPr>
        <w:t xml:space="preserve"> </w:t>
      </w:r>
      <w:r>
        <w:rPr>
          <w:sz w:val="20"/>
        </w:rPr>
        <w:t>la</w:t>
      </w:r>
      <w:r>
        <w:rPr>
          <w:spacing w:val="-20"/>
          <w:sz w:val="20"/>
        </w:rPr>
        <w:t xml:space="preserve"> </w:t>
      </w:r>
      <w:r>
        <w:rPr>
          <w:sz w:val="20"/>
        </w:rPr>
        <w:t>igualdad</w:t>
      </w:r>
      <w:r>
        <w:rPr>
          <w:spacing w:val="-19"/>
          <w:sz w:val="20"/>
        </w:rPr>
        <w:t xml:space="preserve"> </w:t>
      </w:r>
      <w:r>
        <w:rPr>
          <w:sz w:val="20"/>
        </w:rPr>
        <w:t>sea</w:t>
      </w:r>
      <w:r>
        <w:rPr>
          <w:spacing w:val="-18"/>
          <w:sz w:val="20"/>
        </w:rPr>
        <w:t xml:space="preserve"> </w:t>
      </w:r>
      <w:r>
        <w:rPr>
          <w:sz w:val="20"/>
        </w:rPr>
        <w:t>real</w:t>
      </w:r>
      <w:r>
        <w:rPr>
          <w:spacing w:val="-17"/>
          <w:sz w:val="20"/>
        </w:rPr>
        <w:t xml:space="preserve"> </w:t>
      </w:r>
      <w:r>
        <w:rPr>
          <w:sz w:val="20"/>
        </w:rPr>
        <w:t>y</w:t>
      </w:r>
      <w:r>
        <w:rPr>
          <w:spacing w:val="-18"/>
          <w:sz w:val="20"/>
        </w:rPr>
        <w:t xml:space="preserve"> </w:t>
      </w:r>
      <w:r>
        <w:rPr>
          <w:sz w:val="20"/>
        </w:rPr>
        <w:t>efectiva</w:t>
      </w:r>
      <w:hyperlink w:anchor="_bookmark352" w:history="1">
        <w:r>
          <w:rPr>
            <w:position w:val="7"/>
            <w:sz w:val="13"/>
          </w:rPr>
          <w:t>303</w:t>
        </w:r>
      </w:hyperlink>
      <w:r>
        <w:rPr>
          <w:sz w:val="20"/>
        </w:rPr>
        <w:t>,</w:t>
      </w:r>
      <w:r>
        <w:rPr>
          <w:spacing w:val="-22"/>
          <w:sz w:val="20"/>
        </w:rPr>
        <w:t xml:space="preserve"> </w:t>
      </w:r>
      <w:r>
        <w:rPr>
          <w:sz w:val="20"/>
        </w:rPr>
        <w:t>esto</w:t>
      </w:r>
      <w:r>
        <w:rPr>
          <w:spacing w:val="-21"/>
          <w:sz w:val="20"/>
        </w:rPr>
        <w:t xml:space="preserve"> </w:t>
      </w:r>
      <w:r>
        <w:rPr>
          <w:sz w:val="20"/>
        </w:rPr>
        <w:t>es,</w:t>
      </w:r>
      <w:r>
        <w:rPr>
          <w:spacing w:val="-18"/>
          <w:sz w:val="20"/>
        </w:rPr>
        <w:t xml:space="preserve"> </w:t>
      </w:r>
      <w:r>
        <w:rPr>
          <w:sz w:val="20"/>
        </w:rPr>
        <w:t>corregir</w:t>
      </w:r>
      <w:r>
        <w:rPr>
          <w:spacing w:val="-21"/>
          <w:sz w:val="20"/>
        </w:rPr>
        <w:t xml:space="preserve"> </w:t>
      </w:r>
      <w:r>
        <w:rPr>
          <w:sz w:val="20"/>
        </w:rPr>
        <w:t>las</w:t>
      </w:r>
      <w:r>
        <w:rPr>
          <w:spacing w:val="-21"/>
          <w:sz w:val="20"/>
        </w:rPr>
        <w:t xml:space="preserve"> </w:t>
      </w:r>
      <w:r>
        <w:rPr>
          <w:sz w:val="20"/>
        </w:rPr>
        <w:t>desigualdades</w:t>
      </w:r>
      <w:r>
        <w:rPr>
          <w:spacing w:val="-19"/>
          <w:sz w:val="20"/>
        </w:rPr>
        <w:t xml:space="preserve"> </w:t>
      </w:r>
      <w:r>
        <w:rPr>
          <w:sz w:val="20"/>
        </w:rPr>
        <w:t>existentes, promover la inclusión y la participación de los grupos históricamente marginados, garantizar a las personas o grupos en desventaja el goce efectivo de sus derechos, en suma,</w:t>
      </w:r>
      <w:r>
        <w:rPr>
          <w:sz w:val="20"/>
        </w:rPr>
        <w:t xml:space="preserve"> brindar a las personas posibilidades concretas de ver realizada, en sus propios casos, la igualdad material</w:t>
      </w:r>
      <w:hyperlink w:anchor="_bookmark353" w:history="1">
        <w:r>
          <w:rPr>
            <w:position w:val="7"/>
            <w:sz w:val="13"/>
          </w:rPr>
          <w:t>304</w:t>
        </w:r>
      </w:hyperlink>
      <w:r>
        <w:rPr>
          <w:sz w:val="20"/>
        </w:rPr>
        <w:t>. Para ello, los Estados deben enfrentar activamente situaciones de exclusión</w:t>
      </w:r>
      <w:r>
        <w:rPr>
          <w:spacing w:val="1"/>
          <w:sz w:val="20"/>
        </w:rPr>
        <w:t xml:space="preserve"> </w:t>
      </w:r>
      <w:r>
        <w:rPr>
          <w:sz w:val="20"/>
        </w:rPr>
        <w:t>y</w:t>
      </w:r>
    </w:p>
    <w:p w14:paraId="1CDD97F4" w14:textId="77777777" w:rsidR="00467FCA" w:rsidRDefault="001B68EB">
      <w:pPr>
        <w:pStyle w:val="Textoindependiente"/>
        <w:rPr>
          <w:sz w:val="15"/>
        </w:rPr>
      </w:pPr>
      <w:r>
        <w:pict w14:anchorId="54FB8250">
          <v:shape id="_x0000_s1142" style="position:absolute;margin-left:1in;margin-top:11.4pt;width:2in;height:.1pt;z-index:-251602944;mso-wrap-distance-left:0;mso-wrap-distance-right:0;mso-position-horizontal-relative:page" coordorigin="1440,228" coordsize="2880,0" path="m1440,228r2880,e" filled="f" strokeweight=".6pt">
            <v:path arrowok="t"/>
            <w10:wrap type="topAndBottom" anchorx="page"/>
          </v:shape>
        </w:pict>
      </w:r>
    </w:p>
    <w:p w14:paraId="7C1B355E" w14:textId="77777777" w:rsidR="00467FCA" w:rsidRDefault="001B68EB">
      <w:pPr>
        <w:tabs>
          <w:tab w:val="left" w:pos="839"/>
        </w:tabs>
        <w:spacing w:before="74"/>
        <w:ind w:left="120" w:right="116" w:hanging="1"/>
        <w:jc w:val="both"/>
        <w:rPr>
          <w:sz w:val="16"/>
        </w:rPr>
      </w:pPr>
      <w:bookmarkStart w:id="397" w:name="_bookmark349"/>
      <w:bookmarkEnd w:id="397"/>
      <w:r>
        <w:rPr>
          <w:position w:val="6"/>
          <w:sz w:val="10"/>
        </w:rPr>
        <w:t>300</w:t>
      </w:r>
      <w:r>
        <w:rPr>
          <w:position w:val="6"/>
          <w:sz w:val="10"/>
        </w:rPr>
        <w:tab/>
      </w:r>
      <w:r>
        <w:rPr>
          <w:sz w:val="16"/>
        </w:rPr>
        <w:t>Observaciones finales del Comité para la Eliminación de la Discriminación contra la Mujer, Brasil, UN Doc. A/58/38, 18 de julio de 2003, párr.</w:t>
      </w:r>
      <w:r>
        <w:rPr>
          <w:spacing w:val="-12"/>
          <w:sz w:val="16"/>
        </w:rPr>
        <w:t xml:space="preserve"> </w:t>
      </w:r>
      <w:r>
        <w:rPr>
          <w:sz w:val="16"/>
        </w:rPr>
        <w:t>110.</w:t>
      </w:r>
    </w:p>
    <w:p w14:paraId="3ADB4D29" w14:textId="77777777" w:rsidR="00467FCA" w:rsidRDefault="001B68EB">
      <w:pPr>
        <w:tabs>
          <w:tab w:val="left" w:pos="839"/>
        </w:tabs>
        <w:ind w:left="120"/>
        <w:jc w:val="both"/>
        <w:rPr>
          <w:sz w:val="16"/>
        </w:rPr>
      </w:pPr>
      <w:bookmarkStart w:id="398" w:name="_bookmark350"/>
      <w:bookmarkEnd w:id="398"/>
      <w:r>
        <w:rPr>
          <w:position w:val="6"/>
          <w:sz w:val="10"/>
        </w:rPr>
        <w:t>301</w:t>
      </w:r>
      <w:r>
        <w:rPr>
          <w:position w:val="6"/>
          <w:sz w:val="10"/>
        </w:rPr>
        <w:tab/>
      </w:r>
      <w:r>
        <w:rPr>
          <w:sz w:val="16"/>
        </w:rPr>
        <w:t>Observaciones</w:t>
      </w:r>
      <w:r>
        <w:rPr>
          <w:spacing w:val="-7"/>
          <w:sz w:val="16"/>
        </w:rPr>
        <w:t xml:space="preserve"> </w:t>
      </w:r>
      <w:r>
        <w:rPr>
          <w:sz w:val="16"/>
        </w:rPr>
        <w:t>finales</w:t>
      </w:r>
      <w:r>
        <w:rPr>
          <w:spacing w:val="-1"/>
          <w:sz w:val="16"/>
        </w:rPr>
        <w:t xml:space="preserve"> </w:t>
      </w:r>
      <w:r>
        <w:rPr>
          <w:sz w:val="16"/>
        </w:rPr>
        <w:t>del</w:t>
      </w:r>
      <w:r>
        <w:rPr>
          <w:spacing w:val="-2"/>
          <w:sz w:val="16"/>
        </w:rPr>
        <w:t xml:space="preserve"> </w:t>
      </w:r>
      <w:r>
        <w:rPr>
          <w:sz w:val="16"/>
        </w:rPr>
        <w:t>Comité</w:t>
      </w:r>
      <w:r>
        <w:rPr>
          <w:spacing w:val="-2"/>
          <w:sz w:val="16"/>
        </w:rPr>
        <w:t xml:space="preserve"> </w:t>
      </w:r>
      <w:r>
        <w:rPr>
          <w:sz w:val="16"/>
        </w:rPr>
        <w:t>para</w:t>
      </w:r>
      <w:r>
        <w:rPr>
          <w:spacing w:val="-5"/>
          <w:sz w:val="16"/>
        </w:rPr>
        <w:t xml:space="preserve"> </w:t>
      </w:r>
      <w:r>
        <w:rPr>
          <w:sz w:val="16"/>
        </w:rPr>
        <w:t>la</w:t>
      </w:r>
      <w:r>
        <w:rPr>
          <w:spacing w:val="-2"/>
          <w:sz w:val="16"/>
        </w:rPr>
        <w:t xml:space="preserve"> </w:t>
      </w:r>
      <w:r>
        <w:rPr>
          <w:sz w:val="16"/>
        </w:rPr>
        <w:t>Eliminación</w:t>
      </w:r>
      <w:r>
        <w:rPr>
          <w:spacing w:val="-3"/>
          <w:sz w:val="16"/>
        </w:rPr>
        <w:t xml:space="preserve"> </w:t>
      </w:r>
      <w:r>
        <w:rPr>
          <w:sz w:val="16"/>
        </w:rPr>
        <w:t>de</w:t>
      </w:r>
      <w:r>
        <w:rPr>
          <w:spacing w:val="-4"/>
          <w:sz w:val="16"/>
        </w:rPr>
        <w:t xml:space="preserve"> </w:t>
      </w:r>
      <w:r>
        <w:rPr>
          <w:sz w:val="16"/>
        </w:rPr>
        <w:t>la</w:t>
      </w:r>
      <w:r>
        <w:rPr>
          <w:spacing w:val="-5"/>
          <w:sz w:val="16"/>
        </w:rPr>
        <w:t xml:space="preserve"> </w:t>
      </w:r>
      <w:r>
        <w:rPr>
          <w:sz w:val="16"/>
        </w:rPr>
        <w:t>Discriminación</w:t>
      </w:r>
      <w:r>
        <w:rPr>
          <w:spacing w:val="-6"/>
          <w:sz w:val="16"/>
        </w:rPr>
        <w:t xml:space="preserve"> </w:t>
      </w:r>
      <w:r>
        <w:rPr>
          <w:sz w:val="16"/>
        </w:rPr>
        <w:t>contra</w:t>
      </w:r>
      <w:r>
        <w:rPr>
          <w:spacing w:val="-5"/>
          <w:sz w:val="16"/>
        </w:rPr>
        <w:t xml:space="preserve"> </w:t>
      </w:r>
      <w:r>
        <w:rPr>
          <w:sz w:val="16"/>
        </w:rPr>
        <w:t>la</w:t>
      </w:r>
      <w:r>
        <w:rPr>
          <w:spacing w:val="-5"/>
          <w:sz w:val="16"/>
        </w:rPr>
        <w:t xml:space="preserve"> </w:t>
      </w:r>
      <w:r>
        <w:rPr>
          <w:sz w:val="16"/>
        </w:rPr>
        <w:t>Mujer,</w:t>
      </w:r>
      <w:r>
        <w:rPr>
          <w:spacing w:val="-8"/>
          <w:sz w:val="16"/>
        </w:rPr>
        <w:t xml:space="preserve"> </w:t>
      </w:r>
      <w:r>
        <w:rPr>
          <w:i/>
          <w:sz w:val="16"/>
        </w:rPr>
        <w:t>supra,</w:t>
      </w:r>
      <w:r>
        <w:rPr>
          <w:i/>
          <w:spacing w:val="-5"/>
          <w:sz w:val="16"/>
        </w:rPr>
        <w:t xml:space="preserve"> </w:t>
      </w:r>
      <w:r>
        <w:rPr>
          <w:sz w:val="16"/>
        </w:rPr>
        <w:t>párr.</w:t>
      </w:r>
      <w:r>
        <w:rPr>
          <w:spacing w:val="-5"/>
          <w:sz w:val="16"/>
        </w:rPr>
        <w:t xml:space="preserve"> </w:t>
      </w:r>
      <w:r>
        <w:rPr>
          <w:sz w:val="16"/>
        </w:rPr>
        <w:t>124.</w:t>
      </w:r>
    </w:p>
    <w:p w14:paraId="0A2BFB09" w14:textId="77777777" w:rsidR="00467FCA" w:rsidRDefault="001B68EB">
      <w:pPr>
        <w:tabs>
          <w:tab w:val="left" w:pos="839"/>
        </w:tabs>
        <w:ind w:left="120"/>
        <w:jc w:val="both"/>
        <w:rPr>
          <w:sz w:val="16"/>
        </w:rPr>
      </w:pPr>
      <w:bookmarkStart w:id="399" w:name="_bookmark351"/>
      <w:bookmarkEnd w:id="399"/>
      <w:r>
        <w:rPr>
          <w:position w:val="6"/>
          <w:sz w:val="10"/>
        </w:rPr>
        <w:t>302</w:t>
      </w:r>
      <w:r>
        <w:rPr>
          <w:position w:val="6"/>
          <w:sz w:val="10"/>
        </w:rPr>
        <w:tab/>
      </w:r>
      <w:bookmarkStart w:id="400" w:name="_bookmark352"/>
      <w:bookmarkEnd w:id="400"/>
      <w:r>
        <w:rPr>
          <w:i/>
          <w:sz w:val="16"/>
        </w:rPr>
        <w:t xml:space="preserve">Cfr. </w:t>
      </w:r>
      <w:r>
        <w:rPr>
          <w:sz w:val="16"/>
        </w:rPr>
        <w:t>Declaración rendida por Leila Cerqueira dos Santos,</w:t>
      </w:r>
      <w:r>
        <w:rPr>
          <w:spacing w:val="-14"/>
          <w:sz w:val="16"/>
        </w:rPr>
        <w:t xml:space="preserve"> </w:t>
      </w:r>
      <w:r>
        <w:rPr>
          <w:i/>
          <w:sz w:val="16"/>
        </w:rPr>
        <w:t>supra</w:t>
      </w:r>
      <w:r>
        <w:rPr>
          <w:sz w:val="16"/>
        </w:rPr>
        <w:t>.</w:t>
      </w:r>
    </w:p>
    <w:p w14:paraId="544A3347" w14:textId="77777777" w:rsidR="00467FCA" w:rsidRDefault="001B68EB">
      <w:pPr>
        <w:tabs>
          <w:tab w:val="left" w:pos="839"/>
        </w:tabs>
        <w:ind w:left="119" w:right="112"/>
        <w:jc w:val="both"/>
        <w:rPr>
          <w:sz w:val="16"/>
        </w:rPr>
      </w:pPr>
      <w:r>
        <w:rPr>
          <w:position w:val="6"/>
          <w:sz w:val="10"/>
        </w:rPr>
        <w:t>303</w:t>
      </w:r>
      <w:r>
        <w:rPr>
          <w:position w:val="6"/>
          <w:sz w:val="10"/>
        </w:rPr>
        <w:tab/>
      </w:r>
      <w:r>
        <w:rPr>
          <w:sz w:val="16"/>
        </w:rPr>
        <w:t>En sentido, esta Corte ha establecido</w:t>
      </w:r>
      <w:r>
        <w:rPr>
          <w:i/>
          <w:sz w:val="16"/>
        </w:rPr>
        <w:t>, mutatis mutandi</w:t>
      </w:r>
      <w:r>
        <w:rPr>
          <w:sz w:val="16"/>
        </w:rPr>
        <w:t>, que “[l]a presencia de condiciones de desigualdad real obliga a adoptar medidas de compensación que contribuyan a red</w:t>
      </w:r>
      <w:r>
        <w:rPr>
          <w:sz w:val="16"/>
        </w:rPr>
        <w:t>ucir o eliminar los obstáculos y deficiencias que impidan o reduzcan la defensa eficaz de los propios intereses. Si no existieran esos medios de compensación, ampliamente reconocidos en diversas vertientes del procedimiento, difícilmente se podría decir qu</w:t>
      </w:r>
      <w:r>
        <w:rPr>
          <w:sz w:val="16"/>
        </w:rPr>
        <w:t>e quienes se encuentran</w:t>
      </w:r>
      <w:r>
        <w:rPr>
          <w:spacing w:val="-4"/>
          <w:sz w:val="16"/>
        </w:rPr>
        <w:t xml:space="preserve"> </w:t>
      </w:r>
      <w:r>
        <w:rPr>
          <w:sz w:val="16"/>
        </w:rPr>
        <w:t>en</w:t>
      </w:r>
      <w:r>
        <w:rPr>
          <w:spacing w:val="-6"/>
          <w:sz w:val="16"/>
        </w:rPr>
        <w:t xml:space="preserve"> </w:t>
      </w:r>
      <w:r>
        <w:rPr>
          <w:sz w:val="16"/>
        </w:rPr>
        <w:t>condiciones</w:t>
      </w:r>
      <w:r>
        <w:rPr>
          <w:spacing w:val="-5"/>
          <w:sz w:val="16"/>
        </w:rPr>
        <w:t xml:space="preserve"> </w:t>
      </w:r>
      <w:r>
        <w:rPr>
          <w:sz w:val="16"/>
        </w:rPr>
        <w:t>de</w:t>
      </w:r>
      <w:r>
        <w:rPr>
          <w:spacing w:val="-7"/>
          <w:sz w:val="16"/>
        </w:rPr>
        <w:t xml:space="preserve"> </w:t>
      </w:r>
      <w:r>
        <w:rPr>
          <w:sz w:val="16"/>
        </w:rPr>
        <w:t>desventaja</w:t>
      </w:r>
      <w:r>
        <w:rPr>
          <w:spacing w:val="-6"/>
          <w:sz w:val="16"/>
        </w:rPr>
        <w:t xml:space="preserve"> </w:t>
      </w:r>
      <w:r>
        <w:rPr>
          <w:sz w:val="16"/>
        </w:rPr>
        <w:t>disfrutan</w:t>
      </w:r>
      <w:r>
        <w:rPr>
          <w:spacing w:val="-4"/>
          <w:sz w:val="16"/>
        </w:rPr>
        <w:t xml:space="preserve"> </w:t>
      </w:r>
      <w:r>
        <w:rPr>
          <w:sz w:val="16"/>
        </w:rPr>
        <w:t>de</w:t>
      </w:r>
      <w:r>
        <w:rPr>
          <w:spacing w:val="-5"/>
          <w:sz w:val="16"/>
        </w:rPr>
        <w:t xml:space="preserve"> </w:t>
      </w:r>
      <w:r>
        <w:rPr>
          <w:sz w:val="16"/>
        </w:rPr>
        <w:t>un</w:t>
      </w:r>
      <w:r>
        <w:rPr>
          <w:spacing w:val="-6"/>
          <w:sz w:val="16"/>
        </w:rPr>
        <w:t xml:space="preserve"> </w:t>
      </w:r>
      <w:r>
        <w:rPr>
          <w:sz w:val="16"/>
        </w:rPr>
        <w:t>verdadero</w:t>
      </w:r>
      <w:r>
        <w:rPr>
          <w:spacing w:val="-4"/>
          <w:sz w:val="16"/>
        </w:rPr>
        <w:t xml:space="preserve"> </w:t>
      </w:r>
      <w:r>
        <w:rPr>
          <w:sz w:val="16"/>
        </w:rPr>
        <w:t>acceso</w:t>
      </w:r>
      <w:r>
        <w:rPr>
          <w:spacing w:val="-4"/>
          <w:sz w:val="16"/>
        </w:rPr>
        <w:t xml:space="preserve"> </w:t>
      </w:r>
      <w:r>
        <w:rPr>
          <w:sz w:val="16"/>
        </w:rPr>
        <w:t>a</w:t>
      </w:r>
      <w:r>
        <w:rPr>
          <w:spacing w:val="-6"/>
          <w:sz w:val="16"/>
        </w:rPr>
        <w:t xml:space="preserve"> </w:t>
      </w:r>
      <w:r>
        <w:rPr>
          <w:sz w:val="16"/>
        </w:rPr>
        <w:t>la</w:t>
      </w:r>
      <w:r>
        <w:rPr>
          <w:spacing w:val="-3"/>
          <w:sz w:val="16"/>
        </w:rPr>
        <w:t xml:space="preserve"> </w:t>
      </w:r>
      <w:r>
        <w:rPr>
          <w:sz w:val="16"/>
        </w:rPr>
        <w:t>justicia</w:t>
      </w:r>
      <w:r>
        <w:rPr>
          <w:spacing w:val="-6"/>
          <w:sz w:val="16"/>
        </w:rPr>
        <w:t xml:space="preserve"> </w:t>
      </w:r>
      <w:r>
        <w:rPr>
          <w:sz w:val="16"/>
        </w:rPr>
        <w:t>y</w:t>
      </w:r>
      <w:r>
        <w:rPr>
          <w:spacing w:val="-7"/>
          <w:sz w:val="16"/>
        </w:rPr>
        <w:t xml:space="preserve"> </w:t>
      </w:r>
      <w:r>
        <w:rPr>
          <w:sz w:val="16"/>
        </w:rPr>
        <w:t>se</w:t>
      </w:r>
      <w:r>
        <w:rPr>
          <w:spacing w:val="-5"/>
          <w:sz w:val="16"/>
        </w:rPr>
        <w:t xml:space="preserve"> </w:t>
      </w:r>
      <w:r>
        <w:rPr>
          <w:sz w:val="16"/>
        </w:rPr>
        <w:t>benefician</w:t>
      </w:r>
      <w:r>
        <w:rPr>
          <w:spacing w:val="-3"/>
          <w:sz w:val="16"/>
        </w:rPr>
        <w:t xml:space="preserve"> </w:t>
      </w:r>
      <w:r>
        <w:rPr>
          <w:sz w:val="16"/>
        </w:rPr>
        <w:t>de</w:t>
      </w:r>
      <w:r>
        <w:rPr>
          <w:spacing w:val="-3"/>
          <w:sz w:val="16"/>
        </w:rPr>
        <w:t xml:space="preserve"> </w:t>
      </w:r>
      <w:r>
        <w:rPr>
          <w:sz w:val="16"/>
        </w:rPr>
        <w:t>un</w:t>
      </w:r>
      <w:r>
        <w:rPr>
          <w:spacing w:val="-6"/>
          <w:sz w:val="16"/>
        </w:rPr>
        <w:t xml:space="preserve"> </w:t>
      </w:r>
      <w:r>
        <w:rPr>
          <w:sz w:val="16"/>
        </w:rPr>
        <w:t xml:space="preserve">debido proceso legal en condiciones de igualdad con quienes no afrontan esas desventajas”. </w:t>
      </w:r>
      <w:r>
        <w:rPr>
          <w:i/>
          <w:sz w:val="16"/>
        </w:rPr>
        <w:t>El Derecho a la Información sobre la Asiste</w:t>
      </w:r>
      <w:r>
        <w:rPr>
          <w:i/>
          <w:sz w:val="16"/>
        </w:rPr>
        <w:t xml:space="preserve">ncia Consular en el Marco de las Garantías del Debido Proceso Legal, supra, </w:t>
      </w:r>
      <w:r>
        <w:rPr>
          <w:sz w:val="16"/>
        </w:rPr>
        <w:t>párr.</w:t>
      </w:r>
      <w:r>
        <w:rPr>
          <w:spacing w:val="-17"/>
          <w:sz w:val="16"/>
        </w:rPr>
        <w:t xml:space="preserve"> </w:t>
      </w:r>
      <w:r>
        <w:rPr>
          <w:sz w:val="16"/>
        </w:rPr>
        <w:t>119.</w:t>
      </w:r>
    </w:p>
    <w:p w14:paraId="3D9E0EAC" w14:textId="77777777" w:rsidR="00467FCA" w:rsidRDefault="001B68EB">
      <w:pPr>
        <w:tabs>
          <w:tab w:val="left" w:pos="839"/>
        </w:tabs>
        <w:ind w:left="119" w:right="112"/>
        <w:jc w:val="both"/>
        <w:rPr>
          <w:sz w:val="16"/>
        </w:rPr>
      </w:pPr>
      <w:bookmarkStart w:id="401" w:name="_bookmark353"/>
      <w:bookmarkEnd w:id="401"/>
      <w:r>
        <w:rPr>
          <w:position w:val="6"/>
          <w:sz w:val="10"/>
        </w:rPr>
        <w:t>304</w:t>
      </w:r>
      <w:r>
        <w:rPr>
          <w:position w:val="6"/>
          <w:sz w:val="10"/>
        </w:rPr>
        <w:tab/>
      </w:r>
      <w:r>
        <w:rPr>
          <w:sz w:val="16"/>
        </w:rPr>
        <w:t>De acuerdo con el peritaje presentado a esta Corte por Christian Courtis, “el Estado tenía la obligación de adoptar medidas concretas y deliberadas destinadas a la p</w:t>
      </w:r>
      <w:r>
        <w:rPr>
          <w:sz w:val="16"/>
        </w:rPr>
        <w:t>lena realización del derecho al trabajo, particularmente respecto de las personas y grupos desfavorecidos y marginalizados. Cabe señalar que el Estado puede optar entre una gran variedad de medidas -entre ellas, promoción del empleo privado, creación de em</w:t>
      </w:r>
      <w:r>
        <w:rPr>
          <w:sz w:val="16"/>
        </w:rPr>
        <w:t>pleo público, medidas destinadas a la formalización de trabajadores que trabajan en el sector informal, medidas destinadas a</w:t>
      </w:r>
      <w:r>
        <w:rPr>
          <w:spacing w:val="26"/>
          <w:sz w:val="16"/>
        </w:rPr>
        <w:t xml:space="preserve"> </w:t>
      </w:r>
      <w:r>
        <w:rPr>
          <w:sz w:val="16"/>
        </w:rPr>
        <w:t>la</w:t>
      </w:r>
    </w:p>
    <w:p w14:paraId="73A5BB31" w14:textId="77777777" w:rsidR="00467FCA" w:rsidRDefault="00467FCA">
      <w:pPr>
        <w:jc w:val="both"/>
        <w:rPr>
          <w:sz w:val="16"/>
        </w:rPr>
        <w:sectPr w:rsidR="00467FCA">
          <w:pgSz w:w="12240" w:h="15840"/>
          <w:pgMar w:top="1500" w:right="1320" w:bottom="1220" w:left="1320" w:header="0" w:footer="1037" w:gutter="0"/>
          <w:cols w:space="720"/>
        </w:sectPr>
      </w:pPr>
    </w:p>
    <w:p w14:paraId="380B376B" w14:textId="77777777" w:rsidR="00467FCA" w:rsidRDefault="001B68EB">
      <w:pPr>
        <w:pStyle w:val="Textoindependiente"/>
        <w:spacing w:before="80"/>
        <w:ind w:left="120"/>
      </w:pPr>
      <w:r>
        <w:t>marginación.</w:t>
      </w:r>
    </w:p>
    <w:p w14:paraId="2159DE03" w14:textId="77777777" w:rsidR="00467FCA" w:rsidRDefault="00467FCA">
      <w:pPr>
        <w:pStyle w:val="Textoindependiente"/>
        <w:spacing w:before="1"/>
      </w:pPr>
    </w:p>
    <w:p w14:paraId="0FA6E046" w14:textId="77777777" w:rsidR="00467FCA" w:rsidRDefault="001B68EB">
      <w:pPr>
        <w:pStyle w:val="Prrafodelista"/>
        <w:numPr>
          <w:ilvl w:val="0"/>
          <w:numId w:val="50"/>
        </w:numPr>
        <w:tabs>
          <w:tab w:val="left" w:pos="687"/>
        </w:tabs>
        <w:ind w:left="119" w:right="118" w:firstLine="0"/>
        <w:jc w:val="both"/>
        <w:rPr>
          <w:sz w:val="20"/>
        </w:rPr>
      </w:pPr>
      <w:r>
        <w:rPr>
          <w:sz w:val="20"/>
        </w:rPr>
        <w:t>En el caso concreto, este Tribunal ha determinado que las empleadas de la fábrica de fuegos hacían p</w:t>
      </w:r>
      <w:r>
        <w:rPr>
          <w:sz w:val="20"/>
        </w:rPr>
        <w:t>arte de un grupo discriminado o marginado porque se encontraban en una situación de pobreza estructural y eran, en una amplísima mayoría, mujeres y niñas afrodescendientes.</w:t>
      </w:r>
      <w:r>
        <w:rPr>
          <w:spacing w:val="-17"/>
          <w:sz w:val="20"/>
        </w:rPr>
        <w:t xml:space="preserve"> </w:t>
      </w:r>
      <w:r>
        <w:rPr>
          <w:sz w:val="20"/>
        </w:rPr>
        <w:t>Sin</w:t>
      </w:r>
      <w:r>
        <w:rPr>
          <w:spacing w:val="-14"/>
          <w:sz w:val="20"/>
        </w:rPr>
        <w:t xml:space="preserve"> </w:t>
      </w:r>
      <w:r>
        <w:rPr>
          <w:sz w:val="20"/>
        </w:rPr>
        <w:t>embargo,</w:t>
      </w:r>
      <w:r>
        <w:rPr>
          <w:spacing w:val="-14"/>
          <w:sz w:val="20"/>
        </w:rPr>
        <w:t xml:space="preserve"> </w:t>
      </w:r>
      <w:r>
        <w:rPr>
          <w:sz w:val="20"/>
        </w:rPr>
        <w:t>el</w:t>
      </w:r>
      <w:r>
        <w:rPr>
          <w:spacing w:val="-16"/>
          <w:sz w:val="20"/>
        </w:rPr>
        <w:t xml:space="preserve"> </w:t>
      </w:r>
      <w:r>
        <w:rPr>
          <w:sz w:val="20"/>
        </w:rPr>
        <w:t>Estado</w:t>
      </w:r>
      <w:r>
        <w:rPr>
          <w:spacing w:val="-16"/>
          <w:sz w:val="20"/>
        </w:rPr>
        <w:t xml:space="preserve"> </w:t>
      </w:r>
      <w:r>
        <w:rPr>
          <w:sz w:val="20"/>
        </w:rPr>
        <w:t>no</w:t>
      </w:r>
      <w:r>
        <w:rPr>
          <w:spacing w:val="-16"/>
          <w:sz w:val="20"/>
        </w:rPr>
        <w:t xml:space="preserve"> </w:t>
      </w:r>
      <w:r>
        <w:rPr>
          <w:sz w:val="20"/>
        </w:rPr>
        <w:t>adoptó</w:t>
      </w:r>
      <w:r>
        <w:rPr>
          <w:spacing w:val="-17"/>
          <w:sz w:val="20"/>
        </w:rPr>
        <w:t xml:space="preserve"> </w:t>
      </w:r>
      <w:r>
        <w:rPr>
          <w:sz w:val="20"/>
        </w:rPr>
        <w:t>ninguna</w:t>
      </w:r>
      <w:r>
        <w:rPr>
          <w:spacing w:val="-15"/>
          <w:sz w:val="20"/>
        </w:rPr>
        <w:t xml:space="preserve"> </w:t>
      </w:r>
      <w:r>
        <w:rPr>
          <w:sz w:val="20"/>
        </w:rPr>
        <w:t>medida</w:t>
      </w:r>
      <w:r>
        <w:rPr>
          <w:spacing w:val="-16"/>
          <w:sz w:val="20"/>
        </w:rPr>
        <w:t xml:space="preserve"> </w:t>
      </w:r>
      <w:r>
        <w:rPr>
          <w:sz w:val="20"/>
        </w:rPr>
        <w:t>que</w:t>
      </w:r>
      <w:r>
        <w:rPr>
          <w:spacing w:val="-16"/>
          <w:sz w:val="20"/>
        </w:rPr>
        <w:t xml:space="preserve"> </w:t>
      </w:r>
      <w:r>
        <w:rPr>
          <w:sz w:val="20"/>
        </w:rPr>
        <w:t>pueda</w:t>
      </w:r>
      <w:r>
        <w:rPr>
          <w:spacing w:val="-16"/>
          <w:sz w:val="20"/>
        </w:rPr>
        <w:t xml:space="preserve"> </w:t>
      </w:r>
      <w:r>
        <w:rPr>
          <w:sz w:val="20"/>
        </w:rPr>
        <w:t>ser</w:t>
      </w:r>
      <w:r>
        <w:rPr>
          <w:spacing w:val="-16"/>
          <w:sz w:val="20"/>
        </w:rPr>
        <w:t xml:space="preserve"> </w:t>
      </w:r>
      <w:r>
        <w:rPr>
          <w:sz w:val="20"/>
        </w:rPr>
        <w:t>valorada por la Corte como una forma de enfrentar o de buscar revertir la situación de pobreza y marginación</w:t>
      </w:r>
      <w:r>
        <w:rPr>
          <w:spacing w:val="-17"/>
          <w:sz w:val="20"/>
        </w:rPr>
        <w:t xml:space="preserve"> </w:t>
      </w:r>
      <w:r>
        <w:rPr>
          <w:sz w:val="20"/>
        </w:rPr>
        <w:t>estructural</w:t>
      </w:r>
      <w:r>
        <w:rPr>
          <w:spacing w:val="-15"/>
          <w:sz w:val="20"/>
        </w:rPr>
        <w:t xml:space="preserve"> </w:t>
      </w:r>
      <w:r>
        <w:rPr>
          <w:sz w:val="20"/>
        </w:rPr>
        <w:t>de</w:t>
      </w:r>
      <w:r>
        <w:rPr>
          <w:spacing w:val="-21"/>
          <w:sz w:val="20"/>
        </w:rPr>
        <w:t xml:space="preserve"> </w:t>
      </w:r>
      <w:r>
        <w:rPr>
          <w:sz w:val="20"/>
        </w:rPr>
        <w:t>las</w:t>
      </w:r>
      <w:r>
        <w:rPr>
          <w:spacing w:val="-18"/>
          <w:sz w:val="20"/>
        </w:rPr>
        <w:t xml:space="preserve"> </w:t>
      </w:r>
      <w:r>
        <w:rPr>
          <w:sz w:val="20"/>
        </w:rPr>
        <w:t>trabajadoras</w:t>
      </w:r>
      <w:r>
        <w:rPr>
          <w:spacing w:val="-21"/>
          <w:sz w:val="20"/>
        </w:rPr>
        <w:t xml:space="preserve"> </w:t>
      </w:r>
      <w:r>
        <w:rPr>
          <w:sz w:val="20"/>
        </w:rPr>
        <w:t>de</w:t>
      </w:r>
      <w:r>
        <w:rPr>
          <w:spacing w:val="-21"/>
          <w:sz w:val="20"/>
        </w:rPr>
        <w:t xml:space="preserve"> </w:t>
      </w:r>
      <w:r>
        <w:rPr>
          <w:sz w:val="20"/>
        </w:rPr>
        <w:t>la</w:t>
      </w:r>
      <w:r>
        <w:rPr>
          <w:spacing w:val="-17"/>
          <w:sz w:val="20"/>
        </w:rPr>
        <w:t xml:space="preserve"> </w:t>
      </w:r>
      <w:r>
        <w:rPr>
          <w:sz w:val="20"/>
        </w:rPr>
        <w:t>fábrica</w:t>
      </w:r>
      <w:r>
        <w:rPr>
          <w:spacing w:val="-20"/>
          <w:sz w:val="20"/>
        </w:rPr>
        <w:t xml:space="preserve"> </w:t>
      </w:r>
      <w:r>
        <w:rPr>
          <w:sz w:val="20"/>
        </w:rPr>
        <w:t>de</w:t>
      </w:r>
      <w:r>
        <w:rPr>
          <w:spacing w:val="-19"/>
          <w:sz w:val="20"/>
        </w:rPr>
        <w:t xml:space="preserve"> </w:t>
      </w:r>
      <w:r>
        <w:rPr>
          <w:sz w:val="20"/>
        </w:rPr>
        <w:t>fuegos,</w:t>
      </w:r>
      <w:r>
        <w:rPr>
          <w:spacing w:val="-18"/>
          <w:sz w:val="20"/>
        </w:rPr>
        <w:t xml:space="preserve"> </w:t>
      </w:r>
      <w:r>
        <w:rPr>
          <w:sz w:val="20"/>
        </w:rPr>
        <w:t>con</w:t>
      </w:r>
      <w:r>
        <w:rPr>
          <w:spacing w:val="-19"/>
          <w:sz w:val="20"/>
        </w:rPr>
        <w:t xml:space="preserve"> </w:t>
      </w:r>
      <w:r>
        <w:rPr>
          <w:sz w:val="20"/>
        </w:rPr>
        <w:t>atención</w:t>
      </w:r>
      <w:r>
        <w:rPr>
          <w:spacing w:val="-19"/>
          <w:sz w:val="20"/>
        </w:rPr>
        <w:t xml:space="preserve"> </w:t>
      </w:r>
      <w:r>
        <w:rPr>
          <w:sz w:val="20"/>
        </w:rPr>
        <w:t>a</w:t>
      </w:r>
      <w:r>
        <w:rPr>
          <w:spacing w:val="-17"/>
          <w:sz w:val="20"/>
        </w:rPr>
        <w:t xml:space="preserve"> </w:t>
      </w:r>
      <w:r>
        <w:rPr>
          <w:sz w:val="20"/>
        </w:rPr>
        <w:t>los</w:t>
      </w:r>
      <w:r>
        <w:rPr>
          <w:spacing w:val="-18"/>
          <w:sz w:val="20"/>
        </w:rPr>
        <w:t xml:space="preserve"> </w:t>
      </w:r>
      <w:r>
        <w:rPr>
          <w:sz w:val="20"/>
        </w:rPr>
        <w:t>factores de discriminación que confluían en el caso</w:t>
      </w:r>
      <w:r>
        <w:rPr>
          <w:spacing w:val="-4"/>
          <w:sz w:val="20"/>
        </w:rPr>
        <w:t xml:space="preserve"> </w:t>
      </w:r>
      <w:r>
        <w:rPr>
          <w:sz w:val="20"/>
        </w:rPr>
        <w:t>concreto.</w:t>
      </w:r>
    </w:p>
    <w:p w14:paraId="0FF6A657" w14:textId="77777777" w:rsidR="00467FCA" w:rsidRDefault="00467FCA">
      <w:pPr>
        <w:pStyle w:val="Textoindependiente"/>
      </w:pPr>
    </w:p>
    <w:p w14:paraId="045800F8" w14:textId="77777777" w:rsidR="00467FCA" w:rsidRDefault="001B68EB">
      <w:pPr>
        <w:pStyle w:val="Prrafodelista"/>
        <w:numPr>
          <w:ilvl w:val="0"/>
          <w:numId w:val="50"/>
        </w:numPr>
        <w:tabs>
          <w:tab w:val="left" w:pos="687"/>
        </w:tabs>
        <w:ind w:left="119" w:right="116" w:firstLine="0"/>
        <w:jc w:val="both"/>
        <w:rPr>
          <w:sz w:val="20"/>
        </w:rPr>
      </w:pPr>
      <w:r>
        <w:rPr>
          <w:sz w:val="20"/>
        </w:rPr>
        <w:t xml:space="preserve">Además, </w:t>
      </w:r>
      <w:r>
        <w:rPr>
          <w:sz w:val="20"/>
        </w:rPr>
        <w:t>en este caso la Corte encuentra que el Estado tenía conocimiento de la situación de especial vulnerabilidad de las presuntas víctimas, pues según los datos divulgados</w:t>
      </w:r>
      <w:r>
        <w:rPr>
          <w:spacing w:val="-12"/>
          <w:sz w:val="20"/>
        </w:rPr>
        <w:t xml:space="preserve"> </w:t>
      </w:r>
      <w:r>
        <w:rPr>
          <w:sz w:val="20"/>
        </w:rPr>
        <w:t>por</w:t>
      </w:r>
      <w:r>
        <w:rPr>
          <w:spacing w:val="-12"/>
          <w:sz w:val="20"/>
        </w:rPr>
        <w:t xml:space="preserve"> </w:t>
      </w:r>
      <w:r>
        <w:rPr>
          <w:sz w:val="20"/>
        </w:rPr>
        <w:t>órganos</w:t>
      </w:r>
      <w:r>
        <w:rPr>
          <w:spacing w:val="-10"/>
          <w:sz w:val="20"/>
        </w:rPr>
        <w:t xml:space="preserve"> </w:t>
      </w:r>
      <w:r>
        <w:rPr>
          <w:sz w:val="20"/>
        </w:rPr>
        <w:t>del</w:t>
      </w:r>
      <w:r>
        <w:rPr>
          <w:spacing w:val="-10"/>
          <w:sz w:val="20"/>
        </w:rPr>
        <w:t xml:space="preserve"> </w:t>
      </w:r>
      <w:r>
        <w:rPr>
          <w:sz w:val="20"/>
        </w:rPr>
        <w:t>mismo</w:t>
      </w:r>
      <w:r>
        <w:rPr>
          <w:spacing w:val="-12"/>
          <w:sz w:val="20"/>
        </w:rPr>
        <w:t xml:space="preserve"> </w:t>
      </w:r>
      <w:r>
        <w:rPr>
          <w:sz w:val="20"/>
        </w:rPr>
        <w:t>Estado,</w:t>
      </w:r>
      <w:r>
        <w:rPr>
          <w:spacing w:val="-12"/>
          <w:sz w:val="20"/>
        </w:rPr>
        <w:t xml:space="preserve"> </w:t>
      </w:r>
      <w:r>
        <w:rPr>
          <w:sz w:val="20"/>
        </w:rPr>
        <w:t>una</w:t>
      </w:r>
      <w:r>
        <w:rPr>
          <w:spacing w:val="-10"/>
          <w:sz w:val="20"/>
        </w:rPr>
        <w:t xml:space="preserve"> </w:t>
      </w:r>
      <w:r>
        <w:rPr>
          <w:sz w:val="20"/>
        </w:rPr>
        <w:t>cifra</w:t>
      </w:r>
      <w:r>
        <w:rPr>
          <w:spacing w:val="-11"/>
          <w:sz w:val="20"/>
        </w:rPr>
        <w:t xml:space="preserve"> </w:t>
      </w:r>
      <w:r>
        <w:rPr>
          <w:sz w:val="20"/>
        </w:rPr>
        <w:t>significativa</w:t>
      </w:r>
      <w:r>
        <w:rPr>
          <w:spacing w:val="-11"/>
          <w:sz w:val="20"/>
        </w:rPr>
        <w:t xml:space="preserve"> </w:t>
      </w:r>
      <w:r>
        <w:rPr>
          <w:sz w:val="20"/>
        </w:rPr>
        <w:t>de</w:t>
      </w:r>
      <w:r>
        <w:rPr>
          <w:spacing w:val="-12"/>
          <w:sz w:val="20"/>
        </w:rPr>
        <w:t xml:space="preserve"> </w:t>
      </w:r>
      <w:r>
        <w:rPr>
          <w:sz w:val="20"/>
        </w:rPr>
        <w:t>la</w:t>
      </w:r>
      <w:r>
        <w:rPr>
          <w:spacing w:val="-10"/>
          <w:sz w:val="20"/>
        </w:rPr>
        <w:t xml:space="preserve"> </w:t>
      </w:r>
      <w:r>
        <w:rPr>
          <w:sz w:val="20"/>
        </w:rPr>
        <w:t>población</w:t>
      </w:r>
      <w:r>
        <w:rPr>
          <w:spacing w:val="-10"/>
          <w:sz w:val="20"/>
        </w:rPr>
        <w:t xml:space="preserve"> </w:t>
      </w:r>
      <w:r>
        <w:rPr>
          <w:sz w:val="20"/>
        </w:rPr>
        <w:t>del</w:t>
      </w:r>
      <w:r>
        <w:rPr>
          <w:spacing w:val="-11"/>
          <w:sz w:val="20"/>
        </w:rPr>
        <w:t xml:space="preserve"> </w:t>
      </w:r>
      <w:r>
        <w:rPr>
          <w:sz w:val="20"/>
        </w:rPr>
        <w:t>municipio de Santo Antônio de Jesus, para la fecha de los hechos, vivía en situación de pobreza. También, de acuerdo con bases de datos estatales, era de conocimiento del Estado que las mujeres afrodescendientes se encontraban en particular situación de vu</w:t>
      </w:r>
      <w:r>
        <w:rPr>
          <w:sz w:val="20"/>
        </w:rPr>
        <w:t>lnerabilidad toda vez que, entre otros factores, tenían menor acceso a trabajos formales. En este sentido, al permitir la instalación y funcionamiento de la fábrica de fuegos en una zona en la que una parte sustancial de la población es vulnerable, el Esta</w:t>
      </w:r>
      <w:r>
        <w:rPr>
          <w:sz w:val="20"/>
        </w:rPr>
        <w:t>do tenía una obligación reforzada de fiscalizar las condiciones de funcionamiento de las instalaciones y de garantizar que efectivamente se adoptaran medidas para la protección de la vida y la salud de las trabajadoras y para garantizar su derecho a la igu</w:t>
      </w:r>
      <w:r>
        <w:rPr>
          <w:sz w:val="20"/>
        </w:rPr>
        <w:t xml:space="preserve">aldad material. Por ello, al no haber fiscalizado las condiciones de higiene, salud y seguridad del trabajo en la fábrica, ni la actividad de fabricación de fuegos artificiales para, especialmente, evitar accidentes de trabajo, el Estado de Brasil no solo </w:t>
      </w:r>
      <w:r>
        <w:rPr>
          <w:sz w:val="20"/>
        </w:rPr>
        <w:t>dejó de garantizar el derecho a condiciones equitativas y satisfactorias de trabajo de las presuntas víctimas, sino también contribuyó a agravar las condiciones de discriminación estructural en que se</w:t>
      </w:r>
      <w:r>
        <w:rPr>
          <w:spacing w:val="-2"/>
          <w:sz w:val="20"/>
        </w:rPr>
        <w:t xml:space="preserve"> </w:t>
      </w:r>
      <w:r>
        <w:rPr>
          <w:sz w:val="20"/>
        </w:rPr>
        <w:t>encontraban.</w:t>
      </w:r>
    </w:p>
    <w:p w14:paraId="3F29E7C3" w14:textId="77777777" w:rsidR="00467FCA" w:rsidRDefault="00467FCA">
      <w:pPr>
        <w:pStyle w:val="Textoindependiente"/>
      </w:pPr>
    </w:p>
    <w:p w14:paraId="45ACEA1F" w14:textId="77777777" w:rsidR="00467FCA" w:rsidRDefault="001B68EB">
      <w:pPr>
        <w:pStyle w:val="Prrafodelista"/>
        <w:numPr>
          <w:ilvl w:val="0"/>
          <w:numId w:val="50"/>
        </w:numPr>
        <w:tabs>
          <w:tab w:val="left" w:pos="687"/>
        </w:tabs>
        <w:ind w:right="117" w:firstLine="0"/>
        <w:jc w:val="both"/>
        <w:rPr>
          <w:sz w:val="20"/>
        </w:rPr>
      </w:pPr>
      <w:r>
        <w:rPr>
          <w:sz w:val="20"/>
        </w:rPr>
        <w:t>El Estado, al referirse a las alegadas vi</w:t>
      </w:r>
      <w:r>
        <w:rPr>
          <w:sz w:val="20"/>
        </w:rPr>
        <w:t>olaciones al artículo 24 de la Convención, indicó que</w:t>
      </w:r>
      <w:r>
        <w:rPr>
          <w:spacing w:val="-5"/>
          <w:sz w:val="20"/>
        </w:rPr>
        <w:t xml:space="preserve"> </w:t>
      </w:r>
      <w:r>
        <w:rPr>
          <w:sz w:val="20"/>
        </w:rPr>
        <w:t>dispone</w:t>
      </w:r>
      <w:r>
        <w:rPr>
          <w:spacing w:val="-4"/>
          <w:sz w:val="20"/>
        </w:rPr>
        <w:t xml:space="preserve"> </w:t>
      </w:r>
      <w:r>
        <w:rPr>
          <w:sz w:val="20"/>
        </w:rPr>
        <w:t>de</w:t>
      </w:r>
      <w:r>
        <w:rPr>
          <w:spacing w:val="-4"/>
          <w:sz w:val="20"/>
        </w:rPr>
        <w:t xml:space="preserve"> </w:t>
      </w:r>
      <w:r>
        <w:rPr>
          <w:sz w:val="20"/>
        </w:rPr>
        <w:t>una</w:t>
      </w:r>
      <w:r>
        <w:rPr>
          <w:spacing w:val="-4"/>
          <w:sz w:val="20"/>
        </w:rPr>
        <w:t xml:space="preserve"> </w:t>
      </w:r>
      <w:r>
        <w:rPr>
          <w:sz w:val="20"/>
        </w:rPr>
        <w:t>estructura</w:t>
      </w:r>
      <w:r>
        <w:rPr>
          <w:spacing w:val="-3"/>
          <w:sz w:val="20"/>
        </w:rPr>
        <w:t xml:space="preserve"> </w:t>
      </w:r>
      <w:r>
        <w:rPr>
          <w:sz w:val="20"/>
        </w:rPr>
        <w:t>legal</w:t>
      </w:r>
      <w:r>
        <w:rPr>
          <w:spacing w:val="-3"/>
          <w:sz w:val="20"/>
        </w:rPr>
        <w:t xml:space="preserve"> </w:t>
      </w:r>
      <w:r>
        <w:rPr>
          <w:sz w:val="20"/>
        </w:rPr>
        <w:t>efectiva</w:t>
      </w:r>
      <w:r>
        <w:rPr>
          <w:spacing w:val="-4"/>
          <w:sz w:val="20"/>
        </w:rPr>
        <w:t xml:space="preserve"> </w:t>
      </w:r>
      <w:r>
        <w:rPr>
          <w:sz w:val="20"/>
        </w:rPr>
        <w:t>para</w:t>
      </w:r>
      <w:r>
        <w:rPr>
          <w:spacing w:val="-3"/>
          <w:sz w:val="20"/>
        </w:rPr>
        <w:t xml:space="preserve"> </w:t>
      </w:r>
      <w:r>
        <w:rPr>
          <w:sz w:val="20"/>
        </w:rPr>
        <w:t>la</w:t>
      </w:r>
      <w:r>
        <w:rPr>
          <w:spacing w:val="-3"/>
          <w:sz w:val="20"/>
        </w:rPr>
        <w:t xml:space="preserve"> </w:t>
      </w:r>
      <w:r>
        <w:rPr>
          <w:sz w:val="20"/>
        </w:rPr>
        <w:t>reducción</w:t>
      </w:r>
      <w:r>
        <w:rPr>
          <w:spacing w:val="-3"/>
          <w:sz w:val="20"/>
        </w:rPr>
        <w:t xml:space="preserve"> </w:t>
      </w:r>
      <w:r>
        <w:rPr>
          <w:sz w:val="20"/>
        </w:rPr>
        <w:t>de</w:t>
      </w:r>
      <w:r>
        <w:rPr>
          <w:spacing w:val="-4"/>
          <w:sz w:val="20"/>
        </w:rPr>
        <w:t xml:space="preserve"> </w:t>
      </w:r>
      <w:r>
        <w:rPr>
          <w:sz w:val="20"/>
        </w:rPr>
        <w:t>las</w:t>
      </w:r>
      <w:r>
        <w:rPr>
          <w:spacing w:val="-4"/>
          <w:sz w:val="20"/>
        </w:rPr>
        <w:t xml:space="preserve"> </w:t>
      </w:r>
      <w:r>
        <w:rPr>
          <w:sz w:val="20"/>
        </w:rPr>
        <w:t>desigualdades</w:t>
      </w:r>
      <w:r>
        <w:rPr>
          <w:spacing w:val="-5"/>
          <w:sz w:val="20"/>
        </w:rPr>
        <w:t xml:space="preserve"> </w:t>
      </w:r>
      <w:r>
        <w:rPr>
          <w:sz w:val="20"/>
        </w:rPr>
        <w:t>y</w:t>
      </w:r>
      <w:r>
        <w:rPr>
          <w:spacing w:val="-3"/>
          <w:sz w:val="20"/>
        </w:rPr>
        <w:t xml:space="preserve"> </w:t>
      </w:r>
      <w:r>
        <w:rPr>
          <w:sz w:val="20"/>
        </w:rPr>
        <w:t>que</w:t>
      </w:r>
      <w:r>
        <w:rPr>
          <w:spacing w:val="-4"/>
          <w:sz w:val="20"/>
        </w:rPr>
        <w:t xml:space="preserve"> </w:t>
      </w:r>
      <w:r>
        <w:rPr>
          <w:sz w:val="20"/>
        </w:rPr>
        <w:t>ha adelantado diversas políticas públicas con ese mismo objetivo en el municipio de Santo Antônio de Jesus. Sin emba</w:t>
      </w:r>
      <w:r>
        <w:rPr>
          <w:sz w:val="20"/>
        </w:rPr>
        <w:t>rgo, la Corte encuentra que el Estado no probó que la situación de discriminación estructural padecida por las mujeres que se dedican a la fabricación de fuegos artificiales haya</w:t>
      </w:r>
      <w:r>
        <w:rPr>
          <w:spacing w:val="-3"/>
          <w:sz w:val="20"/>
        </w:rPr>
        <w:t xml:space="preserve"> </w:t>
      </w:r>
      <w:r>
        <w:rPr>
          <w:sz w:val="20"/>
        </w:rPr>
        <w:t>cambiado.</w:t>
      </w:r>
    </w:p>
    <w:p w14:paraId="159E8FA4" w14:textId="77777777" w:rsidR="00467FCA" w:rsidRDefault="00467FCA">
      <w:pPr>
        <w:pStyle w:val="Textoindependiente"/>
        <w:spacing w:before="1"/>
      </w:pPr>
    </w:p>
    <w:p w14:paraId="7EF93B06" w14:textId="77777777" w:rsidR="00467FCA" w:rsidRDefault="001B68EB">
      <w:pPr>
        <w:pStyle w:val="Prrafodelista"/>
        <w:numPr>
          <w:ilvl w:val="0"/>
          <w:numId w:val="50"/>
        </w:numPr>
        <w:tabs>
          <w:tab w:val="left" w:pos="687"/>
        </w:tabs>
        <w:ind w:right="116" w:firstLine="0"/>
        <w:jc w:val="both"/>
        <w:rPr>
          <w:sz w:val="20"/>
        </w:rPr>
      </w:pPr>
      <w:r>
        <w:rPr>
          <w:sz w:val="20"/>
        </w:rPr>
        <w:t>En suma, la Corte encuentra que la situación de pobreza de las presuntas víctimas, aunada a los factores interseccionales de discriminación ya mencionados, que agravaban la condición</w:t>
      </w:r>
      <w:r>
        <w:rPr>
          <w:spacing w:val="-13"/>
          <w:sz w:val="20"/>
        </w:rPr>
        <w:t xml:space="preserve"> </w:t>
      </w:r>
      <w:r>
        <w:rPr>
          <w:sz w:val="20"/>
        </w:rPr>
        <w:t>de</w:t>
      </w:r>
      <w:r>
        <w:rPr>
          <w:spacing w:val="-14"/>
          <w:sz w:val="20"/>
        </w:rPr>
        <w:t xml:space="preserve"> </w:t>
      </w:r>
      <w:r>
        <w:rPr>
          <w:sz w:val="20"/>
        </w:rPr>
        <w:t>vulnerabilidad,</w:t>
      </w:r>
      <w:r>
        <w:rPr>
          <w:spacing w:val="-17"/>
          <w:sz w:val="20"/>
        </w:rPr>
        <w:t xml:space="preserve"> </w:t>
      </w:r>
      <w:r>
        <w:rPr>
          <w:sz w:val="20"/>
        </w:rPr>
        <w:t>(i)</w:t>
      </w:r>
      <w:r>
        <w:rPr>
          <w:spacing w:val="-15"/>
          <w:sz w:val="20"/>
        </w:rPr>
        <w:t xml:space="preserve"> </w:t>
      </w:r>
      <w:r>
        <w:rPr>
          <w:sz w:val="20"/>
        </w:rPr>
        <w:t>facilitó</w:t>
      </w:r>
      <w:r>
        <w:rPr>
          <w:spacing w:val="-16"/>
          <w:sz w:val="20"/>
        </w:rPr>
        <w:t xml:space="preserve"> </w:t>
      </w:r>
      <w:r>
        <w:rPr>
          <w:sz w:val="20"/>
        </w:rPr>
        <w:t>la</w:t>
      </w:r>
      <w:r>
        <w:rPr>
          <w:spacing w:val="-16"/>
          <w:sz w:val="20"/>
        </w:rPr>
        <w:t xml:space="preserve"> </w:t>
      </w:r>
      <w:r>
        <w:rPr>
          <w:sz w:val="20"/>
        </w:rPr>
        <w:t>instalación</w:t>
      </w:r>
      <w:r>
        <w:rPr>
          <w:spacing w:val="-14"/>
          <w:sz w:val="20"/>
        </w:rPr>
        <w:t xml:space="preserve"> </w:t>
      </w:r>
      <w:r>
        <w:rPr>
          <w:sz w:val="20"/>
        </w:rPr>
        <w:t>y</w:t>
      </w:r>
      <w:r>
        <w:rPr>
          <w:spacing w:val="-14"/>
          <w:sz w:val="20"/>
        </w:rPr>
        <w:t xml:space="preserve"> </w:t>
      </w:r>
      <w:r>
        <w:rPr>
          <w:sz w:val="20"/>
        </w:rPr>
        <w:t>funcionamiento</w:t>
      </w:r>
      <w:r>
        <w:rPr>
          <w:spacing w:val="-16"/>
          <w:sz w:val="20"/>
        </w:rPr>
        <w:t xml:space="preserve"> </w:t>
      </w:r>
      <w:r>
        <w:rPr>
          <w:sz w:val="20"/>
        </w:rPr>
        <w:t>de</w:t>
      </w:r>
      <w:r>
        <w:rPr>
          <w:spacing w:val="-16"/>
          <w:sz w:val="20"/>
        </w:rPr>
        <w:t xml:space="preserve"> </w:t>
      </w:r>
      <w:r>
        <w:rPr>
          <w:sz w:val="20"/>
        </w:rPr>
        <w:t>una</w:t>
      </w:r>
      <w:r>
        <w:rPr>
          <w:spacing w:val="-16"/>
          <w:sz w:val="20"/>
        </w:rPr>
        <w:t xml:space="preserve"> </w:t>
      </w:r>
      <w:r>
        <w:rPr>
          <w:sz w:val="20"/>
        </w:rPr>
        <w:t>fábrica</w:t>
      </w:r>
      <w:r>
        <w:rPr>
          <w:spacing w:val="-12"/>
          <w:sz w:val="20"/>
        </w:rPr>
        <w:t xml:space="preserve"> </w:t>
      </w:r>
      <w:r>
        <w:rPr>
          <w:sz w:val="20"/>
        </w:rPr>
        <w:t>dedicada a</w:t>
      </w:r>
      <w:r>
        <w:rPr>
          <w:spacing w:val="-11"/>
          <w:sz w:val="20"/>
        </w:rPr>
        <w:t xml:space="preserve"> </w:t>
      </w:r>
      <w:r>
        <w:rPr>
          <w:sz w:val="20"/>
        </w:rPr>
        <w:t>una</w:t>
      </w:r>
      <w:r>
        <w:rPr>
          <w:spacing w:val="-11"/>
          <w:sz w:val="20"/>
        </w:rPr>
        <w:t xml:space="preserve"> </w:t>
      </w:r>
      <w:r>
        <w:rPr>
          <w:sz w:val="20"/>
        </w:rPr>
        <w:t>actividad</w:t>
      </w:r>
      <w:r>
        <w:rPr>
          <w:spacing w:val="-10"/>
          <w:sz w:val="20"/>
        </w:rPr>
        <w:t xml:space="preserve"> </w:t>
      </w:r>
      <w:r>
        <w:rPr>
          <w:sz w:val="20"/>
        </w:rPr>
        <w:t>especialmente</w:t>
      </w:r>
      <w:r>
        <w:rPr>
          <w:spacing w:val="-12"/>
          <w:sz w:val="20"/>
        </w:rPr>
        <w:t xml:space="preserve"> </w:t>
      </w:r>
      <w:r>
        <w:rPr>
          <w:sz w:val="20"/>
        </w:rPr>
        <w:t>peligrosa,</w:t>
      </w:r>
      <w:r>
        <w:rPr>
          <w:spacing w:val="-9"/>
          <w:sz w:val="20"/>
        </w:rPr>
        <w:t xml:space="preserve"> </w:t>
      </w:r>
      <w:r>
        <w:rPr>
          <w:sz w:val="20"/>
        </w:rPr>
        <w:t>sin</w:t>
      </w:r>
      <w:r>
        <w:rPr>
          <w:spacing w:val="-9"/>
          <w:sz w:val="20"/>
        </w:rPr>
        <w:t xml:space="preserve"> </w:t>
      </w:r>
      <w:r>
        <w:rPr>
          <w:sz w:val="20"/>
        </w:rPr>
        <w:t>fiscalización</w:t>
      </w:r>
      <w:r>
        <w:rPr>
          <w:spacing w:val="-10"/>
          <w:sz w:val="20"/>
        </w:rPr>
        <w:t xml:space="preserve"> </w:t>
      </w:r>
      <w:r>
        <w:rPr>
          <w:sz w:val="20"/>
        </w:rPr>
        <w:t>ni</w:t>
      </w:r>
      <w:r>
        <w:rPr>
          <w:spacing w:val="-11"/>
          <w:sz w:val="20"/>
        </w:rPr>
        <w:t xml:space="preserve"> </w:t>
      </w:r>
      <w:r>
        <w:rPr>
          <w:sz w:val="20"/>
        </w:rPr>
        <w:t>de</w:t>
      </w:r>
      <w:r>
        <w:rPr>
          <w:spacing w:val="-12"/>
          <w:sz w:val="20"/>
        </w:rPr>
        <w:t xml:space="preserve"> </w:t>
      </w:r>
      <w:r>
        <w:rPr>
          <w:sz w:val="20"/>
        </w:rPr>
        <w:t>la</w:t>
      </w:r>
      <w:r>
        <w:rPr>
          <w:spacing w:val="-11"/>
          <w:sz w:val="20"/>
        </w:rPr>
        <w:t xml:space="preserve"> </w:t>
      </w:r>
      <w:r>
        <w:rPr>
          <w:sz w:val="20"/>
        </w:rPr>
        <w:t>actividad</w:t>
      </w:r>
      <w:r>
        <w:rPr>
          <w:spacing w:val="-11"/>
          <w:sz w:val="20"/>
        </w:rPr>
        <w:t xml:space="preserve"> </w:t>
      </w:r>
      <w:r>
        <w:rPr>
          <w:sz w:val="20"/>
        </w:rPr>
        <w:t>peligrosa,</w:t>
      </w:r>
      <w:r>
        <w:rPr>
          <w:spacing w:val="-11"/>
          <w:sz w:val="20"/>
        </w:rPr>
        <w:t xml:space="preserve"> </w:t>
      </w:r>
      <w:r>
        <w:rPr>
          <w:sz w:val="20"/>
        </w:rPr>
        <w:t>ni</w:t>
      </w:r>
      <w:r>
        <w:rPr>
          <w:spacing w:val="-11"/>
          <w:sz w:val="20"/>
        </w:rPr>
        <w:t xml:space="preserve"> </w:t>
      </w:r>
      <w:r>
        <w:rPr>
          <w:sz w:val="20"/>
        </w:rPr>
        <w:t>de</w:t>
      </w:r>
      <w:r>
        <w:rPr>
          <w:spacing w:val="-11"/>
          <w:sz w:val="20"/>
        </w:rPr>
        <w:t xml:space="preserve"> </w:t>
      </w:r>
      <w:r>
        <w:rPr>
          <w:sz w:val="20"/>
        </w:rPr>
        <w:t xml:space="preserve">las condiciones de higiene y seguridad en el trabajo por parte del Estado; y (ii) llevó a las presuntas víctimas a aceptar un trabajo que ponía </w:t>
      </w:r>
      <w:r>
        <w:rPr>
          <w:sz w:val="20"/>
        </w:rPr>
        <w:t>en riesgo su vida e integridad y la de sus hijas e hijos menores de edad. Además, (iii) el Estado no adoptó medidas dirigidas a garantizar la igualdad material en el derecho al trabajo respecto de un grupo de mujeres en situación</w:t>
      </w:r>
      <w:r>
        <w:rPr>
          <w:spacing w:val="-10"/>
          <w:sz w:val="20"/>
        </w:rPr>
        <w:t xml:space="preserve"> </w:t>
      </w:r>
      <w:r>
        <w:rPr>
          <w:sz w:val="20"/>
        </w:rPr>
        <w:t>de</w:t>
      </w:r>
      <w:r>
        <w:rPr>
          <w:spacing w:val="-11"/>
          <w:sz w:val="20"/>
        </w:rPr>
        <w:t xml:space="preserve"> </w:t>
      </w:r>
      <w:r>
        <w:rPr>
          <w:sz w:val="20"/>
        </w:rPr>
        <w:t>marginación</w:t>
      </w:r>
      <w:r>
        <w:rPr>
          <w:spacing w:val="-9"/>
          <w:sz w:val="20"/>
        </w:rPr>
        <w:t xml:space="preserve"> </w:t>
      </w:r>
      <w:r>
        <w:rPr>
          <w:sz w:val="20"/>
        </w:rPr>
        <w:t>y</w:t>
      </w:r>
      <w:r>
        <w:rPr>
          <w:spacing w:val="-12"/>
          <w:sz w:val="20"/>
        </w:rPr>
        <w:t xml:space="preserve"> </w:t>
      </w:r>
      <w:r>
        <w:rPr>
          <w:sz w:val="20"/>
        </w:rPr>
        <w:t>discrimin</w:t>
      </w:r>
      <w:r>
        <w:rPr>
          <w:sz w:val="20"/>
        </w:rPr>
        <w:t>ación.</w:t>
      </w:r>
      <w:r>
        <w:rPr>
          <w:spacing w:val="-8"/>
          <w:sz w:val="20"/>
        </w:rPr>
        <w:t xml:space="preserve"> </w:t>
      </w:r>
      <w:r>
        <w:rPr>
          <w:sz w:val="20"/>
        </w:rPr>
        <w:t>Esta</w:t>
      </w:r>
      <w:r>
        <w:rPr>
          <w:spacing w:val="-9"/>
          <w:sz w:val="20"/>
        </w:rPr>
        <w:t xml:space="preserve"> </w:t>
      </w:r>
      <w:r>
        <w:rPr>
          <w:sz w:val="20"/>
        </w:rPr>
        <w:t>situación</w:t>
      </w:r>
      <w:r>
        <w:rPr>
          <w:spacing w:val="-8"/>
          <w:sz w:val="20"/>
        </w:rPr>
        <w:t xml:space="preserve"> </w:t>
      </w:r>
      <w:r>
        <w:rPr>
          <w:sz w:val="20"/>
        </w:rPr>
        <w:t>implica</w:t>
      </w:r>
      <w:r>
        <w:rPr>
          <w:spacing w:val="-8"/>
          <w:sz w:val="20"/>
        </w:rPr>
        <w:t xml:space="preserve"> </w:t>
      </w:r>
      <w:r>
        <w:rPr>
          <w:sz w:val="20"/>
        </w:rPr>
        <w:t>que,</w:t>
      </w:r>
      <w:r>
        <w:rPr>
          <w:spacing w:val="-7"/>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10"/>
          <w:sz w:val="20"/>
        </w:rPr>
        <w:t xml:space="preserve"> </w:t>
      </w:r>
      <w:r>
        <w:rPr>
          <w:sz w:val="20"/>
        </w:rPr>
        <w:t>caso,</w:t>
      </w:r>
      <w:r>
        <w:rPr>
          <w:spacing w:val="-9"/>
          <w:sz w:val="20"/>
        </w:rPr>
        <w:t xml:space="preserve"> </w:t>
      </w:r>
      <w:r>
        <w:rPr>
          <w:sz w:val="20"/>
        </w:rPr>
        <w:t>no se</w:t>
      </w:r>
      <w:r>
        <w:rPr>
          <w:spacing w:val="-20"/>
          <w:sz w:val="20"/>
        </w:rPr>
        <w:t xml:space="preserve"> </w:t>
      </w:r>
      <w:r>
        <w:rPr>
          <w:sz w:val="20"/>
        </w:rPr>
        <w:t>garantizó</w:t>
      </w:r>
      <w:r>
        <w:rPr>
          <w:spacing w:val="-20"/>
          <w:sz w:val="20"/>
        </w:rPr>
        <w:t xml:space="preserve"> </w:t>
      </w:r>
      <w:r>
        <w:rPr>
          <w:sz w:val="20"/>
        </w:rPr>
        <w:t>el</w:t>
      </w:r>
      <w:r>
        <w:rPr>
          <w:spacing w:val="-18"/>
          <w:sz w:val="20"/>
        </w:rPr>
        <w:t xml:space="preserve"> </w:t>
      </w:r>
      <w:r>
        <w:rPr>
          <w:sz w:val="20"/>
        </w:rPr>
        <w:t>derecho</w:t>
      </w:r>
      <w:r>
        <w:rPr>
          <w:spacing w:val="-17"/>
          <w:sz w:val="20"/>
        </w:rPr>
        <w:t xml:space="preserve"> </w:t>
      </w:r>
      <w:r>
        <w:rPr>
          <w:sz w:val="20"/>
        </w:rPr>
        <w:t>a</w:t>
      </w:r>
      <w:r>
        <w:rPr>
          <w:spacing w:val="-21"/>
          <w:sz w:val="20"/>
        </w:rPr>
        <w:t xml:space="preserve"> </w:t>
      </w:r>
      <w:r>
        <w:rPr>
          <w:sz w:val="20"/>
        </w:rPr>
        <w:t>condiciones</w:t>
      </w:r>
      <w:r>
        <w:rPr>
          <w:spacing w:val="-22"/>
          <w:sz w:val="20"/>
        </w:rPr>
        <w:t xml:space="preserve"> </w:t>
      </w:r>
      <w:r>
        <w:rPr>
          <w:sz w:val="20"/>
        </w:rPr>
        <w:t>de</w:t>
      </w:r>
      <w:r>
        <w:rPr>
          <w:spacing w:val="-20"/>
          <w:sz w:val="20"/>
        </w:rPr>
        <w:t xml:space="preserve"> </w:t>
      </w:r>
      <w:r>
        <w:rPr>
          <w:sz w:val="20"/>
        </w:rPr>
        <w:t>trabajo</w:t>
      </w:r>
      <w:r>
        <w:rPr>
          <w:spacing w:val="-20"/>
          <w:sz w:val="20"/>
        </w:rPr>
        <w:t xml:space="preserve"> </w:t>
      </w:r>
      <w:r>
        <w:rPr>
          <w:sz w:val="20"/>
        </w:rPr>
        <w:t>equitativas</w:t>
      </w:r>
      <w:r>
        <w:rPr>
          <w:spacing w:val="-19"/>
          <w:sz w:val="20"/>
        </w:rPr>
        <w:t xml:space="preserve"> </w:t>
      </w:r>
      <w:r>
        <w:rPr>
          <w:sz w:val="20"/>
        </w:rPr>
        <w:t>y</w:t>
      </w:r>
      <w:r>
        <w:rPr>
          <w:spacing w:val="-19"/>
          <w:sz w:val="20"/>
        </w:rPr>
        <w:t xml:space="preserve"> </w:t>
      </w:r>
      <w:r>
        <w:rPr>
          <w:sz w:val="20"/>
        </w:rPr>
        <w:t>satisfactorias</w:t>
      </w:r>
      <w:r>
        <w:rPr>
          <w:spacing w:val="-22"/>
          <w:sz w:val="20"/>
        </w:rPr>
        <w:t xml:space="preserve"> </w:t>
      </w:r>
      <w:r>
        <w:rPr>
          <w:sz w:val="20"/>
        </w:rPr>
        <w:t>sin</w:t>
      </w:r>
      <w:r>
        <w:rPr>
          <w:spacing w:val="-18"/>
          <w:sz w:val="20"/>
        </w:rPr>
        <w:t xml:space="preserve"> </w:t>
      </w:r>
      <w:r>
        <w:rPr>
          <w:sz w:val="20"/>
        </w:rPr>
        <w:t>discriminación, así</w:t>
      </w:r>
      <w:r>
        <w:rPr>
          <w:spacing w:val="-11"/>
          <w:sz w:val="20"/>
        </w:rPr>
        <w:t xml:space="preserve"> </w:t>
      </w:r>
      <w:r>
        <w:rPr>
          <w:sz w:val="20"/>
        </w:rPr>
        <w:t>como</w:t>
      </w:r>
      <w:r>
        <w:rPr>
          <w:spacing w:val="-9"/>
          <w:sz w:val="20"/>
        </w:rPr>
        <w:t xml:space="preserve"> </w:t>
      </w:r>
      <w:r>
        <w:rPr>
          <w:sz w:val="20"/>
        </w:rPr>
        <w:t>el</w:t>
      </w:r>
      <w:r>
        <w:rPr>
          <w:spacing w:val="-11"/>
          <w:sz w:val="20"/>
        </w:rPr>
        <w:t xml:space="preserve"> </w:t>
      </w:r>
      <w:r>
        <w:rPr>
          <w:sz w:val="20"/>
        </w:rPr>
        <w:t>derecho</w:t>
      </w:r>
      <w:r>
        <w:rPr>
          <w:spacing w:val="-11"/>
          <w:sz w:val="20"/>
        </w:rPr>
        <w:t xml:space="preserve"> </w:t>
      </w:r>
      <w:r>
        <w:rPr>
          <w:sz w:val="20"/>
        </w:rPr>
        <w:t>a</w:t>
      </w:r>
      <w:r>
        <w:rPr>
          <w:spacing w:val="-8"/>
          <w:sz w:val="20"/>
        </w:rPr>
        <w:t xml:space="preserve"> </w:t>
      </w:r>
      <w:r>
        <w:rPr>
          <w:sz w:val="20"/>
        </w:rPr>
        <w:t>la</w:t>
      </w:r>
      <w:r>
        <w:rPr>
          <w:spacing w:val="-9"/>
          <w:sz w:val="20"/>
        </w:rPr>
        <w:t xml:space="preserve"> </w:t>
      </w:r>
      <w:r>
        <w:rPr>
          <w:sz w:val="20"/>
        </w:rPr>
        <w:t>igualdad</w:t>
      </w:r>
      <w:r>
        <w:rPr>
          <w:spacing w:val="-10"/>
          <w:sz w:val="20"/>
        </w:rPr>
        <w:t xml:space="preserve"> </w:t>
      </w:r>
      <w:r>
        <w:rPr>
          <w:sz w:val="20"/>
        </w:rPr>
        <w:t>previstos</w:t>
      </w:r>
      <w:r>
        <w:rPr>
          <w:spacing w:val="-9"/>
          <w:sz w:val="20"/>
        </w:rPr>
        <w:t xml:space="preserve"> </w:t>
      </w:r>
      <w:r>
        <w:rPr>
          <w:sz w:val="20"/>
        </w:rPr>
        <w:t>en</w:t>
      </w:r>
      <w:r>
        <w:rPr>
          <w:spacing w:val="-10"/>
          <w:sz w:val="20"/>
        </w:rPr>
        <w:t xml:space="preserve"> </w:t>
      </w:r>
      <w:r>
        <w:rPr>
          <w:sz w:val="20"/>
        </w:rPr>
        <w:t>los</w:t>
      </w:r>
      <w:r>
        <w:rPr>
          <w:spacing w:val="-11"/>
          <w:sz w:val="20"/>
        </w:rPr>
        <w:t xml:space="preserve"> </w:t>
      </w:r>
      <w:r>
        <w:rPr>
          <w:sz w:val="20"/>
        </w:rPr>
        <w:t>artículos</w:t>
      </w:r>
      <w:r>
        <w:rPr>
          <w:spacing w:val="-11"/>
          <w:sz w:val="20"/>
        </w:rPr>
        <w:t xml:space="preserve"> </w:t>
      </w:r>
      <w:r>
        <w:rPr>
          <w:sz w:val="20"/>
        </w:rPr>
        <w:t>24</w:t>
      </w:r>
      <w:r>
        <w:rPr>
          <w:spacing w:val="-11"/>
          <w:sz w:val="20"/>
        </w:rPr>
        <w:t xml:space="preserve"> </w:t>
      </w:r>
      <w:r>
        <w:rPr>
          <w:sz w:val="20"/>
        </w:rPr>
        <w:t>y</w:t>
      </w:r>
      <w:r>
        <w:rPr>
          <w:spacing w:val="-11"/>
          <w:sz w:val="20"/>
        </w:rPr>
        <w:t xml:space="preserve"> </w:t>
      </w:r>
      <w:r>
        <w:rPr>
          <w:sz w:val="20"/>
        </w:rPr>
        <w:t>26,</w:t>
      </w:r>
      <w:r>
        <w:rPr>
          <w:spacing w:val="-8"/>
          <w:sz w:val="20"/>
        </w:rPr>
        <w:t xml:space="preserve"> </w:t>
      </w:r>
      <w:r>
        <w:rPr>
          <w:sz w:val="20"/>
        </w:rPr>
        <w:t>en</w:t>
      </w:r>
      <w:r>
        <w:rPr>
          <w:spacing w:val="-10"/>
          <w:sz w:val="20"/>
        </w:rPr>
        <w:t xml:space="preserve"> </w:t>
      </w:r>
      <w:r>
        <w:rPr>
          <w:sz w:val="20"/>
        </w:rPr>
        <w:t>relación</w:t>
      </w:r>
      <w:r>
        <w:rPr>
          <w:spacing w:val="-7"/>
          <w:sz w:val="20"/>
        </w:rPr>
        <w:t xml:space="preserve"> </w:t>
      </w:r>
      <w:r>
        <w:rPr>
          <w:sz w:val="20"/>
        </w:rPr>
        <w:t>con</w:t>
      </w:r>
      <w:r>
        <w:rPr>
          <w:spacing w:val="-8"/>
          <w:sz w:val="20"/>
        </w:rPr>
        <w:t xml:space="preserve"> </w:t>
      </w:r>
      <w:r>
        <w:rPr>
          <w:sz w:val="20"/>
        </w:rPr>
        <w:t>el</w:t>
      </w:r>
      <w:r>
        <w:rPr>
          <w:spacing w:val="-10"/>
          <w:sz w:val="20"/>
        </w:rPr>
        <w:t xml:space="preserve"> </w:t>
      </w:r>
      <w:r>
        <w:rPr>
          <w:sz w:val="20"/>
        </w:rPr>
        <w:t>artículo</w:t>
      </w:r>
    </w:p>
    <w:p w14:paraId="3A5A5B14" w14:textId="77777777" w:rsidR="00467FCA" w:rsidRDefault="001B68EB">
      <w:pPr>
        <w:pStyle w:val="Textoindependiente"/>
        <w:ind w:left="120"/>
        <w:jc w:val="both"/>
      </w:pPr>
      <w:r>
        <w:t>1.1 de la Convención.</w:t>
      </w:r>
    </w:p>
    <w:p w14:paraId="3764D885" w14:textId="77777777" w:rsidR="00467FCA" w:rsidRDefault="00467FCA">
      <w:pPr>
        <w:pStyle w:val="Textoindependiente"/>
        <w:spacing w:before="11"/>
        <w:rPr>
          <w:sz w:val="19"/>
        </w:rPr>
      </w:pPr>
    </w:p>
    <w:p w14:paraId="32D34062" w14:textId="77777777" w:rsidR="00467FCA" w:rsidRDefault="001B68EB">
      <w:pPr>
        <w:pStyle w:val="Ttulo2"/>
        <w:ind w:left="840"/>
      </w:pPr>
      <w:bookmarkStart w:id="402" w:name="B.4._Conclusión"/>
      <w:bookmarkStart w:id="403" w:name="_bookmark354"/>
      <w:bookmarkEnd w:id="402"/>
      <w:bookmarkEnd w:id="403"/>
      <w:r>
        <w:t>B.4. Conclusión</w:t>
      </w:r>
    </w:p>
    <w:p w14:paraId="6D59AFD0" w14:textId="77777777" w:rsidR="00467FCA" w:rsidRDefault="001B68EB">
      <w:pPr>
        <w:pStyle w:val="Textoindependiente"/>
        <w:spacing w:before="7"/>
        <w:rPr>
          <w:b/>
          <w:i/>
          <w:sz w:val="25"/>
        </w:rPr>
      </w:pPr>
      <w:r>
        <w:pict w14:anchorId="4FC32368">
          <v:shape id="_x0000_s1141" style="position:absolute;margin-left:1in;margin-top:17.8pt;width:2in;height:.1pt;z-index:-251601920;mso-wrap-distance-left:0;mso-wrap-distance-right:0;mso-position-horizontal-relative:page" coordorigin="1440,356" coordsize="2880,0" path="m1440,356r2880,e" filled="f" strokeweight=".6pt">
            <v:path arrowok="t"/>
            <w10:wrap type="topAndBottom" anchorx="page"/>
          </v:shape>
        </w:pict>
      </w:r>
    </w:p>
    <w:p w14:paraId="24BAB1F4" w14:textId="77777777" w:rsidR="00467FCA" w:rsidRDefault="001B68EB">
      <w:pPr>
        <w:spacing w:before="74"/>
        <w:ind w:left="120" w:right="111" w:hanging="1"/>
        <w:jc w:val="both"/>
        <w:rPr>
          <w:sz w:val="16"/>
        </w:rPr>
      </w:pPr>
      <w:r>
        <w:rPr>
          <w:sz w:val="16"/>
        </w:rPr>
        <w:t>regularización de las fábricas y empresas que incumplen con la normativa laboral, promoviendo la conversión de trabajo en condiciones indignas a trabajo decente- […]” Peritaje presentado ante la Corte Inter</w:t>
      </w:r>
      <w:r>
        <w:rPr>
          <w:sz w:val="16"/>
        </w:rPr>
        <w:t xml:space="preserve">americana por Christian Courtis, </w:t>
      </w:r>
      <w:r>
        <w:rPr>
          <w:i/>
          <w:sz w:val="16"/>
        </w:rPr>
        <w:t xml:space="preserve">supra </w:t>
      </w:r>
      <w:r>
        <w:rPr>
          <w:sz w:val="16"/>
        </w:rPr>
        <w:t>(expediente de fondo, folio 908).</w:t>
      </w:r>
    </w:p>
    <w:p w14:paraId="2949ACFE" w14:textId="77777777" w:rsidR="00467FCA" w:rsidRDefault="00467FCA">
      <w:pPr>
        <w:jc w:val="both"/>
        <w:rPr>
          <w:sz w:val="16"/>
        </w:rPr>
        <w:sectPr w:rsidR="00467FCA">
          <w:pgSz w:w="12240" w:h="15840"/>
          <w:pgMar w:top="1360" w:right="1320" w:bottom="1220" w:left="1320" w:header="0" w:footer="1037" w:gutter="0"/>
          <w:cols w:space="720"/>
        </w:sectPr>
      </w:pPr>
    </w:p>
    <w:p w14:paraId="0A7E4D77" w14:textId="77777777" w:rsidR="00467FCA" w:rsidRDefault="001B68EB">
      <w:pPr>
        <w:pStyle w:val="Prrafodelista"/>
        <w:numPr>
          <w:ilvl w:val="0"/>
          <w:numId w:val="50"/>
        </w:numPr>
        <w:tabs>
          <w:tab w:val="left" w:pos="687"/>
        </w:tabs>
        <w:spacing w:before="183"/>
        <w:ind w:left="119" w:right="117" w:firstLine="0"/>
        <w:jc w:val="both"/>
        <w:rPr>
          <w:sz w:val="20"/>
        </w:rPr>
      </w:pPr>
      <w:r>
        <w:rPr>
          <w:sz w:val="20"/>
        </w:rPr>
        <w:t>En</w:t>
      </w:r>
      <w:r>
        <w:rPr>
          <w:spacing w:val="-17"/>
          <w:sz w:val="20"/>
        </w:rPr>
        <w:t xml:space="preserve"> </w:t>
      </w:r>
      <w:r>
        <w:rPr>
          <w:sz w:val="20"/>
        </w:rPr>
        <w:t>virtud</w:t>
      </w:r>
      <w:r>
        <w:rPr>
          <w:spacing w:val="-17"/>
          <w:sz w:val="20"/>
        </w:rPr>
        <w:t xml:space="preserve"> </w:t>
      </w:r>
      <w:r>
        <w:rPr>
          <w:sz w:val="20"/>
        </w:rPr>
        <w:t>del</w:t>
      </w:r>
      <w:r>
        <w:rPr>
          <w:spacing w:val="-17"/>
          <w:sz w:val="20"/>
        </w:rPr>
        <w:t xml:space="preserve"> </w:t>
      </w:r>
      <w:r>
        <w:rPr>
          <w:sz w:val="20"/>
        </w:rPr>
        <w:t>análisis</w:t>
      </w:r>
      <w:r>
        <w:rPr>
          <w:spacing w:val="-19"/>
          <w:sz w:val="20"/>
        </w:rPr>
        <w:t xml:space="preserve"> </w:t>
      </w:r>
      <w:r>
        <w:rPr>
          <w:sz w:val="20"/>
        </w:rPr>
        <w:t>hecho</w:t>
      </w:r>
      <w:r>
        <w:rPr>
          <w:spacing w:val="-19"/>
          <w:sz w:val="20"/>
        </w:rPr>
        <w:t xml:space="preserve"> </w:t>
      </w:r>
      <w:r>
        <w:rPr>
          <w:sz w:val="20"/>
        </w:rPr>
        <w:t>en</w:t>
      </w:r>
      <w:r>
        <w:rPr>
          <w:spacing w:val="-16"/>
          <w:sz w:val="20"/>
        </w:rPr>
        <w:t xml:space="preserve"> </w:t>
      </w:r>
      <w:r>
        <w:rPr>
          <w:sz w:val="20"/>
        </w:rPr>
        <w:t>los</w:t>
      </w:r>
      <w:r>
        <w:rPr>
          <w:spacing w:val="-17"/>
          <w:sz w:val="20"/>
        </w:rPr>
        <w:t xml:space="preserve"> </w:t>
      </w:r>
      <w:r>
        <w:rPr>
          <w:sz w:val="20"/>
        </w:rPr>
        <w:t>párrafos</w:t>
      </w:r>
      <w:r>
        <w:rPr>
          <w:spacing w:val="-16"/>
          <w:sz w:val="20"/>
        </w:rPr>
        <w:t xml:space="preserve"> </w:t>
      </w:r>
      <w:r>
        <w:rPr>
          <w:sz w:val="20"/>
        </w:rPr>
        <w:t>precedentes</w:t>
      </w:r>
      <w:r>
        <w:rPr>
          <w:spacing w:val="-16"/>
          <w:sz w:val="20"/>
        </w:rPr>
        <w:t xml:space="preserve"> </w:t>
      </w:r>
      <w:r>
        <w:rPr>
          <w:sz w:val="20"/>
        </w:rPr>
        <w:t>y</w:t>
      </w:r>
      <w:r>
        <w:rPr>
          <w:spacing w:val="-19"/>
          <w:sz w:val="20"/>
        </w:rPr>
        <w:t xml:space="preserve"> </w:t>
      </w:r>
      <w:r>
        <w:rPr>
          <w:sz w:val="20"/>
        </w:rPr>
        <w:t>las</w:t>
      </w:r>
      <w:r>
        <w:rPr>
          <w:spacing w:val="-18"/>
          <w:sz w:val="20"/>
        </w:rPr>
        <w:t xml:space="preserve"> </w:t>
      </w:r>
      <w:r>
        <w:rPr>
          <w:sz w:val="20"/>
        </w:rPr>
        <w:t>determinaciones</w:t>
      </w:r>
      <w:r>
        <w:rPr>
          <w:spacing w:val="-16"/>
          <w:sz w:val="20"/>
        </w:rPr>
        <w:t xml:space="preserve"> </w:t>
      </w:r>
      <w:r>
        <w:rPr>
          <w:sz w:val="20"/>
        </w:rPr>
        <w:t>realizadas en este capítulo, la Corte concluye que Brasil es responsable por la violación de los artículos 19</w:t>
      </w:r>
      <w:hyperlink w:anchor="_bookmark357" w:history="1">
        <w:r>
          <w:rPr>
            <w:position w:val="7"/>
            <w:sz w:val="13"/>
          </w:rPr>
          <w:t>305</w:t>
        </w:r>
      </w:hyperlink>
      <w:r>
        <w:rPr>
          <w:sz w:val="20"/>
        </w:rPr>
        <w:t>, 24 y 26 de la Convención Americana, en relación con el artículo 1.1 del mismo instrumento,</w:t>
      </w:r>
      <w:r>
        <w:rPr>
          <w:spacing w:val="-7"/>
          <w:sz w:val="20"/>
        </w:rPr>
        <w:t xml:space="preserve"> </w:t>
      </w:r>
      <w:r>
        <w:rPr>
          <w:sz w:val="20"/>
        </w:rPr>
        <w:t>en</w:t>
      </w:r>
      <w:r>
        <w:rPr>
          <w:spacing w:val="-8"/>
          <w:sz w:val="20"/>
        </w:rPr>
        <w:t xml:space="preserve"> </w:t>
      </w:r>
      <w:r>
        <w:rPr>
          <w:sz w:val="20"/>
        </w:rPr>
        <w:t>perjuicio</w:t>
      </w:r>
      <w:r>
        <w:rPr>
          <w:spacing w:val="-10"/>
          <w:sz w:val="20"/>
        </w:rPr>
        <w:t xml:space="preserve"> </w:t>
      </w:r>
      <w:r>
        <w:rPr>
          <w:sz w:val="20"/>
        </w:rPr>
        <w:t>de</w:t>
      </w:r>
      <w:r>
        <w:rPr>
          <w:spacing w:val="-9"/>
          <w:sz w:val="20"/>
        </w:rPr>
        <w:t xml:space="preserve"> </w:t>
      </w:r>
      <w:r>
        <w:rPr>
          <w:sz w:val="20"/>
        </w:rPr>
        <w:t>60</w:t>
      </w:r>
      <w:r>
        <w:rPr>
          <w:spacing w:val="-8"/>
          <w:sz w:val="20"/>
        </w:rPr>
        <w:t xml:space="preserve"> </w:t>
      </w:r>
      <w:r>
        <w:rPr>
          <w:sz w:val="20"/>
        </w:rPr>
        <w:t>personas</w:t>
      </w:r>
      <w:r>
        <w:rPr>
          <w:spacing w:val="-9"/>
          <w:sz w:val="20"/>
        </w:rPr>
        <w:t xml:space="preserve"> </w:t>
      </w:r>
      <w:r>
        <w:rPr>
          <w:sz w:val="20"/>
        </w:rPr>
        <w:t>fallecidas</w:t>
      </w:r>
      <w:r>
        <w:rPr>
          <w:spacing w:val="-10"/>
          <w:sz w:val="20"/>
        </w:rPr>
        <w:t xml:space="preserve"> </w:t>
      </w:r>
      <w:r>
        <w:rPr>
          <w:sz w:val="20"/>
        </w:rPr>
        <w:t>y</w:t>
      </w:r>
      <w:r>
        <w:rPr>
          <w:spacing w:val="-8"/>
          <w:sz w:val="20"/>
        </w:rPr>
        <w:t xml:space="preserve"> </w:t>
      </w:r>
      <w:r>
        <w:rPr>
          <w:sz w:val="20"/>
        </w:rPr>
        <w:t>seis</w:t>
      </w:r>
      <w:r>
        <w:rPr>
          <w:spacing w:val="-9"/>
          <w:sz w:val="20"/>
        </w:rPr>
        <w:t xml:space="preserve"> </w:t>
      </w:r>
      <w:r>
        <w:rPr>
          <w:sz w:val="20"/>
        </w:rPr>
        <w:t>sobrevivientes</w:t>
      </w:r>
      <w:r>
        <w:rPr>
          <w:spacing w:val="-10"/>
          <w:sz w:val="20"/>
        </w:rPr>
        <w:t xml:space="preserve"> </w:t>
      </w:r>
      <w:r>
        <w:rPr>
          <w:sz w:val="20"/>
        </w:rPr>
        <w:t>de</w:t>
      </w:r>
      <w:r>
        <w:rPr>
          <w:spacing w:val="-10"/>
          <w:sz w:val="20"/>
        </w:rPr>
        <w:t xml:space="preserve"> </w:t>
      </w:r>
      <w:r>
        <w:rPr>
          <w:sz w:val="20"/>
        </w:rPr>
        <w:t>la</w:t>
      </w:r>
      <w:r>
        <w:rPr>
          <w:spacing w:val="-8"/>
          <w:sz w:val="20"/>
        </w:rPr>
        <w:t xml:space="preserve"> </w:t>
      </w:r>
      <w:r>
        <w:rPr>
          <w:sz w:val="20"/>
        </w:rPr>
        <w:t>explosión</w:t>
      </w:r>
      <w:r>
        <w:rPr>
          <w:spacing w:val="-8"/>
          <w:sz w:val="20"/>
        </w:rPr>
        <w:t xml:space="preserve"> </w:t>
      </w:r>
      <w:r>
        <w:rPr>
          <w:sz w:val="20"/>
        </w:rPr>
        <w:t>de</w:t>
      </w:r>
      <w:r>
        <w:rPr>
          <w:spacing w:val="-9"/>
          <w:sz w:val="20"/>
        </w:rPr>
        <w:t xml:space="preserve"> </w:t>
      </w:r>
      <w:r>
        <w:rPr>
          <w:sz w:val="20"/>
        </w:rPr>
        <w:t>la fábrica de “Vardo de los fuegos” de Santo Antônio de Jesus, ocurrida el 11 de diciembre de 1998, tal como son identificadas en el Anexo No. 1 de esta</w:t>
      </w:r>
      <w:r>
        <w:rPr>
          <w:spacing w:val="-13"/>
          <w:sz w:val="20"/>
        </w:rPr>
        <w:t xml:space="preserve"> </w:t>
      </w:r>
      <w:r>
        <w:rPr>
          <w:sz w:val="20"/>
        </w:rPr>
        <w:t>sentencia.</w:t>
      </w:r>
    </w:p>
    <w:p w14:paraId="2A6E82C2" w14:textId="77777777" w:rsidR="00467FCA" w:rsidRDefault="00467FCA">
      <w:pPr>
        <w:pStyle w:val="Textoindependiente"/>
      </w:pPr>
    </w:p>
    <w:p w14:paraId="6C9B0C9D" w14:textId="77777777" w:rsidR="00467FCA" w:rsidRDefault="001B68EB">
      <w:pPr>
        <w:pStyle w:val="Ttulo1"/>
        <w:ind w:left="152" w:right="153"/>
        <w:jc w:val="center"/>
      </w:pPr>
      <w:bookmarkStart w:id="404" w:name="VIII-3_DERECHOS_A_LAS_GARANTÍAS_JUDICIAL"/>
      <w:bookmarkStart w:id="405" w:name="_bookmark355"/>
      <w:bookmarkEnd w:id="404"/>
      <w:bookmarkEnd w:id="405"/>
      <w:r>
        <w:t>VIII-3</w:t>
      </w:r>
    </w:p>
    <w:p w14:paraId="133FCF76" w14:textId="77777777" w:rsidR="00467FCA" w:rsidRDefault="001B68EB">
      <w:pPr>
        <w:spacing w:before="38" w:line="276" w:lineRule="auto"/>
        <w:ind w:left="249" w:right="250" w:firstLine="2"/>
        <w:jc w:val="center"/>
        <w:rPr>
          <w:b/>
          <w:sz w:val="20"/>
        </w:rPr>
      </w:pPr>
      <w:r>
        <w:rPr>
          <w:b/>
          <w:sz w:val="20"/>
        </w:rPr>
        <w:t>DERECHOS A LAS GARANTÍA</w:t>
      </w:r>
      <w:r>
        <w:rPr>
          <w:b/>
          <w:sz w:val="20"/>
        </w:rPr>
        <w:t>S JUDICIALES Y A LA PROTECCIÓN JUDICIAL, EN RELACIÓN CON LAS OBLIGACIONES DE RESPETO Y GARANTÍA (ARTÍCULOS 8.1 Y 25 DE LA CONVENCIÓN AMERICANA, EN RELACIÓN CON EL ARTÍCULO 1.1 DE LA MISMA)</w:t>
      </w:r>
    </w:p>
    <w:p w14:paraId="12068F0D" w14:textId="77777777" w:rsidR="00467FCA" w:rsidRDefault="00467FCA">
      <w:pPr>
        <w:pStyle w:val="Textoindependiente"/>
        <w:spacing w:before="12"/>
        <w:rPr>
          <w:b/>
          <w:sz w:val="19"/>
        </w:rPr>
      </w:pPr>
    </w:p>
    <w:p w14:paraId="20AAAD82" w14:textId="77777777" w:rsidR="00467FCA" w:rsidRDefault="001B68EB">
      <w:pPr>
        <w:pStyle w:val="Ttulo1"/>
        <w:numPr>
          <w:ilvl w:val="1"/>
          <w:numId w:val="50"/>
        </w:numPr>
        <w:tabs>
          <w:tab w:val="left" w:pos="839"/>
        </w:tabs>
        <w:ind w:left="838"/>
      </w:pPr>
      <w:bookmarkStart w:id="406" w:name="_bookmark356"/>
      <w:bookmarkEnd w:id="406"/>
      <w:r>
        <w:t>Alegatos de las partes y de la</w:t>
      </w:r>
      <w:r>
        <w:rPr>
          <w:spacing w:val="-3"/>
        </w:rPr>
        <w:t xml:space="preserve"> </w:t>
      </w:r>
      <w:r>
        <w:t>Comisión</w:t>
      </w:r>
    </w:p>
    <w:p w14:paraId="4ECF0827" w14:textId="77777777" w:rsidR="00467FCA" w:rsidRDefault="00467FCA">
      <w:pPr>
        <w:pStyle w:val="Textoindependiente"/>
        <w:spacing w:before="10"/>
        <w:rPr>
          <w:b/>
          <w:sz w:val="19"/>
        </w:rPr>
      </w:pPr>
    </w:p>
    <w:p w14:paraId="77789549" w14:textId="77777777" w:rsidR="00467FCA" w:rsidRDefault="001B68EB">
      <w:pPr>
        <w:pStyle w:val="Prrafodelista"/>
        <w:numPr>
          <w:ilvl w:val="0"/>
          <w:numId w:val="50"/>
        </w:numPr>
        <w:tabs>
          <w:tab w:val="left" w:pos="686"/>
        </w:tabs>
        <w:spacing w:before="1"/>
        <w:ind w:left="118" w:right="117" w:firstLine="0"/>
        <w:jc w:val="both"/>
        <w:rPr>
          <w:sz w:val="20"/>
        </w:rPr>
      </w:pPr>
      <w:r>
        <w:rPr>
          <w:sz w:val="20"/>
        </w:rPr>
        <w:t>La</w:t>
      </w:r>
      <w:r>
        <w:rPr>
          <w:spacing w:val="-9"/>
          <w:sz w:val="20"/>
        </w:rPr>
        <w:t xml:space="preserve"> </w:t>
      </w:r>
      <w:r>
        <w:rPr>
          <w:b/>
          <w:i/>
          <w:sz w:val="20"/>
        </w:rPr>
        <w:t>Comisión</w:t>
      </w:r>
      <w:r>
        <w:rPr>
          <w:b/>
          <w:i/>
          <w:spacing w:val="-2"/>
          <w:sz w:val="20"/>
        </w:rPr>
        <w:t xml:space="preserve"> </w:t>
      </w:r>
      <w:r>
        <w:rPr>
          <w:sz w:val="20"/>
        </w:rPr>
        <w:t>encontró</w:t>
      </w:r>
      <w:r>
        <w:rPr>
          <w:spacing w:val="-5"/>
          <w:sz w:val="20"/>
        </w:rPr>
        <w:t xml:space="preserve"> </w:t>
      </w:r>
      <w:r>
        <w:rPr>
          <w:sz w:val="20"/>
        </w:rPr>
        <w:t>que</w:t>
      </w:r>
      <w:r>
        <w:rPr>
          <w:spacing w:val="-9"/>
          <w:sz w:val="20"/>
        </w:rPr>
        <w:t xml:space="preserve"> </w:t>
      </w:r>
      <w:r>
        <w:rPr>
          <w:sz w:val="20"/>
        </w:rPr>
        <w:t>el</w:t>
      </w:r>
      <w:r>
        <w:rPr>
          <w:spacing w:val="-5"/>
          <w:sz w:val="20"/>
        </w:rPr>
        <w:t xml:space="preserve"> </w:t>
      </w:r>
      <w:r>
        <w:rPr>
          <w:sz w:val="20"/>
        </w:rPr>
        <w:t>Estado</w:t>
      </w:r>
      <w:r>
        <w:rPr>
          <w:spacing w:val="-7"/>
          <w:sz w:val="20"/>
        </w:rPr>
        <w:t xml:space="preserve"> </w:t>
      </w:r>
      <w:r>
        <w:rPr>
          <w:sz w:val="20"/>
        </w:rPr>
        <w:t>incumplió</w:t>
      </w:r>
      <w:r>
        <w:rPr>
          <w:spacing w:val="-6"/>
          <w:sz w:val="20"/>
        </w:rPr>
        <w:t xml:space="preserve"> </w:t>
      </w:r>
      <w:r>
        <w:rPr>
          <w:sz w:val="20"/>
        </w:rPr>
        <w:t>su</w:t>
      </w:r>
      <w:r>
        <w:rPr>
          <w:spacing w:val="-7"/>
          <w:sz w:val="20"/>
        </w:rPr>
        <w:t xml:space="preserve"> </w:t>
      </w:r>
      <w:r>
        <w:rPr>
          <w:sz w:val="20"/>
        </w:rPr>
        <w:t>deber</w:t>
      </w:r>
      <w:r>
        <w:rPr>
          <w:spacing w:val="-8"/>
          <w:sz w:val="20"/>
        </w:rPr>
        <w:t xml:space="preserve"> </w:t>
      </w:r>
      <w:r>
        <w:rPr>
          <w:sz w:val="20"/>
        </w:rPr>
        <w:t>de</w:t>
      </w:r>
      <w:r>
        <w:rPr>
          <w:spacing w:val="-7"/>
          <w:sz w:val="20"/>
        </w:rPr>
        <w:t xml:space="preserve"> </w:t>
      </w:r>
      <w:r>
        <w:rPr>
          <w:sz w:val="20"/>
        </w:rPr>
        <w:t>investigar</w:t>
      </w:r>
      <w:r>
        <w:rPr>
          <w:spacing w:val="-7"/>
          <w:sz w:val="20"/>
        </w:rPr>
        <w:t xml:space="preserve"> </w:t>
      </w:r>
      <w:r>
        <w:rPr>
          <w:sz w:val="20"/>
        </w:rPr>
        <w:t>los</w:t>
      </w:r>
      <w:r>
        <w:rPr>
          <w:spacing w:val="-10"/>
          <w:sz w:val="20"/>
        </w:rPr>
        <w:t xml:space="preserve"> </w:t>
      </w:r>
      <w:r>
        <w:rPr>
          <w:sz w:val="20"/>
        </w:rPr>
        <w:t>hechos</w:t>
      </w:r>
      <w:r>
        <w:rPr>
          <w:spacing w:val="-6"/>
          <w:sz w:val="20"/>
        </w:rPr>
        <w:t xml:space="preserve"> </w:t>
      </w:r>
      <w:r>
        <w:rPr>
          <w:sz w:val="20"/>
        </w:rPr>
        <w:t>con</w:t>
      </w:r>
      <w:r>
        <w:rPr>
          <w:spacing w:val="-7"/>
          <w:sz w:val="20"/>
        </w:rPr>
        <w:t xml:space="preserve"> </w:t>
      </w:r>
      <w:r>
        <w:rPr>
          <w:sz w:val="20"/>
        </w:rPr>
        <w:t>la debida diligencia y en un plazo razonable. Así, recordó que el acceso a la justicia debe asegurar,</w:t>
      </w:r>
      <w:r>
        <w:rPr>
          <w:spacing w:val="-11"/>
          <w:sz w:val="20"/>
        </w:rPr>
        <w:t xml:space="preserve"> </w:t>
      </w:r>
      <w:r>
        <w:rPr>
          <w:sz w:val="20"/>
        </w:rPr>
        <w:t>en</w:t>
      </w:r>
      <w:r>
        <w:rPr>
          <w:spacing w:val="-9"/>
          <w:sz w:val="20"/>
        </w:rPr>
        <w:t xml:space="preserve"> </w:t>
      </w:r>
      <w:r>
        <w:rPr>
          <w:sz w:val="20"/>
        </w:rPr>
        <w:t>un</w:t>
      </w:r>
      <w:r>
        <w:rPr>
          <w:spacing w:val="-11"/>
          <w:sz w:val="20"/>
        </w:rPr>
        <w:t xml:space="preserve"> </w:t>
      </w:r>
      <w:r>
        <w:rPr>
          <w:sz w:val="20"/>
        </w:rPr>
        <w:t>tiempo</w:t>
      </w:r>
      <w:r>
        <w:rPr>
          <w:spacing w:val="-11"/>
          <w:sz w:val="20"/>
        </w:rPr>
        <w:t xml:space="preserve"> </w:t>
      </w:r>
      <w:r>
        <w:rPr>
          <w:sz w:val="20"/>
        </w:rPr>
        <w:t>razonable,</w:t>
      </w:r>
      <w:r>
        <w:rPr>
          <w:spacing w:val="-11"/>
          <w:sz w:val="20"/>
        </w:rPr>
        <w:t xml:space="preserve"> </w:t>
      </w:r>
      <w:r>
        <w:rPr>
          <w:sz w:val="20"/>
        </w:rPr>
        <w:t>el</w:t>
      </w:r>
      <w:r>
        <w:rPr>
          <w:spacing w:val="-11"/>
          <w:sz w:val="20"/>
        </w:rPr>
        <w:t xml:space="preserve"> </w:t>
      </w:r>
      <w:r>
        <w:rPr>
          <w:sz w:val="20"/>
        </w:rPr>
        <w:t>derecho</w:t>
      </w:r>
      <w:r>
        <w:rPr>
          <w:spacing w:val="-14"/>
          <w:sz w:val="20"/>
        </w:rPr>
        <w:t xml:space="preserve"> </w:t>
      </w:r>
      <w:r>
        <w:rPr>
          <w:sz w:val="20"/>
        </w:rPr>
        <w:t>de</w:t>
      </w:r>
      <w:r>
        <w:rPr>
          <w:spacing w:val="-10"/>
          <w:sz w:val="20"/>
        </w:rPr>
        <w:t xml:space="preserve"> </w:t>
      </w:r>
      <w:r>
        <w:rPr>
          <w:sz w:val="20"/>
        </w:rPr>
        <w:t>las</w:t>
      </w:r>
      <w:r>
        <w:rPr>
          <w:spacing w:val="-13"/>
          <w:sz w:val="20"/>
        </w:rPr>
        <w:t xml:space="preserve"> </w:t>
      </w:r>
      <w:r>
        <w:rPr>
          <w:sz w:val="20"/>
        </w:rPr>
        <w:t>presuntas</w:t>
      </w:r>
      <w:r>
        <w:rPr>
          <w:spacing w:val="-12"/>
          <w:sz w:val="20"/>
        </w:rPr>
        <w:t xml:space="preserve"> </w:t>
      </w:r>
      <w:r>
        <w:rPr>
          <w:sz w:val="20"/>
        </w:rPr>
        <w:t>víctimas</w:t>
      </w:r>
      <w:r>
        <w:rPr>
          <w:spacing w:val="-11"/>
          <w:sz w:val="20"/>
        </w:rPr>
        <w:t xml:space="preserve"> </w:t>
      </w:r>
      <w:r>
        <w:rPr>
          <w:sz w:val="20"/>
        </w:rPr>
        <w:t>o</w:t>
      </w:r>
      <w:r>
        <w:rPr>
          <w:spacing w:val="-13"/>
          <w:sz w:val="20"/>
        </w:rPr>
        <w:t xml:space="preserve"> </w:t>
      </w:r>
      <w:r>
        <w:rPr>
          <w:sz w:val="20"/>
        </w:rPr>
        <w:t>sus</w:t>
      </w:r>
      <w:r>
        <w:rPr>
          <w:spacing w:val="-13"/>
          <w:sz w:val="20"/>
        </w:rPr>
        <w:t xml:space="preserve"> </w:t>
      </w:r>
      <w:r>
        <w:rPr>
          <w:sz w:val="20"/>
        </w:rPr>
        <w:t>familiares</w:t>
      </w:r>
      <w:r>
        <w:rPr>
          <w:spacing w:val="-13"/>
          <w:sz w:val="20"/>
        </w:rPr>
        <w:t xml:space="preserve"> </w:t>
      </w:r>
      <w:r>
        <w:rPr>
          <w:sz w:val="20"/>
        </w:rPr>
        <w:t>a</w:t>
      </w:r>
      <w:r>
        <w:rPr>
          <w:spacing w:val="-9"/>
          <w:sz w:val="20"/>
        </w:rPr>
        <w:t xml:space="preserve"> </w:t>
      </w:r>
      <w:r>
        <w:rPr>
          <w:sz w:val="20"/>
        </w:rPr>
        <w:t>que</w:t>
      </w:r>
      <w:r>
        <w:rPr>
          <w:sz w:val="20"/>
        </w:rPr>
        <w:t xml:space="preserve"> se</w:t>
      </w:r>
      <w:r>
        <w:rPr>
          <w:spacing w:val="-16"/>
          <w:sz w:val="20"/>
        </w:rPr>
        <w:t xml:space="preserve"> </w:t>
      </w:r>
      <w:r>
        <w:rPr>
          <w:sz w:val="20"/>
        </w:rPr>
        <w:t>haga</w:t>
      </w:r>
      <w:r>
        <w:rPr>
          <w:spacing w:val="-17"/>
          <w:sz w:val="20"/>
        </w:rPr>
        <w:t xml:space="preserve"> </w:t>
      </w:r>
      <w:r>
        <w:rPr>
          <w:sz w:val="20"/>
        </w:rPr>
        <w:t>todo</w:t>
      </w:r>
      <w:r>
        <w:rPr>
          <w:spacing w:val="-16"/>
          <w:sz w:val="20"/>
        </w:rPr>
        <w:t xml:space="preserve"> </w:t>
      </w:r>
      <w:r>
        <w:rPr>
          <w:sz w:val="20"/>
        </w:rPr>
        <w:t>lo</w:t>
      </w:r>
      <w:r>
        <w:rPr>
          <w:spacing w:val="-16"/>
          <w:sz w:val="20"/>
        </w:rPr>
        <w:t xml:space="preserve"> </w:t>
      </w:r>
      <w:r>
        <w:rPr>
          <w:sz w:val="20"/>
        </w:rPr>
        <w:t>necesario</w:t>
      </w:r>
      <w:r>
        <w:rPr>
          <w:spacing w:val="-18"/>
          <w:sz w:val="20"/>
        </w:rPr>
        <w:t xml:space="preserve"> </w:t>
      </w:r>
      <w:r>
        <w:rPr>
          <w:sz w:val="20"/>
        </w:rPr>
        <w:t>para</w:t>
      </w:r>
      <w:r>
        <w:rPr>
          <w:spacing w:val="-15"/>
          <w:sz w:val="20"/>
        </w:rPr>
        <w:t xml:space="preserve"> </w:t>
      </w:r>
      <w:r>
        <w:rPr>
          <w:sz w:val="20"/>
        </w:rPr>
        <w:t>conocer</w:t>
      </w:r>
      <w:r>
        <w:rPr>
          <w:spacing w:val="-16"/>
          <w:sz w:val="20"/>
        </w:rPr>
        <w:t xml:space="preserve"> </w:t>
      </w:r>
      <w:r>
        <w:rPr>
          <w:sz w:val="20"/>
        </w:rPr>
        <w:t>la</w:t>
      </w:r>
      <w:r>
        <w:rPr>
          <w:spacing w:val="-15"/>
          <w:sz w:val="20"/>
        </w:rPr>
        <w:t xml:space="preserve"> </w:t>
      </w:r>
      <w:r>
        <w:rPr>
          <w:sz w:val="20"/>
        </w:rPr>
        <w:t>verdad</w:t>
      </w:r>
      <w:r>
        <w:rPr>
          <w:spacing w:val="-14"/>
          <w:sz w:val="20"/>
        </w:rPr>
        <w:t xml:space="preserve"> </w:t>
      </w:r>
      <w:r>
        <w:rPr>
          <w:sz w:val="20"/>
        </w:rPr>
        <w:t>de</w:t>
      </w:r>
      <w:r>
        <w:rPr>
          <w:spacing w:val="-16"/>
          <w:sz w:val="20"/>
        </w:rPr>
        <w:t xml:space="preserve"> </w:t>
      </w:r>
      <w:r>
        <w:rPr>
          <w:sz w:val="20"/>
        </w:rPr>
        <w:t>lo</w:t>
      </w:r>
      <w:r>
        <w:rPr>
          <w:spacing w:val="-16"/>
          <w:sz w:val="20"/>
        </w:rPr>
        <w:t xml:space="preserve"> </w:t>
      </w:r>
      <w:r>
        <w:rPr>
          <w:sz w:val="20"/>
        </w:rPr>
        <w:t>sucedido</w:t>
      </w:r>
      <w:r>
        <w:rPr>
          <w:spacing w:val="-16"/>
          <w:sz w:val="20"/>
        </w:rPr>
        <w:t xml:space="preserve"> </w:t>
      </w:r>
      <w:r>
        <w:rPr>
          <w:sz w:val="20"/>
        </w:rPr>
        <w:t>y</w:t>
      </w:r>
      <w:r>
        <w:rPr>
          <w:spacing w:val="-15"/>
          <w:sz w:val="20"/>
        </w:rPr>
        <w:t xml:space="preserve"> </w:t>
      </w:r>
      <w:r>
        <w:rPr>
          <w:sz w:val="20"/>
        </w:rPr>
        <w:t>se</w:t>
      </w:r>
      <w:r>
        <w:rPr>
          <w:spacing w:val="-15"/>
          <w:sz w:val="20"/>
        </w:rPr>
        <w:t xml:space="preserve"> </w:t>
      </w:r>
      <w:r>
        <w:rPr>
          <w:sz w:val="20"/>
        </w:rPr>
        <w:t>sancione</w:t>
      </w:r>
      <w:r>
        <w:rPr>
          <w:spacing w:val="-19"/>
          <w:sz w:val="20"/>
        </w:rPr>
        <w:t xml:space="preserve"> </w:t>
      </w:r>
      <w:r>
        <w:rPr>
          <w:sz w:val="20"/>
        </w:rPr>
        <w:t>a</w:t>
      </w:r>
      <w:r>
        <w:rPr>
          <w:spacing w:val="-15"/>
          <w:sz w:val="20"/>
        </w:rPr>
        <w:t xml:space="preserve"> </w:t>
      </w:r>
      <w:r>
        <w:rPr>
          <w:sz w:val="20"/>
        </w:rPr>
        <w:t>los</w:t>
      </w:r>
      <w:r>
        <w:rPr>
          <w:spacing w:val="-16"/>
          <w:sz w:val="20"/>
        </w:rPr>
        <w:t xml:space="preserve"> </w:t>
      </w:r>
      <w:r>
        <w:rPr>
          <w:sz w:val="20"/>
        </w:rPr>
        <w:t>eventuales responsables. Señaló, además, que el Comité de Derechos Económicos Sociales y Culturales (en adelante “Comité DESC”) ha establecido el deber de los Estados de ofrecer medios adecuados de reparación a las personas o grupos perjudicados y garantiz</w:t>
      </w:r>
      <w:r>
        <w:rPr>
          <w:sz w:val="20"/>
        </w:rPr>
        <w:t>ar la rendición de cuentas de las</w:t>
      </w:r>
      <w:r>
        <w:rPr>
          <w:spacing w:val="-4"/>
          <w:sz w:val="20"/>
        </w:rPr>
        <w:t xml:space="preserve"> </w:t>
      </w:r>
      <w:r>
        <w:rPr>
          <w:sz w:val="20"/>
        </w:rPr>
        <w:t>empresas.</w:t>
      </w:r>
    </w:p>
    <w:p w14:paraId="6803F88B" w14:textId="77777777" w:rsidR="00467FCA" w:rsidRDefault="00467FCA">
      <w:pPr>
        <w:pStyle w:val="Textoindependiente"/>
        <w:spacing w:before="1"/>
      </w:pPr>
    </w:p>
    <w:p w14:paraId="7B62E367" w14:textId="77777777" w:rsidR="00467FCA" w:rsidRDefault="001B68EB">
      <w:pPr>
        <w:pStyle w:val="Prrafodelista"/>
        <w:numPr>
          <w:ilvl w:val="0"/>
          <w:numId w:val="50"/>
        </w:numPr>
        <w:tabs>
          <w:tab w:val="left" w:pos="686"/>
        </w:tabs>
        <w:ind w:left="118" w:right="118" w:firstLine="0"/>
        <w:jc w:val="both"/>
        <w:rPr>
          <w:sz w:val="20"/>
        </w:rPr>
      </w:pPr>
      <w:r>
        <w:rPr>
          <w:sz w:val="20"/>
        </w:rPr>
        <w:t>En este marco, sobre el proceso penal, indicó que: 1) el número de víctimas no puede ser considerado un motivo para la demora en su tramitación, pues los posibles responsables fueron</w:t>
      </w:r>
      <w:r>
        <w:rPr>
          <w:spacing w:val="-10"/>
          <w:sz w:val="20"/>
        </w:rPr>
        <w:t xml:space="preserve"> </w:t>
      </w:r>
      <w:r>
        <w:rPr>
          <w:sz w:val="20"/>
        </w:rPr>
        <w:t>determinados</w:t>
      </w:r>
      <w:r>
        <w:rPr>
          <w:spacing w:val="-9"/>
          <w:sz w:val="20"/>
        </w:rPr>
        <w:t xml:space="preserve"> </w:t>
      </w:r>
      <w:r>
        <w:rPr>
          <w:sz w:val="20"/>
        </w:rPr>
        <w:t>en</w:t>
      </w:r>
      <w:r>
        <w:rPr>
          <w:spacing w:val="-8"/>
          <w:sz w:val="20"/>
        </w:rPr>
        <w:t xml:space="preserve"> </w:t>
      </w:r>
      <w:r>
        <w:rPr>
          <w:sz w:val="20"/>
        </w:rPr>
        <w:t>las</w:t>
      </w:r>
      <w:r>
        <w:rPr>
          <w:spacing w:val="-11"/>
          <w:sz w:val="20"/>
        </w:rPr>
        <w:t xml:space="preserve"> </w:t>
      </w:r>
      <w:r>
        <w:rPr>
          <w:sz w:val="20"/>
        </w:rPr>
        <w:t>primeras</w:t>
      </w:r>
      <w:r>
        <w:rPr>
          <w:spacing w:val="-9"/>
          <w:sz w:val="20"/>
        </w:rPr>
        <w:t xml:space="preserve"> </w:t>
      </w:r>
      <w:r>
        <w:rPr>
          <w:sz w:val="20"/>
        </w:rPr>
        <w:t>etapas</w:t>
      </w:r>
      <w:r>
        <w:rPr>
          <w:spacing w:val="-12"/>
          <w:sz w:val="20"/>
        </w:rPr>
        <w:t xml:space="preserve"> </w:t>
      </w:r>
      <w:r>
        <w:rPr>
          <w:sz w:val="20"/>
        </w:rPr>
        <w:t>de</w:t>
      </w:r>
      <w:r>
        <w:rPr>
          <w:spacing w:val="-11"/>
          <w:sz w:val="20"/>
        </w:rPr>
        <w:t xml:space="preserve"> </w:t>
      </w:r>
      <w:r>
        <w:rPr>
          <w:sz w:val="20"/>
        </w:rPr>
        <w:t>la</w:t>
      </w:r>
      <w:r>
        <w:rPr>
          <w:spacing w:val="-10"/>
          <w:sz w:val="20"/>
        </w:rPr>
        <w:t xml:space="preserve"> </w:t>
      </w:r>
      <w:r>
        <w:rPr>
          <w:sz w:val="20"/>
        </w:rPr>
        <w:t>investigación</w:t>
      </w:r>
      <w:r>
        <w:rPr>
          <w:spacing w:val="-8"/>
          <w:sz w:val="20"/>
        </w:rPr>
        <w:t xml:space="preserve"> </w:t>
      </w:r>
      <w:r>
        <w:rPr>
          <w:sz w:val="20"/>
        </w:rPr>
        <w:t>y</w:t>
      </w:r>
      <w:r>
        <w:rPr>
          <w:spacing w:val="-11"/>
          <w:sz w:val="20"/>
        </w:rPr>
        <w:t xml:space="preserve"> </w:t>
      </w:r>
      <w:r>
        <w:rPr>
          <w:sz w:val="20"/>
        </w:rPr>
        <w:t>las</w:t>
      </w:r>
      <w:r>
        <w:rPr>
          <w:spacing w:val="-9"/>
          <w:sz w:val="20"/>
        </w:rPr>
        <w:t xml:space="preserve"> </w:t>
      </w:r>
      <w:r>
        <w:rPr>
          <w:sz w:val="20"/>
        </w:rPr>
        <w:t>víctimas</w:t>
      </w:r>
      <w:r>
        <w:rPr>
          <w:spacing w:val="-12"/>
          <w:sz w:val="20"/>
        </w:rPr>
        <w:t xml:space="preserve"> </w:t>
      </w:r>
      <w:r>
        <w:rPr>
          <w:sz w:val="20"/>
        </w:rPr>
        <w:t>se</w:t>
      </w:r>
      <w:r>
        <w:rPr>
          <w:spacing w:val="-9"/>
          <w:sz w:val="20"/>
        </w:rPr>
        <w:t xml:space="preserve"> </w:t>
      </w:r>
      <w:r>
        <w:rPr>
          <w:sz w:val="20"/>
        </w:rPr>
        <w:t>encontraban probadas,</w:t>
      </w:r>
      <w:r>
        <w:rPr>
          <w:spacing w:val="-4"/>
          <w:sz w:val="20"/>
        </w:rPr>
        <w:t xml:space="preserve"> </w:t>
      </w:r>
      <w:r>
        <w:rPr>
          <w:sz w:val="20"/>
        </w:rPr>
        <w:t>dado</w:t>
      </w:r>
      <w:r>
        <w:rPr>
          <w:spacing w:val="-4"/>
          <w:sz w:val="20"/>
        </w:rPr>
        <w:t xml:space="preserve"> </w:t>
      </w:r>
      <w:r>
        <w:rPr>
          <w:sz w:val="20"/>
        </w:rPr>
        <w:t>que</w:t>
      </w:r>
      <w:r>
        <w:rPr>
          <w:spacing w:val="-4"/>
          <w:sz w:val="20"/>
        </w:rPr>
        <w:t xml:space="preserve"> </w:t>
      </w:r>
      <w:r>
        <w:rPr>
          <w:sz w:val="20"/>
        </w:rPr>
        <w:t>el</w:t>
      </w:r>
      <w:r>
        <w:rPr>
          <w:spacing w:val="-4"/>
          <w:sz w:val="20"/>
        </w:rPr>
        <w:t xml:space="preserve"> </w:t>
      </w:r>
      <w:r>
        <w:rPr>
          <w:sz w:val="20"/>
        </w:rPr>
        <w:t>hecho</w:t>
      </w:r>
      <w:r>
        <w:rPr>
          <w:spacing w:val="-4"/>
          <w:sz w:val="20"/>
        </w:rPr>
        <w:t xml:space="preserve"> </w:t>
      </w:r>
      <w:r>
        <w:rPr>
          <w:sz w:val="20"/>
        </w:rPr>
        <w:t>generador</w:t>
      </w:r>
      <w:r>
        <w:rPr>
          <w:spacing w:val="-4"/>
          <w:sz w:val="20"/>
        </w:rPr>
        <w:t xml:space="preserve"> </w:t>
      </w:r>
      <w:r>
        <w:rPr>
          <w:sz w:val="20"/>
        </w:rPr>
        <w:t>de</w:t>
      </w:r>
      <w:r>
        <w:rPr>
          <w:spacing w:val="-4"/>
          <w:sz w:val="20"/>
        </w:rPr>
        <w:t xml:space="preserve"> </w:t>
      </w:r>
      <w:r>
        <w:rPr>
          <w:sz w:val="20"/>
        </w:rPr>
        <w:t>las</w:t>
      </w:r>
      <w:r>
        <w:rPr>
          <w:spacing w:val="-1"/>
          <w:sz w:val="20"/>
        </w:rPr>
        <w:t xml:space="preserve"> </w:t>
      </w:r>
      <w:r>
        <w:rPr>
          <w:sz w:val="20"/>
        </w:rPr>
        <w:t>muertes</w:t>
      </w:r>
      <w:r>
        <w:rPr>
          <w:spacing w:val="-4"/>
          <w:sz w:val="20"/>
        </w:rPr>
        <w:t xml:space="preserve"> </w:t>
      </w:r>
      <w:r>
        <w:rPr>
          <w:sz w:val="20"/>
        </w:rPr>
        <w:t>y</w:t>
      </w:r>
      <w:r>
        <w:rPr>
          <w:spacing w:val="-4"/>
          <w:sz w:val="20"/>
        </w:rPr>
        <w:t xml:space="preserve"> </w:t>
      </w:r>
      <w:r>
        <w:rPr>
          <w:sz w:val="20"/>
        </w:rPr>
        <w:t>lesiones</w:t>
      </w:r>
      <w:r>
        <w:rPr>
          <w:spacing w:val="-4"/>
          <w:sz w:val="20"/>
        </w:rPr>
        <w:t xml:space="preserve"> </w:t>
      </w:r>
      <w:r>
        <w:rPr>
          <w:sz w:val="20"/>
        </w:rPr>
        <w:t>fue</w:t>
      </w:r>
      <w:r>
        <w:rPr>
          <w:spacing w:val="-2"/>
          <w:sz w:val="20"/>
        </w:rPr>
        <w:t xml:space="preserve"> </w:t>
      </w:r>
      <w:r>
        <w:rPr>
          <w:sz w:val="20"/>
        </w:rPr>
        <w:t>uno</w:t>
      </w:r>
      <w:r>
        <w:rPr>
          <w:spacing w:val="-6"/>
          <w:sz w:val="20"/>
        </w:rPr>
        <w:t xml:space="preserve"> </w:t>
      </w:r>
      <w:r>
        <w:rPr>
          <w:sz w:val="20"/>
        </w:rPr>
        <w:t>solo:</w:t>
      </w:r>
      <w:r>
        <w:rPr>
          <w:spacing w:val="-2"/>
          <w:sz w:val="20"/>
        </w:rPr>
        <w:t xml:space="preserve"> </w:t>
      </w:r>
      <w:r>
        <w:rPr>
          <w:sz w:val="20"/>
        </w:rPr>
        <w:t>la</w:t>
      </w:r>
      <w:r>
        <w:rPr>
          <w:spacing w:val="-3"/>
          <w:sz w:val="20"/>
        </w:rPr>
        <w:t xml:space="preserve"> </w:t>
      </w:r>
      <w:r>
        <w:rPr>
          <w:sz w:val="20"/>
        </w:rPr>
        <w:t>explosión;</w:t>
      </w:r>
    </w:p>
    <w:p w14:paraId="1BBAF0BD" w14:textId="77777777" w:rsidR="00467FCA" w:rsidRDefault="001B68EB">
      <w:pPr>
        <w:pStyle w:val="Textoindependiente"/>
        <w:ind w:left="118" w:right="117"/>
        <w:jc w:val="both"/>
      </w:pPr>
      <w:r>
        <w:t>2) no se puede atribuir la demora a la conducta de los denunciantes porque, tratándose de un caso grave de violaciones de derechos humanos, era el Estado el que tenía el deber de impulsar la investigación de oficio; 3) no puede atribuirse la demora al proc</w:t>
      </w:r>
      <w:r>
        <w:t>eso propio del Tribunal de Jurados, pues el retardo en este caso está vinculado no a las características de dicho procedimiento, sino al actuar de las autoridades durante el trámite judicial, y 4) se mantuvo la impunidad respecto de las autoridades estatal</w:t>
      </w:r>
      <w:r>
        <w:t>es que incumplieron con su deber de</w:t>
      </w:r>
      <w:r>
        <w:rPr>
          <w:spacing w:val="-8"/>
        </w:rPr>
        <w:t xml:space="preserve"> </w:t>
      </w:r>
      <w:r>
        <w:t>fiscalización,</w:t>
      </w:r>
      <w:r>
        <w:rPr>
          <w:spacing w:val="-6"/>
        </w:rPr>
        <w:t xml:space="preserve"> </w:t>
      </w:r>
      <w:r>
        <w:t>pues</w:t>
      </w:r>
      <w:r>
        <w:rPr>
          <w:spacing w:val="-6"/>
        </w:rPr>
        <w:t xml:space="preserve"> </w:t>
      </w:r>
      <w:r>
        <w:t>no</w:t>
      </w:r>
      <w:r>
        <w:rPr>
          <w:spacing w:val="-4"/>
        </w:rPr>
        <w:t xml:space="preserve"> </w:t>
      </w:r>
      <w:r>
        <w:t>se</w:t>
      </w:r>
      <w:r>
        <w:rPr>
          <w:spacing w:val="-4"/>
        </w:rPr>
        <w:t xml:space="preserve"> </w:t>
      </w:r>
      <w:r>
        <w:t>efectuó</w:t>
      </w:r>
      <w:r>
        <w:rPr>
          <w:spacing w:val="-5"/>
        </w:rPr>
        <w:t xml:space="preserve"> </w:t>
      </w:r>
      <w:r>
        <w:t>ninguna</w:t>
      </w:r>
      <w:r>
        <w:rPr>
          <w:spacing w:val="-5"/>
        </w:rPr>
        <w:t xml:space="preserve"> </w:t>
      </w:r>
      <w:r>
        <w:t>investigación</w:t>
      </w:r>
      <w:r>
        <w:rPr>
          <w:spacing w:val="-4"/>
        </w:rPr>
        <w:t xml:space="preserve"> </w:t>
      </w:r>
      <w:r>
        <w:t>sobre</w:t>
      </w:r>
      <w:r>
        <w:rPr>
          <w:spacing w:val="-4"/>
        </w:rPr>
        <w:t xml:space="preserve"> </w:t>
      </w:r>
      <w:r>
        <w:t>estas.</w:t>
      </w:r>
      <w:r>
        <w:rPr>
          <w:spacing w:val="-1"/>
        </w:rPr>
        <w:t xml:space="preserve"> </w:t>
      </w:r>
      <w:r>
        <w:t>Además,</w:t>
      </w:r>
      <w:r>
        <w:rPr>
          <w:spacing w:val="-5"/>
        </w:rPr>
        <w:t xml:space="preserve"> </w:t>
      </w:r>
      <w:r>
        <w:t>indicó</w:t>
      </w:r>
      <w:r>
        <w:rPr>
          <w:spacing w:val="-4"/>
        </w:rPr>
        <w:t xml:space="preserve"> </w:t>
      </w:r>
      <w:r>
        <w:t>que</w:t>
      </w:r>
      <w:r>
        <w:rPr>
          <w:spacing w:val="-4"/>
        </w:rPr>
        <w:t xml:space="preserve"> </w:t>
      </w:r>
      <w:r>
        <w:t>la impunidad</w:t>
      </w:r>
      <w:r>
        <w:rPr>
          <w:spacing w:val="-8"/>
        </w:rPr>
        <w:t xml:space="preserve"> </w:t>
      </w:r>
      <w:r>
        <w:t>persiste.</w:t>
      </w:r>
      <w:r>
        <w:rPr>
          <w:spacing w:val="-9"/>
        </w:rPr>
        <w:t xml:space="preserve"> </w:t>
      </w:r>
      <w:r>
        <w:t>Así,</w:t>
      </w:r>
      <w:r>
        <w:rPr>
          <w:spacing w:val="-6"/>
        </w:rPr>
        <w:t xml:space="preserve"> </w:t>
      </w:r>
      <w:r>
        <w:t>transcurridos</w:t>
      </w:r>
      <w:r>
        <w:rPr>
          <w:spacing w:val="-10"/>
        </w:rPr>
        <w:t xml:space="preserve"> </w:t>
      </w:r>
      <w:r>
        <w:t>más</w:t>
      </w:r>
      <w:r>
        <w:rPr>
          <w:spacing w:val="-9"/>
        </w:rPr>
        <w:t xml:space="preserve"> </w:t>
      </w:r>
      <w:r>
        <w:t>de</w:t>
      </w:r>
      <w:r>
        <w:rPr>
          <w:spacing w:val="-9"/>
        </w:rPr>
        <w:t xml:space="preserve"> </w:t>
      </w:r>
      <w:r>
        <w:t>20</w:t>
      </w:r>
      <w:r>
        <w:rPr>
          <w:spacing w:val="-8"/>
        </w:rPr>
        <w:t xml:space="preserve"> </w:t>
      </w:r>
      <w:r>
        <w:t>años</w:t>
      </w:r>
      <w:r>
        <w:rPr>
          <w:spacing w:val="-9"/>
        </w:rPr>
        <w:t xml:space="preserve"> </w:t>
      </w:r>
      <w:r>
        <w:t>de</w:t>
      </w:r>
      <w:r>
        <w:rPr>
          <w:spacing w:val="-9"/>
        </w:rPr>
        <w:t xml:space="preserve"> </w:t>
      </w:r>
      <w:r>
        <w:t>la</w:t>
      </w:r>
      <w:r>
        <w:rPr>
          <w:spacing w:val="-6"/>
        </w:rPr>
        <w:t xml:space="preserve"> </w:t>
      </w:r>
      <w:r>
        <w:t>explosión,</w:t>
      </w:r>
      <w:r>
        <w:rPr>
          <w:spacing w:val="-8"/>
        </w:rPr>
        <w:t xml:space="preserve"> </w:t>
      </w:r>
      <w:r>
        <w:t>las</w:t>
      </w:r>
      <w:r>
        <w:rPr>
          <w:spacing w:val="-9"/>
        </w:rPr>
        <w:t xml:space="preserve"> </w:t>
      </w:r>
      <w:r>
        <w:t>condenas</w:t>
      </w:r>
      <w:r>
        <w:rPr>
          <w:spacing w:val="-9"/>
        </w:rPr>
        <w:t xml:space="preserve"> </w:t>
      </w:r>
      <w:r>
        <w:t>no</w:t>
      </w:r>
      <w:r>
        <w:rPr>
          <w:spacing w:val="-7"/>
        </w:rPr>
        <w:t xml:space="preserve"> </w:t>
      </w:r>
      <w:r>
        <w:t xml:space="preserve">están firmes y se decretó la prescripción </w:t>
      </w:r>
      <w:r>
        <w:t>de la acción en favor de Osvaldo</w:t>
      </w:r>
      <w:r>
        <w:rPr>
          <w:spacing w:val="-18"/>
        </w:rPr>
        <w:t xml:space="preserve"> </w:t>
      </w:r>
      <w:r>
        <w:t>Prazeres.</w:t>
      </w:r>
    </w:p>
    <w:p w14:paraId="6DB2421F" w14:textId="77777777" w:rsidR="00467FCA" w:rsidRDefault="00467FCA">
      <w:pPr>
        <w:pStyle w:val="Textoindependiente"/>
      </w:pPr>
    </w:p>
    <w:p w14:paraId="6A9F99B1" w14:textId="77777777" w:rsidR="00467FCA" w:rsidRDefault="001B68EB">
      <w:pPr>
        <w:pStyle w:val="Prrafodelista"/>
        <w:numPr>
          <w:ilvl w:val="0"/>
          <w:numId w:val="50"/>
        </w:numPr>
        <w:tabs>
          <w:tab w:val="left" w:pos="686"/>
        </w:tabs>
        <w:spacing w:before="1"/>
        <w:ind w:left="118" w:right="118" w:firstLine="0"/>
        <w:jc w:val="both"/>
        <w:rPr>
          <w:sz w:val="20"/>
        </w:rPr>
      </w:pPr>
      <w:r>
        <w:rPr>
          <w:sz w:val="20"/>
        </w:rPr>
        <w:t>Sobre</w:t>
      </w:r>
      <w:r>
        <w:rPr>
          <w:spacing w:val="-8"/>
          <w:sz w:val="20"/>
        </w:rPr>
        <w:t xml:space="preserve"> </w:t>
      </w:r>
      <w:r>
        <w:rPr>
          <w:sz w:val="20"/>
        </w:rPr>
        <w:t>los</w:t>
      </w:r>
      <w:r>
        <w:rPr>
          <w:spacing w:val="-6"/>
          <w:sz w:val="20"/>
        </w:rPr>
        <w:t xml:space="preserve"> </w:t>
      </w:r>
      <w:r>
        <w:rPr>
          <w:sz w:val="20"/>
        </w:rPr>
        <w:t>procesos</w:t>
      </w:r>
      <w:r>
        <w:rPr>
          <w:spacing w:val="-7"/>
          <w:sz w:val="20"/>
        </w:rPr>
        <w:t xml:space="preserve"> </w:t>
      </w:r>
      <w:r>
        <w:rPr>
          <w:sz w:val="20"/>
        </w:rPr>
        <w:t>civiles</w:t>
      </w:r>
      <w:r>
        <w:rPr>
          <w:spacing w:val="-6"/>
          <w:sz w:val="20"/>
        </w:rPr>
        <w:t xml:space="preserve"> </w:t>
      </w:r>
      <w:r>
        <w:rPr>
          <w:sz w:val="20"/>
        </w:rPr>
        <w:t>indicó</w:t>
      </w:r>
      <w:r>
        <w:rPr>
          <w:spacing w:val="-7"/>
          <w:sz w:val="20"/>
        </w:rPr>
        <w:t xml:space="preserve"> </w:t>
      </w:r>
      <w:r>
        <w:rPr>
          <w:sz w:val="20"/>
        </w:rPr>
        <w:t>que,</w:t>
      </w:r>
      <w:r>
        <w:rPr>
          <w:spacing w:val="-7"/>
          <w:sz w:val="20"/>
        </w:rPr>
        <w:t xml:space="preserve"> </w:t>
      </w:r>
      <w:r>
        <w:rPr>
          <w:sz w:val="20"/>
        </w:rPr>
        <w:t>respecto</w:t>
      </w:r>
      <w:r>
        <w:rPr>
          <w:spacing w:val="-4"/>
          <w:sz w:val="20"/>
        </w:rPr>
        <w:t xml:space="preserve"> </w:t>
      </w:r>
      <w:r>
        <w:rPr>
          <w:sz w:val="20"/>
        </w:rPr>
        <w:t>del</w:t>
      </w:r>
      <w:r>
        <w:rPr>
          <w:spacing w:val="-6"/>
          <w:sz w:val="20"/>
        </w:rPr>
        <w:t xml:space="preserve"> </w:t>
      </w:r>
      <w:r>
        <w:rPr>
          <w:sz w:val="20"/>
        </w:rPr>
        <w:t>seguido</w:t>
      </w:r>
      <w:r>
        <w:rPr>
          <w:spacing w:val="-4"/>
          <w:sz w:val="20"/>
        </w:rPr>
        <w:t xml:space="preserve"> </w:t>
      </w:r>
      <w:r>
        <w:rPr>
          <w:sz w:val="20"/>
        </w:rPr>
        <w:t>contra</w:t>
      </w:r>
      <w:r>
        <w:rPr>
          <w:spacing w:val="-6"/>
          <w:sz w:val="20"/>
        </w:rPr>
        <w:t xml:space="preserve"> </w:t>
      </w:r>
      <w:r>
        <w:rPr>
          <w:sz w:val="20"/>
        </w:rPr>
        <w:t>el</w:t>
      </w:r>
      <w:r>
        <w:rPr>
          <w:spacing w:val="-5"/>
          <w:sz w:val="20"/>
        </w:rPr>
        <w:t xml:space="preserve"> </w:t>
      </w:r>
      <w:r>
        <w:rPr>
          <w:sz w:val="20"/>
        </w:rPr>
        <w:t>Estado</w:t>
      </w:r>
      <w:r>
        <w:rPr>
          <w:spacing w:val="-8"/>
          <w:sz w:val="20"/>
        </w:rPr>
        <w:t xml:space="preserve"> </w:t>
      </w:r>
      <w:r>
        <w:rPr>
          <w:sz w:val="20"/>
        </w:rPr>
        <w:t>de</w:t>
      </w:r>
      <w:r>
        <w:rPr>
          <w:spacing w:val="-7"/>
          <w:sz w:val="20"/>
        </w:rPr>
        <w:t xml:space="preserve"> </w:t>
      </w:r>
      <w:r>
        <w:rPr>
          <w:sz w:val="20"/>
        </w:rPr>
        <w:t>Brasil,</w:t>
      </w:r>
      <w:r>
        <w:rPr>
          <w:spacing w:val="-6"/>
          <w:sz w:val="20"/>
        </w:rPr>
        <w:t xml:space="preserve"> </w:t>
      </w:r>
      <w:r>
        <w:rPr>
          <w:sz w:val="20"/>
        </w:rPr>
        <w:t>el estado de Bahia, la Municipalidad de Santo Antônio de Jesus y la empresa Mário Fróes Prazeres Bastos, a pesar de haberse desglosado el proceso por el alto número de litisconsortes, después de 15 años, solo un proceso civil ha sido resuelto de forma defi</w:t>
      </w:r>
      <w:r>
        <w:rPr>
          <w:sz w:val="20"/>
        </w:rPr>
        <w:t>nitiva. Además,</w:t>
      </w:r>
      <w:r>
        <w:rPr>
          <w:spacing w:val="44"/>
          <w:sz w:val="20"/>
        </w:rPr>
        <w:t xml:space="preserve"> </w:t>
      </w:r>
      <w:r>
        <w:rPr>
          <w:sz w:val="20"/>
        </w:rPr>
        <w:t>señaló</w:t>
      </w:r>
      <w:r>
        <w:rPr>
          <w:spacing w:val="44"/>
          <w:sz w:val="20"/>
        </w:rPr>
        <w:t xml:space="preserve"> </w:t>
      </w:r>
      <w:r>
        <w:rPr>
          <w:sz w:val="20"/>
        </w:rPr>
        <w:t>que</w:t>
      </w:r>
      <w:r>
        <w:rPr>
          <w:spacing w:val="44"/>
          <w:sz w:val="20"/>
        </w:rPr>
        <w:t xml:space="preserve"> </w:t>
      </w:r>
      <w:r>
        <w:rPr>
          <w:sz w:val="20"/>
        </w:rPr>
        <w:t>los</w:t>
      </w:r>
      <w:r>
        <w:rPr>
          <w:spacing w:val="42"/>
          <w:sz w:val="20"/>
        </w:rPr>
        <w:t xml:space="preserve"> </w:t>
      </w:r>
      <w:r>
        <w:rPr>
          <w:sz w:val="20"/>
        </w:rPr>
        <w:t>montos</w:t>
      </w:r>
      <w:r>
        <w:rPr>
          <w:spacing w:val="45"/>
          <w:sz w:val="20"/>
        </w:rPr>
        <w:t xml:space="preserve"> </w:t>
      </w:r>
      <w:r>
        <w:rPr>
          <w:sz w:val="20"/>
        </w:rPr>
        <w:t>derivados</w:t>
      </w:r>
      <w:r>
        <w:rPr>
          <w:spacing w:val="44"/>
          <w:sz w:val="20"/>
        </w:rPr>
        <w:t xml:space="preserve"> </w:t>
      </w:r>
      <w:r>
        <w:rPr>
          <w:sz w:val="20"/>
        </w:rPr>
        <w:t>del</w:t>
      </w:r>
      <w:r>
        <w:rPr>
          <w:spacing w:val="44"/>
          <w:sz w:val="20"/>
        </w:rPr>
        <w:t xml:space="preserve"> </w:t>
      </w:r>
      <w:r>
        <w:rPr>
          <w:sz w:val="20"/>
        </w:rPr>
        <w:t>pedido</w:t>
      </w:r>
      <w:r>
        <w:rPr>
          <w:spacing w:val="44"/>
          <w:sz w:val="20"/>
        </w:rPr>
        <w:t xml:space="preserve"> </w:t>
      </w:r>
      <w:r>
        <w:rPr>
          <w:sz w:val="20"/>
        </w:rPr>
        <w:t>de</w:t>
      </w:r>
      <w:r>
        <w:rPr>
          <w:spacing w:val="44"/>
          <w:sz w:val="20"/>
        </w:rPr>
        <w:t xml:space="preserve"> </w:t>
      </w:r>
      <w:r>
        <w:rPr>
          <w:sz w:val="20"/>
        </w:rPr>
        <w:t>anticipación</w:t>
      </w:r>
      <w:r>
        <w:rPr>
          <w:spacing w:val="43"/>
          <w:sz w:val="20"/>
        </w:rPr>
        <w:t xml:space="preserve"> </w:t>
      </w:r>
      <w:r>
        <w:rPr>
          <w:sz w:val="20"/>
        </w:rPr>
        <w:t>de</w:t>
      </w:r>
      <w:r>
        <w:rPr>
          <w:spacing w:val="42"/>
          <w:sz w:val="20"/>
        </w:rPr>
        <w:t xml:space="preserve"> </w:t>
      </w:r>
      <w:r>
        <w:rPr>
          <w:sz w:val="20"/>
        </w:rPr>
        <w:t>tutela</w:t>
      </w:r>
      <w:r>
        <w:rPr>
          <w:spacing w:val="42"/>
          <w:sz w:val="20"/>
        </w:rPr>
        <w:t xml:space="preserve"> </w:t>
      </w:r>
      <w:r>
        <w:rPr>
          <w:sz w:val="20"/>
        </w:rPr>
        <w:t>para</w:t>
      </w:r>
      <w:r>
        <w:rPr>
          <w:spacing w:val="43"/>
          <w:sz w:val="20"/>
        </w:rPr>
        <w:t xml:space="preserve"> </w:t>
      </w:r>
      <w:r>
        <w:rPr>
          <w:sz w:val="20"/>
        </w:rPr>
        <w:t>los</w:t>
      </w:r>
    </w:p>
    <w:p w14:paraId="07D81404" w14:textId="77777777" w:rsidR="00467FCA" w:rsidRDefault="001B68EB">
      <w:pPr>
        <w:pStyle w:val="Textoindependiente"/>
        <w:spacing w:before="6"/>
        <w:rPr>
          <w:sz w:val="14"/>
        </w:rPr>
      </w:pPr>
      <w:r>
        <w:pict w14:anchorId="0C323FA6">
          <v:shape id="_x0000_s1140" style="position:absolute;margin-left:1in;margin-top:11.1pt;width:2in;height:.1pt;z-index:-251600896;mso-wrap-distance-left:0;mso-wrap-distance-right:0;mso-position-horizontal-relative:page" coordorigin="1440,222" coordsize="2880,0" path="m1440,222r2880,e" filled="f" strokeweight=".6pt">
            <v:path arrowok="t"/>
            <w10:wrap type="topAndBottom" anchorx="page"/>
          </v:shape>
        </w:pict>
      </w:r>
    </w:p>
    <w:p w14:paraId="07848279" w14:textId="77777777" w:rsidR="00467FCA" w:rsidRDefault="001B68EB">
      <w:pPr>
        <w:tabs>
          <w:tab w:val="left" w:pos="839"/>
        </w:tabs>
        <w:spacing w:before="74"/>
        <w:ind w:left="119" w:right="112"/>
        <w:jc w:val="both"/>
        <w:rPr>
          <w:sz w:val="16"/>
        </w:rPr>
      </w:pPr>
      <w:bookmarkStart w:id="407" w:name="_bookmark357"/>
      <w:bookmarkEnd w:id="407"/>
      <w:r>
        <w:rPr>
          <w:position w:val="6"/>
          <w:sz w:val="10"/>
        </w:rPr>
        <w:t>305</w:t>
      </w:r>
      <w:r>
        <w:rPr>
          <w:position w:val="6"/>
          <w:sz w:val="10"/>
        </w:rPr>
        <w:tab/>
      </w:r>
      <w:r>
        <w:rPr>
          <w:sz w:val="16"/>
        </w:rPr>
        <w:t>El</w:t>
      </w:r>
      <w:r>
        <w:rPr>
          <w:spacing w:val="-12"/>
          <w:sz w:val="16"/>
        </w:rPr>
        <w:t xml:space="preserve"> </w:t>
      </w:r>
      <w:r>
        <w:rPr>
          <w:sz w:val="16"/>
        </w:rPr>
        <w:t>Estado</w:t>
      </w:r>
      <w:r>
        <w:rPr>
          <w:spacing w:val="-9"/>
          <w:sz w:val="16"/>
        </w:rPr>
        <w:t xml:space="preserve"> </w:t>
      </w:r>
      <w:r>
        <w:rPr>
          <w:sz w:val="16"/>
        </w:rPr>
        <w:t>es</w:t>
      </w:r>
      <w:r>
        <w:rPr>
          <w:spacing w:val="-12"/>
          <w:sz w:val="16"/>
        </w:rPr>
        <w:t xml:space="preserve"> </w:t>
      </w:r>
      <w:r>
        <w:rPr>
          <w:sz w:val="16"/>
        </w:rPr>
        <w:t>responsable</w:t>
      </w:r>
      <w:r>
        <w:rPr>
          <w:spacing w:val="-13"/>
          <w:sz w:val="16"/>
        </w:rPr>
        <w:t xml:space="preserve"> </w:t>
      </w:r>
      <w:r>
        <w:rPr>
          <w:sz w:val="16"/>
        </w:rPr>
        <w:t>por</w:t>
      </w:r>
      <w:r>
        <w:rPr>
          <w:spacing w:val="-9"/>
          <w:sz w:val="16"/>
        </w:rPr>
        <w:t xml:space="preserve"> </w:t>
      </w:r>
      <w:r>
        <w:rPr>
          <w:sz w:val="16"/>
        </w:rPr>
        <w:t>la</w:t>
      </w:r>
      <w:r>
        <w:rPr>
          <w:spacing w:val="-10"/>
          <w:sz w:val="16"/>
        </w:rPr>
        <w:t xml:space="preserve"> </w:t>
      </w:r>
      <w:r>
        <w:rPr>
          <w:sz w:val="16"/>
        </w:rPr>
        <w:t>violación</w:t>
      </w:r>
      <w:r>
        <w:rPr>
          <w:spacing w:val="-13"/>
          <w:sz w:val="16"/>
        </w:rPr>
        <w:t xml:space="preserve"> </w:t>
      </w:r>
      <w:r>
        <w:rPr>
          <w:sz w:val="16"/>
        </w:rPr>
        <w:t>a</w:t>
      </w:r>
      <w:r>
        <w:rPr>
          <w:spacing w:val="-11"/>
          <w:sz w:val="16"/>
        </w:rPr>
        <w:t xml:space="preserve"> </w:t>
      </w:r>
      <w:r>
        <w:rPr>
          <w:sz w:val="16"/>
        </w:rPr>
        <w:t>los</w:t>
      </w:r>
      <w:r>
        <w:rPr>
          <w:spacing w:val="-10"/>
          <w:sz w:val="16"/>
        </w:rPr>
        <w:t xml:space="preserve"> </w:t>
      </w:r>
      <w:r>
        <w:rPr>
          <w:sz w:val="16"/>
        </w:rPr>
        <w:t>artículos</w:t>
      </w:r>
      <w:r>
        <w:rPr>
          <w:spacing w:val="-12"/>
          <w:sz w:val="16"/>
        </w:rPr>
        <w:t xml:space="preserve"> </w:t>
      </w:r>
      <w:r>
        <w:rPr>
          <w:sz w:val="16"/>
        </w:rPr>
        <w:t>señalados</w:t>
      </w:r>
      <w:r>
        <w:rPr>
          <w:spacing w:val="-12"/>
          <w:sz w:val="16"/>
        </w:rPr>
        <w:t xml:space="preserve"> </w:t>
      </w:r>
      <w:r>
        <w:rPr>
          <w:sz w:val="16"/>
        </w:rPr>
        <w:t>en</w:t>
      </w:r>
      <w:r>
        <w:rPr>
          <w:spacing w:val="-12"/>
          <w:sz w:val="16"/>
        </w:rPr>
        <w:t xml:space="preserve"> </w:t>
      </w:r>
      <w:r>
        <w:rPr>
          <w:sz w:val="16"/>
        </w:rPr>
        <w:t>este</w:t>
      </w:r>
      <w:r>
        <w:rPr>
          <w:spacing w:val="-12"/>
          <w:sz w:val="16"/>
        </w:rPr>
        <w:t xml:space="preserve"> </w:t>
      </w:r>
      <w:r>
        <w:rPr>
          <w:sz w:val="16"/>
        </w:rPr>
        <w:t>párrafo,</w:t>
      </w:r>
      <w:r>
        <w:rPr>
          <w:spacing w:val="-11"/>
          <w:sz w:val="16"/>
        </w:rPr>
        <w:t xml:space="preserve"> </w:t>
      </w:r>
      <w:r>
        <w:rPr>
          <w:sz w:val="16"/>
        </w:rPr>
        <w:t>en</w:t>
      </w:r>
      <w:r>
        <w:rPr>
          <w:spacing w:val="-13"/>
          <w:sz w:val="16"/>
        </w:rPr>
        <w:t xml:space="preserve"> </w:t>
      </w:r>
      <w:r>
        <w:rPr>
          <w:sz w:val="16"/>
        </w:rPr>
        <w:t>relación</w:t>
      </w:r>
      <w:r>
        <w:rPr>
          <w:spacing w:val="35"/>
          <w:sz w:val="16"/>
        </w:rPr>
        <w:t xml:space="preserve"> </w:t>
      </w:r>
      <w:r>
        <w:rPr>
          <w:sz w:val="16"/>
        </w:rPr>
        <w:t>con</w:t>
      </w:r>
      <w:r>
        <w:rPr>
          <w:spacing w:val="-13"/>
          <w:sz w:val="16"/>
        </w:rPr>
        <w:t xml:space="preserve"> </w:t>
      </w:r>
      <w:r>
        <w:rPr>
          <w:sz w:val="16"/>
        </w:rPr>
        <w:t>el</w:t>
      </w:r>
      <w:r>
        <w:rPr>
          <w:spacing w:val="-11"/>
          <w:sz w:val="16"/>
        </w:rPr>
        <w:t xml:space="preserve"> </w:t>
      </w:r>
      <w:r>
        <w:rPr>
          <w:sz w:val="16"/>
        </w:rPr>
        <w:t>artículo 19</w:t>
      </w:r>
      <w:r>
        <w:rPr>
          <w:spacing w:val="-11"/>
          <w:sz w:val="16"/>
        </w:rPr>
        <w:t xml:space="preserve"> </w:t>
      </w:r>
      <w:r>
        <w:rPr>
          <w:sz w:val="16"/>
        </w:rPr>
        <w:t>de</w:t>
      </w:r>
      <w:r>
        <w:rPr>
          <w:spacing w:val="-8"/>
          <w:sz w:val="16"/>
        </w:rPr>
        <w:t xml:space="preserve"> </w:t>
      </w:r>
      <w:r>
        <w:rPr>
          <w:sz w:val="16"/>
        </w:rPr>
        <w:t>la</w:t>
      </w:r>
      <w:r>
        <w:rPr>
          <w:spacing w:val="-13"/>
          <w:sz w:val="16"/>
        </w:rPr>
        <w:t xml:space="preserve"> </w:t>
      </w:r>
      <w:r>
        <w:rPr>
          <w:sz w:val="16"/>
        </w:rPr>
        <w:t>Convención,</w:t>
      </w:r>
      <w:r>
        <w:rPr>
          <w:spacing w:val="-10"/>
          <w:sz w:val="16"/>
        </w:rPr>
        <w:t xml:space="preserve"> </w:t>
      </w:r>
      <w:r>
        <w:rPr>
          <w:sz w:val="16"/>
        </w:rPr>
        <w:t>en</w:t>
      </w:r>
      <w:r>
        <w:rPr>
          <w:spacing w:val="-12"/>
          <w:sz w:val="16"/>
        </w:rPr>
        <w:t xml:space="preserve"> </w:t>
      </w:r>
      <w:r>
        <w:rPr>
          <w:sz w:val="16"/>
        </w:rPr>
        <w:t>perjuicio</w:t>
      </w:r>
      <w:r>
        <w:rPr>
          <w:spacing w:val="-9"/>
          <w:sz w:val="16"/>
        </w:rPr>
        <w:t xml:space="preserve"> </w:t>
      </w:r>
      <w:r>
        <w:rPr>
          <w:sz w:val="16"/>
        </w:rPr>
        <w:t>de</w:t>
      </w:r>
      <w:r>
        <w:rPr>
          <w:spacing w:val="-11"/>
          <w:sz w:val="16"/>
        </w:rPr>
        <w:t xml:space="preserve"> </w:t>
      </w:r>
      <w:r>
        <w:rPr>
          <w:sz w:val="16"/>
        </w:rPr>
        <w:t>los</w:t>
      </w:r>
      <w:r>
        <w:rPr>
          <w:spacing w:val="-9"/>
          <w:sz w:val="16"/>
        </w:rPr>
        <w:t xml:space="preserve"> </w:t>
      </w:r>
      <w:r>
        <w:rPr>
          <w:sz w:val="16"/>
        </w:rPr>
        <w:t>niños</w:t>
      </w:r>
      <w:r>
        <w:rPr>
          <w:spacing w:val="-12"/>
          <w:sz w:val="16"/>
        </w:rPr>
        <w:t xml:space="preserve"> </w:t>
      </w:r>
      <w:r>
        <w:rPr>
          <w:sz w:val="16"/>
        </w:rPr>
        <w:t>Adriana</w:t>
      </w:r>
      <w:r>
        <w:rPr>
          <w:spacing w:val="-9"/>
          <w:sz w:val="16"/>
        </w:rPr>
        <w:t xml:space="preserve"> </w:t>
      </w:r>
      <w:r>
        <w:rPr>
          <w:sz w:val="16"/>
        </w:rPr>
        <w:t>dos</w:t>
      </w:r>
      <w:r>
        <w:rPr>
          <w:spacing w:val="-8"/>
          <w:sz w:val="16"/>
        </w:rPr>
        <w:t xml:space="preserve"> </w:t>
      </w:r>
      <w:r>
        <w:rPr>
          <w:sz w:val="16"/>
        </w:rPr>
        <w:t>Santos,</w:t>
      </w:r>
      <w:r>
        <w:rPr>
          <w:spacing w:val="-11"/>
          <w:sz w:val="16"/>
        </w:rPr>
        <w:t xml:space="preserve"> </w:t>
      </w:r>
      <w:r>
        <w:rPr>
          <w:sz w:val="16"/>
        </w:rPr>
        <w:t>Adriana</w:t>
      </w:r>
      <w:r>
        <w:rPr>
          <w:spacing w:val="-9"/>
          <w:sz w:val="16"/>
        </w:rPr>
        <w:t xml:space="preserve"> </w:t>
      </w:r>
      <w:r>
        <w:rPr>
          <w:sz w:val="16"/>
        </w:rPr>
        <w:t>Santos</w:t>
      </w:r>
      <w:r>
        <w:rPr>
          <w:spacing w:val="-11"/>
          <w:sz w:val="16"/>
        </w:rPr>
        <w:t xml:space="preserve"> </w:t>
      </w:r>
      <w:r>
        <w:rPr>
          <w:sz w:val="16"/>
        </w:rPr>
        <w:t>Rocha,</w:t>
      </w:r>
      <w:r>
        <w:rPr>
          <w:spacing w:val="-11"/>
          <w:sz w:val="16"/>
        </w:rPr>
        <w:t xml:space="preserve"> </w:t>
      </w:r>
      <w:r>
        <w:rPr>
          <w:sz w:val="16"/>
        </w:rPr>
        <w:t>Aldeci</w:t>
      </w:r>
      <w:r>
        <w:rPr>
          <w:spacing w:val="-10"/>
          <w:sz w:val="16"/>
        </w:rPr>
        <w:t xml:space="preserve"> </w:t>
      </w:r>
      <w:r>
        <w:rPr>
          <w:sz w:val="16"/>
        </w:rPr>
        <w:t>Silva</w:t>
      </w:r>
      <w:r>
        <w:rPr>
          <w:spacing w:val="-12"/>
          <w:sz w:val="16"/>
        </w:rPr>
        <w:t xml:space="preserve"> </w:t>
      </w:r>
      <w:r>
        <w:rPr>
          <w:sz w:val="16"/>
        </w:rPr>
        <w:t>Santos,</w:t>
      </w:r>
      <w:r>
        <w:rPr>
          <w:spacing w:val="-13"/>
          <w:sz w:val="16"/>
        </w:rPr>
        <w:t xml:space="preserve"> </w:t>
      </w:r>
      <w:r>
        <w:rPr>
          <w:sz w:val="16"/>
        </w:rPr>
        <w:t>Aldenir Silva Santos, Alex Santos Costa, Andreia dos Santos, Aristela Santos de Jesus, Arlete Silva Santos, Carla Alexandra Cerqueira dos Santos, Daiane Santos da Conceicao , Daniela Cerq</w:t>
      </w:r>
      <w:r>
        <w:rPr>
          <w:sz w:val="16"/>
        </w:rPr>
        <w:t>ierira Reis, Fabiana Santos Rocha, Francisneide Bispo dos Santos, Girlene dos Santos Souza, Karla Reis dos Santos, Luciene Oliveira Santos, Luciene Ribeiro dos Santos,</w:t>
      </w:r>
      <w:r>
        <w:rPr>
          <w:spacing w:val="-8"/>
          <w:sz w:val="16"/>
        </w:rPr>
        <w:t xml:space="preserve"> </w:t>
      </w:r>
      <w:r>
        <w:rPr>
          <w:sz w:val="16"/>
        </w:rPr>
        <w:t>Mairla</w:t>
      </w:r>
      <w:r>
        <w:rPr>
          <w:spacing w:val="-8"/>
          <w:sz w:val="16"/>
        </w:rPr>
        <w:t xml:space="preserve"> </w:t>
      </w:r>
      <w:r>
        <w:rPr>
          <w:sz w:val="16"/>
        </w:rPr>
        <w:t>de</w:t>
      </w:r>
      <w:r>
        <w:rPr>
          <w:spacing w:val="-6"/>
          <w:sz w:val="16"/>
        </w:rPr>
        <w:t xml:space="preserve"> </w:t>
      </w:r>
      <w:r>
        <w:rPr>
          <w:sz w:val="16"/>
        </w:rPr>
        <w:t>Jesus</w:t>
      </w:r>
      <w:r>
        <w:rPr>
          <w:spacing w:val="-10"/>
          <w:sz w:val="16"/>
        </w:rPr>
        <w:t xml:space="preserve"> </w:t>
      </w:r>
      <w:r>
        <w:rPr>
          <w:sz w:val="16"/>
        </w:rPr>
        <w:t>Santos</w:t>
      </w:r>
      <w:r>
        <w:rPr>
          <w:spacing w:val="-4"/>
          <w:sz w:val="16"/>
        </w:rPr>
        <w:t xml:space="preserve"> </w:t>
      </w:r>
      <w:r>
        <w:rPr>
          <w:sz w:val="16"/>
        </w:rPr>
        <w:t>Costa,</w:t>
      </w:r>
      <w:r>
        <w:rPr>
          <w:spacing w:val="-8"/>
          <w:sz w:val="16"/>
        </w:rPr>
        <w:t xml:space="preserve"> </w:t>
      </w:r>
      <w:r>
        <w:rPr>
          <w:sz w:val="16"/>
        </w:rPr>
        <w:t>Núbia</w:t>
      </w:r>
      <w:r>
        <w:rPr>
          <w:spacing w:val="-7"/>
          <w:sz w:val="16"/>
        </w:rPr>
        <w:t xml:space="preserve"> </w:t>
      </w:r>
      <w:r>
        <w:rPr>
          <w:sz w:val="16"/>
        </w:rPr>
        <w:t>Silva</w:t>
      </w:r>
      <w:r>
        <w:rPr>
          <w:spacing w:val="-8"/>
          <w:sz w:val="16"/>
        </w:rPr>
        <w:t xml:space="preserve"> </w:t>
      </w:r>
      <w:r>
        <w:rPr>
          <w:sz w:val="16"/>
        </w:rPr>
        <w:t>dos</w:t>
      </w:r>
      <w:r>
        <w:rPr>
          <w:spacing w:val="-7"/>
          <w:sz w:val="16"/>
        </w:rPr>
        <w:t xml:space="preserve"> </w:t>
      </w:r>
      <w:r>
        <w:rPr>
          <w:sz w:val="16"/>
        </w:rPr>
        <w:t>Santos</w:t>
      </w:r>
      <w:r>
        <w:rPr>
          <w:spacing w:val="-6"/>
          <w:sz w:val="16"/>
        </w:rPr>
        <w:t xml:space="preserve"> </w:t>
      </w:r>
      <w:r>
        <w:rPr>
          <w:sz w:val="16"/>
        </w:rPr>
        <w:t>y</w:t>
      </w:r>
      <w:r>
        <w:rPr>
          <w:spacing w:val="-7"/>
          <w:sz w:val="16"/>
        </w:rPr>
        <w:t xml:space="preserve"> </w:t>
      </w:r>
      <w:r>
        <w:rPr>
          <w:sz w:val="16"/>
        </w:rPr>
        <w:t>Rosângela</w:t>
      </w:r>
      <w:r>
        <w:rPr>
          <w:spacing w:val="-7"/>
          <w:sz w:val="16"/>
        </w:rPr>
        <w:t xml:space="preserve"> </w:t>
      </w:r>
      <w:r>
        <w:rPr>
          <w:sz w:val="16"/>
        </w:rPr>
        <w:t>de</w:t>
      </w:r>
      <w:r>
        <w:rPr>
          <w:spacing w:val="-7"/>
          <w:sz w:val="16"/>
        </w:rPr>
        <w:t xml:space="preserve"> </w:t>
      </w:r>
      <w:r>
        <w:rPr>
          <w:sz w:val="16"/>
        </w:rPr>
        <w:t>Jesus</w:t>
      </w:r>
      <w:r>
        <w:rPr>
          <w:spacing w:val="-9"/>
          <w:sz w:val="16"/>
        </w:rPr>
        <w:t xml:space="preserve"> </w:t>
      </w:r>
      <w:r>
        <w:rPr>
          <w:sz w:val="16"/>
        </w:rPr>
        <w:t>França,</w:t>
      </w:r>
      <w:r>
        <w:rPr>
          <w:spacing w:val="-6"/>
          <w:sz w:val="16"/>
        </w:rPr>
        <w:t xml:space="preserve"> </w:t>
      </w:r>
      <w:r>
        <w:rPr>
          <w:sz w:val="16"/>
        </w:rPr>
        <w:t>fallecidos</w:t>
      </w:r>
      <w:r>
        <w:rPr>
          <w:spacing w:val="-7"/>
          <w:sz w:val="16"/>
        </w:rPr>
        <w:t xml:space="preserve"> </w:t>
      </w:r>
      <w:r>
        <w:rPr>
          <w:sz w:val="16"/>
        </w:rPr>
        <w:t>en</w:t>
      </w:r>
      <w:r>
        <w:rPr>
          <w:spacing w:val="-7"/>
          <w:sz w:val="16"/>
        </w:rPr>
        <w:t xml:space="preserve"> </w:t>
      </w:r>
      <w:r>
        <w:rPr>
          <w:sz w:val="16"/>
        </w:rPr>
        <w:t>la</w:t>
      </w:r>
      <w:r>
        <w:rPr>
          <w:spacing w:val="-6"/>
          <w:sz w:val="16"/>
        </w:rPr>
        <w:t xml:space="preserve"> </w:t>
      </w:r>
      <w:r>
        <w:rPr>
          <w:sz w:val="16"/>
        </w:rPr>
        <w:t>explosión y</w:t>
      </w:r>
      <w:r>
        <w:rPr>
          <w:spacing w:val="-5"/>
          <w:sz w:val="16"/>
        </w:rPr>
        <w:t xml:space="preserve"> </w:t>
      </w:r>
      <w:r>
        <w:rPr>
          <w:sz w:val="16"/>
        </w:rPr>
        <w:t>respecto</w:t>
      </w:r>
      <w:r>
        <w:rPr>
          <w:spacing w:val="-4"/>
          <w:sz w:val="16"/>
        </w:rPr>
        <w:t xml:space="preserve"> </w:t>
      </w:r>
      <w:r>
        <w:rPr>
          <w:sz w:val="16"/>
        </w:rPr>
        <w:t>de</w:t>
      </w:r>
      <w:r>
        <w:rPr>
          <w:spacing w:val="-5"/>
          <w:sz w:val="16"/>
        </w:rPr>
        <w:t xml:space="preserve"> </w:t>
      </w:r>
      <w:r>
        <w:rPr>
          <w:sz w:val="16"/>
        </w:rPr>
        <w:t>la</w:t>
      </w:r>
      <w:r>
        <w:rPr>
          <w:spacing w:val="-6"/>
          <w:sz w:val="16"/>
        </w:rPr>
        <w:t xml:space="preserve"> </w:t>
      </w:r>
      <w:r>
        <w:rPr>
          <w:sz w:val="16"/>
        </w:rPr>
        <w:t>niña</w:t>
      </w:r>
      <w:r>
        <w:rPr>
          <w:spacing w:val="-3"/>
          <w:sz w:val="16"/>
        </w:rPr>
        <w:t xml:space="preserve"> </w:t>
      </w:r>
      <w:r>
        <w:rPr>
          <w:sz w:val="16"/>
        </w:rPr>
        <w:t>Maria</w:t>
      </w:r>
      <w:r>
        <w:rPr>
          <w:spacing w:val="-3"/>
          <w:sz w:val="16"/>
        </w:rPr>
        <w:t xml:space="preserve"> </w:t>
      </w:r>
      <w:r>
        <w:rPr>
          <w:sz w:val="16"/>
        </w:rPr>
        <w:t>Joelma</w:t>
      </w:r>
      <w:r>
        <w:rPr>
          <w:spacing w:val="-3"/>
          <w:sz w:val="16"/>
        </w:rPr>
        <w:t xml:space="preserve"> </w:t>
      </w:r>
      <w:r>
        <w:rPr>
          <w:sz w:val="16"/>
        </w:rPr>
        <w:t>de</w:t>
      </w:r>
      <w:r>
        <w:rPr>
          <w:spacing w:val="-2"/>
          <w:sz w:val="16"/>
        </w:rPr>
        <w:t xml:space="preserve"> </w:t>
      </w:r>
      <w:r>
        <w:rPr>
          <w:sz w:val="16"/>
        </w:rPr>
        <w:t>Jesus</w:t>
      </w:r>
      <w:r>
        <w:rPr>
          <w:spacing w:val="-5"/>
          <w:sz w:val="16"/>
        </w:rPr>
        <w:t xml:space="preserve"> </w:t>
      </w:r>
      <w:r>
        <w:rPr>
          <w:sz w:val="16"/>
        </w:rPr>
        <w:t>Santos</w:t>
      </w:r>
      <w:r>
        <w:rPr>
          <w:spacing w:val="-7"/>
          <w:sz w:val="16"/>
        </w:rPr>
        <w:t xml:space="preserve"> </w:t>
      </w:r>
      <w:r>
        <w:rPr>
          <w:sz w:val="16"/>
        </w:rPr>
        <w:t>y</w:t>
      </w:r>
      <w:r>
        <w:rPr>
          <w:spacing w:val="-2"/>
          <w:sz w:val="16"/>
        </w:rPr>
        <w:t xml:space="preserve"> </w:t>
      </w:r>
      <w:r>
        <w:rPr>
          <w:sz w:val="16"/>
        </w:rPr>
        <w:t>los</w:t>
      </w:r>
      <w:r>
        <w:rPr>
          <w:spacing w:val="-5"/>
          <w:sz w:val="16"/>
        </w:rPr>
        <w:t xml:space="preserve"> </w:t>
      </w:r>
      <w:r>
        <w:rPr>
          <w:sz w:val="16"/>
        </w:rPr>
        <w:t>niños</w:t>
      </w:r>
      <w:r>
        <w:rPr>
          <w:spacing w:val="-5"/>
          <w:sz w:val="16"/>
        </w:rPr>
        <w:t xml:space="preserve"> </w:t>
      </w:r>
      <w:r>
        <w:rPr>
          <w:sz w:val="16"/>
        </w:rPr>
        <w:t>Bruno</w:t>
      </w:r>
      <w:r>
        <w:rPr>
          <w:spacing w:val="-7"/>
          <w:sz w:val="16"/>
        </w:rPr>
        <w:t xml:space="preserve"> </w:t>
      </w:r>
      <w:r>
        <w:rPr>
          <w:sz w:val="16"/>
        </w:rPr>
        <w:t>Silva</w:t>
      </w:r>
      <w:r>
        <w:rPr>
          <w:spacing w:val="-6"/>
          <w:sz w:val="16"/>
        </w:rPr>
        <w:t xml:space="preserve"> </w:t>
      </w:r>
      <w:r>
        <w:rPr>
          <w:sz w:val="16"/>
        </w:rPr>
        <w:t>dos</w:t>
      </w:r>
      <w:r>
        <w:rPr>
          <w:spacing w:val="-5"/>
          <w:sz w:val="16"/>
        </w:rPr>
        <w:t xml:space="preserve"> </w:t>
      </w:r>
      <w:r>
        <w:rPr>
          <w:sz w:val="16"/>
        </w:rPr>
        <w:t>Santos</w:t>
      </w:r>
      <w:r>
        <w:rPr>
          <w:spacing w:val="-5"/>
          <w:sz w:val="16"/>
        </w:rPr>
        <w:t xml:space="preserve"> </w:t>
      </w:r>
      <w:r>
        <w:rPr>
          <w:sz w:val="16"/>
        </w:rPr>
        <w:t>y</w:t>
      </w:r>
      <w:r>
        <w:rPr>
          <w:spacing w:val="-7"/>
          <w:sz w:val="16"/>
        </w:rPr>
        <w:t xml:space="preserve"> </w:t>
      </w:r>
      <w:r>
        <w:rPr>
          <w:sz w:val="16"/>
        </w:rPr>
        <w:t>Wellington</w:t>
      </w:r>
      <w:r>
        <w:rPr>
          <w:spacing w:val="-4"/>
          <w:sz w:val="16"/>
        </w:rPr>
        <w:t xml:space="preserve"> </w:t>
      </w:r>
      <w:r>
        <w:rPr>
          <w:sz w:val="16"/>
        </w:rPr>
        <w:t>Silva</w:t>
      </w:r>
      <w:r>
        <w:rPr>
          <w:spacing w:val="-6"/>
          <w:sz w:val="16"/>
        </w:rPr>
        <w:t xml:space="preserve"> </w:t>
      </w:r>
      <w:r>
        <w:rPr>
          <w:sz w:val="16"/>
        </w:rPr>
        <w:t>dos</w:t>
      </w:r>
      <w:r>
        <w:rPr>
          <w:spacing w:val="-5"/>
          <w:sz w:val="16"/>
        </w:rPr>
        <w:t xml:space="preserve"> </w:t>
      </w:r>
      <w:r>
        <w:rPr>
          <w:sz w:val="16"/>
        </w:rPr>
        <w:t xml:space="preserve">Santos sobrevivientes de la explosión, en la medida que no se implementaron las medidas especiales de protección que su </w:t>
      </w:r>
      <w:r>
        <w:rPr>
          <w:sz w:val="16"/>
        </w:rPr>
        <w:t>condición de niños</w:t>
      </w:r>
      <w:r>
        <w:rPr>
          <w:spacing w:val="-6"/>
          <w:sz w:val="16"/>
        </w:rPr>
        <w:t xml:space="preserve"> </w:t>
      </w:r>
      <w:r>
        <w:rPr>
          <w:sz w:val="16"/>
        </w:rPr>
        <w:t>requería.</w:t>
      </w:r>
    </w:p>
    <w:p w14:paraId="018E0519" w14:textId="77777777" w:rsidR="00467FCA" w:rsidRDefault="00467FCA">
      <w:pPr>
        <w:jc w:val="both"/>
        <w:rPr>
          <w:sz w:val="16"/>
        </w:rPr>
        <w:sectPr w:rsidR="00467FCA">
          <w:pgSz w:w="12240" w:h="15840"/>
          <w:pgMar w:top="1500" w:right="1320" w:bottom="1220" w:left="1320" w:header="0" w:footer="1037" w:gutter="0"/>
          <w:cols w:space="720"/>
        </w:sectPr>
      </w:pPr>
    </w:p>
    <w:p w14:paraId="406638D8" w14:textId="77777777" w:rsidR="00467FCA" w:rsidRDefault="001B68EB">
      <w:pPr>
        <w:pStyle w:val="Textoindependiente"/>
        <w:spacing w:before="80"/>
        <w:ind w:left="119" w:right="115"/>
        <w:jc w:val="both"/>
      </w:pPr>
      <w:r>
        <w:t>menores de 18 años, cuyas madres habían fallecido, sólo empezó a pagarse en septiembre de 2006 y se pagó únicamente a cinco de los 39 beneficiarios debido a que, en aquel momento, la mayoría tenía ya más de 18 años. En relación con el proceso seguido contr</w:t>
      </w:r>
      <w:r>
        <w:t>a Osvaldo Prazeres Bastos, Maria Julieta Fróes Bastos y Mário Fróes Prazeres Bastos, enfatizó que el acuerdo indemnizatorio firmado el 8 de octubre de 2013 entre los familiares de las víctimas y los demandados, no se refiere a la responsabilidad del Estado</w:t>
      </w:r>
      <w:r>
        <w:t>, sino al daño ocasionado por particulares. Asimismo, citó las declaraciones en la audiencia ante la Corte IDH de las señoras María Balbina dos Santos y Leila Cerqueira dos Santos, subrayando que las presuntas víctimas mencionaron que no estaban representa</w:t>
      </w:r>
      <w:r>
        <w:t>das por abogados en el momento de la firma y se sintieron compelidas a firmar por el temor a no recibir nada, generado por la Fiscalía que mediaba en el acuerdo. Por último, señaló que el Estado no ha proporcionado</w:t>
      </w:r>
      <w:r>
        <w:rPr>
          <w:spacing w:val="-6"/>
        </w:rPr>
        <w:t xml:space="preserve"> </w:t>
      </w:r>
      <w:r>
        <w:t>información</w:t>
      </w:r>
      <w:r>
        <w:rPr>
          <w:spacing w:val="-4"/>
        </w:rPr>
        <w:t xml:space="preserve"> </w:t>
      </w:r>
      <w:r>
        <w:t>en</w:t>
      </w:r>
      <w:r>
        <w:rPr>
          <w:spacing w:val="-7"/>
        </w:rPr>
        <w:t xml:space="preserve"> </w:t>
      </w:r>
      <w:r>
        <w:t>cuanto</w:t>
      </w:r>
      <w:r>
        <w:rPr>
          <w:spacing w:val="-6"/>
        </w:rPr>
        <w:t xml:space="preserve"> </w:t>
      </w:r>
      <w:r>
        <w:t>a</w:t>
      </w:r>
      <w:r>
        <w:rPr>
          <w:spacing w:val="-8"/>
        </w:rPr>
        <w:t xml:space="preserve"> </w:t>
      </w:r>
      <w:r>
        <w:t>la</w:t>
      </w:r>
      <w:r>
        <w:rPr>
          <w:spacing w:val="-5"/>
        </w:rPr>
        <w:t xml:space="preserve"> </w:t>
      </w:r>
      <w:r>
        <w:t>adecuación</w:t>
      </w:r>
      <w:r>
        <w:rPr>
          <w:spacing w:val="-6"/>
        </w:rPr>
        <w:t xml:space="preserve"> </w:t>
      </w:r>
      <w:r>
        <w:t>de</w:t>
      </w:r>
      <w:r>
        <w:rPr>
          <w:spacing w:val="-9"/>
        </w:rPr>
        <w:t xml:space="preserve"> </w:t>
      </w:r>
      <w:r>
        <w:t>los</w:t>
      </w:r>
      <w:r>
        <w:rPr>
          <w:spacing w:val="-6"/>
        </w:rPr>
        <w:t xml:space="preserve"> </w:t>
      </w:r>
      <w:r>
        <w:t>montos</w:t>
      </w:r>
      <w:r>
        <w:rPr>
          <w:spacing w:val="-6"/>
        </w:rPr>
        <w:t xml:space="preserve"> </w:t>
      </w:r>
      <w:r>
        <w:t>o</w:t>
      </w:r>
      <w:r>
        <w:rPr>
          <w:spacing w:val="-7"/>
        </w:rPr>
        <w:t xml:space="preserve"> </w:t>
      </w:r>
      <w:r>
        <w:t>sobre</w:t>
      </w:r>
      <w:r>
        <w:rPr>
          <w:spacing w:val="-6"/>
        </w:rPr>
        <w:t xml:space="preserve"> </w:t>
      </w:r>
      <w:r>
        <w:t>si</w:t>
      </w:r>
      <w:r>
        <w:rPr>
          <w:spacing w:val="-5"/>
        </w:rPr>
        <w:t xml:space="preserve"> </w:t>
      </w:r>
      <w:r>
        <w:t>estos</w:t>
      </w:r>
      <w:r>
        <w:rPr>
          <w:spacing w:val="-6"/>
        </w:rPr>
        <w:t xml:space="preserve"> </w:t>
      </w:r>
      <w:r>
        <w:t>han</w:t>
      </w:r>
      <w:r>
        <w:rPr>
          <w:spacing w:val="-7"/>
        </w:rPr>
        <w:t xml:space="preserve"> </w:t>
      </w:r>
      <w:r>
        <w:t>sido integralmente entregados a las</w:t>
      </w:r>
      <w:r>
        <w:rPr>
          <w:spacing w:val="-1"/>
        </w:rPr>
        <w:t xml:space="preserve"> </w:t>
      </w:r>
      <w:r>
        <w:t>víctimas.</w:t>
      </w:r>
    </w:p>
    <w:p w14:paraId="2C9F891E" w14:textId="77777777" w:rsidR="00467FCA" w:rsidRDefault="00467FCA">
      <w:pPr>
        <w:pStyle w:val="Textoindependiente"/>
        <w:spacing w:before="1"/>
      </w:pPr>
    </w:p>
    <w:p w14:paraId="7F5C103F" w14:textId="77777777" w:rsidR="00467FCA" w:rsidRDefault="001B68EB">
      <w:pPr>
        <w:pStyle w:val="Prrafodelista"/>
        <w:numPr>
          <w:ilvl w:val="0"/>
          <w:numId w:val="50"/>
        </w:numPr>
        <w:tabs>
          <w:tab w:val="left" w:pos="687"/>
        </w:tabs>
        <w:ind w:left="119" w:right="117" w:firstLine="0"/>
        <w:jc w:val="both"/>
        <w:rPr>
          <w:sz w:val="20"/>
        </w:rPr>
      </w:pPr>
      <w:r>
        <w:rPr>
          <w:sz w:val="20"/>
        </w:rPr>
        <w:t>Finalmente, sobre los procesos laborales, indicó que del expediente no se desprende que se hubieran desplegado todas las medidas posibles para procurar la ejecució</w:t>
      </w:r>
      <w:r>
        <w:rPr>
          <w:sz w:val="20"/>
        </w:rPr>
        <w:t>n de las indemnizaciones y que han transcurrido más de 20 años sin que se logre su ejecución. Así,</w:t>
      </w:r>
      <w:r>
        <w:rPr>
          <w:spacing w:val="-45"/>
          <w:sz w:val="20"/>
        </w:rPr>
        <w:t xml:space="preserve"> </w:t>
      </w:r>
      <w:r>
        <w:rPr>
          <w:sz w:val="20"/>
        </w:rPr>
        <w:t>a pesar de ser el único proceso que culminó con una decisión definitiva, esta terminó siendo, en la práctica,</w:t>
      </w:r>
      <w:r>
        <w:rPr>
          <w:spacing w:val="-1"/>
          <w:sz w:val="20"/>
        </w:rPr>
        <w:t xml:space="preserve"> </w:t>
      </w:r>
      <w:r>
        <w:rPr>
          <w:sz w:val="20"/>
        </w:rPr>
        <w:t>ilusoria.</w:t>
      </w:r>
    </w:p>
    <w:p w14:paraId="09E8449D" w14:textId="77777777" w:rsidR="00467FCA" w:rsidRDefault="00467FCA">
      <w:pPr>
        <w:pStyle w:val="Textoindependiente"/>
        <w:spacing w:before="1"/>
      </w:pPr>
    </w:p>
    <w:p w14:paraId="2E9CFB1A" w14:textId="77777777" w:rsidR="00467FCA" w:rsidRDefault="001B68EB">
      <w:pPr>
        <w:pStyle w:val="Prrafodelista"/>
        <w:numPr>
          <w:ilvl w:val="0"/>
          <w:numId w:val="50"/>
        </w:numPr>
        <w:tabs>
          <w:tab w:val="left" w:pos="687"/>
        </w:tabs>
        <w:ind w:left="119" w:right="117" w:firstLine="0"/>
        <w:jc w:val="both"/>
        <w:rPr>
          <w:sz w:val="20"/>
        </w:rPr>
      </w:pPr>
      <w:r>
        <w:rPr>
          <w:sz w:val="20"/>
        </w:rPr>
        <w:t>Los</w:t>
      </w:r>
      <w:r>
        <w:rPr>
          <w:spacing w:val="-13"/>
          <w:sz w:val="20"/>
        </w:rPr>
        <w:t xml:space="preserve"> </w:t>
      </w:r>
      <w:r>
        <w:rPr>
          <w:b/>
          <w:i/>
          <w:sz w:val="20"/>
        </w:rPr>
        <w:t>representantes</w:t>
      </w:r>
      <w:r>
        <w:rPr>
          <w:b/>
          <w:i/>
          <w:spacing w:val="-14"/>
          <w:sz w:val="20"/>
        </w:rPr>
        <w:t xml:space="preserve"> </w:t>
      </w:r>
      <w:r>
        <w:rPr>
          <w:sz w:val="20"/>
        </w:rPr>
        <w:t>coincidieron</w:t>
      </w:r>
      <w:r>
        <w:rPr>
          <w:spacing w:val="-13"/>
          <w:sz w:val="20"/>
        </w:rPr>
        <w:t xml:space="preserve"> </w:t>
      </w:r>
      <w:r>
        <w:rPr>
          <w:sz w:val="20"/>
        </w:rPr>
        <w:t>con</w:t>
      </w:r>
      <w:r>
        <w:rPr>
          <w:spacing w:val="-11"/>
          <w:sz w:val="20"/>
        </w:rPr>
        <w:t xml:space="preserve"> </w:t>
      </w:r>
      <w:r>
        <w:rPr>
          <w:sz w:val="20"/>
        </w:rPr>
        <w:t>el</w:t>
      </w:r>
      <w:r>
        <w:rPr>
          <w:spacing w:val="-13"/>
          <w:sz w:val="20"/>
        </w:rPr>
        <w:t xml:space="preserve"> </w:t>
      </w:r>
      <w:r>
        <w:rPr>
          <w:sz w:val="20"/>
        </w:rPr>
        <w:t>planteamiento</w:t>
      </w:r>
      <w:r>
        <w:rPr>
          <w:spacing w:val="-16"/>
          <w:sz w:val="20"/>
        </w:rPr>
        <w:t xml:space="preserve"> </w:t>
      </w:r>
      <w:r>
        <w:rPr>
          <w:sz w:val="20"/>
        </w:rPr>
        <w:t>de</w:t>
      </w:r>
      <w:r>
        <w:rPr>
          <w:spacing w:val="-15"/>
          <w:sz w:val="20"/>
        </w:rPr>
        <w:t xml:space="preserve"> </w:t>
      </w:r>
      <w:r>
        <w:rPr>
          <w:sz w:val="20"/>
        </w:rPr>
        <w:t>la</w:t>
      </w:r>
      <w:r>
        <w:rPr>
          <w:spacing w:val="-15"/>
          <w:sz w:val="20"/>
        </w:rPr>
        <w:t xml:space="preserve"> </w:t>
      </w:r>
      <w:r>
        <w:rPr>
          <w:sz w:val="20"/>
        </w:rPr>
        <w:t>Comisión</w:t>
      </w:r>
      <w:r>
        <w:rPr>
          <w:spacing w:val="-13"/>
          <w:sz w:val="20"/>
        </w:rPr>
        <w:t xml:space="preserve"> </w:t>
      </w:r>
      <w:r>
        <w:rPr>
          <w:sz w:val="20"/>
        </w:rPr>
        <w:t>y</w:t>
      </w:r>
      <w:r>
        <w:rPr>
          <w:spacing w:val="-13"/>
          <w:sz w:val="20"/>
        </w:rPr>
        <w:t xml:space="preserve"> </w:t>
      </w:r>
      <w:r>
        <w:rPr>
          <w:sz w:val="20"/>
        </w:rPr>
        <w:t>agregaron</w:t>
      </w:r>
      <w:r>
        <w:rPr>
          <w:spacing w:val="-13"/>
          <w:sz w:val="20"/>
        </w:rPr>
        <w:t xml:space="preserve"> </w:t>
      </w:r>
      <w:r>
        <w:rPr>
          <w:sz w:val="20"/>
        </w:rPr>
        <w:t>que, tanto</w:t>
      </w:r>
      <w:r>
        <w:rPr>
          <w:spacing w:val="-10"/>
          <w:sz w:val="20"/>
        </w:rPr>
        <w:t xml:space="preserve"> </w:t>
      </w:r>
      <w:r>
        <w:rPr>
          <w:sz w:val="20"/>
        </w:rPr>
        <w:t>por</w:t>
      </w:r>
      <w:r>
        <w:rPr>
          <w:spacing w:val="-7"/>
          <w:sz w:val="20"/>
        </w:rPr>
        <w:t xml:space="preserve"> </w:t>
      </w:r>
      <w:r>
        <w:rPr>
          <w:sz w:val="20"/>
        </w:rPr>
        <w:t>el</w:t>
      </w:r>
      <w:r>
        <w:rPr>
          <w:spacing w:val="-5"/>
          <w:sz w:val="20"/>
        </w:rPr>
        <w:t xml:space="preserve"> </w:t>
      </w:r>
      <w:r>
        <w:rPr>
          <w:sz w:val="20"/>
        </w:rPr>
        <w:t>retardo</w:t>
      </w:r>
      <w:r>
        <w:rPr>
          <w:spacing w:val="-5"/>
          <w:sz w:val="20"/>
        </w:rPr>
        <w:t xml:space="preserve"> </w:t>
      </w:r>
      <w:r>
        <w:rPr>
          <w:sz w:val="20"/>
        </w:rPr>
        <w:t>excesivo</w:t>
      </w:r>
      <w:r>
        <w:rPr>
          <w:spacing w:val="-7"/>
          <w:sz w:val="20"/>
        </w:rPr>
        <w:t xml:space="preserve"> </w:t>
      </w:r>
      <w:r>
        <w:rPr>
          <w:sz w:val="20"/>
        </w:rPr>
        <w:t>en</w:t>
      </w:r>
      <w:r>
        <w:rPr>
          <w:spacing w:val="-5"/>
          <w:sz w:val="20"/>
        </w:rPr>
        <w:t xml:space="preserve"> </w:t>
      </w:r>
      <w:r>
        <w:rPr>
          <w:sz w:val="20"/>
        </w:rPr>
        <w:t>el</w:t>
      </w:r>
      <w:r>
        <w:rPr>
          <w:spacing w:val="-8"/>
          <w:sz w:val="20"/>
        </w:rPr>
        <w:t xml:space="preserve"> </w:t>
      </w:r>
      <w:r>
        <w:rPr>
          <w:sz w:val="20"/>
        </w:rPr>
        <w:t>procesamiento</w:t>
      </w:r>
      <w:r>
        <w:rPr>
          <w:spacing w:val="-9"/>
          <w:sz w:val="20"/>
        </w:rPr>
        <w:t xml:space="preserve"> </w:t>
      </w:r>
      <w:r>
        <w:rPr>
          <w:sz w:val="20"/>
        </w:rPr>
        <w:t>y</w:t>
      </w:r>
      <w:r>
        <w:rPr>
          <w:spacing w:val="-7"/>
          <w:sz w:val="20"/>
        </w:rPr>
        <w:t xml:space="preserve"> </w:t>
      </w:r>
      <w:r>
        <w:rPr>
          <w:sz w:val="20"/>
        </w:rPr>
        <w:t>juzgamiento</w:t>
      </w:r>
      <w:r>
        <w:rPr>
          <w:spacing w:val="-9"/>
          <w:sz w:val="20"/>
        </w:rPr>
        <w:t xml:space="preserve"> </w:t>
      </w:r>
      <w:r>
        <w:rPr>
          <w:sz w:val="20"/>
        </w:rPr>
        <w:t>de</w:t>
      </w:r>
      <w:r>
        <w:rPr>
          <w:spacing w:val="-10"/>
          <w:sz w:val="20"/>
        </w:rPr>
        <w:t xml:space="preserve"> </w:t>
      </w:r>
      <w:r>
        <w:rPr>
          <w:sz w:val="20"/>
        </w:rPr>
        <w:t>los</w:t>
      </w:r>
      <w:r>
        <w:rPr>
          <w:spacing w:val="-4"/>
          <w:sz w:val="20"/>
        </w:rPr>
        <w:t xml:space="preserve"> </w:t>
      </w:r>
      <w:r>
        <w:rPr>
          <w:sz w:val="20"/>
        </w:rPr>
        <w:t>procesos</w:t>
      </w:r>
      <w:r>
        <w:rPr>
          <w:spacing w:val="-10"/>
          <w:sz w:val="20"/>
        </w:rPr>
        <w:t xml:space="preserve"> </w:t>
      </w:r>
      <w:r>
        <w:rPr>
          <w:sz w:val="20"/>
        </w:rPr>
        <w:t>adelantados como</w:t>
      </w:r>
      <w:r>
        <w:rPr>
          <w:spacing w:val="-10"/>
          <w:sz w:val="20"/>
        </w:rPr>
        <w:t xml:space="preserve"> </w:t>
      </w:r>
      <w:r>
        <w:rPr>
          <w:sz w:val="20"/>
        </w:rPr>
        <w:t>consecuencia</w:t>
      </w:r>
      <w:r>
        <w:rPr>
          <w:spacing w:val="-9"/>
          <w:sz w:val="20"/>
        </w:rPr>
        <w:t xml:space="preserve"> </w:t>
      </w:r>
      <w:r>
        <w:rPr>
          <w:sz w:val="20"/>
        </w:rPr>
        <w:t>de</w:t>
      </w:r>
      <w:r>
        <w:rPr>
          <w:spacing w:val="-9"/>
          <w:sz w:val="20"/>
        </w:rPr>
        <w:t xml:space="preserve"> </w:t>
      </w:r>
      <w:r>
        <w:rPr>
          <w:sz w:val="20"/>
        </w:rPr>
        <w:t>la</w:t>
      </w:r>
      <w:r>
        <w:rPr>
          <w:spacing w:val="-9"/>
          <w:sz w:val="20"/>
        </w:rPr>
        <w:t xml:space="preserve"> </w:t>
      </w:r>
      <w:r>
        <w:rPr>
          <w:sz w:val="20"/>
        </w:rPr>
        <w:t>explosión,</w:t>
      </w:r>
      <w:r>
        <w:rPr>
          <w:spacing w:val="-6"/>
          <w:sz w:val="20"/>
        </w:rPr>
        <w:t xml:space="preserve"> </w:t>
      </w:r>
      <w:r>
        <w:rPr>
          <w:sz w:val="20"/>
        </w:rPr>
        <w:t>como</w:t>
      </w:r>
      <w:r>
        <w:rPr>
          <w:spacing w:val="-10"/>
          <w:sz w:val="20"/>
        </w:rPr>
        <w:t xml:space="preserve"> </w:t>
      </w:r>
      <w:r>
        <w:rPr>
          <w:sz w:val="20"/>
        </w:rPr>
        <w:t>por</w:t>
      </w:r>
      <w:r>
        <w:rPr>
          <w:spacing w:val="-9"/>
          <w:sz w:val="20"/>
        </w:rPr>
        <w:t xml:space="preserve"> </w:t>
      </w:r>
      <w:r>
        <w:rPr>
          <w:sz w:val="20"/>
        </w:rPr>
        <w:t>la</w:t>
      </w:r>
      <w:r>
        <w:rPr>
          <w:spacing w:val="-6"/>
          <w:sz w:val="20"/>
        </w:rPr>
        <w:t xml:space="preserve"> </w:t>
      </w:r>
      <w:r>
        <w:rPr>
          <w:sz w:val="20"/>
        </w:rPr>
        <w:t>interposición</w:t>
      </w:r>
      <w:r>
        <w:rPr>
          <w:spacing w:val="-8"/>
          <w:sz w:val="20"/>
        </w:rPr>
        <w:t xml:space="preserve"> </w:t>
      </w:r>
      <w:r>
        <w:rPr>
          <w:sz w:val="20"/>
        </w:rPr>
        <w:t>sucesiva</w:t>
      </w:r>
      <w:r>
        <w:rPr>
          <w:spacing w:val="-8"/>
          <w:sz w:val="20"/>
        </w:rPr>
        <w:t xml:space="preserve"> </w:t>
      </w:r>
      <w:r>
        <w:rPr>
          <w:sz w:val="20"/>
        </w:rPr>
        <w:t>de</w:t>
      </w:r>
      <w:r>
        <w:rPr>
          <w:spacing w:val="-10"/>
          <w:sz w:val="20"/>
        </w:rPr>
        <w:t xml:space="preserve"> </w:t>
      </w:r>
      <w:r>
        <w:rPr>
          <w:sz w:val="20"/>
        </w:rPr>
        <w:t>recursos</w:t>
      </w:r>
      <w:r>
        <w:rPr>
          <w:spacing w:val="-9"/>
          <w:sz w:val="20"/>
        </w:rPr>
        <w:t xml:space="preserve"> </w:t>
      </w:r>
      <w:r>
        <w:rPr>
          <w:sz w:val="20"/>
        </w:rPr>
        <w:t>judiciales, el Estado violó el derecho a la verdad y a la reparación. En cuanto al proceso civil</w:t>
      </w:r>
      <w:r>
        <w:rPr>
          <w:spacing w:val="-39"/>
          <w:sz w:val="20"/>
        </w:rPr>
        <w:t xml:space="preserve"> </w:t>
      </w:r>
      <w:r>
        <w:rPr>
          <w:sz w:val="20"/>
        </w:rPr>
        <w:t>promovido por la Fiscalía contra Osvaldo Prazeres Bastos, Maria Julieta Fróes Bastos y Mário Fróes Bastos, indicó que, hasta hoy, las víctimas no han podido re</w:t>
      </w:r>
      <w:r>
        <w:rPr>
          <w:sz w:val="20"/>
        </w:rPr>
        <w:t>cibir integralmente lo que se les debe como fruto de la homologación del</w:t>
      </w:r>
      <w:r>
        <w:rPr>
          <w:spacing w:val="-4"/>
          <w:sz w:val="20"/>
        </w:rPr>
        <w:t xml:space="preserve"> </w:t>
      </w:r>
      <w:r>
        <w:rPr>
          <w:sz w:val="20"/>
        </w:rPr>
        <w:t>acuerdo.</w:t>
      </w:r>
    </w:p>
    <w:p w14:paraId="5759D389" w14:textId="77777777" w:rsidR="00467FCA" w:rsidRDefault="00467FCA">
      <w:pPr>
        <w:pStyle w:val="Textoindependiente"/>
        <w:spacing w:before="11"/>
        <w:rPr>
          <w:sz w:val="19"/>
        </w:rPr>
      </w:pPr>
    </w:p>
    <w:p w14:paraId="2C15065D" w14:textId="77777777" w:rsidR="00467FCA" w:rsidRDefault="001B68EB">
      <w:pPr>
        <w:pStyle w:val="Prrafodelista"/>
        <w:numPr>
          <w:ilvl w:val="0"/>
          <w:numId w:val="50"/>
        </w:numPr>
        <w:tabs>
          <w:tab w:val="left" w:pos="686"/>
        </w:tabs>
        <w:spacing w:before="1"/>
        <w:ind w:left="119" w:right="117" w:firstLine="0"/>
        <w:jc w:val="both"/>
        <w:rPr>
          <w:sz w:val="20"/>
        </w:rPr>
      </w:pPr>
      <w:r>
        <w:rPr>
          <w:sz w:val="20"/>
        </w:rPr>
        <w:t xml:space="preserve">El </w:t>
      </w:r>
      <w:r>
        <w:rPr>
          <w:b/>
          <w:i/>
          <w:sz w:val="20"/>
        </w:rPr>
        <w:t>Estado</w:t>
      </w:r>
      <w:r>
        <w:rPr>
          <w:sz w:val="20"/>
        </w:rPr>
        <w:t>, en primer lugar, indicó que no puede ser condenado por la violación del artículo 8.1 de la Convención pues este artículo, en su consideración, protege a las perso</w:t>
      </w:r>
      <w:r>
        <w:rPr>
          <w:sz w:val="20"/>
        </w:rPr>
        <w:t>nas que</w:t>
      </w:r>
      <w:r>
        <w:rPr>
          <w:spacing w:val="-14"/>
          <w:sz w:val="20"/>
        </w:rPr>
        <w:t xml:space="preserve"> </w:t>
      </w:r>
      <w:r>
        <w:rPr>
          <w:sz w:val="20"/>
        </w:rPr>
        <w:t>están</w:t>
      </w:r>
      <w:r>
        <w:rPr>
          <w:spacing w:val="-12"/>
          <w:sz w:val="20"/>
        </w:rPr>
        <w:t xml:space="preserve"> </w:t>
      </w:r>
      <w:r>
        <w:rPr>
          <w:sz w:val="20"/>
        </w:rPr>
        <w:t>siendo</w:t>
      </w:r>
      <w:r>
        <w:rPr>
          <w:spacing w:val="-15"/>
          <w:sz w:val="20"/>
        </w:rPr>
        <w:t xml:space="preserve"> </w:t>
      </w:r>
      <w:r>
        <w:rPr>
          <w:sz w:val="20"/>
        </w:rPr>
        <w:t>procesadas</w:t>
      </w:r>
      <w:r>
        <w:rPr>
          <w:spacing w:val="-16"/>
          <w:sz w:val="20"/>
        </w:rPr>
        <w:t xml:space="preserve"> </w:t>
      </w:r>
      <w:r>
        <w:rPr>
          <w:sz w:val="20"/>
        </w:rPr>
        <w:t>y</w:t>
      </w:r>
      <w:r>
        <w:rPr>
          <w:spacing w:val="-12"/>
          <w:sz w:val="20"/>
        </w:rPr>
        <w:t xml:space="preserve"> </w:t>
      </w:r>
      <w:r>
        <w:rPr>
          <w:sz w:val="20"/>
        </w:rPr>
        <w:t>no</w:t>
      </w:r>
      <w:r>
        <w:rPr>
          <w:spacing w:val="-14"/>
          <w:sz w:val="20"/>
        </w:rPr>
        <w:t xml:space="preserve"> </w:t>
      </w:r>
      <w:r>
        <w:rPr>
          <w:sz w:val="20"/>
        </w:rPr>
        <w:t>a</w:t>
      </w:r>
      <w:r>
        <w:rPr>
          <w:spacing w:val="-12"/>
          <w:sz w:val="20"/>
        </w:rPr>
        <w:t xml:space="preserve"> </w:t>
      </w:r>
      <w:r>
        <w:rPr>
          <w:sz w:val="20"/>
        </w:rPr>
        <w:t>los</w:t>
      </w:r>
      <w:r>
        <w:rPr>
          <w:spacing w:val="-15"/>
          <w:sz w:val="20"/>
        </w:rPr>
        <w:t xml:space="preserve"> </w:t>
      </w:r>
      <w:r>
        <w:rPr>
          <w:sz w:val="20"/>
        </w:rPr>
        <w:t>demandantes.</w:t>
      </w:r>
      <w:r>
        <w:rPr>
          <w:spacing w:val="-13"/>
          <w:sz w:val="20"/>
        </w:rPr>
        <w:t xml:space="preserve"> </w:t>
      </w:r>
      <w:r>
        <w:rPr>
          <w:sz w:val="20"/>
        </w:rPr>
        <w:t>Así,</w:t>
      </w:r>
      <w:r>
        <w:rPr>
          <w:spacing w:val="-12"/>
          <w:sz w:val="20"/>
        </w:rPr>
        <w:t xml:space="preserve"> </w:t>
      </w:r>
      <w:r>
        <w:rPr>
          <w:sz w:val="20"/>
        </w:rPr>
        <w:t>al</w:t>
      </w:r>
      <w:r>
        <w:rPr>
          <w:spacing w:val="-15"/>
          <w:sz w:val="20"/>
        </w:rPr>
        <w:t xml:space="preserve"> </w:t>
      </w:r>
      <w:r>
        <w:rPr>
          <w:sz w:val="20"/>
        </w:rPr>
        <w:t>no</w:t>
      </w:r>
      <w:r>
        <w:rPr>
          <w:spacing w:val="-13"/>
          <w:sz w:val="20"/>
        </w:rPr>
        <w:t xml:space="preserve"> </w:t>
      </w:r>
      <w:r>
        <w:rPr>
          <w:sz w:val="20"/>
        </w:rPr>
        <w:t>ser</w:t>
      </w:r>
      <w:r>
        <w:rPr>
          <w:spacing w:val="-14"/>
          <w:sz w:val="20"/>
        </w:rPr>
        <w:t xml:space="preserve"> </w:t>
      </w:r>
      <w:r>
        <w:rPr>
          <w:sz w:val="20"/>
        </w:rPr>
        <w:t>los</w:t>
      </w:r>
      <w:r>
        <w:rPr>
          <w:spacing w:val="-13"/>
          <w:sz w:val="20"/>
        </w:rPr>
        <w:t xml:space="preserve"> </w:t>
      </w:r>
      <w:r>
        <w:rPr>
          <w:sz w:val="20"/>
        </w:rPr>
        <w:t>peticionarios</w:t>
      </w:r>
      <w:r>
        <w:rPr>
          <w:spacing w:val="-12"/>
          <w:sz w:val="20"/>
        </w:rPr>
        <w:t xml:space="preserve"> </w:t>
      </w:r>
      <w:r>
        <w:rPr>
          <w:sz w:val="20"/>
        </w:rPr>
        <w:t>acusados en ninguna de las acciones interpuestas no es aplicable el artículo 8.1. Por otro lado, señaló, tampoco</w:t>
      </w:r>
      <w:r>
        <w:rPr>
          <w:spacing w:val="-4"/>
          <w:sz w:val="20"/>
        </w:rPr>
        <w:t xml:space="preserve"> </w:t>
      </w:r>
      <w:r>
        <w:rPr>
          <w:sz w:val="20"/>
        </w:rPr>
        <w:t>puede</w:t>
      </w:r>
      <w:r>
        <w:rPr>
          <w:spacing w:val="-4"/>
          <w:sz w:val="20"/>
        </w:rPr>
        <w:t xml:space="preserve"> </w:t>
      </w:r>
      <w:r>
        <w:rPr>
          <w:sz w:val="20"/>
        </w:rPr>
        <w:t>ser</w:t>
      </w:r>
      <w:r>
        <w:rPr>
          <w:spacing w:val="-4"/>
          <w:sz w:val="20"/>
        </w:rPr>
        <w:t xml:space="preserve"> </w:t>
      </w:r>
      <w:r>
        <w:rPr>
          <w:sz w:val="20"/>
        </w:rPr>
        <w:t>condenado</w:t>
      </w:r>
      <w:r>
        <w:rPr>
          <w:spacing w:val="-4"/>
          <w:sz w:val="20"/>
        </w:rPr>
        <w:t xml:space="preserve"> </w:t>
      </w:r>
      <w:r>
        <w:rPr>
          <w:sz w:val="20"/>
        </w:rPr>
        <w:t>por</w:t>
      </w:r>
      <w:r>
        <w:rPr>
          <w:spacing w:val="-6"/>
          <w:sz w:val="20"/>
        </w:rPr>
        <w:t xml:space="preserve"> </w:t>
      </w:r>
      <w:r>
        <w:rPr>
          <w:sz w:val="20"/>
        </w:rPr>
        <w:t>la</w:t>
      </w:r>
      <w:r>
        <w:rPr>
          <w:spacing w:val="-3"/>
          <w:sz w:val="20"/>
        </w:rPr>
        <w:t xml:space="preserve"> </w:t>
      </w:r>
      <w:r>
        <w:rPr>
          <w:sz w:val="20"/>
        </w:rPr>
        <w:t>violación de</w:t>
      </w:r>
      <w:r>
        <w:rPr>
          <w:spacing w:val="-7"/>
          <w:sz w:val="20"/>
        </w:rPr>
        <w:t xml:space="preserve"> </w:t>
      </w:r>
      <w:r>
        <w:rPr>
          <w:sz w:val="20"/>
        </w:rPr>
        <w:t>los</w:t>
      </w:r>
      <w:r>
        <w:rPr>
          <w:spacing w:val="-4"/>
          <w:sz w:val="20"/>
        </w:rPr>
        <w:t xml:space="preserve"> </w:t>
      </w:r>
      <w:r>
        <w:rPr>
          <w:sz w:val="20"/>
        </w:rPr>
        <w:t>artículos</w:t>
      </w:r>
      <w:r>
        <w:rPr>
          <w:spacing w:val="-4"/>
          <w:sz w:val="20"/>
        </w:rPr>
        <w:t xml:space="preserve"> </w:t>
      </w:r>
      <w:r>
        <w:rPr>
          <w:sz w:val="20"/>
        </w:rPr>
        <w:t>8</w:t>
      </w:r>
      <w:r>
        <w:rPr>
          <w:spacing w:val="-2"/>
          <w:sz w:val="20"/>
        </w:rPr>
        <w:t xml:space="preserve"> </w:t>
      </w:r>
      <w:r>
        <w:rPr>
          <w:sz w:val="20"/>
        </w:rPr>
        <w:t>y</w:t>
      </w:r>
      <w:r>
        <w:rPr>
          <w:spacing w:val="-4"/>
          <w:sz w:val="20"/>
        </w:rPr>
        <w:t xml:space="preserve"> </w:t>
      </w:r>
      <w:r>
        <w:rPr>
          <w:sz w:val="20"/>
        </w:rPr>
        <w:t>25</w:t>
      </w:r>
      <w:r>
        <w:rPr>
          <w:spacing w:val="-5"/>
          <w:sz w:val="20"/>
        </w:rPr>
        <w:t xml:space="preserve"> </w:t>
      </w:r>
      <w:r>
        <w:rPr>
          <w:sz w:val="20"/>
        </w:rPr>
        <w:t>de</w:t>
      </w:r>
      <w:r>
        <w:rPr>
          <w:spacing w:val="-7"/>
          <w:sz w:val="20"/>
        </w:rPr>
        <w:t xml:space="preserve"> </w:t>
      </w:r>
      <w:r>
        <w:rPr>
          <w:sz w:val="20"/>
        </w:rPr>
        <w:t>la</w:t>
      </w:r>
      <w:r>
        <w:rPr>
          <w:spacing w:val="-2"/>
          <w:sz w:val="20"/>
        </w:rPr>
        <w:t xml:space="preserve"> </w:t>
      </w:r>
      <w:r>
        <w:rPr>
          <w:sz w:val="20"/>
        </w:rPr>
        <w:t>Convención,</w:t>
      </w:r>
      <w:r>
        <w:rPr>
          <w:spacing w:val="-3"/>
          <w:sz w:val="20"/>
        </w:rPr>
        <w:t xml:space="preserve"> </w:t>
      </w:r>
      <w:r>
        <w:rPr>
          <w:sz w:val="20"/>
        </w:rPr>
        <w:t>pues los recursos adecuados y eficaces para la protección de los</w:t>
      </w:r>
      <w:r>
        <w:rPr>
          <w:sz w:val="20"/>
        </w:rPr>
        <w:t xml:space="preserve"> derechos fueron impulsados por el Estado, siguiendo el proceso regular en la jurisdicción</w:t>
      </w:r>
      <w:r>
        <w:rPr>
          <w:spacing w:val="-7"/>
          <w:sz w:val="20"/>
        </w:rPr>
        <w:t xml:space="preserve"> </w:t>
      </w:r>
      <w:r>
        <w:rPr>
          <w:sz w:val="20"/>
        </w:rPr>
        <w:t>interna.</w:t>
      </w:r>
    </w:p>
    <w:p w14:paraId="3DA1DE39" w14:textId="77777777" w:rsidR="00467FCA" w:rsidRDefault="00467FCA">
      <w:pPr>
        <w:pStyle w:val="Textoindependiente"/>
        <w:spacing w:before="11"/>
        <w:rPr>
          <w:sz w:val="19"/>
        </w:rPr>
      </w:pPr>
    </w:p>
    <w:p w14:paraId="05D712A4" w14:textId="77777777" w:rsidR="00467FCA" w:rsidRDefault="001B68EB">
      <w:pPr>
        <w:pStyle w:val="Prrafodelista"/>
        <w:numPr>
          <w:ilvl w:val="0"/>
          <w:numId w:val="50"/>
        </w:numPr>
        <w:tabs>
          <w:tab w:val="left" w:pos="686"/>
        </w:tabs>
        <w:ind w:left="119" w:right="118" w:firstLine="0"/>
        <w:jc w:val="both"/>
        <w:rPr>
          <w:sz w:val="20"/>
        </w:rPr>
      </w:pPr>
      <w:r>
        <w:rPr>
          <w:sz w:val="20"/>
        </w:rPr>
        <w:t xml:space="preserve">Sobre el procedimiento administrativo, destacó que este fue iniciado de oficio por el Estado, llevó a cabo un análisis minucioso de las actividades de los </w:t>
      </w:r>
      <w:r>
        <w:rPr>
          <w:sz w:val="20"/>
        </w:rPr>
        <w:t>particulares y resolvió, menos de un año después de la explosión (6 de junio de 1999), aplicar las sanciones respectivas, incluida la cancelación del permiso de funcionamiento de la</w:t>
      </w:r>
      <w:r>
        <w:rPr>
          <w:spacing w:val="-16"/>
          <w:sz w:val="20"/>
        </w:rPr>
        <w:t xml:space="preserve"> </w:t>
      </w:r>
      <w:r>
        <w:rPr>
          <w:sz w:val="20"/>
        </w:rPr>
        <w:t>empresa.</w:t>
      </w:r>
    </w:p>
    <w:p w14:paraId="26F2E091" w14:textId="77777777" w:rsidR="00467FCA" w:rsidRDefault="00467FCA">
      <w:pPr>
        <w:pStyle w:val="Textoindependiente"/>
        <w:spacing w:before="12"/>
        <w:rPr>
          <w:sz w:val="19"/>
        </w:rPr>
      </w:pPr>
    </w:p>
    <w:p w14:paraId="4E9DDCFD" w14:textId="77777777" w:rsidR="00467FCA" w:rsidRDefault="001B68EB">
      <w:pPr>
        <w:pStyle w:val="Prrafodelista"/>
        <w:numPr>
          <w:ilvl w:val="0"/>
          <w:numId w:val="50"/>
        </w:numPr>
        <w:tabs>
          <w:tab w:val="left" w:pos="686"/>
        </w:tabs>
        <w:ind w:left="119" w:right="117" w:firstLine="0"/>
        <w:jc w:val="both"/>
        <w:rPr>
          <w:sz w:val="20"/>
        </w:rPr>
      </w:pPr>
      <w:r>
        <w:rPr>
          <w:sz w:val="20"/>
        </w:rPr>
        <w:t xml:space="preserve">Sobre el juicio penal, indicó que luego de la compleja etapa de </w:t>
      </w:r>
      <w:r>
        <w:rPr>
          <w:sz w:val="20"/>
        </w:rPr>
        <w:t>instrucción, en el año 2004,</w:t>
      </w:r>
      <w:r>
        <w:rPr>
          <w:spacing w:val="-16"/>
          <w:sz w:val="20"/>
        </w:rPr>
        <w:t xml:space="preserve"> </w:t>
      </w:r>
      <w:r>
        <w:rPr>
          <w:sz w:val="20"/>
        </w:rPr>
        <w:t>se</w:t>
      </w:r>
      <w:r>
        <w:rPr>
          <w:spacing w:val="-16"/>
          <w:sz w:val="20"/>
        </w:rPr>
        <w:t xml:space="preserve"> </w:t>
      </w:r>
      <w:r>
        <w:rPr>
          <w:sz w:val="20"/>
        </w:rPr>
        <w:t>dictaminó</w:t>
      </w:r>
      <w:r>
        <w:rPr>
          <w:spacing w:val="-15"/>
          <w:sz w:val="20"/>
        </w:rPr>
        <w:t xml:space="preserve"> </w:t>
      </w:r>
      <w:r>
        <w:rPr>
          <w:sz w:val="20"/>
        </w:rPr>
        <w:t>el</w:t>
      </w:r>
      <w:r>
        <w:rPr>
          <w:spacing w:val="-15"/>
          <w:sz w:val="20"/>
        </w:rPr>
        <w:t xml:space="preserve"> </w:t>
      </w:r>
      <w:r>
        <w:rPr>
          <w:sz w:val="20"/>
        </w:rPr>
        <w:t>llamado</w:t>
      </w:r>
      <w:r>
        <w:rPr>
          <w:spacing w:val="-15"/>
          <w:sz w:val="20"/>
        </w:rPr>
        <w:t xml:space="preserve"> </w:t>
      </w:r>
      <w:r>
        <w:rPr>
          <w:sz w:val="20"/>
        </w:rPr>
        <w:t>a</w:t>
      </w:r>
      <w:r>
        <w:rPr>
          <w:spacing w:val="-15"/>
          <w:sz w:val="20"/>
        </w:rPr>
        <w:t xml:space="preserve"> </w:t>
      </w:r>
      <w:r>
        <w:rPr>
          <w:sz w:val="20"/>
        </w:rPr>
        <w:t>juicio</w:t>
      </w:r>
      <w:r>
        <w:rPr>
          <w:spacing w:val="-15"/>
          <w:sz w:val="20"/>
        </w:rPr>
        <w:t xml:space="preserve"> </w:t>
      </w:r>
      <w:r>
        <w:rPr>
          <w:sz w:val="20"/>
        </w:rPr>
        <w:t>ante</w:t>
      </w:r>
      <w:r>
        <w:rPr>
          <w:spacing w:val="-14"/>
          <w:sz w:val="20"/>
        </w:rPr>
        <w:t xml:space="preserve"> </w:t>
      </w:r>
      <w:r>
        <w:rPr>
          <w:sz w:val="20"/>
        </w:rPr>
        <w:t>el</w:t>
      </w:r>
      <w:r>
        <w:rPr>
          <w:spacing w:val="-14"/>
          <w:sz w:val="20"/>
        </w:rPr>
        <w:t xml:space="preserve"> </w:t>
      </w:r>
      <w:r>
        <w:rPr>
          <w:sz w:val="20"/>
        </w:rPr>
        <w:t>Tribunal</w:t>
      </w:r>
      <w:r>
        <w:rPr>
          <w:spacing w:val="-15"/>
          <w:sz w:val="20"/>
        </w:rPr>
        <w:t xml:space="preserve"> </w:t>
      </w:r>
      <w:r>
        <w:rPr>
          <w:sz w:val="20"/>
        </w:rPr>
        <w:t>de</w:t>
      </w:r>
      <w:r>
        <w:rPr>
          <w:spacing w:val="-15"/>
          <w:sz w:val="20"/>
        </w:rPr>
        <w:t xml:space="preserve"> </w:t>
      </w:r>
      <w:r>
        <w:rPr>
          <w:sz w:val="20"/>
        </w:rPr>
        <w:t>Jurados,</w:t>
      </w:r>
      <w:r>
        <w:rPr>
          <w:spacing w:val="-16"/>
          <w:sz w:val="20"/>
        </w:rPr>
        <w:t xml:space="preserve"> </w:t>
      </w:r>
      <w:r>
        <w:rPr>
          <w:sz w:val="20"/>
        </w:rPr>
        <w:t>pero</w:t>
      </w:r>
      <w:r>
        <w:rPr>
          <w:spacing w:val="-14"/>
          <w:sz w:val="20"/>
        </w:rPr>
        <w:t xml:space="preserve"> </w:t>
      </w:r>
      <w:r>
        <w:rPr>
          <w:sz w:val="20"/>
        </w:rPr>
        <w:t>el</w:t>
      </w:r>
      <w:r>
        <w:rPr>
          <w:spacing w:val="-14"/>
          <w:sz w:val="20"/>
        </w:rPr>
        <w:t xml:space="preserve"> </w:t>
      </w:r>
      <w:r>
        <w:rPr>
          <w:sz w:val="20"/>
        </w:rPr>
        <w:t>traslado</w:t>
      </w:r>
      <w:r>
        <w:rPr>
          <w:spacing w:val="-16"/>
          <w:sz w:val="20"/>
        </w:rPr>
        <w:t xml:space="preserve"> </w:t>
      </w:r>
      <w:r>
        <w:rPr>
          <w:sz w:val="20"/>
        </w:rPr>
        <w:t>del</w:t>
      </w:r>
      <w:r>
        <w:rPr>
          <w:spacing w:val="-14"/>
          <w:sz w:val="20"/>
        </w:rPr>
        <w:t xml:space="preserve"> </w:t>
      </w:r>
      <w:r>
        <w:rPr>
          <w:sz w:val="20"/>
        </w:rPr>
        <w:t>proceso a la ciudad de Salvador para la garantía de la independencia del fallo retrasó el juzgamiento en esta instancia. Puntualizó que la interposición de recursos que siguió desde entonces no ha</w:t>
      </w:r>
      <w:r>
        <w:rPr>
          <w:spacing w:val="-16"/>
          <w:sz w:val="20"/>
        </w:rPr>
        <w:t xml:space="preserve"> </w:t>
      </w:r>
      <w:r>
        <w:rPr>
          <w:sz w:val="20"/>
        </w:rPr>
        <w:t>presentado</w:t>
      </w:r>
      <w:r>
        <w:rPr>
          <w:spacing w:val="-16"/>
          <w:sz w:val="20"/>
        </w:rPr>
        <w:t xml:space="preserve"> </w:t>
      </w:r>
      <w:r>
        <w:rPr>
          <w:sz w:val="20"/>
        </w:rPr>
        <w:t>ninguna</w:t>
      </w:r>
      <w:r>
        <w:rPr>
          <w:spacing w:val="-15"/>
          <w:sz w:val="20"/>
        </w:rPr>
        <w:t xml:space="preserve"> </w:t>
      </w:r>
      <w:r>
        <w:rPr>
          <w:sz w:val="20"/>
        </w:rPr>
        <w:t>irregularidad</w:t>
      </w:r>
      <w:r>
        <w:rPr>
          <w:spacing w:val="-15"/>
          <w:sz w:val="20"/>
        </w:rPr>
        <w:t xml:space="preserve"> </w:t>
      </w:r>
      <w:r>
        <w:rPr>
          <w:sz w:val="20"/>
        </w:rPr>
        <w:t>o</w:t>
      </w:r>
      <w:r>
        <w:rPr>
          <w:spacing w:val="-16"/>
          <w:sz w:val="20"/>
        </w:rPr>
        <w:t xml:space="preserve"> </w:t>
      </w:r>
      <w:r>
        <w:rPr>
          <w:sz w:val="20"/>
        </w:rPr>
        <w:t>demora</w:t>
      </w:r>
      <w:r>
        <w:rPr>
          <w:spacing w:val="-16"/>
          <w:sz w:val="20"/>
        </w:rPr>
        <w:t xml:space="preserve"> </w:t>
      </w:r>
      <w:r>
        <w:rPr>
          <w:sz w:val="20"/>
        </w:rPr>
        <w:t>injustificada</w:t>
      </w:r>
      <w:r>
        <w:rPr>
          <w:spacing w:val="-15"/>
          <w:sz w:val="20"/>
        </w:rPr>
        <w:t xml:space="preserve"> </w:t>
      </w:r>
      <w:r>
        <w:rPr>
          <w:sz w:val="20"/>
        </w:rPr>
        <w:t>atr</w:t>
      </w:r>
      <w:r>
        <w:rPr>
          <w:sz w:val="20"/>
        </w:rPr>
        <w:t>ibuible</w:t>
      </w:r>
      <w:r>
        <w:rPr>
          <w:spacing w:val="-16"/>
          <w:sz w:val="20"/>
        </w:rPr>
        <w:t xml:space="preserve"> </w:t>
      </w:r>
      <w:r>
        <w:rPr>
          <w:sz w:val="20"/>
        </w:rPr>
        <w:t>al</w:t>
      </w:r>
      <w:r>
        <w:rPr>
          <w:spacing w:val="-15"/>
          <w:sz w:val="20"/>
        </w:rPr>
        <w:t xml:space="preserve"> </w:t>
      </w:r>
      <w:r>
        <w:rPr>
          <w:sz w:val="20"/>
        </w:rPr>
        <w:t>Estado,</w:t>
      </w:r>
      <w:r>
        <w:rPr>
          <w:spacing w:val="-16"/>
          <w:sz w:val="20"/>
        </w:rPr>
        <w:t xml:space="preserve"> </w:t>
      </w:r>
      <w:r>
        <w:rPr>
          <w:sz w:val="20"/>
        </w:rPr>
        <w:t>sino</w:t>
      </w:r>
      <w:r>
        <w:rPr>
          <w:spacing w:val="-16"/>
          <w:sz w:val="20"/>
        </w:rPr>
        <w:t xml:space="preserve"> </w:t>
      </w:r>
      <w:r>
        <w:rPr>
          <w:sz w:val="20"/>
        </w:rPr>
        <w:t>que</w:t>
      </w:r>
      <w:r>
        <w:rPr>
          <w:spacing w:val="-17"/>
          <w:sz w:val="20"/>
        </w:rPr>
        <w:t xml:space="preserve"> </w:t>
      </w:r>
      <w:r>
        <w:rPr>
          <w:sz w:val="20"/>
        </w:rPr>
        <w:t>hace parte del</w:t>
      </w:r>
      <w:r>
        <w:rPr>
          <w:spacing w:val="-4"/>
          <w:sz w:val="20"/>
        </w:rPr>
        <w:t xml:space="preserve"> </w:t>
      </w:r>
      <w:r>
        <w:rPr>
          <w:sz w:val="20"/>
        </w:rPr>
        <w:t>contradictorio.</w:t>
      </w:r>
    </w:p>
    <w:p w14:paraId="1933A63C" w14:textId="77777777" w:rsidR="00467FCA" w:rsidRDefault="00467FCA">
      <w:pPr>
        <w:pStyle w:val="Textoindependiente"/>
      </w:pPr>
    </w:p>
    <w:p w14:paraId="6D7D1AD8" w14:textId="77777777" w:rsidR="00467FCA" w:rsidRDefault="001B68EB">
      <w:pPr>
        <w:pStyle w:val="Prrafodelista"/>
        <w:numPr>
          <w:ilvl w:val="0"/>
          <w:numId w:val="50"/>
        </w:numPr>
        <w:tabs>
          <w:tab w:val="left" w:pos="686"/>
        </w:tabs>
        <w:ind w:left="119" w:right="119" w:firstLine="0"/>
        <w:jc w:val="both"/>
        <w:rPr>
          <w:sz w:val="20"/>
        </w:rPr>
      </w:pPr>
      <w:r>
        <w:rPr>
          <w:sz w:val="20"/>
        </w:rPr>
        <w:t xml:space="preserve">Respecto a los recursos civiles, afirmó que siguieron su curso regular y consistieron en recursos internos adecuados y efectivos para la satisfacción de las pretensiones de las víctimas. Destacó que, en el caso de la acción civil </w:t>
      </w:r>
      <w:r>
        <w:rPr>
          <w:i/>
          <w:sz w:val="20"/>
        </w:rPr>
        <w:t xml:space="preserve">ex delicto </w:t>
      </w:r>
      <w:r>
        <w:rPr>
          <w:sz w:val="20"/>
        </w:rPr>
        <w:t xml:space="preserve">contra Osvaldo </w:t>
      </w:r>
      <w:r>
        <w:rPr>
          <w:sz w:val="20"/>
        </w:rPr>
        <w:t>Prazeres</w:t>
      </w:r>
      <w:r>
        <w:rPr>
          <w:spacing w:val="-46"/>
          <w:sz w:val="20"/>
        </w:rPr>
        <w:t xml:space="preserve"> </w:t>
      </w:r>
      <w:r>
        <w:rPr>
          <w:sz w:val="20"/>
        </w:rPr>
        <w:t>Bastos y Mário Fróes Prazeres Bastos, se obtuvo un acuerdo entre las partes en el año 2013, por el cual</w:t>
      </w:r>
      <w:r>
        <w:rPr>
          <w:spacing w:val="-15"/>
          <w:sz w:val="20"/>
        </w:rPr>
        <w:t xml:space="preserve"> </w:t>
      </w:r>
      <w:r>
        <w:rPr>
          <w:sz w:val="20"/>
        </w:rPr>
        <w:t>se</w:t>
      </w:r>
      <w:r>
        <w:rPr>
          <w:spacing w:val="-14"/>
          <w:sz w:val="20"/>
        </w:rPr>
        <w:t xml:space="preserve"> </w:t>
      </w:r>
      <w:r>
        <w:rPr>
          <w:sz w:val="20"/>
        </w:rPr>
        <w:t>estableció</w:t>
      </w:r>
      <w:r>
        <w:rPr>
          <w:spacing w:val="-16"/>
          <w:sz w:val="20"/>
        </w:rPr>
        <w:t xml:space="preserve"> </w:t>
      </w:r>
      <w:r>
        <w:rPr>
          <w:sz w:val="20"/>
        </w:rPr>
        <w:t>un</w:t>
      </w:r>
      <w:r>
        <w:rPr>
          <w:spacing w:val="-14"/>
          <w:sz w:val="20"/>
        </w:rPr>
        <w:t xml:space="preserve"> </w:t>
      </w:r>
      <w:r>
        <w:rPr>
          <w:sz w:val="20"/>
        </w:rPr>
        <w:t>monto</w:t>
      </w:r>
      <w:r>
        <w:rPr>
          <w:spacing w:val="-16"/>
          <w:sz w:val="20"/>
        </w:rPr>
        <w:t xml:space="preserve"> </w:t>
      </w:r>
      <w:r>
        <w:rPr>
          <w:sz w:val="20"/>
        </w:rPr>
        <w:t>de</w:t>
      </w:r>
      <w:r>
        <w:rPr>
          <w:spacing w:val="-14"/>
          <w:sz w:val="20"/>
        </w:rPr>
        <w:t xml:space="preserve"> </w:t>
      </w:r>
      <w:r>
        <w:rPr>
          <w:sz w:val="20"/>
        </w:rPr>
        <w:t>indemnización</w:t>
      </w:r>
      <w:r>
        <w:rPr>
          <w:spacing w:val="-14"/>
          <w:sz w:val="20"/>
        </w:rPr>
        <w:t xml:space="preserve"> </w:t>
      </w:r>
      <w:r>
        <w:rPr>
          <w:sz w:val="20"/>
        </w:rPr>
        <w:t>de</w:t>
      </w:r>
      <w:r>
        <w:rPr>
          <w:spacing w:val="-14"/>
          <w:sz w:val="20"/>
        </w:rPr>
        <w:t xml:space="preserve"> </w:t>
      </w:r>
      <w:r>
        <w:rPr>
          <w:sz w:val="20"/>
        </w:rPr>
        <w:t>dos</w:t>
      </w:r>
      <w:r>
        <w:rPr>
          <w:spacing w:val="-16"/>
          <w:sz w:val="20"/>
        </w:rPr>
        <w:t xml:space="preserve"> </w:t>
      </w:r>
      <w:r>
        <w:rPr>
          <w:sz w:val="20"/>
        </w:rPr>
        <w:t>millones</w:t>
      </w:r>
      <w:r>
        <w:rPr>
          <w:spacing w:val="-13"/>
          <w:sz w:val="20"/>
        </w:rPr>
        <w:t xml:space="preserve"> </w:t>
      </w:r>
      <w:r>
        <w:rPr>
          <w:sz w:val="20"/>
        </w:rPr>
        <w:t>seiscientos</w:t>
      </w:r>
      <w:r>
        <w:rPr>
          <w:spacing w:val="-13"/>
          <w:sz w:val="20"/>
        </w:rPr>
        <w:t xml:space="preserve"> </w:t>
      </w:r>
      <w:r>
        <w:rPr>
          <w:sz w:val="20"/>
        </w:rPr>
        <w:t>once</w:t>
      </w:r>
      <w:r>
        <w:rPr>
          <w:spacing w:val="-13"/>
          <w:sz w:val="20"/>
        </w:rPr>
        <w:t xml:space="preserve"> </w:t>
      </w:r>
      <w:r>
        <w:rPr>
          <w:sz w:val="20"/>
        </w:rPr>
        <w:t>mil</w:t>
      </w:r>
      <w:r>
        <w:rPr>
          <w:spacing w:val="-14"/>
          <w:sz w:val="20"/>
        </w:rPr>
        <w:t xml:space="preserve"> </w:t>
      </w:r>
      <w:r>
        <w:rPr>
          <w:sz w:val="20"/>
        </w:rPr>
        <w:t>trescientos</w:t>
      </w:r>
    </w:p>
    <w:p w14:paraId="737BC282" w14:textId="77777777" w:rsidR="00467FCA" w:rsidRDefault="00467FCA">
      <w:pPr>
        <w:jc w:val="both"/>
        <w:rPr>
          <w:sz w:val="20"/>
        </w:rPr>
        <w:sectPr w:rsidR="00467FCA">
          <w:pgSz w:w="12240" w:h="15840"/>
          <w:pgMar w:top="1360" w:right="1320" w:bottom="1220" w:left="1320" w:header="0" w:footer="1037" w:gutter="0"/>
          <w:cols w:space="720"/>
        </w:sectPr>
      </w:pPr>
    </w:p>
    <w:p w14:paraId="6DE1E0BF" w14:textId="77777777" w:rsidR="00467FCA" w:rsidRDefault="001B68EB">
      <w:pPr>
        <w:pStyle w:val="Textoindependiente"/>
        <w:spacing w:before="80"/>
        <w:ind w:left="119" w:right="117"/>
        <w:jc w:val="both"/>
      </w:pPr>
      <w:r>
        <w:t>cincuenta y siete reales (R$ 2.611.357</w:t>
      </w:r>
      <w:hyperlink w:anchor="_bookmark359" w:history="1">
        <w:r>
          <w:rPr>
            <w:position w:val="7"/>
            <w:sz w:val="13"/>
          </w:rPr>
          <w:t>306</w:t>
        </w:r>
      </w:hyperlink>
      <w:r>
        <w:t>). El cumplimiento de dicho acuerdo y de un nuevo acuerdo</w:t>
      </w:r>
      <w:r>
        <w:rPr>
          <w:spacing w:val="-4"/>
        </w:rPr>
        <w:t xml:space="preserve"> </w:t>
      </w:r>
      <w:r>
        <w:t>judicial</w:t>
      </w:r>
      <w:r>
        <w:rPr>
          <w:spacing w:val="-5"/>
        </w:rPr>
        <w:t xml:space="preserve"> </w:t>
      </w:r>
      <w:r>
        <w:t>homologado</w:t>
      </w:r>
      <w:r>
        <w:rPr>
          <w:spacing w:val="-3"/>
        </w:rPr>
        <w:t xml:space="preserve"> </w:t>
      </w:r>
      <w:r>
        <w:t>en</w:t>
      </w:r>
      <w:r>
        <w:rPr>
          <w:spacing w:val="-4"/>
        </w:rPr>
        <w:t xml:space="preserve"> </w:t>
      </w:r>
      <w:r>
        <w:t>marzo</w:t>
      </w:r>
      <w:r>
        <w:rPr>
          <w:spacing w:val="-4"/>
        </w:rPr>
        <w:t xml:space="preserve"> </w:t>
      </w:r>
      <w:r>
        <w:t>de</w:t>
      </w:r>
      <w:r>
        <w:rPr>
          <w:spacing w:val="-6"/>
        </w:rPr>
        <w:t xml:space="preserve"> </w:t>
      </w:r>
      <w:r>
        <w:t>2019</w:t>
      </w:r>
      <w:r>
        <w:rPr>
          <w:spacing w:val="-3"/>
        </w:rPr>
        <w:t xml:space="preserve"> </w:t>
      </w:r>
      <w:r>
        <w:t>se</w:t>
      </w:r>
      <w:r>
        <w:rPr>
          <w:spacing w:val="-6"/>
        </w:rPr>
        <w:t xml:space="preserve"> </w:t>
      </w:r>
      <w:r>
        <w:t>ha</w:t>
      </w:r>
      <w:r>
        <w:rPr>
          <w:spacing w:val="-3"/>
        </w:rPr>
        <w:t xml:space="preserve"> </w:t>
      </w:r>
      <w:r>
        <w:t>venido</w:t>
      </w:r>
      <w:r>
        <w:rPr>
          <w:spacing w:val="-4"/>
        </w:rPr>
        <w:t xml:space="preserve"> </w:t>
      </w:r>
      <w:r>
        <w:t>exigiendo</w:t>
      </w:r>
      <w:r>
        <w:rPr>
          <w:spacing w:val="-1"/>
        </w:rPr>
        <w:t xml:space="preserve"> </w:t>
      </w:r>
      <w:r>
        <w:t>y</w:t>
      </w:r>
      <w:r>
        <w:rPr>
          <w:spacing w:val="-6"/>
        </w:rPr>
        <w:t xml:space="preserve"> </w:t>
      </w:r>
      <w:r>
        <w:t>garantizando</w:t>
      </w:r>
      <w:r>
        <w:rPr>
          <w:spacing w:val="-6"/>
        </w:rPr>
        <w:t xml:space="preserve"> </w:t>
      </w:r>
      <w:r>
        <w:t>por</w:t>
      </w:r>
      <w:r>
        <w:rPr>
          <w:spacing w:val="-4"/>
        </w:rPr>
        <w:t xml:space="preserve"> </w:t>
      </w:r>
      <w:r>
        <w:t>el Estado,</w:t>
      </w:r>
      <w:r>
        <w:rPr>
          <w:spacing w:val="-10"/>
        </w:rPr>
        <w:t xml:space="preserve"> </w:t>
      </w:r>
      <w:r>
        <w:t>razón</w:t>
      </w:r>
      <w:r>
        <w:rPr>
          <w:spacing w:val="-7"/>
        </w:rPr>
        <w:t xml:space="preserve"> </w:t>
      </w:r>
      <w:r>
        <w:t>por</w:t>
      </w:r>
      <w:r>
        <w:rPr>
          <w:spacing w:val="-10"/>
        </w:rPr>
        <w:t xml:space="preserve"> </w:t>
      </w:r>
      <w:r>
        <w:t>la</w:t>
      </w:r>
      <w:r>
        <w:rPr>
          <w:spacing w:val="-8"/>
        </w:rPr>
        <w:t xml:space="preserve"> </w:t>
      </w:r>
      <w:r>
        <w:t>cual</w:t>
      </w:r>
      <w:r>
        <w:rPr>
          <w:spacing w:val="-8"/>
        </w:rPr>
        <w:t xml:space="preserve"> </w:t>
      </w:r>
      <w:r>
        <w:t>se</w:t>
      </w:r>
      <w:r>
        <w:rPr>
          <w:spacing w:val="-9"/>
        </w:rPr>
        <w:t xml:space="preserve"> </w:t>
      </w:r>
      <w:r>
        <w:t>ha</w:t>
      </w:r>
      <w:r>
        <w:rPr>
          <w:spacing w:val="-9"/>
        </w:rPr>
        <w:t xml:space="preserve"> </w:t>
      </w:r>
      <w:r>
        <w:t>logrado</w:t>
      </w:r>
      <w:r>
        <w:rPr>
          <w:spacing w:val="-9"/>
        </w:rPr>
        <w:t xml:space="preserve"> </w:t>
      </w:r>
      <w:r>
        <w:t>ejecutar</w:t>
      </w:r>
      <w:r>
        <w:rPr>
          <w:spacing w:val="-7"/>
        </w:rPr>
        <w:t xml:space="preserve"> </w:t>
      </w:r>
      <w:r>
        <w:t>en</w:t>
      </w:r>
      <w:r>
        <w:rPr>
          <w:spacing w:val="-7"/>
        </w:rPr>
        <w:t xml:space="preserve"> </w:t>
      </w:r>
      <w:r>
        <w:t>su</w:t>
      </w:r>
      <w:r>
        <w:rPr>
          <w:spacing w:val="-8"/>
        </w:rPr>
        <w:t xml:space="preserve"> </w:t>
      </w:r>
      <w:r>
        <w:t>totalidad,</w:t>
      </w:r>
      <w:r>
        <w:rPr>
          <w:spacing w:val="-8"/>
        </w:rPr>
        <w:t xml:space="preserve"> </w:t>
      </w:r>
      <w:r>
        <w:t>con</w:t>
      </w:r>
      <w:r>
        <w:rPr>
          <w:spacing w:val="-8"/>
        </w:rPr>
        <w:t xml:space="preserve"> </w:t>
      </w:r>
      <w:r>
        <w:t>la</w:t>
      </w:r>
      <w:r>
        <w:rPr>
          <w:spacing w:val="-8"/>
        </w:rPr>
        <w:t xml:space="preserve"> </w:t>
      </w:r>
      <w:r>
        <w:t>expedición</w:t>
      </w:r>
      <w:r>
        <w:rPr>
          <w:spacing w:val="-8"/>
        </w:rPr>
        <w:t xml:space="preserve"> </w:t>
      </w:r>
      <w:r>
        <w:t>de</w:t>
      </w:r>
      <w:r>
        <w:rPr>
          <w:spacing w:val="-9"/>
        </w:rPr>
        <w:t xml:space="preserve"> </w:t>
      </w:r>
      <w:r>
        <w:t>órdenes judiciales</w:t>
      </w:r>
      <w:r>
        <w:rPr>
          <w:spacing w:val="-9"/>
        </w:rPr>
        <w:t xml:space="preserve"> </w:t>
      </w:r>
      <w:r>
        <w:t>de</w:t>
      </w:r>
      <w:r>
        <w:rPr>
          <w:spacing w:val="-9"/>
        </w:rPr>
        <w:t xml:space="preserve"> </w:t>
      </w:r>
      <w:r>
        <w:t>pago</w:t>
      </w:r>
      <w:r>
        <w:rPr>
          <w:spacing w:val="-9"/>
        </w:rPr>
        <w:t xml:space="preserve"> </w:t>
      </w:r>
      <w:r>
        <w:t>a</w:t>
      </w:r>
      <w:r>
        <w:rPr>
          <w:spacing w:val="-8"/>
        </w:rPr>
        <w:t xml:space="preserve"> </w:t>
      </w:r>
      <w:r>
        <w:t>las</w:t>
      </w:r>
      <w:r>
        <w:rPr>
          <w:spacing w:val="-6"/>
        </w:rPr>
        <w:t xml:space="preserve"> </w:t>
      </w:r>
      <w:r>
        <w:t>víctimas.</w:t>
      </w:r>
      <w:r>
        <w:rPr>
          <w:spacing w:val="-8"/>
        </w:rPr>
        <w:t xml:space="preserve"> </w:t>
      </w:r>
      <w:r>
        <w:t>Por</w:t>
      </w:r>
      <w:r>
        <w:rPr>
          <w:spacing w:val="-9"/>
        </w:rPr>
        <w:t xml:space="preserve"> </w:t>
      </w:r>
      <w:r>
        <w:t>otro</w:t>
      </w:r>
      <w:r>
        <w:rPr>
          <w:spacing w:val="-8"/>
        </w:rPr>
        <w:t xml:space="preserve"> </w:t>
      </w:r>
      <w:r>
        <w:t>lado,</w:t>
      </w:r>
      <w:r>
        <w:rPr>
          <w:spacing w:val="-6"/>
        </w:rPr>
        <w:t xml:space="preserve"> </w:t>
      </w:r>
      <w:r>
        <w:t>sobre</w:t>
      </w:r>
      <w:r>
        <w:rPr>
          <w:spacing w:val="-9"/>
        </w:rPr>
        <w:t xml:space="preserve"> </w:t>
      </w:r>
      <w:r>
        <w:t>la</w:t>
      </w:r>
      <w:r>
        <w:rPr>
          <w:spacing w:val="-8"/>
        </w:rPr>
        <w:t xml:space="preserve"> </w:t>
      </w:r>
      <w:r>
        <w:t>acción</w:t>
      </w:r>
      <w:r>
        <w:rPr>
          <w:spacing w:val="-7"/>
        </w:rPr>
        <w:t xml:space="preserve"> </w:t>
      </w:r>
      <w:r>
        <w:t>civil</w:t>
      </w:r>
      <w:r>
        <w:rPr>
          <w:spacing w:val="-8"/>
        </w:rPr>
        <w:t xml:space="preserve"> </w:t>
      </w:r>
      <w:r>
        <w:t>planteada</w:t>
      </w:r>
      <w:r>
        <w:rPr>
          <w:spacing w:val="-8"/>
        </w:rPr>
        <w:t xml:space="preserve"> </w:t>
      </w:r>
      <w:r>
        <w:t>contra</w:t>
      </w:r>
      <w:r>
        <w:rPr>
          <w:spacing w:val="-8"/>
        </w:rPr>
        <w:t xml:space="preserve"> </w:t>
      </w:r>
      <w:r>
        <w:t>la</w:t>
      </w:r>
      <w:r>
        <w:rPr>
          <w:spacing w:val="-7"/>
        </w:rPr>
        <w:t xml:space="preserve"> </w:t>
      </w:r>
      <w:r>
        <w:t>Unión Federal</w:t>
      </w:r>
      <w:hyperlink w:anchor="_bookmark360" w:history="1">
        <w:r>
          <w:rPr>
            <w:position w:val="7"/>
            <w:sz w:val="13"/>
          </w:rPr>
          <w:t>307</w:t>
        </w:r>
      </w:hyperlink>
      <w:r>
        <w:t>,</w:t>
      </w:r>
      <w:r>
        <w:rPr>
          <w:spacing w:val="-10"/>
        </w:rPr>
        <w:t xml:space="preserve"> </w:t>
      </w:r>
      <w:r>
        <w:t>el</w:t>
      </w:r>
      <w:r>
        <w:rPr>
          <w:spacing w:val="-9"/>
        </w:rPr>
        <w:t xml:space="preserve"> </w:t>
      </w:r>
      <w:r>
        <w:t>estado</w:t>
      </w:r>
      <w:r>
        <w:rPr>
          <w:spacing w:val="-10"/>
        </w:rPr>
        <w:t xml:space="preserve"> </w:t>
      </w:r>
      <w:r>
        <w:t>de</w:t>
      </w:r>
      <w:r>
        <w:rPr>
          <w:spacing w:val="-10"/>
        </w:rPr>
        <w:t xml:space="preserve"> </w:t>
      </w:r>
      <w:r>
        <w:t>Bahia,</w:t>
      </w:r>
      <w:r>
        <w:rPr>
          <w:spacing w:val="-10"/>
        </w:rPr>
        <w:t xml:space="preserve"> </w:t>
      </w:r>
      <w:r>
        <w:t>el</w:t>
      </w:r>
      <w:r>
        <w:rPr>
          <w:spacing w:val="-9"/>
        </w:rPr>
        <w:t xml:space="preserve"> </w:t>
      </w:r>
      <w:r>
        <w:t>Municipio</w:t>
      </w:r>
      <w:r>
        <w:rPr>
          <w:spacing w:val="-10"/>
        </w:rPr>
        <w:t xml:space="preserve"> </w:t>
      </w:r>
      <w:r>
        <w:t>de</w:t>
      </w:r>
      <w:r>
        <w:rPr>
          <w:spacing w:val="-11"/>
        </w:rPr>
        <w:t xml:space="preserve"> </w:t>
      </w:r>
      <w:r>
        <w:t>Santo</w:t>
      </w:r>
      <w:r>
        <w:rPr>
          <w:spacing w:val="-10"/>
        </w:rPr>
        <w:t xml:space="preserve"> </w:t>
      </w:r>
      <w:r>
        <w:t>Antônio</w:t>
      </w:r>
      <w:r>
        <w:rPr>
          <w:spacing w:val="-10"/>
        </w:rPr>
        <w:t xml:space="preserve"> </w:t>
      </w:r>
      <w:r>
        <w:t>de</w:t>
      </w:r>
      <w:r>
        <w:rPr>
          <w:spacing w:val="-10"/>
        </w:rPr>
        <w:t xml:space="preserve"> </w:t>
      </w:r>
      <w:r>
        <w:t>Jesus</w:t>
      </w:r>
      <w:r>
        <w:rPr>
          <w:spacing w:val="-10"/>
        </w:rPr>
        <w:t xml:space="preserve"> </w:t>
      </w:r>
      <w:r>
        <w:t>y</w:t>
      </w:r>
      <w:r>
        <w:rPr>
          <w:spacing w:val="-10"/>
        </w:rPr>
        <w:t xml:space="preserve"> </w:t>
      </w:r>
      <w:r>
        <w:t>la</w:t>
      </w:r>
      <w:r>
        <w:rPr>
          <w:spacing w:val="-7"/>
        </w:rPr>
        <w:t xml:space="preserve"> </w:t>
      </w:r>
      <w:r>
        <w:t>empresa,</w:t>
      </w:r>
      <w:r>
        <w:rPr>
          <w:spacing w:val="-10"/>
        </w:rPr>
        <w:t xml:space="preserve"> </w:t>
      </w:r>
      <w:r>
        <w:t>el</w:t>
      </w:r>
      <w:r>
        <w:rPr>
          <w:spacing w:val="-9"/>
        </w:rPr>
        <w:t xml:space="preserve"> </w:t>
      </w:r>
      <w:r>
        <w:t>Estado brasileño destacó la concesión de la tutela anticipada en favor de los hijos de las víctimas y el desglose del proceso para su ágil tratamiento y la efectividad de la ejecución de los fallos. Señaló que no existen irregularidades, acciones u omision</w:t>
      </w:r>
      <w:r>
        <w:t>es que hayan causado injustificadamente demoras en los procesos, que el trámite de los recursos sigue sin irregularidades y de conformidad con la normativa brasileña, y que los tribunales han reafirmado, hasta el momento, las decisiones que conceden</w:t>
      </w:r>
      <w:r>
        <w:rPr>
          <w:spacing w:val="-9"/>
        </w:rPr>
        <w:t xml:space="preserve"> </w:t>
      </w:r>
      <w:r>
        <w:t>repara</w:t>
      </w:r>
      <w:r>
        <w:t>ción.</w:t>
      </w:r>
    </w:p>
    <w:p w14:paraId="0D77F268" w14:textId="77777777" w:rsidR="00467FCA" w:rsidRDefault="00467FCA">
      <w:pPr>
        <w:pStyle w:val="Textoindependiente"/>
        <w:spacing w:before="12"/>
        <w:rPr>
          <w:sz w:val="19"/>
        </w:rPr>
      </w:pPr>
    </w:p>
    <w:p w14:paraId="4D9B2C5D" w14:textId="77777777" w:rsidR="00467FCA" w:rsidRDefault="001B68EB">
      <w:pPr>
        <w:pStyle w:val="Prrafodelista"/>
        <w:numPr>
          <w:ilvl w:val="0"/>
          <w:numId w:val="50"/>
        </w:numPr>
        <w:tabs>
          <w:tab w:val="left" w:pos="687"/>
        </w:tabs>
        <w:ind w:left="119" w:right="117" w:firstLine="0"/>
        <w:jc w:val="both"/>
        <w:rPr>
          <w:sz w:val="20"/>
        </w:rPr>
      </w:pPr>
      <w:r>
        <w:rPr>
          <w:sz w:val="20"/>
        </w:rPr>
        <w:t>En cuanto a los procesos laborales, estableció que no puede ser imputada responsabilidad</w:t>
      </w:r>
      <w:r>
        <w:rPr>
          <w:spacing w:val="-5"/>
          <w:sz w:val="20"/>
        </w:rPr>
        <w:t xml:space="preserve"> </w:t>
      </w:r>
      <w:r>
        <w:rPr>
          <w:sz w:val="20"/>
        </w:rPr>
        <w:t>al</w:t>
      </w:r>
      <w:r>
        <w:rPr>
          <w:spacing w:val="-8"/>
          <w:sz w:val="20"/>
        </w:rPr>
        <w:t xml:space="preserve"> </w:t>
      </w:r>
      <w:r>
        <w:rPr>
          <w:sz w:val="20"/>
        </w:rPr>
        <w:t>Estado</w:t>
      </w:r>
      <w:r>
        <w:rPr>
          <w:spacing w:val="-8"/>
          <w:sz w:val="20"/>
        </w:rPr>
        <w:t xml:space="preserve"> </w:t>
      </w:r>
      <w:r>
        <w:rPr>
          <w:sz w:val="20"/>
        </w:rPr>
        <w:t>por</w:t>
      </w:r>
      <w:r>
        <w:rPr>
          <w:spacing w:val="-7"/>
          <w:sz w:val="20"/>
        </w:rPr>
        <w:t xml:space="preserve"> </w:t>
      </w:r>
      <w:r>
        <w:rPr>
          <w:sz w:val="20"/>
        </w:rPr>
        <w:t>los</w:t>
      </w:r>
      <w:r>
        <w:rPr>
          <w:spacing w:val="-6"/>
          <w:sz w:val="20"/>
        </w:rPr>
        <w:t xml:space="preserve"> </w:t>
      </w:r>
      <w:r>
        <w:rPr>
          <w:sz w:val="20"/>
        </w:rPr>
        <w:t>casos</w:t>
      </w:r>
      <w:r>
        <w:rPr>
          <w:spacing w:val="-5"/>
          <w:sz w:val="20"/>
        </w:rPr>
        <w:t xml:space="preserve"> </w:t>
      </w:r>
      <w:r>
        <w:rPr>
          <w:sz w:val="20"/>
        </w:rPr>
        <w:t>en</w:t>
      </w:r>
      <w:r>
        <w:rPr>
          <w:spacing w:val="-7"/>
          <w:sz w:val="20"/>
        </w:rPr>
        <w:t xml:space="preserve"> </w:t>
      </w:r>
      <w:r>
        <w:rPr>
          <w:sz w:val="20"/>
        </w:rPr>
        <w:t>los</w:t>
      </w:r>
      <w:r>
        <w:rPr>
          <w:spacing w:val="-6"/>
          <w:sz w:val="20"/>
        </w:rPr>
        <w:t xml:space="preserve"> </w:t>
      </w:r>
      <w:r>
        <w:rPr>
          <w:sz w:val="20"/>
        </w:rPr>
        <w:t>que</w:t>
      </w:r>
      <w:r>
        <w:rPr>
          <w:spacing w:val="-8"/>
          <w:sz w:val="20"/>
        </w:rPr>
        <w:t xml:space="preserve"> </w:t>
      </w:r>
      <w:r>
        <w:rPr>
          <w:sz w:val="20"/>
        </w:rPr>
        <w:t>no</w:t>
      </w:r>
      <w:r>
        <w:rPr>
          <w:spacing w:val="-4"/>
          <w:sz w:val="20"/>
        </w:rPr>
        <w:t xml:space="preserve"> </w:t>
      </w:r>
      <w:r>
        <w:rPr>
          <w:sz w:val="20"/>
        </w:rPr>
        <w:t>se</w:t>
      </w:r>
      <w:r>
        <w:rPr>
          <w:spacing w:val="-3"/>
          <w:sz w:val="20"/>
        </w:rPr>
        <w:t xml:space="preserve"> </w:t>
      </w:r>
      <w:r>
        <w:rPr>
          <w:sz w:val="20"/>
        </w:rPr>
        <w:t>obtuvo</w:t>
      </w:r>
      <w:r>
        <w:rPr>
          <w:spacing w:val="-6"/>
          <w:sz w:val="20"/>
        </w:rPr>
        <w:t xml:space="preserve"> </w:t>
      </w:r>
      <w:r>
        <w:rPr>
          <w:sz w:val="20"/>
        </w:rPr>
        <w:t>reparación</w:t>
      </w:r>
      <w:r>
        <w:rPr>
          <w:spacing w:val="-7"/>
          <w:sz w:val="20"/>
        </w:rPr>
        <w:t xml:space="preserve"> </w:t>
      </w:r>
      <w:r>
        <w:rPr>
          <w:sz w:val="20"/>
        </w:rPr>
        <w:t>por</w:t>
      </w:r>
      <w:r>
        <w:rPr>
          <w:spacing w:val="-6"/>
          <w:sz w:val="20"/>
        </w:rPr>
        <w:t xml:space="preserve"> </w:t>
      </w:r>
      <w:r>
        <w:rPr>
          <w:sz w:val="20"/>
        </w:rPr>
        <w:t>esta</w:t>
      </w:r>
      <w:r>
        <w:rPr>
          <w:spacing w:val="-5"/>
          <w:sz w:val="20"/>
        </w:rPr>
        <w:t xml:space="preserve"> </w:t>
      </w:r>
      <w:r>
        <w:rPr>
          <w:sz w:val="20"/>
        </w:rPr>
        <w:t>vía,</w:t>
      </w:r>
      <w:r>
        <w:rPr>
          <w:spacing w:val="-6"/>
          <w:sz w:val="20"/>
        </w:rPr>
        <w:t xml:space="preserve"> </w:t>
      </w:r>
      <w:r>
        <w:rPr>
          <w:sz w:val="20"/>
        </w:rPr>
        <w:t>pues aquello fue resultado de la conducta de los demandantes respecto de cuestiones procesales que afectaron el análisis de fondo, así como de la insuficiencia de la prueba presentada en juicio.</w:t>
      </w:r>
      <w:r>
        <w:rPr>
          <w:spacing w:val="-6"/>
          <w:sz w:val="20"/>
        </w:rPr>
        <w:t xml:space="preserve"> </w:t>
      </w:r>
      <w:r>
        <w:rPr>
          <w:sz w:val="20"/>
        </w:rPr>
        <w:t>Por</w:t>
      </w:r>
      <w:r>
        <w:rPr>
          <w:spacing w:val="-7"/>
          <w:sz w:val="20"/>
        </w:rPr>
        <w:t xml:space="preserve"> </w:t>
      </w:r>
      <w:r>
        <w:rPr>
          <w:sz w:val="20"/>
        </w:rPr>
        <w:t>otro</w:t>
      </w:r>
      <w:r>
        <w:rPr>
          <w:spacing w:val="-7"/>
          <w:sz w:val="20"/>
        </w:rPr>
        <w:t xml:space="preserve"> </w:t>
      </w:r>
      <w:r>
        <w:rPr>
          <w:sz w:val="20"/>
        </w:rPr>
        <w:t>lado,</w:t>
      </w:r>
      <w:r>
        <w:rPr>
          <w:spacing w:val="-4"/>
          <w:sz w:val="20"/>
        </w:rPr>
        <w:t xml:space="preserve"> </w:t>
      </w:r>
      <w:r>
        <w:rPr>
          <w:sz w:val="20"/>
        </w:rPr>
        <w:t>en</w:t>
      </w:r>
      <w:r>
        <w:rPr>
          <w:spacing w:val="-4"/>
          <w:sz w:val="20"/>
        </w:rPr>
        <w:t xml:space="preserve"> </w:t>
      </w:r>
      <w:r>
        <w:rPr>
          <w:sz w:val="20"/>
        </w:rPr>
        <w:t>aquellos</w:t>
      </w:r>
      <w:r>
        <w:rPr>
          <w:spacing w:val="-5"/>
          <w:sz w:val="20"/>
        </w:rPr>
        <w:t xml:space="preserve"> </w:t>
      </w:r>
      <w:r>
        <w:rPr>
          <w:sz w:val="20"/>
        </w:rPr>
        <w:t>casos</w:t>
      </w:r>
      <w:r>
        <w:rPr>
          <w:spacing w:val="-4"/>
          <w:sz w:val="20"/>
        </w:rPr>
        <w:t xml:space="preserve"> </w:t>
      </w:r>
      <w:r>
        <w:rPr>
          <w:sz w:val="20"/>
        </w:rPr>
        <w:t>en</w:t>
      </w:r>
      <w:r>
        <w:rPr>
          <w:spacing w:val="-4"/>
          <w:sz w:val="20"/>
        </w:rPr>
        <w:t xml:space="preserve"> </w:t>
      </w:r>
      <w:r>
        <w:rPr>
          <w:sz w:val="20"/>
        </w:rPr>
        <w:t>los</w:t>
      </w:r>
      <w:r>
        <w:rPr>
          <w:spacing w:val="-6"/>
          <w:sz w:val="20"/>
        </w:rPr>
        <w:t xml:space="preserve"> </w:t>
      </w:r>
      <w:r>
        <w:rPr>
          <w:sz w:val="20"/>
        </w:rPr>
        <w:t>que</w:t>
      </w:r>
      <w:r>
        <w:rPr>
          <w:spacing w:val="-7"/>
          <w:sz w:val="20"/>
        </w:rPr>
        <w:t xml:space="preserve"> </w:t>
      </w:r>
      <w:r>
        <w:rPr>
          <w:sz w:val="20"/>
        </w:rPr>
        <w:t>se</w:t>
      </w:r>
      <w:r>
        <w:rPr>
          <w:spacing w:val="-6"/>
          <w:sz w:val="20"/>
        </w:rPr>
        <w:t xml:space="preserve"> </w:t>
      </w:r>
      <w:r>
        <w:rPr>
          <w:sz w:val="20"/>
        </w:rPr>
        <w:t>logró</w:t>
      </w:r>
      <w:r>
        <w:rPr>
          <w:spacing w:val="-4"/>
          <w:sz w:val="20"/>
        </w:rPr>
        <w:t xml:space="preserve"> </w:t>
      </w:r>
      <w:r>
        <w:rPr>
          <w:sz w:val="20"/>
        </w:rPr>
        <w:t>sentenci</w:t>
      </w:r>
      <w:r>
        <w:rPr>
          <w:sz w:val="20"/>
        </w:rPr>
        <w:t>a,</w:t>
      </w:r>
      <w:r>
        <w:rPr>
          <w:spacing w:val="-6"/>
          <w:sz w:val="20"/>
        </w:rPr>
        <w:t xml:space="preserve"> </w:t>
      </w:r>
      <w:r>
        <w:rPr>
          <w:sz w:val="20"/>
        </w:rPr>
        <w:t>precisó</w:t>
      </w:r>
      <w:r>
        <w:rPr>
          <w:spacing w:val="-7"/>
          <w:sz w:val="20"/>
        </w:rPr>
        <w:t xml:space="preserve"> </w:t>
      </w:r>
      <w:r>
        <w:rPr>
          <w:sz w:val="20"/>
        </w:rPr>
        <w:t>que,</w:t>
      </w:r>
      <w:r>
        <w:rPr>
          <w:spacing w:val="-6"/>
          <w:sz w:val="20"/>
        </w:rPr>
        <w:t xml:space="preserve"> </w:t>
      </w:r>
      <w:r>
        <w:rPr>
          <w:sz w:val="20"/>
        </w:rPr>
        <w:t>contrario</w:t>
      </w:r>
      <w:r>
        <w:rPr>
          <w:spacing w:val="-6"/>
          <w:sz w:val="20"/>
        </w:rPr>
        <w:t xml:space="preserve"> </w:t>
      </w:r>
      <w:r>
        <w:rPr>
          <w:sz w:val="20"/>
        </w:rPr>
        <w:t>a lo</w:t>
      </w:r>
      <w:r>
        <w:rPr>
          <w:spacing w:val="-20"/>
          <w:sz w:val="20"/>
        </w:rPr>
        <w:t xml:space="preserve"> </w:t>
      </w:r>
      <w:r>
        <w:rPr>
          <w:sz w:val="20"/>
        </w:rPr>
        <w:t>manifestado</w:t>
      </w:r>
      <w:r>
        <w:rPr>
          <w:spacing w:val="-19"/>
          <w:sz w:val="20"/>
        </w:rPr>
        <w:t xml:space="preserve"> </w:t>
      </w:r>
      <w:r>
        <w:rPr>
          <w:sz w:val="20"/>
        </w:rPr>
        <w:t>por</w:t>
      </w:r>
      <w:r>
        <w:rPr>
          <w:spacing w:val="-19"/>
          <w:sz w:val="20"/>
        </w:rPr>
        <w:t xml:space="preserve"> </w:t>
      </w:r>
      <w:r>
        <w:rPr>
          <w:sz w:val="20"/>
        </w:rPr>
        <w:t>los</w:t>
      </w:r>
      <w:r>
        <w:rPr>
          <w:spacing w:val="-17"/>
          <w:sz w:val="20"/>
        </w:rPr>
        <w:t xml:space="preserve"> </w:t>
      </w:r>
      <w:r>
        <w:rPr>
          <w:sz w:val="20"/>
        </w:rPr>
        <w:t>representantes,</w:t>
      </w:r>
      <w:r>
        <w:rPr>
          <w:spacing w:val="-16"/>
          <w:sz w:val="20"/>
        </w:rPr>
        <w:t xml:space="preserve"> </w:t>
      </w:r>
      <w:r>
        <w:rPr>
          <w:sz w:val="20"/>
        </w:rPr>
        <w:t>el</w:t>
      </w:r>
      <w:r>
        <w:rPr>
          <w:spacing w:val="-18"/>
          <w:sz w:val="20"/>
        </w:rPr>
        <w:t xml:space="preserve"> </w:t>
      </w:r>
      <w:r>
        <w:rPr>
          <w:sz w:val="20"/>
        </w:rPr>
        <w:t>Estado</w:t>
      </w:r>
      <w:r>
        <w:rPr>
          <w:spacing w:val="-16"/>
          <w:sz w:val="20"/>
        </w:rPr>
        <w:t xml:space="preserve"> </w:t>
      </w:r>
      <w:r>
        <w:rPr>
          <w:sz w:val="20"/>
        </w:rPr>
        <w:t>ha</w:t>
      </w:r>
      <w:r>
        <w:rPr>
          <w:spacing w:val="-18"/>
          <w:sz w:val="20"/>
        </w:rPr>
        <w:t xml:space="preserve"> </w:t>
      </w:r>
      <w:r>
        <w:rPr>
          <w:sz w:val="20"/>
        </w:rPr>
        <w:t>actuado</w:t>
      </w:r>
      <w:r>
        <w:rPr>
          <w:spacing w:val="-19"/>
          <w:sz w:val="20"/>
        </w:rPr>
        <w:t xml:space="preserve"> </w:t>
      </w:r>
      <w:r>
        <w:rPr>
          <w:sz w:val="20"/>
        </w:rPr>
        <w:t>de</w:t>
      </w:r>
      <w:r>
        <w:rPr>
          <w:spacing w:val="-16"/>
          <w:sz w:val="20"/>
        </w:rPr>
        <w:t xml:space="preserve"> </w:t>
      </w:r>
      <w:r>
        <w:rPr>
          <w:sz w:val="20"/>
        </w:rPr>
        <w:t>forma</w:t>
      </w:r>
      <w:r>
        <w:rPr>
          <w:spacing w:val="-18"/>
          <w:sz w:val="20"/>
        </w:rPr>
        <w:t xml:space="preserve"> </w:t>
      </w:r>
      <w:r>
        <w:rPr>
          <w:sz w:val="20"/>
        </w:rPr>
        <w:t>diligente</w:t>
      </w:r>
      <w:r>
        <w:rPr>
          <w:spacing w:val="-16"/>
          <w:sz w:val="20"/>
        </w:rPr>
        <w:t xml:space="preserve"> </w:t>
      </w:r>
      <w:r>
        <w:rPr>
          <w:sz w:val="20"/>
        </w:rPr>
        <w:t>en</w:t>
      </w:r>
      <w:r>
        <w:rPr>
          <w:spacing w:val="-17"/>
          <w:sz w:val="20"/>
        </w:rPr>
        <w:t xml:space="preserve"> </w:t>
      </w:r>
      <w:r>
        <w:rPr>
          <w:sz w:val="20"/>
        </w:rPr>
        <w:t>la</w:t>
      </w:r>
      <w:r>
        <w:rPr>
          <w:spacing w:val="-17"/>
          <w:sz w:val="20"/>
        </w:rPr>
        <w:t xml:space="preserve"> </w:t>
      </w:r>
      <w:r>
        <w:rPr>
          <w:sz w:val="20"/>
        </w:rPr>
        <w:t>búsqueda de</w:t>
      </w:r>
      <w:r>
        <w:rPr>
          <w:spacing w:val="-16"/>
          <w:sz w:val="20"/>
        </w:rPr>
        <w:t xml:space="preserve"> </w:t>
      </w:r>
      <w:r>
        <w:rPr>
          <w:sz w:val="20"/>
        </w:rPr>
        <w:t>bienes</w:t>
      </w:r>
      <w:r>
        <w:rPr>
          <w:spacing w:val="-15"/>
          <w:sz w:val="20"/>
        </w:rPr>
        <w:t xml:space="preserve"> </w:t>
      </w:r>
      <w:r>
        <w:rPr>
          <w:sz w:val="20"/>
        </w:rPr>
        <w:t>para</w:t>
      </w:r>
      <w:r>
        <w:rPr>
          <w:spacing w:val="-15"/>
          <w:sz w:val="20"/>
        </w:rPr>
        <w:t xml:space="preserve"> </w:t>
      </w:r>
      <w:r>
        <w:rPr>
          <w:sz w:val="20"/>
        </w:rPr>
        <w:t>la</w:t>
      </w:r>
      <w:r>
        <w:rPr>
          <w:spacing w:val="-12"/>
          <w:sz w:val="20"/>
        </w:rPr>
        <w:t xml:space="preserve"> </w:t>
      </w:r>
      <w:r>
        <w:rPr>
          <w:sz w:val="20"/>
        </w:rPr>
        <w:t>ejecución</w:t>
      </w:r>
      <w:r>
        <w:rPr>
          <w:spacing w:val="-13"/>
          <w:sz w:val="20"/>
        </w:rPr>
        <w:t xml:space="preserve"> </w:t>
      </w:r>
      <w:r>
        <w:rPr>
          <w:sz w:val="20"/>
        </w:rPr>
        <w:t>de</w:t>
      </w:r>
      <w:r>
        <w:rPr>
          <w:spacing w:val="-16"/>
          <w:sz w:val="20"/>
        </w:rPr>
        <w:t xml:space="preserve"> </w:t>
      </w:r>
      <w:r>
        <w:rPr>
          <w:sz w:val="20"/>
        </w:rPr>
        <w:t>los</w:t>
      </w:r>
      <w:r>
        <w:rPr>
          <w:spacing w:val="-12"/>
          <w:sz w:val="20"/>
        </w:rPr>
        <w:t xml:space="preserve"> </w:t>
      </w:r>
      <w:r>
        <w:rPr>
          <w:sz w:val="20"/>
        </w:rPr>
        <w:t>fallos.</w:t>
      </w:r>
      <w:r>
        <w:rPr>
          <w:spacing w:val="-16"/>
          <w:sz w:val="20"/>
        </w:rPr>
        <w:t xml:space="preserve"> </w:t>
      </w:r>
      <w:r>
        <w:rPr>
          <w:sz w:val="20"/>
        </w:rPr>
        <w:t>De</w:t>
      </w:r>
      <w:r>
        <w:rPr>
          <w:spacing w:val="-15"/>
          <w:sz w:val="20"/>
        </w:rPr>
        <w:t xml:space="preserve"> </w:t>
      </w:r>
      <w:r>
        <w:rPr>
          <w:sz w:val="20"/>
        </w:rPr>
        <w:t>hecho,</w:t>
      </w:r>
      <w:r>
        <w:rPr>
          <w:spacing w:val="-16"/>
          <w:sz w:val="20"/>
        </w:rPr>
        <w:t xml:space="preserve"> </w:t>
      </w:r>
      <w:r>
        <w:rPr>
          <w:sz w:val="20"/>
        </w:rPr>
        <w:t>manifestó</w:t>
      </w:r>
      <w:r>
        <w:rPr>
          <w:spacing w:val="-15"/>
          <w:sz w:val="20"/>
        </w:rPr>
        <w:t xml:space="preserve"> </w:t>
      </w:r>
      <w:r>
        <w:rPr>
          <w:sz w:val="20"/>
        </w:rPr>
        <w:t>que,</w:t>
      </w:r>
      <w:r>
        <w:rPr>
          <w:spacing w:val="-13"/>
          <w:sz w:val="20"/>
        </w:rPr>
        <w:t xml:space="preserve"> </w:t>
      </w:r>
      <w:r>
        <w:rPr>
          <w:sz w:val="20"/>
        </w:rPr>
        <w:t>producto</w:t>
      </w:r>
      <w:r>
        <w:rPr>
          <w:spacing w:val="-15"/>
          <w:sz w:val="20"/>
        </w:rPr>
        <w:t xml:space="preserve"> </w:t>
      </w:r>
      <w:r>
        <w:rPr>
          <w:sz w:val="20"/>
        </w:rPr>
        <w:t>de</w:t>
      </w:r>
      <w:r>
        <w:rPr>
          <w:spacing w:val="-16"/>
          <w:sz w:val="20"/>
        </w:rPr>
        <w:t xml:space="preserve"> </w:t>
      </w:r>
      <w:r>
        <w:rPr>
          <w:sz w:val="20"/>
        </w:rPr>
        <w:t>esta</w:t>
      </w:r>
      <w:r>
        <w:rPr>
          <w:spacing w:val="-14"/>
          <w:sz w:val="20"/>
        </w:rPr>
        <w:t xml:space="preserve"> </w:t>
      </w:r>
      <w:r>
        <w:rPr>
          <w:sz w:val="20"/>
        </w:rPr>
        <w:t>actividad, se</w:t>
      </w:r>
      <w:r>
        <w:rPr>
          <w:spacing w:val="-7"/>
          <w:sz w:val="20"/>
        </w:rPr>
        <w:t xml:space="preserve"> </w:t>
      </w:r>
      <w:r>
        <w:rPr>
          <w:sz w:val="20"/>
        </w:rPr>
        <w:t>logró</w:t>
      </w:r>
      <w:r>
        <w:rPr>
          <w:spacing w:val="-4"/>
          <w:sz w:val="20"/>
        </w:rPr>
        <w:t xml:space="preserve"> </w:t>
      </w:r>
      <w:r>
        <w:rPr>
          <w:sz w:val="20"/>
        </w:rPr>
        <w:t>embargar</w:t>
      </w:r>
      <w:r>
        <w:rPr>
          <w:spacing w:val="-9"/>
          <w:sz w:val="20"/>
        </w:rPr>
        <w:t xml:space="preserve"> </w:t>
      </w:r>
      <w:r>
        <w:rPr>
          <w:sz w:val="20"/>
        </w:rPr>
        <w:t>un</w:t>
      </w:r>
      <w:r>
        <w:rPr>
          <w:spacing w:val="-7"/>
          <w:sz w:val="20"/>
        </w:rPr>
        <w:t xml:space="preserve"> </w:t>
      </w:r>
      <w:r>
        <w:rPr>
          <w:sz w:val="20"/>
        </w:rPr>
        <w:t>bien</w:t>
      </w:r>
      <w:r>
        <w:rPr>
          <w:spacing w:val="-7"/>
          <w:sz w:val="20"/>
        </w:rPr>
        <w:t xml:space="preserve"> </w:t>
      </w:r>
      <w:r>
        <w:rPr>
          <w:sz w:val="20"/>
        </w:rPr>
        <w:t>de</w:t>
      </w:r>
      <w:r>
        <w:rPr>
          <w:spacing w:val="-6"/>
          <w:sz w:val="20"/>
        </w:rPr>
        <w:t xml:space="preserve"> </w:t>
      </w:r>
      <w:r>
        <w:rPr>
          <w:sz w:val="20"/>
        </w:rPr>
        <w:t>Osvaldo</w:t>
      </w:r>
      <w:r>
        <w:rPr>
          <w:spacing w:val="-7"/>
          <w:sz w:val="20"/>
        </w:rPr>
        <w:t xml:space="preserve"> </w:t>
      </w:r>
      <w:r>
        <w:rPr>
          <w:sz w:val="20"/>
        </w:rPr>
        <w:t>Prazeres</w:t>
      </w:r>
      <w:r>
        <w:rPr>
          <w:spacing w:val="-6"/>
          <w:sz w:val="20"/>
        </w:rPr>
        <w:t xml:space="preserve"> </w:t>
      </w:r>
      <w:r>
        <w:rPr>
          <w:sz w:val="20"/>
        </w:rPr>
        <w:t>Bastos</w:t>
      </w:r>
      <w:r>
        <w:rPr>
          <w:spacing w:val="-6"/>
          <w:sz w:val="20"/>
        </w:rPr>
        <w:t xml:space="preserve"> </w:t>
      </w:r>
      <w:r>
        <w:rPr>
          <w:sz w:val="20"/>
        </w:rPr>
        <w:t>por</w:t>
      </w:r>
      <w:r>
        <w:rPr>
          <w:spacing w:val="-7"/>
          <w:sz w:val="20"/>
        </w:rPr>
        <w:t xml:space="preserve"> </w:t>
      </w:r>
      <w:r>
        <w:rPr>
          <w:sz w:val="20"/>
        </w:rPr>
        <w:t>el</w:t>
      </w:r>
      <w:r>
        <w:rPr>
          <w:spacing w:val="-4"/>
          <w:sz w:val="20"/>
        </w:rPr>
        <w:t xml:space="preserve"> </w:t>
      </w:r>
      <w:r>
        <w:rPr>
          <w:sz w:val="20"/>
        </w:rPr>
        <w:t>monto</w:t>
      </w:r>
      <w:r>
        <w:rPr>
          <w:spacing w:val="-9"/>
          <w:sz w:val="20"/>
        </w:rPr>
        <w:t xml:space="preserve"> </w:t>
      </w:r>
      <w:r>
        <w:rPr>
          <w:sz w:val="20"/>
        </w:rPr>
        <w:t>de</w:t>
      </w:r>
      <w:r>
        <w:rPr>
          <w:spacing w:val="-4"/>
          <w:sz w:val="20"/>
        </w:rPr>
        <w:t xml:space="preserve"> </w:t>
      </w:r>
      <w:r>
        <w:rPr>
          <w:sz w:val="20"/>
        </w:rPr>
        <w:t>R$</w:t>
      </w:r>
      <w:r>
        <w:rPr>
          <w:spacing w:val="-7"/>
          <w:sz w:val="20"/>
        </w:rPr>
        <w:t xml:space="preserve"> </w:t>
      </w:r>
      <w:r>
        <w:rPr>
          <w:sz w:val="20"/>
        </w:rPr>
        <w:t>1.800.000,</w:t>
      </w:r>
      <w:r>
        <w:rPr>
          <w:spacing w:val="-4"/>
          <w:sz w:val="20"/>
        </w:rPr>
        <w:t xml:space="preserve"> </w:t>
      </w:r>
      <w:r>
        <w:rPr>
          <w:sz w:val="20"/>
        </w:rPr>
        <w:t>el</w:t>
      </w:r>
      <w:r>
        <w:rPr>
          <w:spacing w:val="-5"/>
          <w:sz w:val="20"/>
        </w:rPr>
        <w:t xml:space="preserve"> </w:t>
      </w:r>
      <w:r>
        <w:rPr>
          <w:sz w:val="20"/>
        </w:rPr>
        <w:t>cual sería suficiente para el pago de las indemnizaciones a las</w:t>
      </w:r>
      <w:r>
        <w:rPr>
          <w:spacing w:val="-7"/>
          <w:sz w:val="20"/>
        </w:rPr>
        <w:t xml:space="preserve"> </w:t>
      </w:r>
      <w:r>
        <w:rPr>
          <w:sz w:val="20"/>
        </w:rPr>
        <w:t>víctimas.</w:t>
      </w:r>
    </w:p>
    <w:p w14:paraId="5501C88C" w14:textId="77777777" w:rsidR="00467FCA" w:rsidRDefault="00467FCA">
      <w:pPr>
        <w:pStyle w:val="Textoindependiente"/>
      </w:pPr>
    </w:p>
    <w:p w14:paraId="407777C1"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Finalmente,</w:t>
      </w:r>
      <w:r>
        <w:rPr>
          <w:spacing w:val="-5"/>
          <w:sz w:val="20"/>
        </w:rPr>
        <w:t xml:space="preserve"> </w:t>
      </w:r>
      <w:r>
        <w:rPr>
          <w:sz w:val="20"/>
        </w:rPr>
        <w:t>en</w:t>
      </w:r>
      <w:r>
        <w:rPr>
          <w:spacing w:val="-2"/>
          <w:sz w:val="20"/>
        </w:rPr>
        <w:t xml:space="preserve"> </w:t>
      </w:r>
      <w:r>
        <w:rPr>
          <w:sz w:val="20"/>
        </w:rPr>
        <w:t>relación con</w:t>
      </w:r>
      <w:r>
        <w:rPr>
          <w:spacing w:val="-2"/>
          <w:sz w:val="20"/>
        </w:rPr>
        <w:t xml:space="preserve"> </w:t>
      </w:r>
      <w:r>
        <w:rPr>
          <w:sz w:val="20"/>
        </w:rPr>
        <w:t>cada</w:t>
      </w:r>
      <w:r>
        <w:rPr>
          <w:spacing w:val="-5"/>
          <w:sz w:val="20"/>
        </w:rPr>
        <w:t xml:space="preserve"> </w:t>
      </w:r>
      <w:r>
        <w:rPr>
          <w:sz w:val="20"/>
        </w:rPr>
        <w:t>uno</w:t>
      </w:r>
      <w:r>
        <w:rPr>
          <w:spacing w:val="-5"/>
          <w:sz w:val="20"/>
        </w:rPr>
        <w:t xml:space="preserve"> </w:t>
      </w:r>
      <w:r>
        <w:rPr>
          <w:sz w:val="20"/>
        </w:rPr>
        <w:t>de</w:t>
      </w:r>
      <w:r>
        <w:rPr>
          <w:spacing w:val="-7"/>
          <w:sz w:val="20"/>
        </w:rPr>
        <w:t xml:space="preserve"> </w:t>
      </w:r>
      <w:r>
        <w:rPr>
          <w:sz w:val="20"/>
        </w:rPr>
        <w:t>los</w:t>
      </w:r>
      <w:r>
        <w:rPr>
          <w:spacing w:val="-4"/>
          <w:sz w:val="20"/>
        </w:rPr>
        <w:t xml:space="preserve"> </w:t>
      </w:r>
      <w:r>
        <w:rPr>
          <w:sz w:val="20"/>
        </w:rPr>
        <w:t>procesos</w:t>
      </w:r>
      <w:r>
        <w:rPr>
          <w:spacing w:val="-4"/>
          <w:sz w:val="20"/>
        </w:rPr>
        <w:t xml:space="preserve"> </w:t>
      </w:r>
      <w:r>
        <w:rPr>
          <w:sz w:val="20"/>
        </w:rPr>
        <w:t>judiciales,</w:t>
      </w:r>
      <w:r>
        <w:rPr>
          <w:spacing w:val="-4"/>
          <w:sz w:val="20"/>
        </w:rPr>
        <w:t xml:space="preserve"> </w:t>
      </w:r>
      <w:r>
        <w:rPr>
          <w:sz w:val="20"/>
        </w:rPr>
        <w:t>el</w:t>
      </w:r>
      <w:r>
        <w:rPr>
          <w:spacing w:val="-3"/>
          <w:sz w:val="20"/>
        </w:rPr>
        <w:t xml:space="preserve"> </w:t>
      </w:r>
      <w:r>
        <w:rPr>
          <w:sz w:val="20"/>
        </w:rPr>
        <w:t>Estado</w:t>
      </w:r>
      <w:r>
        <w:rPr>
          <w:spacing w:val="-6"/>
          <w:sz w:val="20"/>
        </w:rPr>
        <w:t xml:space="preserve"> </w:t>
      </w:r>
      <w:r>
        <w:rPr>
          <w:sz w:val="20"/>
        </w:rPr>
        <w:t>alegó</w:t>
      </w:r>
      <w:r>
        <w:rPr>
          <w:spacing w:val="-4"/>
          <w:sz w:val="20"/>
        </w:rPr>
        <w:t xml:space="preserve"> </w:t>
      </w:r>
      <w:r>
        <w:rPr>
          <w:sz w:val="20"/>
        </w:rPr>
        <w:t>que</w:t>
      </w:r>
      <w:r>
        <w:rPr>
          <w:spacing w:val="-5"/>
          <w:sz w:val="20"/>
        </w:rPr>
        <w:t xml:space="preserve"> </w:t>
      </w:r>
      <w:r>
        <w:rPr>
          <w:sz w:val="20"/>
        </w:rPr>
        <w:t>no tiene conocimiento de que las víctimas hayan cuestionado su trámite ante el Poder Judicial interno o ante las instancias administrativas disciplinarias</w:t>
      </w:r>
      <w:r>
        <w:rPr>
          <w:spacing w:val="-15"/>
          <w:sz w:val="20"/>
        </w:rPr>
        <w:t xml:space="preserve"> </w:t>
      </w:r>
      <w:r>
        <w:rPr>
          <w:sz w:val="20"/>
        </w:rPr>
        <w:t>existentes.</w:t>
      </w:r>
    </w:p>
    <w:p w14:paraId="4239F93C" w14:textId="77777777" w:rsidR="00467FCA" w:rsidRDefault="00467FCA">
      <w:pPr>
        <w:pStyle w:val="Textoindependiente"/>
        <w:spacing w:before="11"/>
        <w:rPr>
          <w:sz w:val="19"/>
        </w:rPr>
      </w:pPr>
    </w:p>
    <w:p w14:paraId="451B4FA2" w14:textId="77777777" w:rsidR="00467FCA" w:rsidRDefault="001B68EB">
      <w:pPr>
        <w:pStyle w:val="Ttulo1"/>
        <w:numPr>
          <w:ilvl w:val="0"/>
          <w:numId w:val="39"/>
        </w:numPr>
        <w:tabs>
          <w:tab w:val="left" w:pos="841"/>
        </w:tabs>
        <w:spacing w:before="1"/>
        <w:ind w:hanging="362"/>
      </w:pPr>
      <w:bookmarkStart w:id="408" w:name="_bookmark358"/>
      <w:bookmarkEnd w:id="408"/>
      <w:r>
        <w:t>Consideraciones de la</w:t>
      </w:r>
      <w:r>
        <w:rPr>
          <w:spacing w:val="-3"/>
        </w:rPr>
        <w:t xml:space="preserve"> </w:t>
      </w:r>
      <w:r>
        <w:t>Corte</w:t>
      </w:r>
    </w:p>
    <w:p w14:paraId="43CAD5B7" w14:textId="77777777" w:rsidR="00467FCA" w:rsidRDefault="00467FCA">
      <w:pPr>
        <w:pStyle w:val="Textoindependiente"/>
        <w:rPr>
          <w:b/>
        </w:rPr>
      </w:pPr>
    </w:p>
    <w:p w14:paraId="57759B7B" w14:textId="77777777" w:rsidR="00467FCA" w:rsidRDefault="001B68EB">
      <w:pPr>
        <w:pStyle w:val="Prrafodelista"/>
        <w:numPr>
          <w:ilvl w:val="0"/>
          <w:numId w:val="50"/>
        </w:numPr>
        <w:tabs>
          <w:tab w:val="left" w:pos="687"/>
        </w:tabs>
        <w:spacing w:before="1"/>
        <w:ind w:left="119" w:right="118" w:firstLine="0"/>
        <w:jc w:val="both"/>
        <w:rPr>
          <w:sz w:val="20"/>
        </w:rPr>
      </w:pPr>
      <w:r>
        <w:rPr>
          <w:sz w:val="20"/>
        </w:rPr>
        <w:t>Este Tribunal ha reiterado que las garantías judiciales com</w:t>
      </w:r>
      <w:r>
        <w:rPr>
          <w:sz w:val="20"/>
        </w:rPr>
        <w:t>prendidas en el artículo 8.1 de la Convención están íntimamente vinculadas al debido proceso legal, el cual “abarca las condiciones que deben cumplirse para asegurar la adecuada defensa de aquellos cuyos derechos</w:t>
      </w:r>
      <w:r>
        <w:rPr>
          <w:spacing w:val="-10"/>
          <w:sz w:val="20"/>
        </w:rPr>
        <w:t xml:space="preserve"> </w:t>
      </w:r>
      <w:r>
        <w:rPr>
          <w:sz w:val="20"/>
        </w:rPr>
        <w:t>u</w:t>
      </w:r>
      <w:r>
        <w:rPr>
          <w:spacing w:val="-4"/>
          <w:sz w:val="20"/>
        </w:rPr>
        <w:t xml:space="preserve"> </w:t>
      </w:r>
      <w:r>
        <w:rPr>
          <w:sz w:val="20"/>
        </w:rPr>
        <w:t>obligaciones</w:t>
      </w:r>
      <w:r>
        <w:rPr>
          <w:spacing w:val="-6"/>
          <w:sz w:val="20"/>
        </w:rPr>
        <w:t xml:space="preserve"> </w:t>
      </w:r>
      <w:r>
        <w:rPr>
          <w:sz w:val="20"/>
        </w:rPr>
        <w:t>están</w:t>
      </w:r>
      <w:r>
        <w:rPr>
          <w:spacing w:val="-8"/>
          <w:sz w:val="20"/>
        </w:rPr>
        <w:t xml:space="preserve"> </w:t>
      </w:r>
      <w:r>
        <w:rPr>
          <w:sz w:val="20"/>
        </w:rPr>
        <w:t>bajo</w:t>
      </w:r>
      <w:r>
        <w:rPr>
          <w:spacing w:val="-6"/>
          <w:sz w:val="20"/>
        </w:rPr>
        <w:t xml:space="preserve"> </w:t>
      </w:r>
      <w:r>
        <w:rPr>
          <w:sz w:val="20"/>
        </w:rPr>
        <w:t>consideración</w:t>
      </w:r>
      <w:r>
        <w:rPr>
          <w:spacing w:val="-7"/>
          <w:sz w:val="20"/>
        </w:rPr>
        <w:t xml:space="preserve"> </w:t>
      </w:r>
      <w:r>
        <w:rPr>
          <w:sz w:val="20"/>
        </w:rPr>
        <w:t>jud</w:t>
      </w:r>
      <w:r>
        <w:rPr>
          <w:sz w:val="20"/>
        </w:rPr>
        <w:t>icial”</w:t>
      </w:r>
      <w:hyperlink w:anchor="_bookmark361" w:history="1">
        <w:r>
          <w:rPr>
            <w:position w:val="7"/>
            <w:sz w:val="13"/>
          </w:rPr>
          <w:t>308</w:t>
        </w:r>
      </w:hyperlink>
      <w:r>
        <w:rPr>
          <w:sz w:val="20"/>
        </w:rPr>
        <w:t>.</w:t>
      </w:r>
      <w:r>
        <w:rPr>
          <w:spacing w:val="-9"/>
          <w:sz w:val="20"/>
        </w:rPr>
        <w:t xml:space="preserve"> </w:t>
      </w:r>
      <w:r>
        <w:rPr>
          <w:sz w:val="20"/>
        </w:rPr>
        <w:t>El</w:t>
      </w:r>
      <w:r>
        <w:rPr>
          <w:spacing w:val="-8"/>
          <w:sz w:val="20"/>
        </w:rPr>
        <w:t xml:space="preserve"> </w:t>
      </w:r>
      <w:r>
        <w:rPr>
          <w:sz w:val="20"/>
        </w:rPr>
        <w:t>artículo</w:t>
      </w:r>
      <w:r>
        <w:rPr>
          <w:spacing w:val="-9"/>
          <w:sz w:val="20"/>
        </w:rPr>
        <w:t xml:space="preserve"> </w:t>
      </w:r>
      <w:r>
        <w:rPr>
          <w:sz w:val="20"/>
        </w:rPr>
        <w:t>25</w:t>
      </w:r>
      <w:r>
        <w:rPr>
          <w:spacing w:val="-6"/>
          <w:sz w:val="20"/>
        </w:rPr>
        <w:t xml:space="preserve"> </w:t>
      </w:r>
      <w:r>
        <w:rPr>
          <w:sz w:val="20"/>
        </w:rPr>
        <w:t>de</w:t>
      </w:r>
      <w:r>
        <w:rPr>
          <w:spacing w:val="-9"/>
          <w:sz w:val="20"/>
        </w:rPr>
        <w:t xml:space="preserve"> </w:t>
      </w:r>
      <w:r>
        <w:rPr>
          <w:sz w:val="20"/>
        </w:rPr>
        <w:t>la</w:t>
      </w:r>
      <w:r>
        <w:rPr>
          <w:spacing w:val="-8"/>
          <w:sz w:val="20"/>
        </w:rPr>
        <w:t xml:space="preserve"> </w:t>
      </w:r>
      <w:r>
        <w:rPr>
          <w:sz w:val="20"/>
        </w:rPr>
        <w:t>Convención, a su vez, se refiere a “la obligación de los Estados Partes de garantizar, a todas las personas bajo su jurisdicción, un recurso judicial sencillo, rápido y efectivo ante juez o tr</w:t>
      </w:r>
      <w:r>
        <w:rPr>
          <w:sz w:val="20"/>
        </w:rPr>
        <w:t>ibunal competente”</w:t>
      </w:r>
      <w:hyperlink w:anchor="_bookmark362" w:history="1">
        <w:r>
          <w:rPr>
            <w:position w:val="7"/>
            <w:sz w:val="13"/>
          </w:rPr>
          <w:t>309</w:t>
        </w:r>
      </w:hyperlink>
      <w:r>
        <w:rPr>
          <w:sz w:val="20"/>
        </w:rPr>
        <w:t>.</w:t>
      </w:r>
    </w:p>
    <w:p w14:paraId="55DA9AE5" w14:textId="77777777" w:rsidR="00467FCA" w:rsidRDefault="00467FCA">
      <w:pPr>
        <w:pStyle w:val="Textoindependiente"/>
        <w:spacing w:before="11"/>
        <w:rPr>
          <w:sz w:val="19"/>
        </w:rPr>
      </w:pPr>
    </w:p>
    <w:p w14:paraId="3E751B88" w14:textId="77777777" w:rsidR="00467FCA" w:rsidRDefault="001B68EB">
      <w:pPr>
        <w:pStyle w:val="Prrafodelista"/>
        <w:numPr>
          <w:ilvl w:val="0"/>
          <w:numId w:val="50"/>
        </w:numPr>
        <w:tabs>
          <w:tab w:val="left" w:pos="687"/>
        </w:tabs>
        <w:ind w:right="118" w:firstLine="0"/>
        <w:jc w:val="both"/>
        <w:rPr>
          <w:sz w:val="20"/>
        </w:rPr>
      </w:pPr>
      <w:r>
        <w:rPr>
          <w:sz w:val="20"/>
        </w:rPr>
        <w:t>Los artículos 8, 25 y 1.1 se encuentran interrelacionados en la medida que “[l]os […] recursos judiciales efectivos […] deben ser sustanciados de conformidad con las reglas del debido proceso legal, […] dentro de la obligación general a cargo de los […] Es</w:t>
      </w:r>
      <w:r>
        <w:rPr>
          <w:sz w:val="20"/>
        </w:rPr>
        <w:t>tados, de garantizar el libre y pleno ejercicio de los derechos reconocidos por la Convención a toda persona</w:t>
      </w:r>
      <w:r>
        <w:rPr>
          <w:spacing w:val="-10"/>
          <w:sz w:val="20"/>
        </w:rPr>
        <w:t xml:space="preserve"> </w:t>
      </w:r>
      <w:r>
        <w:rPr>
          <w:sz w:val="20"/>
        </w:rPr>
        <w:t>que</w:t>
      </w:r>
      <w:r>
        <w:rPr>
          <w:spacing w:val="-8"/>
          <w:sz w:val="20"/>
        </w:rPr>
        <w:t xml:space="preserve"> </w:t>
      </w:r>
      <w:r>
        <w:rPr>
          <w:sz w:val="20"/>
        </w:rPr>
        <w:t>se</w:t>
      </w:r>
      <w:r>
        <w:rPr>
          <w:spacing w:val="-6"/>
          <w:sz w:val="20"/>
        </w:rPr>
        <w:t xml:space="preserve"> </w:t>
      </w:r>
      <w:r>
        <w:rPr>
          <w:sz w:val="20"/>
        </w:rPr>
        <w:t>encuentre</w:t>
      </w:r>
      <w:r>
        <w:rPr>
          <w:spacing w:val="-8"/>
          <w:sz w:val="20"/>
        </w:rPr>
        <w:t xml:space="preserve"> </w:t>
      </w:r>
      <w:r>
        <w:rPr>
          <w:sz w:val="20"/>
        </w:rPr>
        <w:t>bajo</w:t>
      </w:r>
      <w:r>
        <w:rPr>
          <w:spacing w:val="-9"/>
          <w:sz w:val="20"/>
        </w:rPr>
        <w:t xml:space="preserve"> </w:t>
      </w:r>
      <w:r>
        <w:rPr>
          <w:sz w:val="20"/>
        </w:rPr>
        <w:t>su</w:t>
      </w:r>
      <w:r>
        <w:rPr>
          <w:spacing w:val="-8"/>
          <w:sz w:val="20"/>
        </w:rPr>
        <w:t xml:space="preserve"> </w:t>
      </w:r>
      <w:r>
        <w:rPr>
          <w:sz w:val="20"/>
        </w:rPr>
        <w:t>jurisdicción</w:t>
      </w:r>
      <w:r>
        <w:rPr>
          <w:spacing w:val="-8"/>
          <w:sz w:val="20"/>
        </w:rPr>
        <w:t xml:space="preserve"> </w:t>
      </w:r>
      <w:r>
        <w:rPr>
          <w:sz w:val="20"/>
        </w:rPr>
        <w:t>(art.</w:t>
      </w:r>
      <w:r>
        <w:rPr>
          <w:spacing w:val="-10"/>
          <w:sz w:val="20"/>
        </w:rPr>
        <w:t xml:space="preserve"> </w:t>
      </w:r>
      <w:r>
        <w:rPr>
          <w:sz w:val="20"/>
        </w:rPr>
        <w:t>1)”</w:t>
      </w:r>
      <w:hyperlink w:anchor="_bookmark363" w:history="1">
        <w:r>
          <w:rPr>
            <w:position w:val="7"/>
            <w:sz w:val="13"/>
          </w:rPr>
          <w:t>310</w:t>
        </w:r>
      </w:hyperlink>
      <w:r>
        <w:rPr>
          <w:sz w:val="20"/>
        </w:rPr>
        <w:t>.</w:t>
      </w:r>
      <w:r>
        <w:rPr>
          <w:spacing w:val="-10"/>
          <w:sz w:val="20"/>
        </w:rPr>
        <w:t xml:space="preserve"> </w:t>
      </w:r>
      <w:r>
        <w:rPr>
          <w:sz w:val="20"/>
        </w:rPr>
        <w:t>La</w:t>
      </w:r>
      <w:r>
        <w:rPr>
          <w:spacing w:val="-8"/>
          <w:sz w:val="20"/>
        </w:rPr>
        <w:t xml:space="preserve"> </w:t>
      </w:r>
      <w:r>
        <w:rPr>
          <w:sz w:val="20"/>
        </w:rPr>
        <w:t>efectividad</w:t>
      </w:r>
      <w:r>
        <w:rPr>
          <w:spacing w:val="-9"/>
          <w:sz w:val="20"/>
        </w:rPr>
        <w:t xml:space="preserve"> </w:t>
      </w:r>
      <w:r>
        <w:rPr>
          <w:sz w:val="20"/>
        </w:rPr>
        <w:t>de</w:t>
      </w:r>
      <w:r>
        <w:rPr>
          <w:spacing w:val="-10"/>
          <w:sz w:val="20"/>
        </w:rPr>
        <w:t xml:space="preserve"> </w:t>
      </w:r>
      <w:r>
        <w:rPr>
          <w:sz w:val="20"/>
        </w:rPr>
        <w:t>los</w:t>
      </w:r>
      <w:r>
        <w:rPr>
          <w:spacing w:val="-8"/>
          <w:sz w:val="20"/>
        </w:rPr>
        <w:t xml:space="preserve"> </w:t>
      </w:r>
      <w:r>
        <w:rPr>
          <w:sz w:val="20"/>
        </w:rPr>
        <w:t>recursos</w:t>
      </w:r>
      <w:r>
        <w:rPr>
          <w:spacing w:val="-8"/>
          <w:sz w:val="20"/>
        </w:rPr>
        <w:t xml:space="preserve"> </w:t>
      </w:r>
      <w:r>
        <w:rPr>
          <w:sz w:val="20"/>
        </w:rPr>
        <w:t>debe</w:t>
      </w:r>
    </w:p>
    <w:p w14:paraId="2DAE102B" w14:textId="77777777" w:rsidR="00467FCA" w:rsidRDefault="001B68EB">
      <w:pPr>
        <w:pStyle w:val="Textoindependiente"/>
        <w:spacing w:before="8"/>
        <w:rPr>
          <w:sz w:val="25"/>
        </w:rPr>
      </w:pPr>
      <w:r>
        <w:pict w14:anchorId="7EC0883C">
          <v:shape id="_x0000_s1139" style="position:absolute;margin-left:1in;margin-top:17.85pt;width:2in;height:.1pt;z-index:-251599872;mso-wrap-distance-left:0;mso-wrap-distance-right:0;mso-position-horizontal-relative:page" coordorigin="1440,357" coordsize="2880,0" path="m1440,357r2880,e" filled="f" strokeweight=".6pt">
            <v:path arrowok="t"/>
            <w10:wrap type="topAndBottom" anchorx="page"/>
          </v:shape>
        </w:pict>
      </w:r>
    </w:p>
    <w:p w14:paraId="09AEFA58" w14:textId="77777777" w:rsidR="00467FCA" w:rsidRDefault="001B68EB">
      <w:pPr>
        <w:tabs>
          <w:tab w:val="left" w:pos="839"/>
        </w:tabs>
        <w:spacing w:before="74"/>
        <w:ind w:left="119" w:right="118"/>
        <w:jc w:val="both"/>
        <w:rPr>
          <w:sz w:val="16"/>
        </w:rPr>
      </w:pPr>
      <w:bookmarkStart w:id="409" w:name="_bookmark359"/>
      <w:bookmarkEnd w:id="409"/>
      <w:r>
        <w:rPr>
          <w:position w:val="6"/>
          <w:sz w:val="10"/>
        </w:rPr>
        <w:t>306</w:t>
      </w:r>
      <w:r>
        <w:rPr>
          <w:position w:val="6"/>
          <w:sz w:val="10"/>
        </w:rPr>
        <w:tab/>
      </w:r>
      <w:r>
        <w:rPr>
          <w:sz w:val="16"/>
        </w:rPr>
        <w:t>Este</w:t>
      </w:r>
      <w:r>
        <w:rPr>
          <w:spacing w:val="-8"/>
          <w:sz w:val="16"/>
        </w:rPr>
        <w:t xml:space="preserve"> </w:t>
      </w:r>
      <w:r>
        <w:rPr>
          <w:sz w:val="16"/>
        </w:rPr>
        <w:t>monto</w:t>
      </w:r>
      <w:r>
        <w:rPr>
          <w:spacing w:val="-9"/>
          <w:sz w:val="16"/>
        </w:rPr>
        <w:t xml:space="preserve"> </w:t>
      </w:r>
      <w:r>
        <w:rPr>
          <w:sz w:val="16"/>
        </w:rPr>
        <w:t>es</w:t>
      </w:r>
      <w:r>
        <w:rPr>
          <w:spacing w:val="-13"/>
          <w:sz w:val="16"/>
        </w:rPr>
        <w:t xml:space="preserve"> </w:t>
      </w:r>
      <w:r>
        <w:rPr>
          <w:sz w:val="16"/>
        </w:rPr>
        <w:t>resultado</w:t>
      </w:r>
      <w:r>
        <w:rPr>
          <w:spacing w:val="-11"/>
          <w:sz w:val="16"/>
        </w:rPr>
        <w:t xml:space="preserve"> </w:t>
      </w:r>
      <w:r>
        <w:rPr>
          <w:sz w:val="16"/>
        </w:rPr>
        <w:t>de</w:t>
      </w:r>
      <w:r>
        <w:rPr>
          <w:spacing w:val="-10"/>
          <w:sz w:val="16"/>
        </w:rPr>
        <w:t xml:space="preserve"> </w:t>
      </w:r>
      <w:r>
        <w:rPr>
          <w:sz w:val="16"/>
        </w:rPr>
        <w:t>la</w:t>
      </w:r>
      <w:r>
        <w:rPr>
          <w:spacing w:val="-14"/>
          <w:sz w:val="16"/>
        </w:rPr>
        <w:t xml:space="preserve"> </w:t>
      </w:r>
      <w:r>
        <w:rPr>
          <w:sz w:val="16"/>
        </w:rPr>
        <w:t>corrección</w:t>
      </w:r>
      <w:r>
        <w:rPr>
          <w:spacing w:val="-11"/>
          <w:sz w:val="16"/>
        </w:rPr>
        <w:t xml:space="preserve"> </w:t>
      </w:r>
      <w:r>
        <w:rPr>
          <w:sz w:val="16"/>
        </w:rPr>
        <w:t>monetaria</w:t>
      </w:r>
      <w:r>
        <w:rPr>
          <w:spacing w:val="-8"/>
          <w:sz w:val="16"/>
        </w:rPr>
        <w:t xml:space="preserve"> </w:t>
      </w:r>
      <w:r>
        <w:rPr>
          <w:sz w:val="16"/>
        </w:rPr>
        <w:t>aplicada</w:t>
      </w:r>
      <w:r>
        <w:rPr>
          <w:spacing w:val="-14"/>
          <w:sz w:val="16"/>
        </w:rPr>
        <w:t xml:space="preserve"> </w:t>
      </w:r>
      <w:r>
        <w:rPr>
          <w:sz w:val="16"/>
        </w:rPr>
        <w:t>al</w:t>
      </w:r>
      <w:r>
        <w:rPr>
          <w:spacing w:val="-8"/>
          <w:sz w:val="16"/>
        </w:rPr>
        <w:t xml:space="preserve"> </w:t>
      </w:r>
      <w:r>
        <w:rPr>
          <w:sz w:val="16"/>
        </w:rPr>
        <w:t>monto</w:t>
      </w:r>
      <w:r>
        <w:rPr>
          <w:spacing w:val="-11"/>
          <w:sz w:val="16"/>
        </w:rPr>
        <w:t xml:space="preserve"> </w:t>
      </w:r>
      <w:r>
        <w:rPr>
          <w:sz w:val="16"/>
        </w:rPr>
        <w:t>original</w:t>
      </w:r>
      <w:r>
        <w:rPr>
          <w:spacing w:val="-12"/>
          <w:sz w:val="16"/>
        </w:rPr>
        <w:t xml:space="preserve"> </w:t>
      </w:r>
      <w:r>
        <w:rPr>
          <w:sz w:val="16"/>
        </w:rPr>
        <w:t>(R$</w:t>
      </w:r>
      <w:r>
        <w:rPr>
          <w:spacing w:val="-9"/>
          <w:sz w:val="16"/>
        </w:rPr>
        <w:t xml:space="preserve"> </w:t>
      </w:r>
      <w:r>
        <w:rPr>
          <w:sz w:val="16"/>
        </w:rPr>
        <w:t>1.280.000,00)</w:t>
      </w:r>
      <w:r>
        <w:rPr>
          <w:spacing w:val="-11"/>
          <w:sz w:val="16"/>
        </w:rPr>
        <w:t xml:space="preserve"> </w:t>
      </w:r>
      <w:r>
        <w:rPr>
          <w:sz w:val="16"/>
        </w:rPr>
        <w:t>en</w:t>
      </w:r>
      <w:r>
        <w:rPr>
          <w:spacing w:val="-12"/>
          <w:sz w:val="16"/>
        </w:rPr>
        <w:t xml:space="preserve"> </w:t>
      </w:r>
      <w:r>
        <w:rPr>
          <w:sz w:val="16"/>
        </w:rPr>
        <w:t>octubre</w:t>
      </w:r>
      <w:bookmarkStart w:id="410" w:name="_bookmark360"/>
      <w:bookmarkEnd w:id="410"/>
      <w:r>
        <w:rPr>
          <w:sz w:val="16"/>
        </w:rPr>
        <w:t xml:space="preserve"> de</w:t>
      </w:r>
      <w:r>
        <w:rPr>
          <w:spacing w:val="-1"/>
          <w:sz w:val="16"/>
        </w:rPr>
        <w:t xml:space="preserve"> </w:t>
      </w:r>
      <w:r>
        <w:rPr>
          <w:sz w:val="16"/>
        </w:rPr>
        <w:t>2017.</w:t>
      </w:r>
    </w:p>
    <w:p w14:paraId="18C6C8B4" w14:textId="77777777" w:rsidR="00467FCA" w:rsidRDefault="001B68EB">
      <w:pPr>
        <w:tabs>
          <w:tab w:val="left" w:pos="839"/>
        </w:tabs>
        <w:ind w:left="120"/>
        <w:jc w:val="both"/>
        <w:rPr>
          <w:sz w:val="16"/>
        </w:rPr>
      </w:pPr>
      <w:r>
        <w:rPr>
          <w:position w:val="6"/>
          <w:sz w:val="10"/>
        </w:rPr>
        <w:t>307</w:t>
      </w:r>
      <w:r>
        <w:rPr>
          <w:position w:val="6"/>
          <w:sz w:val="10"/>
        </w:rPr>
        <w:tab/>
      </w:r>
      <w:r>
        <w:rPr>
          <w:sz w:val="16"/>
        </w:rPr>
        <w:t>La Unión Federal es el ente federativo dotado de personalidad jurídica correspondiente al Estado de</w:t>
      </w:r>
      <w:r>
        <w:rPr>
          <w:spacing w:val="-34"/>
          <w:sz w:val="16"/>
        </w:rPr>
        <w:t xml:space="preserve"> </w:t>
      </w:r>
      <w:r>
        <w:rPr>
          <w:sz w:val="16"/>
        </w:rPr>
        <w:t>Brasil.</w:t>
      </w:r>
    </w:p>
    <w:p w14:paraId="1D0E66DA" w14:textId="77777777" w:rsidR="00467FCA" w:rsidRDefault="001B68EB">
      <w:pPr>
        <w:tabs>
          <w:tab w:val="left" w:pos="839"/>
        </w:tabs>
        <w:ind w:left="119" w:right="114"/>
        <w:jc w:val="both"/>
        <w:rPr>
          <w:sz w:val="16"/>
        </w:rPr>
      </w:pPr>
      <w:bookmarkStart w:id="411" w:name="_bookmark361"/>
      <w:bookmarkEnd w:id="411"/>
      <w:r>
        <w:rPr>
          <w:position w:val="6"/>
          <w:sz w:val="10"/>
        </w:rPr>
        <w:t>308</w:t>
      </w:r>
      <w:r>
        <w:rPr>
          <w:position w:val="6"/>
          <w:sz w:val="10"/>
        </w:rPr>
        <w:tab/>
      </w:r>
      <w:r>
        <w:rPr>
          <w:i/>
          <w:sz w:val="16"/>
        </w:rPr>
        <w:t>Cfr.</w:t>
      </w:r>
      <w:r>
        <w:rPr>
          <w:i/>
          <w:spacing w:val="-16"/>
          <w:sz w:val="16"/>
        </w:rPr>
        <w:t xml:space="preserve"> </w:t>
      </w:r>
      <w:r>
        <w:rPr>
          <w:i/>
          <w:sz w:val="16"/>
        </w:rPr>
        <w:t>Garantías</w:t>
      </w:r>
      <w:r>
        <w:rPr>
          <w:i/>
          <w:spacing w:val="-14"/>
          <w:sz w:val="16"/>
        </w:rPr>
        <w:t xml:space="preserve"> </w:t>
      </w:r>
      <w:r>
        <w:rPr>
          <w:i/>
          <w:sz w:val="16"/>
        </w:rPr>
        <w:t>judiciales</w:t>
      </w:r>
      <w:r>
        <w:rPr>
          <w:i/>
          <w:spacing w:val="-17"/>
          <w:sz w:val="16"/>
        </w:rPr>
        <w:t xml:space="preserve"> </w:t>
      </w:r>
      <w:r>
        <w:rPr>
          <w:i/>
          <w:sz w:val="16"/>
        </w:rPr>
        <w:t>en</w:t>
      </w:r>
      <w:r>
        <w:rPr>
          <w:i/>
          <w:spacing w:val="-15"/>
          <w:sz w:val="16"/>
        </w:rPr>
        <w:t xml:space="preserve"> </w:t>
      </w:r>
      <w:r>
        <w:rPr>
          <w:i/>
          <w:sz w:val="16"/>
        </w:rPr>
        <w:t>estados</w:t>
      </w:r>
      <w:r>
        <w:rPr>
          <w:i/>
          <w:spacing w:val="-17"/>
          <w:sz w:val="16"/>
        </w:rPr>
        <w:t xml:space="preserve"> </w:t>
      </w:r>
      <w:r>
        <w:rPr>
          <w:i/>
          <w:sz w:val="16"/>
        </w:rPr>
        <w:t>de</w:t>
      </w:r>
      <w:r>
        <w:rPr>
          <w:i/>
          <w:spacing w:val="-17"/>
          <w:sz w:val="16"/>
        </w:rPr>
        <w:t xml:space="preserve"> </w:t>
      </w:r>
      <w:r>
        <w:rPr>
          <w:i/>
          <w:sz w:val="16"/>
        </w:rPr>
        <w:t>emergencia</w:t>
      </w:r>
      <w:r>
        <w:rPr>
          <w:i/>
          <w:spacing w:val="-15"/>
          <w:sz w:val="16"/>
        </w:rPr>
        <w:t xml:space="preserve"> </w:t>
      </w:r>
      <w:r>
        <w:rPr>
          <w:i/>
          <w:sz w:val="16"/>
        </w:rPr>
        <w:t>(Arts.</w:t>
      </w:r>
      <w:r>
        <w:rPr>
          <w:i/>
          <w:spacing w:val="-18"/>
          <w:sz w:val="16"/>
        </w:rPr>
        <w:t xml:space="preserve"> </w:t>
      </w:r>
      <w:r>
        <w:rPr>
          <w:i/>
          <w:sz w:val="16"/>
        </w:rPr>
        <w:t>27.2,</w:t>
      </w:r>
      <w:r>
        <w:rPr>
          <w:i/>
          <w:spacing w:val="-16"/>
          <w:sz w:val="16"/>
        </w:rPr>
        <w:t xml:space="preserve"> </w:t>
      </w:r>
      <w:r>
        <w:rPr>
          <w:i/>
          <w:sz w:val="16"/>
        </w:rPr>
        <w:t>25</w:t>
      </w:r>
      <w:r>
        <w:rPr>
          <w:i/>
          <w:spacing w:val="-16"/>
          <w:sz w:val="16"/>
        </w:rPr>
        <w:t xml:space="preserve"> </w:t>
      </w:r>
      <w:r>
        <w:rPr>
          <w:i/>
          <w:sz w:val="16"/>
        </w:rPr>
        <w:t>y</w:t>
      </w:r>
      <w:r>
        <w:rPr>
          <w:i/>
          <w:spacing w:val="-13"/>
          <w:sz w:val="16"/>
        </w:rPr>
        <w:t xml:space="preserve"> </w:t>
      </w:r>
      <w:r>
        <w:rPr>
          <w:i/>
          <w:sz w:val="16"/>
        </w:rPr>
        <w:t>8</w:t>
      </w:r>
      <w:r>
        <w:rPr>
          <w:i/>
          <w:spacing w:val="-16"/>
          <w:sz w:val="16"/>
        </w:rPr>
        <w:t xml:space="preserve"> </w:t>
      </w:r>
      <w:r>
        <w:rPr>
          <w:i/>
          <w:sz w:val="16"/>
        </w:rPr>
        <w:t>Convención</w:t>
      </w:r>
      <w:r>
        <w:rPr>
          <w:i/>
          <w:spacing w:val="-18"/>
          <w:sz w:val="16"/>
        </w:rPr>
        <w:t xml:space="preserve"> </w:t>
      </w:r>
      <w:r>
        <w:rPr>
          <w:i/>
          <w:sz w:val="16"/>
        </w:rPr>
        <w:t>Americana</w:t>
      </w:r>
      <w:r>
        <w:rPr>
          <w:i/>
          <w:spacing w:val="-15"/>
          <w:sz w:val="16"/>
        </w:rPr>
        <w:t xml:space="preserve"> </w:t>
      </w:r>
      <w:r>
        <w:rPr>
          <w:i/>
          <w:sz w:val="16"/>
        </w:rPr>
        <w:t>sobre</w:t>
      </w:r>
      <w:r>
        <w:rPr>
          <w:i/>
          <w:spacing w:val="-14"/>
          <w:sz w:val="16"/>
        </w:rPr>
        <w:t xml:space="preserve"> </w:t>
      </w:r>
      <w:r>
        <w:rPr>
          <w:i/>
          <w:sz w:val="16"/>
        </w:rPr>
        <w:t xml:space="preserve">Derechos Humanos). </w:t>
      </w:r>
      <w:r>
        <w:rPr>
          <w:sz w:val="16"/>
        </w:rPr>
        <w:t xml:space="preserve">Opinión Consultiva OC-9/87 de 6 de octubre de 1987. Serie A No. 9, párr. 28; </w:t>
      </w:r>
      <w:r>
        <w:rPr>
          <w:i/>
          <w:sz w:val="16"/>
        </w:rPr>
        <w:t>Caso del Tribunal Constitucional</w:t>
      </w:r>
      <w:r>
        <w:rPr>
          <w:i/>
          <w:spacing w:val="-4"/>
          <w:sz w:val="16"/>
        </w:rPr>
        <w:t xml:space="preserve"> </w:t>
      </w:r>
      <w:r>
        <w:rPr>
          <w:i/>
          <w:sz w:val="16"/>
        </w:rPr>
        <w:t>Vs.</w:t>
      </w:r>
      <w:r>
        <w:rPr>
          <w:i/>
          <w:spacing w:val="-6"/>
          <w:sz w:val="16"/>
        </w:rPr>
        <w:t xml:space="preserve"> </w:t>
      </w:r>
      <w:r>
        <w:rPr>
          <w:i/>
          <w:sz w:val="16"/>
        </w:rPr>
        <w:t>Perú.</w:t>
      </w:r>
      <w:r>
        <w:rPr>
          <w:i/>
          <w:spacing w:val="-5"/>
          <w:sz w:val="16"/>
        </w:rPr>
        <w:t xml:space="preserve"> </w:t>
      </w:r>
      <w:r>
        <w:rPr>
          <w:i/>
          <w:sz w:val="16"/>
        </w:rPr>
        <w:t>Fondo,</w:t>
      </w:r>
      <w:r>
        <w:rPr>
          <w:i/>
          <w:spacing w:val="-3"/>
          <w:sz w:val="16"/>
        </w:rPr>
        <w:t xml:space="preserve"> </w:t>
      </w:r>
      <w:r>
        <w:rPr>
          <w:i/>
          <w:sz w:val="16"/>
        </w:rPr>
        <w:t>Reparaciones</w:t>
      </w:r>
      <w:r>
        <w:rPr>
          <w:i/>
          <w:spacing w:val="-4"/>
          <w:sz w:val="16"/>
        </w:rPr>
        <w:t xml:space="preserve"> </w:t>
      </w:r>
      <w:r>
        <w:rPr>
          <w:i/>
          <w:sz w:val="16"/>
        </w:rPr>
        <w:t>y</w:t>
      </w:r>
      <w:r>
        <w:rPr>
          <w:i/>
          <w:spacing w:val="-6"/>
          <w:sz w:val="16"/>
        </w:rPr>
        <w:t xml:space="preserve"> </w:t>
      </w:r>
      <w:r>
        <w:rPr>
          <w:i/>
          <w:sz w:val="16"/>
        </w:rPr>
        <w:t>Costas</w:t>
      </w:r>
      <w:r>
        <w:rPr>
          <w:sz w:val="16"/>
        </w:rPr>
        <w:t>.</w:t>
      </w:r>
      <w:r>
        <w:rPr>
          <w:spacing w:val="-5"/>
          <w:sz w:val="16"/>
        </w:rPr>
        <w:t xml:space="preserve"> </w:t>
      </w:r>
      <w:r>
        <w:rPr>
          <w:sz w:val="16"/>
        </w:rPr>
        <w:t>Sentencia</w:t>
      </w:r>
      <w:r>
        <w:rPr>
          <w:spacing w:val="-3"/>
          <w:sz w:val="16"/>
        </w:rPr>
        <w:t xml:space="preserve"> </w:t>
      </w:r>
      <w:r>
        <w:rPr>
          <w:sz w:val="16"/>
        </w:rPr>
        <w:t>de</w:t>
      </w:r>
      <w:r>
        <w:rPr>
          <w:spacing w:val="-6"/>
          <w:sz w:val="16"/>
        </w:rPr>
        <w:t xml:space="preserve"> </w:t>
      </w:r>
      <w:r>
        <w:rPr>
          <w:sz w:val="16"/>
        </w:rPr>
        <w:t>31</w:t>
      </w:r>
      <w:r>
        <w:rPr>
          <w:spacing w:val="-4"/>
          <w:sz w:val="16"/>
        </w:rPr>
        <w:t xml:space="preserve"> </w:t>
      </w:r>
      <w:r>
        <w:rPr>
          <w:sz w:val="16"/>
        </w:rPr>
        <w:t>de</w:t>
      </w:r>
      <w:r>
        <w:rPr>
          <w:spacing w:val="-4"/>
          <w:sz w:val="16"/>
        </w:rPr>
        <w:t xml:space="preserve"> </w:t>
      </w:r>
      <w:r>
        <w:rPr>
          <w:sz w:val="16"/>
        </w:rPr>
        <w:t>enero</w:t>
      </w:r>
      <w:r>
        <w:rPr>
          <w:spacing w:val="-4"/>
          <w:sz w:val="16"/>
        </w:rPr>
        <w:t xml:space="preserve"> </w:t>
      </w:r>
      <w:r>
        <w:rPr>
          <w:sz w:val="16"/>
        </w:rPr>
        <w:t>de</w:t>
      </w:r>
      <w:r>
        <w:rPr>
          <w:spacing w:val="-6"/>
          <w:sz w:val="16"/>
        </w:rPr>
        <w:t xml:space="preserve"> </w:t>
      </w:r>
      <w:r>
        <w:rPr>
          <w:sz w:val="16"/>
        </w:rPr>
        <w:t>2001,</w:t>
      </w:r>
      <w:r>
        <w:rPr>
          <w:spacing w:val="-6"/>
          <w:sz w:val="16"/>
        </w:rPr>
        <w:t xml:space="preserve"> </w:t>
      </w:r>
      <w:r>
        <w:rPr>
          <w:sz w:val="16"/>
        </w:rPr>
        <w:t>Serie</w:t>
      </w:r>
      <w:r>
        <w:rPr>
          <w:spacing w:val="-4"/>
          <w:sz w:val="16"/>
        </w:rPr>
        <w:t xml:space="preserve"> </w:t>
      </w:r>
      <w:r>
        <w:rPr>
          <w:sz w:val="16"/>
        </w:rPr>
        <w:t>C</w:t>
      </w:r>
      <w:r>
        <w:rPr>
          <w:spacing w:val="-4"/>
          <w:sz w:val="16"/>
        </w:rPr>
        <w:t xml:space="preserve"> </w:t>
      </w:r>
      <w:r>
        <w:rPr>
          <w:sz w:val="16"/>
        </w:rPr>
        <w:t>No.</w:t>
      </w:r>
      <w:r>
        <w:rPr>
          <w:spacing w:val="-5"/>
          <w:sz w:val="16"/>
        </w:rPr>
        <w:t xml:space="preserve"> </w:t>
      </w:r>
      <w:r>
        <w:rPr>
          <w:sz w:val="16"/>
        </w:rPr>
        <w:t>71,</w:t>
      </w:r>
      <w:r>
        <w:rPr>
          <w:spacing w:val="-6"/>
          <w:sz w:val="16"/>
        </w:rPr>
        <w:t xml:space="preserve"> </w:t>
      </w:r>
      <w:r>
        <w:rPr>
          <w:sz w:val="16"/>
        </w:rPr>
        <w:t>párrs.</w:t>
      </w:r>
      <w:r>
        <w:rPr>
          <w:spacing w:val="-5"/>
          <w:sz w:val="16"/>
        </w:rPr>
        <w:t xml:space="preserve"> </w:t>
      </w:r>
      <w:r>
        <w:rPr>
          <w:sz w:val="16"/>
        </w:rPr>
        <w:t xml:space="preserve">69 y 108, y </w:t>
      </w:r>
      <w:r>
        <w:rPr>
          <w:i/>
          <w:sz w:val="16"/>
        </w:rPr>
        <w:t>Caso Comunidades Indígenas Miembros de la Asociación Lhaka Honhat (Nuestra Tierra) Vs. Argentina</w:t>
      </w:r>
      <w:r>
        <w:rPr>
          <w:sz w:val="16"/>
        </w:rPr>
        <w:t xml:space="preserve">, </w:t>
      </w:r>
      <w:r>
        <w:rPr>
          <w:i/>
          <w:sz w:val="16"/>
        </w:rPr>
        <w:t>supra</w:t>
      </w:r>
      <w:r>
        <w:rPr>
          <w:sz w:val="16"/>
        </w:rPr>
        <w:t>, párr.</w:t>
      </w:r>
      <w:r>
        <w:rPr>
          <w:spacing w:val="-5"/>
          <w:sz w:val="16"/>
        </w:rPr>
        <w:t xml:space="preserve"> </w:t>
      </w:r>
      <w:r>
        <w:rPr>
          <w:sz w:val="16"/>
        </w:rPr>
        <w:t>294.</w:t>
      </w:r>
    </w:p>
    <w:p w14:paraId="4C8C7B48" w14:textId="77777777" w:rsidR="00467FCA" w:rsidRDefault="001B68EB">
      <w:pPr>
        <w:tabs>
          <w:tab w:val="left" w:pos="839"/>
        </w:tabs>
        <w:ind w:left="120" w:right="114"/>
        <w:jc w:val="both"/>
        <w:rPr>
          <w:sz w:val="16"/>
        </w:rPr>
      </w:pPr>
      <w:bookmarkStart w:id="412" w:name="_bookmark362"/>
      <w:bookmarkEnd w:id="412"/>
      <w:r>
        <w:rPr>
          <w:position w:val="6"/>
          <w:sz w:val="10"/>
        </w:rPr>
        <w:t>309</w:t>
      </w:r>
      <w:r>
        <w:rPr>
          <w:position w:val="6"/>
          <w:sz w:val="10"/>
        </w:rPr>
        <w:tab/>
      </w:r>
      <w:r>
        <w:rPr>
          <w:i/>
          <w:sz w:val="16"/>
        </w:rPr>
        <w:t>Cfr. Caso Mejía Idrovo Vs. Ecuador. Excepciones Preliminares, Fondo, Reparaciones y Costas</w:t>
      </w:r>
      <w:r>
        <w:rPr>
          <w:sz w:val="16"/>
        </w:rPr>
        <w:t xml:space="preserve">. Sentencia de 5 de julio de 2011, Serie C No. 228, párr. 95, y </w:t>
      </w:r>
      <w:r>
        <w:rPr>
          <w:i/>
          <w:sz w:val="16"/>
        </w:rPr>
        <w:t>Caso Comunidades Indígenas Miembros de la Asociación Lhaka Honhat (Nuestra Tierra) Vs. Argentina, supr</w:t>
      </w:r>
      <w:r>
        <w:rPr>
          <w:i/>
          <w:sz w:val="16"/>
        </w:rPr>
        <w:t>a</w:t>
      </w:r>
      <w:r>
        <w:rPr>
          <w:sz w:val="16"/>
        </w:rPr>
        <w:t>, párr.</w:t>
      </w:r>
      <w:r>
        <w:rPr>
          <w:spacing w:val="-8"/>
          <w:sz w:val="16"/>
        </w:rPr>
        <w:t xml:space="preserve"> </w:t>
      </w:r>
      <w:r>
        <w:rPr>
          <w:sz w:val="16"/>
        </w:rPr>
        <w:t>294.</w:t>
      </w:r>
    </w:p>
    <w:p w14:paraId="44625AF0" w14:textId="77777777" w:rsidR="00467FCA" w:rsidRDefault="001B68EB">
      <w:pPr>
        <w:tabs>
          <w:tab w:val="left" w:pos="839"/>
        </w:tabs>
        <w:ind w:left="120" w:right="116"/>
        <w:jc w:val="both"/>
        <w:rPr>
          <w:sz w:val="16"/>
        </w:rPr>
      </w:pPr>
      <w:bookmarkStart w:id="413" w:name="_bookmark363"/>
      <w:bookmarkEnd w:id="413"/>
      <w:r>
        <w:rPr>
          <w:position w:val="6"/>
          <w:sz w:val="10"/>
        </w:rPr>
        <w:t>310</w:t>
      </w:r>
      <w:r>
        <w:rPr>
          <w:position w:val="6"/>
          <w:sz w:val="10"/>
        </w:rPr>
        <w:tab/>
      </w:r>
      <w:r>
        <w:rPr>
          <w:i/>
          <w:sz w:val="16"/>
        </w:rPr>
        <w:t>Cfr</w:t>
      </w:r>
      <w:r>
        <w:rPr>
          <w:sz w:val="16"/>
        </w:rPr>
        <w:t xml:space="preserve">. </w:t>
      </w:r>
      <w:r>
        <w:rPr>
          <w:i/>
          <w:sz w:val="16"/>
        </w:rPr>
        <w:t>Caso Velásquez Rodríguez Vs. Honduras. Excepciones Preliminares, supra</w:t>
      </w:r>
      <w:r>
        <w:rPr>
          <w:sz w:val="16"/>
        </w:rPr>
        <w:t xml:space="preserve">, párr. 91, y </w:t>
      </w:r>
      <w:r>
        <w:rPr>
          <w:i/>
          <w:sz w:val="16"/>
        </w:rPr>
        <w:t xml:space="preserve">Caso Comunidades Indígenas Miembros de la Asociación Lhaka Honhat (Nuestra Tierra) Vs. Argentina, supra, </w:t>
      </w:r>
      <w:r>
        <w:rPr>
          <w:sz w:val="16"/>
        </w:rPr>
        <w:t>párr.</w:t>
      </w:r>
      <w:r>
        <w:rPr>
          <w:spacing w:val="-33"/>
          <w:sz w:val="16"/>
        </w:rPr>
        <w:t xml:space="preserve"> </w:t>
      </w:r>
      <w:r>
        <w:rPr>
          <w:sz w:val="16"/>
        </w:rPr>
        <w:t>294.</w:t>
      </w:r>
    </w:p>
    <w:p w14:paraId="0C47849A" w14:textId="77777777" w:rsidR="00467FCA" w:rsidRDefault="00467FCA">
      <w:pPr>
        <w:jc w:val="both"/>
        <w:rPr>
          <w:sz w:val="16"/>
        </w:rPr>
        <w:sectPr w:rsidR="00467FCA">
          <w:pgSz w:w="12240" w:h="15840"/>
          <w:pgMar w:top="1360" w:right="1320" w:bottom="1220" w:left="1320" w:header="0" w:footer="1037" w:gutter="0"/>
          <w:cols w:space="720"/>
        </w:sectPr>
      </w:pPr>
    </w:p>
    <w:p w14:paraId="2EB6D280" w14:textId="77777777" w:rsidR="00467FCA" w:rsidRDefault="001B68EB">
      <w:pPr>
        <w:pStyle w:val="Textoindependiente"/>
        <w:spacing w:before="80"/>
        <w:ind w:left="120" w:right="118"/>
        <w:jc w:val="both"/>
      </w:pPr>
      <w:r>
        <w:t>evaluarse</w:t>
      </w:r>
      <w:r>
        <w:rPr>
          <w:spacing w:val="-21"/>
        </w:rPr>
        <w:t xml:space="preserve"> </w:t>
      </w:r>
      <w:r>
        <w:t>en</w:t>
      </w:r>
      <w:r>
        <w:rPr>
          <w:spacing w:val="-17"/>
        </w:rPr>
        <w:t xml:space="preserve"> </w:t>
      </w:r>
      <w:r>
        <w:t>el</w:t>
      </w:r>
      <w:r>
        <w:rPr>
          <w:spacing w:val="-20"/>
        </w:rPr>
        <w:t xml:space="preserve"> </w:t>
      </w:r>
      <w:r>
        <w:t>cas</w:t>
      </w:r>
      <w:r>
        <w:t>o</w:t>
      </w:r>
      <w:r>
        <w:rPr>
          <w:spacing w:val="-22"/>
        </w:rPr>
        <w:t xml:space="preserve"> </w:t>
      </w:r>
      <w:r>
        <w:t>particular</w:t>
      </w:r>
      <w:r>
        <w:rPr>
          <w:spacing w:val="-22"/>
        </w:rPr>
        <w:t xml:space="preserve"> </w:t>
      </w:r>
      <w:r>
        <w:t>teniendo</w:t>
      </w:r>
      <w:r>
        <w:rPr>
          <w:spacing w:val="-20"/>
        </w:rPr>
        <w:t xml:space="preserve"> </w:t>
      </w:r>
      <w:r>
        <w:t>en</w:t>
      </w:r>
      <w:r>
        <w:rPr>
          <w:spacing w:val="-17"/>
        </w:rPr>
        <w:t xml:space="preserve"> </w:t>
      </w:r>
      <w:r>
        <w:t>cuenta</w:t>
      </w:r>
      <w:r>
        <w:rPr>
          <w:spacing w:val="-21"/>
        </w:rPr>
        <w:t xml:space="preserve"> </w:t>
      </w:r>
      <w:r>
        <w:t>si</w:t>
      </w:r>
      <w:r>
        <w:rPr>
          <w:spacing w:val="-20"/>
        </w:rPr>
        <w:t xml:space="preserve"> </w:t>
      </w:r>
      <w:r>
        <w:t>“existieron</w:t>
      </w:r>
      <w:r>
        <w:rPr>
          <w:spacing w:val="-18"/>
        </w:rPr>
        <w:t xml:space="preserve"> </w:t>
      </w:r>
      <w:r>
        <w:t>vías</w:t>
      </w:r>
      <w:r>
        <w:rPr>
          <w:spacing w:val="-22"/>
        </w:rPr>
        <w:t xml:space="preserve"> </w:t>
      </w:r>
      <w:r>
        <w:t>internas</w:t>
      </w:r>
      <w:r>
        <w:rPr>
          <w:spacing w:val="-22"/>
        </w:rPr>
        <w:t xml:space="preserve"> </w:t>
      </w:r>
      <w:r>
        <w:t>que</w:t>
      </w:r>
      <w:r>
        <w:rPr>
          <w:spacing w:val="-22"/>
        </w:rPr>
        <w:t xml:space="preserve"> </w:t>
      </w:r>
      <w:r>
        <w:t>garantizaran un verdadero acceso a la justicia para reclamar la reparación de la violación”</w:t>
      </w:r>
      <w:hyperlink w:anchor="_bookmark365" w:history="1">
        <w:r>
          <w:rPr>
            <w:position w:val="7"/>
            <w:sz w:val="13"/>
          </w:rPr>
          <w:t>311</w:t>
        </w:r>
      </w:hyperlink>
      <w:r>
        <w:t>. El acceso a la</w:t>
      </w:r>
      <w:r>
        <w:rPr>
          <w:spacing w:val="-18"/>
        </w:rPr>
        <w:t xml:space="preserve"> </w:t>
      </w:r>
      <w:r>
        <w:t>justicia</w:t>
      </w:r>
      <w:r>
        <w:rPr>
          <w:spacing w:val="-18"/>
        </w:rPr>
        <w:t xml:space="preserve"> </w:t>
      </w:r>
      <w:r>
        <w:t>puede</w:t>
      </w:r>
      <w:r>
        <w:rPr>
          <w:spacing w:val="-16"/>
        </w:rPr>
        <w:t xml:space="preserve"> </w:t>
      </w:r>
      <w:r>
        <w:t>ser</w:t>
      </w:r>
      <w:r>
        <w:rPr>
          <w:spacing w:val="-20"/>
        </w:rPr>
        <w:t xml:space="preserve"> </w:t>
      </w:r>
      <w:r>
        <w:t>verificado</w:t>
      </w:r>
      <w:r>
        <w:rPr>
          <w:spacing w:val="-16"/>
        </w:rPr>
        <w:t xml:space="preserve"> </w:t>
      </w:r>
      <w:r>
        <w:t>cuando</w:t>
      </w:r>
      <w:r>
        <w:rPr>
          <w:spacing w:val="-17"/>
        </w:rPr>
        <w:t xml:space="preserve"> </w:t>
      </w:r>
      <w:r>
        <w:t>el</w:t>
      </w:r>
      <w:r>
        <w:rPr>
          <w:spacing w:val="-18"/>
        </w:rPr>
        <w:t xml:space="preserve"> </w:t>
      </w:r>
      <w:r>
        <w:t>Estado</w:t>
      </w:r>
      <w:r>
        <w:rPr>
          <w:spacing w:val="-16"/>
        </w:rPr>
        <w:t xml:space="preserve"> </w:t>
      </w:r>
      <w:r>
        <w:t>garantiza,</w:t>
      </w:r>
      <w:r>
        <w:rPr>
          <w:spacing w:val="-19"/>
        </w:rPr>
        <w:t xml:space="preserve"> </w:t>
      </w:r>
      <w:r>
        <w:t>en</w:t>
      </w:r>
      <w:r>
        <w:rPr>
          <w:spacing w:val="-16"/>
        </w:rPr>
        <w:t xml:space="preserve"> </w:t>
      </w:r>
      <w:r>
        <w:t>un</w:t>
      </w:r>
      <w:r>
        <w:rPr>
          <w:spacing w:val="-17"/>
        </w:rPr>
        <w:t xml:space="preserve"> </w:t>
      </w:r>
      <w:r>
        <w:t>tiempo</w:t>
      </w:r>
      <w:r>
        <w:rPr>
          <w:spacing w:val="-15"/>
        </w:rPr>
        <w:t xml:space="preserve"> </w:t>
      </w:r>
      <w:r>
        <w:t>razonable,</w:t>
      </w:r>
      <w:r>
        <w:rPr>
          <w:spacing w:val="-18"/>
        </w:rPr>
        <w:t xml:space="preserve"> </w:t>
      </w:r>
      <w:r>
        <w:t>el</w:t>
      </w:r>
      <w:r>
        <w:rPr>
          <w:spacing w:val="-18"/>
        </w:rPr>
        <w:t xml:space="preserve"> </w:t>
      </w:r>
      <w:r>
        <w:t>derecho de</w:t>
      </w:r>
      <w:r>
        <w:rPr>
          <w:spacing w:val="-15"/>
        </w:rPr>
        <w:t xml:space="preserve"> </w:t>
      </w:r>
      <w:r>
        <w:t>las</w:t>
      </w:r>
      <w:r>
        <w:rPr>
          <w:spacing w:val="-13"/>
        </w:rPr>
        <w:t xml:space="preserve"> </w:t>
      </w:r>
      <w:r>
        <w:t>presuntas</w:t>
      </w:r>
      <w:r>
        <w:rPr>
          <w:spacing w:val="-13"/>
        </w:rPr>
        <w:t xml:space="preserve"> </w:t>
      </w:r>
      <w:r>
        <w:t>víctimas</w:t>
      </w:r>
      <w:r>
        <w:rPr>
          <w:spacing w:val="-13"/>
        </w:rPr>
        <w:t xml:space="preserve"> </w:t>
      </w:r>
      <w:r>
        <w:t>o</w:t>
      </w:r>
      <w:r>
        <w:rPr>
          <w:spacing w:val="-14"/>
        </w:rPr>
        <w:t xml:space="preserve"> </w:t>
      </w:r>
      <w:r>
        <w:t>sus</w:t>
      </w:r>
      <w:r>
        <w:rPr>
          <w:spacing w:val="-11"/>
        </w:rPr>
        <w:t xml:space="preserve"> </w:t>
      </w:r>
      <w:r>
        <w:t>familiares</w:t>
      </w:r>
      <w:r>
        <w:rPr>
          <w:spacing w:val="-13"/>
        </w:rPr>
        <w:t xml:space="preserve"> </w:t>
      </w:r>
      <w:r>
        <w:t>a</w:t>
      </w:r>
      <w:r>
        <w:rPr>
          <w:spacing w:val="-13"/>
        </w:rPr>
        <w:t xml:space="preserve"> </w:t>
      </w:r>
      <w:r>
        <w:t>que</w:t>
      </w:r>
      <w:r>
        <w:rPr>
          <w:spacing w:val="-11"/>
        </w:rPr>
        <w:t xml:space="preserve"> </w:t>
      </w:r>
      <w:r>
        <w:t>se</w:t>
      </w:r>
      <w:r>
        <w:rPr>
          <w:spacing w:val="-14"/>
        </w:rPr>
        <w:t xml:space="preserve"> </w:t>
      </w:r>
      <w:r>
        <w:t>lleven</w:t>
      </w:r>
      <w:r>
        <w:rPr>
          <w:spacing w:val="-12"/>
        </w:rPr>
        <w:t xml:space="preserve"> </w:t>
      </w:r>
      <w:r>
        <w:t>a</w:t>
      </w:r>
      <w:r>
        <w:rPr>
          <w:spacing w:val="-12"/>
        </w:rPr>
        <w:t xml:space="preserve"> </w:t>
      </w:r>
      <w:r>
        <w:t>cabo</w:t>
      </w:r>
      <w:r>
        <w:rPr>
          <w:spacing w:val="-14"/>
        </w:rPr>
        <w:t xml:space="preserve"> </w:t>
      </w:r>
      <w:r>
        <w:t>todas</w:t>
      </w:r>
      <w:r>
        <w:rPr>
          <w:spacing w:val="-13"/>
        </w:rPr>
        <w:t xml:space="preserve"> </w:t>
      </w:r>
      <w:r>
        <w:t>las</w:t>
      </w:r>
      <w:r>
        <w:rPr>
          <w:spacing w:val="-13"/>
        </w:rPr>
        <w:t xml:space="preserve"> </w:t>
      </w:r>
      <w:r>
        <w:t>medidas</w:t>
      </w:r>
      <w:r>
        <w:rPr>
          <w:spacing w:val="-14"/>
        </w:rPr>
        <w:t xml:space="preserve"> </w:t>
      </w:r>
      <w:r>
        <w:t>necesarias para conocer la verdad de lo sucedido y, en su caso, sancionar a los eventuales responsables</w:t>
      </w:r>
      <w:hyperlink w:anchor="_bookmark366" w:history="1">
        <w:r>
          <w:rPr>
            <w:position w:val="7"/>
            <w:sz w:val="13"/>
          </w:rPr>
          <w:t>312</w:t>
        </w:r>
      </w:hyperlink>
      <w:r>
        <w:t>.</w:t>
      </w:r>
    </w:p>
    <w:p w14:paraId="36B64813" w14:textId="77777777" w:rsidR="00467FCA" w:rsidRDefault="00467FCA">
      <w:pPr>
        <w:pStyle w:val="Textoindependiente"/>
      </w:pPr>
    </w:p>
    <w:p w14:paraId="09F7D700" w14:textId="77777777" w:rsidR="00467FCA" w:rsidRDefault="001B68EB">
      <w:pPr>
        <w:pStyle w:val="Prrafodelista"/>
        <w:numPr>
          <w:ilvl w:val="0"/>
          <w:numId w:val="50"/>
        </w:numPr>
        <w:tabs>
          <w:tab w:val="left" w:pos="687"/>
        </w:tabs>
        <w:ind w:left="119" w:right="119" w:firstLine="0"/>
        <w:jc w:val="both"/>
        <w:rPr>
          <w:sz w:val="20"/>
        </w:rPr>
      </w:pPr>
      <w:r>
        <w:rPr>
          <w:sz w:val="20"/>
        </w:rPr>
        <w:t>En este sentido, la Corte recuerda que los artículos 8 y 25 de la Convención también consagran el derecho de obtener respuesta a las demandas y solicitudes planteadas a las autoridades judiciales, ya que la eficacia del recurso implic</w:t>
      </w:r>
      <w:r>
        <w:rPr>
          <w:sz w:val="20"/>
        </w:rPr>
        <w:t>a una obligación positiva de proporcionar una respuesta en un plazo</w:t>
      </w:r>
      <w:r>
        <w:rPr>
          <w:spacing w:val="-1"/>
          <w:sz w:val="20"/>
        </w:rPr>
        <w:t xml:space="preserve"> </w:t>
      </w:r>
      <w:r>
        <w:rPr>
          <w:sz w:val="20"/>
        </w:rPr>
        <w:t>razonable</w:t>
      </w:r>
      <w:hyperlink w:anchor="_bookmark367" w:history="1">
        <w:r>
          <w:rPr>
            <w:position w:val="7"/>
            <w:sz w:val="13"/>
          </w:rPr>
          <w:t>313</w:t>
        </w:r>
      </w:hyperlink>
      <w:r>
        <w:rPr>
          <w:sz w:val="20"/>
        </w:rPr>
        <w:t>.</w:t>
      </w:r>
    </w:p>
    <w:p w14:paraId="03FFC32A" w14:textId="77777777" w:rsidR="00467FCA" w:rsidRDefault="00467FCA">
      <w:pPr>
        <w:pStyle w:val="Textoindependiente"/>
        <w:spacing w:before="11"/>
        <w:rPr>
          <w:sz w:val="19"/>
        </w:rPr>
      </w:pPr>
    </w:p>
    <w:p w14:paraId="05EEE386" w14:textId="77777777" w:rsidR="00467FCA" w:rsidRDefault="001B68EB">
      <w:pPr>
        <w:pStyle w:val="Prrafodelista"/>
        <w:numPr>
          <w:ilvl w:val="0"/>
          <w:numId w:val="50"/>
        </w:numPr>
        <w:tabs>
          <w:tab w:val="left" w:pos="687"/>
        </w:tabs>
        <w:spacing w:before="1"/>
        <w:ind w:left="119" w:right="117" w:firstLine="0"/>
        <w:jc w:val="both"/>
        <w:rPr>
          <w:sz w:val="20"/>
        </w:rPr>
      </w:pPr>
      <w:r>
        <w:rPr>
          <w:sz w:val="20"/>
        </w:rPr>
        <w:t>Tomando en cuenta los alegatos de las partes y de la Comisión, así como las características específicas de cada procedimiento y sus tiempos distintos de tramitación, la Corte estima pertinente analizar las alegadas violaciones a los derechos a las garantía</w:t>
      </w:r>
      <w:r>
        <w:rPr>
          <w:sz w:val="20"/>
        </w:rPr>
        <w:t>s judiciales y a la protección judicial respecto a cada tipología de los procesos internos. Para ese efecto, el presente capítulo está dividido de la siguiente forma: 1) la debida diligencia y el plazo razonable; 1.1. el proceso penal; 1.2. las causas civi</w:t>
      </w:r>
      <w:r>
        <w:rPr>
          <w:sz w:val="20"/>
        </w:rPr>
        <w:t>les; 1.3. los procesos</w:t>
      </w:r>
      <w:r>
        <w:rPr>
          <w:spacing w:val="-50"/>
          <w:sz w:val="20"/>
        </w:rPr>
        <w:t xml:space="preserve"> </w:t>
      </w:r>
      <w:r>
        <w:rPr>
          <w:sz w:val="20"/>
        </w:rPr>
        <w:t>laborales;</w:t>
      </w:r>
    </w:p>
    <w:p w14:paraId="389B472C" w14:textId="77777777" w:rsidR="00467FCA" w:rsidRDefault="001B68EB">
      <w:pPr>
        <w:pStyle w:val="Textoindependiente"/>
        <w:spacing w:before="1"/>
        <w:ind w:left="119"/>
        <w:jc w:val="both"/>
      </w:pPr>
      <w:r>
        <w:t>2) la protección judicial efectiva, y 3) conclusión.</w:t>
      </w:r>
    </w:p>
    <w:p w14:paraId="3806455E" w14:textId="77777777" w:rsidR="00467FCA" w:rsidRDefault="00467FCA">
      <w:pPr>
        <w:pStyle w:val="Textoindependiente"/>
      </w:pPr>
    </w:p>
    <w:p w14:paraId="639FED94" w14:textId="77777777" w:rsidR="00467FCA" w:rsidRDefault="001B68EB">
      <w:pPr>
        <w:pStyle w:val="Ttulo2"/>
        <w:numPr>
          <w:ilvl w:val="1"/>
          <w:numId w:val="39"/>
        </w:numPr>
        <w:tabs>
          <w:tab w:val="left" w:pos="1559"/>
          <w:tab w:val="left" w:pos="1560"/>
        </w:tabs>
        <w:spacing w:before="1"/>
      </w:pPr>
      <w:bookmarkStart w:id="414" w:name="B.1__La_debida_diligencia_y_el_plazo_raz"/>
      <w:bookmarkStart w:id="415" w:name="_bookmark364"/>
      <w:bookmarkEnd w:id="414"/>
      <w:bookmarkEnd w:id="415"/>
      <w:r>
        <w:t>La debida diligencia y el plazo</w:t>
      </w:r>
      <w:r>
        <w:rPr>
          <w:spacing w:val="-3"/>
        </w:rPr>
        <w:t xml:space="preserve"> </w:t>
      </w:r>
      <w:r>
        <w:t>razonable</w:t>
      </w:r>
    </w:p>
    <w:p w14:paraId="096A3D15" w14:textId="77777777" w:rsidR="00467FCA" w:rsidRDefault="00467FCA">
      <w:pPr>
        <w:pStyle w:val="Textoindependiente"/>
        <w:spacing w:before="10"/>
        <w:rPr>
          <w:b/>
          <w:i/>
          <w:sz w:val="19"/>
        </w:rPr>
      </w:pPr>
    </w:p>
    <w:p w14:paraId="4BB5FAD6" w14:textId="77777777" w:rsidR="00467FCA" w:rsidRDefault="001B68EB">
      <w:pPr>
        <w:pStyle w:val="Prrafodelista"/>
        <w:numPr>
          <w:ilvl w:val="0"/>
          <w:numId w:val="50"/>
        </w:numPr>
        <w:tabs>
          <w:tab w:val="left" w:pos="687"/>
        </w:tabs>
        <w:spacing w:before="1"/>
        <w:ind w:left="119" w:right="118" w:firstLine="0"/>
        <w:jc w:val="both"/>
        <w:rPr>
          <w:sz w:val="20"/>
        </w:rPr>
      </w:pPr>
      <w:r>
        <w:rPr>
          <w:sz w:val="20"/>
        </w:rPr>
        <w:t>La Corte ha indicado, haciendo referencia a la debida diligencia en procesos penales, que</w:t>
      </w:r>
      <w:r>
        <w:rPr>
          <w:spacing w:val="-9"/>
          <w:sz w:val="20"/>
        </w:rPr>
        <w:t xml:space="preserve"> </w:t>
      </w:r>
      <w:r>
        <w:rPr>
          <w:sz w:val="20"/>
        </w:rPr>
        <w:t>la</w:t>
      </w:r>
      <w:r>
        <w:rPr>
          <w:spacing w:val="-8"/>
          <w:sz w:val="20"/>
        </w:rPr>
        <w:t xml:space="preserve"> </w:t>
      </w:r>
      <w:r>
        <w:rPr>
          <w:sz w:val="20"/>
        </w:rPr>
        <w:t>investigación</w:t>
      </w:r>
      <w:r>
        <w:rPr>
          <w:spacing w:val="-6"/>
          <w:sz w:val="20"/>
        </w:rPr>
        <w:t xml:space="preserve"> </w:t>
      </w:r>
      <w:r>
        <w:rPr>
          <w:sz w:val="20"/>
        </w:rPr>
        <w:t>debe</w:t>
      </w:r>
      <w:r>
        <w:rPr>
          <w:spacing w:val="-7"/>
          <w:sz w:val="20"/>
        </w:rPr>
        <w:t xml:space="preserve"> </w:t>
      </w:r>
      <w:r>
        <w:rPr>
          <w:sz w:val="20"/>
        </w:rPr>
        <w:t>ser</w:t>
      </w:r>
      <w:r>
        <w:rPr>
          <w:spacing w:val="-6"/>
          <w:sz w:val="20"/>
        </w:rPr>
        <w:t xml:space="preserve"> </w:t>
      </w:r>
      <w:r>
        <w:rPr>
          <w:sz w:val="20"/>
        </w:rPr>
        <w:t>realizada</w:t>
      </w:r>
      <w:r>
        <w:rPr>
          <w:spacing w:val="-7"/>
          <w:sz w:val="20"/>
        </w:rPr>
        <w:t xml:space="preserve"> </w:t>
      </w:r>
      <w:r>
        <w:rPr>
          <w:sz w:val="20"/>
        </w:rPr>
        <w:t>por</w:t>
      </w:r>
      <w:r>
        <w:rPr>
          <w:spacing w:val="-9"/>
          <w:sz w:val="20"/>
        </w:rPr>
        <w:t xml:space="preserve"> </w:t>
      </w:r>
      <w:r>
        <w:rPr>
          <w:sz w:val="20"/>
        </w:rPr>
        <w:t>todos</w:t>
      </w:r>
      <w:r>
        <w:rPr>
          <w:spacing w:val="-8"/>
          <w:sz w:val="20"/>
        </w:rPr>
        <w:t xml:space="preserve"> </w:t>
      </w:r>
      <w:r>
        <w:rPr>
          <w:sz w:val="20"/>
        </w:rPr>
        <w:t>los</w:t>
      </w:r>
      <w:r>
        <w:rPr>
          <w:spacing w:val="-9"/>
          <w:sz w:val="20"/>
        </w:rPr>
        <w:t xml:space="preserve"> </w:t>
      </w:r>
      <w:r>
        <w:rPr>
          <w:sz w:val="20"/>
        </w:rPr>
        <w:t>medios</w:t>
      </w:r>
      <w:r>
        <w:rPr>
          <w:spacing w:val="-9"/>
          <w:sz w:val="20"/>
        </w:rPr>
        <w:t xml:space="preserve"> </w:t>
      </w:r>
      <w:r>
        <w:rPr>
          <w:sz w:val="20"/>
        </w:rPr>
        <w:t>legales</w:t>
      </w:r>
      <w:r>
        <w:rPr>
          <w:spacing w:val="-8"/>
          <w:sz w:val="20"/>
        </w:rPr>
        <w:t xml:space="preserve"> </w:t>
      </w:r>
      <w:r>
        <w:rPr>
          <w:sz w:val="20"/>
        </w:rPr>
        <w:t>disponibles</w:t>
      </w:r>
      <w:r>
        <w:rPr>
          <w:spacing w:val="-6"/>
          <w:sz w:val="20"/>
        </w:rPr>
        <w:t xml:space="preserve"> </w:t>
      </w:r>
      <w:r>
        <w:rPr>
          <w:sz w:val="20"/>
        </w:rPr>
        <w:t>y</w:t>
      </w:r>
      <w:r>
        <w:rPr>
          <w:spacing w:val="-5"/>
          <w:sz w:val="20"/>
        </w:rPr>
        <w:t xml:space="preserve"> </w:t>
      </w:r>
      <w:r>
        <w:rPr>
          <w:sz w:val="20"/>
        </w:rPr>
        <w:t>orientada</w:t>
      </w:r>
      <w:r>
        <w:rPr>
          <w:spacing w:val="-8"/>
          <w:sz w:val="20"/>
        </w:rPr>
        <w:t xml:space="preserve"> </w:t>
      </w:r>
      <w:r>
        <w:rPr>
          <w:sz w:val="20"/>
        </w:rPr>
        <w:t>a la</w:t>
      </w:r>
      <w:r>
        <w:rPr>
          <w:spacing w:val="-9"/>
          <w:sz w:val="20"/>
        </w:rPr>
        <w:t xml:space="preserve"> </w:t>
      </w:r>
      <w:r>
        <w:rPr>
          <w:sz w:val="20"/>
        </w:rPr>
        <w:t>determinación</w:t>
      </w:r>
      <w:r>
        <w:rPr>
          <w:spacing w:val="-7"/>
          <w:sz w:val="20"/>
        </w:rPr>
        <w:t xml:space="preserve"> </w:t>
      </w:r>
      <w:r>
        <w:rPr>
          <w:sz w:val="20"/>
        </w:rPr>
        <w:t>de</w:t>
      </w:r>
      <w:r>
        <w:rPr>
          <w:spacing w:val="-10"/>
          <w:sz w:val="20"/>
        </w:rPr>
        <w:t xml:space="preserve"> </w:t>
      </w:r>
      <w:r>
        <w:rPr>
          <w:sz w:val="20"/>
        </w:rPr>
        <w:t>la</w:t>
      </w:r>
      <w:r>
        <w:rPr>
          <w:spacing w:val="-5"/>
          <w:sz w:val="20"/>
        </w:rPr>
        <w:t xml:space="preserve"> </w:t>
      </w:r>
      <w:r>
        <w:rPr>
          <w:sz w:val="20"/>
        </w:rPr>
        <w:t>verdad</w:t>
      </w:r>
      <w:r>
        <w:rPr>
          <w:spacing w:val="-6"/>
          <w:sz w:val="20"/>
        </w:rPr>
        <w:t xml:space="preserve"> </w:t>
      </w:r>
      <w:r>
        <w:rPr>
          <w:sz w:val="20"/>
        </w:rPr>
        <w:t>y</w:t>
      </w:r>
      <w:r>
        <w:rPr>
          <w:spacing w:val="-9"/>
          <w:sz w:val="20"/>
        </w:rPr>
        <w:t xml:space="preserve"> </w:t>
      </w:r>
      <w:r>
        <w:rPr>
          <w:sz w:val="20"/>
        </w:rPr>
        <w:t>la</w:t>
      </w:r>
      <w:r>
        <w:rPr>
          <w:spacing w:val="-8"/>
          <w:sz w:val="20"/>
        </w:rPr>
        <w:t xml:space="preserve"> </w:t>
      </w:r>
      <w:r>
        <w:rPr>
          <w:sz w:val="20"/>
        </w:rPr>
        <w:t>persecución,</w:t>
      </w:r>
      <w:r>
        <w:rPr>
          <w:spacing w:val="-5"/>
          <w:sz w:val="20"/>
        </w:rPr>
        <w:t xml:space="preserve"> </w:t>
      </w:r>
      <w:r>
        <w:rPr>
          <w:sz w:val="20"/>
        </w:rPr>
        <w:t>captura,</w:t>
      </w:r>
      <w:r>
        <w:rPr>
          <w:spacing w:val="-6"/>
          <w:sz w:val="20"/>
        </w:rPr>
        <w:t xml:space="preserve"> </w:t>
      </w:r>
      <w:r>
        <w:rPr>
          <w:sz w:val="20"/>
        </w:rPr>
        <w:t>enjuiciamiento</w:t>
      </w:r>
      <w:r>
        <w:rPr>
          <w:spacing w:val="-7"/>
          <w:sz w:val="20"/>
        </w:rPr>
        <w:t xml:space="preserve"> </w:t>
      </w:r>
      <w:r>
        <w:rPr>
          <w:sz w:val="20"/>
        </w:rPr>
        <w:t>y</w:t>
      </w:r>
      <w:r>
        <w:rPr>
          <w:spacing w:val="-8"/>
          <w:sz w:val="20"/>
        </w:rPr>
        <w:t xml:space="preserve"> </w:t>
      </w:r>
      <w:r>
        <w:rPr>
          <w:sz w:val="20"/>
        </w:rPr>
        <w:t>eventual</w:t>
      </w:r>
      <w:r>
        <w:rPr>
          <w:spacing w:val="-9"/>
          <w:sz w:val="20"/>
        </w:rPr>
        <w:t xml:space="preserve"> </w:t>
      </w:r>
      <w:r>
        <w:rPr>
          <w:sz w:val="20"/>
        </w:rPr>
        <w:t>castigo</w:t>
      </w:r>
      <w:r>
        <w:rPr>
          <w:spacing w:val="-9"/>
          <w:sz w:val="20"/>
        </w:rPr>
        <w:t xml:space="preserve"> </w:t>
      </w:r>
      <w:r>
        <w:rPr>
          <w:sz w:val="20"/>
        </w:rPr>
        <w:t>de todos los responsables intelectuales y materiales de los hechos</w:t>
      </w:r>
      <w:hyperlink w:anchor="_bookmark368" w:history="1">
        <w:r>
          <w:rPr>
            <w:position w:val="7"/>
            <w:sz w:val="13"/>
          </w:rPr>
          <w:t>314</w:t>
        </w:r>
      </w:hyperlink>
      <w:r>
        <w:rPr>
          <w:sz w:val="20"/>
        </w:rPr>
        <w:t>. Igualmente, que la impunidad debe ser erradicada mediante la determinación de las responsabilidades tanto generales del Estado, como individuales -penales y de otra índole- de sus agentes o de particulares, de modo que para cumplir esta obligación, el Es</w:t>
      </w:r>
      <w:r>
        <w:rPr>
          <w:sz w:val="20"/>
        </w:rPr>
        <w:t xml:space="preserve">tado debe remover todos los obstáculos, </w:t>
      </w:r>
      <w:r>
        <w:rPr>
          <w:i/>
          <w:sz w:val="20"/>
        </w:rPr>
        <w:t xml:space="preserve">de facto </w:t>
      </w:r>
      <w:r>
        <w:rPr>
          <w:sz w:val="20"/>
        </w:rPr>
        <w:t xml:space="preserve">y </w:t>
      </w:r>
      <w:r>
        <w:rPr>
          <w:i/>
          <w:sz w:val="20"/>
        </w:rPr>
        <w:t>de jure</w:t>
      </w:r>
      <w:r>
        <w:rPr>
          <w:sz w:val="20"/>
        </w:rPr>
        <w:t>, que mantengan la</w:t>
      </w:r>
      <w:r>
        <w:rPr>
          <w:spacing w:val="-13"/>
          <w:sz w:val="20"/>
        </w:rPr>
        <w:t xml:space="preserve"> </w:t>
      </w:r>
      <w:r>
        <w:rPr>
          <w:sz w:val="20"/>
        </w:rPr>
        <w:t>impunidad</w:t>
      </w:r>
      <w:hyperlink w:anchor="_bookmark369" w:history="1">
        <w:r>
          <w:rPr>
            <w:position w:val="7"/>
            <w:sz w:val="13"/>
          </w:rPr>
          <w:t>315</w:t>
        </w:r>
      </w:hyperlink>
      <w:r>
        <w:rPr>
          <w:sz w:val="20"/>
        </w:rPr>
        <w:t>.</w:t>
      </w:r>
    </w:p>
    <w:p w14:paraId="1F64C407" w14:textId="77777777" w:rsidR="00467FCA" w:rsidRDefault="00467FCA">
      <w:pPr>
        <w:pStyle w:val="Textoindependiente"/>
      </w:pPr>
    </w:p>
    <w:p w14:paraId="77C103AD" w14:textId="77777777" w:rsidR="00467FCA" w:rsidRDefault="001B68EB">
      <w:pPr>
        <w:pStyle w:val="Prrafodelista"/>
        <w:numPr>
          <w:ilvl w:val="0"/>
          <w:numId w:val="50"/>
        </w:numPr>
        <w:tabs>
          <w:tab w:val="left" w:pos="687"/>
        </w:tabs>
        <w:spacing w:before="1"/>
        <w:ind w:left="119" w:right="119" w:firstLine="0"/>
        <w:jc w:val="both"/>
        <w:rPr>
          <w:sz w:val="20"/>
        </w:rPr>
      </w:pPr>
      <w:r>
        <w:rPr>
          <w:sz w:val="20"/>
        </w:rPr>
        <w:t>Como resulta de los hechos probados en el presente caso, la explosión de la fábrica de fuegos</w:t>
      </w:r>
      <w:r>
        <w:rPr>
          <w:spacing w:val="-9"/>
          <w:sz w:val="20"/>
        </w:rPr>
        <w:t xml:space="preserve"> </w:t>
      </w:r>
      <w:r>
        <w:rPr>
          <w:sz w:val="20"/>
        </w:rPr>
        <w:t>artificiales</w:t>
      </w:r>
      <w:r>
        <w:rPr>
          <w:spacing w:val="-6"/>
          <w:sz w:val="20"/>
        </w:rPr>
        <w:t xml:space="preserve"> </w:t>
      </w:r>
      <w:r>
        <w:rPr>
          <w:sz w:val="20"/>
        </w:rPr>
        <w:t>en</w:t>
      </w:r>
      <w:r>
        <w:rPr>
          <w:spacing w:val="-7"/>
          <w:sz w:val="20"/>
        </w:rPr>
        <w:t xml:space="preserve"> </w:t>
      </w:r>
      <w:r>
        <w:rPr>
          <w:sz w:val="20"/>
        </w:rPr>
        <w:t>Santo</w:t>
      </w:r>
      <w:r>
        <w:rPr>
          <w:spacing w:val="-9"/>
          <w:sz w:val="20"/>
        </w:rPr>
        <w:t xml:space="preserve"> </w:t>
      </w:r>
      <w:r>
        <w:rPr>
          <w:sz w:val="20"/>
        </w:rPr>
        <w:t>Antônio</w:t>
      </w:r>
      <w:r>
        <w:rPr>
          <w:spacing w:val="-9"/>
          <w:sz w:val="20"/>
        </w:rPr>
        <w:t xml:space="preserve"> </w:t>
      </w:r>
      <w:r>
        <w:rPr>
          <w:sz w:val="20"/>
        </w:rPr>
        <w:t>de</w:t>
      </w:r>
      <w:r>
        <w:rPr>
          <w:spacing w:val="-9"/>
          <w:sz w:val="20"/>
        </w:rPr>
        <w:t xml:space="preserve"> </w:t>
      </w:r>
      <w:r>
        <w:rPr>
          <w:sz w:val="20"/>
        </w:rPr>
        <w:t>Jesus</w:t>
      </w:r>
      <w:r>
        <w:rPr>
          <w:sz w:val="20"/>
        </w:rPr>
        <w:t>,</w:t>
      </w:r>
      <w:r>
        <w:rPr>
          <w:spacing w:val="-6"/>
          <w:sz w:val="20"/>
        </w:rPr>
        <w:t xml:space="preserve"> </w:t>
      </w:r>
      <w:r>
        <w:rPr>
          <w:sz w:val="20"/>
        </w:rPr>
        <w:t>sucedida</w:t>
      </w:r>
      <w:r>
        <w:rPr>
          <w:spacing w:val="-5"/>
          <w:sz w:val="20"/>
        </w:rPr>
        <w:t xml:space="preserve"> </w:t>
      </w:r>
      <w:r>
        <w:rPr>
          <w:sz w:val="20"/>
        </w:rPr>
        <w:t>el</w:t>
      </w:r>
      <w:r>
        <w:rPr>
          <w:spacing w:val="-7"/>
          <w:sz w:val="20"/>
        </w:rPr>
        <w:t xml:space="preserve"> </w:t>
      </w:r>
      <w:r>
        <w:rPr>
          <w:sz w:val="20"/>
        </w:rPr>
        <w:t>11</w:t>
      </w:r>
      <w:r>
        <w:rPr>
          <w:spacing w:val="-5"/>
          <w:sz w:val="20"/>
        </w:rPr>
        <w:t xml:space="preserve"> </w:t>
      </w:r>
      <w:r>
        <w:rPr>
          <w:sz w:val="20"/>
        </w:rPr>
        <w:t>de</w:t>
      </w:r>
      <w:r>
        <w:rPr>
          <w:spacing w:val="-5"/>
          <w:sz w:val="20"/>
        </w:rPr>
        <w:t xml:space="preserve"> </w:t>
      </w:r>
      <w:r>
        <w:rPr>
          <w:sz w:val="20"/>
        </w:rPr>
        <w:t>diciembre</w:t>
      </w:r>
      <w:r>
        <w:rPr>
          <w:spacing w:val="-9"/>
          <w:sz w:val="20"/>
        </w:rPr>
        <w:t xml:space="preserve"> </w:t>
      </w:r>
      <w:r>
        <w:rPr>
          <w:sz w:val="20"/>
        </w:rPr>
        <w:t>de</w:t>
      </w:r>
      <w:r>
        <w:rPr>
          <w:spacing w:val="-9"/>
          <w:sz w:val="20"/>
        </w:rPr>
        <w:t xml:space="preserve"> </w:t>
      </w:r>
      <w:r>
        <w:rPr>
          <w:sz w:val="20"/>
        </w:rPr>
        <w:t>1998,</w:t>
      </w:r>
      <w:r>
        <w:rPr>
          <w:spacing w:val="-6"/>
          <w:sz w:val="20"/>
        </w:rPr>
        <w:t xml:space="preserve"> </w:t>
      </w:r>
      <w:r>
        <w:rPr>
          <w:sz w:val="20"/>
        </w:rPr>
        <w:t>generó</w:t>
      </w:r>
      <w:r>
        <w:rPr>
          <w:spacing w:val="-9"/>
          <w:sz w:val="20"/>
        </w:rPr>
        <w:t xml:space="preserve"> </w:t>
      </w:r>
      <w:r>
        <w:rPr>
          <w:sz w:val="20"/>
        </w:rPr>
        <w:t>la apertura</w:t>
      </w:r>
      <w:r>
        <w:rPr>
          <w:spacing w:val="-16"/>
          <w:sz w:val="20"/>
        </w:rPr>
        <w:t xml:space="preserve"> </w:t>
      </w:r>
      <w:r>
        <w:rPr>
          <w:sz w:val="20"/>
        </w:rPr>
        <w:t>de</w:t>
      </w:r>
      <w:r>
        <w:rPr>
          <w:spacing w:val="-17"/>
          <w:sz w:val="20"/>
        </w:rPr>
        <w:t xml:space="preserve"> </w:t>
      </w:r>
      <w:r>
        <w:rPr>
          <w:sz w:val="20"/>
        </w:rPr>
        <w:t>procesos</w:t>
      </w:r>
      <w:r>
        <w:rPr>
          <w:spacing w:val="-14"/>
          <w:sz w:val="20"/>
        </w:rPr>
        <w:t xml:space="preserve"> </w:t>
      </w:r>
      <w:r>
        <w:rPr>
          <w:sz w:val="20"/>
        </w:rPr>
        <w:t>en</w:t>
      </w:r>
      <w:r>
        <w:rPr>
          <w:spacing w:val="-13"/>
          <w:sz w:val="20"/>
        </w:rPr>
        <w:t xml:space="preserve"> </w:t>
      </w:r>
      <w:r>
        <w:rPr>
          <w:sz w:val="20"/>
        </w:rPr>
        <w:t>las</w:t>
      </w:r>
      <w:r>
        <w:rPr>
          <w:spacing w:val="-17"/>
          <w:sz w:val="20"/>
        </w:rPr>
        <w:t xml:space="preserve"> </w:t>
      </w:r>
      <w:r>
        <w:rPr>
          <w:sz w:val="20"/>
        </w:rPr>
        <w:t>instancias</w:t>
      </w:r>
      <w:r>
        <w:rPr>
          <w:spacing w:val="-17"/>
          <w:sz w:val="20"/>
        </w:rPr>
        <w:t xml:space="preserve"> </w:t>
      </w:r>
      <w:r>
        <w:rPr>
          <w:sz w:val="20"/>
        </w:rPr>
        <w:t>administrativa,</w:t>
      </w:r>
      <w:r>
        <w:rPr>
          <w:spacing w:val="-17"/>
          <w:sz w:val="20"/>
        </w:rPr>
        <w:t xml:space="preserve"> </w:t>
      </w:r>
      <w:r>
        <w:rPr>
          <w:sz w:val="20"/>
        </w:rPr>
        <w:t>penal,</w:t>
      </w:r>
      <w:r>
        <w:rPr>
          <w:spacing w:val="-16"/>
          <w:sz w:val="20"/>
        </w:rPr>
        <w:t xml:space="preserve"> </w:t>
      </w:r>
      <w:r>
        <w:rPr>
          <w:sz w:val="20"/>
        </w:rPr>
        <w:t>civil,</w:t>
      </w:r>
      <w:r>
        <w:rPr>
          <w:spacing w:val="-17"/>
          <w:sz w:val="20"/>
        </w:rPr>
        <w:t xml:space="preserve"> </w:t>
      </w:r>
      <w:r>
        <w:rPr>
          <w:sz w:val="20"/>
        </w:rPr>
        <w:t>y</w:t>
      </w:r>
      <w:r>
        <w:rPr>
          <w:spacing w:val="-16"/>
          <w:sz w:val="20"/>
        </w:rPr>
        <w:t xml:space="preserve"> </w:t>
      </w:r>
      <w:r>
        <w:rPr>
          <w:sz w:val="20"/>
        </w:rPr>
        <w:t>laboral.</w:t>
      </w:r>
      <w:r>
        <w:rPr>
          <w:spacing w:val="-17"/>
          <w:sz w:val="20"/>
        </w:rPr>
        <w:t xml:space="preserve"> </w:t>
      </w:r>
      <w:r>
        <w:rPr>
          <w:sz w:val="20"/>
        </w:rPr>
        <w:t>La</w:t>
      </w:r>
      <w:r>
        <w:rPr>
          <w:spacing w:val="-16"/>
          <w:sz w:val="20"/>
        </w:rPr>
        <w:t xml:space="preserve"> </w:t>
      </w:r>
      <w:r>
        <w:rPr>
          <w:sz w:val="20"/>
        </w:rPr>
        <w:t>Corte</w:t>
      </w:r>
      <w:r>
        <w:rPr>
          <w:spacing w:val="-15"/>
          <w:sz w:val="20"/>
        </w:rPr>
        <w:t xml:space="preserve"> </w:t>
      </w:r>
      <w:r>
        <w:rPr>
          <w:sz w:val="20"/>
        </w:rPr>
        <w:t>entiende que la debida diligencia estará demostrada en el proceso penal si el Estado logra demostrar que ha emprendido</w:t>
      </w:r>
      <w:r>
        <w:rPr>
          <w:sz w:val="20"/>
        </w:rPr>
        <w:t xml:space="preserve"> todos los esfuerzos</w:t>
      </w:r>
      <w:hyperlink w:anchor="_bookmark370" w:history="1">
        <w:r>
          <w:rPr>
            <w:position w:val="7"/>
            <w:sz w:val="13"/>
          </w:rPr>
          <w:t>316</w:t>
        </w:r>
      </w:hyperlink>
      <w:r>
        <w:rPr>
          <w:sz w:val="20"/>
        </w:rPr>
        <w:t>, en un tiempo razonable, para permitir la determinación</w:t>
      </w:r>
      <w:r>
        <w:rPr>
          <w:spacing w:val="47"/>
          <w:sz w:val="20"/>
        </w:rPr>
        <w:t xml:space="preserve"> </w:t>
      </w:r>
      <w:r>
        <w:rPr>
          <w:sz w:val="20"/>
        </w:rPr>
        <w:t>de</w:t>
      </w:r>
      <w:r>
        <w:rPr>
          <w:spacing w:val="47"/>
          <w:sz w:val="20"/>
        </w:rPr>
        <w:t xml:space="preserve"> </w:t>
      </w:r>
      <w:r>
        <w:rPr>
          <w:sz w:val="20"/>
        </w:rPr>
        <w:t>la</w:t>
      </w:r>
      <w:r>
        <w:rPr>
          <w:spacing w:val="48"/>
          <w:sz w:val="20"/>
        </w:rPr>
        <w:t xml:space="preserve"> </w:t>
      </w:r>
      <w:r>
        <w:rPr>
          <w:sz w:val="20"/>
        </w:rPr>
        <w:t>verdad,</w:t>
      </w:r>
      <w:r>
        <w:rPr>
          <w:spacing w:val="47"/>
          <w:sz w:val="20"/>
        </w:rPr>
        <w:t xml:space="preserve"> </w:t>
      </w:r>
      <w:r>
        <w:rPr>
          <w:sz w:val="20"/>
        </w:rPr>
        <w:t>la</w:t>
      </w:r>
      <w:r>
        <w:rPr>
          <w:spacing w:val="48"/>
          <w:sz w:val="20"/>
        </w:rPr>
        <w:t xml:space="preserve"> </w:t>
      </w:r>
      <w:r>
        <w:rPr>
          <w:sz w:val="20"/>
        </w:rPr>
        <w:t>identificación</w:t>
      </w:r>
      <w:r>
        <w:rPr>
          <w:spacing w:val="50"/>
          <w:sz w:val="20"/>
        </w:rPr>
        <w:t xml:space="preserve"> </w:t>
      </w:r>
      <w:r>
        <w:rPr>
          <w:sz w:val="20"/>
        </w:rPr>
        <w:t>y</w:t>
      </w:r>
      <w:r>
        <w:rPr>
          <w:spacing w:val="47"/>
          <w:sz w:val="20"/>
        </w:rPr>
        <w:t xml:space="preserve"> </w:t>
      </w:r>
      <w:r>
        <w:rPr>
          <w:sz w:val="20"/>
        </w:rPr>
        <w:t>sanción</w:t>
      </w:r>
      <w:r>
        <w:rPr>
          <w:spacing w:val="48"/>
          <w:sz w:val="20"/>
        </w:rPr>
        <w:t xml:space="preserve"> </w:t>
      </w:r>
      <w:r>
        <w:rPr>
          <w:sz w:val="20"/>
        </w:rPr>
        <w:t>de</w:t>
      </w:r>
      <w:r>
        <w:rPr>
          <w:spacing w:val="46"/>
          <w:sz w:val="20"/>
        </w:rPr>
        <w:t xml:space="preserve"> </w:t>
      </w:r>
      <w:r>
        <w:rPr>
          <w:sz w:val="20"/>
        </w:rPr>
        <w:t>todos</w:t>
      </w:r>
      <w:r>
        <w:rPr>
          <w:spacing w:val="49"/>
          <w:sz w:val="20"/>
        </w:rPr>
        <w:t xml:space="preserve"> </w:t>
      </w:r>
      <w:r>
        <w:rPr>
          <w:sz w:val="20"/>
        </w:rPr>
        <w:t>los</w:t>
      </w:r>
      <w:r>
        <w:rPr>
          <w:spacing w:val="49"/>
          <w:sz w:val="20"/>
        </w:rPr>
        <w:t xml:space="preserve"> </w:t>
      </w:r>
      <w:r>
        <w:rPr>
          <w:sz w:val="20"/>
        </w:rPr>
        <w:t>responsables,</w:t>
      </w:r>
      <w:r>
        <w:rPr>
          <w:spacing w:val="49"/>
          <w:sz w:val="20"/>
        </w:rPr>
        <w:t xml:space="preserve"> </w:t>
      </w:r>
      <w:r>
        <w:rPr>
          <w:sz w:val="20"/>
        </w:rPr>
        <w:t>sean</w:t>
      </w:r>
    </w:p>
    <w:p w14:paraId="42B6FA76" w14:textId="77777777" w:rsidR="00467FCA" w:rsidRDefault="001B68EB">
      <w:pPr>
        <w:pStyle w:val="Textoindependiente"/>
        <w:spacing w:before="7"/>
        <w:rPr>
          <w:sz w:val="25"/>
        </w:rPr>
      </w:pPr>
      <w:r>
        <w:pict w14:anchorId="3B376A32">
          <v:shape id="_x0000_s1138" style="position:absolute;margin-left:1in;margin-top:17.8pt;width:2in;height:.1pt;z-index:-251598848;mso-wrap-distance-left:0;mso-wrap-distance-right:0;mso-position-horizontal-relative:page" coordorigin="1440,356" coordsize="2880,0" path="m1440,356r2880,e" filled="f" strokeweight=".6pt">
            <v:path arrowok="t"/>
            <w10:wrap type="topAndBottom" anchorx="page"/>
          </v:shape>
        </w:pict>
      </w:r>
    </w:p>
    <w:p w14:paraId="00B34907" w14:textId="77777777" w:rsidR="00467FCA" w:rsidRDefault="001B68EB">
      <w:pPr>
        <w:tabs>
          <w:tab w:val="left" w:pos="839"/>
        </w:tabs>
        <w:spacing w:before="74"/>
        <w:ind w:left="120" w:right="115"/>
        <w:jc w:val="both"/>
        <w:rPr>
          <w:sz w:val="16"/>
        </w:rPr>
      </w:pPr>
      <w:bookmarkStart w:id="416" w:name="_bookmark365"/>
      <w:bookmarkEnd w:id="416"/>
      <w:r>
        <w:rPr>
          <w:position w:val="6"/>
          <w:sz w:val="10"/>
        </w:rPr>
        <w:t>311</w:t>
      </w:r>
      <w:r>
        <w:rPr>
          <w:position w:val="6"/>
          <w:sz w:val="10"/>
        </w:rPr>
        <w:tab/>
      </w:r>
      <w:r>
        <w:rPr>
          <w:i/>
          <w:sz w:val="16"/>
        </w:rPr>
        <w:t>Cfr</w:t>
      </w:r>
      <w:r>
        <w:rPr>
          <w:sz w:val="16"/>
        </w:rPr>
        <w:t xml:space="preserve">. </w:t>
      </w:r>
      <w:r>
        <w:rPr>
          <w:i/>
          <w:sz w:val="16"/>
        </w:rPr>
        <w:t xml:space="preserve">Caso Goiburú y otros Vs. Paraguay. Fondo, Reparaciones y Costas. </w:t>
      </w:r>
      <w:r>
        <w:rPr>
          <w:sz w:val="16"/>
        </w:rPr>
        <w:t>Sentencia de 22 de septiembre de 2006.</w:t>
      </w:r>
      <w:r>
        <w:rPr>
          <w:spacing w:val="-6"/>
          <w:sz w:val="16"/>
        </w:rPr>
        <w:t xml:space="preserve"> </w:t>
      </w:r>
      <w:r>
        <w:rPr>
          <w:sz w:val="16"/>
        </w:rPr>
        <w:t>Serie</w:t>
      </w:r>
      <w:r>
        <w:rPr>
          <w:spacing w:val="-4"/>
          <w:sz w:val="16"/>
        </w:rPr>
        <w:t xml:space="preserve"> </w:t>
      </w:r>
      <w:r>
        <w:rPr>
          <w:sz w:val="16"/>
        </w:rPr>
        <w:t>C</w:t>
      </w:r>
      <w:r>
        <w:rPr>
          <w:spacing w:val="-4"/>
          <w:sz w:val="16"/>
        </w:rPr>
        <w:t xml:space="preserve"> </w:t>
      </w:r>
      <w:r>
        <w:rPr>
          <w:sz w:val="16"/>
        </w:rPr>
        <w:t>No.</w:t>
      </w:r>
      <w:r>
        <w:rPr>
          <w:spacing w:val="-5"/>
          <w:sz w:val="16"/>
        </w:rPr>
        <w:t xml:space="preserve"> </w:t>
      </w:r>
      <w:r>
        <w:rPr>
          <w:sz w:val="16"/>
        </w:rPr>
        <w:t>153,</w:t>
      </w:r>
      <w:r>
        <w:rPr>
          <w:spacing w:val="-6"/>
          <w:sz w:val="16"/>
        </w:rPr>
        <w:t xml:space="preserve"> </w:t>
      </w:r>
      <w:r>
        <w:rPr>
          <w:sz w:val="16"/>
        </w:rPr>
        <w:t>párr.</w:t>
      </w:r>
      <w:r>
        <w:rPr>
          <w:spacing w:val="-5"/>
          <w:sz w:val="16"/>
        </w:rPr>
        <w:t xml:space="preserve"> </w:t>
      </w:r>
      <w:r>
        <w:rPr>
          <w:sz w:val="16"/>
        </w:rPr>
        <w:t>120,</w:t>
      </w:r>
      <w:r>
        <w:rPr>
          <w:spacing w:val="-6"/>
          <w:sz w:val="16"/>
        </w:rPr>
        <w:t xml:space="preserve"> </w:t>
      </w:r>
      <w:r>
        <w:rPr>
          <w:sz w:val="16"/>
        </w:rPr>
        <w:t>y</w:t>
      </w:r>
      <w:r>
        <w:rPr>
          <w:spacing w:val="-3"/>
          <w:sz w:val="16"/>
        </w:rPr>
        <w:t xml:space="preserve"> </w:t>
      </w:r>
      <w:r>
        <w:rPr>
          <w:i/>
          <w:sz w:val="16"/>
        </w:rPr>
        <w:t>Caso</w:t>
      </w:r>
      <w:r>
        <w:rPr>
          <w:i/>
          <w:spacing w:val="-3"/>
          <w:sz w:val="16"/>
        </w:rPr>
        <w:t xml:space="preserve"> </w:t>
      </w:r>
      <w:r>
        <w:rPr>
          <w:i/>
          <w:sz w:val="16"/>
        </w:rPr>
        <w:t>Comunidades</w:t>
      </w:r>
      <w:r>
        <w:rPr>
          <w:i/>
          <w:spacing w:val="-5"/>
          <w:sz w:val="16"/>
        </w:rPr>
        <w:t xml:space="preserve"> </w:t>
      </w:r>
      <w:r>
        <w:rPr>
          <w:i/>
          <w:sz w:val="16"/>
        </w:rPr>
        <w:t>Indígenas</w:t>
      </w:r>
      <w:r>
        <w:rPr>
          <w:i/>
          <w:spacing w:val="-4"/>
          <w:sz w:val="16"/>
        </w:rPr>
        <w:t xml:space="preserve"> </w:t>
      </w:r>
      <w:r>
        <w:rPr>
          <w:i/>
          <w:sz w:val="16"/>
        </w:rPr>
        <w:t>Miembros</w:t>
      </w:r>
      <w:r>
        <w:rPr>
          <w:i/>
          <w:spacing w:val="-5"/>
          <w:sz w:val="16"/>
        </w:rPr>
        <w:t xml:space="preserve"> </w:t>
      </w:r>
      <w:r>
        <w:rPr>
          <w:i/>
          <w:sz w:val="16"/>
        </w:rPr>
        <w:t>de</w:t>
      </w:r>
      <w:r>
        <w:rPr>
          <w:i/>
          <w:spacing w:val="-4"/>
          <w:sz w:val="16"/>
        </w:rPr>
        <w:t xml:space="preserve"> </w:t>
      </w:r>
      <w:r>
        <w:rPr>
          <w:i/>
          <w:sz w:val="16"/>
        </w:rPr>
        <w:t>la</w:t>
      </w:r>
      <w:r>
        <w:rPr>
          <w:i/>
          <w:spacing w:val="-6"/>
          <w:sz w:val="16"/>
        </w:rPr>
        <w:t xml:space="preserve"> </w:t>
      </w:r>
      <w:r>
        <w:rPr>
          <w:i/>
          <w:sz w:val="16"/>
        </w:rPr>
        <w:t>Asociación</w:t>
      </w:r>
      <w:r>
        <w:rPr>
          <w:i/>
          <w:spacing w:val="-2"/>
          <w:sz w:val="16"/>
        </w:rPr>
        <w:t xml:space="preserve"> </w:t>
      </w:r>
      <w:r>
        <w:rPr>
          <w:i/>
          <w:sz w:val="16"/>
        </w:rPr>
        <w:t>Lhaka</w:t>
      </w:r>
      <w:r>
        <w:rPr>
          <w:i/>
          <w:spacing w:val="-3"/>
          <w:sz w:val="16"/>
        </w:rPr>
        <w:t xml:space="preserve"> </w:t>
      </w:r>
      <w:r>
        <w:rPr>
          <w:i/>
          <w:sz w:val="16"/>
        </w:rPr>
        <w:t>Honhat</w:t>
      </w:r>
      <w:r>
        <w:rPr>
          <w:i/>
          <w:spacing w:val="-3"/>
          <w:sz w:val="16"/>
        </w:rPr>
        <w:t xml:space="preserve"> </w:t>
      </w:r>
      <w:r>
        <w:rPr>
          <w:i/>
          <w:sz w:val="16"/>
        </w:rPr>
        <w:t xml:space="preserve">(Nuestra </w:t>
      </w:r>
      <w:r>
        <w:rPr>
          <w:i/>
          <w:sz w:val="16"/>
        </w:rPr>
        <w:t xml:space="preserve">Tierra) Vs. Argentina, supra, </w:t>
      </w:r>
      <w:r>
        <w:rPr>
          <w:sz w:val="16"/>
        </w:rPr>
        <w:t>párr.</w:t>
      </w:r>
      <w:r>
        <w:rPr>
          <w:spacing w:val="-8"/>
          <w:sz w:val="16"/>
        </w:rPr>
        <w:t xml:space="preserve"> </w:t>
      </w:r>
      <w:r>
        <w:rPr>
          <w:sz w:val="16"/>
        </w:rPr>
        <w:t>294.</w:t>
      </w:r>
    </w:p>
    <w:p w14:paraId="790541F2" w14:textId="77777777" w:rsidR="00467FCA" w:rsidRDefault="001B68EB">
      <w:pPr>
        <w:tabs>
          <w:tab w:val="left" w:pos="839"/>
        </w:tabs>
        <w:ind w:left="119" w:right="113"/>
        <w:jc w:val="both"/>
        <w:rPr>
          <w:sz w:val="16"/>
        </w:rPr>
      </w:pPr>
      <w:bookmarkStart w:id="417" w:name="_bookmark366"/>
      <w:bookmarkEnd w:id="417"/>
      <w:r>
        <w:rPr>
          <w:position w:val="6"/>
          <w:sz w:val="10"/>
        </w:rPr>
        <w:t>312</w:t>
      </w:r>
      <w:r>
        <w:rPr>
          <w:position w:val="6"/>
          <w:sz w:val="10"/>
        </w:rPr>
        <w:tab/>
      </w:r>
      <w:r>
        <w:rPr>
          <w:i/>
          <w:sz w:val="16"/>
        </w:rPr>
        <w:t>Cfr</w:t>
      </w:r>
      <w:r>
        <w:rPr>
          <w:sz w:val="16"/>
        </w:rPr>
        <w:t xml:space="preserve">. </w:t>
      </w:r>
      <w:r>
        <w:rPr>
          <w:i/>
          <w:sz w:val="16"/>
        </w:rPr>
        <w:t xml:space="preserve">Caso Bulacio Vs. Argentina. Fondo, Reparaciones y Costas. </w:t>
      </w:r>
      <w:r>
        <w:rPr>
          <w:sz w:val="16"/>
        </w:rPr>
        <w:t xml:space="preserve">Sentencia de 18 de septiembre de 2003. Serie C No. 100, párr. 114, y </w:t>
      </w:r>
      <w:r>
        <w:rPr>
          <w:i/>
          <w:sz w:val="16"/>
        </w:rPr>
        <w:t>Caso Coc Max y otros (Masacre de Xamán) Vs. Guatemala. Fondo, Reparaciones y</w:t>
      </w:r>
      <w:bookmarkStart w:id="418" w:name="_bookmark367"/>
      <w:bookmarkEnd w:id="418"/>
      <w:r>
        <w:rPr>
          <w:i/>
          <w:sz w:val="16"/>
        </w:rPr>
        <w:t xml:space="preserve"> Costas. </w:t>
      </w:r>
      <w:r>
        <w:rPr>
          <w:sz w:val="16"/>
        </w:rPr>
        <w:t>Sentencia de 22 de agosto de 2018. Serie C No. 356, párr.</w:t>
      </w:r>
      <w:r>
        <w:rPr>
          <w:spacing w:val="-21"/>
          <w:sz w:val="16"/>
        </w:rPr>
        <w:t xml:space="preserve"> </w:t>
      </w:r>
      <w:r>
        <w:rPr>
          <w:sz w:val="16"/>
        </w:rPr>
        <w:t>80.</w:t>
      </w:r>
    </w:p>
    <w:p w14:paraId="59BFC7CA" w14:textId="77777777" w:rsidR="00467FCA" w:rsidRDefault="001B68EB">
      <w:pPr>
        <w:tabs>
          <w:tab w:val="left" w:pos="839"/>
        </w:tabs>
        <w:ind w:left="120" w:right="113"/>
        <w:jc w:val="both"/>
        <w:rPr>
          <w:sz w:val="16"/>
        </w:rPr>
      </w:pPr>
      <w:r>
        <w:rPr>
          <w:position w:val="6"/>
          <w:sz w:val="10"/>
        </w:rPr>
        <w:t>313</w:t>
      </w:r>
      <w:r>
        <w:rPr>
          <w:position w:val="6"/>
          <w:sz w:val="10"/>
        </w:rPr>
        <w:tab/>
      </w:r>
      <w:r>
        <w:rPr>
          <w:i/>
          <w:sz w:val="16"/>
        </w:rPr>
        <w:t xml:space="preserve">Cfr. Caso Cantos Vs. Argentina. Fondo, Reparaciones y Costas. </w:t>
      </w:r>
      <w:r>
        <w:rPr>
          <w:sz w:val="16"/>
        </w:rPr>
        <w:t>Sentencia de 28 de noviembre de 2002. Serie</w:t>
      </w:r>
      <w:r>
        <w:rPr>
          <w:sz w:val="16"/>
        </w:rPr>
        <w:t xml:space="preserve"> C No. 97, párr. 57, y </w:t>
      </w:r>
      <w:r>
        <w:rPr>
          <w:i/>
          <w:sz w:val="16"/>
        </w:rPr>
        <w:t xml:space="preserve">Caso Comunidades Indígenas Miembros de la Asociación Lhaka Honhat (Nuestra Tierra) Vs. Argentina, supra, </w:t>
      </w:r>
      <w:r>
        <w:rPr>
          <w:sz w:val="16"/>
        </w:rPr>
        <w:t>párr.</w:t>
      </w:r>
      <w:r>
        <w:rPr>
          <w:spacing w:val="-9"/>
          <w:sz w:val="16"/>
        </w:rPr>
        <w:t xml:space="preserve"> </w:t>
      </w:r>
      <w:r>
        <w:rPr>
          <w:sz w:val="16"/>
        </w:rPr>
        <w:t>295.</w:t>
      </w:r>
    </w:p>
    <w:p w14:paraId="2D6084E6" w14:textId="77777777" w:rsidR="00467FCA" w:rsidRDefault="001B68EB">
      <w:pPr>
        <w:tabs>
          <w:tab w:val="left" w:pos="839"/>
        </w:tabs>
        <w:ind w:left="119" w:right="112"/>
        <w:jc w:val="both"/>
        <w:rPr>
          <w:sz w:val="16"/>
        </w:rPr>
      </w:pPr>
      <w:bookmarkStart w:id="419" w:name="_bookmark368"/>
      <w:bookmarkEnd w:id="419"/>
      <w:r>
        <w:rPr>
          <w:position w:val="6"/>
          <w:sz w:val="10"/>
        </w:rPr>
        <w:t>314</w:t>
      </w:r>
      <w:r>
        <w:rPr>
          <w:position w:val="6"/>
          <w:sz w:val="10"/>
        </w:rPr>
        <w:tab/>
      </w:r>
      <w:r>
        <w:rPr>
          <w:i/>
          <w:spacing w:val="-4"/>
          <w:sz w:val="16"/>
        </w:rPr>
        <w:t xml:space="preserve">Cfr. Caso </w:t>
      </w:r>
      <w:r>
        <w:rPr>
          <w:i/>
          <w:spacing w:val="-5"/>
          <w:sz w:val="16"/>
        </w:rPr>
        <w:t xml:space="preserve">Baldeón </w:t>
      </w:r>
      <w:r>
        <w:rPr>
          <w:i/>
          <w:spacing w:val="-4"/>
          <w:sz w:val="16"/>
        </w:rPr>
        <w:t xml:space="preserve">García Vs. Perú. Fondo, </w:t>
      </w:r>
      <w:r>
        <w:rPr>
          <w:i/>
          <w:spacing w:val="-5"/>
          <w:sz w:val="16"/>
        </w:rPr>
        <w:t xml:space="preserve">Reparaciones </w:t>
      </w:r>
      <w:r>
        <w:rPr>
          <w:i/>
          <w:sz w:val="16"/>
        </w:rPr>
        <w:t xml:space="preserve">y </w:t>
      </w:r>
      <w:r>
        <w:rPr>
          <w:i/>
          <w:spacing w:val="-5"/>
          <w:sz w:val="16"/>
        </w:rPr>
        <w:t xml:space="preserve">Costas. Sentencia </w:t>
      </w:r>
      <w:r>
        <w:rPr>
          <w:i/>
          <w:spacing w:val="-3"/>
          <w:sz w:val="16"/>
        </w:rPr>
        <w:t xml:space="preserve">de </w:t>
      </w:r>
      <w:r>
        <w:rPr>
          <w:i/>
          <w:sz w:val="16"/>
        </w:rPr>
        <w:t xml:space="preserve">6 </w:t>
      </w:r>
      <w:r>
        <w:rPr>
          <w:i/>
          <w:spacing w:val="-3"/>
          <w:sz w:val="16"/>
        </w:rPr>
        <w:t xml:space="preserve">de </w:t>
      </w:r>
      <w:r>
        <w:rPr>
          <w:i/>
          <w:spacing w:val="-4"/>
          <w:sz w:val="16"/>
        </w:rPr>
        <w:t xml:space="preserve">abril </w:t>
      </w:r>
      <w:r>
        <w:rPr>
          <w:i/>
          <w:spacing w:val="-3"/>
          <w:sz w:val="16"/>
        </w:rPr>
        <w:t xml:space="preserve">de </w:t>
      </w:r>
      <w:r>
        <w:rPr>
          <w:i/>
          <w:spacing w:val="-4"/>
          <w:sz w:val="16"/>
        </w:rPr>
        <w:t xml:space="preserve">2006. Serie </w:t>
      </w:r>
      <w:r>
        <w:rPr>
          <w:i/>
          <w:sz w:val="16"/>
        </w:rPr>
        <w:t xml:space="preserve">C </w:t>
      </w:r>
      <w:r>
        <w:rPr>
          <w:i/>
          <w:spacing w:val="-4"/>
          <w:sz w:val="16"/>
        </w:rPr>
        <w:t xml:space="preserve">No. </w:t>
      </w:r>
      <w:r>
        <w:rPr>
          <w:i/>
          <w:spacing w:val="-3"/>
          <w:sz w:val="16"/>
        </w:rPr>
        <w:t>147</w:t>
      </w:r>
      <w:r>
        <w:rPr>
          <w:i/>
          <w:spacing w:val="-3"/>
          <w:sz w:val="16"/>
        </w:rPr>
        <w:t xml:space="preserve">, </w:t>
      </w:r>
      <w:r>
        <w:rPr>
          <w:spacing w:val="-4"/>
          <w:sz w:val="16"/>
        </w:rPr>
        <w:t xml:space="preserve">párr. </w:t>
      </w:r>
      <w:r>
        <w:rPr>
          <w:spacing w:val="-3"/>
          <w:sz w:val="16"/>
        </w:rPr>
        <w:t xml:space="preserve">94, </w:t>
      </w:r>
      <w:r>
        <w:rPr>
          <w:sz w:val="16"/>
        </w:rPr>
        <w:t xml:space="preserve">y </w:t>
      </w:r>
      <w:r>
        <w:rPr>
          <w:i/>
          <w:spacing w:val="-4"/>
          <w:sz w:val="16"/>
        </w:rPr>
        <w:t xml:space="preserve">Caso </w:t>
      </w:r>
      <w:r>
        <w:rPr>
          <w:i/>
          <w:spacing w:val="-5"/>
          <w:sz w:val="16"/>
        </w:rPr>
        <w:t xml:space="preserve">Terrones Silva </w:t>
      </w:r>
      <w:r>
        <w:rPr>
          <w:i/>
          <w:sz w:val="16"/>
        </w:rPr>
        <w:t xml:space="preserve">y </w:t>
      </w:r>
      <w:r>
        <w:rPr>
          <w:i/>
          <w:spacing w:val="-4"/>
          <w:sz w:val="16"/>
        </w:rPr>
        <w:t xml:space="preserve">otros Vs. Perú. </w:t>
      </w:r>
      <w:r>
        <w:rPr>
          <w:i/>
          <w:spacing w:val="-5"/>
          <w:sz w:val="16"/>
        </w:rPr>
        <w:t xml:space="preserve">Excepciones Preliminares, </w:t>
      </w:r>
      <w:r>
        <w:rPr>
          <w:i/>
          <w:spacing w:val="-4"/>
          <w:sz w:val="16"/>
        </w:rPr>
        <w:t xml:space="preserve">Fondo, </w:t>
      </w:r>
      <w:r>
        <w:rPr>
          <w:i/>
          <w:spacing w:val="-5"/>
          <w:sz w:val="16"/>
        </w:rPr>
        <w:t xml:space="preserve">Reparaciones </w:t>
      </w:r>
      <w:r>
        <w:rPr>
          <w:i/>
          <w:sz w:val="16"/>
        </w:rPr>
        <w:t xml:space="preserve">y </w:t>
      </w:r>
      <w:r>
        <w:rPr>
          <w:i/>
          <w:spacing w:val="-5"/>
          <w:sz w:val="16"/>
        </w:rPr>
        <w:t>Costas</w:t>
      </w:r>
      <w:r>
        <w:rPr>
          <w:spacing w:val="-5"/>
          <w:sz w:val="16"/>
        </w:rPr>
        <w:t xml:space="preserve">. Sentencia </w:t>
      </w:r>
      <w:r>
        <w:rPr>
          <w:spacing w:val="-3"/>
          <w:sz w:val="16"/>
        </w:rPr>
        <w:t>de</w:t>
      </w:r>
      <w:r>
        <w:rPr>
          <w:spacing w:val="-9"/>
          <w:sz w:val="16"/>
        </w:rPr>
        <w:t xml:space="preserve"> </w:t>
      </w:r>
      <w:r>
        <w:rPr>
          <w:sz w:val="16"/>
        </w:rPr>
        <w:t>26</w:t>
      </w:r>
      <w:r>
        <w:rPr>
          <w:spacing w:val="-8"/>
          <w:sz w:val="16"/>
        </w:rPr>
        <w:t xml:space="preserve"> </w:t>
      </w:r>
      <w:r>
        <w:rPr>
          <w:spacing w:val="-3"/>
          <w:sz w:val="16"/>
        </w:rPr>
        <w:t>de</w:t>
      </w:r>
      <w:r>
        <w:rPr>
          <w:spacing w:val="-9"/>
          <w:sz w:val="16"/>
        </w:rPr>
        <w:t xml:space="preserve"> </w:t>
      </w:r>
      <w:r>
        <w:rPr>
          <w:spacing w:val="-5"/>
          <w:sz w:val="16"/>
        </w:rPr>
        <w:t>septiembre</w:t>
      </w:r>
      <w:r>
        <w:rPr>
          <w:spacing w:val="-9"/>
          <w:sz w:val="16"/>
        </w:rPr>
        <w:t xml:space="preserve"> </w:t>
      </w:r>
      <w:r>
        <w:rPr>
          <w:spacing w:val="-3"/>
          <w:sz w:val="16"/>
        </w:rPr>
        <w:t>de</w:t>
      </w:r>
      <w:r>
        <w:rPr>
          <w:spacing w:val="-8"/>
          <w:sz w:val="16"/>
        </w:rPr>
        <w:t xml:space="preserve"> </w:t>
      </w:r>
      <w:r>
        <w:rPr>
          <w:spacing w:val="-4"/>
          <w:sz w:val="16"/>
        </w:rPr>
        <w:t>2018.</w:t>
      </w:r>
      <w:r>
        <w:rPr>
          <w:spacing w:val="-12"/>
          <w:sz w:val="16"/>
        </w:rPr>
        <w:t xml:space="preserve"> </w:t>
      </w:r>
      <w:r>
        <w:rPr>
          <w:spacing w:val="-4"/>
          <w:sz w:val="16"/>
        </w:rPr>
        <w:t>Serie</w:t>
      </w:r>
      <w:r>
        <w:rPr>
          <w:spacing w:val="-9"/>
          <w:sz w:val="16"/>
        </w:rPr>
        <w:t xml:space="preserve"> </w:t>
      </w:r>
      <w:r>
        <w:rPr>
          <w:sz w:val="16"/>
        </w:rPr>
        <w:t>C</w:t>
      </w:r>
      <w:r>
        <w:rPr>
          <w:spacing w:val="-8"/>
          <w:sz w:val="16"/>
        </w:rPr>
        <w:t xml:space="preserve"> </w:t>
      </w:r>
      <w:r>
        <w:rPr>
          <w:spacing w:val="-4"/>
          <w:sz w:val="16"/>
        </w:rPr>
        <w:t>No.</w:t>
      </w:r>
      <w:r>
        <w:rPr>
          <w:spacing w:val="-9"/>
          <w:sz w:val="16"/>
        </w:rPr>
        <w:t xml:space="preserve"> </w:t>
      </w:r>
      <w:r>
        <w:rPr>
          <w:spacing w:val="-3"/>
          <w:sz w:val="16"/>
        </w:rPr>
        <w:t>360,</w:t>
      </w:r>
      <w:r>
        <w:rPr>
          <w:spacing w:val="-10"/>
          <w:sz w:val="16"/>
        </w:rPr>
        <w:t xml:space="preserve"> </w:t>
      </w:r>
      <w:r>
        <w:rPr>
          <w:spacing w:val="-4"/>
          <w:sz w:val="16"/>
        </w:rPr>
        <w:t>párr.</w:t>
      </w:r>
      <w:r>
        <w:rPr>
          <w:spacing w:val="-10"/>
          <w:sz w:val="16"/>
        </w:rPr>
        <w:t xml:space="preserve"> </w:t>
      </w:r>
      <w:r>
        <w:rPr>
          <w:spacing w:val="-4"/>
          <w:sz w:val="16"/>
        </w:rPr>
        <w:t>182.</w:t>
      </w:r>
    </w:p>
    <w:p w14:paraId="6AD73056" w14:textId="77777777" w:rsidR="00467FCA" w:rsidRDefault="001B68EB">
      <w:pPr>
        <w:tabs>
          <w:tab w:val="left" w:pos="839"/>
        </w:tabs>
        <w:ind w:left="119" w:right="113"/>
        <w:jc w:val="both"/>
        <w:rPr>
          <w:sz w:val="16"/>
        </w:rPr>
      </w:pPr>
      <w:bookmarkStart w:id="420" w:name="_bookmark369"/>
      <w:bookmarkEnd w:id="420"/>
      <w:r>
        <w:rPr>
          <w:position w:val="6"/>
          <w:sz w:val="10"/>
        </w:rPr>
        <w:t>315</w:t>
      </w:r>
      <w:r>
        <w:rPr>
          <w:position w:val="6"/>
          <w:sz w:val="10"/>
        </w:rPr>
        <w:tab/>
      </w:r>
      <w:r>
        <w:rPr>
          <w:i/>
          <w:sz w:val="16"/>
        </w:rPr>
        <w:t>Cfr</w:t>
      </w:r>
      <w:r>
        <w:rPr>
          <w:sz w:val="16"/>
        </w:rPr>
        <w:t xml:space="preserve">. </w:t>
      </w:r>
      <w:r>
        <w:rPr>
          <w:i/>
          <w:spacing w:val="-4"/>
          <w:sz w:val="16"/>
        </w:rPr>
        <w:t xml:space="preserve">Caso Myrna Mack </w:t>
      </w:r>
      <w:r>
        <w:rPr>
          <w:i/>
          <w:spacing w:val="-5"/>
          <w:sz w:val="16"/>
        </w:rPr>
        <w:t xml:space="preserve">Chang </w:t>
      </w:r>
      <w:r>
        <w:rPr>
          <w:i/>
          <w:spacing w:val="-3"/>
          <w:sz w:val="16"/>
        </w:rPr>
        <w:t xml:space="preserve">Vs. </w:t>
      </w:r>
      <w:r>
        <w:rPr>
          <w:i/>
          <w:spacing w:val="-5"/>
          <w:sz w:val="16"/>
        </w:rPr>
        <w:t xml:space="preserve">Guatemala. </w:t>
      </w:r>
      <w:r>
        <w:rPr>
          <w:i/>
          <w:spacing w:val="-4"/>
          <w:sz w:val="16"/>
        </w:rPr>
        <w:t xml:space="preserve">Fondo, </w:t>
      </w:r>
      <w:r>
        <w:rPr>
          <w:i/>
          <w:spacing w:val="-5"/>
          <w:sz w:val="16"/>
        </w:rPr>
        <w:t xml:space="preserve">Reparaciones </w:t>
      </w:r>
      <w:r>
        <w:rPr>
          <w:i/>
          <w:sz w:val="16"/>
        </w:rPr>
        <w:t xml:space="preserve">y </w:t>
      </w:r>
      <w:r>
        <w:rPr>
          <w:i/>
          <w:spacing w:val="-5"/>
          <w:sz w:val="16"/>
        </w:rPr>
        <w:t xml:space="preserve">Costas. </w:t>
      </w:r>
      <w:r>
        <w:rPr>
          <w:spacing w:val="-5"/>
          <w:sz w:val="16"/>
        </w:rPr>
        <w:t xml:space="preserve">Sentencia </w:t>
      </w:r>
      <w:r>
        <w:rPr>
          <w:spacing w:val="-3"/>
          <w:sz w:val="16"/>
        </w:rPr>
        <w:t xml:space="preserve">de </w:t>
      </w:r>
      <w:r>
        <w:rPr>
          <w:sz w:val="16"/>
        </w:rPr>
        <w:t xml:space="preserve">25 </w:t>
      </w:r>
      <w:r>
        <w:rPr>
          <w:spacing w:val="-3"/>
          <w:sz w:val="16"/>
        </w:rPr>
        <w:t xml:space="preserve">de </w:t>
      </w:r>
      <w:r>
        <w:rPr>
          <w:spacing w:val="-5"/>
          <w:sz w:val="16"/>
        </w:rPr>
        <w:t xml:space="preserve">noviembre </w:t>
      </w:r>
      <w:r>
        <w:rPr>
          <w:spacing w:val="-3"/>
          <w:sz w:val="16"/>
        </w:rPr>
        <w:t xml:space="preserve">de </w:t>
      </w:r>
      <w:r>
        <w:rPr>
          <w:spacing w:val="-4"/>
          <w:sz w:val="16"/>
        </w:rPr>
        <w:t>2003.</w:t>
      </w:r>
      <w:r>
        <w:rPr>
          <w:spacing w:val="-9"/>
          <w:sz w:val="16"/>
        </w:rPr>
        <w:t xml:space="preserve"> </w:t>
      </w:r>
      <w:r>
        <w:rPr>
          <w:spacing w:val="-4"/>
          <w:sz w:val="16"/>
        </w:rPr>
        <w:t>Serie</w:t>
      </w:r>
      <w:r>
        <w:rPr>
          <w:spacing w:val="-7"/>
          <w:sz w:val="16"/>
        </w:rPr>
        <w:t xml:space="preserve"> </w:t>
      </w:r>
      <w:r>
        <w:rPr>
          <w:sz w:val="16"/>
        </w:rPr>
        <w:t>C</w:t>
      </w:r>
      <w:r>
        <w:rPr>
          <w:spacing w:val="-9"/>
          <w:sz w:val="16"/>
        </w:rPr>
        <w:t xml:space="preserve"> </w:t>
      </w:r>
      <w:r>
        <w:rPr>
          <w:spacing w:val="-4"/>
          <w:sz w:val="16"/>
        </w:rPr>
        <w:t>No.</w:t>
      </w:r>
      <w:r>
        <w:rPr>
          <w:spacing w:val="-9"/>
          <w:sz w:val="16"/>
        </w:rPr>
        <w:t xml:space="preserve"> </w:t>
      </w:r>
      <w:r>
        <w:rPr>
          <w:spacing w:val="-3"/>
          <w:sz w:val="16"/>
        </w:rPr>
        <w:t>101</w:t>
      </w:r>
      <w:r>
        <w:rPr>
          <w:i/>
          <w:spacing w:val="-3"/>
          <w:sz w:val="16"/>
        </w:rPr>
        <w:t>,</w:t>
      </w:r>
      <w:r>
        <w:rPr>
          <w:i/>
          <w:spacing w:val="-8"/>
          <w:sz w:val="16"/>
        </w:rPr>
        <w:t xml:space="preserve"> </w:t>
      </w:r>
      <w:r>
        <w:rPr>
          <w:spacing w:val="-5"/>
          <w:sz w:val="16"/>
        </w:rPr>
        <w:t>párr.</w:t>
      </w:r>
      <w:r>
        <w:rPr>
          <w:spacing w:val="-8"/>
          <w:sz w:val="16"/>
        </w:rPr>
        <w:t xml:space="preserve"> </w:t>
      </w:r>
      <w:r>
        <w:rPr>
          <w:spacing w:val="-4"/>
          <w:sz w:val="16"/>
        </w:rPr>
        <w:t>277,</w:t>
      </w:r>
      <w:r>
        <w:rPr>
          <w:spacing w:val="-8"/>
          <w:sz w:val="16"/>
        </w:rPr>
        <w:t xml:space="preserve"> </w:t>
      </w:r>
      <w:r>
        <w:rPr>
          <w:sz w:val="16"/>
        </w:rPr>
        <w:t>y</w:t>
      </w:r>
      <w:r>
        <w:rPr>
          <w:spacing w:val="-6"/>
          <w:sz w:val="16"/>
        </w:rPr>
        <w:t xml:space="preserve"> </w:t>
      </w:r>
      <w:r>
        <w:rPr>
          <w:i/>
          <w:spacing w:val="-4"/>
          <w:sz w:val="16"/>
        </w:rPr>
        <w:t>Caso</w:t>
      </w:r>
      <w:r>
        <w:rPr>
          <w:i/>
          <w:spacing w:val="-10"/>
          <w:sz w:val="16"/>
        </w:rPr>
        <w:t xml:space="preserve"> </w:t>
      </w:r>
      <w:r>
        <w:rPr>
          <w:i/>
          <w:spacing w:val="-5"/>
          <w:sz w:val="16"/>
        </w:rPr>
        <w:t>Miembros</w:t>
      </w:r>
      <w:r>
        <w:rPr>
          <w:i/>
          <w:spacing w:val="-7"/>
          <w:sz w:val="16"/>
        </w:rPr>
        <w:t xml:space="preserve"> </w:t>
      </w:r>
      <w:r>
        <w:rPr>
          <w:i/>
          <w:spacing w:val="-3"/>
          <w:sz w:val="16"/>
        </w:rPr>
        <w:t>de</w:t>
      </w:r>
      <w:r>
        <w:rPr>
          <w:i/>
          <w:spacing w:val="-7"/>
          <w:sz w:val="16"/>
        </w:rPr>
        <w:t xml:space="preserve"> </w:t>
      </w:r>
      <w:r>
        <w:rPr>
          <w:i/>
          <w:spacing w:val="-3"/>
          <w:sz w:val="16"/>
        </w:rPr>
        <w:t>la</w:t>
      </w:r>
      <w:r>
        <w:rPr>
          <w:i/>
          <w:spacing w:val="-8"/>
          <w:sz w:val="16"/>
        </w:rPr>
        <w:t xml:space="preserve"> </w:t>
      </w:r>
      <w:r>
        <w:rPr>
          <w:i/>
          <w:spacing w:val="-5"/>
          <w:sz w:val="16"/>
        </w:rPr>
        <w:t>Aldea</w:t>
      </w:r>
      <w:r>
        <w:rPr>
          <w:i/>
          <w:spacing w:val="-11"/>
          <w:sz w:val="16"/>
        </w:rPr>
        <w:t xml:space="preserve"> </w:t>
      </w:r>
      <w:r>
        <w:rPr>
          <w:i/>
          <w:spacing w:val="-5"/>
          <w:sz w:val="16"/>
        </w:rPr>
        <w:t>Chichupac</w:t>
      </w:r>
      <w:r>
        <w:rPr>
          <w:i/>
          <w:spacing w:val="-7"/>
          <w:sz w:val="16"/>
        </w:rPr>
        <w:t xml:space="preserve"> </w:t>
      </w:r>
      <w:r>
        <w:rPr>
          <w:i/>
          <w:sz w:val="16"/>
        </w:rPr>
        <w:t>y</w:t>
      </w:r>
      <w:r>
        <w:rPr>
          <w:i/>
          <w:spacing w:val="-6"/>
          <w:sz w:val="16"/>
        </w:rPr>
        <w:t xml:space="preserve"> </w:t>
      </w:r>
      <w:r>
        <w:rPr>
          <w:i/>
          <w:spacing w:val="-5"/>
          <w:sz w:val="16"/>
        </w:rPr>
        <w:t>comunidades</w:t>
      </w:r>
      <w:r>
        <w:rPr>
          <w:i/>
          <w:spacing w:val="-7"/>
          <w:sz w:val="16"/>
        </w:rPr>
        <w:t xml:space="preserve"> </w:t>
      </w:r>
      <w:r>
        <w:rPr>
          <w:i/>
          <w:spacing w:val="-4"/>
          <w:sz w:val="16"/>
        </w:rPr>
        <w:t>vecinas</w:t>
      </w:r>
      <w:r>
        <w:rPr>
          <w:i/>
          <w:spacing w:val="-7"/>
          <w:sz w:val="16"/>
        </w:rPr>
        <w:t xml:space="preserve"> </w:t>
      </w:r>
      <w:r>
        <w:rPr>
          <w:i/>
          <w:spacing w:val="-4"/>
          <w:sz w:val="16"/>
        </w:rPr>
        <w:t>del</w:t>
      </w:r>
      <w:r>
        <w:rPr>
          <w:i/>
          <w:spacing w:val="-9"/>
          <w:sz w:val="16"/>
        </w:rPr>
        <w:t xml:space="preserve"> </w:t>
      </w:r>
      <w:r>
        <w:rPr>
          <w:i/>
          <w:spacing w:val="-5"/>
          <w:sz w:val="16"/>
        </w:rPr>
        <w:t>Municipio</w:t>
      </w:r>
      <w:r>
        <w:rPr>
          <w:i/>
          <w:spacing w:val="-6"/>
          <w:sz w:val="16"/>
        </w:rPr>
        <w:t xml:space="preserve"> </w:t>
      </w:r>
      <w:r>
        <w:rPr>
          <w:i/>
          <w:spacing w:val="-3"/>
          <w:sz w:val="16"/>
        </w:rPr>
        <w:t>de</w:t>
      </w:r>
      <w:r>
        <w:rPr>
          <w:i/>
          <w:spacing w:val="-7"/>
          <w:sz w:val="16"/>
        </w:rPr>
        <w:t xml:space="preserve"> </w:t>
      </w:r>
      <w:r>
        <w:rPr>
          <w:i/>
          <w:spacing w:val="-5"/>
          <w:sz w:val="16"/>
        </w:rPr>
        <w:t xml:space="preserve">Rabinal </w:t>
      </w:r>
      <w:r>
        <w:rPr>
          <w:i/>
          <w:spacing w:val="-4"/>
          <w:sz w:val="16"/>
        </w:rPr>
        <w:t xml:space="preserve">Vs. </w:t>
      </w:r>
      <w:r>
        <w:rPr>
          <w:i/>
          <w:spacing w:val="-5"/>
          <w:sz w:val="16"/>
        </w:rPr>
        <w:t xml:space="preserve">Guatemala, </w:t>
      </w:r>
      <w:r>
        <w:rPr>
          <w:i/>
          <w:spacing w:val="-4"/>
          <w:sz w:val="16"/>
        </w:rPr>
        <w:t>supra</w:t>
      </w:r>
      <w:r>
        <w:rPr>
          <w:spacing w:val="-4"/>
          <w:sz w:val="16"/>
        </w:rPr>
        <w:t>, párr.</w:t>
      </w:r>
      <w:r>
        <w:rPr>
          <w:spacing w:val="-27"/>
          <w:sz w:val="16"/>
        </w:rPr>
        <w:t xml:space="preserve"> </w:t>
      </w:r>
      <w:r>
        <w:rPr>
          <w:spacing w:val="-4"/>
          <w:sz w:val="16"/>
        </w:rPr>
        <w:t>285.</w:t>
      </w:r>
    </w:p>
    <w:p w14:paraId="5C6649B4" w14:textId="77777777" w:rsidR="00467FCA" w:rsidRDefault="001B68EB">
      <w:pPr>
        <w:tabs>
          <w:tab w:val="left" w:pos="839"/>
        </w:tabs>
        <w:ind w:left="119" w:right="115"/>
        <w:jc w:val="both"/>
        <w:rPr>
          <w:sz w:val="16"/>
        </w:rPr>
      </w:pPr>
      <w:bookmarkStart w:id="421" w:name="_bookmark370"/>
      <w:bookmarkEnd w:id="421"/>
      <w:r>
        <w:rPr>
          <w:position w:val="6"/>
          <w:sz w:val="10"/>
        </w:rPr>
        <w:t>316</w:t>
      </w:r>
      <w:r>
        <w:rPr>
          <w:position w:val="6"/>
          <w:sz w:val="10"/>
        </w:rPr>
        <w:tab/>
      </w:r>
      <w:r>
        <w:rPr>
          <w:sz w:val="16"/>
        </w:rPr>
        <w:t xml:space="preserve">La Corte ha establecido reiteradamente que el deber de investigar es una obligación de medio y no de resultados. </w:t>
      </w:r>
      <w:r>
        <w:rPr>
          <w:i/>
          <w:sz w:val="16"/>
        </w:rPr>
        <w:t>Cfr. Caso Velásquez Rodríguez Vs. Honduras. Fondo, supra</w:t>
      </w:r>
      <w:r>
        <w:rPr>
          <w:sz w:val="16"/>
        </w:rPr>
        <w:t xml:space="preserve">, párr. 177, y </w:t>
      </w:r>
      <w:r>
        <w:rPr>
          <w:i/>
          <w:sz w:val="16"/>
        </w:rPr>
        <w:t xml:space="preserve">Caso Terrones Silva y otros Vs. Perú, supra, </w:t>
      </w:r>
      <w:r>
        <w:rPr>
          <w:sz w:val="16"/>
        </w:rPr>
        <w:t>párr.</w:t>
      </w:r>
      <w:r>
        <w:rPr>
          <w:spacing w:val="-4"/>
          <w:sz w:val="16"/>
        </w:rPr>
        <w:t xml:space="preserve"> </w:t>
      </w:r>
      <w:r>
        <w:rPr>
          <w:sz w:val="16"/>
        </w:rPr>
        <w:t>182.</w:t>
      </w:r>
    </w:p>
    <w:p w14:paraId="5B265EF9" w14:textId="77777777" w:rsidR="00467FCA" w:rsidRDefault="00467FCA">
      <w:pPr>
        <w:jc w:val="both"/>
        <w:rPr>
          <w:sz w:val="16"/>
        </w:rPr>
        <w:sectPr w:rsidR="00467FCA">
          <w:pgSz w:w="12240" w:h="15840"/>
          <w:pgMar w:top="1360" w:right="1320" w:bottom="1220" w:left="1320" w:header="0" w:footer="1037" w:gutter="0"/>
          <w:cols w:space="720"/>
        </w:sectPr>
      </w:pPr>
    </w:p>
    <w:p w14:paraId="6A165577" w14:textId="77777777" w:rsidR="00467FCA" w:rsidRDefault="001B68EB">
      <w:pPr>
        <w:pStyle w:val="Textoindependiente"/>
        <w:spacing w:before="80"/>
        <w:ind w:left="120" w:right="116"/>
        <w:jc w:val="both"/>
      </w:pPr>
      <w:r>
        <w:t>pa</w:t>
      </w:r>
      <w:r>
        <w:t>rticulares o funcionarios del Estado. En cuanto a los procesos civiles por daños, la debida diligencia se verifica por medio del análisis de las actuaciones de las autoridades estatales (jueces y miembros de la Fiscalía) en el sentido de conducir los proce</w:t>
      </w:r>
      <w:r>
        <w:t>dimientos de forma sencilla y célere con el fin de identificar los agentes que causaron los daños y, en su caso, reparar adecuadamente a las víctimas. El examen de la debida diligencia en los procesos laborales debe tomar en consideración las medidas adopt</w:t>
      </w:r>
      <w:r>
        <w:t>adas por las autoridades judiciales para</w:t>
      </w:r>
      <w:r>
        <w:rPr>
          <w:spacing w:val="-13"/>
        </w:rPr>
        <w:t xml:space="preserve"> </w:t>
      </w:r>
      <w:r>
        <w:t>establecer</w:t>
      </w:r>
      <w:r>
        <w:rPr>
          <w:spacing w:val="-11"/>
        </w:rPr>
        <w:t xml:space="preserve"> </w:t>
      </w:r>
      <w:r>
        <w:t>el</w:t>
      </w:r>
      <w:r>
        <w:rPr>
          <w:spacing w:val="-13"/>
        </w:rPr>
        <w:t xml:space="preserve"> </w:t>
      </w:r>
      <w:r>
        <w:t>vínculo</w:t>
      </w:r>
      <w:r>
        <w:rPr>
          <w:spacing w:val="-14"/>
        </w:rPr>
        <w:t xml:space="preserve"> </w:t>
      </w:r>
      <w:r>
        <w:t>laboral</w:t>
      </w:r>
      <w:r>
        <w:rPr>
          <w:spacing w:val="-11"/>
        </w:rPr>
        <w:t xml:space="preserve"> </w:t>
      </w:r>
      <w:r>
        <w:t>entre</w:t>
      </w:r>
      <w:r>
        <w:rPr>
          <w:spacing w:val="-14"/>
        </w:rPr>
        <w:t xml:space="preserve"> </w:t>
      </w:r>
      <w:r>
        <w:t>los</w:t>
      </w:r>
      <w:r>
        <w:rPr>
          <w:spacing w:val="-13"/>
        </w:rPr>
        <w:t xml:space="preserve"> </w:t>
      </w:r>
      <w:r>
        <w:t>trabajadores</w:t>
      </w:r>
      <w:r>
        <w:rPr>
          <w:spacing w:val="-14"/>
        </w:rPr>
        <w:t xml:space="preserve"> </w:t>
      </w:r>
      <w:r>
        <w:t>y</w:t>
      </w:r>
      <w:r>
        <w:rPr>
          <w:spacing w:val="-13"/>
        </w:rPr>
        <w:t xml:space="preserve"> </w:t>
      </w:r>
      <w:r>
        <w:t>trabajadoras</w:t>
      </w:r>
      <w:r>
        <w:rPr>
          <w:spacing w:val="-13"/>
        </w:rPr>
        <w:t xml:space="preserve"> </w:t>
      </w:r>
      <w:r>
        <w:t>de</w:t>
      </w:r>
      <w:r>
        <w:rPr>
          <w:spacing w:val="-15"/>
        </w:rPr>
        <w:t xml:space="preserve"> </w:t>
      </w:r>
      <w:r>
        <w:t>la</w:t>
      </w:r>
      <w:r>
        <w:rPr>
          <w:spacing w:val="-12"/>
        </w:rPr>
        <w:t xml:space="preserve"> </w:t>
      </w:r>
      <w:r>
        <w:t>fábrica</w:t>
      </w:r>
      <w:r>
        <w:rPr>
          <w:spacing w:val="-13"/>
        </w:rPr>
        <w:t xml:space="preserve"> </w:t>
      </w:r>
      <w:r>
        <w:t>de</w:t>
      </w:r>
      <w:r>
        <w:rPr>
          <w:spacing w:val="-14"/>
        </w:rPr>
        <w:t xml:space="preserve"> </w:t>
      </w:r>
      <w:r>
        <w:t>fuegos con los dueños, identificar los montos debidos y determinar y ejecutar el pago de dichos valores.</w:t>
      </w:r>
    </w:p>
    <w:p w14:paraId="75D99C5B" w14:textId="77777777" w:rsidR="00467FCA" w:rsidRDefault="00467FCA">
      <w:pPr>
        <w:pStyle w:val="Textoindependiente"/>
        <w:spacing w:before="1"/>
      </w:pPr>
    </w:p>
    <w:p w14:paraId="38503F01" w14:textId="77777777" w:rsidR="00467FCA" w:rsidRDefault="001B68EB">
      <w:pPr>
        <w:pStyle w:val="Prrafodelista"/>
        <w:numPr>
          <w:ilvl w:val="0"/>
          <w:numId w:val="50"/>
        </w:numPr>
        <w:tabs>
          <w:tab w:val="left" w:pos="687"/>
        </w:tabs>
        <w:ind w:left="119" w:right="118" w:firstLine="0"/>
        <w:jc w:val="both"/>
        <w:rPr>
          <w:sz w:val="20"/>
        </w:rPr>
      </w:pPr>
      <w:r>
        <w:rPr>
          <w:sz w:val="20"/>
        </w:rPr>
        <w:t>En cuanto a la celeridad del proceso, este Tribunal ha señalado que el plazo razonable al</w:t>
      </w:r>
      <w:r>
        <w:rPr>
          <w:spacing w:val="-6"/>
          <w:sz w:val="20"/>
        </w:rPr>
        <w:t xml:space="preserve"> </w:t>
      </w:r>
      <w:r>
        <w:rPr>
          <w:sz w:val="20"/>
        </w:rPr>
        <w:t>que</w:t>
      </w:r>
      <w:r>
        <w:rPr>
          <w:spacing w:val="-4"/>
          <w:sz w:val="20"/>
        </w:rPr>
        <w:t xml:space="preserve"> </w:t>
      </w:r>
      <w:r>
        <w:rPr>
          <w:sz w:val="20"/>
        </w:rPr>
        <w:t>se</w:t>
      </w:r>
      <w:r>
        <w:rPr>
          <w:spacing w:val="-2"/>
          <w:sz w:val="20"/>
        </w:rPr>
        <w:t xml:space="preserve"> </w:t>
      </w:r>
      <w:r>
        <w:rPr>
          <w:sz w:val="20"/>
        </w:rPr>
        <w:t>refiere</w:t>
      </w:r>
      <w:r>
        <w:rPr>
          <w:spacing w:val="-4"/>
          <w:sz w:val="20"/>
        </w:rPr>
        <w:t xml:space="preserve"> </w:t>
      </w:r>
      <w:r>
        <w:rPr>
          <w:sz w:val="20"/>
        </w:rPr>
        <w:t>el</w:t>
      </w:r>
      <w:r>
        <w:rPr>
          <w:spacing w:val="-3"/>
          <w:sz w:val="20"/>
        </w:rPr>
        <w:t xml:space="preserve"> </w:t>
      </w:r>
      <w:r>
        <w:rPr>
          <w:sz w:val="20"/>
        </w:rPr>
        <w:t>artículo</w:t>
      </w:r>
      <w:r>
        <w:rPr>
          <w:spacing w:val="-7"/>
          <w:sz w:val="20"/>
        </w:rPr>
        <w:t xml:space="preserve"> </w:t>
      </w:r>
      <w:r>
        <w:rPr>
          <w:sz w:val="20"/>
        </w:rPr>
        <w:t>8.1</w:t>
      </w:r>
      <w:r>
        <w:rPr>
          <w:spacing w:val="-3"/>
          <w:sz w:val="20"/>
        </w:rPr>
        <w:t xml:space="preserve"> </w:t>
      </w:r>
      <w:r>
        <w:rPr>
          <w:sz w:val="20"/>
        </w:rPr>
        <w:t>de</w:t>
      </w:r>
      <w:r>
        <w:rPr>
          <w:spacing w:val="-5"/>
          <w:sz w:val="20"/>
        </w:rPr>
        <w:t xml:space="preserve"> </w:t>
      </w:r>
      <w:r>
        <w:rPr>
          <w:sz w:val="20"/>
        </w:rPr>
        <w:t>la</w:t>
      </w:r>
      <w:r>
        <w:rPr>
          <w:spacing w:val="-5"/>
          <w:sz w:val="20"/>
        </w:rPr>
        <w:t xml:space="preserve"> </w:t>
      </w:r>
      <w:r>
        <w:rPr>
          <w:sz w:val="20"/>
        </w:rPr>
        <w:t>Convención</w:t>
      </w:r>
      <w:r>
        <w:rPr>
          <w:spacing w:val="-4"/>
          <w:sz w:val="20"/>
        </w:rPr>
        <w:t xml:space="preserve"> </w:t>
      </w:r>
      <w:r>
        <w:rPr>
          <w:sz w:val="20"/>
        </w:rPr>
        <w:t>se</w:t>
      </w:r>
      <w:r>
        <w:rPr>
          <w:spacing w:val="-4"/>
          <w:sz w:val="20"/>
        </w:rPr>
        <w:t xml:space="preserve"> </w:t>
      </w:r>
      <w:r>
        <w:rPr>
          <w:sz w:val="20"/>
        </w:rPr>
        <w:t>debe</w:t>
      </w:r>
      <w:r>
        <w:rPr>
          <w:spacing w:val="-4"/>
          <w:sz w:val="20"/>
        </w:rPr>
        <w:t xml:space="preserve"> </w:t>
      </w:r>
      <w:r>
        <w:rPr>
          <w:sz w:val="20"/>
        </w:rPr>
        <w:t>apreciar</w:t>
      </w:r>
      <w:r>
        <w:rPr>
          <w:spacing w:val="-4"/>
          <w:sz w:val="20"/>
        </w:rPr>
        <w:t xml:space="preserve"> </w:t>
      </w:r>
      <w:r>
        <w:rPr>
          <w:sz w:val="20"/>
        </w:rPr>
        <w:t>en</w:t>
      </w:r>
      <w:r>
        <w:rPr>
          <w:spacing w:val="-2"/>
          <w:sz w:val="20"/>
        </w:rPr>
        <w:t xml:space="preserve"> </w:t>
      </w:r>
      <w:r>
        <w:rPr>
          <w:sz w:val="20"/>
        </w:rPr>
        <w:t>relación</w:t>
      </w:r>
      <w:r>
        <w:rPr>
          <w:spacing w:val="-3"/>
          <w:sz w:val="20"/>
        </w:rPr>
        <w:t xml:space="preserve"> </w:t>
      </w:r>
      <w:r>
        <w:rPr>
          <w:sz w:val="20"/>
        </w:rPr>
        <w:t>con</w:t>
      </w:r>
      <w:r>
        <w:rPr>
          <w:spacing w:val="-4"/>
          <w:sz w:val="20"/>
        </w:rPr>
        <w:t xml:space="preserve"> </w:t>
      </w:r>
      <w:r>
        <w:rPr>
          <w:sz w:val="20"/>
        </w:rPr>
        <w:t>la</w:t>
      </w:r>
      <w:r>
        <w:rPr>
          <w:spacing w:val="-3"/>
          <w:sz w:val="20"/>
        </w:rPr>
        <w:t xml:space="preserve"> </w:t>
      </w:r>
      <w:r>
        <w:rPr>
          <w:sz w:val="20"/>
        </w:rPr>
        <w:t>duración total</w:t>
      </w:r>
      <w:r>
        <w:rPr>
          <w:spacing w:val="-5"/>
          <w:sz w:val="20"/>
        </w:rPr>
        <w:t xml:space="preserve"> </w:t>
      </w:r>
      <w:r>
        <w:rPr>
          <w:sz w:val="20"/>
        </w:rPr>
        <w:t>del</w:t>
      </w:r>
      <w:r>
        <w:rPr>
          <w:spacing w:val="-3"/>
          <w:sz w:val="20"/>
        </w:rPr>
        <w:t xml:space="preserve"> </w:t>
      </w:r>
      <w:r>
        <w:rPr>
          <w:sz w:val="20"/>
        </w:rPr>
        <w:t>procedimiento</w:t>
      </w:r>
      <w:r>
        <w:rPr>
          <w:spacing w:val="-4"/>
          <w:sz w:val="20"/>
        </w:rPr>
        <w:t xml:space="preserve"> </w:t>
      </w:r>
      <w:r>
        <w:rPr>
          <w:sz w:val="20"/>
        </w:rPr>
        <w:t>que</w:t>
      </w:r>
      <w:r>
        <w:rPr>
          <w:spacing w:val="-7"/>
          <w:sz w:val="20"/>
        </w:rPr>
        <w:t xml:space="preserve"> </w:t>
      </w:r>
      <w:r>
        <w:rPr>
          <w:sz w:val="20"/>
        </w:rPr>
        <w:t>se</w:t>
      </w:r>
      <w:r>
        <w:rPr>
          <w:spacing w:val="-3"/>
          <w:sz w:val="20"/>
        </w:rPr>
        <w:t xml:space="preserve"> </w:t>
      </w:r>
      <w:r>
        <w:rPr>
          <w:sz w:val="20"/>
        </w:rPr>
        <w:t>desarrolla,</w:t>
      </w:r>
      <w:r>
        <w:rPr>
          <w:spacing w:val="-6"/>
          <w:sz w:val="20"/>
        </w:rPr>
        <w:t xml:space="preserve"> </w:t>
      </w:r>
      <w:r>
        <w:rPr>
          <w:sz w:val="20"/>
        </w:rPr>
        <w:t>desde</w:t>
      </w:r>
      <w:r>
        <w:rPr>
          <w:spacing w:val="-4"/>
          <w:sz w:val="20"/>
        </w:rPr>
        <w:t xml:space="preserve"> </w:t>
      </w:r>
      <w:r>
        <w:rPr>
          <w:sz w:val="20"/>
        </w:rPr>
        <w:t>el</w:t>
      </w:r>
      <w:r>
        <w:rPr>
          <w:spacing w:val="-3"/>
          <w:sz w:val="20"/>
        </w:rPr>
        <w:t xml:space="preserve"> </w:t>
      </w:r>
      <w:r>
        <w:rPr>
          <w:sz w:val="20"/>
        </w:rPr>
        <w:t>primer</w:t>
      </w:r>
      <w:r>
        <w:rPr>
          <w:spacing w:val="-7"/>
          <w:sz w:val="20"/>
        </w:rPr>
        <w:t xml:space="preserve"> </w:t>
      </w:r>
      <w:r>
        <w:rPr>
          <w:sz w:val="20"/>
        </w:rPr>
        <w:t>acto</w:t>
      </w:r>
      <w:r>
        <w:rPr>
          <w:spacing w:val="-3"/>
          <w:sz w:val="20"/>
        </w:rPr>
        <w:t xml:space="preserve"> </w:t>
      </w:r>
      <w:r>
        <w:rPr>
          <w:sz w:val="20"/>
        </w:rPr>
        <w:t xml:space="preserve">procesal </w:t>
      </w:r>
      <w:r>
        <w:rPr>
          <w:sz w:val="20"/>
        </w:rPr>
        <w:t>hasta</w:t>
      </w:r>
      <w:r>
        <w:rPr>
          <w:spacing w:val="-5"/>
          <w:sz w:val="20"/>
        </w:rPr>
        <w:t xml:space="preserve"> </w:t>
      </w:r>
      <w:r>
        <w:rPr>
          <w:sz w:val="20"/>
        </w:rPr>
        <w:t>que</w:t>
      </w:r>
      <w:r>
        <w:rPr>
          <w:spacing w:val="-4"/>
          <w:sz w:val="20"/>
        </w:rPr>
        <w:t xml:space="preserve"> </w:t>
      </w:r>
      <w:r>
        <w:rPr>
          <w:sz w:val="20"/>
        </w:rPr>
        <w:t>se</w:t>
      </w:r>
      <w:r>
        <w:rPr>
          <w:spacing w:val="-4"/>
          <w:sz w:val="20"/>
        </w:rPr>
        <w:t xml:space="preserve"> </w:t>
      </w:r>
      <w:r>
        <w:rPr>
          <w:sz w:val="20"/>
        </w:rPr>
        <w:t>dicte</w:t>
      </w:r>
      <w:r>
        <w:rPr>
          <w:spacing w:val="-5"/>
          <w:sz w:val="20"/>
        </w:rPr>
        <w:t xml:space="preserve"> </w:t>
      </w:r>
      <w:r>
        <w:rPr>
          <w:sz w:val="20"/>
        </w:rPr>
        <w:t>la sentencia definitiva, incluyendo los recursos de instancia que pudieran eventualmente presentarse</w:t>
      </w:r>
      <w:hyperlink w:anchor="_bookmark371" w:history="1">
        <w:r>
          <w:rPr>
            <w:position w:val="7"/>
            <w:sz w:val="13"/>
          </w:rPr>
          <w:t>317</w:t>
        </w:r>
      </w:hyperlink>
      <w:r>
        <w:rPr>
          <w:sz w:val="20"/>
        </w:rPr>
        <w:t>.</w:t>
      </w:r>
      <w:r>
        <w:rPr>
          <w:spacing w:val="-8"/>
          <w:sz w:val="20"/>
        </w:rPr>
        <w:t xml:space="preserve"> </w:t>
      </w:r>
      <w:r>
        <w:rPr>
          <w:sz w:val="20"/>
        </w:rPr>
        <w:t>El</w:t>
      </w:r>
      <w:r>
        <w:rPr>
          <w:spacing w:val="-6"/>
          <w:sz w:val="20"/>
        </w:rPr>
        <w:t xml:space="preserve"> </w:t>
      </w:r>
      <w:r>
        <w:rPr>
          <w:sz w:val="20"/>
        </w:rPr>
        <w:t>derecho</w:t>
      </w:r>
      <w:r>
        <w:rPr>
          <w:spacing w:val="-6"/>
          <w:sz w:val="20"/>
        </w:rPr>
        <w:t xml:space="preserve"> </w:t>
      </w:r>
      <w:r>
        <w:rPr>
          <w:sz w:val="20"/>
        </w:rPr>
        <w:t>de</w:t>
      </w:r>
      <w:r>
        <w:rPr>
          <w:spacing w:val="-8"/>
          <w:sz w:val="20"/>
        </w:rPr>
        <w:t xml:space="preserve"> </w:t>
      </w:r>
      <w:r>
        <w:rPr>
          <w:sz w:val="20"/>
        </w:rPr>
        <w:t>acceso</w:t>
      </w:r>
      <w:r>
        <w:rPr>
          <w:spacing w:val="-8"/>
          <w:sz w:val="20"/>
        </w:rPr>
        <w:t xml:space="preserve"> </w:t>
      </w:r>
      <w:r>
        <w:rPr>
          <w:sz w:val="20"/>
        </w:rPr>
        <w:t>a</w:t>
      </w:r>
      <w:r>
        <w:rPr>
          <w:spacing w:val="-7"/>
          <w:sz w:val="20"/>
        </w:rPr>
        <w:t xml:space="preserve"> </w:t>
      </w:r>
      <w:r>
        <w:rPr>
          <w:sz w:val="20"/>
        </w:rPr>
        <w:t>la</w:t>
      </w:r>
      <w:r>
        <w:rPr>
          <w:spacing w:val="-4"/>
          <w:sz w:val="20"/>
        </w:rPr>
        <w:t xml:space="preserve"> </w:t>
      </w:r>
      <w:r>
        <w:rPr>
          <w:sz w:val="20"/>
        </w:rPr>
        <w:t>justicia</w:t>
      </w:r>
      <w:r>
        <w:rPr>
          <w:spacing w:val="-7"/>
          <w:sz w:val="20"/>
        </w:rPr>
        <w:t xml:space="preserve"> </w:t>
      </w:r>
      <w:r>
        <w:rPr>
          <w:sz w:val="20"/>
        </w:rPr>
        <w:t>implica</w:t>
      </w:r>
      <w:r>
        <w:rPr>
          <w:spacing w:val="-7"/>
          <w:sz w:val="20"/>
        </w:rPr>
        <w:t xml:space="preserve"> </w:t>
      </w:r>
      <w:r>
        <w:rPr>
          <w:sz w:val="20"/>
        </w:rPr>
        <w:t>que</w:t>
      </w:r>
      <w:r>
        <w:rPr>
          <w:spacing w:val="-8"/>
          <w:sz w:val="20"/>
        </w:rPr>
        <w:t xml:space="preserve"> </w:t>
      </w:r>
      <w:r>
        <w:rPr>
          <w:sz w:val="20"/>
        </w:rPr>
        <w:t>la</w:t>
      </w:r>
      <w:r>
        <w:rPr>
          <w:spacing w:val="-4"/>
          <w:sz w:val="20"/>
        </w:rPr>
        <w:t xml:space="preserve"> </w:t>
      </w:r>
      <w:r>
        <w:rPr>
          <w:sz w:val="20"/>
        </w:rPr>
        <w:t>solución</w:t>
      </w:r>
      <w:r>
        <w:rPr>
          <w:spacing w:val="-6"/>
          <w:sz w:val="20"/>
        </w:rPr>
        <w:t xml:space="preserve"> </w:t>
      </w:r>
      <w:r>
        <w:rPr>
          <w:sz w:val="20"/>
        </w:rPr>
        <w:t>de</w:t>
      </w:r>
      <w:r>
        <w:rPr>
          <w:spacing w:val="-8"/>
          <w:sz w:val="20"/>
        </w:rPr>
        <w:t xml:space="preserve"> </w:t>
      </w:r>
      <w:r>
        <w:rPr>
          <w:sz w:val="20"/>
        </w:rPr>
        <w:t>la</w:t>
      </w:r>
      <w:r>
        <w:rPr>
          <w:spacing w:val="-4"/>
          <w:sz w:val="20"/>
        </w:rPr>
        <w:t xml:space="preserve"> </w:t>
      </w:r>
      <w:r>
        <w:rPr>
          <w:sz w:val="20"/>
        </w:rPr>
        <w:t>controversia</w:t>
      </w:r>
      <w:r>
        <w:rPr>
          <w:spacing w:val="-4"/>
          <w:sz w:val="20"/>
        </w:rPr>
        <w:t xml:space="preserve"> </w:t>
      </w:r>
      <w:r>
        <w:rPr>
          <w:sz w:val="20"/>
        </w:rPr>
        <w:t>se produzca en tiempo razonable</w:t>
      </w:r>
      <w:hyperlink w:anchor="_bookmark372" w:history="1">
        <w:r>
          <w:rPr>
            <w:position w:val="7"/>
            <w:sz w:val="13"/>
          </w:rPr>
          <w:t>318</w:t>
        </w:r>
      </w:hyperlink>
      <w:r>
        <w:rPr>
          <w:sz w:val="20"/>
        </w:rPr>
        <w:t>, ya que una demora prolongada puede llegar a constituir, por sí misma, una violación de las garantías</w:t>
      </w:r>
      <w:r>
        <w:rPr>
          <w:spacing w:val="-9"/>
          <w:sz w:val="20"/>
        </w:rPr>
        <w:t xml:space="preserve"> </w:t>
      </w:r>
      <w:r>
        <w:rPr>
          <w:sz w:val="20"/>
        </w:rPr>
        <w:t>judiciales</w:t>
      </w:r>
      <w:hyperlink w:anchor="_bookmark373" w:history="1">
        <w:r>
          <w:rPr>
            <w:position w:val="7"/>
            <w:sz w:val="13"/>
          </w:rPr>
          <w:t>319</w:t>
        </w:r>
      </w:hyperlink>
      <w:r>
        <w:rPr>
          <w:sz w:val="20"/>
        </w:rPr>
        <w:t>.</w:t>
      </w:r>
    </w:p>
    <w:p w14:paraId="798DCB39" w14:textId="77777777" w:rsidR="00467FCA" w:rsidRDefault="00467FCA">
      <w:pPr>
        <w:pStyle w:val="Textoindependiente"/>
        <w:spacing w:before="11"/>
        <w:rPr>
          <w:sz w:val="19"/>
        </w:rPr>
      </w:pPr>
    </w:p>
    <w:p w14:paraId="4FBA3CF2" w14:textId="77777777" w:rsidR="00467FCA" w:rsidRDefault="001B68EB">
      <w:pPr>
        <w:pStyle w:val="Prrafodelista"/>
        <w:numPr>
          <w:ilvl w:val="0"/>
          <w:numId w:val="50"/>
        </w:numPr>
        <w:tabs>
          <w:tab w:val="left" w:pos="687"/>
        </w:tabs>
        <w:ind w:right="117" w:firstLine="0"/>
        <w:jc w:val="both"/>
        <w:rPr>
          <w:sz w:val="20"/>
        </w:rPr>
      </w:pPr>
      <w:r>
        <w:rPr>
          <w:sz w:val="20"/>
        </w:rPr>
        <w:t>Asimismo, el Tribunal ha establecido qu</w:t>
      </w:r>
      <w:r>
        <w:rPr>
          <w:sz w:val="20"/>
        </w:rPr>
        <w:t>e la evaluación del plazo razonable se debe analizar en cada caso concreto, en relación con la duración total del proceso, lo cual podría también</w:t>
      </w:r>
      <w:r>
        <w:rPr>
          <w:spacing w:val="-10"/>
          <w:sz w:val="20"/>
        </w:rPr>
        <w:t xml:space="preserve"> </w:t>
      </w:r>
      <w:r>
        <w:rPr>
          <w:sz w:val="20"/>
        </w:rPr>
        <w:t>incluir</w:t>
      </w:r>
      <w:r>
        <w:rPr>
          <w:spacing w:val="-13"/>
          <w:sz w:val="20"/>
        </w:rPr>
        <w:t xml:space="preserve"> </w:t>
      </w:r>
      <w:r>
        <w:rPr>
          <w:sz w:val="20"/>
        </w:rPr>
        <w:t>la</w:t>
      </w:r>
      <w:r>
        <w:rPr>
          <w:spacing w:val="-8"/>
          <w:sz w:val="20"/>
        </w:rPr>
        <w:t xml:space="preserve"> </w:t>
      </w:r>
      <w:r>
        <w:rPr>
          <w:sz w:val="20"/>
        </w:rPr>
        <w:t>ejecución</w:t>
      </w:r>
      <w:r>
        <w:rPr>
          <w:spacing w:val="-10"/>
          <w:sz w:val="20"/>
        </w:rPr>
        <w:t xml:space="preserve"> </w:t>
      </w:r>
      <w:r>
        <w:rPr>
          <w:sz w:val="20"/>
        </w:rPr>
        <w:t>de</w:t>
      </w:r>
      <w:r>
        <w:rPr>
          <w:spacing w:val="-9"/>
          <w:sz w:val="20"/>
        </w:rPr>
        <w:t xml:space="preserve"> </w:t>
      </w:r>
      <w:r>
        <w:rPr>
          <w:sz w:val="20"/>
        </w:rPr>
        <w:t>la</w:t>
      </w:r>
      <w:r>
        <w:rPr>
          <w:spacing w:val="-11"/>
          <w:sz w:val="20"/>
        </w:rPr>
        <w:t xml:space="preserve"> </w:t>
      </w:r>
      <w:r>
        <w:rPr>
          <w:sz w:val="20"/>
        </w:rPr>
        <w:t>sentencia</w:t>
      </w:r>
      <w:r>
        <w:rPr>
          <w:spacing w:val="-9"/>
          <w:sz w:val="20"/>
        </w:rPr>
        <w:t xml:space="preserve"> </w:t>
      </w:r>
      <w:r>
        <w:rPr>
          <w:sz w:val="20"/>
        </w:rPr>
        <w:t>definitiva.</w:t>
      </w:r>
      <w:r>
        <w:rPr>
          <w:spacing w:val="-11"/>
          <w:sz w:val="20"/>
        </w:rPr>
        <w:t xml:space="preserve"> </w:t>
      </w:r>
      <w:r>
        <w:rPr>
          <w:sz w:val="20"/>
        </w:rPr>
        <w:t>De</w:t>
      </w:r>
      <w:r>
        <w:rPr>
          <w:spacing w:val="-10"/>
          <w:sz w:val="20"/>
        </w:rPr>
        <w:t xml:space="preserve"> </w:t>
      </w:r>
      <w:r>
        <w:rPr>
          <w:sz w:val="20"/>
        </w:rPr>
        <w:t>esta</w:t>
      </w:r>
      <w:r>
        <w:rPr>
          <w:spacing w:val="-10"/>
          <w:sz w:val="20"/>
        </w:rPr>
        <w:t xml:space="preserve"> </w:t>
      </w:r>
      <w:r>
        <w:rPr>
          <w:sz w:val="20"/>
        </w:rPr>
        <w:t>manera,</w:t>
      </w:r>
      <w:r>
        <w:rPr>
          <w:spacing w:val="-12"/>
          <w:sz w:val="20"/>
        </w:rPr>
        <w:t xml:space="preserve"> </w:t>
      </w:r>
      <w:r>
        <w:rPr>
          <w:sz w:val="20"/>
        </w:rPr>
        <w:t>ha</w:t>
      </w:r>
      <w:r>
        <w:rPr>
          <w:spacing w:val="-10"/>
          <w:sz w:val="20"/>
        </w:rPr>
        <w:t xml:space="preserve"> </w:t>
      </w:r>
      <w:r>
        <w:rPr>
          <w:sz w:val="20"/>
        </w:rPr>
        <w:t>considerado</w:t>
      </w:r>
      <w:r>
        <w:rPr>
          <w:spacing w:val="-10"/>
          <w:sz w:val="20"/>
        </w:rPr>
        <w:t xml:space="preserve"> </w:t>
      </w:r>
      <w:r>
        <w:rPr>
          <w:sz w:val="20"/>
        </w:rPr>
        <w:t>cuatro elementos para analizar</w:t>
      </w:r>
      <w:r>
        <w:rPr>
          <w:sz w:val="20"/>
        </w:rPr>
        <w:t xml:space="preserve"> si se cumplió con la garantía del plazo razonable, a saber: (i) la complejidad del asunto</w:t>
      </w:r>
      <w:hyperlink w:anchor="_bookmark374" w:history="1">
        <w:r>
          <w:rPr>
            <w:position w:val="7"/>
            <w:sz w:val="13"/>
          </w:rPr>
          <w:t>320</w:t>
        </w:r>
      </w:hyperlink>
      <w:r>
        <w:rPr>
          <w:sz w:val="20"/>
        </w:rPr>
        <w:t>, (ii) la actividad procesal del interesado</w:t>
      </w:r>
      <w:hyperlink w:anchor="_bookmark375" w:history="1">
        <w:r>
          <w:rPr>
            <w:position w:val="7"/>
            <w:sz w:val="13"/>
          </w:rPr>
          <w:t>321</w:t>
        </w:r>
      </w:hyperlink>
      <w:r>
        <w:rPr>
          <w:sz w:val="20"/>
        </w:rPr>
        <w:t>, (iii) la conducta de las autoridades judiciales</w:t>
      </w:r>
      <w:hyperlink w:anchor="_bookmark376" w:history="1">
        <w:r>
          <w:rPr>
            <w:position w:val="7"/>
            <w:sz w:val="13"/>
          </w:rPr>
          <w:t>322</w:t>
        </w:r>
      </w:hyperlink>
      <w:r>
        <w:rPr>
          <w:sz w:val="20"/>
        </w:rPr>
        <w:t>, y (iv) la afectación generada en la situación jurídica de la presunta víctima</w:t>
      </w:r>
      <w:hyperlink w:anchor="_bookmark377" w:history="1">
        <w:r>
          <w:rPr>
            <w:position w:val="7"/>
            <w:sz w:val="13"/>
          </w:rPr>
          <w:t>323</w:t>
        </w:r>
      </w:hyperlink>
      <w:r>
        <w:rPr>
          <w:sz w:val="20"/>
        </w:rPr>
        <w:t>.</w:t>
      </w:r>
    </w:p>
    <w:p w14:paraId="36C0F7D7" w14:textId="77777777" w:rsidR="00467FCA" w:rsidRDefault="00467FCA">
      <w:pPr>
        <w:pStyle w:val="Textoindependiente"/>
      </w:pPr>
    </w:p>
    <w:p w14:paraId="23F0CA79" w14:textId="77777777" w:rsidR="00467FCA" w:rsidRDefault="001B68EB">
      <w:pPr>
        <w:pStyle w:val="Prrafodelista"/>
        <w:numPr>
          <w:ilvl w:val="0"/>
          <w:numId w:val="50"/>
        </w:numPr>
        <w:tabs>
          <w:tab w:val="left" w:pos="687"/>
        </w:tabs>
        <w:ind w:left="119" w:right="117" w:firstLine="0"/>
        <w:jc w:val="both"/>
        <w:rPr>
          <w:sz w:val="20"/>
        </w:rPr>
      </w:pPr>
      <w:r>
        <w:rPr>
          <w:sz w:val="20"/>
        </w:rPr>
        <w:t>En efecto, este Tribunal ha establecido que, si el paso del tiempo incide de manera relevante en la situación jurídica del individuo, resultará necesario que el procedimiento avance con mayor diligencia a fin de que el caso se resuelva en un tiempo breve</w:t>
      </w:r>
      <w:hyperlink w:anchor="_bookmark378" w:history="1">
        <w:r>
          <w:rPr>
            <w:position w:val="7"/>
            <w:sz w:val="13"/>
          </w:rPr>
          <w:t>324</w:t>
        </w:r>
      </w:hyperlink>
      <w:r>
        <w:rPr>
          <w:sz w:val="20"/>
        </w:rPr>
        <w:t>. La</w:t>
      </w:r>
      <w:r>
        <w:rPr>
          <w:spacing w:val="-44"/>
          <w:sz w:val="20"/>
        </w:rPr>
        <w:t xml:space="preserve"> </w:t>
      </w:r>
      <w:r>
        <w:rPr>
          <w:sz w:val="20"/>
        </w:rPr>
        <w:t>Corte recuerda que corresponde al Estado justificar, con fundamento en los criterios señalados, la razón</w:t>
      </w:r>
      <w:r>
        <w:rPr>
          <w:spacing w:val="-19"/>
          <w:sz w:val="20"/>
        </w:rPr>
        <w:t xml:space="preserve"> </w:t>
      </w:r>
      <w:r>
        <w:rPr>
          <w:sz w:val="20"/>
        </w:rPr>
        <w:t>por</w:t>
      </w:r>
      <w:r>
        <w:rPr>
          <w:spacing w:val="-18"/>
          <w:sz w:val="20"/>
        </w:rPr>
        <w:t xml:space="preserve"> </w:t>
      </w:r>
      <w:r>
        <w:rPr>
          <w:sz w:val="20"/>
        </w:rPr>
        <w:t>la</w:t>
      </w:r>
      <w:r>
        <w:rPr>
          <w:spacing w:val="-16"/>
          <w:sz w:val="20"/>
        </w:rPr>
        <w:t xml:space="preserve"> </w:t>
      </w:r>
      <w:r>
        <w:rPr>
          <w:sz w:val="20"/>
        </w:rPr>
        <w:t>cual</w:t>
      </w:r>
      <w:r>
        <w:rPr>
          <w:spacing w:val="-19"/>
          <w:sz w:val="20"/>
        </w:rPr>
        <w:t xml:space="preserve"> </w:t>
      </w:r>
      <w:r>
        <w:rPr>
          <w:sz w:val="20"/>
        </w:rPr>
        <w:t>ha</w:t>
      </w:r>
      <w:r>
        <w:rPr>
          <w:spacing w:val="-16"/>
          <w:sz w:val="20"/>
        </w:rPr>
        <w:t xml:space="preserve"> </w:t>
      </w:r>
      <w:r>
        <w:rPr>
          <w:sz w:val="20"/>
        </w:rPr>
        <w:t>requerido</w:t>
      </w:r>
      <w:r>
        <w:rPr>
          <w:spacing w:val="-20"/>
          <w:sz w:val="20"/>
        </w:rPr>
        <w:t xml:space="preserve"> </w:t>
      </w:r>
      <w:r>
        <w:rPr>
          <w:sz w:val="20"/>
        </w:rPr>
        <w:t>del</w:t>
      </w:r>
      <w:r>
        <w:rPr>
          <w:spacing w:val="-18"/>
          <w:sz w:val="20"/>
        </w:rPr>
        <w:t xml:space="preserve"> </w:t>
      </w:r>
      <w:r>
        <w:rPr>
          <w:sz w:val="20"/>
        </w:rPr>
        <w:t>tiempo</w:t>
      </w:r>
      <w:r>
        <w:rPr>
          <w:spacing w:val="-21"/>
          <w:sz w:val="20"/>
        </w:rPr>
        <w:t xml:space="preserve"> </w:t>
      </w:r>
      <w:r>
        <w:rPr>
          <w:sz w:val="20"/>
        </w:rPr>
        <w:t>transcurrido</w:t>
      </w:r>
      <w:r>
        <w:rPr>
          <w:spacing w:val="-20"/>
          <w:sz w:val="20"/>
        </w:rPr>
        <w:t xml:space="preserve"> </w:t>
      </w:r>
      <w:r>
        <w:rPr>
          <w:sz w:val="20"/>
        </w:rPr>
        <w:t>para</w:t>
      </w:r>
      <w:r>
        <w:rPr>
          <w:spacing w:val="-19"/>
          <w:sz w:val="20"/>
        </w:rPr>
        <w:t xml:space="preserve"> </w:t>
      </w:r>
      <w:r>
        <w:rPr>
          <w:sz w:val="20"/>
        </w:rPr>
        <w:t>tratar</w:t>
      </w:r>
      <w:r>
        <w:rPr>
          <w:spacing w:val="-18"/>
          <w:sz w:val="20"/>
        </w:rPr>
        <w:t xml:space="preserve"> </w:t>
      </w:r>
      <w:r>
        <w:rPr>
          <w:sz w:val="20"/>
        </w:rPr>
        <w:t>el</w:t>
      </w:r>
      <w:r>
        <w:rPr>
          <w:spacing w:val="-17"/>
          <w:sz w:val="20"/>
        </w:rPr>
        <w:t xml:space="preserve"> </w:t>
      </w:r>
      <w:r>
        <w:rPr>
          <w:sz w:val="20"/>
        </w:rPr>
        <w:t>caso</w:t>
      </w:r>
      <w:r>
        <w:rPr>
          <w:spacing w:val="-15"/>
          <w:sz w:val="20"/>
        </w:rPr>
        <w:t xml:space="preserve"> </w:t>
      </w:r>
      <w:r>
        <w:rPr>
          <w:sz w:val="20"/>
        </w:rPr>
        <w:t>y,</w:t>
      </w:r>
      <w:r>
        <w:rPr>
          <w:spacing w:val="-19"/>
          <w:sz w:val="20"/>
        </w:rPr>
        <w:t xml:space="preserve"> </w:t>
      </w:r>
      <w:r>
        <w:rPr>
          <w:sz w:val="20"/>
        </w:rPr>
        <w:t>de</w:t>
      </w:r>
      <w:r>
        <w:rPr>
          <w:spacing w:val="-20"/>
          <w:sz w:val="20"/>
        </w:rPr>
        <w:t xml:space="preserve"> </w:t>
      </w:r>
      <w:r>
        <w:rPr>
          <w:sz w:val="20"/>
        </w:rPr>
        <w:t>no</w:t>
      </w:r>
      <w:r>
        <w:rPr>
          <w:spacing w:val="-21"/>
          <w:sz w:val="20"/>
        </w:rPr>
        <w:t xml:space="preserve"> </w:t>
      </w:r>
      <w:r>
        <w:rPr>
          <w:sz w:val="20"/>
        </w:rPr>
        <w:t>demostrarlo, la Corte tiene amplias</w:t>
      </w:r>
      <w:r>
        <w:rPr>
          <w:sz w:val="20"/>
        </w:rPr>
        <w:t xml:space="preserve"> atribuciones para hacer su propia estimación al</w:t>
      </w:r>
      <w:r>
        <w:rPr>
          <w:spacing w:val="-15"/>
          <w:sz w:val="20"/>
        </w:rPr>
        <w:t xml:space="preserve"> </w:t>
      </w:r>
      <w:r>
        <w:rPr>
          <w:sz w:val="20"/>
        </w:rPr>
        <w:t>respecto</w:t>
      </w:r>
      <w:hyperlink w:anchor="_bookmark379" w:history="1">
        <w:r>
          <w:rPr>
            <w:position w:val="7"/>
            <w:sz w:val="13"/>
          </w:rPr>
          <w:t>325</w:t>
        </w:r>
      </w:hyperlink>
      <w:r>
        <w:rPr>
          <w:sz w:val="20"/>
        </w:rPr>
        <w:t>.</w:t>
      </w:r>
    </w:p>
    <w:p w14:paraId="679455DA" w14:textId="77777777" w:rsidR="00467FCA" w:rsidRDefault="001B68EB">
      <w:pPr>
        <w:pStyle w:val="Textoindependiente"/>
        <w:spacing w:before="7"/>
        <w:rPr>
          <w:sz w:val="13"/>
        </w:rPr>
      </w:pPr>
      <w:r>
        <w:pict w14:anchorId="57F1D881">
          <v:shape id="_x0000_s1137" style="position:absolute;margin-left:1in;margin-top:10.5pt;width:2in;height:.1pt;z-index:-251597824;mso-wrap-distance-left:0;mso-wrap-distance-right:0;mso-position-horizontal-relative:page" coordorigin="1440,210" coordsize="2880,0" path="m1440,210r2880,e" filled="f" strokeweight=".21131mm">
            <v:path arrowok="t"/>
            <w10:wrap type="topAndBottom" anchorx="page"/>
          </v:shape>
        </w:pict>
      </w:r>
    </w:p>
    <w:p w14:paraId="40AE7A7D" w14:textId="77777777" w:rsidR="00467FCA" w:rsidRDefault="001B68EB">
      <w:pPr>
        <w:tabs>
          <w:tab w:val="left" w:pos="839"/>
        </w:tabs>
        <w:spacing w:before="74"/>
        <w:ind w:left="119" w:right="115"/>
        <w:jc w:val="both"/>
        <w:rPr>
          <w:sz w:val="16"/>
        </w:rPr>
      </w:pPr>
      <w:bookmarkStart w:id="422" w:name="_bookmark371"/>
      <w:bookmarkEnd w:id="422"/>
      <w:r>
        <w:rPr>
          <w:position w:val="6"/>
          <w:sz w:val="10"/>
        </w:rPr>
        <w:t>317</w:t>
      </w:r>
      <w:r>
        <w:rPr>
          <w:position w:val="6"/>
          <w:sz w:val="10"/>
        </w:rPr>
        <w:tab/>
      </w:r>
      <w:r>
        <w:rPr>
          <w:i/>
          <w:sz w:val="16"/>
        </w:rPr>
        <w:t>Cfr.</w:t>
      </w:r>
      <w:r>
        <w:rPr>
          <w:i/>
          <w:spacing w:val="-1"/>
          <w:sz w:val="16"/>
        </w:rPr>
        <w:t xml:space="preserve"> </w:t>
      </w:r>
      <w:r>
        <w:rPr>
          <w:i/>
          <w:sz w:val="16"/>
        </w:rPr>
        <w:t>Caso</w:t>
      </w:r>
      <w:r>
        <w:rPr>
          <w:i/>
          <w:spacing w:val="-2"/>
          <w:sz w:val="16"/>
        </w:rPr>
        <w:t xml:space="preserve"> </w:t>
      </w:r>
      <w:r>
        <w:rPr>
          <w:i/>
          <w:sz w:val="16"/>
        </w:rPr>
        <w:t>Suárez</w:t>
      </w:r>
      <w:r>
        <w:rPr>
          <w:i/>
          <w:spacing w:val="-2"/>
          <w:sz w:val="16"/>
        </w:rPr>
        <w:t xml:space="preserve"> </w:t>
      </w:r>
      <w:r>
        <w:rPr>
          <w:i/>
          <w:sz w:val="16"/>
        </w:rPr>
        <w:t>Rosero</w:t>
      </w:r>
      <w:r>
        <w:rPr>
          <w:i/>
          <w:spacing w:val="-2"/>
          <w:sz w:val="16"/>
        </w:rPr>
        <w:t xml:space="preserve"> </w:t>
      </w:r>
      <w:r>
        <w:rPr>
          <w:i/>
          <w:sz w:val="16"/>
        </w:rPr>
        <w:t>Vs.</w:t>
      </w:r>
      <w:r>
        <w:rPr>
          <w:i/>
          <w:spacing w:val="-3"/>
          <w:sz w:val="16"/>
        </w:rPr>
        <w:t xml:space="preserve"> </w:t>
      </w:r>
      <w:r>
        <w:rPr>
          <w:i/>
          <w:sz w:val="16"/>
        </w:rPr>
        <w:t>Ecuador.</w:t>
      </w:r>
      <w:r>
        <w:rPr>
          <w:i/>
          <w:spacing w:val="-2"/>
          <w:sz w:val="16"/>
        </w:rPr>
        <w:t xml:space="preserve"> </w:t>
      </w:r>
      <w:r>
        <w:rPr>
          <w:i/>
          <w:sz w:val="16"/>
        </w:rPr>
        <w:t>Fondo</w:t>
      </w:r>
      <w:r>
        <w:rPr>
          <w:sz w:val="16"/>
        </w:rPr>
        <w:t>.</w:t>
      </w:r>
      <w:r>
        <w:rPr>
          <w:spacing w:val="-4"/>
          <w:sz w:val="16"/>
        </w:rPr>
        <w:t xml:space="preserve"> </w:t>
      </w:r>
      <w:r>
        <w:rPr>
          <w:sz w:val="16"/>
        </w:rPr>
        <w:t>Sentencia</w:t>
      </w:r>
      <w:r>
        <w:rPr>
          <w:spacing w:val="-3"/>
          <w:sz w:val="16"/>
        </w:rPr>
        <w:t xml:space="preserve"> </w:t>
      </w:r>
      <w:r>
        <w:rPr>
          <w:sz w:val="16"/>
        </w:rPr>
        <w:t>de</w:t>
      </w:r>
      <w:r>
        <w:rPr>
          <w:spacing w:val="-4"/>
          <w:sz w:val="16"/>
        </w:rPr>
        <w:t xml:space="preserve"> </w:t>
      </w:r>
      <w:r>
        <w:rPr>
          <w:sz w:val="16"/>
        </w:rPr>
        <w:t>12</w:t>
      </w:r>
      <w:r>
        <w:rPr>
          <w:spacing w:val="-2"/>
          <w:sz w:val="16"/>
        </w:rPr>
        <w:t xml:space="preserve"> </w:t>
      </w:r>
      <w:r>
        <w:rPr>
          <w:sz w:val="16"/>
        </w:rPr>
        <w:t>de</w:t>
      </w:r>
      <w:r>
        <w:rPr>
          <w:spacing w:val="1"/>
          <w:sz w:val="16"/>
        </w:rPr>
        <w:t xml:space="preserve"> </w:t>
      </w:r>
      <w:r>
        <w:rPr>
          <w:sz w:val="16"/>
        </w:rPr>
        <w:t>noviembre</w:t>
      </w:r>
      <w:r>
        <w:rPr>
          <w:spacing w:val="-2"/>
          <w:sz w:val="16"/>
        </w:rPr>
        <w:t xml:space="preserve"> </w:t>
      </w:r>
      <w:r>
        <w:rPr>
          <w:sz w:val="16"/>
        </w:rPr>
        <w:t>de</w:t>
      </w:r>
      <w:r>
        <w:rPr>
          <w:spacing w:val="-5"/>
          <w:sz w:val="16"/>
        </w:rPr>
        <w:t xml:space="preserve"> </w:t>
      </w:r>
      <w:r>
        <w:rPr>
          <w:sz w:val="16"/>
        </w:rPr>
        <w:t>1997.</w:t>
      </w:r>
      <w:r>
        <w:rPr>
          <w:spacing w:val="-2"/>
          <w:sz w:val="16"/>
        </w:rPr>
        <w:t xml:space="preserve"> </w:t>
      </w:r>
      <w:r>
        <w:rPr>
          <w:sz w:val="16"/>
        </w:rPr>
        <w:t>Serie</w:t>
      </w:r>
      <w:r>
        <w:rPr>
          <w:spacing w:val="-2"/>
          <w:sz w:val="16"/>
        </w:rPr>
        <w:t xml:space="preserve"> </w:t>
      </w:r>
      <w:r>
        <w:rPr>
          <w:sz w:val="16"/>
        </w:rPr>
        <w:t>C</w:t>
      </w:r>
      <w:r>
        <w:rPr>
          <w:spacing w:val="-2"/>
          <w:sz w:val="16"/>
        </w:rPr>
        <w:t xml:space="preserve"> </w:t>
      </w:r>
      <w:r>
        <w:rPr>
          <w:sz w:val="16"/>
        </w:rPr>
        <w:t>No.</w:t>
      </w:r>
      <w:r>
        <w:rPr>
          <w:spacing w:val="-2"/>
          <w:sz w:val="16"/>
        </w:rPr>
        <w:t xml:space="preserve"> </w:t>
      </w:r>
      <w:r>
        <w:rPr>
          <w:sz w:val="16"/>
        </w:rPr>
        <w:t>35,</w:t>
      </w:r>
      <w:r>
        <w:rPr>
          <w:spacing w:val="-3"/>
          <w:sz w:val="16"/>
        </w:rPr>
        <w:t xml:space="preserve"> </w:t>
      </w:r>
      <w:r>
        <w:rPr>
          <w:sz w:val="16"/>
        </w:rPr>
        <w:t xml:space="preserve">párr. 71, y </w:t>
      </w:r>
      <w:r>
        <w:rPr>
          <w:i/>
          <w:sz w:val="16"/>
        </w:rPr>
        <w:t>Caso Carranza Alarcón Vs. Ecuador, supra</w:t>
      </w:r>
      <w:r>
        <w:rPr>
          <w:sz w:val="16"/>
        </w:rPr>
        <w:t>, párr.</w:t>
      </w:r>
      <w:r>
        <w:rPr>
          <w:spacing w:val="-19"/>
          <w:sz w:val="16"/>
        </w:rPr>
        <w:t xml:space="preserve"> </w:t>
      </w:r>
      <w:r>
        <w:rPr>
          <w:sz w:val="16"/>
        </w:rPr>
        <w:t>92.</w:t>
      </w:r>
    </w:p>
    <w:p w14:paraId="009DF5A4" w14:textId="77777777" w:rsidR="00467FCA" w:rsidRDefault="001B68EB">
      <w:pPr>
        <w:tabs>
          <w:tab w:val="left" w:pos="839"/>
        </w:tabs>
        <w:spacing w:line="242" w:lineRule="auto"/>
        <w:ind w:left="119" w:right="119"/>
        <w:jc w:val="both"/>
        <w:rPr>
          <w:sz w:val="16"/>
        </w:rPr>
      </w:pPr>
      <w:bookmarkStart w:id="423" w:name="_bookmark372"/>
      <w:bookmarkEnd w:id="423"/>
      <w:r>
        <w:rPr>
          <w:position w:val="6"/>
          <w:sz w:val="10"/>
        </w:rPr>
        <w:t>318</w:t>
      </w:r>
      <w:r>
        <w:rPr>
          <w:position w:val="6"/>
          <w:sz w:val="10"/>
        </w:rPr>
        <w:tab/>
      </w:r>
      <w:r>
        <w:rPr>
          <w:i/>
          <w:sz w:val="16"/>
        </w:rPr>
        <w:t xml:space="preserve">Cfr. Caso Suárez Rosero Vs. Ecuador. Fondo, supra, </w:t>
      </w:r>
      <w:r>
        <w:rPr>
          <w:sz w:val="16"/>
        </w:rPr>
        <w:t xml:space="preserve">párr. 71, y </w:t>
      </w:r>
      <w:r>
        <w:rPr>
          <w:i/>
          <w:sz w:val="16"/>
        </w:rPr>
        <w:t xml:space="preserve">Caso Quispialaya Vilcapoma Vs. Perú. Excepciones Preliminares, Fondo, Reparaciones y Costas. </w:t>
      </w:r>
      <w:r>
        <w:rPr>
          <w:sz w:val="16"/>
        </w:rPr>
        <w:t xml:space="preserve">Sentencia de 23 de noviembre de 2015. Serie </w:t>
      </w:r>
      <w:r>
        <w:rPr>
          <w:sz w:val="16"/>
        </w:rPr>
        <w:t>C No. 308</w:t>
      </w:r>
      <w:r>
        <w:rPr>
          <w:i/>
          <w:sz w:val="16"/>
        </w:rPr>
        <w:t xml:space="preserve">, </w:t>
      </w:r>
      <w:r>
        <w:rPr>
          <w:sz w:val="16"/>
        </w:rPr>
        <w:t>párr.</w:t>
      </w:r>
      <w:r>
        <w:rPr>
          <w:spacing w:val="-1"/>
          <w:sz w:val="16"/>
        </w:rPr>
        <w:t xml:space="preserve"> </w:t>
      </w:r>
      <w:r>
        <w:rPr>
          <w:sz w:val="16"/>
        </w:rPr>
        <w:t>176.</w:t>
      </w:r>
    </w:p>
    <w:p w14:paraId="46E53B17" w14:textId="77777777" w:rsidR="00467FCA" w:rsidRDefault="001B68EB">
      <w:pPr>
        <w:tabs>
          <w:tab w:val="left" w:pos="839"/>
        </w:tabs>
        <w:ind w:left="120" w:right="114"/>
        <w:jc w:val="both"/>
        <w:rPr>
          <w:sz w:val="16"/>
        </w:rPr>
      </w:pPr>
      <w:bookmarkStart w:id="424" w:name="_bookmark373"/>
      <w:bookmarkEnd w:id="424"/>
      <w:r>
        <w:rPr>
          <w:position w:val="6"/>
          <w:sz w:val="10"/>
        </w:rPr>
        <w:t>319</w:t>
      </w:r>
      <w:r>
        <w:rPr>
          <w:position w:val="6"/>
          <w:sz w:val="10"/>
        </w:rPr>
        <w:tab/>
      </w:r>
      <w:r>
        <w:rPr>
          <w:i/>
          <w:sz w:val="16"/>
        </w:rPr>
        <w:t>Cfr. Caso Hilaire, Constantine y Benjamin y otros Vs. Trinidad y Tobago. Fondo, Reparaciones y Costas</w:t>
      </w:r>
      <w:r>
        <w:rPr>
          <w:sz w:val="16"/>
        </w:rPr>
        <w:t>. Sentencia de 21 de junio de 2002. Serie C No. 94</w:t>
      </w:r>
      <w:r>
        <w:rPr>
          <w:i/>
          <w:sz w:val="16"/>
        </w:rPr>
        <w:t xml:space="preserve">, </w:t>
      </w:r>
      <w:r>
        <w:rPr>
          <w:sz w:val="16"/>
        </w:rPr>
        <w:t xml:space="preserve">párr. 145, y </w:t>
      </w:r>
      <w:r>
        <w:rPr>
          <w:i/>
          <w:sz w:val="16"/>
        </w:rPr>
        <w:t>Caso Noguera y otra Vs. Paraguay, supra</w:t>
      </w:r>
      <w:r>
        <w:rPr>
          <w:sz w:val="16"/>
        </w:rPr>
        <w:t>, párr.</w:t>
      </w:r>
      <w:r>
        <w:rPr>
          <w:spacing w:val="-40"/>
          <w:sz w:val="16"/>
        </w:rPr>
        <w:t xml:space="preserve"> </w:t>
      </w:r>
      <w:r>
        <w:rPr>
          <w:sz w:val="16"/>
        </w:rPr>
        <w:t>83.</w:t>
      </w:r>
    </w:p>
    <w:p w14:paraId="6318C921" w14:textId="77777777" w:rsidR="00467FCA" w:rsidRDefault="001B68EB">
      <w:pPr>
        <w:tabs>
          <w:tab w:val="left" w:pos="839"/>
        </w:tabs>
        <w:ind w:left="119" w:right="116"/>
        <w:jc w:val="both"/>
        <w:rPr>
          <w:sz w:val="16"/>
        </w:rPr>
      </w:pPr>
      <w:bookmarkStart w:id="425" w:name="_bookmark374"/>
      <w:bookmarkEnd w:id="425"/>
      <w:r>
        <w:rPr>
          <w:position w:val="6"/>
          <w:sz w:val="10"/>
        </w:rPr>
        <w:t>320</w:t>
      </w:r>
      <w:r>
        <w:rPr>
          <w:position w:val="6"/>
          <w:sz w:val="10"/>
        </w:rPr>
        <w:tab/>
      </w:r>
      <w:r>
        <w:rPr>
          <w:i/>
          <w:sz w:val="16"/>
        </w:rPr>
        <w:t>Cfr. Caso</w:t>
      </w:r>
      <w:r>
        <w:rPr>
          <w:i/>
          <w:sz w:val="16"/>
        </w:rPr>
        <w:t xml:space="preserve"> Genie Lacayo Vs. Nicaragua. Excepciones Preliminares</w:t>
      </w:r>
      <w:r>
        <w:rPr>
          <w:sz w:val="16"/>
        </w:rPr>
        <w:t xml:space="preserve">. Sentencia de 27 de enero de 1995. Serie C No. 21, párr. 78, y </w:t>
      </w:r>
      <w:r>
        <w:rPr>
          <w:i/>
          <w:sz w:val="16"/>
        </w:rPr>
        <w:t>Caso Noguera y otra Vs. Paraguay, supra</w:t>
      </w:r>
      <w:r>
        <w:rPr>
          <w:sz w:val="16"/>
        </w:rPr>
        <w:t>, párr. 83 y nota a pie</w:t>
      </w:r>
      <w:r>
        <w:rPr>
          <w:spacing w:val="-28"/>
          <w:sz w:val="16"/>
        </w:rPr>
        <w:t xml:space="preserve"> </w:t>
      </w:r>
      <w:r>
        <w:rPr>
          <w:sz w:val="16"/>
        </w:rPr>
        <w:t>83.</w:t>
      </w:r>
    </w:p>
    <w:p w14:paraId="48E8F23F" w14:textId="77777777" w:rsidR="00467FCA" w:rsidRDefault="001B68EB">
      <w:pPr>
        <w:tabs>
          <w:tab w:val="left" w:pos="839"/>
        </w:tabs>
        <w:ind w:left="119" w:right="116"/>
        <w:jc w:val="both"/>
        <w:rPr>
          <w:sz w:val="16"/>
        </w:rPr>
      </w:pPr>
      <w:bookmarkStart w:id="426" w:name="_bookmark375"/>
      <w:bookmarkEnd w:id="426"/>
      <w:r>
        <w:rPr>
          <w:position w:val="6"/>
          <w:sz w:val="10"/>
        </w:rPr>
        <w:t>321</w:t>
      </w:r>
      <w:r>
        <w:rPr>
          <w:position w:val="6"/>
          <w:sz w:val="10"/>
        </w:rPr>
        <w:tab/>
      </w:r>
      <w:r>
        <w:rPr>
          <w:i/>
          <w:sz w:val="16"/>
        </w:rPr>
        <w:t>Cfr</w:t>
      </w:r>
      <w:r>
        <w:rPr>
          <w:sz w:val="16"/>
        </w:rPr>
        <w:t xml:space="preserve">. </w:t>
      </w:r>
      <w:r>
        <w:rPr>
          <w:i/>
          <w:sz w:val="16"/>
        </w:rPr>
        <w:t>Caso Cantos Vs. Argentina, supra</w:t>
      </w:r>
      <w:r>
        <w:rPr>
          <w:sz w:val="16"/>
        </w:rPr>
        <w:t xml:space="preserve">, párr. 57, y </w:t>
      </w:r>
      <w:r>
        <w:rPr>
          <w:i/>
          <w:sz w:val="16"/>
        </w:rPr>
        <w:t xml:space="preserve">Caso Noguera y otra Vs. Paraguay, supra, </w:t>
      </w:r>
      <w:r>
        <w:rPr>
          <w:sz w:val="16"/>
        </w:rPr>
        <w:t>401, párr. 83 y nota a pie</w:t>
      </w:r>
      <w:r>
        <w:rPr>
          <w:spacing w:val="-3"/>
          <w:sz w:val="16"/>
        </w:rPr>
        <w:t xml:space="preserve"> </w:t>
      </w:r>
      <w:r>
        <w:rPr>
          <w:sz w:val="16"/>
        </w:rPr>
        <w:t>84.</w:t>
      </w:r>
    </w:p>
    <w:p w14:paraId="2BA22D02" w14:textId="77777777" w:rsidR="00467FCA" w:rsidRDefault="001B68EB">
      <w:pPr>
        <w:tabs>
          <w:tab w:val="left" w:pos="839"/>
        </w:tabs>
        <w:ind w:left="117" w:right="113" w:firstLine="2"/>
        <w:jc w:val="both"/>
        <w:rPr>
          <w:sz w:val="16"/>
        </w:rPr>
      </w:pPr>
      <w:bookmarkStart w:id="427" w:name="_bookmark376"/>
      <w:bookmarkEnd w:id="427"/>
      <w:r>
        <w:rPr>
          <w:position w:val="6"/>
          <w:sz w:val="10"/>
        </w:rPr>
        <w:t>322</w:t>
      </w:r>
      <w:r>
        <w:rPr>
          <w:position w:val="6"/>
          <w:sz w:val="10"/>
        </w:rPr>
        <w:tab/>
      </w:r>
      <w:r>
        <w:rPr>
          <w:sz w:val="16"/>
        </w:rPr>
        <w:t xml:space="preserve">La Corte ha </w:t>
      </w:r>
      <w:r>
        <w:rPr>
          <w:spacing w:val="-3"/>
          <w:sz w:val="16"/>
        </w:rPr>
        <w:t xml:space="preserve">entendido que, para lograr plenamente </w:t>
      </w:r>
      <w:r>
        <w:rPr>
          <w:sz w:val="16"/>
        </w:rPr>
        <w:t xml:space="preserve">la </w:t>
      </w:r>
      <w:r>
        <w:rPr>
          <w:spacing w:val="-3"/>
          <w:sz w:val="16"/>
        </w:rPr>
        <w:t xml:space="preserve">efectividad </w:t>
      </w:r>
      <w:r>
        <w:rPr>
          <w:sz w:val="16"/>
        </w:rPr>
        <w:t xml:space="preserve">de la </w:t>
      </w:r>
      <w:r>
        <w:rPr>
          <w:spacing w:val="-4"/>
          <w:sz w:val="16"/>
        </w:rPr>
        <w:t xml:space="preserve">sentencia, </w:t>
      </w:r>
      <w:r>
        <w:rPr>
          <w:spacing w:val="-3"/>
          <w:sz w:val="16"/>
        </w:rPr>
        <w:t xml:space="preserve">las autoridades judiciales </w:t>
      </w:r>
      <w:r>
        <w:rPr>
          <w:sz w:val="16"/>
        </w:rPr>
        <w:t xml:space="preserve">deben actuar con </w:t>
      </w:r>
      <w:r>
        <w:rPr>
          <w:spacing w:val="-3"/>
          <w:sz w:val="16"/>
        </w:rPr>
        <w:t>celerida</w:t>
      </w:r>
      <w:r>
        <w:rPr>
          <w:spacing w:val="-3"/>
          <w:sz w:val="16"/>
        </w:rPr>
        <w:t xml:space="preserve">d </w:t>
      </w:r>
      <w:r>
        <w:rPr>
          <w:sz w:val="16"/>
        </w:rPr>
        <w:t xml:space="preserve">y </w:t>
      </w:r>
      <w:r>
        <w:rPr>
          <w:spacing w:val="-3"/>
          <w:sz w:val="16"/>
        </w:rPr>
        <w:t xml:space="preserve">sin demora, debido </w:t>
      </w:r>
      <w:r>
        <w:rPr>
          <w:sz w:val="16"/>
        </w:rPr>
        <w:t xml:space="preserve">a </w:t>
      </w:r>
      <w:r>
        <w:rPr>
          <w:spacing w:val="-2"/>
          <w:sz w:val="16"/>
        </w:rPr>
        <w:t xml:space="preserve">que </w:t>
      </w:r>
      <w:r>
        <w:rPr>
          <w:sz w:val="16"/>
        </w:rPr>
        <w:t xml:space="preserve">el </w:t>
      </w:r>
      <w:r>
        <w:rPr>
          <w:spacing w:val="-3"/>
          <w:sz w:val="16"/>
        </w:rPr>
        <w:t xml:space="preserve">principio </w:t>
      </w:r>
      <w:r>
        <w:rPr>
          <w:sz w:val="16"/>
        </w:rPr>
        <w:t xml:space="preserve">de </w:t>
      </w:r>
      <w:r>
        <w:rPr>
          <w:spacing w:val="-4"/>
          <w:sz w:val="16"/>
        </w:rPr>
        <w:t xml:space="preserve">tutela </w:t>
      </w:r>
      <w:r>
        <w:rPr>
          <w:spacing w:val="-3"/>
          <w:sz w:val="16"/>
        </w:rPr>
        <w:t xml:space="preserve">judicial efectiva requiere </w:t>
      </w:r>
      <w:r>
        <w:rPr>
          <w:spacing w:val="-2"/>
          <w:sz w:val="16"/>
        </w:rPr>
        <w:t xml:space="preserve">que los </w:t>
      </w:r>
      <w:r>
        <w:rPr>
          <w:spacing w:val="-3"/>
          <w:sz w:val="16"/>
        </w:rPr>
        <w:t>procedimientos</w:t>
      </w:r>
      <w:r>
        <w:rPr>
          <w:spacing w:val="-6"/>
          <w:sz w:val="16"/>
        </w:rPr>
        <w:t xml:space="preserve"> </w:t>
      </w:r>
      <w:r>
        <w:rPr>
          <w:sz w:val="16"/>
        </w:rPr>
        <w:t>de</w:t>
      </w:r>
      <w:r>
        <w:rPr>
          <w:spacing w:val="-8"/>
          <w:sz w:val="16"/>
        </w:rPr>
        <w:t xml:space="preserve"> </w:t>
      </w:r>
      <w:r>
        <w:rPr>
          <w:spacing w:val="-3"/>
          <w:sz w:val="16"/>
        </w:rPr>
        <w:t>ejecución</w:t>
      </w:r>
      <w:r>
        <w:rPr>
          <w:spacing w:val="-7"/>
          <w:sz w:val="16"/>
        </w:rPr>
        <w:t xml:space="preserve"> </w:t>
      </w:r>
      <w:r>
        <w:rPr>
          <w:spacing w:val="-3"/>
          <w:sz w:val="16"/>
        </w:rPr>
        <w:t>sean</w:t>
      </w:r>
      <w:r>
        <w:rPr>
          <w:spacing w:val="-6"/>
          <w:sz w:val="16"/>
        </w:rPr>
        <w:t xml:space="preserve"> </w:t>
      </w:r>
      <w:r>
        <w:rPr>
          <w:spacing w:val="-3"/>
          <w:sz w:val="16"/>
        </w:rPr>
        <w:t>llevados</w:t>
      </w:r>
      <w:r>
        <w:rPr>
          <w:spacing w:val="-6"/>
          <w:sz w:val="16"/>
        </w:rPr>
        <w:t xml:space="preserve"> </w:t>
      </w:r>
      <w:r>
        <w:rPr>
          <w:sz w:val="16"/>
        </w:rPr>
        <w:t>a</w:t>
      </w:r>
      <w:r>
        <w:rPr>
          <w:spacing w:val="-9"/>
          <w:sz w:val="16"/>
        </w:rPr>
        <w:t xml:space="preserve"> </w:t>
      </w:r>
      <w:r>
        <w:rPr>
          <w:spacing w:val="-3"/>
          <w:sz w:val="16"/>
        </w:rPr>
        <w:t>cabo</w:t>
      </w:r>
      <w:r>
        <w:rPr>
          <w:spacing w:val="-4"/>
          <w:sz w:val="16"/>
        </w:rPr>
        <w:t xml:space="preserve"> </w:t>
      </w:r>
      <w:r>
        <w:rPr>
          <w:spacing w:val="-3"/>
          <w:sz w:val="16"/>
        </w:rPr>
        <w:t>sin</w:t>
      </w:r>
      <w:r>
        <w:rPr>
          <w:spacing w:val="-9"/>
          <w:sz w:val="16"/>
        </w:rPr>
        <w:t xml:space="preserve"> </w:t>
      </w:r>
      <w:r>
        <w:rPr>
          <w:spacing w:val="-3"/>
          <w:sz w:val="16"/>
        </w:rPr>
        <w:t>obstáculos</w:t>
      </w:r>
      <w:r>
        <w:rPr>
          <w:spacing w:val="-8"/>
          <w:sz w:val="16"/>
        </w:rPr>
        <w:t xml:space="preserve"> </w:t>
      </w:r>
      <w:r>
        <w:rPr>
          <w:sz w:val="16"/>
        </w:rPr>
        <w:t>o</w:t>
      </w:r>
      <w:r>
        <w:rPr>
          <w:spacing w:val="-7"/>
          <w:sz w:val="16"/>
        </w:rPr>
        <w:t xml:space="preserve"> </w:t>
      </w:r>
      <w:r>
        <w:rPr>
          <w:spacing w:val="-3"/>
          <w:sz w:val="16"/>
        </w:rPr>
        <w:t>demoras</w:t>
      </w:r>
      <w:r>
        <w:rPr>
          <w:spacing w:val="-5"/>
          <w:sz w:val="16"/>
        </w:rPr>
        <w:t xml:space="preserve"> </w:t>
      </w:r>
      <w:r>
        <w:rPr>
          <w:spacing w:val="-3"/>
          <w:sz w:val="16"/>
        </w:rPr>
        <w:t>indebidas,</w:t>
      </w:r>
      <w:r>
        <w:rPr>
          <w:spacing w:val="-9"/>
          <w:sz w:val="16"/>
        </w:rPr>
        <w:t xml:space="preserve"> </w:t>
      </w:r>
      <w:r>
        <w:rPr>
          <w:sz w:val="16"/>
        </w:rPr>
        <w:t>a</w:t>
      </w:r>
      <w:r>
        <w:rPr>
          <w:spacing w:val="-9"/>
          <w:sz w:val="16"/>
        </w:rPr>
        <w:t xml:space="preserve"> </w:t>
      </w:r>
      <w:r>
        <w:rPr>
          <w:spacing w:val="-2"/>
          <w:sz w:val="16"/>
        </w:rPr>
        <w:t>fin</w:t>
      </w:r>
      <w:r>
        <w:rPr>
          <w:spacing w:val="-7"/>
          <w:sz w:val="16"/>
        </w:rPr>
        <w:t xml:space="preserve"> </w:t>
      </w:r>
      <w:r>
        <w:rPr>
          <w:spacing w:val="-3"/>
          <w:sz w:val="16"/>
        </w:rPr>
        <w:t>de</w:t>
      </w:r>
      <w:r>
        <w:rPr>
          <w:spacing w:val="-5"/>
          <w:sz w:val="16"/>
        </w:rPr>
        <w:t xml:space="preserve"> </w:t>
      </w:r>
      <w:r>
        <w:rPr>
          <w:spacing w:val="-2"/>
          <w:sz w:val="16"/>
        </w:rPr>
        <w:t>que</w:t>
      </w:r>
      <w:r>
        <w:rPr>
          <w:spacing w:val="-8"/>
          <w:sz w:val="16"/>
        </w:rPr>
        <w:t xml:space="preserve"> </w:t>
      </w:r>
      <w:r>
        <w:rPr>
          <w:spacing w:val="-3"/>
          <w:sz w:val="16"/>
        </w:rPr>
        <w:t>alcancen</w:t>
      </w:r>
      <w:r>
        <w:rPr>
          <w:spacing w:val="-7"/>
          <w:sz w:val="16"/>
        </w:rPr>
        <w:t xml:space="preserve"> </w:t>
      </w:r>
      <w:r>
        <w:rPr>
          <w:sz w:val="16"/>
        </w:rPr>
        <w:t>su</w:t>
      </w:r>
      <w:r>
        <w:rPr>
          <w:spacing w:val="-6"/>
          <w:sz w:val="16"/>
        </w:rPr>
        <w:t xml:space="preserve"> </w:t>
      </w:r>
      <w:r>
        <w:rPr>
          <w:spacing w:val="-3"/>
          <w:sz w:val="16"/>
        </w:rPr>
        <w:t xml:space="preserve">objetivo </w:t>
      </w:r>
      <w:r>
        <w:rPr>
          <w:sz w:val="16"/>
        </w:rPr>
        <w:t>de</w:t>
      </w:r>
      <w:r>
        <w:rPr>
          <w:spacing w:val="-9"/>
          <w:sz w:val="16"/>
        </w:rPr>
        <w:t xml:space="preserve"> </w:t>
      </w:r>
      <w:r>
        <w:rPr>
          <w:spacing w:val="-3"/>
          <w:sz w:val="16"/>
        </w:rPr>
        <w:t>manera</w:t>
      </w:r>
      <w:r>
        <w:rPr>
          <w:spacing w:val="-8"/>
          <w:sz w:val="16"/>
        </w:rPr>
        <w:t xml:space="preserve"> </w:t>
      </w:r>
      <w:r>
        <w:rPr>
          <w:spacing w:val="-3"/>
          <w:sz w:val="16"/>
        </w:rPr>
        <w:t>rápida,</w:t>
      </w:r>
      <w:r>
        <w:rPr>
          <w:spacing w:val="-9"/>
          <w:sz w:val="16"/>
        </w:rPr>
        <w:t xml:space="preserve"> </w:t>
      </w:r>
      <w:r>
        <w:rPr>
          <w:spacing w:val="-4"/>
          <w:sz w:val="16"/>
        </w:rPr>
        <w:t>sencilla</w:t>
      </w:r>
      <w:r>
        <w:rPr>
          <w:spacing w:val="-8"/>
          <w:sz w:val="16"/>
        </w:rPr>
        <w:t xml:space="preserve"> </w:t>
      </w:r>
      <w:r>
        <w:rPr>
          <w:sz w:val="16"/>
        </w:rPr>
        <w:t>e</w:t>
      </w:r>
      <w:r>
        <w:rPr>
          <w:spacing w:val="-8"/>
          <w:sz w:val="16"/>
        </w:rPr>
        <w:t xml:space="preserve"> </w:t>
      </w:r>
      <w:r>
        <w:rPr>
          <w:spacing w:val="-3"/>
          <w:sz w:val="16"/>
        </w:rPr>
        <w:t>integral.</w:t>
      </w:r>
      <w:r>
        <w:rPr>
          <w:spacing w:val="-6"/>
          <w:sz w:val="16"/>
        </w:rPr>
        <w:t xml:space="preserve"> </w:t>
      </w:r>
      <w:r>
        <w:rPr>
          <w:i/>
          <w:sz w:val="16"/>
        </w:rPr>
        <w:t>Cfr.</w:t>
      </w:r>
      <w:r>
        <w:rPr>
          <w:i/>
          <w:spacing w:val="-6"/>
          <w:sz w:val="16"/>
        </w:rPr>
        <w:t xml:space="preserve"> </w:t>
      </w:r>
      <w:r>
        <w:rPr>
          <w:i/>
          <w:sz w:val="16"/>
        </w:rPr>
        <w:t>Caso</w:t>
      </w:r>
      <w:r>
        <w:rPr>
          <w:i/>
          <w:spacing w:val="-5"/>
          <w:sz w:val="16"/>
        </w:rPr>
        <w:t xml:space="preserve"> </w:t>
      </w:r>
      <w:r>
        <w:rPr>
          <w:i/>
          <w:sz w:val="16"/>
        </w:rPr>
        <w:t>Mejía</w:t>
      </w:r>
      <w:r>
        <w:rPr>
          <w:i/>
          <w:spacing w:val="-7"/>
          <w:sz w:val="16"/>
        </w:rPr>
        <w:t xml:space="preserve"> </w:t>
      </w:r>
      <w:r>
        <w:rPr>
          <w:i/>
          <w:sz w:val="16"/>
        </w:rPr>
        <w:t>Idrovo</w:t>
      </w:r>
      <w:r>
        <w:rPr>
          <w:i/>
          <w:spacing w:val="-7"/>
          <w:sz w:val="16"/>
        </w:rPr>
        <w:t xml:space="preserve"> </w:t>
      </w:r>
      <w:r>
        <w:rPr>
          <w:i/>
          <w:sz w:val="16"/>
        </w:rPr>
        <w:t>Vs.</w:t>
      </w:r>
      <w:r>
        <w:rPr>
          <w:i/>
          <w:spacing w:val="-4"/>
          <w:sz w:val="16"/>
        </w:rPr>
        <w:t xml:space="preserve"> </w:t>
      </w:r>
      <w:r>
        <w:rPr>
          <w:i/>
          <w:sz w:val="16"/>
        </w:rPr>
        <w:t>Ecuador,</w:t>
      </w:r>
      <w:r>
        <w:rPr>
          <w:i/>
          <w:spacing w:val="-6"/>
          <w:sz w:val="16"/>
        </w:rPr>
        <w:t xml:space="preserve"> </w:t>
      </w:r>
      <w:r>
        <w:rPr>
          <w:i/>
          <w:sz w:val="16"/>
        </w:rPr>
        <w:t>supra,</w:t>
      </w:r>
      <w:r>
        <w:rPr>
          <w:i/>
          <w:spacing w:val="-4"/>
          <w:sz w:val="16"/>
        </w:rPr>
        <w:t xml:space="preserve"> </w:t>
      </w:r>
      <w:r>
        <w:rPr>
          <w:sz w:val="16"/>
        </w:rPr>
        <w:t>párr.</w:t>
      </w:r>
      <w:r>
        <w:rPr>
          <w:spacing w:val="-4"/>
          <w:sz w:val="16"/>
        </w:rPr>
        <w:t xml:space="preserve"> </w:t>
      </w:r>
      <w:r>
        <w:rPr>
          <w:sz w:val="16"/>
        </w:rPr>
        <w:t>106,</w:t>
      </w:r>
      <w:r>
        <w:rPr>
          <w:spacing w:val="-4"/>
          <w:sz w:val="16"/>
        </w:rPr>
        <w:t xml:space="preserve"> </w:t>
      </w:r>
      <w:r>
        <w:rPr>
          <w:sz w:val="16"/>
        </w:rPr>
        <w:t>y</w:t>
      </w:r>
      <w:r>
        <w:rPr>
          <w:spacing w:val="-5"/>
          <w:sz w:val="16"/>
        </w:rPr>
        <w:t xml:space="preserve"> </w:t>
      </w:r>
      <w:r>
        <w:rPr>
          <w:i/>
          <w:sz w:val="16"/>
        </w:rPr>
        <w:t>Caso</w:t>
      </w:r>
      <w:r>
        <w:rPr>
          <w:i/>
          <w:spacing w:val="-2"/>
          <w:sz w:val="16"/>
        </w:rPr>
        <w:t xml:space="preserve"> </w:t>
      </w:r>
      <w:r>
        <w:rPr>
          <w:i/>
          <w:sz w:val="16"/>
        </w:rPr>
        <w:t>Noguera</w:t>
      </w:r>
      <w:r>
        <w:rPr>
          <w:i/>
          <w:spacing w:val="-6"/>
          <w:sz w:val="16"/>
        </w:rPr>
        <w:t xml:space="preserve"> </w:t>
      </w:r>
      <w:r>
        <w:rPr>
          <w:i/>
          <w:sz w:val="16"/>
        </w:rPr>
        <w:t>y</w:t>
      </w:r>
      <w:r>
        <w:rPr>
          <w:i/>
          <w:spacing w:val="-4"/>
          <w:sz w:val="16"/>
        </w:rPr>
        <w:t xml:space="preserve"> </w:t>
      </w:r>
      <w:r>
        <w:rPr>
          <w:i/>
          <w:sz w:val="16"/>
        </w:rPr>
        <w:t>otra</w:t>
      </w:r>
      <w:r>
        <w:rPr>
          <w:i/>
          <w:spacing w:val="-6"/>
          <w:sz w:val="16"/>
        </w:rPr>
        <w:t xml:space="preserve"> </w:t>
      </w:r>
      <w:r>
        <w:rPr>
          <w:i/>
          <w:sz w:val="16"/>
        </w:rPr>
        <w:t>Vs. Paraguay, supra</w:t>
      </w:r>
      <w:r>
        <w:rPr>
          <w:sz w:val="16"/>
        </w:rPr>
        <w:t>, párr. 83 y nota a pie</w:t>
      </w:r>
      <w:r>
        <w:rPr>
          <w:spacing w:val="-11"/>
          <w:sz w:val="16"/>
        </w:rPr>
        <w:t xml:space="preserve"> </w:t>
      </w:r>
      <w:r>
        <w:rPr>
          <w:sz w:val="16"/>
        </w:rPr>
        <w:t>85.</w:t>
      </w:r>
    </w:p>
    <w:p w14:paraId="07A58291" w14:textId="77777777" w:rsidR="00467FCA" w:rsidRDefault="001B68EB">
      <w:pPr>
        <w:tabs>
          <w:tab w:val="left" w:pos="839"/>
        </w:tabs>
        <w:ind w:left="120" w:right="113" w:hanging="1"/>
        <w:jc w:val="both"/>
        <w:rPr>
          <w:sz w:val="16"/>
        </w:rPr>
      </w:pPr>
      <w:bookmarkStart w:id="428" w:name="_bookmark377"/>
      <w:bookmarkEnd w:id="428"/>
      <w:r>
        <w:rPr>
          <w:position w:val="6"/>
          <w:sz w:val="10"/>
        </w:rPr>
        <w:t>323</w:t>
      </w:r>
      <w:r>
        <w:rPr>
          <w:position w:val="6"/>
          <w:sz w:val="10"/>
        </w:rPr>
        <w:tab/>
      </w:r>
      <w:r>
        <w:rPr>
          <w:sz w:val="16"/>
        </w:rPr>
        <w:t xml:space="preserve">La Corte ha </w:t>
      </w:r>
      <w:r>
        <w:rPr>
          <w:spacing w:val="-3"/>
          <w:sz w:val="16"/>
        </w:rPr>
        <w:t xml:space="preserve">afirmado </w:t>
      </w:r>
      <w:r>
        <w:rPr>
          <w:spacing w:val="-2"/>
          <w:sz w:val="16"/>
        </w:rPr>
        <w:t xml:space="preserve">que </w:t>
      </w:r>
      <w:r>
        <w:rPr>
          <w:spacing w:val="-3"/>
          <w:sz w:val="16"/>
        </w:rPr>
        <w:t xml:space="preserve">para determinar </w:t>
      </w:r>
      <w:r>
        <w:rPr>
          <w:sz w:val="16"/>
        </w:rPr>
        <w:t xml:space="preserve">la </w:t>
      </w:r>
      <w:r>
        <w:rPr>
          <w:spacing w:val="-3"/>
          <w:sz w:val="16"/>
        </w:rPr>
        <w:t xml:space="preserve">razonabilidad </w:t>
      </w:r>
      <w:r>
        <w:rPr>
          <w:sz w:val="16"/>
        </w:rPr>
        <w:t xml:space="preserve">del </w:t>
      </w:r>
      <w:r>
        <w:rPr>
          <w:spacing w:val="-3"/>
          <w:sz w:val="16"/>
        </w:rPr>
        <w:t xml:space="preserve">plazo </w:t>
      </w:r>
      <w:r>
        <w:rPr>
          <w:sz w:val="16"/>
        </w:rPr>
        <w:t xml:space="preserve">se </w:t>
      </w:r>
      <w:r>
        <w:rPr>
          <w:spacing w:val="-3"/>
          <w:sz w:val="16"/>
        </w:rPr>
        <w:t xml:space="preserve">debe tomar </w:t>
      </w:r>
      <w:r>
        <w:rPr>
          <w:sz w:val="16"/>
        </w:rPr>
        <w:t xml:space="preserve">en </w:t>
      </w:r>
      <w:r>
        <w:rPr>
          <w:spacing w:val="-4"/>
          <w:sz w:val="16"/>
        </w:rPr>
        <w:t xml:space="preserve">cuenta </w:t>
      </w:r>
      <w:r>
        <w:rPr>
          <w:sz w:val="16"/>
        </w:rPr>
        <w:t xml:space="preserve">la </w:t>
      </w:r>
      <w:r>
        <w:rPr>
          <w:spacing w:val="-3"/>
          <w:sz w:val="16"/>
        </w:rPr>
        <w:t>afectación generada</w:t>
      </w:r>
      <w:r>
        <w:rPr>
          <w:spacing w:val="-10"/>
          <w:sz w:val="16"/>
        </w:rPr>
        <w:t xml:space="preserve"> </w:t>
      </w:r>
      <w:r>
        <w:rPr>
          <w:spacing w:val="-2"/>
          <w:sz w:val="16"/>
        </w:rPr>
        <w:t>por</w:t>
      </w:r>
      <w:r>
        <w:rPr>
          <w:spacing w:val="-7"/>
          <w:sz w:val="16"/>
        </w:rPr>
        <w:t xml:space="preserve"> </w:t>
      </w:r>
      <w:r>
        <w:rPr>
          <w:sz w:val="16"/>
        </w:rPr>
        <w:t>la</w:t>
      </w:r>
      <w:r>
        <w:rPr>
          <w:spacing w:val="-9"/>
          <w:sz w:val="16"/>
        </w:rPr>
        <w:t xml:space="preserve"> </w:t>
      </w:r>
      <w:r>
        <w:rPr>
          <w:spacing w:val="-3"/>
          <w:sz w:val="16"/>
        </w:rPr>
        <w:t>duración</w:t>
      </w:r>
      <w:r>
        <w:rPr>
          <w:spacing w:val="-9"/>
          <w:sz w:val="16"/>
        </w:rPr>
        <w:t xml:space="preserve"> </w:t>
      </w:r>
      <w:r>
        <w:rPr>
          <w:sz w:val="16"/>
        </w:rPr>
        <w:t>del</w:t>
      </w:r>
      <w:r>
        <w:rPr>
          <w:spacing w:val="-9"/>
          <w:sz w:val="16"/>
        </w:rPr>
        <w:t xml:space="preserve"> </w:t>
      </w:r>
      <w:r>
        <w:rPr>
          <w:spacing w:val="-4"/>
          <w:sz w:val="16"/>
        </w:rPr>
        <w:t>procedimiento</w:t>
      </w:r>
      <w:r>
        <w:rPr>
          <w:spacing w:val="-7"/>
          <w:sz w:val="16"/>
        </w:rPr>
        <w:t xml:space="preserve"> </w:t>
      </w:r>
      <w:r>
        <w:rPr>
          <w:sz w:val="16"/>
        </w:rPr>
        <w:t>en</w:t>
      </w:r>
      <w:r>
        <w:rPr>
          <w:spacing w:val="-9"/>
          <w:sz w:val="16"/>
        </w:rPr>
        <w:t xml:space="preserve"> </w:t>
      </w:r>
      <w:r>
        <w:rPr>
          <w:sz w:val="16"/>
        </w:rPr>
        <w:t>la</w:t>
      </w:r>
      <w:r>
        <w:rPr>
          <w:spacing w:val="-9"/>
          <w:sz w:val="16"/>
        </w:rPr>
        <w:t xml:space="preserve"> </w:t>
      </w:r>
      <w:r>
        <w:rPr>
          <w:spacing w:val="-3"/>
          <w:sz w:val="16"/>
        </w:rPr>
        <w:t>situación</w:t>
      </w:r>
      <w:r>
        <w:rPr>
          <w:spacing w:val="-9"/>
          <w:sz w:val="16"/>
        </w:rPr>
        <w:t xml:space="preserve"> </w:t>
      </w:r>
      <w:r>
        <w:rPr>
          <w:spacing w:val="-3"/>
          <w:sz w:val="16"/>
        </w:rPr>
        <w:t>jurídica</w:t>
      </w:r>
      <w:r>
        <w:rPr>
          <w:spacing w:val="-9"/>
          <w:sz w:val="16"/>
        </w:rPr>
        <w:t xml:space="preserve"> </w:t>
      </w:r>
      <w:r>
        <w:rPr>
          <w:sz w:val="16"/>
        </w:rPr>
        <w:t>de</w:t>
      </w:r>
      <w:r>
        <w:rPr>
          <w:spacing w:val="-8"/>
          <w:sz w:val="16"/>
        </w:rPr>
        <w:t xml:space="preserve"> </w:t>
      </w:r>
      <w:r>
        <w:rPr>
          <w:sz w:val="16"/>
        </w:rPr>
        <w:t>la</w:t>
      </w:r>
      <w:r>
        <w:rPr>
          <w:spacing w:val="-9"/>
          <w:sz w:val="16"/>
        </w:rPr>
        <w:t xml:space="preserve"> </w:t>
      </w:r>
      <w:r>
        <w:rPr>
          <w:spacing w:val="-3"/>
          <w:sz w:val="16"/>
        </w:rPr>
        <w:t>persona</w:t>
      </w:r>
      <w:r>
        <w:rPr>
          <w:spacing w:val="-9"/>
          <w:sz w:val="16"/>
        </w:rPr>
        <w:t xml:space="preserve"> </w:t>
      </w:r>
      <w:r>
        <w:rPr>
          <w:spacing w:val="-3"/>
          <w:sz w:val="16"/>
        </w:rPr>
        <w:t>involucrada,</w:t>
      </w:r>
      <w:r>
        <w:rPr>
          <w:spacing w:val="-7"/>
          <w:sz w:val="16"/>
        </w:rPr>
        <w:t xml:space="preserve"> </w:t>
      </w:r>
      <w:r>
        <w:rPr>
          <w:sz w:val="16"/>
        </w:rPr>
        <w:t>considerando,</w:t>
      </w:r>
      <w:r>
        <w:rPr>
          <w:spacing w:val="-9"/>
          <w:sz w:val="16"/>
        </w:rPr>
        <w:t xml:space="preserve"> </w:t>
      </w:r>
      <w:r>
        <w:rPr>
          <w:spacing w:val="-3"/>
          <w:sz w:val="16"/>
        </w:rPr>
        <w:t>entre</w:t>
      </w:r>
      <w:r>
        <w:rPr>
          <w:spacing w:val="-8"/>
          <w:sz w:val="16"/>
        </w:rPr>
        <w:t xml:space="preserve"> </w:t>
      </w:r>
      <w:r>
        <w:rPr>
          <w:spacing w:val="-3"/>
          <w:sz w:val="16"/>
        </w:rPr>
        <w:t>otros elementos,</w:t>
      </w:r>
      <w:r>
        <w:rPr>
          <w:spacing w:val="-17"/>
          <w:sz w:val="16"/>
        </w:rPr>
        <w:t xml:space="preserve"> </w:t>
      </w:r>
      <w:r>
        <w:rPr>
          <w:sz w:val="16"/>
        </w:rPr>
        <w:t>la</w:t>
      </w:r>
      <w:r>
        <w:rPr>
          <w:spacing w:val="-16"/>
          <w:sz w:val="16"/>
        </w:rPr>
        <w:t xml:space="preserve"> </w:t>
      </w:r>
      <w:r>
        <w:rPr>
          <w:spacing w:val="-3"/>
          <w:sz w:val="16"/>
        </w:rPr>
        <w:t>materia</w:t>
      </w:r>
      <w:r>
        <w:rPr>
          <w:spacing w:val="-15"/>
          <w:sz w:val="16"/>
        </w:rPr>
        <w:t xml:space="preserve"> </w:t>
      </w:r>
      <w:r>
        <w:rPr>
          <w:sz w:val="16"/>
        </w:rPr>
        <w:t>de</w:t>
      </w:r>
      <w:r>
        <w:rPr>
          <w:spacing w:val="-16"/>
          <w:sz w:val="16"/>
        </w:rPr>
        <w:t xml:space="preserve"> </w:t>
      </w:r>
      <w:r>
        <w:rPr>
          <w:sz w:val="16"/>
        </w:rPr>
        <w:t>la</w:t>
      </w:r>
      <w:r>
        <w:rPr>
          <w:spacing w:val="-16"/>
          <w:sz w:val="16"/>
        </w:rPr>
        <w:t xml:space="preserve"> </w:t>
      </w:r>
      <w:r>
        <w:rPr>
          <w:spacing w:val="-3"/>
          <w:sz w:val="16"/>
        </w:rPr>
        <w:t>controversia.</w:t>
      </w:r>
      <w:r>
        <w:rPr>
          <w:spacing w:val="-13"/>
          <w:sz w:val="16"/>
        </w:rPr>
        <w:t xml:space="preserve"> </w:t>
      </w:r>
      <w:r>
        <w:rPr>
          <w:i/>
          <w:sz w:val="16"/>
        </w:rPr>
        <w:t>Cfr.</w:t>
      </w:r>
      <w:r>
        <w:rPr>
          <w:i/>
          <w:spacing w:val="-14"/>
          <w:sz w:val="16"/>
        </w:rPr>
        <w:t xml:space="preserve"> </w:t>
      </w:r>
      <w:r>
        <w:rPr>
          <w:i/>
          <w:sz w:val="16"/>
        </w:rPr>
        <w:t>Caso</w:t>
      </w:r>
      <w:r>
        <w:rPr>
          <w:i/>
          <w:spacing w:val="-12"/>
          <w:sz w:val="16"/>
        </w:rPr>
        <w:t xml:space="preserve"> </w:t>
      </w:r>
      <w:r>
        <w:rPr>
          <w:i/>
          <w:sz w:val="16"/>
        </w:rPr>
        <w:t>Asociación</w:t>
      </w:r>
      <w:r>
        <w:rPr>
          <w:i/>
          <w:spacing w:val="-14"/>
          <w:sz w:val="16"/>
        </w:rPr>
        <w:t xml:space="preserve"> </w:t>
      </w:r>
      <w:r>
        <w:rPr>
          <w:i/>
          <w:sz w:val="16"/>
        </w:rPr>
        <w:t>Nacional</w:t>
      </w:r>
      <w:r>
        <w:rPr>
          <w:i/>
          <w:spacing w:val="-12"/>
          <w:sz w:val="16"/>
        </w:rPr>
        <w:t xml:space="preserve"> </w:t>
      </w:r>
      <w:r>
        <w:rPr>
          <w:i/>
          <w:sz w:val="16"/>
        </w:rPr>
        <w:t>de</w:t>
      </w:r>
      <w:r>
        <w:rPr>
          <w:i/>
          <w:spacing w:val="-12"/>
          <w:sz w:val="16"/>
        </w:rPr>
        <w:t xml:space="preserve"> </w:t>
      </w:r>
      <w:r>
        <w:rPr>
          <w:i/>
          <w:sz w:val="16"/>
        </w:rPr>
        <w:t>Cesantes</w:t>
      </w:r>
      <w:r>
        <w:rPr>
          <w:i/>
          <w:spacing w:val="-13"/>
          <w:sz w:val="16"/>
        </w:rPr>
        <w:t xml:space="preserve"> </w:t>
      </w:r>
      <w:r>
        <w:rPr>
          <w:i/>
          <w:sz w:val="16"/>
        </w:rPr>
        <w:t>y</w:t>
      </w:r>
      <w:r>
        <w:rPr>
          <w:i/>
          <w:spacing w:val="-9"/>
          <w:sz w:val="16"/>
        </w:rPr>
        <w:t xml:space="preserve"> </w:t>
      </w:r>
      <w:r>
        <w:rPr>
          <w:i/>
          <w:sz w:val="16"/>
        </w:rPr>
        <w:t>Jubilados</w:t>
      </w:r>
      <w:r>
        <w:rPr>
          <w:i/>
          <w:spacing w:val="-13"/>
          <w:sz w:val="16"/>
        </w:rPr>
        <w:t xml:space="preserve"> </w:t>
      </w:r>
      <w:r>
        <w:rPr>
          <w:i/>
          <w:sz w:val="16"/>
        </w:rPr>
        <w:t>de</w:t>
      </w:r>
      <w:r>
        <w:rPr>
          <w:i/>
          <w:spacing w:val="-11"/>
          <w:sz w:val="16"/>
        </w:rPr>
        <w:t xml:space="preserve"> </w:t>
      </w:r>
      <w:r>
        <w:rPr>
          <w:i/>
          <w:sz w:val="16"/>
        </w:rPr>
        <w:t>la</w:t>
      </w:r>
      <w:r>
        <w:rPr>
          <w:i/>
          <w:spacing w:val="-13"/>
          <w:sz w:val="16"/>
        </w:rPr>
        <w:t xml:space="preserve"> </w:t>
      </w:r>
      <w:r>
        <w:rPr>
          <w:i/>
          <w:sz w:val="16"/>
        </w:rPr>
        <w:t xml:space="preserve">Superintendencia </w:t>
      </w:r>
      <w:r>
        <w:rPr>
          <w:i/>
          <w:sz w:val="16"/>
        </w:rPr>
        <w:t>Nacional de Administración Tributaria (ANCEJUB-SUNAT) Vs. Perú</w:t>
      </w:r>
      <w:r>
        <w:rPr>
          <w:sz w:val="16"/>
        </w:rPr>
        <w:t xml:space="preserve">, </w:t>
      </w:r>
      <w:r>
        <w:rPr>
          <w:i/>
          <w:sz w:val="16"/>
        </w:rPr>
        <w:t>supra</w:t>
      </w:r>
      <w:r>
        <w:rPr>
          <w:sz w:val="16"/>
        </w:rPr>
        <w:t xml:space="preserve">, párr. 148, y </w:t>
      </w:r>
      <w:r>
        <w:rPr>
          <w:i/>
          <w:sz w:val="16"/>
        </w:rPr>
        <w:t>Caso Noguera y otra Vs.</w:t>
      </w:r>
      <w:bookmarkStart w:id="429" w:name="_bookmark378"/>
      <w:bookmarkEnd w:id="429"/>
      <w:r>
        <w:rPr>
          <w:i/>
          <w:sz w:val="16"/>
        </w:rPr>
        <w:t xml:space="preserve"> Paraguay, supra</w:t>
      </w:r>
      <w:r>
        <w:rPr>
          <w:sz w:val="16"/>
        </w:rPr>
        <w:t>, párr. 83 y nota a pie</w:t>
      </w:r>
      <w:r>
        <w:rPr>
          <w:spacing w:val="-11"/>
          <w:sz w:val="16"/>
        </w:rPr>
        <w:t xml:space="preserve"> </w:t>
      </w:r>
      <w:r>
        <w:rPr>
          <w:sz w:val="16"/>
        </w:rPr>
        <w:t>86.</w:t>
      </w:r>
    </w:p>
    <w:p w14:paraId="738EAA2C" w14:textId="77777777" w:rsidR="00467FCA" w:rsidRDefault="001B68EB">
      <w:pPr>
        <w:tabs>
          <w:tab w:val="left" w:pos="839"/>
        </w:tabs>
        <w:ind w:left="120" w:right="115" w:hanging="1"/>
        <w:jc w:val="both"/>
        <w:rPr>
          <w:sz w:val="16"/>
        </w:rPr>
      </w:pPr>
      <w:r>
        <w:rPr>
          <w:position w:val="6"/>
          <w:sz w:val="10"/>
        </w:rPr>
        <w:t>324</w:t>
      </w:r>
      <w:r>
        <w:rPr>
          <w:position w:val="6"/>
          <w:sz w:val="10"/>
        </w:rPr>
        <w:tab/>
      </w:r>
      <w:r>
        <w:rPr>
          <w:i/>
          <w:sz w:val="16"/>
        </w:rPr>
        <w:t>Cfr.</w:t>
      </w:r>
      <w:r>
        <w:rPr>
          <w:i/>
          <w:spacing w:val="-11"/>
          <w:sz w:val="16"/>
        </w:rPr>
        <w:t xml:space="preserve"> </w:t>
      </w:r>
      <w:r>
        <w:rPr>
          <w:i/>
          <w:sz w:val="16"/>
        </w:rPr>
        <w:t>Caso</w:t>
      </w:r>
      <w:r>
        <w:rPr>
          <w:i/>
          <w:spacing w:val="-11"/>
          <w:sz w:val="16"/>
        </w:rPr>
        <w:t xml:space="preserve"> </w:t>
      </w:r>
      <w:r>
        <w:rPr>
          <w:i/>
          <w:sz w:val="16"/>
        </w:rPr>
        <w:t>Valle</w:t>
      </w:r>
      <w:r>
        <w:rPr>
          <w:i/>
          <w:spacing w:val="-9"/>
          <w:sz w:val="16"/>
        </w:rPr>
        <w:t xml:space="preserve"> </w:t>
      </w:r>
      <w:r>
        <w:rPr>
          <w:i/>
          <w:sz w:val="16"/>
        </w:rPr>
        <w:t>Jaramillo</w:t>
      </w:r>
      <w:r>
        <w:rPr>
          <w:i/>
          <w:spacing w:val="-9"/>
          <w:sz w:val="16"/>
        </w:rPr>
        <w:t xml:space="preserve"> </w:t>
      </w:r>
      <w:r>
        <w:rPr>
          <w:i/>
          <w:sz w:val="16"/>
        </w:rPr>
        <w:t>y</w:t>
      </w:r>
      <w:r>
        <w:rPr>
          <w:i/>
          <w:spacing w:val="-11"/>
          <w:sz w:val="16"/>
        </w:rPr>
        <w:t xml:space="preserve"> </w:t>
      </w:r>
      <w:r>
        <w:rPr>
          <w:i/>
          <w:sz w:val="16"/>
        </w:rPr>
        <w:t>otros</w:t>
      </w:r>
      <w:r>
        <w:rPr>
          <w:i/>
          <w:spacing w:val="-9"/>
          <w:sz w:val="16"/>
        </w:rPr>
        <w:t xml:space="preserve"> </w:t>
      </w:r>
      <w:r>
        <w:rPr>
          <w:i/>
          <w:sz w:val="16"/>
        </w:rPr>
        <w:t>Vs.</w:t>
      </w:r>
      <w:r>
        <w:rPr>
          <w:i/>
          <w:spacing w:val="-13"/>
          <w:sz w:val="16"/>
        </w:rPr>
        <w:t xml:space="preserve"> </w:t>
      </w:r>
      <w:r>
        <w:rPr>
          <w:i/>
          <w:sz w:val="16"/>
        </w:rPr>
        <w:t>Colombia.</w:t>
      </w:r>
      <w:r>
        <w:rPr>
          <w:i/>
          <w:spacing w:val="-12"/>
          <w:sz w:val="16"/>
        </w:rPr>
        <w:t xml:space="preserve"> </w:t>
      </w:r>
      <w:r>
        <w:rPr>
          <w:i/>
          <w:sz w:val="16"/>
        </w:rPr>
        <w:t>Fondo,</w:t>
      </w:r>
      <w:r>
        <w:rPr>
          <w:i/>
          <w:spacing w:val="-13"/>
          <w:sz w:val="16"/>
        </w:rPr>
        <w:t xml:space="preserve"> </w:t>
      </w:r>
      <w:r>
        <w:rPr>
          <w:i/>
          <w:sz w:val="16"/>
        </w:rPr>
        <w:t>Reparaciones</w:t>
      </w:r>
      <w:r>
        <w:rPr>
          <w:i/>
          <w:spacing w:val="-12"/>
          <w:sz w:val="16"/>
        </w:rPr>
        <w:t xml:space="preserve"> </w:t>
      </w:r>
      <w:r>
        <w:rPr>
          <w:i/>
          <w:sz w:val="16"/>
        </w:rPr>
        <w:t>y</w:t>
      </w:r>
      <w:r>
        <w:rPr>
          <w:i/>
          <w:spacing w:val="-11"/>
          <w:sz w:val="16"/>
        </w:rPr>
        <w:t xml:space="preserve"> </w:t>
      </w:r>
      <w:r>
        <w:rPr>
          <w:i/>
          <w:sz w:val="16"/>
        </w:rPr>
        <w:t>Costas.</w:t>
      </w:r>
      <w:r>
        <w:rPr>
          <w:i/>
          <w:spacing w:val="-13"/>
          <w:sz w:val="16"/>
        </w:rPr>
        <w:t xml:space="preserve"> </w:t>
      </w:r>
      <w:r>
        <w:rPr>
          <w:sz w:val="16"/>
        </w:rPr>
        <w:t>Sentencia</w:t>
      </w:r>
      <w:r>
        <w:rPr>
          <w:spacing w:val="-11"/>
          <w:sz w:val="16"/>
        </w:rPr>
        <w:t xml:space="preserve"> </w:t>
      </w:r>
      <w:r>
        <w:rPr>
          <w:sz w:val="16"/>
        </w:rPr>
        <w:t>de</w:t>
      </w:r>
      <w:r>
        <w:rPr>
          <w:spacing w:val="-12"/>
          <w:sz w:val="16"/>
        </w:rPr>
        <w:t xml:space="preserve"> </w:t>
      </w:r>
      <w:r>
        <w:rPr>
          <w:sz w:val="16"/>
        </w:rPr>
        <w:t>27</w:t>
      </w:r>
      <w:r>
        <w:rPr>
          <w:spacing w:val="-10"/>
          <w:sz w:val="16"/>
        </w:rPr>
        <w:t xml:space="preserve"> </w:t>
      </w:r>
      <w:r>
        <w:rPr>
          <w:sz w:val="16"/>
        </w:rPr>
        <w:t>de</w:t>
      </w:r>
      <w:r>
        <w:rPr>
          <w:spacing w:val="-12"/>
          <w:sz w:val="16"/>
        </w:rPr>
        <w:t xml:space="preserve"> </w:t>
      </w:r>
      <w:r>
        <w:rPr>
          <w:sz w:val="16"/>
        </w:rPr>
        <w:t xml:space="preserve">noviembre de 2008. Serie C No. 192, párr. 155, y </w:t>
      </w:r>
      <w:r>
        <w:rPr>
          <w:i/>
          <w:sz w:val="16"/>
        </w:rPr>
        <w:t>Caso Muelle Flores Vs. Perú, supra</w:t>
      </w:r>
      <w:r>
        <w:rPr>
          <w:sz w:val="16"/>
        </w:rPr>
        <w:t>, párr.</w:t>
      </w:r>
      <w:r>
        <w:rPr>
          <w:spacing w:val="-21"/>
          <w:sz w:val="16"/>
        </w:rPr>
        <w:t xml:space="preserve"> </w:t>
      </w:r>
      <w:r>
        <w:rPr>
          <w:sz w:val="16"/>
        </w:rPr>
        <w:t>162.</w:t>
      </w:r>
    </w:p>
    <w:p w14:paraId="43234E59" w14:textId="77777777" w:rsidR="00467FCA" w:rsidRDefault="001B68EB">
      <w:pPr>
        <w:tabs>
          <w:tab w:val="left" w:pos="839"/>
        </w:tabs>
        <w:ind w:left="119" w:right="113"/>
        <w:jc w:val="both"/>
        <w:rPr>
          <w:sz w:val="16"/>
        </w:rPr>
      </w:pPr>
      <w:bookmarkStart w:id="430" w:name="_bookmark379"/>
      <w:bookmarkEnd w:id="430"/>
      <w:r>
        <w:rPr>
          <w:position w:val="6"/>
          <w:sz w:val="10"/>
        </w:rPr>
        <w:t>325</w:t>
      </w:r>
      <w:r>
        <w:rPr>
          <w:position w:val="6"/>
          <w:sz w:val="10"/>
        </w:rPr>
        <w:tab/>
      </w:r>
      <w:r>
        <w:rPr>
          <w:i/>
          <w:sz w:val="16"/>
        </w:rPr>
        <w:t xml:space="preserve">Cfr. Caso Anzualdo Castro Vs. Perú. Excepción Preliminar, Fondo, Reparaciones y Costas. </w:t>
      </w:r>
      <w:r>
        <w:rPr>
          <w:sz w:val="16"/>
        </w:rPr>
        <w:t xml:space="preserve">Sentencia de 22 de septiembre de 2009. Serie C No. 202, párr. 156, y </w:t>
      </w:r>
      <w:r>
        <w:rPr>
          <w:i/>
          <w:sz w:val="16"/>
        </w:rPr>
        <w:t>Caso Noguera y otra Vs. Paraguay, supra</w:t>
      </w:r>
      <w:r>
        <w:rPr>
          <w:sz w:val="16"/>
        </w:rPr>
        <w:t>, párr.</w:t>
      </w:r>
      <w:r>
        <w:rPr>
          <w:spacing w:val="-31"/>
          <w:sz w:val="16"/>
        </w:rPr>
        <w:t xml:space="preserve"> </w:t>
      </w:r>
      <w:r>
        <w:rPr>
          <w:sz w:val="16"/>
        </w:rPr>
        <w:t>83.</w:t>
      </w:r>
    </w:p>
    <w:p w14:paraId="3C81899E" w14:textId="77777777" w:rsidR="00467FCA" w:rsidRDefault="00467FCA">
      <w:pPr>
        <w:jc w:val="both"/>
        <w:rPr>
          <w:sz w:val="16"/>
        </w:rPr>
        <w:sectPr w:rsidR="00467FCA">
          <w:pgSz w:w="12240" w:h="15840"/>
          <w:pgMar w:top="1360" w:right="1320" w:bottom="1220" w:left="1320" w:header="0" w:footer="1037" w:gutter="0"/>
          <w:cols w:space="720"/>
        </w:sectPr>
      </w:pPr>
    </w:p>
    <w:p w14:paraId="508951B5" w14:textId="77777777" w:rsidR="00467FCA" w:rsidRDefault="001B68EB">
      <w:pPr>
        <w:pStyle w:val="Prrafodelista"/>
        <w:numPr>
          <w:ilvl w:val="0"/>
          <w:numId w:val="50"/>
        </w:numPr>
        <w:tabs>
          <w:tab w:val="left" w:pos="687"/>
        </w:tabs>
        <w:spacing w:before="183"/>
        <w:ind w:left="119" w:right="118" w:firstLine="0"/>
        <w:jc w:val="both"/>
        <w:rPr>
          <w:sz w:val="20"/>
        </w:rPr>
      </w:pPr>
      <w:r>
        <w:rPr>
          <w:sz w:val="20"/>
        </w:rPr>
        <w:t>Para determinar la complejidad del</w:t>
      </w:r>
      <w:r>
        <w:rPr>
          <w:sz w:val="20"/>
        </w:rPr>
        <w:t xml:space="preserve"> asunto la Corte ha valorado distintos elementos, entre los que se encuentran: i) la complejidad de la prueba</w:t>
      </w:r>
      <w:hyperlink w:anchor="_bookmark381" w:history="1">
        <w:r>
          <w:rPr>
            <w:position w:val="7"/>
            <w:sz w:val="13"/>
          </w:rPr>
          <w:t>326</w:t>
        </w:r>
      </w:hyperlink>
      <w:r>
        <w:rPr>
          <w:sz w:val="20"/>
        </w:rPr>
        <w:t>; ii) la pluralidad de sujetos procesales</w:t>
      </w:r>
      <w:hyperlink w:anchor="_bookmark382" w:history="1">
        <w:r>
          <w:rPr>
            <w:position w:val="7"/>
            <w:sz w:val="13"/>
          </w:rPr>
          <w:t>327</w:t>
        </w:r>
      </w:hyperlink>
      <w:r>
        <w:rPr>
          <w:position w:val="7"/>
          <w:sz w:val="13"/>
        </w:rPr>
        <w:t xml:space="preserve"> </w:t>
      </w:r>
      <w:r>
        <w:rPr>
          <w:sz w:val="20"/>
        </w:rPr>
        <w:t>o la cantidad de víctimas</w:t>
      </w:r>
      <w:hyperlink w:anchor="_bookmark383" w:history="1">
        <w:r>
          <w:rPr>
            <w:position w:val="7"/>
            <w:sz w:val="13"/>
          </w:rPr>
          <w:t>328</w:t>
        </w:r>
      </w:hyperlink>
      <w:r>
        <w:rPr>
          <w:sz w:val="20"/>
        </w:rPr>
        <w:t>; iii) el tiempo transcurrido desde que se ha tenido la noticia del presunto hecho delictivo</w:t>
      </w:r>
      <w:hyperlink w:anchor="_bookmark384" w:history="1">
        <w:r>
          <w:rPr>
            <w:position w:val="7"/>
            <w:sz w:val="13"/>
          </w:rPr>
          <w:t>329</w:t>
        </w:r>
      </w:hyperlink>
      <w:r>
        <w:rPr>
          <w:sz w:val="20"/>
        </w:rPr>
        <w:t>; iv) las características del recurso contenido en la legislación interna</w:t>
      </w:r>
      <w:hyperlink w:anchor="_bookmark385" w:history="1">
        <w:r>
          <w:rPr>
            <w:position w:val="7"/>
            <w:sz w:val="13"/>
          </w:rPr>
          <w:t>330</w:t>
        </w:r>
      </w:hyperlink>
      <w:r>
        <w:rPr>
          <w:sz w:val="20"/>
        </w:rPr>
        <w:t>, o v) el contexto en el que ocurrieron los</w:t>
      </w:r>
      <w:r>
        <w:rPr>
          <w:spacing w:val="-2"/>
          <w:sz w:val="20"/>
        </w:rPr>
        <w:t xml:space="preserve"> </w:t>
      </w:r>
      <w:r>
        <w:rPr>
          <w:sz w:val="20"/>
        </w:rPr>
        <w:t>hechos</w:t>
      </w:r>
      <w:hyperlink w:anchor="_bookmark386" w:history="1">
        <w:r>
          <w:rPr>
            <w:position w:val="7"/>
            <w:sz w:val="13"/>
          </w:rPr>
          <w:t>331</w:t>
        </w:r>
      </w:hyperlink>
      <w:r>
        <w:rPr>
          <w:sz w:val="20"/>
        </w:rPr>
        <w:t>.</w:t>
      </w:r>
    </w:p>
    <w:p w14:paraId="3F106864" w14:textId="77777777" w:rsidR="00467FCA" w:rsidRDefault="00467FCA">
      <w:pPr>
        <w:pStyle w:val="Textoindependiente"/>
      </w:pPr>
    </w:p>
    <w:p w14:paraId="7381A3C9" w14:textId="77777777" w:rsidR="00467FCA" w:rsidRDefault="001B68EB">
      <w:pPr>
        <w:pStyle w:val="Prrafodelista"/>
        <w:numPr>
          <w:ilvl w:val="0"/>
          <w:numId w:val="50"/>
        </w:numPr>
        <w:tabs>
          <w:tab w:val="left" w:pos="687"/>
        </w:tabs>
        <w:ind w:left="119" w:right="119" w:firstLine="0"/>
        <w:jc w:val="both"/>
        <w:rPr>
          <w:sz w:val="20"/>
        </w:rPr>
      </w:pPr>
      <w:r>
        <w:rPr>
          <w:sz w:val="20"/>
        </w:rPr>
        <w:t>Con el fin de analizar si el Estado de Brasil cumplió con sus obligaciones de actuar con la debida diligencia y en un plazo razonable, contenidas en el artículo 8.1</w:t>
      </w:r>
      <w:r>
        <w:rPr>
          <w:sz w:val="20"/>
        </w:rPr>
        <w:t xml:space="preserve"> de la Convención, la Corte estima pertinente retomar brevemente las actuaciones en los procesos iniciados a partir de la explosión del 11 de diciembre de 1998 y proceder al análisis sobre cada uno de ellos.</w:t>
      </w:r>
    </w:p>
    <w:p w14:paraId="4F753F98" w14:textId="77777777" w:rsidR="00467FCA" w:rsidRDefault="00467FCA">
      <w:pPr>
        <w:pStyle w:val="Textoindependiente"/>
        <w:spacing w:before="1"/>
      </w:pPr>
    </w:p>
    <w:p w14:paraId="60158182" w14:textId="77777777" w:rsidR="00467FCA" w:rsidRDefault="001B68EB">
      <w:pPr>
        <w:pStyle w:val="Prrafodelista"/>
        <w:numPr>
          <w:ilvl w:val="0"/>
          <w:numId w:val="50"/>
        </w:numPr>
        <w:tabs>
          <w:tab w:val="left" w:pos="687"/>
        </w:tabs>
        <w:ind w:right="118" w:firstLine="0"/>
        <w:jc w:val="both"/>
        <w:rPr>
          <w:sz w:val="20"/>
        </w:rPr>
      </w:pPr>
      <w:r>
        <w:rPr>
          <w:sz w:val="20"/>
        </w:rPr>
        <w:t xml:space="preserve">En cuanto al proceso administrativo, llevado a </w:t>
      </w:r>
      <w:r>
        <w:rPr>
          <w:sz w:val="20"/>
        </w:rPr>
        <w:t>cabo por el Ejército brasileño con el fin de evaluar las condiciones de funcionamiento de la fábrica de fuegos tras su explosión, fue iniciado el 13 de diciembre de 1998, y culminó con la cancelación definitiva del registro de</w:t>
      </w:r>
      <w:r>
        <w:rPr>
          <w:spacing w:val="-44"/>
          <w:sz w:val="20"/>
        </w:rPr>
        <w:t xml:space="preserve"> </w:t>
      </w:r>
      <w:r>
        <w:rPr>
          <w:sz w:val="20"/>
        </w:rPr>
        <w:t>la empresa,</w:t>
      </w:r>
      <w:r>
        <w:rPr>
          <w:spacing w:val="-18"/>
          <w:sz w:val="20"/>
        </w:rPr>
        <w:t xml:space="preserve"> </w:t>
      </w:r>
      <w:r>
        <w:rPr>
          <w:sz w:val="20"/>
        </w:rPr>
        <w:t>el</w:t>
      </w:r>
      <w:r>
        <w:rPr>
          <w:spacing w:val="-19"/>
          <w:sz w:val="20"/>
        </w:rPr>
        <w:t xml:space="preserve"> </w:t>
      </w:r>
      <w:r>
        <w:rPr>
          <w:sz w:val="20"/>
        </w:rPr>
        <w:t>6</w:t>
      </w:r>
      <w:r>
        <w:rPr>
          <w:spacing w:val="-19"/>
          <w:sz w:val="20"/>
        </w:rPr>
        <w:t xml:space="preserve"> </w:t>
      </w:r>
      <w:r>
        <w:rPr>
          <w:sz w:val="20"/>
        </w:rPr>
        <w:t>de</w:t>
      </w:r>
      <w:r>
        <w:rPr>
          <w:spacing w:val="-19"/>
          <w:sz w:val="20"/>
        </w:rPr>
        <w:t xml:space="preserve"> </w:t>
      </w:r>
      <w:r>
        <w:rPr>
          <w:sz w:val="20"/>
        </w:rPr>
        <w:t>junio</w:t>
      </w:r>
      <w:r>
        <w:rPr>
          <w:spacing w:val="-21"/>
          <w:sz w:val="20"/>
        </w:rPr>
        <w:t xml:space="preserve"> </w:t>
      </w:r>
      <w:r>
        <w:rPr>
          <w:sz w:val="20"/>
        </w:rPr>
        <w:t>de</w:t>
      </w:r>
      <w:r>
        <w:rPr>
          <w:spacing w:val="-20"/>
          <w:sz w:val="20"/>
        </w:rPr>
        <w:t xml:space="preserve"> </w:t>
      </w:r>
      <w:r>
        <w:rPr>
          <w:sz w:val="20"/>
        </w:rPr>
        <w:t>1999,</w:t>
      </w:r>
      <w:r>
        <w:rPr>
          <w:spacing w:val="-20"/>
          <w:sz w:val="20"/>
        </w:rPr>
        <w:t xml:space="preserve"> </w:t>
      </w:r>
      <w:r>
        <w:rPr>
          <w:sz w:val="20"/>
        </w:rPr>
        <w:t>al</w:t>
      </w:r>
      <w:r>
        <w:rPr>
          <w:spacing w:val="-17"/>
          <w:sz w:val="20"/>
        </w:rPr>
        <w:t xml:space="preserve"> </w:t>
      </w:r>
      <w:r>
        <w:rPr>
          <w:sz w:val="20"/>
        </w:rPr>
        <w:t>constatarse</w:t>
      </w:r>
      <w:r>
        <w:rPr>
          <w:spacing w:val="-21"/>
          <w:sz w:val="20"/>
        </w:rPr>
        <w:t xml:space="preserve"> </w:t>
      </w:r>
      <w:r>
        <w:rPr>
          <w:sz w:val="20"/>
        </w:rPr>
        <w:t>una</w:t>
      </w:r>
      <w:r>
        <w:rPr>
          <w:spacing w:val="-19"/>
          <w:sz w:val="20"/>
        </w:rPr>
        <w:t xml:space="preserve"> </w:t>
      </w:r>
      <w:r>
        <w:rPr>
          <w:sz w:val="20"/>
        </w:rPr>
        <w:t>serie</w:t>
      </w:r>
      <w:r>
        <w:rPr>
          <w:spacing w:val="-21"/>
          <w:sz w:val="20"/>
        </w:rPr>
        <w:t xml:space="preserve"> </w:t>
      </w:r>
      <w:r>
        <w:rPr>
          <w:sz w:val="20"/>
        </w:rPr>
        <w:t>de</w:t>
      </w:r>
      <w:r>
        <w:rPr>
          <w:spacing w:val="-21"/>
          <w:sz w:val="20"/>
        </w:rPr>
        <w:t xml:space="preserve"> </w:t>
      </w:r>
      <w:r>
        <w:rPr>
          <w:sz w:val="20"/>
        </w:rPr>
        <w:t>irregularidades.</w:t>
      </w:r>
      <w:r>
        <w:rPr>
          <w:spacing w:val="-18"/>
          <w:sz w:val="20"/>
        </w:rPr>
        <w:t xml:space="preserve"> </w:t>
      </w:r>
      <w:r>
        <w:rPr>
          <w:sz w:val="20"/>
        </w:rPr>
        <w:t>La</w:t>
      </w:r>
      <w:r>
        <w:rPr>
          <w:spacing w:val="-17"/>
          <w:sz w:val="20"/>
        </w:rPr>
        <w:t xml:space="preserve"> </w:t>
      </w:r>
      <w:r>
        <w:rPr>
          <w:sz w:val="20"/>
        </w:rPr>
        <w:t>Corte</w:t>
      </w:r>
      <w:r>
        <w:rPr>
          <w:spacing w:val="-18"/>
          <w:sz w:val="20"/>
        </w:rPr>
        <w:t xml:space="preserve"> </w:t>
      </w:r>
      <w:r>
        <w:rPr>
          <w:sz w:val="20"/>
        </w:rPr>
        <w:t>considera que durante el trámite de ese proceso el Estado logró demostrar que actuó con la debida diligencia y en un plazo</w:t>
      </w:r>
      <w:r>
        <w:rPr>
          <w:spacing w:val="-1"/>
          <w:sz w:val="20"/>
        </w:rPr>
        <w:t xml:space="preserve"> </w:t>
      </w:r>
      <w:r>
        <w:rPr>
          <w:sz w:val="20"/>
        </w:rPr>
        <w:t>razonable.</w:t>
      </w:r>
    </w:p>
    <w:p w14:paraId="34164985" w14:textId="77777777" w:rsidR="00467FCA" w:rsidRDefault="00467FCA">
      <w:pPr>
        <w:pStyle w:val="Textoindependiente"/>
        <w:spacing w:before="1"/>
      </w:pPr>
    </w:p>
    <w:p w14:paraId="560F3F5E" w14:textId="77777777" w:rsidR="00467FCA" w:rsidRDefault="001B68EB">
      <w:pPr>
        <w:pStyle w:val="Ttulo2"/>
        <w:numPr>
          <w:ilvl w:val="2"/>
          <w:numId w:val="39"/>
        </w:numPr>
        <w:tabs>
          <w:tab w:val="left" w:pos="1489"/>
        </w:tabs>
        <w:ind w:hanging="650"/>
      </w:pPr>
      <w:bookmarkStart w:id="431" w:name="B.1.1_El_Proceso_Penal"/>
      <w:bookmarkStart w:id="432" w:name="_bookmark380"/>
      <w:bookmarkEnd w:id="431"/>
      <w:bookmarkEnd w:id="432"/>
      <w:r>
        <w:t>El Proceso Penal</w:t>
      </w:r>
    </w:p>
    <w:p w14:paraId="21FEE100" w14:textId="77777777" w:rsidR="00467FCA" w:rsidRDefault="00467FCA">
      <w:pPr>
        <w:pStyle w:val="Textoindependiente"/>
        <w:spacing w:before="10"/>
        <w:rPr>
          <w:b/>
          <w:i/>
          <w:sz w:val="19"/>
        </w:rPr>
      </w:pPr>
    </w:p>
    <w:p w14:paraId="4A0A8D66"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En</w:t>
      </w:r>
      <w:r>
        <w:rPr>
          <w:spacing w:val="-13"/>
          <w:sz w:val="20"/>
        </w:rPr>
        <w:t xml:space="preserve"> </w:t>
      </w:r>
      <w:r>
        <w:rPr>
          <w:sz w:val="20"/>
        </w:rPr>
        <w:t>el</w:t>
      </w:r>
      <w:r>
        <w:rPr>
          <w:spacing w:val="-12"/>
          <w:sz w:val="20"/>
        </w:rPr>
        <w:t xml:space="preserve"> </w:t>
      </w:r>
      <w:r>
        <w:rPr>
          <w:sz w:val="20"/>
        </w:rPr>
        <w:t>ámbito</w:t>
      </w:r>
      <w:r>
        <w:rPr>
          <w:spacing w:val="-13"/>
          <w:sz w:val="20"/>
        </w:rPr>
        <w:t xml:space="preserve"> </w:t>
      </w:r>
      <w:r>
        <w:rPr>
          <w:sz w:val="20"/>
        </w:rPr>
        <w:t>penal,</w:t>
      </w:r>
      <w:r>
        <w:rPr>
          <w:spacing w:val="-13"/>
          <w:sz w:val="20"/>
        </w:rPr>
        <w:t xml:space="preserve"> </w:t>
      </w:r>
      <w:r>
        <w:rPr>
          <w:sz w:val="20"/>
        </w:rPr>
        <w:t>la</w:t>
      </w:r>
      <w:r>
        <w:rPr>
          <w:spacing w:val="-13"/>
          <w:sz w:val="20"/>
        </w:rPr>
        <w:t xml:space="preserve"> </w:t>
      </w:r>
      <w:r>
        <w:rPr>
          <w:sz w:val="20"/>
        </w:rPr>
        <w:t>policía</w:t>
      </w:r>
      <w:r>
        <w:rPr>
          <w:spacing w:val="-13"/>
          <w:sz w:val="20"/>
        </w:rPr>
        <w:t xml:space="preserve"> </w:t>
      </w:r>
      <w:r>
        <w:rPr>
          <w:sz w:val="20"/>
        </w:rPr>
        <w:t>civil</w:t>
      </w:r>
      <w:r>
        <w:rPr>
          <w:spacing w:val="-12"/>
          <w:sz w:val="20"/>
        </w:rPr>
        <w:t xml:space="preserve"> </w:t>
      </w:r>
      <w:r>
        <w:rPr>
          <w:sz w:val="20"/>
        </w:rPr>
        <w:t>inició</w:t>
      </w:r>
      <w:r>
        <w:rPr>
          <w:spacing w:val="-14"/>
          <w:sz w:val="20"/>
        </w:rPr>
        <w:t xml:space="preserve"> </w:t>
      </w:r>
      <w:r>
        <w:rPr>
          <w:sz w:val="20"/>
        </w:rPr>
        <w:t>una</w:t>
      </w:r>
      <w:r>
        <w:rPr>
          <w:spacing w:val="-12"/>
          <w:sz w:val="20"/>
        </w:rPr>
        <w:t xml:space="preserve"> </w:t>
      </w:r>
      <w:r>
        <w:rPr>
          <w:sz w:val="20"/>
        </w:rPr>
        <w:t>investigación</w:t>
      </w:r>
      <w:r>
        <w:rPr>
          <w:spacing w:val="-13"/>
          <w:sz w:val="20"/>
        </w:rPr>
        <w:t xml:space="preserve"> </w:t>
      </w:r>
      <w:r>
        <w:rPr>
          <w:sz w:val="20"/>
        </w:rPr>
        <w:t>de</w:t>
      </w:r>
      <w:r>
        <w:rPr>
          <w:spacing w:val="-12"/>
          <w:sz w:val="20"/>
        </w:rPr>
        <w:t xml:space="preserve"> </w:t>
      </w:r>
      <w:r>
        <w:rPr>
          <w:sz w:val="20"/>
        </w:rPr>
        <w:t>oficio</w:t>
      </w:r>
      <w:r>
        <w:rPr>
          <w:spacing w:val="-13"/>
          <w:sz w:val="20"/>
        </w:rPr>
        <w:t xml:space="preserve"> </w:t>
      </w:r>
      <w:r>
        <w:rPr>
          <w:sz w:val="20"/>
        </w:rPr>
        <w:t>luego</w:t>
      </w:r>
      <w:r>
        <w:rPr>
          <w:spacing w:val="-12"/>
          <w:sz w:val="20"/>
        </w:rPr>
        <w:t xml:space="preserve"> </w:t>
      </w:r>
      <w:r>
        <w:rPr>
          <w:sz w:val="20"/>
        </w:rPr>
        <w:t>de</w:t>
      </w:r>
      <w:r>
        <w:rPr>
          <w:spacing w:val="-14"/>
          <w:sz w:val="20"/>
        </w:rPr>
        <w:t xml:space="preserve"> </w:t>
      </w:r>
      <w:r>
        <w:rPr>
          <w:sz w:val="20"/>
        </w:rPr>
        <w:t>la</w:t>
      </w:r>
      <w:r>
        <w:rPr>
          <w:spacing w:val="-12"/>
          <w:sz w:val="20"/>
        </w:rPr>
        <w:t xml:space="preserve"> </w:t>
      </w:r>
      <w:r>
        <w:rPr>
          <w:sz w:val="20"/>
        </w:rPr>
        <w:t xml:space="preserve">explosión, de modo que el 12 de abril de 1999, el Ministerio Público del Estado de Bahia presentó una acusación formal por los crímenes de homicidio doloso y tentativa de homicidio contra Mário Fróes Prazeres </w:t>
      </w:r>
      <w:r>
        <w:rPr>
          <w:sz w:val="20"/>
        </w:rPr>
        <w:t>Bastos, Osvaldo Prazeres Bastos, Ana Cláudia Almeida Reis Bastos, Helenice Fróes Bastos Lírio, Adriana Fróes Bastos de Cerqueira, Berenice Prazeres Bastos da Silva, Elísio</w:t>
      </w:r>
      <w:r>
        <w:rPr>
          <w:spacing w:val="-16"/>
          <w:sz w:val="20"/>
        </w:rPr>
        <w:t xml:space="preserve"> </w:t>
      </w:r>
      <w:r>
        <w:rPr>
          <w:sz w:val="20"/>
        </w:rPr>
        <w:t>de</w:t>
      </w:r>
      <w:r>
        <w:rPr>
          <w:spacing w:val="-14"/>
          <w:sz w:val="20"/>
        </w:rPr>
        <w:t xml:space="preserve"> </w:t>
      </w:r>
      <w:r>
        <w:rPr>
          <w:sz w:val="20"/>
        </w:rPr>
        <w:t>Santana</w:t>
      </w:r>
      <w:r>
        <w:rPr>
          <w:spacing w:val="-14"/>
          <w:sz w:val="20"/>
        </w:rPr>
        <w:t xml:space="preserve"> </w:t>
      </w:r>
      <w:r>
        <w:rPr>
          <w:sz w:val="20"/>
        </w:rPr>
        <w:t>Brito</w:t>
      </w:r>
      <w:r>
        <w:rPr>
          <w:spacing w:val="-14"/>
          <w:sz w:val="20"/>
        </w:rPr>
        <w:t xml:space="preserve"> </w:t>
      </w:r>
      <w:r>
        <w:rPr>
          <w:sz w:val="20"/>
        </w:rPr>
        <w:t>y</w:t>
      </w:r>
      <w:r>
        <w:rPr>
          <w:spacing w:val="-12"/>
          <w:sz w:val="20"/>
        </w:rPr>
        <w:t xml:space="preserve"> </w:t>
      </w:r>
      <w:r>
        <w:rPr>
          <w:sz w:val="20"/>
        </w:rPr>
        <w:t>Raimundo</w:t>
      </w:r>
      <w:r>
        <w:rPr>
          <w:spacing w:val="-16"/>
          <w:sz w:val="20"/>
        </w:rPr>
        <w:t xml:space="preserve"> </w:t>
      </w:r>
      <w:r>
        <w:rPr>
          <w:sz w:val="20"/>
        </w:rPr>
        <w:t>da</w:t>
      </w:r>
      <w:r>
        <w:rPr>
          <w:spacing w:val="-14"/>
          <w:sz w:val="20"/>
        </w:rPr>
        <w:t xml:space="preserve"> </w:t>
      </w:r>
      <w:r>
        <w:rPr>
          <w:sz w:val="20"/>
        </w:rPr>
        <w:t>Conceição</w:t>
      </w:r>
      <w:r>
        <w:rPr>
          <w:spacing w:val="-14"/>
          <w:sz w:val="20"/>
        </w:rPr>
        <w:t xml:space="preserve"> </w:t>
      </w:r>
      <w:r>
        <w:rPr>
          <w:sz w:val="20"/>
        </w:rPr>
        <w:t>Alves.</w:t>
      </w:r>
      <w:r>
        <w:rPr>
          <w:spacing w:val="-15"/>
          <w:sz w:val="20"/>
        </w:rPr>
        <w:t xml:space="preserve"> </w:t>
      </w:r>
      <w:r>
        <w:rPr>
          <w:sz w:val="20"/>
        </w:rPr>
        <w:t>El</w:t>
      </w:r>
      <w:r>
        <w:rPr>
          <w:spacing w:val="-15"/>
          <w:sz w:val="20"/>
        </w:rPr>
        <w:t xml:space="preserve"> </w:t>
      </w:r>
      <w:r>
        <w:rPr>
          <w:sz w:val="20"/>
        </w:rPr>
        <w:t>9</w:t>
      </w:r>
      <w:r>
        <w:rPr>
          <w:spacing w:val="-11"/>
          <w:sz w:val="20"/>
        </w:rPr>
        <w:t xml:space="preserve"> </w:t>
      </w:r>
      <w:r>
        <w:rPr>
          <w:sz w:val="20"/>
        </w:rPr>
        <w:t>de</w:t>
      </w:r>
      <w:r>
        <w:rPr>
          <w:spacing w:val="-14"/>
          <w:sz w:val="20"/>
        </w:rPr>
        <w:t xml:space="preserve"> </w:t>
      </w:r>
      <w:r>
        <w:rPr>
          <w:sz w:val="20"/>
        </w:rPr>
        <w:t>noviembre</w:t>
      </w:r>
      <w:r>
        <w:rPr>
          <w:spacing w:val="-15"/>
          <w:sz w:val="20"/>
        </w:rPr>
        <w:t xml:space="preserve"> </w:t>
      </w:r>
      <w:r>
        <w:rPr>
          <w:sz w:val="20"/>
        </w:rPr>
        <w:t>de</w:t>
      </w:r>
      <w:r>
        <w:rPr>
          <w:spacing w:val="-16"/>
          <w:sz w:val="20"/>
        </w:rPr>
        <w:t xml:space="preserve"> </w:t>
      </w:r>
      <w:r>
        <w:rPr>
          <w:sz w:val="20"/>
        </w:rPr>
        <w:t>2004,</w:t>
      </w:r>
      <w:r>
        <w:rPr>
          <w:spacing w:val="-12"/>
          <w:sz w:val="20"/>
        </w:rPr>
        <w:t xml:space="preserve"> </w:t>
      </w:r>
      <w:r>
        <w:rPr>
          <w:sz w:val="20"/>
        </w:rPr>
        <w:t>se</w:t>
      </w:r>
      <w:r>
        <w:rPr>
          <w:spacing w:val="-16"/>
          <w:sz w:val="20"/>
        </w:rPr>
        <w:t xml:space="preserve"> </w:t>
      </w:r>
      <w:r>
        <w:rPr>
          <w:sz w:val="20"/>
        </w:rPr>
        <w:t>decidi</w:t>
      </w:r>
      <w:r>
        <w:rPr>
          <w:sz w:val="20"/>
        </w:rPr>
        <w:t xml:space="preserve">ó en primera instancia que los acusados debían ser sometidos al Tribunal de Jurados. Contra esta decisión, los denunciados presentaron un recurso que fue rechazado por el Tribunal de Justicia del estado de Bahia el 27 de octubre de 2005. El 18 de julio de </w:t>
      </w:r>
      <w:r>
        <w:rPr>
          <w:sz w:val="20"/>
        </w:rPr>
        <w:t>2007, el Ministerio Público solicitó que se trasladara el caso a la ciudad de Salvador debido al riesgo de que la influencia económica y política de los acusados obstaculizara la toma de decisión, lo que fue acogido por el Tribunal de Justicia el 7 de novi</w:t>
      </w:r>
      <w:r>
        <w:rPr>
          <w:sz w:val="20"/>
        </w:rPr>
        <w:t>embre de 2007. Después de la denegación de distintos</w:t>
      </w:r>
      <w:r>
        <w:rPr>
          <w:spacing w:val="-7"/>
          <w:sz w:val="20"/>
        </w:rPr>
        <w:t xml:space="preserve"> </w:t>
      </w:r>
      <w:r>
        <w:rPr>
          <w:sz w:val="20"/>
        </w:rPr>
        <w:t>recursos</w:t>
      </w:r>
      <w:r>
        <w:rPr>
          <w:spacing w:val="-9"/>
          <w:sz w:val="20"/>
        </w:rPr>
        <w:t xml:space="preserve"> </w:t>
      </w:r>
      <w:r>
        <w:rPr>
          <w:sz w:val="20"/>
        </w:rPr>
        <w:t>interpuestos</w:t>
      </w:r>
      <w:r>
        <w:rPr>
          <w:spacing w:val="-10"/>
          <w:sz w:val="20"/>
        </w:rPr>
        <w:t xml:space="preserve"> </w:t>
      </w:r>
      <w:r>
        <w:rPr>
          <w:sz w:val="20"/>
        </w:rPr>
        <w:t>por</w:t>
      </w:r>
      <w:r>
        <w:rPr>
          <w:spacing w:val="-7"/>
          <w:sz w:val="20"/>
        </w:rPr>
        <w:t xml:space="preserve"> </w:t>
      </w:r>
      <w:r>
        <w:rPr>
          <w:sz w:val="20"/>
        </w:rPr>
        <w:t>los</w:t>
      </w:r>
      <w:r>
        <w:rPr>
          <w:spacing w:val="-7"/>
          <w:sz w:val="20"/>
        </w:rPr>
        <w:t xml:space="preserve"> </w:t>
      </w:r>
      <w:r>
        <w:rPr>
          <w:sz w:val="20"/>
        </w:rPr>
        <w:t>acusados</w:t>
      </w:r>
      <w:r>
        <w:rPr>
          <w:spacing w:val="-6"/>
          <w:sz w:val="20"/>
        </w:rPr>
        <w:t xml:space="preserve"> </w:t>
      </w:r>
      <w:r>
        <w:rPr>
          <w:sz w:val="20"/>
        </w:rPr>
        <w:t>y,</w:t>
      </w:r>
      <w:r>
        <w:rPr>
          <w:spacing w:val="-7"/>
          <w:sz w:val="20"/>
        </w:rPr>
        <w:t xml:space="preserve"> </w:t>
      </w:r>
      <w:r>
        <w:rPr>
          <w:sz w:val="20"/>
        </w:rPr>
        <w:t>una</w:t>
      </w:r>
      <w:r>
        <w:rPr>
          <w:spacing w:val="-5"/>
          <w:sz w:val="20"/>
        </w:rPr>
        <w:t xml:space="preserve"> </w:t>
      </w:r>
      <w:r>
        <w:rPr>
          <w:sz w:val="20"/>
        </w:rPr>
        <w:t>vez</w:t>
      </w:r>
      <w:r>
        <w:rPr>
          <w:spacing w:val="-6"/>
          <w:sz w:val="20"/>
        </w:rPr>
        <w:t xml:space="preserve"> </w:t>
      </w:r>
      <w:r>
        <w:rPr>
          <w:sz w:val="20"/>
        </w:rPr>
        <w:t>resueltos</w:t>
      </w:r>
      <w:r>
        <w:rPr>
          <w:spacing w:val="-6"/>
          <w:sz w:val="20"/>
        </w:rPr>
        <w:t xml:space="preserve"> </w:t>
      </w:r>
      <w:r>
        <w:rPr>
          <w:sz w:val="20"/>
        </w:rPr>
        <w:t>estos,</w:t>
      </w:r>
      <w:r>
        <w:rPr>
          <w:spacing w:val="-4"/>
          <w:sz w:val="20"/>
        </w:rPr>
        <w:t xml:space="preserve"> </w:t>
      </w:r>
      <w:r>
        <w:rPr>
          <w:sz w:val="20"/>
        </w:rPr>
        <w:t>el</w:t>
      </w:r>
      <w:r>
        <w:rPr>
          <w:spacing w:val="-5"/>
          <w:sz w:val="20"/>
        </w:rPr>
        <w:t xml:space="preserve"> </w:t>
      </w:r>
      <w:r>
        <w:rPr>
          <w:sz w:val="20"/>
        </w:rPr>
        <w:t>expediente</w:t>
      </w:r>
      <w:r>
        <w:rPr>
          <w:spacing w:val="-8"/>
          <w:sz w:val="20"/>
        </w:rPr>
        <w:t xml:space="preserve"> </w:t>
      </w:r>
      <w:r>
        <w:rPr>
          <w:sz w:val="20"/>
        </w:rPr>
        <w:t>fue remitido al Tribunal de Justicia de Bahia, el 9 de noviembre de 2009. El Tribunal de Justicia de Bahia lo remitió, el 27 de abril de 2010, al condado de Santo Antônio de Jesus. Sin embargo, este no era competente debido al traslado ordenado. El 30 de j</w:t>
      </w:r>
      <w:r>
        <w:rPr>
          <w:sz w:val="20"/>
        </w:rPr>
        <w:t>unio de 2010, el proceso fue recibido nuevamente por el Tribunal de Justicia de Bahia que, a su vez, lo envió al Primer Circuito Judicial Criminal de Salvador. El 20 de octubre de 2010, se dictó sentencia por</w:t>
      </w:r>
      <w:r>
        <w:rPr>
          <w:spacing w:val="55"/>
          <w:sz w:val="20"/>
        </w:rPr>
        <w:t xml:space="preserve"> </w:t>
      </w:r>
      <w:r>
        <w:rPr>
          <w:sz w:val="20"/>
        </w:rPr>
        <w:t>el</w:t>
      </w:r>
      <w:r>
        <w:rPr>
          <w:spacing w:val="56"/>
          <w:sz w:val="20"/>
        </w:rPr>
        <w:t xml:space="preserve"> </w:t>
      </w:r>
      <w:r>
        <w:rPr>
          <w:sz w:val="20"/>
        </w:rPr>
        <w:t>Tribunal</w:t>
      </w:r>
      <w:r>
        <w:rPr>
          <w:spacing w:val="53"/>
          <w:sz w:val="20"/>
        </w:rPr>
        <w:t xml:space="preserve"> </w:t>
      </w:r>
      <w:r>
        <w:rPr>
          <w:sz w:val="20"/>
        </w:rPr>
        <w:t>de</w:t>
      </w:r>
      <w:r>
        <w:rPr>
          <w:spacing w:val="51"/>
          <w:sz w:val="20"/>
        </w:rPr>
        <w:t xml:space="preserve"> </w:t>
      </w:r>
      <w:r>
        <w:rPr>
          <w:sz w:val="20"/>
        </w:rPr>
        <w:t>Jurados</w:t>
      </w:r>
      <w:r>
        <w:rPr>
          <w:spacing w:val="54"/>
          <w:sz w:val="20"/>
        </w:rPr>
        <w:t xml:space="preserve"> </w:t>
      </w:r>
      <w:r>
        <w:rPr>
          <w:sz w:val="20"/>
        </w:rPr>
        <w:t>en</w:t>
      </w:r>
      <w:r>
        <w:rPr>
          <w:spacing w:val="56"/>
          <w:sz w:val="20"/>
        </w:rPr>
        <w:t xml:space="preserve"> </w:t>
      </w:r>
      <w:r>
        <w:rPr>
          <w:sz w:val="20"/>
        </w:rPr>
        <w:t>la</w:t>
      </w:r>
      <w:r>
        <w:rPr>
          <w:spacing w:val="54"/>
          <w:sz w:val="20"/>
        </w:rPr>
        <w:t xml:space="preserve"> </w:t>
      </w:r>
      <w:r>
        <w:rPr>
          <w:sz w:val="20"/>
        </w:rPr>
        <w:t>que</w:t>
      </w:r>
      <w:r>
        <w:rPr>
          <w:spacing w:val="55"/>
          <w:sz w:val="20"/>
        </w:rPr>
        <w:t xml:space="preserve"> </w:t>
      </w:r>
      <w:r>
        <w:rPr>
          <w:sz w:val="20"/>
        </w:rPr>
        <w:t>fueron</w:t>
      </w:r>
      <w:r>
        <w:rPr>
          <w:spacing w:val="54"/>
          <w:sz w:val="20"/>
        </w:rPr>
        <w:t xml:space="preserve"> </w:t>
      </w:r>
      <w:r>
        <w:rPr>
          <w:sz w:val="20"/>
        </w:rPr>
        <w:t>condena</w:t>
      </w:r>
      <w:r>
        <w:rPr>
          <w:sz w:val="20"/>
        </w:rPr>
        <w:t>das</w:t>
      </w:r>
      <w:r>
        <w:rPr>
          <w:spacing w:val="53"/>
          <w:sz w:val="20"/>
        </w:rPr>
        <w:t xml:space="preserve"> </w:t>
      </w:r>
      <w:r>
        <w:rPr>
          <w:sz w:val="20"/>
        </w:rPr>
        <w:t>cinco</w:t>
      </w:r>
      <w:r>
        <w:rPr>
          <w:spacing w:val="54"/>
          <w:sz w:val="20"/>
        </w:rPr>
        <w:t xml:space="preserve"> </w:t>
      </w:r>
      <w:r>
        <w:rPr>
          <w:sz w:val="20"/>
        </w:rPr>
        <w:t>personas</w:t>
      </w:r>
      <w:r>
        <w:rPr>
          <w:spacing w:val="54"/>
          <w:sz w:val="20"/>
        </w:rPr>
        <w:t xml:space="preserve"> </w:t>
      </w:r>
      <w:r>
        <w:rPr>
          <w:sz w:val="20"/>
        </w:rPr>
        <w:t>y</w:t>
      </w:r>
      <w:r>
        <w:rPr>
          <w:spacing w:val="54"/>
          <w:sz w:val="20"/>
        </w:rPr>
        <w:t xml:space="preserve"> </w:t>
      </w:r>
      <w:r>
        <w:rPr>
          <w:sz w:val="20"/>
        </w:rPr>
        <w:t>absueltos</w:t>
      </w:r>
      <w:r>
        <w:rPr>
          <w:spacing w:val="52"/>
          <w:sz w:val="20"/>
        </w:rPr>
        <w:t xml:space="preserve"> </w:t>
      </w:r>
      <w:r>
        <w:rPr>
          <w:sz w:val="20"/>
        </w:rPr>
        <w:t>3</w:t>
      </w:r>
    </w:p>
    <w:p w14:paraId="11DF5813" w14:textId="77777777" w:rsidR="00467FCA" w:rsidRDefault="001B68EB">
      <w:pPr>
        <w:pStyle w:val="Textoindependiente"/>
        <w:spacing w:before="8"/>
        <w:rPr>
          <w:sz w:val="25"/>
        </w:rPr>
      </w:pPr>
      <w:r>
        <w:pict w14:anchorId="740BAC9E">
          <v:shape id="_x0000_s1136" style="position:absolute;margin-left:1in;margin-top:17.85pt;width:2in;height:.1pt;z-index:-251596800;mso-wrap-distance-left:0;mso-wrap-distance-right:0;mso-position-horizontal-relative:page" coordorigin="1440,357" coordsize="2880,0" path="m1440,357r2880,e" filled="f" strokeweight=".6pt">
            <v:path arrowok="t"/>
            <w10:wrap type="topAndBottom" anchorx="page"/>
          </v:shape>
        </w:pict>
      </w:r>
    </w:p>
    <w:p w14:paraId="40429876" w14:textId="77777777" w:rsidR="00467FCA" w:rsidRDefault="001B68EB">
      <w:pPr>
        <w:tabs>
          <w:tab w:val="left" w:pos="839"/>
        </w:tabs>
        <w:spacing w:before="74"/>
        <w:ind w:left="119" w:right="114"/>
        <w:jc w:val="both"/>
        <w:rPr>
          <w:i/>
          <w:sz w:val="16"/>
        </w:rPr>
      </w:pPr>
      <w:bookmarkStart w:id="433" w:name="_bookmark381"/>
      <w:bookmarkEnd w:id="433"/>
      <w:r>
        <w:rPr>
          <w:position w:val="6"/>
          <w:sz w:val="10"/>
        </w:rPr>
        <w:t>326</w:t>
      </w:r>
      <w:r>
        <w:rPr>
          <w:position w:val="6"/>
          <w:sz w:val="10"/>
        </w:rPr>
        <w:tab/>
      </w:r>
      <w:r>
        <w:rPr>
          <w:i/>
          <w:sz w:val="16"/>
        </w:rPr>
        <w:t>Cfr. Caso Genie Lacayo Vs. Nicaragua. Fondo, Reparaciones y Costas</w:t>
      </w:r>
      <w:r>
        <w:rPr>
          <w:sz w:val="16"/>
        </w:rPr>
        <w:t>. Sentencia de 29 de enero de 1997.</w:t>
      </w:r>
      <w:bookmarkStart w:id="434" w:name="_bookmark382"/>
      <w:bookmarkEnd w:id="434"/>
      <w:r>
        <w:rPr>
          <w:sz w:val="16"/>
        </w:rPr>
        <w:t xml:space="preserve"> Serie C No. 30, párr. 78, y </w:t>
      </w:r>
      <w:r>
        <w:rPr>
          <w:i/>
          <w:sz w:val="16"/>
        </w:rPr>
        <w:t>Caso Montesinos Mejía Vs. Ecuador, supra</w:t>
      </w:r>
      <w:r>
        <w:rPr>
          <w:sz w:val="16"/>
        </w:rPr>
        <w:t>, párr.</w:t>
      </w:r>
      <w:r>
        <w:rPr>
          <w:spacing w:val="-23"/>
          <w:sz w:val="16"/>
        </w:rPr>
        <w:t xml:space="preserve"> </w:t>
      </w:r>
      <w:r>
        <w:rPr>
          <w:sz w:val="16"/>
        </w:rPr>
        <w:t>182</w:t>
      </w:r>
      <w:r>
        <w:rPr>
          <w:i/>
          <w:sz w:val="16"/>
        </w:rPr>
        <w:t>.</w:t>
      </w:r>
    </w:p>
    <w:p w14:paraId="55DFAC40" w14:textId="77777777" w:rsidR="00467FCA" w:rsidRDefault="001B68EB">
      <w:pPr>
        <w:tabs>
          <w:tab w:val="left" w:pos="839"/>
        </w:tabs>
        <w:ind w:left="120" w:right="110" w:hanging="1"/>
        <w:jc w:val="both"/>
        <w:rPr>
          <w:sz w:val="16"/>
        </w:rPr>
      </w:pPr>
      <w:r>
        <w:rPr>
          <w:position w:val="6"/>
          <w:sz w:val="10"/>
        </w:rPr>
        <w:t>327</w:t>
      </w:r>
      <w:r>
        <w:rPr>
          <w:position w:val="6"/>
          <w:sz w:val="10"/>
        </w:rPr>
        <w:tab/>
      </w:r>
      <w:r>
        <w:rPr>
          <w:i/>
          <w:sz w:val="16"/>
        </w:rPr>
        <w:t xml:space="preserve">Cfr. Caso Acosta Calderón Vs. Ecuador. </w:t>
      </w:r>
      <w:r>
        <w:rPr>
          <w:sz w:val="16"/>
        </w:rPr>
        <w:t xml:space="preserve">Fondo, Reparaciones y Costas. Sentencia de 24 de junio de 2005. Serie C No. 129, párr. 106, y </w:t>
      </w:r>
      <w:r>
        <w:rPr>
          <w:i/>
          <w:sz w:val="16"/>
        </w:rPr>
        <w:t>Caso Montesinos Mejía Vs. Ecuador, supra</w:t>
      </w:r>
      <w:r>
        <w:rPr>
          <w:sz w:val="16"/>
        </w:rPr>
        <w:t>, párr.</w:t>
      </w:r>
      <w:r>
        <w:rPr>
          <w:spacing w:val="-23"/>
          <w:sz w:val="16"/>
        </w:rPr>
        <w:t xml:space="preserve"> </w:t>
      </w:r>
      <w:r>
        <w:rPr>
          <w:sz w:val="16"/>
        </w:rPr>
        <w:t>182.</w:t>
      </w:r>
    </w:p>
    <w:p w14:paraId="00DFF4BC" w14:textId="77777777" w:rsidR="00467FCA" w:rsidRDefault="001B68EB">
      <w:pPr>
        <w:tabs>
          <w:tab w:val="left" w:pos="839"/>
        </w:tabs>
        <w:ind w:left="119" w:right="115"/>
        <w:jc w:val="both"/>
        <w:rPr>
          <w:sz w:val="16"/>
        </w:rPr>
      </w:pPr>
      <w:bookmarkStart w:id="435" w:name="_bookmark383"/>
      <w:bookmarkEnd w:id="435"/>
      <w:r>
        <w:rPr>
          <w:position w:val="6"/>
          <w:sz w:val="10"/>
        </w:rPr>
        <w:t>328</w:t>
      </w:r>
      <w:r>
        <w:rPr>
          <w:position w:val="6"/>
          <w:sz w:val="10"/>
        </w:rPr>
        <w:tab/>
      </w:r>
      <w:r>
        <w:rPr>
          <w:i/>
          <w:sz w:val="16"/>
        </w:rPr>
        <w:t>Cfr. Caso Furlan y familiares Vs. Argentina, supra</w:t>
      </w:r>
      <w:r>
        <w:rPr>
          <w:sz w:val="16"/>
        </w:rPr>
        <w:t xml:space="preserve">, párr. 156, y </w:t>
      </w:r>
      <w:r>
        <w:rPr>
          <w:i/>
          <w:sz w:val="16"/>
        </w:rPr>
        <w:t>C</w:t>
      </w:r>
      <w:r>
        <w:rPr>
          <w:i/>
          <w:sz w:val="16"/>
        </w:rPr>
        <w:t>aso Montesinos Mejía Vs. Ecuador, supra</w:t>
      </w:r>
      <w:r>
        <w:rPr>
          <w:sz w:val="16"/>
        </w:rPr>
        <w:t>, párr.</w:t>
      </w:r>
      <w:r>
        <w:rPr>
          <w:spacing w:val="-1"/>
          <w:sz w:val="16"/>
        </w:rPr>
        <w:t xml:space="preserve"> </w:t>
      </w:r>
      <w:r>
        <w:rPr>
          <w:sz w:val="16"/>
        </w:rPr>
        <w:t>182.</w:t>
      </w:r>
    </w:p>
    <w:p w14:paraId="2ABC8FD6" w14:textId="77777777" w:rsidR="00467FCA" w:rsidRDefault="001B68EB">
      <w:pPr>
        <w:ind w:left="119" w:right="114"/>
        <w:jc w:val="both"/>
        <w:rPr>
          <w:sz w:val="16"/>
        </w:rPr>
      </w:pPr>
      <w:bookmarkStart w:id="436" w:name="_bookmark384"/>
      <w:bookmarkEnd w:id="436"/>
      <w:r>
        <w:rPr>
          <w:position w:val="6"/>
          <w:sz w:val="10"/>
        </w:rPr>
        <w:t xml:space="preserve">329 </w:t>
      </w:r>
      <w:r>
        <w:rPr>
          <w:i/>
          <w:sz w:val="16"/>
        </w:rPr>
        <w:t>Mutatis mutandis, Cfr. Caso Heliodoro Portugal Vs. Panamá</w:t>
      </w:r>
      <w:r>
        <w:rPr>
          <w:sz w:val="16"/>
        </w:rPr>
        <w:t>. Excepciones Preliminares, Fondo, Reparaciones y Costas.</w:t>
      </w:r>
      <w:r>
        <w:rPr>
          <w:spacing w:val="-11"/>
          <w:sz w:val="16"/>
        </w:rPr>
        <w:t xml:space="preserve"> </w:t>
      </w:r>
      <w:r>
        <w:rPr>
          <w:sz w:val="16"/>
        </w:rPr>
        <w:t>Sentencia</w:t>
      </w:r>
      <w:r>
        <w:rPr>
          <w:spacing w:val="-7"/>
          <w:sz w:val="16"/>
        </w:rPr>
        <w:t xml:space="preserve"> </w:t>
      </w:r>
      <w:r>
        <w:rPr>
          <w:sz w:val="16"/>
        </w:rPr>
        <w:t>de</w:t>
      </w:r>
      <w:r>
        <w:rPr>
          <w:spacing w:val="-9"/>
          <w:sz w:val="16"/>
        </w:rPr>
        <w:t xml:space="preserve"> </w:t>
      </w:r>
      <w:r>
        <w:rPr>
          <w:sz w:val="16"/>
        </w:rPr>
        <w:t>12</w:t>
      </w:r>
      <w:r>
        <w:rPr>
          <w:spacing w:val="-5"/>
          <w:sz w:val="16"/>
        </w:rPr>
        <w:t xml:space="preserve"> </w:t>
      </w:r>
      <w:r>
        <w:rPr>
          <w:sz w:val="16"/>
        </w:rPr>
        <w:t>de</w:t>
      </w:r>
      <w:r>
        <w:rPr>
          <w:spacing w:val="-7"/>
          <w:sz w:val="16"/>
        </w:rPr>
        <w:t xml:space="preserve"> </w:t>
      </w:r>
      <w:r>
        <w:rPr>
          <w:sz w:val="16"/>
        </w:rPr>
        <w:t>agosto</w:t>
      </w:r>
      <w:r>
        <w:rPr>
          <w:spacing w:val="-8"/>
          <w:sz w:val="16"/>
        </w:rPr>
        <w:t xml:space="preserve"> </w:t>
      </w:r>
      <w:r>
        <w:rPr>
          <w:sz w:val="16"/>
        </w:rPr>
        <w:t>de</w:t>
      </w:r>
      <w:r>
        <w:rPr>
          <w:spacing w:val="-8"/>
          <w:sz w:val="16"/>
        </w:rPr>
        <w:t xml:space="preserve"> </w:t>
      </w:r>
      <w:r>
        <w:rPr>
          <w:sz w:val="16"/>
        </w:rPr>
        <w:t>2008.</w:t>
      </w:r>
      <w:r>
        <w:rPr>
          <w:spacing w:val="-7"/>
          <w:sz w:val="16"/>
        </w:rPr>
        <w:t xml:space="preserve"> </w:t>
      </w:r>
      <w:r>
        <w:rPr>
          <w:sz w:val="16"/>
        </w:rPr>
        <w:t>Serie</w:t>
      </w:r>
      <w:r>
        <w:rPr>
          <w:spacing w:val="-7"/>
          <w:sz w:val="16"/>
        </w:rPr>
        <w:t xml:space="preserve"> </w:t>
      </w:r>
      <w:r>
        <w:rPr>
          <w:sz w:val="16"/>
        </w:rPr>
        <w:t>C</w:t>
      </w:r>
      <w:r>
        <w:rPr>
          <w:spacing w:val="-8"/>
          <w:sz w:val="16"/>
        </w:rPr>
        <w:t xml:space="preserve"> </w:t>
      </w:r>
      <w:r>
        <w:rPr>
          <w:sz w:val="16"/>
        </w:rPr>
        <w:t>No.</w:t>
      </w:r>
      <w:r>
        <w:rPr>
          <w:spacing w:val="-10"/>
          <w:sz w:val="16"/>
        </w:rPr>
        <w:t xml:space="preserve"> </w:t>
      </w:r>
      <w:r>
        <w:rPr>
          <w:sz w:val="16"/>
        </w:rPr>
        <w:t>186,</w:t>
      </w:r>
      <w:r>
        <w:rPr>
          <w:spacing w:val="-7"/>
          <w:sz w:val="16"/>
        </w:rPr>
        <w:t xml:space="preserve"> </w:t>
      </w:r>
      <w:r>
        <w:rPr>
          <w:sz w:val="16"/>
        </w:rPr>
        <w:t>párr.</w:t>
      </w:r>
      <w:r>
        <w:rPr>
          <w:spacing w:val="-11"/>
          <w:sz w:val="16"/>
        </w:rPr>
        <w:t xml:space="preserve"> </w:t>
      </w:r>
      <w:r>
        <w:rPr>
          <w:sz w:val="16"/>
        </w:rPr>
        <w:t>150,</w:t>
      </w:r>
      <w:r>
        <w:rPr>
          <w:spacing w:val="-10"/>
          <w:sz w:val="16"/>
        </w:rPr>
        <w:t xml:space="preserve"> </w:t>
      </w:r>
      <w:r>
        <w:rPr>
          <w:sz w:val="16"/>
        </w:rPr>
        <w:t>y</w:t>
      </w:r>
      <w:r>
        <w:rPr>
          <w:spacing w:val="-6"/>
          <w:sz w:val="16"/>
        </w:rPr>
        <w:t xml:space="preserve"> </w:t>
      </w:r>
      <w:r>
        <w:rPr>
          <w:i/>
          <w:sz w:val="16"/>
        </w:rPr>
        <w:t>Caso</w:t>
      </w:r>
      <w:r>
        <w:rPr>
          <w:i/>
          <w:spacing w:val="-8"/>
          <w:sz w:val="16"/>
        </w:rPr>
        <w:t xml:space="preserve"> </w:t>
      </w:r>
      <w:r>
        <w:rPr>
          <w:i/>
          <w:sz w:val="16"/>
        </w:rPr>
        <w:t>Montesinos</w:t>
      </w:r>
      <w:r>
        <w:rPr>
          <w:i/>
          <w:spacing w:val="-10"/>
          <w:sz w:val="16"/>
        </w:rPr>
        <w:t xml:space="preserve"> </w:t>
      </w:r>
      <w:r>
        <w:rPr>
          <w:i/>
          <w:sz w:val="16"/>
        </w:rPr>
        <w:t>Mejía</w:t>
      </w:r>
      <w:r>
        <w:rPr>
          <w:i/>
          <w:spacing w:val="-9"/>
          <w:sz w:val="16"/>
        </w:rPr>
        <w:t xml:space="preserve"> </w:t>
      </w:r>
      <w:r>
        <w:rPr>
          <w:i/>
          <w:sz w:val="16"/>
        </w:rPr>
        <w:t>Vs.</w:t>
      </w:r>
      <w:r>
        <w:rPr>
          <w:i/>
          <w:spacing w:val="-7"/>
          <w:sz w:val="16"/>
        </w:rPr>
        <w:t xml:space="preserve"> </w:t>
      </w:r>
      <w:r>
        <w:rPr>
          <w:i/>
          <w:sz w:val="16"/>
        </w:rPr>
        <w:t>Ecuador,</w:t>
      </w:r>
      <w:r>
        <w:rPr>
          <w:i/>
          <w:spacing w:val="-7"/>
          <w:sz w:val="16"/>
        </w:rPr>
        <w:t xml:space="preserve"> </w:t>
      </w:r>
      <w:r>
        <w:rPr>
          <w:i/>
          <w:sz w:val="16"/>
        </w:rPr>
        <w:t>supra</w:t>
      </w:r>
      <w:r>
        <w:rPr>
          <w:sz w:val="16"/>
        </w:rPr>
        <w:t>,</w:t>
      </w:r>
      <w:bookmarkStart w:id="437" w:name="_bookmark385"/>
      <w:bookmarkEnd w:id="437"/>
      <w:r>
        <w:rPr>
          <w:sz w:val="16"/>
        </w:rPr>
        <w:t xml:space="preserve"> párr.</w:t>
      </w:r>
      <w:r>
        <w:rPr>
          <w:spacing w:val="-1"/>
          <w:sz w:val="16"/>
        </w:rPr>
        <w:t xml:space="preserve"> </w:t>
      </w:r>
      <w:r>
        <w:rPr>
          <w:sz w:val="16"/>
        </w:rPr>
        <w:t>182.</w:t>
      </w:r>
    </w:p>
    <w:p w14:paraId="1EE6DFC9" w14:textId="77777777" w:rsidR="00467FCA" w:rsidRDefault="001B68EB">
      <w:pPr>
        <w:tabs>
          <w:tab w:val="left" w:pos="839"/>
        </w:tabs>
        <w:ind w:left="119" w:right="115"/>
        <w:jc w:val="both"/>
        <w:rPr>
          <w:sz w:val="16"/>
        </w:rPr>
      </w:pPr>
      <w:r>
        <w:rPr>
          <w:position w:val="6"/>
          <w:sz w:val="10"/>
        </w:rPr>
        <w:t>330</w:t>
      </w:r>
      <w:r>
        <w:rPr>
          <w:position w:val="6"/>
          <w:sz w:val="10"/>
        </w:rPr>
        <w:tab/>
      </w:r>
      <w:r>
        <w:rPr>
          <w:i/>
          <w:sz w:val="16"/>
        </w:rPr>
        <w:t>Cfr. Caso Salvador Chiriboga Vs. Ecuador. Excepción Preliminar y Fondo</w:t>
      </w:r>
      <w:r>
        <w:rPr>
          <w:sz w:val="16"/>
        </w:rPr>
        <w:t xml:space="preserve">. Sentencia de 6 de mayo de 2008. Serie C No. 179, párr. 83, y </w:t>
      </w:r>
      <w:r>
        <w:rPr>
          <w:i/>
          <w:sz w:val="16"/>
        </w:rPr>
        <w:t>Caso Montesinos Mejía Vs. Ecuador, supra</w:t>
      </w:r>
      <w:r>
        <w:rPr>
          <w:sz w:val="16"/>
        </w:rPr>
        <w:t>, párr.</w:t>
      </w:r>
      <w:r>
        <w:rPr>
          <w:spacing w:val="-21"/>
          <w:sz w:val="16"/>
        </w:rPr>
        <w:t xml:space="preserve"> </w:t>
      </w:r>
      <w:r>
        <w:rPr>
          <w:sz w:val="16"/>
        </w:rPr>
        <w:t>182.</w:t>
      </w:r>
    </w:p>
    <w:p w14:paraId="1A23D53C" w14:textId="77777777" w:rsidR="00467FCA" w:rsidRDefault="001B68EB">
      <w:pPr>
        <w:tabs>
          <w:tab w:val="left" w:pos="839"/>
        </w:tabs>
        <w:ind w:left="119" w:right="115"/>
        <w:jc w:val="both"/>
        <w:rPr>
          <w:sz w:val="16"/>
        </w:rPr>
      </w:pPr>
      <w:bookmarkStart w:id="438" w:name="_bookmark386"/>
      <w:bookmarkEnd w:id="438"/>
      <w:r>
        <w:rPr>
          <w:position w:val="6"/>
          <w:sz w:val="10"/>
        </w:rPr>
        <w:t>331</w:t>
      </w:r>
      <w:r>
        <w:rPr>
          <w:position w:val="6"/>
          <w:sz w:val="10"/>
        </w:rPr>
        <w:tab/>
      </w:r>
      <w:r>
        <w:rPr>
          <w:i/>
          <w:sz w:val="16"/>
        </w:rPr>
        <w:t>Cfr. Caso Furl</w:t>
      </w:r>
      <w:r>
        <w:rPr>
          <w:i/>
          <w:sz w:val="16"/>
        </w:rPr>
        <w:t>an y familiares Vs. Argentina</w:t>
      </w:r>
      <w:r>
        <w:rPr>
          <w:sz w:val="16"/>
        </w:rPr>
        <w:t xml:space="preserve">, supra, párr. 156, y </w:t>
      </w:r>
      <w:r>
        <w:rPr>
          <w:i/>
          <w:sz w:val="16"/>
        </w:rPr>
        <w:t>Caso Montesinos Mejía Vs. Ecuador, supra</w:t>
      </w:r>
      <w:r>
        <w:rPr>
          <w:sz w:val="16"/>
        </w:rPr>
        <w:t>, párr.</w:t>
      </w:r>
      <w:r>
        <w:rPr>
          <w:spacing w:val="-1"/>
          <w:sz w:val="16"/>
        </w:rPr>
        <w:t xml:space="preserve"> </w:t>
      </w:r>
      <w:r>
        <w:rPr>
          <w:sz w:val="16"/>
        </w:rPr>
        <w:t>182.</w:t>
      </w:r>
    </w:p>
    <w:p w14:paraId="6BB82B42" w14:textId="77777777" w:rsidR="00467FCA" w:rsidRDefault="00467FCA">
      <w:pPr>
        <w:jc w:val="both"/>
        <w:rPr>
          <w:sz w:val="16"/>
        </w:rPr>
        <w:sectPr w:rsidR="00467FCA">
          <w:pgSz w:w="12240" w:h="15840"/>
          <w:pgMar w:top="1500" w:right="1320" w:bottom="1220" w:left="1320" w:header="0" w:footer="1037" w:gutter="0"/>
          <w:cols w:space="720"/>
        </w:sectPr>
      </w:pPr>
    </w:p>
    <w:p w14:paraId="13607DF9" w14:textId="77777777" w:rsidR="00467FCA" w:rsidRDefault="001B68EB">
      <w:pPr>
        <w:pStyle w:val="Textoindependiente"/>
        <w:spacing w:before="80"/>
        <w:ind w:left="119" w:right="115"/>
        <w:jc w:val="both"/>
      </w:pPr>
      <w:r>
        <w:t>acusados. El 26 de abril del 2012, dicha decisión fue confirmada en segunda instancia. Se interpusieron recursos especiales y extraordinar</w:t>
      </w:r>
      <w:r>
        <w:t>ios y otros recursos interlocutorios dirigidos al</w:t>
      </w:r>
      <w:r>
        <w:rPr>
          <w:spacing w:val="-5"/>
        </w:rPr>
        <w:t xml:space="preserve"> </w:t>
      </w:r>
      <w:r>
        <w:t>Superior</w:t>
      </w:r>
      <w:r>
        <w:rPr>
          <w:spacing w:val="-4"/>
        </w:rPr>
        <w:t xml:space="preserve"> </w:t>
      </w:r>
      <w:r>
        <w:t>Tribunal</w:t>
      </w:r>
      <w:r>
        <w:rPr>
          <w:spacing w:val="-4"/>
        </w:rPr>
        <w:t xml:space="preserve"> </w:t>
      </w:r>
      <w:r>
        <w:t>de</w:t>
      </w:r>
      <w:r>
        <w:rPr>
          <w:spacing w:val="-5"/>
        </w:rPr>
        <w:t xml:space="preserve"> </w:t>
      </w:r>
      <w:r>
        <w:t>Justicia</w:t>
      </w:r>
      <w:r>
        <w:rPr>
          <w:spacing w:val="-5"/>
        </w:rPr>
        <w:t xml:space="preserve"> </w:t>
      </w:r>
      <w:r>
        <w:t>(STJ)</w:t>
      </w:r>
      <w:r>
        <w:rPr>
          <w:spacing w:val="-4"/>
        </w:rPr>
        <w:t xml:space="preserve"> </w:t>
      </w:r>
      <w:r>
        <w:t>y</w:t>
      </w:r>
      <w:r>
        <w:rPr>
          <w:spacing w:val="-4"/>
        </w:rPr>
        <w:t xml:space="preserve"> </w:t>
      </w:r>
      <w:r>
        <w:t>al</w:t>
      </w:r>
      <w:r>
        <w:rPr>
          <w:spacing w:val="-4"/>
        </w:rPr>
        <w:t xml:space="preserve"> </w:t>
      </w:r>
      <w:r>
        <w:t>Supremo</w:t>
      </w:r>
      <w:r>
        <w:rPr>
          <w:spacing w:val="-6"/>
        </w:rPr>
        <w:t xml:space="preserve"> </w:t>
      </w:r>
      <w:r>
        <w:t>Tribunal</w:t>
      </w:r>
      <w:r>
        <w:rPr>
          <w:spacing w:val="-4"/>
        </w:rPr>
        <w:t xml:space="preserve"> </w:t>
      </w:r>
      <w:r>
        <w:t>Federal</w:t>
      </w:r>
      <w:r>
        <w:rPr>
          <w:spacing w:val="-3"/>
        </w:rPr>
        <w:t xml:space="preserve"> </w:t>
      </w:r>
      <w:r>
        <w:t>(STF).</w:t>
      </w:r>
      <w:r>
        <w:rPr>
          <w:spacing w:val="-5"/>
        </w:rPr>
        <w:t xml:space="preserve"> </w:t>
      </w:r>
      <w:r>
        <w:t>Durante</w:t>
      </w:r>
      <w:r>
        <w:rPr>
          <w:spacing w:val="-4"/>
        </w:rPr>
        <w:t xml:space="preserve"> </w:t>
      </w:r>
      <w:r>
        <w:t>el</w:t>
      </w:r>
      <w:r>
        <w:rPr>
          <w:spacing w:val="-3"/>
        </w:rPr>
        <w:t xml:space="preserve"> </w:t>
      </w:r>
      <w:r>
        <w:t>año</w:t>
      </w:r>
      <w:r>
        <w:rPr>
          <w:spacing w:val="-6"/>
        </w:rPr>
        <w:t xml:space="preserve"> </w:t>
      </w:r>
      <w:r>
        <w:t xml:space="preserve">de 2019, tres </w:t>
      </w:r>
      <w:r>
        <w:rPr>
          <w:i/>
        </w:rPr>
        <w:t xml:space="preserve">habeas corpus </w:t>
      </w:r>
      <w:r>
        <w:t>fueron presentados ante el Tribunal de Justicia de Bahia en favor de</w:t>
      </w:r>
      <w:r>
        <w:rPr>
          <w:spacing w:val="-8"/>
        </w:rPr>
        <w:t xml:space="preserve"> </w:t>
      </w:r>
      <w:r>
        <w:t>los</w:t>
      </w:r>
      <w:r>
        <w:rPr>
          <w:spacing w:val="-4"/>
        </w:rPr>
        <w:t xml:space="preserve"> </w:t>
      </w:r>
      <w:r>
        <w:t>acusados,</w:t>
      </w:r>
      <w:r>
        <w:rPr>
          <w:spacing w:val="-6"/>
        </w:rPr>
        <w:t xml:space="preserve"> </w:t>
      </w:r>
      <w:r>
        <w:t>los</w:t>
      </w:r>
      <w:r>
        <w:rPr>
          <w:spacing w:val="-4"/>
        </w:rPr>
        <w:t xml:space="preserve"> </w:t>
      </w:r>
      <w:r>
        <w:t>cuales</w:t>
      </w:r>
      <w:r>
        <w:rPr>
          <w:spacing w:val="-4"/>
        </w:rPr>
        <w:t xml:space="preserve"> </w:t>
      </w:r>
      <w:r>
        <w:t>resultaron</w:t>
      </w:r>
      <w:r>
        <w:rPr>
          <w:spacing w:val="-3"/>
        </w:rPr>
        <w:t xml:space="preserve"> </w:t>
      </w:r>
      <w:r>
        <w:t>en</w:t>
      </w:r>
      <w:r>
        <w:rPr>
          <w:spacing w:val="-2"/>
        </w:rPr>
        <w:t xml:space="preserve"> </w:t>
      </w:r>
      <w:r>
        <w:t>el</w:t>
      </w:r>
      <w:r>
        <w:rPr>
          <w:spacing w:val="-3"/>
        </w:rPr>
        <w:t xml:space="preserve"> </w:t>
      </w:r>
      <w:r>
        <w:t>reconocimiento</w:t>
      </w:r>
      <w:r>
        <w:rPr>
          <w:spacing w:val="-4"/>
        </w:rPr>
        <w:t xml:space="preserve"> </w:t>
      </w:r>
      <w:r>
        <w:t>de</w:t>
      </w:r>
      <w:r>
        <w:rPr>
          <w:spacing w:val="-7"/>
        </w:rPr>
        <w:t xml:space="preserve"> </w:t>
      </w:r>
      <w:r>
        <w:t>la</w:t>
      </w:r>
      <w:r>
        <w:rPr>
          <w:spacing w:val="-4"/>
        </w:rPr>
        <w:t xml:space="preserve"> </w:t>
      </w:r>
      <w:r>
        <w:t>prescripción</w:t>
      </w:r>
      <w:r>
        <w:rPr>
          <w:spacing w:val="-4"/>
        </w:rPr>
        <w:t xml:space="preserve"> </w:t>
      </w:r>
      <w:r>
        <w:t>de</w:t>
      </w:r>
      <w:r>
        <w:rPr>
          <w:spacing w:val="-7"/>
        </w:rPr>
        <w:t xml:space="preserve"> </w:t>
      </w:r>
      <w:r>
        <w:t>la</w:t>
      </w:r>
      <w:r>
        <w:rPr>
          <w:spacing w:val="-3"/>
        </w:rPr>
        <w:t xml:space="preserve"> </w:t>
      </w:r>
      <w:r>
        <w:t>acción</w:t>
      </w:r>
      <w:r>
        <w:rPr>
          <w:spacing w:val="-2"/>
        </w:rPr>
        <w:t xml:space="preserve"> </w:t>
      </w:r>
      <w:r>
        <w:t>en favor de Osvaldo Prazeres Bastos, con la consecuente extinción de su punibilidad, y la anulació</w:t>
      </w:r>
      <w:r>
        <w:t>n de la decisión de segunda instancia por falta de citación de los abogados de los acusados.</w:t>
      </w:r>
    </w:p>
    <w:p w14:paraId="77CD8668" w14:textId="77777777" w:rsidR="00467FCA" w:rsidRDefault="00467FCA">
      <w:pPr>
        <w:pStyle w:val="Textoindependiente"/>
        <w:spacing w:before="11"/>
        <w:rPr>
          <w:sz w:val="18"/>
        </w:rPr>
      </w:pPr>
    </w:p>
    <w:p w14:paraId="22AA3287"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En</w:t>
      </w:r>
      <w:r>
        <w:rPr>
          <w:spacing w:val="-4"/>
          <w:sz w:val="20"/>
        </w:rPr>
        <w:t xml:space="preserve"> </w:t>
      </w:r>
      <w:r>
        <w:rPr>
          <w:sz w:val="20"/>
        </w:rPr>
        <w:t>lo</w:t>
      </w:r>
      <w:r>
        <w:rPr>
          <w:spacing w:val="-6"/>
          <w:sz w:val="20"/>
        </w:rPr>
        <w:t xml:space="preserve"> </w:t>
      </w:r>
      <w:r>
        <w:rPr>
          <w:sz w:val="20"/>
        </w:rPr>
        <w:t>que</w:t>
      </w:r>
      <w:r>
        <w:rPr>
          <w:spacing w:val="-4"/>
          <w:sz w:val="20"/>
        </w:rPr>
        <w:t xml:space="preserve"> </w:t>
      </w:r>
      <w:r>
        <w:rPr>
          <w:sz w:val="20"/>
        </w:rPr>
        <w:t>respecta</w:t>
      </w:r>
      <w:r>
        <w:rPr>
          <w:spacing w:val="-4"/>
          <w:sz w:val="20"/>
        </w:rPr>
        <w:t xml:space="preserve"> </w:t>
      </w:r>
      <w:r>
        <w:rPr>
          <w:sz w:val="20"/>
        </w:rPr>
        <w:t>al</w:t>
      </w:r>
      <w:r>
        <w:rPr>
          <w:spacing w:val="-5"/>
          <w:sz w:val="20"/>
        </w:rPr>
        <w:t xml:space="preserve"> </w:t>
      </w:r>
      <w:r>
        <w:rPr>
          <w:sz w:val="20"/>
        </w:rPr>
        <w:t>plazo</w:t>
      </w:r>
      <w:r>
        <w:rPr>
          <w:spacing w:val="-5"/>
          <w:sz w:val="20"/>
        </w:rPr>
        <w:t xml:space="preserve"> </w:t>
      </w:r>
      <w:r>
        <w:rPr>
          <w:sz w:val="20"/>
        </w:rPr>
        <w:t>razonable,</w:t>
      </w:r>
      <w:r>
        <w:rPr>
          <w:spacing w:val="-4"/>
          <w:sz w:val="20"/>
        </w:rPr>
        <w:t xml:space="preserve"> </w:t>
      </w:r>
      <w:r>
        <w:rPr>
          <w:sz w:val="20"/>
        </w:rPr>
        <w:t>mediante</w:t>
      </w:r>
      <w:r>
        <w:rPr>
          <w:spacing w:val="-4"/>
          <w:sz w:val="20"/>
        </w:rPr>
        <w:t xml:space="preserve"> </w:t>
      </w:r>
      <w:r>
        <w:rPr>
          <w:sz w:val="20"/>
        </w:rPr>
        <w:t>el</w:t>
      </w:r>
      <w:r>
        <w:rPr>
          <w:spacing w:val="-4"/>
          <w:sz w:val="20"/>
        </w:rPr>
        <w:t xml:space="preserve"> </w:t>
      </w:r>
      <w:r>
        <w:rPr>
          <w:sz w:val="20"/>
        </w:rPr>
        <w:t>análisis</w:t>
      </w:r>
      <w:r>
        <w:rPr>
          <w:spacing w:val="-5"/>
          <w:sz w:val="20"/>
        </w:rPr>
        <w:t xml:space="preserve"> </w:t>
      </w:r>
      <w:r>
        <w:rPr>
          <w:sz w:val="20"/>
        </w:rPr>
        <w:t>del</w:t>
      </w:r>
      <w:r>
        <w:rPr>
          <w:spacing w:val="-5"/>
          <w:sz w:val="20"/>
        </w:rPr>
        <w:t xml:space="preserve"> </w:t>
      </w:r>
      <w:r>
        <w:rPr>
          <w:sz w:val="20"/>
        </w:rPr>
        <w:t>proceso</w:t>
      </w:r>
      <w:r>
        <w:rPr>
          <w:spacing w:val="-3"/>
          <w:sz w:val="20"/>
        </w:rPr>
        <w:t xml:space="preserve"> </w:t>
      </w:r>
      <w:r>
        <w:rPr>
          <w:sz w:val="20"/>
        </w:rPr>
        <w:t>penal</w:t>
      </w:r>
      <w:r>
        <w:rPr>
          <w:spacing w:val="-5"/>
          <w:sz w:val="20"/>
        </w:rPr>
        <w:t xml:space="preserve"> </w:t>
      </w:r>
      <w:r>
        <w:rPr>
          <w:sz w:val="20"/>
        </w:rPr>
        <w:t>a</w:t>
      </w:r>
      <w:r>
        <w:rPr>
          <w:spacing w:val="-4"/>
          <w:sz w:val="20"/>
        </w:rPr>
        <w:t xml:space="preserve"> </w:t>
      </w:r>
      <w:r>
        <w:rPr>
          <w:sz w:val="20"/>
        </w:rPr>
        <w:t>la</w:t>
      </w:r>
      <w:r>
        <w:rPr>
          <w:spacing w:val="-5"/>
          <w:sz w:val="20"/>
        </w:rPr>
        <w:t xml:space="preserve"> </w:t>
      </w:r>
      <w:r>
        <w:rPr>
          <w:sz w:val="20"/>
        </w:rPr>
        <w:t>luz</w:t>
      </w:r>
      <w:r>
        <w:rPr>
          <w:spacing w:val="-4"/>
          <w:sz w:val="20"/>
        </w:rPr>
        <w:t xml:space="preserve"> </w:t>
      </w:r>
      <w:r>
        <w:rPr>
          <w:sz w:val="20"/>
        </w:rPr>
        <w:t>de los cuatro elementos establecidos de manera constante por la Corte en su jurisprudencia y tomando en cuenta el acervo probatorio disponible, el Tribunal observa que: (i) en cuanto a la</w:t>
      </w:r>
      <w:r>
        <w:rPr>
          <w:spacing w:val="-6"/>
          <w:sz w:val="20"/>
        </w:rPr>
        <w:t xml:space="preserve"> </w:t>
      </w:r>
      <w:r>
        <w:rPr>
          <w:sz w:val="20"/>
        </w:rPr>
        <w:t>complejidad</w:t>
      </w:r>
      <w:r>
        <w:rPr>
          <w:spacing w:val="-5"/>
          <w:sz w:val="20"/>
        </w:rPr>
        <w:t xml:space="preserve"> </w:t>
      </w:r>
      <w:r>
        <w:rPr>
          <w:sz w:val="20"/>
        </w:rPr>
        <w:t>del</w:t>
      </w:r>
      <w:r>
        <w:rPr>
          <w:spacing w:val="-6"/>
          <w:sz w:val="20"/>
        </w:rPr>
        <w:t xml:space="preserve"> </w:t>
      </w:r>
      <w:r>
        <w:rPr>
          <w:sz w:val="20"/>
        </w:rPr>
        <w:t>asunto,</w:t>
      </w:r>
      <w:r>
        <w:rPr>
          <w:spacing w:val="-6"/>
          <w:sz w:val="20"/>
        </w:rPr>
        <w:t xml:space="preserve"> </w:t>
      </w:r>
      <w:r>
        <w:rPr>
          <w:sz w:val="20"/>
        </w:rPr>
        <w:t>las</w:t>
      </w:r>
      <w:r>
        <w:rPr>
          <w:spacing w:val="-5"/>
          <w:sz w:val="20"/>
        </w:rPr>
        <w:t xml:space="preserve"> </w:t>
      </w:r>
      <w:r>
        <w:rPr>
          <w:sz w:val="20"/>
        </w:rPr>
        <w:t>víctimas</w:t>
      </w:r>
      <w:r>
        <w:rPr>
          <w:spacing w:val="-5"/>
          <w:sz w:val="20"/>
        </w:rPr>
        <w:t xml:space="preserve"> </w:t>
      </w:r>
      <w:r>
        <w:rPr>
          <w:sz w:val="20"/>
        </w:rPr>
        <w:t>y</w:t>
      </w:r>
      <w:r>
        <w:rPr>
          <w:spacing w:val="-6"/>
          <w:sz w:val="20"/>
        </w:rPr>
        <w:t xml:space="preserve"> </w:t>
      </w:r>
      <w:r>
        <w:rPr>
          <w:sz w:val="20"/>
        </w:rPr>
        <w:t>posibles</w:t>
      </w:r>
      <w:r>
        <w:rPr>
          <w:spacing w:val="-6"/>
          <w:sz w:val="20"/>
        </w:rPr>
        <w:t xml:space="preserve"> </w:t>
      </w:r>
      <w:r>
        <w:rPr>
          <w:sz w:val="20"/>
        </w:rPr>
        <w:t>responsables,</w:t>
      </w:r>
      <w:r>
        <w:rPr>
          <w:spacing w:val="-7"/>
          <w:sz w:val="20"/>
        </w:rPr>
        <w:t xml:space="preserve"> </w:t>
      </w:r>
      <w:r>
        <w:rPr>
          <w:sz w:val="20"/>
        </w:rPr>
        <w:t>así</w:t>
      </w:r>
      <w:r>
        <w:rPr>
          <w:spacing w:val="-4"/>
          <w:sz w:val="20"/>
        </w:rPr>
        <w:t xml:space="preserve"> </w:t>
      </w:r>
      <w:r>
        <w:rPr>
          <w:sz w:val="20"/>
        </w:rPr>
        <w:t>co</w:t>
      </w:r>
      <w:r>
        <w:rPr>
          <w:sz w:val="20"/>
        </w:rPr>
        <w:t>mo</w:t>
      </w:r>
      <w:r>
        <w:rPr>
          <w:spacing w:val="-6"/>
          <w:sz w:val="20"/>
        </w:rPr>
        <w:t xml:space="preserve"> </w:t>
      </w:r>
      <w:r>
        <w:rPr>
          <w:sz w:val="20"/>
        </w:rPr>
        <w:t>las</w:t>
      </w:r>
      <w:r>
        <w:rPr>
          <w:spacing w:val="-6"/>
          <w:sz w:val="20"/>
        </w:rPr>
        <w:t xml:space="preserve"> </w:t>
      </w:r>
      <w:r>
        <w:rPr>
          <w:sz w:val="20"/>
        </w:rPr>
        <w:t>circunstancias</w:t>
      </w:r>
      <w:r>
        <w:rPr>
          <w:spacing w:val="-7"/>
          <w:sz w:val="20"/>
        </w:rPr>
        <w:t xml:space="preserve"> </w:t>
      </w:r>
      <w:r>
        <w:rPr>
          <w:sz w:val="20"/>
        </w:rPr>
        <w:t>y causales de la explosión habían sido determinados en el proceso administrativo concluido en el año 1999; (ii) no consta del expediente ninguna actividad procesal de los interesados que pueda haber contribuido al retraso del proceso,</w:t>
      </w:r>
      <w:r>
        <w:rPr>
          <w:sz w:val="20"/>
        </w:rPr>
        <w:t xml:space="preserve"> más aún cuando se trata de un proceso que dependía exclusivamente del impulso oficial (iii) la conducta de las autoridades judiciales fue el principal factor que generó la excesiva demora en el desarrollo del proceso penal debido a la gran tardanza en el </w:t>
      </w:r>
      <w:r>
        <w:rPr>
          <w:sz w:val="20"/>
        </w:rPr>
        <w:t xml:space="preserve">análisis de los distintos recursos interpuestos por los acusados, los equívocos ya mencionados en los traslados del expediente y la grave falla por la ausencia de citación de los abogados de los acusados a la audiencia en la que se profirió la decisión de </w:t>
      </w:r>
      <w:r>
        <w:rPr>
          <w:sz w:val="20"/>
        </w:rPr>
        <w:t>segunda</w:t>
      </w:r>
      <w:r>
        <w:rPr>
          <w:spacing w:val="-4"/>
          <w:sz w:val="20"/>
        </w:rPr>
        <w:t xml:space="preserve"> </w:t>
      </w:r>
      <w:r>
        <w:rPr>
          <w:sz w:val="20"/>
        </w:rPr>
        <w:t>instancia,</w:t>
      </w:r>
      <w:r>
        <w:rPr>
          <w:spacing w:val="-4"/>
          <w:sz w:val="20"/>
        </w:rPr>
        <w:t xml:space="preserve"> </w:t>
      </w:r>
      <w:r>
        <w:rPr>
          <w:sz w:val="20"/>
        </w:rPr>
        <w:t>lo</w:t>
      </w:r>
      <w:r>
        <w:rPr>
          <w:spacing w:val="-4"/>
          <w:sz w:val="20"/>
        </w:rPr>
        <w:t xml:space="preserve"> </w:t>
      </w:r>
      <w:r>
        <w:rPr>
          <w:sz w:val="20"/>
        </w:rPr>
        <w:t>cual</w:t>
      </w:r>
      <w:r>
        <w:rPr>
          <w:spacing w:val="-3"/>
          <w:sz w:val="20"/>
        </w:rPr>
        <w:t xml:space="preserve"> </w:t>
      </w:r>
      <w:r>
        <w:rPr>
          <w:sz w:val="20"/>
        </w:rPr>
        <w:t>resultó</w:t>
      </w:r>
      <w:r>
        <w:rPr>
          <w:spacing w:val="-4"/>
          <w:sz w:val="20"/>
        </w:rPr>
        <w:t xml:space="preserve"> </w:t>
      </w:r>
      <w:r>
        <w:rPr>
          <w:sz w:val="20"/>
        </w:rPr>
        <w:t>en</w:t>
      </w:r>
      <w:r>
        <w:rPr>
          <w:spacing w:val="-2"/>
          <w:sz w:val="20"/>
        </w:rPr>
        <w:t xml:space="preserve"> </w:t>
      </w:r>
      <w:r>
        <w:rPr>
          <w:sz w:val="20"/>
        </w:rPr>
        <w:t>un</w:t>
      </w:r>
      <w:r>
        <w:rPr>
          <w:spacing w:val="-2"/>
          <w:sz w:val="20"/>
        </w:rPr>
        <w:t xml:space="preserve"> </w:t>
      </w:r>
      <w:r>
        <w:rPr>
          <w:sz w:val="20"/>
        </w:rPr>
        <w:t>retroceso</w:t>
      </w:r>
      <w:r>
        <w:rPr>
          <w:spacing w:val="-4"/>
          <w:sz w:val="20"/>
        </w:rPr>
        <w:t xml:space="preserve"> </w:t>
      </w:r>
      <w:r>
        <w:rPr>
          <w:sz w:val="20"/>
        </w:rPr>
        <w:t>de</w:t>
      </w:r>
      <w:r>
        <w:rPr>
          <w:spacing w:val="-4"/>
          <w:sz w:val="20"/>
        </w:rPr>
        <w:t xml:space="preserve"> </w:t>
      </w:r>
      <w:r>
        <w:rPr>
          <w:sz w:val="20"/>
        </w:rPr>
        <w:t>más</w:t>
      </w:r>
      <w:r>
        <w:rPr>
          <w:spacing w:val="-4"/>
          <w:sz w:val="20"/>
        </w:rPr>
        <w:t xml:space="preserve"> </w:t>
      </w:r>
      <w:r>
        <w:rPr>
          <w:sz w:val="20"/>
        </w:rPr>
        <w:t>de</w:t>
      </w:r>
      <w:r>
        <w:rPr>
          <w:spacing w:val="-2"/>
          <w:sz w:val="20"/>
        </w:rPr>
        <w:t xml:space="preserve"> </w:t>
      </w:r>
      <w:r>
        <w:rPr>
          <w:sz w:val="20"/>
        </w:rPr>
        <w:t>seis</w:t>
      </w:r>
      <w:r>
        <w:rPr>
          <w:spacing w:val="-4"/>
          <w:sz w:val="20"/>
        </w:rPr>
        <w:t xml:space="preserve"> </w:t>
      </w:r>
      <w:r>
        <w:rPr>
          <w:sz w:val="20"/>
        </w:rPr>
        <w:t>años</w:t>
      </w:r>
      <w:r>
        <w:rPr>
          <w:spacing w:val="-1"/>
          <w:sz w:val="20"/>
        </w:rPr>
        <w:t xml:space="preserve"> </w:t>
      </w:r>
      <w:r>
        <w:rPr>
          <w:sz w:val="20"/>
        </w:rPr>
        <w:t>en</w:t>
      </w:r>
      <w:r>
        <w:rPr>
          <w:spacing w:val="-2"/>
          <w:sz w:val="20"/>
        </w:rPr>
        <w:t xml:space="preserve"> </w:t>
      </w:r>
      <w:r>
        <w:rPr>
          <w:sz w:val="20"/>
        </w:rPr>
        <w:t>el</w:t>
      </w:r>
      <w:r>
        <w:rPr>
          <w:spacing w:val="-3"/>
          <w:sz w:val="20"/>
        </w:rPr>
        <w:t xml:space="preserve"> </w:t>
      </w:r>
      <w:r>
        <w:rPr>
          <w:sz w:val="20"/>
        </w:rPr>
        <w:t>trámite</w:t>
      </w:r>
      <w:r>
        <w:rPr>
          <w:spacing w:val="-4"/>
          <w:sz w:val="20"/>
        </w:rPr>
        <w:t xml:space="preserve"> </w:t>
      </w:r>
      <w:r>
        <w:rPr>
          <w:sz w:val="20"/>
        </w:rPr>
        <w:t>del</w:t>
      </w:r>
      <w:r>
        <w:rPr>
          <w:spacing w:val="-3"/>
          <w:sz w:val="20"/>
        </w:rPr>
        <w:t xml:space="preserve"> </w:t>
      </w:r>
      <w:r>
        <w:rPr>
          <w:sz w:val="20"/>
        </w:rPr>
        <w:t xml:space="preserve">caso por la anulación de la decisión referida, y (iv) en cuanto a la afectación generada en la situación jurídica de las presuntas víctimas, la Corte considera que la </w:t>
      </w:r>
      <w:r>
        <w:rPr>
          <w:sz w:val="20"/>
        </w:rPr>
        <w:t>demora excesiva y la impunidad agravaron su situación, especialmente en razón de la condición de extrema vulnerabilidad</w:t>
      </w:r>
      <w:r>
        <w:rPr>
          <w:spacing w:val="-16"/>
          <w:sz w:val="20"/>
        </w:rPr>
        <w:t xml:space="preserve"> </w:t>
      </w:r>
      <w:r>
        <w:rPr>
          <w:sz w:val="20"/>
        </w:rPr>
        <w:t>por</w:t>
      </w:r>
      <w:r>
        <w:rPr>
          <w:spacing w:val="-14"/>
          <w:sz w:val="20"/>
        </w:rPr>
        <w:t xml:space="preserve"> </w:t>
      </w:r>
      <w:r>
        <w:rPr>
          <w:sz w:val="20"/>
        </w:rPr>
        <w:t>la</w:t>
      </w:r>
      <w:r>
        <w:rPr>
          <w:spacing w:val="-14"/>
          <w:sz w:val="20"/>
        </w:rPr>
        <w:t xml:space="preserve"> </w:t>
      </w:r>
      <w:r>
        <w:rPr>
          <w:sz w:val="20"/>
        </w:rPr>
        <w:t>situación</w:t>
      </w:r>
      <w:r>
        <w:rPr>
          <w:spacing w:val="-14"/>
          <w:sz w:val="20"/>
        </w:rPr>
        <w:t xml:space="preserve"> </w:t>
      </w:r>
      <w:r>
        <w:rPr>
          <w:sz w:val="20"/>
        </w:rPr>
        <w:t>de</w:t>
      </w:r>
      <w:r>
        <w:rPr>
          <w:spacing w:val="-16"/>
          <w:sz w:val="20"/>
        </w:rPr>
        <w:t xml:space="preserve"> </w:t>
      </w:r>
      <w:r>
        <w:rPr>
          <w:sz w:val="20"/>
        </w:rPr>
        <w:t>pobreza</w:t>
      </w:r>
      <w:r>
        <w:rPr>
          <w:spacing w:val="-13"/>
          <w:sz w:val="20"/>
        </w:rPr>
        <w:t xml:space="preserve"> </w:t>
      </w:r>
      <w:r>
        <w:rPr>
          <w:sz w:val="20"/>
        </w:rPr>
        <w:t>y</w:t>
      </w:r>
      <w:r>
        <w:rPr>
          <w:spacing w:val="-15"/>
          <w:sz w:val="20"/>
        </w:rPr>
        <w:t xml:space="preserve"> </w:t>
      </w:r>
      <w:r>
        <w:rPr>
          <w:sz w:val="20"/>
        </w:rPr>
        <w:t>discriminación</w:t>
      </w:r>
      <w:r>
        <w:rPr>
          <w:spacing w:val="-13"/>
          <w:sz w:val="20"/>
        </w:rPr>
        <w:t xml:space="preserve"> </w:t>
      </w:r>
      <w:r>
        <w:rPr>
          <w:sz w:val="20"/>
        </w:rPr>
        <w:t>estructural</w:t>
      </w:r>
      <w:r>
        <w:rPr>
          <w:spacing w:val="-12"/>
          <w:sz w:val="20"/>
        </w:rPr>
        <w:t xml:space="preserve"> </w:t>
      </w:r>
      <w:r>
        <w:rPr>
          <w:sz w:val="20"/>
        </w:rPr>
        <w:t>en</w:t>
      </w:r>
      <w:r>
        <w:rPr>
          <w:spacing w:val="-15"/>
          <w:sz w:val="20"/>
        </w:rPr>
        <w:t xml:space="preserve"> </w:t>
      </w:r>
      <w:r>
        <w:rPr>
          <w:sz w:val="20"/>
        </w:rPr>
        <w:t>que</w:t>
      </w:r>
      <w:r>
        <w:rPr>
          <w:spacing w:val="-14"/>
          <w:sz w:val="20"/>
        </w:rPr>
        <w:t xml:space="preserve"> </w:t>
      </w:r>
      <w:r>
        <w:rPr>
          <w:sz w:val="20"/>
        </w:rPr>
        <w:t>se</w:t>
      </w:r>
      <w:r>
        <w:rPr>
          <w:spacing w:val="-11"/>
          <w:sz w:val="20"/>
        </w:rPr>
        <w:t xml:space="preserve"> </w:t>
      </w:r>
      <w:r>
        <w:rPr>
          <w:sz w:val="20"/>
        </w:rPr>
        <w:t>encontraban.</w:t>
      </w:r>
    </w:p>
    <w:p w14:paraId="76612A80" w14:textId="77777777" w:rsidR="00467FCA" w:rsidRDefault="00467FCA">
      <w:pPr>
        <w:pStyle w:val="Textoindependiente"/>
      </w:pPr>
    </w:p>
    <w:p w14:paraId="08A858F4" w14:textId="77777777" w:rsidR="00467FCA" w:rsidRDefault="001B68EB">
      <w:pPr>
        <w:pStyle w:val="Prrafodelista"/>
        <w:numPr>
          <w:ilvl w:val="0"/>
          <w:numId w:val="50"/>
        </w:numPr>
        <w:tabs>
          <w:tab w:val="left" w:pos="686"/>
        </w:tabs>
        <w:ind w:left="119" w:right="118" w:firstLine="0"/>
        <w:jc w:val="both"/>
        <w:rPr>
          <w:sz w:val="20"/>
        </w:rPr>
      </w:pPr>
      <w:r>
        <w:rPr>
          <w:sz w:val="20"/>
        </w:rPr>
        <w:t>El Tribunal nota que, aunque se hayan identificado rápidamente los sospechosos, las víctimas y las circunstancias de la explosión, la falta de debida diligencia y equívocos de las autoridades judiciales resultaron en notorias dilaciones en el presente caso</w:t>
      </w:r>
      <w:r>
        <w:rPr>
          <w:sz w:val="20"/>
        </w:rPr>
        <w:t>, así como en su total impunidad. En efecto, la falta de debida diligencia se identifica especialmente en los retrasos injustificados de las autoridades judiciales en procesar los distintos recursos interpuestos por los acusados, los problemas con los tras</w:t>
      </w:r>
      <w:r>
        <w:rPr>
          <w:sz w:val="20"/>
        </w:rPr>
        <w:t>lados equivocados del expediente y los</w:t>
      </w:r>
      <w:r>
        <w:rPr>
          <w:spacing w:val="-6"/>
          <w:sz w:val="20"/>
        </w:rPr>
        <w:t xml:space="preserve"> </w:t>
      </w:r>
      <w:r>
        <w:rPr>
          <w:sz w:val="20"/>
        </w:rPr>
        <w:t>errores</w:t>
      </w:r>
      <w:r>
        <w:rPr>
          <w:spacing w:val="-4"/>
          <w:sz w:val="20"/>
        </w:rPr>
        <w:t xml:space="preserve"> </w:t>
      </w:r>
      <w:r>
        <w:rPr>
          <w:sz w:val="20"/>
        </w:rPr>
        <w:t>en</w:t>
      </w:r>
      <w:r>
        <w:rPr>
          <w:spacing w:val="-7"/>
          <w:sz w:val="20"/>
        </w:rPr>
        <w:t xml:space="preserve"> </w:t>
      </w:r>
      <w:r>
        <w:rPr>
          <w:sz w:val="20"/>
        </w:rPr>
        <w:t>cuanto</w:t>
      </w:r>
      <w:r>
        <w:rPr>
          <w:spacing w:val="-6"/>
          <w:sz w:val="20"/>
        </w:rPr>
        <w:t xml:space="preserve"> </w:t>
      </w:r>
      <w:r>
        <w:rPr>
          <w:sz w:val="20"/>
        </w:rPr>
        <w:t>a</w:t>
      </w:r>
      <w:r>
        <w:rPr>
          <w:spacing w:val="-7"/>
          <w:sz w:val="20"/>
        </w:rPr>
        <w:t xml:space="preserve"> </w:t>
      </w:r>
      <w:r>
        <w:rPr>
          <w:sz w:val="20"/>
        </w:rPr>
        <w:t>la</w:t>
      </w:r>
      <w:r>
        <w:rPr>
          <w:spacing w:val="-8"/>
          <w:sz w:val="20"/>
        </w:rPr>
        <w:t xml:space="preserve"> </w:t>
      </w:r>
      <w:r>
        <w:rPr>
          <w:sz w:val="20"/>
        </w:rPr>
        <w:t>notificación</w:t>
      </w:r>
      <w:r>
        <w:rPr>
          <w:spacing w:val="-7"/>
          <w:sz w:val="20"/>
        </w:rPr>
        <w:t xml:space="preserve"> </w:t>
      </w:r>
      <w:r>
        <w:rPr>
          <w:sz w:val="20"/>
        </w:rPr>
        <w:t>de</w:t>
      </w:r>
      <w:r>
        <w:rPr>
          <w:spacing w:val="-9"/>
          <w:sz w:val="20"/>
        </w:rPr>
        <w:t xml:space="preserve"> </w:t>
      </w:r>
      <w:r>
        <w:rPr>
          <w:sz w:val="20"/>
        </w:rPr>
        <w:t>la</w:t>
      </w:r>
      <w:r>
        <w:rPr>
          <w:spacing w:val="-4"/>
          <w:sz w:val="20"/>
        </w:rPr>
        <w:t xml:space="preserve"> </w:t>
      </w:r>
      <w:r>
        <w:rPr>
          <w:sz w:val="20"/>
        </w:rPr>
        <w:t>decisión</w:t>
      </w:r>
      <w:r>
        <w:rPr>
          <w:spacing w:val="-7"/>
          <w:sz w:val="20"/>
        </w:rPr>
        <w:t xml:space="preserve"> </w:t>
      </w:r>
      <w:r>
        <w:rPr>
          <w:sz w:val="20"/>
        </w:rPr>
        <w:t>de</w:t>
      </w:r>
      <w:r>
        <w:rPr>
          <w:spacing w:val="-7"/>
          <w:sz w:val="20"/>
        </w:rPr>
        <w:t xml:space="preserve"> </w:t>
      </w:r>
      <w:r>
        <w:rPr>
          <w:sz w:val="20"/>
        </w:rPr>
        <w:t>segunda</w:t>
      </w:r>
      <w:r>
        <w:rPr>
          <w:spacing w:val="-8"/>
          <w:sz w:val="20"/>
        </w:rPr>
        <w:t xml:space="preserve"> </w:t>
      </w:r>
      <w:r>
        <w:rPr>
          <w:sz w:val="20"/>
        </w:rPr>
        <w:t>instancia</w:t>
      </w:r>
      <w:r>
        <w:rPr>
          <w:spacing w:val="-7"/>
          <w:sz w:val="20"/>
        </w:rPr>
        <w:t xml:space="preserve"> </w:t>
      </w:r>
      <w:r>
        <w:rPr>
          <w:sz w:val="20"/>
        </w:rPr>
        <w:t>a</w:t>
      </w:r>
      <w:r>
        <w:rPr>
          <w:spacing w:val="-8"/>
          <w:sz w:val="20"/>
        </w:rPr>
        <w:t xml:space="preserve"> </w:t>
      </w:r>
      <w:r>
        <w:rPr>
          <w:sz w:val="20"/>
        </w:rPr>
        <w:t>los</w:t>
      </w:r>
      <w:r>
        <w:rPr>
          <w:spacing w:val="-9"/>
          <w:sz w:val="20"/>
        </w:rPr>
        <w:t xml:space="preserve"> </w:t>
      </w:r>
      <w:r>
        <w:rPr>
          <w:sz w:val="20"/>
        </w:rPr>
        <w:t>defensores</w:t>
      </w:r>
      <w:r>
        <w:rPr>
          <w:spacing w:val="-6"/>
          <w:sz w:val="20"/>
        </w:rPr>
        <w:t xml:space="preserve"> </w:t>
      </w:r>
      <w:r>
        <w:rPr>
          <w:sz w:val="20"/>
        </w:rPr>
        <w:t>de los acusados, lo cual llevó a la anulación de aquella</w:t>
      </w:r>
      <w:r>
        <w:rPr>
          <w:spacing w:val="-13"/>
          <w:sz w:val="20"/>
        </w:rPr>
        <w:t xml:space="preserve"> </w:t>
      </w:r>
      <w:r>
        <w:rPr>
          <w:sz w:val="20"/>
        </w:rPr>
        <w:t>sentencia.</w:t>
      </w:r>
    </w:p>
    <w:p w14:paraId="3D694436" w14:textId="77777777" w:rsidR="00467FCA" w:rsidRDefault="00467FCA">
      <w:pPr>
        <w:pStyle w:val="Textoindependiente"/>
        <w:spacing w:before="1"/>
      </w:pPr>
    </w:p>
    <w:p w14:paraId="0A6A8E9B" w14:textId="77777777" w:rsidR="00467FCA" w:rsidRDefault="001B68EB">
      <w:pPr>
        <w:pStyle w:val="Prrafodelista"/>
        <w:numPr>
          <w:ilvl w:val="0"/>
          <w:numId w:val="50"/>
        </w:numPr>
        <w:tabs>
          <w:tab w:val="left" w:pos="686"/>
        </w:tabs>
        <w:ind w:left="119" w:right="119" w:firstLine="0"/>
        <w:jc w:val="both"/>
        <w:rPr>
          <w:sz w:val="20"/>
        </w:rPr>
      </w:pPr>
      <w:r>
        <w:rPr>
          <w:sz w:val="20"/>
        </w:rPr>
        <w:t>Este Tribunal considera que el Estado no ha demostrado que haya existido</w:t>
      </w:r>
      <w:r>
        <w:rPr>
          <w:spacing w:val="25"/>
          <w:sz w:val="20"/>
        </w:rPr>
        <w:t xml:space="preserve"> </w:t>
      </w:r>
      <w:r>
        <w:rPr>
          <w:sz w:val="20"/>
        </w:rPr>
        <w:t>una justificación aceptable para los largos períodos de tiempo sin que existieran actuaciones por parte</w:t>
      </w:r>
      <w:r>
        <w:rPr>
          <w:spacing w:val="-5"/>
          <w:sz w:val="20"/>
        </w:rPr>
        <w:t xml:space="preserve"> </w:t>
      </w:r>
      <w:r>
        <w:rPr>
          <w:sz w:val="20"/>
        </w:rPr>
        <w:t>de</w:t>
      </w:r>
      <w:r>
        <w:rPr>
          <w:spacing w:val="-5"/>
          <w:sz w:val="20"/>
        </w:rPr>
        <w:t xml:space="preserve"> </w:t>
      </w:r>
      <w:r>
        <w:rPr>
          <w:sz w:val="20"/>
        </w:rPr>
        <w:t>las</w:t>
      </w:r>
      <w:r>
        <w:rPr>
          <w:spacing w:val="-4"/>
          <w:sz w:val="20"/>
        </w:rPr>
        <w:t xml:space="preserve"> </w:t>
      </w:r>
      <w:r>
        <w:rPr>
          <w:sz w:val="20"/>
        </w:rPr>
        <w:t>autoridades</w:t>
      </w:r>
      <w:r>
        <w:rPr>
          <w:spacing w:val="-2"/>
          <w:sz w:val="20"/>
        </w:rPr>
        <w:t xml:space="preserve"> </w:t>
      </w:r>
      <w:r>
        <w:rPr>
          <w:sz w:val="20"/>
        </w:rPr>
        <w:t>judiciales</w:t>
      </w:r>
      <w:r>
        <w:rPr>
          <w:spacing w:val="-4"/>
          <w:sz w:val="20"/>
        </w:rPr>
        <w:t xml:space="preserve"> </w:t>
      </w:r>
      <w:r>
        <w:rPr>
          <w:sz w:val="20"/>
        </w:rPr>
        <w:t>y</w:t>
      </w:r>
      <w:r>
        <w:rPr>
          <w:spacing w:val="-4"/>
          <w:sz w:val="20"/>
        </w:rPr>
        <w:t xml:space="preserve"> </w:t>
      </w:r>
      <w:r>
        <w:rPr>
          <w:sz w:val="20"/>
        </w:rPr>
        <w:t>la</w:t>
      </w:r>
      <w:r>
        <w:rPr>
          <w:spacing w:val="-3"/>
          <w:sz w:val="20"/>
        </w:rPr>
        <w:t xml:space="preserve"> </w:t>
      </w:r>
      <w:r>
        <w:rPr>
          <w:sz w:val="20"/>
        </w:rPr>
        <w:t>demora</w:t>
      </w:r>
      <w:r>
        <w:rPr>
          <w:spacing w:val="-2"/>
          <w:sz w:val="20"/>
        </w:rPr>
        <w:t xml:space="preserve"> </w:t>
      </w:r>
      <w:r>
        <w:rPr>
          <w:sz w:val="20"/>
        </w:rPr>
        <w:t>prolongada</w:t>
      </w:r>
      <w:r>
        <w:rPr>
          <w:spacing w:val="-4"/>
          <w:sz w:val="20"/>
        </w:rPr>
        <w:t xml:space="preserve"> </w:t>
      </w:r>
      <w:r>
        <w:rPr>
          <w:sz w:val="20"/>
        </w:rPr>
        <w:t>del</w:t>
      </w:r>
      <w:r>
        <w:rPr>
          <w:spacing w:val="-3"/>
          <w:sz w:val="20"/>
        </w:rPr>
        <w:t xml:space="preserve"> </w:t>
      </w:r>
      <w:r>
        <w:rPr>
          <w:sz w:val="20"/>
        </w:rPr>
        <w:t>proceso</w:t>
      </w:r>
      <w:r>
        <w:rPr>
          <w:spacing w:val="-5"/>
          <w:sz w:val="20"/>
        </w:rPr>
        <w:t xml:space="preserve"> </w:t>
      </w:r>
      <w:r>
        <w:rPr>
          <w:sz w:val="20"/>
        </w:rPr>
        <w:t>penal.</w:t>
      </w:r>
      <w:r>
        <w:rPr>
          <w:spacing w:val="-4"/>
          <w:sz w:val="20"/>
        </w:rPr>
        <w:t xml:space="preserve"> </w:t>
      </w:r>
      <w:r>
        <w:rPr>
          <w:sz w:val="20"/>
        </w:rPr>
        <w:t>Por</w:t>
      </w:r>
      <w:r>
        <w:rPr>
          <w:spacing w:val="-5"/>
          <w:sz w:val="20"/>
        </w:rPr>
        <w:t xml:space="preserve"> </w:t>
      </w:r>
      <w:r>
        <w:rPr>
          <w:sz w:val="20"/>
        </w:rPr>
        <w:t>tanto,</w:t>
      </w:r>
      <w:r>
        <w:rPr>
          <w:spacing w:val="-2"/>
          <w:sz w:val="20"/>
        </w:rPr>
        <w:t xml:space="preserve"> </w:t>
      </w:r>
      <w:r>
        <w:rPr>
          <w:sz w:val="20"/>
        </w:rPr>
        <w:t>este Tribunal constata que, en el presente caso, la demora de casi 22 años sin una decisión definitiva configuró una falta de la razonabilidad en el plazo por parte del Estado para llevar a</w:t>
      </w:r>
      <w:r>
        <w:rPr>
          <w:spacing w:val="-21"/>
          <w:sz w:val="20"/>
        </w:rPr>
        <w:t xml:space="preserve"> </w:t>
      </w:r>
      <w:r>
        <w:rPr>
          <w:sz w:val="20"/>
        </w:rPr>
        <w:t>cabo</w:t>
      </w:r>
      <w:r>
        <w:rPr>
          <w:spacing w:val="-19"/>
          <w:sz w:val="20"/>
        </w:rPr>
        <w:t xml:space="preserve"> </w:t>
      </w:r>
      <w:r>
        <w:rPr>
          <w:sz w:val="20"/>
        </w:rPr>
        <w:t>el</w:t>
      </w:r>
      <w:r>
        <w:rPr>
          <w:spacing w:val="-17"/>
          <w:sz w:val="20"/>
        </w:rPr>
        <w:t xml:space="preserve"> </w:t>
      </w:r>
      <w:r>
        <w:rPr>
          <w:sz w:val="20"/>
        </w:rPr>
        <w:t>proceso</w:t>
      </w:r>
      <w:r>
        <w:rPr>
          <w:spacing w:val="-21"/>
          <w:sz w:val="20"/>
        </w:rPr>
        <w:t xml:space="preserve"> </w:t>
      </w:r>
      <w:r>
        <w:rPr>
          <w:sz w:val="20"/>
        </w:rPr>
        <w:t>penal.</w:t>
      </w:r>
      <w:r>
        <w:rPr>
          <w:spacing w:val="-18"/>
          <w:sz w:val="20"/>
        </w:rPr>
        <w:t xml:space="preserve"> </w:t>
      </w:r>
      <w:r>
        <w:rPr>
          <w:sz w:val="20"/>
        </w:rPr>
        <w:t>Además,</w:t>
      </w:r>
      <w:r>
        <w:rPr>
          <w:spacing w:val="-18"/>
          <w:sz w:val="20"/>
        </w:rPr>
        <w:t xml:space="preserve"> </w:t>
      </w:r>
      <w:r>
        <w:rPr>
          <w:sz w:val="20"/>
        </w:rPr>
        <w:t>la</w:t>
      </w:r>
      <w:r>
        <w:rPr>
          <w:spacing w:val="-20"/>
          <w:sz w:val="20"/>
        </w:rPr>
        <w:t xml:space="preserve"> </w:t>
      </w:r>
      <w:r>
        <w:rPr>
          <w:sz w:val="20"/>
        </w:rPr>
        <w:t>Corte</w:t>
      </w:r>
      <w:r>
        <w:rPr>
          <w:spacing w:val="-19"/>
          <w:sz w:val="20"/>
        </w:rPr>
        <w:t xml:space="preserve"> </w:t>
      </w:r>
      <w:r>
        <w:rPr>
          <w:sz w:val="20"/>
        </w:rPr>
        <w:t>considera</w:t>
      </w:r>
      <w:r>
        <w:rPr>
          <w:spacing w:val="-17"/>
          <w:sz w:val="20"/>
        </w:rPr>
        <w:t xml:space="preserve"> </w:t>
      </w:r>
      <w:r>
        <w:rPr>
          <w:sz w:val="20"/>
        </w:rPr>
        <w:t>que</w:t>
      </w:r>
      <w:r>
        <w:rPr>
          <w:spacing w:val="-21"/>
          <w:sz w:val="20"/>
        </w:rPr>
        <w:t xml:space="preserve"> </w:t>
      </w:r>
      <w:r>
        <w:rPr>
          <w:sz w:val="20"/>
        </w:rPr>
        <w:t>las</w:t>
      </w:r>
      <w:r>
        <w:rPr>
          <w:spacing w:val="-21"/>
          <w:sz w:val="20"/>
        </w:rPr>
        <w:t xml:space="preserve"> </w:t>
      </w:r>
      <w:r>
        <w:rPr>
          <w:sz w:val="20"/>
        </w:rPr>
        <w:t>a</w:t>
      </w:r>
      <w:r>
        <w:rPr>
          <w:sz w:val="20"/>
        </w:rPr>
        <w:t>utoridades</w:t>
      </w:r>
      <w:r>
        <w:rPr>
          <w:spacing w:val="-21"/>
          <w:sz w:val="20"/>
        </w:rPr>
        <w:t xml:space="preserve"> </w:t>
      </w:r>
      <w:r>
        <w:rPr>
          <w:sz w:val="20"/>
        </w:rPr>
        <w:t>judiciales</w:t>
      </w:r>
      <w:r>
        <w:rPr>
          <w:spacing w:val="-21"/>
          <w:sz w:val="20"/>
        </w:rPr>
        <w:t xml:space="preserve"> </w:t>
      </w:r>
      <w:r>
        <w:rPr>
          <w:sz w:val="20"/>
        </w:rPr>
        <w:t>no</w:t>
      </w:r>
      <w:r>
        <w:rPr>
          <w:spacing w:val="-21"/>
          <w:sz w:val="20"/>
        </w:rPr>
        <w:t xml:space="preserve"> </w:t>
      </w:r>
      <w:r>
        <w:rPr>
          <w:sz w:val="20"/>
        </w:rPr>
        <w:t>actuaron con la debida diligencia para que se llegara a una resolución en el proceso</w:t>
      </w:r>
      <w:r>
        <w:rPr>
          <w:spacing w:val="-18"/>
          <w:sz w:val="20"/>
        </w:rPr>
        <w:t xml:space="preserve"> </w:t>
      </w:r>
      <w:r>
        <w:rPr>
          <w:sz w:val="20"/>
        </w:rPr>
        <w:t>penal.</w:t>
      </w:r>
    </w:p>
    <w:p w14:paraId="34ED929F" w14:textId="77777777" w:rsidR="00467FCA" w:rsidRDefault="00467FCA">
      <w:pPr>
        <w:pStyle w:val="Textoindependiente"/>
      </w:pPr>
    </w:p>
    <w:p w14:paraId="191EAE16" w14:textId="77777777" w:rsidR="00467FCA" w:rsidRDefault="001B68EB">
      <w:pPr>
        <w:pStyle w:val="Ttulo2"/>
        <w:numPr>
          <w:ilvl w:val="2"/>
          <w:numId w:val="39"/>
        </w:numPr>
        <w:tabs>
          <w:tab w:val="left" w:pos="1487"/>
        </w:tabs>
        <w:ind w:left="1487" w:hanging="648"/>
      </w:pPr>
      <w:bookmarkStart w:id="439" w:name="B.1.2_Las_causas_civiles"/>
      <w:bookmarkStart w:id="440" w:name="_bookmark387"/>
      <w:bookmarkEnd w:id="439"/>
      <w:bookmarkEnd w:id="440"/>
      <w:r>
        <w:t>Las causas</w:t>
      </w:r>
      <w:r>
        <w:rPr>
          <w:spacing w:val="-3"/>
        </w:rPr>
        <w:t xml:space="preserve"> </w:t>
      </w:r>
      <w:r>
        <w:t>civiles</w:t>
      </w:r>
    </w:p>
    <w:p w14:paraId="4909510B" w14:textId="77777777" w:rsidR="00467FCA" w:rsidRDefault="00467FCA">
      <w:pPr>
        <w:pStyle w:val="Textoindependiente"/>
        <w:spacing w:before="11"/>
        <w:rPr>
          <w:b/>
          <w:i/>
          <w:sz w:val="19"/>
        </w:rPr>
      </w:pPr>
    </w:p>
    <w:p w14:paraId="0576DEAD" w14:textId="77777777" w:rsidR="00467FCA" w:rsidRDefault="001B68EB">
      <w:pPr>
        <w:pStyle w:val="Prrafodelista"/>
        <w:numPr>
          <w:ilvl w:val="0"/>
          <w:numId w:val="50"/>
        </w:numPr>
        <w:tabs>
          <w:tab w:val="left" w:pos="686"/>
        </w:tabs>
        <w:ind w:left="119" w:right="117" w:firstLine="0"/>
        <w:jc w:val="both"/>
        <w:rPr>
          <w:sz w:val="20"/>
        </w:rPr>
      </w:pPr>
      <w:r>
        <w:rPr>
          <w:sz w:val="20"/>
        </w:rPr>
        <w:t>En</w:t>
      </w:r>
      <w:r>
        <w:rPr>
          <w:spacing w:val="-9"/>
          <w:sz w:val="20"/>
        </w:rPr>
        <w:t xml:space="preserve"> </w:t>
      </w:r>
      <w:r>
        <w:rPr>
          <w:sz w:val="20"/>
        </w:rPr>
        <w:t>la</w:t>
      </w:r>
      <w:r>
        <w:rPr>
          <w:spacing w:val="-10"/>
          <w:sz w:val="20"/>
        </w:rPr>
        <w:t xml:space="preserve"> </w:t>
      </w:r>
      <w:r>
        <w:rPr>
          <w:sz w:val="20"/>
        </w:rPr>
        <w:t>esfera</w:t>
      </w:r>
      <w:r>
        <w:rPr>
          <w:spacing w:val="-8"/>
          <w:sz w:val="20"/>
        </w:rPr>
        <w:t xml:space="preserve"> </w:t>
      </w:r>
      <w:r>
        <w:rPr>
          <w:sz w:val="20"/>
        </w:rPr>
        <w:t>civil,</w:t>
      </w:r>
      <w:r>
        <w:rPr>
          <w:spacing w:val="-8"/>
          <w:sz w:val="20"/>
        </w:rPr>
        <w:t xml:space="preserve"> </w:t>
      </w:r>
      <w:r>
        <w:rPr>
          <w:sz w:val="20"/>
        </w:rPr>
        <w:t>se</w:t>
      </w:r>
      <w:r>
        <w:rPr>
          <w:spacing w:val="-9"/>
          <w:sz w:val="20"/>
        </w:rPr>
        <w:t xml:space="preserve"> </w:t>
      </w:r>
      <w:r>
        <w:rPr>
          <w:sz w:val="20"/>
        </w:rPr>
        <w:t>iniciaron</w:t>
      </w:r>
      <w:r>
        <w:rPr>
          <w:spacing w:val="-7"/>
          <w:sz w:val="20"/>
        </w:rPr>
        <w:t xml:space="preserve"> </w:t>
      </w:r>
      <w:r>
        <w:rPr>
          <w:sz w:val="20"/>
        </w:rPr>
        <w:t>dos</w:t>
      </w:r>
      <w:r>
        <w:rPr>
          <w:spacing w:val="-9"/>
          <w:sz w:val="20"/>
        </w:rPr>
        <w:t xml:space="preserve"> </w:t>
      </w:r>
      <w:r>
        <w:rPr>
          <w:sz w:val="20"/>
        </w:rPr>
        <w:t>procesos</w:t>
      </w:r>
      <w:r>
        <w:rPr>
          <w:spacing w:val="-10"/>
          <w:sz w:val="20"/>
        </w:rPr>
        <w:t xml:space="preserve"> </w:t>
      </w:r>
      <w:r>
        <w:rPr>
          <w:sz w:val="20"/>
        </w:rPr>
        <w:t>distintos:</w:t>
      </w:r>
      <w:r>
        <w:rPr>
          <w:spacing w:val="-10"/>
          <w:sz w:val="20"/>
        </w:rPr>
        <w:t xml:space="preserve"> </w:t>
      </w:r>
      <w:r>
        <w:rPr>
          <w:sz w:val="20"/>
        </w:rPr>
        <w:t>la</w:t>
      </w:r>
      <w:r>
        <w:rPr>
          <w:spacing w:val="-8"/>
          <w:sz w:val="20"/>
        </w:rPr>
        <w:t xml:space="preserve"> </w:t>
      </w:r>
      <w:r>
        <w:rPr>
          <w:sz w:val="20"/>
        </w:rPr>
        <w:t>causa</w:t>
      </w:r>
      <w:r>
        <w:rPr>
          <w:spacing w:val="-8"/>
          <w:sz w:val="20"/>
        </w:rPr>
        <w:t xml:space="preserve"> </w:t>
      </w:r>
      <w:r>
        <w:rPr>
          <w:sz w:val="20"/>
        </w:rPr>
        <w:t>civil</w:t>
      </w:r>
      <w:r>
        <w:rPr>
          <w:spacing w:val="-10"/>
          <w:sz w:val="20"/>
        </w:rPr>
        <w:t xml:space="preserve"> </w:t>
      </w:r>
      <w:r>
        <w:rPr>
          <w:sz w:val="20"/>
        </w:rPr>
        <w:t>de</w:t>
      </w:r>
      <w:r>
        <w:rPr>
          <w:spacing w:val="-10"/>
          <w:sz w:val="20"/>
        </w:rPr>
        <w:t xml:space="preserve"> </w:t>
      </w:r>
      <w:r>
        <w:rPr>
          <w:sz w:val="20"/>
        </w:rPr>
        <w:t>indemnización</w:t>
      </w:r>
      <w:r>
        <w:rPr>
          <w:spacing w:val="-9"/>
          <w:sz w:val="20"/>
        </w:rPr>
        <w:t xml:space="preserve"> </w:t>
      </w:r>
      <w:r>
        <w:rPr>
          <w:sz w:val="20"/>
        </w:rPr>
        <w:t xml:space="preserve">por daños morales y materiales contra el Estado de Brasil, el estado de Bahia, la municipalidad de Santo Antônio de Jesus y la empresa de Mário Fróes Prazeres Bastos, y la acción civil </w:t>
      </w:r>
      <w:r>
        <w:rPr>
          <w:i/>
          <w:sz w:val="20"/>
        </w:rPr>
        <w:t xml:space="preserve">ex delicto </w:t>
      </w:r>
      <w:r>
        <w:rPr>
          <w:sz w:val="20"/>
        </w:rPr>
        <w:t>contra Osvaldo Prazeres Bastos, Maria Julieta Fróes Bastos y</w:t>
      </w:r>
      <w:r>
        <w:rPr>
          <w:sz w:val="20"/>
        </w:rPr>
        <w:t xml:space="preserve"> Mário Fróes Prazeres Bastos.</w:t>
      </w:r>
    </w:p>
    <w:p w14:paraId="3C4957DB" w14:textId="77777777" w:rsidR="00467FCA" w:rsidRDefault="00467FCA">
      <w:pPr>
        <w:pStyle w:val="Textoindependiente"/>
        <w:spacing w:before="1"/>
      </w:pPr>
    </w:p>
    <w:p w14:paraId="64BC518F" w14:textId="77777777" w:rsidR="00467FCA" w:rsidRDefault="001B68EB">
      <w:pPr>
        <w:pStyle w:val="Prrafodelista"/>
        <w:numPr>
          <w:ilvl w:val="0"/>
          <w:numId w:val="50"/>
        </w:numPr>
        <w:tabs>
          <w:tab w:val="left" w:pos="686"/>
        </w:tabs>
        <w:ind w:left="685"/>
        <w:jc w:val="both"/>
        <w:rPr>
          <w:sz w:val="20"/>
        </w:rPr>
      </w:pPr>
      <w:r>
        <w:rPr>
          <w:sz w:val="20"/>
        </w:rPr>
        <w:t>La primera causa civil, iniciada el 4 de marzo de 2002 por las víctimas y sus</w:t>
      </w:r>
      <w:r>
        <w:rPr>
          <w:spacing w:val="-44"/>
          <w:sz w:val="20"/>
        </w:rPr>
        <w:t xml:space="preserve"> </w:t>
      </w:r>
      <w:r>
        <w:rPr>
          <w:sz w:val="20"/>
        </w:rPr>
        <w:t>familiares,</w:t>
      </w:r>
    </w:p>
    <w:p w14:paraId="2791D575" w14:textId="77777777" w:rsidR="00467FCA" w:rsidRDefault="00467FCA">
      <w:pPr>
        <w:jc w:val="both"/>
        <w:rPr>
          <w:sz w:val="20"/>
        </w:rPr>
        <w:sectPr w:rsidR="00467FCA">
          <w:pgSz w:w="12240" w:h="15840"/>
          <w:pgMar w:top="1360" w:right="1320" w:bottom="1220" w:left="1320" w:header="0" w:footer="1037" w:gutter="0"/>
          <w:cols w:space="720"/>
        </w:sectPr>
      </w:pPr>
    </w:p>
    <w:p w14:paraId="20B6C2AC" w14:textId="77777777" w:rsidR="00467FCA" w:rsidRDefault="001B68EB">
      <w:pPr>
        <w:pStyle w:val="Textoindependiente"/>
        <w:spacing w:before="80"/>
        <w:ind w:left="119" w:right="116"/>
        <w:jc w:val="both"/>
      </w:pPr>
      <w:r>
        <w:t>contenía</w:t>
      </w:r>
      <w:r>
        <w:rPr>
          <w:spacing w:val="-5"/>
        </w:rPr>
        <w:t xml:space="preserve"> </w:t>
      </w:r>
      <w:r>
        <w:t>una</w:t>
      </w:r>
      <w:r>
        <w:rPr>
          <w:spacing w:val="-2"/>
        </w:rPr>
        <w:t xml:space="preserve"> </w:t>
      </w:r>
      <w:r>
        <w:t>solicitud</w:t>
      </w:r>
      <w:r>
        <w:rPr>
          <w:spacing w:val="-5"/>
        </w:rPr>
        <w:t xml:space="preserve"> </w:t>
      </w:r>
      <w:r>
        <w:t>de</w:t>
      </w:r>
      <w:r>
        <w:rPr>
          <w:spacing w:val="-6"/>
        </w:rPr>
        <w:t xml:space="preserve"> </w:t>
      </w:r>
      <w:r>
        <w:t>anticipación</w:t>
      </w:r>
      <w:r>
        <w:rPr>
          <w:spacing w:val="-3"/>
        </w:rPr>
        <w:t xml:space="preserve"> </w:t>
      </w:r>
      <w:r>
        <w:t>de</w:t>
      </w:r>
      <w:r>
        <w:rPr>
          <w:spacing w:val="-4"/>
        </w:rPr>
        <w:t xml:space="preserve"> </w:t>
      </w:r>
      <w:r>
        <w:t>tutela</w:t>
      </w:r>
      <w:r>
        <w:rPr>
          <w:spacing w:val="-2"/>
        </w:rPr>
        <w:t xml:space="preserve"> </w:t>
      </w:r>
      <w:r>
        <w:t>en</w:t>
      </w:r>
      <w:r>
        <w:rPr>
          <w:spacing w:val="-4"/>
        </w:rPr>
        <w:t xml:space="preserve"> </w:t>
      </w:r>
      <w:r>
        <w:t>favor</w:t>
      </w:r>
      <w:r>
        <w:rPr>
          <w:spacing w:val="-6"/>
        </w:rPr>
        <w:t xml:space="preserve"> </w:t>
      </w:r>
      <w:r>
        <w:t>de</w:t>
      </w:r>
      <w:r>
        <w:rPr>
          <w:spacing w:val="-6"/>
        </w:rPr>
        <w:t xml:space="preserve"> </w:t>
      </w:r>
      <w:r>
        <w:t>las</w:t>
      </w:r>
      <w:r>
        <w:rPr>
          <w:spacing w:val="-4"/>
        </w:rPr>
        <w:t xml:space="preserve"> </w:t>
      </w:r>
      <w:r>
        <w:t>personas</w:t>
      </w:r>
      <w:r>
        <w:rPr>
          <w:spacing w:val="-5"/>
        </w:rPr>
        <w:t xml:space="preserve"> </w:t>
      </w:r>
      <w:r>
        <w:t>menores</w:t>
      </w:r>
      <w:r>
        <w:rPr>
          <w:spacing w:val="-5"/>
        </w:rPr>
        <w:t xml:space="preserve"> </w:t>
      </w:r>
      <w:r>
        <w:t>de</w:t>
      </w:r>
      <w:r>
        <w:rPr>
          <w:spacing w:val="-7"/>
        </w:rPr>
        <w:t xml:space="preserve"> </w:t>
      </w:r>
      <w:r>
        <w:t>18</w:t>
      </w:r>
      <w:r>
        <w:rPr>
          <w:spacing w:val="-4"/>
        </w:rPr>
        <w:t xml:space="preserve"> </w:t>
      </w:r>
      <w:r>
        <w:t>años cuyas</w:t>
      </w:r>
      <w:r>
        <w:rPr>
          <w:spacing w:val="-12"/>
        </w:rPr>
        <w:t xml:space="preserve"> </w:t>
      </w:r>
      <w:r>
        <w:t>madres</w:t>
      </w:r>
      <w:r>
        <w:rPr>
          <w:spacing w:val="-11"/>
        </w:rPr>
        <w:t xml:space="preserve"> </w:t>
      </w:r>
      <w:r>
        <w:t>habían</w:t>
      </w:r>
      <w:r>
        <w:rPr>
          <w:spacing w:val="-13"/>
        </w:rPr>
        <w:t xml:space="preserve"> </w:t>
      </w:r>
      <w:r>
        <w:t>fallecid</w:t>
      </w:r>
      <w:r>
        <w:t>o</w:t>
      </w:r>
      <w:r>
        <w:rPr>
          <w:spacing w:val="-9"/>
        </w:rPr>
        <w:t xml:space="preserve"> </w:t>
      </w:r>
      <w:r>
        <w:t>en</w:t>
      </w:r>
      <w:r>
        <w:rPr>
          <w:spacing w:val="-13"/>
        </w:rPr>
        <w:t xml:space="preserve"> </w:t>
      </w:r>
      <w:r>
        <w:t>la</w:t>
      </w:r>
      <w:r>
        <w:rPr>
          <w:spacing w:val="-10"/>
        </w:rPr>
        <w:t xml:space="preserve"> </w:t>
      </w:r>
      <w:r>
        <w:t>explosión,</w:t>
      </w:r>
      <w:r>
        <w:rPr>
          <w:spacing w:val="-11"/>
        </w:rPr>
        <w:t xml:space="preserve"> </w:t>
      </w:r>
      <w:r>
        <w:t>la</w:t>
      </w:r>
      <w:r>
        <w:rPr>
          <w:spacing w:val="-11"/>
        </w:rPr>
        <w:t xml:space="preserve"> </w:t>
      </w:r>
      <w:r>
        <w:t>cual</w:t>
      </w:r>
      <w:r>
        <w:rPr>
          <w:spacing w:val="-10"/>
        </w:rPr>
        <w:t xml:space="preserve"> </w:t>
      </w:r>
      <w:r>
        <w:t>fue</w:t>
      </w:r>
      <w:r>
        <w:rPr>
          <w:spacing w:val="-12"/>
        </w:rPr>
        <w:t xml:space="preserve"> </w:t>
      </w:r>
      <w:r>
        <w:t>aceptada</w:t>
      </w:r>
      <w:r>
        <w:rPr>
          <w:spacing w:val="-10"/>
        </w:rPr>
        <w:t xml:space="preserve"> </w:t>
      </w:r>
      <w:r>
        <w:t>el</w:t>
      </w:r>
      <w:r>
        <w:rPr>
          <w:spacing w:val="-11"/>
        </w:rPr>
        <w:t xml:space="preserve"> </w:t>
      </w:r>
      <w:r>
        <w:t>día</w:t>
      </w:r>
      <w:r>
        <w:rPr>
          <w:spacing w:val="-10"/>
        </w:rPr>
        <w:t xml:space="preserve"> </w:t>
      </w:r>
      <w:r>
        <w:t>siguiente</w:t>
      </w:r>
      <w:r>
        <w:rPr>
          <w:spacing w:val="-11"/>
        </w:rPr>
        <w:t xml:space="preserve"> </w:t>
      </w:r>
      <w:r>
        <w:t>por</w:t>
      </w:r>
      <w:r>
        <w:rPr>
          <w:spacing w:val="-12"/>
        </w:rPr>
        <w:t xml:space="preserve"> </w:t>
      </w:r>
      <w:r>
        <w:t>el</w:t>
      </w:r>
      <w:r>
        <w:rPr>
          <w:spacing w:val="-10"/>
        </w:rPr>
        <w:t xml:space="preserve"> </w:t>
      </w:r>
      <w:r>
        <w:t>juez federal competente. De las 44 niñas y niños que perdieron a sus madres y demandaron al gobierno federal, 39 fueron beneficiadas por la decisión preliminar de tutela de una pensión mensual</w:t>
      </w:r>
      <w:r>
        <w:rPr>
          <w:spacing w:val="-12"/>
        </w:rPr>
        <w:t xml:space="preserve"> </w:t>
      </w:r>
      <w:r>
        <w:t>de</w:t>
      </w:r>
      <w:r>
        <w:rPr>
          <w:spacing w:val="-14"/>
        </w:rPr>
        <w:t xml:space="preserve"> </w:t>
      </w:r>
      <w:r>
        <w:t>un</w:t>
      </w:r>
      <w:r>
        <w:rPr>
          <w:spacing w:val="-9"/>
        </w:rPr>
        <w:t xml:space="preserve"> </w:t>
      </w:r>
      <w:r>
        <w:t>salario</w:t>
      </w:r>
      <w:r>
        <w:rPr>
          <w:spacing w:val="-13"/>
        </w:rPr>
        <w:t xml:space="preserve"> </w:t>
      </w:r>
      <w:r>
        <w:t>mínimo</w:t>
      </w:r>
      <w:r>
        <w:rPr>
          <w:spacing w:val="-14"/>
        </w:rPr>
        <w:t xml:space="preserve"> </w:t>
      </w:r>
      <w:r>
        <w:t>y,</w:t>
      </w:r>
      <w:r>
        <w:rPr>
          <w:spacing w:val="-11"/>
        </w:rPr>
        <w:t xml:space="preserve"> </w:t>
      </w:r>
      <w:r>
        <w:t>de</w:t>
      </w:r>
      <w:r>
        <w:rPr>
          <w:spacing w:val="-8"/>
        </w:rPr>
        <w:t xml:space="preserve"> </w:t>
      </w:r>
      <w:r>
        <w:t>estas,</w:t>
      </w:r>
      <w:r>
        <w:rPr>
          <w:spacing w:val="-11"/>
        </w:rPr>
        <w:t xml:space="preserve"> </w:t>
      </w:r>
      <w:r>
        <w:t>sólo</w:t>
      </w:r>
      <w:r>
        <w:rPr>
          <w:spacing w:val="-14"/>
        </w:rPr>
        <w:t xml:space="preserve"> </w:t>
      </w:r>
      <w:r>
        <w:t>16</w:t>
      </w:r>
      <w:r>
        <w:rPr>
          <w:spacing w:val="-11"/>
        </w:rPr>
        <w:t xml:space="preserve"> </w:t>
      </w:r>
      <w:r>
        <w:t>recibieron</w:t>
      </w:r>
      <w:r>
        <w:rPr>
          <w:spacing w:val="-9"/>
        </w:rPr>
        <w:t xml:space="preserve"> </w:t>
      </w:r>
      <w:r>
        <w:t>efectivame</w:t>
      </w:r>
      <w:r>
        <w:t>nte</w:t>
      </w:r>
      <w:r>
        <w:rPr>
          <w:spacing w:val="-14"/>
        </w:rPr>
        <w:t xml:space="preserve"> </w:t>
      </w:r>
      <w:r>
        <w:t>dicho</w:t>
      </w:r>
      <w:r>
        <w:rPr>
          <w:spacing w:val="-11"/>
        </w:rPr>
        <w:t xml:space="preserve"> </w:t>
      </w:r>
      <w:r>
        <w:t>pago,</w:t>
      </w:r>
      <w:r>
        <w:rPr>
          <w:spacing w:val="-12"/>
        </w:rPr>
        <w:t xml:space="preserve"> </w:t>
      </w:r>
      <w:r>
        <w:t>pues, por el transcurso del tiempo, las demás ya tenían 18 años. Los demás familiares no habrían recibido</w:t>
      </w:r>
      <w:r>
        <w:rPr>
          <w:spacing w:val="-17"/>
        </w:rPr>
        <w:t xml:space="preserve"> </w:t>
      </w:r>
      <w:r>
        <w:t>reparación</w:t>
      </w:r>
      <w:r>
        <w:rPr>
          <w:spacing w:val="-14"/>
        </w:rPr>
        <w:t xml:space="preserve"> </w:t>
      </w:r>
      <w:r>
        <w:t>alguna</w:t>
      </w:r>
      <w:r>
        <w:rPr>
          <w:spacing w:val="-15"/>
        </w:rPr>
        <w:t xml:space="preserve"> </w:t>
      </w:r>
      <w:r>
        <w:t>del</w:t>
      </w:r>
      <w:r>
        <w:rPr>
          <w:spacing w:val="-16"/>
        </w:rPr>
        <w:t xml:space="preserve"> </w:t>
      </w:r>
      <w:r>
        <w:t>Estado.</w:t>
      </w:r>
      <w:r>
        <w:rPr>
          <w:spacing w:val="-13"/>
        </w:rPr>
        <w:t xml:space="preserve"> </w:t>
      </w:r>
      <w:r>
        <w:t>Tras</w:t>
      </w:r>
      <w:r>
        <w:rPr>
          <w:spacing w:val="-16"/>
        </w:rPr>
        <w:t xml:space="preserve"> </w:t>
      </w:r>
      <w:r>
        <w:t>las</w:t>
      </w:r>
      <w:r>
        <w:rPr>
          <w:spacing w:val="-16"/>
        </w:rPr>
        <w:t xml:space="preserve"> </w:t>
      </w:r>
      <w:r>
        <w:t>decisiones</w:t>
      </w:r>
      <w:r>
        <w:rPr>
          <w:spacing w:val="-17"/>
        </w:rPr>
        <w:t xml:space="preserve"> </w:t>
      </w:r>
      <w:r>
        <w:t>respecto</w:t>
      </w:r>
      <w:r>
        <w:rPr>
          <w:spacing w:val="-16"/>
        </w:rPr>
        <w:t xml:space="preserve"> </w:t>
      </w:r>
      <w:r>
        <w:t>a</w:t>
      </w:r>
      <w:r>
        <w:rPr>
          <w:spacing w:val="-15"/>
        </w:rPr>
        <w:t xml:space="preserve"> </w:t>
      </w:r>
      <w:r>
        <w:t>los</w:t>
      </w:r>
      <w:r>
        <w:rPr>
          <w:spacing w:val="-13"/>
        </w:rPr>
        <w:t xml:space="preserve"> </w:t>
      </w:r>
      <w:r>
        <w:t>recursos</w:t>
      </w:r>
      <w:r>
        <w:rPr>
          <w:spacing w:val="-17"/>
        </w:rPr>
        <w:t xml:space="preserve"> </w:t>
      </w:r>
      <w:r>
        <w:t>interpuestos contra la decisión de la tutela anticipada se r</w:t>
      </w:r>
      <w:r>
        <w:t>ealizó, en 2004, un desglose del proceso debido al alto número de litisconsortes (84), producto del cual se entablaron 14 procesos distintos. Las</w:t>
      </w:r>
      <w:r>
        <w:rPr>
          <w:spacing w:val="-11"/>
        </w:rPr>
        <w:t xml:space="preserve"> </w:t>
      </w:r>
      <w:r>
        <w:t>sentencias</w:t>
      </w:r>
      <w:r>
        <w:rPr>
          <w:spacing w:val="-11"/>
        </w:rPr>
        <w:t xml:space="preserve"> </w:t>
      </w:r>
      <w:r>
        <w:t>de</w:t>
      </w:r>
      <w:r>
        <w:rPr>
          <w:spacing w:val="-11"/>
        </w:rPr>
        <w:t xml:space="preserve"> </w:t>
      </w:r>
      <w:r>
        <w:t>primera</w:t>
      </w:r>
      <w:r>
        <w:rPr>
          <w:spacing w:val="-10"/>
        </w:rPr>
        <w:t xml:space="preserve"> </w:t>
      </w:r>
      <w:r>
        <w:t>instancia</w:t>
      </w:r>
      <w:r>
        <w:rPr>
          <w:spacing w:val="-10"/>
        </w:rPr>
        <w:t xml:space="preserve"> </w:t>
      </w:r>
      <w:r>
        <w:t>se</w:t>
      </w:r>
      <w:r>
        <w:rPr>
          <w:spacing w:val="-11"/>
        </w:rPr>
        <w:t xml:space="preserve"> </w:t>
      </w:r>
      <w:r>
        <w:t>dictaron</w:t>
      </w:r>
      <w:r>
        <w:rPr>
          <w:spacing w:val="-7"/>
        </w:rPr>
        <w:t xml:space="preserve"> </w:t>
      </w:r>
      <w:r>
        <w:t>entre</w:t>
      </w:r>
      <w:r>
        <w:rPr>
          <w:spacing w:val="-9"/>
        </w:rPr>
        <w:t xml:space="preserve"> </w:t>
      </w:r>
      <w:r>
        <w:t>julio</w:t>
      </w:r>
      <w:r>
        <w:rPr>
          <w:spacing w:val="-10"/>
        </w:rPr>
        <w:t xml:space="preserve"> </w:t>
      </w:r>
      <w:r>
        <w:t>de</w:t>
      </w:r>
      <w:r>
        <w:rPr>
          <w:spacing w:val="-12"/>
        </w:rPr>
        <w:t xml:space="preserve"> </w:t>
      </w:r>
      <w:r>
        <w:t>2010</w:t>
      </w:r>
      <w:r>
        <w:rPr>
          <w:spacing w:val="-7"/>
        </w:rPr>
        <w:t xml:space="preserve"> </w:t>
      </w:r>
      <w:r>
        <w:t>y</w:t>
      </w:r>
      <w:r>
        <w:rPr>
          <w:spacing w:val="-11"/>
        </w:rPr>
        <w:t xml:space="preserve"> </w:t>
      </w:r>
      <w:r>
        <w:t>agosto</w:t>
      </w:r>
      <w:r>
        <w:rPr>
          <w:spacing w:val="-9"/>
        </w:rPr>
        <w:t xml:space="preserve"> </w:t>
      </w:r>
      <w:r>
        <w:t>de</w:t>
      </w:r>
      <w:r>
        <w:rPr>
          <w:spacing w:val="-12"/>
        </w:rPr>
        <w:t xml:space="preserve"> </w:t>
      </w:r>
      <w:r>
        <w:t>2011</w:t>
      </w:r>
      <w:r>
        <w:rPr>
          <w:spacing w:val="-7"/>
        </w:rPr>
        <w:t xml:space="preserve"> </w:t>
      </w:r>
      <w:r>
        <w:t>y</w:t>
      </w:r>
      <w:r>
        <w:rPr>
          <w:spacing w:val="-11"/>
        </w:rPr>
        <w:t xml:space="preserve"> </w:t>
      </w:r>
      <w:r>
        <w:t>contra ellas</w:t>
      </w:r>
      <w:r>
        <w:rPr>
          <w:spacing w:val="-19"/>
        </w:rPr>
        <w:t xml:space="preserve"> </w:t>
      </w:r>
      <w:r>
        <w:t>se</w:t>
      </w:r>
      <w:r>
        <w:rPr>
          <w:spacing w:val="-21"/>
        </w:rPr>
        <w:t xml:space="preserve"> </w:t>
      </w:r>
      <w:r>
        <w:t>interpusieron</w:t>
      </w:r>
      <w:r>
        <w:rPr>
          <w:spacing w:val="-19"/>
        </w:rPr>
        <w:t xml:space="preserve"> </w:t>
      </w:r>
      <w:r>
        <w:t>recursos</w:t>
      </w:r>
      <w:r>
        <w:rPr>
          <w:spacing w:val="-18"/>
        </w:rPr>
        <w:t xml:space="preserve"> </w:t>
      </w:r>
      <w:r>
        <w:t>de</w:t>
      </w:r>
      <w:r>
        <w:rPr>
          <w:spacing w:val="-19"/>
        </w:rPr>
        <w:t xml:space="preserve"> </w:t>
      </w:r>
      <w:r>
        <w:t>apelación</w:t>
      </w:r>
      <w:r>
        <w:rPr>
          <w:spacing w:val="-16"/>
        </w:rPr>
        <w:t xml:space="preserve"> </w:t>
      </w:r>
      <w:r>
        <w:t>que</w:t>
      </w:r>
      <w:r>
        <w:rPr>
          <w:spacing w:val="-16"/>
        </w:rPr>
        <w:t xml:space="preserve"> </w:t>
      </w:r>
      <w:r>
        <w:t>fueron</w:t>
      </w:r>
      <w:r>
        <w:rPr>
          <w:spacing w:val="-19"/>
        </w:rPr>
        <w:t xml:space="preserve"> </w:t>
      </w:r>
      <w:r>
        <w:t>negados</w:t>
      </w:r>
      <w:r>
        <w:rPr>
          <w:spacing w:val="-16"/>
        </w:rPr>
        <w:t xml:space="preserve"> </w:t>
      </w:r>
      <w:r>
        <w:t>entre</w:t>
      </w:r>
      <w:r>
        <w:rPr>
          <w:spacing w:val="-19"/>
        </w:rPr>
        <w:t xml:space="preserve"> </w:t>
      </w:r>
      <w:r>
        <w:t>agosto</w:t>
      </w:r>
      <w:r>
        <w:rPr>
          <w:spacing w:val="-19"/>
        </w:rPr>
        <w:t xml:space="preserve"> </w:t>
      </w:r>
      <w:r>
        <w:t>de</w:t>
      </w:r>
      <w:r>
        <w:rPr>
          <w:spacing w:val="-21"/>
        </w:rPr>
        <w:t xml:space="preserve"> </w:t>
      </w:r>
      <w:r>
        <w:t>2013</w:t>
      </w:r>
      <w:r>
        <w:rPr>
          <w:spacing w:val="-17"/>
        </w:rPr>
        <w:t xml:space="preserve"> </w:t>
      </w:r>
      <w:r>
        <w:t>y</w:t>
      </w:r>
      <w:r>
        <w:rPr>
          <w:spacing w:val="-18"/>
        </w:rPr>
        <w:t xml:space="preserve"> </w:t>
      </w:r>
      <w:r>
        <w:t>marzo de</w:t>
      </w:r>
      <w:r>
        <w:rPr>
          <w:spacing w:val="-11"/>
        </w:rPr>
        <w:t xml:space="preserve"> </w:t>
      </w:r>
      <w:r>
        <w:t>2017.</w:t>
      </w:r>
      <w:r>
        <w:rPr>
          <w:spacing w:val="-11"/>
        </w:rPr>
        <w:t xml:space="preserve"> </w:t>
      </w:r>
      <w:r>
        <w:t>Se</w:t>
      </w:r>
      <w:r>
        <w:rPr>
          <w:spacing w:val="-11"/>
        </w:rPr>
        <w:t xml:space="preserve"> </w:t>
      </w:r>
      <w:r>
        <w:t>presentaron</w:t>
      </w:r>
      <w:r>
        <w:rPr>
          <w:spacing w:val="-9"/>
        </w:rPr>
        <w:t xml:space="preserve"> </w:t>
      </w:r>
      <w:r>
        <w:t>recursos</w:t>
      </w:r>
      <w:r>
        <w:rPr>
          <w:spacing w:val="-11"/>
        </w:rPr>
        <w:t xml:space="preserve"> </w:t>
      </w:r>
      <w:r>
        <w:t>de</w:t>
      </w:r>
      <w:r>
        <w:rPr>
          <w:spacing w:val="-10"/>
        </w:rPr>
        <w:t xml:space="preserve"> </w:t>
      </w:r>
      <w:r>
        <w:t>aclaración</w:t>
      </w:r>
      <w:r>
        <w:rPr>
          <w:spacing w:val="-7"/>
        </w:rPr>
        <w:t xml:space="preserve"> </w:t>
      </w:r>
      <w:r>
        <w:t>contra</w:t>
      </w:r>
      <w:r>
        <w:rPr>
          <w:spacing w:val="-8"/>
        </w:rPr>
        <w:t xml:space="preserve"> </w:t>
      </w:r>
      <w:r>
        <w:t>las</w:t>
      </w:r>
      <w:r>
        <w:rPr>
          <w:spacing w:val="-11"/>
        </w:rPr>
        <w:t xml:space="preserve"> </w:t>
      </w:r>
      <w:r>
        <w:t>sentencias</w:t>
      </w:r>
      <w:r>
        <w:rPr>
          <w:spacing w:val="-11"/>
        </w:rPr>
        <w:t xml:space="preserve"> </w:t>
      </w:r>
      <w:r>
        <w:t>de</w:t>
      </w:r>
      <w:r>
        <w:rPr>
          <w:spacing w:val="-11"/>
        </w:rPr>
        <w:t xml:space="preserve"> </w:t>
      </w:r>
      <w:r>
        <w:t>apelación,</w:t>
      </w:r>
      <w:r>
        <w:rPr>
          <w:spacing w:val="-11"/>
        </w:rPr>
        <w:t xml:space="preserve"> </w:t>
      </w:r>
      <w:r>
        <w:t>los</w:t>
      </w:r>
      <w:r>
        <w:rPr>
          <w:spacing w:val="-9"/>
        </w:rPr>
        <w:t xml:space="preserve"> </w:t>
      </w:r>
      <w:r>
        <w:t>cuales fueron resueltos entre el 26 de octubre de 2015 y el 5 de mayo de 2018. Se int</w:t>
      </w:r>
      <w:r>
        <w:t>erpusieron recursos</w:t>
      </w:r>
      <w:r>
        <w:rPr>
          <w:spacing w:val="-4"/>
        </w:rPr>
        <w:t xml:space="preserve"> </w:t>
      </w:r>
      <w:r>
        <w:t>especiales</w:t>
      </w:r>
      <w:r>
        <w:rPr>
          <w:spacing w:val="-4"/>
        </w:rPr>
        <w:t xml:space="preserve"> </w:t>
      </w:r>
      <w:r>
        <w:t>y</w:t>
      </w:r>
      <w:r>
        <w:rPr>
          <w:spacing w:val="-6"/>
        </w:rPr>
        <w:t xml:space="preserve"> </w:t>
      </w:r>
      <w:r>
        <w:t>extraordinarios</w:t>
      </w:r>
      <w:r>
        <w:rPr>
          <w:spacing w:val="-6"/>
        </w:rPr>
        <w:t xml:space="preserve"> </w:t>
      </w:r>
      <w:r>
        <w:t>en</w:t>
      </w:r>
      <w:r>
        <w:rPr>
          <w:spacing w:val="-4"/>
        </w:rPr>
        <w:t xml:space="preserve"> </w:t>
      </w:r>
      <w:r>
        <w:t>12</w:t>
      </w:r>
      <w:r>
        <w:rPr>
          <w:spacing w:val="-5"/>
        </w:rPr>
        <w:t xml:space="preserve"> </w:t>
      </w:r>
      <w:r>
        <w:t>de</w:t>
      </w:r>
      <w:r>
        <w:rPr>
          <w:spacing w:val="-7"/>
        </w:rPr>
        <w:t xml:space="preserve"> </w:t>
      </w:r>
      <w:r>
        <w:t>los</w:t>
      </w:r>
      <w:r>
        <w:rPr>
          <w:spacing w:val="-6"/>
        </w:rPr>
        <w:t xml:space="preserve"> </w:t>
      </w:r>
      <w:r>
        <w:t>14</w:t>
      </w:r>
      <w:r>
        <w:rPr>
          <w:spacing w:val="-5"/>
        </w:rPr>
        <w:t xml:space="preserve"> </w:t>
      </w:r>
      <w:r>
        <w:t>procesos,</w:t>
      </w:r>
      <w:r>
        <w:rPr>
          <w:spacing w:val="-6"/>
        </w:rPr>
        <w:t xml:space="preserve"> </w:t>
      </w:r>
      <w:r>
        <w:t>de</w:t>
      </w:r>
      <w:r>
        <w:rPr>
          <w:spacing w:val="-6"/>
        </w:rPr>
        <w:t xml:space="preserve"> </w:t>
      </w:r>
      <w:r>
        <w:t>modo</w:t>
      </w:r>
      <w:r>
        <w:rPr>
          <w:spacing w:val="-7"/>
        </w:rPr>
        <w:t xml:space="preserve"> </w:t>
      </w:r>
      <w:r>
        <w:t>que</w:t>
      </w:r>
      <w:r>
        <w:rPr>
          <w:spacing w:val="-7"/>
        </w:rPr>
        <w:t xml:space="preserve"> </w:t>
      </w:r>
      <w:r>
        <w:t>10</w:t>
      </w:r>
      <w:r>
        <w:rPr>
          <w:spacing w:val="-5"/>
        </w:rPr>
        <w:t xml:space="preserve"> </w:t>
      </w:r>
      <w:r>
        <w:t>permanecen pendientes y dos tuvieron decisiones que quedaron firmes en septiembre de 2017 y abril de 2018.</w:t>
      </w:r>
      <w:r>
        <w:rPr>
          <w:spacing w:val="-18"/>
        </w:rPr>
        <w:t xml:space="preserve"> </w:t>
      </w:r>
      <w:r>
        <w:t>De</w:t>
      </w:r>
      <w:r>
        <w:rPr>
          <w:spacing w:val="-15"/>
        </w:rPr>
        <w:t xml:space="preserve"> </w:t>
      </w:r>
      <w:r>
        <w:t>la</w:t>
      </w:r>
      <w:r>
        <w:rPr>
          <w:spacing w:val="-17"/>
        </w:rPr>
        <w:t xml:space="preserve"> </w:t>
      </w:r>
      <w:r>
        <w:t>prueba</w:t>
      </w:r>
      <w:r>
        <w:rPr>
          <w:spacing w:val="-16"/>
        </w:rPr>
        <w:t xml:space="preserve"> </w:t>
      </w:r>
      <w:r>
        <w:t>disponible</w:t>
      </w:r>
      <w:r>
        <w:rPr>
          <w:spacing w:val="-19"/>
        </w:rPr>
        <w:t xml:space="preserve"> </w:t>
      </w:r>
      <w:r>
        <w:t>se</w:t>
      </w:r>
      <w:r>
        <w:rPr>
          <w:spacing w:val="-18"/>
        </w:rPr>
        <w:t xml:space="preserve"> </w:t>
      </w:r>
      <w:r>
        <w:t>desprende</w:t>
      </w:r>
      <w:r>
        <w:rPr>
          <w:spacing w:val="-18"/>
        </w:rPr>
        <w:t xml:space="preserve"> </w:t>
      </w:r>
      <w:r>
        <w:t>que</w:t>
      </w:r>
      <w:r>
        <w:rPr>
          <w:spacing w:val="-16"/>
        </w:rPr>
        <w:t xml:space="preserve"> </w:t>
      </w:r>
      <w:r>
        <w:t>no</w:t>
      </w:r>
      <w:r>
        <w:rPr>
          <w:spacing w:val="-17"/>
        </w:rPr>
        <w:t xml:space="preserve"> </w:t>
      </w:r>
      <w:r>
        <w:t>hubo</w:t>
      </w:r>
      <w:r>
        <w:rPr>
          <w:spacing w:val="-18"/>
        </w:rPr>
        <w:t xml:space="preserve"> </w:t>
      </w:r>
      <w:r>
        <w:t>ningún</w:t>
      </w:r>
      <w:r>
        <w:rPr>
          <w:spacing w:val="-16"/>
        </w:rPr>
        <w:t xml:space="preserve"> </w:t>
      </w:r>
      <w:r>
        <w:t>pago</w:t>
      </w:r>
      <w:r>
        <w:rPr>
          <w:spacing w:val="-18"/>
        </w:rPr>
        <w:t xml:space="preserve"> </w:t>
      </w:r>
      <w:r>
        <w:t>a</w:t>
      </w:r>
      <w:r>
        <w:rPr>
          <w:spacing w:val="-17"/>
        </w:rPr>
        <w:t xml:space="preserve"> </w:t>
      </w:r>
      <w:r>
        <w:t>las</w:t>
      </w:r>
      <w:r>
        <w:rPr>
          <w:spacing w:val="-17"/>
        </w:rPr>
        <w:t xml:space="preserve"> </w:t>
      </w:r>
      <w:r>
        <w:t>presuntas</w:t>
      </w:r>
      <w:r>
        <w:rPr>
          <w:spacing w:val="-15"/>
        </w:rPr>
        <w:t xml:space="preserve"> </w:t>
      </w:r>
      <w:r>
        <w:t>víctimas a raíz de esos</w:t>
      </w:r>
      <w:r>
        <w:rPr>
          <w:spacing w:val="-4"/>
        </w:rPr>
        <w:t xml:space="preserve"> </w:t>
      </w:r>
      <w:r>
        <w:t>procesos.</w:t>
      </w:r>
    </w:p>
    <w:p w14:paraId="1E56F9CF" w14:textId="77777777" w:rsidR="00467FCA" w:rsidRDefault="00467FCA">
      <w:pPr>
        <w:pStyle w:val="Textoindependiente"/>
      </w:pPr>
    </w:p>
    <w:p w14:paraId="09BA2BF5" w14:textId="77777777" w:rsidR="00467FCA" w:rsidRDefault="001B68EB">
      <w:pPr>
        <w:pStyle w:val="Prrafodelista"/>
        <w:numPr>
          <w:ilvl w:val="0"/>
          <w:numId w:val="50"/>
        </w:numPr>
        <w:tabs>
          <w:tab w:val="left" w:pos="687"/>
        </w:tabs>
        <w:spacing w:before="1"/>
        <w:ind w:left="119" w:right="117" w:firstLine="0"/>
        <w:jc w:val="both"/>
        <w:rPr>
          <w:sz w:val="20"/>
        </w:rPr>
      </w:pPr>
      <w:r>
        <w:rPr>
          <w:sz w:val="20"/>
        </w:rPr>
        <w:t xml:space="preserve">En lo que respecta la garantía de un </w:t>
      </w:r>
      <w:r>
        <w:rPr>
          <w:sz w:val="20"/>
        </w:rPr>
        <w:t>plazo razonable, el Tribunal estima que: (i) la complejidad del asunto no puede ser invocada por las mismas razones dispuestas en el análisis del proceso penal; (ii) no hay elementos suficientes en el acervo probatorio que permitan a la Corte examinar la a</w:t>
      </w:r>
      <w:r>
        <w:rPr>
          <w:sz w:val="20"/>
        </w:rPr>
        <w:t>ctividad procesal de los interesados; (iii) en cuanto a la conducta de las autoridades judiciales, la Corte nota que hubo un retardo injustificado para que</w:t>
      </w:r>
      <w:r>
        <w:rPr>
          <w:spacing w:val="-4"/>
          <w:sz w:val="20"/>
        </w:rPr>
        <w:t xml:space="preserve"> </w:t>
      </w:r>
      <w:r>
        <w:rPr>
          <w:sz w:val="20"/>
        </w:rPr>
        <w:t>se</w:t>
      </w:r>
      <w:r>
        <w:rPr>
          <w:spacing w:val="-2"/>
          <w:sz w:val="20"/>
        </w:rPr>
        <w:t xml:space="preserve"> </w:t>
      </w:r>
      <w:r>
        <w:rPr>
          <w:sz w:val="20"/>
        </w:rPr>
        <w:t>ordenara</w:t>
      </w:r>
      <w:r>
        <w:rPr>
          <w:spacing w:val="-3"/>
          <w:sz w:val="20"/>
        </w:rPr>
        <w:t xml:space="preserve"> </w:t>
      </w:r>
      <w:r>
        <w:rPr>
          <w:sz w:val="20"/>
        </w:rPr>
        <w:t>el</w:t>
      </w:r>
      <w:r>
        <w:rPr>
          <w:spacing w:val="-2"/>
          <w:sz w:val="20"/>
        </w:rPr>
        <w:t xml:space="preserve"> </w:t>
      </w:r>
      <w:r>
        <w:rPr>
          <w:sz w:val="20"/>
        </w:rPr>
        <w:t>desglose</w:t>
      </w:r>
      <w:r>
        <w:rPr>
          <w:spacing w:val="-4"/>
          <w:sz w:val="20"/>
        </w:rPr>
        <w:t xml:space="preserve"> </w:t>
      </w:r>
      <w:r>
        <w:rPr>
          <w:sz w:val="20"/>
        </w:rPr>
        <w:t>de</w:t>
      </w:r>
      <w:r>
        <w:rPr>
          <w:spacing w:val="-4"/>
          <w:sz w:val="20"/>
        </w:rPr>
        <w:t xml:space="preserve"> </w:t>
      </w:r>
      <w:r>
        <w:rPr>
          <w:sz w:val="20"/>
        </w:rPr>
        <w:t>los</w:t>
      </w:r>
      <w:r>
        <w:rPr>
          <w:spacing w:val="-4"/>
          <w:sz w:val="20"/>
        </w:rPr>
        <w:t xml:space="preserve"> </w:t>
      </w:r>
      <w:r>
        <w:rPr>
          <w:sz w:val="20"/>
        </w:rPr>
        <w:t>procesos</w:t>
      </w:r>
      <w:r>
        <w:rPr>
          <w:spacing w:val="-3"/>
          <w:sz w:val="20"/>
        </w:rPr>
        <w:t xml:space="preserve"> </w:t>
      </w:r>
      <w:r>
        <w:rPr>
          <w:sz w:val="20"/>
        </w:rPr>
        <w:t>(2</w:t>
      </w:r>
      <w:r>
        <w:rPr>
          <w:spacing w:val="-3"/>
          <w:sz w:val="20"/>
        </w:rPr>
        <w:t xml:space="preserve"> </w:t>
      </w:r>
      <w:r>
        <w:rPr>
          <w:sz w:val="20"/>
        </w:rPr>
        <w:t>años),</w:t>
      </w:r>
      <w:r>
        <w:rPr>
          <w:spacing w:val="-4"/>
          <w:sz w:val="20"/>
        </w:rPr>
        <w:t xml:space="preserve"> </w:t>
      </w:r>
      <w:r>
        <w:rPr>
          <w:sz w:val="20"/>
        </w:rPr>
        <w:t>para</w:t>
      </w:r>
      <w:r>
        <w:rPr>
          <w:spacing w:val="-3"/>
          <w:sz w:val="20"/>
        </w:rPr>
        <w:t xml:space="preserve"> </w:t>
      </w:r>
      <w:r>
        <w:rPr>
          <w:sz w:val="20"/>
        </w:rPr>
        <w:t>que</w:t>
      </w:r>
      <w:r>
        <w:rPr>
          <w:spacing w:val="-3"/>
          <w:sz w:val="20"/>
        </w:rPr>
        <w:t xml:space="preserve"> </w:t>
      </w:r>
      <w:r>
        <w:rPr>
          <w:sz w:val="20"/>
        </w:rPr>
        <w:t>se</w:t>
      </w:r>
      <w:r>
        <w:rPr>
          <w:spacing w:val="-4"/>
          <w:sz w:val="20"/>
        </w:rPr>
        <w:t xml:space="preserve"> </w:t>
      </w:r>
      <w:r>
        <w:rPr>
          <w:sz w:val="20"/>
        </w:rPr>
        <w:t>dictaran</w:t>
      </w:r>
      <w:r>
        <w:rPr>
          <w:spacing w:val="-2"/>
          <w:sz w:val="20"/>
        </w:rPr>
        <w:t xml:space="preserve"> </w:t>
      </w:r>
      <w:r>
        <w:rPr>
          <w:sz w:val="20"/>
        </w:rPr>
        <w:t>las</w:t>
      </w:r>
      <w:r>
        <w:rPr>
          <w:spacing w:val="-4"/>
          <w:sz w:val="20"/>
        </w:rPr>
        <w:t xml:space="preserve"> </w:t>
      </w:r>
      <w:r>
        <w:rPr>
          <w:sz w:val="20"/>
        </w:rPr>
        <w:t>sentencias</w:t>
      </w:r>
      <w:r>
        <w:rPr>
          <w:spacing w:val="-3"/>
          <w:sz w:val="20"/>
        </w:rPr>
        <w:t xml:space="preserve"> </w:t>
      </w:r>
      <w:r>
        <w:rPr>
          <w:sz w:val="20"/>
        </w:rPr>
        <w:t>en primera ins</w:t>
      </w:r>
      <w:r>
        <w:rPr>
          <w:sz w:val="20"/>
        </w:rPr>
        <w:t>tancia (6 o 7 años después del desglose del proceso) y para la apreciación de los distintos recursos interpuestos (aproximadamente 7 años), y (iv) en cuanto a la afectación generada</w:t>
      </w:r>
      <w:r>
        <w:rPr>
          <w:spacing w:val="-16"/>
          <w:sz w:val="20"/>
        </w:rPr>
        <w:t xml:space="preserve"> </w:t>
      </w:r>
      <w:r>
        <w:rPr>
          <w:sz w:val="20"/>
        </w:rPr>
        <w:t>en</w:t>
      </w:r>
      <w:r>
        <w:rPr>
          <w:spacing w:val="-14"/>
          <w:sz w:val="20"/>
        </w:rPr>
        <w:t xml:space="preserve"> </w:t>
      </w:r>
      <w:r>
        <w:rPr>
          <w:sz w:val="20"/>
        </w:rPr>
        <w:t>la</w:t>
      </w:r>
      <w:r>
        <w:rPr>
          <w:spacing w:val="-15"/>
          <w:sz w:val="20"/>
        </w:rPr>
        <w:t xml:space="preserve"> </w:t>
      </w:r>
      <w:r>
        <w:rPr>
          <w:sz w:val="20"/>
        </w:rPr>
        <w:t>situación</w:t>
      </w:r>
      <w:r>
        <w:rPr>
          <w:spacing w:val="-15"/>
          <w:sz w:val="20"/>
        </w:rPr>
        <w:t xml:space="preserve"> </w:t>
      </w:r>
      <w:r>
        <w:rPr>
          <w:sz w:val="20"/>
        </w:rPr>
        <w:t>jurídica</w:t>
      </w:r>
      <w:r>
        <w:rPr>
          <w:spacing w:val="-15"/>
          <w:sz w:val="20"/>
        </w:rPr>
        <w:t xml:space="preserve"> </w:t>
      </w:r>
      <w:r>
        <w:rPr>
          <w:sz w:val="20"/>
        </w:rPr>
        <w:t>de</w:t>
      </w:r>
      <w:r>
        <w:rPr>
          <w:spacing w:val="-16"/>
          <w:sz w:val="20"/>
        </w:rPr>
        <w:t xml:space="preserve"> </w:t>
      </w:r>
      <w:r>
        <w:rPr>
          <w:sz w:val="20"/>
        </w:rPr>
        <w:t>las</w:t>
      </w:r>
      <w:r>
        <w:rPr>
          <w:spacing w:val="-17"/>
          <w:sz w:val="20"/>
        </w:rPr>
        <w:t xml:space="preserve"> </w:t>
      </w:r>
      <w:r>
        <w:rPr>
          <w:sz w:val="20"/>
        </w:rPr>
        <w:t>presuntas</w:t>
      </w:r>
      <w:r>
        <w:rPr>
          <w:spacing w:val="-16"/>
          <w:sz w:val="20"/>
        </w:rPr>
        <w:t xml:space="preserve"> </w:t>
      </w:r>
      <w:r>
        <w:rPr>
          <w:sz w:val="20"/>
        </w:rPr>
        <w:t>víctimas,</w:t>
      </w:r>
      <w:r>
        <w:rPr>
          <w:spacing w:val="-16"/>
          <w:sz w:val="20"/>
        </w:rPr>
        <w:t xml:space="preserve"> </w:t>
      </w:r>
      <w:r>
        <w:rPr>
          <w:sz w:val="20"/>
        </w:rPr>
        <w:t>la</w:t>
      </w:r>
      <w:r>
        <w:rPr>
          <w:spacing w:val="-16"/>
          <w:sz w:val="20"/>
        </w:rPr>
        <w:t xml:space="preserve"> </w:t>
      </w:r>
      <w:r>
        <w:rPr>
          <w:sz w:val="20"/>
        </w:rPr>
        <w:t>Corte</w:t>
      </w:r>
      <w:r>
        <w:rPr>
          <w:spacing w:val="-14"/>
          <w:sz w:val="20"/>
        </w:rPr>
        <w:t xml:space="preserve"> </w:t>
      </w:r>
      <w:r>
        <w:rPr>
          <w:sz w:val="20"/>
        </w:rPr>
        <w:t>encuentra</w:t>
      </w:r>
      <w:r>
        <w:rPr>
          <w:spacing w:val="-15"/>
          <w:sz w:val="20"/>
        </w:rPr>
        <w:t xml:space="preserve"> </w:t>
      </w:r>
      <w:r>
        <w:rPr>
          <w:sz w:val="20"/>
        </w:rPr>
        <w:t>que</w:t>
      </w:r>
      <w:r>
        <w:rPr>
          <w:spacing w:val="-17"/>
          <w:sz w:val="20"/>
        </w:rPr>
        <w:t xml:space="preserve"> </w:t>
      </w:r>
      <w:r>
        <w:rPr>
          <w:sz w:val="20"/>
        </w:rPr>
        <w:t>la</w:t>
      </w:r>
      <w:r>
        <w:rPr>
          <w:spacing w:val="-15"/>
          <w:sz w:val="20"/>
        </w:rPr>
        <w:t xml:space="preserve"> </w:t>
      </w:r>
      <w:r>
        <w:rPr>
          <w:sz w:val="20"/>
        </w:rPr>
        <w:t>ausencia de indemnización, objeto del proceso civil en cuestión, tuvo un impacto muy significativo, toda</w:t>
      </w:r>
      <w:r>
        <w:rPr>
          <w:spacing w:val="-12"/>
          <w:sz w:val="20"/>
        </w:rPr>
        <w:t xml:space="preserve"> </w:t>
      </w:r>
      <w:r>
        <w:rPr>
          <w:sz w:val="20"/>
        </w:rPr>
        <w:t>vez</w:t>
      </w:r>
      <w:r>
        <w:rPr>
          <w:spacing w:val="-12"/>
          <w:sz w:val="20"/>
        </w:rPr>
        <w:t xml:space="preserve"> </w:t>
      </w:r>
      <w:r>
        <w:rPr>
          <w:sz w:val="20"/>
        </w:rPr>
        <w:t>que,</w:t>
      </w:r>
      <w:r>
        <w:rPr>
          <w:spacing w:val="-13"/>
          <w:sz w:val="20"/>
        </w:rPr>
        <w:t xml:space="preserve"> </w:t>
      </w:r>
      <w:r>
        <w:rPr>
          <w:sz w:val="20"/>
        </w:rPr>
        <w:t>como</w:t>
      </w:r>
      <w:r>
        <w:rPr>
          <w:spacing w:val="-11"/>
          <w:sz w:val="20"/>
        </w:rPr>
        <w:t xml:space="preserve"> </w:t>
      </w:r>
      <w:r>
        <w:rPr>
          <w:sz w:val="20"/>
        </w:rPr>
        <w:t>fue</w:t>
      </w:r>
      <w:r>
        <w:rPr>
          <w:spacing w:val="-11"/>
          <w:sz w:val="20"/>
        </w:rPr>
        <w:t xml:space="preserve"> </w:t>
      </w:r>
      <w:r>
        <w:rPr>
          <w:sz w:val="20"/>
        </w:rPr>
        <w:t>demostrado</w:t>
      </w:r>
      <w:r>
        <w:rPr>
          <w:spacing w:val="-13"/>
          <w:sz w:val="20"/>
        </w:rPr>
        <w:t xml:space="preserve"> </w:t>
      </w:r>
      <w:r>
        <w:rPr>
          <w:sz w:val="20"/>
        </w:rPr>
        <w:t>a</w:t>
      </w:r>
      <w:r>
        <w:rPr>
          <w:spacing w:val="-12"/>
          <w:sz w:val="20"/>
        </w:rPr>
        <w:t xml:space="preserve"> </w:t>
      </w:r>
      <w:r>
        <w:rPr>
          <w:sz w:val="20"/>
        </w:rPr>
        <w:t>lo</w:t>
      </w:r>
      <w:r>
        <w:rPr>
          <w:spacing w:val="-14"/>
          <w:sz w:val="20"/>
        </w:rPr>
        <w:t xml:space="preserve"> </w:t>
      </w:r>
      <w:r>
        <w:rPr>
          <w:sz w:val="20"/>
        </w:rPr>
        <w:t>largo</w:t>
      </w:r>
      <w:r>
        <w:rPr>
          <w:spacing w:val="-14"/>
          <w:sz w:val="20"/>
        </w:rPr>
        <w:t xml:space="preserve"> </w:t>
      </w:r>
      <w:r>
        <w:rPr>
          <w:sz w:val="20"/>
        </w:rPr>
        <w:t>del</w:t>
      </w:r>
      <w:r>
        <w:rPr>
          <w:spacing w:val="-11"/>
          <w:sz w:val="20"/>
        </w:rPr>
        <w:t xml:space="preserve"> </w:t>
      </w:r>
      <w:r>
        <w:rPr>
          <w:sz w:val="20"/>
        </w:rPr>
        <w:t>trámite</w:t>
      </w:r>
      <w:r>
        <w:rPr>
          <w:spacing w:val="-14"/>
          <w:sz w:val="20"/>
        </w:rPr>
        <w:t xml:space="preserve"> </w:t>
      </w:r>
      <w:r>
        <w:rPr>
          <w:sz w:val="20"/>
        </w:rPr>
        <w:t>de</w:t>
      </w:r>
      <w:r>
        <w:rPr>
          <w:spacing w:val="-14"/>
          <w:sz w:val="20"/>
        </w:rPr>
        <w:t xml:space="preserve"> </w:t>
      </w:r>
      <w:r>
        <w:rPr>
          <w:sz w:val="20"/>
        </w:rPr>
        <w:t>este</w:t>
      </w:r>
      <w:r>
        <w:rPr>
          <w:spacing w:val="-11"/>
          <w:sz w:val="20"/>
        </w:rPr>
        <w:t xml:space="preserve"> </w:t>
      </w:r>
      <w:r>
        <w:rPr>
          <w:sz w:val="20"/>
        </w:rPr>
        <w:t>caso,</w:t>
      </w:r>
      <w:r>
        <w:rPr>
          <w:spacing w:val="-12"/>
          <w:sz w:val="20"/>
        </w:rPr>
        <w:t xml:space="preserve"> </w:t>
      </w:r>
      <w:r>
        <w:rPr>
          <w:sz w:val="20"/>
        </w:rPr>
        <w:t>las</w:t>
      </w:r>
      <w:r>
        <w:rPr>
          <w:spacing w:val="-13"/>
          <w:sz w:val="20"/>
        </w:rPr>
        <w:t xml:space="preserve"> </w:t>
      </w:r>
      <w:r>
        <w:rPr>
          <w:sz w:val="20"/>
        </w:rPr>
        <w:t>presuntas</w:t>
      </w:r>
      <w:r>
        <w:rPr>
          <w:spacing w:val="-13"/>
          <w:sz w:val="20"/>
        </w:rPr>
        <w:t xml:space="preserve"> </w:t>
      </w:r>
      <w:r>
        <w:rPr>
          <w:sz w:val="20"/>
        </w:rPr>
        <w:t>víctimas y sus familiares no contaban con los medios e</w:t>
      </w:r>
      <w:r>
        <w:rPr>
          <w:sz w:val="20"/>
        </w:rPr>
        <w:t>conómicos suficientes para pagar los costos de tratamientos médicos y psicológicos necesarios, incluso aquellos destinados a tratar de las distintas</w:t>
      </w:r>
      <w:r>
        <w:rPr>
          <w:spacing w:val="-22"/>
          <w:sz w:val="20"/>
        </w:rPr>
        <w:t xml:space="preserve"> </w:t>
      </w:r>
      <w:r>
        <w:rPr>
          <w:sz w:val="20"/>
        </w:rPr>
        <w:t>secuelas</w:t>
      </w:r>
      <w:r>
        <w:rPr>
          <w:spacing w:val="-19"/>
          <w:sz w:val="20"/>
        </w:rPr>
        <w:t xml:space="preserve"> </w:t>
      </w:r>
      <w:r>
        <w:rPr>
          <w:sz w:val="20"/>
        </w:rPr>
        <w:t>que</w:t>
      </w:r>
      <w:r>
        <w:rPr>
          <w:spacing w:val="-21"/>
          <w:sz w:val="20"/>
        </w:rPr>
        <w:t xml:space="preserve"> </w:t>
      </w:r>
      <w:r>
        <w:rPr>
          <w:sz w:val="20"/>
        </w:rPr>
        <w:t>presentaron</w:t>
      </w:r>
      <w:r>
        <w:rPr>
          <w:spacing w:val="-20"/>
          <w:sz w:val="20"/>
        </w:rPr>
        <w:t xml:space="preserve"> </w:t>
      </w:r>
      <w:r>
        <w:rPr>
          <w:sz w:val="20"/>
        </w:rPr>
        <w:t>las</w:t>
      </w:r>
      <w:r>
        <w:rPr>
          <w:spacing w:val="-22"/>
          <w:sz w:val="20"/>
        </w:rPr>
        <w:t xml:space="preserve"> </w:t>
      </w:r>
      <w:r>
        <w:rPr>
          <w:sz w:val="20"/>
        </w:rPr>
        <w:t>personas</w:t>
      </w:r>
      <w:r>
        <w:rPr>
          <w:spacing w:val="-18"/>
          <w:sz w:val="20"/>
        </w:rPr>
        <w:t xml:space="preserve"> </w:t>
      </w:r>
      <w:r>
        <w:rPr>
          <w:sz w:val="20"/>
        </w:rPr>
        <w:t>sobrevivientes</w:t>
      </w:r>
      <w:r>
        <w:rPr>
          <w:spacing w:val="-19"/>
          <w:sz w:val="20"/>
        </w:rPr>
        <w:t xml:space="preserve"> </w:t>
      </w:r>
      <w:r>
        <w:rPr>
          <w:sz w:val="20"/>
        </w:rPr>
        <w:t>de</w:t>
      </w:r>
      <w:r>
        <w:rPr>
          <w:spacing w:val="-22"/>
          <w:sz w:val="20"/>
        </w:rPr>
        <w:t xml:space="preserve"> </w:t>
      </w:r>
      <w:r>
        <w:rPr>
          <w:sz w:val="20"/>
        </w:rPr>
        <w:t>la</w:t>
      </w:r>
      <w:r>
        <w:rPr>
          <w:spacing w:val="-17"/>
          <w:sz w:val="20"/>
        </w:rPr>
        <w:t xml:space="preserve"> </w:t>
      </w:r>
      <w:r>
        <w:rPr>
          <w:sz w:val="20"/>
        </w:rPr>
        <w:t>explosión.</w:t>
      </w:r>
      <w:r>
        <w:rPr>
          <w:spacing w:val="-21"/>
          <w:sz w:val="20"/>
        </w:rPr>
        <w:t xml:space="preserve"> </w:t>
      </w:r>
      <w:r>
        <w:rPr>
          <w:sz w:val="20"/>
        </w:rPr>
        <w:t>Por</w:t>
      </w:r>
      <w:r>
        <w:rPr>
          <w:spacing w:val="-21"/>
          <w:sz w:val="20"/>
        </w:rPr>
        <w:t xml:space="preserve"> </w:t>
      </w:r>
      <w:r>
        <w:rPr>
          <w:sz w:val="20"/>
        </w:rPr>
        <w:t>lo</w:t>
      </w:r>
      <w:r>
        <w:rPr>
          <w:spacing w:val="-22"/>
          <w:sz w:val="20"/>
        </w:rPr>
        <w:t xml:space="preserve"> </w:t>
      </w:r>
      <w:r>
        <w:rPr>
          <w:sz w:val="20"/>
        </w:rPr>
        <w:t>anterior, este</w:t>
      </w:r>
      <w:r>
        <w:rPr>
          <w:spacing w:val="-9"/>
          <w:sz w:val="20"/>
        </w:rPr>
        <w:t xml:space="preserve"> </w:t>
      </w:r>
      <w:r>
        <w:rPr>
          <w:sz w:val="20"/>
        </w:rPr>
        <w:t>Tribunal</w:t>
      </w:r>
      <w:r>
        <w:rPr>
          <w:spacing w:val="-10"/>
          <w:sz w:val="20"/>
        </w:rPr>
        <w:t xml:space="preserve"> </w:t>
      </w:r>
      <w:r>
        <w:rPr>
          <w:sz w:val="20"/>
        </w:rPr>
        <w:t>constata</w:t>
      </w:r>
      <w:r>
        <w:rPr>
          <w:spacing w:val="-10"/>
          <w:sz w:val="20"/>
        </w:rPr>
        <w:t xml:space="preserve"> </w:t>
      </w:r>
      <w:r>
        <w:rPr>
          <w:sz w:val="20"/>
        </w:rPr>
        <w:t>que</w:t>
      </w:r>
      <w:r>
        <w:rPr>
          <w:spacing w:val="-9"/>
          <w:sz w:val="20"/>
        </w:rPr>
        <w:t xml:space="preserve"> </w:t>
      </w:r>
      <w:r>
        <w:rPr>
          <w:sz w:val="20"/>
        </w:rPr>
        <w:t>el</w:t>
      </w:r>
      <w:r>
        <w:rPr>
          <w:spacing w:val="-10"/>
          <w:sz w:val="20"/>
        </w:rPr>
        <w:t xml:space="preserve"> </w:t>
      </w:r>
      <w:r>
        <w:rPr>
          <w:sz w:val="20"/>
        </w:rPr>
        <w:t>Estado</w:t>
      </w:r>
      <w:r>
        <w:rPr>
          <w:spacing w:val="-11"/>
          <w:sz w:val="20"/>
        </w:rPr>
        <w:t xml:space="preserve"> </w:t>
      </w:r>
      <w:r>
        <w:rPr>
          <w:sz w:val="20"/>
        </w:rPr>
        <w:t>incumplió</w:t>
      </w:r>
      <w:r>
        <w:rPr>
          <w:spacing w:val="-9"/>
          <w:sz w:val="20"/>
        </w:rPr>
        <w:t xml:space="preserve"> </w:t>
      </w:r>
      <w:r>
        <w:rPr>
          <w:sz w:val="20"/>
        </w:rPr>
        <w:t>con</w:t>
      </w:r>
      <w:r>
        <w:rPr>
          <w:spacing w:val="-9"/>
          <w:sz w:val="20"/>
        </w:rPr>
        <w:t xml:space="preserve"> </w:t>
      </w:r>
      <w:r>
        <w:rPr>
          <w:sz w:val="20"/>
        </w:rPr>
        <w:t>la</w:t>
      </w:r>
      <w:r>
        <w:rPr>
          <w:spacing w:val="-10"/>
          <w:sz w:val="20"/>
        </w:rPr>
        <w:t xml:space="preserve"> </w:t>
      </w:r>
      <w:r>
        <w:rPr>
          <w:sz w:val="20"/>
        </w:rPr>
        <w:t>garantía</w:t>
      </w:r>
      <w:r>
        <w:rPr>
          <w:spacing w:val="-10"/>
          <w:sz w:val="20"/>
        </w:rPr>
        <w:t xml:space="preserve"> </w:t>
      </w:r>
      <w:r>
        <w:rPr>
          <w:sz w:val="20"/>
        </w:rPr>
        <w:t>del</w:t>
      </w:r>
      <w:r>
        <w:rPr>
          <w:spacing w:val="-10"/>
          <w:sz w:val="20"/>
        </w:rPr>
        <w:t xml:space="preserve"> </w:t>
      </w:r>
      <w:r>
        <w:rPr>
          <w:sz w:val="20"/>
        </w:rPr>
        <w:t>plazo</w:t>
      </w:r>
      <w:r>
        <w:rPr>
          <w:spacing w:val="-6"/>
          <w:sz w:val="20"/>
        </w:rPr>
        <w:t xml:space="preserve"> </w:t>
      </w:r>
      <w:r>
        <w:rPr>
          <w:sz w:val="20"/>
        </w:rPr>
        <w:t>razonable</w:t>
      </w:r>
      <w:r>
        <w:rPr>
          <w:spacing w:val="-9"/>
          <w:sz w:val="20"/>
        </w:rPr>
        <w:t xml:space="preserve"> </w:t>
      </w:r>
      <w:r>
        <w:rPr>
          <w:sz w:val="20"/>
        </w:rPr>
        <w:t>en</w:t>
      </w:r>
      <w:r>
        <w:rPr>
          <w:spacing w:val="-7"/>
          <w:sz w:val="20"/>
        </w:rPr>
        <w:t xml:space="preserve"> </w:t>
      </w:r>
      <w:r>
        <w:rPr>
          <w:sz w:val="20"/>
        </w:rPr>
        <w:t>relación con los procesos en</w:t>
      </w:r>
      <w:r>
        <w:rPr>
          <w:spacing w:val="-2"/>
          <w:sz w:val="20"/>
        </w:rPr>
        <w:t xml:space="preserve"> </w:t>
      </w:r>
      <w:r>
        <w:rPr>
          <w:sz w:val="20"/>
        </w:rPr>
        <w:t>cuestión.</w:t>
      </w:r>
    </w:p>
    <w:p w14:paraId="4634FA7E" w14:textId="77777777" w:rsidR="00467FCA" w:rsidRDefault="00467FCA">
      <w:pPr>
        <w:pStyle w:val="Textoindependiente"/>
        <w:spacing w:before="1"/>
      </w:pPr>
    </w:p>
    <w:p w14:paraId="797A9F38" w14:textId="77777777" w:rsidR="00467FCA" w:rsidRDefault="001B68EB">
      <w:pPr>
        <w:pStyle w:val="Prrafodelista"/>
        <w:numPr>
          <w:ilvl w:val="0"/>
          <w:numId w:val="50"/>
        </w:numPr>
        <w:tabs>
          <w:tab w:val="left" w:pos="686"/>
        </w:tabs>
        <w:ind w:left="119" w:right="118" w:firstLine="0"/>
        <w:jc w:val="both"/>
        <w:rPr>
          <w:sz w:val="20"/>
        </w:rPr>
      </w:pPr>
      <w:r>
        <w:rPr>
          <w:sz w:val="20"/>
        </w:rPr>
        <w:t>En relación con la debida diligencia en la primera causa civil, la Corte observa que el desglose del proceso, determinado en 2004, solamente dos años después de presentada la acción civil, y que tenía el objeto de facilitar y hacer más rápida la prestación</w:t>
      </w:r>
      <w:r>
        <w:rPr>
          <w:sz w:val="20"/>
        </w:rPr>
        <w:t xml:space="preserve"> jurisdiccional, como adujó el Estado, no logró su fin, pues las primeras sentencias de primera instancia se dictaron en 2010, ocho años después del comienzo de la demanda principal y, hasta el momento, solamente hay dos decisiones firmes, las cuales todav</w:t>
      </w:r>
      <w:r>
        <w:rPr>
          <w:sz w:val="20"/>
        </w:rPr>
        <w:t>ía no fueron ejecutadas. La Corte estima que hubo una demora excesiva en la emisión de las resoluciones de las apelaciones de un promedio de 7 años, sin que el Estado haya presentado una justificación para ello. Por lo anterior, aunado a la ausencia de sol</w:t>
      </w:r>
      <w:r>
        <w:rPr>
          <w:sz w:val="20"/>
        </w:rPr>
        <w:t>ución definitiva y ejecución de las decisiones judiciales después de más de 20 años del inicio de la causa civil principal, el Tribunal considera que el Estado no actuó con la debida</w:t>
      </w:r>
      <w:r>
        <w:rPr>
          <w:spacing w:val="-9"/>
          <w:sz w:val="20"/>
        </w:rPr>
        <w:t xml:space="preserve"> </w:t>
      </w:r>
      <w:r>
        <w:rPr>
          <w:sz w:val="20"/>
        </w:rPr>
        <w:t>diligencia</w:t>
      </w:r>
      <w:hyperlink w:anchor="_bookmark388" w:history="1">
        <w:r>
          <w:rPr>
            <w:position w:val="7"/>
            <w:sz w:val="13"/>
          </w:rPr>
          <w:t>332</w:t>
        </w:r>
      </w:hyperlink>
      <w:r>
        <w:rPr>
          <w:sz w:val="20"/>
        </w:rPr>
        <w:t>.</w:t>
      </w:r>
    </w:p>
    <w:p w14:paraId="703B1350" w14:textId="77777777" w:rsidR="00467FCA" w:rsidRDefault="00467FCA">
      <w:pPr>
        <w:pStyle w:val="Textoindependiente"/>
        <w:spacing w:before="10"/>
        <w:rPr>
          <w:sz w:val="19"/>
        </w:rPr>
      </w:pPr>
    </w:p>
    <w:p w14:paraId="2560DA87" w14:textId="77777777" w:rsidR="00467FCA" w:rsidRDefault="001B68EB">
      <w:pPr>
        <w:pStyle w:val="Prrafodelista"/>
        <w:numPr>
          <w:ilvl w:val="0"/>
          <w:numId w:val="50"/>
        </w:numPr>
        <w:tabs>
          <w:tab w:val="left" w:pos="687"/>
        </w:tabs>
        <w:ind w:left="119" w:right="120" w:firstLine="0"/>
        <w:jc w:val="both"/>
        <w:rPr>
          <w:sz w:val="20"/>
        </w:rPr>
      </w:pPr>
      <w:r>
        <w:rPr>
          <w:sz w:val="20"/>
        </w:rPr>
        <w:t>La segunda causa civil, e</w:t>
      </w:r>
      <w:r>
        <w:rPr>
          <w:sz w:val="20"/>
        </w:rPr>
        <w:t xml:space="preserve">s decir, la acción civil </w:t>
      </w:r>
      <w:r>
        <w:rPr>
          <w:i/>
          <w:sz w:val="20"/>
        </w:rPr>
        <w:t>ex delicto</w:t>
      </w:r>
      <w:r>
        <w:rPr>
          <w:sz w:val="20"/>
        </w:rPr>
        <w:t>, se presentó después del ingreso</w:t>
      </w:r>
      <w:r>
        <w:rPr>
          <w:spacing w:val="-16"/>
          <w:sz w:val="20"/>
        </w:rPr>
        <w:t xml:space="preserve"> </w:t>
      </w:r>
      <w:r>
        <w:rPr>
          <w:sz w:val="20"/>
        </w:rPr>
        <w:t>de</w:t>
      </w:r>
      <w:r>
        <w:rPr>
          <w:spacing w:val="-13"/>
          <w:sz w:val="20"/>
        </w:rPr>
        <w:t xml:space="preserve"> </w:t>
      </w:r>
      <w:r>
        <w:rPr>
          <w:sz w:val="20"/>
        </w:rPr>
        <w:t>una</w:t>
      </w:r>
      <w:r>
        <w:rPr>
          <w:spacing w:val="-15"/>
          <w:sz w:val="20"/>
        </w:rPr>
        <w:t xml:space="preserve"> </w:t>
      </w:r>
      <w:r>
        <w:rPr>
          <w:sz w:val="20"/>
        </w:rPr>
        <w:t>medida</w:t>
      </w:r>
      <w:r>
        <w:rPr>
          <w:spacing w:val="-14"/>
          <w:sz w:val="20"/>
        </w:rPr>
        <w:t xml:space="preserve"> </w:t>
      </w:r>
      <w:r>
        <w:rPr>
          <w:sz w:val="20"/>
        </w:rPr>
        <w:t>cautelar,</w:t>
      </w:r>
      <w:r>
        <w:rPr>
          <w:spacing w:val="-13"/>
          <w:sz w:val="20"/>
        </w:rPr>
        <w:t xml:space="preserve"> </w:t>
      </w:r>
      <w:r>
        <w:rPr>
          <w:sz w:val="20"/>
        </w:rPr>
        <w:t>el</w:t>
      </w:r>
      <w:r>
        <w:rPr>
          <w:spacing w:val="-11"/>
          <w:sz w:val="20"/>
        </w:rPr>
        <w:t xml:space="preserve"> </w:t>
      </w:r>
      <w:r>
        <w:rPr>
          <w:sz w:val="20"/>
        </w:rPr>
        <w:t>mismo</w:t>
      </w:r>
      <w:r>
        <w:rPr>
          <w:spacing w:val="-13"/>
          <w:sz w:val="20"/>
        </w:rPr>
        <w:t xml:space="preserve"> </w:t>
      </w:r>
      <w:r>
        <w:rPr>
          <w:sz w:val="20"/>
        </w:rPr>
        <w:t>año</w:t>
      </w:r>
      <w:r>
        <w:rPr>
          <w:spacing w:val="-14"/>
          <w:sz w:val="20"/>
        </w:rPr>
        <w:t xml:space="preserve"> </w:t>
      </w:r>
      <w:r>
        <w:rPr>
          <w:sz w:val="20"/>
        </w:rPr>
        <w:t>de</w:t>
      </w:r>
      <w:r>
        <w:rPr>
          <w:spacing w:val="-15"/>
          <w:sz w:val="20"/>
        </w:rPr>
        <w:t xml:space="preserve"> </w:t>
      </w:r>
      <w:r>
        <w:rPr>
          <w:sz w:val="20"/>
        </w:rPr>
        <w:t>1998,</w:t>
      </w:r>
      <w:r>
        <w:rPr>
          <w:spacing w:val="-15"/>
          <w:sz w:val="20"/>
        </w:rPr>
        <w:t xml:space="preserve"> </w:t>
      </w:r>
      <w:r>
        <w:rPr>
          <w:sz w:val="20"/>
        </w:rPr>
        <w:t>mediante</w:t>
      </w:r>
      <w:r>
        <w:rPr>
          <w:spacing w:val="-13"/>
          <w:sz w:val="20"/>
        </w:rPr>
        <w:t xml:space="preserve"> </w:t>
      </w:r>
      <w:r>
        <w:rPr>
          <w:sz w:val="20"/>
        </w:rPr>
        <w:t>la</w:t>
      </w:r>
      <w:r>
        <w:rPr>
          <w:spacing w:val="-12"/>
          <w:sz w:val="20"/>
        </w:rPr>
        <w:t xml:space="preserve"> </w:t>
      </w:r>
      <w:r>
        <w:rPr>
          <w:sz w:val="20"/>
        </w:rPr>
        <w:t>cual</w:t>
      </w:r>
      <w:r>
        <w:rPr>
          <w:spacing w:val="-15"/>
          <w:sz w:val="20"/>
        </w:rPr>
        <w:t xml:space="preserve"> </w:t>
      </w:r>
      <w:r>
        <w:rPr>
          <w:sz w:val="20"/>
        </w:rPr>
        <w:t>se</w:t>
      </w:r>
      <w:r>
        <w:rPr>
          <w:spacing w:val="-13"/>
          <w:sz w:val="20"/>
        </w:rPr>
        <w:t xml:space="preserve"> </w:t>
      </w:r>
      <w:r>
        <w:rPr>
          <w:sz w:val="20"/>
        </w:rPr>
        <w:t>solicitó</w:t>
      </w:r>
      <w:r>
        <w:rPr>
          <w:spacing w:val="-14"/>
          <w:sz w:val="20"/>
        </w:rPr>
        <w:t xml:space="preserve"> </w:t>
      </w:r>
      <w:r>
        <w:rPr>
          <w:sz w:val="20"/>
        </w:rPr>
        <w:t>el</w:t>
      </w:r>
      <w:r>
        <w:rPr>
          <w:spacing w:val="-11"/>
          <w:sz w:val="20"/>
        </w:rPr>
        <w:t xml:space="preserve"> </w:t>
      </w:r>
      <w:r>
        <w:rPr>
          <w:sz w:val="20"/>
        </w:rPr>
        <w:t>bloqueo</w:t>
      </w:r>
    </w:p>
    <w:p w14:paraId="0FAC2744" w14:textId="77777777" w:rsidR="00467FCA" w:rsidRDefault="001B68EB">
      <w:pPr>
        <w:pStyle w:val="Textoindependiente"/>
        <w:spacing w:before="8"/>
        <w:rPr>
          <w:sz w:val="25"/>
        </w:rPr>
      </w:pPr>
      <w:r>
        <w:pict w14:anchorId="7EEA2ED8">
          <v:shape id="_x0000_s1135" style="position:absolute;margin-left:1in;margin-top:17.85pt;width:2in;height:.1pt;z-index:-251595776;mso-wrap-distance-left:0;mso-wrap-distance-right:0;mso-position-horizontal-relative:page" coordorigin="1440,357" coordsize="2880,0" path="m1440,357r2880,e" filled="f" strokeweight=".6pt">
            <v:path arrowok="t"/>
            <w10:wrap type="topAndBottom" anchorx="page"/>
          </v:shape>
        </w:pict>
      </w:r>
    </w:p>
    <w:p w14:paraId="5A6B1459" w14:textId="77777777" w:rsidR="00467FCA" w:rsidRDefault="001B68EB">
      <w:pPr>
        <w:tabs>
          <w:tab w:val="left" w:pos="839"/>
        </w:tabs>
        <w:spacing w:before="74"/>
        <w:ind w:left="118" w:right="115" w:firstLine="1"/>
        <w:jc w:val="both"/>
        <w:rPr>
          <w:sz w:val="16"/>
        </w:rPr>
      </w:pPr>
      <w:bookmarkStart w:id="441" w:name="_bookmark388"/>
      <w:bookmarkEnd w:id="441"/>
      <w:r>
        <w:rPr>
          <w:position w:val="6"/>
          <w:sz w:val="10"/>
        </w:rPr>
        <w:t>332</w:t>
      </w:r>
      <w:r>
        <w:rPr>
          <w:position w:val="6"/>
          <w:sz w:val="10"/>
        </w:rPr>
        <w:tab/>
      </w:r>
      <w:r>
        <w:rPr>
          <w:sz w:val="16"/>
        </w:rPr>
        <w:t>En cuanto al hecho de que solo 16 de las 39 personas recibieron el pago ordenado en la decisión de anticipación</w:t>
      </w:r>
      <w:r>
        <w:rPr>
          <w:spacing w:val="-6"/>
          <w:sz w:val="16"/>
        </w:rPr>
        <w:t xml:space="preserve"> </w:t>
      </w:r>
      <w:r>
        <w:rPr>
          <w:sz w:val="16"/>
        </w:rPr>
        <w:t>de</w:t>
      </w:r>
      <w:r>
        <w:rPr>
          <w:spacing w:val="-7"/>
          <w:sz w:val="16"/>
        </w:rPr>
        <w:t xml:space="preserve"> </w:t>
      </w:r>
      <w:r>
        <w:rPr>
          <w:sz w:val="16"/>
        </w:rPr>
        <w:t>tutela,</w:t>
      </w:r>
      <w:r>
        <w:rPr>
          <w:spacing w:val="-6"/>
          <w:sz w:val="16"/>
        </w:rPr>
        <w:t xml:space="preserve"> </w:t>
      </w:r>
      <w:r>
        <w:rPr>
          <w:sz w:val="16"/>
        </w:rPr>
        <w:t>la</w:t>
      </w:r>
      <w:r>
        <w:rPr>
          <w:spacing w:val="-6"/>
          <w:sz w:val="16"/>
        </w:rPr>
        <w:t xml:space="preserve"> </w:t>
      </w:r>
      <w:r>
        <w:rPr>
          <w:sz w:val="16"/>
        </w:rPr>
        <w:t>Corte</w:t>
      </w:r>
      <w:r>
        <w:rPr>
          <w:spacing w:val="-7"/>
          <w:sz w:val="16"/>
        </w:rPr>
        <w:t xml:space="preserve"> </w:t>
      </w:r>
      <w:r>
        <w:rPr>
          <w:sz w:val="16"/>
        </w:rPr>
        <w:t>no</w:t>
      </w:r>
      <w:r>
        <w:rPr>
          <w:spacing w:val="-7"/>
          <w:sz w:val="16"/>
        </w:rPr>
        <w:t xml:space="preserve"> </w:t>
      </w:r>
      <w:r>
        <w:rPr>
          <w:sz w:val="16"/>
        </w:rPr>
        <w:t>cuenta</w:t>
      </w:r>
      <w:r>
        <w:rPr>
          <w:spacing w:val="-6"/>
          <w:sz w:val="16"/>
        </w:rPr>
        <w:t xml:space="preserve"> </w:t>
      </w:r>
      <w:r>
        <w:rPr>
          <w:sz w:val="16"/>
        </w:rPr>
        <w:t>con</w:t>
      </w:r>
      <w:r>
        <w:rPr>
          <w:spacing w:val="-8"/>
          <w:sz w:val="16"/>
        </w:rPr>
        <w:t xml:space="preserve"> </w:t>
      </w:r>
      <w:r>
        <w:rPr>
          <w:sz w:val="16"/>
        </w:rPr>
        <w:t>elementos</w:t>
      </w:r>
      <w:r>
        <w:rPr>
          <w:spacing w:val="-7"/>
          <w:sz w:val="16"/>
        </w:rPr>
        <w:t xml:space="preserve"> </w:t>
      </w:r>
      <w:r>
        <w:rPr>
          <w:sz w:val="16"/>
        </w:rPr>
        <w:t>probatorios</w:t>
      </w:r>
      <w:r>
        <w:rPr>
          <w:spacing w:val="-5"/>
          <w:sz w:val="16"/>
        </w:rPr>
        <w:t xml:space="preserve"> </w:t>
      </w:r>
      <w:r>
        <w:rPr>
          <w:sz w:val="16"/>
        </w:rPr>
        <w:t>suficientes</w:t>
      </w:r>
      <w:r>
        <w:rPr>
          <w:spacing w:val="-7"/>
          <w:sz w:val="16"/>
        </w:rPr>
        <w:t xml:space="preserve"> </w:t>
      </w:r>
      <w:r>
        <w:rPr>
          <w:sz w:val="16"/>
        </w:rPr>
        <w:t>para</w:t>
      </w:r>
      <w:r>
        <w:rPr>
          <w:spacing w:val="-8"/>
          <w:sz w:val="16"/>
        </w:rPr>
        <w:t xml:space="preserve"> </w:t>
      </w:r>
      <w:r>
        <w:rPr>
          <w:sz w:val="16"/>
        </w:rPr>
        <w:t>determinar</w:t>
      </w:r>
      <w:r>
        <w:rPr>
          <w:spacing w:val="-4"/>
          <w:sz w:val="16"/>
        </w:rPr>
        <w:t xml:space="preserve"> </w:t>
      </w:r>
      <w:r>
        <w:rPr>
          <w:sz w:val="16"/>
        </w:rPr>
        <w:t>si</w:t>
      </w:r>
      <w:r>
        <w:rPr>
          <w:spacing w:val="-6"/>
          <w:sz w:val="16"/>
        </w:rPr>
        <w:t xml:space="preserve"> </w:t>
      </w:r>
      <w:r>
        <w:rPr>
          <w:sz w:val="16"/>
        </w:rPr>
        <w:t>hubo</w:t>
      </w:r>
      <w:r>
        <w:rPr>
          <w:spacing w:val="-4"/>
          <w:sz w:val="16"/>
        </w:rPr>
        <w:t xml:space="preserve"> </w:t>
      </w:r>
      <w:r>
        <w:rPr>
          <w:sz w:val="16"/>
        </w:rPr>
        <w:t>una</w:t>
      </w:r>
      <w:r>
        <w:rPr>
          <w:spacing w:val="-8"/>
          <w:sz w:val="16"/>
        </w:rPr>
        <w:t xml:space="preserve"> </w:t>
      </w:r>
      <w:r>
        <w:rPr>
          <w:sz w:val="16"/>
        </w:rPr>
        <w:t>falta</w:t>
      </w:r>
      <w:r>
        <w:rPr>
          <w:spacing w:val="-6"/>
          <w:sz w:val="16"/>
        </w:rPr>
        <w:t xml:space="preserve"> </w:t>
      </w:r>
      <w:r>
        <w:rPr>
          <w:sz w:val="16"/>
        </w:rPr>
        <w:t>de diligencia por parte del Estado en la d</w:t>
      </w:r>
      <w:r>
        <w:rPr>
          <w:sz w:val="16"/>
        </w:rPr>
        <w:t>eterminación de los</w:t>
      </w:r>
      <w:r>
        <w:rPr>
          <w:spacing w:val="-11"/>
          <w:sz w:val="16"/>
        </w:rPr>
        <w:t xml:space="preserve"> </w:t>
      </w:r>
      <w:r>
        <w:rPr>
          <w:sz w:val="16"/>
        </w:rPr>
        <w:t>beneficiarios.</w:t>
      </w:r>
    </w:p>
    <w:p w14:paraId="58F88075" w14:textId="77777777" w:rsidR="00467FCA" w:rsidRDefault="00467FCA">
      <w:pPr>
        <w:jc w:val="both"/>
        <w:rPr>
          <w:sz w:val="16"/>
        </w:rPr>
        <w:sectPr w:rsidR="00467FCA">
          <w:pgSz w:w="12240" w:h="15840"/>
          <w:pgMar w:top="1360" w:right="1320" w:bottom="1220" w:left="1320" w:header="0" w:footer="1037" w:gutter="0"/>
          <w:cols w:space="720"/>
        </w:sectPr>
      </w:pPr>
    </w:p>
    <w:p w14:paraId="5064F872" w14:textId="77777777" w:rsidR="00467FCA" w:rsidRDefault="001B68EB">
      <w:pPr>
        <w:pStyle w:val="Textoindependiente"/>
        <w:spacing w:before="80"/>
        <w:ind w:left="119" w:right="116"/>
        <w:jc w:val="both"/>
      </w:pPr>
      <w:r>
        <w:t>de los bienes de los acusados Osvaldo Prazeres Bastos y Mário Fróes Prazeres Bastos con el fin</w:t>
      </w:r>
      <w:r>
        <w:rPr>
          <w:spacing w:val="-7"/>
        </w:rPr>
        <w:t xml:space="preserve"> </w:t>
      </w:r>
      <w:r>
        <w:t>de</w:t>
      </w:r>
      <w:r>
        <w:rPr>
          <w:spacing w:val="-7"/>
        </w:rPr>
        <w:t xml:space="preserve"> </w:t>
      </w:r>
      <w:r>
        <w:t>garantizar</w:t>
      </w:r>
      <w:r>
        <w:rPr>
          <w:spacing w:val="-7"/>
        </w:rPr>
        <w:t xml:space="preserve"> </w:t>
      </w:r>
      <w:r>
        <w:t>las</w:t>
      </w:r>
      <w:r>
        <w:rPr>
          <w:spacing w:val="-5"/>
        </w:rPr>
        <w:t xml:space="preserve"> </w:t>
      </w:r>
      <w:r>
        <w:t>reparaciones</w:t>
      </w:r>
      <w:r>
        <w:rPr>
          <w:spacing w:val="-6"/>
        </w:rPr>
        <w:t xml:space="preserve"> </w:t>
      </w:r>
      <w:r>
        <w:t>de</w:t>
      </w:r>
      <w:r>
        <w:rPr>
          <w:spacing w:val="-9"/>
        </w:rPr>
        <w:t xml:space="preserve"> </w:t>
      </w:r>
      <w:r>
        <w:t>daños</w:t>
      </w:r>
      <w:r>
        <w:rPr>
          <w:spacing w:val="-6"/>
        </w:rPr>
        <w:t xml:space="preserve"> </w:t>
      </w:r>
      <w:r>
        <w:t>en</w:t>
      </w:r>
      <w:r>
        <w:rPr>
          <w:spacing w:val="-4"/>
        </w:rPr>
        <w:t xml:space="preserve"> </w:t>
      </w:r>
      <w:r>
        <w:t>favor</w:t>
      </w:r>
      <w:r>
        <w:rPr>
          <w:spacing w:val="-8"/>
        </w:rPr>
        <w:t xml:space="preserve"> </w:t>
      </w:r>
      <w:r>
        <w:t>de</w:t>
      </w:r>
      <w:r>
        <w:rPr>
          <w:spacing w:val="-9"/>
        </w:rPr>
        <w:t xml:space="preserve"> </w:t>
      </w:r>
      <w:r>
        <w:t>las</w:t>
      </w:r>
      <w:r>
        <w:rPr>
          <w:spacing w:val="-6"/>
        </w:rPr>
        <w:t xml:space="preserve"> </w:t>
      </w:r>
      <w:r>
        <w:t>víctimas.</w:t>
      </w:r>
      <w:r>
        <w:rPr>
          <w:spacing w:val="-7"/>
        </w:rPr>
        <w:t xml:space="preserve"> </w:t>
      </w:r>
      <w:r>
        <w:t>El</w:t>
      </w:r>
      <w:r>
        <w:rPr>
          <w:spacing w:val="-5"/>
        </w:rPr>
        <w:t xml:space="preserve"> </w:t>
      </w:r>
      <w:r>
        <w:t>proceso</w:t>
      </w:r>
      <w:r>
        <w:rPr>
          <w:spacing w:val="-6"/>
        </w:rPr>
        <w:t xml:space="preserve"> </w:t>
      </w:r>
      <w:r>
        <w:t>principal</w:t>
      </w:r>
      <w:r>
        <w:rPr>
          <w:spacing w:val="-5"/>
        </w:rPr>
        <w:t xml:space="preserve"> </w:t>
      </w:r>
      <w:r>
        <w:t>tuvo inicio</w:t>
      </w:r>
      <w:r>
        <w:rPr>
          <w:spacing w:val="-9"/>
        </w:rPr>
        <w:t xml:space="preserve"> </w:t>
      </w:r>
      <w:r>
        <w:t>el</w:t>
      </w:r>
      <w:r>
        <w:rPr>
          <w:spacing w:val="-9"/>
        </w:rPr>
        <w:t xml:space="preserve"> </w:t>
      </w:r>
      <w:r>
        <w:t>9</w:t>
      </w:r>
      <w:r>
        <w:rPr>
          <w:spacing w:val="-7"/>
        </w:rPr>
        <w:t xml:space="preserve"> </w:t>
      </w:r>
      <w:r>
        <w:t>de</w:t>
      </w:r>
      <w:r>
        <w:rPr>
          <w:spacing w:val="-7"/>
        </w:rPr>
        <w:t xml:space="preserve"> </w:t>
      </w:r>
      <w:r>
        <w:t>enero</w:t>
      </w:r>
      <w:r>
        <w:rPr>
          <w:spacing w:val="-9"/>
        </w:rPr>
        <w:t xml:space="preserve"> </w:t>
      </w:r>
      <w:r>
        <w:t>de</w:t>
      </w:r>
      <w:r>
        <w:rPr>
          <w:spacing w:val="-9"/>
        </w:rPr>
        <w:t xml:space="preserve"> </w:t>
      </w:r>
      <w:r>
        <w:t>1999.</w:t>
      </w:r>
      <w:r>
        <w:rPr>
          <w:spacing w:val="-8"/>
        </w:rPr>
        <w:t xml:space="preserve"> </w:t>
      </w:r>
      <w:r>
        <w:t>El</w:t>
      </w:r>
      <w:r>
        <w:rPr>
          <w:spacing w:val="-7"/>
        </w:rPr>
        <w:t xml:space="preserve"> </w:t>
      </w:r>
      <w:r>
        <w:t>Juez</w:t>
      </w:r>
      <w:r>
        <w:rPr>
          <w:spacing w:val="-7"/>
        </w:rPr>
        <w:t xml:space="preserve"> </w:t>
      </w:r>
      <w:r>
        <w:t>a</w:t>
      </w:r>
      <w:r>
        <w:rPr>
          <w:spacing w:val="-8"/>
        </w:rPr>
        <w:t xml:space="preserve"> </w:t>
      </w:r>
      <w:r>
        <w:t>cargo</w:t>
      </w:r>
      <w:r>
        <w:rPr>
          <w:spacing w:val="-9"/>
        </w:rPr>
        <w:t xml:space="preserve"> </w:t>
      </w:r>
      <w:r>
        <w:t>del</w:t>
      </w:r>
      <w:r>
        <w:rPr>
          <w:spacing w:val="-7"/>
        </w:rPr>
        <w:t xml:space="preserve"> </w:t>
      </w:r>
      <w:r>
        <w:t>proceso,</w:t>
      </w:r>
      <w:r>
        <w:rPr>
          <w:spacing w:val="-6"/>
        </w:rPr>
        <w:t xml:space="preserve"> </w:t>
      </w:r>
      <w:r>
        <w:t>ejerciendo</w:t>
      </w:r>
      <w:r>
        <w:rPr>
          <w:spacing w:val="-9"/>
        </w:rPr>
        <w:t xml:space="preserve"> </w:t>
      </w:r>
      <w:r>
        <w:t>una</w:t>
      </w:r>
      <w:r>
        <w:rPr>
          <w:spacing w:val="-5"/>
        </w:rPr>
        <w:t xml:space="preserve"> </w:t>
      </w:r>
      <w:r>
        <w:t>facultad</w:t>
      </w:r>
      <w:r>
        <w:rPr>
          <w:spacing w:val="-7"/>
        </w:rPr>
        <w:t xml:space="preserve"> </w:t>
      </w:r>
      <w:r>
        <w:t>prevista</w:t>
      </w:r>
      <w:r>
        <w:rPr>
          <w:spacing w:val="-8"/>
        </w:rPr>
        <w:t xml:space="preserve"> </w:t>
      </w:r>
      <w:r>
        <w:t>por la legislación procesal penal brasileña</w:t>
      </w:r>
      <w:hyperlink w:anchor="_bookmark390" w:history="1">
        <w:r>
          <w:rPr>
            <w:position w:val="7"/>
            <w:sz w:val="13"/>
          </w:rPr>
          <w:t>333</w:t>
        </w:r>
      </w:hyperlink>
      <w:r>
        <w:t>, suspendió el trámite de esta acción civil hasta la resolución de la acción penal, con el objetivo d</w:t>
      </w:r>
      <w:r>
        <w:t>e evitar posibles sentencias conflictivas, a ejemplo de la hipótesis de una absolución en el juicio penal con repercusiones en el juicio civil</w:t>
      </w:r>
      <w:hyperlink w:anchor="_bookmark391" w:history="1">
        <w:r>
          <w:rPr>
            <w:position w:val="7"/>
            <w:sz w:val="13"/>
          </w:rPr>
          <w:t>334</w:t>
        </w:r>
      </w:hyperlink>
      <w:r>
        <w:t>. La acción civil culminó, el 8 de octubre de 2013, con un acuerdo entre las ví</w:t>
      </w:r>
      <w:r>
        <w:t>ctimas, familiares y demandados, mediado por el Ministerio Público y homologado por el Juzgado de primera instancia el 10 de diciembre de 2013, que estableció una indemnización de aproximadamente R$ 1.280.000,00 (un millón doscientos ochenta mil reales), l</w:t>
      </w:r>
      <w:r>
        <w:t>os cuales serían repartidos entre las víctimas y familiares. Dado al incumplimiento del acuerdo por los demandados, el Ministerio Público tomó varias medidas para garantizar la ejecución. Sin embargo,</w:t>
      </w:r>
      <w:r>
        <w:rPr>
          <w:spacing w:val="-13"/>
        </w:rPr>
        <w:t xml:space="preserve"> </w:t>
      </w:r>
      <w:r>
        <w:t>solo</w:t>
      </w:r>
      <w:r>
        <w:rPr>
          <w:spacing w:val="-14"/>
        </w:rPr>
        <w:t xml:space="preserve"> </w:t>
      </w:r>
      <w:r>
        <w:t>hasta</w:t>
      </w:r>
      <w:r>
        <w:rPr>
          <w:spacing w:val="-11"/>
        </w:rPr>
        <w:t xml:space="preserve"> </w:t>
      </w:r>
      <w:r>
        <w:t>finales</w:t>
      </w:r>
      <w:r>
        <w:rPr>
          <w:spacing w:val="-13"/>
        </w:rPr>
        <w:t xml:space="preserve"> </w:t>
      </w:r>
      <w:r>
        <w:t>de</w:t>
      </w:r>
      <w:r>
        <w:rPr>
          <w:spacing w:val="-14"/>
        </w:rPr>
        <w:t xml:space="preserve"> </w:t>
      </w:r>
      <w:r>
        <w:t>marzo</w:t>
      </w:r>
      <w:r>
        <w:rPr>
          <w:spacing w:val="-15"/>
        </w:rPr>
        <w:t xml:space="preserve"> </w:t>
      </w:r>
      <w:r>
        <w:t>de</w:t>
      </w:r>
      <w:r>
        <w:rPr>
          <w:spacing w:val="-16"/>
        </w:rPr>
        <w:t xml:space="preserve"> </w:t>
      </w:r>
      <w:r>
        <w:t>2019</w:t>
      </w:r>
      <w:r>
        <w:rPr>
          <w:spacing w:val="-11"/>
        </w:rPr>
        <w:t xml:space="preserve"> </w:t>
      </w:r>
      <w:r>
        <w:t>las</w:t>
      </w:r>
      <w:r>
        <w:rPr>
          <w:spacing w:val="-16"/>
        </w:rPr>
        <w:t xml:space="preserve"> </w:t>
      </w:r>
      <w:r>
        <w:t>sumas</w:t>
      </w:r>
      <w:r>
        <w:rPr>
          <w:spacing w:val="-12"/>
        </w:rPr>
        <w:t xml:space="preserve"> </w:t>
      </w:r>
      <w:r>
        <w:t>establecidas</w:t>
      </w:r>
      <w:r>
        <w:rPr>
          <w:spacing w:val="-13"/>
        </w:rPr>
        <w:t xml:space="preserve"> </w:t>
      </w:r>
      <w:r>
        <w:t>por</w:t>
      </w:r>
      <w:r>
        <w:rPr>
          <w:spacing w:val="-14"/>
        </w:rPr>
        <w:t xml:space="preserve"> </w:t>
      </w:r>
      <w:r>
        <w:t>el</w:t>
      </w:r>
      <w:r>
        <w:rPr>
          <w:spacing w:val="-11"/>
        </w:rPr>
        <w:t xml:space="preserve"> </w:t>
      </w:r>
      <w:r>
        <w:t>acuerdo</w:t>
      </w:r>
      <w:r>
        <w:rPr>
          <w:spacing w:val="-16"/>
        </w:rPr>
        <w:t xml:space="preserve"> </w:t>
      </w:r>
      <w:r>
        <w:t>de</w:t>
      </w:r>
      <w:r>
        <w:rPr>
          <w:spacing w:val="-15"/>
        </w:rPr>
        <w:t xml:space="preserve"> </w:t>
      </w:r>
      <w:r>
        <w:t>2013, debidamente actualizadas, terminaron de ser entregadas a las víctimas, resultado de un nuevo acuerdo entre las partes, firmado en marzo de</w:t>
      </w:r>
      <w:r>
        <w:rPr>
          <w:spacing w:val="-8"/>
        </w:rPr>
        <w:t xml:space="preserve"> </w:t>
      </w:r>
      <w:r>
        <w:t>2019.</w:t>
      </w:r>
    </w:p>
    <w:p w14:paraId="4C9C157D" w14:textId="77777777" w:rsidR="00467FCA" w:rsidRDefault="00467FCA">
      <w:pPr>
        <w:pStyle w:val="Textoindependiente"/>
        <w:spacing w:before="11"/>
        <w:rPr>
          <w:sz w:val="19"/>
        </w:rPr>
      </w:pPr>
    </w:p>
    <w:p w14:paraId="1AF141B7" w14:textId="77777777" w:rsidR="00467FCA" w:rsidRDefault="001B68EB">
      <w:pPr>
        <w:pStyle w:val="Prrafodelista"/>
        <w:numPr>
          <w:ilvl w:val="0"/>
          <w:numId w:val="50"/>
        </w:numPr>
        <w:tabs>
          <w:tab w:val="left" w:pos="687"/>
        </w:tabs>
        <w:spacing w:before="1"/>
        <w:ind w:left="119" w:right="120" w:firstLine="0"/>
        <w:jc w:val="both"/>
        <w:rPr>
          <w:sz w:val="20"/>
        </w:rPr>
      </w:pPr>
      <w:r>
        <w:rPr>
          <w:sz w:val="20"/>
        </w:rPr>
        <w:t xml:space="preserve">La Corte no cuenta con elementos probatorios suficientes para determinar </w:t>
      </w:r>
      <w:r>
        <w:rPr>
          <w:sz w:val="20"/>
        </w:rPr>
        <w:t xml:space="preserve">el cumplimiento o incumplimiento del deber de debida diligencia en la acción civil </w:t>
      </w:r>
      <w:r>
        <w:rPr>
          <w:i/>
          <w:sz w:val="20"/>
        </w:rPr>
        <w:t>ex</w:t>
      </w:r>
      <w:r>
        <w:rPr>
          <w:i/>
          <w:spacing w:val="-32"/>
          <w:sz w:val="20"/>
        </w:rPr>
        <w:t xml:space="preserve"> </w:t>
      </w:r>
      <w:r>
        <w:rPr>
          <w:i/>
          <w:sz w:val="20"/>
        </w:rPr>
        <w:t>delicto</w:t>
      </w:r>
      <w:r>
        <w:rPr>
          <w:sz w:val="20"/>
        </w:rPr>
        <w:t>.</w:t>
      </w:r>
    </w:p>
    <w:p w14:paraId="3472D323" w14:textId="77777777" w:rsidR="00467FCA" w:rsidRDefault="00467FCA">
      <w:pPr>
        <w:pStyle w:val="Textoindependiente"/>
      </w:pPr>
    </w:p>
    <w:p w14:paraId="341AAE65" w14:textId="77777777" w:rsidR="00467FCA" w:rsidRDefault="001B68EB">
      <w:pPr>
        <w:pStyle w:val="Prrafodelista"/>
        <w:numPr>
          <w:ilvl w:val="0"/>
          <w:numId w:val="50"/>
        </w:numPr>
        <w:tabs>
          <w:tab w:val="left" w:pos="687"/>
        </w:tabs>
        <w:ind w:left="119" w:right="115" w:firstLine="0"/>
        <w:jc w:val="both"/>
        <w:rPr>
          <w:sz w:val="20"/>
        </w:rPr>
      </w:pPr>
      <w:r>
        <w:rPr>
          <w:sz w:val="20"/>
        </w:rPr>
        <w:t>En cuanto al trámite del proceso dentro de un plazo razonable, la Corte nota que: (i)</w:t>
      </w:r>
      <w:r>
        <w:rPr>
          <w:spacing w:val="-46"/>
          <w:sz w:val="20"/>
        </w:rPr>
        <w:t xml:space="preserve"> </w:t>
      </w:r>
      <w:r>
        <w:rPr>
          <w:sz w:val="20"/>
        </w:rPr>
        <w:t>la complejidad del asunto no puede ser invocada por las mismas razones dis</w:t>
      </w:r>
      <w:r>
        <w:rPr>
          <w:sz w:val="20"/>
        </w:rPr>
        <w:t>puestas en el análisis del proceso penal; (ii) no hay elementos suficientes en el acervo probatorio que permita</w:t>
      </w:r>
      <w:r>
        <w:rPr>
          <w:spacing w:val="-9"/>
          <w:sz w:val="20"/>
        </w:rPr>
        <w:t xml:space="preserve"> </w:t>
      </w:r>
      <w:r>
        <w:rPr>
          <w:sz w:val="20"/>
        </w:rPr>
        <w:t>a</w:t>
      </w:r>
      <w:r>
        <w:rPr>
          <w:spacing w:val="-8"/>
          <w:sz w:val="20"/>
        </w:rPr>
        <w:t xml:space="preserve"> </w:t>
      </w:r>
      <w:r>
        <w:rPr>
          <w:sz w:val="20"/>
        </w:rPr>
        <w:t>la</w:t>
      </w:r>
      <w:r>
        <w:rPr>
          <w:spacing w:val="-8"/>
          <w:sz w:val="20"/>
        </w:rPr>
        <w:t xml:space="preserve"> </w:t>
      </w:r>
      <w:r>
        <w:rPr>
          <w:sz w:val="20"/>
        </w:rPr>
        <w:t>Corte</w:t>
      </w:r>
      <w:r>
        <w:rPr>
          <w:spacing w:val="-9"/>
          <w:sz w:val="20"/>
        </w:rPr>
        <w:t xml:space="preserve"> </w:t>
      </w:r>
      <w:r>
        <w:rPr>
          <w:sz w:val="20"/>
        </w:rPr>
        <w:t>examinar</w:t>
      </w:r>
      <w:r>
        <w:rPr>
          <w:spacing w:val="-9"/>
          <w:sz w:val="20"/>
        </w:rPr>
        <w:t xml:space="preserve"> </w:t>
      </w:r>
      <w:r>
        <w:rPr>
          <w:sz w:val="20"/>
        </w:rPr>
        <w:t>la</w:t>
      </w:r>
      <w:r>
        <w:rPr>
          <w:spacing w:val="-8"/>
          <w:sz w:val="20"/>
        </w:rPr>
        <w:t xml:space="preserve"> </w:t>
      </w:r>
      <w:r>
        <w:rPr>
          <w:sz w:val="20"/>
        </w:rPr>
        <w:t>actividad</w:t>
      </w:r>
      <w:r>
        <w:rPr>
          <w:spacing w:val="-7"/>
          <w:sz w:val="20"/>
        </w:rPr>
        <w:t xml:space="preserve"> </w:t>
      </w:r>
      <w:r>
        <w:rPr>
          <w:sz w:val="20"/>
        </w:rPr>
        <w:t>procesal</w:t>
      </w:r>
      <w:r>
        <w:rPr>
          <w:spacing w:val="-8"/>
          <w:sz w:val="20"/>
        </w:rPr>
        <w:t xml:space="preserve"> </w:t>
      </w:r>
      <w:r>
        <w:rPr>
          <w:sz w:val="20"/>
        </w:rPr>
        <w:t>de</w:t>
      </w:r>
      <w:r>
        <w:rPr>
          <w:spacing w:val="-9"/>
          <w:sz w:val="20"/>
        </w:rPr>
        <w:t xml:space="preserve"> </w:t>
      </w:r>
      <w:r>
        <w:rPr>
          <w:sz w:val="20"/>
        </w:rPr>
        <w:t>los</w:t>
      </w:r>
      <w:r>
        <w:rPr>
          <w:spacing w:val="-9"/>
          <w:sz w:val="20"/>
        </w:rPr>
        <w:t xml:space="preserve"> </w:t>
      </w:r>
      <w:r>
        <w:rPr>
          <w:sz w:val="20"/>
        </w:rPr>
        <w:t>interesados</w:t>
      </w:r>
      <w:r>
        <w:rPr>
          <w:spacing w:val="-9"/>
          <w:sz w:val="20"/>
        </w:rPr>
        <w:t xml:space="preserve"> </w:t>
      </w:r>
      <w:r>
        <w:rPr>
          <w:sz w:val="20"/>
        </w:rPr>
        <w:t>y,</w:t>
      </w:r>
      <w:r>
        <w:rPr>
          <w:spacing w:val="-8"/>
          <w:sz w:val="20"/>
        </w:rPr>
        <w:t xml:space="preserve"> </w:t>
      </w:r>
      <w:r>
        <w:rPr>
          <w:sz w:val="20"/>
        </w:rPr>
        <w:t>además,</w:t>
      </w:r>
      <w:r>
        <w:rPr>
          <w:spacing w:val="-8"/>
          <w:sz w:val="20"/>
        </w:rPr>
        <w:t xml:space="preserve"> </w:t>
      </w:r>
      <w:r>
        <w:rPr>
          <w:sz w:val="20"/>
        </w:rPr>
        <w:t>la</w:t>
      </w:r>
      <w:r>
        <w:rPr>
          <w:spacing w:val="-8"/>
          <w:sz w:val="20"/>
        </w:rPr>
        <w:t xml:space="preserve"> </w:t>
      </w:r>
      <w:r>
        <w:rPr>
          <w:sz w:val="20"/>
        </w:rPr>
        <w:t>acción</w:t>
      </w:r>
      <w:r>
        <w:rPr>
          <w:spacing w:val="-7"/>
          <w:sz w:val="20"/>
        </w:rPr>
        <w:t xml:space="preserve"> </w:t>
      </w:r>
      <w:r>
        <w:rPr>
          <w:sz w:val="20"/>
        </w:rPr>
        <w:t xml:space="preserve">civil </w:t>
      </w:r>
      <w:r>
        <w:rPr>
          <w:i/>
          <w:sz w:val="20"/>
        </w:rPr>
        <w:t xml:space="preserve">ex delicto </w:t>
      </w:r>
      <w:r>
        <w:rPr>
          <w:sz w:val="20"/>
        </w:rPr>
        <w:t xml:space="preserve">fue presentada por el Ministerio Público, de </w:t>
      </w:r>
      <w:r>
        <w:rPr>
          <w:sz w:val="20"/>
        </w:rPr>
        <w:t>modo que de dicho órgano estatal dependía</w:t>
      </w:r>
      <w:r>
        <w:rPr>
          <w:spacing w:val="-17"/>
          <w:sz w:val="20"/>
        </w:rPr>
        <w:t xml:space="preserve"> </w:t>
      </w:r>
      <w:r>
        <w:rPr>
          <w:sz w:val="20"/>
        </w:rPr>
        <w:t>el</w:t>
      </w:r>
      <w:r>
        <w:rPr>
          <w:spacing w:val="-16"/>
          <w:sz w:val="20"/>
        </w:rPr>
        <w:t xml:space="preserve"> </w:t>
      </w:r>
      <w:r>
        <w:rPr>
          <w:sz w:val="20"/>
        </w:rPr>
        <w:t>impulso</w:t>
      </w:r>
      <w:r>
        <w:rPr>
          <w:spacing w:val="-17"/>
          <w:sz w:val="20"/>
        </w:rPr>
        <w:t xml:space="preserve"> </w:t>
      </w:r>
      <w:r>
        <w:rPr>
          <w:sz w:val="20"/>
        </w:rPr>
        <w:t>del</w:t>
      </w:r>
      <w:r>
        <w:rPr>
          <w:spacing w:val="-14"/>
          <w:sz w:val="20"/>
        </w:rPr>
        <w:t xml:space="preserve"> </w:t>
      </w:r>
      <w:r>
        <w:rPr>
          <w:sz w:val="20"/>
        </w:rPr>
        <w:t>proceso;</w:t>
      </w:r>
      <w:r>
        <w:rPr>
          <w:spacing w:val="-15"/>
          <w:sz w:val="20"/>
        </w:rPr>
        <w:t xml:space="preserve"> </w:t>
      </w:r>
      <w:r>
        <w:rPr>
          <w:sz w:val="20"/>
        </w:rPr>
        <w:t>(iii)</w:t>
      </w:r>
      <w:r>
        <w:rPr>
          <w:spacing w:val="-17"/>
          <w:sz w:val="20"/>
        </w:rPr>
        <w:t xml:space="preserve"> </w:t>
      </w:r>
      <w:r>
        <w:rPr>
          <w:sz w:val="20"/>
        </w:rPr>
        <w:t>en</w:t>
      </w:r>
      <w:r>
        <w:rPr>
          <w:spacing w:val="-15"/>
          <w:sz w:val="20"/>
        </w:rPr>
        <w:t xml:space="preserve"> </w:t>
      </w:r>
      <w:r>
        <w:rPr>
          <w:sz w:val="20"/>
        </w:rPr>
        <w:t>relación</w:t>
      </w:r>
      <w:r>
        <w:rPr>
          <w:spacing w:val="-14"/>
          <w:sz w:val="20"/>
        </w:rPr>
        <w:t xml:space="preserve"> </w:t>
      </w:r>
      <w:r>
        <w:rPr>
          <w:sz w:val="20"/>
        </w:rPr>
        <w:t>con</w:t>
      </w:r>
      <w:r>
        <w:rPr>
          <w:spacing w:val="-15"/>
          <w:sz w:val="20"/>
        </w:rPr>
        <w:t xml:space="preserve"> </w:t>
      </w:r>
      <w:r>
        <w:rPr>
          <w:sz w:val="20"/>
        </w:rPr>
        <w:t>la</w:t>
      </w:r>
      <w:r>
        <w:rPr>
          <w:spacing w:val="-17"/>
          <w:sz w:val="20"/>
        </w:rPr>
        <w:t xml:space="preserve"> </w:t>
      </w:r>
      <w:r>
        <w:rPr>
          <w:sz w:val="20"/>
        </w:rPr>
        <w:t>conducta</w:t>
      </w:r>
      <w:r>
        <w:rPr>
          <w:spacing w:val="-16"/>
          <w:sz w:val="20"/>
        </w:rPr>
        <w:t xml:space="preserve"> </w:t>
      </w:r>
      <w:r>
        <w:rPr>
          <w:sz w:val="20"/>
        </w:rPr>
        <w:t>de</w:t>
      </w:r>
      <w:r>
        <w:rPr>
          <w:spacing w:val="-17"/>
          <w:sz w:val="20"/>
        </w:rPr>
        <w:t xml:space="preserve"> </w:t>
      </w:r>
      <w:r>
        <w:rPr>
          <w:sz w:val="20"/>
        </w:rPr>
        <w:t>las</w:t>
      </w:r>
      <w:r>
        <w:rPr>
          <w:spacing w:val="-17"/>
          <w:sz w:val="20"/>
        </w:rPr>
        <w:t xml:space="preserve"> </w:t>
      </w:r>
      <w:r>
        <w:rPr>
          <w:sz w:val="20"/>
        </w:rPr>
        <w:t>autoridades</w:t>
      </w:r>
      <w:r>
        <w:rPr>
          <w:spacing w:val="-18"/>
          <w:sz w:val="20"/>
        </w:rPr>
        <w:t xml:space="preserve"> </w:t>
      </w:r>
      <w:r>
        <w:rPr>
          <w:sz w:val="20"/>
        </w:rPr>
        <w:t>judiciales, la Corte verificó una demora excesiva y no justificada entre la decisión penal (2010) y el primer acuerdo firmado (2013), así como entre este acuerdo y los últimos pagos efectuados para reparar a las presuntas víctimas (2019), y (iv) en cuanto</w:t>
      </w:r>
      <w:r>
        <w:rPr>
          <w:spacing w:val="-51"/>
          <w:sz w:val="20"/>
        </w:rPr>
        <w:t xml:space="preserve"> </w:t>
      </w:r>
      <w:r>
        <w:rPr>
          <w:sz w:val="20"/>
        </w:rPr>
        <w:t>a la afectación generada en la situación jurídica de las presuntas víctimas, la Corte considera que el transcurso de más de 20 años para que las presuntas víctimas pudieran acceder a un monto indemnizatorio, que era lo que se buscaba con el proceso civil b</w:t>
      </w:r>
      <w:r>
        <w:rPr>
          <w:sz w:val="20"/>
        </w:rPr>
        <w:t>ajo análisis, afectó a las presuntas víctimas y a sus familiares de forma muy relevante, pues vivían en un contexto de pobreza y discriminación,</w:t>
      </w:r>
      <w:r>
        <w:rPr>
          <w:spacing w:val="-7"/>
          <w:sz w:val="20"/>
        </w:rPr>
        <w:t xml:space="preserve"> </w:t>
      </w:r>
      <w:r>
        <w:rPr>
          <w:sz w:val="20"/>
        </w:rPr>
        <w:t>lo</w:t>
      </w:r>
      <w:r>
        <w:rPr>
          <w:spacing w:val="-8"/>
          <w:sz w:val="20"/>
        </w:rPr>
        <w:t xml:space="preserve"> </w:t>
      </w:r>
      <w:r>
        <w:rPr>
          <w:sz w:val="20"/>
        </w:rPr>
        <w:t>que</w:t>
      </w:r>
      <w:r>
        <w:rPr>
          <w:spacing w:val="-4"/>
          <w:sz w:val="20"/>
        </w:rPr>
        <w:t xml:space="preserve"> </w:t>
      </w:r>
      <w:r>
        <w:rPr>
          <w:sz w:val="20"/>
        </w:rPr>
        <w:t>resultó</w:t>
      </w:r>
      <w:r>
        <w:rPr>
          <w:spacing w:val="-8"/>
          <w:sz w:val="20"/>
        </w:rPr>
        <w:t xml:space="preserve"> </w:t>
      </w:r>
      <w:r>
        <w:rPr>
          <w:sz w:val="20"/>
        </w:rPr>
        <w:t>en</w:t>
      </w:r>
      <w:r>
        <w:rPr>
          <w:spacing w:val="-5"/>
          <w:sz w:val="20"/>
        </w:rPr>
        <w:t xml:space="preserve"> </w:t>
      </w:r>
      <w:r>
        <w:rPr>
          <w:sz w:val="20"/>
        </w:rPr>
        <w:t>que</w:t>
      </w:r>
      <w:r>
        <w:rPr>
          <w:spacing w:val="-7"/>
          <w:sz w:val="20"/>
        </w:rPr>
        <w:t xml:space="preserve"> </w:t>
      </w:r>
      <w:r>
        <w:rPr>
          <w:sz w:val="20"/>
        </w:rPr>
        <w:t>no</w:t>
      </w:r>
      <w:r>
        <w:rPr>
          <w:spacing w:val="-7"/>
          <w:sz w:val="20"/>
        </w:rPr>
        <w:t xml:space="preserve"> </w:t>
      </w:r>
      <w:r>
        <w:rPr>
          <w:sz w:val="20"/>
        </w:rPr>
        <w:t>disponían</w:t>
      </w:r>
      <w:r>
        <w:rPr>
          <w:spacing w:val="-5"/>
          <w:sz w:val="20"/>
        </w:rPr>
        <w:t xml:space="preserve"> </w:t>
      </w:r>
      <w:r>
        <w:rPr>
          <w:sz w:val="20"/>
        </w:rPr>
        <w:t>de</w:t>
      </w:r>
      <w:r>
        <w:rPr>
          <w:spacing w:val="-7"/>
          <w:sz w:val="20"/>
        </w:rPr>
        <w:t xml:space="preserve"> </w:t>
      </w:r>
      <w:r>
        <w:rPr>
          <w:sz w:val="20"/>
        </w:rPr>
        <w:t>los</w:t>
      </w:r>
      <w:r>
        <w:rPr>
          <w:spacing w:val="-7"/>
          <w:sz w:val="20"/>
        </w:rPr>
        <w:t xml:space="preserve"> </w:t>
      </w:r>
      <w:r>
        <w:rPr>
          <w:sz w:val="20"/>
        </w:rPr>
        <w:t>medios</w:t>
      </w:r>
      <w:r>
        <w:rPr>
          <w:spacing w:val="-4"/>
          <w:sz w:val="20"/>
        </w:rPr>
        <w:t xml:space="preserve"> </w:t>
      </w:r>
      <w:r>
        <w:rPr>
          <w:sz w:val="20"/>
        </w:rPr>
        <w:t>económicos</w:t>
      </w:r>
      <w:r>
        <w:rPr>
          <w:spacing w:val="-5"/>
          <w:sz w:val="20"/>
        </w:rPr>
        <w:t xml:space="preserve"> </w:t>
      </w:r>
      <w:r>
        <w:rPr>
          <w:sz w:val="20"/>
        </w:rPr>
        <w:t>suficientes</w:t>
      </w:r>
      <w:r>
        <w:rPr>
          <w:spacing w:val="-7"/>
          <w:sz w:val="20"/>
        </w:rPr>
        <w:t xml:space="preserve"> </w:t>
      </w:r>
      <w:r>
        <w:rPr>
          <w:sz w:val="20"/>
        </w:rPr>
        <w:t>para cubrir los gastos que los tratamie</w:t>
      </w:r>
      <w:r>
        <w:rPr>
          <w:sz w:val="20"/>
        </w:rPr>
        <w:t>ntos médicos y psicológicos implicaban, incluso los destinados a tratar las distintas secuelas de la explosión en los sobrevivientes. Ante el expuesto, el Tribunal estima que las autoridades judiciales no garantizaron los medios, ni tomaron las medidas con</w:t>
      </w:r>
      <w:r>
        <w:rPr>
          <w:sz w:val="20"/>
        </w:rPr>
        <w:t>ducentes para lograr la reparación adecuada en tiempo</w:t>
      </w:r>
      <w:r>
        <w:rPr>
          <w:spacing w:val="-33"/>
          <w:sz w:val="20"/>
        </w:rPr>
        <w:t xml:space="preserve"> </w:t>
      </w:r>
      <w:r>
        <w:rPr>
          <w:sz w:val="20"/>
        </w:rPr>
        <w:t>razonable.</w:t>
      </w:r>
    </w:p>
    <w:p w14:paraId="7EA139DF" w14:textId="77777777" w:rsidR="00467FCA" w:rsidRDefault="00467FCA">
      <w:pPr>
        <w:pStyle w:val="Textoindependiente"/>
        <w:spacing w:before="2"/>
      </w:pPr>
    </w:p>
    <w:p w14:paraId="0A361068" w14:textId="77777777" w:rsidR="00467FCA" w:rsidRDefault="001B68EB">
      <w:pPr>
        <w:pStyle w:val="Ttulo2"/>
        <w:numPr>
          <w:ilvl w:val="2"/>
          <w:numId w:val="39"/>
        </w:numPr>
        <w:tabs>
          <w:tab w:val="left" w:pos="1488"/>
        </w:tabs>
        <w:ind w:left="1487"/>
      </w:pPr>
      <w:bookmarkStart w:id="442" w:name="B.1.3_Los_procesos_laborales"/>
      <w:bookmarkStart w:id="443" w:name="_bookmark389"/>
      <w:bookmarkEnd w:id="442"/>
      <w:bookmarkEnd w:id="443"/>
      <w:r>
        <w:t>Los procesos</w:t>
      </w:r>
      <w:r>
        <w:rPr>
          <w:spacing w:val="-1"/>
        </w:rPr>
        <w:t xml:space="preserve"> </w:t>
      </w:r>
      <w:r>
        <w:t>laborales</w:t>
      </w:r>
    </w:p>
    <w:p w14:paraId="57202AF0" w14:textId="77777777" w:rsidR="00467FCA" w:rsidRDefault="00467FCA">
      <w:pPr>
        <w:pStyle w:val="Textoindependiente"/>
        <w:spacing w:before="11"/>
        <w:rPr>
          <w:b/>
          <w:i/>
          <w:sz w:val="19"/>
        </w:rPr>
      </w:pPr>
    </w:p>
    <w:p w14:paraId="081C2C22" w14:textId="77777777" w:rsidR="00467FCA" w:rsidRDefault="001B68EB">
      <w:pPr>
        <w:pStyle w:val="Prrafodelista"/>
        <w:numPr>
          <w:ilvl w:val="0"/>
          <w:numId w:val="50"/>
        </w:numPr>
        <w:tabs>
          <w:tab w:val="left" w:pos="686"/>
        </w:tabs>
        <w:ind w:left="119" w:right="119" w:firstLine="0"/>
        <w:jc w:val="both"/>
        <w:rPr>
          <w:sz w:val="20"/>
        </w:rPr>
      </w:pPr>
      <w:r>
        <w:rPr>
          <w:sz w:val="20"/>
        </w:rPr>
        <w:t>En</w:t>
      </w:r>
      <w:r>
        <w:rPr>
          <w:spacing w:val="-7"/>
          <w:sz w:val="20"/>
        </w:rPr>
        <w:t xml:space="preserve"> </w:t>
      </w:r>
      <w:r>
        <w:rPr>
          <w:sz w:val="20"/>
        </w:rPr>
        <w:t>el</w:t>
      </w:r>
      <w:r>
        <w:rPr>
          <w:spacing w:val="-8"/>
          <w:sz w:val="20"/>
        </w:rPr>
        <w:t xml:space="preserve"> </w:t>
      </w:r>
      <w:r>
        <w:rPr>
          <w:sz w:val="20"/>
        </w:rPr>
        <w:t>ámbito</w:t>
      </w:r>
      <w:r>
        <w:rPr>
          <w:spacing w:val="-8"/>
          <w:sz w:val="20"/>
        </w:rPr>
        <w:t xml:space="preserve"> </w:t>
      </w:r>
      <w:r>
        <w:rPr>
          <w:sz w:val="20"/>
        </w:rPr>
        <w:t>laboral,</w:t>
      </w:r>
      <w:r>
        <w:rPr>
          <w:spacing w:val="-6"/>
          <w:sz w:val="20"/>
        </w:rPr>
        <w:t xml:space="preserve"> </w:t>
      </w:r>
      <w:r>
        <w:rPr>
          <w:sz w:val="20"/>
        </w:rPr>
        <w:t>durante</w:t>
      </w:r>
      <w:r>
        <w:rPr>
          <w:spacing w:val="-9"/>
          <w:sz w:val="20"/>
        </w:rPr>
        <w:t xml:space="preserve"> </w:t>
      </w:r>
      <w:r>
        <w:rPr>
          <w:sz w:val="20"/>
        </w:rPr>
        <w:t>los</w:t>
      </w:r>
      <w:r>
        <w:rPr>
          <w:spacing w:val="-8"/>
          <w:sz w:val="20"/>
        </w:rPr>
        <w:t xml:space="preserve"> </w:t>
      </w:r>
      <w:r>
        <w:rPr>
          <w:sz w:val="20"/>
        </w:rPr>
        <w:t>años</w:t>
      </w:r>
      <w:r>
        <w:rPr>
          <w:spacing w:val="-8"/>
          <w:sz w:val="20"/>
        </w:rPr>
        <w:t xml:space="preserve"> </w:t>
      </w:r>
      <w:r>
        <w:rPr>
          <w:sz w:val="20"/>
        </w:rPr>
        <w:t>2000</w:t>
      </w:r>
      <w:r>
        <w:rPr>
          <w:spacing w:val="-4"/>
          <w:sz w:val="20"/>
        </w:rPr>
        <w:t xml:space="preserve"> </w:t>
      </w:r>
      <w:r>
        <w:rPr>
          <w:sz w:val="20"/>
        </w:rPr>
        <w:t>y</w:t>
      </w:r>
      <w:r>
        <w:rPr>
          <w:spacing w:val="-8"/>
          <w:sz w:val="20"/>
        </w:rPr>
        <w:t xml:space="preserve"> </w:t>
      </w:r>
      <w:r>
        <w:rPr>
          <w:sz w:val="20"/>
        </w:rPr>
        <w:t>2001,</w:t>
      </w:r>
      <w:r>
        <w:rPr>
          <w:spacing w:val="-8"/>
          <w:sz w:val="20"/>
        </w:rPr>
        <w:t xml:space="preserve"> </w:t>
      </w:r>
      <w:r>
        <w:rPr>
          <w:sz w:val="20"/>
        </w:rPr>
        <w:t>se</w:t>
      </w:r>
      <w:r>
        <w:rPr>
          <w:spacing w:val="-8"/>
          <w:sz w:val="20"/>
        </w:rPr>
        <w:t xml:space="preserve"> </w:t>
      </w:r>
      <w:r>
        <w:rPr>
          <w:sz w:val="20"/>
        </w:rPr>
        <w:t>presentaron</w:t>
      </w:r>
      <w:r>
        <w:rPr>
          <w:spacing w:val="-7"/>
          <w:sz w:val="20"/>
        </w:rPr>
        <w:t xml:space="preserve"> </w:t>
      </w:r>
      <w:r>
        <w:rPr>
          <w:sz w:val="20"/>
        </w:rPr>
        <w:t>76</w:t>
      </w:r>
      <w:r>
        <w:rPr>
          <w:spacing w:val="-5"/>
          <w:sz w:val="20"/>
        </w:rPr>
        <w:t xml:space="preserve"> </w:t>
      </w:r>
      <w:r>
        <w:rPr>
          <w:sz w:val="20"/>
        </w:rPr>
        <w:t>procesos</w:t>
      </w:r>
      <w:r>
        <w:rPr>
          <w:spacing w:val="-8"/>
          <w:sz w:val="20"/>
        </w:rPr>
        <w:t xml:space="preserve"> </w:t>
      </w:r>
      <w:r>
        <w:rPr>
          <w:sz w:val="20"/>
        </w:rPr>
        <w:t>ante</w:t>
      </w:r>
      <w:r>
        <w:rPr>
          <w:spacing w:val="-9"/>
          <w:sz w:val="20"/>
        </w:rPr>
        <w:t xml:space="preserve"> </w:t>
      </w:r>
      <w:r>
        <w:rPr>
          <w:sz w:val="20"/>
        </w:rPr>
        <w:t>la Justicia de Trabajo de Santo Antônio de Jesus, de los cuales 30 fueron archivados definitivamente y otros 46 fueron declarados improcedentes en primera instancia. Frente a las</w:t>
      </w:r>
      <w:r>
        <w:rPr>
          <w:spacing w:val="-7"/>
          <w:sz w:val="20"/>
        </w:rPr>
        <w:t xml:space="preserve"> </w:t>
      </w:r>
      <w:r>
        <w:rPr>
          <w:sz w:val="20"/>
        </w:rPr>
        <w:t>resoluciones</w:t>
      </w:r>
      <w:r>
        <w:rPr>
          <w:spacing w:val="-9"/>
          <w:sz w:val="20"/>
        </w:rPr>
        <w:t xml:space="preserve"> </w:t>
      </w:r>
      <w:r>
        <w:rPr>
          <w:sz w:val="20"/>
        </w:rPr>
        <w:t>que</w:t>
      </w:r>
      <w:r>
        <w:rPr>
          <w:spacing w:val="-10"/>
          <w:sz w:val="20"/>
        </w:rPr>
        <w:t xml:space="preserve"> </w:t>
      </w:r>
      <w:r>
        <w:rPr>
          <w:sz w:val="20"/>
        </w:rPr>
        <w:t>declararon</w:t>
      </w:r>
      <w:r>
        <w:rPr>
          <w:spacing w:val="-7"/>
          <w:sz w:val="20"/>
        </w:rPr>
        <w:t xml:space="preserve"> </w:t>
      </w:r>
      <w:r>
        <w:rPr>
          <w:sz w:val="20"/>
        </w:rPr>
        <w:t>improcedentes</w:t>
      </w:r>
      <w:r>
        <w:rPr>
          <w:spacing w:val="-7"/>
          <w:sz w:val="20"/>
        </w:rPr>
        <w:t xml:space="preserve"> </w:t>
      </w:r>
      <w:r>
        <w:rPr>
          <w:sz w:val="20"/>
        </w:rPr>
        <w:t>las</w:t>
      </w:r>
      <w:r>
        <w:rPr>
          <w:spacing w:val="-9"/>
          <w:sz w:val="20"/>
        </w:rPr>
        <w:t xml:space="preserve"> </w:t>
      </w:r>
      <w:r>
        <w:rPr>
          <w:sz w:val="20"/>
        </w:rPr>
        <w:t>demandas,</w:t>
      </w:r>
      <w:r>
        <w:rPr>
          <w:spacing w:val="-4"/>
          <w:sz w:val="20"/>
        </w:rPr>
        <w:t xml:space="preserve"> </w:t>
      </w:r>
      <w:r>
        <w:rPr>
          <w:sz w:val="20"/>
        </w:rPr>
        <w:t>se</w:t>
      </w:r>
      <w:r>
        <w:rPr>
          <w:spacing w:val="-8"/>
          <w:sz w:val="20"/>
        </w:rPr>
        <w:t xml:space="preserve"> </w:t>
      </w:r>
      <w:r>
        <w:rPr>
          <w:sz w:val="20"/>
        </w:rPr>
        <w:t>interpuso</w:t>
      </w:r>
      <w:r>
        <w:rPr>
          <w:spacing w:val="-7"/>
          <w:sz w:val="20"/>
        </w:rPr>
        <w:t xml:space="preserve"> </w:t>
      </w:r>
      <w:r>
        <w:rPr>
          <w:sz w:val="20"/>
        </w:rPr>
        <w:t>recurso</w:t>
      </w:r>
      <w:r>
        <w:rPr>
          <w:spacing w:val="-5"/>
          <w:sz w:val="20"/>
        </w:rPr>
        <w:t xml:space="preserve"> </w:t>
      </w:r>
      <w:r>
        <w:rPr>
          <w:sz w:val="20"/>
        </w:rPr>
        <w:t>ordinario, producto del cual el Tribunal Regional de Trabajo de la Quinta Región, dando la razón a las víctimas,</w:t>
      </w:r>
      <w:r>
        <w:rPr>
          <w:spacing w:val="-6"/>
          <w:sz w:val="20"/>
        </w:rPr>
        <w:t xml:space="preserve"> </w:t>
      </w:r>
      <w:r>
        <w:rPr>
          <w:sz w:val="20"/>
        </w:rPr>
        <w:t>ordenó</w:t>
      </w:r>
      <w:r>
        <w:rPr>
          <w:spacing w:val="-8"/>
          <w:sz w:val="20"/>
        </w:rPr>
        <w:t xml:space="preserve"> </w:t>
      </w:r>
      <w:r>
        <w:rPr>
          <w:sz w:val="20"/>
        </w:rPr>
        <w:t>un</w:t>
      </w:r>
      <w:r>
        <w:rPr>
          <w:spacing w:val="-5"/>
          <w:sz w:val="20"/>
        </w:rPr>
        <w:t xml:space="preserve"> </w:t>
      </w:r>
      <w:r>
        <w:rPr>
          <w:sz w:val="20"/>
        </w:rPr>
        <w:t>nuevo</w:t>
      </w:r>
      <w:r>
        <w:rPr>
          <w:spacing w:val="-8"/>
          <w:sz w:val="20"/>
        </w:rPr>
        <w:t xml:space="preserve"> </w:t>
      </w:r>
      <w:r>
        <w:rPr>
          <w:sz w:val="20"/>
        </w:rPr>
        <w:t>pronunciamiento.</w:t>
      </w:r>
      <w:r>
        <w:rPr>
          <w:spacing w:val="-7"/>
          <w:sz w:val="20"/>
        </w:rPr>
        <w:t xml:space="preserve"> </w:t>
      </w:r>
      <w:r>
        <w:rPr>
          <w:sz w:val="20"/>
        </w:rPr>
        <w:t>Las</w:t>
      </w:r>
      <w:r>
        <w:rPr>
          <w:spacing w:val="-8"/>
          <w:sz w:val="20"/>
        </w:rPr>
        <w:t xml:space="preserve"> </w:t>
      </w:r>
      <w:r>
        <w:rPr>
          <w:sz w:val="20"/>
        </w:rPr>
        <w:t>nuevas</w:t>
      </w:r>
      <w:r>
        <w:rPr>
          <w:spacing w:val="-5"/>
          <w:sz w:val="20"/>
        </w:rPr>
        <w:t xml:space="preserve"> </w:t>
      </w:r>
      <w:r>
        <w:rPr>
          <w:sz w:val="20"/>
        </w:rPr>
        <w:t>resoluciones</w:t>
      </w:r>
      <w:r>
        <w:rPr>
          <w:spacing w:val="-8"/>
          <w:sz w:val="20"/>
        </w:rPr>
        <w:t xml:space="preserve"> </w:t>
      </w:r>
      <w:r>
        <w:rPr>
          <w:sz w:val="20"/>
        </w:rPr>
        <w:t>reconocieron</w:t>
      </w:r>
      <w:r>
        <w:rPr>
          <w:spacing w:val="-6"/>
          <w:sz w:val="20"/>
        </w:rPr>
        <w:t xml:space="preserve"> </w:t>
      </w:r>
      <w:r>
        <w:rPr>
          <w:sz w:val="20"/>
        </w:rPr>
        <w:t>el</w:t>
      </w:r>
      <w:r>
        <w:rPr>
          <w:spacing w:val="-4"/>
          <w:sz w:val="20"/>
        </w:rPr>
        <w:t xml:space="preserve"> </w:t>
      </w:r>
      <w:r>
        <w:rPr>
          <w:sz w:val="20"/>
        </w:rPr>
        <w:t>vínculo laboral de las víctimas con Mário Fróes Prazeres Bastos, de mo</w:t>
      </w:r>
      <w:r>
        <w:rPr>
          <w:sz w:val="20"/>
        </w:rPr>
        <w:t>do que 18 acciones fueron declaradas parcialmente procedentes y una totalmente procedente. De esas, seis siguen</w:t>
      </w:r>
      <w:r>
        <w:rPr>
          <w:spacing w:val="-22"/>
          <w:sz w:val="20"/>
        </w:rPr>
        <w:t xml:space="preserve"> </w:t>
      </w:r>
      <w:r>
        <w:rPr>
          <w:sz w:val="20"/>
        </w:rPr>
        <w:t>con</w:t>
      </w:r>
    </w:p>
    <w:p w14:paraId="3BD5B9E4" w14:textId="77777777" w:rsidR="00467FCA" w:rsidRDefault="00467FCA">
      <w:pPr>
        <w:pStyle w:val="Textoindependiente"/>
      </w:pPr>
    </w:p>
    <w:p w14:paraId="114939BF" w14:textId="77777777" w:rsidR="00467FCA" w:rsidRDefault="00467FCA">
      <w:pPr>
        <w:pStyle w:val="Textoindependiente"/>
      </w:pPr>
    </w:p>
    <w:p w14:paraId="413906AA" w14:textId="77777777" w:rsidR="00467FCA" w:rsidRDefault="00467FCA">
      <w:pPr>
        <w:pStyle w:val="Textoindependiente"/>
        <w:spacing w:before="3"/>
        <w:rPr>
          <w:sz w:val="18"/>
        </w:rPr>
      </w:pPr>
    </w:p>
    <w:p w14:paraId="43C17D07" w14:textId="77777777" w:rsidR="00467FCA" w:rsidRDefault="001B68EB">
      <w:pPr>
        <w:tabs>
          <w:tab w:val="left" w:pos="839"/>
        </w:tabs>
        <w:spacing w:before="1"/>
        <w:ind w:left="120"/>
        <w:rPr>
          <w:sz w:val="16"/>
        </w:rPr>
      </w:pPr>
      <w:bookmarkStart w:id="444" w:name="_bookmark390"/>
      <w:bookmarkEnd w:id="444"/>
      <w:r>
        <w:rPr>
          <w:position w:val="6"/>
          <w:sz w:val="10"/>
        </w:rPr>
        <w:t>333</w:t>
      </w:r>
      <w:r>
        <w:rPr>
          <w:position w:val="6"/>
          <w:sz w:val="10"/>
        </w:rPr>
        <w:tab/>
      </w:r>
      <w:r>
        <w:rPr>
          <w:i/>
          <w:sz w:val="16"/>
        </w:rPr>
        <w:t xml:space="preserve">Cfr. Código de Proceso Penal brasileño, </w:t>
      </w:r>
      <w:r>
        <w:rPr>
          <w:sz w:val="16"/>
        </w:rPr>
        <w:t>artículo 64, párrafo</w:t>
      </w:r>
      <w:r>
        <w:rPr>
          <w:spacing w:val="-13"/>
          <w:sz w:val="16"/>
        </w:rPr>
        <w:t xml:space="preserve"> </w:t>
      </w:r>
      <w:r>
        <w:rPr>
          <w:sz w:val="16"/>
        </w:rPr>
        <w:t>único.</w:t>
      </w:r>
    </w:p>
    <w:p w14:paraId="70E64424" w14:textId="77777777" w:rsidR="00467FCA" w:rsidRDefault="001B68EB">
      <w:pPr>
        <w:tabs>
          <w:tab w:val="left" w:pos="839"/>
        </w:tabs>
        <w:ind w:left="120" w:right="116" w:hanging="1"/>
        <w:rPr>
          <w:sz w:val="16"/>
        </w:rPr>
      </w:pPr>
      <w:bookmarkStart w:id="445" w:name="_bookmark391"/>
      <w:bookmarkEnd w:id="445"/>
      <w:r>
        <w:rPr>
          <w:position w:val="6"/>
          <w:sz w:val="10"/>
        </w:rPr>
        <w:t>334</w:t>
      </w:r>
      <w:r>
        <w:rPr>
          <w:position w:val="6"/>
          <w:sz w:val="10"/>
        </w:rPr>
        <w:tab/>
      </w:r>
      <w:r>
        <w:rPr>
          <w:i/>
          <w:sz w:val="16"/>
        </w:rPr>
        <w:t>Cfr.</w:t>
      </w:r>
      <w:r>
        <w:rPr>
          <w:i/>
          <w:spacing w:val="-16"/>
          <w:sz w:val="16"/>
        </w:rPr>
        <w:t xml:space="preserve"> </w:t>
      </w:r>
      <w:r>
        <w:rPr>
          <w:sz w:val="16"/>
        </w:rPr>
        <w:t>Declaración</w:t>
      </w:r>
      <w:r>
        <w:rPr>
          <w:spacing w:val="-16"/>
          <w:sz w:val="16"/>
        </w:rPr>
        <w:t xml:space="preserve"> </w:t>
      </w:r>
      <w:r>
        <w:rPr>
          <w:sz w:val="16"/>
        </w:rPr>
        <w:t>rendida</w:t>
      </w:r>
      <w:r>
        <w:rPr>
          <w:spacing w:val="-15"/>
          <w:sz w:val="16"/>
        </w:rPr>
        <w:t xml:space="preserve"> </w:t>
      </w:r>
      <w:r>
        <w:rPr>
          <w:sz w:val="16"/>
        </w:rPr>
        <w:t>ante</w:t>
      </w:r>
      <w:r>
        <w:rPr>
          <w:spacing w:val="-17"/>
          <w:sz w:val="16"/>
        </w:rPr>
        <w:t xml:space="preserve"> </w:t>
      </w:r>
      <w:r>
        <w:rPr>
          <w:sz w:val="16"/>
        </w:rPr>
        <w:t>fedatario</w:t>
      </w:r>
      <w:r>
        <w:rPr>
          <w:spacing w:val="-16"/>
          <w:sz w:val="16"/>
        </w:rPr>
        <w:t xml:space="preserve"> </w:t>
      </w:r>
      <w:r>
        <w:rPr>
          <w:sz w:val="16"/>
        </w:rPr>
        <w:t>público</w:t>
      </w:r>
      <w:r>
        <w:rPr>
          <w:spacing w:val="-16"/>
          <w:sz w:val="16"/>
        </w:rPr>
        <w:t xml:space="preserve"> </w:t>
      </w:r>
      <w:r>
        <w:rPr>
          <w:sz w:val="16"/>
        </w:rPr>
        <w:t>por</w:t>
      </w:r>
      <w:r>
        <w:rPr>
          <w:spacing w:val="-16"/>
          <w:sz w:val="16"/>
        </w:rPr>
        <w:t xml:space="preserve"> </w:t>
      </w:r>
      <w:r>
        <w:rPr>
          <w:sz w:val="16"/>
        </w:rPr>
        <w:t>Aline</w:t>
      </w:r>
      <w:r>
        <w:rPr>
          <w:spacing w:val="-18"/>
          <w:sz w:val="16"/>
        </w:rPr>
        <w:t xml:space="preserve"> </w:t>
      </w:r>
      <w:r>
        <w:rPr>
          <w:sz w:val="16"/>
        </w:rPr>
        <w:t>Cotrim</w:t>
      </w:r>
      <w:r>
        <w:rPr>
          <w:spacing w:val="-15"/>
          <w:sz w:val="16"/>
        </w:rPr>
        <w:t xml:space="preserve"> </w:t>
      </w:r>
      <w:r>
        <w:rPr>
          <w:sz w:val="16"/>
        </w:rPr>
        <w:t>Chamadoira,</w:t>
      </w:r>
      <w:r>
        <w:rPr>
          <w:spacing w:val="-18"/>
          <w:sz w:val="16"/>
        </w:rPr>
        <w:t xml:space="preserve"> </w:t>
      </w:r>
      <w:r>
        <w:rPr>
          <w:sz w:val="16"/>
        </w:rPr>
        <w:t>9</w:t>
      </w:r>
      <w:r>
        <w:rPr>
          <w:spacing w:val="-16"/>
          <w:sz w:val="16"/>
        </w:rPr>
        <w:t xml:space="preserve"> </w:t>
      </w:r>
      <w:r>
        <w:rPr>
          <w:sz w:val="16"/>
        </w:rPr>
        <w:t>de</w:t>
      </w:r>
      <w:r>
        <w:rPr>
          <w:spacing w:val="-17"/>
          <w:sz w:val="16"/>
        </w:rPr>
        <w:t xml:space="preserve"> </w:t>
      </w:r>
      <w:r>
        <w:rPr>
          <w:sz w:val="16"/>
        </w:rPr>
        <w:t>enero</w:t>
      </w:r>
      <w:r>
        <w:rPr>
          <w:spacing w:val="-16"/>
          <w:sz w:val="16"/>
        </w:rPr>
        <w:t xml:space="preserve"> </w:t>
      </w:r>
      <w:r>
        <w:rPr>
          <w:sz w:val="16"/>
        </w:rPr>
        <w:t>de</w:t>
      </w:r>
      <w:r>
        <w:rPr>
          <w:spacing w:val="-17"/>
          <w:sz w:val="16"/>
        </w:rPr>
        <w:t xml:space="preserve"> </w:t>
      </w:r>
      <w:r>
        <w:rPr>
          <w:sz w:val="16"/>
        </w:rPr>
        <w:t>2020</w:t>
      </w:r>
      <w:r>
        <w:rPr>
          <w:spacing w:val="-16"/>
          <w:sz w:val="16"/>
        </w:rPr>
        <w:t xml:space="preserve"> </w:t>
      </w:r>
      <w:r>
        <w:rPr>
          <w:sz w:val="16"/>
        </w:rPr>
        <w:t>(expediente de fondo, folios 873 a</w:t>
      </w:r>
      <w:r>
        <w:rPr>
          <w:spacing w:val="-7"/>
          <w:sz w:val="16"/>
        </w:rPr>
        <w:t xml:space="preserve"> </w:t>
      </w:r>
      <w:r>
        <w:rPr>
          <w:sz w:val="16"/>
        </w:rPr>
        <w:t>875).</w:t>
      </w:r>
    </w:p>
    <w:p w14:paraId="4CD107AC" w14:textId="77777777" w:rsidR="00467FCA" w:rsidRDefault="00467FCA">
      <w:pPr>
        <w:rPr>
          <w:sz w:val="16"/>
        </w:rPr>
        <w:sectPr w:rsidR="00467FCA">
          <w:footerReference w:type="default" r:id="rId32"/>
          <w:pgSz w:w="12240" w:h="15840"/>
          <w:pgMar w:top="1360" w:right="1320" w:bottom="1340" w:left="1320" w:header="0" w:footer="1160" w:gutter="0"/>
          <w:cols w:space="720"/>
        </w:sectPr>
      </w:pPr>
    </w:p>
    <w:p w14:paraId="0A202F39" w14:textId="77777777" w:rsidR="00467FCA" w:rsidRDefault="001B68EB">
      <w:pPr>
        <w:pStyle w:val="Textoindependiente"/>
        <w:spacing w:before="80"/>
        <w:ind w:left="119" w:right="117"/>
        <w:jc w:val="both"/>
      </w:pPr>
      <w:r>
        <w:t>ejecución en curso, sin embargo, permanecieron en archivo provisorio por varios años</w:t>
      </w:r>
      <w:hyperlink w:anchor="_bookmark392" w:history="1">
        <w:r>
          <w:rPr>
            <w:position w:val="7"/>
            <w:sz w:val="13"/>
          </w:rPr>
          <w:t>335</w:t>
        </w:r>
      </w:hyperlink>
      <w:r>
        <w:t>, pues no se habían encontra</w:t>
      </w:r>
      <w:r>
        <w:t>do bienes del condenado (Mario Fróes Prazeres Bastos) que permitieran su ejecución</w:t>
      </w:r>
      <w:hyperlink w:anchor="_bookmark393" w:history="1">
        <w:r>
          <w:rPr>
            <w:position w:val="7"/>
            <w:sz w:val="13"/>
          </w:rPr>
          <w:t>336</w:t>
        </w:r>
      </w:hyperlink>
      <w:r>
        <w:t>. En agosto de 2018, en el marco del proceso laboral de Leila Cerqueira</w:t>
      </w:r>
      <w:r>
        <w:rPr>
          <w:spacing w:val="-6"/>
        </w:rPr>
        <w:t xml:space="preserve"> </w:t>
      </w:r>
      <w:r>
        <w:t>dos</w:t>
      </w:r>
      <w:r>
        <w:rPr>
          <w:spacing w:val="-9"/>
        </w:rPr>
        <w:t xml:space="preserve"> </w:t>
      </w:r>
      <w:r>
        <w:t>Santos,</w:t>
      </w:r>
      <w:r>
        <w:rPr>
          <w:spacing w:val="-6"/>
        </w:rPr>
        <w:t xml:space="preserve"> </w:t>
      </w:r>
      <w:r>
        <w:t>se</w:t>
      </w:r>
      <w:r>
        <w:rPr>
          <w:spacing w:val="-7"/>
        </w:rPr>
        <w:t xml:space="preserve"> </w:t>
      </w:r>
      <w:r>
        <w:t>embargó</w:t>
      </w:r>
      <w:r>
        <w:rPr>
          <w:spacing w:val="-7"/>
        </w:rPr>
        <w:t xml:space="preserve"> </w:t>
      </w:r>
      <w:r>
        <w:t>un</w:t>
      </w:r>
      <w:r>
        <w:rPr>
          <w:spacing w:val="-7"/>
        </w:rPr>
        <w:t xml:space="preserve"> </w:t>
      </w:r>
      <w:r>
        <w:t>bien</w:t>
      </w:r>
      <w:r>
        <w:rPr>
          <w:spacing w:val="-4"/>
        </w:rPr>
        <w:t xml:space="preserve"> </w:t>
      </w:r>
      <w:r>
        <w:t>de</w:t>
      </w:r>
      <w:r>
        <w:rPr>
          <w:spacing w:val="-7"/>
        </w:rPr>
        <w:t xml:space="preserve"> </w:t>
      </w:r>
      <w:r>
        <w:t>Osvaldo</w:t>
      </w:r>
      <w:r>
        <w:rPr>
          <w:spacing w:val="-8"/>
        </w:rPr>
        <w:t xml:space="preserve"> </w:t>
      </w:r>
      <w:r>
        <w:t>Prazeres</w:t>
      </w:r>
      <w:r>
        <w:rPr>
          <w:spacing w:val="-9"/>
        </w:rPr>
        <w:t xml:space="preserve"> </w:t>
      </w:r>
      <w:r>
        <w:t>Bastos,</w:t>
      </w:r>
      <w:r>
        <w:rPr>
          <w:spacing w:val="-4"/>
        </w:rPr>
        <w:t xml:space="preserve"> </w:t>
      </w:r>
      <w:r>
        <w:t>padre</w:t>
      </w:r>
      <w:r>
        <w:rPr>
          <w:spacing w:val="-7"/>
        </w:rPr>
        <w:t xml:space="preserve"> </w:t>
      </w:r>
      <w:r>
        <w:t>de</w:t>
      </w:r>
      <w:r>
        <w:rPr>
          <w:spacing w:val="-8"/>
        </w:rPr>
        <w:t xml:space="preserve"> </w:t>
      </w:r>
      <w:r>
        <w:t>Mario</w:t>
      </w:r>
      <w:r>
        <w:rPr>
          <w:spacing w:val="-6"/>
        </w:rPr>
        <w:t xml:space="preserve"> </w:t>
      </w:r>
      <w:r>
        <w:t>Fróes Prazeres Bastos, por el monto de R$ 1.800,000, que según lo informado por una Jueza de la Justicia</w:t>
      </w:r>
      <w:r>
        <w:rPr>
          <w:spacing w:val="-11"/>
        </w:rPr>
        <w:t xml:space="preserve"> </w:t>
      </w:r>
      <w:r>
        <w:t>de</w:t>
      </w:r>
      <w:r>
        <w:rPr>
          <w:spacing w:val="-10"/>
        </w:rPr>
        <w:t xml:space="preserve"> </w:t>
      </w:r>
      <w:r>
        <w:t>Trabajo</w:t>
      </w:r>
      <w:r>
        <w:rPr>
          <w:spacing w:val="-12"/>
        </w:rPr>
        <w:t xml:space="preserve"> </w:t>
      </w:r>
      <w:r>
        <w:t>de</w:t>
      </w:r>
      <w:r>
        <w:rPr>
          <w:spacing w:val="-13"/>
        </w:rPr>
        <w:t xml:space="preserve"> </w:t>
      </w:r>
      <w:r>
        <w:t>Santo</w:t>
      </w:r>
      <w:r>
        <w:rPr>
          <w:spacing w:val="-13"/>
        </w:rPr>
        <w:t xml:space="preserve"> </w:t>
      </w:r>
      <w:r>
        <w:t>Antônio</w:t>
      </w:r>
      <w:r>
        <w:rPr>
          <w:spacing w:val="-12"/>
        </w:rPr>
        <w:t xml:space="preserve"> </w:t>
      </w:r>
      <w:r>
        <w:t>de</w:t>
      </w:r>
      <w:r>
        <w:rPr>
          <w:spacing w:val="-13"/>
        </w:rPr>
        <w:t xml:space="preserve"> </w:t>
      </w:r>
      <w:r>
        <w:t>Jesus</w:t>
      </w:r>
      <w:hyperlink w:anchor="_bookmark394" w:history="1">
        <w:r>
          <w:rPr>
            <w:position w:val="7"/>
            <w:sz w:val="13"/>
          </w:rPr>
          <w:t>337</w:t>
        </w:r>
      </w:hyperlink>
      <w:r>
        <w:t>,</w:t>
      </w:r>
      <w:r>
        <w:rPr>
          <w:spacing w:val="-12"/>
        </w:rPr>
        <w:t xml:space="preserve"> </w:t>
      </w:r>
      <w:r>
        <w:t>sería</w:t>
      </w:r>
      <w:r>
        <w:rPr>
          <w:spacing w:val="-8"/>
        </w:rPr>
        <w:t xml:space="preserve"> </w:t>
      </w:r>
      <w:r>
        <w:t>suficiente</w:t>
      </w:r>
      <w:r>
        <w:rPr>
          <w:spacing w:val="-13"/>
        </w:rPr>
        <w:t xml:space="preserve"> </w:t>
      </w:r>
      <w:r>
        <w:t>para</w:t>
      </w:r>
      <w:r>
        <w:rPr>
          <w:spacing w:val="-11"/>
        </w:rPr>
        <w:t xml:space="preserve"> </w:t>
      </w:r>
      <w:r>
        <w:t>indemnizar</w:t>
      </w:r>
      <w:r>
        <w:rPr>
          <w:spacing w:val="-12"/>
        </w:rPr>
        <w:t xml:space="preserve"> </w:t>
      </w:r>
      <w:r>
        <w:t>las</w:t>
      </w:r>
      <w:r>
        <w:rPr>
          <w:spacing w:val="-12"/>
        </w:rPr>
        <w:t xml:space="preserve"> </w:t>
      </w:r>
      <w:r>
        <w:t>víctimas de todas las acci</w:t>
      </w:r>
      <w:r>
        <w:t>ones cuyas ejecuciones estaban</w:t>
      </w:r>
      <w:r>
        <w:rPr>
          <w:spacing w:val="-4"/>
        </w:rPr>
        <w:t xml:space="preserve"> </w:t>
      </w:r>
      <w:r>
        <w:t>activas.</w:t>
      </w:r>
    </w:p>
    <w:p w14:paraId="0FC05A1A" w14:textId="77777777" w:rsidR="00467FCA" w:rsidRDefault="00467FCA">
      <w:pPr>
        <w:pStyle w:val="Textoindependiente"/>
        <w:rPr>
          <w:sz w:val="19"/>
        </w:rPr>
      </w:pPr>
    </w:p>
    <w:p w14:paraId="614D5A5B" w14:textId="77777777" w:rsidR="00467FCA" w:rsidRDefault="001B68EB">
      <w:pPr>
        <w:pStyle w:val="Prrafodelista"/>
        <w:numPr>
          <w:ilvl w:val="0"/>
          <w:numId w:val="50"/>
        </w:numPr>
        <w:tabs>
          <w:tab w:val="left" w:pos="687"/>
        </w:tabs>
        <w:ind w:left="119" w:right="118" w:firstLine="0"/>
        <w:jc w:val="both"/>
        <w:rPr>
          <w:sz w:val="20"/>
        </w:rPr>
      </w:pPr>
      <w:r>
        <w:rPr>
          <w:sz w:val="20"/>
        </w:rPr>
        <w:t>Al analizar los cuatro elementos necesarios para evaluar la razonabilidad del plazo, el Tribunal</w:t>
      </w:r>
      <w:r>
        <w:rPr>
          <w:spacing w:val="-18"/>
          <w:sz w:val="20"/>
        </w:rPr>
        <w:t xml:space="preserve"> </w:t>
      </w:r>
      <w:r>
        <w:rPr>
          <w:sz w:val="20"/>
        </w:rPr>
        <w:t>encuentra</w:t>
      </w:r>
      <w:r>
        <w:rPr>
          <w:spacing w:val="-17"/>
          <w:sz w:val="20"/>
        </w:rPr>
        <w:t xml:space="preserve"> </w:t>
      </w:r>
      <w:r>
        <w:rPr>
          <w:sz w:val="20"/>
        </w:rPr>
        <w:t>que</w:t>
      </w:r>
      <w:r>
        <w:rPr>
          <w:spacing w:val="-17"/>
          <w:sz w:val="20"/>
        </w:rPr>
        <w:t xml:space="preserve"> </w:t>
      </w:r>
      <w:r>
        <w:rPr>
          <w:sz w:val="20"/>
        </w:rPr>
        <w:t>(i)</w:t>
      </w:r>
      <w:r>
        <w:rPr>
          <w:spacing w:val="-17"/>
          <w:sz w:val="20"/>
        </w:rPr>
        <w:t xml:space="preserve"> </w:t>
      </w:r>
      <w:r>
        <w:rPr>
          <w:sz w:val="20"/>
        </w:rPr>
        <w:t>el</w:t>
      </w:r>
      <w:r>
        <w:rPr>
          <w:spacing w:val="-18"/>
          <w:sz w:val="20"/>
        </w:rPr>
        <w:t xml:space="preserve"> </w:t>
      </w:r>
      <w:r>
        <w:rPr>
          <w:sz w:val="20"/>
        </w:rPr>
        <w:t>asunto</w:t>
      </w:r>
      <w:r>
        <w:rPr>
          <w:spacing w:val="-16"/>
          <w:sz w:val="20"/>
        </w:rPr>
        <w:t xml:space="preserve"> </w:t>
      </w:r>
      <w:r>
        <w:rPr>
          <w:sz w:val="20"/>
        </w:rPr>
        <w:t>no</w:t>
      </w:r>
      <w:r>
        <w:rPr>
          <w:spacing w:val="-17"/>
          <w:sz w:val="20"/>
        </w:rPr>
        <w:t xml:space="preserve"> </w:t>
      </w:r>
      <w:r>
        <w:rPr>
          <w:sz w:val="20"/>
        </w:rPr>
        <w:t>era</w:t>
      </w:r>
      <w:r>
        <w:rPr>
          <w:spacing w:val="-15"/>
          <w:sz w:val="20"/>
        </w:rPr>
        <w:t xml:space="preserve"> </w:t>
      </w:r>
      <w:r>
        <w:rPr>
          <w:sz w:val="20"/>
        </w:rPr>
        <w:t>de</w:t>
      </w:r>
      <w:r>
        <w:rPr>
          <w:spacing w:val="-17"/>
          <w:sz w:val="20"/>
        </w:rPr>
        <w:t xml:space="preserve"> </w:t>
      </w:r>
      <w:r>
        <w:rPr>
          <w:sz w:val="20"/>
        </w:rPr>
        <w:t>alta</w:t>
      </w:r>
      <w:r>
        <w:rPr>
          <w:spacing w:val="-17"/>
          <w:sz w:val="20"/>
        </w:rPr>
        <w:t xml:space="preserve"> </w:t>
      </w:r>
      <w:r>
        <w:rPr>
          <w:sz w:val="20"/>
        </w:rPr>
        <w:t>complejidad,</w:t>
      </w:r>
      <w:r>
        <w:rPr>
          <w:spacing w:val="-19"/>
          <w:sz w:val="20"/>
        </w:rPr>
        <w:t xml:space="preserve"> </w:t>
      </w:r>
      <w:r>
        <w:rPr>
          <w:sz w:val="20"/>
        </w:rPr>
        <w:t>pues</w:t>
      </w:r>
      <w:r>
        <w:rPr>
          <w:spacing w:val="-18"/>
          <w:sz w:val="20"/>
        </w:rPr>
        <w:t xml:space="preserve"> </w:t>
      </w:r>
      <w:r>
        <w:rPr>
          <w:sz w:val="20"/>
        </w:rPr>
        <w:t>las</w:t>
      </w:r>
      <w:r>
        <w:rPr>
          <w:spacing w:val="-14"/>
          <w:sz w:val="20"/>
        </w:rPr>
        <w:t xml:space="preserve"> </w:t>
      </w:r>
      <w:r>
        <w:rPr>
          <w:sz w:val="20"/>
        </w:rPr>
        <w:t>condiciones</w:t>
      </w:r>
      <w:r>
        <w:rPr>
          <w:spacing w:val="-16"/>
          <w:sz w:val="20"/>
        </w:rPr>
        <w:t xml:space="preserve"> </w:t>
      </w:r>
      <w:r>
        <w:rPr>
          <w:sz w:val="20"/>
        </w:rPr>
        <w:t>laborales bajo</w:t>
      </w:r>
      <w:r>
        <w:rPr>
          <w:spacing w:val="-15"/>
          <w:sz w:val="20"/>
        </w:rPr>
        <w:t xml:space="preserve"> </w:t>
      </w:r>
      <w:r>
        <w:rPr>
          <w:sz w:val="20"/>
        </w:rPr>
        <w:t>las</w:t>
      </w:r>
      <w:r>
        <w:rPr>
          <w:spacing w:val="-11"/>
          <w:sz w:val="20"/>
        </w:rPr>
        <w:t xml:space="preserve"> </w:t>
      </w:r>
      <w:r>
        <w:rPr>
          <w:sz w:val="20"/>
        </w:rPr>
        <w:t>cuales</w:t>
      </w:r>
      <w:r>
        <w:rPr>
          <w:spacing w:val="-12"/>
          <w:sz w:val="20"/>
        </w:rPr>
        <w:t xml:space="preserve"> </w:t>
      </w:r>
      <w:r>
        <w:rPr>
          <w:sz w:val="20"/>
        </w:rPr>
        <w:t>trabajaban</w:t>
      </w:r>
      <w:r>
        <w:rPr>
          <w:spacing w:val="-12"/>
          <w:sz w:val="20"/>
        </w:rPr>
        <w:t xml:space="preserve"> </w:t>
      </w:r>
      <w:r>
        <w:rPr>
          <w:sz w:val="20"/>
        </w:rPr>
        <w:t>las</w:t>
      </w:r>
      <w:r>
        <w:rPr>
          <w:spacing w:val="-14"/>
          <w:sz w:val="20"/>
        </w:rPr>
        <w:t xml:space="preserve"> </w:t>
      </w:r>
      <w:r>
        <w:rPr>
          <w:sz w:val="20"/>
        </w:rPr>
        <w:t>víctimas</w:t>
      </w:r>
      <w:r>
        <w:rPr>
          <w:spacing w:val="-13"/>
          <w:sz w:val="20"/>
        </w:rPr>
        <w:t xml:space="preserve"> </w:t>
      </w:r>
      <w:r>
        <w:rPr>
          <w:sz w:val="20"/>
        </w:rPr>
        <w:t>directas</w:t>
      </w:r>
      <w:r>
        <w:rPr>
          <w:spacing w:val="-12"/>
          <w:sz w:val="20"/>
        </w:rPr>
        <w:t xml:space="preserve"> </w:t>
      </w:r>
      <w:r>
        <w:rPr>
          <w:sz w:val="20"/>
        </w:rPr>
        <w:t>del</w:t>
      </w:r>
      <w:r>
        <w:rPr>
          <w:spacing w:val="-12"/>
          <w:sz w:val="20"/>
        </w:rPr>
        <w:t xml:space="preserve"> </w:t>
      </w:r>
      <w:r>
        <w:rPr>
          <w:sz w:val="20"/>
        </w:rPr>
        <w:t>presente</w:t>
      </w:r>
      <w:r>
        <w:rPr>
          <w:spacing w:val="-12"/>
          <w:sz w:val="20"/>
        </w:rPr>
        <w:t xml:space="preserve"> </w:t>
      </w:r>
      <w:r>
        <w:rPr>
          <w:sz w:val="20"/>
        </w:rPr>
        <w:t>caso</w:t>
      </w:r>
      <w:r>
        <w:rPr>
          <w:spacing w:val="-14"/>
          <w:sz w:val="20"/>
        </w:rPr>
        <w:t xml:space="preserve"> </w:t>
      </w:r>
      <w:r>
        <w:rPr>
          <w:sz w:val="20"/>
        </w:rPr>
        <w:t>habían</w:t>
      </w:r>
      <w:r>
        <w:rPr>
          <w:spacing w:val="-13"/>
          <w:sz w:val="20"/>
        </w:rPr>
        <w:t xml:space="preserve"> </w:t>
      </w:r>
      <w:r>
        <w:rPr>
          <w:sz w:val="20"/>
        </w:rPr>
        <w:t>sido</w:t>
      </w:r>
      <w:r>
        <w:rPr>
          <w:spacing w:val="-11"/>
          <w:sz w:val="20"/>
        </w:rPr>
        <w:t xml:space="preserve"> </w:t>
      </w:r>
      <w:r>
        <w:rPr>
          <w:sz w:val="20"/>
        </w:rPr>
        <w:t>constatadas</w:t>
      </w:r>
      <w:r>
        <w:rPr>
          <w:spacing w:val="-12"/>
          <w:sz w:val="20"/>
        </w:rPr>
        <w:t xml:space="preserve"> </w:t>
      </w:r>
      <w:r>
        <w:rPr>
          <w:sz w:val="20"/>
        </w:rPr>
        <w:t>por el peritaje del Ejército luego de la explosión y la identificación de las personas que tenían vínculo de empleo con los dueños de la fábrica se podría haber establecido, por eje</w:t>
      </w:r>
      <w:r>
        <w:rPr>
          <w:sz w:val="20"/>
        </w:rPr>
        <w:t>mplo, mediante el análisis de las certificaciones de defunción adjuntados a la denuncia penal del Ministerio Público de Bahia; (ii) no consta del expediente que la actividad procesal de los interesados haya perjudicado o facilitado el deslinde de la causa;</w:t>
      </w:r>
      <w:r>
        <w:rPr>
          <w:sz w:val="20"/>
        </w:rPr>
        <w:t xml:space="preserve"> (iii) la conducta de las autoridades judiciales fue insuficiente, en la medida que tenían los elementos para haber reconocido el rol de Osvaldo Prazeres Bastos en la fábrica y, por lo tanto, haber ordenado</w:t>
      </w:r>
      <w:r>
        <w:rPr>
          <w:spacing w:val="-50"/>
          <w:sz w:val="20"/>
        </w:rPr>
        <w:t xml:space="preserve"> </w:t>
      </w:r>
      <w:r>
        <w:rPr>
          <w:sz w:val="20"/>
        </w:rPr>
        <w:t>el embargo</w:t>
      </w:r>
      <w:r>
        <w:rPr>
          <w:spacing w:val="-9"/>
          <w:sz w:val="20"/>
        </w:rPr>
        <w:t xml:space="preserve"> </w:t>
      </w:r>
      <w:r>
        <w:rPr>
          <w:sz w:val="20"/>
        </w:rPr>
        <w:t>de</w:t>
      </w:r>
      <w:r>
        <w:rPr>
          <w:spacing w:val="-7"/>
          <w:sz w:val="20"/>
        </w:rPr>
        <w:t xml:space="preserve"> </w:t>
      </w:r>
      <w:r>
        <w:rPr>
          <w:sz w:val="20"/>
        </w:rPr>
        <w:t>sus</w:t>
      </w:r>
      <w:r>
        <w:rPr>
          <w:spacing w:val="-6"/>
          <w:sz w:val="20"/>
        </w:rPr>
        <w:t xml:space="preserve"> </w:t>
      </w:r>
      <w:r>
        <w:rPr>
          <w:sz w:val="20"/>
        </w:rPr>
        <w:t>bienes</w:t>
      </w:r>
      <w:r>
        <w:rPr>
          <w:spacing w:val="-6"/>
          <w:sz w:val="20"/>
        </w:rPr>
        <w:t xml:space="preserve"> </w:t>
      </w:r>
      <w:r>
        <w:rPr>
          <w:sz w:val="20"/>
        </w:rPr>
        <w:t>años</w:t>
      </w:r>
      <w:r>
        <w:rPr>
          <w:spacing w:val="-9"/>
          <w:sz w:val="20"/>
        </w:rPr>
        <w:t xml:space="preserve"> </w:t>
      </w:r>
      <w:r>
        <w:rPr>
          <w:sz w:val="20"/>
        </w:rPr>
        <w:t>antes.</w:t>
      </w:r>
      <w:r>
        <w:rPr>
          <w:spacing w:val="-6"/>
          <w:sz w:val="20"/>
        </w:rPr>
        <w:t xml:space="preserve"> </w:t>
      </w:r>
      <w:r>
        <w:rPr>
          <w:sz w:val="20"/>
        </w:rPr>
        <w:t>Sin</w:t>
      </w:r>
      <w:r>
        <w:rPr>
          <w:spacing w:val="-4"/>
          <w:sz w:val="20"/>
        </w:rPr>
        <w:t xml:space="preserve"> </w:t>
      </w:r>
      <w:r>
        <w:rPr>
          <w:sz w:val="20"/>
        </w:rPr>
        <w:t>embargo,</w:t>
      </w:r>
      <w:r>
        <w:rPr>
          <w:spacing w:val="-9"/>
          <w:sz w:val="20"/>
        </w:rPr>
        <w:t xml:space="preserve"> </w:t>
      </w:r>
      <w:r>
        <w:rPr>
          <w:sz w:val="20"/>
        </w:rPr>
        <w:t>hubo</w:t>
      </w:r>
      <w:r>
        <w:rPr>
          <w:spacing w:val="-6"/>
          <w:sz w:val="20"/>
        </w:rPr>
        <w:t xml:space="preserve"> </w:t>
      </w:r>
      <w:r>
        <w:rPr>
          <w:sz w:val="20"/>
        </w:rPr>
        <w:t>una</w:t>
      </w:r>
      <w:r>
        <w:rPr>
          <w:spacing w:val="-8"/>
          <w:sz w:val="20"/>
        </w:rPr>
        <w:t xml:space="preserve"> </w:t>
      </w:r>
      <w:r>
        <w:rPr>
          <w:sz w:val="20"/>
        </w:rPr>
        <w:t>demora</w:t>
      </w:r>
      <w:r>
        <w:rPr>
          <w:spacing w:val="-5"/>
          <w:sz w:val="20"/>
        </w:rPr>
        <w:t xml:space="preserve"> </w:t>
      </w:r>
      <w:r>
        <w:rPr>
          <w:sz w:val="20"/>
        </w:rPr>
        <w:t>excesiva</w:t>
      </w:r>
      <w:r>
        <w:rPr>
          <w:spacing w:val="-5"/>
          <w:sz w:val="20"/>
        </w:rPr>
        <w:t xml:space="preserve"> </w:t>
      </w:r>
      <w:r>
        <w:rPr>
          <w:sz w:val="20"/>
        </w:rPr>
        <w:t>pues</w:t>
      </w:r>
      <w:r>
        <w:rPr>
          <w:spacing w:val="-6"/>
          <w:sz w:val="20"/>
        </w:rPr>
        <w:t xml:space="preserve"> </w:t>
      </w:r>
      <w:r>
        <w:rPr>
          <w:sz w:val="20"/>
        </w:rPr>
        <w:t>solamente</w:t>
      </w:r>
    </w:p>
    <w:p w14:paraId="6F9036C3" w14:textId="77777777" w:rsidR="00467FCA" w:rsidRDefault="001B68EB">
      <w:pPr>
        <w:pStyle w:val="Textoindependiente"/>
        <w:ind w:left="119" w:right="117"/>
        <w:jc w:val="both"/>
      </w:pPr>
      <w:r>
        <w:t>18 años después de iniciados los procesos, se logró embargar un bien que parece ser suficiente para la ejecución de las sentencias; por último, (iv) en cuanto a la afectación generada en la situación jurídica de las presuntas víctimas, la Corte considera q</w:t>
      </w:r>
      <w:r>
        <w:t>ue el transcurso</w:t>
      </w:r>
      <w:r>
        <w:rPr>
          <w:spacing w:val="-11"/>
        </w:rPr>
        <w:t xml:space="preserve"> </w:t>
      </w:r>
      <w:r>
        <w:t>de</w:t>
      </w:r>
      <w:r>
        <w:rPr>
          <w:spacing w:val="-14"/>
        </w:rPr>
        <w:t xml:space="preserve"> </w:t>
      </w:r>
      <w:r>
        <w:t>18</w:t>
      </w:r>
      <w:r>
        <w:rPr>
          <w:spacing w:val="-10"/>
        </w:rPr>
        <w:t xml:space="preserve"> </w:t>
      </w:r>
      <w:r>
        <w:t>años</w:t>
      </w:r>
      <w:r>
        <w:rPr>
          <w:spacing w:val="-9"/>
        </w:rPr>
        <w:t xml:space="preserve"> </w:t>
      </w:r>
      <w:r>
        <w:t>sin</w:t>
      </w:r>
      <w:r>
        <w:rPr>
          <w:spacing w:val="-12"/>
        </w:rPr>
        <w:t xml:space="preserve"> </w:t>
      </w:r>
      <w:r>
        <w:t>que</w:t>
      </w:r>
      <w:r>
        <w:rPr>
          <w:spacing w:val="-14"/>
        </w:rPr>
        <w:t xml:space="preserve"> </w:t>
      </w:r>
      <w:r>
        <w:t>ninguna</w:t>
      </w:r>
      <w:r>
        <w:rPr>
          <w:spacing w:val="-12"/>
        </w:rPr>
        <w:t xml:space="preserve"> </w:t>
      </w:r>
      <w:r>
        <w:t>de</w:t>
      </w:r>
      <w:r>
        <w:rPr>
          <w:spacing w:val="-12"/>
        </w:rPr>
        <w:t xml:space="preserve"> </w:t>
      </w:r>
      <w:r>
        <w:t>las</w:t>
      </w:r>
      <w:r>
        <w:rPr>
          <w:spacing w:val="-11"/>
        </w:rPr>
        <w:t xml:space="preserve"> </w:t>
      </w:r>
      <w:r>
        <w:t>presuntas</w:t>
      </w:r>
      <w:r>
        <w:rPr>
          <w:spacing w:val="-11"/>
        </w:rPr>
        <w:t xml:space="preserve"> </w:t>
      </w:r>
      <w:r>
        <w:t>víctimas</w:t>
      </w:r>
      <w:r>
        <w:rPr>
          <w:spacing w:val="-10"/>
        </w:rPr>
        <w:t xml:space="preserve"> </w:t>
      </w:r>
      <w:r>
        <w:t>recibiera</w:t>
      </w:r>
      <w:r>
        <w:rPr>
          <w:spacing w:val="-12"/>
        </w:rPr>
        <w:t xml:space="preserve"> </w:t>
      </w:r>
      <w:r>
        <w:t>los</w:t>
      </w:r>
      <w:r>
        <w:rPr>
          <w:spacing w:val="-11"/>
        </w:rPr>
        <w:t xml:space="preserve"> </w:t>
      </w:r>
      <w:r>
        <w:t>montos</w:t>
      </w:r>
      <w:r>
        <w:rPr>
          <w:spacing w:val="-11"/>
        </w:rPr>
        <w:t xml:space="preserve"> </w:t>
      </w:r>
      <w:r>
        <w:t>debidos en razón del accidente de trabajo (explosión) y de las infracciones a los derechos laborales, les afectó de forma muy relevante, pues vivían en un contexto d</w:t>
      </w:r>
      <w:r>
        <w:t>e pobreza y discriminación, lo que resultaba en que no disponían de los medios económicos suficientes para cubrir los gastos de los tratamientos médicos y psicológicos necesarios, incluso los destinados a tratar de</w:t>
      </w:r>
      <w:r>
        <w:rPr>
          <w:spacing w:val="-12"/>
        </w:rPr>
        <w:t xml:space="preserve"> </w:t>
      </w:r>
      <w:r>
        <w:t>las</w:t>
      </w:r>
      <w:r>
        <w:rPr>
          <w:spacing w:val="-11"/>
        </w:rPr>
        <w:t xml:space="preserve"> </w:t>
      </w:r>
      <w:r>
        <w:t>distintas</w:t>
      </w:r>
      <w:r>
        <w:rPr>
          <w:spacing w:val="-11"/>
        </w:rPr>
        <w:t xml:space="preserve"> </w:t>
      </w:r>
      <w:r>
        <w:t>secuelas</w:t>
      </w:r>
      <w:r>
        <w:rPr>
          <w:spacing w:val="-9"/>
        </w:rPr>
        <w:t xml:space="preserve"> </w:t>
      </w:r>
      <w:r>
        <w:t>de</w:t>
      </w:r>
      <w:r>
        <w:rPr>
          <w:spacing w:val="-9"/>
        </w:rPr>
        <w:t xml:space="preserve"> </w:t>
      </w:r>
      <w:r>
        <w:t>la</w:t>
      </w:r>
      <w:r>
        <w:rPr>
          <w:spacing w:val="-8"/>
        </w:rPr>
        <w:t xml:space="preserve"> </w:t>
      </w:r>
      <w:r>
        <w:t>explosión</w:t>
      </w:r>
      <w:r>
        <w:rPr>
          <w:spacing w:val="-7"/>
        </w:rPr>
        <w:t xml:space="preserve"> </w:t>
      </w:r>
      <w:r>
        <w:t>en</w:t>
      </w:r>
      <w:r>
        <w:rPr>
          <w:spacing w:val="-9"/>
        </w:rPr>
        <w:t xml:space="preserve"> </w:t>
      </w:r>
      <w:r>
        <w:t>los</w:t>
      </w:r>
      <w:r>
        <w:rPr>
          <w:spacing w:val="-10"/>
        </w:rPr>
        <w:t xml:space="preserve"> </w:t>
      </w:r>
      <w:r>
        <w:t>sobrevivientes.</w:t>
      </w:r>
      <w:r>
        <w:rPr>
          <w:spacing w:val="-8"/>
        </w:rPr>
        <w:t xml:space="preserve"> </w:t>
      </w:r>
      <w:r>
        <w:t>Por</w:t>
      </w:r>
      <w:r>
        <w:rPr>
          <w:spacing w:val="-9"/>
        </w:rPr>
        <w:t xml:space="preserve"> </w:t>
      </w:r>
      <w:r>
        <w:t>lo</w:t>
      </w:r>
      <w:r>
        <w:rPr>
          <w:spacing w:val="-9"/>
        </w:rPr>
        <w:t xml:space="preserve"> </w:t>
      </w:r>
      <w:r>
        <w:t>tanto,</w:t>
      </w:r>
      <w:r>
        <w:rPr>
          <w:spacing w:val="-8"/>
        </w:rPr>
        <w:t xml:space="preserve"> </w:t>
      </w:r>
      <w:r>
        <w:t>el</w:t>
      </w:r>
      <w:r>
        <w:rPr>
          <w:spacing w:val="-7"/>
        </w:rPr>
        <w:t xml:space="preserve"> </w:t>
      </w:r>
      <w:r>
        <w:t>Tribunal</w:t>
      </w:r>
      <w:r>
        <w:rPr>
          <w:spacing w:val="-10"/>
        </w:rPr>
        <w:t xml:space="preserve"> </w:t>
      </w:r>
      <w:r>
        <w:t>estima que existen suficientes elementos para concluir que el Estado no garantizó que los procesos laborales se tramitaran en un plazo razonable, particularmente en lo que respecta a la ejecución de las</w:t>
      </w:r>
      <w:r>
        <w:rPr>
          <w:spacing w:val="-2"/>
        </w:rPr>
        <w:t xml:space="preserve"> </w:t>
      </w:r>
      <w:r>
        <w:t>senten</w:t>
      </w:r>
      <w:r>
        <w:t>cias.</w:t>
      </w:r>
    </w:p>
    <w:p w14:paraId="0A91D1A7" w14:textId="77777777" w:rsidR="00467FCA" w:rsidRDefault="00467FCA">
      <w:pPr>
        <w:pStyle w:val="Textoindependiente"/>
        <w:spacing w:before="11"/>
        <w:rPr>
          <w:sz w:val="19"/>
        </w:rPr>
      </w:pPr>
    </w:p>
    <w:p w14:paraId="17249C0F" w14:textId="77777777" w:rsidR="00467FCA" w:rsidRDefault="001B68EB">
      <w:pPr>
        <w:pStyle w:val="Prrafodelista"/>
        <w:numPr>
          <w:ilvl w:val="0"/>
          <w:numId w:val="50"/>
        </w:numPr>
        <w:tabs>
          <w:tab w:val="left" w:pos="687"/>
        </w:tabs>
        <w:ind w:left="119" w:right="117" w:firstLine="0"/>
        <w:jc w:val="both"/>
        <w:rPr>
          <w:sz w:val="20"/>
        </w:rPr>
      </w:pPr>
      <w:r>
        <w:rPr>
          <w:sz w:val="20"/>
        </w:rPr>
        <w:t>Asimismo, los procesos laborales que tuvieron sentencias favorables a las trabajadoras de la fábrica fueron archivados provisoriamente por muchos años, debido a que la justicia laboral,</w:t>
      </w:r>
      <w:r>
        <w:rPr>
          <w:spacing w:val="-10"/>
          <w:sz w:val="20"/>
        </w:rPr>
        <w:t xml:space="preserve"> </w:t>
      </w:r>
      <w:r>
        <w:rPr>
          <w:sz w:val="20"/>
        </w:rPr>
        <w:t>en</w:t>
      </w:r>
      <w:r>
        <w:rPr>
          <w:spacing w:val="-10"/>
          <w:sz w:val="20"/>
        </w:rPr>
        <w:t xml:space="preserve"> </w:t>
      </w:r>
      <w:r>
        <w:rPr>
          <w:sz w:val="20"/>
        </w:rPr>
        <w:t>principio,</w:t>
      </w:r>
      <w:r>
        <w:rPr>
          <w:spacing w:val="-12"/>
          <w:sz w:val="20"/>
        </w:rPr>
        <w:t xml:space="preserve"> </w:t>
      </w:r>
      <w:r>
        <w:rPr>
          <w:sz w:val="20"/>
        </w:rPr>
        <w:t>no</w:t>
      </w:r>
      <w:r>
        <w:rPr>
          <w:spacing w:val="-9"/>
          <w:sz w:val="20"/>
        </w:rPr>
        <w:t xml:space="preserve"> </w:t>
      </w:r>
      <w:r>
        <w:rPr>
          <w:sz w:val="20"/>
        </w:rPr>
        <w:t>reconoció</w:t>
      </w:r>
      <w:r>
        <w:rPr>
          <w:spacing w:val="-10"/>
          <w:sz w:val="20"/>
        </w:rPr>
        <w:t xml:space="preserve"> </w:t>
      </w:r>
      <w:r>
        <w:rPr>
          <w:sz w:val="20"/>
        </w:rPr>
        <w:t>el</w:t>
      </w:r>
      <w:r>
        <w:rPr>
          <w:spacing w:val="-11"/>
          <w:sz w:val="20"/>
        </w:rPr>
        <w:t xml:space="preserve"> </w:t>
      </w:r>
      <w:r>
        <w:rPr>
          <w:sz w:val="20"/>
        </w:rPr>
        <w:t>vínculo</w:t>
      </w:r>
      <w:r>
        <w:rPr>
          <w:spacing w:val="-11"/>
          <w:sz w:val="20"/>
        </w:rPr>
        <w:t xml:space="preserve"> </w:t>
      </w:r>
      <w:r>
        <w:rPr>
          <w:sz w:val="20"/>
        </w:rPr>
        <w:t>laboral</w:t>
      </w:r>
      <w:r>
        <w:rPr>
          <w:spacing w:val="-11"/>
          <w:sz w:val="20"/>
        </w:rPr>
        <w:t xml:space="preserve"> </w:t>
      </w:r>
      <w:r>
        <w:rPr>
          <w:sz w:val="20"/>
        </w:rPr>
        <w:t>entre</w:t>
      </w:r>
      <w:r>
        <w:rPr>
          <w:spacing w:val="-11"/>
          <w:sz w:val="20"/>
        </w:rPr>
        <w:t xml:space="preserve"> </w:t>
      </w:r>
      <w:r>
        <w:rPr>
          <w:sz w:val="20"/>
        </w:rPr>
        <w:t>las</w:t>
      </w:r>
      <w:r>
        <w:rPr>
          <w:spacing w:val="-12"/>
          <w:sz w:val="20"/>
        </w:rPr>
        <w:t xml:space="preserve"> </w:t>
      </w:r>
      <w:r>
        <w:rPr>
          <w:sz w:val="20"/>
        </w:rPr>
        <w:t>trabajadoras</w:t>
      </w:r>
      <w:r>
        <w:rPr>
          <w:spacing w:val="-12"/>
          <w:sz w:val="20"/>
        </w:rPr>
        <w:t xml:space="preserve"> </w:t>
      </w:r>
      <w:r>
        <w:rPr>
          <w:sz w:val="20"/>
        </w:rPr>
        <w:t>y</w:t>
      </w:r>
      <w:r>
        <w:rPr>
          <w:spacing w:val="-11"/>
          <w:sz w:val="20"/>
        </w:rPr>
        <w:t xml:space="preserve"> </w:t>
      </w:r>
      <w:r>
        <w:rPr>
          <w:sz w:val="20"/>
        </w:rPr>
        <w:t>Osvaldo</w:t>
      </w:r>
      <w:r>
        <w:rPr>
          <w:spacing w:val="-12"/>
          <w:sz w:val="20"/>
        </w:rPr>
        <w:t xml:space="preserve"> </w:t>
      </w:r>
      <w:r>
        <w:rPr>
          <w:sz w:val="20"/>
        </w:rPr>
        <w:t>Prazeres Bastos, toda vez que era su hijo, Mario Fróes Prazeres Bastos, quien constaba, formalmente como propietario de la empresa, y no se habían encontrado bienes para embargar. Sin embargo,</w:t>
      </w:r>
      <w:r>
        <w:rPr>
          <w:spacing w:val="-19"/>
          <w:sz w:val="20"/>
        </w:rPr>
        <w:t xml:space="preserve"> </w:t>
      </w:r>
      <w:r>
        <w:rPr>
          <w:sz w:val="20"/>
        </w:rPr>
        <w:t>en</w:t>
      </w:r>
      <w:r>
        <w:rPr>
          <w:spacing w:val="-16"/>
          <w:sz w:val="20"/>
        </w:rPr>
        <w:t xml:space="preserve"> </w:t>
      </w:r>
      <w:r>
        <w:rPr>
          <w:sz w:val="20"/>
        </w:rPr>
        <w:t>el</w:t>
      </w:r>
      <w:r>
        <w:rPr>
          <w:spacing w:val="-20"/>
          <w:sz w:val="20"/>
        </w:rPr>
        <w:t xml:space="preserve"> </w:t>
      </w:r>
      <w:r>
        <w:rPr>
          <w:sz w:val="20"/>
        </w:rPr>
        <w:t>ámbito</w:t>
      </w:r>
      <w:r>
        <w:rPr>
          <w:spacing w:val="-19"/>
          <w:sz w:val="20"/>
        </w:rPr>
        <w:t xml:space="preserve"> </w:t>
      </w:r>
      <w:r>
        <w:rPr>
          <w:sz w:val="20"/>
        </w:rPr>
        <w:t>de</w:t>
      </w:r>
      <w:r>
        <w:rPr>
          <w:spacing w:val="-21"/>
          <w:sz w:val="20"/>
        </w:rPr>
        <w:t xml:space="preserve"> </w:t>
      </w:r>
      <w:r>
        <w:rPr>
          <w:sz w:val="20"/>
        </w:rPr>
        <w:t>las</w:t>
      </w:r>
      <w:r>
        <w:rPr>
          <w:spacing w:val="-18"/>
          <w:sz w:val="20"/>
        </w:rPr>
        <w:t xml:space="preserve"> </w:t>
      </w:r>
      <w:r>
        <w:rPr>
          <w:sz w:val="20"/>
        </w:rPr>
        <w:t>acciones</w:t>
      </w:r>
      <w:r>
        <w:rPr>
          <w:spacing w:val="-19"/>
          <w:sz w:val="20"/>
        </w:rPr>
        <w:t xml:space="preserve"> </w:t>
      </w:r>
      <w:r>
        <w:rPr>
          <w:sz w:val="20"/>
        </w:rPr>
        <w:t>civiles</w:t>
      </w:r>
      <w:r>
        <w:rPr>
          <w:spacing w:val="-21"/>
          <w:sz w:val="20"/>
        </w:rPr>
        <w:t xml:space="preserve"> </w:t>
      </w:r>
      <w:r>
        <w:rPr>
          <w:sz w:val="20"/>
        </w:rPr>
        <w:t>y</w:t>
      </w:r>
      <w:r>
        <w:rPr>
          <w:spacing w:val="-18"/>
          <w:sz w:val="20"/>
        </w:rPr>
        <w:t xml:space="preserve"> </w:t>
      </w:r>
      <w:r>
        <w:rPr>
          <w:sz w:val="20"/>
        </w:rPr>
        <w:t>p</w:t>
      </w:r>
      <w:r>
        <w:rPr>
          <w:sz w:val="20"/>
        </w:rPr>
        <w:t>enales,</w:t>
      </w:r>
      <w:r>
        <w:rPr>
          <w:spacing w:val="-20"/>
          <w:sz w:val="20"/>
        </w:rPr>
        <w:t xml:space="preserve"> </w:t>
      </w:r>
      <w:r>
        <w:rPr>
          <w:sz w:val="20"/>
        </w:rPr>
        <w:t>la</w:t>
      </w:r>
      <w:r>
        <w:rPr>
          <w:spacing w:val="-18"/>
          <w:sz w:val="20"/>
        </w:rPr>
        <w:t xml:space="preserve"> </w:t>
      </w:r>
      <w:r>
        <w:rPr>
          <w:sz w:val="20"/>
        </w:rPr>
        <w:t>relación</w:t>
      </w:r>
      <w:r>
        <w:rPr>
          <w:spacing w:val="-18"/>
          <w:sz w:val="20"/>
        </w:rPr>
        <w:t xml:space="preserve"> </w:t>
      </w:r>
      <w:r>
        <w:rPr>
          <w:sz w:val="20"/>
        </w:rPr>
        <w:t>de</w:t>
      </w:r>
      <w:r>
        <w:rPr>
          <w:spacing w:val="-19"/>
          <w:sz w:val="20"/>
        </w:rPr>
        <w:t xml:space="preserve"> </w:t>
      </w:r>
      <w:r>
        <w:rPr>
          <w:sz w:val="20"/>
        </w:rPr>
        <w:t>Osvaldo</w:t>
      </w:r>
      <w:r>
        <w:rPr>
          <w:spacing w:val="-22"/>
          <w:sz w:val="20"/>
        </w:rPr>
        <w:t xml:space="preserve"> </w:t>
      </w:r>
      <w:r>
        <w:rPr>
          <w:sz w:val="20"/>
        </w:rPr>
        <w:t>Prazeres</w:t>
      </w:r>
      <w:r>
        <w:rPr>
          <w:spacing w:val="-18"/>
          <w:sz w:val="20"/>
        </w:rPr>
        <w:t xml:space="preserve"> </w:t>
      </w:r>
      <w:r>
        <w:rPr>
          <w:sz w:val="20"/>
        </w:rPr>
        <w:t>Bastos con</w:t>
      </w:r>
      <w:r>
        <w:rPr>
          <w:spacing w:val="-7"/>
          <w:sz w:val="20"/>
        </w:rPr>
        <w:t xml:space="preserve"> </w:t>
      </w:r>
      <w:r>
        <w:rPr>
          <w:sz w:val="20"/>
        </w:rPr>
        <w:t>la</w:t>
      </w:r>
      <w:r>
        <w:rPr>
          <w:spacing w:val="-4"/>
          <w:sz w:val="20"/>
        </w:rPr>
        <w:t xml:space="preserve"> </w:t>
      </w:r>
      <w:r>
        <w:rPr>
          <w:sz w:val="20"/>
        </w:rPr>
        <w:t>fábrica</w:t>
      </w:r>
      <w:r>
        <w:rPr>
          <w:spacing w:val="-8"/>
          <w:sz w:val="20"/>
        </w:rPr>
        <w:t xml:space="preserve"> </w:t>
      </w:r>
      <w:r>
        <w:rPr>
          <w:sz w:val="20"/>
        </w:rPr>
        <w:t>de</w:t>
      </w:r>
      <w:r>
        <w:rPr>
          <w:spacing w:val="-8"/>
          <w:sz w:val="20"/>
        </w:rPr>
        <w:t xml:space="preserve"> </w:t>
      </w:r>
      <w:r>
        <w:rPr>
          <w:sz w:val="20"/>
        </w:rPr>
        <w:t>fuegos</w:t>
      </w:r>
      <w:r>
        <w:rPr>
          <w:spacing w:val="-6"/>
          <w:sz w:val="20"/>
        </w:rPr>
        <w:t xml:space="preserve"> </w:t>
      </w:r>
      <w:r>
        <w:rPr>
          <w:sz w:val="20"/>
        </w:rPr>
        <w:t>ya</w:t>
      </w:r>
      <w:r>
        <w:rPr>
          <w:spacing w:val="-7"/>
          <w:sz w:val="20"/>
        </w:rPr>
        <w:t xml:space="preserve"> </w:t>
      </w:r>
      <w:r>
        <w:rPr>
          <w:sz w:val="20"/>
        </w:rPr>
        <w:t>había</w:t>
      </w:r>
      <w:r>
        <w:rPr>
          <w:spacing w:val="-8"/>
          <w:sz w:val="20"/>
        </w:rPr>
        <w:t xml:space="preserve"> </w:t>
      </w:r>
      <w:r>
        <w:rPr>
          <w:sz w:val="20"/>
        </w:rPr>
        <w:t>sido</w:t>
      </w:r>
      <w:r>
        <w:rPr>
          <w:spacing w:val="-8"/>
          <w:sz w:val="20"/>
        </w:rPr>
        <w:t xml:space="preserve"> </w:t>
      </w:r>
      <w:r>
        <w:rPr>
          <w:sz w:val="20"/>
        </w:rPr>
        <w:t>constatada</w:t>
      </w:r>
      <w:r>
        <w:rPr>
          <w:spacing w:val="-8"/>
          <w:sz w:val="20"/>
        </w:rPr>
        <w:t xml:space="preserve"> </w:t>
      </w:r>
      <w:r>
        <w:rPr>
          <w:sz w:val="20"/>
        </w:rPr>
        <w:t>y</w:t>
      </w:r>
      <w:r>
        <w:rPr>
          <w:spacing w:val="-5"/>
          <w:sz w:val="20"/>
        </w:rPr>
        <w:t xml:space="preserve"> </w:t>
      </w:r>
      <w:r>
        <w:rPr>
          <w:sz w:val="20"/>
        </w:rPr>
        <w:t>él</w:t>
      </w:r>
      <w:r>
        <w:rPr>
          <w:spacing w:val="-7"/>
          <w:sz w:val="20"/>
        </w:rPr>
        <w:t xml:space="preserve"> </w:t>
      </w:r>
      <w:r>
        <w:rPr>
          <w:sz w:val="20"/>
        </w:rPr>
        <w:t>si</w:t>
      </w:r>
      <w:r>
        <w:rPr>
          <w:spacing w:val="-4"/>
          <w:sz w:val="20"/>
        </w:rPr>
        <w:t xml:space="preserve"> </w:t>
      </w:r>
      <w:r>
        <w:rPr>
          <w:sz w:val="20"/>
        </w:rPr>
        <w:t>tenía</w:t>
      </w:r>
      <w:r>
        <w:rPr>
          <w:spacing w:val="-8"/>
          <w:sz w:val="20"/>
        </w:rPr>
        <w:t xml:space="preserve"> </w:t>
      </w:r>
      <w:r>
        <w:rPr>
          <w:sz w:val="20"/>
        </w:rPr>
        <w:t>bienes</w:t>
      </w:r>
      <w:r>
        <w:rPr>
          <w:spacing w:val="-8"/>
          <w:sz w:val="20"/>
        </w:rPr>
        <w:t xml:space="preserve"> </w:t>
      </w:r>
      <w:r>
        <w:rPr>
          <w:sz w:val="20"/>
        </w:rPr>
        <w:t>que</w:t>
      </w:r>
      <w:r>
        <w:rPr>
          <w:spacing w:val="-9"/>
          <w:sz w:val="20"/>
        </w:rPr>
        <w:t xml:space="preserve"> </w:t>
      </w:r>
      <w:r>
        <w:rPr>
          <w:sz w:val="20"/>
        </w:rPr>
        <w:t>podían</w:t>
      </w:r>
      <w:r>
        <w:rPr>
          <w:spacing w:val="-6"/>
          <w:sz w:val="20"/>
        </w:rPr>
        <w:t xml:space="preserve"> </w:t>
      </w:r>
      <w:r>
        <w:rPr>
          <w:sz w:val="20"/>
        </w:rPr>
        <w:t>garantizar</w:t>
      </w:r>
      <w:r>
        <w:rPr>
          <w:spacing w:val="-6"/>
          <w:sz w:val="20"/>
        </w:rPr>
        <w:t xml:space="preserve"> </w:t>
      </w:r>
      <w:r>
        <w:rPr>
          <w:sz w:val="20"/>
        </w:rPr>
        <w:t>el pago a las víctimas. La Corte encuentra que el Estado no demostró haber adelantado gestiones</w:t>
      </w:r>
      <w:r>
        <w:rPr>
          <w:spacing w:val="-17"/>
          <w:sz w:val="20"/>
        </w:rPr>
        <w:t xml:space="preserve"> </w:t>
      </w:r>
      <w:r>
        <w:rPr>
          <w:sz w:val="20"/>
        </w:rPr>
        <w:t>efectivas</w:t>
      </w:r>
      <w:r>
        <w:rPr>
          <w:spacing w:val="-19"/>
          <w:sz w:val="20"/>
        </w:rPr>
        <w:t xml:space="preserve"> </w:t>
      </w:r>
      <w:r>
        <w:rPr>
          <w:sz w:val="20"/>
        </w:rPr>
        <w:t>para</w:t>
      </w:r>
      <w:r>
        <w:rPr>
          <w:spacing w:val="-16"/>
          <w:sz w:val="20"/>
        </w:rPr>
        <w:t xml:space="preserve"> </w:t>
      </w:r>
      <w:r>
        <w:rPr>
          <w:sz w:val="20"/>
        </w:rPr>
        <w:t>lograr</w:t>
      </w:r>
      <w:r>
        <w:rPr>
          <w:spacing w:val="-18"/>
          <w:sz w:val="20"/>
        </w:rPr>
        <w:t xml:space="preserve"> </w:t>
      </w:r>
      <w:r>
        <w:rPr>
          <w:sz w:val="20"/>
        </w:rPr>
        <w:t>el</w:t>
      </w:r>
      <w:r>
        <w:rPr>
          <w:spacing w:val="-16"/>
          <w:sz w:val="20"/>
        </w:rPr>
        <w:t xml:space="preserve"> </w:t>
      </w:r>
      <w:r>
        <w:rPr>
          <w:sz w:val="20"/>
        </w:rPr>
        <w:t>éxito</w:t>
      </w:r>
      <w:r>
        <w:rPr>
          <w:spacing w:val="-20"/>
          <w:sz w:val="20"/>
        </w:rPr>
        <w:t xml:space="preserve"> </w:t>
      </w:r>
      <w:r>
        <w:rPr>
          <w:sz w:val="20"/>
        </w:rPr>
        <w:t>de</w:t>
      </w:r>
      <w:r>
        <w:rPr>
          <w:spacing w:val="-19"/>
          <w:sz w:val="20"/>
        </w:rPr>
        <w:t xml:space="preserve"> </w:t>
      </w:r>
      <w:r>
        <w:rPr>
          <w:sz w:val="20"/>
        </w:rPr>
        <w:t>la</w:t>
      </w:r>
      <w:r>
        <w:rPr>
          <w:spacing w:val="-16"/>
          <w:sz w:val="20"/>
        </w:rPr>
        <w:t xml:space="preserve"> </w:t>
      </w:r>
      <w:r>
        <w:rPr>
          <w:sz w:val="20"/>
        </w:rPr>
        <w:t>ejecución</w:t>
      </w:r>
      <w:r>
        <w:rPr>
          <w:spacing w:val="-17"/>
          <w:sz w:val="20"/>
        </w:rPr>
        <w:t xml:space="preserve"> </w:t>
      </w:r>
      <w:r>
        <w:rPr>
          <w:sz w:val="20"/>
        </w:rPr>
        <w:t>en</w:t>
      </w:r>
      <w:r>
        <w:rPr>
          <w:spacing w:val="-15"/>
          <w:sz w:val="20"/>
        </w:rPr>
        <w:t xml:space="preserve"> </w:t>
      </w:r>
      <w:r>
        <w:rPr>
          <w:sz w:val="20"/>
        </w:rPr>
        <w:t>estos</w:t>
      </w:r>
      <w:r>
        <w:rPr>
          <w:spacing w:val="-19"/>
          <w:sz w:val="20"/>
        </w:rPr>
        <w:t xml:space="preserve"> </w:t>
      </w:r>
      <w:r>
        <w:rPr>
          <w:sz w:val="20"/>
        </w:rPr>
        <w:t>casos,</w:t>
      </w:r>
      <w:r>
        <w:rPr>
          <w:spacing w:val="-18"/>
          <w:sz w:val="20"/>
        </w:rPr>
        <w:t xml:space="preserve"> </w:t>
      </w:r>
      <w:r>
        <w:rPr>
          <w:sz w:val="20"/>
        </w:rPr>
        <w:t>de</w:t>
      </w:r>
      <w:r>
        <w:rPr>
          <w:spacing w:val="-17"/>
          <w:sz w:val="20"/>
        </w:rPr>
        <w:t xml:space="preserve"> </w:t>
      </w:r>
      <w:r>
        <w:rPr>
          <w:sz w:val="20"/>
        </w:rPr>
        <w:t>modo</w:t>
      </w:r>
      <w:r>
        <w:rPr>
          <w:spacing w:val="-20"/>
          <w:sz w:val="20"/>
        </w:rPr>
        <w:t xml:space="preserve"> </w:t>
      </w:r>
      <w:r>
        <w:rPr>
          <w:sz w:val="20"/>
        </w:rPr>
        <w:t>que</w:t>
      </w:r>
      <w:r>
        <w:rPr>
          <w:spacing w:val="-19"/>
          <w:sz w:val="20"/>
        </w:rPr>
        <w:t xml:space="preserve"> </w:t>
      </w:r>
      <w:r>
        <w:rPr>
          <w:sz w:val="20"/>
        </w:rPr>
        <w:t>solamente 18</w:t>
      </w:r>
      <w:r>
        <w:rPr>
          <w:spacing w:val="-12"/>
          <w:sz w:val="20"/>
        </w:rPr>
        <w:t xml:space="preserve"> </w:t>
      </w:r>
      <w:r>
        <w:rPr>
          <w:sz w:val="20"/>
        </w:rPr>
        <w:t>años</w:t>
      </w:r>
      <w:r>
        <w:rPr>
          <w:spacing w:val="-12"/>
          <w:sz w:val="20"/>
        </w:rPr>
        <w:t xml:space="preserve"> </w:t>
      </w:r>
      <w:r>
        <w:rPr>
          <w:sz w:val="20"/>
        </w:rPr>
        <w:t>después</w:t>
      </w:r>
      <w:r>
        <w:rPr>
          <w:spacing w:val="-11"/>
          <w:sz w:val="20"/>
        </w:rPr>
        <w:t xml:space="preserve"> </w:t>
      </w:r>
      <w:r>
        <w:rPr>
          <w:sz w:val="20"/>
        </w:rPr>
        <w:t>de</w:t>
      </w:r>
      <w:r>
        <w:rPr>
          <w:spacing w:val="-10"/>
          <w:sz w:val="20"/>
        </w:rPr>
        <w:t xml:space="preserve"> </w:t>
      </w:r>
      <w:r>
        <w:rPr>
          <w:sz w:val="20"/>
        </w:rPr>
        <w:t>presentadas</w:t>
      </w:r>
      <w:r>
        <w:rPr>
          <w:spacing w:val="-11"/>
          <w:sz w:val="20"/>
        </w:rPr>
        <w:t xml:space="preserve"> </w:t>
      </w:r>
      <w:r>
        <w:rPr>
          <w:sz w:val="20"/>
        </w:rPr>
        <w:t>las</w:t>
      </w:r>
      <w:r>
        <w:rPr>
          <w:spacing w:val="-10"/>
          <w:sz w:val="20"/>
        </w:rPr>
        <w:t xml:space="preserve"> </w:t>
      </w:r>
      <w:r>
        <w:rPr>
          <w:sz w:val="20"/>
        </w:rPr>
        <w:t>acciones</w:t>
      </w:r>
      <w:r>
        <w:rPr>
          <w:spacing w:val="-11"/>
          <w:sz w:val="20"/>
        </w:rPr>
        <w:t xml:space="preserve"> </w:t>
      </w:r>
      <w:r>
        <w:rPr>
          <w:sz w:val="20"/>
        </w:rPr>
        <w:t>laborales,</w:t>
      </w:r>
      <w:r>
        <w:rPr>
          <w:spacing w:val="-8"/>
          <w:sz w:val="20"/>
        </w:rPr>
        <w:t xml:space="preserve"> </w:t>
      </w:r>
      <w:r>
        <w:rPr>
          <w:sz w:val="20"/>
        </w:rPr>
        <w:t>en</w:t>
      </w:r>
      <w:r>
        <w:rPr>
          <w:spacing w:val="-11"/>
          <w:sz w:val="20"/>
        </w:rPr>
        <w:t xml:space="preserve"> </w:t>
      </w:r>
      <w:r>
        <w:rPr>
          <w:sz w:val="20"/>
        </w:rPr>
        <w:t>agosto</w:t>
      </w:r>
      <w:r>
        <w:rPr>
          <w:spacing w:val="-14"/>
          <w:sz w:val="20"/>
        </w:rPr>
        <w:t xml:space="preserve"> </w:t>
      </w:r>
      <w:r>
        <w:rPr>
          <w:sz w:val="20"/>
        </w:rPr>
        <w:t>de</w:t>
      </w:r>
      <w:r>
        <w:rPr>
          <w:spacing w:val="-10"/>
          <w:sz w:val="20"/>
        </w:rPr>
        <w:t xml:space="preserve"> </w:t>
      </w:r>
      <w:r>
        <w:rPr>
          <w:sz w:val="20"/>
        </w:rPr>
        <w:t>2018,</w:t>
      </w:r>
      <w:r>
        <w:rPr>
          <w:spacing w:val="-12"/>
          <w:sz w:val="20"/>
        </w:rPr>
        <w:t xml:space="preserve"> </w:t>
      </w:r>
      <w:r>
        <w:rPr>
          <w:sz w:val="20"/>
        </w:rPr>
        <w:t>s</w:t>
      </w:r>
      <w:r>
        <w:rPr>
          <w:sz w:val="20"/>
        </w:rPr>
        <w:t>e</w:t>
      </w:r>
      <w:r>
        <w:rPr>
          <w:spacing w:val="-11"/>
          <w:sz w:val="20"/>
        </w:rPr>
        <w:t xml:space="preserve"> </w:t>
      </w:r>
      <w:r>
        <w:rPr>
          <w:sz w:val="20"/>
        </w:rPr>
        <w:t>logró</w:t>
      </w:r>
      <w:r>
        <w:rPr>
          <w:spacing w:val="-9"/>
          <w:sz w:val="20"/>
        </w:rPr>
        <w:t xml:space="preserve"> </w:t>
      </w:r>
      <w:r>
        <w:rPr>
          <w:sz w:val="20"/>
        </w:rPr>
        <w:t>confiscar un bien de Osvaldo Prazeres Bastos suficiente para solventar los montos de</w:t>
      </w:r>
      <w:r>
        <w:rPr>
          <w:spacing w:val="14"/>
          <w:sz w:val="20"/>
        </w:rPr>
        <w:t xml:space="preserve"> </w:t>
      </w:r>
      <w:r>
        <w:rPr>
          <w:sz w:val="20"/>
        </w:rPr>
        <w:t>las</w:t>
      </w:r>
    </w:p>
    <w:p w14:paraId="72839B40" w14:textId="77777777" w:rsidR="00467FCA" w:rsidRDefault="001B68EB">
      <w:pPr>
        <w:pStyle w:val="Textoindependiente"/>
        <w:spacing w:before="10"/>
        <w:rPr>
          <w:sz w:val="18"/>
        </w:rPr>
      </w:pPr>
      <w:r>
        <w:pict w14:anchorId="791401A3">
          <v:shape id="_x0000_s1134" style="position:absolute;margin-left:1in;margin-top:13.7pt;width:2in;height:.1pt;z-index:-251594752;mso-wrap-distance-left:0;mso-wrap-distance-right:0;mso-position-horizontal-relative:page" coordorigin="1440,274" coordsize="2880,0" path="m1440,274r2880,e" filled="f" strokeweight=".6pt">
            <v:path arrowok="t"/>
            <w10:wrap type="topAndBottom" anchorx="page"/>
          </v:shape>
        </w:pict>
      </w:r>
    </w:p>
    <w:p w14:paraId="3DE7E21B" w14:textId="77777777" w:rsidR="00467FCA" w:rsidRDefault="001B68EB">
      <w:pPr>
        <w:tabs>
          <w:tab w:val="left" w:pos="839"/>
        </w:tabs>
        <w:spacing w:before="74"/>
        <w:ind w:left="118" w:right="112" w:firstLine="1"/>
        <w:jc w:val="both"/>
        <w:rPr>
          <w:sz w:val="16"/>
        </w:rPr>
      </w:pPr>
      <w:bookmarkStart w:id="446" w:name="_bookmark392"/>
      <w:bookmarkEnd w:id="446"/>
      <w:r>
        <w:rPr>
          <w:position w:val="6"/>
          <w:sz w:val="10"/>
        </w:rPr>
        <w:t>335</w:t>
      </w:r>
      <w:r>
        <w:rPr>
          <w:position w:val="6"/>
          <w:sz w:val="10"/>
        </w:rPr>
        <w:tab/>
      </w:r>
      <w:r>
        <w:rPr>
          <w:sz w:val="16"/>
        </w:rPr>
        <w:t>La Corte no cuenta con la información exacta sobre el trámite de cada proceso laboral. Sin embargo, se deprende</w:t>
      </w:r>
      <w:r>
        <w:rPr>
          <w:spacing w:val="-5"/>
          <w:sz w:val="16"/>
        </w:rPr>
        <w:t xml:space="preserve"> </w:t>
      </w:r>
      <w:r>
        <w:rPr>
          <w:sz w:val="16"/>
        </w:rPr>
        <w:t>de</w:t>
      </w:r>
      <w:r>
        <w:rPr>
          <w:spacing w:val="-5"/>
          <w:sz w:val="16"/>
        </w:rPr>
        <w:t xml:space="preserve"> </w:t>
      </w:r>
      <w:r>
        <w:rPr>
          <w:sz w:val="16"/>
        </w:rPr>
        <w:t>la</w:t>
      </w:r>
      <w:r>
        <w:rPr>
          <w:spacing w:val="-8"/>
          <w:sz w:val="16"/>
        </w:rPr>
        <w:t xml:space="preserve"> </w:t>
      </w:r>
      <w:r>
        <w:rPr>
          <w:sz w:val="16"/>
        </w:rPr>
        <w:t>ficha</w:t>
      </w:r>
      <w:r>
        <w:rPr>
          <w:spacing w:val="-6"/>
          <w:sz w:val="16"/>
        </w:rPr>
        <w:t xml:space="preserve"> </w:t>
      </w:r>
      <w:r>
        <w:rPr>
          <w:sz w:val="16"/>
        </w:rPr>
        <w:t>de</w:t>
      </w:r>
      <w:r>
        <w:rPr>
          <w:spacing w:val="-7"/>
          <w:sz w:val="16"/>
        </w:rPr>
        <w:t xml:space="preserve"> </w:t>
      </w:r>
      <w:r>
        <w:rPr>
          <w:sz w:val="16"/>
        </w:rPr>
        <w:t>trámite</w:t>
      </w:r>
      <w:r>
        <w:rPr>
          <w:spacing w:val="-5"/>
          <w:sz w:val="16"/>
        </w:rPr>
        <w:t xml:space="preserve"> </w:t>
      </w:r>
      <w:r>
        <w:rPr>
          <w:sz w:val="16"/>
        </w:rPr>
        <w:t>del</w:t>
      </w:r>
      <w:r>
        <w:rPr>
          <w:spacing w:val="-8"/>
          <w:sz w:val="16"/>
        </w:rPr>
        <w:t xml:space="preserve"> </w:t>
      </w:r>
      <w:r>
        <w:rPr>
          <w:sz w:val="16"/>
        </w:rPr>
        <w:t>caso</w:t>
      </w:r>
      <w:r>
        <w:rPr>
          <w:spacing w:val="-5"/>
          <w:sz w:val="16"/>
        </w:rPr>
        <w:t xml:space="preserve"> </w:t>
      </w:r>
      <w:r>
        <w:rPr>
          <w:sz w:val="16"/>
        </w:rPr>
        <w:t>de</w:t>
      </w:r>
      <w:r>
        <w:rPr>
          <w:spacing w:val="-7"/>
          <w:sz w:val="16"/>
        </w:rPr>
        <w:t xml:space="preserve"> </w:t>
      </w:r>
      <w:r>
        <w:rPr>
          <w:sz w:val="16"/>
        </w:rPr>
        <w:t>Leila</w:t>
      </w:r>
      <w:r>
        <w:rPr>
          <w:spacing w:val="-6"/>
          <w:sz w:val="16"/>
        </w:rPr>
        <w:t xml:space="preserve"> </w:t>
      </w:r>
      <w:r>
        <w:rPr>
          <w:sz w:val="16"/>
        </w:rPr>
        <w:t>Cerqueira</w:t>
      </w:r>
      <w:r>
        <w:rPr>
          <w:spacing w:val="-6"/>
          <w:sz w:val="16"/>
        </w:rPr>
        <w:t xml:space="preserve"> </w:t>
      </w:r>
      <w:r>
        <w:rPr>
          <w:sz w:val="16"/>
        </w:rPr>
        <w:t>dos</w:t>
      </w:r>
      <w:r>
        <w:rPr>
          <w:spacing w:val="-7"/>
          <w:sz w:val="16"/>
        </w:rPr>
        <w:t xml:space="preserve"> </w:t>
      </w:r>
      <w:r>
        <w:rPr>
          <w:sz w:val="16"/>
        </w:rPr>
        <w:t>Santos,</w:t>
      </w:r>
      <w:r>
        <w:rPr>
          <w:spacing w:val="-6"/>
          <w:sz w:val="16"/>
        </w:rPr>
        <w:t xml:space="preserve"> </w:t>
      </w:r>
      <w:r>
        <w:rPr>
          <w:sz w:val="16"/>
        </w:rPr>
        <w:t>presentada</w:t>
      </w:r>
      <w:r>
        <w:rPr>
          <w:spacing w:val="-6"/>
          <w:sz w:val="16"/>
        </w:rPr>
        <w:t xml:space="preserve"> </w:t>
      </w:r>
      <w:r>
        <w:rPr>
          <w:sz w:val="16"/>
        </w:rPr>
        <w:t>por</w:t>
      </w:r>
      <w:r>
        <w:rPr>
          <w:spacing w:val="-3"/>
          <w:sz w:val="16"/>
        </w:rPr>
        <w:t xml:space="preserve"> </w:t>
      </w:r>
      <w:r>
        <w:rPr>
          <w:sz w:val="16"/>
        </w:rPr>
        <w:t>el</w:t>
      </w:r>
      <w:r>
        <w:rPr>
          <w:spacing w:val="-6"/>
          <w:sz w:val="16"/>
        </w:rPr>
        <w:t xml:space="preserve"> </w:t>
      </w:r>
      <w:r>
        <w:rPr>
          <w:sz w:val="16"/>
        </w:rPr>
        <w:t>Estado</w:t>
      </w:r>
      <w:r>
        <w:rPr>
          <w:spacing w:val="-7"/>
          <w:sz w:val="16"/>
        </w:rPr>
        <w:t xml:space="preserve"> </w:t>
      </w:r>
      <w:r>
        <w:rPr>
          <w:sz w:val="16"/>
        </w:rPr>
        <w:t>en</w:t>
      </w:r>
      <w:r>
        <w:rPr>
          <w:spacing w:val="-6"/>
          <w:sz w:val="16"/>
        </w:rPr>
        <w:t xml:space="preserve"> </w:t>
      </w:r>
      <w:r>
        <w:rPr>
          <w:sz w:val="16"/>
        </w:rPr>
        <w:t>su</w:t>
      </w:r>
      <w:r>
        <w:rPr>
          <w:spacing w:val="-6"/>
          <w:sz w:val="16"/>
        </w:rPr>
        <w:t xml:space="preserve"> </w:t>
      </w:r>
      <w:r>
        <w:rPr>
          <w:sz w:val="16"/>
        </w:rPr>
        <w:t>contestación, que su proceso estuvo archivado prov</w:t>
      </w:r>
      <w:r>
        <w:rPr>
          <w:sz w:val="16"/>
        </w:rPr>
        <w:t>isoriamente entre el 8 de noviembre de 2002 y el 27 de octubre de 2009; en razón</w:t>
      </w:r>
      <w:r>
        <w:rPr>
          <w:spacing w:val="-6"/>
          <w:sz w:val="16"/>
        </w:rPr>
        <w:t xml:space="preserve"> </w:t>
      </w:r>
      <w:r>
        <w:rPr>
          <w:sz w:val="16"/>
        </w:rPr>
        <w:t>de</w:t>
      </w:r>
      <w:r>
        <w:rPr>
          <w:spacing w:val="-4"/>
          <w:sz w:val="16"/>
        </w:rPr>
        <w:t xml:space="preserve"> </w:t>
      </w:r>
      <w:r>
        <w:rPr>
          <w:sz w:val="16"/>
        </w:rPr>
        <w:t>la</w:t>
      </w:r>
      <w:r>
        <w:rPr>
          <w:spacing w:val="-6"/>
          <w:sz w:val="16"/>
        </w:rPr>
        <w:t xml:space="preserve"> </w:t>
      </w:r>
      <w:r>
        <w:rPr>
          <w:sz w:val="16"/>
        </w:rPr>
        <w:t>frustración</w:t>
      </w:r>
      <w:r>
        <w:rPr>
          <w:spacing w:val="-5"/>
          <w:sz w:val="16"/>
        </w:rPr>
        <w:t xml:space="preserve"> </w:t>
      </w:r>
      <w:r>
        <w:rPr>
          <w:sz w:val="16"/>
        </w:rPr>
        <w:t>de</w:t>
      </w:r>
      <w:r>
        <w:rPr>
          <w:spacing w:val="-4"/>
          <w:sz w:val="16"/>
        </w:rPr>
        <w:t xml:space="preserve"> </w:t>
      </w:r>
      <w:r>
        <w:rPr>
          <w:sz w:val="16"/>
        </w:rPr>
        <w:t>la</w:t>
      </w:r>
      <w:r>
        <w:rPr>
          <w:spacing w:val="-6"/>
          <w:sz w:val="16"/>
        </w:rPr>
        <w:t xml:space="preserve"> </w:t>
      </w:r>
      <w:r>
        <w:rPr>
          <w:sz w:val="16"/>
        </w:rPr>
        <w:t>ejecución,</w:t>
      </w:r>
      <w:r>
        <w:rPr>
          <w:spacing w:val="-5"/>
          <w:sz w:val="16"/>
        </w:rPr>
        <w:t xml:space="preserve"> </w:t>
      </w:r>
      <w:r>
        <w:rPr>
          <w:sz w:val="16"/>
        </w:rPr>
        <w:t>fue</w:t>
      </w:r>
      <w:r>
        <w:rPr>
          <w:spacing w:val="-6"/>
          <w:sz w:val="16"/>
        </w:rPr>
        <w:t xml:space="preserve"> </w:t>
      </w:r>
      <w:r>
        <w:rPr>
          <w:sz w:val="16"/>
        </w:rPr>
        <w:t>suspendido</w:t>
      </w:r>
      <w:r>
        <w:rPr>
          <w:spacing w:val="-6"/>
          <w:sz w:val="16"/>
        </w:rPr>
        <w:t xml:space="preserve"> </w:t>
      </w:r>
      <w:r>
        <w:rPr>
          <w:sz w:val="16"/>
        </w:rPr>
        <w:t>del</w:t>
      </w:r>
      <w:r>
        <w:rPr>
          <w:spacing w:val="-7"/>
          <w:sz w:val="16"/>
        </w:rPr>
        <w:t xml:space="preserve"> </w:t>
      </w:r>
      <w:r>
        <w:rPr>
          <w:sz w:val="16"/>
        </w:rPr>
        <w:t>6</w:t>
      </w:r>
      <w:r>
        <w:rPr>
          <w:spacing w:val="-5"/>
          <w:sz w:val="16"/>
        </w:rPr>
        <w:t xml:space="preserve"> </w:t>
      </w:r>
      <w:r>
        <w:rPr>
          <w:sz w:val="16"/>
        </w:rPr>
        <w:t>de</w:t>
      </w:r>
      <w:r>
        <w:rPr>
          <w:spacing w:val="-5"/>
          <w:sz w:val="16"/>
        </w:rPr>
        <w:t xml:space="preserve"> </w:t>
      </w:r>
      <w:r>
        <w:rPr>
          <w:sz w:val="16"/>
        </w:rPr>
        <w:t>agosto</w:t>
      </w:r>
      <w:r>
        <w:rPr>
          <w:spacing w:val="-6"/>
          <w:sz w:val="16"/>
        </w:rPr>
        <w:t xml:space="preserve"> </w:t>
      </w:r>
      <w:r>
        <w:rPr>
          <w:sz w:val="16"/>
        </w:rPr>
        <w:t>de</w:t>
      </w:r>
      <w:r>
        <w:rPr>
          <w:spacing w:val="-6"/>
          <w:sz w:val="16"/>
        </w:rPr>
        <w:t xml:space="preserve"> </w:t>
      </w:r>
      <w:r>
        <w:rPr>
          <w:sz w:val="16"/>
        </w:rPr>
        <w:t>2010</w:t>
      </w:r>
      <w:r>
        <w:rPr>
          <w:spacing w:val="-4"/>
          <w:sz w:val="16"/>
        </w:rPr>
        <w:t xml:space="preserve"> </w:t>
      </w:r>
      <w:r>
        <w:rPr>
          <w:sz w:val="16"/>
        </w:rPr>
        <w:t>al</w:t>
      </w:r>
      <w:r>
        <w:rPr>
          <w:spacing w:val="-5"/>
          <w:sz w:val="16"/>
        </w:rPr>
        <w:t xml:space="preserve"> </w:t>
      </w:r>
      <w:r>
        <w:rPr>
          <w:sz w:val="16"/>
        </w:rPr>
        <w:t>24</w:t>
      </w:r>
      <w:r>
        <w:rPr>
          <w:spacing w:val="-5"/>
          <w:sz w:val="16"/>
        </w:rPr>
        <w:t xml:space="preserve"> </w:t>
      </w:r>
      <w:r>
        <w:rPr>
          <w:sz w:val="16"/>
        </w:rPr>
        <w:t>de</w:t>
      </w:r>
      <w:r>
        <w:rPr>
          <w:spacing w:val="-5"/>
          <w:sz w:val="16"/>
        </w:rPr>
        <w:t xml:space="preserve"> </w:t>
      </w:r>
      <w:r>
        <w:rPr>
          <w:sz w:val="16"/>
        </w:rPr>
        <w:t>noviembre</w:t>
      </w:r>
      <w:r>
        <w:rPr>
          <w:spacing w:val="-6"/>
          <w:sz w:val="16"/>
        </w:rPr>
        <w:t xml:space="preserve"> </w:t>
      </w:r>
      <w:r>
        <w:rPr>
          <w:sz w:val="16"/>
        </w:rPr>
        <w:t>de</w:t>
      </w:r>
      <w:r>
        <w:rPr>
          <w:spacing w:val="-6"/>
          <w:sz w:val="16"/>
        </w:rPr>
        <w:t xml:space="preserve"> </w:t>
      </w:r>
      <w:r>
        <w:rPr>
          <w:sz w:val="16"/>
        </w:rPr>
        <w:t>2011</w:t>
      </w:r>
      <w:r>
        <w:rPr>
          <w:spacing w:val="-7"/>
          <w:sz w:val="16"/>
        </w:rPr>
        <w:t xml:space="preserve"> </w:t>
      </w:r>
      <w:r>
        <w:rPr>
          <w:sz w:val="16"/>
        </w:rPr>
        <w:t>y</w:t>
      </w:r>
      <w:r>
        <w:rPr>
          <w:spacing w:val="-6"/>
          <w:sz w:val="16"/>
        </w:rPr>
        <w:t xml:space="preserve"> </w:t>
      </w:r>
      <w:r>
        <w:rPr>
          <w:sz w:val="16"/>
        </w:rPr>
        <w:t>del</w:t>
      </w:r>
      <w:r>
        <w:rPr>
          <w:spacing w:val="-5"/>
          <w:sz w:val="16"/>
        </w:rPr>
        <w:t xml:space="preserve"> </w:t>
      </w:r>
      <w:r>
        <w:rPr>
          <w:sz w:val="16"/>
        </w:rPr>
        <w:t>18 de diciembre de 2013 al 14 de mayo de 2014 (expediente de prueba, folios 2624 a</w:t>
      </w:r>
      <w:r>
        <w:rPr>
          <w:spacing w:val="-29"/>
          <w:sz w:val="16"/>
        </w:rPr>
        <w:t xml:space="preserve"> </w:t>
      </w:r>
      <w:r>
        <w:rPr>
          <w:sz w:val="16"/>
        </w:rPr>
        <w:t>2638).</w:t>
      </w:r>
    </w:p>
    <w:p w14:paraId="03DA0964" w14:textId="77777777" w:rsidR="00467FCA" w:rsidRDefault="001B68EB">
      <w:pPr>
        <w:tabs>
          <w:tab w:val="left" w:pos="839"/>
        </w:tabs>
        <w:ind w:left="119" w:right="115"/>
        <w:jc w:val="both"/>
        <w:rPr>
          <w:sz w:val="16"/>
        </w:rPr>
      </w:pPr>
      <w:bookmarkStart w:id="447" w:name="_bookmark393"/>
      <w:bookmarkEnd w:id="447"/>
      <w:r>
        <w:rPr>
          <w:position w:val="6"/>
          <w:sz w:val="10"/>
        </w:rPr>
        <w:t>336</w:t>
      </w:r>
      <w:r>
        <w:rPr>
          <w:position w:val="6"/>
          <w:sz w:val="10"/>
        </w:rPr>
        <w:tab/>
      </w:r>
      <w:r>
        <w:rPr>
          <w:sz w:val="16"/>
        </w:rPr>
        <w:t>El informe presentado por el Director Adjunto de la Secretaría del Trabajo de Santo Antônio de Jesus, de 5 de octubre de 2005, señala que las acciones resueltas a</w:t>
      </w:r>
      <w:r>
        <w:rPr>
          <w:sz w:val="16"/>
        </w:rPr>
        <w:t xml:space="preserve"> favor de los demandantes se encontraban en archivo provisorio pues no se habían encontrado bienes del condenado que permitieran la ejecución de las sentencias. </w:t>
      </w:r>
      <w:r>
        <w:rPr>
          <w:i/>
          <w:sz w:val="16"/>
        </w:rPr>
        <w:t xml:space="preserve">Cfr. </w:t>
      </w:r>
      <w:r>
        <w:rPr>
          <w:sz w:val="16"/>
        </w:rPr>
        <w:t>Informe del Director Adjunto de Secretaría del Trabajo en Santo Antônio de Jesus,</w:t>
      </w:r>
      <w:r>
        <w:rPr>
          <w:spacing w:val="-21"/>
          <w:sz w:val="16"/>
        </w:rPr>
        <w:t xml:space="preserve"> </w:t>
      </w:r>
      <w:r>
        <w:rPr>
          <w:i/>
          <w:sz w:val="16"/>
        </w:rPr>
        <w:t>supra</w:t>
      </w:r>
      <w:r>
        <w:rPr>
          <w:sz w:val="16"/>
        </w:rPr>
        <w:t>.</w:t>
      </w:r>
    </w:p>
    <w:p w14:paraId="5EA7042A" w14:textId="77777777" w:rsidR="00467FCA" w:rsidRDefault="001B68EB">
      <w:pPr>
        <w:tabs>
          <w:tab w:val="left" w:pos="839"/>
        </w:tabs>
        <w:ind w:left="119" w:right="120"/>
        <w:jc w:val="both"/>
        <w:rPr>
          <w:sz w:val="16"/>
        </w:rPr>
      </w:pPr>
      <w:bookmarkStart w:id="448" w:name="_bookmark394"/>
      <w:bookmarkEnd w:id="448"/>
      <w:r>
        <w:rPr>
          <w:position w:val="6"/>
          <w:sz w:val="10"/>
        </w:rPr>
        <w:t>3</w:t>
      </w:r>
      <w:r>
        <w:rPr>
          <w:position w:val="6"/>
          <w:sz w:val="10"/>
        </w:rPr>
        <w:t>37</w:t>
      </w:r>
      <w:r>
        <w:rPr>
          <w:position w:val="6"/>
          <w:sz w:val="10"/>
        </w:rPr>
        <w:tab/>
      </w:r>
      <w:r>
        <w:rPr>
          <w:i/>
          <w:sz w:val="16"/>
        </w:rPr>
        <w:t xml:space="preserve">Cfr. </w:t>
      </w:r>
      <w:r>
        <w:rPr>
          <w:sz w:val="16"/>
        </w:rPr>
        <w:t xml:space="preserve">Comunicación de la Jueza Cássia Magali Moreira Daltro, de la Justicia del Trabajo de Santo Antônio </w:t>
      </w:r>
      <w:r>
        <w:rPr>
          <w:spacing w:val="-5"/>
          <w:sz w:val="16"/>
        </w:rPr>
        <w:t xml:space="preserve">de </w:t>
      </w:r>
      <w:r>
        <w:rPr>
          <w:sz w:val="16"/>
        </w:rPr>
        <w:t>Jesus, a la Abogacía General de la Unión, 21 de febrero de 2019 (expediente de prueba, folio</w:t>
      </w:r>
      <w:r>
        <w:rPr>
          <w:spacing w:val="-27"/>
          <w:sz w:val="16"/>
        </w:rPr>
        <w:t xml:space="preserve"> </w:t>
      </w:r>
      <w:r>
        <w:rPr>
          <w:sz w:val="16"/>
        </w:rPr>
        <w:t>4106).</w:t>
      </w:r>
    </w:p>
    <w:p w14:paraId="485799FF" w14:textId="77777777" w:rsidR="00467FCA" w:rsidRDefault="00467FCA">
      <w:pPr>
        <w:jc w:val="both"/>
        <w:rPr>
          <w:sz w:val="16"/>
        </w:rPr>
        <w:sectPr w:rsidR="00467FCA">
          <w:footerReference w:type="default" r:id="rId33"/>
          <w:pgSz w:w="12240" w:h="15840"/>
          <w:pgMar w:top="1360" w:right="1320" w:bottom="1140" w:left="1320" w:header="0" w:footer="957" w:gutter="0"/>
          <w:pgNumType w:start="68"/>
          <w:cols w:space="720"/>
        </w:sectPr>
      </w:pPr>
    </w:p>
    <w:p w14:paraId="63BBA433" w14:textId="77777777" w:rsidR="00467FCA" w:rsidRDefault="001B68EB">
      <w:pPr>
        <w:pStyle w:val="Textoindependiente"/>
        <w:spacing w:before="80"/>
        <w:ind w:left="120" w:right="36"/>
      </w:pPr>
      <w:r>
        <w:t>indemnizaciones.</w:t>
      </w:r>
      <w:r>
        <w:rPr>
          <w:spacing w:val="-12"/>
        </w:rPr>
        <w:t xml:space="preserve"> </w:t>
      </w:r>
      <w:r>
        <w:t>Por</w:t>
      </w:r>
      <w:r>
        <w:rPr>
          <w:spacing w:val="-11"/>
        </w:rPr>
        <w:t xml:space="preserve"> </w:t>
      </w:r>
      <w:r>
        <w:t>lo</w:t>
      </w:r>
      <w:r>
        <w:rPr>
          <w:spacing w:val="-10"/>
        </w:rPr>
        <w:t xml:space="preserve"> </w:t>
      </w:r>
      <w:r>
        <w:t>anterior,</w:t>
      </w:r>
      <w:r>
        <w:rPr>
          <w:spacing w:val="-8"/>
        </w:rPr>
        <w:t xml:space="preserve"> </w:t>
      </w:r>
      <w:r>
        <w:t>el</w:t>
      </w:r>
      <w:r>
        <w:rPr>
          <w:spacing w:val="-11"/>
        </w:rPr>
        <w:t xml:space="preserve"> </w:t>
      </w:r>
      <w:r>
        <w:t>Tribunal</w:t>
      </w:r>
      <w:r>
        <w:rPr>
          <w:spacing w:val="-10"/>
        </w:rPr>
        <w:t xml:space="preserve"> </w:t>
      </w:r>
      <w:r>
        <w:t>concluye</w:t>
      </w:r>
      <w:r>
        <w:rPr>
          <w:spacing w:val="-12"/>
        </w:rPr>
        <w:t xml:space="preserve"> </w:t>
      </w:r>
      <w:r>
        <w:t>que</w:t>
      </w:r>
      <w:r>
        <w:rPr>
          <w:spacing w:val="-9"/>
        </w:rPr>
        <w:t xml:space="preserve"> </w:t>
      </w:r>
      <w:r>
        <w:t>el</w:t>
      </w:r>
      <w:r>
        <w:rPr>
          <w:spacing w:val="-10"/>
        </w:rPr>
        <w:t xml:space="preserve"> </w:t>
      </w:r>
      <w:r>
        <w:t>Estado</w:t>
      </w:r>
      <w:r>
        <w:rPr>
          <w:spacing w:val="-12"/>
        </w:rPr>
        <w:t xml:space="preserve"> </w:t>
      </w:r>
      <w:r>
        <w:t>también</w:t>
      </w:r>
      <w:r>
        <w:rPr>
          <w:spacing w:val="-9"/>
        </w:rPr>
        <w:t xml:space="preserve"> </w:t>
      </w:r>
      <w:r>
        <w:t>incumplió</w:t>
      </w:r>
      <w:r>
        <w:rPr>
          <w:spacing w:val="-12"/>
        </w:rPr>
        <w:t xml:space="preserve"> </w:t>
      </w:r>
      <w:r>
        <w:t>con</w:t>
      </w:r>
      <w:r>
        <w:rPr>
          <w:spacing w:val="-7"/>
        </w:rPr>
        <w:t xml:space="preserve"> </w:t>
      </w:r>
      <w:r>
        <w:t>su deber de debida diligencia en los procesos</w:t>
      </w:r>
      <w:r>
        <w:rPr>
          <w:spacing w:val="-9"/>
        </w:rPr>
        <w:t xml:space="preserve"> </w:t>
      </w:r>
      <w:r>
        <w:t>laborales.</w:t>
      </w:r>
    </w:p>
    <w:p w14:paraId="30972D31" w14:textId="77777777" w:rsidR="00467FCA" w:rsidRDefault="00467FCA">
      <w:pPr>
        <w:pStyle w:val="Textoindependiente"/>
        <w:spacing w:before="1"/>
      </w:pPr>
    </w:p>
    <w:p w14:paraId="32AD8386" w14:textId="77777777" w:rsidR="00467FCA" w:rsidRDefault="001B68EB">
      <w:pPr>
        <w:pStyle w:val="Ttulo2"/>
        <w:numPr>
          <w:ilvl w:val="1"/>
          <w:numId w:val="39"/>
        </w:numPr>
        <w:tabs>
          <w:tab w:val="left" w:pos="1559"/>
          <w:tab w:val="left" w:pos="1561"/>
        </w:tabs>
        <w:ind w:left="1560" w:hanging="722"/>
      </w:pPr>
      <w:bookmarkStart w:id="449" w:name="B.2__Ausencia_de_protección_judicial_efe"/>
      <w:bookmarkStart w:id="450" w:name="_bookmark395"/>
      <w:bookmarkEnd w:id="449"/>
      <w:bookmarkEnd w:id="450"/>
      <w:r>
        <w:t>Ausencia de protección judicial</w:t>
      </w:r>
      <w:r>
        <w:rPr>
          <w:spacing w:val="-4"/>
        </w:rPr>
        <w:t xml:space="preserve"> </w:t>
      </w:r>
      <w:r>
        <w:t>efectiva</w:t>
      </w:r>
    </w:p>
    <w:p w14:paraId="459B7389" w14:textId="77777777" w:rsidR="00467FCA" w:rsidRDefault="00467FCA">
      <w:pPr>
        <w:pStyle w:val="Textoindependiente"/>
        <w:spacing w:before="10"/>
        <w:rPr>
          <w:b/>
          <w:i/>
          <w:sz w:val="19"/>
        </w:rPr>
      </w:pPr>
    </w:p>
    <w:p w14:paraId="77AC3006"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La Corte ha reiterado que un proceso debe tender a la materialización de la protección del</w:t>
      </w:r>
      <w:r>
        <w:rPr>
          <w:spacing w:val="-11"/>
          <w:sz w:val="20"/>
        </w:rPr>
        <w:t xml:space="preserve"> </w:t>
      </w:r>
      <w:r>
        <w:rPr>
          <w:sz w:val="20"/>
        </w:rPr>
        <w:t>derecho</w:t>
      </w:r>
      <w:r>
        <w:rPr>
          <w:spacing w:val="-10"/>
          <w:sz w:val="20"/>
        </w:rPr>
        <w:t xml:space="preserve"> </w:t>
      </w:r>
      <w:r>
        <w:rPr>
          <w:sz w:val="20"/>
        </w:rPr>
        <w:t>reconocido</w:t>
      </w:r>
      <w:r>
        <w:rPr>
          <w:spacing w:val="-10"/>
          <w:sz w:val="20"/>
        </w:rPr>
        <w:t xml:space="preserve"> </w:t>
      </w:r>
      <w:r>
        <w:rPr>
          <w:sz w:val="20"/>
        </w:rPr>
        <w:t>en</w:t>
      </w:r>
      <w:r>
        <w:rPr>
          <w:spacing w:val="-9"/>
          <w:sz w:val="20"/>
        </w:rPr>
        <w:t xml:space="preserve"> </w:t>
      </w:r>
      <w:r>
        <w:rPr>
          <w:sz w:val="20"/>
        </w:rPr>
        <w:t>el</w:t>
      </w:r>
      <w:r>
        <w:rPr>
          <w:spacing w:val="-11"/>
          <w:sz w:val="20"/>
        </w:rPr>
        <w:t xml:space="preserve"> </w:t>
      </w:r>
      <w:r>
        <w:rPr>
          <w:sz w:val="20"/>
        </w:rPr>
        <w:t>pronunciamiento</w:t>
      </w:r>
      <w:r>
        <w:rPr>
          <w:spacing w:val="-11"/>
          <w:sz w:val="20"/>
        </w:rPr>
        <w:t xml:space="preserve"> </w:t>
      </w:r>
      <w:r>
        <w:rPr>
          <w:sz w:val="20"/>
        </w:rPr>
        <w:t>judicial,</w:t>
      </w:r>
      <w:r>
        <w:rPr>
          <w:spacing w:val="-12"/>
          <w:sz w:val="20"/>
        </w:rPr>
        <w:t xml:space="preserve"> </w:t>
      </w:r>
      <w:r>
        <w:rPr>
          <w:sz w:val="20"/>
        </w:rPr>
        <w:t>mediante</w:t>
      </w:r>
      <w:r>
        <w:rPr>
          <w:spacing w:val="-12"/>
          <w:sz w:val="20"/>
        </w:rPr>
        <w:t xml:space="preserve"> </w:t>
      </w:r>
      <w:r>
        <w:rPr>
          <w:sz w:val="20"/>
        </w:rPr>
        <w:t>la</w:t>
      </w:r>
      <w:r>
        <w:rPr>
          <w:spacing w:val="-10"/>
          <w:sz w:val="20"/>
        </w:rPr>
        <w:t xml:space="preserve"> </w:t>
      </w:r>
      <w:r>
        <w:rPr>
          <w:sz w:val="20"/>
        </w:rPr>
        <w:t>aplicación</w:t>
      </w:r>
      <w:r>
        <w:rPr>
          <w:spacing w:val="-10"/>
          <w:sz w:val="20"/>
        </w:rPr>
        <w:t xml:space="preserve"> </w:t>
      </w:r>
      <w:r>
        <w:rPr>
          <w:sz w:val="20"/>
        </w:rPr>
        <w:t>idónea</w:t>
      </w:r>
      <w:r>
        <w:rPr>
          <w:spacing w:val="-11"/>
          <w:sz w:val="20"/>
        </w:rPr>
        <w:t xml:space="preserve"> </w:t>
      </w:r>
      <w:r>
        <w:rPr>
          <w:sz w:val="20"/>
        </w:rPr>
        <w:t>de</w:t>
      </w:r>
      <w:r>
        <w:rPr>
          <w:spacing w:val="-11"/>
          <w:sz w:val="20"/>
        </w:rPr>
        <w:t xml:space="preserve"> </w:t>
      </w:r>
      <w:r>
        <w:rPr>
          <w:sz w:val="20"/>
        </w:rPr>
        <w:t>dicho pronunciamiento</w:t>
      </w:r>
      <w:hyperlink w:anchor="_bookmark396" w:history="1">
        <w:r>
          <w:rPr>
            <w:position w:val="7"/>
            <w:sz w:val="13"/>
          </w:rPr>
          <w:t>338</w:t>
        </w:r>
      </w:hyperlink>
      <w:r>
        <w:rPr>
          <w:sz w:val="20"/>
        </w:rPr>
        <w:t>. Por tanto, la efectivid</w:t>
      </w:r>
      <w:r>
        <w:rPr>
          <w:sz w:val="20"/>
        </w:rPr>
        <w:t xml:space="preserve">ad de las sentencias depende de su ejecución </w:t>
      </w:r>
      <w:hyperlink w:anchor="_bookmark397" w:history="1">
        <w:r>
          <w:rPr>
            <w:position w:val="7"/>
            <w:sz w:val="13"/>
          </w:rPr>
          <w:t>339</w:t>
        </w:r>
      </w:hyperlink>
      <w:r>
        <w:rPr>
          <w:sz w:val="20"/>
        </w:rPr>
        <w:t>. Así, “una sentencia con carácter de cosa juzgada otorga certeza sobre el derecho o controversia discutida en el caso concreto y, por ende, tiene como uno de sus efectos la ob</w:t>
      </w:r>
      <w:r>
        <w:rPr>
          <w:sz w:val="20"/>
        </w:rPr>
        <w:t>ligatoriedad o necesidad de cumplimiento. Lo contrario supone la negación misma del derecho involucrado”</w:t>
      </w:r>
      <w:hyperlink w:anchor="_bookmark398" w:history="1">
        <w:r>
          <w:rPr>
            <w:position w:val="7"/>
            <w:sz w:val="13"/>
          </w:rPr>
          <w:t>340</w:t>
        </w:r>
      </w:hyperlink>
      <w:r>
        <w:rPr>
          <w:sz w:val="20"/>
        </w:rPr>
        <w:t>. Así, es imprescindible que el Estado garantice los medios para ejecutar las decisiones</w:t>
      </w:r>
      <w:r>
        <w:rPr>
          <w:spacing w:val="-1"/>
          <w:sz w:val="20"/>
        </w:rPr>
        <w:t xml:space="preserve"> </w:t>
      </w:r>
      <w:r>
        <w:rPr>
          <w:sz w:val="20"/>
        </w:rPr>
        <w:t>definitivas</w:t>
      </w:r>
      <w:hyperlink w:anchor="_bookmark399" w:history="1">
        <w:r>
          <w:rPr>
            <w:position w:val="7"/>
            <w:sz w:val="13"/>
          </w:rPr>
          <w:t>341</w:t>
        </w:r>
      </w:hyperlink>
      <w:r>
        <w:rPr>
          <w:sz w:val="20"/>
        </w:rPr>
        <w:t>.</w:t>
      </w:r>
    </w:p>
    <w:p w14:paraId="23BB4D8B" w14:textId="77777777" w:rsidR="00467FCA" w:rsidRDefault="00467FCA">
      <w:pPr>
        <w:pStyle w:val="Textoindependiente"/>
        <w:spacing w:before="1"/>
      </w:pPr>
    </w:p>
    <w:p w14:paraId="639A8E9B" w14:textId="77777777" w:rsidR="00467FCA" w:rsidRDefault="001B68EB">
      <w:pPr>
        <w:pStyle w:val="Prrafodelista"/>
        <w:numPr>
          <w:ilvl w:val="0"/>
          <w:numId w:val="50"/>
        </w:numPr>
        <w:tabs>
          <w:tab w:val="left" w:pos="687"/>
        </w:tabs>
        <w:ind w:left="119" w:right="117" w:firstLine="0"/>
        <w:jc w:val="both"/>
        <w:rPr>
          <w:sz w:val="20"/>
        </w:rPr>
      </w:pPr>
      <w:r>
        <w:rPr>
          <w:sz w:val="20"/>
        </w:rPr>
        <w:t>La Corte considera que la ejecución de las sentencias debe ser regida por aquellos estándares</w:t>
      </w:r>
      <w:r>
        <w:rPr>
          <w:spacing w:val="-17"/>
          <w:sz w:val="20"/>
        </w:rPr>
        <w:t xml:space="preserve"> </w:t>
      </w:r>
      <w:r>
        <w:rPr>
          <w:sz w:val="20"/>
        </w:rPr>
        <w:t>específicos</w:t>
      </w:r>
      <w:r>
        <w:rPr>
          <w:spacing w:val="-22"/>
          <w:sz w:val="20"/>
        </w:rPr>
        <w:t xml:space="preserve"> </w:t>
      </w:r>
      <w:r>
        <w:rPr>
          <w:sz w:val="20"/>
        </w:rPr>
        <w:t>que</w:t>
      </w:r>
      <w:r>
        <w:rPr>
          <w:spacing w:val="-21"/>
          <w:sz w:val="20"/>
        </w:rPr>
        <w:t xml:space="preserve"> </w:t>
      </w:r>
      <w:r>
        <w:rPr>
          <w:sz w:val="20"/>
        </w:rPr>
        <w:t>permitan</w:t>
      </w:r>
      <w:r>
        <w:rPr>
          <w:spacing w:val="-17"/>
          <w:sz w:val="20"/>
        </w:rPr>
        <w:t xml:space="preserve"> </w:t>
      </w:r>
      <w:r>
        <w:rPr>
          <w:sz w:val="20"/>
        </w:rPr>
        <w:t>hacer</w:t>
      </w:r>
      <w:r>
        <w:rPr>
          <w:spacing w:val="-17"/>
          <w:sz w:val="20"/>
        </w:rPr>
        <w:t xml:space="preserve"> </w:t>
      </w:r>
      <w:r>
        <w:rPr>
          <w:sz w:val="20"/>
        </w:rPr>
        <w:t>efectivos</w:t>
      </w:r>
      <w:r>
        <w:rPr>
          <w:spacing w:val="-18"/>
          <w:sz w:val="20"/>
        </w:rPr>
        <w:t xml:space="preserve"> </w:t>
      </w:r>
      <w:r>
        <w:rPr>
          <w:sz w:val="20"/>
        </w:rPr>
        <w:t>los</w:t>
      </w:r>
      <w:r>
        <w:rPr>
          <w:spacing w:val="-19"/>
          <w:sz w:val="20"/>
        </w:rPr>
        <w:t xml:space="preserve"> </w:t>
      </w:r>
      <w:r>
        <w:rPr>
          <w:sz w:val="20"/>
        </w:rPr>
        <w:t>principios,</w:t>
      </w:r>
      <w:r>
        <w:rPr>
          <w:spacing w:val="-19"/>
          <w:sz w:val="20"/>
        </w:rPr>
        <w:t xml:space="preserve"> </w:t>
      </w:r>
      <w:r>
        <w:rPr>
          <w:i/>
          <w:sz w:val="20"/>
        </w:rPr>
        <w:t>inter</w:t>
      </w:r>
      <w:r>
        <w:rPr>
          <w:i/>
          <w:spacing w:val="-16"/>
          <w:sz w:val="20"/>
        </w:rPr>
        <w:t xml:space="preserve"> </w:t>
      </w:r>
      <w:r>
        <w:rPr>
          <w:i/>
          <w:sz w:val="20"/>
        </w:rPr>
        <w:t>alia,</w:t>
      </w:r>
      <w:r>
        <w:rPr>
          <w:i/>
          <w:spacing w:val="-21"/>
          <w:sz w:val="20"/>
        </w:rPr>
        <w:t xml:space="preserve"> </w:t>
      </w:r>
      <w:r>
        <w:rPr>
          <w:sz w:val="20"/>
        </w:rPr>
        <w:t>de</w:t>
      </w:r>
      <w:r>
        <w:rPr>
          <w:spacing w:val="-21"/>
          <w:sz w:val="20"/>
        </w:rPr>
        <w:t xml:space="preserve"> </w:t>
      </w:r>
      <w:r>
        <w:rPr>
          <w:sz w:val="20"/>
        </w:rPr>
        <w:t>tutela</w:t>
      </w:r>
      <w:r>
        <w:rPr>
          <w:spacing w:val="-18"/>
          <w:sz w:val="20"/>
        </w:rPr>
        <w:t xml:space="preserve"> </w:t>
      </w:r>
      <w:r>
        <w:rPr>
          <w:sz w:val="20"/>
        </w:rPr>
        <w:t>judicial, debido proceso, seguridad jurídica, independencia judicial y estado de derecho. La Corte concuerda con el Tribunal Europeo de Derechos Humanos al considerar que, para lograr plenamente la efectividad de la sentencia, la ejecución debe ser complet</w:t>
      </w:r>
      <w:r>
        <w:rPr>
          <w:sz w:val="20"/>
        </w:rPr>
        <w:t>a, perfecta, integral y sin</w:t>
      </w:r>
      <w:r>
        <w:rPr>
          <w:spacing w:val="-1"/>
          <w:sz w:val="20"/>
        </w:rPr>
        <w:t xml:space="preserve"> </w:t>
      </w:r>
      <w:r>
        <w:rPr>
          <w:sz w:val="20"/>
        </w:rPr>
        <w:t>demora</w:t>
      </w:r>
      <w:hyperlink w:anchor="_bookmark400" w:history="1">
        <w:r>
          <w:rPr>
            <w:position w:val="7"/>
            <w:sz w:val="13"/>
          </w:rPr>
          <w:t>342</w:t>
        </w:r>
      </w:hyperlink>
      <w:r>
        <w:rPr>
          <w:sz w:val="20"/>
        </w:rPr>
        <w:t>.</w:t>
      </w:r>
    </w:p>
    <w:p w14:paraId="3B5DCA98" w14:textId="77777777" w:rsidR="00467FCA" w:rsidRDefault="00467FCA">
      <w:pPr>
        <w:pStyle w:val="Textoindependiente"/>
      </w:pPr>
    </w:p>
    <w:p w14:paraId="1831ED7B" w14:textId="77777777" w:rsidR="00467FCA" w:rsidRDefault="001B68EB">
      <w:pPr>
        <w:pStyle w:val="Prrafodelista"/>
        <w:numPr>
          <w:ilvl w:val="0"/>
          <w:numId w:val="50"/>
        </w:numPr>
        <w:tabs>
          <w:tab w:val="left" w:pos="687"/>
        </w:tabs>
        <w:ind w:left="119" w:right="119" w:firstLine="0"/>
        <w:jc w:val="both"/>
        <w:rPr>
          <w:sz w:val="20"/>
        </w:rPr>
      </w:pPr>
      <w:r>
        <w:rPr>
          <w:sz w:val="20"/>
        </w:rPr>
        <w:t>En el presente caso, la Corte recuerda que el proceso penal fue iniciado de oficio luego de la explosión y se presentó acusación formal el 12 de abril de 1999. El 20 de octubre de 2010</w:t>
      </w:r>
      <w:r>
        <w:rPr>
          <w:sz w:val="20"/>
        </w:rPr>
        <w:t>, casi 12 años después de iniciadas las investigaciones, fueron condenadas cinco personas, incluidos Mario Fróes Prazeres Bastos y Osvaldo Prazeres Bastos, lo que fue confirmado en segunda instancia. Sin embargo, por motivo de la ausencia de citación de lo</w:t>
      </w:r>
      <w:r>
        <w:rPr>
          <w:sz w:val="20"/>
        </w:rPr>
        <w:t>s defensores de los acusados a la sesión de deliberación de la apelación, las condenas no quedaron en firme. Además, prescribió la acción penal contra Osvaldo Prazeres Bastos. Los procesos civiles iniciados por las víctimas y los procesos laborales adelant</w:t>
      </w:r>
      <w:r>
        <w:rPr>
          <w:sz w:val="20"/>
        </w:rPr>
        <w:t>ados entre 1999 y 2002, tampoco tienen solución definitiva, excepto en el caso de dos de los procesos</w:t>
      </w:r>
      <w:r>
        <w:rPr>
          <w:spacing w:val="-33"/>
          <w:sz w:val="20"/>
        </w:rPr>
        <w:t xml:space="preserve"> </w:t>
      </w:r>
      <w:r>
        <w:rPr>
          <w:sz w:val="20"/>
        </w:rPr>
        <w:t>civiles.</w:t>
      </w:r>
    </w:p>
    <w:p w14:paraId="4E704D5E" w14:textId="77777777" w:rsidR="00467FCA" w:rsidRDefault="00467FCA">
      <w:pPr>
        <w:pStyle w:val="Textoindependiente"/>
      </w:pPr>
    </w:p>
    <w:p w14:paraId="4554E624"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Con base en lo anterior, a más de 21 años de ocurridos los hechos, la Corte encuentra que ninguna persona ha sido efectivamente sancionada ni ta</w:t>
      </w:r>
      <w:r>
        <w:rPr>
          <w:sz w:val="20"/>
        </w:rPr>
        <w:t>mpoco se ha reparado adecuadamente a las víctimas de la explosión ni a sus</w:t>
      </w:r>
      <w:r>
        <w:rPr>
          <w:spacing w:val="-14"/>
          <w:sz w:val="20"/>
        </w:rPr>
        <w:t xml:space="preserve"> </w:t>
      </w:r>
      <w:r>
        <w:rPr>
          <w:sz w:val="20"/>
        </w:rPr>
        <w:t>familiares.</w:t>
      </w:r>
    </w:p>
    <w:p w14:paraId="650DC87F" w14:textId="77777777" w:rsidR="00467FCA" w:rsidRDefault="00467FCA">
      <w:pPr>
        <w:pStyle w:val="Textoindependiente"/>
        <w:spacing w:before="11"/>
        <w:rPr>
          <w:sz w:val="19"/>
        </w:rPr>
      </w:pPr>
    </w:p>
    <w:p w14:paraId="5CD18CAC" w14:textId="77777777" w:rsidR="00467FCA" w:rsidRDefault="001B68EB">
      <w:pPr>
        <w:pStyle w:val="Prrafodelista"/>
        <w:numPr>
          <w:ilvl w:val="0"/>
          <w:numId w:val="50"/>
        </w:numPr>
        <w:tabs>
          <w:tab w:val="left" w:pos="687"/>
        </w:tabs>
        <w:spacing w:before="1"/>
        <w:ind w:left="119" w:right="116" w:firstLine="0"/>
        <w:jc w:val="both"/>
        <w:rPr>
          <w:sz w:val="20"/>
        </w:rPr>
      </w:pPr>
      <w:r>
        <w:rPr>
          <w:sz w:val="20"/>
        </w:rPr>
        <w:t>Por lo anterior, este Tribunal considera que no se garantizó una protección judicial efectiva a las trabajadoras de la fábrica de fuegos, toda vez que, aunque se les ha permitido hacer</w:t>
      </w:r>
      <w:r>
        <w:rPr>
          <w:spacing w:val="-8"/>
          <w:sz w:val="20"/>
        </w:rPr>
        <w:t xml:space="preserve"> </w:t>
      </w:r>
      <w:r>
        <w:rPr>
          <w:sz w:val="20"/>
        </w:rPr>
        <w:t>uso</w:t>
      </w:r>
      <w:r>
        <w:rPr>
          <w:spacing w:val="-10"/>
          <w:sz w:val="20"/>
        </w:rPr>
        <w:t xml:space="preserve"> </w:t>
      </w:r>
      <w:r>
        <w:rPr>
          <w:sz w:val="20"/>
        </w:rPr>
        <w:t>de</w:t>
      </w:r>
      <w:r>
        <w:rPr>
          <w:spacing w:val="-7"/>
          <w:sz w:val="20"/>
        </w:rPr>
        <w:t xml:space="preserve"> </w:t>
      </w:r>
      <w:r>
        <w:rPr>
          <w:sz w:val="20"/>
        </w:rPr>
        <w:t>recursos</w:t>
      </w:r>
      <w:r>
        <w:rPr>
          <w:spacing w:val="-10"/>
          <w:sz w:val="20"/>
        </w:rPr>
        <w:t xml:space="preserve"> </w:t>
      </w:r>
      <w:r>
        <w:rPr>
          <w:sz w:val="20"/>
        </w:rPr>
        <w:t>judiciales</w:t>
      </w:r>
      <w:r>
        <w:rPr>
          <w:spacing w:val="-10"/>
          <w:sz w:val="20"/>
        </w:rPr>
        <w:t xml:space="preserve"> </w:t>
      </w:r>
      <w:r>
        <w:rPr>
          <w:sz w:val="20"/>
        </w:rPr>
        <w:t>previstos</w:t>
      </w:r>
      <w:r>
        <w:rPr>
          <w:spacing w:val="-6"/>
          <w:sz w:val="20"/>
        </w:rPr>
        <w:t xml:space="preserve"> </w:t>
      </w:r>
      <w:r>
        <w:rPr>
          <w:sz w:val="20"/>
        </w:rPr>
        <w:t>legalmente,</w:t>
      </w:r>
      <w:r>
        <w:rPr>
          <w:spacing w:val="-9"/>
          <w:sz w:val="20"/>
        </w:rPr>
        <w:t xml:space="preserve"> </w:t>
      </w:r>
      <w:r>
        <w:rPr>
          <w:sz w:val="20"/>
        </w:rPr>
        <w:t>dichos</w:t>
      </w:r>
      <w:r>
        <w:rPr>
          <w:spacing w:val="-7"/>
          <w:sz w:val="20"/>
        </w:rPr>
        <w:t xml:space="preserve"> </w:t>
      </w:r>
      <w:r>
        <w:rPr>
          <w:sz w:val="20"/>
        </w:rPr>
        <w:t>recursos</w:t>
      </w:r>
      <w:r>
        <w:rPr>
          <w:spacing w:val="-6"/>
          <w:sz w:val="20"/>
        </w:rPr>
        <w:t xml:space="preserve"> </w:t>
      </w:r>
      <w:r>
        <w:rPr>
          <w:sz w:val="20"/>
        </w:rPr>
        <w:t>o</w:t>
      </w:r>
      <w:r>
        <w:rPr>
          <w:spacing w:val="-10"/>
          <w:sz w:val="20"/>
        </w:rPr>
        <w:t xml:space="preserve"> </w:t>
      </w:r>
      <w:r>
        <w:rPr>
          <w:sz w:val="20"/>
        </w:rPr>
        <w:t>bien</w:t>
      </w:r>
      <w:r>
        <w:rPr>
          <w:spacing w:val="-7"/>
          <w:sz w:val="20"/>
        </w:rPr>
        <w:t xml:space="preserve"> </w:t>
      </w:r>
      <w:r>
        <w:rPr>
          <w:sz w:val="20"/>
        </w:rPr>
        <w:t>no</w:t>
      </w:r>
      <w:r>
        <w:rPr>
          <w:spacing w:val="-10"/>
          <w:sz w:val="20"/>
        </w:rPr>
        <w:t xml:space="preserve"> </w:t>
      </w:r>
      <w:r>
        <w:rPr>
          <w:sz w:val="20"/>
        </w:rPr>
        <w:t>tuvieron</w:t>
      </w:r>
      <w:r>
        <w:rPr>
          <w:spacing w:val="-8"/>
          <w:sz w:val="20"/>
        </w:rPr>
        <w:t xml:space="preserve"> </w:t>
      </w:r>
      <w:r>
        <w:rPr>
          <w:sz w:val="20"/>
        </w:rPr>
        <w:t>una solución definitiva después de más de 18 años desde el inicio de su trámite, o contaron con una</w:t>
      </w:r>
      <w:r>
        <w:rPr>
          <w:spacing w:val="8"/>
          <w:sz w:val="20"/>
        </w:rPr>
        <w:t xml:space="preserve"> </w:t>
      </w:r>
      <w:r>
        <w:rPr>
          <w:sz w:val="20"/>
        </w:rPr>
        <w:t>decisión</w:t>
      </w:r>
      <w:r>
        <w:rPr>
          <w:spacing w:val="10"/>
          <w:sz w:val="20"/>
        </w:rPr>
        <w:t xml:space="preserve"> </w:t>
      </w:r>
      <w:r>
        <w:rPr>
          <w:sz w:val="20"/>
        </w:rPr>
        <w:t>favorable</w:t>
      </w:r>
      <w:r>
        <w:rPr>
          <w:spacing w:val="10"/>
          <w:sz w:val="20"/>
        </w:rPr>
        <w:t xml:space="preserve"> </w:t>
      </w:r>
      <w:r>
        <w:rPr>
          <w:sz w:val="20"/>
        </w:rPr>
        <w:t>a</w:t>
      </w:r>
      <w:r>
        <w:rPr>
          <w:spacing w:val="8"/>
          <w:sz w:val="20"/>
        </w:rPr>
        <w:t xml:space="preserve"> </w:t>
      </w:r>
      <w:r>
        <w:rPr>
          <w:sz w:val="20"/>
        </w:rPr>
        <w:t>las</w:t>
      </w:r>
      <w:r>
        <w:rPr>
          <w:spacing w:val="8"/>
          <w:sz w:val="20"/>
        </w:rPr>
        <w:t xml:space="preserve"> </w:t>
      </w:r>
      <w:r>
        <w:rPr>
          <w:sz w:val="20"/>
        </w:rPr>
        <w:t>víctimas,</w:t>
      </w:r>
      <w:r>
        <w:rPr>
          <w:spacing w:val="11"/>
          <w:sz w:val="20"/>
        </w:rPr>
        <w:t xml:space="preserve"> </w:t>
      </w:r>
      <w:r>
        <w:rPr>
          <w:sz w:val="20"/>
        </w:rPr>
        <w:t>que</w:t>
      </w:r>
      <w:r>
        <w:rPr>
          <w:spacing w:val="6"/>
          <w:sz w:val="20"/>
        </w:rPr>
        <w:t xml:space="preserve"> </w:t>
      </w:r>
      <w:r>
        <w:rPr>
          <w:sz w:val="20"/>
        </w:rPr>
        <w:t>no</w:t>
      </w:r>
      <w:r>
        <w:rPr>
          <w:spacing w:val="13"/>
          <w:sz w:val="20"/>
        </w:rPr>
        <w:t xml:space="preserve"> </w:t>
      </w:r>
      <w:r>
        <w:rPr>
          <w:sz w:val="20"/>
        </w:rPr>
        <w:t>pudo</w:t>
      </w:r>
      <w:r>
        <w:rPr>
          <w:spacing w:val="8"/>
          <w:sz w:val="20"/>
        </w:rPr>
        <w:t xml:space="preserve"> </w:t>
      </w:r>
      <w:r>
        <w:rPr>
          <w:sz w:val="20"/>
        </w:rPr>
        <w:t>ser</w:t>
      </w:r>
      <w:r>
        <w:rPr>
          <w:spacing w:val="9"/>
          <w:sz w:val="20"/>
        </w:rPr>
        <w:t xml:space="preserve"> </w:t>
      </w:r>
      <w:r>
        <w:rPr>
          <w:sz w:val="20"/>
        </w:rPr>
        <w:t>ejecutada</w:t>
      </w:r>
      <w:r>
        <w:rPr>
          <w:spacing w:val="9"/>
          <w:sz w:val="20"/>
        </w:rPr>
        <w:t xml:space="preserve"> </w:t>
      </w:r>
      <w:r>
        <w:rPr>
          <w:sz w:val="20"/>
        </w:rPr>
        <w:t>por</w:t>
      </w:r>
      <w:r>
        <w:rPr>
          <w:spacing w:val="10"/>
          <w:sz w:val="20"/>
        </w:rPr>
        <w:t xml:space="preserve"> </w:t>
      </w:r>
      <w:r>
        <w:rPr>
          <w:sz w:val="20"/>
        </w:rPr>
        <w:t>retrasos</w:t>
      </w:r>
      <w:r>
        <w:rPr>
          <w:spacing w:val="8"/>
          <w:sz w:val="20"/>
        </w:rPr>
        <w:t xml:space="preserve"> </w:t>
      </w:r>
      <w:r>
        <w:rPr>
          <w:sz w:val="20"/>
        </w:rPr>
        <w:t>injustificados</w:t>
      </w:r>
    </w:p>
    <w:p w14:paraId="6E0E88D5" w14:textId="77777777" w:rsidR="00467FCA" w:rsidRDefault="001B68EB">
      <w:pPr>
        <w:pStyle w:val="Textoindependiente"/>
        <w:spacing w:before="7"/>
        <w:rPr>
          <w:sz w:val="13"/>
        </w:rPr>
      </w:pPr>
      <w:r>
        <w:pict w14:anchorId="0F8FBD15">
          <v:shape id="_x0000_s1133" style="position:absolute;margin-left:1in;margin-top:10.5pt;width:2in;height:.1pt;z-index:-251593728;mso-wrap-distance-left:0;mso-wrap-distance-right:0;mso-position-horizontal-relative:page" coordorigin="1440,210" coordsize="2880,0" path="m1440,210r2880,e" filled="f" strokeweight=".6pt">
            <v:path arrowok="t"/>
            <w10:wrap type="topAndBottom" anchorx="page"/>
          </v:shape>
        </w:pict>
      </w:r>
    </w:p>
    <w:p w14:paraId="3EA4583A" w14:textId="77777777" w:rsidR="00467FCA" w:rsidRDefault="001B68EB">
      <w:pPr>
        <w:tabs>
          <w:tab w:val="left" w:pos="839"/>
        </w:tabs>
        <w:spacing w:before="74"/>
        <w:ind w:left="119" w:right="113"/>
        <w:jc w:val="both"/>
        <w:rPr>
          <w:sz w:val="16"/>
        </w:rPr>
      </w:pPr>
      <w:bookmarkStart w:id="451" w:name="_bookmark396"/>
      <w:bookmarkEnd w:id="451"/>
      <w:r>
        <w:rPr>
          <w:position w:val="6"/>
          <w:sz w:val="10"/>
        </w:rPr>
        <w:t>338</w:t>
      </w:r>
      <w:r>
        <w:rPr>
          <w:position w:val="6"/>
          <w:sz w:val="10"/>
        </w:rPr>
        <w:tab/>
      </w:r>
      <w:r>
        <w:rPr>
          <w:i/>
          <w:sz w:val="16"/>
        </w:rPr>
        <w:t>Cfr. Caso Baena Ricardo y otros Vs. Panamá. Competencia. Sentencia de 28 de noviembre de 2003. Serie C No. 104</w:t>
      </w:r>
      <w:r>
        <w:rPr>
          <w:sz w:val="16"/>
        </w:rPr>
        <w:t xml:space="preserve">, párr. 73, y </w:t>
      </w:r>
      <w:r>
        <w:rPr>
          <w:i/>
          <w:sz w:val="16"/>
        </w:rPr>
        <w:t>Caso Asociación Nacional de Cesantes y Jubilados de la Superintendencia Nacional de</w:t>
      </w:r>
      <w:bookmarkStart w:id="452" w:name="_bookmark397"/>
      <w:bookmarkEnd w:id="452"/>
      <w:r>
        <w:rPr>
          <w:i/>
          <w:sz w:val="16"/>
        </w:rPr>
        <w:t xml:space="preserve"> Administración Tributaria (ANCEJUB-SUNAT) Vs. Pe</w:t>
      </w:r>
      <w:r>
        <w:rPr>
          <w:i/>
          <w:sz w:val="16"/>
        </w:rPr>
        <w:t>rú, supra</w:t>
      </w:r>
      <w:r>
        <w:rPr>
          <w:sz w:val="16"/>
        </w:rPr>
        <w:t>, párr.</w:t>
      </w:r>
      <w:r>
        <w:rPr>
          <w:spacing w:val="-16"/>
          <w:sz w:val="16"/>
        </w:rPr>
        <w:t xml:space="preserve"> </w:t>
      </w:r>
      <w:r>
        <w:rPr>
          <w:sz w:val="16"/>
        </w:rPr>
        <w:t>103.</w:t>
      </w:r>
    </w:p>
    <w:p w14:paraId="41D984DC" w14:textId="77777777" w:rsidR="00467FCA" w:rsidRDefault="001B68EB">
      <w:pPr>
        <w:tabs>
          <w:tab w:val="left" w:pos="839"/>
        </w:tabs>
        <w:ind w:left="119" w:right="116"/>
        <w:jc w:val="both"/>
        <w:rPr>
          <w:sz w:val="16"/>
        </w:rPr>
      </w:pPr>
      <w:r>
        <w:rPr>
          <w:position w:val="6"/>
          <w:sz w:val="10"/>
        </w:rPr>
        <w:t>339</w:t>
      </w:r>
      <w:r>
        <w:rPr>
          <w:position w:val="6"/>
          <w:sz w:val="10"/>
        </w:rPr>
        <w:tab/>
      </w:r>
      <w:r>
        <w:rPr>
          <w:i/>
          <w:sz w:val="16"/>
        </w:rPr>
        <w:t>Cfr. Caso Baena Ricardo y otros Vs. Panamá. Competencia, supra</w:t>
      </w:r>
      <w:r>
        <w:rPr>
          <w:sz w:val="16"/>
        </w:rPr>
        <w:t xml:space="preserve">, párr. 73, y </w:t>
      </w:r>
      <w:r>
        <w:rPr>
          <w:i/>
          <w:sz w:val="16"/>
        </w:rPr>
        <w:t>Caso Asociación Nacional de Cesantes y Jubilados de la Superintendencia Nacional de Administración Tributaria (ANCEJUB-SUNAT) Vs. Perú, supra</w:t>
      </w:r>
      <w:r>
        <w:rPr>
          <w:sz w:val="16"/>
        </w:rPr>
        <w:t>, párr.</w:t>
      </w:r>
      <w:r>
        <w:rPr>
          <w:spacing w:val="-5"/>
          <w:sz w:val="16"/>
        </w:rPr>
        <w:t xml:space="preserve"> </w:t>
      </w:r>
      <w:r>
        <w:rPr>
          <w:sz w:val="16"/>
        </w:rPr>
        <w:t>103.</w:t>
      </w:r>
    </w:p>
    <w:p w14:paraId="50CAB2F4" w14:textId="77777777" w:rsidR="00467FCA" w:rsidRDefault="001B68EB">
      <w:pPr>
        <w:tabs>
          <w:tab w:val="left" w:pos="839"/>
        </w:tabs>
        <w:ind w:left="120"/>
        <w:jc w:val="both"/>
        <w:rPr>
          <w:sz w:val="16"/>
        </w:rPr>
      </w:pPr>
      <w:bookmarkStart w:id="453" w:name="_bookmark398"/>
      <w:bookmarkEnd w:id="453"/>
      <w:r>
        <w:rPr>
          <w:position w:val="6"/>
          <w:sz w:val="10"/>
        </w:rPr>
        <w:t>340</w:t>
      </w:r>
      <w:r>
        <w:rPr>
          <w:position w:val="6"/>
          <w:sz w:val="10"/>
        </w:rPr>
        <w:tab/>
      </w:r>
      <w:bookmarkStart w:id="454" w:name="_bookmark399"/>
      <w:bookmarkEnd w:id="454"/>
      <w:r>
        <w:rPr>
          <w:i/>
          <w:sz w:val="16"/>
        </w:rPr>
        <w:t>Cfr. Caso Muelle Flores Vs. Perú, supra</w:t>
      </w:r>
      <w:r>
        <w:rPr>
          <w:sz w:val="16"/>
        </w:rPr>
        <w:t>, párr.</w:t>
      </w:r>
      <w:r>
        <w:rPr>
          <w:spacing w:val="-3"/>
          <w:sz w:val="16"/>
        </w:rPr>
        <w:t xml:space="preserve"> </w:t>
      </w:r>
      <w:r>
        <w:rPr>
          <w:sz w:val="16"/>
        </w:rPr>
        <w:t>123.</w:t>
      </w:r>
    </w:p>
    <w:p w14:paraId="0B401BFA" w14:textId="77777777" w:rsidR="00467FCA" w:rsidRDefault="001B68EB">
      <w:pPr>
        <w:tabs>
          <w:tab w:val="left" w:pos="839"/>
        </w:tabs>
        <w:ind w:left="120" w:right="112" w:hanging="1"/>
        <w:jc w:val="both"/>
        <w:rPr>
          <w:sz w:val="16"/>
        </w:rPr>
      </w:pPr>
      <w:r>
        <w:rPr>
          <w:position w:val="6"/>
          <w:sz w:val="10"/>
        </w:rPr>
        <w:t>341</w:t>
      </w:r>
      <w:r>
        <w:rPr>
          <w:position w:val="6"/>
          <w:sz w:val="10"/>
        </w:rPr>
        <w:tab/>
      </w:r>
      <w:r>
        <w:rPr>
          <w:i/>
          <w:sz w:val="16"/>
        </w:rPr>
        <w:t>Cfr.</w:t>
      </w:r>
      <w:r>
        <w:rPr>
          <w:i/>
          <w:spacing w:val="-16"/>
          <w:sz w:val="16"/>
        </w:rPr>
        <w:t xml:space="preserve"> </w:t>
      </w:r>
      <w:r>
        <w:rPr>
          <w:i/>
          <w:sz w:val="16"/>
        </w:rPr>
        <w:t>Garantías</w:t>
      </w:r>
      <w:r>
        <w:rPr>
          <w:i/>
          <w:spacing w:val="-14"/>
          <w:sz w:val="16"/>
        </w:rPr>
        <w:t xml:space="preserve"> </w:t>
      </w:r>
      <w:r>
        <w:rPr>
          <w:i/>
          <w:sz w:val="16"/>
        </w:rPr>
        <w:t>judiciales</w:t>
      </w:r>
      <w:r>
        <w:rPr>
          <w:i/>
          <w:spacing w:val="-17"/>
          <w:sz w:val="16"/>
        </w:rPr>
        <w:t xml:space="preserve"> </w:t>
      </w:r>
      <w:r>
        <w:rPr>
          <w:i/>
          <w:sz w:val="16"/>
        </w:rPr>
        <w:t>en</w:t>
      </w:r>
      <w:r>
        <w:rPr>
          <w:i/>
          <w:spacing w:val="-15"/>
          <w:sz w:val="16"/>
        </w:rPr>
        <w:t xml:space="preserve"> </w:t>
      </w:r>
      <w:r>
        <w:rPr>
          <w:i/>
          <w:sz w:val="16"/>
        </w:rPr>
        <w:t>estados</w:t>
      </w:r>
      <w:r>
        <w:rPr>
          <w:i/>
          <w:spacing w:val="-17"/>
          <w:sz w:val="16"/>
        </w:rPr>
        <w:t xml:space="preserve"> </w:t>
      </w:r>
      <w:r>
        <w:rPr>
          <w:i/>
          <w:sz w:val="16"/>
        </w:rPr>
        <w:t>de</w:t>
      </w:r>
      <w:r>
        <w:rPr>
          <w:i/>
          <w:spacing w:val="-17"/>
          <w:sz w:val="16"/>
        </w:rPr>
        <w:t xml:space="preserve"> </w:t>
      </w:r>
      <w:r>
        <w:rPr>
          <w:i/>
          <w:sz w:val="16"/>
        </w:rPr>
        <w:t>emergencia</w:t>
      </w:r>
      <w:r>
        <w:rPr>
          <w:i/>
          <w:spacing w:val="-15"/>
          <w:sz w:val="16"/>
        </w:rPr>
        <w:t xml:space="preserve"> </w:t>
      </w:r>
      <w:r>
        <w:rPr>
          <w:i/>
          <w:sz w:val="16"/>
        </w:rPr>
        <w:t>(Arts.</w:t>
      </w:r>
      <w:r>
        <w:rPr>
          <w:i/>
          <w:spacing w:val="-18"/>
          <w:sz w:val="16"/>
        </w:rPr>
        <w:t xml:space="preserve"> </w:t>
      </w:r>
      <w:r>
        <w:rPr>
          <w:i/>
          <w:sz w:val="16"/>
        </w:rPr>
        <w:t>27.2,</w:t>
      </w:r>
      <w:r>
        <w:rPr>
          <w:i/>
          <w:spacing w:val="-16"/>
          <w:sz w:val="16"/>
        </w:rPr>
        <w:t xml:space="preserve"> </w:t>
      </w:r>
      <w:r>
        <w:rPr>
          <w:i/>
          <w:sz w:val="16"/>
        </w:rPr>
        <w:t>25</w:t>
      </w:r>
      <w:r>
        <w:rPr>
          <w:i/>
          <w:spacing w:val="-16"/>
          <w:sz w:val="16"/>
        </w:rPr>
        <w:t xml:space="preserve"> </w:t>
      </w:r>
      <w:r>
        <w:rPr>
          <w:i/>
          <w:sz w:val="16"/>
        </w:rPr>
        <w:t>y</w:t>
      </w:r>
      <w:r>
        <w:rPr>
          <w:i/>
          <w:spacing w:val="-13"/>
          <w:sz w:val="16"/>
        </w:rPr>
        <w:t xml:space="preserve"> </w:t>
      </w:r>
      <w:r>
        <w:rPr>
          <w:i/>
          <w:sz w:val="16"/>
        </w:rPr>
        <w:t>8</w:t>
      </w:r>
      <w:r>
        <w:rPr>
          <w:i/>
          <w:spacing w:val="-16"/>
          <w:sz w:val="16"/>
        </w:rPr>
        <w:t xml:space="preserve"> </w:t>
      </w:r>
      <w:r>
        <w:rPr>
          <w:i/>
          <w:sz w:val="16"/>
        </w:rPr>
        <w:t>Convención</w:t>
      </w:r>
      <w:r>
        <w:rPr>
          <w:i/>
          <w:spacing w:val="-18"/>
          <w:sz w:val="16"/>
        </w:rPr>
        <w:t xml:space="preserve"> </w:t>
      </w:r>
      <w:r>
        <w:rPr>
          <w:i/>
          <w:sz w:val="16"/>
        </w:rPr>
        <w:t>Americana</w:t>
      </w:r>
      <w:r>
        <w:rPr>
          <w:i/>
          <w:spacing w:val="-15"/>
          <w:sz w:val="16"/>
        </w:rPr>
        <w:t xml:space="preserve"> </w:t>
      </w:r>
      <w:r>
        <w:rPr>
          <w:i/>
          <w:sz w:val="16"/>
        </w:rPr>
        <w:t>sobre</w:t>
      </w:r>
      <w:r>
        <w:rPr>
          <w:i/>
          <w:spacing w:val="-14"/>
          <w:sz w:val="16"/>
        </w:rPr>
        <w:t xml:space="preserve"> </w:t>
      </w:r>
      <w:r>
        <w:rPr>
          <w:i/>
          <w:sz w:val="16"/>
        </w:rPr>
        <w:t>Derechos Humanos),</w:t>
      </w:r>
      <w:r>
        <w:rPr>
          <w:i/>
          <w:spacing w:val="-9"/>
          <w:sz w:val="16"/>
        </w:rPr>
        <w:t xml:space="preserve"> </w:t>
      </w:r>
      <w:r>
        <w:rPr>
          <w:i/>
          <w:sz w:val="16"/>
        </w:rPr>
        <w:t>supra</w:t>
      </w:r>
      <w:r>
        <w:rPr>
          <w:sz w:val="16"/>
        </w:rPr>
        <w:t>,</w:t>
      </w:r>
      <w:r>
        <w:rPr>
          <w:spacing w:val="-8"/>
          <w:sz w:val="16"/>
        </w:rPr>
        <w:t xml:space="preserve"> </w:t>
      </w:r>
      <w:r>
        <w:rPr>
          <w:sz w:val="16"/>
        </w:rPr>
        <w:t>párr.</w:t>
      </w:r>
      <w:r>
        <w:rPr>
          <w:spacing w:val="-11"/>
          <w:sz w:val="16"/>
        </w:rPr>
        <w:t xml:space="preserve"> </w:t>
      </w:r>
      <w:r>
        <w:rPr>
          <w:sz w:val="16"/>
        </w:rPr>
        <w:t>24;</w:t>
      </w:r>
      <w:r>
        <w:rPr>
          <w:spacing w:val="-11"/>
          <w:sz w:val="16"/>
        </w:rPr>
        <w:t xml:space="preserve"> </w:t>
      </w:r>
      <w:r>
        <w:rPr>
          <w:i/>
          <w:sz w:val="16"/>
        </w:rPr>
        <w:t>Caso</w:t>
      </w:r>
      <w:r>
        <w:rPr>
          <w:i/>
          <w:spacing w:val="-6"/>
          <w:sz w:val="16"/>
        </w:rPr>
        <w:t xml:space="preserve"> </w:t>
      </w:r>
      <w:r>
        <w:rPr>
          <w:i/>
          <w:sz w:val="16"/>
        </w:rPr>
        <w:t>Acevedo</w:t>
      </w:r>
      <w:r>
        <w:rPr>
          <w:i/>
          <w:spacing w:val="-7"/>
          <w:sz w:val="16"/>
        </w:rPr>
        <w:t xml:space="preserve"> </w:t>
      </w:r>
      <w:r>
        <w:rPr>
          <w:i/>
          <w:sz w:val="16"/>
        </w:rPr>
        <w:t>Jaramillo</w:t>
      </w:r>
      <w:r>
        <w:rPr>
          <w:i/>
          <w:spacing w:val="-9"/>
          <w:sz w:val="16"/>
        </w:rPr>
        <w:t xml:space="preserve"> </w:t>
      </w:r>
      <w:r>
        <w:rPr>
          <w:i/>
          <w:sz w:val="16"/>
        </w:rPr>
        <w:t>y</w:t>
      </w:r>
      <w:r>
        <w:rPr>
          <w:i/>
          <w:spacing w:val="-7"/>
          <w:sz w:val="16"/>
        </w:rPr>
        <w:t xml:space="preserve"> </w:t>
      </w:r>
      <w:r>
        <w:rPr>
          <w:i/>
          <w:sz w:val="16"/>
        </w:rPr>
        <w:t>otros</w:t>
      </w:r>
      <w:r>
        <w:rPr>
          <w:i/>
          <w:spacing w:val="-10"/>
          <w:sz w:val="16"/>
        </w:rPr>
        <w:t xml:space="preserve"> </w:t>
      </w:r>
      <w:r>
        <w:rPr>
          <w:i/>
          <w:sz w:val="16"/>
        </w:rPr>
        <w:t>Vs.</w:t>
      </w:r>
      <w:r>
        <w:rPr>
          <w:i/>
          <w:spacing w:val="-8"/>
          <w:sz w:val="16"/>
        </w:rPr>
        <w:t xml:space="preserve"> </w:t>
      </w:r>
      <w:r>
        <w:rPr>
          <w:i/>
          <w:sz w:val="16"/>
        </w:rPr>
        <w:t>Perú.</w:t>
      </w:r>
      <w:r>
        <w:rPr>
          <w:i/>
          <w:spacing w:val="-8"/>
          <w:sz w:val="16"/>
        </w:rPr>
        <w:t xml:space="preserve"> </w:t>
      </w:r>
      <w:r>
        <w:rPr>
          <w:i/>
          <w:sz w:val="16"/>
        </w:rPr>
        <w:t>Excepciones</w:t>
      </w:r>
      <w:r>
        <w:rPr>
          <w:i/>
          <w:spacing w:val="-7"/>
          <w:sz w:val="16"/>
        </w:rPr>
        <w:t xml:space="preserve"> </w:t>
      </w:r>
      <w:r>
        <w:rPr>
          <w:i/>
          <w:sz w:val="16"/>
        </w:rPr>
        <w:t>Preliminares,</w:t>
      </w:r>
      <w:r>
        <w:rPr>
          <w:i/>
          <w:spacing w:val="-11"/>
          <w:sz w:val="16"/>
        </w:rPr>
        <w:t xml:space="preserve"> </w:t>
      </w:r>
      <w:r>
        <w:rPr>
          <w:i/>
          <w:sz w:val="16"/>
        </w:rPr>
        <w:t>Fondo,</w:t>
      </w:r>
      <w:r>
        <w:rPr>
          <w:i/>
          <w:spacing w:val="-8"/>
          <w:sz w:val="16"/>
        </w:rPr>
        <w:t xml:space="preserve"> </w:t>
      </w:r>
      <w:r>
        <w:rPr>
          <w:i/>
          <w:sz w:val="16"/>
        </w:rPr>
        <w:t>Reparaciones y Costas</w:t>
      </w:r>
      <w:r>
        <w:rPr>
          <w:sz w:val="16"/>
        </w:rPr>
        <w:t xml:space="preserve">. Sentencia de 7 de febrero de 2006. Serie C No. 144, par. 220, y </w:t>
      </w:r>
      <w:r>
        <w:rPr>
          <w:i/>
          <w:sz w:val="16"/>
        </w:rPr>
        <w:t>Caso Asociación Nacional de Cesantes y</w:t>
      </w:r>
      <w:bookmarkStart w:id="455" w:name="_bookmark400"/>
      <w:bookmarkEnd w:id="455"/>
      <w:r>
        <w:rPr>
          <w:i/>
          <w:sz w:val="16"/>
        </w:rPr>
        <w:t xml:space="preserve"> Jubilados</w:t>
      </w:r>
      <w:r>
        <w:rPr>
          <w:i/>
          <w:spacing w:val="-13"/>
          <w:sz w:val="16"/>
        </w:rPr>
        <w:t xml:space="preserve"> </w:t>
      </w:r>
      <w:r>
        <w:rPr>
          <w:i/>
          <w:sz w:val="16"/>
        </w:rPr>
        <w:t>de</w:t>
      </w:r>
      <w:r>
        <w:rPr>
          <w:i/>
          <w:spacing w:val="-12"/>
          <w:sz w:val="16"/>
        </w:rPr>
        <w:t xml:space="preserve"> </w:t>
      </w:r>
      <w:r>
        <w:rPr>
          <w:i/>
          <w:sz w:val="16"/>
        </w:rPr>
        <w:t>la</w:t>
      </w:r>
      <w:r>
        <w:rPr>
          <w:i/>
          <w:spacing w:val="-13"/>
          <w:sz w:val="16"/>
        </w:rPr>
        <w:t xml:space="preserve"> </w:t>
      </w:r>
      <w:r>
        <w:rPr>
          <w:i/>
          <w:sz w:val="16"/>
        </w:rPr>
        <w:t>Superintendencia</w:t>
      </w:r>
      <w:r>
        <w:rPr>
          <w:i/>
          <w:spacing w:val="-10"/>
          <w:sz w:val="16"/>
        </w:rPr>
        <w:t xml:space="preserve"> </w:t>
      </w:r>
      <w:r>
        <w:rPr>
          <w:i/>
          <w:sz w:val="16"/>
        </w:rPr>
        <w:t>Nacional</w:t>
      </w:r>
      <w:r>
        <w:rPr>
          <w:i/>
          <w:spacing w:val="-13"/>
          <w:sz w:val="16"/>
        </w:rPr>
        <w:t xml:space="preserve"> </w:t>
      </w:r>
      <w:r>
        <w:rPr>
          <w:i/>
          <w:sz w:val="16"/>
        </w:rPr>
        <w:t>de</w:t>
      </w:r>
      <w:r>
        <w:rPr>
          <w:i/>
          <w:spacing w:val="-14"/>
          <w:sz w:val="16"/>
        </w:rPr>
        <w:t xml:space="preserve"> </w:t>
      </w:r>
      <w:r>
        <w:rPr>
          <w:i/>
          <w:sz w:val="16"/>
        </w:rPr>
        <w:t>Administración</w:t>
      </w:r>
      <w:r>
        <w:rPr>
          <w:i/>
          <w:spacing w:val="-14"/>
          <w:sz w:val="16"/>
        </w:rPr>
        <w:t xml:space="preserve"> </w:t>
      </w:r>
      <w:r>
        <w:rPr>
          <w:i/>
          <w:sz w:val="16"/>
        </w:rPr>
        <w:t>Tributaria</w:t>
      </w:r>
      <w:r>
        <w:rPr>
          <w:i/>
          <w:spacing w:val="-13"/>
          <w:sz w:val="16"/>
        </w:rPr>
        <w:t xml:space="preserve"> </w:t>
      </w:r>
      <w:r>
        <w:rPr>
          <w:i/>
          <w:sz w:val="16"/>
        </w:rPr>
        <w:t>(ANCEJUB-SUNAT)</w:t>
      </w:r>
      <w:r>
        <w:rPr>
          <w:i/>
          <w:spacing w:val="-13"/>
          <w:sz w:val="16"/>
        </w:rPr>
        <w:t xml:space="preserve"> </w:t>
      </w:r>
      <w:r>
        <w:rPr>
          <w:i/>
          <w:sz w:val="16"/>
        </w:rPr>
        <w:t>Vs.</w:t>
      </w:r>
      <w:r>
        <w:rPr>
          <w:i/>
          <w:spacing w:val="-11"/>
          <w:sz w:val="16"/>
        </w:rPr>
        <w:t xml:space="preserve"> </w:t>
      </w:r>
      <w:r>
        <w:rPr>
          <w:i/>
          <w:sz w:val="16"/>
        </w:rPr>
        <w:t>Perú,</w:t>
      </w:r>
      <w:r>
        <w:rPr>
          <w:i/>
          <w:spacing w:val="-13"/>
          <w:sz w:val="16"/>
        </w:rPr>
        <w:t xml:space="preserve"> </w:t>
      </w:r>
      <w:r>
        <w:rPr>
          <w:i/>
          <w:sz w:val="16"/>
        </w:rPr>
        <w:t>supra</w:t>
      </w:r>
      <w:r>
        <w:rPr>
          <w:sz w:val="16"/>
        </w:rPr>
        <w:t>,</w:t>
      </w:r>
      <w:r>
        <w:rPr>
          <w:spacing w:val="-13"/>
          <w:sz w:val="16"/>
        </w:rPr>
        <w:t xml:space="preserve"> </w:t>
      </w:r>
      <w:r>
        <w:rPr>
          <w:sz w:val="16"/>
        </w:rPr>
        <w:t>párr.</w:t>
      </w:r>
      <w:r>
        <w:rPr>
          <w:spacing w:val="-16"/>
          <w:sz w:val="16"/>
        </w:rPr>
        <w:t xml:space="preserve"> </w:t>
      </w:r>
      <w:r>
        <w:rPr>
          <w:sz w:val="16"/>
        </w:rPr>
        <w:t>143.</w:t>
      </w:r>
    </w:p>
    <w:p w14:paraId="357DF76C" w14:textId="77777777" w:rsidR="00467FCA" w:rsidRDefault="001B68EB">
      <w:pPr>
        <w:tabs>
          <w:tab w:val="left" w:pos="839"/>
        </w:tabs>
        <w:ind w:left="118" w:right="114" w:firstLine="1"/>
        <w:jc w:val="both"/>
        <w:rPr>
          <w:sz w:val="16"/>
        </w:rPr>
      </w:pPr>
      <w:r>
        <w:rPr>
          <w:position w:val="6"/>
          <w:sz w:val="10"/>
        </w:rPr>
        <w:t>342</w:t>
      </w:r>
      <w:r>
        <w:rPr>
          <w:position w:val="6"/>
          <w:sz w:val="10"/>
        </w:rPr>
        <w:tab/>
      </w:r>
      <w:r>
        <w:rPr>
          <w:i/>
          <w:sz w:val="16"/>
        </w:rPr>
        <w:t>Cfr. Caso Mejía Idrovo Vs. Ecuador, supra</w:t>
      </w:r>
      <w:r>
        <w:rPr>
          <w:sz w:val="16"/>
        </w:rPr>
        <w:t xml:space="preserve">, párr. 105, y </w:t>
      </w:r>
      <w:r>
        <w:rPr>
          <w:i/>
          <w:sz w:val="16"/>
        </w:rPr>
        <w:t>Caso Muelle Flores Vs. Perú, supra</w:t>
      </w:r>
      <w:r>
        <w:rPr>
          <w:sz w:val="16"/>
        </w:rPr>
        <w:t>, párr. 126. Ver también: TEDH, Caso Matheus Vs. Francia, No. 62740/01, sentencia del 31 de marzo 03 de 2005, párr. 58</w:t>
      </w:r>
      <w:r>
        <w:rPr>
          <w:sz w:val="16"/>
        </w:rPr>
        <w:t xml:space="preserve">; TEDH, </w:t>
      </w:r>
      <w:r>
        <w:rPr>
          <w:i/>
          <w:sz w:val="16"/>
        </w:rPr>
        <w:t xml:space="preserve">Caso Cocchiarella Vs. Italia </w:t>
      </w:r>
      <w:r>
        <w:rPr>
          <w:sz w:val="16"/>
        </w:rPr>
        <w:t xml:space="preserve">(GC), No. 64886/01, sentencia del 29 de marzo de 2006, párr. 89, y Caso </w:t>
      </w:r>
      <w:r>
        <w:rPr>
          <w:i/>
          <w:sz w:val="16"/>
        </w:rPr>
        <w:t>Gaglione and others Vs. Italia</w:t>
      </w:r>
      <w:r>
        <w:rPr>
          <w:sz w:val="16"/>
        </w:rPr>
        <w:t>, No. 45867/07, sentencia del 21 de diciembre de 2010, párr.</w:t>
      </w:r>
      <w:r>
        <w:rPr>
          <w:spacing w:val="-17"/>
          <w:sz w:val="16"/>
        </w:rPr>
        <w:t xml:space="preserve"> </w:t>
      </w:r>
      <w:r>
        <w:rPr>
          <w:sz w:val="16"/>
        </w:rPr>
        <w:t>34.</w:t>
      </w:r>
    </w:p>
    <w:p w14:paraId="3C89CD84" w14:textId="77777777" w:rsidR="00467FCA" w:rsidRDefault="00467FCA">
      <w:pPr>
        <w:jc w:val="both"/>
        <w:rPr>
          <w:sz w:val="16"/>
        </w:rPr>
        <w:sectPr w:rsidR="00467FCA">
          <w:pgSz w:w="12240" w:h="15840"/>
          <w:pgMar w:top="1360" w:right="1320" w:bottom="1220" w:left="1320" w:header="0" w:footer="957" w:gutter="0"/>
          <w:cols w:space="720"/>
        </w:sectPr>
      </w:pPr>
    </w:p>
    <w:p w14:paraId="0D9E0E48" w14:textId="77777777" w:rsidR="00467FCA" w:rsidRDefault="001B68EB">
      <w:pPr>
        <w:pStyle w:val="Textoindependiente"/>
        <w:spacing w:before="80"/>
        <w:ind w:left="120"/>
      </w:pPr>
      <w:r>
        <w:t>por parte del Estado.</w:t>
      </w:r>
    </w:p>
    <w:p w14:paraId="0396A505" w14:textId="77777777" w:rsidR="00467FCA" w:rsidRDefault="00467FCA">
      <w:pPr>
        <w:pStyle w:val="Textoindependiente"/>
        <w:spacing w:before="1"/>
      </w:pPr>
    </w:p>
    <w:p w14:paraId="45456185" w14:textId="77777777" w:rsidR="00467FCA" w:rsidRDefault="001B68EB">
      <w:pPr>
        <w:pStyle w:val="Ttulo2"/>
      </w:pPr>
      <w:bookmarkStart w:id="456" w:name="B.3._Conclusión"/>
      <w:bookmarkStart w:id="457" w:name="_bookmark401"/>
      <w:bookmarkEnd w:id="456"/>
      <w:bookmarkEnd w:id="457"/>
      <w:r>
        <w:t>B.3. Conclusión</w:t>
      </w:r>
    </w:p>
    <w:p w14:paraId="11BB07B5" w14:textId="77777777" w:rsidR="00467FCA" w:rsidRDefault="00467FCA">
      <w:pPr>
        <w:pStyle w:val="Textoindependiente"/>
        <w:spacing w:before="11"/>
        <w:rPr>
          <w:b/>
          <w:i/>
          <w:sz w:val="19"/>
        </w:rPr>
      </w:pPr>
    </w:p>
    <w:p w14:paraId="4F235CCE" w14:textId="77777777" w:rsidR="00467FCA" w:rsidRDefault="001B68EB">
      <w:pPr>
        <w:pStyle w:val="Prrafodelista"/>
        <w:numPr>
          <w:ilvl w:val="0"/>
          <w:numId w:val="50"/>
        </w:numPr>
        <w:tabs>
          <w:tab w:val="left" w:pos="687"/>
        </w:tabs>
        <w:ind w:left="119" w:right="118" w:firstLine="0"/>
        <w:jc w:val="both"/>
        <w:rPr>
          <w:sz w:val="20"/>
        </w:rPr>
      </w:pPr>
      <w:r>
        <w:rPr>
          <w:sz w:val="20"/>
        </w:rPr>
        <w:t>En</w:t>
      </w:r>
      <w:r>
        <w:rPr>
          <w:spacing w:val="-17"/>
          <w:sz w:val="20"/>
        </w:rPr>
        <w:t xml:space="preserve"> </w:t>
      </w:r>
      <w:r>
        <w:rPr>
          <w:sz w:val="20"/>
        </w:rPr>
        <w:t>virtud</w:t>
      </w:r>
      <w:r>
        <w:rPr>
          <w:spacing w:val="-17"/>
          <w:sz w:val="20"/>
        </w:rPr>
        <w:t xml:space="preserve"> </w:t>
      </w:r>
      <w:r>
        <w:rPr>
          <w:sz w:val="20"/>
        </w:rPr>
        <w:t>del</w:t>
      </w:r>
      <w:r>
        <w:rPr>
          <w:spacing w:val="-16"/>
          <w:sz w:val="20"/>
        </w:rPr>
        <w:t xml:space="preserve"> </w:t>
      </w:r>
      <w:r>
        <w:rPr>
          <w:sz w:val="20"/>
        </w:rPr>
        <w:t>análisis</w:t>
      </w:r>
      <w:r>
        <w:rPr>
          <w:spacing w:val="-16"/>
          <w:sz w:val="20"/>
        </w:rPr>
        <w:t xml:space="preserve"> </w:t>
      </w:r>
      <w:r>
        <w:rPr>
          <w:sz w:val="20"/>
        </w:rPr>
        <w:t>y</w:t>
      </w:r>
      <w:r>
        <w:rPr>
          <w:spacing w:val="-18"/>
          <w:sz w:val="20"/>
        </w:rPr>
        <w:t xml:space="preserve"> </w:t>
      </w:r>
      <w:r>
        <w:rPr>
          <w:sz w:val="20"/>
        </w:rPr>
        <w:t>las</w:t>
      </w:r>
      <w:r>
        <w:rPr>
          <w:spacing w:val="-18"/>
          <w:sz w:val="20"/>
        </w:rPr>
        <w:t xml:space="preserve"> </w:t>
      </w:r>
      <w:r>
        <w:rPr>
          <w:sz w:val="20"/>
        </w:rPr>
        <w:t>determinaciones</w:t>
      </w:r>
      <w:r>
        <w:rPr>
          <w:spacing w:val="-17"/>
          <w:sz w:val="20"/>
        </w:rPr>
        <w:t xml:space="preserve"> </w:t>
      </w:r>
      <w:r>
        <w:rPr>
          <w:sz w:val="20"/>
        </w:rPr>
        <w:t>realizadas</w:t>
      </w:r>
      <w:r>
        <w:rPr>
          <w:spacing w:val="-16"/>
          <w:sz w:val="20"/>
        </w:rPr>
        <w:t xml:space="preserve"> </w:t>
      </w:r>
      <w:r>
        <w:rPr>
          <w:sz w:val="20"/>
        </w:rPr>
        <w:t>en</w:t>
      </w:r>
      <w:r>
        <w:rPr>
          <w:spacing w:val="-15"/>
          <w:sz w:val="20"/>
        </w:rPr>
        <w:t xml:space="preserve"> </w:t>
      </w:r>
      <w:r>
        <w:rPr>
          <w:sz w:val="20"/>
        </w:rPr>
        <w:t>este</w:t>
      </w:r>
      <w:r>
        <w:rPr>
          <w:spacing w:val="-16"/>
          <w:sz w:val="20"/>
        </w:rPr>
        <w:t xml:space="preserve"> </w:t>
      </w:r>
      <w:r>
        <w:rPr>
          <w:sz w:val="20"/>
        </w:rPr>
        <w:t>capítulo,</w:t>
      </w:r>
      <w:r>
        <w:rPr>
          <w:spacing w:val="-18"/>
          <w:sz w:val="20"/>
        </w:rPr>
        <w:t xml:space="preserve"> </w:t>
      </w:r>
      <w:r>
        <w:rPr>
          <w:sz w:val="20"/>
        </w:rPr>
        <w:t>la</w:t>
      </w:r>
      <w:r>
        <w:rPr>
          <w:spacing w:val="-16"/>
          <w:sz w:val="20"/>
        </w:rPr>
        <w:t xml:space="preserve"> </w:t>
      </w:r>
      <w:r>
        <w:rPr>
          <w:sz w:val="20"/>
        </w:rPr>
        <w:t>Corte</w:t>
      </w:r>
      <w:r>
        <w:rPr>
          <w:spacing w:val="-16"/>
          <w:sz w:val="20"/>
        </w:rPr>
        <w:t xml:space="preserve"> </w:t>
      </w:r>
      <w:r>
        <w:rPr>
          <w:sz w:val="20"/>
        </w:rPr>
        <w:t>concluye que el Estado es responsable por la violación del derecho a la protección judicial, previsto en el</w:t>
      </w:r>
      <w:r>
        <w:rPr>
          <w:spacing w:val="-20"/>
          <w:sz w:val="20"/>
        </w:rPr>
        <w:t xml:space="preserve"> </w:t>
      </w:r>
      <w:r>
        <w:rPr>
          <w:sz w:val="20"/>
        </w:rPr>
        <w:t>artículo</w:t>
      </w:r>
      <w:r>
        <w:rPr>
          <w:spacing w:val="-21"/>
          <w:sz w:val="20"/>
        </w:rPr>
        <w:t xml:space="preserve"> </w:t>
      </w:r>
      <w:r>
        <w:rPr>
          <w:sz w:val="20"/>
        </w:rPr>
        <w:t>25</w:t>
      </w:r>
      <w:r>
        <w:rPr>
          <w:spacing w:val="-17"/>
          <w:sz w:val="20"/>
        </w:rPr>
        <w:t xml:space="preserve"> </w:t>
      </w:r>
      <w:r>
        <w:rPr>
          <w:sz w:val="20"/>
        </w:rPr>
        <w:t>de</w:t>
      </w:r>
      <w:r>
        <w:rPr>
          <w:spacing w:val="-19"/>
          <w:sz w:val="20"/>
        </w:rPr>
        <w:t xml:space="preserve"> </w:t>
      </w:r>
      <w:r>
        <w:rPr>
          <w:sz w:val="20"/>
        </w:rPr>
        <w:t>la</w:t>
      </w:r>
      <w:r>
        <w:rPr>
          <w:spacing w:val="-19"/>
          <w:sz w:val="20"/>
        </w:rPr>
        <w:t xml:space="preserve"> </w:t>
      </w:r>
      <w:r>
        <w:rPr>
          <w:sz w:val="20"/>
        </w:rPr>
        <w:t>Convención</w:t>
      </w:r>
      <w:r>
        <w:rPr>
          <w:spacing w:val="-19"/>
          <w:sz w:val="20"/>
        </w:rPr>
        <w:t xml:space="preserve"> </w:t>
      </w:r>
      <w:r>
        <w:rPr>
          <w:sz w:val="20"/>
        </w:rPr>
        <w:t>Americana,</w:t>
      </w:r>
      <w:r>
        <w:rPr>
          <w:spacing w:val="-18"/>
          <w:sz w:val="20"/>
        </w:rPr>
        <w:t xml:space="preserve"> </w:t>
      </w:r>
      <w:r>
        <w:rPr>
          <w:sz w:val="20"/>
        </w:rPr>
        <w:t>así</w:t>
      </w:r>
      <w:r>
        <w:rPr>
          <w:spacing w:val="-17"/>
          <w:sz w:val="20"/>
        </w:rPr>
        <w:t xml:space="preserve"> </w:t>
      </w:r>
      <w:r>
        <w:rPr>
          <w:sz w:val="20"/>
        </w:rPr>
        <w:t>como</w:t>
      </w:r>
      <w:r>
        <w:rPr>
          <w:spacing w:val="-21"/>
          <w:sz w:val="20"/>
        </w:rPr>
        <w:t xml:space="preserve"> </w:t>
      </w:r>
      <w:r>
        <w:rPr>
          <w:sz w:val="20"/>
        </w:rPr>
        <w:t>del</w:t>
      </w:r>
      <w:r>
        <w:rPr>
          <w:spacing w:val="-18"/>
          <w:sz w:val="20"/>
        </w:rPr>
        <w:t xml:space="preserve"> </w:t>
      </w:r>
      <w:r>
        <w:rPr>
          <w:sz w:val="20"/>
        </w:rPr>
        <w:t>deber</w:t>
      </w:r>
      <w:r>
        <w:rPr>
          <w:spacing w:val="-21"/>
          <w:sz w:val="20"/>
        </w:rPr>
        <w:t xml:space="preserve"> </w:t>
      </w:r>
      <w:r>
        <w:rPr>
          <w:sz w:val="20"/>
        </w:rPr>
        <w:t>dedebida</w:t>
      </w:r>
      <w:r>
        <w:rPr>
          <w:spacing w:val="-20"/>
          <w:sz w:val="20"/>
        </w:rPr>
        <w:t xml:space="preserve"> </w:t>
      </w:r>
      <w:r>
        <w:rPr>
          <w:sz w:val="20"/>
        </w:rPr>
        <w:t>diligencia</w:t>
      </w:r>
      <w:r>
        <w:rPr>
          <w:spacing w:val="-20"/>
          <w:sz w:val="20"/>
        </w:rPr>
        <w:t xml:space="preserve"> </w:t>
      </w:r>
      <w:r>
        <w:rPr>
          <w:sz w:val="20"/>
        </w:rPr>
        <w:t>y</w:t>
      </w:r>
      <w:r>
        <w:rPr>
          <w:spacing w:val="-19"/>
          <w:sz w:val="20"/>
        </w:rPr>
        <w:t xml:space="preserve"> </w:t>
      </w:r>
      <w:r>
        <w:rPr>
          <w:sz w:val="20"/>
        </w:rPr>
        <w:t>la</w:t>
      </w:r>
      <w:r>
        <w:rPr>
          <w:spacing w:val="-17"/>
          <w:sz w:val="20"/>
        </w:rPr>
        <w:t xml:space="preserve"> </w:t>
      </w:r>
      <w:r>
        <w:rPr>
          <w:sz w:val="20"/>
        </w:rPr>
        <w:t>garantía judicial de plazo razonable, previstas en el artículo 8</w:t>
      </w:r>
      <w:r>
        <w:rPr>
          <w:sz w:val="20"/>
        </w:rPr>
        <w:t>.1 de la Convención, ambos en relación con</w:t>
      </w:r>
      <w:r>
        <w:rPr>
          <w:spacing w:val="-3"/>
          <w:sz w:val="20"/>
        </w:rPr>
        <w:t xml:space="preserve"> </w:t>
      </w:r>
      <w:r>
        <w:rPr>
          <w:sz w:val="20"/>
        </w:rPr>
        <w:t>el</w:t>
      </w:r>
      <w:r>
        <w:rPr>
          <w:spacing w:val="-6"/>
          <w:sz w:val="20"/>
        </w:rPr>
        <w:t xml:space="preserve"> </w:t>
      </w:r>
      <w:r>
        <w:rPr>
          <w:sz w:val="20"/>
        </w:rPr>
        <w:t>artículo</w:t>
      </w:r>
      <w:r>
        <w:rPr>
          <w:spacing w:val="-6"/>
          <w:sz w:val="20"/>
        </w:rPr>
        <w:t xml:space="preserve"> </w:t>
      </w:r>
      <w:r>
        <w:rPr>
          <w:sz w:val="20"/>
        </w:rPr>
        <w:t>1.1</w:t>
      </w:r>
      <w:r>
        <w:rPr>
          <w:spacing w:val="-6"/>
          <w:sz w:val="20"/>
        </w:rPr>
        <w:t xml:space="preserve"> </w:t>
      </w:r>
      <w:r>
        <w:rPr>
          <w:sz w:val="20"/>
        </w:rPr>
        <w:t>del</w:t>
      </w:r>
      <w:r>
        <w:rPr>
          <w:spacing w:val="-6"/>
          <w:sz w:val="20"/>
        </w:rPr>
        <w:t xml:space="preserve"> </w:t>
      </w:r>
      <w:r>
        <w:rPr>
          <w:sz w:val="20"/>
        </w:rPr>
        <w:t>mismo</w:t>
      </w:r>
      <w:r>
        <w:rPr>
          <w:spacing w:val="-6"/>
          <w:sz w:val="20"/>
        </w:rPr>
        <w:t xml:space="preserve"> </w:t>
      </w:r>
      <w:r>
        <w:rPr>
          <w:sz w:val="20"/>
        </w:rPr>
        <w:t>instrumento,</w:t>
      </w:r>
      <w:r>
        <w:rPr>
          <w:spacing w:val="-5"/>
          <w:sz w:val="20"/>
        </w:rPr>
        <w:t xml:space="preserve"> </w:t>
      </w:r>
      <w:r>
        <w:rPr>
          <w:sz w:val="20"/>
        </w:rPr>
        <w:t>en</w:t>
      </w:r>
      <w:r>
        <w:rPr>
          <w:spacing w:val="-5"/>
          <w:sz w:val="20"/>
        </w:rPr>
        <w:t xml:space="preserve"> </w:t>
      </w:r>
      <w:r>
        <w:rPr>
          <w:sz w:val="20"/>
        </w:rPr>
        <w:t>perjuicio</w:t>
      </w:r>
      <w:r>
        <w:rPr>
          <w:spacing w:val="-4"/>
          <w:sz w:val="20"/>
        </w:rPr>
        <w:t xml:space="preserve"> </w:t>
      </w:r>
      <w:r>
        <w:rPr>
          <w:sz w:val="20"/>
        </w:rPr>
        <w:t>de:</w:t>
      </w:r>
      <w:r>
        <w:rPr>
          <w:spacing w:val="-6"/>
          <w:sz w:val="20"/>
        </w:rPr>
        <w:t xml:space="preserve"> </w:t>
      </w:r>
      <w:r>
        <w:rPr>
          <w:sz w:val="20"/>
        </w:rPr>
        <w:t>a)</w:t>
      </w:r>
      <w:r>
        <w:rPr>
          <w:spacing w:val="-3"/>
          <w:sz w:val="20"/>
        </w:rPr>
        <w:t xml:space="preserve"> </w:t>
      </w:r>
      <w:r>
        <w:rPr>
          <w:sz w:val="20"/>
        </w:rPr>
        <w:t>seis</w:t>
      </w:r>
      <w:r>
        <w:rPr>
          <w:spacing w:val="-6"/>
          <w:sz w:val="20"/>
        </w:rPr>
        <w:t xml:space="preserve"> </w:t>
      </w:r>
      <w:r>
        <w:rPr>
          <w:sz w:val="20"/>
        </w:rPr>
        <w:t>víctimas</w:t>
      </w:r>
      <w:r>
        <w:rPr>
          <w:spacing w:val="-7"/>
          <w:sz w:val="20"/>
        </w:rPr>
        <w:t xml:space="preserve"> </w:t>
      </w:r>
      <w:r>
        <w:rPr>
          <w:sz w:val="20"/>
        </w:rPr>
        <w:t>sobrevivientes</w:t>
      </w:r>
      <w:r>
        <w:rPr>
          <w:spacing w:val="-7"/>
          <w:sz w:val="20"/>
        </w:rPr>
        <w:t xml:space="preserve"> </w:t>
      </w:r>
      <w:r>
        <w:rPr>
          <w:sz w:val="20"/>
        </w:rPr>
        <w:t>de la explosión de la fábrica de “Vardo de los fuegos” de Santo Antônio de Jesus el 11 de diciembre de 1998, tal como son ide</w:t>
      </w:r>
      <w:r>
        <w:rPr>
          <w:sz w:val="20"/>
        </w:rPr>
        <w:t>ntificados en el Anexo No. 1 de esta sentencia, y b) 100 familiares de las víctimas fallecidas, tal como son identificados en el Anexo No. 2 de esta sentencia.</w:t>
      </w:r>
    </w:p>
    <w:p w14:paraId="1AAC3191" w14:textId="77777777" w:rsidR="00467FCA" w:rsidRDefault="00467FCA">
      <w:pPr>
        <w:pStyle w:val="Textoindependiente"/>
        <w:spacing w:before="1"/>
      </w:pPr>
    </w:p>
    <w:p w14:paraId="5AF63C46" w14:textId="77777777" w:rsidR="00467FCA" w:rsidRDefault="001B68EB">
      <w:pPr>
        <w:pStyle w:val="Ttulo1"/>
        <w:ind w:left="149" w:right="153"/>
        <w:jc w:val="center"/>
      </w:pPr>
      <w:bookmarkStart w:id="458" w:name="VIII-4_DERECHO_A_LA_INTEGRIDAD_PERSONAL_"/>
      <w:bookmarkStart w:id="459" w:name="_bookmark402"/>
      <w:bookmarkEnd w:id="458"/>
      <w:bookmarkEnd w:id="459"/>
      <w:r>
        <w:t>VIII-4</w:t>
      </w:r>
    </w:p>
    <w:p w14:paraId="337336E7" w14:textId="77777777" w:rsidR="00467FCA" w:rsidRDefault="001B68EB">
      <w:pPr>
        <w:spacing w:before="35" w:line="278" w:lineRule="auto"/>
        <w:ind w:left="152" w:right="153"/>
        <w:jc w:val="center"/>
        <w:rPr>
          <w:b/>
          <w:sz w:val="20"/>
        </w:rPr>
      </w:pPr>
      <w:r>
        <w:rPr>
          <w:b/>
          <w:sz w:val="20"/>
        </w:rPr>
        <w:t>DERECHO A LA INTEGRIDAD PERSONAL DE LOS FAMILIARES DE LAS PRESUNTAS VÍCTIMAS (ARTÍCULO 5</w:t>
      </w:r>
      <w:r>
        <w:rPr>
          <w:b/>
          <w:sz w:val="20"/>
        </w:rPr>
        <w:t xml:space="preserve"> DE LA CONVENCIÓN AMERICANA)</w:t>
      </w:r>
    </w:p>
    <w:p w14:paraId="660DFDDA" w14:textId="77777777" w:rsidR="00467FCA" w:rsidRDefault="00467FCA">
      <w:pPr>
        <w:pStyle w:val="Textoindependiente"/>
        <w:spacing w:before="10"/>
        <w:rPr>
          <w:b/>
          <w:sz w:val="19"/>
        </w:rPr>
      </w:pPr>
    </w:p>
    <w:p w14:paraId="41D08E67" w14:textId="77777777" w:rsidR="00467FCA" w:rsidRDefault="001B68EB">
      <w:pPr>
        <w:pStyle w:val="Ttulo1"/>
        <w:numPr>
          <w:ilvl w:val="1"/>
          <w:numId w:val="50"/>
        </w:numPr>
        <w:tabs>
          <w:tab w:val="left" w:pos="839"/>
        </w:tabs>
        <w:ind w:left="838"/>
      </w:pPr>
      <w:bookmarkStart w:id="460" w:name="A._Alegatos_de_las_partes_y_de_la_Comisi"/>
      <w:bookmarkStart w:id="461" w:name="_bookmark403"/>
      <w:bookmarkEnd w:id="460"/>
      <w:bookmarkEnd w:id="461"/>
      <w:r>
        <w:t>Alegatos de las partes y de la</w:t>
      </w:r>
      <w:r>
        <w:rPr>
          <w:spacing w:val="-3"/>
        </w:rPr>
        <w:t xml:space="preserve"> </w:t>
      </w:r>
      <w:r>
        <w:t>Comisión</w:t>
      </w:r>
    </w:p>
    <w:p w14:paraId="78F3E912" w14:textId="77777777" w:rsidR="00467FCA" w:rsidRDefault="00467FCA">
      <w:pPr>
        <w:pStyle w:val="Textoindependiente"/>
        <w:spacing w:before="10"/>
        <w:rPr>
          <w:b/>
          <w:sz w:val="19"/>
        </w:rPr>
      </w:pPr>
    </w:p>
    <w:p w14:paraId="404147B5" w14:textId="77777777" w:rsidR="00467FCA" w:rsidRDefault="001B68EB">
      <w:pPr>
        <w:pStyle w:val="Prrafodelista"/>
        <w:numPr>
          <w:ilvl w:val="0"/>
          <w:numId w:val="50"/>
        </w:numPr>
        <w:tabs>
          <w:tab w:val="left" w:pos="685"/>
        </w:tabs>
        <w:spacing w:before="1"/>
        <w:ind w:left="118" w:right="117" w:firstLine="0"/>
        <w:jc w:val="both"/>
        <w:rPr>
          <w:sz w:val="20"/>
        </w:rPr>
      </w:pPr>
      <w:r>
        <w:rPr>
          <w:sz w:val="20"/>
        </w:rPr>
        <w:t xml:space="preserve">La </w:t>
      </w:r>
      <w:r>
        <w:rPr>
          <w:b/>
          <w:i/>
          <w:sz w:val="20"/>
        </w:rPr>
        <w:t xml:space="preserve">Comisión </w:t>
      </w:r>
      <w:r>
        <w:rPr>
          <w:sz w:val="20"/>
        </w:rPr>
        <w:t>argumentó que los familiares de las víctimas de ciertas violaciones a los derechos</w:t>
      </w:r>
      <w:r>
        <w:rPr>
          <w:spacing w:val="-12"/>
          <w:sz w:val="20"/>
        </w:rPr>
        <w:t xml:space="preserve"> </w:t>
      </w:r>
      <w:r>
        <w:rPr>
          <w:sz w:val="20"/>
        </w:rPr>
        <w:t>humanos</w:t>
      </w:r>
      <w:r>
        <w:rPr>
          <w:spacing w:val="-12"/>
          <w:sz w:val="20"/>
        </w:rPr>
        <w:t xml:space="preserve"> </w:t>
      </w:r>
      <w:r>
        <w:rPr>
          <w:sz w:val="20"/>
        </w:rPr>
        <w:t>pueden</w:t>
      </w:r>
      <w:r>
        <w:rPr>
          <w:spacing w:val="-9"/>
          <w:sz w:val="20"/>
        </w:rPr>
        <w:t xml:space="preserve"> </w:t>
      </w:r>
      <w:r>
        <w:rPr>
          <w:sz w:val="20"/>
        </w:rPr>
        <w:t>ser</w:t>
      </w:r>
      <w:r>
        <w:rPr>
          <w:spacing w:val="-10"/>
          <w:sz w:val="20"/>
        </w:rPr>
        <w:t xml:space="preserve"> </w:t>
      </w:r>
      <w:r>
        <w:rPr>
          <w:sz w:val="20"/>
        </w:rPr>
        <w:t>considerados</w:t>
      </w:r>
      <w:r>
        <w:rPr>
          <w:spacing w:val="-10"/>
          <w:sz w:val="20"/>
        </w:rPr>
        <w:t xml:space="preserve"> </w:t>
      </w:r>
      <w:r>
        <w:rPr>
          <w:sz w:val="20"/>
        </w:rPr>
        <w:t>víctimas,</w:t>
      </w:r>
      <w:r>
        <w:rPr>
          <w:spacing w:val="-9"/>
          <w:sz w:val="20"/>
        </w:rPr>
        <w:t xml:space="preserve"> </w:t>
      </w:r>
      <w:r>
        <w:rPr>
          <w:sz w:val="20"/>
        </w:rPr>
        <w:t>como</w:t>
      </w:r>
      <w:r>
        <w:rPr>
          <w:spacing w:val="-10"/>
          <w:sz w:val="20"/>
        </w:rPr>
        <w:t xml:space="preserve"> </w:t>
      </w:r>
      <w:r>
        <w:rPr>
          <w:sz w:val="20"/>
        </w:rPr>
        <w:t>consecuencia</w:t>
      </w:r>
      <w:r>
        <w:rPr>
          <w:spacing w:val="-10"/>
          <w:sz w:val="20"/>
        </w:rPr>
        <w:t xml:space="preserve"> </w:t>
      </w:r>
      <w:r>
        <w:rPr>
          <w:sz w:val="20"/>
        </w:rPr>
        <w:t>de</w:t>
      </w:r>
      <w:r>
        <w:rPr>
          <w:spacing w:val="-12"/>
          <w:sz w:val="20"/>
        </w:rPr>
        <w:t xml:space="preserve"> </w:t>
      </w:r>
      <w:r>
        <w:rPr>
          <w:sz w:val="20"/>
        </w:rPr>
        <w:t>las</w:t>
      </w:r>
      <w:r>
        <w:rPr>
          <w:spacing w:val="-12"/>
          <w:sz w:val="20"/>
        </w:rPr>
        <w:t xml:space="preserve"> </w:t>
      </w:r>
      <w:r>
        <w:rPr>
          <w:sz w:val="20"/>
        </w:rPr>
        <w:t>afectaciones a su integridad física y moral producto de las situaciones padecidas por las víctimas directas y las posteriores acciones u omisiones estatales. En ese sentido, señaló que las muertes ocurridas en la fábrica de fuegos fueron una fuente de sufr</w:t>
      </w:r>
      <w:r>
        <w:rPr>
          <w:sz w:val="20"/>
        </w:rPr>
        <w:t>imiento para las familias de las víctimas directas, que se vio incrementada por la falta de</w:t>
      </w:r>
      <w:r>
        <w:rPr>
          <w:spacing w:val="-14"/>
          <w:sz w:val="20"/>
        </w:rPr>
        <w:t xml:space="preserve"> </w:t>
      </w:r>
      <w:r>
        <w:rPr>
          <w:sz w:val="20"/>
        </w:rPr>
        <w:t>justicia.</w:t>
      </w:r>
    </w:p>
    <w:p w14:paraId="2368C173" w14:textId="77777777" w:rsidR="00467FCA" w:rsidRDefault="00467FCA">
      <w:pPr>
        <w:pStyle w:val="Textoindependiente"/>
      </w:pPr>
    </w:p>
    <w:p w14:paraId="04D21254" w14:textId="77777777" w:rsidR="00467FCA" w:rsidRDefault="001B68EB">
      <w:pPr>
        <w:pStyle w:val="Prrafodelista"/>
        <w:numPr>
          <w:ilvl w:val="0"/>
          <w:numId w:val="50"/>
        </w:numPr>
        <w:tabs>
          <w:tab w:val="left" w:pos="685"/>
        </w:tabs>
        <w:ind w:left="684"/>
        <w:jc w:val="both"/>
        <w:rPr>
          <w:sz w:val="20"/>
        </w:rPr>
      </w:pPr>
      <w:r>
        <w:rPr>
          <w:sz w:val="20"/>
        </w:rPr>
        <w:t xml:space="preserve">Los </w:t>
      </w:r>
      <w:r>
        <w:rPr>
          <w:b/>
          <w:i/>
          <w:sz w:val="20"/>
        </w:rPr>
        <w:t xml:space="preserve">representantes </w:t>
      </w:r>
      <w:r>
        <w:rPr>
          <w:sz w:val="20"/>
        </w:rPr>
        <w:t>coincidieron con lo planteado por la</w:t>
      </w:r>
      <w:r>
        <w:rPr>
          <w:spacing w:val="-6"/>
          <w:sz w:val="20"/>
        </w:rPr>
        <w:t xml:space="preserve"> </w:t>
      </w:r>
      <w:r>
        <w:rPr>
          <w:sz w:val="20"/>
        </w:rPr>
        <w:t>Comisión.</w:t>
      </w:r>
    </w:p>
    <w:p w14:paraId="0A15C0D0" w14:textId="77777777" w:rsidR="00467FCA" w:rsidRDefault="00467FCA">
      <w:pPr>
        <w:pStyle w:val="Textoindependiente"/>
        <w:spacing w:before="1"/>
      </w:pPr>
    </w:p>
    <w:p w14:paraId="7F92AA0D" w14:textId="77777777" w:rsidR="00467FCA" w:rsidRDefault="001B68EB">
      <w:pPr>
        <w:pStyle w:val="Prrafodelista"/>
        <w:numPr>
          <w:ilvl w:val="0"/>
          <w:numId w:val="50"/>
        </w:numPr>
        <w:tabs>
          <w:tab w:val="left" w:pos="685"/>
        </w:tabs>
        <w:ind w:left="118" w:right="118" w:firstLine="0"/>
        <w:jc w:val="both"/>
        <w:rPr>
          <w:sz w:val="20"/>
        </w:rPr>
      </w:pPr>
      <w:r>
        <w:rPr>
          <w:sz w:val="20"/>
        </w:rPr>
        <w:t xml:space="preserve">El </w:t>
      </w:r>
      <w:r>
        <w:rPr>
          <w:b/>
          <w:i/>
          <w:sz w:val="20"/>
        </w:rPr>
        <w:t xml:space="preserve">Estado </w:t>
      </w:r>
      <w:r>
        <w:rPr>
          <w:sz w:val="20"/>
        </w:rPr>
        <w:t>se refirió a este asunto en sus excepciones preliminares. Al respecto, objet</w:t>
      </w:r>
      <w:r>
        <w:rPr>
          <w:sz w:val="20"/>
        </w:rPr>
        <w:t>ó la inclusión de algunos familiares presentados como presuntas víctimas, sin que se hubiera comprobado</w:t>
      </w:r>
      <w:r>
        <w:rPr>
          <w:spacing w:val="-8"/>
          <w:sz w:val="20"/>
        </w:rPr>
        <w:t xml:space="preserve"> </w:t>
      </w:r>
      <w:r>
        <w:rPr>
          <w:sz w:val="20"/>
        </w:rPr>
        <w:t>o</w:t>
      </w:r>
      <w:r>
        <w:rPr>
          <w:spacing w:val="-8"/>
          <w:sz w:val="20"/>
        </w:rPr>
        <w:t xml:space="preserve"> </w:t>
      </w:r>
      <w:r>
        <w:rPr>
          <w:sz w:val="20"/>
        </w:rPr>
        <w:t>alegado</w:t>
      </w:r>
      <w:r>
        <w:rPr>
          <w:spacing w:val="-5"/>
          <w:sz w:val="20"/>
        </w:rPr>
        <w:t xml:space="preserve"> </w:t>
      </w:r>
      <w:r>
        <w:rPr>
          <w:sz w:val="20"/>
        </w:rPr>
        <w:t>de</w:t>
      </w:r>
      <w:r>
        <w:rPr>
          <w:spacing w:val="-8"/>
          <w:sz w:val="20"/>
        </w:rPr>
        <w:t xml:space="preserve"> </w:t>
      </w:r>
      <w:r>
        <w:rPr>
          <w:sz w:val="20"/>
        </w:rPr>
        <w:t>forma</w:t>
      </w:r>
      <w:r>
        <w:rPr>
          <w:spacing w:val="-5"/>
          <w:sz w:val="20"/>
        </w:rPr>
        <w:t xml:space="preserve"> </w:t>
      </w:r>
      <w:r>
        <w:rPr>
          <w:sz w:val="20"/>
        </w:rPr>
        <w:t>específica</w:t>
      </w:r>
      <w:r>
        <w:rPr>
          <w:spacing w:val="-4"/>
          <w:sz w:val="20"/>
        </w:rPr>
        <w:t xml:space="preserve"> </w:t>
      </w:r>
      <w:r>
        <w:rPr>
          <w:sz w:val="20"/>
        </w:rPr>
        <w:t>en</w:t>
      </w:r>
      <w:r>
        <w:rPr>
          <w:spacing w:val="-5"/>
          <w:sz w:val="20"/>
        </w:rPr>
        <w:t xml:space="preserve"> </w:t>
      </w:r>
      <w:r>
        <w:rPr>
          <w:sz w:val="20"/>
        </w:rPr>
        <w:t>qué</w:t>
      </w:r>
      <w:r>
        <w:rPr>
          <w:spacing w:val="-8"/>
          <w:sz w:val="20"/>
        </w:rPr>
        <w:t xml:space="preserve"> </w:t>
      </w:r>
      <w:r>
        <w:rPr>
          <w:sz w:val="20"/>
        </w:rPr>
        <w:t>medida</w:t>
      </w:r>
      <w:r>
        <w:rPr>
          <w:spacing w:val="-6"/>
          <w:sz w:val="20"/>
        </w:rPr>
        <w:t xml:space="preserve"> </w:t>
      </w:r>
      <w:r>
        <w:rPr>
          <w:sz w:val="20"/>
        </w:rPr>
        <w:t>fueron</w:t>
      </w:r>
      <w:r>
        <w:rPr>
          <w:spacing w:val="-4"/>
          <w:sz w:val="20"/>
        </w:rPr>
        <w:t xml:space="preserve"> </w:t>
      </w:r>
      <w:r>
        <w:rPr>
          <w:sz w:val="20"/>
        </w:rPr>
        <w:t>afectados</w:t>
      </w:r>
      <w:r>
        <w:rPr>
          <w:spacing w:val="-7"/>
          <w:sz w:val="20"/>
        </w:rPr>
        <w:t xml:space="preserve"> </w:t>
      </w:r>
      <w:r>
        <w:rPr>
          <w:sz w:val="20"/>
        </w:rPr>
        <w:t>sus</w:t>
      </w:r>
      <w:r>
        <w:rPr>
          <w:spacing w:val="-7"/>
          <w:sz w:val="20"/>
        </w:rPr>
        <w:t xml:space="preserve"> </w:t>
      </w:r>
      <w:r>
        <w:rPr>
          <w:sz w:val="20"/>
        </w:rPr>
        <w:t>derechos.</w:t>
      </w:r>
      <w:r>
        <w:rPr>
          <w:spacing w:val="-7"/>
          <w:sz w:val="20"/>
        </w:rPr>
        <w:t xml:space="preserve"> </w:t>
      </w:r>
      <w:r>
        <w:rPr>
          <w:sz w:val="20"/>
        </w:rPr>
        <w:t>En ese</w:t>
      </w:r>
      <w:r>
        <w:rPr>
          <w:spacing w:val="-15"/>
          <w:sz w:val="20"/>
        </w:rPr>
        <w:t xml:space="preserve"> </w:t>
      </w:r>
      <w:r>
        <w:rPr>
          <w:sz w:val="20"/>
        </w:rPr>
        <w:t>sentido,</w:t>
      </w:r>
      <w:r>
        <w:rPr>
          <w:spacing w:val="-14"/>
          <w:sz w:val="20"/>
        </w:rPr>
        <w:t xml:space="preserve"> </w:t>
      </w:r>
      <w:r>
        <w:rPr>
          <w:sz w:val="20"/>
        </w:rPr>
        <w:t>presentó</w:t>
      </w:r>
      <w:r>
        <w:rPr>
          <w:spacing w:val="-15"/>
          <w:sz w:val="20"/>
        </w:rPr>
        <w:t xml:space="preserve"> </w:t>
      </w:r>
      <w:r>
        <w:rPr>
          <w:sz w:val="20"/>
        </w:rPr>
        <w:t>una</w:t>
      </w:r>
      <w:r>
        <w:rPr>
          <w:spacing w:val="-12"/>
          <w:sz w:val="20"/>
        </w:rPr>
        <w:t xml:space="preserve"> </w:t>
      </w:r>
      <w:r>
        <w:rPr>
          <w:sz w:val="20"/>
        </w:rPr>
        <w:t>relación</w:t>
      </w:r>
      <w:r>
        <w:rPr>
          <w:spacing w:val="-13"/>
          <w:sz w:val="20"/>
        </w:rPr>
        <w:t xml:space="preserve"> </w:t>
      </w:r>
      <w:r>
        <w:rPr>
          <w:sz w:val="20"/>
        </w:rPr>
        <w:t>de</w:t>
      </w:r>
      <w:r>
        <w:rPr>
          <w:spacing w:val="-15"/>
          <w:sz w:val="20"/>
        </w:rPr>
        <w:t xml:space="preserve"> </w:t>
      </w:r>
      <w:r>
        <w:rPr>
          <w:sz w:val="20"/>
        </w:rPr>
        <w:t>36</w:t>
      </w:r>
      <w:r>
        <w:rPr>
          <w:spacing w:val="-11"/>
          <w:sz w:val="20"/>
        </w:rPr>
        <w:t xml:space="preserve"> </w:t>
      </w:r>
      <w:r>
        <w:rPr>
          <w:sz w:val="20"/>
        </w:rPr>
        <w:t>nombres.</w:t>
      </w:r>
      <w:r>
        <w:rPr>
          <w:spacing w:val="-12"/>
          <w:sz w:val="20"/>
        </w:rPr>
        <w:t xml:space="preserve"> </w:t>
      </w:r>
      <w:r>
        <w:rPr>
          <w:sz w:val="20"/>
        </w:rPr>
        <w:t>Sin</w:t>
      </w:r>
      <w:r>
        <w:rPr>
          <w:spacing w:val="-12"/>
          <w:sz w:val="20"/>
        </w:rPr>
        <w:t xml:space="preserve"> </w:t>
      </w:r>
      <w:r>
        <w:rPr>
          <w:sz w:val="20"/>
        </w:rPr>
        <w:t>embargo,</w:t>
      </w:r>
      <w:r>
        <w:rPr>
          <w:spacing w:val="-12"/>
          <w:sz w:val="20"/>
        </w:rPr>
        <w:t xml:space="preserve"> </w:t>
      </w:r>
      <w:r>
        <w:rPr>
          <w:sz w:val="20"/>
        </w:rPr>
        <w:t>varios</w:t>
      </w:r>
      <w:r>
        <w:rPr>
          <w:spacing w:val="-12"/>
          <w:sz w:val="20"/>
        </w:rPr>
        <w:t xml:space="preserve"> </w:t>
      </w:r>
      <w:r>
        <w:rPr>
          <w:sz w:val="20"/>
        </w:rPr>
        <w:t>de</w:t>
      </w:r>
      <w:r>
        <w:rPr>
          <w:spacing w:val="-15"/>
          <w:sz w:val="20"/>
        </w:rPr>
        <w:t xml:space="preserve"> </w:t>
      </w:r>
      <w:r>
        <w:rPr>
          <w:sz w:val="20"/>
        </w:rPr>
        <w:t>ellos</w:t>
      </w:r>
      <w:r>
        <w:rPr>
          <w:spacing w:val="-12"/>
          <w:sz w:val="20"/>
        </w:rPr>
        <w:t xml:space="preserve"> </w:t>
      </w:r>
      <w:r>
        <w:rPr>
          <w:sz w:val="20"/>
        </w:rPr>
        <w:t>corresponden a</w:t>
      </w:r>
      <w:r>
        <w:rPr>
          <w:spacing w:val="-6"/>
          <w:sz w:val="20"/>
        </w:rPr>
        <w:t xml:space="preserve"> </w:t>
      </w:r>
      <w:r>
        <w:rPr>
          <w:sz w:val="20"/>
        </w:rPr>
        <w:t>la</w:t>
      </w:r>
      <w:r>
        <w:rPr>
          <w:spacing w:val="-5"/>
          <w:sz w:val="20"/>
        </w:rPr>
        <w:t xml:space="preserve"> </w:t>
      </w:r>
      <w:r>
        <w:rPr>
          <w:sz w:val="20"/>
        </w:rPr>
        <w:t>misma</w:t>
      </w:r>
      <w:r>
        <w:rPr>
          <w:spacing w:val="-5"/>
          <w:sz w:val="20"/>
        </w:rPr>
        <w:t xml:space="preserve"> </w:t>
      </w:r>
      <w:r>
        <w:rPr>
          <w:sz w:val="20"/>
        </w:rPr>
        <w:t>persona.</w:t>
      </w:r>
      <w:r>
        <w:rPr>
          <w:spacing w:val="-6"/>
          <w:sz w:val="20"/>
        </w:rPr>
        <w:t xml:space="preserve"> </w:t>
      </w:r>
      <w:r>
        <w:rPr>
          <w:sz w:val="20"/>
        </w:rPr>
        <w:t>Así,</w:t>
      </w:r>
      <w:r>
        <w:rPr>
          <w:spacing w:val="-6"/>
          <w:sz w:val="20"/>
        </w:rPr>
        <w:t xml:space="preserve"> </w:t>
      </w:r>
      <w:r>
        <w:rPr>
          <w:sz w:val="20"/>
        </w:rPr>
        <w:t>luego</w:t>
      </w:r>
      <w:r>
        <w:rPr>
          <w:spacing w:val="-7"/>
          <w:sz w:val="20"/>
        </w:rPr>
        <w:t xml:space="preserve"> </w:t>
      </w:r>
      <w:r>
        <w:rPr>
          <w:sz w:val="20"/>
        </w:rPr>
        <w:t>de</w:t>
      </w:r>
      <w:r>
        <w:rPr>
          <w:spacing w:val="-7"/>
          <w:sz w:val="20"/>
        </w:rPr>
        <w:t xml:space="preserve"> </w:t>
      </w:r>
      <w:r>
        <w:rPr>
          <w:sz w:val="20"/>
        </w:rPr>
        <w:t>una</w:t>
      </w:r>
      <w:r>
        <w:rPr>
          <w:spacing w:val="-5"/>
          <w:sz w:val="20"/>
        </w:rPr>
        <w:t xml:space="preserve"> </w:t>
      </w:r>
      <w:r>
        <w:rPr>
          <w:sz w:val="20"/>
        </w:rPr>
        <w:t>revisión</w:t>
      </w:r>
      <w:r>
        <w:rPr>
          <w:spacing w:val="-2"/>
          <w:sz w:val="20"/>
        </w:rPr>
        <w:t xml:space="preserve"> </w:t>
      </w:r>
      <w:r>
        <w:rPr>
          <w:sz w:val="20"/>
        </w:rPr>
        <w:t>de</w:t>
      </w:r>
      <w:r>
        <w:rPr>
          <w:spacing w:val="-7"/>
          <w:sz w:val="20"/>
        </w:rPr>
        <w:t xml:space="preserve"> </w:t>
      </w:r>
      <w:r>
        <w:rPr>
          <w:sz w:val="20"/>
        </w:rPr>
        <w:t>los</w:t>
      </w:r>
      <w:r>
        <w:rPr>
          <w:spacing w:val="-6"/>
          <w:sz w:val="20"/>
        </w:rPr>
        <w:t xml:space="preserve"> </w:t>
      </w:r>
      <w:r>
        <w:rPr>
          <w:sz w:val="20"/>
        </w:rPr>
        <w:t>nombres</w:t>
      </w:r>
      <w:r>
        <w:rPr>
          <w:spacing w:val="-6"/>
          <w:sz w:val="20"/>
        </w:rPr>
        <w:t xml:space="preserve"> </w:t>
      </w:r>
      <w:r>
        <w:rPr>
          <w:sz w:val="20"/>
        </w:rPr>
        <w:t>aportados,</w:t>
      </w:r>
      <w:r>
        <w:rPr>
          <w:spacing w:val="-6"/>
          <w:sz w:val="20"/>
        </w:rPr>
        <w:t xml:space="preserve"> </w:t>
      </w:r>
      <w:r>
        <w:rPr>
          <w:sz w:val="20"/>
        </w:rPr>
        <w:t>la</w:t>
      </w:r>
      <w:r>
        <w:rPr>
          <w:spacing w:val="-5"/>
          <w:sz w:val="20"/>
        </w:rPr>
        <w:t xml:space="preserve"> </w:t>
      </w:r>
      <w:r>
        <w:rPr>
          <w:sz w:val="20"/>
        </w:rPr>
        <w:t>Corte</w:t>
      </w:r>
      <w:r>
        <w:rPr>
          <w:spacing w:val="-4"/>
          <w:sz w:val="20"/>
        </w:rPr>
        <w:t xml:space="preserve"> </w:t>
      </w:r>
      <w:r>
        <w:rPr>
          <w:sz w:val="20"/>
        </w:rPr>
        <w:t>encuentra que</w:t>
      </w:r>
      <w:r>
        <w:rPr>
          <w:spacing w:val="-9"/>
          <w:sz w:val="20"/>
        </w:rPr>
        <w:t xml:space="preserve"> </w:t>
      </w:r>
      <w:r>
        <w:rPr>
          <w:sz w:val="20"/>
        </w:rPr>
        <w:t>esta</w:t>
      </w:r>
      <w:r>
        <w:rPr>
          <w:spacing w:val="-5"/>
          <w:sz w:val="20"/>
        </w:rPr>
        <w:t xml:space="preserve"> </w:t>
      </w:r>
      <w:r>
        <w:rPr>
          <w:sz w:val="20"/>
        </w:rPr>
        <w:t>objeción</w:t>
      </w:r>
      <w:r>
        <w:rPr>
          <w:spacing w:val="-6"/>
          <w:sz w:val="20"/>
        </w:rPr>
        <w:t xml:space="preserve"> </w:t>
      </w:r>
      <w:r>
        <w:rPr>
          <w:sz w:val="20"/>
        </w:rPr>
        <w:t>se</w:t>
      </w:r>
      <w:r>
        <w:rPr>
          <w:spacing w:val="-9"/>
          <w:sz w:val="20"/>
        </w:rPr>
        <w:t xml:space="preserve"> </w:t>
      </w:r>
      <w:r>
        <w:rPr>
          <w:sz w:val="20"/>
        </w:rPr>
        <w:t>refiere</w:t>
      </w:r>
      <w:r>
        <w:rPr>
          <w:spacing w:val="-8"/>
          <w:sz w:val="20"/>
        </w:rPr>
        <w:t xml:space="preserve"> </w:t>
      </w:r>
      <w:r>
        <w:rPr>
          <w:sz w:val="20"/>
        </w:rPr>
        <w:t>a</w:t>
      </w:r>
      <w:r>
        <w:rPr>
          <w:spacing w:val="-8"/>
          <w:sz w:val="20"/>
        </w:rPr>
        <w:t xml:space="preserve"> </w:t>
      </w:r>
      <w:r>
        <w:rPr>
          <w:sz w:val="20"/>
        </w:rPr>
        <w:t>26</w:t>
      </w:r>
      <w:r>
        <w:rPr>
          <w:spacing w:val="-6"/>
          <w:sz w:val="20"/>
        </w:rPr>
        <w:t xml:space="preserve"> </w:t>
      </w:r>
      <w:r>
        <w:rPr>
          <w:sz w:val="20"/>
        </w:rPr>
        <w:t>personas</w:t>
      </w:r>
      <w:hyperlink w:anchor="_bookmark405" w:history="1">
        <w:r>
          <w:rPr>
            <w:position w:val="7"/>
            <w:sz w:val="13"/>
          </w:rPr>
          <w:t>343</w:t>
        </w:r>
      </w:hyperlink>
      <w:r>
        <w:rPr>
          <w:sz w:val="20"/>
        </w:rPr>
        <w:t>.</w:t>
      </w:r>
      <w:r>
        <w:rPr>
          <w:spacing w:val="-8"/>
          <w:sz w:val="20"/>
        </w:rPr>
        <w:t xml:space="preserve"> </w:t>
      </w:r>
      <w:r>
        <w:rPr>
          <w:sz w:val="20"/>
        </w:rPr>
        <w:t>Sobre</w:t>
      </w:r>
      <w:r>
        <w:rPr>
          <w:spacing w:val="-8"/>
          <w:sz w:val="20"/>
        </w:rPr>
        <w:t xml:space="preserve"> </w:t>
      </w:r>
      <w:r>
        <w:rPr>
          <w:sz w:val="20"/>
        </w:rPr>
        <w:t>este</w:t>
      </w:r>
      <w:r>
        <w:rPr>
          <w:spacing w:val="-9"/>
          <w:sz w:val="20"/>
        </w:rPr>
        <w:t xml:space="preserve"> </w:t>
      </w:r>
      <w:r>
        <w:rPr>
          <w:sz w:val="20"/>
        </w:rPr>
        <w:t>asunto,</w:t>
      </w:r>
      <w:r>
        <w:rPr>
          <w:spacing w:val="-8"/>
          <w:sz w:val="20"/>
        </w:rPr>
        <w:t xml:space="preserve"> </w:t>
      </w:r>
      <w:r>
        <w:rPr>
          <w:sz w:val="20"/>
        </w:rPr>
        <w:t>el</w:t>
      </w:r>
      <w:r>
        <w:rPr>
          <w:spacing w:val="-6"/>
          <w:sz w:val="20"/>
        </w:rPr>
        <w:t xml:space="preserve"> </w:t>
      </w:r>
      <w:r>
        <w:rPr>
          <w:sz w:val="20"/>
        </w:rPr>
        <w:t>Estado</w:t>
      </w:r>
      <w:r>
        <w:rPr>
          <w:spacing w:val="-6"/>
          <w:sz w:val="20"/>
        </w:rPr>
        <w:t xml:space="preserve"> </w:t>
      </w:r>
      <w:r>
        <w:rPr>
          <w:sz w:val="20"/>
        </w:rPr>
        <w:t>citó</w:t>
      </w:r>
      <w:r>
        <w:rPr>
          <w:spacing w:val="-8"/>
          <w:sz w:val="20"/>
        </w:rPr>
        <w:t xml:space="preserve"> </w:t>
      </w:r>
      <w:r>
        <w:rPr>
          <w:sz w:val="20"/>
        </w:rPr>
        <w:t>lo</w:t>
      </w:r>
      <w:r>
        <w:rPr>
          <w:spacing w:val="-6"/>
          <w:sz w:val="20"/>
        </w:rPr>
        <w:t xml:space="preserve"> </w:t>
      </w:r>
      <w:r>
        <w:rPr>
          <w:sz w:val="20"/>
        </w:rPr>
        <w:t xml:space="preserve">establecido por la Corte en el </w:t>
      </w:r>
      <w:r>
        <w:rPr>
          <w:i/>
          <w:sz w:val="20"/>
        </w:rPr>
        <w:t>Caso Gomes Lund y otros Vs. Brasil</w:t>
      </w:r>
      <w:r>
        <w:rPr>
          <w:sz w:val="20"/>
        </w:rPr>
        <w:t>, sobre la presunción del daño a la integridad psíquica y moral de los familiares directos de las víctimas (madres, padres, hijos, hijas, esposos y esposas) y la necesidad de probar las afect</w:t>
      </w:r>
      <w:r>
        <w:rPr>
          <w:sz w:val="20"/>
        </w:rPr>
        <w:t>aciones a la integridad de los familiares</w:t>
      </w:r>
      <w:r>
        <w:rPr>
          <w:spacing w:val="-3"/>
          <w:sz w:val="20"/>
        </w:rPr>
        <w:t xml:space="preserve"> </w:t>
      </w:r>
      <w:r>
        <w:rPr>
          <w:sz w:val="20"/>
        </w:rPr>
        <w:t>indirectos.</w:t>
      </w:r>
    </w:p>
    <w:p w14:paraId="3892A14B" w14:textId="77777777" w:rsidR="00467FCA" w:rsidRDefault="00467FCA">
      <w:pPr>
        <w:pStyle w:val="Textoindependiente"/>
        <w:spacing w:before="11"/>
        <w:rPr>
          <w:sz w:val="19"/>
        </w:rPr>
      </w:pPr>
    </w:p>
    <w:p w14:paraId="6C429BBA" w14:textId="77777777" w:rsidR="00467FCA" w:rsidRDefault="001B68EB">
      <w:pPr>
        <w:pStyle w:val="Ttulo1"/>
        <w:ind w:left="480"/>
      </w:pPr>
      <w:bookmarkStart w:id="462" w:name="B._Consideraciones_de_la_Corte"/>
      <w:bookmarkStart w:id="463" w:name="_bookmark404"/>
      <w:bookmarkEnd w:id="462"/>
      <w:bookmarkEnd w:id="463"/>
      <w:r>
        <w:t>B. Consideraciones de la Corte</w:t>
      </w:r>
    </w:p>
    <w:p w14:paraId="525D1479" w14:textId="77777777" w:rsidR="00467FCA" w:rsidRDefault="00467FCA">
      <w:pPr>
        <w:pStyle w:val="Textoindependiente"/>
        <w:spacing w:before="11"/>
        <w:rPr>
          <w:b/>
          <w:sz w:val="19"/>
        </w:rPr>
      </w:pPr>
    </w:p>
    <w:p w14:paraId="57E740FE" w14:textId="77777777" w:rsidR="00467FCA" w:rsidRDefault="001B68EB">
      <w:pPr>
        <w:pStyle w:val="Prrafodelista"/>
        <w:numPr>
          <w:ilvl w:val="0"/>
          <w:numId w:val="50"/>
        </w:numPr>
        <w:tabs>
          <w:tab w:val="left" w:pos="687"/>
        </w:tabs>
        <w:ind w:right="119" w:firstLine="0"/>
        <w:jc w:val="both"/>
        <w:rPr>
          <w:sz w:val="20"/>
        </w:rPr>
      </w:pPr>
      <w:r>
        <w:rPr>
          <w:sz w:val="20"/>
        </w:rPr>
        <w:t>Esta Corte ha reconocido que los miembros de los núcleos familiares pueden, por derecho</w:t>
      </w:r>
      <w:r>
        <w:rPr>
          <w:spacing w:val="-6"/>
          <w:sz w:val="20"/>
        </w:rPr>
        <w:t xml:space="preserve"> </w:t>
      </w:r>
      <w:r>
        <w:rPr>
          <w:sz w:val="20"/>
        </w:rPr>
        <w:t>propio,</w:t>
      </w:r>
      <w:r>
        <w:rPr>
          <w:spacing w:val="-5"/>
          <w:sz w:val="20"/>
        </w:rPr>
        <w:t xml:space="preserve"> </w:t>
      </w:r>
      <w:r>
        <w:rPr>
          <w:sz w:val="20"/>
        </w:rPr>
        <w:t>ser</w:t>
      </w:r>
      <w:r>
        <w:rPr>
          <w:spacing w:val="-7"/>
          <w:sz w:val="20"/>
        </w:rPr>
        <w:t xml:space="preserve"> </w:t>
      </w:r>
      <w:r>
        <w:rPr>
          <w:sz w:val="20"/>
        </w:rPr>
        <w:t>víctimas</w:t>
      </w:r>
      <w:r>
        <w:rPr>
          <w:spacing w:val="-5"/>
          <w:sz w:val="20"/>
        </w:rPr>
        <w:t xml:space="preserve"> </w:t>
      </w:r>
      <w:r>
        <w:rPr>
          <w:sz w:val="20"/>
        </w:rPr>
        <w:t>de</w:t>
      </w:r>
      <w:r>
        <w:rPr>
          <w:spacing w:val="-3"/>
          <w:sz w:val="20"/>
        </w:rPr>
        <w:t xml:space="preserve"> </w:t>
      </w:r>
      <w:r>
        <w:rPr>
          <w:sz w:val="20"/>
        </w:rPr>
        <w:t>violaciones</w:t>
      </w:r>
      <w:r>
        <w:rPr>
          <w:spacing w:val="-6"/>
          <w:sz w:val="20"/>
        </w:rPr>
        <w:t xml:space="preserve"> </w:t>
      </w:r>
      <w:r>
        <w:rPr>
          <w:sz w:val="20"/>
        </w:rPr>
        <w:t>del</w:t>
      </w:r>
      <w:r>
        <w:rPr>
          <w:spacing w:val="-4"/>
          <w:sz w:val="20"/>
        </w:rPr>
        <w:t xml:space="preserve"> </w:t>
      </w:r>
      <w:r>
        <w:rPr>
          <w:sz w:val="20"/>
        </w:rPr>
        <w:t>artículo</w:t>
      </w:r>
      <w:r>
        <w:rPr>
          <w:spacing w:val="-6"/>
          <w:sz w:val="20"/>
        </w:rPr>
        <w:t xml:space="preserve"> </w:t>
      </w:r>
      <w:r>
        <w:rPr>
          <w:sz w:val="20"/>
        </w:rPr>
        <w:t>5</w:t>
      </w:r>
      <w:r>
        <w:rPr>
          <w:spacing w:val="-5"/>
          <w:sz w:val="20"/>
        </w:rPr>
        <w:t xml:space="preserve"> </w:t>
      </w:r>
      <w:r>
        <w:rPr>
          <w:sz w:val="20"/>
        </w:rPr>
        <w:t>de</w:t>
      </w:r>
      <w:r>
        <w:rPr>
          <w:spacing w:val="-6"/>
          <w:sz w:val="20"/>
        </w:rPr>
        <w:t xml:space="preserve"> </w:t>
      </w:r>
      <w:r>
        <w:rPr>
          <w:sz w:val="20"/>
        </w:rPr>
        <w:t>la</w:t>
      </w:r>
      <w:r>
        <w:rPr>
          <w:spacing w:val="-3"/>
          <w:sz w:val="20"/>
        </w:rPr>
        <w:t xml:space="preserve"> </w:t>
      </w:r>
      <w:r>
        <w:rPr>
          <w:sz w:val="20"/>
        </w:rPr>
        <w:t>Convención,</w:t>
      </w:r>
      <w:r>
        <w:rPr>
          <w:spacing w:val="-5"/>
          <w:sz w:val="20"/>
        </w:rPr>
        <w:t xml:space="preserve"> </w:t>
      </w:r>
      <w:r>
        <w:rPr>
          <w:sz w:val="20"/>
        </w:rPr>
        <w:t>por</w:t>
      </w:r>
      <w:r>
        <w:rPr>
          <w:spacing w:val="-3"/>
          <w:sz w:val="20"/>
        </w:rPr>
        <w:t xml:space="preserve"> </w:t>
      </w:r>
      <w:r>
        <w:rPr>
          <w:sz w:val="20"/>
        </w:rPr>
        <w:t>cuenta</w:t>
      </w:r>
      <w:r>
        <w:rPr>
          <w:spacing w:val="-5"/>
          <w:sz w:val="20"/>
        </w:rPr>
        <w:t xml:space="preserve"> </w:t>
      </w:r>
      <w:r>
        <w:rPr>
          <w:sz w:val="20"/>
        </w:rPr>
        <w:t>de</w:t>
      </w:r>
      <w:r>
        <w:rPr>
          <w:spacing w:val="-6"/>
          <w:sz w:val="20"/>
        </w:rPr>
        <w:t xml:space="preserve"> </w:t>
      </w:r>
      <w:r>
        <w:rPr>
          <w:sz w:val="20"/>
        </w:rPr>
        <w:t>los</w:t>
      </w:r>
    </w:p>
    <w:p w14:paraId="5DB544B6" w14:textId="77777777" w:rsidR="00467FCA" w:rsidRDefault="00467FCA">
      <w:pPr>
        <w:pStyle w:val="Textoindependiente"/>
      </w:pPr>
    </w:p>
    <w:p w14:paraId="0E19DE4D" w14:textId="77777777" w:rsidR="00467FCA" w:rsidRDefault="001B68EB">
      <w:pPr>
        <w:pStyle w:val="Textoindependiente"/>
        <w:spacing w:before="9"/>
        <w:rPr>
          <w:sz w:val="16"/>
        </w:rPr>
      </w:pPr>
      <w:r>
        <w:pict w14:anchorId="185593A4">
          <v:shape id="_x0000_s1132" style="position:absolute;margin-left:1in;margin-top:12.45pt;width:2in;height:.1pt;z-index:-251592704;mso-wrap-distance-left:0;mso-wrap-distance-right:0;mso-position-horizontal-relative:page" coordorigin="1440,249" coordsize="2880,0" path="m1440,249r2880,e" filled="f" strokeweight=".6pt">
            <v:path arrowok="t"/>
            <w10:wrap type="topAndBottom" anchorx="page"/>
          </v:shape>
        </w:pict>
      </w:r>
    </w:p>
    <w:p w14:paraId="1171DDD5" w14:textId="77777777" w:rsidR="00467FCA" w:rsidRDefault="001B68EB">
      <w:pPr>
        <w:tabs>
          <w:tab w:val="left" w:pos="839"/>
        </w:tabs>
        <w:spacing w:before="74"/>
        <w:ind w:left="119" w:right="113"/>
        <w:jc w:val="both"/>
        <w:rPr>
          <w:sz w:val="16"/>
        </w:rPr>
      </w:pPr>
      <w:bookmarkStart w:id="464" w:name="_bookmark405"/>
      <w:bookmarkEnd w:id="464"/>
      <w:r>
        <w:rPr>
          <w:position w:val="6"/>
          <w:sz w:val="10"/>
        </w:rPr>
        <w:t>343</w:t>
      </w:r>
      <w:r>
        <w:rPr>
          <w:position w:val="6"/>
          <w:sz w:val="10"/>
        </w:rPr>
        <w:tab/>
      </w:r>
      <w:r>
        <w:rPr>
          <w:sz w:val="16"/>
        </w:rPr>
        <w:t>1. Adriana Santos Rocha; 2. Antônio José dos Santos Ribeiro; 3. Antônio Ro</w:t>
      </w:r>
      <w:r>
        <w:rPr>
          <w:sz w:val="16"/>
        </w:rPr>
        <w:t>drigues dos Santos; 4. Claudia Reis dos Santos; 5. Claudimeire de Jesus Bittencourt; 6. Cleide Reis dos Santos; 7. Cristiane Ferreira de Jesus; 8. Dailane dos Santos Souza; 9. Fabiana Santos Rocha; 10. Geneis dos Santos Souza; 11. Guilhermino Cerqueira dos</w:t>
      </w:r>
      <w:r>
        <w:rPr>
          <w:sz w:val="16"/>
        </w:rPr>
        <w:t xml:space="preserve"> Santos; 12. Lourival Ferreira de Jesus; 13. Lucinete dos Santos Ribeiro; 14. Luís Fernando Santos Costa; 15. Maria Antônia</w:t>
      </w:r>
      <w:r>
        <w:rPr>
          <w:spacing w:val="-3"/>
          <w:sz w:val="16"/>
        </w:rPr>
        <w:t xml:space="preserve"> </w:t>
      </w:r>
      <w:r>
        <w:rPr>
          <w:sz w:val="16"/>
        </w:rPr>
        <w:t>dos</w:t>
      </w:r>
      <w:r>
        <w:rPr>
          <w:spacing w:val="-4"/>
          <w:sz w:val="16"/>
        </w:rPr>
        <w:t xml:space="preserve"> </w:t>
      </w:r>
      <w:r>
        <w:rPr>
          <w:sz w:val="16"/>
        </w:rPr>
        <w:t>Santos;</w:t>
      </w:r>
      <w:r>
        <w:rPr>
          <w:spacing w:val="-5"/>
          <w:sz w:val="16"/>
        </w:rPr>
        <w:t xml:space="preserve"> </w:t>
      </w:r>
      <w:r>
        <w:rPr>
          <w:sz w:val="16"/>
        </w:rPr>
        <w:t>16.</w:t>
      </w:r>
      <w:r>
        <w:rPr>
          <w:spacing w:val="-5"/>
          <w:sz w:val="16"/>
        </w:rPr>
        <w:t xml:space="preserve"> </w:t>
      </w:r>
      <w:r>
        <w:rPr>
          <w:sz w:val="16"/>
        </w:rPr>
        <w:t>Maria</w:t>
      </w:r>
      <w:r>
        <w:rPr>
          <w:spacing w:val="-5"/>
          <w:sz w:val="16"/>
        </w:rPr>
        <w:t xml:space="preserve"> </w:t>
      </w:r>
      <w:r>
        <w:rPr>
          <w:sz w:val="16"/>
        </w:rPr>
        <w:t>Joelma</w:t>
      </w:r>
      <w:r>
        <w:rPr>
          <w:spacing w:val="-5"/>
          <w:sz w:val="16"/>
        </w:rPr>
        <w:t xml:space="preserve"> </w:t>
      </w:r>
      <w:r>
        <w:rPr>
          <w:sz w:val="16"/>
        </w:rPr>
        <w:t>de</w:t>
      </w:r>
      <w:r>
        <w:rPr>
          <w:spacing w:val="-4"/>
          <w:sz w:val="16"/>
        </w:rPr>
        <w:t xml:space="preserve"> </w:t>
      </w:r>
      <w:r>
        <w:rPr>
          <w:sz w:val="16"/>
        </w:rPr>
        <w:t>Jesus</w:t>
      </w:r>
      <w:r>
        <w:rPr>
          <w:spacing w:val="-4"/>
          <w:sz w:val="16"/>
        </w:rPr>
        <w:t xml:space="preserve"> </w:t>
      </w:r>
      <w:r>
        <w:rPr>
          <w:sz w:val="16"/>
        </w:rPr>
        <w:t>Santos;</w:t>
      </w:r>
      <w:r>
        <w:rPr>
          <w:spacing w:val="-5"/>
          <w:sz w:val="16"/>
        </w:rPr>
        <w:t xml:space="preserve"> </w:t>
      </w:r>
      <w:r>
        <w:rPr>
          <w:sz w:val="16"/>
        </w:rPr>
        <w:t>17.</w:t>
      </w:r>
      <w:r>
        <w:rPr>
          <w:spacing w:val="-6"/>
          <w:sz w:val="16"/>
        </w:rPr>
        <w:t xml:space="preserve"> </w:t>
      </w:r>
      <w:r>
        <w:rPr>
          <w:sz w:val="16"/>
        </w:rPr>
        <w:t>Maria</w:t>
      </w:r>
      <w:r>
        <w:rPr>
          <w:spacing w:val="-5"/>
          <w:sz w:val="16"/>
        </w:rPr>
        <w:t xml:space="preserve"> </w:t>
      </w:r>
      <w:r>
        <w:rPr>
          <w:sz w:val="16"/>
        </w:rPr>
        <w:t>Vera</w:t>
      </w:r>
      <w:r>
        <w:rPr>
          <w:spacing w:val="-4"/>
          <w:sz w:val="16"/>
        </w:rPr>
        <w:t xml:space="preserve"> </w:t>
      </w:r>
      <w:r>
        <w:rPr>
          <w:sz w:val="16"/>
        </w:rPr>
        <w:t>dos</w:t>
      </w:r>
      <w:r>
        <w:rPr>
          <w:spacing w:val="-4"/>
          <w:sz w:val="16"/>
        </w:rPr>
        <w:t xml:space="preserve"> </w:t>
      </w:r>
      <w:r>
        <w:rPr>
          <w:sz w:val="16"/>
        </w:rPr>
        <w:t>Santos;</w:t>
      </w:r>
      <w:r>
        <w:rPr>
          <w:spacing w:val="-5"/>
          <w:sz w:val="16"/>
        </w:rPr>
        <w:t xml:space="preserve"> </w:t>
      </w:r>
      <w:r>
        <w:rPr>
          <w:sz w:val="16"/>
        </w:rPr>
        <w:t>18.</w:t>
      </w:r>
      <w:r>
        <w:rPr>
          <w:spacing w:val="-5"/>
          <w:sz w:val="16"/>
        </w:rPr>
        <w:t xml:space="preserve"> </w:t>
      </w:r>
      <w:r>
        <w:rPr>
          <w:sz w:val="16"/>
        </w:rPr>
        <w:t>Marimar</w:t>
      </w:r>
      <w:r>
        <w:rPr>
          <w:spacing w:val="-3"/>
          <w:sz w:val="16"/>
        </w:rPr>
        <w:t xml:space="preserve"> </w:t>
      </w:r>
      <w:r>
        <w:rPr>
          <w:sz w:val="16"/>
        </w:rPr>
        <w:t>dos</w:t>
      </w:r>
      <w:r>
        <w:rPr>
          <w:spacing w:val="-4"/>
          <w:sz w:val="16"/>
        </w:rPr>
        <w:t xml:space="preserve"> </w:t>
      </w:r>
      <w:r>
        <w:rPr>
          <w:sz w:val="16"/>
        </w:rPr>
        <w:t>Santos</w:t>
      </w:r>
      <w:r>
        <w:rPr>
          <w:spacing w:val="-4"/>
          <w:sz w:val="16"/>
        </w:rPr>
        <w:t xml:space="preserve"> </w:t>
      </w:r>
      <w:r>
        <w:rPr>
          <w:sz w:val="16"/>
        </w:rPr>
        <w:t>Ribeiro;</w:t>
      </w:r>
    </w:p>
    <w:p w14:paraId="5857EE26" w14:textId="77777777" w:rsidR="00467FCA" w:rsidRDefault="001B68EB">
      <w:pPr>
        <w:ind w:left="117" w:right="117" w:firstLine="1"/>
        <w:jc w:val="both"/>
        <w:rPr>
          <w:sz w:val="16"/>
        </w:rPr>
      </w:pPr>
      <w:r>
        <w:rPr>
          <w:sz w:val="16"/>
        </w:rPr>
        <w:t>19.</w:t>
      </w:r>
      <w:r>
        <w:rPr>
          <w:spacing w:val="-7"/>
          <w:sz w:val="16"/>
        </w:rPr>
        <w:t xml:space="preserve"> </w:t>
      </w:r>
      <w:r>
        <w:rPr>
          <w:sz w:val="16"/>
        </w:rPr>
        <w:t>Marinalva</w:t>
      </w:r>
      <w:r>
        <w:rPr>
          <w:spacing w:val="-7"/>
          <w:sz w:val="16"/>
        </w:rPr>
        <w:t xml:space="preserve"> </w:t>
      </w:r>
      <w:r>
        <w:rPr>
          <w:sz w:val="16"/>
        </w:rPr>
        <w:t>Santos;</w:t>
      </w:r>
      <w:r>
        <w:rPr>
          <w:spacing w:val="-7"/>
          <w:sz w:val="16"/>
        </w:rPr>
        <w:t xml:space="preserve"> </w:t>
      </w:r>
      <w:r>
        <w:rPr>
          <w:sz w:val="16"/>
        </w:rPr>
        <w:t>20.</w:t>
      </w:r>
      <w:r>
        <w:rPr>
          <w:spacing w:val="-10"/>
          <w:sz w:val="16"/>
        </w:rPr>
        <w:t xml:space="preserve"> </w:t>
      </w:r>
      <w:r>
        <w:rPr>
          <w:sz w:val="16"/>
        </w:rPr>
        <w:t>Marlene</w:t>
      </w:r>
      <w:r>
        <w:rPr>
          <w:spacing w:val="-4"/>
          <w:sz w:val="16"/>
        </w:rPr>
        <w:t xml:space="preserve"> </w:t>
      </w:r>
      <w:r>
        <w:rPr>
          <w:sz w:val="16"/>
        </w:rPr>
        <w:t>dos</w:t>
      </w:r>
      <w:r>
        <w:rPr>
          <w:spacing w:val="-6"/>
          <w:sz w:val="16"/>
        </w:rPr>
        <w:t xml:space="preserve"> </w:t>
      </w:r>
      <w:r>
        <w:rPr>
          <w:sz w:val="16"/>
        </w:rPr>
        <w:t>Santos</w:t>
      </w:r>
      <w:r>
        <w:rPr>
          <w:spacing w:val="-6"/>
          <w:sz w:val="16"/>
        </w:rPr>
        <w:t xml:space="preserve"> </w:t>
      </w:r>
      <w:r>
        <w:rPr>
          <w:sz w:val="16"/>
        </w:rPr>
        <w:t>Ribeiro;</w:t>
      </w:r>
      <w:r>
        <w:rPr>
          <w:spacing w:val="-7"/>
          <w:sz w:val="16"/>
        </w:rPr>
        <w:t xml:space="preserve"> </w:t>
      </w:r>
      <w:r>
        <w:rPr>
          <w:sz w:val="16"/>
        </w:rPr>
        <w:t>21.</w:t>
      </w:r>
      <w:r>
        <w:rPr>
          <w:spacing w:val="-7"/>
          <w:sz w:val="16"/>
        </w:rPr>
        <w:t xml:space="preserve"> </w:t>
      </w:r>
      <w:r>
        <w:rPr>
          <w:sz w:val="16"/>
        </w:rPr>
        <w:t>Marlene</w:t>
      </w:r>
      <w:r>
        <w:rPr>
          <w:spacing w:val="-6"/>
          <w:sz w:val="16"/>
        </w:rPr>
        <w:t xml:space="preserve"> </w:t>
      </w:r>
      <w:r>
        <w:rPr>
          <w:sz w:val="16"/>
        </w:rPr>
        <w:t>Ferreira</w:t>
      </w:r>
      <w:r>
        <w:rPr>
          <w:spacing w:val="-7"/>
          <w:sz w:val="16"/>
        </w:rPr>
        <w:t xml:space="preserve"> </w:t>
      </w:r>
      <w:r>
        <w:rPr>
          <w:sz w:val="16"/>
        </w:rPr>
        <w:t>de</w:t>
      </w:r>
      <w:r>
        <w:rPr>
          <w:spacing w:val="-6"/>
          <w:sz w:val="16"/>
        </w:rPr>
        <w:t xml:space="preserve"> </w:t>
      </w:r>
      <w:r>
        <w:rPr>
          <w:sz w:val="16"/>
        </w:rPr>
        <w:t>Jesus;</w:t>
      </w:r>
      <w:r>
        <w:rPr>
          <w:spacing w:val="-6"/>
          <w:sz w:val="16"/>
        </w:rPr>
        <w:t xml:space="preserve"> </w:t>
      </w:r>
      <w:r>
        <w:rPr>
          <w:sz w:val="16"/>
        </w:rPr>
        <w:t>22.</w:t>
      </w:r>
      <w:r>
        <w:rPr>
          <w:spacing w:val="-7"/>
          <w:sz w:val="16"/>
        </w:rPr>
        <w:t xml:space="preserve"> </w:t>
      </w:r>
      <w:r>
        <w:rPr>
          <w:sz w:val="16"/>
        </w:rPr>
        <w:t>Neuza</w:t>
      </w:r>
      <w:r>
        <w:rPr>
          <w:spacing w:val="-7"/>
          <w:sz w:val="16"/>
        </w:rPr>
        <w:t xml:space="preserve"> </w:t>
      </w:r>
      <w:r>
        <w:rPr>
          <w:sz w:val="16"/>
        </w:rPr>
        <w:t>Maria</w:t>
      </w:r>
      <w:r>
        <w:rPr>
          <w:spacing w:val="-7"/>
          <w:sz w:val="16"/>
        </w:rPr>
        <w:t xml:space="preserve"> </w:t>
      </w:r>
      <w:r>
        <w:rPr>
          <w:sz w:val="16"/>
        </w:rPr>
        <w:t>Machado;</w:t>
      </w:r>
      <w:r>
        <w:rPr>
          <w:spacing w:val="-7"/>
          <w:sz w:val="16"/>
        </w:rPr>
        <w:t xml:space="preserve"> </w:t>
      </w:r>
      <w:r>
        <w:rPr>
          <w:sz w:val="16"/>
        </w:rPr>
        <w:t>23. Roque Ribeiro da Conceição; 24. Samuel dos Santos Souza; 25. Wellington Silva dos Santos; 26. Zuleide de Jesus Souza.</w:t>
      </w:r>
    </w:p>
    <w:p w14:paraId="4058035E" w14:textId="77777777" w:rsidR="00467FCA" w:rsidRDefault="00467FCA">
      <w:pPr>
        <w:jc w:val="both"/>
        <w:rPr>
          <w:sz w:val="16"/>
        </w:rPr>
        <w:sectPr w:rsidR="00467FCA">
          <w:pgSz w:w="12240" w:h="15840"/>
          <w:pgMar w:top="1360" w:right="1320" w:bottom="1220" w:left="1320" w:header="0" w:footer="957" w:gutter="0"/>
          <w:cols w:space="720"/>
        </w:sectPr>
      </w:pPr>
    </w:p>
    <w:p w14:paraId="0B8605A4" w14:textId="77777777" w:rsidR="00467FCA" w:rsidRDefault="001B68EB">
      <w:pPr>
        <w:pStyle w:val="Textoindependiente"/>
        <w:spacing w:before="80"/>
        <w:ind w:left="119" w:right="117"/>
        <w:jc w:val="both"/>
      </w:pPr>
      <w:r>
        <w:t>padecimientos</w:t>
      </w:r>
      <w:r>
        <w:rPr>
          <w:spacing w:val="-9"/>
        </w:rPr>
        <w:t xml:space="preserve"> </w:t>
      </w:r>
      <w:r>
        <w:t>sufridos</w:t>
      </w:r>
      <w:r>
        <w:rPr>
          <w:spacing w:val="-6"/>
        </w:rPr>
        <w:t xml:space="preserve"> </w:t>
      </w:r>
      <w:r>
        <w:t>p</w:t>
      </w:r>
      <w:r>
        <w:t>or</w:t>
      </w:r>
      <w:r>
        <w:rPr>
          <w:spacing w:val="-9"/>
        </w:rPr>
        <w:t xml:space="preserve"> </w:t>
      </w:r>
      <w:r>
        <w:t>sus</w:t>
      </w:r>
      <w:r>
        <w:rPr>
          <w:spacing w:val="-9"/>
        </w:rPr>
        <w:t xml:space="preserve"> </w:t>
      </w:r>
      <w:r>
        <w:t>seres</w:t>
      </w:r>
      <w:r>
        <w:rPr>
          <w:spacing w:val="-11"/>
        </w:rPr>
        <w:t xml:space="preserve"> </w:t>
      </w:r>
      <w:r>
        <w:t>queridos</w:t>
      </w:r>
      <w:hyperlink w:anchor="_bookmark406" w:history="1">
        <w:r>
          <w:rPr>
            <w:position w:val="7"/>
            <w:sz w:val="13"/>
          </w:rPr>
          <w:t>344</w:t>
        </w:r>
      </w:hyperlink>
      <w:r>
        <w:t>.</w:t>
      </w:r>
      <w:r>
        <w:rPr>
          <w:spacing w:val="-7"/>
        </w:rPr>
        <w:t xml:space="preserve"> </w:t>
      </w:r>
      <w:r>
        <w:t>Para</w:t>
      </w:r>
      <w:r>
        <w:rPr>
          <w:spacing w:val="-8"/>
        </w:rPr>
        <w:t xml:space="preserve"> </w:t>
      </w:r>
      <w:r>
        <w:t>ello,</w:t>
      </w:r>
      <w:r>
        <w:rPr>
          <w:spacing w:val="-8"/>
        </w:rPr>
        <w:t xml:space="preserve"> </w:t>
      </w:r>
      <w:r>
        <w:t>corresponde</w:t>
      </w:r>
      <w:r>
        <w:rPr>
          <w:spacing w:val="-9"/>
        </w:rPr>
        <w:t xml:space="preserve"> </w:t>
      </w:r>
      <w:r>
        <w:t>a</w:t>
      </w:r>
      <w:r>
        <w:rPr>
          <w:spacing w:val="-8"/>
        </w:rPr>
        <w:t xml:space="preserve"> </w:t>
      </w:r>
      <w:r>
        <w:t>la</w:t>
      </w:r>
      <w:r>
        <w:rPr>
          <w:spacing w:val="-9"/>
        </w:rPr>
        <w:t xml:space="preserve"> </w:t>
      </w:r>
      <w:r>
        <w:t>Comisión</w:t>
      </w:r>
      <w:r>
        <w:rPr>
          <w:spacing w:val="-9"/>
        </w:rPr>
        <w:t xml:space="preserve"> </w:t>
      </w:r>
      <w:r>
        <w:t>y</w:t>
      </w:r>
      <w:r>
        <w:rPr>
          <w:spacing w:val="-8"/>
        </w:rPr>
        <w:t xml:space="preserve"> </w:t>
      </w:r>
      <w:r>
        <w:t>a</w:t>
      </w:r>
      <w:r>
        <w:rPr>
          <w:spacing w:val="-8"/>
        </w:rPr>
        <w:t xml:space="preserve"> </w:t>
      </w:r>
      <w:r>
        <w:t>los representantes aportar prueba de las afectaciones padecidas por los familiares, para que puedan</w:t>
      </w:r>
      <w:r>
        <w:rPr>
          <w:spacing w:val="-5"/>
        </w:rPr>
        <w:t xml:space="preserve"> </w:t>
      </w:r>
      <w:r>
        <w:t>considerarse</w:t>
      </w:r>
      <w:r>
        <w:rPr>
          <w:spacing w:val="-5"/>
        </w:rPr>
        <w:t xml:space="preserve"> </w:t>
      </w:r>
      <w:r>
        <w:t>presuntas</w:t>
      </w:r>
      <w:r>
        <w:rPr>
          <w:spacing w:val="-5"/>
        </w:rPr>
        <w:t xml:space="preserve"> </w:t>
      </w:r>
      <w:r>
        <w:t>víctimas</w:t>
      </w:r>
      <w:r>
        <w:rPr>
          <w:spacing w:val="-5"/>
        </w:rPr>
        <w:t xml:space="preserve"> </w:t>
      </w:r>
      <w:r>
        <w:t>de</w:t>
      </w:r>
      <w:r>
        <w:rPr>
          <w:spacing w:val="-4"/>
        </w:rPr>
        <w:t xml:space="preserve"> </w:t>
      </w:r>
      <w:r>
        <w:t>una</w:t>
      </w:r>
      <w:r>
        <w:rPr>
          <w:spacing w:val="-4"/>
        </w:rPr>
        <w:t xml:space="preserve"> </w:t>
      </w:r>
      <w:r>
        <w:t>violación</w:t>
      </w:r>
      <w:r>
        <w:rPr>
          <w:spacing w:val="-3"/>
        </w:rPr>
        <w:t xml:space="preserve"> </w:t>
      </w:r>
      <w:r>
        <w:t>al</w:t>
      </w:r>
      <w:r>
        <w:rPr>
          <w:spacing w:val="-6"/>
        </w:rPr>
        <w:t xml:space="preserve"> </w:t>
      </w:r>
      <w:r>
        <w:t>derecho</w:t>
      </w:r>
      <w:r>
        <w:rPr>
          <w:spacing w:val="-5"/>
        </w:rPr>
        <w:t xml:space="preserve"> </w:t>
      </w:r>
      <w:r>
        <w:t>a</w:t>
      </w:r>
      <w:r>
        <w:rPr>
          <w:spacing w:val="-3"/>
        </w:rPr>
        <w:t xml:space="preserve"> </w:t>
      </w:r>
      <w:r>
        <w:t>la</w:t>
      </w:r>
      <w:r>
        <w:rPr>
          <w:spacing w:val="-6"/>
        </w:rPr>
        <w:t xml:space="preserve"> </w:t>
      </w:r>
      <w:r>
        <w:t>integridad</w:t>
      </w:r>
      <w:r>
        <w:rPr>
          <w:spacing w:val="-4"/>
        </w:rPr>
        <w:t xml:space="preserve"> </w:t>
      </w:r>
      <w:r>
        <w:t>personal.</w:t>
      </w:r>
    </w:p>
    <w:p w14:paraId="2F932BE9" w14:textId="77777777" w:rsidR="00467FCA" w:rsidRDefault="00467FCA">
      <w:pPr>
        <w:pStyle w:val="Textoindependiente"/>
      </w:pPr>
    </w:p>
    <w:p w14:paraId="3C08607D" w14:textId="77777777" w:rsidR="00467FCA" w:rsidRDefault="001B68EB">
      <w:pPr>
        <w:pStyle w:val="Prrafodelista"/>
        <w:numPr>
          <w:ilvl w:val="0"/>
          <w:numId w:val="38"/>
        </w:numPr>
        <w:tabs>
          <w:tab w:val="left" w:pos="687"/>
        </w:tabs>
        <w:ind w:right="116" w:firstLine="0"/>
        <w:jc w:val="both"/>
        <w:rPr>
          <w:sz w:val="20"/>
        </w:rPr>
      </w:pPr>
      <w:r>
        <w:rPr>
          <w:sz w:val="20"/>
        </w:rPr>
        <w:t>En este caso, la Corte encuentra que, de la relación de familiares pr</w:t>
      </w:r>
      <w:r>
        <w:rPr>
          <w:sz w:val="20"/>
        </w:rPr>
        <w:t>esentada por la Comisión</w:t>
      </w:r>
      <w:r>
        <w:rPr>
          <w:spacing w:val="-20"/>
          <w:sz w:val="20"/>
        </w:rPr>
        <w:t xml:space="preserve"> </w:t>
      </w:r>
      <w:r>
        <w:rPr>
          <w:sz w:val="20"/>
        </w:rPr>
        <w:t>y</w:t>
      </w:r>
      <w:r>
        <w:rPr>
          <w:spacing w:val="-20"/>
          <w:sz w:val="20"/>
        </w:rPr>
        <w:t xml:space="preserve"> </w:t>
      </w:r>
      <w:r>
        <w:rPr>
          <w:sz w:val="20"/>
        </w:rPr>
        <w:t>los</w:t>
      </w:r>
      <w:r>
        <w:rPr>
          <w:spacing w:val="-18"/>
          <w:sz w:val="20"/>
        </w:rPr>
        <w:t xml:space="preserve"> </w:t>
      </w:r>
      <w:r>
        <w:rPr>
          <w:sz w:val="20"/>
        </w:rPr>
        <w:t>representantes,</w:t>
      </w:r>
      <w:r>
        <w:rPr>
          <w:spacing w:val="-18"/>
          <w:sz w:val="20"/>
        </w:rPr>
        <w:t xml:space="preserve"> </w:t>
      </w:r>
      <w:r>
        <w:rPr>
          <w:sz w:val="20"/>
        </w:rPr>
        <w:t>el</w:t>
      </w:r>
      <w:r>
        <w:rPr>
          <w:spacing w:val="-19"/>
          <w:sz w:val="20"/>
        </w:rPr>
        <w:t xml:space="preserve"> </w:t>
      </w:r>
      <w:r>
        <w:rPr>
          <w:sz w:val="20"/>
        </w:rPr>
        <w:t>Estado</w:t>
      </w:r>
      <w:r>
        <w:rPr>
          <w:spacing w:val="-20"/>
          <w:sz w:val="20"/>
        </w:rPr>
        <w:t xml:space="preserve"> </w:t>
      </w:r>
      <w:r>
        <w:rPr>
          <w:sz w:val="20"/>
        </w:rPr>
        <w:t>objetó</w:t>
      </w:r>
      <w:r>
        <w:rPr>
          <w:spacing w:val="-19"/>
          <w:sz w:val="20"/>
        </w:rPr>
        <w:t xml:space="preserve"> </w:t>
      </w:r>
      <w:r>
        <w:rPr>
          <w:sz w:val="20"/>
        </w:rPr>
        <w:t>la</w:t>
      </w:r>
      <w:r>
        <w:rPr>
          <w:spacing w:val="-20"/>
          <w:sz w:val="20"/>
        </w:rPr>
        <w:t xml:space="preserve"> </w:t>
      </w:r>
      <w:r>
        <w:rPr>
          <w:sz w:val="20"/>
        </w:rPr>
        <w:t>inclusión</w:t>
      </w:r>
      <w:r>
        <w:rPr>
          <w:spacing w:val="-19"/>
          <w:sz w:val="20"/>
        </w:rPr>
        <w:t xml:space="preserve"> </w:t>
      </w:r>
      <w:r>
        <w:rPr>
          <w:sz w:val="20"/>
        </w:rPr>
        <w:t>de</w:t>
      </w:r>
      <w:r>
        <w:rPr>
          <w:spacing w:val="-21"/>
          <w:sz w:val="20"/>
        </w:rPr>
        <w:t xml:space="preserve"> </w:t>
      </w:r>
      <w:r>
        <w:rPr>
          <w:sz w:val="20"/>
        </w:rPr>
        <w:t>26</w:t>
      </w:r>
      <w:r>
        <w:rPr>
          <w:spacing w:val="-19"/>
          <w:sz w:val="20"/>
        </w:rPr>
        <w:t xml:space="preserve"> </w:t>
      </w:r>
      <w:r>
        <w:rPr>
          <w:sz w:val="20"/>
        </w:rPr>
        <w:t>personas</w:t>
      </w:r>
      <w:r>
        <w:rPr>
          <w:spacing w:val="-21"/>
          <w:sz w:val="20"/>
        </w:rPr>
        <w:t xml:space="preserve"> </w:t>
      </w:r>
      <w:r>
        <w:rPr>
          <w:sz w:val="20"/>
        </w:rPr>
        <w:t>por</w:t>
      </w:r>
      <w:r>
        <w:rPr>
          <w:spacing w:val="-21"/>
          <w:sz w:val="20"/>
        </w:rPr>
        <w:t xml:space="preserve"> </w:t>
      </w:r>
      <w:r>
        <w:rPr>
          <w:sz w:val="20"/>
        </w:rPr>
        <w:t>falta</w:t>
      </w:r>
      <w:r>
        <w:rPr>
          <w:spacing w:val="-21"/>
          <w:sz w:val="20"/>
        </w:rPr>
        <w:t xml:space="preserve"> </w:t>
      </w:r>
      <w:r>
        <w:rPr>
          <w:sz w:val="20"/>
        </w:rPr>
        <w:t>de</w:t>
      </w:r>
      <w:r>
        <w:rPr>
          <w:spacing w:val="-19"/>
          <w:sz w:val="20"/>
        </w:rPr>
        <w:t xml:space="preserve"> </w:t>
      </w:r>
      <w:r>
        <w:rPr>
          <w:sz w:val="20"/>
        </w:rPr>
        <w:t>prueba sobre</w:t>
      </w:r>
      <w:r>
        <w:rPr>
          <w:spacing w:val="-9"/>
          <w:sz w:val="20"/>
        </w:rPr>
        <w:t xml:space="preserve"> </w:t>
      </w:r>
      <w:r>
        <w:rPr>
          <w:sz w:val="20"/>
        </w:rPr>
        <w:t>la</w:t>
      </w:r>
      <w:r>
        <w:rPr>
          <w:spacing w:val="-9"/>
          <w:sz w:val="20"/>
        </w:rPr>
        <w:t xml:space="preserve"> </w:t>
      </w:r>
      <w:r>
        <w:rPr>
          <w:sz w:val="20"/>
        </w:rPr>
        <w:t>afectación</w:t>
      </w:r>
      <w:r>
        <w:rPr>
          <w:spacing w:val="-8"/>
          <w:sz w:val="20"/>
        </w:rPr>
        <w:t xml:space="preserve"> </w:t>
      </w:r>
      <w:r>
        <w:rPr>
          <w:sz w:val="20"/>
        </w:rPr>
        <w:t>de</w:t>
      </w:r>
      <w:r>
        <w:rPr>
          <w:spacing w:val="-8"/>
          <w:sz w:val="20"/>
        </w:rPr>
        <w:t xml:space="preserve"> </w:t>
      </w:r>
      <w:r>
        <w:rPr>
          <w:sz w:val="20"/>
        </w:rPr>
        <w:t>sus</w:t>
      </w:r>
      <w:r>
        <w:rPr>
          <w:spacing w:val="-11"/>
          <w:sz w:val="20"/>
        </w:rPr>
        <w:t xml:space="preserve"> </w:t>
      </w:r>
      <w:r>
        <w:rPr>
          <w:sz w:val="20"/>
        </w:rPr>
        <w:t>derechos.</w:t>
      </w:r>
      <w:r>
        <w:rPr>
          <w:spacing w:val="-7"/>
          <w:sz w:val="20"/>
        </w:rPr>
        <w:t xml:space="preserve"> </w:t>
      </w:r>
      <w:r>
        <w:rPr>
          <w:sz w:val="20"/>
        </w:rPr>
        <w:t>Por</w:t>
      </w:r>
      <w:r>
        <w:rPr>
          <w:spacing w:val="-8"/>
          <w:sz w:val="20"/>
        </w:rPr>
        <w:t xml:space="preserve"> </w:t>
      </w:r>
      <w:r>
        <w:rPr>
          <w:sz w:val="20"/>
        </w:rPr>
        <w:t>esa</w:t>
      </w:r>
      <w:r>
        <w:rPr>
          <w:spacing w:val="-7"/>
          <w:sz w:val="20"/>
        </w:rPr>
        <w:t xml:space="preserve"> </w:t>
      </w:r>
      <w:r>
        <w:rPr>
          <w:sz w:val="20"/>
        </w:rPr>
        <w:t>razón,</w:t>
      </w:r>
      <w:r>
        <w:rPr>
          <w:spacing w:val="-10"/>
          <w:sz w:val="20"/>
        </w:rPr>
        <w:t xml:space="preserve"> </w:t>
      </w:r>
      <w:r>
        <w:rPr>
          <w:sz w:val="20"/>
        </w:rPr>
        <w:t>la</w:t>
      </w:r>
      <w:r>
        <w:rPr>
          <w:spacing w:val="-8"/>
          <w:sz w:val="20"/>
        </w:rPr>
        <w:t xml:space="preserve"> </w:t>
      </w:r>
      <w:r>
        <w:rPr>
          <w:sz w:val="20"/>
        </w:rPr>
        <w:t>Corte</w:t>
      </w:r>
      <w:r>
        <w:rPr>
          <w:spacing w:val="-8"/>
          <w:sz w:val="20"/>
        </w:rPr>
        <w:t xml:space="preserve"> </w:t>
      </w:r>
      <w:r>
        <w:rPr>
          <w:sz w:val="20"/>
        </w:rPr>
        <w:t>entiende</w:t>
      </w:r>
      <w:r>
        <w:rPr>
          <w:spacing w:val="-8"/>
          <w:sz w:val="20"/>
        </w:rPr>
        <w:t xml:space="preserve"> </w:t>
      </w:r>
      <w:r>
        <w:rPr>
          <w:sz w:val="20"/>
        </w:rPr>
        <w:t>que,</w:t>
      </w:r>
      <w:r>
        <w:rPr>
          <w:spacing w:val="-7"/>
          <w:sz w:val="20"/>
        </w:rPr>
        <w:t xml:space="preserve"> </w:t>
      </w:r>
      <w:r>
        <w:rPr>
          <w:sz w:val="20"/>
        </w:rPr>
        <w:t>a</w:t>
      </w:r>
      <w:r>
        <w:rPr>
          <w:spacing w:val="-10"/>
          <w:sz w:val="20"/>
        </w:rPr>
        <w:t xml:space="preserve"> </w:t>
      </w:r>
      <w:r>
        <w:rPr>
          <w:sz w:val="20"/>
        </w:rPr>
        <w:t>juicio</w:t>
      </w:r>
      <w:r>
        <w:rPr>
          <w:spacing w:val="-8"/>
          <w:sz w:val="20"/>
        </w:rPr>
        <w:t xml:space="preserve"> </w:t>
      </w:r>
      <w:r>
        <w:rPr>
          <w:sz w:val="20"/>
        </w:rPr>
        <w:t>del</w:t>
      </w:r>
      <w:r>
        <w:rPr>
          <w:spacing w:val="-9"/>
          <w:sz w:val="20"/>
        </w:rPr>
        <w:t xml:space="preserve"> </w:t>
      </w:r>
      <w:r>
        <w:rPr>
          <w:sz w:val="20"/>
        </w:rPr>
        <w:t>Estado, la afectación del derecho a la integridad personal de los familiares restantes se encuentra acreditada, en la medida en que lo ocurrido les generó sufrimientos directos por las condiciones</w:t>
      </w:r>
      <w:r>
        <w:rPr>
          <w:spacing w:val="-10"/>
          <w:sz w:val="20"/>
        </w:rPr>
        <w:t xml:space="preserve"> </w:t>
      </w:r>
      <w:r>
        <w:rPr>
          <w:sz w:val="20"/>
        </w:rPr>
        <w:t>en</w:t>
      </w:r>
      <w:r>
        <w:rPr>
          <w:spacing w:val="-10"/>
          <w:sz w:val="20"/>
        </w:rPr>
        <w:t xml:space="preserve"> </w:t>
      </w:r>
      <w:r>
        <w:rPr>
          <w:sz w:val="20"/>
        </w:rPr>
        <w:t>que</w:t>
      </w:r>
      <w:r>
        <w:rPr>
          <w:spacing w:val="-12"/>
          <w:sz w:val="20"/>
        </w:rPr>
        <w:t xml:space="preserve"> </w:t>
      </w:r>
      <w:r>
        <w:rPr>
          <w:sz w:val="20"/>
        </w:rPr>
        <w:t>sucedieron</w:t>
      </w:r>
      <w:r>
        <w:rPr>
          <w:spacing w:val="-10"/>
          <w:sz w:val="20"/>
        </w:rPr>
        <w:t xml:space="preserve"> </w:t>
      </w:r>
      <w:r>
        <w:rPr>
          <w:sz w:val="20"/>
        </w:rPr>
        <w:t>las</w:t>
      </w:r>
      <w:r>
        <w:rPr>
          <w:spacing w:val="-11"/>
          <w:sz w:val="20"/>
        </w:rPr>
        <w:t xml:space="preserve"> </w:t>
      </w:r>
      <w:r>
        <w:rPr>
          <w:sz w:val="20"/>
        </w:rPr>
        <w:t>muertes,</w:t>
      </w:r>
      <w:r>
        <w:rPr>
          <w:spacing w:val="-12"/>
          <w:sz w:val="20"/>
        </w:rPr>
        <w:t xml:space="preserve"> </w:t>
      </w:r>
      <w:r>
        <w:rPr>
          <w:sz w:val="20"/>
        </w:rPr>
        <w:t>que</w:t>
      </w:r>
      <w:r>
        <w:rPr>
          <w:spacing w:val="-10"/>
          <w:sz w:val="20"/>
        </w:rPr>
        <w:t xml:space="preserve"> </w:t>
      </w:r>
      <w:r>
        <w:rPr>
          <w:sz w:val="20"/>
        </w:rPr>
        <w:t>incluyeron</w:t>
      </w:r>
      <w:r>
        <w:rPr>
          <w:spacing w:val="-9"/>
          <w:sz w:val="20"/>
        </w:rPr>
        <w:t xml:space="preserve"> </w:t>
      </w:r>
      <w:r>
        <w:rPr>
          <w:sz w:val="20"/>
        </w:rPr>
        <w:t>cuerpos</w:t>
      </w:r>
      <w:r>
        <w:rPr>
          <w:spacing w:val="-12"/>
          <w:sz w:val="20"/>
        </w:rPr>
        <w:t xml:space="preserve"> </w:t>
      </w:r>
      <w:r>
        <w:rPr>
          <w:sz w:val="20"/>
        </w:rPr>
        <w:t>quema</w:t>
      </w:r>
      <w:r>
        <w:rPr>
          <w:sz w:val="20"/>
        </w:rPr>
        <w:t>dos</w:t>
      </w:r>
      <w:r>
        <w:rPr>
          <w:spacing w:val="-12"/>
          <w:sz w:val="20"/>
        </w:rPr>
        <w:t xml:space="preserve"> </w:t>
      </w:r>
      <w:r>
        <w:rPr>
          <w:sz w:val="20"/>
        </w:rPr>
        <w:t>y</w:t>
      </w:r>
      <w:r>
        <w:rPr>
          <w:spacing w:val="-12"/>
          <w:sz w:val="20"/>
        </w:rPr>
        <w:t xml:space="preserve"> </w:t>
      </w:r>
      <w:r>
        <w:rPr>
          <w:sz w:val="20"/>
        </w:rPr>
        <w:t>mutilados</w:t>
      </w:r>
      <w:r>
        <w:rPr>
          <w:spacing w:val="-11"/>
          <w:sz w:val="20"/>
        </w:rPr>
        <w:t xml:space="preserve"> </w:t>
      </w:r>
      <w:r>
        <w:rPr>
          <w:sz w:val="20"/>
        </w:rPr>
        <w:t>de mujeres adultas, niñas, niños y mujeres y niñas embarazadas; y por la impotencia ante la actuación de las autoridades estatales que han tardado más de 20 años en hacer</w:t>
      </w:r>
      <w:r>
        <w:rPr>
          <w:spacing w:val="-28"/>
          <w:sz w:val="20"/>
        </w:rPr>
        <w:t xml:space="preserve"> </w:t>
      </w:r>
      <w:r>
        <w:rPr>
          <w:sz w:val="20"/>
        </w:rPr>
        <w:t>justicia.</w:t>
      </w:r>
    </w:p>
    <w:p w14:paraId="286A62E5" w14:textId="77777777" w:rsidR="00467FCA" w:rsidRDefault="00467FCA">
      <w:pPr>
        <w:pStyle w:val="Textoindependiente"/>
        <w:spacing w:before="1"/>
      </w:pPr>
    </w:p>
    <w:p w14:paraId="1460A99C" w14:textId="77777777" w:rsidR="00467FCA" w:rsidRDefault="001B68EB">
      <w:pPr>
        <w:pStyle w:val="Prrafodelista"/>
        <w:numPr>
          <w:ilvl w:val="0"/>
          <w:numId w:val="38"/>
        </w:numPr>
        <w:tabs>
          <w:tab w:val="left" w:pos="687"/>
        </w:tabs>
        <w:ind w:right="118" w:firstLine="0"/>
        <w:jc w:val="both"/>
        <w:rPr>
          <w:sz w:val="20"/>
        </w:rPr>
      </w:pPr>
      <w:r>
        <w:rPr>
          <w:sz w:val="20"/>
        </w:rPr>
        <w:t>Conforme a lo anterior, le corresponde a la Corte establecer si, en relación con las 26 personas respecto de las cuales el Estado no encuentra acreditada la afectación, es posible concluir</w:t>
      </w:r>
      <w:r>
        <w:rPr>
          <w:spacing w:val="-7"/>
          <w:sz w:val="20"/>
        </w:rPr>
        <w:t xml:space="preserve"> </w:t>
      </w:r>
      <w:r>
        <w:rPr>
          <w:sz w:val="20"/>
        </w:rPr>
        <w:t>que</w:t>
      </w:r>
      <w:r>
        <w:rPr>
          <w:spacing w:val="-7"/>
          <w:sz w:val="20"/>
        </w:rPr>
        <w:t xml:space="preserve"> </w:t>
      </w:r>
      <w:r>
        <w:rPr>
          <w:sz w:val="20"/>
        </w:rPr>
        <w:t>se</w:t>
      </w:r>
      <w:r>
        <w:rPr>
          <w:spacing w:val="-8"/>
          <w:sz w:val="20"/>
        </w:rPr>
        <w:t xml:space="preserve"> </w:t>
      </w:r>
      <w:r>
        <w:rPr>
          <w:sz w:val="20"/>
        </w:rPr>
        <w:t>violó</w:t>
      </w:r>
      <w:r>
        <w:rPr>
          <w:spacing w:val="-7"/>
          <w:sz w:val="20"/>
        </w:rPr>
        <w:t xml:space="preserve"> </w:t>
      </w:r>
      <w:r>
        <w:rPr>
          <w:sz w:val="20"/>
        </w:rPr>
        <w:t>su</w:t>
      </w:r>
      <w:r>
        <w:rPr>
          <w:spacing w:val="-2"/>
          <w:sz w:val="20"/>
        </w:rPr>
        <w:t xml:space="preserve"> </w:t>
      </w:r>
      <w:r>
        <w:rPr>
          <w:sz w:val="20"/>
        </w:rPr>
        <w:t>derecho</w:t>
      </w:r>
      <w:r>
        <w:rPr>
          <w:spacing w:val="-8"/>
          <w:sz w:val="20"/>
        </w:rPr>
        <w:t xml:space="preserve"> </w:t>
      </w:r>
      <w:r>
        <w:rPr>
          <w:sz w:val="20"/>
        </w:rPr>
        <w:t>a</w:t>
      </w:r>
      <w:r>
        <w:rPr>
          <w:spacing w:val="-5"/>
          <w:sz w:val="20"/>
        </w:rPr>
        <w:t xml:space="preserve"> </w:t>
      </w:r>
      <w:r>
        <w:rPr>
          <w:sz w:val="20"/>
        </w:rPr>
        <w:t>la</w:t>
      </w:r>
      <w:r>
        <w:rPr>
          <w:spacing w:val="-5"/>
          <w:sz w:val="20"/>
        </w:rPr>
        <w:t xml:space="preserve"> </w:t>
      </w:r>
      <w:r>
        <w:rPr>
          <w:sz w:val="20"/>
        </w:rPr>
        <w:t>integridad</w:t>
      </w:r>
      <w:r>
        <w:rPr>
          <w:spacing w:val="-4"/>
          <w:sz w:val="20"/>
        </w:rPr>
        <w:t xml:space="preserve"> </w:t>
      </w:r>
      <w:r>
        <w:rPr>
          <w:sz w:val="20"/>
        </w:rPr>
        <w:t>personal.</w:t>
      </w:r>
      <w:r>
        <w:rPr>
          <w:spacing w:val="-6"/>
          <w:sz w:val="20"/>
        </w:rPr>
        <w:t xml:space="preserve"> </w:t>
      </w:r>
      <w:r>
        <w:rPr>
          <w:sz w:val="20"/>
        </w:rPr>
        <w:t>En</w:t>
      </w:r>
      <w:r>
        <w:rPr>
          <w:spacing w:val="-5"/>
          <w:sz w:val="20"/>
        </w:rPr>
        <w:t xml:space="preserve"> </w:t>
      </w:r>
      <w:r>
        <w:rPr>
          <w:sz w:val="20"/>
        </w:rPr>
        <w:t>ese</w:t>
      </w:r>
      <w:r>
        <w:rPr>
          <w:spacing w:val="-4"/>
          <w:sz w:val="20"/>
        </w:rPr>
        <w:t xml:space="preserve"> </w:t>
      </w:r>
      <w:r>
        <w:rPr>
          <w:sz w:val="20"/>
        </w:rPr>
        <w:t>sentido,</w:t>
      </w:r>
      <w:r>
        <w:rPr>
          <w:spacing w:val="-7"/>
          <w:sz w:val="20"/>
        </w:rPr>
        <w:t xml:space="preserve"> </w:t>
      </w:r>
      <w:r>
        <w:rPr>
          <w:sz w:val="20"/>
        </w:rPr>
        <w:t>esta</w:t>
      </w:r>
      <w:r>
        <w:rPr>
          <w:spacing w:val="-3"/>
          <w:sz w:val="20"/>
        </w:rPr>
        <w:t xml:space="preserve"> </w:t>
      </w:r>
      <w:r>
        <w:rPr>
          <w:sz w:val="20"/>
        </w:rPr>
        <w:t>Corte</w:t>
      </w:r>
      <w:r>
        <w:rPr>
          <w:spacing w:val="-4"/>
          <w:sz w:val="20"/>
        </w:rPr>
        <w:t xml:space="preserve"> </w:t>
      </w:r>
      <w:r>
        <w:rPr>
          <w:sz w:val="20"/>
        </w:rPr>
        <w:t>concluye que:</w:t>
      </w:r>
    </w:p>
    <w:p w14:paraId="5B5784E9" w14:textId="77777777" w:rsidR="00467FCA" w:rsidRDefault="00467FCA">
      <w:pPr>
        <w:pStyle w:val="Textoindependiente"/>
        <w:spacing w:before="6"/>
        <w:rPr>
          <w:sz w:val="29"/>
        </w:rPr>
      </w:pPr>
    </w:p>
    <w:p w14:paraId="4792C42C" w14:textId="77777777" w:rsidR="00467FCA" w:rsidRDefault="001B68EB">
      <w:pPr>
        <w:pStyle w:val="Prrafodelista"/>
        <w:numPr>
          <w:ilvl w:val="1"/>
          <w:numId w:val="38"/>
        </w:numPr>
        <w:tabs>
          <w:tab w:val="left" w:pos="1292"/>
        </w:tabs>
        <w:ind w:right="114"/>
        <w:jc w:val="both"/>
        <w:rPr>
          <w:sz w:val="18"/>
        </w:rPr>
      </w:pPr>
      <w:r>
        <w:rPr>
          <w:sz w:val="18"/>
        </w:rPr>
        <w:t>Adriana Santos Rocha, Fabiana Santos Rocha y Claudia Reis dos Santos fueron objetadas por el Estado por haber sido presentadas como hermanas de algunas de las presuntas víctimas</w:t>
      </w:r>
      <w:r>
        <w:rPr>
          <w:spacing w:val="-11"/>
          <w:sz w:val="18"/>
        </w:rPr>
        <w:t xml:space="preserve"> </w:t>
      </w:r>
      <w:r>
        <w:rPr>
          <w:sz w:val="18"/>
        </w:rPr>
        <w:t>fallecidas.</w:t>
      </w:r>
      <w:r>
        <w:rPr>
          <w:spacing w:val="-10"/>
          <w:sz w:val="18"/>
        </w:rPr>
        <w:t xml:space="preserve"> </w:t>
      </w:r>
      <w:r>
        <w:rPr>
          <w:sz w:val="18"/>
        </w:rPr>
        <w:t>Sin</w:t>
      </w:r>
      <w:r>
        <w:rPr>
          <w:spacing w:val="-8"/>
          <w:sz w:val="18"/>
        </w:rPr>
        <w:t xml:space="preserve"> </w:t>
      </w:r>
      <w:r>
        <w:rPr>
          <w:sz w:val="18"/>
        </w:rPr>
        <w:t>embargo,</w:t>
      </w:r>
      <w:r>
        <w:rPr>
          <w:spacing w:val="-10"/>
          <w:sz w:val="18"/>
        </w:rPr>
        <w:t xml:space="preserve"> </w:t>
      </w:r>
      <w:r>
        <w:rPr>
          <w:sz w:val="18"/>
        </w:rPr>
        <w:t>Adriana</w:t>
      </w:r>
      <w:r>
        <w:rPr>
          <w:spacing w:val="-10"/>
          <w:sz w:val="18"/>
        </w:rPr>
        <w:t xml:space="preserve"> </w:t>
      </w:r>
      <w:r>
        <w:rPr>
          <w:sz w:val="18"/>
        </w:rPr>
        <w:t>Santos</w:t>
      </w:r>
      <w:r>
        <w:rPr>
          <w:spacing w:val="-10"/>
          <w:sz w:val="18"/>
        </w:rPr>
        <w:t xml:space="preserve"> </w:t>
      </w:r>
      <w:r>
        <w:rPr>
          <w:sz w:val="18"/>
        </w:rPr>
        <w:t>Roc</w:t>
      </w:r>
      <w:r>
        <w:rPr>
          <w:sz w:val="18"/>
        </w:rPr>
        <w:t>ha</w:t>
      </w:r>
      <w:r>
        <w:rPr>
          <w:spacing w:val="-10"/>
          <w:sz w:val="18"/>
        </w:rPr>
        <w:t xml:space="preserve"> </w:t>
      </w:r>
      <w:r>
        <w:rPr>
          <w:sz w:val="18"/>
        </w:rPr>
        <w:t>y</w:t>
      </w:r>
      <w:r>
        <w:rPr>
          <w:spacing w:val="-10"/>
          <w:sz w:val="18"/>
        </w:rPr>
        <w:t xml:space="preserve"> </w:t>
      </w:r>
      <w:r>
        <w:rPr>
          <w:sz w:val="18"/>
        </w:rPr>
        <w:t>Fabiana</w:t>
      </w:r>
      <w:r>
        <w:rPr>
          <w:spacing w:val="-10"/>
          <w:sz w:val="18"/>
        </w:rPr>
        <w:t xml:space="preserve"> </w:t>
      </w:r>
      <w:r>
        <w:rPr>
          <w:sz w:val="18"/>
        </w:rPr>
        <w:t>Santos</w:t>
      </w:r>
      <w:r>
        <w:rPr>
          <w:spacing w:val="-11"/>
          <w:sz w:val="18"/>
        </w:rPr>
        <w:t xml:space="preserve"> </w:t>
      </w:r>
      <w:r>
        <w:rPr>
          <w:sz w:val="18"/>
        </w:rPr>
        <w:t>Rocha</w:t>
      </w:r>
      <w:r>
        <w:rPr>
          <w:spacing w:val="-10"/>
          <w:sz w:val="18"/>
        </w:rPr>
        <w:t xml:space="preserve"> </w:t>
      </w:r>
      <w:r>
        <w:rPr>
          <w:sz w:val="18"/>
        </w:rPr>
        <w:t>fallecieron en</w:t>
      </w:r>
      <w:r>
        <w:rPr>
          <w:spacing w:val="-8"/>
          <w:sz w:val="18"/>
        </w:rPr>
        <w:t xml:space="preserve"> </w:t>
      </w:r>
      <w:r>
        <w:rPr>
          <w:sz w:val="18"/>
        </w:rPr>
        <w:t>la</w:t>
      </w:r>
      <w:r>
        <w:rPr>
          <w:spacing w:val="-10"/>
          <w:sz w:val="18"/>
        </w:rPr>
        <w:t xml:space="preserve"> </w:t>
      </w:r>
      <w:r>
        <w:rPr>
          <w:sz w:val="18"/>
        </w:rPr>
        <w:t>explosión</w:t>
      </w:r>
      <w:r>
        <w:rPr>
          <w:spacing w:val="-7"/>
          <w:sz w:val="18"/>
        </w:rPr>
        <w:t xml:space="preserve"> </w:t>
      </w:r>
      <w:r>
        <w:rPr>
          <w:sz w:val="18"/>
        </w:rPr>
        <w:t>de</w:t>
      </w:r>
      <w:r>
        <w:rPr>
          <w:spacing w:val="-9"/>
          <w:sz w:val="18"/>
        </w:rPr>
        <w:t xml:space="preserve"> </w:t>
      </w:r>
      <w:r>
        <w:rPr>
          <w:sz w:val="18"/>
        </w:rPr>
        <w:t>la</w:t>
      </w:r>
      <w:r>
        <w:rPr>
          <w:spacing w:val="-10"/>
          <w:sz w:val="18"/>
        </w:rPr>
        <w:t xml:space="preserve"> </w:t>
      </w:r>
      <w:r>
        <w:rPr>
          <w:sz w:val="18"/>
        </w:rPr>
        <w:t>fábrica</w:t>
      </w:r>
      <w:r>
        <w:rPr>
          <w:spacing w:val="-9"/>
          <w:sz w:val="18"/>
        </w:rPr>
        <w:t xml:space="preserve"> </w:t>
      </w:r>
      <w:r>
        <w:rPr>
          <w:sz w:val="18"/>
        </w:rPr>
        <w:t>de</w:t>
      </w:r>
      <w:r>
        <w:rPr>
          <w:spacing w:val="-9"/>
          <w:sz w:val="18"/>
        </w:rPr>
        <w:t xml:space="preserve"> </w:t>
      </w:r>
      <w:r>
        <w:rPr>
          <w:sz w:val="18"/>
        </w:rPr>
        <w:t>fuegos,</w:t>
      </w:r>
      <w:r>
        <w:rPr>
          <w:spacing w:val="-10"/>
          <w:sz w:val="18"/>
        </w:rPr>
        <w:t xml:space="preserve"> </w:t>
      </w:r>
      <w:r>
        <w:rPr>
          <w:sz w:val="18"/>
        </w:rPr>
        <w:t>de</w:t>
      </w:r>
      <w:r>
        <w:rPr>
          <w:spacing w:val="-8"/>
          <w:sz w:val="18"/>
        </w:rPr>
        <w:t xml:space="preserve"> </w:t>
      </w:r>
      <w:r>
        <w:rPr>
          <w:sz w:val="18"/>
        </w:rPr>
        <w:t>modo</w:t>
      </w:r>
      <w:r>
        <w:rPr>
          <w:spacing w:val="-8"/>
          <w:sz w:val="18"/>
        </w:rPr>
        <w:t xml:space="preserve"> </w:t>
      </w:r>
      <w:r>
        <w:rPr>
          <w:sz w:val="18"/>
        </w:rPr>
        <w:t>que</w:t>
      </w:r>
      <w:r>
        <w:rPr>
          <w:spacing w:val="-11"/>
          <w:sz w:val="18"/>
        </w:rPr>
        <w:t xml:space="preserve"> </w:t>
      </w:r>
      <w:r>
        <w:rPr>
          <w:sz w:val="18"/>
        </w:rPr>
        <w:t>está</w:t>
      </w:r>
      <w:r>
        <w:rPr>
          <w:spacing w:val="-9"/>
          <w:sz w:val="18"/>
        </w:rPr>
        <w:t xml:space="preserve"> </w:t>
      </w:r>
      <w:r>
        <w:rPr>
          <w:sz w:val="18"/>
        </w:rPr>
        <w:t>probada</w:t>
      </w:r>
      <w:r>
        <w:rPr>
          <w:spacing w:val="-10"/>
          <w:sz w:val="18"/>
        </w:rPr>
        <w:t xml:space="preserve"> </w:t>
      </w:r>
      <w:r>
        <w:rPr>
          <w:sz w:val="18"/>
        </w:rPr>
        <w:t>su</w:t>
      </w:r>
      <w:r>
        <w:rPr>
          <w:spacing w:val="-8"/>
          <w:sz w:val="18"/>
        </w:rPr>
        <w:t xml:space="preserve"> </w:t>
      </w:r>
      <w:r>
        <w:rPr>
          <w:sz w:val="18"/>
        </w:rPr>
        <w:t>afectación</w:t>
      </w:r>
      <w:r>
        <w:rPr>
          <w:spacing w:val="-10"/>
          <w:sz w:val="18"/>
        </w:rPr>
        <w:t xml:space="preserve"> </w:t>
      </w:r>
      <w:r>
        <w:rPr>
          <w:sz w:val="18"/>
        </w:rPr>
        <w:t>al</w:t>
      </w:r>
      <w:r>
        <w:rPr>
          <w:spacing w:val="-9"/>
          <w:sz w:val="18"/>
        </w:rPr>
        <w:t xml:space="preserve"> </w:t>
      </w:r>
      <w:r>
        <w:rPr>
          <w:sz w:val="18"/>
        </w:rPr>
        <w:t>derecho a</w:t>
      </w:r>
      <w:r>
        <w:rPr>
          <w:spacing w:val="-17"/>
          <w:sz w:val="18"/>
        </w:rPr>
        <w:t xml:space="preserve"> </w:t>
      </w:r>
      <w:r>
        <w:rPr>
          <w:sz w:val="18"/>
        </w:rPr>
        <w:t>la</w:t>
      </w:r>
      <w:r>
        <w:rPr>
          <w:spacing w:val="-14"/>
          <w:sz w:val="18"/>
        </w:rPr>
        <w:t xml:space="preserve"> </w:t>
      </w:r>
      <w:r>
        <w:rPr>
          <w:sz w:val="18"/>
        </w:rPr>
        <w:t>vida</w:t>
      </w:r>
      <w:r>
        <w:rPr>
          <w:spacing w:val="-17"/>
          <w:sz w:val="18"/>
        </w:rPr>
        <w:t xml:space="preserve"> </w:t>
      </w:r>
      <w:r>
        <w:rPr>
          <w:sz w:val="18"/>
        </w:rPr>
        <w:t>como</w:t>
      </w:r>
      <w:r>
        <w:rPr>
          <w:spacing w:val="-16"/>
          <w:sz w:val="18"/>
        </w:rPr>
        <w:t xml:space="preserve"> </w:t>
      </w:r>
      <w:r>
        <w:rPr>
          <w:sz w:val="18"/>
        </w:rPr>
        <w:t>consecuencia</w:t>
      </w:r>
      <w:r>
        <w:rPr>
          <w:spacing w:val="-17"/>
          <w:sz w:val="18"/>
        </w:rPr>
        <w:t xml:space="preserve"> </w:t>
      </w:r>
      <w:r>
        <w:rPr>
          <w:sz w:val="18"/>
        </w:rPr>
        <w:t>directa</w:t>
      </w:r>
      <w:r>
        <w:rPr>
          <w:spacing w:val="-17"/>
          <w:sz w:val="18"/>
        </w:rPr>
        <w:t xml:space="preserve"> </w:t>
      </w:r>
      <w:r>
        <w:rPr>
          <w:sz w:val="18"/>
        </w:rPr>
        <w:t>de</w:t>
      </w:r>
      <w:r>
        <w:rPr>
          <w:spacing w:val="-16"/>
          <w:sz w:val="18"/>
        </w:rPr>
        <w:t xml:space="preserve"> </w:t>
      </w:r>
      <w:r>
        <w:rPr>
          <w:sz w:val="18"/>
        </w:rPr>
        <w:t>la</w:t>
      </w:r>
      <w:r>
        <w:rPr>
          <w:spacing w:val="-16"/>
          <w:sz w:val="18"/>
        </w:rPr>
        <w:t xml:space="preserve"> </w:t>
      </w:r>
      <w:r>
        <w:rPr>
          <w:sz w:val="18"/>
        </w:rPr>
        <w:t>explosión,</w:t>
      </w:r>
      <w:r>
        <w:rPr>
          <w:spacing w:val="-17"/>
          <w:sz w:val="18"/>
        </w:rPr>
        <w:t xml:space="preserve"> </w:t>
      </w:r>
      <w:r>
        <w:rPr>
          <w:sz w:val="18"/>
        </w:rPr>
        <w:t>según</w:t>
      </w:r>
      <w:r>
        <w:rPr>
          <w:spacing w:val="-15"/>
          <w:sz w:val="18"/>
        </w:rPr>
        <w:t xml:space="preserve"> </w:t>
      </w:r>
      <w:r>
        <w:rPr>
          <w:sz w:val="18"/>
        </w:rPr>
        <w:t>quedó</w:t>
      </w:r>
      <w:r>
        <w:rPr>
          <w:spacing w:val="-16"/>
          <w:sz w:val="18"/>
        </w:rPr>
        <w:t xml:space="preserve"> </w:t>
      </w:r>
      <w:r>
        <w:rPr>
          <w:sz w:val="18"/>
        </w:rPr>
        <w:t>demostrado</w:t>
      </w:r>
      <w:r>
        <w:rPr>
          <w:spacing w:val="-16"/>
          <w:sz w:val="18"/>
        </w:rPr>
        <w:t xml:space="preserve"> </w:t>
      </w:r>
      <w:r>
        <w:rPr>
          <w:sz w:val="18"/>
        </w:rPr>
        <w:t>en</w:t>
      </w:r>
      <w:r>
        <w:rPr>
          <w:spacing w:val="-18"/>
          <w:sz w:val="18"/>
        </w:rPr>
        <w:t xml:space="preserve"> </w:t>
      </w:r>
      <w:r>
        <w:rPr>
          <w:sz w:val="18"/>
        </w:rPr>
        <w:t>el</w:t>
      </w:r>
      <w:r>
        <w:rPr>
          <w:spacing w:val="-16"/>
          <w:sz w:val="18"/>
        </w:rPr>
        <w:t xml:space="preserve"> </w:t>
      </w:r>
      <w:r>
        <w:rPr>
          <w:sz w:val="18"/>
        </w:rPr>
        <w:t xml:space="preserve">capítulo VIII-1 de esta sentencia y, por esa razón, no serán declaradas víctimas de la violación </w:t>
      </w:r>
      <w:r>
        <w:rPr>
          <w:spacing w:val="-3"/>
          <w:sz w:val="18"/>
        </w:rPr>
        <w:t xml:space="preserve">al </w:t>
      </w:r>
      <w:r>
        <w:rPr>
          <w:sz w:val="18"/>
        </w:rPr>
        <w:t>artículo 5.1 por cuenta del sufrimiento padecido por sus familiares. Por su parte, Claudia Reis dos Santos es una de las trabajadoras de la fábrica de fuego</w:t>
      </w:r>
      <w:r>
        <w:rPr>
          <w:sz w:val="18"/>
        </w:rPr>
        <w:t>s que sobrevivió a la explosión, de modo que está probada la afectación a su derecho a la integridad personal como</w:t>
      </w:r>
      <w:r>
        <w:rPr>
          <w:spacing w:val="-11"/>
          <w:sz w:val="18"/>
        </w:rPr>
        <w:t xml:space="preserve"> </w:t>
      </w:r>
      <w:r>
        <w:rPr>
          <w:sz w:val="18"/>
        </w:rPr>
        <w:t>consecuencia</w:t>
      </w:r>
      <w:r>
        <w:rPr>
          <w:spacing w:val="-12"/>
          <w:sz w:val="18"/>
        </w:rPr>
        <w:t xml:space="preserve"> </w:t>
      </w:r>
      <w:r>
        <w:rPr>
          <w:sz w:val="18"/>
        </w:rPr>
        <w:t>directa</w:t>
      </w:r>
      <w:r>
        <w:rPr>
          <w:spacing w:val="-14"/>
          <w:sz w:val="18"/>
        </w:rPr>
        <w:t xml:space="preserve"> </w:t>
      </w:r>
      <w:r>
        <w:rPr>
          <w:sz w:val="18"/>
        </w:rPr>
        <w:t>de</w:t>
      </w:r>
      <w:r>
        <w:rPr>
          <w:spacing w:val="-11"/>
          <w:sz w:val="18"/>
        </w:rPr>
        <w:t xml:space="preserve"> </w:t>
      </w:r>
      <w:r>
        <w:rPr>
          <w:sz w:val="18"/>
        </w:rPr>
        <w:t>la</w:t>
      </w:r>
      <w:r>
        <w:rPr>
          <w:spacing w:val="-11"/>
          <w:sz w:val="18"/>
        </w:rPr>
        <w:t xml:space="preserve"> </w:t>
      </w:r>
      <w:r>
        <w:rPr>
          <w:sz w:val="18"/>
        </w:rPr>
        <w:t>explosión,</w:t>
      </w:r>
      <w:r>
        <w:rPr>
          <w:spacing w:val="-13"/>
          <w:sz w:val="18"/>
        </w:rPr>
        <w:t xml:space="preserve"> </w:t>
      </w:r>
      <w:r>
        <w:rPr>
          <w:sz w:val="18"/>
        </w:rPr>
        <w:t>según</w:t>
      </w:r>
      <w:r>
        <w:rPr>
          <w:spacing w:val="-11"/>
          <w:sz w:val="18"/>
        </w:rPr>
        <w:t xml:space="preserve"> </w:t>
      </w:r>
      <w:r>
        <w:rPr>
          <w:sz w:val="18"/>
        </w:rPr>
        <w:t>se</w:t>
      </w:r>
      <w:r>
        <w:rPr>
          <w:spacing w:val="-8"/>
          <w:sz w:val="18"/>
        </w:rPr>
        <w:t xml:space="preserve"> </w:t>
      </w:r>
      <w:r>
        <w:rPr>
          <w:sz w:val="18"/>
        </w:rPr>
        <w:t>demostró</w:t>
      </w:r>
      <w:r>
        <w:rPr>
          <w:spacing w:val="-11"/>
          <w:sz w:val="18"/>
        </w:rPr>
        <w:t xml:space="preserve"> </w:t>
      </w:r>
      <w:r>
        <w:rPr>
          <w:sz w:val="18"/>
        </w:rPr>
        <w:t>en</w:t>
      </w:r>
      <w:r>
        <w:rPr>
          <w:spacing w:val="-11"/>
          <w:sz w:val="18"/>
        </w:rPr>
        <w:t xml:space="preserve"> </w:t>
      </w:r>
      <w:r>
        <w:rPr>
          <w:sz w:val="18"/>
        </w:rPr>
        <w:t>el</w:t>
      </w:r>
      <w:r>
        <w:rPr>
          <w:spacing w:val="-10"/>
          <w:sz w:val="18"/>
        </w:rPr>
        <w:t xml:space="preserve"> </w:t>
      </w:r>
      <w:r>
        <w:rPr>
          <w:sz w:val="18"/>
        </w:rPr>
        <w:t>capítulo</w:t>
      </w:r>
      <w:r>
        <w:rPr>
          <w:spacing w:val="-11"/>
          <w:sz w:val="18"/>
        </w:rPr>
        <w:t xml:space="preserve"> </w:t>
      </w:r>
      <w:r>
        <w:rPr>
          <w:sz w:val="18"/>
        </w:rPr>
        <w:t>VIII-1</w:t>
      </w:r>
      <w:r>
        <w:rPr>
          <w:spacing w:val="-10"/>
          <w:sz w:val="18"/>
        </w:rPr>
        <w:t xml:space="preserve"> </w:t>
      </w:r>
      <w:r>
        <w:rPr>
          <w:sz w:val="18"/>
        </w:rPr>
        <w:t>de</w:t>
      </w:r>
      <w:r>
        <w:rPr>
          <w:spacing w:val="-11"/>
          <w:sz w:val="18"/>
        </w:rPr>
        <w:t xml:space="preserve"> </w:t>
      </w:r>
      <w:r>
        <w:rPr>
          <w:sz w:val="18"/>
        </w:rPr>
        <w:t>esta sentencia. Además, en relación con Claudia Reis dos San</w:t>
      </w:r>
      <w:r>
        <w:rPr>
          <w:sz w:val="18"/>
        </w:rPr>
        <w:t>tos, la Corte encuentra que también está probada la afectación a su derecho a la integridad personal por cuenta del sufrimiento padecido por sus familiares, según consta en las pruebas aportadas a esta Corte</w:t>
      </w:r>
      <w:hyperlink w:anchor="_bookmark407" w:history="1">
        <w:r>
          <w:rPr>
            <w:position w:val="6"/>
            <w:sz w:val="12"/>
          </w:rPr>
          <w:t>345</w:t>
        </w:r>
      </w:hyperlink>
      <w:r>
        <w:rPr>
          <w:sz w:val="18"/>
        </w:rPr>
        <w:t>.</w:t>
      </w:r>
    </w:p>
    <w:p w14:paraId="647CAA8B" w14:textId="77777777" w:rsidR="00467FCA" w:rsidRDefault="00467FCA">
      <w:pPr>
        <w:pStyle w:val="Textoindependiente"/>
        <w:spacing w:before="11"/>
        <w:rPr>
          <w:sz w:val="19"/>
        </w:rPr>
      </w:pPr>
    </w:p>
    <w:p w14:paraId="1DA7792E" w14:textId="77777777" w:rsidR="00467FCA" w:rsidRDefault="001B68EB">
      <w:pPr>
        <w:pStyle w:val="Prrafodelista"/>
        <w:numPr>
          <w:ilvl w:val="1"/>
          <w:numId w:val="38"/>
        </w:numPr>
        <w:tabs>
          <w:tab w:val="left" w:pos="1292"/>
        </w:tabs>
        <w:ind w:right="114" w:hanging="598"/>
        <w:jc w:val="both"/>
        <w:rPr>
          <w:sz w:val="18"/>
        </w:rPr>
      </w:pPr>
      <w:r>
        <w:rPr>
          <w:sz w:val="18"/>
        </w:rPr>
        <w:t>Wellington Silva dos Santos fue identificado como presunta víctima por la Comisión, por ser hermano de Aldeci Silva dos Santos, Aldeni Silva dos Santos y Bruno Silva dos Santos (sobreviviente).</w:t>
      </w:r>
      <w:r>
        <w:rPr>
          <w:spacing w:val="-17"/>
          <w:sz w:val="18"/>
        </w:rPr>
        <w:t xml:space="preserve"> </w:t>
      </w:r>
      <w:r>
        <w:rPr>
          <w:sz w:val="18"/>
        </w:rPr>
        <w:t>El</w:t>
      </w:r>
      <w:r>
        <w:rPr>
          <w:spacing w:val="-14"/>
          <w:sz w:val="18"/>
        </w:rPr>
        <w:t xml:space="preserve"> </w:t>
      </w:r>
      <w:r>
        <w:rPr>
          <w:sz w:val="18"/>
        </w:rPr>
        <w:t>Estado</w:t>
      </w:r>
      <w:r>
        <w:rPr>
          <w:spacing w:val="-14"/>
          <w:sz w:val="18"/>
        </w:rPr>
        <w:t xml:space="preserve"> </w:t>
      </w:r>
      <w:r>
        <w:rPr>
          <w:sz w:val="18"/>
        </w:rPr>
        <w:t>alegó</w:t>
      </w:r>
      <w:r>
        <w:rPr>
          <w:spacing w:val="-14"/>
          <w:sz w:val="18"/>
        </w:rPr>
        <w:t xml:space="preserve"> </w:t>
      </w:r>
      <w:r>
        <w:rPr>
          <w:sz w:val="18"/>
        </w:rPr>
        <w:t>que</w:t>
      </w:r>
      <w:r>
        <w:rPr>
          <w:spacing w:val="-18"/>
          <w:sz w:val="18"/>
        </w:rPr>
        <w:t xml:space="preserve"> </w:t>
      </w:r>
      <w:r>
        <w:rPr>
          <w:sz w:val="18"/>
        </w:rPr>
        <w:t>no</w:t>
      </w:r>
      <w:r>
        <w:rPr>
          <w:spacing w:val="-14"/>
          <w:sz w:val="18"/>
        </w:rPr>
        <w:t xml:space="preserve"> </w:t>
      </w:r>
      <w:r>
        <w:rPr>
          <w:sz w:val="18"/>
        </w:rPr>
        <w:t>se</w:t>
      </w:r>
      <w:r>
        <w:rPr>
          <w:spacing w:val="-15"/>
          <w:sz w:val="18"/>
        </w:rPr>
        <w:t xml:space="preserve"> </w:t>
      </w:r>
      <w:r>
        <w:rPr>
          <w:sz w:val="18"/>
        </w:rPr>
        <w:t>acreditó</w:t>
      </w:r>
      <w:r>
        <w:rPr>
          <w:spacing w:val="-14"/>
          <w:sz w:val="18"/>
        </w:rPr>
        <w:t xml:space="preserve"> </w:t>
      </w:r>
      <w:r>
        <w:rPr>
          <w:sz w:val="18"/>
        </w:rPr>
        <w:t>en</w:t>
      </w:r>
      <w:r>
        <w:rPr>
          <w:spacing w:val="-16"/>
          <w:sz w:val="18"/>
        </w:rPr>
        <w:t xml:space="preserve"> </w:t>
      </w:r>
      <w:r>
        <w:rPr>
          <w:sz w:val="18"/>
        </w:rPr>
        <w:t>concreto</w:t>
      </w:r>
      <w:r>
        <w:rPr>
          <w:spacing w:val="-15"/>
          <w:sz w:val="18"/>
        </w:rPr>
        <w:t xml:space="preserve"> </w:t>
      </w:r>
      <w:r>
        <w:rPr>
          <w:sz w:val="18"/>
        </w:rPr>
        <w:t>la</w:t>
      </w:r>
      <w:r>
        <w:rPr>
          <w:spacing w:val="-15"/>
          <w:sz w:val="18"/>
        </w:rPr>
        <w:t xml:space="preserve"> </w:t>
      </w:r>
      <w:r>
        <w:rPr>
          <w:sz w:val="18"/>
        </w:rPr>
        <w:t>afectación</w:t>
      </w:r>
      <w:r>
        <w:rPr>
          <w:spacing w:val="-14"/>
          <w:sz w:val="18"/>
        </w:rPr>
        <w:t xml:space="preserve"> </w:t>
      </w:r>
      <w:r>
        <w:rPr>
          <w:sz w:val="18"/>
        </w:rPr>
        <w:t>a</w:t>
      </w:r>
      <w:r>
        <w:rPr>
          <w:spacing w:val="-16"/>
          <w:sz w:val="18"/>
        </w:rPr>
        <w:t xml:space="preserve"> </w:t>
      </w:r>
      <w:r>
        <w:rPr>
          <w:sz w:val="18"/>
        </w:rPr>
        <w:t>sus</w:t>
      </w:r>
      <w:r>
        <w:rPr>
          <w:spacing w:val="-16"/>
          <w:sz w:val="18"/>
        </w:rPr>
        <w:t xml:space="preserve"> </w:t>
      </w:r>
      <w:r>
        <w:rPr>
          <w:sz w:val="18"/>
        </w:rPr>
        <w:t>derechos por esa razón, y la Corte no encontró documento alguno que pruebe dicha afectación. En todo caso, Wellington Silva dos Santos es uno de los trabajadores de la fábrica de fuegos que sobrevivió a la explosión, de modo que está probada la afecta</w:t>
      </w:r>
      <w:r>
        <w:rPr>
          <w:sz w:val="18"/>
        </w:rPr>
        <w:t>ción a su derecho a la integridad personal como consecuencia directa de la explosión, según se demostró en el capítulo VIII-1 de esta sentencia. Conforme a lo anterior, no será declarado víctima de la violación al artículo 5.1 por cuenta del sufrimiento pa</w:t>
      </w:r>
      <w:r>
        <w:rPr>
          <w:sz w:val="18"/>
        </w:rPr>
        <w:t>decido por sus</w:t>
      </w:r>
      <w:r>
        <w:rPr>
          <w:spacing w:val="-15"/>
          <w:sz w:val="18"/>
        </w:rPr>
        <w:t xml:space="preserve"> </w:t>
      </w:r>
      <w:r>
        <w:rPr>
          <w:sz w:val="18"/>
        </w:rPr>
        <w:t>familiares.</w:t>
      </w:r>
    </w:p>
    <w:p w14:paraId="3CE095A7" w14:textId="77777777" w:rsidR="00467FCA" w:rsidRDefault="00467FCA">
      <w:pPr>
        <w:pStyle w:val="Textoindependiente"/>
        <w:spacing w:before="7"/>
        <w:rPr>
          <w:sz w:val="29"/>
        </w:rPr>
      </w:pPr>
    </w:p>
    <w:p w14:paraId="0EDA0D80" w14:textId="77777777" w:rsidR="00467FCA" w:rsidRDefault="001B68EB">
      <w:pPr>
        <w:pStyle w:val="Prrafodelista"/>
        <w:numPr>
          <w:ilvl w:val="1"/>
          <w:numId w:val="38"/>
        </w:numPr>
        <w:tabs>
          <w:tab w:val="left" w:pos="1292"/>
        </w:tabs>
        <w:ind w:right="114" w:hanging="641"/>
        <w:jc w:val="both"/>
        <w:rPr>
          <w:sz w:val="18"/>
        </w:rPr>
      </w:pPr>
      <w:r>
        <w:rPr>
          <w:sz w:val="18"/>
        </w:rPr>
        <w:t>Antônio José dos Santos Ribeiro fue identificado como presunta víctima por la Comisión, por ser hermano de Luciene dos Santos Ribeiro. Sin embargo, la Corte encuentra que la Comisión también presentó a Antônio José dos Santos Ri</w:t>
      </w:r>
      <w:r>
        <w:rPr>
          <w:sz w:val="18"/>
        </w:rPr>
        <w:t>beiro como presunta víctima en su calidad de hijo Luzia dos Santos Ribeiro y que el Estado no objetó la existencia de una afectación a sus derechos por esta razón. En esa medida, será entendido como víctima. Además, la Corte encuentra que está probada la a</w:t>
      </w:r>
      <w:r>
        <w:rPr>
          <w:sz w:val="18"/>
        </w:rPr>
        <w:t>fectación a su derecho a la integridad personal, según consta en el archivo de video remitido por los</w:t>
      </w:r>
      <w:r>
        <w:rPr>
          <w:spacing w:val="-16"/>
          <w:sz w:val="18"/>
        </w:rPr>
        <w:t xml:space="preserve"> </w:t>
      </w:r>
      <w:r>
        <w:rPr>
          <w:sz w:val="18"/>
        </w:rPr>
        <w:t>representantes</w:t>
      </w:r>
      <w:hyperlink w:anchor="_bookmark408" w:history="1">
        <w:r>
          <w:rPr>
            <w:position w:val="6"/>
            <w:sz w:val="12"/>
          </w:rPr>
          <w:t>346</w:t>
        </w:r>
      </w:hyperlink>
      <w:r>
        <w:rPr>
          <w:sz w:val="18"/>
        </w:rPr>
        <w:t>.</w:t>
      </w:r>
    </w:p>
    <w:p w14:paraId="5E449534" w14:textId="77777777" w:rsidR="00467FCA" w:rsidRDefault="001B68EB">
      <w:pPr>
        <w:pStyle w:val="Textoindependiente"/>
        <w:spacing w:before="7"/>
        <w:rPr>
          <w:sz w:val="14"/>
        </w:rPr>
      </w:pPr>
      <w:r>
        <w:pict w14:anchorId="260DB938">
          <v:shape id="_x0000_s1131" style="position:absolute;margin-left:1in;margin-top:11.15pt;width:2in;height:.1pt;z-index:-251591680;mso-wrap-distance-left:0;mso-wrap-distance-right:0;mso-position-horizontal-relative:page" coordorigin="1440,223" coordsize="2880,0" path="m1440,223r2880,e" filled="f" strokeweight=".6pt">
            <v:path arrowok="t"/>
            <w10:wrap type="topAndBottom" anchorx="page"/>
          </v:shape>
        </w:pict>
      </w:r>
    </w:p>
    <w:p w14:paraId="081CE474" w14:textId="77777777" w:rsidR="00467FCA" w:rsidRDefault="001B68EB">
      <w:pPr>
        <w:tabs>
          <w:tab w:val="left" w:pos="839"/>
        </w:tabs>
        <w:spacing w:before="74"/>
        <w:ind w:left="119" w:right="115"/>
        <w:jc w:val="both"/>
        <w:rPr>
          <w:sz w:val="16"/>
        </w:rPr>
      </w:pPr>
      <w:bookmarkStart w:id="465" w:name="_bookmark406"/>
      <w:bookmarkEnd w:id="465"/>
      <w:r>
        <w:rPr>
          <w:position w:val="6"/>
          <w:sz w:val="10"/>
        </w:rPr>
        <w:t>344</w:t>
      </w:r>
      <w:r>
        <w:rPr>
          <w:position w:val="6"/>
          <w:sz w:val="10"/>
        </w:rPr>
        <w:tab/>
      </w:r>
      <w:r>
        <w:rPr>
          <w:i/>
          <w:sz w:val="16"/>
        </w:rPr>
        <w:t>Cfr.</w:t>
      </w:r>
      <w:r>
        <w:rPr>
          <w:i/>
          <w:spacing w:val="-6"/>
          <w:sz w:val="16"/>
        </w:rPr>
        <w:t xml:space="preserve"> </w:t>
      </w:r>
      <w:r>
        <w:rPr>
          <w:i/>
          <w:sz w:val="16"/>
        </w:rPr>
        <w:t>Caso</w:t>
      </w:r>
      <w:r>
        <w:rPr>
          <w:i/>
          <w:spacing w:val="-4"/>
          <w:sz w:val="16"/>
        </w:rPr>
        <w:t xml:space="preserve"> </w:t>
      </w:r>
      <w:r>
        <w:rPr>
          <w:i/>
          <w:sz w:val="16"/>
        </w:rPr>
        <w:t>de</w:t>
      </w:r>
      <w:r>
        <w:rPr>
          <w:i/>
          <w:spacing w:val="-5"/>
          <w:sz w:val="16"/>
        </w:rPr>
        <w:t xml:space="preserve"> </w:t>
      </w:r>
      <w:r>
        <w:rPr>
          <w:i/>
          <w:sz w:val="16"/>
        </w:rPr>
        <w:t>los</w:t>
      </w:r>
      <w:r>
        <w:rPr>
          <w:i/>
          <w:spacing w:val="-5"/>
          <w:sz w:val="16"/>
        </w:rPr>
        <w:t xml:space="preserve"> </w:t>
      </w:r>
      <w:r>
        <w:rPr>
          <w:i/>
          <w:sz w:val="16"/>
        </w:rPr>
        <w:t>“Niños</w:t>
      </w:r>
      <w:r>
        <w:rPr>
          <w:i/>
          <w:spacing w:val="-5"/>
          <w:sz w:val="16"/>
        </w:rPr>
        <w:t xml:space="preserve"> </w:t>
      </w:r>
      <w:r>
        <w:rPr>
          <w:i/>
          <w:sz w:val="16"/>
        </w:rPr>
        <w:t>de</w:t>
      </w:r>
      <w:r>
        <w:rPr>
          <w:i/>
          <w:spacing w:val="-5"/>
          <w:sz w:val="16"/>
        </w:rPr>
        <w:t xml:space="preserve"> </w:t>
      </w:r>
      <w:r>
        <w:rPr>
          <w:i/>
          <w:sz w:val="16"/>
        </w:rPr>
        <w:t>la</w:t>
      </w:r>
      <w:r>
        <w:rPr>
          <w:i/>
          <w:spacing w:val="-6"/>
          <w:sz w:val="16"/>
        </w:rPr>
        <w:t xml:space="preserve"> </w:t>
      </w:r>
      <w:r>
        <w:rPr>
          <w:i/>
          <w:sz w:val="16"/>
        </w:rPr>
        <w:t>Calle”</w:t>
      </w:r>
      <w:r>
        <w:rPr>
          <w:i/>
          <w:spacing w:val="-2"/>
          <w:sz w:val="16"/>
        </w:rPr>
        <w:t xml:space="preserve"> </w:t>
      </w:r>
      <w:r>
        <w:rPr>
          <w:i/>
          <w:sz w:val="16"/>
        </w:rPr>
        <w:t>(Villagrán</w:t>
      </w:r>
      <w:r>
        <w:rPr>
          <w:i/>
          <w:spacing w:val="-8"/>
          <w:sz w:val="16"/>
        </w:rPr>
        <w:t xml:space="preserve"> </w:t>
      </w:r>
      <w:r>
        <w:rPr>
          <w:i/>
          <w:sz w:val="16"/>
        </w:rPr>
        <w:t>Morales</w:t>
      </w:r>
      <w:r>
        <w:rPr>
          <w:i/>
          <w:spacing w:val="-7"/>
          <w:sz w:val="16"/>
        </w:rPr>
        <w:t xml:space="preserve"> </w:t>
      </w:r>
      <w:r>
        <w:rPr>
          <w:i/>
          <w:sz w:val="16"/>
        </w:rPr>
        <w:t>y</w:t>
      </w:r>
      <w:r>
        <w:rPr>
          <w:i/>
          <w:spacing w:val="-6"/>
          <w:sz w:val="16"/>
        </w:rPr>
        <w:t xml:space="preserve"> </w:t>
      </w:r>
      <w:r>
        <w:rPr>
          <w:i/>
          <w:sz w:val="16"/>
        </w:rPr>
        <w:t>otros)</w:t>
      </w:r>
      <w:r>
        <w:rPr>
          <w:i/>
          <w:spacing w:val="-6"/>
          <w:sz w:val="16"/>
        </w:rPr>
        <w:t xml:space="preserve"> </w:t>
      </w:r>
      <w:r>
        <w:rPr>
          <w:i/>
          <w:sz w:val="16"/>
        </w:rPr>
        <w:t>Vs.</w:t>
      </w:r>
      <w:r>
        <w:rPr>
          <w:i/>
          <w:spacing w:val="-6"/>
          <w:sz w:val="16"/>
        </w:rPr>
        <w:t xml:space="preserve"> </w:t>
      </w:r>
      <w:r>
        <w:rPr>
          <w:i/>
          <w:sz w:val="16"/>
        </w:rPr>
        <w:t>Guatemala,</w:t>
      </w:r>
      <w:r>
        <w:rPr>
          <w:i/>
          <w:spacing w:val="-3"/>
          <w:sz w:val="16"/>
        </w:rPr>
        <w:t xml:space="preserve"> </w:t>
      </w:r>
      <w:r>
        <w:rPr>
          <w:i/>
          <w:sz w:val="16"/>
        </w:rPr>
        <w:t>supra,</w:t>
      </w:r>
      <w:r>
        <w:rPr>
          <w:i/>
          <w:spacing w:val="-8"/>
          <w:sz w:val="16"/>
        </w:rPr>
        <w:t xml:space="preserve"> </w:t>
      </w:r>
      <w:r>
        <w:rPr>
          <w:sz w:val="16"/>
        </w:rPr>
        <w:t>párr.</w:t>
      </w:r>
      <w:r>
        <w:rPr>
          <w:spacing w:val="-5"/>
          <w:sz w:val="16"/>
        </w:rPr>
        <w:t xml:space="preserve"> </w:t>
      </w:r>
      <w:r>
        <w:rPr>
          <w:sz w:val="16"/>
        </w:rPr>
        <w:t>174-177,</w:t>
      </w:r>
      <w:r>
        <w:rPr>
          <w:spacing w:val="-8"/>
          <w:sz w:val="16"/>
        </w:rPr>
        <w:t xml:space="preserve"> </w:t>
      </w:r>
      <w:r>
        <w:rPr>
          <w:sz w:val="16"/>
        </w:rPr>
        <w:t>y</w:t>
      </w:r>
      <w:r>
        <w:rPr>
          <w:spacing w:val="-4"/>
          <w:sz w:val="16"/>
        </w:rPr>
        <w:t xml:space="preserve"> </w:t>
      </w:r>
      <w:r>
        <w:rPr>
          <w:i/>
          <w:sz w:val="16"/>
        </w:rPr>
        <w:t xml:space="preserve">Caso Roche Azaña y otros Vs. Nicaragua. Fondo y Reparaciones. </w:t>
      </w:r>
      <w:r>
        <w:rPr>
          <w:sz w:val="16"/>
        </w:rPr>
        <w:t>Sentencia de 3 de junio de 2020. Serie C No. 403, párr. 100.</w:t>
      </w:r>
    </w:p>
    <w:p w14:paraId="5774F395" w14:textId="77777777" w:rsidR="00467FCA" w:rsidRDefault="001B68EB">
      <w:pPr>
        <w:tabs>
          <w:tab w:val="left" w:pos="839"/>
        </w:tabs>
        <w:ind w:left="120"/>
        <w:jc w:val="both"/>
        <w:rPr>
          <w:sz w:val="16"/>
        </w:rPr>
      </w:pPr>
      <w:bookmarkStart w:id="466" w:name="_bookmark407"/>
      <w:bookmarkEnd w:id="466"/>
      <w:r>
        <w:rPr>
          <w:position w:val="6"/>
          <w:sz w:val="10"/>
        </w:rPr>
        <w:t>345</w:t>
      </w:r>
      <w:r>
        <w:rPr>
          <w:position w:val="6"/>
          <w:sz w:val="10"/>
        </w:rPr>
        <w:tab/>
      </w:r>
      <w:r>
        <w:rPr>
          <w:i/>
          <w:sz w:val="16"/>
        </w:rPr>
        <w:t xml:space="preserve">Cfr. </w:t>
      </w:r>
      <w:r>
        <w:rPr>
          <w:sz w:val="16"/>
        </w:rPr>
        <w:t>Declaración rendida ante fedatario público por Claudia Reis dos Santos,</w:t>
      </w:r>
      <w:r>
        <w:rPr>
          <w:spacing w:val="-18"/>
          <w:sz w:val="16"/>
        </w:rPr>
        <w:t xml:space="preserve"> </w:t>
      </w:r>
      <w:r>
        <w:rPr>
          <w:i/>
          <w:sz w:val="16"/>
        </w:rPr>
        <w:t>supra</w:t>
      </w:r>
      <w:r>
        <w:rPr>
          <w:sz w:val="16"/>
        </w:rPr>
        <w:t>.</w:t>
      </w:r>
    </w:p>
    <w:p w14:paraId="3CB172DF" w14:textId="77777777" w:rsidR="00467FCA" w:rsidRDefault="001B68EB">
      <w:pPr>
        <w:tabs>
          <w:tab w:val="left" w:pos="839"/>
        </w:tabs>
        <w:ind w:left="120"/>
        <w:jc w:val="both"/>
        <w:rPr>
          <w:sz w:val="16"/>
        </w:rPr>
      </w:pPr>
      <w:bookmarkStart w:id="467" w:name="_bookmark408"/>
      <w:bookmarkEnd w:id="467"/>
      <w:r>
        <w:rPr>
          <w:position w:val="6"/>
          <w:sz w:val="10"/>
        </w:rPr>
        <w:t>346</w:t>
      </w:r>
      <w:r>
        <w:rPr>
          <w:position w:val="6"/>
          <w:sz w:val="10"/>
        </w:rPr>
        <w:tab/>
      </w:r>
      <w:r>
        <w:rPr>
          <w:i/>
          <w:sz w:val="16"/>
        </w:rPr>
        <w:t xml:space="preserve">Cfr. </w:t>
      </w:r>
      <w:r>
        <w:rPr>
          <w:sz w:val="16"/>
        </w:rPr>
        <w:t xml:space="preserve">Documental "Salve, Santo </w:t>
      </w:r>
      <w:r>
        <w:rPr>
          <w:sz w:val="16"/>
        </w:rPr>
        <w:t>Antônio", presentado por los representantes (anexo 8 al Informe</w:t>
      </w:r>
      <w:r>
        <w:rPr>
          <w:spacing w:val="-9"/>
          <w:sz w:val="16"/>
        </w:rPr>
        <w:t xml:space="preserve"> </w:t>
      </w:r>
      <w:r>
        <w:rPr>
          <w:sz w:val="16"/>
        </w:rPr>
        <w:t>de</w:t>
      </w:r>
    </w:p>
    <w:p w14:paraId="7E90A362" w14:textId="77777777" w:rsidR="00467FCA" w:rsidRDefault="00467FCA">
      <w:pPr>
        <w:jc w:val="both"/>
        <w:rPr>
          <w:sz w:val="16"/>
        </w:rPr>
        <w:sectPr w:rsidR="00467FCA">
          <w:pgSz w:w="12240" w:h="15840"/>
          <w:pgMar w:top="1360" w:right="1320" w:bottom="1220" w:left="1320" w:header="0" w:footer="957" w:gutter="0"/>
          <w:cols w:space="720"/>
        </w:sectPr>
      </w:pPr>
    </w:p>
    <w:p w14:paraId="0DD8E6A8" w14:textId="77777777" w:rsidR="00467FCA" w:rsidRDefault="00467FCA">
      <w:pPr>
        <w:pStyle w:val="Textoindependiente"/>
      </w:pPr>
    </w:p>
    <w:p w14:paraId="55157ED7" w14:textId="77777777" w:rsidR="00467FCA" w:rsidRDefault="00467FCA">
      <w:pPr>
        <w:pStyle w:val="Textoindependiente"/>
        <w:spacing w:before="3"/>
        <w:rPr>
          <w:sz w:val="16"/>
        </w:rPr>
      </w:pPr>
    </w:p>
    <w:p w14:paraId="34AFE6B5" w14:textId="77777777" w:rsidR="00467FCA" w:rsidRDefault="001B68EB">
      <w:pPr>
        <w:pStyle w:val="Prrafodelista"/>
        <w:numPr>
          <w:ilvl w:val="1"/>
          <w:numId w:val="38"/>
        </w:numPr>
        <w:tabs>
          <w:tab w:val="left" w:pos="1292"/>
        </w:tabs>
        <w:spacing w:before="101"/>
        <w:ind w:right="113" w:hanging="648"/>
        <w:jc w:val="both"/>
        <w:rPr>
          <w:sz w:val="18"/>
        </w:rPr>
      </w:pPr>
      <w:r>
        <w:rPr>
          <w:sz w:val="18"/>
        </w:rPr>
        <w:t>Antônio Rodrigues dos Santos, Maria Antônia dos Santos, Maria Vera dos Santos y Marinalva</w:t>
      </w:r>
      <w:r>
        <w:rPr>
          <w:spacing w:val="-15"/>
          <w:sz w:val="18"/>
        </w:rPr>
        <w:t xml:space="preserve"> </w:t>
      </w:r>
      <w:r>
        <w:rPr>
          <w:sz w:val="18"/>
        </w:rPr>
        <w:t>Santos,</w:t>
      </w:r>
      <w:r>
        <w:rPr>
          <w:spacing w:val="-16"/>
          <w:sz w:val="18"/>
        </w:rPr>
        <w:t xml:space="preserve"> </w:t>
      </w:r>
      <w:r>
        <w:rPr>
          <w:sz w:val="18"/>
        </w:rPr>
        <w:t>fueron</w:t>
      </w:r>
      <w:r>
        <w:rPr>
          <w:spacing w:val="-14"/>
          <w:sz w:val="18"/>
        </w:rPr>
        <w:t xml:space="preserve"> </w:t>
      </w:r>
      <w:r>
        <w:rPr>
          <w:sz w:val="18"/>
        </w:rPr>
        <w:t>identificados</w:t>
      </w:r>
      <w:r>
        <w:rPr>
          <w:spacing w:val="-16"/>
          <w:sz w:val="18"/>
        </w:rPr>
        <w:t xml:space="preserve"> </w:t>
      </w:r>
      <w:r>
        <w:rPr>
          <w:sz w:val="18"/>
        </w:rPr>
        <w:t>como</w:t>
      </w:r>
      <w:r>
        <w:rPr>
          <w:spacing w:val="-14"/>
          <w:sz w:val="18"/>
        </w:rPr>
        <w:t xml:space="preserve"> </w:t>
      </w:r>
      <w:r>
        <w:rPr>
          <w:sz w:val="18"/>
        </w:rPr>
        <w:t>presuntas</w:t>
      </w:r>
      <w:r>
        <w:rPr>
          <w:spacing w:val="-15"/>
          <w:sz w:val="18"/>
        </w:rPr>
        <w:t xml:space="preserve"> </w:t>
      </w:r>
      <w:r>
        <w:rPr>
          <w:sz w:val="18"/>
        </w:rPr>
        <w:t>víctimas</w:t>
      </w:r>
      <w:r>
        <w:rPr>
          <w:spacing w:val="-15"/>
          <w:sz w:val="18"/>
        </w:rPr>
        <w:t xml:space="preserve"> </w:t>
      </w:r>
      <w:r>
        <w:rPr>
          <w:sz w:val="18"/>
        </w:rPr>
        <w:t>por</w:t>
      </w:r>
      <w:r>
        <w:rPr>
          <w:spacing w:val="-15"/>
          <w:sz w:val="18"/>
        </w:rPr>
        <w:t xml:space="preserve"> </w:t>
      </w:r>
      <w:r>
        <w:rPr>
          <w:sz w:val="18"/>
        </w:rPr>
        <w:t>los</w:t>
      </w:r>
      <w:r>
        <w:rPr>
          <w:spacing w:val="-16"/>
          <w:sz w:val="18"/>
        </w:rPr>
        <w:t xml:space="preserve"> </w:t>
      </w:r>
      <w:r>
        <w:rPr>
          <w:sz w:val="18"/>
        </w:rPr>
        <w:t>representantes,</w:t>
      </w:r>
      <w:r>
        <w:rPr>
          <w:spacing w:val="-16"/>
          <w:sz w:val="18"/>
        </w:rPr>
        <w:t xml:space="preserve"> </w:t>
      </w:r>
      <w:r>
        <w:rPr>
          <w:sz w:val="18"/>
        </w:rPr>
        <w:t>por tratarse de los tíos y tías de Andreia dos Santos. Al respecto, los representantes, en sus alegatos finales, señalaron que, en efecto, se trata de los tíos de una de las personas fallecidas</w:t>
      </w:r>
      <w:r>
        <w:rPr>
          <w:spacing w:val="-15"/>
          <w:sz w:val="18"/>
        </w:rPr>
        <w:t xml:space="preserve"> </w:t>
      </w:r>
      <w:r>
        <w:rPr>
          <w:sz w:val="18"/>
        </w:rPr>
        <w:t>en</w:t>
      </w:r>
      <w:r>
        <w:rPr>
          <w:spacing w:val="-12"/>
          <w:sz w:val="18"/>
        </w:rPr>
        <w:t xml:space="preserve"> </w:t>
      </w:r>
      <w:r>
        <w:rPr>
          <w:sz w:val="18"/>
        </w:rPr>
        <w:t>la</w:t>
      </w:r>
      <w:r>
        <w:rPr>
          <w:spacing w:val="-14"/>
          <w:sz w:val="18"/>
        </w:rPr>
        <w:t xml:space="preserve"> </w:t>
      </w:r>
      <w:r>
        <w:rPr>
          <w:sz w:val="18"/>
        </w:rPr>
        <w:t>explosión</w:t>
      </w:r>
      <w:r>
        <w:rPr>
          <w:spacing w:val="-12"/>
          <w:sz w:val="18"/>
        </w:rPr>
        <w:t xml:space="preserve"> </w:t>
      </w:r>
      <w:r>
        <w:rPr>
          <w:sz w:val="18"/>
        </w:rPr>
        <w:t>y</w:t>
      </w:r>
      <w:r>
        <w:rPr>
          <w:spacing w:val="-12"/>
          <w:sz w:val="18"/>
        </w:rPr>
        <w:t xml:space="preserve"> </w:t>
      </w:r>
      <w:r>
        <w:rPr>
          <w:sz w:val="18"/>
        </w:rPr>
        <w:t>que</w:t>
      </w:r>
      <w:r>
        <w:rPr>
          <w:spacing w:val="-14"/>
          <w:sz w:val="18"/>
        </w:rPr>
        <w:t xml:space="preserve"> </w:t>
      </w:r>
      <w:r>
        <w:rPr>
          <w:sz w:val="18"/>
        </w:rPr>
        <w:t>la</w:t>
      </w:r>
      <w:r>
        <w:rPr>
          <w:spacing w:val="-13"/>
          <w:sz w:val="18"/>
        </w:rPr>
        <w:t xml:space="preserve"> </w:t>
      </w:r>
      <w:r>
        <w:rPr>
          <w:sz w:val="18"/>
        </w:rPr>
        <w:t>madre</w:t>
      </w:r>
      <w:r>
        <w:rPr>
          <w:spacing w:val="-14"/>
          <w:sz w:val="18"/>
        </w:rPr>
        <w:t xml:space="preserve"> </w:t>
      </w:r>
      <w:r>
        <w:rPr>
          <w:sz w:val="18"/>
        </w:rPr>
        <w:t>de</w:t>
      </w:r>
      <w:r>
        <w:rPr>
          <w:spacing w:val="-13"/>
          <w:sz w:val="18"/>
        </w:rPr>
        <w:t xml:space="preserve"> </w:t>
      </w:r>
      <w:r>
        <w:rPr>
          <w:sz w:val="18"/>
        </w:rPr>
        <w:t>la</w:t>
      </w:r>
      <w:r>
        <w:rPr>
          <w:spacing w:val="-13"/>
          <w:sz w:val="18"/>
        </w:rPr>
        <w:t xml:space="preserve"> </w:t>
      </w:r>
      <w:r>
        <w:rPr>
          <w:sz w:val="18"/>
        </w:rPr>
        <w:t>presunta</w:t>
      </w:r>
      <w:r>
        <w:rPr>
          <w:spacing w:val="-14"/>
          <w:sz w:val="18"/>
        </w:rPr>
        <w:t xml:space="preserve"> </w:t>
      </w:r>
      <w:r>
        <w:rPr>
          <w:sz w:val="18"/>
        </w:rPr>
        <w:t>víctima,</w:t>
      </w:r>
      <w:r>
        <w:rPr>
          <w:spacing w:val="-14"/>
          <w:sz w:val="18"/>
        </w:rPr>
        <w:t xml:space="preserve"> </w:t>
      </w:r>
      <w:r>
        <w:rPr>
          <w:sz w:val="18"/>
        </w:rPr>
        <w:t>Maria</w:t>
      </w:r>
      <w:r>
        <w:rPr>
          <w:spacing w:val="-11"/>
          <w:sz w:val="18"/>
        </w:rPr>
        <w:t xml:space="preserve"> </w:t>
      </w:r>
      <w:r>
        <w:rPr>
          <w:sz w:val="18"/>
        </w:rPr>
        <w:t>E</w:t>
      </w:r>
      <w:r>
        <w:rPr>
          <w:sz w:val="18"/>
        </w:rPr>
        <w:t>xpedita</w:t>
      </w:r>
      <w:r>
        <w:rPr>
          <w:spacing w:val="-14"/>
          <w:sz w:val="18"/>
        </w:rPr>
        <w:t xml:space="preserve"> </w:t>
      </w:r>
      <w:r>
        <w:rPr>
          <w:sz w:val="18"/>
        </w:rPr>
        <w:t>dos</w:t>
      </w:r>
      <w:r>
        <w:rPr>
          <w:spacing w:val="-14"/>
          <w:sz w:val="18"/>
        </w:rPr>
        <w:t xml:space="preserve"> </w:t>
      </w:r>
      <w:r>
        <w:rPr>
          <w:sz w:val="18"/>
        </w:rPr>
        <w:t xml:space="preserve">Santos, falleció, siendo ellos los únicos familiares vivos de la persona fallecida en la explosión. Por esa razón, solicitaron que se les considerara víctimas en este caso. A juicio de la Corte, el alegato de los representantes no se refiere a </w:t>
      </w:r>
      <w:r>
        <w:rPr>
          <w:sz w:val="18"/>
        </w:rPr>
        <w:t>la afectación de los derechos de Antônio Rodrigues dos Santos, Maria Antônia dos Santos, Maria Vera dos Santos y Marinalva Santos, por esa razón, no serán considerados víctimas de la vulneración del derecho a la integridad personal. Sin embargo, esto no ob</w:t>
      </w:r>
      <w:r>
        <w:rPr>
          <w:sz w:val="18"/>
        </w:rPr>
        <w:t>sta para que, en las instancias internas y conforme</w:t>
      </w:r>
      <w:r>
        <w:rPr>
          <w:spacing w:val="-5"/>
          <w:sz w:val="18"/>
        </w:rPr>
        <w:t xml:space="preserve"> </w:t>
      </w:r>
      <w:r>
        <w:rPr>
          <w:sz w:val="18"/>
        </w:rPr>
        <w:t>a</w:t>
      </w:r>
      <w:r>
        <w:rPr>
          <w:spacing w:val="-6"/>
          <w:sz w:val="18"/>
        </w:rPr>
        <w:t xml:space="preserve"> </w:t>
      </w:r>
      <w:r>
        <w:rPr>
          <w:sz w:val="18"/>
        </w:rPr>
        <w:t>la</w:t>
      </w:r>
      <w:r>
        <w:rPr>
          <w:spacing w:val="-5"/>
          <w:sz w:val="18"/>
        </w:rPr>
        <w:t xml:space="preserve"> </w:t>
      </w:r>
      <w:r>
        <w:rPr>
          <w:sz w:val="18"/>
        </w:rPr>
        <w:t>legislación</w:t>
      </w:r>
      <w:r>
        <w:rPr>
          <w:spacing w:val="-4"/>
          <w:sz w:val="18"/>
        </w:rPr>
        <w:t xml:space="preserve"> </w:t>
      </w:r>
      <w:r>
        <w:rPr>
          <w:sz w:val="18"/>
        </w:rPr>
        <w:t>brasilera,</w:t>
      </w:r>
      <w:r>
        <w:rPr>
          <w:spacing w:val="-6"/>
          <w:sz w:val="18"/>
        </w:rPr>
        <w:t xml:space="preserve"> </w:t>
      </w:r>
      <w:r>
        <w:rPr>
          <w:sz w:val="18"/>
        </w:rPr>
        <w:t>de</w:t>
      </w:r>
      <w:r>
        <w:rPr>
          <w:spacing w:val="-5"/>
          <w:sz w:val="18"/>
        </w:rPr>
        <w:t xml:space="preserve"> </w:t>
      </w:r>
      <w:r>
        <w:rPr>
          <w:sz w:val="18"/>
        </w:rPr>
        <w:t>determinarse</w:t>
      </w:r>
      <w:r>
        <w:rPr>
          <w:spacing w:val="-4"/>
          <w:sz w:val="18"/>
        </w:rPr>
        <w:t xml:space="preserve"> </w:t>
      </w:r>
      <w:r>
        <w:rPr>
          <w:sz w:val="18"/>
        </w:rPr>
        <w:t>que</w:t>
      </w:r>
      <w:r>
        <w:rPr>
          <w:spacing w:val="-5"/>
          <w:sz w:val="18"/>
        </w:rPr>
        <w:t xml:space="preserve"> </w:t>
      </w:r>
      <w:r>
        <w:rPr>
          <w:sz w:val="18"/>
        </w:rPr>
        <w:t>hubo</w:t>
      </w:r>
      <w:r>
        <w:rPr>
          <w:spacing w:val="-5"/>
          <w:sz w:val="18"/>
        </w:rPr>
        <w:t xml:space="preserve"> </w:t>
      </w:r>
      <w:r>
        <w:rPr>
          <w:sz w:val="18"/>
        </w:rPr>
        <w:t>una</w:t>
      </w:r>
      <w:r>
        <w:rPr>
          <w:spacing w:val="-5"/>
          <w:sz w:val="18"/>
        </w:rPr>
        <w:t xml:space="preserve"> </w:t>
      </w:r>
      <w:r>
        <w:rPr>
          <w:sz w:val="18"/>
        </w:rPr>
        <w:t>violación</w:t>
      </w:r>
      <w:r>
        <w:rPr>
          <w:spacing w:val="-4"/>
          <w:sz w:val="18"/>
        </w:rPr>
        <w:t xml:space="preserve"> </w:t>
      </w:r>
      <w:r>
        <w:rPr>
          <w:sz w:val="18"/>
        </w:rPr>
        <w:t>a</w:t>
      </w:r>
      <w:r>
        <w:rPr>
          <w:spacing w:val="-6"/>
          <w:sz w:val="18"/>
        </w:rPr>
        <w:t xml:space="preserve"> </w:t>
      </w:r>
      <w:r>
        <w:rPr>
          <w:sz w:val="18"/>
        </w:rPr>
        <w:t>los</w:t>
      </w:r>
      <w:r>
        <w:rPr>
          <w:spacing w:val="-5"/>
          <w:sz w:val="18"/>
        </w:rPr>
        <w:t xml:space="preserve"> </w:t>
      </w:r>
      <w:r>
        <w:rPr>
          <w:sz w:val="18"/>
        </w:rPr>
        <w:t>derechos de las señoras Andreia dos Santos y Maria Expedita dos Santos, accedan a lo que corresponda</w:t>
      </w:r>
      <w:r>
        <w:rPr>
          <w:spacing w:val="-6"/>
          <w:sz w:val="18"/>
        </w:rPr>
        <w:t xml:space="preserve"> </w:t>
      </w:r>
      <w:r>
        <w:rPr>
          <w:sz w:val="18"/>
        </w:rPr>
        <w:t>en</w:t>
      </w:r>
      <w:r>
        <w:rPr>
          <w:spacing w:val="-5"/>
          <w:sz w:val="18"/>
        </w:rPr>
        <w:t xml:space="preserve"> </w:t>
      </w:r>
      <w:r>
        <w:rPr>
          <w:sz w:val="18"/>
        </w:rPr>
        <w:t>su</w:t>
      </w:r>
      <w:r>
        <w:rPr>
          <w:spacing w:val="-4"/>
          <w:sz w:val="18"/>
        </w:rPr>
        <w:t xml:space="preserve"> </w:t>
      </w:r>
      <w:r>
        <w:rPr>
          <w:sz w:val="18"/>
        </w:rPr>
        <w:t>calidad</w:t>
      </w:r>
      <w:r>
        <w:rPr>
          <w:spacing w:val="-5"/>
          <w:sz w:val="18"/>
        </w:rPr>
        <w:t xml:space="preserve"> </w:t>
      </w:r>
      <w:r>
        <w:rPr>
          <w:sz w:val="18"/>
        </w:rPr>
        <w:t>de</w:t>
      </w:r>
      <w:r>
        <w:rPr>
          <w:spacing w:val="-5"/>
          <w:sz w:val="18"/>
        </w:rPr>
        <w:t xml:space="preserve"> </w:t>
      </w:r>
      <w:r>
        <w:rPr>
          <w:sz w:val="18"/>
        </w:rPr>
        <w:t>derechohabien</w:t>
      </w:r>
      <w:r>
        <w:rPr>
          <w:sz w:val="18"/>
        </w:rPr>
        <w:t>tes,</w:t>
      </w:r>
      <w:r>
        <w:rPr>
          <w:spacing w:val="-6"/>
          <w:sz w:val="18"/>
        </w:rPr>
        <w:t xml:space="preserve"> </w:t>
      </w:r>
      <w:r>
        <w:rPr>
          <w:sz w:val="18"/>
        </w:rPr>
        <w:t>en</w:t>
      </w:r>
      <w:r>
        <w:rPr>
          <w:spacing w:val="-4"/>
          <w:sz w:val="18"/>
        </w:rPr>
        <w:t xml:space="preserve"> </w:t>
      </w:r>
      <w:r>
        <w:rPr>
          <w:sz w:val="18"/>
        </w:rPr>
        <w:t>los</w:t>
      </w:r>
      <w:r>
        <w:rPr>
          <w:spacing w:val="-6"/>
          <w:sz w:val="18"/>
        </w:rPr>
        <w:t xml:space="preserve"> </w:t>
      </w:r>
      <w:r>
        <w:rPr>
          <w:sz w:val="18"/>
        </w:rPr>
        <w:t>términos</w:t>
      </w:r>
      <w:r>
        <w:rPr>
          <w:spacing w:val="-6"/>
          <w:sz w:val="18"/>
        </w:rPr>
        <w:t xml:space="preserve"> </w:t>
      </w:r>
      <w:r>
        <w:rPr>
          <w:sz w:val="18"/>
        </w:rPr>
        <w:t>de</w:t>
      </w:r>
      <w:r>
        <w:rPr>
          <w:spacing w:val="-5"/>
          <w:sz w:val="18"/>
        </w:rPr>
        <w:t xml:space="preserve"> </w:t>
      </w:r>
      <w:r>
        <w:rPr>
          <w:sz w:val="18"/>
        </w:rPr>
        <w:t>los</w:t>
      </w:r>
      <w:r>
        <w:rPr>
          <w:spacing w:val="-6"/>
          <w:sz w:val="18"/>
        </w:rPr>
        <w:t xml:space="preserve"> </w:t>
      </w:r>
      <w:r>
        <w:rPr>
          <w:sz w:val="18"/>
        </w:rPr>
        <w:t>párrafos</w:t>
      </w:r>
      <w:r>
        <w:rPr>
          <w:spacing w:val="-6"/>
          <w:sz w:val="18"/>
        </w:rPr>
        <w:t xml:space="preserve"> </w:t>
      </w:r>
      <w:r>
        <w:rPr>
          <w:sz w:val="18"/>
        </w:rPr>
        <w:t>297</w:t>
      </w:r>
      <w:r>
        <w:rPr>
          <w:spacing w:val="-5"/>
          <w:sz w:val="18"/>
        </w:rPr>
        <w:t xml:space="preserve"> </w:t>
      </w:r>
      <w:r>
        <w:rPr>
          <w:sz w:val="18"/>
        </w:rPr>
        <w:t>y</w:t>
      </w:r>
      <w:r>
        <w:rPr>
          <w:spacing w:val="-7"/>
          <w:sz w:val="18"/>
        </w:rPr>
        <w:t xml:space="preserve"> </w:t>
      </w:r>
      <w:r>
        <w:rPr>
          <w:sz w:val="18"/>
        </w:rPr>
        <w:t>304 de esta</w:t>
      </w:r>
      <w:r>
        <w:rPr>
          <w:spacing w:val="-3"/>
          <w:sz w:val="18"/>
        </w:rPr>
        <w:t xml:space="preserve"> </w:t>
      </w:r>
      <w:r>
        <w:rPr>
          <w:sz w:val="18"/>
        </w:rPr>
        <w:t>sentencia.</w:t>
      </w:r>
    </w:p>
    <w:p w14:paraId="5B32771B" w14:textId="77777777" w:rsidR="00467FCA" w:rsidRDefault="00467FCA">
      <w:pPr>
        <w:pStyle w:val="Textoindependiente"/>
        <w:spacing w:before="1"/>
      </w:pPr>
    </w:p>
    <w:p w14:paraId="3A104058" w14:textId="77777777" w:rsidR="00467FCA" w:rsidRDefault="001B68EB">
      <w:pPr>
        <w:pStyle w:val="Prrafodelista"/>
        <w:numPr>
          <w:ilvl w:val="1"/>
          <w:numId w:val="38"/>
        </w:numPr>
        <w:tabs>
          <w:tab w:val="left" w:pos="1292"/>
        </w:tabs>
        <w:ind w:right="113" w:hanging="605"/>
        <w:jc w:val="both"/>
        <w:rPr>
          <w:sz w:val="18"/>
        </w:rPr>
      </w:pPr>
      <w:r>
        <w:rPr>
          <w:sz w:val="18"/>
        </w:rPr>
        <w:t>Claudimeire de Jesus Bittencourt fue identificada como presunta víctima por la Comisión y los representantes por ser hermana de Vanessa de Jesus Bittencourt y de Vânia de Jesus Bittencourt. El Estado alegó que no se acreditó en concreto la afectación a sus</w:t>
      </w:r>
      <w:r>
        <w:rPr>
          <w:sz w:val="18"/>
        </w:rPr>
        <w:t xml:space="preserve"> derechos por esa razón. Sin embargo, la Corte encuentra que la Comisión también presentó a Claudimeire de Jesus Bittencourt como presunta víctima en su calidad de hija de Maria lsabel de Jesus Bittencourt y el Estado no objetó la existencia de una afectac</w:t>
      </w:r>
      <w:r>
        <w:rPr>
          <w:sz w:val="18"/>
        </w:rPr>
        <w:t>ión a sus derechos por esta razón. En esa medida, será considerada víctima de la vulneración del derecho a la integridad</w:t>
      </w:r>
      <w:r>
        <w:rPr>
          <w:spacing w:val="-4"/>
          <w:sz w:val="18"/>
        </w:rPr>
        <w:t xml:space="preserve"> </w:t>
      </w:r>
      <w:r>
        <w:rPr>
          <w:sz w:val="18"/>
        </w:rPr>
        <w:t>personal.</w:t>
      </w:r>
    </w:p>
    <w:p w14:paraId="1C813B46" w14:textId="77777777" w:rsidR="00467FCA" w:rsidRDefault="00467FCA">
      <w:pPr>
        <w:pStyle w:val="Textoindependiente"/>
        <w:spacing w:before="7"/>
        <w:rPr>
          <w:sz w:val="29"/>
        </w:rPr>
      </w:pPr>
    </w:p>
    <w:p w14:paraId="24CBB4F6" w14:textId="77777777" w:rsidR="00467FCA" w:rsidRDefault="001B68EB">
      <w:pPr>
        <w:pStyle w:val="Prrafodelista"/>
        <w:numPr>
          <w:ilvl w:val="1"/>
          <w:numId w:val="38"/>
        </w:numPr>
        <w:tabs>
          <w:tab w:val="left" w:pos="1292"/>
        </w:tabs>
        <w:ind w:right="114" w:hanging="648"/>
        <w:jc w:val="both"/>
        <w:rPr>
          <w:sz w:val="18"/>
        </w:rPr>
      </w:pPr>
      <w:r>
        <w:rPr>
          <w:sz w:val="18"/>
        </w:rPr>
        <w:t>Cleide Reis dos Santos fue identificada como presunta víctima por los representantes por ser hermana de Carla Reis dos Santo</w:t>
      </w:r>
      <w:r>
        <w:rPr>
          <w:sz w:val="18"/>
        </w:rPr>
        <w:t>s. El Estado alegó que no se acreditó en concreto la afectación</w:t>
      </w:r>
      <w:r>
        <w:rPr>
          <w:spacing w:val="-4"/>
          <w:sz w:val="18"/>
        </w:rPr>
        <w:t xml:space="preserve"> </w:t>
      </w:r>
      <w:r>
        <w:rPr>
          <w:sz w:val="18"/>
        </w:rPr>
        <w:t>a</w:t>
      </w:r>
      <w:r>
        <w:rPr>
          <w:spacing w:val="-6"/>
          <w:sz w:val="18"/>
        </w:rPr>
        <w:t xml:space="preserve"> </w:t>
      </w:r>
      <w:r>
        <w:rPr>
          <w:sz w:val="18"/>
        </w:rPr>
        <w:t>sus</w:t>
      </w:r>
      <w:r>
        <w:rPr>
          <w:spacing w:val="-6"/>
          <w:sz w:val="18"/>
        </w:rPr>
        <w:t xml:space="preserve"> </w:t>
      </w:r>
      <w:r>
        <w:rPr>
          <w:sz w:val="18"/>
        </w:rPr>
        <w:t>derechos.</w:t>
      </w:r>
      <w:r>
        <w:rPr>
          <w:spacing w:val="-8"/>
          <w:sz w:val="18"/>
        </w:rPr>
        <w:t xml:space="preserve"> </w:t>
      </w:r>
      <w:r>
        <w:rPr>
          <w:sz w:val="18"/>
        </w:rPr>
        <w:t>Por</w:t>
      </w:r>
      <w:r>
        <w:rPr>
          <w:spacing w:val="-6"/>
          <w:sz w:val="18"/>
        </w:rPr>
        <w:t xml:space="preserve"> </w:t>
      </w:r>
      <w:r>
        <w:rPr>
          <w:sz w:val="18"/>
        </w:rPr>
        <w:t>su</w:t>
      </w:r>
      <w:r>
        <w:rPr>
          <w:spacing w:val="-4"/>
          <w:sz w:val="18"/>
        </w:rPr>
        <w:t xml:space="preserve"> </w:t>
      </w:r>
      <w:r>
        <w:rPr>
          <w:sz w:val="18"/>
        </w:rPr>
        <w:t>parte,</w:t>
      </w:r>
      <w:r>
        <w:rPr>
          <w:spacing w:val="-6"/>
          <w:sz w:val="18"/>
        </w:rPr>
        <w:t xml:space="preserve"> </w:t>
      </w:r>
      <w:r>
        <w:rPr>
          <w:sz w:val="18"/>
        </w:rPr>
        <w:t>los</w:t>
      </w:r>
      <w:r>
        <w:rPr>
          <w:spacing w:val="-6"/>
          <w:sz w:val="18"/>
        </w:rPr>
        <w:t xml:space="preserve"> </w:t>
      </w:r>
      <w:r>
        <w:rPr>
          <w:sz w:val="18"/>
        </w:rPr>
        <w:t>representantes</w:t>
      </w:r>
      <w:r>
        <w:rPr>
          <w:spacing w:val="-5"/>
          <w:sz w:val="18"/>
        </w:rPr>
        <w:t xml:space="preserve"> </w:t>
      </w:r>
      <w:r>
        <w:rPr>
          <w:sz w:val="18"/>
        </w:rPr>
        <w:t>alegaron</w:t>
      </w:r>
      <w:r>
        <w:rPr>
          <w:spacing w:val="-4"/>
          <w:sz w:val="18"/>
        </w:rPr>
        <w:t xml:space="preserve"> </w:t>
      </w:r>
      <w:r>
        <w:rPr>
          <w:sz w:val="18"/>
        </w:rPr>
        <w:t>que</w:t>
      </w:r>
      <w:r>
        <w:rPr>
          <w:spacing w:val="-5"/>
          <w:sz w:val="18"/>
        </w:rPr>
        <w:t xml:space="preserve"> </w:t>
      </w:r>
      <w:r>
        <w:rPr>
          <w:sz w:val="18"/>
        </w:rPr>
        <w:t>no</w:t>
      </w:r>
      <w:r>
        <w:rPr>
          <w:spacing w:val="-5"/>
          <w:sz w:val="18"/>
        </w:rPr>
        <w:t xml:space="preserve"> </w:t>
      </w:r>
      <w:r>
        <w:rPr>
          <w:sz w:val="18"/>
        </w:rPr>
        <w:t>había</w:t>
      </w:r>
      <w:r>
        <w:rPr>
          <w:spacing w:val="-5"/>
          <w:sz w:val="18"/>
        </w:rPr>
        <w:t xml:space="preserve"> </w:t>
      </w:r>
      <w:r>
        <w:rPr>
          <w:sz w:val="18"/>
        </w:rPr>
        <w:t>reseñas de familiares en la lista original, por ello la especial importancia de considerar la rectificación de la lista e</w:t>
      </w:r>
      <w:r>
        <w:rPr>
          <w:sz w:val="18"/>
        </w:rPr>
        <w:t xml:space="preserve"> incluir a las hermanas de Carla Reis dos Santos. Sin embargo, la Corte no encontró en el expediente prueba alguna que evidencie la afectación de sus derechos, por esa razón, no se considerarán afectados sus derechos a la integridad personal.</w:t>
      </w:r>
    </w:p>
    <w:p w14:paraId="35EA149D" w14:textId="77777777" w:rsidR="00467FCA" w:rsidRDefault="00467FCA">
      <w:pPr>
        <w:pStyle w:val="Textoindependiente"/>
        <w:spacing w:before="7"/>
        <w:rPr>
          <w:sz w:val="29"/>
        </w:rPr>
      </w:pPr>
    </w:p>
    <w:p w14:paraId="70259D4E" w14:textId="77777777" w:rsidR="00467FCA" w:rsidRDefault="001B68EB">
      <w:pPr>
        <w:pStyle w:val="Prrafodelista"/>
        <w:numPr>
          <w:ilvl w:val="1"/>
          <w:numId w:val="38"/>
        </w:numPr>
        <w:tabs>
          <w:tab w:val="left" w:pos="1292"/>
        </w:tabs>
        <w:ind w:right="114" w:hanging="692"/>
        <w:jc w:val="both"/>
        <w:rPr>
          <w:sz w:val="18"/>
        </w:rPr>
      </w:pPr>
      <w:r>
        <w:rPr>
          <w:sz w:val="18"/>
        </w:rPr>
        <w:t>Cristiane Fe</w:t>
      </w:r>
      <w:r>
        <w:rPr>
          <w:sz w:val="18"/>
        </w:rPr>
        <w:t>rreira de Jesus, Dailane dos Santos Souza, Geneis dos Santos Souza, Marlene Ferreira de Jesus, Zuleide de Jesus Souza, Lourival Ferreira de Jesus y Samuel dos</w:t>
      </w:r>
      <w:r>
        <w:rPr>
          <w:spacing w:val="-44"/>
          <w:sz w:val="18"/>
        </w:rPr>
        <w:t xml:space="preserve"> </w:t>
      </w:r>
      <w:r>
        <w:rPr>
          <w:sz w:val="18"/>
        </w:rPr>
        <w:t>Santos Souza fueron identificados como presuntas víctimas por la Comisión y por los representante</w:t>
      </w:r>
      <w:r>
        <w:rPr>
          <w:sz w:val="18"/>
        </w:rPr>
        <w:t>s, por ser hermanas y hermanos de Girlene dos Santos Souza. El Estado alegó que no se acreditó en concreto la afectación a sus derechos por esa razón. Sin embargo, la Corte encuentra que la Comisión también presentó a Cristiane Ferreira de Jesus Dailane do</w:t>
      </w:r>
      <w:r>
        <w:rPr>
          <w:sz w:val="18"/>
        </w:rPr>
        <w:t>s Santos Souza, Geneis dos Santos Souza, Marlene Ferreira de Jesus, Zuleide de Jesus Souza, Lourival Ferreira de Jesus y Samuel dos Santos Souza como presuntas</w:t>
      </w:r>
      <w:r>
        <w:rPr>
          <w:spacing w:val="-8"/>
          <w:sz w:val="18"/>
        </w:rPr>
        <w:t xml:space="preserve"> </w:t>
      </w:r>
      <w:r>
        <w:rPr>
          <w:sz w:val="18"/>
        </w:rPr>
        <w:t>víctimas</w:t>
      </w:r>
      <w:r>
        <w:rPr>
          <w:spacing w:val="-7"/>
          <w:sz w:val="18"/>
        </w:rPr>
        <w:t xml:space="preserve"> </w:t>
      </w:r>
      <w:r>
        <w:rPr>
          <w:sz w:val="18"/>
        </w:rPr>
        <w:t>en</w:t>
      </w:r>
      <w:r>
        <w:rPr>
          <w:spacing w:val="-6"/>
          <w:sz w:val="18"/>
        </w:rPr>
        <w:t xml:space="preserve"> </w:t>
      </w:r>
      <w:r>
        <w:rPr>
          <w:sz w:val="18"/>
        </w:rPr>
        <w:t>su</w:t>
      </w:r>
      <w:r>
        <w:rPr>
          <w:spacing w:val="-6"/>
          <w:sz w:val="18"/>
        </w:rPr>
        <w:t xml:space="preserve"> </w:t>
      </w:r>
      <w:r>
        <w:rPr>
          <w:sz w:val="18"/>
        </w:rPr>
        <w:t>calidad</w:t>
      </w:r>
      <w:r>
        <w:rPr>
          <w:spacing w:val="-6"/>
          <w:sz w:val="18"/>
        </w:rPr>
        <w:t xml:space="preserve"> </w:t>
      </w:r>
      <w:r>
        <w:rPr>
          <w:sz w:val="18"/>
        </w:rPr>
        <w:t>de</w:t>
      </w:r>
      <w:r>
        <w:rPr>
          <w:spacing w:val="-6"/>
          <w:sz w:val="18"/>
        </w:rPr>
        <w:t xml:space="preserve"> </w:t>
      </w:r>
      <w:r>
        <w:rPr>
          <w:sz w:val="18"/>
        </w:rPr>
        <w:t>hijas</w:t>
      </w:r>
      <w:r>
        <w:rPr>
          <w:spacing w:val="-7"/>
          <w:sz w:val="18"/>
        </w:rPr>
        <w:t xml:space="preserve"> </w:t>
      </w:r>
      <w:r>
        <w:rPr>
          <w:sz w:val="18"/>
        </w:rPr>
        <w:t>e</w:t>
      </w:r>
      <w:r>
        <w:rPr>
          <w:spacing w:val="-7"/>
          <w:sz w:val="18"/>
        </w:rPr>
        <w:t xml:space="preserve"> </w:t>
      </w:r>
      <w:r>
        <w:rPr>
          <w:sz w:val="18"/>
        </w:rPr>
        <w:t>hijos</w:t>
      </w:r>
      <w:r>
        <w:rPr>
          <w:spacing w:val="-7"/>
          <w:sz w:val="18"/>
        </w:rPr>
        <w:t xml:space="preserve"> </w:t>
      </w:r>
      <w:r>
        <w:rPr>
          <w:sz w:val="18"/>
        </w:rPr>
        <w:t>de</w:t>
      </w:r>
      <w:r>
        <w:rPr>
          <w:spacing w:val="-6"/>
          <w:sz w:val="18"/>
        </w:rPr>
        <w:t xml:space="preserve"> </w:t>
      </w:r>
      <w:r>
        <w:rPr>
          <w:sz w:val="18"/>
        </w:rPr>
        <w:t>Maria</w:t>
      </w:r>
      <w:r>
        <w:rPr>
          <w:spacing w:val="-7"/>
          <w:sz w:val="18"/>
        </w:rPr>
        <w:t xml:space="preserve"> </w:t>
      </w:r>
      <w:r>
        <w:rPr>
          <w:sz w:val="18"/>
        </w:rPr>
        <w:t>Antonia</w:t>
      </w:r>
      <w:r>
        <w:rPr>
          <w:spacing w:val="-7"/>
          <w:sz w:val="18"/>
        </w:rPr>
        <w:t xml:space="preserve"> </w:t>
      </w:r>
      <w:r>
        <w:rPr>
          <w:sz w:val="18"/>
        </w:rPr>
        <w:t>de</w:t>
      </w:r>
      <w:r>
        <w:rPr>
          <w:spacing w:val="-7"/>
          <w:sz w:val="18"/>
        </w:rPr>
        <w:t xml:space="preserve"> </w:t>
      </w:r>
      <w:r>
        <w:rPr>
          <w:sz w:val="18"/>
        </w:rPr>
        <w:t>Jesus</w:t>
      </w:r>
      <w:r>
        <w:rPr>
          <w:spacing w:val="-8"/>
          <w:sz w:val="18"/>
        </w:rPr>
        <w:t xml:space="preserve"> </w:t>
      </w:r>
      <w:r>
        <w:rPr>
          <w:sz w:val="18"/>
        </w:rPr>
        <w:t>y</w:t>
      </w:r>
      <w:r>
        <w:rPr>
          <w:spacing w:val="-8"/>
          <w:sz w:val="18"/>
        </w:rPr>
        <w:t xml:space="preserve"> </w:t>
      </w:r>
      <w:r>
        <w:rPr>
          <w:sz w:val="18"/>
        </w:rPr>
        <w:t>que</w:t>
      </w:r>
      <w:r>
        <w:rPr>
          <w:spacing w:val="-6"/>
          <w:sz w:val="18"/>
        </w:rPr>
        <w:t xml:space="preserve"> </w:t>
      </w:r>
      <w:r>
        <w:rPr>
          <w:sz w:val="18"/>
        </w:rPr>
        <w:t>el</w:t>
      </w:r>
      <w:r>
        <w:rPr>
          <w:spacing w:val="-6"/>
          <w:sz w:val="18"/>
        </w:rPr>
        <w:t xml:space="preserve"> </w:t>
      </w:r>
      <w:r>
        <w:rPr>
          <w:sz w:val="18"/>
        </w:rPr>
        <w:t>Estado no objetó la existencia de una afectación a sus derechos por esta razón. En esa medida, serán consideradas víctimas de la vulneración del derecho a la integridad</w:t>
      </w:r>
      <w:r>
        <w:rPr>
          <w:spacing w:val="-22"/>
          <w:sz w:val="18"/>
        </w:rPr>
        <w:t xml:space="preserve"> </w:t>
      </w:r>
      <w:r>
        <w:rPr>
          <w:sz w:val="18"/>
        </w:rPr>
        <w:t>personal.</w:t>
      </w:r>
    </w:p>
    <w:p w14:paraId="6E10A41B" w14:textId="77777777" w:rsidR="00467FCA" w:rsidRDefault="00467FCA">
      <w:pPr>
        <w:pStyle w:val="Textoindependiente"/>
        <w:spacing w:before="8"/>
        <w:rPr>
          <w:sz w:val="29"/>
        </w:rPr>
      </w:pPr>
    </w:p>
    <w:p w14:paraId="0F7499DF" w14:textId="77777777" w:rsidR="00467FCA" w:rsidRDefault="001B68EB">
      <w:pPr>
        <w:pStyle w:val="Prrafodelista"/>
        <w:numPr>
          <w:ilvl w:val="1"/>
          <w:numId w:val="38"/>
        </w:numPr>
        <w:tabs>
          <w:tab w:val="left" w:pos="1292"/>
        </w:tabs>
        <w:ind w:right="114" w:hanging="737"/>
        <w:jc w:val="both"/>
        <w:rPr>
          <w:sz w:val="18"/>
        </w:rPr>
      </w:pPr>
      <w:r>
        <w:rPr>
          <w:sz w:val="18"/>
        </w:rPr>
        <w:t xml:space="preserve">Guilhermino Cerqueira dos Santos fue identificado como presunta víctima por </w:t>
      </w:r>
      <w:r>
        <w:rPr>
          <w:sz w:val="18"/>
        </w:rPr>
        <w:t>los representantes, por ser familiar de Carla Alexandra Cerqueira Santos, Daniela Cerqueira Reis y Matilde Cerqueira Santos. El Estado alegó que no se acreditó en concreto la afectación a sus derechos. La Corte no encontró en el expediente prueba alguna qu</w:t>
      </w:r>
      <w:r>
        <w:rPr>
          <w:sz w:val="18"/>
        </w:rPr>
        <w:t>e evidencie</w:t>
      </w:r>
      <w:r>
        <w:rPr>
          <w:spacing w:val="-8"/>
          <w:sz w:val="18"/>
        </w:rPr>
        <w:t xml:space="preserve"> </w:t>
      </w:r>
      <w:r>
        <w:rPr>
          <w:sz w:val="18"/>
        </w:rPr>
        <w:t>la</w:t>
      </w:r>
      <w:r>
        <w:rPr>
          <w:spacing w:val="-8"/>
          <w:sz w:val="18"/>
        </w:rPr>
        <w:t xml:space="preserve"> </w:t>
      </w:r>
      <w:r>
        <w:rPr>
          <w:sz w:val="18"/>
        </w:rPr>
        <w:t>afectación</w:t>
      </w:r>
      <w:r>
        <w:rPr>
          <w:spacing w:val="-7"/>
          <w:sz w:val="18"/>
        </w:rPr>
        <w:t xml:space="preserve"> </w:t>
      </w:r>
      <w:r>
        <w:rPr>
          <w:sz w:val="18"/>
        </w:rPr>
        <w:t>de</w:t>
      </w:r>
      <w:r>
        <w:rPr>
          <w:spacing w:val="-10"/>
          <w:sz w:val="18"/>
        </w:rPr>
        <w:t xml:space="preserve"> </w:t>
      </w:r>
      <w:r>
        <w:rPr>
          <w:sz w:val="18"/>
        </w:rPr>
        <w:t>sus</w:t>
      </w:r>
      <w:r>
        <w:rPr>
          <w:spacing w:val="-9"/>
          <w:sz w:val="18"/>
        </w:rPr>
        <w:t xml:space="preserve"> </w:t>
      </w:r>
      <w:r>
        <w:rPr>
          <w:sz w:val="18"/>
        </w:rPr>
        <w:t>derechos,</w:t>
      </w:r>
      <w:r>
        <w:rPr>
          <w:spacing w:val="-9"/>
          <w:sz w:val="18"/>
        </w:rPr>
        <w:t xml:space="preserve"> </w:t>
      </w:r>
      <w:r>
        <w:rPr>
          <w:sz w:val="18"/>
        </w:rPr>
        <w:t>por</w:t>
      </w:r>
      <w:r>
        <w:rPr>
          <w:spacing w:val="-8"/>
          <w:sz w:val="18"/>
        </w:rPr>
        <w:t xml:space="preserve"> </w:t>
      </w:r>
      <w:r>
        <w:rPr>
          <w:sz w:val="18"/>
        </w:rPr>
        <w:t>esa</w:t>
      </w:r>
      <w:r>
        <w:rPr>
          <w:spacing w:val="-8"/>
          <w:sz w:val="18"/>
        </w:rPr>
        <w:t xml:space="preserve"> </w:t>
      </w:r>
      <w:r>
        <w:rPr>
          <w:sz w:val="18"/>
        </w:rPr>
        <w:t>razón,</w:t>
      </w:r>
      <w:r>
        <w:rPr>
          <w:spacing w:val="-10"/>
          <w:sz w:val="18"/>
        </w:rPr>
        <w:t xml:space="preserve"> </w:t>
      </w:r>
      <w:r>
        <w:rPr>
          <w:sz w:val="18"/>
        </w:rPr>
        <w:t>no</w:t>
      </w:r>
      <w:r>
        <w:rPr>
          <w:spacing w:val="-7"/>
          <w:sz w:val="18"/>
        </w:rPr>
        <w:t xml:space="preserve"> </w:t>
      </w:r>
      <w:r>
        <w:rPr>
          <w:sz w:val="18"/>
        </w:rPr>
        <w:t>se</w:t>
      </w:r>
      <w:r>
        <w:rPr>
          <w:spacing w:val="-7"/>
          <w:sz w:val="18"/>
        </w:rPr>
        <w:t xml:space="preserve"> </w:t>
      </w:r>
      <w:r>
        <w:rPr>
          <w:sz w:val="18"/>
        </w:rPr>
        <w:t>considerarán</w:t>
      </w:r>
      <w:r>
        <w:rPr>
          <w:spacing w:val="-8"/>
          <w:sz w:val="18"/>
        </w:rPr>
        <w:t xml:space="preserve"> </w:t>
      </w:r>
      <w:r>
        <w:rPr>
          <w:sz w:val="18"/>
        </w:rPr>
        <w:t>vulnerados.</w:t>
      </w:r>
      <w:r>
        <w:rPr>
          <w:spacing w:val="-9"/>
          <w:sz w:val="18"/>
        </w:rPr>
        <w:t xml:space="preserve"> </w:t>
      </w:r>
      <w:r>
        <w:rPr>
          <w:sz w:val="18"/>
        </w:rPr>
        <w:t>Por otra</w:t>
      </w:r>
      <w:r>
        <w:rPr>
          <w:spacing w:val="6"/>
          <w:sz w:val="18"/>
        </w:rPr>
        <w:t xml:space="preserve"> </w:t>
      </w:r>
      <w:r>
        <w:rPr>
          <w:sz w:val="18"/>
        </w:rPr>
        <w:t>parte,</w:t>
      </w:r>
      <w:r>
        <w:rPr>
          <w:spacing w:val="7"/>
          <w:sz w:val="18"/>
        </w:rPr>
        <w:t xml:space="preserve"> </w:t>
      </w:r>
      <w:r>
        <w:rPr>
          <w:sz w:val="18"/>
        </w:rPr>
        <w:t>los</w:t>
      </w:r>
      <w:r>
        <w:rPr>
          <w:spacing w:val="6"/>
          <w:sz w:val="18"/>
        </w:rPr>
        <w:t xml:space="preserve"> </w:t>
      </w:r>
      <w:r>
        <w:rPr>
          <w:sz w:val="18"/>
        </w:rPr>
        <w:t>representantes,</w:t>
      </w:r>
      <w:r>
        <w:rPr>
          <w:spacing w:val="7"/>
          <w:sz w:val="18"/>
        </w:rPr>
        <w:t xml:space="preserve"> </w:t>
      </w:r>
      <w:r>
        <w:rPr>
          <w:sz w:val="18"/>
        </w:rPr>
        <w:t>en</w:t>
      </w:r>
      <w:r>
        <w:rPr>
          <w:spacing w:val="8"/>
          <w:sz w:val="18"/>
        </w:rPr>
        <w:t xml:space="preserve"> </w:t>
      </w:r>
      <w:r>
        <w:rPr>
          <w:sz w:val="18"/>
        </w:rPr>
        <w:t>sus</w:t>
      </w:r>
      <w:r>
        <w:rPr>
          <w:spacing w:val="6"/>
          <w:sz w:val="18"/>
        </w:rPr>
        <w:t xml:space="preserve"> </w:t>
      </w:r>
      <w:r>
        <w:rPr>
          <w:sz w:val="18"/>
        </w:rPr>
        <w:t>alegatos</w:t>
      </w:r>
      <w:r>
        <w:rPr>
          <w:spacing w:val="7"/>
          <w:sz w:val="18"/>
        </w:rPr>
        <w:t xml:space="preserve"> </w:t>
      </w:r>
      <w:r>
        <w:rPr>
          <w:sz w:val="18"/>
        </w:rPr>
        <w:t>finales,</w:t>
      </w:r>
      <w:r>
        <w:rPr>
          <w:spacing w:val="6"/>
          <w:sz w:val="18"/>
        </w:rPr>
        <w:t xml:space="preserve"> </w:t>
      </w:r>
      <w:r>
        <w:rPr>
          <w:sz w:val="18"/>
        </w:rPr>
        <w:t>indicaron</w:t>
      </w:r>
      <w:r>
        <w:rPr>
          <w:spacing w:val="9"/>
          <w:sz w:val="18"/>
        </w:rPr>
        <w:t xml:space="preserve"> </w:t>
      </w:r>
      <w:r>
        <w:rPr>
          <w:sz w:val="18"/>
        </w:rPr>
        <w:t>que,</w:t>
      </w:r>
      <w:r>
        <w:rPr>
          <w:spacing w:val="6"/>
          <w:sz w:val="18"/>
        </w:rPr>
        <w:t xml:space="preserve"> </w:t>
      </w:r>
      <w:r>
        <w:rPr>
          <w:sz w:val="18"/>
        </w:rPr>
        <w:t>si</w:t>
      </w:r>
      <w:r>
        <w:rPr>
          <w:spacing w:val="8"/>
          <w:sz w:val="18"/>
        </w:rPr>
        <w:t xml:space="preserve"> </w:t>
      </w:r>
      <w:r>
        <w:rPr>
          <w:sz w:val="18"/>
        </w:rPr>
        <w:t>bien</w:t>
      </w:r>
      <w:r>
        <w:rPr>
          <w:spacing w:val="5"/>
          <w:sz w:val="18"/>
        </w:rPr>
        <w:t xml:space="preserve"> </w:t>
      </w:r>
      <w:r>
        <w:rPr>
          <w:sz w:val="18"/>
        </w:rPr>
        <w:t>se</w:t>
      </w:r>
      <w:r>
        <w:rPr>
          <w:spacing w:val="8"/>
          <w:sz w:val="18"/>
        </w:rPr>
        <w:t xml:space="preserve"> </w:t>
      </w:r>
      <w:r>
        <w:rPr>
          <w:sz w:val="18"/>
        </w:rPr>
        <w:t>trata</w:t>
      </w:r>
      <w:r>
        <w:rPr>
          <w:spacing w:val="6"/>
          <w:sz w:val="18"/>
        </w:rPr>
        <w:t xml:space="preserve"> </w:t>
      </w:r>
      <w:r>
        <w:rPr>
          <w:sz w:val="18"/>
        </w:rPr>
        <w:t>del</w:t>
      </w:r>
    </w:p>
    <w:p w14:paraId="073FAF72" w14:textId="77777777" w:rsidR="00467FCA" w:rsidRDefault="001B68EB">
      <w:pPr>
        <w:pStyle w:val="Textoindependiente"/>
        <w:spacing w:before="3"/>
        <w:rPr>
          <w:sz w:val="15"/>
        </w:rPr>
      </w:pPr>
      <w:r>
        <w:pict w14:anchorId="77876D7C">
          <v:shape id="_x0000_s1130" style="position:absolute;margin-left:1in;margin-top:11.55pt;width:2in;height:.1pt;z-index:-251590656;mso-wrap-distance-left:0;mso-wrap-distance-right:0;mso-position-horizontal-relative:page" coordorigin="1440,231" coordsize="2880,0" path="m1440,231r2880,e" filled="f" strokeweight=".6pt">
            <v:path arrowok="t"/>
            <w10:wrap type="topAndBottom" anchorx="page"/>
          </v:shape>
        </w:pict>
      </w:r>
    </w:p>
    <w:p w14:paraId="313A5B11" w14:textId="77777777" w:rsidR="00467FCA" w:rsidRDefault="001B68EB">
      <w:pPr>
        <w:spacing w:before="74"/>
        <w:ind w:left="120"/>
        <w:rPr>
          <w:sz w:val="16"/>
        </w:rPr>
      </w:pPr>
      <w:r>
        <w:rPr>
          <w:sz w:val="16"/>
        </w:rPr>
        <w:t>Admisibilidad y Fondo de la Comisión; expediente de prueba, folio 45).</w:t>
      </w:r>
    </w:p>
    <w:p w14:paraId="26C46CED" w14:textId="77777777" w:rsidR="00467FCA" w:rsidRDefault="00467FCA">
      <w:pPr>
        <w:rPr>
          <w:sz w:val="16"/>
        </w:rPr>
        <w:sectPr w:rsidR="00467FCA">
          <w:pgSz w:w="12240" w:h="15840"/>
          <w:pgMar w:top="1500" w:right="1320" w:bottom="1220" w:left="1320" w:header="0" w:footer="957" w:gutter="0"/>
          <w:cols w:space="720"/>
        </w:sectPr>
      </w:pPr>
    </w:p>
    <w:p w14:paraId="58937A17" w14:textId="77777777" w:rsidR="00467FCA" w:rsidRDefault="001B68EB">
      <w:pPr>
        <w:spacing w:before="79"/>
        <w:ind w:left="1291" w:right="114"/>
        <w:jc w:val="both"/>
        <w:rPr>
          <w:sz w:val="18"/>
        </w:rPr>
      </w:pPr>
      <w:r>
        <w:rPr>
          <w:sz w:val="18"/>
        </w:rPr>
        <w:t>hermano de Carla Alexandra Cerqueira Santos, el listado original de presuntas víctimas incluía los nombres de los padres de la presunta víctima: Bernardo Bispo dos Santos y Maria</w:t>
      </w:r>
      <w:r>
        <w:rPr>
          <w:spacing w:val="-8"/>
          <w:sz w:val="18"/>
        </w:rPr>
        <w:t xml:space="preserve"> </w:t>
      </w:r>
      <w:r>
        <w:rPr>
          <w:sz w:val="18"/>
        </w:rPr>
        <w:t>Nascimento</w:t>
      </w:r>
      <w:r>
        <w:rPr>
          <w:spacing w:val="-6"/>
          <w:sz w:val="18"/>
        </w:rPr>
        <w:t xml:space="preserve"> </w:t>
      </w:r>
      <w:r>
        <w:rPr>
          <w:sz w:val="18"/>
        </w:rPr>
        <w:t>Cerqueira</w:t>
      </w:r>
      <w:r>
        <w:rPr>
          <w:spacing w:val="-8"/>
          <w:sz w:val="18"/>
        </w:rPr>
        <w:t xml:space="preserve"> </w:t>
      </w:r>
      <w:r>
        <w:rPr>
          <w:sz w:val="18"/>
        </w:rPr>
        <w:t>Santos,</w:t>
      </w:r>
      <w:r>
        <w:rPr>
          <w:spacing w:val="-8"/>
          <w:sz w:val="18"/>
        </w:rPr>
        <w:t xml:space="preserve"> </w:t>
      </w:r>
      <w:r>
        <w:rPr>
          <w:sz w:val="18"/>
        </w:rPr>
        <w:t>quienes</w:t>
      </w:r>
      <w:r>
        <w:rPr>
          <w:spacing w:val="-8"/>
          <w:sz w:val="18"/>
        </w:rPr>
        <w:t xml:space="preserve"> </w:t>
      </w:r>
      <w:r>
        <w:rPr>
          <w:sz w:val="18"/>
        </w:rPr>
        <w:t>fallecieron</w:t>
      </w:r>
      <w:r>
        <w:rPr>
          <w:spacing w:val="-6"/>
          <w:sz w:val="18"/>
        </w:rPr>
        <w:t xml:space="preserve"> </w:t>
      </w:r>
      <w:r>
        <w:rPr>
          <w:sz w:val="18"/>
        </w:rPr>
        <w:t>durante</w:t>
      </w:r>
      <w:r>
        <w:rPr>
          <w:spacing w:val="-7"/>
          <w:sz w:val="18"/>
        </w:rPr>
        <w:t xml:space="preserve"> </w:t>
      </w:r>
      <w:r>
        <w:rPr>
          <w:sz w:val="18"/>
        </w:rPr>
        <w:t>el</w:t>
      </w:r>
      <w:r>
        <w:rPr>
          <w:spacing w:val="-6"/>
          <w:sz w:val="18"/>
        </w:rPr>
        <w:t xml:space="preserve"> </w:t>
      </w:r>
      <w:r>
        <w:rPr>
          <w:sz w:val="18"/>
        </w:rPr>
        <w:t>trámite</w:t>
      </w:r>
      <w:r>
        <w:rPr>
          <w:spacing w:val="-7"/>
          <w:sz w:val="18"/>
        </w:rPr>
        <w:t xml:space="preserve"> </w:t>
      </w:r>
      <w:r>
        <w:rPr>
          <w:sz w:val="18"/>
        </w:rPr>
        <w:t>ante</w:t>
      </w:r>
      <w:r>
        <w:rPr>
          <w:spacing w:val="-9"/>
          <w:sz w:val="18"/>
        </w:rPr>
        <w:t xml:space="preserve"> </w:t>
      </w:r>
      <w:r>
        <w:rPr>
          <w:sz w:val="18"/>
        </w:rPr>
        <w:t>el</w:t>
      </w:r>
      <w:r>
        <w:rPr>
          <w:spacing w:val="-7"/>
          <w:sz w:val="18"/>
        </w:rPr>
        <w:t xml:space="preserve"> </w:t>
      </w:r>
      <w:r>
        <w:rPr>
          <w:sz w:val="18"/>
        </w:rPr>
        <w:t>S</w:t>
      </w:r>
      <w:r>
        <w:rPr>
          <w:sz w:val="18"/>
        </w:rPr>
        <w:t xml:space="preserve">istema Interamericano, por lo que la inclusión del hermano sería en la condición de sucesor </w:t>
      </w:r>
      <w:r>
        <w:rPr>
          <w:spacing w:val="-3"/>
          <w:sz w:val="18"/>
        </w:rPr>
        <w:t xml:space="preserve">de </w:t>
      </w:r>
      <w:r>
        <w:rPr>
          <w:sz w:val="18"/>
        </w:rPr>
        <w:t>aquellos. A juicio de la Corte, el alegato de los representantes no se refiere a la</w:t>
      </w:r>
      <w:r>
        <w:rPr>
          <w:spacing w:val="-44"/>
          <w:sz w:val="18"/>
        </w:rPr>
        <w:t xml:space="preserve"> </w:t>
      </w:r>
      <w:r>
        <w:rPr>
          <w:sz w:val="18"/>
        </w:rPr>
        <w:t>afectación a sus derechos. Sin embargo, lo anterior no obsta para que, en las</w:t>
      </w:r>
      <w:r>
        <w:rPr>
          <w:sz w:val="18"/>
        </w:rPr>
        <w:t xml:space="preserve"> instancias internas y conforme</w:t>
      </w:r>
      <w:r>
        <w:rPr>
          <w:spacing w:val="-4"/>
          <w:sz w:val="18"/>
        </w:rPr>
        <w:t xml:space="preserve"> </w:t>
      </w:r>
      <w:r>
        <w:rPr>
          <w:sz w:val="18"/>
        </w:rPr>
        <w:t>a</w:t>
      </w:r>
      <w:r>
        <w:rPr>
          <w:spacing w:val="-5"/>
          <w:sz w:val="18"/>
        </w:rPr>
        <w:t xml:space="preserve"> </w:t>
      </w:r>
      <w:r>
        <w:rPr>
          <w:sz w:val="18"/>
        </w:rPr>
        <w:t>la</w:t>
      </w:r>
      <w:r>
        <w:rPr>
          <w:spacing w:val="-5"/>
          <w:sz w:val="18"/>
        </w:rPr>
        <w:t xml:space="preserve"> </w:t>
      </w:r>
      <w:r>
        <w:rPr>
          <w:sz w:val="18"/>
        </w:rPr>
        <w:t>legislación</w:t>
      </w:r>
      <w:r>
        <w:rPr>
          <w:spacing w:val="-3"/>
          <w:sz w:val="18"/>
        </w:rPr>
        <w:t xml:space="preserve"> </w:t>
      </w:r>
      <w:r>
        <w:rPr>
          <w:sz w:val="18"/>
        </w:rPr>
        <w:t>brasilera,</w:t>
      </w:r>
      <w:r>
        <w:rPr>
          <w:spacing w:val="-5"/>
          <w:sz w:val="18"/>
        </w:rPr>
        <w:t xml:space="preserve"> </w:t>
      </w:r>
      <w:r>
        <w:rPr>
          <w:sz w:val="18"/>
        </w:rPr>
        <w:t>en</w:t>
      </w:r>
      <w:r>
        <w:rPr>
          <w:spacing w:val="-2"/>
          <w:sz w:val="18"/>
        </w:rPr>
        <w:t xml:space="preserve"> </w:t>
      </w:r>
      <w:r>
        <w:rPr>
          <w:sz w:val="18"/>
        </w:rPr>
        <w:t>el</w:t>
      </w:r>
      <w:r>
        <w:rPr>
          <w:spacing w:val="-4"/>
          <w:sz w:val="18"/>
        </w:rPr>
        <w:t xml:space="preserve"> </w:t>
      </w:r>
      <w:r>
        <w:rPr>
          <w:sz w:val="18"/>
        </w:rPr>
        <w:t>caso</w:t>
      </w:r>
      <w:r>
        <w:rPr>
          <w:spacing w:val="-4"/>
          <w:sz w:val="18"/>
        </w:rPr>
        <w:t xml:space="preserve"> </w:t>
      </w:r>
      <w:r>
        <w:rPr>
          <w:sz w:val="18"/>
        </w:rPr>
        <w:t>de</w:t>
      </w:r>
      <w:r>
        <w:rPr>
          <w:spacing w:val="-4"/>
          <w:sz w:val="18"/>
        </w:rPr>
        <w:t xml:space="preserve"> </w:t>
      </w:r>
      <w:r>
        <w:rPr>
          <w:sz w:val="18"/>
        </w:rPr>
        <w:t>que</w:t>
      </w:r>
      <w:r>
        <w:rPr>
          <w:spacing w:val="-2"/>
          <w:sz w:val="18"/>
        </w:rPr>
        <w:t xml:space="preserve"> </w:t>
      </w:r>
      <w:r>
        <w:rPr>
          <w:sz w:val="18"/>
        </w:rPr>
        <w:t>se</w:t>
      </w:r>
      <w:r>
        <w:rPr>
          <w:spacing w:val="-4"/>
          <w:sz w:val="18"/>
        </w:rPr>
        <w:t xml:space="preserve"> </w:t>
      </w:r>
      <w:r>
        <w:rPr>
          <w:sz w:val="18"/>
        </w:rPr>
        <w:t>determine</w:t>
      </w:r>
      <w:r>
        <w:rPr>
          <w:spacing w:val="-3"/>
          <w:sz w:val="18"/>
        </w:rPr>
        <w:t xml:space="preserve"> </w:t>
      </w:r>
      <w:r>
        <w:rPr>
          <w:sz w:val="18"/>
        </w:rPr>
        <w:t>que</w:t>
      </w:r>
      <w:r>
        <w:rPr>
          <w:spacing w:val="-4"/>
          <w:sz w:val="18"/>
        </w:rPr>
        <w:t xml:space="preserve"> </w:t>
      </w:r>
      <w:r>
        <w:rPr>
          <w:sz w:val="18"/>
        </w:rPr>
        <w:t>hubo</w:t>
      </w:r>
      <w:r>
        <w:rPr>
          <w:spacing w:val="-4"/>
          <w:sz w:val="18"/>
        </w:rPr>
        <w:t xml:space="preserve"> </w:t>
      </w:r>
      <w:r>
        <w:rPr>
          <w:sz w:val="18"/>
        </w:rPr>
        <w:t>una</w:t>
      </w:r>
      <w:r>
        <w:rPr>
          <w:spacing w:val="-5"/>
          <w:sz w:val="18"/>
        </w:rPr>
        <w:t xml:space="preserve"> </w:t>
      </w:r>
      <w:r>
        <w:rPr>
          <w:sz w:val="18"/>
        </w:rPr>
        <w:t>violación a los derechos de Carla Alexandra Cerqueira Santos, Bernardo Bispo dos Santos y Maria Nascimento Cerqueira Santos, Guilhermino Cerqueira dos S</w:t>
      </w:r>
      <w:r>
        <w:rPr>
          <w:sz w:val="18"/>
        </w:rPr>
        <w:t>antos pueda acceder a lo que corresponda, en su calidad de derechohabiente, en los términos de los párrafos 297 y</w:t>
      </w:r>
      <w:r>
        <w:rPr>
          <w:spacing w:val="-45"/>
          <w:sz w:val="18"/>
        </w:rPr>
        <w:t xml:space="preserve"> </w:t>
      </w:r>
      <w:r>
        <w:rPr>
          <w:sz w:val="18"/>
        </w:rPr>
        <w:t>304 de esta</w:t>
      </w:r>
      <w:r>
        <w:rPr>
          <w:spacing w:val="-3"/>
          <w:sz w:val="18"/>
        </w:rPr>
        <w:t xml:space="preserve"> </w:t>
      </w:r>
      <w:r>
        <w:rPr>
          <w:sz w:val="18"/>
        </w:rPr>
        <w:t>sentencia.</w:t>
      </w:r>
    </w:p>
    <w:p w14:paraId="2CBFB4D3" w14:textId="77777777" w:rsidR="00467FCA" w:rsidRDefault="00467FCA">
      <w:pPr>
        <w:pStyle w:val="Textoindependiente"/>
      </w:pPr>
    </w:p>
    <w:p w14:paraId="5188CEC7" w14:textId="77777777" w:rsidR="00467FCA" w:rsidRDefault="001B68EB">
      <w:pPr>
        <w:pStyle w:val="Prrafodelista"/>
        <w:numPr>
          <w:ilvl w:val="1"/>
          <w:numId w:val="38"/>
        </w:numPr>
        <w:tabs>
          <w:tab w:val="left" w:pos="1292"/>
        </w:tabs>
        <w:ind w:right="115" w:hanging="648"/>
        <w:jc w:val="both"/>
        <w:rPr>
          <w:sz w:val="18"/>
        </w:rPr>
      </w:pPr>
      <w:r>
        <w:rPr>
          <w:sz w:val="18"/>
        </w:rPr>
        <w:t>Lucinete dos Santos Ribeiro, Marimar dos Santos Ribeiro y Marlene dos Santos Ribeiro fueron</w:t>
      </w:r>
      <w:r>
        <w:rPr>
          <w:spacing w:val="-13"/>
          <w:sz w:val="18"/>
        </w:rPr>
        <w:t xml:space="preserve"> </w:t>
      </w:r>
      <w:r>
        <w:rPr>
          <w:sz w:val="18"/>
        </w:rPr>
        <w:t>identificadas</w:t>
      </w:r>
      <w:r>
        <w:rPr>
          <w:spacing w:val="-15"/>
          <w:sz w:val="18"/>
        </w:rPr>
        <w:t xml:space="preserve"> </w:t>
      </w:r>
      <w:r>
        <w:rPr>
          <w:sz w:val="18"/>
        </w:rPr>
        <w:t>como</w:t>
      </w:r>
      <w:r>
        <w:rPr>
          <w:spacing w:val="-13"/>
          <w:sz w:val="18"/>
        </w:rPr>
        <w:t xml:space="preserve"> </w:t>
      </w:r>
      <w:r>
        <w:rPr>
          <w:sz w:val="18"/>
        </w:rPr>
        <w:t>presuntas</w:t>
      </w:r>
      <w:r>
        <w:rPr>
          <w:spacing w:val="-14"/>
          <w:sz w:val="18"/>
        </w:rPr>
        <w:t xml:space="preserve"> </w:t>
      </w:r>
      <w:r>
        <w:rPr>
          <w:sz w:val="18"/>
        </w:rPr>
        <w:t>víctimas</w:t>
      </w:r>
      <w:r>
        <w:rPr>
          <w:spacing w:val="-15"/>
          <w:sz w:val="18"/>
        </w:rPr>
        <w:t xml:space="preserve"> </w:t>
      </w:r>
      <w:r>
        <w:rPr>
          <w:sz w:val="18"/>
        </w:rPr>
        <w:t>por</w:t>
      </w:r>
      <w:r>
        <w:rPr>
          <w:spacing w:val="-14"/>
          <w:sz w:val="18"/>
        </w:rPr>
        <w:t xml:space="preserve"> </w:t>
      </w:r>
      <w:r>
        <w:rPr>
          <w:sz w:val="18"/>
        </w:rPr>
        <w:t>la</w:t>
      </w:r>
      <w:r>
        <w:rPr>
          <w:spacing w:val="-13"/>
          <w:sz w:val="18"/>
        </w:rPr>
        <w:t xml:space="preserve"> </w:t>
      </w:r>
      <w:r>
        <w:rPr>
          <w:sz w:val="18"/>
        </w:rPr>
        <w:t>Comisión,</w:t>
      </w:r>
      <w:r>
        <w:rPr>
          <w:spacing w:val="-15"/>
          <w:sz w:val="18"/>
        </w:rPr>
        <w:t xml:space="preserve"> </w:t>
      </w:r>
      <w:r>
        <w:rPr>
          <w:sz w:val="18"/>
        </w:rPr>
        <w:t>por</w:t>
      </w:r>
      <w:r>
        <w:rPr>
          <w:spacing w:val="-14"/>
          <w:sz w:val="18"/>
        </w:rPr>
        <w:t xml:space="preserve"> </w:t>
      </w:r>
      <w:r>
        <w:rPr>
          <w:sz w:val="18"/>
        </w:rPr>
        <w:t>ser</w:t>
      </w:r>
      <w:r>
        <w:rPr>
          <w:spacing w:val="-14"/>
          <w:sz w:val="18"/>
        </w:rPr>
        <w:t xml:space="preserve"> </w:t>
      </w:r>
      <w:r>
        <w:rPr>
          <w:sz w:val="18"/>
        </w:rPr>
        <w:t>hermanas</w:t>
      </w:r>
      <w:r>
        <w:rPr>
          <w:spacing w:val="-16"/>
          <w:sz w:val="18"/>
        </w:rPr>
        <w:t xml:space="preserve"> </w:t>
      </w:r>
      <w:r>
        <w:rPr>
          <w:sz w:val="18"/>
        </w:rPr>
        <w:t>de</w:t>
      </w:r>
      <w:r>
        <w:rPr>
          <w:spacing w:val="-14"/>
          <w:sz w:val="18"/>
        </w:rPr>
        <w:t xml:space="preserve"> </w:t>
      </w:r>
      <w:r>
        <w:rPr>
          <w:sz w:val="18"/>
        </w:rPr>
        <w:t xml:space="preserve">Luciene dos Santos Ribeiro. El Estado alegó que no se acreditó en concreto la afectación a sus derechos. Sin embargo, la Corte encuentra que la Comisión también presentó a Lucinete dos Santos Ribeiro </w:t>
      </w:r>
      <w:r>
        <w:rPr>
          <w:sz w:val="18"/>
        </w:rPr>
        <w:t>Marimar dos Santos Ribeiro y Marlene dos Santos Ribeiro como presuntas víctimas en su calidad de hijas de Luzia dos Santos Ribeiro, y que el Estado no objetó</w:t>
      </w:r>
      <w:r>
        <w:rPr>
          <w:spacing w:val="-8"/>
          <w:sz w:val="18"/>
        </w:rPr>
        <w:t xml:space="preserve"> </w:t>
      </w:r>
      <w:r>
        <w:rPr>
          <w:sz w:val="18"/>
        </w:rPr>
        <w:t>la</w:t>
      </w:r>
      <w:r>
        <w:rPr>
          <w:spacing w:val="-9"/>
          <w:sz w:val="18"/>
        </w:rPr>
        <w:t xml:space="preserve"> </w:t>
      </w:r>
      <w:r>
        <w:rPr>
          <w:sz w:val="18"/>
        </w:rPr>
        <w:t>existencia</w:t>
      </w:r>
      <w:r>
        <w:rPr>
          <w:spacing w:val="-9"/>
          <w:sz w:val="18"/>
        </w:rPr>
        <w:t xml:space="preserve"> </w:t>
      </w:r>
      <w:r>
        <w:rPr>
          <w:sz w:val="18"/>
        </w:rPr>
        <w:t>de</w:t>
      </w:r>
      <w:r>
        <w:rPr>
          <w:spacing w:val="-9"/>
          <w:sz w:val="18"/>
        </w:rPr>
        <w:t xml:space="preserve"> </w:t>
      </w:r>
      <w:r>
        <w:rPr>
          <w:sz w:val="18"/>
        </w:rPr>
        <w:t>una</w:t>
      </w:r>
      <w:r>
        <w:rPr>
          <w:spacing w:val="-11"/>
          <w:sz w:val="18"/>
        </w:rPr>
        <w:t xml:space="preserve"> </w:t>
      </w:r>
      <w:r>
        <w:rPr>
          <w:sz w:val="18"/>
        </w:rPr>
        <w:t>afectación</w:t>
      </w:r>
      <w:r>
        <w:rPr>
          <w:spacing w:val="-7"/>
          <w:sz w:val="18"/>
        </w:rPr>
        <w:t xml:space="preserve"> </w:t>
      </w:r>
      <w:r>
        <w:rPr>
          <w:sz w:val="18"/>
        </w:rPr>
        <w:t>a</w:t>
      </w:r>
      <w:r>
        <w:rPr>
          <w:spacing w:val="-10"/>
          <w:sz w:val="18"/>
        </w:rPr>
        <w:t xml:space="preserve"> </w:t>
      </w:r>
      <w:r>
        <w:rPr>
          <w:sz w:val="18"/>
        </w:rPr>
        <w:t>sus</w:t>
      </w:r>
      <w:r>
        <w:rPr>
          <w:spacing w:val="-9"/>
          <w:sz w:val="18"/>
        </w:rPr>
        <w:t xml:space="preserve"> </w:t>
      </w:r>
      <w:r>
        <w:rPr>
          <w:sz w:val="18"/>
        </w:rPr>
        <w:t>derechos</w:t>
      </w:r>
      <w:r>
        <w:rPr>
          <w:spacing w:val="-9"/>
          <w:sz w:val="18"/>
        </w:rPr>
        <w:t xml:space="preserve"> </w:t>
      </w:r>
      <w:r>
        <w:rPr>
          <w:sz w:val="18"/>
        </w:rPr>
        <w:t>por</w:t>
      </w:r>
      <w:r>
        <w:rPr>
          <w:spacing w:val="-10"/>
          <w:sz w:val="18"/>
        </w:rPr>
        <w:t xml:space="preserve"> </w:t>
      </w:r>
      <w:r>
        <w:rPr>
          <w:sz w:val="18"/>
        </w:rPr>
        <w:t>esta</w:t>
      </w:r>
      <w:r>
        <w:rPr>
          <w:spacing w:val="-9"/>
          <w:sz w:val="18"/>
        </w:rPr>
        <w:t xml:space="preserve"> </w:t>
      </w:r>
      <w:r>
        <w:rPr>
          <w:sz w:val="18"/>
        </w:rPr>
        <w:t>razón.</w:t>
      </w:r>
      <w:r>
        <w:rPr>
          <w:spacing w:val="-9"/>
          <w:sz w:val="18"/>
        </w:rPr>
        <w:t xml:space="preserve"> </w:t>
      </w:r>
      <w:r>
        <w:rPr>
          <w:sz w:val="18"/>
        </w:rPr>
        <w:t>En</w:t>
      </w:r>
      <w:r>
        <w:rPr>
          <w:spacing w:val="-8"/>
          <w:sz w:val="18"/>
        </w:rPr>
        <w:t xml:space="preserve"> </w:t>
      </w:r>
      <w:r>
        <w:rPr>
          <w:sz w:val="18"/>
        </w:rPr>
        <w:t>esa</w:t>
      </w:r>
      <w:r>
        <w:rPr>
          <w:spacing w:val="-9"/>
          <w:sz w:val="18"/>
        </w:rPr>
        <w:t xml:space="preserve"> </w:t>
      </w:r>
      <w:r>
        <w:rPr>
          <w:sz w:val="18"/>
        </w:rPr>
        <w:t>medida,</w:t>
      </w:r>
      <w:r>
        <w:rPr>
          <w:spacing w:val="-9"/>
          <w:sz w:val="18"/>
        </w:rPr>
        <w:t xml:space="preserve"> </w:t>
      </w:r>
      <w:r>
        <w:rPr>
          <w:sz w:val="18"/>
        </w:rPr>
        <w:t>serán consideradas v</w:t>
      </w:r>
      <w:r>
        <w:rPr>
          <w:sz w:val="18"/>
        </w:rPr>
        <w:t>íctimas de la vulneración del derecho a la integridad</w:t>
      </w:r>
      <w:r>
        <w:rPr>
          <w:spacing w:val="-17"/>
          <w:sz w:val="18"/>
        </w:rPr>
        <w:t xml:space="preserve"> </w:t>
      </w:r>
      <w:r>
        <w:rPr>
          <w:sz w:val="18"/>
        </w:rPr>
        <w:t>personal.</w:t>
      </w:r>
    </w:p>
    <w:p w14:paraId="0871971E" w14:textId="77777777" w:rsidR="00467FCA" w:rsidRDefault="00467FCA">
      <w:pPr>
        <w:pStyle w:val="Textoindependiente"/>
        <w:spacing w:before="7"/>
        <w:rPr>
          <w:sz w:val="29"/>
        </w:rPr>
      </w:pPr>
    </w:p>
    <w:p w14:paraId="08BEFFD1" w14:textId="77777777" w:rsidR="00467FCA" w:rsidRDefault="001B68EB">
      <w:pPr>
        <w:pStyle w:val="Prrafodelista"/>
        <w:numPr>
          <w:ilvl w:val="1"/>
          <w:numId w:val="38"/>
        </w:numPr>
        <w:tabs>
          <w:tab w:val="left" w:pos="1292"/>
        </w:tabs>
        <w:ind w:right="114" w:hanging="605"/>
        <w:jc w:val="both"/>
        <w:rPr>
          <w:sz w:val="18"/>
        </w:rPr>
      </w:pPr>
      <w:r>
        <w:rPr>
          <w:sz w:val="18"/>
        </w:rPr>
        <w:t>Luís</w:t>
      </w:r>
      <w:r>
        <w:rPr>
          <w:spacing w:val="-11"/>
          <w:sz w:val="18"/>
        </w:rPr>
        <w:t xml:space="preserve"> </w:t>
      </w:r>
      <w:r>
        <w:rPr>
          <w:sz w:val="18"/>
        </w:rPr>
        <w:t>Fernando</w:t>
      </w:r>
      <w:r>
        <w:rPr>
          <w:spacing w:val="-8"/>
          <w:sz w:val="18"/>
        </w:rPr>
        <w:t xml:space="preserve"> </w:t>
      </w:r>
      <w:r>
        <w:rPr>
          <w:sz w:val="18"/>
        </w:rPr>
        <w:t>Santos</w:t>
      </w:r>
      <w:r>
        <w:rPr>
          <w:spacing w:val="-11"/>
          <w:sz w:val="18"/>
        </w:rPr>
        <w:t xml:space="preserve"> </w:t>
      </w:r>
      <w:r>
        <w:rPr>
          <w:sz w:val="18"/>
        </w:rPr>
        <w:t>Costa</w:t>
      </w:r>
      <w:r>
        <w:rPr>
          <w:spacing w:val="-10"/>
          <w:sz w:val="18"/>
        </w:rPr>
        <w:t xml:space="preserve"> </w:t>
      </w:r>
      <w:r>
        <w:rPr>
          <w:sz w:val="18"/>
        </w:rPr>
        <w:t>fue</w:t>
      </w:r>
      <w:r>
        <w:rPr>
          <w:spacing w:val="-9"/>
          <w:sz w:val="18"/>
        </w:rPr>
        <w:t xml:space="preserve"> </w:t>
      </w:r>
      <w:r>
        <w:rPr>
          <w:sz w:val="18"/>
        </w:rPr>
        <w:t>identificado</w:t>
      </w:r>
      <w:r>
        <w:rPr>
          <w:spacing w:val="-9"/>
          <w:sz w:val="18"/>
        </w:rPr>
        <w:t xml:space="preserve"> </w:t>
      </w:r>
      <w:r>
        <w:rPr>
          <w:sz w:val="18"/>
        </w:rPr>
        <w:t>como</w:t>
      </w:r>
      <w:r>
        <w:rPr>
          <w:spacing w:val="-8"/>
          <w:sz w:val="18"/>
        </w:rPr>
        <w:t xml:space="preserve"> </w:t>
      </w:r>
      <w:r>
        <w:rPr>
          <w:sz w:val="18"/>
        </w:rPr>
        <w:t>presunta</w:t>
      </w:r>
      <w:r>
        <w:rPr>
          <w:spacing w:val="-10"/>
          <w:sz w:val="18"/>
        </w:rPr>
        <w:t xml:space="preserve"> </w:t>
      </w:r>
      <w:r>
        <w:rPr>
          <w:sz w:val="18"/>
        </w:rPr>
        <w:t>víctima</w:t>
      </w:r>
      <w:r>
        <w:rPr>
          <w:spacing w:val="-11"/>
          <w:sz w:val="18"/>
        </w:rPr>
        <w:t xml:space="preserve"> </w:t>
      </w:r>
      <w:r>
        <w:rPr>
          <w:sz w:val="18"/>
        </w:rPr>
        <w:t>por</w:t>
      </w:r>
      <w:r>
        <w:rPr>
          <w:spacing w:val="-10"/>
          <w:sz w:val="18"/>
        </w:rPr>
        <w:t xml:space="preserve"> </w:t>
      </w:r>
      <w:r>
        <w:rPr>
          <w:sz w:val="18"/>
        </w:rPr>
        <w:t>los</w:t>
      </w:r>
      <w:r>
        <w:rPr>
          <w:spacing w:val="-10"/>
          <w:sz w:val="18"/>
        </w:rPr>
        <w:t xml:space="preserve"> </w:t>
      </w:r>
      <w:r>
        <w:rPr>
          <w:sz w:val="18"/>
        </w:rPr>
        <w:t>representantes, por ser hermano de Alex Santos Costa y Mairla Santos Costa. El Estado alegó que no se acreditó</w:t>
      </w:r>
      <w:r>
        <w:rPr>
          <w:spacing w:val="-7"/>
          <w:sz w:val="18"/>
        </w:rPr>
        <w:t xml:space="preserve"> </w:t>
      </w:r>
      <w:r>
        <w:rPr>
          <w:sz w:val="18"/>
        </w:rPr>
        <w:t>en</w:t>
      </w:r>
      <w:r>
        <w:rPr>
          <w:spacing w:val="-7"/>
          <w:sz w:val="18"/>
        </w:rPr>
        <w:t xml:space="preserve"> </w:t>
      </w:r>
      <w:r>
        <w:rPr>
          <w:sz w:val="18"/>
        </w:rPr>
        <w:t>concreto</w:t>
      </w:r>
      <w:r>
        <w:rPr>
          <w:spacing w:val="-8"/>
          <w:sz w:val="18"/>
        </w:rPr>
        <w:t xml:space="preserve"> </w:t>
      </w:r>
      <w:r>
        <w:rPr>
          <w:sz w:val="18"/>
        </w:rPr>
        <w:t>la</w:t>
      </w:r>
      <w:r>
        <w:rPr>
          <w:spacing w:val="-8"/>
          <w:sz w:val="18"/>
        </w:rPr>
        <w:t xml:space="preserve"> </w:t>
      </w:r>
      <w:r>
        <w:rPr>
          <w:sz w:val="18"/>
        </w:rPr>
        <w:t>afectación</w:t>
      </w:r>
      <w:r>
        <w:rPr>
          <w:spacing w:val="-6"/>
          <w:sz w:val="18"/>
        </w:rPr>
        <w:t xml:space="preserve"> </w:t>
      </w:r>
      <w:r>
        <w:rPr>
          <w:sz w:val="18"/>
        </w:rPr>
        <w:t>a</w:t>
      </w:r>
      <w:r>
        <w:rPr>
          <w:spacing w:val="-8"/>
          <w:sz w:val="18"/>
        </w:rPr>
        <w:t xml:space="preserve"> </w:t>
      </w:r>
      <w:r>
        <w:rPr>
          <w:sz w:val="18"/>
        </w:rPr>
        <w:t>sus</w:t>
      </w:r>
      <w:r>
        <w:rPr>
          <w:spacing w:val="-8"/>
          <w:sz w:val="18"/>
        </w:rPr>
        <w:t xml:space="preserve"> </w:t>
      </w:r>
      <w:r>
        <w:rPr>
          <w:sz w:val="18"/>
        </w:rPr>
        <w:t>derechos.</w:t>
      </w:r>
      <w:r>
        <w:rPr>
          <w:spacing w:val="-8"/>
          <w:sz w:val="18"/>
        </w:rPr>
        <w:t xml:space="preserve"> </w:t>
      </w:r>
      <w:r>
        <w:rPr>
          <w:sz w:val="18"/>
        </w:rPr>
        <w:t>Sin</w:t>
      </w:r>
      <w:r>
        <w:rPr>
          <w:spacing w:val="-9"/>
          <w:sz w:val="18"/>
        </w:rPr>
        <w:t xml:space="preserve"> </w:t>
      </w:r>
      <w:r>
        <w:rPr>
          <w:sz w:val="18"/>
        </w:rPr>
        <w:t>embargo,</w:t>
      </w:r>
      <w:r>
        <w:rPr>
          <w:spacing w:val="-8"/>
          <w:sz w:val="18"/>
        </w:rPr>
        <w:t xml:space="preserve"> </w:t>
      </w:r>
      <w:r>
        <w:rPr>
          <w:sz w:val="18"/>
        </w:rPr>
        <w:t>la</w:t>
      </w:r>
      <w:r>
        <w:rPr>
          <w:spacing w:val="-8"/>
          <w:sz w:val="18"/>
        </w:rPr>
        <w:t xml:space="preserve"> </w:t>
      </w:r>
      <w:r>
        <w:rPr>
          <w:sz w:val="18"/>
        </w:rPr>
        <w:t>Corte</w:t>
      </w:r>
      <w:r>
        <w:rPr>
          <w:spacing w:val="-6"/>
          <w:sz w:val="18"/>
        </w:rPr>
        <w:t xml:space="preserve"> </w:t>
      </w:r>
      <w:r>
        <w:rPr>
          <w:sz w:val="18"/>
        </w:rPr>
        <w:t>encuentra</w:t>
      </w:r>
      <w:r>
        <w:rPr>
          <w:spacing w:val="-8"/>
          <w:sz w:val="18"/>
        </w:rPr>
        <w:t xml:space="preserve"> </w:t>
      </w:r>
      <w:r>
        <w:rPr>
          <w:sz w:val="18"/>
        </w:rPr>
        <w:t>que</w:t>
      </w:r>
      <w:r>
        <w:rPr>
          <w:spacing w:val="-9"/>
          <w:sz w:val="18"/>
        </w:rPr>
        <w:t xml:space="preserve"> </w:t>
      </w:r>
      <w:r>
        <w:rPr>
          <w:sz w:val="18"/>
        </w:rPr>
        <w:t>los representantes también presentaron a Luís Fernando Santos Costa</w:t>
      </w:r>
      <w:r>
        <w:rPr>
          <w:sz w:val="18"/>
        </w:rPr>
        <w:t xml:space="preserve"> como presunta</w:t>
      </w:r>
      <w:r>
        <w:rPr>
          <w:spacing w:val="-35"/>
          <w:sz w:val="18"/>
        </w:rPr>
        <w:t xml:space="preserve"> </w:t>
      </w:r>
      <w:r>
        <w:rPr>
          <w:sz w:val="18"/>
        </w:rPr>
        <w:t>víctima en su calidad de hijo de Maria Aparecida de Jesus Santos y que el Estado no objetó la existencia de una afectación a sus derechos por esta razón. En esa medida, será considerado víctima de la vulneración del derecho a la integridad</w:t>
      </w:r>
      <w:r>
        <w:rPr>
          <w:spacing w:val="-16"/>
          <w:sz w:val="18"/>
        </w:rPr>
        <w:t xml:space="preserve"> </w:t>
      </w:r>
      <w:r>
        <w:rPr>
          <w:sz w:val="18"/>
        </w:rPr>
        <w:t>p</w:t>
      </w:r>
      <w:r>
        <w:rPr>
          <w:sz w:val="18"/>
        </w:rPr>
        <w:t>ersonal.</w:t>
      </w:r>
    </w:p>
    <w:p w14:paraId="2268A4F5" w14:textId="77777777" w:rsidR="00467FCA" w:rsidRDefault="00467FCA">
      <w:pPr>
        <w:pStyle w:val="Textoindependiente"/>
        <w:spacing w:before="7"/>
        <w:rPr>
          <w:sz w:val="29"/>
        </w:rPr>
      </w:pPr>
    </w:p>
    <w:p w14:paraId="238D0F0A" w14:textId="77777777" w:rsidR="00467FCA" w:rsidRDefault="001B68EB">
      <w:pPr>
        <w:pStyle w:val="Prrafodelista"/>
        <w:numPr>
          <w:ilvl w:val="1"/>
          <w:numId w:val="38"/>
        </w:numPr>
        <w:tabs>
          <w:tab w:val="left" w:pos="1292"/>
        </w:tabs>
        <w:ind w:right="114" w:hanging="648"/>
        <w:jc w:val="both"/>
        <w:rPr>
          <w:sz w:val="18"/>
        </w:rPr>
      </w:pPr>
      <w:r>
        <w:rPr>
          <w:sz w:val="18"/>
        </w:rPr>
        <w:t>Maria Joelma de Jesus Santos fue identificada como presunta víctima por la Comisión, por ser hermana de Maria Joelia de Jesus Santos. El Estado alegó que no se acreditó en concreto la afectación a sus derechos por esa razón. Al respecto, la Corte</w:t>
      </w:r>
      <w:r>
        <w:rPr>
          <w:sz w:val="18"/>
        </w:rPr>
        <w:t xml:space="preserve"> encuentra que Maria Joelma de Jesus Santos es una de las trabajadoras de la fábrica de fuegos que sobrevivió a la explosión, de modo que está probada la afectación a su derecho a la integridad personal como consecuencia directa de la explosión, según se d</w:t>
      </w:r>
      <w:r>
        <w:rPr>
          <w:sz w:val="18"/>
        </w:rPr>
        <w:t>emostró en el capítulo VIII-1 de esta sentencia. Además, la Comisión presentó a la señora Maria Joelma de</w:t>
      </w:r>
      <w:r>
        <w:rPr>
          <w:spacing w:val="-10"/>
          <w:sz w:val="18"/>
        </w:rPr>
        <w:t xml:space="preserve"> </w:t>
      </w:r>
      <w:r>
        <w:rPr>
          <w:sz w:val="18"/>
        </w:rPr>
        <w:t>Jesus</w:t>
      </w:r>
      <w:r>
        <w:rPr>
          <w:spacing w:val="-10"/>
          <w:sz w:val="18"/>
        </w:rPr>
        <w:t xml:space="preserve"> </w:t>
      </w:r>
      <w:r>
        <w:rPr>
          <w:sz w:val="18"/>
        </w:rPr>
        <w:t>Santos</w:t>
      </w:r>
      <w:r>
        <w:rPr>
          <w:spacing w:val="-10"/>
          <w:sz w:val="18"/>
        </w:rPr>
        <w:t xml:space="preserve"> </w:t>
      </w:r>
      <w:r>
        <w:rPr>
          <w:sz w:val="18"/>
        </w:rPr>
        <w:t>como</w:t>
      </w:r>
      <w:r>
        <w:rPr>
          <w:spacing w:val="-8"/>
          <w:sz w:val="18"/>
        </w:rPr>
        <w:t xml:space="preserve"> </w:t>
      </w:r>
      <w:r>
        <w:rPr>
          <w:sz w:val="18"/>
        </w:rPr>
        <w:t>presunta</w:t>
      </w:r>
      <w:r>
        <w:rPr>
          <w:spacing w:val="-10"/>
          <w:sz w:val="18"/>
        </w:rPr>
        <w:t xml:space="preserve"> </w:t>
      </w:r>
      <w:r>
        <w:rPr>
          <w:sz w:val="18"/>
        </w:rPr>
        <w:t>víctima</w:t>
      </w:r>
      <w:r>
        <w:rPr>
          <w:spacing w:val="-10"/>
          <w:sz w:val="18"/>
        </w:rPr>
        <w:t xml:space="preserve"> </w:t>
      </w:r>
      <w:r>
        <w:rPr>
          <w:sz w:val="18"/>
        </w:rPr>
        <w:t>en</w:t>
      </w:r>
      <w:r>
        <w:rPr>
          <w:spacing w:val="-8"/>
          <w:sz w:val="18"/>
        </w:rPr>
        <w:t xml:space="preserve"> </w:t>
      </w:r>
      <w:r>
        <w:rPr>
          <w:sz w:val="18"/>
        </w:rPr>
        <w:t>su</w:t>
      </w:r>
      <w:r>
        <w:rPr>
          <w:spacing w:val="-8"/>
          <w:sz w:val="18"/>
        </w:rPr>
        <w:t xml:space="preserve"> </w:t>
      </w:r>
      <w:r>
        <w:rPr>
          <w:sz w:val="18"/>
        </w:rPr>
        <w:t>calidad</w:t>
      </w:r>
      <w:r>
        <w:rPr>
          <w:spacing w:val="-11"/>
          <w:sz w:val="18"/>
        </w:rPr>
        <w:t xml:space="preserve"> </w:t>
      </w:r>
      <w:r>
        <w:rPr>
          <w:sz w:val="18"/>
        </w:rPr>
        <w:t>de</w:t>
      </w:r>
      <w:r>
        <w:rPr>
          <w:spacing w:val="-9"/>
          <w:sz w:val="18"/>
        </w:rPr>
        <w:t xml:space="preserve"> </w:t>
      </w:r>
      <w:r>
        <w:rPr>
          <w:sz w:val="18"/>
        </w:rPr>
        <w:t>hermana</w:t>
      </w:r>
      <w:r>
        <w:rPr>
          <w:spacing w:val="-10"/>
          <w:sz w:val="18"/>
        </w:rPr>
        <w:t xml:space="preserve"> </w:t>
      </w:r>
      <w:r>
        <w:rPr>
          <w:sz w:val="18"/>
        </w:rPr>
        <w:t>de</w:t>
      </w:r>
      <w:r>
        <w:rPr>
          <w:spacing w:val="-9"/>
          <w:sz w:val="18"/>
        </w:rPr>
        <w:t xml:space="preserve"> </w:t>
      </w:r>
      <w:r>
        <w:rPr>
          <w:sz w:val="18"/>
        </w:rPr>
        <w:t>Carla</w:t>
      </w:r>
      <w:r>
        <w:rPr>
          <w:spacing w:val="-10"/>
          <w:sz w:val="18"/>
        </w:rPr>
        <w:t xml:space="preserve"> </w:t>
      </w:r>
      <w:r>
        <w:rPr>
          <w:sz w:val="18"/>
        </w:rPr>
        <w:t>Reis</w:t>
      </w:r>
      <w:r>
        <w:rPr>
          <w:spacing w:val="-10"/>
          <w:sz w:val="18"/>
        </w:rPr>
        <w:t xml:space="preserve"> </w:t>
      </w:r>
      <w:r>
        <w:rPr>
          <w:sz w:val="18"/>
        </w:rPr>
        <w:t>dos</w:t>
      </w:r>
      <w:r>
        <w:rPr>
          <w:spacing w:val="-10"/>
          <w:sz w:val="18"/>
        </w:rPr>
        <w:t xml:space="preserve"> </w:t>
      </w:r>
      <w:r>
        <w:rPr>
          <w:sz w:val="18"/>
        </w:rPr>
        <w:t>Santos y el Estado no objetó la existencia de una afectación a sus derec</w:t>
      </w:r>
      <w:r>
        <w:rPr>
          <w:sz w:val="18"/>
        </w:rPr>
        <w:t>hos por esta razón. Por</w:t>
      </w:r>
      <w:r>
        <w:rPr>
          <w:spacing w:val="-36"/>
          <w:sz w:val="18"/>
        </w:rPr>
        <w:t xml:space="preserve"> </w:t>
      </w:r>
      <w:r>
        <w:rPr>
          <w:sz w:val="18"/>
        </w:rPr>
        <w:t>lo anterior, también será considerada víctima de la vulneración del derecho a la integridad personal por cuenta del sufrimiento padecido por su</w:t>
      </w:r>
      <w:r>
        <w:rPr>
          <w:spacing w:val="-7"/>
          <w:sz w:val="18"/>
        </w:rPr>
        <w:t xml:space="preserve"> </w:t>
      </w:r>
      <w:r>
        <w:rPr>
          <w:sz w:val="18"/>
        </w:rPr>
        <w:t>familiar.</w:t>
      </w:r>
    </w:p>
    <w:p w14:paraId="7586C9C5" w14:textId="77777777" w:rsidR="00467FCA" w:rsidRDefault="00467FCA">
      <w:pPr>
        <w:pStyle w:val="Textoindependiente"/>
        <w:spacing w:before="9"/>
        <w:rPr>
          <w:sz w:val="29"/>
        </w:rPr>
      </w:pPr>
    </w:p>
    <w:p w14:paraId="4EF79449" w14:textId="77777777" w:rsidR="00467FCA" w:rsidRDefault="001B68EB">
      <w:pPr>
        <w:pStyle w:val="Prrafodelista"/>
        <w:numPr>
          <w:ilvl w:val="1"/>
          <w:numId w:val="38"/>
        </w:numPr>
        <w:tabs>
          <w:tab w:val="left" w:pos="1292"/>
        </w:tabs>
        <w:ind w:right="115" w:hanging="692"/>
        <w:jc w:val="both"/>
        <w:rPr>
          <w:sz w:val="18"/>
        </w:rPr>
      </w:pPr>
      <w:r>
        <w:rPr>
          <w:sz w:val="18"/>
        </w:rPr>
        <w:t>Neuza Maria Machado fue identificada como presunta víctima por la Comisión, p</w:t>
      </w:r>
      <w:r>
        <w:rPr>
          <w:sz w:val="18"/>
        </w:rPr>
        <w:t>or ser hermana de Maria Creuza Machado dos Santos. El Estado alegó que no se acreditó en concreto</w:t>
      </w:r>
      <w:r>
        <w:rPr>
          <w:spacing w:val="-11"/>
          <w:sz w:val="18"/>
        </w:rPr>
        <w:t xml:space="preserve"> </w:t>
      </w:r>
      <w:r>
        <w:rPr>
          <w:sz w:val="18"/>
        </w:rPr>
        <w:t>la</w:t>
      </w:r>
      <w:r>
        <w:rPr>
          <w:spacing w:val="-11"/>
          <w:sz w:val="18"/>
        </w:rPr>
        <w:t xml:space="preserve"> </w:t>
      </w:r>
      <w:r>
        <w:rPr>
          <w:sz w:val="18"/>
        </w:rPr>
        <w:t>afectación</w:t>
      </w:r>
      <w:r>
        <w:rPr>
          <w:spacing w:val="-10"/>
          <w:sz w:val="18"/>
        </w:rPr>
        <w:t xml:space="preserve"> </w:t>
      </w:r>
      <w:r>
        <w:rPr>
          <w:sz w:val="18"/>
        </w:rPr>
        <w:t>a</w:t>
      </w:r>
      <w:r>
        <w:rPr>
          <w:spacing w:val="-11"/>
          <w:sz w:val="18"/>
        </w:rPr>
        <w:t xml:space="preserve"> </w:t>
      </w:r>
      <w:r>
        <w:rPr>
          <w:sz w:val="18"/>
        </w:rPr>
        <w:t>sus</w:t>
      </w:r>
      <w:r>
        <w:rPr>
          <w:spacing w:val="-11"/>
          <w:sz w:val="18"/>
        </w:rPr>
        <w:t xml:space="preserve"> </w:t>
      </w:r>
      <w:r>
        <w:rPr>
          <w:sz w:val="18"/>
        </w:rPr>
        <w:t>derechos</w:t>
      </w:r>
      <w:r>
        <w:rPr>
          <w:spacing w:val="-12"/>
          <w:sz w:val="18"/>
        </w:rPr>
        <w:t xml:space="preserve"> </w:t>
      </w:r>
      <w:r>
        <w:rPr>
          <w:sz w:val="18"/>
        </w:rPr>
        <w:t>por</w:t>
      </w:r>
      <w:r>
        <w:rPr>
          <w:spacing w:val="-11"/>
          <w:sz w:val="18"/>
        </w:rPr>
        <w:t xml:space="preserve"> </w:t>
      </w:r>
      <w:r>
        <w:rPr>
          <w:sz w:val="18"/>
        </w:rPr>
        <w:t>esa</w:t>
      </w:r>
      <w:r>
        <w:rPr>
          <w:spacing w:val="-11"/>
          <w:sz w:val="18"/>
        </w:rPr>
        <w:t xml:space="preserve"> </w:t>
      </w:r>
      <w:r>
        <w:rPr>
          <w:sz w:val="18"/>
        </w:rPr>
        <w:t>razón.</w:t>
      </w:r>
      <w:r>
        <w:rPr>
          <w:spacing w:val="-9"/>
          <w:sz w:val="18"/>
        </w:rPr>
        <w:t xml:space="preserve"> </w:t>
      </w:r>
      <w:r>
        <w:rPr>
          <w:sz w:val="18"/>
        </w:rPr>
        <w:t>La</w:t>
      </w:r>
      <w:r>
        <w:rPr>
          <w:spacing w:val="-11"/>
          <w:sz w:val="18"/>
        </w:rPr>
        <w:t xml:space="preserve"> </w:t>
      </w:r>
      <w:r>
        <w:rPr>
          <w:sz w:val="18"/>
        </w:rPr>
        <w:t>Corte</w:t>
      </w:r>
      <w:r>
        <w:rPr>
          <w:spacing w:val="-11"/>
          <w:sz w:val="18"/>
        </w:rPr>
        <w:t xml:space="preserve"> </w:t>
      </w:r>
      <w:r>
        <w:rPr>
          <w:sz w:val="18"/>
        </w:rPr>
        <w:t>encuentra</w:t>
      </w:r>
      <w:r>
        <w:rPr>
          <w:spacing w:val="-11"/>
          <w:sz w:val="18"/>
        </w:rPr>
        <w:t xml:space="preserve"> </w:t>
      </w:r>
      <w:r>
        <w:rPr>
          <w:sz w:val="18"/>
        </w:rPr>
        <w:t>que</w:t>
      </w:r>
      <w:r>
        <w:rPr>
          <w:spacing w:val="-10"/>
          <w:sz w:val="18"/>
        </w:rPr>
        <w:t xml:space="preserve"> </w:t>
      </w:r>
      <w:r>
        <w:rPr>
          <w:sz w:val="18"/>
        </w:rPr>
        <w:t>no</w:t>
      </w:r>
      <w:r>
        <w:rPr>
          <w:spacing w:val="-12"/>
          <w:sz w:val="18"/>
        </w:rPr>
        <w:t xml:space="preserve"> </w:t>
      </w:r>
      <w:r>
        <w:rPr>
          <w:sz w:val="18"/>
        </w:rPr>
        <w:t>hay</w:t>
      </w:r>
      <w:r>
        <w:rPr>
          <w:spacing w:val="-12"/>
          <w:sz w:val="18"/>
        </w:rPr>
        <w:t xml:space="preserve"> </w:t>
      </w:r>
      <w:r>
        <w:rPr>
          <w:sz w:val="18"/>
        </w:rPr>
        <w:t>prueba en el expediente de su afectación, por esa razón, no será considerada víctima de una violación al derecho a la integridad personal en este</w:t>
      </w:r>
      <w:r>
        <w:rPr>
          <w:spacing w:val="-8"/>
          <w:sz w:val="18"/>
        </w:rPr>
        <w:t xml:space="preserve"> </w:t>
      </w:r>
      <w:r>
        <w:rPr>
          <w:sz w:val="18"/>
        </w:rPr>
        <w:t>caso.</w:t>
      </w:r>
    </w:p>
    <w:p w14:paraId="0B0088F8" w14:textId="77777777" w:rsidR="00467FCA" w:rsidRDefault="00467FCA">
      <w:pPr>
        <w:pStyle w:val="Textoindependiente"/>
        <w:spacing w:before="8"/>
        <w:rPr>
          <w:sz w:val="29"/>
        </w:rPr>
      </w:pPr>
    </w:p>
    <w:p w14:paraId="2E933A68" w14:textId="77777777" w:rsidR="00467FCA" w:rsidRDefault="001B68EB">
      <w:pPr>
        <w:pStyle w:val="Prrafodelista"/>
        <w:numPr>
          <w:ilvl w:val="1"/>
          <w:numId w:val="38"/>
        </w:numPr>
        <w:tabs>
          <w:tab w:val="left" w:pos="1292"/>
        </w:tabs>
        <w:ind w:right="114" w:hanging="737"/>
        <w:jc w:val="both"/>
        <w:rPr>
          <w:sz w:val="18"/>
        </w:rPr>
      </w:pPr>
      <w:r>
        <w:rPr>
          <w:sz w:val="18"/>
        </w:rPr>
        <w:t>Roque</w:t>
      </w:r>
      <w:r>
        <w:rPr>
          <w:spacing w:val="-10"/>
          <w:sz w:val="18"/>
        </w:rPr>
        <w:t xml:space="preserve"> </w:t>
      </w:r>
      <w:r>
        <w:rPr>
          <w:sz w:val="18"/>
        </w:rPr>
        <w:t>Ribeiro</w:t>
      </w:r>
      <w:r>
        <w:rPr>
          <w:spacing w:val="-8"/>
          <w:sz w:val="18"/>
        </w:rPr>
        <w:t xml:space="preserve"> </w:t>
      </w:r>
      <w:r>
        <w:rPr>
          <w:sz w:val="18"/>
        </w:rPr>
        <w:t>da</w:t>
      </w:r>
      <w:r>
        <w:rPr>
          <w:spacing w:val="-10"/>
          <w:sz w:val="18"/>
        </w:rPr>
        <w:t xml:space="preserve"> </w:t>
      </w:r>
      <w:r>
        <w:rPr>
          <w:sz w:val="18"/>
        </w:rPr>
        <w:t>Conceição</w:t>
      </w:r>
      <w:r>
        <w:rPr>
          <w:spacing w:val="-9"/>
          <w:sz w:val="18"/>
        </w:rPr>
        <w:t xml:space="preserve"> </w:t>
      </w:r>
      <w:r>
        <w:rPr>
          <w:sz w:val="18"/>
        </w:rPr>
        <w:t>fue</w:t>
      </w:r>
      <w:r>
        <w:rPr>
          <w:spacing w:val="-9"/>
          <w:sz w:val="18"/>
        </w:rPr>
        <w:t xml:space="preserve"> </w:t>
      </w:r>
      <w:r>
        <w:rPr>
          <w:sz w:val="18"/>
        </w:rPr>
        <w:t>identificado</w:t>
      </w:r>
      <w:r>
        <w:rPr>
          <w:spacing w:val="-8"/>
          <w:sz w:val="18"/>
        </w:rPr>
        <w:t xml:space="preserve"> </w:t>
      </w:r>
      <w:r>
        <w:rPr>
          <w:sz w:val="18"/>
        </w:rPr>
        <w:t>como</w:t>
      </w:r>
      <w:r>
        <w:rPr>
          <w:spacing w:val="-9"/>
          <w:sz w:val="18"/>
        </w:rPr>
        <w:t xml:space="preserve"> </w:t>
      </w:r>
      <w:r>
        <w:rPr>
          <w:sz w:val="18"/>
        </w:rPr>
        <w:t>presunta</w:t>
      </w:r>
      <w:r>
        <w:rPr>
          <w:spacing w:val="-10"/>
          <w:sz w:val="18"/>
        </w:rPr>
        <w:t xml:space="preserve"> </w:t>
      </w:r>
      <w:r>
        <w:rPr>
          <w:sz w:val="18"/>
        </w:rPr>
        <w:t>víctima</w:t>
      </w:r>
      <w:r>
        <w:rPr>
          <w:spacing w:val="-10"/>
          <w:sz w:val="18"/>
        </w:rPr>
        <w:t xml:space="preserve"> </w:t>
      </w:r>
      <w:r>
        <w:rPr>
          <w:sz w:val="18"/>
        </w:rPr>
        <w:t>por</w:t>
      </w:r>
      <w:r>
        <w:rPr>
          <w:spacing w:val="-10"/>
          <w:sz w:val="18"/>
        </w:rPr>
        <w:t xml:space="preserve"> </w:t>
      </w:r>
      <w:r>
        <w:rPr>
          <w:sz w:val="18"/>
        </w:rPr>
        <w:t>los</w:t>
      </w:r>
      <w:r>
        <w:rPr>
          <w:spacing w:val="-11"/>
          <w:sz w:val="18"/>
        </w:rPr>
        <w:t xml:space="preserve"> </w:t>
      </w:r>
      <w:r>
        <w:rPr>
          <w:sz w:val="18"/>
        </w:rPr>
        <w:t>representantes, por</w:t>
      </w:r>
      <w:r>
        <w:rPr>
          <w:spacing w:val="-7"/>
          <w:sz w:val="18"/>
        </w:rPr>
        <w:t xml:space="preserve"> </w:t>
      </w:r>
      <w:r>
        <w:rPr>
          <w:sz w:val="18"/>
        </w:rPr>
        <w:t>ser</w:t>
      </w:r>
      <w:r>
        <w:rPr>
          <w:spacing w:val="-6"/>
          <w:sz w:val="18"/>
        </w:rPr>
        <w:t xml:space="preserve"> </w:t>
      </w:r>
      <w:r>
        <w:rPr>
          <w:sz w:val="18"/>
        </w:rPr>
        <w:t>herma</w:t>
      </w:r>
      <w:r>
        <w:rPr>
          <w:sz w:val="18"/>
        </w:rPr>
        <w:t>no</w:t>
      </w:r>
      <w:r>
        <w:rPr>
          <w:spacing w:val="-6"/>
          <w:sz w:val="18"/>
        </w:rPr>
        <w:t xml:space="preserve"> </w:t>
      </w:r>
      <w:r>
        <w:rPr>
          <w:sz w:val="18"/>
        </w:rPr>
        <w:t>de</w:t>
      </w:r>
      <w:r>
        <w:rPr>
          <w:spacing w:val="-5"/>
          <w:sz w:val="18"/>
        </w:rPr>
        <w:t xml:space="preserve"> </w:t>
      </w:r>
      <w:r>
        <w:rPr>
          <w:sz w:val="18"/>
        </w:rPr>
        <w:t>Daiane</w:t>
      </w:r>
      <w:r>
        <w:rPr>
          <w:spacing w:val="-6"/>
          <w:sz w:val="18"/>
        </w:rPr>
        <w:t xml:space="preserve"> </w:t>
      </w:r>
      <w:r>
        <w:rPr>
          <w:sz w:val="18"/>
        </w:rPr>
        <w:t>dos</w:t>
      </w:r>
      <w:r>
        <w:rPr>
          <w:spacing w:val="-6"/>
          <w:sz w:val="18"/>
        </w:rPr>
        <w:t xml:space="preserve"> </w:t>
      </w:r>
      <w:r>
        <w:rPr>
          <w:sz w:val="18"/>
        </w:rPr>
        <w:t>Santos</w:t>
      </w:r>
      <w:r>
        <w:rPr>
          <w:spacing w:val="-7"/>
          <w:sz w:val="18"/>
        </w:rPr>
        <w:t xml:space="preserve"> </w:t>
      </w:r>
      <w:r>
        <w:rPr>
          <w:sz w:val="18"/>
        </w:rPr>
        <w:t>Conceição.</w:t>
      </w:r>
      <w:r>
        <w:rPr>
          <w:spacing w:val="-7"/>
          <w:sz w:val="18"/>
        </w:rPr>
        <w:t xml:space="preserve"> </w:t>
      </w:r>
      <w:r>
        <w:rPr>
          <w:sz w:val="18"/>
        </w:rPr>
        <w:t>Al</w:t>
      </w:r>
      <w:r>
        <w:rPr>
          <w:spacing w:val="-6"/>
          <w:sz w:val="18"/>
        </w:rPr>
        <w:t xml:space="preserve"> </w:t>
      </w:r>
      <w:r>
        <w:rPr>
          <w:sz w:val="18"/>
        </w:rPr>
        <w:t>respecto,</w:t>
      </w:r>
      <w:r>
        <w:rPr>
          <w:spacing w:val="-7"/>
          <w:sz w:val="18"/>
        </w:rPr>
        <w:t xml:space="preserve"> </w:t>
      </w:r>
      <w:r>
        <w:rPr>
          <w:sz w:val="18"/>
        </w:rPr>
        <w:t>la</w:t>
      </w:r>
      <w:r>
        <w:rPr>
          <w:spacing w:val="-7"/>
          <w:sz w:val="18"/>
        </w:rPr>
        <w:t xml:space="preserve"> </w:t>
      </w:r>
      <w:r>
        <w:rPr>
          <w:sz w:val="18"/>
        </w:rPr>
        <w:t>Corte</w:t>
      </w:r>
      <w:r>
        <w:rPr>
          <w:spacing w:val="-5"/>
          <w:sz w:val="18"/>
        </w:rPr>
        <w:t xml:space="preserve"> </w:t>
      </w:r>
      <w:r>
        <w:rPr>
          <w:sz w:val="18"/>
        </w:rPr>
        <w:t>encuentra</w:t>
      </w:r>
      <w:r>
        <w:rPr>
          <w:spacing w:val="-7"/>
          <w:sz w:val="18"/>
        </w:rPr>
        <w:t xml:space="preserve"> </w:t>
      </w:r>
      <w:r>
        <w:rPr>
          <w:sz w:val="18"/>
        </w:rPr>
        <w:t>que</w:t>
      </w:r>
      <w:r>
        <w:rPr>
          <w:spacing w:val="-5"/>
          <w:sz w:val="18"/>
        </w:rPr>
        <w:t xml:space="preserve"> </w:t>
      </w:r>
      <w:r>
        <w:rPr>
          <w:sz w:val="18"/>
        </w:rPr>
        <w:t>hay un</w:t>
      </w:r>
      <w:r>
        <w:rPr>
          <w:spacing w:val="-9"/>
          <w:sz w:val="18"/>
        </w:rPr>
        <w:t xml:space="preserve"> </w:t>
      </w:r>
      <w:r>
        <w:rPr>
          <w:sz w:val="18"/>
        </w:rPr>
        <w:t>error,</w:t>
      </w:r>
      <w:r>
        <w:rPr>
          <w:spacing w:val="-11"/>
          <w:sz w:val="18"/>
        </w:rPr>
        <w:t xml:space="preserve"> </w:t>
      </w:r>
      <w:r>
        <w:rPr>
          <w:sz w:val="18"/>
        </w:rPr>
        <w:t>pues</w:t>
      </w:r>
      <w:r>
        <w:rPr>
          <w:spacing w:val="-11"/>
          <w:sz w:val="18"/>
        </w:rPr>
        <w:t xml:space="preserve"> </w:t>
      </w:r>
      <w:r>
        <w:rPr>
          <w:sz w:val="18"/>
        </w:rPr>
        <w:t>el</w:t>
      </w:r>
      <w:r>
        <w:rPr>
          <w:spacing w:val="-9"/>
          <w:sz w:val="18"/>
        </w:rPr>
        <w:t xml:space="preserve"> </w:t>
      </w:r>
      <w:r>
        <w:rPr>
          <w:sz w:val="18"/>
        </w:rPr>
        <w:t>señor</w:t>
      </w:r>
      <w:r>
        <w:rPr>
          <w:spacing w:val="-11"/>
          <w:sz w:val="18"/>
        </w:rPr>
        <w:t xml:space="preserve"> </w:t>
      </w:r>
      <w:r>
        <w:rPr>
          <w:sz w:val="18"/>
        </w:rPr>
        <w:t>Roque</w:t>
      </w:r>
      <w:r>
        <w:rPr>
          <w:spacing w:val="-10"/>
          <w:sz w:val="18"/>
        </w:rPr>
        <w:t xml:space="preserve"> </w:t>
      </w:r>
      <w:r>
        <w:rPr>
          <w:sz w:val="18"/>
        </w:rPr>
        <w:t>Ribeiro</w:t>
      </w:r>
      <w:r>
        <w:rPr>
          <w:spacing w:val="-9"/>
          <w:sz w:val="18"/>
        </w:rPr>
        <w:t xml:space="preserve"> </w:t>
      </w:r>
      <w:r>
        <w:rPr>
          <w:sz w:val="18"/>
        </w:rPr>
        <w:t>da</w:t>
      </w:r>
      <w:r>
        <w:rPr>
          <w:spacing w:val="-11"/>
          <w:sz w:val="18"/>
        </w:rPr>
        <w:t xml:space="preserve"> </w:t>
      </w:r>
      <w:r>
        <w:rPr>
          <w:sz w:val="18"/>
        </w:rPr>
        <w:t>Conceição</w:t>
      </w:r>
      <w:r>
        <w:rPr>
          <w:spacing w:val="-9"/>
          <w:sz w:val="18"/>
        </w:rPr>
        <w:t xml:space="preserve"> </w:t>
      </w:r>
      <w:r>
        <w:rPr>
          <w:sz w:val="18"/>
        </w:rPr>
        <w:t>era</w:t>
      </w:r>
      <w:r>
        <w:rPr>
          <w:spacing w:val="-11"/>
          <w:sz w:val="18"/>
        </w:rPr>
        <w:t xml:space="preserve"> </w:t>
      </w:r>
      <w:r>
        <w:rPr>
          <w:sz w:val="18"/>
        </w:rPr>
        <w:t>el</w:t>
      </w:r>
      <w:r>
        <w:rPr>
          <w:spacing w:val="-9"/>
          <w:sz w:val="18"/>
        </w:rPr>
        <w:t xml:space="preserve"> </w:t>
      </w:r>
      <w:r>
        <w:rPr>
          <w:sz w:val="18"/>
        </w:rPr>
        <w:t>padre</w:t>
      </w:r>
      <w:r>
        <w:rPr>
          <w:spacing w:val="-10"/>
          <w:sz w:val="18"/>
        </w:rPr>
        <w:t xml:space="preserve"> </w:t>
      </w:r>
      <w:r>
        <w:rPr>
          <w:sz w:val="18"/>
        </w:rPr>
        <w:t>y</w:t>
      </w:r>
      <w:r>
        <w:rPr>
          <w:spacing w:val="-10"/>
          <w:sz w:val="18"/>
        </w:rPr>
        <w:t xml:space="preserve"> </w:t>
      </w:r>
      <w:r>
        <w:rPr>
          <w:sz w:val="18"/>
        </w:rPr>
        <w:t>no</w:t>
      </w:r>
      <w:r>
        <w:rPr>
          <w:spacing w:val="-12"/>
          <w:sz w:val="18"/>
        </w:rPr>
        <w:t xml:space="preserve"> </w:t>
      </w:r>
      <w:r>
        <w:rPr>
          <w:sz w:val="18"/>
        </w:rPr>
        <w:t>el</w:t>
      </w:r>
      <w:r>
        <w:rPr>
          <w:spacing w:val="-12"/>
          <w:sz w:val="18"/>
        </w:rPr>
        <w:t xml:space="preserve"> </w:t>
      </w:r>
      <w:r>
        <w:rPr>
          <w:sz w:val="18"/>
        </w:rPr>
        <w:t>hermano</w:t>
      </w:r>
      <w:r>
        <w:rPr>
          <w:spacing w:val="-12"/>
          <w:sz w:val="18"/>
        </w:rPr>
        <w:t xml:space="preserve"> </w:t>
      </w:r>
      <w:r>
        <w:rPr>
          <w:sz w:val="18"/>
        </w:rPr>
        <w:t>de</w:t>
      </w:r>
      <w:r>
        <w:rPr>
          <w:spacing w:val="-10"/>
          <w:sz w:val="18"/>
        </w:rPr>
        <w:t xml:space="preserve"> </w:t>
      </w:r>
      <w:r>
        <w:rPr>
          <w:sz w:val="18"/>
        </w:rPr>
        <w:t>Daiane dos</w:t>
      </w:r>
      <w:r>
        <w:rPr>
          <w:spacing w:val="-15"/>
          <w:sz w:val="18"/>
        </w:rPr>
        <w:t xml:space="preserve"> </w:t>
      </w:r>
      <w:r>
        <w:rPr>
          <w:sz w:val="18"/>
        </w:rPr>
        <w:t>Santos</w:t>
      </w:r>
      <w:r>
        <w:rPr>
          <w:spacing w:val="-14"/>
          <w:sz w:val="18"/>
        </w:rPr>
        <w:t xml:space="preserve"> </w:t>
      </w:r>
      <w:r>
        <w:rPr>
          <w:sz w:val="18"/>
        </w:rPr>
        <w:t>Conceição.</w:t>
      </w:r>
      <w:r>
        <w:rPr>
          <w:spacing w:val="-14"/>
          <w:sz w:val="18"/>
        </w:rPr>
        <w:t xml:space="preserve"> </w:t>
      </w:r>
      <w:r>
        <w:rPr>
          <w:sz w:val="18"/>
        </w:rPr>
        <w:t>Por</w:t>
      </w:r>
      <w:r>
        <w:rPr>
          <w:spacing w:val="-12"/>
          <w:sz w:val="18"/>
        </w:rPr>
        <w:t xml:space="preserve"> </w:t>
      </w:r>
      <w:r>
        <w:rPr>
          <w:sz w:val="18"/>
        </w:rPr>
        <w:t>otra</w:t>
      </w:r>
      <w:r>
        <w:rPr>
          <w:spacing w:val="-13"/>
          <w:sz w:val="18"/>
        </w:rPr>
        <w:t xml:space="preserve"> </w:t>
      </w:r>
      <w:r>
        <w:rPr>
          <w:sz w:val="18"/>
        </w:rPr>
        <w:t>parte,</w:t>
      </w:r>
      <w:r>
        <w:rPr>
          <w:spacing w:val="-14"/>
          <w:sz w:val="18"/>
        </w:rPr>
        <w:t xml:space="preserve"> </w:t>
      </w:r>
      <w:r>
        <w:rPr>
          <w:sz w:val="18"/>
        </w:rPr>
        <w:t>la</w:t>
      </w:r>
      <w:r>
        <w:rPr>
          <w:spacing w:val="-15"/>
          <w:sz w:val="18"/>
        </w:rPr>
        <w:t xml:space="preserve"> </w:t>
      </w:r>
      <w:r>
        <w:rPr>
          <w:sz w:val="18"/>
        </w:rPr>
        <w:t>Corte</w:t>
      </w:r>
      <w:r>
        <w:rPr>
          <w:spacing w:val="-13"/>
          <w:sz w:val="18"/>
        </w:rPr>
        <w:t xml:space="preserve"> </w:t>
      </w:r>
      <w:r>
        <w:rPr>
          <w:sz w:val="18"/>
        </w:rPr>
        <w:t>encuentra</w:t>
      </w:r>
      <w:r>
        <w:rPr>
          <w:spacing w:val="-13"/>
          <w:sz w:val="18"/>
        </w:rPr>
        <w:t xml:space="preserve"> </w:t>
      </w:r>
      <w:r>
        <w:rPr>
          <w:sz w:val="18"/>
        </w:rPr>
        <w:t>que</w:t>
      </w:r>
      <w:r>
        <w:rPr>
          <w:spacing w:val="-13"/>
          <w:sz w:val="18"/>
        </w:rPr>
        <w:t xml:space="preserve"> </w:t>
      </w:r>
      <w:r>
        <w:rPr>
          <w:sz w:val="18"/>
        </w:rPr>
        <w:t>la</w:t>
      </w:r>
      <w:r>
        <w:rPr>
          <w:spacing w:val="-15"/>
          <w:sz w:val="18"/>
        </w:rPr>
        <w:t xml:space="preserve"> </w:t>
      </w:r>
      <w:r>
        <w:rPr>
          <w:sz w:val="18"/>
        </w:rPr>
        <w:t>Comisión</w:t>
      </w:r>
      <w:r>
        <w:rPr>
          <w:spacing w:val="-12"/>
          <w:sz w:val="18"/>
        </w:rPr>
        <w:t xml:space="preserve"> </w:t>
      </w:r>
      <w:r>
        <w:rPr>
          <w:sz w:val="18"/>
        </w:rPr>
        <w:t>también</w:t>
      </w:r>
      <w:r>
        <w:rPr>
          <w:spacing w:val="-12"/>
          <w:sz w:val="18"/>
        </w:rPr>
        <w:t xml:space="preserve"> </w:t>
      </w:r>
      <w:r>
        <w:rPr>
          <w:sz w:val="18"/>
        </w:rPr>
        <w:t>presentó a Roque Ribeiro da Conceição como presunta víctima en su calidad de esposo de Antônia Cerqueira dos Santos, y que el Estado no objetó la existencia de una afectación a sus derechos por esta razón. En esa medida, será considerado víctima de la vuln</w:t>
      </w:r>
      <w:r>
        <w:rPr>
          <w:sz w:val="18"/>
        </w:rPr>
        <w:t>eración del derecho a la integridad personal. Además, la Corte encuentra que su afectación se encuentra probada, en la medida en que declaró y consta en el expediente prueba</w:t>
      </w:r>
      <w:r>
        <w:rPr>
          <w:spacing w:val="3"/>
          <w:sz w:val="18"/>
        </w:rPr>
        <w:t xml:space="preserve"> </w:t>
      </w:r>
      <w:r>
        <w:rPr>
          <w:sz w:val="18"/>
        </w:rPr>
        <w:t>el</w:t>
      </w:r>
    </w:p>
    <w:p w14:paraId="613476FB" w14:textId="77777777" w:rsidR="00467FCA" w:rsidRDefault="00467FCA">
      <w:pPr>
        <w:jc w:val="both"/>
        <w:rPr>
          <w:sz w:val="18"/>
        </w:rPr>
        <w:sectPr w:rsidR="00467FCA">
          <w:pgSz w:w="12240" w:h="15840"/>
          <w:pgMar w:top="1360" w:right="1320" w:bottom="1220" w:left="1320" w:header="0" w:footer="957" w:gutter="0"/>
          <w:cols w:space="720"/>
        </w:sectPr>
      </w:pPr>
    </w:p>
    <w:p w14:paraId="34C554CD" w14:textId="77777777" w:rsidR="00467FCA" w:rsidRDefault="001B68EB">
      <w:pPr>
        <w:spacing w:before="81"/>
        <w:ind w:left="1291"/>
        <w:rPr>
          <w:sz w:val="18"/>
        </w:rPr>
      </w:pPr>
      <w:r>
        <w:rPr>
          <w:sz w:val="18"/>
        </w:rPr>
        <w:t>sufrimiento padecido</w:t>
      </w:r>
      <w:hyperlink w:anchor="_bookmark410" w:history="1">
        <w:r>
          <w:rPr>
            <w:position w:val="7"/>
            <w:sz w:val="13"/>
          </w:rPr>
          <w:t>347</w:t>
        </w:r>
      </w:hyperlink>
      <w:r>
        <w:rPr>
          <w:sz w:val="18"/>
        </w:rPr>
        <w:t>.</w:t>
      </w:r>
    </w:p>
    <w:p w14:paraId="1152F93E" w14:textId="77777777" w:rsidR="00467FCA" w:rsidRDefault="00467FCA">
      <w:pPr>
        <w:pStyle w:val="Textoindependiente"/>
        <w:spacing w:before="5"/>
      </w:pPr>
    </w:p>
    <w:p w14:paraId="37307EEA" w14:textId="77777777" w:rsidR="00467FCA" w:rsidRDefault="001B68EB">
      <w:pPr>
        <w:pStyle w:val="Prrafodelista"/>
        <w:numPr>
          <w:ilvl w:val="0"/>
          <w:numId w:val="38"/>
        </w:numPr>
        <w:tabs>
          <w:tab w:val="left" w:pos="687"/>
        </w:tabs>
        <w:ind w:right="115" w:firstLine="0"/>
        <w:jc w:val="both"/>
        <w:rPr>
          <w:sz w:val="20"/>
        </w:rPr>
      </w:pPr>
      <w:r>
        <w:rPr>
          <w:sz w:val="20"/>
        </w:rPr>
        <w:t>Conforme a lo anterior, la Corte encuentra que, de acuerdo con el Estado, no se habría acreditado la afectación del derecho a la integridad personal de algunos de los familiares de las presuntas víctimas, en particular, en lo referido a las relaciones entr</w:t>
      </w:r>
      <w:r>
        <w:rPr>
          <w:sz w:val="20"/>
        </w:rPr>
        <w:t>e hermanos y entre tíos/as y sobrinos/as. En los demás casos, el Estado no cuestionó a la eventual violación del derecho a la integridad personal de los familiares. En ese sentido, luego del análisis de la prueba que obra en el expediente, la Corte concluy</w:t>
      </w:r>
      <w:r>
        <w:rPr>
          <w:sz w:val="20"/>
        </w:rPr>
        <w:t>e que no es posible acreditar la violación del derecho a la integridad personal de Antônio Rodrigues dos Santos, Maria Antônia dos Santos, Maria Vera dos Santos, Marinalva Santos, Guilhermino Cerqueira dos Santos, Neuza Maria</w:t>
      </w:r>
      <w:r>
        <w:rPr>
          <w:spacing w:val="-15"/>
          <w:sz w:val="20"/>
        </w:rPr>
        <w:t xml:space="preserve"> </w:t>
      </w:r>
      <w:r>
        <w:rPr>
          <w:sz w:val="20"/>
        </w:rPr>
        <w:t>Machado</w:t>
      </w:r>
      <w:r>
        <w:rPr>
          <w:spacing w:val="-14"/>
          <w:sz w:val="20"/>
        </w:rPr>
        <w:t xml:space="preserve"> </w:t>
      </w:r>
      <w:r>
        <w:rPr>
          <w:sz w:val="20"/>
        </w:rPr>
        <w:t>y</w:t>
      </w:r>
      <w:r>
        <w:rPr>
          <w:spacing w:val="-13"/>
          <w:sz w:val="20"/>
        </w:rPr>
        <w:t xml:space="preserve"> </w:t>
      </w:r>
      <w:r>
        <w:rPr>
          <w:sz w:val="20"/>
        </w:rPr>
        <w:t>Cleide</w:t>
      </w:r>
      <w:r>
        <w:rPr>
          <w:spacing w:val="-12"/>
          <w:sz w:val="20"/>
        </w:rPr>
        <w:t xml:space="preserve"> </w:t>
      </w:r>
      <w:r>
        <w:rPr>
          <w:sz w:val="20"/>
        </w:rPr>
        <w:t>Reis</w:t>
      </w:r>
      <w:r>
        <w:rPr>
          <w:spacing w:val="-15"/>
          <w:sz w:val="20"/>
        </w:rPr>
        <w:t xml:space="preserve"> </w:t>
      </w:r>
      <w:r>
        <w:rPr>
          <w:sz w:val="20"/>
        </w:rPr>
        <w:t>dos</w:t>
      </w:r>
      <w:r>
        <w:rPr>
          <w:spacing w:val="-13"/>
          <w:sz w:val="20"/>
        </w:rPr>
        <w:t xml:space="preserve"> </w:t>
      </w:r>
      <w:r>
        <w:rPr>
          <w:sz w:val="20"/>
        </w:rPr>
        <w:t>Sant</w:t>
      </w:r>
      <w:r>
        <w:rPr>
          <w:sz w:val="20"/>
        </w:rPr>
        <w:t>os.</w:t>
      </w:r>
      <w:r>
        <w:rPr>
          <w:spacing w:val="-16"/>
          <w:sz w:val="20"/>
        </w:rPr>
        <w:t xml:space="preserve"> </w:t>
      </w:r>
      <w:r>
        <w:rPr>
          <w:sz w:val="20"/>
        </w:rPr>
        <w:t>Por</w:t>
      </w:r>
      <w:r>
        <w:rPr>
          <w:spacing w:val="-14"/>
          <w:sz w:val="20"/>
        </w:rPr>
        <w:t xml:space="preserve"> </w:t>
      </w:r>
      <w:r>
        <w:rPr>
          <w:sz w:val="20"/>
        </w:rPr>
        <w:t>esa</w:t>
      </w:r>
      <w:r>
        <w:rPr>
          <w:spacing w:val="-12"/>
          <w:sz w:val="20"/>
        </w:rPr>
        <w:t xml:space="preserve"> </w:t>
      </w:r>
      <w:r>
        <w:rPr>
          <w:sz w:val="20"/>
        </w:rPr>
        <w:t>razón,</w:t>
      </w:r>
      <w:r>
        <w:rPr>
          <w:spacing w:val="-13"/>
          <w:sz w:val="20"/>
        </w:rPr>
        <w:t xml:space="preserve"> </w:t>
      </w:r>
      <w:r>
        <w:rPr>
          <w:sz w:val="20"/>
        </w:rPr>
        <w:t>estas</w:t>
      </w:r>
      <w:r>
        <w:rPr>
          <w:spacing w:val="-13"/>
          <w:sz w:val="20"/>
        </w:rPr>
        <w:t xml:space="preserve"> </w:t>
      </w:r>
      <w:r>
        <w:rPr>
          <w:sz w:val="20"/>
        </w:rPr>
        <w:t>personas</w:t>
      </w:r>
      <w:r>
        <w:rPr>
          <w:spacing w:val="-16"/>
          <w:sz w:val="20"/>
        </w:rPr>
        <w:t xml:space="preserve"> </w:t>
      </w:r>
      <w:r>
        <w:rPr>
          <w:sz w:val="20"/>
        </w:rPr>
        <w:t>no</w:t>
      </w:r>
      <w:r>
        <w:rPr>
          <w:spacing w:val="-16"/>
          <w:sz w:val="20"/>
        </w:rPr>
        <w:t xml:space="preserve"> </w:t>
      </w:r>
      <w:r>
        <w:rPr>
          <w:sz w:val="20"/>
        </w:rPr>
        <w:t>serán</w:t>
      </w:r>
      <w:r>
        <w:rPr>
          <w:spacing w:val="-14"/>
          <w:sz w:val="20"/>
        </w:rPr>
        <w:t xml:space="preserve"> </w:t>
      </w:r>
      <w:r>
        <w:rPr>
          <w:sz w:val="20"/>
        </w:rPr>
        <w:t>consideradas víctimas</w:t>
      </w:r>
      <w:r>
        <w:rPr>
          <w:spacing w:val="-14"/>
          <w:sz w:val="20"/>
        </w:rPr>
        <w:t xml:space="preserve"> </w:t>
      </w:r>
      <w:r>
        <w:rPr>
          <w:sz w:val="20"/>
        </w:rPr>
        <w:t>de</w:t>
      </w:r>
      <w:r>
        <w:rPr>
          <w:spacing w:val="-15"/>
          <w:sz w:val="20"/>
        </w:rPr>
        <w:t xml:space="preserve"> </w:t>
      </w:r>
      <w:r>
        <w:rPr>
          <w:sz w:val="20"/>
        </w:rPr>
        <w:t>la</w:t>
      </w:r>
      <w:r>
        <w:rPr>
          <w:spacing w:val="-13"/>
          <w:sz w:val="20"/>
        </w:rPr>
        <w:t xml:space="preserve"> </w:t>
      </w:r>
      <w:r>
        <w:rPr>
          <w:sz w:val="20"/>
        </w:rPr>
        <w:t>violación</w:t>
      </w:r>
      <w:r>
        <w:rPr>
          <w:spacing w:val="-10"/>
          <w:sz w:val="20"/>
        </w:rPr>
        <w:t xml:space="preserve"> </w:t>
      </w:r>
      <w:r>
        <w:rPr>
          <w:sz w:val="20"/>
        </w:rPr>
        <w:t>al</w:t>
      </w:r>
      <w:r>
        <w:rPr>
          <w:spacing w:val="-13"/>
          <w:sz w:val="20"/>
        </w:rPr>
        <w:t xml:space="preserve"> </w:t>
      </w:r>
      <w:r>
        <w:rPr>
          <w:sz w:val="20"/>
        </w:rPr>
        <w:t>derecho</w:t>
      </w:r>
      <w:r>
        <w:rPr>
          <w:spacing w:val="-15"/>
          <w:sz w:val="20"/>
        </w:rPr>
        <w:t xml:space="preserve"> </w:t>
      </w:r>
      <w:r>
        <w:rPr>
          <w:sz w:val="20"/>
        </w:rPr>
        <w:t>a</w:t>
      </w:r>
      <w:r>
        <w:rPr>
          <w:spacing w:val="-12"/>
          <w:sz w:val="20"/>
        </w:rPr>
        <w:t xml:space="preserve"> </w:t>
      </w:r>
      <w:r>
        <w:rPr>
          <w:sz w:val="20"/>
        </w:rPr>
        <w:t>la</w:t>
      </w:r>
      <w:r>
        <w:rPr>
          <w:spacing w:val="-14"/>
          <w:sz w:val="20"/>
        </w:rPr>
        <w:t xml:space="preserve"> </w:t>
      </w:r>
      <w:r>
        <w:rPr>
          <w:sz w:val="20"/>
        </w:rPr>
        <w:t>integridad</w:t>
      </w:r>
      <w:r>
        <w:rPr>
          <w:spacing w:val="-13"/>
          <w:sz w:val="20"/>
        </w:rPr>
        <w:t xml:space="preserve"> </w:t>
      </w:r>
      <w:r>
        <w:rPr>
          <w:sz w:val="20"/>
        </w:rPr>
        <w:t>personal.</w:t>
      </w:r>
      <w:r>
        <w:rPr>
          <w:spacing w:val="-12"/>
          <w:sz w:val="20"/>
        </w:rPr>
        <w:t xml:space="preserve"> </w:t>
      </w:r>
      <w:r>
        <w:rPr>
          <w:sz w:val="20"/>
        </w:rPr>
        <w:t>Los</w:t>
      </w:r>
      <w:r>
        <w:rPr>
          <w:spacing w:val="-13"/>
          <w:sz w:val="20"/>
        </w:rPr>
        <w:t xml:space="preserve"> </w:t>
      </w:r>
      <w:r>
        <w:rPr>
          <w:sz w:val="20"/>
        </w:rPr>
        <w:t>demás</w:t>
      </w:r>
      <w:r>
        <w:rPr>
          <w:spacing w:val="-14"/>
          <w:sz w:val="20"/>
        </w:rPr>
        <w:t xml:space="preserve"> </w:t>
      </w:r>
      <w:r>
        <w:rPr>
          <w:sz w:val="20"/>
        </w:rPr>
        <w:t>familiares</w:t>
      </w:r>
      <w:r>
        <w:rPr>
          <w:spacing w:val="-12"/>
          <w:sz w:val="20"/>
        </w:rPr>
        <w:t xml:space="preserve"> </w:t>
      </w:r>
      <w:r>
        <w:rPr>
          <w:sz w:val="20"/>
        </w:rPr>
        <w:t>identificados como presuntas víctimas por la Comisión y los representantes serán considerados víctimas de</w:t>
      </w:r>
      <w:r>
        <w:rPr>
          <w:spacing w:val="-21"/>
          <w:sz w:val="20"/>
        </w:rPr>
        <w:t xml:space="preserve"> </w:t>
      </w:r>
      <w:r>
        <w:rPr>
          <w:sz w:val="20"/>
        </w:rPr>
        <w:t>la</w:t>
      </w:r>
      <w:r>
        <w:rPr>
          <w:spacing w:val="-17"/>
          <w:sz w:val="20"/>
        </w:rPr>
        <w:t xml:space="preserve"> </w:t>
      </w:r>
      <w:r>
        <w:rPr>
          <w:sz w:val="20"/>
        </w:rPr>
        <w:t>violació</w:t>
      </w:r>
      <w:r>
        <w:rPr>
          <w:sz w:val="20"/>
        </w:rPr>
        <w:t>n</w:t>
      </w:r>
      <w:r>
        <w:rPr>
          <w:spacing w:val="-19"/>
          <w:sz w:val="20"/>
        </w:rPr>
        <w:t xml:space="preserve"> </w:t>
      </w:r>
      <w:r>
        <w:rPr>
          <w:sz w:val="20"/>
        </w:rPr>
        <w:t>al</w:t>
      </w:r>
      <w:r>
        <w:rPr>
          <w:spacing w:val="-17"/>
          <w:sz w:val="20"/>
        </w:rPr>
        <w:t xml:space="preserve"> </w:t>
      </w:r>
      <w:r>
        <w:rPr>
          <w:sz w:val="20"/>
        </w:rPr>
        <w:t>derecho</w:t>
      </w:r>
      <w:r>
        <w:rPr>
          <w:spacing w:val="-21"/>
          <w:sz w:val="20"/>
        </w:rPr>
        <w:t xml:space="preserve"> </w:t>
      </w:r>
      <w:r>
        <w:rPr>
          <w:sz w:val="20"/>
        </w:rPr>
        <w:t>a</w:t>
      </w:r>
      <w:r>
        <w:rPr>
          <w:spacing w:val="-17"/>
          <w:sz w:val="20"/>
        </w:rPr>
        <w:t xml:space="preserve"> </w:t>
      </w:r>
      <w:r>
        <w:rPr>
          <w:sz w:val="20"/>
        </w:rPr>
        <w:t>la</w:t>
      </w:r>
      <w:r>
        <w:rPr>
          <w:spacing w:val="-17"/>
          <w:sz w:val="20"/>
        </w:rPr>
        <w:t xml:space="preserve"> </w:t>
      </w:r>
      <w:r>
        <w:rPr>
          <w:sz w:val="20"/>
        </w:rPr>
        <w:t>integridad</w:t>
      </w:r>
      <w:r>
        <w:rPr>
          <w:spacing w:val="-17"/>
          <w:sz w:val="20"/>
        </w:rPr>
        <w:t xml:space="preserve"> </w:t>
      </w:r>
      <w:r>
        <w:rPr>
          <w:sz w:val="20"/>
        </w:rPr>
        <w:t>personal,</w:t>
      </w:r>
      <w:r>
        <w:rPr>
          <w:spacing w:val="-19"/>
          <w:sz w:val="20"/>
        </w:rPr>
        <w:t xml:space="preserve"> </w:t>
      </w:r>
      <w:r>
        <w:rPr>
          <w:sz w:val="20"/>
        </w:rPr>
        <w:t>debido</w:t>
      </w:r>
      <w:r>
        <w:rPr>
          <w:spacing w:val="-19"/>
          <w:sz w:val="20"/>
        </w:rPr>
        <w:t xml:space="preserve"> </w:t>
      </w:r>
      <w:r>
        <w:rPr>
          <w:sz w:val="20"/>
        </w:rPr>
        <w:t>a</w:t>
      </w:r>
      <w:r>
        <w:rPr>
          <w:spacing w:val="-20"/>
          <w:sz w:val="20"/>
        </w:rPr>
        <w:t xml:space="preserve"> </w:t>
      </w:r>
      <w:r>
        <w:rPr>
          <w:sz w:val="20"/>
        </w:rPr>
        <w:t>que</w:t>
      </w:r>
      <w:r>
        <w:rPr>
          <w:spacing w:val="-19"/>
          <w:sz w:val="20"/>
        </w:rPr>
        <w:t xml:space="preserve"> </w:t>
      </w:r>
      <w:r>
        <w:rPr>
          <w:sz w:val="20"/>
        </w:rPr>
        <w:t>el</w:t>
      </w:r>
      <w:r>
        <w:rPr>
          <w:spacing w:val="-17"/>
          <w:sz w:val="20"/>
        </w:rPr>
        <w:t xml:space="preserve"> </w:t>
      </w:r>
      <w:r>
        <w:rPr>
          <w:sz w:val="20"/>
        </w:rPr>
        <w:t>Estado</w:t>
      </w:r>
      <w:r>
        <w:rPr>
          <w:spacing w:val="-19"/>
          <w:sz w:val="20"/>
        </w:rPr>
        <w:t xml:space="preserve"> </w:t>
      </w:r>
      <w:r>
        <w:rPr>
          <w:sz w:val="20"/>
        </w:rPr>
        <w:t>no</w:t>
      </w:r>
      <w:r>
        <w:rPr>
          <w:spacing w:val="-19"/>
          <w:sz w:val="20"/>
        </w:rPr>
        <w:t xml:space="preserve"> </w:t>
      </w:r>
      <w:r>
        <w:rPr>
          <w:sz w:val="20"/>
        </w:rPr>
        <w:t>presentó</w:t>
      </w:r>
      <w:r>
        <w:rPr>
          <w:spacing w:val="-16"/>
          <w:sz w:val="20"/>
        </w:rPr>
        <w:t xml:space="preserve"> </w:t>
      </w:r>
      <w:r>
        <w:rPr>
          <w:sz w:val="20"/>
        </w:rPr>
        <w:t>objeción alguna al alegato de la Comisión y los representantes en ese</w:t>
      </w:r>
      <w:r>
        <w:rPr>
          <w:spacing w:val="-12"/>
          <w:sz w:val="20"/>
        </w:rPr>
        <w:t xml:space="preserve"> </w:t>
      </w:r>
      <w:r>
        <w:rPr>
          <w:sz w:val="20"/>
        </w:rPr>
        <w:t>sentido.</w:t>
      </w:r>
    </w:p>
    <w:p w14:paraId="5A81A41C" w14:textId="77777777" w:rsidR="00467FCA" w:rsidRDefault="00467FCA">
      <w:pPr>
        <w:pStyle w:val="Textoindependiente"/>
        <w:spacing w:before="10"/>
        <w:rPr>
          <w:sz w:val="19"/>
        </w:rPr>
      </w:pPr>
    </w:p>
    <w:p w14:paraId="3A819C7D" w14:textId="77777777" w:rsidR="00467FCA" w:rsidRDefault="001B68EB">
      <w:pPr>
        <w:pStyle w:val="Prrafodelista"/>
        <w:numPr>
          <w:ilvl w:val="0"/>
          <w:numId w:val="38"/>
        </w:numPr>
        <w:tabs>
          <w:tab w:val="left" w:pos="687"/>
        </w:tabs>
        <w:ind w:right="116" w:firstLine="0"/>
        <w:jc w:val="both"/>
        <w:rPr>
          <w:sz w:val="20"/>
        </w:rPr>
      </w:pPr>
      <w:r>
        <w:rPr>
          <w:sz w:val="20"/>
        </w:rPr>
        <w:t>Por</w:t>
      </w:r>
      <w:r>
        <w:rPr>
          <w:spacing w:val="-12"/>
          <w:sz w:val="20"/>
        </w:rPr>
        <w:t xml:space="preserve"> </w:t>
      </w:r>
      <w:r>
        <w:rPr>
          <w:sz w:val="20"/>
        </w:rPr>
        <w:t>otra</w:t>
      </w:r>
      <w:r>
        <w:rPr>
          <w:spacing w:val="-12"/>
          <w:sz w:val="20"/>
        </w:rPr>
        <w:t xml:space="preserve"> </w:t>
      </w:r>
      <w:r>
        <w:rPr>
          <w:sz w:val="20"/>
        </w:rPr>
        <w:t>parte,</w:t>
      </w:r>
      <w:r>
        <w:rPr>
          <w:spacing w:val="-13"/>
          <w:sz w:val="20"/>
        </w:rPr>
        <w:t xml:space="preserve"> </w:t>
      </w:r>
      <w:r>
        <w:rPr>
          <w:sz w:val="20"/>
        </w:rPr>
        <w:t>Adriana</w:t>
      </w:r>
      <w:r>
        <w:rPr>
          <w:spacing w:val="-10"/>
          <w:sz w:val="20"/>
        </w:rPr>
        <w:t xml:space="preserve"> </w:t>
      </w:r>
      <w:r>
        <w:rPr>
          <w:sz w:val="20"/>
        </w:rPr>
        <w:t>Santos</w:t>
      </w:r>
      <w:r>
        <w:rPr>
          <w:spacing w:val="-13"/>
          <w:sz w:val="20"/>
        </w:rPr>
        <w:t xml:space="preserve"> </w:t>
      </w:r>
      <w:r>
        <w:rPr>
          <w:sz w:val="20"/>
        </w:rPr>
        <w:t>Rocha</w:t>
      </w:r>
      <w:r>
        <w:rPr>
          <w:spacing w:val="-10"/>
          <w:sz w:val="20"/>
        </w:rPr>
        <w:t xml:space="preserve"> </w:t>
      </w:r>
      <w:r>
        <w:rPr>
          <w:sz w:val="20"/>
        </w:rPr>
        <w:t>y</w:t>
      </w:r>
      <w:r>
        <w:rPr>
          <w:spacing w:val="-13"/>
          <w:sz w:val="20"/>
        </w:rPr>
        <w:t xml:space="preserve"> </w:t>
      </w:r>
      <w:r>
        <w:rPr>
          <w:sz w:val="20"/>
        </w:rPr>
        <w:t>Fabiana</w:t>
      </w:r>
      <w:r>
        <w:rPr>
          <w:spacing w:val="-10"/>
          <w:sz w:val="20"/>
        </w:rPr>
        <w:t xml:space="preserve"> </w:t>
      </w:r>
      <w:r>
        <w:rPr>
          <w:sz w:val="20"/>
        </w:rPr>
        <w:t>Santos</w:t>
      </w:r>
      <w:r>
        <w:rPr>
          <w:spacing w:val="-13"/>
          <w:sz w:val="20"/>
        </w:rPr>
        <w:t xml:space="preserve"> </w:t>
      </w:r>
      <w:r>
        <w:rPr>
          <w:sz w:val="20"/>
        </w:rPr>
        <w:t>Rocha</w:t>
      </w:r>
      <w:r>
        <w:rPr>
          <w:spacing w:val="-10"/>
          <w:sz w:val="20"/>
        </w:rPr>
        <w:t xml:space="preserve"> </w:t>
      </w:r>
      <w:r>
        <w:rPr>
          <w:sz w:val="20"/>
        </w:rPr>
        <w:t>fallecieron</w:t>
      </w:r>
      <w:r>
        <w:rPr>
          <w:spacing w:val="-9"/>
          <w:sz w:val="20"/>
        </w:rPr>
        <w:t xml:space="preserve"> </w:t>
      </w:r>
      <w:r>
        <w:rPr>
          <w:sz w:val="20"/>
        </w:rPr>
        <w:t>en</w:t>
      </w:r>
      <w:r>
        <w:rPr>
          <w:spacing w:val="-12"/>
          <w:sz w:val="20"/>
        </w:rPr>
        <w:t xml:space="preserve"> </w:t>
      </w:r>
      <w:r>
        <w:rPr>
          <w:sz w:val="20"/>
        </w:rPr>
        <w:t>la</w:t>
      </w:r>
      <w:r>
        <w:rPr>
          <w:spacing w:val="-10"/>
          <w:sz w:val="20"/>
        </w:rPr>
        <w:t xml:space="preserve"> </w:t>
      </w:r>
      <w:r>
        <w:rPr>
          <w:sz w:val="20"/>
        </w:rPr>
        <w:t>explosión de la fábrica de fuegos, de modo que está probada la afectación a su derecho a la vida</w:t>
      </w:r>
      <w:r>
        <w:rPr>
          <w:spacing w:val="-40"/>
          <w:sz w:val="20"/>
        </w:rPr>
        <w:t xml:space="preserve"> </w:t>
      </w:r>
      <w:r>
        <w:rPr>
          <w:sz w:val="20"/>
        </w:rPr>
        <w:t>como consecuencia directa de la explosión, según se demostró en el capítulo VIII-1 de esta sentencia y, por esa razón, no pueden ser consideradas víctimas de l</w:t>
      </w:r>
      <w:r>
        <w:rPr>
          <w:sz w:val="20"/>
        </w:rPr>
        <w:t>a violación del derecho a la integridad por cuenta de las afectaciones padecidas por sus familiares. En el caso de Claudia</w:t>
      </w:r>
      <w:r>
        <w:rPr>
          <w:spacing w:val="-8"/>
          <w:sz w:val="20"/>
        </w:rPr>
        <w:t xml:space="preserve"> </w:t>
      </w:r>
      <w:r>
        <w:rPr>
          <w:sz w:val="20"/>
        </w:rPr>
        <w:t>Reis</w:t>
      </w:r>
      <w:r>
        <w:rPr>
          <w:spacing w:val="-8"/>
          <w:sz w:val="20"/>
        </w:rPr>
        <w:t xml:space="preserve"> </w:t>
      </w:r>
      <w:r>
        <w:rPr>
          <w:sz w:val="20"/>
        </w:rPr>
        <w:t>dos</w:t>
      </w:r>
      <w:r>
        <w:rPr>
          <w:spacing w:val="-9"/>
          <w:sz w:val="20"/>
        </w:rPr>
        <w:t xml:space="preserve"> </w:t>
      </w:r>
      <w:r>
        <w:rPr>
          <w:sz w:val="20"/>
        </w:rPr>
        <w:t>Santos</w:t>
      </w:r>
      <w:r>
        <w:rPr>
          <w:spacing w:val="-6"/>
          <w:sz w:val="20"/>
        </w:rPr>
        <w:t xml:space="preserve"> </w:t>
      </w:r>
      <w:r>
        <w:rPr>
          <w:sz w:val="20"/>
        </w:rPr>
        <w:t>y</w:t>
      </w:r>
      <w:r>
        <w:rPr>
          <w:spacing w:val="-7"/>
          <w:sz w:val="20"/>
        </w:rPr>
        <w:t xml:space="preserve"> </w:t>
      </w:r>
      <w:r>
        <w:rPr>
          <w:sz w:val="20"/>
        </w:rPr>
        <w:t>Wellington</w:t>
      </w:r>
      <w:r>
        <w:rPr>
          <w:spacing w:val="-7"/>
          <w:sz w:val="20"/>
        </w:rPr>
        <w:t xml:space="preserve"> </w:t>
      </w:r>
      <w:r>
        <w:rPr>
          <w:sz w:val="20"/>
        </w:rPr>
        <w:t>Silva</w:t>
      </w:r>
      <w:r>
        <w:rPr>
          <w:spacing w:val="-7"/>
          <w:sz w:val="20"/>
        </w:rPr>
        <w:t xml:space="preserve"> </w:t>
      </w:r>
      <w:r>
        <w:rPr>
          <w:sz w:val="20"/>
        </w:rPr>
        <w:t>dos</w:t>
      </w:r>
      <w:r>
        <w:rPr>
          <w:spacing w:val="-6"/>
          <w:sz w:val="20"/>
        </w:rPr>
        <w:t xml:space="preserve"> </w:t>
      </w:r>
      <w:r>
        <w:rPr>
          <w:sz w:val="20"/>
        </w:rPr>
        <w:t>Santos,</w:t>
      </w:r>
      <w:r>
        <w:rPr>
          <w:spacing w:val="-5"/>
          <w:sz w:val="20"/>
        </w:rPr>
        <w:t xml:space="preserve"> </w:t>
      </w:r>
      <w:r>
        <w:rPr>
          <w:sz w:val="20"/>
        </w:rPr>
        <w:t>se</w:t>
      </w:r>
      <w:r>
        <w:rPr>
          <w:spacing w:val="-7"/>
          <w:sz w:val="20"/>
        </w:rPr>
        <w:t xml:space="preserve"> </w:t>
      </w:r>
      <w:r>
        <w:rPr>
          <w:sz w:val="20"/>
        </w:rPr>
        <w:t>trata</w:t>
      </w:r>
      <w:r>
        <w:rPr>
          <w:spacing w:val="-7"/>
          <w:sz w:val="20"/>
        </w:rPr>
        <w:t xml:space="preserve"> </w:t>
      </w:r>
      <w:r>
        <w:rPr>
          <w:sz w:val="20"/>
        </w:rPr>
        <w:t>de</w:t>
      </w:r>
      <w:r>
        <w:rPr>
          <w:spacing w:val="-9"/>
          <w:sz w:val="20"/>
        </w:rPr>
        <w:t xml:space="preserve"> </w:t>
      </w:r>
      <w:r>
        <w:rPr>
          <w:sz w:val="20"/>
        </w:rPr>
        <w:t>dos</w:t>
      </w:r>
      <w:r>
        <w:rPr>
          <w:spacing w:val="-5"/>
          <w:sz w:val="20"/>
        </w:rPr>
        <w:t xml:space="preserve"> </w:t>
      </w:r>
      <w:r>
        <w:rPr>
          <w:sz w:val="20"/>
        </w:rPr>
        <w:t>de</w:t>
      </w:r>
      <w:r>
        <w:rPr>
          <w:spacing w:val="-9"/>
          <w:sz w:val="20"/>
        </w:rPr>
        <w:t xml:space="preserve"> </w:t>
      </w:r>
      <w:r>
        <w:rPr>
          <w:sz w:val="20"/>
        </w:rPr>
        <w:t>los</w:t>
      </w:r>
      <w:r>
        <w:rPr>
          <w:spacing w:val="-8"/>
          <w:sz w:val="20"/>
        </w:rPr>
        <w:t xml:space="preserve"> </w:t>
      </w:r>
      <w:r>
        <w:rPr>
          <w:sz w:val="20"/>
        </w:rPr>
        <w:t>trabajadores</w:t>
      </w:r>
      <w:r>
        <w:rPr>
          <w:spacing w:val="-6"/>
          <w:sz w:val="20"/>
        </w:rPr>
        <w:t xml:space="preserve"> </w:t>
      </w:r>
      <w:r>
        <w:rPr>
          <w:sz w:val="20"/>
        </w:rPr>
        <w:t>de la</w:t>
      </w:r>
      <w:r>
        <w:rPr>
          <w:spacing w:val="-11"/>
          <w:sz w:val="20"/>
        </w:rPr>
        <w:t xml:space="preserve"> </w:t>
      </w:r>
      <w:r>
        <w:rPr>
          <w:sz w:val="20"/>
        </w:rPr>
        <w:t>fábrica</w:t>
      </w:r>
      <w:r>
        <w:rPr>
          <w:spacing w:val="-8"/>
          <w:sz w:val="20"/>
        </w:rPr>
        <w:t xml:space="preserve"> </w:t>
      </w:r>
      <w:r>
        <w:rPr>
          <w:sz w:val="20"/>
        </w:rPr>
        <w:t>de</w:t>
      </w:r>
      <w:r>
        <w:rPr>
          <w:spacing w:val="-9"/>
          <w:sz w:val="20"/>
        </w:rPr>
        <w:t xml:space="preserve"> </w:t>
      </w:r>
      <w:r>
        <w:rPr>
          <w:sz w:val="20"/>
        </w:rPr>
        <w:t>fuegos</w:t>
      </w:r>
      <w:r>
        <w:rPr>
          <w:spacing w:val="-11"/>
          <w:sz w:val="20"/>
        </w:rPr>
        <w:t xml:space="preserve"> </w:t>
      </w:r>
      <w:r>
        <w:rPr>
          <w:sz w:val="20"/>
        </w:rPr>
        <w:t>que</w:t>
      </w:r>
      <w:r>
        <w:rPr>
          <w:spacing w:val="-9"/>
          <w:sz w:val="20"/>
        </w:rPr>
        <w:t xml:space="preserve"> </w:t>
      </w:r>
      <w:r>
        <w:rPr>
          <w:sz w:val="20"/>
        </w:rPr>
        <w:t>sobrevivieron</w:t>
      </w:r>
      <w:r>
        <w:rPr>
          <w:spacing w:val="-9"/>
          <w:sz w:val="20"/>
        </w:rPr>
        <w:t xml:space="preserve"> </w:t>
      </w:r>
      <w:r>
        <w:rPr>
          <w:sz w:val="20"/>
        </w:rPr>
        <w:t>a</w:t>
      </w:r>
      <w:r>
        <w:rPr>
          <w:spacing w:val="-9"/>
          <w:sz w:val="20"/>
        </w:rPr>
        <w:t xml:space="preserve"> </w:t>
      </w:r>
      <w:r>
        <w:rPr>
          <w:sz w:val="20"/>
        </w:rPr>
        <w:t>la</w:t>
      </w:r>
      <w:r>
        <w:rPr>
          <w:spacing w:val="-10"/>
          <w:sz w:val="20"/>
        </w:rPr>
        <w:t xml:space="preserve"> </w:t>
      </w:r>
      <w:r>
        <w:rPr>
          <w:sz w:val="20"/>
        </w:rPr>
        <w:t>explosión,</w:t>
      </w:r>
      <w:r>
        <w:rPr>
          <w:spacing w:val="-11"/>
          <w:sz w:val="20"/>
        </w:rPr>
        <w:t xml:space="preserve"> </w:t>
      </w:r>
      <w:r>
        <w:rPr>
          <w:sz w:val="20"/>
        </w:rPr>
        <w:t>de</w:t>
      </w:r>
      <w:r>
        <w:rPr>
          <w:spacing w:val="-11"/>
          <w:sz w:val="20"/>
        </w:rPr>
        <w:t xml:space="preserve"> </w:t>
      </w:r>
      <w:r>
        <w:rPr>
          <w:sz w:val="20"/>
        </w:rPr>
        <w:t>modo</w:t>
      </w:r>
      <w:r>
        <w:rPr>
          <w:spacing w:val="-11"/>
          <w:sz w:val="20"/>
        </w:rPr>
        <w:t xml:space="preserve"> </w:t>
      </w:r>
      <w:r>
        <w:rPr>
          <w:sz w:val="20"/>
        </w:rPr>
        <w:t>que</w:t>
      </w:r>
      <w:r>
        <w:rPr>
          <w:spacing w:val="-9"/>
          <w:sz w:val="20"/>
        </w:rPr>
        <w:t xml:space="preserve"> </w:t>
      </w:r>
      <w:r>
        <w:rPr>
          <w:sz w:val="20"/>
        </w:rPr>
        <w:t>está</w:t>
      </w:r>
      <w:r>
        <w:rPr>
          <w:spacing w:val="-8"/>
          <w:sz w:val="20"/>
        </w:rPr>
        <w:t xml:space="preserve"> </w:t>
      </w:r>
      <w:r>
        <w:rPr>
          <w:sz w:val="20"/>
        </w:rPr>
        <w:t>probada</w:t>
      </w:r>
      <w:r>
        <w:rPr>
          <w:spacing w:val="-11"/>
          <w:sz w:val="20"/>
        </w:rPr>
        <w:t xml:space="preserve"> </w:t>
      </w:r>
      <w:r>
        <w:rPr>
          <w:sz w:val="20"/>
        </w:rPr>
        <w:t>la</w:t>
      </w:r>
      <w:r>
        <w:rPr>
          <w:spacing w:val="-10"/>
          <w:sz w:val="20"/>
        </w:rPr>
        <w:t xml:space="preserve"> </w:t>
      </w:r>
      <w:r>
        <w:rPr>
          <w:sz w:val="20"/>
        </w:rPr>
        <w:t>afectación a su derecho a la integridad personal como consecuencia directa de la explosión, según se demostró en el capítulo VIII-1 de esta sentencia. En el caso de Claudia Reis dos Santos también e</w:t>
      </w:r>
      <w:r>
        <w:rPr>
          <w:sz w:val="20"/>
        </w:rPr>
        <w:t>stá probada la afectación a su derecho a la integridad personal como consecuencia de las violaciones a los derechos de sus</w:t>
      </w:r>
      <w:r>
        <w:rPr>
          <w:spacing w:val="-5"/>
          <w:sz w:val="20"/>
        </w:rPr>
        <w:t xml:space="preserve"> </w:t>
      </w:r>
      <w:r>
        <w:rPr>
          <w:sz w:val="20"/>
        </w:rPr>
        <w:t>familiares.</w:t>
      </w:r>
    </w:p>
    <w:p w14:paraId="195D4AD8" w14:textId="77777777" w:rsidR="00467FCA" w:rsidRDefault="00467FCA">
      <w:pPr>
        <w:pStyle w:val="Textoindependiente"/>
        <w:spacing w:before="2"/>
      </w:pPr>
    </w:p>
    <w:p w14:paraId="2B0CF55F" w14:textId="77777777" w:rsidR="00467FCA" w:rsidRDefault="001B68EB">
      <w:pPr>
        <w:pStyle w:val="Prrafodelista"/>
        <w:numPr>
          <w:ilvl w:val="0"/>
          <w:numId w:val="38"/>
        </w:numPr>
        <w:tabs>
          <w:tab w:val="left" w:pos="687"/>
        </w:tabs>
        <w:ind w:left="120" w:right="118" w:firstLine="0"/>
        <w:jc w:val="both"/>
        <w:rPr>
          <w:sz w:val="20"/>
        </w:rPr>
      </w:pPr>
      <w:r>
        <w:rPr>
          <w:sz w:val="20"/>
        </w:rPr>
        <w:t>En virtud de lo expuesto, este Tribunal concluye que el Estado es responsable por la violación</w:t>
      </w:r>
      <w:r>
        <w:rPr>
          <w:spacing w:val="-8"/>
          <w:sz w:val="20"/>
        </w:rPr>
        <w:t xml:space="preserve"> </w:t>
      </w:r>
      <w:r>
        <w:rPr>
          <w:sz w:val="20"/>
        </w:rPr>
        <w:t>del</w:t>
      </w:r>
      <w:r>
        <w:rPr>
          <w:spacing w:val="-6"/>
          <w:sz w:val="20"/>
        </w:rPr>
        <w:t xml:space="preserve"> </w:t>
      </w:r>
      <w:r>
        <w:rPr>
          <w:sz w:val="20"/>
        </w:rPr>
        <w:t>derecho</w:t>
      </w:r>
      <w:r>
        <w:rPr>
          <w:spacing w:val="-7"/>
          <w:sz w:val="20"/>
        </w:rPr>
        <w:t xml:space="preserve"> </w:t>
      </w:r>
      <w:r>
        <w:rPr>
          <w:sz w:val="20"/>
        </w:rPr>
        <w:t>a</w:t>
      </w:r>
      <w:r>
        <w:rPr>
          <w:spacing w:val="-9"/>
          <w:sz w:val="20"/>
        </w:rPr>
        <w:t xml:space="preserve"> </w:t>
      </w:r>
      <w:r>
        <w:rPr>
          <w:sz w:val="20"/>
        </w:rPr>
        <w:t>la</w:t>
      </w:r>
      <w:r>
        <w:rPr>
          <w:spacing w:val="-8"/>
          <w:sz w:val="20"/>
        </w:rPr>
        <w:t xml:space="preserve"> </w:t>
      </w:r>
      <w:r>
        <w:rPr>
          <w:sz w:val="20"/>
        </w:rPr>
        <w:t>integrid</w:t>
      </w:r>
      <w:r>
        <w:rPr>
          <w:sz w:val="20"/>
        </w:rPr>
        <w:t>ad</w:t>
      </w:r>
      <w:r>
        <w:rPr>
          <w:spacing w:val="-8"/>
          <w:sz w:val="20"/>
        </w:rPr>
        <w:t xml:space="preserve"> </w:t>
      </w:r>
      <w:r>
        <w:rPr>
          <w:sz w:val="20"/>
        </w:rPr>
        <w:t>personal,</w:t>
      </w:r>
      <w:r>
        <w:rPr>
          <w:spacing w:val="-7"/>
          <w:sz w:val="20"/>
        </w:rPr>
        <w:t xml:space="preserve"> </w:t>
      </w:r>
      <w:r>
        <w:rPr>
          <w:sz w:val="20"/>
        </w:rPr>
        <w:t>reconocido</w:t>
      </w:r>
      <w:r>
        <w:rPr>
          <w:spacing w:val="-7"/>
          <w:sz w:val="20"/>
        </w:rPr>
        <w:t xml:space="preserve"> </w:t>
      </w:r>
      <w:r>
        <w:rPr>
          <w:sz w:val="20"/>
        </w:rPr>
        <w:t>en</w:t>
      </w:r>
      <w:r>
        <w:rPr>
          <w:spacing w:val="-5"/>
          <w:sz w:val="20"/>
        </w:rPr>
        <w:t xml:space="preserve"> </w:t>
      </w:r>
      <w:r>
        <w:rPr>
          <w:sz w:val="20"/>
        </w:rPr>
        <w:t>el</w:t>
      </w:r>
      <w:r>
        <w:rPr>
          <w:spacing w:val="-7"/>
          <w:sz w:val="20"/>
        </w:rPr>
        <w:t xml:space="preserve"> </w:t>
      </w:r>
      <w:r>
        <w:rPr>
          <w:sz w:val="20"/>
        </w:rPr>
        <w:t>artículo</w:t>
      </w:r>
      <w:r>
        <w:rPr>
          <w:spacing w:val="-8"/>
          <w:sz w:val="20"/>
        </w:rPr>
        <w:t xml:space="preserve"> </w:t>
      </w:r>
      <w:r>
        <w:rPr>
          <w:sz w:val="20"/>
        </w:rPr>
        <w:t>5.1</w:t>
      </w:r>
      <w:r>
        <w:rPr>
          <w:spacing w:val="-7"/>
          <w:sz w:val="20"/>
        </w:rPr>
        <w:t xml:space="preserve"> </w:t>
      </w:r>
      <w:r>
        <w:rPr>
          <w:sz w:val="20"/>
        </w:rPr>
        <w:t>de</w:t>
      </w:r>
      <w:r>
        <w:rPr>
          <w:spacing w:val="-8"/>
          <w:sz w:val="20"/>
        </w:rPr>
        <w:t xml:space="preserve"> </w:t>
      </w:r>
      <w:r>
        <w:rPr>
          <w:sz w:val="20"/>
        </w:rPr>
        <w:t>la</w:t>
      </w:r>
      <w:r>
        <w:rPr>
          <w:spacing w:val="-9"/>
          <w:sz w:val="20"/>
        </w:rPr>
        <w:t xml:space="preserve"> </w:t>
      </w:r>
      <w:r>
        <w:rPr>
          <w:sz w:val="20"/>
        </w:rPr>
        <w:t>Convención, en relación con el artículo 1.1, en perjuicio de 100 familiares de las personas fallecidas y sobrevivientes de la explosión, los cuales son identificados en el Anexo 2 de esta</w:t>
      </w:r>
      <w:r>
        <w:rPr>
          <w:spacing w:val="-36"/>
          <w:sz w:val="20"/>
        </w:rPr>
        <w:t xml:space="preserve"> </w:t>
      </w:r>
      <w:r>
        <w:rPr>
          <w:sz w:val="20"/>
        </w:rPr>
        <w:t>sentencia.</w:t>
      </w:r>
    </w:p>
    <w:p w14:paraId="2B2DFA21" w14:textId="77777777" w:rsidR="00467FCA" w:rsidRDefault="00467FCA">
      <w:pPr>
        <w:pStyle w:val="Textoindependiente"/>
        <w:spacing w:before="11"/>
        <w:rPr>
          <w:sz w:val="19"/>
        </w:rPr>
      </w:pPr>
    </w:p>
    <w:p w14:paraId="1DE19BCF" w14:textId="77777777" w:rsidR="00467FCA" w:rsidRDefault="001B68EB">
      <w:pPr>
        <w:pStyle w:val="Ttulo1"/>
        <w:spacing w:before="1" w:line="278" w:lineRule="auto"/>
        <w:ind w:left="3933" w:right="3936"/>
        <w:jc w:val="center"/>
      </w:pPr>
      <w:bookmarkStart w:id="468" w:name="IX_REPARACIONES_(Aplicación_del_artículo"/>
      <w:bookmarkStart w:id="469" w:name="_bookmark409"/>
      <w:bookmarkEnd w:id="468"/>
      <w:bookmarkEnd w:id="469"/>
      <w:r>
        <w:t xml:space="preserve">IX     </w:t>
      </w:r>
      <w:r>
        <w:t xml:space="preserve">   </w:t>
      </w:r>
      <w:r>
        <w:rPr>
          <w:w w:val="95"/>
        </w:rPr>
        <w:t>REPARACIONES</w:t>
      </w:r>
    </w:p>
    <w:p w14:paraId="7323032D" w14:textId="77777777" w:rsidR="00467FCA" w:rsidRDefault="001B68EB">
      <w:pPr>
        <w:spacing w:line="239" w:lineRule="exact"/>
        <w:ind w:left="153" w:right="153"/>
        <w:jc w:val="center"/>
        <w:rPr>
          <w:b/>
          <w:sz w:val="20"/>
        </w:rPr>
      </w:pPr>
      <w:r>
        <w:rPr>
          <w:b/>
          <w:sz w:val="20"/>
        </w:rPr>
        <w:t>(Aplicación del artículo 63.1 de la Convención Americana)</w:t>
      </w:r>
    </w:p>
    <w:p w14:paraId="213DD148" w14:textId="77777777" w:rsidR="00467FCA" w:rsidRDefault="00467FCA">
      <w:pPr>
        <w:pStyle w:val="Textoindependiente"/>
        <w:rPr>
          <w:b/>
          <w:sz w:val="23"/>
        </w:rPr>
      </w:pPr>
    </w:p>
    <w:p w14:paraId="5B927B6A" w14:textId="77777777" w:rsidR="00467FCA" w:rsidRDefault="001B68EB">
      <w:pPr>
        <w:pStyle w:val="Prrafodelista"/>
        <w:numPr>
          <w:ilvl w:val="0"/>
          <w:numId w:val="38"/>
        </w:numPr>
        <w:tabs>
          <w:tab w:val="left" w:pos="687"/>
        </w:tabs>
        <w:ind w:right="117" w:firstLine="0"/>
        <w:jc w:val="both"/>
        <w:rPr>
          <w:sz w:val="20"/>
        </w:rPr>
      </w:pPr>
      <w:r>
        <w:rPr>
          <w:sz w:val="20"/>
        </w:rPr>
        <w:t>Sobre la base de lo dispuesto en el artículo 63.1 de la Convención Americana, la Corte ha indicado que toda violación de una obligación internacional que haya producido daño comporta el deber de repararlo adecuadamente</w:t>
      </w:r>
      <w:hyperlink w:anchor="_bookmark411" w:history="1">
        <w:r>
          <w:rPr>
            <w:position w:val="7"/>
            <w:sz w:val="13"/>
          </w:rPr>
          <w:t>348</w:t>
        </w:r>
      </w:hyperlink>
      <w:r>
        <w:rPr>
          <w:position w:val="7"/>
          <w:sz w:val="13"/>
        </w:rPr>
        <w:t xml:space="preserve"> </w:t>
      </w:r>
      <w:r>
        <w:rPr>
          <w:sz w:val="20"/>
        </w:rPr>
        <w:t xml:space="preserve">y </w:t>
      </w:r>
      <w:r>
        <w:rPr>
          <w:sz w:val="20"/>
        </w:rPr>
        <w:t>que esa disposición recoge una norma consuetudinaria</w:t>
      </w:r>
      <w:r>
        <w:rPr>
          <w:spacing w:val="-17"/>
          <w:sz w:val="20"/>
        </w:rPr>
        <w:t xml:space="preserve"> </w:t>
      </w:r>
      <w:r>
        <w:rPr>
          <w:sz w:val="20"/>
        </w:rPr>
        <w:t>que</w:t>
      </w:r>
      <w:r>
        <w:rPr>
          <w:spacing w:val="-17"/>
          <w:sz w:val="20"/>
        </w:rPr>
        <w:t xml:space="preserve"> </w:t>
      </w:r>
      <w:r>
        <w:rPr>
          <w:sz w:val="20"/>
        </w:rPr>
        <w:t>constituye</w:t>
      </w:r>
      <w:r>
        <w:rPr>
          <w:spacing w:val="-17"/>
          <w:sz w:val="20"/>
        </w:rPr>
        <w:t xml:space="preserve"> </w:t>
      </w:r>
      <w:r>
        <w:rPr>
          <w:sz w:val="20"/>
        </w:rPr>
        <w:t>uno</w:t>
      </w:r>
      <w:r>
        <w:rPr>
          <w:spacing w:val="-17"/>
          <w:sz w:val="20"/>
        </w:rPr>
        <w:t xml:space="preserve"> </w:t>
      </w:r>
      <w:r>
        <w:rPr>
          <w:sz w:val="20"/>
        </w:rPr>
        <w:t>de</w:t>
      </w:r>
      <w:r>
        <w:rPr>
          <w:spacing w:val="-17"/>
          <w:sz w:val="20"/>
        </w:rPr>
        <w:t xml:space="preserve"> </w:t>
      </w:r>
      <w:r>
        <w:rPr>
          <w:sz w:val="20"/>
        </w:rPr>
        <w:t>los</w:t>
      </w:r>
      <w:r>
        <w:rPr>
          <w:spacing w:val="-17"/>
          <w:sz w:val="20"/>
        </w:rPr>
        <w:t xml:space="preserve"> </w:t>
      </w:r>
      <w:r>
        <w:rPr>
          <w:sz w:val="20"/>
        </w:rPr>
        <w:t>principios</w:t>
      </w:r>
      <w:r>
        <w:rPr>
          <w:spacing w:val="-17"/>
          <w:sz w:val="20"/>
        </w:rPr>
        <w:t xml:space="preserve"> </w:t>
      </w:r>
      <w:r>
        <w:rPr>
          <w:sz w:val="20"/>
        </w:rPr>
        <w:t>fundamentales</w:t>
      </w:r>
      <w:r>
        <w:rPr>
          <w:spacing w:val="-17"/>
          <w:sz w:val="20"/>
        </w:rPr>
        <w:t xml:space="preserve"> </w:t>
      </w:r>
      <w:r>
        <w:rPr>
          <w:sz w:val="20"/>
        </w:rPr>
        <w:t>del</w:t>
      </w:r>
      <w:r>
        <w:rPr>
          <w:spacing w:val="-13"/>
          <w:sz w:val="20"/>
        </w:rPr>
        <w:t xml:space="preserve"> </w:t>
      </w:r>
      <w:r>
        <w:rPr>
          <w:sz w:val="20"/>
        </w:rPr>
        <w:t>Derecho</w:t>
      </w:r>
      <w:r>
        <w:rPr>
          <w:spacing w:val="-17"/>
          <w:sz w:val="20"/>
        </w:rPr>
        <w:t xml:space="preserve"> </w:t>
      </w:r>
      <w:r>
        <w:rPr>
          <w:sz w:val="20"/>
        </w:rPr>
        <w:t>Internacional contemporáneo sobre responsabilidad de un</w:t>
      </w:r>
      <w:r>
        <w:rPr>
          <w:spacing w:val="-4"/>
          <w:sz w:val="20"/>
        </w:rPr>
        <w:t xml:space="preserve"> </w:t>
      </w:r>
      <w:r>
        <w:rPr>
          <w:sz w:val="20"/>
        </w:rPr>
        <w:t>Estado</w:t>
      </w:r>
      <w:hyperlink w:anchor="_bookmark412" w:history="1">
        <w:r>
          <w:rPr>
            <w:position w:val="7"/>
            <w:sz w:val="13"/>
          </w:rPr>
          <w:t>349</w:t>
        </w:r>
      </w:hyperlink>
      <w:r>
        <w:rPr>
          <w:sz w:val="20"/>
        </w:rPr>
        <w:t>.</w:t>
      </w:r>
    </w:p>
    <w:p w14:paraId="1D957D8F" w14:textId="77777777" w:rsidR="00467FCA" w:rsidRDefault="00467FCA">
      <w:pPr>
        <w:pStyle w:val="Textoindependiente"/>
      </w:pPr>
    </w:p>
    <w:p w14:paraId="0AFE8795" w14:textId="77777777" w:rsidR="00467FCA" w:rsidRDefault="001B68EB">
      <w:pPr>
        <w:pStyle w:val="Prrafodelista"/>
        <w:numPr>
          <w:ilvl w:val="0"/>
          <w:numId w:val="38"/>
        </w:numPr>
        <w:tabs>
          <w:tab w:val="left" w:pos="687"/>
        </w:tabs>
        <w:ind w:right="118" w:firstLine="0"/>
        <w:jc w:val="both"/>
        <w:rPr>
          <w:sz w:val="20"/>
        </w:rPr>
      </w:pPr>
      <w:r>
        <w:rPr>
          <w:sz w:val="20"/>
        </w:rPr>
        <w:t>La reparación del daño ocasionado por la infracción de una obligación internacional requiere, siempre que sea posible, la plena restitución (</w:t>
      </w:r>
      <w:r>
        <w:rPr>
          <w:i/>
          <w:sz w:val="20"/>
        </w:rPr>
        <w:t>restitutio in integrum</w:t>
      </w:r>
      <w:r>
        <w:rPr>
          <w:sz w:val="20"/>
        </w:rPr>
        <w:t>), que consiste en</w:t>
      </w:r>
      <w:r>
        <w:rPr>
          <w:spacing w:val="23"/>
          <w:sz w:val="20"/>
        </w:rPr>
        <w:t xml:space="preserve"> </w:t>
      </w:r>
      <w:r>
        <w:rPr>
          <w:sz w:val="20"/>
        </w:rPr>
        <w:t>el</w:t>
      </w:r>
      <w:r>
        <w:rPr>
          <w:spacing w:val="25"/>
          <w:sz w:val="20"/>
        </w:rPr>
        <w:t xml:space="preserve"> </w:t>
      </w:r>
      <w:r>
        <w:rPr>
          <w:sz w:val="20"/>
        </w:rPr>
        <w:t>restablecimiento</w:t>
      </w:r>
      <w:r>
        <w:rPr>
          <w:spacing w:val="27"/>
          <w:sz w:val="20"/>
        </w:rPr>
        <w:t xml:space="preserve"> </w:t>
      </w:r>
      <w:r>
        <w:rPr>
          <w:sz w:val="20"/>
        </w:rPr>
        <w:t>de</w:t>
      </w:r>
      <w:r>
        <w:rPr>
          <w:spacing w:val="21"/>
          <w:sz w:val="20"/>
        </w:rPr>
        <w:t xml:space="preserve"> </w:t>
      </w:r>
      <w:r>
        <w:rPr>
          <w:sz w:val="20"/>
        </w:rPr>
        <w:t>la</w:t>
      </w:r>
      <w:r>
        <w:rPr>
          <w:spacing w:val="24"/>
          <w:sz w:val="20"/>
        </w:rPr>
        <w:t xml:space="preserve"> </w:t>
      </w:r>
      <w:r>
        <w:rPr>
          <w:sz w:val="20"/>
        </w:rPr>
        <w:t>situación</w:t>
      </w:r>
      <w:r>
        <w:rPr>
          <w:spacing w:val="23"/>
          <w:sz w:val="20"/>
        </w:rPr>
        <w:t xml:space="preserve"> </w:t>
      </w:r>
      <w:r>
        <w:rPr>
          <w:sz w:val="20"/>
        </w:rPr>
        <w:t>anterior.</w:t>
      </w:r>
      <w:r>
        <w:rPr>
          <w:spacing w:val="23"/>
          <w:sz w:val="20"/>
        </w:rPr>
        <w:t xml:space="preserve"> </w:t>
      </w:r>
      <w:r>
        <w:rPr>
          <w:sz w:val="20"/>
        </w:rPr>
        <w:t>De</w:t>
      </w:r>
      <w:r>
        <w:rPr>
          <w:spacing w:val="24"/>
          <w:sz w:val="20"/>
        </w:rPr>
        <w:t xml:space="preserve"> </w:t>
      </w:r>
      <w:r>
        <w:rPr>
          <w:sz w:val="20"/>
        </w:rPr>
        <w:t>no</w:t>
      </w:r>
      <w:r>
        <w:rPr>
          <w:spacing w:val="24"/>
          <w:sz w:val="20"/>
        </w:rPr>
        <w:t xml:space="preserve"> </w:t>
      </w:r>
      <w:r>
        <w:rPr>
          <w:sz w:val="20"/>
        </w:rPr>
        <w:t>ser</w:t>
      </w:r>
      <w:r>
        <w:rPr>
          <w:spacing w:val="25"/>
          <w:sz w:val="20"/>
        </w:rPr>
        <w:t xml:space="preserve"> </w:t>
      </w:r>
      <w:r>
        <w:rPr>
          <w:sz w:val="20"/>
        </w:rPr>
        <w:t>esto</w:t>
      </w:r>
      <w:r>
        <w:rPr>
          <w:spacing w:val="24"/>
          <w:sz w:val="20"/>
        </w:rPr>
        <w:t xml:space="preserve"> </w:t>
      </w:r>
      <w:r>
        <w:rPr>
          <w:sz w:val="20"/>
        </w:rPr>
        <w:t>factible,</w:t>
      </w:r>
      <w:r>
        <w:rPr>
          <w:spacing w:val="25"/>
          <w:sz w:val="20"/>
        </w:rPr>
        <w:t xml:space="preserve"> </w:t>
      </w:r>
      <w:r>
        <w:rPr>
          <w:sz w:val="20"/>
        </w:rPr>
        <w:t>com</w:t>
      </w:r>
      <w:r>
        <w:rPr>
          <w:sz w:val="20"/>
        </w:rPr>
        <w:t>o</w:t>
      </w:r>
      <w:r>
        <w:rPr>
          <w:spacing w:val="24"/>
          <w:sz w:val="20"/>
        </w:rPr>
        <w:t xml:space="preserve"> </w:t>
      </w:r>
      <w:r>
        <w:rPr>
          <w:sz w:val="20"/>
        </w:rPr>
        <w:t>ocurre</w:t>
      </w:r>
      <w:r>
        <w:rPr>
          <w:spacing w:val="21"/>
          <w:sz w:val="20"/>
        </w:rPr>
        <w:t xml:space="preserve"> </w:t>
      </w:r>
      <w:r>
        <w:rPr>
          <w:sz w:val="20"/>
        </w:rPr>
        <w:t>en</w:t>
      </w:r>
      <w:r>
        <w:rPr>
          <w:spacing w:val="24"/>
          <w:sz w:val="20"/>
        </w:rPr>
        <w:t xml:space="preserve"> </w:t>
      </w:r>
      <w:r>
        <w:rPr>
          <w:sz w:val="20"/>
        </w:rPr>
        <w:t>la</w:t>
      </w:r>
    </w:p>
    <w:p w14:paraId="61A40E2F" w14:textId="77777777" w:rsidR="00467FCA" w:rsidRDefault="001B68EB">
      <w:pPr>
        <w:pStyle w:val="Textoindependiente"/>
        <w:spacing w:before="7"/>
        <w:rPr>
          <w:sz w:val="28"/>
        </w:rPr>
      </w:pPr>
      <w:r>
        <w:pict w14:anchorId="21802D94">
          <v:shape id="_x0000_s1129" style="position:absolute;margin-left:1in;margin-top:19.65pt;width:2in;height:.1pt;z-index:-251589632;mso-wrap-distance-left:0;mso-wrap-distance-right:0;mso-position-horizontal-relative:page" coordorigin="1440,393" coordsize="2880,0" path="m1440,393r2880,e" filled="f" strokeweight=".6pt">
            <v:path arrowok="t"/>
            <w10:wrap type="topAndBottom" anchorx="page"/>
          </v:shape>
        </w:pict>
      </w:r>
    </w:p>
    <w:p w14:paraId="6DC0FD9C" w14:textId="77777777" w:rsidR="00467FCA" w:rsidRDefault="001B68EB">
      <w:pPr>
        <w:tabs>
          <w:tab w:val="left" w:pos="839"/>
        </w:tabs>
        <w:spacing w:before="74"/>
        <w:ind w:left="118" w:right="129" w:firstLine="1"/>
        <w:rPr>
          <w:sz w:val="16"/>
        </w:rPr>
      </w:pPr>
      <w:bookmarkStart w:id="470" w:name="_bookmark410"/>
      <w:bookmarkEnd w:id="470"/>
      <w:r>
        <w:rPr>
          <w:position w:val="6"/>
          <w:sz w:val="10"/>
        </w:rPr>
        <w:t>347</w:t>
      </w:r>
      <w:r>
        <w:rPr>
          <w:position w:val="6"/>
          <w:sz w:val="10"/>
        </w:rPr>
        <w:tab/>
      </w:r>
      <w:r>
        <w:rPr>
          <w:i/>
          <w:sz w:val="16"/>
        </w:rPr>
        <w:t xml:space="preserve">Cfr. </w:t>
      </w:r>
      <w:r>
        <w:rPr>
          <w:sz w:val="16"/>
        </w:rPr>
        <w:t>Declaración de Roque Ribeiro da Conceição rendida a los representantes de las presuntas víctimas</w:t>
      </w:r>
      <w:bookmarkStart w:id="471" w:name="_bookmark411"/>
      <w:bookmarkEnd w:id="471"/>
      <w:r>
        <w:rPr>
          <w:sz w:val="16"/>
        </w:rPr>
        <w:t xml:space="preserve"> (expediente de prueba, folios 451 y</w:t>
      </w:r>
      <w:r>
        <w:rPr>
          <w:spacing w:val="-8"/>
          <w:sz w:val="16"/>
        </w:rPr>
        <w:t xml:space="preserve"> </w:t>
      </w:r>
      <w:r>
        <w:rPr>
          <w:sz w:val="16"/>
        </w:rPr>
        <w:t>564).</w:t>
      </w:r>
    </w:p>
    <w:p w14:paraId="1FCE3007" w14:textId="77777777" w:rsidR="00467FCA" w:rsidRDefault="001B68EB">
      <w:pPr>
        <w:tabs>
          <w:tab w:val="left" w:pos="839"/>
        </w:tabs>
        <w:ind w:left="120" w:right="129"/>
        <w:rPr>
          <w:sz w:val="16"/>
        </w:rPr>
      </w:pPr>
      <w:r>
        <w:rPr>
          <w:position w:val="6"/>
          <w:sz w:val="10"/>
        </w:rPr>
        <w:t>348</w:t>
      </w:r>
      <w:r>
        <w:rPr>
          <w:position w:val="6"/>
          <w:sz w:val="10"/>
        </w:rPr>
        <w:tab/>
      </w:r>
      <w:r>
        <w:rPr>
          <w:i/>
          <w:sz w:val="16"/>
        </w:rPr>
        <w:t xml:space="preserve">Cfr. Caso Velásquez Rodríguez Vs. Honduras. Reparaciones y Costas. </w:t>
      </w:r>
      <w:r>
        <w:rPr>
          <w:sz w:val="16"/>
        </w:rPr>
        <w:t xml:space="preserve">Sentencia de 21 de julio de 1989. Serie C No. 7, párr. 25, y </w:t>
      </w:r>
      <w:r>
        <w:rPr>
          <w:i/>
          <w:sz w:val="16"/>
        </w:rPr>
        <w:t>Caso Roche Azaña y otros Vs. Nicaragua, supra</w:t>
      </w:r>
      <w:r>
        <w:rPr>
          <w:sz w:val="16"/>
        </w:rPr>
        <w:t>, párr.</w:t>
      </w:r>
      <w:r>
        <w:rPr>
          <w:spacing w:val="-25"/>
          <w:sz w:val="16"/>
        </w:rPr>
        <w:t xml:space="preserve"> </w:t>
      </w:r>
      <w:r>
        <w:rPr>
          <w:sz w:val="16"/>
        </w:rPr>
        <w:t>103.</w:t>
      </w:r>
    </w:p>
    <w:p w14:paraId="441534D0" w14:textId="77777777" w:rsidR="00467FCA" w:rsidRDefault="001B68EB">
      <w:pPr>
        <w:tabs>
          <w:tab w:val="left" w:pos="839"/>
        </w:tabs>
        <w:ind w:left="120" w:right="129"/>
        <w:rPr>
          <w:sz w:val="16"/>
        </w:rPr>
      </w:pPr>
      <w:bookmarkStart w:id="472" w:name="_bookmark412"/>
      <w:bookmarkEnd w:id="472"/>
      <w:r>
        <w:rPr>
          <w:position w:val="6"/>
          <w:sz w:val="10"/>
        </w:rPr>
        <w:t>349</w:t>
      </w:r>
      <w:r>
        <w:rPr>
          <w:position w:val="6"/>
          <w:sz w:val="10"/>
        </w:rPr>
        <w:tab/>
      </w:r>
      <w:r>
        <w:rPr>
          <w:i/>
          <w:sz w:val="16"/>
        </w:rPr>
        <w:t>Cfr. Caso Velásquez Rodríguez Vs. Honduras. Reparaciones y Costas</w:t>
      </w:r>
      <w:r>
        <w:rPr>
          <w:sz w:val="16"/>
        </w:rPr>
        <w:t>,</w:t>
      </w:r>
      <w:r>
        <w:rPr>
          <w:sz w:val="16"/>
        </w:rPr>
        <w:t xml:space="preserve"> </w:t>
      </w:r>
      <w:r>
        <w:rPr>
          <w:i/>
          <w:sz w:val="16"/>
        </w:rPr>
        <w:t xml:space="preserve">supra, </w:t>
      </w:r>
      <w:r>
        <w:rPr>
          <w:sz w:val="16"/>
        </w:rPr>
        <w:t xml:space="preserve">párr. 25, y </w:t>
      </w:r>
      <w:r>
        <w:rPr>
          <w:i/>
          <w:sz w:val="16"/>
        </w:rPr>
        <w:t xml:space="preserve">Caso Roche Azaña y otros Vs. Nicaragua, supra, </w:t>
      </w:r>
      <w:r>
        <w:rPr>
          <w:sz w:val="16"/>
        </w:rPr>
        <w:t>párr.</w:t>
      </w:r>
      <w:r>
        <w:rPr>
          <w:spacing w:val="-7"/>
          <w:sz w:val="16"/>
        </w:rPr>
        <w:t xml:space="preserve"> </w:t>
      </w:r>
      <w:r>
        <w:rPr>
          <w:sz w:val="16"/>
        </w:rPr>
        <w:t>103.</w:t>
      </w:r>
    </w:p>
    <w:p w14:paraId="7C97F935" w14:textId="77777777" w:rsidR="00467FCA" w:rsidRDefault="00467FCA">
      <w:pPr>
        <w:rPr>
          <w:sz w:val="16"/>
        </w:rPr>
        <w:sectPr w:rsidR="00467FCA">
          <w:pgSz w:w="12240" w:h="15840"/>
          <w:pgMar w:top="1360" w:right="1320" w:bottom="1220" w:left="1320" w:header="0" w:footer="957" w:gutter="0"/>
          <w:cols w:space="720"/>
        </w:sectPr>
      </w:pPr>
    </w:p>
    <w:p w14:paraId="6D406ACD" w14:textId="77777777" w:rsidR="00467FCA" w:rsidRDefault="001B68EB">
      <w:pPr>
        <w:pStyle w:val="Textoindependiente"/>
        <w:spacing w:before="80"/>
        <w:ind w:left="120" w:right="119"/>
        <w:jc w:val="both"/>
      </w:pPr>
      <w:r>
        <w:t>mayoría de los casos de violaciones a derechos humanos, el Tribunal determinará medidas para garantizar los derechos conculcados y reparar las consecuencias que las</w:t>
      </w:r>
      <w:r>
        <w:t xml:space="preserve"> infracciones produjeron</w:t>
      </w:r>
      <w:hyperlink w:anchor="_bookmark415" w:history="1">
        <w:r>
          <w:rPr>
            <w:position w:val="7"/>
            <w:sz w:val="13"/>
          </w:rPr>
          <w:t>350</w:t>
        </w:r>
      </w:hyperlink>
      <w:r>
        <w:t>.</w:t>
      </w:r>
    </w:p>
    <w:p w14:paraId="5B4E20C0" w14:textId="77777777" w:rsidR="00467FCA" w:rsidRDefault="00467FCA">
      <w:pPr>
        <w:pStyle w:val="Textoindependiente"/>
      </w:pPr>
    </w:p>
    <w:p w14:paraId="5F4B3D57" w14:textId="77777777" w:rsidR="00467FCA" w:rsidRDefault="001B68EB">
      <w:pPr>
        <w:pStyle w:val="Prrafodelista"/>
        <w:numPr>
          <w:ilvl w:val="0"/>
          <w:numId w:val="38"/>
        </w:numPr>
        <w:tabs>
          <w:tab w:val="left" w:pos="687"/>
        </w:tabs>
        <w:ind w:right="118" w:firstLine="0"/>
        <w:jc w:val="both"/>
        <w:rPr>
          <w:sz w:val="20"/>
        </w:rPr>
      </w:pPr>
      <w:r>
        <w:rPr>
          <w:sz w:val="20"/>
        </w:rPr>
        <w:t>Este Tribunal ha establecido que las reparaciones deben tener un nexo causal con los hechos del caso, las violaciones declaradas, los daños acreditados, así como las medidas solicitadas para rep</w:t>
      </w:r>
      <w:r>
        <w:rPr>
          <w:sz w:val="20"/>
        </w:rPr>
        <w:t>arar los daños respectivos. Por lo tanto, la Corte deberá observar dicha concurrencia para pronunciarse debidamente y conforme a</w:t>
      </w:r>
      <w:r>
        <w:rPr>
          <w:spacing w:val="-7"/>
          <w:sz w:val="20"/>
        </w:rPr>
        <w:t xml:space="preserve"> </w:t>
      </w:r>
      <w:r>
        <w:rPr>
          <w:sz w:val="20"/>
        </w:rPr>
        <w:t>derecho</w:t>
      </w:r>
      <w:hyperlink w:anchor="_bookmark416" w:history="1">
        <w:r>
          <w:rPr>
            <w:position w:val="7"/>
            <w:sz w:val="13"/>
          </w:rPr>
          <w:t>351</w:t>
        </w:r>
      </w:hyperlink>
      <w:r>
        <w:rPr>
          <w:sz w:val="20"/>
        </w:rPr>
        <w:t>.</w:t>
      </w:r>
    </w:p>
    <w:p w14:paraId="647D1968" w14:textId="77777777" w:rsidR="00467FCA" w:rsidRDefault="00467FCA">
      <w:pPr>
        <w:pStyle w:val="Textoindependiente"/>
        <w:spacing w:before="11"/>
        <w:rPr>
          <w:sz w:val="19"/>
        </w:rPr>
      </w:pPr>
    </w:p>
    <w:p w14:paraId="2E448CB7" w14:textId="77777777" w:rsidR="00467FCA" w:rsidRDefault="001B68EB">
      <w:pPr>
        <w:pStyle w:val="Prrafodelista"/>
        <w:numPr>
          <w:ilvl w:val="0"/>
          <w:numId w:val="38"/>
        </w:numPr>
        <w:tabs>
          <w:tab w:val="left" w:pos="687"/>
        </w:tabs>
        <w:ind w:right="117" w:firstLine="0"/>
        <w:jc w:val="both"/>
        <w:rPr>
          <w:sz w:val="20"/>
        </w:rPr>
      </w:pPr>
      <w:r>
        <w:rPr>
          <w:sz w:val="20"/>
        </w:rPr>
        <w:t>En consideración de las violaciones declaradas en el capítulo anterior, el Tribuna</w:t>
      </w:r>
      <w:r>
        <w:rPr>
          <w:sz w:val="20"/>
        </w:rPr>
        <w:t>l procederá</w:t>
      </w:r>
      <w:r>
        <w:rPr>
          <w:spacing w:val="-11"/>
          <w:sz w:val="20"/>
        </w:rPr>
        <w:t xml:space="preserve"> </w:t>
      </w:r>
      <w:r>
        <w:rPr>
          <w:sz w:val="20"/>
        </w:rPr>
        <w:t>a</w:t>
      </w:r>
      <w:r>
        <w:rPr>
          <w:spacing w:val="-10"/>
          <w:sz w:val="20"/>
        </w:rPr>
        <w:t xml:space="preserve"> </w:t>
      </w:r>
      <w:r>
        <w:rPr>
          <w:sz w:val="20"/>
        </w:rPr>
        <w:t>analizar</w:t>
      </w:r>
      <w:r>
        <w:rPr>
          <w:spacing w:val="-14"/>
          <w:sz w:val="20"/>
        </w:rPr>
        <w:t xml:space="preserve"> </w:t>
      </w:r>
      <w:r>
        <w:rPr>
          <w:sz w:val="20"/>
        </w:rPr>
        <w:t>las</w:t>
      </w:r>
      <w:r>
        <w:rPr>
          <w:spacing w:val="-9"/>
          <w:sz w:val="20"/>
        </w:rPr>
        <w:t xml:space="preserve"> </w:t>
      </w:r>
      <w:r>
        <w:rPr>
          <w:sz w:val="20"/>
        </w:rPr>
        <w:t>pretensiones</w:t>
      </w:r>
      <w:r>
        <w:rPr>
          <w:spacing w:val="-11"/>
          <w:sz w:val="20"/>
        </w:rPr>
        <w:t xml:space="preserve"> </w:t>
      </w:r>
      <w:r>
        <w:rPr>
          <w:sz w:val="20"/>
        </w:rPr>
        <w:t>presentadas</w:t>
      </w:r>
      <w:r>
        <w:rPr>
          <w:spacing w:val="-13"/>
          <w:sz w:val="20"/>
        </w:rPr>
        <w:t xml:space="preserve"> </w:t>
      </w:r>
      <w:r>
        <w:rPr>
          <w:sz w:val="20"/>
        </w:rPr>
        <w:t>por</w:t>
      </w:r>
      <w:r>
        <w:rPr>
          <w:spacing w:val="-11"/>
          <w:sz w:val="20"/>
        </w:rPr>
        <w:t xml:space="preserve"> </w:t>
      </w:r>
      <w:r>
        <w:rPr>
          <w:sz w:val="20"/>
        </w:rPr>
        <w:t>la</w:t>
      </w:r>
      <w:r>
        <w:rPr>
          <w:spacing w:val="-11"/>
          <w:sz w:val="20"/>
        </w:rPr>
        <w:t xml:space="preserve"> </w:t>
      </w:r>
      <w:r>
        <w:rPr>
          <w:sz w:val="20"/>
        </w:rPr>
        <w:t>Comisión</w:t>
      </w:r>
      <w:r>
        <w:rPr>
          <w:spacing w:val="-9"/>
          <w:sz w:val="20"/>
        </w:rPr>
        <w:t xml:space="preserve"> </w:t>
      </w:r>
      <w:r>
        <w:rPr>
          <w:sz w:val="20"/>
        </w:rPr>
        <w:t>y</w:t>
      </w:r>
      <w:r>
        <w:rPr>
          <w:spacing w:val="-11"/>
          <w:sz w:val="20"/>
        </w:rPr>
        <w:t xml:space="preserve"> </w:t>
      </w:r>
      <w:r>
        <w:rPr>
          <w:sz w:val="20"/>
        </w:rPr>
        <w:t>los</w:t>
      </w:r>
      <w:r>
        <w:rPr>
          <w:spacing w:val="-11"/>
          <w:sz w:val="20"/>
        </w:rPr>
        <w:t xml:space="preserve"> </w:t>
      </w:r>
      <w:r>
        <w:rPr>
          <w:sz w:val="20"/>
        </w:rPr>
        <w:t>representantes</w:t>
      </w:r>
      <w:r>
        <w:rPr>
          <w:spacing w:val="-13"/>
          <w:sz w:val="20"/>
        </w:rPr>
        <w:t xml:space="preserve"> </w:t>
      </w:r>
      <w:r>
        <w:rPr>
          <w:sz w:val="20"/>
        </w:rPr>
        <w:t>de</w:t>
      </w:r>
      <w:r>
        <w:rPr>
          <w:spacing w:val="-11"/>
          <w:sz w:val="20"/>
        </w:rPr>
        <w:t xml:space="preserve"> </w:t>
      </w:r>
      <w:r>
        <w:rPr>
          <w:sz w:val="20"/>
        </w:rPr>
        <w:t>las víctimas, así como los argumentos del Estado, a la luz de los criterios fijados en la jurisprudencia de la Corte en relación con la naturaleza y alcance de la obligación de reparar</w:t>
      </w:r>
      <w:hyperlink w:anchor="_bookmark417" w:history="1">
        <w:r>
          <w:rPr>
            <w:position w:val="7"/>
            <w:sz w:val="13"/>
          </w:rPr>
          <w:t>352</w:t>
        </w:r>
      </w:hyperlink>
      <w:r>
        <w:rPr>
          <w:sz w:val="20"/>
        </w:rPr>
        <w:t>, con el objeto de disponer las medid</w:t>
      </w:r>
      <w:r>
        <w:rPr>
          <w:sz w:val="20"/>
        </w:rPr>
        <w:t>as dirigidas a reparar los daños ocasionados a las</w:t>
      </w:r>
      <w:r>
        <w:rPr>
          <w:spacing w:val="-3"/>
          <w:sz w:val="20"/>
        </w:rPr>
        <w:t xml:space="preserve"> </w:t>
      </w:r>
      <w:r>
        <w:rPr>
          <w:sz w:val="20"/>
        </w:rPr>
        <w:t>víctimas.</w:t>
      </w:r>
    </w:p>
    <w:p w14:paraId="16D70B78" w14:textId="77777777" w:rsidR="00467FCA" w:rsidRDefault="00467FCA">
      <w:pPr>
        <w:pStyle w:val="Textoindependiente"/>
        <w:rPr>
          <w:sz w:val="24"/>
        </w:rPr>
      </w:pPr>
    </w:p>
    <w:p w14:paraId="52DFBCE8" w14:textId="77777777" w:rsidR="00467FCA" w:rsidRDefault="001B68EB">
      <w:pPr>
        <w:pStyle w:val="Ttulo1"/>
        <w:numPr>
          <w:ilvl w:val="0"/>
          <w:numId w:val="37"/>
        </w:numPr>
        <w:tabs>
          <w:tab w:val="left" w:pos="841"/>
        </w:tabs>
        <w:spacing w:before="197"/>
        <w:ind w:hanging="362"/>
      </w:pPr>
      <w:bookmarkStart w:id="473" w:name="A._Parte_lesionada"/>
      <w:bookmarkStart w:id="474" w:name="_bookmark413"/>
      <w:bookmarkEnd w:id="473"/>
      <w:bookmarkEnd w:id="474"/>
      <w:r>
        <w:t>Parte</w:t>
      </w:r>
      <w:r>
        <w:rPr>
          <w:spacing w:val="-1"/>
        </w:rPr>
        <w:t xml:space="preserve"> </w:t>
      </w:r>
      <w:r>
        <w:t>lesionada</w:t>
      </w:r>
    </w:p>
    <w:p w14:paraId="6C5EE09A" w14:textId="77777777" w:rsidR="00467FCA" w:rsidRDefault="00467FCA">
      <w:pPr>
        <w:pStyle w:val="Textoindependiente"/>
        <w:spacing w:before="10"/>
        <w:rPr>
          <w:b/>
          <w:sz w:val="19"/>
        </w:rPr>
      </w:pPr>
    </w:p>
    <w:p w14:paraId="0EDB695C" w14:textId="77777777" w:rsidR="00467FCA" w:rsidRDefault="001B68EB">
      <w:pPr>
        <w:pStyle w:val="Prrafodelista"/>
        <w:numPr>
          <w:ilvl w:val="0"/>
          <w:numId w:val="38"/>
        </w:numPr>
        <w:tabs>
          <w:tab w:val="left" w:pos="687"/>
        </w:tabs>
        <w:ind w:left="686"/>
        <w:jc w:val="both"/>
        <w:rPr>
          <w:sz w:val="20"/>
        </w:rPr>
      </w:pPr>
      <w:r>
        <w:rPr>
          <w:sz w:val="20"/>
        </w:rPr>
        <w:t>Este</w:t>
      </w:r>
      <w:r>
        <w:rPr>
          <w:spacing w:val="8"/>
          <w:sz w:val="20"/>
        </w:rPr>
        <w:t xml:space="preserve"> </w:t>
      </w:r>
      <w:r>
        <w:rPr>
          <w:sz w:val="20"/>
        </w:rPr>
        <w:t>Tribunal</w:t>
      </w:r>
      <w:r>
        <w:rPr>
          <w:spacing w:val="9"/>
          <w:sz w:val="20"/>
        </w:rPr>
        <w:t xml:space="preserve"> </w:t>
      </w:r>
      <w:r>
        <w:rPr>
          <w:sz w:val="20"/>
        </w:rPr>
        <w:t>reitera</w:t>
      </w:r>
      <w:r>
        <w:rPr>
          <w:spacing w:val="10"/>
          <w:sz w:val="20"/>
        </w:rPr>
        <w:t xml:space="preserve"> </w:t>
      </w:r>
      <w:r>
        <w:rPr>
          <w:sz w:val="20"/>
        </w:rPr>
        <w:t>que</w:t>
      </w:r>
      <w:r>
        <w:rPr>
          <w:spacing w:val="10"/>
          <w:sz w:val="20"/>
        </w:rPr>
        <w:t xml:space="preserve"> </w:t>
      </w:r>
      <w:r>
        <w:rPr>
          <w:sz w:val="20"/>
        </w:rPr>
        <w:t>se</w:t>
      </w:r>
      <w:r>
        <w:rPr>
          <w:spacing w:val="11"/>
          <w:sz w:val="20"/>
        </w:rPr>
        <w:t xml:space="preserve"> </w:t>
      </w:r>
      <w:r>
        <w:rPr>
          <w:sz w:val="20"/>
        </w:rPr>
        <w:t>consideran</w:t>
      </w:r>
      <w:r>
        <w:rPr>
          <w:spacing w:val="10"/>
          <w:sz w:val="20"/>
        </w:rPr>
        <w:t xml:space="preserve"> </w:t>
      </w:r>
      <w:r>
        <w:rPr>
          <w:sz w:val="20"/>
        </w:rPr>
        <w:t>partes</w:t>
      </w:r>
      <w:r>
        <w:rPr>
          <w:spacing w:val="8"/>
          <w:sz w:val="20"/>
        </w:rPr>
        <w:t xml:space="preserve"> </w:t>
      </w:r>
      <w:r>
        <w:rPr>
          <w:sz w:val="20"/>
        </w:rPr>
        <w:t>lesionadas,</w:t>
      </w:r>
      <w:r>
        <w:rPr>
          <w:spacing w:val="12"/>
          <w:sz w:val="20"/>
        </w:rPr>
        <w:t xml:space="preserve"> </w:t>
      </w:r>
      <w:r>
        <w:rPr>
          <w:sz w:val="20"/>
        </w:rPr>
        <w:t>en</w:t>
      </w:r>
      <w:r>
        <w:rPr>
          <w:spacing w:val="10"/>
          <w:sz w:val="20"/>
        </w:rPr>
        <w:t xml:space="preserve"> </w:t>
      </w:r>
      <w:r>
        <w:rPr>
          <w:sz w:val="20"/>
        </w:rPr>
        <w:t>los</w:t>
      </w:r>
      <w:r>
        <w:rPr>
          <w:spacing w:val="12"/>
          <w:sz w:val="20"/>
        </w:rPr>
        <w:t xml:space="preserve"> </w:t>
      </w:r>
      <w:r>
        <w:rPr>
          <w:sz w:val="20"/>
        </w:rPr>
        <w:t>términos</w:t>
      </w:r>
      <w:r>
        <w:rPr>
          <w:spacing w:val="8"/>
          <w:sz w:val="20"/>
        </w:rPr>
        <w:t xml:space="preserve"> </w:t>
      </w:r>
      <w:r>
        <w:rPr>
          <w:sz w:val="20"/>
        </w:rPr>
        <w:t>del</w:t>
      </w:r>
      <w:r>
        <w:rPr>
          <w:spacing w:val="9"/>
          <w:sz w:val="20"/>
        </w:rPr>
        <w:t xml:space="preserve"> </w:t>
      </w:r>
      <w:r>
        <w:rPr>
          <w:sz w:val="20"/>
        </w:rPr>
        <w:t>artículo</w:t>
      </w:r>
    </w:p>
    <w:p w14:paraId="1265BA2D" w14:textId="77777777" w:rsidR="00467FCA" w:rsidRDefault="001B68EB">
      <w:pPr>
        <w:pStyle w:val="Textoindependiente"/>
        <w:spacing w:before="2"/>
        <w:ind w:left="119" w:right="116"/>
        <w:jc w:val="both"/>
      </w:pPr>
      <w:r>
        <w:t>63.1</w:t>
      </w:r>
      <w:r>
        <w:rPr>
          <w:spacing w:val="-8"/>
        </w:rPr>
        <w:t xml:space="preserve"> </w:t>
      </w:r>
      <w:r>
        <w:t>de</w:t>
      </w:r>
      <w:r>
        <w:rPr>
          <w:spacing w:val="-10"/>
        </w:rPr>
        <w:t xml:space="preserve"> </w:t>
      </w:r>
      <w:r>
        <w:t>la</w:t>
      </w:r>
      <w:r>
        <w:rPr>
          <w:spacing w:val="-8"/>
        </w:rPr>
        <w:t xml:space="preserve"> </w:t>
      </w:r>
      <w:r>
        <w:t>Convención,</w:t>
      </w:r>
      <w:r>
        <w:rPr>
          <w:spacing w:val="-7"/>
        </w:rPr>
        <w:t xml:space="preserve"> </w:t>
      </w:r>
      <w:r>
        <w:t>quienes</w:t>
      </w:r>
      <w:r>
        <w:rPr>
          <w:spacing w:val="-9"/>
        </w:rPr>
        <w:t xml:space="preserve"> </w:t>
      </w:r>
      <w:r>
        <w:t>han</w:t>
      </w:r>
      <w:r>
        <w:rPr>
          <w:spacing w:val="-8"/>
        </w:rPr>
        <w:t xml:space="preserve"> </w:t>
      </w:r>
      <w:r>
        <w:t>sido</w:t>
      </w:r>
      <w:r>
        <w:rPr>
          <w:spacing w:val="-9"/>
        </w:rPr>
        <w:t xml:space="preserve"> </w:t>
      </w:r>
      <w:r>
        <w:t>declaradas</w:t>
      </w:r>
      <w:r>
        <w:rPr>
          <w:spacing w:val="-10"/>
        </w:rPr>
        <w:t xml:space="preserve"> </w:t>
      </w:r>
      <w:r>
        <w:t>víctimas</w:t>
      </w:r>
      <w:r>
        <w:rPr>
          <w:spacing w:val="-9"/>
        </w:rPr>
        <w:t xml:space="preserve"> </w:t>
      </w:r>
      <w:r>
        <w:t>de</w:t>
      </w:r>
      <w:r>
        <w:rPr>
          <w:spacing w:val="-9"/>
        </w:rPr>
        <w:t xml:space="preserve"> </w:t>
      </w:r>
      <w:r>
        <w:t>la</w:t>
      </w:r>
      <w:r>
        <w:rPr>
          <w:spacing w:val="-9"/>
        </w:rPr>
        <w:t xml:space="preserve"> </w:t>
      </w:r>
      <w:r>
        <w:t>violación</w:t>
      </w:r>
      <w:r>
        <w:rPr>
          <w:spacing w:val="-8"/>
        </w:rPr>
        <w:t xml:space="preserve"> </w:t>
      </w:r>
      <w:r>
        <w:t>de</w:t>
      </w:r>
      <w:r>
        <w:rPr>
          <w:spacing w:val="-9"/>
        </w:rPr>
        <w:t xml:space="preserve"> </w:t>
      </w:r>
      <w:r>
        <w:t>algún</w:t>
      </w:r>
      <w:r>
        <w:rPr>
          <w:spacing w:val="-8"/>
        </w:rPr>
        <w:t xml:space="preserve"> </w:t>
      </w:r>
      <w:r>
        <w:t>derecho reconocido en ese tratado</w:t>
      </w:r>
      <w:hyperlink w:anchor="_bookmark418" w:history="1">
        <w:r>
          <w:rPr>
            <w:position w:val="7"/>
            <w:sz w:val="13"/>
          </w:rPr>
          <w:t>353</w:t>
        </w:r>
      </w:hyperlink>
      <w:r>
        <w:t>. Por lo tanto, esta Corte considera como partes lesionadas a las 60 víctimas fatales y a las seis sobrevivientes de la explosión identificadas en el Anexo 1 de esta</w:t>
      </w:r>
      <w:r>
        <w:rPr>
          <w:spacing w:val="-6"/>
        </w:rPr>
        <w:t xml:space="preserve"> </w:t>
      </w:r>
      <w:r>
        <w:t>sentencia,</w:t>
      </w:r>
      <w:r>
        <w:rPr>
          <w:spacing w:val="-6"/>
        </w:rPr>
        <w:t xml:space="preserve"> </w:t>
      </w:r>
      <w:r>
        <w:t>así</w:t>
      </w:r>
      <w:r>
        <w:rPr>
          <w:spacing w:val="-5"/>
        </w:rPr>
        <w:t xml:space="preserve"> </w:t>
      </w:r>
      <w:r>
        <w:t>como</w:t>
      </w:r>
      <w:r>
        <w:rPr>
          <w:spacing w:val="-9"/>
        </w:rPr>
        <w:t xml:space="preserve"> </w:t>
      </w:r>
      <w:r>
        <w:t>a</w:t>
      </w:r>
      <w:r>
        <w:rPr>
          <w:spacing w:val="-6"/>
        </w:rPr>
        <w:t xml:space="preserve"> </w:t>
      </w:r>
      <w:r>
        <w:t>los</w:t>
      </w:r>
      <w:r>
        <w:rPr>
          <w:spacing w:val="-6"/>
        </w:rPr>
        <w:t xml:space="preserve"> </w:t>
      </w:r>
      <w:r>
        <w:t>100</w:t>
      </w:r>
      <w:r>
        <w:rPr>
          <w:spacing w:val="-5"/>
        </w:rPr>
        <w:t xml:space="preserve"> </w:t>
      </w:r>
      <w:r>
        <w:t>familiares</w:t>
      </w:r>
      <w:r>
        <w:rPr>
          <w:spacing w:val="-9"/>
        </w:rPr>
        <w:t xml:space="preserve"> </w:t>
      </w:r>
      <w:r>
        <w:t>de</w:t>
      </w:r>
      <w:r>
        <w:rPr>
          <w:spacing w:val="-7"/>
        </w:rPr>
        <w:t xml:space="preserve"> </w:t>
      </w:r>
      <w:r>
        <w:t>las</w:t>
      </w:r>
      <w:r>
        <w:rPr>
          <w:spacing w:val="-10"/>
        </w:rPr>
        <w:t xml:space="preserve"> </w:t>
      </w:r>
      <w:r>
        <w:t>personas</w:t>
      </w:r>
      <w:r>
        <w:rPr>
          <w:spacing w:val="-9"/>
        </w:rPr>
        <w:t xml:space="preserve"> </w:t>
      </w:r>
      <w:r>
        <w:t>fallecidas</w:t>
      </w:r>
      <w:r>
        <w:rPr>
          <w:spacing w:val="-4"/>
        </w:rPr>
        <w:t xml:space="preserve"> </w:t>
      </w:r>
      <w:r>
        <w:t>y</w:t>
      </w:r>
      <w:r>
        <w:rPr>
          <w:spacing w:val="-8"/>
        </w:rPr>
        <w:t xml:space="preserve"> </w:t>
      </w:r>
      <w:r>
        <w:t>sobrevivientes</w:t>
      </w:r>
      <w:r>
        <w:rPr>
          <w:spacing w:val="-9"/>
        </w:rPr>
        <w:t xml:space="preserve"> </w:t>
      </w:r>
      <w:r>
        <w:t>de</w:t>
      </w:r>
      <w:r>
        <w:rPr>
          <w:spacing w:val="-9"/>
        </w:rPr>
        <w:t xml:space="preserve"> </w:t>
      </w:r>
      <w:r>
        <w:t>la explosión,</w:t>
      </w:r>
      <w:r>
        <w:rPr>
          <w:spacing w:val="-8"/>
        </w:rPr>
        <w:t xml:space="preserve"> </w:t>
      </w:r>
      <w:r>
        <w:t>identificados</w:t>
      </w:r>
      <w:r>
        <w:rPr>
          <w:spacing w:val="-6"/>
        </w:rPr>
        <w:t xml:space="preserve"> </w:t>
      </w:r>
      <w:r>
        <w:t>en</w:t>
      </w:r>
      <w:r>
        <w:rPr>
          <w:spacing w:val="-7"/>
        </w:rPr>
        <w:t xml:space="preserve"> </w:t>
      </w:r>
      <w:r>
        <w:t>el</w:t>
      </w:r>
      <w:r>
        <w:rPr>
          <w:spacing w:val="-7"/>
        </w:rPr>
        <w:t xml:space="preserve"> </w:t>
      </w:r>
      <w:r>
        <w:t>Anexo</w:t>
      </w:r>
      <w:r>
        <w:rPr>
          <w:spacing w:val="-8"/>
        </w:rPr>
        <w:t xml:space="preserve"> </w:t>
      </w:r>
      <w:r>
        <w:t>2</w:t>
      </w:r>
      <w:r>
        <w:rPr>
          <w:spacing w:val="-7"/>
        </w:rPr>
        <w:t xml:space="preserve"> </w:t>
      </w:r>
      <w:r>
        <w:t>de</w:t>
      </w:r>
      <w:r>
        <w:rPr>
          <w:spacing w:val="-9"/>
        </w:rPr>
        <w:t xml:space="preserve"> </w:t>
      </w:r>
      <w:r>
        <w:t>esta</w:t>
      </w:r>
      <w:r>
        <w:rPr>
          <w:spacing w:val="-8"/>
        </w:rPr>
        <w:t xml:space="preserve"> </w:t>
      </w:r>
      <w:r>
        <w:t>decisión,</w:t>
      </w:r>
      <w:r>
        <w:rPr>
          <w:spacing w:val="-7"/>
        </w:rPr>
        <w:t xml:space="preserve"> </w:t>
      </w:r>
      <w:r>
        <w:t>quienes</w:t>
      </w:r>
      <w:r>
        <w:rPr>
          <w:spacing w:val="-6"/>
        </w:rPr>
        <w:t xml:space="preserve"> </w:t>
      </w:r>
      <w:r>
        <w:t>en</w:t>
      </w:r>
      <w:r>
        <w:rPr>
          <w:spacing w:val="-7"/>
        </w:rPr>
        <w:t xml:space="preserve"> </w:t>
      </w:r>
      <w:r>
        <w:t>su</w:t>
      </w:r>
      <w:r>
        <w:rPr>
          <w:spacing w:val="-4"/>
        </w:rPr>
        <w:t xml:space="preserve"> </w:t>
      </w:r>
      <w:r>
        <w:t>carácter</w:t>
      </w:r>
      <w:r>
        <w:rPr>
          <w:spacing w:val="-8"/>
        </w:rPr>
        <w:t xml:space="preserve"> </w:t>
      </w:r>
      <w:r>
        <w:t>de</w:t>
      </w:r>
      <w:r>
        <w:rPr>
          <w:spacing w:val="-9"/>
        </w:rPr>
        <w:t xml:space="preserve"> </w:t>
      </w:r>
      <w:r>
        <w:t>víctimas</w:t>
      </w:r>
      <w:r>
        <w:rPr>
          <w:spacing w:val="-9"/>
        </w:rPr>
        <w:t xml:space="preserve"> </w:t>
      </w:r>
      <w:r>
        <w:t>de las violaciones declaradas en el capítulo VIII de esta sentencia serán consideradas beneficiarias de las reparaciones que la Corte ordenará a</w:t>
      </w:r>
      <w:r>
        <w:rPr>
          <w:spacing w:val="-3"/>
        </w:rPr>
        <w:t xml:space="preserve"> </w:t>
      </w:r>
      <w:r>
        <w:t>continuación.</w:t>
      </w:r>
    </w:p>
    <w:p w14:paraId="63A41C53" w14:textId="77777777" w:rsidR="00467FCA" w:rsidRDefault="00467FCA">
      <w:pPr>
        <w:pStyle w:val="Textoindependiente"/>
        <w:spacing w:before="12"/>
        <w:rPr>
          <w:sz w:val="19"/>
        </w:rPr>
      </w:pPr>
    </w:p>
    <w:p w14:paraId="29DF7D09" w14:textId="77777777" w:rsidR="00467FCA" w:rsidRDefault="001B68EB">
      <w:pPr>
        <w:pStyle w:val="Prrafodelista"/>
        <w:numPr>
          <w:ilvl w:val="0"/>
          <w:numId w:val="38"/>
        </w:numPr>
        <w:tabs>
          <w:tab w:val="left" w:pos="687"/>
        </w:tabs>
        <w:ind w:left="120" w:right="117" w:firstLine="0"/>
        <w:jc w:val="both"/>
        <w:rPr>
          <w:sz w:val="20"/>
        </w:rPr>
      </w:pPr>
      <w:r>
        <w:rPr>
          <w:sz w:val="20"/>
        </w:rPr>
        <w:t>En lo que respecta a las víctimas identificadas en el Anexo 2, y declaradas como tales por</w:t>
      </w:r>
      <w:r>
        <w:rPr>
          <w:spacing w:val="-17"/>
          <w:sz w:val="20"/>
        </w:rPr>
        <w:t xml:space="preserve"> </w:t>
      </w:r>
      <w:r>
        <w:rPr>
          <w:sz w:val="20"/>
        </w:rPr>
        <w:t>trata</w:t>
      </w:r>
      <w:r>
        <w:rPr>
          <w:sz w:val="20"/>
        </w:rPr>
        <w:t>rse</w:t>
      </w:r>
      <w:r>
        <w:rPr>
          <w:spacing w:val="-16"/>
          <w:sz w:val="20"/>
        </w:rPr>
        <w:t xml:space="preserve"> </w:t>
      </w:r>
      <w:r>
        <w:rPr>
          <w:sz w:val="20"/>
        </w:rPr>
        <w:t>de</w:t>
      </w:r>
      <w:r>
        <w:rPr>
          <w:spacing w:val="-16"/>
          <w:sz w:val="20"/>
        </w:rPr>
        <w:t xml:space="preserve"> </w:t>
      </w:r>
      <w:r>
        <w:rPr>
          <w:sz w:val="20"/>
        </w:rPr>
        <w:t>familiares</w:t>
      </w:r>
      <w:r>
        <w:rPr>
          <w:spacing w:val="-16"/>
          <w:sz w:val="20"/>
        </w:rPr>
        <w:t xml:space="preserve"> </w:t>
      </w:r>
      <w:r>
        <w:rPr>
          <w:sz w:val="20"/>
        </w:rPr>
        <w:t>de</w:t>
      </w:r>
      <w:r>
        <w:rPr>
          <w:spacing w:val="-16"/>
          <w:sz w:val="20"/>
        </w:rPr>
        <w:t xml:space="preserve"> </w:t>
      </w:r>
      <w:r>
        <w:rPr>
          <w:sz w:val="20"/>
        </w:rPr>
        <w:t>las</w:t>
      </w:r>
      <w:r>
        <w:rPr>
          <w:spacing w:val="-16"/>
          <w:sz w:val="20"/>
        </w:rPr>
        <w:t xml:space="preserve"> </w:t>
      </w:r>
      <w:r>
        <w:rPr>
          <w:sz w:val="20"/>
        </w:rPr>
        <w:t>personas</w:t>
      </w:r>
      <w:r>
        <w:rPr>
          <w:spacing w:val="-16"/>
          <w:sz w:val="20"/>
        </w:rPr>
        <w:t xml:space="preserve"> </w:t>
      </w:r>
      <w:r>
        <w:rPr>
          <w:sz w:val="20"/>
        </w:rPr>
        <w:t>fallecidas</w:t>
      </w:r>
      <w:r>
        <w:rPr>
          <w:spacing w:val="-16"/>
          <w:sz w:val="20"/>
        </w:rPr>
        <w:t xml:space="preserve"> </w:t>
      </w:r>
      <w:r>
        <w:rPr>
          <w:sz w:val="20"/>
        </w:rPr>
        <w:t>y</w:t>
      </w:r>
      <w:r>
        <w:rPr>
          <w:spacing w:val="-15"/>
          <w:sz w:val="20"/>
        </w:rPr>
        <w:t xml:space="preserve"> </w:t>
      </w:r>
      <w:r>
        <w:rPr>
          <w:sz w:val="20"/>
        </w:rPr>
        <w:t>sobrevivientes</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explosión,</w:t>
      </w:r>
      <w:r>
        <w:rPr>
          <w:spacing w:val="-13"/>
          <w:sz w:val="20"/>
        </w:rPr>
        <w:t xml:space="preserve"> </w:t>
      </w:r>
      <w:r>
        <w:rPr>
          <w:sz w:val="20"/>
        </w:rPr>
        <w:t>el</w:t>
      </w:r>
      <w:r>
        <w:rPr>
          <w:spacing w:val="-15"/>
          <w:sz w:val="20"/>
        </w:rPr>
        <w:t xml:space="preserve"> </w:t>
      </w:r>
      <w:r>
        <w:rPr>
          <w:sz w:val="20"/>
        </w:rPr>
        <w:t>Estado deberá establecer un sistema que le permita identificarlas adecuadamente y que tenga en cuenta que pueden existir errores y diferencias tipográficas en la escritura de</w:t>
      </w:r>
      <w:r>
        <w:rPr>
          <w:sz w:val="20"/>
        </w:rPr>
        <w:t xml:space="preserve"> sus nombres y apellidos.</w:t>
      </w:r>
    </w:p>
    <w:p w14:paraId="7DCC96C9" w14:textId="77777777" w:rsidR="00467FCA" w:rsidRDefault="00467FCA">
      <w:pPr>
        <w:pStyle w:val="Textoindependiente"/>
        <w:spacing w:before="10"/>
        <w:rPr>
          <w:sz w:val="19"/>
        </w:rPr>
      </w:pPr>
    </w:p>
    <w:p w14:paraId="2CC19907" w14:textId="77777777" w:rsidR="00467FCA" w:rsidRDefault="001B68EB">
      <w:pPr>
        <w:pStyle w:val="Ttulo1"/>
        <w:numPr>
          <w:ilvl w:val="0"/>
          <w:numId w:val="37"/>
        </w:numPr>
        <w:tabs>
          <w:tab w:val="left" w:pos="841"/>
        </w:tabs>
        <w:spacing w:before="1"/>
      </w:pPr>
      <w:bookmarkStart w:id="475" w:name="B._Obligación_de_investigar"/>
      <w:bookmarkStart w:id="476" w:name="_bookmark414"/>
      <w:bookmarkEnd w:id="475"/>
      <w:bookmarkEnd w:id="476"/>
      <w:r>
        <w:t>Obligación de investigar</w:t>
      </w:r>
    </w:p>
    <w:p w14:paraId="1A186CB3" w14:textId="77777777" w:rsidR="00467FCA" w:rsidRDefault="00467FCA">
      <w:pPr>
        <w:pStyle w:val="Textoindependiente"/>
        <w:rPr>
          <w:b/>
        </w:rPr>
      </w:pPr>
    </w:p>
    <w:p w14:paraId="360EC99F" w14:textId="77777777" w:rsidR="00467FCA" w:rsidRDefault="001B68EB">
      <w:pPr>
        <w:pStyle w:val="Prrafodelista"/>
        <w:numPr>
          <w:ilvl w:val="0"/>
          <w:numId w:val="38"/>
        </w:numPr>
        <w:tabs>
          <w:tab w:val="left" w:pos="687"/>
        </w:tabs>
        <w:spacing w:before="1"/>
        <w:ind w:right="116" w:firstLine="0"/>
        <w:jc w:val="both"/>
        <w:rPr>
          <w:sz w:val="20"/>
        </w:rPr>
      </w:pPr>
      <w:r>
        <w:rPr>
          <w:sz w:val="20"/>
        </w:rPr>
        <w:t xml:space="preserve">La </w:t>
      </w:r>
      <w:r>
        <w:rPr>
          <w:b/>
          <w:i/>
          <w:sz w:val="20"/>
        </w:rPr>
        <w:t xml:space="preserve">Comisión </w:t>
      </w:r>
      <w:r>
        <w:rPr>
          <w:sz w:val="20"/>
        </w:rPr>
        <w:t xml:space="preserve">solicitó que en este caso se lleve a cabo una investigación de manera diligente, efectiva y dentro de un plazo razonable con el objeto de esclarecer los hechos en forma completa, identificar </w:t>
      </w:r>
      <w:r>
        <w:rPr>
          <w:sz w:val="20"/>
        </w:rPr>
        <w:t>todas las posibles responsabilidades e imponer las sanciones que correspondan respecto de las violaciones de derechos humanos ocurridas. Estas investigaciones, de acuerdo con la Comisión, deberían ser tanto penales como administrativas,</w:t>
      </w:r>
      <w:r>
        <w:rPr>
          <w:spacing w:val="-14"/>
          <w:sz w:val="20"/>
        </w:rPr>
        <w:t xml:space="preserve"> </w:t>
      </w:r>
      <w:r>
        <w:rPr>
          <w:sz w:val="20"/>
        </w:rPr>
        <w:t>respecto</w:t>
      </w:r>
      <w:r>
        <w:rPr>
          <w:spacing w:val="-16"/>
          <w:sz w:val="20"/>
        </w:rPr>
        <w:t xml:space="preserve"> </w:t>
      </w:r>
      <w:r>
        <w:rPr>
          <w:sz w:val="20"/>
        </w:rPr>
        <w:t>de</w:t>
      </w:r>
      <w:r>
        <w:rPr>
          <w:spacing w:val="-16"/>
          <w:sz w:val="20"/>
        </w:rPr>
        <w:t xml:space="preserve"> </w:t>
      </w:r>
      <w:r>
        <w:rPr>
          <w:sz w:val="20"/>
        </w:rPr>
        <w:t>persona</w:t>
      </w:r>
      <w:r>
        <w:rPr>
          <w:sz w:val="20"/>
        </w:rPr>
        <w:t>s</w:t>
      </w:r>
      <w:r>
        <w:rPr>
          <w:spacing w:val="-13"/>
          <w:sz w:val="20"/>
        </w:rPr>
        <w:t xml:space="preserve"> </w:t>
      </w:r>
      <w:r>
        <w:rPr>
          <w:sz w:val="20"/>
        </w:rPr>
        <w:t>vinculadas</w:t>
      </w:r>
      <w:r>
        <w:rPr>
          <w:spacing w:val="-17"/>
          <w:sz w:val="20"/>
        </w:rPr>
        <w:t xml:space="preserve"> </w:t>
      </w:r>
      <w:r>
        <w:rPr>
          <w:sz w:val="20"/>
        </w:rPr>
        <w:t>con</w:t>
      </w:r>
      <w:r>
        <w:rPr>
          <w:spacing w:val="-14"/>
          <w:sz w:val="20"/>
        </w:rPr>
        <w:t xml:space="preserve"> </w:t>
      </w:r>
      <w:r>
        <w:rPr>
          <w:sz w:val="20"/>
        </w:rPr>
        <w:t>la</w:t>
      </w:r>
      <w:r>
        <w:rPr>
          <w:spacing w:val="-15"/>
          <w:sz w:val="20"/>
        </w:rPr>
        <w:t xml:space="preserve"> </w:t>
      </w:r>
      <w:r>
        <w:rPr>
          <w:sz w:val="20"/>
        </w:rPr>
        <w:t>fábrica</w:t>
      </w:r>
      <w:r>
        <w:rPr>
          <w:spacing w:val="-15"/>
          <w:sz w:val="20"/>
        </w:rPr>
        <w:t xml:space="preserve"> </w:t>
      </w:r>
      <w:r>
        <w:rPr>
          <w:sz w:val="20"/>
        </w:rPr>
        <w:t>de</w:t>
      </w:r>
      <w:r>
        <w:rPr>
          <w:spacing w:val="-18"/>
          <w:sz w:val="20"/>
        </w:rPr>
        <w:t xml:space="preserve"> </w:t>
      </w:r>
      <w:r>
        <w:rPr>
          <w:sz w:val="20"/>
        </w:rPr>
        <w:t>fuegos</w:t>
      </w:r>
      <w:r>
        <w:rPr>
          <w:spacing w:val="-16"/>
          <w:sz w:val="20"/>
        </w:rPr>
        <w:t xml:space="preserve"> </w:t>
      </w:r>
      <w:r>
        <w:rPr>
          <w:sz w:val="20"/>
        </w:rPr>
        <w:t>y</w:t>
      </w:r>
      <w:r>
        <w:rPr>
          <w:spacing w:val="-15"/>
          <w:sz w:val="20"/>
        </w:rPr>
        <w:t xml:space="preserve"> </w:t>
      </w:r>
      <w:r>
        <w:rPr>
          <w:sz w:val="20"/>
        </w:rPr>
        <w:t>de</w:t>
      </w:r>
      <w:r>
        <w:rPr>
          <w:spacing w:val="-16"/>
          <w:sz w:val="20"/>
        </w:rPr>
        <w:t xml:space="preserve"> </w:t>
      </w:r>
      <w:r>
        <w:rPr>
          <w:sz w:val="20"/>
        </w:rPr>
        <w:t>las</w:t>
      </w:r>
      <w:r>
        <w:rPr>
          <w:spacing w:val="-16"/>
          <w:sz w:val="20"/>
        </w:rPr>
        <w:t xml:space="preserve"> </w:t>
      </w:r>
      <w:r>
        <w:rPr>
          <w:sz w:val="20"/>
        </w:rPr>
        <w:t>autoridades estatales que incumplieron sus deberes de inspección y fiscalización. Además, solicitó que</w:t>
      </w:r>
      <w:r>
        <w:rPr>
          <w:spacing w:val="-44"/>
          <w:sz w:val="20"/>
        </w:rPr>
        <w:t xml:space="preserve"> </w:t>
      </w:r>
      <w:r>
        <w:rPr>
          <w:sz w:val="20"/>
        </w:rPr>
        <w:t>se adopten las medidas necesarias para que las responsabilidades y reparaciones establecidas en los proces</w:t>
      </w:r>
      <w:r>
        <w:rPr>
          <w:sz w:val="20"/>
        </w:rPr>
        <w:t>os laborales y civiles respectivos, sean implementadas de manera</w:t>
      </w:r>
      <w:r>
        <w:rPr>
          <w:spacing w:val="-24"/>
          <w:sz w:val="20"/>
        </w:rPr>
        <w:t xml:space="preserve"> </w:t>
      </w:r>
      <w:r>
        <w:rPr>
          <w:sz w:val="20"/>
        </w:rPr>
        <w:t>efectiva.</w:t>
      </w:r>
    </w:p>
    <w:p w14:paraId="7059B43F" w14:textId="77777777" w:rsidR="00467FCA" w:rsidRDefault="001B68EB">
      <w:pPr>
        <w:pStyle w:val="Textoindependiente"/>
        <w:spacing w:before="7"/>
        <w:rPr>
          <w:sz w:val="25"/>
        </w:rPr>
      </w:pPr>
      <w:r>
        <w:pict w14:anchorId="4D61403C">
          <v:shape id="_x0000_s1128" style="position:absolute;margin-left:1in;margin-top:17.85pt;width:2in;height:.1pt;z-index:-251588608;mso-wrap-distance-left:0;mso-wrap-distance-right:0;mso-position-horizontal-relative:page" coordorigin="1440,357" coordsize="2880,0" path="m1440,357r2880,e" filled="f" strokeweight=".6pt">
            <v:path arrowok="t"/>
            <w10:wrap type="topAndBottom" anchorx="page"/>
          </v:shape>
        </w:pict>
      </w:r>
    </w:p>
    <w:p w14:paraId="3C64CCC6" w14:textId="77777777" w:rsidR="00467FCA" w:rsidRDefault="001B68EB">
      <w:pPr>
        <w:tabs>
          <w:tab w:val="left" w:pos="839"/>
        </w:tabs>
        <w:spacing w:before="74"/>
        <w:ind w:left="120" w:right="129"/>
        <w:rPr>
          <w:sz w:val="16"/>
        </w:rPr>
      </w:pPr>
      <w:bookmarkStart w:id="477" w:name="_bookmark415"/>
      <w:bookmarkEnd w:id="477"/>
      <w:r>
        <w:rPr>
          <w:position w:val="6"/>
          <w:sz w:val="10"/>
        </w:rPr>
        <w:t>350</w:t>
      </w:r>
      <w:r>
        <w:rPr>
          <w:position w:val="6"/>
          <w:sz w:val="10"/>
        </w:rPr>
        <w:tab/>
      </w:r>
      <w:r>
        <w:rPr>
          <w:i/>
          <w:sz w:val="16"/>
        </w:rPr>
        <w:t xml:space="preserve">Cfr. Caso Velásquez Rodríguez Vs. Honduras. Reparaciones y Costas, supra, </w:t>
      </w:r>
      <w:r>
        <w:rPr>
          <w:sz w:val="16"/>
        </w:rPr>
        <w:t xml:space="preserve">párr. 26, y </w:t>
      </w:r>
      <w:r>
        <w:rPr>
          <w:i/>
          <w:sz w:val="16"/>
        </w:rPr>
        <w:t xml:space="preserve">Caso Roche Azaña y otros Vs. Nicaragua, supra, </w:t>
      </w:r>
      <w:r>
        <w:rPr>
          <w:sz w:val="16"/>
        </w:rPr>
        <w:t>párr.</w:t>
      </w:r>
      <w:r>
        <w:rPr>
          <w:spacing w:val="-7"/>
          <w:sz w:val="16"/>
        </w:rPr>
        <w:t xml:space="preserve"> </w:t>
      </w:r>
      <w:r>
        <w:rPr>
          <w:sz w:val="16"/>
        </w:rPr>
        <w:t>104.</w:t>
      </w:r>
    </w:p>
    <w:p w14:paraId="02109363" w14:textId="77777777" w:rsidR="00467FCA" w:rsidRDefault="001B68EB">
      <w:pPr>
        <w:tabs>
          <w:tab w:val="left" w:pos="839"/>
        </w:tabs>
        <w:ind w:left="120" w:right="129"/>
        <w:rPr>
          <w:sz w:val="16"/>
        </w:rPr>
      </w:pPr>
      <w:bookmarkStart w:id="478" w:name="_bookmark416"/>
      <w:bookmarkEnd w:id="478"/>
      <w:r>
        <w:rPr>
          <w:position w:val="6"/>
          <w:sz w:val="10"/>
        </w:rPr>
        <w:t>351</w:t>
      </w:r>
      <w:r>
        <w:rPr>
          <w:position w:val="6"/>
          <w:sz w:val="10"/>
        </w:rPr>
        <w:tab/>
      </w:r>
      <w:r>
        <w:rPr>
          <w:i/>
          <w:sz w:val="16"/>
        </w:rPr>
        <w:t xml:space="preserve">Cfr. Caso Ticona Estrada y otros Vs. Bolivia. Fondo, Reparaciones y Costas. </w:t>
      </w:r>
      <w:r>
        <w:rPr>
          <w:sz w:val="16"/>
        </w:rPr>
        <w:t>Sentencia de 27 de noviembre</w:t>
      </w:r>
      <w:bookmarkStart w:id="479" w:name="_bookmark417"/>
      <w:bookmarkEnd w:id="479"/>
      <w:r>
        <w:rPr>
          <w:sz w:val="16"/>
        </w:rPr>
        <w:t xml:space="preserve"> de 2008. Serie C No. 191, párr. 110, y </w:t>
      </w:r>
      <w:r>
        <w:rPr>
          <w:i/>
          <w:sz w:val="16"/>
        </w:rPr>
        <w:t xml:space="preserve">Caso Roche Azaña y otros Vs. Nicaragua, supra, </w:t>
      </w:r>
      <w:r>
        <w:rPr>
          <w:sz w:val="16"/>
        </w:rPr>
        <w:t>párr.</w:t>
      </w:r>
      <w:r>
        <w:rPr>
          <w:spacing w:val="-24"/>
          <w:sz w:val="16"/>
        </w:rPr>
        <w:t xml:space="preserve"> </w:t>
      </w:r>
      <w:r>
        <w:rPr>
          <w:sz w:val="16"/>
        </w:rPr>
        <w:t>105.</w:t>
      </w:r>
    </w:p>
    <w:p w14:paraId="50F2ED11" w14:textId="77777777" w:rsidR="00467FCA" w:rsidRDefault="001B68EB">
      <w:pPr>
        <w:tabs>
          <w:tab w:val="left" w:pos="839"/>
        </w:tabs>
        <w:ind w:left="120" w:right="129"/>
        <w:rPr>
          <w:sz w:val="16"/>
        </w:rPr>
      </w:pPr>
      <w:r>
        <w:rPr>
          <w:position w:val="6"/>
          <w:sz w:val="10"/>
        </w:rPr>
        <w:t>352</w:t>
      </w:r>
      <w:r>
        <w:rPr>
          <w:position w:val="6"/>
          <w:sz w:val="10"/>
        </w:rPr>
        <w:tab/>
      </w:r>
      <w:r>
        <w:rPr>
          <w:i/>
          <w:sz w:val="16"/>
        </w:rPr>
        <w:t>Cfr. Caso Velásquez Rodríguez Vs. Honduras. Repara</w:t>
      </w:r>
      <w:r>
        <w:rPr>
          <w:i/>
          <w:sz w:val="16"/>
        </w:rPr>
        <w:t xml:space="preserve">ciones y Costas, supra, </w:t>
      </w:r>
      <w:r>
        <w:rPr>
          <w:sz w:val="16"/>
        </w:rPr>
        <w:t xml:space="preserve">párrs. 25 a 27, y </w:t>
      </w:r>
      <w:r>
        <w:rPr>
          <w:i/>
          <w:sz w:val="16"/>
        </w:rPr>
        <w:t xml:space="preserve">Caso Roche Azaña y otros Vs. Nicaragua, supra, </w:t>
      </w:r>
      <w:r>
        <w:rPr>
          <w:sz w:val="16"/>
        </w:rPr>
        <w:t>párr.</w:t>
      </w:r>
      <w:r>
        <w:rPr>
          <w:spacing w:val="-10"/>
          <w:sz w:val="16"/>
        </w:rPr>
        <w:t xml:space="preserve"> </w:t>
      </w:r>
      <w:r>
        <w:rPr>
          <w:sz w:val="16"/>
        </w:rPr>
        <w:t>106.</w:t>
      </w:r>
    </w:p>
    <w:p w14:paraId="127D968C" w14:textId="77777777" w:rsidR="00467FCA" w:rsidRDefault="001B68EB">
      <w:pPr>
        <w:tabs>
          <w:tab w:val="left" w:pos="839"/>
        </w:tabs>
        <w:ind w:left="120" w:right="129"/>
        <w:rPr>
          <w:sz w:val="16"/>
        </w:rPr>
      </w:pPr>
      <w:bookmarkStart w:id="480" w:name="_bookmark418"/>
      <w:bookmarkEnd w:id="480"/>
      <w:r>
        <w:rPr>
          <w:position w:val="6"/>
          <w:sz w:val="10"/>
        </w:rPr>
        <w:t>353</w:t>
      </w:r>
      <w:r>
        <w:rPr>
          <w:position w:val="6"/>
          <w:sz w:val="10"/>
        </w:rPr>
        <w:tab/>
      </w:r>
      <w:r>
        <w:rPr>
          <w:i/>
          <w:sz w:val="16"/>
        </w:rPr>
        <w:t xml:space="preserve">Cfr. Caso de la Masacre de La Rochela Vs. Colombia. Fondo, Reparaciones y Costas. </w:t>
      </w:r>
      <w:r>
        <w:rPr>
          <w:sz w:val="16"/>
        </w:rPr>
        <w:t xml:space="preserve">Sentencia de 11 de mayo de 2007. Serie C No. 163. párr. 233, y </w:t>
      </w:r>
      <w:r>
        <w:rPr>
          <w:i/>
          <w:sz w:val="16"/>
        </w:rPr>
        <w:t>Caso Ro</w:t>
      </w:r>
      <w:r>
        <w:rPr>
          <w:i/>
          <w:sz w:val="16"/>
        </w:rPr>
        <w:t xml:space="preserve">che Azaña y otros Vs. Nicaragua, supra, </w:t>
      </w:r>
      <w:r>
        <w:rPr>
          <w:sz w:val="16"/>
        </w:rPr>
        <w:t>párr.</w:t>
      </w:r>
      <w:r>
        <w:rPr>
          <w:spacing w:val="-30"/>
          <w:sz w:val="16"/>
        </w:rPr>
        <w:t xml:space="preserve"> </w:t>
      </w:r>
      <w:r>
        <w:rPr>
          <w:sz w:val="16"/>
        </w:rPr>
        <w:t>107.</w:t>
      </w:r>
    </w:p>
    <w:p w14:paraId="77053C84" w14:textId="77777777" w:rsidR="00467FCA" w:rsidRDefault="00467FCA">
      <w:pPr>
        <w:rPr>
          <w:sz w:val="16"/>
        </w:rPr>
        <w:sectPr w:rsidR="00467FCA">
          <w:pgSz w:w="12240" w:h="15840"/>
          <w:pgMar w:top="1360" w:right="1320" w:bottom="1220" w:left="1320" w:header="0" w:footer="957" w:gutter="0"/>
          <w:cols w:space="720"/>
        </w:sectPr>
      </w:pPr>
    </w:p>
    <w:p w14:paraId="1EEF94FB" w14:textId="77777777" w:rsidR="00467FCA" w:rsidRDefault="001B68EB">
      <w:pPr>
        <w:pStyle w:val="Prrafodelista"/>
        <w:numPr>
          <w:ilvl w:val="0"/>
          <w:numId w:val="38"/>
        </w:numPr>
        <w:tabs>
          <w:tab w:val="left" w:pos="687"/>
        </w:tabs>
        <w:spacing w:before="183"/>
        <w:ind w:right="117" w:firstLine="0"/>
        <w:jc w:val="both"/>
        <w:rPr>
          <w:sz w:val="20"/>
        </w:rPr>
      </w:pPr>
      <w:r>
        <w:rPr>
          <w:sz w:val="20"/>
        </w:rPr>
        <w:t xml:space="preserve">Los </w:t>
      </w:r>
      <w:r>
        <w:rPr>
          <w:b/>
          <w:i/>
          <w:sz w:val="20"/>
        </w:rPr>
        <w:t xml:space="preserve">representantes </w:t>
      </w:r>
      <w:r>
        <w:rPr>
          <w:sz w:val="20"/>
        </w:rPr>
        <w:t>solicitaron que el Estado garantice la pronta resolución de las causas aún pendientes, así como la ejecución efectiva de las sentencias ya obtenidas. Además, solicitaron la creación de una comisión de investigación para el esclarecimiento de los hechos, de</w:t>
      </w:r>
      <w:r>
        <w:rPr>
          <w:sz w:val="20"/>
        </w:rPr>
        <w:t>bido a que el Estado aún no ha logrado investigar, procesar y juzgar a los responsables de las violaciones denunciadas en este caso, así como por la posibilidad de que esta obligación no se pueda garantizar debido a la</w:t>
      </w:r>
      <w:r>
        <w:rPr>
          <w:spacing w:val="-12"/>
          <w:sz w:val="20"/>
        </w:rPr>
        <w:t xml:space="preserve"> </w:t>
      </w:r>
      <w:r>
        <w:rPr>
          <w:sz w:val="20"/>
        </w:rPr>
        <w:t>prescripción.</w:t>
      </w:r>
    </w:p>
    <w:p w14:paraId="683332EE" w14:textId="77777777" w:rsidR="00467FCA" w:rsidRDefault="00467FCA">
      <w:pPr>
        <w:pStyle w:val="Textoindependiente"/>
      </w:pPr>
    </w:p>
    <w:p w14:paraId="0F35B4D2" w14:textId="77777777" w:rsidR="00467FCA" w:rsidRDefault="001B68EB">
      <w:pPr>
        <w:pStyle w:val="Prrafodelista"/>
        <w:numPr>
          <w:ilvl w:val="0"/>
          <w:numId w:val="38"/>
        </w:numPr>
        <w:tabs>
          <w:tab w:val="left" w:pos="687"/>
        </w:tabs>
        <w:ind w:right="116" w:firstLine="0"/>
        <w:jc w:val="both"/>
        <w:rPr>
          <w:sz w:val="20"/>
        </w:rPr>
      </w:pPr>
      <w:r>
        <w:rPr>
          <w:sz w:val="20"/>
        </w:rPr>
        <w:t xml:space="preserve">El </w:t>
      </w:r>
      <w:r>
        <w:rPr>
          <w:b/>
          <w:i/>
          <w:sz w:val="20"/>
        </w:rPr>
        <w:t xml:space="preserve">Estado </w:t>
      </w:r>
      <w:r>
        <w:rPr>
          <w:sz w:val="20"/>
        </w:rPr>
        <w:t>afirmó que l</w:t>
      </w:r>
      <w:r>
        <w:rPr>
          <w:sz w:val="20"/>
        </w:rPr>
        <w:t>os procesos internos se encuentran en trámite regular y que no hay</w:t>
      </w:r>
      <w:r>
        <w:rPr>
          <w:spacing w:val="-12"/>
          <w:sz w:val="20"/>
        </w:rPr>
        <w:t xml:space="preserve"> </w:t>
      </w:r>
      <w:r>
        <w:rPr>
          <w:sz w:val="20"/>
        </w:rPr>
        <w:t>omisiones</w:t>
      </w:r>
      <w:r>
        <w:rPr>
          <w:spacing w:val="-9"/>
          <w:sz w:val="20"/>
        </w:rPr>
        <w:t xml:space="preserve"> </w:t>
      </w:r>
      <w:r>
        <w:rPr>
          <w:sz w:val="20"/>
        </w:rPr>
        <w:t>de</w:t>
      </w:r>
      <w:r>
        <w:rPr>
          <w:spacing w:val="-9"/>
          <w:sz w:val="20"/>
        </w:rPr>
        <w:t xml:space="preserve"> </w:t>
      </w:r>
      <w:r>
        <w:rPr>
          <w:sz w:val="20"/>
        </w:rPr>
        <w:t>su</w:t>
      </w:r>
      <w:r>
        <w:rPr>
          <w:spacing w:val="-9"/>
          <w:sz w:val="20"/>
        </w:rPr>
        <w:t xml:space="preserve"> </w:t>
      </w:r>
      <w:r>
        <w:rPr>
          <w:sz w:val="20"/>
        </w:rPr>
        <w:t>parte.</w:t>
      </w:r>
      <w:r>
        <w:rPr>
          <w:spacing w:val="-11"/>
          <w:sz w:val="20"/>
        </w:rPr>
        <w:t xml:space="preserve"> </w:t>
      </w:r>
      <w:r>
        <w:rPr>
          <w:sz w:val="20"/>
        </w:rPr>
        <w:t>Indicó,</w:t>
      </w:r>
      <w:r>
        <w:rPr>
          <w:spacing w:val="-8"/>
          <w:sz w:val="20"/>
        </w:rPr>
        <w:t xml:space="preserve"> </w:t>
      </w:r>
      <w:r>
        <w:rPr>
          <w:sz w:val="20"/>
        </w:rPr>
        <w:t>además,</w:t>
      </w:r>
      <w:r>
        <w:rPr>
          <w:spacing w:val="-9"/>
          <w:sz w:val="20"/>
        </w:rPr>
        <w:t xml:space="preserve"> </w:t>
      </w:r>
      <w:r>
        <w:rPr>
          <w:sz w:val="20"/>
        </w:rPr>
        <w:t>que</w:t>
      </w:r>
      <w:r>
        <w:rPr>
          <w:spacing w:val="-7"/>
          <w:sz w:val="20"/>
        </w:rPr>
        <w:t xml:space="preserve"> </w:t>
      </w:r>
      <w:r>
        <w:rPr>
          <w:sz w:val="20"/>
        </w:rPr>
        <w:t>teniendo</w:t>
      </w:r>
      <w:r>
        <w:rPr>
          <w:spacing w:val="-9"/>
          <w:sz w:val="20"/>
        </w:rPr>
        <w:t xml:space="preserve"> </w:t>
      </w:r>
      <w:r>
        <w:rPr>
          <w:sz w:val="20"/>
        </w:rPr>
        <w:t>en</w:t>
      </w:r>
      <w:r>
        <w:rPr>
          <w:spacing w:val="-7"/>
          <w:sz w:val="20"/>
        </w:rPr>
        <w:t xml:space="preserve"> </w:t>
      </w:r>
      <w:r>
        <w:rPr>
          <w:sz w:val="20"/>
        </w:rPr>
        <w:t>cuenta</w:t>
      </w:r>
      <w:r>
        <w:rPr>
          <w:spacing w:val="-8"/>
          <w:sz w:val="20"/>
        </w:rPr>
        <w:t xml:space="preserve"> </w:t>
      </w:r>
      <w:r>
        <w:rPr>
          <w:sz w:val="20"/>
        </w:rPr>
        <w:t>que</w:t>
      </w:r>
      <w:r>
        <w:rPr>
          <w:spacing w:val="-8"/>
          <w:sz w:val="20"/>
        </w:rPr>
        <w:t xml:space="preserve"> </w:t>
      </w:r>
      <w:r>
        <w:rPr>
          <w:sz w:val="20"/>
        </w:rPr>
        <w:t>los</w:t>
      </w:r>
      <w:r>
        <w:rPr>
          <w:spacing w:val="-9"/>
          <w:sz w:val="20"/>
        </w:rPr>
        <w:t xml:space="preserve"> </w:t>
      </w:r>
      <w:r>
        <w:rPr>
          <w:sz w:val="20"/>
        </w:rPr>
        <w:t>recursos</w:t>
      </w:r>
      <w:r>
        <w:rPr>
          <w:spacing w:val="-11"/>
          <w:sz w:val="20"/>
        </w:rPr>
        <w:t xml:space="preserve"> </w:t>
      </w:r>
      <w:r>
        <w:rPr>
          <w:sz w:val="20"/>
        </w:rPr>
        <w:t>internos adecuados para promover las reparaciones a las víctimas de los hechos del presente caso existen y están siguiendo su curso, el reclamo de los representantes debería considerarse ilegítimo, inadecuado, así como</w:t>
      </w:r>
      <w:r>
        <w:rPr>
          <w:spacing w:val="-3"/>
          <w:sz w:val="20"/>
        </w:rPr>
        <w:t xml:space="preserve"> </w:t>
      </w:r>
      <w:r>
        <w:rPr>
          <w:sz w:val="20"/>
        </w:rPr>
        <w:t>imposible.</w:t>
      </w:r>
    </w:p>
    <w:p w14:paraId="1A66A665" w14:textId="77777777" w:rsidR="00467FCA" w:rsidRDefault="00467FCA">
      <w:pPr>
        <w:pStyle w:val="Textoindependiente"/>
        <w:spacing w:before="1"/>
      </w:pPr>
    </w:p>
    <w:p w14:paraId="6F0A3CD1" w14:textId="77777777" w:rsidR="00467FCA" w:rsidRDefault="001B68EB">
      <w:pPr>
        <w:pStyle w:val="Prrafodelista"/>
        <w:numPr>
          <w:ilvl w:val="0"/>
          <w:numId w:val="38"/>
        </w:numPr>
        <w:tabs>
          <w:tab w:val="left" w:pos="686"/>
        </w:tabs>
        <w:ind w:right="118" w:firstLine="0"/>
        <w:jc w:val="both"/>
        <w:rPr>
          <w:sz w:val="20"/>
        </w:rPr>
      </w:pPr>
      <w:r>
        <w:rPr>
          <w:sz w:val="20"/>
        </w:rPr>
        <w:t xml:space="preserve">La Corte recuerda que en </w:t>
      </w:r>
      <w:r>
        <w:rPr>
          <w:sz w:val="20"/>
        </w:rPr>
        <w:t>el capítulo VIII-3 declaró que las investigaciones llevadas a cabo</w:t>
      </w:r>
      <w:r>
        <w:rPr>
          <w:spacing w:val="-16"/>
          <w:sz w:val="20"/>
        </w:rPr>
        <w:t xml:space="preserve"> </w:t>
      </w:r>
      <w:r>
        <w:rPr>
          <w:sz w:val="20"/>
        </w:rPr>
        <w:t>y</w:t>
      </w:r>
      <w:r>
        <w:rPr>
          <w:spacing w:val="-15"/>
          <w:sz w:val="20"/>
        </w:rPr>
        <w:t xml:space="preserve"> </w:t>
      </w:r>
      <w:r>
        <w:rPr>
          <w:sz w:val="20"/>
        </w:rPr>
        <w:t>los</w:t>
      </w:r>
      <w:r>
        <w:rPr>
          <w:spacing w:val="-18"/>
          <w:sz w:val="20"/>
        </w:rPr>
        <w:t xml:space="preserve"> </w:t>
      </w:r>
      <w:r>
        <w:rPr>
          <w:sz w:val="20"/>
        </w:rPr>
        <w:t>diversos</w:t>
      </w:r>
      <w:r>
        <w:rPr>
          <w:spacing w:val="-16"/>
          <w:sz w:val="20"/>
        </w:rPr>
        <w:t xml:space="preserve"> </w:t>
      </w:r>
      <w:r>
        <w:rPr>
          <w:sz w:val="20"/>
        </w:rPr>
        <w:t>procesos</w:t>
      </w:r>
      <w:r>
        <w:rPr>
          <w:spacing w:val="-16"/>
          <w:sz w:val="20"/>
        </w:rPr>
        <w:t xml:space="preserve"> </w:t>
      </w:r>
      <w:r>
        <w:rPr>
          <w:sz w:val="20"/>
        </w:rPr>
        <w:t>-en</w:t>
      </w:r>
      <w:r>
        <w:rPr>
          <w:spacing w:val="-14"/>
          <w:sz w:val="20"/>
        </w:rPr>
        <w:t xml:space="preserve"> </w:t>
      </w:r>
      <w:r>
        <w:rPr>
          <w:sz w:val="20"/>
        </w:rPr>
        <w:t>ámbito</w:t>
      </w:r>
      <w:r>
        <w:rPr>
          <w:spacing w:val="-16"/>
          <w:sz w:val="20"/>
        </w:rPr>
        <w:t xml:space="preserve"> </w:t>
      </w:r>
      <w:r>
        <w:rPr>
          <w:sz w:val="20"/>
        </w:rPr>
        <w:t>penal,</w:t>
      </w:r>
      <w:r>
        <w:rPr>
          <w:spacing w:val="-13"/>
          <w:sz w:val="20"/>
        </w:rPr>
        <w:t xml:space="preserve"> </w:t>
      </w:r>
      <w:r>
        <w:rPr>
          <w:sz w:val="20"/>
        </w:rPr>
        <w:t>civil</w:t>
      </w:r>
      <w:r>
        <w:rPr>
          <w:spacing w:val="-17"/>
          <w:sz w:val="20"/>
        </w:rPr>
        <w:t xml:space="preserve"> </w:t>
      </w:r>
      <w:r>
        <w:rPr>
          <w:sz w:val="20"/>
        </w:rPr>
        <w:t>y</w:t>
      </w:r>
      <w:r>
        <w:rPr>
          <w:spacing w:val="-16"/>
          <w:sz w:val="20"/>
        </w:rPr>
        <w:t xml:space="preserve"> </w:t>
      </w:r>
      <w:r>
        <w:rPr>
          <w:sz w:val="20"/>
        </w:rPr>
        <w:t>laboral–</w:t>
      </w:r>
      <w:r>
        <w:rPr>
          <w:spacing w:val="-17"/>
          <w:sz w:val="20"/>
        </w:rPr>
        <w:t xml:space="preserve"> </w:t>
      </w:r>
      <w:r>
        <w:rPr>
          <w:sz w:val="20"/>
        </w:rPr>
        <w:t>iniciados</w:t>
      </w:r>
      <w:r>
        <w:rPr>
          <w:spacing w:val="-16"/>
          <w:sz w:val="20"/>
        </w:rPr>
        <w:t xml:space="preserve"> </w:t>
      </w:r>
      <w:r>
        <w:rPr>
          <w:sz w:val="20"/>
        </w:rPr>
        <w:t>a</w:t>
      </w:r>
      <w:r>
        <w:rPr>
          <w:spacing w:val="-15"/>
          <w:sz w:val="20"/>
        </w:rPr>
        <w:t xml:space="preserve"> </w:t>
      </w:r>
      <w:r>
        <w:rPr>
          <w:sz w:val="20"/>
        </w:rPr>
        <w:t>partir</w:t>
      </w:r>
      <w:r>
        <w:rPr>
          <w:spacing w:val="-19"/>
          <w:sz w:val="20"/>
        </w:rPr>
        <w:t xml:space="preserve"> </w:t>
      </w:r>
      <w:r>
        <w:rPr>
          <w:sz w:val="20"/>
        </w:rPr>
        <w:t>de</w:t>
      </w:r>
      <w:r>
        <w:rPr>
          <w:spacing w:val="-16"/>
          <w:sz w:val="20"/>
        </w:rPr>
        <w:t xml:space="preserve"> </w:t>
      </w:r>
      <w:r>
        <w:rPr>
          <w:sz w:val="20"/>
        </w:rPr>
        <w:t>la</w:t>
      </w:r>
      <w:r>
        <w:rPr>
          <w:spacing w:val="-15"/>
          <w:sz w:val="20"/>
        </w:rPr>
        <w:t xml:space="preserve"> </w:t>
      </w:r>
      <w:r>
        <w:rPr>
          <w:sz w:val="20"/>
        </w:rPr>
        <w:t>explosión de</w:t>
      </w:r>
      <w:r>
        <w:rPr>
          <w:spacing w:val="-7"/>
          <w:sz w:val="20"/>
        </w:rPr>
        <w:t xml:space="preserve"> </w:t>
      </w:r>
      <w:r>
        <w:rPr>
          <w:sz w:val="20"/>
        </w:rPr>
        <w:t>la</w:t>
      </w:r>
      <w:r>
        <w:rPr>
          <w:spacing w:val="-3"/>
          <w:sz w:val="20"/>
        </w:rPr>
        <w:t xml:space="preserve"> </w:t>
      </w:r>
      <w:r>
        <w:rPr>
          <w:sz w:val="20"/>
        </w:rPr>
        <w:t>fábrica</w:t>
      </w:r>
      <w:r>
        <w:rPr>
          <w:spacing w:val="-4"/>
          <w:sz w:val="20"/>
        </w:rPr>
        <w:t xml:space="preserve"> </w:t>
      </w:r>
      <w:r>
        <w:rPr>
          <w:sz w:val="20"/>
        </w:rPr>
        <w:t>de</w:t>
      </w:r>
      <w:r>
        <w:rPr>
          <w:spacing w:val="-4"/>
          <w:sz w:val="20"/>
        </w:rPr>
        <w:t xml:space="preserve"> </w:t>
      </w:r>
      <w:r>
        <w:rPr>
          <w:sz w:val="20"/>
        </w:rPr>
        <w:t>“Vardo</w:t>
      </w:r>
      <w:r>
        <w:rPr>
          <w:spacing w:val="-2"/>
          <w:sz w:val="20"/>
        </w:rPr>
        <w:t xml:space="preserve"> </w:t>
      </w:r>
      <w:r>
        <w:rPr>
          <w:sz w:val="20"/>
        </w:rPr>
        <w:t>de</w:t>
      </w:r>
      <w:r>
        <w:rPr>
          <w:spacing w:val="-7"/>
          <w:sz w:val="20"/>
        </w:rPr>
        <w:t xml:space="preserve"> </w:t>
      </w:r>
      <w:r>
        <w:rPr>
          <w:sz w:val="20"/>
        </w:rPr>
        <w:t>los</w:t>
      </w:r>
      <w:r>
        <w:rPr>
          <w:spacing w:val="-4"/>
          <w:sz w:val="20"/>
        </w:rPr>
        <w:t xml:space="preserve"> </w:t>
      </w:r>
      <w:r>
        <w:rPr>
          <w:sz w:val="20"/>
        </w:rPr>
        <w:t>fuegos”</w:t>
      </w:r>
      <w:r>
        <w:rPr>
          <w:spacing w:val="-3"/>
          <w:sz w:val="20"/>
        </w:rPr>
        <w:t xml:space="preserve"> </w:t>
      </w:r>
      <w:r>
        <w:rPr>
          <w:sz w:val="20"/>
        </w:rPr>
        <w:t>fueron</w:t>
      </w:r>
      <w:r>
        <w:rPr>
          <w:spacing w:val="-4"/>
          <w:sz w:val="20"/>
        </w:rPr>
        <w:t xml:space="preserve"> </w:t>
      </w:r>
      <w:r>
        <w:rPr>
          <w:sz w:val="20"/>
        </w:rPr>
        <w:t>inadecuados,</w:t>
      </w:r>
      <w:r>
        <w:rPr>
          <w:spacing w:val="-6"/>
          <w:sz w:val="20"/>
        </w:rPr>
        <w:t xml:space="preserve"> </w:t>
      </w:r>
      <w:r>
        <w:rPr>
          <w:sz w:val="20"/>
        </w:rPr>
        <w:t>por</w:t>
      </w:r>
      <w:r>
        <w:rPr>
          <w:spacing w:val="-4"/>
          <w:sz w:val="20"/>
        </w:rPr>
        <w:t xml:space="preserve"> </w:t>
      </w:r>
      <w:r>
        <w:rPr>
          <w:sz w:val="20"/>
        </w:rPr>
        <w:t>el</w:t>
      </w:r>
      <w:r>
        <w:rPr>
          <w:spacing w:val="-5"/>
          <w:sz w:val="20"/>
        </w:rPr>
        <w:t xml:space="preserve"> </w:t>
      </w:r>
      <w:r>
        <w:rPr>
          <w:sz w:val="20"/>
        </w:rPr>
        <w:t>incumplimiento</w:t>
      </w:r>
      <w:r>
        <w:rPr>
          <w:spacing w:val="-7"/>
          <w:sz w:val="20"/>
        </w:rPr>
        <w:t xml:space="preserve"> </w:t>
      </w:r>
      <w:r>
        <w:rPr>
          <w:sz w:val="20"/>
        </w:rPr>
        <w:t>de</w:t>
      </w:r>
      <w:r>
        <w:rPr>
          <w:spacing w:val="-4"/>
          <w:sz w:val="20"/>
        </w:rPr>
        <w:t xml:space="preserve"> </w:t>
      </w:r>
      <w:r>
        <w:rPr>
          <w:sz w:val="20"/>
        </w:rPr>
        <w:t>un</w:t>
      </w:r>
      <w:r>
        <w:rPr>
          <w:spacing w:val="-4"/>
          <w:sz w:val="20"/>
        </w:rPr>
        <w:t xml:space="preserve"> </w:t>
      </w:r>
      <w:r>
        <w:rPr>
          <w:sz w:val="20"/>
        </w:rPr>
        <w:t>plazo razonable, la falta de debida diligencia y la inefectividad de la tutela judicial y, en consecuencia,</w:t>
      </w:r>
      <w:r>
        <w:rPr>
          <w:spacing w:val="-7"/>
          <w:sz w:val="20"/>
        </w:rPr>
        <w:t xml:space="preserve"> </w:t>
      </w:r>
      <w:r>
        <w:rPr>
          <w:sz w:val="20"/>
        </w:rPr>
        <w:t>que</w:t>
      </w:r>
      <w:r>
        <w:rPr>
          <w:spacing w:val="-4"/>
          <w:sz w:val="20"/>
        </w:rPr>
        <w:t xml:space="preserve"> </w:t>
      </w:r>
      <w:r>
        <w:rPr>
          <w:sz w:val="20"/>
        </w:rPr>
        <w:t>se</w:t>
      </w:r>
      <w:r>
        <w:rPr>
          <w:spacing w:val="-7"/>
          <w:sz w:val="20"/>
        </w:rPr>
        <w:t xml:space="preserve"> </w:t>
      </w:r>
      <w:r>
        <w:rPr>
          <w:sz w:val="20"/>
        </w:rPr>
        <w:t>violaron</w:t>
      </w:r>
      <w:r>
        <w:rPr>
          <w:spacing w:val="-4"/>
          <w:sz w:val="20"/>
        </w:rPr>
        <w:t xml:space="preserve"> </w:t>
      </w:r>
      <w:r>
        <w:rPr>
          <w:sz w:val="20"/>
        </w:rPr>
        <w:t>los</w:t>
      </w:r>
      <w:r>
        <w:rPr>
          <w:spacing w:val="-5"/>
          <w:sz w:val="20"/>
        </w:rPr>
        <w:t xml:space="preserve"> </w:t>
      </w:r>
      <w:r>
        <w:rPr>
          <w:sz w:val="20"/>
        </w:rPr>
        <w:t>derechos</w:t>
      </w:r>
      <w:r>
        <w:rPr>
          <w:spacing w:val="-4"/>
          <w:sz w:val="20"/>
        </w:rPr>
        <w:t xml:space="preserve"> </w:t>
      </w:r>
      <w:r>
        <w:rPr>
          <w:sz w:val="20"/>
        </w:rPr>
        <w:t>a</w:t>
      </w:r>
      <w:r>
        <w:rPr>
          <w:spacing w:val="-5"/>
          <w:sz w:val="20"/>
        </w:rPr>
        <w:t xml:space="preserve"> </w:t>
      </w:r>
      <w:r>
        <w:rPr>
          <w:sz w:val="20"/>
        </w:rPr>
        <w:t>las</w:t>
      </w:r>
      <w:r>
        <w:rPr>
          <w:spacing w:val="-6"/>
          <w:sz w:val="20"/>
        </w:rPr>
        <w:t xml:space="preserve"> </w:t>
      </w:r>
      <w:r>
        <w:rPr>
          <w:sz w:val="20"/>
        </w:rPr>
        <w:t>garantías</w:t>
      </w:r>
      <w:r>
        <w:rPr>
          <w:spacing w:val="-7"/>
          <w:sz w:val="20"/>
        </w:rPr>
        <w:t xml:space="preserve"> </w:t>
      </w:r>
      <w:r>
        <w:rPr>
          <w:sz w:val="20"/>
        </w:rPr>
        <w:t>judiciales</w:t>
      </w:r>
      <w:r>
        <w:rPr>
          <w:spacing w:val="-6"/>
          <w:sz w:val="20"/>
        </w:rPr>
        <w:t xml:space="preserve"> </w:t>
      </w:r>
      <w:r>
        <w:rPr>
          <w:sz w:val="20"/>
        </w:rPr>
        <w:t>y</w:t>
      </w:r>
      <w:r>
        <w:rPr>
          <w:spacing w:val="-3"/>
          <w:sz w:val="20"/>
        </w:rPr>
        <w:t xml:space="preserve"> </w:t>
      </w:r>
      <w:r>
        <w:rPr>
          <w:sz w:val="20"/>
        </w:rPr>
        <w:t>a</w:t>
      </w:r>
      <w:r>
        <w:rPr>
          <w:spacing w:val="-5"/>
          <w:sz w:val="20"/>
        </w:rPr>
        <w:t xml:space="preserve"> </w:t>
      </w:r>
      <w:r>
        <w:rPr>
          <w:sz w:val="20"/>
        </w:rPr>
        <w:t>la</w:t>
      </w:r>
      <w:r>
        <w:rPr>
          <w:spacing w:val="-6"/>
          <w:sz w:val="20"/>
        </w:rPr>
        <w:t xml:space="preserve"> </w:t>
      </w:r>
      <w:r>
        <w:rPr>
          <w:sz w:val="20"/>
        </w:rPr>
        <w:t>protección</w:t>
      </w:r>
      <w:r>
        <w:rPr>
          <w:spacing w:val="-4"/>
          <w:sz w:val="20"/>
        </w:rPr>
        <w:t xml:space="preserve"> </w:t>
      </w:r>
      <w:r>
        <w:rPr>
          <w:sz w:val="20"/>
        </w:rPr>
        <w:t>judicial de</w:t>
      </w:r>
      <w:r>
        <w:rPr>
          <w:spacing w:val="-9"/>
          <w:sz w:val="20"/>
        </w:rPr>
        <w:t xml:space="preserve"> </w:t>
      </w:r>
      <w:r>
        <w:rPr>
          <w:sz w:val="20"/>
        </w:rPr>
        <w:t>las</w:t>
      </w:r>
      <w:r>
        <w:rPr>
          <w:spacing w:val="-6"/>
          <w:sz w:val="20"/>
        </w:rPr>
        <w:t xml:space="preserve"> </w:t>
      </w:r>
      <w:r>
        <w:rPr>
          <w:sz w:val="20"/>
        </w:rPr>
        <w:t>víctimas.</w:t>
      </w:r>
      <w:r>
        <w:rPr>
          <w:spacing w:val="-8"/>
          <w:sz w:val="20"/>
        </w:rPr>
        <w:t xml:space="preserve"> </w:t>
      </w:r>
      <w:r>
        <w:rPr>
          <w:sz w:val="20"/>
        </w:rPr>
        <w:t>Además,</w:t>
      </w:r>
      <w:r>
        <w:rPr>
          <w:spacing w:val="-8"/>
          <w:sz w:val="20"/>
        </w:rPr>
        <w:t xml:space="preserve"> </w:t>
      </w:r>
      <w:r>
        <w:rPr>
          <w:sz w:val="20"/>
        </w:rPr>
        <w:t>la</w:t>
      </w:r>
      <w:r>
        <w:rPr>
          <w:spacing w:val="-4"/>
          <w:sz w:val="20"/>
        </w:rPr>
        <w:t xml:space="preserve"> </w:t>
      </w:r>
      <w:r>
        <w:rPr>
          <w:sz w:val="20"/>
        </w:rPr>
        <w:t>Corte</w:t>
      </w:r>
      <w:r>
        <w:rPr>
          <w:spacing w:val="-7"/>
          <w:sz w:val="20"/>
        </w:rPr>
        <w:t xml:space="preserve"> </w:t>
      </w:r>
      <w:r>
        <w:rPr>
          <w:sz w:val="20"/>
        </w:rPr>
        <w:t>recuerda</w:t>
      </w:r>
      <w:r>
        <w:rPr>
          <w:spacing w:val="-5"/>
          <w:sz w:val="20"/>
        </w:rPr>
        <w:t xml:space="preserve"> </w:t>
      </w:r>
      <w:r>
        <w:rPr>
          <w:sz w:val="20"/>
        </w:rPr>
        <w:t>que</w:t>
      </w:r>
      <w:r>
        <w:rPr>
          <w:spacing w:val="-7"/>
          <w:sz w:val="20"/>
        </w:rPr>
        <w:t xml:space="preserve"> </w:t>
      </w:r>
      <w:r>
        <w:rPr>
          <w:sz w:val="20"/>
        </w:rPr>
        <w:t>las</w:t>
      </w:r>
      <w:r>
        <w:rPr>
          <w:spacing w:val="-6"/>
          <w:sz w:val="20"/>
        </w:rPr>
        <w:t xml:space="preserve"> </w:t>
      </w:r>
      <w:r>
        <w:rPr>
          <w:sz w:val="20"/>
        </w:rPr>
        <w:t>víctimas</w:t>
      </w:r>
      <w:r>
        <w:rPr>
          <w:spacing w:val="-6"/>
          <w:sz w:val="20"/>
        </w:rPr>
        <w:t xml:space="preserve"> </w:t>
      </w:r>
      <w:r>
        <w:rPr>
          <w:sz w:val="20"/>
        </w:rPr>
        <w:t>o</w:t>
      </w:r>
      <w:r>
        <w:rPr>
          <w:spacing w:val="-3"/>
          <w:sz w:val="20"/>
        </w:rPr>
        <w:t xml:space="preserve"> </w:t>
      </w:r>
      <w:r>
        <w:rPr>
          <w:sz w:val="20"/>
        </w:rPr>
        <w:t>sus</w:t>
      </w:r>
      <w:r>
        <w:rPr>
          <w:spacing w:val="-6"/>
          <w:sz w:val="20"/>
        </w:rPr>
        <w:t xml:space="preserve"> </w:t>
      </w:r>
      <w:r>
        <w:rPr>
          <w:sz w:val="20"/>
        </w:rPr>
        <w:t>familiares</w:t>
      </w:r>
      <w:r>
        <w:rPr>
          <w:spacing w:val="-9"/>
          <w:sz w:val="20"/>
        </w:rPr>
        <w:t xml:space="preserve"> </w:t>
      </w:r>
      <w:r>
        <w:rPr>
          <w:sz w:val="20"/>
        </w:rPr>
        <w:t>tienen</w:t>
      </w:r>
      <w:r>
        <w:rPr>
          <w:spacing w:val="-4"/>
          <w:sz w:val="20"/>
        </w:rPr>
        <w:t xml:space="preserve"> </w:t>
      </w:r>
      <w:r>
        <w:rPr>
          <w:sz w:val="20"/>
        </w:rPr>
        <w:t>derecho</w:t>
      </w:r>
      <w:r>
        <w:rPr>
          <w:spacing w:val="-6"/>
          <w:sz w:val="20"/>
        </w:rPr>
        <w:t xml:space="preserve"> </w:t>
      </w:r>
      <w:r>
        <w:rPr>
          <w:sz w:val="20"/>
        </w:rPr>
        <w:t>a que se haga todo lo necesario para conocer la verdad de lo sucedido y a que se investigue, juzgue y, en su caso, sancione a los eventuales</w:t>
      </w:r>
      <w:r>
        <w:rPr>
          <w:spacing w:val="-8"/>
          <w:sz w:val="20"/>
        </w:rPr>
        <w:t xml:space="preserve"> </w:t>
      </w:r>
      <w:r>
        <w:rPr>
          <w:sz w:val="20"/>
        </w:rPr>
        <w:t>responsables</w:t>
      </w:r>
      <w:hyperlink w:anchor="_bookmark420" w:history="1">
        <w:r>
          <w:rPr>
            <w:position w:val="7"/>
            <w:sz w:val="13"/>
          </w:rPr>
          <w:t>354</w:t>
        </w:r>
      </w:hyperlink>
      <w:r>
        <w:rPr>
          <w:sz w:val="20"/>
        </w:rPr>
        <w:t>.</w:t>
      </w:r>
    </w:p>
    <w:p w14:paraId="76CC0CBE" w14:textId="77777777" w:rsidR="00467FCA" w:rsidRDefault="00467FCA">
      <w:pPr>
        <w:pStyle w:val="Textoindependiente"/>
        <w:spacing w:before="10"/>
        <w:rPr>
          <w:sz w:val="19"/>
        </w:rPr>
      </w:pPr>
    </w:p>
    <w:p w14:paraId="0D11C7BE" w14:textId="77777777" w:rsidR="00467FCA" w:rsidRDefault="001B68EB">
      <w:pPr>
        <w:pStyle w:val="Prrafodelista"/>
        <w:numPr>
          <w:ilvl w:val="0"/>
          <w:numId w:val="38"/>
        </w:numPr>
        <w:tabs>
          <w:tab w:val="left" w:pos="687"/>
        </w:tabs>
        <w:spacing w:before="1"/>
        <w:ind w:right="119" w:firstLine="0"/>
        <w:jc w:val="both"/>
        <w:rPr>
          <w:sz w:val="20"/>
        </w:rPr>
      </w:pPr>
      <w:r>
        <w:rPr>
          <w:sz w:val="20"/>
        </w:rPr>
        <w:t>En</w:t>
      </w:r>
      <w:r>
        <w:rPr>
          <w:spacing w:val="-7"/>
          <w:sz w:val="20"/>
        </w:rPr>
        <w:t xml:space="preserve"> </w:t>
      </w:r>
      <w:r>
        <w:rPr>
          <w:sz w:val="20"/>
        </w:rPr>
        <w:t>virtud</w:t>
      </w:r>
      <w:r>
        <w:rPr>
          <w:spacing w:val="-7"/>
          <w:sz w:val="20"/>
        </w:rPr>
        <w:t xml:space="preserve"> </w:t>
      </w:r>
      <w:r>
        <w:rPr>
          <w:sz w:val="20"/>
        </w:rPr>
        <w:t>de</w:t>
      </w:r>
      <w:r>
        <w:rPr>
          <w:spacing w:val="-7"/>
          <w:sz w:val="20"/>
        </w:rPr>
        <w:t xml:space="preserve"> </w:t>
      </w:r>
      <w:r>
        <w:rPr>
          <w:sz w:val="20"/>
        </w:rPr>
        <w:t>lo</w:t>
      </w:r>
      <w:r>
        <w:rPr>
          <w:spacing w:val="-7"/>
          <w:sz w:val="20"/>
        </w:rPr>
        <w:t xml:space="preserve"> </w:t>
      </w:r>
      <w:r>
        <w:rPr>
          <w:sz w:val="20"/>
        </w:rPr>
        <w:t>anterior,</w:t>
      </w:r>
      <w:r>
        <w:rPr>
          <w:spacing w:val="-6"/>
          <w:sz w:val="20"/>
        </w:rPr>
        <w:t xml:space="preserve"> </w:t>
      </w:r>
      <w:r>
        <w:rPr>
          <w:sz w:val="20"/>
        </w:rPr>
        <w:t>la</w:t>
      </w:r>
      <w:r>
        <w:rPr>
          <w:spacing w:val="-8"/>
          <w:sz w:val="20"/>
        </w:rPr>
        <w:t xml:space="preserve"> </w:t>
      </w:r>
      <w:r>
        <w:rPr>
          <w:sz w:val="20"/>
        </w:rPr>
        <w:t>Corte</w:t>
      </w:r>
      <w:r>
        <w:rPr>
          <w:spacing w:val="-7"/>
          <w:sz w:val="20"/>
        </w:rPr>
        <w:t xml:space="preserve"> </w:t>
      </w:r>
      <w:r>
        <w:rPr>
          <w:sz w:val="20"/>
        </w:rPr>
        <w:t>dispone</w:t>
      </w:r>
      <w:r>
        <w:rPr>
          <w:spacing w:val="-8"/>
          <w:sz w:val="20"/>
        </w:rPr>
        <w:t xml:space="preserve"> </w:t>
      </w:r>
      <w:r>
        <w:rPr>
          <w:sz w:val="20"/>
        </w:rPr>
        <w:t>que</w:t>
      </w:r>
      <w:r>
        <w:rPr>
          <w:spacing w:val="-7"/>
          <w:sz w:val="20"/>
        </w:rPr>
        <w:t xml:space="preserve"> </w:t>
      </w:r>
      <w:r>
        <w:rPr>
          <w:sz w:val="20"/>
        </w:rPr>
        <w:t>el</w:t>
      </w:r>
      <w:r>
        <w:rPr>
          <w:spacing w:val="-5"/>
          <w:sz w:val="20"/>
        </w:rPr>
        <w:t xml:space="preserve"> </w:t>
      </w:r>
      <w:r>
        <w:rPr>
          <w:sz w:val="20"/>
        </w:rPr>
        <w:t>Estado</w:t>
      </w:r>
      <w:r>
        <w:rPr>
          <w:spacing w:val="-9"/>
          <w:sz w:val="20"/>
        </w:rPr>
        <w:t xml:space="preserve"> </w:t>
      </w:r>
      <w:r>
        <w:rPr>
          <w:sz w:val="20"/>
        </w:rPr>
        <w:t>debe,</w:t>
      </w:r>
      <w:r>
        <w:rPr>
          <w:spacing w:val="-6"/>
          <w:sz w:val="20"/>
        </w:rPr>
        <w:t xml:space="preserve"> </w:t>
      </w:r>
      <w:r>
        <w:rPr>
          <w:sz w:val="20"/>
        </w:rPr>
        <w:t>considerando</w:t>
      </w:r>
      <w:r>
        <w:rPr>
          <w:spacing w:val="-9"/>
          <w:sz w:val="20"/>
        </w:rPr>
        <w:t xml:space="preserve"> </w:t>
      </w:r>
      <w:r>
        <w:rPr>
          <w:sz w:val="20"/>
        </w:rPr>
        <w:t>lo</w:t>
      </w:r>
      <w:r>
        <w:rPr>
          <w:spacing w:val="-6"/>
          <w:sz w:val="20"/>
        </w:rPr>
        <w:t xml:space="preserve"> </w:t>
      </w:r>
      <w:r>
        <w:rPr>
          <w:sz w:val="20"/>
        </w:rPr>
        <w:t>dispuesto en esta Sentencia (</w:t>
      </w:r>
      <w:r>
        <w:rPr>
          <w:i/>
          <w:sz w:val="20"/>
        </w:rPr>
        <w:t xml:space="preserve">supra </w:t>
      </w:r>
      <w:r>
        <w:rPr>
          <w:sz w:val="20"/>
        </w:rPr>
        <w:t>párrs. 228 a 231), continuar con la debida diligencia, conforme al derecho</w:t>
      </w:r>
      <w:r>
        <w:rPr>
          <w:spacing w:val="-21"/>
          <w:sz w:val="20"/>
        </w:rPr>
        <w:t xml:space="preserve"> </w:t>
      </w:r>
      <w:r>
        <w:rPr>
          <w:sz w:val="20"/>
        </w:rPr>
        <w:t>interno,</w:t>
      </w:r>
      <w:r>
        <w:rPr>
          <w:spacing w:val="-18"/>
          <w:sz w:val="20"/>
        </w:rPr>
        <w:t xml:space="preserve"> </w:t>
      </w:r>
      <w:r>
        <w:rPr>
          <w:sz w:val="20"/>
        </w:rPr>
        <w:t>el</w:t>
      </w:r>
      <w:r>
        <w:rPr>
          <w:spacing w:val="-17"/>
          <w:sz w:val="20"/>
        </w:rPr>
        <w:t xml:space="preserve"> </w:t>
      </w:r>
      <w:r>
        <w:rPr>
          <w:sz w:val="20"/>
        </w:rPr>
        <w:t>proceso</w:t>
      </w:r>
      <w:r>
        <w:rPr>
          <w:spacing w:val="-21"/>
          <w:sz w:val="20"/>
        </w:rPr>
        <w:t xml:space="preserve"> </w:t>
      </w:r>
      <w:r>
        <w:rPr>
          <w:sz w:val="20"/>
        </w:rPr>
        <w:t>penal</w:t>
      </w:r>
      <w:r>
        <w:rPr>
          <w:spacing w:val="-19"/>
          <w:sz w:val="20"/>
        </w:rPr>
        <w:t xml:space="preserve"> </w:t>
      </w:r>
      <w:r>
        <w:rPr>
          <w:sz w:val="20"/>
        </w:rPr>
        <w:t>para,</w:t>
      </w:r>
      <w:r>
        <w:rPr>
          <w:spacing w:val="-16"/>
          <w:sz w:val="20"/>
        </w:rPr>
        <w:t xml:space="preserve"> </w:t>
      </w:r>
      <w:r>
        <w:rPr>
          <w:sz w:val="20"/>
        </w:rPr>
        <w:t>en</w:t>
      </w:r>
      <w:r>
        <w:rPr>
          <w:spacing w:val="-19"/>
          <w:sz w:val="20"/>
        </w:rPr>
        <w:t xml:space="preserve"> </w:t>
      </w:r>
      <w:r>
        <w:rPr>
          <w:sz w:val="20"/>
        </w:rPr>
        <w:t>un</w:t>
      </w:r>
      <w:r>
        <w:rPr>
          <w:spacing w:val="-16"/>
          <w:sz w:val="20"/>
        </w:rPr>
        <w:t xml:space="preserve"> </w:t>
      </w:r>
      <w:r>
        <w:rPr>
          <w:sz w:val="20"/>
        </w:rPr>
        <w:t>plazo</w:t>
      </w:r>
      <w:r>
        <w:rPr>
          <w:spacing w:val="-19"/>
          <w:sz w:val="20"/>
        </w:rPr>
        <w:t xml:space="preserve"> </w:t>
      </w:r>
      <w:r>
        <w:rPr>
          <w:sz w:val="20"/>
        </w:rPr>
        <w:t>razonable,</w:t>
      </w:r>
      <w:r>
        <w:rPr>
          <w:spacing w:val="-18"/>
          <w:sz w:val="20"/>
        </w:rPr>
        <w:t xml:space="preserve"> </w:t>
      </w:r>
      <w:r>
        <w:rPr>
          <w:sz w:val="20"/>
        </w:rPr>
        <w:t>juzgar</w:t>
      </w:r>
      <w:r>
        <w:rPr>
          <w:spacing w:val="-21"/>
          <w:sz w:val="20"/>
        </w:rPr>
        <w:t xml:space="preserve"> </w:t>
      </w:r>
      <w:r>
        <w:rPr>
          <w:sz w:val="20"/>
        </w:rPr>
        <w:t>y,</w:t>
      </w:r>
      <w:r>
        <w:rPr>
          <w:spacing w:val="-18"/>
          <w:sz w:val="20"/>
        </w:rPr>
        <w:t xml:space="preserve"> </w:t>
      </w:r>
      <w:r>
        <w:rPr>
          <w:sz w:val="20"/>
        </w:rPr>
        <w:t>en</w:t>
      </w:r>
      <w:r>
        <w:rPr>
          <w:spacing w:val="-16"/>
          <w:sz w:val="20"/>
        </w:rPr>
        <w:t xml:space="preserve"> </w:t>
      </w:r>
      <w:r>
        <w:rPr>
          <w:sz w:val="20"/>
        </w:rPr>
        <w:t>su</w:t>
      </w:r>
      <w:r>
        <w:rPr>
          <w:spacing w:val="-17"/>
          <w:sz w:val="20"/>
        </w:rPr>
        <w:t xml:space="preserve"> </w:t>
      </w:r>
      <w:r>
        <w:rPr>
          <w:sz w:val="20"/>
        </w:rPr>
        <w:t>caso,</w:t>
      </w:r>
      <w:r>
        <w:rPr>
          <w:spacing w:val="-18"/>
          <w:sz w:val="20"/>
        </w:rPr>
        <w:t xml:space="preserve"> </w:t>
      </w:r>
      <w:r>
        <w:rPr>
          <w:sz w:val="20"/>
        </w:rPr>
        <w:t>sancionar, a los re</w:t>
      </w:r>
      <w:r>
        <w:rPr>
          <w:sz w:val="20"/>
        </w:rPr>
        <w:t xml:space="preserve">sponsables de la explosión de la fábrica de fuegos de Santo Antônio de Jesus. La debida diligencia implica, especialmente, que todas las autoridades estatales correspondientes están obligadas a abstenerse de actos que resulten en la obstrucción o retrasos </w:t>
      </w:r>
      <w:r>
        <w:rPr>
          <w:sz w:val="20"/>
        </w:rPr>
        <w:t>para la marcha del proceso penal</w:t>
      </w:r>
      <w:hyperlink w:anchor="_bookmark421" w:history="1">
        <w:r>
          <w:rPr>
            <w:position w:val="7"/>
            <w:sz w:val="13"/>
          </w:rPr>
          <w:t>355</w:t>
        </w:r>
      </w:hyperlink>
      <w:r>
        <w:rPr>
          <w:sz w:val="20"/>
        </w:rPr>
        <w:t>, tomando en cuenta que han transcurrido casi 22 años desde que sucedieron los hechos del presente caso. Lo anterior, con el propósito de garantizar el derecho a la verdad de las</w:t>
      </w:r>
      <w:r>
        <w:rPr>
          <w:spacing w:val="-5"/>
          <w:sz w:val="20"/>
        </w:rPr>
        <w:t xml:space="preserve"> </w:t>
      </w:r>
      <w:r>
        <w:rPr>
          <w:sz w:val="20"/>
        </w:rPr>
        <w:t>víctimas.</w:t>
      </w:r>
    </w:p>
    <w:p w14:paraId="7E287B18" w14:textId="77777777" w:rsidR="00467FCA" w:rsidRDefault="00467FCA">
      <w:pPr>
        <w:pStyle w:val="Textoindependiente"/>
      </w:pPr>
    </w:p>
    <w:p w14:paraId="720734F6" w14:textId="77777777" w:rsidR="00467FCA" w:rsidRDefault="001B68EB">
      <w:pPr>
        <w:pStyle w:val="Prrafodelista"/>
        <w:numPr>
          <w:ilvl w:val="0"/>
          <w:numId w:val="38"/>
        </w:numPr>
        <w:tabs>
          <w:tab w:val="left" w:pos="687"/>
        </w:tabs>
        <w:ind w:right="117" w:firstLine="0"/>
        <w:jc w:val="both"/>
        <w:rPr>
          <w:sz w:val="20"/>
        </w:rPr>
      </w:pPr>
      <w:r>
        <w:rPr>
          <w:sz w:val="20"/>
        </w:rPr>
        <w:t>En</w:t>
      </w:r>
      <w:r>
        <w:rPr>
          <w:spacing w:val="-10"/>
          <w:sz w:val="20"/>
        </w:rPr>
        <w:t xml:space="preserve"> </w:t>
      </w:r>
      <w:r>
        <w:rPr>
          <w:sz w:val="20"/>
        </w:rPr>
        <w:t>lo</w:t>
      </w:r>
      <w:r>
        <w:rPr>
          <w:spacing w:val="-11"/>
          <w:sz w:val="20"/>
        </w:rPr>
        <w:t xml:space="preserve"> </w:t>
      </w:r>
      <w:r>
        <w:rPr>
          <w:sz w:val="20"/>
        </w:rPr>
        <w:t>que</w:t>
      </w:r>
      <w:r>
        <w:rPr>
          <w:spacing w:val="-11"/>
          <w:sz w:val="20"/>
        </w:rPr>
        <w:t xml:space="preserve"> </w:t>
      </w:r>
      <w:r>
        <w:rPr>
          <w:sz w:val="20"/>
        </w:rPr>
        <w:t>respecta</w:t>
      </w:r>
      <w:r>
        <w:rPr>
          <w:spacing w:val="-10"/>
          <w:sz w:val="20"/>
        </w:rPr>
        <w:t xml:space="preserve"> </w:t>
      </w:r>
      <w:r>
        <w:rPr>
          <w:sz w:val="20"/>
        </w:rPr>
        <w:t>a</w:t>
      </w:r>
      <w:r>
        <w:rPr>
          <w:spacing w:val="-10"/>
          <w:sz w:val="20"/>
        </w:rPr>
        <w:t xml:space="preserve"> </w:t>
      </w:r>
      <w:r>
        <w:rPr>
          <w:sz w:val="20"/>
        </w:rPr>
        <w:t>las</w:t>
      </w:r>
      <w:r>
        <w:rPr>
          <w:spacing w:val="-9"/>
          <w:sz w:val="20"/>
        </w:rPr>
        <w:t xml:space="preserve"> </w:t>
      </w:r>
      <w:r>
        <w:rPr>
          <w:sz w:val="20"/>
        </w:rPr>
        <w:t>causas</w:t>
      </w:r>
      <w:r>
        <w:rPr>
          <w:spacing w:val="-9"/>
          <w:sz w:val="20"/>
        </w:rPr>
        <w:t xml:space="preserve"> </w:t>
      </w:r>
      <w:r>
        <w:rPr>
          <w:sz w:val="20"/>
        </w:rPr>
        <w:t>civiles</w:t>
      </w:r>
      <w:r>
        <w:rPr>
          <w:spacing w:val="-11"/>
          <w:sz w:val="20"/>
        </w:rPr>
        <w:t xml:space="preserve"> </w:t>
      </w:r>
      <w:r>
        <w:rPr>
          <w:sz w:val="20"/>
        </w:rPr>
        <w:t>de</w:t>
      </w:r>
      <w:r>
        <w:rPr>
          <w:spacing w:val="-11"/>
          <w:sz w:val="20"/>
        </w:rPr>
        <w:t xml:space="preserve"> </w:t>
      </w:r>
      <w:r>
        <w:rPr>
          <w:sz w:val="20"/>
        </w:rPr>
        <w:t>indemnización</w:t>
      </w:r>
      <w:r>
        <w:rPr>
          <w:spacing w:val="-9"/>
          <w:sz w:val="20"/>
        </w:rPr>
        <w:t xml:space="preserve"> </w:t>
      </w:r>
      <w:r>
        <w:rPr>
          <w:sz w:val="20"/>
        </w:rPr>
        <w:t>por</w:t>
      </w:r>
      <w:r>
        <w:rPr>
          <w:spacing w:val="-11"/>
          <w:sz w:val="20"/>
        </w:rPr>
        <w:t xml:space="preserve"> </w:t>
      </w:r>
      <w:r>
        <w:rPr>
          <w:sz w:val="20"/>
        </w:rPr>
        <w:t>daños</w:t>
      </w:r>
      <w:r>
        <w:rPr>
          <w:spacing w:val="-11"/>
          <w:sz w:val="20"/>
        </w:rPr>
        <w:t xml:space="preserve"> </w:t>
      </w:r>
      <w:r>
        <w:rPr>
          <w:sz w:val="20"/>
        </w:rPr>
        <w:t>morales</w:t>
      </w:r>
      <w:r>
        <w:rPr>
          <w:spacing w:val="-11"/>
          <w:sz w:val="20"/>
        </w:rPr>
        <w:t xml:space="preserve"> </w:t>
      </w:r>
      <w:r>
        <w:rPr>
          <w:sz w:val="20"/>
        </w:rPr>
        <w:t>y</w:t>
      </w:r>
      <w:r>
        <w:rPr>
          <w:spacing w:val="-11"/>
          <w:sz w:val="20"/>
        </w:rPr>
        <w:t xml:space="preserve"> </w:t>
      </w:r>
      <w:r>
        <w:rPr>
          <w:sz w:val="20"/>
        </w:rPr>
        <w:t>materiales contra el Estado Federal, el Estado de Bahia, la Municipalidad de Santo Antônio de Jesus y la empresa Mário Fróes Prazeres Bastos, y respecto a los procesos laborales, el Estado debe, tomando en cuenta lo dispuesto en esta Sentencia (</w:t>
      </w:r>
      <w:r>
        <w:rPr>
          <w:i/>
          <w:sz w:val="20"/>
        </w:rPr>
        <w:t xml:space="preserve">supra </w:t>
      </w:r>
      <w:r>
        <w:rPr>
          <w:sz w:val="20"/>
        </w:rPr>
        <w:t>párrs</w:t>
      </w:r>
      <w:r>
        <w:rPr>
          <w:sz w:val="20"/>
        </w:rPr>
        <w:t>. 232 a 238), continuar, con la debida diligencia, los procesos aún en trámite, para, en un plazo razonable, concluirlos y, en su caso, promover la completa ejecución, además de ejecutar las sentencias definitivas con la entrega efectiva de las sumas debid</w:t>
      </w:r>
      <w:r>
        <w:rPr>
          <w:sz w:val="20"/>
        </w:rPr>
        <w:t>as a las</w:t>
      </w:r>
      <w:r>
        <w:rPr>
          <w:spacing w:val="1"/>
          <w:sz w:val="20"/>
        </w:rPr>
        <w:t xml:space="preserve"> </w:t>
      </w:r>
      <w:r>
        <w:rPr>
          <w:sz w:val="20"/>
        </w:rPr>
        <w:t>víctimas.</w:t>
      </w:r>
    </w:p>
    <w:p w14:paraId="1987BB47" w14:textId="77777777" w:rsidR="00467FCA" w:rsidRDefault="00467FCA">
      <w:pPr>
        <w:pStyle w:val="Textoindependiente"/>
      </w:pPr>
    </w:p>
    <w:p w14:paraId="07285AA7" w14:textId="77777777" w:rsidR="00467FCA" w:rsidRDefault="001B68EB">
      <w:pPr>
        <w:pStyle w:val="Ttulo1"/>
        <w:numPr>
          <w:ilvl w:val="0"/>
          <w:numId w:val="37"/>
        </w:numPr>
        <w:tabs>
          <w:tab w:val="left" w:pos="840"/>
        </w:tabs>
        <w:ind w:left="839"/>
      </w:pPr>
      <w:bookmarkStart w:id="481" w:name="C._Medidas_de_rehabilitación"/>
      <w:bookmarkStart w:id="482" w:name="_bookmark419"/>
      <w:bookmarkEnd w:id="481"/>
      <w:bookmarkEnd w:id="482"/>
      <w:r>
        <w:t>Medidas de</w:t>
      </w:r>
      <w:r>
        <w:rPr>
          <w:spacing w:val="-3"/>
        </w:rPr>
        <w:t xml:space="preserve"> </w:t>
      </w:r>
      <w:r>
        <w:t>rehabilitación</w:t>
      </w:r>
    </w:p>
    <w:p w14:paraId="322A7390" w14:textId="77777777" w:rsidR="00467FCA" w:rsidRDefault="00467FCA">
      <w:pPr>
        <w:pStyle w:val="Textoindependiente"/>
        <w:spacing w:before="1"/>
        <w:rPr>
          <w:b/>
        </w:rPr>
      </w:pPr>
    </w:p>
    <w:p w14:paraId="21A02C50" w14:textId="77777777" w:rsidR="00467FCA" w:rsidRDefault="001B68EB">
      <w:pPr>
        <w:pStyle w:val="Prrafodelista"/>
        <w:numPr>
          <w:ilvl w:val="0"/>
          <w:numId w:val="38"/>
        </w:numPr>
        <w:tabs>
          <w:tab w:val="left" w:pos="687"/>
        </w:tabs>
        <w:ind w:right="119" w:firstLine="0"/>
        <w:jc w:val="both"/>
        <w:rPr>
          <w:sz w:val="20"/>
        </w:rPr>
      </w:pPr>
      <w:r>
        <w:rPr>
          <w:sz w:val="20"/>
        </w:rPr>
        <w:t>La</w:t>
      </w:r>
      <w:r>
        <w:rPr>
          <w:spacing w:val="-9"/>
          <w:sz w:val="20"/>
        </w:rPr>
        <w:t xml:space="preserve"> </w:t>
      </w:r>
      <w:r>
        <w:rPr>
          <w:b/>
          <w:i/>
          <w:sz w:val="20"/>
        </w:rPr>
        <w:t>Comisión</w:t>
      </w:r>
      <w:r>
        <w:rPr>
          <w:b/>
          <w:i/>
          <w:spacing w:val="-7"/>
          <w:sz w:val="20"/>
        </w:rPr>
        <w:t xml:space="preserve"> </w:t>
      </w:r>
      <w:r>
        <w:rPr>
          <w:sz w:val="20"/>
        </w:rPr>
        <w:t>solicitó</w:t>
      </w:r>
      <w:r>
        <w:rPr>
          <w:spacing w:val="-9"/>
          <w:sz w:val="20"/>
        </w:rPr>
        <w:t xml:space="preserve"> </w:t>
      </w:r>
      <w:r>
        <w:rPr>
          <w:sz w:val="20"/>
        </w:rPr>
        <w:t>que</w:t>
      </w:r>
      <w:r>
        <w:rPr>
          <w:spacing w:val="-9"/>
          <w:sz w:val="20"/>
        </w:rPr>
        <w:t xml:space="preserve"> </w:t>
      </w:r>
      <w:r>
        <w:rPr>
          <w:sz w:val="20"/>
        </w:rPr>
        <w:t>se</w:t>
      </w:r>
      <w:r>
        <w:rPr>
          <w:spacing w:val="-9"/>
          <w:sz w:val="20"/>
        </w:rPr>
        <w:t xml:space="preserve"> </w:t>
      </w:r>
      <w:r>
        <w:rPr>
          <w:sz w:val="20"/>
        </w:rPr>
        <w:t>dispongan</w:t>
      </w:r>
      <w:r>
        <w:rPr>
          <w:spacing w:val="-7"/>
          <w:sz w:val="20"/>
        </w:rPr>
        <w:t xml:space="preserve"> </w:t>
      </w:r>
      <w:r>
        <w:rPr>
          <w:sz w:val="20"/>
        </w:rPr>
        <w:t>las</w:t>
      </w:r>
      <w:r>
        <w:rPr>
          <w:spacing w:val="-10"/>
          <w:sz w:val="20"/>
        </w:rPr>
        <w:t xml:space="preserve"> </w:t>
      </w:r>
      <w:r>
        <w:rPr>
          <w:sz w:val="20"/>
        </w:rPr>
        <w:t>medidas</w:t>
      </w:r>
      <w:r>
        <w:rPr>
          <w:spacing w:val="-9"/>
          <w:sz w:val="20"/>
        </w:rPr>
        <w:t xml:space="preserve"> </w:t>
      </w:r>
      <w:r>
        <w:rPr>
          <w:sz w:val="20"/>
        </w:rPr>
        <w:t>de</w:t>
      </w:r>
      <w:r>
        <w:rPr>
          <w:spacing w:val="-9"/>
          <w:sz w:val="20"/>
        </w:rPr>
        <w:t xml:space="preserve"> </w:t>
      </w:r>
      <w:r>
        <w:rPr>
          <w:sz w:val="20"/>
        </w:rPr>
        <w:t>atención</w:t>
      </w:r>
      <w:r>
        <w:rPr>
          <w:spacing w:val="-7"/>
          <w:sz w:val="20"/>
        </w:rPr>
        <w:t xml:space="preserve"> </w:t>
      </w:r>
      <w:r>
        <w:rPr>
          <w:sz w:val="20"/>
        </w:rPr>
        <w:t>en</w:t>
      </w:r>
      <w:r>
        <w:rPr>
          <w:spacing w:val="-7"/>
          <w:sz w:val="20"/>
        </w:rPr>
        <w:t xml:space="preserve"> </w:t>
      </w:r>
      <w:r>
        <w:rPr>
          <w:sz w:val="20"/>
        </w:rPr>
        <w:t>salud</w:t>
      </w:r>
      <w:r>
        <w:rPr>
          <w:spacing w:val="-7"/>
          <w:sz w:val="20"/>
        </w:rPr>
        <w:t xml:space="preserve"> </w:t>
      </w:r>
      <w:r>
        <w:rPr>
          <w:sz w:val="20"/>
        </w:rPr>
        <w:t>física</w:t>
      </w:r>
      <w:r>
        <w:rPr>
          <w:spacing w:val="-9"/>
          <w:sz w:val="20"/>
        </w:rPr>
        <w:t xml:space="preserve"> </w:t>
      </w:r>
      <w:r>
        <w:rPr>
          <w:sz w:val="20"/>
        </w:rPr>
        <w:t>y</w:t>
      </w:r>
      <w:r>
        <w:rPr>
          <w:spacing w:val="-8"/>
          <w:sz w:val="20"/>
        </w:rPr>
        <w:t xml:space="preserve"> </w:t>
      </w:r>
      <w:r>
        <w:rPr>
          <w:sz w:val="20"/>
        </w:rPr>
        <w:t>mental necesarias a las víctimas sobrevivientes de la explosión. Asimismo, que se dispongan las medidas de salud mental necesarias a los familiares directos de las víctimas de la explosión. También solicitó que estas medidas se implementen en caso de ser v</w:t>
      </w:r>
      <w:r>
        <w:rPr>
          <w:sz w:val="20"/>
        </w:rPr>
        <w:t>oluntad de las víctimas y de manera concertada con ellas y sus</w:t>
      </w:r>
      <w:r>
        <w:rPr>
          <w:spacing w:val="1"/>
          <w:sz w:val="20"/>
        </w:rPr>
        <w:t xml:space="preserve"> </w:t>
      </w:r>
      <w:r>
        <w:rPr>
          <w:sz w:val="20"/>
        </w:rPr>
        <w:t>representantes.</w:t>
      </w:r>
    </w:p>
    <w:p w14:paraId="18D0BA1A" w14:textId="77777777" w:rsidR="00467FCA" w:rsidRDefault="001B68EB">
      <w:pPr>
        <w:pStyle w:val="Textoindependiente"/>
        <w:spacing w:before="7"/>
        <w:rPr>
          <w:sz w:val="29"/>
        </w:rPr>
      </w:pPr>
      <w:r>
        <w:pict w14:anchorId="26EA23DA">
          <v:shape id="_x0000_s1127" style="position:absolute;margin-left:1in;margin-top:20.25pt;width:2in;height:.1pt;z-index:-251587584;mso-wrap-distance-left:0;mso-wrap-distance-right:0;mso-position-horizontal-relative:page" coordorigin="1440,405" coordsize="2880,0" path="m1440,405r2880,e" filled="f" strokeweight=".6pt">
            <v:path arrowok="t"/>
            <w10:wrap type="topAndBottom" anchorx="page"/>
          </v:shape>
        </w:pict>
      </w:r>
    </w:p>
    <w:p w14:paraId="1A804466" w14:textId="77777777" w:rsidR="00467FCA" w:rsidRDefault="001B68EB">
      <w:pPr>
        <w:tabs>
          <w:tab w:val="left" w:pos="839"/>
        </w:tabs>
        <w:spacing w:before="74"/>
        <w:ind w:left="120" w:right="129" w:hanging="1"/>
        <w:rPr>
          <w:sz w:val="16"/>
        </w:rPr>
      </w:pPr>
      <w:bookmarkStart w:id="483" w:name="_bookmark420"/>
      <w:bookmarkEnd w:id="483"/>
      <w:r>
        <w:rPr>
          <w:position w:val="6"/>
          <w:sz w:val="10"/>
        </w:rPr>
        <w:t>354</w:t>
      </w:r>
      <w:r>
        <w:rPr>
          <w:position w:val="6"/>
          <w:sz w:val="10"/>
        </w:rPr>
        <w:tab/>
      </w:r>
      <w:r>
        <w:rPr>
          <w:i/>
          <w:sz w:val="16"/>
        </w:rPr>
        <w:t>Cfr. Caso Bulacio Vs. Argentina, supra</w:t>
      </w:r>
      <w:r>
        <w:rPr>
          <w:sz w:val="16"/>
        </w:rPr>
        <w:t xml:space="preserve">, párr. 114, y </w:t>
      </w:r>
      <w:r>
        <w:rPr>
          <w:i/>
          <w:sz w:val="16"/>
        </w:rPr>
        <w:t>Caso Azul Rojas Marín y otra Vs. Perú, supra</w:t>
      </w:r>
      <w:r>
        <w:rPr>
          <w:sz w:val="16"/>
        </w:rPr>
        <w:t>, párr. 173.</w:t>
      </w:r>
    </w:p>
    <w:p w14:paraId="45CCC56F" w14:textId="77777777" w:rsidR="00467FCA" w:rsidRDefault="001B68EB">
      <w:pPr>
        <w:tabs>
          <w:tab w:val="left" w:pos="839"/>
        </w:tabs>
        <w:ind w:left="120" w:right="129" w:hanging="1"/>
        <w:rPr>
          <w:sz w:val="16"/>
        </w:rPr>
      </w:pPr>
      <w:bookmarkStart w:id="484" w:name="_bookmark421"/>
      <w:bookmarkEnd w:id="484"/>
      <w:r>
        <w:rPr>
          <w:position w:val="6"/>
          <w:sz w:val="10"/>
        </w:rPr>
        <w:t>355</w:t>
      </w:r>
      <w:r>
        <w:rPr>
          <w:position w:val="6"/>
          <w:sz w:val="10"/>
        </w:rPr>
        <w:tab/>
      </w:r>
      <w:r>
        <w:rPr>
          <w:i/>
          <w:sz w:val="16"/>
        </w:rPr>
        <w:t>Cfr. Caso Masacres de Río Negro Vs. Guatemala, supra</w:t>
      </w:r>
      <w:r>
        <w:rPr>
          <w:sz w:val="16"/>
        </w:rPr>
        <w:t xml:space="preserve">, párr. 194, y </w:t>
      </w:r>
      <w:r>
        <w:rPr>
          <w:i/>
          <w:sz w:val="16"/>
        </w:rPr>
        <w:t xml:space="preserve">Caso Alvarado Espinoza y otros Vs. México. Fondo, Reparaciones y Costas. </w:t>
      </w:r>
      <w:r>
        <w:rPr>
          <w:sz w:val="16"/>
        </w:rPr>
        <w:t>Sentencia de 28 de noviembre de 2018. Serie C No. 370, párr.</w:t>
      </w:r>
      <w:r>
        <w:rPr>
          <w:spacing w:val="-32"/>
          <w:sz w:val="16"/>
        </w:rPr>
        <w:t xml:space="preserve"> </w:t>
      </w:r>
      <w:r>
        <w:rPr>
          <w:sz w:val="16"/>
        </w:rPr>
        <w:t>301.</w:t>
      </w:r>
    </w:p>
    <w:p w14:paraId="5BBF1EFF" w14:textId="77777777" w:rsidR="00467FCA" w:rsidRDefault="00467FCA">
      <w:pPr>
        <w:rPr>
          <w:sz w:val="16"/>
        </w:rPr>
        <w:sectPr w:rsidR="00467FCA">
          <w:pgSz w:w="12240" w:h="15840"/>
          <w:pgMar w:top="1500" w:right="1320" w:bottom="1220" w:left="1320" w:header="0" w:footer="957" w:gutter="0"/>
          <w:cols w:space="720"/>
        </w:sectPr>
      </w:pPr>
    </w:p>
    <w:p w14:paraId="4E14F726" w14:textId="77777777" w:rsidR="00467FCA" w:rsidRDefault="001B68EB">
      <w:pPr>
        <w:pStyle w:val="Prrafodelista"/>
        <w:numPr>
          <w:ilvl w:val="0"/>
          <w:numId w:val="38"/>
        </w:numPr>
        <w:tabs>
          <w:tab w:val="left" w:pos="687"/>
        </w:tabs>
        <w:spacing w:before="183"/>
        <w:ind w:left="120" w:right="116" w:firstLine="0"/>
        <w:jc w:val="both"/>
        <w:rPr>
          <w:sz w:val="20"/>
        </w:rPr>
      </w:pPr>
      <w:r>
        <w:rPr>
          <w:sz w:val="20"/>
        </w:rPr>
        <w:t xml:space="preserve">Los </w:t>
      </w:r>
      <w:r>
        <w:rPr>
          <w:b/>
          <w:i/>
          <w:sz w:val="20"/>
        </w:rPr>
        <w:t xml:space="preserve">representantes </w:t>
      </w:r>
      <w:r>
        <w:rPr>
          <w:sz w:val="20"/>
        </w:rPr>
        <w:t>se refirieron a l</w:t>
      </w:r>
      <w:r>
        <w:rPr>
          <w:sz w:val="20"/>
        </w:rPr>
        <w:t>a importancia de que el Estado proporcione atención mediante un equipo profesional en psicología o psiquiatría y de forma gratuita en favor de los sobrevivientes y los familiares de las víctimas mortales, así como el pago de cualquier medicamento y tratami</w:t>
      </w:r>
      <w:r>
        <w:rPr>
          <w:sz w:val="20"/>
        </w:rPr>
        <w:t>ento que pueda ser necesario. Señalaron que esta atención puede</w:t>
      </w:r>
      <w:r>
        <w:rPr>
          <w:spacing w:val="-22"/>
          <w:sz w:val="20"/>
        </w:rPr>
        <w:t xml:space="preserve"> </w:t>
      </w:r>
      <w:r>
        <w:rPr>
          <w:sz w:val="20"/>
        </w:rPr>
        <w:t>ser</w:t>
      </w:r>
      <w:r>
        <w:rPr>
          <w:spacing w:val="-21"/>
          <w:sz w:val="20"/>
        </w:rPr>
        <w:t xml:space="preserve"> </w:t>
      </w:r>
      <w:r>
        <w:rPr>
          <w:sz w:val="20"/>
        </w:rPr>
        <w:t>proporcionada</w:t>
      </w:r>
      <w:r>
        <w:rPr>
          <w:spacing w:val="-21"/>
          <w:sz w:val="20"/>
        </w:rPr>
        <w:t xml:space="preserve"> </w:t>
      </w:r>
      <w:r>
        <w:rPr>
          <w:sz w:val="20"/>
        </w:rPr>
        <w:t>por</w:t>
      </w:r>
      <w:r>
        <w:rPr>
          <w:spacing w:val="-21"/>
          <w:sz w:val="20"/>
        </w:rPr>
        <w:t xml:space="preserve"> </w:t>
      </w:r>
      <w:r>
        <w:rPr>
          <w:sz w:val="20"/>
        </w:rPr>
        <w:t>instituciones</w:t>
      </w:r>
      <w:r>
        <w:rPr>
          <w:spacing w:val="-19"/>
          <w:sz w:val="20"/>
        </w:rPr>
        <w:t xml:space="preserve"> </w:t>
      </w:r>
      <w:r>
        <w:rPr>
          <w:sz w:val="20"/>
        </w:rPr>
        <w:t>públicas</w:t>
      </w:r>
      <w:r>
        <w:rPr>
          <w:spacing w:val="-21"/>
          <w:sz w:val="20"/>
        </w:rPr>
        <w:t xml:space="preserve"> </w:t>
      </w:r>
      <w:r>
        <w:rPr>
          <w:sz w:val="20"/>
        </w:rPr>
        <w:t>calificadas,</w:t>
      </w:r>
      <w:r>
        <w:rPr>
          <w:spacing w:val="-21"/>
          <w:sz w:val="20"/>
        </w:rPr>
        <w:t xml:space="preserve"> </w:t>
      </w:r>
      <w:r>
        <w:rPr>
          <w:sz w:val="20"/>
        </w:rPr>
        <w:t>pero</w:t>
      </w:r>
      <w:r>
        <w:rPr>
          <w:spacing w:val="-21"/>
          <w:sz w:val="20"/>
        </w:rPr>
        <w:t xml:space="preserve"> </w:t>
      </w:r>
      <w:r>
        <w:rPr>
          <w:sz w:val="20"/>
        </w:rPr>
        <w:t>que,</w:t>
      </w:r>
      <w:r>
        <w:rPr>
          <w:spacing w:val="-19"/>
          <w:sz w:val="20"/>
        </w:rPr>
        <w:t xml:space="preserve"> </w:t>
      </w:r>
      <w:r>
        <w:rPr>
          <w:sz w:val="20"/>
        </w:rPr>
        <w:t>en</w:t>
      </w:r>
      <w:r>
        <w:rPr>
          <w:spacing w:val="-19"/>
          <w:sz w:val="20"/>
        </w:rPr>
        <w:t xml:space="preserve"> </w:t>
      </w:r>
      <w:r>
        <w:rPr>
          <w:sz w:val="20"/>
        </w:rPr>
        <w:t>ausencia</w:t>
      </w:r>
      <w:r>
        <w:rPr>
          <w:spacing w:val="-21"/>
          <w:sz w:val="20"/>
        </w:rPr>
        <w:t xml:space="preserve"> </w:t>
      </w:r>
      <w:r>
        <w:rPr>
          <w:sz w:val="20"/>
        </w:rPr>
        <w:t>de</w:t>
      </w:r>
      <w:r>
        <w:rPr>
          <w:spacing w:val="-19"/>
          <w:sz w:val="20"/>
        </w:rPr>
        <w:t xml:space="preserve"> </w:t>
      </w:r>
      <w:r>
        <w:rPr>
          <w:sz w:val="20"/>
        </w:rPr>
        <w:t xml:space="preserve">éstas, el Estado debería pagar por la asistencia en la red de salud privada. En ambos casos, solicitaron que </w:t>
      </w:r>
      <w:r>
        <w:rPr>
          <w:sz w:val="20"/>
        </w:rPr>
        <w:t>se brinde un tratamiento individualizado, teniendo en cuenta las particularidades de cada situación. Además, solicitaron efectiva e inmediata atención a la salud física y mental de los sobrevivientes y de los familiares de las víctimas fallecidas y sobrevi</w:t>
      </w:r>
      <w:r>
        <w:rPr>
          <w:sz w:val="20"/>
        </w:rPr>
        <w:t>vientes,</w:t>
      </w:r>
      <w:r>
        <w:rPr>
          <w:spacing w:val="-18"/>
          <w:sz w:val="20"/>
        </w:rPr>
        <w:t xml:space="preserve"> </w:t>
      </w:r>
      <w:r>
        <w:rPr>
          <w:sz w:val="20"/>
        </w:rPr>
        <w:t>así</w:t>
      </w:r>
      <w:r>
        <w:rPr>
          <w:spacing w:val="-16"/>
          <w:sz w:val="20"/>
        </w:rPr>
        <w:t xml:space="preserve"> </w:t>
      </w:r>
      <w:r>
        <w:rPr>
          <w:sz w:val="20"/>
        </w:rPr>
        <w:t>como</w:t>
      </w:r>
      <w:r>
        <w:rPr>
          <w:spacing w:val="-17"/>
          <w:sz w:val="20"/>
        </w:rPr>
        <w:t xml:space="preserve"> </w:t>
      </w:r>
      <w:r>
        <w:rPr>
          <w:sz w:val="20"/>
        </w:rPr>
        <w:t>la</w:t>
      </w:r>
      <w:r>
        <w:rPr>
          <w:spacing w:val="-16"/>
          <w:sz w:val="20"/>
        </w:rPr>
        <w:t xml:space="preserve"> </w:t>
      </w:r>
      <w:r>
        <w:rPr>
          <w:sz w:val="20"/>
        </w:rPr>
        <w:t>realización</w:t>
      </w:r>
      <w:r>
        <w:rPr>
          <w:spacing w:val="-17"/>
          <w:sz w:val="20"/>
        </w:rPr>
        <w:t xml:space="preserve"> </w:t>
      </w:r>
      <w:r>
        <w:rPr>
          <w:sz w:val="20"/>
        </w:rPr>
        <w:t>de</w:t>
      </w:r>
      <w:r>
        <w:rPr>
          <w:spacing w:val="-17"/>
          <w:sz w:val="20"/>
        </w:rPr>
        <w:t xml:space="preserve"> </w:t>
      </w:r>
      <w:r>
        <w:rPr>
          <w:sz w:val="20"/>
        </w:rPr>
        <w:t>las</w:t>
      </w:r>
      <w:r>
        <w:rPr>
          <w:spacing w:val="-17"/>
          <w:sz w:val="20"/>
        </w:rPr>
        <w:t xml:space="preserve"> </w:t>
      </w:r>
      <w:r>
        <w:rPr>
          <w:sz w:val="20"/>
        </w:rPr>
        <w:t>cirugías</w:t>
      </w:r>
      <w:r>
        <w:rPr>
          <w:spacing w:val="-19"/>
          <w:sz w:val="20"/>
        </w:rPr>
        <w:t xml:space="preserve"> </w:t>
      </w:r>
      <w:r>
        <w:rPr>
          <w:sz w:val="20"/>
        </w:rPr>
        <w:t>de</w:t>
      </w:r>
      <w:r>
        <w:rPr>
          <w:spacing w:val="-17"/>
          <w:sz w:val="20"/>
        </w:rPr>
        <w:t xml:space="preserve"> </w:t>
      </w:r>
      <w:r>
        <w:rPr>
          <w:sz w:val="20"/>
        </w:rPr>
        <w:t>reconstrucción</w:t>
      </w:r>
      <w:r>
        <w:rPr>
          <w:spacing w:val="-17"/>
          <w:sz w:val="20"/>
        </w:rPr>
        <w:t xml:space="preserve"> </w:t>
      </w:r>
      <w:r>
        <w:rPr>
          <w:sz w:val="20"/>
        </w:rPr>
        <w:t>necesarias</w:t>
      </w:r>
      <w:r>
        <w:rPr>
          <w:spacing w:val="-17"/>
          <w:sz w:val="20"/>
        </w:rPr>
        <w:t xml:space="preserve"> </w:t>
      </w:r>
      <w:r>
        <w:rPr>
          <w:sz w:val="20"/>
        </w:rPr>
        <w:t>en</w:t>
      </w:r>
      <w:r>
        <w:rPr>
          <w:spacing w:val="-16"/>
          <w:sz w:val="20"/>
        </w:rPr>
        <w:t xml:space="preserve"> </w:t>
      </w:r>
      <w:r>
        <w:rPr>
          <w:sz w:val="20"/>
        </w:rPr>
        <w:t>relación con las quemaduras</w:t>
      </w:r>
      <w:r>
        <w:rPr>
          <w:spacing w:val="1"/>
          <w:sz w:val="20"/>
        </w:rPr>
        <w:t xml:space="preserve"> </w:t>
      </w:r>
      <w:r>
        <w:rPr>
          <w:sz w:val="20"/>
        </w:rPr>
        <w:t>sufridas.</w:t>
      </w:r>
    </w:p>
    <w:p w14:paraId="155A56D5" w14:textId="77777777" w:rsidR="00467FCA" w:rsidRDefault="00467FCA">
      <w:pPr>
        <w:pStyle w:val="Textoindependiente"/>
        <w:spacing w:before="1"/>
      </w:pPr>
    </w:p>
    <w:p w14:paraId="45C1DDAE" w14:textId="77777777" w:rsidR="00467FCA" w:rsidRDefault="001B68EB">
      <w:pPr>
        <w:pStyle w:val="Prrafodelista"/>
        <w:numPr>
          <w:ilvl w:val="0"/>
          <w:numId w:val="38"/>
        </w:numPr>
        <w:tabs>
          <w:tab w:val="left" w:pos="687"/>
        </w:tabs>
        <w:spacing w:before="1"/>
        <w:ind w:right="119" w:firstLine="0"/>
        <w:jc w:val="both"/>
        <w:rPr>
          <w:sz w:val="20"/>
        </w:rPr>
      </w:pPr>
      <w:r>
        <w:rPr>
          <w:sz w:val="20"/>
        </w:rPr>
        <w:t>El</w:t>
      </w:r>
      <w:r>
        <w:rPr>
          <w:spacing w:val="-16"/>
          <w:sz w:val="20"/>
        </w:rPr>
        <w:t xml:space="preserve"> </w:t>
      </w:r>
      <w:r>
        <w:rPr>
          <w:b/>
          <w:i/>
          <w:sz w:val="20"/>
        </w:rPr>
        <w:t>Estado</w:t>
      </w:r>
      <w:r>
        <w:rPr>
          <w:b/>
          <w:i/>
          <w:spacing w:val="-12"/>
          <w:sz w:val="20"/>
        </w:rPr>
        <w:t xml:space="preserve"> </w:t>
      </w:r>
      <w:r>
        <w:rPr>
          <w:sz w:val="20"/>
        </w:rPr>
        <w:t>consideró</w:t>
      </w:r>
      <w:r>
        <w:rPr>
          <w:spacing w:val="-17"/>
          <w:sz w:val="20"/>
        </w:rPr>
        <w:t xml:space="preserve"> </w:t>
      </w:r>
      <w:r>
        <w:rPr>
          <w:sz w:val="20"/>
        </w:rPr>
        <w:t>que</w:t>
      </w:r>
      <w:r>
        <w:rPr>
          <w:spacing w:val="-15"/>
          <w:sz w:val="20"/>
        </w:rPr>
        <w:t xml:space="preserve"> </w:t>
      </w:r>
      <w:r>
        <w:rPr>
          <w:sz w:val="20"/>
        </w:rPr>
        <w:t>las</w:t>
      </w:r>
      <w:r>
        <w:rPr>
          <w:spacing w:val="-17"/>
          <w:sz w:val="20"/>
        </w:rPr>
        <w:t xml:space="preserve"> </w:t>
      </w:r>
      <w:r>
        <w:rPr>
          <w:sz w:val="20"/>
        </w:rPr>
        <w:t>medidas</w:t>
      </w:r>
      <w:r>
        <w:rPr>
          <w:spacing w:val="-14"/>
          <w:sz w:val="20"/>
        </w:rPr>
        <w:t xml:space="preserve"> </w:t>
      </w:r>
      <w:r>
        <w:rPr>
          <w:sz w:val="20"/>
        </w:rPr>
        <w:t>de</w:t>
      </w:r>
      <w:r>
        <w:rPr>
          <w:spacing w:val="-14"/>
          <w:sz w:val="20"/>
        </w:rPr>
        <w:t xml:space="preserve"> </w:t>
      </w:r>
      <w:r>
        <w:rPr>
          <w:sz w:val="20"/>
        </w:rPr>
        <w:t>rehabilitación</w:t>
      </w:r>
      <w:r>
        <w:rPr>
          <w:spacing w:val="-13"/>
          <w:sz w:val="20"/>
        </w:rPr>
        <w:t xml:space="preserve"> </w:t>
      </w:r>
      <w:r>
        <w:rPr>
          <w:sz w:val="20"/>
        </w:rPr>
        <w:t>solicitadas</w:t>
      </w:r>
      <w:r>
        <w:rPr>
          <w:spacing w:val="-13"/>
          <w:sz w:val="20"/>
        </w:rPr>
        <w:t xml:space="preserve"> </w:t>
      </w:r>
      <w:r>
        <w:rPr>
          <w:sz w:val="20"/>
        </w:rPr>
        <w:t>por</w:t>
      </w:r>
      <w:r>
        <w:rPr>
          <w:spacing w:val="-17"/>
          <w:sz w:val="20"/>
        </w:rPr>
        <w:t xml:space="preserve"> </w:t>
      </w:r>
      <w:r>
        <w:rPr>
          <w:sz w:val="20"/>
        </w:rPr>
        <w:t>los</w:t>
      </w:r>
      <w:r>
        <w:rPr>
          <w:spacing w:val="-12"/>
          <w:sz w:val="20"/>
        </w:rPr>
        <w:t xml:space="preserve"> </w:t>
      </w:r>
      <w:r>
        <w:rPr>
          <w:sz w:val="20"/>
        </w:rPr>
        <w:t>representantes son</w:t>
      </w:r>
      <w:r>
        <w:rPr>
          <w:spacing w:val="-8"/>
          <w:sz w:val="20"/>
        </w:rPr>
        <w:t xml:space="preserve"> </w:t>
      </w:r>
      <w:r>
        <w:rPr>
          <w:sz w:val="20"/>
        </w:rPr>
        <w:t>inadecuadas,</w:t>
      </w:r>
      <w:r>
        <w:rPr>
          <w:spacing w:val="-8"/>
          <w:sz w:val="20"/>
        </w:rPr>
        <w:t xml:space="preserve"> </w:t>
      </w:r>
      <w:r>
        <w:rPr>
          <w:sz w:val="20"/>
        </w:rPr>
        <w:t>pues</w:t>
      </w:r>
      <w:r>
        <w:rPr>
          <w:spacing w:val="-7"/>
          <w:sz w:val="20"/>
        </w:rPr>
        <w:t xml:space="preserve"> </w:t>
      </w:r>
      <w:r>
        <w:rPr>
          <w:sz w:val="20"/>
        </w:rPr>
        <w:t>el</w:t>
      </w:r>
      <w:r>
        <w:rPr>
          <w:spacing w:val="-7"/>
          <w:sz w:val="20"/>
        </w:rPr>
        <w:t xml:space="preserve"> </w:t>
      </w:r>
      <w:r>
        <w:rPr>
          <w:sz w:val="20"/>
        </w:rPr>
        <w:t>Estado</w:t>
      </w:r>
      <w:r>
        <w:rPr>
          <w:spacing w:val="-9"/>
          <w:sz w:val="20"/>
        </w:rPr>
        <w:t xml:space="preserve"> </w:t>
      </w:r>
      <w:r>
        <w:rPr>
          <w:sz w:val="20"/>
        </w:rPr>
        <w:t>ha</w:t>
      </w:r>
      <w:r>
        <w:rPr>
          <w:spacing w:val="-9"/>
          <w:sz w:val="20"/>
        </w:rPr>
        <w:t xml:space="preserve"> </w:t>
      </w:r>
      <w:r>
        <w:rPr>
          <w:sz w:val="20"/>
        </w:rPr>
        <w:t>cumplido</w:t>
      </w:r>
      <w:r>
        <w:rPr>
          <w:spacing w:val="-9"/>
          <w:sz w:val="20"/>
        </w:rPr>
        <w:t xml:space="preserve"> </w:t>
      </w:r>
      <w:r>
        <w:rPr>
          <w:sz w:val="20"/>
        </w:rPr>
        <w:t>con</w:t>
      </w:r>
      <w:r>
        <w:rPr>
          <w:spacing w:val="-7"/>
          <w:sz w:val="20"/>
        </w:rPr>
        <w:t xml:space="preserve"> </w:t>
      </w:r>
      <w:r>
        <w:rPr>
          <w:sz w:val="20"/>
        </w:rPr>
        <w:t>la</w:t>
      </w:r>
      <w:r>
        <w:rPr>
          <w:spacing w:val="-9"/>
          <w:sz w:val="20"/>
        </w:rPr>
        <w:t xml:space="preserve"> </w:t>
      </w:r>
      <w:r>
        <w:rPr>
          <w:sz w:val="20"/>
        </w:rPr>
        <w:t>promoción</w:t>
      </w:r>
      <w:r>
        <w:rPr>
          <w:spacing w:val="-7"/>
          <w:sz w:val="20"/>
        </w:rPr>
        <w:t xml:space="preserve"> </w:t>
      </w:r>
      <w:r>
        <w:rPr>
          <w:sz w:val="20"/>
        </w:rPr>
        <w:t>de</w:t>
      </w:r>
      <w:r>
        <w:rPr>
          <w:spacing w:val="-9"/>
          <w:sz w:val="20"/>
        </w:rPr>
        <w:t xml:space="preserve"> </w:t>
      </w:r>
      <w:r>
        <w:rPr>
          <w:sz w:val="20"/>
        </w:rPr>
        <w:t>un</w:t>
      </w:r>
      <w:r>
        <w:rPr>
          <w:spacing w:val="-8"/>
          <w:sz w:val="20"/>
        </w:rPr>
        <w:t xml:space="preserve"> </w:t>
      </w:r>
      <w:r>
        <w:rPr>
          <w:sz w:val="20"/>
        </w:rPr>
        <w:t>Sistema</w:t>
      </w:r>
      <w:r>
        <w:rPr>
          <w:spacing w:val="-8"/>
          <w:sz w:val="20"/>
        </w:rPr>
        <w:t xml:space="preserve"> </w:t>
      </w:r>
      <w:r>
        <w:rPr>
          <w:sz w:val="20"/>
        </w:rPr>
        <w:t>Único</w:t>
      </w:r>
      <w:r>
        <w:rPr>
          <w:spacing w:val="-9"/>
          <w:sz w:val="20"/>
        </w:rPr>
        <w:t xml:space="preserve"> </w:t>
      </w:r>
      <w:r>
        <w:rPr>
          <w:sz w:val="20"/>
        </w:rPr>
        <w:t>de</w:t>
      </w:r>
      <w:r>
        <w:rPr>
          <w:spacing w:val="-10"/>
          <w:sz w:val="20"/>
        </w:rPr>
        <w:t xml:space="preserve"> </w:t>
      </w:r>
      <w:r>
        <w:rPr>
          <w:sz w:val="20"/>
        </w:rPr>
        <w:t>Salud (SUS)</w:t>
      </w:r>
      <w:r>
        <w:rPr>
          <w:spacing w:val="-11"/>
          <w:sz w:val="20"/>
        </w:rPr>
        <w:t xml:space="preserve"> </w:t>
      </w:r>
      <w:r>
        <w:rPr>
          <w:sz w:val="20"/>
        </w:rPr>
        <w:t>que</w:t>
      </w:r>
      <w:r>
        <w:rPr>
          <w:spacing w:val="-11"/>
          <w:sz w:val="20"/>
        </w:rPr>
        <w:t xml:space="preserve"> </w:t>
      </w:r>
      <w:r>
        <w:rPr>
          <w:sz w:val="20"/>
        </w:rPr>
        <w:t>garantiza</w:t>
      </w:r>
      <w:r>
        <w:rPr>
          <w:spacing w:val="-11"/>
          <w:sz w:val="20"/>
        </w:rPr>
        <w:t xml:space="preserve"> </w:t>
      </w:r>
      <w:r>
        <w:rPr>
          <w:sz w:val="20"/>
        </w:rPr>
        <w:t>el</w:t>
      </w:r>
      <w:r>
        <w:rPr>
          <w:spacing w:val="-10"/>
          <w:sz w:val="20"/>
        </w:rPr>
        <w:t xml:space="preserve"> </w:t>
      </w:r>
      <w:r>
        <w:rPr>
          <w:sz w:val="20"/>
        </w:rPr>
        <w:t>acceso</w:t>
      </w:r>
      <w:r>
        <w:rPr>
          <w:spacing w:val="-9"/>
          <w:sz w:val="20"/>
        </w:rPr>
        <w:t xml:space="preserve"> </w:t>
      </w:r>
      <w:r>
        <w:rPr>
          <w:sz w:val="20"/>
        </w:rPr>
        <w:t>integral,</w:t>
      </w:r>
      <w:r>
        <w:rPr>
          <w:spacing w:val="-12"/>
          <w:sz w:val="20"/>
        </w:rPr>
        <w:t xml:space="preserve"> </w:t>
      </w:r>
      <w:r>
        <w:rPr>
          <w:sz w:val="20"/>
        </w:rPr>
        <w:t>universal</w:t>
      </w:r>
      <w:r>
        <w:rPr>
          <w:spacing w:val="-7"/>
          <w:sz w:val="20"/>
        </w:rPr>
        <w:t xml:space="preserve"> </w:t>
      </w:r>
      <w:r>
        <w:rPr>
          <w:sz w:val="20"/>
        </w:rPr>
        <w:t>y</w:t>
      </w:r>
      <w:r>
        <w:rPr>
          <w:spacing w:val="-12"/>
          <w:sz w:val="20"/>
        </w:rPr>
        <w:t xml:space="preserve"> </w:t>
      </w:r>
      <w:r>
        <w:rPr>
          <w:sz w:val="20"/>
        </w:rPr>
        <w:t>gratuito</w:t>
      </w:r>
      <w:r>
        <w:rPr>
          <w:spacing w:val="-11"/>
          <w:sz w:val="20"/>
        </w:rPr>
        <w:t xml:space="preserve"> </w:t>
      </w:r>
      <w:r>
        <w:rPr>
          <w:sz w:val="20"/>
        </w:rPr>
        <w:t>para</w:t>
      </w:r>
      <w:r>
        <w:rPr>
          <w:spacing w:val="-10"/>
          <w:sz w:val="20"/>
        </w:rPr>
        <w:t xml:space="preserve"> </w:t>
      </w:r>
      <w:r>
        <w:rPr>
          <w:sz w:val="20"/>
        </w:rPr>
        <w:t>toda</w:t>
      </w:r>
      <w:r>
        <w:rPr>
          <w:spacing w:val="-11"/>
          <w:sz w:val="20"/>
        </w:rPr>
        <w:t xml:space="preserve"> </w:t>
      </w:r>
      <w:r>
        <w:rPr>
          <w:sz w:val="20"/>
        </w:rPr>
        <w:t>la</w:t>
      </w:r>
      <w:r>
        <w:rPr>
          <w:spacing w:val="-8"/>
          <w:sz w:val="20"/>
        </w:rPr>
        <w:t xml:space="preserve"> </w:t>
      </w:r>
      <w:r>
        <w:rPr>
          <w:sz w:val="20"/>
        </w:rPr>
        <w:t>población</w:t>
      </w:r>
      <w:r>
        <w:rPr>
          <w:spacing w:val="-10"/>
          <w:sz w:val="20"/>
        </w:rPr>
        <w:t xml:space="preserve"> </w:t>
      </w:r>
      <w:r>
        <w:rPr>
          <w:sz w:val="20"/>
        </w:rPr>
        <w:t>del</w:t>
      </w:r>
      <w:r>
        <w:rPr>
          <w:spacing w:val="-10"/>
          <w:sz w:val="20"/>
        </w:rPr>
        <w:t xml:space="preserve"> </w:t>
      </w:r>
      <w:r>
        <w:rPr>
          <w:sz w:val="20"/>
        </w:rPr>
        <w:t>país</w:t>
      </w:r>
      <w:r>
        <w:rPr>
          <w:spacing w:val="-12"/>
          <w:sz w:val="20"/>
        </w:rPr>
        <w:t xml:space="preserve"> </w:t>
      </w:r>
      <w:r>
        <w:rPr>
          <w:sz w:val="20"/>
        </w:rPr>
        <w:t>sin discriminación alguna, incluida la salud</w:t>
      </w:r>
      <w:r>
        <w:rPr>
          <w:spacing w:val="-6"/>
          <w:sz w:val="20"/>
        </w:rPr>
        <w:t xml:space="preserve"> </w:t>
      </w:r>
      <w:r>
        <w:rPr>
          <w:sz w:val="20"/>
        </w:rPr>
        <w:t>mental.</w:t>
      </w:r>
    </w:p>
    <w:p w14:paraId="39622DCF" w14:textId="77777777" w:rsidR="00467FCA" w:rsidRDefault="00467FCA">
      <w:pPr>
        <w:pStyle w:val="Textoindependiente"/>
        <w:spacing w:before="11"/>
        <w:rPr>
          <w:sz w:val="19"/>
        </w:rPr>
      </w:pPr>
    </w:p>
    <w:p w14:paraId="068430A0" w14:textId="77777777" w:rsidR="00467FCA" w:rsidRDefault="001B68EB">
      <w:pPr>
        <w:pStyle w:val="Prrafodelista"/>
        <w:numPr>
          <w:ilvl w:val="0"/>
          <w:numId w:val="38"/>
        </w:numPr>
        <w:tabs>
          <w:tab w:val="left" w:pos="687"/>
        </w:tabs>
        <w:ind w:right="116" w:firstLine="0"/>
        <w:jc w:val="both"/>
        <w:rPr>
          <w:sz w:val="20"/>
        </w:rPr>
      </w:pPr>
      <w:r>
        <w:rPr>
          <w:sz w:val="20"/>
        </w:rPr>
        <w:t>Este Tribunal encuentra que en el presente caso no hay evidencia que demuestre que las</w:t>
      </w:r>
      <w:r>
        <w:rPr>
          <w:spacing w:val="-23"/>
          <w:sz w:val="20"/>
        </w:rPr>
        <w:t xml:space="preserve"> </w:t>
      </w:r>
      <w:r>
        <w:rPr>
          <w:sz w:val="20"/>
        </w:rPr>
        <w:t>víctimas</w:t>
      </w:r>
      <w:r>
        <w:rPr>
          <w:spacing w:val="-19"/>
          <w:sz w:val="20"/>
        </w:rPr>
        <w:t xml:space="preserve"> </w:t>
      </w:r>
      <w:r>
        <w:rPr>
          <w:sz w:val="20"/>
        </w:rPr>
        <w:t>y</w:t>
      </w:r>
      <w:r>
        <w:rPr>
          <w:spacing w:val="-21"/>
          <w:sz w:val="20"/>
        </w:rPr>
        <w:t xml:space="preserve"> </w:t>
      </w:r>
      <w:r>
        <w:rPr>
          <w:sz w:val="20"/>
        </w:rPr>
        <w:t>sus</w:t>
      </w:r>
      <w:r>
        <w:rPr>
          <w:spacing w:val="-23"/>
          <w:sz w:val="20"/>
        </w:rPr>
        <w:t xml:space="preserve"> </w:t>
      </w:r>
      <w:r>
        <w:rPr>
          <w:sz w:val="20"/>
        </w:rPr>
        <w:t>familiares</w:t>
      </w:r>
      <w:r>
        <w:rPr>
          <w:spacing w:val="-22"/>
          <w:sz w:val="20"/>
        </w:rPr>
        <w:t xml:space="preserve"> </w:t>
      </w:r>
      <w:r>
        <w:rPr>
          <w:sz w:val="20"/>
        </w:rPr>
        <w:t>hayan</w:t>
      </w:r>
      <w:r>
        <w:rPr>
          <w:spacing w:val="-20"/>
          <w:sz w:val="20"/>
        </w:rPr>
        <w:t xml:space="preserve"> </w:t>
      </w:r>
      <w:r>
        <w:rPr>
          <w:sz w:val="20"/>
        </w:rPr>
        <w:t>tenido</w:t>
      </w:r>
      <w:r>
        <w:rPr>
          <w:spacing w:val="-21"/>
          <w:sz w:val="20"/>
        </w:rPr>
        <w:t xml:space="preserve"> </w:t>
      </w:r>
      <w:r>
        <w:rPr>
          <w:sz w:val="20"/>
        </w:rPr>
        <w:t>efectivamente</w:t>
      </w:r>
      <w:r>
        <w:rPr>
          <w:spacing w:val="-22"/>
          <w:sz w:val="20"/>
        </w:rPr>
        <w:t xml:space="preserve"> </w:t>
      </w:r>
      <w:r>
        <w:rPr>
          <w:sz w:val="20"/>
        </w:rPr>
        <w:t>acceso</w:t>
      </w:r>
      <w:r>
        <w:rPr>
          <w:spacing w:val="-22"/>
          <w:sz w:val="20"/>
        </w:rPr>
        <w:t xml:space="preserve"> </w:t>
      </w:r>
      <w:r>
        <w:rPr>
          <w:sz w:val="20"/>
        </w:rPr>
        <w:t>a</w:t>
      </w:r>
      <w:r>
        <w:rPr>
          <w:spacing w:val="-21"/>
          <w:sz w:val="20"/>
        </w:rPr>
        <w:t xml:space="preserve"> </w:t>
      </w:r>
      <w:r>
        <w:rPr>
          <w:sz w:val="20"/>
        </w:rPr>
        <w:t>atención</w:t>
      </w:r>
      <w:r>
        <w:rPr>
          <w:spacing w:val="-21"/>
          <w:sz w:val="20"/>
        </w:rPr>
        <w:t xml:space="preserve"> </w:t>
      </w:r>
      <w:r>
        <w:rPr>
          <w:sz w:val="20"/>
        </w:rPr>
        <w:t>médica,</w:t>
      </w:r>
      <w:r>
        <w:rPr>
          <w:spacing w:val="-21"/>
          <w:sz w:val="20"/>
        </w:rPr>
        <w:t xml:space="preserve"> </w:t>
      </w:r>
      <w:r>
        <w:rPr>
          <w:sz w:val="20"/>
        </w:rPr>
        <w:t>psicológica o psiquiátrica, a pesar de los sufrimientos que experimentaron como consecuenc</w:t>
      </w:r>
      <w:r>
        <w:rPr>
          <w:sz w:val="20"/>
        </w:rPr>
        <w:t>ia de los hechos y que les generaron secuelas hasta la fecha. En consecuencia, la Corte estima que el Estado debe brindar gratuitamente a través de instituciones de salud especializadas y de forma inmediata, adecuada y efectiva, el tratamiento médico, psic</w:t>
      </w:r>
      <w:r>
        <w:rPr>
          <w:sz w:val="20"/>
        </w:rPr>
        <w:t>ológico y psiquiátrico que requieran las víctimas, previo consentimiento informado y por el tiempo que sea necesario, incluida la provisión gratuita de medicamentos. Asimismo, los tratamientos deberán prestarse, en la medida de lo posible, en los centros e</w:t>
      </w:r>
      <w:r>
        <w:rPr>
          <w:sz w:val="20"/>
        </w:rPr>
        <w:t>legidos por los beneficiarios. De no contar</w:t>
      </w:r>
      <w:r>
        <w:rPr>
          <w:spacing w:val="-14"/>
          <w:sz w:val="20"/>
        </w:rPr>
        <w:t xml:space="preserve"> </w:t>
      </w:r>
      <w:r>
        <w:rPr>
          <w:sz w:val="20"/>
        </w:rPr>
        <w:t>con</w:t>
      </w:r>
      <w:r>
        <w:rPr>
          <w:spacing w:val="-14"/>
          <w:sz w:val="20"/>
        </w:rPr>
        <w:t xml:space="preserve"> </w:t>
      </w:r>
      <w:r>
        <w:rPr>
          <w:sz w:val="20"/>
        </w:rPr>
        <w:t>centros</w:t>
      </w:r>
      <w:r>
        <w:rPr>
          <w:spacing w:val="-16"/>
          <w:sz w:val="20"/>
        </w:rPr>
        <w:t xml:space="preserve"> </w:t>
      </w:r>
      <w:r>
        <w:rPr>
          <w:sz w:val="20"/>
        </w:rPr>
        <w:t>de</w:t>
      </w:r>
      <w:r>
        <w:rPr>
          <w:spacing w:val="-16"/>
          <w:sz w:val="20"/>
        </w:rPr>
        <w:t xml:space="preserve"> </w:t>
      </w:r>
      <w:r>
        <w:rPr>
          <w:sz w:val="20"/>
        </w:rPr>
        <w:t>atención</w:t>
      </w:r>
      <w:r>
        <w:rPr>
          <w:spacing w:val="-11"/>
          <w:sz w:val="20"/>
        </w:rPr>
        <w:t xml:space="preserve"> </w:t>
      </w:r>
      <w:r>
        <w:rPr>
          <w:sz w:val="20"/>
        </w:rPr>
        <w:t>cercanos</w:t>
      </w:r>
      <w:r>
        <w:rPr>
          <w:spacing w:val="-13"/>
          <w:sz w:val="20"/>
        </w:rPr>
        <w:t xml:space="preserve"> </w:t>
      </w:r>
      <w:r>
        <w:rPr>
          <w:sz w:val="20"/>
        </w:rPr>
        <w:t>se</w:t>
      </w:r>
      <w:r>
        <w:rPr>
          <w:spacing w:val="-16"/>
          <w:sz w:val="20"/>
        </w:rPr>
        <w:t xml:space="preserve"> </w:t>
      </w:r>
      <w:r>
        <w:rPr>
          <w:sz w:val="20"/>
        </w:rPr>
        <w:t>deberán</w:t>
      </w:r>
      <w:r>
        <w:rPr>
          <w:spacing w:val="-14"/>
          <w:sz w:val="20"/>
        </w:rPr>
        <w:t xml:space="preserve"> </w:t>
      </w:r>
      <w:r>
        <w:rPr>
          <w:sz w:val="20"/>
        </w:rPr>
        <w:t>sufragar</w:t>
      </w:r>
      <w:r>
        <w:rPr>
          <w:spacing w:val="-14"/>
          <w:sz w:val="20"/>
        </w:rPr>
        <w:t xml:space="preserve"> </w:t>
      </w:r>
      <w:r>
        <w:rPr>
          <w:sz w:val="20"/>
        </w:rPr>
        <w:t>los</w:t>
      </w:r>
      <w:r>
        <w:rPr>
          <w:spacing w:val="-15"/>
          <w:sz w:val="20"/>
        </w:rPr>
        <w:t xml:space="preserve"> </w:t>
      </w:r>
      <w:r>
        <w:rPr>
          <w:sz w:val="20"/>
        </w:rPr>
        <w:t>gastos</w:t>
      </w:r>
      <w:r>
        <w:rPr>
          <w:spacing w:val="-13"/>
          <w:sz w:val="20"/>
        </w:rPr>
        <w:t xml:space="preserve"> </w:t>
      </w:r>
      <w:r>
        <w:rPr>
          <w:sz w:val="20"/>
        </w:rPr>
        <w:t>relativos</w:t>
      </w:r>
      <w:r>
        <w:rPr>
          <w:spacing w:val="-16"/>
          <w:sz w:val="20"/>
        </w:rPr>
        <w:t xml:space="preserve"> </w:t>
      </w:r>
      <w:r>
        <w:rPr>
          <w:sz w:val="20"/>
        </w:rPr>
        <w:t>al</w:t>
      </w:r>
      <w:r>
        <w:rPr>
          <w:spacing w:val="-15"/>
          <w:sz w:val="20"/>
        </w:rPr>
        <w:t xml:space="preserve"> </w:t>
      </w:r>
      <w:r>
        <w:rPr>
          <w:sz w:val="20"/>
        </w:rPr>
        <w:t>transporte y alimentación. Para tal efecto, las víctimas disponen de un plazo de 18 meses, contado a partir</w:t>
      </w:r>
      <w:r>
        <w:rPr>
          <w:spacing w:val="-16"/>
          <w:sz w:val="20"/>
        </w:rPr>
        <w:t xml:space="preserve"> </w:t>
      </w:r>
      <w:r>
        <w:rPr>
          <w:sz w:val="20"/>
        </w:rPr>
        <w:t>de</w:t>
      </w:r>
      <w:r>
        <w:rPr>
          <w:spacing w:val="-15"/>
          <w:sz w:val="20"/>
        </w:rPr>
        <w:t xml:space="preserve"> </w:t>
      </w:r>
      <w:r>
        <w:rPr>
          <w:sz w:val="20"/>
        </w:rPr>
        <w:t>la</w:t>
      </w:r>
      <w:r>
        <w:rPr>
          <w:spacing w:val="-15"/>
          <w:sz w:val="20"/>
        </w:rPr>
        <w:t xml:space="preserve"> </w:t>
      </w:r>
      <w:r>
        <w:rPr>
          <w:sz w:val="20"/>
        </w:rPr>
        <w:t>notificación</w:t>
      </w:r>
      <w:r>
        <w:rPr>
          <w:spacing w:val="-12"/>
          <w:sz w:val="20"/>
        </w:rPr>
        <w:t xml:space="preserve"> </w:t>
      </w:r>
      <w:r>
        <w:rPr>
          <w:sz w:val="20"/>
        </w:rPr>
        <w:t>de</w:t>
      </w:r>
      <w:r>
        <w:rPr>
          <w:spacing w:val="-15"/>
          <w:sz w:val="20"/>
        </w:rPr>
        <w:t xml:space="preserve"> </w:t>
      </w:r>
      <w:r>
        <w:rPr>
          <w:sz w:val="20"/>
        </w:rPr>
        <w:t>la</w:t>
      </w:r>
      <w:r>
        <w:rPr>
          <w:spacing w:val="-15"/>
          <w:sz w:val="20"/>
        </w:rPr>
        <w:t xml:space="preserve"> </w:t>
      </w:r>
      <w:r>
        <w:rPr>
          <w:sz w:val="20"/>
        </w:rPr>
        <w:t>presente</w:t>
      </w:r>
      <w:r>
        <w:rPr>
          <w:spacing w:val="-13"/>
          <w:sz w:val="20"/>
        </w:rPr>
        <w:t xml:space="preserve"> </w:t>
      </w:r>
      <w:r>
        <w:rPr>
          <w:sz w:val="20"/>
        </w:rPr>
        <w:t>Sentencia,</w:t>
      </w:r>
      <w:r>
        <w:rPr>
          <w:spacing w:val="-16"/>
          <w:sz w:val="20"/>
        </w:rPr>
        <w:t xml:space="preserve"> </w:t>
      </w:r>
      <w:r>
        <w:rPr>
          <w:sz w:val="20"/>
        </w:rPr>
        <w:t>para</w:t>
      </w:r>
      <w:r>
        <w:rPr>
          <w:spacing w:val="-11"/>
          <w:sz w:val="20"/>
        </w:rPr>
        <w:t xml:space="preserve"> </w:t>
      </w:r>
      <w:r>
        <w:rPr>
          <w:sz w:val="20"/>
        </w:rPr>
        <w:t>requerir</w:t>
      </w:r>
      <w:r>
        <w:rPr>
          <w:spacing w:val="-16"/>
          <w:sz w:val="20"/>
        </w:rPr>
        <w:t xml:space="preserve"> </w:t>
      </w:r>
      <w:r>
        <w:rPr>
          <w:sz w:val="20"/>
        </w:rPr>
        <w:t>al</w:t>
      </w:r>
      <w:r>
        <w:rPr>
          <w:spacing w:val="-14"/>
          <w:sz w:val="20"/>
        </w:rPr>
        <w:t xml:space="preserve"> </w:t>
      </w:r>
      <w:r>
        <w:rPr>
          <w:sz w:val="20"/>
        </w:rPr>
        <w:t>Estado</w:t>
      </w:r>
      <w:r>
        <w:rPr>
          <w:spacing w:val="-16"/>
          <w:sz w:val="20"/>
        </w:rPr>
        <w:t xml:space="preserve"> </w:t>
      </w:r>
      <w:r>
        <w:rPr>
          <w:sz w:val="20"/>
        </w:rPr>
        <w:t>dicho</w:t>
      </w:r>
      <w:r>
        <w:rPr>
          <w:spacing w:val="-13"/>
          <w:sz w:val="20"/>
        </w:rPr>
        <w:t xml:space="preserve"> </w:t>
      </w:r>
      <w:r>
        <w:rPr>
          <w:sz w:val="20"/>
        </w:rPr>
        <w:t>tratamiento</w:t>
      </w:r>
      <w:hyperlink w:anchor="_bookmark424" w:history="1">
        <w:r>
          <w:rPr>
            <w:position w:val="7"/>
            <w:sz w:val="13"/>
          </w:rPr>
          <w:t>356</w:t>
        </w:r>
      </w:hyperlink>
      <w:r>
        <w:rPr>
          <w:sz w:val="20"/>
        </w:rPr>
        <w:t>.</w:t>
      </w:r>
    </w:p>
    <w:p w14:paraId="184A161C" w14:textId="77777777" w:rsidR="00467FCA" w:rsidRDefault="00467FCA">
      <w:pPr>
        <w:pStyle w:val="Textoindependiente"/>
      </w:pPr>
    </w:p>
    <w:p w14:paraId="6D3EFB8C" w14:textId="77777777" w:rsidR="00467FCA" w:rsidRDefault="001B68EB">
      <w:pPr>
        <w:pStyle w:val="Ttulo1"/>
        <w:numPr>
          <w:ilvl w:val="0"/>
          <w:numId w:val="37"/>
        </w:numPr>
        <w:tabs>
          <w:tab w:val="left" w:pos="908"/>
        </w:tabs>
        <w:ind w:left="907" w:hanging="428"/>
      </w:pPr>
      <w:bookmarkStart w:id="485" w:name="D.__Medidas_de_satisfacción"/>
      <w:bookmarkStart w:id="486" w:name="_bookmark422"/>
      <w:bookmarkEnd w:id="485"/>
      <w:bookmarkEnd w:id="486"/>
      <w:r>
        <w:t>Medidas de</w:t>
      </w:r>
      <w:r>
        <w:rPr>
          <w:spacing w:val="-1"/>
        </w:rPr>
        <w:t xml:space="preserve"> </w:t>
      </w:r>
      <w:r>
        <w:t>satisfacción</w:t>
      </w:r>
    </w:p>
    <w:p w14:paraId="24451FB9" w14:textId="77777777" w:rsidR="00467FCA" w:rsidRDefault="00467FCA">
      <w:pPr>
        <w:pStyle w:val="Textoindependiente"/>
        <w:spacing w:before="11"/>
        <w:rPr>
          <w:b/>
          <w:sz w:val="19"/>
        </w:rPr>
      </w:pPr>
    </w:p>
    <w:p w14:paraId="0ADECB69" w14:textId="77777777" w:rsidR="00467FCA" w:rsidRDefault="001B68EB">
      <w:pPr>
        <w:pStyle w:val="Prrafodelista"/>
        <w:numPr>
          <w:ilvl w:val="0"/>
          <w:numId w:val="38"/>
        </w:numPr>
        <w:tabs>
          <w:tab w:val="left" w:pos="687"/>
        </w:tabs>
        <w:ind w:right="116" w:firstLine="0"/>
        <w:jc w:val="both"/>
        <w:rPr>
          <w:sz w:val="20"/>
        </w:rPr>
      </w:pPr>
      <w:r>
        <w:rPr>
          <w:sz w:val="20"/>
        </w:rPr>
        <w:t>El Tribunal determinará las medidas que buscan reparar el daño inmaterial y que no tienen naturaleza pecuniaria, así como medidas de alcance o repercusión pública</w:t>
      </w:r>
      <w:hyperlink w:anchor="_bookmark425" w:history="1">
        <w:r>
          <w:rPr>
            <w:position w:val="7"/>
            <w:sz w:val="13"/>
          </w:rPr>
          <w:t>357</w:t>
        </w:r>
      </w:hyperlink>
      <w:r>
        <w:rPr>
          <w:sz w:val="20"/>
        </w:rPr>
        <w:t>. La jurisprudencia</w:t>
      </w:r>
      <w:r>
        <w:rPr>
          <w:spacing w:val="-12"/>
          <w:sz w:val="20"/>
        </w:rPr>
        <w:t xml:space="preserve"> </w:t>
      </w:r>
      <w:r>
        <w:rPr>
          <w:sz w:val="20"/>
        </w:rPr>
        <w:t>internacional,</w:t>
      </w:r>
      <w:r>
        <w:rPr>
          <w:spacing w:val="-12"/>
          <w:sz w:val="20"/>
        </w:rPr>
        <w:t xml:space="preserve"> </w:t>
      </w:r>
      <w:r>
        <w:rPr>
          <w:sz w:val="20"/>
        </w:rPr>
        <w:t>y</w:t>
      </w:r>
      <w:r>
        <w:rPr>
          <w:spacing w:val="-12"/>
          <w:sz w:val="20"/>
        </w:rPr>
        <w:t xml:space="preserve"> </w:t>
      </w:r>
      <w:r>
        <w:rPr>
          <w:sz w:val="20"/>
        </w:rPr>
        <w:t>en</w:t>
      </w:r>
      <w:r>
        <w:rPr>
          <w:spacing w:val="-13"/>
          <w:sz w:val="20"/>
        </w:rPr>
        <w:t xml:space="preserve"> </w:t>
      </w:r>
      <w:r>
        <w:rPr>
          <w:sz w:val="20"/>
        </w:rPr>
        <w:t>parti</w:t>
      </w:r>
      <w:r>
        <w:rPr>
          <w:sz w:val="20"/>
        </w:rPr>
        <w:t>cular</w:t>
      </w:r>
      <w:r>
        <w:rPr>
          <w:spacing w:val="-12"/>
          <w:sz w:val="20"/>
        </w:rPr>
        <w:t xml:space="preserve"> </w:t>
      </w:r>
      <w:r>
        <w:rPr>
          <w:sz w:val="20"/>
        </w:rPr>
        <w:t>de</w:t>
      </w:r>
      <w:r>
        <w:rPr>
          <w:spacing w:val="-10"/>
          <w:sz w:val="20"/>
        </w:rPr>
        <w:t xml:space="preserve"> </w:t>
      </w:r>
      <w:r>
        <w:rPr>
          <w:sz w:val="20"/>
        </w:rPr>
        <w:t>esta</w:t>
      </w:r>
      <w:r>
        <w:rPr>
          <w:spacing w:val="-11"/>
          <w:sz w:val="20"/>
        </w:rPr>
        <w:t xml:space="preserve"> </w:t>
      </w:r>
      <w:r>
        <w:rPr>
          <w:sz w:val="20"/>
        </w:rPr>
        <w:t>Corte,</w:t>
      </w:r>
      <w:r>
        <w:rPr>
          <w:spacing w:val="-14"/>
          <w:sz w:val="20"/>
        </w:rPr>
        <w:t xml:space="preserve"> </w:t>
      </w:r>
      <w:r>
        <w:rPr>
          <w:sz w:val="20"/>
        </w:rPr>
        <w:t>ha</w:t>
      </w:r>
      <w:r>
        <w:rPr>
          <w:spacing w:val="-11"/>
          <w:sz w:val="20"/>
        </w:rPr>
        <w:t xml:space="preserve"> </w:t>
      </w:r>
      <w:r>
        <w:rPr>
          <w:sz w:val="20"/>
        </w:rPr>
        <w:t>establecido</w:t>
      </w:r>
      <w:r>
        <w:rPr>
          <w:spacing w:val="-12"/>
          <w:sz w:val="20"/>
        </w:rPr>
        <w:t xml:space="preserve"> </w:t>
      </w:r>
      <w:r>
        <w:rPr>
          <w:sz w:val="20"/>
        </w:rPr>
        <w:t>reiteradamente</w:t>
      </w:r>
      <w:r>
        <w:rPr>
          <w:spacing w:val="-13"/>
          <w:sz w:val="20"/>
        </w:rPr>
        <w:t xml:space="preserve"> </w:t>
      </w:r>
      <w:r>
        <w:rPr>
          <w:sz w:val="20"/>
        </w:rPr>
        <w:t xml:space="preserve">que la sentencia constituye </w:t>
      </w:r>
      <w:r>
        <w:rPr>
          <w:i/>
          <w:sz w:val="20"/>
        </w:rPr>
        <w:t xml:space="preserve">per se </w:t>
      </w:r>
      <w:r>
        <w:rPr>
          <w:sz w:val="20"/>
        </w:rPr>
        <w:t>una forma de</w:t>
      </w:r>
      <w:r>
        <w:rPr>
          <w:spacing w:val="-7"/>
          <w:sz w:val="20"/>
        </w:rPr>
        <w:t xml:space="preserve"> </w:t>
      </w:r>
      <w:r>
        <w:rPr>
          <w:sz w:val="20"/>
        </w:rPr>
        <w:t>reparación</w:t>
      </w:r>
      <w:hyperlink w:anchor="_bookmark426" w:history="1">
        <w:r>
          <w:rPr>
            <w:position w:val="7"/>
            <w:sz w:val="13"/>
          </w:rPr>
          <w:t>358</w:t>
        </w:r>
      </w:hyperlink>
      <w:r>
        <w:rPr>
          <w:sz w:val="20"/>
        </w:rPr>
        <w:t>.</w:t>
      </w:r>
    </w:p>
    <w:p w14:paraId="202E2E66" w14:textId="77777777" w:rsidR="00467FCA" w:rsidRDefault="00467FCA">
      <w:pPr>
        <w:pStyle w:val="Textoindependiente"/>
        <w:spacing w:before="2"/>
      </w:pPr>
    </w:p>
    <w:p w14:paraId="26B6BBD3" w14:textId="77777777" w:rsidR="00467FCA" w:rsidRDefault="001B68EB">
      <w:pPr>
        <w:pStyle w:val="Ttulo2"/>
        <w:numPr>
          <w:ilvl w:val="1"/>
          <w:numId w:val="37"/>
        </w:numPr>
        <w:tabs>
          <w:tab w:val="left" w:pos="1428"/>
        </w:tabs>
        <w:ind w:hanging="589"/>
      </w:pPr>
      <w:bookmarkStart w:id="487" w:name="D.1.__Publicación_de_la_sentencia"/>
      <w:bookmarkStart w:id="488" w:name="_bookmark423"/>
      <w:bookmarkEnd w:id="487"/>
      <w:bookmarkEnd w:id="488"/>
      <w:r>
        <w:t>Publicación de la</w:t>
      </w:r>
      <w:r>
        <w:rPr>
          <w:spacing w:val="-1"/>
        </w:rPr>
        <w:t xml:space="preserve"> </w:t>
      </w:r>
      <w:r>
        <w:t>sentencia</w:t>
      </w:r>
    </w:p>
    <w:p w14:paraId="4B504D0B" w14:textId="77777777" w:rsidR="00467FCA" w:rsidRDefault="00467FCA">
      <w:pPr>
        <w:pStyle w:val="Textoindependiente"/>
        <w:spacing w:before="10"/>
        <w:rPr>
          <w:b/>
          <w:i/>
          <w:sz w:val="19"/>
        </w:rPr>
      </w:pPr>
    </w:p>
    <w:p w14:paraId="62A86C18" w14:textId="77777777" w:rsidR="00467FCA" w:rsidRDefault="001B68EB">
      <w:pPr>
        <w:pStyle w:val="Prrafodelista"/>
        <w:numPr>
          <w:ilvl w:val="0"/>
          <w:numId w:val="38"/>
        </w:numPr>
        <w:tabs>
          <w:tab w:val="left" w:pos="687"/>
        </w:tabs>
        <w:spacing w:before="1"/>
        <w:ind w:right="118" w:firstLine="0"/>
        <w:jc w:val="both"/>
        <w:rPr>
          <w:sz w:val="20"/>
        </w:rPr>
      </w:pPr>
      <w:r>
        <w:rPr>
          <w:sz w:val="20"/>
        </w:rPr>
        <w:t xml:space="preserve">Los </w:t>
      </w:r>
      <w:r>
        <w:rPr>
          <w:b/>
          <w:i/>
          <w:sz w:val="20"/>
        </w:rPr>
        <w:t xml:space="preserve">representantes </w:t>
      </w:r>
      <w:r>
        <w:rPr>
          <w:sz w:val="20"/>
        </w:rPr>
        <w:t>solicitaron la publicación de la decisión sobre el fondo de este asunto. En particular destacaron que la jurisprudencia de esta Corte ha dispuesto que la publicación</w:t>
      </w:r>
      <w:r>
        <w:rPr>
          <w:spacing w:val="-13"/>
          <w:sz w:val="20"/>
        </w:rPr>
        <w:t xml:space="preserve"> </w:t>
      </w:r>
      <w:r>
        <w:rPr>
          <w:sz w:val="20"/>
        </w:rPr>
        <w:t>de</w:t>
      </w:r>
      <w:r>
        <w:rPr>
          <w:spacing w:val="-12"/>
          <w:sz w:val="20"/>
        </w:rPr>
        <w:t xml:space="preserve"> </w:t>
      </w:r>
      <w:r>
        <w:rPr>
          <w:sz w:val="20"/>
        </w:rPr>
        <w:t>sus</w:t>
      </w:r>
      <w:r>
        <w:rPr>
          <w:spacing w:val="-11"/>
          <w:sz w:val="20"/>
        </w:rPr>
        <w:t xml:space="preserve"> </w:t>
      </w:r>
      <w:r>
        <w:rPr>
          <w:sz w:val="20"/>
        </w:rPr>
        <w:t>sentencias</w:t>
      </w:r>
      <w:r>
        <w:rPr>
          <w:spacing w:val="-14"/>
          <w:sz w:val="20"/>
        </w:rPr>
        <w:t xml:space="preserve"> </w:t>
      </w:r>
      <w:r>
        <w:rPr>
          <w:sz w:val="20"/>
        </w:rPr>
        <w:t>debe</w:t>
      </w:r>
      <w:r>
        <w:rPr>
          <w:spacing w:val="-12"/>
          <w:sz w:val="20"/>
        </w:rPr>
        <w:t xml:space="preserve"> </w:t>
      </w:r>
      <w:r>
        <w:rPr>
          <w:sz w:val="20"/>
        </w:rPr>
        <w:t>incluir:</w:t>
      </w:r>
      <w:r>
        <w:rPr>
          <w:spacing w:val="-11"/>
          <w:sz w:val="20"/>
        </w:rPr>
        <w:t xml:space="preserve"> </w:t>
      </w:r>
      <w:r>
        <w:rPr>
          <w:sz w:val="20"/>
        </w:rPr>
        <w:t>un</w:t>
      </w:r>
      <w:r>
        <w:rPr>
          <w:spacing w:val="-10"/>
          <w:sz w:val="20"/>
        </w:rPr>
        <w:t xml:space="preserve"> </w:t>
      </w:r>
      <w:r>
        <w:rPr>
          <w:sz w:val="20"/>
        </w:rPr>
        <w:t>resumen</w:t>
      </w:r>
      <w:r>
        <w:rPr>
          <w:spacing w:val="-10"/>
          <w:sz w:val="20"/>
        </w:rPr>
        <w:t xml:space="preserve"> </w:t>
      </w:r>
      <w:r>
        <w:rPr>
          <w:sz w:val="20"/>
        </w:rPr>
        <w:t>oficial</w:t>
      </w:r>
      <w:r>
        <w:rPr>
          <w:spacing w:val="-10"/>
          <w:sz w:val="20"/>
        </w:rPr>
        <w:t xml:space="preserve"> </w:t>
      </w:r>
      <w:r>
        <w:rPr>
          <w:sz w:val="20"/>
        </w:rPr>
        <w:t>en</w:t>
      </w:r>
      <w:r>
        <w:rPr>
          <w:spacing w:val="-10"/>
          <w:sz w:val="20"/>
        </w:rPr>
        <w:t xml:space="preserve"> </w:t>
      </w:r>
      <w:r>
        <w:rPr>
          <w:sz w:val="20"/>
        </w:rPr>
        <w:t>el</w:t>
      </w:r>
      <w:r>
        <w:rPr>
          <w:spacing w:val="-11"/>
          <w:sz w:val="20"/>
        </w:rPr>
        <w:t xml:space="preserve"> </w:t>
      </w:r>
      <w:r>
        <w:rPr>
          <w:sz w:val="20"/>
        </w:rPr>
        <w:t>Diario</w:t>
      </w:r>
      <w:r>
        <w:rPr>
          <w:spacing w:val="-11"/>
          <w:sz w:val="20"/>
        </w:rPr>
        <w:t xml:space="preserve"> </w:t>
      </w:r>
      <w:r>
        <w:rPr>
          <w:sz w:val="20"/>
        </w:rPr>
        <w:t>Oficial;</w:t>
      </w:r>
      <w:r>
        <w:rPr>
          <w:spacing w:val="-13"/>
          <w:sz w:val="20"/>
        </w:rPr>
        <w:t xml:space="preserve"> </w:t>
      </w:r>
      <w:r>
        <w:rPr>
          <w:sz w:val="20"/>
        </w:rPr>
        <w:t>un</w:t>
      </w:r>
      <w:r>
        <w:rPr>
          <w:spacing w:val="-10"/>
          <w:sz w:val="20"/>
        </w:rPr>
        <w:t xml:space="preserve"> </w:t>
      </w:r>
      <w:r>
        <w:rPr>
          <w:sz w:val="20"/>
        </w:rPr>
        <w:t>resumen oficia</w:t>
      </w:r>
      <w:r>
        <w:rPr>
          <w:sz w:val="20"/>
        </w:rPr>
        <w:t>l en un periódico de amplia circulación nacional; y que la sentencia permanezca disponible durante un período de un año en un portal web</w:t>
      </w:r>
      <w:r>
        <w:rPr>
          <w:spacing w:val="-10"/>
          <w:sz w:val="20"/>
        </w:rPr>
        <w:t xml:space="preserve"> </w:t>
      </w:r>
      <w:r>
        <w:rPr>
          <w:sz w:val="20"/>
        </w:rPr>
        <w:t>oficial.</w:t>
      </w:r>
    </w:p>
    <w:p w14:paraId="7247D166" w14:textId="77777777" w:rsidR="00467FCA" w:rsidRDefault="00467FCA">
      <w:pPr>
        <w:pStyle w:val="Textoindependiente"/>
      </w:pPr>
    </w:p>
    <w:p w14:paraId="4839197C" w14:textId="77777777" w:rsidR="00467FCA" w:rsidRDefault="001B68EB">
      <w:pPr>
        <w:pStyle w:val="Textoindependiente"/>
        <w:spacing w:before="8"/>
        <w:rPr>
          <w:sz w:val="21"/>
        </w:rPr>
      </w:pPr>
      <w:r>
        <w:pict w14:anchorId="7F6E24CE">
          <v:shape id="_x0000_s1126" style="position:absolute;margin-left:1in;margin-top:15.4pt;width:2in;height:.1pt;z-index:-251586560;mso-wrap-distance-left:0;mso-wrap-distance-right:0;mso-position-horizontal-relative:page" coordorigin="1440,308" coordsize="2880,0" path="m1440,308r2880,e" filled="f" strokeweight=".6pt">
            <v:path arrowok="t"/>
            <w10:wrap type="topAndBottom" anchorx="page"/>
          </v:shape>
        </w:pict>
      </w:r>
    </w:p>
    <w:p w14:paraId="51938562" w14:textId="77777777" w:rsidR="00467FCA" w:rsidRDefault="001B68EB">
      <w:pPr>
        <w:tabs>
          <w:tab w:val="left" w:pos="839"/>
        </w:tabs>
        <w:spacing w:before="74"/>
        <w:ind w:left="120" w:right="114" w:hanging="1"/>
        <w:jc w:val="both"/>
        <w:rPr>
          <w:sz w:val="16"/>
        </w:rPr>
      </w:pPr>
      <w:bookmarkStart w:id="489" w:name="_bookmark424"/>
      <w:bookmarkEnd w:id="489"/>
      <w:r>
        <w:rPr>
          <w:position w:val="6"/>
          <w:sz w:val="10"/>
        </w:rPr>
        <w:t>356</w:t>
      </w:r>
      <w:r>
        <w:rPr>
          <w:position w:val="6"/>
          <w:sz w:val="10"/>
        </w:rPr>
        <w:tab/>
      </w:r>
      <w:r>
        <w:rPr>
          <w:i/>
          <w:sz w:val="16"/>
        </w:rPr>
        <w:t>Cfr.</w:t>
      </w:r>
      <w:r>
        <w:rPr>
          <w:i/>
          <w:spacing w:val="-11"/>
          <w:sz w:val="16"/>
        </w:rPr>
        <w:t xml:space="preserve"> </w:t>
      </w:r>
      <w:r>
        <w:rPr>
          <w:i/>
          <w:sz w:val="16"/>
        </w:rPr>
        <w:t>Caso</w:t>
      </w:r>
      <w:r>
        <w:rPr>
          <w:i/>
          <w:spacing w:val="-9"/>
          <w:sz w:val="16"/>
        </w:rPr>
        <w:t xml:space="preserve"> </w:t>
      </w:r>
      <w:r>
        <w:rPr>
          <w:i/>
          <w:sz w:val="16"/>
        </w:rPr>
        <w:t>Rosendo</w:t>
      </w:r>
      <w:r>
        <w:rPr>
          <w:i/>
          <w:spacing w:val="-11"/>
          <w:sz w:val="16"/>
        </w:rPr>
        <w:t xml:space="preserve"> </w:t>
      </w:r>
      <w:r>
        <w:rPr>
          <w:i/>
          <w:sz w:val="16"/>
        </w:rPr>
        <w:t>Cantú</w:t>
      </w:r>
      <w:r>
        <w:rPr>
          <w:i/>
          <w:spacing w:val="-11"/>
          <w:sz w:val="16"/>
        </w:rPr>
        <w:t xml:space="preserve"> </w:t>
      </w:r>
      <w:r>
        <w:rPr>
          <w:i/>
          <w:sz w:val="16"/>
        </w:rPr>
        <w:t>y</w:t>
      </w:r>
      <w:r>
        <w:rPr>
          <w:i/>
          <w:spacing w:val="-9"/>
          <w:sz w:val="16"/>
        </w:rPr>
        <w:t xml:space="preserve"> </w:t>
      </w:r>
      <w:r>
        <w:rPr>
          <w:i/>
          <w:sz w:val="16"/>
        </w:rPr>
        <w:t>otra</w:t>
      </w:r>
      <w:r>
        <w:rPr>
          <w:i/>
          <w:spacing w:val="-10"/>
          <w:sz w:val="16"/>
        </w:rPr>
        <w:t xml:space="preserve"> </w:t>
      </w:r>
      <w:r>
        <w:rPr>
          <w:i/>
          <w:sz w:val="16"/>
        </w:rPr>
        <w:t>Vs.</w:t>
      </w:r>
      <w:r>
        <w:rPr>
          <w:i/>
          <w:spacing w:val="-11"/>
          <w:sz w:val="16"/>
        </w:rPr>
        <w:t xml:space="preserve"> </w:t>
      </w:r>
      <w:r>
        <w:rPr>
          <w:i/>
          <w:sz w:val="16"/>
        </w:rPr>
        <w:t>México,</w:t>
      </w:r>
      <w:r>
        <w:rPr>
          <w:i/>
          <w:spacing w:val="-11"/>
          <w:sz w:val="16"/>
        </w:rPr>
        <w:t xml:space="preserve"> </w:t>
      </w:r>
      <w:r>
        <w:rPr>
          <w:i/>
          <w:sz w:val="16"/>
        </w:rPr>
        <w:t>supra</w:t>
      </w:r>
      <w:r>
        <w:rPr>
          <w:sz w:val="16"/>
        </w:rPr>
        <w:t>,</w:t>
      </w:r>
      <w:r>
        <w:rPr>
          <w:spacing w:val="-11"/>
          <w:sz w:val="16"/>
        </w:rPr>
        <w:t xml:space="preserve"> </w:t>
      </w:r>
      <w:r>
        <w:rPr>
          <w:sz w:val="16"/>
        </w:rPr>
        <w:t>párr.</w:t>
      </w:r>
      <w:r>
        <w:rPr>
          <w:spacing w:val="-11"/>
          <w:sz w:val="16"/>
        </w:rPr>
        <w:t xml:space="preserve"> </w:t>
      </w:r>
      <w:r>
        <w:rPr>
          <w:sz w:val="16"/>
        </w:rPr>
        <w:t>253,</w:t>
      </w:r>
      <w:r>
        <w:rPr>
          <w:spacing w:val="-11"/>
          <w:sz w:val="16"/>
        </w:rPr>
        <w:t xml:space="preserve"> </w:t>
      </w:r>
      <w:r>
        <w:rPr>
          <w:sz w:val="16"/>
        </w:rPr>
        <w:t>y</w:t>
      </w:r>
      <w:r>
        <w:rPr>
          <w:spacing w:val="-9"/>
          <w:sz w:val="16"/>
        </w:rPr>
        <w:t xml:space="preserve"> </w:t>
      </w:r>
      <w:r>
        <w:rPr>
          <w:i/>
          <w:sz w:val="16"/>
        </w:rPr>
        <w:t>Caso</w:t>
      </w:r>
      <w:r>
        <w:rPr>
          <w:i/>
          <w:spacing w:val="-9"/>
          <w:sz w:val="16"/>
        </w:rPr>
        <w:t xml:space="preserve"> </w:t>
      </w:r>
      <w:r>
        <w:rPr>
          <w:i/>
          <w:sz w:val="16"/>
        </w:rPr>
        <w:t>Azul</w:t>
      </w:r>
      <w:r>
        <w:rPr>
          <w:i/>
          <w:spacing w:val="-13"/>
          <w:sz w:val="16"/>
        </w:rPr>
        <w:t xml:space="preserve"> </w:t>
      </w:r>
      <w:r>
        <w:rPr>
          <w:i/>
          <w:sz w:val="16"/>
        </w:rPr>
        <w:t>Rojas</w:t>
      </w:r>
      <w:r>
        <w:rPr>
          <w:i/>
          <w:spacing w:val="-9"/>
          <w:sz w:val="16"/>
        </w:rPr>
        <w:t xml:space="preserve"> </w:t>
      </w:r>
      <w:r>
        <w:rPr>
          <w:i/>
          <w:sz w:val="16"/>
        </w:rPr>
        <w:t>Marín</w:t>
      </w:r>
      <w:r>
        <w:rPr>
          <w:i/>
          <w:spacing w:val="-11"/>
          <w:sz w:val="16"/>
        </w:rPr>
        <w:t xml:space="preserve"> </w:t>
      </w:r>
      <w:r>
        <w:rPr>
          <w:i/>
          <w:sz w:val="16"/>
        </w:rPr>
        <w:t>y</w:t>
      </w:r>
      <w:r>
        <w:rPr>
          <w:i/>
          <w:spacing w:val="-11"/>
          <w:sz w:val="16"/>
        </w:rPr>
        <w:t xml:space="preserve"> </w:t>
      </w:r>
      <w:r>
        <w:rPr>
          <w:i/>
          <w:sz w:val="16"/>
        </w:rPr>
        <w:t>otra</w:t>
      </w:r>
      <w:r>
        <w:rPr>
          <w:i/>
          <w:spacing w:val="-10"/>
          <w:sz w:val="16"/>
        </w:rPr>
        <w:t xml:space="preserve"> </w:t>
      </w:r>
      <w:r>
        <w:rPr>
          <w:i/>
          <w:sz w:val="16"/>
        </w:rPr>
        <w:t>Vs.</w:t>
      </w:r>
      <w:r>
        <w:rPr>
          <w:i/>
          <w:spacing w:val="-11"/>
          <w:sz w:val="16"/>
        </w:rPr>
        <w:t xml:space="preserve"> </w:t>
      </w:r>
      <w:r>
        <w:rPr>
          <w:i/>
          <w:sz w:val="16"/>
        </w:rPr>
        <w:t>Perú,</w:t>
      </w:r>
      <w:r>
        <w:rPr>
          <w:i/>
          <w:spacing w:val="-11"/>
          <w:sz w:val="16"/>
        </w:rPr>
        <w:t xml:space="preserve"> </w:t>
      </w:r>
      <w:r>
        <w:rPr>
          <w:i/>
          <w:sz w:val="16"/>
        </w:rPr>
        <w:t>supra</w:t>
      </w:r>
      <w:r>
        <w:rPr>
          <w:sz w:val="16"/>
        </w:rPr>
        <w:t>, párr.</w:t>
      </w:r>
      <w:r>
        <w:rPr>
          <w:spacing w:val="-1"/>
          <w:sz w:val="16"/>
        </w:rPr>
        <w:t xml:space="preserve"> </w:t>
      </w:r>
      <w:r>
        <w:rPr>
          <w:sz w:val="16"/>
        </w:rPr>
        <w:t>237.</w:t>
      </w:r>
    </w:p>
    <w:p w14:paraId="2370EA8D" w14:textId="77777777" w:rsidR="00467FCA" w:rsidRDefault="001B68EB">
      <w:pPr>
        <w:tabs>
          <w:tab w:val="left" w:pos="839"/>
        </w:tabs>
        <w:ind w:left="120"/>
        <w:jc w:val="both"/>
        <w:rPr>
          <w:i/>
          <w:sz w:val="16"/>
        </w:rPr>
      </w:pPr>
      <w:bookmarkStart w:id="490" w:name="_bookmark425"/>
      <w:bookmarkEnd w:id="490"/>
      <w:r>
        <w:rPr>
          <w:position w:val="6"/>
          <w:sz w:val="10"/>
        </w:rPr>
        <w:t>357</w:t>
      </w:r>
      <w:r>
        <w:rPr>
          <w:position w:val="6"/>
          <w:sz w:val="10"/>
        </w:rPr>
        <w:tab/>
      </w:r>
      <w:r>
        <w:rPr>
          <w:i/>
          <w:sz w:val="16"/>
        </w:rPr>
        <w:t>Cfr.</w:t>
      </w:r>
      <w:r>
        <w:rPr>
          <w:i/>
          <w:spacing w:val="-12"/>
          <w:sz w:val="16"/>
        </w:rPr>
        <w:t xml:space="preserve"> </w:t>
      </w:r>
      <w:r>
        <w:rPr>
          <w:i/>
          <w:sz w:val="16"/>
        </w:rPr>
        <w:t>Caso</w:t>
      </w:r>
      <w:r>
        <w:rPr>
          <w:i/>
          <w:spacing w:val="-11"/>
          <w:sz w:val="16"/>
        </w:rPr>
        <w:t xml:space="preserve"> </w:t>
      </w:r>
      <w:r>
        <w:rPr>
          <w:i/>
          <w:sz w:val="16"/>
        </w:rPr>
        <w:t>de</w:t>
      </w:r>
      <w:r>
        <w:rPr>
          <w:i/>
          <w:spacing w:val="-9"/>
          <w:sz w:val="16"/>
        </w:rPr>
        <w:t xml:space="preserve"> </w:t>
      </w:r>
      <w:r>
        <w:rPr>
          <w:i/>
          <w:sz w:val="16"/>
        </w:rPr>
        <w:t>los</w:t>
      </w:r>
      <w:r>
        <w:rPr>
          <w:i/>
          <w:spacing w:val="-10"/>
          <w:sz w:val="16"/>
        </w:rPr>
        <w:t xml:space="preserve"> </w:t>
      </w:r>
      <w:r>
        <w:rPr>
          <w:i/>
          <w:sz w:val="16"/>
        </w:rPr>
        <w:t>“Niños</w:t>
      </w:r>
      <w:r>
        <w:rPr>
          <w:i/>
          <w:spacing w:val="-9"/>
          <w:sz w:val="16"/>
        </w:rPr>
        <w:t xml:space="preserve"> </w:t>
      </w:r>
      <w:r>
        <w:rPr>
          <w:i/>
          <w:sz w:val="16"/>
        </w:rPr>
        <w:t>de</w:t>
      </w:r>
      <w:r>
        <w:rPr>
          <w:i/>
          <w:spacing w:val="-11"/>
          <w:sz w:val="16"/>
        </w:rPr>
        <w:t xml:space="preserve"> </w:t>
      </w:r>
      <w:r>
        <w:rPr>
          <w:i/>
          <w:sz w:val="16"/>
        </w:rPr>
        <w:t>la</w:t>
      </w:r>
      <w:r>
        <w:rPr>
          <w:i/>
          <w:spacing w:val="-10"/>
          <w:sz w:val="16"/>
        </w:rPr>
        <w:t xml:space="preserve"> </w:t>
      </w:r>
      <w:r>
        <w:rPr>
          <w:i/>
          <w:sz w:val="16"/>
        </w:rPr>
        <w:t>Calle”</w:t>
      </w:r>
      <w:r>
        <w:rPr>
          <w:i/>
          <w:spacing w:val="-9"/>
          <w:sz w:val="16"/>
        </w:rPr>
        <w:t xml:space="preserve"> </w:t>
      </w:r>
      <w:r>
        <w:rPr>
          <w:i/>
          <w:sz w:val="16"/>
        </w:rPr>
        <w:t>(Villagrán</w:t>
      </w:r>
      <w:r>
        <w:rPr>
          <w:i/>
          <w:spacing w:val="-13"/>
          <w:sz w:val="16"/>
        </w:rPr>
        <w:t xml:space="preserve"> </w:t>
      </w:r>
      <w:r>
        <w:rPr>
          <w:i/>
          <w:sz w:val="16"/>
        </w:rPr>
        <w:t>Morales</w:t>
      </w:r>
      <w:r>
        <w:rPr>
          <w:i/>
          <w:spacing w:val="-12"/>
          <w:sz w:val="16"/>
        </w:rPr>
        <w:t xml:space="preserve"> </w:t>
      </w:r>
      <w:r>
        <w:rPr>
          <w:i/>
          <w:sz w:val="16"/>
        </w:rPr>
        <w:t>y</w:t>
      </w:r>
      <w:r>
        <w:rPr>
          <w:i/>
          <w:spacing w:val="-11"/>
          <w:sz w:val="16"/>
        </w:rPr>
        <w:t xml:space="preserve"> </w:t>
      </w:r>
      <w:r>
        <w:rPr>
          <w:i/>
          <w:sz w:val="16"/>
        </w:rPr>
        <w:t>otros)</w:t>
      </w:r>
      <w:r>
        <w:rPr>
          <w:i/>
          <w:spacing w:val="-12"/>
          <w:sz w:val="16"/>
        </w:rPr>
        <w:t xml:space="preserve"> </w:t>
      </w:r>
      <w:r>
        <w:rPr>
          <w:i/>
          <w:sz w:val="16"/>
        </w:rPr>
        <w:t>Vs.</w:t>
      </w:r>
      <w:r>
        <w:rPr>
          <w:i/>
          <w:spacing w:val="-11"/>
          <w:sz w:val="16"/>
        </w:rPr>
        <w:t xml:space="preserve"> </w:t>
      </w:r>
      <w:r>
        <w:rPr>
          <w:i/>
          <w:sz w:val="16"/>
        </w:rPr>
        <w:t>Guatemala.</w:t>
      </w:r>
      <w:r>
        <w:rPr>
          <w:i/>
          <w:spacing w:val="-10"/>
          <w:sz w:val="16"/>
        </w:rPr>
        <w:t xml:space="preserve"> </w:t>
      </w:r>
      <w:r>
        <w:rPr>
          <w:i/>
          <w:sz w:val="16"/>
        </w:rPr>
        <w:t>Reparaciones</w:t>
      </w:r>
      <w:r>
        <w:rPr>
          <w:i/>
          <w:spacing w:val="-9"/>
          <w:sz w:val="16"/>
        </w:rPr>
        <w:t xml:space="preserve"> </w:t>
      </w:r>
      <w:r>
        <w:rPr>
          <w:i/>
          <w:sz w:val="16"/>
        </w:rPr>
        <w:t>y</w:t>
      </w:r>
      <w:r>
        <w:rPr>
          <w:i/>
          <w:spacing w:val="-11"/>
          <w:sz w:val="16"/>
        </w:rPr>
        <w:t xml:space="preserve"> </w:t>
      </w:r>
      <w:r>
        <w:rPr>
          <w:i/>
          <w:sz w:val="16"/>
        </w:rPr>
        <w:t>Costas,</w:t>
      </w:r>
      <w:r>
        <w:rPr>
          <w:i/>
          <w:spacing w:val="-10"/>
          <w:sz w:val="16"/>
        </w:rPr>
        <w:t xml:space="preserve"> </w:t>
      </w:r>
      <w:r>
        <w:rPr>
          <w:i/>
          <w:sz w:val="16"/>
        </w:rPr>
        <w:t>supra,</w:t>
      </w:r>
    </w:p>
    <w:p w14:paraId="3DE2F6EB" w14:textId="77777777" w:rsidR="00467FCA" w:rsidRDefault="001B68EB">
      <w:pPr>
        <w:ind w:left="120"/>
        <w:jc w:val="both"/>
        <w:rPr>
          <w:sz w:val="16"/>
        </w:rPr>
      </w:pPr>
      <w:r>
        <w:rPr>
          <w:sz w:val="16"/>
        </w:rPr>
        <w:t xml:space="preserve">párr. 84, y </w:t>
      </w:r>
      <w:r>
        <w:rPr>
          <w:i/>
          <w:sz w:val="16"/>
        </w:rPr>
        <w:t>Caso Montesinos Mejía Vs. Ecuador, supra</w:t>
      </w:r>
      <w:r>
        <w:rPr>
          <w:sz w:val="16"/>
        </w:rPr>
        <w:t>, párr. 238.</w:t>
      </w:r>
    </w:p>
    <w:p w14:paraId="47276B17" w14:textId="77777777" w:rsidR="00467FCA" w:rsidRDefault="001B68EB">
      <w:pPr>
        <w:tabs>
          <w:tab w:val="left" w:pos="839"/>
        </w:tabs>
        <w:ind w:left="119" w:right="112"/>
        <w:jc w:val="both"/>
        <w:rPr>
          <w:sz w:val="16"/>
        </w:rPr>
      </w:pPr>
      <w:bookmarkStart w:id="491" w:name="_bookmark426"/>
      <w:bookmarkEnd w:id="491"/>
      <w:r>
        <w:rPr>
          <w:position w:val="6"/>
          <w:sz w:val="10"/>
        </w:rPr>
        <w:t>358</w:t>
      </w:r>
      <w:r>
        <w:rPr>
          <w:position w:val="6"/>
          <w:sz w:val="10"/>
        </w:rPr>
        <w:tab/>
      </w:r>
      <w:r>
        <w:rPr>
          <w:i/>
          <w:sz w:val="16"/>
        </w:rPr>
        <w:t xml:space="preserve">Cfr. Caso Neira Alegría y otros Vs. Perú. Reparaciones y Costas. </w:t>
      </w:r>
      <w:r>
        <w:rPr>
          <w:sz w:val="16"/>
        </w:rPr>
        <w:t xml:space="preserve">Sentencia de 19 de septiembre de 1996. Serie C No. 29, párr. 56, y </w:t>
      </w:r>
      <w:r>
        <w:rPr>
          <w:i/>
          <w:sz w:val="16"/>
        </w:rPr>
        <w:t xml:space="preserve">Caso Gorigoitía Vs. Argentina. Excepción Preliminar, Fondo, Reparaciones y Costas. </w:t>
      </w:r>
      <w:r>
        <w:rPr>
          <w:sz w:val="16"/>
        </w:rPr>
        <w:t>Sentencia de 2 de septiembre de 2019. Ser</w:t>
      </w:r>
      <w:r>
        <w:rPr>
          <w:sz w:val="16"/>
        </w:rPr>
        <w:t>ie C No. 382, párr.</w:t>
      </w:r>
      <w:r>
        <w:rPr>
          <w:spacing w:val="-17"/>
          <w:sz w:val="16"/>
        </w:rPr>
        <w:t xml:space="preserve"> </w:t>
      </w:r>
      <w:r>
        <w:rPr>
          <w:sz w:val="16"/>
        </w:rPr>
        <w:t>63.</w:t>
      </w:r>
    </w:p>
    <w:p w14:paraId="4E442367" w14:textId="77777777" w:rsidR="00467FCA" w:rsidRDefault="00467FCA">
      <w:pPr>
        <w:jc w:val="both"/>
        <w:rPr>
          <w:sz w:val="16"/>
        </w:rPr>
        <w:sectPr w:rsidR="00467FCA">
          <w:pgSz w:w="12240" w:h="15840"/>
          <w:pgMar w:top="1500" w:right="1320" w:bottom="1220" w:left="1320" w:header="0" w:footer="957" w:gutter="0"/>
          <w:cols w:space="720"/>
        </w:sectPr>
      </w:pPr>
    </w:p>
    <w:p w14:paraId="270EFC4A" w14:textId="77777777" w:rsidR="00467FCA" w:rsidRDefault="001B68EB">
      <w:pPr>
        <w:pStyle w:val="Prrafodelista"/>
        <w:numPr>
          <w:ilvl w:val="0"/>
          <w:numId w:val="38"/>
        </w:numPr>
        <w:tabs>
          <w:tab w:val="left" w:pos="687"/>
        </w:tabs>
        <w:spacing w:before="80"/>
        <w:ind w:left="120" w:right="117" w:firstLine="0"/>
        <w:jc w:val="both"/>
        <w:rPr>
          <w:sz w:val="20"/>
        </w:rPr>
      </w:pPr>
      <w:r>
        <w:rPr>
          <w:sz w:val="20"/>
        </w:rPr>
        <w:t>Adicionalmente, teniendo en cuenta el alcance de la televisión pública en Brasil, solicitaron la creación de un programa sobre la historia de este caso y una explicación de la sentencia en uno de los noticieros de la t</w:t>
      </w:r>
      <w:r>
        <w:rPr>
          <w:sz w:val="20"/>
        </w:rPr>
        <w:t>elevisión pública con alcance regional y nacional. También</w:t>
      </w:r>
      <w:r>
        <w:rPr>
          <w:spacing w:val="-17"/>
          <w:sz w:val="20"/>
        </w:rPr>
        <w:t xml:space="preserve"> </w:t>
      </w:r>
      <w:r>
        <w:rPr>
          <w:sz w:val="20"/>
        </w:rPr>
        <w:t>solicitaron</w:t>
      </w:r>
      <w:r>
        <w:rPr>
          <w:spacing w:val="-16"/>
          <w:sz w:val="20"/>
        </w:rPr>
        <w:t xml:space="preserve"> </w:t>
      </w:r>
      <w:r>
        <w:rPr>
          <w:sz w:val="20"/>
        </w:rPr>
        <w:t>que</w:t>
      </w:r>
      <w:r>
        <w:rPr>
          <w:spacing w:val="-17"/>
          <w:sz w:val="20"/>
        </w:rPr>
        <w:t xml:space="preserve"> </w:t>
      </w:r>
      <w:r>
        <w:rPr>
          <w:sz w:val="20"/>
        </w:rPr>
        <w:t>esté</w:t>
      </w:r>
      <w:r>
        <w:rPr>
          <w:spacing w:val="-19"/>
          <w:sz w:val="20"/>
        </w:rPr>
        <w:t xml:space="preserve"> </w:t>
      </w:r>
      <w:r>
        <w:rPr>
          <w:sz w:val="20"/>
        </w:rPr>
        <w:t>disponible</w:t>
      </w:r>
      <w:r>
        <w:rPr>
          <w:spacing w:val="-17"/>
          <w:sz w:val="20"/>
        </w:rPr>
        <w:t xml:space="preserve"> </w:t>
      </w:r>
      <w:r>
        <w:rPr>
          <w:sz w:val="20"/>
        </w:rPr>
        <w:t>en</w:t>
      </w:r>
      <w:r>
        <w:rPr>
          <w:spacing w:val="-16"/>
          <w:sz w:val="20"/>
        </w:rPr>
        <w:t xml:space="preserve"> </w:t>
      </w:r>
      <w:r>
        <w:rPr>
          <w:sz w:val="20"/>
        </w:rPr>
        <w:t>las</w:t>
      </w:r>
      <w:r>
        <w:rPr>
          <w:spacing w:val="-18"/>
          <w:sz w:val="20"/>
        </w:rPr>
        <w:t xml:space="preserve"> </w:t>
      </w:r>
      <w:r>
        <w:rPr>
          <w:sz w:val="20"/>
        </w:rPr>
        <w:t>plataformas</w:t>
      </w:r>
      <w:r>
        <w:rPr>
          <w:spacing w:val="-19"/>
          <w:sz w:val="20"/>
        </w:rPr>
        <w:t xml:space="preserve"> </w:t>
      </w:r>
      <w:r>
        <w:rPr>
          <w:sz w:val="20"/>
        </w:rPr>
        <w:t>del</w:t>
      </w:r>
      <w:r>
        <w:rPr>
          <w:spacing w:val="-17"/>
          <w:sz w:val="20"/>
        </w:rPr>
        <w:t xml:space="preserve"> </w:t>
      </w:r>
      <w:r>
        <w:rPr>
          <w:sz w:val="20"/>
        </w:rPr>
        <w:t>Estado</w:t>
      </w:r>
      <w:r>
        <w:rPr>
          <w:spacing w:val="-19"/>
          <w:sz w:val="20"/>
        </w:rPr>
        <w:t xml:space="preserve"> </w:t>
      </w:r>
      <w:r>
        <w:rPr>
          <w:sz w:val="20"/>
        </w:rPr>
        <w:t>de</w:t>
      </w:r>
      <w:r>
        <w:rPr>
          <w:spacing w:val="-17"/>
          <w:sz w:val="20"/>
        </w:rPr>
        <w:t xml:space="preserve"> </w:t>
      </w:r>
      <w:r>
        <w:rPr>
          <w:sz w:val="20"/>
        </w:rPr>
        <w:t>Bahia,</w:t>
      </w:r>
      <w:r>
        <w:rPr>
          <w:spacing w:val="-18"/>
          <w:sz w:val="20"/>
        </w:rPr>
        <w:t xml:space="preserve"> </w:t>
      </w:r>
      <w:r>
        <w:rPr>
          <w:sz w:val="20"/>
        </w:rPr>
        <w:t>y</w:t>
      </w:r>
      <w:r>
        <w:rPr>
          <w:spacing w:val="-19"/>
          <w:sz w:val="20"/>
        </w:rPr>
        <w:t xml:space="preserve"> </w:t>
      </w:r>
      <w:r>
        <w:rPr>
          <w:sz w:val="20"/>
        </w:rPr>
        <w:t>del</w:t>
      </w:r>
      <w:r>
        <w:rPr>
          <w:spacing w:val="-15"/>
          <w:sz w:val="20"/>
        </w:rPr>
        <w:t xml:space="preserve"> </w:t>
      </w:r>
      <w:r>
        <w:rPr>
          <w:sz w:val="20"/>
        </w:rPr>
        <w:t>Gobierno Federal, preferiblemente en la página principal y por un período no menor de un</w:t>
      </w:r>
      <w:r>
        <w:rPr>
          <w:spacing w:val="-25"/>
          <w:sz w:val="20"/>
        </w:rPr>
        <w:t xml:space="preserve"> </w:t>
      </w:r>
      <w:r>
        <w:rPr>
          <w:sz w:val="20"/>
        </w:rPr>
        <w:t>mes.</w:t>
      </w:r>
    </w:p>
    <w:p w14:paraId="04F15C82" w14:textId="77777777" w:rsidR="00467FCA" w:rsidRDefault="00467FCA">
      <w:pPr>
        <w:pStyle w:val="Textoindependiente"/>
        <w:spacing w:before="1"/>
      </w:pPr>
    </w:p>
    <w:p w14:paraId="3A768E7D" w14:textId="77777777" w:rsidR="00467FCA" w:rsidRDefault="001B68EB">
      <w:pPr>
        <w:pStyle w:val="Prrafodelista"/>
        <w:numPr>
          <w:ilvl w:val="0"/>
          <w:numId w:val="38"/>
        </w:numPr>
        <w:tabs>
          <w:tab w:val="left" w:pos="687"/>
        </w:tabs>
        <w:ind w:left="120" w:right="118" w:firstLine="0"/>
        <w:jc w:val="both"/>
        <w:rPr>
          <w:sz w:val="20"/>
        </w:rPr>
      </w:pPr>
      <w:r>
        <w:rPr>
          <w:sz w:val="20"/>
        </w:rPr>
        <w:t xml:space="preserve">El </w:t>
      </w:r>
      <w:r>
        <w:rPr>
          <w:b/>
          <w:i/>
          <w:sz w:val="20"/>
        </w:rPr>
        <w:t xml:space="preserve">Estado </w:t>
      </w:r>
      <w:r>
        <w:rPr>
          <w:sz w:val="20"/>
        </w:rPr>
        <w:t>consideró exce</w:t>
      </w:r>
      <w:r>
        <w:rPr>
          <w:sz w:val="20"/>
        </w:rPr>
        <w:t>sivas las medidas de reparación simbólica solicitadas por los representantes.</w:t>
      </w:r>
      <w:r>
        <w:rPr>
          <w:spacing w:val="-9"/>
          <w:sz w:val="20"/>
        </w:rPr>
        <w:t xml:space="preserve"> </w:t>
      </w:r>
      <w:r>
        <w:rPr>
          <w:sz w:val="20"/>
        </w:rPr>
        <w:t>En</w:t>
      </w:r>
      <w:r>
        <w:rPr>
          <w:spacing w:val="-7"/>
          <w:sz w:val="20"/>
        </w:rPr>
        <w:t xml:space="preserve"> </w:t>
      </w:r>
      <w:r>
        <w:rPr>
          <w:sz w:val="20"/>
        </w:rPr>
        <w:t>ese</w:t>
      </w:r>
      <w:r>
        <w:rPr>
          <w:spacing w:val="-9"/>
          <w:sz w:val="20"/>
        </w:rPr>
        <w:t xml:space="preserve"> </w:t>
      </w:r>
      <w:r>
        <w:rPr>
          <w:sz w:val="20"/>
        </w:rPr>
        <w:t>sentido</w:t>
      </w:r>
      <w:r>
        <w:rPr>
          <w:spacing w:val="-9"/>
          <w:sz w:val="20"/>
        </w:rPr>
        <w:t xml:space="preserve"> </w:t>
      </w:r>
      <w:r>
        <w:rPr>
          <w:sz w:val="20"/>
        </w:rPr>
        <w:t>afirmó</w:t>
      </w:r>
      <w:r>
        <w:rPr>
          <w:spacing w:val="-9"/>
          <w:sz w:val="20"/>
        </w:rPr>
        <w:t xml:space="preserve"> </w:t>
      </w:r>
      <w:r>
        <w:rPr>
          <w:sz w:val="20"/>
        </w:rPr>
        <w:t>que,</w:t>
      </w:r>
      <w:r>
        <w:rPr>
          <w:spacing w:val="-11"/>
          <w:sz w:val="20"/>
        </w:rPr>
        <w:t xml:space="preserve"> </w:t>
      </w:r>
      <w:r>
        <w:rPr>
          <w:sz w:val="20"/>
        </w:rPr>
        <w:t>de</w:t>
      </w:r>
      <w:r>
        <w:rPr>
          <w:spacing w:val="-9"/>
          <w:sz w:val="20"/>
        </w:rPr>
        <w:t xml:space="preserve"> </w:t>
      </w:r>
      <w:r>
        <w:rPr>
          <w:sz w:val="20"/>
        </w:rPr>
        <w:t>existir</w:t>
      </w:r>
      <w:r>
        <w:rPr>
          <w:spacing w:val="-9"/>
          <w:sz w:val="20"/>
        </w:rPr>
        <w:t xml:space="preserve"> </w:t>
      </w:r>
      <w:r>
        <w:rPr>
          <w:sz w:val="20"/>
        </w:rPr>
        <w:t>una</w:t>
      </w:r>
      <w:r>
        <w:rPr>
          <w:spacing w:val="-8"/>
          <w:sz w:val="20"/>
        </w:rPr>
        <w:t xml:space="preserve"> </w:t>
      </w:r>
      <w:r>
        <w:rPr>
          <w:sz w:val="20"/>
        </w:rPr>
        <w:t>eventual</w:t>
      </w:r>
      <w:r>
        <w:rPr>
          <w:spacing w:val="-7"/>
          <w:sz w:val="20"/>
        </w:rPr>
        <w:t xml:space="preserve"> </w:t>
      </w:r>
      <w:r>
        <w:rPr>
          <w:sz w:val="20"/>
        </w:rPr>
        <w:t>condena</w:t>
      </w:r>
      <w:r>
        <w:rPr>
          <w:spacing w:val="-10"/>
          <w:sz w:val="20"/>
        </w:rPr>
        <w:t xml:space="preserve"> </w:t>
      </w:r>
      <w:r>
        <w:rPr>
          <w:sz w:val="20"/>
        </w:rPr>
        <w:t>por</w:t>
      </w:r>
      <w:r>
        <w:rPr>
          <w:spacing w:val="-9"/>
          <w:sz w:val="20"/>
        </w:rPr>
        <w:t xml:space="preserve"> </w:t>
      </w:r>
      <w:r>
        <w:rPr>
          <w:sz w:val="20"/>
        </w:rPr>
        <w:t>parte</w:t>
      </w:r>
      <w:r>
        <w:rPr>
          <w:spacing w:val="-9"/>
          <w:sz w:val="20"/>
        </w:rPr>
        <w:t xml:space="preserve"> </w:t>
      </w:r>
      <w:r>
        <w:rPr>
          <w:sz w:val="20"/>
        </w:rPr>
        <w:t>de</w:t>
      </w:r>
      <w:r>
        <w:rPr>
          <w:spacing w:val="-7"/>
          <w:sz w:val="20"/>
        </w:rPr>
        <w:t xml:space="preserve"> </w:t>
      </w:r>
      <w:r>
        <w:rPr>
          <w:sz w:val="20"/>
        </w:rPr>
        <w:t xml:space="preserve">este Tribunal, la publicación del resumen oficial de la sentencia y de su texto completo en el sitio web oficial, en la forma tradicionalmente adoptada por el Tribunal en sus sentencias, alcanzaría la finalidad perseguida por los representantes. Consideró </w:t>
      </w:r>
      <w:r>
        <w:rPr>
          <w:sz w:val="20"/>
        </w:rPr>
        <w:t>que cualquier condena adicional</w:t>
      </w:r>
      <w:r>
        <w:rPr>
          <w:spacing w:val="-6"/>
          <w:sz w:val="20"/>
        </w:rPr>
        <w:t xml:space="preserve"> </w:t>
      </w:r>
      <w:r>
        <w:rPr>
          <w:sz w:val="20"/>
        </w:rPr>
        <w:t>sería</w:t>
      </w:r>
      <w:r>
        <w:rPr>
          <w:spacing w:val="-8"/>
          <w:sz w:val="20"/>
        </w:rPr>
        <w:t xml:space="preserve"> </w:t>
      </w:r>
      <w:r>
        <w:rPr>
          <w:sz w:val="20"/>
        </w:rPr>
        <w:t>irrazonable</w:t>
      </w:r>
      <w:r>
        <w:rPr>
          <w:spacing w:val="-7"/>
          <w:sz w:val="20"/>
        </w:rPr>
        <w:t xml:space="preserve"> </w:t>
      </w:r>
      <w:r>
        <w:rPr>
          <w:sz w:val="20"/>
        </w:rPr>
        <w:t>y</w:t>
      </w:r>
      <w:r>
        <w:rPr>
          <w:spacing w:val="-9"/>
          <w:sz w:val="20"/>
        </w:rPr>
        <w:t xml:space="preserve"> </w:t>
      </w:r>
      <w:r>
        <w:rPr>
          <w:sz w:val="20"/>
        </w:rPr>
        <w:t>tendría</w:t>
      </w:r>
      <w:r>
        <w:rPr>
          <w:spacing w:val="-5"/>
          <w:sz w:val="20"/>
        </w:rPr>
        <w:t xml:space="preserve"> </w:t>
      </w:r>
      <w:r>
        <w:rPr>
          <w:sz w:val="20"/>
        </w:rPr>
        <w:t>una</w:t>
      </w:r>
      <w:r>
        <w:rPr>
          <w:spacing w:val="-6"/>
          <w:sz w:val="20"/>
        </w:rPr>
        <w:t xml:space="preserve"> </w:t>
      </w:r>
      <w:r>
        <w:rPr>
          <w:sz w:val="20"/>
        </w:rPr>
        <w:t>excesiva</w:t>
      </w:r>
      <w:r>
        <w:rPr>
          <w:spacing w:val="-8"/>
          <w:sz w:val="20"/>
        </w:rPr>
        <w:t xml:space="preserve"> </w:t>
      </w:r>
      <w:r>
        <w:rPr>
          <w:sz w:val="20"/>
        </w:rPr>
        <w:t>e</w:t>
      </w:r>
      <w:r>
        <w:rPr>
          <w:spacing w:val="-7"/>
          <w:sz w:val="20"/>
        </w:rPr>
        <w:t xml:space="preserve"> </w:t>
      </w:r>
      <w:r>
        <w:rPr>
          <w:sz w:val="20"/>
        </w:rPr>
        <w:t>innecesaria</w:t>
      </w:r>
      <w:r>
        <w:rPr>
          <w:spacing w:val="-6"/>
          <w:sz w:val="20"/>
        </w:rPr>
        <w:t xml:space="preserve"> </w:t>
      </w:r>
      <w:r>
        <w:rPr>
          <w:sz w:val="20"/>
        </w:rPr>
        <w:t>carga</w:t>
      </w:r>
      <w:r>
        <w:rPr>
          <w:spacing w:val="-5"/>
          <w:sz w:val="20"/>
        </w:rPr>
        <w:t xml:space="preserve"> </w:t>
      </w:r>
      <w:r>
        <w:rPr>
          <w:sz w:val="20"/>
        </w:rPr>
        <w:t>sobre</w:t>
      </w:r>
      <w:r>
        <w:rPr>
          <w:spacing w:val="-4"/>
          <w:sz w:val="20"/>
        </w:rPr>
        <w:t xml:space="preserve"> </w:t>
      </w:r>
      <w:r>
        <w:rPr>
          <w:sz w:val="20"/>
        </w:rPr>
        <w:t>el</w:t>
      </w:r>
      <w:r>
        <w:rPr>
          <w:spacing w:val="-9"/>
          <w:sz w:val="20"/>
        </w:rPr>
        <w:t xml:space="preserve"> </w:t>
      </w:r>
      <w:r>
        <w:rPr>
          <w:sz w:val="20"/>
        </w:rPr>
        <w:t>tesoro</w:t>
      </w:r>
      <w:r>
        <w:rPr>
          <w:spacing w:val="-7"/>
          <w:sz w:val="20"/>
        </w:rPr>
        <w:t xml:space="preserve"> </w:t>
      </w:r>
      <w:r>
        <w:rPr>
          <w:sz w:val="20"/>
        </w:rPr>
        <w:t>público.</w:t>
      </w:r>
    </w:p>
    <w:p w14:paraId="71453224" w14:textId="77777777" w:rsidR="00467FCA" w:rsidRDefault="00467FCA">
      <w:pPr>
        <w:pStyle w:val="Textoindependiente"/>
      </w:pPr>
    </w:p>
    <w:p w14:paraId="06A17C07" w14:textId="77777777" w:rsidR="00467FCA" w:rsidRDefault="001B68EB">
      <w:pPr>
        <w:pStyle w:val="Prrafodelista"/>
        <w:numPr>
          <w:ilvl w:val="0"/>
          <w:numId w:val="38"/>
        </w:numPr>
        <w:tabs>
          <w:tab w:val="left" w:pos="687"/>
        </w:tabs>
        <w:ind w:right="116" w:firstLine="1"/>
        <w:jc w:val="both"/>
        <w:rPr>
          <w:sz w:val="20"/>
        </w:rPr>
      </w:pPr>
      <w:r>
        <w:rPr>
          <w:sz w:val="20"/>
        </w:rPr>
        <w:t>La Corte estima, como lo ha dispuesto en otros casos</w:t>
      </w:r>
      <w:hyperlink w:anchor="_bookmark428" w:history="1">
        <w:r>
          <w:rPr>
            <w:position w:val="7"/>
            <w:sz w:val="13"/>
          </w:rPr>
          <w:t>359</w:t>
        </w:r>
      </w:hyperlink>
      <w:r>
        <w:rPr>
          <w:sz w:val="20"/>
        </w:rPr>
        <w:t>, que el Estado debe publicar, en el plazo de seis</w:t>
      </w:r>
      <w:r>
        <w:rPr>
          <w:sz w:val="20"/>
        </w:rPr>
        <w:t xml:space="preserve"> meses contado a partir de la notificación de la presente Sentencia: a) el resumen</w:t>
      </w:r>
      <w:r>
        <w:rPr>
          <w:spacing w:val="-10"/>
          <w:sz w:val="20"/>
        </w:rPr>
        <w:t xml:space="preserve"> </w:t>
      </w:r>
      <w:r>
        <w:rPr>
          <w:sz w:val="20"/>
        </w:rPr>
        <w:t>oficial</w:t>
      </w:r>
      <w:r>
        <w:rPr>
          <w:spacing w:val="-10"/>
          <w:sz w:val="20"/>
        </w:rPr>
        <w:t xml:space="preserve"> </w:t>
      </w:r>
      <w:r>
        <w:rPr>
          <w:sz w:val="20"/>
        </w:rPr>
        <w:t>de</w:t>
      </w:r>
      <w:r>
        <w:rPr>
          <w:spacing w:val="-12"/>
          <w:sz w:val="20"/>
        </w:rPr>
        <w:t xml:space="preserve"> </w:t>
      </w:r>
      <w:r>
        <w:rPr>
          <w:sz w:val="20"/>
        </w:rPr>
        <w:t>la</w:t>
      </w:r>
      <w:r>
        <w:rPr>
          <w:spacing w:val="-12"/>
          <w:sz w:val="20"/>
        </w:rPr>
        <w:t xml:space="preserve"> </w:t>
      </w:r>
      <w:r>
        <w:rPr>
          <w:sz w:val="20"/>
        </w:rPr>
        <w:t>presente</w:t>
      </w:r>
      <w:r>
        <w:rPr>
          <w:spacing w:val="-11"/>
          <w:sz w:val="20"/>
        </w:rPr>
        <w:t xml:space="preserve"> </w:t>
      </w:r>
      <w:r>
        <w:rPr>
          <w:sz w:val="20"/>
        </w:rPr>
        <w:t>Sentencia</w:t>
      </w:r>
      <w:r>
        <w:rPr>
          <w:spacing w:val="-11"/>
          <w:sz w:val="20"/>
        </w:rPr>
        <w:t xml:space="preserve"> </w:t>
      </w:r>
      <w:r>
        <w:rPr>
          <w:sz w:val="20"/>
        </w:rPr>
        <w:t>elaborado</w:t>
      </w:r>
      <w:r>
        <w:rPr>
          <w:spacing w:val="-14"/>
          <w:sz w:val="20"/>
        </w:rPr>
        <w:t xml:space="preserve"> </w:t>
      </w:r>
      <w:r>
        <w:rPr>
          <w:sz w:val="20"/>
        </w:rPr>
        <w:t>por</w:t>
      </w:r>
      <w:r>
        <w:rPr>
          <w:spacing w:val="-14"/>
          <w:sz w:val="20"/>
        </w:rPr>
        <w:t xml:space="preserve"> </w:t>
      </w:r>
      <w:r>
        <w:rPr>
          <w:sz w:val="20"/>
        </w:rPr>
        <w:t>la</w:t>
      </w:r>
      <w:r>
        <w:rPr>
          <w:spacing w:val="-11"/>
          <w:sz w:val="20"/>
        </w:rPr>
        <w:t xml:space="preserve"> </w:t>
      </w:r>
      <w:r>
        <w:rPr>
          <w:sz w:val="20"/>
        </w:rPr>
        <w:t>Corte,</w:t>
      </w:r>
      <w:r>
        <w:rPr>
          <w:spacing w:val="-13"/>
          <w:sz w:val="20"/>
        </w:rPr>
        <w:t xml:space="preserve"> </w:t>
      </w:r>
      <w:r>
        <w:rPr>
          <w:sz w:val="20"/>
        </w:rPr>
        <w:t>por</w:t>
      </w:r>
      <w:r>
        <w:rPr>
          <w:spacing w:val="-11"/>
          <w:sz w:val="20"/>
        </w:rPr>
        <w:t xml:space="preserve"> </w:t>
      </w:r>
      <w:r>
        <w:rPr>
          <w:sz w:val="20"/>
        </w:rPr>
        <w:t>una</w:t>
      </w:r>
      <w:r>
        <w:rPr>
          <w:spacing w:val="-11"/>
          <w:sz w:val="20"/>
        </w:rPr>
        <w:t xml:space="preserve"> </w:t>
      </w:r>
      <w:r>
        <w:rPr>
          <w:sz w:val="20"/>
        </w:rPr>
        <w:t>sola</w:t>
      </w:r>
      <w:r>
        <w:rPr>
          <w:spacing w:val="-10"/>
          <w:sz w:val="20"/>
        </w:rPr>
        <w:t xml:space="preserve"> </w:t>
      </w:r>
      <w:r>
        <w:rPr>
          <w:sz w:val="20"/>
        </w:rPr>
        <w:t>vez,</w:t>
      </w:r>
      <w:r>
        <w:rPr>
          <w:spacing w:val="-12"/>
          <w:sz w:val="20"/>
        </w:rPr>
        <w:t xml:space="preserve"> </w:t>
      </w:r>
      <w:r>
        <w:rPr>
          <w:sz w:val="20"/>
        </w:rPr>
        <w:t>en</w:t>
      </w:r>
      <w:r>
        <w:rPr>
          <w:spacing w:val="-9"/>
          <w:sz w:val="20"/>
        </w:rPr>
        <w:t xml:space="preserve"> </w:t>
      </w:r>
      <w:r>
        <w:rPr>
          <w:sz w:val="20"/>
        </w:rPr>
        <w:t>el</w:t>
      </w:r>
      <w:r>
        <w:rPr>
          <w:spacing w:val="-11"/>
          <w:sz w:val="20"/>
        </w:rPr>
        <w:t xml:space="preserve"> </w:t>
      </w:r>
      <w:r>
        <w:rPr>
          <w:sz w:val="20"/>
        </w:rPr>
        <w:t>Diario Oficial, en un tamaño de letra legible y adecuado; b) el resumen oficial de la presente Sentencia</w:t>
      </w:r>
      <w:r>
        <w:rPr>
          <w:spacing w:val="-17"/>
          <w:sz w:val="20"/>
        </w:rPr>
        <w:t xml:space="preserve"> </w:t>
      </w:r>
      <w:r>
        <w:rPr>
          <w:sz w:val="20"/>
        </w:rPr>
        <w:t>elaborado</w:t>
      </w:r>
      <w:r>
        <w:rPr>
          <w:spacing w:val="-21"/>
          <w:sz w:val="20"/>
        </w:rPr>
        <w:t xml:space="preserve"> </w:t>
      </w:r>
      <w:r>
        <w:rPr>
          <w:sz w:val="20"/>
        </w:rPr>
        <w:t>por</w:t>
      </w:r>
      <w:r>
        <w:rPr>
          <w:spacing w:val="-18"/>
          <w:sz w:val="20"/>
        </w:rPr>
        <w:t xml:space="preserve"> </w:t>
      </w:r>
      <w:r>
        <w:rPr>
          <w:sz w:val="20"/>
        </w:rPr>
        <w:t>la</w:t>
      </w:r>
      <w:r>
        <w:rPr>
          <w:spacing w:val="-20"/>
          <w:sz w:val="20"/>
        </w:rPr>
        <w:t xml:space="preserve"> </w:t>
      </w:r>
      <w:r>
        <w:rPr>
          <w:sz w:val="20"/>
        </w:rPr>
        <w:t>Corte,</w:t>
      </w:r>
      <w:r>
        <w:rPr>
          <w:spacing w:val="-19"/>
          <w:sz w:val="20"/>
        </w:rPr>
        <w:t xml:space="preserve"> </w:t>
      </w:r>
      <w:r>
        <w:rPr>
          <w:sz w:val="20"/>
        </w:rPr>
        <w:t>por</w:t>
      </w:r>
      <w:r>
        <w:rPr>
          <w:spacing w:val="-19"/>
          <w:sz w:val="20"/>
        </w:rPr>
        <w:t xml:space="preserve"> </w:t>
      </w:r>
      <w:r>
        <w:rPr>
          <w:sz w:val="20"/>
        </w:rPr>
        <w:t>una</w:t>
      </w:r>
      <w:r>
        <w:rPr>
          <w:spacing w:val="-19"/>
          <w:sz w:val="20"/>
        </w:rPr>
        <w:t xml:space="preserve"> </w:t>
      </w:r>
      <w:r>
        <w:rPr>
          <w:sz w:val="20"/>
        </w:rPr>
        <w:t>sola</w:t>
      </w:r>
      <w:r>
        <w:rPr>
          <w:spacing w:val="-20"/>
          <w:sz w:val="20"/>
        </w:rPr>
        <w:t xml:space="preserve"> </w:t>
      </w:r>
      <w:r>
        <w:rPr>
          <w:sz w:val="20"/>
        </w:rPr>
        <w:t>vez,</w:t>
      </w:r>
      <w:r>
        <w:rPr>
          <w:spacing w:val="-17"/>
          <w:sz w:val="20"/>
        </w:rPr>
        <w:t xml:space="preserve"> </w:t>
      </w:r>
      <w:r>
        <w:rPr>
          <w:sz w:val="20"/>
        </w:rPr>
        <w:t>en</w:t>
      </w:r>
      <w:r>
        <w:rPr>
          <w:spacing w:val="-19"/>
          <w:sz w:val="20"/>
        </w:rPr>
        <w:t xml:space="preserve"> </w:t>
      </w:r>
      <w:r>
        <w:rPr>
          <w:sz w:val="20"/>
        </w:rPr>
        <w:t>un</w:t>
      </w:r>
      <w:r>
        <w:rPr>
          <w:spacing w:val="-18"/>
          <w:sz w:val="20"/>
        </w:rPr>
        <w:t xml:space="preserve"> </w:t>
      </w:r>
      <w:r>
        <w:rPr>
          <w:sz w:val="20"/>
        </w:rPr>
        <w:t>diario</w:t>
      </w:r>
      <w:r>
        <w:rPr>
          <w:spacing w:val="-21"/>
          <w:sz w:val="20"/>
        </w:rPr>
        <w:t xml:space="preserve"> </w:t>
      </w:r>
      <w:r>
        <w:rPr>
          <w:sz w:val="20"/>
        </w:rPr>
        <w:t>de</w:t>
      </w:r>
      <w:r>
        <w:rPr>
          <w:spacing w:val="-20"/>
          <w:sz w:val="20"/>
        </w:rPr>
        <w:t xml:space="preserve"> </w:t>
      </w:r>
      <w:r>
        <w:rPr>
          <w:sz w:val="20"/>
        </w:rPr>
        <w:t>amplia</w:t>
      </w:r>
      <w:r>
        <w:rPr>
          <w:spacing w:val="-20"/>
          <w:sz w:val="20"/>
        </w:rPr>
        <w:t xml:space="preserve"> </w:t>
      </w:r>
      <w:r>
        <w:rPr>
          <w:sz w:val="20"/>
        </w:rPr>
        <w:t>circulación</w:t>
      </w:r>
      <w:r>
        <w:rPr>
          <w:spacing w:val="-18"/>
          <w:sz w:val="20"/>
        </w:rPr>
        <w:t xml:space="preserve"> </w:t>
      </w:r>
      <w:r>
        <w:rPr>
          <w:sz w:val="20"/>
        </w:rPr>
        <w:t>nacional, en un tamaño de letra legible y adecuado, y c) la presente Sente</w:t>
      </w:r>
      <w:r>
        <w:rPr>
          <w:sz w:val="20"/>
        </w:rPr>
        <w:t>ncia en su integridad, disponible</w:t>
      </w:r>
      <w:r>
        <w:rPr>
          <w:spacing w:val="-14"/>
          <w:sz w:val="20"/>
        </w:rPr>
        <w:t xml:space="preserve"> </w:t>
      </w:r>
      <w:r>
        <w:rPr>
          <w:sz w:val="20"/>
        </w:rPr>
        <w:t>por</w:t>
      </w:r>
      <w:r>
        <w:rPr>
          <w:spacing w:val="-14"/>
          <w:sz w:val="20"/>
        </w:rPr>
        <w:t xml:space="preserve"> </w:t>
      </w:r>
      <w:r>
        <w:rPr>
          <w:sz w:val="20"/>
        </w:rPr>
        <w:t>un</w:t>
      </w:r>
      <w:r>
        <w:rPr>
          <w:spacing w:val="-12"/>
          <w:sz w:val="20"/>
        </w:rPr>
        <w:t xml:space="preserve"> </w:t>
      </w:r>
      <w:r>
        <w:rPr>
          <w:sz w:val="20"/>
        </w:rPr>
        <w:t>período</w:t>
      </w:r>
      <w:r>
        <w:rPr>
          <w:spacing w:val="-14"/>
          <w:sz w:val="20"/>
        </w:rPr>
        <w:t xml:space="preserve"> </w:t>
      </w:r>
      <w:r>
        <w:rPr>
          <w:sz w:val="20"/>
        </w:rPr>
        <w:t>de</w:t>
      </w:r>
      <w:r>
        <w:rPr>
          <w:spacing w:val="-14"/>
          <w:sz w:val="20"/>
        </w:rPr>
        <w:t xml:space="preserve"> </w:t>
      </w:r>
      <w:r>
        <w:rPr>
          <w:sz w:val="20"/>
        </w:rPr>
        <w:t>un</w:t>
      </w:r>
      <w:r>
        <w:rPr>
          <w:spacing w:val="-12"/>
          <w:sz w:val="20"/>
        </w:rPr>
        <w:t xml:space="preserve"> </w:t>
      </w:r>
      <w:r>
        <w:rPr>
          <w:sz w:val="20"/>
        </w:rPr>
        <w:t>año,</w:t>
      </w:r>
      <w:r>
        <w:rPr>
          <w:spacing w:val="-13"/>
          <w:sz w:val="20"/>
        </w:rPr>
        <w:t xml:space="preserve"> </w:t>
      </w:r>
      <w:r>
        <w:rPr>
          <w:sz w:val="20"/>
        </w:rPr>
        <w:t>en</w:t>
      </w:r>
      <w:r>
        <w:rPr>
          <w:spacing w:val="-12"/>
          <w:sz w:val="20"/>
        </w:rPr>
        <w:t xml:space="preserve"> </w:t>
      </w:r>
      <w:r>
        <w:rPr>
          <w:sz w:val="20"/>
        </w:rPr>
        <w:t>un</w:t>
      </w:r>
      <w:r>
        <w:rPr>
          <w:spacing w:val="-12"/>
          <w:sz w:val="20"/>
        </w:rPr>
        <w:t xml:space="preserve"> </w:t>
      </w:r>
      <w:r>
        <w:rPr>
          <w:sz w:val="20"/>
        </w:rPr>
        <w:t>sitio</w:t>
      </w:r>
      <w:r>
        <w:rPr>
          <w:spacing w:val="-12"/>
          <w:sz w:val="20"/>
        </w:rPr>
        <w:t xml:space="preserve"> </w:t>
      </w:r>
      <w:r>
        <w:rPr>
          <w:i/>
          <w:sz w:val="20"/>
        </w:rPr>
        <w:t>web</w:t>
      </w:r>
      <w:r>
        <w:rPr>
          <w:i/>
          <w:spacing w:val="-12"/>
          <w:sz w:val="20"/>
        </w:rPr>
        <w:t xml:space="preserve"> </w:t>
      </w:r>
      <w:r>
        <w:rPr>
          <w:sz w:val="20"/>
        </w:rPr>
        <w:t>oficial</w:t>
      </w:r>
      <w:r>
        <w:rPr>
          <w:spacing w:val="-12"/>
          <w:sz w:val="20"/>
        </w:rPr>
        <w:t xml:space="preserve"> </w:t>
      </w:r>
      <w:r>
        <w:rPr>
          <w:sz w:val="20"/>
        </w:rPr>
        <w:t>del</w:t>
      </w:r>
      <w:r>
        <w:rPr>
          <w:spacing w:val="-12"/>
          <w:sz w:val="20"/>
        </w:rPr>
        <w:t xml:space="preserve"> </w:t>
      </w:r>
      <w:r>
        <w:rPr>
          <w:sz w:val="20"/>
        </w:rPr>
        <w:t>Estado</w:t>
      </w:r>
      <w:r>
        <w:rPr>
          <w:spacing w:val="-14"/>
          <w:sz w:val="20"/>
        </w:rPr>
        <w:t xml:space="preserve"> </w:t>
      </w:r>
      <w:r>
        <w:rPr>
          <w:sz w:val="20"/>
        </w:rPr>
        <w:t>de</w:t>
      </w:r>
      <w:r>
        <w:rPr>
          <w:spacing w:val="-11"/>
          <w:sz w:val="20"/>
        </w:rPr>
        <w:t xml:space="preserve"> </w:t>
      </w:r>
      <w:r>
        <w:rPr>
          <w:sz w:val="20"/>
        </w:rPr>
        <w:t>Bahia</w:t>
      </w:r>
      <w:r>
        <w:rPr>
          <w:spacing w:val="-12"/>
          <w:sz w:val="20"/>
        </w:rPr>
        <w:t xml:space="preserve"> </w:t>
      </w:r>
      <w:r>
        <w:rPr>
          <w:sz w:val="20"/>
        </w:rPr>
        <w:t>y</w:t>
      </w:r>
      <w:r>
        <w:rPr>
          <w:spacing w:val="-13"/>
          <w:sz w:val="20"/>
        </w:rPr>
        <w:t xml:space="preserve"> </w:t>
      </w:r>
      <w:r>
        <w:rPr>
          <w:sz w:val="20"/>
        </w:rPr>
        <w:t>del</w:t>
      </w:r>
      <w:r>
        <w:rPr>
          <w:spacing w:val="-12"/>
          <w:sz w:val="20"/>
        </w:rPr>
        <w:t xml:space="preserve"> </w:t>
      </w:r>
      <w:r>
        <w:rPr>
          <w:sz w:val="20"/>
        </w:rPr>
        <w:t>Gobierno Federal. El Estado deberá informar de forma inmediata a esta Corte una vez que proceda a realizar cada una de las publicaciones dispuestas, independiente del plazo de un año para presentar su primer informe dispuesto en el punto resolutivo 21 de l</w:t>
      </w:r>
      <w:r>
        <w:rPr>
          <w:sz w:val="20"/>
        </w:rPr>
        <w:t>a</w:t>
      </w:r>
      <w:r>
        <w:rPr>
          <w:spacing w:val="-17"/>
          <w:sz w:val="20"/>
        </w:rPr>
        <w:t xml:space="preserve"> </w:t>
      </w:r>
      <w:r>
        <w:rPr>
          <w:sz w:val="20"/>
        </w:rPr>
        <w:t>Sentencia.</w:t>
      </w:r>
    </w:p>
    <w:p w14:paraId="7C1FD036" w14:textId="77777777" w:rsidR="00467FCA" w:rsidRDefault="00467FCA">
      <w:pPr>
        <w:pStyle w:val="Textoindependiente"/>
      </w:pPr>
    </w:p>
    <w:p w14:paraId="6B83A63E" w14:textId="77777777" w:rsidR="00467FCA" w:rsidRDefault="001B68EB">
      <w:pPr>
        <w:pStyle w:val="Prrafodelista"/>
        <w:numPr>
          <w:ilvl w:val="0"/>
          <w:numId w:val="38"/>
        </w:numPr>
        <w:tabs>
          <w:tab w:val="left" w:pos="686"/>
        </w:tabs>
        <w:spacing w:line="243" w:lineRule="exact"/>
        <w:ind w:left="685"/>
        <w:jc w:val="both"/>
        <w:rPr>
          <w:sz w:val="20"/>
        </w:rPr>
      </w:pPr>
      <w:r>
        <w:rPr>
          <w:sz w:val="20"/>
        </w:rPr>
        <w:t>El Estado también deberá producir un material para radio y televisión de no menos</w:t>
      </w:r>
      <w:r>
        <w:rPr>
          <w:spacing w:val="3"/>
          <w:sz w:val="20"/>
        </w:rPr>
        <w:t xml:space="preserve"> </w:t>
      </w:r>
      <w:r>
        <w:rPr>
          <w:sz w:val="20"/>
        </w:rPr>
        <w:t>de</w:t>
      </w:r>
    </w:p>
    <w:p w14:paraId="348D97D4" w14:textId="77777777" w:rsidR="00467FCA" w:rsidRDefault="001B68EB">
      <w:pPr>
        <w:pStyle w:val="Textoindependiente"/>
        <w:ind w:left="119" w:right="116"/>
        <w:jc w:val="both"/>
      </w:pPr>
      <w:r>
        <w:t>5 minutos, en el que presente el resumen de la sentencia. El contenido de este material deberá</w:t>
      </w:r>
      <w:r>
        <w:rPr>
          <w:spacing w:val="-18"/>
        </w:rPr>
        <w:t xml:space="preserve"> </w:t>
      </w:r>
      <w:r>
        <w:t>ser</w:t>
      </w:r>
      <w:r>
        <w:rPr>
          <w:spacing w:val="-20"/>
        </w:rPr>
        <w:t xml:space="preserve"> </w:t>
      </w:r>
      <w:r>
        <w:t>concertado</w:t>
      </w:r>
      <w:r>
        <w:rPr>
          <w:spacing w:val="-20"/>
        </w:rPr>
        <w:t xml:space="preserve"> </w:t>
      </w:r>
      <w:r>
        <w:t>con</w:t>
      </w:r>
      <w:r>
        <w:rPr>
          <w:spacing w:val="-16"/>
        </w:rPr>
        <w:t xml:space="preserve"> </w:t>
      </w:r>
      <w:r>
        <w:t>los</w:t>
      </w:r>
      <w:r>
        <w:rPr>
          <w:spacing w:val="-17"/>
        </w:rPr>
        <w:t xml:space="preserve"> </w:t>
      </w:r>
      <w:r>
        <w:t>representantes</w:t>
      </w:r>
      <w:r>
        <w:rPr>
          <w:spacing w:val="-17"/>
        </w:rPr>
        <w:t xml:space="preserve"> </w:t>
      </w:r>
      <w:r>
        <w:t>de</w:t>
      </w:r>
      <w:r>
        <w:rPr>
          <w:spacing w:val="-17"/>
        </w:rPr>
        <w:t xml:space="preserve"> </w:t>
      </w:r>
      <w:r>
        <w:t>las</w:t>
      </w:r>
      <w:r>
        <w:rPr>
          <w:spacing w:val="-19"/>
        </w:rPr>
        <w:t xml:space="preserve"> </w:t>
      </w:r>
      <w:r>
        <w:t>víctimas.</w:t>
      </w:r>
      <w:r>
        <w:rPr>
          <w:spacing w:val="-18"/>
        </w:rPr>
        <w:t xml:space="preserve"> </w:t>
      </w:r>
      <w:r>
        <w:t>Este</w:t>
      </w:r>
      <w:r>
        <w:rPr>
          <w:spacing w:val="-20"/>
        </w:rPr>
        <w:t xml:space="preserve"> </w:t>
      </w:r>
      <w:r>
        <w:t>ma</w:t>
      </w:r>
      <w:r>
        <w:t>terial</w:t>
      </w:r>
      <w:r>
        <w:rPr>
          <w:spacing w:val="-18"/>
        </w:rPr>
        <w:t xml:space="preserve"> </w:t>
      </w:r>
      <w:r>
        <w:t>deberá</w:t>
      </w:r>
      <w:r>
        <w:rPr>
          <w:spacing w:val="-18"/>
        </w:rPr>
        <w:t xml:space="preserve"> </w:t>
      </w:r>
      <w:r>
        <w:t>difundirse, a cargo del Estado, en el horario de mayor audiencia, por las cadenas públicas de radio y televisión</w:t>
      </w:r>
      <w:r>
        <w:rPr>
          <w:spacing w:val="-16"/>
        </w:rPr>
        <w:t xml:space="preserve"> </w:t>
      </w:r>
      <w:r>
        <w:t>del</w:t>
      </w:r>
      <w:r>
        <w:rPr>
          <w:spacing w:val="-16"/>
        </w:rPr>
        <w:t xml:space="preserve"> </w:t>
      </w:r>
      <w:r>
        <w:t>estado</w:t>
      </w:r>
      <w:r>
        <w:rPr>
          <w:spacing w:val="-18"/>
        </w:rPr>
        <w:t xml:space="preserve"> </w:t>
      </w:r>
      <w:r>
        <w:t>de</w:t>
      </w:r>
      <w:r>
        <w:rPr>
          <w:spacing w:val="-16"/>
        </w:rPr>
        <w:t xml:space="preserve"> </w:t>
      </w:r>
      <w:r>
        <w:t>Bahia,</w:t>
      </w:r>
      <w:r>
        <w:rPr>
          <w:spacing w:val="-17"/>
        </w:rPr>
        <w:t xml:space="preserve"> </w:t>
      </w:r>
      <w:r>
        <w:t>si</w:t>
      </w:r>
      <w:r>
        <w:rPr>
          <w:spacing w:val="-16"/>
        </w:rPr>
        <w:t xml:space="preserve"> </w:t>
      </w:r>
      <w:r>
        <w:t>las</w:t>
      </w:r>
      <w:r>
        <w:rPr>
          <w:spacing w:val="-18"/>
        </w:rPr>
        <w:t xml:space="preserve"> </w:t>
      </w:r>
      <w:r>
        <w:t>hubiere</w:t>
      </w:r>
      <w:r>
        <w:rPr>
          <w:spacing w:val="-18"/>
        </w:rPr>
        <w:t xml:space="preserve"> </w:t>
      </w:r>
      <w:r>
        <w:t>o,</w:t>
      </w:r>
      <w:r>
        <w:rPr>
          <w:spacing w:val="-15"/>
        </w:rPr>
        <w:t xml:space="preserve"> </w:t>
      </w:r>
      <w:r>
        <w:t>en</w:t>
      </w:r>
      <w:r>
        <w:rPr>
          <w:spacing w:val="-16"/>
        </w:rPr>
        <w:t xml:space="preserve"> </w:t>
      </w:r>
      <w:r>
        <w:t>su</w:t>
      </w:r>
      <w:r>
        <w:rPr>
          <w:spacing w:val="-15"/>
        </w:rPr>
        <w:t xml:space="preserve"> </w:t>
      </w:r>
      <w:r>
        <w:t>defecto,</w:t>
      </w:r>
      <w:r>
        <w:rPr>
          <w:spacing w:val="-17"/>
        </w:rPr>
        <w:t xml:space="preserve"> </w:t>
      </w:r>
      <w:r>
        <w:t>por</w:t>
      </w:r>
      <w:r>
        <w:rPr>
          <w:spacing w:val="-15"/>
        </w:rPr>
        <w:t xml:space="preserve"> </w:t>
      </w:r>
      <w:r>
        <w:t>al</w:t>
      </w:r>
      <w:r>
        <w:rPr>
          <w:spacing w:val="-17"/>
        </w:rPr>
        <w:t xml:space="preserve"> </w:t>
      </w:r>
      <w:r>
        <w:t>menos</w:t>
      </w:r>
      <w:r>
        <w:rPr>
          <w:spacing w:val="-17"/>
        </w:rPr>
        <w:t xml:space="preserve"> </w:t>
      </w:r>
      <w:r>
        <w:t>una</w:t>
      </w:r>
      <w:r>
        <w:rPr>
          <w:spacing w:val="-16"/>
        </w:rPr>
        <w:t xml:space="preserve"> </w:t>
      </w:r>
      <w:r>
        <w:t>de</w:t>
      </w:r>
      <w:r>
        <w:rPr>
          <w:spacing w:val="-19"/>
        </w:rPr>
        <w:t xml:space="preserve"> </w:t>
      </w:r>
      <w:r>
        <w:t>las</w:t>
      </w:r>
      <w:r>
        <w:rPr>
          <w:spacing w:val="-15"/>
        </w:rPr>
        <w:t xml:space="preserve"> </w:t>
      </w:r>
      <w:r>
        <w:t>cadenas públicas de radio y televisión del Estado Federal. Además, este material deberá transmitirse al menos una vez por las redes sociales oficiales del Estado Federal y estar disponible en las plataformas web del Estado de Bahia y del Gobierno Federal p</w:t>
      </w:r>
      <w:r>
        <w:t>or un periodo de un año. Para la</w:t>
      </w:r>
      <w:r>
        <w:rPr>
          <w:spacing w:val="-21"/>
        </w:rPr>
        <w:t xml:space="preserve"> </w:t>
      </w:r>
      <w:r>
        <w:t>realización</w:t>
      </w:r>
      <w:r>
        <w:rPr>
          <w:spacing w:val="-19"/>
        </w:rPr>
        <w:t xml:space="preserve"> </w:t>
      </w:r>
      <w:r>
        <w:t>de</w:t>
      </w:r>
      <w:r>
        <w:rPr>
          <w:spacing w:val="-19"/>
        </w:rPr>
        <w:t xml:space="preserve"> </w:t>
      </w:r>
      <w:r>
        <w:t>este</w:t>
      </w:r>
      <w:r>
        <w:rPr>
          <w:spacing w:val="-21"/>
        </w:rPr>
        <w:t xml:space="preserve"> </w:t>
      </w:r>
      <w:r>
        <w:t>material</w:t>
      </w:r>
      <w:r>
        <w:rPr>
          <w:spacing w:val="-20"/>
        </w:rPr>
        <w:t xml:space="preserve"> </w:t>
      </w:r>
      <w:r>
        <w:t>y</w:t>
      </w:r>
      <w:r>
        <w:rPr>
          <w:spacing w:val="-18"/>
        </w:rPr>
        <w:t xml:space="preserve"> </w:t>
      </w:r>
      <w:r>
        <w:t>su</w:t>
      </w:r>
      <w:r>
        <w:rPr>
          <w:spacing w:val="-19"/>
        </w:rPr>
        <w:t xml:space="preserve"> </w:t>
      </w:r>
      <w:r>
        <w:t>difusión,</w:t>
      </w:r>
      <w:r>
        <w:rPr>
          <w:spacing w:val="-18"/>
        </w:rPr>
        <w:t xml:space="preserve"> </w:t>
      </w:r>
      <w:r>
        <w:t>el</w:t>
      </w:r>
      <w:r>
        <w:rPr>
          <w:spacing w:val="-20"/>
        </w:rPr>
        <w:t xml:space="preserve"> </w:t>
      </w:r>
      <w:r>
        <w:t>Estado</w:t>
      </w:r>
      <w:r>
        <w:rPr>
          <w:spacing w:val="-21"/>
        </w:rPr>
        <w:t xml:space="preserve"> </w:t>
      </w:r>
      <w:r>
        <w:t>cuenta</w:t>
      </w:r>
      <w:r>
        <w:rPr>
          <w:spacing w:val="-17"/>
        </w:rPr>
        <w:t xml:space="preserve"> </w:t>
      </w:r>
      <w:r>
        <w:t>con</w:t>
      </w:r>
      <w:r>
        <w:rPr>
          <w:spacing w:val="-16"/>
        </w:rPr>
        <w:t xml:space="preserve"> </w:t>
      </w:r>
      <w:r>
        <w:t>el</w:t>
      </w:r>
      <w:r>
        <w:rPr>
          <w:spacing w:val="-20"/>
        </w:rPr>
        <w:t xml:space="preserve"> </w:t>
      </w:r>
      <w:r>
        <w:t>plazo</w:t>
      </w:r>
      <w:r>
        <w:rPr>
          <w:spacing w:val="-18"/>
        </w:rPr>
        <w:t xml:space="preserve"> </w:t>
      </w:r>
      <w:r>
        <w:t>de</w:t>
      </w:r>
      <w:r>
        <w:rPr>
          <w:spacing w:val="-21"/>
        </w:rPr>
        <w:t xml:space="preserve"> </w:t>
      </w:r>
      <w:r>
        <w:t>dos</w:t>
      </w:r>
      <w:r>
        <w:rPr>
          <w:spacing w:val="-21"/>
        </w:rPr>
        <w:t xml:space="preserve"> </w:t>
      </w:r>
      <w:r>
        <w:t>años,</w:t>
      </w:r>
      <w:r>
        <w:rPr>
          <w:spacing w:val="-18"/>
        </w:rPr>
        <w:t xml:space="preserve"> </w:t>
      </w:r>
      <w:r>
        <w:t>contado a partir de la notificación de la presente</w:t>
      </w:r>
      <w:r>
        <w:rPr>
          <w:spacing w:val="-10"/>
        </w:rPr>
        <w:t xml:space="preserve"> </w:t>
      </w:r>
      <w:r>
        <w:t>Sentencia.</w:t>
      </w:r>
    </w:p>
    <w:p w14:paraId="37066ADF" w14:textId="77777777" w:rsidR="00467FCA" w:rsidRDefault="00467FCA">
      <w:pPr>
        <w:pStyle w:val="Textoindependiente"/>
        <w:spacing w:before="1"/>
      </w:pPr>
    </w:p>
    <w:p w14:paraId="0C3EB219" w14:textId="77777777" w:rsidR="00467FCA" w:rsidRDefault="001B68EB">
      <w:pPr>
        <w:pStyle w:val="Ttulo2"/>
        <w:numPr>
          <w:ilvl w:val="1"/>
          <w:numId w:val="37"/>
        </w:numPr>
        <w:tabs>
          <w:tab w:val="left" w:pos="1427"/>
        </w:tabs>
      </w:pPr>
      <w:bookmarkStart w:id="492" w:name="D.2.__Acto_público_de_reconocimiento_de_"/>
      <w:bookmarkStart w:id="493" w:name="_bookmark427"/>
      <w:bookmarkEnd w:id="492"/>
      <w:bookmarkEnd w:id="493"/>
      <w:r>
        <w:t>Acto público de reconocimiento de</w:t>
      </w:r>
      <w:r>
        <w:rPr>
          <w:spacing w:val="1"/>
        </w:rPr>
        <w:t xml:space="preserve"> </w:t>
      </w:r>
      <w:r>
        <w:t>responsabilidad</w:t>
      </w:r>
    </w:p>
    <w:p w14:paraId="5C432EB0" w14:textId="77777777" w:rsidR="00467FCA" w:rsidRDefault="00467FCA">
      <w:pPr>
        <w:pStyle w:val="Textoindependiente"/>
        <w:spacing w:before="10"/>
        <w:rPr>
          <w:b/>
          <w:i/>
          <w:sz w:val="19"/>
        </w:rPr>
      </w:pPr>
    </w:p>
    <w:p w14:paraId="18630C54" w14:textId="77777777" w:rsidR="00467FCA" w:rsidRDefault="001B68EB">
      <w:pPr>
        <w:pStyle w:val="Prrafodelista"/>
        <w:numPr>
          <w:ilvl w:val="0"/>
          <w:numId w:val="38"/>
        </w:numPr>
        <w:tabs>
          <w:tab w:val="left" w:pos="686"/>
        </w:tabs>
        <w:spacing w:before="1"/>
        <w:ind w:right="118" w:firstLine="0"/>
        <w:jc w:val="both"/>
        <w:rPr>
          <w:sz w:val="20"/>
        </w:rPr>
      </w:pPr>
      <w:r>
        <w:rPr>
          <w:sz w:val="20"/>
        </w:rPr>
        <w:t xml:space="preserve">Los </w:t>
      </w:r>
      <w:r>
        <w:rPr>
          <w:b/>
          <w:i/>
          <w:sz w:val="20"/>
        </w:rPr>
        <w:t xml:space="preserve">representantes </w:t>
      </w:r>
      <w:r>
        <w:rPr>
          <w:sz w:val="20"/>
        </w:rPr>
        <w:t>solicitaron la realización de un evento público de reconocimiento de responsabilidad internacional del Estado, con la presencia de autoridades del estado de Bahia, del Gobierno Federal y de los familiares de las víctimas, que sea difundido p</w:t>
      </w:r>
      <w:r>
        <w:rPr>
          <w:sz w:val="20"/>
        </w:rPr>
        <w:t>or radio y televisión.</w:t>
      </w:r>
    </w:p>
    <w:p w14:paraId="2ADCA5B1" w14:textId="77777777" w:rsidR="00467FCA" w:rsidRDefault="00467FCA">
      <w:pPr>
        <w:pStyle w:val="Textoindependiente"/>
        <w:spacing w:before="1"/>
      </w:pPr>
    </w:p>
    <w:p w14:paraId="6DCD5376" w14:textId="77777777" w:rsidR="00467FCA" w:rsidRDefault="001B68EB">
      <w:pPr>
        <w:pStyle w:val="Prrafodelista"/>
        <w:numPr>
          <w:ilvl w:val="0"/>
          <w:numId w:val="38"/>
        </w:numPr>
        <w:tabs>
          <w:tab w:val="left" w:pos="686"/>
        </w:tabs>
        <w:ind w:left="685"/>
        <w:jc w:val="both"/>
        <w:rPr>
          <w:sz w:val="20"/>
        </w:rPr>
      </w:pPr>
      <w:r>
        <w:rPr>
          <w:sz w:val="20"/>
        </w:rPr>
        <w:t xml:space="preserve">El </w:t>
      </w:r>
      <w:r>
        <w:rPr>
          <w:b/>
          <w:i/>
          <w:sz w:val="20"/>
        </w:rPr>
        <w:t xml:space="preserve">Estado </w:t>
      </w:r>
      <w:r>
        <w:rPr>
          <w:sz w:val="20"/>
        </w:rPr>
        <w:t>no se pronunció de manera específica sobre este</w:t>
      </w:r>
      <w:r>
        <w:rPr>
          <w:spacing w:val="-7"/>
          <w:sz w:val="20"/>
        </w:rPr>
        <w:t xml:space="preserve"> </w:t>
      </w:r>
      <w:r>
        <w:rPr>
          <w:sz w:val="20"/>
        </w:rPr>
        <w:t>asunto.</w:t>
      </w:r>
    </w:p>
    <w:p w14:paraId="7907BFBD" w14:textId="77777777" w:rsidR="00467FCA" w:rsidRDefault="00467FCA">
      <w:pPr>
        <w:pStyle w:val="Textoindependiente"/>
        <w:spacing w:before="11"/>
        <w:rPr>
          <w:sz w:val="19"/>
        </w:rPr>
      </w:pPr>
    </w:p>
    <w:p w14:paraId="3953A8D3" w14:textId="77777777" w:rsidR="00467FCA" w:rsidRDefault="001B68EB">
      <w:pPr>
        <w:pStyle w:val="Prrafodelista"/>
        <w:numPr>
          <w:ilvl w:val="0"/>
          <w:numId w:val="38"/>
        </w:numPr>
        <w:tabs>
          <w:tab w:val="left" w:pos="686"/>
        </w:tabs>
        <w:ind w:left="118" w:right="116" w:firstLine="0"/>
        <w:jc w:val="both"/>
        <w:rPr>
          <w:sz w:val="20"/>
        </w:rPr>
      </w:pPr>
      <w:r>
        <w:rPr>
          <w:sz w:val="20"/>
        </w:rPr>
        <w:t>El Tribunal estima que el Estado debe realizar un acto de reconocimiento de responsabilidad internacional, en relación con los hechos del presente caso y su posterio</w:t>
      </w:r>
      <w:r>
        <w:rPr>
          <w:sz w:val="20"/>
        </w:rPr>
        <w:t>r investigación. En dicho acto el Estado deberá hacer referencia a los hechos y violaciones de derechos humanos declaradas en la presente Sentencia. El acto deberá llevarse a cabo mediante una ceremonia pública y deberá ser divulgado. El Estado deberá aseg</w:t>
      </w:r>
      <w:r>
        <w:rPr>
          <w:sz w:val="20"/>
        </w:rPr>
        <w:t>urar la participación</w:t>
      </w:r>
      <w:r>
        <w:rPr>
          <w:spacing w:val="9"/>
          <w:sz w:val="20"/>
        </w:rPr>
        <w:t xml:space="preserve"> </w:t>
      </w:r>
      <w:r>
        <w:rPr>
          <w:sz w:val="20"/>
        </w:rPr>
        <w:t>de</w:t>
      </w:r>
      <w:r>
        <w:rPr>
          <w:spacing w:val="7"/>
          <w:sz w:val="20"/>
        </w:rPr>
        <w:t xml:space="preserve"> </w:t>
      </w:r>
      <w:r>
        <w:rPr>
          <w:sz w:val="20"/>
        </w:rPr>
        <w:t>las</w:t>
      </w:r>
      <w:r>
        <w:rPr>
          <w:spacing w:val="7"/>
          <w:sz w:val="20"/>
        </w:rPr>
        <w:t xml:space="preserve"> </w:t>
      </w:r>
      <w:r>
        <w:rPr>
          <w:sz w:val="20"/>
        </w:rPr>
        <w:t>víctimas</w:t>
      </w:r>
      <w:r>
        <w:rPr>
          <w:spacing w:val="7"/>
          <w:sz w:val="20"/>
        </w:rPr>
        <w:t xml:space="preserve"> </w:t>
      </w:r>
      <w:r>
        <w:rPr>
          <w:sz w:val="20"/>
        </w:rPr>
        <w:t>declaradas</w:t>
      </w:r>
      <w:r>
        <w:rPr>
          <w:spacing w:val="10"/>
          <w:sz w:val="20"/>
        </w:rPr>
        <w:t xml:space="preserve"> </w:t>
      </w:r>
      <w:r>
        <w:rPr>
          <w:sz w:val="20"/>
        </w:rPr>
        <w:t>en</w:t>
      </w:r>
      <w:r>
        <w:rPr>
          <w:spacing w:val="10"/>
          <w:sz w:val="20"/>
        </w:rPr>
        <w:t xml:space="preserve"> </w:t>
      </w:r>
      <w:r>
        <w:rPr>
          <w:sz w:val="20"/>
        </w:rPr>
        <w:t>la</w:t>
      </w:r>
      <w:r>
        <w:rPr>
          <w:spacing w:val="8"/>
          <w:sz w:val="20"/>
        </w:rPr>
        <w:t xml:space="preserve"> </w:t>
      </w:r>
      <w:r>
        <w:rPr>
          <w:sz w:val="20"/>
        </w:rPr>
        <w:t>presente</w:t>
      </w:r>
      <w:r>
        <w:rPr>
          <w:spacing w:val="7"/>
          <w:sz w:val="20"/>
        </w:rPr>
        <w:t xml:space="preserve"> </w:t>
      </w:r>
      <w:r>
        <w:rPr>
          <w:sz w:val="20"/>
        </w:rPr>
        <w:t>Sentencia,</w:t>
      </w:r>
      <w:r>
        <w:rPr>
          <w:spacing w:val="7"/>
          <w:sz w:val="20"/>
        </w:rPr>
        <w:t xml:space="preserve"> </w:t>
      </w:r>
      <w:r>
        <w:rPr>
          <w:sz w:val="20"/>
        </w:rPr>
        <w:t>si</w:t>
      </w:r>
      <w:r>
        <w:rPr>
          <w:spacing w:val="9"/>
          <w:sz w:val="20"/>
        </w:rPr>
        <w:t xml:space="preserve"> </w:t>
      </w:r>
      <w:r>
        <w:rPr>
          <w:sz w:val="20"/>
        </w:rPr>
        <w:t>así</w:t>
      </w:r>
      <w:r>
        <w:rPr>
          <w:spacing w:val="11"/>
          <w:sz w:val="20"/>
        </w:rPr>
        <w:t xml:space="preserve"> </w:t>
      </w:r>
      <w:r>
        <w:rPr>
          <w:sz w:val="20"/>
        </w:rPr>
        <w:t>lo</w:t>
      </w:r>
      <w:r>
        <w:rPr>
          <w:spacing w:val="7"/>
          <w:sz w:val="20"/>
        </w:rPr>
        <w:t xml:space="preserve"> </w:t>
      </w:r>
      <w:r>
        <w:rPr>
          <w:sz w:val="20"/>
        </w:rPr>
        <w:t>desean,</w:t>
      </w:r>
      <w:r>
        <w:rPr>
          <w:spacing w:val="10"/>
          <w:sz w:val="20"/>
        </w:rPr>
        <w:t xml:space="preserve"> </w:t>
      </w:r>
      <w:r>
        <w:rPr>
          <w:sz w:val="20"/>
        </w:rPr>
        <w:t>e</w:t>
      </w:r>
      <w:r>
        <w:rPr>
          <w:spacing w:val="7"/>
          <w:sz w:val="20"/>
        </w:rPr>
        <w:t xml:space="preserve"> </w:t>
      </w:r>
      <w:r>
        <w:rPr>
          <w:sz w:val="20"/>
        </w:rPr>
        <w:t>invitar</w:t>
      </w:r>
    </w:p>
    <w:p w14:paraId="59808789" w14:textId="77777777" w:rsidR="00467FCA" w:rsidRDefault="001B68EB">
      <w:pPr>
        <w:pStyle w:val="Textoindependiente"/>
        <w:spacing w:before="8"/>
        <w:rPr>
          <w:sz w:val="21"/>
        </w:rPr>
      </w:pPr>
      <w:r>
        <w:pict w14:anchorId="3F86DF08">
          <v:shape id="_x0000_s1125" style="position:absolute;margin-left:1in;margin-top:15.4pt;width:2in;height:.1pt;z-index:-251585536;mso-wrap-distance-left:0;mso-wrap-distance-right:0;mso-position-horizontal-relative:page" coordorigin="1440,308" coordsize="2880,0" path="m1440,308r2880,e" filled="f" strokeweight=".6pt">
            <v:path arrowok="t"/>
            <w10:wrap type="topAndBottom" anchorx="page"/>
          </v:shape>
        </w:pict>
      </w:r>
    </w:p>
    <w:p w14:paraId="32DC674A" w14:textId="77777777" w:rsidR="00467FCA" w:rsidRDefault="001B68EB">
      <w:pPr>
        <w:tabs>
          <w:tab w:val="left" w:pos="839"/>
        </w:tabs>
        <w:spacing w:before="74"/>
        <w:ind w:left="119" w:right="116"/>
        <w:rPr>
          <w:sz w:val="16"/>
        </w:rPr>
      </w:pPr>
      <w:bookmarkStart w:id="494" w:name="_bookmark428"/>
      <w:bookmarkEnd w:id="494"/>
      <w:r>
        <w:rPr>
          <w:position w:val="6"/>
          <w:sz w:val="10"/>
        </w:rPr>
        <w:t>359</w:t>
      </w:r>
      <w:r>
        <w:rPr>
          <w:position w:val="6"/>
          <w:sz w:val="10"/>
        </w:rPr>
        <w:tab/>
      </w:r>
      <w:r>
        <w:rPr>
          <w:i/>
          <w:sz w:val="16"/>
        </w:rPr>
        <w:t xml:space="preserve">Cfr. Caso Cantoral Benavides Vs. Perú. Reparaciones y Costas. </w:t>
      </w:r>
      <w:r>
        <w:rPr>
          <w:sz w:val="16"/>
        </w:rPr>
        <w:t>Sentencia de 3 de diciembre de 2001.</w:t>
      </w:r>
      <w:r>
        <w:rPr>
          <w:spacing w:val="-36"/>
          <w:sz w:val="16"/>
        </w:rPr>
        <w:t xml:space="preserve"> </w:t>
      </w:r>
      <w:r>
        <w:rPr>
          <w:sz w:val="16"/>
        </w:rPr>
        <w:t xml:space="preserve">Serie C No. 88, párr. 79, y </w:t>
      </w:r>
      <w:r>
        <w:rPr>
          <w:i/>
          <w:sz w:val="16"/>
        </w:rPr>
        <w:t>Caso Roche Azaña y otros Vs. Nicaragua, supra</w:t>
      </w:r>
      <w:r>
        <w:rPr>
          <w:sz w:val="16"/>
        </w:rPr>
        <w:t>, párr.</w:t>
      </w:r>
      <w:r>
        <w:rPr>
          <w:spacing w:val="-18"/>
          <w:sz w:val="16"/>
        </w:rPr>
        <w:t xml:space="preserve"> </w:t>
      </w:r>
      <w:r>
        <w:rPr>
          <w:sz w:val="16"/>
        </w:rPr>
        <w:t>118.</w:t>
      </w:r>
    </w:p>
    <w:p w14:paraId="4C735787" w14:textId="77777777" w:rsidR="00467FCA" w:rsidRDefault="00467FCA">
      <w:pPr>
        <w:rPr>
          <w:sz w:val="16"/>
        </w:rPr>
        <w:sectPr w:rsidR="00467FCA">
          <w:pgSz w:w="12240" w:h="15840"/>
          <w:pgMar w:top="1360" w:right="1320" w:bottom="1220" w:left="1320" w:header="0" w:footer="957" w:gutter="0"/>
          <w:cols w:space="720"/>
        </w:sectPr>
      </w:pPr>
    </w:p>
    <w:p w14:paraId="7FF1A11E" w14:textId="77777777" w:rsidR="00467FCA" w:rsidRDefault="001B68EB">
      <w:pPr>
        <w:pStyle w:val="Textoindependiente"/>
        <w:spacing w:before="80"/>
        <w:ind w:left="120" w:right="118"/>
        <w:jc w:val="both"/>
      </w:pPr>
      <w:r>
        <w:t>al evento a las organizaciones que los representaron en las instancias nacionales e internacionales. La realización y demás particularidades de dicha ceremo</w:t>
      </w:r>
      <w:r>
        <w:t>nia pública deben consultarse previa y debidamente con las víctimas y sus representantes. Las autoridades estatales que deberán estar presentes o participar en dicho acto deberán ser altos funcionarios del estado de Bahia, así como del Gobierno Federal. Es</w:t>
      </w:r>
      <w:r>
        <w:t>te evento deberá ser difundido por los canales públicos de radio y televisión. Corresponderá al Gobierno local y Federal definir a quiénes se encomienda tal tarea. Para cumplir con esta obligación el Estado cuenta con un plazo de dos años a partir de la no</w:t>
      </w:r>
      <w:r>
        <w:t>tificación de la presente Sentencia.</w:t>
      </w:r>
    </w:p>
    <w:p w14:paraId="73BEFC3F" w14:textId="77777777" w:rsidR="00467FCA" w:rsidRDefault="00467FCA">
      <w:pPr>
        <w:pStyle w:val="Textoindependiente"/>
        <w:spacing w:before="11"/>
        <w:rPr>
          <w:sz w:val="19"/>
        </w:rPr>
      </w:pPr>
    </w:p>
    <w:p w14:paraId="00E002F0" w14:textId="77777777" w:rsidR="00467FCA" w:rsidRDefault="001B68EB">
      <w:pPr>
        <w:pStyle w:val="Ttulo1"/>
        <w:numPr>
          <w:ilvl w:val="0"/>
          <w:numId w:val="37"/>
        </w:numPr>
        <w:tabs>
          <w:tab w:val="left" w:pos="840"/>
        </w:tabs>
        <w:ind w:left="839"/>
      </w:pPr>
      <w:bookmarkStart w:id="495" w:name="E._Garantías_de_no_repetición"/>
      <w:bookmarkStart w:id="496" w:name="_bookmark429"/>
      <w:bookmarkEnd w:id="495"/>
      <w:bookmarkEnd w:id="496"/>
      <w:r>
        <w:t>Garantías de no repetición</w:t>
      </w:r>
    </w:p>
    <w:p w14:paraId="2CDD6304" w14:textId="77777777" w:rsidR="00467FCA" w:rsidRDefault="00467FCA">
      <w:pPr>
        <w:pStyle w:val="Textoindependiente"/>
        <w:spacing w:before="1"/>
        <w:rPr>
          <w:b/>
        </w:rPr>
      </w:pPr>
    </w:p>
    <w:p w14:paraId="442C6247" w14:textId="77777777" w:rsidR="00467FCA" w:rsidRDefault="001B68EB">
      <w:pPr>
        <w:pStyle w:val="Prrafodelista"/>
        <w:numPr>
          <w:ilvl w:val="0"/>
          <w:numId w:val="38"/>
        </w:numPr>
        <w:tabs>
          <w:tab w:val="left" w:pos="687"/>
        </w:tabs>
        <w:spacing w:before="1"/>
        <w:ind w:right="114" w:firstLine="0"/>
        <w:jc w:val="both"/>
        <w:rPr>
          <w:sz w:val="20"/>
        </w:rPr>
      </w:pPr>
      <w:r>
        <w:rPr>
          <w:sz w:val="20"/>
        </w:rPr>
        <w:t>La</w:t>
      </w:r>
      <w:r>
        <w:rPr>
          <w:spacing w:val="-6"/>
          <w:sz w:val="20"/>
        </w:rPr>
        <w:t xml:space="preserve"> </w:t>
      </w:r>
      <w:r>
        <w:rPr>
          <w:b/>
          <w:i/>
          <w:sz w:val="20"/>
        </w:rPr>
        <w:t>Comisión</w:t>
      </w:r>
      <w:r>
        <w:rPr>
          <w:b/>
          <w:i/>
          <w:spacing w:val="-2"/>
          <w:sz w:val="20"/>
        </w:rPr>
        <w:t xml:space="preserve"> </w:t>
      </w:r>
      <w:r>
        <w:rPr>
          <w:sz w:val="20"/>
        </w:rPr>
        <w:t>solicitó</w:t>
      </w:r>
      <w:r>
        <w:rPr>
          <w:spacing w:val="-5"/>
          <w:sz w:val="20"/>
        </w:rPr>
        <w:t xml:space="preserve"> </w:t>
      </w:r>
      <w:r>
        <w:rPr>
          <w:sz w:val="20"/>
        </w:rPr>
        <w:t>que</w:t>
      </w:r>
      <w:r>
        <w:rPr>
          <w:spacing w:val="-7"/>
          <w:sz w:val="20"/>
        </w:rPr>
        <w:t xml:space="preserve"> </w:t>
      </w:r>
      <w:r>
        <w:rPr>
          <w:sz w:val="20"/>
        </w:rPr>
        <w:t>se</w:t>
      </w:r>
      <w:r>
        <w:rPr>
          <w:spacing w:val="-4"/>
          <w:sz w:val="20"/>
        </w:rPr>
        <w:t xml:space="preserve"> </w:t>
      </w:r>
      <w:r>
        <w:rPr>
          <w:sz w:val="20"/>
        </w:rPr>
        <w:t>adopten</w:t>
      </w:r>
      <w:r>
        <w:rPr>
          <w:spacing w:val="-5"/>
          <w:sz w:val="20"/>
        </w:rPr>
        <w:t xml:space="preserve"> </w:t>
      </w:r>
      <w:r>
        <w:rPr>
          <w:sz w:val="20"/>
        </w:rPr>
        <w:t>las</w:t>
      </w:r>
      <w:r>
        <w:rPr>
          <w:spacing w:val="-6"/>
          <w:sz w:val="20"/>
        </w:rPr>
        <w:t xml:space="preserve"> </w:t>
      </w:r>
      <w:r>
        <w:rPr>
          <w:sz w:val="20"/>
        </w:rPr>
        <w:t>medidas</w:t>
      </w:r>
      <w:r>
        <w:rPr>
          <w:spacing w:val="-6"/>
          <w:sz w:val="20"/>
        </w:rPr>
        <w:t xml:space="preserve"> </w:t>
      </w:r>
      <w:r>
        <w:rPr>
          <w:sz w:val="20"/>
        </w:rPr>
        <w:t>legislativas,</w:t>
      </w:r>
      <w:r>
        <w:rPr>
          <w:spacing w:val="-5"/>
          <w:sz w:val="20"/>
        </w:rPr>
        <w:t xml:space="preserve"> </w:t>
      </w:r>
      <w:r>
        <w:rPr>
          <w:sz w:val="20"/>
        </w:rPr>
        <w:t>administrativas</w:t>
      </w:r>
      <w:r>
        <w:rPr>
          <w:spacing w:val="-6"/>
          <w:sz w:val="20"/>
        </w:rPr>
        <w:t xml:space="preserve"> </w:t>
      </w:r>
      <w:r>
        <w:rPr>
          <w:sz w:val="20"/>
        </w:rPr>
        <w:t>y</w:t>
      </w:r>
      <w:r>
        <w:rPr>
          <w:spacing w:val="-3"/>
          <w:sz w:val="20"/>
        </w:rPr>
        <w:t xml:space="preserve"> </w:t>
      </w:r>
      <w:r>
        <w:rPr>
          <w:sz w:val="20"/>
        </w:rPr>
        <w:t>de</w:t>
      </w:r>
      <w:r>
        <w:rPr>
          <w:spacing w:val="-5"/>
          <w:sz w:val="20"/>
        </w:rPr>
        <w:t xml:space="preserve"> </w:t>
      </w:r>
      <w:r>
        <w:rPr>
          <w:sz w:val="20"/>
        </w:rPr>
        <w:t xml:space="preserve">otra índole para evitar que en el futuro se produzcan hechos similares. En particular, las medidas necesarias y sostenibles para ofrecer posibilidades laborales en la zona, distintas a las analizadas en este caso. También solicitó que se adopten todas las </w:t>
      </w:r>
      <w:r>
        <w:rPr>
          <w:sz w:val="20"/>
        </w:rPr>
        <w:t>medidas necesarias para prevenir, erradicar y sancionar el trabajo infantil y que se fortalezcan las instituciones para asegurar que cumplan debidamente con su obligación de fiscalización e inspección de empresas</w:t>
      </w:r>
      <w:r>
        <w:rPr>
          <w:spacing w:val="-17"/>
          <w:sz w:val="20"/>
        </w:rPr>
        <w:t xml:space="preserve"> </w:t>
      </w:r>
      <w:r>
        <w:rPr>
          <w:sz w:val="20"/>
        </w:rPr>
        <w:t>que</w:t>
      </w:r>
      <w:r>
        <w:rPr>
          <w:spacing w:val="-15"/>
          <w:sz w:val="20"/>
        </w:rPr>
        <w:t xml:space="preserve"> </w:t>
      </w:r>
      <w:r>
        <w:rPr>
          <w:sz w:val="20"/>
        </w:rPr>
        <w:t>realizan</w:t>
      </w:r>
      <w:r>
        <w:rPr>
          <w:spacing w:val="-15"/>
          <w:sz w:val="20"/>
        </w:rPr>
        <w:t xml:space="preserve"> </w:t>
      </w:r>
      <w:r>
        <w:rPr>
          <w:sz w:val="20"/>
        </w:rPr>
        <w:t>actividades</w:t>
      </w:r>
      <w:r>
        <w:rPr>
          <w:spacing w:val="-14"/>
          <w:sz w:val="20"/>
        </w:rPr>
        <w:t xml:space="preserve"> </w:t>
      </w:r>
      <w:r>
        <w:rPr>
          <w:sz w:val="20"/>
        </w:rPr>
        <w:t>peligrosas.</w:t>
      </w:r>
      <w:r>
        <w:rPr>
          <w:spacing w:val="-14"/>
          <w:sz w:val="20"/>
        </w:rPr>
        <w:t xml:space="preserve"> </w:t>
      </w:r>
      <w:r>
        <w:rPr>
          <w:sz w:val="20"/>
        </w:rPr>
        <w:t>Esto</w:t>
      </w:r>
      <w:r>
        <w:rPr>
          <w:spacing w:val="-17"/>
          <w:sz w:val="20"/>
        </w:rPr>
        <w:t xml:space="preserve"> </w:t>
      </w:r>
      <w:r>
        <w:rPr>
          <w:sz w:val="20"/>
        </w:rPr>
        <w:t>i</w:t>
      </w:r>
      <w:r>
        <w:rPr>
          <w:sz w:val="20"/>
        </w:rPr>
        <w:t>mplica</w:t>
      </w:r>
      <w:r>
        <w:rPr>
          <w:spacing w:val="-13"/>
          <w:sz w:val="20"/>
        </w:rPr>
        <w:t xml:space="preserve"> </w:t>
      </w:r>
      <w:r>
        <w:rPr>
          <w:sz w:val="20"/>
        </w:rPr>
        <w:t>contar</w:t>
      </w:r>
      <w:r>
        <w:rPr>
          <w:spacing w:val="-17"/>
          <w:sz w:val="20"/>
        </w:rPr>
        <w:t xml:space="preserve"> </w:t>
      </w:r>
      <w:r>
        <w:rPr>
          <w:sz w:val="20"/>
        </w:rPr>
        <w:t>con</w:t>
      </w:r>
      <w:r>
        <w:rPr>
          <w:spacing w:val="-15"/>
          <w:sz w:val="20"/>
        </w:rPr>
        <w:t xml:space="preserve"> </w:t>
      </w:r>
      <w:r>
        <w:rPr>
          <w:sz w:val="20"/>
        </w:rPr>
        <w:t>mecanismos</w:t>
      </w:r>
      <w:r>
        <w:rPr>
          <w:spacing w:val="-17"/>
          <w:sz w:val="20"/>
        </w:rPr>
        <w:t xml:space="preserve"> </w:t>
      </w:r>
      <w:r>
        <w:rPr>
          <w:sz w:val="20"/>
        </w:rPr>
        <w:t>adecuados de rendición de cuentas frente a autoridades que omitan el cumplimiento de dichas obligaciones.</w:t>
      </w:r>
    </w:p>
    <w:p w14:paraId="75C30A41" w14:textId="77777777" w:rsidR="00467FCA" w:rsidRDefault="00467FCA">
      <w:pPr>
        <w:pStyle w:val="Textoindependiente"/>
      </w:pPr>
    </w:p>
    <w:p w14:paraId="566D5AA5" w14:textId="77777777" w:rsidR="00467FCA" w:rsidRDefault="001B68EB">
      <w:pPr>
        <w:pStyle w:val="Prrafodelista"/>
        <w:numPr>
          <w:ilvl w:val="0"/>
          <w:numId w:val="38"/>
        </w:numPr>
        <w:tabs>
          <w:tab w:val="left" w:pos="687"/>
        </w:tabs>
        <w:spacing w:line="243" w:lineRule="exact"/>
        <w:ind w:left="686" w:hanging="568"/>
        <w:jc w:val="both"/>
        <w:rPr>
          <w:sz w:val="20"/>
        </w:rPr>
      </w:pPr>
      <w:r>
        <w:rPr>
          <w:sz w:val="20"/>
        </w:rPr>
        <w:t>Los</w:t>
      </w:r>
      <w:r>
        <w:rPr>
          <w:spacing w:val="-12"/>
          <w:sz w:val="20"/>
        </w:rPr>
        <w:t xml:space="preserve"> </w:t>
      </w:r>
      <w:r>
        <w:rPr>
          <w:b/>
          <w:i/>
          <w:sz w:val="20"/>
        </w:rPr>
        <w:t>representantes</w:t>
      </w:r>
      <w:r>
        <w:rPr>
          <w:b/>
          <w:i/>
          <w:spacing w:val="-10"/>
          <w:sz w:val="20"/>
        </w:rPr>
        <w:t xml:space="preserve"> </w:t>
      </w:r>
      <w:r>
        <w:rPr>
          <w:sz w:val="20"/>
        </w:rPr>
        <w:t>solicitaron</w:t>
      </w:r>
      <w:r>
        <w:rPr>
          <w:spacing w:val="-12"/>
          <w:sz w:val="20"/>
        </w:rPr>
        <w:t xml:space="preserve"> </w:t>
      </w:r>
      <w:r>
        <w:rPr>
          <w:sz w:val="20"/>
        </w:rPr>
        <w:t>que</w:t>
      </w:r>
      <w:r>
        <w:rPr>
          <w:spacing w:val="-12"/>
          <w:sz w:val="20"/>
        </w:rPr>
        <w:t xml:space="preserve"> </w:t>
      </w:r>
      <w:r>
        <w:rPr>
          <w:sz w:val="20"/>
        </w:rPr>
        <w:t>el</w:t>
      </w:r>
      <w:r>
        <w:rPr>
          <w:spacing w:val="-12"/>
          <w:sz w:val="20"/>
        </w:rPr>
        <w:t xml:space="preserve"> </w:t>
      </w:r>
      <w:r>
        <w:rPr>
          <w:sz w:val="20"/>
        </w:rPr>
        <w:t>Estado</w:t>
      </w:r>
      <w:r>
        <w:rPr>
          <w:spacing w:val="-12"/>
          <w:sz w:val="20"/>
        </w:rPr>
        <w:t xml:space="preserve"> </w:t>
      </w:r>
      <w:r>
        <w:rPr>
          <w:sz w:val="20"/>
        </w:rPr>
        <w:t>promueva,</w:t>
      </w:r>
      <w:r>
        <w:rPr>
          <w:spacing w:val="-11"/>
          <w:sz w:val="20"/>
        </w:rPr>
        <w:t xml:space="preserve"> </w:t>
      </w:r>
      <w:r>
        <w:rPr>
          <w:sz w:val="20"/>
        </w:rPr>
        <w:t>en</w:t>
      </w:r>
      <w:r>
        <w:rPr>
          <w:spacing w:val="-13"/>
          <w:sz w:val="20"/>
        </w:rPr>
        <w:t xml:space="preserve"> </w:t>
      </w:r>
      <w:r>
        <w:rPr>
          <w:sz w:val="20"/>
        </w:rPr>
        <w:t>conjunto</w:t>
      </w:r>
      <w:r>
        <w:rPr>
          <w:spacing w:val="-14"/>
          <w:sz w:val="20"/>
        </w:rPr>
        <w:t xml:space="preserve"> </w:t>
      </w:r>
      <w:r>
        <w:rPr>
          <w:sz w:val="20"/>
        </w:rPr>
        <w:t>con</w:t>
      </w:r>
      <w:r>
        <w:rPr>
          <w:spacing w:val="-13"/>
          <w:sz w:val="20"/>
        </w:rPr>
        <w:t xml:space="preserve"> </w:t>
      </w:r>
      <w:r>
        <w:rPr>
          <w:sz w:val="20"/>
        </w:rPr>
        <w:t>el</w:t>
      </w:r>
      <w:r>
        <w:rPr>
          <w:spacing w:val="-12"/>
          <w:sz w:val="20"/>
        </w:rPr>
        <w:t xml:space="preserve"> </w:t>
      </w:r>
      <w:r>
        <w:rPr>
          <w:sz w:val="20"/>
        </w:rPr>
        <w:t>Movimento</w:t>
      </w:r>
    </w:p>
    <w:p w14:paraId="3C3B4FAC" w14:textId="77777777" w:rsidR="00467FCA" w:rsidRDefault="001B68EB">
      <w:pPr>
        <w:pStyle w:val="Textoindependiente"/>
        <w:ind w:left="119" w:right="117"/>
        <w:jc w:val="both"/>
      </w:pPr>
      <w:r>
        <w:t>11 de Dezembro, la elaboración de un</w:t>
      </w:r>
      <w:r>
        <w:t xml:space="preserve"> proyecto socioeconómico para la inserción de trabajadores</w:t>
      </w:r>
      <w:r>
        <w:rPr>
          <w:spacing w:val="-10"/>
        </w:rPr>
        <w:t xml:space="preserve"> </w:t>
      </w:r>
      <w:r>
        <w:t>dedicados</w:t>
      </w:r>
      <w:r>
        <w:rPr>
          <w:spacing w:val="-7"/>
        </w:rPr>
        <w:t xml:space="preserve"> </w:t>
      </w:r>
      <w:r>
        <w:t>a</w:t>
      </w:r>
      <w:r>
        <w:rPr>
          <w:spacing w:val="-8"/>
        </w:rPr>
        <w:t xml:space="preserve"> </w:t>
      </w:r>
      <w:r>
        <w:t>la</w:t>
      </w:r>
      <w:r>
        <w:rPr>
          <w:spacing w:val="-9"/>
        </w:rPr>
        <w:t xml:space="preserve"> </w:t>
      </w:r>
      <w:r>
        <w:t>fabricación</w:t>
      </w:r>
      <w:r>
        <w:rPr>
          <w:spacing w:val="-8"/>
        </w:rPr>
        <w:t xml:space="preserve"> </w:t>
      </w:r>
      <w:r>
        <w:t>de</w:t>
      </w:r>
      <w:r>
        <w:rPr>
          <w:spacing w:val="-9"/>
        </w:rPr>
        <w:t xml:space="preserve"> </w:t>
      </w:r>
      <w:r>
        <w:t>fuegos</w:t>
      </w:r>
      <w:r>
        <w:rPr>
          <w:spacing w:val="-10"/>
        </w:rPr>
        <w:t xml:space="preserve"> </w:t>
      </w:r>
      <w:r>
        <w:t>artificiales</w:t>
      </w:r>
      <w:r>
        <w:rPr>
          <w:spacing w:val="-6"/>
        </w:rPr>
        <w:t xml:space="preserve"> </w:t>
      </w:r>
      <w:r>
        <w:t>en</w:t>
      </w:r>
      <w:r>
        <w:rPr>
          <w:spacing w:val="-5"/>
        </w:rPr>
        <w:t xml:space="preserve"> </w:t>
      </w:r>
      <w:r>
        <w:t>otros</w:t>
      </w:r>
      <w:r>
        <w:rPr>
          <w:spacing w:val="-10"/>
        </w:rPr>
        <w:t xml:space="preserve"> </w:t>
      </w:r>
      <w:r>
        <w:t>mercados</w:t>
      </w:r>
      <w:r>
        <w:rPr>
          <w:spacing w:val="-9"/>
        </w:rPr>
        <w:t xml:space="preserve"> </w:t>
      </w:r>
      <w:r>
        <w:t>laborales</w:t>
      </w:r>
      <w:r>
        <w:rPr>
          <w:spacing w:val="-10"/>
        </w:rPr>
        <w:t xml:space="preserve"> </w:t>
      </w:r>
      <w:r>
        <w:t>y</w:t>
      </w:r>
      <w:r>
        <w:rPr>
          <w:spacing w:val="-9"/>
        </w:rPr>
        <w:t xml:space="preserve"> </w:t>
      </w:r>
      <w:r>
        <w:t>la formación profesional de jóvenes que están iniciando su ingreso en el mercado de trabajo. Requirieron</w:t>
      </w:r>
      <w:r>
        <w:rPr>
          <w:spacing w:val="-15"/>
        </w:rPr>
        <w:t xml:space="preserve"> </w:t>
      </w:r>
      <w:r>
        <w:t>también</w:t>
      </w:r>
      <w:r>
        <w:rPr>
          <w:spacing w:val="-15"/>
        </w:rPr>
        <w:t xml:space="preserve"> </w:t>
      </w:r>
      <w:r>
        <w:t>el</w:t>
      </w:r>
      <w:r>
        <w:rPr>
          <w:spacing w:val="-15"/>
        </w:rPr>
        <w:t xml:space="preserve"> </w:t>
      </w:r>
      <w:r>
        <w:t>fortalecimiento</w:t>
      </w:r>
      <w:r>
        <w:rPr>
          <w:spacing w:val="-20"/>
        </w:rPr>
        <w:t xml:space="preserve"> </w:t>
      </w:r>
      <w:r>
        <w:t>de</w:t>
      </w:r>
      <w:r>
        <w:rPr>
          <w:spacing w:val="-19"/>
        </w:rPr>
        <w:t xml:space="preserve"> </w:t>
      </w:r>
      <w:r>
        <w:t>las</w:t>
      </w:r>
      <w:r>
        <w:rPr>
          <w:spacing w:val="-19"/>
        </w:rPr>
        <w:t xml:space="preserve"> </w:t>
      </w:r>
      <w:r>
        <w:t>medidas</w:t>
      </w:r>
      <w:r>
        <w:rPr>
          <w:spacing w:val="-18"/>
        </w:rPr>
        <w:t xml:space="preserve"> </w:t>
      </w:r>
      <w:r>
        <w:t>de</w:t>
      </w:r>
      <w:r>
        <w:rPr>
          <w:spacing w:val="-17"/>
        </w:rPr>
        <w:t xml:space="preserve"> </w:t>
      </w:r>
      <w:r>
        <w:t>fiscalización</w:t>
      </w:r>
      <w:r>
        <w:rPr>
          <w:spacing w:val="-16"/>
        </w:rPr>
        <w:t xml:space="preserve"> </w:t>
      </w:r>
      <w:r>
        <w:t>y</w:t>
      </w:r>
      <w:r>
        <w:rPr>
          <w:spacing w:val="-16"/>
        </w:rPr>
        <w:t xml:space="preserve"> </w:t>
      </w:r>
      <w:r>
        <w:t>combate</w:t>
      </w:r>
      <w:r>
        <w:rPr>
          <w:spacing w:val="-17"/>
        </w:rPr>
        <w:t xml:space="preserve"> </w:t>
      </w:r>
      <w:r>
        <w:t>a</w:t>
      </w:r>
      <w:r>
        <w:rPr>
          <w:spacing w:val="-17"/>
        </w:rPr>
        <w:t xml:space="preserve"> </w:t>
      </w:r>
      <w:r>
        <w:t>las</w:t>
      </w:r>
      <w:r>
        <w:rPr>
          <w:spacing w:val="-17"/>
        </w:rPr>
        <w:t xml:space="preserve"> </w:t>
      </w:r>
      <w:r>
        <w:t>fábricas clandestinas</w:t>
      </w:r>
      <w:r>
        <w:rPr>
          <w:spacing w:val="-12"/>
        </w:rPr>
        <w:t xml:space="preserve"> </w:t>
      </w:r>
      <w:r>
        <w:t>de</w:t>
      </w:r>
      <w:r>
        <w:rPr>
          <w:spacing w:val="-12"/>
        </w:rPr>
        <w:t xml:space="preserve"> </w:t>
      </w:r>
      <w:r>
        <w:t>fuegos</w:t>
      </w:r>
      <w:r>
        <w:rPr>
          <w:spacing w:val="-9"/>
        </w:rPr>
        <w:t xml:space="preserve"> </w:t>
      </w:r>
      <w:r>
        <w:t>artificiales</w:t>
      </w:r>
      <w:r>
        <w:rPr>
          <w:spacing w:val="-10"/>
        </w:rPr>
        <w:t xml:space="preserve"> </w:t>
      </w:r>
      <w:r>
        <w:t>en</w:t>
      </w:r>
      <w:r>
        <w:rPr>
          <w:spacing w:val="-10"/>
        </w:rPr>
        <w:t xml:space="preserve"> </w:t>
      </w:r>
      <w:r>
        <w:t>el</w:t>
      </w:r>
      <w:r>
        <w:rPr>
          <w:spacing w:val="-8"/>
        </w:rPr>
        <w:t xml:space="preserve"> </w:t>
      </w:r>
      <w:r>
        <w:t>país.</w:t>
      </w:r>
      <w:r>
        <w:rPr>
          <w:spacing w:val="-9"/>
        </w:rPr>
        <w:t xml:space="preserve"> </w:t>
      </w:r>
      <w:r>
        <w:t>Además,</w:t>
      </w:r>
      <w:r>
        <w:rPr>
          <w:spacing w:val="-8"/>
        </w:rPr>
        <w:t xml:space="preserve"> </w:t>
      </w:r>
      <w:r>
        <w:t>solicitaron</w:t>
      </w:r>
      <w:r>
        <w:rPr>
          <w:spacing w:val="-10"/>
        </w:rPr>
        <w:t xml:space="preserve"> </w:t>
      </w:r>
      <w:r>
        <w:t>que</w:t>
      </w:r>
      <w:r>
        <w:rPr>
          <w:spacing w:val="-10"/>
        </w:rPr>
        <w:t xml:space="preserve"> </w:t>
      </w:r>
      <w:r>
        <w:t>se</w:t>
      </w:r>
      <w:r>
        <w:rPr>
          <w:spacing w:val="-9"/>
        </w:rPr>
        <w:t xml:space="preserve"> </w:t>
      </w:r>
      <w:r>
        <w:t>ordene</w:t>
      </w:r>
      <w:r>
        <w:rPr>
          <w:spacing w:val="-10"/>
        </w:rPr>
        <w:t xml:space="preserve"> </w:t>
      </w:r>
      <w:r>
        <w:t>al</w:t>
      </w:r>
      <w:r>
        <w:rPr>
          <w:spacing w:val="-11"/>
        </w:rPr>
        <w:t xml:space="preserve"> </w:t>
      </w:r>
      <w:r>
        <w:t>Estado</w:t>
      </w:r>
      <w:r>
        <w:rPr>
          <w:spacing w:val="-10"/>
        </w:rPr>
        <w:t xml:space="preserve"> </w:t>
      </w:r>
      <w:r>
        <w:t>que promueva</w:t>
      </w:r>
      <w:r>
        <w:rPr>
          <w:spacing w:val="-6"/>
        </w:rPr>
        <w:t xml:space="preserve"> </w:t>
      </w:r>
      <w:r>
        <w:t>la</w:t>
      </w:r>
      <w:r>
        <w:rPr>
          <w:spacing w:val="-3"/>
        </w:rPr>
        <w:t xml:space="preserve"> </w:t>
      </w:r>
      <w:r>
        <w:t>regulación</w:t>
      </w:r>
      <w:r>
        <w:rPr>
          <w:spacing w:val="-5"/>
        </w:rPr>
        <w:t xml:space="preserve"> </w:t>
      </w:r>
      <w:r>
        <w:t>de</w:t>
      </w:r>
      <w:r>
        <w:rPr>
          <w:spacing w:val="-7"/>
        </w:rPr>
        <w:t xml:space="preserve"> </w:t>
      </w:r>
      <w:r>
        <w:t>la</w:t>
      </w:r>
      <w:r>
        <w:rPr>
          <w:spacing w:val="-5"/>
        </w:rPr>
        <w:t xml:space="preserve"> </w:t>
      </w:r>
      <w:r>
        <w:t>fabricación,</w:t>
      </w:r>
      <w:r>
        <w:rPr>
          <w:spacing w:val="-6"/>
        </w:rPr>
        <w:t xml:space="preserve"> </w:t>
      </w:r>
      <w:r>
        <w:t>el</w:t>
      </w:r>
      <w:r>
        <w:rPr>
          <w:spacing w:val="-4"/>
        </w:rPr>
        <w:t xml:space="preserve"> </w:t>
      </w:r>
      <w:r>
        <w:t>comercio</w:t>
      </w:r>
      <w:r>
        <w:rPr>
          <w:spacing w:val="-7"/>
        </w:rPr>
        <w:t xml:space="preserve"> </w:t>
      </w:r>
      <w:r>
        <w:t>y</w:t>
      </w:r>
      <w:r>
        <w:rPr>
          <w:spacing w:val="-4"/>
        </w:rPr>
        <w:t xml:space="preserve"> </w:t>
      </w:r>
      <w:r>
        <w:t>el</w:t>
      </w:r>
      <w:r>
        <w:rPr>
          <w:spacing w:val="-5"/>
        </w:rPr>
        <w:t xml:space="preserve"> </w:t>
      </w:r>
      <w:r>
        <w:t>uso</w:t>
      </w:r>
      <w:r>
        <w:rPr>
          <w:spacing w:val="-7"/>
        </w:rPr>
        <w:t xml:space="preserve"> </w:t>
      </w:r>
      <w:r>
        <w:t>de</w:t>
      </w:r>
      <w:r>
        <w:rPr>
          <w:spacing w:val="-7"/>
        </w:rPr>
        <w:t xml:space="preserve"> </w:t>
      </w:r>
      <w:r>
        <w:t>fuegos</w:t>
      </w:r>
      <w:r>
        <w:rPr>
          <w:spacing w:val="-5"/>
        </w:rPr>
        <w:t xml:space="preserve"> </w:t>
      </w:r>
      <w:r>
        <w:t>artificiales,</w:t>
      </w:r>
      <w:r>
        <w:rPr>
          <w:spacing w:val="-6"/>
        </w:rPr>
        <w:t xml:space="preserve"> </w:t>
      </w:r>
      <w:r>
        <w:t>para</w:t>
      </w:r>
      <w:r>
        <w:rPr>
          <w:spacing w:val="-5"/>
        </w:rPr>
        <w:t xml:space="preserve"> </w:t>
      </w:r>
      <w:r>
        <w:t>que se definan las normas, los organismos encargados de controlar su cumplimiento y las sanciones que se aplicarán en caso de incumplimiento. Para ello, hicieron referencia a un proyecto de ley</w:t>
      </w:r>
      <w:hyperlink w:anchor="_bookmark430" w:history="1">
        <w:r>
          <w:rPr>
            <w:position w:val="7"/>
            <w:sz w:val="13"/>
          </w:rPr>
          <w:t>360</w:t>
        </w:r>
      </w:hyperlink>
      <w:r>
        <w:t xml:space="preserve">, aprobado por el Senado en </w:t>
      </w:r>
      <w:r>
        <w:t>2017, que se propone a establecer una nueva regulación para la fabricación, el comercio y el uso de fuegos artificiales, revocando la normativa existente. Señalaron que, aunque contenga disposiciones muy genéricas en algunas temáticas relevantes, como la d</w:t>
      </w:r>
      <w:r>
        <w:t>efinición de los organismos de inspección, aporta avances como la prohibición de la exhibición y la venta de fuegos artificiales no certificados fuera</w:t>
      </w:r>
      <w:r>
        <w:rPr>
          <w:spacing w:val="-9"/>
        </w:rPr>
        <w:t xml:space="preserve"> </w:t>
      </w:r>
      <w:r>
        <w:t>de</w:t>
      </w:r>
      <w:r>
        <w:rPr>
          <w:spacing w:val="-12"/>
        </w:rPr>
        <w:t xml:space="preserve"> </w:t>
      </w:r>
      <w:r>
        <w:t>un</w:t>
      </w:r>
      <w:r>
        <w:rPr>
          <w:spacing w:val="-7"/>
        </w:rPr>
        <w:t xml:space="preserve"> </w:t>
      </w:r>
      <w:r>
        <w:t>establecimiento</w:t>
      </w:r>
      <w:r>
        <w:rPr>
          <w:spacing w:val="-11"/>
        </w:rPr>
        <w:t xml:space="preserve"> </w:t>
      </w:r>
      <w:r>
        <w:t>acreditado</w:t>
      </w:r>
      <w:r>
        <w:rPr>
          <w:spacing w:val="-10"/>
        </w:rPr>
        <w:t xml:space="preserve"> </w:t>
      </w:r>
      <w:r>
        <w:t>y</w:t>
      </w:r>
      <w:r>
        <w:rPr>
          <w:spacing w:val="-11"/>
        </w:rPr>
        <w:t xml:space="preserve"> </w:t>
      </w:r>
      <w:r>
        <w:t>de</w:t>
      </w:r>
      <w:r>
        <w:rPr>
          <w:spacing w:val="-11"/>
        </w:rPr>
        <w:t xml:space="preserve"> </w:t>
      </w:r>
      <w:r>
        <w:t>la</w:t>
      </w:r>
      <w:r>
        <w:rPr>
          <w:spacing w:val="-10"/>
        </w:rPr>
        <w:t xml:space="preserve"> </w:t>
      </w:r>
      <w:r>
        <w:t>instalación</w:t>
      </w:r>
      <w:r>
        <w:rPr>
          <w:spacing w:val="-10"/>
        </w:rPr>
        <w:t xml:space="preserve"> </w:t>
      </w:r>
      <w:r>
        <w:t>de</w:t>
      </w:r>
      <w:r>
        <w:rPr>
          <w:spacing w:val="-11"/>
        </w:rPr>
        <w:t xml:space="preserve"> </w:t>
      </w:r>
      <w:r>
        <w:t>una</w:t>
      </w:r>
      <w:r>
        <w:rPr>
          <w:spacing w:val="-10"/>
        </w:rPr>
        <w:t xml:space="preserve"> </w:t>
      </w:r>
      <w:r>
        <w:t>fábrica</w:t>
      </w:r>
      <w:r>
        <w:rPr>
          <w:spacing w:val="-8"/>
        </w:rPr>
        <w:t xml:space="preserve"> </w:t>
      </w:r>
      <w:r>
        <w:t>de</w:t>
      </w:r>
      <w:r>
        <w:rPr>
          <w:spacing w:val="-12"/>
        </w:rPr>
        <w:t xml:space="preserve"> </w:t>
      </w:r>
      <w:r>
        <w:t>fuegos</w:t>
      </w:r>
      <w:r>
        <w:rPr>
          <w:spacing w:val="-9"/>
        </w:rPr>
        <w:t xml:space="preserve"> </w:t>
      </w:r>
      <w:r>
        <w:t>artificiales en zonas urban</w:t>
      </w:r>
      <w:r>
        <w:t>as.</w:t>
      </w:r>
    </w:p>
    <w:p w14:paraId="4A6C4A42" w14:textId="77777777" w:rsidR="00467FCA" w:rsidRDefault="00467FCA">
      <w:pPr>
        <w:pStyle w:val="Textoindependiente"/>
        <w:spacing w:before="1"/>
      </w:pPr>
    </w:p>
    <w:p w14:paraId="37699879" w14:textId="77777777" w:rsidR="00467FCA" w:rsidRDefault="001B68EB">
      <w:pPr>
        <w:pStyle w:val="Prrafodelista"/>
        <w:numPr>
          <w:ilvl w:val="0"/>
          <w:numId w:val="38"/>
        </w:numPr>
        <w:tabs>
          <w:tab w:val="left" w:pos="687"/>
        </w:tabs>
        <w:ind w:right="117" w:firstLine="0"/>
        <w:jc w:val="both"/>
        <w:rPr>
          <w:sz w:val="20"/>
        </w:rPr>
      </w:pPr>
      <w:r>
        <w:rPr>
          <w:sz w:val="20"/>
        </w:rPr>
        <w:t>El</w:t>
      </w:r>
      <w:r>
        <w:rPr>
          <w:spacing w:val="-16"/>
          <w:sz w:val="20"/>
        </w:rPr>
        <w:t xml:space="preserve"> </w:t>
      </w:r>
      <w:r>
        <w:rPr>
          <w:b/>
          <w:i/>
          <w:sz w:val="20"/>
        </w:rPr>
        <w:t>Estado</w:t>
      </w:r>
      <w:r>
        <w:rPr>
          <w:b/>
          <w:i/>
          <w:spacing w:val="-14"/>
          <w:sz w:val="20"/>
        </w:rPr>
        <w:t xml:space="preserve"> </w:t>
      </w:r>
      <w:r>
        <w:rPr>
          <w:sz w:val="20"/>
        </w:rPr>
        <w:t>consideró</w:t>
      </w:r>
      <w:r>
        <w:rPr>
          <w:spacing w:val="-16"/>
          <w:sz w:val="20"/>
        </w:rPr>
        <w:t xml:space="preserve"> </w:t>
      </w:r>
      <w:r>
        <w:rPr>
          <w:sz w:val="20"/>
        </w:rPr>
        <w:t>que</w:t>
      </w:r>
      <w:r>
        <w:rPr>
          <w:spacing w:val="-15"/>
          <w:sz w:val="20"/>
        </w:rPr>
        <w:t xml:space="preserve"> </w:t>
      </w:r>
      <w:r>
        <w:rPr>
          <w:sz w:val="20"/>
        </w:rPr>
        <w:t>no</w:t>
      </w:r>
      <w:r>
        <w:rPr>
          <w:spacing w:val="-16"/>
          <w:sz w:val="20"/>
        </w:rPr>
        <w:t xml:space="preserve"> </w:t>
      </w:r>
      <w:r>
        <w:rPr>
          <w:sz w:val="20"/>
        </w:rPr>
        <w:t>puede</w:t>
      </w:r>
      <w:r>
        <w:rPr>
          <w:spacing w:val="-17"/>
          <w:sz w:val="20"/>
        </w:rPr>
        <w:t xml:space="preserve"> </w:t>
      </w:r>
      <w:r>
        <w:rPr>
          <w:sz w:val="20"/>
        </w:rPr>
        <w:t>ser</w:t>
      </w:r>
      <w:r>
        <w:rPr>
          <w:spacing w:val="-14"/>
          <w:sz w:val="20"/>
        </w:rPr>
        <w:t xml:space="preserve"> </w:t>
      </w:r>
      <w:r>
        <w:rPr>
          <w:sz w:val="20"/>
        </w:rPr>
        <w:t>condenado</w:t>
      </w:r>
      <w:r>
        <w:rPr>
          <w:spacing w:val="-17"/>
          <w:sz w:val="20"/>
        </w:rPr>
        <w:t xml:space="preserve"> </w:t>
      </w:r>
      <w:r>
        <w:rPr>
          <w:sz w:val="20"/>
        </w:rPr>
        <w:t>a</w:t>
      </w:r>
      <w:r>
        <w:rPr>
          <w:spacing w:val="-16"/>
          <w:sz w:val="20"/>
        </w:rPr>
        <w:t xml:space="preserve"> </w:t>
      </w:r>
      <w:r>
        <w:rPr>
          <w:sz w:val="20"/>
        </w:rPr>
        <w:t>la</w:t>
      </w:r>
      <w:r>
        <w:rPr>
          <w:spacing w:val="-15"/>
          <w:sz w:val="20"/>
        </w:rPr>
        <w:t xml:space="preserve"> </w:t>
      </w:r>
      <w:r>
        <w:rPr>
          <w:sz w:val="20"/>
        </w:rPr>
        <w:t>adopción</w:t>
      </w:r>
      <w:r>
        <w:rPr>
          <w:spacing w:val="-15"/>
          <w:sz w:val="20"/>
        </w:rPr>
        <w:t xml:space="preserve"> </w:t>
      </w:r>
      <w:r>
        <w:rPr>
          <w:sz w:val="20"/>
        </w:rPr>
        <w:t>de</w:t>
      </w:r>
      <w:r>
        <w:rPr>
          <w:spacing w:val="-16"/>
          <w:sz w:val="20"/>
        </w:rPr>
        <w:t xml:space="preserve"> </w:t>
      </w:r>
      <w:r>
        <w:rPr>
          <w:sz w:val="20"/>
        </w:rPr>
        <w:t>reformas</w:t>
      </w:r>
      <w:r>
        <w:rPr>
          <w:spacing w:val="-17"/>
          <w:sz w:val="20"/>
        </w:rPr>
        <w:t xml:space="preserve"> </w:t>
      </w:r>
      <w:r>
        <w:rPr>
          <w:sz w:val="20"/>
        </w:rPr>
        <w:t>legislativas, pues</w:t>
      </w:r>
      <w:r>
        <w:rPr>
          <w:spacing w:val="-7"/>
          <w:sz w:val="20"/>
        </w:rPr>
        <w:t xml:space="preserve"> </w:t>
      </w:r>
      <w:r>
        <w:rPr>
          <w:sz w:val="20"/>
        </w:rPr>
        <w:t>el</w:t>
      </w:r>
      <w:r>
        <w:rPr>
          <w:spacing w:val="-3"/>
          <w:sz w:val="20"/>
        </w:rPr>
        <w:t xml:space="preserve"> </w:t>
      </w:r>
      <w:r>
        <w:rPr>
          <w:sz w:val="20"/>
        </w:rPr>
        <w:t>control</w:t>
      </w:r>
      <w:r>
        <w:rPr>
          <w:spacing w:val="-6"/>
          <w:sz w:val="20"/>
        </w:rPr>
        <w:t xml:space="preserve"> </w:t>
      </w:r>
      <w:r>
        <w:rPr>
          <w:sz w:val="20"/>
        </w:rPr>
        <w:t>sobre</w:t>
      </w:r>
      <w:r>
        <w:rPr>
          <w:spacing w:val="-7"/>
          <w:sz w:val="20"/>
        </w:rPr>
        <w:t xml:space="preserve"> </w:t>
      </w:r>
      <w:r>
        <w:rPr>
          <w:sz w:val="20"/>
        </w:rPr>
        <w:t>la</w:t>
      </w:r>
      <w:r>
        <w:rPr>
          <w:spacing w:val="-4"/>
          <w:sz w:val="20"/>
        </w:rPr>
        <w:t xml:space="preserve"> </w:t>
      </w:r>
      <w:r>
        <w:rPr>
          <w:sz w:val="20"/>
        </w:rPr>
        <w:t>fabricación</w:t>
      </w:r>
      <w:r>
        <w:rPr>
          <w:spacing w:val="-4"/>
          <w:sz w:val="20"/>
        </w:rPr>
        <w:t xml:space="preserve"> </w:t>
      </w:r>
      <w:r>
        <w:rPr>
          <w:sz w:val="20"/>
        </w:rPr>
        <w:t>de</w:t>
      </w:r>
      <w:r>
        <w:rPr>
          <w:spacing w:val="-5"/>
          <w:sz w:val="20"/>
        </w:rPr>
        <w:t xml:space="preserve"> </w:t>
      </w:r>
      <w:r>
        <w:rPr>
          <w:sz w:val="20"/>
        </w:rPr>
        <w:t>fuegos</w:t>
      </w:r>
      <w:r>
        <w:rPr>
          <w:spacing w:val="-6"/>
          <w:sz w:val="20"/>
        </w:rPr>
        <w:t xml:space="preserve"> </w:t>
      </w:r>
      <w:r>
        <w:rPr>
          <w:sz w:val="20"/>
        </w:rPr>
        <w:t>artificiales</w:t>
      </w:r>
      <w:r>
        <w:rPr>
          <w:spacing w:val="-6"/>
          <w:sz w:val="20"/>
        </w:rPr>
        <w:t xml:space="preserve"> </w:t>
      </w:r>
      <w:r>
        <w:rPr>
          <w:sz w:val="20"/>
        </w:rPr>
        <w:t>no</w:t>
      </w:r>
      <w:r>
        <w:rPr>
          <w:spacing w:val="-5"/>
          <w:sz w:val="20"/>
        </w:rPr>
        <w:t xml:space="preserve"> </w:t>
      </w:r>
      <w:r>
        <w:rPr>
          <w:sz w:val="20"/>
        </w:rPr>
        <w:t>sólo</w:t>
      </w:r>
      <w:r>
        <w:rPr>
          <w:spacing w:val="-7"/>
          <w:sz w:val="20"/>
        </w:rPr>
        <w:t xml:space="preserve"> </w:t>
      </w:r>
      <w:r>
        <w:rPr>
          <w:sz w:val="20"/>
        </w:rPr>
        <w:t>existe,</w:t>
      </w:r>
      <w:r>
        <w:rPr>
          <w:spacing w:val="-5"/>
          <w:sz w:val="20"/>
        </w:rPr>
        <w:t xml:space="preserve"> </w:t>
      </w:r>
      <w:r>
        <w:rPr>
          <w:sz w:val="20"/>
        </w:rPr>
        <w:t>sino</w:t>
      </w:r>
      <w:r>
        <w:rPr>
          <w:spacing w:val="-6"/>
          <w:sz w:val="20"/>
        </w:rPr>
        <w:t xml:space="preserve"> </w:t>
      </w:r>
      <w:r>
        <w:rPr>
          <w:sz w:val="20"/>
        </w:rPr>
        <w:t>que</w:t>
      </w:r>
      <w:r>
        <w:rPr>
          <w:spacing w:val="-7"/>
          <w:sz w:val="20"/>
        </w:rPr>
        <w:t xml:space="preserve"> </w:t>
      </w:r>
      <w:r>
        <w:rPr>
          <w:sz w:val="20"/>
        </w:rPr>
        <w:t>es</w:t>
      </w:r>
      <w:r>
        <w:rPr>
          <w:spacing w:val="-7"/>
          <w:sz w:val="20"/>
        </w:rPr>
        <w:t xml:space="preserve"> </w:t>
      </w:r>
      <w:r>
        <w:rPr>
          <w:sz w:val="20"/>
        </w:rPr>
        <w:t>robusto</w:t>
      </w:r>
      <w:r>
        <w:rPr>
          <w:spacing w:val="-4"/>
          <w:sz w:val="20"/>
        </w:rPr>
        <w:t xml:space="preserve"> </w:t>
      </w:r>
      <w:r>
        <w:rPr>
          <w:sz w:val="20"/>
        </w:rPr>
        <w:t>y estructurado. Así, la inspección está bien regulada tanto por la ley como por las normas reguladoras, contando con una estructura clara respecto de las atribuciones de cada órgano del Estado y previendo sanciones aplicables en caso de incumplimiento de s</w:t>
      </w:r>
      <w:r>
        <w:rPr>
          <w:sz w:val="20"/>
        </w:rPr>
        <w:t>us disposiciones. Además, la determinación de esta medida por parte de la Corte implicaría el control de convencionalidad abstracto de la legislación</w:t>
      </w:r>
      <w:r>
        <w:rPr>
          <w:spacing w:val="-8"/>
          <w:sz w:val="20"/>
        </w:rPr>
        <w:t xml:space="preserve"> </w:t>
      </w:r>
      <w:r>
        <w:rPr>
          <w:sz w:val="20"/>
        </w:rPr>
        <w:t>brasileña.</w:t>
      </w:r>
    </w:p>
    <w:p w14:paraId="690B3345" w14:textId="77777777" w:rsidR="00467FCA" w:rsidRDefault="00467FCA">
      <w:pPr>
        <w:pStyle w:val="Textoindependiente"/>
        <w:spacing w:before="12"/>
        <w:rPr>
          <w:sz w:val="19"/>
        </w:rPr>
      </w:pPr>
    </w:p>
    <w:p w14:paraId="6DBACBAF" w14:textId="77777777" w:rsidR="00467FCA" w:rsidRDefault="001B68EB">
      <w:pPr>
        <w:pStyle w:val="Prrafodelista"/>
        <w:numPr>
          <w:ilvl w:val="0"/>
          <w:numId w:val="38"/>
        </w:numPr>
        <w:tabs>
          <w:tab w:val="left" w:pos="687"/>
        </w:tabs>
        <w:ind w:right="119" w:firstLine="0"/>
        <w:jc w:val="both"/>
        <w:rPr>
          <w:sz w:val="20"/>
        </w:rPr>
      </w:pPr>
      <w:r>
        <w:rPr>
          <w:sz w:val="20"/>
        </w:rPr>
        <w:t>La Corte recuerda que el Estado debe prevenir la ocurrencia de violaciones a los derechos huma</w:t>
      </w:r>
      <w:r>
        <w:rPr>
          <w:sz w:val="20"/>
        </w:rPr>
        <w:t>nos como las descritas en este caso y, por ello, adoptar todas las medidas legales, administrativas y de otra índole que sean pertinentes para tal</w:t>
      </w:r>
      <w:r>
        <w:rPr>
          <w:spacing w:val="-15"/>
          <w:sz w:val="20"/>
        </w:rPr>
        <w:t xml:space="preserve"> </w:t>
      </w:r>
      <w:r>
        <w:rPr>
          <w:sz w:val="20"/>
        </w:rPr>
        <w:t>efecto</w:t>
      </w:r>
      <w:hyperlink w:anchor="_bookmark431" w:history="1">
        <w:r>
          <w:rPr>
            <w:position w:val="7"/>
            <w:sz w:val="13"/>
          </w:rPr>
          <w:t>361</w:t>
        </w:r>
      </w:hyperlink>
      <w:r>
        <w:rPr>
          <w:sz w:val="20"/>
        </w:rPr>
        <w:t>.</w:t>
      </w:r>
    </w:p>
    <w:p w14:paraId="3224EED0" w14:textId="77777777" w:rsidR="00467FCA" w:rsidRDefault="001B68EB">
      <w:pPr>
        <w:pStyle w:val="Textoindependiente"/>
        <w:spacing w:before="7"/>
        <w:rPr>
          <w:sz w:val="25"/>
        </w:rPr>
      </w:pPr>
      <w:r>
        <w:pict w14:anchorId="34271AD6">
          <v:shape id="_x0000_s1124" style="position:absolute;margin-left:1in;margin-top:17.8pt;width:2in;height:.1pt;z-index:-251584512;mso-wrap-distance-left:0;mso-wrap-distance-right:0;mso-position-horizontal-relative:page" coordorigin="1440,356" coordsize="2880,0" path="m1440,356r2880,e" filled="f" strokeweight=".6pt">
            <v:path arrowok="t"/>
            <w10:wrap type="topAndBottom" anchorx="page"/>
          </v:shape>
        </w:pict>
      </w:r>
    </w:p>
    <w:p w14:paraId="4DEA6D51" w14:textId="77777777" w:rsidR="00467FCA" w:rsidRDefault="001B68EB">
      <w:pPr>
        <w:tabs>
          <w:tab w:val="left" w:pos="839"/>
          <w:tab w:val="left" w:pos="1375"/>
          <w:tab w:val="left" w:pos="2311"/>
          <w:tab w:val="left" w:pos="2745"/>
          <w:tab w:val="left" w:pos="3264"/>
          <w:tab w:val="left" w:pos="3744"/>
          <w:tab w:val="left" w:pos="4581"/>
          <w:tab w:val="left" w:pos="5412"/>
          <w:tab w:val="left" w:pos="5846"/>
          <w:tab w:val="left" w:pos="6533"/>
          <w:tab w:val="left" w:pos="6958"/>
          <w:tab w:val="left" w:pos="8141"/>
          <w:tab w:val="left" w:pos="9214"/>
        </w:tabs>
        <w:spacing w:before="74"/>
        <w:ind w:left="120" w:right="114" w:hanging="1"/>
        <w:rPr>
          <w:sz w:val="16"/>
        </w:rPr>
      </w:pPr>
      <w:bookmarkStart w:id="497" w:name="_bookmark430"/>
      <w:bookmarkEnd w:id="497"/>
      <w:r>
        <w:rPr>
          <w:position w:val="6"/>
          <w:sz w:val="10"/>
        </w:rPr>
        <w:t>360</w:t>
      </w:r>
      <w:r>
        <w:rPr>
          <w:position w:val="6"/>
          <w:sz w:val="10"/>
        </w:rPr>
        <w:tab/>
      </w:r>
      <w:r>
        <w:rPr>
          <w:i/>
          <w:sz w:val="16"/>
        </w:rPr>
        <w:t>Cfr.</w:t>
      </w:r>
      <w:r>
        <w:rPr>
          <w:i/>
          <w:sz w:val="16"/>
        </w:rPr>
        <w:tab/>
      </w:r>
      <w:r>
        <w:rPr>
          <w:sz w:val="16"/>
        </w:rPr>
        <w:t>Proyecto</w:t>
      </w:r>
      <w:r>
        <w:rPr>
          <w:sz w:val="16"/>
        </w:rPr>
        <w:tab/>
        <w:t>de</w:t>
      </w:r>
      <w:r>
        <w:rPr>
          <w:sz w:val="16"/>
        </w:rPr>
        <w:tab/>
        <w:t>Ley</w:t>
      </w:r>
      <w:r>
        <w:rPr>
          <w:sz w:val="16"/>
        </w:rPr>
        <w:tab/>
        <w:t>del</w:t>
      </w:r>
      <w:r>
        <w:rPr>
          <w:sz w:val="16"/>
        </w:rPr>
        <w:tab/>
        <w:t>Senado</w:t>
      </w:r>
      <w:r>
        <w:rPr>
          <w:sz w:val="16"/>
        </w:rPr>
        <w:tab/>
        <w:t>Federal</w:t>
      </w:r>
      <w:r>
        <w:rPr>
          <w:sz w:val="16"/>
        </w:rPr>
        <w:tab/>
        <w:t>de</w:t>
      </w:r>
      <w:r>
        <w:rPr>
          <w:sz w:val="16"/>
        </w:rPr>
        <w:tab/>
        <w:t>Brasil</w:t>
      </w:r>
      <w:r>
        <w:rPr>
          <w:sz w:val="16"/>
        </w:rPr>
        <w:tab/>
        <w:t>PL</w:t>
      </w:r>
      <w:r>
        <w:rPr>
          <w:sz w:val="16"/>
        </w:rPr>
        <w:tab/>
      </w:r>
      <w:r>
        <w:rPr>
          <w:sz w:val="16"/>
        </w:rPr>
        <w:t>7433/2017.</w:t>
      </w:r>
      <w:r>
        <w:rPr>
          <w:sz w:val="16"/>
        </w:rPr>
        <w:tab/>
        <w:t>Disponible</w:t>
      </w:r>
      <w:r>
        <w:rPr>
          <w:sz w:val="16"/>
        </w:rPr>
        <w:tab/>
      </w:r>
      <w:r>
        <w:rPr>
          <w:spacing w:val="-7"/>
          <w:sz w:val="16"/>
        </w:rPr>
        <w:t xml:space="preserve">en: </w:t>
      </w:r>
      <w:hyperlink r:id="rId34">
        <w:r>
          <w:rPr>
            <w:sz w:val="16"/>
            <w:u w:val="single"/>
          </w:rPr>
          <w:t>https://www.camara.leg.br/proposicoesWeb/fichadetramitacao?idProposicao=2129817</w:t>
        </w:r>
      </w:hyperlink>
      <w:r>
        <w:rPr>
          <w:sz w:val="16"/>
        </w:rPr>
        <w:t>.</w:t>
      </w:r>
    </w:p>
    <w:p w14:paraId="35708867" w14:textId="77777777" w:rsidR="00467FCA" w:rsidRDefault="001B68EB">
      <w:pPr>
        <w:tabs>
          <w:tab w:val="left" w:pos="839"/>
        </w:tabs>
        <w:ind w:left="120"/>
        <w:rPr>
          <w:i/>
          <w:sz w:val="16"/>
        </w:rPr>
      </w:pPr>
      <w:bookmarkStart w:id="498" w:name="_bookmark431"/>
      <w:bookmarkEnd w:id="498"/>
      <w:r>
        <w:rPr>
          <w:position w:val="6"/>
          <w:sz w:val="10"/>
        </w:rPr>
        <w:t>361</w:t>
      </w:r>
      <w:r>
        <w:rPr>
          <w:position w:val="6"/>
          <w:sz w:val="10"/>
        </w:rPr>
        <w:tab/>
      </w:r>
      <w:r>
        <w:rPr>
          <w:i/>
          <w:sz w:val="16"/>
        </w:rPr>
        <w:t>Cfr.</w:t>
      </w:r>
      <w:r>
        <w:rPr>
          <w:i/>
          <w:spacing w:val="21"/>
          <w:sz w:val="16"/>
        </w:rPr>
        <w:t xml:space="preserve"> </w:t>
      </w:r>
      <w:r>
        <w:rPr>
          <w:i/>
          <w:sz w:val="16"/>
        </w:rPr>
        <w:t>Caso</w:t>
      </w:r>
      <w:r>
        <w:rPr>
          <w:i/>
          <w:spacing w:val="22"/>
          <w:sz w:val="16"/>
        </w:rPr>
        <w:t xml:space="preserve"> </w:t>
      </w:r>
      <w:r>
        <w:rPr>
          <w:i/>
          <w:sz w:val="16"/>
        </w:rPr>
        <w:t>Suárez</w:t>
      </w:r>
      <w:r>
        <w:rPr>
          <w:i/>
          <w:spacing w:val="22"/>
          <w:sz w:val="16"/>
        </w:rPr>
        <w:t xml:space="preserve"> </w:t>
      </w:r>
      <w:r>
        <w:rPr>
          <w:i/>
          <w:sz w:val="16"/>
        </w:rPr>
        <w:t>Rosero</w:t>
      </w:r>
      <w:r>
        <w:rPr>
          <w:i/>
          <w:spacing w:val="22"/>
          <w:sz w:val="16"/>
        </w:rPr>
        <w:t xml:space="preserve"> </w:t>
      </w:r>
      <w:r>
        <w:rPr>
          <w:i/>
          <w:sz w:val="16"/>
        </w:rPr>
        <w:t>Vs.</w:t>
      </w:r>
      <w:r>
        <w:rPr>
          <w:i/>
          <w:spacing w:val="18"/>
          <w:sz w:val="16"/>
        </w:rPr>
        <w:t xml:space="preserve"> </w:t>
      </w:r>
      <w:r>
        <w:rPr>
          <w:i/>
          <w:sz w:val="16"/>
        </w:rPr>
        <w:t>Ecuador.</w:t>
      </w:r>
      <w:r>
        <w:rPr>
          <w:i/>
          <w:spacing w:val="19"/>
          <w:sz w:val="16"/>
        </w:rPr>
        <w:t xml:space="preserve"> </w:t>
      </w:r>
      <w:r>
        <w:rPr>
          <w:i/>
          <w:sz w:val="16"/>
        </w:rPr>
        <w:t>Fondo</w:t>
      </w:r>
      <w:r>
        <w:rPr>
          <w:sz w:val="16"/>
        </w:rPr>
        <w:t>,</w:t>
      </w:r>
      <w:r>
        <w:rPr>
          <w:spacing w:val="21"/>
          <w:sz w:val="16"/>
        </w:rPr>
        <w:t xml:space="preserve"> </w:t>
      </w:r>
      <w:r>
        <w:rPr>
          <w:i/>
          <w:sz w:val="16"/>
        </w:rPr>
        <w:t>supra</w:t>
      </w:r>
      <w:r>
        <w:rPr>
          <w:sz w:val="16"/>
        </w:rPr>
        <w:t>,</w:t>
      </w:r>
      <w:r>
        <w:rPr>
          <w:spacing w:val="21"/>
          <w:sz w:val="16"/>
        </w:rPr>
        <w:t xml:space="preserve"> </w:t>
      </w:r>
      <w:r>
        <w:rPr>
          <w:sz w:val="16"/>
        </w:rPr>
        <w:t>párr.</w:t>
      </w:r>
      <w:r>
        <w:rPr>
          <w:spacing w:val="19"/>
          <w:sz w:val="16"/>
        </w:rPr>
        <w:t xml:space="preserve"> </w:t>
      </w:r>
      <w:r>
        <w:rPr>
          <w:sz w:val="16"/>
        </w:rPr>
        <w:t>106,</w:t>
      </w:r>
      <w:r>
        <w:rPr>
          <w:spacing w:val="21"/>
          <w:sz w:val="16"/>
        </w:rPr>
        <w:t xml:space="preserve"> </w:t>
      </w:r>
      <w:r>
        <w:rPr>
          <w:sz w:val="16"/>
        </w:rPr>
        <w:t>y</w:t>
      </w:r>
      <w:r>
        <w:rPr>
          <w:spacing w:val="21"/>
          <w:sz w:val="16"/>
        </w:rPr>
        <w:t xml:space="preserve"> </w:t>
      </w:r>
      <w:r>
        <w:rPr>
          <w:i/>
          <w:sz w:val="16"/>
        </w:rPr>
        <w:t>Caso</w:t>
      </w:r>
      <w:r>
        <w:rPr>
          <w:i/>
          <w:spacing w:val="22"/>
          <w:sz w:val="16"/>
        </w:rPr>
        <w:t xml:space="preserve"> </w:t>
      </w:r>
      <w:r>
        <w:rPr>
          <w:i/>
          <w:sz w:val="16"/>
        </w:rPr>
        <w:t>Quispialaya</w:t>
      </w:r>
      <w:r>
        <w:rPr>
          <w:i/>
          <w:spacing w:val="18"/>
          <w:sz w:val="16"/>
        </w:rPr>
        <w:t xml:space="preserve"> </w:t>
      </w:r>
      <w:r>
        <w:rPr>
          <w:i/>
          <w:sz w:val="16"/>
        </w:rPr>
        <w:t>Vilcapoma</w:t>
      </w:r>
      <w:r>
        <w:rPr>
          <w:i/>
          <w:spacing w:val="19"/>
          <w:sz w:val="16"/>
        </w:rPr>
        <w:t xml:space="preserve"> </w:t>
      </w:r>
      <w:r>
        <w:rPr>
          <w:i/>
          <w:sz w:val="16"/>
        </w:rPr>
        <w:t>Vs.</w:t>
      </w:r>
      <w:r>
        <w:rPr>
          <w:i/>
          <w:spacing w:val="21"/>
          <w:sz w:val="16"/>
        </w:rPr>
        <w:t xml:space="preserve"> </w:t>
      </w:r>
      <w:r>
        <w:rPr>
          <w:i/>
          <w:sz w:val="16"/>
        </w:rPr>
        <w:t>Perú.</w:t>
      </w:r>
    </w:p>
    <w:p w14:paraId="392DB84D" w14:textId="77777777" w:rsidR="00467FCA" w:rsidRDefault="00467FCA">
      <w:pPr>
        <w:rPr>
          <w:sz w:val="16"/>
        </w:rPr>
        <w:sectPr w:rsidR="00467FCA">
          <w:pgSz w:w="12240" w:h="15840"/>
          <w:pgMar w:top="1360" w:right="1320" w:bottom="1220" w:left="1320" w:header="0" w:footer="957" w:gutter="0"/>
          <w:cols w:space="720"/>
        </w:sectPr>
      </w:pPr>
    </w:p>
    <w:p w14:paraId="2A04367E" w14:textId="77777777" w:rsidR="00467FCA" w:rsidRDefault="001B68EB">
      <w:pPr>
        <w:pStyle w:val="Prrafodelista"/>
        <w:numPr>
          <w:ilvl w:val="0"/>
          <w:numId w:val="38"/>
        </w:numPr>
        <w:tabs>
          <w:tab w:val="left" w:pos="687"/>
        </w:tabs>
        <w:spacing w:before="183"/>
        <w:ind w:left="120" w:right="119" w:firstLine="0"/>
        <w:jc w:val="both"/>
        <w:rPr>
          <w:sz w:val="20"/>
        </w:rPr>
      </w:pPr>
      <w:r>
        <w:rPr>
          <w:sz w:val="20"/>
        </w:rPr>
        <w:t>Este Tribunal valora los avances alcanzados por el Estado en la reglamentación de la fabricación de fuegos artificiales</w:t>
      </w:r>
      <w:hyperlink w:anchor="_bookmark432" w:history="1">
        <w:r>
          <w:rPr>
            <w:position w:val="7"/>
            <w:sz w:val="13"/>
          </w:rPr>
          <w:t xml:space="preserve">362 </w:t>
        </w:r>
      </w:hyperlink>
      <w:r>
        <w:rPr>
          <w:sz w:val="20"/>
        </w:rPr>
        <w:t>y en la protección norm</w:t>
      </w:r>
      <w:r>
        <w:rPr>
          <w:sz w:val="20"/>
        </w:rPr>
        <w:t>ativa de los derechos laborales</w:t>
      </w:r>
      <w:hyperlink w:anchor="_bookmark433" w:history="1">
        <w:r>
          <w:rPr>
            <w:position w:val="7"/>
            <w:sz w:val="13"/>
          </w:rPr>
          <w:t>363</w:t>
        </w:r>
      </w:hyperlink>
      <w:r>
        <w:rPr>
          <w:sz w:val="20"/>
        </w:rPr>
        <w:t>. Sin embargo, la Corte hace notar que no consta en los escritos y pruebas presentados, ni en las declaraciones o los alegatos orales hechos en la Audiencia Pública, que el Estado haya logra</w:t>
      </w:r>
      <w:r>
        <w:rPr>
          <w:sz w:val="20"/>
        </w:rPr>
        <w:t>do</w:t>
      </w:r>
      <w:r>
        <w:rPr>
          <w:spacing w:val="-20"/>
          <w:sz w:val="20"/>
        </w:rPr>
        <w:t xml:space="preserve"> </w:t>
      </w:r>
      <w:r>
        <w:rPr>
          <w:sz w:val="20"/>
        </w:rPr>
        <w:t>implementar</w:t>
      </w:r>
      <w:r>
        <w:rPr>
          <w:spacing w:val="-19"/>
          <w:sz w:val="20"/>
        </w:rPr>
        <w:t xml:space="preserve"> </w:t>
      </w:r>
      <w:r>
        <w:rPr>
          <w:sz w:val="20"/>
        </w:rPr>
        <w:t>medidas</w:t>
      </w:r>
      <w:r>
        <w:rPr>
          <w:spacing w:val="-18"/>
          <w:sz w:val="20"/>
        </w:rPr>
        <w:t xml:space="preserve"> </w:t>
      </w:r>
      <w:r>
        <w:rPr>
          <w:sz w:val="20"/>
        </w:rPr>
        <w:t>para</w:t>
      </w:r>
      <w:r>
        <w:rPr>
          <w:spacing w:val="-18"/>
          <w:sz w:val="20"/>
        </w:rPr>
        <w:t xml:space="preserve"> </w:t>
      </w:r>
      <w:r>
        <w:rPr>
          <w:sz w:val="20"/>
        </w:rPr>
        <w:t>asegurar</w:t>
      </w:r>
      <w:r>
        <w:rPr>
          <w:spacing w:val="-16"/>
          <w:sz w:val="20"/>
        </w:rPr>
        <w:t xml:space="preserve"> </w:t>
      </w:r>
      <w:r>
        <w:rPr>
          <w:sz w:val="20"/>
        </w:rPr>
        <w:t>que,</w:t>
      </w:r>
      <w:r>
        <w:rPr>
          <w:spacing w:val="-16"/>
          <w:sz w:val="20"/>
        </w:rPr>
        <w:t xml:space="preserve"> </w:t>
      </w:r>
      <w:r>
        <w:rPr>
          <w:sz w:val="20"/>
        </w:rPr>
        <w:t>en</w:t>
      </w:r>
      <w:r>
        <w:rPr>
          <w:spacing w:val="-17"/>
          <w:sz w:val="20"/>
        </w:rPr>
        <w:t xml:space="preserve"> </w:t>
      </w:r>
      <w:r>
        <w:rPr>
          <w:sz w:val="20"/>
        </w:rPr>
        <w:t>la</w:t>
      </w:r>
      <w:r>
        <w:rPr>
          <w:spacing w:val="-15"/>
          <w:sz w:val="20"/>
        </w:rPr>
        <w:t xml:space="preserve"> </w:t>
      </w:r>
      <w:r>
        <w:rPr>
          <w:sz w:val="20"/>
        </w:rPr>
        <w:t>práctica,</w:t>
      </w:r>
      <w:r>
        <w:rPr>
          <w:spacing w:val="-16"/>
          <w:sz w:val="20"/>
        </w:rPr>
        <w:t xml:space="preserve"> </w:t>
      </w:r>
      <w:r>
        <w:rPr>
          <w:sz w:val="20"/>
        </w:rPr>
        <w:t>se</w:t>
      </w:r>
      <w:r>
        <w:rPr>
          <w:spacing w:val="-17"/>
          <w:sz w:val="20"/>
        </w:rPr>
        <w:t xml:space="preserve"> </w:t>
      </w:r>
      <w:r>
        <w:rPr>
          <w:sz w:val="20"/>
        </w:rPr>
        <w:t>fiscalicen</w:t>
      </w:r>
      <w:r>
        <w:rPr>
          <w:spacing w:val="-14"/>
          <w:sz w:val="20"/>
        </w:rPr>
        <w:t xml:space="preserve"> </w:t>
      </w:r>
      <w:r>
        <w:rPr>
          <w:sz w:val="20"/>
        </w:rPr>
        <w:t>de</w:t>
      </w:r>
      <w:r>
        <w:rPr>
          <w:spacing w:val="-17"/>
          <w:sz w:val="20"/>
        </w:rPr>
        <w:t xml:space="preserve"> </w:t>
      </w:r>
      <w:r>
        <w:rPr>
          <w:sz w:val="20"/>
        </w:rPr>
        <w:t>forma</w:t>
      </w:r>
      <w:r>
        <w:rPr>
          <w:spacing w:val="-12"/>
          <w:sz w:val="20"/>
        </w:rPr>
        <w:t xml:space="preserve"> </w:t>
      </w:r>
      <w:r>
        <w:rPr>
          <w:sz w:val="20"/>
        </w:rPr>
        <w:t>regular los locales en que se fabrican fuegos artificiales en</w:t>
      </w:r>
      <w:r>
        <w:rPr>
          <w:spacing w:val="-5"/>
          <w:sz w:val="20"/>
        </w:rPr>
        <w:t xml:space="preserve"> </w:t>
      </w:r>
      <w:r>
        <w:rPr>
          <w:sz w:val="20"/>
        </w:rPr>
        <w:t>Brasil.</w:t>
      </w:r>
    </w:p>
    <w:p w14:paraId="7EAB556A" w14:textId="77777777" w:rsidR="00467FCA" w:rsidRDefault="00467FCA">
      <w:pPr>
        <w:pStyle w:val="Textoindependiente"/>
      </w:pPr>
    </w:p>
    <w:p w14:paraId="0DF8B4F4" w14:textId="77777777" w:rsidR="00467FCA" w:rsidRDefault="001B68EB">
      <w:pPr>
        <w:pStyle w:val="Prrafodelista"/>
        <w:numPr>
          <w:ilvl w:val="0"/>
          <w:numId w:val="38"/>
        </w:numPr>
        <w:tabs>
          <w:tab w:val="left" w:pos="687"/>
        </w:tabs>
        <w:ind w:right="116" w:firstLine="0"/>
        <w:jc w:val="both"/>
        <w:rPr>
          <w:sz w:val="20"/>
        </w:rPr>
      </w:pPr>
      <w:r>
        <w:rPr>
          <w:sz w:val="20"/>
        </w:rPr>
        <w:t>La</w:t>
      </w:r>
      <w:r>
        <w:rPr>
          <w:spacing w:val="-5"/>
          <w:sz w:val="20"/>
        </w:rPr>
        <w:t xml:space="preserve"> </w:t>
      </w:r>
      <w:r>
        <w:rPr>
          <w:sz w:val="20"/>
        </w:rPr>
        <w:t>Corte</w:t>
      </w:r>
      <w:r>
        <w:rPr>
          <w:spacing w:val="-7"/>
          <w:sz w:val="20"/>
        </w:rPr>
        <w:t xml:space="preserve"> </w:t>
      </w:r>
      <w:r>
        <w:rPr>
          <w:sz w:val="20"/>
        </w:rPr>
        <w:t>recuerda</w:t>
      </w:r>
      <w:r>
        <w:rPr>
          <w:spacing w:val="-5"/>
          <w:sz w:val="20"/>
        </w:rPr>
        <w:t xml:space="preserve"> </w:t>
      </w:r>
      <w:r>
        <w:rPr>
          <w:sz w:val="20"/>
        </w:rPr>
        <w:t>que</w:t>
      </w:r>
      <w:r>
        <w:rPr>
          <w:spacing w:val="-7"/>
          <w:sz w:val="20"/>
        </w:rPr>
        <w:t xml:space="preserve"> </w:t>
      </w:r>
      <w:r>
        <w:rPr>
          <w:sz w:val="20"/>
        </w:rPr>
        <w:t>la</w:t>
      </w:r>
      <w:r>
        <w:rPr>
          <w:spacing w:val="-5"/>
          <w:sz w:val="20"/>
        </w:rPr>
        <w:t xml:space="preserve"> </w:t>
      </w:r>
      <w:r>
        <w:rPr>
          <w:sz w:val="20"/>
        </w:rPr>
        <w:t>falta</w:t>
      </w:r>
      <w:r>
        <w:rPr>
          <w:spacing w:val="-4"/>
          <w:sz w:val="20"/>
        </w:rPr>
        <w:t xml:space="preserve"> </w:t>
      </w:r>
      <w:r>
        <w:rPr>
          <w:sz w:val="20"/>
        </w:rPr>
        <w:t>de</w:t>
      </w:r>
      <w:r>
        <w:rPr>
          <w:spacing w:val="-7"/>
          <w:sz w:val="20"/>
        </w:rPr>
        <w:t xml:space="preserve"> </w:t>
      </w:r>
      <w:r>
        <w:rPr>
          <w:sz w:val="20"/>
        </w:rPr>
        <w:t>fiscalización</w:t>
      </w:r>
      <w:r>
        <w:rPr>
          <w:spacing w:val="-4"/>
          <w:sz w:val="20"/>
        </w:rPr>
        <w:t xml:space="preserve"> </w:t>
      </w:r>
      <w:r>
        <w:rPr>
          <w:sz w:val="20"/>
        </w:rPr>
        <w:t>de</w:t>
      </w:r>
      <w:r>
        <w:rPr>
          <w:spacing w:val="-7"/>
          <w:sz w:val="20"/>
        </w:rPr>
        <w:t xml:space="preserve"> </w:t>
      </w:r>
      <w:r>
        <w:rPr>
          <w:sz w:val="20"/>
        </w:rPr>
        <w:t>la</w:t>
      </w:r>
      <w:r>
        <w:rPr>
          <w:spacing w:val="-5"/>
          <w:sz w:val="20"/>
        </w:rPr>
        <w:t xml:space="preserve"> </w:t>
      </w:r>
      <w:r>
        <w:rPr>
          <w:sz w:val="20"/>
        </w:rPr>
        <w:t>fábrica</w:t>
      </w:r>
      <w:r>
        <w:rPr>
          <w:spacing w:val="-4"/>
          <w:sz w:val="20"/>
        </w:rPr>
        <w:t xml:space="preserve"> </w:t>
      </w:r>
      <w:r>
        <w:rPr>
          <w:sz w:val="20"/>
        </w:rPr>
        <w:t>de</w:t>
      </w:r>
      <w:r>
        <w:rPr>
          <w:spacing w:val="-7"/>
          <w:sz w:val="20"/>
        </w:rPr>
        <w:t xml:space="preserve"> </w:t>
      </w:r>
      <w:r>
        <w:rPr>
          <w:sz w:val="20"/>
        </w:rPr>
        <w:t>“Vardo</w:t>
      </w:r>
      <w:r>
        <w:rPr>
          <w:spacing w:val="-7"/>
          <w:sz w:val="20"/>
        </w:rPr>
        <w:t xml:space="preserve"> </w:t>
      </w:r>
      <w:r>
        <w:rPr>
          <w:sz w:val="20"/>
        </w:rPr>
        <w:t>de</w:t>
      </w:r>
      <w:r>
        <w:rPr>
          <w:spacing w:val="-7"/>
          <w:sz w:val="20"/>
        </w:rPr>
        <w:t xml:space="preserve"> </w:t>
      </w:r>
      <w:r>
        <w:rPr>
          <w:sz w:val="20"/>
        </w:rPr>
        <w:t>los</w:t>
      </w:r>
      <w:r>
        <w:rPr>
          <w:spacing w:val="-5"/>
          <w:sz w:val="20"/>
        </w:rPr>
        <w:t xml:space="preserve"> </w:t>
      </w:r>
      <w:r>
        <w:rPr>
          <w:sz w:val="20"/>
        </w:rPr>
        <w:t>fuegos”</w:t>
      </w:r>
      <w:r>
        <w:rPr>
          <w:spacing w:val="-6"/>
          <w:sz w:val="20"/>
        </w:rPr>
        <w:t xml:space="preserve"> </w:t>
      </w:r>
      <w:r>
        <w:rPr>
          <w:sz w:val="20"/>
        </w:rPr>
        <w:t>por parte de las autoridades estatales fue el elemento principal que generó la responsabilidad internacional</w:t>
      </w:r>
      <w:r>
        <w:rPr>
          <w:spacing w:val="-8"/>
          <w:sz w:val="20"/>
        </w:rPr>
        <w:t xml:space="preserve"> </w:t>
      </w:r>
      <w:r>
        <w:rPr>
          <w:sz w:val="20"/>
        </w:rPr>
        <w:t>del</w:t>
      </w:r>
      <w:r>
        <w:rPr>
          <w:spacing w:val="-8"/>
          <w:sz w:val="20"/>
        </w:rPr>
        <w:t xml:space="preserve"> </w:t>
      </w:r>
      <w:r>
        <w:rPr>
          <w:sz w:val="20"/>
        </w:rPr>
        <w:t>Estado.</w:t>
      </w:r>
      <w:r>
        <w:rPr>
          <w:spacing w:val="-8"/>
          <w:sz w:val="20"/>
        </w:rPr>
        <w:t xml:space="preserve"> </w:t>
      </w:r>
      <w:r>
        <w:rPr>
          <w:sz w:val="20"/>
        </w:rPr>
        <w:t>En</w:t>
      </w:r>
      <w:r>
        <w:rPr>
          <w:spacing w:val="-8"/>
          <w:sz w:val="20"/>
        </w:rPr>
        <w:t xml:space="preserve"> </w:t>
      </w:r>
      <w:r>
        <w:rPr>
          <w:sz w:val="20"/>
        </w:rPr>
        <w:t>ese</w:t>
      </w:r>
      <w:r>
        <w:rPr>
          <w:spacing w:val="-9"/>
          <w:sz w:val="20"/>
        </w:rPr>
        <w:t xml:space="preserve"> </w:t>
      </w:r>
      <w:r>
        <w:rPr>
          <w:sz w:val="20"/>
        </w:rPr>
        <w:t>sentido,</w:t>
      </w:r>
      <w:r>
        <w:rPr>
          <w:spacing w:val="-7"/>
          <w:sz w:val="20"/>
        </w:rPr>
        <w:t xml:space="preserve"> </w:t>
      </w:r>
      <w:r>
        <w:rPr>
          <w:sz w:val="20"/>
        </w:rPr>
        <w:t>con</w:t>
      </w:r>
      <w:r>
        <w:rPr>
          <w:spacing w:val="-8"/>
          <w:sz w:val="20"/>
        </w:rPr>
        <w:t xml:space="preserve"> </w:t>
      </w:r>
      <w:r>
        <w:rPr>
          <w:sz w:val="20"/>
        </w:rPr>
        <w:t>el</w:t>
      </w:r>
      <w:r>
        <w:rPr>
          <w:spacing w:val="-7"/>
          <w:sz w:val="20"/>
        </w:rPr>
        <w:t xml:space="preserve"> </w:t>
      </w:r>
      <w:r>
        <w:rPr>
          <w:sz w:val="20"/>
        </w:rPr>
        <w:t>fin</w:t>
      </w:r>
      <w:r>
        <w:rPr>
          <w:spacing w:val="-8"/>
          <w:sz w:val="20"/>
        </w:rPr>
        <w:t xml:space="preserve"> </w:t>
      </w:r>
      <w:r>
        <w:rPr>
          <w:sz w:val="20"/>
        </w:rPr>
        <w:t>de</w:t>
      </w:r>
      <w:r>
        <w:rPr>
          <w:spacing w:val="-10"/>
          <w:sz w:val="20"/>
        </w:rPr>
        <w:t xml:space="preserve"> </w:t>
      </w:r>
      <w:r>
        <w:rPr>
          <w:sz w:val="20"/>
        </w:rPr>
        <w:t>frenar</w:t>
      </w:r>
      <w:r>
        <w:rPr>
          <w:spacing w:val="-9"/>
          <w:sz w:val="20"/>
        </w:rPr>
        <w:t xml:space="preserve"> </w:t>
      </w:r>
      <w:r>
        <w:rPr>
          <w:sz w:val="20"/>
        </w:rPr>
        <w:t>el</w:t>
      </w:r>
      <w:r>
        <w:rPr>
          <w:spacing w:val="-8"/>
          <w:sz w:val="20"/>
        </w:rPr>
        <w:t xml:space="preserve"> </w:t>
      </w:r>
      <w:r>
        <w:rPr>
          <w:sz w:val="20"/>
        </w:rPr>
        <w:t>funcionamiento</w:t>
      </w:r>
      <w:r>
        <w:rPr>
          <w:spacing w:val="-9"/>
          <w:sz w:val="20"/>
        </w:rPr>
        <w:t xml:space="preserve"> </w:t>
      </w:r>
      <w:r>
        <w:rPr>
          <w:sz w:val="20"/>
        </w:rPr>
        <w:t>de</w:t>
      </w:r>
      <w:r>
        <w:rPr>
          <w:spacing w:val="-10"/>
          <w:sz w:val="20"/>
        </w:rPr>
        <w:t xml:space="preserve"> </w:t>
      </w:r>
      <w:r>
        <w:rPr>
          <w:sz w:val="20"/>
        </w:rPr>
        <w:t>las</w:t>
      </w:r>
      <w:r>
        <w:rPr>
          <w:spacing w:val="-9"/>
          <w:sz w:val="20"/>
        </w:rPr>
        <w:t xml:space="preserve"> </w:t>
      </w:r>
      <w:r>
        <w:rPr>
          <w:sz w:val="20"/>
        </w:rPr>
        <w:t>fábricas clandestinas y/o que operan en desacuerdo con las normas sobre el control de actividades peligrosas, y de garantizar condiciones de trabajo equitativas y satisfactorias en esos ambientes, el Estado debe adoptar medidas para implementar una polític</w:t>
      </w:r>
      <w:r>
        <w:rPr>
          <w:sz w:val="20"/>
        </w:rPr>
        <w:t>a sistemática de inspecciones periódicas en los locales de producción de fuegos artificiales, tanto para que se verifiquen las condiciones de seguridad y salubridad del trabajo, como para que se fiscalice el cumplimiento de las normas relativas al almacena</w:t>
      </w:r>
      <w:r>
        <w:rPr>
          <w:sz w:val="20"/>
        </w:rPr>
        <w:t>miento de los insumos. El Estado debe asegurar que las inspecciones periódicas sean llevadas a cabo por inspectores que tengan el debido</w:t>
      </w:r>
      <w:r>
        <w:rPr>
          <w:spacing w:val="-12"/>
          <w:sz w:val="20"/>
        </w:rPr>
        <w:t xml:space="preserve"> </w:t>
      </w:r>
      <w:r>
        <w:rPr>
          <w:sz w:val="20"/>
        </w:rPr>
        <w:t>conocimiento</w:t>
      </w:r>
      <w:r>
        <w:rPr>
          <w:spacing w:val="-11"/>
          <w:sz w:val="20"/>
        </w:rPr>
        <w:t xml:space="preserve"> </w:t>
      </w:r>
      <w:r>
        <w:rPr>
          <w:sz w:val="20"/>
        </w:rPr>
        <w:t>en</w:t>
      </w:r>
      <w:r>
        <w:rPr>
          <w:spacing w:val="-10"/>
          <w:sz w:val="20"/>
        </w:rPr>
        <w:t xml:space="preserve"> </w:t>
      </w:r>
      <w:r>
        <w:rPr>
          <w:sz w:val="20"/>
        </w:rPr>
        <w:t>materia</w:t>
      </w:r>
      <w:r>
        <w:rPr>
          <w:spacing w:val="-11"/>
          <w:sz w:val="20"/>
        </w:rPr>
        <w:t xml:space="preserve"> </w:t>
      </w:r>
      <w:r>
        <w:rPr>
          <w:sz w:val="20"/>
        </w:rPr>
        <w:t>de</w:t>
      </w:r>
      <w:r>
        <w:rPr>
          <w:spacing w:val="-12"/>
          <w:sz w:val="20"/>
        </w:rPr>
        <w:t xml:space="preserve"> </w:t>
      </w:r>
      <w:r>
        <w:rPr>
          <w:sz w:val="20"/>
        </w:rPr>
        <w:t>salud</w:t>
      </w:r>
      <w:r>
        <w:rPr>
          <w:spacing w:val="-11"/>
          <w:sz w:val="20"/>
        </w:rPr>
        <w:t xml:space="preserve"> </w:t>
      </w:r>
      <w:r>
        <w:rPr>
          <w:sz w:val="20"/>
        </w:rPr>
        <w:t>y</w:t>
      </w:r>
      <w:r>
        <w:rPr>
          <w:spacing w:val="-12"/>
          <w:sz w:val="20"/>
        </w:rPr>
        <w:t xml:space="preserve"> </w:t>
      </w:r>
      <w:r>
        <w:rPr>
          <w:sz w:val="20"/>
        </w:rPr>
        <w:t>seguridad</w:t>
      </w:r>
      <w:r>
        <w:rPr>
          <w:spacing w:val="-11"/>
          <w:sz w:val="20"/>
        </w:rPr>
        <w:t xml:space="preserve"> </w:t>
      </w:r>
      <w:r>
        <w:rPr>
          <w:sz w:val="20"/>
        </w:rPr>
        <w:t>en</w:t>
      </w:r>
      <w:r>
        <w:rPr>
          <w:spacing w:val="-10"/>
          <w:sz w:val="20"/>
        </w:rPr>
        <w:t xml:space="preserve"> </w:t>
      </w:r>
      <w:r>
        <w:rPr>
          <w:sz w:val="20"/>
        </w:rPr>
        <w:t>el</w:t>
      </w:r>
      <w:r>
        <w:rPr>
          <w:spacing w:val="-11"/>
          <w:sz w:val="20"/>
        </w:rPr>
        <w:t xml:space="preserve"> </w:t>
      </w:r>
      <w:r>
        <w:rPr>
          <w:sz w:val="20"/>
        </w:rPr>
        <w:t>ámbito</w:t>
      </w:r>
      <w:r>
        <w:rPr>
          <w:spacing w:val="-10"/>
          <w:sz w:val="20"/>
        </w:rPr>
        <w:t xml:space="preserve"> </w:t>
      </w:r>
      <w:r>
        <w:rPr>
          <w:sz w:val="20"/>
        </w:rPr>
        <w:t>específico</w:t>
      </w:r>
      <w:r>
        <w:rPr>
          <w:spacing w:val="-12"/>
          <w:sz w:val="20"/>
        </w:rPr>
        <w:t xml:space="preserve"> </w:t>
      </w:r>
      <w:r>
        <w:rPr>
          <w:sz w:val="20"/>
        </w:rPr>
        <w:t>de</w:t>
      </w:r>
      <w:r>
        <w:rPr>
          <w:spacing w:val="-12"/>
          <w:sz w:val="20"/>
        </w:rPr>
        <w:t xml:space="preserve"> </w:t>
      </w:r>
      <w:r>
        <w:rPr>
          <w:sz w:val="20"/>
        </w:rPr>
        <w:t>la</w:t>
      </w:r>
      <w:r>
        <w:rPr>
          <w:spacing w:val="-11"/>
          <w:sz w:val="20"/>
        </w:rPr>
        <w:t xml:space="preserve"> </w:t>
      </w:r>
      <w:r>
        <w:rPr>
          <w:sz w:val="20"/>
        </w:rPr>
        <w:t>fabricación de fuegos artificiales. Para cum</w:t>
      </w:r>
      <w:r>
        <w:rPr>
          <w:sz w:val="20"/>
        </w:rPr>
        <w:t>plir con esta medida, el Estado podrá acudir a organizaciones como la OIT y UNICEF, a fin de que brinden asesoramiento o asistencia que pudiere resultar de utilidad en el cumplimiento de la medida ordenada. El Estado cuenta con un plazo de dos años</w:t>
      </w:r>
      <w:r>
        <w:rPr>
          <w:spacing w:val="-10"/>
          <w:sz w:val="20"/>
        </w:rPr>
        <w:t xml:space="preserve"> </w:t>
      </w:r>
      <w:r>
        <w:rPr>
          <w:sz w:val="20"/>
        </w:rPr>
        <w:t>desde</w:t>
      </w:r>
      <w:r>
        <w:rPr>
          <w:spacing w:val="-9"/>
          <w:sz w:val="20"/>
        </w:rPr>
        <w:t xml:space="preserve"> </w:t>
      </w:r>
      <w:r>
        <w:rPr>
          <w:sz w:val="20"/>
        </w:rPr>
        <w:t>l</w:t>
      </w:r>
      <w:r>
        <w:rPr>
          <w:sz w:val="20"/>
        </w:rPr>
        <w:t>a</w:t>
      </w:r>
      <w:r>
        <w:rPr>
          <w:spacing w:val="-8"/>
          <w:sz w:val="20"/>
        </w:rPr>
        <w:t xml:space="preserve"> </w:t>
      </w:r>
      <w:r>
        <w:rPr>
          <w:sz w:val="20"/>
        </w:rPr>
        <w:t>notificación</w:t>
      </w:r>
      <w:r>
        <w:rPr>
          <w:spacing w:val="-8"/>
          <w:sz w:val="20"/>
        </w:rPr>
        <w:t xml:space="preserve"> </w:t>
      </w:r>
      <w:r>
        <w:rPr>
          <w:sz w:val="20"/>
        </w:rPr>
        <w:t>de</w:t>
      </w:r>
      <w:r>
        <w:rPr>
          <w:spacing w:val="-9"/>
          <w:sz w:val="20"/>
        </w:rPr>
        <w:t xml:space="preserve"> </w:t>
      </w:r>
      <w:r>
        <w:rPr>
          <w:sz w:val="20"/>
        </w:rPr>
        <w:t>la</w:t>
      </w:r>
      <w:r>
        <w:rPr>
          <w:spacing w:val="-8"/>
          <w:sz w:val="20"/>
        </w:rPr>
        <w:t xml:space="preserve"> </w:t>
      </w:r>
      <w:r>
        <w:rPr>
          <w:sz w:val="20"/>
        </w:rPr>
        <w:t>presente</w:t>
      </w:r>
      <w:r>
        <w:rPr>
          <w:spacing w:val="-10"/>
          <w:sz w:val="20"/>
        </w:rPr>
        <w:t xml:space="preserve"> </w:t>
      </w:r>
      <w:r>
        <w:rPr>
          <w:sz w:val="20"/>
        </w:rPr>
        <w:t>Sentencia</w:t>
      </w:r>
      <w:r>
        <w:rPr>
          <w:spacing w:val="-8"/>
          <w:sz w:val="20"/>
        </w:rPr>
        <w:t xml:space="preserve"> </w:t>
      </w:r>
      <w:r>
        <w:rPr>
          <w:sz w:val="20"/>
        </w:rPr>
        <w:t>para</w:t>
      </w:r>
      <w:r>
        <w:rPr>
          <w:spacing w:val="-8"/>
          <w:sz w:val="20"/>
        </w:rPr>
        <w:t xml:space="preserve"> </w:t>
      </w:r>
      <w:r>
        <w:rPr>
          <w:sz w:val="20"/>
        </w:rPr>
        <w:t>presentar</w:t>
      </w:r>
      <w:r>
        <w:rPr>
          <w:spacing w:val="-9"/>
          <w:sz w:val="20"/>
        </w:rPr>
        <w:t xml:space="preserve"> </w:t>
      </w:r>
      <w:r>
        <w:rPr>
          <w:sz w:val="20"/>
        </w:rPr>
        <w:t>un</w:t>
      </w:r>
      <w:r>
        <w:rPr>
          <w:spacing w:val="-8"/>
          <w:sz w:val="20"/>
        </w:rPr>
        <w:t xml:space="preserve"> </w:t>
      </w:r>
      <w:r>
        <w:rPr>
          <w:sz w:val="20"/>
        </w:rPr>
        <w:t>informe</w:t>
      </w:r>
      <w:r>
        <w:rPr>
          <w:spacing w:val="-9"/>
          <w:sz w:val="20"/>
        </w:rPr>
        <w:t xml:space="preserve"> </w:t>
      </w:r>
      <w:r>
        <w:rPr>
          <w:sz w:val="20"/>
        </w:rPr>
        <w:t>a</w:t>
      </w:r>
      <w:r>
        <w:rPr>
          <w:spacing w:val="-8"/>
          <w:sz w:val="20"/>
        </w:rPr>
        <w:t xml:space="preserve"> </w:t>
      </w:r>
      <w:r>
        <w:rPr>
          <w:sz w:val="20"/>
        </w:rPr>
        <w:t>este</w:t>
      </w:r>
      <w:r>
        <w:rPr>
          <w:spacing w:val="-8"/>
          <w:sz w:val="20"/>
        </w:rPr>
        <w:t xml:space="preserve"> </w:t>
      </w:r>
      <w:r>
        <w:rPr>
          <w:sz w:val="20"/>
        </w:rPr>
        <w:t>Tribunal sobre el avance de la implementación de dicha</w:t>
      </w:r>
      <w:r>
        <w:rPr>
          <w:spacing w:val="-4"/>
          <w:sz w:val="20"/>
        </w:rPr>
        <w:t xml:space="preserve"> </w:t>
      </w:r>
      <w:r>
        <w:rPr>
          <w:sz w:val="20"/>
        </w:rPr>
        <w:t>política.</w:t>
      </w:r>
    </w:p>
    <w:p w14:paraId="1942A86B" w14:textId="77777777" w:rsidR="00467FCA" w:rsidRDefault="00467FCA">
      <w:pPr>
        <w:pStyle w:val="Textoindependiente"/>
        <w:spacing w:before="1"/>
      </w:pPr>
    </w:p>
    <w:p w14:paraId="2D43D80E" w14:textId="77777777" w:rsidR="00467FCA" w:rsidRDefault="001B68EB">
      <w:pPr>
        <w:pStyle w:val="Prrafodelista"/>
        <w:numPr>
          <w:ilvl w:val="0"/>
          <w:numId w:val="38"/>
        </w:numPr>
        <w:tabs>
          <w:tab w:val="left" w:pos="687"/>
        </w:tabs>
        <w:ind w:right="117" w:firstLine="0"/>
        <w:jc w:val="both"/>
        <w:rPr>
          <w:sz w:val="20"/>
        </w:rPr>
      </w:pPr>
      <w:r>
        <w:rPr>
          <w:sz w:val="20"/>
        </w:rPr>
        <w:t>En</w:t>
      </w:r>
      <w:r>
        <w:rPr>
          <w:spacing w:val="-4"/>
          <w:sz w:val="20"/>
        </w:rPr>
        <w:t xml:space="preserve"> </w:t>
      </w:r>
      <w:r>
        <w:rPr>
          <w:sz w:val="20"/>
        </w:rPr>
        <w:t>lo</w:t>
      </w:r>
      <w:r>
        <w:rPr>
          <w:spacing w:val="-6"/>
          <w:sz w:val="20"/>
        </w:rPr>
        <w:t xml:space="preserve"> </w:t>
      </w:r>
      <w:r>
        <w:rPr>
          <w:sz w:val="20"/>
        </w:rPr>
        <w:t>que</w:t>
      </w:r>
      <w:r>
        <w:rPr>
          <w:spacing w:val="-4"/>
          <w:sz w:val="20"/>
        </w:rPr>
        <w:t xml:space="preserve"> </w:t>
      </w:r>
      <w:r>
        <w:rPr>
          <w:sz w:val="20"/>
        </w:rPr>
        <w:t>atañe</w:t>
      </w:r>
      <w:r>
        <w:rPr>
          <w:spacing w:val="-3"/>
          <w:sz w:val="20"/>
        </w:rPr>
        <w:t xml:space="preserve"> </w:t>
      </w:r>
      <w:r>
        <w:rPr>
          <w:sz w:val="20"/>
        </w:rPr>
        <w:t>el</w:t>
      </w:r>
      <w:r>
        <w:rPr>
          <w:spacing w:val="-4"/>
          <w:sz w:val="20"/>
        </w:rPr>
        <w:t xml:space="preserve"> </w:t>
      </w:r>
      <w:r>
        <w:rPr>
          <w:sz w:val="20"/>
        </w:rPr>
        <w:t>proyecto</w:t>
      </w:r>
      <w:r>
        <w:rPr>
          <w:spacing w:val="-7"/>
          <w:sz w:val="20"/>
        </w:rPr>
        <w:t xml:space="preserve"> </w:t>
      </w:r>
      <w:r>
        <w:rPr>
          <w:sz w:val="20"/>
        </w:rPr>
        <w:t>de</w:t>
      </w:r>
      <w:r>
        <w:rPr>
          <w:spacing w:val="-6"/>
          <w:sz w:val="20"/>
        </w:rPr>
        <w:t xml:space="preserve"> </w:t>
      </w:r>
      <w:r>
        <w:rPr>
          <w:sz w:val="20"/>
        </w:rPr>
        <w:t>ley</w:t>
      </w:r>
      <w:r>
        <w:rPr>
          <w:spacing w:val="-3"/>
          <w:sz w:val="20"/>
        </w:rPr>
        <w:t xml:space="preserve"> </w:t>
      </w:r>
      <w:r>
        <w:rPr>
          <w:sz w:val="20"/>
        </w:rPr>
        <w:t>mencionado</w:t>
      </w:r>
      <w:r>
        <w:rPr>
          <w:spacing w:val="-3"/>
          <w:sz w:val="20"/>
        </w:rPr>
        <w:t xml:space="preserve"> </w:t>
      </w:r>
      <w:r>
        <w:rPr>
          <w:sz w:val="20"/>
        </w:rPr>
        <w:t>por</w:t>
      </w:r>
      <w:r>
        <w:rPr>
          <w:spacing w:val="-3"/>
          <w:sz w:val="20"/>
        </w:rPr>
        <w:t xml:space="preserve"> </w:t>
      </w:r>
      <w:r>
        <w:rPr>
          <w:sz w:val="20"/>
        </w:rPr>
        <w:t>los</w:t>
      </w:r>
      <w:r>
        <w:rPr>
          <w:spacing w:val="-1"/>
          <w:sz w:val="20"/>
        </w:rPr>
        <w:t xml:space="preserve"> </w:t>
      </w:r>
      <w:r>
        <w:rPr>
          <w:sz w:val="20"/>
        </w:rPr>
        <w:t>representantes</w:t>
      </w:r>
      <w:r>
        <w:rPr>
          <w:spacing w:val="-5"/>
          <w:sz w:val="20"/>
        </w:rPr>
        <w:t xml:space="preserve"> </w:t>
      </w:r>
      <w:r>
        <w:rPr>
          <w:sz w:val="20"/>
        </w:rPr>
        <w:t>(Proyecto</w:t>
      </w:r>
      <w:r>
        <w:rPr>
          <w:spacing w:val="-6"/>
          <w:sz w:val="20"/>
        </w:rPr>
        <w:t xml:space="preserve"> </w:t>
      </w:r>
      <w:r>
        <w:rPr>
          <w:sz w:val="20"/>
        </w:rPr>
        <w:t>de</w:t>
      </w:r>
      <w:r>
        <w:rPr>
          <w:spacing w:val="-3"/>
          <w:sz w:val="20"/>
        </w:rPr>
        <w:t xml:space="preserve"> </w:t>
      </w:r>
      <w:r>
        <w:rPr>
          <w:sz w:val="20"/>
        </w:rPr>
        <w:t>Ley del</w:t>
      </w:r>
      <w:r>
        <w:rPr>
          <w:spacing w:val="-13"/>
          <w:sz w:val="20"/>
        </w:rPr>
        <w:t xml:space="preserve"> </w:t>
      </w:r>
      <w:r>
        <w:rPr>
          <w:sz w:val="20"/>
        </w:rPr>
        <w:t>Senado</w:t>
      </w:r>
      <w:r>
        <w:rPr>
          <w:spacing w:val="-12"/>
          <w:sz w:val="20"/>
        </w:rPr>
        <w:t xml:space="preserve"> </w:t>
      </w:r>
      <w:r>
        <w:rPr>
          <w:sz w:val="20"/>
        </w:rPr>
        <w:t>Federal</w:t>
      </w:r>
      <w:r>
        <w:rPr>
          <w:spacing w:val="-10"/>
          <w:sz w:val="20"/>
        </w:rPr>
        <w:t xml:space="preserve"> </w:t>
      </w:r>
      <w:r>
        <w:rPr>
          <w:sz w:val="20"/>
        </w:rPr>
        <w:t>de</w:t>
      </w:r>
      <w:r>
        <w:rPr>
          <w:spacing w:val="-13"/>
          <w:sz w:val="20"/>
        </w:rPr>
        <w:t xml:space="preserve"> </w:t>
      </w:r>
      <w:r>
        <w:rPr>
          <w:sz w:val="20"/>
        </w:rPr>
        <w:t>Brasil</w:t>
      </w:r>
      <w:r>
        <w:rPr>
          <w:spacing w:val="-11"/>
          <w:sz w:val="20"/>
        </w:rPr>
        <w:t xml:space="preserve"> </w:t>
      </w:r>
      <w:r>
        <w:rPr>
          <w:sz w:val="20"/>
        </w:rPr>
        <w:t>PL</w:t>
      </w:r>
      <w:r>
        <w:rPr>
          <w:spacing w:val="-11"/>
          <w:sz w:val="20"/>
        </w:rPr>
        <w:t xml:space="preserve"> </w:t>
      </w:r>
      <w:r>
        <w:rPr>
          <w:sz w:val="20"/>
        </w:rPr>
        <w:t>7433/2017),</w:t>
      </w:r>
      <w:r>
        <w:rPr>
          <w:spacing w:val="-12"/>
          <w:sz w:val="20"/>
        </w:rPr>
        <w:t xml:space="preserve"> </w:t>
      </w:r>
      <w:r>
        <w:rPr>
          <w:sz w:val="20"/>
        </w:rPr>
        <w:t>se</w:t>
      </w:r>
      <w:r>
        <w:rPr>
          <w:spacing w:val="-10"/>
          <w:sz w:val="20"/>
        </w:rPr>
        <w:t xml:space="preserve"> </w:t>
      </w:r>
      <w:r>
        <w:rPr>
          <w:sz w:val="20"/>
        </w:rPr>
        <w:t>estima</w:t>
      </w:r>
      <w:r>
        <w:rPr>
          <w:spacing w:val="-10"/>
          <w:sz w:val="20"/>
        </w:rPr>
        <w:t xml:space="preserve"> </w:t>
      </w:r>
      <w:r>
        <w:rPr>
          <w:sz w:val="20"/>
        </w:rPr>
        <w:t>pertinente</w:t>
      </w:r>
      <w:r>
        <w:rPr>
          <w:spacing w:val="-13"/>
          <w:sz w:val="20"/>
        </w:rPr>
        <w:t xml:space="preserve"> </w:t>
      </w:r>
      <w:r>
        <w:rPr>
          <w:sz w:val="20"/>
        </w:rPr>
        <w:t>ordenar</w:t>
      </w:r>
      <w:r>
        <w:rPr>
          <w:spacing w:val="-15"/>
          <w:sz w:val="20"/>
        </w:rPr>
        <w:t xml:space="preserve"> </w:t>
      </w:r>
      <w:r>
        <w:rPr>
          <w:sz w:val="20"/>
        </w:rPr>
        <w:t>al</w:t>
      </w:r>
      <w:r>
        <w:rPr>
          <w:spacing w:val="-12"/>
          <w:sz w:val="20"/>
        </w:rPr>
        <w:t xml:space="preserve"> </w:t>
      </w:r>
      <w:r>
        <w:rPr>
          <w:sz w:val="20"/>
        </w:rPr>
        <w:t>Estado</w:t>
      </w:r>
      <w:r>
        <w:rPr>
          <w:spacing w:val="-15"/>
          <w:sz w:val="20"/>
        </w:rPr>
        <w:t xml:space="preserve"> </w:t>
      </w:r>
      <w:r>
        <w:rPr>
          <w:sz w:val="20"/>
        </w:rPr>
        <w:t>brasileño que rinda un informe sobre el avance del trámite legislativo de dicho proyecto. Este informe deberá contener precisiones respecto a los principales cambios propuestos a la regulación vi</w:t>
      </w:r>
      <w:r>
        <w:rPr>
          <w:sz w:val="20"/>
        </w:rPr>
        <w:t>gente,</w:t>
      </w:r>
      <w:r>
        <w:rPr>
          <w:spacing w:val="-6"/>
          <w:sz w:val="20"/>
        </w:rPr>
        <w:t xml:space="preserve"> </w:t>
      </w:r>
      <w:r>
        <w:rPr>
          <w:sz w:val="20"/>
        </w:rPr>
        <w:t>su</w:t>
      </w:r>
      <w:r>
        <w:rPr>
          <w:spacing w:val="-5"/>
          <w:sz w:val="20"/>
        </w:rPr>
        <w:t xml:space="preserve"> </w:t>
      </w:r>
      <w:r>
        <w:rPr>
          <w:sz w:val="20"/>
        </w:rPr>
        <w:t>posible</w:t>
      </w:r>
      <w:r>
        <w:rPr>
          <w:spacing w:val="-8"/>
          <w:sz w:val="20"/>
        </w:rPr>
        <w:t xml:space="preserve"> </w:t>
      </w:r>
      <w:r>
        <w:rPr>
          <w:sz w:val="20"/>
        </w:rPr>
        <w:t>impacto</w:t>
      </w:r>
      <w:r>
        <w:rPr>
          <w:spacing w:val="-8"/>
          <w:sz w:val="20"/>
        </w:rPr>
        <w:t xml:space="preserve"> </w:t>
      </w:r>
      <w:r>
        <w:rPr>
          <w:sz w:val="20"/>
        </w:rPr>
        <w:t>práctico</w:t>
      </w:r>
      <w:r>
        <w:rPr>
          <w:spacing w:val="-8"/>
          <w:sz w:val="20"/>
        </w:rPr>
        <w:t xml:space="preserve"> </w:t>
      </w:r>
      <w:r>
        <w:rPr>
          <w:sz w:val="20"/>
        </w:rPr>
        <w:t>y</w:t>
      </w:r>
      <w:r>
        <w:rPr>
          <w:spacing w:val="-7"/>
          <w:sz w:val="20"/>
        </w:rPr>
        <w:t xml:space="preserve"> </w:t>
      </w:r>
      <w:r>
        <w:rPr>
          <w:sz w:val="20"/>
        </w:rPr>
        <w:t>los</w:t>
      </w:r>
      <w:r>
        <w:rPr>
          <w:spacing w:val="-7"/>
          <w:sz w:val="20"/>
        </w:rPr>
        <w:t xml:space="preserve"> </w:t>
      </w:r>
      <w:r>
        <w:rPr>
          <w:sz w:val="20"/>
        </w:rPr>
        <w:t>plazos</w:t>
      </w:r>
      <w:r>
        <w:rPr>
          <w:spacing w:val="-5"/>
          <w:sz w:val="20"/>
        </w:rPr>
        <w:t xml:space="preserve"> </w:t>
      </w:r>
      <w:r>
        <w:rPr>
          <w:sz w:val="20"/>
        </w:rPr>
        <w:t>propuestos</w:t>
      </w:r>
      <w:r>
        <w:rPr>
          <w:spacing w:val="-7"/>
          <w:sz w:val="20"/>
        </w:rPr>
        <w:t xml:space="preserve"> </w:t>
      </w:r>
      <w:r>
        <w:rPr>
          <w:sz w:val="20"/>
        </w:rPr>
        <w:t>para</w:t>
      </w:r>
      <w:r>
        <w:rPr>
          <w:spacing w:val="-6"/>
          <w:sz w:val="20"/>
        </w:rPr>
        <w:t xml:space="preserve"> </w:t>
      </w:r>
      <w:r>
        <w:rPr>
          <w:sz w:val="20"/>
        </w:rPr>
        <w:t>su</w:t>
      </w:r>
      <w:r>
        <w:rPr>
          <w:spacing w:val="-5"/>
          <w:sz w:val="20"/>
        </w:rPr>
        <w:t xml:space="preserve"> </w:t>
      </w:r>
      <w:r>
        <w:rPr>
          <w:sz w:val="20"/>
        </w:rPr>
        <w:t>aprobación</w:t>
      </w:r>
      <w:r>
        <w:rPr>
          <w:spacing w:val="-5"/>
          <w:sz w:val="20"/>
        </w:rPr>
        <w:t xml:space="preserve"> </w:t>
      </w:r>
      <w:r>
        <w:rPr>
          <w:sz w:val="20"/>
        </w:rPr>
        <w:t>definitiva.</w:t>
      </w:r>
      <w:r>
        <w:rPr>
          <w:spacing w:val="-7"/>
          <w:sz w:val="20"/>
        </w:rPr>
        <w:t xml:space="preserve"> </w:t>
      </w:r>
      <w:r>
        <w:rPr>
          <w:sz w:val="20"/>
        </w:rPr>
        <w:t>Lo anterior deberá ser cumplido en el plazo de un año desde la notificación de la presente Sentencia.</w:t>
      </w:r>
    </w:p>
    <w:p w14:paraId="1EC459FE" w14:textId="77777777" w:rsidR="00467FCA" w:rsidRDefault="00467FCA">
      <w:pPr>
        <w:pStyle w:val="Textoindependiente"/>
        <w:spacing w:before="12"/>
        <w:rPr>
          <w:sz w:val="19"/>
        </w:rPr>
      </w:pPr>
    </w:p>
    <w:p w14:paraId="6DBD34FF" w14:textId="77777777" w:rsidR="00467FCA" w:rsidRDefault="001B68EB">
      <w:pPr>
        <w:pStyle w:val="Prrafodelista"/>
        <w:numPr>
          <w:ilvl w:val="0"/>
          <w:numId w:val="38"/>
        </w:numPr>
        <w:tabs>
          <w:tab w:val="left" w:pos="686"/>
        </w:tabs>
        <w:ind w:right="120" w:firstLine="0"/>
        <w:jc w:val="both"/>
        <w:rPr>
          <w:sz w:val="20"/>
        </w:rPr>
      </w:pPr>
      <w:r>
        <w:rPr>
          <w:sz w:val="20"/>
        </w:rPr>
        <w:t>La Corte recuerda que se estableció en la presente Sentencia (</w:t>
      </w:r>
      <w:r>
        <w:rPr>
          <w:i/>
          <w:sz w:val="20"/>
        </w:rPr>
        <w:t xml:space="preserve">supra </w:t>
      </w:r>
      <w:r>
        <w:rPr>
          <w:sz w:val="20"/>
        </w:rPr>
        <w:t>párr. 188) la condición</w:t>
      </w:r>
      <w:r>
        <w:rPr>
          <w:spacing w:val="-17"/>
          <w:sz w:val="20"/>
        </w:rPr>
        <w:t xml:space="preserve"> </w:t>
      </w:r>
      <w:r>
        <w:rPr>
          <w:sz w:val="20"/>
        </w:rPr>
        <w:t>de</w:t>
      </w:r>
      <w:r>
        <w:rPr>
          <w:spacing w:val="-17"/>
          <w:sz w:val="20"/>
        </w:rPr>
        <w:t xml:space="preserve"> </w:t>
      </w:r>
      <w:r>
        <w:rPr>
          <w:sz w:val="20"/>
        </w:rPr>
        <w:t>extrema</w:t>
      </w:r>
      <w:r>
        <w:rPr>
          <w:spacing w:val="-17"/>
          <w:sz w:val="20"/>
        </w:rPr>
        <w:t xml:space="preserve"> </w:t>
      </w:r>
      <w:r>
        <w:rPr>
          <w:sz w:val="20"/>
        </w:rPr>
        <w:t>vulnerabilidad</w:t>
      </w:r>
      <w:r>
        <w:rPr>
          <w:spacing w:val="-20"/>
          <w:sz w:val="20"/>
        </w:rPr>
        <w:t xml:space="preserve"> </w:t>
      </w:r>
      <w:r>
        <w:rPr>
          <w:sz w:val="20"/>
        </w:rPr>
        <w:t>de</w:t>
      </w:r>
      <w:r>
        <w:rPr>
          <w:spacing w:val="-19"/>
          <w:sz w:val="20"/>
        </w:rPr>
        <w:t xml:space="preserve"> </w:t>
      </w:r>
      <w:r>
        <w:rPr>
          <w:sz w:val="20"/>
        </w:rPr>
        <w:t>las</w:t>
      </w:r>
      <w:r>
        <w:rPr>
          <w:spacing w:val="-18"/>
          <w:sz w:val="20"/>
        </w:rPr>
        <w:t xml:space="preserve"> </w:t>
      </w:r>
      <w:r>
        <w:rPr>
          <w:sz w:val="20"/>
        </w:rPr>
        <w:t>trabajadoras</w:t>
      </w:r>
      <w:r>
        <w:rPr>
          <w:spacing w:val="-21"/>
          <w:sz w:val="20"/>
        </w:rPr>
        <w:t xml:space="preserve"> </w:t>
      </w:r>
      <w:r>
        <w:rPr>
          <w:sz w:val="20"/>
        </w:rPr>
        <w:t>de</w:t>
      </w:r>
      <w:r>
        <w:rPr>
          <w:spacing w:val="-22"/>
          <w:sz w:val="20"/>
        </w:rPr>
        <w:t xml:space="preserve"> </w:t>
      </w:r>
      <w:r>
        <w:rPr>
          <w:sz w:val="20"/>
        </w:rPr>
        <w:t>la</w:t>
      </w:r>
      <w:r>
        <w:rPr>
          <w:spacing w:val="-17"/>
          <w:sz w:val="20"/>
        </w:rPr>
        <w:t xml:space="preserve"> </w:t>
      </w:r>
      <w:r>
        <w:rPr>
          <w:sz w:val="20"/>
        </w:rPr>
        <w:t>fábrica</w:t>
      </w:r>
      <w:r>
        <w:rPr>
          <w:spacing w:val="-18"/>
          <w:sz w:val="20"/>
        </w:rPr>
        <w:t xml:space="preserve"> </w:t>
      </w:r>
      <w:r>
        <w:rPr>
          <w:sz w:val="20"/>
        </w:rPr>
        <w:t>de</w:t>
      </w:r>
      <w:r>
        <w:rPr>
          <w:spacing w:val="-19"/>
          <w:sz w:val="20"/>
        </w:rPr>
        <w:t xml:space="preserve"> </w:t>
      </w:r>
      <w:r>
        <w:rPr>
          <w:sz w:val="20"/>
        </w:rPr>
        <w:t>“Vardo</w:t>
      </w:r>
      <w:r>
        <w:rPr>
          <w:spacing w:val="-20"/>
          <w:sz w:val="20"/>
        </w:rPr>
        <w:t xml:space="preserve"> </w:t>
      </w:r>
      <w:r>
        <w:rPr>
          <w:sz w:val="20"/>
        </w:rPr>
        <w:t>de</w:t>
      </w:r>
      <w:r>
        <w:rPr>
          <w:spacing w:val="-19"/>
          <w:sz w:val="20"/>
        </w:rPr>
        <w:t xml:space="preserve"> </w:t>
      </w:r>
      <w:r>
        <w:rPr>
          <w:sz w:val="20"/>
        </w:rPr>
        <w:t>los</w:t>
      </w:r>
      <w:r>
        <w:rPr>
          <w:spacing w:val="-19"/>
          <w:sz w:val="20"/>
        </w:rPr>
        <w:t xml:space="preserve"> </w:t>
      </w:r>
      <w:r>
        <w:rPr>
          <w:sz w:val="20"/>
        </w:rPr>
        <w:t>fuegos”, debido a su situación de pobreza y discriminación interseccional. Asimismo, es</w:t>
      </w:r>
      <w:r>
        <w:rPr>
          <w:sz w:val="20"/>
        </w:rPr>
        <w:t>tá probado en este caso que dichas trabajadoras no tenían otra alternativa de trabajo diferente a la fabricación de fuegos artificiales. La Corte valora positivamente los esfuerzos realizados</w:t>
      </w:r>
      <w:r>
        <w:rPr>
          <w:spacing w:val="68"/>
          <w:sz w:val="20"/>
        </w:rPr>
        <w:t xml:space="preserve"> </w:t>
      </w:r>
      <w:r>
        <w:rPr>
          <w:sz w:val="20"/>
        </w:rPr>
        <w:t>por</w:t>
      </w:r>
    </w:p>
    <w:p w14:paraId="0EA6FEAB" w14:textId="77777777" w:rsidR="00467FCA" w:rsidRDefault="001B68EB">
      <w:pPr>
        <w:pStyle w:val="Textoindependiente"/>
        <w:spacing w:before="8"/>
        <w:rPr>
          <w:sz w:val="21"/>
        </w:rPr>
      </w:pPr>
      <w:r>
        <w:pict w14:anchorId="5B3D50EB">
          <v:shape id="_x0000_s1123" style="position:absolute;margin-left:1in;margin-top:15.45pt;width:2in;height:.1pt;z-index:-251583488;mso-wrap-distance-left:0;mso-wrap-distance-right:0;mso-position-horizontal-relative:page" coordorigin="1440,309" coordsize="2880,0" path="m1440,309r2880,e" filled="f" strokeweight=".6pt">
            <v:path arrowok="t"/>
            <w10:wrap type="topAndBottom" anchorx="page"/>
          </v:shape>
        </w:pict>
      </w:r>
    </w:p>
    <w:p w14:paraId="3784AC7B" w14:textId="77777777" w:rsidR="00467FCA" w:rsidRDefault="001B68EB">
      <w:pPr>
        <w:spacing w:before="74"/>
        <w:ind w:left="120" w:right="111"/>
        <w:jc w:val="both"/>
        <w:rPr>
          <w:sz w:val="16"/>
        </w:rPr>
      </w:pPr>
      <w:r>
        <w:rPr>
          <w:i/>
          <w:sz w:val="16"/>
        </w:rPr>
        <w:t>Excepciones Preliminares, Fondo, Reparaciones y Costas</w:t>
      </w:r>
      <w:r>
        <w:rPr>
          <w:sz w:val="16"/>
        </w:rPr>
        <w:t>. Se</w:t>
      </w:r>
      <w:r>
        <w:rPr>
          <w:sz w:val="16"/>
        </w:rPr>
        <w:t>ntencia de 23 de noviembre de 2015. Serie C No. 308, párr. 274.</w:t>
      </w:r>
    </w:p>
    <w:p w14:paraId="77D9B3A9" w14:textId="77777777" w:rsidR="00467FCA" w:rsidRDefault="001B68EB">
      <w:pPr>
        <w:tabs>
          <w:tab w:val="left" w:pos="839"/>
        </w:tabs>
        <w:ind w:left="119" w:right="112"/>
        <w:jc w:val="both"/>
        <w:rPr>
          <w:sz w:val="16"/>
        </w:rPr>
      </w:pPr>
      <w:bookmarkStart w:id="499" w:name="_bookmark432"/>
      <w:bookmarkEnd w:id="499"/>
      <w:r>
        <w:rPr>
          <w:position w:val="6"/>
          <w:sz w:val="10"/>
        </w:rPr>
        <w:t>362</w:t>
      </w:r>
      <w:r>
        <w:rPr>
          <w:position w:val="6"/>
          <w:sz w:val="10"/>
        </w:rPr>
        <w:tab/>
      </w:r>
      <w:r>
        <w:rPr>
          <w:i/>
          <w:sz w:val="16"/>
        </w:rPr>
        <w:t xml:space="preserve">Cfr. </w:t>
      </w:r>
      <w:r>
        <w:rPr>
          <w:sz w:val="16"/>
        </w:rPr>
        <w:t xml:space="preserve">Decreto No. 3.665, promulgado el 20 de noviembre de 2000, disponible en: </w:t>
      </w:r>
      <w:hyperlink r:id="rId35">
        <w:r>
          <w:rPr>
            <w:sz w:val="16"/>
            <w:u w:val="single"/>
          </w:rPr>
          <w:t>http://www.planalto.gov.br/ccivil_03</w:t>
        </w:r>
        <w:r>
          <w:rPr>
            <w:sz w:val="16"/>
            <w:u w:val="single"/>
          </w:rPr>
          <w:t>/decreto/d3665.htm</w:t>
        </w:r>
        <w:r>
          <w:rPr>
            <w:sz w:val="16"/>
          </w:rPr>
          <w:t xml:space="preserve"> </w:t>
        </w:r>
      </w:hyperlink>
      <w:r>
        <w:rPr>
          <w:sz w:val="16"/>
        </w:rPr>
        <w:t xml:space="preserve">(expediente de prueba, folios 3197 a 3236); Decreto No. 9.493, promulgado el 5 de septiembre de 2018, disponible en: </w:t>
      </w:r>
      <w:hyperlink r:id="rId36">
        <w:r>
          <w:rPr>
            <w:sz w:val="16"/>
          </w:rPr>
          <w:t>http://www.planalto.gov.br/</w:t>
        </w:r>
        <w:r>
          <w:rPr>
            <w:sz w:val="16"/>
          </w:rPr>
          <w:t>ccivil_03/_Ato2015-</w:t>
        </w:r>
      </w:hyperlink>
      <w:r>
        <w:rPr>
          <w:sz w:val="16"/>
        </w:rPr>
        <w:t xml:space="preserve"> </w:t>
      </w:r>
      <w:hyperlink r:id="rId37">
        <w:r>
          <w:rPr>
            <w:sz w:val="16"/>
          </w:rPr>
          <w:t>2018/2018/Decreto/D9493.htm</w:t>
        </w:r>
      </w:hyperlink>
      <w:r>
        <w:rPr>
          <w:sz w:val="16"/>
        </w:rPr>
        <w:t xml:space="preserve"> (expediente de prueba, folios 3238 a 3262), que reglamenta el registro y funcionamiento de las fábricas; Decreto No</w:t>
      </w:r>
      <w:r>
        <w:rPr>
          <w:sz w:val="16"/>
        </w:rPr>
        <w:t xml:space="preserve">. 10.030, promulgado el 30 de septiembre de 2019, disponible en: </w:t>
      </w:r>
      <w:hyperlink r:id="rId38" w:anchor="art6">
        <w:r>
          <w:rPr>
            <w:sz w:val="16"/>
          </w:rPr>
          <w:t>http://www.planalto.gov.br/ccivil_03/_Ato2019-2022/2019/Decreto/D10030.htm#art6</w:t>
        </w:r>
      </w:hyperlink>
      <w:r>
        <w:rPr>
          <w:sz w:val="16"/>
        </w:rPr>
        <w:t>; Ordenanza No. 56 - COLOG, de 5 de junio de 2017 (expediente de prueba, folios 3264 a 3317); y Ordenanza No. 42 - COLOG, de 28 de marzo de 2018 (expediente de prueba, folios 33</w:t>
      </w:r>
      <w:r>
        <w:rPr>
          <w:sz w:val="16"/>
        </w:rPr>
        <w:t>19 a</w:t>
      </w:r>
      <w:r>
        <w:rPr>
          <w:spacing w:val="-13"/>
          <w:sz w:val="16"/>
        </w:rPr>
        <w:t xml:space="preserve"> </w:t>
      </w:r>
      <w:r>
        <w:rPr>
          <w:sz w:val="16"/>
        </w:rPr>
        <w:t>3365).</w:t>
      </w:r>
    </w:p>
    <w:p w14:paraId="75CE5772" w14:textId="77777777" w:rsidR="00467FCA" w:rsidRDefault="001B68EB">
      <w:pPr>
        <w:tabs>
          <w:tab w:val="left" w:pos="839"/>
        </w:tabs>
        <w:ind w:left="120" w:right="110" w:hanging="1"/>
        <w:jc w:val="both"/>
        <w:rPr>
          <w:sz w:val="16"/>
        </w:rPr>
      </w:pPr>
      <w:bookmarkStart w:id="500" w:name="_bookmark433"/>
      <w:bookmarkEnd w:id="500"/>
      <w:r>
        <w:rPr>
          <w:position w:val="6"/>
          <w:sz w:val="10"/>
        </w:rPr>
        <w:t>363</w:t>
      </w:r>
      <w:r>
        <w:rPr>
          <w:position w:val="6"/>
          <w:sz w:val="10"/>
        </w:rPr>
        <w:tab/>
      </w:r>
      <w:r>
        <w:rPr>
          <w:sz w:val="16"/>
        </w:rPr>
        <w:t xml:space="preserve">La actualización de la Norma Reglamentaria No. 19, con la aprobación del Anexo 1, del 30 de marzo de 2007, incluye varias nuevas medidas que deben tomar los patronos en el lugar de trabajo para evitar accidentes en la fabricación específicamente de fuegos </w:t>
      </w:r>
      <w:r>
        <w:rPr>
          <w:sz w:val="16"/>
        </w:rPr>
        <w:t>artificiales. Además, después del accidente, en el año 2000, Brasil ratificó el Convenio 182 de la OIT sobre las peores formas de trabajo infantil y en el 2008 reglamentó esta Convención mediante un Decreto que enumeraba varias actividades económicas donde</w:t>
      </w:r>
      <w:r>
        <w:rPr>
          <w:sz w:val="16"/>
        </w:rPr>
        <w:t xml:space="preserve"> se prohibía el trabajo a menores de 18 años, incluida la de fuegos artificiales. Ver también Decreto No. 4.085 de 15 de enero de 2002 que promulga el Convenio 174 de la OIT y la Recomendación 181 (expediente de prueba, folios 3367 a</w:t>
      </w:r>
      <w:r>
        <w:rPr>
          <w:spacing w:val="-22"/>
          <w:sz w:val="16"/>
        </w:rPr>
        <w:t xml:space="preserve"> </w:t>
      </w:r>
      <w:r>
        <w:rPr>
          <w:sz w:val="16"/>
        </w:rPr>
        <w:t>3374).</w:t>
      </w:r>
    </w:p>
    <w:p w14:paraId="07FDB6C4" w14:textId="77777777" w:rsidR="00467FCA" w:rsidRDefault="00467FCA">
      <w:pPr>
        <w:jc w:val="both"/>
        <w:rPr>
          <w:sz w:val="16"/>
        </w:rPr>
        <w:sectPr w:rsidR="00467FCA">
          <w:pgSz w:w="12240" w:h="15840"/>
          <w:pgMar w:top="1500" w:right="1320" w:bottom="1220" w:left="1320" w:header="0" w:footer="957" w:gutter="0"/>
          <w:cols w:space="720"/>
        </w:sectPr>
      </w:pPr>
    </w:p>
    <w:p w14:paraId="2B59248B" w14:textId="77777777" w:rsidR="00467FCA" w:rsidRDefault="001B68EB">
      <w:pPr>
        <w:pStyle w:val="Textoindependiente"/>
        <w:spacing w:before="80"/>
        <w:ind w:left="118" w:right="112" w:firstLine="1"/>
        <w:jc w:val="both"/>
      </w:pPr>
      <w:r>
        <w:t>e</w:t>
      </w:r>
      <w:r>
        <w:t>l Estado para que hechos como los del presente caso no ocurran nuevamente (</w:t>
      </w:r>
      <w:r>
        <w:rPr>
          <w:i/>
        </w:rPr>
        <w:t xml:space="preserve">supra </w:t>
      </w:r>
      <w:r>
        <w:t xml:space="preserve">párr. 146). Sin embargo, de las pruebas aportadas por el Estado no se desprende el impacto específico que pueden haber tenido las políticas públicas de los últimos 20 años en </w:t>
      </w:r>
      <w:r>
        <w:t>el municipio</w:t>
      </w:r>
      <w:r>
        <w:rPr>
          <w:spacing w:val="-21"/>
        </w:rPr>
        <w:t xml:space="preserve"> </w:t>
      </w:r>
      <w:r>
        <w:t>en</w:t>
      </w:r>
      <w:r>
        <w:rPr>
          <w:spacing w:val="-19"/>
        </w:rPr>
        <w:t xml:space="preserve"> </w:t>
      </w:r>
      <w:r>
        <w:t>que</w:t>
      </w:r>
      <w:r>
        <w:rPr>
          <w:spacing w:val="-20"/>
        </w:rPr>
        <w:t xml:space="preserve"> </w:t>
      </w:r>
      <w:r>
        <w:t>sucedieron</w:t>
      </w:r>
      <w:r>
        <w:rPr>
          <w:spacing w:val="-19"/>
        </w:rPr>
        <w:t xml:space="preserve"> </w:t>
      </w:r>
      <w:r>
        <w:t>los</w:t>
      </w:r>
      <w:r>
        <w:rPr>
          <w:spacing w:val="-21"/>
        </w:rPr>
        <w:t xml:space="preserve"> </w:t>
      </w:r>
      <w:r>
        <w:t>hechos</w:t>
      </w:r>
      <w:r>
        <w:rPr>
          <w:spacing w:val="-18"/>
        </w:rPr>
        <w:t xml:space="preserve"> </w:t>
      </w:r>
      <w:r>
        <w:t>en</w:t>
      </w:r>
      <w:r>
        <w:rPr>
          <w:spacing w:val="-16"/>
        </w:rPr>
        <w:t xml:space="preserve"> </w:t>
      </w:r>
      <w:r>
        <w:t>favor</w:t>
      </w:r>
      <w:r>
        <w:rPr>
          <w:spacing w:val="-19"/>
        </w:rPr>
        <w:t xml:space="preserve"> </w:t>
      </w:r>
      <w:r>
        <w:t>de</w:t>
      </w:r>
      <w:r>
        <w:rPr>
          <w:spacing w:val="-21"/>
        </w:rPr>
        <w:t xml:space="preserve"> </w:t>
      </w:r>
      <w:r>
        <w:t>las</w:t>
      </w:r>
      <w:r>
        <w:rPr>
          <w:spacing w:val="-18"/>
        </w:rPr>
        <w:t xml:space="preserve"> </w:t>
      </w:r>
      <w:r>
        <w:t>personas</w:t>
      </w:r>
      <w:r>
        <w:rPr>
          <w:spacing w:val="-21"/>
        </w:rPr>
        <w:t xml:space="preserve"> </w:t>
      </w:r>
      <w:r>
        <w:t>que</w:t>
      </w:r>
      <w:r>
        <w:rPr>
          <w:spacing w:val="-21"/>
        </w:rPr>
        <w:t xml:space="preserve"> </w:t>
      </w:r>
      <w:r>
        <w:t>trabajan</w:t>
      </w:r>
      <w:r>
        <w:rPr>
          <w:spacing w:val="-19"/>
        </w:rPr>
        <w:t xml:space="preserve"> </w:t>
      </w:r>
      <w:r>
        <w:t>en</w:t>
      </w:r>
      <w:r>
        <w:rPr>
          <w:spacing w:val="-19"/>
        </w:rPr>
        <w:t xml:space="preserve"> </w:t>
      </w:r>
      <w:r>
        <w:t>la</w:t>
      </w:r>
      <w:r>
        <w:rPr>
          <w:spacing w:val="-20"/>
        </w:rPr>
        <w:t xml:space="preserve"> </w:t>
      </w:r>
      <w:r>
        <w:t>fabricación de fuegos artificiales. Aunado a lo anterior, las declaraciones recibidas en audiencia y otros elementos del acervo probatorio de este caso</w:t>
      </w:r>
      <w:hyperlink w:anchor="_bookmark436" w:history="1">
        <w:r>
          <w:rPr>
            <w:position w:val="7"/>
            <w:sz w:val="13"/>
          </w:rPr>
          <w:t>364</w:t>
        </w:r>
      </w:hyperlink>
      <w:r>
        <w:rPr>
          <w:position w:val="7"/>
          <w:sz w:val="13"/>
        </w:rPr>
        <w:t xml:space="preserve"> </w:t>
      </w:r>
      <w:r>
        <w:t xml:space="preserve">indican que la situación de esta población vulnerable de Santo Antônio de Jesus no ha sufrido cambios significativos. Por lo tanto, la Corte ordena al Estado que, en el plazo máximo de dos años a partir de la notificación </w:t>
      </w:r>
      <w:r>
        <w:rPr>
          <w:spacing w:val="3"/>
        </w:rPr>
        <w:t xml:space="preserve">de </w:t>
      </w:r>
      <w:r>
        <w:t>esta Sentencia</w:t>
      </w:r>
      <w:r>
        <w:t>, diseñe y ejecute un programa de desarrollo socioeconómico especialmente destinado</w:t>
      </w:r>
      <w:r>
        <w:rPr>
          <w:spacing w:val="-11"/>
        </w:rPr>
        <w:t xml:space="preserve"> </w:t>
      </w:r>
      <w:r>
        <w:t>para</w:t>
      </w:r>
      <w:r>
        <w:rPr>
          <w:spacing w:val="-10"/>
        </w:rPr>
        <w:t xml:space="preserve"> </w:t>
      </w:r>
      <w:r>
        <w:t>la</w:t>
      </w:r>
      <w:r>
        <w:rPr>
          <w:spacing w:val="-10"/>
        </w:rPr>
        <w:t xml:space="preserve"> </w:t>
      </w:r>
      <w:r>
        <w:t>población</w:t>
      </w:r>
      <w:r>
        <w:rPr>
          <w:spacing w:val="-12"/>
        </w:rPr>
        <w:t xml:space="preserve"> </w:t>
      </w:r>
      <w:r>
        <w:t>de</w:t>
      </w:r>
      <w:r>
        <w:rPr>
          <w:spacing w:val="-14"/>
        </w:rPr>
        <w:t xml:space="preserve"> </w:t>
      </w:r>
      <w:r>
        <w:t>Santo</w:t>
      </w:r>
      <w:r>
        <w:rPr>
          <w:spacing w:val="-11"/>
        </w:rPr>
        <w:t xml:space="preserve"> </w:t>
      </w:r>
      <w:r>
        <w:t>Antônio</w:t>
      </w:r>
      <w:r>
        <w:rPr>
          <w:spacing w:val="-14"/>
        </w:rPr>
        <w:t xml:space="preserve"> </w:t>
      </w:r>
      <w:r>
        <w:t>de</w:t>
      </w:r>
      <w:r>
        <w:rPr>
          <w:spacing w:val="-8"/>
        </w:rPr>
        <w:t xml:space="preserve"> </w:t>
      </w:r>
      <w:r>
        <w:t>Jesus,</w:t>
      </w:r>
      <w:r>
        <w:rPr>
          <w:spacing w:val="-9"/>
        </w:rPr>
        <w:t xml:space="preserve"> </w:t>
      </w:r>
      <w:r>
        <w:t>en</w:t>
      </w:r>
      <w:r>
        <w:rPr>
          <w:spacing w:val="-9"/>
        </w:rPr>
        <w:t xml:space="preserve"> </w:t>
      </w:r>
      <w:r>
        <w:t>coordinación</w:t>
      </w:r>
      <w:r>
        <w:rPr>
          <w:spacing w:val="-9"/>
        </w:rPr>
        <w:t xml:space="preserve"> </w:t>
      </w:r>
      <w:r>
        <w:t>con</w:t>
      </w:r>
      <w:r>
        <w:rPr>
          <w:spacing w:val="-12"/>
        </w:rPr>
        <w:t xml:space="preserve"> </w:t>
      </w:r>
      <w:r>
        <w:t>las</w:t>
      </w:r>
      <w:r>
        <w:rPr>
          <w:spacing w:val="-11"/>
        </w:rPr>
        <w:t xml:space="preserve"> </w:t>
      </w:r>
      <w:r>
        <w:t>víctimas</w:t>
      </w:r>
      <w:r>
        <w:rPr>
          <w:spacing w:val="-11"/>
        </w:rPr>
        <w:t xml:space="preserve"> </w:t>
      </w:r>
      <w:r>
        <w:t>y</w:t>
      </w:r>
      <w:r>
        <w:rPr>
          <w:spacing w:val="-11"/>
        </w:rPr>
        <w:t xml:space="preserve"> </w:t>
      </w:r>
      <w:r>
        <w:t>sus representantes. El Estado deberá informar cada año a esta Corte los avances en la implementación.</w:t>
      </w:r>
      <w:r>
        <w:rPr>
          <w:spacing w:val="-19"/>
        </w:rPr>
        <w:t xml:space="preserve"> </w:t>
      </w:r>
      <w:r>
        <w:t>Dicho</w:t>
      </w:r>
      <w:r>
        <w:rPr>
          <w:spacing w:val="-17"/>
        </w:rPr>
        <w:t xml:space="preserve"> </w:t>
      </w:r>
      <w:r>
        <w:t>programa</w:t>
      </w:r>
      <w:r>
        <w:rPr>
          <w:spacing w:val="-17"/>
        </w:rPr>
        <w:t xml:space="preserve"> </w:t>
      </w:r>
      <w:r>
        <w:t>debe</w:t>
      </w:r>
      <w:r>
        <w:rPr>
          <w:spacing w:val="-20"/>
        </w:rPr>
        <w:t xml:space="preserve"> </w:t>
      </w:r>
      <w:r>
        <w:t>hacer</w:t>
      </w:r>
      <w:r>
        <w:rPr>
          <w:spacing w:val="-19"/>
        </w:rPr>
        <w:t xml:space="preserve"> </w:t>
      </w:r>
      <w:r>
        <w:t>frente,</w:t>
      </w:r>
      <w:r>
        <w:rPr>
          <w:spacing w:val="-19"/>
        </w:rPr>
        <w:t xml:space="preserve"> </w:t>
      </w:r>
      <w:r>
        <w:t>necesariamente,</w:t>
      </w:r>
      <w:r>
        <w:rPr>
          <w:spacing w:val="-19"/>
        </w:rPr>
        <w:t xml:space="preserve"> </w:t>
      </w:r>
      <w:r>
        <w:t>a</w:t>
      </w:r>
      <w:r>
        <w:rPr>
          <w:spacing w:val="-15"/>
        </w:rPr>
        <w:t xml:space="preserve"> </w:t>
      </w:r>
      <w:r>
        <w:t>la</w:t>
      </w:r>
      <w:r>
        <w:rPr>
          <w:spacing w:val="-18"/>
        </w:rPr>
        <w:t xml:space="preserve"> </w:t>
      </w:r>
      <w:r>
        <w:t>falta</w:t>
      </w:r>
      <w:r>
        <w:rPr>
          <w:spacing w:val="-18"/>
        </w:rPr>
        <w:t xml:space="preserve"> </w:t>
      </w:r>
      <w:r>
        <w:t>de</w:t>
      </w:r>
      <w:r>
        <w:rPr>
          <w:spacing w:val="-19"/>
        </w:rPr>
        <w:t xml:space="preserve"> </w:t>
      </w:r>
      <w:r>
        <w:t>alternativas de trabajo, especialmente para las y los jóvenes mayores de 16 años y mujeres</w:t>
      </w:r>
      <w:r>
        <w:t xml:space="preserve"> afrodescendientes que viven en condición de pobreza. El programa debe incluir, entre otros: la creación de cursos de capacitación profesional y/o técnicos que permitan la inserción     de trabajadoras y trabajadores en otros mercados laborales, como el co</w:t>
      </w:r>
      <w:r>
        <w:t xml:space="preserve">mercio, el agropecuario, la informática, entre otras actividades económicas relevantes en la región; medidas orientadas a enfrentar la deserción escolar causada por el ingreso de menores de edad al mercado laboral, y campañas de sensibilización en materia </w:t>
      </w:r>
      <w:r>
        <w:t>de derechos laborales y riesgos inherentes a la fabricación de fuegos</w:t>
      </w:r>
      <w:r>
        <w:rPr>
          <w:spacing w:val="-3"/>
        </w:rPr>
        <w:t xml:space="preserve"> </w:t>
      </w:r>
      <w:r>
        <w:t>artificiales.</w:t>
      </w:r>
    </w:p>
    <w:p w14:paraId="15DBA9D6" w14:textId="77777777" w:rsidR="00467FCA" w:rsidRDefault="00467FCA">
      <w:pPr>
        <w:pStyle w:val="Textoindependiente"/>
        <w:spacing w:before="1"/>
      </w:pPr>
    </w:p>
    <w:p w14:paraId="270F3935" w14:textId="77777777" w:rsidR="00467FCA" w:rsidRDefault="001B68EB">
      <w:pPr>
        <w:pStyle w:val="Prrafodelista"/>
        <w:numPr>
          <w:ilvl w:val="0"/>
          <w:numId w:val="38"/>
        </w:numPr>
        <w:tabs>
          <w:tab w:val="left" w:pos="686"/>
        </w:tabs>
        <w:ind w:right="117" w:firstLine="0"/>
        <w:jc w:val="both"/>
        <w:rPr>
          <w:sz w:val="20"/>
        </w:rPr>
      </w:pPr>
      <w:r>
        <w:rPr>
          <w:sz w:val="20"/>
        </w:rPr>
        <w:t>A efectos del cumplimiento de esta medida, deben tenerse en cuenta las principales actividades económicas de la región, la eventual necesidad de incentivar otras actividad</w:t>
      </w:r>
      <w:r>
        <w:rPr>
          <w:sz w:val="20"/>
        </w:rPr>
        <w:t>es económicas, la necesidad de garantizar una adecuada formación de los trabajadores para el desempeño</w:t>
      </w:r>
      <w:r>
        <w:rPr>
          <w:spacing w:val="-8"/>
          <w:sz w:val="20"/>
        </w:rPr>
        <w:t xml:space="preserve"> </w:t>
      </w:r>
      <w:r>
        <w:rPr>
          <w:sz w:val="20"/>
        </w:rPr>
        <w:t>de</w:t>
      </w:r>
      <w:r>
        <w:rPr>
          <w:spacing w:val="-5"/>
          <w:sz w:val="20"/>
        </w:rPr>
        <w:t xml:space="preserve"> </w:t>
      </w:r>
      <w:r>
        <w:rPr>
          <w:sz w:val="20"/>
        </w:rPr>
        <w:t>ciertas</w:t>
      </w:r>
      <w:r>
        <w:rPr>
          <w:spacing w:val="-5"/>
          <w:sz w:val="20"/>
        </w:rPr>
        <w:t xml:space="preserve"> </w:t>
      </w:r>
      <w:r>
        <w:rPr>
          <w:sz w:val="20"/>
        </w:rPr>
        <w:t>actividades</w:t>
      </w:r>
      <w:r>
        <w:rPr>
          <w:spacing w:val="-5"/>
          <w:sz w:val="20"/>
        </w:rPr>
        <w:t xml:space="preserve"> </w:t>
      </w:r>
      <w:r>
        <w:rPr>
          <w:sz w:val="20"/>
        </w:rPr>
        <w:t>profesionales</w:t>
      </w:r>
      <w:r>
        <w:rPr>
          <w:spacing w:val="-5"/>
          <w:sz w:val="20"/>
        </w:rPr>
        <w:t xml:space="preserve"> </w:t>
      </w:r>
      <w:r>
        <w:rPr>
          <w:sz w:val="20"/>
        </w:rPr>
        <w:t>y</w:t>
      </w:r>
      <w:r>
        <w:rPr>
          <w:spacing w:val="-6"/>
          <w:sz w:val="20"/>
        </w:rPr>
        <w:t xml:space="preserve"> </w:t>
      </w:r>
      <w:r>
        <w:rPr>
          <w:sz w:val="20"/>
        </w:rPr>
        <w:t>la</w:t>
      </w:r>
      <w:r>
        <w:rPr>
          <w:spacing w:val="-4"/>
          <w:sz w:val="20"/>
        </w:rPr>
        <w:t xml:space="preserve"> </w:t>
      </w:r>
      <w:r>
        <w:rPr>
          <w:sz w:val="20"/>
        </w:rPr>
        <w:t>obligación</w:t>
      </w:r>
      <w:r>
        <w:rPr>
          <w:spacing w:val="-5"/>
          <w:sz w:val="20"/>
        </w:rPr>
        <w:t xml:space="preserve"> </w:t>
      </w:r>
      <w:r>
        <w:rPr>
          <w:sz w:val="20"/>
        </w:rPr>
        <w:t>de</w:t>
      </w:r>
      <w:r>
        <w:rPr>
          <w:spacing w:val="-5"/>
          <w:sz w:val="20"/>
        </w:rPr>
        <w:t xml:space="preserve"> </w:t>
      </w:r>
      <w:r>
        <w:rPr>
          <w:sz w:val="20"/>
        </w:rPr>
        <w:t>erradicar</w:t>
      </w:r>
      <w:r>
        <w:rPr>
          <w:spacing w:val="-5"/>
          <w:sz w:val="20"/>
        </w:rPr>
        <w:t xml:space="preserve"> </w:t>
      </w:r>
      <w:r>
        <w:rPr>
          <w:sz w:val="20"/>
        </w:rPr>
        <w:t>el</w:t>
      </w:r>
      <w:r>
        <w:rPr>
          <w:spacing w:val="-4"/>
          <w:sz w:val="20"/>
        </w:rPr>
        <w:t xml:space="preserve"> </w:t>
      </w:r>
      <w:r>
        <w:rPr>
          <w:sz w:val="20"/>
        </w:rPr>
        <w:t>trabajo</w:t>
      </w:r>
      <w:r>
        <w:rPr>
          <w:spacing w:val="-5"/>
          <w:sz w:val="20"/>
        </w:rPr>
        <w:t xml:space="preserve"> </w:t>
      </w:r>
      <w:r>
        <w:rPr>
          <w:sz w:val="20"/>
        </w:rPr>
        <w:t>infantil de acuerdo los estándares del derecho</w:t>
      </w:r>
      <w:r>
        <w:rPr>
          <w:spacing w:val="-9"/>
          <w:sz w:val="20"/>
        </w:rPr>
        <w:t xml:space="preserve"> </w:t>
      </w:r>
      <w:r>
        <w:rPr>
          <w:sz w:val="20"/>
        </w:rPr>
        <w:t>internacional</w:t>
      </w:r>
      <w:hyperlink w:anchor="_bookmark437" w:history="1">
        <w:r>
          <w:rPr>
            <w:position w:val="7"/>
            <w:sz w:val="13"/>
          </w:rPr>
          <w:t>365</w:t>
        </w:r>
      </w:hyperlink>
      <w:r>
        <w:rPr>
          <w:sz w:val="20"/>
        </w:rPr>
        <w:t>.</w:t>
      </w:r>
    </w:p>
    <w:p w14:paraId="0E125E27" w14:textId="77777777" w:rsidR="00467FCA" w:rsidRDefault="00467FCA">
      <w:pPr>
        <w:pStyle w:val="Textoindependiente"/>
        <w:spacing w:before="10"/>
        <w:rPr>
          <w:sz w:val="19"/>
        </w:rPr>
      </w:pPr>
    </w:p>
    <w:p w14:paraId="71B2C4F9" w14:textId="77777777" w:rsidR="00467FCA" w:rsidRDefault="001B68EB">
      <w:pPr>
        <w:pStyle w:val="Prrafodelista"/>
        <w:numPr>
          <w:ilvl w:val="0"/>
          <w:numId w:val="38"/>
        </w:numPr>
        <w:tabs>
          <w:tab w:val="left" w:pos="687"/>
        </w:tabs>
        <w:ind w:right="117" w:firstLine="0"/>
        <w:jc w:val="both"/>
        <w:rPr>
          <w:sz w:val="20"/>
        </w:rPr>
      </w:pPr>
      <w:r>
        <w:rPr>
          <w:sz w:val="20"/>
        </w:rPr>
        <w:t>Teniendo en consideración que el presente caso se refiere también a la temática de empresas y derechos humanos, la Corte estima pertinente ordenar al Estado que en el plazo de</w:t>
      </w:r>
      <w:r>
        <w:rPr>
          <w:spacing w:val="-13"/>
          <w:sz w:val="20"/>
        </w:rPr>
        <w:t xml:space="preserve"> </w:t>
      </w:r>
      <w:r>
        <w:rPr>
          <w:sz w:val="20"/>
        </w:rPr>
        <w:t>un</w:t>
      </w:r>
      <w:r>
        <w:rPr>
          <w:spacing w:val="-10"/>
          <w:sz w:val="20"/>
        </w:rPr>
        <w:t xml:space="preserve"> </w:t>
      </w:r>
      <w:r>
        <w:rPr>
          <w:sz w:val="20"/>
        </w:rPr>
        <w:t>año</w:t>
      </w:r>
      <w:r>
        <w:rPr>
          <w:spacing w:val="-12"/>
          <w:sz w:val="20"/>
        </w:rPr>
        <w:t xml:space="preserve"> </w:t>
      </w:r>
      <w:r>
        <w:rPr>
          <w:sz w:val="20"/>
        </w:rPr>
        <w:t>rinda</w:t>
      </w:r>
      <w:r>
        <w:rPr>
          <w:spacing w:val="-11"/>
          <w:sz w:val="20"/>
        </w:rPr>
        <w:t xml:space="preserve"> </w:t>
      </w:r>
      <w:r>
        <w:rPr>
          <w:sz w:val="20"/>
        </w:rPr>
        <w:t>un</w:t>
      </w:r>
      <w:r>
        <w:rPr>
          <w:spacing w:val="-10"/>
          <w:sz w:val="20"/>
        </w:rPr>
        <w:t xml:space="preserve"> </w:t>
      </w:r>
      <w:r>
        <w:rPr>
          <w:sz w:val="20"/>
        </w:rPr>
        <w:t>informe</w:t>
      </w:r>
      <w:r>
        <w:rPr>
          <w:spacing w:val="-12"/>
          <w:sz w:val="20"/>
        </w:rPr>
        <w:t xml:space="preserve"> </w:t>
      </w:r>
      <w:r>
        <w:rPr>
          <w:sz w:val="20"/>
        </w:rPr>
        <w:t>sobre</w:t>
      </w:r>
      <w:r>
        <w:rPr>
          <w:spacing w:val="-12"/>
          <w:sz w:val="20"/>
        </w:rPr>
        <w:t xml:space="preserve"> </w:t>
      </w:r>
      <w:r>
        <w:rPr>
          <w:sz w:val="20"/>
        </w:rPr>
        <w:t>la</w:t>
      </w:r>
      <w:r>
        <w:rPr>
          <w:spacing w:val="-11"/>
          <w:sz w:val="20"/>
        </w:rPr>
        <w:t xml:space="preserve"> </w:t>
      </w:r>
      <w:r>
        <w:rPr>
          <w:sz w:val="20"/>
        </w:rPr>
        <w:t>implementación</w:t>
      </w:r>
      <w:r>
        <w:rPr>
          <w:spacing w:val="-10"/>
          <w:sz w:val="20"/>
        </w:rPr>
        <w:t xml:space="preserve"> </w:t>
      </w:r>
      <w:r>
        <w:rPr>
          <w:sz w:val="20"/>
        </w:rPr>
        <w:t>y</w:t>
      </w:r>
      <w:r>
        <w:rPr>
          <w:spacing w:val="-12"/>
          <w:sz w:val="20"/>
        </w:rPr>
        <w:t xml:space="preserve"> </w:t>
      </w:r>
      <w:r>
        <w:rPr>
          <w:sz w:val="20"/>
        </w:rPr>
        <w:t>aplicación</w:t>
      </w:r>
      <w:r>
        <w:rPr>
          <w:spacing w:val="-10"/>
          <w:sz w:val="20"/>
        </w:rPr>
        <w:t xml:space="preserve"> </w:t>
      </w:r>
      <w:r>
        <w:rPr>
          <w:sz w:val="20"/>
        </w:rPr>
        <w:t>de</w:t>
      </w:r>
      <w:r>
        <w:rPr>
          <w:spacing w:val="-12"/>
          <w:sz w:val="20"/>
        </w:rPr>
        <w:t xml:space="preserve"> </w:t>
      </w:r>
      <w:r>
        <w:rPr>
          <w:sz w:val="20"/>
        </w:rPr>
        <w:t>las</w:t>
      </w:r>
      <w:r>
        <w:rPr>
          <w:spacing w:val="-10"/>
          <w:sz w:val="20"/>
        </w:rPr>
        <w:t xml:space="preserve"> </w:t>
      </w:r>
      <w:r>
        <w:rPr>
          <w:sz w:val="20"/>
        </w:rPr>
        <w:t>Directrices</w:t>
      </w:r>
      <w:r>
        <w:rPr>
          <w:spacing w:val="-8"/>
          <w:sz w:val="20"/>
        </w:rPr>
        <w:t xml:space="preserve"> </w:t>
      </w:r>
      <w:r>
        <w:rPr>
          <w:sz w:val="20"/>
        </w:rPr>
        <w:t>Nacionales sobre Empresas y Derechos Humanos</w:t>
      </w:r>
      <w:hyperlink w:anchor="_bookmark438" w:history="1">
        <w:r>
          <w:rPr>
            <w:position w:val="7"/>
            <w:sz w:val="13"/>
          </w:rPr>
          <w:t>366</w:t>
        </w:r>
      </w:hyperlink>
      <w:r>
        <w:rPr>
          <w:sz w:val="20"/>
        </w:rPr>
        <w:t>, especialmente en lo respecta a la promoción y el apoyo a medidas de inclusión y no discriminación mediante la creación de programas de incentivos para la contratación de grupo</w:t>
      </w:r>
      <w:r>
        <w:rPr>
          <w:sz w:val="20"/>
        </w:rPr>
        <w:t>s vulnerables</w:t>
      </w:r>
      <w:hyperlink w:anchor="_bookmark439" w:history="1">
        <w:r>
          <w:rPr>
            <w:position w:val="7"/>
            <w:sz w:val="13"/>
          </w:rPr>
          <w:t>367</w:t>
        </w:r>
      </w:hyperlink>
      <w:r>
        <w:rPr>
          <w:sz w:val="20"/>
        </w:rPr>
        <w:t>; la implementación por parte de las empresas de actividades educativas en derechos humanos, con la difusión de la legislación nacional y los parámetros internacionales y un enfoque en las normas relevantes p</w:t>
      </w:r>
      <w:r>
        <w:rPr>
          <w:sz w:val="20"/>
        </w:rPr>
        <w:t>ara la práctica de las personas y los riesgos para los derechos</w:t>
      </w:r>
      <w:r>
        <w:rPr>
          <w:spacing w:val="-10"/>
          <w:sz w:val="20"/>
        </w:rPr>
        <w:t xml:space="preserve"> </w:t>
      </w:r>
      <w:r>
        <w:rPr>
          <w:sz w:val="20"/>
        </w:rPr>
        <w:t>humanos</w:t>
      </w:r>
      <w:hyperlink w:anchor="_bookmark440" w:history="1">
        <w:r>
          <w:rPr>
            <w:position w:val="7"/>
            <w:sz w:val="13"/>
          </w:rPr>
          <w:t>368</w:t>
        </w:r>
      </w:hyperlink>
      <w:r>
        <w:rPr>
          <w:sz w:val="20"/>
        </w:rPr>
        <w:t>.</w:t>
      </w:r>
    </w:p>
    <w:p w14:paraId="723B773F" w14:textId="77777777" w:rsidR="00467FCA" w:rsidRDefault="00467FCA">
      <w:pPr>
        <w:pStyle w:val="Textoindependiente"/>
        <w:spacing w:before="1"/>
      </w:pPr>
    </w:p>
    <w:p w14:paraId="6E5A9037" w14:textId="77777777" w:rsidR="00467FCA" w:rsidRDefault="001B68EB">
      <w:pPr>
        <w:pStyle w:val="Ttulo1"/>
        <w:numPr>
          <w:ilvl w:val="0"/>
          <w:numId w:val="37"/>
        </w:numPr>
        <w:tabs>
          <w:tab w:val="left" w:pos="754"/>
        </w:tabs>
        <w:ind w:left="753" w:hanging="274"/>
      </w:pPr>
      <w:bookmarkStart w:id="501" w:name="F.__Indemnizaciones_compensatorias"/>
      <w:bookmarkStart w:id="502" w:name="_bookmark434"/>
      <w:bookmarkEnd w:id="501"/>
      <w:bookmarkEnd w:id="502"/>
      <w:r>
        <w:t>Indemnizaciones</w:t>
      </w:r>
      <w:r>
        <w:rPr>
          <w:spacing w:val="-1"/>
        </w:rPr>
        <w:t xml:space="preserve"> </w:t>
      </w:r>
      <w:r>
        <w:t>compensatorias</w:t>
      </w:r>
    </w:p>
    <w:p w14:paraId="235B7037" w14:textId="77777777" w:rsidR="00467FCA" w:rsidRDefault="00467FCA">
      <w:pPr>
        <w:pStyle w:val="Textoindependiente"/>
        <w:spacing w:before="1"/>
        <w:rPr>
          <w:b/>
        </w:rPr>
      </w:pPr>
    </w:p>
    <w:p w14:paraId="05ECA68E" w14:textId="77777777" w:rsidR="00467FCA" w:rsidRDefault="001B68EB">
      <w:pPr>
        <w:pStyle w:val="Ttulo2"/>
        <w:numPr>
          <w:ilvl w:val="1"/>
          <w:numId w:val="37"/>
        </w:numPr>
        <w:tabs>
          <w:tab w:val="left" w:pos="1458"/>
          <w:tab w:val="left" w:pos="1459"/>
        </w:tabs>
        <w:ind w:left="1458" w:hanging="619"/>
      </w:pPr>
      <w:bookmarkStart w:id="503" w:name="F.1.___Daños_materiales"/>
      <w:bookmarkStart w:id="504" w:name="_bookmark435"/>
      <w:bookmarkEnd w:id="503"/>
      <w:bookmarkEnd w:id="504"/>
      <w:r>
        <w:t>Daños</w:t>
      </w:r>
      <w:r>
        <w:rPr>
          <w:spacing w:val="-1"/>
        </w:rPr>
        <w:t xml:space="preserve"> </w:t>
      </w:r>
      <w:r>
        <w:t>materiales</w:t>
      </w:r>
    </w:p>
    <w:p w14:paraId="62BE4E61" w14:textId="77777777" w:rsidR="00467FCA" w:rsidRDefault="001B68EB">
      <w:pPr>
        <w:pStyle w:val="Textoindependiente"/>
        <w:spacing w:before="8"/>
        <w:rPr>
          <w:b/>
          <w:i/>
          <w:sz w:val="13"/>
        </w:rPr>
      </w:pPr>
      <w:r>
        <w:pict w14:anchorId="5A5624A8">
          <v:shape id="_x0000_s1122" style="position:absolute;margin-left:1in;margin-top:10.55pt;width:2in;height:.1pt;z-index:-251582464;mso-wrap-distance-left:0;mso-wrap-distance-right:0;mso-position-horizontal-relative:page" coordorigin="1440,211" coordsize="2880,0" path="m1440,211r2880,e" filled="f" strokeweight=".6pt">
            <v:path arrowok="t"/>
            <w10:wrap type="topAndBottom" anchorx="page"/>
          </v:shape>
        </w:pict>
      </w:r>
    </w:p>
    <w:p w14:paraId="39D1D34E" w14:textId="77777777" w:rsidR="00467FCA" w:rsidRDefault="001B68EB">
      <w:pPr>
        <w:tabs>
          <w:tab w:val="left" w:pos="839"/>
        </w:tabs>
        <w:spacing w:before="74"/>
        <w:ind w:left="119" w:right="114"/>
        <w:jc w:val="both"/>
        <w:rPr>
          <w:sz w:val="16"/>
        </w:rPr>
      </w:pPr>
      <w:bookmarkStart w:id="505" w:name="_bookmark436"/>
      <w:bookmarkEnd w:id="505"/>
      <w:r>
        <w:rPr>
          <w:position w:val="6"/>
          <w:sz w:val="10"/>
        </w:rPr>
        <w:t>364</w:t>
      </w:r>
      <w:r>
        <w:rPr>
          <w:position w:val="6"/>
          <w:sz w:val="10"/>
        </w:rPr>
        <w:tab/>
      </w:r>
      <w:r>
        <w:rPr>
          <w:i/>
          <w:sz w:val="16"/>
        </w:rPr>
        <w:t xml:space="preserve">Cfr. </w:t>
      </w:r>
      <w:r>
        <w:rPr>
          <w:sz w:val="16"/>
        </w:rPr>
        <w:t>Declaraciones rendidas por de Maria Balbina dos Santos y Leila Cerqueira dos Santos en Audiencia Pública,</w:t>
      </w:r>
      <w:r>
        <w:rPr>
          <w:spacing w:val="-2"/>
          <w:sz w:val="16"/>
        </w:rPr>
        <w:t xml:space="preserve"> </w:t>
      </w:r>
      <w:r>
        <w:rPr>
          <w:i/>
          <w:sz w:val="16"/>
        </w:rPr>
        <w:t>supra</w:t>
      </w:r>
      <w:r>
        <w:rPr>
          <w:sz w:val="16"/>
        </w:rPr>
        <w:t>;</w:t>
      </w:r>
      <w:r>
        <w:rPr>
          <w:spacing w:val="-5"/>
          <w:sz w:val="16"/>
        </w:rPr>
        <w:t xml:space="preserve"> </w:t>
      </w:r>
      <w:r>
        <w:rPr>
          <w:sz w:val="16"/>
        </w:rPr>
        <w:t>Peritaje</w:t>
      </w:r>
      <w:r>
        <w:rPr>
          <w:spacing w:val="-2"/>
          <w:sz w:val="16"/>
        </w:rPr>
        <w:t xml:space="preserve"> </w:t>
      </w:r>
      <w:r>
        <w:rPr>
          <w:sz w:val="16"/>
        </w:rPr>
        <w:t>rendido</w:t>
      </w:r>
      <w:r>
        <w:rPr>
          <w:spacing w:val="-3"/>
          <w:sz w:val="16"/>
        </w:rPr>
        <w:t xml:space="preserve"> </w:t>
      </w:r>
      <w:r>
        <w:rPr>
          <w:sz w:val="16"/>
        </w:rPr>
        <w:t>por</w:t>
      </w:r>
      <w:r>
        <w:rPr>
          <w:spacing w:val="-3"/>
          <w:sz w:val="16"/>
        </w:rPr>
        <w:t xml:space="preserve"> </w:t>
      </w:r>
      <w:r>
        <w:rPr>
          <w:sz w:val="16"/>
        </w:rPr>
        <w:t>Sônia</w:t>
      </w:r>
      <w:r>
        <w:rPr>
          <w:spacing w:val="-3"/>
          <w:sz w:val="16"/>
        </w:rPr>
        <w:t xml:space="preserve"> </w:t>
      </w:r>
      <w:r>
        <w:rPr>
          <w:sz w:val="16"/>
        </w:rPr>
        <w:t>Marise</w:t>
      </w:r>
      <w:r>
        <w:rPr>
          <w:spacing w:val="-3"/>
          <w:sz w:val="16"/>
        </w:rPr>
        <w:t xml:space="preserve"> </w:t>
      </w:r>
      <w:r>
        <w:rPr>
          <w:sz w:val="16"/>
        </w:rPr>
        <w:t>Rodrigues</w:t>
      </w:r>
      <w:r>
        <w:rPr>
          <w:spacing w:val="-6"/>
          <w:sz w:val="16"/>
        </w:rPr>
        <w:t xml:space="preserve"> </w:t>
      </w:r>
      <w:r>
        <w:rPr>
          <w:sz w:val="16"/>
        </w:rPr>
        <w:t>Pereira</w:t>
      </w:r>
      <w:r>
        <w:rPr>
          <w:spacing w:val="-3"/>
          <w:sz w:val="16"/>
        </w:rPr>
        <w:t xml:space="preserve"> </w:t>
      </w:r>
      <w:r>
        <w:rPr>
          <w:sz w:val="16"/>
        </w:rPr>
        <w:t>Tomasoni,</w:t>
      </w:r>
      <w:r>
        <w:rPr>
          <w:spacing w:val="-5"/>
          <w:sz w:val="16"/>
        </w:rPr>
        <w:t xml:space="preserve"> </w:t>
      </w:r>
      <w:r>
        <w:rPr>
          <w:i/>
          <w:sz w:val="16"/>
        </w:rPr>
        <w:t>supra</w:t>
      </w:r>
      <w:r>
        <w:rPr>
          <w:sz w:val="16"/>
        </w:rPr>
        <w:t>;</w:t>
      </w:r>
      <w:r>
        <w:rPr>
          <w:spacing w:val="-4"/>
          <w:sz w:val="16"/>
        </w:rPr>
        <w:t xml:space="preserve"> </w:t>
      </w:r>
      <w:r>
        <w:rPr>
          <w:sz w:val="16"/>
        </w:rPr>
        <w:t>Documento</w:t>
      </w:r>
      <w:r>
        <w:rPr>
          <w:spacing w:val="-3"/>
          <w:sz w:val="16"/>
        </w:rPr>
        <w:t xml:space="preserve"> </w:t>
      </w:r>
      <w:r>
        <w:rPr>
          <w:sz w:val="16"/>
        </w:rPr>
        <w:t>Síntesis</w:t>
      </w:r>
      <w:r>
        <w:rPr>
          <w:spacing w:val="-3"/>
          <w:sz w:val="16"/>
        </w:rPr>
        <w:t xml:space="preserve"> </w:t>
      </w:r>
      <w:r>
        <w:rPr>
          <w:sz w:val="16"/>
        </w:rPr>
        <w:t>del</w:t>
      </w:r>
      <w:r>
        <w:rPr>
          <w:spacing w:val="-3"/>
          <w:sz w:val="16"/>
        </w:rPr>
        <w:t xml:space="preserve"> </w:t>
      </w:r>
      <w:r>
        <w:rPr>
          <w:sz w:val="16"/>
        </w:rPr>
        <w:t xml:space="preserve">Grupo de Trabajo, </w:t>
      </w:r>
      <w:r>
        <w:rPr>
          <w:i/>
          <w:sz w:val="16"/>
        </w:rPr>
        <w:t>supra</w:t>
      </w:r>
      <w:r>
        <w:rPr>
          <w:sz w:val="16"/>
        </w:rPr>
        <w:t>; BARBOSA JÚNIOR, José Amând</w:t>
      </w:r>
      <w:r>
        <w:rPr>
          <w:sz w:val="16"/>
        </w:rPr>
        <w:t xml:space="preserve">io. </w:t>
      </w:r>
      <w:r>
        <w:rPr>
          <w:i/>
          <w:sz w:val="16"/>
        </w:rPr>
        <w:t>“La Producción de Fuegos Artificiales en el Municipio de Santo Antônio de Jesus/BA: un análisis de su contribución para el desarrollo local”</w:t>
      </w:r>
      <w:r>
        <w:rPr>
          <w:sz w:val="16"/>
        </w:rPr>
        <w:t xml:space="preserve">, </w:t>
      </w:r>
      <w:r>
        <w:rPr>
          <w:i/>
          <w:sz w:val="16"/>
        </w:rPr>
        <w:t xml:space="preserve">supra </w:t>
      </w:r>
      <w:r>
        <w:rPr>
          <w:sz w:val="16"/>
        </w:rPr>
        <w:t xml:space="preserve">y SANTOS, Ana Maria. </w:t>
      </w:r>
      <w:r>
        <w:rPr>
          <w:i/>
          <w:sz w:val="16"/>
        </w:rPr>
        <w:t xml:space="preserve">“La Clandestinidad como Expresión de la Precarización del Trabajo en la Producción </w:t>
      </w:r>
      <w:r>
        <w:rPr>
          <w:i/>
          <w:sz w:val="16"/>
        </w:rPr>
        <w:t>del Cohete de Masa en el Municipio de Santo Antônio de Jesus – Bahia: un estudio de caso en el barrio Irmã Dulce”</w:t>
      </w:r>
      <w:r>
        <w:rPr>
          <w:sz w:val="16"/>
        </w:rPr>
        <w:t>,</w:t>
      </w:r>
      <w:r>
        <w:rPr>
          <w:spacing w:val="-19"/>
          <w:sz w:val="16"/>
        </w:rPr>
        <w:t xml:space="preserve"> </w:t>
      </w:r>
      <w:r>
        <w:rPr>
          <w:i/>
          <w:sz w:val="16"/>
        </w:rPr>
        <w:t>supra</w:t>
      </w:r>
      <w:r>
        <w:rPr>
          <w:sz w:val="16"/>
        </w:rPr>
        <w:t>.</w:t>
      </w:r>
    </w:p>
    <w:p w14:paraId="41A418AC" w14:textId="77777777" w:rsidR="00467FCA" w:rsidRDefault="001B68EB">
      <w:pPr>
        <w:tabs>
          <w:tab w:val="left" w:pos="839"/>
        </w:tabs>
        <w:ind w:left="117" w:right="115" w:firstLine="2"/>
        <w:jc w:val="both"/>
        <w:rPr>
          <w:sz w:val="16"/>
        </w:rPr>
      </w:pPr>
      <w:bookmarkStart w:id="506" w:name="_bookmark437"/>
      <w:bookmarkEnd w:id="506"/>
      <w:r>
        <w:rPr>
          <w:position w:val="6"/>
          <w:sz w:val="10"/>
        </w:rPr>
        <w:t>365</w:t>
      </w:r>
      <w:r>
        <w:rPr>
          <w:position w:val="6"/>
          <w:sz w:val="10"/>
        </w:rPr>
        <w:tab/>
      </w:r>
      <w:r>
        <w:rPr>
          <w:i/>
          <w:sz w:val="16"/>
        </w:rPr>
        <w:t xml:space="preserve">Cfr. </w:t>
      </w:r>
      <w:r>
        <w:rPr>
          <w:sz w:val="16"/>
        </w:rPr>
        <w:t xml:space="preserve">Organización Internacional del Trabajo. </w:t>
      </w:r>
      <w:r>
        <w:rPr>
          <w:i/>
          <w:sz w:val="16"/>
        </w:rPr>
        <w:t>Convenio 138: Convenio sobre la edad mínima</w:t>
      </w:r>
      <w:r>
        <w:rPr>
          <w:sz w:val="16"/>
        </w:rPr>
        <w:t>, 1973; Organización</w:t>
      </w:r>
      <w:r>
        <w:rPr>
          <w:spacing w:val="-9"/>
          <w:sz w:val="16"/>
        </w:rPr>
        <w:t xml:space="preserve"> </w:t>
      </w:r>
      <w:r>
        <w:rPr>
          <w:sz w:val="16"/>
        </w:rPr>
        <w:t>Internacional</w:t>
      </w:r>
      <w:r>
        <w:rPr>
          <w:spacing w:val="-9"/>
          <w:sz w:val="16"/>
        </w:rPr>
        <w:t xml:space="preserve"> </w:t>
      </w:r>
      <w:r>
        <w:rPr>
          <w:sz w:val="16"/>
        </w:rPr>
        <w:t>del</w:t>
      </w:r>
      <w:r>
        <w:rPr>
          <w:spacing w:val="-8"/>
          <w:sz w:val="16"/>
        </w:rPr>
        <w:t xml:space="preserve"> </w:t>
      </w:r>
      <w:r>
        <w:rPr>
          <w:sz w:val="16"/>
        </w:rPr>
        <w:t>Tra</w:t>
      </w:r>
      <w:r>
        <w:rPr>
          <w:sz w:val="16"/>
        </w:rPr>
        <w:t>bajo,</w:t>
      </w:r>
      <w:r>
        <w:rPr>
          <w:spacing w:val="-9"/>
          <w:sz w:val="16"/>
        </w:rPr>
        <w:t xml:space="preserve"> </w:t>
      </w:r>
      <w:r>
        <w:rPr>
          <w:i/>
          <w:sz w:val="16"/>
        </w:rPr>
        <w:t>Convenio</w:t>
      </w:r>
      <w:r>
        <w:rPr>
          <w:i/>
          <w:spacing w:val="-9"/>
          <w:sz w:val="16"/>
        </w:rPr>
        <w:t xml:space="preserve"> </w:t>
      </w:r>
      <w:r>
        <w:rPr>
          <w:i/>
          <w:sz w:val="16"/>
        </w:rPr>
        <w:t>182:</w:t>
      </w:r>
      <w:r>
        <w:rPr>
          <w:i/>
          <w:spacing w:val="-10"/>
          <w:sz w:val="16"/>
        </w:rPr>
        <w:t xml:space="preserve"> </w:t>
      </w:r>
      <w:r>
        <w:rPr>
          <w:i/>
          <w:sz w:val="16"/>
        </w:rPr>
        <w:t>Convenio</w:t>
      </w:r>
      <w:r>
        <w:rPr>
          <w:i/>
          <w:spacing w:val="-7"/>
          <w:sz w:val="16"/>
        </w:rPr>
        <w:t xml:space="preserve"> </w:t>
      </w:r>
      <w:r>
        <w:rPr>
          <w:i/>
          <w:sz w:val="16"/>
        </w:rPr>
        <w:t>sobre</w:t>
      </w:r>
      <w:r>
        <w:rPr>
          <w:i/>
          <w:spacing w:val="-8"/>
          <w:sz w:val="16"/>
        </w:rPr>
        <w:t xml:space="preserve"> </w:t>
      </w:r>
      <w:r>
        <w:rPr>
          <w:i/>
          <w:sz w:val="16"/>
        </w:rPr>
        <w:t>la</w:t>
      </w:r>
      <w:r>
        <w:rPr>
          <w:i/>
          <w:spacing w:val="-10"/>
          <w:sz w:val="16"/>
        </w:rPr>
        <w:t xml:space="preserve"> </w:t>
      </w:r>
      <w:r>
        <w:rPr>
          <w:i/>
          <w:sz w:val="16"/>
        </w:rPr>
        <w:t>prohibición</w:t>
      </w:r>
      <w:r>
        <w:rPr>
          <w:i/>
          <w:spacing w:val="-12"/>
          <w:sz w:val="16"/>
        </w:rPr>
        <w:t xml:space="preserve"> </w:t>
      </w:r>
      <w:r>
        <w:rPr>
          <w:i/>
          <w:sz w:val="16"/>
        </w:rPr>
        <w:t>de</w:t>
      </w:r>
      <w:r>
        <w:rPr>
          <w:i/>
          <w:spacing w:val="-7"/>
          <w:sz w:val="16"/>
        </w:rPr>
        <w:t xml:space="preserve"> </w:t>
      </w:r>
      <w:r>
        <w:rPr>
          <w:i/>
          <w:sz w:val="16"/>
        </w:rPr>
        <w:t>las</w:t>
      </w:r>
      <w:r>
        <w:rPr>
          <w:i/>
          <w:spacing w:val="-8"/>
          <w:sz w:val="16"/>
        </w:rPr>
        <w:t xml:space="preserve"> </w:t>
      </w:r>
      <w:r>
        <w:rPr>
          <w:i/>
          <w:sz w:val="16"/>
        </w:rPr>
        <w:t>peores</w:t>
      </w:r>
      <w:r>
        <w:rPr>
          <w:i/>
          <w:spacing w:val="-10"/>
          <w:sz w:val="16"/>
        </w:rPr>
        <w:t xml:space="preserve"> </w:t>
      </w:r>
      <w:r>
        <w:rPr>
          <w:i/>
          <w:sz w:val="16"/>
        </w:rPr>
        <w:t>formas</w:t>
      </w:r>
      <w:r>
        <w:rPr>
          <w:i/>
          <w:spacing w:val="-11"/>
          <w:sz w:val="16"/>
        </w:rPr>
        <w:t xml:space="preserve"> </w:t>
      </w:r>
      <w:r>
        <w:rPr>
          <w:i/>
          <w:sz w:val="16"/>
        </w:rPr>
        <w:t>de</w:t>
      </w:r>
      <w:r>
        <w:rPr>
          <w:i/>
          <w:spacing w:val="-10"/>
          <w:sz w:val="16"/>
        </w:rPr>
        <w:t xml:space="preserve"> </w:t>
      </w:r>
      <w:r>
        <w:rPr>
          <w:i/>
          <w:sz w:val="16"/>
        </w:rPr>
        <w:t xml:space="preserve">trabajo infantil y la acción inmediata para su eliminación, </w:t>
      </w:r>
      <w:r>
        <w:rPr>
          <w:sz w:val="16"/>
        </w:rPr>
        <w:t>1999 y Organización Internacional del Trabajo. Declaración de la OIT relativa a los Principios y derechos fundamentales en el trabajo, 1998. Disponible en:</w:t>
      </w:r>
      <w:bookmarkStart w:id="507" w:name="_bookmark438"/>
      <w:bookmarkEnd w:id="507"/>
      <w:r>
        <w:rPr>
          <w:sz w:val="16"/>
        </w:rPr>
        <w:t xml:space="preserve"> https</w:t>
      </w:r>
      <w:hyperlink r:id="rId39">
        <w:r>
          <w:rPr>
            <w:sz w:val="16"/>
          </w:rPr>
          <w:t>://w</w:t>
        </w:r>
      </w:hyperlink>
      <w:r>
        <w:rPr>
          <w:sz w:val="16"/>
        </w:rPr>
        <w:t>ww</w:t>
      </w:r>
      <w:hyperlink r:id="rId40">
        <w:r>
          <w:rPr>
            <w:sz w:val="16"/>
          </w:rPr>
          <w:t>.i</w:t>
        </w:r>
      </w:hyperlink>
      <w:r>
        <w:rPr>
          <w:sz w:val="16"/>
        </w:rPr>
        <w:t>l</w:t>
      </w:r>
      <w:hyperlink r:id="rId41">
        <w:r>
          <w:rPr>
            <w:sz w:val="16"/>
          </w:rPr>
          <w:t>o.org/wcmsp5/groups/public/---ed_norm/---declaration/documents/publication/wcms_467655.pdf.</w:t>
        </w:r>
      </w:hyperlink>
    </w:p>
    <w:p w14:paraId="4F53674F" w14:textId="77777777" w:rsidR="00467FCA" w:rsidRDefault="001B68EB">
      <w:pPr>
        <w:tabs>
          <w:tab w:val="left" w:pos="839"/>
        </w:tabs>
        <w:ind w:left="119" w:right="115"/>
        <w:jc w:val="both"/>
        <w:rPr>
          <w:sz w:val="16"/>
        </w:rPr>
      </w:pPr>
      <w:r>
        <w:rPr>
          <w:position w:val="6"/>
          <w:sz w:val="10"/>
        </w:rPr>
        <w:t>366</w:t>
      </w:r>
      <w:r>
        <w:rPr>
          <w:position w:val="6"/>
          <w:sz w:val="10"/>
        </w:rPr>
        <w:tab/>
      </w:r>
      <w:r>
        <w:rPr>
          <w:i/>
          <w:sz w:val="16"/>
        </w:rPr>
        <w:t xml:space="preserve">Cfr. </w:t>
      </w:r>
      <w:r>
        <w:rPr>
          <w:sz w:val="16"/>
        </w:rPr>
        <w:t xml:space="preserve">Decreto No. 9.571 de 21 de noviembre de 2018. Disponible en: </w:t>
      </w:r>
      <w:hyperlink r:id="rId42">
        <w:r>
          <w:rPr>
            <w:sz w:val="16"/>
            <w:u w:val="single"/>
          </w:rPr>
          <w:t>http://www.planalto.gov.br/ccivil_03/_ato2015-2018/2018/Decreto/D9571.htm</w:t>
        </w:r>
        <w:r>
          <w:rPr>
            <w:sz w:val="16"/>
          </w:rPr>
          <w:t>.</w:t>
        </w:r>
      </w:hyperlink>
    </w:p>
    <w:p w14:paraId="4DAF1FF5" w14:textId="77777777" w:rsidR="00467FCA" w:rsidRDefault="001B68EB">
      <w:pPr>
        <w:tabs>
          <w:tab w:val="left" w:pos="839"/>
        </w:tabs>
        <w:ind w:left="120"/>
        <w:jc w:val="both"/>
        <w:rPr>
          <w:sz w:val="16"/>
        </w:rPr>
      </w:pPr>
      <w:bookmarkStart w:id="508" w:name="_bookmark439"/>
      <w:bookmarkEnd w:id="508"/>
      <w:r>
        <w:rPr>
          <w:position w:val="6"/>
          <w:sz w:val="10"/>
        </w:rPr>
        <w:t>367</w:t>
      </w:r>
      <w:r>
        <w:rPr>
          <w:position w:val="6"/>
          <w:sz w:val="10"/>
        </w:rPr>
        <w:tab/>
      </w:r>
      <w:r>
        <w:rPr>
          <w:i/>
          <w:sz w:val="16"/>
        </w:rPr>
        <w:t xml:space="preserve">Cfr. </w:t>
      </w:r>
      <w:r>
        <w:rPr>
          <w:sz w:val="16"/>
        </w:rPr>
        <w:t xml:space="preserve">Decreto No. 9.571 de 21 de noviembre de 2018, </w:t>
      </w:r>
      <w:r>
        <w:rPr>
          <w:i/>
          <w:sz w:val="16"/>
        </w:rPr>
        <w:t>supra</w:t>
      </w:r>
      <w:r>
        <w:rPr>
          <w:sz w:val="16"/>
        </w:rPr>
        <w:t>, artículo 3,</w:t>
      </w:r>
      <w:r>
        <w:rPr>
          <w:spacing w:val="-21"/>
          <w:sz w:val="16"/>
        </w:rPr>
        <w:t xml:space="preserve"> </w:t>
      </w:r>
      <w:r>
        <w:rPr>
          <w:sz w:val="16"/>
        </w:rPr>
        <w:t>XIII.</w:t>
      </w:r>
    </w:p>
    <w:p w14:paraId="5269E72C" w14:textId="77777777" w:rsidR="00467FCA" w:rsidRDefault="001B68EB">
      <w:pPr>
        <w:tabs>
          <w:tab w:val="left" w:pos="839"/>
        </w:tabs>
        <w:ind w:left="120"/>
        <w:jc w:val="both"/>
        <w:rPr>
          <w:sz w:val="16"/>
        </w:rPr>
      </w:pPr>
      <w:bookmarkStart w:id="509" w:name="_bookmark440"/>
      <w:bookmarkEnd w:id="509"/>
      <w:r>
        <w:rPr>
          <w:position w:val="6"/>
          <w:sz w:val="10"/>
        </w:rPr>
        <w:t>368</w:t>
      </w:r>
      <w:r>
        <w:rPr>
          <w:position w:val="6"/>
          <w:sz w:val="10"/>
        </w:rPr>
        <w:tab/>
      </w:r>
      <w:r>
        <w:rPr>
          <w:i/>
          <w:sz w:val="16"/>
        </w:rPr>
        <w:t xml:space="preserve">Cfr. </w:t>
      </w:r>
      <w:r>
        <w:rPr>
          <w:sz w:val="16"/>
        </w:rPr>
        <w:t xml:space="preserve">Decreto No. 9.571 de 21 de noviembre de 2018, </w:t>
      </w:r>
      <w:r>
        <w:rPr>
          <w:i/>
          <w:sz w:val="16"/>
        </w:rPr>
        <w:t>supra</w:t>
      </w:r>
      <w:r>
        <w:rPr>
          <w:sz w:val="16"/>
        </w:rPr>
        <w:t>, artículo 5,</w:t>
      </w:r>
      <w:r>
        <w:rPr>
          <w:spacing w:val="-18"/>
          <w:sz w:val="16"/>
        </w:rPr>
        <w:t xml:space="preserve"> </w:t>
      </w:r>
      <w:r>
        <w:rPr>
          <w:sz w:val="16"/>
        </w:rPr>
        <w:t>I</w:t>
      </w:r>
      <w:r>
        <w:rPr>
          <w:sz w:val="16"/>
        </w:rPr>
        <w:t>II.</w:t>
      </w:r>
    </w:p>
    <w:p w14:paraId="43D675C6" w14:textId="77777777" w:rsidR="00467FCA" w:rsidRDefault="00467FCA">
      <w:pPr>
        <w:jc w:val="both"/>
        <w:rPr>
          <w:sz w:val="16"/>
        </w:rPr>
        <w:sectPr w:rsidR="00467FCA">
          <w:pgSz w:w="12240" w:h="15840"/>
          <w:pgMar w:top="1360" w:right="1320" w:bottom="1220" w:left="1320" w:header="0" w:footer="957" w:gutter="0"/>
          <w:cols w:space="720"/>
        </w:sectPr>
      </w:pPr>
    </w:p>
    <w:p w14:paraId="15711143" w14:textId="77777777" w:rsidR="00467FCA" w:rsidRDefault="001B68EB">
      <w:pPr>
        <w:pStyle w:val="Prrafodelista"/>
        <w:numPr>
          <w:ilvl w:val="0"/>
          <w:numId w:val="38"/>
        </w:numPr>
        <w:tabs>
          <w:tab w:val="left" w:pos="687"/>
        </w:tabs>
        <w:spacing w:before="183"/>
        <w:ind w:right="119" w:firstLine="0"/>
        <w:jc w:val="both"/>
        <w:rPr>
          <w:sz w:val="20"/>
        </w:rPr>
      </w:pPr>
      <w:r>
        <w:rPr>
          <w:sz w:val="20"/>
        </w:rPr>
        <w:t xml:space="preserve">La </w:t>
      </w:r>
      <w:r>
        <w:rPr>
          <w:b/>
          <w:i/>
          <w:sz w:val="20"/>
        </w:rPr>
        <w:t xml:space="preserve">Comisión </w:t>
      </w:r>
      <w:r>
        <w:rPr>
          <w:sz w:val="20"/>
        </w:rPr>
        <w:t>solicitó que las víctimas de este caso sean adecuadamente reparadas, tanto respecto a los daños materiales como</w:t>
      </w:r>
      <w:r>
        <w:rPr>
          <w:spacing w:val="-9"/>
          <w:sz w:val="20"/>
        </w:rPr>
        <w:t xml:space="preserve"> </w:t>
      </w:r>
      <w:r>
        <w:rPr>
          <w:sz w:val="20"/>
        </w:rPr>
        <w:t>inmateriales.</w:t>
      </w:r>
    </w:p>
    <w:p w14:paraId="2DAFF322" w14:textId="77777777" w:rsidR="00467FCA" w:rsidRDefault="00467FCA">
      <w:pPr>
        <w:pStyle w:val="Textoindependiente"/>
      </w:pPr>
    </w:p>
    <w:p w14:paraId="520F373E" w14:textId="77777777" w:rsidR="00467FCA" w:rsidRDefault="001B68EB">
      <w:pPr>
        <w:pStyle w:val="Prrafodelista"/>
        <w:numPr>
          <w:ilvl w:val="0"/>
          <w:numId w:val="38"/>
        </w:numPr>
        <w:tabs>
          <w:tab w:val="left" w:pos="687"/>
        </w:tabs>
        <w:ind w:right="118" w:firstLine="0"/>
        <w:jc w:val="both"/>
        <w:rPr>
          <w:sz w:val="20"/>
        </w:rPr>
      </w:pPr>
      <w:r>
        <w:rPr>
          <w:sz w:val="20"/>
        </w:rPr>
        <w:t xml:space="preserve">Los </w:t>
      </w:r>
      <w:r>
        <w:rPr>
          <w:b/>
          <w:i/>
          <w:sz w:val="20"/>
        </w:rPr>
        <w:t xml:space="preserve">representantes </w:t>
      </w:r>
      <w:r>
        <w:rPr>
          <w:sz w:val="20"/>
        </w:rPr>
        <w:t>destacaron que el resarcimiento de los daños materiales incluye la indemnización</w:t>
      </w:r>
      <w:r>
        <w:rPr>
          <w:sz w:val="20"/>
        </w:rPr>
        <w:t xml:space="preserve"> del daño emergente, así como el lucro cesante y se refirieron a los montos otorgados por la Corte en los casos </w:t>
      </w:r>
      <w:r>
        <w:rPr>
          <w:i/>
          <w:sz w:val="20"/>
        </w:rPr>
        <w:t xml:space="preserve">Gomes Lund y otros Vs. Brasil </w:t>
      </w:r>
      <w:r>
        <w:rPr>
          <w:sz w:val="20"/>
        </w:rPr>
        <w:t xml:space="preserve">e </w:t>
      </w:r>
      <w:r>
        <w:rPr>
          <w:i/>
          <w:sz w:val="20"/>
        </w:rPr>
        <w:t>“Instituto para la Reeducación del Menor” Vs. Paraguay</w:t>
      </w:r>
      <w:r>
        <w:rPr>
          <w:sz w:val="20"/>
        </w:rPr>
        <w:t>. También solicitaron la compensación por los valores gastados por las víctimas sobrevivientes y los familiares en psicólogos, psiquiatras, medicamentos y todas las demás formas terapéuticas utilizadas en la búsqueda de rehabilitación médica y/o</w:t>
      </w:r>
      <w:r>
        <w:rPr>
          <w:spacing w:val="-1"/>
          <w:sz w:val="20"/>
        </w:rPr>
        <w:t xml:space="preserve"> </w:t>
      </w:r>
      <w:r>
        <w:rPr>
          <w:sz w:val="20"/>
        </w:rPr>
        <w:t>psicológic</w:t>
      </w:r>
      <w:r>
        <w:rPr>
          <w:sz w:val="20"/>
        </w:rPr>
        <w:t>a.</w:t>
      </w:r>
    </w:p>
    <w:p w14:paraId="2CC721D6" w14:textId="77777777" w:rsidR="00467FCA" w:rsidRDefault="00467FCA">
      <w:pPr>
        <w:pStyle w:val="Textoindependiente"/>
      </w:pPr>
    </w:p>
    <w:p w14:paraId="6E69E030" w14:textId="77777777" w:rsidR="00467FCA" w:rsidRDefault="001B68EB">
      <w:pPr>
        <w:pStyle w:val="Prrafodelista"/>
        <w:numPr>
          <w:ilvl w:val="0"/>
          <w:numId w:val="38"/>
        </w:numPr>
        <w:tabs>
          <w:tab w:val="left" w:pos="687"/>
        </w:tabs>
        <w:ind w:right="116" w:firstLine="0"/>
        <w:jc w:val="both"/>
        <w:rPr>
          <w:sz w:val="20"/>
        </w:rPr>
      </w:pPr>
      <w:r>
        <w:rPr>
          <w:sz w:val="20"/>
        </w:rPr>
        <w:t xml:space="preserve">El </w:t>
      </w:r>
      <w:r>
        <w:rPr>
          <w:b/>
          <w:i/>
          <w:sz w:val="20"/>
        </w:rPr>
        <w:t xml:space="preserve">Estado </w:t>
      </w:r>
      <w:r>
        <w:rPr>
          <w:sz w:val="20"/>
        </w:rPr>
        <w:t>señaló que esta solicitud debe ser examinada a la luz de las pruebas aportadas,</w:t>
      </w:r>
      <w:r>
        <w:rPr>
          <w:spacing w:val="-5"/>
          <w:sz w:val="20"/>
        </w:rPr>
        <w:t xml:space="preserve"> </w:t>
      </w:r>
      <w:r>
        <w:rPr>
          <w:sz w:val="20"/>
        </w:rPr>
        <w:t>de</w:t>
      </w:r>
      <w:r>
        <w:rPr>
          <w:spacing w:val="-2"/>
          <w:sz w:val="20"/>
        </w:rPr>
        <w:t xml:space="preserve"> </w:t>
      </w:r>
      <w:r>
        <w:rPr>
          <w:sz w:val="20"/>
        </w:rPr>
        <w:t>conformidad</w:t>
      </w:r>
      <w:r>
        <w:rPr>
          <w:spacing w:val="-4"/>
          <w:sz w:val="20"/>
        </w:rPr>
        <w:t xml:space="preserve"> </w:t>
      </w:r>
      <w:r>
        <w:rPr>
          <w:sz w:val="20"/>
        </w:rPr>
        <w:t>con</w:t>
      </w:r>
      <w:r>
        <w:rPr>
          <w:spacing w:val="-2"/>
          <w:sz w:val="20"/>
        </w:rPr>
        <w:t xml:space="preserve"> </w:t>
      </w:r>
      <w:r>
        <w:rPr>
          <w:sz w:val="20"/>
        </w:rPr>
        <w:t>las</w:t>
      </w:r>
      <w:r>
        <w:rPr>
          <w:spacing w:val="-4"/>
          <w:sz w:val="20"/>
        </w:rPr>
        <w:t xml:space="preserve"> </w:t>
      </w:r>
      <w:r>
        <w:rPr>
          <w:sz w:val="20"/>
        </w:rPr>
        <w:t>reglas</w:t>
      </w:r>
      <w:r>
        <w:rPr>
          <w:spacing w:val="-5"/>
          <w:sz w:val="20"/>
        </w:rPr>
        <w:t xml:space="preserve"> </w:t>
      </w:r>
      <w:r>
        <w:rPr>
          <w:sz w:val="20"/>
        </w:rPr>
        <w:t>del</w:t>
      </w:r>
      <w:r>
        <w:rPr>
          <w:spacing w:val="-3"/>
          <w:sz w:val="20"/>
        </w:rPr>
        <w:t xml:space="preserve"> </w:t>
      </w:r>
      <w:r>
        <w:rPr>
          <w:sz w:val="20"/>
        </w:rPr>
        <w:t>debido</w:t>
      </w:r>
      <w:r>
        <w:rPr>
          <w:spacing w:val="-5"/>
          <w:sz w:val="20"/>
        </w:rPr>
        <w:t xml:space="preserve"> </w:t>
      </w:r>
      <w:r>
        <w:rPr>
          <w:sz w:val="20"/>
        </w:rPr>
        <w:t>proceso</w:t>
      </w:r>
      <w:r>
        <w:rPr>
          <w:spacing w:val="-4"/>
          <w:sz w:val="20"/>
        </w:rPr>
        <w:t xml:space="preserve"> </w:t>
      </w:r>
      <w:r>
        <w:rPr>
          <w:sz w:val="20"/>
        </w:rPr>
        <w:t>y</w:t>
      </w:r>
      <w:r>
        <w:rPr>
          <w:spacing w:val="-3"/>
          <w:sz w:val="20"/>
        </w:rPr>
        <w:t xml:space="preserve"> </w:t>
      </w:r>
      <w:r>
        <w:rPr>
          <w:sz w:val="20"/>
        </w:rPr>
        <w:t>no</w:t>
      </w:r>
      <w:r>
        <w:rPr>
          <w:spacing w:val="-3"/>
          <w:sz w:val="20"/>
        </w:rPr>
        <w:t xml:space="preserve"> </w:t>
      </w:r>
      <w:r>
        <w:rPr>
          <w:sz w:val="20"/>
        </w:rPr>
        <w:t>solo</w:t>
      </w:r>
      <w:r>
        <w:rPr>
          <w:spacing w:val="-2"/>
          <w:sz w:val="20"/>
        </w:rPr>
        <w:t xml:space="preserve"> </w:t>
      </w:r>
      <w:r>
        <w:rPr>
          <w:sz w:val="20"/>
        </w:rPr>
        <w:t>según</w:t>
      </w:r>
      <w:r>
        <w:rPr>
          <w:spacing w:val="-3"/>
          <w:sz w:val="20"/>
        </w:rPr>
        <w:t xml:space="preserve"> </w:t>
      </w:r>
      <w:r>
        <w:rPr>
          <w:sz w:val="20"/>
        </w:rPr>
        <w:t>lo</w:t>
      </w:r>
      <w:r>
        <w:rPr>
          <w:spacing w:val="-4"/>
          <w:sz w:val="20"/>
        </w:rPr>
        <w:t xml:space="preserve"> </w:t>
      </w:r>
      <w:r>
        <w:rPr>
          <w:sz w:val="20"/>
        </w:rPr>
        <w:t>afirmado</w:t>
      </w:r>
      <w:r>
        <w:rPr>
          <w:spacing w:val="-4"/>
          <w:sz w:val="20"/>
        </w:rPr>
        <w:t xml:space="preserve"> </w:t>
      </w:r>
      <w:r>
        <w:rPr>
          <w:sz w:val="20"/>
        </w:rPr>
        <w:t>por los representantes. Además, destacó la importancia de que no se atribuya una dobl</w:t>
      </w:r>
      <w:r>
        <w:rPr>
          <w:sz w:val="20"/>
        </w:rPr>
        <w:t>e responsabilidad</w:t>
      </w:r>
      <w:r>
        <w:rPr>
          <w:spacing w:val="-5"/>
          <w:sz w:val="20"/>
        </w:rPr>
        <w:t xml:space="preserve"> </w:t>
      </w:r>
      <w:r>
        <w:rPr>
          <w:sz w:val="20"/>
        </w:rPr>
        <w:t>por</w:t>
      </w:r>
      <w:r>
        <w:rPr>
          <w:spacing w:val="-4"/>
          <w:sz w:val="20"/>
        </w:rPr>
        <w:t xml:space="preserve"> </w:t>
      </w:r>
      <w:r>
        <w:rPr>
          <w:sz w:val="20"/>
        </w:rPr>
        <w:t>los</w:t>
      </w:r>
      <w:r>
        <w:rPr>
          <w:spacing w:val="-4"/>
          <w:sz w:val="20"/>
        </w:rPr>
        <w:t xml:space="preserve"> </w:t>
      </w:r>
      <w:r>
        <w:rPr>
          <w:sz w:val="20"/>
        </w:rPr>
        <w:t>hechos</w:t>
      </w:r>
      <w:r>
        <w:rPr>
          <w:spacing w:val="-5"/>
          <w:sz w:val="20"/>
        </w:rPr>
        <w:t xml:space="preserve"> </w:t>
      </w:r>
      <w:r>
        <w:rPr>
          <w:sz w:val="20"/>
        </w:rPr>
        <w:t>del</w:t>
      </w:r>
      <w:r>
        <w:rPr>
          <w:spacing w:val="-5"/>
          <w:sz w:val="20"/>
        </w:rPr>
        <w:t xml:space="preserve"> </w:t>
      </w:r>
      <w:r>
        <w:rPr>
          <w:sz w:val="20"/>
        </w:rPr>
        <w:t>presente</w:t>
      </w:r>
      <w:r>
        <w:rPr>
          <w:spacing w:val="-4"/>
          <w:sz w:val="20"/>
        </w:rPr>
        <w:t xml:space="preserve"> </w:t>
      </w:r>
      <w:r>
        <w:rPr>
          <w:sz w:val="20"/>
        </w:rPr>
        <w:t>caso,</w:t>
      </w:r>
      <w:r>
        <w:rPr>
          <w:spacing w:val="-6"/>
          <w:sz w:val="20"/>
        </w:rPr>
        <w:t xml:space="preserve"> </w:t>
      </w:r>
      <w:r>
        <w:rPr>
          <w:sz w:val="20"/>
        </w:rPr>
        <w:t>ni</w:t>
      </w:r>
      <w:r>
        <w:rPr>
          <w:spacing w:val="-3"/>
          <w:sz w:val="20"/>
        </w:rPr>
        <w:t xml:space="preserve"> </w:t>
      </w:r>
      <w:r>
        <w:rPr>
          <w:sz w:val="20"/>
        </w:rPr>
        <w:t>se</w:t>
      </w:r>
      <w:r>
        <w:rPr>
          <w:spacing w:val="-6"/>
          <w:sz w:val="20"/>
        </w:rPr>
        <w:t xml:space="preserve"> </w:t>
      </w:r>
      <w:r>
        <w:rPr>
          <w:sz w:val="20"/>
        </w:rPr>
        <w:t>permita</w:t>
      </w:r>
      <w:r>
        <w:rPr>
          <w:spacing w:val="-3"/>
          <w:sz w:val="20"/>
        </w:rPr>
        <w:t xml:space="preserve"> </w:t>
      </w:r>
      <w:r>
        <w:rPr>
          <w:sz w:val="20"/>
        </w:rPr>
        <w:t>el</w:t>
      </w:r>
      <w:r>
        <w:rPr>
          <w:spacing w:val="-3"/>
          <w:sz w:val="20"/>
        </w:rPr>
        <w:t xml:space="preserve"> </w:t>
      </w:r>
      <w:r>
        <w:rPr>
          <w:sz w:val="20"/>
        </w:rPr>
        <w:t>enriquecimiento</w:t>
      </w:r>
      <w:r>
        <w:rPr>
          <w:spacing w:val="-4"/>
          <w:sz w:val="20"/>
        </w:rPr>
        <w:t xml:space="preserve"> </w:t>
      </w:r>
      <w:r>
        <w:rPr>
          <w:sz w:val="20"/>
        </w:rPr>
        <w:t>injusto</w:t>
      </w:r>
      <w:r>
        <w:rPr>
          <w:spacing w:val="-6"/>
          <w:sz w:val="20"/>
        </w:rPr>
        <w:t xml:space="preserve"> </w:t>
      </w:r>
      <w:r>
        <w:rPr>
          <w:sz w:val="20"/>
        </w:rPr>
        <w:t>de las víctimas mediante el doble pago de indemnización por daños materiales, inmateriales y de pensión, razón por la cual el Tribunal debe tener en cuenta los lím</w:t>
      </w:r>
      <w:r>
        <w:rPr>
          <w:sz w:val="20"/>
        </w:rPr>
        <w:t>ites de lo que se determinó</w:t>
      </w:r>
      <w:r>
        <w:rPr>
          <w:spacing w:val="-8"/>
          <w:sz w:val="20"/>
        </w:rPr>
        <w:t xml:space="preserve"> </w:t>
      </w:r>
      <w:r>
        <w:rPr>
          <w:sz w:val="20"/>
        </w:rPr>
        <w:t>internamente</w:t>
      </w:r>
      <w:r>
        <w:rPr>
          <w:spacing w:val="-5"/>
          <w:sz w:val="20"/>
        </w:rPr>
        <w:t xml:space="preserve"> </w:t>
      </w:r>
      <w:r>
        <w:rPr>
          <w:sz w:val="20"/>
        </w:rPr>
        <w:t>y</w:t>
      </w:r>
      <w:r>
        <w:rPr>
          <w:spacing w:val="-3"/>
          <w:sz w:val="20"/>
        </w:rPr>
        <w:t xml:space="preserve"> </w:t>
      </w:r>
      <w:r>
        <w:rPr>
          <w:sz w:val="20"/>
        </w:rPr>
        <w:t>respetar</w:t>
      </w:r>
      <w:r>
        <w:rPr>
          <w:spacing w:val="-5"/>
          <w:sz w:val="20"/>
        </w:rPr>
        <w:t xml:space="preserve"> </w:t>
      </w:r>
      <w:r>
        <w:rPr>
          <w:sz w:val="20"/>
        </w:rPr>
        <w:t>el</w:t>
      </w:r>
      <w:r>
        <w:rPr>
          <w:spacing w:val="-6"/>
          <w:sz w:val="20"/>
        </w:rPr>
        <w:t xml:space="preserve"> </w:t>
      </w:r>
      <w:r>
        <w:rPr>
          <w:sz w:val="20"/>
        </w:rPr>
        <w:t>desempeño</w:t>
      </w:r>
      <w:r>
        <w:rPr>
          <w:spacing w:val="-7"/>
          <w:sz w:val="20"/>
        </w:rPr>
        <w:t xml:space="preserve"> </w:t>
      </w:r>
      <w:r>
        <w:rPr>
          <w:sz w:val="20"/>
        </w:rPr>
        <w:t>primario</w:t>
      </w:r>
      <w:r>
        <w:rPr>
          <w:spacing w:val="-5"/>
          <w:sz w:val="20"/>
        </w:rPr>
        <w:t xml:space="preserve"> </w:t>
      </w:r>
      <w:r>
        <w:rPr>
          <w:sz w:val="20"/>
        </w:rPr>
        <w:t>del</w:t>
      </w:r>
      <w:r>
        <w:rPr>
          <w:spacing w:val="-4"/>
          <w:sz w:val="20"/>
        </w:rPr>
        <w:t xml:space="preserve"> </w:t>
      </w:r>
      <w:r>
        <w:rPr>
          <w:sz w:val="20"/>
        </w:rPr>
        <w:t>Juez</w:t>
      </w:r>
      <w:r>
        <w:rPr>
          <w:spacing w:val="-5"/>
          <w:sz w:val="20"/>
        </w:rPr>
        <w:t xml:space="preserve"> </w:t>
      </w:r>
      <w:r>
        <w:rPr>
          <w:sz w:val="20"/>
        </w:rPr>
        <w:t>brasileño.</w:t>
      </w:r>
      <w:r>
        <w:rPr>
          <w:spacing w:val="-7"/>
          <w:sz w:val="20"/>
        </w:rPr>
        <w:t xml:space="preserve"> </w:t>
      </w:r>
      <w:r>
        <w:rPr>
          <w:sz w:val="20"/>
        </w:rPr>
        <w:t>Advirtió</w:t>
      </w:r>
      <w:r>
        <w:rPr>
          <w:spacing w:val="-4"/>
          <w:sz w:val="20"/>
        </w:rPr>
        <w:t xml:space="preserve"> </w:t>
      </w:r>
      <w:r>
        <w:rPr>
          <w:sz w:val="20"/>
        </w:rPr>
        <w:t>que</w:t>
      </w:r>
      <w:r>
        <w:rPr>
          <w:spacing w:val="-8"/>
          <w:sz w:val="20"/>
        </w:rPr>
        <w:t xml:space="preserve"> </w:t>
      </w:r>
      <w:r>
        <w:rPr>
          <w:sz w:val="20"/>
        </w:rPr>
        <w:t>lo anterior</w:t>
      </w:r>
      <w:r>
        <w:rPr>
          <w:spacing w:val="-11"/>
          <w:sz w:val="20"/>
        </w:rPr>
        <w:t xml:space="preserve"> </w:t>
      </w:r>
      <w:r>
        <w:rPr>
          <w:sz w:val="20"/>
        </w:rPr>
        <w:t>también</w:t>
      </w:r>
      <w:r>
        <w:rPr>
          <w:spacing w:val="-9"/>
          <w:sz w:val="20"/>
        </w:rPr>
        <w:t xml:space="preserve"> </w:t>
      </w:r>
      <w:r>
        <w:rPr>
          <w:sz w:val="20"/>
        </w:rPr>
        <w:t>debería</w:t>
      </w:r>
      <w:r>
        <w:rPr>
          <w:spacing w:val="-10"/>
          <w:sz w:val="20"/>
        </w:rPr>
        <w:t xml:space="preserve"> </w:t>
      </w:r>
      <w:r>
        <w:rPr>
          <w:sz w:val="20"/>
        </w:rPr>
        <w:t>servir</w:t>
      </w:r>
      <w:r>
        <w:rPr>
          <w:spacing w:val="-8"/>
          <w:sz w:val="20"/>
        </w:rPr>
        <w:t xml:space="preserve"> </w:t>
      </w:r>
      <w:r>
        <w:rPr>
          <w:sz w:val="20"/>
        </w:rPr>
        <w:t>de</w:t>
      </w:r>
      <w:r>
        <w:rPr>
          <w:spacing w:val="-9"/>
          <w:sz w:val="20"/>
        </w:rPr>
        <w:t xml:space="preserve"> </w:t>
      </w:r>
      <w:r>
        <w:rPr>
          <w:sz w:val="20"/>
        </w:rPr>
        <w:t>parámetro</w:t>
      </w:r>
      <w:r>
        <w:rPr>
          <w:spacing w:val="-9"/>
          <w:sz w:val="20"/>
        </w:rPr>
        <w:t xml:space="preserve"> </w:t>
      </w:r>
      <w:r>
        <w:rPr>
          <w:sz w:val="20"/>
        </w:rPr>
        <w:t>para</w:t>
      </w:r>
      <w:r>
        <w:rPr>
          <w:spacing w:val="-9"/>
          <w:sz w:val="20"/>
        </w:rPr>
        <w:t xml:space="preserve"> </w:t>
      </w:r>
      <w:r>
        <w:rPr>
          <w:sz w:val="20"/>
        </w:rPr>
        <w:t>un</w:t>
      </w:r>
      <w:r>
        <w:rPr>
          <w:spacing w:val="-9"/>
          <w:sz w:val="20"/>
        </w:rPr>
        <w:t xml:space="preserve"> </w:t>
      </w:r>
      <w:r>
        <w:rPr>
          <w:sz w:val="20"/>
        </w:rPr>
        <w:t>análisis</w:t>
      </w:r>
      <w:r>
        <w:rPr>
          <w:spacing w:val="-11"/>
          <w:sz w:val="20"/>
        </w:rPr>
        <w:t xml:space="preserve"> </w:t>
      </w:r>
      <w:r>
        <w:rPr>
          <w:sz w:val="20"/>
        </w:rPr>
        <w:t>justo</w:t>
      </w:r>
      <w:r>
        <w:rPr>
          <w:spacing w:val="-10"/>
          <w:sz w:val="20"/>
        </w:rPr>
        <w:t xml:space="preserve"> </w:t>
      </w:r>
      <w:r>
        <w:rPr>
          <w:sz w:val="20"/>
        </w:rPr>
        <w:t>del</w:t>
      </w:r>
      <w:r>
        <w:rPr>
          <w:spacing w:val="-7"/>
          <w:sz w:val="20"/>
        </w:rPr>
        <w:t xml:space="preserve"> </w:t>
      </w:r>
      <w:r>
        <w:rPr>
          <w:sz w:val="20"/>
        </w:rPr>
        <w:t>reclamo</w:t>
      </w:r>
      <w:r>
        <w:rPr>
          <w:spacing w:val="-9"/>
          <w:sz w:val="20"/>
        </w:rPr>
        <w:t xml:space="preserve"> </w:t>
      </w:r>
      <w:r>
        <w:rPr>
          <w:sz w:val="20"/>
        </w:rPr>
        <w:t>de</w:t>
      </w:r>
      <w:r>
        <w:rPr>
          <w:spacing w:val="-9"/>
          <w:sz w:val="20"/>
        </w:rPr>
        <w:t xml:space="preserve"> </w:t>
      </w:r>
      <w:r>
        <w:rPr>
          <w:sz w:val="20"/>
        </w:rPr>
        <w:t>corrección monetaria presentado por los representantes, evitando posibles</w:t>
      </w:r>
      <w:r>
        <w:rPr>
          <w:spacing w:val="-9"/>
          <w:sz w:val="20"/>
        </w:rPr>
        <w:t xml:space="preserve"> </w:t>
      </w:r>
      <w:r>
        <w:rPr>
          <w:sz w:val="20"/>
        </w:rPr>
        <w:t>distorsiones.</w:t>
      </w:r>
    </w:p>
    <w:p w14:paraId="6ECA7C48" w14:textId="77777777" w:rsidR="00467FCA" w:rsidRDefault="00467FCA">
      <w:pPr>
        <w:pStyle w:val="Textoindependiente"/>
      </w:pPr>
    </w:p>
    <w:p w14:paraId="690ED741" w14:textId="77777777" w:rsidR="00467FCA" w:rsidRDefault="001B68EB">
      <w:pPr>
        <w:pStyle w:val="Prrafodelista"/>
        <w:numPr>
          <w:ilvl w:val="0"/>
          <w:numId w:val="38"/>
        </w:numPr>
        <w:tabs>
          <w:tab w:val="left" w:pos="686"/>
        </w:tabs>
        <w:spacing w:before="1"/>
        <w:ind w:right="117" w:firstLine="0"/>
        <w:jc w:val="both"/>
        <w:rPr>
          <w:sz w:val="20"/>
        </w:rPr>
      </w:pPr>
      <w:r>
        <w:rPr>
          <w:sz w:val="20"/>
        </w:rPr>
        <w:t>Sobre este asunto, la Corte ha desarrollado en su jurisprudencia el concepto de daño material y ha establecido que este supone “la pérdida o detrimento de los ingresos de las víctimas, los gastos efectuados con motivo de los hechos y las consecuencias de c</w:t>
      </w:r>
      <w:r>
        <w:rPr>
          <w:sz w:val="20"/>
        </w:rPr>
        <w:t>arácter pecuniario que tengan un nexo causal con los hechos del</w:t>
      </w:r>
      <w:r>
        <w:rPr>
          <w:spacing w:val="-4"/>
          <w:sz w:val="20"/>
        </w:rPr>
        <w:t xml:space="preserve"> </w:t>
      </w:r>
      <w:r>
        <w:rPr>
          <w:sz w:val="20"/>
        </w:rPr>
        <w:t>caso”</w:t>
      </w:r>
      <w:hyperlink w:anchor="_bookmark441" w:history="1">
        <w:r>
          <w:rPr>
            <w:position w:val="7"/>
            <w:sz w:val="13"/>
          </w:rPr>
          <w:t>369</w:t>
        </w:r>
      </w:hyperlink>
      <w:r>
        <w:rPr>
          <w:sz w:val="20"/>
        </w:rPr>
        <w:t>.</w:t>
      </w:r>
    </w:p>
    <w:p w14:paraId="7964D79D" w14:textId="77777777" w:rsidR="00467FCA" w:rsidRDefault="00467FCA">
      <w:pPr>
        <w:pStyle w:val="Textoindependiente"/>
        <w:spacing w:before="10"/>
        <w:rPr>
          <w:sz w:val="19"/>
        </w:rPr>
      </w:pPr>
    </w:p>
    <w:p w14:paraId="2CB09DAB" w14:textId="77777777" w:rsidR="00467FCA" w:rsidRDefault="001B68EB">
      <w:pPr>
        <w:pStyle w:val="Prrafodelista"/>
        <w:numPr>
          <w:ilvl w:val="0"/>
          <w:numId w:val="38"/>
        </w:numPr>
        <w:tabs>
          <w:tab w:val="left" w:pos="687"/>
        </w:tabs>
        <w:ind w:left="120" w:right="117" w:firstLine="0"/>
        <w:jc w:val="both"/>
        <w:rPr>
          <w:sz w:val="20"/>
        </w:rPr>
      </w:pPr>
      <w:r>
        <w:rPr>
          <w:sz w:val="20"/>
        </w:rPr>
        <w:t>En atención a los criterios establecidos en la jurisprudencia constante de este Tribunal y a las circunstancias del presente caso, la Corte estima pe</w:t>
      </w:r>
      <w:r>
        <w:rPr>
          <w:sz w:val="20"/>
        </w:rPr>
        <w:t>rtinente fijar en equidad, por concepto de daño material el pago de USD$ 50.000 (cincuenta mil dólares de los Estados Unidos de América) a favor de cada una de las víctimas fallecidas y sobrevivientes a la explosión de la fábrica de</w:t>
      </w:r>
      <w:r>
        <w:rPr>
          <w:spacing w:val="-4"/>
          <w:sz w:val="20"/>
        </w:rPr>
        <w:t xml:space="preserve"> </w:t>
      </w:r>
      <w:r>
        <w:rPr>
          <w:sz w:val="20"/>
        </w:rPr>
        <w:t>fuegos.</w:t>
      </w:r>
    </w:p>
    <w:p w14:paraId="0E9D77E0" w14:textId="77777777" w:rsidR="00467FCA" w:rsidRDefault="00467FCA">
      <w:pPr>
        <w:pStyle w:val="Textoindependiente"/>
        <w:rPr>
          <w:sz w:val="24"/>
        </w:rPr>
      </w:pPr>
    </w:p>
    <w:p w14:paraId="4A0C7C2E" w14:textId="77777777" w:rsidR="00467FCA" w:rsidRDefault="001B68EB">
      <w:pPr>
        <w:pStyle w:val="Prrafodelista"/>
        <w:numPr>
          <w:ilvl w:val="0"/>
          <w:numId w:val="38"/>
        </w:numPr>
        <w:tabs>
          <w:tab w:val="left" w:pos="687"/>
        </w:tabs>
        <w:ind w:right="119" w:firstLine="0"/>
        <w:jc w:val="both"/>
        <w:rPr>
          <w:sz w:val="20"/>
        </w:rPr>
      </w:pPr>
      <w:r>
        <w:rPr>
          <w:sz w:val="20"/>
        </w:rPr>
        <w:t>Los montos dis</w:t>
      </w:r>
      <w:r>
        <w:rPr>
          <w:sz w:val="20"/>
        </w:rPr>
        <w:t>puestos a favor de personas fallecidas en la explosión (Anexo 1) deben ser liquidados de acuerdo con los siguientes</w:t>
      </w:r>
      <w:r>
        <w:rPr>
          <w:spacing w:val="-8"/>
          <w:sz w:val="20"/>
        </w:rPr>
        <w:t xml:space="preserve"> </w:t>
      </w:r>
      <w:r>
        <w:rPr>
          <w:sz w:val="20"/>
        </w:rPr>
        <w:t>criterios:</w:t>
      </w:r>
    </w:p>
    <w:p w14:paraId="5C04C634" w14:textId="77777777" w:rsidR="00467FCA" w:rsidRDefault="00467FCA">
      <w:pPr>
        <w:pStyle w:val="Textoindependiente"/>
        <w:spacing w:before="1"/>
      </w:pPr>
    </w:p>
    <w:p w14:paraId="3E349C65" w14:textId="77777777" w:rsidR="00467FCA" w:rsidRDefault="001B68EB">
      <w:pPr>
        <w:pStyle w:val="Prrafodelista"/>
        <w:numPr>
          <w:ilvl w:val="0"/>
          <w:numId w:val="36"/>
        </w:numPr>
        <w:tabs>
          <w:tab w:val="left" w:pos="1114"/>
        </w:tabs>
        <w:ind w:right="117"/>
        <w:jc w:val="both"/>
        <w:rPr>
          <w:sz w:val="20"/>
        </w:rPr>
      </w:pPr>
      <w:r>
        <w:rPr>
          <w:sz w:val="20"/>
        </w:rPr>
        <w:t>el cincuenta por ciento (50%) de la indemnización se repartirá, por partes iguales, entre los hijos de la víctima. Si uno o vari</w:t>
      </w:r>
      <w:r>
        <w:rPr>
          <w:sz w:val="20"/>
        </w:rPr>
        <w:t>os de los hijos de la víctima hubieren fallecido</w:t>
      </w:r>
      <w:r>
        <w:rPr>
          <w:spacing w:val="-14"/>
          <w:sz w:val="20"/>
        </w:rPr>
        <w:t xml:space="preserve"> </w:t>
      </w:r>
      <w:r>
        <w:rPr>
          <w:sz w:val="20"/>
        </w:rPr>
        <w:t>ya,</w:t>
      </w:r>
      <w:r>
        <w:rPr>
          <w:spacing w:val="-13"/>
          <w:sz w:val="20"/>
        </w:rPr>
        <w:t xml:space="preserve"> </w:t>
      </w:r>
      <w:r>
        <w:rPr>
          <w:sz w:val="20"/>
        </w:rPr>
        <w:t>la</w:t>
      </w:r>
      <w:r>
        <w:rPr>
          <w:spacing w:val="-12"/>
          <w:sz w:val="20"/>
        </w:rPr>
        <w:t xml:space="preserve"> </w:t>
      </w:r>
      <w:r>
        <w:rPr>
          <w:sz w:val="20"/>
        </w:rPr>
        <w:t>parte</w:t>
      </w:r>
      <w:r>
        <w:rPr>
          <w:spacing w:val="-14"/>
          <w:sz w:val="20"/>
        </w:rPr>
        <w:t xml:space="preserve"> </w:t>
      </w:r>
      <w:r>
        <w:rPr>
          <w:sz w:val="20"/>
        </w:rPr>
        <w:t>que</w:t>
      </w:r>
      <w:r>
        <w:rPr>
          <w:spacing w:val="-10"/>
          <w:sz w:val="20"/>
        </w:rPr>
        <w:t xml:space="preserve"> </w:t>
      </w:r>
      <w:r>
        <w:rPr>
          <w:sz w:val="20"/>
        </w:rPr>
        <w:t>le</w:t>
      </w:r>
      <w:r>
        <w:rPr>
          <w:spacing w:val="-14"/>
          <w:sz w:val="20"/>
        </w:rPr>
        <w:t xml:space="preserve"> </w:t>
      </w:r>
      <w:r>
        <w:rPr>
          <w:sz w:val="20"/>
        </w:rPr>
        <w:t>o</w:t>
      </w:r>
      <w:r>
        <w:rPr>
          <w:spacing w:val="-14"/>
          <w:sz w:val="20"/>
        </w:rPr>
        <w:t xml:space="preserve"> </w:t>
      </w:r>
      <w:r>
        <w:rPr>
          <w:sz w:val="20"/>
        </w:rPr>
        <w:t>les</w:t>
      </w:r>
      <w:r>
        <w:rPr>
          <w:spacing w:val="-11"/>
          <w:sz w:val="20"/>
        </w:rPr>
        <w:t xml:space="preserve"> </w:t>
      </w:r>
      <w:r>
        <w:rPr>
          <w:sz w:val="20"/>
        </w:rPr>
        <w:t>corresponda</w:t>
      </w:r>
      <w:r>
        <w:rPr>
          <w:spacing w:val="-11"/>
          <w:sz w:val="20"/>
        </w:rPr>
        <w:t xml:space="preserve"> </w:t>
      </w:r>
      <w:r>
        <w:rPr>
          <w:sz w:val="20"/>
        </w:rPr>
        <w:t>será</w:t>
      </w:r>
      <w:r>
        <w:rPr>
          <w:spacing w:val="-12"/>
          <w:sz w:val="20"/>
        </w:rPr>
        <w:t xml:space="preserve"> </w:t>
      </w:r>
      <w:r>
        <w:rPr>
          <w:sz w:val="20"/>
        </w:rPr>
        <w:t>entregada</w:t>
      </w:r>
      <w:r>
        <w:rPr>
          <w:spacing w:val="-12"/>
          <w:sz w:val="20"/>
        </w:rPr>
        <w:t xml:space="preserve"> </w:t>
      </w:r>
      <w:r>
        <w:rPr>
          <w:sz w:val="20"/>
        </w:rPr>
        <w:t>a</w:t>
      </w:r>
      <w:r>
        <w:rPr>
          <w:spacing w:val="-12"/>
          <w:sz w:val="20"/>
        </w:rPr>
        <w:t xml:space="preserve"> </w:t>
      </w:r>
      <w:r>
        <w:rPr>
          <w:sz w:val="20"/>
        </w:rPr>
        <w:t>sus</w:t>
      </w:r>
      <w:r>
        <w:rPr>
          <w:spacing w:val="-13"/>
          <w:sz w:val="20"/>
        </w:rPr>
        <w:t xml:space="preserve"> </w:t>
      </w:r>
      <w:r>
        <w:rPr>
          <w:sz w:val="20"/>
        </w:rPr>
        <w:t>hijos</w:t>
      </w:r>
      <w:r>
        <w:rPr>
          <w:spacing w:val="-10"/>
          <w:sz w:val="20"/>
        </w:rPr>
        <w:t xml:space="preserve"> </w:t>
      </w:r>
      <w:r>
        <w:rPr>
          <w:sz w:val="20"/>
        </w:rPr>
        <w:t>o</w:t>
      </w:r>
      <w:r>
        <w:rPr>
          <w:spacing w:val="-14"/>
          <w:sz w:val="20"/>
        </w:rPr>
        <w:t xml:space="preserve"> </w:t>
      </w:r>
      <w:r>
        <w:rPr>
          <w:sz w:val="20"/>
        </w:rPr>
        <w:t>cónyuges si existieren, o si no existieren, la parte que le o les corresponda acrecerá a las de los demás hijos de la misma</w:t>
      </w:r>
      <w:r>
        <w:rPr>
          <w:spacing w:val="-8"/>
          <w:sz w:val="20"/>
        </w:rPr>
        <w:t xml:space="preserve"> </w:t>
      </w:r>
      <w:r>
        <w:rPr>
          <w:sz w:val="20"/>
        </w:rPr>
        <w:t>víctima;</w:t>
      </w:r>
    </w:p>
    <w:p w14:paraId="0360B0ED" w14:textId="77777777" w:rsidR="00467FCA" w:rsidRDefault="00467FCA">
      <w:pPr>
        <w:pStyle w:val="Textoindependiente"/>
        <w:spacing w:before="1"/>
      </w:pPr>
    </w:p>
    <w:p w14:paraId="2F702C98" w14:textId="77777777" w:rsidR="00467FCA" w:rsidRDefault="001B68EB">
      <w:pPr>
        <w:pStyle w:val="Prrafodelista"/>
        <w:numPr>
          <w:ilvl w:val="0"/>
          <w:numId w:val="36"/>
        </w:numPr>
        <w:tabs>
          <w:tab w:val="left" w:pos="1114"/>
        </w:tabs>
        <w:ind w:right="119"/>
        <w:jc w:val="both"/>
        <w:rPr>
          <w:sz w:val="20"/>
        </w:rPr>
      </w:pPr>
      <w:r>
        <w:rPr>
          <w:sz w:val="20"/>
        </w:rPr>
        <w:t>el cincuenta por ciento (50%) de la indemnización deberá ser entregada a quien fuera cónyuge, compañero o compañera perman</w:t>
      </w:r>
      <w:r>
        <w:rPr>
          <w:sz w:val="20"/>
        </w:rPr>
        <w:t>ente de la víctima, al momento</w:t>
      </w:r>
      <w:r>
        <w:rPr>
          <w:spacing w:val="-34"/>
          <w:sz w:val="20"/>
        </w:rPr>
        <w:t xml:space="preserve"> </w:t>
      </w:r>
      <w:r>
        <w:rPr>
          <w:sz w:val="20"/>
        </w:rPr>
        <w:t>de los</w:t>
      </w:r>
      <w:r>
        <w:rPr>
          <w:spacing w:val="-3"/>
          <w:sz w:val="20"/>
        </w:rPr>
        <w:t xml:space="preserve"> </w:t>
      </w:r>
      <w:r>
        <w:rPr>
          <w:sz w:val="20"/>
        </w:rPr>
        <w:t>hechos;</w:t>
      </w:r>
    </w:p>
    <w:p w14:paraId="7D6B9B68" w14:textId="77777777" w:rsidR="00467FCA" w:rsidRDefault="00467FCA">
      <w:pPr>
        <w:pStyle w:val="Textoindependiente"/>
        <w:spacing w:before="12"/>
        <w:rPr>
          <w:sz w:val="19"/>
        </w:rPr>
      </w:pPr>
    </w:p>
    <w:p w14:paraId="2435DCF8" w14:textId="77777777" w:rsidR="00467FCA" w:rsidRDefault="001B68EB">
      <w:pPr>
        <w:pStyle w:val="Prrafodelista"/>
        <w:numPr>
          <w:ilvl w:val="0"/>
          <w:numId w:val="36"/>
        </w:numPr>
        <w:tabs>
          <w:tab w:val="left" w:pos="1114"/>
        </w:tabs>
        <w:ind w:right="119"/>
        <w:jc w:val="both"/>
        <w:rPr>
          <w:sz w:val="20"/>
        </w:rPr>
      </w:pPr>
      <w:r>
        <w:rPr>
          <w:sz w:val="20"/>
        </w:rPr>
        <w:t>en el evento que no existieren familiares en alguna de las categorías definidas en los literales anteriores, lo que hubiere correspondido a los familiares ubicados en esa categoría, acrecerá la parte que le co</w:t>
      </w:r>
      <w:r>
        <w:rPr>
          <w:sz w:val="20"/>
        </w:rPr>
        <w:t>rresponda a la otra</w:t>
      </w:r>
      <w:r>
        <w:rPr>
          <w:spacing w:val="-15"/>
          <w:sz w:val="20"/>
        </w:rPr>
        <w:t xml:space="preserve"> </w:t>
      </w:r>
      <w:r>
        <w:rPr>
          <w:sz w:val="20"/>
        </w:rPr>
        <w:t>categoría;</w:t>
      </w:r>
    </w:p>
    <w:p w14:paraId="416AD70F" w14:textId="77777777" w:rsidR="00467FCA" w:rsidRDefault="00467FCA">
      <w:pPr>
        <w:pStyle w:val="Textoindependiente"/>
      </w:pPr>
    </w:p>
    <w:p w14:paraId="3AC9206F" w14:textId="77777777" w:rsidR="00467FCA" w:rsidRDefault="001B68EB">
      <w:pPr>
        <w:pStyle w:val="Textoindependiente"/>
        <w:spacing w:before="7"/>
        <w:rPr>
          <w:sz w:val="17"/>
        </w:rPr>
      </w:pPr>
      <w:r>
        <w:pict w14:anchorId="35C92057">
          <v:shape id="_x0000_s1121" style="position:absolute;margin-left:1in;margin-top:12.95pt;width:2in;height:.1pt;z-index:-251581440;mso-wrap-distance-left:0;mso-wrap-distance-right:0;mso-position-horizontal-relative:page" coordorigin="1440,259" coordsize="2880,0" path="m1440,259r2880,e" filled="f" strokeweight=".6pt">
            <v:path arrowok="t"/>
            <w10:wrap type="topAndBottom" anchorx="page"/>
          </v:shape>
        </w:pict>
      </w:r>
    </w:p>
    <w:p w14:paraId="50EE0ED3" w14:textId="77777777" w:rsidR="00467FCA" w:rsidRDefault="001B68EB">
      <w:pPr>
        <w:tabs>
          <w:tab w:val="left" w:pos="839"/>
        </w:tabs>
        <w:spacing w:before="74"/>
        <w:ind w:left="119" w:right="129"/>
        <w:rPr>
          <w:sz w:val="16"/>
        </w:rPr>
      </w:pPr>
      <w:bookmarkStart w:id="510" w:name="_bookmark441"/>
      <w:bookmarkEnd w:id="510"/>
      <w:r>
        <w:rPr>
          <w:position w:val="6"/>
          <w:sz w:val="10"/>
        </w:rPr>
        <w:t>369</w:t>
      </w:r>
      <w:r>
        <w:rPr>
          <w:position w:val="6"/>
          <w:sz w:val="10"/>
        </w:rPr>
        <w:tab/>
      </w:r>
      <w:r>
        <w:rPr>
          <w:i/>
          <w:sz w:val="16"/>
        </w:rPr>
        <w:t xml:space="preserve">Cfr. Caso Bámaca Velásquez Vs. Guatemala. </w:t>
      </w:r>
      <w:r>
        <w:rPr>
          <w:sz w:val="16"/>
        </w:rPr>
        <w:t xml:space="preserve">Reparaciones y Costas. Sentencia de 22 de febrero de 2002. Serie C No. 91, párr. 43, y </w:t>
      </w:r>
      <w:r>
        <w:rPr>
          <w:i/>
          <w:sz w:val="16"/>
        </w:rPr>
        <w:t xml:space="preserve">Caso Azul Rojas Marín y otra Vs. Perú, supra, </w:t>
      </w:r>
      <w:r>
        <w:rPr>
          <w:sz w:val="16"/>
        </w:rPr>
        <w:t>párr.</w:t>
      </w:r>
      <w:r>
        <w:rPr>
          <w:spacing w:val="-27"/>
          <w:sz w:val="16"/>
        </w:rPr>
        <w:t xml:space="preserve"> </w:t>
      </w:r>
      <w:r>
        <w:rPr>
          <w:sz w:val="16"/>
        </w:rPr>
        <w:t>256.</w:t>
      </w:r>
    </w:p>
    <w:p w14:paraId="57BB9FF3" w14:textId="77777777" w:rsidR="00467FCA" w:rsidRDefault="00467FCA">
      <w:pPr>
        <w:rPr>
          <w:sz w:val="16"/>
        </w:rPr>
        <w:sectPr w:rsidR="00467FCA">
          <w:pgSz w:w="12240" w:h="15840"/>
          <w:pgMar w:top="1500" w:right="1320" w:bottom="1220" w:left="1320" w:header="0" w:footer="957" w:gutter="0"/>
          <w:cols w:space="720"/>
        </w:sectPr>
      </w:pPr>
    </w:p>
    <w:p w14:paraId="53F40B50" w14:textId="77777777" w:rsidR="00467FCA" w:rsidRDefault="001B68EB">
      <w:pPr>
        <w:pStyle w:val="Prrafodelista"/>
        <w:numPr>
          <w:ilvl w:val="0"/>
          <w:numId w:val="36"/>
        </w:numPr>
        <w:tabs>
          <w:tab w:val="left" w:pos="1114"/>
        </w:tabs>
        <w:spacing w:before="80"/>
        <w:ind w:right="118"/>
        <w:jc w:val="both"/>
        <w:rPr>
          <w:sz w:val="20"/>
        </w:rPr>
      </w:pPr>
      <w:r>
        <w:rPr>
          <w:sz w:val="20"/>
        </w:rPr>
        <w:t>en</w:t>
      </w:r>
      <w:r>
        <w:rPr>
          <w:spacing w:val="-4"/>
          <w:sz w:val="20"/>
        </w:rPr>
        <w:t xml:space="preserve"> </w:t>
      </w:r>
      <w:r>
        <w:rPr>
          <w:sz w:val="20"/>
        </w:rPr>
        <w:t>el</w:t>
      </w:r>
      <w:r>
        <w:rPr>
          <w:spacing w:val="-5"/>
          <w:sz w:val="20"/>
        </w:rPr>
        <w:t xml:space="preserve"> </w:t>
      </w:r>
      <w:r>
        <w:rPr>
          <w:sz w:val="20"/>
        </w:rPr>
        <w:t>caso</w:t>
      </w:r>
      <w:r>
        <w:rPr>
          <w:spacing w:val="-5"/>
          <w:sz w:val="20"/>
        </w:rPr>
        <w:t xml:space="preserve"> </w:t>
      </w:r>
      <w:r>
        <w:rPr>
          <w:sz w:val="20"/>
        </w:rPr>
        <w:t>de</w:t>
      </w:r>
      <w:r>
        <w:rPr>
          <w:spacing w:val="-7"/>
          <w:sz w:val="20"/>
        </w:rPr>
        <w:t xml:space="preserve"> </w:t>
      </w:r>
      <w:r>
        <w:rPr>
          <w:sz w:val="20"/>
        </w:rPr>
        <w:t>que</w:t>
      </w:r>
      <w:r>
        <w:rPr>
          <w:spacing w:val="-6"/>
          <w:sz w:val="20"/>
        </w:rPr>
        <w:t xml:space="preserve"> </w:t>
      </w:r>
      <w:r>
        <w:rPr>
          <w:sz w:val="20"/>
        </w:rPr>
        <w:t>la</w:t>
      </w:r>
      <w:r>
        <w:rPr>
          <w:spacing w:val="-5"/>
          <w:sz w:val="20"/>
        </w:rPr>
        <w:t xml:space="preserve"> </w:t>
      </w:r>
      <w:r>
        <w:rPr>
          <w:sz w:val="20"/>
        </w:rPr>
        <w:t>víctima</w:t>
      </w:r>
      <w:r>
        <w:rPr>
          <w:spacing w:val="-8"/>
          <w:sz w:val="20"/>
        </w:rPr>
        <w:t xml:space="preserve"> </w:t>
      </w:r>
      <w:r>
        <w:rPr>
          <w:sz w:val="20"/>
        </w:rPr>
        <w:t>no</w:t>
      </w:r>
      <w:r>
        <w:rPr>
          <w:spacing w:val="-5"/>
          <w:sz w:val="20"/>
        </w:rPr>
        <w:t xml:space="preserve"> </w:t>
      </w:r>
      <w:r>
        <w:rPr>
          <w:sz w:val="20"/>
        </w:rPr>
        <w:t>tuviere</w:t>
      </w:r>
      <w:r>
        <w:rPr>
          <w:spacing w:val="-7"/>
          <w:sz w:val="20"/>
        </w:rPr>
        <w:t xml:space="preserve"> </w:t>
      </w:r>
      <w:r>
        <w:rPr>
          <w:sz w:val="20"/>
        </w:rPr>
        <w:t>hijos</w:t>
      </w:r>
      <w:r>
        <w:rPr>
          <w:spacing w:val="-5"/>
          <w:sz w:val="20"/>
        </w:rPr>
        <w:t xml:space="preserve"> </w:t>
      </w:r>
      <w:r>
        <w:rPr>
          <w:sz w:val="20"/>
        </w:rPr>
        <w:t>ni</w:t>
      </w:r>
      <w:r>
        <w:rPr>
          <w:spacing w:val="-5"/>
          <w:sz w:val="20"/>
        </w:rPr>
        <w:t xml:space="preserve"> </w:t>
      </w:r>
      <w:r>
        <w:rPr>
          <w:sz w:val="20"/>
        </w:rPr>
        <w:t>cónyuge</w:t>
      </w:r>
      <w:r>
        <w:rPr>
          <w:spacing w:val="-6"/>
          <w:sz w:val="20"/>
        </w:rPr>
        <w:t xml:space="preserve"> </w:t>
      </w:r>
      <w:r>
        <w:rPr>
          <w:sz w:val="20"/>
        </w:rPr>
        <w:t>ni</w:t>
      </w:r>
      <w:r>
        <w:rPr>
          <w:spacing w:val="-8"/>
          <w:sz w:val="20"/>
        </w:rPr>
        <w:t xml:space="preserve"> </w:t>
      </w:r>
      <w:r>
        <w:rPr>
          <w:sz w:val="20"/>
        </w:rPr>
        <w:t>compañera</w:t>
      </w:r>
      <w:r>
        <w:rPr>
          <w:spacing w:val="-5"/>
          <w:sz w:val="20"/>
        </w:rPr>
        <w:t xml:space="preserve"> </w:t>
      </w:r>
      <w:r>
        <w:rPr>
          <w:sz w:val="20"/>
        </w:rPr>
        <w:t>o</w:t>
      </w:r>
      <w:r>
        <w:rPr>
          <w:spacing w:val="-3"/>
          <w:sz w:val="20"/>
        </w:rPr>
        <w:t xml:space="preserve"> </w:t>
      </w:r>
      <w:r>
        <w:rPr>
          <w:sz w:val="20"/>
        </w:rPr>
        <w:t>compañero permanente, la indemnización del daño material será entregado a sus padres,</w:t>
      </w:r>
      <w:r>
        <w:rPr>
          <w:spacing w:val="-21"/>
          <w:sz w:val="20"/>
        </w:rPr>
        <w:t xml:space="preserve"> </w:t>
      </w:r>
      <w:r>
        <w:rPr>
          <w:sz w:val="20"/>
        </w:rPr>
        <w:t>y</w:t>
      </w:r>
    </w:p>
    <w:p w14:paraId="5462D454" w14:textId="77777777" w:rsidR="00467FCA" w:rsidRDefault="00467FCA">
      <w:pPr>
        <w:pStyle w:val="Textoindependiente"/>
        <w:spacing w:before="1"/>
      </w:pPr>
    </w:p>
    <w:p w14:paraId="6E78734E" w14:textId="77777777" w:rsidR="00467FCA" w:rsidRDefault="001B68EB">
      <w:pPr>
        <w:pStyle w:val="Prrafodelista"/>
        <w:numPr>
          <w:ilvl w:val="0"/>
          <w:numId w:val="36"/>
        </w:numPr>
        <w:tabs>
          <w:tab w:val="left" w:pos="1114"/>
        </w:tabs>
        <w:ind w:right="116"/>
        <w:jc w:val="both"/>
        <w:rPr>
          <w:sz w:val="20"/>
        </w:rPr>
      </w:pPr>
      <w:r>
        <w:rPr>
          <w:sz w:val="20"/>
        </w:rPr>
        <w:t>en el evento que no existiere ninguna de las personas anteriormente señaladas, la indemnización deberá ser pa</w:t>
      </w:r>
      <w:r>
        <w:rPr>
          <w:sz w:val="20"/>
        </w:rPr>
        <w:t>gada a los herederos de acuerdo con el derecho sucesorio</w:t>
      </w:r>
      <w:r>
        <w:rPr>
          <w:spacing w:val="-1"/>
          <w:sz w:val="20"/>
        </w:rPr>
        <w:t xml:space="preserve"> </w:t>
      </w:r>
      <w:r>
        <w:rPr>
          <w:sz w:val="20"/>
        </w:rPr>
        <w:t>interno.</w:t>
      </w:r>
    </w:p>
    <w:p w14:paraId="1DEC5A8B" w14:textId="77777777" w:rsidR="00467FCA" w:rsidRDefault="00467FCA">
      <w:pPr>
        <w:pStyle w:val="Textoindependiente"/>
        <w:spacing w:before="11"/>
        <w:rPr>
          <w:sz w:val="19"/>
        </w:rPr>
      </w:pPr>
    </w:p>
    <w:p w14:paraId="0F5A4CDB" w14:textId="77777777" w:rsidR="00467FCA" w:rsidRDefault="001B68EB">
      <w:pPr>
        <w:pStyle w:val="Prrafodelista"/>
        <w:numPr>
          <w:ilvl w:val="0"/>
          <w:numId w:val="38"/>
        </w:numPr>
        <w:tabs>
          <w:tab w:val="left" w:pos="687"/>
        </w:tabs>
        <w:spacing w:before="1"/>
        <w:ind w:right="118" w:firstLine="0"/>
        <w:jc w:val="both"/>
        <w:rPr>
          <w:sz w:val="20"/>
        </w:rPr>
      </w:pPr>
      <w:r>
        <w:rPr>
          <w:sz w:val="20"/>
        </w:rPr>
        <w:t>Las</w:t>
      </w:r>
      <w:r>
        <w:rPr>
          <w:spacing w:val="-18"/>
          <w:sz w:val="20"/>
        </w:rPr>
        <w:t xml:space="preserve"> </w:t>
      </w:r>
      <w:r>
        <w:rPr>
          <w:sz w:val="20"/>
        </w:rPr>
        <w:t>anteriores</w:t>
      </w:r>
      <w:r>
        <w:rPr>
          <w:spacing w:val="-14"/>
          <w:sz w:val="20"/>
        </w:rPr>
        <w:t xml:space="preserve"> </w:t>
      </w:r>
      <w:r>
        <w:rPr>
          <w:sz w:val="20"/>
        </w:rPr>
        <w:t>indemnizaciones</w:t>
      </w:r>
      <w:r>
        <w:rPr>
          <w:spacing w:val="-15"/>
          <w:sz w:val="20"/>
        </w:rPr>
        <w:t xml:space="preserve"> </w:t>
      </w:r>
      <w:r>
        <w:rPr>
          <w:sz w:val="20"/>
        </w:rPr>
        <w:t>se</w:t>
      </w:r>
      <w:r>
        <w:rPr>
          <w:spacing w:val="-15"/>
          <w:sz w:val="20"/>
        </w:rPr>
        <w:t xml:space="preserve"> </w:t>
      </w:r>
      <w:r>
        <w:rPr>
          <w:sz w:val="20"/>
        </w:rPr>
        <w:t>pagarán</w:t>
      </w:r>
      <w:r>
        <w:rPr>
          <w:spacing w:val="-13"/>
          <w:sz w:val="20"/>
        </w:rPr>
        <w:t xml:space="preserve"> </w:t>
      </w:r>
      <w:r>
        <w:rPr>
          <w:sz w:val="20"/>
        </w:rPr>
        <w:t>con</w:t>
      </w:r>
      <w:r>
        <w:rPr>
          <w:spacing w:val="-16"/>
          <w:sz w:val="20"/>
        </w:rPr>
        <w:t xml:space="preserve"> </w:t>
      </w:r>
      <w:r>
        <w:rPr>
          <w:sz w:val="20"/>
        </w:rPr>
        <w:t>independencia</w:t>
      </w:r>
      <w:r>
        <w:rPr>
          <w:spacing w:val="-13"/>
          <w:sz w:val="20"/>
        </w:rPr>
        <w:t xml:space="preserve"> </w:t>
      </w:r>
      <w:r>
        <w:rPr>
          <w:sz w:val="20"/>
        </w:rPr>
        <w:t>de</w:t>
      </w:r>
      <w:r>
        <w:rPr>
          <w:spacing w:val="-16"/>
          <w:sz w:val="20"/>
        </w:rPr>
        <w:t xml:space="preserve"> </w:t>
      </w:r>
      <w:r>
        <w:rPr>
          <w:sz w:val="20"/>
        </w:rPr>
        <w:t>las</w:t>
      </w:r>
      <w:r>
        <w:rPr>
          <w:spacing w:val="-14"/>
          <w:sz w:val="20"/>
        </w:rPr>
        <w:t xml:space="preserve"> </w:t>
      </w:r>
      <w:r>
        <w:rPr>
          <w:sz w:val="20"/>
        </w:rPr>
        <w:t>sumas</w:t>
      </w:r>
      <w:r>
        <w:rPr>
          <w:spacing w:val="-17"/>
          <w:sz w:val="20"/>
        </w:rPr>
        <w:t xml:space="preserve"> </w:t>
      </w:r>
      <w:r>
        <w:rPr>
          <w:sz w:val="20"/>
        </w:rPr>
        <w:t>reconocidas o que se lleguen a reconocer en los procesos internos en favor de las víctimas del presente caso.</w:t>
      </w:r>
    </w:p>
    <w:p w14:paraId="1643368B" w14:textId="77777777" w:rsidR="00467FCA" w:rsidRDefault="00467FCA">
      <w:pPr>
        <w:pStyle w:val="Textoindependiente"/>
        <w:spacing w:before="11"/>
        <w:rPr>
          <w:sz w:val="19"/>
        </w:rPr>
      </w:pPr>
    </w:p>
    <w:p w14:paraId="2B9022D4" w14:textId="77777777" w:rsidR="00467FCA" w:rsidRDefault="001B68EB">
      <w:pPr>
        <w:pStyle w:val="Ttulo2"/>
        <w:numPr>
          <w:ilvl w:val="1"/>
          <w:numId w:val="37"/>
        </w:numPr>
        <w:tabs>
          <w:tab w:val="left" w:pos="1458"/>
          <w:tab w:val="left" w:pos="1459"/>
        </w:tabs>
        <w:spacing w:before="1"/>
        <w:ind w:left="1458" w:hanging="620"/>
      </w:pPr>
      <w:bookmarkStart w:id="511" w:name="F.2.___Daños_inmateriales"/>
      <w:bookmarkStart w:id="512" w:name="_bookmark442"/>
      <w:bookmarkEnd w:id="511"/>
      <w:bookmarkEnd w:id="512"/>
      <w:r>
        <w:t>Daños</w:t>
      </w:r>
      <w:r>
        <w:rPr>
          <w:spacing w:val="-1"/>
        </w:rPr>
        <w:t xml:space="preserve"> </w:t>
      </w:r>
      <w:r>
        <w:t>inmateriales</w:t>
      </w:r>
    </w:p>
    <w:p w14:paraId="5394D88F" w14:textId="77777777" w:rsidR="00467FCA" w:rsidRDefault="00467FCA">
      <w:pPr>
        <w:pStyle w:val="Textoindependiente"/>
        <w:spacing w:before="1"/>
        <w:rPr>
          <w:b/>
          <w:i/>
        </w:rPr>
      </w:pPr>
    </w:p>
    <w:p w14:paraId="1044D2F9" w14:textId="77777777" w:rsidR="00467FCA" w:rsidRDefault="001B68EB">
      <w:pPr>
        <w:pStyle w:val="Prrafodelista"/>
        <w:numPr>
          <w:ilvl w:val="0"/>
          <w:numId w:val="38"/>
        </w:numPr>
        <w:tabs>
          <w:tab w:val="left" w:pos="686"/>
        </w:tabs>
        <w:ind w:right="119" w:firstLine="0"/>
        <w:jc w:val="both"/>
        <w:rPr>
          <w:sz w:val="20"/>
        </w:rPr>
      </w:pPr>
      <w:r>
        <w:rPr>
          <w:sz w:val="20"/>
        </w:rPr>
        <w:t xml:space="preserve">La </w:t>
      </w:r>
      <w:r>
        <w:rPr>
          <w:b/>
          <w:i/>
          <w:sz w:val="20"/>
        </w:rPr>
        <w:t xml:space="preserve">Comisión </w:t>
      </w:r>
      <w:r>
        <w:rPr>
          <w:sz w:val="20"/>
        </w:rPr>
        <w:t>solicitó que se adopten las medidas de compensación económica y satisfacción del daño moral que permitan reparar integralmente las violaciones probadas en este</w:t>
      </w:r>
      <w:r>
        <w:rPr>
          <w:spacing w:val="-3"/>
          <w:sz w:val="20"/>
        </w:rPr>
        <w:t xml:space="preserve"> </w:t>
      </w:r>
      <w:r>
        <w:rPr>
          <w:sz w:val="20"/>
        </w:rPr>
        <w:t>caso.</w:t>
      </w:r>
    </w:p>
    <w:p w14:paraId="3B5E58F3" w14:textId="77777777" w:rsidR="00467FCA" w:rsidRDefault="00467FCA">
      <w:pPr>
        <w:pStyle w:val="Textoindependiente"/>
        <w:spacing w:before="12"/>
        <w:rPr>
          <w:sz w:val="19"/>
        </w:rPr>
      </w:pPr>
    </w:p>
    <w:p w14:paraId="2D87287D" w14:textId="77777777" w:rsidR="00467FCA" w:rsidRDefault="001B68EB">
      <w:pPr>
        <w:pStyle w:val="Prrafodelista"/>
        <w:numPr>
          <w:ilvl w:val="0"/>
          <w:numId w:val="38"/>
        </w:numPr>
        <w:tabs>
          <w:tab w:val="left" w:pos="686"/>
        </w:tabs>
        <w:ind w:right="119" w:firstLine="0"/>
        <w:jc w:val="both"/>
        <w:rPr>
          <w:sz w:val="20"/>
        </w:rPr>
      </w:pPr>
      <w:r>
        <w:rPr>
          <w:sz w:val="20"/>
        </w:rPr>
        <w:t xml:space="preserve">Los </w:t>
      </w:r>
      <w:r>
        <w:rPr>
          <w:b/>
          <w:i/>
          <w:sz w:val="20"/>
        </w:rPr>
        <w:t xml:space="preserve">representantes </w:t>
      </w:r>
      <w:r>
        <w:rPr>
          <w:sz w:val="20"/>
        </w:rPr>
        <w:t xml:space="preserve">se refirieron a los montos que han sido fijados por la Corte en otros </w:t>
      </w:r>
      <w:r>
        <w:rPr>
          <w:sz w:val="20"/>
        </w:rPr>
        <w:t>casos y señalaron la relevancia de los criterios que se han utilizado para establecer el monto. Entre ellos, el tiempo transcurrido entre el evento dañino y la reparación adecuada; la</w:t>
      </w:r>
      <w:r>
        <w:rPr>
          <w:spacing w:val="-5"/>
          <w:sz w:val="20"/>
        </w:rPr>
        <w:t xml:space="preserve"> </w:t>
      </w:r>
      <w:r>
        <w:rPr>
          <w:sz w:val="20"/>
        </w:rPr>
        <w:t>destrucción</w:t>
      </w:r>
      <w:r>
        <w:rPr>
          <w:spacing w:val="-4"/>
          <w:sz w:val="20"/>
        </w:rPr>
        <w:t xml:space="preserve"> </w:t>
      </w:r>
      <w:r>
        <w:rPr>
          <w:sz w:val="20"/>
        </w:rPr>
        <w:t>del</w:t>
      </w:r>
      <w:r>
        <w:rPr>
          <w:spacing w:val="-5"/>
          <w:sz w:val="20"/>
        </w:rPr>
        <w:t xml:space="preserve"> </w:t>
      </w:r>
      <w:r>
        <w:rPr>
          <w:sz w:val="20"/>
        </w:rPr>
        <w:t>proyecto</w:t>
      </w:r>
      <w:r>
        <w:rPr>
          <w:spacing w:val="-7"/>
          <w:sz w:val="20"/>
        </w:rPr>
        <w:t xml:space="preserve"> </w:t>
      </w:r>
      <w:r>
        <w:rPr>
          <w:sz w:val="20"/>
        </w:rPr>
        <w:t>de</w:t>
      </w:r>
      <w:r>
        <w:rPr>
          <w:spacing w:val="-7"/>
          <w:sz w:val="20"/>
        </w:rPr>
        <w:t xml:space="preserve"> </w:t>
      </w:r>
      <w:r>
        <w:rPr>
          <w:sz w:val="20"/>
        </w:rPr>
        <w:t>vida;</w:t>
      </w:r>
      <w:r>
        <w:rPr>
          <w:spacing w:val="-5"/>
          <w:sz w:val="20"/>
        </w:rPr>
        <w:t xml:space="preserve"> </w:t>
      </w:r>
      <w:r>
        <w:rPr>
          <w:sz w:val="20"/>
        </w:rPr>
        <w:t>la</w:t>
      </w:r>
      <w:r>
        <w:rPr>
          <w:spacing w:val="-3"/>
          <w:sz w:val="20"/>
        </w:rPr>
        <w:t xml:space="preserve"> </w:t>
      </w:r>
      <w:r>
        <w:rPr>
          <w:sz w:val="20"/>
        </w:rPr>
        <w:t>disminución</w:t>
      </w:r>
      <w:r>
        <w:rPr>
          <w:spacing w:val="-4"/>
          <w:sz w:val="20"/>
        </w:rPr>
        <w:t xml:space="preserve"> </w:t>
      </w:r>
      <w:r>
        <w:rPr>
          <w:sz w:val="20"/>
        </w:rPr>
        <w:t>de</w:t>
      </w:r>
      <w:r>
        <w:rPr>
          <w:spacing w:val="-4"/>
          <w:sz w:val="20"/>
        </w:rPr>
        <w:t xml:space="preserve"> </w:t>
      </w:r>
      <w:r>
        <w:rPr>
          <w:sz w:val="20"/>
        </w:rPr>
        <w:t>la</w:t>
      </w:r>
      <w:r>
        <w:rPr>
          <w:spacing w:val="-5"/>
          <w:sz w:val="20"/>
        </w:rPr>
        <w:t xml:space="preserve"> </w:t>
      </w:r>
      <w:r>
        <w:rPr>
          <w:sz w:val="20"/>
        </w:rPr>
        <w:t>capacidad</w:t>
      </w:r>
      <w:r>
        <w:rPr>
          <w:spacing w:val="-5"/>
          <w:sz w:val="20"/>
        </w:rPr>
        <w:t xml:space="preserve"> </w:t>
      </w:r>
      <w:r>
        <w:rPr>
          <w:sz w:val="20"/>
        </w:rPr>
        <w:t>de</w:t>
      </w:r>
      <w:r>
        <w:rPr>
          <w:spacing w:val="-4"/>
          <w:sz w:val="20"/>
        </w:rPr>
        <w:t xml:space="preserve"> </w:t>
      </w:r>
      <w:r>
        <w:rPr>
          <w:sz w:val="20"/>
        </w:rPr>
        <w:t>trab</w:t>
      </w:r>
      <w:r>
        <w:rPr>
          <w:sz w:val="20"/>
        </w:rPr>
        <w:t>ajo;</w:t>
      </w:r>
      <w:r>
        <w:rPr>
          <w:spacing w:val="-5"/>
          <w:sz w:val="20"/>
        </w:rPr>
        <w:t xml:space="preserve"> </w:t>
      </w:r>
      <w:r>
        <w:rPr>
          <w:sz w:val="20"/>
        </w:rPr>
        <w:t>la</w:t>
      </w:r>
      <w:r>
        <w:rPr>
          <w:spacing w:val="-5"/>
          <w:sz w:val="20"/>
        </w:rPr>
        <w:t xml:space="preserve"> </w:t>
      </w:r>
      <w:r>
        <w:rPr>
          <w:sz w:val="20"/>
        </w:rPr>
        <w:t>forma</w:t>
      </w:r>
      <w:r>
        <w:rPr>
          <w:spacing w:val="-3"/>
          <w:sz w:val="20"/>
        </w:rPr>
        <w:t xml:space="preserve"> </w:t>
      </w:r>
      <w:r>
        <w:rPr>
          <w:sz w:val="20"/>
        </w:rPr>
        <w:t>de</w:t>
      </w:r>
      <w:r>
        <w:rPr>
          <w:spacing w:val="-7"/>
          <w:sz w:val="20"/>
        </w:rPr>
        <w:t xml:space="preserve"> </w:t>
      </w:r>
      <w:r>
        <w:rPr>
          <w:sz w:val="20"/>
        </w:rPr>
        <w:t>la muerte y la aparición de lesiones; la falta de cuidados posteriores, y las condiciones de detención</w:t>
      </w:r>
      <w:r>
        <w:rPr>
          <w:spacing w:val="-9"/>
          <w:sz w:val="20"/>
        </w:rPr>
        <w:t xml:space="preserve"> </w:t>
      </w:r>
      <w:r>
        <w:rPr>
          <w:sz w:val="20"/>
        </w:rPr>
        <w:t>como</w:t>
      </w:r>
      <w:r>
        <w:rPr>
          <w:spacing w:val="-9"/>
          <w:sz w:val="20"/>
        </w:rPr>
        <w:t xml:space="preserve"> </w:t>
      </w:r>
      <w:r>
        <w:rPr>
          <w:sz w:val="20"/>
        </w:rPr>
        <w:t>una</w:t>
      </w:r>
      <w:r>
        <w:rPr>
          <w:spacing w:val="-10"/>
          <w:sz w:val="20"/>
        </w:rPr>
        <w:t xml:space="preserve"> </w:t>
      </w:r>
      <w:r>
        <w:rPr>
          <w:sz w:val="20"/>
        </w:rPr>
        <w:t>forma</w:t>
      </w:r>
      <w:r>
        <w:rPr>
          <w:spacing w:val="-10"/>
          <w:sz w:val="20"/>
        </w:rPr>
        <w:t xml:space="preserve"> </w:t>
      </w:r>
      <w:r>
        <w:rPr>
          <w:sz w:val="20"/>
        </w:rPr>
        <w:t>de</w:t>
      </w:r>
      <w:r>
        <w:rPr>
          <w:spacing w:val="-11"/>
          <w:sz w:val="20"/>
        </w:rPr>
        <w:t xml:space="preserve"> </w:t>
      </w:r>
      <w:r>
        <w:rPr>
          <w:sz w:val="20"/>
        </w:rPr>
        <w:t>maltrato</w:t>
      </w:r>
      <w:r>
        <w:rPr>
          <w:spacing w:val="-9"/>
          <w:sz w:val="20"/>
        </w:rPr>
        <w:t xml:space="preserve"> </w:t>
      </w:r>
      <w:r>
        <w:rPr>
          <w:sz w:val="20"/>
        </w:rPr>
        <w:t>que,</w:t>
      </w:r>
      <w:r>
        <w:rPr>
          <w:spacing w:val="-8"/>
          <w:sz w:val="20"/>
        </w:rPr>
        <w:t xml:space="preserve"> </w:t>
      </w:r>
      <w:r>
        <w:rPr>
          <w:sz w:val="20"/>
        </w:rPr>
        <w:t>en</w:t>
      </w:r>
      <w:r>
        <w:rPr>
          <w:spacing w:val="-7"/>
          <w:sz w:val="20"/>
        </w:rPr>
        <w:t xml:space="preserve"> </w:t>
      </w:r>
      <w:r>
        <w:rPr>
          <w:sz w:val="20"/>
        </w:rPr>
        <w:t>este</w:t>
      </w:r>
      <w:r>
        <w:rPr>
          <w:spacing w:val="-11"/>
          <w:sz w:val="20"/>
        </w:rPr>
        <w:t xml:space="preserve"> </w:t>
      </w:r>
      <w:r>
        <w:rPr>
          <w:sz w:val="20"/>
        </w:rPr>
        <w:t>caso,</w:t>
      </w:r>
      <w:r>
        <w:rPr>
          <w:spacing w:val="-11"/>
          <w:sz w:val="20"/>
        </w:rPr>
        <w:t xml:space="preserve"> </w:t>
      </w:r>
      <w:r>
        <w:rPr>
          <w:sz w:val="20"/>
        </w:rPr>
        <w:t>de</w:t>
      </w:r>
      <w:r>
        <w:rPr>
          <w:spacing w:val="-11"/>
          <w:sz w:val="20"/>
        </w:rPr>
        <w:t xml:space="preserve"> </w:t>
      </w:r>
      <w:r>
        <w:rPr>
          <w:sz w:val="20"/>
        </w:rPr>
        <w:t>acuerdo</w:t>
      </w:r>
      <w:r>
        <w:rPr>
          <w:spacing w:val="-9"/>
          <w:sz w:val="20"/>
        </w:rPr>
        <w:t xml:space="preserve"> </w:t>
      </w:r>
      <w:r>
        <w:rPr>
          <w:sz w:val="20"/>
        </w:rPr>
        <w:t>con</w:t>
      </w:r>
      <w:r>
        <w:rPr>
          <w:spacing w:val="-9"/>
          <w:sz w:val="20"/>
        </w:rPr>
        <w:t xml:space="preserve"> </w:t>
      </w:r>
      <w:r>
        <w:rPr>
          <w:sz w:val="20"/>
        </w:rPr>
        <w:t>los</w:t>
      </w:r>
      <w:r>
        <w:rPr>
          <w:spacing w:val="-9"/>
          <w:sz w:val="20"/>
        </w:rPr>
        <w:t xml:space="preserve"> </w:t>
      </w:r>
      <w:r>
        <w:rPr>
          <w:sz w:val="20"/>
        </w:rPr>
        <w:t>representantes, puede</w:t>
      </w:r>
      <w:r>
        <w:rPr>
          <w:spacing w:val="-9"/>
          <w:sz w:val="20"/>
        </w:rPr>
        <w:t xml:space="preserve"> </w:t>
      </w:r>
      <w:r>
        <w:rPr>
          <w:sz w:val="20"/>
        </w:rPr>
        <w:t>ser</w:t>
      </w:r>
      <w:r>
        <w:rPr>
          <w:spacing w:val="-9"/>
          <w:sz w:val="20"/>
        </w:rPr>
        <w:t xml:space="preserve"> </w:t>
      </w:r>
      <w:r>
        <w:rPr>
          <w:sz w:val="20"/>
        </w:rPr>
        <w:t>considerada</w:t>
      </w:r>
      <w:r>
        <w:rPr>
          <w:spacing w:val="-10"/>
          <w:sz w:val="20"/>
        </w:rPr>
        <w:t xml:space="preserve"> </w:t>
      </w:r>
      <w:r>
        <w:rPr>
          <w:sz w:val="20"/>
        </w:rPr>
        <w:t>de</w:t>
      </w:r>
      <w:r>
        <w:rPr>
          <w:spacing w:val="-11"/>
          <w:sz w:val="20"/>
        </w:rPr>
        <w:t xml:space="preserve"> </w:t>
      </w:r>
      <w:r>
        <w:rPr>
          <w:sz w:val="20"/>
        </w:rPr>
        <w:t>manera</w:t>
      </w:r>
      <w:r>
        <w:rPr>
          <w:spacing w:val="-8"/>
          <w:sz w:val="20"/>
        </w:rPr>
        <w:t xml:space="preserve"> </w:t>
      </w:r>
      <w:r>
        <w:rPr>
          <w:sz w:val="20"/>
        </w:rPr>
        <w:t>análoga</w:t>
      </w:r>
      <w:r>
        <w:rPr>
          <w:spacing w:val="-8"/>
          <w:sz w:val="20"/>
        </w:rPr>
        <w:t xml:space="preserve"> </w:t>
      </w:r>
      <w:r>
        <w:rPr>
          <w:sz w:val="20"/>
        </w:rPr>
        <w:t>a</w:t>
      </w:r>
      <w:r>
        <w:rPr>
          <w:spacing w:val="-10"/>
          <w:sz w:val="20"/>
        </w:rPr>
        <w:t xml:space="preserve"> </w:t>
      </w:r>
      <w:r>
        <w:rPr>
          <w:sz w:val="20"/>
        </w:rPr>
        <w:t>las</w:t>
      </w:r>
      <w:r>
        <w:rPr>
          <w:spacing w:val="-9"/>
          <w:sz w:val="20"/>
        </w:rPr>
        <w:t xml:space="preserve"> </w:t>
      </w:r>
      <w:r>
        <w:rPr>
          <w:sz w:val="20"/>
        </w:rPr>
        <w:t>condiciones</w:t>
      </w:r>
      <w:r>
        <w:rPr>
          <w:spacing w:val="-9"/>
          <w:sz w:val="20"/>
        </w:rPr>
        <w:t xml:space="preserve"> </w:t>
      </w:r>
      <w:r>
        <w:rPr>
          <w:sz w:val="20"/>
        </w:rPr>
        <w:t>de</w:t>
      </w:r>
      <w:r>
        <w:rPr>
          <w:spacing w:val="-9"/>
          <w:sz w:val="20"/>
        </w:rPr>
        <w:t xml:space="preserve"> </w:t>
      </w:r>
      <w:r>
        <w:rPr>
          <w:sz w:val="20"/>
        </w:rPr>
        <w:t>trabajo</w:t>
      </w:r>
      <w:r>
        <w:rPr>
          <w:spacing w:val="-11"/>
          <w:sz w:val="20"/>
        </w:rPr>
        <w:t xml:space="preserve"> </w:t>
      </w:r>
      <w:r>
        <w:rPr>
          <w:sz w:val="20"/>
        </w:rPr>
        <w:t>degradantes</w:t>
      </w:r>
      <w:r>
        <w:rPr>
          <w:spacing w:val="-11"/>
          <w:sz w:val="20"/>
        </w:rPr>
        <w:t xml:space="preserve"> </w:t>
      </w:r>
      <w:r>
        <w:rPr>
          <w:sz w:val="20"/>
        </w:rPr>
        <w:t>a</w:t>
      </w:r>
      <w:r>
        <w:rPr>
          <w:spacing w:val="-8"/>
          <w:sz w:val="20"/>
        </w:rPr>
        <w:t xml:space="preserve"> </w:t>
      </w:r>
      <w:r>
        <w:rPr>
          <w:sz w:val="20"/>
        </w:rPr>
        <w:t>las</w:t>
      </w:r>
      <w:r>
        <w:rPr>
          <w:spacing w:val="-9"/>
          <w:sz w:val="20"/>
        </w:rPr>
        <w:t xml:space="preserve"> </w:t>
      </w:r>
      <w:r>
        <w:rPr>
          <w:sz w:val="20"/>
        </w:rPr>
        <w:t>que las víctimas fueron</w:t>
      </w:r>
      <w:r>
        <w:rPr>
          <w:spacing w:val="-2"/>
          <w:sz w:val="20"/>
        </w:rPr>
        <w:t xml:space="preserve"> </w:t>
      </w:r>
      <w:r>
        <w:rPr>
          <w:sz w:val="20"/>
        </w:rPr>
        <w:t>expuestas.</w:t>
      </w:r>
    </w:p>
    <w:p w14:paraId="3528FE74" w14:textId="77777777" w:rsidR="00467FCA" w:rsidRDefault="00467FCA">
      <w:pPr>
        <w:pStyle w:val="Textoindependiente"/>
        <w:spacing w:before="11"/>
        <w:rPr>
          <w:sz w:val="19"/>
        </w:rPr>
      </w:pPr>
    </w:p>
    <w:p w14:paraId="00B68714" w14:textId="77777777" w:rsidR="00467FCA" w:rsidRDefault="001B68EB">
      <w:pPr>
        <w:pStyle w:val="Prrafodelista"/>
        <w:numPr>
          <w:ilvl w:val="0"/>
          <w:numId w:val="38"/>
        </w:numPr>
        <w:tabs>
          <w:tab w:val="left" w:pos="686"/>
        </w:tabs>
        <w:ind w:right="122" w:firstLine="0"/>
        <w:jc w:val="both"/>
        <w:rPr>
          <w:sz w:val="20"/>
        </w:rPr>
      </w:pPr>
      <w:r>
        <w:rPr>
          <w:sz w:val="20"/>
        </w:rPr>
        <w:t>El</w:t>
      </w:r>
      <w:r>
        <w:rPr>
          <w:spacing w:val="-19"/>
          <w:sz w:val="20"/>
        </w:rPr>
        <w:t xml:space="preserve"> </w:t>
      </w:r>
      <w:r>
        <w:rPr>
          <w:b/>
          <w:i/>
          <w:sz w:val="20"/>
        </w:rPr>
        <w:t>Estado</w:t>
      </w:r>
      <w:r>
        <w:rPr>
          <w:b/>
          <w:i/>
          <w:spacing w:val="-15"/>
          <w:sz w:val="20"/>
        </w:rPr>
        <w:t xml:space="preserve"> </w:t>
      </w:r>
      <w:r>
        <w:rPr>
          <w:sz w:val="20"/>
        </w:rPr>
        <w:t>se</w:t>
      </w:r>
      <w:r>
        <w:rPr>
          <w:spacing w:val="-16"/>
          <w:sz w:val="20"/>
        </w:rPr>
        <w:t xml:space="preserve"> </w:t>
      </w:r>
      <w:r>
        <w:rPr>
          <w:sz w:val="20"/>
        </w:rPr>
        <w:t>refirió</w:t>
      </w:r>
      <w:r>
        <w:rPr>
          <w:spacing w:val="-19"/>
          <w:sz w:val="20"/>
        </w:rPr>
        <w:t xml:space="preserve"> </w:t>
      </w:r>
      <w:r>
        <w:rPr>
          <w:sz w:val="20"/>
        </w:rPr>
        <w:t>a</w:t>
      </w:r>
      <w:r>
        <w:rPr>
          <w:spacing w:val="-15"/>
          <w:sz w:val="20"/>
        </w:rPr>
        <w:t xml:space="preserve"> </w:t>
      </w:r>
      <w:r>
        <w:rPr>
          <w:sz w:val="20"/>
        </w:rPr>
        <w:t>este</w:t>
      </w:r>
      <w:r>
        <w:rPr>
          <w:spacing w:val="-21"/>
          <w:sz w:val="20"/>
        </w:rPr>
        <w:t xml:space="preserve"> </w:t>
      </w:r>
      <w:r>
        <w:rPr>
          <w:sz w:val="20"/>
        </w:rPr>
        <w:t>asunto</w:t>
      </w:r>
      <w:r>
        <w:rPr>
          <w:spacing w:val="-21"/>
          <w:sz w:val="20"/>
        </w:rPr>
        <w:t xml:space="preserve"> </w:t>
      </w:r>
      <w:r>
        <w:rPr>
          <w:sz w:val="20"/>
        </w:rPr>
        <w:t>al</w:t>
      </w:r>
      <w:r>
        <w:rPr>
          <w:spacing w:val="-17"/>
          <w:sz w:val="20"/>
        </w:rPr>
        <w:t xml:space="preserve"> </w:t>
      </w:r>
      <w:r>
        <w:rPr>
          <w:sz w:val="20"/>
        </w:rPr>
        <w:t>tratar</w:t>
      </w:r>
      <w:r>
        <w:rPr>
          <w:spacing w:val="-19"/>
          <w:sz w:val="20"/>
        </w:rPr>
        <w:t xml:space="preserve"> </w:t>
      </w:r>
      <w:r>
        <w:rPr>
          <w:sz w:val="20"/>
        </w:rPr>
        <w:t>lo</w:t>
      </w:r>
      <w:r>
        <w:rPr>
          <w:spacing w:val="-19"/>
          <w:sz w:val="20"/>
        </w:rPr>
        <w:t xml:space="preserve"> </w:t>
      </w:r>
      <w:r>
        <w:rPr>
          <w:sz w:val="20"/>
        </w:rPr>
        <w:t>relacionado</w:t>
      </w:r>
      <w:r>
        <w:rPr>
          <w:spacing w:val="-18"/>
          <w:sz w:val="20"/>
        </w:rPr>
        <w:t xml:space="preserve"> </w:t>
      </w:r>
      <w:r>
        <w:rPr>
          <w:sz w:val="20"/>
        </w:rPr>
        <w:t>con</w:t>
      </w:r>
      <w:r>
        <w:rPr>
          <w:spacing w:val="-18"/>
          <w:sz w:val="20"/>
        </w:rPr>
        <w:t xml:space="preserve"> </w:t>
      </w:r>
      <w:r>
        <w:rPr>
          <w:sz w:val="20"/>
        </w:rPr>
        <w:t>los</w:t>
      </w:r>
      <w:r>
        <w:rPr>
          <w:spacing w:val="-18"/>
          <w:sz w:val="20"/>
        </w:rPr>
        <w:t xml:space="preserve"> </w:t>
      </w:r>
      <w:r>
        <w:rPr>
          <w:sz w:val="20"/>
        </w:rPr>
        <w:t>daños</w:t>
      </w:r>
      <w:r>
        <w:rPr>
          <w:spacing w:val="-21"/>
          <w:sz w:val="20"/>
        </w:rPr>
        <w:t xml:space="preserve"> </w:t>
      </w:r>
      <w:r>
        <w:rPr>
          <w:sz w:val="20"/>
        </w:rPr>
        <w:t>materiales</w:t>
      </w:r>
      <w:r>
        <w:rPr>
          <w:spacing w:val="-18"/>
          <w:sz w:val="20"/>
        </w:rPr>
        <w:t xml:space="preserve"> </w:t>
      </w:r>
      <w:r>
        <w:rPr>
          <w:sz w:val="20"/>
        </w:rPr>
        <w:t>(</w:t>
      </w:r>
      <w:r>
        <w:rPr>
          <w:i/>
          <w:sz w:val="20"/>
        </w:rPr>
        <w:t xml:space="preserve">supra </w:t>
      </w:r>
      <w:r>
        <w:rPr>
          <w:sz w:val="20"/>
        </w:rPr>
        <w:t>párr. 294).</w:t>
      </w:r>
    </w:p>
    <w:p w14:paraId="7568C30F" w14:textId="77777777" w:rsidR="00467FCA" w:rsidRDefault="00467FCA">
      <w:pPr>
        <w:pStyle w:val="Textoindependiente"/>
      </w:pPr>
    </w:p>
    <w:p w14:paraId="4F100A84" w14:textId="77777777" w:rsidR="00467FCA" w:rsidRDefault="001B68EB">
      <w:pPr>
        <w:pStyle w:val="Prrafodelista"/>
        <w:numPr>
          <w:ilvl w:val="0"/>
          <w:numId w:val="38"/>
        </w:numPr>
        <w:tabs>
          <w:tab w:val="left" w:pos="686"/>
        </w:tabs>
        <w:ind w:right="117" w:firstLine="0"/>
        <w:jc w:val="both"/>
        <w:rPr>
          <w:sz w:val="20"/>
        </w:rPr>
      </w:pPr>
      <w:r>
        <w:rPr>
          <w:sz w:val="20"/>
        </w:rPr>
        <w:t>La Corte ha desarrollado en su jurisprudencia el concepto de daño inmaterial y ha establecido</w:t>
      </w:r>
      <w:r>
        <w:rPr>
          <w:spacing w:val="-8"/>
          <w:sz w:val="20"/>
        </w:rPr>
        <w:t xml:space="preserve"> </w:t>
      </w:r>
      <w:r>
        <w:rPr>
          <w:sz w:val="20"/>
        </w:rPr>
        <w:t>que</w:t>
      </w:r>
      <w:r>
        <w:rPr>
          <w:spacing w:val="-8"/>
          <w:sz w:val="20"/>
        </w:rPr>
        <w:t xml:space="preserve"> </w:t>
      </w:r>
      <w:r>
        <w:rPr>
          <w:sz w:val="20"/>
        </w:rPr>
        <w:t>este</w:t>
      </w:r>
      <w:r>
        <w:rPr>
          <w:spacing w:val="-8"/>
          <w:sz w:val="20"/>
        </w:rPr>
        <w:t xml:space="preserve"> </w:t>
      </w:r>
      <w:r>
        <w:rPr>
          <w:sz w:val="20"/>
        </w:rPr>
        <w:t>“puede</w:t>
      </w:r>
      <w:r>
        <w:rPr>
          <w:spacing w:val="-7"/>
          <w:sz w:val="20"/>
        </w:rPr>
        <w:t xml:space="preserve"> </w:t>
      </w:r>
      <w:r>
        <w:rPr>
          <w:sz w:val="20"/>
        </w:rPr>
        <w:t>comprender</w:t>
      </w:r>
      <w:r>
        <w:rPr>
          <w:spacing w:val="-10"/>
          <w:sz w:val="20"/>
        </w:rPr>
        <w:t xml:space="preserve"> </w:t>
      </w:r>
      <w:r>
        <w:rPr>
          <w:sz w:val="20"/>
        </w:rPr>
        <w:t>tanto</w:t>
      </w:r>
      <w:r>
        <w:rPr>
          <w:spacing w:val="-5"/>
          <w:sz w:val="20"/>
        </w:rPr>
        <w:t xml:space="preserve"> </w:t>
      </w:r>
      <w:r>
        <w:rPr>
          <w:sz w:val="20"/>
        </w:rPr>
        <w:t>los</w:t>
      </w:r>
      <w:r>
        <w:rPr>
          <w:spacing w:val="-6"/>
          <w:sz w:val="20"/>
        </w:rPr>
        <w:t xml:space="preserve"> </w:t>
      </w:r>
      <w:r>
        <w:rPr>
          <w:sz w:val="20"/>
        </w:rPr>
        <w:t>sufrimientos</w:t>
      </w:r>
      <w:r>
        <w:rPr>
          <w:spacing w:val="-10"/>
          <w:sz w:val="20"/>
        </w:rPr>
        <w:t xml:space="preserve"> </w:t>
      </w:r>
      <w:r>
        <w:rPr>
          <w:sz w:val="20"/>
        </w:rPr>
        <w:t>y</w:t>
      </w:r>
      <w:r>
        <w:rPr>
          <w:spacing w:val="-7"/>
          <w:sz w:val="20"/>
        </w:rPr>
        <w:t xml:space="preserve"> </w:t>
      </w:r>
      <w:r>
        <w:rPr>
          <w:sz w:val="20"/>
        </w:rPr>
        <w:t>las</w:t>
      </w:r>
      <w:r>
        <w:rPr>
          <w:spacing w:val="-6"/>
          <w:sz w:val="20"/>
        </w:rPr>
        <w:t xml:space="preserve"> </w:t>
      </w:r>
      <w:r>
        <w:rPr>
          <w:sz w:val="20"/>
        </w:rPr>
        <w:t>aflicciones</w:t>
      </w:r>
      <w:r>
        <w:rPr>
          <w:spacing w:val="-7"/>
          <w:sz w:val="20"/>
        </w:rPr>
        <w:t xml:space="preserve"> </w:t>
      </w:r>
      <w:r>
        <w:rPr>
          <w:sz w:val="20"/>
        </w:rPr>
        <w:t>causados</w:t>
      </w:r>
      <w:r>
        <w:rPr>
          <w:spacing w:val="-7"/>
          <w:sz w:val="20"/>
        </w:rPr>
        <w:t xml:space="preserve"> </w:t>
      </w:r>
      <w:r>
        <w:rPr>
          <w:sz w:val="20"/>
        </w:rPr>
        <w:t xml:space="preserve">por la violación como el menoscabo de valores muy significativos para las personas y </w:t>
      </w:r>
      <w:r>
        <w:rPr>
          <w:sz w:val="20"/>
        </w:rPr>
        <w:t>cualquier alteración, de carácter no pecuniario, en las condiciones de existencia de las víctimas”</w:t>
      </w:r>
      <w:hyperlink w:anchor="_bookmark443" w:history="1">
        <w:r>
          <w:rPr>
            <w:position w:val="7"/>
            <w:sz w:val="13"/>
          </w:rPr>
          <w:t>370</w:t>
        </w:r>
      </w:hyperlink>
      <w:r>
        <w:rPr>
          <w:sz w:val="20"/>
        </w:rPr>
        <w:t>. Dado que no es posible asignar al daño inmaterial un equivalente monetario preciso, solo puede ser objeto de compensación</w:t>
      </w:r>
      <w:r>
        <w:rPr>
          <w:sz w:val="20"/>
        </w:rPr>
        <w:t>. En esa medida, para los fines de la reparación integral a la</w:t>
      </w:r>
      <w:r>
        <w:rPr>
          <w:spacing w:val="-13"/>
          <w:sz w:val="20"/>
        </w:rPr>
        <w:t xml:space="preserve"> </w:t>
      </w:r>
      <w:r>
        <w:rPr>
          <w:sz w:val="20"/>
        </w:rPr>
        <w:t>víctima,</w:t>
      </w:r>
      <w:r>
        <w:rPr>
          <w:spacing w:val="-13"/>
          <w:sz w:val="20"/>
        </w:rPr>
        <w:t xml:space="preserve"> </w:t>
      </w:r>
      <w:r>
        <w:rPr>
          <w:sz w:val="20"/>
        </w:rPr>
        <w:t>esto</w:t>
      </w:r>
      <w:r>
        <w:rPr>
          <w:spacing w:val="-14"/>
          <w:sz w:val="20"/>
        </w:rPr>
        <w:t xml:space="preserve"> </w:t>
      </w:r>
      <w:r>
        <w:rPr>
          <w:sz w:val="20"/>
        </w:rPr>
        <w:t>se</w:t>
      </w:r>
      <w:r>
        <w:rPr>
          <w:spacing w:val="-14"/>
          <w:sz w:val="20"/>
        </w:rPr>
        <w:t xml:space="preserve"> </w:t>
      </w:r>
      <w:r>
        <w:rPr>
          <w:sz w:val="20"/>
        </w:rPr>
        <w:t>hará</w:t>
      </w:r>
      <w:r>
        <w:rPr>
          <w:spacing w:val="-10"/>
          <w:sz w:val="20"/>
        </w:rPr>
        <w:t xml:space="preserve"> </w:t>
      </w:r>
      <w:r>
        <w:rPr>
          <w:sz w:val="20"/>
        </w:rPr>
        <w:t>mediante</w:t>
      </w:r>
      <w:r>
        <w:rPr>
          <w:spacing w:val="-13"/>
          <w:sz w:val="20"/>
        </w:rPr>
        <w:t xml:space="preserve"> </w:t>
      </w:r>
      <w:r>
        <w:rPr>
          <w:sz w:val="20"/>
        </w:rPr>
        <w:t>el</w:t>
      </w:r>
      <w:r>
        <w:rPr>
          <w:spacing w:val="-12"/>
          <w:sz w:val="20"/>
        </w:rPr>
        <w:t xml:space="preserve"> </w:t>
      </w:r>
      <w:r>
        <w:rPr>
          <w:sz w:val="20"/>
        </w:rPr>
        <w:t>pago</w:t>
      </w:r>
      <w:r>
        <w:rPr>
          <w:spacing w:val="-14"/>
          <w:sz w:val="20"/>
        </w:rPr>
        <w:t xml:space="preserve"> </w:t>
      </w:r>
      <w:r>
        <w:rPr>
          <w:sz w:val="20"/>
        </w:rPr>
        <w:t>de</w:t>
      </w:r>
      <w:r>
        <w:rPr>
          <w:spacing w:val="-14"/>
          <w:sz w:val="20"/>
        </w:rPr>
        <w:t xml:space="preserve"> </w:t>
      </w:r>
      <w:r>
        <w:rPr>
          <w:sz w:val="20"/>
        </w:rPr>
        <w:t>una</w:t>
      </w:r>
      <w:r>
        <w:rPr>
          <w:spacing w:val="-13"/>
          <w:sz w:val="20"/>
        </w:rPr>
        <w:t xml:space="preserve"> </w:t>
      </w:r>
      <w:r>
        <w:rPr>
          <w:sz w:val="20"/>
        </w:rPr>
        <w:t>cantidad</w:t>
      </w:r>
      <w:r>
        <w:rPr>
          <w:spacing w:val="-12"/>
          <w:sz w:val="20"/>
        </w:rPr>
        <w:t xml:space="preserve"> </w:t>
      </w:r>
      <w:r>
        <w:rPr>
          <w:sz w:val="20"/>
        </w:rPr>
        <w:t>de</w:t>
      </w:r>
      <w:r>
        <w:rPr>
          <w:spacing w:val="-13"/>
          <w:sz w:val="20"/>
        </w:rPr>
        <w:t xml:space="preserve"> </w:t>
      </w:r>
      <w:r>
        <w:rPr>
          <w:sz w:val="20"/>
        </w:rPr>
        <w:t>dinero</w:t>
      </w:r>
      <w:r>
        <w:rPr>
          <w:spacing w:val="-14"/>
          <w:sz w:val="20"/>
        </w:rPr>
        <w:t xml:space="preserve"> </w:t>
      </w:r>
      <w:r>
        <w:rPr>
          <w:sz w:val="20"/>
        </w:rPr>
        <w:t>que</w:t>
      </w:r>
      <w:r>
        <w:rPr>
          <w:spacing w:val="-14"/>
          <w:sz w:val="20"/>
        </w:rPr>
        <w:t xml:space="preserve"> </w:t>
      </w:r>
      <w:r>
        <w:rPr>
          <w:sz w:val="20"/>
        </w:rPr>
        <w:t>el</w:t>
      </w:r>
      <w:r>
        <w:rPr>
          <w:spacing w:val="-12"/>
          <w:sz w:val="20"/>
        </w:rPr>
        <w:t xml:space="preserve"> </w:t>
      </w:r>
      <w:r>
        <w:rPr>
          <w:sz w:val="20"/>
        </w:rPr>
        <w:t>Tribunal</w:t>
      </w:r>
      <w:r>
        <w:rPr>
          <w:spacing w:val="-12"/>
          <w:sz w:val="20"/>
        </w:rPr>
        <w:t xml:space="preserve"> </w:t>
      </w:r>
      <w:r>
        <w:rPr>
          <w:sz w:val="20"/>
        </w:rPr>
        <w:t>determine en aplicación razonable del arbitrio judicial y en términos de</w:t>
      </w:r>
      <w:r>
        <w:rPr>
          <w:spacing w:val="-9"/>
          <w:sz w:val="20"/>
        </w:rPr>
        <w:t xml:space="preserve"> </w:t>
      </w:r>
      <w:r>
        <w:rPr>
          <w:sz w:val="20"/>
        </w:rPr>
        <w:t>equidad</w:t>
      </w:r>
      <w:hyperlink w:anchor="_bookmark444" w:history="1">
        <w:r>
          <w:rPr>
            <w:position w:val="7"/>
            <w:sz w:val="13"/>
          </w:rPr>
          <w:t>371</w:t>
        </w:r>
      </w:hyperlink>
      <w:r>
        <w:rPr>
          <w:sz w:val="20"/>
        </w:rPr>
        <w:t>.</w:t>
      </w:r>
    </w:p>
    <w:p w14:paraId="357036E8" w14:textId="77777777" w:rsidR="00467FCA" w:rsidRDefault="00467FCA">
      <w:pPr>
        <w:pStyle w:val="Textoindependiente"/>
        <w:spacing w:before="1"/>
      </w:pPr>
    </w:p>
    <w:p w14:paraId="2CF72AAA" w14:textId="77777777" w:rsidR="00467FCA" w:rsidRDefault="001B68EB">
      <w:pPr>
        <w:pStyle w:val="Prrafodelista"/>
        <w:numPr>
          <w:ilvl w:val="0"/>
          <w:numId w:val="38"/>
        </w:numPr>
        <w:tabs>
          <w:tab w:val="left" w:pos="687"/>
        </w:tabs>
        <w:ind w:right="119" w:firstLine="0"/>
        <w:jc w:val="both"/>
        <w:rPr>
          <w:sz w:val="20"/>
        </w:rPr>
      </w:pPr>
      <w:r>
        <w:rPr>
          <w:sz w:val="20"/>
        </w:rPr>
        <w:t>En el capítulo VIII se declaró la responsabilidad internacional del Estado por las violaciones a los derechos establecidos en los artículos 4.1, 5.1, 8.1, 19, 24, 25 y 26 de la Convención Americana, en relación con el artículo 1.1 del mismo instrumen</w:t>
      </w:r>
      <w:r>
        <w:rPr>
          <w:sz w:val="20"/>
        </w:rPr>
        <w:t>to. En consideración a lo expuesto, este Tribunal fija en equidad las siguientes sumas a título de indemnización por daños</w:t>
      </w:r>
      <w:r>
        <w:rPr>
          <w:spacing w:val="-5"/>
          <w:sz w:val="20"/>
        </w:rPr>
        <w:t xml:space="preserve"> </w:t>
      </w:r>
      <w:r>
        <w:rPr>
          <w:sz w:val="20"/>
        </w:rPr>
        <w:t>inmateriales:</w:t>
      </w:r>
    </w:p>
    <w:p w14:paraId="212C8112" w14:textId="77777777" w:rsidR="00467FCA" w:rsidRDefault="00467FCA">
      <w:pPr>
        <w:pStyle w:val="Textoindependiente"/>
        <w:spacing w:before="10"/>
        <w:rPr>
          <w:sz w:val="19"/>
        </w:rPr>
      </w:pPr>
    </w:p>
    <w:p w14:paraId="436043B0" w14:textId="77777777" w:rsidR="00467FCA" w:rsidRDefault="001B68EB">
      <w:pPr>
        <w:pStyle w:val="Textoindependiente"/>
        <w:spacing w:before="1"/>
        <w:ind w:left="1113" w:right="117" w:hanging="425"/>
        <w:jc w:val="both"/>
      </w:pPr>
      <w:r>
        <w:t>a. USD$ 60.000 (sesenta mil dólares de los Estados Unidos de América) a favor de cada</w:t>
      </w:r>
      <w:r>
        <w:rPr>
          <w:spacing w:val="-8"/>
        </w:rPr>
        <w:t xml:space="preserve"> </w:t>
      </w:r>
      <w:r>
        <w:t>una</w:t>
      </w:r>
      <w:r>
        <w:rPr>
          <w:spacing w:val="-8"/>
        </w:rPr>
        <w:t xml:space="preserve"> </w:t>
      </w:r>
      <w:r>
        <w:t>de</w:t>
      </w:r>
      <w:r>
        <w:rPr>
          <w:spacing w:val="-9"/>
        </w:rPr>
        <w:t xml:space="preserve"> </w:t>
      </w:r>
      <w:r>
        <w:t>las</w:t>
      </w:r>
      <w:r>
        <w:rPr>
          <w:spacing w:val="-9"/>
        </w:rPr>
        <w:t xml:space="preserve"> </w:t>
      </w:r>
      <w:r>
        <w:t>víctimas</w:t>
      </w:r>
      <w:r>
        <w:rPr>
          <w:spacing w:val="-6"/>
        </w:rPr>
        <w:t xml:space="preserve"> </w:t>
      </w:r>
      <w:r>
        <w:t>fallecidas</w:t>
      </w:r>
      <w:r>
        <w:rPr>
          <w:spacing w:val="-6"/>
        </w:rPr>
        <w:t xml:space="preserve"> </w:t>
      </w:r>
      <w:r>
        <w:t>y</w:t>
      </w:r>
      <w:r>
        <w:rPr>
          <w:spacing w:val="-8"/>
        </w:rPr>
        <w:t xml:space="preserve"> </w:t>
      </w:r>
      <w:r>
        <w:t>sobrevivientes</w:t>
      </w:r>
      <w:r>
        <w:rPr>
          <w:spacing w:val="-9"/>
        </w:rPr>
        <w:t xml:space="preserve"> </w:t>
      </w:r>
      <w:r>
        <w:t>de</w:t>
      </w:r>
      <w:r>
        <w:rPr>
          <w:spacing w:val="-9"/>
        </w:rPr>
        <w:t xml:space="preserve"> </w:t>
      </w:r>
      <w:r>
        <w:t>la</w:t>
      </w:r>
      <w:r>
        <w:rPr>
          <w:spacing w:val="-8"/>
        </w:rPr>
        <w:t xml:space="preserve"> </w:t>
      </w:r>
      <w:r>
        <w:t>explosión.</w:t>
      </w:r>
      <w:r>
        <w:rPr>
          <w:spacing w:val="-7"/>
        </w:rPr>
        <w:t xml:space="preserve"> </w:t>
      </w:r>
      <w:r>
        <w:t>En</w:t>
      </w:r>
      <w:r>
        <w:rPr>
          <w:spacing w:val="-7"/>
        </w:rPr>
        <w:t xml:space="preserve"> </w:t>
      </w:r>
      <w:r>
        <w:t>los</w:t>
      </w:r>
      <w:r>
        <w:rPr>
          <w:spacing w:val="-9"/>
        </w:rPr>
        <w:t xml:space="preserve"> </w:t>
      </w:r>
      <w:r>
        <w:t>casos</w:t>
      </w:r>
      <w:r>
        <w:rPr>
          <w:spacing w:val="-9"/>
        </w:rPr>
        <w:t xml:space="preserve"> </w:t>
      </w:r>
      <w:r>
        <w:t>de Luciene Ribeiro dos Santos, Girlene dos Santos Souza, Aldeci Silva Santos, Aldenir Silva</w:t>
      </w:r>
      <w:r>
        <w:rPr>
          <w:spacing w:val="15"/>
        </w:rPr>
        <w:t xml:space="preserve"> </w:t>
      </w:r>
      <w:r>
        <w:t>Santos,</w:t>
      </w:r>
      <w:r>
        <w:rPr>
          <w:spacing w:val="14"/>
        </w:rPr>
        <w:t xml:space="preserve"> </w:t>
      </w:r>
      <w:r>
        <w:t>Aristela</w:t>
      </w:r>
      <w:r>
        <w:rPr>
          <w:spacing w:val="16"/>
        </w:rPr>
        <w:t xml:space="preserve"> </w:t>
      </w:r>
      <w:r>
        <w:t>Santos</w:t>
      </w:r>
      <w:r>
        <w:rPr>
          <w:spacing w:val="14"/>
        </w:rPr>
        <w:t xml:space="preserve"> </w:t>
      </w:r>
      <w:r>
        <w:t>de</w:t>
      </w:r>
      <w:r>
        <w:rPr>
          <w:spacing w:val="15"/>
        </w:rPr>
        <w:t xml:space="preserve"> </w:t>
      </w:r>
      <w:r>
        <w:t>Jesus,</w:t>
      </w:r>
      <w:r>
        <w:rPr>
          <w:spacing w:val="14"/>
        </w:rPr>
        <w:t xml:space="preserve"> </w:t>
      </w:r>
      <w:r>
        <w:t>Karla</w:t>
      </w:r>
      <w:r>
        <w:rPr>
          <w:spacing w:val="16"/>
        </w:rPr>
        <w:t xml:space="preserve"> </w:t>
      </w:r>
      <w:r>
        <w:t>Reis</w:t>
      </w:r>
      <w:r>
        <w:rPr>
          <w:spacing w:val="14"/>
        </w:rPr>
        <w:t xml:space="preserve"> </w:t>
      </w:r>
      <w:r>
        <w:t>dos</w:t>
      </w:r>
      <w:r>
        <w:rPr>
          <w:spacing w:val="15"/>
        </w:rPr>
        <w:t xml:space="preserve"> </w:t>
      </w:r>
      <w:r>
        <w:t>Santos,</w:t>
      </w:r>
      <w:r>
        <w:rPr>
          <w:spacing w:val="15"/>
        </w:rPr>
        <w:t xml:space="preserve"> </w:t>
      </w:r>
      <w:r>
        <w:t>Francisneide</w:t>
      </w:r>
      <w:r>
        <w:rPr>
          <w:spacing w:val="15"/>
        </w:rPr>
        <w:t xml:space="preserve"> </w:t>
      </w:r>
      <w:r>
        <w:t>Bispo</w:t>
      </w:r>
    </w:p>
    <w:p w14:paraId="5F11A0F6" w14:textId="77777777" w:rsidR="00467FCA" w:rsidRDefault="001B68EB">
      <w:pPr>
        <w:pStyle w:val="Textoindependiente"/>
        <w:spacing w:before="8"/>
        <w:rPr>
          <w:sz w:val="29"/>
        </w:rPr>
      </w:pPr>
      <w:r>
        <w:pict w14:anchorId="7FEA853D">
          <v:shape id="_x0000_s1120" style="position:absolute;margin-left:1in;margin-top:20.3pt;width:2in;height:.1pt;z-index:-251580416;mso-wrap-distance-left:0;mso-wrap-distance-right:0;mso-position-horizontal-relative:page" coordorigin="1440,406" coordsize="2880,0" path="m1440,406r2880,e" filled="f" strokeweight=".6pt">
            <v:path arrowok="t"/>
            <w10:wrap type="topAndBottom" anchorx="page"/>
          </v:shape>
        </w:pict>
      </w:r>
    </w:p>
    <w:p w14:paraId="4258D808" w14:textId="77777777" w:rsidR="00467FCA" w:rsidRDefault="001B68EB">
      <w:pPr>
        <w:tabs>
          <w:tab w:val="left" w:pos="839"/>
        </w:tabs>
        <w:spacing w:before="74"/>
        <w:ind w:left="120"/>
        <w:rPr>
          <w:i/>
          <w:sz w:val="16"/>
        </w:rPr>
      </w:pPr>
      <w:bookmarkStart w:id="513" w:name="_bookmark443"/>
      <w:bookmarkEnd w:id="513"/>
      <w:r>
        <w:rPr>
          <w:position w:val="6"/>
          <w:sz w:val="10"/>
        </w:rPr>
        <w:t>370</w:t>
      </w:r>
      <w:r>
        <w:rPr>
          <w:position w:val="6"/>
          <w:sz w:val="10"/>
        </w:rPr>
        <w:tab/>
      </w:r>
      <w:r>
        <w:rPr>
          <w:i/>
          <w:sz w:val="16"/>
        </w:rPr>
        <w:t>Cfr.</w:t>
      </w:r>
      <w:r>
        <w:rPr>
          <w:i/>
          <w:spacing w:val="-12"/>
          <w:sz w:val="16"/>
        </w:rPr>
        <w:t xml:space="preserve"> </w:t>
      </w:r>
      <w:r>
        <w:rPr>
          <w:i/>
          <w:sz w:val="16"/>
        </w:rPr>
        <w:t>Caso</w:t>
      </w:r>
      <w:r>
        <w:rPr>
          <w:i/>
          <w:spacing w:val="-11"/>
          <w:sz w:val="16"/>
        </w:rPr>
        <w:t xml:space="preserve"> </w:t>
      </w:r>
      <w:r>
        <w:rPr>
          <w:i/>
          <w:sz w:val="16"/>
        </w:rPr>
        <w:t>de</w:t>
      </w:r>
      <w:r>
        <w:rPr>
          <w:i/>
          <w:spacing w:val="-10"/>
          <w:sz w:val="16"/>
        </w:rPr>
        <w:t xml:space="preserve"> </w:t>
      </w:r>
      <w:r>
        <w:rPr>
          <w:i/>
          <w:sz w:val="16"/>
        </w:rPr>
        <w:t>los</w:t>
      </w:r>
      <w:r>
        <w:rPr>
          <w:i/>
          <w:spacing w:val="-10"/>
          <w:sz w:val="16"/>
        </w:rPr>
        <w:t xml:space="preserve"> </w:t>
      </w:r>
      <w:r>
        <w:rPr>
          <w:i/>
          <w:sz w:val="16"/>
        </w:rPr>
        <w:t>“Niños</w:t>
      </w:r>
      <w:r>
        <w:rPr>
          <w:i/>
          <w:spacing w:val="-10"/>
          <w:sz w:val="16"/>
        </w:rPr>
        <w:t xml:space="preserve"> </w:t>
      </w:r>
      <w:r>
        <w:rPr>
          <w:i/>
          <w:sz w:val="16"/>
        </w:rPr>
        <w:t>de</w:t>
      </w:r>
      <w:r>
        <w:rPr>
          <w:i/>
          <w:spacing w:val="-10"/>
          <w:sz w:val="16"/>
        </w:rPr>
        <w:t xml:space="preserve"> </w:t>
      </w:r>
      <w:r>
        <w:rPr>
          <w:i/>
          <w:sz w:val="16"/>
        </w:rPr>
        <w:t>la</w:t>
      </w:r>
      <w:r>
        <w:rPr>
          <w:i/>
          <w:spacing w:val="-10"/>
          <w:sz w:val="16"/>
        </w:rPr>
        <w:t xml:space="preserve"> </w:t>
      </w:r>
      <w:r>
        <w:rPr>
          <w:i/>
          <w:sz w:val="16"/>
        </w:rPr>
        <w:t>Calle”</w:t>
      </w:r>
      <w:r>
        <w:rPr>
          <w:i/>
          <w:spacing w:val="-10"/>
          <w:sz w:val="16"/>
        </w:rPr>
        <w:t xml:space="preserve"> </w:t>
      </w:r>
      <w:r>
        <w:rPr>
          <w:i/>
          <w:sz w:val="16"/>
        </w:rPr>
        <w:t>(Villagrán</w:t>
      </w:r>
      <w:r>
        <w:rPr>
          <w:i/>
          <w:spacing w:val="-13"/>
          <w:sz w:val="16"/>
        </w:rPr>
        <w:t xml:space="preserve"> </w:t>
      </w:r>
      <w:r>
        <w:rPr>
          <w:i/>
          <w:sz w:val="16"/>
        </w:rPr>
        <w:t>Morales</w:t>
      </w:r>
      <w:r>
        <w:rPr>
          <w:i/>
          <w:spacing w:val="-13"/>
          <w:sz w:val="16"/>
        </w:rPr>
        <w:t xml:space="preserve"> </w:t>
      </w:r>
      <w:r>
        <w:rPr>
          <w:i/>
          <w:sz w:val="16"/>
        </w:rPr>
        <w:t>y</w:t>
      </w:r>
      <w:r>
        <w:rPr>
          <w:i/>
          <w:spacing w:val="-11"/>
          <w:sz w:val="16"/>
        </w:rPr>
        <w:t xml:space="preserve"> </w:t>
      </w:r>
      <w:r>
        <w:rPr>
          <w:i/>
          <w:sz w:val="16"/>
        </w:rPr>
        <w:t>otros)</w:t>
      </w:r>
      <w:r>
        <w:rPr>
          <w:i/>
          <w:spacing w:val="-11"/>
          <w:sz w:val="16"/>
        </w:rPr>
        <w:t xml:space="preserve"> </w:t>
      </w:r>
      <w:r>
        <w:rPr>
          <w:i/>
          <w:sz w:val="16"/>
        </w:rPr>
        <w:t>Vs.</w:t>
      </w:r>
      <w:r>
        <w:rPr>
          <w:i/>
          <w:spacing w:val="-12"/>
          <w:sz w:val="16"/>
        </w:rPr>
        <w:t xml:space="preserve"> </w:t>
      </w:r>
      <w:r>
        <w:rPr>
          <w:i/>
          <w:sz w:val="16"/>
        </w:rPr>
        <w:t>Guatemala.</w:t>
      </w:r>
      <w:r>
        <w:rPr>
          <w:i/>
          <w:spacing w:val="-10"/>
          <w:sz w:val="16"/>
        </w:rPr>
        <w:t xml:space="preserve"> </w:t>
      </w:r>
      <w:r>
        <w:rPr>
          <w:i/>
          <w:sz w:val="16"/>
        </w:rPr>
        <w:t>Reparaciones</w:t>
      </w:r>
      <w:r>
        <w:rPr>
          <w:i/>
          <w:spacing w:val="-10"/>
          <w:sz w:val="16"/>
        </w:rPr>
        <w:t xml:space="preserve"> </w:t>
      </w:r>
      <w:r>
        <w:rPr>
          <w:i/>
          <w:sz w:val="16"/>
        </w:rPr>
        <w:t>y</w:t>
      </w:r>
      <w:r>
        <w:rPr>
          <w:i/>
          <w:spacing w:val="-11"/>
          <w:sz w:val="16"/>
        </w:rPr>
        <w:t xml:space="preserve"> </w:t>
      </w:r>
      <w:r>
        <w:rPr>
          <w:i/>
          <w:sz w:val="16"/>
        </w:rPr>
        <w:t>Costas,</w:t>
      </w:r>
      <w:r>
        <w:rPr>
          <w:i/>
          <w:spacing w:val="-10"/>
          <w:sz w:val="16"/>
        </w:rPr>
        <w:t xml:space="preserve"> </w:t>
      </w:r>
      <w:r>
        <w:rPr>
          <w:i/>
          <w:sz w:val="16"/>
        </w:rPr>
        <w:t>supra,</w:t>
      </w:r>
    </w:p>
    <w:p w14:paraId="65647C80" w14:textId="77777777" w:rsidR="00467FCA" w:rsidRDefault="001B68EB">
      <w:pPr>
        <w:ind w:left="120"/>
        <w:rPr>
          <w:sz w:val="16"/>
        </w:rPr>
      </w:pPr>
      <w:r>
        <w:rPr>
          <w:sz w:val="16"/>
        </w:rPr>
        <w:t xml:space="preserve">párr. 84, y </w:t>
      </w:r>
      <w:r>
        <w:rPr>
          <w:i/>
          <w:sz w:val="16"/>
        </w:rPr>
        <w:t xml:space="preserve">Caso Roche Azaña y otros Vs. Nicaragua, supra, </w:t>
      </w:r>
      <w:r>
        <w:rPr>
          <w:sz w:val="16"/>
        </w:rPr>
        <w:t>párr. 133.</w:t>
      </w:r>
    </w:p>
    <w:p w14:paraId="5B093348" w14:textId="77777777" w:rsidR="00467FCA" w:rsidRDefault="001B68EB">
      <w:pPr>
        <w:tabs>
          <w:tab w:val="left" w:pos="839"/>
        </w:tabs>
        <w:ind w:left="120"/>
        <w:rPr>
          <w:i/>
          <w:sz w:val="16"/>
        </w:rPr>
      </w:pPr>
      <w:bookmarkStart w:id="514" w:name="_bookmark444"/>
      <w:bookmarkEnd w:id="514"/>
      <w:r>
        <w:rPr>
          <w:position w:val="6"/>
          <w:sz w:val="10"/>
        </w:rPr>
        <w:t>371</w:t>
      </w:r>
      <w:r>
        <w:rPr>
          <w:position w:val="6"/>
          <w:sz w:val="10"/>
        </w:rPr>
        <w:tab/>
      </w:r>
      <w:r>
        <w:rPr>
          <w:i/>
          <w:sz w:val="16"/>
        </w:rPr>
        <w:t>Cfr. Caso Cantoral Benavides Vs. Perú</w:t>
      </w:r>
      <w:r>
        <w:rPr>
          <w:sz w:val="16"/>
        </w:rPr>
        <w:t xml:space="preserve">, </w:t>
      </w:r>
      <w:r>
        <w:rPr>
          <w:i/>
          <w:sz w:val="16"/>
        </w:rPr>
        <w:t>supra</w:t>
      </w:r>
      <w:r>
        <w:rPr>
          <w:sz w:val="16"/>
        </w:rPr>
        <w:t xml:space="preserve">, párr. 53, y </w:t>
      </w:r>
      <w:r>
        <w:rPr>
          <w:i/>
          <w:sz w:val="16"/>
        </w:rPr>
        <w:t>Caso Roche Azaña y otros Vs. Nicaragua, supra,</w:t>
      </w:r>
    </w:p>
    <w:p w14:paraId="0B0149DF" w14:textId="77777777" w:rsidR="00467FCA" w:rsidRDefault="001B68EB">
      <w:pPr>
        <w:ind w:left="119"/>
        <w:rPr>
          <w:sz w:val="16"/>
        </w:rPr>
      </w:pPr>
      <w:r>
        <w:rPr>
          <w:sz w:val="16"/>
        </w:rPr>
        <w:t>párr. 133.</w:t>
      </w:r>
    </w:p>
    <w:p w14:paraId="4B7B9507" w14:textId="77777777" w:rsidR="00467FCA" w:rsidRDefault="00467FCA">
      <w:pPr>
        <w:rPr>
          <w:sz w:val="16"/>
        </w:rPr>
        <w:sectPr w:rsidR="00467FCA">
          <w:pgSz w:w="12240" w:h="15840"/>
          <w:pgMar w:top="1360" w:right="1320" w:bottom="1220" w:left="1320" w:header="0" w:footer="957" w:gutter="0"/>
          <w:cols w:space="720"/>
        </w:sectPr>
      </w:pPr>
    </w:p>
    <w:p w14:paraId="5F10FD0A" w14:textId="77777777" w:rsidR="00467FCA" w:rsidRDefault="001B68EB">
      <w:pPr>
        <w:pStyle w:val="Textoindependiente"/>
        <w:spacing w:before="80"/>
        <w:ind w:left="1113" w:right="116"/>
        <w:jc w:val="both"/>
      </w:pPr>
      <w:r>
        <w:t xml:space="preserve">dos Santos, Rosângela de Jesus França, Luciene Oliveira Santos, </w:t>
      </w:r>
      <w:r>
        <w:t>Arlete Silva Santos, Núbia Silva dos Santos, Alex Santos Costa, Maria Joelma de Jesus Santos, Wellington</w:t>
      </w:r>
      <w:r>
        <w:rPr>
          <w:spacing w:val="-7"/>
        </w:rPr>
        <w:t xml:space="preserve"> </w:t>
      </w:r>
      <w:r>
        <w:t>Silva</w:t>
      </w:r>
      <w:r>
        <w:rPr>
          <w:spacing w:val="-8"/>
        </w:rPr>
        <w:t xml:space="preserve"> </w:t>
      </w:r>
      <w:r>
        <w:t>dos</w:t>
      </w:r>
      <w:r>
        <w:rPr>
          <w:spacing w:val="-9"/>
        </w:rPr>
        <w:t xml:space="preserve"> </w:t>
      </w:r>
      <w:r>
        <w:t>Santos,</w:t>
      </w:r>
      <w:r>
        <w:rPr>
          <w:spacing w:val="-8"/>
        </w:rPr>
        <w:t xml:space="preserve"> </w:t>
      </w:r>
      <w:r>
        <w:t>Bruno</w:t>
      </w:r>
      <w:r>
        <w:rPr>
          <w:spacing w:val="-9"/>
        </w:rPr>
        <w:t xml:space="preserve"> </w:t>
      </w:r>
      <w:r>
        <w:t>Silva</w:t>
      </w:r>
      <w:r>
        <w:rPr>
          <w:spacing w:val="-5"/>
        </w:rPr>
        <w:t xml:space="preserve"> </w:t>
      </w:r>
      <w:r>
        <w:t>dos</w:t>
      </w:r>
      <w:r>
        <w:rPr>
          <w:spacing w:val="-6"/>
        </w:rPr>
        <w:t xml:space="preserve"> </w:t>
      </w:r>
      <w:r>
        <w:t>Santos,</w:t>
      </w:r>
      <w:r>
        <w:rPr>
          <w:spacing w:val="-8"/>
        </w:rPr>
        <w:t xml:space="preserve"> </w:t>
      </w:r>
      <w:r>
        <w:t>menores</w:t>
      </w:r>
      <w:r>
        <w:rPr>
          <w:spacing w:val="-9"/>
        </w:rPr>
        <w:t xml:space="preserve"> </w:t>
      </w:r>
      <w:r>
        <w:t>de</w:t>
      </w:r>
      <w:r>
        <w:rPr>
          <w:spacing w:val="-7"/>
        </w:rPr>
        <w:t xml:space="preserve"> </w:t>
      </w:r>
      <w:r>
        <w:t>edad</w:t>
      </w:r>
      <w:r>
        <w:rPr>
          <w:spacing w:val="-5"/>
        </w:rPr>
        <w:t xml:space="preserve"> </w:t>
      </w:r>
      <w:r>
        <w:t>al</w:t>
      </w:r>
      <w:r>
        <w:rPr>
          <w:spacing w:val="-8"/>
        </w:rPr>
        <w:t xml:space="preserve"> </w:t>
      </w:r>
      <w:r>
        <w:t>momento de la explosión, se deberán pagar USD$ 15.000 (quince mil dólares de los Estados U</w:t>
      </w:r>
      <w:r>
        <w:t>nidos</w:t>
      </w:r>
      <w:r>
        <w:rPr>
          <w:spacing w:val="-18"/>
        </w:rPr>
        <w:t xml:space="preserve"> </w:t>
      </w:r>
      <w:r>
        <w:t>de</w:t>
      </w:r>
      <w:r>
        <w:rPr>
          <w:spacing w:val="-19"/>
        </w:rPr>
        <w:t xml:space="preserve"> </w:t>
      </w:r>
      <w:r>
        <w:t>América)</w:t>
      </w:r>
      <w:r>
        <w:rPr>
          <w:spacing w:val="-17"/>
        </w:rPr>
        <w:t xml:space="preserve"> </w:t>
      </w:r>
      <w:r>
        <w:t>adicionales.</w:t>
      </w:r>
      <w:r>
        <w:rPr>
          <w:spacing w:val="-17"/>
        </w:rPr>
        <w:t xml:space="preserve"> </w:t>
      </w:r>
      <w:r>
        <w:t>En</w:t>
      </w:r>
      <w:r>
        <w:rPr>
          <w:spacing w:val="-14"/>
        </w:rPr>
        <w:t xml:space="preserve"> </w:t>
      </w:r>
      <w:r>
        <w:t>el</w:t>
      </w:r>
      <w:r>
        <w:rPr>
          <w:spacing w:val="-15"/>
        </w:rPr>
        <w:t xml:space="preserve"> </w:t>
      </w:r>
      <w:r>
        <w:t>caso</w:t>
      </w:r>
      <w:r>
        <w:rPr>
          <w:spacing w:val="-19"/>
        </w:rPr>
        <w:t xml:space="preserve"> </w:t>
      </w:r>
      <w:r>
        <w:t>de</w:t>
      </w:r>
      <w:r>
        <w:rPr>
          <w:spacing w:val="-16"/>
        </w:rPr>
        <w:t xml:space="preserve"> </w:t>
      </w:r>
      <w:r>
        <w:t>Vitória</w:t>
      </w:r>
      <w:r>
        <w:rPr>
          <w:spacing w:val="-15"/>
        </w:rPr>
        <w:t xml:space="preserve"> </w:t>
      </w:r>
      <w:r>
        <w:t>França</w:t>
      </w:r>
      <w:r>
        <w:rPr>
          <w:spacing w:val="-14"/>
        </w:rPr>
        <w:t xml:space="preserve"> </w:t>
      </w:r>
      <w:r>
        <w:t>se</w:t>
      </w:r>
      <w:r>
        <w:rPr>
          <w:spacing w:val="-16"/>
        </w:rPr>
        <w:t xml:space="preserve"> </w:t>
      </w:r>
      <w:r>
        <w:t>deberán</w:t>
      </w:r>
      <w:r>
        <w:rPr>
          <w:spacing w:val="-14"/>
        </w:rPr>
        <w:t xml:space="preserve"> </w:t>
      </w:r>
      <w:r>
        <w:t>pagar</w:t>
      </w:r>
      <w:r>
        <w:rPr>
          <w:spacing w:val="-19"/>
        </w:rPr>
        <w:t xml:space="preserve"> </w:t>
      </w:r>
      <w:r>
        <w:t>USD$</w:t>
      </w:r>
    </w:p>
    <w:p w14:paraId="29C85E1F" w14:textId="77777777" w:rsidR="00467FCA" w:rsidRDefault="001B68EB">
      <w:pPr>
        <w:pStyle w:val="Textoindependiente"/>
        <w:spacing w:line="242" w:lineRule="exact"/>
        <w:ind w:left="1113"/>
        <w:jc w:val="both"/>
      </w:pPr>
      <w:r>
        <w:t>20.000 (veinte mil dólares de los Estados Unidos de América) adicionales.</w:t>
      </w:r>
    </w:p>
    <w:p w14:paraId="06CF9DE9" w14:textId="77777777" w:rsidR="00467FCA" w:rsidRDefault="00467FCA">
      <w:pPr>
        <w:pStyle w:val="Textoindependiente"/>
        <w:spacing w:before="11"/>
        <w:rPr>
          <w:sz w:val="18"/>
        </w:rPr>
      </w:pPr>
    </w:p>
    <w:p w14:paraId="65E9B488" w14:textId="77777777" w:rsidR="00467FCA" w:rsidRDefault="001B68EB">
      <w:pPr>
        <w:pStyle w:val="Textoindependiente"/>
        <w:ind w:left="1113" w:right="118" w:hanging="425"/>
        <w:jc w:val="both"/>
      </w:pPr>
      <w:r>
        <w:t>b. USD$ 10.000 (diez mil dólares de los Estados Unidos de América) a favor de cada uno de los familiares acreditados como víctimas de la violación del artículo 5 de la Convención.</w:t>
      </w:r>
    </w:p>
    <w:p w14:paraId="51BFAAC9" w14:textId="77777777" w:rsidR="00467FCA" w:rsidRDefault="00467FCA">
      <w:pPr>
        <w:pStyle w:val="Textoindependiente"/>
        <w:spacing w:before="2"/>
      </w:pPr>
    </w:p>
    <w:p w14:paraId="4107B1A5" w14:textId="77777777" w:rsidR="00467FCA" w:rsidRDefault="001B68EB">
      <w:pPr>
        <w:pStyle w:val="Prrafodelista"/>
        <w:numPr>
          <w:ilvl w:val="0"/>
          <w:numId w:val="38"/>
        </w:numPr>
        <w:tabs>
          <w:tab w:val="left" w:pos="687"/>
        </w:tabs>
        <w:spacing w:before="1"/>
        <w:ind w:right="119" w:firstLine="0"/>
        <w:jc w:val="both"/>
        <w:rPr>
          <w:sz w:val="20"/>
        </w:rPr>
      </w:pPr>
      <w:r>
        <w:rPr>
          <w:sz w:val="20"/>
        </w:rPr>
        <w:t>Los montos dispuestos a favor de personas fallecidas en la explosión (Anexo</w:t>
      </w:r>
      <w:r>
        <w:rPr>
          <w:sz w:val="20"/>
        </w:rPr>
        <w:t xml:space="preserve"> 1) deben ser liquidados de acuerdo con los siguientes</w:t>
      </w:r>
      <w:r>
        <w:rPr>
          <w:spacing w:val="-8"/>
          <w:sz w:val="20"/>
        </w:rPr>
        <w:t xml:space="preserve"> </w:t>
      </w:r>
      <w:r>
        <w:rPr>
          <w:sz w:val="20"/>
        </w:rPr>
        <w:t>criterios:</w:t>
      </w:r>
    </w:p>
    <w:p w14:paraId="5F36CB80" w14:textId="77777777" w:rsidR="00467FCA" w:rsidRDefault="00467FCA">
      <w:pPr>
        <w:pStyle w:val="Textoindependiente"/>
        <w:spacing w:before="10"/>
        <w:rPr>
          <w:sz w:val="19"/>
        </w:rPr>
      </w:pPr>
    </w:p>
    <w:p w14:paraId="5429CF0E" w14:textId="77777777" w:rsidR="00467FCA" w:rsidRDefault="001B68EB">
      <w:pPr>
        <w:pStyle w:val="Prrafodelista"/>
        <w:numPr>
          <w:ilvl w:val="0"/>
          <w:numId w:val="35"/>
        </w:numPr>
        <w:tabs>
          <w:tab w:val="left" w:pos="1114"/>
        </w:tabs>
        <w:ind w:right="117"/>
        <w:jc w:val="both"/>
        <w:rPr>
          <w:sz w:val="20"/>
        </w:rPr>
      </w:pPr>
      <w:r>
        <w:rPr>
          <w:sz w:val="20"/>
        </w:rPr>
        <w:t>el cincuenta por ciento (50%) de la indemnización se repartirá, por partes iguales, entre los hijos de la víctima. Si uno o varios de los hijos de la víctima hubieren fallecido</w:t>
      </w:r>
      <w:r>
        <w:rPr>
          <w:spacing w:val="-14"/>
          <w:sz w:val="20"/>
        </w:rPr>
        <w:t xml:space="preserve"> </w:t>
      </w:r>
      <w:r>
        <w:rPr>
          <w:sz w:val="20"/>
        </w:rPr>
        <w:t>ya,</w:t>
      </w:r>
      <w:r>
        <w:rPr>
          <w:spacing w:val="-13"/>
          <w:sz w:val="20"/>
        </w:rPr>
        <w:t xml:space="preserve"> </w:t>
      </w:r>
      <w:r>
        <w:rPr>
          <w:sz w:val="20"/>
        </w:rPr>
        <w:t>la</w:t>
      </w:r>
      <w:r>
        <w:rPr>
          <w:spacing w:val="-12"/>
          <w:sz w:val="20"/>
        </w:rPr>
        <w:t xml:space="preserve"> </w:t>
      </w:r>
      <w:r>
        <w:rPr>
          <w:sz w:val="20"/>
        </w:rPr>
        <w:t>parte</w:t>
      </w:r>
      <w:r>
        <w:rPr>
          <w:spacing w:val="-14"/>
          <w:sz w:val="20"/>
        </w:rPr>
        <w:t xml:space="preserve"> </w:t>
      </w:r>
      <w:r>
        <w:rPr>
          <w:sz w:val="20"/>
        </w:rPr>
        <w:t>que</w:t>
      </w:r>
      <w:r>
        <w:rPr>
          <w:spacing w:val="-10"/>
          <w:sz w:val="20"/>
        </w:rPr>
        <w:t xml:space="preserve"> </w:t>
      </w:r>
      <w:r>
        <w:rPr>
          <w:sz w:val="20"/>
        </w:rPr>
        <w:t>le</w:t>
      </w:r>
      <w:r>
        <w:rPr>
          <w:spacing w:val="-14"/>
          <w:sz w:val="20"/>
        </w:rPr>
        <w:t xml:space="preserve"> </w:t>
      </w:r>
      <w:r>
        <w:rPr>
          <w:sz w:val="20"/>
        </w:rPr>
        <w:t>o</w:t>
      </w:r>
      <w:r>
        <w:rPr>
          <w:spacing w:val="-14"/>
          <w:sz w:val="20"/>
        </w:rPr>
        <w:t xml:space="preserve"> </w:t>
      </w:r>
      <w:r>
        <w:rPr>
          <w:sz w:val="20"/>
        </w:rPr>
        <w:t>les</w:t>
      </w:r>
      <w:r>
        <w:rPr>
          <w:spacing w:val="-11"/>
          <w:sz w:val="20"/>
        </w:rPr>
        <w:t xml:space="preserve"> </w:t>
      </w:r>
      <w:r>
        <w:rPr>
          <w:sz w:val="20"/>
        </w:rPr>
        <w:t>corresponda</w:t>
      </w:r>
      <w:r>
        <w:rPr>
          <w:spacing w:val="-11"/>
          <w:sz w:val="20"/>
        </w:rPr>
        <w:t xml:space="preserve"> </w:t>
      </w:r>
      <w:r>
        <w:rPr>
          <w:sz w:val="20"/>
        </w:rPr>
        <w:t>será</w:t>
      </w:r>
      <w:r>
        <w:rPr>
          <w:spacing w:val="-12"/>
          <w:sz w:val="20"/>
        </w:rPr>
        <w:t xml:space="preserve"> </w:t>
      </w:r>
      <w:r>
        <w:rPr>
          <w:sz w:val="20"/>
        </w:rPr>
        <w:t>entregada</w:t>
      </w:r>
      <w:r>
        <w:rPr>
          <w:spacing w:val="-12"/>
          <w:sz w:val="20"/>
        </w:rPr>
        <w:t xml:space="preserve"> </w:t>
      </w:r>
      <w:r>
        <w:rPr>
          <w:sz w:val="20"/>
        </w:rPr>
        <w:t>a</w:t>
      </w:r>
      <w:r>
        <w:rPr>
          <w:spacing w:val="-12"/>
          <w:sz w:val="20"/>
        </w:rPr>
        <w:t xml:space="preserve"> </w:t>
      </w:r>
      <w:r>
        <w:rPr>
          <w:sz w:val="20"/>
        </w:rPr>
        <w:t>sus</w:t>
      </w:r>
      <w:r>
        <w:rPr>
          <w:spacing w:val="-13"/>
          <w:sz w:val="20"/>
        </w:rPr>
        <w:t xml:space="preserve"> </w:t>
      </w:r>
      <w:r>
        <w:rPr>
          <w:sz w:val="20"/>
        </w:rPr>
        <w:t>hijos</w:t>
      </w:r>
      <w:r>
        <w:rPr>
          <w:spacing w:val="-10"/>
          <w:sz w:val="20"/>
        </w:rPr>
        <w:t xml:space="preserve"> </w:t>
      </w:r>
      <w:r>
        <w:rPr>
          <w:sz w:val="20"/>
        </w:rPr>
        <w:t>o</w:t>
      </w:r>
      <w:r>
        <w:rPr>
          <w:spacing w:val="-14"/>
          <w:sz w:val="20"/>
        </w:rPr>
        <w:t xml:space="preserve"> </w:t>
      </w:r>
      <w:r>
        <w:rPr>
          <w:sz w:val="20"/>
        </w:rPr>
        <w:t>cónyuges si</w:t>
      </w:r>
      <w:r>
        <w:rPr>
          <w:spacing w:val="-4"/>
          <w:sz w:val="20"/>
        </w:rPr>
        <w:t xml:space="preserve"> </w:t>
      </w:r>
      <w:r>
        <w:rPr>
          <w:sz w:val="20"/>
        </w:rPr>
        <w:t>existieren,</w:t>
      </w:r>
      <w:r>
        <w:rPr>
          <w:spacing w:val="-6"/>
          <w:sz w:val="20"/>
        </w:rPr>
        <w:t xml:space="preserve"> </w:t>
      </w:r>
      <w:r>
        <w:rPr>
          <w:sz w:val="20"/>
        </w:rPr>
        <w:t>o</w:t>
      </w:r>
      <w:r>
        <w:rPr>
          <w:spacing w:val="-9"/>
          <w:sz w:val="20"/>
        </w:rPr>
        <w:t xml:space="preserve"> </w:t>
      </w:r>
      <w:r>
        <w:rPr>
          <w:sz w:val="20"/>
        </w:rPr>
        <w:t>si</w:t>
      </w:r>
      <w:r>
        <w:rPr>
          <w:spacing w:val="-9"/>
          <w:sz w:val="20"/>
        </w:rPr>
        <w:t xml:space="preserve"> </w:t>
      </w:r>
      <w:r>
        <w:rPr>
          <w:sz w:val="20"/>
        </w:rPr>
        <w:t>no</w:t>
      </w:r>
      <w:r>
        <w:rPr>
          <w:spacing w:val="-7"/>
          <w:sz w:val="20"/>
        </w:rPr>
        <w:t xml:space="preserve"> </w:t>
      </w:r>
      <w:r>
        <w:rPr>
          <w:sz w:val="20"/>
        </w:rPr>
        <w:t>existieren,</w:t>
      </w:r>
      <w:r>
        <w:rPr>
          <w:spacing w:val="-8"/>
          <w:sz w:val="20"/>
        </w:rPr>
        <w:t xml:space="preserve"> </w:t>
      </w:r>
      <w:r>
        <w:rPr>
          <w:sz w:val="20"/>
        </w:rPr>
        <w:t>la</w:t>
      </w:r>
      <w:r>
        <w:rPr>
          <w:spacing w:val="-10"/>
          <w:sz w:val="20"/>
        </w:rPr>
        <w:t xml:space="preserve"> </w:t>
      </w:r>
      <w:r>
        <w:rPr>
          <w:sz w:val="20"/>
        </w:rPr>
        <w:t>parte</w:t>
      </w:r>
      <w:r>
        <w:rPr>
          <w:spacing w:val="-9"/>
          <w:sz w:val="20"/>
        </w:rPr>
        <w:t xml:space="preserve"> </w:t>
      </w:r>
      <w:r>
        <w:rPr>
          <w:sz w:val="20"/>
        </w:rPr>
        <w:t>que</w:t>
      </w:r>
      <w:r>
        <w:rPr>
          <w:spacing w:val="-9"/>
          <w:sz w:val="20"/>
        </w:rPr>
        <w:t xml:space="preserve"> </w:t>
      </w:r>
      <w:r>
        <w:rPr>
          <w:sz w:val="20"/>
        </w:rPr>
        <w:t>le</w:t>
      </w:r>
      <w:r>
        <w:rPr>
          <w:spacing w:val="-9"/>
          <w:sz w:val="20"/>
        </w:rPr>
        <w:t xml:space="preserve"> </w:t>
      </w:r>
      <w:r>
        <w:rPr>
          <w:sz w:val="20"/>
        </w:rPr>
        <w:t>o</w:t>
      </w:r>
      <w:r>
        <w:rPr>
          <w:spacing w:val="-9"/>
          <w:sz w:val="20"/>
        </w:rPr>
        <w:t xml:space="preserve"> </w:t>
      </w:r>
      <w:r>
        <w:rPr>
          <w:sz w:val="20"/>
        </w:rPr>
        <w:t>les</w:t>
      </w:r>
      <w:r>
        <w:rPr>
          <w:spacing w:val="-9"/>
          <w:sz w:val="20"/>
        </w:rPr>
        <w:t xml:space="preserve"> </w:t>
      </w:r>
      <w:r>
        <w:rPr>
          <w:sz w:val="20"/>
        </w:rPr>
        <w:t>corresponda</w:t>
      </w:r>
      <w:r>
        <w:rPr>
          <w:spacing w:val="-10"/>
          <w:sz w:val="20"/>
        </w:rPr>
        <w:t xml:space="preserve"> </w:t>
      </w:r>
      <w:r>
        <w:rPr>
          <w:sz w:val="20"/>
        </w:rPr>
        <w:t>acrecerá</w:t>
      </w:r>
      <w:r>
        <w:rPr>
          <w:spacing w:val="-10"/>
          <w:sz w:val="20"/>
        </w:rPr>
        <w:t xml:space="preserve"> </w:t>
      </w:r>
      <w:r>
        <w:rPr>
          <w:sz w:val="20"/>
        </w:rPr>
        <w:t>las</w:t>
      </w:r>
      <w:r>
        <w:rPr>
          <w:spacing w:val="-9"/>
          <w:sz w:val="20"/>
        </w:rPr>
        <w:t xml:space="preserve"> </w:t>
      </w:r>
      <w:r>
        <w:rPr>
          <w:sz w:val="20"/>
        </w:rPr>
        <w:t>de</w:t>
      </w:r>
      <w:r>
        <w:rPr>
          <w:spacing w:val="-9"/>
          <w:sz w:val="20"/>
        </w:rPr>
        <w:t xml:space="preserve"> </w:t>
      </w:r>
      <w:r>
        <w:rPr>
          <w:sz w:val="20"/>
        </w:rPr>
        <w:t>los demás hijos de la misma</w:t>
      </w:r>
      <w:r>
        <w:rPr>
          <w:spacing w:val="-9"/>
          <w:sz w:val="20"/>
        </w:rPr>
        <w:t xml:space="preserve"> </w:t>
      </w:r>
      <w:r>
        <w:rPr>
          <w:sz w:val="20"/>
        </w:rPr>
        <w:t>víctima;</w:t>
      </w:r>
    </w:p>
    <w:p w14:paraId="62F938F4" w14:textId="77777777" w:rsidR="00467FCA" w:rsidRDefault="00467FCA">
      <w:pPr>
        <w:pStyle w:val="Textoindependiente"/>
        <w:spacing w:before="1"/>
      </w:pPr>
    </w:p>
    <w:p w14:paraId="0E0AE5ED" w14:textId="77777777" w:rsidR="00467FCA" w:rsidRDefault="001B68EB">
      <w:pPr>
        <w:pStyle w:val="Prrafodelista"/>
        <w:numPr>
          <w:ilvl w:val="0"/>
          <w:numId w:val="35"/>
        </w:numPr>
        <w:tabs>
          <w:tab w:val="left" w:pos="1114"/>
        </w:tabs>
        <w:ind w:right="119"/>
        <w:jc w:val="both"/>
        <w:rPr>
          <w:sz w:val="20"/>
        </w:rPr>
      </w:pPr>
      <w:r>
        <w:rPr>
          <w:sz w:val="20"/>
        </w:rPr>
        <w:t>el cincuenta por ciento (50%) de la indemnización deberá ser entregada a quien fuera cónyuge, compañero o compañera permanente de la víctima, al momento</w:t>
      </w:r>
      <w:r>
        <w:rPr>
          <w:spacing w:val="-34"/>
          <w:sz w:val="20"/>
        </w:rPr>
        <w:t xml:space="preserve"> </w:t>
      </w:r>
      <w:r>
        <w:rPr>
          <w:sz w:val="20"/>
        </w:rPr>
        <w:t>de los</w:t>
      </w:r>
      <w:r>
        <w:rPr>
          <w:spacing w:val="-3"/>
          <w:sz w:val="20"/>
        </w:rPr>
        <w:t xml:space="preserve"> </w:t>
      </w:r>
      <w:r>
        <w:rPr>
          <w:sz w:val="20"/>
        </w:rPr>
        <w:t>hechos;</w:t>
      </w:r>
    </w:p>
    <w:p w14:paraId="53235D2F" w14:textId="77777777" w:rsidR="00467FCA" w:rsidRDefault="00467FCA">
      <w:pPr>
        <w:pStyle w:val="Textoindependiente"/>
        <w:spacing w:before="11"/>
        <w:rPr>
          <w:sz w:val="19"/>
        </w:rPr>
      </w:pPr>
    </w:p>
    <w:p w14:paraId="0EBAB4BC" w14:textId="77777777" w:rsidR="00467FCA" w:rsidRDefault="001B68EB">
      <w:pPr>
        <w:pStyle w:val="Prrafodelista"/>
        <w:numPr>
          <w:ilvl w:val="0"/>
          <w:numId w:val="35"/>
        </w:numPr>
        <w:tabs>
          <w:tab w:val="left" w:pos="1114"/>
        </w:tabs>
        <w:spacing w:before="1"/>
        <w:ind w:right="118"/>
        <w:jc w:val="both"/>
        <w:rPr>
          <w:sz w:val="20"/>
        </w:rPr>
      </w:pPr>
      <w:r>
        <w:rPr>
          <w:sz w:val="20"/>
        </w:rPr>
        <w:t xml:space="preserve">en el evento que no existieren familiares en alguna de las categorías definidas en los </w:t>
      </w:r>
      <w:r>
        <w:rPr>
          <w:sz w:val="20"/>
        </w:rPr>
        <w:t>literales anteriores, lo que hubiere correspondido a los familiares ubicados en esa categoría, acrecerá a la parte que le corresponda a la otra</w:t>
      </w:r>
      <w:r>
        <w:rPr>
          <w:spacing w:val="-11"/>
          <w:sz w:val="20"/>
        </w:rPr>
        <w:t xml:space="preserve"> </w:t>
      </w:r>
      <w:r>
        <w:rPr>
          <w:sz w:val="20"/>
        </w:rPr>
        <w:t>categoría;</w:t>
      </w:r>
    </w:p>
    <w:p w14:paraId="2BB44FEA" w14:textId="77777777" w:rsidR="00467FCA" w:rsidRDefault="00467FCA">
      <w:pPr>
        <w:pStyle w:val="Textoindependiente"/>
        <w:spacing w:before="11"/>
        <w:rPr>
          <w:sz w:val="19"/>
        </w:rPr>
      </w:pPr>
    </w:p>
    <w:p w14:paraId="3F6A7FA7" w14:textId="77777777" w:rsidR="00467FCA" w:rsidRDefault="001B68EB">
      <w:pPr>
        <w:pStyle w:val="Prrafodelista"/>
        <w:numPr>
          <w:ilvl w:val="0"/>
          <w:numId w:val="35"/>
        </w:numPr>
        <w:tabs>
          <w:tab w:val="left" w:pos="1114"/>
        </w:tabs>
        <w:spacing w:before="1"/>
        <w:ind w:right="119"/>
        <w:jc w:val="both"/>
        <w:rPr>
          <w:sz w:val="20"/>
        </w:rPr>
      </w:pPr>
      <w:r>
        <w:rPr>
          <w:sz w:val="20"/>
        </w:rPr>
        <w:t>en</w:t>
      </w:r>
      <w:r>
        <w:rPr>
          <w:spacing w:val="-4"/>
          <w:sz w:val="20"/>
        </w:rPr>
        <w:t xml:space="preserve"> </w:t>
      </w:r>
      <w:r>
        <w:rPr>
          <w:sz w:val="20"/>
        </w:rPr>
        <w:t>el</w:t>
      </w:r>
      <w:r>
        <w:rPr>
          <w:spacing w:val="-5"/>
          <w:sz w:val="20"/>
        </w:rPr>
        <w:t xml:space="preserve"> </w:t>
      </w:r>
      <w:r>
        <w:rPr>
          <w:sz w:val="20"/>
        </w:rPr>
        <w:t>caso</w:t>
      </w:r>
      <w:r>
        <w:rPr>
          <w:spacing w:val="-5"/>
          <w:sz w:val="20"/>
        </w:rPr>
        <w:t xml:space="preserve"> </w:t>
      </w:r>
      <w:r>
        <w:rPr>
          <w:sz w:val="20"/>
        </w:rPr>
        <w:t>de</w:t>
      </w:r>
      <w:r>
        <w:rPr>
          <w:spacing w:val="-7"/>
          <w:sz w:val="20"/>
        </w:rPr>
        <w:t xml:space="preserve"> </w:t>
      </w:r>
      <w:r>
        <w:rPr>
          <w:sz w:val="20"/>
        </w:rPr>
        <w:t>que</w:t>
      </w:r>
      <w:r>
        <w:rPr>
          <w:spacing w:val="-6"/>
          <w:sz w:val="20"/>
        </w:rPr>
        <w:t xml:space="preserve"> </w:t>
      </w:r>
      <w:r>
        <w:rPr>
          <w:sz w:val="20"/>
        </w:rPr>
        <w:t>la</w:t>
      </w:r>
      <w:r>
        <w:rPr>
          <w:spacing w:val="-5"/>
          <w:sz w:val="20"/>
        </w:rPr>
        <w:t xml:space="preserve"> </w:t>
      </w:r>
      <w:r>
        <w:rPr>
          <w:sz w:val="20"/>
        </w:rPr>
        <w:t>víctima</w:t>
      </w:r>
      <w:r>
        <w:rPr>
          <w:spacing w:val="-8"/>
          <w:sz w:val="20"/>
        </w:rPr>
        <w:t xml:space="preserve"> </w:t>
      </w:r>
      <w:r>
        <w:rPr>
          <w:sz w:val="20"/>
        </w:rPr>
        <w:t>no</w:t>
      </w:r>
      <w:r>
        <w:rPr>
          <w:spacing w:val="-5"/>
          <w:sz w:val="20"/>
        </w:rPr>
        <w:t xml:space="preserve"> </w:t>
      </w:r>
      <w:r>
        <w:rPr>
          <w:sz w:val="20"/>
        </w:rPr>
        <w:t>tuviere</w:t>
      </w:r>
      <w:r>
        <w:rPr>
          <w:spacing w:val="-7"/>
          <w:sz w:val="20"/>
        </w:rPr>
        <w:t xml:space="preserve"> </w:t>
      </w:r>
      <w:r>
        <w:rPr>
          <w:sz w:val="20"/>
        </w:rPr>
        <w:t>hijos</w:t>
      </w:r>
      <w:r>
        <w:rPr>
          <w:spacing w:val="-5"/>
          <w:sz w:val="20"/>
        </w:rPr>
        <w:t xml:space="preserve"> </w:t>
      </w:r>
      <w:r>
        <w:rPr>
          <w:sz w:val="20"/>
        </w:rPr>
        <w:t>ni</w:t>
      </w:r>
      <w:r>
        <w:rPr>
          <w:spacing w:val="-5"/>
          <w:sz w:val="20"/>
        </w:rPr>
        <w:t xml:space="preserve"> </w:t>
      </w:r>
      <w:r>
        <w:rPr>
          <w:sz w:val="20"/>
        </w:rPr>
        <w:t>cónyuge</w:t>
      </w:r>
      <w:r>
        <w:rPr>
          <w:spacing w:val="-6"/>
          <w:sz w:val="20"/>
        </w:rPr>
        <w:t xml:space="preserve"> </w:t>
      </w:r>
      <w:r>
        <w:rPr>
          <w:sz w:val="20"/>
        </w:rPr>
        <w:t>ni</w:t>
      </w:r>
      <w:r>
        <w:rPr>
          <w:spacing w:val="-8"/>
          <w:sz w:val="20"/>
        </w:rPr>
        <w:t xml:space="preserve"> </w:t>
      </w:r>
      <w:r>
        <w:rPr>
          <w:sz w:val="20"/>
        </w:rPr>
        <w:t>compañera</w:t>
      </w:r>
      <w:r>
        <w:rPr>
          <w:spacing w:val="-5"/>
          <w:sz w:val="20"/>
        </w:rPr>
        <w:t xml:space="preserve"> </w:t>
      </w:r>
      <w:r>
        <w:rPr>
          <w:sz w:val="20"/>
        </w:rPr>
        <w:t>o</w:t>
      </w:r>
      <w:r>
        <w:rPr>
          <w:spacing w:val="-3"/>
          <w:sz w:val="20"/>
        </w:rPr>
        <w:t xml:space="preserve"> </w:t>
      </w:r>
      <w:r>
        <w:rPr>
          <w:sz w:val="20"/>
        </w:rPr>
        <w:t>compañero permanente, la ind</w:t>
      </w:r>
      <w:r>
        <w:rPr>
          <w:sz w:val="20"/>
        </w:rPr>
        <w:t>emnización del daño material será entregado a sus padres,</w:t>
      </w:r>
      <w:r>
        <w:rPr>
          <w:spacing w:val="-21"/>
          <w:sz w:val="20"/>
        </w:rPr>
        <w:t xml:space="preserve"> </w:t>
      </w:r>
      <w:r>
        <w:rPr>
          <w:sz w:val="20"/>
        </w:rPr>
        <w:t>y</w:t>
      </w:r>
    </w:p>
    <w:p w14:paraId="73AFF39F" w14:textId="77777777" w:rsidR="00467FCA" w:rsidRDefault="00467FCA">
      <w:pPr>
        <w:pStyle w:val="Textoindependiente"/>
      </w:pPr>
    </w:p>
    <w:p w14:paraId="4021FF51" w14:textId="77777777" w:rsidR="00467FCA" w:rsidRDefault="001B68EB">
      <w:pPr>
        <w:pStyle w:val="Prrafodelista"/>
        <w:numPr>
          <w:ilvl w:val="0"/>
          <w:numId w:val="35"/>
        </w:numPr>
        <w:tabs>
          <w:tab w:val="left" w:pos="1114"/>
        </w:tabs>
        <w:ind w:right="116"/>
        <w:jc w:val="both"/>
        <w:rPr>
          <w:sz w:val="20"/>
        </w:rPr>
      </w:pPr>
      <w:r>
        <w:rPr>
          <w:sz w:val="20"/>
        </w:rPr>
        <w:t>en el evento que no existiere ninguna de las personas anteriormente señaladas, la indemnización deberá ser pagada a los herederos de acuerdo con el derecho sucesorio</w:t>
      </w:r>
      <w:r>
        <w:rPr>
          <w:spacing w:val="-1"/>
          <w:sz w:val="20"/>
        </w:rPr>
        <w:t xml:space="preserve"> </w:t>
      </w:r>
      <w:r>
        <w:rPr>
          <w:sz w:val="20"/>
        </w:rPr>
        <w:t>interno.</w:t>
      </w:r>
    </w:p>
    <w:p w14:paraId="734C9745" w14:textId="77777777" w:rsidR="00467FCA" w:rsidRDefault="00467FCA">
      <w:pPr>
        <w:pStyle w:val="Textoindependiente"/>
        <w:spacing w:before="7"/>
        <w:rPr>
          <w:sz w:val="29"/>
        </w:rPr>
      </w:pPr>
    </w:p>
    <w:p w14:paraId="5C5431E5" w14:textId="77777777" w:rsidR="00467FCA" w:rsidRDefault="001B68EB">
      <w:pPr>
        <w:pStyle w:val="Prrafodelista"/>
        <w:numPr>
          <w:ilvl w:val="0"/>
          <w:numId w:val="38"/>
        </w:numPr>
        <w:tabs>
          <w:tab w:val="left" w:pos="687"/>
        </w:tabs>
        <w:ind w:left="120" w:right="118" w:firstLine="0"/>
        <w:jc w:val="both"/>
        <w:rPr>
          <w:sz w:val="20"/>
        </w:rPr>
      </w:pPr>
      <w:r>
        <w:rPr>
          <w:sz w:val="20"/>
        </w:rPr>
        <w:t>Las</w:t>
      </w:r>
      <w:r>
        <w:rPr>
          <w:spacing w:val="-18"/>
          <w:sz w:val="20"/>
        </w:rPr>
        <w:t xml:space="preserve"> </w:t>
      </w:r>
      <w:r>
        <w:rPr>
          <w:sz w:val="20"/>
        </w:rPr>
        <w:t>anteriores</w:t>
      </w:r>
      <w:r>
        <w:rPr>
          <w:spacing w:val="-14"/>
          <w:sz w:val="20"/>
        </w:rPr>
        <w:t xml:space="preserve"> </w:t>
      </w:r>
      <w:r>
        <w:rPr>
          <w:sz w:val="20"/>
        </w:rPr>
        <w:t>indemnizaciones</w:t>
      </w:r>
      <w:r>
        <w:rPr>
          <w:spacing w:val="-15"/>
          <w:sz w:val="20"/>
        </w:rPr>
        <w:t xml:space="preserve"> </w:t>
      </w:r>
      <w:r>
        <w:rPr>
          <w:sz w:val="20"/>
        </w:rPr>
        <w:t>se</w:t>
      </w:r>
      <w:r>
        <w:rPr>
          <w:spacing w:val="-15"/>
          <w:sz w:val="20"/>
        </w:rPr>
        <w:t xml:space="preserve"> </w:t>
      </w:r>
      <w:r>
        <w:rPr>
          <w:sz w:val="20"/>
        </w:rPr>
        <w:t>pagarán</w:t>
      </w:r>
      <w:r>
        <w:rPr>
          <w:spacing w:val="-13"/>
          <w:sz w:val="20"/>
        </w:rPr>
        <w:t xml:space="preserve"> </w:t>
      </w:r>
      <w:r>
        <w:rPr>
          <w:sz w:val="20"/>
        </w:rPr>
        <w:t>con</w:t>
      </w:r>
      <w:r>
        <w:rPr>
          <w:spacing w:val="-16"/>
          <w:sz w:val="20"/>
        </w:rPr>
        <w:t xml:space="preserve"> </w:t>
      </w:r>
      <w:r>
        <w:rPr>
          <w:sz w:val="20"/>
        </w:rPr>
        <w:t>independencia</w:t>
      </w:r>
      <w:r>
        <w:rPr>
          <w:spacing w:val="-13"/>
          <w:sz w:val="20"/>
        </w:rPr>
        <w:t xml:space="preserve"> </w:t>
      </w:r>
      <w:r>
        <w:rPr>
          <w:sz w:val="20"/>
        </w:rPr>
        <w:t>de</w:t>
      </w:r>
      <w:r>
        <w:rPr>
          <w:spacing w:val="-16"/>
          <w:sz w:val="20"/>
        </w:rPr>
        <w:t xml:space="preserve"> </w:t>
      </w:r>
      <w:r>
        <w:rPr>
          <w:sz w:val="20"/>
        </w:rPr>
        <w:t>las</w:t>
      </w:r>
      <w:r>
        <w:rPr>
          <w:spacing w:val="-14"/>
          <w:sz w:val="20"/>
        </w:rPr>
        <w:t xml:space="preserve"> </w:t>
      </w:r>
      <w:r>
        <w:rPr>
          <w:sz w:val="20"/>
        </w:rPr>
        <w:t>sumas</w:t>
      </w:r>
      <w:r>
        <w:rPr>
          <w:spacing w:val="-17"/>
          <w:sz w:val="20"/>
        </w:rPr>
        <w:t xml:space="preserve"> </w:t>
      </w:r>
      <w:r>
        <w:rPr>
          <w:sz w:val="20"/>
        </w:rPr>
        <w:t>reconoc</w:t>
      </w:r>
      <w:r>
        <w:rPr>
          <w:sz w:val="20"/>
        </w:rPr>
        <w:t>idas o que se lleguen a reconocer en los procesos internos en favor de las víctimas del presente caso.</w:t>
      </w:r>
    </w:p>
    <w:p w14:paraId="250AF389" w14:textId="77777777" w:rsidR="00467FCA" w:rsidRDefault="00467FCA">
      <w:pPr>
        <w:pStyle w:val="Textoindependiente"/>
      </w:pPr>
    </w:p>
    <w:p w14:paraId="302DA457" w14:textId="77777777" w:rsidR="00467FCA" w:rsidRDefault="001B68EB">
      <w:pPr>
        <w:pStyle w:val="Prrafodelista"/>
        <w:numPr>
          <w:ilvl w:val="0"/>
          <w:numId w:val="38"/>
        </w:numPr>
        <w:tabs>
          <w:tab w:val="left" w:pos="687"/>
        </w:tabs>
        <w:ind w:right="121" w:firstLine="0"/>
        <w:jc w:val="both"/>
        <w:rPr>
          <w:sz w:val="20"/>
        </w:rPr>
      </w:pPr>
      <w:r>
        <w:rPr>
          <w:sz w:val="20"/>
        </w:rPr>
        <w:t>La</w:t>
      </w:r>
      <w:r>
        <w:rPr>
          <w:spacing w:val="-13"/>
          <w:sz w:val="20"/>
        </w:rPr>
        <w:t xml:space="preserve"> </w:t>
      </w:r>
      <w:r>
        <w:rPr>
          <w:sz w:val="20"/>
        </w:rPr>
        <w:t>Corte</w:t>
      </w:r>
      <w:r>
        <w:rPr>
          <w:spacing w:val="-11"/>
          <w:sz w:val="20"/>
        </w:rPr>
        <w:t xml:space="preserve"> </w:t>
      </w:r>
      <w:r>
        <w:rPr>
          <w:sz w:val="20"/>
        </w:rPr>
        <w:t>considera</w:t>
      </w:r>
      <w:r>
        <w:rPr>
          <w:spacing w:val="-10"/>
          <w:sz w:val="20"/>
        </w:rPr>
        <w:t xml:space="preserve"> </w:t>
      </w:r>
      <w:r>
        <w:rPr>
          <w:sz w:val="20"/>
        </w:rPr>
        <w:t>que</w:t>
      </w:r>
      <w:r>
        <w:rPr>
          <w:spacing w:val="-12"/>
          <w:sz w:val="20"/>
        </w:rPr>
        <w:t xml:space="preserve"> </w:t>
      </w:r>
      <w:r>
        <w:rPr>
          <w:sz w:val="20"/>
        </w:rPr>
        <w:t>los</w:t>
      </w:r>
      <w:r>
        <w:rPr>
          <w:spacing w:val="-11"/>
          <w:sz w:val="20"/>
        </w:rPr>
        <w:t xml:space="preserve"> </w:t>
      </w:r>
      <w:r>
        <w:rPr>
          <w:sz w:val="20"/>
        </w:rPr>
        <w:t>montos</w:t>
      </w:r>
      <w:r>
        <w:rPr>
          <w:spacing w:val="-11"/>
          <w:sz w:val="20"/>
        </w:rPr>
        <w:t xml:space="preserve"> </w:t>
      </w:r>
      <w:r>
        <w:rPr>
          <w:sz w:val="20"/>
        </w:rPr>
        <w:t>determinados</w:t>
      </w:r>
      <w:r>
        <w:rPr>
          <w:spacing w:val="-12"/>
          <w:sz w:val="20"/>
        </w:rPr>
        <w:t xml:space="preserve"> </w:t>
      </w:r>
      <w:r>
        <w:rPr>
          <w:sz w:val="20"/>
        </w:rPr>
        <w:t>en</w:t>
      </w:r>
      <w:r>
        <w:rPr>
          <w:spacing w:val="-9"/>
          <w:sz w:val="20"/>
        </w:rPr>
        <w:t xml:space="preserve"> </w:t>
      </w:r>
      <w:r>
        <w:rPr>
          <w:sz w:val="20"/>
        </w:rPr>
        <w:t>equidad</w:t>
      </w:r>
      <w:r>
        <w:rPr>
          <w:spacing w:val="-12"/>
          <w:sz w:val="20"/>
        </w:rPr>
        <w:t xml:space="preserve"> </w:t>
      </w:r>
      <w:r>
        <w:rPr>
          <w:sz w:val="20"/>
        </w:rPr>
        <w:t>compensan</w:t>
      </w:r>
      <w:r>
        <w:rPr>
          <w:spacing w:val="-13"/>
          <w:sz w:val="20"/>
        </w:rPr>
        <w:t xml:space="preserve"> </w:t>
      </w:r>
      <w:r>
        <w:rPr>
          <w:sz w:val="20"/>
        </w:rPr>
        <w:t>y</w:t>
      </w:r>
      <w:r>
        <w:rPr>
          <w:spacing w:val="-11"/>
          <w:sz w:val="20"/>
        </w:rPr>
        <w:t xml:space="preserve"> </w:t>
      </w:r>
      <w:r>
        <w:rPr>
          <w:sz w:val="20"/>
        </w:rPr>
        <w:t>forman</w:t>
      </w:r>
      <w:r>
        <w:rPr>
          <w:spacing w:val="-12"/>
          <w:sz w:val="20"/>
        </w:rPr>
        <w:t xml:space="preserve"> </w:t>
      </w:r>
      <w:r>
        <w:rPr>
          <w:sz w:val="20"/>
        </w:rPr>
        <w:t>parte de la reparación integral a las víctimas, tomando en consideración lo</w:t>
      </w:r>
      <w:r>
        <w:rPr>
          <w:sz w:val="20"/>
        </w:rPr>
        <w:t>s sufrimientos y aflicciones que</w:t>
      </w:r>
      <w:r>
        <w:rPr>
          <w:spacing w:val="-5"/>
          <w:sz w:val="20"/>
        </w:rPr>
        <w:t xml:space="preserve"> </w:t>
      </w:r>
      <w:r>
        <w:rPr>
          <w:sz w:val="20"/>
        </w:rPr>
        <w:t>padecieron.</w:t>
      </w:r>
    </w:p>
    <w:p w14:paraId="620661B7" w14:textId="77777777" w:rsidR="00467FCA" w:rsidRDefault="00467FCA">
      <w:pPr>
        <w:pStyle w:val="Textoindependiente"/>
      </w:pPr>
    </w:p>
    <w:p w14:paraId="29DF8798" w14:textId="77777777" w:rsidR="00467FCA" w:rsidRDefault="001B68EB">
      <w:pPr>
        <w:pStyle w:val="Ttulo1"/>
        <w:numPr>
          <w:ilvl w:val="0"/>
          <w:numId w:val="37"/>
        </w:numPr>
        <w:tabs>
          <w:tab w:val="left" w:pos="908"/>
        </w:tabs>
        <w:ind w:left="907" w:hanging="429"/>
      </w:pPr>
      <w:bookmarkStart w:id="515" w:name="G.__Costas_y_gastos"/>
      <w:bookmarkStart w:id="516" w:name="_bookmark445"/>
      <w:bookmarkEnd w:id="515"/>
      <w:bookmarkEnd w:id="516"/>
      <w:r>
        <w:t>Costas y</w:t>
      </w:r>
      <w:r>
        <w:rPr>
          <w:spacing w:val="-2"/>
        </w:rPr>
        <w:t xml:space="preserve"> </w:t>
      </w:r>
      <w:r>
        <w:t>gastos</w:t>
      </w:r>
    </w:p>
    <w:p w14:paraId="7F618B16" w14:textId="77777777" w:rsidR="00467FCA" w:rsidRDefault="00467FCA">
      <w:pPr>
        <w:pStyle w:val="Textoindependiente"/>
        <w:spacing w:before="1"/>
        <w:rPr>
          <w:b/>
        </w:rPr>
      </w:pPr>
    </w:p>
    <w:p w14:paraId="5C21C606" w14:textId="77777777" w:rsidR="00467FCA" w:rsidRDefault="001B68EB">
      <w:pPr>
        <w:pStyle w:val="Prrafodelista"/>
        <w:numPr>
          <w:ilvl w:val="0"/>
          <w:numId w:val="38"/>
        </w:numPr>
        <w:tabs>
          <w:tab w:val="left" w:pos="687"/>
        </w:tabs>
        <w:ind w:right="116" w:firstLine="0"/>
        <w:jc w:val="both"/>
        <w:rPr>
          <w:sz w:val="20"/>
        </w:rPr>
      </w:pPr>
      <w:r>
        <w:rPr>
          <w:sz w:val="20"/>
        </w:rPr>
        <w:t xml:space="preserve">Los </w:t>
      </w:r>
      <w:r>
        <w:rPr>
          <w:b/>
          <w:i/>
          <w:sz w:val="20"/>
        </w:rPr>
        <w:t xml:space="preserve">representantes </w:t>
      </w:r>
      <w:r>
        <w:rPr>
          <w:sz w:val="20"/>
        </w:rPr>
        <w:t>solicitaron el pago por los gastos incurridos en la tramitación del presente proceso, desde la presentación de la petición ante la Comisión hasta las diligencias llevadas a cabo ante la Corte. Para llegar a esta cifra, los representantes consideraron los c</w:t>
      </w:r>
      <w:r>
        <w:rPr>
          <w:sz w:val="20"/>
        </w:rPr>
        <w:t>ostos relacionados con el transporte aéreo a Salvador, el transporte en automóvil o en autobús</w:t>
      </w:r>
      <w:r>
        <w:rPr>
          <w:spacing w:val="-6"/>
          <w:sz w:val="20"/>
        </w:rPr>
        <w:t xml:space="preserve"> </w:t>
      </w:r>
      <w:r>
        <w:rPr>
          <w:sz w:val="20"/>
        </w:rPr>
        <w:t>a</w:t>
      </w:r>
      <w:r>
        <w:rPr>
          <w:spacing w:val="-4"/>
          <w:sz w:val="20"/>
        </w:rPr>
        <w:t xml:space="preserve"> </w:t>
      </w:r>
      <w:r>
        <w:rPr>
          <w:sz w:val="20"/>
        </w:rPr>
        <w:t>Santo</w:t>
      </w:r>
      <w:r>
        <w:rPr>
          <w:spacing w:val="-6"/>
          <w:sz w:val="20"/>
        </w:rPr>
        <w:t xml:space="preserve"> </w:t>
      </w:r>
      <w:r>
        <w:rPr>
          <w:sz w:val="20"/>
        </w:rPr>
        <w:t>Antônio</w:t>
      </w:r>
      <w:r>
        <w:rPr>
          <w:spacing w:val="-5"/>
          <w:sz w:val="20"/>
        </w:rPr>
        <w:t xml:space="preserve"> </w:t>
      </w:r>
      <w:r>
        <w:rPr>
          <w:sz w:val="20"/>
        </w:rPr>
        <w:t>de</w:t>
      </w:r>
      <w:r>
        <w:rPr>
          <w:spacing w:val="-7"/>
          <w:sz w:val="20"/>
        </w:rPr>
        <w:t xml:space="preserve"> </w:t>
      </w:r>
      <w:r>
        <w:rPr>
          <w:sz w:val="20"/>
        </w:rPr>
        <w:t>Jesus,</w:t>
      </w:r>
      <w:r>
        <w:rPr>
          <w:spacing w:val="-6"/>
          <w:sz w:val="20"/>
        </w:rPr>
        <w:t xml:space="preserve"> </w:t>
      </w:r>
      <w:r>
        <w:rPr>
          <w:sz w:val="20"/>
        </w:rPr>
        <w:t>el</w:t>
      </w:r>
      <w:r>
        <w:rPr>
          <w:spacing w:val="-4"/>
          <w:sz w:val="20"/>
        </w:rPr>
        <w:t xml:space="preserve"> </w:t>
      </w:r>
      <w:r>
        <w:rPr>
          <w:sz w:val="20"/>
        </w:rPr>
        <w:t>alojamiento</w:t>
      </w:r>
      <w:r>
        <w:rPr>
          <w:spacing w:val="-6"/>
          <w:sz w:val="20"/>
        </w:rPr>
        <w:t xml:space="preserve"> </w:t>
      </w:r>
      <w:r>
        <w:rPr>
          <w:sz w:val="20"/>
        </w:rPr>
        <w:t>y</w:t>
      </w:r>
      <w:r>
        <w:rPr>
          <w:spacing w:val="-5"/>
          <w:sz w:val="20"/>
        </w:rPr>
        <w:t xml:space="preserve"> </w:t>
      </w:r>
      <w:r>
        <w:rPr>
          <w:sz w:val="20"/>
        </w:rPr>
        <w:t>las</w:t>
      </w:r>
      <w:r>
        <w:rPr>
          <w:spacing w:val="-6"/>
          <w:sz w:val="20"/>
        </w:rPr>
        <w:t xml:space="preserve"> </w:t>
      </w:r>
      <w:r>
        <w:rPr>
          <w:sz w:val="20"/>
        </w:rPr>
        <w:t>comidas</w:t>
      </w:r>
      <w:r>
        <w:rPr>
          <w:spacing w:val="-5"/>
          <w:sz w:val="20"/>
        </w:rPr>
        <w:t xml:space="preserve"> </w:t>
      </w:r>
      <w:r>
        <w:rPr>
          <w:sz w:val="20"/>
        </w:rPr>
        <w:t>durante</w:t>
      </w:r>
      <w:r>
        <w:rPr>
          <w:spacing w:val="-6"/>
          <w:sz w:val="20"/>
        </w:rPr>
        <w:t xml:space="preserve"> </w:t>
      </w:r>
      <w:r>
        <w:rPr>
          <w:sz w:val="20"/>
        </w:rPr>
        <w:t>los</w:t>
      </w:r>
      <w:r>
        <w:rPr>
          <w:spacing w:val="-5"/>
          <w:sz w:val="20"/>
        </w:rPr>
        <w:t xml:space="preserve"> </w:t>
      </w:r>
      <w:r>
        <w:rPr>
          <w:sz w:val="20"/>
        </w:rPr>
        <w:t>18</w:t>
      </w:r>
      <w:r>
        <w:rPr>
          <w:spacing w:val="-4"/>
          <w:sz w:val="20"/>
        </w:rPr>
        <w:t xml:space="preserve"> </w:t>
      </w:r>
      <w:r>
        <w:rPr>
          <w:sz w:val="20"/>
        </w:rPr>
        <w:t>años</w:t>
      </w:r>
      <w:r>
        <w:rPr>
          <w:spacing w:val="-6"/>
          <w:sz w:val="20"/>
        </w:rPr>
        <w:t xml:space="preserve"> </w:t>
      </w:r>
      <w:r>
        <w:rPr>
          <w:sz w:val="20"/>
        </w:rPr>
        <w:t>de</w:t>
      </w:r>
      <w:r>
        <w:rPr>
          <w:spacing w:val="-6"/>
          <w:sz w:val="20"/>
        </w:rPr>
        <w:t xml:space="preserve"> </w:t>
      </w:r>
      <w:r>
        <w:rPr>
          <w:sz w:val="20"/>
        </w:rPr>
        <w:t>litigio ante</w:t>
      </w:r>
      <w:r>
        <w:rPr>
          <w:spacing w:val="-17"/>
          <w:sz w:val="20"/>
        </w:rPr>
        <w:t xml:space="preserve"> </w:t>
      </w:r>
      <w:r>
        <w:rPr>
          <w:sz w:val="20"/>
        </w:rPr>
        <w:t>la</w:t>
      </w:r>
      <w:r>
        <w:rPr>
          <w:spacing w:val="-13"/>
          <w:sz w:val="20"/>
        </w:rPr>
        <w:t xml:space="preserve"> </w:t>
      </w:r>
      <w:r>
        <w:rPr>
          <w:sz w:val="20"/>
        </w:rPr>
        <w:t>Comisión</w:t>
      </w:r>
      <w:r>
        <w:rPr>
          <w:spacing w:val="-12"/>
          <w:sz w:val="20"/>
        </w:rPr>
        <w:t xml:space="preserve"> </w:t>
      </w:r>
      <w:r>
        <w:rPr>
          <w:sz w:val="20"/>
        </w:rPr>
        <w:t>y</w:t>
      </w:r>
      <w:r>
        <w:rPr>
          <w:spacing w:val="-13"/>
          <w:sz w:val="20"/>
        </w:rPr>
        <w:t xml:space="preserve"> </w:t>
      </w:r>
      <w:r>
        <w:rPr>
          <w:sz w:val="20"/>
        </w:rPr>
        <w:t>la</w:t>
      </w:r>
      <w:r>
        <w:rPr>
          <w:spacing w:val="-14"/>
          <w:sz w:val="20"/>
        </w:rPr>
        <w:t xml:space="preserve"> </w:t>
      </w:r>
      <w:r>
        <w:rPr>
          <w:sz w:val="20"/>
        </w:rPr>
        <w:t>Corte</w:t>
      </w:r>
      <w:r>
        <w:rPr>
          <w:spacing w:val="-14"/>
          <w:sz w:val="20"/>
        </w:rPr>
        <w:t xml:space="preserve"> </w:t>
      </w:r>
      <w:r>
        <w:rPr>
          <w:sz w:val="20"/>
        </w:rPr>
        <w:t>Interamericana.</w:t>
      </w:r>
      <w:r>
        <w:rPr>
          <w:spacing w:val="-13"/>
          <w:sz w:val="20"/>
        </w:rPr>
        <w:t xml:space="preserve"> </w:t>
      </w:r>
      <w:r>
        <w:rPr>
          <w:sz w:val="20"/>
        </w:rPr>
        <w:t>Además,</w:t>
      </w:r>
      <w:r>
        <w:rPr>
          <w:spacing w:val="-13"/>
          <w:sz w:val="20"/>
        </w:rPr>
        <w:t xml:space="preserve"> </w:t>
      </w:r>
      <w:r>
        <w:rPr>
          <w:sz w:val="20"/>
        </w:rPr>
        <w:t>indicaron</w:t>
      </w:r>
      <w:r>
        <w:rPr>
          <w:spacing w:val="-14"/>
          <w:sz w:val="20"/>
        </w:rPr>
        <w:t xml:space="preserve"> </w:t>
      </w:r>
      <w:r>
        <w:rPr>
          <w:sz w:val="20"/>
        </w:rPr>
        <w:t>que</w:t>
      </w:r>
      <w:r>
        <w:rPr>
          <w:spacing w:val="-15"/>
          <w:sz w:val="20"/>
        </w:rPr>
        <w:t xml:space="preserve"> </w:t>
      </w:r>
      <w:r>
        <w:rPr>
          <w:sz w:val="20"/>
        </w:rPr>
        <w:t>incurrier</w:t>
      </w:r>
      <w:r>
        <w:rPr>
          <w:sz w:val="20"/>
        </w:rPr>
        <w:t>on</w:t>
      </w:r>
      <w:r>
        <w:rPr>
          <w:spacing w:val="-12"/>
          <w:sz w:val="20"/>
        </w:rPr>
        <w:t xml:space="preserve"> </w:t>
      </w:r>
      <w:r>
        <w:rPr>
          <w:sz w:val="20"/>
        </w:rPr>
        <w:t>en</w:t>
      </w:r>
      <w:r>
        <w:rPr>
          <w:spacing w:val="-14"/>
          <w:sz w:val="20"/>
        </w:rPr>
        <w:t xml:space="preserve"> </w:t>
      </w:r>
      <w:r>
        <w:rPr>
          <w:sz w:val="20"/>
        </w:rPr>
        <w:t>gastos</w:t>
      </w:r>
      <w:r>
        <w:rPr>
          <w:spacing w:val="-16"/>
          <w:sz w:val="20"/>
        </w:rPr>
        <w:t xml:space="preserve"> </w:t>
      </w:r>
      <w:r>
        <w:rPr>
          <w:sz w:val="20"/>
        </w:rPr>
        <w:t>para la audiencia en la Comisión Interamericana en Washington, D.C., incluyendo pasajes</w:t>
      </w:r>
      <w:r>
        <w:rPr>
          <w:spacing w:val="-45"/>
          <w:sz w:val="20"/>
        </w:rPr>
        <w:t xml:space="preserve"> </w:t>
      </w:r>
      <w:r>
        <w:rPr>
          <w:sz w:val="20"/>
        </w:rPr>
        <w:t>aéreos,</w:t>
      </w:r>
    </w:p>
    <w:p w14:paraId="16B6B7E9" w14:textId="77777777" w:rsidR="00467FCA" w:rsidRDefault="00467FCA">
      <w:pPr>
        <w:jc w:val="both"/>
        <w:rPr>
          <w:sz w:val="20"/>
        </w:rPr>
        <w:sectPr w:rsidR="00467FCA">
          <w:pgSz w:w="12240" w:h="15840"/>
          <w:pgMar w:top="1360" w:right="1320" w:bottom="1220" w:left="1320" w:header="0" w:footer="957" w:gutter="0"/>
          <w:cols w:space="720"/>
        </w:sectPr>
      </w:pPr>
    </w:p>
    <w:p w14:paraId="7ABA366A" w14:textId="77777777" w:rsidR="00467FCA" w:rsidRDefault="001B68EB">
      <w:pPr>
        <w:pStyle w:val="Textoindependiente"/>
        <w:spacing w:before="80"/>
        <w:ind w:left="120" w:right="36" w:hanging="1"/>
      </w:pPr>
      <w:r>
        <w:t xml:space="preserve">alojamiento y viáticos para cinco representantes de las víctimas. En total las costas y gastos ascenderían a USD$ 20.000 (veinte mil </w:t>
      </w:r>
      <w:r>
        <w:t>dólares de los Estados Unidos de América).</w:t>
      </w:r>
    </w:p>
    <w:p w14:paraId="54C6795E" w14:textId="77777777" w:rsidR="00467FCA" w:rsidRDefault="00467FCA">
      <w:pPr>
        <w:pStyle w:val="Textoindependiente"/>
        <w:spacing w:before="1"/>
      </w:pPr>
    </w:p>
    <w:p w14:paraId="5D2AE489" w14:textId="77777777" w:rsidR="00467FCA" w:rsidRDefault="001B68EB">
      <w:pPr>
        <w:pStyle w:val="Prrafodelista"/>
        <w:numPr>
          <w:ilvl w:val="0"/>
          <w:numId w:val="38"/>
        </w:numPr>
        <w:tabs>
          <w:tab w:val="left" w:pos="687"/>
        </w:tabs>
        <w:ind w:right="117" w:firstLine="0"/>
        <w:jc w:val="both"/>
        <w:rPr>
          <w:sz w:val="20"/>
        </w:rPr>
      </w:pPr>
      <w:r>
        <w:rPr>
          <w:sz w:val="20"/>
        </w:rPr>
        <w:t xml:space="preserve">El </w:t>
      </w:r>
      <w:r>
        <w:rPr>
          <w:b/>
          <w:i/>
          <w:sz w:val="20"/>
        </w:rPr>
        <w:t xml:space="preserve">Estado </w:t>
      </w:r>
      <w:r>
        <w:rPr>
          <w:sz w:val="20"/>
        </w:rPr>
        <w:t>solicitó que la Corte tenga en cuenta los parámetros generalmente</w:t>
      </w:r>
      <w:r>
        <w:rPr>
          <w:spacing w:val="-45"/>
          <w:sz w:val="20"/>
        </w:rPr>
        <w:t xml:space="preserve"> </w:t>
      </w:r>
      <w:r>
        <w:rPr>
          <w:sz w:val="20"/>
        </w:rPr>
        <w:t>aplicados en su jurisprudencia, considerando como costos solo los montos razonables y debidamente probados y necesarios para el desempeño de los representantes ante el Sistema Interamericano, considerando el monto demandado, la documentación de respaldo, l</w:t>
      </w:r>
      <w:r>
        <w:rPr>
          <w:sz w:val="20"/>
        </w:rPr>
        <w:t xml:space="preserve">a relación directa entre lo requerido y el caso concreto, así como las circunstancias del caso. Además, señaló que espera que este Tribunal tenga en cuenta que la solicitud de reembolso de costas del escrito de solicitudes, argumentos y pruebas se basa en </w:t>
      </w:r>
      <w:r>
        <w:rPr>
          <w:sz w:val="20"/>
        </w:rPr>
        <w:t>porcentajes que son meras</w:t>
      </w:r>
      <w:r>
        <w:rPr>
          <w:spacing w:val="-16"/>
          <w:sz w:val="20"/>
        </w:rPr>
        <w:t xml:space="preserve"> </w:t>
      </w:r>
      <w:r>
        <w:rPr>
          <w:sz w:val="20"/>
        </w:rPr>
        <w:t>estimaciones.</w:t>
      </w:r>
      <w:r>
        <w:rPr>
          <w:spacing w:val="-16"/>
          <w:sz w:val="20"/>
        </w:rPr>
        <w:t xml:space="preserve"> </w:t>
      </w:r>
      <w:r>
        <w:rPr>
          <w:sz w:val="20"/>
        </w:rPr>
        <w:t>Por</w:t>
      </w:r>
      <w:r>
        <w:rPr>
          <w:spacing w:val="-16"/>
          <w:sz w:val="20"/>
        </w:rPr>
        <w:t xml:space="preserve"> </w:t>
      </w:r>
      <w:r>
        <w:rPr>
          <w:sz w:val="20"/>
        </w:rPr>
        <w:t>último,</w:t>
      </w:r>
      <w:r>
        <w:rPr>
          <w:spacing w:val="-18"/>
          <w:sz w:val="20"/>
        </w:rPr>
        <w:t xml:space="preserve"> </w:t>
      </w:r>
      <w:r>
        <w:rPr>
          <w:sz w:val="20"/>
        </w:rPr>
        <w:t>solicitó</w:t>
      </w:r>
      <w:r>
        <w:rPr>
          <w:spacing w:val="-16"/>
          <w:sz w:val="20"/>
        </w:rPr>
        <w:t xml:space="preserve"> </w:t>
      </w:r>
      <w:r>
        <w:rPr>
          <w:sz w:val="20"/>
        </w:rPr>
        <w:t>que</w:t>
      </w:r>
      <w:r>
        <w:rPr>
          <w:spacing w:val="-19"/>
          <w:sz w:val="20"/>
        </w:rPr>
        <w:t xml:space="preserve"> </w:t>
      </w:r>
      <w:r>
        <w:rPr>
          <w:sz w:val="20"/>
        </w:rPr>
        <w:t>la</w:t>
      </w:r>
      <w:r>
        <w:rPr>
          <w:spacing w:val="-14"/>
          <w:sz w:val="20"/>
        </w:rPr>
        <w:t xml:space="preserve"> </w:t>
      </w:r>
      <w:r>
        <w:rPr>
          <w:sz w:val="20"/>
        </w:rPr>
        <w:t>Corte</w:t>
      </w:r>
      <w:r>
        <w:rPr>
          <w:spacing w:val="-19"/>
          <w:sz w:val="20"/>
        </w:rPr>
        <w:t xml:space="preserve"> </w:t>
      </w:r>
      <w:r>
        <w:rPr>
          <w:sz w:val="20"/>
        </w:rPr>
        <w:t>no</w:t>
      </w:r>
      <w:r>
        <w:rPr>
          <w:spacing w:val="-16"/>
          <w:sz w:val="20"/>
        </w:rPr>
        <w:t xml:space="preserve"> </w:t>
      </w:r>
      <w:r>
        <w:rPr>
          <w:sz w:val="20"/>
        </w:rPr>
        <w:t>le</w:t>
      </w:r>
      <w:r>
        <w:rPr>
          <w:spacing w:val="-16"/>
          <w:sz w:val="20"/>
        </w:rPr>
        <w:t xml:space="preserve"> </w:t>
      </w:r>
      <w:r>
        <w:rPr>
          <w:sz w:val="20"/>
        </w:rPr>
        <w:t>condene</w:t>
      </w:r>
      <w:r>
        <w:rPr>
          <w:spacing w:val="-16"/>
          <w:sz w:val="20"/>
        </w:rPr>
        <w:t xml:space="preserve"> </w:t>
      </w:r>
      <w:r>
        <w:rPr>
          <w:sz w:val="20"/>
        </w:rPr>
        <w:t>al</w:t>
      </w:r>
      <w:r>
        <w:rPr>
          <w:spacing w:val="-17"/>
          <w:sz w:val="20"/>
        </w:rPr>
        <w:t xml:space="preserve"> </w:t>
      </w:r>
      <w:r>
        <w:rPr>
          <w:sz w:val="20"/>
        </w:rPr>
        <w:t>pago</w:t>
      </w:r>
      <w:r>
        <w:rPr>
          <w:spacing w:val="-18"/>
          <w:sz w:val="20"/>
        </w:rPr>
        <w:t xml:space="preserve"> </w:t>
      </w:r>
      <w:r>
        <w:rPr>
          <w:sz w:val="20"/>
        </w:rPr>
        <w:t>de</w:t>
      </w:r>
      <w:r>
        <w:rPr>
          <w:spacing w:val="-16"/>
          <w:sz w:val="20"/>
        </w:rPr>
        <w:t xml:space="preserve"> </w:t>
      </w:r>
      <w:r>
        <w:rPr>
          <w:sz w:val="20"/>
        </w:rPr>
        <w:t>costas</w:t>
      </w:r>
      <w:r>
        <w:rPr>
          <w:spacing w:val="-16"/>
          <w:sz w:val="20"/>
        </w:rPr>
        <w:t xml:space="preserve"> </w:t>
      </w:r>
      <w:r>
        <w:rPr>
          <w:sz w:val="20"/>
        </w:rPr>
        <w:t>y</w:t>
      </w:r>
      <w:r>
        <w:rPr>
          <w:spacing w:val="-18"/>
          <w:sz w:val="20"/>
        </w:rPr>
        <w:t xml:space="preserve"> </w:t>
      </w:r>
      <w:r>
        <w:rPr>
          <w:sz w:val="20"/>
        </w:rPr>
        <w:t>gastos, en caso de que encuentre que el Estado brasileño no ha incurrido en responsabilidad internacional.</w:t>
      </w:r>
    </w:p>
    <w:p w14:paraId="518E505B" w14:textId="77777777" w:rsidR="00467FCA" w:rsidRDefault="00467FCA">
      <w:pPr>
        <w:pStyle w:val="Textoindependiente"/>
      </w:pPr>
    </w:p>
    <w:p w14:paraId="5BADA52C" w14:textId="77777777" w:rsidR="00467FCA" w:rsidRDefault="001B68EB">
      <w:pPr>
        <w:pStyle w:val="Prrafodelista"/>
        <w:numPr>
          <w:ilvl w:val="0"/>
          <w:numId w:val="38"/>
        </w:numPr>
        <w:tabs>
          <w:tab w:val="left" w:pos="687"/>
        </w:tabs>
        <w:ind w:right="116" w:firstLine="0"/>
        <w:jc w:val="both"/>
        <w:rPr>
          <w:sz w:val="20"/>
        </w:rPr>
      </w:pPr>
      <w:r>
        <w:rPr>
          <w:sz w:val="20"/>
        </w:rPr>
        <w:t>La Corte reitera que, conforme a su juri</w:t>
      </w:r>
      <w:r>
        <w:rPr>
          <w:sz w:val="20"/>
        </w:rPr>
        <w:t>sprudencia, las costas y gastos son parte del concepto de reparación, toda vez que las actividades desplegadas por las víctimas con el fin de</w:t>
      </w:r>
      <w:r>
        <w:rPr>
          <w:spacing w:val="-17"/>
          <w:sz w:val="20"/>
        </w:rPr>
        <w:t xml:space="preserve"> </w:t>
      </w:r>
      <w:r>
        <w:rPr>
          <w:sz w:val="20"/>
        </w:rPr>
        <w:t>obtener</w:t>
      </w:r>
      <w:r>
        <w:rPr>
          <w:spacing w:val="-17"/>
          <w:sz w:val="20"/>
        </w:rPr>
        <w:t xml:space="preserve"> </w:t>
      </w:r>
      <w:r>
        <w:rPr>
          <w:sz w:val="20"/>
        </w:rPr>
        <w:t>justicia,</w:t>
      </w:r>
      <w:r>
        <w:rPr>
          <w:spacing w:val="-17"/>
          <w:sz w:val="20"/>
        </w:rPr>
        <w:t xml:space="preserve"> </w:t>
      </w:r>
      <w:r>
        <w:rPr>
          <w:sz w:val="20"/>
        </w:rPr>
        <w:t>tanto</w:t>
      </w:r>
      <w:r>
        <w:rPr>
          <w:spacing w:val="-19"/>
          <w:sz w:val="20"/>
        </w:rPr>
        <w:t xml:space="preserve"> </w:t>
      </w:r>
      <w:r>
        <w:rPr>
          <w:sz w:val="20"/>
        </w:rPr>
        <w:t>a</w:t>
      </w:r>
      <w:r>
        <w:rPr>
          <w:spacing w:val="-16"/>
          <w:sz w:val="20"/>
        </w:rPr>
        <w:t xml:space="preserve"> </w:t>
      </w:r>
      <w:r>
        <w:rPr>
          <w:sz w:val="20"/>
        </w:rPr>
        <w:t>nivel</w:t>
      </w:r>
      <w:r>
        <w:rPr>
          <w:spacing w:val="-16"/>
          <w:sz w:val="20"/>
        </w:rPr>
        <w:t xml:space="preserve"> </w:t>
      </w:r>
      <w:r>
        <w:rPr>
          <w:sz w:val="20"/>
        </w:rPr>
        <w:t>nacional</w:t>
      </w:r>
      <w:r>
        <w:rPr>
          <w:spacing w:val="-17"/>
          <w:sz w:val="20"/>
        </w:rPr>
        <w:t xml:space="preserve"> </w:t>
      </w:r>
      <w:r>
        <w:rPr>
          <w:sz w:val="20"/>
        </w:rPr>
        <w:t>como</w:t>
      </w:r>
      <w:r>
        <w:rPr>
          <w:spacing w:val="-17"/>
          <w:sz w:val="20"/>
        </w:rPr>
        <w:t xml:space="preserve"> </w:t>
      </w:r>
      <w:r>
        <w:rPr>
          <w:sz w:val="20"/>
        </w:rPr>
        <w:t>internacional,</w:t>
      </w:r>
      <w:r>
        <w:rPr>
          <w:spacing w:val="-17"/>
          <w:sz w:val="20"/>
        </w:rPr>
        <w:t xml:space="preserve"> </w:t>
      </w:r>
      <w:r>
        <w:rPr>
          <w:sz w:val="20"/>
        </w:rPr>
        <w:t>implican</w:t>
      </w:r>
      <w:r>
        <w:rPr>
          <w:spacing w:val="-15"/>
          <w:sz w:val="20"/>
        </w:rPr>
        <w:t xml:space="preserve"> </w:t>
      </w:r>
      <w:r>
        <w:rPr>
          <w:sz w:val="20"/>
        </w:rPr>
        <w:t>erogaciones</w:t>
      </w:r>
      <w:r>
        <w:rPr>
          <w:spacing w:val="-18"/>
          <w:sz w:val="20"/>
        </w:rPr>
        <w:t xml:space="preserve"> </w:t>
      </w:r>
      <w:r>
        <w:rPr>
          <w:sz w:val="20"/>
        </w:rPr>
        <w:t>que</w:t>
      </w:r>
      <w:r>
        <w:rPr>
          <w:spacing w:val="-20"/>
          <w:sz w:val="20"/>
        </w:rPr>
        <w:t xml:space="preserve"> </w:t>
      </w:r>
      <w:r>
        <w:rPr>
          <w:sz w:val="20"/>
        </w:rPr>
        <w:t>deben ser compensadas cuando</w:t>
      </w:r>
      <w:r>
        <w:rPr>
          <w:sz w:val="20"/>
        </w:rPr>
        <w:t xml:space="preserve"> la responsabilidad internacional del Estado es declarada mediante una sentencia condenatoria. En cuanto al reembolso de gastos, corresponde a la Corte apreciar prudentemente su alcance, el cual comprende los gastos generados ante las autoridades</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jur</w:t>
      </w:r>
      <w:r>
        <w:rPr>
          <w:sz w:val="20"/>
        </w:rPr>
        <w:t>isdicción</w:t>
      </w:r>
      <w:r>
        <w:rPr>
          <w:spacing w:val="-2"/>
          <w:sz w:val="20"/>
        </w:rPr>
        <w:t xml:space="preserve"> </w:t>
      </w:r>
      <w:r>
        <w:rPr>
          <w:sz w:val="20"/>
        </w:rPr>
        <w:t>interna,</w:t>
      </w:r>
      <w:r>
        <w:rPr>
          <w:spacing w:val="-5"/>
          <w:sz w:val="20"/>
        </w:rPr>
        <w:t xml:space="preserve"> </w:t>
      </w:r>
      <w:r>
        <w:rPr>
          <w:sz w:val="20"/>
        </w:rPr>
        <w:t>así</w:t>
      </w:r>
      <w:r>
        <w:rPr>
          <w:spacing w:val="-3"/>
          <w:sz w:val="20"/>
        </w:rPr>
        <w:t xml:space="preserve"> </w:t>
      </w:r>
      <w:r>
        <w:rPr>
          <w:sz w:val="20"/>
        </w:rPr>
        <w:t>como</w:t>
      </w:r>
      <w:r>
        <w:rPr>
          <w:spacing w:val="-5"/>
          <w:sz w:val="20"/>
        </w:rPr>
        <w:t xml:space="preserve"> </w:t>
      </w:r>
      <w:r>
        <w:rPr>
          <w:sz w:val="20"/>
        </w:rPr>
        <w:t>los</w:t>
      </w:r>
      <w:r>
        <w:rPr>
          <w:spacing w:val="-4"/>
          <w:sz w:val="20"/>
        </w:rPr>
        <w:t xml:space="preserve"> </w:t>
      </w:r>
      <w:r>
        <w:rPr>
          <w:sz w:val="20"/>
        </w:rPr>
        <w:t>generados</w:t>
      </w:r>
      <w:r>
        <w:rPr>
          <w:spacing w:val="-1"/>
          <w:sz w:val="20"/>
        </w:rPr>
        <w:t xml:space="preserve"> </w:t>
      </w:r>
      <w:r>
        <w:rPr>
          <w:sz w:val="20"/>
        </w:rPr>
        <w:t>en</w:t>
      </w:r>
      <w:r>
        <w:rPr>
          <w:spacing w:val="-3"/>
          <w:sz w:val="20"/>
        </w:rPr>
        <w:t xml:space="preserve"> </w:t>
      </w:r>
      <w:r>
        <w:rPr>
          <w:sz w:val="20"/>
        </w:rPr>
        <w:t>el curso</w:t>
      </w:r>
      <w:r>
        <w:rPr>
          <w:spacing w:val="-5"/>
          <w:sz w:val="20"/>
        </w:rPr>
        <w:t xml:space="preserve"> </w:t>
      </w:r>
      <w:r>
        <w:rPr>
          <w:sz w:val="20"/>
        </w:rPr>
        <w:t>del</w:t>
      </w:r>
      <w:r>
        <w:rPr>
          <w:spacing w:val="-3"/>
          <w:sz w:val="20"/>
        </w:rPr>
        <w:t xml:space="preserve"> </w:t>
      </w:r>
      <w:r>
        <w:rPr>
          <w:sz w:val="20"/>
        </w:rPr>
        <w:t>proceso</w:t>
      </w:r>
      <w:r>
        <w:rPr>
          <w:spacing w:val="-5"/>
          <w:sz w:val="20"/>
        </w:rPr>
        <w:t xml:space="preserve"> </w:t>
      </w:r>
      <w:r>
        <w:rPr>
          <w:sz w:val="20"/>
        </w:rPr>
        <w:t>ante</w:t>
      </w:r>
      <w:r>
        <w:rPr>
          <w:spacing w:val="-2"/>
          <w:sz w:val="20"/>
        </w:rPr>
        <w:t xml:space="preserve"> </w:t>
      </w:r>
      <w:r>
        <w:rPr>
          <w:sz w:val="20"/>
        </w:rPr>
        <w:t>el sistema interamericano, teniendo en cuenta las circunstancias del caso concreto y la naturaleza de la jurisdicción internacional de protección de los derechos humanos. Esta apreciación puede ser realizada con base en el principio de equidad y tomando en</w:t>
      </w:r>
      <w:r>
        <w:rPr>
          <w:sz w:val="20"/>
        </w:rPr>
        <w:t xml:space="preserve"> cuenta los gastos señalados por las partes, siempre que su quantum sea</w:t>
      </w:r>
      <w:r>
        <w:rPr>
          <w:spacing w:val="-12"/>
          <w:sz w:val="20"/>
        </w:rPr>
        <w:t xml:space="preserve"> </w:t>
      </w:r>
      <w:r>
        <w:rPr>
          <w:sz w:val="20"/>
        </w:rPr>
        <w:t>razonable</w:t>
      </w:r>
      <w:hyperlink w:anchor="_bookmark446" w:history="1">
        <w:r>
          <w:rPr>
            <w:position w:val="7"/>
            <w:sz w:val="13"/>
          </w:rPr>
          <w:t>372</w:t>
        </w:r>
      </w:hyperlink>
      <w:r>
        <w:rPr>
          <w:sz w:val="20"/>
        </w:rPr>
        <w:t>.</w:t>
      </w:r>
    </w:p>
    <w:p w14:paraId="2FA67B54" w14:textId="77777777" w:rsidR="00467FCA" w:rsidRDefault="00467FCA">
      <w:pPr>
        <w:pStyle w:val="Textoindependiente"/>
        <w:spacing w:before="11"/>
        <w:rPr>
          <w:sz w:val="19"/>
        </w:rPr>
      </w:pPr>
    </w:p>
    <w:p w14:paraId="20D60009" w14:textId="77777777" w:rsidR="00467FCA" w:rsidRDefault="001B68EB">
      <w:pPr>
        <w:pStyle w:val="Prrafodelista"/>
        <w:numPr>
          <w:ilvl w:val="0"/>
          <w:numId w:val="38"/>
        </w:numPr>
        <w:tabs>
          <w:tab w:val="left" w:pos="687"/>
        </w:tabs>
        <w:ind w:right="117" w:firstLine="0"/>
        <w:jc w:val="both"/>
        <w:rPr>
          <w:sz w:val="20"/>
        </w:rPr>
      </w:pPr>
      <w:r>
        <w:rPr>
          <w:sz w:val="20"/>
        </w:rPr>
        <w:t>Como ha señalado en otras ocasiones, la Corte recuerda que “las pretensiones de las víctimas</w:t>
      </w:r>
      <w:r>
        <w:rPr>
          <w:spacing w:val="-11"/>
          <w:sz w:val="20"/>
        </w:rPr>
        <w:t xml:space="preserve"> </w:t>
      </w:r>
      <w:r>
        <w:rPr>
          <w:sz w:val="20"/>
        </w:rPr>
        <w:t>o</w:t>
      </w:r>
      <w:r>
        <w:rPr>
          <w:spacing w:val="-11"/>
          <w:sz w:val="20"/>
        </w:rPr>
        <w:t xml:space="preserve"> </w:t>
      </w:r>
      <w:r>
        <w:rPr>
          <w:sz w:val="20"/>
        </w:rPr>
        <w:t>sus</w:t>
      </w:r>
      <w:r>
        <w:rPr>
          <w:spacing w:val="-11"/>
          <w:sz w:val="20"/>
        </w:rPr>
        <w:t xml:space="preserve"> </w:t>
      </w:r>
      <w:r>
        <w:rPr>
          <w:sz w:val="20"/>
        </w:rPr>
        <w:t>representantes</w:t>
      </w:r>
      <w:r>
        <w:rPr>
          <w:spacing w:val="-11"/>
          <w:sz w:val="20"/>
        </w:rPr>
        <w:t xml:space="preserve"> </w:t>
      </w:r>
      <w:r>
        <w:rPr>
          <w:sz w:val="20"/>
        </w:rPr>
        <w:t>en</w:t>
      </w:r>
      <w:r>
        <w:rPr>
          <w:spacing w:val="-12"/>
          <w:sz w:val="20"/>
        </w:rPr>
        <w:t xml:space="preserve"> </w:t>
      </w:r>
      <w:r>
        <w:rPr>
          <w:sz w:val="20"/>
        </w:rPr>
        <w:t>materia</w:t>
      </w:r>
      <w:r>
        <w:rPr>
          <w:spacing w:val="-12"/>
          <w:sz w:val="20"/>
        </w:rPr>
        <w:t xml:space="preserve"> </w:t>
      </w:r>
      <w:r>
        <w:rPr>
          <w:sz w:val="20"/>
        </w:rPr>
        <w:t>de</w:t>
      </w:r>
      <w:r>
        <w:rPr>
          <w:spacing w:val="-11"/>
          <w:sz w:val="20"/>
        </w:rPr>
        <w:t xml:space="preserve"> </w:t>
      </w:r>
      <w:r>
        <w:rPr>
          <w:sz w:val="20"/>
        </w:rPr>
        <w:t>costas</w:t>
      </w:r>
      <w:r>
        <w:rPr>
          <w:spacing w:val="-13"/>
          <w:sz w:val="20"/>
        </w:rPr>
        <w:t xml:space="preserve"> </w:t>
      </w:r>
      <w:r>
        <w:rPr>
          <w:sz w:val="20"/>
        </w:rPr>
        <w:t>y</w:t>
      </w:r>
      <w:r>
        <w:rPr>
          <w:spacing w:val="-13"/>
          <w:sz w:val="20"/>
        </w:rPr>
        <w:t xml:space="preserve"> </w:t>
      </w:r>
      <w:r>
        <w:rPr>
          <w:sz w:val="20"/>
        </w:rPr>
        <w:t>gastos,</w:t>
      </w:r>
      <w:r>
        <w:rPr>
          <w:spacing w:val="-11"/>
          <w:sz w:val="20"/>
        </w:rPr>
        <w:t xml:space="preserve"> </w:t>
      </w:r>
      <w:r>
        <w:rPr>
          <w:sz w:val="20"/>
        </w:rPr>
        <w:t>y</w:t>
      </w:r>
      <w:r>
        <w:rPr>
          <w:spacing w:val="-13"/>
          <w:sz w:val="20"/>
        </w:rPr>
        <w:t xml:space="preserve"> </w:t>
      </w:r>
      <w:r>
        <w:rPr>
          <w:sz w:val="20"/>
        </w:rPr>
        <w:t>las</w:t>
      </w:r>
      <w:r>
        <w:rPr>
          <w:spacing w:val="-11"/>
          <w:sz w:val="20"/>
        </w:rPr>
        <w:t xml:space="preserve"> </w:t>
      </w:r>
      <w:r>
        <w:rPr>
          <w:sz w:val="20"/>
        </w:rPr>
        <w:t>pruebas</w:t>
      </w:r>
      <w:r>
        <w:rPr>
          <w:spacing w:val="-13"/>
          <w:sz w:val="20"/>
        </w:rPr>
        <w:t xml:space="preserve"> </w:t>
      </w:r>
      <w:r>
        <w:rPr>
          <w:sz w:val="20"/>
        </w:rPr>
        <w:t>que</w:t>
      </w:r>
      <w:r>
        <w:rPr>
          <w:spacing w:val="-11"/>
          <w:sz w:val="20"/>
        </w:rPr>
        <w:t xml:space="preserve"> </w:t>
      </w:r>
      <w:r>
        <w:rPr>
          <w:sz w:val="20"/>
        </w:rPr>
        <w:t>las</w:t>
      </w:r>
      <w:r>
        <w:rPr>
          <w:spacing w:val="-11"/>
          <w:sz w:val="20"/>
        </w:rPr>
        <w:t xml:space="preserve"> </w:t>
      </w:r>
      <w:r>
        <w:rPr>
          <w:sz w:val="20"/>
        </w:rPr>
        <w:t>sustentan, deben presentarse a la Corte en el primer momento procesal que se les concede, esto es,</w:t>
      </w:r>
      <w:r>
        <w:rPr>
          <w:spacing w:val="-46"/>
          <w:sz w:val="20"/>
        </w:rPr>
        <w:t xml:space="preserve"> </w:t>
      </w:r>
      <w:r>
        <w:rPr>
          <w:sz w:val="20"/>
        </w:rPr>
        <w:t>en el escrito de solicitudes y argumentos, sin perjuicio de que tales pretensiones se actualicen en un momento posterior, confo</w:t>
      </w:r>
      <w:r>
        <w:rPr>
          <w:sz w:val="20"/>
        </w:rPr>
        <w:t>rme a las nuevas costas y gastos en que se haya incurrido con ocasión del procedimiento ante esta Corte”</w:t>
      </w:r>
      <w:hyperlink w:anchor="_bookmark447" w:history="1">
        <w:r>
          <w:rPr>
            <w:position w:val="7"/>
            <w:sz w:val="13"/>
          </w:rPr>
          <w:t>373</w:t>
        </w:r>
      </w:hyperlink>
      <w:r>
        <w:rPr>
          <w:sz w:val="20"/>
        </w:rPr>
        <w:t>. Asimismo, la Corte reitera que no es suficiente la remisión de documentos probatorios, sino que se requiere que las</w:t>
      </w:r>
      <w:r>
        <w:rPr>
          <w:sz w:val="20"/>
        </w:rPr>
        <w:t xml:space="preserve"> partes hagan una argumentación que relacione la prueba con el hecho que se considera representado, y que,</w:t>
      </w:r>
      <w:r>
        <w:rPr>
          <w:spacing w:val="-7"/>
          <w:sz w:val="20"/>
        </w:rPr>
        <w:t xml:space="preserve"> </w:t>
      </w:r>
      <w:r>
        <w:rPr>
          <w:sz w:val="20"/>
        </w:rPr>
        <w:t>al</w:t>
      </w:r>
      <w:r>
        <w:rPr>
          <w:spacing w:val="-5"/>
          <w:sz w:val="20"/>
        </w:rPr>
        <w:t xml:space="preserve"> </w:t>
      </w:r>
      <w:r>
        <w:rPr>
          <w:sz w:val="20"/>
        </w:rPr>
        <w:t>tratarse</w:t>
      </w:r>
      <w:r>
        <w:rPr>
          <w:spacing w:val="-8"/>
          <w:sz w:val="20"/>
        </w:rPr>
        <w:t xml:space="preserve"> </w:t>
      </w:r>
      <w:r>
        <w:rPr>
          <w:sz w:val="20"/>
        </w:rPr>
        <w:t>de</w:t>
      </w:r>
      <w:r>
        <w:rPr>
          <w:spacing w:val="-7"/>
          <w:sz w:val="20"/>
        </w:rPr>
        <w:t xml:space="preserve"> </w:t>
      </w:r>
      <w:r>
        <w:rPr>
          <w:sz w:val="20"/>
        </w:rPr>
        <w:t>alegados</w:t>
      </w:r>
      <w:r>
        <w:rPr>
          <w:spacing w:val="-7"/>
          <w:sz w:val="20"/>
        </w:rPr>
        <w:t xml:space="preserve"> </w:t>
      </w:r>
      <w:r>
        <w:rPr>
          <w:sz w:val="20"/>
        </w:rPr>
        <w:t>desembolsos</w:t>
      </w:r>
      <w:r>
        <w:rPr>
          <w:spacing w:val="-6"/>
          <w:sz w:val="20"/>
        </w:rPr>
        <w:t xml:space="preserve"> </w:t>
      </w:r>
      <w:r>
        <w:rPr>
          <w:sz w:val="20"/>
        </w:rPr>
        <w:t>económicos,</w:t>
      </w:r>
      <w:r>
        <w:rPr>
          <w:spacing w:val="-5"/>
          <w:sz w:val="20"/>
        </w:rPr>
        <w:t xml:space="preserve"> </w:t>
      </w:r>
      <w:r>
        <w:rPr>
          <w:sz w:val="20"/>
        </w:rPr>
        <w:t>se</w:t>
      </w:r>
      <w:r>
        <w:rPr>
          <w:spacing w:val="-4"/>
          <w:sz w:val="20"/>
        </w:rPr>
        <w:t xml:space="preserve"> </w:t>
      </w:r>
      <w:r>
        <w:rPr>
          <w:sz w:val="20"/>
        </w:rPr>
        <w:t>establezcan</w:t>
      </w:r>
      <w:r>
        <w:rPr>
          <w:spacing w:val="-3"/>
          <w:sz w:val="20"/>
        </w:rPr>
        <w:t xml:space="preserve"> </w:t>
      </w:r>
      <w:r>
        <w:rPr>
          <w:sz w:val="20"/>
        </w:rPr>
        <w:t>con</w:t>
      </w:r>
      <w:r>
        <w:rPr>
          <w:spacing w:val="-4"/>
          <w:sz w:val="20"/>
        </w:rPr>
        <w:t xml:space="preserve"> </w:t>
      </w:r>
      <w:r>
        <w:rPr>
          <w:sz w:val="20"/>
        </w:rPr>
        <w:t>claridad</w:t>
      </w:r>
      <w:r>
        <w:rPr>
          <w:spacing w:val="-6"/>
          <w:sz w:val="20"/>
        </w:rPr>
        <w:t xml:space="preserve"> </w:t>
      </w:r>
      <w:r>
        <w:rPr>
          <w:sz w:val="20"/>
        </w:rPr>
        <w:t>los</w:t>
      </w:r>
      <w:r>
        <w:rPr>
          <w:spacing w:val="-6"/>
          <w:sz w:val="20"/>
        </w:rPr>
        <w:t xml:space="preserve"> </w:t>
      </w:r>
      <w:r>
        <w:rPr>
          <w:sz w:val="20"/>
        </w:rPr>
        <w:t>rubros y la justificación de los</w:t>
      </w:r>
      <w:r>
        <w:rPr>
          <w:spacing w:val="-3"/>
          <w:sz w:val="20"/>
        </w:rPr>
        <w:t xml:space="preserve"> </w:t>
      </w:r>
      <w:r>
        <w:rPr>
          <w:sz w:val="20"/>
        </w:rPr>
        <w:t>mismos</w:t>
      </w:r>
      <w:hyperlink w:anchor="_bookmark448" w:history="1">
        <w:r>
          <w:rPr>
            <w:position w:val="7"/>
            <w:sz w:val="13"/>
          </w:rPr>
          <w:t>374</w:t>
        </w:r>
      </w:hyperlink>
      <w:r>
        <w:rPr>
          <w:sz w:val="20"/>
        </w:rPr>
        <w:t>.</w:t>
      </w:r>
    </w:p>
    <w:p w14:paraId="4CCC2DCA" w14:textId="77777777" w:rsidR="00467FCA" w:rsidRDefault="00467FCA">
      <w:pPr>
        <w:pStyle w:val="Textoindependiente"/>
      </w:pPr>
    </w:p>
    <w:p w14:paraId="50057406" w14:textId="77777777" w:rsidR="00467FCA" w:rsidRDefault="001B68EB">
      <w:pPr>
        <w:pStyle w:val="Prrafodelista"/>
        <w:numPr>
          <w:ilvl w:val="0"/>
          <w:numId w:val="38"/>
        </w:numPr>
        <w:tabs>
          <w:tab w:val="left" w:pos="687"/>
        </w:tabs>
        <w:ind w:left="120" w:right="117" w:firstLine="0"/>
        <w:jc w:val="both"/>
        <w:rPr>
          <w:sz w:val="20"/>
        </w:rPr>
      </w:pPr>
      <w:r>
        <w:rPr>
          <w:sz w:val="20"/>
        </w:rPr>
        <w:t>Del análisis de los antecedentes aportados, la Corte encuentra que, aunque los representantes</w:t>
      </w:r>
      <w:r>
        <w:rPr>
          <w:spacing w:val="-6"/>
          <w:sz w:val="20"/>
        </w:rPr>
        <w:t xml:space="preserve"> </w:t>
      </w:r>
      <w:r>
        <w:rPr>
          <w:sz w:val="20"/>
        </w:rPr>
        <w:t>alegaron</w:t>
      </w:r>
      <w:r>
        <w:rPr>
          <w:spacing w:val="-2"/>
          <w:sz w:val="20"/>
        </w:rPr>
        <w:t xml:space="preserve"> </w:t>
      </w:r>
      <w:r>
        <w:rPr>
          <w:sz w:val="20"/>
        </w:rPr>
        <w:t>en</w:t>
      </w:r>
      <w:r>
        <w:rPr>
          <w:spacing w:val="-3"/>
          <w:sz w:val="20"/>
        </w:rPr>
        <w:t xml:space="preserve"> </w:t>
      </w:r>
      <w:r>
        <w:rPr>
          <w:sz w:val="20"/>
        </w:rPr>
        <w:t>su</w:t>
      </w:r>
      <w:r>
        <w:rPr>
          <w:spacing w:val="-4"/>
          <w:sz w:val="20"/>
        </w:rPr>
        <w:t xml:space="preserve"> </w:t>
      </w:r>
      <w:r>
        <w:rPr>
          <w:sz w:val="20"/>
        </w:rPr>
        <w:t>Escrito</w:t>
      </w:r>
      <w:r>
        <w:rPr>
          <w:spacing w:val="-6"/>
          <w:sz w:val="20"/>
        </w:rPr>
        <w:t xml:space="preserve"> </w:t>
      </w:r>
      <w:r>
        <w:rPr>
          <w:sz w:val="20"/>
        </w:rPr>
        <w:t>de</w:t>
      </w:r>
      <w:r>
        <w:rPr>
          <w:spacing w:val="-7"/>
          <w:sz w:val="20"/>
        </w:rPr>
        <w:t xml:space="preserve"> </w:t>
      </w:r>
      <w:r>
        <w:rPr>
          <w:sz w:val="20"/>
        </w:rPr>
        <w:t>Solicitudes,</w:t>
      </w:r>
      <w:r>
        <w:rPr>
          <w:spacing w:val="-4"/>
          <w:sz w:val="20"/>
        </w:rPr>
        <w:t xml:space="preserve"> </w:t>
      </w:r>
      <w:r>
        <w:rPr>
          <w:sz w:val="20"/>
        </w:rPr>
        <w:t>Argumentos</w:t>
      </w:r>
      <w:r>
        <w:rPr>
          <w:spacing w:val="-4"/>
          <w:sz w:val="20"/>
        </w:rPr>
        <w:t xml:space="preserve"> </w:t>
      </w:r>
      <w:r>
        <w:rPr>
          <w:sz w:val="20"/>
        </w:rPr>
        <w:t>y</w:t>
      </w:r>
      <w:r>
        <w:rPr>
          <w:spacing w:val="-3"/>
          <w:sz w:val="20"/>
        </w:rPr>
        <w:t xml:space="preserve"> </w:t>
      </w:r>
      <w:r>
        <w:rPr>
          <w:sz w:val="20"/>
        </w:rPr>
        <w:t>Pruebas</w:t>
      </w:r>
      <w:r>
        <w:rPr>
          <w:spacing w:val="-4"/>
          <w:sz w:val="20"/>
        </w:rPr>
        <w:t xml:space="preserve"> </w:t>
      </w:r>
      <w:r>
        <w:rPr>
          <w:sz w:val="20"/>
        </w:rPr>
        <w:t>que</w:t>
      </w:r>
      <w:r>
        <w:rPr>
          <w:spacing w:val="-7"/>
          <w:sz w:val="20"/>
        </w:rPr>
        <w:t xml:space="preserve"> </w:t>
      </w:r>
      <w:r>
        <w:rPr>
          <w:sz w:val="20"/>
        </w:rPr>
        <w:t>las</w:t>
      </w:r>
      <w:r>
        <w:rPr>
          <w:spacing w:val="-4"/>
          <w:sz w:val="20"/>
        </w:rPr>
        <w:t xml:space="preserve"> </w:t>
      </w:r>
      <w:r>
        <w:rPr>
          <w:sz w:val="20"/>
        </w:rPr>
        <w:t>costas</w:t>
      </w:r>
      <w:r>
        <w:rPr>
          <w:spacing w:val="-4"/>
          <w:sz w:val="20"/>
        </w:rPr>
        <w:t xml:space="preserve"> </w:t>
      </w:r>
      <w:r>
        <w:rPr>
          <w:sz w:val="20"/>
        </w:rPr>
        <w:t>y gastos en que incurrieron ascendieron a la suma d</w:t>
      </w:r>
      <w:r>
        <w:rPr>
          <w:sz w:val="20"/>
        </w:rPr>
        <w:t>e USD$ 20.000 (veinte mil dólares de Estados Unidos de América), no aportaron prueba alguna que justificara ese valor. Posteriormente, en sus alegatos finales, de forma extemporánea, presentaron soportes que evidencian</w:t>
      </w:r>
      <w:r>
        <w:rPr>
          <w:spacing w:val="-17"/>
          <w:sz w:val="20"/>
        </w:rPr>
        <w:t xml:space="preserve"> </w:t>
      </w:r>
      <w:r>
        <w:rPr>
          <w:sz w:val="20"/>
        </w:rPr>
        <w:t>que</w:t>
      </w:r>
      <w:r>
        <w:rPr>
          <w:spacing w:val="-20"/>
          <w:sz w:val="20"/>
        </w:rPr>
        <w:t xml:space="preserve"> </w:t>
      </w:r>
      <w:r>
        <w:rPr>
          <w:sz w:val="20"/>
        </w:rPr>
        <w:t>las</w:t>
      </w:r>
      <w:r>
        <w:rPr>
          <w:spacing w:val="-18"/>
          <w:sz w:val="20"/>
        </w:rPr>
        <w:t xml:space="preserve"> </w:t>
      </w:r>
      <w:r>
        <w:rPr>
          <w:sz w:val="20"/>
        </w:rPr>
        <w:t>costas</w:t>
      </w:r>
      <w:r>
        <w:rPr>
          <w:spacing w:val="-19"/>
          <w:sz w:val="20"/>
        </w:rPr>
        <w:t xml:space="preserve"> </w:t>
      </w:r>
      <w:r>
        <w:rPr>
          <w:sz w:val="20"/>
        </w:rPr>
        <w:t>y</w:t>
      </w:r>
      <w:r>
        <w:rPr>
          <w:spacing w:val="-18"/>
          <w:sz w:val="20"/>
        </w:rPr>
        <w:t xml:space="preserve"> </w:t>
      </w:r>
      <w:r>
        <w:rPr>
          <w:sz w:val="20"/>
        </w:rPr>
        <w:t>gastos</w:t>
      </w:r>
      <w:r>
        <w:rPr>
          <w:spacing w:val="-19"/>
          <w:sz w:val="20"/>
        </w:rPr>
        <w:t xml:space="preserve"> </w:t>
      </w:r>
      <w:r>
        <w:rPr>
          <w:sz w:val="20"/>
        </w:rPr>
        <w:t>equivalen</w:t>
      </w:r>
      <w:r>
        <w:rPr>
          <w:spacing w:val="-16"/>
          <w:sz w:val="20"/>
        </w:rPr>
        <w:t xml:space="preserve"> </w:t>
      </w:r>
      <w:r>
        <w:rPr>
          <w:sz w:val="20"/>
        </w:rPr>
        <w:t>a</w:t>
      </w:r>
      <w:r>
        <w:rPr>
          <w:spacing w:val="-18"/>
          <w:sz w:val="20"/>
        </w:rPr>
        <w:t xml:space="preserve"> </w:t>
      </w:r>
      <w:r>
        <w:rPr>
          <w:sz w:val="20"/>
        </w:rPr>
        <w:t>USD$</w:t>
      </w:r>
      <w:r>
        <w:rPr>
          <w:spacing w:val="-17"/>
          <w:sz w:val="20"/>
        </w:rPr>
        <w:t xml:space="preserve"> </w:t>
      </w:r>
      <w:r>
        <w:rPr>
          <w:sz w:val="20"/>
        </w:rPr>
        <w:t>42.526,52</w:t>
      </w:r>
      <w:r>
        <w:rPr>
          <w:spacing w:val="-18"/>
          <w:sz w:val="20"/>
        </w:rPr>
        <w:t xml:space="preserve"> </w:t>
      </w:r>
      <w:r>
        <w:rPr>
          <w:sz w:val="20"/>
        </w:rPr>
        <w:t>(cuarenta</w:t>
      </w:r>
      <w:r>
        <w:rPr>
          <w:spacing w:val="-17"/>
          <w:sz w:val="20"/>
        </w:rPr>
        <w:t xml:space="preserve"> </w:t>
      </w:r>
      <w:r>
        <w:rPr>
          <w:sz w:val="20"/>
        </w:rPr>
        <w:t>y</w:t>
      </w:r>
      <w:r>
        <w:rPr>
          <w:spacing w:val="-19"/>
          <w:sz w:val="20"/>
        </w:rPr>
        <w:t xml:space="preserve"> </w:t>
      </w:r>
      <w:r>
        <w:rPr>
          <w:sz w:val="20"/>
        </w:rPr>
        <w:t>dos</w:t>
      </w:r>
      <w:r>
        <w:rPr>
          <w:spacing w:val="-18"/>
          <w:sz w:val="20"/>
        </w:rPr>
        <w:t xml:space="preserve"> </w:t>
      </w:r>
      <w:r>
        <w:rPr>
          <w:sz w:val="20"/>
        </w:rPr>
        <w:t>mil</w:t>
      </w:r>
      <w:r>
        <w:rPr>
          <w:spacing w:val="-18"/>
          <w:sz w:val="20"/>
        </w:rPr>
        <w:t xml:space="preserve"> </w:t>
      </w:r>
      <w:r>
        <w:rPr>
          <w:sz w:val="20"/>
        </w:rPr>
        <w:t>quinientos veintiséis</w:t>
      </w:r>
      <w:r>
        <w:rPr>
          <w:spacing w:val="-9"/>
          <w:sz w:val="20"/>
        </w:rPr>
        <w:t xml:space="preserve"> </w:t>
      </w:r>
      <w:r>
        <w:rPr>
          <w:sz w:val="20"/>
        </w:rPr>
        <w:t>dólares</w:t>
      </w:r>
      <w:r>
        <w:rPr>
          <w:spacing w:val="-6"/>
          <w:sz w:val="20"/>
        </w:rPr>
        <w:t xml:space="preserve"> </w:t>
      </w:r>
      <w:r>
        <w:rPr>
          <w:sz w:val="20"/>
        </w:rPr>
        <w:t>de</w:t>
      </w:r>
      <w:r>
        <w:rPr>
          <w:spacing w:val="-7"/>
          <w:sz w:val="20"/>
        </w:rPr>
        <w:t xml:space="preserve"> </w:t>
      </w:r>
      <w:r>
        <w:rPr>
          <w:sz w:val="20"/>
        </w:rPr>
        <w:t>Estados</w:t>
      </w:r>
      <w:r>
        <w:rPr>
          <w:spacing w:val="-9"/>
          <w:sz w:val="20"/>
        </w:rPr>
        <w:t xml:space="preserve"> </w:t>
      </w:r>
      <w:r>
        <w:rPr>
          <w:sz w:val="20"/>
        </w:rPr>
        <w:t>Unidos</w:t>
      </w:r>
      <w:r>
        <w:rPr>
          <w:spacing w:val="-9"/>
          <w:sz w:val="20"/>
        </w:rPr>
        <w:t xml:space="preserve"> </w:t>
      </w:r>
      <w:r>
        <w:rPr>
          <w:sz w:val="20"/>
        </w:rPr>
        <w:t>de</w:t>
      </w:r>
      <w:r>
        <w:rPr>
          <w:spacing w:val="-9"/>
          <w:sz w:val="20"/>
        </w:rPr>
        <w:t xml:space="preserve"> </w:t>
      </w:r>
      <w:r>
        <w:rPr>
          <w:sz w:val="20"/>
        </w:rPr>
        <w:t>América</w:t>
      </w:r>
      <w:r>
        <w:rPr>
          <w:spacing w:val="-5"/>
          <w:sz w:val="20"/>
        </w:rPr>
        <w:t xml:space="preserve"> </w:t>
      </w:r>
      <w:r>
        <w:rPr>
          <w:sz w:val="20"/>
        </w:rPr>
        <w:t>con</w:t>
      </w:r>
      <w:r>
        <w:rPr>
          <w:spacing w:val="-4"/>
          <w:sz w:val="20"/>
        </w:rPr>
        <w:t xml:space="preserve"> </w:t>
      </w:r>
      <w:r>
        <w:rPr>
          <w:sz w:val="20"/>
        </w:rPr>
        <w:t>cincuenta</w:t>
      </w:r>
      <w:r>
        <w:rPr>
          <w:spacing w:val="-5"/>
          <w:sz w:val="20"/>
        </w:rPr>
        <w:t xml:space="preserve"> </w:t>
      </w:r>
      <w:r>
        <w:rPr>
          <w:sz w:val="20"/>
        </w:rPr>
        <w:t>y</w:t>
      </w:r>
      <w:r>
        <w:rPr>
          <w:spacing w:val="-8"/>
          <w:sz w:val="20"/>
        </w:rPr>
        <w:t xml:space="preserve"> </w:t>
      </w:r>
      <w:r>
        <w:rPr>
          <w:sz w:val="20"/>
        </w:rPr>
        <w:t>dos</w:t>
      </w:r>
      <w:r>
        <w:rPr>
          <w:spacing w:val="-6"/>
          <w:sz w:val="20"/>
        </w:rPr>
        <w:t xml:space="preserve"> </w:t>
      </w:r>
      <w:r>
        <w:rPr>
          <w:sz w:val="20"/>
        </w:rPr>
        <w:t>centavos).</w:t>
      </w:r>
      <w:r>
        <w:rPr>
          <w:spacing w:val="-6"/>
          <w:sz w:val="20"/>
        </w:rPr>
        <w:t xml:space="preserve"> </w:t>
      </w:r>
      <w:r>
        <w:rPr>
          <w:sz w:val="20"/>
        </w:rPr>
        <w:t>El</w:t>
      </w:r>
      <w:r>
        <w:rPr>
          <w:spacing w:val="-7"/>
          <w:sz w:val="20"/>
        </w:rPr>
        <w:t xml:space="preserve"> </w:t>
      </w:r>
      <w:r>
        <w:rPr>
          <w:sz w:val="20"/>
        </w:rPr>
        <w:t>Estado,</w:t>
      </w:r>
      <w:r>
        <w:rPr>
          <w:spacing w:val="-6"/>
          <w:sz w:val="20"/>
        </w:rPr>
        <w:t xml:space="preserve"> </w:t>
      </w:r>
      <w:r>
        <w:rPr>
          <w:sz w:val="20"/>
        </w:rPr>
        <w:t>en sus</w:t>
      </w:r>
      <w:r>
        <w:rPr>
          <w:spacing w:val="-12"/>
          <w:sz w:val="20"/>
        </w:rPr>
        <w:t xml:space="preserve"> </w:t>
      </w:r>
      <w:r>
        <w:rPr>
          <w:sz w:val="20"/>
        </w:rPr>
        <w:t>observaciones</w:t>
      </w:r>
      <w:r>
        <w:rPr>
          <w:spacing w:val="-11"/>
          <w:sz w:val="20"/>
        </w:rPr>
        <w:t xml:space="preserve"> </w:t>
      </w:r>
      <w:r>
        <w:rPr>
          <w:sz w:val="20"/>
        </w:rPr>
        <w:t>a</w:t>
      </w:r>
      <w:r>
        <w:rPr>
          <w:spacing w:val="-8"/>
          <w:sz w:val="20"/>
        </w:rPr>
        <w:t xml:space="preserve"> </w:t>
      </w:r>
      <w:r>
        <w:rPr>
          <w:sz w:val="20"/>
        </w:rPr>
        <w:t>los</w:t>
      </w:r>
      <w:r>
        <w:rPr>
          <w:spacing w:val="-9"/>
          <w:sz w:val="20"/>
        </w:rPr>
        <w:t xml:space="preserve"> </w:t>
      </w:r>
      <w:r>
        <w:rPr>
          <w:sz w:val="20"/>
        </w:rPr>
        <w:t>anexos</w:t>
      </w:r>
      <w:r>
        <w:rPr>
          <w:spacing w:val="-11"/>
          <w:sz w:val="20"/>
        </w:rPr>
        <w:t xml:space="preserve"> </w:t>
      </w:r>
      <w:r>
        <w:rPr>
          <w:sz w:val="20"/>
        </w:rPr>
        <w:t>aportados</w:t>
      </w:r>
      <w:r>
        <w:rPr>
          <w:spacing w:val="-11"/>
          <w:sz w:val="20"/>
        </w:rPr>
        <w:t xml:space="preserve"> </w:t>
      </w:r>
      <w:r>
        <w:rPr>
          <w:sz w:val="20"/>
        </w:rPr>
        <w:t>por</w:t>
      </w:r>
      <w:r>
        <w:rPr>
          <w:spacing w:val="-9"/>
          <w:sz w:val="20"/>
        </w:rPr>
        <w:t xml:space="preserve"> </w:t>
      </w:r>
      <w:r>
        <w:rPr>
          <w:sz w:val="20"/>
        </w:rPr>
        <w:t>los</w:t>
      </w:r>
      <w:r>
        <w:rPr>
          <w:spacing w:val="-11"/>
          <w:sz w:val="20"/>
        </w:rPr>
        <w:t xml:space="preserve"> </w:t>
      </w:r>
      <w:r>
        <w:rPr>
          <w:sz w:val="20"/>
        </w:rPr>
        <w:t>representantes,</w:t>
      </w:r>
      <w:r>
        <w:rPr>
          <w:spacing w:val="-12"/>
          <w:sz w:val="20"/>
        </w:rPr>
        <w:t xml:space="preserve"> </w:t>
      </w:r>
      <w:r>
        <w:rPr>
          <w:sz w:val="20"/>
        </w:rPr>
        <w:t>solicitó,</w:t>
      </w:r>
      <w:r>
        <w:rPr>
          <w:spacing w:val="-8"/>
          <w:sz w:val="20"/>
        </w:rPr>
        <w:t xml:space="preserve"> </w:t>
      </w:r>
      <w:r>
        <w:rPr>
          <w:sz w:val="20"/>
        </w:rPr>
        <w:t>entre</w:t>
      </w:r>
      <w:r>
        <w:rPr>
          <w:spacing w:val="-9"/>
          <w:sz w:val="20"/>
        </w:rPr>
        <w:t xml:space="preserve"> </w:t>
      </w:r>
      <w:r>
        <w:rPr>
          <w:sz w:val="20"/>
        </w:rPr>
        <w:t>otros,</w:t>
      </w:r>
      <w:r>
        <w:rPr>
          <w:spacing w:val="-8"/>
          <w:sz w:val="20"/>
        </w:rPr>
        <w:t xml:space="preserve"> </w:t>
      </w:r>
      <w:r>
        <w:rPr>
          <w:sz w:val="20"/>
        </w:rPr>
        <w:t>que</w:t>
      </w:r>
      <w:r>
        <w:rPr>
          <w:spacing w:val="-9"/>
          <w:sz w:val="20"/>
        </w:rPr>
        <w:t xml:space="preserve"> </w:t>
      </w:r>
      <w:r>
        <w:rPr>
          <w:sz w:val="20"/>
        </w:rPr>
        <w:t>se</w:t>
      </w:r>
    </w:p>
    <w:p w14:paraId="7C40FB9E" w14:textId="77777777" w:rsidR="00467FCA" w:rsidRDefault="001B68EB">
      <w:pPr>
        <w:pStyle w:val="Textoindependiente"/>
        <w:spacing w:before="8"/>
        <w:rPr>
          <w:sz w:val="25"/>
        </w:rPr>
      </w:pPr>
      <w:r>
        <w:pict w14:anchorId="63067AFB">
          <v:shape id="_x0000_s1119" style="position:absolute;margin-left:1in;margin-top:17.9pt;width:2in;height:.1pt;z-index:-251579392;mso-wrap-distance-left:0;mso-wrap-distance-right:0;mso-position-horizontal-relative:page" coordorigin="1440,358" coordsize="2880,0" path="m1440,358r2880,e" filled="f" strokeweight=".6pt">
            <v:path arrowok="t"/>
            <w10:wrap type="topAndBottom" anchorx="page"/>
          </v:shape>
        </w:pict>
      </w:r>
    </w:p>
    <w:p w14:paraId="6401DCC0" w14:textId="77777777" w:rsidR="00467FCA" w:rsidRDefault="001B68EB">
      <w:pPr>
        <w:tabs>
          <w:tab w:val="left" w:pos="839"/>
        </w:tabs>
        <w:spacing w:before="74"/>
        <w:ind w:left="120" w:right="111" w:hanging="1"/>
        <w:jc w:val="both"/>
        <w:rPr>
          <w:sz w:val="16"/>
        </w:rPr>
      </w:pPr>
      <w:bookmarkStart w:id="517" w:name="_bookmark446"/>
      <w:bookmarkEnd w:id="517"/>
      <w:r>
        <w:rPr>
          <w:position w:val="6"/>
          <w:sz w:val="10"/>
        </w:rPr>
        <w:t>372</w:t>
      </w:r>
      <w:r>
        <w:rPr>
          <w:position w:val="6"/>
          <w:sz w:val="10"/>
        </w:rPr>
        <w:tab/>
      </w:r>
      <w:r>
        <w:rPr>
          <w:i/>
          <w:sz w:val="16"/>
        </w:rPr>
        <w:t>Cfr. Caso Garrido y Baigorria Vs. Argentina</w:t>
      </w:r>
      <w:r>
        <w:rPr>
          <w:sz w:val="16"/>
        </w:rPr>
        <w:t xml:space="preserve">. Reparaciones y Costas. Sentencia de 27 de agosto de 1998. Serie C No. 39, párr. 82, y </w:t>
      </w:r>
      <w:r>
        <w:rPr>
          <w:i/>
          <w:sz w:val="16"/>
        </w:rPr>
        <w:t>Caso Azul Rojas Marín y otra Vs. Perú</w:t>
      </w:r>
      <w:r>
        <w:rPr>
          <w:sz w:val="16"/>
        </w:rPr>
        <w:t xml:space="preserve">, </w:t>
      </w:r>
      <w:r>
        <w:rPr>
          <w:i/>
          <w:sz w:val="16"/>
        </w:rPr>
        <w:t>supra</w:t>
      </w:r>
      <w:r>
        <w:rPr>
          <w:sz w:val="16"/>
        </w:rPr>
        <w:t>, párr.</w:t>
      </w:r>
      <w:r>
        <w:rPr>
          <w:spacing w:val="-32"/>
          <w:sz w:val="16"/>
        </w:rPr>
        <w:t xml:space="preserve"> </w:t>
      </w:r>
      <w:r>
        <w:rPr>
          <w:sz w:val="16"/>
        </w:rPr>
        <w:t>274.</w:t>
      </w:r>
    </w:p>
    <w:p w14:paraId="367E916F" w14:textId="77777777" w:rsidR="00467FCA" w:rsidRDefault="001B68EB">
      <w:pPr>
        <w:tabs>
          <w:tab w:val="left" w:pos="839"/>
        </w:tabs>
        <w:ind w:left="119" w:right="115"/>
        <w:jc w:val="both"/>
        <w:rPr>
          <w:sz w:val="16"/>
        </w:rPr>
      </w:pPr>
      <w:bookmarkStart w:id="518" w:name="_bookmark447"/>
      <w:bookmarkEnd w:id="518"/>
      <w:r>
        <w:rPr>
          <w:position w:val="6"/>
          <w:sz w:val="10"/>
        </w:rPr>
        <w:t>373</w:t>
      </w:r>
      <w:r>
        <w:rPr>
          <w:position w:val="6"/>
          <w:sz w:val="10"/>
        </w:rPr>
        <w:tab/>
      </w:r>
      <w:r>
        <w:rPr>
          <w:i/>
          <w:sz w:val="16"/>
        </w:rPr>
        <w:t>Cfr</w:t>
      </w:r>
      <w:r>
        <w:rPr>
          <w:sz w:val="16"/>
        </w:rPr>
        <w:t>.</w:t>
      </w:r>
      <w:r>
        <w:rPr>
          <w:spacing w:val="-9"/>
          <w:sz w:val="16"/>
        </w:rPr>
        <w:t xml:space="preserve"> </w:t>
      </w:r>
      <w:r>
        <w:rPr>
          <w:i/>
          <w:sz w:val="16"/>
        </w:rPr>
        <w:t>Caso</w:t>
      </w:r>
      <w:r>
        <w:rPr>
          <w:i/>
          <w:spacing w:val="-9"/>
          <w:sz w:val="16"/>
        </w:rPr>
        <w:t xml:space="preserve"> </w:t>
      </w:r>
      <w:r>
        <w:rPr>
          <w:i/>
          <w:sz w:val="16"/>
        </w:rPr>
        <w:t>Garrido</w:t>
      </w:r>
      <w:r>
        <w:rPr>
          <w:i/>
          <w:spacing w:val="-9"/>
          <w:sz w:val="16"/>
        </w:rPr>
        <w:t xml:space="preserve"> </w:t>
      </w:r>
      <w:r>
        <w:rPr>
          <w:i/>
          <w:sz w:val="16"/>
        </w:rPr>
        <w:t>y</w:t>
      </w:r>
      <w:r>
        <w:rPr>
          <w:i/>
          <w:spacing w:val="-9"/>
          <w:sz w:val="16"/>
        </w:rPr>
        <w:t xml:space="preserve"> </w:t>
      </w:r>
      <w:r>
        <w:rPr>
          <w:i/>
          <w:sz w:val="16"/>
        </w:rPr>
        <w:t>Baigorria</w:t>
      </w:r>
      <w:r>
        <w:rPr>
          <w:i/>
          <w:spacing w:val="-10"/>
          <w:sz w:val="16"/>
        </w:rPr>
        <w:t xml:space="preserve"> </w:t>
      </w:r>
      <w:r>
        <w:rPr>
          <w:i/>
          <w:sz w:val="16"/>
        </w:rPr>
        <w:t>Vs.</w:t>
      </w:r>
      <w:r>
        <w:rPr>
          <w:i/>
          <w:spacing w:val="-8"/>
          <w:sz w:val="16"/>
        </w:rPr>
        <w:t xml:space="preserve"> </w:t>
      </w:r>
      <w:r>
        <w:rPr>
          <w:i/>
          <w:sz w:val="16"/>
        </w:rPr>
        <w:t>Argentina</w:t>
      </w:r>
      <w:r>
        <w:rPr>
          <w:sz w:val="16"/>
        </w:rPr>
        <w:t>.</w:t>
      </w:r>
      <w:r>
        <w:rPr>
          <w:spacing w:val="-8"/>
          <w:sz w:val="16"/>
        </w:rPr>
        <w:t xml:space="preserve"> </w:t>
      </w:r>
      <w:r>
        <w:rPr>
          <w:sz w:val="16"/>
        </w:rPr>
        <w:t>Reparaciones</w:t>
      </w:r>
      <w:r>
        <w:rPr>
          <w:spacing w:val="-9"/>
          <w:sz w:val="16"/>
        </w:rPr>
        <w:t xml:space="preserve"> </w:t>
      </w:r>
      <w:r>
        <w:rPr>
          <w:sz w:val="16"/>
        </w:rPr>
        <w:t>y</w:t>
      </w:r>
      <w:r>
        <w:rPr>
          <w:spacing w:val="-9"/>
          <w:sz w:val="16"/>
        </w:rPr>
        <w:t xml:space="preserve"> </w:t>
      </w:r>
      <w:r>
        <w:rPr>
          <w:sz w:val="16"/>
        </w:rPr>
        <w:t>Cost</w:t>
      </w:r>
      <w:r>
        <w:rPr>
          <w:sz w:val="16"/>
        </w:rPr>
        <w:t>as,</w:t>
      </w:r>
      <w:r>
        <w:rPr>
          <w:spacing w:val="-8"/>
          <w:sz w:val="16"/>
        </w:rPr>
        <w:t xml:space="preserve"> </w:t>
      </w:r>
      <w:r>
        <w:rPr>
          <w:i/>
          <w:sz w:val="16"/>
        </w:rPr>
        <w:t>supra,</w:t>
      </w:r>
      <w:r>
        <w:rPr>
          <w:i/>
          <w:spacing w:val="-11"/>
          <w:sz w:val="16"/>
        </w:rPr>
        <w:t xml:space="preserve"> </w:t>
      </w:r>
      <w:r>
        <w:rPr>
          <w:sz w:val="16"/>
        </w:rPr>
        <w:t>párr.</w:t>
      </w:r>
      <w:r>
        <w:rPr>
          <w:spacing w:val="-11"/>
          <w:sz w:val="16"/>
        </w:rPr>
        <w:t xml:space="preserve"> </w:t>
      </w:r>
      <w:r>
        <w:rPr>
          <w:sz w:val="16"/>
        </w:rPr>
        <w:t>79,</w:t>
      </w:r>
      <w:r>
        <w:rPr>
          <w:spacing w:val="-11"/>
          <w:sz w:val="16"/>
        </w:rPr>
        <w:t xml:space="preserve"> </w:t>
      </w:r>
      <w:r>
        <w:rPr>
          <w:sz w:val="16"/>
        </w:rPr>
        <w:t>y</w:t>
      </w:r>
      <w:r>
        <w:rPr>
          <w:spacing w:val="-9"/>
          <w:sz w:val="16"/>
        </w:rPr>
        <w:t xml:space="preserve"> </w:t>
      </w:r>
      <w:r>
        <w:rPr>
          <w:i/>
          <w:sz w:val="16"/>
        </w:rPr>
        <w:t>Caso</w:t>
      </w:r>
      <w:r>
        <w:rPr>
          <w:i/>
          <w:spacing w:val="-9"/>
          <w:sz w:val="16"/>
        </w:rPr>
        <w:t xml:space="preserve"> </w:t>
      </w:r>
      <w:r>
        <w:rPr>
          <w:i/>
          <w:sz w:val="16"/>
        </w:rPr>
        <w:t>Azul</w:t>
      </w:r>
      <w:r>
        <w:rPr>
          <w:i/>
          <w:spacing w:val="-8"/>
          <w:sz w:val="16"/>
        </w:rPr>
        <w:t xml:space="preserve"> </w:t>
      </w:r>
      <w:r>
        <w:rPr>
          <w:i/>
          <w:sz w:val="16"/>
        </w:rPr>
        <w:t>Rojas</w:t>
      </w:r>
      <w:r>
        <w:rPr>
          <w:i/>
          <w:spacing w:val="-12"/>
          <w:sz w:val="16"/>
        </w:rPr>
        <w:t xml:space="preserve"> </w:t>
      </w:r>
      <w:r>
        <w:rPr>
          <w:i/>
          <w:sz w:val="16"/>
        </w:rPr>
        <w:t>Marín</w:t>
      </w:r>
      <w:bookmarkStart w:id="519" w:name="_bookmark448"/>
      <w:bookmarkEnd w:id="519"/>
      <w:r>
        <w:rPr>
          <w:i/>
          <w:sz w:val="16"/>
        </w:rPr>
        <w:t xml:space="preserve"> y otra Vs. Perú</w:t>
      </w:r>
      <w:r>
        <w:rPr>
          <w:sz w:val="16"/>
        </w:rPr>
        <w:t xml:space="preserve">, </w:t>
      </w:r>
      <w:r>
        <w:rPr>
          <w:i/>
          <w:sz w:val="16"/>
        </w:rPr>
        <w:t>supra</w:t>
      </w:r>
      <w:r>
        <w:rPr>
          <w:sz w:val="16"/>
        </w:rPr>
        <w:t>, párr.</w:t>
      </w:r>
      <w:r>
        <w:rPr>
          <w:spacing w:val="-13"/>
          <w:sz w:val="16"/>
        </w:rPr>
        <w:t xml:space="preserve"> </w:t>
      </w:r>
      <w:r>
        <w:rPr>
          <w:sz w:val="16"/>
        </w:rPr>
        <w:t>275.</w:t>
      </w:r>
    </w:p>
    <w:p w14:paraId="309E2771" w14:textId="77777777" w:rsidR="00467FCA" w:rsidRDefault="001B68EB">
      <w:pPr>
        <w:tabs>
          <w:tab w:val="left" w:pos="686"/>
        </w:tabs>
        <w:ind w:left="119" w:right="115"/>
        <w:jc w:val="both"/>
        <w:rPr>
          <w:sz w:val="16"/>
        </w:rPr>
      </w:pPr>
      <w:r>
        <w:rPr>
          <w:position w:val="6"/>
          <w:sz w:val="10"/>
        </w:rPr>
        <w:t>374</w:t>
      </w:r>
      <w:r>
        <w:rPr>
          <w:position w:val="6"/>
          <w:sz w:val="10"/>
        </w:rPr>
        <w:tab/>
      </w:r>
      <w:r>
        <w:rPr>
          <w:i/>
          <w:sz w:val="16"/>
        </w:rPr>
        <w:t xml:space="preserve">Cfr. Caso Chaparro Álvarez y Lapo Íñiguez Vs. Ecuador. </w:t>
      </w:r>
      <w:r>
        <w:rPr>
          <w:sz w:val="16"/>
        </w:rPr>
        <w:t xml:space="preserve">Excepciones Preliminares, Fondo, Reparaciones y Costas. Sentencia de 21 de noviembre de 2007. Serie C No. 170, párr. </w:t>
      </w:r>
      <w:r>
        <w:rPr>
          <w:sz w:val="16"/>
        </w:rPr>
        <w:t xml:space="preserve">275; y </w:t>
      </w:r>
      <w:r>
        <w:rPr>
          <w:i/>
          <w:sz w:val="16"/>
        </w:rPr>
        <w:t xml:space="preserve">Caso Mujeres Víctimas de Tortura Sexual en Atenco Vs. México. </w:t>
      </w:r>
      <w:r>
        <w:rPr>
          <w:sz w:val="16"/>
        </w:rPr>
        <w:t>Excepción Preliminar, Fondo, Reparaciones y Costas. Sentencia de 28 de noviembre de 2018. Serie C No. 371. párr.</w:t>
      </w:r>
      <w:r>
        <w:rPr>
          <w:spacing w:val="-4"/>
          <w:sz w:val="16"/>
        </w:rPr>
        <w:t xml:space="preserve"> </w:t>
      </w:r>
      <w:r>
        <w:rPr>
          <w:sz w:val="16"/>
        </w:rPr>
        <w:t>379.</w:t>
      </w:r>
    </w:p>
    <w:p w14:paraId="3E5BE4E8" w14:textId="77777777" w:rsidR="00467FCA" w:rsidRDefault="00467FCA">
      <w:pPr>
        <w:jc w:val="both"/>
        <w:rPr>
          <w:sz w:val="16"/>
        </w:rPr>
        <w:sectPr w:rsidR="00467FCA">
          <w:pgSz w:w="12240" w:h="15840"/>
          <w:pgMar w:top="1360" w:right="1320" w:bottom="1220" w:left="1320" w:header="0" w:footer="957" w:gutter="0"/>
          <w:cols w:space="720"/>
        </w:sectPr>
      </w:pPr>
    </w:p>
    <w:p w14:paraId="66695D5D" w14:textId="77777777" w:rsidR="00467FCA" w:rsidRDefault="001B68EB">
      <w:pPr>
        <w:pStyle w:val="Textoindependiente"/>
        <w:spacing w:before="80"/>
        <w:ind w:left="120" w:right="36"/>
      </w:pPr>
      <w:r>
        <w:t>aclare y demuestre la asignación de los gastos mensuales de personal hecha por los representantes.</w:t>
      </w:r>
    </w:p>
    <w:p w14:paraId="732FA4C1" w14:textId="77777777" w:rsidR="00467FCA" w:rsidRDefault="00467FCA">
      <w:pPr>
        <w:pStyle w:val="Textoindependiente"/>
        <w:spacing w:before="1"/>
      </w:pPr>
    </w:p>
    <w:p w14:paraId="05D07681" w14:textId="77777777" w:rsidR="00467FCA" w:rsidRDefault="001B68EB">
      <w:pPr>
        <w:pStyle w:val="Prrafodelista"/>
        <w:numPr>
          <w:ilvl w:val="0"/>
          <w:numId w:val="38"/>
        </w:numPr>
        <w:tabs>
          <w:tab w:val="left" w:pos="687"/>
        </w:tabs>
        <w:ind w:right="117" w:firstLine="0"/>
        <w:jc w:val="both"/>
        <w:rPr>
          <w:sz w:val="20"/>
        </w:rPr>
      </w:pPr>
      <w:r>
        <w:rPr>
          <w:sz w:val="20"/>
        </w:rPr>
        <w:t>La</w:t>
      </w:r>
      <w:r>
        <w:rPr>
          <w:spacing w:val="-5"/>
          <w:sz w:val="20"/>
        </w:rPr>
        <w:t xml:space="preserve"> </w:t>
      </w:r>
      <w:r>
        <w:rPr>
          <w:sz w:val="20"/>
        </w:rPr>
        <w:t>Corte</w:t>
      </w:r>
      <w:r>
        <w:rPr>
          <w:spacing w:val="-4"/>
          <w:sz w:val="20"/>
        </w:rPr>
        <w:t xml:space="preserve"> </w:t>
      </w:r>
      <w:r>
        <w:rPr>
          <w:sz w:val="20"/>
        </w:rPr>
        <w:t>encuentra</w:t>
      </w:r>
      <w:r>
        <w:rPr>
          <w:spacing w:val="-5"/>
          <w:sz w:val="20"/>
        </w:rPr>
        <w:t xml:space="preserve"> </w:t>
      </w:r>
      <w:r>
        <w:rPr>
          <w:sz w:val="20"/>
        </w:rPr>
        <w:t>que</w:t>
      </w:r>
      <w:r>
        <w:rPr>
          <w:spacing w:val="-4"/>
          <w:sz w:val="20"/>
        </w:rPr>
        <w:t xml:space="preserve"> </w:t>
      </w:r>
      <w:r>
        <w:rPr>
          <w:sz w:val="20"/>
        </w:rPr>
        <w:t>los</w:t>
      </w:r>
      <w:r>
        <w:rPr>
          <w:spacing w:val="-4"/>
          <w:sz w:val="20"/>
        </w:rPr>
        <w:t xml:space="preserve"> </w:t>
      </w:r>
      <w:r>
        <w:rPr>
          <w:sz w:val="20"/>
        </w:rPr>
        <w:t>soportes</w:t>
      </w:r>
      <w:r>
        <w:rPr>
          <w:spacing w:val="-4"/>
          <w:sz w:val="20"/>
        </w:rPr>
        <w:t xml:space="preserve"> </w:t>
      </w:r>
      <w:r>
        <w:rPr>
          <w:sz w:val="20"/>
        </w:rPr>
        <w:t>de</w:t>
      </w:r>
      <w:r>
        <w:rPr>
          <w:spacing w:val="-6"/>
          <w:sz w:val="20"/>
        </w:rPr>
        <w:t xml:space="preserve"> </w:t>
      </w:r>
      <w:r>
        <w:rPr>
          <w:sz w:val="20"/>
        </w:rPr>
        <w:t>las</w:t>
      </w:r>
      <w:r>
        <w:rPr>
          <w:spacing w:val="-4"/>
          <w:sz w:val="20"/>
        </w:rPr>
        <w:t xml:space="preserve"> </w:t>
      </w:r>
      <w:r>
        <w:rPr>
          <w:sz w:val="20"/>
        </w:rPr>
        <w:t>costas</w:t>
      </w:r>
      <w:r>
        <w:rPr>
          <w:spacing w:val="-6"/>
          <w:sz w:val="20"/>
        </w:rPr>
        <w:t xml:space="preserve"> </w:t>
      </w:r>
      <w:r>
        <w:rPr>
          <w:sz w:val="20"/>
        </w:rPr>
        <w:t>y</w:t>
      </w:r>
      <w:r>
        <w:rPr>
          <w:spacing w:val="-3"/>
          <w:sz w:val="20"/>
        </w:rPr>
        <w:t xml:space="preserve"> </w:t>
      </w:r>
      <w:r>
        <w:rPr>
          <w:sz w:val="20"/>
        </w:rPr>
        <w:t>gastos</w:t>
      </w:r>
      <w:r>
        <w:rPr>
          <w:spacing w:val="-4"/>
          <w:sz w:val="20"/>
        </w:rPr>
        <w:t xml:space="preserve"> </w:t>
      </w:r>
      <w:r>
        <w:rPr>
          <w:sz w:val="20"/>
        </w:rPr>
        <w:t>no</w:t>
      </w:r>
      <w:r>
        <w:rPr>
          <w:spacing w:val="-4"/>
          <w:sz w:val="20"/>
        </w:rPr>
        <w:t xml:space="preserve"> </w:t>
      </w:r>
      <w:r>
        <w:rPr>
          <w:sz w:val="20"/>
        </w:rPr>
        <w:t>fueron</w:t>
      </w:r>
      <w:r>
        <w:rPr>
          <w:spacing w:val="-2"/>
          <w:sz w:val="20"/>
        </w:rPr>
        <w:t xml:space="preserve"> </w:t>
      </w:r>
      <w:r>
        <w:rPr>
          <w:sz w:val="20"/>
        </w:rPr>
        <w:t>presentados</w:t>
      </w:r>
      <w:r>
        <w:rPr>
          <w:spacing w:val="-4"/>
          <w:sz w:val="20"/>
        </w:rPr>
        <w:t xml:space="preserve"> </w:t>
      </w:r>
      <w:r>
        <w:rPr>
          <w:sz w:val="20"/>
        </w:rPr>
        <w:t>en</w:t>
      </w:r>
      <w:r>
        <w:rPr>
          <w:spacing w:val="-1"/>
          <w:sz w:val="20"/>
        </w:rPr>
        <w:t xml:space="preserve"> </w:t>
      </w:r>
      <w:r>
        <w:rPr>
          <w:sz w:val="20"/>
        </w:rPr>
        <w:t>el momento</w:t>
      </w:r>
      <w:r>
        <w:rPr>
          <w:spacing w:val="-9"/>
          <w:sz w:val="20"/>
        </w:rPr>
        <w:t xml:space="preserve"> </w:t>
      </w:r>
      <w:r>
        <w:rPr>
          <w:sz w:val="20"/>
        </w:rPr>
        <w:t>procesal</w:t>
      </w:r>
      <w:r>
        <w:rPr>
          <w:spacing w:val="-6"/>
          <w:sz w:val="20"/>
        </w:rPr>
        <w:t xml:space="preserve"> </w:t>
      </w:r>
      <w:r>
        <w:rPr>
          <w:sz w:val="20"/>
        </w:rPr>
        <w:t>oportuno.</w:t>
      </w:r>
      <w:r>
        <w:rPr>
          <w:spacing w:val="-8"/>
          <w:sz w:val="20"/>
        </w:rPr>
        <w:t xml:space="preserve"> </w:t>
      </w:r>
      <w:r>
        <w:rPr>
          <w:sz w:val="20"/>
        </w:rPr>
        <w:t>Por</w:t>
      </w:r>
      <w:r>
        <w:rPr>
          <w:spacing w:val="-6"/>
          <w:sz w:val="20"/>
        </w:rPr>
        <w:t xml:space="preserve"> </w:t>
      </w:r>
      <w:r>
        <w:rPr>
          <w:sz w:val="20"/>
        </w:rPr>
        <w:t>esa</w:t>
      </w:r>
      <w:r>
        <w:rPr>
          <w:spacing w:val="-3"/>
          <w:sz w:val="20"/>
        </w:rPr>
        <w:t xml:space="preserve"> </w:t>
      </w:r>
      <w:r>
        <w:rPr>
          <w:sz w:val="20"/>
        </w:rPr>
        <w:t>razón</w:t>
      </w:r>
      <w:r>
        <w:rPr>
          <w:spacing w:val="-4"/>
          <w:sz w:val="20"/>
        </w:rPr>
        <w:t xml:space="preserve"> </w:t>
      </w:r>
      <w:r>
        <w:rPr>
          <w:sz w:val="20"/>
        </w:rPr>
        <w:t>calculará</w:t>
      </w:r>
      <w:r>
        <w:rPr>
          <w:spacing w:val="-5"/>
          <w:sz w:val="20"/>
        </w:rPr>
        <w:t xml:space="preserve"> </w:t>
      </w:r>
      <w:r>
        <w:rPr>
          <w:sz w:val="20"/>
        </w:rPr>
        <w:t>el</w:t>
      </w:r>
      <w:r>
        <w:rPr>
          <w:spacing w:val="-5"/>
          <w:sz w:val="20"/>
        </w:rPr>
        <w:t xml:space="preserve"> </w:t>
      </w:r>
      <w:r>
        <w:rPr>
          <w:sz w:val="20"/>
        </w:rPr>
        <w:t>pago</w:t>
      </w:r>
      <w:r>
        <w:rPr>
          <w:spacing w:val="-6"/>
          <w:sz w:val="20"/>
        </w:rPr>
        <w:t xml:space="preserve"> </w:t>
      </w:r>
      <w:r>
        <w:rPr>
          <w:sz w:val="20"/>
        </w:rPr>
        <w:t>de</w:t>
      </w:r>
      <w:r>
        <w:rPr>
          <w:spacing w:val="-7"/>
          <w:sz w:val="20"/>
        </w:rPr>
        <w:t xml:space="preserve"> </w:t>
      </w:r>
      <w:r>
        <w:rPr>
          <w:sz w:val="20"/>
        </w:rPr>
        <w:t>gastos</w:t>
      </w:r>
      <w:r>
        <w:rPr>
          <w:spacing w:val="-4"/>
          <w:sz w:val="20"/>
        </w:rPr>
        <w:t xml:space="preserve"> </w:t>
      </w:r>
      <w:r>
        <w:rPr>
          <w:sz w:val="20"/>
        </w:rPr>
        <w:t>y</w:t>
      </w:r>
      <w:r>
        <w:rPr>
          <w:spacing w:val="-7"/>
          <w:sz w:val="20"/>
        </w:rPr>
        <w:t xml:space="preserve"> </w:t>
      </w:r>
      <w:r>
        <w:rPr>
          <w:sz w:val="20"/>
        </w:rPr>
        <w:t>costas</w:t>
      </w:r>
      <w:r>
        <w:rPr>
          <w:spacing w:val="-6"/>
          <w:sz w:val="20"/>
        </w:rPr>
        <w:t xml:space="preserve"> </w:t>
      </w:r>
      <w:r>
        <w:rPr>
          <w:sz w:val="20"/>
        </w:rPr>
        <w:t>en</w:t>
      </w:r>
      <w:r>
        <w:rPr>
          <w:spacing w:val="-4"/>
          <w:sz w:val="20"/>
        </w:rPr>
        <w:t xml:space="preserve"> </w:t>
      </w:r>
      <w:r>
        <w:rPr>
          <w:sz w:val="20"/>
        </w:rPr>
        <w:t>equidad</w:t>
      </w:r>
      <w:r>
        <w:rPr>
          <w:spacing w:val="-5"/>
          <w:sz w:val="20"/>
        </w:rPr>
        <w:t xml:space="preserve"> </w:t>
      </w:r>
      <w:r>
        <w:rPr>
          <w:sz w:val="20"/>
        </w:rPr>
        <w:t>y teniendo en cuenta que el litigio internacional duró más de 15 años. Así, esta Corte estima procedente</w:t>
      </w:r>
      <w:r>
        <w:rPr>
          <w:spacing w:val="-17"/>
          <w:sz w:val="20"/>
        </w:rPr>
        <w:t xml:space="preserve"> </w:t>
      </w:r>
      <w:r>
        <w:rPr>
          <w:sz w:val="20"/>
        </w:rPr>
        <w:t>conceder</w:t>
      </w:r>
      <w:r>
        <w:rPr>
          <w:spacing w:val="-19"/>
          <w:sz w:val="20"/>
        </w:rPr>
        <w:t xml:space="preserve"> </w:t>
      </w:r>
      <w:r>
        <w:rPr>
          <w:sz w:val="20"/>
        </w:rPr>
        <w:t>una</w:t>
      </w:r>
      <w:r>
        <w:rPr>
          <w:spacing w:val="-17"/>
          <w:sz w:val="20"/>
        </w:rPr>
        <w:t xml:space="preserve"> </w:t>
      </w:r>
      <w:r>
        <w:rPr>
          <w:sz w:val="20"/>
        </w:rPr>
        <w:t>suma</w:t>
      </w:r>
      <w:r>
        <w:rPr>
          <w:spacing w:val="-17"/>
          <w:sz w:val="20"/>
        </w:rPr>
        <w:t xml:space="preserve"> </w:t>
      </w:r>
      <w:r>
        <w:rPr>
          <w:sz w:val="20"/>
        </w:rPr>
        <w:t>total</w:t>
      </w:r>
      <w:r>
        <w:rPr>
          <w:spacing w:val="-15"/>
          <w:sz w:val="20"/>
        </w:rPr>
        <w:t xml:space="preserve"> </w:t>
      </w:r>
      <w:r>
        <w:rPr>
          <w:sz w:val="20"/>
        </w:rPr>
        <w:t>razonable</w:t>
      </w:r>
      <w:r>
        <w:rPr>
          <w:spacing w:val="-19"/>
          <w:sz w:val="20"/>
        </w:rPr>
        <w:t xml:space="preserve"> </w:t>
      </w:r>
      <w:r>
        <w:rPr>
          <w:sz w:val="20"/>
        </w:rPr>
        <w:t>de</w:t>
      </w:r>
      <w:r>
        <w:rPr>
          <w:spacing w:val="-19"/>
          <w:sz w:val="20"/>
        </w:rPr>
        <w:t xml:space="preserve"> </w:t>
      </w:r>
      <w:r>
        <w:rPr>
          <w:sz w:val="20"/>
        </w:rPr>
        <w:t>USD$</w:t>
      </w:r>
      <w:r>
        <w:rPr>
          <w:spacing w:val="-17"/>
          <w:sz w:val="20"/>
        </w:rPr>
        <w:t xml:space="preserve"> </w:t>
      </w:r>
      <w:r>
        <w:rPr>
          <w:sz w:val="20"/>
        </w:rPr>
        <w:t>35.000,00</w:t>
      </w:r>
      <w:r>
        <w:rPr>
          <w:spacing w:val="-19"/>
          <w:sz w:val="20"/>
        </w:rPr>
        <w:t xml:space="preserve"> </w:t>
      </w:r>
      <w:r>
        <w:rPr>
          <w:sz w:val="20"/>
        </w:rPr>
        <w:t>(treinta</w:t>
      </w:r>
      <w:r>
        <w:rPr>
          <w:spacing w:val="-17"/>
          <w:sz w:val="20"/>
        </w:rPr>
        <w:t xml:space="preserve"> </w:t>
      </w:r>
      <w:r>
        <w:rPr>
          <w:sz w:val="20"/>
        </w:rPr>
        <w:t>y</w:t>
      </w:r>
      <w:r>
        <w:rPr>
          <w:spacing w:val="-18"/>
          <w:sz w:val="20"/>
        </w:rPr>
        <w:t xml:space="preserve"> </w:t>
      </w:r>
      <w:r>
        <w:rPr>
          <w:sz w:val="20"/>
        </w:rPr>
        <w:t>cinco</w:t>
      </w:r>
      <w:r>
        <w:rPr>
          <w:spacing w:val="-19"/>
          <w:sz w:val="20"/>
        </w:rPr>
        <w:t xml:space="preserve"> </w:t>
      </w:r>
      <w:r>
        <w:rPr>
          <w:sz w:val="20"/>
        </w:rPr>
        <w:t>mil</w:t>
      </w:r>
      <w:r>
        <w:rPr>
          <w:spacing w:val="-17"/>
          <w:sz w:val="20"/>
        </w:rPr>
        <w:t xml:space="preserve"> </w:t>
      </w:r>
      <w:r>
        <w:rPr>
          <w:sz w:val="20"/>
        </w:rPr>
        <w:t xml:space="preserve">dólares de los Estados Unidos de América) a los representantes en el presente caso por concepto </w:t>
      </w:r>
      <w:r>
        <w:rPr>
          <w:spacing w:val="2"/>
          <w:sz w:val="20"/>
        </w:rPr>
        <w:t xml:space="preserve">de </w:t>
      </w:r>
      <w:r>
        <w:rPr>
          <w:sz w:val="20"/>
        </w:rPr>
        <w:t>costas y</w:t>
      </w:r>
      <w:r>
        <w:rPr>
          <w:spacing w:val="-2"/>
          <w:sz w:val="20"/>
        </w:rPr>
        <w:t xml:space="preserve"> </w:t>
      </w:r>
      <w:r>
        <w:rPr>
          <w:sz w:val="20"/>
        </w:rPr>
        <w:t>gastos.</w:t>
      </w:r>
    </w:p>
    <w:p w14:paraId="295EE60B" w14:textId="77777777" w:rsidR="00467FCA" w:rsidRDefault="00467FCA">
      <w:pPr>
        <w:pStyle w:val="Textoindependiente"/>
      </w:pPr>
    </w:p>
    <w:p w14:paraId="38ABE9CC" w14:textId="77777777" w:rsidR="00467FCA" w:rsidRDefault="001B68EB">
      <w:pPr>
        <w:pStyle w:val="Ttulo1"/>
        <w:numPr>
          <w:ilvl w:val="0"/>
          <w:numId w:val="37"/>
        </w:numPr>
        <w:tabs>
          <w:tab w:val="left" w:pos="840"/>
        </w:tabs>
        <w:ind w:left="839"/>
      </w:pPr>
      <w:bookmarkStart w:id="520" w:name="H._Modalidad_de_cumplimiento_de_los_pago"/>
      <w:bookmarkStart w:id="521" w:name="_bookmark449"/>
      <w:bookmarkEnd w:id="520"/>
      <w:bookmarkEnd w:id="521"/>
      <w:r>
        <w:t>Modalidad de cumplimiento de los pagos</w:t>
      </w:r>
      <w:r>
        <w:rPr>
          <w:spacing w:val="-3"/>
        </w:rPr>
        <w:t xml:space="preserve"> </w:t>
      </w:r>
      <w:r>
        <w:t>ordenados</w:t>
      </w:r>
    </w:p>
    <w:p w14:paraId="3634FA9F" w14:textId="77777777" w:rsidR="00467FCA" w:rsidRDefault="00467FCA">
      <w:pPr>
        <w:pStyle w:val="Textoindependiente"/>
        <w:spacing w:before="11"/>
        <w:rPr>
          <w:b/>
          <w:sz w:val="19"/>
        </w:rPr>
      </w:pPr>
    </w:p>
    <w:p w14:paraId="297F727D" w14:textId="77777777" w:rsidR="00467FCA" w:rsidRDefault="001B68EB">
      <w:pPr>
        <w:pStyle w:val="Prrafodelista"/>
        <w:numPr>
          <w:ilvl w:val="0"/>
          <w:numId w:val="38"/>
        </w:numPr>
        <w:tabs>
          <w:tab w:val="left" w:pos="687"/>
        </w:tabs>
        <w:ind w:right="119" w:firstLine="0"/>
        <w:jc w:val="both"/>
        <w:rPr>
          <w:sz w:val="20"/>
        </w:rPr>
      </w:pPr>
      <w:r>
        <w:rPr>
          <w:sz w:val="20"/>
        </w:rPr>
        <w:t>El</w:t>
      </w:r>
      <w:r>
        <w:rPr>
          <w:spacing w:val="-12"/>
          <w:sz w:val="20"/>
        </w:rPr>
        <w:t xml:space="preserve"> </w:t>
      </w:r>
      <w:r>
        <w:rPr>
          <w:sz w:val="20"/>
        </w:rPr>
        <w:t>Estado</w:t>
      </w:r>
      <w:r>
        <w:rPr>
          <w:spacing w:val="-14"/>
          <w:sz w:val="20"/>
        </w:rPr>
        <w:t xml:space="preserve"> </w:t>
      </w:r>
      <w:r>
        <w:rPr>
          <w:sz w:val="20"/>
        </w:rPr>
        <w:t>deberá</w:t>
      </w:r>
      <w:r>
        <w:rPr>
          <w:spacing w:val="-12"/>
          <w:sz w:val="20"/>
        </w:rPr>
        <w:t xml:space="preserve"> </w:t>
      </w:r>
      <w:r>
        <w:rPr>
          <w:sz w:val="20"/>
        </w:rPr>
        <w:t>efectuar</w:t>
      </w:r>
      <w:r>
        <w:rPr>
          <w:spacing w:val="-14"/>
          <w:sz w:val="20"/>
        </w:rPr>
        <w:t xml:space="preserve"> </w:t>
      </w:r>
      <w:r>
        <w:rPr>
          <w:sz w:val="20"/>
        </w:rPr>
        <w:t>el</w:t>
      </w:r>
      <w:r>
        <w:rPr>
          <w:spacing w:val="-12"/>
          <w:sz w:val="20"/>
        </w:rPr>
        <w:t xml:space="preserve"> </w:t>
      </w:r>
      <w:r>
        <w:rPr>
          <w:sz w:val="20"/>
        </w:rPr>
        <w:t>pago</w:t>
      </w:r>
      <w:r>
        <w:rPr>
          <w:spacing w:val="-14"/>
          <w:sz w:val="20"/>
        </w:rPr>
        <w:t xml:space="preserve"> </w:t>
      </w:r>
      <w:r>
        <w:rPr>
          <w:sz w:val="20"/>
        </w:rPr>
        <w:t>de</w:t>
      </w:r>
      <w:r>
        <w:rPr>
          <w:spacing w:val="-13"/>
          <w:sz w:val="20"/>
        </w:rPr>
        <w:t xml:space="preserve"> </w:t>
      </w:r>
      <w:r>
        <w:rPr>
          <w:sz w:val="20"/>
        </w:rPr>
        <w:t>las</w:t>
      </w:r>
      <w:r>
        <w:rPr>
          <w:spacing w:val="-13"/>
          <w:sz w:val="20"/>
        </w:rPr>
        <w:t xml:space="preserve"> </w:t>
      </w:r>
      <w:r>
        <w:rPr>
          <w:sz w:val="20"/>
        </w:rPr>
        <w:t>indemnizaciones</w:t>
      </w:r>
      <w:r>
        <w:rPr>
          <w:spacing w:val="-13"/>
          <w:sz w:val="20"/>
        </w:rPr>
        <w:t xml:space="preserve"> </w:t>
      </w:r>
      <w:r>
        <w:rPr>
          <w:sz w:val="20"/>
        </w:rPr>
        <w:t>por</w:t>
      </w:r>
      <w:r>
        <w:rPr>
          <w:spacing w:val="-11"/>
          <w:sz w:val="20"/>
        </w:rPr>
        <w:t xml:space="preserve"> </w:t>
      </w:r>
      <w:r>
        <w:rPr>
          <w:sz w:val="20"/>
        </w:rPr>
        <w:t>concepto</w:t>
      </w:r>
      <w:r>
        <w:rPr>
          <w:spacing w:val="-14"/>
          <w:sz w:val="20"/>
        </w:rPr>
        <w:t xml:space="preserve"> </w:t>
      </w:r>
      <w:r>
        <w:rPr>
          <w:sz w:val="20"/>
        </w:rPr>
        <w:t>de</w:t>
      </w:r>
      <w:r>
        <w:rPr>
          <w:spacing w:val="-14"/>
          <w:sz w:val="20"/>
        </w:rPr>
        <w:t xml:space="preserve"> </w:t>
      </w:r>
      <w:r>
        <w:rPr>
          <w:sz w:val="20"/>
        </w:rPr>
        <w:t>daño</w:t>
      </w:r>
      <w:r>
        <w:rPr>
          <w:spacing w:val="-13"/>
          <w:sz w:val="20"/>
        </w:rPr>
        <w:t xml:space="preserve"> </w:t>
      </w:r>
      <w:r>
        <w:rPr>
          <w:sz w:val="20"/>
        </w:rPr>
        <w:t>material e</w:t>
      </w:r>
      <w:r>
        <w:rPr>
          <w:spacing w:val="-22"/>
          <w:sz w:val="20"/>
        </w:rPr>
        <w:t xml:space="preserve"> </w:t>
      </w:r>
      <w:r>
        <w:rPr>
          <w:sz w:val="20"/>
        </w:rPr>
        <w:t>inmaterial,</w:t>
      </w:r>
      <w:r>
        <w:rPr>
          <w:spacing w:val="-21"/>
          <w:sz w:val="20"/>
        </w:rPr>
        <w:t xml:space="preserve"> </w:t>
      </w:r>
      <w:r>
        <w:rPr>
          <w:sz w:val="20"/>
        </w:rPr>
        <w:t>así</w:t>
      </w:r>
      <w:r>
        <w:rPr>
          <w:spacing w:val="-17"/>
          <w:sz w:val="20"/>
        </w:rPr>
        <w:t xml:space="preserve"> </w:t>
      </w:r>
      <w:r>
        <w:rPr>
          <w:sz w:val="20"/>
        </w:rPr>
        <w:t>como</w:t>
      </w:r>
      <w:r>
        <w:rPr>
          <w:spacing w:val="-19"/>
          <w:sz w:val="20"/>
        </w:rPr>
        <w:t xml:space="preserve"> </w:t>
      </w:r>
      <w:r>
        <w:rPr>
          <w:sz w:val="20"/>
        </w:rPr>
        <w:t>el</w:t>
      </w:r>
      <w:r>
        <w:rPr>
          <w:spacing w:val="-17"/>
          <w:sz w:val="20"/>
        </w:rPr>
        <w:t xml:space="preserve"> </w:t>
      </w:r>
      <w:r>
        <w:rPr>
          <w:sz w:val="20"/>
        </w:rPr>
        <w:t>reintegro</w:t>
      </w:r>
      <w:r>
        <w:rPr>
          <w:spacing w:val="-21"/>
          <w:sz w:val="20"/>
        </w:rPr>
        <w:t xml:space="preserve"> </w:t>
      </w:r>
      <w:r>
        <w:rPr>
          <w:sz w:val="20"/>
        </w:rPr>
        <w:t>de</w:t>
      </w:r>
      <w:r>
        <w:rPr>
          <w:spacing w:val="-21"/>
          <w:sz w:val="20"/>
        </w:rPr>
        <w:t xml:space="preserve"> </w:t>
      </w:r>
      <w:r>
        <w:rPr>
          <w:sz w:val="20"/>
        </w:rPr>
        <w:t>las</w:t>
      </w:r>
      <w:r>
        <w:rPr>
          <w:spacing w:val="-22"/>
          <w:sz w:val="20"/>
        </w:rPr>
        <w:t xml:space="preserve"> </w:t>
      </w:r>
      <w:r>
        <w:rPr>
          <w:sz w:val="20"/>
        </w:rPr>
        <w:t>costas</w:t>
      </w:r>
      <w:r>
        <w:rPr>
          <w:spacing w:val="-18"/>
          <w:sz w:val="20"/>
        </w:rPr>
        <w:t xml:space="preserve"> </w:t>
      </w:r>
      <w:r>
        <w:rPr>
          <w:sz w:val="20"/>
        </w:rPr>
        <w:t>y</w:t>
      </w:r>
      <w:r>
        <w:rPr>
          <w:spacing w:val="-20"/>
          <w:sz w:val="20"/>
        </w:rPr>
        <w:t xml:space="preserve"> </w:t>
      </w:r>
      <w:r>
        <w:rPr>
          <w:sz w:val="20"/>
        </w:rPr>
        <w:t>gastos</w:t>
      </w:r>
      <w:r>
        <w:rPr>
          <w:spacing w:val="-18"/>
          <w:sz w:val="20"/>
        </w:rPr>
        <w:t xml:space="preserve"> </w:t>
      </w:r>
      <w:r>
        <w:rPr>
          <w:sz w:val="20"/>
        </w:rPr>
        <w:t>establecidos</w:t>
      </w:r>
      <w:r>
        <w:rPr>
          <w:spacing w:val="-18"/>
          <w:sz w:val="20"/>
        </w:rPr>
        <w:t xml:space="preserve"> </w:t>
      </w:r>
      <w:r>
        <w:rPr>
          <w:sz w:val="20"/>
        </w:rPr>
        <w:t>en</w:t>
      </w:r>
      <w:r>
        <w:rPr>
          <w:spacing w:val="-17"/>
          <w:sz w:val="20"/>
        </w:rPr>
        <w:t xml:space="preserve"> </w:t>
      </w:r>
      <w:r>
        <w:rPr>
          <w:sz w:val="20"/>
        </w:rPr>
        <w:t>la</w:t>
      </w:r>
      <w:r>
        <w:rPr>
          <w:spacing w:val="-20"/>
          <w:sz w:val="20"/>
        </w:rPr>
        <w:t xml:space="preserve"> </w:t>
      </w:r>
      <w:r>
        <w:rPr>
          <w:sz w:val="20"/>
        </w:rPr>
        <w:t>presente</w:t>
      </w:r>
      <w:r>
        <w:rPr>
          <w:spacing w:val="-19"/>
          <w:sz w:val="20"/>
        </w:rPr>
        <w:t xml:space="preserve"> </w:t>
      </w:r>
      <w:r>
        <w:rPr>
          <w:sz w:val="20"/>
        </w:rPr>
        <w:t>Sentencia directamente a las personas y organizaciones indicadas en la misma, dentro del plazo de un año contado a partir de la notificación del presente Fallo, en los términos de los siguientes párrafos.</w:t>
      </w:r>
    </w:p>
    <w:p w14:paraId="1957FF40" w14:textId="77777777" w:rsidR="00467FCA" w:rsidRDefault="00467FCA">
      <w:pPr>
        <w:pStyle w:val="Textoindependiente"/>
        <w:spacing w:before="1"/>
      </w:pPr>
    </w:p>
    <w:p w14:paraId="5FE80BEC" w14:textId="77777777" w:rsidR="00467FCA" w:rsidRDefault="001B68EB">
      <w:pPr>
        <w:pStyle w:val="Prrafodelista"/>
        <w:numPr>
          <w:ilvl w:val="0"/>
          <w:numId w:val="38"/>
        </w:numPr>
        <w:tabs>
          <w:tab w:val="left" w:pos="687"/>
        </w:tabs>
        <w:ind w:right="117" w:firstLine="0"/>
        <w:jc w:val="both"/>
        <w:rPr>
          <w:sz w:val="20"/>
        </w:rPr>
      </w:pPr>
      <w:r>
        <w:rPr>
          <w:sz w:val="20"/>
        </w:rPr>
        <w:t>El Estado debe cumplir sus obligaciones monetarias</w:t>
      </w:r>
      <w:r>
        <w:rPr>
          <w:sz w:val="20"/>
        </w:rPr>
        <w:t xml:space="preserve"> mediante el pago en dólares de</w:t>
      </w:r>
      <w:r>
        <w:rPr>
          <w:spacing w:val="-43"/>
          <w:sz w:val="20"/>
        </w:rPr>
        <w:t xml:space="preserve"> </w:t>
      </w:r>
      <w:r>
        <w:rPr>
          <w:sz w:val="20"/>
        </w:rPr>
        <w:t>los Estados Unidos de América, o su equivalente en moneda brasileña, utilizando para el cálculo respectivo el tipo de cambio que se encuentre vigente en la bolsa de Nueva York, Estados Unidos de América, el día anterior al</w:t>
      </w:r>
      <w:r>
        <w:rPr>
          <w:spacing w:val="-6"/>
          <w:sz w:val="20"/>
        </w:rPr>
        <w:t xml:space="preserve"> </w:t>
      </w:r>
      <w:r>
        <w:rPr>
          <w:sz w:val="20"/>
        </w:rPr>
        <w:t>p</w:t>
      </w:r>
      <w:r>
        <w:rPr>
          <w:sz w:val="20"/>
        </w:rPr>
        <w:t>ago.</w:t>
      </w:r>
    </w:p>
    <w:p w14:paraId="641E361F" w14:textId="77777777" w:rsidR="00467FCA" w:rsidRDefault="00467FCA">
      <w:pPr>
        <w:pStyle w:val="Textoindependiente"/>
        <w:spacing w:before="11"/>
        <w:rPr>
          <w:sz w:val="19"/>
        </w:rPr>
      </w:pPr>
    </w:p>
    <w:p w14:paraId="760F37D9" w14:textId="77777777" w:rsidR="00467FCA" w:rsidRDefault="001B68EB">
      <w:pPr>
        <w:pStyle w:val="Prrafodelista"/>
        <w:numPr>
          <w:ilvl w:val="0"/>
          <w:numId w:val="38"/>
        </w:numPr>
        <w:tabs>
          <w:tab w:val="left" w:pos="687"/>
        </w:tabs>
        <w:ind w:right="118" w:firstLine="0"/>
        <w:jc w:val="both"/>
        <w:rPr>
          <w:sz w:val="20"/>
        </w:rPr>
      </w:pPr>
      <w:r>
        <w:rPr>
          <w:sz w:val="20"/>
        </w:rPr>
        <w:t>Si por causas atribuibles a alguno de los beneficiarios de las indemnizaciones o a sus derechohabientes no fuese posible el pago de todo o parte de las cantidades determinadas dentro del plazo indicado, el Estado consignará dichos montos a su favor e</w:t>
      </w:r>
      <w:r>
        <w:rPr>
          <w:sz w:val="20"/>
        </w:rPr>
        <w:t>n una cuenta o certificado de depósito en una institución financiera brasileña solvente, en dólares de los Estados Unidos de América, y en las condiciones financieras más favorables que permitan la legislación y la práctica bancaria del Estado. Si no se re</w:t>
      </w:r>
      <w:r>
        <w:rPr>
          <w:sz w:val="20"/>
        </w:rPr>
        <w:t>clama la indemnización correspondiente luego de transcurridos diez años, las cantidades serán devueltas al Estado con los intereses</w:t>
      </w:r>
      <w:r>
        <w:rPr>
          <w:spacing w:val="-5"/>
          <w:sz w:val="20"/>
        </w:rPr>
        <w:t xml:space="preserve"> </w:t>
      </w:r>
      <w:r>
        <w:rPr>
          <w:sz w:val="20"/>
        </w:rPr>
        <w:t>devengados.</w:t>
      </w:r>
    </w:p>
    <w:p w14:paraId="40DE71F3" w14:textId="77777777" w:rsidR="00467FCA" w:rsidRDefault="00467FCA">
      <w:pPr>
        <w:pStyle w:val="Textoindependiente"/>
        <w:spacing w:before="1"/>
      </w:pPr>
    </w:p>
    <w:p w14:paraId="30C64355" w14:textId="77777777" w:rsidR="00467FCA" w:rsidRDefault="001B68EB">
      <w:pPr>
        <w:pStyle w:val="Prrafodelista"/>
        <w:numPr>
          <w:ilvl w:val="0"/>
          <w:numId w:val="38"/>
        </w:numPr>
        <w:tabs>
          <w:tab w:val="left" w:pos="687"/>
        </w:tabs>
        <w:spacing w:before="1"/>
        <w:ind w:right="117" w:firstLine="0"/>
        <w:jc w:val="both"/>
        <w:rPr>
          <w:sz w:val="20"/>
        </w:rPr>
      </w:pPr>
      <w:r>
        <w:rPr>
          <w:sz w:val="20"/>
        </w:rPr>
        <w:t>Las cantidades asignadas en la presente Sentencia como indemnización por daño inmaterial y como reintegro de co</w:t>
      </w:r>
      <w:r>
        <w:rPr>
          <w:sz w:val="20"/>
        </w:rPr>
        <w:t>stas y gastos deberán ser entregadas a las personas y organizaciones indicadas en forma íntegra, conforme a lo establecido en este Fallo, sin reducciones derivadas de eventuales cargas</w:t>
      </w:r>
      <w:r>
        <w:rPr>
          <w:spacing w:val="-7"/>
          <w:sz w:val="20"/>
        </w:rPr>
        <w:t xml:space="preserve"> </w:t>
      </w:r>
      <w:r>
        <w:rPr>
          <w:sz w:val="20"/>
        </w:rPr>
        <w:t>fiscales.</w:t>
      </w:r>
    </w:p>
    <w:p w14:paraId="4111D55E" w14:textId="77777777" w:rsidR="00467FCA" w:rsidRDefault="00467FCA">
      <w:pPr>
        <w:pStyle w:val="Textoindependiente"/>
        <w:spacing w:before="11"/>
        <w:rPr>
          <w:sz w:val="19"/>
        </w:rPr>
      </w:pPr>
    </w:p>
    <w:p w14:paraId="6433478B" w14:textId="77777777" w:rsidR="00467FCA" w:rsidRDefault="001B68EB">
      <w:pPr>
        <w:pStyle w:val="Prrafodelista"/>
        <w:numPr>
          <w:ilvl w:val="0"/>
          <w:numId w:val="38"/>
        </w:numPr>
        <w:tabs>
          <w:tab w:val="left" w:pos="687"/>
        </w:tabs>
        <w:ind w:right="117" w:firstLine="0"/>
        <w:jc w:val="both"/>
        <w:rPr>
          <w:sz w:val="20"/>
        </w:rPr>
      </w:pPr>
      <w:r>
        <w:rPr>
          <w:sz w:val="20"/>
        </w:rPr>
        <w:t>En</w:t>
      </w:r>
      <w:r>
        <w:rPr>
          <w:spacing w:val="-4"/>
          <w:sz w:val="20"/>
        </w:rPr>
        <w:t xml:space="preserve"> </w:t>
      </w:r>
      <w:r>
        <w:rPr>
          <w:sz w:val="20"/>
        </w:rPr>
        <w:t>caso</w:t>
      </w:r>
      <w:r>
        <w:rPr>
          <w:spacing w:val="-6"/>
          <w:sz w:val="20"/>
        </w:rPr>
        <w:t xml:space="preserve"> </w:t>
      </w:r>
      <w:r>
        <w:rPr>
          <w:sz w:val="20"/>
        </w:rPr>
        <w:t>de</w:t>
      </w:r>
      <w:r>
        <w:rPr>
          <w:spacing w:val="-6"/>
          <w:sz w:val="20"/>
        </w:rPr>
        <w:t xml:space="preserve"> </w:t>
      </w:r>
      <w:r>
        <w:rPr>
          <w:sz w:val="20"/>
        </w:rPr>
        <w:t>que</w:t>
      </w:r>
      <w:r>
        <w:rPr>
          <w:spacing w:val="-3"/>
          <w:sz w:val="20"/>
        </w:rPr>
        <w:t xml:space="preserve"> </w:t>
      </w:r>
      <w:r>
        <w:rPr>
          <w:sz w:val="20"/>
        </w:rPr>
        <w:t>el</w:t>
      </w:r>
      <w:r>
        <w:rPr>
          <w:spacing w:val="-2"/>
          <w:sz w:val="20"/>
        </w:rPr>
        <w:t xml:space="preserve"> </w:t>
      </w:r>
      <w:r>
        <w:rPr>
          <w:sz w:val="20"/>
        </w:rPr>
        <w:t>Estado</w:t>
      </w:r>
      <w:r>
        <w:rPr>
          <w:spacing w:val="-6"/>
          <w:sz w:val="20"/>
        </w:rPr>
        <w:t xml:space="preserve"> </w:t>
      </w:r>
      <w:r>
        <w:rPr>
          <w:sz w:val="20"/>
        </w:rPr>
        <w:t>incurriera</w:t>
      </w:r>
      <w:r>
        <w:rPr>
          <w:spacing w:val="1"/>
          <w:sz w:val="20"/>
        </w:rPr>
        <w:t xml:space="preserve"> </w:t>
      </w:r>
      <w:r>
        <w:rPr>
          <w:sz w:val="20"/>
        </w:rPr>
        <w:t>en</w:t>
      </w:r>
      <w:r>
        <w:rPr>
          <w:spacing w:val="-3"/>
          <w:sz w:val="20"/>
        </w:rPr>
        <w:t xml:space="preserve"> </w:t>
      </w:r>
      <w:r>
        <w:rPr>
          <w:sz w:val="20"/>
        </w:rPr>
        <w:t>mora,</w:t>
      </w:r>
      <w:r>
        <w:rPr>
          <w:spacing w:val="-5"/>
          <w:sz w:val="20"/>
        </w:rPr>
        <w:t xml:space="preserve"> </w:t>
      </w:r>
      <w:r>
        <w:rPr>
          <w:sz w:val="20"/>
        </w:rPr>
        <w:t>deberá</w:t>
      </w:r>
      <w:r>
        <w:rPr>
          <w:spacing w:val="-2"/>
          <w:sz w:val="20"/>
        </w:rPr>
        <w:t xml:space="preserve"> </w:t>
      </w:r>
      <w:r>
        <w:rPr>
          <w:sz w:val="20"/>
        </w:rPr>
        <w:t>pagar</w:t>
      </w:r>
      <w:r>
        <w:rPr>
          <w:spacing w:val="-3"/>
          <w:sz w:val="20"/>
        </w:rPr>
        <w:t xml:space="preserve"> </w:t>
      </w:r>
      <w:r>
        <w:rPr>
          <w:sz w:val="20"/>
        </w:rPr>
        <w:t>un</w:t>
      </w:r>
      <w:r>
        <w:rPr>
          <w:spacing w:val="-3"/>
          <w:sz w:val="20"/>
        </w:rPr>
        <w:t xml:space="preserve"> </w:t>
      </w:r>
      <w:r>
        <w:rPr>
          <w:sz w:val="20"/>
        </w:rPr>
        <w:t>interés</w:t>
      </w:r>
      <w:r>
        <w:rPr>
          <w:spacing w:val="-3"/>
          <w:sz w:val="20"/>
        </w:rPr>
        <w:t xml:space="preserve"> </w:t>
      </w:r>
      <w:r>
        <w:rPr>
          <w:sz w:val="20"/>
        </w:rPr>
        <w:t>sobre</w:t>
      </w:r>
      <w:r>
        <w:rPr>
          <w:spacing w:val="-6"/>
          <w:sz w:val="20"/>
        </w:rPr>
        <w:t xml:space="preserve"> </w:t>
      </w:r>
      <w:r>
        <w:rPr>
          <w:sz w:val="20"/>
        </w:rPr>
        <w:t>la</w:t>
      </w:r>
      <w:r>
        <w:rPr>
          <w:spacing w:val="-2"/>
          <w:sz w:val="20"/>
        </w:rPr>
        <w:t xml:space="preserve"> </w:t>
      </w:r>
      <w:r>
        <w:rPr>
          <w:sz w:val="20"/>
        </w:rPr>
        <w:t>cantidad adeudada,</w:t>
      </w:r>
      <w:r>
        <w:rPr>
          <w:spacing w:val="-14"/>
          <w:sz w:val="20"/>
        </w:rPr>
        <w:t xml:space="preserve"> </w:t>
      </w:r>
      <w:r>
        <w:rPr>
          <w:sz w:val="20"/>
        </w:rPr>
        <w:t>correspondiente</w:t>
      </w:r>
      <w:r>
        <w:rPr>
          <w:spacing w:val="-14"/>
          <w:sz w:val="20"/>
        </w:rPr>
        <w:t xml:space="preserve"> </w:t>
      </w:r>
      <w:r>
        <w:rPr>
          <w:sz w:val="20"/>
        </w:rPr>
        <w:t>al</w:t>
      </w:r>
      <w:r>
        <w:rPr>
          <w:spacing w:val="-13"/>
          <w:sz w:val="20"/>
        </w:rPr>
        <w:t xml:space="preserve"> </w:t>
      </w:r>
      <w:r>
        <w:rPr>
          <w:sz w:val="20"/>
        </w:rPr>
        <w:t>interés</w:t>
      </w:r>
      <w:r>
        <w:rPr>
          <w:spacing w:val="-13"/>
          <w:sz w:val="20"/>
        </w:rPr>
        <w:t xml:space="preserve"> </w:t>
      </w:r>
      <w:r>
        <w:rPr>
          <w:sz w:val="20"/>
        </w:rPr>
        <w:t>bancario</w:t>
      </w:r>
      <w:r>
        <w:rPr>
          <w:spacing w:val="-10"/>
          <w:sz w:val="20"/>
        </w:rPr>
        <w:t xml:space="preserve"> </w:t>
      </w:r>
      <w:r>
        <w:rPr>
          <w:sz w:val="20"/>
        </w:rPr>
        <w:t>moratorio</w:t>
      </w:r>
      <w:r>
        <w:rPr>
          <w:spacing w:val="-11"/>
          <w:sz w:val="20"/>
        </w:rPr>
        <w:t xml:space="preserve"> </w:t>
      </w:r>
      <w:r>
        <w:rPr>
          <w:sz w:val="20"/>
        </w:rPr>
        <w:t>en</w:t>
      </w:r>
      <w:r>
        <w:rPr>
          <w:spacing w:val="-13"/>
          <w:sz w:val="20"/>
        </w:rPr>
        <w:t xml:space="preserve"> </w:t>
      </w:r>
      <w:r>
        <w:rPr>
          <w:sz w:val="20"/>
        </w:rPr>
        <w:t>la</w:t>
      </w:r>
      <w:r>
        <w:rPr>
          <w:spacing w:val="-12"/>
          <w:sz w:val="20"/>
        </w:rPr>
        <w:t xml:space="preserve"> </w:t>
      </w:r>
      <w:r>
        <w:rPr>
          <w:sz w:val="20"/>
        </w:rPr>
        <w:t>República</w:t>
      </w:r>
      <w:r>
        <w:rPr>
          <w:spacing w:val="-13"/>
          <w:sz w:val="20"/>
        </w:rPr>
        <w:t xml:space="preserve"> </w:t>
      </w:r>
      <w:r>
        <w:rPr>
          <w:sz w:val="20"/>
        </w:rPr>
        <w:t>Federativa</w:t>
      </w:r>
      <w:r>
        <w:rPr>
          <w:spacing w:val="-10"/>
          <w:sz w:val="20"/>
        </w:rPr>
        <w:t xml:space="preserve"> </w:t>
      </w:r>
      <w:r>
        <w:rPr>
          <w:sz w:val="20"/>
        </w:rPr>
        <w:t>de</w:t>
      </w:r>
      <w:r>
        <w:rPr>
          <w:spacing w:val="-12"/>
          <w:sz w:val="20"/>
        </w:rPr>
        <w:t xml:space="preserve"> </w:t>
      </w:r>
      <w:r>
        <w:rPr>
          <w:sz w:val="20"/>
        </w:rPr>
        <w:t>Brasil.</w:t>
      </w:r>
    </w:p>
    <w:p w14:paraId="1E4C9BE1" w14:textId="77777777" w:rsidR="00467FCA" w:rsidRDefault="00467FCA">
      <w:pPr>
        <w:pStyle w:val="Textoindependiente"/>
      </w:pPr>
    </w:p>
    <w:p w14:paraId="7C04CE4B" w14:textId="77777777" w:rsidR="00467FCA" w:rsidRDefault="001B68EB">
      <w:pPr>
        <w:pStyle w:val="Ttulo1"/>
        <w:ind w:left="0" w:right="1"/>
        <w:jc w:val="center"/>
      </w:pPr>
      <w:bookmarkStart w:id="522" w:name="X_PUNTOS_RESOLUTIVOS"/>
      <w:bookmarkStart w:id="523" w:name="_bookmark450"/>
      <w:bookmarkEnd w:id="522"/>
      <w:bookmarkEnd w:id="523"/>
      <w:r>
        <w:rPr>
          <w:w w:val="99"/>
        </w:rPr>
        <w:t>X</w:t>
      </w:r>
    </w:p>
    <w:p w14:paraId="5F6AFEFE" w14:textId="77777777" w:rsidR="00467FCA" w:rsidRDefault="001B68EB">
      <w:pPr>
        <w:spacing w:before="38"/>
        <w:ind w:left="153" w:right="153"/>
        <w:jc w:val="center"/>
        <w:rPr>
          <w:b/>
          <w:sz w:val="20"/>
        </w:rPr>
      </w:pPr>
      <w:r>
        <w:rPr>
          <w:b/>
          <w:sz w:val="20"/>
        </w:rPr>
        <w:t>PUNTOS RESOLUTIVOS</w:t>
      </w:r>
    </w:p>
    <w:p w14:paraId="26C537E8" w14:textId="77777777" w:rsidR="00467FCA" w:rsidRDefault="00467FCA">
      <w:pPr>
        <w:pStyle w:val="Textoindependiente"/>
        <w:spacing w:before="10"/>
        <w:rPr>
          <w:b/>
          <w:sz w:val="22"/>
        </w:rPr>
      </w:pPr>
    </w:p>
    <w:p w14:paraId="76FE8CC1" w14:textId="77777777" w:rsidR="00467FCA" w:rsidRDefault="001B68EB">
      <w:pPr>
        <w:pStyle w:val="Prrafodelista"/>
        <w:numPr>
          <w:ilvl w:val="0"/>
          <w:numId w:val="38"/>
        </w:numPr>
        <w:tabs>
          <w:tab w:val="left" w:pos="687"/>
        </w:tabs>
        <w:spacing w:before="1" w:line="480" w:lineRule="auto"/>
        <w:ind w:right="7917" w:firstLine="0"/>
        <w:rPr>
          <w:b/>
          <w:sz w:val="20"/>
        </w:rPr>
      </w:pPr>
      <w:r>
        <w:rPr>
          <w:sz w:val="20"/>
        </w:rPr>
        <w:t>Por</w:t>
      </w:r>
      <w:r>
        <w:rPr>
          <w:spacing w:val="-13"/>
          <w:sz w:val="20"/>
        </w:rPr>
        <w:t xml:space="preserve"> </w:t>
      </w:r>
      <w:r>
        <w:rPr>
          <w:sz w:val="20"/>
        </w:rPr>
        <w:t xml:space="preserve">tanto, </w:t>
      </w:r>
      <w:r>
        <w:rPr>
          <w:b/>
          <w:sz w:val="20"/>
        </w:rPr>
        <w:t>LA CORTE DECIDE,</w:t>
      </w:r>
    </w:p>
    <w:p w14:paraId="1E6AC146" w14:textId="77777777" w:rsidR="00467FCA" w:rsidRDefault="001B68EB">
      <w:pPr>
        <w:pStyle w:val="Textoindependiente"/>
        <w:spacing w:before="1"/>
        <w:ind w:left="119"/>
      </w:pPr>
      <w:r>
        <w:t>Por unanimidad:</w:t>
      </w:r>
    </w:p>
    <w:p w14:paraId="00856955" w14:textId="77777777" w:rsidR="00467FCA" w:rsidRDefault="00467FCA">
      <w:pPr>
        <w:pStyle w:val="Textoindependiente"/>
        <w:spacing w:before="1"/>
      </w:pPr>
    </w:p>
    <w:p w14:paraId="19269F9F" w14:textId="77777777" w:rsidR="00467FCA" w:rsidRDefault="001B68EB">
      <w:pPr>
        <w:pStyle w:val="Prrafodelista"/>
        <w:numPr>
          <w:ilvl w:val="0"/>
          <w:numId w:val="34"/>
        </w:numPr>
        <w:tabs>
          <w:tab w:val="left" w:pos="687"/>
        </w:tabs>
        <w:ind w:right="118" w:firstLine="0"/>
        <w:jc w:val="both"/>
        <w:rPr>
          <w:sz w:val="20"/>
        </w:rPr>
      </w:pPr>
      <w:r>
        <w:rPr>
          <w:sz w:val="20"/>
        </w:rPr>
        <w:t>Desestimar la excepción preliminar relativa a la alegada inadmisibilidad del sometimiento</w:t>
      </w:r>
      <w:r>
        <w:rPr>
          <w:spacing w:val="7"/>
          <w:sz w:val="20"/>
        </w:rPr>
        <w:t xml:space="preserve"> </w:t>
      </w:r>
      <w:r>
        <w:rPr>
          <w:sz w:val="20"/>
        </w:rPr>
        <w:t>del</w:t>
      </w:r>
      <w:r>
        <w:rPr>
          <w:spacing w:val="9"/>
          <w:sz w:val="20"/>
        </w:rPr>
        <w:t xml:space="preserve"> </w:t>
      </w:r>
      <w:r>
        <w:rPr>
          <w:sz w:val="20"/>
        </w:rPr>
        <w:t>caso</w:t>
      </w:r>
      <w:r>
        <w:rPr>
          <w:spacing w:val="10"/>
          <w:sz w:val="20"/>
        </w:rPr>
        <w:t xml:space="preserve"> </w:t>
      </w:r>
      <w:r>
        <w:rPr>
          <w:sz w:val="20"/>
        </w:rPr>
        <w:t>en</w:t>
      </w:r>
      <w:r>
        <w:rPr>
          <w:spacing w:val="9"/>
          <w:sz w:val="20"/>
        </w:rPr>
        <w:t xml:space="preserve"> </w:t>
      </w:r>
      <w:r>
        <w:rPr>
          <w:sz w:val="20"/>
        </w:rPr>
        <w:t>virtud</w:t>
      </w:r>
      <w:r>
        <w:rPr>
          <w:spacing w:val="10"/>
          <w:sz w:val="20"/>
        </w:rPr>
        <w:t xml:space="preserve"> </w:t>
      </w:r>
      <w:r>
        <w:rPr>
          <w:sz w:val="20"/>
        </w:rPr>
        <w:t>de</w:t>
      </w:r>
      <w:r>
        <w:rPr>
          <w:spacing w:val="7"/>
          <w:sz w:val="20"/>
        </w:rPr>
        <w:t xml:space="preserve"> </w:t>
      </w:r>
      <w:r>
        <w:rPr>
          <w:sz w:val="20"/>
        </w:rPr>
        <w:t>la</w:t>
      </w:r>
      <w:r>
        <w:rPr>
          <w:spacing w:val="9"/>
          <w:sz w:val="20"/>
        </w:rPr>
        <w:t xml:space="preserve"> </w:t>
      </w:r>
      <w:r>
        <w:rPr>
          <w:sz w:val="20"/>
        </w:rPr>
        <w:t>publicación</w:t>
      </w:r>
      <w:r>
        <w:rPr>
          <w:spacing w:val="10"/>
          <w:sz w:val="20"/>
        </w:rPr>
        <w:t xml:space="preserve"> </w:t>
      </w:r>
      <w:r>
        <w:rPr>
          <w:sz w:val="20"/>
        </w:rPr>
        <w:t>del</w:t>
      </w:r>
      <w:r>
        <w:rPr>
          <w:spacing w:val="8"/>
          <w:sz w:val="20"/>
        </w:rPr>
        <w:t xml:space="preserve"> </w:t>
      </w:r>
      <w:r>
        <w:rPr>
          <w:sz w:val="20"/>
        </w:rPr>
        <w:t>Informe</w:t>
      </w:r>
      <w:r>
        <w:rPr>
          <w:spacing w:val="8"/>
          <w:sz w:val="20"/>
        </w:rPr>
        <w:t xml:space="preserve"> </w:t>
      </w:r>
      <w:r>
        <w:rPr>
          <w:sz w:val="20"/>
        </w:rPr>
        <w:t>de</w:t>
      </w:r>
      <w:r>
        <w:rPr>
          <w:spacing w:val="8"/>
          <w:sz w:val="20"/>
        </w:rPr>
        <w:t xml:space="preserve"> </w:t>
      </w:r>
      <w:r>
        <w:rPr>
          <w:sz w:val="20"/>
        </w:rPr>
        <w:t>Admisibilidad</w:t>
      </w:r>
      <w:r>
        <w:rPr>
          <w:spacing w:val="9"/>
          <w:sz w:val="20"/>
        </w:rPr>
        <w:t xml:space="preserve"> </w:t>
      </w:r>
      <w:r>
        <w:rPr>
          <w:sz w:val="20"/>
        </w:rPr>
        <w:t>y</w:t>
      </w:r>
      <w:r>
        <w:rPr>
          <w:spacing w:val="9"/>
          <w:sz w:val="20"/>
        </w:rPr>
        <w:t xml:space="preserve"> </w:t>
      </w:r>
      <w:r>
        <w:rPr>
          <w:sz w:val="20"/>
        </w:rPr>
        <w:t>Fondo</w:t>
      </w:r>
      <w:r>
        <w:rPr>
          <w:spacing w:val="8"/>
          <w:sz w:val="20"/>
        </w:rPr>
        <w:t xml:space="preserve"> </w:t>
      </w:r>
      <w:r>
        <w:rPr>
          <w:sz w:val="20"/>
        </w:rPr>
        <w:t>por</w:t>
      </w:r>
    </w:p>
    <w:p w14:paraId="79C66403" w14:textId="77777777" w:rsidR="00467FCA" w:rsidRDefault="00467FCA">
      <w:pPr>
        <w:jc w:val="both"/>
        <w:rPr>
          <w:sz w:val="20"/>
        </w:rPr>
        <w:sectPr w:rsidR="00467FCA">
          <w:pgSz w:w="12240" w:h="15840"/>
          <w:pgMar w:top="1360" w:right="1320" w:bottom="1220" w:left="1320" w:header="0" w:footer="957" w:gutter="0"/>
          <w:cols w:space="720"/>
        </w:sectPr>
      </w:pPr>
    </w:p>
    <w:p w14:paraId="4AF7B6D8" w14:textId="77777777" w:rsidR="00467FCA" w:rsidRDefault="001B68EB">
      <w:pPr>
        <w:pStyle w:val="Textoindependiente"/>
        <w:spacing w:before="80" w:line="432" w:lineRule="auto"/>
        <w:ind w:left="120" w:right="1975"/>
        <w:jc w:val="both"/>
      </w:pPr>
      <w:r>
        <w:t>parte de la Comisión, de conformidad con el párrafo 20 de esta</w:t>
      </w:r>
      <w:r>
        <w:rPr>
          <w:spacing w:val="-27"/>
        </w:rPr>
        <w:t xml:space="preserve"> </w:t>
      </w:r>
      <w:r>
        <w:t>Sentencia. Por cinco votos a favor y dos en</w:t>
      </w:r>
      <w:r>
        <w:rPr>
          <w:spacing w:val="-3"/>
        </w:rPr>
        <w:t xml:space="preserve"> </w:t>
      </w:r>
      <w:r>
        <w:t>contra:</w:t>
      </w:r>
    </w:p>
    <w:p w14:paraId="1C2E6658" w14:textId="77777777" w:rsidR="00467FCA" w:rsidRDefault="001B68EB">
      <w:pPr>
        <w:pStyle w:val="Prrafodelista"/>
        <w:numPr>
          <w:ilvl w:val="0"/>
          <w:numId w:val="34"/>
        </w:numPr>
        <w:tabs>
          <w:tab w:val="left" w:pos="687"/>
        </w:tabs>
        <w:spacing w:before="49"/>
        <w:ind w:right="118" w:firstLine="0"/>
        <w:jc w:val="both"/>
        <w:rPr>
          <w:sz w:val="20"/>
        </w:rPr>
      </w:pPr>
      <w:r>
        <w:rPr>
          <w:sz w:val="20"/>
        </w:rPr>
        <w:t>Desestimar</w:t>
      </w:r>
      <w:r>
        <w:rPr>
          <w:spacing w:val="-18"/>
          <w:sz w:val="20"/>
        </w:rPr>
        <w:t xml:space="preserve"> </w:t>
      </w:r>
      <w:r>
        <w:rPr>
          <w:sz w:val="20"/>
        </w:rPr>
        <w:t>la</w:t>
      </w:r>
      <w:r>
        <w:rPr>
          <w:spacing w:val="-12"/>
          <w:sz w:val="20"/>
        </w:rPr>
        <w:t xml:space="preserve"> </w:t>
      </w:r>
      <w:r>
        <w:rPr>
          <w:sz w:val="20"/>
        </w:rPr>
        <w:t>excepción</w:t>
      </w:r>
      <w:r>
        <w:rPr>
          <w:spacing w:val="-14"/>
          <w:sz w:val="20"/>
        </w:rPr>
        <w:t xml:space="preserve"> </w:t>
      </w:r>
      <w:r>
        <w:rPr>
          <w:sz w:val="20"/>
        </w:rPr>
        <w:t>preliminar</w:t>
      </w:r>
      <w:r>
        <w:rPr>
          <w:spacing w:val="-16"/>
          <w:sz w:val="20"/>
        </w:rPr>
        <w:t xml:space="preserve"> </w:t>
      </w:r>
      <w:r>
        <w:rPr>
          <w:sz w:val="20"/>
        </w:rPr>
        <w:t>relativa</w:t>
      </w:r>
      <w:r>
        <w:rPr>
          <w:spacing w:val="-14"/>
          <w:sz w:val="20"/>
        </w:rPr>
        <w:t xml:space="preserve"> </w:t>
      </w:r>
      <w:r>
        <w:rPr>
          <w:sz w:val="20"/>
        </w:rPr>
        <w:t>a</w:t>
      </w:r>
      <w:r>
        <w:rPr>
          <w:spacing w:val="-17"/>
          <w:sz w:val="20"/>
        </w:rPr>
        <w:t xml:space="preserve"> </w:t>
      </w:r>
      <w:r>
        <w:rPr>
          <w:sz w:val="20"/>
        </w:rPr>
        <w:t>la</w:t>
      </w:r>
      <w:r>
        <w:rPr>
          <w:spacing w:val="-12"/>
          <w:sz w:val="20"/>
        </w:rPr>
        <w:t xml:space="preserve"> </w:t>
      </w:r>
      <w:r>
        <w:rPr>
          <w:sz w:val="20"/>
        </w:rPr>
        <w:t>alegada</w:t>
      </w:r>
      <w:r>
        <w:rPr>
          <w:spacing w:val="-17"/>
          <w:sz w:val="20"/>
        </w:rPr>
        <w:t xml:space="preserve"> </w:t>
      </w:r>
      <w:r>
        <w:rPr>
          <w:sz w:val="20"/>
        </w:rPr>
        <w:t>incompetencia</w:t>
      </w:r>
      <w:r>
        <w:rPr>
          <w:spacing w:val="-12"/>
          <w:sz w:val="20"/>
        </w:rPr>
        <w:t xml:space="preserve"> </w:t>
      </w:r>
      <w:r>
        <w:rPr>
          <w:i/>
          <w:sz w:val="20"/>
        </w:rPr>
        <w:t>ratione</w:t>
      </w:r>
      <w:r>
        <w:rPr>
          <w:i/>
          <w:spacing w:val="-15"/>
          <w:sz w:val="20"/>
        </w:rPr>
        <w:t xml:space="preserve"> </w:t>
      </w:r>
      <w:r>
        <w:rPr>
          <w:i/>
          <w:sz w:val="20"/>
        </w:rPr>
        <w:t xml:space="preserve">materiae </w:t>
      </w:r>
      <w:r>
        <w:rPr>
          <w:sz w:val="20"/>
        </w:rPr>
        <w:t>respecto</w:t>
      </w:r>
      <w:r>
        <w:rPr>
          <w:spacing w:val="-7"/>
          <w:sz w:val="20"/>
        </w:rPr>
        <w:t xml:space="preserve"> </w:t>
      </w:r>
      <w:r>
        <w:rPr>
          <w:sz w:val="20"/>
        </w:rPr>
        <w:t>de</w:t>
      </w:r>
      <w:r>
        <w:rPr>
          <w:spacing w:val="-7"/>
          <w:sz w:val="20"/>
        </w:rPr>
        <w:t xml:space="preserve"> </w:t>
      </w:r>
      <w:r>
        <w:rPr>
          <w:sz w:val="20"/>
        </w:rPr>
        <w:t>las</w:t>
      </w:r>
      <w:r>
        <w:rPr>
          <w:spacing w:val="-6"/>
          <w:sz w:val="20"/>
        </w:rPr>
        <w:t xml:space="preserve"> </w:t>
      </w:r>
      <w:r>
        <w:rPr>
          <w:sz w:val="20"/>
        </w:rPr>
        <w:t>supuestas</w:t>
      </w:r>
      <w:r>
        <w:rPr>
          <w:spacing w:val="-9"/>
          <w:sz w:val="20"/>
        </w:rPr>
        <w:t xml:space="preserve"> </w:t>
      </w:r>
      <w:r>
        <w:rPr>
          <w:sz w:val="20"/>
        </w:rPr>
        <w:t>violaciones</w:t>
      </w:r>
      <w:r>
        <w:rPr>
          <w:spacing w:val="-9"/>
          <w:sz w:val="20"/>
        </w:rPr>
        <w:t xml:space="preserve"> </w:t>
      </w:r>
      <w:r>
        <w:rPr>
          <w:sz w:val="20"/>
        </w:rPr>
        <w:t>al</w:t>
      </w:r>
      <w:r>
        <w:rPr>
          <w:spacing w:val="-5"/>
          <w:sz w:val="20"/>
        </w:rPr>
        <w:t xml:space="preserve"> </w:t>
      </w:r>
      <w:r>
        <w:rPr>
          <w:sz w:val="20"/>
        </w:rPr>
        <w:t>derecho</w:t>
      </w:r>
      <w:r>
        <w:rPr>
          <w:spacing w:val="-9"/>
          <w:sz w:val="20"/>
        </w:rPr>
        <w:t xml:space="preserve"> </w:t>
      </w:r>
      <w:r>
        <w:rPr>
          <w:sz w:val="20"/>
        </w:rPr>
        <w:t>al</w:t>
      </w:r>
      <w:r>
        <w:rPr>
          <w:spacing w:val="-5"/>
          <w:sz w:val="20"/>
        </w:rPr>
        <w:t xml:space="preserve"> </w:t>
      </w:r>
      <w:r>
        <w:rPr>
          <w:sz w:val="20"/>
        </w:rPr>
        <w:t>trabajo,</w:t>
      </w:r>
      <w:r>
        <w:rPr>
          <w:spacing w:val="-5"/>
          <w:sz w:val="20"/>
        </w:rPr>
        <w:t xml:space="preserve"> </w:t>
      </w:r>
      <w:r>
        <w:rPr>
          <w:sz w:val="20"/>
        </w:rPr>
        <w:t>de</w:t>
      </w:r>
      <w:r>
        <w:rPr>
          <w:spacing w:val="-7"/>
          <w:sz w:val="20"/>
        </w:rPr>
        <w:t xml:space="preserve"> </w:t>
      </w:r>
      <w:r>
        <w:rPr>
          <w:sz w:val="20"/>
        </w:rPr>
        <w:t>conformidad</w:t>
      </w:r>
      <w:r>
        <w:rPr>
          <w:spacing w:val="-7"/>
          <w:sz w:val="20"/>
        </w:rPr>
        <w:t xml:space="preserve"> </w:t>
      </w:r>
      <w:r>
        <w:rPr>
          <w:sz w:val="20"/>
        </w:rPr>
        <w:t>con</w:t>
      </w:r>
      <w:r>
        <w:rPr>
          <w:spacing w:val="-2"/>
          <w:sz w:val="20"/>
        </w:rPr>
        <w:t xml:space="preserve"> </w:t>
      </w:r>
      <w:r>
        <w:rPr>
          <w:sz w:val="20"/>
        </w:rPr>
        <w:t>el</w:t>
      </w:r>
      <w:r>
        <w:rPr>
          <w:spacing w:val="-7"/>
          <w:sz w:val="20"/>
        </w:rPr>
        <w:t xml:space="preserve"> </w:t>
      </w:r>
      <w:r>
        <w:rPr>
          <w:sz w:val="20"/>
        </w:rPr>
        <w:t>párrafo</w:t>
      </w:r>
      <w:r>
        <w:rPr>
          <w:spacing w:val="-7"/>
          <w:sz w:val="20"/>
        </w:rPr>
        <w:t xml:space="preserve"> </w:t>
      </w:r>
      <w:r>
        <w:rPr>
          <w:sz w:val="20"/>
        </w:rPr>
        <w:t>23 de esta</w:t>
      </w:r>
      <w:r>
        <w:rPr>
          <w:spacing w:val="-2"/>
          <w:sz w:val="20"/>
        </w:rPr>
        <w:t xml:space="preserve"> </w:t>
      </w:r>
      <w:r>
        <w:rPr>
          <w:sz w:val="20"/>
        </w:rPr>
        <w:t>Sentencia.</w:t>
      </w:r>
    </w:p>
    <w:p w14:paraId="3B190AB2" w14:textId="77777777" w:rsidR="00467FCA" w:rsidRDefault="00467FCA">
      <w:pPr>
        <w:pStyle w:val="Textoindependiente"/>
      </w:pPr>
    </w:p>
    <w:p w14:paraId="4ABC2881" w14:textId="77777777" w:rsidR="00467FCA" w:rsidRDefault="001B68EB">
      <w:pPr>
        <w:pStyle w:val="Textoindependiente"/>
        <w:spacing w:line="480" w:lineRule="auto"/>
        <w:ind w:left="119" w:right="2042"/>
      </w:pPr>
      <w:r>
        <w:t>Di</w:t>
      </w:r>
      <w:r>
        <w:t>sienten los jueces Eduardo Vio Grossi y Humberto Antonio Sierra Porto. Por unanimidad:</w:t>
      </w:r>
    </w:p>
    <w:p w14:paraId="2F6AAE89" w14:textId="77777777" w:rsidR="00467FCA" w:rsidRDefault="001B68EB">
      <w:pPr>
        <w:pStyle w:val="Prrafodelista"/>
        <w:numPr>
          <w:ilvl w:val="0"/>
          <w:numId w:val="34"/>
        </w:numPr>
        <w:tabs>
          <w:tab w:val="left" w:pos="685"/>
          <w:tab w:val="left" w:pos="686"/>
        </w:tabs>
        <w:ind w:right="121" w:firstLine="0"/>
        <w:rPr>
          <w:sz w:val="20"/>
        </w:rPr>
      </w:pPr>
      <w:r>
        <w:rPr>
          <w:sz w:val="20"/>
        </w:rPr>
        <w:t>Desestimar la excepción preliminar relativa a la alegada falta de agotamiento de recursos internos, de conformidad con los párrafos 29 a 33 de esta</w:t>
      </w:r>
      <w:r>
        <w:rPr>
          <w:spacing w:val="-7"/>
          <w:sz w:val="20"/>
        </w:rPr>
        <w:t xml:space="preserve"> </w:t>
      </w:r>
      <w:r>
        <w:rPr>
          <w:sz w:val="20"/>
        </w:rPr>
        <w:t>Sentencia.</w:t>
      </w:r>
    </w:p>
    <w:p w14:paraId="2AB69729" w14:textId="77777777" w:rsidR="00467FCA" w:rsidRDefault="00467FCA">
      <w:pPr>
        <w:pStyle w:val="Textoindependiente"/>
      </w:pPr>
    </w:p>
    <w:p w14:paraId="39D1CE1F" w14:textId="77777777" w:rsidR="00467FCA" w:rsidRDefault="001B68EB">
      <w:pPr>
        <w:pStyle w:val="Ttulo1"/>
        <w:ind w:left="119"/>
      </w:pPr>
      <w:r>
        <w:t>DECLARA,</w:t>
      </w:r>
    </w:p>
    <w:p w14:paraId="40DD4704" w14:textId="77777777" w:rsidR="00467FCA" w:rsidRDefault="00467FCA">
      <w:pPr>
        <w:pStyle w:val="Textoindependiente"/>
        <w:spacing w:before="11"/>
        <w:rPr>
          <w:b/>
          <w:sz w:val="19"/>
        </w:rPr>
      </w:pPr>
    </w:p>
    <w:p w14:paraId="03FA306F" w14:textId="77777777" w:rsidR="00467FCA" w:rsidRDefault="001B68EB">
      <w:pPr>
        <w:pStyle w:val="Textoindependiente"/>
        <w:ind w:left="119"/>
      </w:pPr>
      <w:r>
        <w:t>Por unanimidad, que:</w:t>
      </w:r>
    </w:p>
    <w:p w14:paraId="3020CCD8" w14:textId="77777777" w:rsidR="00467FCA" w:rsidRDefault="00467FCA">
      <w:pPr>
        <w:pStyle w:val="Textoindependiente"/>
        <w:spacing w:before="1"/>
      </w:pPr>
    </w:p>
    <w:p w14:paraId="755F4EFC" w14:textId="77777777" w:rsidR="00467FCA" w:rsidRDefault="001B68EB">
      <w:pPr>
        <w:pStyle w:val="Prrafodelista"/>
        <w:numPr>
          <w:ilvl w:val="0"/>
          <w:numId w:val="34"/>
        </w:numPr>
        <w:tabs>
          <w:tab w:val="left" w:pos="686"/>
        </w:tabs>
        <w:ind w:right="120" w:firstLine="0"/>
        <w:jc w:val="both"/>
        <w:rPr>
          <w:sz w:val="20"/>
        </w:rPr>
      </w:pPr>
      <w:r>
        <w:rPr>
          <w:sz w:val="20"/>
        </w:rPr>
        <w:t>El</w:t>
      </w:r>
      <w:r>
        <w:rPr>
          <w:spacing w:val="-12"/>
          <w:sz w:val="20"/>
        </w:rPr>
        <w:t xml:space="preserve"> </w:t>
      </w:r>
      <w:r>
        <w:rPr>
          <w:sz w:val="20"/>
        </w:rPr>
        <w:t>Estado</w:t>
      </w:r>
      <w:r>
        <w:rPr>
          <w:spacing w:val="-10"/>
          <w:sz w:val="20"/>
        </w:rPr>
        <w:t xml:space="preserve"> </w:t>
      </w:r>
      <w:r>
        <w:rPr>
          <w:sz w:val="20"/>
        </w:rPr>
        <w:t>es</w:t>
      </w:r>
      <w:r>
        <w:rPr>
          <w:spacing w:val="-11"/>
          <w:sz w:val="20"/>
        </w:rPr>
        <w:t xml:space="preserve"> </w:t>
      </w:r>
      <w:r>
        <w:rPr>
          <w:sz w:val="20"/>
        </w:rPr>
        <w:t>responsable</w:t>
      </w:r>
      <w:r>
        <w:rPr>
          <w:spacing w:val="-13"/>
          <w:sz w:val="20"/>
        </w:rPr>
        <w:t xml:space="preserve"> </w:t>
      </w:r>
      <w:r>
        <w:rPr>
          <w:sz w:val="20"/>
        </w:rPr>
        <w:t>por</w:t>
      </w:r>
      <w:r>
        <w:rPr>
          <w:spacing w:val="-11"/>
          <w:sz w:val="20"/>
        </w:rPr>
        <w:t xml:space="preserve"> </w:t>
      </w:r>
      <w:r>
        <w:rPr>
          <w:sz w:val="20"/>
        </w:rPr>
        <w:t>la</w:t>
      </w:r>
      <w:r>
        <w:rPr>
          <w:spacing w:val="-9"/>
          <w:sz w:val="20"/>
        </w:rPr>
        <w:t xml:space="preserve"> </w:t>
      </w:r>
      <w:r>
        <w:rPr>
          <w:sz w:val="20"/>
        </w:rPr>
        <w:t>violación</w:t>
      </w:r>
      <w:r>
        <w:rPr>
          <w:spacing w:val="-9"/>
          <w:sz w:val="20"/>
        </w:rPr>
        <w:t xml:space="preserve"> </w:t>
      </w:r>
      <w:r>
        <w:rPr>
          <w:sz w:val="20"/>
        </w:rPr>
        <w:t>de</w:t>
      </w:r>
      <w:r>
        <w:rPr>
          <w:spacing w:val="-11"/>
          <w:sz w:val="20"/>
        </w:rPr>
        <w:t xml:space="preserve"> </w:t>
      </w:r>
      <w:r>
        <w:rPr>
          <w:sz w:val="20"/>
        </w:rPr>
        <w:t>los</w:t>
      </w:r>
      <w:r>
        <w:rPr>
          <w:spacing w:val="-8"/>
          <w:sz w:val="20"/>
        </w:rPr>
        <w:t xml:space="preserve"> </w:t>
      </w:r>
      <w:r>
        <w:rPr>
          <w:sz w:val="20"/>
        </w:rPr>
        <w:t>derechos</w:t>
      </w:r>
      <w:r>
        <w:rPr>
          <w:spacing w:val="-10"/>
          <w:sz w:val="20"/>
        </w:rPr>
        <w:t xml:space="preserve"> </w:t>
      </w:r>
      <w:r>
        <w:rPr>
          <w:sz w:val="20"/>
        </w:rPr>
        <w:t>a</w:t>
      </w:r>
      <w:r>
        <w:rPr>
          <w:spacing w:val="-11"/>
          <w:sz w:val="20"/>
        </w:rPr>
        <w:t xml:space="preserve"> </w:t>
      </w:r>
      <w:r>
        <w:rPr>
          <w:sz w:val="20"/>
        </w:rPr>
        <w:t>la</w:t>
      </w:r>
      <w:r>
        <w:rPr>
          <w:spacing w:val="-10"/>
          <w:sz w:val="20"/>
        </w:rPr>
        <w:t xml:space="preserve"> </w:t>
      </w:r>
      <w:r>
        <w:rPr>
          <w:sz w:val="20"/>
        </w:rPr>
        <w:t>vida</w:t>
      </w:r>
      <w:r>
        <w:rPr>
          <w:spacing w:val="-9"/>
          <w:sz w:val="20"/>
        </w:rPr>
        <w:t xml:space="preserve"> </w:t>
      </w:r>
      <w:r>
        <w:rPr>
          <w:sz w:val="20"/>
        </w:rPr>
        <w:t>y</w:t>
      </w:r>
      <w:r>
        <w:rPr>
          <w:spacing w:val="-11"/>
          <w:sz w:val="20"/>
        </w:rPr>
        <w:t xml:space="preserve"> </w:t>
      </w:r>
      <w:r>
        <w:rPr>
          <w:sz w:val="20"/>
        </w:rPr>
        <w:t>del</w:t>
      </w:r>
      <w:r>
        <w:rPr>
          <w:spacing w:val="-6"/>
          <w:sz w:val="20"/>
        </w:rPr>
        <w:t xml:space="preserve"> </w:t>
      </w:r>
      <w:r>
        <w:rPr>
          <w:sz w:val="20"/>
        </w:rPr>
        <w:t>niño</w:t>
      </w:r>
      <w:r>
        <w:rPr>
          <w:spacing w:val="-14"/>
          <w:sz w:val="20"/>
        </w:rPr>
        <w:t xml:space="preserve"> </w:t>
      </w:r>
      <w:r>
        <w:rPr>
          <w:sz w:val="20"/>
        </w:rPr>
        <w:t>y</w:t>
      </w:r>
      <w:r>
        <w:rPr>
          <w:spacing w:val="-10"/>
          <w:sz w:val="20"/>
        </w:rPr>
        <w:t xml:space="preserve"> </w:t>
      </w:r>
      <w:r>
        <w:rPr>
          <w:sz w:val="20"/>
        </w:rPr>
        <w:t>de</w:t>
      </w:r>
      <w:r>
        <w:rPr>
          <w:spacing w:val="-12"/>
          <w:sz w:val="20"/>
        </w:rPr>
        <w:t xml:space="preserve"> </w:t>
      </w:r>
      <w:r>
        <w:rPr>
          <w:sz w:val="20"/>
        </w:rPr>
        <w:t>la</w:t>
      </w:r>
      <w:r>
        <w:rPr>
          <w:spacing w:val="-9"/>
          <w:sz w:val="20"/>
        </w:rPr>
        <w:t xml:space="preserve"> </w:t>
      </w:r>
      <w:r>
        <w:rPr>
          <w:sz w:val="20"/>
        </w:rPr>
        <w:t>niña contenidos</w:t>
      </w:r>
      <w:r>
        <w:rPr>
          <w:spacing w:val="-19"/>
          <w:sz w:val="20"/>
        </w:rPr>
        <w:t xml:space="preserve"> </w:t>
      </w:r>
      <w:r>
        <w:rPr>
          <w:sz w:val="20"/>
        </w:rPr>
        <w:t>en</w:t>
      </w:r>
      <w:r>
        <w:rPr>
          <w:spacing w:val="-20"/>
          <w:sz w:val="20"/>
        </w:rPr>
        <w:t xml:space="preserve"> </w:t>
      </w:r>
      <w:r>
        <w:rPr>
          <w:sz w:val="20"/>
        </w:rPr>
        <w:t>los</w:t>
      </w:r>
      <w:r>
        <w:rPr>
          <w:spacing w:val="-20"/>
          <w:sz w:val="20"/>
        </w:rPr>
        <w:t xml:space="preserve"> </w:t>
      </w:r>
      <w:r>
        <w:rPr>
          <w:sz w:val="20"/>
        </w:rPr>
        <w:t>artículos</w:t>
      </w:r>
      <w:r>
        <w:rPr>
          <w:spacing w:val="-22"/>
          <w:sz w:val="20"/>
        </w:rPr>
        <w:t xml:space="preserve"> </w:t>
      </w:r>
      <w:r>
        <w:rPr>
          <w:sz w:val="20"/>
        </w:rPr>
        <w:t>4.1</w:t>
      </w:r>
      <w:r>
        <w:rPr>
          <w:spacing w:val="-19"/>
          <w:sz w:val="20"/>
        </w:rPr>
        <w:t xml:space="preserve"> </w:t>
      </w:r>
      <w:r>
        <w:rPr>
          <w:sz w:val="20"/>
        </w:rPr>
        <w:t>y</w:t>
      </w:r>
      <w:r>
        <w:rPr>
          <w:spacing w:val="-19"/>
          <w:sz w:val="20"/>
        </w:rPr>
        <w:t xml:space="preserve"> </w:t>
      </w:r>
      <w:r>
        <w:rPr>
          <w:sz w:val="20"/>
        </w:rPr>
        <w:t>19,</w:t>
      </w:r>
      <w:r>
        <w:rPr>
          <w:spacing w:val="-18"/>
          <w:sz w:val="20"/>
        </w:rPr>
        <w:t xml:space="preserve"> </w:t>
      </w:r>
      <w:r>
        <w:rPr>
          <w:sz w:val="20"/>
        </w:rPr>
        <w:t>en</w:t>
      </w:r>
      <w:r>
        <w:rPr>
          <w:spacing w:val="-17"/>
          <w:sz w:val="20"/>
        </w:rPr>
        <w:t xml:space="preserve"> </w:t>
      </w:r>
      <w:r>
        <w:rPr>
          <w:sz w:val="20"/>
        </w:rPr>
        <w:t>relación</w:t>
      </w:r>
      <w:r>
        <w:rPr>
          <w:spacing w:val="-17"/>
          <w:sz w:val="20"/>
        </w:rPr>
        <w:t xml:space="preserve"> </w:t>
      </w:r>
      <w:r>
        <w:rPr>
          <w:sz w:val="20"/>
        </w:rPr>
        <w:t>con</w:t>
      </w:r>
      <w:r>
        <w:rPr>
          <w:spacing w:val="-16"/>
          <w:sz w:val="20"/>
        </w:rPr>
        <w:t xml:space="preserve"> </w:t>
      </w:r>
      <w:r>
        <w:rPr>
          <w:sz w:val="20"/>
        </w:rPr>
        <w:t>el</w:t>
      </w:r>
      <w:r>
        <w:rPr>
          <w:spacing w:val="-21"/>
          <w:sz w:val="20"/>
        </w:rPr>
        <w:t xml:space="preserve"> </w:t>
      </w:r>
      <w:r>
        <w:rPr>
          <w:sz w:val="20"/>
        </w:rPr>
        <w:t>artículo</w:t>
      </w:r>
      <w:r>
        <w:rPr>
          <w:spacing w:val="-21"/>
          <w:sz w:val="20"/>
        </w:rPr>
        <w:t xml:space="preserve"> </w:t>
      </w:r>
      <w:r>
        <w:rPr>
          <w:sz w:val="20"/>
        </w:rPr>
        <w:t>1.1</w:t>
      </w:r>
      <w:r>
        <w:rPr>
          <w:spacing w:val="-20"/>
          <w:sz w:val="20"/>
        </w:rPr>
        <w:t xml:space="preserve"> </w:t>
      </w:r>
      <w:r>
        <w:rPr>
          <w:sz w:val="20"/>
        </w:rPr>
        <w:t>de</w:t>
      </w:r>
      <w:r>
        <w:rPr>
          <w:spacing w:val="-19"/>
          <w:sz w:val="20"/>
        </w:rPr>
        <w:t xml:space="preserve"> </w:t>
      </w:r>
      <w:r>
        <w:rPr>
          <w:sz w:val="20"/>
        </w:rPr>
        <w:t>la</w:t>
      </w:r>
      <w:r>
        <w:rPr>
          <w:spacing w:val="-18"/>
          <w:sz w:val="20"/>
        </w:rPr>
        <w:t xml:space="preserve"> </w:t>
      </w:r>
      <w:r>
        <w:rPr>
          <w:sz w:val="20"/>
        </w:rPr>
        <w:t>Convención</w:t>
      </w:r>
      <w:r>
        <w:rPr>
          <w:spacing w:val="-20"/>
          <w:sz w:val="20"/>
        </w:rPr>
        <w:t xml:space="preserve"> </w:t>
      </w:r>
      <w:r>
        <w:rPr>
          <w:sz w:val="20"/>
        </w:rPr>
        <w:t xml:space="preserve">Americana sobre Derechos Humanos, en perjuicio de las sesenta personas fallecidas en la explosión </w:t>
      </w:r>
      <w:r>
        <w:rPr>
          <w:spacing w:val="2"/>
          <w:sz w:val="20"/>
        </w:rPr>
        <w:t xml:space="preserve">de </w:t>
      </w:r>
      <w:r>
        <w:rPr>
          <w:sz w:val="20"/>
        </w:rPr>
        <w:t>la fábrica de fuegos de Santo Antônio de Jesus, ocurrida el 11 de diciembre de 1998, a las que se refiere el párrafo 139 de esta Sentencia, entre los que s</w:t>
      </w:r>
      <w:r>
        <w:rPr>
          <w:sz w:val="20"/>
        </w:rPr>
        <w:t>e encuentran veinte niños y niñas, en los términos de los párrafos 115 a 139 de la presente</w:t>
      </w:r>
      <w:r>
        <w:rPr>
          <w:spacing w:val="-25"/>
          <w:sz w:val="20"/>
        </w:rPr>
        <w:t xml:space="preserve"> </w:t>
      </w:r>
      <w:r>
        <w:rPr>
          <w:sz w:val="20"/>
        </w:rPr>
        <w:t>Sentencia.</w:t>
      </w:r>
    </w:p>
    <w:p w14:paraId="6466158D" w14:textId="77777777" w:rsidR="00467FCA" w:rsidRDefault="00467FCA">
      <w:pPr>
        <w:pStyle w:val="Textoindependiente"/>
      </w:pPr>
    </w:p>
    <w:p w14:paraId="3B55B3BD" w14:textId="77777777" w:rsidR="00467FCA" w:rsidRDefault="001B68EB">
      <w:pPr>
        <w:pStyle w:val="Textoindependiente"/>
        <w:spacing w:before="1"/>
        <w:ind w:left="119"/>
      </w:pPr>
      <w:r>
        <w:t>Por unanimidad, que:</w:t>
      </w:r>
    </w:p>
    <w:p w14:paraId="61DD3A9E" w14:textId="77777777" w:rsidR="00467FCA" w:rsidRDefault="00467FCA">
      <w:pPr>
        <w:pStyle w:val="Textoindependiente"/>
        <w:spacing w:before="1"/>
      </w:pPr>
    </w:p>
    <w:p w14:paraId="7F1E9AE2" w14:textId="77777777" w:rsidR="00467FCA" w:rsidRDefault="001B68EB">
      <w:pPr>
        <w:pStyle w:val="Prrafodelista"/>
        <w:numPr>
          <w:ilvl w:val="0"/>
          <w:numId w:val="34"/>
        </w:numPr>
        <w:tabs>
          <w:tab w:val="left" w:pos="686"/>
        </w:tabs>
        <w:ind w:right="116" w:firstLine="0"/>
        <w:jc w:val="both"/>
        <w:rPr>
          <w:sz w:val="20"/>
        </w:rPr>
      </w:pPr>
      <w:r>
        <w:rPr>
          <w:sz w:val="20"/>
        </w:rPr>
        <w:t>El Estado es responsable por la violación de los derechos a la integridad personal y del niño y de la niña, contenidos en los artí</w:t>
      </w:r>
      <w:r>
        <w:rPr>
          <w:sz w:val="20"/>
        </w:rPr>
        <w:t>culos 5.1 y 19 en relación con el artículo 1.1 de la Convención Americana sobre Derechos Humanos, en perjuicio de los seis sobrevivientes de la explosión de la fábrica de fuegos de Santo Antônio de Jesus, ocurrida el 11 de diciembre de 1998, a los que se r</w:t>
      </w:r>
      <w:r>
        <w:rPr>
          <w:sz w:val="20"/>
        </w:rPr>
        <w:t>efiere el párrafo 139 de esta Sentencia, entre los que se encuentran tres niños, en los términos de los párrafos 115 a 139 de la presente</w:t>
      </w:r>
      <w:r>
        <w:rPr>
          <w:spacing w:val="-16"/>
          <w:sz w:val="20"/>
        </w:rPr>
        <w:t xml:space="preserve"> </w:t>
      </w:r>
      <w:r>
        <w:rPr>
          <w:sz w:val="20"/>
        </w:rPr>
        <w:t>Sentecia.</w:t>
      </w:r>
    </w:p>
    <w:p w14:paraId="5428C7FC" w14:textId="77777777" w:rsidR="00467FCA" w:rsidRDefault="00467FCA">
      <w:pPr>
        <w:pStyle w:val="Textoindependiente"/>
        <w:spacing w:before="6"/>
        <w:rPr>
          <w:sz w:val="22"/>
        </w:rPr>
      </w:pPr>
    </w:p>
    <w:p w14:paraId="3B8D005D" w14:textId="77777777" w:rsidR="00467FCA" w:rsidRDefault="001B68EB">
      <w:pPr>
        <w:pStyle w:val="Textoindependiente"/>
        <w:ind w:left="120"/>
      </w:pPr>
      <w:r>
        <w:t>Por seis votos a favor y uno en contra, que:</w:t>
      </w:r>
    </w:p>
    <w:p w14:paraId="2B53C641" w14:textId="77777777" w:rsidR="00467FCA" w:rsidRDefault="00467FCA">
      <w:pPr>
        <w:pStyle w:val="Textoindependiente"/>
        <w:spacing w:before="8"/>
        <w:rPr>
          <w:sz w:val="22"/>
        </w:rPr>
      </w:pPr>
    </w:p>
    <w:p w14:paraId="47E9769E" w14:textId="77777777" w:rsidR="00467FCA" w:rsidRDefault="001B68EB">
      <w:pPr>
        <w:pStyle w:val="Prrafodelista"/>
        <w:numPr>
          <w:ilvl w:val="0"/>
          <w:numId w:val="34"/>
        </w:numPr>
        <w:tabs>
          <w:tab w:val="left" w:pos="687"/>
        </w:tabs>
        <w:ind w:left="120" w:right="116" w:firstLine="0"/>
        <w:jc w:val="both"/>
        <w:rPr>
          <w:sz w:val="20"/>
        </w:rPr>
      </w:pPr>
      <w:r>
        <w:rPr>
          <w:sz w:val="20"/>
        </w:rPr>
        <w:t>El</w:t>
      </w:r>
      <w:r>
        <w:rPr>
          <w:spacing w:val="-10"/>
          <w:sz w:val="20"/>
        </w:rPr>
        <w:t xml:space="preserve"> </w:t>
      </w:r>
      <w:r>
        <w:rPr>
          <w:sz w:val="20"/>
        </w:rPr>
        <w:t>Estado</w:t>
      </w:r>
      <w:r>
        <w:rPr>
          <w:spacing w:val="-8"/>
          <w:sz w:val="20"/>
        </w:rPr>
        <w:t xml:space="preserve"> </w:t>
      </w:r>
      <w:r>
        <w:rPr>
          <w:sz w:val="20"/>
        </w:rPr>
        <w:t>es</w:t>
      </w:r>
      <w:r>
        <w:rPr>
          <w:spacing w:val="-9"/>
          <w:sz w:val="20"/>
        </w:rPr>
        <w:t xml:space="preserve"> </w:t>
      </w:r>
      <w:r>
        <w:rPr>
          <w:sz w:val="20"/>
        </w:rPr>
        <w:t>responsable</w:t>
      </w:r>
      <w:r>
        <w:rPr>
          <w:spacing w:val="-10"/>
          <w:sz w:val="20"/>
        </w:rPr>
        <w:t xml:space="preserve"> </w:t>
      </w:r>
      <w:r>
        <w:rPr>
          <w:sz w:val="20"/>
        </w:rPr>
        <w:t>por</w:t>
      </w:r>
      <w:r>
        <w:rPr>
          <w:spacing w:val="-8"/>
          <w:sz w:val="20"/>
        </w:rPr>
        <w:t xml:space="preserve"> </w:t>
      </w:r>
      <w:r>
        <w:rPr>
          <w:sz w:val="20"/>
        </w:rPr>
        <w:t>la</w:t>
      </w:r>
      <w:r>
        <w:rPr>
          <w:spacing w:val="-8"/>
          <w:sz w:val="20"/>
        </w:rPr>
        <w:t xml:space="preserve"> </w:t>
      </w:r>
      <w:r>
        <w:rPr>
          <w:sz w:val="20"/>
        </w:rPr>
        <w:t>violación</w:t>
      </w:r>
      <w:r>
        <w:rPr>
          <w:spacing w:val="-6"/>
          <w:sz w:val="20"/>
        </w:rPr>
        <w:t xml:space="preserve"> </w:t>
      </w:r>
      <w:r>
        <w:rPr>
          <w:sz w:val="20"/>
        </w:rPr>
        <w:t>de</w:t>
      </w:r>
      <w:r>
        <w:rPr>
          <w:spacing w:val="-8"/>
          <w:sz w:val="20"/>
        </w:rPr>
        <w:t xml:space="preserve"> </w:t>
      </w:r>
      <w:r>
        <w:rPr>
          <w:sz w:val="20"/>
        </w:rPr>
        <w:t>los</w:t>
      </w:r>
      <w:r>
        <w:rPr>
          <w:spacing w:val="-6"/>
          <w:sz w:val="20"/>
        </w:rPr>
        <w:t xml:space="preserve"> </w:t>
      </w:r>
      <w:r>
        <w:rPr>
          <w:sz w:val="20"/>
        </w:rPr>
        <w:t>derechos</w:t>
      </w:r>
      <w:r>
        <w:rPr>
          <w:spacing w:val="-8"/>
          <w:sz w:val="20"/>
        </w:rPr>
        <w:t xml:space="preserve"> </w:t>
      </w:r>
      <w:r>
        <w:rPr>
          <w:sz w:val="20"/>
        </w:rPr>
        <w:t>de</w:t>
      </w:r>
      <w:r>
        <w:rPr>
          <w:spacing w:val="-9"/>
          <w:sz w:val="20"/>
        </w:rPr>
        <w:t xml:space="preserve"> </w:t>
      </w:r>
      <w:r>
        <w:rPr>
          <w:sz w:val="20"/>
        </w:rPr>
        <w:t>la</w:t>
      </w:r>
      <w:r>
        <w:rPr>
          <w:spacing w:val="-7"/>
          <w:sz w:val="20"/>
        </w:rPr>
        <w:t xml:space="preserve"> </w:t>
      </w:r>
      <w:r>
        <w:rPr>
          <w:sz w:val="20"/>
        </w:rPr>
        <w:t>niña</w:t>
      </w:r>
      <w:r>
        <w:rPr>
          <w:spacing w:val="-9"/>
          <w:sz w:val="20"/>
        </w:rPr>
        <w:t xml:space="preserve"> </w:t>
      </w:r>
      <w:r>
        <w:rPr>
          <w:sz w:val="20"/>
        </w:rPr>
        <w:t>y</w:t>
      </w:r>
      <w:r>
        <w:rPr>
          <w:spacing w:val="-8"/>
          <w:sz w:val="20"/>
        </w:rPr>
        <w:t xml:space="preserve"> </w:t>
      </w:r>
      <w:r>
        <w:rPr>
          <w:sz w:val="20"/>
        </w:rPr>
        <w:t>del</w:t>
      </w:r>
      <w:r>
        <w:rPr>
          <w:spacing w:val="-8"/>
          <w:sz w:val="20"/>
        </w:rPr>
        <w:t xml:space="preserve"> </w:t>
      </w:r>
      <w:r>
        <w:rPr>
          <w:sz w:val="20"/>
        </w:rPr>
        <w:t>niño,</w:t>
      </w:r>
      <w:r>
        <w:rPr>
          <w:spacing w:val="-7"/>
          <w:sz w:val="20"/>
        </w:rPr>
        <w:t xml:space="preserve"> </w:t>
      </w:r>
      <w:r>
        <w:rPr>
          <w:sz w:val="20"/>
        </w:rPr>
        <w:t>a</w:t>
      </w:r>
      <w:r>
        <w:rPr>
          <w:spacing w:val="-10"/>
          <w:sz w:val="20"/>
        </w:rPr>
        <w:t xml:space="preserve"> </w:t>
      </w:r>
      <w:r>
        <w:rPr>
          <w:sz w:val="20"/>
        </w:rPr>
        <w:t>la</w:t>
      </w:r>
      <w:r>
        <w:rPr>
          <w:spacing w:val="-7"/>
          <w:sz w:val="20"/>
        </w:rPr>
        <w:t xml:space="preserve"> </w:t>
      </w:r>
      <w:r>
        <w:rPr>
          <w:sz w:val="20"/>
        </w:rPr>
        <w:t>igual protección</w:t>
      </w:r>
      <w:r>
        <w:rPr>
          <w:spacing w:val="-12"/>
          <w:sz w:val="20"/>
        </w:rPr>
        <w:t xml:space="preserve"> </w:t>
      </w:r>
      <w:r>
        <w:rPr>
          <w:sz w:val="20"/>
        </w:rPr>
        <w:t>de</w:t>
      </w:r>
      <w:r>
        <w:rPr>
          <w:spacing w:val="-14"/>
          <w:sz w:val="20"/>
        </w:rPr>
        <w:t xml:space="preserve"> </w:t>
      </w:r>
      <w:r>
        <w:rPr>
          <w:sz w:val="20"/>
        </w:rPr>
        <w:t>la</w:t>
      </w:r>
      <w:r>
        <w:rPr>
          <w:spacing w:val="-10"/>
          <w:sz w:val="20"/>
        </w:rPr>
        <w:t xml:space="preserve"> </w:t>
      </w:r>
      <w:r>
        <w:rPr>
          <w:sz w:val="20"/>
        </w:rPr>
        <w:t>ley,</w:t>
      </w:r>
      <w:r>
        <w:rPr>
          <w:spacing w:val="-11"/>
          <w:sz w:val="20"/>
        </w:rPr>
        <w:t xml:space="preserve"> </w:t>
      </w:r>
      <w:r>
        <w:rPr>
          <w:sz w:val="20"/>
        </w:rPr>
        <w:t>a</w:t>
      </w:r>
      <w:r>
        <w:rPr>
          <w:spacing w:val="-12"/>
          <w:sz w:val="20"/>
        </w:rPr>
        <w:t xml:space="preserve"> </w:t>
      </w:r>
      <w:r>
        <w:rPr>
          <w:sz w:val="20"/>
        </w:rPr>
        <w:t>la</w:t>
      </w:r>
      <w:r>
        <w:rPr>
          <w:spacing w:val="-10"/>
          <w:sz w:val="20"/>
        </w:rPr>
        <w:t xml:space="preserve"> </w:t>
      </w:r>
      <w:r>
        <w:rPr>
          <w:sz w:val="20"/>
        </w:rPr>
        <w:t>prohibición</w:t>
      </w:r>
      <w:r>
        <w:rPr>
          <w:spacing w:val="-12"/>
          <w:sz w:val="20"/>
        </w:rPr>
        <w:t xml:space="preserve"> </w:t>
      </w:r>
      <w:r>
        <w:rPr>
          <w:sz w:val="20"/>
        </w:rPr>
        <w:t>de</w:t>
      </w:r>
      <w:r>
        <w:rPr>
          <w:spacing w:val="-11"/>
          <w:sz w:val="20"/>
        </w:rPr>
        <w:t xml:space="preserve"> </w:t>
      </w:r>
      <w:r>
        <w:rPr>
          <w:sz w:val="20"/>
        </w:rPr>
        <w:t>discriminación</w:t>
      </w:r>
      <w:r>
        <w:rPr>
          <w:spacing w:val="-8"/>
          <w:sz w:val="20"/>
        </w:rPr>
        <w:t xml:space="preserve"> </w:t>
      </w:r>
      <w:r>
        <w:rPr>
          <w:sz w:val="20"/>
        </w:rPr>
        <w:t>y</w:t>
      </w:r>
      <w:r>
        <w:rPr>
          <w:spacing w:val="-12"/>
          <w:sz w:val="20"/>
        </w:rPr>
        <w:t xml:space="preserve"> </w:t>
      </w:r>
      <w:r>
        <w:rPr>
          <w:sz w:val="20"/>
        </w:rPr>
        <w:t>al</w:t>
      </w:r>
      <w:r>
        <w:rPr>
          <w:spacing w:val="-10"/>
          <w:sz w:val="20"/>
        </w:rPr>
        <w:t xml:space="preserve"> </w:t>
      </w:r>
      <w:r>
        <w:rPr>
          <w:sz w:val="20"/>
        </w:rPr>
        <w:t>trabajo,</w:t>
      </w:r>
      <w:r>
        <w:rPr>
          <w:spacing w:val="-11"/>
          <w:sz w:val="20"/>
        </w:rPr>
        <w:t xml:space="preserve"> </w:t>
      </w:r>
      <w:r>
        <w:rPr>
          <w:sz w:val="20"/>
        </w:rPr>
        <w:t>contenidos</w:t>
      </w:r>
      <w:r>
        <w:rPr>
          <w:spacing w:val="-11"/>
          <w:sz w:val="20"/>
        </w:rPr>
        <w:t xml:space="preserve"> </w:t>
      </w:r>
      <w:r>
        <w:rPr>
          <w:sz w:val="20"/>
        </w:rPr>
        <w:t>en</w:t>
      </w:r>
      <w:r>
        <w:rPr>
          <w:spacing w:val="-12"/>
          <w:sz w:val="20"/>
        </w:rPr>
        <w:t xml:space="preserve"> </w:t>
      </w:r>
      <w:r>
        <w:rPr>
          <w:sz w:val="20"/>
        </w:rPr>
        <w:t>los</w:t>
      </w:r>
      <w:r>
        <w:rPr>
          <w:spacing w:val="-11"/>
          <w:sz w:val="20"/>
        </w:rPr>
        <w:t xml:space="preserve"> </w:t>
      </w:r>
      <w:r>
        <w:rPr>
          <w:sz w:val="20"/>
        </w:rPr>
        <w:t xml:space="preserve">artículos 19, 24 y 26, en relación con el artículo 1.1 de la Convención Americana sobre Derechos Humanos, en perjuicio de las sesenta personas fallecidas y los seis sobrevivientes de la explosión de la fábrica de fuegos de Santo Antônio de Jesus, ocurrida </w:t>
      </w:r>
      <w:r>
        <w:rPr>
          <w:sz w:val="20"/>
        </w:rPr>
        <w:t>el 11 de diciembre de 1998, a las que se refiere el párrafo 204 de esta Sentencia, entre los que se encuentran 23 niñas y niños, en los términos de los párrafos 148 a 204 de la presente</w:t>
      </w:r>
      <w:r>
        <w:rPr>
          <w:spacing w:val="-21"/>
          <w:sz w:val="20"/>
        </w:rPr>
        <w:t xml:space="preserve"> </w:t>
      </w:r>
      <w:r>
        <w:rPr>
          <w:sz w:val="20"/>
        </w:rPr>
        <w:t>Sentencia.</w:t>
      </w:r>
    </w:p>
    <w:p w14:paraId="62785E6B" w14:textId="77777777" w:rsidR="00467FCA" w:rsidRDefault="00467FCA">
      <w:pPr>
        <w:pStyle w:val="Textoindependiente"/>
        <w:spacing w:before="2"/>
      </w:pPr>
    </w:p>
    <w:p w14:paraId="3ECB129A" w14:textId="77777777" w:rsidR="00467FCA" w:rsidRDefault="001B68EB">
      <w:pPr>
        <w:pStyle w:val="Textoindependiente"/>
        <w:spacing w:line="477" w:lineRule="auto"/>
        <w:ind w:left="120" w:right="5882"/>
        <w:jc w:val="both"/>
      </w:pPr>
      <w:r>
        <w:t>Disiente el juez Eduardo Vio Grossi. Por unanimidad, que:</w:t>
      </w:r>
    </w:p>
    <w:p w14:paraId="0F956EB9" w14:textId="77777777" w:rsidR="00467FCA" w:rsidRDefault="001B68EB">
      <w:pPr>
        <w:pStyle w:val="Prrafodelista"/>
        <w:numPr>
          <w:ilvl w:val="0"/>
          <w:numId w:val="34"/>
        </w:numPr>
        <w:tabs>
          <w:tab w:val="left" w:pos="687"/>
        </w:tabs>
        <w:spacing w:before="5"/>
        <w:ind w:left="120" w:right="116" w:firstLine="0"/>
        <w:jc w:val="both"/>
        <w:rPr>
          <w:sz w:val="20"/>
        </w:rPr>
      </w:pPr>
      <w:r>
        <w:rPr>
          <w:sz w:val="20"/>
        </w:rPr>
        <w:t>El Estado es responsable por la violación de los derechos a las garantías judiciales y protección judicial, contenidos en los artículos 8 y 25, en relación con el artículo 1.1 de la Convención Americana sobre Derechos Humanos, en perjuicio de los seis sobr</w:t>
      </w:r>
      <w:r>
        <w:rPr>
          <w:sz w:val="20"/>
        </w:rPr>
        <w:t>evivientes de la</w:t>
      </w:r>
      <w:r>
        <w:rPr>
          <w:spacing w:val="-8"/>
          <w:sz w:val="20"/>
        </w:rPr>
        <w:t xml:space="preserve"> </w:t>
      </w:r>
      <w:r>
        <w:rPr>
          <w:sz w:val="20"/>
        </w:rPr>
        <w:t>explosión</w:t>
      </w:r>
      <w:r>
        <w:rPr>
          <w:spacing w:val="-6"/>
          <w:sz w:val="20"/>
        </w:rPr>
        <w:t xml:space="preserve"> </w:t>
      </w:r>
      <w:r>
        <w:rPr>
          <w:sz w:val="20"/>
        </w:rPr>
        <w:t>de</w:t>
      </w:r>
      <w:r>
        <w:rPr>
          <w:spacing w:val="-6"/>
          <w:sz w:val="20"/>
        </w:rPr>
        <w:t xml:space="preserve"> </w:t>
      </w:r>
      <w:r>
        <w:rPr>
          <w:sz w:val="20"/>
        </w:rPr>
        <w:t>la</w:t>
      </w:r>
      <w:r>
        <w:rPr>
          <w:spacing w:val="-7"/>
          <w:sz w:val="20"/>
        </w:rPr>
        <w:t xml:space="preserve"> </w:t>
      </w:r>
      <w:r>
        <w:rPr>
          <w:sz w:val="20"/>
        </w:rPr>
        <w:t>fábrica</w:t>
      </w:r>
      <w:r>
        <w:rPr>
          <w:spacing w:val="-8"/>
          <w:sz w:val="20"/>
        </w:rPr>
        <w:t xml:space="preserve"> </w:t>
      </w:r>
      <w:r>
        <w:rPr>
          <w:sz w:val="20"/>
        </w:rPr>
        <w:t>de</w:t>
      </w:r>
      <w:r>
        <w:rPr>
          <w:spacing w:val="-6"/>
          <w:sz w:val="20"/>
        </w:rPr>
        <w:t xml:space="preserve"> </w:t>
      </w:r>
      <w:r>
        <w:rPr>
          <w:sz w:val="20"/>
        </w:rPr>
        <w:t>fuegos</w:t>
      </w:r>
      <w:r>
        <w:rPr>
          <w:spacing w:val="-8"/>
          <w:sz w:val="20"/>
        </w:rPr>
        <w:t xml:space="preserve"> </w:t>
      </w:r>
      <w:r>
        <w:rPr>
          <w:sz w:val="20"/>
        </w:rPr>
        <w:t>de</w:t>
      </w:r>
      <w:r>
        <w:rPr>
          <w:spacing w:val="-8"/>
          <w:sz w:val="20"/>
        </w:rPr>
        <w:t xml:space="preserve"> </w:t>
      </w:r>
      <w:r>
        <w:rPr>
          <w:sz w:val="20"/>
        </w:rPr>
        <w:t>Santo</w:t>
      </w:r>
      <w:r>
        <w:rPr>
          <w:spacing w:val="-9"/>
          <w:sz w:val="20"/>
        </w:rPr>
        <w:t xml:space="preserve"> </w:t>
      </w:r>
      <w:r>
        <w:rPr>
          <w:sz w:val="20"/>
        </w:rPr>
        <w:t>Antônio</w:t>
      </w:r>
      <w:r>
        <w:rPr>
          <w:spacing w:val="-8"/>
          <w:sz w:val="20"/>
        </w:rPr>
        <w:t xml:space="preserve"> </w:t>
      </w:r>
      <w:r>
        <w:rPr>
          <w:sz w:val="20"/>
        </w:rPr>
        <w:t>de</w:t>
      </w:r>
      <w:r>
        <w:rPr>
          <w:spacing w:val="-8"/>
          <w:sz w:val="20"/>
        </w:rPr>
        <w:t xml:space="preserve"> </w:t>
      </w:r>
      <w:r>
        <w:rPr>
          <w:sz w:val="20"/>
        </w:rPr>
        <w:t>Jesus</w:t>
      </w:r>
      <w:r>
        <w:rPr>
          <w:spacing w:val="-5"/>
          <w:sz w:val="20"/>
        </w:rPr>
        <w:t xml:space="preserve"> </w:t>
      </w:r>
      <w:r>
        <w:rPr>
          <w:sz w:val="20"/>
        </w:rPr>
        <w:t>y</w:t>
      </w:r>
      <w:r>
        <w:rPr>
          <w:spacing w:val="-8"/>
          <w:sz w:val="20"/>
        </w:rPr>
        <w:t xml:space="preserve"> </w:t>
      </w:r>
      <w:r>
        <w:rPr>
          <w:sz w:val="20"/>
        </w:rPr>
        <w:t>los</w:t>
      </w:r>
      <w:r>
        <w:rPr>
          <w:spacing w:val="-5"/>
          <w:sz w:val="20"/>
        </w:rPr>
        <w:t xml:space="preserve"> </w:t>
      </w:r>
      <w:r>
        <w:rPr>
          <w:sz w:val="20"/>
        </w:rPr>
        <w:t>familiares</w:t>
      </w:r>
      <w:r>
        <w:rPr>
          <w:spacing w:val="-5"/>
          <w:sz w:val="20"/>
        </w:rPr>
        <w:t xml:space="preserve"> </w:t>
      </w:r>
      <w:r>
        <w:rPr>
          <w:sz w:val="20"/>
        </w:rPr>
        <w:t>de</w:t>
      </w:r>
      <w:r>
        <w:rPr>
          <w:spacing w:val="-6"/>
          <w:sz w:val="20"/>
        </w:rPr>
        <w:t xml:space="preserve"> </w:t>
      </w:r>
      <w:r>
        <w:rPr>
          <w:sz w:val="20"/>
        </w:rPr>
        <w:t>las</w:t>
      </w:r>
      <w:r>
        <w:rPr>
          <w:spacing w:val="-6"/>
          <w:sz w:val="20"/>
        </w:rPr>
        <w:t xml:space="preserve"> </w:t>
      </w:r>
      <w:r>
        <w:rPr>
          <w:sz w:val="20"/>
        </w:rPr>
        <w:t>víctimas</w:t>
      </w:r>
    </w:p>
    <w:p w14:paraId="72C55B56" w14:textId="77777777" w:rsidR="00467FCA" w:rsidRDefault="00467FCA">
      <w:pPr>
        <w:jc w:val="both"/>
        <w:rPr>
          <w:sz w:val="20"/>
        </w:rPr>
        <w:sectPr w:rsidR="00467FCA">
          <w:pgSz w:w="12240" w:h="15840"/>
          <w:pgMar w:top="1360" w:right="1320" w:bottom="1220" w:left="1320" w:header="0" w:footer="957" w:gutter="0"/>
          <w:cols w:space="720"/>
        </w:sectPr>
      </w:pPr>
    </w:p>
    <w:p w14:paraId="184DF1EC" w14:textId="77777777" w:rsidR="00467FCA" w:rsidRDefault="001B68EB">
      <w:pPr>
        <w:pStyle w:val="Textoindependiente"/>
        <w:spacing w:before="80"/>
        <w:ind w:left="120" w:right="115"/>
        <w:jc w:val="both"/>
      </w:pPr>
      <w:r>
        <w:t xml:space="preserve">de la explosión de la fábrica de fuegos ocurrida el 11 de diciembre de 1998, a los que se refiere el párrafo 247 de esta Sentencia, </w:t>
      </w:r>
      <w:r>
        <w:t>en los términos de los párrafos 216 a 247 de la presente Sentencia .</w:t>
      </w:r>
    </w:p>
    <w:p w14:paraId="0146B1FF" w14:textId="77777777" w:rsidR="00467FCA" w:rsidRDefault="00467FCA">
      <w:pPr>
        <w:pStyle w:val="Textoindependiente"/>
      </w:pPr>
    </w:p>
    <w:p w14:paraId="10272D26" w14:textId="77777777" w:rsidR="00467FCA" w:rsidRDefault="001B68EB">
      <w:pPr>
        <w:pStyle w:val="Textoindependiente"/>
        <w:ind w:left="120"/>
        <w:jc w:val="both"/>
      </w:pPr>
      <w:r>
        <w:t>Por unanimidad, que:</w:t>
      </w:r>
    </w:p>
    <w:p w14:paraId="49FBD669" w14:textId="77777777" w:rsidR="00467FCA" w:rsidRDefault="00467FCA">
      <w:pPr>
        <w:pStyle w:val="Textoindependiente"/>
        <w:spacing w:before="1"/>
      </w:pPr>
    </w:p>
    <w:p w14:paraId="5D5D43AF" w14:textId="77777777" w:rsidR="00467FCA" w:rsidRDefault="001B68EB">
      <w:pPr>
        <w:pStyle w:val="Prrafodelista"/>
        <w:numPr>
          <w:ilvl w:val="0"/>
          <w:numId w:val="34"/>
        </w:numPr>
        <w:tabs>
          <w:tab w:val="left" w:pos="687"/>
        </w:tabs>
        <w:ind w:left="120" w:right="118" w:firstLine="0"/>
        <w:jc w:val="both"/>
        <w:rPr>
          <w:sz w:val="20"/>
        </w:rPr>
      </w:pPr>
      <w:r>
        <w:rPr>
          <w:sz w:val="20"/>
        </w:rPr>
        <w:t>El</w:t>
      </w:r>
      <w:r>
        <w:rPr>
          <w:spacing w:val="-11"/>
          <w:sz w:val="20"/>
        </w:rPr>
        <w:t xml:space="preserve"> </w:t>
      </w:r>
      <w:r>
        <w:rPr>
          <w:sz w:val="20"/>
        </w:rPr>
        <w:t>Estado</w:t>
      </w:r>
      <w:r>
        <w:rPr>
          <w:spacing w:val="-11"/>
          <w:sz w:val="20"/>
        </w:rPr>
        <w:t xml:space="preserve"> </w:t>
      </w:r>
      <w:r>
        <w:rPr>
          <w:sz w:val="20"/>
        </w:rPr>
        <w:t>es</w:t>
      </w:r>
      <w:r>
        <w:rPr>
          <w:spacing w:val="-10"/>
          <w:sz w:val="20"/>
        </w:rPr>
        <w:t xml:space="preserve"> </w:t>
      </w:r>
      <w:r>
        <w:rPr>
          <w:sz w:val="20"/>
        </w:rPr>
        <w:t>responsable</w:t>
      </w:r>
      <w:r>
        <w:rPr>
          <w:spacing w:val="-12"/>
          <w:sz w:val="20"/>
        </w:rPr>
        <w:t xml:space="preserve"> </w:t>
      </w:r>
      <w:r>
        <w:rPr>
          <w:sz w:val="20"/>
        </w:rPr>
        <w:t>por</w:t>
      </w:r>
      <w:r>
        <w:rPr>
          <w:spacing w:val="-11"/>
          <w:sz w:val="20"/>
        </w:rPr>
        <w:t xml:space="preserve"> </w:t>
      </w:r>
      <w:r>
        <w:rPr>
          <w:sz w:val="20"/>
        </w:rPr>
        <w:t>la</w:t>
      </w:r>
      <w:r>
        <w:rPr>
          <w:spacing w:val="-10"/>
          <w:sz w:val="20"/>
        </w:rPr>
        <w:t xml:space="preserve"> </w:t>
      </w:r>
      <w:r>
        <w:rPr>
          <w:sz w:val="20"/>
        </w:rPr>
        <w:t>violación</w:t>
      </w:r>
      <w:r>
        <w:rPr>
          <w:spacing w:val="-10"/>
          <w:sz w:val="20"/>
        </w:rPr>
        <w:t xml:space="preserve"> </w:t>
      </w:r>
      <w:r>
        <w:rPr>
          <w:sz w:val="20"/>
        </w:rPr>
        <w:t>del</w:t>
      </w:r>
      <w:r>
        <w:rPr>
          <w:spacing w:val="-10"/>
          <w:sz w:val="20"/>
        </w:rPr>
        <w:t xml:space="preserve"> </w:t>
      </w:r>
      <w:r>
        <w:rPr>
          <w:sz w:val="20"/>
        </w:rPr>
        <w:t>derecho</w:t>
      </w:r>
      <w:r>
        <w:rPr>
          <w:spacing w:val="-12"/>
          <w:sz w:val="20"/>
        </w:rPr>
        <w:t xml:space="preserve"> </w:t>
      </w:r>
      <w:r>
        <w:rPr>
          <w:sz w:val="20"/>
        </w:rPr>
        <w:t>a</w:t>
      </w:r>
      <w:r>
        <w:rPr>
          <w:spacing w:val="-10"/>
          <w:sz w:val="20"/>
        </w:rPr>
        <w:t xml:space="preserve"> </w:t>
      </w:r>
      <w:r>
        <w:rPr>
          <w:sz w:val="20"/>
        </w:rPr>
        <w:t>la</w:t>
      </w:r>
      <w:r>
        <w:rPr>
          <w:spacing w:val="-10"/>
          <w:sz w:val="20"/>
        </w:rPr>
        <w:t xml:space="preserve"> </w:t>
      </w:r>
      <w:r>
        <w:rPr>
          <w:sz w:val="20"/>
        </w:rPr>
        <w:t>integridad</w:t>
      </w:r>
      <w:r>
        <w:rPr>
          <w:spacing w:val="-11"/>
          <w:sz w:val="20"/>
        </w:rPr>
        <w:t xml:space="preserve"> </w:t>
      </w:r>
      <w:r>
        <w:rPr>
          <w:sz w:val="20"/>
        </w:rPr>
        <w:t>personal,</w:t>
      </w:r>
      <w:r>
        <w:rPr>
          <w:spacing w:val="-11"/>
          <w:sz w:val="20"/>
        </w:rPr>
        <w:t xml:space="preserve"> </w:t>
      </w:r>
      <w:r>
        <w:rPr>
          <w:sz w:val="20"/>
        </w:rPr>
        <w:t>contenido en el artículo 5.1 de la Convención Americana sobre Derechos Humanos, en relación con el artículo</w:t>
      </w:r>
      <w:r>
        <w:rPr>
          <w:spacing w:val="-8"/>
          <w:sz w:val="20"/>
        </w:rPr>
        <w:t xml:space="preserve"> </w:t>
      </w:r>
      <w:r>
        <w:rPr>
          <w:sz w:val="20"/>
        </w:rPr>
        <w:t>1.1</w:t>
      </w:r>
      <w:r>
        <w:rPr>
          <w:spacing w:val="-3"/>
          <w:sz w:val="20"/>
        </w:rPr>
        <w:t xml:space="preserve"> </w:t>
      </w:r>
      <w:r>
        <w:rPr>
          <w:sz w:val="20"/>
        </w:rPr>
        <w:t>del</w:t>
      </w:r>
      <w:r>
        <w:rPr>
          <w:spacing w:val="-5"/>
          <w:sz w:val="20"/>
        </w:rPr>
        <w:t xml:space="preserve"> </w:t>
      </w:r>
      <w:r>
        <w:rPr>
          <w:sz w:val="20"/>
        </w:rPr>
        <w:t>mismo</w:t>
      </w:r>
      <w:r>
        <w:rPr>
          <w:spacing w:val="-7"/>
          <w:sz w:val="20"/>
        </w:rPr>
        <w:t xml:space="preserve"> </w:t>
      </w:r>
      <w:r>
        <w:rPr>
          <w:sz w:val="20"/>
        </w:rPr>
        <w:t>instrumento,</w:t>
      </w:r>
      <w:r>
        <w:rPr>
          <w:spacing w:val="-4"/>
          <w:sz w:val="20"/>
        </w:rPr>
        <w:t xml:space="preserve"> </w:t>
      </w:r>
      <w:r>
        <w:rPr>
          <w:sz w:val="20"/>
        </w:rPr>
        <w:t>en</w:t>
      </w:r>
      <w:r>
        <w:rPr>
          <w:spacing w:val="-4"/>
          <w:sz w:val="20"/>
        </w:rPr>
        <w:t xml:space="preserve"> </w:t>
      </w:r>
      <w:r>
        <w:rPr>
          <w:sz w:val="20"/>
        </w:rPr>
        <w:t>perjuicio</w:t>
      </w:r>
      <w:r>
        <w:rPr>
          <w:spacing w:val="-8"/>
          <w:sz w:val="20"/>
        </w:rPr>
        <w:t xml:space="preserve"> </w:t>
      </w:r>
      <w:r>
        <w:rPr>
          <w:sz w:val="20"/>
        </w:rPr>
        <w:t>de</w:t>
      </w:r>
      <w:r>
        <w:rPr>
          <w:spacing w:val="-4"/>
          <w:sz w:val="20"/>
        </w:rPr>
        <w:t xml:space="preserve"> </w:t>
      </w:r>
      <w:r>
        <w:rPr>
          <w:sz w:val="20"/>
        </w:rPr>
        <w:t>los</w:t>
      </w:r>
      <w:r>
        <w:rPr>
          <w:spacing w:val="-4"/>
          <w:sz w:val="20"/>
        </w:rPr>
        <w:t xml:space="preserve"> </w:t>
      </w:r>
      <w:r>
        <w:rPr>
          <w:sz w:val="20"/>
        </w:rPr>
        <w:t>familiares</w:t>
      </w:r>
      <w:r>
        <w:rPr>
          <w:spacing w:val="-7"/>
          <w:sz w:val="20"/>
        </w:rPr>
        <w:t xml:space="preserve"> </w:t>
      </w:r>
      <w:r>
        <w:rPr>
          <w:sz w:val="20"/>
        </w:rPr>
        <w:t>de</w:t>
      </w:r>
      <w:r>
        <w:rPr>
          <w:spacing w:val="-7"/>
          <w:sz w:val="20"/>
        </w:rPr>
        <w:t xml:space="preserve"> </w:t>
      </w:r>
      <w:r>
        <w:rPr>
          <w:sz w:val="20"/>
        </w:rPr>
        <w:t>las</w:t>
      </w:r>
      <w:r>
        <w:rPr>
          <w:spacing w:val="-6"/>
          <w:sz w:val="20"/>
        </w:rPr>
        <w:t xml:space="preserve"> </w:t>
      </w:r>
      <w:r>
        <w:rPr>
          <w:sz w:val="20"/>
        </w:rPr>
        <w:t>personas</w:t>
      </w:r>
      <w:r>
        <w:rPr>
          <w:spacing w:val="-6"/>
          <w:sz w:val="20"/>
        </w:rPr>
        <w:t xml:space="preserve"> </w:t>
      </w:r>
      <w:r>
        <w:rPr>
          <w:sz w:val="20"/>
        </w:rPr>
        <w:t>fallecidas</w:t>
      </w:r>
      <w:r>
        <w:rPr>
          <w:spacing w:val="-7"/>
          <w:sz w:val="20"/>
        </w:rPr>
        <w:t xml:space="preserve"> </w:t>
      </w:r>
      <w:r>
        <w:rPr>
          <w:sz w:val="20"/>
        </w:rPr>
        <w:t>y sobrevivientes de la explosión de la fábrica de fuegos de San</w:t>
      </w:r>
      <w:r>
        <w:rPr>
          <w:sz w:val="20"/>
        </w:rPr>
        <w:t>to Antônio de Jesus, ocurrida el 11</w:t>
      </w:r>
      <w:r>
        <w:rPr>
          <w:spacing w:val="-17"/>
          <w:sz w:val="20"/>
        </w:rPr>
        <w:t xml:space="preserve"> </w:t>
      </w:r>
      <w:r>
        <w:rPr>
          <w:sz w:val="20"/>
        </w:rPr>
        <w:t>de</w:t>
      </w:r>
      <w:r>
        <w:rPr>
          <w:spacing w:val="-19"/>
          <w:sz w:val="20"/>
        </w:rPr>
        <w:t xml:space="preserve"> </w:t>
      </w:r>
      <w:r>
        <w:rPr>
          <w:sz w:val="20"/>
        </w:rPr>
        <w:t>diciembre</w:t>
      </w:r>
      <w:r>
        <w:rPr>
          <w:spacing w:val="-19"/>
          <w:sz w:val="20"/>
        </w:rPr>
        <w:t xml:space="preserve"> </w:t>
      </w:r>
      <w:r>
        <w:rPr>
          <w:sz w:val="20"/>
        </w:rPr>
        <w:t>de</w:t>
      </w:r>
      <w:r>
        <w:rPr>
          <w:spacing w:val="-19"/>
          <w:sz w:val="20"/>
        </w:rPr>
        <w:t xml:space="preserve"> </w:t>
      </w:r>
      <w:r>
        <w:rPr>
          <w:sz w:val="20"/>
        </w:rPr>
        <w:t>1998,</w:t>
      </w:r>
      <w:r>
        <w:rPr>
          <w:spacing w:val="-17"/>
          <w:sz w:val="20"/>
        </w:rPr>
        <w:t xml:space="preserve"> </w:t>
      </w:r>
      <w:r>
        <w:rPr>
          <w:sz w:val="20"/>
        </w:rPr>
        <w:t>a</w:t>
      </w:r>
      <w:r>
        <w:rPr>
          <w:spacing w:val="-17"/>
          <w:sz w:val="20"/>
        </w:rPr>
        <w:t xml:space="preserve"> </w:t>
      </w:r>
      <w:r>
        <w:rPr>
          <w:sz w:val="20"/>
        </w:rPr>
        <w:t>los</w:t>
      </w:r>
      <w:r>
        <w:rPr>
          <w:spacing w:val="-18"/>
          <w:sz w:val="20"/>
        </w:rPr>
        <w:t xml:space="preserve"> </w:t>
      </w:r>
      <w:r>
        <w:rPr>
          <w:sz w:val="20"/>
        </w:rPr>
        <w:t>que</w:t>
      </w:r>
      <w:r>
        <w:rPr>
          <w:spacing w:val="-16"/>
          <w:sz w:val="20"/>
        </w:rPr>
        <w:t xml:space="preserve"> </w:t>
      </w:r>
      <w:r>
        <w:rPr>
          <w:sz w:val="20"/>
        </w:rPr>
        <w:t>se</w:t>
      </w:r>
      <w:r>
        <w:rPr>
          <w:spacing w:val="-16"/>
          <w:sz w:val="20"/>
        </w:rPr>
        <w:t xml:space="preserve"> </w:t>
      </w:r>
      <w:r>
        <w:rPr>
          <w:sz w:val="20"/>
        </w:rPr>
        <w:t>refiere</w:t>
      </w:r>
      <w:r>
        <w:rPr>
          <w:spacing w:val="-15"/>
          <w:sz w:val="20"/>
        </w:rPr>
        <w:t xml:space="preserve"> </w:t>
      </w:r>
      <w:r>
        <w:rPr>
          <w:sz w:val="20"/>
        </w:rPr>
        <w:t>el</w:t>
      </w:r>
      <w:r>
        <w:rPr>
          <w:spacing w:val="-17"/>
          <w:sz w:val="20"/>
        </w:rPr>
        <w:t xml:space="preserve"> </w:t>
      </w:r>
      <w:r>
        <w:rPr>
          <w:sz w:val="20"/>
        </w:rPr>
        <w:t>párrafo</w:t>
      </w:r>
      <w:r>
        <w:rPr>
          <w:spacing w:val="-19"/>
          <w:sz w:val="20"/>
        </w:rPr>
        <w:t xml:space="preserve"> </w:t>
      </w:r>
      <w:r>
        <w:rPr>
          <w:sz w:val="20"/>
        </w:rPr>
        <w:t>256</w:t>
      </w:r>
      <w:r>
        <w:rPr>
          <w:spacing w:val="-17"/>
          <w:sz w:val="20"/>
        </w:rPr>
        <w:t xml:space="preserve"> </w:t>
      </w:r>
      <w:r>
        <w:rPr>
          <w:sz w:val="20"/>
        </w:rPr>
        <w:t>de</w:t>
      </w:r>
      <w:r>
        <w:rPr>
          <w:spacing w:val="-16"/>
          <w:sz w:val="20"/>
        </w:rPr>
        <w:t xml:space="preserve"> </w:t>
      </w:r>
      <w:r>
        <w:rPr>
          <w:sz w:val="20"/>
        </w:rPr>
        <w:t>esta</w:t>
      </w:r>
      <w:r>
        <w:rPr>
          <w:spacing w:val="-16"/>
          <w:sz w:val="20"/>
        </w:rPr>
        <w:t xml:space="preserve"> </w:t>
      </w:r>
      <w:r>
        <w:rPr>
          <w:sz w:val="20"/>
        </w:rPr>
        <w:t>Sentencia,</w:t>
      </w:r>
      <w:r>
        <w:rPr>
          <w:spacing w:val="-18"/>
          <w:sz w:val="20"/>
        </w:rPr>
        <w:t xml:space="preserve"> </w:t>
      </w:r>
      <w:r>
        <w:rPr>
          <w:sz w:val="20"/>
        </w:rPr>
        <w:t>en</w:t>
      </w:r>
      <w:r>
        <w:rPr>
          <w:spacing w:val="-16"/>
          <w:sz w:val="20"/>
        </w:rPr>
        <w:t xml:space="preserve"> </w:t>
      </w:r>
      <w:r>
        <w:rPr>
          <w:sz w:val="20"/>
        </w:rPr>
        <w:t>los</w:t>
      </w:r>
      <w:r>
        <w:rPr>
          <w:spacing w:val="-18"/>
          <w:sz w:val="20"/>
        </w:rPr>
        <w:t xml:space="preserve"> </w:t>
      </w:r>
      <w:r>
        <w:rPr>
          <w:sz w:val="20"/>
        </w:rPr>
        <w:t>términos de los párrafos 251 a 256 de la presente Sentencia</w:t>
      </w:r>
      <w:r>
        <w:rPr>
          <w:spacing w:val="-17"/>
          <w:sz w:val="20"/>
        </w:rPr>
        <w:t xml:space="preserve"> </w:t>
      </w:r>
      <w:r>
        <w:rPr>
          <w:sz w:val="20"/>
        </w:rPr>
        <w:t>.</w:t>
      </w:r>
    </w:p>
    <w:p w14:paraId="5DFA884F" w14:textId="77777777" w:rsidR="00467FCA" w:rsidRDefault="00467FCA">
      <w:pPr>
        <w:pStyle w:val="Textoindependiente"/>
      </w:pPr>
    </w:p>
    <w:p w14:paraId="6F4C2293" w14:textId="77777777" w:rsidR="00467FCA" w:rsidRDefault="001B68EB">
      <w:pPr>
        <w:pStyle w:val="Ttulo1"/>
        <w:ind w:left="120"/>
        <w:jc w:val="both"/>
      </w:pPr>
      <w:r>
        <w:t>Y DISPONE,</w:t>
      </w:r>
    </w:p>
    <w:p w14:paraId="56D76679" w14:textId="77777777" w:rsidR="00467FCA" w:rsidRDefault="00467FCA">
      <w:pPr>
        <w:pStyle w:val="Textoindependiente"/>
        <w:spacing w:before="11"/>
        <w:rPr>
          <w:b/>
          <w:sz w:val="19"/>
        </w:rPr>
      </w:pPr>
    </w:p>
    <w:p w14:paraId="20832094" w14:textId="77777777" w:rsidR="00467FCA" w:rsidRDefault="001B68EB">
      <w:pPr>
        <w:pStyle w:val="Textoindependiente"/>
        <w:ind w:left="120"/>
        <w:jc w:val="both"/>
      </w:pPr>
      <w:r>
        <w:t>Por unanimidad, que:</w:t>
      </w:r>
    </w:p>
    <w:p w14:paraId="61858177" w14:textId="77777777" w:rsidR="00467FCA" w:rsidRDefault="00467FCA">
      <w:pPr>
        <w:pStyle w:val="Textoindependiente"/>
        <w:spacing w:before="1"/>
      </w:pPr>
    </w:p>
    <w:p w14:paraId="59C498CE" w14:textId="77777777" w:rsidR="00467FCA" w:rsidRDefault="001B68EB">
      <w:pPr>
        <w:pStyle w:val="Prrafodelista"/>
        <w:numPr>
          <w:ilvl w:val="0"/>
          <w:numId w:val="34"/>
        </w:numPr>
        <w:tabs>
          <w:tab w:val="left" w:pos="687"/>
        </w:tabs>
        <w:ind w:left="686" w:hanging="568"/>
        <w:jc w:val="both"/>
        <w:rPr>
          <w:sz w:val="20"/>
        </w:rPr>
      </w:pPr>
      <w:r>
        <w:rPr>
          <w:sz w:val="20"/>
        </w:rPr>
        <w:t>Esta Sentencia constituye, por sí misma, una forma de</w:t>
      </w:r>
      <w:r>
        <w:rPr>
          <w:spacing w:val="-3"/>
          <w:sz w:val="20"/>
        </w:rPr>
        <w:t xml:space="preserve"> </w:t>
      </w:r>
      <w:r>
        <w:rPr>
          <w:sz w:val="20"/>
        </w:rPr>
        <w:t>reparación.</w:t>
      </w:r>
    </w:p>
    <w:p w14:paraId="66270A39" w14:textId="77777777" w:rsidR="00467FCA" w:rsidRDefault="00467FCA">
      <w:pPr>
        <w:pStyle w:val="Textoindependiente"/>
        <w:spacing w:before="11"/>
        <w:rPr>
          <w:sz w:val="19"/>
        </w:rPr>
      </w:pPr>
    </w:p>
    <w:p w14:paraId="02C0226C" w14:textId="77777777" w:rsidR="00467FCA" w:rsidRDefault="001B68EB">
      <w:pPr>
        <w:pStyle w:val="Prrafodelista"/>
        <w:numPr>
          <w:ilvl w:val="0"/>
          <w:numId w:val="34"/>
        </w:numPr>
        <w:tabs>
          <w:tab w:val="left" w:pos="687"/>
        </w:tabs>
        <w:ind w:right="120" w:firstLine="0"/>
        <w:jc w:val="both"/>
        <w:rPr>
          <w:sz w:val="20"/>
        </w:rPr>
      </w:pPr>
      <w:r>
        <w:rPr>
          <w:sz w:val="20"/>
        </w:rPr>
        <w:t>El Estado continuará el proceso penal en trámite para, en un plazo razonable, juzgar</w:t>
      </w:r>
      <w:r>
        <w:rPr>
          <w:spacing w:val="-43"/>
          <w:sz w:val="20"/>
        </w:rPr>
        <w:t xml:space="preserve"> </w:t>
      </w:r>
      <w:r>
        <w:rPr>
          <w:sz w:val="20"/>
        </w:rPr>
        <w:t>y, en su caso, sancionar a los responsables de la explosión de la fábrica de fuegos, en los términos del</w:t>
      </w:r>
      <w:r>
        <w:rPr>
          <w:sz w:val="20"/>
        </w:rPr>
        <w:t xml:space="preserve"> párrafo 267 de la presente</w:t>
      </w:r>
      <w:r>
        <w:rPr>
          <w:spacing w:val="-13"/>
          <w:sz w:val="20"/>
        </w:rPr>
        <w:t xml:space="preserve"> </w:t>
      </w:r>
      <w:r>
        <w:rPr>
          <w:sz w:val="20"/>
        </w:rPr>
        <w:t>Sentencia.</w:t>
      </w:r>
    </w:p>
    <w:p w14:paraId="1FF54A6D" w14:textId="77777777" w:rsidR="00467FCA" w:rsidRDefault="00467FCA">
      <w:pPr>
        <w:pStyle w:val="Textoindependiente"/>
        <w:spacing w:before="9"/>
        <w:rPr>
          <w:sz w:val="22"/>
        </w:rPr>
      </w:pPr>
    </w:p>
    <w:p w14:paraId="2034EC21" w14:textId="77777777" w:rsidR="00467FCA" w:rsidRDefault="001B68EB">
      <w:pPr>
        <w:pStyle w:val="Prrafodelista"/>
        <w:numPr>
          <w:ilvl w:val="0"/>
          <w:numId w:val="34"/>
        </w:numPr>
        <w:tabs>
          <w:tab w:val="left" w:pos="687"/>
        </w:tabs>
        <w:ind w:left="120" w:right="119" w:hanging="1"/>
        <w:jc w:val="both"/>
        <w:rPr>
          <w:sz w:val="20"/>
        </w:rPr>
      </w:pPr>
      <w:r>
        <w:rPr>
          <w:sz w:val="20"/>
        </w:rPr>
        <w:t>El</w:t>
      </w:r>
      <w:r>
        <w:rPr>
          <w:spacing w:val="-5"/>
          <w:sz w:val="20"/>
        </w:rPr>
        <w:t xml:space="preserve"> </w:t>
      </w:r>
      <w:r>
        <w:rPr>
          <w:sz w:val="20"/>
        </w:rPr>
        <w:t>Estado</w:t>
      </w:r>
      <w:r>
        <w:rPr>
          <w:spacing w:val="-6"/>
          <w:sz w:val="20"/>
        </w:rPr>
        <w:t xml:space="preserve"> </w:t>
      </w:r>
      <w:r>
        <w:rPr>
          <w:sz w:val="20"/>
        </w:rPr>
        <w:t>continuará</w:t>
      </w:r>
      <w:r>
        <w:rPr>
          <w:spacing w:val="-5"/>
          <w:sz w:val="20"/>
        </w:rPr>
        <w:t xml:space="preserve"> </w:t>
      </w:r>
      <w:r>
        <w:rPr>
          <w:sz w:val="20"/>
        </w:rPr>
        <w:t>las</w:t>
      </w:r>
      <w:r>
        <w:rPr>
          <w:spacing w:val="-4"/>
          <w:sz w:val="20"/>
        </w:rPr>
        <w:t xml:space="preserve"> </w:t>
      </w:r>
      <w:r>
        <w:rPr>
          <w:sz w:val="20"/>
        </w:rPr>
        <w:t>causas</w:t>
      </w:r>
      <w:r>
        <w:rPr>
          <w:spacing w:val="-3"/>
          <w:sz w:val="20"/>
        </w:rPr>
        <w:t xml:space="preserve"> </w:t>
      </w:r>
      <w:r>
        <w:rPr>
          <w:sz w:val="20"/>
        </w:rPr>
        <w:t>civiles</w:t>
      </w:r>
      <w:r>
        <w:rPr>
          <w:spacing w:val="-6"/>
          <w:sz w:val="20"/>
        </w:rPr>
        <w:t xml:space="preserve"> </w:t>
      </w:r>
      <w:r>
        <w:rPr>
          <w:sz w:val="20"/>
        </w:rPr>
        <w:t>de</w:t>
      </w:r>
      <w:r>
        <w:rPr>
          <w:spacing w:val="-7"/>
          <w:sz w:val="20"/>
        </w:rPr>
        <w:t xml:space="preserve"> </w:t>
      </w:r>
      <w:r>
        <w:rPr>
          <w:sz w:val="20"/>
        </w:rPr>
        <w:t>indemnización</w:t>
      </w:r>
      <w:r>
        <w:rPr>
          <w:spacing w:val="-4"/>
          <w:sz w:val="20"/>
        </w:rPr>
        <w:t xml:space="preserve"> </w:t>
      </w:r>
      <w:r>
        <w:rPr>
          <w:sz w:val="20"/>
        </w:rPr>
        <w:t>de</w:t>
      </w:r>
      <w:r>
        <w:rPr>
          <w:spacing w:val="-6"/>
          <w:sz w:val="20"/>
        </w:rPr>
        <w:t xml:space="preserve"> </w:t>
      </w:r>
      <w:r>
        <w:rPr>
          <w:sz w:val="20"/>
        </w:rPr>
        <w:t>daños</w:t>
      </w:r>
      <w:r>
        <w:rPr>
          <w:spacing w:val="-6"/>
          <w:sz w:val="20"/>
        </w:rPr>
        <w:t xml:space="preserve"> </w:t>
      </w:r>
      <w:r>
        <w:rPr>
          <w:sz w:val="20"/>
        </w:rPr>
        <w:t>morales</w:t>
      </w:r>
      <w:r>
        <w:rPr>
          <w:spacing w:val="-4"/>
          <w:sz w:val="20"/>
        </w:rPr>
        <w:t xml:space="preserve"> </w:t>
      </w:r>
      <w:r>
        <w:rPr>
          <w:sz w:val="20"/>
        </w:rPr>
        <w:t>y</w:t>
      </w:r>
      <w:r>
        <w:rPr>
          <w:spacing w:val="-5"/>
          <w:sz w:val="20"/>
        </w:rPr>
        <w:t xml:space="preserve"> </w:t>
      </w:r>
      <w:r>
        <w:rPr>
          <w:sz w:val="20"/>
        </w:rPr>
        <w:t>materiales y los procesos laborales aún en trámite, para en un plazo razonable concluirlos y en su</w:t>
      </w:r>
      <w:r>
        <w:rPr>
          <w:spacing w:val="-42"/>
          <w:sz w:val="20"/>
        </w:rPr>
        <w:t xml:space="preserve"> </w:t>
      </w:r>
      <w:r>
        <w:rPr>
          <w:sz w:val="20"/>
        </w:rPr>
        <w:t>caso, promover la completa ejecución de l</w:t>
      </w:r>
      <w:r>
        <w:rPr>
          <w:sz w:val="20"/>
        </w:rPr>
        <w:t>as sentencias, en los términos del párrafo 268 de la presente</w:t>
      </w:r>
      <w:r>
        <w:rPr>
          <w:spacing w:val="-1"/>
          <w:sz w:val="20"/>
        </w:rPr>
        <w:t xml:space="preserve"> </w:t>
      </w:r>
      <w:r>
        <w:rPr>
          <w:sz w:val="20"/>
        </w:rPr>
        <w:t>Sentencia.</w:t>
      </w:r>
    </w:p>
    <w:p w14:paraId="29535EC5" w14:textId="77777777" w:rsidR="00467FCA" w:rsidRDefault="00467FCA">
      <w:pPr>
        <w:pStyle w:val="Textoindependiente"/>
        <w:spacing w:before="8"/>
        <w:rPr>
          <w:sz w:val="22"/>
        </w:rPr>
      </w:pPr>
    </w:p>
    <w:p w14:paraId="7E67688E" w14:textId="77777777" w:rsidR="00467FCA" w:rsidRDefault="001B68EB">
      <w:pPr>
        <w:pStyle w:val="Prrafodelista"/>
        <w:numPr>
          <w:ilvl w:val="0"/>
          <w:numId w:val="34"/>
        </w:numPr>
        <w:tabs>
          <w:tab w:val="left" w:pos="687"/>
        </w:tabs>
        <w:ind w:left="120" w:right="119" w:hanging="1"/>
        <w:jc w:val="both"/>
        <w:rPr>
          <w:sz w:val="20"/>
        </w:rPr>
      </w:pPr>
      <w:r>
        <w:rPr>
          <w:sz w:val="20"/>
        </w:rPr>
        <w:t>El Estado brindará de forma gratuita e inmediata, el tratamiento médico, psicológico o psiquiátrico, según corresponda, a las víctimas del presente caso que así lo soliciten, de conf</w:t>
      </w:r>
      <w:r>
        <w:rPr>
          <w:sz w:val="20"/>
        </w:rPr>
        <w:t>ormidad con lo establecido en el párrafo 272 de la presente</w:t>
      </w:r>
      <w:r>
        <w:rPr>
          <w:spacing w:val="-14"/>
          <w:sz w:val="20"/>
        </w:rPr>
        <w:t xml:space="preserve"> </w:t>
      </w:r>
      <w:r>
        <w:rPr>
          <w:sz w:val="20"/>
        </w:rPr>
        <w:t>Sentencia.</w:t>
      </w:r>
    </w:p>
    <w:p w14:paraId="60230A3E" w14:textId="77777777" w:rsidR="00467FCA" w:rsidRDefault="00467FCA">
      <w:pPr>
        <w:pStyle w:val="Textoindependiente"/>
      </w:pPr>
    </w:p>
    <w:p w14:paraId="3B4CD3B3" w14:textId="77777777" w:rsidR="00467FCA" w:rsidRDefault="001B68EB">
      <w:pPr>
        <w:pStyle w:val="Prrafodelista"/>
        <w:numPr>
          <w:ilvl w:val="0"/>
          <w:numId w:val="34"/>
        </w:numPr>
        <w:tabs>
          <w:tab w:val="left" w:pos="687"/>
        </w:tabs>
        <w:ind w:left="120" w:right="118" w:firstLine="0"/>
        <w:jc w:val="both"/>
        <w:rPr>
          <w:sz w:val="20"/>
        </w:rPr>
      </w:pPr>
      <w:r>
        <w:rPr>
          <w:sz w:val="20"/>
        </w:rPr>
        <w:t>El Estado realizará, en un plazo de seis meses a partir de la notificación de la presente Sentencia, las publicaciones indicadas en el párrafo 277 de la Sentencia, en los términos allí dispuestos.</w:t>
      </w:r>
    </w:p>
    <w:p w14:paraId="0D625871" w14:textId="77777777" w:rsidR="00467FCA" w:rsidRDefault="00467FCA">
      <w:pPr>
        <w:pStyle w:val="Textoindependiente"/>
      </w:pPr>
    </w:p>
    <w:p w14:paraId="10E7956F" w14:textId="77777777" w:rsidR="00467FCA" w:rsidRDefault="001B68EB">
      <w:pPr>
        <w:pStyle w:val="Prrafodelista"/>
        <w:numPr>
          <w:ilvl w:val="0"/>
          <w:numId w:val="34"/>
        </w:numPr>
        <w:tabs>
          <w:tab w:val="left" w:pos="687"/>
        </w:tabs>
        <w:ind w:left="120" w:right="117" w:hanging="1"/>
        <w:jc w:val="both"/>
        <w:rPr>
          <w:sz w:val="20"/>
        </w:rPr>
      </w:pPr>
      <w:r>
        <w:rPr>
          <w:sz w:val="20"/>
        </w:rPr>
        <w:t>El</w:t>
      </w:r>
      <w:r>
        <w:rPr>
          <w:spacing w:val="-19"/>
          <w:sz w:val="20"/>
        </w:rPr>
        <w:t xml:space="preserve"> </w:t>
      </w:r>
      <w:r>
        <w:rPr>
          <w:sz w:val="20"/>
        </w:rPr>
        <w:t>Estado</w:t>
      </w:r>
      <w:r>
        <w:rPr>
          <w:spacing w:val="-21"/>
          <w:sz w:val="20"/>
        </w:rPr>
        <w:t xml:space="preserve"> </w:t>
      </w:r>
      <w:r>
        <w:rPr>
          <w:sz w:val="20"/>
        </w:rPr>
        <w:t>producirá</w:t>
      </w:r>
      <w:r>
        <w:rPr>
          <w:spacing w:val="-17"/>
          <w:sz w:val="20"/>
        </w:rPr>
        <w:t xml:space="preserve"> </w:t>
      </w:r>
      <w:r>
        <w:rPr>
          <w:sz w:val="20"/>
        </w:rPr>
        <w:t>y</w:t>
      </w:r>
      <w:r>
        <w:rPr>
          <w:spacing w:val="-18"/>
          <w:sz w:val="20"/>
        </w:rPr>
        <w:t xml:space="preserve"> </w:t>
      </w:r>
      <w:r>
        <w:rPr>
          <w:sz w:val="20"/>
        </w:rPr>
        <w:t>difundirá</w:t>
      </w:r>
      <w:r>
        <w:rPr>
          <w:spacing w:val="-20"/>
          <w:sz w:val="20"/>
        </w:rPr>
        <w:t xml:space="preserve"> </w:t>
      </w:r>
      <w:r>
        <w:rPr>
          <w:sz w:val="20"/>
        </w:rPr>
        <w:t>material</w:t>
      </w:r>
      <w:r>
        <w:rPr>
          <w:spacing w:val="-18"/>
          <w:sz w:val="20"/>
        </w:rPr>
        <w:t xml:space="preserve"> </w:t>
      </w:r>
      <w:r>
        <w:rPr>
          <w:sz w:val="20"/>
        </w:rPr>
        <w:t>para</w:t>
      </w:r>
      <w:r>
        <w:rPr>
          <w:spacing w:val="-17"/>
          <w:sz w:val="20"/>
        </w:rPr>
        <w:t xml:space="preserve"> </w:t>
      </w:r>
      <w:r>
        <w:rPr>
          <w:sz w:val="20"/>
        </w:rPr>
        <w:t>radio</w:t>
      </w:r>
      <w:r>
        <w:rPr>
          <w:spacing w:val="-21"/>
          <w:sz w:val="20"/>
        </w:rPr>
        <w:t xml:space="preserve"> </w:t>
      </w:r>
      <w:r>
        <w:rPr>
          <w:sz w:val="20"/>
        </w:rPr>
        <w:t>y</w:t>
      </w:r>
      <w:r>
        <w:rPr>
          <w:spacing w:val="-18"/>
          <w:sz w:val="20"/>
        </w:rPr>
        <w:t xml:space="preserve"> </w:t>
      </w:r>
      <w:r>
        <w:rPr>
          <w:sz w:val="20"/>
        </w:rPr>
        <w:t>tele</w:t>
      </w:r>
      <w:r>
        <w:rPr>
          <w:sz w:val="20"/>
        </w:rPr>
        <w:t>visión</w:t>
      </w:r>
      <w:r>
        <w:rPr>
          <w:spacing w:val="-16"/>
          <w:sz w:val="20"/>
        </w:rPr>
        <w:t xml:space="preserve"> </w:t>
      </w:r>
      <w:r>
        <w:rPr>
          <w:sz w:val="20"/>
        </w:rPr>
        <w:t>en</w:t>
      </w:r>
      <w:r>
        <w:rPr>
          <w:spacing w:val="-16"/>
          <w:sz w:val="20"/>
        </w:rPr>
        <w:t xml:space="preserve"> </w:t>
      </w:r>
      <w:r>
        <w:rPr>
          <w:sz w:val="20"/>
        </w:rPr>
        <w:t>relación</w:t>
      </w:r>
      <w:r>
        <w:rPr>
          <w:spacing w:val="-19"/>
          <w:sz w:val="20"/>
        </w:rPr>
        <w:t xml:space="preserve"> </w:t>
      </w:r>
      <w:r>
        <w:rPr>
          <w:sz w:val="20"/>
        </w:rPr>
        <w:t>con</w:t>
      </w:r>
      <w:r>
        <w:rPr>
          <w:spacing w:val="-16"/>
          <w:sz w:val="20"/>
        </w:rPr>
        <w:t xml:space="preserve"> </w:t>
      </w:r>
      <w:r>
        <w:rPr>
          <w:sz w:val="20"/>
        </w:rPr>
        <w:t>los</w:t>
      </w:r>
      <w:r>
        <w:rPr>
          <w:spacing w:val="-20"/>
          <w:sz w:val="20"/>
        </w:rPr>
        <w:t xml:space="preserve"> </w:t>
      </w:r>
      <w:r>
        <w:rPr>
          <w:sz w:val="20"/>
        </w:rPr>
        <w:t>hechos del presente caso, en los términos del párrafo 278 de la presente</w:t>
      </w:r>
      <w:r>
        <w:rPr>
          <w:spacing w:val="-18"/>
          <w:sz w:val="20"/>
        </w:rPr>
        <w:t xml:space="preserve"> </w:t>
      </w:r>
      <w:r>
        <w:rPr>
          <w:sz w:val="20"/>
        </w:rPr>
        <w:t>Sentencia.</w:t>
      </w:r>
    </w:p>
    <w:p w14:paraId="1F5C8783" w14:textId="77777777" w:rsidR="00467FCA" w:rsidRDefault="00467FCA">
      <w:pPr>
        <w:pStyle w:val="Textoindependiente"/>
      </w:pPr>
    </w:p>
    <w:p w14:paraId="3BC76B4E" w14:textId="77777777" w:rsidR="00467FCA" w:rsidRDefault="001B68EB">
      <w:pPr>
        <w:pStyle w:val="Prrafodelista"/>
        <w:numPr>
          <w:ilvl w:val="0"/>
          <w:numId w:val="34"/>
        </w:numPr>
        <w:tabs>
          <w:tab w:val="left" w:pos="687"/>
        </w:tabs>
        <w:ind w:left="120" w:right="118" w:hanging="1"/>
        <w:jc w:val="both"/>
        <w:rPr>
          <w:sz w:val="20"/>
        </w:rPr>
      </w:pPr>
      <w:r>
        <w:rPr>
          <w:sz w:val="20"/>
        </w:rPr>
        <w:t>El Estado realizará un acto público de reconocimiento de responsabilidad internacional en relación con los hechos del presente caso, en los términos del párrafo 281 de la presente Sentencia.</w:t>
      </w:r>
    </w:p>
    <w:p w14:paraId="6C6C6A72" w14:textId="77777777" w:rsidR="00467FCA" w:rsidRDefault="00467FCA">
      <w:pPr>
        <w:pStyle w:val="Textoindependiente"/>
        <w:spacing w:before="9"/>
        <w:rPr>
          <w:sz w:val="22"/>
        </w:rPr>
      </w:pPr>
    </w:p>
    <w:p w14:paraId="163C92D3" w14:textId="77777777" w:rsidR="00467FCA" w:rsidRDefault="001B68EB">
      <w:pPr>
        <w:pStyle w:val="Prrafodelista"/>
        <w:numPr>
          <w:ilvl w:val="0"/>
          <w:numId w:val="34"/>
        </w:numPr>
        <w:tabs>
          <w:tab w:val="left" w:pos="687"/>
        </w:tabs>
        <w:ind w:left="120" w:right="119" w:hanging="1"/>
        <w:jc w:val="both"/>
        <w:rPr>
          <w:sz w:val="20"/>
        </w:rPr>
      </w:pPr>
      <w:r>
        <w:rPr>
          <w:sz w:val="20"/>
        </w:rPr>
        <w:t>El Estado inspeccionará sistemática y periódicamente los locales</w:t>
      </w:r>
      <w:r>
        <w:rPr>
          <w:sz w:val="20"/>
        </w:rPr>
        <w:t xml:space="preserve"> de producción de fuegos artificiales, en los términos del párrafo 287 de la presente</w:t>
      </w:r>
      <w:r>
        <w:rPr>
          <w:spacing w:val="-19"/>
          <w:sz w:val="20"/>
        </w:rPr>
        <w:t xml:space="preserve"> </w:t>
      </w:r>
      <w:r>
        <w:rPr>
          <w:sz w:val="20"/>
        </w:rPr>
        <w:t>Sentencia.</w:t>
      </w:r>
    </w:p>
    <w:p w14:paraId="2CD9626C" w14:textId="77777777" w:rsidR="00467FCA" w:rsidRDefault="00467FCA">
      <w:pPr>
        <w:pStyle w:val="Textoindependiente"/>
      </w:pPr>
    </w:p>
    <w:p w14:paraId="2AA1A4CC" w14:textId="77777777" w:rsidR="00467FCA" w:rsidRDefault="001B68EB">
      <w:pPr>
        <w:pStyle w:val="Prrafodelista"/>
        <w:numPr>
          <w:ilvl w:val="0"/>
          <w:numId w:val="34"/>
        </w:numPr>
        <w:tabs>
          <w:tab w:val="left" w:pos="687"/>
        </w:tabs>
        <w:spacing w:before="1"/>
        <w:ind w:left="120" w:right="119" w:firstLine="0"/>
        <w:jc w:val="both"/>
        <w:rPr>
          <w:sz w:val="20"/>
        </w:rPr>
      </w:pPr>
      <w:r>
        <w:rPr>
          <w:sz w:val="20"/>
        </w:rPr>
        <w:t>El</w:t>
      </w:r>
      <w:r>
        <w:rPr>
          <w:spacing w:val="-5"/>
          <w:sz w:val="20"/>
        </w:rPr>
        <w:t xml:space="preserve"> </w:t>
      </w:r>
      <w:r>
        <w:rPr>
          <w:sz w:val="20"/>
        </w:rPr>
        <w:t>Estado</w:t>
      </w:r>
      <w:r>
        <w:rPr>
          <w:spacing w:val="-3"/>
          <w:sz w:val="20"/>
        </w:rPr>
        <w:t xml:space="preserve"> </w:t>
      </w:r>
      <w:r>
        <w:rPr>
          <w:sz w:val="20"/>
        </w:rPr>
        <w:t>rendirá</w:t>
      </w:r>
      <w:r>
        <w:rPr>
          <w:spacing w:val="-4"/>
          <w:sz w:val="20"/>
        </w:rPr>
        <w:t xml:space="preserve"> </w:t>
      </w:r>
      <w:r>
        <w:rPr>
          <w:sz w:val="20"/>
        </w:rPr>
        <w:t>un</w:t>
      </w:r>
      <w:r>
        <w:rPr>
          <w:spacing w:val="-4"/>
          <w:sz w:val="20"/>
        </w:rPr>
        <w:t xml:space="preserve"> </w:t>
      </w:r>
      <w:r>
        <w:rPr>
          <w:sz w:val="20"/>
        </w:rPr>
        <w:t>informe</w:t>
      </w:r>
      <w:r>
        <w:rPr>
          <w:spacing w:val="-3"/>
          <w:sz w:val="20"/>
        </w:rPr>
        <w:t xml:space="preserve"> </w:t>
      </w:r>
      <w:r>
        <w:rPr>
          <w:sz w:val="20"/>
        </w:rPr>
        <w:t>sobre</w:t>
      </w:r>
      <w:r>
        <w:rPr>
          <w:spacing w:val="-4"/>
          <w:sz w:val="20"/>
        </w:rPr>
        <w:t xml:space="preserve"> </w:t>
      </w:r>
      <w:r>
        <w:rPr>
          <w:sz w:val="20"/>
        </w:rPr>
        <w:t>el</w:t>
      </w:r>
      <w:r>
        <w:rPr>
          <w:spacing w:val="-4"/>
          <w:sz w:val="20"/>
        </w:rPr>
        <w:t xml:space="preserve"> </w:t>
      </w:r>
      <w:r>
        <w:rPr>
          <w:sz w:val="20"/>
        </w:rPr>
        <w:t>avance</w:t>
      </w:r>
      <w:r>
        <w:rPr>
          <w:spacing w:val="-6"/>
          <w:sz w:val="20"/>
        </w:rPr>
        <w:t xml:space="preserve"> </w:t>
      </w:r>
      <w:r>
        <w:rPr>
          <w:sz w:val="20"/>
        </w:rPr>
        <w:t>del</w:t>
      </w:r>
      <w:r>
        <w:rPr>
          <w:spacing w:val="-4"/>
          <w:sz w:val="20"/>
        </w:rPr>
        <w:t xml:space="preserve"> </w:t>
      </w:r>
      <w:r>
        <w:rPr>
          <w:sz w:val="20"/>
        </w:rPr>
        <w:t>trámite</w:t>
      </w:r>
      <w:r>
        <w:rPr>
          <w:spacing w:val="-4"/>
          <w:sz w:val="20"/>
        </w:rPr>
        <w:t xml:space="preserve"> </w:t>
      </w:r>
      <w:r>
        <w:rPr>
          <w:sz w:val="20"/>
        </w:rPr>
        <w:t>legislativo</w:t>
      </w:r>
      <w:r>
        <w:rPr>
          <w:spacing w:val="-6"/>
          <w:sz w:val="20"/>
        </w:rPr>
        <w:t xml:space="preserve"> </w:t>
      </w:r>
      <w:r>
        <w:rPr>
          <w:sz w:val="20"/>
        </w:rPr>
        <w:t>del</w:t>
      </w:r>
      <w:r>
        <w:rPr>
          <w:spacing w:val="-2"/>
          <w:sz w:val="20"/>
        </w:rPr>
        <w:t xml:space="preserve"> </w:t>
      </w:r>
      <w:r>
        <w:rPr>
          <w:sz w:val="20"/>
        </w:rPr>
        <w:t>Proyecto</w:t>
      </w:r>
      <w:r>
        <w:rPr>
          <w:spacing w:val="-7"/>
          <w:sz w:val="20"/>
        </w:rPr>
        <w:t xml:space="preserve"> </w:t>
      </w:r>
      <w:r>
        <w:rPr>
          <w:sz w:val="20"/>
        </w:rPr>
        <w:t>de</w:t>
      </w:r>
      <w:r>
        <w:rPr>
          <w:spacing w:val="-3"/>
          <w:sz w:val="20"/>
        </w:rPr>
        <w:t xml:space="preserve"> </w:t>
      </w:r>
      <w:r>
        <w:rPr>
          <w:sz w:val="20"/>
        </w:rPr>
        <w:t>Ley del Senado Federal de Brasil PLS 7433/2017, en los términos del párrafo 288 de la presente Sentencia.</w:t>
      </w:r>
    </w:p>
    <w:p w14:paraId="163BFE9A" w14:textId="77777777" w:rsidR="00467FCA" w:rsidRDefault="00467FCA">
      <w:pPr>
        <w:pStyle w:val="Textoindependiente"/>
        <w:spacing w:before="11"/>
        <w:rPr>
          <w:sz w:val="19"/>
        </w:rPr>
      </w:pPr>
    </w:p>
    <w:p w14:paraId="16A32148" w14:textId="77777777" w:rsidR="00467FCA" w:rsidRDefault="001B68EB">
      <w:pPr>
        <w:pStyle w:val="Prrafodelista"/>
        <w:numPr>
          <w:ilvl w:val="0"/>
          <w:numId w:val="34"/>
        </w:numPr>
        <w:tabs>
          <w:tab w:val="left" w:pos="687"/>
        </w:tabs>
        <w:spacing w:before="1"/>
        <w:ind w:left="120" w:right="118" w:hanging="1"/>
        <w:jc w:val="both"/>
        <w:rPr>
          <w:sz w:val="20"/>
        </w:rPr>
      </w:pPr>
      <w:r>
        <w:rPr>
          <w:sz w:val="20"/>
        </w:rPr>
        <w:t>El Estado diseñará y ejecutará un programa de desarrollo socioeconómico, en consulta con</w:t>
      </w:r>
      <w:r>
        <w:rPr>
          <w:spacing w:val="15"/>
          <w:sz w:val="20"/>
        </w:rPr>
        <w:t xml:space="preserve"> </w:t>
      </w:r>
      <w:r>
        <w:rPr>
          <w:sz w:val="20"/>
        </w:rPr>
        <w:t>las</w:t>
      </w:r>
      <w:r>
        <w:rPr>
          <w:spacing w:val="13"/>
          <w:sz w:val="20"/>
        </w:rPr>
        <w:t xml:space="preserve"> </w:t>
      </w:r>
      <w:r>
        <w:rPr>
          <w:sz w:val="20"/>
        </w:rPr>
        <w:t>víctimas</w:t>
      </w:r>
      <w:r>
        <w:rPr>
          <w:spacing w:val="15"/>
          <w:sz w:val="20"/>
        </w:rPr>
        <w:t xml:space="preserve"> </w:t>
      </w:r>
      <w:r>
        <w:rPr>
          <w:sz w:val="20"/>
        </w:rPr>
        <w:t>y</w:t>
      </w:r>
      <w:r>
        <w:rPr>
          <w:spacing w:val="13"/>
          <w:sz w:val="20"/>
        </w:rPr>
        <w:t xml:space="preserve"> </w:t>
      </w:r>
      <w:r>
        <w:rPr>
          <w:sz w:val="20"/>
        </w:rPr>
        <w:t>sus</w:t>
      </w:r>
      <w:r>
        <w:rPr>
          <w:spacing w:val="13"/>
          <w:sz w:val="20"/>
        </w:rPr>
        <w:t xml:space="preserve"> </w:t>
      </w:r>
      <w:r>
        <w:rPr>
          <w:sz w:val="20"/>
        </w:rPr>
        <w:t>familiares,</w:t>
      </w:r>
      <w:r>
        <w:rPr>
          <w:spacing w:val="17"/>
          <w:sz w:val="20"/>
        </w:rPr>
        <w:t xml:space="preserve"> </w:t>
      </w:r>
      <w:r>
        <w:rPr>
          <w:sz w:val="20"/>
        </w:rPr>
        <w:t>con</w:t>
      </w:r>
      <w:r>
        <w:rPr>
          <w:spacing w:val="17"/>
          <w:sz w:val="20"/>
        </w:rPr>
        <w:t xml:space="preserve"> </w:t>
      </w:r>
      <w:r>
        <w:rPr>
          <w:sz w:val="20"/>
        </w:rPr>
        <w:t>el</w:t>
      </w:r>
      <w:r>
        <w:rPr>
          <w:spacing w:val="16"/>
          <w:sz w:val="20"/>
        </w:rPr>
        <w:t xml:space="preserve"> </w:t>
      </w:r>
      <w:r>
        <w:rPr>
          <w:sz w:val="20"/>
        </w:rPr>
        <w:t>objeto</w:t>
      </w:r>
      <w:r>
        <w:rPr>
          <w:spacing w:val="15"/>
          <w:sz w:val="20"/>
        </w:rPr>
        <w:t xml:space="preserve"> </w:t>
      </w:r>
      <w:r>
        <w:rPr>
          <w:sz w:val="20"/>
        </w:rPr>
        <w:t>de</w:t>
      </w:r>
      <w:r>
        <w:rPr>
          <w:spacing w:val="13"/>
          <w:sz w:val="20"/>
        </w:rPr>
        <w:t xml:space="preserve"> </w:t>
      </w:r>
      <w:r>
        <w:rPr>
          <w:sz w:val="20"/>
        </w:rPr>
        <w:t>promover</w:t>
      </w:r>
      <w:r>
        <w:rPr>
          <w:spacing w:val="13"/>
          <w:sz w:val="20"/>
        </w:rPr>
        <w:t xml:space="preserve"> </w:t>
      </w:r>
      <w:r>
        <w:rPr>
          <w:sz w:val="20"/>
        </w:rPr>
        <w:t>la</w:t>
      </w:r>
      <w:r>
        <w:rPr>
          <w:spacing w:val="17"/>
          <w:sz w:val="20"/>
        </w:rPr>
        <w:t xml:space="preserve"> </w:t>
      </w:r>
      <w:r>
        <w:rPr>
          <w:sz w:val="20"/>
        </w:rPr>
        <w:t>inserción</w:t>
      </w:r>
      <w:r>
        <w:rPr>
          <w:spacing w:val="15"/>
          <w:sz w:val="20"/>
        </w:rPr>
        <w:t xml:space="preserve"> </w:t>
      </w:r>
      <w:r>
        <w:rPr>
          <w:sz w:val="20"/>
        </w:rPr>
        <w:t>de</w:t>
      </w:r>
      <w:r>
        <w:rPr>
          <w:spacing w:val="15"/>
          <w:sz w:val="20"/>
        </w:rPr>
        <w:t xml:space="preserve"> </w:t>
      </w:r>
      <w:r>
        <w:rPr>
          <w:sz w:val="20"/>
        </w:rPr>
        <w:t>trabajadoras</w:t>
      </w:r>
      <w:r>
        <w:rPr>
          <w:spacing w:val="13"/>
          <w:sz w:val="20"/>
        </w:rPr>
        <w:t xml:space="preserve"> </w:t>
      </w:r>
      <w:r>
        <w:rPr>
          <w:sz w:val="20"/>
        </w:rPr>
        <w:t>y</w:t>
      </w:r>
    </w:p>
    <w:p w14:paraId="0B4077A3" w14:textId="77777777" w:rsidR="00467FCA" w:rsidRDefault="00467FCA">
      <w:pPr>
        <w:jc w:val="both"/>
        <w:rPr>
          <w:sz w:val="20"/>
        </w:rPr>
        <w:sectPr w:rsidR="00467FCA">
          <w:pgSz w:w="12240" w:h="15840"/>
          <w:pgMar w:top="1360" w:right="1320" w:bottom="1220" w:left="1320" w:header="0" w:footer="957" w:gutter="0"/>
          <w:cols w:space="720"/>
        </w:sectPr>
      </w:pPr>
    </w:p>
    <w:p w14:paraId="433A6FB2" w14:textId="77777777" w:rsidR="00467FCA" w:rsidRDefault="001B68EB">
      <w:pPr>
        <w:pStyle w:val="Textoindependiente"/>
        <w:spacing w:before="80"/>
        <w:ind w:left="120" w:right="118" w:hanging="1"/>
        <w:jc w:val="both"/>
      </w:pPr>
      <w:r>
        <w:t>trabajadores dedicados a la fabricación de fuegos artificiales en otros mercados laborales y posibilitar</w:t>
      </w:r>
      <w:r>
        <w:rPr>
          <w:spacing w:val="-10"/>
        </w:rPr>
        <w:t xml:space="preserve"> </w:t>
      </w:r>
      <w:r>
        <w:t>la</w:t>
      </w:r>
      <w:r>
        <w:rPr>
          <w:spacing w:val="-5"/>
        </w:rPr>
        <w:t xml:space="preserve"> </w:t>
      </w:r>
      <w:r>
        <w:t>creación</w:t>
      </w:r>
      <w:r>
        <w:rPr>
          <w:spacing w:val="-5"/>
        </w:rPr>
        <w:t xml:space="preserve"> </w:t>
      </w:r>
      <w:r>
        <w:t>de</w:t>
      </w:r>
      <w:r>
        <w:rPr>
          <w:spacing w:val="-7"/>
        </w:rPr>
        <w:t xml:space="preserve"> </w:t>
      </w:r>
      <w:r>
        <w:t>otras</w:t>
      </w:r>
      <w:r>
        <w:rPr>
          <w:spacing w:val="-6"/>
        </w:rPr>
        <w:t xml:space="preserve"> </w:t>
      </w:r>
      <w:r>
        <w:t>alternativas</w:t>
      </w:r>
      <w:r>
        <w:rPr>
          <w:spacing w:val="-6"/>
        </w:rPr>
        <w:t xml:space="preserve"> </w:t>
      </w:r>
      <w:r>
        <w:t>económicas,</w:t>
      </w:r>
      <w:r>
        <w:rPr>
          <w:spacing w:val="-6"/>
        </w:rPr>
        <w:t xml:space="preserve"> </w:t>
      </w:r>
      <w:r>
        <w:t>en</w:t>
      </w:r>
      <w:r>
        <w:rPr>
          <w:spacing w:val="-8"/>
        </w:rPr>
        <w:t xml:space="preserve"> </w:t>
      </w:r>
      <w:r>
        <w:t>los</w:t>
      </w:r>
      <w:r>
        <w:rPr>
          <w:spacing w:val="-9"/>
        </w:rPr>
        <w:t xml:space="preserve"> </w:t>
      </w:r>
      <w:r>
        <w:t>términos</w:t>
      </w:r>
      <w:r>
        <w:rPr>
          <w:spacing w:val="-4"/>
        </w:rPr>
        <w:t xml:space="preserve"> </w:t>
      </w:r>
      <w:r>
        <w:t>de</w:t>
      </w:r>
      <w:r>
        <w:rPr>
          <w:spacing w:val="-10"/>
        </w:rPr>
        <w:t xml:space="preserve"> </w:t>
      </w:r>
      <w:r>
        <w:t>los</w:t>
      </w:r>
      <w:r>
        <w:rPr>
          <w:spacing w:val="-9"/>
        </w:rPr>
        <w:t xml:space="preserve"> </w:t>
      </w:r>
      <w:r>
        <w:t>párrafos</w:t>
      </w:r>
      <w:r>
        <w:rPr>
          <w:spacing w:val="-9"/>
        </w:rPr>
        <w:t xml:space="preserve"> </w:t>
      </w:r>
      <w:r>
        <w:t>289</w:t>
      </w:r>
      <w:r>
        <w:rPr>
          <w:spacing w:val="-6"/>
        </w:rPr>
        <w:t xml:space="preserve"> </w:t>
      </w:r>
      <w:r>
        <w:t>a 290 de la presente</w:t>
      </w:r>
      <w:r>
        <w:rPr>
          <w:spacing w:val="-7"/>
        </w:rPr>
        <w:t xml:space="preserve"> </w:t>
      </w:r>
      <w:r>
        <w:t>Senten</w:t>
      </w:r>
      <w:r>
        <w:t>cia.</w:t>
      </w:r>
    </w:p>
    <w:p w14:paraId="33DBE472" w14:textId="77777777" w:rsidR="00467FCA" w:rsidRDefault="00467FCA">
      <w:pPr>
        <w:pStyle w:val="Textoindependiente"/>
      </w:pPr>
    </w:p>
    <w:p w14:paraId="15D7A8A8" w14:textId="77777777" w:rsidR="00467FCA" w:rsidRDefault="001B68EB">
      <w:pPr>
        <w:pStyle w:val="Prrafodelista"/>
        <w:numPr>
          <w:ilvl w:val="0"/>
          <w:numId w:val="34"/>
        </w:numPr>
        <w:tabs>
          <w:tab w:val="left" w:pos="687"/>
        </w:tabs>
        <w:ind w:left="120" w:right="119" w:firstLine="0"/>
        <w:jc w:val="both"/>
        <w:rPr>
          <w:sz w:val="20"/>
        </w:rPr>
      </w:pPr>
      <w:r>
        <w:rPr>
          <w:sz w:val="20"/>
        </w:rPr>
        <w:t>El Estado rendirá un informe sobre la aplicación de las Directrices Nacionales sobre Empresas y Derechos Humanos, en los términos del párrafo 291 de la presente</w:t>
      </w:r>
      <w:r>
        <w:rPr>
          <w:spacing w:val="-31"/>
          <w:sz w:val="20"/>
        </w:rPr>
        <w:t xml:space="preserve"> </w:t>
      </w:r>
      <w:r>
        <w:rPr>
          <w:sz w:val="20"/>
        </w:rPr>
        <w:t>Sentencia.</w:t>
      </w:r>
    </w:p>
    <w:p w14:paraId="0D6DF433" w14:textId="77777777" w:rsidR="00467FCA" w:rsidRDefault="00467FCA">
      <w:pPr>
        <w:pStyle w:val="Textoindependiente"/>
      </w:pPr>
    </w:p>
    <w:p w14:paraId="4E3E00B9" w14:textId="77777777" w:rsidR="00467FCA" w:rsidRDefault="001B68EB">
      <w:pPr>
        <w:pStyle w:val="Prrafodelista"/>
        <w:numPr>
          <w:ilvl w:val="0"/>
          <w:numId w:val="34"/>
        </w:numPr>
        <w:tabs>
          <w:tab w:val="left" w:pos="687"/>
        </w:tabs>
        <w:spacing w:before="1"/>
        <w:ind w:left="120" w:right="116" w:firstLine="0"/>
        <w:jc w:val="both"/>
        <w:rPr>
          <w:sz w:val="20"/>
        </w:rPr>
      </w:pPr>
      <w:r>
        <w:rPr>
          <w:sz w:val="20"/>
        </w:rPr>
        <w:t>El Estado pagará las cantidades fijadas en los párrafos 296, 303 y 312 de la presen</w:t>
      </w:r>
      <w:r>
        <w:rPr>
          <w:sz w:val="20"/>
        </w:rPr>
        <w:t>te Sentencia, por concepto de indemnizaciones por daño material, daño inmaterial y costas y gastos, en los términos de los párrafos 296, 297, 303, 304, 312 y 313 a 317 de la presente Sentencia.</w:t>
      </w:r>
    </w:p>
    <w:p w14:paraId="3BAE9BE3" w14:textId="77777777" w:rsidR="00467FCA" w:rsidRDefault="00467FCA">
      <w:pPr>
        <w:pStyle w:val="Textoindependiente"/>
        <w:spacing w:before="8"/>
        <w:rPr>
          <w:sz w:val="22"/>
        </w:rPr>
      </w:pPr>
    </w:p>
    <w:p w14:paraId="349F35C6" w14:textId="77777777" w:rsidR="00467FCA" w:rsidRDefault="001B68EB">
      <w:pPr>
        <w:pStyle w:val="Prrafodelista"/>
        <w:numPr>
          <w:ilvl w:val="0"/>
          <w:numId w:val="34"/>
        </w:numPr>
        <w:tabs>
          <w:tab w:val="left" w:pos="687"/>
        </w:tabs>
        <w:ind w:right="120" w:firstLine="1"/>
        <w:jc w:val="both"/>
        <w:rPr>
          <w:sz w:val="20"/>
        </w:rPr>
      </w:pPr>
      <w:r>
        <w:rPr>
          <w:sz w:val="20"/>
        </w:rPr>
        <w:t xml:space="preserve">El Estado, dentro del plazo de un año contado a partir de la </w:t>
      </w:r>
      <w:r>
        <w:rPr>
          <w:sz w:val="20"/>
        </w:rPr>
        <w:t>notificación de esta Sentencia, rendirá al Tribunal un informe sobre las medidas adoptadas para cumplir con la misma, sin perjuicio de lo establecido en el párrafo 277 de la presente</w:t>
      </w:r>
      <w:r>
        <w:rPr>
          <w:spacing w:val="-21"/>
          <w:sz w:val="20"/>
        </w:rPr>
        <w:t xml:space="preserve"> </w:t>
      </w:r>
      <w:r>
        <w:rPr>
          <w:sz w:val="20"/>
        </w:rPr>
        <w:t>Sentencia.</w:t>
      </w:r>
    </w:p>
    <w:p w14:paraId="5ADEAC65" w14:textId="77777777" w:rsidR="00467FCA" w:rsidRDefault="00467FCA">
      <w:pPr>
        <w:pStyle w:val="Textoindependiente"/>
        <w:spacing w:before="12"/>
        <w:rPr>
          <w:sz w:val="19"/>
        </w:rPr>
      </w:pPr>
    </w:p>
    <w:p w14:paraId="2B8872C3" w14:textId="77777777" w:rsidR="00467FCA" w:rsidRDefault="001B68EB">
      <w:pPr>
        <w:pStyle w:val="Prrafodelista"/>
        <w:numPr>
          <w:ilvl w:val="0"/>
          <w:numId w:val="34"/>
        </w:numPr>
        <w:tabs>
          <w:tab w:val="left" w:pos="686"/>
        </w:tabs>
        <w:ind w:right="119" w:hanging="1"/>
        <w:jc w:val="both"/>
        <w:rPr>
          <w:sz w:val="20"/>
        </w:rPr>
      </w:pPr>
      <w:r>
        <w:rPr>
          <w:sz w:val="20"/>
        </w:rPr>
        <w:t>La Corte supervisará el cumplimiento íntegro de esta Sentenci</w:t>
      </w:r>
      <w:r>
        <w:rPr>
          <w:sz w:val="20"/>
        </w:rPr>
        <w:t>a, en ejercicio de sus atribuciones y en cumplimiento de sus deberes conforme a la Convención Americana sobre Derechos Humanos, y dará por concluido el presente caso una vez que el Estado haya dado cabal cumplimiento a lo</w:t>
      </w:r>
      <w:r>
        <w:rPr>
          <w:spacing w:val="-3"/>
          <w:sz w:val="20"/>
        </w:rPr>
        <w:t xml:space="preserve"> </w:t>
      </w:r>
      <w:r>
        <w:rPr>
          <w:sz w:val="20"/>
        </w:rPr>
        <w:t>dispuesto.</w:t>
      </w:r>
    </w:p>
    <w:p w14:paraId="2CA7750A" w14:textId="77777777" w:rsidR="00467FCA" w:rsidRDefault="00467FCA">
      <w:pPr>
        <w:pStyle w:val="Textoindependiente"/>
        <w:spacing w:before="8"/>
        <w:rPr>
          <w:sz w:val="22"/>
        </w:rPr>
      </w:pPr>
    </w:p>
    <w:p w14:paraId="2F41BE13" w14:textId="77777777" w:rsidR="00467FCA" w:rsidRDefault="001B68EB">
      <w:pPr>
        <w:pStyle w:val="Textoindependiente"/>
        <w:ind w:left="120" w:right="116"/>
        <w:jc w:val="both"/>
      </w:pPr>
      <w:r>
        <w:t>Los jueces L. Patricio</w:t>
      </w:r>
      <w:r>
        <w:t xml:space="preserve"> Pazmiño Freire, Eduardo Ferrer Mac-Gregor Poisot y Ricardo Pérez Manrique</w:t>
      </w:r>
      <w:r>
        <w:rPr>
          <w:spacing w:val="-14"/>
        </w:rPr>
        <w:t xml:space="preserve"> </w:t>
      </w:r>
      <w:r>
        <w:t>dieron</w:t>
      </w:r>
      <w:r>
        <w:rPr>
          <w:spacing w:val="-12"/>
        </w:rPr>
        <w:t xml:space="preserve"> </w:t>
      </w:r>
      <w:r>
        <w:t>a</w:t>
      </w:r>
      <w:r>
        <w:rPr>
          <w:spacing w:val="-10"/>
        </w:rPr>
        <w:t xml:space="preserve"> </w:t>
      </w:r>
      <w:r>
        <w:t>conocer</w:t>
      </w:r>
      <w:r>
        <w:rPr>
          <w:spacing w:val="-11"/>
        </w:rPr>
        <w:t xml:space="preserve"> </w:t>
      </w:r>
      <w:r>
        <w:t>a</w:t>
      </w:r>
      <w:r>
        <w:rPr>
          <w:spacing w:val="-12"/>
        </w:rPr>
        <w:t xml:space="preserve"> </w:t>
      </w:r>
      <w:r>
        <w:t>la</w:t>
      </w:r>
      <w:r>
        <w:rPr>
          <w:spacing w:val="-10"/>
        </w:rPr>
        <w:t xml:space="preserve"> </w:t>
      </w:r>
      <w:r>
        <w:t>Corte</w:t>
      </w:r>
      <w:r>
        <w:rPr>
          <w:spacing w:val="-11"/>
        </w:rPr>
        <w:t xml:space="preserve"> </w:t>
      </w:r>
      <w:r>
        <w:t>sus</w:t>
      </w:r>
      <w:r>
        <w:rPr>
          <w:spacing w:val="-10"/>
        </w:rPr>
        <w:t xml:space="preserve"> </w:t>
      </w:r>
      <w:r>
        <w:t>votos</w:t>
      </w:r>
      <w:r>
        <w:rPr>
          <w:spacing w:val="-11"/>
        </w:rPr>
        <w:t xml:space="preserve"> </w:t>
      </w:r>
      <w:r>
        <w:t>individuales</w:t>
      </w:r>
      <w:r>
        <w:rPr>
          <w:spacing w:val="-13"/>
        </w:rPr>
        <w:t xml:space="preserve"> </w:t>
      </w:r>
      <w:r>
        <w:t>concurrentes.</w:t>
      </w:r>
      <w:r>
        <w:rPr>
          <w:spacing w:val="-11"/>
        </w:rPr>
        <w:t xml:space="preserve"> </w:t>
      </w:r>
      <w:r>
        <w:t>Los</w:t>
      </w:r>
      <w:r>
        <w:rPr>
          <w:spacing w:val="-13"/>
        </w:rPr>
        <w:t xml:space="preserve"> </w:t>
      </w:r>
      <w:r>
        <w:t>Jueces</w:t>
      </w:r>
      <w:r>
        <w:rPr>
          <w:spacing w:val="-13"/>
        </w:rPr>
        <w:t xml:space="preserve"> </w:t>
      </w:r>
      <w:r>
        <w:t>Eduardo Vio</w:t>
      </w:r>
      <w:r>
        <w:rPr>
          <w:spacing w:val="-9"/>
        </w:rPr>
        <w:t xml:space="preserve"> </w:t>
      </w:r>
      <w:r>
        <w:t>Grossi</w:t>
      </w:r>
      <w:r>
        <w:rPr>
          <w:spacing w:val="-7"/>
        </w:rPr>
        <w:t xml:space="preserve"> </w:t>
      </w:r>
      <w:r>
        <w:t>y</w:t>
      </w:r>
      <w:r>
        <w:rPr>
          <w:spacing w:val="-6"/>
        </w:rPr>
        <w:t xml:space="preserve"> </w:t>
      </w:r>
      <w:r>
        <w:t>Humberto</w:t>
      </w:r>
      <w:r>
        <w:rPr>
          <w:spacing w:val="-8"/>
        </w:rPr>
        <w:t xml:space="preserve"> </w:t>
      </w:r>
      <w:r>
        <w:t>Antonio</w:t>
      </w:r>
      <w:r>
        <w:rPr>
          <w:spacing w:val="-9"/>
        </w:rPr>
        <w:t xml:space="preserve"> </w:t>
      </w:r>
      <w:r>
        <w:t>Sierra</w:t>
      </w:r>
      <w:r>
        <w:rPr>
          <w:spacing w:val="-8"/>
        </w:rPr>
        <w:t xml:space="preserve"> </w:t>
      </w:r>
      <w:r>
        <w:t>Porto</w:t>
      </w:r>
      <w:r>
        <w:rPr>
          <w:spacing w:val="-8"/>
        </w:rPr>
        <w:t xml:space="preserve"> </w:t>
      </w:r>
      <w:r>
        <w:t>dieron</w:t>
      </w:r>
      <w:r>
        <w:rPr>
          <w:spacing w:val="-7"/>
        </w:rPr>
        <w:t xml:space="preserve"> </w:t>
      </w:r>
      <w:r>
        <w:t>a</w:t>
      </w:r>
      <w:r>
        <w:rPr>
          <w:spacing w:val="-8"/>
        </w:rPr>
        <w:t xml:space="preserve"> </w:t>
      </w:r>
      <w:r>
        <w:t>conocer</w:t>
      </w:r>
      <w:r>
        <w:rPr>
          <w:spacing w:val="-9"/>
        </w:rPr>
        <w:t xml:space="preserve"> </w:t>
      </w:r>
      <w:r>
        <w:t>a</w:t>
      </w:r>
      <w:r>
        <w:rPr>
          <w:spacing w:val="-7"/>
        </w:rPr>
        <w:t xml:space="preserve"> </w:t>
      </w:r>
      <w:r>
        <w:t>la</w:t>
      </w:r>
      <w:r>
        <w:rPr>
          <w:spacing w:val="-8"/>
        </w:rPr>
        <w:t xml:space="preserve"> </w:t>
      </w:r>
      <w:r>
        <w:t>Corte</w:t>
      </w:r>
      <w:r>
        <w:rPr>
          <w:spacing w:val="-7"/>
        </w:rPr>
        <w:t xml:space="preserve"> </w:t>
      </w:r>
      <w:r>
        <w:t>sus</w:t>
      </w:r>
      <w:r>
        <w:rPr>
          <w:spacing w:val="-7"/>
        </w:rPr>
        <w:t xml:space="preserve"> </w:t>
      </w:r>
      <w:r>
        <w:t>votos</w:t>
      </w:r>
      <w:r>
        <w:rPr>
          <w:spacing w:val="-9"/>
        </w:rPr>
        <w:t xml:space="preserve"> </w:t>
      </w:r>
      <w:r>
        <w:t>individuales parcialmente</w:t>
      </w:r>
      <w:r>
        <w:rPr>
          <w:spacing w:val="-3"/>
        </w:rPr>
        <w:t xml:space="preserve"> </w:t>
      </w:r>
      <w:r>
        <w:t>disidentes.</w:t>
      </w:r>
    </w:p>
    <w:p w14:paraId="0825B6A6" w14:textId="77777777" w:rsidR="00467FCA" w:rsidRDefault="00467FCA">
      <w:pPr>
        <w:pStyle w:val="Textoindependiente"/>
        <w:spacing w:before="1"/>
      </w:pPr>
    </w:p>
    <w:p w14:paraId="29DCA651" w14:textId="77777777" w:rsidR="00467FCA" w:rsidRDefault="001B68EB">
      <w:pPr>
        <w:pStyle w:val="Textoindependiente"/>
        <w:spacing w:before="1"/>
        <w:ind w:left="120"/>
        <w:jc w:val="both"/>
      </w:pPr>
      <w:r>
        <w:t>Redactada en español en San José, Costa Rica, el 15 de julio de 2020.</w:t>
      </w:r>
    </w:p>
    <w:p w14:paraId="10E54B1E" w14:textId="77777777" w:rsidR="00467FCA" w:rsidRDefault="00467FCA">
      <w:pPr>
        <w:pStyle w:val="Textoindependiente"/>
        <w:spacing w:before="10"/>
        <w:rPr>
          <w:sz w:val="19"/>
        </w:rPr>
      </w:pPr>
    </w:p>
    <w:p w14:paraId="477F81A2" w14:textId="77777777" w:rsidR="00467FCA" w:rsidRDefault="001B68EB">
      <w:pPr>
        <w:pStyle w:val="Textoindependiente"/>
        <w:ind w:left="118" w:right="118"/>
        <w:jc w:val="both"/>
      </w:pPr>
      <w:r>
        <w:t>Corte</w:t>
      </w:r>
      <w:r>
        <w:rPr>
          <w:spacing w:val="-20"/>
        </w:rPr>
        <w:t xml:space="preserve"> </w:t>
      </w:r>
      <w:r>
        <w:t>IDH.</w:t>
      </w:r>
      <w:r>
        <w:rPr>
          <w:spacing w:val="-20"/>
        </w:rPr>
        <w:t xml:space="preserve"> </w:t>
      </w:r>
      <w:r>
        <w:t>Caso</w:t>
      </w:r>
      <w:r>
        <w:rPr>
          <w:spacing w:val="-17"/>
        </w:rPr>
        <w:t xml:space="preserve"> </w:t>
      </w:r>
      <w:r>
        <w:t>Empleados</w:t>
      </w:r>
      <w:r>
        <w:rPr>
          <w:spacing w:val="-19"/>
        </w:rPr>
        <w:t xml:space="preserve"> </w:t>
      </w:r>
      <w:r>
        <w:t>de</w:t>
      </w:r>
      <w:r>
        <w:rPr>
          <w:spacing w:val="-18"/>
        </w:rPr>
        <w:t xml:space="preserve"> </w:t>
      </w:r>
      <w:r>
        <w:t>la</w:t>
      </w:r>
      <w:r>
        <w:rPr>
          <w:spacing w:val="-19"/>
        </w:rPr>
        <w:t xml:space="preserve"> </w:t>
      </w:r>
      <w:r>
        <w:t>Fábrica</w:t>
      </w:r>
      <w:r>
        <w:rPr>
          <w:spacing w:val="-18"/>
        </w:rPr>
        <w:t xml:space="preserve"> </w:t>
      </w:r>
      <w:r>
        <w:t>de</w:t>
      </w:r>
      <w:r>
        <w:rPr>
          <w:spacing w:val="-20"/>
        </w:rPr>
        <w:t xml:space="preserve"> </w:t>
      </w:r>
      <w:r>
        <w:t>Fuegos</w:t>
      </w:r>
      <w:r>
        <w:rPr>
          <w:spacing w:val="-17"/>
        </w:rPr>
        <w:t xml:space="preserve"> </w:t>
      </w:r>
      <w:r>
        <w:t>en</w:t>
      </w:r>
      <w:r>
        <w:rPr>
          <w:spacing w:val="-18"/>
        </w:rPr>
        <w:t xml:space="preserve"> </w:t>
      </w:r>
      <w:r>
        <w:t>Santo</w:t>
      </w:r>
      <w:r>
        <w:rPr>
          <w:spacing w:val="-19"/>
        </w:rPr>
        <w:t xml:space="preserve"> </w:t>
      </w:r>
      <w:r>
        <w:t>Antônio</w:t>
      </w:r>
      <w:r>
        <w:rPr>
          <w:spacing w:val="-18"/>
        </w:rPr>
        <w:t xml:space="preserve"> </w:t>
      </w:r>
      <w:r>
        <w:t>de</w:t>
      </w:r>
      <w:r>
        <w:rPr>
          <w:spacing w:val="-18"/>
        </w:rPr>
        <w:t xml:space="preserve"> </w:t>
      </w:r>
      <w:r>
        <w:t>Jesus</w:t>
      </w:r>
      <w:r>
        <w:rPr>
          <w:spacing w:val="-17"/>
        </w:rPr>
        <w:t xml:space="preserve"> </w:t>
      </w:r>
      <w:r>
        <w:t>y</w:t>
      </w:r>
      <w:r>
        <w:rPr>
          <w:spacing w:val="-18"/>
        </w:rPr>
        <w:t xml:space="preserve"> </w:t>
      </w:r>
      <w:r>
        <w:t>sus</w:t>
      </w:r>
      <w:r>
        <w:rPr>
          <w:spacing w:val="-19"/>
        </w:rPr>
        <w:t xml:space="preserve"> </w:t>
      </w:r>
      <w:r>
        <w:t>familiares Vs. Brasil. Excepciones Preliminares, Fondo, Reparaciones y Costas. Sentencia de 15 de julio de</w:t>
      </w:r>
      <w:r>
        <w:rPr>
          <w:spacing w:val="-3"/>
        </w:rPr>
        <w:t xml:space="preserve"> </w:t>
      </w:r>
      <w:r>
        <w:t>2020.</w:t>
      </w:r>
    </w:p>
    <w:p w14:paraId="019D057D" w14:textId="77777777" w:rsidR="00467FCA" w:rsidRDefault="00467FCA">
      <w:pPr>
        <w:pStyle w:val="Textoindependiente"/>
        <w:rPr>
          <w:sz w:val="24"/>
        </w:rPr>
      </w:pPr>
    </w:p>
    <w:p w14:paraId="7FE83385" w14:textId="77777777" w:rsidR="00467FCA" w:rsidRDefault="00467FCA">
      <w:pPr>
        <w:pStyle w:val="Textoindependiente"/>
        <w:rPr>
          <w:sz w:val="24"/>
        </w:rPr>
      </w:pPr>
    </w:p>
    <w:p w14:paraId="0A0D6E7B" w14:textId="77777777" w:rsidR="00467FCA" w:rsidRDefault="001B68EB">
      <w:pPr>
        <w:pStyle w:val="Textoindependiente"/>
        <w:spacing w:before="147"/>
        <w:ind w:left="3464" w:right="3471"/>
        <w:jc w:val="center"/>
      </w:pPr>
      <w:r>
        <w:t>Elizabeth Odio Benito Presidenta</w:t>
      </w:r>
    </w:p>
    <w:p w14:paraId="405418C2" w14:textId="77777777" w:rsidR="00467FCA" w:rsidRDefault="00467FCA">
      <w:pPr>
        <w:pStyle w:val="Textoindependiente"/>
        <w:rPr>
          <w:sz w:val="24"/>
        </w:rPr>
      </w:pPr>
    </w:p>
    <w:p w14:paraId="7546AD87" w14:textId="77777777" w:rsidR="00467FCA" w:rsidRDefault="00467FCA">
      <w:pPr>
        <w:pStyle w:val="Textoindependiente"/>
        <w:rPr>
          <w:sz w:val="24"/>
        </w:rPr>
      </w:pPr>
    </w:p>
    <w:p w14:paraId="337C1931" w14:textId="77777777" w:rsidR="00467FCA" w:rsidRDefault="00467FCA">
      <w:pPr>
        <w:pStyle w:val="Textoindependiente"/>
        <w:rPr>
          <w:sz w:val="24"/>
        </w:rPr>
      </w:pPr>
    </w:p>
    <w:p w14:paraId="3ADF3E19" w14:textId="77777777" w:rsidR="00467FCA" w:rsidRDefault="00467FCA">
      <w:pPr>
        <w:pStyle w:val="Textoindependiente"/>
        <w:rPr>
          <w:sz w:val="28"/>
        </w:rPr>
      </w:pPr>
    </w:p>
    <w:p w14:paraId="215E21FF" w14:textId="77777777" w:rsidR="00467FCA" w:rsidRDefault="001B68EB">
      <w:pPr>
        <w:pStyle w:val="Textoindependiente"/>
        <w:tabs>
          <w:tab w:val="left" w:pos="6805"/>
        </w:tabs>
        <w:spacing w:before="1"/>
        <w:ind w:left="117"/>
        <w:jc w:val="both"/>
      </w:pPr>
      <w:r>
        <w:t>L. Patricio</w:t>
      </w:r>
      <w:r>
        <w:rPr>
          <w:spacing w:val="-6"/>
        </w:rPr>
        <w:t xml:space="preserve"> </w:t>
      </w:r>
      <w:r>
        <w:t>Pazmiño</w:t>
      </w:r>
      <w:r>
        <w:rPr>
          <w:spacing w:val="-3"/>
        </w:rPr>
        <w:t xml:space="preserve"> </w:t>
      </w:r>
      <w:r>
        <w:t>Freire</w:t>
      </w:r>
      <w:r>
        <w:tab/>
        <w:t>Eduardo Vio</w:t>
      </w:r>
      <w:r>
        <w:rPr>
          <w:spacing w:val="-1"/>
        </w:rPr>
        <w:t xml:space="preserve"> </w:t>
      </w:r>
      <w:r>
        <w:t>Grossi</w:t>
      </w:r>
    </w:p>
    <w:p w14:paraId="334AF01B" w14:textId="77777777" w:rsidR="00467FCA" w:rsidRDefault="00467FCA">
      <w:pPr>
        <w:pStyle w:val="Textoindependiente"/>
        <w:rPr>
          <w:sz w:val="24"/>
        </w:rPr>
      </w:pPr>
    </w:p>
    <w:p w14:paraId="5CEA05B0" w14:textId="77777777" w:rsidR="00467FCA" w:rsidRDefault="00467FCA">
      <w:pPr>
        <w:pStyle w:val="Textoindependiente"/>
        <w:rPr>
          <w:sz w:val="24"/>
        </w:rPr>
      </w:pPr>
    </w:p>
    <w:p w14:paraId="18E90E87" w14:textId="77777777" w:rsidR="00467FCA" w:rsidRDefault="00467FCA">
      <w:pPr>
        <w:pStyle w:val="Textoindependiente"/>
        <w:spacing w:before="11"/>
        <w:rPr>
          <w:sz w:val="31"/>
        </w:rPr>
      </w:pPr>
    </w:p>
    <w:p w14:paraId="3FDEFF80" w14:textId="77777777" w:rsidR="00467FCA" w:rsidRDefault="001B68EB">
      <w:pPr>
        <w:pStyle w:val="Textoindependiente"/>
        <w:tabs>
          <w:tab w:val="left" w:pos="5156"/>
        </w:tabs>
        <w:ind w:left="117"/>
        <w:jc w:val="both"/>
      </w:pPr>
      <w:r>
        <w:t>Humberto Antonio</w:t>
      </w:r>
      <w:r>
        <w:rPr>
          <w:spacing w:val="-8"/>
        </w:rPr>
        <w:t xml:space="preserve"> </w:t>
      </w:r>
      <w:r>
        <w:t>Sierra</w:t>
      </w:r>
      <w:r>
        <w:rPr>
          <w:spacing w:val="-2"/>
        </w:rPr>
        <w:t xml:space="preserve"> </w:t>
      </w:r>
      <w:r>
        <w:t>Porto</w:t>
      </w:r>
      <w:r>
        <w:tab/>
        <w:t>Eduardo Ferrer Mac-Gregor</w:t>
      </w:r>
      <w:r>
        <w:rPr>
          <w:spacing w:val="-6"/>
        </w:rPr>
        <w:t xml:space="preserve"> </w:t>
      </w:r>
      <w:r>
        <w:t>Poisot</w:t>
      </w:r>
    </w:p>
    <w:p w14:paraId="68FC9CA7" w14:textId="77777777" w:rsidR="00467FCA" w:rsidRDefault="00467FCA">
      <w:pPr>
        <w:pStyle w:val="Textoindependiente"/>
        <w:rPr>
          <w:sz w:val="24"/>
        </w:rPr>
      </w:pPr>
    </w:p>
    <w:p w14:paraId="3E1293A0" w14:textId="77777777" w:rsidR="00467FCA" w:rsidRDefault="00467FCA">
      <w:pPr>
        <w:pStyle w:val="Textoindependiente"/>
        <w:rPr>
          <w:sz w:val="24"/>
        </w:rPr>
      </w:pPr>
    </w:p>
    <w:p w14:paraId="69B63C9C" w14:textId="77777777" w:rsidR="00467FCA" w:rsidRDefault="00467FCA">
      <w:pPr>
        <w:pStyle w:val="Textoindependiente"/>
        <w:spacing w:before="1"/>
        <w:rPr>
          <w:sz w:val="32"/>
        </w:rPr>
      </w:pPr>
    </w:p>
    <w:p w14:paraId="0F40248F" w14:textId="77777777" w:rsidR="00467FCA" w:rsidRDefault="001B68EB">
      <w:pPr>
        <w:pStyle w:val="Textoindependiente"/>
        <w:tabs>
          <w:tab w:val="left" w:pos="6015"/>
        </w:tabs>
        <w:ind w:left="117"/>
        <w:jc w:val="both"/>
      </w:pPr>
      <w:r>
        <w:t>Eugenio</w:t>
      </w:r>
      <w:r>
        <w:rPr>
          <w:spacing w:val="-5"/>
        </w:rPr>
        <w:t xml:space="preserve"> </w:t>
      </w:r>
      <w:r>
        <w:t>Raúl</w:t>
      </w:r>
      <w:r>
        <w:rPr>
          <w:spacing w:val="-3"/>
        </w:rPr>
        <w:t xml:space="preserve"> </w:t>
      </w:r>
      <w:r>
        <w:t>Zaffaroni</w:t>
      </w:r>
      <w:r>
        <w:tab/>
        <w:t>Ricardo C. Pérez</w:t>
      </w:r>
      <w:r>
        <w:rPr>
          <w:spacing w:val="-3"/>
        </w:rPr>
        <w:t xml:space="preserve"> </w:t>
      </w:r>
      <w:r>
        <w:t>Manrique</w:t>
      </w:r>
    </w:p>
    <w:p w14:paraId="2AC74D67" w14:textId="77777777" w:rsidR="00467FCA" w:rsidRDefault="00467FCA">
      <w:pPr>
        <w:jc w:val="both"/>
        <w:sectPr w:rsidR="00467FCA">
          <w:pgSz w:w="12240" w:h="15840"/>
          <w:pgMar w:top="1360" w:right="1320" w:bottom="1220" w:left="1320" w:header="0" w:footer="957" w:gutter="0"/>
          <w:cols w:space="720"/>
        </w:sectPr>
      </w:pPr>
    </w:p>
    <w:p w14:paraId="3AF13EE3" w14:textId="77777777" w:rsidR="00467FCA" w:rsidRDefault="00467FCA">
      <w:pPr>
        <w:pStyle w:val="Textoindependiente"/>
      </w:pPr>
    </w:p>
    <w:p w14:paraId="54065578" w14:textId="77777777" w:rsidR="00467FCA" w:rsidRDefault="00467FCA">
      <w:pPr>
        <w:pStyle w:val="Textoindependiente"/>
        <w:spacing w:before="11"/>
        <w:rPr>
          <w:sz w:val="26"/>
        </w:rPr>
      </w:pPr>
    </w:p>
    <w:p w14:paraId="1209AF9E" w14:textId="77777777" w:rsidR="00467FCA" w:rsidRDefault="001B68EB">
      <w:pPr>
        <w:pStyle w:val="Textoindependiente"/>
        <w:spacing w:before="100"/>
        <w:ind w:left="3470" w:right="3471"/>
        <w:jc w:val="center"/>
      </w:pPr>
      <w:r>
        <w:t>Pablo Saavedra Alessandri Secretario</w:t>
      </w:r>
    </w:p>
    <w:p w14:paraId="18A2FDC4" w14:textId="77777777" w:rsidR="00467FCA" w:rsidRDefault="00467FCA">
      <w:pPr>
        <w:pStyle w:val="Textoindependiente"/>
      </w:pPr>
    </w:p>
    <w:p w14:paraId="3FEE18FA" w14:textId="77777777" w:rsidR="00467FCA" w:rsidRDefault="00467FCA">
      <w:pPr>
        <w:pStyle w:val="Textoindependiente"/>
        <w:spacing w:before="12"/>
        <w:rPr>
          <w:sz w:val="19"/>
        </w:rPr>
      </w:pPr>
    </w:p>
    <w:p w14:paraId="2C410151" w14:textId="77777777" w:rsidR="00467FCA" w:rsidRDefault="001B68EB">
      <w:pPr>
        <w:pStyle w:val="Textoindependiente"/>
        <w:ind w:left="119"/>
      </w:pPr>
      <w:r>
        <w:t>Comuníquese y ejecútese,</w:t>
      </w:r>
    </w:p>
    <w:p w14:paraId="54DC59BD" w14:textId="77777777" w:rsidR="00467FCA" w:rsidRDefault="00467FCA">
      <w:pPr>
        <w:pStyle w:val="Textoindependiente"/>
      </w:pPr>
    </w:p>
    <w:p w14:paraId="246B9548" w14:textId="77777777" w:rsidR="00467FCA" w:rsidRDefault="00467FCA">
      <w:pPr>
        <w:pStyle w:val="Textoindependiente"/>
      </w:pPr>
    </w:p>
    <w:p w14:paraId="4E4ABB07" w14:textId="77777777" w:rsidR="00467FCA" w:rsidRDefault="00467FCA">
      <w:pPr>
        <w:pStyle w:val="Textoindependiente"/>
        <w:spacing w:before="12"/>
        <w:rPr>
          <w:sz w:val="19"/>
        </w:rPr>
      </w:pPr>
    </w:p>
    <w:p w14:paraId="23F5ED83" w14:textId="77777777" w:rsidR="00467FCA" w:rsidRDefault="001B68EB">
      <w:pPr>
        <w:pStyle w:val="Textoindependiente"/>
        <w:ind w:left="7231" w:right="101" w:firstLine="100"/>
      </w:pPr>
      <w:r>
        <w:t>Elizabeth Odio Benito Presidenta</w:t>
      </w:r>
    </w:p>
    <w:p w14:paraId="2CA578A2" w14:textId="77777777" w:rsidR="00467FCA" w:rsidRDefault="00467FCA">
      <w:pPr>
        <w:pStyle w:val="Textoindependiente"/>
      </w:pPr>
    </w:p>
    <w:p w14:paraId="6311A19C" w14:textId="77777777" w:rsidR="00467FCA" w:rsidRDefault="00467FCA">
      <w:pPr>
        <w:pStyle w:val="Textoindependiente"/>
      </w:pPr>
    </w:p>
    <w:p w14:paraId="3671D7CE" w14:textId="77777777" w:rsidR="00467FCA" w:rsidRDefault="00467FCA">
      <w:pPr>
        <w:pStyle w:val="Textoindependiente"/>
        <w:spacing w:before="11"/>
        <w:rPr>
          <w:sz w:val="19"/>
        </w:rPr>
      </w:pPr>
    </w:p>
    <w:p w14:paraId="4870D686" w14:textId="77777777" w:rsidR="00467FCA" w:rsidRDefault="001B68EB">
      <w:pPr>
        <w:pStyle w:val="Textoindependiente"/>
        <w:ind w:left="979" w:right="6803" w:hanging="860"/>
      </w:pPr>
      <w:r>
        <w:t>Pablo Saavedra Alessandri Secretario</w:t>
      </w:r>
    </w:p>
    <w:p w14:paraId="2BE2A09B" w14:textId="77777777" w:rsidR="00467FCA" w:rsidRDefault="00467FCA">
      <w:pPr>
        <w:sectPr w:rsidR="00467FCA">
          <w:pgSz w:w="12240" w:h="15840"/>
          <w:pgMar w:top="1500" w:right="1320" w:bottom="1220" w:left="1320" w:header="0" w:footer="957" w:gutter="0"/>
          <w:cols w:space="720"/>
        </w:sectPr>
      </w:pPr>
    </w:p>
    <w:p w14:paraId="3038308D" w14:textId="77777777" w:rsidR="00467FCA" w:rsidRDefault="001B68EB">
      <w:pPr>
        <w:pStyle w:val="Ttulo1"/>
        <w:spacing w:before="183"/>
        <w:ind w:left="155" w:right="153"/>
        <w:jc w:val="center"/>
      </w:pPr>
      <w:bookmarkStart w:id="524" w:name="ANEXO_1."/>
      <w:bookmarkStart w:id="525" w:name="_bookmark451"/>
      <w:bookmarkEnd w:id="524"/>
      <w:bookmarkEnd w:id="525"/>
      <w:r>
        <w:t>ANEXO 1.</w:t>
      </w:r>
    </w:p>
    <w:p w14:paraId="76AB6DAE" w14:textId="77777777" w:rsidR="00467FCA" w:rsidRDefault="001B68EB">
      <w:pPr>
        <w:spacing w:before="37"/>
        <w:ind w:left="150" w:right="153"/>
        <w:jc w:val="center"/>
        <w:rPr>
          <w:b/>
          <w:sz w:val="20"/>
        </w:rPr>
      </w:pPr>
      <w:bookmarkStart w:id="526" w:name="PERSONAS_FALLECIDAS_Y_SOBREVIVIENTES_A_L"/>
      <w:bookmarkEnd w:id="526"/>
      <w:r>
        <w:rPr>
          <w:b/>
          <w:sz w:val="20"/>
        </w:rPr>
        <w:t>PERSONAS FALLECIDAS Y SOBREVIVIENTES A LA EXPLOSIÓN</w:t>
      </w:r>
    </w:p>
    <w:p w14:paraId="299BB1F6" w14:textId="77777777" w:rsidR="00467FCA" w:rsidRDefault="00467FCA">
      <w:pPr>
        <w:pStyle w:val="Textoindependiente"/>
        <w:spacing w:before="10"/>
        <w:rPr>
          <w:b/>
          <w:sz w:val="22"/>
        </w:r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467FCA" w14:paraId="04CCA9E2" w14:textId="77777777">
        <w:trPr>
          <w:trHeight w:val="301"/>
        </w:trPr>
        <w:tc>
          <w:tcPr>
            <w:tcW w:w="7087" w:type="dxa"/>
            <w:gridSpan w:val="2"/>
          </w:tcPr>
          <w:p w14:paraId="5506E6AF" w14:textId="77777777" w:rsidR="00467FCA" w:rsidRDefault="001B68EB">
            <w:pPr>
              <w:pStyle w:val="TableParagraph"/>
              <w:spacing w:before="31"/>
              <w:ind w:left="71"/>
              <w:jc w:val="left"/>
              <w:rPr>
                <w:b/>
                <w:sz w:val="20"/>
              </w:rPr>
            </w:pPr>
            <w:r>
              <w:rPr>
                <w:b/>
                <w:sz w:val="20"/>
              </w:rPr>
              <w:t>Víctimas fallecidas</w:t>
            </w:r>
          </w:p>
        </w:tc>
      </w:tr>
      <w:tr w:rsidR="00467FCA" w14:paraId="43549995" w14:textId="77777777">
        <w:trPr>
          <w:trHeight w:val="299"/>
        </w:trPr>
        <w:tc>
          <w:tcPr>
            <w:tcW w:w="523" w:type="dxa"/>
          </w:tcPr>
          <w:p w14:paraId="3A9E0291" w14:textId="77777777" w:rsidR="00467FCA" w:rsidRDefault="001B68EB">
            <w:pPr>
              <w:pStyle w:val="TableParagraph"/>
              <w:ind w:left="71"/>
              <w:jc w:val="left"/>
              <w:rPr>
                <w:sz w:val="20"/>
              </w:rPr>
            </w:pPr>
            <w:r>
              <w:rPr>
                <w:w w:val="99"/>
                <w:sz w:val="20"/>
              </w:rPr>
              <w:t>1</w:t>
            </w:r>
          </w:p>
        </w:tc>
        <w:tc>
          <w:tcPr>
            <w:tcW w:w="6564" w:type="dxa"/>
          </w:tcPr>
          <w:p w14:paraId="5AD548BE" w14:textId="77777777" w:rsidR="00467FCA" w:rsidRDefault="001B68EB">
            <w:pPr>
              <w:pStyle w:val="TableParagraph"/>
              <w:ind w:left="69"/>
              <w:jc w:val="left"/>
              <w:rPr>
                <w:sz w:val="13"/>
              </w:rPr>
            </w:pPr>
            <w:r>
              <w:rPr>
                <w:sz w:val="20"/>
              </w:rPr>
              <w:t>Adriana dos Santos</w:t>
            </w:r>
            <w:hyperlink w:anchor="_bookmark452" w:history="1">
              <w:r>
                <w:rPr>
                  <w:position w:val="7"/>
                  <w:sz w:val="13"/>
                </w:rPr>
                <w:t>375</w:t>
              </w:r>
            </w:hyperlink>
          </w:p>
        </w:tc>
      </w:tr>
      <w:tr w:rsidR="00467FCA" w14:paraId="0F2FBD0E" w14:textId="77777777">
        <w:trPr>
          <w:trHeight w:val="299"/>
        </w:trPr>
        <w:tc>
          <w:tcPr>
            <w:tcW w:w="523" w:type="dxa"/>
          </w:tcPr>
          <w:p w14:paraId="1F94CCF0" w14:textId="77777777" w:rsidR="00467FCA" w:rsidRDefault="001B68EB">
            <w:pPr>
              <w:pStyle w:val="TableParagraph"/>
              <w:ind w:left="71"/>
              <w:jc w:val="left"/>
              <w:rPr>
                <w:sz w:val="20"/>
              </w:rPr>
            </w:pPr>
            <w:r>
              <w:rPr>
                <w:w w:val="99"/>
                <w:sz w:val="20"/>
              </w:rPr>
              <w:t>2</w:t>
            </w:r>
          </w:p>
        </w:tc>
        <w:tc>
          <w:tcPr>
            <w:tcW w:w="6564" w:type="dxa"/>
          </w:tcPr>
          <w:p w14:paraId="2A86C491" w14:textId="77777777" w:rsidR="00467FCA" w:rsidRDefault="001B68EB">
            <w:pPr>
              <w:pStyle w:val="TableParagraph"/>
              <w:ind w:left="69"/>
              <w:jc w:val="left"/>
              <w:rPr>
                <w:sz w:val="13"/>
              </w:rPr>
            </w:pPr>
            <w:r>
              <w:rPr>
                <w:sz w:val="20"/>
              </w:rPr>
              <w:t>Adriana Santos Rocha</w:t>
            </w:r>
            <w:hyperlink w:anchor="_bookmark453" w:history="1">
              <w:r>
                <w:rPr>
                  <w:position w:val="7"/>
                  <w:sz w:val="13"/>
                </w:rPr>
                <w:t>376</w:t>
              </w:r>
            </w:hyperlink>
          </w:p>
        </w:tc>
      </w:tr>
      <w:tr w:rsidR="00467FCA" w14:paraId="72F35727" w14:textId="77777777">
        <w:trPr>
          <w:trHeight w:val="299"/>
        </w:trPr>
        <w:tc>
          <w:tcPr>
            <w:tcW w:w="523" w:type="dxa"/>
          </w:tcPr>
          <w:p w14:paraId="3574756A" w14:textId="77777777" w:rsidR="00467FCA" w:rsidRDefault="001B68EB">
            <w:pPr>
              <w:pStyle w:val="TableParagraph"/>
              <w:ind w:left="71"/>
              <w:jc w:val="left"/>
              <w:rPr>
                <w:sz w:val="20"/>
              </w:rPr>
            </w:pPr>
            <w:r>
              <w:rPr>
                <w:w w:val="99"/>
                <w:sz w:val="20"/>
              </w:rPr>
              <w:t>3</w:t>
            </w:r>
          </w:p>
        </w:tc>
        <w:tc>
          <w:tcPr>
            <w:tcW w:w="6564" w:type="dxa"/>
          </w:tcPr>
          <w:p w14:paraId="4FC9273E" w14:textId="77777777" w:rsidR="00467FCA" w:rsidRDefault="001B68EB">
            <w:pPr>
              <w:pStyle w:val="TableParagraph"/>
              <w:ind w:left="69"/>
              <w:jc w:val="left"/>
              <w:rPr>
                <w:sz w:val="13"/>
              </w:rPr>
            </w:pPr>
            <w:r>
              <w:rPr>
                <w:sz w:val="20"/>
              </w:rPr>
              <w:t>Aldeci Silva dos Santos</w:t>
            </w:r>
            <w:hyperlink w:anchor="_bookmark454" w:history="1">
              <w:r>
                <w:rPr>
                  <w:position w:val="7"/>
                  <w:sz w:val="13"/>
                </w:rPr>
                <w:t>377</w:t>
              </w:r>
            </w:hyperlink>
          </w:p>
        </w:tc>
      </w:tr>
      <w:tr w:rsidR="00467FCA" w14:paraId="479BC552" w14:textId="77777777">
        <w:trPr>
          <w:trHeight w:val="299"/>
        </w:trPr>
        <w:tc>
          <w:tcPr>
            <w:tcW w:w="523" w:type="dxa"/>
          </w:tcPr>
          <w:p w14:paraId="7C636701" w14:textId="77777777" w:rsidR="00467FCA" w:rsidRDefault="001B68EB">
            <w:pPr>
              <w:pStyle w:val="TableParagraph"/>
              <w:ind w:left="71"/>
              <w:jc w:val="left"/>
              <w:rPr>
                <w:sz w:val="20"/>
              </w:rPr>
            </w:pPr>
            <w:r>
              <w:rPr>
                <w:w w:val="99"/>
                <w:sz w:val="20"/>
              </w:rPr>
              <w:t>4</w:t>
            </w:r>
          </w:p>
        </w:tc>
        <w:tc>
          <w:tcPr>
            <w:tcW w:w="6564" w:type="dxa"/>
          </w:tcPr>
          <w:p w14:paraId="0C738AAD" w14:textId="77777777" w:rsidR="00467FCA" w:rsidRDefault="001B68EB">
            <w:pPr>
              <w:pStyle w:val="TableParagraph"/>
              <w:ind w:left="69"/>
              <w:jc w:val="left"/>
              <w:rPr>
                <w:sz w:val="13"/>
              </w:rPr>
            </w:pPr>
            <w:r>
              <w:rPr>
                <w:sz w:val="20"/>
              </w:rPr>
              <w:t>Aldeni Silva dos Santos</w:t>
            </w:r>
            <w:hyperlink w:anchor="_bookmark455" w:history="1">
              <w:r>
                <w:rPr>
                  <w:position w:val="7"/>
                  <w:sz w:val="13"/>
                </w:rPr>
                <w:t>378</w:t>
              </w:r>
            </w:hyperlink>
          </w:p>
        </w:tc>
      </w:tr>
      <w:tr w:rsidR="00467FCA" w14:paraId="7E5E6754" w14:textId="77777777">
        <w:trPr>
          <w:trHeight w:val="299"/>
        </w:trPr>
        <w:tc>
          <w:tcPr>
            <w:tcW w:w="523" w:type="dxa"/>
          </w:tcPr>
          <w:p w14:paraId="3DEDB6A7" w14:textId="77777777" w:rsidR="00467FCA" w:rsidRDefault="001B68EB">
            <w:pPr>
              <w:pStyle w:val="TableParagraph"/>
              <w:ind w:left="71"/>
              <w:jc w:val="left"/>
              <w:rPr>
                <w:sz w:val="20"/>
              </w:rPr>
            </w:pPr>
            <w:r>
              <w:rPr>
                <w:w w:val="99"/>
                <w:sz w:val="20"/>
              </w:rPr>
              <w:t>5</w:t>
            </w:r>
          </w:p>
        </w:tc>
        <w:tc>
          <w:tcPr>
            <w:tcW w:w="6564" w:type="dxa"/>
          </w:tcPr>
          <w:p w14:paraId="6384F2AB" w14:textId="77777777" w:rsidR="00467FCA" w:rsidRDefault="001B68EB">
            <w:pPr>
              <w:pStyle w:val="TableParagraph"/>
              <w:ind w:left="69"/>
              <w:jc w:val="left"/>
              <w:rPr>
                <w:sz w:val="13"/>
              </w:rPr>
            </w:pPr>
            <w:r>
              <w:rPr>
                <w:sz w:val="20"/>
              </w:rPr>
              <w:t>Alex Santos Costa</w:t>
            </w:r>
            <w:hyperlink w:anchor="_bookmark456" w:history="1">
              <w:r>
                <w:rPr>
                  <w:position w:val="7"/>
                  <w:sz w:val="13"/>
                </w:rPr>
                <w:t>379</w:t>
              </w:r>
            </w:hyperlink>
          </w:p>
        </w:tc>
      </w:tr>
      <w:tr w:rsidR="00467FCA" w14:paraId="0C4C5867" w14:textId="77777777">
        <w:trPr>
          <w:trHeight w:val="302"/>
        </w:trPr>
        <w:tc>
          <w:tcPr>
            <w:tcW w:w="523" w:type="dxa"/>
          </w:tcPr>
          <w:p w14:paraId="06AF0039" w14:textId="77777777" w:rsidR="00467FCA" w:rsidRDefault="001B68EB">
            <w:pPr>
              <w:pStyle w:val="TableParagraph"/>
              <w:spacing w:before="31"/>
              <w:ind w:left="71"/>
              <w:jc w:val="left"/>
              <w:rPr>
                <w:sz w:val="20"/>
              </w:rPr>
            </w:pPr>
            <w:r>
              <w:rPr>
                <w:w w:val="99"/>
                <w:sz w:val="20"/>
              </w:rPr>
              <w:t>6</w:t>
            </w:r>
          </w:p>
        </w:tc>
        <w:tc>
          <w:tcPr>
            <w:tcW w:w="6564" w:type="dxa"/>
          </w:tcPr>
          <w:p w14:paraId="02A8442E" w14:textId="77777777" w:rsidR="00467FCA" w:rsidRDefault="001B68EB">
            <w:pPr>
              <w:pStyle w:val="TableParagraph"/>
              <w:spacing w:before="31"/>
              <w:ind w:left="69"/>
              <w:jc w:val="left"/>
              <w:rPr>
                <w:sz w:val="13"/>
              </w:rPr>
            </w:pPr>
            <w:r>
              <w:rPr>
                <w:sz w:val="20"/>
              </w:rPr>
              <w:t>Alexandra Gonçalves da Silva</w:t>
            </w:r>
            <w:hyperlink w:anchor="_bookmark457" w:history="1">
              <w:r>
                <w:rPr>
                  <w:position w:val="7"/>
                  <w:sz w:val="13"/>
                </w:rPr>
                <w:t>380</w:t>
              </w:r>
            </w:hyperlink>
          </w:p>
        </w:tc>
      </w:tr>
      <w:tr w:rsidR="00467FCA" w14:paraId="57C965DF" w14:textId="77777777">
        <w:trPr>
          <w:trHeight w:val="299"/>
        </w:trPr>
        <w:tc>
          <w:tcPr>
            <w:tcW w:w="523" w:type="dxa"/>
          </w:tcPr>
          <w:p w14:paraId="67E82A08" w14:textId="77777777" w:rsidR="00467FCA" w:rsidRDefault="001B68EB">
            <w:pPr>
              <w:pStyle w:val="TableParagraph"/>
              <w:ind w:left="71"/>
              <w:jc w:val="left"/>
              <w:rPr>
                <w:sz w:val="20"/>
              </w:rPr>
            </w:pPr>
            <w:r>
              <w:rPr>
                <w:w w:val="99"/>
                <w:sz w:val="20"/>
              </w:rPr>
              <w:t>7</w:t>
            </w:r>
          </w:p>
        </w:tc>
        <w:tc>
          <w:tcPr>
            <w:tcW w:w="6564" w:type="dxa"/>
          </w:tcPr>
          <w:p w14:paraId="50A151BB" w14:textId="77777777" w:rsidR="00467FCA" w:rsidRDefault="001B68EB">
            <w:pPr>
              <w:pStyle w:val="TableParagraph"/>
              <w:ind w:left="69"/>
              <w:jc w:val="left"/>
              <w:rPr>
                <w:sz w:val="13"/>
              </w:rPr>
            </w:pPr>
            <w:r>
              <w:rPr>
                <w:sz w:val="20"/>
              </w:rPr>
              <w:t>Ana Claudia Silva da Hora</w:t>
            </w:r>
            <w:hyperlink w:anchor="_bookmark458" w:history="1">
              <w:r>
                <w:rPr>
                  <w:position w:val="7"/>
                  <w:sz w:val="13"/>
                </w:rPr>
                <w:t>381</w:t>
              </w:r>
            </w:hyperlink>
          </w:p>
        </w:tc>
      </w:tr>
      <w:tr w:rsidR="00467FCA" w14:paraId="31255F65" w14:textId="77777777">
        <w:trPr>
          <w:trHeight w:val="299"/>
        </w:trPr>
        <w:tc>
          <w:tcPr>
            <w:tcW w:w="523" w:type="dxa"/>
          </w:tcPr>
          <w:p w14:paraId="64560E47" w14:textId="77777777" w:rsidR="00467FCA" w:rsidRDefault="001B68EB">
            <w:pPr>
              <w:pStyle w:val="TableParagraph"/>
              <w:ind w:left="71"/>
              <w:jc w:val="left"/>
              <w:rPr>
                <w:sz w:val="20"/>
              </w:rPr>
            </w:pPr>
            <w:r>
              <w:rPr>
                <w:w w:val="99"/>
                <w:sz w:val="20"/>
              </w:rPr>
              <w:t>8</w:t>
            </w:r>
          </w:p>
        </w:tc>
        <w:tc>
          <w:tcPr>
            <w:tcW w:w="6564" w:type="dxa"/>
          </w:tcPr>
          <w:p w14:paraId="546E93B5" w14:textId="77777777" w:rsidR="00467FCA" w:rsidRDefault="001B68EB">
            <w:pPr>
              <w:pStyle w:val="TableParagraph"/>
              <w:ind w:left="69"/>
              <w:jc w:val="left"/>
              <w:rPr>
                <w:sz w:val="13"/>
              </w:rPr>
            </w:pPr>
            <w:r>
              <w:rPr>
                <w:sz w:val="20"/>
              </w:rPr>
              <w:t>Ana Lúcia de Jesus</w:t>
            </w:r>
            <w:hyperlink w:anchor="_bookmark459" w:history="1">
              <w:r>
                <w:rPr>
                  <w:position w:val="7"/>
                  <w:sz w:val="13"/>
                </w:rPr>
                <w:t>382</w:t>
              </w:r>
            </w:hyperlink>
          </w:p>
        </w:tc>
      </w:tr>
      <w:tr w:rsidR="00467FCA" w14:paraId="07E1DB55" w14:textId="77777777">
        <w:trPr>
          <w:trHeight w:val="299"/>
        </w:trPr>
        <w:tc>
          <w:tcPr>
            <w:tcW w:w="523" w:type="dxa"/>
          </w:tcPr>
          <w:p w14:paraId="01C97AF7" w14:textId="77777777" w:rsidR="00467FCA" w:rsidRDefault="001B68EB">
            <w:pPr>
              <w:pStyle w:val="TableParagraph"/>
              <w:ind w:left="71"/>
              <w:jc w:val="left"/>
              <w:rPr>
                <w:sz w:val="20"/>
              </w:rPr>
            </w:pPr>
            <w:r>
              <w:rPr>
                <w:w w:val="99"/>
                <w:sz w:val="20"/>
              </w:rPr>
              <w:t>9</w:t>
            </w:r>
          </w:p>
        </w:tc>
        <w:tc>
          <w:tcPr>
            <w:tcW w:w="6564" w:type="dxa"/>
          </w:tcPr>
          <w:p w14:paraId="297EFDF8" w14:textId="77777777" w:rsidR="00467FCA" w:rsidRDefault="001B68EB">
            <w:pPr>
              <w:pStyle w:val="TableParagraph"/>
              <w:ind w:left="69"/>
              <w:jc w:val="left"/>
              <w:rPr>
                <w:sz w:val="13"/>
              </w:rPr>
            </w:pPr>
            <w:r>
              <w:rPr>
                <w:sz w:val="20"/>
              </w:rPr>
              <w:t>Andreia dos Santos</w:t>
            </w:r>
            <w:hyperlink w:anchor="_bookmark460" w:history="1">
              <w:r>
                <w:rPr>
                  <w:position w:val="7"/>
                  <w:sz w:val="13"/>
                </w:rPr>
                <w:t>383</w:t>
              </w:r>
            </w:hyperlink>
          </w:p>
        </w:tc>
      </w:tr>
      <w:tr w:rsidR="00467FCA" w14:paraId="3311F121" w14:textId="77777777">
        <w:trPr>
          <w:trHeight w:val="299"/>
        </w:trPr>
        <w:tc>
          <w:tcPr>
            <w:tcW w:w="523" w:type="dxa"/>
          </w:tcPr>
          <w:p w14:paraId="7EA7F3E3" w14:textId="77777777" w:rsidR="00467FCA" w:rsidRDefault="001B68EB">
            <w:pPr>
              <w:pStyle w:val="TableParagraph"/>
              <w:ind w:left="71"/>
              <w:jc w:val="left"/>
              <w:rPr>
                <w:sz w:val="20"/>
              </w:rPr>
            </w:pPr>
            <w:r>
              <w:rPr>
                <w:sz w:val="20"/>
              </w:rPr>
              <w:t>10</w:t>
            </w:r>
          </w:p>
        </w:tc>
        <w:tc>
          <w:tcPr>
            <w:tcW w:w="6564" w:type="dxa"/>
          </w:tcPr>
          <w:p w14:paraId="0C444B85" w14:textId="77777777" w:rsidR="00467FCA" w:rsidRDefault="001B68EB">
            <w:pPr>
              <w:pStyle w:val="TableParagraph"/>
              <w:ind w:left="69"/>
              <w:jc w:val="left"/>
              <w:rPr>
                <w:sz w:val="13"/>
              </w:rPr>
            </w:pPr>
            <w:r>
              <w:rPr>
                <w:sz w:val="20"/>
              </w:rPr>
              <w:t>Ângela Maria Conceição de Jesus</w:t>
            </w:r>
            <w:hyperlink w:anchor="_bookmark461" w:history="1">
              <w:r>
                <w:rPr>
                  <w:position w:val="7"/>
                  <w:sz w:val="13"/>
                </w:rPr>
                <w:t>384</w:t>
              </w:r>
            </w:hyperlink>
          </w:p>
        </w:tc>
      </w:tr>
    </w:tbl>
    <w:p w14:paraId="525C4139" w14:textId="77777777" w:rsidR="00467FCA" w:rsidRDefault="00467FCA">
      <w:pPr>
        <w:pStyle w:val="Textoindependiente"/>
        <w:rPr>
          <w:b/>
        </w:rPr>
      </w:pPr>
    </w:p>
    <w:p w14:paraId="383F176D" w14:textId="77777777" w:rsidR="00467FCA" w:rsidRDefault="001B68EB">
      <w:pPr>
        <w:pStyle w:val="Textoindependiente"/>
        <w:spacing w:before="4"/>
        <w:rPr>
          <w:b/>
          <w:sz w:val="10"/>
        </w:rPr>
      </w:pPr>
      <w:r>
        <w:pict w14:anchorId="0AA8D8E9">
          <v:shape id="_x0000_s1118" style="position:absolute;margin-left:1in;margin-top:8.55pt;width:2in;height:.1pt;z-index:-251578368;mso-wrap-distance-left:0;mso-wrap-distance-right:0;mso-position-horizontal-relative:page" coordorigin="1440,171" coordsize="2880,0" path="m1440,171r2880,e" filled="f" strokeweight=".21131mm">
            <v:path arrowok="t"/>
            <w10:wrap type="topAndBottom" anchorx="page"/>
          </v:shape>
        </w:pict>
      </w:r>
    </w:p>
    <w:p w14:paraId="677283C4" w14:textId="77777777" w:rsidR="00467FCA" w:rsidRDefault="001B68EB">
      <w:pPr>
        <w:spacing w:before="74"/>
        <w:ind w:left="119" w:right="114"/>
        <w:jc w:val="both"/>
        <w:rPr>
          <w:sz w:val="16"/>
        </w:rPr>
      </w:pPr>
      <w:bookmarkStart w:id="527" w:name="_bookmark452"/>
      <w:bookmarkEnd w:id="527"/>
      <w:r>
        <w:rPr>
          <w:position w:val="6"/>
          <w:sz w:val="10"/>
        </w:rPr>
        <w:t>375</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“Adriana dos Santos”. Asimismo, esta Corte encuentra que</w:t>
      </w:r>
      <w:r>
        <w:rPr>
          <w:spacing w:val="-6"/>
          <w:sz w:val="16"/>
        </w:rPr>
        <w:t xml:space="preserve"> </w:t>
      </w:r>
      <w:r>
        <w:rPr>
          <w:sz w:val="16"/>
        </w:rPr>
        <w:t>el</w:t>
      </w:r>
      <w:r>
        <w:rPr>
          <w:spacing w:val="-9"/>
          <w:sz w:val="16"/>
        </w:rPr>
        <w:t xml:space="preserve"> </w:t>
      </w:r>
      <w:r>
        <w:rPr>
          <w:sz w:val="16"/>
        </w:rPr>
        <w:t>nombre</w:t>
      </w:r>
      <w:r>
        <w:rPr>
          <w:spacing w:val="-8"/>
          <w:sz w:val="16"/>
        </w:rPr>
        <w:t xml:space="preserve"> </w:t>
      </w:r>
      <w:r>
        <w:rPr>
          <w:sz w:val="16"/>
        </w:rPr>
        <w:t>de</w:t>
      </w:r>
      <w:r>
        <w:rPr>
          <w:spacing w:val="-7"/>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w:t>
      </w:r>
      <w:bookmarkStart w:id="528" w:name="_bookmark453"/>
      <w:bookmarkEnd w:id="528"/>
      <w:r>
        <w:rPr>
          <w:sz w:val="16"/>
        </w:rPr>
        <w:t xml:space="preserve"> de prueba, folio 1586) y por el</w:t>
      </w:r>
      <w:r>
        <w:rPr>
          <w:sz w:val="16"/>
        </w:rPr>
        <w:t xml:space="preserve"> Estado (expediente de prueba, folios 1977, 2050 y</w:t>
      </w:r>
      <w:r>
        <w:rPr>
          <w:spacing w:val="-24"/>
          <w:sz w:val="16"/>
        </w:rPr>
        <w:t xml:space="preserve"> </w:t>
      </w:r>
      <w:r>
        <w:rPr>
          <w:sz w:val="16"/>
        </w:rPr>
        <w:t>2104).</w:t>
      </w:r>
    </w:p>
    <w:p w14:paraId="2F35E7DF" w14:textId="77777777" w:rsidR="00467FCA" w:rsidRDefault="001B68EB">
      <w:pPr>
        <w:ind w:left="118" w:right="114" w:firstLine="1"/>
        <w:jc w:val="both"/>
        <w:rPr>
          <w:sz w:val="16"/>
        </w:rPr>
      </w:pPr>
      <w:r>
        <w:rPr>
          <w:position w:val="6"/>
          <w:sz w:val="10"/>
        </w:rPr>
        <w:t>376</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4"/>
          <w:sz w:val="16"/>
        </w:rPr>
        <w:t xml:space="preserve"> </w:t>
      </w:r>
      <w:r>
        <w:rPr>
          <w:sz w:val="16"/>
        </w:rPr>
        <w:t>En</w:t>
      </w:r>
      <w:r>
        <w:rPr>
          <w:spacing w:val="-4"/>
          <w:sz w:val="16"/>
        </w:rPr>
        <w:t xml:space="preserve"> </w:t>
      </w:r>
      <w:r>
        <w:rPr>
          <w:sz w:val="16"/>
        </w:rPr>
        <w:t>ese</w:t>
      </w:r>
      <w:r>
        <w:rPr>
          <w:spacing w:val="-2"/>
          <w:sz w:val="16"/>
        </w:rPr>
        <w:t xml:space="preserve"> </w:t>
      </w:r>
      <w:r>
        <w:rPr>
          <w:sz w:val="16"/>
        </w:rPr>
        <w:t>listado,</w:t>
      </w:r>
      <w:r>
        <w:rPr>
          <w:spacing w:val="-3"/>
          <w:sz w:val="16"/>
        </w:rPr>
        <w:t xml:space="preserve"> </w:t>
      </w:r>
      <w:r>
        <w:rPr>
          <w:sz w:val="16"/>
        </w:rPr>
        <w:t>su</w:t>
      </w:r>
      <w:r>
        <w:rPr>
          <w:spacing w:val="-4"/>
          <w:sz w:val="16"/>
        </w:rPr>
        <w:t xml:space="preserve"> </w:t>
      </w:r>
      <w:r>
        <w:rPr>
          <w:sz w:val="16"/>
        </w:rPr>
        <w:t>nombre</w:t>
      </w:r>
      <w:r>
        <w:rPr>
          <w:spacing w:val="-5"/>
          <w:sz w:val="16"/>
        </w:rPr>
        <w:t xml:space="preserve"> </w:t>
      </w:r>
      <w:r>
        <w:rPr>
          <w:sz w:val="16"/>
        </w:rPr>
        <w:t>aparece</w:t>
      </w:r>
      <w:r>
        <w:rPr>
          <w:spacing w:val="-5"/>
          <w:sz w:val="16"/>
        </w:rPr>
        <w:t xml:space="preserve"> </w:t>
      </w:r>
      <w:r>
        <w:rPr>
          <w:sz w:val="16"/>
        </w:rPr>
        <w:t>reseñado</w:t>
      </w:r>
      <w:r>
        <w:rPr>
          <w:spacing w:val="-4"/>
          <w:sz w:val="16"/>
        </w:rPr>
        <w:t xml:space="preserve"> </w:t>
      </w:r>
      <w:r>
        <w:rPr>
          <w:sz w:val="16"/>
        </w:rPr>
        <w:t>como</w:t>
      </w:r>
      <w:r>
        <w:rPr>
          <w:spacing w:val="-4"/>
          <w:sz w:val="16"/>
        </w:rPr>
        <w:t xml:space="preserve"> </w:t>
      </w:r>
      <w:r>
        <w:rPr>
          <w:sz w:val="16"/>
        </w:rPr>
        <w:t>“Adriana</w:t>
      </w:r>
      <w:r>
        <w:rPr>
          <w:spacing w:val="-3"/>
          <w:sz w:val="16"/>
        </w:rPr>
        <w:t xml:space="preserve"> </w:t>
      </w:r>
      <w:r>
        <w:rPr>
          <w:sz w:val="16"/>
        </w:rPr>
        <w:t>Santos</w:t>
      </w:r>
      <w:r>
        <w:rPr>
          <w:spacing w:val="-5"/>
          <w:sz w:val="16"/>
        </w:rPr>
        <w:t xml:space="preserve"> </w:t>
      </w:r>
      <w:r>
        <w:rPr>
          <w:sz w:val="16"/>
        </w:rPr>
        <w:t>Rocha”.</w:t>
      </w:r>
      <w:r>
        <w:rPr>
          <w:spacing w:val="-6"/>
          <w:sz w:val="16"/>
        </w:rPr>
        <w:t xml:space="preserve"> </w:t>
      </w:r>
      <w:r>
        <w:rPr>
          <w:sz w:val="16"/>
        </w:rPr>
        <w:t>Asimismo,</w:t>
      </w:r>
      <w:r>
        <w:rPr>
          <w:spacing w:val="-3"/>
          <w:sz w:val="16"/>
        </w:rPr>
        <w:t xml:space="preserve"> </w:t>
      </w:r>
      <w:r>
        <w:rPr>
          <w:sz w:val="16"/>
        </w:rPr>
        <w:t>esta</w:t>
      </w:r>
      <w:r>
        <w:rPr>
          <w:spacing w:val="-6"/>
          <w:sz w:val="16"/>
        </w:rPr>
        <w:t xml:space="preserve"> </w:t>
      </w:r>
      <w:r>
        <w:rPr>
          <w:sz w:val="16"/>
        </w:rPr>
        <w:t>Corte</w:t>
      </w:r>
      <w:r>
        <w:rPr>
          <w:spacing w:val="-5"/>
          <w:sz w:val="16"/>
        </w:rPr>
        <w:t xml:space="preserve"> </w:t>
      </w:r>
      <w:r>
        <w:rPr>
          <w:sz w:val="16"/>
        </w:rPr>
        <w:t>encuentra que</w:t>
      </w:r>
      <w:r>
        <w:rPr>
          <w:spacing w:val="-6"/>
          <w:sz w:val="16"/>
        </w:rPr>
        <w:t xml:space="preserve"> </w:t>
      </w:r>
      <w:r>
        <w:rPr>
          <w:sz w:val="16"/>
        </w:rPr>
        <w:t>el</w:t>
      </w:r>
      <w:r>
        <w:rPr>
          <w:spacing w:val="-9"/>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w:t>
      </w:r>
      <w:bookmarkStart w:id="529" w:name="_bookmark454"/>
      <w:bookmarkEnd w:id="529"/>
      <w:r>
        <w:rPr>
          <w:sz w:val="16"/>
        </w:rPr>
        <w:t xml:space="preserve"> de prueba, folio 1586) y por el Estado (expediente de prueba, folios 2098 y</w:t>
      </w:r>
      <w:r>
        <w:rPr>
          <w:spacing w:val="-22"/>
          <w:sz w:val="16"/>
        </w:rPr>
        <w:t xml:space="preserve"> </w:t>
      </w:r>
      <w:r>
        <w:rPr>
          <w:sz w:val="16"/>
        </w:rPr>
        <w:t>2145).</w:t>
      </w:r>
    </w:p>
    <w:p w14:paraId="420D1E8B" w14:textId="77777777" w:rsidR="00467FCA" w:rsidRDefault="001B68EB">
      <w:pPr>
        <w:ind w:left="118" w:right="114" w:firstLine="1"/>
        <w:jc w:val="both"/>
        <w:rPr>
          <w:sz w:val="16"/>
        </w:rPr>
      </w:pPr>
      <w:r>
        <w:rPr>
          <w:position w:val="6"/>
          <w:sz w:val="10"/>
        </w:rPr>
        <w:t>377</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5"/>
          <w:sz w:val="16"/>
        </w:rPr>
        <w:t xml:space="preserve"> </w:t>
      </w:r>
      <w:r>
        <w:rPr>
          <w:sz w:val="16"/>
        </w:rPr>
        <w:t>En</w:t>
      </w:r>
      <w:r>
        <w:rPr>
          <w:spacing w:val="-6"/>
          <w:sz w:val="16"/>
        </w:rPr>
        <w:t xml:space="preserve"> </w:t>
      </w:r>
      <w:r>
        <w:rPr>
          <w:sz w:val="16"/>
        </w:rPr>
        <w:t>ese</w:t>
      </w:r>
      <w:r>
        <w:rPr>
          <w:spacing w:val="-5"/>
          <w:sz w:val="16"/>
        </w:rPr>
        <w:t xml:space="preserve"> </w:t>
      </w:r>
      <w:r>
        <w:rPr>
          <w:sz w:val="16"/>
        </w:rPr>
        <w:t>listado,</w:t>
      </w:r>
      <w:r>
        <w:rPr>
          <w:spacing w:val="-6"/>
          <w:sz w:val="16"/>
        </w:rPr>
        <w:t xml:space="preserve"> </w:t>
      </w:r>
      <w:r>
        <w:rPr>
          <w:sz w:val="16"/>
        </w:rPr>
        <w:t>su</w:t>
      </w:r>
      <w:r>
        <w:rPr>
          <w:spacing w:val="-4"/>
          <w:sz w:val="16"/>
        </w:rPr>
        <w:t xml:space="preserve"> </w:t>
      </w:r>
      <w:r>
        <w:rPr>
          <w:sz w:val="16"/>
        </w:rPr>
        <w:t>nombre</w:t>
      </w:r>
      <w:r>
        <w:rPr>
          <w:spacing w:val="-5"/>
          <w:sz w:val="16"/>
        </w:rPr>
        <w:t xml:space="preserve"> </w:t>
      </w:r>
      <w:r>
        <w:rPr>
          <w:sz w:val="16"/>
        </w:rPr>
        <w:t>aparece</w:t>
      </w:r>
      <w:r>
        <w:rPr>
          <w:spacing w:val="-5"/>
          <w:sz w:val="16"/>
        </w:rPr>
        <w:t xml:space="preserve"> </w:t>
      </w:r>
      <w:r>
        <w:rPr>
          <w:sz w:val="16"/>
        </w:rPr>
        <w:t>reseñado</w:t>
      </w:r>
      <w:r>
        <w:rPr>
          <w:spacing w:val="-2"/>
          <w:sz w:val="16"/>
        </w:rPr>
        <w:t xml:space="preserve"> </w:t>
      </w:r>
      <w:r>
        <w:rPr>
          <w:sz w:val="16"/>
        </w:rPr>
        <w:t>como</w:t>
      </w:r>
      <w:r>
        <w:rPr>
          <w:spacing w:val="-4"/>
          <w:sz w:val="16"/>
        </w:rPr>
        <w:t xml:space="preserve"> </w:t>
      </w:r>
      <w:r>
        <w:rPr>
          <w:sz w:val="16"/>
        </w:rPr>
        <w:t>“Aldeci</w:t>
      </w:r>
      <w:r>
        <w:rPr>
          <w:spacing w:val="-4"/>
          <w:sz w:val="16"/>
        </w:rPr>
        <w:t xml:space="preserve"> </w:t>
      </w:r>
      <w:r>
        <w:rPr>
          <w:sz w:val="16"/>
        </w:rPr>
        <w:t>Silva</w:t>
      </w:r>
      <w:r>
        <w:rPr>
          <w:spacing w:val="-6"/>
          <w:sz w:val="16"/>
        </w:rPr>
        <w:t xml:space="preserve"> </w:t>
      </w:r>
      <w:r>
        <w:rPr>
          <w:sz w:val="16"/>
        </w:rPr>
        <w:t>Santos”.</w:t>
      </w:r>
      <w:r>
        <w:rPr>
          <w:spacing w:val="-6"/>
          <w:sz w:val="16"/>
        </w:rPr>
        <w:t xml:space="preserve"> </w:t>
      </w:r>
      <w:r>
        <w:rPr>
          <w:sz w:val="16"/>
        </w:rPr>
        <w:t>Sin</w:t>
      </w:r>
      <w:r>
        <w:rPr>
          <w:spacing w:val="-4"/>
          <w:sz w:val="16"/>
        </w:rPr>
        <w:t xml:space="preserve"> </w:t>
      </w:r>
      <w:r>
        <w:rPr>
          <w:sz w:val="16"/>
        </w:rPr>
        <w:t>embargo,</w:t>
      </w:r>
      <w:r>
        <w:rPr>
          <w:spacing w:val="-6"/>
          <w:sz w:val="16"/>
        </w:rPr>
        <w:t xml:space="preserve"> </w:t>
      </w:r>
      <w:r>
        <w:rPr>
          <w:sz w:val="16"/>
        </w:rPr>
        <w:t>esta</w:t>
      </w:r>
      <w:r>
        <w:rPr>
          <w:spacing w:val="-6"/>
          <w:sz w:val="16"/>
        </w:rPr>
        <w:t xml:space="preserve"> </w:t>
      </w:r>
      <w:r>
        <w:rPr>
          <w:sz w:val="16"/>
        </w:rPr>
        <w:t>Corte</w:t>
      </w:r>
      <w:r>
        <w:rPr>
          <w:spacing w:val="-5"/>
          <w:sz w:val="16"/>
        </w:rPr>
        <w:t xml:space="preserve"> </w:t>
      </w:r>
      <w:r>
        <w:rPr>
          <w:sz w:val="16"/>
        </w:rPr>
        <w:t>encuentra que el nombre de esta persona corre</w:t>
      </w:r>
      <w:r>
        <w:rPr>
          <w:sz w:val="16"/>
        </w:rPr>
        <w:t>sponde a “Aldeci Silva dos Santos”, según consta en las pruebas aportadas por</w:t>
      </w:r>
      <w:bookmarkStart w:id="530" w:name="_bookmark455"/>
      <w:bookmarkEnd w:id="530"/>
      <w:r>
        <w:rPr>
          <w:sz w:val="16"/>
        </w:rPr>
        <w:t xml:space="preserve"> el Estado (expediente de prueba, folios 1979, 2039 y</w:t>
      </w:r>
      <w:r>
        <w:rPr>
          <w:spacing w:val="-8"/>
          <w:sz w:val="16"/>
        </w:rPr>
        <w:t xml:space="preserve"> </w:t>
      </w:r>
      <w:r>
        <w:rPr>
          <w:sz w:val="16"/>
        </w:rPr>
        <w:t>2163).</w:t>
      </w:r>
    </w:p>
    <w:p w14:paraId="0C598DBF" w14:textId="77777777" w:rsidR="00467FCA" w:rsidRDefault="001B68EB">
      <w:pPr>
        <w:ind w:left="118" w:right="114" w:firstLine="1"/>
        <w:jc w:val="both"/>
        <w:rPr>
          <w:sz w:val="16"/>
        </w:rPr>
      </w:pPr>
      <w:r>
        <w:rPr>
          <w:position w:val="6"/>
          <w:sz w:val="10"/>
        </w:rPr>
        <w:t>378</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0"/>
          <w:sz w:val="16"/>
        </w:rPr>
        <w:t xml:space="preserve"> </w:t>
      </w:r>
      <w:r>
        <w:rPr>
          <w:sz w:val="16"/>
        </w:rPr>
        <w:t>En</w:t>
      </w:r>
      <w:r>
        <w:rPr>
          <w:spacing w:val="-11"/>
          <w:sz w:val="16"/>
        </w:rPr>
        <w:t xml:space="preserve"> </w:t>
      </w:r>
      <w:r>
        <w:rPr>
          <w:sz w:val="16"/>
        </w:rPr>
        <w:t>ese</w:t>
      </w:r>
      <w:r>
        <w:rPr>
          <w:spacing w:val="-11"/>
          <w:sz w:val="16"/>
        </w:rPr>
        <w:t xml:space="preserve"> </w:t>
      </w:r>
      <w:r>
        <w:rPr>
          <w:sz w:val="16"/>
        </w:rPr>
        <w:t>listado,</w:t>
      </w:r>
      <w:r>
        <w:rPr>
          <w:spacing w:val="-11"/>
          <w:sz w:val="16"/>
        </w:rPr>
        <w:t xml:space="preserve"> </w:t>
      </w:r>
      <w:r>
        <w:rPr>
          <w:sz w:val="16"/>
        </w:rPr>
        <w:t>su</w:t>
      </w:r>
      <w:r>
        <w:rPr>
          <w:spacing w:val="-9"/>
          <w:sz w:val="16"/>
        </w:rPr>
        <w:t xml:space="preserve"> </w:t>
      </w:r>
      <w:r>
        <w:rPr>
          <w:sz w:val="16"/>
        </w:rPr>
        <w:t>nombre</w:t>
      </w:r>
      <w:r>
        <w:rPr>
          <w:spacing w:val="-10"/>
          <w:sz w:val="16"/>
        </w:rPr>
        <w:t xml:space="preserve"> </w:t>
      </w:r>
      <w:r>
        <w:rPr>
          <w:sz w:val="16"/>
        </w:rPr>
        <w:t>aparece</w:t>
      </w:r>
      <w:r>
        <w:rPr>
          <w:spacing w:val="-10"/>
          <w:sz w:val="16"/>
        </w:rPr>
        <w:t xml:space="preserve"> </w:t>
      </w:r>
      <w:r>
        <w:rPr>
          <w:sz w:val="16"/>
        </w:rPr>
        <w:t>reseñado</w:t>
      </w:r>
      <w:r>
        <w:rPr>
          <w:spacing w:val="-10"/>
          <w:sz w:val="16"/>
        </w:rPr>
        <w:t xml:space="preserve"> </w:t>
      </w:r>
      <w:r>
        <w:rPr>
          <w:sz w:val="16"/>
        </w:rPr>
        <w:t>como</w:t>
      </w:r>
      <w:r>
        <w:rPr>
          <w:spacing w:val="-9"/>
          <w:sz w:val="16"/>
        </w:rPr>
        <w:t xml:space="preserve"> </w:t>
      </w:r>
      <w:r>
        <w:rPr>
          <w:sz w:val="16"/>
        </w:rPr>
        <w:t>“Aldenir</w:t>
      </w:r>
      <w:r>
        <w:rPr>
          <w:spacing w:val="-10"/>
          <w:sz w:val="16"/>
        </w:rPr>
        <w:t xml:space="preserve"> </w:t>
      </w:r>
      <w:r>
        <w:rPr>
          <w:sz w:val="16"/>
        </w:rPr>
        <w:t>Silva</w:t>
      </w:r>
      <w:r>
        <w:rPr>
          <w:spacing w:val="-10"/>
          <w:sz w:val="16"/>
        </w:rPr>
        <w:t xml:space="preserve"> </w:t>
      </w:r>
      <w:r>
        <w:rPr>
          <w:sz w:val="16"/>
        </w:rPr>
        <w:t>Santos”.</w:t>
      </w:r>
      <w:r>
        <w:rPr>
          <w:spacing w:val="-12"/>
          <w:sz w:val="16"/>
        </w:rPr>
        <w:t xml:space="preserve"> </w:t>
      </w:r>
      <w:r>
        <w:rPr>
          <w:sz w:val="16"/>
        </w:rPr>
        <w:t>Sin</w:t>
      </w:r>
      <w:r>
        <w:rPr>
          <w:spacing w:val="-8"/>
          <w:sz w:val="16"/>
        </w:rPr>
        <w:t xml:space="preserve"> </w:t>
      </w:r>
      <w:r>
        <w:rPr>
          <w:sz w:val="16"/>
        </w:rPr>
        <w:t>embargo,</w:t>
      </w:r>
      <w:r>
        <w:rPr>
          <w:spacing w:val="-8"/>
          <w:sz w:val="16"/>
        </w:rPr>
        <w:t xml:space="preserve"> </w:t>
      </w:r>
      <w:r>
        <w:rPr>
          <w:sz w:val="16"/>
        </w:rPr>
        <w:t>esta</w:t>
      </w:r>
      <w:r>
        <w:rPr>
          <w:spacing w:val="-11"/>
          <w:sz w:val="16"/>
        </w:rPr>
        <w:t xml:space="preserve"> </w:t>
      </w:r>
      <w:r>
        <w:rPr>
          <w:sz w:val="16"/>
        </w:rPr>
        <w:t>Corte</w:t>
      </w:r>
      <w:r>
        <w:rPr>
          <w:spacing w:val="-10"/>
          <w:sz w:val="16"/>
        </w:rPr>
        <w:t xml:space="preserve"> </w:t>
      </w:r>
      <w:r>
        <w:rPr>
          <w:sz w:val="16"/>
        </w:rPr>
        <w:t>encuentra que</w:t>
      </w:r>
      <w:r>
        <w:rPr>
          <w:spacing w:val="-3"/>
          <w:sz w:val="16"/>
        </w:rPr>
        <w:t xml:space="preserve"> </w:t>
      </w:r>
      <w:r>
        <w:rPr>
          <w:sz w:val="16"/>
        </w:rPr>
        <w:t>el</w:t>
      </w:r>
      <w:r>
        <w:rPr>
          <w:spacing w:val="-1"/>
          <w:sz w:val="16"/>
        </w:rPr>
        <w:t xml:space="preserve"> </w:t>
      </w:r>
      <w:r>
        <w:rPr>
          <w:sz w:val="16"/>
        </w:rPr>
        <w:t>nombre</w:t>
      </w:r>
      <w:r>
        <w:rPr>
          <w:spacing w:val="-3"/>
          <w:sz w:val="16"/>
        </w:rPr>
        <w:t xml:space="preserve"> </w:t>
      </w:r>
      <w:r>
        <w:rPr>
          <w:sz w:val="16"/>
        </w:rPr>
        <w:t>de</w:t>
      </w:r>
      <w:r>
        <w:rPr>
          <w:spacing w:val="-2"/>
          <w:sz w:val="16"/>
        </w:rPr>
        <w:t xml:space="preserve"> </w:t>
      </w:r>
      <w:r>
        <w:rPr>
          <w:sz w:val="16"/>
        </w:rPr>
        <w:t>esta</w:t>
      </w:r>
      <w:r>
        <w:rPr>
          <w:spacing w:val="-4"/>
          <w:sz w:val="16"/>
        </w:rPr>
        <w:t xml:space="preserve"> </w:t>
      </w:r>
      <w:r>
        <w:rPr>
          <w:sz w:val="16"/>
        </w:rPr>
        <w:t>persona</w:t>
      </w:r>
      <w:r>
        <w:rPr>
          <w:spacing w:val="-1"/>
          <w:sz w:val="16"/>
        </w:rPr>
        <w:t xml:space="preserve"> </w:t>
      </w:r>
      <w:r>
        <w:rPr>
          <w:sz w:val="16"/>
        </w:rPr>
        <w:t>corresponde</w:t>
      </w:r>
      <w:r>
        <w:rPr>
          <w:spacing w:val="-3"/>
          <w:sz w:val="16"/>
        </w:rPr>
        <w:t xml:space="preserve"> </w:t>
      </w:r>
      <w:r>
        <w:rPr>
          <w:sz w:val="16"/>
        </w:rPr>
        <w:t>a</w:t>
      </w:r>
      <w:r>
        <w:rPr>
          <w:spacing w:val="-3"/>
          <w:sz w:val="16"/>
        </w:rPr>
        <w:t xml:space="preserve"> </w:t>
      </w:r>
      <w:r>
        <w:rPr>
          <w:sz w:val="16"/>
        </w:rPr>
        <w:t>“Aldeni</w:t>
      </w:r>
      <w:r>
        <w:rPr>
          <w:spacing w:val="-5"/>
          <w:sz w:val="16"/>
        </w:rPr>
        <w:t xml:space="preserve"> </w:t>
      </w:r>
      <w:r>
        <w:rPr>
          <w:sz w:val="16"/>
        </w:rPr>
        <w:t>Silva</w:t>
      </w:r>
      <w:r>
        <w:rPr>
          <w:spacing w:val="-3"/>
          <w:sz w:val="16"/>
        </w:rPr>
        <w:t xml:space="preserve"> </w:t>
      </w:r>
      <w:r>
        <w:rPr>
          <w:sz w:val="16"/>
        </w:rPr>
        <w:t>dos</w:t>
      </w:r>
      <w:r>
        <w:rPr>
          <w:spacing w:val="-5"/>
          <w:sz w:val="16"/>
        </w:rPr>
        <w:t xml:space="preserve"> </w:t>
      </w:r>
      <w:r>
        <w:rPr>
          <w:sz w:val="16"/>
        </w:rPr>
        <w:t>Santos”,</w:t>
      </w:r>
      <w:r>
        <w:rPr>
          <w:spacing w:val="-5"/>
          <w:sz w:val="16"/>
        </w:rPr>
        <w:t xml:space="preserve"> </w:t>
      </w:r>
      <w:r>
        <w:rPr>
          <w:sz w:val="16"/>
        </w:rPr>
        <w:t>según</w:t>
      </w:r>
      <w:r>
        <w:rPr>
          <w:spacing w:val="-4"/>
          <w:sz w:val="16"/>
        </w:rPr>
        <w:t xml:space="preserve"> </w:t>
      </w:r>
      <w:r>
        <w:rPr>
          <w:sz w:val="16"/>
        </w:rPr>
        <w:t>consta</w:t>
      </w:r>
      <w:r>
        <w:rPr>
          <w:spacing w:val="-4"/>
          <w:sz w:val="16"/>
        </w:rPr>
        <w:t xml:space="preserve"> </w:t>
      </w:r>
      <w:r>
        <w:rPr>
          <w:sz w:val="16"/>
        </w:rPr>
        <w:t>en</w:t>
      </w:r>
      <w:r>
        <w:rPr>
          <w:spacing w:val="-6"/>
          <w:sz w:val="16"/>
        </w:rPr>
        <w:t xml:space="preserve"> </w:t>
      </w:r>
      <w:r>
        <w:rPr>
          <w:sz w:val="16"/>
        </w:rPr>
        <w:t>las pruebas</w:t>
      </w:r>
      <w:r>
        <w:rPr>
          <w:spacing w:val="-1"/>
          <w:sz w:val="16"/>
        </w:rPr>
        <w:t xml:space="preserve"> </w:t>
      </w:r>
      <w:r>
        <w:rPr>
          <w:sz w:val="16"/>
        </w:rPr>
        <w:t>aportadas</w:t>
      </w:r>
      <w:r>
        <w:rPr>
          <w:spacing w:val="-5"/>
          <w:sz w:val="16"/>
        </w:rPr>
        <w:t xml:space="preserve"> </w:t>
      </w:r>
      <w:r>
        <w:rPr>
          <w:sz w:val="16"/>
        </w:rPr>
        <w:t>por el Estado (expediente de prueba, folios 1979, 2038 y</w:t>
      </w:r>
      <w:r>
        <w:rPr>
          <w:spacing w:val="-8"/>
          <w:sz w:val="16"/>
        </w:rPr>
        <w:t xml:space="preserve"> </w:t>
      </w:r>
      <w:r>
        <w:rPr>
          <w:sz w:val="16"/>
        </w:rPr>
        <w:t>2163).</w:t>
      </w:r>
    </w:p>
    <w:p w14:paraId="629F844B" w14:textId="77777777" w:rsidR="00467FCA" w:rsidRDefault="001B68EB">
      <w:pPr>
        <w:ind w:left="118" w:right="114" w:firstLine="1"/>
        <w:jc w:val="both"/>
        <w:rPr>
          <w:sz w:val="16"/>
        </w:rPr>
      </w:pPr>
      <w:bookmarkStart w:id="531" w:name="_bookmark456"/>
      <w:bookmarkEnd w:id="531"/>
      <w:r>
        <w:rPr>
          <w:position w:val="6"/>
          <w:sz w:val="10"/>
        </w:rPr>
        <w:t>379</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6"/>
          <w:sz w:val="16"/>
        </w:rPr>
        <w:t xml:space="preserve"> </w:t>
      </w:r>
      <w:r>
        <w:rPr>
          <w:sz w:val="16"/>
        </w:rPr>
        <w:t>En</w:t>
      </w:r>
      <w:r>
        <w:rPr>
          <w:spacing w:val="-6"/>
          <w:sz w:val="16"/>
        </w:rPr>
        <w:t xml:space="preserve"> </w:t>
      </w:r>
      <w:r>
        <w:rPr>
          <w:sz w:val="16"/>
        </w:rPr>
        <w:t>ese</w:t>
      </w:r>
      <w:r>
        <w:rPr>
          <w:spacing w:val="-7"/>
          <w:sz w:val="16"/>
        </w:rPr>
        <w:t xml:space="preserve"> </w:t>
      </w:r>
      <w:r>
        <w:rPr>
          <w:sz w:val="16"/>
        </w:rPr>
        <w:t>listado,</w:t>
      </w:r>
      <w:r>
        <w:rPr>
          <w:spacing w:val="-5"/>
          <w:sz w:val="16"/>
        </w:rPr>
        <w:t xml:space="preserve"> </w:t>
      </w:r>
      <w:r>
        <w:rPr>
          <w:sz w:val="16"/>
        </w:rPr>
        <w:t>su</w:t>
      </w:r>
      <w:r>
        <w:rPr>
          <w:spacing w:val="-8"/>
          <w:sz w:val="16"/>
        </w:rPr>
        <w:t xml:space="preserve"> </w:t>
      </w:r>
      <w:r>
        <w:rPr>
          <w:sz w:val="16"/>
        </w:rPr>
        <w:t>nombre</w:t>
      </w:r>
      <w:r>
        <w:rPr>
          <w:spacing w:val="-7"/>
          <w:sz w:val="16"/>
        </w:rPr>
        <w:t xml:space="preserve"> </w:t>
      </w:r>
      <w:r>
        <w:rPr>
          <w:sz w:val="16"/>
        </w:rPr>
        <w:t>aparece</w:t>
      </w:r>
      <w:r>
        <w:rPr>
          <w:spacing w:val="-6"/>
          <w:sz w:val="16"/>
        </w:rPr>
        <w:t xml:space="preserve"> </w:t>
      </w:r>
      <w:r>
        <w:rPr>
          <w:sz w:val="16"/>
        </w:rPr>
        <w:t>reseñado</w:t>
      </w:r>
      <w:r>
        <w:rPr>
          <w:spacing w:val="-7"/>
          <w:sz w:val="16"/>
        </w:rPr>
        <w:t xml:space="preserve"> </w:t>
      </w:r>
      <w:r>
        <w:rPr>
          <w:sz w:val="16"/>
        </w:rPr>
        <w:t>como</w:t>
      </w:r>
      <w:r>
        <w:rPr>
          <w:spacing w:val="-9"/>
          <w:sz w:val="16"/>
        </w:rPr>
        <w:t xml:space="preserve"> </w:t>
      </w:r>
      <w:r>
        <w:rPr>
          <w:sz w:val="16"/>
        </w:rPr>
        <w:t>“Alex</w:t>
      </w:r>
      <w:r>
        <w:rPr>
          <w:spacing w:val="-6"/>
          <w:sz w:val="16"/>
        </w:rPr>
        <w:t xml:space="preserve"> </w:t>
      </w:r>
      <w:r>
        <w:rPr>
          <w:sz w:val="16"/>
        </w:rPr>
        <w:t>Santos</w:t>
      </w:r>
      <w:r>
        <w:rPr>
          <w:spacing w:val="-5"/>
          <w:sz w:val="16"/>
        </w:rPr>
        <w:t xml:space="preserve"> </w:t>
      </w:r>
      <w:r>
        <w:rPr>
          <w:sz w:val="16"/>
        </w:rPr>
        <w:t>Costa”.</w:t>
      </w:r>
      <w:r>
        <w:rPr>
          <w:spacing w:val="-8"/>
          <w:sz w:val="16"/>
        </w:rPr>
        <w:t xml:space="preserve"> </w:t>
      </w:r>
      <w:r>
        <w:rPr>
          <w:sz w:val="16"/>
        </w:rPr>
        <w:t>Asimismo,</w:t>
      </w:r>
      <w:r>
        <w:rPr>
          <w:spacing w:val="-5"/>
          <w:sz w:val="16"/>
        </w:rPr>
        <w:t xml:space="preserve"> </w:t>
      </w:r>
      <w:r>
        <w:rPr>
          <w:sz w:val="16"/>
        </w:rPr>
        <w:t>esta</w:t>
      </w:r>
      <w:r>
        <w:rPr>
          <w:spacing w:val="-8"/>
          <w:sz w:val="16"/>
        </w:rPr>
        <w:t xml:space="preserve"> </w:t>
      </w:r>
      <w:r>
        <w:rPr>
          <w:sz w:val="16"/>
        </w:rPr>
        <w:t>Corte</w:t>
      </w:r>
      <w:r>
        <w:rPr>
          <w:spacing w:val="-7"/>
          <w:sz w:val="16"/>
        </w:rPr>
        <w:t xml:space="preserve"> </w:t>
      </w:r>
      <w:r>
        <w:rPr>
          <w:sz w:val="16"/>
        </w:rPr>
        <w:t>encuentra</w:t>
      </w:r>
      <w:r>
        <w:rPr>
          <w:spacing w:val="-7"/>
          <w:sz w:val="16"/>
        </w:rPr>
        <w:t xml:space="preserve"> </w:t>
      </w:r>
      <w:r>
        <w:rPr>
          <w:sz w:val="16"/>
        </w:rPr>
        <w:t>que el nombre de esta persona corresponde al indicado en las pruebas aportadas por los representantes (expediente de prueba, folio 1593) y por el Estado (expediente de prueba, folios 2063, 2091 y</w:t>
      </w:r>
      <w:r>
        <w:rPr>
          <w:spacing w:val="-23"/>
          <w:sz w:val="16"/>
        </w:rPr>
        <w:t xml:space="preserve"> </w:t>
      </w:r>
      <w:r>
        <w:rPr>
          <w:sz w:val="16"/>
        </w:rPr>
        <w:t>2140).</w:t>
      </w:r>
    </w:p>
    <w:p w14:paraId="1CA31C05" w14:textId="77777777" w:rsidR="00467FCA" w:rsidRDefault="001B68EB">
      <w:pPr>
        <w:spacing w:before="1"/>
        <w:ind w:left="119" w:right="114"/>
        <w:jc w:val="both"/>
        <w:rPr>
          <w:sz w:val="16"/>
        </w:rPr>
      </w:pPr>
      <w:bookmarkStart w:id="532" w:name="_bookmark457"/>
      <w:bookmarkEnd w:id="532"/>
      <w:r>
        <w:rPr>
          <w:position w:val="6"/>
          <w:sz w:val="10"/>
        </w:rPr>
        <w:t>380</w:t>
      </w:r>
      <w:r>
        <w:rPr>
          <w:spacing w:val="16"/>
          <w:position w:val="6"/>
          <w:sz w:val="10"/>
        </w:rPr>
        <w:t xml:space="preserve"> </w:t>
      </w:r>
      <w:r>
        <w:rPr>
          <w:sz w:val="16"/>
        </w:rPr>
        <w:t>Esta</w:t>
      </w:r>
      <w:r>
        <w:rPr>
          <w:spacing w:val="-6"/>
          <w:sz w:val="16"/>
        </w:rPr>
        <w:t xml:space="preserve"> </w:t>
      </w:r>
      <w:r>
        <w:rPr>
          <w:sz w:val="16"/>
        </w:rPr>
        <w:t>perso</w:t>
      </w:r>
      <w:r>
        <w:rPr>
          <w:sz w:val="16"/>
        </w:rPr>
        <w:t>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“Alexandra Gonçalves da Silva”. Asimismo, esta Corte encuentra que el nombre de esta persona corr</w:t>
      </w:r>
      <w:r>
        <w:rPr>
          <w:sz w:val="16"/>
        </w:rPr>
        <w:t>esponde al indicado en las pruebas aportadas por los representantes (expediente de prueba, folio 1113) y por el Estado (expediente de prueba, folios 1986, 2018 y</w:t>
      </w:r>
      <w:r>
        <w:rPr>
          <w:spacing w:val="-22"/>
          <w:sz w:val="16"/>
        </w:rPr>
        <w:t xml:space="preserve"> </w:t>
      </w:r>
      <w:r>
        <w:rPr>
          <w:sz w:val="16"/>
        </w:rPr>
        <w:t>2119).</w:t>
      </w:r>
    </w:p>
    <w:p w14:paraId="3876BF70" w14:textId="77777777" w:rsidR="00467FCA" w:rsidRDefault="001B68EB">
      <w:pPr>
        <w:ind w:left="119" w:right="113"/>
        <w:jc w:val="both"/>
        <w:rPr>
          <w:sz w:val="16"/>
        </w:rPr>
      </w:pPr>
      <w:bookmarkStart w:id="533" w:name="_bookmark458"/>
      <w:bookmarkEnd w:id="533"/>
      <w:r>
        <w:rPr>
          <w:position w:val="6"/>
          <w:sz w:val="10"/>
        </w:rPr>
        <w:t>381</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“Ana Claudia Sílvia da Hora”. Sin embargo, esta Corte encuentra que el nombre de esta persona corresponde a “Ana Claudia Silva da Hora”, según consta en las prueb</w:t>
      </w:r>
      <w:r>
        <w:rPr>
          <w:sz w:val="16"/>
        </w:rPr>
        <w:t>as aportadas por el Estado (expediente de prueba, folios 1998, 2019 y</w:t>
      </w:r>
      <w:r>
        <w:rPr>
          <w:spacing w:val="-11"/>
          <w:sz w:val="16"/>
        </w:rPr>
        <w:t xml:space="preserve"> </w:t>
      </w:r>
      <w:r>
        <w:rPr>
          <w:sz w:val="16"/>
        </w:rPr>
        <w:t>2118).</w:t>
      </w:r>
    </w:p>
    <w:p w14:paraId="3E9AFA70" w14:textId="77777777" w:rsidR="00467FCA" w:rsidRDefault="001B68EB">
      <w:pPr>
        <w:ind w:left="119" w:right="113"/>
        <w:jc w:val="both"/>
        <w:rPr>
          <w:sz w:val="16"/>
        </w:rPr>
      </w:pPr>
      <w:bookmarkStart w:id="534" w:name="_bookmark459"/>
      <w:bookmarkEnd w:id="534"/>
      <w:r>
        <w:rPr>
          <w:position w:val="6"/>
          <w:sz w:val="10"/>
        </w:rPr>
        <w:t>382</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“Ana L</w:t>
      </w:r>
      <w:r>
        <w:rPr>
          <w:sz w:val="16"/>
        </w:rPr>
        <w:t>ucia de Jesus Santos”. Sin embargo, esta Corte encuentra</w:t>
      </w:r>
      <w:r>
        <w:rPr>
          <w:spacing w:val="-14"/>
          <w:sz w:val="16"/>
        </w:rPr>
        <w:t xml:space="preserve"> </w:t>
      </w:r>
      <w:r>
        <w:rPr>
          <w:sz w:val="16"/>
        </w:rPr>
        <w:t>que</w:t>
      </w:r>
      <w:r>
        <w:rPr>
          <w:spacing w:val="-13"/>
          <w:sz w:val="16"/>
        </w:rPr>
        <w:t xml:space="preserve"> </w:t>
      </w:r>
      <w:r>
        <w:rPr>
          <w:sz w:val="16"/>
        </w:rPr>
        <w:t>el</w:t>
      </w:r>
      <w:r>
        <w:rPr>
          <w:spacing w:val="-14"/>
          <w:sz w:val="16"/>
        </w:rPr>
        <w:t xml:space="preserve"> </w:t>
      </w:r>
      <w:r>
        <w:rPr>
          <w:sz w:val="16"/>
        </w:rPr>
        <w:t>nombre</w:t>
      </w:r>
      <w:r>
        <w:rPr>
          <w:spacing w:val="-12"/>
          <w:sz w:val="16"/>
        </w:rPr>
        <w:t xml:space="preserve"> </w:t>
      </w:r>
      <w:r>
        <w:rPr>
          <w:sz w:val="16"/>
        </w:rPr>
        <w:t>de</w:t>
      </w:r>
      <w:r>
        <w:rPr>
          <w:spacing w:val="-13"/>
          <w:sz w:val="16"/>
        </w:rPr>
        <w:t xml:space="preserve"> </w:t>
      </w:r>
      <w:r>
        <w:rPr>
          <w:sz w:val="16"/>
        </w:rPr>
        <w:t>esta</w:t>
      </w:r>
      <w:r>
        <w:rPr>
          <w:spacing w:val="-11"/>
          <w:sz w:val="16"/>
        </w:rPr>
        <w:t xml:space="preserve"> </w:t>
      </w:r>
      <w:r>
        <w:rPr>
          <w:sz w:val="16"/>
        </w:rPr>
        <w:t>persona</w:t>
      </w:r>
      <w:r>
        <w:rPr>
          <w:spacing w:val="-13"/>
          <w:sz w:val="16"/>
        </w:rPr>
        <w:t xml:space="preserve"> </w:t>
      </w:r>
      <w:r>
        <w:rPr>
          <w:sz w:val="16"/>
        </w:rPr>
        <w:t>corresponde</w:t>
      </w:r>
      <w:r>
        <w:rPr>
          <w:spacing w:val="-13"/>
          <w:sz w:val="16"/>
        </w:rPr>
        <w:t xml:space="preserve"> </w:t>
      </w:r>
      <w:r>
        <w:rPr>
          <w:sz w:val="16"/>
        </w:rPr>
        <w:t>a</w:t>
      </w:r>
      <w:r>
        <w:rPr>
          <w:spacing w:val="-14"/>
          <w:sz w:val="16"/>
        </w:rPr>
        <w:t xml:space="preserve"> </w:t>
      </w:r>
      <w:r>
        <w:rPr>
          <w:sz w:val="16"/>
        </w:rPr>
        <w:t>“Ana</w:t>
      </w:r>
      <w:r>
        <w:rPr>
          <w:spacing w:val="-11"/>
          <w:sz w:val="16"/>
        </w:rPr>
        <w:t xml:space="preserve"> </w:t>
      </w:r>
      <w:r>
        <w:rPr>
          <w:sz w:val="16"/>
        </w:rPr>
        <w:t>Lúcia</w:t>
      </w:r>
      <w:r>
        <w:rPr>
          <w:spacing w:val="-13"/>
          <w:sz w:val="16"/>
        </w:rPr>
        <w:t xml:space="preserve"> </w:t>
      </w:r>
      <w:r>
        <w:rPr>
          <w:sz w:val="16"/>
        </w:rPr>
        <w:t>de</w:t>
      </w:r>
      <w:r>
        <w:rPr>
          <w:spacing w:val="-13"/>
          <w:sz w:val="16"/>
        </w:rPr>
        <w:t xml:space="preserve"> </w:t>
      </w:r>
      <w:r>
        <w:rPr>
          <w:sz w:val="16"/>
        </w:rPr>
        <w:t>Jesus”,</w:t>
      </w:r>
      <w:r>
        <w:rPr>
          <w:spacing w:val="-14"/>
          <w:sz w:val="16"/>
        </w:rPr>
        <w:t xml:space="preserve"> </w:t>
      </w:r>
      <w:r>
        <w:rPr>
          <w:sz w:val="16"/>
        </w:rPr>
        <w:t>según</w:t>
      </w:r>
      <w:r>
        <w:rPr>
          <w:spacing w:val="-13"/>
          <w:sz w:val="16"/>
        </w:rPr>
        <w:t xml:space="preserve"> </w:t>
      </w:r>
      <w:r>
        <w:rPr>
          <w:sz w:val="16"/>
        </w:rPr>
        <w:t>consta</w:t>
      </w:r>
      <w:r>
        <w:rPr>
          <w:spacing w:val="-11"/>
          <w:sz w:val="16"/>
        </w:rPr>
        <w:t xml:space="preserve"> </w:t>
      </w:r>
      <w:r>
        <w:rPr>
          <w:sz w:val="16"/>
        </w:rPr>
        <w:t>en</w:t>
      </w:r>
      <w:r>
        <w:rPr>
          <w:spacing w:val="-14"/>
          <w:sz w:val="16"/>
        </w:rPr>
        <w:t xml:space="preserve"> </w:t>
      </w:r>
      <w:r>
        <w:rPr>
          <w:sz w:val="16"/>
        </w:rPr>
        <w:t>las</w:t>
      </w:r>
      <w:r>
        <w:rPr>
          <w:spacing w:val="-14"/>
          <w:sz w:val="16"/>
        </w:rPr>
        <w:t xml:space="preserve"> </w:t>
      </w:r>
      <w:r>
        <w:rPr>
          <w:sz w:val="16"/>
        </w:rPr>
        <w:t>pruebas</w:t>
      </w:r>
      <w:r>
        <w:rPr>
          <w:spacing w:val="-13"/>
          <w:sz w:val="16"/>
        </w:rPr>
        <w:t xml:space="preserve"> </w:t>
      </w:r>
      <w:r>
        <w:rPr>
          <w:sz w:val="16"/>
        </w:rPr>
        <w:t>aportadas por los representantes (expediente de prueba, folio 1112) y por el Estado (expediente de prueba, folios 2048, 2178</w:t>
      </w:r>
      <w:bookmarkStart w:id="535" w:name="_bookmark460"/>
      <w:bookmarkEnd w:id="535"/>
      <w:r>
        <w:rPr>
          <w:sz w:val="16"/>
        </w:rPr>
        <w:t xml:space="preserve"> y</w:t>
      </w:r>
      <w:r>
        <w:rPr>
          <w:spacing w:val="-2"/>
          <w:sz w:val="16"/>
        </w:rPr>
        <w:t xml:space="preserve"> </w:t>
      </w:r>
      <w:r>
        <w:rPr>
          <w:sz w:val="16"/>
        </w:rPr>
        <w:t>2189).</w:t>
      </w:r>
    </w:p>
    <w:p w14:paraId="5A8670DB" w14:textId="77777777" w:rsidR="00467FCA" w:rsidRDefault="001B68EB">
      <w:pPr>
        <w:ind w:left="119" w:right="112"/>
        <w:jc w:val="both"/>
        <w:rPr>
          <w:sz w:val="16"/>
        </w:rPr>
      </w:pPr>
      <w:r>
        <w:rPr>
          <w:position w:val="6"/>
          <w:sz w:val="10"/>
        </w:rPr>
        <w:t>383</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z w:val="16"/>
        </w:rPr>
        <w:t>). En ese listado, su nombre aparece reseñado como “Andreia dos Santos”. Asimismo, esta Corte encuentra que</w:t>
      </w:r>
      <w:r>
        <w:rPr>
          <w:spacing w:val="-6"/>
          <w:sz w:val="16"/>
        </w:rPr>
        <w:t xml:space="preserve"> </w:t>
      </w:r>
      <w:r>
        <w:rPr>
          <w:sz w:val="16"/>
        </w:rPr>
        <w:t>el</w:t>
      </w:r>
      <w:r>
        <w:rPr>
          <w:spacing w:val="-9"/>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w:t>
      </w:r>
      <w:bookmarkStart w:id="536" w:name="_bookmark461"/>
      <w:bookmarkEnd w:id="536"/>
      <w:r>
        <w:rPr>
          <w:sz w:val="16"/>
        </w:rPr>
        <w:t xml:space="preserve"> de prueba, folio 1110) y por el Estado (expediente de prueba, folios 1972, 2043 y</w:t>
      </w:r>
      <w:r>
        <w:rPr>
          <w:spacing w:val="-24"/>
          <w:sz w:val="16"/>
        </w:rPr>
        <w:t xml:space="preserve"> </w:t>
      </w:r>
      <w:r>
        <w:rPr>
          <w:sz w:val="16"/>
        </w:rPr>
        <w:t>2165).</w:t>
      </w:r>
    </w:p>
    <w:p w14:paraId="72A4570D" w14:textId="77777777" w:rsidR="00467FCA" w:rsidRDefault="001B68EB">
      <w:pPr>
        <w:ind w:left="118" w:right="114" w:firstLine="1"/>
        <w:jc w:val="both"/>
        <w:rPr>
          <w:sz w:val="16"/>
        </w:rPr>
      </w:pPr>
      <w:r>
        <w:rPr>
          <w:position w:val="6"/>
          <w:sz w:val="10"/>
        </w:rPr>
        <w:t>384</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6"/>
          <w:sz w:val="16"/>
        </w:rPr>
        <w:t xml:space="preserve"> </w:t>
      </w:r>
      <w:r>
        <w:rPr>
          <w:sz w:val="16"/>
        </w:rPr>
        <w:t>En</w:t>
      </w:r>
      <w:r>
        <w:rPr>
          <w:spacing w:val="-5"/>
          <w:sz w:val="16"/>
        </w:rPr>
        <w:t xml:space="preserve"> </w:t>
      </w:r>
      <w:r>
        <w:rPr>
          <w:sz w:val="16"/>
        </w:rPr>
        <w:t>ese</w:t>
      </w:r>
      <w:r>
        <w:rPr>
          <w:spacing w:val="-5"/>
          <w:sz w:val="16"/>
        </w:rPr>
        <w:t xml:space="preserve"> </w:t>
      </w:r>
      <w:r>
        <w:rPr>
          <w:sz w:val="16"/>
        </w:rPr>
        <w:t>listado,</w:t>
      </w:r>
      <w:r>
        <w:rPr>
          <w:spacing w:val="-5"/>
          <w:sz w:val="16"/>
        </w:rPr>
        <w:t xml:space="preserve"> </w:t>
      </w:r>
      <w:r>
        <w:rPr>
          <w:sz w:val="16"/>
        </w:rPr>
        <w:t>su</w:t>
      </w:r>
      <w:r>
        <w:rPr>
          <w:spacing w:val="-6"/>
          <w:sz w:val="16"/>
        </w:rPr>
        <w:t xml:space="preserve"> </w:t>
      </w:r>
      <w:r>
        <w:rPr>
          <w:sz w:val="16"/>
        </w:rPr>
        <w:t>nombre</w:t>
      </w:r>
      <w:r>
        <w:rPr>
          <w:spacing w:val="-6"/>
          <w:sz w:val="16"/>
        </w:rPr>
        <w:t xml:space="preserve"> </w:t>
      </w:r>
      <w:r>
        <w:rPr>
          <w:sz w:val="16"/>
        </w:rPr>
        <w:t>aparece</w:t>
      </w:r>
      <w:r>
        <w:rPr>
          <w:spacing w:val="-7"/>
          <w:sz w:val="16"/>
        </w:rPr>
        <w:t xml:space="preserve"> </w:t>
      </w:r>
      <w:r>
        <w:rPr>
          <w:sz w:val="16"/>
        </w:rPr>
        <w:t>reseñad</w:t>
      </w:r>
      <w:r>
        <w:rPr>
          <w:sz w:val="16"/>
        </w:rPr>
        <w:t>o</w:t>
      </w:r>
      <w:r>
        <w:rPr>
          <w:spacing w:val="-3"/>
          <w:sz w:val="16"/>
        </w:rPr>
        <w:t xml:space="preserve"> </w:t>
      </w:r>
      <w:r>
        <w:rPr>
          <w:sz w:val="16"/>
        </w:rPr>
        <w:t>como</w:t>
      </w:r>
      <w:r>
        <w:rPr>
          <w:spacing w:val="-6"/>
          <w:sz w:val="16"/>
        </w:rPr>
        <w:t xml:space="preserve"> </w:t>
      </w:r>
      <w:r>
        <w:rPr>
          <w:sz w:val="16"/>
        </w:rPr>
        <w:t>“Ângela</w:t>
      </w:r>
      <w:r>
        <w:rPr>
          <w:spacing w:val="-8"/>
          <w:sz w:val="16"/>
        </w:rPr>
        <w:t xml:space="preserve"> </w:t>
      </w:r>
      <w:r>
        <w:rPr>
          <w:sz w:val="16"/>
        </w:rPr>
        <w:t>Maria</w:t>
      </w:r>
      <w:r>
        <w:rPr>
          <w:spacing w:val="-7"/>
          <w:sz w:val="16"/>
        </w:rPr>
        <w:t xml:space="preserve"> </w:t>
      </w:r>
      <w:r>
        <w:rPr>
          <w:sz w:val="16"/>
        </w:rPr>
        <w:t>da</w:t>
      </w:r>
      <w:r>
        <w:rPr>
          <w:spacing w:val="-6"/>
          <w:sz w:val="16"/>
        </w:rPr>
        <w:t xml:space="preserve"> </w:t>
      </w:r>
      <w:r>
        <w:rPr>
          <w:sz w:val="16"/>
        </w:rPr>
        <w:t>Conceição</w:t>
      </w:r>
      <w:r>
        <w:rPr>
          <w:spacing w:val="-5"/>
          <w:sz w:val="16"/>
        </w:rPr>
        <w:t xml:space="preserve"> </w:t>
      </w:r>
      <w:r>
        <w:rPr>
          <w:sz w:val="16"/>
        </w:rPr>
        <w:t>de</w:t>
      </w:r>
      <w:r>
        <w:rPr>
          <w:spacing w:val="-5"/>
          <w:sz w:val="16"/>
        </w:rPr>
        <w:t xml:space="preserve"> </w:t>
      </w:r>
      <w:r>
        <w:rPr>
          <w:sz w:val="16"/>
        </w:rPr>
        <w:t>Jesus”.</w:t>
      </w:r>
      <w:r>
        <w:rPr>
          <w:spacing w:val="-5"/>
          <w:sz w:val="16"/>
        </w:rPr>
        <w:t xml:space="preserve"> </w:t>
      </w:r>
      <w:r>
        <w:rPr>
          <w:sz w:val="16"/>
        </w:rPr>
        <w:t>Sin</w:t>
      </w:r>
      <w:r>
        <w:rPr>
          <w:spacing w:val="-5"/>
          <w:sz w:val="16"/>
        </w:rPr>
        <w:t xml:space="preserve"> </w:t>
      </w:r>
      <w:r>
        <w:rPr>
          <w:sz w:val="16"/>
        </w:rPr>
        <w:t>embargo,</w:t>
      </w:r>
      <w:r>
        <w:rPr>
          <w:spacing w:val="-6"/>
          <w:sz w:val="16"/>
        </w:rPr>
        <w:t xml:space="preserve"> </w:t>
      </w:r>
      <w:r>
        <w:rPr>
          <w:sz w:val="16"/>
        </w:rPr>
        <w:t>esta Corte encuentra que el nombre de esta persona corresponde a “Ângela Maria Conceição de Jesus”, según consta en las pruebas aportadas por el Estado (expediente de prueba, folios 1965, 2047 y</w:t>
      </w:r>
      <w:r>
        <w:rPr>
          <w:spacing w:val="-20"/>
          <w:sz w:val="16"/>
        </w:rPr>
        <w:t xml:space="preserve"> </w:t>
      </w:r>
      <w:r>
        <w:rPr>
          <w:sz w:val="16"/>
        </w:rPr>
        <w:t>2103).</w:t>
      </w:r>
    </w:p>
    <w:p w14:paraId="25AC713B" w14:textId="77777777" w:rsidR="00467FCA" w:rsidRDefault="00467FCA">
      <w:pPr>
        <w:jc w:val="both"/>
        <w:rPr>
          <w:sz w:val="16"/>
        </w:rPr>
        <w:sectPr w:rsidR="00467FCA">
          <w:pgSz w:w="12240" w:h="15840"/>
          <w:pgMar w:top="1500" w:right="1320" w:bottom="1220" w:left="1320" w:header="0" w:footer="957"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467FCA" w14:paraId="08982B93" w14:textId="77777777">
        <w:trPr>
          <w:trHeight w:val="299"/>
        </w:trPr>
        <w:tc>
          <w:tcPr>
            <w:tcW w:w="523" w:type="dxa"/>
          </w:tcPr>
          <w:p w14:paraId="6380A04D" w14:textId="77777777" w:rsidR="00467FCA" w:rsidRDefault="001B68EB">
            <w:pPr>
              <w:pStyle w:val="TableParagraph"/>
              <w:ind w:left="71"/>
              <w:jc w:val="left"/>
              <w:rPr>
                <w:sz w:val="20"/>
              </w:rPr>
            </w:pPr>
            <w:r>
              <w:rPr>
                <w:sz w:val="20"/>
              </w:rPr>
              <w:t>11</w:t>
            </w:r>
          </w:p>
        </w:tc>
        <w:tc>
          <w:tcPr>
            <w:tcW w:w="6564" w:type="dxa"/>
          </w:tcPr>
          <w:p w14:paraId="589288D5" w14:textId="77777777" w:rsidR="00467FCA" w:rsidRDefault="001B68EB">
            <w:pPr>
              <w:pStyle w:val="TableParagraph"/>
              <w:ind w:left="69"/>
              <w:jc w:val="left"/>
              <w:rPr>
                <w:sz w:val="13"/>
              </w:rPr>
            </w:pPr>
            <w:r>
              <w:rPr>
                <w:sz w:val="20"/>
              </w:rPr>
              <w:t>Antônia Cerqueira dos Santos</w:t>
            </w:r>
            <w:hyperlink w:anchor="_bookmark462" w:history="1">
              <w:r>
                <w:rPr>
                  <w:position w:val="7"/>
                  <w:sz w:val="13"/>
                </w:rPr>
                <w:t>385</w:t>
              </w:r>
            </w:hyperlink>
          </w:p>
        </w:tc>
      </w:tr>
      <w:tr w:rsidR="00467FCA" w14:paraId="0112F93D" w14:textId="77777777">
        <w:trPr>
          <w:trHeight w:val="299"/>
        </w:trPr>
        <w:tc>
          <w:tcPr>
            <w:tcW w:w="523" w:type="dxa"/>
          </w:tcPr>
          <w:p w14:paraId="50CC51DC" w14:textId="77777777" w:rsidR="00467FCA" w:rsidRDefault="001B68EB">
            <w:pPr>
              <w:pStyle w:val="TableParagraph"/>
              <w:ind w:left="71"/>
              <w:jc w:val="left"/>
              <w:rPr>
                <w:sz w:val="20"/>
              </w:rPr>
            </w:pPr>
            <w:r>
              <w:rPr>
                <w:sz w:val="20"/>
              </w:rPr>
              <w:t>12</w:t>
            </w:r>
          </w:p>
        </w:tc>
        <w:tc>
          <w:tcPr>
            <w:tcW w:w="6564" w:type="dxa"/>
          </w:tcPr>
          <w:p w14:paraId="496D4C3F" w14:textId="77777777" w:rsidR="00467FCA" w:rsidRDefault="001B68EB">
            <w:pPr>
              <w:pStyle w:val="TableParagraph"/>
              <w:ind w:left="69"/>
              <w:jc w:val="left"/>
              <w:rPr>
                <w:sz w:val="13"/>
              </w:rPr>
            </w:pPr>
            <w:r>
              <w:rPr>
                <w:sz w:val="20"/>
              </w:rPr>
              <w:t>Aristela Santos de Jesus</w:t>
            </w:r>
            <w:hyperlink w:anchor="_bookmark463" w:history="1">
              <w:r>
                <w:rPr>
                  <w:position w:val="7"/>
                  <w:sz w:val="13"/>
                </w:rPr>
                <w:t>386</w:t>
              </w:r>
            </w:hyperlink>
          </w:p>
        </w:tc>
      </w:tr>
      <w:tr w:rsidR="00467FCA" w14:paraId="31BC7AC8" w14:textId="77777777">
        <w:trPr>
          <w:trHeight w:val="301"/>
        </w:trPr>
        <w:tc>
          <w:tcPr>
            <w:tcW w:w="523" w:type="dxa"/>
          </w:tcPr>
          <w:p w14:paraId="4FF03F4C" w14:textId="77777777" w:rsidR="00467FCA" w:rsidRDefault="001B68EB">
            <w:pPr>
              <w:pStyle w:val="TableParagraph"/>
              <w:ind w:left="71"/>
              <w:jc w:val="left"/>
              <w:rPr>
                <w:sz w:val="20"/>
              </w:rPr>
            </w:pPr>
            <w:r>
              <w:rPr>
                <w:sz w:val="20"/>
              </w:rPr>
              <w:t>13</w:t>
            </w:r>
          </w:p>
        </w:tc>
        <w:tc>
          <w:tcPr>
            <w:tcW w:w="6564" w:type="dxa"/>
          </w:tcPr>
          <w:p w14:paraId="4EB931E8" w14:textId="77777777" w:rsidR="00467FCA" w:rsidRDefault="001B68EB">
            <w:pPr>
              <w:pStyle w:val="TableParagraph"/>
              <w:ind w:left="69"/>
              <w:jc w:val="left"/>
              <w:rPr>
                <w:sz w:val="13"/>
              </w:rPr>
            </w:pPr>
            <w:r>
              <w:rPr>
                <w:sz w:val="20"/>
              </w:rPr>
              <w:t>Arlete Silva Santos</w:t>
            </w:r>
            <w:hyperlink w:anchor="_bookmark464" w:history="1">
              <w:r>
                <w:rPr>
                  <w:position w:val="7"/>
                  <w:sz w:val="13"/>
                </w:rPr>
                <w:t>387</w:t>
              </w:r>
            </w:hyperlink>
          </w:p>
        </w:tc>
      </w:tr>
      <w:tr w:rsidR="00467FCA" w14:paraId="72660595" w14:textId="77777777">
        <w:trPr>
          <w:trHeight w:val="376"/>
        </w:trPr>
        <w:tc>
          <w:tcPr>
            <w:tcW w:w="523" w:type="dxa"/>
          </w:tcPr>
          <w:p w14:paraId="26BF1AE8" w14:textId="77777777" w:rsidR="00467FCA" w:rsidRDefault="001B68EB">
            <w:pPr>
              <w:pStyle w:val="TableParagraph"/>
              <w:spacing w:before="67"/>
              <w:ind w:left="71"/>
              <w:jc w:val="left"/>
              <w:rPr>
                <w:sz w:val="20"/>
              </w:rPr>
            </w:pPr>
            <w:r>
              <w:rPr>
                <w:sz w:val="20"/>
              </w:rPr>
              <w:t>14</w:t>
            </w:r>
          </w:p>
        </w:tc>
        <w:tc>
          <w:tcPr>
            <w:tcW w:w="6564" w:type="dxa"/>
          </w:tcPr>
          <w:p w14:paraId="0C77FE5E" w14:textId="77777777" w:rsidR="00467FCA" w:rsidRDefault="001B68EB">
            <w:pPr>
              <w:pStyle w:val="TableParagraph"/>
              <w:spacing w:before="67"/>
              <w:ind w:left="69"/>
              <w:jc w:val="left"/>
              <w:rPr>
                <w:sz w:val="13"/>
              </w:rPr>
            </w:pPr>
            <w:r>
              <w:rPr>
                <w:sz w:val="20"/>
              </w:rPr>
              <w:t>Carla Alexandra Cerqueira Santos</w:t>
            </w:r>
            <w:hyperlink w:anchor="_bookmark465" w:history="1">
              <w:r>
                <w:rPr>
                  <w:position w:val="7"/>
                  <w:sz w:val="13"/>
                </w:rPr>
                <w:t>388</w:t>
              </w:r>
            </w:hyperlink>
          </w:p>
        </w:tc>
      </w:tr>
      <w:tr w:rsidR="00467FCA" w14:paraId="754E8E8D" w14:textId="77777777">
        <w:trPr>
          <w:trHeight w:val="299"/>
        </w:trPr>
        <w:tc>
          <w:tcPr>
            <w:tcW w:w="523" w:type="dxa"/>
          </w:tcPr>
          <w:p w14:paraId="4EF11020" w14:textId="77777777" w:rsidR="00467FCA" w:rsidRDefault="001B68EB">
            <w:pPr>
              <w:pStyle w:val="TableParagraph"/>
              <w:ind w:left="71"/>
              <w:jc w:val="left"/>
              <w:rPr>
                <w:sz w:val="20"/>
              </w:rPr>
            </w:pPr>
            <w:r>
              <w:rPr>
                <w:sz w:val="20"/>
              </w:rPr>
              <w:t>15</w:t>
            </w:r>
          </w:p>
        </w:tc>
        <w:tc>
          <w:tcPr>
            <w:tcW w:w="6564" w:type="dxa"/>
          </w:tcPr>
          <w:p w14:paraId="11048427" w14:textId="77777777" w:rsidR="00467FCA" w:rsidRDefault="001B68EB">
            <w:pPr>
              <w:pStyle w:val="TableParagraph"/>
              <w:ind w:left="69"/>
              <w:jc w:val="left"/>
              <w:rPr>
                <w:sz w:val="13"/>
              </w:rPr>
            </w:pPr>
            <w:r>
              <w:rPr>
                <w:sz w:val="20"/>
              </w:rPr>
              <w:t xml:space="preserve">Carla Mércia Borges </w:t>
            </w:r>
            <w:hyperlink w:anchor="_bookmark466" w:history="1">
              <w:r>
                <w:rPr>
                  <w:position w:val="7"/>
                  <w:sz w:val="13"/>
                </w:rPr>
                <w:t>389</w:t>
              </w:r>
            </w:hyperlink>
          </w:p>
        </w:tc>
      </w:tr>
      <w:tr w:rsidR="00467FCA" w14:paraId="75C2DA0B" w14:textId="77777777">
        <w:trPr>
          <w:trHeight w:val="299"/>
        </w:trPr>
        <w:tc>
          <w:tcPr>
            <w:tcW w:w="523" w:type="dxa"/>
          </w:tcPr>
          <w:p w14:paraId="61BFB4E0" w14:textId="77777777" w:rsidR="00467FCA" w:rsidRDefault="001B68EB">
            <w:pPr>
              <w:pStyle w:val="TableParagraph"/>
              <w:ind w:left="71"/>
              <w:jc w:val="left"/>
              <w:rPr>
                <w:sz w:val="20"/>
              </w:rPr>
            </w:pPr>
            <w:r>
              <w:rPr>
                <w:sz w:val="20"/>
              </w:rPr>
              <w:t>16</w:t>
            </w:r>
          </w:p>
        </w:tc>
        <w:tc>
          <w:tcPr>
            <w:tcW w:w="6564" w:type="dxa"/>
          </w:tcPr>
          <w:p w14:paraId="128AE6BF" w14:textId="77777777" w:rsidR="00467FCA" w:rsidRDefault="001B68EB">
            <w:pPr>
              <w:pStyle w:val="TableParagraph"/>
              <w:ind w:left="69"/>
              <w:jc w:val="left"/>
              <w:rPr>
                <w:sz w:val="13"/>
              </w:rPr>
            </w:pPr>
            <w:r>
              <w:rPr>
                <w:sz w:val="20"/>
              </w:rPr>
              <w:t>Carla Reis dos Santos</w:t>
            </w:r>
            <w:hyperlink w:anchor="_bookmark467" w:history="1">
              <w:r>
                <w:rPr>
                  <w:position w:val="7"/>
                  <w:sz w:val="13"/>
                </w:rPr>
                <w:t>390</w:t>
              </w:r>
            </w:hyperlink>
          </w:p>
        </w:tc>
      </w:tr>
      <w:tr w:rsidR="00467FCA" w14:paraId="68B1A555" w14:textId="77777777">
        <w:trPr>
          <w:trHeight w:val="299"/>
        </w:trPr>
        <w:tc>
          <w:tcPr>
            <w:tcW w:w="523" w:type="dxa"/>
          </w:tcPr>
          <w:p w14:paraId="4F33BBBA" w14:textId="77777777" w:rsidR="00467FCA" w:rsidRDefault="001B68EB">
            <w:pPr>
              <w:pStyle w:val="TableParagraph"/>
              <w:ind w:left="71"/>
              <w:jc w:val="left"/>
              <w:rPr>
                <w:sz w:val="20"/>
              </w:rPr>
            </w:pPr>
            <w:r>
              <w:rPr>
                <w:sz w:val="20"/>
              </w:rPr>
              <w:t>17</w:t>
            </w:r>
          </w:p>
        </w:tc>
        <w:tc>
          <w:tcPr>
            <w:tcW w:w="6564" w:type="dxa"/>
          </w:tcPr>
          <w:p w14:paraId="0EB59F6C" w14:textId="77777777" w:rsidR="00467FCA" w:rsidRDefault="001B68EB">
            <w:pPr>
              <w:pStyle w:val="TableParagraph"/>
              <w:ind w:left="69"/>
              <w:jc w:val="left"/>
              <w:rPr>
                <w:sz w:val="13"/>
              </w:rPr>
            </w:pPr>
            <w:r>
              <w:rPr>
                <w:sz w:val="20"/>
              </w:rPr>
              <w:t>Claudiane Maria Nascimento dos Santos</w:t>
            </w:r>
            <w:hyperlink w:anchor="_bookmark468" w:history="1">
              <w:r>
                <w:rPr>
                  <w:position w:val="7"/>
                  <w:sz w:val="13"/>
                </w:rPr>
                <w:t>391</w:t>
              </w:r>
            </w:hyperlink>
          </w:p>
        </w:tc>
      </w:tr>
      <w:tr w:rsidR="00467FCA" w14:paraId="37A01725" w14:textId="77777777">
        <w:trPr>
          <w:trHeight w:val="299"/>
        </w:trPr>
        <w:tc>
          <w:tcPr>
            <w:tcW w:w="523" w:type="dxa"/>
          </w:tcPr>
          <w:p w14:paraId="0220A971" w14:textId="77777777" w:rsidR="00467FCA" w:rsidRDefault="001B68EB">
            <w:pPr>
              <w:pStyle w:val="TableParagraph"/>
              <w:ind w:left="71"/>
              <w:jc w:val="left"/>
              <w:rPr>
                <w:sz w:val="20"/>
              </w:rPr>
            </w:pPr>
            <w:r>
              <w:rPr>
                <w:sz w:val="20"/>
              </w:rPr>
              <w:t>18</w:t>
            </w:r>
          </w:p>
        </w:tc>
        <w:tc>
          <w:tcPr>
            <w:tcW w:w="6564" w:type="dxa"/>
          </w:tcPr>
          <w:p w14:paraId="3A10F552" w14:textId="77777777" w:rsidR="00467FCA" w:rsidRDefault="001B68EB">
            <w:pPr>
              <w:pStyle w:val="TableParagraph"/>
              <w:ind w:left="69"/>
              <w:jc w:val="left"/>
              <w:rPr>
                <w:sz w:val="13"/>
              </w:rPr>
            </w:pPr>
            <w:r>
              <w:rPr>
                <w:sz w:val="20"/>
              </w:rPr>
              <w:t xml:space="preserve">Cristiane Lima Bittencourt </w:t>
            </w:r>
            <w:hyperlink w:anchor="_bookmark469" w:history="1">
              <w:r>
                <w:rPr>
                  <w:position w:val="7"/>
                  <w:sz w:val="13"/>
                </w:rPr>
                <w:t>392</w:t>
              </w:r>
            </w:hyperlink>
          </w:p>
        </w:tc>
      </w:tr>
      <w:tr w:rsidR="00467FCA" w14:paraId="326752AE" w14:textId="77777777">
        <w:trPr>
          <w:trHeight w:val="301"/>
        </w:trPr>
        <w:tc>
          <w:tcPr>
            <w:tcW w:w="523" w:type="dxa"/>
          </w:tcPr>
          <w:p w14:paraId="13A4B472" w14:textId="77777777" w:rsidR="00467FCA" w:rsidRDefault="001B68EB">
            <w:pPr>
              <w:pStyle w:val="TableParagraph"/>
              <w:ind w:left="71"/>
              <w:jc w:val="left"/>
              <w:rPr>
                <w:sz w:val="20"/>
              </w:rPr>
            </w:pPr>
            <w:r>
              <w:rPr>
                <w:sz w:val="20"/>
              </w:rPr>
              <w:t>19</w:t>
            </w:r>
          </w:p>
        </w:tc>
        <w:tc>
          <w:tcPr>
            <w:tcW w:w="6564" w:type="dxa"/>
          </w:tcPr>
          <w:p w14:paraId="30AB3043" w14:textId="77777777" w:rsidR="00467FCA" w:rsidRDefault="001B68EB">
            <w:pPr>
              <w:pStyle w:val="TableParagraph"/>
              <w:ind w:left="69"/>
              <w:jc w:val="left"/>
              <w:rPr>
                <w:sz w:val="13"/>
              </w:rPr>
            </w:pPr>
            <w:r>
              <w:rPr>
                <w:sz w:val="20"/>
              </w:rPr>
              <w:t>Daiane dos Santos Conceição</w:t>
            </w:r>
            <w:hyperlink w:anchor="_bookmark470" w:history="1">
              <w:r>
                <w:rPr>
                  <w:position w:val="7"/>
                  <w:sz w:val="13"/>
                </w:rPr>
                <w:t>393</w:t>
              </w:r>
            </w:hyperlink>
          </w:p>
        </w:tc>
      </w:tr>
      <w:tr w:rsidR="00467FCA" w14:paraId="53E98C71" w14:textId="77777777">
        <w:trPr>
          <w:trHeight w:val="299"/>
        </w:trPr>
        <w:tc>
          <w:tcPr>
            <w:tcW w:w="523" w:type="dxa"/>
          </w:tcPr>
          <w:p w14:paraId="40DBBCF8" w14:textId="77777777" w:rsidR="00467FCA" w:rsidRDefault="001B68EB">
            <w:pPr>
              <w:pStyle w:val="TableParagraph"/>
              <w:ind w:left="71"/>
              <w:jc w:val="left"/>
              <w:rPr>
                <w:sz w:val="20"/>
              </w:rPr>
            </w:pPr>
            <w:r>
              <w:rPr>
                <w:sz w:val="20"/>
              </w:rPr>
              <w:t>20</w:t>
            </w:r>
          </w:p>
        </w:tc>
        <w:tc>
          <w:tcPr>
            <w:tcW w:w="6564" w:type="dxa"/>
          </w:tcPr>
          <w:p w14:paraId="48ED552D" w14:textId="77777777" w:rsidR="00467FCA" w:rsidRDefault="001B68EB">
            <w:pPr>
              <w:pStyle w:val="TableParagraph"/>
              <w:ind w:left="69"/>
              <w:jc w:val="left"/>
              <w:rPr>
                <w:sz w:val="13"/>
              </w:rPr>
            </w:pPr>
            <w:r>
              <w:rPr>
                <w:sz w:val="20"/>
              </w:rPr>
              <w:t>Daniela Cerqueira Reis</w:t>
            </w:r>
            <w:hyperlink w:anchor="_bookmark471" w:history="1">
              <w:r>
                <w:rPr>
                  <w:position w:val="7"/>
                  <w:sz w:val="13"/>
                </w:rPr>
                <w:t>394</w:t>
              </w:r>
            </w:hyperlink>
          </w:p>
        </w:tc>
      </w:tr>
      <w:tr w:rsidR="00467FCA" w14:paraId="52969DA6" w14:textId="77777777">
        <w:trPr>
          <w:trHeight w:val="299"/>
        </w:trPr>
        <w:tc>
          <w:tcPr>
            <w:tcW w:w="523" w:type="dxa"/>
          </w:tcPr>
          <w:p w14:paraId="41BDB6DF" w14:textId="77777777" w:rsidR="00467FCA" w:rsidRDefault="001B68EB">
            <w:pPr>
              <w:pStyle w:val="TableParagraph"/>
              <w:ind w:left="71"/>
              <w:jc w:val="left"/>
              <w:rPr>
                <w:sz w:val="20"/>
              </w:rPr>
            </w:pPr>
            <w:r>
              <w:rPr>
                <w:sz w:val="20"/>
              </w:rPr>
              <w:t>21</w:t>
            </w:r>
          </w:p>
        </w:tc>
        <w:tc>
          <w:tcPr>
            <w:tcW w:w="6564" w:type="dxa"/>
          </w:tcPr>
          <w:p w14:paraId="261D7177" w14:textId="77777777" w:rsidR="00467FCA" w:rsidRDefault="001B68EB">
            <w:pPr>
              <w:pStyle w:val="TableParagraph"/>
              <w:ind w:left="69"/>
              <w:jc w:val="left"/>
              <w:rPr>
                <w:sz w:val="13"/>
              </w:rPr>
            </w:pPr>
            <w:r>
              <w:rPr>
                <w:sz w:val="20"/>
              </w:rPr>
              <w:t>Edilene Silva dos Santos</w:t>
            </w:r>
            <w:hyperlink w:anchor="_bookmark472" w:history="1">
              <w:r>
                <w:rPr>
                  <w:position w:val="7"/>
                  <w:sz w:val="13"/>
                </w:rPr>
                <w:t>395</w:t>
              </w:r>
            </w:hyperlink>
          </w:p>
        </w:tc>
      </w:tr>
    </w:tbl>
    <w:p w14:paraId="772AC4B7" w14:textId="77777777" w:rsidR="00467FCA" w:rsidRDefault="001B68EB">
      <w:pPr>
        <w:pStyle w:val="Textoindependiente"/>
        <w:spacing w:before="11"/>
        <w:rPr>
          <w:sz w:val="13"/>
        </w:rPr>
      </w:pPr>
      <w:r>
        <w:pict w14:anchorId="0A962170">
          <v:shape id="_x0000_s1117" style="position:absolute;margin-left:1in;margin-top:10.75pt;width:2in;height:.1pt;z-index:-251577344;mso-wrap-distance-left:0;mso-wrap-distance-right:0;mso-position-horizontal-relative:page;mso-position-vertical-relative:text" coordorigin="1440,215" coordsize="2880,0" path="m1440,215r2880,e" filled="f" strokeweight=".21131mm">
            <v:path arrowok="t"/>
            <w10:wrap type="topAndBottom" anchorx="page"/>
          </v:shape>
        </w:pict>
      </w:r>
    </w:p>
    <w:p w14:paraId="3EC99166" w14:textId="77777777" w:rsidR="00467FCA" w:rsidRDefault="001B68EB">
      <w:pPr>
        <w:spacing w:before="74"/>
        <w:ind w:left="119" w:right="114"/>
        <w:jc w:val="both"/>
        <w:rPr>
          <w:sz w:val="16"/>
        </w:rPr>
      </w:pPr>
      <w:bookmarkStart w:id="537" w:name="_bookmark462"/>
      <w:bookmarkEnd w:id="537"/>
      <w:r>
        <w:rPr>
          <w:position w:val="6"/>
          <w:sz w:val="10"/>
        </w:rPr>
        <w:t>385</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“Antônia Cerqueira dos Santos”. Asimismo, esta Corte encuentra que el nombre de esta persona corresponde al indicado en las pruebas aportadas por los representantes (expediente de prueba, folio 1586</w:t>
      </w:r>
      <w:r>
        <w:rPr>
          <w:sz w:val="16"/>
        </w:rPr>
        <w:t>) y por el Estado (expediente de prueba, folios 1994, 2025 y</w:t>
      </w:r>
      <w:r>
        <w:rPr>
          <w:spacing w:val="-22"/>
          <w:sz w:val="16"/>
        </w:rPr>
        <w:t xml:space="preserve"> </w:t>
      </w:r>
      <w:r>
        <w:rPr>
          <w:sz w:val="16"/>
        </w:rPr>
        <w:t>2176).</w:t>
      </w:r>
    </w:p>
    <w:p w14:paraId="55DBC5B4" w14:textId="77777777" w:rsidR="00467FCA" w:rsidRDefault="001B68EB">
      <w:pPr>
        <w:ind w:left="119" w:right="114"/>
        <w:jc w:val="both"/>
        <w:rPr>
          <w:sz w:val="16"/>
        </w:rPr>
      </w:pPr>
      <w:bookmarkStart w:id="538" w:name="_bookmark463"/>
      <w:bookmarkEnd w:id="538"/>
      <w:r>
        <w:rPr>
          <w:position w:val="6"/>
          <w:sz w:val="10"/>
        </w:rPr>
        <w:t>386</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7"/>
          <w:sz w:val="16"/>
        </w:rPr>
        <w:t xml:space="preserve"> </w:t>
      </w:r>
      <w:r>
        <w:rPr>
          <w:sz w:val="16"/>
        </w:rPr>
        <w:t>En</w:t>
      </w:r>
      <w:r>
        <w:rPr>
          <w:spacing w:val="-15"/>
          <w:sz w:val="16"/>
        </w:rPr>
        <w:t xml:space="preserve"> </w:t>
      </w:r>
      <w:r>
        <w:rPr>
          <w:sz w:val="16"/>
        </w:rPr>
        <w:t>ese</w:t>
      </w:r>
      <w:r>
        <w:rPr>
          <w:spacing w:val="-14"/>
          <w:sz w:val="16"/>
        </w:rPr>
        <w:t xml:space="preserve"> </w:t>
      </w:r>
      <w:r>
        <w:rPr>
          <w:sz w:val="16"/>
        </w:rPr>
        <w:t>listado,</w:t>
      </w:r>
      <w:r>
        <w:rPr>
          <w:spacing w:val="-15"/>
          <w:sz w:val="16"/>
        </w:rPr>
        <w:t xml:space="preserve"> </w:t>
      </w:r>
      <w:r>
        <w:rPr>
          <w:sz w:val="16"/>
        </w:rPr>
        <w:t>su</w:t>
      </w:r>
      <w:r>
        <w:rPr>
          <w:spacing w:val="-16"/>
          <w:sz w:val="16"/>
        </w:rPr>
        <w:t xml:space="preserve"> </w:t>
      </w:r>
      <w:r>
        <w:rPr>
          <w:sz w:val="16"/>
        </w:rPr>
        <w:t>nombre</w:t>
      </w:r>
      <w:r>
        <w:rPr>
          <w:spacing w:val="-14"/>
          <w:sz w:val="16"/>
        </w:rPr>
        <w:t xml:space="preserve"> </w:t>
      </w:r>
      <w:r>
        <w:rPr>
          <w:sz w:val="16"/>
        </w:rPr>
        <w:t>aparece</w:t>
      </w:r>
      <w:r>
        <w:rPr>
          <w:spacing w:val="-17"/>
          <w:sz w:val="16"/>
        </w:rPr>
        <w:t xml:space="preserve"> </w:t>
      </w:r>
      <w:r>
        <w:rPr>
          <w:sz w:val="16"/>
        </w:rPr>
        <w:t>reseñado</w:t>
      </w:r>
      <w:r>
        <w:rPr>
          <w:spacing w:val="-14"/>
          <w:sz w:val="16"/>
        </w:rPr>
        <w:t xml:space="preserve"> </w:t>
      </w:r>
      <w:r>
        <w:rPr>
          <w:sz w:val="16"/>
        </w:rPr>
        <w:t>como</w:t>
      </w:r>
      <w:r>
        <w:rPr>
          <w:spacing w:val="-16"/>
          <w:sz w:val="16"/>
        </w:rPr>
        <w:t xml:space="preserve"> </w:t>
      </w:r>
      <w:r>
        <w:rPr>
          <w:sz w:val="16"/>
        </w:rPr>
        <w:t>“Aristela</w:t>
      </w:r>
      <w:r>
        <w:rPr>
          <w:spacing w:val="-16"/>
          <w:sz w:val="16"/>
        </w:rPr>
        <w:t xml:space="preserve"> </w:t>
      </w:r>
      <w:r>
        <w:rPr>
          <w:sz w:val="16"/>
        </w:rPr>
        <w:t>Santos</w:t>
      </w:r>
      <w:r>
        <w:rPr>
          <w:spacing w:val="-17"/>
          <w:sz w:val="16"/>
        </w:rPr>
        <w:t xml:space="preserve"> </w:t>
      </w:r>
      <w:r>
        <w:rPr>
          <w:sz w:val="16"/>
        </w:rPr>
        <w:t>de</w:t>
      </w:r>
      <w:r>
        <w:rPr>
          <w:spacing w:val="-14"/>
          <w:sz w:val="16"/>
        </w:rPr>
        <w:t xml:space="preserve"> </w:t>
      </w:r>
      <w:r>
        <w:rPr>
          <w:sz w:val="16"/>
        </w:rPr>
        <w:t>Jesus”.</w:t>
      </w:r>
      <w:r>
        <w:rPr>
          <w:spacing w:val="-15"/>
          <w:sz w:val="16"/>
        </w:rPr>
        <w:t xml:space="preserve"> </w:t>
      </w:r>
      <w:r>
        <w:rPr>
          <w:sz w:val="16"/>
        </w:rPr>
        <w:t>Asimismo,</w:t>
      </w:r>
      <w:r>
        <w:rPr>
          <w:spacing w:val="-16"/>
          <w:sz w:val="16"/>
        </w:rPr>
        <w:t xml:space="preserve"> </w:t>
      </w:r>
      <w:r>
        <w:rPr>
          <w:sz w:val="16"/>
        </w:rPr>
        <w:t>esta</w:t>
      </w:r>
      <w:r>
        <w:rPr>
          <w:spacing w:val="-18"/>
          <w:sz w:val="16"/>
        </w:rPr>
        <w:t xml:space="preserve"> </w:t>
      </w:r>
      <w:r>
        <w:rPr>
          <w:sz w:val="16"/>
        </w:rPr>
        <w:t>Corte</w:t>
      </w:r>
      <w:r>
        <w:rPr>
          <w:spacing w:val="-14"/>
          <w:sz w:val="16"/>
        </w:rPr>
        <w:t xml:space="preserve"> </w:t>
      </w:r>
      <w:r>
        <w:rPr>
          <w:sz w:val="16"/>
        </w:rPr>
        <w:t>encuentra que</w:t>
      </w:r>
      <w:r>
        <w:rPr>
          <w:spacing w:val="-6"/>
          <w:sz w:val="16"/>
        </w:rPr>
        <w:t xml:space="preserve"> </w:t>
      </w:r>
      <w:r>
        <w:rPr>
          <w:sz w:val="16"/>
        </w:rPr>
        <w:t>el</w:t>
      </w:r>
      <w:r>
        <w:rPr>
          <w:spacing w:val="-9"/>
          <w:sz w:val="16"/>
        </w:rPr>
        <w:t xml:space="preserve"> </w:t>
      </w:r>
      <w:r>
        <w:rPr>
          <w:sz w:val="16"/>
        </w:rPr>
        <w:t>nombre</w:t>
      </w:r>
      <w:r>
        <w:rPr>
          <w:spacing w:val="-8"/>
          <w:sz w:val="16"/>
        </w:rPr>
        <w:t xml:space="preserve"> </w:t>
      </w:r>
      <w:r>
        <w:rPr>
          <w:sz w:val="16"/>
        </w:rPr>
        <w:t>de</w:t>
      </w:r>
      <w:r>
        <w:rPr>
          <w:spacing w:val="-7"/>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 de prueba, folio 1586) y por el Estado (expediente de prueba, folios 1980, 2038 y</w:t>
      </w:r>
      <w:r>
        <w:rPr>
          <w:spacing w:val="-24"/>
          <w:sz w:val="16"/>
        </w:rPr>
        <w:t xml:space="preserve"> </w:t>
      </w:r>
      <w:r>
        <w:rPr>
          <w:sz w:val="16"/>
        </w:rPr>
        <w:t>2</w:t>
      </w:r>
      <w:r>
        <w:rPr>
          <w:sz w:val="16"/>
        </w:rPr>
        <w:t>100).</w:t>
      </w:r>
    </w:p>
    <w:p w14:paraId="6B3C6773" w14:textId="77777777" w:rsidR="00467FCA" w:rsidRDefault="001B68EB">
      <w:pPr>
        <w:ind w:left="119" w:right="114"/>
        <w:jc w:val="both"/>
        <w:rPr>
          <w:sz w:val="16"/>
        </w:rPr>
      </w:pPr>
      <w:bookmarkStart w:id="539" w:name="_bookmark464"/>
      <w:bookmarkEnd w:id="539"/>
      <w:r>
        <w:rPr>
          <w:position w:val="6"/>
          <w:sz w:val="10"/>
        </w:rPr>
        <w:t>387</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“Alrlete Silva Santos” y como “Arlete Silva Santos”. Sin embargo,</w:t>
      </w:r>
      <w:r>
        <w:rPr>
          <w:spacing w:val="-9"/>
          <w:sz w:val="16"/>
        </w:rPr>
        <w:t xml:space="preserve"> </w:t>
      </w:r>
      <w:r>
        <w:rPr>
          <w:sz w:val="16"/>
        </w:rPr>
        <w:t>esta</w:t>
      </w:r>
      <w:r>
        <w:rPr>
          <w:spacing w:val="-8"/>
          <w:sz w:val="16"/>
        </w:rPr>
        <w:t xml:space="preserve"> </w:t>
      </w:r>
      <w:r>
        <w:rPr>
          <w:sz w:val="16"/>
        </w:rPr>
        <w:t>Corte</w:t>
      </w:r>
      <w:r>
        <w:rPr>
          <w:spacing w:val="-6"/>
          <w:sz w:val="16"/>
        </w:rPr>
        <w:t xml:space="preserve"> </w:t>
      </w:r>
      <w:r>
        <w:rPr>
          <w:sz w:val="16"/>
        </w:rPr>
        <w:t>encuentra</w:t>
      </w:r>
      <w:r>
        <w:rPr>
          <w:spacing w:val="-6"/>
          <w:sz w:val="16"/>
        </w:rPr>
        <w:t xml:space="preserve"> </w:t>
      </w:r>
      <w:r>
        <w:rPr>
          <w:sz w:val="16"/>
        </w:rPr>
        <w:t>que</w:t>
      </w:r>
      <w:r>
        <w:rPr>
          <w:spacing w:val="-7"/>
          <w:sz w:val="16"/>
        </w:rPr>
        <w:t xml:space="preserve"> </w:t>
      </w:r>
      <w:r>
        <w:rPr>
          <w:sz w:val="16"/>
        </w:rPr>
        <w:t>el</w:t>
      </w:r>
      <w:r>
        <w:rPr>
          <w:spacing w:val="-7"/>
          <w:sz w:val="16"/>
        </w:rPr>
        <w:t xml:space="preserve"> </w:t>
      </w:r>
      <w:r>
        <w:rPr>
          <w:sz w:val="16"/>
        </w:rPr>
        <w:t>nombre</w:t>
      </w:r>
      <w:r>
        <w:rPr>
          <w:spacing w:val="-5"/>
          <w:sz w:val="16"/>
        </w:rPr>
        <w:t xml:space="preserve"> </w:t>
      </w:r>
      <w:r>
        <w:rPr>
          <w:sz w:val="16"/>
        </w:rPr>
        <w:t>de</w:t>
      </w:r>
      <w:r>
        <w:rPr>
          <w:spacing w:val="-6"/>
          <w:sz w:val="16"/>
        </w:rPr>
        <w:t xml:space="preserve"> </w:t>
      </w:r>
      <w:r>
        <w:rPr>
          <w:sz w:val="16"/>
        </w:rPr>
        <w:t>esta</w:t>
      </w:r>
      <w:r>
        <w:rPr>
          <w:spacing w:val="-6"/>
          <w:sz w:val="16"/>
        </w:rPr>
        <w:t xml:space="preserve"> </w:t>
      </w:r>
      <w:r>
        <w:rPr>
          <w:sz w:val="16"/>
        </w:rPr>
        <w:t>persona</w:t>
      </w:r>
      <w:r>
        <w:rPr>
          <w:spacing w:val="-6"/>
          <w:sz w:val="16"/>
        </w:rPr>
        <w:t xml:space="preserve"> </w:t>
      </w:r>
      <w:r>
        <w:rPr>
          <w:sz w:val="16"/>
        </w:rPr>
        <w:t>corresponde</w:t>
      </w:r>
      <w:r>
        <w:rPr>
          <w:spacing w:val="-8"/>
          <w:sz w:val="16"/>
        </w:rPr>
        <w:t xml:space="preserve"> </w:t>
      </w:r>
      <w:r>
        <w:rPr>
          <w:sz w:val="16"/>
        </w:rPr>
        <w:t>a</w:t>
      </w:r>
      <w:r>
        <w:rPr>
          <w:spacing w:val="-6"/>
          <w:sz w:val="16"/>
        </w:rPr>
        <w:t xml:space="preserve"> </w:t>
      </w:r>
      <w:r>
        <w:rPr>
          <w:sz w:val="16"/>
        </w:rPr>
        <w:t>“Arlete</w:t>
      </w:r>
      <w:r>
        <w:rPr>
          <w:spacing w:val="-7"/>
          <w:sz w:val="16"/>
        </w:rPr>
        <w:t xml:space="preserve"> </w:t>
      </w:r>
      <w:r>
        <w:rPr>
          <w:sz w:val="16"/>
        </w:rPr>
        <w:t>Silva</w:t>
      </w:r>
      <w:r>
        <w:rPr>
          <w:spacing w:val="-9"/>
          <w:sz w:val="16"/>
        </w:rPr>
        <w:t xml:space="preserve"> </w:t>
      </w:r>
      <w:r>
        <w:rPr>
          <w:sz w:val="16"/>
        </w:rPr>
        <w:t>Santos”,</w:t>
      </w:r>
      <w:r>
        <w:rPr>
          <w:spacing w:val="-6"/>
          <w:sz w:val="16"/>
        </w:rPr>
        <w:t xml:space="preserve"> </w:t>
      </w:r>
      <w:r>
        <w:rPr>
          <w:sz w:val="16"/>
        </w:rPr>
        <w:t>según</w:t>
      </w:r>
      <w:r>
        <w:rPr>
          <w:spacing w:val="-6"/>
          <w:sz w:val="16"/>
        </w:rPr>
        <w:t xml:space="preserve"> </w:t>
      </w:r>
      <w:r>
        <w:rPr>
          <w:sz w:val="16"/>
        </w:rPr>
        <w:t>consta</w:t>
      </w:r>
      <w:r>
        <w:rPr>
          <w:spacing w:val="-7"/>
          <w:sz w:val="16"/>
        </w:rPr>
        <w:t xml:space="preserve"> </w:t>
      </w:r>
      <w:r>
        <w:rPr>
          <w:sz w:val="16"/>
        </w:rPr>
        <w:t xml:space="preserve">en las pruebas aportadas por </w:t>
      </w:r>
      <w:r>
        <w:rPr>
          <w:spacing w:val="-2"/>
          <w:sz w:val="16"/>
        </w:rPr>
        <w:t>lo</w:t>
      </w:r>
      <w:r>
        <w:rPr>
          <w:spacing w:val="-2"/>
          <w:sz w:val="16"/>
        </w:rPr>
        <w:t xml:space="preserve">s </w:t>
      </w:r>
      <w:r>
        <w:rPr>
          <w:sz w:val="16"/>
        </w:rPr>
        <w:t>representantes (expediente de prueba, folio 1587) y por el Estado (expediente de prueba, folios 1968, 2030 y</w:t>
      </w:r>
      <w:r>
        <w:rPr>
          <w:spacing w:val="-6"/>
          <w:sz w:val="16"/>
        </w:rPr>
        <w:t xml:space="preserve"> </w:t>
      </w:r>
      <w:r>
        <w:rPr>
          <w:sz w:val="16"/>
        </w:rPr>
        <w:t>2092).</w:t>
      </w:r>
    </w:p>
    <w:p w14:paraId="0759978C" w14:textId="77777777" w:rsidR="00467FCA" w:rsidRDefault="001B68EB">
      <w:pPr>
        <w:ind w:left="119" w:right="112"/>
        <w:jc w:val="both"/>
        <w:rPr>
          <w:sz w:val="16"/>
        </w:rPr>
      </w:pPr>
      <w:bookmarkStart w:id="540" w:name="_bookmark465"/>
      <w:bookmarkEnd w:id="540"/>
      <w:r>
        <w:rPr>
          <w:position w:val="6"/>
          <w:sz w:val="10"/>
        </w:rPr>
        <w:t>388</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“Carla Alexandra Cerqueira dos Santos”. Sin embargo, esta</w:t>
      </w:r>
      <w:r>
        <w:rPr>
          <w:spacing w:val="-13"/>
          <w:sz w:val="16"/>
        </w:rPr>
        <w:t xml:space="preserve"> </w:t>
      </w:r>
      <w:r>
        <w:rPr>
          <w:sz w:val="16"/>
        </w:rPr>
        <w:t>Corte</w:t>
      </w:r>
      <w:r>
        <w:rPr>
          <w:spacing w:val="-14"/>
          <w:sz w:val="16"/>
        </w:rPr>
        <w:t xml:space="preserve"> </w:t>
      </w:r>
      <w:r>
        <w:rPr>
          <w:sz w:val="16"/>
        </w:rPr>
        <w:t>encuentra</w:t>
      </w:r>
      <w:r>
        <w:rPr>
          <w:spacing w:val="-14"/>
          <w:sz w:val="16"/>
        </w:rPr>
        <w:t xml:space="preserve"> </w:t>
      </w:r>
      <w:r>
        <w:rPr>
          <w:sz w:val="16"/>
        </w:rPr>
        <w:t>que</w:t>
      </w:r>
      <w:r>
        <w:rPr>
          <w:spacing w:val="-14"/>
          <w:sz w:val="16"/>
        </w:rPr>
        <w:t xml:space="preserve"> </w:t>
      </w:r>
      <w:r>
        <w:rPr>
          <w:sz w:val="16"/>
        </w:rPr>
        <w:t>el</w:t>
      </w:r>
      <w:r>
        <w:rPr>
          <w:spacing w:val="-13"/>
          <w:sz w:val="16"/>
        </w:rPr>
        <w:t xml:space="preserve"> </w:t>
      </w:r>
      <w:r>
        <w:rPr>
          <w:sz w:val="16"/>
        </w:rPr>
        <w:t>nombre</w:t>
      </w:r>
      <w:r>
        <w:rPr>
          <w:spacing w:val="-13"/>
          <w:sz w:val="16"/>
        </w:rPr>
        <w:t xml:space="preserve"> </w:t>
      </w:r>
      <w:r>
        <w:rPr>
          <w:sz w:val="16"/>
        </w:rPr>
        <w:t>de</w:t>
      </w:r>
      <w:r>
        <w:rPr>
          <w:spacing w:val="-14"/>
          <w:sz w:val="16"/>
        </w:rPr>
        <w:t xml:space="preserve"> </w:t>
      </w:r>
      <w:r>
        <w:rPr>
          <w:sz w:val="16"/>
        </w:rPr>
        <w:t>esta</w:t>
      </w:r>
      <w:r>
        <w:rPr>
          <w:spacing w:val="-13"/>
          <w:sz w:val="16"/>
        </w:rPr>
        <w:t xml:space="preserve"> </w:t>
      </w:r>
      <w:r>
        <w:rPr>
          <w:sz w:val="16"/>
        </w:rPr>
        <w:t>persona</w:t>
      </w:r>
      <w:r>
        <w:rPr>
          <w:spacing w:val="-14"/>
          <w:sz w:val="16"/>
        </w:rPr>
        <w:t xml:space="preserve"> </w:t>
      </w:r>
      <w:r>
        <w:rPr>
          <w:sz w:val="16"/>
        </w:rPr>
        <w:t>corresponde</w:t>
      </w:r>
      <w:r>
        <w:rPr>
          <w:spacing w:val="-14"/>
          <w:sz w:val="16"/>
        </w:rPr>
        <w:t xml:space="preserve"> </w:t>
      </w:r>
      <w:r>
        <w:rPr>
          <w:sz w:val="16"/>
        </w:rPr>
        <w:t>a</w:t>
      </w:r>
      <w:r>
        <w:rPr>
          <w:spacing w:val="-15"/>
          <w:sz w:val="16"/>
        </w:rPr>
        <w:t xml:space="preserve"> </w:t>
      </w:r>
      <w:r>
        <w:rPr>
          <w:sz w:val="16"/>
        </w:rPr>
        <w:t>“Carla</w:t>
      </w:r>
      <w:r>
        <w:rPr>
          <w:spacing w:val="-14"/>
          <w:sz w:val="16"/>
        </w:rPr>
        <w:t xml:space="preserve"> </w:t>
      </w:r>
      <w:r>
        <w:rPr>
          <w:sz w:val="16"/>
        </w:rPr>
        <w:t>Alexandra</w:t>
      </w:r>
      <w:r>
        <w:rPr>
          <w:spacing w:val="-15"/>
          <w:sz w:val="16"/>
        </w:rPr>
        <w:t xml:space="preserve"> </w:t>
      </w:r>
      <w:r>
        <w:rPr>
          <w:sz w:val="16"/>
        </w:rPr>
        <w:t>Cerqueira</w:t>
      </w:r>
      <w:r>
        <w:rPr>
          <w:spacing w:val="-12"/>
          <w:sz w:val="16"/>
        </w:rPr>
        <w:t xml:space="preserve"> </w:t>
      </w:r>
      <w:r>
        <w:rPr>
          <w:sz w:val="16"/>
        </w:rPr>
        <w:t>Santos”,</w:t>
      </w:r>
      <w:r>
        <w:rPr>
          <w:spacing w:val="-16"/>
          <w:sz w:val="16"/>
        </w:rPr>
        <w:t xml:space="preserve"> </w:t>
      </w:r>
      <w:r>
        <w:rPr>
          <w:sz w:val="16"/>
        </w:rPr>
        <w:t>según</w:t>
      </w:r>
      <w:r>
        <w:rPr>
          <w:spacing w:val="-15"/>
          <w:sz w:val="16"/>
        </w:rPr>
        <w:t xml:space="preserve"> </w:t>
      </w:r>
      <w:r>
        <w:rPr>
          <w:sz w:val="16"/>
        </w:rPr>
        <w:t>consta en las pruebas aportadas por el</w:t>
      </w:r>
      <w:r>
        <w:rPr>
          <w:sz w:val="16"/>
        </w:rPr>
        <w:t xml:space="preserve"> Estado (expediente de prueba, folio</w:t>
      </w:r>
      <w:r>
        <w:rPr>
          <w:spacing w:val="-9"/>
          <w:sz w:val="16"/>
        </w:rPr>
        <w:t xml:space="preserve"> </w:t>
      </w:r>
      <w:r>
        <w:rPr>
          <w:sz w:val="16"/>
        </w:rPr>
        <w:t>2000).</w:t>
      </w:r>
    </w:p>
    <w:p w14:paraId="13179793" w14:textId="77777777" w:rsidR="00467FCA" w:rsidRDefault="001B68EB">
      <w:pPr>
        <w:ind w:left="119" w:right="111"/>
        <w:jc w:val="both"/>
        <w:rPr>
          <w:sz w:val="16"/>
        </w:rPr>
      </w:pPr>
      <w:bookmarkStart w:id="541" w:name="_bookmark466"/>
      <w:bookmarkEnd w:id="541"/>
      <w:r>
        <w:rPr>
          <w:position w:val="6"/>
          <w:sz w:val="10"/>
        </w:rPr>
        <w:t>389</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1"/>
          <w:sz w:val="16"/>
        </w:rPr>
        <w:t xml:space="preserve"> </w:t>
      </w:r>
      <w:r>
        <w:rPr>
          <w:sz w:val="16"/>
        </w:rPr>
        <w:t>En</w:t>
      </w:r>
      <w:r>
        <w:rPr>
          <w:spacing w:val="-13"/>
          <w:sz w:val="16"/>
        </w:rPr>
        <w:t xml:space="preserve"> </w:t>
      </w:r>
      <w:r>
        <w:rPr>
          <w:sz w:val="16"/>
        </w:rPr>
        <w:t>ese</w:t>
      </w:r>
      <w:r>
        <w:rPr>
          <w:spacing w:val="-12"/>
          <w:sz w:val="16"/>
        </w:rPr>
        <w:t xml:space="preserve"> </w:t>
      </w:r>
      <w:r>
        <w:rPr>
          <w:sz w:val="16"/>
        </w:rPr>
        <w:t>listado,</w:t>
      </w:r>
      <w:r>
        <w:rPr>
          <w:spacing w:val="-13"/>
          <w:sz w:val="16"/>
        </w:rPr>
        <w:t xml:space="preserve"> </w:t>
      </w:r>
      <w:r>
        <w:rPr>
          <w:sz w:val="16"/>
        </w:rPr>
        <w:t>su</w:t>
      </w:r>
      <w:r>
        <w:rPr>
          <w:spacing w:val="-11"/>
          <w:sz w:val="16"/>
        </w:rPr>
        <w:t xml:space="preserve"> </w:t>
      </w:r>
      <w:r>
        <w:rPr>
          <w:sz w:val="16"/>
        </w:rPr>
        <w:t>nombre</w:t>
      </w:r>
      <w:r>
        <w:rPr>
          <w:spacing w:val="-12"/>
          <w:sz w:val="16"/>
        </w:rPr>
        <w:t xml:space="preserve"> </w:t>
      </w:r>
      <w:r>
        <w:rPr>
          <w:sz w:val="16"/>
        </w:rPr>
        <w:t>aparece</w:t>
      </w:r>
      <w:r>
        <w:rPr>
          <w:spacing w:val="-12"/>
          <w:sz w:val="16"/>
        </w:rPr>
        <w:t xml:space="preserve"> </w:t>
      </w:r>
      <w:r>
        <w:rPr>
          <w:sz w:val="16"/>
        </w:rPr>
        <w:t>reseñado</w:t>
      </w:r>
      <w:r>
        <w:rPr>
          <w:spacing w:val="-11"/>
          <w:sz w:val="16"/>
        </w:rPr>
        <w:t xml:space="preserve"> </w:t>
      </w:r>
      <w:r>
        <w:rPr>
          <w:sz w:val="16"/>
        </w:rPr>
        <w:t>como</w:t>
      </w:r>
      <w:r>
        <w:rPr>
          <w:spacing w:val="-11"/>
          <w:sz w:val="16"/>
        </w:rPr>
        <w:t xml:space="preserve"> </w:t>
      </w:r>
      <w:r>
        <w:rPr>
          <w:sz w:val="16"/>
        </w:rPr>
        <w:t>“Carla</w:t>
      </w:r>
      <w:r>
        <w:rPr>
          <w:spacing w:val="-13"/>
          <w:sz w:val="16"/>
        </w:rPr>
        <w:t xml:space="preserve"> </w:t>
      </w:r>
      <w:r>
        <w:rPr>
          <w:sz w:val="16"/>
        </w:rPr>
        <w:t>Mercês</w:t>
      </w:r>
      <w:r>
        <w:rPr>
          <w:spacing w:val="-12"/>
          <w:sz w:val="16"/>
        </w:rPr>
        <w:t xml:space="preserve"> </w:t>
      </w:r>
      <w:r>
        <w:rPr>
          <w:sz w:val="16"/>
        </w:rPr>
        <w:t>Borges”.</w:t>
      </w:r>
      <w:r>
        <w:rPr>
          <w:spacing w:val="-11"/>
          <w:sz w:val="16"/>
        </w:rPr>
        <w:t xml:space="preserve"> </w:t>
      </w:r>
      <w:r>
        <w:rPr>
          <w:sz w:val="16"/>
        </w:rPr>
        <w:t>Sin</w:t>
      </w:r>
      <w:r>
        <w:rPr>
          <w:spacing w:val="-13"/>
          <w:sz w:val="16"/>
        </w:rPr>
        <w:t xml:space="preserve"> </w:t>
      </w:r>
      <w:r>
        <w:rPr>
          <w:sz w:val="16"/>
        </w:rPr>
        <w:t>embargo,</w:t>
      </w:r>
      <w:r>
        <w:rPr>
          <w:spacing w:val="-11"/>
          <w:sz w:val="16"/>
        </w:rPr>
        <w:t xml:space="preserve"> </w:t>
      </w:r>
      <w:r>
        <w:rPr>
          <w:sz w:val="16"/>
        </w:rPr>
        <w:t>esta</w:t>
      </w:r>
      <w:r>
        <w:rPr>
          <w:spacing w:val="-13"/>
          <w:sz w:val="16"/>
        </w:rPr>
        <w:t xml:space="preserve"> </w:t>
      </w:r>
      <w:r>
        <w:rPr>
          <w:sz w:val="16"/>
        </w:rPr>
        <w:t>Corte</w:t>
      </w:r>
      <w:r>
        <w:rPr>
          <w:spacing w:val="-11"/>
          <w:sz w:val="16"/>
        </w:rPr>
        <w:t xml:space="preserve"> </w:t>
      </w:r>
      <w:r>
        <w:rPr>
          <w:sz w:val="16"/>
        </w:rPr>
        <w:t>encuentra que</w:t>
      </w:r>
      <w:r>
        <w:rPr>
          <w:spacing w:val="-3"/>
          <w:sz w:val="16"/>
        </w:rPr>
        <w:t xml:space="preserve"> </w:t>
      </w:r>
      <w:r>
        <w:rPr>
          <w:sz w:val="16"/>
        </w:rPr>
        <w:t>el</w:t>
      </w:r>
      <w:r>
        <w:rPr>
          <w:spacing w:val="-2"/>
          <w:sz w:val="16"/>
        </w:rPr>
        <w:t xml:space="preserve"> </w:t>
      </w:r>
      <w:r>
        <w:rPr>
          <w:sz w:val="16"/>
        </w:rPr>
        <w:t>nombre</w:t>
      </w:r>
      <w:r>
        <w:rPr>
          <w:spacing w:val="-5"/>
          <w:sz w:val="16"/>
        </w:rPr>
        <w:t xml:space="preserve"> </w:t>
      </w:r>
      <w:r>
        <w:rPr>
          <w:sz w:val="16"/>
        </w:rPr>
        <w:t>de</w:t>
      </w:r>
      <w:r>
        <w:rPr>
          <w:spacing w:val="-3"/>
          <w:sz w:val="16"/>
        </w:rPr>
        <w:t xml:space="preserve"> </w:t>
      </w:r>
      <w:r>
        <w:rPr>
          <w:sz w:val="16"/>
        </w:rPr>
        <w:t>esta</w:t>
      </w:r>
      <w:r>
        <w:rPr>
          <w:spacing w:val="-3"/>
          <w:sz w:val="16"/>
        </w:rPr>
        <w:t xml:space="preserve"> </w:t>
      </w:r>
      <w:r>
        <w:rPr>
          <w:sz w:val="16"/>
        </w:rPr>
        <w:t>persona</w:t>
      </w:r>
      <w:r>
        <w:rPr>
          <w:spacing w:val="-2"/>
          <w:sz w:val="16"/>
        </w:rPr>
        <w:t xml:space="preserve"> </w:t>
      </w:r>
      <w:r>
        <w:rPr>
          <w:sz w:val="16"/>
        </w:rPr>
        <w:t>corresponde</w:t>
      </w:r>
      <w:r>
        <w:rPr>
          <w:spacing w:val="-3"/>
          <w:sz w:val="16"/>
        </w:rPr>
        <w:t xml:space="preserve"> </w:t>
      </w:r>
      <w:r>
        <w:rPr>
          <w:sz w:val="16"/>
        </w:rPr>
        <w:t>a</w:t>
      </w:r>
      <w:r>
        <w:rPr>
          <w:spacing w:val="-3"/>
          <w:sz w:val="16"/>
        </w:rPr>
        <w:t xml:space="preserve"> </w:t>
      </w:r>
      <w:r>
        <w:rPr>
          <w:sz w:val="16"/>
        </w:rPr>
        <w:t>“Carla</w:t>
      </w:r>
      <w:r>
        <w:rPr>
          <w:spacing w:val="-7"/>
          <w:sz w:val="16"/>
        </w:rPr>
        <w:t xml:space="preserve"> </w:t>
      </w:r>
      <w:r>
        <w:rPr>
          <w:sz w:val="16"/>
        </w:rPr>
        <w:t>Mércia</w:t>
      </w:r>
      <w:r>
        <w:rPr>
          <w:spacing w:val="-1"/>
          <w:sz w:val="16"/>
        </w:rPr>
        <w:t xml:space="preserve"> </w:t>
      </w:r>
      <w:r>
        <w:rPr>
          <w:sz w:val="16"/>
        </w:rPr>
        <w:t>Borges”,</w:t>
      </w:r>
      <w:r>
        <w:rPr>
          <w:spacing w:val="-4"/>
          <w:sz w:val="16"/>
        </w:rPr>
        <w:t xml:space="preserve"> </w:t>
      </w:r>
      <w:r>
        <w:rPr>
          <w:sz w:val="16"/>
        </w:rPr>
        <w:t>según</w:t>
      </w:r>
      <w:r>
        <w:rPr>
          <w:spacing w:val="-4"/>
          <w:sz w:val="16"/>
        </w:rPr>
        <w:t xml:space="preserve"> </w:t>
      </w:r>
      <w:r>
        <w:rPr>
          <w:sz w:val="16"/>
        </w:rPr>
        <w:t>consta</w:t>
      </w:r>
      <w:r>
        <w:rPr>
          <w:spacing w:val="-3"/>
          <w:sz w:val="16"/>
        </w:rPr>
        <w:t xml:space="preserve"> </w:t>
      </w:r>
      <w:r>
        <w:rPr>
          <w:sz w:val="16"/>
        </w:rPr>
        <w:t>en</w:t>
      </w:r>
      <w:r>
        <w:rPr>
          <w:spacing w:val="-5"/>
          <w:sz w:val="16"/>
        </w:rPr>
        <w:t xml:space="preserve"> </w:t>
      </w:r>
      <w:r>
        <w:rPr>
          <w:sz w:val="16"/>
        </w:rPr>
        <w:t>las</w:t>
      </w:r>
      <w:r>
        <w:rPr>
          <w:spacing w:val="-5"/>
          <w:sz w:val="16"/>
        </w:rPr>
        <w:t xml:space="preserve"> </w:t>
      </w:r>
      <w:r>
        <w:rPr>
          <w:sz w:val="16"/>
        </w:rPr>
        <w:t>pruebas</w:t>
      </w:r>
      <w:r>
        <w:rPr>
          <w:spacing w:val="-3"/>
          <w:sz w:val="16"/>
        </w:rPr>
        <w:t xml:space="preserve"> </w:t>
      </w:r>
      <w:r>
        <w:rPr>
          <w:sz w:val="16"/>
        </w:rPr>
        <w:t>aportadas</w:t>
      </w:r>
      <w:r>
        <w:rPr>
          <w:spacing w:val="-3"/>
          <w:sz w:val="16"/>
        </w:rPr>
        <w:t xml:space="preserve"> </w:t>
      </w:r>
      <w:r>
        <w:rPr>
          <w:sz w:val="16"/>
        </w:rPr>
        <w:t>por</w:t>
      </w:r>
      <w:r>
        <w:rPr>
          <w:spacing w:val="-3"/>
          <w:sz w:val="16"/>
        </w:rPr>
        <w:t xml:space="preserve"> </w:t>
      </w:r>
      <w:r>
        <w:rPr>
          <w:sz w:val="16"/>
        </w:rPr>
        <w:t>los representantes</w:t>
      </w:r>
      <w:r>
        <w:rPr>
          <w:spacing w:val="-8"/>
          <w:sz w:val="16"/>
        </w:rPr>
        <w:t xml:space="preserve"> </w:t>
      </w:r>
      <w:r>
        <w:rPr>
          <w:sz w:val="16"/>
        </w:rPr>
        <w:t>(expediente</w:t>
      </w:r>
      <w:r>
        <w:rPr>
          <w:spacing w:val="-11"/>
          <w:sz w:val="16"/>
        </w:rPr>
        <w:t xml:space="preserve"> </w:t>
      </w:r>
      <w:r>
        <w:rPr>
          <w:sz w:val="16"/>
        </w:rPr>
        <w:t>de</w:t>
      </w:r>
      <w:r>
        <w:rPr>
          <w:spacing w:val="-8"/>
          <w:sz w:val="16"/>
        </w:rPr>
        <w:t xml:space="preserve"> </w:t>
      </w:r>
      <w:r>
        <w:rPr>
          <w:sz w:val="16"/>
        </w:rPr>
        <w:t>prueba,</w:t>
      </w:r>
      <w:r>
        <w:rPr>
          <w:spacing w:val="-9"/>
          <w:sz w:val="16"/>
        </w:rPr>
        <w:t xml:space="preserve"> </w:t>
      </w:r>
      <w:r>
        <w:rPr>
          <w:sz w:val="16"/>
        </w:rPr>
        <w:t>folio</w:t>
      </w:r>
      <w:r>
        <w:rPr>
          <w:spacing w:val="-10"/>
          <w:sz w:val="16"/>
        </w:rPr>
        <w:t xml:space="preserve"> </w:t>
      </w:r>
      <w:r>
        <w:rPr>
          <w:sz w:val="16"/>
        </w:rPr>
        <w:t>1112)</w:t>
      </w:r>
      <w:r>
        <w:rPr>
          <w:spacing w:val="-12"/>
          <w:sz w:val="16"/>
        </w:rPr>
        <w:t xml:space="preserve"> </w:t>
      </w:r>
      <w:r>
        <w:rPr>
          <w:sz w:val="16"/>
        </w:rPr>
        <w:t>y</w:t>
      </w:r>
      <w:r>
        <w:rPr>
          <w:spacing w:val="-9"/>
          <w:sz w:val="16"/>
        </w:rPr>
        <w:t xml:space="preserve"> </w:t>
      </w:r>
      <w:r>
        <w:rPr>
          <w:sz w:val="16"/>
        </w:rPr>
        <w:t>por</w:t>
      </w:r>
      <w:r>
        <w:rPr>
          <w:spacing w:val="-10"/>
          <w:sz w:val="16"/>
        </w:rPr>
        <w:t xml:space="preserve"> </w:t>
      </w:r>
      <w:r>
        <w:rPr>
          <w:sz w:val="16"/>
        </w:rPr>
        <w:t>el</w:t>
      </w:r>
      <w:r>
        <w:rPr>
          <w:spacing w:val="-14"/>
          <w:sz w:val="16"/>
        </w:rPr>
        <w:t xml:space="preserve"> </w:t>
      </w:r>
      <w:r>
        <w:rPr>
          <w:sz w:val="16"/>
        </w:rPr>
        <w:t>Estado</w:t>
      </w:r>
      <w:r>
        <w:rPr>
          <w:spacing w:val="-8"/>
          <w:sz w:val="16"/>
        </w:rPr>
        <w:t xml:space="preserve"> </w:t>
      </w:r>
      <w:r>
        <w:rPr>
          <w:sz w:val="16"/>
        </w:rPr>
        <w:t>(expediente</w:t>
      </w:r>
      <w:r>
        <w:rPr>
          <w:spacing w:val="-11"/>
          <w:sz w:val="16"/>
        </w:rPr>
        <w:t xml:space="preserve"> </w:t>
      </w:r>
      <w:r>
        <w:rPr>
          <w:sz w:val="16"/>
        </w:rPr>
        <w:t>de</w:t>
      </w:r>
      <w:r>
        <w:rPr>
          <w:spacing w:val="-12"/>
          <w:sz w:val="16"/>
        </w:rPr>
        <w:t xml:space="preserve"> </w:t>
      </w:r>
      <w:r>
        <w:rPr>
          <w:sz w:val="16"/>
        </w:rPr>
        <w:t>prueba,</w:t>
      </w:r>
      <w:r>
        <w:rPr>
          <w:spacing w:val="-9"/>
          <w:sz w:val="16"/>
        </w:rPr>
        <w:t xml:space="preserve"> </w:t>
      </w:r>
      <w:r>
        <w:rPr>
          <w:sz w:val="16"/>
        </w:rPr>
        <w:t>folios</w:t>
      </w:r>
      <w:r>
        <w:rPr>
          <w:spacing w:val="-10"/>
          <w:sz w:val="16"/>
        </w:rPr>
        <w:t xml:space="preserve"> </w:t>
      </w:r>
      <w:r>
        <w:rPr>
          <w:sz w:val="16"/>
        </w:rPr>
        <w:t>1973,</w:t>
      </w:r>
      <w:r>
        <w:rPr>
          <w:spacing w:val="-12"/>
          <w:sz w:val="16"/>
        </w:rPr>
        <w:t xml:space="preserve"> </w:t>
      </w:r>
      <w:r>
        <w:rPr>
          <w:sz w:val="16"/>
        </w:rPr>
        <w:t>2041</w:t>
      </w:r>
      <w:r>
        <w:rPr>
          <w:spacing w:val="-10"/>
          <w:sz w:val="16"/>
        </w:rPr>
        <w:t xml:space="preserve"> </w:t>
      </w:r>
      <w:r>
        <w:rPr>
          <w:sz w:val="16"/>
        </w:rPr>
        <w:t>y</w:t>
      </w:r>
      <w:r>
        <w:rPr>
          <w:spacing w:val="-10"/>
          <w:sz w:val="16"/>
        </w:rPr>
        <w:t xml:space="preserve"> </w:t>
      </w:r>
      <w:r>
        <w:rPr>
          <w:sz w:val="16"/>
        </w:rPr>
        <w:t>2101).</w:t>
      </w:r>
    </w:p>
    <w:p w14:paraId="0B1EA158" w14:textId="77777777" w:rsidR="00467FCA" w:rsidRDefault="001B68EB">
      <w:pPr>
        <w:ind w:left="118" w:right="114" w:firstLine="1"/>
        <w:jc w:val="both"/>
        <w:rPr>
          <w:sz w:val="16"/>
        </w:rPr>
      </w:pPr>
      <w:bookmarkStart w:id="542" w:name="_bookmark467"/>
      <w:bookmarkEnd w:id="542"/>
      <w:r>
        <w:rPr>
          <w:position w:val="6"/>
          <w:sz w:val="10"/>
        </w:rPr>
        <w:t>390</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“Carla Reis dos Santos” y “Karla Reis dos Santos”. Sin embargo,</w:t>
      </w:r>
      <w:r>
        <w:rPr>
          <w:spacing w:val="-6"/>
          <w:sz w:val="16"/>
        </w:rPr>
        <w:t xml:space="preserve"> </w:t>
      </w:r>
      <w:r>
        <w:rPr>
          <w:sz w:val="16"/>
        </w:rPr>
        <w:t>esta</w:t>
      </w:r>
      <w:r>
        <w:rPr>
          <w:spacing w:val="-6"/>
          <w:sz w:val="16"/>
        </w:rPr>
        <w:t xml:space="preserve"> </w:t>
      </w:r>
      <w:r>
        <w:rPr>
          <w:sz w:val="16"/>
        </w:rPr>
        <w:t>Corte</w:t>
      </w:r>
      <w:r>
        <w:rPr>
          <w:spacing w:val="-5"/>
          <w:sz w:val="16"/>
        </w:rPr>
        <w:t xml:space="preserve"> </w:t>
      </w:r>
      <w:r>
        <w:rPr>
          <w:sz w:val="16"/>
        </w:rPr>
        <w:t>encuentra</w:t>
      </w:r>
      <w:r>
        <w:rPr>
          <w:spacing w:val="-3"/>
          <w:sz w:val="16"/>
        </w:rPr>
        <w:t xml:space="preserve"> </w:t>
      </w:r>
      <w:r>
        <w:rPr>
          <w:sz w:val="16"/>
        </w:rPr>
        <w:t>que</w:t>
      </w:r>
      <w:r>
        <w:rPr>
          <w:spacing w:val="-5"/>
          <w:sz w:val="16"/>
        </w:rPr>
        <w:t xml:space="preserve"> </w:t>
      </w:r>
      <w:r>
        <w:rPr>
          <w:sz w:val="16"/>
        </w:rPr>
        <w:t>el</w:t>
      </w:r>
      <w:r>
        <w:rPr>
          <w:spacing w:val="-6"/>
          <w:sz w:val="16"/>
        </w:rPr>
        <w:t xml:space="preserve"> </w:t>
      </w:r>
      <w:r>
        <w:rPr>
          <w:sz w:val="16"/>
        </w:rPr>
        <w:t>nombre</w:t>
      </w:r>
      <w:r>
        <w:rPr>
          <w:spacing w:val="-7"/>
          <w:sz w:val="16"/>
        </w:rPr>
        <w:t xml:space="preserve"> </w:t>
      </w:r>
      <w:r>
        <w:rPr>
          <w:sz w:val="16"/>
        </w:rPr>
        <w:t>de</w:t>
      </w:r>
      <w:r>
        <w:rPr>
          <w:spacing w:val="-4"/>
          <w:sz w:val="16"/>
        </w:rPr>
        <w:t xml:space="preserve"> </w:t>
      </w:r>
      <w:r>
        <w:rPr>
          <w:sz w:val="16"/>
        </w:rPr>
        <w:t>esta</w:t>
      </w:r>
      <w:r>
        <w:rPr>
          <w:spacing w:val="-6"/>
          <w:sz w:val="16"/>
        </w:rPr>
        <w:t xml:space="preserve"> </w:t>
      </w:r>
      <w:r>
        <w:rPr>
          <w:sz w:val="16"/>
        </w:rPr>
        <w:t>persona</w:t>
      </w:r>
      <w:r>
        <w:rPr>
          <w:spacing w:val="-3"/>
          <w:sz w:val="16"/>
        </w:rPr>
        <w:t xml:space="preserve"> </w:t>
      </w:r>
      <w:r>
        <w:rPr>
          <w:sz w:val="16"/>
        </w:rPr>
        <w:t>corresponde</w:t>
      </w:r>
      <w:r>
        <w:rPr>
          <w:spacing w:val="-5"/>
          <w:sz w:val="16"/>
        </w:rPr>
        <w:t xml:space="preserve"> </w:t>
      </w:r>
      <w:r>
        <w:rPr>
          <w:sz w:val="16"/>
        </w:rPr>
        <w:t>a</w:t>
      </w:r>
      <w:r>
        <w:rPr>
          <w:spacing w:val="-6"/>
          <w:sz w:val="16"/>
        </w:rPr>
        <w:t xml:space="preserve"> </w:t>
      </w:r>
      <w:r>
        <w:rPr>
          <w:sz w:val="16"/>
        </w:rPr>
        <w:t>“Carla</w:t>
      </w:r>
      <w:r>
        <w:rPr>
          <w:spacing w:val="-6"/>
          <w:sz w:val="16"/>
        </w:rPr>
        <w:t xml:space="preserve"> </w:t>
      </w:r>
      <w:r>
        <w:rPr>
          <w:sz w:val="16"/>
        </w:rPr>
        <w:t>Reis</w:t>
      </w:r>
      <w:r>
        <w:rPr>
          <w:spacing w:val="-7"/>
          <w:sz w:val="16"/>
        </w:rPr>
        <w:t xml:space="preserve"> </w:t>
      </w:r>
      <w:r>
        <w:rPr>
          <w:sz w:val="16"/>
        </w:rPr>
        <w:t>dos</w:t>
      </w:r>
      <w:r>
        <w:rPr>
          <w:spacing w:val="-5"/>
          <w:sz w:val="16"/>
        </w:rPr>
        <w:t xml:space="preserve"> </w:t>
      </w:r>
      <w:r>
        <w:rPr>
          <w:sz w:val="16"/>
        </w:rPr>
        <w:t>Santos”,</w:t>
      </w:r>
      <w:r>
        <w:rPr>
          <w:spacing w:val="-5"/>
          <w:sz w:val="16"/>
        </w:rPr>
        <w:t xml:space="preserve"> </w:t>
      </w:r>
      <w:r>
        <w:rPr>
          <w:sz w:val="16"/>
        </w:rPr>
        <w:t>según</w:t>
      </w:r>
      <w:r>
        <w:rPr>
          <w:spacing w:val="-4"/>
          <w:sz w:val="16"/>
        </w:rPr>
        <w:t xml:space="preserve"> </w:t>
      </w:r>
      <w:r>
        <w:rPr>
          <w:sz w:val="16"/>
        </w:rPr>
        <w:t>consta en las pruebas aportadas por lo</w:t>
      </w:r>
      <w:r>
        <w:rPr>
          <w:sz w:val="16"/>
        </w:rPr>
        <w:t>s representantes (expediente de prueba, folio 1587) y por el Estado (expediente de prueba, folios 1958, 2046 y</w:t>
      </w:r>
      <w:r>
        <w:rPr>
          <w:spacing w:val="-6"/>
          <w:sz w:val="16"/>
        </w:rPr>
        <w:t xml:space="preserve"> </w:t>
      </w:r>
      <w:r>
        <w:rPr>
          <w:sz w:val="16"/>
        </w:rPr>
        <w:t>2113).</w:t>
      </w:r>
    </w:p>
    <w:p w14:paraId="312076A0" w14:textId="77777777" w:rsidR="00467FCA" w:rsidRDefault="001B68EB">
      <w:pPr>
        <w:spacing w:before="1"/>
        <w:ind w:left="119" w:right="112"/>
        <w:jc w:val="both"/>
        <w:rPr>
          <w:sz w:val="16"/>
        </w:rPr>
      </w:pPr>
      <w:bookmarkStart w:id="543" w:name="_bookmark468"/>
      <w:bookmarkEnd w:id="543"/>
      <w:r>
        <w:rPr>
          <w:position w:val="6"/>
          <w:sz w:val="10"/>
        </w:rPr>
        <w:t>391</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2"/>
          <w:sz w:val="16"/>
        </w:rPr>
        <w:t xml:space="preserve"> </w:t>
      </w:r>
      <w:r>
        <w:rPr>
          <w:sz w:val="16"/>
        </w:rPr>
        <w:t>En</w:t>
      </w:r>
      <w:r>
        <w:rPr>
          <w:spacing w:val="-11"/>
          <w:sz w:val="16"/>
        </w:rPr>
        <w:t xml:space="preserve"> </w:t>
      </w:r>
      <w:r>
        <w:rPr>
          <w:sz w:val="16"/>
        </w:rPr>
        <w:t>ese</w:t>
      </w:r>
      <w:r>
        <w:rPr>
          <w:spacing w:val="-10"/>
          <w:sz w:val="16"/>
        </w:rPr>
        <w:t xml:space="preserve"> </w:t>
      </w:r>
      <w:r>
        <w:rPr>
          <w:sz w:val="16"/>
        </w:rPr>
        <w:t>listado,</w:t>
      </w:r>
      <w:r>
        <w:rPr>
          <w:spacing w:val="-11"/>
          <w:sz w:val="16"/>
        </w:rPr>
        <w:t xml:space="preserve"> </w:t>
      </w:r>
      <w:r>
        <w:rPr>
          <w:sz w:val="16"/>
        </w:rPr>
        <w:t>su</w:t>
      </w:r>
      <w:r>
        <w:rPr>
          <w:spacing w:val="-13"/>
          <w:sz w:val="16"/>
        </w:rPr>
        <w:t xml:space="preserve"> </w:t>
      </w:r>
      <w:r>
        <w:rPr>
          <w:sz w:val="16"/>
        </w:rPr>
        <w:t>nombre</w:t>
      </w:r>
      <w:r>
        <w:rPr>
          <w:spacing w:val="-12"/>
          <w:sz w:val="16"/>
        </w:rPr>
        <w:t xml:space="preserve"> </w:t>
      </w:r>
      <w:r>
        <w:rPr>
          <w:sz w:val="16"/>
        </w:rPr>
        <w:t>aparece</w:t>
      </w:r>
      <w:r>
        <w:rPr>
          <w:spacing w:val="-12"/>
          <w:sz w:val="16"/>
        </w:rPr>
        <w:t xml:space="preserve"> </w:t>
      </w:r>
      <w:r>
        <w:rPr>
          <w:sz w:val="16"/>
        </w:rPr>
        <w:t>reseñado</w:t>
      </w:r>
      <w:r>
        <w:rPr>
          <w:spacing w:val="-9"/>
          <w:sz w:val="16"/>
        </w:rPr>
        <w:t xml:space="preserve"> </w:t>
      </w:r>
      <w:r>
        <w:rPr>
          <w:sz w:val="16"/>
        </w:rPr>
        <w:t>como</w:t>
      </w:r>
      <w:r>
        <w:rPr>
          <w:spacing w:val="-11"/>
          <w:sz w:val="16"/>
        </w:rPr>
        <w:t xml:space="preserve"> </w:t>
      </w:r>
      <w:r>
        <w:rPr>
          <w:sz w:val="16"/>
        </w:rPr>
        <w:t>“Claudiane</w:t>
      </w:r>
      <w:r>
        <w:rPr>
          <w:spacing w:val="-10"/>
          <w:sz w:val="16"/>
        </w:rPr>
        <w:t xml:space="preserve"> </w:t>
      </w:r>
      <w:r>
        <w:rPr>
          <w:sz w:val="16"/>
        </w:rPr>
        <w:t>Maria</w:t>
      </w:r>
      <w:r>
        <w:rPr>
          <w:spacing w:val="-10"/>
          <w:sz w:val="16"/>
        </w:rPr>
        <w:t xml:space="preserve"> </w:t>
      </w:r>
      <w:r>
        <w:rPr>
          <w:sz w:val="16"/>
        </w:rPr>
        <w:t>Nascimento</w:t>
      </w:r>
      <w:r>
        <w:rPr>
          <w:spacing w:val="-11"/>
          <w:sz w:val="16"/>
        </w:rPr>
        <w:t xml:space="preserve"> </w:t>
      </w:r>
      <w:r>
        <w:rPr>
          <w:sz w:val="16"/>
        </w:rPr>
        <w:t>dos</w:t>
      </w:r>
      <w:r>
        <w:rPr>
          <w:spacing w:val="-9"/>
          <w:sz w:val="16"/>
        </w:rPr>
        <w:t xml:space="preserve"> </w:t>
      </w:r>
      <w:r>
        <w:rPr>
          <w:sz w:val="16"/>
        </w:rPr>
        <w:t>Santos”.</w:t>
      </w:r>
      <w:r>
        <w:rPr>
          <w:spacing w:val="-11"/>
          <w:sz w:val="16"/>
        </w:rPr>
        <w:t xml:space="preserve"> </w:t>
      </w:r>
      <w:r>
        <w:rPr>
          <w:sz w:val="16"/>
        </w:rPr>
        <w:t>Asimismo,</w:t>
      </w:r>
      <w:r>
        <w:rPr>
          <w:spacing w:val="-11"/>
          <w:sz w:val="16"/>
        </w:rPr>
        <w:t xml:space="preserve"> </w:t>
      </w:r>
      <w:r>
        <w:rPr>
          <w:sz w:val="16"/>
        </w:rPr>
        <w:t>esta Corte encuentra que el nombre de esta persona corresponde al indicado en las pruebas aportadas por los representantes</w:t>
      </w:r>
      <w:r>
        <w:rPr>
          <w:spacing w:val="-8"/>
          <w:sz w:val="16"/>
        </w:rPr>
        <w:t xml:space="preserve"> </w:t>
      </w:r>
      <w:r>
        <w:rPr>
          <w:sz w:val="16"/>
        </w:rPr>
        <w:t>(expediente</w:t>
      </w:r>
      <w:r>
        <w:rPr>
          <w:spacing w:val="-11"/>
          <w:sz w:val="16"/>
        </w:rPr>
        <w:t xml:space="preserve"> </w:t>
      </w:r>
      <w:r>
        <w:rPr>
          <w:sz w:val="16"/>
        </w:rPr>
        <w:t>de</w:t>
      </w:r>
      <w:r>
        <w:rPr>
          <w:spacing w:val="-8"/>
          <w:sz w:val="16"/>
        </w:rPr>
        <w:t xml:space="preserve"> </w:t>
      </w:r>
      <w:r>
        <w:rPr>
          <w:sz w:val="16"/>
        </w:rPr>
        <w:t>prueba,</w:t>
      </w:r>
      <w:r>
        <w:rPr>
          <w:spacing w:val="-9"/>
          <w:sz w:val="16"/>
        </w:rPr>
        <w:t xml:space="preserve"> </w:t>
      </w:r>
      <w:r>
        <w:rPr>
          <w:sz w:val="16"/>
        </w:rPr>
        <w:t>folio</w:t>
      </w:r>
      <w:r>
        <w:rPr>
          <w:spacing w:val="-10"/>
          <w:sz w:val="16"/>
        </w:rPr>
        <w:t xml:space="preserve"> </w:t>
      </w:r>
      <w:r>
        <w:rPr>
          <w:sz w:val="16"/>
        </w:rPr>
        <w:t>1587)</w:t>
      </w:r>
      <w:r>
        <w:rPr>
          <w:spacing w:val="-12"/>
          <w:sz w:val="16"/>
        </w:rPr>
        <w:t xml:space="preserve"> </w:t>
      </w:r>
      <w:r>
        <w:rPr>
          <w:sz w:val="16"/>
        </w:rPr>
        <w:t>y</w:t>
      </w:r>
      <w:r>
        <w:rPr>
          <w:spacing w:val="-9"/>
          <w:sz w:val="16"/>
        </w:rPr>
        <w:t xml:space="preserve"> </w:t>
      </w:r>
      <w:r>
        <w:rPr>
          <w:sz w:val="16"/>
        </w:rPr>
        <w:t>por</w:t>
      </w:r>
      <w:r>
        <w:rPr>
          <w:spacing w:val="-10"/>
          <w:sz w:val="16"/>
        </w:rPr>
        <w:t xml:space="preserve"> </w:t>
      </w:r>
      <w:r>
        <w:rPr>
          <w:sz w:val="16"/>
        </w:rPr>
        <w:t>el</w:t>
      </w:r>
      <w:r>
        <w:rPr>
          <w:spacing w:val="-14"/>
          <w:sz w:val="16"/>
        </w:rPr>
        <w:t xml:space="preserve"> </w:t>
      </w:r>
      <w:r>
        <w:rPr>
          <w:sz w:val="16"/>
        </w:rPr>
        <w:t>Estado</w:t>
      </w:r>
      <w:r>
        <w:rPr>
          <w:spacing w:val="-8"/>
          <w:sz w:val="16"/>
        </w:rPr>
        <w:t xml:space="preserve"> </w:t>
      </w:r>
      <w:r>
        <w:rPr>
          <w:sz w:val="16"/>
        </w:rPr>
        <w:t>(expediente</w:t>
      </w:r>
      <w:r>
        <w:rPr>
          <w:spacing w:val="-11"/>
          <w:sz w:val="16"/>
        </w:rPr>
        <w:t xml:space="preserve"> </w:t>
      </w:r>
      <w:r>
        <w:rPr>
          <w:sz w:val="16"/>
        </w:rPr>
        <w:t>de</w:t>
      </w:r>
      <w:r>
        <w:rPr>
          <w:spacing w:val="-13"/>
          <w:sz w:val="16"/>
        </w:rPr>
        <w:t xml:space="preserve"> </w:t>
      </w:r>
      <w:r>
        <w:rPr>
          <w:sz w:val="16"/>
        </w:rPr>
        <w:t>prueba,</w:t>
      </w:r>
      <w:r>
        <w:rPr>
          <w:spacing w:val="-8"/>
          <w:sz w:val="16"/>
        </w:rPr>
        <w:t xml:space="preserve"> </w:t>
      </w:r>
      <w:r>
        <w:rPr>
          <w:sz w:val="16"/>
        </w:rPr>
        <w:t>folios</w:t>
      </w:r>
      <w:r>
        <w:rPr>
          <w:spacing w:val="-10"/>
          <w:sz w:val="16"/>
        </w:rPr>
        <w:t xml:space="preserve"> </w:t>
      </w:r>
      <w:r>
        <w:rPr>
          <w:sz w:val="16"/>
        </w:rPr>
        <w:t>1987,</w:t>
      </w:r>
      <w:r>
        <w:rPr>
          <w:spacing w:val="-12"/>
          <w:sz w:val="16"/>
        </w:rPr>
        <w:t xml:space="preserve"> </w:t>
      </w:r>
      <w:r>
        <w:rPr>
          <w:sz w:val="16"/>
        </w:rPr>
        <w:t>2020</w:t>
      </w:r>
      <w:r>
        <w:rPr>
          <w:spacing w:val="-10"/>
          <w:sz w:val="16"/>
        </w:rPr>
        <w:t xml:space="preserve"> </w:t>
      </w:r>
      <w:r>
        <w:rPr>
          <w:sz w:val="16"/>
        </w:rPr>
        <w:t>y</w:t>
      </w:r>
      <w:r>
        <w:rPr>
          <w:spacing w:val="-10"/>
          <w:sz w:val="16"/>
        </w:rPr>
        <w:t xml:space="preserve"> </w:t>
      </w:r>
      <w:r>
        <w:rPr>
          <w:sz w:val="16"/>
        </w:rPr>
        <w:t>2109).</w:t>
      </w:r>
    </w:p>
    <w:p w14:paraId="4573A0CE" w14:textId="77777777" w:rsidR="00467FCA" w:rsidRDefault="001B68EB">
      <w:pPr>
        <w:ind w:left="119" w:right="114"/>
        <w:jc w:val="both"/>
        <w:rPr>
          <w:sz w:val="16"/>
        </w:rPr>
      </w:pPr>
      <w:bookmarkStart w:id="544" w:name="_bookmark469"/>
      <w:bookmarkEnd w:id="544"/>
      <w:r>
        <w:rPr>
          <w:position w:val="6"/>
          <w:sz w:val="10"/>
        </w:rPr>
        <w:t>392</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xml:space="preserve">. 25/18). En ese listado, su nombre aparece reseñado como “Cristiane Lima Bittencourt”. Sin embargo, esta Corte encuentra que el nombre de esta persona corresponde a “Cristiane Lima Bitencourt”, según consta en las pruebas aportadas por los representantes </w:t>
      </w:r>
      <w:r>
        <w:rPr>
          <w:sz w:val="16"/>
        </w:rPr>
        <w:t>(expediente de prueba, folio 1586) y por el Estado (expediente de prueba, folio</w:t>
      </w:r>
      <w:bookmarkStart w:id="545" w:name="_bookmark470"/>
      <w:bookmarkEnd w:id="545"/>
      <w:r>
        <w:rPr>
          <w:sz w:val="16"/>
        </w:rPr>
        <w:t xml:space="preserve"> 2324).</w:t>
      </w:r>
    </w:p>
    <w:p w14:paraId="7FECE004" w14:textId="77777777" w:rsidR="00467FCA" w:rsidRDefault="001B68EB">
      <w:pPr>
        <w:ind w:left="119" w:right="114"/>
        <w:jc w:val="both"/>
        <w:rPr>
          <w:sz w:val="16"/>
        </w:rPr>
      </w:pPr>
      <w:r>
        <w:rPr>
          <w:position w:val="6"/>
          <w:sz w:val="10"/>
        </w:rPr>
        <w:t>393</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w:t>
      </w:r>
      <w:r>
        <w:rPr>
          <w:sz w:val="16"/>
        </w:rPr>
        <w:t>omo “Daiane Santos da Conceição”. Sin embargo, esta Corte encuentra</w:t>
      </w:r>
      <w:r>
        <w:rPr>
          <w:spacing w:val="-14"/>
          <w:sz w:val="16"/>
        </w:rPr>
        <w:t xml:space="preserve"> </w:t>
      </w:r>
      <w:r>
        <w:rPr>
          <w:sz w:val="16"/>
        </w:rPr>
        <w:t>que</w:t>
      </w:r>
      <w:r>
        <w:rPr>
          <w:spacing w:val="-13"/>
          <w:sz w:val="16"/>
        </w:rPr>
        <w:t xml:space="preserve"> </w:t>
      </w:r>
      <w:r>
        <w:rPr>
          <w:sz w:val="16"/>
        </w:rPr>
        <w:t>el</w:t>
      </w:r>
      <w:r>
        <w:rPr>
          <w:spacing w:val="-13"/>
          <w:sz w:val="16"/>
        </w:rPr>
        <w:t xml:space="preserve"> </w:t>
      </w:r>
      <w:r>
        <w:rPr>
          <w:sz w:val="16"/>
        </w:rPr>
        <w:t>nombre</w:t>
      </w:r>
      <w:r>
        <w:rPr>
          <w:spacing w:val="-13"/>
          <w:sz w:val="16"/>
        </w:rPr>
        <w:t xml:space="preserve"> </w:t>
      </w:r>
      <w:r>
        <w:rPr>
          <w:sz w:val="16"/>
        </w:rPr>
        <w:t>de</w:t>
      </w:r>
      <w:r>
        <w:rPr>
          <w:spacing w:val="-12"/>
          <w:sz w:val="16"/>
        </w:rPr>
        <w:t xml:space="preserve"> </w:t>
      </w:r>
      <w:r>
        <w:rPr>
          <w:sz w:val="16"/>
        </w:rPr>
        <w:t>esta</w:t>
      </w:r>
      <w:r>
        <w:rPr>
          <w:spacing w:val="-11"/>
          <w:sz w:val="16"/>
        </w:rPr>
        <w:t xml:space="preserve"> </w:t>
      </w:r>
      <w:r>
        <w:rPr>
          <w:sz w:val="16"/>
        </w:rPr>
        <w:t>persona</w:t>
      </w:r>
      <w:r>
        <w:rPr>
          <w:spacing w:val="-13"/>
          <w:sz w:val="16"/>
        </w:rPr>
        <w:t xml:space="preserve"> </w:t>
      </w:r>
      <w:r>
        <w:rPr>
          <w:sz w:val="16"/>
        </w:rPr>
        <w:t>corresponde</w:t>
      </w:r>
      <w:r>
        <w:rPr>
          <w:spacing w:val="-13"/>
          <w:sz w:val="16"/>
        </w:rPr>
        <w:t xml:space="preserve"> </w:t>
      </w:r>
      <w:r>
        <w:rPr>
          <w:sz w:val="16"/>
        </w:rPr>
        <w:t>a</w:t>
      </w:r>
      <w:r>
        <w:rPr>
          <w:spacing w:val="-14"/>
          <w:sz w:val="16"/>
        </w:rPr>
        <w:t xml:space="preserve"> </w:t>
      </w:r>
      <w:r>
        <w:rPr>
          <w:sz w:val="16"/>
        </w:rPr>
        <w:t>“Daiane</w:t>
      </w:r>
      <w:r>
        <w:rPr>
          <w:spacing w:val="-9"/>
          <w:sz w:val="16"/>
        </w:rPr>
        <w:t xml:space="preserve"> </w:t>
      </w:r>
      <w:r>
        <w:rPr>
          <w:sz w:val="16"/>
        </w:rPr>
        <w:t>dos</w:t>
      </w:r>
      <w:r>
        <w:rPr>
          <w:spacing w:val="-13"/>
          <w:sz w:val="16"/>
        </w:rPr>
        <w:t xml:space="preserve"> </w:t>
      </w:r>
      <w:r>
        <w:rPr>
          <w:sz w:val="16"/>
        </w:rPr>
        <w:t>Santos</w:t>
      </w:r>
      <w:r>
        <w:rPr>
          <w:spacing w:val="-12"/>
          <w:sz w:val="16"/>
        </w:rPr>
        <w:t xml:space="preserve"> </w:t>
      </w:r>
      <w:r>
        <w:rPr>
          <w:sz w:val="16"/>
        </w:rPr>
        <w:t>Conceição”,</w:t>
      </w:r>
      <w:r>
        <w:rPr>
          <w:spacing w:val="-14"/>
          <w:sz w:val="16"/>
        </w:rPr>
        <w:t xml:space="preserve"> </w:t>
      </w:r>
      <w:r>
        <w:rPr>
          <w:sz w:val="16"/>
        </w:rPr>
        <w:t>según</w:t>
      </w:r>
      <w:r>
        <w:rPr>
          <w:spacing w:val="-13"/>
          <w:sz w:val="16"/>
        </w:rPr>
        <w:t xml:space="preserve"> </w:t>
      </w:r>
      <w:r>
        <w:rPr>
          <w:sz w:val="16"/>
        </w:rPr>
        <w:t>consta</w:t>
      </w:r>
      <w:r>
        <w:rPr>
          <w:spacing w:val="-14"/>
          <w:sz w:val="16"/>
        </w:rPr>
        <w:t xml:space="preserve"> </w:t>
      </w:r>
      <w:r>
        <w:rPr>
          <w:sz w:val="16"/>
        </w:rPr>
        <w:t>en</w:t>
      </w:r>
      <w:r>
        <w:rPr>
          <w:spacing w:val="-14"/>
          <w:sz w:val="16"/>
        </w:rPr>
        <w:t xml:space="preserve"> </w:t>
      </w:r>
      <w:r>
        <w:rPr>
          <w:sz w:val="16"/>
        </w:rPr>
        <w:t>las</w:t>
      </w:r>
      <w:r>
        <w:rPr>
          <w:spacing w:val="-14"/>
          <w:sz w:val="16"/>
        </w:rPr>
        <w:t xml:space="preserve"> </w:t>
      </w:r>
      <w:r>
        <w:rPr>
          <w:sz w:val="16"/>
        </w:rPr>
        <w:t>pruebas</w:t>
      </w:r>
      <w:bookmarkStart w:id="546" w:name="_bookmark471"/>
      <w:bookmarkEnd w:id="546"/>
      <w:r>
        <w:rPr>
          <w:sz w:val="16"/>
        </w:rPr>
        <w:t xml:space="preserve"> aportadas por el Estado (expediente de prueba, folios 1995, 2088 y</w:t>
      </w:r>
      <w:r>
        <w:rPr>
          <w:spacing w:val="-11"/>
          <w:sz w:val="16"/>
        </w:rPr>
        <w:t xml:space="preserve"> </w:t>
      </w:r>
      <w:r>
        <w:rPr>
          <w:sz w:val="16"/>
        </w:rPr>
        <w:t>2177).</w:t>
      </w:r>
    </w:p>
    <w:p w14:paraId="3D5AE9D9" w14:textId="77777777" w:rsidR="00467FCA" w:rsidRDefault="001B68EB">
      <w:pPr>
        <w:ind w:left="119" w:right="114"/>
        <w:jc w:val="both"/>
        <w:rPr>
          <w:sz w:val="16"/>
        </w:rPr>
      </w:pPr>
      <w:r>
        <w:rPr>
          <w:position w:val="6"/>
          <w:sz w:val="10"/>
        </w:rPr>
        <w:t>394</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6"/>
          <w:sz w:val="16"/>
        </w:rPr>
        <w:t xml:space="preserve"> </w:t>
      </w:r>
      <w:r>
        <w:rPr>
          <w:sz w:val="16"/>
        </w:rPr>
        <w:t>En</w:t>
      </w:r>
      <w:r>
        <w:rPr>
          <w:spacing w:val="-8"/>
          <w:sz w:val="16"/>
        </w:rPr>
        <w:t xml:space="preserve"> </w:t>
      </w:r>
      <w:r>
        <w:rPr>
          <w:sz w:val="16"/>
        </w:rPr>
        <w:t>ese</w:t>
      </w:r>
      <w:r>
        <w:rPr>
          <w:spacing w:val="-7"/>
          <w:sz w:val="16"/>
        </w:rPr>
        <w:t xml:space="preserve"> </w:t>
      </w:r>
      <w:r>
        <w:rPr>
          <w:sz w:val="16"/>
        </w:rPr>
        <w:t>listado,</w:t>
      </w:r>
      <w:r>
        <w:rPr>
          <w:spacing w:val="-6"/>
          <w:sz w:val="16"/>
        </w:rPr>
        <w:t xml:space="preserve"> </w:t>
      </w:r>
      <w:r>
        <w:rPr>
          <w:sz w:val="16"/>
        </w:rPr>
        <w:t>su</w:t>
      </w:r>
      <w:r>
        <w:rPr>
          <w:spacing w:val="-8"/>
          <w:sz w:val="16"/>
        </w:rPr>
        <w:t xml:space="preserve"> </w:t>
      </w:r>
      <w:r>
        <w:rPr>
          <w:sz w:val="16"/>
        </w:rPr>
        <w:t>nombre</w:t>
      </w:r>
      <w:r>
        <w:rPr>
          <w:spacing w:val="-6"/>
          <w:sz w:val="16"/>
        </w:rPr>
        <w:t xml:space="preserve"> </w:t>
      </w:r>
      <w:r>
        <w:rPr>
          <w:sz w:val="16"/>
        </w:rPr>
        <w:t>aparece</w:t>
      </w:r>
      <w:r>
        <w:rPr>
          <w:spacing w:val="-7"/>
          <w:sz w:val="16"/>
        </w:rPr>
        <w:t xml:space="preserve"> </w:t>
      </w:r>
      <w:r>
        <w:rPr>
          <w:sz w:val="16"/>
        </w:rPr>
        <w:t>reseñado</w:t>
      </w:r>
      <w:r>
        <w:rPr>
          <w:spacing w:val="-7"/>
          <w:sz w:val="16"/>
        </w:rPr>
        <w:t xml:space="preserve"> </w:t>
      </w:r>
      <w:r>
        <w:rPr>
          <w:sz w:val="16"/>
        </w:rPr>
        <w:t>como</w:t>
      </w:r>
      <w:r>
        <w:rPr>
          <w:spacing w:val="-9"/>
          <w:sz w:val="16"/>
        </w:rPr>
        <w:t xml:space="preserve"> </w:t>
      </w:r>
      <w:r>
        <w:rPr>
          <w:sz w:val="16"/>
        </w:rPr>
        <w:t>“Daniela</w:t>
      </w:r>
      <w:r>
        <w:rPr>
          <w:spacing w:val="-6"/>
          <w:sz w:val="16"/>
        </w:rPr>
        <w:t xml:space="preserve"> </w:t>
      </w:r>
      <w:r>
        <w:rPr>
          <w:sz w:val="16"/>
        </w:rPr>
        <w:t>Cerqueira</w:t>
      </w:r>
      <w:r>
        <w:rPr>
          <w:spacing w:val="-8"/>
          <w:sz w:val="16"/>
        </w:rPr>
        <w:t xml:space="preserve"> </w:t>
      </w:r>
      <w:r>
        <w:rPr>
          <w:sz w:val="16"/>
        </w:rPr>
        <w:t>Reis”.</w:t>
      </w:r>
      <w:r>
        <w:rPr>
          <w:spacing w:val="-5"/>
          <w:sz w:val="16"/>
        </w:rPr>
        <w:t xml:space="preserve"> </w:t>
      </w:r>
      <w:r>
        <w:rPr>
          <w:sz w:val="16"/>
        </w:rPr>
        <w:t>En</w:t>
      </w:r>
      <w:r>
        <w:rPr>
          <w:spacing w:val="-8"/>
          <w:sz w:val="16"/>
        </w:rPr>
        <w:t xml:space="preserve"> </w:t>
      </w:r>
      <w:r>
        <w:rPr>
          <w:sz w:val="16"/>
        </w:rPr>
        <w:t>otros</w:t>
      </w:r>
      <w:r>
        <w:rPr>
          <w:spacing w:val="-7"/>
          <w:sz w:val="16"/>
        </w:rPr>
        <w:t xml:space="preserve"> </w:t>
      </w:r>
      <w:r>
        <w:rPr>
          <w:sz w:val="16"/>
        </w:rPr>
        <w:t>documentos</w:t>
      </w:r>
      <w:r>
        <w:rPr>
          <w:spacing w:val="-7"/>
          <w:sz w:val="16"/>
        </w:rPr>
        <w:t xml:space="preserve"> </w:t>
      </w:r>
      <w:r>
        <w:rPr>
          <w:sz w:val="16"/>
        </w:rPr>
        <w:t>aportados como prueba (expediente de prueba, folios 41 y 1586) es presentada como “Daniela C.</w:t>
      </w:r>
      <w:r>
        <w:rPr>
          <w:spacing w:val="-25"/>
          <w:sz w:val="16"/>
        </w:rPr>
        <w:t xml:space="preserve"> </w:t>
      </w:r>
      <w:r>
        <w:rPr>
          <w:sz w:val="16"/>
        </w:rPr>
        <w:t>Reis”.</w:t>
      </w:r>
    </w:p>
    <w:p w14:paraId="63C9EEFD" w14:textId="77777777" w:rsidR="00467FCA" w:rsidRDefault="001B68EB">
      <w:pPr>
        <w:ind w:left="119" w:right="114"/>
        <w:jc w:val="both"/>
        <w:rPr>
          <w:sz w:val="16"/>
        </w:rPr>
      </w:pPr>
      <w:bookmarkStart w:id="547" w:name="_bookmark472"/>
      <w:bookmarkEnd w:id="547"/>
      <w:r>
        <w:rPr>
          <w:position w:val="6"/>
          <w:sz w:val="10"/>
        </w:rPr>
        <w:t>395</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w:t>
      </w:r>
      <w:r>
        <w:rPr>
          <w:sz w:val="16"/>
        </w:rPr>
        <w:t>rme</w:t>
      </w:r>
      <w:r>
        <w:rPr>
          <w:spacing w:val="-5"/>
          <w:sz w:val="16"/>
        </w:rPr>
        <w:t xml:space="preserve"> </w:t>
      </w:r>
      <w:r>
        <w:rPr>
          <w:sz w:val="16"/>
        </w:rPr>
        <w:t>N</w:t>
      </w:r>
      <w:r>
        <w:rPr>
          <w:position w:val="6"/>
          <w:sz w:val="10"/>
        </w:rPr>
        <w:t>o</w:t>
      </w:r>
      <w:r>
        <w:rPr>
          <w:sz w:val="16"/>
        </w:rPr>
        <w:t>. 25/18).</w:t>
      </w:r>
      <w:r>
        <w:rPr>
          <w:spacing w:val="-12"/>
          <w:sz w:val="16"/>
        </w:rPr>
        <w:t xml:space="preserve"> </w:t>
      </w:r>
      <w:r>
        <w:rPr>
          <w:sz w:val="16"/>
        </w:rPr>
        <w:t>En</w:t>
      </w:r>
      <w:r>
        <w:rPr>
          <w:spacing w:val="-11"/>
          <w:sz w:val="16"/>
        </w:rPr>
        <w:t xml:space="preserve"> </w:t>
      </w:r>
      <w:r>
        <w:rPr>
          <w:sz w:val="16"/>
        </w:rPr>
        <w:t>ese</w:t>
      </w:r>
      <w:r>
        <w:rPr>
          <w:spacing w:val="-10"/>
          <w:sz w:val="16"/>
        </w:rPr>
        <w:t xml:space="preserve"> </w:t>
      </w:r>
      <w:r>
        <w:rPr>
          <w:sz w:val="16"/>
        </w:rPr>
        <w:t>listado,</w:t>
      </w:r>
      <w:r>
        <w:rPr>
          <w:spacing w:val="-13"/>
          <w:sz w:val="16"/>
        </w:rPr>
        <w:t xml:space="preserve"> </w:t>
      </w:r>
      <w:r>
        <w:rPr>
          <w:sz w:val="16"/>
        </w:rPr>
        <w:t>su</w:t>
      </w:r>
      <w:r>
        <w:rPr>
          <w:spacing w:val="-11"/>
          <w:sz w:val="16"/>
        </w:rPr>
        <w:t xml:space="preserve"> </w:t>
      </w:r>
      <w:r>
        <w:rPr>
          <w:sz w:val="16"/>
        </w:rPr>
        <w:t>nombre</w:t>
      </w:r>
      <w:r>
        <w:rPr>
          <w:spacing w:val="-12"/>
          <w:sz w:val="16"/>
        </w:rPr>
        <w:t xml:space="preserve"> </w:t>
      </w:r>
      <w:r>
        <w:rPr>
          <w:sz w:val="16"/>
        </w:rPr>
        <w:t>aparece</w:t>
      </w:r>
      <w:r>
        <w:rPr>
          <w:spacing w:val="-12"/>
          <w:sz w:val="16"/>
        </w:rPr>
        <w:t xml:space="preserve"> </w:t>
      </w:r>
      <w:r>
        <w:rPr>
          <w:sz w:val="16"/>
        </w:rPr>
        <w:t>reseñado</w:t>
      </w:r>
      <w:r>
        <w:rPr>
          <w:spacing w:val="-9"/>
          <w:sz w:val="16"/>
        </w:rPr>
        <w:t xml:space="preserve"> </w:t>
      </w:r>
      <w:r>
        <w:rPr>
          <w:sz w:val="16"/>
        </w:rPr>
        <w:t>como</w:t>
      </w:r>
      <w:r>
        <w:rPr>
          <w:spacing w:val="-9"/>
          <w:sz w:val="16"/>
        </w:rPr>
        <w:t xml:space="preserve"> </w:t>
      </w:r>
      <w:r>
        <w:rPr>
          <w:sz w:val="16"/>
        </w:rPr>
        <w:t>“Edilene</w:t>
      </w:r>
      <w:r>
        <w:rPr>
          <w:spacing w:val="-10"/>
          <w:sz w:val="16"/>
        </w:rPr>
        <w:t xml:space="preserve"> </w:t>
      </w:r>
      <w:r>
        <w:rPr>
          <w:sz w:val="16"/>
        </w:rPr>
        <w:t>Silva</w:t>
      </w:r>
      <w:r>
        <w:rPr>
          <w:spacing w:val="-13"/>
          <w:sz w:val="16"/>
        </w:rPr>
        <w:t xml:space="preserve"> </w:t>
      </w:r>
      <w:r>
        <w:rPr>
          <w:sz w:val="16"/>
        </w:rPr>
        <w:t>Santos”.</w:t>
      </w:r>
      <w:r>
        <w:rPr>
          <w:spacing w:val="-13"/>
          <w:sz w:val="16"/>
        </w:rPr>
        <w:t xml:space="preserve"> </w:t>
      </w:r>
      <w:r>
        <w:rPr>
          <w:sz w:val="16"/>
        </w:rPr>
        <w:t>Sin</w:t>
      </w:r>
      <w:r>
        <w:rPr>
          <w:spacing w:val="-11"/>
          <w:sz w:val="16"/>
        </w:rPr>
        <w:t xml:space="preserve"> </w:t>
      </w:r>
      <w:r>
        <w:rPr>
          <w:sz w:val="16"/>
        </w:rPr>
        <w:t>embargo,</w:t>
      </w:r>
      <w:r>
        <w:rPr>
          <w:spacing w:val="-11"/>
          <w:sz w:val="16"/>
        </w:rPr>
        <w:t xml:space="preserve"> </w:t>
      </w:r>
      <w:r>
        <w:rPr>
          <w:sz w:val="16"/>
        </w:rPr>
        <w:t>esta</w:t>
      </w:r>
      <w:r>
        <w:rPr>
          <w:spacing w:val="-13"/>
          <w:sz w:val="16"/>
        </w:rPr>
        <w:t xml:space="preserve"> </w:t>
      </w:r>
      <w:r>
        <w:rPr>
          <w:sz w:val="16"/>
        </w:rPr>
        <w:t>Corte</w:t>
      </w:r>
      <w:r>
        <w:rPr>
          <w:spacing w:val="-9"/>
          <w:sz w:val="16"/>
        </w:rPr>
        <w:t xml:space="preserve"> </w:t>
      </w:r>
      <w:r>
        <w:rPr>
          <w:sz w:val="16"/>
        </w:rPr>
        <w:t>encuentra que</w:t>
      </w:r>
      <w:r>
        <w:rPr>
          <w:spacing w:val="-8"/>
          <w:sz w:val="16"/>
        </w:rPr>
        <w:t xml:space="preserve"> </w:t>
      </w:r>
      <w:r>
        <w:rPr>
          <w:sz w:val="16"/>
        </w:rPr>
        <w:t>el</w:t>
      </w:r>
      <w:r>
        <w:rPr>
          <w:spacing w:val="-7"/>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8"/>
          <w:sz w:val="16"/>
        </w:rPr>
        <w:t xml:space="preserve"> </w:t>
      </w:r>
      <w:r>
        <w:rPr>
          <w:sz w:val="16"/>
        </w:rPr>
        <w:t>persona</w:t>
      </w:r>
      <w:r>
        <w:rPr>
          <w:spacing w:val="-7"/>
          <w:sz w:val="16"/>
        </w:rPr>
        <w:t xml:space="preserve"> </w:t>
      </w:r>
      <w:r>
        <w:rPr>
          <w:sz w:val="16"/>
        </w:rPr>
        <w:t>corresponde</w:t>
      </w:r>
      <w:r>
        <w:rPr>
          <w:spacing w:val="-8"/>
          <w:sz w:val="16"/>
        </w:rPr>
        <w:t xml:space="preserve"> </w:t>
      </w:r>
      <w:r>
        <w:rPr>
          <w:sz w:val="16"/>
        </w:rPr>
        <w:t>a</w:t>
      </w:r>
      <w:r>
        <w:rPr>
          <w:spacing w:val="-8"/>
          <w:sz w:val="16"/>
        </w:rPr>
        <w:t xml:space="preserve"> </w:t>
      </w:r>
      <w:r>
        <w:rPr>
          <w:sz w:val="16"/>
        </w:rPr>
        <w:t>“Edilene</w:t>
      </w:r>
      <w:r>
        <w:rPr>
          <w:spacing w:val="-8"/>
          <w:sz w:val="16"/>
        </w:rPr>
        <w:t xml:space="preserve"> </w:t>
      </w:r>
      <w:r>
        <w:rPr>
          <w:sz w:val="16"/>
        </w:rPr>
        <w:t>Silva</w:t>
      </w:r>
      <w:r>
        <w:rPr>
          <w:spacing w:val="-8"/>
          <w:sz w:val="16"/>
        </w:rPr>
        <w:t xml:space="preserve"> </w:t>
      </w:r>
      <w:r>
        <w:rPr>
          <w:sz w:val="16"/>
        </w:rPr>
        <w:t>dos</w:t>
      </w:r>
      <w:r>
        <w:rPr>
          <w:spacing w:val="-8"/>
          <w:sz w:val="16"/>
        </w:rPr>
        <w:t xml:space="preserve"> </w:t>
      </w:r>
      <w:r>
        <w:rPr>
          <w:sz w:val="16"/>
        </w:rPr>
        <w:t>Santos”,</w:t>
      </w:r>
      <w:r>
        <w:rPr>
          <w:spacing w:val="-8"/>
          <w:sz w:val="16"/>
        </w:rPr>
        <w:t xml:space="preserve"> </w:t>
      </w:r>
      <w:r>
        <w:rPr>
          <w:sz w:val="16"/>
        </w:rPr>
        <w:t>según</w:t>
      </w:r>
      <w:r>
        <w:rPr>
          <w:spacing w:val="-9"/>
          <w:sz w:val="16"/>
        </w:rPr>
        <w:t xml:space="preserve"> </w:t>
      </w:r>
      <w:r>
        <w:rPr>
          <w:sz w:val="16"/>
        </w:rPr>
        <w:t>consta</w:t>
      </w:r>
      <w:r>
        <w:rPr>
          <w:spacing w:val="-8"/>
          <w:sz w:val="16"/>
        </w:rPr>
        <w:t xml:space="preserve"> </w:t>
      </w:r>
      <w:r>
        <w:rPr>
          <w:sz w:val="16"/>
        </w:rPr>
        <w:t>en</w:t>
      </w:r>
      <w:r>
        <w:rPr>
          <w:spacing w:val="-9"/>
          <w:sz w:val="16"/>
        </w:rPr>
        <w:t xml:space="preserve"> </w:t>
      </w:r>
      <w:r>
        <w:rPr>
          <w:sz w:val="16"/>
        </w:rPr>
        <w:t>las</w:t>
      </w:r>
      <w:r>
        <w:rPr>
          <w:spacing w:val="-8"/>
          <w:sz w:val="16"/>
        </w:rPr>
        <w:t xml:space="preserve"> </w:t>
      </w:r>
      <w:r>
        <w:rPr>
          <w:sz w:val="16"/>
        </w:rPr>
        <w:t>pruebas</w:t>
      </w:r>
      <w:r>
        <w:rPr>
          <w:spacing w:val="-5"/>
          <w:sz w:val="16"/>
        </w:rPr>
        <w:t xml:space="preserve"> </w:t>
      </w:r>
      <w:r>
        <w:rPr>
          <w:sz w:val="16"/>
        </w:rPr>
        <w:t>aportadas</w:t>
      </w:r>
      <w:r>
        <w:rPr>
          <w:spacing w:val="-11"/>
          <w:sz w:val="16"/>
        </w:rPr>
        <w:t xml:space="preserve"> </w:t>
      </w:r>
      <w:r>
        <w:rPr>
          <w:sz w:val="16"/>
        </w:rPr>
        <w:t>por los representantes (expediente de prueba, folio 1110) y por el Estado (expediente de prueba, folios 1992, 2040 y 2148).</w:t>
      </w:r>
    </w:p>
    <w:p w14:paraId="54E252D9" w14:textId="77777777" w:rsidR="00467FCA" w:rsidRDefault="00467FCA">
      <w:pPr>
        <w:jc w:val="both"/>
        <w:rPr>
          <w:sz w:val="16"/>
        </w:rPr>
        <w:sectPr w:rsidR="00467FCA">
          <w:pgSz w:w="12240" w:h="15840"/>
          <w:pgMar w:top="1440" w:right="1320" w:bottom="1220" w:left="1320" w:header="0" w:footer="957"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467FCA" w14:paraId="25D35047" w14:textId="77777777">
        <w:trPr>
          <w:trHeight w:val="299"/>
        </w:trPr>
        <w:tc>
          <w:tcPr>
            <w:tcW w:w="523" w:type="dxa"/>
          </w:tcPr>
          <w:p w14:paraId="0991411A" w14:textId="77777777" w:rsidR="00467FCA" w:rsidRDefault="001B68EB">
            <w:pPr>
              <w:pStyle w:val="TableParagraph"/>
              <w:ind w:left="71"/>
              <w:jc w:val="left"/>
              <w:rPr>
                <w:sz w:val="20"/>
              </w:rPr>
            </w:pPr>
            <w:r>
              <w:rPr>
                <w:sz w:val="20"/>
              </w:rPr>
              <w:t>22</w:t>
            </w:r>
          </w:p>
        </w:tc>
        <w:tc>
          <w:tcPr>
            <w:tcW w:w="6564" w:type="dxa"/>
          </w:tcPr>
          <w:p w14:paraId="247B35FF" w14:textId="77777777" w:rsidR="00467FCA" w:rsidRDefault="001B68EB">
            <w:pPr>
              <w:pStyle w:val="TableParagraph"/>
              <w:ind w:left="69"/>
              <w:jc w:val="left"/>
              <w:rPr>
                <w:sz w:val="13"/>
              </w:rPr>
            </w:pPr>
            <w:r>
              <w:rPr>
                <w:sz w:val="20"/>
              </w:rPr>
              <w:t>Edna Silva dos Santos</w:t>
            </w:r>
            <w:hyperlink w:anchor="_bookmark473" w:history="1">
              <w:r>
                <w:rPr>
                  <w:position w:val="7"/>
                  <w:sz w:val="13"/>
                </w:rPr>
                <w:t>396</w:t>
              </w:r>
            </w:hyperlink>
          </w:p>
        </w:tc>
      </w:tr>
      <w:tr w:rsidR="00467FCA" w14:paraId="55BE1FBD" w14:textId="77777777">
        <w:trPr>
          <w:trHeight w:val="299"/>
        </w:trPr>
        <w:tc>
          <w:tcPr>
            <w:tcW w:w="523" w:type="dxa"/>
          </w:tcPr>
          <w:p w14:paraId="36BB8910" w14:textId="77777777" w:rsidR="00467FCA" w:rsidRDefault="001B68EB">
            <w:pPr>
              <w:pStyle w:val="TableParagraph"/>
              <w:ind w:left="71"/>
              <w:jc w:val="left"/>
              <w:rPr>
                <w:sz w:val="20"/>
              </w:rPr>
            </w:pPr>
            <w:r>
              <w:rPr>
                <w:sz w:val="20"/>
              </w:rPr>
              <w:t>23</w:t>
            </w:r>
          </w:p>
        </w:tc>
        <w:tc>
          <w:tcPr>
            <w:tcW w:w="6564" w:type="dxa"/>
          </w:tcPr>
          <w:p w14:paraId="5385F969" w14:textId="77777777" w:rsidR="00467FCA" w:rsidRDefault="001B68EB">
            <w:pPr>
              <w:pStyle w:val="TableParagraph"/>
              <w:ind w:left="69"/>
              <w:jc w:val="left"/>
              <w:rPr>
                <w:sz w:val="13"/>
              </w:rPr>
            </w:pPr>
            <w:r>
              <w:rPr>
                <w:sz w:val="20"/>
              </w:rPr>
              <w:t>Edneuza Carvalho Santos</w:t>
            </w:r>
            <w:hyperlink w:anchor="_bookmark474" w:history="1">
              <w:r>
                <w:rPr>
                  <w:position w:val="7"/>
                  <w:sz w:val="13"/>
                </w:rPr>
                <w:t>397</w:t>
              </w:r>
            </w:hyperlink>
          </w:p>
        </w:tc>
      </w:tr>
      <w:tr w:rsidR="00467FCA" w14:paraId="6ABF1AD6" w14:textId="77777777">
        <w:trPr>
          <w:trHeight w:val="301"/>
        </w:trPr>
        <w:tc>
          <w:tcPr>
            <w:tcW w:w="523" w:type="dxa"/>
          </w:tcPr>
          <w:p w14:paraId="79D47364" w14:textId="77777777" w:rsidR="00467FCA" w:rsidRDefault="001B68EB">
            <w:pPr>
              <w:pStyle w:val="TableParagraph"/>
              <w:ind w:left="71"/>
              <w:jc w:val="left"/>
              <w:rPr>
                <w:sz w:val="20"/>
              </w:rPr>
            </w:pPr>
            <w:r>
              <w:rPr>
                <w:sz w:val="20"/>
              </w:rPr>
              <w:t>24</w:t>
            </w:r>
          </w:p>
        </w:tc>
        <w:tc>
          <w:tcPr>
            <w:tcW w:w="6564" w:type="dxa"/>
          </w:tcPr>
          <w:p w14:paraId="665BCC72" w14:textId="77777777" w:rsidR="00467FCA" w:rsidRDefault="001B68EB">
            <w:pPr>
              <w:pStyle w:val="TableParagraph"/>
              <w:ind w:left="69"/>
              <w:jc w:val="left"/>
              <w:rPr>
                <w:sz w:val="13"/>
              </w:rPr>
            </w:pPr>
            <w:r>
              <w:rPr>
                <w:sz w:val="20"/>
              </w:rPr>
              <w:t>Eunice dos Anjos da Conceição</w:t>
            </w:r>
            <w:hyperlink w:anchor="_bookmark475" w:history="1">
              <w:r>
                <w:rPr>
                  <w:position w:val="7"/>
                  <w:sz w:val="13"/>
                </w:rPr>
                <w:t>398</w:t>
              </w:r>
            </w:hyperlink>
          </w:p>
        </w:tc>
      </w:tr>
      <w:tr w:rsidR="00467FCA" w14:paraId="2D47660C" w14:textId="77777777">
        <w:trPr>
          <w:trHeight w:val="299"/>
        </w:trPr>
        <w:tc>
          <w:tcPr>
            <w:tcW w:w="523" w:type="dxa"/>
          </w:tcPr>
          <w:p w14:paraId="40757363" w14:textId="77777777" w:rsidR="00467FCA" w:rsidRDefault="001B68EB">
            <w:pPr>
              <w:pStyle w:val="TableParagraph"/>
              <w:ind w:left="71"/>
              <w:jc w:val="left"/>
              <w:rPr>
                <w:sz w:val="20"/>
              </w:rPr>
            </w:pPr>
            <w:r>
              <w:rPr>
                <w:sz w:val="20"/>
              </w:rPr>
              <w:t>25</w:t>
            </w:r>
          </w:p>
        </w:tc>
        <w:tc>
          <w:tcPr>
            <w:tcW w:w="6564" w:type="dxa"/>
          </w:tcPr>
          <w:p w14:paraId="74D8692A" w14:textId="77777777" w:rsidR="00467FCA" w:rsidRDefault="001B68EB">
            <w:pPr>
              <w:pStyle w:val="TableParagraph"/>
              <w:ind w:left="69"/>
              <w:jc w:val="left"/>
              <w:rPr>
                <w:sz w:val="13"/>
              </w:rPr>
            </w:pPr>
            <w:r>
              <w:rPr>
                <w:sz w:val="20"/>
              </w:rPr>
              <w:t>Fabiana Santos Rocha</w:t>
            </w:r>
            <w:hyperlink w:anchor="_bookmark476" w:history="1">
              <w:r>
                <w:rPr>
                  <w:position w:val="7"/>
                  <w:sz w:val="13"/>
                </w:rPr>
                <w:t>399</w:t>
              </w:r>
            </w:hyperlink>
          </w:p>
        </w:tc>
      </w:tr>
      <w:tr w:rsidR="00467FCA" w14:paraId="774111B8" w14:textId="77777777">
        <w:trPr>
          <w:trHeight w:val="299"/>
        </w:trPr>
        <w:tc>
          <w:tcPr>
            <w:tcW w:w="523" w:type="dxa"/>
          </w:tcPr>
          <w:p w14:paraId="2722A284" w14:textId="77777777" w:rsidR="00467FCA" w:rsidRDefault="001B68EB">
            <w:pPr>
              <w:pStyle w:val="TableParagraph"/>
              <w:ind w:left="71"/>
              <w:jc w:val="left"/>
              <w:rPr>
                <w:sz w:val="20"/>
              </w:rPr>
            </w:pPr>
            <w:r>
              <w:rPr>
                <w:sz w:val="20"/>
              </w:rPr>
              <w:t>26</w:t>
            </w:r>
          </w:p>
        </w:tc>
        <w:tc>
          <w:tcPr>
            <w:tcW w:w="6564" w:type="dxa"/>
          </w:tcPr>
          <w:p w14:paraId="76C178B8" w14:textId="77777777" w:rsidR="00467FCA" w:rsidRDefault="001B68EB">
            <w:pPr>
              <w:pStyle w:val="TableParagraph"/>
              <w:ind w:left="69"/>
              <w:jc w:val="left"/>
              <w:rPr>
                <w:sz w:val="13"/>
              </w:rPr>
            </w:pPr>
            <w:r>
              <w:rPr>
                <w:sz w:val="20"/>
              </w:rPr>
              <w:t>Francisneide Bispo dos Santos</w:t>
            </w:r>
            <w:hyperlink w:anchor="_bookmark477" w:history="1">
              <w:r>
                <w:rPr>
                  <w:position w:val="7"/>
                  <w:sz w:val="13"/>
                </w:rPr>
                <w:t>400</w:t>
              </w:r>
            </w:hyperlink>
          </w:p>
        </w:tc>
      </w:tr>
      <w:tr w:rsidR="00467FCA" w14:paraId="327FD810" w14:textId="77777777">
        <w:trPr>
          <w:trHeight w:val="299"/>
        </w:trPr>
        <w:tc>
          <w:tcPr>
            <w:tcW w:w="523" w:type="dxa"/>
          </w:tcPr>
          <w:p w14:paraId="1651A8D2" w14:textId="77777777" w:rsidR="00467FCA" w:rsidRDefault="001B68EB">
            <w:pPr>
              <w:pStyle w:val="TableParagraph"/>
              <w:ind w:left="71"/>
              <w:jc w:val="left"/>
              <w:rPr>
                <w:sz w:val="20"/>
              </w:rPr>
            </w:pPr>
            <w:r>
              <w:rPr>
                <w:sz w:val="20"/>
              </w:rPr>
              <w:t>27</w:t>
            </w:r>
          </w:p>
        </w:tc>
        <w:tc>
          <w:tcPr>
            <w:tcW w:w="6564" w:type="dxa"/>
          </w:tcPr>
          <w:p w14:paraId="55C64632" w14:textId="77777777" w:rsidR="00467FCA" w:rsidRDefault="001B68EB">
            <w:pPr>
              <w:pStyle w:val="TableParagraph"/>
              <w:ind w:left="69"/>
              <w:jc w:val="left"/>
              <w:rPr>
                <w:sz w:val="13"/>
              </w:rPr>
            </w:pPr>
            <w:r>
              <w:rPr>
                <w:sz w:val="20"/>
              </w:rPr>
              <w:t>Girlene dos Santos Souza</w:t>
            </w:r>
            <w:hyperlink w:anchor="_bookmark478" w:history="1">
              <w:r>
                <w:rPr>
                  <w:position w:val="7"/>
                  <w:sz w:val="13"/>
                </w:rPr>
                <w:t>401</w:t>
              </w:r>
            </w:hyperlink>
          </w:p>
        </w:tc>
      </w:tr>
      <w:tr w:rsidR="00467FCA" w14:paraId="7F0762A2" w14:textId="77777777">
        <w:trPr>
          <w:trHeight w:val="299"/>
        </w:trPr>
        <w:tc>
          <w:tcPr>
            <w:tcW w:w="523" w:type="dxa"/>
          </w:tcPr>
          <w:p w14:paraId="6D90A6DD" w14:textId="77777777" w:rsidR="00467FCA" w:rsidRDefault="001B68EB">
            <w:pPr>
              <w:pStyle w:val="TableParagraph"/>
              <w:ind w:left="71"/>
              <w:jc w:val="left"/>
              <w:rPr>
                <w:sz w:val="20"/>
              </w:rPr>
            </w:pPr>
            <w:r>
              <w:rPr>
                <w:sz w:val="20"/>
              </w:rPr>
              <w:t>28</w:t>
            </w:r>
          </w:p>
        </w:tc>
        <w:tc>
          <w:tcPr>
            <w:tcW w:w="6564" w:type="dxa"/>
          </w:tcPr>
          <w:p w14:paraId="615E704F" w14:textId="77777777" w:rsidR="00467FCA" w:rsidRDefault="001B68EB">
            <w:pPr>
              <w:pStyle w:val="TableParagraph"/>
              <w:ind w:left="69"/>
              <w:jc w:val="left"/>
              <w:rPr>
                <w:sz w:val="13"/>
              </w:rPr>
            </w:pPr>
            <w:r>
              <w:rPr>
                <w:sz w:val="20"/>
              </w:rPr>
              <w:t>Izabel Alexandrina da Silva</w:t>
            </w:r>
            <w:hyperlink w:anchor="_bookmark479" w:history="1">
              <w:r>
                <w:rPr>
                  <w:position w:val="7"/>
                  <w:sz w:val="13"/>
                </w:rPr>
                <w:t>402</w:t>
              </w:r>
            </w:hyperlink>
          </w:p>
        </w:tc>
      </w:tr>
      <w:tr w:rsidR="00467FCA" w14:paraId="7ADA73B6" w14:textId="77777777">
        <w:trPr>
          <w:trHeight w:val="299"/>
        </w:trPr>
        <w:tc>
          <w:tcPr>
            <w:tcW w:w="523" w:type="dxa"/>
          </w:tcPr>
          <w:p w14:paraId="595FDC2F" w14:textId="77777777" w:rsidR="00467FCA" w:rsidRDefault="001B68EB">
            <w:pPr>
              <w:pStyle w:val="TableParagraph"/>
              <w:ind w:left="71"/>
              <w:jc w:val="left"/>
              <w:rPr>
                <w:sz w:val="20"/>
              </w:rPr>
            </w:pPr>
            <w:r>
              <w:rPr>
                <w:sz w:val="20"/>
              </w:rPr>
              <w:t>29</w:t>
            </w:r>
          </w:p>
        </w:tc>
        <w:tc>
          <w:tcPr>
            <w:tcW w:w="6564" w:type="dxa"/>
          </w:tcPr>
          <w:p w14:paraId="4D8ED050" w14:textId="77777777" w:rsidR="00467FCA" w:rsidRDefault="001B68EB">
            <w:pPr>
              <w:pStyle w:val="TableParagraph"/>
              <w:ind w:left="69"/>
              <w:jc w:val="left"/>
              <w:rPr>
                <w:sz w:val="13"/>
              </w:rPr>
            </w:pPr>
            <w:r>
              <w:rPr>
                <w:sz w:val="20"/>
              </w:rPr>
              <w:t>Joseane Cunha Reis</w:t>
            </w:r>
            <w:hyperlink w:anchor="_bookmark480" w:history="1">
              <w:r>
                <w:rPr>
                  <w:position w:val="7"/>
                  <w:sz w:val="13"/>
                </w:rPr>
                <w:t>403</w:t>
              </w:r>
            </w:hyperlink>
          </w:p>
        </w:tc>
      </w:tr>
      <w:tr w:rsidR="00467FCA" w14:paraId="353728A8" w14:textId="77777777">
        <w:trPr>
          <w:trHeight w:val="302"/>
        </w:trPr>
        <w:tc>
          <w:tcPr>
            <w:tcW w:w="523" w:type="dxa"/>
          </w:tcPr>
          <w:p w14:paraId="2996077A" w14:textId="77777777" w:rsidR="00467FCA" w:rsidRDefault="001B68EB">
            <w:pPr>
              <w:pStyle w:val="TableParagraph"/>
              <w:ind w:left="71"/>
              <w:jc w:val="left"/>
              <w:rPr>
                <w:sz w:val="20"/>
              </w:rPr>
            </w:pPr>
            <w:r>
              <w:rPr>
                <w:sz w:val="20"/>
              </w:rPr>
              <w:t>30</w:t>
            </w:r>
          </w:p>
        </w:tc>
        <w:tc>
          <w:tcPr>
            <w:tcW w:w="6564" w:type="dxa"/>
          </w:tcPr>
          <w:p w14:paraId="7BA99E9F" w14:textId="77777777" w:rsidR="00467FCA" w:rsidRDefault="001B68EB">
            <w:pPr>
              <w:pStyle w:val="TableParagraph"/>
              <w:ind w:left="69"/>
              <w:jc w:val="left"/>
              <w:rPr>
                <w:sz w:val="13"/>
              </w:rPr>
            </w:pPr>
            <w:r>
              <w:rPr>
                <w:sz w:val="20"/>
              </w:rPr>
              <w:t>Kátia Silene Lima Bittencourt</w:t>
            </w:r>
            <w:hyperlink w:anchor="_bookmark481" w:history="1">
              <w:r>
                <w:rPr>
                  <w:position w:val="7"/>
                  <w:sz w:val="13"/>
                </w:rPr>
                <w:t>404</w:t>
              </w:r>
            </w:hyperlink>
          </w:p>
        </w:tc>
      </w:tr>
      <w:tr w:rsidR="00467FCA" w14:paraId="6642F695" w14:textId="77777777">
        <w:trPr>
          <w:trHeight w:val="299"/>
        </w:trPr>
        <w:tc>
          <w:tcPr>
            <w:tcW w:w="523" w:type="dxa"/>
          </w:tcPr>
          <w:p w14:paraId="201F8847" w14:textId="77777777" w:rsidR="00467FCA" w:rsidRDefault="001B68EB">
            <w:pPr>
              <w:pStyle w:val="TableParagraph"/>
              <w:ind w:left="71"/>
              <w:jc w:val="left"/>
              <w:rPr>
                <w:sz w:val="20"/>
              </w:rPr>
            </w:pPr>
            <w:r>
              <w:rPr>
                <w:sz w:val="20"/>
              </w:rPr>
              <w:t>31</w:t>
            </w:r>
          </w:p>
        </w:tc>
        <w:tc>
          <w:tcPr>
            <w:tcW w:w="6564" w:type="dxa"/>
          </w:tcPr>
          <w:p w14:paraId="74BBDE10" w14:textId="77777777" w:rsidR="00467FCA" w:rsidRDefault="001B68EB">
            <w:pPr>
              <w:pStyle w:val="TableParagraph"/>
              <w:ind w:left="69"/>
              <w:jc w:val="left"/>
              <w:rPr>
                <w:sz w:val="13"/>
              </w:rPr>
            </w:pPr>
            <w:r>
              <w:rPr>
                <w:sz w:val="20"/>
              </w:rPr>
              <w:t>Luciene Oliveira dos Santos</w:t>
            </w:r>
            <w:hyperlink w:anchor="_bookmark482" w:history="1">
              <w:r>
                <w:rPr>
                  <w:position w:val="7"/>
                  <w:sz w:val="13"/>
                </w:rPr>
                <w:t>405</w:t>
              </w:r>
            </w:hyperlink>
          </w:p>
        </w:tc>
      </w:tr>
      <w:tr w:rsidR="00467FCA" w14:paraId="0D306795" w14:textId="77777777">
        <w:trPr>
          <w:trHeight w:val="299"/>
        </w:trPr>
        <w:tc>
          <w:tcPr>
            <w:tcW w:w="523" w:type="dxa"/>
          </w:tcPr>
          <w:p w14:paraId="31FAAC30" w14:textId="77777777" w:rsidR="00467FCA" w:rsidRDefault="001B68EB">
            <w:pPr>
              <w:pStyle w:val="TableParagraph"/>
              <w:ind w:left="71"/>
              <w:jc w:val="left"/>
              <w:rPr>
                <w:sz w:val="20"/>
              </w:rPr>
            </w:pPr>
            <w:r>
              <w:rPr>
                <w:sz w:val="20"/>
              </w:rPr>
              <w:t>32</w:t>
            </w:r>
          </w:p>
        </w:tc>
        <w:tc>
          <w:tcPr>
            <w:tcW w:w="6564" w:type="dxa"/>
          </w:tcPr>
          <w:p w14:paraId="78AC8327" w14:textId="77777777" w:rsidR="00467FCA" w:rsidRDefault="001B68EB">
            <w:pPr>
              <w:pStyle w:val="TableParagraph"/>
              <w:ind w:left="69"/>
              <w:jc w:val="left"/>
              <w:rPr>
                <w:sz w:val="13"/>
              </w:rPr>
            </w:pPr>
            <w:r>
              <w:rPr>
                <w:sz w:val="20"/>
              </w:rPr>
              <w:t>Luciene dos Santos Ribeiro</w:t>
            </w:r>
            <w:hyperlink w:anchor="_bookmark483" w:history="1">
              <w:r>
                <w:rPr>
                  <w:position w:val="7"/>
                  <w:sz w:val="13"/>
                </w:rPr>
                <w:t>406</w:t>
              </w:r>
            </w:hyperlink>
          </w:p>
        </w:tc>
      </w:tr>
    </w:tbl>
    <w:p w14:paraId="15026EB6" w14:textId="77777777" w:rsidR="00467FCA" w:rsidRDefault="001B68EB">
      <w:pPr>
        <w:pStyle w:val="Textoindependiente"/>
        <w:spacing w:before="3"/>
      </w:pPr>
      <w:r>
        <w:pict w14:anchorId="3C8D8168">
          <v:shape id="_x0000_s1116" style="position:absolute;margin-left:1in;margin-top:14.6pt;width:2in;height:.1pt;z-index:-251576320;mso-wrap-distance-left:0;mso-wrap-distance-right:0;mso-position-horizontal-relative:page;mso-position-vertical-relative:text" coordorigin="1440,292" coordsize="2880,0" path="m1440,292r2880,e" filled="f" strokeweight=".21131mm">
            <v:path arrowok="t"/>
            <w10:wrap type="topAndBottom" anchorx="page"/>
          </v:shape>
        </w:pict>
      </w:r>
    </w:p>
    <w:p w14:paraId="195DFCB5" w14:textId="77777777" w:rsidR="00467FCA" w:rsidRDefault="001B68EB">
      <w:pPr>
        <w:spacing w:before="74"/>
        <w:ind w:left="119" w:right="114"/>
        <w:jc w:val="both"/>
        <w:rPr>
          <w:sz w:val="16"/>
        </w:rPr>
      </w:pPr>
      <w:bookmarkStart w:id="548" w:name="_bookmark473"/>
      <w:bookmarkEnd w:id="548"/>
      <w:r>
        <w:rPr>
          <w:position w:val="6"/>
          <w:sz w:val="10"/>
        </w:rPr>
        <w:t>396</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“Edna Silva Santos”. Sin embargo, esta Corte encuentra que el nombre de esta persona corresponde a “Edna Silva dos Santos”, según consta en las pruebas aportadas por los representantes (expediente d</w:t>
      </w:r>
      <w:r>
        <w:rPr>
          <w:sz w:val="16"/>
        </w:rPr>
        <w:t>e prueba, folio 1110) y por el Estado (expediente de prueba, folios 1992, 2040 y 2148).</w:t>
      </w:r>
    </w:p>
    <w:p w14:paraId="45B47542" w14:textId="77777777" w:rsidR="00467FCA" w:rsidRDefault="001B68EB">
      <w:pPr>
        <w:ind w:left="119" w:right="114"/>
        <w:jc w:val="both"/>
        <w:rPr>
          <w:sz w:val="16"/>
        </w:rPr>
      </w:pPr>
      <w:bookmarkStart w:id="549" w:name="_bookmark474"/>
      <w:bookmarkEnd w:id="549"/>
      <w:r>
        <w:rPr>
          <w:position w:val="6"/>
          <w:sz w:val="10"/>
        </w:rPr>
        <w:t>397</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“Edneuza Carvalho Santos”. Asimismo, esta Corte encuentra que el nombre de esta persona corresponde al indicado en las pruebas aportadas por los representantes (expediente de prueba, folio 1593) y p</w:t>
      </w:r>
      <w:r>
        <w:rPr>
          <w:sz w:val="16"/>
        </w:rPr>
        <w:t>or el Estado (expediente de prueba, folios 1883, 2026 y</w:t>
      </w:r>
      <w:r>
        <w:rPr>
          <w:spacing w:val="-22"/>
          <w:sz w:val="16"/>
        </w:rPr>
        <w:t xml:space="preserve"> </w:t>
      </w:r>
      <w:r>
        <w:rPr>
          <w:sz w:val="16"/>
        </w:rPr>
        <w:t>2122).</w:t>
      </w:r>
    </w:p>
    <w:p w14:paraId="37034616" w14:textId="77777777" w:rsidR="00467FCA" w:rsidRDefault="001B68EB">
      <w:pPr>
        <w:ind w:left="119" w:right="113"/>
        <w:jc w:val="both"/>
        <w:rPr>
          <w:sz w:val="16"/>
        </w:rPr>
      </w:pPr>
      <w:bookmarkStart w:id="550" w:name="_bookmark475"/>
      <w:bookmarkEnd w:id="550"/>
      <w:r>
        <w:rPr>
          <w:position w:val="6"/>
          <w:sz w:val="10"/>
        </w:rPr>
        <w:t>398</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6"/>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“Eunice dos Anjos da</w:t>
      </w:r>
      <w:r>
        <w:rPr>
          <w:sz w:val="16"/>
        </w:rPr>
        <w:t xml:space="preserve"> Conceição”. Asimismo, esta Corte encuentra que el nombre de esta persona corresponde al indicado en las pruebas aportadas por los representantes (expediente de prueba, folio 1113) y por el Estado (expediente de prueba, folios 2009, 2071 y</w:t>
      </w:r>
      <w:r>
        <w:rPr>
          <w:spacing w:val="-22"/>
          <w:sz w:val="16"/>
        </w:rPr>
        <w:t xml:space="preserve"> </w:t>
      </w:r>
      <w:r>
        <w:rPr>
          <w:sz w:val="16"/>
        </w:rPr>
        <w:t>2137).</w:t>
      </w:r>
    </w:p>
    <w:p w14:paraId="13A47D0E" w14:textId="77777777" w:rsidR="00467FCA" w:rsidRDefault="001B68EB">
      <w:pPr>
        <w:ind w:left="118" w:right="114" w:firstLine="1"/>
        <w:jc w:val="both"/>
        <w:rPr>
          <w:sz w:val="16"/>
        </w:rPr>
      </w:pPr>
      <w:bookmarkStart w:id="551" w:name="_bookmark476"/>
      <w:bookmarkEnd w:id="551"/>
      <w:r>
        <w:rPr>
          <w:position w:val="6"/>
          <w:sz w:val="10"/>
        </w:rPr>
        <w:t>399</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5"/>
          <w:sz w:val="16"/>
        </w:rPr>
        <w:t xml:space="preserve"> </w:t>
      </w:r>
      <w:r>
        <w:rPr>
          <w:sz w:val="16"/>
        </w:rPr>
        <w:t>En</w:t>
      </w:r>
      <w:r>
        <w:rPr>
          <w:spacing w:val="-6"/>
          <w:sz w:val="16"/>
        </w:rPr>
        <w:t xml:space="preserve"> </w:t>
      </w:r>
      <w:r>
        <w:rPr>
          <w:sz w:val="16"/>
        </w:rPr>
        <w:t>ese</w:t>
      </w:r>
      <w:r>
        <w:rPr>
          <w:spacing w:val="-5"/>
          <w:sz w:val="16"/>
        </w:rPr>
        <w:t xml:space="preserve"> </w:t>
      </w:r>
      <w:r>
        <w:rPr>
          <w:sz w:val="16"/>
        </w:rPr>
        <w:t>listado,</w:t>
      </w:r>
      <w:r>
        <w:rPr>
          <w:spacing w:val="-6"/>
          <w:sz w:val="16"/>
        </w:rPr>
        <w:t xml:space="preserve"> </w:t>
      </w:r>
      <w:r>
        <w:rPr>
          <w:sz w:val="16"/>
        </w:rPr>
        <w:t>su</w:t>
      </w:r>
      <w:r>
        <w:rPr>
          <w:spacing w:val="-6"/>
          <w:sz w:val="16"/>
        </w:rPr>
        <w:t xml:space="preserve"> </w:t>
      </w:r>
      <w:r>
        <w:rPr>
          <w:sz w:val="16"/>
        </w:rPr>
        <w:t>nombre</w:t>
      </w:r>
      <w:r>
        <w:rPr>
          <w:spacing w:val="-5"/>
          <w:sz w:val="16"/>
        </w:rPr>
        <w:t xml:space="preserve"> </w:t>
      </w:r>
      <w:r>
        <w:rPr>
          <w:sz w:val="16"/>
        </w:rPr>
        <w:t>aparece</w:t>
      </w:r>
      <w:r>
        <w:rPr>
          <w:spacing w:val="-5"/>
          <w:sz w:val="16"/>
        </w:rPr>
        <w:t xml:space="preserve"> </w:t>
      </w:r>
      <w:r>
        <w:rPr>
          <w:sz w:val="16"/>
        </w:rPr>
        <w:t>reseñado</w:t>
      </w:r>
      <w:r>
        <w:rPr>
          <w:spacing w:val="-5"/>
          <w:sz w:val="16"/>
        </w:rPr>
        <w:t xml:space="preserve"> </w:t>
      </w:r>
      <w:r>
        <w:rPr>
          <w:sz w:val="16"/>
        </w:rPr>
        <w:t>como</w:t>
      </w:r>
      <w:r>
        <w:rPr>
          <w:spacing w:val="-4"/>
          <w:sz w:val="16"/>
        </w:rPr>
        <w:t xml:space="preserve"> </w:t>
      </w:r>
      <w:r>
        <w:rPr>
          <w:sz w:val="16"/>
        </w:rPr>
        <w:t>“Fabiana</w:t>
      </w:r>
      <w:r>
        <w:rPr>
          <w:spacing w:val="-6"/>
          <w:sz w:val="16"/>
        </w:rPr>
        <w:t xml:space="preserve"> </w:t>
      </w:r>
      <w:r>
        <w:rPr>
          <w:sz w:val="16"/>
        </w:rPr>
        <w:t>Santos</w:t>
      </w:r>
      <w:r>
        <w:rPr>
          <w:spacing w:val="-7"/>
          <w:sz w:val="16"/>
        </w:rPr>
        <w:t xml:space="preserve"> </w:t>
      </w:r>
      <w:r>
        <w:rPr>
          <w:sz w:val="16"/>
        </w:rPr>
        <w:t>Rocha”.</w:t>
      </w:r>
      <w:r>
        <w:rPr>
          <w:spacing w:val="-4"/>
          <w:sz w:val="16"/>
        </w:rPr>
        <w:t xml:space="preserve"> </w:t>
      </w:r>
      <w:r>
        <w:rPr>
          <w:sz w:val="16"/>
        </w:rPr>
        <w:t>Asimismo,</w:t>
      </w:r>
      <w:r>
        <w:rPr>
          <w:spacing w:val="-3"/>
          <w:sz w:val="16"/>
        </w:rPr>
        <w:t xml:space="preserve"> </w:t>
      </w:r>
      <w:r>
        <w:rPr>
          <w:sz w:val="16"/>
        </w:rPr>
        <w:t>esta</w:t>
      </w:r>
      <w:r>
        <w:rPr>
          <w:spacing w:val="-4"/>
          <w:sz w:val="16"/>
        </w:rPr>
        <w:t xml:space="preserve"> </w:t>
      </w:r>
      <w:r>
        <w:rPr>
          <w:sz w:val="16"/>
        </w:rPr>
        <w:t>Corte</w:t>
      </w:r>
      <w:r>
        <w:rPr>
          <w:spacing w:val="-2"/>
          <w:sz w:val="16"/>
        </w:rPr>
        <w:t xml:space="preserve"> </w:t>
      </w:r>
      <w:r>
        <w:rPr>
          <w:sz w:val="16"/>
        </w:rPr>
        <w:t>encuentra que</w:t>
      </w:r>
      <w:r>
        <w:rPr>
          <w:spacing w:val="-6"/>
          <w:sz w:val="16"/>
        </w:rPr>
        <w:t xml:space="preserve"> </w:t>
      </w:r>
      <w:r>
        <w:rPr>
          <w:sz w:val="16"/>
        </w:rPr>
        <w:t>el</w:t>
      </w:r>
      <w:r>
        <w:rPr>
          <w:spacing w:val="-9"/>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 de prueba, folio 1586) y por el Estado (expediente de prueba, folios 1974, 2098 y</w:t>
      </w:r>
      <w:r>
        <w:rPr>
          <w:spacing w:val="-24"/>
          <w:sz w:val="16"/>
        </w:rPr>
        <w:t xml:space="preserve"> </w:t>
      </w:r>
      <w:r>
        <w:rPr>
          <w:sz w:val="16"/>
        </w:rPr>
        <w:t>2145).</w:t>
      </w:r>
    </w:p>
    <w:p w14:paraId="285E4B5E" w14:textId="77777777" w:rsidR="00467FCA" w:rsidRDefault="001B68EB">
      <w:pPr>
        <w:ind w:left="118" w:right="114" w:firstLine="1"/>
        <w:jc w:val="both"/>
        <w:rPr>
          <w:sz w:val="16"/>
        </w:rPr>
      </w:pPr>
      <w:bookmarkStart w:id="552" w:name="_bookmark477"/>
      <w:bookmarkEnd w:id="552"/>
      <w:r>
        <w:rPr>
          <w:position w:val="6"/>
          <w:sz w:val="10"/>
        </w:rPr>
        <w:t>400</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6"/>
          <w:sz w:val="16"/>
        </w:rPr>
        <w:t xml:space="preserve"> </w:t>
      </w:r>
      <w:r>
        <w:rPr>
          <w:sz w:val="16"/>
        </w:rPr>
        <w:t>En</w:t>
      </w:r>
      <w:r>
        <w:rPr>
          <w:spacing w:val="-8"/>
          <w:sz w:val="16"/>
        </w:rPr>
        <w:t xml:space="preserve"> </w:t>
      </w:r>
      <w:r>
        <w:rPr>
          <w:sz w:val="16"/>
        </w:rPr>
        <w:t>ese</w:t>
      </w:r>
      <w:r>
        <w:rPr>
          <w:spacing w:val="-7"/>
          <w:sz w:val="16"/>
        </w:rPr>
        <w:t xml:space="preserve"> </w:t>
      </w:r>
      <w:r>
        <w:rPr>
          <w:sz w:val="16"/>
        </w:rPr>
        <w:t>listado,</w:t>
      </w:r>
      <w:r>
        <w:rPr>
          <w:spacing w:val="-6"/>
          <w:sz w:val="16"/>
        </w:rPr>
        <w:t xml:space="preserve"> </w:t>
      </w:r>
      <w:r>
        <w:rPr>
          <w:sz w:val="16"/>
        </w:rPr>
        <w:t>su</w:t>
      </w:r>
      <w:r>
        <w:rPr>
          <w:spacing w:val="-7"/>
          <w:sz w:val="16"/>
        </w:rPr>
        <w:t xml:space="preserve"> </w:t>
      </w:r>
      <w:r>
        <w:rPr>
          <w:sz w:val="16"/>
        </w:rPr>
        <w:t>nombre</w:t>
      </w:r>
      <w:r>
        <w:rPr>
          <w:spacing w:val="-7"/>
          <w:sz w:val="16"/>
        </w:rPr>
        <w:t xml:space="preserve"> </w:t>
      </w:r>
      <w:r>
        <w:rPr>
          <w:sz w:val="16"/>
        </w:rPr>
        <w:t>aparece</w:t>
      </w:r>
      <w:r>
        <w:rPr>
          <w:spacing w:val="-7"/>
          <w:sz w:val="16"/>
        </w:rPr>
        <w:t xml:space="preserve"> </w:t>
      </w:r>
      <w:r>
        <w:rPr>
          <w:sz w:val="16"/>
        </w:rPr>
        <w:t>reseñado</w:t>
      </w:r>
      <w:r>
        <w:rPr>
          <w:spacing w:val="-7"/>
          <w:sz w:val="16"/>
        </w:rPr>
        <w:t xml:space="preserve"> </w:t>
      </w:r>
      <w:r>
        <w:rPr>
          <w:sz w:val="16"/>
        </w:rPr>
        <w:t>como</w:t>
      </w:r>
      <w:r>
        <w:rPr>
          <w:spacing w:val="-9"/>
          <w:sz w:val="16"/>
        </w:rPr>
        <w:t xml:space="preserve"> </w:t>
      </w:r>
      <w:r>
        <w:rPr>
          <w:sz w:val="16"/>
        </w:rPr>
        <w:t>“Francineide</w:t>
      </w:r>
      <w:r>
        <w:rPr>
          <w:spacing w:val="-4"/>
          <w:sz w:val="16"/>
        </w:rPr>
        <w:t xml:space="preserve"> </w:t>
      </w:r>
      <w:r>
        <w:rPr>
          <w:sz w:val="16"/>
        </w:rPr>
        <w:t>Jose</w:t>
      </w:r>
      <w:r>
        <w:rPr>
          <w:spacing w:val="-7"/>
          <w:sz w:val="16"/>
        </w:rPr>
        <w:t xml:space="preserve"> </w:t>
      </w:r>
      <w:r>
        <w:rPr>
          <w:sz w:val="16"/>
        </w:rPr>
        <w:t>Bispo</w:t>
      </w:r>
      <w:r>
        <w:rPr>
          <w:spacing w:val="-7"/>
          <w:sz w:val="16"/>
        </w:rPr>
        <w:t xml:space="preserve"> </w:t>
      </w:r>
      <w:r>
        <w:rPr>
          <w:sz w:val="16"/>
        </w:rPr>
        <w:t>Santos”.</w:t>
      </w:r>
      <w:r>
        <w:rPr>
          <w:spacing w:val="-6"/>
          <w:sz w:val="16"/>
        </w:rPr>
        <w:t xml:space="preserve"> </w:t>
      </w:r>
      <w:r>
        <w:rPr>
          <w:sz w:val="16"/>
        </w:rPr>
        <w:t>Sin</w:t>
      </w:r>
      <w:r>
        <w:rPr>
          <w:spacing w:val="-8"/>
          <w:sz w:val="16"/>
        </w:rPr>
        <w:t xml:space="preserve"> </w:t>
      </w:r>
      <w:r>
        <w:rPr>
          <w:sz w:val="16"/>
        </w:rPr>
        <w:t>embargo,</w:t>
      </w:r>
      <w:r>
        <w:rPr>
          <w:spacing w:val="-5"/>
          <w:sz w:val="16"/>
        </w:rPr>
        <w:t xml:space="preserve"> </w:t>
      </w:r>
      <w:r>
        <w:rPr>
          <w:sz w:val="16"/>
        </w:rPr>
        <w:t>esta</w:t>
      </w:r>
      <w:r>
        <w:rPr>
          <w:spacing w:val="-8"/>
          <w:sz w:val="16"/>
        </w:rPr>
        <w:t xml:space="preserve"> </w:t>
      </w:r>
      <w:r>
        <w:rPr>
          <w:sz w:val="16"/>
        </w:rPr>
        <w:t>Corte encuentra que el nombre de esta persona corresponde a “Francisneide Bispo dos Santos”, según consta en la</w:t>
      </w:r>
      <w:r>
        <w:rPr>
          <w:sz w:val="16"/>
        </w:rPr>
        <w:t>s pruebas aportadas por el Estado (expediente de prueba, folios 1989, 2022 y</w:t>
      </w:r>
      <w:r>
        <w:rPr>
          <w:spacing w:val="-14"/>
          <w:sz w:val="16"/>
        </w:rPr>
        <w:t xml:space="preserve"> </w:t>
      </w:r>
      <w:r>
        <w:rPr>
          <w:sz w:val="16"/>
        </w:rPr>
        <w:t>2121).</w:t>
      </w:r>
    </w:p>
    <w:p w14:paraId="447E215A" w14:textId="77777777" w:rsidR="00467FCA" w:rsidRDefault="001B68EB">
      <w:pPr>
        <w:ind w:left="119" w:right="114"/>
        <w:jc w:val="both"/>
        <w:rPr>
          <w:sz w:val="16"/>
        </w:rPr>
      </w:pPr>
      <w:bookmarkStart w:id="553" w:name="_bookmark478"/>
      <w:bookmarkEnd w:id="553"/>
      <w:r>
        <w:rPr>
          <w:position w:val="6"/>
          <w:sz w:val="10"/>
        </w:rPr>
        <w:t>401</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7"/>
          <w:sz w:val="16"/>
        </w:rPr>
        <w:t xml:space="preserve"> </w:t>
      </w:r>
      <w:r>
        <w:rPr>
          <w:sz w:val="16"/>
        </w:rPr>
        <w:t>listado</w:t>
      </w:r>
      <w:r>
        <w:rPr>
          <w:spacing w:val="-6"/>
          <w:sz w:val="16"/>
        </w:rPr>
        <w:t xml:space="preserve"> </w:t>
      </w:r>
      <w:r>
        <w:rPr>
          <w:sz w:val="16"/>
        </w:rPr>
        <w:t>de</w:t>
      </w:r>
      <w:r>
        <w:rPr>
          <w:spacing w:val="-8"/>
          <w:sz w:val="16"/>
        </w:rPr>
        <w:t xml:space="preserve"> </w:t>
      </w:r>
      <w:r>
        <w:rPr>
          <w:sz w:val="16"/>
        </w:rPr>
        <w:t>víctimas</w:t>
      </w:r>
      <w:r>
        <w:rPr>
          <w:spacing w:val="-5"/>
          <w:sz w:val="16"/>
        </w:rPr>
        <w:t xml:space="preserve"> </w:t>
      </w:r>
      <w:r>
        <w:rPr>
          <w:sz w:val="16"/>
        </w:rPr>
        <w:t>aportado</w:t>
      </w:r>
      <w:r>
        <w:rPr>
          <w:spacing w:val="-8"/>
          <w:sz w:val="16"/>
        </w:rPr>
        <w:t xml:space="preserve"> </w:t>
      </w:r>
      <w:r>
        <w:rPr>
          <w:sz w:val="16"/>
        </w:rPr>
        <w:t>por</w:t>
      </w:r>
      <w:r>
        <w:rPr>
          <w:spacing w:val="-4"/>
          <w:sz w:val="16"/>
        </w:rPr>
        <w:t xml:space="preserve"> </w:t>
      </w:r>
      <w:r>
        <w:rPr>
          <w:sz w:val="16"/>
        </w:rPr>
        <w:t>la</w:t>
      </w:r>
      <w:r>
        <w:rPr>
          <w:spacing w:val="-9"/>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xml:space="preserve">. 25/18). En ese listado, su nombre aparece reseñado como “Girlene dos Santos Souza”. Asimismo, esta Corte encuentra que el nombre de esta persona corresponde al indicado en las pruebas aportadas por los representantes (expediente de prueba, folio 1111) y </w:t>
      </w:r>
      <w:r>
        <w:rPr>
          <w:sz w:val="16"/>
        </w:rPr>
        <w:t>por el Estado (expediente de prueba, folios 1957, 2174 y</w:t>
      </w:r>
      <w:r>
        <w:rPr>
          <w:spacing w:val="-23"/>
          <w:sz w:val="16"/>
        </w:rPr>
        <w:t xml:space="preserve"> </w:t>
      </w:r>
      <w:r>
        <w:rPr>
          <w:sz w:val="16"/>
        </w:rPr>
        <w:t>2302).</w:t>
      </w:r>
    </w:p>
    <w:p w14:paraId="35D2491F" w14:textId="77777777" w:rsidR="00467FCA" w:rsidRDefault="001B68EB">
      <w:pPr>
        <w:spacing w:before="1"/>
        <w:ind w:left="119" w:right="113"/>
        <w:jc w:val="both"/>
        <w:rPr>
          <w:sz w:val="16"/>
        </w:rPr>
      </w:pPr>
      <w:bookmarkStart w:id="554" w:name="_bookmark479"/>
      <w:bookmarkEnd w:id="554"/>
      <w:r>
        <w:rPr>
          <w:position w:val="6"/>
          <w:sz w:val="10"/>
        </w:rPr>
        <w:t xml:space="preserve">402 </w:t>
      </w:r>
      <w:r>
        <w:rPr>
          <w:sz w:val="16"/>
        </w:rPr>
        <w:t>Esta persona aparece relacionada en el listado de víctimas aportado por en el Escrito de Solicitudes, Argumentos y Pruebas. En ese listado, su nombre aparece reseñado como “Izabel Alexandr</w:t>
      </w:r>
      <w:r>
        <w:rPr>
          <w:sz w:val="16"/>
        </w:rPr>
        <w:t>ina da Silva”. Asimismo, esta Corte encuentra</w:t>
      </w:r>
      <w:r>
        <w:rPr>
          <w:spacing w:val="-14"/>
          <w:sz w:val="16"/>
        </w:rPr>
        <w:t xml:space="preserve"> </w:t>
      </w:r>
      <w:r>
        <w:rPr>
          <w:sz w:val="16"/>
        </w:rPr>
        <w:t>que</w:t>
      </w:r>
      <w:r>
        <w:rPr>
          <w:spacing w:val="-14"/>
          <w:sz w:val="16"/>
        </w:rPr>
        <w:t xml:space="preserve"> </w:t>
      </w:r>
      <w:r>
        <w:rPr>
          <w:sz w:val="16"/>
        </w:rPr>
        <w:t>el</w:t>
      </w:r>
      <w:r>
        <w:rPr>
          <w:spacing w:val="-14"/>
          <w:sz w:val="16"/>
        </w:rPr>
        <w:t xml:space="preserve"> </w:t>
      </w:r>
      <w:r>
        <w:rPr>
          <w:sz w:val="16"/>
        </w:rPr>
        <w:t>nombre</w:t>
      </w:r>
      <w:r>
        <w:rPr>
          <w:spacing w:val="-14"/>
          <w:sz w:val="16"/>
        </w:rPr>
        <w:t xml:space="preserve"> </w:t>
      </w:r>
      <w:r>
        <w:rPr>
          <w:sz w:val="16"/>
        </w:rPr>
        <w:t>de</w:t>
      </w:r>
      <w:r>
        <w:rPr>
          <w:spacing w:val="-13"/>
          <w:sz w:val="16"/>
        </w:rPr>
        <w:t xml:space="preserve"> </w:t>
      </w:r>
      <w:r>
        <w:rPr>
          <w:sz w:val="16"/>
        </w:rPr>
        <w:t>esta</w:t>
      </w:r>
      <w:r>
        <w:rPr>
          <w:spacing w:val="-13"/>
          <w:sz w:val="16"/>
        </w:rPr>
        <w:t xml:space="preserve"> </w:t>
      </w:r>
      <w:r>
        <w:rPr>
          <w:sz w:val="16"/>
        </w:rPr>
        <w:t>persona</w:t>
      </w:r>
      <w:r>
        <w:rPr>
          <w:spacing w:val="-14"/>
          <w:sz w:val="16"/>
        </w:rPr>
        <w:t xml:space="preserve"> </w:t>
      </w:r>
      <w:r>
        <w:rPr>
          <w:sz w:val="16"/>
        </w:rPr>
        <w:t>corresponde</w:t>
      </w:r>
      <w:r>
        <w:rPr>
          <w:spacing w:val="-12"/>
          <w:sz w:val="16"/>
        </w:rPr>
        <w:t xml:space="preserve"> </w:t>
      </w:r>
      <w:r>
        <w:rPr>
          <w:sz w:val="16"/>
        </w:rPr>
        <w:t>al</w:t>
      </w:r>
      <w:r>
        <w:rPr>
          <w:spacing w:val="-14"/>
          <w:sz w:val="16"/>
        </w:rPr>
        <w:t xml:space="preserve"> </w:t>
      </w:r>
      <w:r>
        <w:rPr>
          <w:sz w:val="16"/>
        </w:rPr>
        <w:t>indicado</w:t>
      </w:r>
      <w:r>
        <w:rPr>
          <w:spacing w:val="-11"/>
          <w:sz w:val="16"/>
        </w:rPr>
        <w:t xml:space="preserve"> </w:t>
      </w:r>
      <w:r>
        <w:rPr>
          <w:sz w:val="16"/>
        </w:rPr>
        <w:t>en</w:t>
      </w:r>
      <w:r>
        <w:rPr>
          <w:spacing w:val="-14"/>
          <w:sz w:val="16"/>
        </w:rPr>
        <w:t xml:space="preserve"> </w:t>
      </w:r>
      <w:r>
        <w:rPr>
          <w:sz w:val="16"/>
        </w:rPr>
        <w:t>las</w:t>
      </w:r>
      <w:r>
        <w:rPr>
          <w:spacing w:val="-14"/>
          <w:sz w:val="16"/>
        </w:rPr>
        <w:t xml:space="preserve"> </w:t>
      </w:r>
      <w:r>
        <w:rPr>
          <w:sz w:val="16"/>
        </w:rPr>
        <w:t>pruebas</w:t>
      </w:r>
      <w:r>
        <w:rPr>
          <w:spacing w:val="-13"/>
          <w:sz w:val="16"/>
        </w:rPr>
        <w:t xml:space="preserve"> </w:t>
      </w:r>
      <w:r>
        <w:rPr>
          <w:sz w:val="16"/>
        </w:rPr>
        <w:t>aportadas</w:t>
      </w:r>
      <w:r>
        <w:rPr>
          <w:spacing w:val="-12"/>
          <w:sz w:val="16"/>
        </w:rPr>
        <w:t xml:space="preserve"> </w:t>
      </w:r>
      <w:r>
        <w:rPr>
          <w:sz w:val="16"/>
        </w:rPr>
        <w:t>por</w:t>
      </w:r>
      <w:r>
        <w:rPr>
          <w:spacing w:val="-12"/>
          <w:sz w:val="16"/>
        </w:rPr>
        <w:t xml:space="preserve"> </w:t>
      </w:r>
      <w:r>
        <w:rPr>
          <w:sz w:val="16"/>
        </w:rPr>
        <w:t>el</w:t>
      </w:r>
      <w:r>
        <w:rPr>
          <w:spacing w:val="-13"/>
          <w:sz w:val="16"/>
        </w:rPr>
        <w:t xml:space="preserve"> </w:t>
      </w:r>
      <w:r>
        <w:rPr>
          <w:sz w:val="16"/>
        </w:rPr>
        <w:t>Estado</w:t>
      </w:r>
      <w:r>
        <w:rPr>
          <w:spacing w:val="-12"/>
          <w:sz w:val="16"/>
        </w:rPr>
        <w:t xml:space="preserve"> </w:t>
      </w:r>
      <w:r>
        <w:rPr>
          <w:sz w:val="16"/>
        </w:rPr>
        <w:t>(expediente de prueba, folios 2012, 2110 y</w:t>
      </w:r>
      <w:r>
        <w:rPr>
          <w:spacing w:val="-14"/>
          <w:sz w:val="16"/>
        </w:rPr>
        <w:t xml:space="preserve"> </w:t>
      </w:r>
      <w:r>
        <w:rPr>
          <w:sz w:val="16"/>
        </w:rPr>
        <w:t>2134).</w:t>
      </w:r>
    </w:p>
    <w:p w14:paraId="5F4BF26B" w14:textId="77777777" w:rsidR="00467FCA" w:rsidRDefault="001B68EB">
      <w:pPr>
        <w:ind w:left="119" w:right="112"/>
        <w:jc w:val="both"/>
        <w:rPr>
          <w:sz w:val="16"/>
        </w:rPr>
      </w:pPr>
      <w:bookmarkStart w:id="555" w:name="_bookmark480"/>
      <w:bookmarkEnd w:id="555"/>
      <w:r>
        <w:rPr>
          <w:position w:val="6"/>
          <w:sz w:val="10"/>
        </w:rPr>
        <w:t>403</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“Joseane Cunha Reis”. Asimismo, esta Corte encuentra que el nombre de esta persona corresponde al indicado en las pruebas aportadas aport</w:t>
      </w:r>
      <w:r>
        <w:rPr>
          <w:sz w:val="16"/>
        </w:rPr>
        <w:t>adas por los representantes (expediente de prueba, folio 1587) y por el Estado (expediente de prueba, folios 1999, 2032 y</w:t>
      </w:r>
      <w:r>
        <w:rPr>
          <w:spacing w:val="-22"/>
          <w:sz w:val="16"/>
        </w:rPr>
        <w:t xml:space="preserve"> </w:t>
      </w:r>
      <w:r>
        <w:rPr>
          <w:sz w:val="16"/>
        </w:rPr>
        <w:t>2155).</w:t>
      </w:r>
    </w:p>
    <w:p w14:paraId="7F9FC9A2" w14:textId="77777777" w:rsidR="00467FCA" w:rsidRDefault="001B68EB">
      <w:pPr>
        <w:ind w:left="119" w:right="114"/>
        <w:jc w:val="both"/>
        <w:rPr>
          <w:sz w:val="16"/>
        </w:rPr>
      </w:pPr>
      <w:bookmarkStart w:id="556" w:name="_bookmark481"/>
      <w:bookmarkEnd w:id="556"/>
      <w:r>
        <w:rPr>
          <w:position w:val="6"/>
          <w:sz w:val="10"/>
        </w:rPr>
        <w:t>404</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w:t>
      </w:r>
      <w:r>
        <w:rPr>
          <w:sz w:val="16"/>
        </w:rPr>
        <w:t xml:space="preserve"> ese listado, su nombre aparece reseñado como “Katia Silene Lima Bittencourt”. Sin embargo, esta Corte encuentra</w:t>
      </w:r>
      <w:r>
        <w:rPr>
          <w:spacing w:val="-16"/>
          <w:sz w:val="16"/>
        </w:rPr>
        <w:t xml:space="preserve"> </w:t>
      </w:r>
      <w:r>
        <w:rPr>
          <w:sz w:val="16"/>
        </w:rPr>
        <w:t>que</w:t>
      </w:r>
      <w:r>
        <w:rPr>
          <w:spacing w:val="-14"/>
          <w:sz w:val="16"/>
        </w:rPr>
        <w:t xml:space="preserve"> </w:t>
      </w:r>
      <w:r>
        <w:rPr>
          <w:sz w:val="16"/>
        </w:rPr>
        <w:t>el</w:t>
      </w:r>
      <w:r>
        <w:rPr>
          <w:spacing w:val="-16"/>
          <w:sz w:val="16"/>
        </w:rPr>
        <w:t xml:space="preserve"> </w:t>
      </w:r>
      <w:r>
        <w:rPr>
          <w:sz w:val="16"/>
        </w:rPr>
        <w:t>nombre</w:t>
      </w:r>
      <w:r>
        <w:rPr>
          <w:spacing w:val="-14"/>
          <w:sz w:val="16"/>
        </w:rPr>
        <w:t xml:space="preserve"> </w:t>
      </w:r>
      <w:r>
        <w:rPr>
          <w:sz w:val="16"/>
        </w:rPr>
        <w:t>de</w:t>
      </w:r>
      <w:r>
        <w:rPr>
          <w:spacing w:val="-14"/>
          <w:sz w:val="16"/>
        </w:rPr>
        <w:t xml:space="preserve"> </w:t>
      </w:r>
      <w:r>
        <w:rPr>
          <w:sz w:val="16"/>
        </w:rPr>
        <w:t>esta</w:t>
      </w:r>
      <w:r>
        <w:rPr>
          <w:spacing w:val="-14"/>
          <w:sz w:val="16"/>
        </w:rPr>
        <w:t xml:space="preserve"> </w:t>
      </w:r>
      <w:r>
        <w:rPr>
          <w:sz w:val="16"/>
        </w:rPr>
        <w:t>persona</w:t>
      </w:r>
      <w:r>
        <w:rPr>
          <w:spacing w:val="-15"/>
          <w:sz w:val="16"/>
        </w:rPr>
        <w:t xml:space="preserve"> </w:t>
      </w:r>
      <w:r>
        <w:rPr>
          <w:sz w:val="16"/>
        </w:rPr>
        <w:t>corresponde</w:t>
      </w:r>
      <w:r>
        <w:rPr>
          <w:spacing w:val="-15"/>
          <w:sz w:val="16"/>
        </w:rPr>
        <w:t xml:space="preserve"> </w:t>
      </w:r>
      <w:r>
        <w:rPr>
          <w:sz w:val="16"/>
        </w:rPr>
        <w:t>a</w:t>
      </w:r>
      <w:r>
        <w:rPr>
          <w:spacing w:val="-15"/>
          <w:sz w:val="16"/>
        </w:rPr>
        <w:t xml:space="preserve"> </w:t>
      </w:r>
      <w:r>
        <w:rPr>
          <w:sz w:val="16"/>
        </w:rPr>
        <w:t>“Kátia</w:t>
      </w:r>
      <w:r>
        <w:rPr>
          <w:spacing w:val="-13"/>
          <w:sz w:val="16"/>
        </w:rPr>
        <w:t xml:space="preserve"> </w:t>
      </w:r>
      <w:r>
        <w:rPr>
          <w:sz w:val="16"/>
        </w:rPr>
        <w:t>Silene</w:t>
      </w:r>
      <w:r>
        <w:rPr>
          <w:spacing w:val="-15"/>
          <w:sz w:val="16"/>
        </w:rPr>
        <w:t xml:space="preserve"> </w:t>
      </w:r>
      <w:r>
        <w:rPr>
          <w:sz w:val="16"/>
        </w:rPr>
        <w:t>Lima</w:t>
      </w:r>
      <w:r>
        <w:rPr>
          <w:spacing w:val="-15"/>
          <w:sz w:val="16"/>
        </w:rPr>
        <w:t xml:space="preserve"> </w:t>
      </w:r>
      <w:r>
        <w:rPr>
          <w:sz w:val="16"/>
        </w:rPr>
        <w:t>Bitttencourt”,</w:t>
      </w:r>
      <w:r>
        <w:rPr>
          <w:spacing w:val="-19"/>
          <w:sz w:val="16"/>
        </w:rPr>
        <w:t xml:space="preserve"> </w:t>
      </w:r>
      <w:r>
        <w:rPr>
          <w:sz w:val="16"/>
        </w:rPr>
        <w:t>según</w:t>
      </w:r>
      <w:r>
        <w:rPr>
          <w:spacing w:val="-13"/>
          <w:sz w:val="16"/>
        </w:rPr>
        <w:t xml:space="preserve"> </w:t>
      </w:r>
      <w:r>
        <w:rPr>
          <w:sz w:val="16"/>
        </w:rPr>
        <w:t>consta</w:t>
      </w:r>
      <w:r>
        <w:rPr>
          <w:spacing w:val="-15"/>
          <w:sz w:val="16"/>
        </w:rPr>
        <w:t xml:space="preserve"> </w:t>
      </w:r>
      <w:r>
        <w:rPr>
          <w:sz w:val="16"/>
        </w:rPr>
        <w:t>en</w:t>
      </w:r>
      <w:r>
        <w:rPr>
          <w:spacing w:val="-16"/>
          <w:sz w:val="16"/>
        </w:rPr>
        <w:t xml:space="preserve"> </w:t>
      </w:r>
      <w:r>
        <w:rPr>
          <w:sz w:val="16"/>
        </w:rPr>
        <w:t>las</w:t>
      </w:r>
      <w:r>
        <w:rPr>
          <w:spacing w:val="-14"/>
          <w:sz w:val="16"/>
        </w:rPr>
        <w:t xml:space="preserve"> </w:t>
      </w:r>
      <w:r>
        <w:rPr>
          <w:sz w:val="16"/>
        </w:rPr>
        <w:t>pruebas aportadas por los representantes (expediente de prueba, folio 1586) y por el Estado (expediente de prueba, folio 2324).</w:t>
      </w:r>
    </w:p>
    <w:p w14:paraId="30075918" w14:textId="77777777" w:rsidR="00467FCA" w:rsidRDefault="001B68EB">
      <w:pPr>
        <w:ind w:left="118" w:right="114" w:firstLine="1"/>
        <w:jc w:val="both"/>
        <w:rPr>
          <w:sz w:val="16"/>
        </w:rPr>
      </w:pPr>
      <w:bookmarkStart w:id="557" w:name="_bookmark482"/>
      <w:bookmarkEnd w:id="557"/>
      <w:r>
        <w:rPr>
          <w:position w:val="6"/>
          <w:sz w:val="10"/>
        </w:rPr>
        <w:t>405</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xml:space="preserve">. 25/18). En </w:t>
      </w:r>
      <w:r>
        <w:rPr>
          <w:sz w:val="16"/>
        </w:rPr>
        <w:t>ese listado, su nombre aparece reseñado como “Luciene Oliveira Santos”. Sin embargo, esta Corte encuentra</w:t>
      </w:r>
      <w:r>
        <w:rPr>
          <w:spacing w:val="-4"/>
          <w:sz w:val="16"/>
        </w:rPr>
        <w:t xml:space="preserve"> </w:t>
      </w:r>
      <w:r>
        <w:rPr>
          <w:sz w:val="16"/>
        </w:rPr>
        <w:t>que</w:t>
      </w:r>
      <w:r>
        <w:rPr>
          <w:spacing w:val="-2"/>
          <w:sz w:val="16"/>
        </w:rPr>
        <w:t xml:space="preserve"> </w:t>
      </w:r>
      <w:r>
        <w:rPr>
          <w:sz w:val="16"/>
        </w:rPr>
        <w:t>el</w:t>
      </w:r>
      <w:r>
        <w:rPr>
          <w:spacing w:val="-7"/>
          <w:sz w:val="16"/>
        </w:rPr>
        <w:t xml:space="preserve"> </w:t>
      </w:r>
      <w:r>
        <w:rPr>
          <w:sz w:val="16"/>
        </w:rPr>
        <w:t>nombre</w:t>
      </w:r>
      <w:r>
        <w:rPr>
          <w:spacing w:val="-5"/>
          <w:sz w:val="16"/>
        </w:rPr>
        <w:t xml:space="preserve"> </w:t>
      </w:r>
      <w:r>
        <w:rPr>
          <w:sz w:val="16"/>
        </w:rPr>
        <w:t>de</w:t>
      </w:r>
      <w:r>
        <w:rPr>
          <w:spacing w:val="-2"/>
          <w:sz w:val="16"/>
        </w:rPr>
        <w:t xml:space="preserve"> </w:t>
      </w:r>
      <w:r>
        <w:rPr>
          <w:sz w:val="16"/>
        </w:rPr>
        <w:t>esta</w:t>
      </w:r>
      <w:r>
        <w:rPr>
          <w:spacing w:val="-4"/>
          <w:sz w:val="16"/>
        </w:rPr>
        <w:t xml:space="preserve"> </w:t>
      </w:r>
      <w:r>
        <w:rPr>
          <w:sz w:val="16"/>
        </w:rPr>
        <w:t>persona</w:t>
      </w:r>
      <w:r>
        <w:rPr>
          <w:spacing w:val="-3"/>
          <w:sz w:val="16"/>
        </w:rPr>
        <w:t xml:space="preserve"> </w:t>
      </w:r>
      <w:r>
        <w:rPr>
          <w:sz w:val="16"/>
        </w:rPr>
        <w:t>corresponde</w:t>
      </w:r>
      <w:r>
        <w:rPr>
          <w:spacing w:val="-2"/>
          <w:sz w:val="16"/>
        </w:rPr>
        <w:t xml:space="preserve"> </w:t>
      </w:r>
      <w:r>
        <w:rPr>
          <w:sz w:val="16"/>
        </w:rPr>
        <w:t>a</w:t>
      </w:r>
      <w:r>
        <w:rPr>
          <w:spacing w:val="-7"/>
          <w:sz w:val="16"/>
        </w:rPr>
        <w:t xml:space="preserve"> </w:t>
      </w:r>
      <w:r>
        <w:rPr>
          <w:sz w:val="16"/>
        </w:rPr>
        <w:t>“Luciene</w:t>
      </w:r>
      <w:r>
        <w:rPr>
          <w:spacing w:val="-2"/>
          <w:sz w:val="16"/>
        </w:rPr>
        <w:t xml:space="preserve"> </w:t>
      </w:r>
      <w:r>
        <w:rPr>
          <w:sz w:val="16"/>
        </w:rPr>
        <w:t>Oliveira</w:t>
      </w:r>
      <w:r>
        <w:rPr>
          <w:spacing w:val="-6"/>
          <w:sz w:val="16"/>
        </w:rPr>
        <w:t xml:space="preserve"> </w:t>
      </w:r>
      <w:r>
        <w:rPr>
          <w:sz w:val="16"/>
        </w:rPr>
        <w:t>dos</w:t>
      </w:r>
      <w:r>
        <w:rPr>
          <w:spacing w:val="-6"/>
          <w:sz w:val="16"/>
        </w:rPr>
        <w:t xml:space="preserve"> </w:t>
      </w:r>
      <w:r>
        <w:rPr>
          <w:sz w:val="16"/>
        </w:rPr>
        <w:t>Santos”,</w:t>
      </w:r>
      <w:r>
        <w:rPr>
          <w:spacing w:val="-6"/>
          <w:sz w:val="16"/>
        </w:rPr>
        <w:t xml:space="preserve"> </w:t>
      </w:r>
      <w:r>
        <w:rPr>
          <w:sz w:val="16"/>
        </w:rPr>
        <w:t>según</w:t>
      </w:r>
      <w:r>
        <w:rPr>
          <w:spacing w:val="-4"/>
          <w:sz w:val="16"/>
        </w:rPr>
        <w:t xml:space="preserve"> </w:t>
      </w:r>
      <w:r>
        <w:rPr>
          <w:sz w:val="16"/>
        </w:rPr>
        <w:t>consta</w:t>
      </w:r>
      <w:r>
        <w:rPr>
          <w:spacing w:val="-6"/>
          <w:sz w:val="16"/>
        </w:rPr>
        <w:t xml:space="preserve"> </w:t>
      </w:r>
      <w:r>
        <w:rPr>
          <w:sz w:val="16"/>
        </w:rPr>
        <w:t>en</w:t>
      </w:r>
      <w:r>
        <w:rPr>
          <w:spacing w:val="-5"/>
          <w:sz w:val="16"/>
        </w:rPr>
        <w:t xml:space="preserve"> </w:t>
      </w:r>
      <w:r>
        <w:rPr>
          <w:sz w:val="16"/>
        </w:rPr>
        <w:t>las</w:t>
      </w:r>
      <w:r>
        <w:rPr>
          <w:spacing w:val="-5"/>
          <w:sz w:val="16"/>
        </w:rPr>
        <w:t xml:space="preserve"> </w:t>
      </w:r>
      <w:r>
        <w:rPr>
          <w:sz w:val="16"/>
        </w:rPr>
        <w:t>pruebas aportadas por los representantes (expediente de prueba, folio 1113) y por el Estado (expediente de prueba, folios</w:t>
      </w:r>
      <w:bookmarkStart w:id="558" w:name="_bookmark483"/>
      <w:bookmarkEnd w:id="558"/>
      <w:r>
        <w:rPr>
          <w:sz w:val="16"/>
        </w:rPr>
        <w:t xml:space="preserve"> 2052, 2117 y</w:t>
      </w:r>
      <w:r>
        <w:rPr>
          <w:spacing w:val="-5"/>
          <w:sz w:val="16"/>
        </w:rPr>
        <w:t xml:space="preserve"> </w:t>
      </w:r>
      <w:r>
        <w:rPr>
          <w:sz w:val="16"/>
        </w:rPr>
        <w:t>2342).</w:t>
      </w:r>
    </w:p>
    <w:p w14:paraId="24F1B055" w14:textId="77777777" w:rsidR="00467FCA" w:rsidRDefault="001B68EB">
      <w:pPr>
        <w:ind w:left="119" w:right="113"/>
        <w:jc w:val="both"/>
        <w:rPr>
          <w:sz w:val="16"/>
        </w:rPr>
      </w:pPr>
      <w:r>
        <w:rPr>
          <w:position w:val="6"/>
          <w:sz w:val="10"/>
        </w:rPr>
        <w:t>406</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“Luciene Ribeiro dos Santos”. Sin embargo, esta Corte encuentra que el nombre de esta persona corresponde a “Luciene dos Santos Ribeiro”, según consta en las pruebas aportadas</w:t>
      </w:r>
      <w:r>
        <w:rPr>
          <w:spacing w:val="6"/>
          <w:sz w:val="16"/>
        </w:rPr>
        <w:t xml:space="preserve"> </w:t>
      </w:r>
      <w:r>
        <w:rPr>
          <w:sz w:val="16"/>
        </w:rPr>
        <w:t>por</w:t>
      </w:r>
      <w:r>
        <w:rPr>
          <w:spacing w:val="7"/>
          <w:sz w:val="16"/>
        </w:rPr>
        <w:t xml:space="preserve"> </w:t>
      </w:r>
      <w:r>
        <w:rPr>
          <w:sz w:val="16"/>
        </w:rPr>
        <w:t>los</w:t>
      </w:r>
      <w:r>
        <w:rPr>
          <w:spacing w:val="6"/>
          <w:sz w:val="16"/>
        </w:rPr>
        <w:t xml:space="preserve"> </w:t>
      </w:r>
      <w:r>
        <w:rPr>
          <w:sz w:val="16"/>
        </w:rPr>
        <w:t>representantes</w:t>
      </w:r>
      <w:r>
        <w:rPr>
          <w:spacing w:val="9"/>
          <w:sz w:val="16"/>
        </w:rPr>
        <w:t xml:space="preserve"> </w:t>
      </w:r>
      <w:r>
        <w:rPr>
          <w:sz w:val="16"/>
        </w:rPr>
        <w:t>(expediente</w:t>
      </w:r>
      <w:r>
        <w:rPr>
          <w:spacing w:val="6"/>
          <w:sz w:val="16"/>
        </w:rPr>
        <w:t xml:space="preserve"> </w:t>
      </w:r>
      <w:r>
        <w:rPr>
          <w:sz w:val="16"/>
        </w:rPr>
        <w:t>de</w:t>
      </w:r>
      <w:r>
        <w:rPr>
          <w:spacing w:val="7"/>
          <w:sz w:val="16"/>
        </w:rPr>
        <w:t xml:space="preserve"> </w:t>
      </w:r>
      <w:r>
        <w:rPr>
          <w:sz w:val="16"/>
        </w:rPr>
        <w:t>prueba,</w:t>
      </w:r>
      <w:r>
        <w:rPr>
          <w:spacing w:val="5"/>
          <w:sz w:val="16"/>
        </w:rPr>
        <w:t xml:space="preserve"> </w:t>
      </w:r>
      <w:r>
        <w:rPr>
          <w:sz w:val="16"/>
        </w:rPr>
        <w:t>folio</w:t>
      </w:r>
      <w:r>
        <w:rPr>
          <w:spacing w:val="9"/>
          <w:sz w:val="16"/>
        </w:rPr>
        <w:t xml:space="preserve"> </w:t>
      </w:r>
      <w:r>
        <w:rPr>
          <w:sz w:val="16"/>
        </w:rPr>
        <w:t>1111)</w:t>
      </w:r>
      <w:r>
        <w:rPr>
          <w:spacing w:val="5"/>
          <w:sz w:val="16"/>
        </w:rPr>
        <w:t xml:space="preserve"> </w:t>
      </w:r>
      <w:r>
        <w:rPr>
          <w:sz w:val="16"/>
        </w:rPr>
        <w:t>y</w:t>
      </w:r>
      <w:r>
        <w:rPr>
          <w:spacing w:val="4"/>
          <w:sz w:val="16"/>
        </w:rPr>
        <w:t xml:space="preserve"> </w:t>
      </w:r>
      <w:r>
        <w:rPr>
          <w:sz w:val="16"/>
        </w:rPr>
        <w:t>por</w:t>
      </w:r>
      <w:r>
        <w:rPr>
          <w:spacing w:val="8"/>
          <w:sz w:val="16"/>
        </w:rPr>
        <w:t xml:space="preserve"> </w:t>
      </w:r>
      <w:r>
        <w:rPr>
          <w:sz w:val="16"/>
        </w:rPr>
        <w:t>el</w:t>
      </w:r>
      <w:r>
        <w:rPr>
          <w:spacing w:val="8"/>
          <w:sz w:val="16"/>
        </w:rPr>
        <w:t xml:space="preserve"> </w:t>
      </w:r>
      <w:r>
        <w:rPr>
          <w:sz w:val="16"/>
        </w:rPr>
        <w:t>Estado</w:t>
      </w:r>
      <w:r>
        <w:rPr>
          <w:spacing w:val="7"/>
          <w:sz w:val="16"/>
        </w:rPr>
        <w:t xml:space="preserve"> </w:t>
      </w:r>
      <w:r>
        <w:rPr>
          <w:sz w:val="16"/>
        </w:rPr>
        <w:t>(expediente</w:t>
      </w:r>
      <w:r>
        <w:rPr>
          <w:spacing w:val="6"/>
          <w:sz w:val="16"/>
        </w:rPr>
        <w:t xml:space="preserve"> </w:t>
      </w:r>
      <w:r>
        <w:rPr>
          <w:sz w:val="16"/>
        </w:rPr>
        <w:t>de</w:t>
      </w:r>
      <w:r>
        <w:rPr>
          <w:spacing w:val="6"/>
          <w:sz w:val="16"/>
        </w:rPr>
        <w:t xml:space="preserve"> </w:t>
      </w:r>
      <w:r>
        <w:rPr>
          <w:sz w:val="16"/>
        </w:rPr>
        <w:t>prueba,</w:t>
      </w:r>
      <w:r>
        <w:rPr>
          <w:spacing w:val="5"/>
          <w:sz w:val="16"/>
        </w:rPr>
        <w:t xml:space="preserve"> </w:t>
      </w:r>
      <w:r>
        <w:rPr>
          <w:sz w:val="16"/>
        </w:rPr>
        <w:t>folios</w:t>
      </w:r>
    </w:p>
    <w:p w14:paraId="670672B6" w14:textId="77777777" w:rsidR="00467FCA" w:rsidRDefault="00467FCA">
      <w:pPr>
        <w:jc w:val="both"/>
        <w:rPr>
          <w:sz w:val="16"/>
        </w:rPr>
        <w:sectPr w:rsidR="00467FCA">
          <w:pgSz w:w="12240" w:h="15840"/>
          <w:pgMar w:top="1440" w:right="1320" w:bottom="1220" w:left="1320" w:header="0" w:footer="957"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467FCA" w14:paraId="2B9DF735" w14:textId="77777777">
        <w:trPr>
          <w:trHeight w:val="299"/>
        </w:trPr>
        <w:tc>
          <w:tcPr>
            <w:tcW w:w="523" w:type="dxa"/>
          </w:tcPr>
          <w:p w14:paraId="7D6B950B" w14:textId="77777777" w:rsidR="00467FCA" w:rsidRDefault="001B68EB">
            <w:pPr>
              <w:pStyle w:val="TableParagraph"/>
              <w:ind w:left="71"/>
              <w:jc w:val="left"/>
              <w:rPr>
                <w:sz w:val="20"/>
              </w:rPr>
            </w:pPr>
            <w:r>
              <w:rPr>
                <w:sz w:val="20"/>
              </w:rPr>
              <w:t>33</w:t>
            </w:r>
          </w:p>
        </w:tc>
        <w:tc>
          <w:tcPr>
            <w:tcW w:w="6564" w:type="dxa"/>
          </w:tcPr>
          <w:p w14:paraId="2341BA8A" w14:textId="77777777" w:rsidR="00467FCA" w:rsidRDefault="001B68EB">
            <w:pPr>
              <w:pStyle w:val="TableParagraph"/>
              <w:ind w:left="69"/>
              <w:jc w:val="left"/>
              <w:rPr>
                <w:sz w:val="13"/>
              </w:rPr>
            </w:pPr>
            <w:r>
              <w:rPr>
                <w:sz w:val="20"/>
              </w:rPr>
              <w:t>Luzia dos Santos Ribeiro</w:t>
            </w:r>
            <w:hyperlink w:anchor="_bookmark484" w:history="1">
              <w:r>
                <w:rPr>
                  <w:position w:val="7"/>
                  <w:sz w:val="13"/>
                </w:rPr>
                <w:t>407</w:t>
              </w:r>
            </w:hyperlink>
          </w:p>
        </w:tc>
      </w:tr>
      <w:tr w:rsidR="00467FCA" w14:paraId="4E77E761" w14:textId="77777777">
        <w:trPr>
          <w:trHeight w:val="299"/>
        </w:trPr>
        <w:tc>
          <w:tcPr>
            <w:tcW w:w="523" w:type="dxa"/>
          </w:tcPr>
          <w:p w14:paraId="66217322" w14:textId="77777777" w:rsidR="00467FCA" w:rsidRDefault="001B68EB">
            <w:pPr>
              <w:pStyle w:val="TableParagraph"/>
              <w:ind w:left="71"/>
              <w:jc w:val="left"/>
              <w:rPr>
                <w:sz w:val="20"/>
              </w:rPr>
            </w:pPr>
            <w:r>
              <w:rPr>
                <w:sz w:val="20"/>
              </w:rPr>
              <w:t>34</w:t>
            </w:r>
          </w:p>
        </w:tc>
        <w:tc>
          <w:tcPr>
            <w:tcW w:w="6564" w:type="dxa"/>
          </w:tcPr>
          <w:p w14:paraId="2C4AD91D" w14:textId="77777777" w:rsidR="00467FCA" w:rsidRDefault="001B68EB">
            <w:pPr>
              <w:pStyle w:val="TableParagraph"/>
              <w:ind w:left="69"/>
              <w:jc w:val="left"/>
              <w:rPr>
                <w:sz w:val="13"/>
              </w:rPr>
            </w:pPr>
            <w:r>
              <w:rPr>
                <w:sz w:val="20"/>
              </w:rPr>
              <w:t>Mairla Santos Costa</w:t>
            </w:r>
            <w:hyperlink w:anchor="_bookmark485" w:history="1">
              <w:r>
                <w:rPr>
                  <w:position w:val="7"/>
                  <w:sz w:val="13"/>
                </w:rPr>
                <w:t>408</w:t>
              </w:r>
            </w:hyperlink>
          </w:p>
        </w:tc>
      </w:tr>
      <w:tr w:rsidR="00467FCA" w14:paraId="381E99E5" w14:textId="77777777">
        <w:trPr>
          <w:trHeight w:val="301"/>
        </w:trPr>
        <w:tc>
          <w:tcPr>
            <w:tcW w:w="523" w:type="dxa"/>
          </w:tcPr>
          <w:p w14:paraId="68F456C4" w14:textId="77777777" w:rsidR="00467FCA" w:rsidRDefault="001B68EB">
            <w:pPr>
              <w:pStyle w:val="TableParagraph"/>
              <w:ind w:left="71"/>
              <w:jc w:val="left"/>
              <w:rPr>
                <w:sz w:val="20"/>
              </w:rPr>
            </w:pPr>
            <w:r>
              <w:rPr>
                <w:sz w:val="20"/>
              </w:rPr>
              <w:t>35</w:t>
            </w:r>
          </w:p>
        </w:tc>
        <w:tc>
          <w:tcPr>
            <w:tcW w:w="6564" w:type="dxa"/>
          </w:tcPr>
          <w:p w14:paraId="00B197F1" w14:textId="77777777" w:rsidR="00467FCA" w:rsidRDefault="001B68EB">
            <w:pPr>
              <w:pStyle w:val="TableParagraph"/>
              <w:ind w:left="69"/>
              <w:jc w:val="left"/>
              <w:rPr>
                <w:sz w:val="13"/>
              </w:rPr>
            </w:pPr>
            <w:r>
              <w:rPr>
                <w:sz w:val="20"/>
              </w:rPr>
              <w:t>Maria Antonia de Jesus</w:t>
            </w:r>
            <w:hyperlink w:anchor="_bookmark486" w:history="1">
              <w:r>
                <w:rPr>
                  <w:position w:val="7"/>
                  <w:sz w:val="13"/>
                </w:rPr>
                <w:t>409</w:t>
              </w:r>
            </w:hyperlink>
          </w:p>
        </w:tc>
      </w:tr>
      <w:tr w:rsidR="00467FCA" w14:paraId="66850AE1" w14:textId="77777777">
        <w:trPr>
          <w:trHeight w:val="299"/>
        </w:trPr>
        <w:tc>
          <w:tcPr>
            <w:tcW w:w="523" w:type="dxa"/>
          </w:tcPr>
          <w:p w14:paraId="0902B984" w14:textId="77777777" w:rsidR="00467FCA" w:rsidRDefault="001B68EB">
            <w:pPr>
              <w:pStyle w:val="TableParagraph"/>
              <w:ind w:left="71"/>
              <w:jc w:val="left"/>
              <w:rPr>
                <w:sz w:val="20"/>
              </w:rPr>
            </w:pPr>
            <w:r>
              <w:rPr>
                <w:sz w:val="20"/>
              </w:rPr>
              <w:t>36</w:t>
            </w:r>
          </w:p>
        </w:tc>
        <w:tc>
          <w:tcPr>
            <w:tcW w:w="6564" w:type="dxa"/>
          </w:tcPr>
          <w:p w14:paraId="4893BB4B" w14:textId="77777777" w:rsidR="00467FCA" w:rsidRDefault="001B68EB">
            <w:pPr>
              <w:pStyle w:val="TableParagraph"/>
              <w:ind w:left="69"/>
              <w:jc w:val="left"/>
              <w:rPr>
                <w:sz w:val="13"/>
              </w:rPr>
            </w:pPr>
            <w:r>
              <w:rPr>
                <w:sz w:val="20"/>
              </w:rPr>
              <w:t>Maria Aparecida de Jesus Santos</w:t>
            </w:r>
            <w:hyperlink w:anchor="_bookmark487" w:history="1">
              <w:r>
                <w:rPr>
                  <w:position w:val="7"/>
                  <w:sz w:val="13"/>
                </w:rPr>
                <w:t>410</w:t>
              </w:r>
            </w:hyperlink>
          </w:p>
        </w:tc>
      </w:tr>
      <w:tr w:rsidR="00467FCA" w14:paraId="22BD9702" w14:textId="77777777">
        <w:trPr>
          <w:trHeight w:val="299"/>
        </w:trPr>
        <w:tc>
          <w:tcPr>
            <w:tcW w:w="523" w:type="dxa"/>
          </w:tcPr>
          <w:p w14:paraId="18FF4364" w14:textId="77777777" w:rsidR="00467FCA" w:rsidRDefault="001B68EB">
            <w:pPr>
              <w:pStyle w:val="TableParagraph"/>
              <w:ind w:left="71"/>
              <w:jc w:val="left"/>
              <w:rPr>
                <w:sz w:val="20"/>
              </w:rPr>
            </w:pPr>
            <w:r>
              <w:rPr>
                <w:sz w:val="20"/>
              </w:rPr>
              <w:t>37</w:t>
            </w:r>
          </w:p>
        </w:tc>
        <w:tc>
          <w:tcPr>
            <w:tcW w:w="6564" w:type="dxa"/>
          </w:tcPr>
          <w:p w14:paraId="13C90B27" w14:textId="77777777" w:rsidR="00467FCA" w:rsidRDefault="001B68EB">
            <w:pPr>
              <w:pStyle w:val="TableParagraph"/>
              <w:ind w:left="69"/>
              <w:jc w:val="left"/>
              <w:rPr>
                <w:sz w:val="13"/>
              </w:rPr>
            </w:pPr>
            <w:r>
              <w:rPr>
                <w:sz w:val="20"/>
              </w:rPr>
              <w:t xml:space="preserve">Maria Creuza Machado dos Santos </w:t>
            </w:r>
            <w:hyperlink w:anchor="_bookmark488" w:history="1">
              <w:r>
                <w:rPr>
                  <w:position w:val="7"/>
                  <w:sz w:val="13"/>
                </w:rPr>
                <w:t>411</w:t>
              </w:r>
            </w:hyperlink>
          </w:p>
        </w:tc>
      </w:tr>
      <w:tr w:rsidR="00467FCA" w14:paraId="3A608A48" w14:textId="77777777">
        <w:trPr>
          <w:trHeight w:val="299"/>
        </w:trPr>
        <w:tc>
          <w:tcPr>
            <w:tcW w:w="523" w:type="dxa"/>
          </w:tcPr>
          <w:p w14:paraId="5E56F846" w14:textId="77777777" w:rsidR="00467FCA" w:rsidRDefault="001B68EB">
            <w:pPr>
              <w:pStyle w:val="TableParagraph"/>
              <w:ind w:left="71"/>
              <w:jc w:val="left"/>
              <w:rPr>
                <w:sz w:val="20"/>
              </w:rPr>
            </w:pPr>
            <w:r>
              <w:rPr>
                <w:sz w:val="20"/>
              </w:rPr>
              <w:t>38</w:t>
            </w:r>
          </w:p>
        </w:tc>
        <w:tc>
          <w:tcPr>
            <w:tcW w:w="6564" w:type="dxa"/>
          </w:tcPr>
          <w:p w14:paraId="497F7962" w14:textId="77777777" w:rsidR="00467FCA" w:rsidRDefault="001B68EB">
            <w:pPr>
              <w:pStyle w:val="TableParagraph"/>
              <w:ind w:left="69"/>
              <w:jc w:val="left"/>
              <w:rPr>
                <w:sz w:val="13"/>
              </w:rPr>
            </w:pPr>
            <w:r>
              <w:rPr>
                <w:sz w:val="20"/>
              </w:rPr>
              <w:t>Maria das Graças Santos de Jesus</w:t>
            </w:r>
            <w:hyperlink w:anchor="_bookmark489" w:history="1">
              <w:r>
                <w:rPr>
                  <w:position w:val="7"/>
                  <w:sz w:val="13"/>
                </w:rPr>
                <w:t>412</w:t>
              </w:r>
            </w:hyperlink>
          </w:p>
        </w:tc>
      </w:tr>
      <w:tr w:rsidR="00467FCA" w14:paraId="69147BD8" w14:textId="77777777">
        <w:trPr>
          <w:trHeight w:val="299"/>
        </w:trPr>
        <w:tc>
          <w:tcPr>
            <w:tcW w:w="523" w:type="dxa"/>
          </w:tcPr>
          <w:p w14:paraId="24A5B24B" w14:textId="77777777" w:rsidR="00467FCA" w:rsidRDefault="001B68EB">
            <w:pPr>
              <w:pStyle w:val="TableParagraph"/>
              <w:ind w:left="71"/>
              <w:jc w:val="left"/>
              <w:rPr>
                <w:sz w:val="20"/>
              </w:rPr>
            </w:pPr>
            <w:r>
              <w:rPr>
                <w:sz w:val="20"/>
              </w:rPr>
              <w:t>39</w:t>
            </w:r>
          </w:p>
        </w:tc>
        <w:tc>
          <w:tcPr>
            <w:tcW w:w="6564" w:type="dxa"/>
          </w:tcPr>
          <w:p w14:paraId="03B59B53" w14:textId="77777777" w:rsidR="00467FCA" w:rsidRDefault="001B68EB">
            <w:pPr>
              <w:pStyle w:val="TableParagraph"/>
              <w:ind w:left="69"/>
              <w:jc w:val="left"/>
              <w:rPr>
                <w:sz w:val="13"/>
              </w:rPr>
            </w:pPr>
            <w:r>
              <w:rPr>
                <w:sz w:val="20"/>
              </w:rPr>
              <w:t xml:space="preserve">Maria de Lourdes Jesus Santos </w:t>
            </w:r>
            <w:hyperlink w:anchor="_bookmark490" w:history="1">
              <w:r>
                <w:rPr>
                  <w:position w:val="7"/>
                  <w:sz w:val="13"/>
                </w:rPr>
                <w:t>413</w:t>
              </w:r>
            </w:hyperlink>
          </w:p>
        </w:tc>
      </w:tr>
      <w:tr w:rsidR="00467FCA" w14:paraId="797EC9AF" w14:textId="77777777">
        <w:trPr>
          <w:trHeight w:val="299"/>
        </w:trPr>
        <w:tc>
          <w:tcPr>
            <w:tcW w:w="523" w:type="dxa"/>
          </w:tcPr>
          <w:p w14:paraId="51DFEC41" w14:textId="77777777" w:rsidR="00467FCA" w:rsidRDefault="001B68EB">
            <w:pPr>
              <w:pStyle w:val="TableParagraph"/>
              <w:ind w:left="71"/>
              <w:jc w:val="left"/>
              <w:rPr>
                <w:sz w:val="20"/>
              </w:rPr>
            </w:pPr>
            <w:r>
              <w:rPr>
                <w:sz w:val="20"/>
              </w:rPr>
              <w:t>40</w:t>
            </w:r>
          </w:p>
        </w:tc>
        <w:tc>
          <w:tcPr>
            <w:tcW w:w="6564" w:type="dxa"/>
          </w:tcPr>
          <w:p w14:paraId="16774AD7" w14:textId="77777777" w:rsidR="00467FCA" w:rsidRDefault="001B68EB">
            <w:pPr>
              <w:pStyle w:val="TableParagraph"/>
              <w:ind w:left="69"/>
              <w:jc w:val="left"/>
              <w:rPr>
                <w:sz w:val="13"/>
              </w:rPr>
            </w:pPr>
            <w:r>
              <w:rPr>
                <w:sz w:val="20"/>
              </w:rPr>
              <w:t>Maria Dionice Santana da Cruz</w:t>
            </w:r>
            <w:hyperlink w:anchor="_bookmark491" w:history="1">
              <w:r>
                <w:rPr>
                  <w:position w:val="7"/>
                  <w:sz w:val="13"/>
                </w:rPr>
                <w:t>414</w:t>
              </w:r>
            </w:hyperlink>
          </w:p>
        </w:tc>
      </w:tr>
      <w:tr w:rsidR="00467FCA" w14:paraId="08981CB6" w14:textId="77777777">
        <w:trPr>
          <w:trHeight w:val="302"/>
        </w:trPr>
        <w:tc>
          <w:tcPr>
            <w:tcW w:w="523" w:type="dxa"/>
          </w:tcPr>
          <w:p w14:paraId="100C2587" w14:textId="77777777" w:rsidR="00467FCA" w:rsidRDefault="001B68EB">
            <w:pPr>
              <w:pStyle w:val="TableParagraph"/>
              <w:ind w:left="71"/>
              <w:jc w:val="left"/>
              <w:rPr>
                <w:sz w:val="20"/>
              </w:rPr>
            </w:pPr>
            <w:r>
              <w:rPr>
                <w:sz w:val="20"/>
              </w:rPr>
              <w:t>41</w:t>
            </w:r>
          </w:p>
        </w:tc>
        <w:tc>
          <w:tcPr>
            <w:tcW w:w="6564" w:type="dxa"/>
          </w:tcPr>
          <w:p w14:paraId="3D0875B3" w14:textId="77777777" w:rsidR="00467FCA" w:rsidRDefault="001B68EB">
            <w:pPr>
              <w:pStyle w:val="TableParagraph"/>
              <w:ind w:left="69"/>
              <w:jc w:val="left"/>
              <w:rPr>
                <w:sz w:val="13"/>
              </w:rPr>
            </w:pPr>
            <w:r>
              <w:rPr>
                <w:sz w:val="20"/>
              </w:rPr>
              <w:t>Maria Joelia de Jesus Santos</w:t>
            </w:r>
            <w:hyperlink w:anchor="_bookmark492" w:history="1">
              <w:r>
                <w:rPr>
                  <w:position w:val="7"/>
                  <w:sz w:val="13"/>
                </w:rPr>
                <w:t>415</w:t>
              </w:r>
            </w:hyperlink>
          </w:p>
        </w:tc>
      </w:tr>
      <w:tr w:rsidR="00467FCA" w14:paraId="27B1D281" w14:textId="77777777">
        <w:trPr>
          <w:trHeight w:val="299"/>
        </w:trPr>
        <w:tc>
          <w:tcPr>
            <w:tcW w:w="523" w:type="dxa"/>
          </w:tcPr>
          <w:p w14:paraId="4E922CEF" w14:textId="77777777" w:rsidR="00467FCA" w:rsidRDefault="001B68EB">
            <w:pPr>
              <w:pStyle w:val="TableParagraph"/>
              <w:ind w:left="71"/>
              <w:jc w:val="left"/>
              <w:rPr>
                <w:sz w:val="20"/>
              </w:rPr>
            </w:pPr>
            <w:r>
              <w:rPr>
                <w:sz w:val="20"/>
              </w:rPr>
              <w:t>42</w:t>
            </w:r>
          </w:p>
        </w:tc>
        <w:tc>
          <w:tcPr>
            <w:tcW w:w="6564" w:type="dxa"/>
          </w:tcPr>
          <w:p w14:paraId="58D2BD37" w14:textId="77777777" w:rsidR="00467FCA" w:rsidRDefault="001B68EB">
            <w:pPr>
              <w:pStyle w:val="TableParagraph"/>
              <w:ind w:left="69"/>
              <w:jc w:val="left"/>
              <w:rPr>
                <w:sz w:val="13"/>
              </w:rPr>
            </w:pPr>
            <w:r>
              <w:rPr>
                <w:sz w:val="20"/>
              </w:rPr>
              <w:t>Maria José Bispo dos Santos</w:t>
            </w:r>
            <w:hyperlink w:anchor="_bookmark493" w:history="1">
              <w:r>
                <w:rPr>
                  <w:position w:val="7"/>
                  <w:sz w:val="13"/>
                </w:rPr>
                <w:t>416</w:t>
              </w:r>
            </w:hyperlink>
          </w:p>
        </w:tc>
      </w:tr>
      <w:tr w:rsidR="00467FCA" w14:paraId="4AB9FFA1" w14:textId="77777777">
        <w:trPr>
          <w:trHeight w:val="299"/>
        </w:trPr>
        <w:tc>
          <w:tcPr>
            <w:tcW w:w="523" w:type="dxa"/>
          </w:tcPr>
          <w:p w14:paraId="6BE56B70" w14:textId="77777777" w:rsidR="00467FCA" w:rsidRDefault="001B68EB">
            <w:pPr>
              <w:pStyle w:val="TableParagraph"/>
              <w:ind w:left="71"/>
              <w:jc w:val="left"/>
              <w:rPr>
                <w:sz w:val="20"/>
              </w:rPr>
            </w:pPr>
            <w:r>
              <w:rPr>
                <w:sz w:val="20"/>
              </w:rPr>
              <w:t>43</w:t>
            </w:r>
          </w:p>
        </w:tc>
        <w:tc>
          <w:tcPr>
            <w:tcW w:w="6564" w:type="dxa"/>
          </w:tcPr>
          <w:p w14:paraId="5B5799F4" w14:textId="77777777" w:rsidR="00467FCA" w:rsidRDefault="001B68EB">
            <w:pPr>
              <w:pStyle w:val="TableParagraph"/>
              <w:ind w:left="69"/>
              <w:jc w:val="left"/>
              <w:rPr>
                <w:sz w:val="13"/>
              </w:rPr>
            </w:pPr>
            <w:r>
              <w:rPr>
                <w:sz w:val="20"/>
              </w:rPr>
              <w:t>Maria José Nascimento Almeida</w:t>
            </w:r>
            <w:hyperlink w:anchor="_bookmark494" w:history="1">
              <w:r>
                <w:rPr>
                  <w:position w:val="7"/>
                  <w:sz w:val="13"/>
                </w:rPr>
                <w:t>417</w:t>
              </w:r>
            </w:hyperlink>
          </w:p>
        </w:tc>
      </w:tr>
    </w:tbl>
    <w:p w14:paraId="5C90A318" w14:textId="77777777" w:rsidR="00467FCA" w:rsidRDefault="001B68EB">
      <w:pPr>
        <w:pStyle w:val="Textoindependiente"/>
        <w:spacing w:before="3"/>
      </w:pPr>
      <w:r>
        <w:pict w14:anchorId="1BAA43B5">
          <v:shape id="_x0000_s1115" style="position:absolute;margin-left:1in;margin-top:14.6pt;width:2in;height:.1pt;z-index:-251575296;mso-wrap-distance-left:0;mso-wrap-distance-right:0;mso-position-horizontal-relative:page;mso-position-vertical-relative:text" coordorigin="1440,292" coordsize="2880,0" path="m1440,292r2880,e" filled="f" strokeweight=".21131mm">
            <v:path arrowok="t"/>
            <w10:wrap type="topAndBottom" anchorx="page"/>
          </v:shape>
        </w:pict>
      </w:r>
    </w:p>
    <w:p w14:paraId="33CDC73B" w14:textId="77777777" w:rsidR="00467FCA" w:rsidRDefault="001B68EB">
      <w:pPr>
        <w:spacing w:before="74"/>
        <w:ind w:left="120"/>
        <w:jc w:val="both"/>
        <w:rPr>
          <w:sz w:val="16"/>
        </w:rPr>
      </w:pPr>
      <w:r>
        <w:rPr>
          <w:sz w:val="16"/>
        </w:rPr>
        <w:t>2015, 2126 y 2213).</w:t>
      </w:r>
    </w:p>
    <w:p w14:paraId="7860F168" w14:textId="77777777" w:rsidR="00467FCA" w:rsidRDefault="001B68EB">
      <w:pPr>
        <w:ind w:left="119" w:right="113"/>
        <w:jc w:val="both"/>
        <w:rPr>
          <w:sz w:val="16"/>
        </w:rPr>
      </w:pPr>
      <w:bookmarkStart w:id="559" w:name="_bookmark484"/>
      <w:bookmarkEnd w:id="559"/>
      <w:r>
        <w:rPr>
          <w:position w:val="6"/>
          <w:sz w:val="10"/>
        </w:rPr>
        <w:t>407</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xml:space="preserve">. 25/18). En ese listado, su nombre aparece reseñado como “Luzia dos Santos Ribeiro”. Asimismo, esta Corte encuentra que el nombre de esta persona corresponde al indicado en las pruebas aportadas por los </w:t>
      </w:r>
      <w:r>
        <w:rPr>
          <w:sz w:val="16"/>
        </w:rPr>
        <w:t>representantes (expediente de prueba, folio 1111) y por el Estado (expediente de prueba, folios 2008, 2136 y</w:t>
      </w:r>
      <w:r>
        <w:rPr>
          <w:spacing w:val="-22"/>
          <w:sz w:val="16"/>
        </w:rPr>
        <w:t xml:space="preserve"> </w:t>
      </w:r>
      <w:r>
        <w:rPr>
          <w:sz w:val="16"/>
        </w:rPr>
        <w:t>2239).</w:t>
      </w:r>
    </w:p>
    <w:p w14:paraId="3A1A0DDB" w14:textId="77777777" w:rsidR="00467FCA" w:rsidRDefault="001B68EB">
      <w:pPr>
        <w:ind w:left="119" w:right="114"/>
        <w:jc w:val="both"/>
        <w:rPr>
          <w:sz w:val="16"/>
        </w:rPr>
      </w:pPr>
      <w:bookmarkStart w:id="560" w:name="_bookmark485"/>
      <w:bookmarkEnd w:id="560"/>
      <w:r>
        <w:rPr>
          <w:position w:val="6"/>
          <w:sz w:val="10"/>
        </w:rPr>
        <w:t>408</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w:t>
      </w:r>
      <w:r>
        <w:rPr>
          <w:sz w:val="16"/>
        </w:rPr>
        <w:t xml:space="preserve"> su nombre aparece reseñado como “Mairla de Jesus Santos Costa”. Sin embargo, esta Corte encuentra que el nombre de esta persona corresponde a “Mairla Santos Costa”, según consta en las pruebas aportadas por los representantes (expediente de prueba, folio </w:t>
      </w:r>
      <w:r>
        <w:rPr>
          <w:sz w:val="16"/>
        </w:rPr>
        <w:t>1114) y por el Estado (expediente de prueba, folios</w:t>
      </w:r>
      <w:bookmarkStart w:id="561" w:name="_bookmark486"/>
      <w:bookmarkEnd w:id="561"/>
      <w:r>
        <w:rPr>
          <w:sz w:val="16"/>
        </w:rPr>
        <w:t xml:space="preserve"> 1993, 2063 y</w:t>
      </w:r>
      <w:r>
        <w:rPr>
          <w:spacing w:val="-5"/>
          <w:sz w:val="16"/>
        </w:rPr>
        <w:t xml:space="preserve"> </w:t>
      </w:r>
      <w:r>
        <w:rPr>
          <w:sz w:val="16"/>
        </w:rPr>
        <w:t>2140).</w:t>
      </w:r>
    </w:p>
    <w:p w14:paraId="149253C4" w14:textId="77777777" w:rsidR="00467FCA" w:rsidRDefault="001B68EB">
      <w:pPr>
        <w:ind w:left="119" w:right="114"/>
        <w:jc w:val="both"/>
        <w:rPr>
          <w:sz w:val="16"/>
        </w:rPr>
      </w:pPr>
      <w:r>
        <w:rPr>
          <w:position w:val="6"/>
          <w:sz w:val="10"/>
        </w:rPr>
        <w:t>409</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Antonia Santos Souza”. Sin embargo, esta Corte encuentra que el nombre de esta persona corresponde a “Maria Antonia de Jesus”, según consta en las pruebas</w:t>
      </w:r>
      <w:bookmarkStart w:id="562" w:name="_bookmark487"/>
      <w:bookmarkEnd w:id="562"/>
      <w:r>
        <w:rPr>
          <w:sz w:val="16"/>
        </w:rPr>
        <w:t xml:space="preserve"> aportadas por el Estado (expediente </w:t>
      </w:r>
      <w:r>
        <w:rPr>
          <w:sz w:val="16"/>
        </w:rPr>
        <w:t>de prueba, folios 1998, 2095 y</w:t>
      </w:r>
      <w:r>
        <w:rPr>
          <w:spacing w:val="-11"/>
          <w:sz w:val="16"/>
        </w:rPr>
        <w:t xml:space="preserve"> </w:t>
      </w:r>
      <w:r>
        <w:rPr>
          <w:sz w:val="16"/>
        </w:rPr>
        <w:t>2174).</w:t>
      </w:r>
    </w:p>
    <w:p w14:paraId="4CA44B70" w14:textId="77777777" w:rsidR="00467FCA" w:rsidRDefault="001B68EB">
      <w:pPr>
        <w:ind w:left="118" w:right="114" w:firstLine="1"/>
        <w:jc w:val="both"/>
        <w:rPr>
          <w:sz w:val="16"/>
        </w:rPr>
      </w:pPr>
      <w:r>
        <w:rPr>
          <w:position w:val="6"/>
          <w:sz w:val="10"/>
        </w:rPr>
        <w:t>410</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4"/>
          <w:sz w:val="16"/>
        </w:rPr>
        <w:t xml:space="preserve"> </w:t>
      </w:r>
      <w:r>
        <w:rPr>
          <w:sz w:val="16"/>
        </w:rPr>
        <w:t>En</w:t>
      </w:r>
      <w:r>
        <w:rPr>
          <w:spacing w:val="-6"/>
          <w:sz w:val="16"/>
        </w:rPr>
        <w:t xml:space="preserve"> </w:t>
      </w:r>
      <w:r>
        <w:rPr>
          <w:sz w:val="16"/>
        </w:rPr>
        <w:t>ese</w:t>
      </w:r>
      <w:r>
        <w:rPr>
          <w:spacing w:val="-5"/>
          <w:sz w:val="16"/>
        </w:rPr>
        <w:t xml:space="preserve"> </w:t>
      </w:r>
      <w:r>
        <w:rPr>
          <w:sz w:val="16"/>
        </w:rPr>
        <w:t>listado,</w:t>
      </w:r>
      <w:r>
        <w:rPr>
          <w:spacing w:val="-6"/>
          <w:sz w:val="16"/>
        </w:rPr>
        <w:t xml:space="preserve"> </w:t>
      </w:r>
      <w:r>
        <w:rPr>
          <w:sz w:val="16"/>
        </w:rPr>
        <w:t>su</w:t>
      </w:r>
      <w:r>
        <w:rPr>
          <w:spacing w:val="-4"/>
          <w:sz w:val="16"/>
        </w:rPr>
        <w:t xml:space="preserve"> </w:t>
      </w:r>
      <w:r>
        <w:rPr>
          <w:sz w:val="16"/>
        </w:rPr>
        <w:t>nombre</w:t>
      </w:r>
      <w:r>
        <w:rPr>
          <w:spacing w:val="-5"/>
          <w:sz w:val="16"/>
        </w:rPr>
        <w:t xml:space="preserve"> </w:t>
      </w:r>
      <w:r>
        <w:rPr>
          <w:sz w:val="16"/>
        </w:rPr>
        <w:t>aparece</w:t>
      </w:r>
      <w:r>
        <w:rPr>
          <w:spacing w:val="-5"/>
          <w:sz w:val="16"/>
        </w:rPr>
        <w:t xml:space="preserve"> </w:t>
      </w:r>
      <w:r>
        <w:rPr>
          <w:sz w:val="16"/>
        </w:rPr>
        <w:t>reseñado</w:t>
      </w:r>
      <w:r>
        <w:rPr>
          <w:spacing w:val="-4"/>
          <w:sz w:val="16"/>
        </w:rPr>
        <w:t xml:space="preserve"> </w:t>
      </w:r>
      <w:r>
        <w:rPr>
          <w:sz w:val="16"/>
        </w:rPr>
        <w:t>como</w:t>
      </w:r>
      <w:r>
        <w:rPr>
          <w:spacing w:val="-4"/>
          <w:sz w:val="16"/>
        </w:rPr>
        <w:t xml:space="preserve"> </w:t>
      </w:r>
      <w:r>
        <w:rPr>
          <w:sz w:val="16"/>
        </w:rPr>
        <w:t>“Maria</w:t>
      </w:r>
      <w:r>
        <w:rPr>
          <w:spacing w:val="-3"/>
          <w:sz w:val="16"/>
        </w:rPr>
        <w:t xml:space="preserve"> </w:t>
      </w:r>
      <w:r>
        <w:rPr>
          <w:sz w:val="16"/>
        </w:rPr>
        <w:t>Aparecida</w:t>
      </w:r>
      <w:r>
        <w:rPr>
          <w:spacing w:val="-6"/>
          <w:sz w:val="16"/>
        </w:rPr>
        <w:t xml:space="preserve"> </w:t>
      </w:r>
      <w:r>
        <w:rPr>
          <w:sz w:val="16"/>
        </w:rPr>
        <w:t>de</w:t>
      </w:r>
      <w:r>
        <w:rPr>
          <w:spacing w:val="-5"/>
          <w:sz w:val="16"/>
        </w:rPr>
        <w:t xml:space="preserve"> </w:t>
      </w:r>
      <w:r>
        <w:rPr>
          <w:sz w:val="16"/>
        </w:rPr>
        <w:t>Jesus</w:t>
      </w:r>
      <w:r>
        <w:rPr>
          <w:spacing w:val="-5"/>
          <w:sz w:val="16"/>
        </w:rPr>
        <w:t xml:space="preserve"> </w:t>
      </w:r>
      <w:r>
        <w:rPr>
          <w:sz w:val="16"/>
        </w:rPr>
        <w:t>Santos”.</w:t>
      </w:r>
      <w:r>
        <w:rPr>
          <w:spacing w:val="-4"/>
          <w:sz w:val="16"/>
        </w:rPr>
        <w:t xml:space="preserve"> </w:t>
      </w:r>
      <w:r>
        <w:rPr>
          <w:sz w:val="16"/>
        </w:rPr>
        <w:t>Asimismo,</w:t>
      </w:r>
      <w:r>
        <w:rPr>
          <w:spacing w:val="-6"/>
          <w:sz w:val="16"/>
        </w:rPr>
        <w:t xml:space="preserve"> </w:t>
      </w:r>
      <w:r>
        <w:rPr>
          <w:sz w:val="16"/>
        </w:rPr>
        <w:t>esta</w:t>
      </w:r>
      <w:r>
        <w:rPr>
          <w:spacing w:val="-6"/>
          <w:sz w:val="16"/>
        </w:rPr>
        <w:t xml:space="preserve"> </w:t>
      </w:r>
      <w:r>
        <w:rPr>
          <w:sz w:val="16"/>
        </w:rPr>
        <w:t>Corte encuentra que el nombre de esta persona corresponde al indicado en las pruebas aportadas por los representantes</w:t>
      </w:r>
      <w:bookmarkStart w:id="563" w:name="_bookmark488"/>
      <w:bookmarkEnd w:id="563"/>
      <w:r>
        <w:rPr>
          <w:sz w:val="16"/>
        </w:rPr>
        <w:t xml:space="preserve"> (expediente de prueba, folio 1114) y por el Estado (expediente de prueba, folios 1967, 2044 y</w:t>
      </w:r>
      <w:r>
        <w:rPr>
          <w:spacing w:val="-22"/>
          <w:sz w:val="16"/>
        </w:rPr>
        <w:t xml:space="preserve"> </w:t>
      </w:r>
      <w:r>
        <w:rPr>
          <w:sz w:val="16"/>
        </w:rPr>
        <w:t>2139).</w:t>
      </w:r>
    </w:p>
    <w:p w14:paraId="55EEDB3B" w14:textId="77777777" w:rsidR="00467FCA" w:rsidRDefault="001B68EB">
      <w:pPr>
        <w:ind w:left="119" w:right="114"/>
        <w:jc w:val="both"/>
        <w:rPr>
          <w:sz w:val="16"/>
        </w:rPr>
      </w:pPr>
      <w:r>
        <w:rPr>
          <w:position w:val="6"/>
          <w:sz w:val="10"/>
        </w:rPr>
        <w:t>411</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w:t>
      </w:r>
      <w:r>
        <w:rPr>
          <w:sz w:val="16"/>
        </w:rPr>
        <w:t>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6"/>
          <w:sz w:val="16"/>
        </w:rPr>
        <w:t xml:space="preserve"> </w:t>
      </w:r>
      <w:r>
        <w:rPr>
          <w:sz w:val="16"/>
        </w:rPr>
        <w:t>En</w:t>
      </w:r>
      <w:r>
        <w:rPr>
          <w:spacing w:val="-8"/>
          <w:sz w:val="16"/>
        </w:rPr>
        <w:t xml:space="preserve"> </w:t>
      </w:r>
      <w:r>
        <w:rPr>
          <w:sz w:val="16"/>
        </w:rPr>
        <w:t>ese</w:t>
      </w:r>
      <w:r>
        <w:rPr>
          <w:spacing w:val="-7"/>
          <w:sz w:val="16"/>
        </w:rPr>
        <w:t xml:space="preserve"> </w:t>
      </w:r>
      <w:r>
        <w:rPr>
          <w:sz w:val="16"/>
        </w:rPr>
        <w:t>listado,</w:t>
      </w:r>
      <w:r>
        <w:rPr>
          <w:spacing w:val="-8"/>
          <w:sz w:val="16"/>
        </w:rPr>
        <w:t xml:space="preserve"> </w:t>
      </w:r>
      <w:r>
        <w:rPr>
          <w:sz w:val="16"/>
        </w:rPr>
        <w:t>su</w:t>
      </w:r>
      <w:r>
        <w:rPr>
          <w:spacing w:val="-5"/>
          <w:sz w:val="16"/>
        </w:rPr>
        <w:t xml:space="preserve"> </w:t>
      </w:r>
      <w:r>
        <w:rPr>
          <w:sz w:val="16"/>
        </w:rPr>
        <w:t>nombre</w:t>
      </w:r>
      <w:r>
        <w:rPr>
          <w:spacing w:val="-7"/>
          <w:sz w:val="16"/>
        </w:rPr>
        <w:t xml:space="preserve"> </w:t>
      </w:r>
      <w:r>
        <w:rPr>
          <w:sz w:val="16"/>
        </w:rPr>
        <w:t>aparece</w:t>
      </w:r>
      <w:r>
        <w:rPr>
          <w:spacing w:val="-7"/>
          <w:sz w:val="16"/>
        </w:rPr>
        <w:t xml:space="preserve"> </w:t>
      </w:r>
      <w:r>
        <w:rPr>
          <w:sz w:val="16"/>
        </w:rPr>
        <w:t>reseñado</w:t>
      </w:r>
      <w:r>
        <w:rPr>
          <w:spacing w:val="-7"/>
          <w:sz w:val="16"/>
        </w:rPr>
        <w:t xml:space="preserve"> </w:t>
      </w:r>
      <w:r>
        <w:rPr>
          <w:sz w:val="16"/>
        </w:rPr>
        <w:t>como</w:t>
      </w:r>
      <w:r>
        <w:rPr>
          <w:spacing w:val="-9"/>
          <w:sz w:val="16"/>
        </w:rPr>
        <w:t xml:space="preserve"> </w:t>
      </w:r>
      <w:r>
        <w:rPr>
          <w:sz w:val="16"/>
        </w:rPr>
        <w:t>“Maria</w:t>
      </w:r>
      <w:r>
        <w:rPr>
          <w:spacing w:val="-5"/>
          <w:sz w:val="16"/>
        </w:rPr>
        <w:t xml:space="preserve"> </w:t>
      </w:r>
      <w:r>
        <w:rPr>
          <w:sz w:val="16"/>
        </w:rPr>
        <w:t>Creuza</w:t>
      </w:r>
      <w:r>
        <w:rPr>
          <w:spacing w:val="-8"/>
          <w:sz w:val="16"/>
        </w:rPr>
        <w:t xml:space="preserve"> </w:t>
      </w:r>
      <w:r>
        <w:rPr>
          <w:sz w:val="16"/>
        </w:rPr>
        <w:t>Machado</w:t>
      </w:r>
      <w:r>
        <w:rPr>
          <w:spacing w:val="-7"/>
          <w:sz w:val="16"/>
        </w:rPr>
        <w:t xml:space="preserve"> </w:t>
      </w:r>
      <w:r>
        <w:rPr>
          <w:sz w:val="16"/>
        </w:rPr>
        <w:t>Santos”.</w:t>
      </w:r>
      <w:r>
        <w:rPr>
          <w:spacing w:val="-6"/>
          <w:sz w:val="16"/>
        </w:rPr>
        <w:t xml:space="preserve"> </w:t>
      </w:r>
      <w:r>
        <w:rPr>
          <w:sz w:val="16"/>
        </w:rPr>
        <w:t>Sin</w:t>
      </w:r>
      <w:r>
        <w:rPr>
          <w:spacing w:val="-8"/>
          <w:sz w:val="16"/>
        </w:rPr>
        <w:t xml:space="preserve"> </w:t>
      </w:r>
      <w:r>
        <w:rPr>
          <w:sz w:val="16"/>
        </w:rPr>
        <w:t>embargo,</w:t>
      </w:r>
      <w:r>
        <w:rPr>
          <w:spacing w:val="-5"/>
          <w:sz w:val="16"/>
        </w:rPr>
        <w:t xml:space="preserve"> </w:t>
      </w:r>
      <w:r>
        <w:rPr>
          <w:sz w:val="16"/>
        </w:rPr>
        <w:t>esta</w:t>
      </w:r>
      <w:r>
        <w:rPr>
          <w:spacing w:val="-6"/>
          <w:sz w:val="16"/>
        </w:rPr>
        <w:t xml:space="preserve"> </w:t>
      </w:r>
      <w:r>
        <w:rPr>
          <w:sz w:val="16"/>
        </w:rPr>
        <w:t>Corte encuentra que el nombre de esta persona corresponde a “Maria Creuza Machado dos Santos”, según consta en las pruebas aportadas por el Estado (expediente de prueba, folios 1976, 2029 y</w:t>
      </w:r>
      <w:r>
        <w:rPr>
          <w:spacing w:val="-14"/>
          <w:sz w:val="16"/>
        </w:rPr>
        <w:t xml:space="preserve"> </w:t>
      </w:r>
      <w:r>
        <w:rPr>
          <w:sz w:val="16"/>
        </w:rPr>
        <w:t>2124).</w:t>
      </w:r>
    </w:p>
    <w:p w14:paraId="475D5494" w14:textId="77777777" w:rsidR="00467FCA" w:rsidRDefault="001B68EB">
      <w:pPr>
        <w:ind w:left="118" w:right="114" w:firstLine="1"/>
        <w:jc w:val="both"/>
        <w:rPr>
          <w:sz w:val="16"/>
        </w:rPr>
      </w:pPr>
      <w:bookmarkStart w:id="564" w:name="_bookmark489"/>
      <w:bookmarkEnd w:id="564"/>
      <w:r>
        <w:rPr>
          <w:position w:val="6"/>
          <w:sz w:val="10"/>
        </w:rPr>
        <w:t>412</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w:t>
      </w:r>
      <w:r>
        <w:rPr>
          <w:sz w:val="16"/>
        </w:rPr>
        <w:t>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0"/>
          <w:sz w:val="16"/>
        </w:rPr>
        <w:t xml:space="preserve"> </w:t>
      </w:r>
      <w:r>
        <w:rPr>
          <w:sz w:val="16"/>
        </w:rPr>
        <w:t>En</w:t>
      </w:r>
      <w:r>
        <w:rPr>
          <w:spacing w:val="-11"/>
          <w:sz w:val="16"/>
        </w:rPr>
        <w:t xml:space="preserve"> </w:t>
      </w:r>
      <w:r>
        <w:rPr>
          <w:sz w:val="16"/>
        </w:rPr>
        <w:t>ese</w:t>
      </w:r>
      <w:r>
        <w:rPr>
          <w:spacing w:val="-10"/>
          <w:sz w:val="16"/>
        </w:rPr>
        <w:t xml:space="preserve"> </w:t>
      </w:r>
      <w:r>
        <w:rPr>
          <w:sz w:val="16"/>
        </w:rPr>
        <w:t>listado,</w:t>
      </w:r>
      <w:r>
        <w:rPr>
          <w:spacing w:val="-11"/>
          <w:sz w:val="16"/>
        </w:rPr>
        <w:t xml:space="preserve"> </w:t>
      </w:r>
      <w:r>
        <w:rPr>
          <w:sz w:val="16"/>
        </w:rPr>
        <w:t>su</w:t>
      </w:r>
      <w:r>
        <w:rPr>
          <w:spacing w:val="-9"/>
          <w:sz w:val="16"/>
        </w:rPr>
        <w:t xml:space="preserve"> </w:t>
      </w:r>
      <w:r>
        <w:rPr>
          <w:sz w:val="16"/>
        </w:rPr>
        <w:t>nombre</w:t>
      </w:r>
      <w:r>
        <w:rPr>
          <w:spacing w:val="-10"/>
          <w:sz w:val="16"/>
        </w:rPr>
        <w:t xml:space="preserve"> </w:t>
      </w:r>
      <w:r>
        <w:rPr>
          <w:sz w:val="16"/>
        </w:rPr>
        <w:t>aparece</w:t>
      </w:r>
      <w:r>
        <w:rPr>
          <w:spacing w:val="-10"/>
          <w:sz w:val="16"/>
        </w:rPr>
        <w:t xml:space="preserve"> </w:t>
      </w:r>
      <w:r>
        <w:rPr>
          <w:sz w:val="16"/>
        </w:rPr>
        <w:t>reseñado</w:t>
      </w:r>
      <w:r>
        <w:rPr>
          <w:spacing w:val="-9"/>
          <w:sz w:val="16"/>
        </w:rPr>
        <w:t xml:space="preserve"> </w:t>
      </w:r>
      <w:r>
        <w:rPr>
          <w:sz w:val="16"/>
        </w:rPr>
        <w:t>como</w:t>
      </w:r>
      <w:r>
        <w:rPr>
          <w:spacing w:val="-10"/>
          <w:sz w:val="16"/>
        </w:rPr>
        <w:t xml:space="preserve"> </w:t>
      </w:r>
      <w:r>
        <w:rPr>
          <w:sz w:val="16"/>
        </w:rPr>
        <w:t>“Maria</w:t>
      </w:r>
      <w:r>
        <w:rPr>
          <w:spacing w:val="-10"/>
          <w:sz w:val="16"/>
        </w:rPr>
        <w:t xml:space="preserve"> </w:t>
      </w:r>
      <w:r>
        <w:rPr>
          <w:sz w:val="16"/>
        </w:rPr>
        <w:t>das</w:t>
      </w:r>
      <w:r>
        <w:rPr>
          <w:spacing w:val="-12"/>
          <w:sz w:val="16"/>
        </w:rPr>
        <w:t xml:space="preserve"> </w:t>
      </w:r>
      <w:r>
        <w:rPr>
          <w:sz w:val="16"/>
        </w:rPr>
        <w:t>Graças</w:t>
      </w:r>
      <w:r>
        <w:rPr>
          <w:spacing w:val="-9"/>
          <w:sz w:val="16"/>
        </w:rPr>
        <w:t xml:space="preserve"> </w:t>
      </w:r>
      <w:r>
        <w:rPr>
          <w:sz w:val="16"/>
        </w:rPr>
        <w:t>Santos</w:t>
      </w:r>
      <w:r>
        <w:rPr>
          <w:spacing w:val="-11"/>
          <w:sz w:val="16"/>
        </w:rPr>
        <w:t xml:space="preserve"> </w:t>
      </w:r>
      <w:r>
        <w:rPr>
          <w:sz w:val="16"/>
        </w:rPr>
        <w:t>de</w:t>
      </w:r>
      <w:r>
        <w:rPr>
          <w:spacing w:val="-10"/>
          <w:sz w:val="16"/>
        </w:rPr>
        <w:t xml:space="preserve"> </w:t>
      </w:r>
      <w:r>
        <w:rPr>
          <w:sz w:val="16"/>
        </w:rPr>
        <w:t>Jesus”.</w:t>
      </w:r>
      <w:r>
        <w:rPr>
          <w:spacing w:val="-11"/>
          <w:sz w:val="16"/>
        </w:rPr>
        <w:t xml:space="preserve"> </w:t>
      </w:r>
      <w:r>
        <w:rPr>
          <w:sz w:val="16"/>
        </w:rPr>
        <w:t>Asimismo,</w:t>
      </w:r>
      <w:r>
        <w:rPr>
          <w:spacing w:val="-8"/>
          <w:sz w:val="16"/>
        </w:rPr>
        <w:t xml:space="preserve"> </w:t>
      </w:r>
      <w:r>
        <w:rPr>
          <w:sz w:val="16"/>
        </w:rPr>
        <w:t>esta</w:t>
      </w:r>
      <w:r>
        <w:rPr>
          <w:spacing w:val="-11"/>
          <w:sz w:val="16"/>
        </w:rPr>
        <w:t xml:space="preserve"> </w:t>
      </w:r>
      <w:r>
        <w:rPr>
          <w:sz w:val="16"/>
        </w:rPr>
        <w:t>Corte encuentra que el nombre de esta persona corresponde al indicado en las pruebas aportadas por los representantes (expediente de prueba, folio 1586) y por el Estado (expediente de prueba, folios 1980, 2039 y</w:t>
      </w:r>
      <w:r>
        <w:rPr>
          <w:spacing w:val="-22"/>
          <w:sz w:val="16"/>
        </w:rPr>
        <w:t xml:space="preserve"> </w:t>
      </w:r>
      <w:r>
        <w:rPr>
          <w:sz w:val="16"/>
        </w:rPr>
        <w:t>2161).</w:t>
      </w:r>
    </w:p>
    <w:p w14:paraId="62828C0D" w14:textId="77777777" w:rsidR="00467FCA" w:rsidRDefault="001B68EB">
      <w:pPr>
        <w:spacing w:before="1"/>
        <w:ind w:left="118" w:right="114" w:firstLine="1"/>
        <w:jc w:val="both"/>
        <w:rPr>
          <w:sz w:val="16"/>
        </w:rPr>
      </w:pPr>
      <w:bookmarkStart w:id="565" w:name="_bookmark490"/>
      <w:bookmarkEnd w:id="565"/>
      <w:r>
        <w:rPr>
          <w:position w:val="6"/>
          <w:sz w:val="10"/>
        </w:rPr>
        <w:t>413</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de Lourdes de Jesus Santos”. Sin embargo, esta Corte</w:t>
      </w:r>
      <w:r>
        <w:rPr>
          <w:spacing w:val="-6"/>
          <w:sz w:val="16"/>
        </w:rPr>
        <w:t xml:space="preserve"> </w:t>
      </w:r>
      <w:r>
        <w:rPr>
          <w:sz w:val="16"/>
        </w:rPr>
        <w:t>encuentra</w:t>
      </w:r>
      <w:r>
        <w:rPr>
          <w:spacing w:val="-8"/>
          <w:sz w:val="16"/>
        </w:rPr>
        <w:t xml:space="preserve"> </w:t>
      </w:r>
      <w:r>
        <w:rPr>
          <w:sz w:val="16"/>
        </w:rPr>
        <w:t>que</w:t>
      </w:r>
      <w:r>
        <w:rPr>
          <w:spacing w:val="-7"/>
          <w:sz w:val="16"/>
        </w:rPr>
        <w:t xml:space="preserve"> </w:t>
      </w:r>
      <w:r>
        <w:rPr>
          <w:sz w:val="16"/>
        </w:rPr>
        <w:t>el</w:t>
      </w:r>
      <w:r>
        <w:rPr>
          <w:spacing w:val="-6"/>
          <w:sz w:val="16"/>
        </w:rPr>
        <w:t xml:space="preserve"> </w:t>
      </w:r>
      <w:r>
        <w:rPr>
          <w:sz w:val="16"/>
        </w:rPr>
        <w:t>nombre</w:t>
      </w:r>
      <w:r>
        <w:rPr>
          <w:spacing w:val="-6"/>
          <w:sz w:val="16"/>
        </w:rPr>
        <w:t xml:space="preserve"> </w:t>
      </w:r>
      <w:r>
        <w:rPr>
          <w:sz w:val="16"/>
        </w:rPr>
        <w:t>de</w:t>
      </w:r>
      <w:r>
        <w:rPr>
          <w:spacing w:val="-7"/>
          <w:sz w:val="16"/>
        </w:rPr>
        <w:t xml:space="preserve"> </w:t>
      </w:r>
      <w:r>
        <w:rPr>
          <w:sz w:val="16"/>
        </w:rPr>
        <w:t>esta</w:t>
      </w:r>
      <w:r>
        <w:rPr>
          <w:spacing w:val="-8"/>
          <w:sz w:val="16"/>
        </w:rPr>
        <w:t xml:space="preserve"> </w:t>
      </w:r>
      <w:r>
        <w:rPr>
          <w:sz w:val="16"/>
        </w:rPr>
        <w:t>persona</w:t>
      </w:r>
      <w:r>
        <w:rPr>
          <w:spacing w:val="-8"/>
          <w:sz w:val="16"/>
        </w:rPr>
        <w:t xml:space="preserve"> </w:t>
      </w:r>
      <w:r>
        <w:rPr>
          <w:sz w:val="16"/>
        </w:rPr>
        <w:t>corresponde</w:t>
      </w:r>
      <w:r>
        <w:rPr>
          <w:spacing w:val="-5"/>
          <w:sz w:val="16"/>
        </w:rPr>
        <w:t xml:space="preserve"> </w:t>
      </w:r>
      <w:r>
        <w:rPr>
          <w:sz w:val="16"/>
        </w:rPr>
        <w:t>a</w:t>
      </w:r>
      <w:r>
        <w:rPr>
          <w:spacing w:val="-9"/>
          <w:sz w:val="16"/>
        </w:rPr>
        <w:t xml:space="preserve"> </w:t>
      </w:r>
      <w:r>
        <w:rPr>
          <w:sz w:val="16"/>
        </w:rPr>
        <w:t>“Maria</w:t>
      </w:r>
      <w:r>
        <w:rPr>
          <w:spacing w:val="-8"/>
          <w:sz w:val="16"/>
        </w:rPr>
        <w:t xml:space="preserve"> </w:t>
      </w:r>
      <w:r>
        <w:rPr>
          <w:sz w:val="16"/>
        </w:rPr>
        <w:t>de</w:t>
      </w:r>
      <w:r>
        <w:rPr>
          <w:spacing w:val="-7"/>
          <w:sz w:val="16"/>
        </w:rPr>
        <w:t xml:space="preserve"> </w:t>
      </w:r>
      <w:r>
        <w:rPr>
          <w:sz w:val="16"/>
        </w:rPr>
        <w:t>Lourdes</w:t>
      </w:r>
      <w:r>
        <w:rPr>
          <w:spacing w:val="-5"/>
          <w:sz w:val="16"/>
        </w:rPr>
        <w:t xml:space="preserve"> </w:t>
      </w:r>
      <w:r>
        <w:rPr>
          <w:sz w:val="16"/>
        </w:rPr>
        <w:t>Jesus</w:t>
      </w:r>
      <w:r>
        <w:rPr>
          <w:spacing w:val="-7"/>
          <w:sz w:val="16"/>
        </w:rPr>
        <w:t xml:space="preserve"> </w:t>
      </w:r>
      <w:r>
        <w:rPr>
          <w:sz w:val="16"/>
        </w:rPr>
        <w:t>Santos”,</w:t>
      </w:r>
      <w:r>
        <w:rPr>
          <w:spacing w:val="-7"/>
          <w:sz w:val="16"/>
        </w:rPr>
        <w:t xml:space="preserve"> </w:t>
      </w:r>
      <w:r>
        <w:rPr>
          <w:sz w:val="16"/>
        </w:rPr>
        <w:t>según</w:t>
      </w:r>
      <w:r>
        <w:rPr>
          <w:spacing w:val="-8"/>
          <w:sz w:val="16"/>
        </w:rPr>
        <w:t xml:space="preserve"> </w:t>
      </w:r>
      <w:r>
        <w:rPr>
          <w:sz w:val="16"/>
        </w:rPr>
        <w:t>consta</w:t>
      </w:r>
      <w:r>
        <w:rPr>
          <w:spacing w:val="-8"/>
          <w:sz w:val="16"/>
        </w:rPr>
        <w:t xml:space="preserve"> </w:t>
      </w:r>
      <w:r>
        <w:rPr>
          <w:sz w:val="16"/>
        </w:rPr>
        <w:t>en</w:t>
      </w:r>
      <w:r>
        <w:rPr>
          <w:spacing w:val="-6"/>
          <w:sz w:val="16"/>
        </w:rPr>
        <w:t xml:space="preserve"> </w:t>
      </w:r>
      <w:r>
        <w:rPr>
          <w:sz w:val="16"/>
        </w:rPr>
        <w:t>las pruebas aportadas por el Estado (expediente de prueba, folios 1966, 2051 y</w:t>
      </w:r>
      <w:r>
        <w:rPr>
          <w:spacing w:val="-14"/>
          <w:sz w:val="16"/>
        </w:rPr>
        <w:t xml:space="preserve"> </w:t>
      </w:r>
      <w:r>
        <w:rPr>
          <w:sz w:val="16"/>
        </w:rPr>
        <w:t>2105).</w:t>
      </w:r>
    </w:p>
    <w:p w14:paraId="4543CA34" w14:textId="77777777" w:rsidR="00467FCA" w:rsidRDefault="001B68EB">
      <w:pPr>
        <w:ind w:left="119" w:right="114"/>
        <w:jc w:val="both"/>
        <w:rPr>
          <w:sz w:val="16"/>
        </w:rPr>
      </w:pPr>
      <w:bookmarkStart w:id="566" w:name="_bookmark491"/>
      <w:bookmarkEnd w:id="566"/>
      <w:r>
        <w:rPr>
          <w:position w:val="6"/>
          <w:sz w:val="10"/>
        </w:rPr>
        <w:t>414</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w:t>
      </w:r>
      <w:r>
        <w:rPr>
          <w:sz w:val="16"/>
        </w:rPr>
        <w:t xml:space="preserve">8). En ese listado, su nombre aparece reseñado como “Maria Dionice Santos Cruz”. Sin embargo, esta Corte encuentra que el nombre de esta persona corresponde a “Maria Dionice Santana da Cruz”, según consta en las pruebas aportadas por el Estado (expediente </w:t>
      </w:r>
      <w:r>
        <w:rPr>
          <w:sz w:val="16"/>
        </w:rPr>
        <w:t>de prueba, folios 2005, 2160 y</w:t>
      </w:r>
      <w:r>
        <w:rPr>
          <w:spacing w:val="-14"/>
          <w:sz w:val="16"/>
        </w:rPr>
        <w:t xml:space="preserve"> </w:t>
      </w:r>
      <w:r>
        <w:rPr>
          <w:sz w:val="16"/>
        </w:rPr>
        <w:t>2342).</w:t>
      </w:r>
    </w:p>
    <w:p w14:paraId="54B113EB" w14:textId="77777777" w:rsidR="00467FCA" w:rsidRDefault="001B68EB">
      <w:pPr>
        <w:ind w:left="118" w:right="114" w:firstLine="1"/>
        <w:jc w:val="both"/>
        <w:rPr>
          <w:sz w:val="16"/>
        </w:rPr>
      </w:pPr>
      <w:bookmarkStart w:id="567" w:name="_bookmark492"/>
      <w:bookmarkEnd w:id="567"/>
      <w:r>
        <w:rPr>
          <w:position w:val="6"/>
          <w:sz w:val="10"/>
        </w:rPr>
        <w:t>415</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Joélia de Jesus Santos”. Sin embargo, esta Corte encuentra</w:t>
      </w:r>
      <w:r>
        <w:rPr>
          <w:spacing w:val="-8"/>
          <w:sz w:val="16"/>
        </w:rPr>
        <w:t xml:space="preserve"> </w:t>
      </w:r>
      <w:r>
        <w:rPr>
          <w:sz w:val="16"/>
        </w:rPr>
        <w:t>que</w:t>
      </w:r>
      <w:r>
        <w:rPr>
          <w:spacing w:val="-9"/>
          <w:sz w:val="16"/>
        </w:rPr>
        <w:t xml:space="preserve"> </w:t>
      </w:r>
      <w:r>
        <w:rPr>
          <w:sz w:val="16"/>
        </w:rPr>
        <w:t>el</w:t>
      </w:r>
      <w:r>
        <w:rPr>
          <w:spacing w:val="-8"/>
          <w:sz w:val="16"/>
        </w:rPr>
        <w:t xml:space="preserve"> </w:t>
      </w:r>
      <w:r>
        <w:rPr>
          <w:sz w:val="16"/>
        </w:rPr>
        <w:t>nombre</w:t>
      </w:r>
      <w:r>
        <w:rPr>
          <w:spacing w:val="-9"/>
          <w:sz w:val="16"/>
        </w:rPr>
        <w:t xml:space="preserve"> </w:t>
      </w:r>
      <w:r>
        <w:rPr>
          <w:sz w:val="16"/>
        </w:rPr>
        <w:t>de</w:t>
      </w:r>
      <w:r>
        <w:rPr>
          <w:spacing w:val="-9"/>
          <w:sz w:val="16"/>
        </w:rPr>
        <w:t xml:space="preserve"> </w:t>
      </w:r>
      <w:r>
        <w:rPr>
          <w:sz w:val="16"/>
        </w:rPr>
        <w:t>esta</w:t>
      </w:r>
      <w:r>
        <w:rPr>
          <w:spacing w:val="-8"/>
          <w:sz w:val="16"/>
        </w:rPr>
        <w:t xml:space="preserve"> </w:t>
      </w:r>
      <w:r>
        <w:rPr>
          <w:sz w:val="16"/>
        </w:rPr>
        <w:t>persona</w:t>
      </w:r>
      <w:r>
        <w:rPr>
          <w:spacing w:val="-8"/>
          <w:sz w:val="16"/>
        </w:rPr>
        <w:t xml:space="preserve"> </w:t>
      </w:r>
      <w:r>
        <w:rPr>
          <w:sz w:val="16"/>
        </w:rPr>
        <w:t>corresponde</w:t>
      </w:r>
      <w:r>
        <w:rPr>
          <w:spacing w:val="-7"/>
          <w:sz w:val="16"/>
        </w:rPr>
        <w:t xml:space="preserve"> </w:t>
      </w:r>
      <w:r>
        <w:rPr>
          <w:sz w:val="16"/>
        </w:rPr>
        <w:t>a</w:t>
      </w:r>
      <w:r>
        <w:rPr>
          <w:spacing w:val="-10"/>
          <w:sz w:val="16"/>
        </w:rPr>
        <w:t xml:space="preserve"> </w:t>
      </w:r>
      <w:r>
        <w:rPr>
          <w:sz w:val="16"/>
        </w:rPr>
        <w:t>“Maria</w:t>
      </w:r>
      <w:r>
        <w:rPr>
          <w:spacing w:val="-8"/>
          <w:sz w:val="16"/>
        </w:rPr>
        <w:t xml:space="preserve"> </w:t>
      </w:r>
      <w:r>
        <w:rPr>
          <w:sz w:val="16"/>
        </w:rPr>
        <w:t>Joelia</w:t>
      </w:r>
      <w:r>
        <w:rPr>
          <w:spacing w:val="-8"/>
          <w:sz w:val="16"/>
        </w:rPr>
        <w:t xml:space="preserve"> </w:t>
      </w:r>
      <w:r>
        <w:rPr>
          <w:sz w:val="16"/>
        </w:rPr>
        <w:t>de</w:t>
      </w:r>
      <w:r>
        <w:rPr>
          <w:spacing w:val="-7"/>
          <w:sz w:val="16"/>
        </w:rPr>
        <w:t xml:space="preserve"> </w:t>
      </w:r>
      <w:r>
        <w:rPr>
          <w:sz w:val="16"/>
        </w:rPr>
        <w:t>Jesus</w:t>
      </w:r>
      <w:r>
        <w:rPr>
          <w:spacing w:val="-7"/>
          <w:sz w:val="16"/>
        </w:rPr>
        <w:t xml:space="preserve"> </w:t>
      </w:r>
      <w:r>
        <w:rPr>
          <w:sz w:val="16"/>
        </w:rPr>
        <w:t>Santos”,</w:t>
      </w:r>
      <w:r>
        <w:rPr>
          <w:spacing w:val="-8"/>
          <w:sz w:val="16"/>
        </w:rPr>
        <w:t xml:space="preserve"> </w:t>
      </w:r>
      <w:r>
        <w:rPr>
          <w:sz w:val="16"/>
        </w:rPr>
        <w:t>según</w:t>
      </w:r>
      <w:r>
        <w:rPr>
          <w:spacing w:val="-8"/>
          <w:sz w:val="16"/>
        </w:rPr>
        <w:t xml:space="preserve"> </w:t>
      </w:r>
      <w:r>
        <w:rPr>
          <w:sz w:val="16"/>
        </w:rPr>
        <w:t>consta</w:t>
      </w:r>
      <w:r>
        <w:rPr>
          <w:spacing w:val="-10"/>
          <w:sz w:val="16"/>
        </w:rPr>
        <w:t xml:space="preserve"> </w:t>
      </w:r>
      <w:r>
        <w:rPr>
          <w:sz w:val="16"/>
        </w:rPr>
        <w:t>en</w:t>
      </w:r>
      <w:r>
        <w:rPr>
          <w:spacing w:val="-8"/>
          <w:sz w:val="16"/>
        </w:rPr>
        <w:t xml:space="preserve"> </w:t>
      </w:r>
      <w:r>
        <w:rPr>
          <w:sz w:val="16"/>
        </w:rPr>
        <w:t>las</w:t>
      </w:r>
      <w:r>
        <w:rPr>
          <w:spacing w:val="-7"/>
          <w:sz w:val="16"/>
        </w:rPr>
        <w:t xml:space="preserve"> </w:t>
      </w:r>
      <w:r>
        <w:rPr>
          <w:sz w:val="16"/>
        </w:rPr>
        <w:t>pruebas aportadas por el Estado (exp</w:t>
      </w:r>
      <w:r>
        <w:rPr>
          <w:sz w:val="16"/>
        </w:rPr>
        <w:t>ediente de prueba, folios 1964, 2065 y</w:t>
      </w:r>
      <w:r>
        <w:rPr>
          <w:spacing w:val="-11"/>
          <w:sz w:val="16"/>
        </w:rPr>
        <w:t xml:space="preserve"> </w:t>
      </w:r>
      <w:r>
        <w:rPr>
          <w:sz w:val="16"/>
        </w:rPr>
        <w:t>2187).</w:t>
      </w:r>
    </w:p>
    <w:p w14:paraId="2855EED9" w14:textId="77777777" w:rsidR="00467FCA" w:rsidRDefault="001B68EB">
      <w:pPr>
        <w:ind w:left="118" w:right="113" w:firstLine="1"/>
        <w:jc w:val="both"/>
        <w:rPr>
          <w:sz w:val="16"/>
        </w:rPr>
      </w:pPr>
      <w:bookmarkStart w:id="568" w:name="_bookmark493"/>
      <w:bookmarkEnd w:id="568"/>
      <w:r>
        <w:rPr>
          <w:position w:val="6"/>
          <w:sz w:val="10"/>
        </w:rPr>
        <w:t>416</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Jose Bispo dos Santos”. Sin embargo, esta Corte encuentra</w:t>
      </w:r>
      <w:r>
        <w:rPr>
          <w:spacing w:val="-9"/>
          <w:sz w:val="16"/>
        </w:rPr>
        <w:t xml:space="preserve"> </w:t>
      </w:r>
      <w:r>
        <w:rPr>
          <w:sz w:val="16"/>
        </w:rPr>
        <w:t>que</w:t>
      </w:r>
      <w:r>
        <w:rPr>
          <w:spacing w:val="-8"/>
          <w:sz w:val="16"/>
        </w:rPr>
        <w:t xml:space="preserve"> </w:t>
      </w:r>
      <w:r>
        <w:rPr>
          <w:sz w:val="16"/>
        </w:rPr>
        <w:t>el</w:t>
      </w:r>
      <w:r>
        <w:rPr>
          <w:spacing w:val="-6"/>
          <w:sz w:val="16"/>
        </w:rPr>
        <w:t xml:space="preserve"> </w:t>
      </w:r>
      <w:r>
        <w:rPr>
          <w:sz w:val="16"/>
        </w:rPr>
        <w:t>nombre</w:t>
      </w:r>
      <w:r>
        <w:rPr>
          <w:spacing w:val="-8"/>
          <w:sz w:val="16"/>
        </w:rPr>
        <w:t xml:space="preserve"> </w:t>
      </w:r>
      <w:r>
        <w:rPr>
          <w:sz w:val="16"/>
        </w:rPr>
        <w:t>de</w:t>
      </w:r>
      <w:r>
        <w:rPr>
          <w:spacing w:val="-8"/>
          <w:sz w:val="16"/>
        </w:rPr>
        <w:t xml:space="preserve"> </w:t>
      </w:r>
      <w:r>
        <w:rPr>
          <w:sz w:val="16"/>
        </w:rPr>
        <w:t>esta</w:t>
      </w:r>
      <w:r>
        <w:rPr>
          <w:spacing w:val="-6"/>
          <w:sz w:val="16"/>
        </w:rPr>
        <w:t xml:space="preserve"> </w:t>
      </w:r>
      <w:r>
        <w:rPr>
          <w:sz w:val="16"/>
        </w:rPr>
        <w:t>persona</w:t>
      </w:r>
      <w:r>
        <w:rPr>
          <w:spacing w:val="-9"/>
          <w:sz w:val="16"/>
        </w:rPr>
        <w:t xml:space="preserve"> </w:t>
      </w:r>
      <w:r>
        <w:rPr>
          <w:sz w:val="16"/>
        </w:rPr>
        <w:t>corresponde</w:t>
      </w:r>
      <w:r>
        <w:rPr>
          <w:spacing w:val="-7"/>
          <w:sz w:val="16"/>
        </w:rPr>
        <w:t xml:space="preserve"> </w:t>
      </w:r>
      <w:r>
        <w:rPr>
          <w:sz w:val="16"/>
        </w:rPr>
        <w:t>a</w:t>
      </w:r>
      <w:r>
        <w:rPr>
          <w:spacing w:val="-9"/>
          <w:sz w:val="16"/>
        </w:rPr>
        <w:t xml:space="preserve"> </w:t>
      </w:r>
      <w:r>
        <w:rPr>
          <w:sz w:val="16"/>
        </w:rPr>
        <w:t>“Maria</w:t>
      </w:r>
      <w:r>
        <w:rPr>
          <w:spacing w:val="-7"/>
          <w:sz w:val="16"/>
        </w:rPr>
        <w:t xml:space="preserve"> </w:t>
      </w:r>
      <w:r>
        <w:rPr>
          <w:sz w:val="16"/>
        </w:rPr>
        <w:t>José</w:t>
      </w:r>
      <w:r>
        <w:rPr>
          <w:spacing w:val="-7"/>
          <w:sz w:val="16"/>
        </w:rPr>
        <w:t xml:space="preserve"> </w:t>
      </w:r>
      <w:r>
        <w:rPr>
          <w:sz w:val="16"/>
        </w:rPr>
        <w:t>Bispo</w:t>
      </w:r>
      <w:r>
        <w:rPr>
          <w:spacing w:val="-8"/>
          <w:sz w:val="16"/>
        </w:rPr>
        <w:t xml:space="preserve"> </w:t>
      </w:r>
      <w:r>
        <w:rPr>
          <w:sz w:val="16"/>
        </w:rPr>
        <w:t>dos</w:t>
      </w:r>
      <w:r>
        <w:rPr>
          <w:spacing w:val="-7"/>
          <w:sz w:val="16"/>
        </w:rPr>
        <w:t xml:space="preserve"> </w:t>
      </w:r>
      <w:r>
        <w:rPr>
          <w:sz w:val="16"/>
        </w:rPr>
        <w:t>Santos”,</w:t>
      </w:r>
      <w:r>
        <w:rPr>
          <w:spacing w:val="-7"/>
          <w:sz w:val="16"/>
        </w:rPr>
        <w:t xml:space="preserve"> </w:t>
      </w:r>
      <w:r>
        <w:rPr>
          <w:sz w:val="16"/>
        </w:rPr>
        <w:t>según</w:t>
      </w:r>
      <w:r>
        <w:rPr>
          <w:spacing w:val="-7"/>
          <w:sz w:val="16"/>
        </w:rPr>
        <w:t xml:space="preserve"> </w:t>
      </w:r>
      <w:r>
        <w:rPr>
          <w:sz w:val="16"/>
        </w:rPr>
        <w:t>consta</w:t>
      </w:r>
      <w:r>
        <w:rPr>
          <w:spacing w:val="-8"/>
          <w:sz w:val="16"/>
        </w:rPr>
        <w:t xml:space="preserve"> </w:t>
      </w:r>
      <w:r>
        <w:rPr>
          <w:sz w:val="16"/>
        </w:rPr>
        <w:t>en</w:t>
      </w:r>
      <w:r>
        <w:rPr>
          <w:spacing w:val="-7"/>
          <w:sz w:val="16"/>
        </w:rPr>
        <w:t xml:space="preserve"> </w:t>
      </w:r>
      <w:r>
        <w:rPr>
          <w:sz w:val="16"/>
        </w:rPr>
        <w:t>las</w:t>
      </w:r>
      <w:r>
        <w:rPr>
          <w:spacing w:val="-8"/>
          <w:sz w:val="16"/>
        </w:rPr>
        <w:t xml:space="preserve"> </w:t>
      </w:r>
      <w:r>
        <w:rPr>
          <w:sz w:val="16"/>
        </w:rPr>
        <w:t>pruebas aportadas por los representant</w:t>
      </w:r>
      <w:r>
        <w:rPr>
          <w:sz w:val="16"/>
        </w:rPr>
        <w:t>es (expediente de prueba, folio 1111) y por el Estado (expediente de prueba, folios</w:t>
      </w:r>
      <w:bookmarkStart w:id="569" w:name="_bookmark494"/>
      <w:bookmarkEnd w:id="569"/>
      <w:r>
        <w:rPr>
          <w:sz w:val="16"/>
        </w:rPr>
        <w:t xml:space="preserve"> 2003, 2111 y</w:t>
      </w:r>
      <w:r>
        <w:rPr>
          <w:spacing w:val="-5"/>
          <w:sz w:val="16"/>
        </w:rPr>
        <w:t xml:space="preserve"> </w:t>
      </w:r>
      <w:r>
        <w:rPr>
          <w:sz w:val="16"/>
        </w:rPr>
        <w:t>2432).</w:t>
      </w:r>
    </w:p>
    <w:p w14:paraId="03B8B175" w14:textId="77777777" w:rsidR="00467FCA" w:rsidRDefault="001B68EB">
      <w:pPr>
        <w:ind w:left="119" w:right="114"/>
        <w:jc w:val="both"/>
        <w:rPr>
          <w:sz w:val="16"/>
        </w:rPr>
      </w:pPr>
      <w:r>
        <w:rPr>
          <w:position w:val="6"/>
          <w:sz w:val="10"/>
        </w:rPr>
        <w:t>417</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José Nascimento Almeida”. Asimismo, esta Corte encuentra que el nombre de esta persona corresponde al indicado en las pruebas aportadas por los representantes (expediente de prueba, folio 111</w:t>
      </w:r>
      <w:r>
        <w:rPr>
          <w:sz w:val="16"/>
        </w:rPr>
        <w:t>3) y por el Estado (expediente de prueba, folios 1984, 2035 y</w:t>
      </w:r>
      <w:r>
        <w:rPr>
          <w:spacing w:val="-23"/>
          <w:sz w:val="16"/>
        </w:rPr>
        <w:t xml:space="preserve"> </w:t>
      </w:r>
      <w:r>
        <w:rPr>
          <w:sz w:val="16"/>
        </w:rPr>
        <w:t>2123).</w:t>
      </w:r>
    </w:p>
    <w:p w14:paraId="5F7C98F0" w14:textId="77777777" w:rsidR="00467FCA" w:rsidRDefault="00467FCA">
      <w:pPr>
        <w:jc w:val="both"/>
        <w:rPr>
          <w:sz w:val="16"/>
        </w:rPr>
        <w:sectPr w:rsidR="00467FCA">
          <w:pgSz w:w="12240" w:h="15840"/>
          <w:pgMar w:top="1440" w:right="1320" w:bottom="1220" w:left="1320" w:header="0" w:footer="957"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467FCA" w14:paraId="67FFBBB1" w14:textId="77777777">
        <w:trPr>
          <w:trHeight w:val="299"/>
        </w:trPr>
        <w:tc>
          <w:tcPr>
            <w:tcW w:w="523" w:type="dxa"/>
          </w:tcPr>
          <w:p w14:paraId="4A041B4F" w14:textId="77777777" w:rsidR="00467FCA" w:rsidRDefault="001B68EB">
            <w:pPr>
              <w:pStyle w:val="TableParagraph"/>
              <w:ind w:left="71"/>
              <w:jc w:val="left"/>
              <w:rPr>
                <w:sz w:val="20"/>
              </w:rPr>
            </w:pPr>
            <w:r>
              <w:rPr>
                <w:sz w:val="20"/>
              </w:rPr>
              <w:t>44</w:t>
            </w:r>
          </w:p>
        </w:tc>
        <w:tc>
          <w:tcPr>
            <w:tcW w:w="6564" w:type="dxa"/>
          </w:tcPr>
          <w:p w14:paraId="1A9883A9" w14:textId="77777777" w:rsidR="00467FCA" w:rsidRDefault="001B68EB">
            <w:pPr>
              <w:pStyle w:val="TableParagraph"/>
              <w:ind w:left="69"/>
              <w:jc w:val="left"/>
              <w:rPr>
                <w:sz w:val="13"/>
              </w:rPr>
            </w:pPr>
            <w:r>
              <w:rPr>
                <w:sz w:val="20"/>
              </w:rPr>
              <w:t xml:space="preserve">Maria Isabel de Jesus Bittencourt </w:t>
            </w:r>
            <w:hyperlink w:anchor="_bookmark495" w:history="1">
              <w:r>
                <w:rPr>
                  <w:position w:val="7"/>
                  <w:sz w:val="13"/>
                </w:rPr>
                <w:t>418</w:t>
              </w:r>
            </w:hyperlink>
          </w:p>
        </w:tc>
      </w:tr>
      <w:tr w:rsidR="00467FCA" w14:paraId="44F339A8" w14:textId="77777777">
        <w:trPr>
          <w:trHeight w:val="299"/>
        </w:trPr>
        <w:tc>
          <w:tcPr>
            <w:tcW w:w="523" w:type="dxa"/>
          </w:tcPr>
          <w:p w14:paraId="58D05236" w14:textId="77777777" w:rsidR="00467FCA" w:rsidRDefault="001B68EB">
            <w:pPr>
              <w:pStyle w:val="TableParagraph"/>
              <w:ind w:left="71"/>
              <w:jc w:val="left"/>
              <w:rPr>
                <w:sz w:val="20"/>
              </w:rPr>
            </w:pPr>
            <w:r>
              <w:rPr>
                <w:sz w:val="20"/>
              </w:rPr>
              <w:t>45</w:t>
            </w:r>
          </w:p>
        </w:tc>
        <w:tc>
          <w:tcPr>
            <w:tcW w:w="6564" w:type="dxa"/>
          </w:tcPr>
          <w:p w14:paraId="4AEEC472" w14:textId="77777777" w:rsidR="00467FCA" w:rsidRDefault="001B68EB">
            <w:pPr>
              <w:pStyle w:val="TableParagraph"/>
              <w:ind w:left="69"/>
              <w:jc w:val="left"/>
              <w:rPr>
                <w:sz w:val="13"/>
              </w:rPr>
            </w:pPr>
            <w:r>
              <w:rPr>
                <w:sz w:val="20"/>
              </w:rPr>
              <w:t>Maria Ramos Borges</w:t>
            </w:r>
            <w:hyperlink w:anchor="_bookmark496" w:history="1">
              <w:r>
                <w:rPr>
                  <w:position w:val="7"/>
                  <w:sz w:val="13"/>
                </w:rPr>
                <w:t>419</w:t>
              </w:r>
            </w:hyperlink>
          </w:p>
        </w:tc>
      </w:tr>
      <w:tr w:rsidR="00467FCA" w14:paraId="172C6080" w14:textId="77777777">
        <w:trPr>
          <w:trHeight w:val="301"/>
        </w:trPr>
        <w:tc>
          <w:tcPr>
            <w:tcW w:w="523" w:type="dxa"/>
          </w:tcPr>
          <w:p w14:paraId="41F7BF9E" w14:textId="77777777" w:rsidR="00467FCA" w:rsidRDefault="001B68EB">
            <w:pPr>
              <w:pStyle w:val="TableParagraph"/>
              <w:ind w:left="71"/>
              <w:jc w:val="left"/>
              <w:rPr>
                <w:sz w:val="20"/>
              </w:rPr>
            </w:pPr>
            <w:r>
              <w:rPr>
                <w:sz w:val="20"/>
              </w:rPr>
              <w:t>46</w:t>
            </w:r>
          </w:p>
        </w:tc>
        <w:tc>
          <w:tcPr>
            <w:tcW w:w="6564" w:type="dxa"/>
          </w:tcPr>
          <w:p w14:paraId="587EE537" w14:textId="77777777" w:rsidR="00467FCA" w:rsidRDefault="001B68EB">
            <w:pPr>
              <w:pStyle w:val="TableParagraph"/>
              <w:ind w:left="69"/>
              <w:jc w:val="left"/>
              <w:rPr>
                <w:sz w:val="13"/>
              </w:rPr>
            </w:pPr>
            <w:r>
              <w:rPr>
                <w:sz w:val="20"/>
              </w:rPr>
              <w:t>Maria São Pedro Conceição</w:t>
            </w:r>
            <w:hyperlink w:anchor="_bookmark497" w:history="1">
              <w:r>
                <w:rPr>
                  <w:position w:val="7"/>
                  <w:sz w:val="13"/>
                </w:rPr>
                <w:t>420</w:t>
              </w:r>
            </w:hyperlink>
          </w:p>
        </w:tc>
      </w:tr>
      <w:tr w:rsidR="00467FCA" w14:paraId="5237B7C6" w14:textId="77777777">
        <w:trPr>
          <w:trHeight w:val="299"/>
        </w:trPr>
        <w:tc>
          <w:tcPr>
            <w:tcW w:w="523" w:type="dxa"/>
          </w:tcPr>
          <w:p w14:paraId="1C7EC919" w14:textId="77777777" w:rsidR="00467FCA" w:rsidRDefault="001B68EB">
            <w:pPr>
              <w:pStyle w:val="TableParagraph"/>
              <w:ind w:left="71"/>
              <w:jc w:val="left"/>
              <w:rPr>
                <w:sz w:val="20"/>
              </w:rPr>
            </w:pPr>
            <w:r>
              <w:rPr>
                <w:sz w:val="20"/>
              </w:rPr>
              <w:t>47</w:t>
            </w:r>
          </w:p>
        </w:tc>
        <w:tc>
          <w:tcPr>
            <w:tcW w:w="6564" w:type="dxa"/>
          </w:tcPr>
          <w:p w14:paraId="46F57935" w14:textId="77777777" w:rsidR="00467FCA" w:rsidRDefault="001B68EB">
            <w:pPr>
              <w:pStyle w:val="TableParagraph"/>
              <w:ind w:left="69"/>
              <w:jc w:val="left"/>
              <w:rPr>
                <w:sz w:val="13"/>
              </w:rPr>
            </w:pPr>
            <w:r>
              <w:rPr>
                <w:sz w:val="20"/>
              </w:rPr>
              <w:t>Marinalva de Jesus</w:t>
            </w:r>
            <w:hyperlink w:anchor="_bookmark498" w:history="1">
              <w:r>
                <w:rPr>
                  <w:position w:val="7"/>
                  <w:sz w:val="13"/>
                </w:rPr>
                <w:t>421</w:t>
              </w:r>
            </w:hyperlink>
          </w:p>
        </w:tc>
      </w:tr>
      <w:tr w:rsidR="00467FCA" w14:paraId="0507F591" w14:textId="77777777">
        <w:trPr>
          <w:trHeight w:val="299"/>
        </w:trPr>
        <w:tc>
          <w:tcPr>
            <w:tcW w:w="523" w:type="dxa"/>
          </w:tcPr>
          <w:p w14:paraId="3E9218BF" w14:textId="77777777" w:rsidR="00467FCA" w:rsidRDefault="001B68EB">
            <w:pPr>
              <w:pStyle w:val="TableParagraph"/>
              <w:ind w:left="71"/>
              <w:jc w:val="left"/>
              <w:rPr>
                <w:sz w:val="20"/>
              </w:rPr>
            </w:pPr>
            <w:r>
              <w:rPr>
                <w:sz w:val="20"/>
              </w:rPr>
              <w:t>48</w:t>
            </w:r>
          </w:p>
        </w:tc>
        <w:tc>
          <w:tcPr>
            <w:tcW w:w="6564" w:type="dxa"/>
          </w:tcPr>
          <w:p w14:paraId="05CC2DDC" w14:textId="77777777" w:rsidR="00467FCA" w:rsidRDefault="001B68EB">
            <w:pPr>
              <w:pStyle w:val="TableParagraph"/>
              <w:ind w:left="69"/>
              <w:jc w:val="left"/>
              <w:rPr>
                <w:sz w:val="13"/>
              </w:rPr>
            </w:pPr>
            <w:r>
              <w:rPr>
                <w:sz w:val="20"/>
              </w:rPr>
              <w:t>Marize da Conceição dos Santos</w:t>
            </w:r>
            <w:hyperlink w:anchor="_bookmark499" w:history="1">
              <w:r>
                <w:rPr>
                  <w:position w:val="7"/>
                  <w:sz w:val="13"/>
                </w:rPr>
                <w:t>422</w:t>
              </w:r>
            </w:hyperlink>
          </w:p>
        </w:tc>
      </w:tr>
      <w:tr w:rsidR="00467FCA" w14:paraId="0DD0F973" w14:textId="77777777">
        <w:trPr>
          <w:trHeight w:val="299"/>
        </w:trPr>
        <w:tc>
          <w:tcPr>
            <w:tcW w:w="523" w:type="dxa"/>
          </w:tcPr>
          <w:p w14:paraId="1D646856" w14:textId="77777777" w:rsidR="00467FCA" w:rsidRDefault="001B68EB">
            <w:pPr>
              <w:pStyle w:val="TableParagraph"/>
              <w:ind w:left="71"/>
              <w:jc w:val="left"/>
              <w:rPr>
                <w:sz w:val="20"/>
              </w:rPr>
            </w:pPr>
            <w:r>
              <w:rPr>
                <w:sz w:val="20"/>
              </w:rPr>
              <w:t>49</w:t>
            </w:r>
          </w:p>
        </w:tc>
        <w:tc>
          <w:tcPr>
            <w:tcW w:w="6564" w:type="dxa"/>
          </w:tcPr>
          <w:p w14:paraId="3003689C" w14:textId="77777777" w:rsidR="00467FCA" w:rsidRDefault="001B68EB">
            <w:pPr>
              <w:pStyle w:val="TableParagraph"/>
              <w:ind w:left="69"/>
              <w:jc w:val="left"/>
              <w:rPr>
                <w:sz w:val="13"/>
              </w:rPr>
            </w:pPr>
            <w:r>
              <w:rPr>
                <w:sz w:val="20"/>
              </w:rPr>
              <w:t>Marivanda de Souza Silva</w:t>
            </w:r>
            <w:hyperlink w:anchor="_bookmark500" w:history="1">
              <w:r>
                <w:rPr>
                  <w:position w:val="7"/>
                  <w:sz w:val="13"/>
                </w:rPr>
                <w:t>423</w:t>
              </w:r>
            </w:hyperlink>
          </w:p>
        </w:tc>
      </w:tr>
      <w:tr w:rsidR="00467FCA" w14:paraId="0C1FB7A1" w14:textId="77777777">
        <w:trPr>
          <w:trHeight w:val="299"/>
        </w:trPr>
        <w:tc>
          <w:tcPr>
            <w:tcW w:w="523" w:type="dxa"/>
          </w:tcPr>
          <w:p w14:paraId="24FE5CE9" w14:textId="77777777" w:rsidR="00467FCA" w:rsidRDefault="001B68EB">
            <w:pPr>
              <w:pStyle w:val="TableParagraph"/>
              <w:ind w:left="71"/>
              <w:jc w:val="left"/>
              <w:rPr>
                <w:sz w:val="20"/>
              </w:rPr>
            </w:pPr>
            <w:r>
              <w:rPr>
                <w:sz w:val="20"/>
              </w:rPr>
              <w:t>50</w:t>
            </w:r>
          </w:p>
        </w:tc>
        <w:tc>
          <w:tcPr>
            <w:tcW w:w="6564" w:type="dxa"/>
          </w:tcPr>
          <w:p w14:paraId="4D3F2FF5" w14:textId="77777777" w:rsidR="00467FCA" w:rsidRDefault="001B68EB">
            <w:pPr>
              <w:pStyle w:val="TableParagraph"/>
              <w:ind w:left="69"/>
              <w:jc w:val="left"/>
              <w:rPr>
                <w:sz w:val="13"/>
              </w:rPr>
            </w:pPr>
            <w:r>
              <w:rPr>
                <w:sz w:val="20"/>
              </w:rPr>
              <w:t xml:space="preserve">Matilde Cerqueira Santos </w:t>
            </w:r>
            <w:hyperlink w:anchor="_bookmark501" w:history="1">
              <w:r>
                <w:rPr>
                  <w:position w:val="7"/>
                  <w:sz w:val="13"/>
                </w:rPr>
                <w:t>424</w:t>
              </w:r>
            </w:hyperlink>
          </w:p>
        </w:tc>
      </w:tr>
      <w:tr w:rsidR="00467FCA" w14:paraId="5C86E459" w14:textId="77777777">
        <w:trPr>
          <w:trHeight w:val="299"/>
        </w:trPr>
        <w:tc>
          <w:tcPr>
            <w:tcW w:w="523" w:type="dxa"/>
          </w:tcPr>
          <w:p w14:paraId="37D44500" w14:textId="77777777" w:rsidR="00467FCA" w:rsidRDefault="001B68EB">
            <w:pPr>
              <w:pStyle w:val="TableParagraph"/>
              <w:ind w:left="71"/>
              <w:jc w:val="left"/>
              <w:rPr>
                <w:sz w:val="20"/>
              </w:rPr>
            </w:pPr>
            <w:r>
              <w:rPr>
                <w:sz w:val="20"/>
              </w:rPr>
              <w:t>51</w:t>
            </w:r>
          </w:p>
        </w:tc>
        <w:tc>
          <w:tcPr>
            <w:tcW w:w="6564" w:type="dxa"/>
          </w:tcPr>
          <w:p w14:paraId="6567DC9A" w14:textId="77777777" w:rsidR="00467FCA" w:rsidRDefault="001B68EB">
            <w:pPr>
              <w:pStyle w:val="TableParagraph"/>
              <w:ind w:left="69"/>
              <w:jc w:val="left"/>
              <w:rPr>
                <w:sz w:val="13"/>
              </w:rPr>
            </w:pPr>
            <w:r>
              <w:rPr>
                <w:sz w:val="20"/>
              </w:rPr>
              <w:t>Monica Rocha dos Santos</w:t>
            </w:r>
            <w:hyperlink w:anchor="_bookmark502" w:history="1">
              <w:r>
                <w:rPr>
                  <w:position w:val="7"/>
                  <w:sz w:val="13"/>
                </w:rPr>
                <w:t>425</w:t>
              </w:r>
            </w:hyperlink>
          </w:p>
        </w:tc>
      </w:tr>
      <w:tr w:rsidR="00467FCA" w14:paraId="3CA7B11E" w14:textId="77777777">
        <w:trPr>
          <w:trHeight w:val="302"/>
        </w:trPr>
        <w:tc>
          <w:tcPr>
            <w:tcW w:w="523" w:type="dxa"/>
          </w:tcPr>
          <w:p w14:paraId="3DF31375" w14:textId="77777777" w:rsidR="00467FCA" w:rsidRDefault="001B68EB">
            <w:pPr>
              <w:pStyle w:val="TableParagraph"/>
              <w:ind w:left="71"/>
              <w:jc w:val="left"/>
              <w:rPr>
                <w:sz w:val="20"/>
              </w:rPr>
            </w:pPr>
            <w:r>
              <w:rPr>
                <w:sz w:val="20"/>
              </w:rPr>
              <w:t>52</w:t>
            </w:r>
          </w:p>
        </w:tc>
        <w:tc>
          <w:tcPr>
            <w:tcW w:w="6564" w:type="dxa"/>
          </w:tcPr>
          <w:p w14:paraId="313E4346" w14:textId="77777777" w:rsidR="00467FCA" w:rsidRDefault="001B68EB">
            <w:pPr>
              <w:pStyle w:val="TableParagraph"/>
              <w:ind w:left="69"/>
              <w:jc w:val="left"/>
              <w:rPr>
                <w:sz w:val="13"/>
              </w:rPr>
            </w:pPr>
            <w:r>
              <w:rPr>
                <w:sz w:val="20"/>
              </w:rPr>
              <w:t>Núbia Silva dos Santos</w:t>
            </w:r>
            <w:hyperlink w:anchor="_bookmark503" w:history="1">
              <w:r>
                <w:rPr>
                  <w:position w:val="7"/>
                  <w:sz w:val="13"/>
                </w:rPr>
                <w:t>426</w:t>
              </w:r>
            </w:hyperlink>
          </w:p>
        </w:tc>
      </w:tr>
      <w:tr w:rsidR="00467FCA" w14:paraId="61CC72A7" w14:textId="77777777">
        <w:trPr>
          <w:trHeight w:val="299"/>
        </w:trPr>
        <w:tc>
          <w:tcPr>
            <w:tcW w:w="523" w:type="dxa"/>
          </w:tcPr>
          <w:p w14:paraId="084299D4" w14:textId="77777777" w:rsidR="00467FCA" w:rsidRDefault="001B68EB">
            <w:pPr>
              <w:pStyle w:val="TableParagraph"/>
              <w:ind w:left="71"/>
              <w:jc w:val="left"/>
              <w:rPr>
                <w:sz w:val="20"/>
              </w:rPr>
            </w:pPr>
            <w:r>
              <w:rPr>
                <w:sz w:val="20"/>
              </w:rPr>
              <w:t>53</w:t>
            </w:r>
          </w:p>
        </w:tc>
        <w:tc>
          <w:tcPr>
            <w:tcW w:w="6564" w:type="dxa"/>
          </w:tcPr>
          <w:p w14:paraId="7E1409E4" w14:textId="77777777" w:rsidR="00467FCA" w:rsidRDefault="001B68EB">
            <w:pPr>
              <w:pStyle w:val="TableParagraph"/>
              <w:ind w:left="69"/>
              <w:jc w:val="left"/>
              <w:rPr>
                <w:sz w:val="13"/>
              </w:rPr>
            </w:pPr>
            <w:r>
              <w:rPr>
                <w:sz w:val="20"/>
              </w:rPr>
              <w:t>Paulina Maria Silva Santos</w:t>
            </w:r>
            <w:hyperlink w:anchor="_bookmark504" w:history="1">
              <w:r>
                <w:rPr>
                  <w:position w:val="7"/>
                  <w:sz w:val="13"/>
                </w:rPr>
                <w:t>427</w:t>
              </w:r>
            </w:hyperlink>
          </w:p>
        </w:tc>
      </w:tr>
      <w:tr w:rsidR="00467FCA" w14:paraId="7D4576C8" w14:textId="77777777">
        <w:trPr>
          <w:trHeight w:val="299"/>
        </w:trPr>
        <w:tc>
          <w:tcPr>
            <w:tcW w:w="523" w:type="dxa"/>
          </w:tcPr>
          <w:p w14:paraId="7B575033" w14:textId="77777777" w:rsidR="00467FCA" w:rsidRDefault="001B68EB">
            <w:pPr>
              <w:pStyle w:val="TableParagraph"/>
              <w:ind w:left="71"/>
              <w:jc w:val="left"/>
              <w:rPr>
                <w:sz w:val="20"/>
              </w:rPr>
            </w:pPr>
            <w:r>
              <w:rPr>
                <w:sz w:val="20"/>
              </w:rPr>
              <w:t>54</w:t>
            </w:r>
          </w:p>
        </w:tc>
        <w:tc>
          <w:tcPr>
            <w:tcW w:w="6564" w:type="dxa"/>
          </w:tcPr>
          <w:p w14:paraId="5FACA511" w14:textId="77777777" w:rsidR="00467FCA" w:rsidRDefault="001B68EB">
            <w:pPr>
              <w:pStyle w:val="TableParagraph"/>
              <w:ind w:left="69"/>
              <w:jc w:val="left"/>
              <w:rPr>
                <w:sz w:val="13"/>
              </w:rPr>
            </w:pPr>
            <w:r>
              <w:rPr>
                <w:sz w:val="20"/>
              </w:rPr>
              <w:t>Rita de Cassia Conceição Santos</w:t>
            </w:r>
            <w:hyperlink w:anchor="_bookmark505" w:history="1">
              <w:r>
                <w:rPr>
                  <w:position w:val="7"/>
                  <w:sz w:val="13"/>
                </w:rPr>
                <w:t>428</w:t>
              </w:r>
            </w:hyperlink>
          </w:p>
        </w:tc>
      </w:tr>
      <w:tr w:rsidR="00467FCA" w14:paraId="5339A477" w14:textId="77777777">
        <w:trPr>
          <w:trHeight w:val="299"/>
        </w:trPr>
        <w:tc>
          <w:tcPr>
            <w:tcW w:w="523" w:type="dxa"/>
          </w:tcPr>
          <w:p w14:paraId="6CEACF4A" w14:textId="77777777" w:rsidR="00467FCA" w:rsidRDefault="001B68EB">
            <w:pPr>
              <w:pStyle w:val="TableParagraph"/>
              <w:ind w:left="71"/>
              <w:jc w:val="left"/>
              <w:rPr>
                <w:sz w:val="20"/>
              </w:rPr>
            </w:pPr>
            <w:r>
              <w:rPr>
                <w:sz w:val="20"/>
              </w:rPr>
              <w:t>55</w:t>
            </w:r>
          </w:p>
        </w:tc>
        <w:tc>
          <w:tcPr>
            <w:tcW w:w="6564" w:type="dxa"/>
          </w:tcPr>
          <w:p w14:paraId="071F34CF" w14:textId="77777777" w:rsidR="00467FCA" w:rsidRDefault="001B68EB">
            <w:pPr>
              <w:pStyle w:val="TableParagraph"/>
              <w:ind w:left="69"/>
              <w:jc w:val="left"/>
              <w:rPr>
                <w:sz w:val="13"/>
              </w:rPr>
            </w:pPr>
            <w:r>
              <w:rPr>
                <w:sz w:val="20"/>
              </w:rPr>
              <w:t>Rosângela de Jesus França</w:t>
            </w:r>
            <w:hyperlink w:anchor="_bookmark506" w:history="1">
              <w:r>
                <w:rPr>
                  <w:position w:val="7"/>
                  <w:sz w:val="13"/>
                </w:rPr>
                <w:t>429</w:t>
              </w:r>
            </w:hyperlink>
          </w:p>
        </w:tc>
      </w:tr>
    </w:tbl>
    <w:p w14:paraId="65675D11" w14:textId="77777777" w:rsidR="00467FCA" w:rsidRDefault="001B68EB">
      <w:pPr>
        <w:pStyle w:val="Textoindependiente"/>
        <w:spacing w:before="9"/>
        <w:rPr>
          <w:sz w:val="10"/>
        </w:rPr>
      </w:pPr>
      <w:r>
        <w:pict w14:anchorId="6DF430D2">
          <v:shape id="_x0000_s1114" style="position:absolute;margin-left:1in;margin-top:8.8pt;width:2in;height:.1pt;z-index:-251574272;mso-wrap-distance-left:0;mso-wrap-distance-right:0;mso-position-horizontal-relative:page;mso-position-vertical-relative:text" coordorigin="1440,176" coordsize="2880,0" path="m1440,176r2880,e" filled="f" strokeweight=".21131mm">
            <v:path arrowok="t"/>
            <w10:wrap type="topAndBottom" anchorx="page"/>
          </v:shape>
        </w:pict>
      </w:r>
    </w:p>
    <w:p w14:paraId="496A4E56" w14:textId="77777777" w:rsidR="00467FCA" w:rsidRDefault="001B68EB">
      <w:pPr>
        <w:spacing w:before="74"/>
        <w:ind w:left="119" w:right="112"/>
        <w:jc w:val="both"/>
        <w:rPr>
          <w:sz w:val="16"/>
        </w:rPr>
      </w:pPr>
      <w:bookmarkStart w:id="570" w:name="_bookmark495"/>
      <w:bookmarkEnd w:id="570"/>
      <w:r>
        <w:rPr>
          <w:position w:val="6"/>
          <w:sz w:val="10"/>
        </w:rPr>
        <w:t>418</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lzabel de Jesus Bittencourt”. Sin embargo, esta Corte encuentra que el nombre de esta persona corresponde a “Maria Isabel de Jesus Bittencourt”, según consta en las pruebas aportadas por el E</w:t>
      </w:r>
      <w:r>
        <w:rPr>
          <w:sz w:val="16"/>
        </w:rPr>
        <w:t>stado (expediente de prueba, folios 2028, 2129 y</w:t>
      </w:r>
      <w:r>
        <w:rPr>
          <w:spacing w:val="-20"/>
          <w:sz w:val="16"/>
        </w:rPr>
        <w:t xml:space="preserve"> </w:t>
      </w:r>
      <w:r>
        <w:rPr>
          <w:sz w:val="16"/>
        </w:rPr>
        <w:t>2280).</w:t>
      </w:r>
    </w:p>
    <w:p w14:paraId="0E4C0812" w14:textId="77777777" w:rsidR="00467FCA" w:rsidRDefault="001B68EB">
      <w:pPr>
        <w:ind w:left="118" w:right="112" w:firstLine="1"/>
        <w:jc w:val="both"/>
        <w:rPr>
          <w:sz w:val="16"/>
        </w:rPr>
      </w:pPr>
      <w:bookmarkStart w:id="571" w:name="_bookmark496"/>
      <w:bookmarkEnd w:id="571"/>
      <w:r>
        <w:rPr>
          <w:position w:val="6"/>
          <w:sz w:val="10"/>
        </w:rPr>
        <w:t>419</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“Maria Ramos Borges”. Asimi</w:t>
      </w:r>
      <w:r>
        <w:rPr>
          <w:sz w:val="16"/>
        </w:rPr>
        <w:t>smo, esta Corte encuentra que</w:t>
      </w:r>
      <w:r>
        <w:rPr>
          <w:spacing w:val="-6"/>
          <w:sz w:val="16"/>
        </w:rPr>
        <w:t xml:space="preserve"> </w:t>
      </w:r>
      <w:r>
        <w:rPr>
          <w:sz w:val="16"/>
        </w:rPr>
        <w:t>el</w:t>
      </w:r>
      <w:r>
        <w:rPr>
          <w:spacing w:val="-9"/>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 de prueba, folio 1587) y por el Estado (expediente de prueba, folios 1973, 2041 y</w:t>
      </w:r>
      <w:r>
        <w:rPr>
          <w:spacing w:val="-25"/>
          <w:sz w:val="16"/>
        </w:rPr>
        <w:t xml:space="preserve"> </w:t>
      </w:r>
      <w:r>
        <w:rPr>
          <w:sz w:val="16"/>
        </w:rPr>
        <w:t>2101).</w:t>
      </w:r>
    </w:p>
    <w:p w14:paraId="15DE5151" w14:textId="77777777" w:rsidR="00467FCA" w:rsidRDefault="001B68EB">
      <w:pPr>
        <w:ind w:left="119" w:right="114"/>
        <w:jc w:val="both"/>
        <w:rPr>
          <w:sz w:val="16"/>
        </w:rPr>
      </w:pPr>
      <w:bookmarkStart w:id="572" w:name="_bookmark497"/>
      <w:bookmarkEnd w:id="572"/>
      <w:r>
        <w:rPr>
          <w:position w:val="6"/>
          <w:sz w:val="10"/>
        </w:rPr>
        <w:t>420</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w:t>
      </w:r>
      <w:r>
        <w:rPr>
          <w:sz w:val="16"/>
        </w:rPr>
        <w:t>ece reseñado como “Maria São Pedro Conceição” así como en otros documentos aportados como prueba (expediente de prueba, folios 42, 1113 y</w:t>
      </w:r>
      <w:r>
        <w:rPr>
          <w:spacing w:val="-13"/>
          <w:sz w:val="16"/>
        </w:rPr>
        <w:t xml:space="preserve"> </w:t>
      </w:r>
      <w:r>
        <w:rPr>
          <w:sz w:val="16"/>
        </w:rPr>
        <w:t>1587).</w:t>
      </w:r>
    </w:p>
    <w:p w14:paraId="0CE23B70" w14:textId="77777777" w:rsidR="00467FCA" w:rsidRDefault="001B68EB">
      <w:pPr>
        <w:ind w:left="119" w:right="112"/>
        <w:jc w:val="both"/>
        <w:rPr>
          <w:sz w:val="16"/>
        </w:rPr>
      </w:pPr>
      <w:bookmarkStart w:id="573" w:name="_bookmark498"/>
      <w:bookmarkEnd w:id="573"/>
      <w:r>
        <w:rPr>
          <w:position w:val="6"/>
          <w:sz w:val="10"/>
        </w:rPr>
        <w:t>421</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“Marinalva de Jesus”. Asimismo, esta Corte encuentra que</w:t>
      </w:r>
      <w:r>
        <w:rPr>
          <w:spacing w:val="-6"/>
          <w:sz w:val="16"/>
        </w:rPr>
        <w:t xml:space="preserve"> </w:t>
      </w:r>
      <w:r>
        <w:rPr>
          <w:sz w:val="16"/>
        </w:rPr>
        <w:t>el</w:t>
      </w:r>
      <w:r>
        <w:rPr>
          <w:spacing w:val="-9"/>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 de prueba, folio 1113</w:t>
      </w:r>
      <w:r>
        <w:rPr>
          <w:sz w:val="16"/>
        </w:rPr>
        <w:t>) y por el Estado (expediente de prueba, folios 1971, 2064 y</w:t>
      </w:r>
      <w:r>
        <w:rPr>
          <w:spacing w:val="-25"/>
          <w:sz w:val="16"/>
        </w:rPr>
        <w:t xml:space="preserve"> </w:t>
      </w:r>
      <w:r>
        <w:rPr>
          <w:sz w:val="16"/>
        </w:rPr>
        <w:t>2185).</w:t>
      </w:r>
    </w:p>
    <w:p w14:paraId="5E0EF534" w14:textId="77777777" w:rsidR="00467FCA" w:rsidRDefault="001B68EB">
      <w:pPr>
        <w:ind w:left="119" w:right="114"/>
        <w:jc w:val="both"/>
        <w:rPr>
          <w:sz w:val="16"/>
        </w:rPr>
      </w:pPr>
      <w:bookmarkStart w:id="574" w:name="_bookmark499"/>
      <w:bookmarkEnd w:id="574"/>
      <w:r>
        <w:rPr>
          <w:position w:val="6"/>
          <w:sz w:val="10"/>
        </w:rPr>
        <w:t>422</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“Marise Conceição Santos”. Sin embargo, esta Corte encuentra que el nombre de esta persona corresponde a “Marize da Conceição dos Santos”, según consta en las pruebas aportadas por el Estado (expedi</w:t>
      </w:r>
      <w:r>
        <w:rPr>
          <w:sz w:val="16"/>
        </w:rPr>
        <w:t>ente de prueba, folios 2049, 2114 y</w:t>
      </w:r>
      <w:r>
        <w:rPr>
          <w:spacing w:val="-14"/>
          <w:sz w:val="16"/>
        </w:rPr>
        <w:t xml:space="preserve"> </w:t>
      </w:r>
      <w:r>
        <w:rPr>
          <w:sz w:val="16"/>
        </w:rPr>
        <w:t>2361).</w:t>
      </w:r>
    </w:p>
    <w:p w14:paraId="7EE1AA99" w14:textId="77777777" w:rsidR="00467FCA" w:rsidRDefault="001B68EB">
      <w:pPr>
        <w:ind w:left="118" w:right="114" w:firstLine="1"/>
        <w:jc w:val="both"/>
        <w:rPr>
          <w:sz w:val="16"/>
        </w:rPr>
      </w:pPr>
      <w:bookmarkStart w:id="575" w:name="_bookmark500"/>
      <w:bookmarkEnd w:id="575"/>
      <w:r>
        <w:rPr>
          <w:position w:val="6"/>
          <w:sz w:val="10"/>
        </w:rPr>
        <w:t>423</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 En ese listado, su nombre aparece reseñado como “Marivanda de Souza Silva”. Asimismo, e</w:t>
      </w:r>
      <w:r>
        <w:rPr>
          <w:sz w:val="16"/>
        </w:rPr>
        <w:t>sta Corte encuentra que el nombre de esta persona corresponde al indicado en las pruebas aportadas por los representantes (expediente de prueba, folio 1587) y por el Estado (expediente de prueba, folios 1975, 2107 y</w:t>
      </w:r>
      <w:r>
        <w:rPr>
          <w:spacing w:val="-22"/>
          <w:sz w:val="16"/>
        </w:rPr>
        <w:t xml:space="preserve"> </w:t>
      </w:r>
      <w:r>
        <w:rPr>
          <w:sz w:val="16"/>
        </w:rPr>
        <w:t>2143).</w:t>
      </w:r>
    </w:p>
    <w:p w14:paraId="325AA033" w14:textId="77777777" w:rsidR="00467FCA" w:rsidRDefault="001B68EB">
      <w:pPr>
        <w:ind w:left="119" w:right="114"/>
        <w:jc w:val="both"/>
        <w:rPr>
          <w:sz w:val="16"/>
        </w:rPr>
      </w:pPr>
      <w:bookmarkStart w:id="576" w:name="_bookmark501"/>
      <w:bookmarkEnd w:id="576"/>
      <w:r>
        <w:rPr>
          <w:position w:val="6"/>
          <w:sz w:val="10"/>
        </w:rPr>
        <w:t>424</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w:t>
      </w:r>
      <w:r>
        <w:rPr>
          <w:sz w:val="16"/>
        </w:rPr>
        <w:t>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“Matildes de Cerqueira Santos”. Sin embargo, esta</w:t>
      </w:r>
      <w:r>
        <w:rPr>
          <w:spacing w:val="-40"/>
          <w:sz w:val="16"/>
        </w:rPr>
        <w:t xml:space="preserve"> </w:t>
      </w:r>
      <w:r>
        <w:rPr>
          <w:sz w:val="16"/>
        </w:rPr>
        <w:t>Corte encuentra que el nombre de esta persona corresponde a “Matilde Cerqueira Santos”, según consta en las pruebas aportadas por el Estado (expedie</w:t>
      </w:r>
      <w:r>
        <w:rPr>
          <w:sz w:val="16"/>
        </w:rPr>
        <w:t>nte de prueba, folio</w:t>
      </w:r>
      <w:r>
        <w:rPr>
          <w:spacing w:val="-6"/>
          <w:sz w:val="16"/>
        </w:rPr>
        <w:t xml:space="preserve"> </w:t>
      </w:r>
      <w:r>
        <w:rPr>
          <w:sz w:val="16"/>
        </w:rPr>
        <w:t>2000).</w:t>
      </w:r>
    </w:p>
    <w:p w14:paraId="59C09EAA" w14:textId="77777777" w:rsidR="00467FCA" w:rsidRDefault="001B68EB">
      <w:pPr>
        <w:spacing w:before="1"/>
        <w:ind w:left="119" w:right="114"/>
        <w:jc w:val="both"/>
        <w:rPr>
          <w:sz w:val="16"/>
        </w:rPr>
      </w:pPr>
      <w:bookmarkStart w:id="577" w:name="_bookmark502"/>
      <w:bookmarkEnd w:id="577"/>
      <w:r>
        <w:rPr>
          <w:position w:val="6"/>
          <w:sz w:val="10"/>
        </w:rPr>
        <w:t>425</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6"/>
          <w:sz w:val="16"/>
        </w:rPr>
        <w:t xml:space="preserve"> </w:t>
      </w:r>
      <w:r>
        <w:rPr>
          <w:sz w:val="16"/>
        </w:rPr>
        <w:t>En</w:t>
      </w:r>
      <w:r>
        <w:rPr>
          <w:spacing w:val="-15"/>
          <w:sz w:val="16"/>
        </w:rPr>
        <w:t xml:space="preserve"> </w:t>
      </w:r>
      <w:r>
        <w:rPr>
          <w:sz w:val="16"/>
        </w:rPr>
        <w:t>ese</w:t>
      </w:r>
      <w:r>
        <w:rPr>
          <w:spacing w:val="-14"/>
          <w:sz w:val="16"/>
        </w:rPr>
        <w:t xml:space="preserve"> </w:t>
      </w:r>
      <w:r>
        <w:rPr>
          <w:sz w:val="16"/>
        </w:rPr>
        <w:t>listado,</w:t>
      </w:r>
      <w:r>
        <w:rPr>
          <w:spacing w:val="-18"/>
          <w:sz w:val="16"/>
        </w:rPr>
        <w:t xml:space="preserve"> </w:t>
      </w:r>
      <w:r>
        <w:rPr>
          <w:sz w:val="16"/>
        </w:rPr>
        <w:t>su</w:t>
      </w:r>
      <w:r>
        <w:rPr>
          <w:spacing w:val="-15"/>
          <w:sz w:val="16"/>
        </w:rPr>
        <w:t xml:space="preserve"> </w:t>
      </w:r>
      <w:r>
        <w:rPr>
          <w:sz w:val="16"/>
        </w:rPr>
        <w:t>nombre</w:t>
      </w:r>
      <w:r>
        <w:rPr>
          <w:spacing w:val="-17"/>
          <w:sz w:val="16"/>
        </w:rPr>
        <w:t xml:space="preserve"> </w:t>
      </w:r>
      <w:r>
        <w:rPr>
          <w:sz w:val="16"/>
        </w:rPr>
        <w:t>aparece</w:t>
      </w:r>
      <w:r>
        <w:rPr>
          <w:spacing w:val="-17"/>
          <w:sz w:val="16"/>
        </w:rPr>
        <w:t xml:space="preserve"> </w:t>
      </w:r>
      <w:r>
        <w:rPr>
          <w:sz w:val="16"/>
        </w:rPr>
        <w:t>reseñado</w:t>
      </w:r>
      <w:r>
        <w:rPr>
          <w:spacing w:val="-14"/>
          <w:sz w:val="16"/>
        </w:rPr>
        <w:t xml:space="preserve"> </w:t>
      </w:r>
      <w:r>
        <w:rPr>
          <w:sz w:val="16"/>
        </w:rPr>
        <w:t>como</w:t>
      </w:r>
      <w:r>
        <w:rPr>
          <w:spacing w:val="-14"/>
          <w:sz w:val="16"/>
        </w:rPr>
        <w:t xml:space="preserve"> </w:t>
      </w:r>
      <w:r>
        <w:rPr>
          <w:sz w:val="16"/>
        </w:rPr>
        <w:t>“Monica</w:t>
      </w:r>
      <w:r>
        <w:rPr>
          <w:spacing w:val="-15"/>
          <w:sz w:val="16"/>
        </w:rPr>
        <w:t xml:space="preserve"> </w:t>
      </w:r>
      <w:r>
        <w:rPr>
          <w:sz w:val="16"/>
        </w:rPr>
        <w:t>Santos</w:t>
      </w:r>
      <w:r>
        <w:rPr>
          <w:spacing w:val="-17"/>
          <w:sz w:val="16"/>
        </w:rPr>
        <w:t xml:space="preserve"> </w:t>
      </w:r>
      <w:r>
        <w:rPr>
          <w:sz w:val="16"/>
        </w:rPr>
        <w:t>Rocha”.</w:t>
      </w:r>
      <w:r>
        <w:rPr>
          <w:spacing w:val="-18"/>
          <w:sz w:val="16"/>
        </w:rPr>
        <w:t xml:space="preserve"> </w:t>
      </w:r>
      <w:r>
        <w:rPr>
          <w:sz w:val="16"/>
        </w:rPr>
        <w:t>Sin</w:t>
      </w:r>
      <w:r>
        <w:rPr>
          <w:spacing w:val="-15"/>
          <w:sz w:val="16"/>
        </w:rPr>
        <w:t xml:space="preserve"> </w:t>
      </w:r>
      <w:r>
        <w:rPr>
          <w:sz w:val="16"/>
        </w:rPr>
        <w:t>embargo,</w:t>
      </w:r>
      <w:r>
        <w:rPr>
          <w:spacing w:val="-18"/>
          <w:sz w:val="16"/>
        </w:rPr>
        <w:t xml:space="preserve"> </w:t>
      </w:r>
      <w:r>
        <w:rPr>
          <w:sz w:val="16"/>
        </w:rPr>
        <w:t>esta</w:t>
      </w:r>
      <w:r>
        <w:rPr>
          <w:spacing w:val="-18"/>
          <w:sz w:val="16"/>
        </w:rPr>
        <w:t xml:space="preserve"> </w:t>
      </w:r>
      <w:r>
        <w:rPr>
          <w:sz w:val="16"/>
        </w:rPr>
        <w:t>Corte</w:t>
      </w:r>
      <w:r>
        <w:rPr>
          <w:spacing w:val="-14"/>
          <w:sz w:val="16"/>
        </w:rPr>
        <w:t xml:space="preserve"> </w:t>
      </w:r>
      <w:r>
        <w:rPr>
          <w:sz w:val="16"/>
        </w:rPr>
        <w:t>encuentra que el nombre de esta persona corresponde a “Mônica Rocha dos Santos”, según consta en las pruebas aportadas por el Estado (expediente de prueba, folios 2010, 2016 y</w:t>
      </w:r>
      <w:r>
        <w:rPr>
          <w:spacing w:val="-10"/>
          <w:sz w:val="16"/>
        </w:rPr>
        <w:t xml:space="preserve"> </w:t>
      </w:r>
      <w:r>
        <w:rPr>
          <w:sz w:val="16"/>
        </w:rPr>
        <w:t>2125).</w:t>
      </w:r>
    </w:p>
    <w:p w14:paraId="4D93CD4D" w14:textId="77777777" w:rsidR="00467FCA" w:rsidRDefault="001B68EB">
      <w:pPr>
        <w:ind w:left="118" w:right="114" w:firstLine="1"/>
        <w:jc w:val="both"/>
        <w:rPr>
          <w:sz w:val="16"/>
        </w:rPr>
      </w:pPr>
      <w:bookmarkStart w:id="578" w:name="_bookmark503"/>
      <w:bookmarkEnd w:id="578"/>
      <w:r>
        <w:rPr>
          <w:position w:val="6"/>
          <w:sz w:val="10"/>
        </w:rPr>
        <w:t>426</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w:t>
      </w:r>
      <w:r>
        <w:rPr>
          <w:sz w:val="16"/>
        </w:rPr>
        <w:t>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9"/>
          <w:sz w:val="16"/>
        </w:rPr>
        <w:t xml:space="preserve"> </w:t>
      </w:r>
      <w:r>
        <w:rPr>
          <w:sz w:val="16"/>
        </w:rPr>
        <w:t>En</w:t>
      </w:r>
      <w:r>
        <w:rPr>
          <w:spacing w:val="-8"/>
          <w:sz w:val="16"/>
        </w:rPr>
        <w:t xml:space="preserve"> </w:t>
      </w:r>
      <w:r>
        <w:rPr>
          <w:sz w:val="16"/>
        </w:rPr>
        <w:t>ese</w:t>
      </w:r>
      <w:r>
        <w:rPr>
          <w:spacing w:val="-7"/>
          <w:sz w:val="16"/>
        </w:rPr>
        <w:t xml:space="preserve"> </w:t>
      </w:r>
      <w:r>
        <w:rPr>
          <w:sz w:val="16"/>
        </w:rPr>
        <w:t>listado,</w:t>
      </w:r>
      <w:r>
        <w:rPr>
          <w:spacing w:val="-8"/>
          <w:sz w:val="16"/>
        </w:rPr>
        <w:t xml:space="preserve"> </w:t>
      </w:r>
      <w:r>
        <w:rPr>
          <w:sz w:val="16"/>
        </w:rPr>
        <w:t>su</w:t>
      </w:r>
      <w:r>
        <w:rPr>
          <w:spacing w:val="-11"/>
          <w:sz w:val="16"/>
        </w:rPr>
        <w:t xml:space="preserve"> </w:t>
      </w:r>
      <w:r>
        <w:rPr>
          <w:sz w:val="16"/>
        </w:rPr>
        <w:t>nombre</w:t>
      </w:r>
      <w:r>
        <w:rPr>
          <w:spacing w:val="-10"/>
          <w:sz w:val="16"/>
        </w:rPr>
        <w:t xml:space="preserve"> </w:t>
      </w:r>
      <w:r>
        <w:rPr>
          <w:sz w:val="16"/>
        </w:rPr>
        <w:t>aparece</w:t>
      </w:r>
      <w:r>
        <w:rPr>
          <w:spacing w:val="-9"/>
          <w:sz w:val="16"/>
        </w:rPr>
        <w:t xml:space="preserve"> </w:t>
      </w:r>
      <w:r>
        <w:rPr>
          <w:sz w:val="16"/>
        </w:rPr>
        <w:t>reseñado</w:t>
      </w:r>
      <w:r>
        <w:rPr>
          <w:spacing w:val="-9"/>
          <w:sz w:val="16"/>
        </w:rPr>
        <w:t xml:space="preserve"> </w:t>
      </w:r>
      <w:r>
        <w:rPr>
          <w:sz w:val="16"/>
        </w:rPr>
        <w:t>como</w:t>
      </w:r>
      <w:r>
        <w:rPr>
          <w:spacing w:val="-11"/>
          <w:sz w:val="16"/>
        </w:rPr>
        <w:t xml:space="preserve"> </w:t>
      </w:r>
      <w:r>
        <w:rPr>
          <w:sz w:val="16"/>
        </w:rPr>
        <w:t>“Núbia</w:t>
      </w:r>
      <w:r>
        <w:rPr>
          <w:spacing w:val="-8"/>
          <w:sz w:val="16"/>
        </w:rPr>
        <w:t xml:space="preserve"> </w:t>
      </w:r>
      <w:r>
        <w:rPr>
          <w:sz w:val="16"/>
        </w:rPr>
        <w:t>Silva</w:t>
      </w:r>
      <w:r>
        <w:rPr>
          <w:spacing w:val="-10"/>
          <w:sz w:val="16"/>
        </w:rPr>
        <w:t xml:space="preserve"> </w:t>
      </w:r>
      <w:r>
        <w:rPr>
          <w:sz w:val="16"/>
        </w:rPr>
        <w:t>dos</w:t>
      </w:r>
      <w:r>
        <w:rPr>
          <w:spacing w:val="-9"/>
          <w:sz w:val="16"/>
        </w:rPr>
        <w:t xml:space="preserve"> </w:t>
      </w:r>
      <w:r>
        <w:rPr>
          <w:sz w:val="16"/>
        </w:rPr>
        <w:t>Santos”.</w:t>
      </w:r>
      <w:r>
        <w:rPr>
          <w:spacing w:val="-10"/>
          <w:sz w:val="16"/>
        </w:rPr>
        <w:t xml:space="preserve"> </w:t>
      </w:r>
      <w:r>
        <w:rPr>
          <w:sz w:val="16"/>
        </w:rPr>
        <w:t>Asimismo,</w:t>
      </w:r>
      <w:r>
        <w:rPr>
          <w:spacing w:val="-8"/>
          <w:sz w:val="16"/>
        </w:rPr>
        <w:t xml:space="preserve"> </w:t>
      </w:r>
      <w:r>
        <w:rPr>
          <w:sz w:val="16"/>
        </w:rPr>
        <w:t>esta</w:t>
      </w:r>
      <w:r>
        <w:rPr>
          <w:spacing w:val="-8"/>
          <w:sz w:val="16"/>
        </w:rPr>
        <w:t xml:space="preserve"> </w:t>
      </w:r>
      <w:r>
        <w:rPr>
          <w:sz w:val="16"/>
        </w:rPr>
        <w:t>Corte</w:t>
      </w:r>
      <w:r>
        <w:rPr>
          <w:spacing w:val="-10"/>
          <w:sz w:val="16"/>
        </w:rPr>
        <w:t xml:space="preserve"> </w:t>
      </w:r>
      <w:r>
        <w:rPr>
          <w:sz w:val="16"/>
        </w:rPr>
        <w:t>encuentra que</w:t>
      </w:r>
      <w:r>
        <w:rPr>
          <w:spacing w:val="-6"/>
          <w:sz w:val="16"/>
        </w:rPr>
        <w:t xml:space="preserve"> </w:t>
      </w:r>
      <w:r>
        <w:rPr>
          <w:sz w:val="16"/>
        </w:rPr>
        <w:t>el</w:t>
      </w:r>
      <w:r>
        <w:rPr>
          <w:spacing w:val="-9"/>
          <w:sz w:val="16"/>
        </w:rPr>
        <w:t xml:space="preserve"> </w:t>
      </w:r>
      <w:r>
        <w:rPr>
          <w:sz w:val="16"/>
        </w:rPr>
        <w:t>nombre</w:t>
      </w:r>
      <w:r>
        <w:rPr>
          <w:spacing w:val="-7"/>
          <w:sz w:val="16"/>
        </w:rPr>
        <w:t xml:space="preserve"> </w:t>
      </w:r>
      <w:r>
        <w:rPr>
          <w:sz w:val="16"/>
        </w:rPr>
        <w:t>de</w:t>
      </w:r>
      <w:r>
        <w:rPr>
          <w:spacing w:val="-8"/>
          <w:sz w:val="16"/>
        </w:rPr>
        <w:t xml:space="preserve"> </w:t>
      </w:r>
      <w:r>
        <w:rPr>
          <w:sz w:val="16"/>
        </w:rPr>
        <w:t>esta</w:t>
      </w:r>
      <w:r>
        <w:rPr>
          <w:spacing w:val="-9"/>
          <w:sz w:val="16"/>
        </w:rPr>
        <w:t xml:space="preserve"> </w:t>
      </w:r>
      <w:r>
        <w:rPr>
          <w:sz w:val="16"/>
        </w:rPr>
        <w:t>persona</w:t>
      </w:r>
      <w:r>
        <w:rPr>
          <w:spacing w:val="-6"/>
          <w:sz w:val="16"/>
        </w:rPr>
        <w:t xml:space="preserve"> </w:t>
      </w:r>
      <w:r>
        <w:rPr>
          <w:sz w:val="16"/>
        </w:rPr>
        <w:t>corresponde</w:t>
      </w:r>
      <w:r>
        <w:rPr>
          <w:spacing w:val="-6"/>
          <w:sz w:val="16"/>
        </w:rPr>
        <w:t xml:space="preserve"> </w:t>
      </w:r>
      <w:r>
        <w:rPr>
          <w:sz w:val="16"/>
        </w:rPr>
        <w:t>al</w:t>
      </w:r>
      <w:r>
        <w:rPr>
          <w:spacing w:val="-7"/>
          <w:sz w:val="16"/>
        </w:rPr>
        <w:t xml:space="preserve"> </w:t>
      </w:r>
      <w:r>
        <w:rPr>
          <w:sz w:val="16"/>
        </w:rPr>
        <w:t>indicado</w:t>
      </w:r>
      <w:r>
        <w:rPr>
          <w:spacing w:val="-8"/>
          <w:sz w:val="16"/>
        </w:rPr>
        <w:t xml:space="preserve"> </w:t>
      </w:r>
      <w:r>
        <w:rPr>
          <w:sz w:val="16"/>
        </w:rPr>
        <w:t>en</w:t>
      </w:r>
      <w:r>
        <w:rPr>
          <w:spacing w:val="-8"/>
          <w:sz w:val="16"/>
        </w:rPr>
        <w:t xml:space="preserve"> </w:t>
      </w:r>
      <w:r>
        <w:rPr>
          <w:sz w:val="16"/>
        </w:rPr>
        <w:t>las</w:t>
      </w:r>
      <w:r>
        <w:rPr>
          <w:spacing w:val="-6"/>
          <w:sz w:val="16"/>
        </w:rPr>
        <w:t xml:space="preserve"> </w:t>
      </w:r>
      <w:r>
        <w:rPr>
          <w:sz w:val="16"/>
        </w:rPr>
        <w:t>pruebas</w:t>
      </w:r>
      <w:r>
        <w:rPr>
          <w:spacing w:val="-6"/>
          <w:sz w:val="16"/>
        </w:rPr>
        <w:t xml:space="preserve"> </w:t>
      </w:r>
      <w:r>
        <w:rPr>
          <w:sz w:val="16"/>
        </w:rPr>
        <w:t>aportadas</w:t>
      </w:r>
      <w:r>
        <w:rPr>
          <w:spacing w:val="-7"/>
          <w:sz w:val="16"/>
        </w:rPr>
        <w:t xml:space="preserve"> </w:t>
      </w:r>
      <w:r>
        <w:rPr>
          <w:sz w:val="16"/>
        </w:rPr>
        <w:t>por</w:t>
      </w:r>
      <w:r>
        <w:rPr>
          <w:spacing w:val="-7"/>
          <w:sz w:val="16"/>
        </w:rPr>
        <w:t xml:space="preserve"> </w:t>
      </w:r>
      <w:r>
        <w:rPr>
          <w:sz w:val="16"/>
        </w:rPr>
        <w:t>los</w:t>
      </w:r>
      <w:r>
        <w:rPr>
          <w:spacing w:val="-8"/>
          <w:sz w:val="16"/>
        </w:rPr>
        <w:t xml:space="preserve"> </w:t>
      </w:r>
      <w:r>
        <w:rPr>
          <w:sz w:val="16"/>
        </w:rPr>
        <w:t>representantes</w:t>
      </w:r>
      <w:r>
        <w:rPr>
          <w:spacing w:val="-5"/>
          <w:sz w:val="16"/>
        </w:rPr>
        <w:t xml:space="preserve"> </w:t>
      </w:r>
      <w:r>
        <w:rPr>
          <w:sz w:val="16"/>
        </w:rPr>
        <w:t>(expediente</w:t>
      </w:r>
      <w:bookmarkStart w:id="579" w:name="_bookmark504"/>
      <w:bookmarkEnd w:id="579"/>
      <w:r>
        <w:rPr>
          <w:sz w:val="16"/>
        </w:rPr>
        <w:t xml:space="preserve"> de prueba, folio 1587) y por el Estado (expediente de prueba, folios 1983, 2106 y</w:t>
      </w:r>
      <w:r>
        <w:rPr>
          <w:spacing w:val="-25"/>
          <w:sz w:val="16"/>
        </w:rPr>
        <w:t xml:space="preserve"> </w:t>
      </w:r>
      <w:r>
        <w:rPr>
          <w:sz w:val="16"/>
        </w:rPr>
        <w:t>2154).</w:t>
      </w:r>
    </w:p>
    <w:p w14:paraId="3A37F23E" w14:textId="77777777" w:rsidR="00467FCA" w:rsidRDefault="001B68EB">
      <w:pPr>
        <w:ind w:left="118" w:right="114" w:firstLine="1"/>
        <w:jc w:val="both"/>
        <w:rPr>
          <w:sz w:val="16"/>
        </w:rPr>
      </w:pPr>
      <w:r>
        <w:rPr>
          <w:position w:val="6"/>
          <w:sz w:val="10"/>
        </w:rPr>
        <w:t>427</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xml:space="preserve">. 25/18). En ese listado, su nombre aparece reseñado como “Paulina Maria Silva Santos”. Asimismo, esta Corte encuentra que el nombre de esta persona corresponde al indicado en las pruebas aportadas por los representantes (expediente de prueba, folio 1586) </w:t>
      </w:r>
      <w:r>
        <w:rPr>
          <w:sz w:val="16"/>
        </w:rPr>
        <w:t>y por el Estado (expediente de prueba, folios 1958, 2072 y</w:t>
      </w:r>
      <w:r>
        <w:rPr>
          <w:spacing w:val="-22"/>
          <w:sz w:val="16"/>
        </w:rPr>
        <w:t xml:space="preserve"> </w:t>
      </w:r>
      <w:r>
        <w:rPr>
          <w:sz w:val="16"/>
        </w:rPr>
        <w:t>2171).</w:t>
      </w:r>
    </w:p>
    <w:p w14:paraId="0F550440" w14:textId="77777777" w:rsidR="00467FCA" w:rsidRDefault="001B68EB">
      <w:pPr>
        <w:ind w:left="119" w:right="114"/>
        <w:jc w:val="both"/>
        <w:rPr>
          <w:sz w:val="16"/>
        </w:rPr>
      </w:pPr>
      <w:bookmarkStart w:id="580" w:name="_bookmark505"/>
      <w:bookmarkEnd w:id="580"/>
      <w:r>
        <w:rPr>
          <w:position w:val="6"/>
          <w:sz w:val="10"/>
        </w:rPr>
        <w:t>428</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“Rita de Cassia C</w:t>
      </w:r>
      <w:r>
        <w:rPr>
          <w:sz w:val="16"/>
        </w:rPr>
        <w:t>. Santos”. Sin embargo, esta Corte encuentra que el nombre de esta persona corresponde a “Rita de Cassia Conceição Santos”, según consta en las pruebas aportadas por el Estado (expediente de prueba, folios 1996, 2075 y</w:t>
      </w:r>
      <w:r>
        <w:rPr>
          <w:spacing w:val="-14"/>
          <w:sz w:val="16"/>
        </w:rPr>
        <w:t xml:space="preserve"> </w:t>
      </w:r>
      <w:r>
        <w:rPr>
          <w:sz w:val="16"/>
        </w:rPr>
        <w:t>2084).</w:t>
      </w:r>
    </w:p>
    <w:p w14:paraId="4B90C8EA" w14:textId="77777777" w:rsidR="00467FCA" w:rsidRDefault="001B68EB">
      <w:pPr>
        <w:ind w:left="119" w:right="114"/>
        <w:jc w:val="both"/>
        <w:rPr>
          <w:sz w:val="16"/>
        </w:rPr>
      </w:pPr>
      <w:bookmarkStart w:id="581" w:name="_bookmark506"/>
      <w:bookmarkEnd w:id="581"/>
      <w:r>
        <w:rPr>
          <w:position w:val="6"/>
          <w:sz w:val="10"/>
        </w:rPr>
        <w:t>429</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w:t>
      </w:r>
      <w:r>
        <w:rPr>
          <w:sz w:val="16"/>
        </w:rPr>
        <w:t>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“Rosângela de Jesus França”. Asimismo, esta Corte encuentra que el nombre de esta persona corresponde al indicado en las pruebas aportadas por los</w:t>
      </w:r>
      <w:r>
        <w:rPr>
          <w:spacing w:val="33"/>
          <w:sz w:val="16"/>
        </w:rPr>
        <w:t xml:space="preserve"> </w:t>
      </w:r>
      <w:r>
        <w:rPr>
          <w:sz w:val="16"/>
        </w:rPr>
        <w:t>representantes</w:t>
      </w:r>
    </w:p>
    <w:p w14:paraId="0C78A5A8" w14:textId="77777777" w:rsidR="00467FCA" w:rsidRDefault="00467FCA">
      <w:pPr>
        <w:jc w:val="both"/>
        <w:rPr>
          <w:sz w:val="16"/>
        </w:rPr>
        <w:sectPr w:rsidR="00467FCA">
          <w:pgSz w:w="12240" w:h="15840"/>
          <w:pgMar w:top="1440" w:right="1320" w:bottom="1220" w:left="1320" w:header="0" w:footer="957"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467FCA" w14:paraId="37EF44BC" w14:textId="77777777">
        <w:trPr>
          <w:trHeight w:val="299"/>
        </w:trPr>
        <w:tc>
          <w:tcPr>
            <w:tcW w:w="523" w:type="dxa"/>
          </w:tcPr>
          <w:p w14:paraId="0B77E00C" w14:textId="77777777" w:rsidR="00467FCA" w:rsidRDefault="001B68EB">
            <w:pPr>
              <w:pStyle w:val="TableParagraph"/>
              <w:ind w:left="71"/>
              <w:jc w:val="left"/>
              <w:rPr>
                <w:sz w:val="20"/>
              </w:rPr>
            </w:pPr>
            <w:r>
              <w:rPr>
                <w:sz w:val="20"/>
              </w:rPr>
              <w:t>56</w:t>
            </w:r>
          </w:p>
        </w:tc>
        <w:tc>
          <w:tcPr>
            <w:tcW w:w="6564" w:type="dxa"/>
          </w:tcPr>
          <w:p w14:paraId="10DAE0D0" w14:textId="77777777" w:rsidR="00467FCA" w:rsidRDefault="001B68EB">
            <w:pPr>
              <w:pStyle w:val="TableParagraph"/>
              <w:ind w:left="69"/>
              <w:jc w:val="left"/>
              <w:rPr>
                <w:sz w:val="13"/>
              </w:rPr>
            </w:pPr>
            <w:r>
              <w:rPr>
                <w:sz w:val="20"/>
              </w:rPr>
              <w:t>Silvana Santos de Jesus</w:t>
            </w:r>
            <w:hyperlink w:anchor="_bookmark507" w:history="1">
              <w:r>
                <w:rPr>
                  <w:position w:val="7"/>
                  <w:sz w:val="13"/>
                </w:rPr>
                <w:t>430</w:t>
              </w:r>
            </w:hyperlink>
          </w:p>
        </w:tc>
      </w:tr>
      <w:tr w:rsidR="00467FCA" w14:paraId="3EFF1648" w14:textId="77777777">
        <w:trPr>
          <w:trHeight w:val="299"/>
        </w:trPr>
        <w:tc>
          <w:tcPr>
            <w:tcW w:w="523" w:type="dxa"/>
          </w:tcPr>
          <w:p w14:paraId="712CAA79" w14:textId="77777777" w:rsidR="00467FCA" w:rsidRDefault="001B68EB">
            <w:pPr>
              <w:pStyle w:val="TableParagraph"/>
              <w:ind w:left="71"/>
              <w:jc w:val="left"/>
              <w:rPr>
                <w:sz w:val="20"/>
              </w:rPr>
            </w:pPr>
            <w:r>
              <w:rPr>
                <w:sz w:val="20"/>
              </w:rPr>
              <w:t>57</w:t>
            </w:r>
          </w:p>
        </w:tc>
        <w:tc>
          <w:tcPr>
            <w:tcW w:w="6564" w:type="dxa"/>
          </w:tcPr>
          <w:p w14:paraId="5994DD6A" w14:textId="77777777" w:rsidR="00467FCA" w:rsidRDefault="001B68EB">
            <w:pPr>
              <w:pStyle w:val="TableParagraph"/>
              <w:ind w:left="69"/>
              <w:jc w:val="left"/>
              <w:rPr>
                <w:sz w:val="13"/>
              </w:rPr>
            </w:pPr>
            <w:r>
              <w:rPr>
                <w:sz w:val="20"/>
              </w:rPr>
              <w:t>Sueli da Silva Andrade</w:t>
            </w:r>
            <w:hyperlink w:anchor="_bookmark508" w:history="1">
              <w:r>
                <w:rPr>
                  <w:position w:val="7"/>
                  <w:sz w:val="13"/>
                </w:rPr>
                <w:t>431</w:t>
              </w:r>
            </w:hyperlink>
          </w:p>
        </w:tc>
      </w:tr>
      <w:tr w:rsidR="00467FCA" w14:paraId="4B0FAC2A" w14:textId="77777777">
        <w:trPr>
          <w:trHeight w:val="301"/>
        </w:trPr>
        <w:tc>
          <w:tcPr>
            <w:tcW w:w="523" w:type="dxa"/>
          </w:tcPr>
          <w:p w14:paraId="5B069BC6" w14:textId="77777777" w:rsidR="00467FCA" w:rsidRDefault="001B68EB">
            <w:pPr>
              <w:pStyle w:val="TableParagraph"/>
              <w:ind w:left="71"/>
              <w:jc w:val="left"/>
              <w:rPr>
                <w:sz w:val="20"/>
              </w:rPr>
            </w:pPr>
            <w:r>
              <w:rPr>
                <w:sz w:val="20"/>
              </w:rPr>
              <w:t>58</w:t>
            </w:r>
          </w:p>
        </w:tc>
        <w:tc>
          <w:tcPr>
            <w:tcW w:w="6564" w:type="dxa"/>
          </w:tcPr>
          <w:p w14:paraId="2792F00B" w14:textId="77777777" w:rsidR="00467FCA" w:rsidRDefault="001B68EB">
            <w:pPr>
              <w:pStyle w:val="TableParagraph"/>
              <w:ind w:left="69"/>
              <w:jc w:val="left"/>
              <w:rPr>
                <w:sz w:val="13"/>
              </w:rPr>
            </w:pPr>
            <w:r>
              <w:rPr>
                <w:sz w:val="20"/>
              </w:rPr>
              <w:t>Vanessa de Jesus Bittencourt</w:t>
            </w:r>
            <w:hyperlink w:anchor="_bookmark509" w:history="1">
              <w:r>
                <w:rPr>
                  <w:position w:val="7"/>
                  <w:sz w:val="13"/>
                </w:rPr>
                <w:t>432</w:t>
              </w:r>
            </w:hyperlink>
          </w:p>
        </w:tc>
      </w:tr>
      <w:tr w:rsidR="00467FCA" w14:paraId="62A180D8" w14:textId="77777777">
        <w:trPr>
          <w:trHeight w:val="299"/>
        </w:trPr>
        <w:tc>
          <w:tcPr>
            <w:tcW w:w="523" w:type="dxa"/>
          </w:tcPr>
          <w:p w14:paraId="334C9CC1" w14:textId="77777777" w:rsidR="00467FCA" w:rsidRDefault="001B68EB">
            <w:pPr>
              <w:pStyle w:val="TableParagraph"/>
              <w:ind w:left="71"/>
              <w:jc w:val="left"/>
              <w:rPr>
                <w:sz w:val="20"/>
              </w:rPr>
            </w:pPr>
            <w:r>
              <w:rPr>
                <w:sz w:val="20"/>
              </w:rPr>
              <w:t>59</w:t>
            </w:r>
          </w:p>
        </w:tc>
        <w:tc>
          <w:tcPr>
            <w:tcW w:w="6564" w:type="dxa"/>
          </w:tcPr>
          <w:p w14:paraId="1D265542" w14:textId="77777777" w:rsidR="00467FCA" w:rsidRDefault="001B68EB">
            <w:pPr>
              <w:pStyle w:val="TableParagraph"/>
              <w:ind w:left="69"/>
              <w:jc w:val="left"/>
              <w:rPr>
                <w:sz w:val="13"/>
              </w:rPr>
            </w:pPr>
            <w:r>
              <w:rPr>
                <w:sz w:val="20"/>
              </w:rPr>
              <w:t>Vânia de Jesus Bittencourt</w:t>
            </w:r>
            <w:hyperlink w:anchor="_bookmark510" w:history="1">
              <w:r>
                <w:rPr>
                  <w:position w:val="7"/>
                  <w:sz w:val="13"/>
                </w:rPr>
                <w:t>433</w:t>
              </w:r>
            </w:hyperlink>
          </w:p>
        </w:tc>
      </w:tr>
      <w:tr w:rsidR="00467FCA" w14:paraId="126E4C94" w14:textId="77777777">
        <w:trPr>
          <w:trHeight w:val="314"/>
        </w:trPr>
        <w:tc>
          <w:tcPr>
            <w:tcW w:w="523" w:type="dxa"/>
          </w:tcPr>
          <w:p w14:paraId="68D8BD53" w14:textId="77777777" w:rsidR="00467FCA" w:rsidRDefault="001B68EB">
            <w:pPr>
              <w:pStyle w:val="TableParagraph"/>
              <w:spacing w:before="36"/>
              <w:ind w:left="71"/>
              <w:jc w:val="left"/>
              <w:rPr>
                <w:sz w:val="20"/>
              </w:rPr>
            </w:pPr>
            <w:r>
              <w:rPr>
                <w:sz w:val="20"/>
              </w:rPr>
              <w:t>60</w:t>
            </w:r>
          </w:p>
        </w:tc>
        <w:tc>
          <w:tcPr>
            <w:tcW w:w="6564" w:type="dxa"/>
          </w:tcPr>
          <w:p w14:paraId="5DE417B4" w14:textId="77777777" w:rsidR="00467FCA" w:rsidRDefault="001B68EB">
            <w:pPr>
              <w:pStyle w:val="TableParagraph"/>
              <w:spacing w:before="36"/>
              <w:ind w:left="69"/>
              <w:jc w:val="left"/>
              <w:rPr>
                <w:sz w:val="13"/>
              </w:rPr>
            </w:pPr>
            <w:r>
              <w:rPr>
                <w:sz w:val="20"/>
              </w:rPr>
              <w:t>Verbena Silva Pires</w:t>
            </w:r>
            <w:hyperlink w:anchor="_bookmark511" w:history="1">
              <w:r>
                <w:rPr>
                  <w:position w:val="7"/>
                  <w:sz w:val="13"/>
                </w:rPr>
                <w:t>434</w:t>
              </w:r>
            </w:hyperlink>
          </w:p>
        </w:tc>
      </w:tr>
      <w:tr w:rsidR="00467FCA" w14:paraId="40E2EDEB" w14:textId="77777777">
        <w:trPr>
          <w:trHeight w:val="316"/>
        </w:trPr>
        <w:tc>
          <w:tcPr>
            <w:tcW w:w="7087" w:type="dxa"/>
            <w:gridSpan w:val="2"/>
          </w:tcPr>
          <w:p w14:paraId="2C7C8ABB" w14:textId="77777777" w:rsidR="00467FCA" w:rsidRDefault="001B68EB">
            <w:pPr>
              <w:pStyle w:val="TableParagraph"/>
              <w:spacing w:before="36"/>
              <w:ind w:left="71"/>
              <w:jc w:val="left"/>
              <w:rPr>
                <w:b/>
                <w:sz w:val="20"/>
              </w:rPr>
            </w:pPr>
            <w:r>
              <w:rPr>
                <w:b/>
                <w:sz w:val="20"/>
              </w:rPr>
              <w:t>Sobrevivientes a la explosión</w:t>
            </w:r>
          </w:p>
        </w:tc>
      </w:tr>
      <w:tr w:rsidR="00467FCA" w14:paraId="4831EEBC" w14:textId="77777777">
        <w:trPr>
          <w:trHeight w:val="314"/>
        </w:trPr>
        <w:tc>
          <w:tcPr>
            <w:tcW w:w="523" w:type="dxa"/>
          </w:tcPr>
          <w:p w14:paraId="5CCE1CDF" w14:textId="77777777" w:rsidR="00467FCA" w:rsidRDefault="001B68EB">
            <w:pPr>
              <w:pStyle w:val="TableParagraph"/>
              <w:spacing w:before="36"/>
              <w:ind w:left="71"/>
              <w:jc w:val="left"/>
              <w:rPr>
                <w:sz w:val="20"/>
              </w:rPr>
            </w:pPr>
            <w:r>
              <w:rPr>
                <w:sz w:val="20"/>
              </w:rPr>
              <w:t>61</w:t>
            </w:r>
          </w:p>
        </w:tc>
        <w:tc>
          <w:tcPr>
            <w:tcW w:w="6564" w:type="dxa"/>
          </w:tcPr>
          <w:p w14:paraId="6A36824F" w14:textId="77777777" w:rsidR="00467FCA" w:rsidRDefault="001B68EB">
            <w:pPr>
              <w:pStyle w:val="TableParagraph"/>
              <w:spacing w:before="36"/>
              <w:ind w:left="69"/>
              <w:jc w:val="left"/>
              <w:rPr>
                <w:sz w:val="20"/>
              </w:rPr>
            </w:pPr>
            <w:r>
              <w:rPr>
                <w:sz w:val="20"/>
              </w:rPr>
              <w:t>Bruno Silva dos Santos</w:t>
            </w:r>
          </w:p>
        </w:tc>
      </w:tr>
      <w:tr w:rsidR="00467FCA" w14:paraId="3ED22BA7" w14:textId="77777777">
        <w:trPr>
          <w:trHeight w:val="314"/>
        </w:trPr>
        <w:tc>
          <w:tcPr>
            <w:tcW w:w="523" w:type="dxa"/>
          </w:tcPr>
          <w:p w14:paraId="3EA07A90" w14:textId="77777777" w:rsidR="00467FCA" w:rsidRDefault="001B68EB">
            <w:pPr>
              <w:pStyle w:val="TableParagraph"/>
              <w:spacing w:before="36"/>
              <w:ind w:left="71"/>
              <w:jc w:val="left"/>
              <w:rPr>
                <w:sz w:val="20"/>
              </w:rPr>
            </w:pPr>
            <w:r>
              <w:rPr>
                <w:sz w:val="20"/>
              </w:rPr>
              <w:t>62</w:t>
            </w:r>
          </w:p>
        </w:tc>
        <w:tc>
          <w:tcPr>
            <w:tcW w:w="6564" w:type="dxa"/>
          </w:tcPr>
          <w:p w14:paraId="2D8ABF1B" w14:textId="77777777" w:rsidR="00467FCA" w:rsidRDefault="001B68EB">
            <w:pPr>
              <w:pStyle w:val="TableParagraph"/>
              <w:spacing w:before="36"/>
              <w:ind w:left="69"/>
              <w:jc w:val="left"/>
              <w:rPr>
                <w:sz w:val="20"/>
              </w:rPr>
            </w:pPr>
            <w:r>
              <w:rPr>
                <w:sz w:val="20"/>
              </w:rPr>
              <w:t>Claudia Reis dos Santos</w:t>
            </w:r>
          </w:p>
        </w:tc>
      </w:tr>
      <w:tr w:rsidR="00467FCA" w14:paraId="057F1860" w14:textId="77777777">
        <w:trPr>
          <w:trHeight w:val="316"/>
        </w:trPr>
        <w:tc>
          <w:tcPr>
            <w:tcW w:w="523" w:type="dxa"/>
          </w:tcPr>
          <w:p w14:paraId="1FE16C07" w14:textId="77777777" w:rsidR="00467FCA" w:rsidRDefault="001B68EB">
            <w:pPr>
              <w:pStyle w:val="TableParagraph"/>
              <w:spacing w:before="36"/>
              <w:ind w:left="71"/>
              <w:jc w:val="left"/>
              <w:rPr>
                <w:sz w:val="20"/>
              </w:rPr>
            </w:pPr>
            <w:r>
              <w:rPr>
                <w:sz w:val="20"/>
              </w:rPr>
              <w:t>63</w:t>
            </w:r>
          </w:p>
        </w:tc>
        <w:tc>
          <w:tcPr>
            <w:tcW w:w="6564" w:type="dxa"/>
          </w:tcPr>
          <w:p w14:paraId="25FA1186" w14:textId="77777777" w:rsidR="00467FCA" w:rsidRDefault="001B68EB">
            <w:pPr>
              <w:pStyle w:val="TableParagraph"/>
              <w:spacing w:before="36"/>
              <w:ind w:left="69"/>
              <w:jc w:val="left"/>
              <w:rPr>
                <w:sz w:val="20"/>
              </w:rPr>
            </w:pPr>
            <w:r>
              <w:rPr>
                <w:sz w:val="20"/>
              </w:rPr>
              <w:t>Leila Cerqueira dos Santos</w:t>
            </w:r>
          </w:p>
        </w:tc>
      </w:tr>
      <w:tr w:rsidR="00467FCA" w14:paraId="1F4284C2" w14:textId="77777777">
        <w:trPr>
          <w:trHeight w:val="314"/>
        </w:trPr>
        <w:tc>
          <w:tcPr>
            <w:tcW w:w="523" w:type="dxa"/>
          </w:tcPr>
          <w:p w14:paraId="77D6D46B" w14:textId="77777777" w:rsidR="00467FCA" w:rsidRDefault="001B68EB">
            <w:pPr>
              <w:pStyle w:val="TableParagraph"/>
              <w:spacing w:before="36"/>
              <w:ind w:left="71"/>
              <w:jc w:val="left"/>
              <w:rPr>
                <w:sz w:val="20"/>
              </w:rPr>
            </w:pPr>
            <w:r>
              <w:rPr>
                <w:sz w:val="20"/>
              </w:rPr>
              <w:t>64</w:t>
            </w:r>
          </w:p>
        </w:tc>
        <w:tc>
          <w:tcPr>
            <w:tcW w:w="6564" w:type="dxa"/>
          </w:tcPr>
          <w:p w14:paraId="079FF9E5" w14:textId="77777777" w:rsidR="00467FCA" w:rsidRDefault="001B68EB">
            <w:pPr>
              <w:pStyle w:val="TableParagraph"/>
              <w:spacing w:before="36"/>
              <w:ind w:left="69"/>
              <w:jc w:val="left"/>
              <w:rPr>
                <w:sz w:val="20"/>
              </w:rPr>
            </w:pPr>
            <w:r>
              <w:rPr>
                <w:sz w:val="20"/>
              </w:rPr>
              <w:t>Maria Joelma de Jesus Santos</w:t>
            </w:r>
          </w:p>
        </w:tc>
      </w:tr>
      <w:tr w:rsidR="00467FCA" w14:paraId="159691F4" w14:textId="77777777">
        <w:trPr>
          <w:trHeight w:val="316"/>
        </w:trPr>
        <w:tc>
          <w:tcPr>
            <w:tcW w:w="523" w:type="dxa"/>
          </w:tcPr>
          <w:p w14:paraId="55EBD3A7" w14:textId="77777777" w:rsidR="00467FCA" w:rsidRDefault="001B68EB">
            <w:pPr>
              <w:pStyle w:val="TableParagraph"/>
              <w:spacing w:before="36"/>
              <w:ind w:left="71"/>
              <w:jc w:val="left"/>
              <w:rPr>
                <w:sz w:val="20"/>
              </w:rPr>
            </w:pPr>
            <w:r>
              <w:rPr>
                <w:sz w:val="20"/>
              </w:rPr>
              <w:t>65</w:t>
            </w:r>
          </w:p>
        </w:tc>
        <w:tc>
          <w:tcPr>
            <w:tcW w:w="6564" w:type="dxa"/>
          </w:tcPr>
          <w:p w14:paraId="53238AF4" w14:textId="77777777" w:rsidR="00467FCA" w:rsidRDefault="001B68EB">
            <w:pPr>
              <w:pStyle w:val="TableParagraph"/>
              <w:spacing w:before="36"/>
              <w:ind w:left="69"/>
              <w:jc w:val="left"/>
              <w:rPr>
                <w:sz w:val="20"/>
              </w:rPr>
            </w:pPr>
            <w:r>
              <w:rPr>
                <w:sz w:val="20"/>
              </w:rPr>
              <w:t>Vitória França da Silva</w:t>
            </w:r>
          </w:p>
        </w:tc>
      </w:tr>
      <w:tr w:rsidR="00467FCA" w14:paraId="5E01F0CE" w14:textId="77777777">
        <w:trPr>
          <w:trHeight w:val="314"/>
        </w:trPr>
        <w:tc>
          <w:tcPr>
            <w:tcW w:w="523" w:type="dxa"/>
          </w:tcPr>
          <w:p w14:paraId="4C69F2EA" w14:textId="77777777" w:rsidR="00467FCA" w:rsidRDefault="001B68EB">
            <w:pPr>
              <w:pStyle w:val="TableParagraph"/>
              <w:spacing w:before="36"/>
              <w:ind w:left="71"/>
              <w:jc w:val="left"/>
              <w:rPr>
                <w:sz w:val="20"/>
              </w:rPr>
            </w:pPr>
            <w:r>
              <w:rPr>
                <w:sz w:val="20"/>
              </w:rPr>
              <w:t>66</w:t>
            </w:r>
          </w:p>
        </w:tc>
        <w:tc>
          <w:tcPr>
            <w:tcW w:w="6564" w:type="dxa"/>
          </w:tcPr>
          <w:p w14:paraId="1798DA78" w14:textId="77777777" w:rsidR="00467FCA" w:rsidRDefault="001B68EB">
            <w:pPr>
              <w:pStyle w:val="TableParagraph"/>
              <w:spacing w:before="36"/>
              <w:ind w:left="69"/>
              <w:jc w:val="left"/>
              <w:rPr>
                <w:sz w:val="20"/>
              </w:rPr>
            </w:pPr>
            <w:r>
              <w:rPr>
                <w:sz w:val="20"/>
              </w:rPr>
              <w:t>Wellington Silva dos Santos</w:t>
            </w:r>
          </w:p>
        </w:tc>
      </w:tr>
    </w:tbl>
    <w:p w14:paraId="0B7FE60E" w14:textId="77777777" w:rsidR="00467FCA" w:rsidRDefault="00467FCA">
      <w:pPr>
        <w:pStyle w:val="Textoindependiente"/>
      </w:pPr>
    </w:p>
    <w:p w14:paraId="44A96B0C" w14:textId="77777777" w:rsidR="00467FCA" w:rsidRDefault="00467FCA">
      <w:pPr>
        <w:pStyle w:val="Textoindependiente"/>
      </w:pPr>
    </w:p>
    <w:p w14:paraId="327C7B89" w14:textId="77777777" w:rsidR="00467FCA" w:rsidRDefault="00467FCA">
      <w:pPr>
        <w:pStyle w:val="Textoindependiente"/>
      </w:pPr>
    </w:p>
    <w:p w14:paraId="6C9BF7E1" w14:textId="77777777" w:rsidR="00467FCA" w:rsidRDefault="00467FCA">
      <w:pPr>
        <w:pStyle w:val="Textoindependiente"/>
      </w:pPr>
    </w:p>
    <w:p w14:paraId="36816D06" w14:textId="77777777" w:rsidR="00467FCA" w:rsidRDefault="00467FCA">
      <w:pPr>
        <w:pStyle w:val="Textoindependiente"/>
      </w:pPr>
    </w:p>
    <w:p w14:paraId="1E404371" w14:textId="77777777" w:rsidR="00467FCA" w:rsidRDefault="00467FCA">
      <w:pPr>
        <w:pStyle w:val="Textoindependiente"/>
      </w:pPr>
    </w:p>
    <w:p w14:paraId="22680BBC" w14:textId="77777777" w:rsidR="00467FCA" w:rsidRDefault="00467FCA">
      <w:pPr>
        <w:pStyle w:val="Textoindependiente"/>
      </w:pPr>
    </w:p>
    <w:p w14:paraId="0C97024B" w14:textId="77777777" w:rsidR="00467FCA" w:rsidRDefault="00467FCA">
      <w:pPr>
        <w:pStyle w:val="Textoindependiente"/>
      </w:pPr>
    </w:p>
    <w:p w14:paraId="183FA64E" w14:textId="77777777" w:rsidR="00467FCA" w:rsidRDefault="00467FCA">
      <w:pPr>
        <w:pStyle w:val="Textoindependiente"/>
      </w:pPr>
    </w:p>
    <w:p w14:paraId="5CDBB482" w14:textId="77777777" w:rsidR="00467FCA" w:rsidRDefault="00467FCA">
      <w:pPr>
        <w:pStyle w:val="Textoindependiente"/>
      </w:pPr>
    </w:p>
    <w:p w14:paraId="73A8C593" w14:textId="77777777" w:rsidR="00467FCA" w:rsidRDefault="00467FCA">
      <w:pPr>
        <w:pStyle w:val="Textoindependiente"/>
      </w:pPr>
    </w:p>
    <w:p w14:paraId="2CB09D40" w14:textId="77777777" w:rsidR="00467FCA" w:rsidRDefault="00467FCA">
      <w:pPr>
        <w:pStyle w:val="Textoindependiente"/>
      </w:pPr>
    </w:p>
    <w:p w14:paraId="0E8D7C0A" w14:textId="77777777" w:rsidR="00467FCA" w:rsidRDefault="00467FCA">
      <w:pPr>
        <w:pStyle w:val="Textoindependiente"/>
      </w:pPr>
    </w:p>
    <w:p w14:paraId="64DC52AA" w14:textId="77777777" w:rsidR="00467FCA" w:rsidRDefault="00467FCA">
      <w:pPr>
        <w:pStyle w:val="Textoindependiente"/>
      </w:pPr>
    </w:p>
    <w:p w14:paraId="735C2516" w14:textId="77777777" w:rsidR="00467FCA" w:rsidRDefault="00467FCA">
      <w:pPr>
        <w:pStyle w:val="Textoindependiente"/>
      </w:pPr>
    </w:p>
    <w:p w14:paraId="3107BB53" w14:textId="77777777" w:rsidR="00467FCA" w:rsidRDefault="00467FCA">
      <w:pPr>
        <w:pStyle w:val="Textoindependiente"/>
      </w:pPr>
    </w:p>
    <w:p w14:paraId="10AA1C39" w14:textId="77777777" w:rsidR="00467FCA" w:rsidRDefault="00467FCA">
      <w:pPr>
        <w:pStyle w:val="Textoindependiente"/>
      </w:pPr>
    </w:p>
    <w:p w14:paraId="69096B9B" w14:textId="77777777" w:rsidR="00467FCA" w:rsidRDefault="00467FCA">
      <w:pPr>
        <w:pStyle w:val="Textoindependiente"/>
      </w:pPr>
    </w:p>
    <w:p w14:paraId="2971FC4A" w14:textId="77777777" w:rsidR="00467FCA" w:rsidRDefault="00467FCA">
      <w:pPr>
        <w:pStyle w:val="Textoindependiente"/>
      </w:pPr>
    </w:p>
    <w:p w14:paraId="14E87AB4" w14:textId="77777777" w:rsidR="00467FCA" w:rsidRDefault="001B68EB">
      <w:pPr>
        <w:pStyle w:val="Textoindependiente"/>
        <w:rPr>
          <w:sz w:val="21"/>
        </w:rPr>
      </w:pPr>
      <w:r>
        <w:pict w14:anchorId="4C01DFB9">
          <v:shape id="_x0000_s1113" style="position:absolute;margin-left:1in;margin-top:15.05pt;width:2in;height:.1pt;z-index:-251573248;mso-wrap-distance-left:0;mso-wrap-distance-right:0;mso-position-horizontal-relative:page" coordorigin="1440,301" coordsize="2880,0" path="m1440,301r2880,e" filled="f" strokeweight=".6pt">
            <v:path arrowok="t"/>
            <w10:wrap type="topAndBottom" anchorx="page"/>
          </v:shape>
        </w:pict>
      </w:r>
    </w:p>
    <w:p w14:paraId="35B7FA5F" w14:textId="77777777" w:rsidR="00467FCA" w:rsidRDefault="001B68EB">
      <w:pPr>
        <w:spacing w:before="74"/>
        <w:ind w:left="120"/>
        <w:jc w:val="both"/>
        <w:rPr>
          <w:sz w:val="16"/>
        </w:rPr>
      </w:pPr>
      <w:r>
        <w:rPr>
          <w:sz w:val="16"/>
        </w:rPr>
        <w:t>(expediente de prueba, folio 1113) y por el Estado (expediente de prueba, folios 2001, 2090 y 2150).</w:t>
      </w:r>
    </w:p>
    <w:p w14:paraId="6E0CE414" w14:textId="77777777" w:rsidR="00467FCA" w:rsidRDefault="001B68EB">
      <w:pPr>
        <w:ind w:left="119" w:right="111"/>
        <w:jc w:val="both"/>
        <w:rPr>
          <w:sz w:val="16"/>
        </w:rPr>
      </w:pPr>
      <w:bookmarkStart w:id="582" w:name="_bookmark507"/>
      <w:bookmarkEnd w:id="582"/>
      <w:r>
        <w:rPr>
          <w:position w:val="6"/>
          <w:sz w:val="10"/>
        </w:rPr>
        <w:t>430</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4"/>
          <w:sz w:val="16"/>
        </w:rPr>
        <w:t xml:space="preserve"> </w:t>
      </w:r>
      <w:r>
        <w:rPr>
          <w:sz w:val="16"/>
        </w:rPr>
        <w:t>En</w:t>
      </w:r>
      <w:r>
        <w:rPr>
          <w:spacing w:val="-15"/>
          <w:sz w:val="16"/>
        </w:rPr>
        <w:t xml:space="preserve"> </w:t>
      </w:r>
      <w:r>
        <w:rPr>
          <w:sz w:val="16"/>
        </w:rPr>
        <w:t>ese</w:t>
      </w:r>
      <w:r>
        <w:rPr>
          <w:spacing w:val="-12"/>
          <w:sz w:val="16"/>
        </w:rPr>
        <w:t xml:space="preserve"> </w:t>
      </w:r>
      <w:r>
        <w:rPr>
          <w:sz w:val="16"/>
        </w:rPr>
        <w:t>listado,</w:t>
      </w:r>
      <w:r>
        <w:rPr>
          <w:spacing w:val="-13"/>
          <w:sz w:val="16"/>
        </w:rPr>
        <w:t xml:space="preserve"> </w:t>
      </w:r>
      <w:r>
        <w:rPr>
          <w:sz w:val="16"/>
        </w:rPr>
        <w:t>su</w:t>
      </w:r>
      <w:r>
        <w:rPr>
          <w:spacing w:val="-16"/>
          <w:sz w:val="16"/>
        </w:rPr>
        <w:t xml:space="preserve"> </w:t>
      </w:r>
      <w:r>
        <w:rPr>
          <w:sz w:val="16"/>
        </w:rPr>
        <w:t>nombre</w:t>
      </w:r>
      <w:r>
        <w:rPr>
          <w:spacing w:val="-14"/>
          <w:sz w:val="16"/>
        </w:rPr>
        <w:t xml:space="preserve"> </w:t>
      </w:r>
      <w:r>
        <w:rPr>
          <w:sz w:val="16"/>
        </w:rPr>
        <w:t>aparece</w:t>
      </w:r>
      <w:r>
        <w:rPr>
          <w:spacing w:val="-14"/>
          <w:sz w:val="16"/>
        </w:rPr>
        <w:t xml:space="preserve"> </w:t>
      </w:r>
      <w:r>
        <w:rPr>
          <w:sz w:val="16"/>
        </w:rPr>
        <w:t>reseñado</w:t>
      </w:r>
      <w:r>
        <w:rPr>
          <w:spacing w:val="-14"/>
          <w:sz w:val="16"/>
        </w:rPr>
        <w:t xml:space="preserve"> </w:t>
      </w:r>
      <w:r>
        <w:rPr>
          <w:sz w:val="16"/>
        </w:rPr>
        <w:t>como</w:t>
      </w:r>
      <w:r>
        <w:rPr>
          <w:spacing w:val="-15"/>
          <w:sz w:val="16"/>
        </w:rPr>
        <w:t xml:space="preserve"> </w:t>
      </w:r>
      <w:r>
        <w:rPr>
          <w:sz w:val="16"/>
        </w:rPr>
        <w:t>“Silvana</w:t>
      </w:r>
      <w:r>
        <w:rPr>
          <w:spacing w:val="-13"/>
          <w:sz w:val="16"/>
        </w:rPr>
        <w:t xml:space="preserve"> </w:t>
      </w:r>
      <w:r>
        <w:rPr>
          <w:sz w:val="16"/>
        </w:rPr>
        <w:t>Santos</w:t>
      </w:r>
      <w:r>
        <w:rPr>
          <w:spacing w:val="-14"/>
          <w:sz w:val="16"/>
        </w:rPr>
        <w:t xml:space="preserve"> </w:t>
      </w:r>
      <w:r>
        <w:rPr>
          <w:sz w:val="16"/>
        </w:rPr>
        <w:t>de</w:t>
      </w:r>
      <w:r>
        <w:rPr>
          <w:spacing w:val="-12"/>
          <w:sz w:val="16"/>
        </w:rPr>
        <w:t xml:space="preserve"> </w:t>
      </w:r>
      <w:r>
        <w:rPr>
          <w:sz w:val="16"/>
        </w:rPr>
        <w:t>Jesus”.</w:t>
      </w:r>
      <w:r>
        <w:rPr>
          <w:spacing w:val="-16"/>
          <w:sz w:val="16"/>
        </w:rPr>
        <w:t xml:space="preserve"> </w:t>
      </w:r>
      <w:r>
        <w:rPr>
          <w:sz w:val="16"/>
        </w:rPr>
        <w:t>Asimismo,</w:t>
      </w:r>
      <w:r>
        <w:rPr>
          <w:spacing w:val="-15"/>
          <w:sz w:val="16"/>
        </w:rPr>
        <w:t xml:space="preserve"> </w:t>
      </w:r>
      <w:r>
        <w:rPr>
          <w:sz w:val="16"/>
        </w:rPr>
        <w:t>esta</w:t>
      </w:r>
      <w:r>
        <w:rPr>
          <w:spacing w:val="-15"/>
          <w:sz w:val="16"/>
        </w:rPr>
        <w:t xml:space="preserve"> </w:t>
      </w:r>
      <w:r>
        <w:rPr>
          <w:sz w:val="16"/>
        </w:rPr>
        <w:t>Corte</w:t>
      </w:r>
      <w:r>
        <w:rPr>
          <w:spacing w:val="-14"/>
          <w:sz w:val="16"/>
        </w:rPr>
        <w:t xml:space="preserve"> </w:t>
      </w:r>
      <w:r>
        <w:rPr>
          <w:sz w:val="16"/>
        </w:rPr>
        <w:t>encuentra que</w:t>
      </w:r>
      <w:r>
        <w:rPr>
          <w:spacing w:val="-6"/>
          <w:sz w:val="16"/>
        </w:rPr>
        <w:t xml:space="preserve"> </w:t>
      </w:r>
      <w:r>
        <w:rPr>
          <w:sz w:val="16"/>
        </w:rPr>
        <w:t>el</w:t>
      </w:r>
      <w:r>
        <w:rPr>
          <w:spacing w:val="-9"/>
          <w:sz w:val="16"/>
        </w:rPr>
        <w:t xml:space="preserve"> </w:t>
      </w:r>
      <w:r>
        <w:rPr>
          <w:sz w:val="16"/>
        </w:rPr>
        <w:t>nombre</w:t>
      </w:r>
      <w:r>
        <w:rPr>
          <w:spacing w:val="-8"/>
          <w:sz w:val="16"/>
        </w:rPr>
        <w:t xml:space="preserve"> </w:t>
      </w:r>
      <w:r>
        <w:rPr>
          <w:sz w:val="16"/>
        </w:rPr>
        <w:t>de</w:t>
      </w:r>
      <w:r>
        <w:rPr>
          <w:spacing w:val="-7"/>
          <w:sz w:val="16"/>
        </w:rPr>
        <w:t xml:space="preserve"> </w:t>
      </w:r>
      <w:r>
        <w:rPr>
          <w:sz w:val="16"/>
        </w:rPr>
        <w:t>esta</w:t>
      </w:r>
      <w:r>
        <w:rPr>
          <w:spacing w:val="-9"/>
          <w:sz w:val="16"/>
        </w:rPr>
        <w:t xml:space="preserve"> </w:t>
      </w:r>
      <w:r>
        <w:rPr>
          <w:sz w:val="16"/>
        </w:rPr>
        <w:t>persona</w:t>
      </w:r>
      <w:r>
        <w:rPr>
          <w:spacing w:val="-7"/>
          <w:sz w:val="16"/>
        </w:rPr>
        <w:t xml:space="preserve"> </w:t>
      </w:r>
      <w:r>
        <w:rPr>
          <w:sz w:val="16"/>
        </w:rPr>
        <w:t>corresponde</w:t>
      </w:r>
      <w:r>
        <w:rPr>
          <w:spacing w:val="-6"/>
          <w:sz w:val="16"/>
        </w:rPr>
        <w:t xml:space="preserve"> </w:t>
      </w:r>
      <w:r>
        <w:rPr>
          <w:sz w:val="16"/>
        </w:rPr>
        <w:t>al</w:t>
      </w:r>
      <w:r>
        <w:rPr>
          <w:spacing w:val="-6"/>
          <w:sz w:val="16"/>
        </w:rPr>
        <w:t xml:space="preserve"> </w:t>
      </w:r>
      <w:r>
        <w:rPr>
          <w:sz w:val="16"/>
        </w:rPr>
        <w:t>indicado</w:t>
      </w:r>
      <w:r>
        <w:rPr>
          <w:spacing w:val="-8"/>
          <w:sz w:val="16"/>
        </w:rPr>
        <w:t xml:space="preserve"> </w:t>
      </w:r>
      <w:r>
        <w:rPr>
          <w:sz w:val="16"/>
        </w:rPr>
        <w:t>en</w:t>
      </w:r>
      <w:r>
        <w:rPr>
          <w:spacing w:val="-9"/>
          <w:sz w:val="16"/>
        </w:rPr>
        <w:t xml:space="preserve"> </w:t>
      </w:r>
      <w:r>
        <w:rPr>
          <w:sz w:val="16"/>
        </w:rPr>
        <w:t>las</w:t>
      </w:r>
      <w:r>
        <w:rPr>
          <w:spacing w:val="-5"/>
          <w:sz w:val="16"/>
        </w:rPr>
        <w:t xml:space="preserve"> </w:t>
      </w:r>
      <w:r>
        <w:rPr>
          <w:sz w:val="16"/>
        </w:rPr>
        <w:t>pruebas</w:t>
      </w:r>
      <w:r>
        <w:rPr>
          <w:spacing w:val="-6"/>
          <w:sz w:val="16"/>
        </w:rPr>
        <w:t xml:space="preserve"> </w:t>
      </w:r>
      <w:r>
        <w:rPr>
          <w:sz w:val="16"/>
        </w:rPr>
        <w:t>aportadas</w:t>
      </w:r>
      <w:r>
        <w:rPr>
          <w:spacing w:val="-8"/>
          <w:sz w:val="16"/>
        </w:rPr>
        <w:t xml:space="preserve"> </w:t>
      </w:r>
      <w:r>
        <w:rPr>
          <w:sz w:val="16"/>
        </w:rPr>
        <w:t>por</w:t>
      </w:r>
      <w:r>
        <w:rPr>
          <w:spacing w:val="-7"/>
          <w:sz w:val="16"/>
        </w:rPr>
        <w:t xml:space="preserve"> </w:t>
      </w:r>
      <w:r>
        <w:rPr>
          <w:sz w:val="16"/>
        </w:rPr>
        <w:t>los</w:t>
      </w:r>
      <w:r>
        <w:rPr>
          <w:spacing w:val="-7"/>
          <w:sz w:val="16"/>
        </w:rPr>
        <w:t xml:space="preserve"> </w:t>
      </w:r>
      <w:r>
        <w:rPr>
          <w:sz w:val="16"/>
        </w:rPr>
        <w:t>representantes</w:t>
      </w:r>
      <w:r>
        <w:rPr>
          <w:spacing w:val="-6"/>
          <w:sz w:val="16"/>
        </w:rPr>
        <w:t xml:space="preserve"> </w:t>
      </w:r>
      <w:r>
        <w:rPr>
          <w:sz w:val="16"/>
        </w:rPr>
        <w:t>(expediente de prueba, folio 1112) y por el Estado (expediente de p</w:t>
      </w:r>
      <w:r>
        <w:rPr>
          <w:sz w:val="16"/>
        </w:rPr>
        <w:t>rueba, folios 1990, 2059 y</w:t>
      </w:r>
      <w:r>
        <w:rPr>
          <w:spacing w:val="-24"/>
          <w:sz w:val="16"/>
        </w:rPr>
        <w:t xml:space="preserve"> </w:t>
      </w:r>
      <w:r>
        <w:rPr>
          <w:sz w:val="16"/>
        </w:rPr>
        <w:t>2149).</w:t>
      </w:r>
    </w:p>
    <w:p w14:paraId="7F96BDBC" w14:textId="77777777" w:rsidR="00467FCA" w:rsidRDefault="001B68EB">
      <w:pPr>
        <w:ind w:left="119" w:right="114"/>
        <w:jc w:val="both"/>
        <w:rPr>
          <w:sz w:val="16"/>
        </w:rPr>
      </w:pPr>
      <w:bookmarkStart w:id="583" w:name="_bookmark508"/>
      <w:bookmarkEnd w:id="583"/>
      <w:r>
        <w:rPr>
          <w:position w:val="6"/>
          <w:sz w:val="10"/>
        </w:rPr>
        <w:t>431</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“Suely da Silva Andrade”. Sin embargo, esta Corte encuentra que el nombre de esta persona corresponde a “Sueli da Silva Andrade”, según consta en las pruebas</w:t>
      </w:r>
      <w:bookmarkStart w:id="584" w:name="_bookmark509"/>
      <w:bookmarkEnd w:id="584"/>
      <w:r>
        <w:rPr>
          <w:sz w:val="16"/>
        </w:rPr>
        <w:t xml:space="preserve"> aportadas por el Estado (expediente de p</w:t>
      </w:r>
      <w:r>
        <w:rPr>
          <w:sz w:val="16"/>
        </w:rPr>
        <w:t>rueba, folios 1991, 2023 y</w:t>
      </w:r>
      <w:r>
        <w:rPr>
          <w:spacing w:val="-11"/>
          <w:sz w:val="16"/>
        </w:rPr>
        <w:t xml:space="preserve"> </w:t>
      </w:r>
      <w:r>
        <w:rPr>
          <w:sz w:val="16"/>
        </w:rPr>
        <w:t>2162).</w:t>
      </w:r>
    </w:p>
    <w:p w14:paraId="54F9D9D8" w14:textId="77777777" w:rsidR="00467FCA" w:rsidRDefault="001B68EB">
      <w:pPr>
        <w:ind w:left="119" w:right="113"/>
        <w:jc w:val="both"/>
        <w:rPr>
          <w:sz w:val="16"/>
        </w:rPr>
      </w:pPr>
      <w:r>
        <w:rPr>
          <w:position w:val="6"/>
          <w:sz w:val="10"/>
        </w:rPr>
        <w:t>432</w:t>
      </w:r>
      <w:r>
        <w:rPr>
          <w:spacing w:val="16"/>
          <w:position w:val="6"/>
          <w:sz w:val="10"/>
        </w:rPr>
        <w:t xml:space="preserve"> </w:t>
      </w:r>
      <w:r>
        <w:rPr>
          <w:sz w:val="16"/>
        </w:rPr>
        <w:t>Esta</w:t>
      </w:r>
      <w:r>
        <w:rPr>
          <w:spacing w:val="-6"/>
          <w:sz w:val="16"/>
        </w:rPr>
        <w:t xml:space="preserve"> </w:t>
      </w:r>
      <w:r>
        <w:rPr>
          <w:sz w:val="16"/>
        </w:rPr>
        <w:t>persona</w:t>
      </w:r>
      <w:r>
        <w:rPr>
          <w:spacing w:val="-7"/>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“Vanessa de Jesus Bittencourt”. Asimismo, esta Corte encuentra que el nombre de esta persona corresponde al indicado en las pruebas aportadas por los representantes</w:t>
      </w:r>
      <w:bookmarkStart w:id="585" w:name="_bookmark510"/>
      <w:bookmarkEnd w:id="585"/>
      <w:r>
        <w:rPr>
          <w:sz w:val="16"/>
        </w:rPr>
        <w:t xml:space="preserve"> (expediente de prueba, folio 1586</w:t>
      </w:r>
      <w:r>
        <w:rPr>
          <w:sz w:val="16"/>
        </w:rPr>
        <w:t>) y por el Estado (expediente de prueba, folios 2129 y</w:t>
      </w:r>
      <w:r>
        <w:rPr>
          <w:spacing w:val="-20"/>
          <w:sz w:val="16"/>
        </w:rPr>
        <w:t xml:space="preserve"> </w:t>
      </w:r>
      <w:r>
        <w:rPr>
          <w:sz w:val="16"/>
        </w:rPr>
        <w:t>2141).</w:t>
      </w:r>
    </w:p>
    <w:p w14:paraId="102719C0" w14:textId="77777777" w:rsidR="00467FCA" w:rsidRDefault="001B68EB">
      <w:pPr>
        <w:ind w:left="118" w:right="114" w:firstLine="1"/>
        <w:jc w:val="both"/>
        <w:rPr>
          <w:sz w:val="16"/>
        </w:rPr>
      </w:pPr>
      <w:r>
        <w:rPr>
          <w:position w:val="6"/>
          <w:sz w:val="10"/>
        </w:rPr>
        <w:t>433</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 En ese listado, su nombre aparece reseñado como “Vânia de Jesus Bittencourt”. Asimismo, esta Corte encuentra que el nombre de esta persona corresponde al indicado en las pruebas aportadas por los representantes</w:t>
      </w:r>
      <w:bookmarkStart w:id="586" w:name="_bookmark511"/>
      <w:bookmarkEnd w:id="586"/>
      <w:r>
        <w:rPr>
          <w:sz w:val="16"/>
        </w:rPr>
        <w:t xml:space="preserve"> (expediente de prueba, folio 1112) </w:t>
      </w:r>
      <w:r>
        <w:rPr>
          <w:sz w:val="16"/>
        </w:rPr>
        <w:t>y por el Estado (expediente de prueba, folios 2129 y</w:t>
      </w:r>
      <w:r>
        <w:rPr>
          <w:spacing w:val="-20"/>
          <w:sz w:val="16"/>
        </w:rPr>
        <w:t xml:space="preserve"> </w:t>
      </w:r>
      <w:r>
        <w:rPr>
          <w:sz w:val="16"/>
        </w:rPr>
        <w:t>2141).</w:t>
      </w:r>
    </w:p>
    <w:p w14:paraId="47138BE7" w14:textId="77777777" w:rsidR="00467FCA" w:rsidRDefault="001B68EB">
      <w:pPr>
        <w:ind w:left="118" w:right="114" w:firstLine="1"/>
        <w:jc w:val="both"/>
        <w:rPr>
          <w:sz w:val="16"/>
        </w:rPr>
      </w:pPr>
      <w:r>
        <w:rPr>
          <w:position w:val="6"/>
          <w:sz w:val="10"/>
        </w:rPr>
        <w:t>434</w:t>
      </w:r>
      <w:r>
        <w:rPr>
          <w:spacing w:val="16"/>
          <w:position w:val="6"/>
          <w:sz w:val="10"/>
        </w:rPr>
        <w:t xml:space="preserve"> </w:t>
      </w:r>
      <w:r>
        <w:rPr>
          <w:sz w:val="16"/>
        </w:rPr>
        <w:t>Esta</w:t>
      </w:r>
      <w:r>
        <w:rPr>
          <w:spacing w:val="-6"/>
          <w:sz w:val="16"/>
        </w:rPr>
        <w:t xml:space="preserve"> </w:t>
      </w:r>
      <w:r>
        <w:rPr>
          <w:sz w:val="16"/>
        </w:rPr>
        <w:t>persona</w:t>
      </w:r>
      <w:r>
        <w:rPr>
          <w:spacing w:val="-6"/>
          <w:sz w:val="16"/>
        </w:rPr>
        <w:t xml:space="preserve"> </w:t>
      </w:r>
      <w:r>
        <w:rPr>
          <w:sz w:val="16"/>
        </w:rPr>
        <w:t>aparece</w:t>
      </w:r>
      <w:r>
        <w:rPr>
          <w:spacing w:val="-7"/>
          <w:sz w:val="16"/>
        </w:rPr>
        <w:t xml:space="preserve"> </w:t>
      </w:r>
      <w:r>
        <w:rPr>
          <w:sz w:val="16"/>
        </w:rPr>
        <w:t>relacionada</w:t>
      </w:r>
      <w:r>
        <w:rPr>
          <w:spacing w:val="-7"/>
          <w:sz w:val="16"/>
        </w:rPr>
        <w:t xml:space="preserve"> </w:t>
      </w:r>
      <w:r>
        <w:rPr>
          <w:sz w:val="16"/>
        </w:rPr>
        <w:t>en</w:t>
      </w:r>
      <w:r>
        <w:rPr>
          <w:spacing w:val="-6"/>
          <w:sz w:val="16"/>
        </w:rPr>
        <w:t xml:space="preserve"> </w:t>
      </w:r>
      <w:r>
        <w:rPr>
          <w:sz w:val="16"/>
        </w:rPr>
        <w:t>el</w:t>
      </w:r>
      <w:r>
        <w:rPr>
          <w:spacing w:val="-6"/>
          <w:sz w:val="16"/>
        </w:rPr>
        <w:t xml:space="preserve"> </w:t>
      </w:r>
      <w:r>
        <w:rPr>
          <w:sz w:val="16"/>
        </w:rPr>
        <w:t>listado</w:t>
      </w:r>
      <w:r>
        <w:rPr>
          <w:spacing w:val="-7"/>
          <w:sz w:val="16"/>
        </w:rPr>
        <w:t xml:space="preserve"> </w:t>
      </w:r>
      <w:r>
        <w:rPr>
          <w:sz w:val="16"/>
        </w:rPr>
        <w:t>de</w:t>
      </w:r>
      <w:r>
        <w:rPr>
          <w:spacing w:val="-7"/>
          <w:sz w:val="16"/>
        </w:rPr>
        <w:t xml:space="preserve"> </w:t>
      </w:r>
      <w:r>
        <w:rPr>
          <w:sz w:val="16"/>
        </w:rPr>
        <w:t>víctimas</w:t>
      </w:r>
      <w:r>
        <w:rPr>
          <w:spacing w:val="-6"/>
          <w:sz w:val="16"/>
        </w:rPr>
        <w:t xml:space="preserve"> </w:t>
      </w:r>
      <w:r>
        <w:rPr>
          <w:sz w:val="16"/>
        </w:rPr>
        <w:t>aportado</w:t>
      </w:r>
      <w:r>
        <w:rPr>
          <w:spacing w:val="-7"/>
          <w:sz w:val="16"/>
        </w:rPr>
        <w:t xml:space="preserve"> </w:t>
      </w:r>
      <w:r>
        <w:rPr>
          <w:sz w:val="16"/>
        </w:rPr>
        <w:t>por</w:t>
      </w:r>
      <w:r>
        <w:rPr>
          <w:spacing w:val="-5"/>
          <w:sz w:val="16"/>
        </w:rPr>
        <w:t xml:space="preserve"> </w:t>
      </w:r>
      <w:r>
        <w:rPr>
          <w:sz w:val="16"/>
        </w:rPr>
        <w:t>la</w:t>
      </w:r>
      <w:r>
        <w:rPr>
          <w:spacing w:val="-8"/>
          <w:sz w:val="16"/>
        </w:rPr>
        <w:t xml:space="preserve"> </w:t>
      </w:r>
      <w:r>
        <w:rPr>
          <w:sz w:val="16"/>
        </w:rPr>
        <w:t>Comisión</w:t>
      </w:r>
      <w:r>
        <w:rPr>
          <w:spacing w:val="-6"/>
          <w:sz w:val="16"/>
        </w:rPr>
        <w:t xml:space="preserve"> </w:t>
      </w:r>
      <w:r>
        <w:rPr>
          <w:sz w:val="16"/>
        </w:rPr>
        <w:t>(Anexo</w:t>
      </w:r>
      <w:r>
        <w:rPr>
          <w:spacing w:val="-5"/>
          <w:sz w:val="16"/>
        </w:rPr>
        <w:t xml:space="preserve"> </w:t>
      </w:r>
      <w:r>
        <w:rPr>
          <w:sz w:val="16"/>
        </w:rPr>
        <w:t>único</w:t>
      </w:r>
      <w:r>
        <w:rPr>
          <w:spacing w:val="-7"/>
          <w:sz w:val="16"/>
        </w:rPr>
        <w:t xml:space="preserve"> </w:t>
      </w:r>
      <w:r>
        <w:rPr>
          <w:sz w:val="16"/>
        </w:rPr>
        <w:t>del</w:t>
      </w:r>
      <w:r>
        <w:rPr>
          <w:spacing w:val="-7"/>
          <w:sz w:val="16"/>
        </w:rPr>
        <w:t xml:space="preserve"> </w:t>
      </w:r>
      <w:r>
        <w:rPr>
          <w:sz w:val="16"/>
        </w:rPr>
        <w:t>Informe</w:t>
      </w:r>
      <w:r>
        <w:rPr>
          <w:spacing w:val="-5"/>
          <w:sz w:val="16"/>
        </w:rPr>
        <w:t xml:space="preserve"> </w:t>
      </w:r>
      <w:r>
        <w:rPr>
          <w:sz w:val="16"/>
        </w:rPr>
        <w:t>N</w:t>
      </w:r>
      <w:r>
        <w:rPr>
          <w:position w:val="6"/>
          <w:sz w:val="10"/>
        </w:rPr>
        <w:t>o</w:t>
      </w:r>
      <w:r>
        <w:rPr>
          <w:sz w:val="16"/>
        </w:rPr>
        <w:t>. 25/18).</w:t>
      </w:r>
      <w:r>
        <w:rPr>
          <w:spacing w:val="-10"/>
          <w:sz w:val="16"/>
        </w:rPr>
        <w:t xml:space="preserve"> </w:t>
      </w:r>
      <w:r>
        <w:rPr>
          <w:sz w:val="16"/>
        </w:rPr>
        <w:t>En</w:t>
      </w:r>
      <w:r>
        <w:rPr>
          <w:spacing w:val="-8"/>
          <w:sz w:val="16"/>
        </w:rPr>
        <w:t xml:space="preserve"> </w:t>
      </w:r>
      <w:r>
        <w:rPr>
          <w:sz w:val="16"/>
        </w:rPr>
        <w:t>ese</w:t>
      </w:r>
      <w:r>
        <w:rPr>
          <w:spacing w:val="-7"/>
          <w:sz w:val="16"/>
        </w:rPr>
        <w:t xml:space="preserve"> </w:t>
      </w:r>
      <w:r>
        <w:rPr>
          <w:sz w:val="16"/>
        </w:rPr>
        <w:t>listado,</w:t>
      </w:r>
      <w:r>
        <w:rPr>
          <w:spacing w:val="-8"/>
          <w:sz w:val="16"/>
        </w:rPr>
        <w:t xml:space="preserve"> </w:t>
      </w:r>
      <w:r>
        <w:rPr>
          <w:sz w:val="16"/>
        </w:rPr>
        <w:t>su</w:t>
      </w:r>
      <w:r>
        <w:rPr>
          <w:spacing w:val="-8"/>
          <w:sz w:val="16"/>
        </w:rPr>
        <w:t xml:space="preserve"> </w:t>
      </w:r>
      <w:r>
        <w:rPr>
          <w:sz w:val="16"/>
        </w:rPr>
        <w:t>nombre</w:t>
      </w:r>
      <w:r>
        <w:rPr>
          <w:spacing w:val="-10"/>
          <w:sz w:val="16"/>
        </w:rPr>
        <w:t xml:space="preserve"> </w:t>
      </w:r>
      <w:r>
        <w:rPr>
          <w:sz w:val="16"/>
        </w:rPr>
        <w:t>aparece</w:t>
      </w:r>
      <w:r>
        <w:rPr>
          <w:spacing w:val="-10"/>
          <w:sz w:val="16"/>
        </w:rPr>
        <w:t xml:space="preserve"> </w:t>
      </w:r>
      <w:r>
        <w:rPr>
          <w:sz w:val="16"/>
        </w:rPr>
        <w:t>reseñado</w:t>
      </w:r>
      <w:r>
        <w:rPr>
          <w:spacing w:val="-10"/>
          <w:sz w:val="16"/>
        </w:rPr>
        <w:t xml:space="preserve"> </w:t>
      </w:r>
      <w:r>
        <w:rPr>
          <w:sz w:val="16"/>
        </w:rPr>
        <w:t>como</w:t>
      </w:r>
      <w:r>
        <w:rPr>
          <w:spacing w:val="-11"/>
          <w:sz w:val="16"/>
        </w:rPr>
        <w:t xml:space="preserve"> </w:t>
      </w:r>
      <w:r>
        <w:rPr>
          <w:sz w:val="16"/>
        </w:rPr>
        <w:t>“Verbênia</w:t>
      </w:r>
      <w:r>
        <w:rPr>
          <w:spacing w:val="-11"/>
          <w:sz w:val="16"/>
        </w:rPr>
        <w:t xml:space="preserve"> </w:t>
      </w:r>
      <w:r>
        <w:rPr>
          <w:sz w:val="16"/>
        </w:rPr>
        <w:t>Silva</w:t>
      </w:r>
      <w:r>
        <w:rPr>
          <w:spacing w:val="-8"/>
          <w:sz w:val="16"/>
        </w:rPr>
        <w:t xml:space="preserve"> </w:t>
      </w:r>
      <w:r>
        <w:rPr>
          <w:sz w:val="16"/>
        </w:rPr>
        <w:t>Pires”.</w:t>
      </w:r>
      <w:r>
        <w:rPr>
          <w:spacing w:val="-11"/>
          <w:sz w:val="16"/>
        </w:rPr>
        <w:t xml:space="preserve"> </w:t>
      </w:r>
      <w:r>
        <w:rPr>
          <w:sz w:val="16"/>
        </w:rPr>
        <w:t>Sin</w:t>
      </w:r>
      <w:r>
        <w:rPr>
          <w:spacing w:val="-8"/>
          <w:sz w:val="16"/>
        </w:rPr>
        <w:t xml:space="preserve"> </w:t>
      </w:r>
      <w:r>
        <w:rPr>
          <w:sz w:val="16"/>
        </w:rPr>
        <w:t>embargo,</w:t>
      </w:r>
      <w:r>
        <w:rPr>
          <w:spacing w:val="-8"/>
          <w:sz w:val="16"/>
        </w:rPr>
        <w:t xml:space="preserve"> </w:t>
      </w:r>
      <w:r>
        <w:rPr>
          <w:sz w:val="16"/>
        </w:rPr>
        <w:t>esta</w:t>
      </w:r>
      <w:r>
        <w:rPr>
          <w:spacing w:val="-8"/>
          <w:sz w:val="16"/>
        </w:rPr>
        <w:t xml:space="preserve"> </w:t>
      </w:r>
      <w:r>
        <w:rPr>
          <w:sz w:val="16"/>
        </w:rPr>
        <w:t>Corte</w:t>
      </w:r>
      <w:r>
        <w:rPr>
          <w:spacing w:val="-11"/>
          <w:sz w:val="16"/>
        </w:rPr>
        <w:t xml:space="preserve"> </w:t>
      </w:r>
      <w:r>
        <w:rPr>
          <w:sz w:val="16"/>
        </w:rPr>
        <w:t>encuentra que el nombre de esta persona corresponde a “Verbena Silva Pires”, según consta en las pruebas aportadas por el Estado (expediente de prueba, folios 1978, 2068 y</w:t>
      </w:r>
      <w:r>
        <w:rPr>
          <w:spacing w:val="-8"/>
          <w:sz w:val="16"/>
        </w:rPr>
        <w:t xml:space="preserve"> </w:t>
      </w:r>
      <w:r>
        <w:rPr>
          <w:sz w:val="16"/>
        </w:rPr>
        <w:t>2169).</w:t>
      </w:r>
    </w:p>
    <w:p w14:paraId="53EAFCC0" w14:textId="77777777" w:rsidR="00467FCA" w:rsidRDefault="00467FCA">
      <w:pPr>
        <w:jc w:val="both"/>
        <w:rPr>
          <w:sz w:val="16"/>
        </w:rPr>
        <w:sectPr w:rsidR="00467FCA">
          <w:pgSz w:w="12240" w:h="15840"/>
          <w:pgMar w:top="1440" w:right="1320" w:bottom="1220" w:left="1320" w:header="0" w:footer="957" w:gutter="0"/>
          <w:cols w:space="720"/>
        </w:sectPr>
      </w:pPr>
    </w:p>
    <w:p w14:paraId="78EF37CD" w14:textId="77777777" w:rsidR="00467FCA" w:rsidRDefault="001B68EB">
      <w:pPr>
        <w:pStyle w:val="Ttulo1"/>
        <w:spacing w:before="80"/>
        <w:ind w:left="155" w:right="153"/>
        <w:jc w:val="center"/>
      </w:pPr>
      <w:bookmarkStart w:id="587" w:name="ANEXO_2."/>
      <w:bookmarkStart w:id="588" w:name="_bookmark512"/>
      <w:bookmarkEnd w:id="587"/>
      <w:bookmarkEnd w:id="588"/>
      <w:r>
        <w:t>ANEXO 2.</w:t>
      </w:r>
    </w:p>
    <w:p w14:paraId="0C3C9C73" w14:textId="77777777" w:rsidR="00467FCA" w:rsidRDefault="001B68EB">
      <w:pPr>
        <w:spacing w:before="36"/>
        <w:ind w:left="151" w:right="153"/>
        <w:jc w:val="center"/>
        <w:rPr>
          <w:b/>
          <w:sz w:val="20"/>
        </w:rPr>
      </w:pPr>
      <w:bookmarkStart w:id="589" w:name="FAMILIARES_DE_LAS_VÍCTIMAS_FALLECIDAS_Y_"/>
      <w:bookmarkEnd w:id="589"/>
      <w:r>
        <w:rPr>
          <w:b/>
          <w:sz w:val="20"/>
        </w:rPr>
        <w:t>FAMILIARES DE LAS VÍCTIM</w:t>
      </w:r>
      <w:r>
        <w:rPr>
          <w:b/>
          <w:sz w:val="20"/>
        </w:rPr>
        <w:t>AS FALLECIDAS Y SOBREVIVIENTES A LA EXPLOSIÓN</w:t>
      </w:r>
    </w:p>
    <w:p w14:paraId="0C4AADB0" w14:textId="77777777" w:rsidR="00467FCA" w:rsidRDefault="00467FCA">
      <w:pPr>
        <w:pStyle w:val="Textoindependiente"/>
        <w:spacing w:before="11"/>
        <w:rPr>
          <w:b/>
          <w:sz w:val="26"/>
        </w:rPr>
      </w:pPr>
    </w:p>
    <w:tbl>
      <w:tblPr>
        <w:tblStyle w:val="TableNormal"/>
        <w:tblW w:w="0" w:type="auto"/>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080"/>
      </w:tblGrid>
      <w:tr w:rsidR="00467FCA" w14:paraId="0AD51DC1" w14:textId="77777777">
        <w:trPr>
          <w:trHeight w:val="301"/>
        </w:trPr>
        <w:tc>
          <w:tcPr>
            <w:tcW w:w="562" w:type="dxa"/>
          </w:tcPr>
          <w:p w14:paraId="27F5FE79" w14:textId="77777777" w:rsidR="00467FCA" w:rsidRDefault="001B68EB">
            <w:pPr>
              <w:pStyle w:val="TableParagraph"/>
              <w:ind w:left="6"/>
              <w:rPr>
                <w:sz w:val="20"/>
              </w:rPr>
            </w:pPr>
            <w:r>
              <w:rPr>
                <w:w w:val="99"/>
                <w:sz w:val="20"/>
              </w:rPr>
              <w:t>1</w:t>
            </w:r>
          </w:p>
        </w:tc>
        <w:tc>
          <w:tcPr>
            <w:tcW w:w="6080" w:type="dxa"/>
          </w:tcPr>
          <w:p w14:paraId="23303104" w14:textId="77777777" w:rsidR="00467FCA" w:rsidRDefault="001B68EB">
            <w:pPr>
              <w:pStyle w:val="TableParagraph"/>
              <w:ind w:right="1011"/>
              <w:rPr>
                <w:sz w:val="20"/>
              </w:rPr>
            </w:pPr>
            <w:r>
              <w:rPr>
                <w:sz w:val="20"/>
              </w:rPr>
              <w:t>Adriana Machado dos Santos</w:t>
            </w:r>
          </w:p>
        </w:tc>
      </w:tr>
      <w:tr w:rsidR="00467FCA" w14:paraId="37F6A797" w14:textId="77777777">
        <w:trPr>
          <w:trHeight w:val="299"/>
        </w:trPr>
        <w:tc>
          <w:tcPr>
            <w:tcW w:w="562" w:type="dxa"/>
          </w:tcPr>
          <w:p w14:paraId="2CE32A8A" w14:textId="77777777" w:rsidR="00467FCA" w:rsidRDefault="001B68EB">
            <w:pPr>
              <w:pStyle w:val="TableParagraph"/>
              <w:ind w:left="6"/>
              <w:rPr>
                <w:sz w:val="20"/>
              </w:rPr>
            </w:pPr>
            <w:r>
              <w:rPr>
                <w:w w:val="99"/>
                <w:sz w:val="20"/>
              </w:rPr>
              <w:t>2</w:t>
            </w:r>
          </w:p>
        </w:tc>
        <w:tc>
          <w:tcPr>
            <w:tcW w:w="6080" w:type="dxa"/>
          </w:tcPr>
          <w:p w14:paraId="21E3B72B" w14:textId="77777777" w:rsidR="00467FCA" w:rsidRDefault="001B68EB">
            <w:pPr>
              <w:pStyle w:val="TableParagraph"/>
              <w:ind w:right="1009"/>
              <w:rPr>
                <w:sz w:val="20"/>
              </w:rPr>
            </w:pPr>
            <w:r>
              <w:rPr>
                <w:sz w:val="20"/>
              </w:rPr>
              <w:t>Aguinaldo Silva Costa</w:t>
            </w:r>
          </w:p>
        </w:tc>
      </w:tr>
      <w:tr w:rsidR="00467FCA" w14:paraId="057C385E" w14:textId="77777777">
        <w:trPr>
          <w:trHeight w:val="299"/>
        </w:trPr>
        <w:tc>
          <w:tcPr>
            <w:tcW w:w="562" w:type="dxa"/>
          </w:tcPr>
          <w:p w14:paraId="0C8823D3" w14:textId="77777777" w:rsidR="00467FCA" w:rsidRDefault="001B68EB">
            <w:pPr>
              <w:pStyle w:val="TableParagraph"/>
              <w:ind w:left="6"/>
              <w:rPr>
                <w:sz w:val="20"/>
              </w:rPr>
            </w:pPr>
            <w:r>
              <w:rPr>
                <w:w w:val="99"/>
                <w:sz w:val="20"/>
              </w:rPr>
              <w:t>3</w:t>
            </w:r>
          </w:p>
        </w:tc>
        <w:tc>
          <w:tcPr>
            <w:tcW w:w="6080" w:type="dxa"/>
          </w:tcPr>
          <w:p w14:paraId="5DD31291" w14:textId="77777777" w:rsidR="00467FCA" w:rsidRDefault="001B68EB">
            <w:pPr>
              <w:pStyle w:val="TableParagraph"/>
              <w:ind w:right="1011"/>
              <w:rPr>
                <w:sz w:val="20"/>
              </w:rPr>
            </w:pPr>
            <w:r>
              <w:rPr>
                <w:sz w:val="20"/>
              </w:rPr>
              <w:t>Alex da Conceição dos Santos</w:t>
            </w:r>
          </w:p>
        </w:tc>
      </w:tr>
      <w:tr w:rsidR="00467FCA" w14:paraId="32150A22" w14:textId="77777777">
        <w:trPr>
          <w:trHeight w:val="299"/>
        </w:trPr>
        <w:tc>
          <w:tcPr>
            <w:tcW w:w="562" w:type="dxa"/>
          </w:tcPr>
          <w:p w14:paraId="098B3303" w14:textId="77777777" w:rsidR="00467FCA" w:rsidRDefault="001B68EB">
            <w:pPr>
              <w:pStyle w:val="TableParagraph"/>
              <w:ind w:left="6"/>
              <w:rPr>
                <w:sz w:val="20"/>
              </w:rPr>
            </w:pPr>
            <w:r>
              <w:rPr>
                <w:w w:val="99"/>
                <w:sz w:val="20"/>
              </w:rPr>
              <w:t>4</w:t>
            </w:r>
          </w:p>
        </w:tc>
        <w:tc>
          <w:tcPr>
            <w:tcW w:w="6080" w:type="dxa"/>
          </w:tcPr>
          <w:p w14:paraId="3C30AACB" w14:textId="77777777" w:rsidR="00467FCA" w:rsidRDefault="001B68EB">
            <w:pPr>
              <w:pStyle w:val="TableParagraph"/>
              <w:ind w:right="1011"/>
              <w:rPr>
                <w:sz w:val="20"/>
              </w:rPr>
            </w:pPr>
            <w:r>
              <w:rPr>
                <w:sz w:val="20"/>
              </w:rPr>
              <w:t>Alexandra Pires de Jesus</w:t>
            </w:r>
          </w:p>
        </w:tc>
      </w:tr>
      <w:tr w:rsidR="00467FCA" w14:paraId="7748387F" w14:textId="77777777">
        <w:trPr>
          <w:trHeight w:val="299"/>
        </w:trPr>
        <w:tc>
          <w:tcPr>
            <w:tcW w:w="562" w:type="dxa"/>
          </w:tcPr>
          <w:p w14:paraId="6C3292C4" w14:textId="77777777" w:rsidR="00467FCA" w:rsidRDefault="001B68EB">
            <w:pPr>
              <w:pStyle w:val="TableParagraph"/>
              <w:ind w:left="6"/>
              <w:rPr>
                <w:sz w:val="20"/>
              </w:rPr>
            </w:pPr>
            <w:r>
              <w:rPr>
                <w:w w:val="99"/>
                <w:sz w:val="20"/>
              </w:rPr>
              <w:t>5</w:t>
            </w:r>
          </w:p>
        </w:tc>
        <w:tc>
          <w:tcPr>
            <w:tcW w:w="6080" w:type="dxa"/>
          </w:tcPr>
          <w:p w14:paraId="6B354FED" w14:textId="77777777" w:rsidR="00467FCA" w:rsidRDefault="001B68EB">
            <w:pPr>
              <w:pStyle w:val="TableParagraph"/>
              <w:ind w:right="1010"/>
              <w:rPr>
                <w:sz w:val="20"/>
              </w:rPr>
            </w:pPr>
            <w:r>
              <w:rPr>
                <w:sz w:val="20"/>
              </w:rPr>
              <w:t>Ana Lúcia dos Santos Ribeiro Cardoso</w:t>
            </w:r>
          </w:p>
        </w:tc>
      </w:tr>
      <w:tr w:rsidR="00467FCA" w14:paraId="694FC51C" w14:textId="77777777">
        <w:trPr>
          <w:trHeight w:val="299"/>
        </w:trPr>
        <w:tc>
          <w:tcPr>
            <w:tcW w:w="562" w:type="dxa"/>
          </w:tcPr>
          <w:p w14:paraId="28AC54A7" w14:textId="77777777" w:rsidR="00467FCA" w:rsidRDefault="001B68EB">
            <w:pPr>
              <w:pStyle w:val="TableParagraph"/>
              <w:ind w:left="6"/>
              <w:rPr>
                <w:sz w:val="20"/>
              </w:rPr>
            </w:pPr>
            <w:r>
              <w:rPr>
                <w:w w:val="99"/>
                <w:sz w:val="20"/>
              </w:rPr>
              <w:t>6</w:t>
            </w:r>
          </w:p>
        </w:tc>
        <w:tc>
          <w:tcPr>
            <w:tcW w:w="6080" w:type="dxa"/>
          </w:tcPr>
          <w:p w14:paraId="76384F86" w14:textId="77777777" w:rsidR="00467FCA" w:rsidRDefault="001B68EB">
            <w:pPr>
              <w:pStyle w:val="TableParagraph"/>
              <w:ind w:right="1011"/>
              <w:rPr>
                <w:sz w:val="20"/>
              </w:rPr>
            </w:pPr>
            <w:r>
              <w:rPr>
                <w:sz w:val="20"/>
              </w:rPr>
              <w:t>Andersen da Conceição dos Santos</w:t>
            </w:r>
          </w:p>
        </w:tc>
      </w:tr>
      <w:tr w:rsidR="00467FCA" w14:paraId="72AFEF4A" w14:textId="77777777">
        <w:trPr>
          <w:trHeight w:val="302"/>
        </w:trPr>
        <w:tc>
          <w:tcPr>
            <w:tcW w:w="562" w:type="dxa"/>
          </w:tcPr>
          <w:p w14:paraId="34499FB6" w14:textId="77777777" w:rsidR="00467FCA" w:rsidRDefault="001B68EB">
            <w:pPr>
              <w:pStyle w:val="TableParagraph"/>
              <w:ind w:left="6"/>
              <w:rPr>
                <w:sz w:val="20"/>
              </w:rPr>
            </w:pPr>
            <w:r>
              <w:rPr>
                <w:w w:val="99"/>
                <w:sz w:val="20"/>
              </w:rPr>
              <w:t>7</w:t>
            </w:r>
          </w:p>
        </w:tc>
        <w:tc>
          <w:tcPr>
            <w:tcW w:w="6080" w:type="dxa"/>
          </w:tcPr>
          <w:p w14:paraId="0780C91C" w14:textId="77777777" w:rsidR="00467FCA" w:rsidRDefault="001B68EB">
            <w:pPr>
              <w:pStyle w:val="TableParagraph"/>
              <w:ind w:right="1013"/>
              <w:rPr>
                <w:sz w:val="20"/>
              </w:rPr>
            </w:pPr>
            <w:r>
              <w:rPr>
                <w:sz w:val="20"/>
              </w:rPr>
              <w:t>Anderson Santos dos Santos</w:t>
            </w:r>
          </w:p>
        </w:tc>
      </w:tr>
      <w:tr w:rsidR="00467FCA" w14:paraId="7E3BED69" w14:textId="77777777">
        <w:trPr>
          <w:trHeight w:val="299"/>
        </w:trPr>
        <w:tc>
          <w:tcPr>
            <w:tcW w:w="562" w:type="dxa"/>
          </w:tcPr>
          <w:p w14:paraId="627BEBF5" w14:textId="77777777" w:rsidR="00467FCA" w:rsidRDefault="001B68EB">
            <w:pPr>
              <w:pStyle w:val="TableParagraph"/>
              <w:ind w:left="6"/>
              <w:rPr>
                <w:sz w:val="20"/>
              </w:rPr>
            </w:pPr>
            <w:r>
              <w:rPr>
                <w:w w:val="99"/>
                <w:sz w:val="20"/>
              </w:rPr>
              <w:t>8</w:t>
            </w:r>
          </w:p>
        </w:tc>
        <w:tc>
          <w:tcPr>
            <w:tcW w:w="6080" w:type="dxa"/>
          </w:tcPr>
          <w:p w14:paraId="4717FC6E" w14:textId="77777777" w:rsidR="00467FCA" w:rsidRDefault="001B68EB">
            <w:pPr>
              <w:pStyle w:val="TableParagraph"/>
              <w:ind w:right="1011"/>
              <w:rPr>
                <w:sz w:val="20"/>
              </w:rPr>
            </w:pPr>
            <w:r>
              <w:rPr>
                <w:sz w:val="20"/>
              </w:rPr>
              <w:t>Antonia Santos de Jesus</w:t>
            </w:r>
          </w:p>
        </w:tc>
      </w:tr>
      <w:tr w:rsidR="00467FCA" w14:paraId="4CEF3BE7" w14:textId="77777777">
        <w:trPr>
          <w:trHeight w:val="299"/>
        </w:trPr>
        <w:tc>
          <w:tcPr>
            <w:tcW w:w="562" w:type="dxa"/>
          </w:tcPr>
          <w:p w14:paraId="5C0FD319" w14:textId="77777777" w:rsidR="00467FCA" w:rsidRDefault="001B68EB">
            <w:pPr>
              <w:pStyle w:val="TableParagraph"/>
              <w:ind w:left="6"/>
              <w:rPr>
                <w:sz w:val="20"/>
              </w:rPr>
            </w:pPr>
            <w:r>
              <w:rPr>
                <w:w w:val="99"/>
                <w:sz w:val="20"/>
              </w:rPr>
              <w:t>9</w:t>
            </w:r>
          </w:p>
        </w:tc>
        <w:tc>
          <w:tcPr>
            <w:tcW w:w="6080" w:type="dxa"/>
          </w:tcPr>
          <w:p w14:paraId="66224CF5" w14:textId="77777777" w:rsidR="00467FCA" w:rsidRDefault="001B68EB">
            <w:pPr>
              <w:pStyle w:val="TableParagraph"/>
              <w:ind w:right="1013"/>
              <w:rPr>
                <w:sz w:val="20"/>
              </w:rPr>
            </w:pPr>
            <w:r>
              <w:rPr>
                <w:sz w:val="20"/>
              </w:rPr>
              <w:t>Antonio Claudio Nascimento dos Santos</w:t>
            </w:r>
          </w:p>
        </w:tc>
      </w:tr>
      <w:tr w:rsidR="00467FCA" w14:paraId="5ED4D493" w14:textId="77777777">
        <w:trPr>
          <w:trHeight w:val="299"/>
        </w:trPr>
        <w:tc>
          <w:tcPr>
            <w:tcW w:w="562" w:type="dxa"/>
          </w:tcPr>
          <w:p w14:paraId="10D9F226" w14:textId="77777777" w:rsidR="00467FCA" w:rsidRDefault="001B68EB">
            <w:pPr>
              <w:pStyle w:val="TableParagraph"/>
              <w:ind w:left="132" w:right="124"/>
              <w:rPr>
                <w:sz w:val="20"/>
              </w:rPr>
            </w:pPr>
            <w:r>
              <w:rPr>
                <w:sz w:val="20"/>
              </w:rPr>
              <w:t>10</w:t>
            </w:r>
          </w:p>
        </w:tc>
        <w:tc>
          <w:tcPr>
            <w:tcW w:w="6080" w:type="dxa"/>
          </w:tcPr>
          <w:p w14:paraId="142B5E7E" w14:textId="77777777" w:rsidR="00467FCA" w:rsidRDefault="001B68EB">
            <w:pPr>
              <w:pStyle w:val="TableParagraph"/>
              <w:ind w:right="1013"/>
              <w:rPr>
                <w:sz w:val="20"/>
              </w:rPr>
            </w:pPr>
            <w:r>
              <w:rPr>
                <w:sz w:val="20"/>
              </w:rPr>
              <w:t>Antônio de Souza Bittencourt</w:t>
            </w:r>
          </w:p>
        </w:tc>
      </w:tr>
      <w:tr w:rsidR="00467FCA" w14:paraId="1320C863" w14:textId="77777777">
        <w:trPr>
          <w:trHeight w:val="299"/>
        </w:trPr>
        <w:tc>
          <w:tcPr>
            <w:tcW w:w="562" w:type="dxa"/>
          </w:tcPr>
          <w:p w14:paraId="25EBEC36" w14:textId="77777777" w:rsidR="00467FCA" w:rsidRDefault="001B68EB">
            <w:pPr>
              <w:pStyle w:val="TableParagraph"/>
              <w:ind w:left="132" w:right="124"/>
              <w:rPr>
                <w:sz w:val="20"/>
              </w:rPr>
            </w:pPr>
            <w:r>
              <w:rPr>
                <w:sz w:val="20"/>
              </w:rPr>
              <w:t>11</w:t>
            </w:r>
          </w:p>
        </w:tc>
        <w:tc>
          <w:tcPr>
            <w:tcW w:w="6080" w:type="dxa"/>
          </w:tcPr>
          <w:p w14:paraId="66D1A12A" w14:textId="77777777" w:rsidR="00467FCA" w:rsidRDefault="001B68EB">
            <w:pPr>
              <w:pStyle w:val="TableParagraph"/>
              <w:ind w:right="1013"/>
              <w:rPr>
                <w:sz w:val="20"/>
              </w:rPr>
            </w:pPr>
            <w:r>
              <w:rPr>
                <w:sz w:val="20"/>
              </w:rPr>
              <w:t>Antônio José dos Santos</w:t>
            </w:r>
          </w:p>
        </w:tc>
      </w:tr>
      <w:tr w:rsidR="00467FCA" w14:paraId="106305B5" w14:textId="77777777">
        <w:trPr>
          <w:trHeight w:val="299"/>
        </w:trPr>
        <w:tc>
          <w:tcPr>
            <w:tcW w:w="562" w:type="dxa"/>
          </w:tcPr>
          <w:p w14:paraId="6BB448AA" w14:textId="77777777" w:rsidR="00467FCA" w:rsidRDefault="001B68EB">
            <w:pPr>
              <w:pStyle w:val="TableParagraph"/>
              <w:ind w:left="132" w:right="124"/>
              <w:rPr>
                <w:sz w:val="20"/>
              </w:rPr>
            </w:pPr>
            <w:r>
              <w:rPr>
                <w:sz w:val="20"/>
              </w:rPr>
              <w:t>12</w:t>
            </w:r>
          </w:p>
        </w:tc>
        <w:tc>
          <w:tcPr>
            <w:tcW w:w="6080" w:type="dxa"/>
          </w:tcPr>
          <w:p w14:paraId="7E54A5A1" w14:textId="77777777" w:rsidR="00467FCA" w:rsidRDefault="001B68EB">
            <w:pPr>
              <w:pStyle w:val="TableParagraph"/>
              <w:ind w:right="1011"/>
              <w:rPr>
                <w:sz w:val="20"/>
              </w:rPr>
            </w:pPr>
            <w:r>
              <w:rPr>
                <w:sz w:val="20"/>
              </w:rPr>
              <w:t>Antônio José dos Santos Ribeiro</w:t>
            </w:r>
          </w:p>
        </w:tc>
      </w:tr>
      <w:tr w:rsidR="00467FCA" w14:paraId="4D662581" w14:textId="77777777">
        <w:trPr>
          <w:trHeight w:val="302"/>
        </w:trPr>
        <w:tc>
          <w:tcPr>
            <w:tcW w:w="562" w:type="dxa"/>
          </w:tcPr>
          <w:p w14:paraId="41DE99BD" w14:textId="77777777" w:rsidR="00467FCA" w:rsidRDefault="001B68EB">
            <w:pPr>
              <w:pStyle w:val="TableParagraph"/>
              <w:ind w:left="132" w:right="124"/>
              <w:rPr>
                <w:sz w:val="20"/>
              </w:rPr>
            </w:pPr>
            <w:r>
              <w:rPr>
                <w:sz w:val="20"/>
              </w:rPr>
              <w:t>13</w:t>
            </w:r>
          </w:p>
        </w:tc>
        <w:tc>
          <w:tcPr>
            <w:tcW w:w="6080" w:type="dxa"/>
          </w:tcPr>
          <w:p w14:paraId="13BCCF37" w14:textId="77777777" w:rsidR="00467FCA" w:rsidRDefault="001B68EB">
            <w:pPr>
              <w:pStyle w:val="TableParagraph"/>
              <w:ind w:right="1010"/>
              <w:rPr>
                <w:sz w:val="20"/>
              </w:rPr>
            </w:pPr>
            <w:r>
              <w:rPr>
                <w:sz w:val="20"/>
              </w:rPr>
              <w:t>Antonio Manoel Ferreira Filho</w:t>
            </w:r>
          </w:p>
        </w:tc>
      </w:tr>
      <w:tr w:rsidR="00467FCA" w14:paraId="5C42BCB9" w14:textId="77777777">
        <w:trPr>
          <w:trHeight w:val="299"/>
        </w:trPr>
        <w:tc>
          <w:tcPr>
            <w:tcW w:w="562" w:type="dxa"/>
          </w:tcPr>
          <w:p w14:paraId="62B9AC5D" w14:textId="77777777" w:rsidR="00467FCA" w:rsidRDefault="001B68EB">
            <w:pPr>
              <w:pStyle w:val="TableParagraph"/>
              <w:ind w:left="132" w:right="124"/>
              <w:rPr>
                <w:sz w:val="20"/>
              </w:rPr>
            </w:pPr>
            <w:r>
              <w:rPr>
                <w:sz w:val="20"/>
              </w:rPr>
              <w:t>14</w:t>
            </w:r>
          </w:p>
        </w:tc>
        <w:tc>
          <w:tcPr>
            <w:tcW w:w="6080" w:type="dxa"/>
          </w:tcPr>
          <w:p w14:paraId="08165836" w14:textId="77777777" w:rsidR="00467FCA" w:rsidRDefault="001B68EB">
            <w:pPr>
              <w:pStyle w:val="TableParagraph"/>
              <w:ind w:right="1013"/>
              <w:rPr>
                <w:sz w:val="20"/>
              </w:rPr>
            </w:pPr>
            <w:r>
              <w:rPr>
                <w:sz w:val="20"/>
              </w:rPr>
              <w:t>Arlan Santos Nascimento</w:t>
            </w:r>
          </w:p>
        </w:tc>
      </w:tr>
      <w:tr w:rsidR="00467FCA" w14:paraId="205729D6" w14:textId="77777777">
        <w:trPr>
          <w:trHeight w:val="299"/>
        </w:trPr>
        <w:tc>
          <w:tcPr>
            <w:tcW w:w="562" w:type="dxa"/>
          </w:tcPr>
          <w:p w14:paraId="074EEC63" w14:textId="77777777" w:rsidR="00467FCA" w:rsidRDefault="001B68EB">
            <w:pPr>
              <w:pStyle w:val="TableParagraph"/>
              <w:ind w:left="132" w:right="124"/>
              <w:rPr>
                <w:sz w:val="20"/>
              </w:rPr>
            </w:pPr>
            <w:r>
              <w:rPr>
                <w:sz w:val="20"/>
              </w:rPr>
              <w:t>15</w:t>
            </w:r>
          </w:p>
        </w:tc>
        <w:tc>
          <w:tcPr>
            <w:tcW w:w="6080" w:type="dxa"/>
          </w:tcPr>
          <w:p w14:paraId="79CF4A02" w14:textId="77777777" w:rsidR="00467FCA" w:rsidRDefault="001B68EB">
            <w:pPr>
              <w:pStyle w:val="TableParagraph"/>
              <w:ind w:right="1013"/>
              <w:rPr>
                <w:sz w:val="20"/>
              </w:rPr>
            </w:pPr>
            <w:r>
              <w:rPr>
                <w:sz w:val="20"/>
              </w:rPr>
              <w:t>Aurelino Gonçalves de Jesus</w:t>
            </w:r>
          </w:p>
        </w:tc>
      </w:tr>
      <w:tr w:rsidR="00467FCA" w14:paraId="78B63259" w14:textId="77777777">
        <w:trPr>
          <w:trHeight w:val="299"/>
        </w:trPr>
        <w:tc>
          <w:tcPr>
            <w:tcW w:w="562" w:type="dxa"/>
          </w:tcPr>
          <w:p w14:paraId="4AECBB00" w14:textId="77777777" w:rsidR="00467FCA" w:rsidRDefault="001B68EB">
            <w:pPr>
              <w:pStyle w:val="TableParagraph"/>
              <w:ind w:left="132" w:right="124"/>
              <w:rPr>
                <w:sz w:val="20"/>
              </w:rPr>
            </w:pPr>
            <w:r>
              <w:rPr>
                <w:sz w:val="20"/>
              </w:rPr>
              <w:t>16</w:t>
            </w:r>
          </w:p>
        </w:tc>
        <w:tc>
          <w:tcPr>
            <w:tcW w:w="6080" w:type="dxa"/>
          </w:tcPr>
          <w:p w14:paraId="76CEDB0B" w14:textId="77777777" w:rsidR="00467FCA" w:rsidRDefault="001B68EB">
            <w:pPr>
              <w:pStyle w:val="TableParagraph"/>
              <w:ind w:right="1013"/>
              <w:rPr>
                <w:sz w:val="20"/>
              </w:rPr>
            </w:pPr>
            <w:r>
              <w:rPr>
                <w:sz w:val="20"/>
              </w:rPr>
              <w:t>Balbino Rocha dos Santos</w:t>
            </w:r>
          </w:p>
        </w:tc>
      </w:tr>
      <w:tr w:rsidR="00467FCA" w14:paraId="394A7FA8" w14:textId="77777777">
        <w:trPr>
          <w:trHeight w:val="299"/>
        </w:trPr>
        <w:tc>
          <w:tcPr>
            <w:tcW w:w="562" w:type="dxa"/>
          </w:tcPr>
          <w:p w14:paraId="00B67C31" w14:textId="77777777" w:rsidR="00467FCA" w:rsidRDefault="001B68EB">
            <w:pPr>
              <w:pStyle w:val="TableParagraph"/>
              <w:ind w:left="132" w:right="124"/>
              <w:rPr>
                <w:sz w:val="20"/>
              </w:rPr>
            </w:pPr>
            <w:r>
              <w:rPr>
                <w:sz w:val="20"/>
              </w:rPr>
              <w:t>17</w:t>
            </w:r>
          </w:p>
        </w:tc>
        <w:tc>
          <w:tcPr>
            <w:tcW w:w="6080" w:type="dxa"/>
          </w:tcPr>
          <w:p w14:paraId="73C72104" w14:textId="77777777" w:rsidR="00467FCA" w:rsidRDefault="001B68EB">
            <w:pPr>
              <w:pStyle w:val="TableParagraph"/>
              <w:ind w:right="1011"/>
              <w:rPr>
                <w:sz w:val="20"/>
              </w:rPr>
            </w:pPr>
            <w:r>
              <w:rPr>
                <w:sz w:val="20"/>
              </w:rPr>
              <w:t>Bárbara Laís da Cruz Santos</w:t>
            </w:r>
          </w:p>
        </w:tc>
      </w:tr>
      <w:tr w:rsidR="00467FCA" w14:paraId="28A4F1CC" w14:textId="77777777">
        <w:trPr>
          <w:trHeight w:val="299"/>
        </w:trPr>
        <w:tc>
          <w:tcPr>
            <w:tcW w:w="562" w:type="dxa"/>
          </w:tcPr>
          <w:p w14:paraId="7A100FF1" w14:textId="77777777" w:rsidR="00467FCA" w:rsidRDefault="001B68EB">
            <w:pPr>
              <w:pStyle w:val="TableParagraph"/>
              <w:ind w:left="132" w:right="124"/>
              <w:rPr>
                <w:sz w:val="20"/>
              </w:rPr>
            </w:pPr>
            <w:r>
              <w:rPr>
                <w:sz w:val="20"/>
              </w:rPr>
              <w:t>18</w:t>
            </w:r>
          </w:p>
        </w:tc>
        <w:tc>
          <w:tcPr>
            <w:tcW w:w="6080" w:type="dxa"/>
          </w:tcPr>
          <w:p w14:paraId="55408E6E" w14:textId="77777777" w:rsidR="00467FCA" w:rsidRDefault="001B68EB">
            <w:pPr>
              <w:pStyle w:val="TableParagraph"/>
              <w:ind w:right="1011"/>
              <w:rPr>
                <w:sz w:val="20"/>
              </w:rPr>
            </w:pPr>
            <w:r>
              <w:rPr>
                <w:sz w:val="20"/>
              </w:rPr>
              <w:t>Bárbara Laís Rocha dos Santos</w:t>
            </w:r>
          </w:p>
        </w:tc>
      </w:tr>
      <w:tr w:rsidR="00467FCA" w14:paraId="776E0ED3" w14:textId="77777777">
        <w:trPr>
          <w:trHeight w:val="301"/>
        </w:trPr>
        <w:tc>
          <w:tcPr>
            <w:tcW w:w="562" w:type="dxa"/>
          </w:tcPr>
          <w:p w14:paraId="5ADCDECC" w14:textId="77777777" w:rsidR="00467FCA" w:rsidRDefault="001B68EB">
            <w:pPr>
              <w:pStyle w:val="TableParagraph"/>
              <w:ind w:left="132" w:right="124"/>
              <w:rPr>
                <w:sz w:val="20"/>
              </w:rPr>
            </w:pPr>
            <w:r>
              <w:rPr>
                <w:sz w:val="20"/>
              </w:rPr>
              <w:t>19</w:t>
            </w:r>
          </w:p>
        </w:tc>
        <w:tc>
          <w:tcPr>
            <w:tcW w:w="6080" w:type="dxa"/>
          </w:tcPr>
          <w:p w14:paraId="665C2115" w14:textId="77777777" w:rsidR="00467FCA" w:rsidRDefault="001B68EB">
            <w:pPr>
              <w:pStyle w:val="TableParagraph"/>
              <w:ind w:right="1011"/>
              <w:rPr>
                <w:sz w:val="20"/>
              </w:rPr>
            </w:pPr>
            <w:r>
              <w:rPr>
                <w:sz w:val="20"/>
              </w:rPr>
              <w:t>Bernardo Bispo dos Santos</w:t>
            </w:r>
          </w:p>
        </w:tc>
      </w:tr>
      <w:tr w:rsidR="00467FCA" w14:paraId="77848B7D" w14:textId="77777777">
        <w:trPr>
          <w:trHeight w:val="299"/>
        </w:trPr>
        <w:tc>
          <w:tcPr>
            <w:tcW w:w="562" w:type="dxa"/>
          </w:tcPr>
          <w:p w14:paraId="543B9994" w14:textId="77777777" w:rsidR="00467FCA" w:rsidRDefault="001B68EB">
            <w:pPr>
              <w:pStyle w:val="TableParagraph"/>
              <w:ind w:left="132" w:right="124"/>
              <w:rPr>
                <w:sz w:val="20"/>
              </w:rPr>
            </w:pPr>
            <w:r>
              <w:rPr>
                <w:sz w:val="20"/>
              </w:rPr>
              <w:t>20</w:t>
            </w:r>
          </w:p>
        </w:tc>
        <w:tc>
          <w:tcPr>
            <w:tcW w:w="6080" w:type="dxa"/>
          </w:tcPr>
          <w:p w14:paraId="0D7FB662" w14:textId="77777777" w:rsidR="00467FCA" w:rsidRDefault="001B68EB">
            <w:pPr>
              <w:pStyle w:val="TableParagraph"/>
              <w:ind w:right="1008"/>
              <w:rPr>
                <w:sz w:val="20"/>
              </w:rPr>
            </w:pPr>
            <w:r>
              <w:rPr>
                <w:sz w:val="20"/>
              </w:rPr>
              <w:t>Berneval Ferreira de Jesus</w:t>
            </w:r>
          </w:p>
        </w:tc>
      </w:tr>
      <w:tr w:rsidR="00467FCA" w14:paraId="4E89CD0C" w14:textId="77777777">
        <w:trPr>
          <w:trHeight w:val="299"/>
        </w:trPr>
        <w:tc>
          <w:tcPr>
            <w:tcW w:w="562" w:type="dxa"/>
          </w:tcPr>
          <w:p w14:paraId="32E83BF6" w14:textId="77777777" w:rsidR="00467FCA" w:rsidRDefault="001B68EB">
            <w:pPr>
              <w:pStyle w:val="TableParagraph"/>
              <w:ind w:left="132" w:right="124"/>
              <w:rPr>
                <w:sz w:val="20"/>
              </w:rPr>
            </w:pPr>
            <w:r>
              <w:rPr>
                <w:sz w:val="20"/>
              </w:rPr>
              <w:t>21</w:t>
            </w:r>
          </w:p>
        </w:tc>
        <w:tc>
          <w:tcPr>
            <w:tcW w:w="6080" w:type="dxa"/>
          </w:tcPr>
          <w:p w14:paraId="12512875" w14:textId="77777777" w:rsidR="00467FCA" w:rsidRDefault="001B68EB">
            <w:pPr>
              <w:pStyle w:val="TableParagraph"/>
              <w:ind w:left="1013" w:right="1013"/>
              <w:rPr>
                <w:sz w:val="20"/>
              </w:rPr>
            </w:pPr>
            <w:r>
              <w:rPr>
                <w:sz w:val="20"/>
              </w:rPr>
              <w:t>Cludia Reis dos Santos</w:t>
            </w:r>
          </w:p>
        </w:tc>
      </w:tr>
      <w:tr w:rsidR="00467FCA" w14:paraId="5AED1009" w14:textId="77777777">
        <w:trPr>
          <w:trHeight w:val="299"/>
        </w:trPr>
        <w:tc>
          <w:tcPr>
            <w:tcW w:w="562" w:type="dxa"/>
          </w:tcPr>
          <w:p w14:paraId="178C1636" w14:textId="77777777" w:rsidR="00467FCA" w:rsidRDefault="001B68EB">
            <w:pPr>
              <w:pStyle w:val="TableParagraph"/>
              <w:ind w:left="132" w:right="124"/>
              <w:rPr>
                <w:sz w:val="20"/>
              </w:rPr>
            </w:pPr>
            <w:r>
              <w:rPr>
                <w:sz w:val="20"/>
              </w:rPr>
              <w:t>22</w:t>
            </w:r>
          </w:p>
        </w:tc>
        <w:tc>
          <w:tcPr>
            <w:tcW w:w="6080" w:type="dxa"/>
          </w:tcPr>
          <w:p w14:paraId="743CC8B7" w14:textId="77777777" w:rsidR="00467FCA" w:rsidRDefault="001B68EB">
            <w:pPr>
              <w:pStyle w:val="TableParagraph"/>
              <w:ind w:left="1013" w:right="1013"/>
              <w:rPr>
                <w:sz w:val="20"/>
              </w:rPr>
            </w:pPr>
            <w:r>
              <w:rPr>
                <w:sz w:val="20"/>
              </w:rPr>
              <w:t>Claudimeire de Jesus Bittencourt</w:t>
            </w:r>
          </w:p>
        </w:tc>
      </w:tr>
      <w:tr w:rsidR="00467FCA" w14:paraId="36FF5857" w14:textId="77777777">
        <w:trPr>
          <w:trHeight w:val="299"/>
        </w:trPr>
        <w:tc>
          <w:tcPr>
            <w:tcW w:w="562" w:type="dxa"/>
          </w:tcPr>
          <w:p w14:paraId="538D1757" w14:textId="77777777" w:rsidR="00467FCA" w:rsidRDefault="001B68EB">
            <w:pPr>
              <w:pStyle w:val="TableParagraph"/>
              <w:ind w:left="132" w:right="124"/>
              <w:rPr>
                <w:sz w:val="20"/>
              </w:rPr>
            </w:pPr>
            <w:r>
              <w:rPr>
                <w:sz w:val="20"/>
              </w:rPr>
              <w:t>23</w:t>
            </w:r>
          </w:p>
        </w:tc>
        <w:tc>
          <w:tcPr>
            <w:tcW w:w="6080" w:type="dxa"/>
          </w:tcPr>
          <w:p w14:paraId="66C537EC" w14:textId="77777777" w:rsidR="00467FCA" w:rsidRDefault="001B68EB">
            <w:pPr>
              <w:pStyle w:val="TableParagraph"/>
              <w:ind w:right="1011"/>
              <w:rPr>
                <w:sz w:val="20"/>
              </w:rPr>
            </w:pPr>
            <w:r>
              <w:rPr>
                <w:sz w:val="20"/>
              </w:rPr>
              <w:t>Clóvis de Jesus Santos</w:t>
            </w:r>
          </w:p>
        </w:tc>
      </w:tr>
      <w:tr w:rsidR="00467FCA" w14:paraId="5A12F6BD" w14:textId="77777777">
        <w:trPr>
          <w:trHeight w:val="299"/>
        </w:trPr>
        <w:tc>
          <w:tcPr>
            <w:tcW w:w="562" w:type="dxa"/>
          </w:tcPr>
          <w:p w14:paraId="7CECC1E4" w14:textId="77777777" w:rsidR="00467FCA" w:rsidRDefault="001B68EB">
            <w:pPr>
              <w:pStyle w:val="TableParagraph"/>
              <w:ind w:left="132" w:right="124"/>
              <w:rPr>
                <w:sz w:val="20"/>
              </w:rPr>
            </w:pPr>
            <w:r>
              <w:rPr>
                <w:sz w:val="20"/>
              </w:rPr>
              <w:t>24</w:t>
            </w:r>
          </w:p>
        </w:tc>
        <w:tc>
          <w:tcPr>
            <w:tcW w:w="6080" w:type="dxa"/>
          </w:tcPr>
          <w:p w14:paraId="21D74230" w14:textId="77777777" w:rsidR="00467FCA" w:rsidRDefault="001B68EB">
            <w:pPr>
              <w:pStyle w:val="TableParagraph"/>
              <w:ind w:right="1013"/>
              <w:rPr>
                <w:sz w:val="20"/>
              </w:rPr>
            </w:pPr>
            <w:r>
              <w:rPr>
                <w:sz w:val="20"/>
              </w:rPr>
              <w:t>Cosme Santos da Conceição</w:t>
            </w:r>
          </w:p>
        </w:tc>
      </w:tr>
      <w:tr w:rsidR="00467FCA" w14:paraId="225C06A7" w14:textId="77777777">
        <w:trPr>
          <w:trHeight w:val="302"/>
        </w:trPr>
        <w:tc>
          <w:tcPr>
            <w:tcW w:w="562" w:type="dxa"/>
          </w:tcPr>
          <w:p w14:paraId="24909F8E" w14:textId="77777777" w:rsidR="00467FCA" w:rsidRDefault="001B68EB">
            <w:pPr>
              <w:pStyle w:val="TableParagraph"/>
              <w:ind w:left="132" w:right="124"/>
              <w:rPr>
                <w:sz w:val="20"/>
              </w:rPr>
            </w:pPr>
            <w:r>
              <w:rPr>
                <w:sz w:val="20"/>
              </w:rPr>
              <w:t>25</w:t>
            </w:r>
          </w:p>
        </w:tc>
        <w:tc>
          <w:tcPr>
            <w:tcW w:w="6080" w:type="dxa"/>
          </w:tcPr>
          <w:p w14:paraId="5B45DDD4" w14:textId="77777777" w:rsidR="00467FCA" w:rsidRDefault="001B68EB">
            <w:pPr>
              <w:pStyle w:val="TableParagraph"/>
              <w:ind w:right="1013"/>
              <w:rPr>
                <w:sz w:val="20"/>
              </w:rPr>
            </w:pPr>
            <w:r>
              <w:rPr>
                <w:sz w:val="20"/>
              </w:rPr>
              <w:t>Crispiniana Santos da Conceição</w:t>
            </w:r>
          </w:p>
        </w:tc>
      </w:tr>
      <w:tr w:rsidR="00467FCA" w14:paraId="78219E36" w14:textId="77777777">
        <w:trPr>
          <w:trHeight w:val="299"/>
        </w:trPr>
        <w:tc>
          <w:tcPr>
            <w:tcW w:w="562" w:type="dxa"/>
          </w:tcPr>
          <w:p w14:paraId="3F77F914" w14:textId="77777777" w:rsidR="00467FCA" w:rsidRDefault="001B68EB">
            <w:pPr>
              <w:pStyle w:val="TableParagraph"/>
              <w:ind w:left="132" w:right="124"/>
              <w:rPr>
                <w:sz w:val="20"/>
              </w:rPr>
            </w:pPr>
            <w:r>
              <w:rPr>
                <w:sz w:val="20"/>
              </w:rPr>
              <w:t>26</w:t>
            </w:r>
          </w:p>
        </w:tc>
        <w:tc>
          <w:tcPr>
            <w:tcW w:w="6080" w:type="dxa"/>
          </w:tcPr>
          <w:p w14:paraId="789B47E2" w14:textId="77777777" w:rsidR="00467FCA" w:rsidRDefault="001B68EB">
            <w:pPr>
              <w:pStyle w:val="TableParagraph"/>
              <w:ind w:right="1010"/>
              <w:rPr>
                <w:sz w:val="20"/>
              </w:rPr>
            </w:pPr>
            <w:r>
              <w:rPr>
                <w:sz w:val="20"/>
              </w:rPr>
              <w:t>Cristiane Ferreira de Jesus</w:t>
            </w:r>
          </w:p>
        </w:tc>
      </w:tr>
      <w:tr w:rsidR="00467FCA" w14:paraId="348F65E0" w14:textId="77777777">
        <w:trPr>
          <w:trHeight w:val="299"/>
        </w:trPr>
        <w:tc>
          <w:tcPr>
            <w:tcW w:w="562" w:type="dxa"/>
          </w:tcPr>
          <w:p w14:paraId="3CBF7A39" w14:textId="77777777" w:rsidR="00467FCA" w:rsidRDefault="001B68EB">
            <w:pPr>
              <w:pStyle w:val="TableParagraph"/>
              <w:ind w:left="132" w:right="124"/>
              <w:rPr>
                <w:sz w:val="20"/>
              </w:rPr>
            </w:pPr>
            <w:r>
              <w:rPr>
                <w:sz w:val="20"/>
              </w:rPr>
              <w:t>27</w:t>
            </w:r>
          </w:p>
        </w:tc>
        <w:tc>
          <w:tcPr>
            <w:tcW w:w="6080" w:type="dxa"/>
          </w:tcPr>
          <w:p w14:paraId="18C0B93F" w14:textId="77777777" w:rsidR="00467FCA" w:rsidRDefault="001B68EB">
            <w:pPr>
              <w:pStyle w:val="TableParagraph"/>
              <w:ind w:right="1013"/>
              <w:rPr>
                <w:sz w:val="20"/>
              </w:rPr>
            </w:pPr>
            <w:r>
              <w:rPr>
                <w:sz w:val="20"/>
              </w:rPr>
              <w:t>Daiane Machado dos Santos</w:t>
            </w:r>
          </w:p>
        </w:tc>
      </w:tr>
      <w:tr w:rsidR="00467FCA" w14:paraId="0539F448" w14:textId="77777777">
        <w:trPr>
          <w:trHeight w:val="299"/>
        </w:trPr>
        <w:tc>
          <w:tcPr>
            <w:tcW w:w="562" w:type="dxa"/>
          </w:tcPr>
          <w:p w14:paraId="7C4420DB" w14:textId="77777777" w:rsidR="00467FCA" w:rsidRDefault="001B68EB">
            <w:pPr>
              <w:pStyle w:val="TableParagraph"/>
              <w:ind w:left="132" w:right="124"/>
              <w:rPr>
                <w:sz w:val="20"/>
              </w:rPr>
            </w:pPr>
            <w:r>
              <w:rPr>
                <w:sz w:val="20"/>
              </w:rPr>
              <w:t>28</w:t>
            </w:r>
          </w:p>
        </w:tc>
        <w:tc>
          <w:tcPr>
            <w:tcW w:w="6080" w:type="dxa"/>
          </w:tcPr>
          <w:p w14:paraId="5CAD73A2" w14:textId="77777777" w:rsidR="00467FCA" w:rsidRDefault="001B68EB">
            <w:pPr>
              <w:pStyle w:val="TableParagraph"/>
              <w:ind w:right="1012"/>
              <w:rPr>
                <w:sz w:val="20"/>
              </w:rPr>
            </w:pPr>
            <w:r>
              <w:rPr>
                <w:sz w:val="20"/>
              </w:rPr>
              <w:t>Dailane dos Santos Souza</w:t>
            </w:r>
          </w:p>
        </w:tc>
      </w:tr>
      <w:tr w:rsidR="00467FCA" w14:paraId="1A48AC20" w14:textId="77777777">
        <w:trPr>
          <w:trHeight w:val="299"/>
        </w:trPr>
        <w:tc>
          <w:tcPr>
            <w:tcW w:w="562" w:type="dxa"/>
          </w:tcPr>
          <w:p w14:paraId="1B5D2D40" w14:textId="77777777" w:rsidR="00467FCA" w:rsidRDefault="001B68EB">
            <w:pPr>
              <w:pStyle w:val="TableParagraph"/>
              <w:ind w:left="132" w:right="124"/>
              <w:rPr>
                <w:sz w:val="20"/>
              </w:rPr>
            </w:pPr>
            <w:r>
              <w:rPr>
                <w:sz w:val="20"/>
              </w:rPr>
              <w:t>29</w:t>
            </w:r>
          </w:p>
        </w:tc>
        <w:tc>
          <w:tcPr>
            <w:tcW w:w="6080" w:type="dxa"/>
          </w:tcPr>
          <w:p w14:paraId="609DA17A" w14:textId="77777777" w:rsidR="00467FCA" w:rsidRDefault="001B68EB">
            <w:pPr>
              <w:pStyle w:val="TableParagraph"/>
              <w:ind w:right="1013"/>
              <w:rPr>
                <w:sz w:val="20"/>
              </w:rPr>
            </w:pPr>
            <w:r>
              <w:rPr>
                <w:sz w:val="20"/>
              </w:rPr>
              <w:t>Dalva da Silva Santos</w:t>
            </w:r>
          </w:p>
        </w:tc>
      </w:tr>
      <w:tr w:rsidR="00467FCA" w14:paraId="6B4D92A1" w14:textId="77777777">
        <w:trPr>
          <w:trHeight w:val="299"/>
        </w:trPr>
        <w:tc>
          <w:tcPr>
            <w:tcW w:w="562" w:type="dxa"/>
          </w:tcPr>
          <w:p w14:paraId="71000331" w14:textId="77777777" w:rsidR="00467FCA" w:rsidRDefault="001B68EB">
            <w:pPr>
              <w:pStyle w:val="TableParagraph"/>
              <w:ind w:left="132" w:right="124"/>
              <w:rPr>
                <w:sz w:val="20"/>
              </w:rPr>
            </w:pPr>
            <w:r>
              <w:rPr>
                <w:sz w:val="20"/>
              </w:rPr>
              <w:t>30</w:t>
            </w:r>
          </w:p>
        </w:tc>
        <w:tc>
          <w:tcPr>
            <w:tcW w:w="6080" w:type="dxa"/>
          </w:tcPr>
          <w:p w14:paraId="28875827" w14:textId="77777777" w:rsidR="00467FCA" w:rsidRDefault="001B68EB">
            <w:pPr>
              <w:pStyle w:val="TableParagraph"/>
              <w:ind w:left="1013" w:right="1013"/>
              <w:rPr>
                <w:sz w:val="20"/>
              </w:rPr>
            </w:pPr>
            <w:r>
              <w:rPr>
                <w:sz w:val="20"/>
              </w:rPr>
              <w:t>Daniel dos Santos de Jesus</w:t>
            </w:r>
          </w:p>
        </w:tc>
      </w:tr>
      <w:tr w:rsidR="00467FCA" w14:paraId="4E2D1E1E" w14:textId="77777777">
        <w:trPr>
          <w:trHeight w:val="301"/>
        </w:trPr>
        <w:tc>
          <w:tcPr>
            <w:tcW w:w="562" w:type="dxa"/>
          </w:tcPr>
          <w:p w14:paraId="19FF08C0" w14:textId="77777777" w:rsidR="00467FCA" w:rsidRDefault="001B68EB">
            <w:pPr>
              <w:pStyle w:val="TableParagraph"/>
              <w:ind w:left="132" w:right="124"/>
              <w:rPr>
                <w:sz w:val="20"/>
              </w:rPr>
            </w:pPr>
            <w:r>
              <w:rPr>
                <w:sz w:val="20"/>
              </w:rPr>
              <w:t>31</w:t>
            </w:r>
          </w:p>
        </w:tc>
        <w:tc>
          <w:tcPr>
            <w:tcW w:w="6080" w:type="dxa"/>
          </w:tcPr>
          <w:p w14:paraId="67FF74B4" w14:textId="77777777" w:rsidR="00467FCA" w:rsidRDefault="001B68EB">
            <w:pPr>
              <w:pStyle w:val="TableParagraph"/>
              <w:ind w:right="1011"/>
              <w:rPr>
                <w:sz w:val="20"/>
              </w:rPr>
            </w:pPr>
            <w:r>
              <w:rPr>
                <w:sz w:val="20"/>
              </w:rPr>
              <w:t>Deivesson Conceição de Jesus</w:t>
            </w:r>
          </w:p>
        </w:tc>
      </w:tr>
      <w:tr w:rsidR="00467FCA" w14:paraId="378BC0FD" w14:textId="77777777">
        <w:trPr>
          <w:trHeight w:val="299"/>
        </w:trPr>
        <w:tc>
          <w:tcPr>
            <w:tcW w:w="562" w:type="dxa"/>
          </w:tcPr>
          <w:p w14:paraId="33E940FD" w14:textId="77777777" w:rsidR="00467FCA" w:rsidRDefault="001B68EB">
            <w:pPr>
              <w:pStyle w:val="TableParagraph"/>
              <w:ind w:left="132" w:right="124"/>
              <w:rPr>
                <w:sz w:val="20"/>
              </w:rPr>
            </w:pPr>
            <w:r>
              <w:rPr>
                <w:sz w:val="20"/>
              </w:rPr>
              <w:t>32</w:t>
            </w:r>
          </w:p>
        </w:tc>
        <w:tc>
          <w:tcPr>
            <w:tcW w:w="6080" w:type="dxa"/>
          </w:tcPr>
          <w:p w14:paraId="166EE675" w14:textId="77777777" w:rsidR="00467FCA" w:rsidRDefault="001B68EB">
            <w:pPr>
              <w:pStyle w:val="TableParagraph"/>
              <w:ind w:right="1008"/>
              <w:rPr>
                <w:sz w:val="20"/>
              </w:rPr>
            </w:pPr>
            <w:r>
              <w:rPr>
                <w:sz w:val="20"/>
              </w:rPr>
              <w:t>Derivan Santos Nascimento</w:t>
            </w:r>
          </w:p>
        </w:tc>
      </w:tr>
      <w:tr w:rsidR="00467FCA" w14:paraId="53CFAD2B" w14:textId="77777777">
        <w:trPr>
          <w:trHeight w:val="299"/>
        </w:trPr>
        <w:tc>
          <w:tcPr>
            <w:tcW w:w="562" w:type="dxa"/>
          </w:tcPr>
          <w:p w14:paraId="07778361" w14:textId="77777777" w:rsidR="00467FCA" w:rsidRDefault="001B68EB">
            <w:pPr>
              <w:pStyle w:val="TableParagraph"/>
              <w:ind w:left="132" w:right="124"/>
              <w:rPr>
                <w:sz w:val="20"/>
              </w:rPr>
            </w:pPr>
            <w:r>
              <w:rPr>
                <w:sz w:val="20"/>
              </w:rPr>
              <w:t>33</w:t>
            </w:r>
          </w:p>
        </w:tc>
        <w:tc>
          <w:tcPr>
            <w:tcW w:w="6080" w:type="dxa"/>
          </w:tcPr>
          <w:p w14:paraId="0EF7CF12" w14:textId="77777777" w:rsidR="00467FCA" w:rsidRDefault="001B68EB">
            <w:pPr>
              <w:pStyle w:val="TableParagraph"/>
              <w:ind w:right="1012"/>
              <w:rPr>
                <w:sz w:val="20"/>
              </w:rPr>
            </w:pPr>
            <w:r>
              <w:rPr>
                <w:sz w:val="20"/>
              </w:rPr>
              <w:t>Edvaldo de Souza Bittencourt</w:t>
            </w:r>
          </w:p>
        </w:tc>
      </w:tr>
      <w:tr w:rsidR="00467FCA" w14:paraId="6E429F38" w14:textId="77777777">
        <w:trPr>
          <w:trHeight w:val="299"/>
        </w:trPr>
        <w:tc>
          <w:tcPr>
            <w:tcW w:w="562" w:type="dxa"/>
          </w:tcPr>
          <w:p w14:paraId="61333D56" w14:textId="77777777" w:rsidR="00467FCA" w:rsidRDefault="001B68EB">
            <w:pPr>
              <w:pStyle w:val="TableParagraph"/>
              <w:ind w:left="132" w:right="124"/>
              <w:rPr>
                <w:sz w:val="20"/>
              </w:rPr>
            </w:pPr>
            <w:r>
              <w:rPr>
                <w:sz w:val="20"/>
              </w:rPr>
              <w:t>34</w:t>
            </w:r>
          </w:p>
        </w:tc>
        <w:tc>
          <w:tcPr>
            <w:tcW w:w="6080" w:type="dxa"/>
          </w:tcPr>
          <w:p w14:paraId="05C4E99B" w14:textId="77777777" w:rsidR="00467FCA" w:rsidRDefault="001B68EB">
            <w:pPr>
              <w:pStyle w:val="TableParagraph"/>
              <w:ind w:left="1013" w:right="1013"/>
              <w:rPr>
                <w:sz w:val="20"/>
              </w:rPr>
            </w:pPr>
            <w:r>
              <w:rPr>
                <w:sz w:val="20"/>
              </w:rPr>
              <w:t>Elaine dos Santos Pires</w:t>
            </w:r>
          </w:p>
        </w:tc>
      </w:tr>
      <w:tr w:rsidR="00467FCA" w14:paraId="0B4E2330" w14:textId="77777777">
        <w:trPr>
          <w:trHeight w:val="299"/>
        </w:trPr>
        <w:tc>
          <w:tcPr>
            <w:tcW w:w="562" w:type="dxa"/>
          </w:tcPr>
          <w:p w14:paraId="0CE3253A" w14:textId="77777777" w:rsidR="00467FCA" w:rsidRDefault="001B68EB">
            <w:pPr>
              <w:pStyle w:val="TableParagraph"/>
              <w:ind w:left="132" w:right="124"/>
              <w:rPr>
                <w:sz w:val="20"/>
              </w:rPr>
            </w:pPr>
            <w:r>
              <w:rPr>
                <w:sz w:val="20"/>
              </w:rPr>
              <w:t>35</w:t>
            </w:r>
          </w:p>
        </w:tc>
        <w:tc>
          <w:tcPr>
            <w:tcW w:w="6080" w:type="dxa"/>
          </w:tcPr>
          <w:p w14:paraId="0117DB8B" w14:textId="77777777" w:rsidR="00467FCA" w:rsidRDefault="001B68EB">
            <w:pPr>
              <w:pStyle w:val="TableParagraph"/>
              <w:ind w:left="1013" w:right="1013"/>
              <w:rPr>
                <w:sz w:val="20"/>
              </w:rPr>
            </w:pPr>
            <w:r>
              <w:rPr>
                <w:sz w:val="20"/>
              </w:rPr>
              <w:t>Elizangela Silva Costa</w:t>
            </w:r>
          </w:p>
        </w:tc>
      </w:tr>
      <w:tr w:rsidR="00467FCA" w14:paraId="473183A0" w14:textId="77777777">
        <w:trPr>
          <w:trHeight w:val="299"/>
        </w:trPr>
        <w:tc>
          <w:tcPr>
            <w:tcW w:w="562" w:type="dxa"/>
          </w:tcPr>
          <w:p w14:paraId="4FA8AB0D" w14:textId="77777777" w:rsidR="00467FCA" w:rsidRDefault="001B68EB">
            <w:pPr>
              <w:pStyle w:val="TableParagraph"/>
              <w:ind w:left="132" w:right="124"/>
              <w:rPr>
                <w:sz w:val="20"/>
              </w:rPr>
            </w:pPr>
            <w:r>
              <w:rPr>
                <w:sz w:val="20"/>
              </w:rPr>
              <w:t>36</w:t>
            </w:r>
          </w:p>
        </w:tc>
        <w:tc>
          <w:tcPr>
            <w:tcW w:w="6080" w:type="dxa"/>
          </w:tcPr>
          <w:p w14:paraId="14B6E30F" w14:textId="77777777" w:rsidR="00467FCA" w:rsidRDefault="001B68EB">
            <w:pPr>
              <w:pStyle w:val="TableParagraph"/>
              <w:ind w:right="1013"/>
              <w:rPr>
                <w:sz w:val="20"/>
              </w:rPr>
            </w:pPr>
            <w:r>
              <w:rPr>
                <w:sz w:val="20"/>
              </w:rPr>
              <w:t>Elton Barreiro dos Santos</w:t>
            </w:r>
          </w:p>
        </w:tc>
      </w:tr>
      <w:tr w:rsidR="00467FCA" w14:paraId="2A7BEAC8" w14:textId="77777777">
        <w:trPr>
          <w:trHeight w:val="301"/>
        </w:trPr>
        <w:tc>
          <w:tcPr>
            <w:tcW w:w="562" w:type="dxa"/>
          </w:tcPr>
          <w:p w14:paraId="51936E69" w14:textId="77777777" w:rsidR="00467FCA" w:rsidRDefault="001B68EB">
            <w:pPr>
              <w:pStyle w:val="TableParagraph"/>
              <w:ind w:left="132" w:right="124"/>
              <w:rPr>
                <w:sz w:val="20"/>
              </w:rPr>
            </w:pPr>
            <w:r>
              <w:rPr>
                <w:sz w:val="20"/>
              </w:rPr>
              <w:t>37</w:t>
            </w:r>
          </w:p>
        </w:tc>
        <w:tc>
          <w:tcPr>
            <w:tcW w:w="6080" w:type="dxa"/>
          </w:tcPr>
          <w:p w14:paraId="1FFF9175" w14:textId="77777777" w:rsidR="00467FCA" w:rsidRDefault="001B68EB">
            <w:pPr>
              <w:pStyle w:val="TableParagraph"/>
              <w:ind w:right="1011"/>
              <w:rPr>
                <w:sz w:val="20"/>
              </w:rPr>
            </w:pPr>
            <w:r>
              <w:rPr>
                <w:sz w:val="20"/>
              </w:rPr>
              <w:t>Ericles Silva Gonçalves</w:t>
            </w:r>
          </w:p>
        </w:tc>
      </w:tr>
      <w:tr w:rsidR="00467FCA" w14:paraId="12A56572" w14:textId="77777777">
        <w:trPr>
          <w:trHeight w:val="299"/>
        </w:trPr>
        <w:tc>
          <w:tcPr>
            <w:tcW w:w="562" w:type="dxa"/>
          </w:tcPr>
          <w:p w14:paraId="6EEAB3C0" w14:textId="77777777" w:rsidR="00467FCA" w:rsidRDefault="001B68EB">
            <w:pPr>
              <w:pStyle w:val="TableParagraph"/>
              <w:ind w:left="132" w:right="124"/>
              <w:rPr>
                <w:sz w:val="20"/>
              </w:rPr>
            </w:pPr>
            <w:r>
              <w:rPr>
                <w:sz w:val="20"/>
              </w:rPr>
              <w:t>38</w:t>
            </w:r>
          </w:p>
        </w:tc>
        <w:tc>
          <w:tcPr>
            <w:tcW w:w="6080" w:type="dxa"/>
          </w:tcPr>
          <w:p w14:paraId="3CFEB653" w14:textId="77777777" w:rsidR="00467FCA" w:rsidRDefault="001B68EB">
            <w:pPr>
              <w:pStyle w:val="TableParagraph"/>
              <w:ind w:right="1011"/>
              <w:rPr>
                <w:sz w:val="20"/>
              </w:rPr>
            </w:pPr>
            <w:r>
              <w:rPr>
                <w:sz w:val="20"/>
              </w:rPr>
              <w:t>Esdra Santos Gomes</w:t>
            </w:r>
          </w:p>
        </w:tc>
      </w:tr>
      <w:tr w:rsidR="00467FCA" w14:paraId="1ADE0CBF" w14:textId="77777777">
        <w:trPr>
          <w:trHeight w:val="299"/>
        </w:trPr>
        <w:tc>
          <w:tcPr>
            <w:tcW w:w="562" w:type="dxa"/>
          </w:tcPr>
          <w:p w14:paraId="6E319157" w14:textId="77777777" w:rsidR="00467FCA" w:rsidRDefault="001B68EB">
            <w:pPr>
              <w:pStyle w:val="TableParagraph"/>
              <w:ind w:left="132" w:right="124"/>
              <w:rPr>
                <w:sz w:val="20"/>
              </w:rPr>
            </w:pPr>
            <w:r>
              <w:rPr>
                <w:sz w:val="20"/>
              </w:rPr>
              <w:t>39</w:t>
            </w:r>
          </w:p>
        </w:tc>
        <w:tc>
          <w:tcPr>
            <w:tcW w:w="6080" w:type="dxa"/>
          </w:tcPr>
          <w:p w14:paraId="7EA1A904" w14:textId="77777777" w:rsidR="00467FCA" w:rsidRDefault="001B68EB">
            <w:pPr>
              <w:pStyle w:val="TableParagraph"/>
              <w:ind w:left="1013" w:right="1013"/>
              <w:rPr>
                <w:sz w:val="20"/>
              </w:rPr>
            </w:pPr>
            <w:r>
              <w:rPr>
                <w:sz w:val="20"/>
              </w:rPr>
              <w:t>Francisco Miguel dos Santos</w:t>
            </w:r>
          </w:p>
        </w:tc>
      </w:tr>
    </w:tbl>
    <w:p w14:paraId="539BAC77" w14:textId="77777777" w:rsidR="00467FCA" w:rsidRDefault="00467FCA">
      <w:pPr>
        <w:rPr>
          <w:sz w:val="20"/>
        </w:rPr>
        <w:sectPr w:rsidR="00467FCA">
          <w:pgSz w:w="12240" w:h="15840"/>
          <w:pgMar w:top="1360" w:right="1320" w:bottom="1220" w:left="1320" w:header="0" w:footer="957" w:gutter="0"/>
          <w:cols w:space="720"/>
        </w:sectPr>
      </w:pPr>
    </w:p>
    <w:tbl>
      <w:tblPr>
        <w:tblStyle w:val="TableNormal"/>
        <w:tblW w:w="0" w:type="auto"/>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080"/>
      </w:tblGrid>
      <w:tr w:rsidR="00467FCA" w14:paraId="2B71476E" w14:textId="77777777">
        <w:trPr>
          <w:trHeight w:val="299"/>
        </w:trPr>
        <w:tc>
          <w:tcPr>
            <w:tcW w:w="562" w:type="dxa"/>
            <w:tcBorders>
              <w:top w:val="nil"/>
            </w:tcBorders>
          </w:tcPr>
          <w:p w14:paraId="16342A19" w14:textId="77777777" w:rsidR="00467FCA" w:rsidRDefault="001B68EB">
            <w:pPr>
              <w:pStyle w:val="TableParagraph"/>
              <w:spacing w:before="24"/>
              <w:ind w:left="132" w:right="124"/>
              <w:rPr>
                <w:sz w:val="20"/>
              </w:rPr>
            </w:pPr>
            <w:r>
              <w:rPr>
                <w:sz w:val="20"/>
              </w:rPr>
              <w:t>40</w:t>
            </w:r>
          </w:p>
        </w:tc>
        <w:tc>
          <w:tcPr>
            <w:tcW w:w="6080" w:type="dxa"/>
            <w:tcBorders>
              <w:top w:val="nil"/>
            </w:tcBorders>
          </w:tcPr>
          <w:p w14:paraId="6A3FC4E4" w14:textId="77777777" w:rsidR="00467FCA" w:rsidRDefault="001B68EB">
            <w:pPr>
              <w:pStyle w:val="TableParagraph"/>
              <w:spacing w:before="24"/>
              <w:ind w:right="1012"/>
              <w:rPr>
                <w:sz w:val="20"/>
              </w:rPr>
            </w:pPr>
            <w:r>
              <w:rPr>
                <w:sz w:val="20"/>
              </w:rPr>
              <w:t>Geneis dos Santos Souza</w:t>
            </w:r>
          </w:p>
        </w:tc>
      </w:tr>
      <w:tr w:rsidR="00467FCA" w14:paraId="6653A6E2" w14:textId="77777777">
        <w:trPr>
          <w:trHeight w:val="299"/>
        </w:trPr>
        <w:tc>
          <w:tcPr>
            <w:tcW w:w="562" w:type="dxa"/>
          </w:tcPr>
          <w:p w14:paraId="33CE1051" w14:textId="77777777" w:rsidR="00467FCA" w:rsidRDefault="001B68EB">
            <w:pPr>
              <w:pStyle w:val="TableParagraph"/>
              <w:spacing w:before="24"/>
              <w:ind w:left="132" w:right="124"/>
              <w:rPr>
                <w:sz w:val="20"/>
              </w:rPr>
            </w:pPr>
            <w:r>
              <w:rPr>
                <w:sz w:val="20"/>
              </w:rPr>
              <w:t>41</w:t>
            </w:r>
          </w:p>
        </w:tc>
        <w:tc>
          <w:tcPr>
            <w:tcW w:w="6080" w:type="dxa"/>
          </w:tcPr>
          <w:p w14:paraId="0354C69A" w14:textId="77777777" w:rsidR="00467FCA" w:rsidRDefault="001B68EB">
            <w:pPr>
              <w:pStyle w:val="TableParagraph"/>
              <w:spacing w:before="24"/>
              <w:ind w:right="1012"/>
              <w:rPr>
                <w:sz w:val="20"/>
              </w:rPr>
            </w:pPr>
            <w:r>
              <w:rPr>
                <w:sz w:val="20"/>
              </w:rPr>
              <w:t>Hebert Barreiro dos Santos</w:t>
            </w:r>
          </w:p>
        </w:tc>
      </w:tr>
      <w:tr w:rsidR="00467FCA" w14:paraId="572DD7AB" w14:textId="77777777">
        <w:trPr>
          <w:trHeight w:val="299"/>
        </w:trPr>
        <w:tc>
          <w:tcPr>
            <w:tcW w:w="562" w:type="dxa"/>
          </w:tcPr>
          <w:p w14:paraId="32361B00" w14:textId="77777777" w:rsidR="00467FCA" w:rsidRDefault="001B68EB">
            <w:pPr>
              <w:pStyle w:val="TableParagraph"/>
              <w:spacing w:before="24"/>
              <w:ind w:left="132" w:right="124"/>
              <w:rPr>
                <w:sz w:val="20"/>
              </w:rPr>
            </w:pPr>
            <w:r>
              <w:rPr>
                <w:sz w:val="20"/>
              </w:rPr>
              <w:t>42</w:t>
            </w:r>
          </w:p>
        </w:tc>
        <w:tc>
          <w:tcPr>
            <w:tcW w:w="6080" w:type="dxa"/>
          </w:tcPr>
          <w:p w14:paraId="60B692E2" w14:textId="77777777" w:rsidR="00467FCA" w:rsidRDefault="001B68EB">
            <w:pPr>
              <w:pStyle w:val="TableParagraph"/>
              <w:spacing w:before="24"/>
              <w:ind w:left="1013" w:right="1013"/>
              <w:rPr>
                <w:sz w:val="20"/>
              </w:rPr>
            </w:pPr>
            <w:r>
              <w:rPr>
                <w:sz w:val="20"/>
              </w:rPr>
              <w:t>Helena de Souza Silva</w:t>
            </w:r>
          </w:p>
        </w:tc>
      </w:tr>
      <w:tr w:rsidR="00467FCA" w14:paraId="2BAC281C" w14:textId="77777777">
        <w:trPr>
          <w:trHeight w:val="301"/>
        </w:trPr>
        <w:tc>
          <w:tcPr>
            <w:tcW w:w="562" w:type="dxa"/>
          </w:tcPr>
          <w:p w14:paraId="14B7A6B9" w14:textId="77777777" w:rsidR="00467FCA" w:rsidRDefault="001B68EB">
            <w:pPr>
              <w:pStyle w:val="TableParagraph"/>
              <w:spacing w:before="24"/>
              <w:ind w:left="132" w:right="124"/>
              <w:rPr>
                <w:sz w:val="20"/>
              </w:rPr>
            </w:pPr>
            <w:r>
              <w:rPr>
                <w:sz w:val="20"/>
              </w:rPr>
              <w:t>43</w:t>
            </w:r>
          </w:p>
        </w:tc>
        <w:tc>
          <w:tcPr>
            <w:tcW w:w="6080" w:type="dxa"/>
          </w:tcPr>
          <w:p w14:paraId="6483B463" w14:textId="77777777" w:rsidR="00467FCA" w:rsidRDefault="001B68EB">
            <w:pPr>
              <w:pStyle w:val="TableParagraph"/>
              <w:spacing w:before="24"/>
              <w:ind w:right="1012"/>
              <w:rPr>
                <w:sz w:val="20"/>
              </w:rPr>
            </w:pPr>
            <w:r>
              <w:rPr>
                <w:sz w:val="20"/>
              </w:rPr>
              <w:t>Jaiane de Jesus Silva</w:t>
            </w:r>
          </w:p>
        </w:tc>
      </w:tr>
      <w:tr w:rsidR="00467FCA" w14:paraId="18957593" w14:textId="77777777">
        <w:trPr>
          <w:trHeight w:val="299"/>
        </w:trPr>
        <w:tc>
          <w:tcPr>
            <w:tcW w:w="562" w:type="dxa"/>
          </w:tcPr>
          <w:p w14:paraId="068B9477" w14:textId="77777777" w:rsidR="00467FCA" w:rsidRDefault="001B68EB">
            <w:pPr>
              <w:pStyle w:val="TableParagraph"/>
              <w:spacing w:before="24"/>
              <w:ind w:left="132" w:right="124"/>
              <w:rPr>
                <w:sz w:val="20"/>
              </w:rPr>
            </w:pPr>
            <w:r>
              <w:rPr>
                <w:sz w:val="20"/>
              </w:rPr>
              <w:t>44</w:t>
            </w:r>
          </w:p>
        </w:tc>
        <w:tc>
          <w:tcPr>
            <w:tcW w:w="6080" w:type="dxa"/>
          </w:tcPr>
          <w:p w14:paraId="33CB47FD" w14:textId="77777777" w:rsidR="00467FCA" w:rsidRDefault="001B68EB">
            <w:pPr>
              <w:pStyle w:val="TableParagraph"/>
              <w:spacing w:before="24"/>
              <w:ind w:right="1011"/>
              <w:rPr>
                <w:sz w:val="20"/>
              </w:rPr>
            </w:pPr>
            <w:r>
              <w:rPr>
                <w:sz w:val="20"/>
              </w:rPr>
              <w:t>Jamille de Jesus Santos</w:t>
            </w:r>
          </w:p>
        </w:tc>
      </w:tr>
      <w:tr w:rsidR="00467FCA" w14:paraId="7CB5C138" w14:textId="77777777">
        <w:trPr>
          <w:trHeight w:val="299"/>
        </w:trPr>
        <w:tc>
          <w:tcPr>
            <w:tcW w:w="562" w:type="dxa"/>
          </w:tcPr>
          <w:p w14:paraId="38CC58E0" w14:textId="77777777" w:rsidR="00467FCA" w:rsidRDefault="001B68EB">
            <w:pPr>
              <w:pStyle w:val="TableParagraph"/>
              <w:spacing w:before="24"/>
              <w:ind w:left="132" w:right="124"/>
              <w:rPr>
                <w:sz w:val="20"/>
              </w:rPr>
            </w:pPr>
            <w:r>
              <w:rPr>
                <w:sz w:val="20"/>
              </w:rPr>
              <w:t>45</w:t>
            </w:r>
          </w:p>
        </w:tc>
        <w:tc>
          <w:tcPr>
            <w:tcW w:w="6080" w:type="dxa"/>
          </w:tcPr>
          <w:p w14:paraId="127A665D" w14:textId="77777777" w:rsidR="00467FCA" w:rsidRDefault="001B68EB">
            <w:pPr>
              <w:pStyle w:val="TableParagraph"/>
              <w:spacing w:before="24"/>
              <w:ind w:right="1011"/>
              <w:rPr>
                <w:sz w:val="20"/>
              </w:rPr>
            </w:pPr>
            <w:r>
              <w:rPr>
                <w:sz w:val="20"/>
              </w:rPr>
              <w:t>Janderson de Jesus Santos</w:t>
            </w:r>
          </w:p>
        </w:tc>
      </w:tr>
      <w:tr w:rsidR="00467FCA" w14:paraId="34F0A4F8" w14:textId="77777777">
        <w:trPr>
          <w:trHeight w:val="299"/>
        </w:trPr>
        <w:tc>
          <w:tcPr>
            <w:tcW w:w="562" w:type="dxa"/>
          </w:tcPr>
          <w:p w14:paraId="63C26D77" w14:textId="77777777" w:rsidR="00467FCA" w:rsidRDefault="001B68EB">
            <w:pPr>
              <w:pStyle w:val="TableParagraph"/>
              <w:spacing w:before="24"/>
              <w:ind w:left="132" w:right="124"/>
              <w:rPr>
                <w:sz w:val="20"/>
              </w:rPr>
            </w:pPr>
            <w:r>
              <w:rPr>
                <w:sz w:val="20"/>
              </w:rPr>
              <w:t>46</w:t>
            </w:r>
          </w:p>
        </w:tc>
        <w:tc>
          <w:tcPr>
            <w:tcW w:w="6080" w:type="dxa"/>
          </w:tcPr>
          <w:p w14:paraId="34EE4C44" w14:textId="77777777" w:rsidR="00467FCA" w:rsidRDefault="001B68EB">
            <w:pPr>
              <w:pStyle w:val="TableParagraph"/>
              <w:spacing w:before="24"/>
              <w:ind w:right="1011"/>
              <w:rPr>
                <w:sz w:val="20"/>
              </w:rPr>
            </w:pPr>
            <w:r>
              <w:rPr>
                <w:sz w:val="20"/>
              </w:rPr>
              <w:t>Jenildo de Jesus Santos</w:t>
            </w:r>
          </w:p>
        </w:tc>
      </w:tr>
      <w:tr w:rsidR="00467FCA" w14:paraId="644B800E" w14:textId="77777777">
        <w:trPr>
          <w:trHeight w:val="299"/>
        </w:trPr>
        <w:tc>
          <w:tcPr>
            <w:tcW w:w="562" w:type="dxa"/>
          </w:tcPr>
          <w:p w14:paraId="0EF596E3" w14:textId="77777777" w:rsidR="00467FCA" w:rsidRDefault="001B68EB">
            <w:pPr>
              <w:pStyle w:val="TableParagraph"/>
              <w:spacing w:before="24"/>
              <w:ind w:left="132" w:right="124"/>
              <w:rPr>
                <w:sz w:val="20"/>
              </w:rPr>
            </w:pPr>
            <w:r>
              <w:rPr>
                <w:sz w:val="20"/>
              </w:rPr>
              <w:t>47</w:t>
            </w:r>
          </w:p>
        </w:tc>
        <w:tc>
          <w:tcPr>
            <w:tcW w:w="6080" w:type="dxa"/>
          </w:tcPr>
          <w:p w14:paraId="7EAA3F4E" w14:textId="77777777" w:rsidR="00467FCA" w:rsidRDefault="001B68EB">
            <w:pPr>
              <w:pStyle w:val="TableParagraph"/>
              <w:spacing w:before="24"/>
              <w:ind w:right="1013"/>
              <w:rPr>
                <w:sz w:val="20"/>
              </w:rPr>
            </w:pPr>
            <w:r>
              <w:rPr>
                <w:sz w:val="20"/>
              </w:rPr>
              <w:t>Jéssica da Hora Andrade</w:t>
            </w:r>
          </w:p>
        </w:tc>
      </w:tr>
      <w:tr w:rsidR="00467FCA" w14:paraId="7E6DE277" w14:textId="77777777">
        <w:trPr>
          <w:trHeight w:val="299"/>
        </w:trPr>
        <w:tc>
          <w:tcPr>
            <w:tcW w:w="562" w:type="dxa"/>
          </w:tcPr>
          <w:p w14:paraId="3F7C8881" w14:textId="77777777" w:rsidR="00467FCA" w:rsidRDefault="001B68EB">
            <w:pPr>
              <w:pStyle w:val="TableParagraph"/>
              <w:spacing w:before="24"/>
              <w:ind w:left="132" w:right="124"/>
              <w:rPr>
                <w:sz w:val="20"/>
              </w:rPr>
            </w:pPr>
            <w:r>
              <w:rPr>
                <w:sz w:val="20"/>
              </w:rPr>
              <w:t>48</w:t>
            </w:r>
          </w:p>
        </w:tc>
        <w:tc>
          <w:tcPr>
            <w:tcW w:w="6080" w:type="dxa"/>
          </w:tcPr>
          <w:p w14:paraId="278D9A87" w14:textId="77777777" w:rsidR="00467FCA" w:rsidRDefault="001B68EB">
            <w:pPr>
              <w:pStyle w:val="TableParagraph"/>
              <w:spacing w:before="24"/>
              <w:ind w:right="1013"/>
              <w:rPr>
                <w:sz w:val="20"/>
              </w:rPr>
            </w:pPr>
            <w:r>
              <w:rPr>
                <w:sz w:val="20"/>
              </w:rPr>
              <w:t>Joandson de Jesus Santos</w:t>
            </w:r>
          </w:p>
        </w:tc>
      </w:tr>
      <w:tr w:rsidR="00467FCA" w14:paraId="4519AB78" w14:textId="77777777">
        <w:trPr>
          <w:trHeight w:val="301"/>
        </w:trPr>
        <w:tc>
          <w:tcPr>
            <w:tcW w:w="562" w:type="dxa"/>
          </w:tcPr>
          <w:p w14:paraId="5895DCA0" w14:textId="77777777" w:rsidR="00467FCA" w:rsidRDefault="001B68EB">
            <w:pPr>
              <w:pStyle w:val="TableParagraph"/>
              <w:spacing w:before="24"/>
              <w:ind w:left="132" w:right="124"/>
              <w:rPr>
                <w:sz w:val="20"/>
              </w:rPr>
            </w:pPr>
            <w:r>
              <w:rPr>
                <w:sz w:val="20"/>
              </w:rPr>
              <w:t>49</w:t>
            </w:r>
          </w:p>
        </w:tc>
        <w:tc>
          <w:tcPr>
            <w:tcW w:w="6080" w:type="dxa"/>
          </w:tcPr>
          <w:p w14:paraId="083DC776" w14:textId="77777777" w:rsidR="00467FCA" w:rsidRDefault="001B68EB">
            <w:pPr>
              <w:pStyle w:val="TableParagraph"/>
              <w:spacing w:before="24"/>
              <w:ind w:right="1011"/>
              <w:rPr>
                <w:sz w:val="20"/>
              </w:rPr>
            </w:pPr>
            <w:r>
              <w:rPr>
                <w:sz w:val="20"/>
              </w:rPr>
              <w:t>Jocelene de Jesus Santos</w:t>
            </w:r>
          </w:p>
        </w:tc>
      </w:tr>
      <w:tr w:rsidR="00467FCA" w14:paraId="6C2E893F" w14:textId="77777777">
        <w:trPr>
          <w:trHeight w:val="299"/>
        </w:trPr>
        <w:tc>
          <w:tcPr>
            <w:tcW w:w="562" w:type="dxa"/>
          </w:tcPr>
          <w:p w14:paraId="04D3FDE1" w14:textId="77777777" w:rsidR="00467FCA" w:rsidRDefault="001B68EB">
            <w:pPr>
              <w:pStyle w:val="TableParagraph"/>
              <w:spacing w:before="24"/>
              <w:ind w:left="132" w:right="124"/>
              <w:rPr>
                <w:sz w:val="20"/>
              </w:rPr>
            </w:pPr>
            <w:r>
              <w:rPr>
                <w:sz w:val="20"/>
              </w:rPr>
              <w:t>50</w:t>
            </w:r>
          </w:p>
        </w:tc>
        <w:tc>
          <w:tcPr>
            <w:tcW w:w="6080" w:type="dxa"/>
          </w:tcPr>
          <w:p w14:paraId="53BF47B3" w14:textId="77777777" w:rsidR="00467FCA" w:rsidRDefault="001B68EB">
            <w:pPr>
              <w:pStyle w:val="TableParagraph"/>
              <w:spacing w:before="24"/>
              <w:ind w:right="1013"/>
              <w:rPr>
                <w:sz w:val="20"/>
              </w:rPr>
            </w:pPr>
            <w:r>
              <w:rPr>
                <w:sz w:val="20"/>
              </w:rPr>
              <w:t>Jonas de Jesus Silva</w:t>
            </w:r>
          </w:p>
        </w:tc>
      </w:tr>
      <w:tr w:rsidR="00467FCA" w14:paraId="71E371B7" w14:textId="77777777">
        <w:trPr>
          <w:trHeight w:val="299"/>
        </w:trPr>
        <w:tc>
          <w:tcPr>
            <w:tcW w:w="562" w:type="dxa"/>
          </w:tcPr>
          <w:p w14:paraId="50543351" w14:textId="77777777" w:rsidR="00467FCA" w:rsidRDefault="001B68EB">
            <w:pPr>
              <w:pStyle w:val="TableParagraph"/>
              <w:spacing w:before="24"/>
              <w:ind w:left="132" w:right="124"/>
              <w:rPr>
                <w:sz w:val="20"/>
              </w:rPr>
            </w:pPr>
            <w:r>
              <w:rPr>
                <w:sz w:val="20"/>
              </w:rPr>
              <w:t>51</w:t>
            </w:r>
          </w:p>
        </w:tc>
        <w:tc>
          <w:tcPr>
            <w:tcW w:w="6080" w:type="dxa"/>
          </w:tcPr>
          <w:p w14:paraId="494186F6" w14:textId="77777777" w:rsidR="00467FCA" w:rsidRDefault="001B68EB">
            <w:pPr>
              <w:pStyle w:val="TableParagraph"/>
              <w:spacing w:before="24"/>
              <w:ind w:right="1013"/>
              <w:rPr>
                <w:sz w:val="20"/>
              </w:rPr>
            </w:pPr>
            <w:r>
              <w:rPr>
                <w:sz w:val="20"/>
              </w:rPr>
              <w:t>José Ramone Santos Nascimento</w:t>
            </w:r>
          </w:p>
        </w:tc>
      </w:tr>
      <w:tr w:rsidR="00467FCA" w14:paraId="4429CF5E" w14:textId="77777777">
        <w:trPr>
          <w:trHeight w:val="299"/>
        </w:trPr>
        <w:tc>
          <w:tcPr>
            <w:tcW w:w="562" w:type="dxa"/>
          </w:tcPr>
          <w:p w14:paraId="3D8E7E54" w14:textId="77777777" w:rsidR="00467FCA" w:rsidRDefault="001B68EB">
            <w:pPr>
              <w:pStyle w:val="TableParagraph"/>
              <w:spacing w:before="24"/>
              <w:ind w:left="132" w:right="124"/>
              <w:rPr>
                <w:sz w:val="20"/>
              </w:rPr>
            </w:pPr>
            <w:r>
              <w:rPr>
                <w:sz w:val="20"/>
              </w:rPr>
              <w:t>52</w:t>
            </w:r>
          </w:p>
        </w:tc>
        <w:tc>
          <w:tcPr>
            <w:tcW w:w="6080" w:type="dxa"/>
          </w:tcPr>
          <w:p w14:paraId="1E91384E" w14:textId="77777777" w:rsidR="00467FCA" w:rsidRDefault="001B68EB">
            <w:pPr>
              <w:pStyle w:val="TableParagraph"/>
              <w:spacing w:before="24"/>
              <w:ind w:right="1013"/>
              <w:rPr>
                <w:sz w:val="20"/>
              </w:rPr>
            </w:pPr>
            <w:r>
              <w:rPr>
                <w:sz w:val="20"/>
              </w:rPr>
              <w:t>José Ribeiro dos Santos</w:t>
            </w:r>
          </w:p>
        </w:tc>
      </w:tr>
      <w:tr w:rsidR="00467FCA" w14:paraId="2EF62B96" w14:textId="77777777">
        <w:trPr>
          <w:trHeight w:val="299"/>
        </w:trPr>
        <w:tc>
          <w:tcPr>
            <w:tcW w:w="562" w:type="dxa"/>
          </w:tcPr>
          <w:p w14:paraId="13052A7C" w14:textId="77777777" w:rsidR="00467FCA" w:rsidRDefault="001B68EB">
            <w:pPr>
              <w:pStyle w:val="TableParagraph"/>
              <w:spacing w:before="24"/>
              <w:ind w:left="132" w:right="124"/>
              <w:rPr>
                <w:sz w:val="20"/>
              </w:rPr>
            </w:pPr>
            <w:r>
              <w:rPr>
                <w:sz w:val="20"/>
              </w:rPr>
              <w:t>53</w:t>
            </w:r>
          </w:p>
        </w:tc>
        <w:tc>
          <w:tcPr>
            <w:tcW w:w="6080" w:type="dxa"/>
          </w:tcPr>
          <w:p w14:paraId="483B88A6" w14:textId="77777777" w:rsidR="00467FCA" w:rsidRDefault="001B68EB">
            <w:pPr>
              <w:pStyle w:val="TableParagraph"/>
              <w:spacing w:before="24"/>
              <w:ind w:right="1013"/>
              <w:rPr>
                <w:sz w:val="20"/>
              </w:rPr>
            </w:pPr>
            <w:r>
              <w:rPr>
                <w:sz w:val="20"/>
              </w:rPr>
              <w:t>Josete Silva dos Santos</w:t>
            </w:r>
          </w:p>
        </w:tc>
      </w:tr>
      <w:tr w:rsidR="00467FCA" w14:paraId="0BB747E0" w14:textId="77777777">
        <w:trPr>
          <w:trHeight w:val="299"/>
        </w:trPr>
        <w:tc>
          <w:tcPr>
            <w:tcW w:w="562" w:type="dxa"/>
          </w:tcPr>
          <w:p w14:paraId="34F2E6D2" w14:textId="77777777" w:rsidR="00467FCA" w:rsidRDefault="001B68EB">
            <w:pPr>
              <w:pStyle w:val="TableParagraph"/>
              <w:spacing w:before="24"/>
              <w:ind w:left="132" w:right="124"/>
              <w:rPr>
                <w:sz w:val="20"/>
              </w:rPr>
            </w:pPr>
            <w:r>
              <w:rPr>
                <w:sz w:val="20"/>
              </w:rPr>
              <w:t>54</w:t>
            </w:r>
          </w:p>
        </w:tc>
        <w:tc>
          <w:tcPr>
            <w:tcW w:w="6080" w:type="dxa"/>
          </w:tcPr>
          <w:p w14:paraId="658DCB25" w14:textId="77777777" w:rsidR="00467FCA" w:rsidRDefault="001B68EB">
            <w:pPr>
              <w:pStyle w:val="TableParagraph"/>
              <w:spacing w:before="24"/>
              <w:ind w:right="1013"/>
              <w:rPr>
                <w:sz w:val="20"/>
              </w:rPr>
            </w:pPr>
            <w:r>
              <w:rPr>
                <w:sz w:val="20"/>
              </w:rPr>
              <w:t>Josué Jesus Santos</w:t>
            </w:r>
          </w:p>
        </w:tc>
      </w:tr>
      <w:tr w:rsidR="00467FCA" w14:paraId="0B0A0153" w14:textId="77777777">
        <w:trPr>
          <w:trHeight w:val="302"/>
        </w:trPr>
        <w:tc>
          <w:tcPr>
            <w:tcW w:w="562" w:type="dxa"/>
          </w:tcPr>
          <w:p w14:paraId="114D1267" w14:textId="77777777" w:rsidR="00467FCA" w:rsidRDefault="001B68EB">
            <w:pPr>
              <w:pStyle w:val="TableParagraph"/>
              <w:spacing w:before="24"/>
              <w:ind w:left="132" w:right="124"/>
              <w:rPr>
                <w:sz w:val="20"/>
              </w:rPr>
            </w:pPr>
            <w:r>
              <w:rPr>
                <w:sz w:val="20"/>
              </w:rPr>
              <w:t>55</w:t>
            </w:r>
          </w:p>
        </w:tc>
        <w:tc>
          <w:tcPr>
            <w:tcW w:w="6080" w:type="dxa"/>
          </w:tcPr>
          <w:p w14:paraId="54C7AB78" w14:textId="77777777" w:rsidR="00467FCA" w:rsidRDefault="001B68EB">
            <w:pPr>
              <w:pStyle w:val="TableParagraph"/>
              <w:spacing w:before="24"/>
              <w:ind w:right="1009"/>
              <w:rPr>
                <w:sz w:val="20"/>
              </w:rPr>
            </w:pPr>
            <w:r>
              <w:rPr>
                <w:sz w:val="20"/>
              </w:rPr>
              <w:t>Karilane de Jesus Santos</w:t>
            </w:r>
          </w:p>
        </w:tc>
      </w:tr>
      <w:tr w:rsidR="00467FCA" w14:paraId="37189CA5" w14:textId="77777777">
        <w:trPr>
          <w:trHeight w:val="299"/>
        </w:trPr>
        <w:tc>
          <w:tcPr>
            <w:tcW w:w="562" w:type="dxa"/>
          </w:tcPr>
          <w:p w14:paraId="19E181C1" w14:textId="77777777" w:rsidR="00467FCA" w:rsidRDefault="001B68EB">
            <w:pPr>
              <w:pStyle w:val="TableParagraph"/>
              <w:spacing w:before="24"/>
              <w:ind w:left="132" w:right="124"/>
              <w:rPr>
                <w:sz w:val="20"/>
              </w:rPr>
            </w:pPr>
            <w:r>
              <w:rPr>
                <w:sz w:val="20"/>
              </w:rPr>
              <w:t>56</w:t>
            </w:r>
          </w:p>
        </w:tc>
        <w:tc>
          <w:tcPr>
            <w:tcW w:w="6080" w:type="dxa"/>
          </w:tcPr>
          <w:p w14:paraId="7B3B9038" w14:textId="77777777" w:rsidR="00467FCA" w:rsidRDefault="001B68EB">
            <w:pPr>
              <w:pStyle w:val="TableParagraph"/>
              <w:spacing w:before="24"/>
              <w:ind w:right="1013"/>
              <w:rPr>
                <w:sz w:val="20"/>
              </w:rPr>
            </w:pPr>
            <w:r>
              <w:rPr>
                <w:sz w:val="20"/>
              </w:rPr>
              <w:t>Keliane Santos Pires</w:t>
            </w:r>
          </w:p>
        </w:tc>
      </w:tr>
      <w:tr w:rsidR="00467FCA" w14:paraId="7A0231A6" w14:textId="77777777">
        <w:trPr>
          <w:trHeight w:val="299"/>
        </w:trPr>
        <w:tc>
          <w:tcPr>
            <w:tcW w:w="562" w:type="dxa"/>
          </w:tcPr>
          <w:p w14:paraId="463E39C9" w14:textId="77777777" w:rsidR="00467FCA" w:rsidRDefault="001B68EB">
            <w:pPr>
              <w:pStyle w:val="TableParagraph"/>
              <w:spacing w:before="24"/>
              <w:ind w:left="132" w:right="124"/>
              <w:rPr>
                <w:sz w:val="20"/>
              </w:rPr>
            </w:pPr>
            <w:r>
              <w:rPr>
                <w:sz w:val="20"/>
              </w:rPr>
              <w:t>57</w:t>
            </w:r>
          </w:p>
        </w:tc>
        <w:tc>
          <w:tcPr>
            <w:tcW w:w="6080" w:type="dxa"/>
          </w:tcPr>
          <w:p w14:paraId="5C3BB7AC" w14:textId="77777777" w:rsidR="00467FCA" w:rsidRDefault="001B68EB">
            <w:pPr>
              <w:pStyle w:val="TableParagraph"/>
              <w:spacing w:before="24"/>
              <w:ind w:right="1013"/>
              <w:rPr>
                <w:sz w:val="20"/>
              </w:rPr>
            </w:pPr>
            <w:r>
              <w:rPr>
                <w:sz w:val="20"/>
              </w:rPr>
              <w:t>Leandro Rocha dos Santo</w:t>
            </w:r>
          </w:p>
        </w:tc>
      </w:tr>
      <w:tr w:rsidR="00467FCA" w14:paraId="1DCEF8A6" w14:textId="77777777">
        <w:trPr>
          <w:trHeight w:val="299"/>
        </w:trPr>
        <w:tc>
          <w:tcPr>
            <w:tcW w:w="562" w:type="dxa"/>
          </w:tcPr>
          <w:p w14:paraId="4137AA49" w14:textId="77777777" w:rsidR="00467FCA" w:rsidRDefault="001B68EB">
            <w:pPr>
              <w:pStyle w:val="TableParagraph"/>
              <w:spacing w:before="24"/>
              <w:ind w:left="132" w:right="124"/>
              <w:rPr>
                <w:sz w:val="20"/>
              </w:rPr>
            </w:pPr>
            <w:r>
              <w:rPr>
                <w:sz w:val="20"/>
              </w:rPr>
              <w:t>58</w:t>
            </w:r>
          </w:p>
        </w:tc>
        <w:tc>
          <w:tcPr>
            <w:tcW w:w="6080" w:type="dxa"/>
          </w:tcPr>
          <w:p w14:paraId="0F8C8B76" w14:textId="77777777" w:rsidR="00467FCA" w:rsidRDefault="001B68EB">
            <w:pPr>
              <w:pStyle w:val="TableParagraph"/>
              <w:spacing w:before="24"/>
              <w:ind w:right="1008"/>
              <w:rPr>
                <w:sz w:val="20"/>
              </w:rPr>
            </w:pPr>
            <w:r>
              <w:rPr>
                <w:sz w:val="20"/>
              </w:rPr>
              <w:t>Lourival Ferreira de Jesus</w:t>
            </w:r>
          </w:p>
        </w:tc>
      </w:tr>
      <w:tr w:rsidR="00467FCA" w14:paraId="6881D161" w14:textId="77777777">
        <w:trPr>
          <w:trHeight w:val="299"/>
        </w:trPr>
        <w:tc>
          <w:tcPr>
            <w:tcW w:w="562" w:type="dxa"/>
          </w:tcPr>
          <w:p w14:paraId="2825B66C" w14:textId="77777777" w:rsidR="00467FCA" w:rsidRDefault="001B68EB">
            <w:pPr>
              <w:pStyle w:val="TableParagraph"/>
              <w:spacing w:before="24"/>
              <w:ind w:left="132" w:right="124"/>
              <w:rPr>
                <w:sz w:val="20"/>
              </w:rPr>
            </w:pPr>
            <w:r>
              <w:rPr>
                <w:sz w:val="20"/>
              </w:rPr>
              <w:t>59</w:t>
            </w:r>
          </w:p>
        </w:tc>
        <w:tc>
          <w:tcPr>
            <w:tcW w:w="6080" w:type="dxa"/>
          </w:tcPr>
          <w:p w14:paraId="49D416F7" w14:textId="77777777" w:rsidR="00467FCA" w:rsidRDefault="001B68EB">
            <w:pPr>
              <w:pStyle w:val="TableParagraph"/>
              <w:spacing w:before="24"/>
              <w:ind w:left="1013" w:right="1013"/>
              <w:rPr>
                <w:sz w:val="20"/>
              </w:rPr>
            </w:pPr>
            <w:r>
              <w:rPr>
                <w:sz w:val="20"/>
              </w:rPr>
              <w:t>lracy da Silva da Hora</w:t>
            </w:r>
          </w:p>
        </w:tc>
      </w:tr>
      <w:tr w:rsidR="00467FCA" w14:paraId="650BF9E0" w14:textId="77777777">
        <w:trPr>
          <w:trHeight w:val="299"/>
        </w:trPr>
        <w:tc>
          <w:tcPr>
            <w:tcW w:w="562" w:type="dxa"/>
          </w:tcPr>
          <w:p w14:paraId="574A534C" w14:textId="77777777" w:rsidR="00467FCA" w:rsidRDefault="001B68EB">
            <w:pPr>
              <w:pStyle w:val="TableParagraph"/>
              <w:spacing w:before="24"/>
              <w:ind w:left="132" w:right="124"/>
              <w:rPr>
                <w:sz w:val="20"/>
              </w:rPr>
            </w:pPr>
            <w:r>
              <w:rPr>
                <w:sz w:val="20"/>
              </w:rPr>
              <w:t>60</w:t>
            </w:r>
          </w:p>
        </w:tc>
        <w:tc>
          <w:tcPr>
            <w:tcW w:w="6080" w:type="dxa"/>
          </w:tcPr>
          <w:p w14:paraId="596A7B60" w14:textId="77777777" w:rsidR="00467FCA" w:rsidRDefault="001B68EB">
            <w:pPr>
              <w:pStyle w:val="TableParagraph"/>
              <w:spacing w:before="24"/>
              <w:ind w:right="1011"/>
              <w:rPr>
                <w:sz w:val="20"/>
              </w:rPr>
            </w:pPr>
            <w:r>
              <w:rPr>
                <w:sz w:val="20"/>
              </w:rPr>
              <w:t>lsvanda Maria dos Santos</w:t>
            </w:r>
          </w:p>
        </w:tc>
      </w:tr>
      <w:tr w:rsidR="00467FCA" w14:paraId="6ABC047F" w14:textId="77777777">
        <w:trPr>
          <w:trHeight w:val="302"/>
        </w:trPr>
        <w:tc>
          <w:tcPr>
            <w:tcW w:w="562" w:type="dxa"/>
          </w:tcPr>
          <w:p w14:paraId="177DE4B6" w14:textId="77777777" w:rsidR="00467FCA" w:rsidRDefault="001B68EB">
            <w:pPr>
              <w:pStyle w:val="TableParagraph"/>
              <w:spacing w:before="24"/>
              <w:ind w:left="132" w:right="124"/>
              <w:rPr>
                <w:sz w:val="20"/>
              </w:rPr>
            </w:pPr>
            <w:r>
              <w:rPr>
                <w:sz w:val="20"/>
              </w:rPr>
              <w:t>61</w:t>
            </w:r>
          </w:p>
        </w:tc>
        <w:tc>
          <w:tcPr>
            <w:tcW w:w="6080" w:type="dxa"/>
          </w:tcPr>
          <w:p w14:paraId="53BBE7E4" w14:textId="77777777" w:rsidR="00467FCA" w:rsidRDefault="001B68EB">
            <w:pPr>
              <w:pStyle w:val="TableParagraph"/>
              <w:spacing w:before="24"/>
              <w:ind w:right="1010"/>
              <w:rPr>
                <w:sz w:val="20"/>
              </w:rPr>
            </w:pPr>
            <w:r>
              <w:rPr>
                <w:sz w:val="20"/>
              </w:rPr>
              <w:t>Lucinete dos Santos Ribeiro</w:t>
            </w:r>
          </w:p>
        </w:tc>
      </w:tr>
      <w:tr w:rsidR="00467FCA" w14:paraId="61E69A4F" w14:textId="77777777">
        <w:trPr>
          <w:trHeight w:val="299"/>
        </w:trPr>
        <w:tc>
          <w:tcPr>
            <w:tcW w:w="562" w:type="dxa"/>
          </w:tcPr>
          <w:p w14:paraId="4A0560D7" w14:textId="77777777" w:rsidR="00467FCA" w:rsidRDefault="001B68EB">
            <w:pPr>
              <w:pStyle w:val="TableParagraph"/>
              <w:spacing w:before="24"/>
              <w:ind w:left="132" w:right="124"/>
              <w:rPr>
                <w:sz w:val="20"/>
              </w:rPr>
            </w:pPr>
            <w:r>
              <w:rPr>
                <w:sz w:val="20"/>
              </w:rPr>
              <w:t>62</w:t>
            </w:r>
          </w:p>
        </w:tc>
        <w:tc>
          <w:tcPr>
            <w:tcW w:w="6080" w:type="dxa"/>
          </w:tcPr>
          <w:p w14:paraId="4B60F6BD" w14:textId="77777777" w:rsidR="00467FCA" w:rsidRDefault="001B68EB">
            <w:pPr>
              <w:pStyle w:val="TableParagraph"/>
              <w:spacing w:before="24"/>
              <w:ind w:right="1011"/>
              <w:rPr>
                <w:sz w:val="20"/>
              </w:rPr>
            </w:pPr>
            <w:r>
              <w:rPr>
                <w:sz w:val="20"/>
              </w:rPr>
              <w:t>Luís Fernando Santos Costa</w:t>
            </w:r>
          </w:p>
        </w:tc>
      </w:tr>
      <w:tr w:rsidR="00467FCA" w14:paraId="3B480AE2" w14:textId="77777777">
        <w:trPr>
          <w:trHeight w:val="299"/>
        </w:trPr>
        <w:tc>
          <w:tcPr>
            <w:tcW w:w="562" w:type="dxa"/>
          </w:tcPr>
          <w:p w14:paraId="66BAA6E2" w14:textId="77777777" w:rsidR="00467FCA" w:rsidRDefault="001B68EB">
            <w:pPr>
              <w:pStyle w:val="TableParagraph"/>
              <w:spacing w:before="24"/>
              <w:ind w:left="132" w:right="124"/>
              <w:rPr>
                <w:sz w:val="20"/>
              </w:rPr>
            </w:pPr>
            <w:r>
              <w:rPr>
                <w:sz w:val="20"/>
              </w:rPr>
              <w:t>63</w:t>
            </w:r>
          </w:p>
        </w:tc>
        <w:tc>
          <w:tcPr>
            <w:tcW w:w="6080" w:type="dxa"/>
          </w:tcPr>
          <w:p w14:paraId="21A1124E" w14:textId="77777777" w:rsidR="00467FCA" w:rsidRDefault="001B68EB">
            <w:pPr>
              <w:pStyle w:val="TableParagraph"/>
              <w:spacing w:before="24"/>
              <w:ind w:left="1013" w:right="1013"/>
              <w:rPr>
                <w:sz w:val="20"/>
              </w:rPr>
            </w:pPr>
            <w:r>
              <w:rPr>
                <w:sz w:val="20"/>
              </w:rPr>
              <w:t>Luiz Lourenço Costa</w:t>
            </w:r>
          </w:p>
        </w:tc>
      </w:tr>
      <w:tr w:rsidR="00467FCA" w14:paraId="7278EF55" w14:textId="77777777">
        <w:trPr>
          <w:trHeight w:val="299"/>
        </w:trPr>
        <w:tc>
          <w:tcPr>
            <w:tcW w:w="562" w:type="dxa"/>
          </w:tcPr>
          <w:p w14:paraId="55D6640E" w14:textId="77777777" w:rsidR="00467FCA" w:rsidRDefault="001B68EB">
            <w:pPr>
              <w:pStyle w:val="TableParagraph"/>
              <w:spacing w:before="24"/>
              <w:ind w:left="132" w:right="124"/>
              <w:rPr>
                <w:sz w:val="20"/>
              </w:rPr>
            </w:pPr>
            <w:r>
              <w:rPr>
                <w:sz w:val="20"/>
              </w:rPr>
              <w:t>64</w:t>
            </w:r>
          </w:p>
        </w:tc>
        <w:tc>
          <w:tcPr>
            <w:tcW w:w="6080" w:type="dxa"/>
          </w:tcPr>
          <w:p w14:paraId="1CC952C4" w14:textId="77777777" w:rsidR="00467FCA" w:rsidRDefault="001B68EB">
            <w:pPr>
              <w:pStyle w:val="TableParagraph"/>
              <w:spacing w:before="24"/>
              <w:ind w:right="1012"/>
              <w:rPr>
                <w:sz w:val="20"/>
              </w:rPr>
            </w:pPr>
            <w:r>
              <w:rPr>
                <w:sz w:val="20"/>
              </w:rPr>
              <w:t>Luzia de Jesus Silva</w:t>
            </w:r>
          </w:p>
        </w:tc>
      </w:tr>
      <w:tr w:rsidR="00467FCA" w14:paraId="3F985D5C" w14:textId="77777777">
        <w:trPr>
          <w:trHeight w:val="299"/>
        </w:trPr>
        <w:tc>
          <w:tcPr>
            <w:tcW w:w="562" w:type="dxa"/>
          </w:tcPr>
          <w:p w14:paraId="248290AF" w14:textId="77777777" w:rsidR="00467FCA" w:rsidRDefault="001B68EB">
            <w:pPr>
              <w:pStyle w:val="TableParagraph"/>
              <w:spacing w:before="24"/>
              <w:ind w:left="132" w:right="124"/>
              <w:rPr>
                <w:sz w:val="20"/>
              </w:rPr>
            </w:pPr>
            <w:r>
              <w:rPr>
                <w:sz w:val="20"/>
              </w:rPr>
              <w:t>65</w:t>
            </w:r>
          </w:p>
        </w:tc>
        <w:tc>
          <w:tcPr>
            <w:tcW w:w="6080" w:type="dxa"/>
          </w:tcPr>
          <w:p w14:paraId="3FF54657" w14:textId="77777777" w:rsidR="00467FCA" w:rsidRDefault="001B68EB">
            <w:pPr>
              <w:pStyle w:val="TableParagraph"/>
              <w:spacing w:before="24"/>
              <w:ind w:left="1013" w:right="1013"/>
              <w:rPr>
                <w:sz w:val="20"/>
              </w:rPr>
            </w:pPr>
            <w:r>
              <w:rPr>
                <w:sz w:val="20"/>
              </w:rPr>
              <w:t>Marcelino Miguel dos Santos</w:t>
            </w:r>
          </w:p>
        </w:tc>
      </w:tr>
      <w:tr w:rsidR="00467FCA" w14:paraId="1923B312" w14:textId="77777777">
        <w:trPr>
          <w:trHeight w:val="299"/>
        </w:trPr>
        <w:tc>
          <w:tcPr>
            <w:tcW w:w="562" w:type="dxa"/>
          </w:tcPr>
          <w:p w14:paraId="53425F86" w14:textId="77777777" w:rsidR="00467FCA" w:rsidRDefault="001B68EB">
            <w:pPr>
              <w:pStyle w:val="TableParagraph"/>
              <w:spacing w:before="24"/>
              <w:ind w:left="132" w:right="124"/>
              <w:rPr>
                <w:sz w:val="20"/>
              </w:rPr>
            </w:pPr>
            <w:r>
              <w:rPr>
                <w:sz w:val="20"/>
              </w:rPr>
              <w:t>66</w:t>
            </w:r>
          </w:p>
        </w:tc>
        <w:tc>
          <w:tcPr>
            <w:tcW w:w="6080" w:type="dxa"/>
          </w:tcPr>
          <w:p w14:paraId="34576E00" w14:textId="77777777" w:rsidR="00467FCA" w:rsidRDefault="001B68EB">
            <w:pPr>
              <w:pStyle w:val="TableParagraph"/>
              <w:spacing w:before="24"/>
              <w:ind w:right="1009"/>
              <w:rPr>
                <w:sz w:val="20"/>
              </w:rPr>
            </w:pPr>
            <w:r>
              <w:rPr>
                <w:sz w:val="20"/>
              </w:rPr>
              <w:t>Maria Magdalena Santos Rocha</w:t>
            </w:r>
          </w:p>
        </w:tc>
      </w:tr>
      <w:tr w:rsidR="00467FCA" w14:paraId="3DFCF4F0" w14:textId="77777777">
        <w:trPr>
          <w:trHeight w:val="301"/>
        </w:trPr>
        <w:tc>
          <w:tcPr>
            <w:tcW w:w="562" w:type="dxa"/>
          </w:tcPr>
          <w:p w14:paraId="09996E71" w14:textId="77777777" w:rsidR="00467FCA" w:rsidRDefault="001B68EB">
            <w:pPr>
              <w:pStyle w:val="TableParagraph"/>
              <w:spacing w:before="24"/>
              <w:ind w:left="132" w:right="124"/>
              <w:rPr>
                <w:sz w:val="20"/>
              </w:rPr>
            </w:pPr>
            <w:r>
              <w:rPr>
                <w:sz w:val="20"/>
              </w:rPr>
              <w:t>67</w:t>
            </w:r>
          </w:p>
        </w:tc>
        <w:tc>
          <w:tcPr>
            <w:tcW w:w="6080" w:type="dxa"/>
          </w:tcPr>
          <w:p w14:paraId="5E2EA1AB" w14:textId="77777777" w:rsidR="00467FCA" w:rsidRDefault="001B68EB">
            <w:pPr>
              <w:pStyle w:val="TableParagraph"/>
              <w:spacing w:before="24"/>
              <w:ind w:right="1011"/>
              <w:rPr>
                <w:sz w:val="20"/>
              </w:rPr>
            </w:pPr>
            <w:r>
              <w:rPr>
                <w:sz w:val="20"/>
              </w:rPr>
              <w:t>Maria Antonia de Jesus Santos</w:t>
            </w:r>
          </w:p>
        </w:tc>
      </w:tr>
      <w:tr w:rsidR="00467FCA" w14:paraId="68C3C8EE" w14:textId="77777777">
        <w:trPr>
          <w:trHeight w:val="299"/>
        </w:trPr>
        <w:tc>
          <w:tcPr>
            <w:tcW w:w="562" w:type="dxa"/>
          </w:tcPr>
          <w:p w14:paraId="2C4D7088" w14:textId="77777777" w:rsidR="00467FCA" w:rsidRDefault="001B68EB">
            <w:pPr>
              <w:pStyle w:val="TableParagraph"/>
              <w:spacing w:before="24"/>
              <w:ind w:left="132" w:right="124"/>
              <w:rPr>
                <w:sz w:val="20"/>
              </w:rPr>
            </w:pPr>
            <w:r>
              <w:rPr>
                <w:sz w:val="20"/>
              </w:rPr>
              <w:t>68</w:t>
            </w:r>
          </w:p>
        </w:tc>
        <w:tc>
          <w:tcPr>
            <w:tcW w:w="6080" w:type="dxa"/>
          </w:tcPr>
          <w:p w14:paraId="31E2E6FA" w14:textId="77777777" w:rsidR="00467FCA" w:rsidRDefault="001B68EB">
            <w:pPr>
              <w:pStyle w:val="TableParagraph"/>
              <w:spacing w:before="24"/>
              <w:ind w:right="1008"/>
              <w:rPr>
                <w:sz w:val="20"/>
              </w:rPr>
            </w:pPr>
            <w:r>
              <w:rPr>
                <w:sz w:val="20"/>
              </w:rPr>
              <w:t>Maria Balbina dos Santos</w:t>
            </w:r>
          </w:p>
        </w:tc>
      </w:tr>
      <w:tr w:rsidR="00467FCA" w14:paraId="1CCCC21A" w14:textId="77777777">
        <w:trPr>
          <w:trHeight w:val="299"/>
        </w:trPr>
        <w:tc>
          <w:tcPr>
            <w:tcW w:w="562" w:type="dxa"/>
          </w:tcPr>
          <w:p w14:paraId="3A003092" w14:textId="77777777" w:rsidR="00467FCA" w:rsidRDefault="001B68EB">
            <w:pPr>
              <w:pStyle w:val="TableParagraph"/>
              <w:spacing w:before="24"/>
              <w:ind w:left="132" w:right="124"/>
              <w:rPr>
                <w:sz w:val="20"/>
              </w:rPr>
            </w:pPr>
            <w:r>
              <w:rPr>
                <w:sz w:val="20"/>
              </w:rPr>
              <w:t>69</w:t>
            </w:r>
          </w:p>
        </w:tc>
        <w:tc>
          <w:tcPr>
            <w:tcW w:w="6080" w:type="dxa"/>
          </w:tcPr>
          <w:p w14:paraId="34543046" w14:textId="77777777" w:rsidR="00467FCA" w:rsidRDefault="001B68EB">
            <w:pPr>
              <w:pStyle w:val="TableParagraph"/>
              <w:spacing w:before="24"/>
              <w:ind w:left="1013" w:right="1013"/>
              <w:rPr>
                <w:sz w:val="20"/>
              </w:rPr>
            </w:pPr>
            <w:r>
              <w:rPr>
                <w:sz w:val="20"/>
              </w:rPr>
              <w:t>Maria da Conceição Lima Bittencourt</w:t>
            </w:r>
          </w:p>
        </w:tc>
      </w:tr>
      <w:tr w:rsidR="00467FCA" w14:paraId="782869F4" w14:textId="77777777">
        <w:trPr>
          <w:trHeight w:val="299"/>
        </w:trPr>
        <w:tc>
          <w:tcPr>
            <w:tcW w:w="562" w:type="dxa"/>
          </w:tcPr>
          <w:p w14:paraId="763F1CA9" w14:textId="77777777" w:rsidR="00467FCA" w:rsidRDefault="001B68EB">
            <w:pPr>
              <w:pStyle w:val="TableParagraph"/>
              <w:spacing w:before="24"/>
              <w:ind w:left="132" w:right="124"/>
              <w:rPr>
                <w:sz w:val="20"/>
              </w:rPr>
            </w:pPr>
            <w:r>
              <w:rPr>
                <w:sz w:val="20"/>
              </w:rPr>
              <w:t>70</w:t>
            </w:r>
          </w:p>
        </w:tc>
        <w:tc>
          <w:tcPr>
            <w:tcW w:w="6080" w:type="dxa"/>
          </w:tcPr>
          <w:p w14:paraId="6E3B6897" w14:textId="77777777" w:rsidR="00467FCA" w:rsidRDefault="001B68EB">
            <w:pPr>
              <w:pStyle w:val="TableParagraph"/>
              <w:spacing w:before="24"/>
              <w:ind w:right="1008"/>
              <w:rPr>
                <w:sz w:val="20"/>
              </w:rPr>
            </w:pPr>
            <w:r>
              <w:rPr>
                <w:sz w:val="20"/>
              </w:rPr>
              <w:t>Maria de Lourdes Borges</w:t>
            </w:r>
          </w:p>
        </w:tc>
      </w:tr>
      <w:tr w:rsidR="00467FCA" w14:paraId="22450D17" w14:textId="77777777">
        <w:trPr>
          <w:trHeight w:val="299"/>
        </w:trPr>
        <w:tc>
          <w:tcPr>
            <w:tcW w:w="562" w:type="dxa"/>
          </w:tcPr>
          <w:p w14:paraId="4175B4A5" w14:textId="77777777" w:rsidR="00467FCA" w:rsidRDefault="001B68EB">
            <w:pPr>
              <w:pStyle w:val="TableParagraph"/>
              <w:spacing w:before="24"/>
              <w:ind w:left="132" w:right="124"/>
              <w:rPr>
                <w:sz w:val="20"/>
              </w:rPr>
            </w:pPr>
            <w:r>
              <w:rPr>
                <w:sz w:val="20"/>
              </w:rPr>
              <w:t>71</w:t>
            </w:r>
          </w:p>
        </w:tc>
        <w:tc>
          <w:tcPr>
            <w:tcW w:w="6080" w:type="dxa"/>
          </w:tcPr>
          <w:p w14:paraId="5B9FF349" w14:textId="77777777" w:rsidR="00467FCA" w:rsidRDefault="001B68EB">
            <w:pPr>
              <w:pStyle w:val="TableParagraph"/>
              <w:spacing w:before="24"/>
              <w:ind w:right="1011"/>
              <w:rPr>
                <w:sz w:val="20"/>
              </w:rPr>
            </w:pPr>
            <w:r>
              <w:rPr>
                <w:sz w:val="20"/>
              </w:rPr>
              <w:t>Maria do Carmo de Jesus Santos</w:t>
            </w:r>
          </w:p>
        </w:tc>
      </w:tr>
      <w:tr w:rsidR="00467FCA" w14:paraId="59EC96D7" w14:textId="77777777">
        <w:trPr>
          <w:trHeight w:val="299"/>
        </w:trPr>
        <w:tc>
          <w:tcPr>
            <w:tcW w:w="562" w:type="dxa"/>
          </w:tcPr>
          <w:p w14:paraId="4E13EF77" w14:textId="77777777" w:rsidR="00467FCA" w:rsidRDefault="001B68EB">
            <w:pPr>
              <w:pStyle w:val="TableParagraph"/>
              <w:spacing w:before="24"/>
              <w:ind w:left="132" w:right="124"/>
              <w:rPr>
                <w:sz w:val="20"/>
              </w:rPr>
            </w:pPr>
            <w:r>
              <w:rPr>
                <w:sz w:val="20"/>
              </w:rPr>
              <w:t>72</w:t>
            </w:r>
          </w:p>
        </w:tc>
        <w:tc>
          <w:tcPr>
            <w:tcW w:w="6080" w:type="dxa"/>
          </w:tcPr>
          <w:p w14:paraId="6DD68657" w14:textId="77777777" w:rsidR="00467FCA" w:rsidRDefault="001B68EB">
            <w:pPr>
              <w:pStyle w:val="TableParagraph"/>
              <w:spacing w:before="24"/>
              <w:ind w:right="1011"/>
              <w:rPr>
                <w:sz w:val="20"/>
              </w:rPr>
            </w:pPr>
            <w:r>
              <w:rPr>
                <w:sz w:val="20"/>
              </w:rPr>
              <w:t>Maria Expedita dos Santos</w:t>
            </w:r>
          </w:p>
        </w:tc>
      </w:tr>
      <w:tr w:rsidR="00467FCA" w14:paraId="7E201B50" w14:textId="77777777">
        <w:trPr>
          <w:trHeight w:val="302"/>
        </w:trPr>
        <w:tc>
          <w:tcPr>
            <w:tcW w:w="562" w:type="dxa"/>
          </w:tcPr>
          <w:p w14:paraId="64638AD9" w14:textId="77777777" w:rsidR="00467FCA" w:rsidRDefault="001B68EB">
            <w:pPr>
              <w:pStyle w:val="TableParagraph"/>
              <w:spacing w:before="24"/>
              <w:ind w:left="132" w:right="124"/>
              <w:rPr>
                <w:sz w:val="20"/>
              </w:rPr>
            </w:pPr>
            <w:r>
              <w:rPr>
                <w:sz w:val="20"/>
              </w:rPr>
              <w:t>73</w:t>
            </w:r>
          </w:p>
        </w:tc>
        <w:tc>
          <w:tcPr>
            <w:tcW w:w="6080" w:type="dxa"/>
          </w:tcPr>
          <w:p w14:paraId="59D29161" w14:textId="77777777" w:rsidR="00467FCA" w:rsidRDefault="001B68EB">
            <w:pPr>
              <w:pStyle w:val="TableParagraph"/>
              <w:spacing w:before="24"/>
              <w:ind w:right="1012"/>
              <w:rPr>
                <w:sz w:val="20"/>
              </w:rPr>
            </w:pPr>
            <w:r>
              <w:rPr>
                <w:sz w:val="20"/>
              </w:rPr>
              <w:t>Maria Joelma de Jesus Santos</w:t>
            </w:r>
          </w:p>
        </w:tc>
      </w:tr>
      <w:tr w:rsidR="00467FCA" w14:paraId="78902A67" w14:textId="77777777">
        <w:trPr>
          <w:trHeight w:val="299"/>
        </w:trPr>
        <w:tc>
          <w:tcPr>
            <w:tcW w:w="562" w:type="dxa"/>
          </w:tcPr>
          <w:p w14:paraId="30C4CD8A" w14:textId="77777777" w:rsidR="00467FCA" w:rsidRDefault="001B68EB">
            <w:pPr>
              <w:pStyle w:val="TableParagraph"/>
              <w:spacing w:before="24"/>
              <w:ind w:left="132" w:right="124"/>
              <w:rPr>
                <w:sz w:val="20"/>
              </w:rPr>
            </w:pPr>
            <w:r>
              <w:rPr>
                <w:sz w:val="20"/>
              </w:rPr>
              <w:t>74</w:t>
            </w:r>
          </w:p>
        </w:tc>
        <w:tc>
          <w:tcPr>
            <w:tcW w:w="6080" w:type="dxa"/>
          </w:tcPr>
          <w:p w14:paraId="090DFC2E" w14:textId="77777777" w:rsidR="00467FCA" w:rsidRDefault="001B68EB">
            <w:pPr>
              <w:pStyle w:val="TableParagraph"/>
              <w:spacing w:before="24"/>
              <w:ind w:right="1013"/>
              <w:rPr>
                <w:sz w:val="20"/>
              </w:rPr>
            </w:pPr>
            <w:r>
              <w:rPr>
                <w:sz w:val="20"/>
              </w:rPr>
              <w:t>Maria Lúcia Oliveira dos Santos</w:t>
            </w:r>
          </w:p>
        </w:tc>
      </w:tr>
      <w:tr w:rsidR="00467FCA" w14:paraId="7294513C" w14:textId="77777777">
        <w:trPr>
          <w:trHeight w:val="299"/>
        </w:trPr>
        <w:tc>
          <w:tcPr>
            <w:tcW w:w="562" w:type="dxa"/>
          </w:tcPr>
          <w:p w14:paraId="4DB7AC60" w14:textId="77777777" w:rsidR="00467FCA" w:rsidRDefault="001B68EB">
            <w:pPr>
              <w:pStyle w:val="TableParagraph"/>
              <w:spacing w:before="24"/>
              <w:ind w:left="132" w:right="124"/>
              <w:rPr>
                <w:sz w:val="20"/>
              </w:rPr>
            </w:pPr>
            <w:r>
              <w:rPr>
                <w:sz w:val="20"/>
              </w:rPr>
              <w:t>75</w:t>
            </w:r>
          </w:p>
        </w:tc>
        <w:tc>
          <w:tcPr>
            <w:tcW w:w="6080" w:type="dxa"/>
          </w:tcPr>
          <w:p w14:paraId="1A5CBB90" w14:textId="77777777" w:rsidR="00467FCA" w:rsidRDefault="001B68EB">
            <w:pPr>
              <w:pStyle w:val="TableParagraph"/>
              <w:spacing w:before="24"/>
              <w:ind w:right="1010"/>
              <w:rPr>
                <w:sz w:val="20"/>
              </w:rPr>
            </w:pPr>
            <w:r>
              <w:rPr>
                <w:sz w:val="20"/>
              </w:rPr>
              <w:t>Maria Lucia Rodrigues da Silva</w:t>
            </w:r>
          </w:p>
        </w:tc>
      </w:tr>
      <w:tr w:rsidR="00467FCA" w14:paraId="0A9B94FF" w14:textId="77777777">
        <w:trPr>
          <w:trHeight w:val="299"/>
        </w:trPr>
        <w:tc>
          <w:tcPr>
            <w:tcW w:w="562" w:type="dxa"/>
          </w:tcPr>
          <w:p w14:paraId="3EFD6767" w14:textId="77777777" w:rsidR="00467FCA" w:rsidRDefault="001B68EB">
            <w:pPr>
              <w:pStyle w:val="TableParagraph"/>
              <w:spacing w:before="24"/>
              <w:ind w:left="132" w:right="124"/>
              <w:rPr>
                <w:sz w:val="20"/>
              </w:rPr>
            </w:pPr>
            <w:r>
              <w:rPr>
                <w:sz w:val="20"/>
              </w:rPr>
              <w:t>76</w:t>
            </w:r>
          </w:p>
        </w:tc>
        <w:tc>
          <w:tcPr>
            <w:tcW w:w="6080" w:type="dxa"/>
          </w:tcPr>
          <w:p w14:paraId="1A74B6F5" w14:textId="77777777" w:rsidR="00467FCA" w:rsidRDefault="001B68EB">
            <w:pPr>
              <w:pStyle w:val="TableParagraph"/>
              <w:spacing w:before="24"/>
              <w:ind w:right="1009"/>
              <w:rPr>
                <w:sz w:val="20"/>
              </w:rPr>
            </w:pPr>
            <w:r>
              <w:rPr>
                <w:sz w:val="20"/>
              </w:rPr>
              <w:t>Maria Magdalena Santos Rocha</w:t>
            </w:r>
          </w:p>
        </w:tc>
      </w:tr>
      <w:tr w:rsidR="00467FCA" w14:paraId="76004FDD" w14:textId="77777777">
        <w:trPr>
          <w:trHeight w:val="299"/>
        </w:trPr>
        <w:tc>
          <w:tcPr>
            <w:tcW w:w="562" w:type="dxa"/>
          </w:tcPr>
          <w:p w14:paraId="0DAFB2C3" w14:textId="77777777" w:rsidR="00467FCA" w:rsidRDefault="001B68EB">
            <w:pPr>
              <w:pStyle w:val="TableParagraph"/>
              <w:spacing w:before="24"/>
              <w:ind w:left="132" w:right="124"/>
              <w:rPr>
                <w:sz w:val="20"/>
              </w:rPr>
            </w:pPr>
            <w:r>
              <w:rPr>
                <w:sz w:val="20"/>
              </w:rPr>
              <w:t>77</w:t>
            </w:r>
          </w:p>
        </w:tc>
        <w:tc>
          <w:tcPr>
            <w:tcW w:w="6080" w:type="dxa"/>
          </w:tcPr>
          <w:p w14:paraId="28699831" w14:textId="77777777" w:rsidR="00467FCA" w:rsidRDefault="001B68EB">
            <w:pPr>
              <w:pStyle w:val="TableParagraph"/>
              <w:spacing w:before="24"/>
              <w:ind w:right="1013"/>
              <w:rPr>
                <w:sz w:val="20"/>
              </w:rPr>
            </w:pPr>
            <w:r>
              <w:rPr>
                <w:sz w:val="20"/>
              </w:rPr>
              <w:t>Maria Nascimento Cerqueira Santos</w:t>
            </w:r>
          </w:p>
        </w:tc>
      </w:tr>
      <w:tr w:rsidR="00467FCA" w14:paraId="4A5D65CB" w14:textId="77777777">
        <w:trPr>
          <w:trHeight w:val="299"/>
        </w:trPr>
        <w:tc>
          <w:tcPr>
            <w:tcW w:w="562" w:type="dxa"/>
          </w:tcPr>
          <w:p w14:paraId="0504B6BE" w14:textId="77777777" w:rsidR="00467FCA" w:rsidRDefault="001B68EB">
            <w:pPr>
              <w:pStyle w:val="TableParagraph"/>
              <w:spacing w:before="24"/>
              <w:ind w:left="132" w:right="124"/>
              <w:rPr>
                <w:sz w:val="20"/>
              </w:rPr>
            </w:pPr>
            <w:r>
              <w:rPr>
                <w:sz w:val="20"/>
              </w:rPr>
              <w:t>78</w:t>
            </w:r>
          </w:p>
        </w:tc>
        <w:tc>
          <w:tcPr>
            <w:tcW w:w="6080" w:type="dxa"/>
          </w:tcPr>
          <w:p w14:paraId="20E34867" w14:textId="77777777" w:rsidR="00467FCA" w:rsidRDefault="001B68EB">
            <w:pPr>
              <w:pStyle w:val="TableParagraph"/>
              <w:spacing w:before="24"/>
              <w:ind w:right="1010"/>
              <w:rPr>
                <w:sz w:val="20"/>
              </w:rPr>
            </w:pPr>
            <w:r>
              <w:rPr>
                <w:sz w:val="20"/>
              </w:rPr>
              <w:t>Maria Odete Carvalho Santo</w:t>
            </w:r>
          </w:p>
        </w:tc>
      </w:tr>
      <w:tr w:rsidR="00467FCA" w14:paraId="434612DE" w14:textId="77777777">
        <w:trPr>
          <w:trHeight w:val="302"/>
        </w:trPr>
        <w:tc>
          <w:tcPr>
            <w:tcW w:w="562" w:type="dxa"/>
          </w:tcPr>
          <w:p w14:paraId="7C16F66F" w14:textId="77777777" w:rsidR="00467FCA" w:rsidRDefault="001B68EB">
            <w:pPr>
              <w:pStyle w:val="TableParagraph"/>
              <w:spacing w:before="24"/>
              <w:ind w:left="132" w:right="124"/>
              <w:rPr>
                <w:sz w:val="20"/>
              </w:rPr>
            </w:pPr>
            <w:r>
              <w:rPr>
                <w:sz w:val="20"/>
              </w:rPr>
              <w:t>79</w:t>
            </w:r>
          </w:p>
        </w:tc>
        <w:tc>
          <w:tcPr>
            <w:tcW w:w="6080" w:type="dxa"/>
          </w:tcPr>
          <w:p w14:paraId="17F8EA6D" w14:textId="77777777" w:rsidR="00467FCA" w:rsidRDefault="001B68EB">
            <w:pPr>
              <w:pStyle w:val="TableParagraph"/>
              <w:spacing w:before="24"/>
              <w:ind w:left="1013" w:right="1013"/>
              <w:rPr>
                <w:sz w:val="20"/>
              </w:rPr>
            </w:pPr>
            <w:r>
              <w:rPr>
                <w:sz w:val="20"/>
              </w:rPr>
              <w:t>Maria Santos de Souza</w:t>
            </w:r>
          </w:p>
        </w:tc>
      </w:tr>
      <w:tr w:rsidR="00467FCA" w14:paraId="3ADBE022" w14:textId="77777777">
        <w:trPr>
          <w:trHeight w:val="299"/>
        </w:trPr>
        <w:tc>
          <w:tcPr>
            <w:tcW w:w="562" w:type="dxa"/>
          </w:tcPr>
          <w:p w14:paraId="724E9C1F" w14:textId="77777777" w:rsidR="00467FCA" w:rsidRDefault="001B68EB">
            <w:pPr>
              <w:pStyle w:val="TableParagraph"/>
              <w:spacing w:before="24"/>
              <w:ind w:left="132" w:right="124"/>
              <w:rPr>
                <w:sz w:val="20"/>
              </w:rPr>
            </w:pPr>
            <w:r>
              <w:rPr>
                <w:sz w:val="20"/>
              </w:rPr>
              <w:t>80</w:t>
            </w:r>
          </w:p>
        </w:tc>
        <w:tc>
          <w:tcPr>
            <w:tcW w:w="6080" w:type="dxa"/>
          </w:tcPr>
          <w:p w14:paraId="4CC84A6C" w14:textId="77777777" w:rsidR="00467FCA" w:rsidRDefault="001B68EB">
            <w:pPr>
              <w:pStyle w:val="TableParagraph"/>
              <w:spacing w:before="24"/>
              <w:ind w:right="1010"/>
              <w:rPr>
                <w:sz w:val="20"/>
              </w:rPr>
            </w:pPr>
            <w:r>
              <w:rPr>
                <w:sz w:val="20"/>
              </w:rPr>
              <w:t>Mariane Gonsalves da Silva</w:t>
            </w:r>
          </w:p>
        </w:tc>
      </w:tr>
    </w:tbl>
    <w:p w14:paraId="20325C75" w14:textId="77777777" w:rsidR="00467FCA" w:rsidRDefault="00467FCA">
      <w:pPr>
        <w:rPr>
          <w:sz w:val="20"/>
        </w:rPr>
        <w:sectPr w:rsidR="00467FCA">
          <w:pgSz w:w="12240" w:h="15840"/>
          <w:pgMar w:top="1440" w:right="1320" w:bottom="1140" w:left="1320" w:header="0" w:footer="957" w:gutter="0"/>
          <w:cols w:space="720"/>
        </w:sectPr>
      </w:pPr>
    </w:p>
    <w:tbl>
      <w:tblPr>
        <w:tblStyle w:val="TableNormal"/>
        <w:tblW w:w="0" w:type="auto"/>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080"/>
      </w:tblGrid>
      <w:tr w:rsidR="00467FCA" w14:paraId="15990A57" w14:textId="77777777">
        <w:trPr>
          <w:trHeight w:val="299"/>
        </w:trPr>
        <w:tc>
          <w:tcPr>
            <w:tcW w:w="562" w:type="dxa"/>
            <w:tcBorders>
              <w:top w:val="nil"/>
            </w:tcBorders>
          </w:tcPr>
          <w:p w14:paraId="4711C1C1" w14:textId="77777777" w:rsidR="00467FCA" w:rsidRDefault="001B68EB">
            <w:pPr>
              <w:pStyle w:val="TableParagraph"/>
              <w:spacing w:before="24"/>
              <w:ind w:left="153"/>
              <w:jc w:val="left"/>
              <w:rPr>
                <w:sz w:val="20"/>
              </w:rPr>
            </w:pPr>
            <w:r>
              <w:rPr>
                <w:sz w:val="20"/>
              </w:rPr>
              <w:t>81</w:t>
            </w:r>
          </w:p>
        </w:tc>
        <w:tc>
          <w:tcPr>
            <w:tcW w:w="6080" w:type="dxa"/>
            <w:tcBorders>
              <w:top w:val="nil"/>
            </w:tcBorders>
          </w:tcPr>
          <w:p w14:paraId="0F42ED5F" w14:textId="77777777" w:rsidR="00467FCA" w:rsidRDefault="001B68EB">
            <w:pPr>
              <w:pStyle w:val="TableParagraph"/>
              <w:spacing w:before="24"/>
              <w:ind w:right="1011"/>
              <w:rPr>
                <w:sz w:val="20"/>
              </w:rPr>
            </w:pPr>
            <w:r>
              <w:rPr>
                <w:sz w:val="20"/>
              </w:rPr>
              <w:t>Marimar dos Santos Ribeiro</w:t>
            </w:r>
          </w:p>
        </w:tc>
      </w:tr>
      <w:tr w:rsidR="00467FCA" w14:paraId="5114B431" w14:textId="77777777">
        <w:trPr>
          <w:trHeight w:val="299"/>
        </w:trPr>
        <w:tc>
          <w:tcPr>
            <w:tcW w:w="562" w:type="dxa"/>
          </w:tcPr>
          <w:p w14:paraId="2B2E6141" w14:textId="77777777" w:rsidR="00467FCA" w:rsidRDefault="001B68EB">
            <w:pPr>
              <w:pStyle w:val="TableParagraph"/>
              <w:spacing w:before="24"/>
              <w:ind w:left="153"/>
              <w:jc w:val="left"/>
              <w:rPr>
                <w:sz w:val="20"/>
              </w:rPr>
            </w:pPr>
            <w:r>
              <w:rPr>
                <w:sz w:val="20"/>
              </w:rPr>
              <w:t>82</w:t>
            </w:r>
          </w:p>
        </w:tc>
        <w:tc>
          <w:tcPr>
            <w:tcW w:w="6080" w:type="dxa"/>
          </w:tcPr>
          <w:p w14:paraId="2D55D68D" w14:textId="77777777" w:rsidR="00467FCA" w:rsidRDefault="001B68EB">
            <w:pPr>
              <w:pStyle w:val="TableParagraph"/>
              <w:spacing w:before="24"/>
              <w:ind w:right="1008"/>
              <w:rPr>
                <w:sz w:val="20"/>
              </w:rPr>
            </w:pPr>
            <w:r>
              <w:rPr>
                <w:sz w:val="20"/>
              </w:rPr>
              <w:t>Marlene dos Santos Ribeiro</w:t>
            </w:r>
          </w:p>
        </w:tc>
      </w:tr>
      <w:tr w:rsidR="00467FCA" w14:paraId="0DF8FBBC" w14:textId="77777777">
        <w:trPr>
          <w:trHeight w:val="299"/>
        </w:trPr>
        <w:tc>
          <w:tcPr>
            <w:tcW w:w="562" w:type="dxa"/>
          </w:tcPr>
          <w:p w14:paraId="225194E5" w14:textId="77777777" w:rsidR="00467FCA" w:rsidRDefault="001B68EB">
            <w:pPr>
              <w:pStyle w:val="TableParagraph"/>
              <w:spacing w:before="24"/>
              <w:ind w:left="153"/>
              <w:jc w:val="left"/>
              <w:rPr>
                <w:sz w:val="20"/>
              </w:rPr>
            </w:pPr>
            <w:r>
              <w:rPr>
                <w:sz w:val="20"/>
              </w:rPr>
              <w:t>83</w:t>
            </w:r>
          </w:p>
        </w:tc>
        <w:tc>
          <w:tcPr>
            <w:tcW w:w="6080" w:type="dxa"/>
          </w:tcPr>
          <w:p w14:paraId="2EC9C78B" w14:textId="77777777" w:rsidR="00467FCA" w:rsidRDefault="001B68EB">
            <w:pPr>
              <w:pStyle w:val="TableParagraph"/>
              <w:spacing w:before="24"/>
              <w:ind w:right="1008"/>
              <w:rPr>
                <w:sz w:val="20"/>
              </w:rPr>
            </w:pPr>
            <w:r>
              <w:rPr>
                <w:sz w:val="20"/>
              </w:rPr>
              <w:t>Marlene Ferreira de Jesus</w:t>
            </w:r>
          </w:p>
        </w:tc>
      </w:tr>
      <w:tr w:rsidR="00467FCA" w14:paraId="124150C5" w14:textId="77777777">
        <w:trPr>
          <w:trHeight w:val="301"/>
        </w:trPr>
        <w:tc>
          <w:tcPr>
            <w:tcW w:w="562" w:type="dxa"/>
          </w:tcPr>
          <w:p w14:paraId="23DE25C7" w14:textId="77777777" w:rsidR="00467FCA" w:rsidRDefault="001B68EB">
            <w:pPr>
              <w:pStyle w:val="TableParagraph"/>
              <w:spacing w:before="24"/>
              <w:ind w:left="153"/>
              <w:jc w:val="left"/>
              <w:rPr>
                <w:sz w:val="20"/>
              </w:rPr>
            </w:pPr>
            <w:r>
              <w:rPr>
                <w:sz w:val="20"/>
              </w:rPr>
              <w:t>84</w:t>
            </w:r>
          </w:p>
        </w:tc>
        <w:tc>
          <w:tcPr>
            <w:tcW w:w="6080" w:type="dxa"/>
          </w:tcPr>
          <w:p w14:paraId="1C5C0BE7" w14:textId="77777777" w:rsidR="00467FCA" w:rsidRDefault="001B68EB">
            <w:pPr>
              <w:pStyle w:val="TableParagraph"/>
              <w:spacing w:before="24"/>
              <w:ind w:right="1013"/>
              <w:rPr>
                <w:sz w:val="20"/>
              </w:rPr>
            </w:pPr>
            <w:r>
              <w:rPr>
                <w:sz w:val="20"/>
              </w:rPr>
              <w:t>Michele Santos de Jesus</w:t>
            </w:r>
          </w:p>
        </w:tc>
      </w:tr>
      <w:tr w:rsidR="00467FCA" w14:paraId="47FF46BD" w14:textId="77777777">
        <w:trPr>
          <w:trHeight w:val="299"/>
        </w:trPr>
        <w:tc>
          <w:tcPr>
            <w:tcW w:w="562" w:type="dxa"/>
          </w:tcPr>
          <w:p w14:paraId="6EC463B7" w14:textId="77777777" w:rsidR="00467FCA" w:rsidRDefault="001B68EB">
            <w:pPr>
              <w:pStyle w:val="TableParagraph"/>
              <w:spacing w:before="24"/>
              <w:ind w:left="153"/>
              <w:jc w:val="left"/>
              <w:rPr>
                <w:sz w:val="20"/>
              </w:rPr>
            </w:pPr>
            <w:r>
              <w:rPr>
                <w:sz w:val="20"/>
              </w:rPr>
              <w:t>85</w:t>
            </w:r>
          </w:p>
        </w:tc>
        <w:tc>
          <w:tcPr>
            <w:tcW w:w="6080" w:type="dxa"/>
          </w:tcPr>
          <w:p w14:paraId="7F324EA0" w14:textId="77777777" w:rsidR="00467FCA" w:rsidRDefault="001B68EB">
            <w:pPr>
              <w:pStyle w:val="TableParagraph"/>
              <w:spacing w:before="24"/>
              <w:ind w:right="1012"/>
              <w:rPr>
                <w:sz w:val="20"/>
              </w:rPr>
            </w:pPr>
            <w:r>
              <w:rPr>
                <w:sz w:val="20"/>
              </w:rPr>
              <w:t>Paulo Cesar Barreiro dos Santos</w:t>
            </w:r>
          </w:p>
        </w:tc>
      </w:tr>
      <w:tr w:rsidR="00467FCA" w14:paraId="2245BD2E" w14:textId="77777777">
        <w:trPr>
          <w:trHeight w:val="299"/>
        </w:trPr>
        <w:tc>
          <w:tcPr>
            <w:tcW w:w="562" w:type="dxa"/>
          </w:tcPr>
          <w:p w14:paraId="274988D1" w14:textId="77777777" w:rsidR="00467FCA" w:rsidRDefault="001B68EB">
            <w:pPr>
              <w:pStyle w:val="TableParagraph"/>
              <w:spacing w:before="24"/>
              <w:ind w:left="153"/>
              <w:jc w:val="left"/>
              <w:rPr>
                <w:sz w:val="20"/>
              </w:rPr>
            </w:pPr>
            <w:r>
              <w:rPr>
                <w:sz w:val="20"/>
              </w:rPr>
              <w:t>86</w:t>
            </w:r>
          </w:p>
        </w:tc>
        <w:tc>
          <w:tcPr>
            <w:tcW w:w="6080" w:type="dxa"/>
          </w:tcPr>
          <w:p w14:paraId="4B1290B1" w14:textId="77777777" w:rsidR="00467FCA" w:rsidRDefault="001B68EB">
            <w:pPr>
              <w:pStyle w:val="TableParagraph"/>
              <w:spacing w:before="24"/>
              <w:ind w:right="1009"/>
              <w:rPr>
                <w:sz w:val="20"/>
              </w:rPr>
            </w:pPr>
            <w:r>
              <w:rPr>
                <w:sz w:val="20"/>
              </w:rPr>
              <w:t>Pedro Barreira dos Santos</w:t>
            </w:r>
          </w:p>
        </w:tc>
      </w:tr>
      <w:tr w:rsidR="00467FCA" w14:paraId="0EB04F97" w14:textId="77777777">
        <w:trPr>
          <w:trHeight w:val="299"/>
        </w:trPr>
        <w:tc>
          <w:tcPr>
            <w:tcW w:w="562" w:type="dxa"/>
          </w:tcPr>
          <w:p w14:paraId="6877503F" w14:textId="77777777" w:rsidR="00467FCA" w:rsidRDefault="001B68EB">
            <w:pPr>
              <w:pStyle w:val="TableParagraph"/>
              <w:spacing w:before="24"/>
              <w:ind w:left="153"/>
              <w:jc w:val="left"/>
              <w:rPr>
                <w:sz w:val="20"/>
              </w:rPr>
            </w:pPr>
            <w:r>
              <w:rPr>
                <w:sz w:val="20"/>
              </w:rPr>
              <w:t>87</w:t>
            </w:r>
          </w:p>
        </w:tc>
        <w:tc>
          <w:tcPr>
            <w:tcW w:w="6080" w:type="dxa"/>
          </w:tcPr>
          <w:p w14:paraId="444E661D" w14:textId="77777777" w:rsidR="00467FCA" w:rsidRDefault="001B68EB">
            <w:pPr>
              <w:pStyle w:val="TableParagraph"/>
              <w:spacing w:before="24"/>
              <w:ind w:right="1011"/>
              <w:rPr>
                <w:sz w:val="20"/>
              </w:rPr>
            </w:pPr>
            <w:r>
              <w:rPr>
                <w:sz w:val="20"/>
              </w:rPr>
              <w:t>Rebeca Nascimento Almeida</w:t>
            </w:r>
          </w:p>
        </w:tc>
      </w:tr>
      <w:tr w:rsidR="00467FCA" w14:paraId="7E8D16A2" w14:textId="77777777">
        <w:trPr>
          <w:trHeight w:val="299"/>
        </w:trPr>
        <w:tc>
          <w:tcPr>
            <w:tcW w:w="562" w:type="dxa"/>
          </w:tcPr>
          <w:p w14:paraId="1CE9FA4C" w14:textId="77777777" w:rsidR="00467FCA" w:rsidRDefault="001B68EB">
            <w:pPr>
              <w:pStyle w:val="TableParagraph"/>
              <w:spacing w:before="24"/>
              <w:ind w:left="153"/>
              <w:jc w:val="left"/>
              <w:rPr>
                <w:sz w:val="20"/>
              </w:rPr>
            </w:pPr>
            <w:r>
              <w:rPr>
                <w:sz w:val="20"/>
              </w:rPr>
              <w:t>88</w:t>
            </w:r>
          </w:p>
        </w:tc>
        <w:tc>
          <w:tcPr>
            <w:tcW w:w="6080" w:type="dxa"/>
          </w:tcPr>
          <w:p w14:paraId="5733F00D" w14:textId="77777777" w:rsidR="00467FCA" w:rsidRDefault="001B68EB">
            <w:pPr>
              <w:pStyle w:val="TableParagraph"/>
              <w:spacing w:before="24"/>
              <w:ind w:right="1009"/>
              <w:rPr>
                <w:sz w:val="20"/>
              </w:rPr>
            </w:pPr>
            <w:r>
              <w:rPr>
                <w:sz w:val="20"/>
              </w:rPr>
              <w:t>Reijan dos Santos Almeida</w:t>
            </w:r>
          </w:p>
        </w:tc>
      </w:tr>
      <w:tr w:rsidR="00467FCA" w14:paraId="5AB170B7" w14:textId="77777777">
        <w:trPr>
          <w:trHeight w:val="299"/>
        </w:trPr>
        <w:tc>
          <w:tcPr>
            <w:tcW w:w="562" w:type="dxa"/>
          </w:tcPr>
          <w:p w14:paraId="05AA44FC" w14:textId="77777777" w:rsidR="00467FCA" w:rsidRDefault="001B68EB">
            <w:pPr>
              <w:pStyle w:val="TableParagraph"/>
              <w:spacing w:before="24"/>
              <w:ind w:left="153"/>
              <w:jc w:val="left"/>
              <w:rPr>
                <w:sz w:val="20"/>
              </w:rPr>
            </w:pPr>
            <w:r>
              <w:rPr>
                <w:sz w:val="20"/>
              </w:rPr>
              <w:t>89</w:t>
            </w:r>
          </w:p>
        </w:tc>
        <w:tc>
          <w:tcPr>
            <w:tcW w:w="6080" w:type="dxa"/>
          </w:tcPr>
          <w:p w14:paraId="70251C09" w14:textId="77777777" w:rsidR="00467FCA" w:rsidRDefault="001B68EB">
            <w:pPr>
              <w:pStyle w:val="TableParagraph"/>
              <w:spacing w:before="24"/>
              <w:ind w:right="1011"/>
              <w:rPr>
                <w:sz w:val="20"/>
              </w:rPr>
            </w:pPr>
            <w:r>
              <w:rPr>
                <w:sz w:val="20"/>
              </w:rPr>
              <w:t>Roberto Carlos de Jesus</w:t>
            </w:r>
          </w:p>
        </w:tc>
      </w:tr>
      <w:tr w:rsidR="00467FCA" w14:paraId="45A06A94" w14:textId="77777777">
        <w:trPr>
          <w:trHeight w:val="301"/>
        </w:trPr>
        <w:tc>
          <w:tcPr>
            <w:tcW w:w="562" w:type="dxa"/>
          </w:tcPr>
          <w:p w14:paraId="643E089A" w14:textId="77777777" w:rsidR="00467FCA" w:rsidRDefault="001B68EB">
            <w:pPr>
              <w:pStyle w:val="TableParagraph"/>
              <w:spacing w:before="24"/>
              <w:ind w:left="153"/>
              <w:jc w:val="left"/>
              <w:rPr>
                <w:sz w:val="20"/>
              </w:rPr>
            </w:pPr>
            <w:r>
              <w:rPr>
                <w:sz w:val="20"/>
              </w:rPr>
              <w:t>90</w:t>
            </w:r>
          </w:p>
        </w:tc>
        <w:tc>
          <w:tcPr>
            <w:tcW w:w="6080" w:type="dxa"/>
          </w:tcPr>
          <w:p w14:paraId="3ADCD9E8" w14:textId="77777777" w:rsidR="00467FCA" w:rsidRDefault="001B68EB">
            <w:pPr>
              <w:pStyle w:val="TableParagraph"/>
              <w:spacing w:before="24"/>
              <w:ind w:right="1012"/>
              <w:rPr>
                <w:sz w:val="20"/>
              </w:rPr>
            </w:pPr>
            <w:r>
              <w:rPr>
                <w:sz w:val="20"/>
              </w:rPr>
              <w:t>Rodrigo Conceição Silva</w:t>
            </w:r>
          </w:p>
        </w:tc>
      </w:tr>
      <w:tr w:rsidR="00467FCA" w14:paraId="6AD0FC17" w14:textId="77777777">
        <w:trPr>
          <w:trHeight w:val="299"/>
        </w:trPr>
        <w:tc>
          <w:tcPr>
            <w:tcW w:w="562" w:type="dxa"/>
          </w:tcPr>
          <w:p w14:paraId="36258CAD" w14:textId="77777777" w:rsidR="00467FCA" w:rsidRDefault="001B68EB">
            <w:pPr>
              <w:pStyle w:val="TableParagraph"/>
              <w:spacing w:before="24"/>
              <w:ind w:left="153"/>
              <w:jc w:val="left"/>
              <w:rPr>
                <w:sz w:val="20"/>
              </w:rPr>
            </w:pPr>
            <w:r>
              <w:rPr>
                <w:sz w:val="20"/>
              </w:rPr>
              <w:t>91</w:t>
            </w:r>
          </w:p>
        </w:tc>
        <w:tc>
          <w:tcPr>
            <w:tcW w:w="6080" w:type="dxa"/>
          </w:tcPr>
          <w:p w14:paraId="5992ABAD" w14:textId="77777777" w:rsidR="00467FCA" w:rsidRDefault="001B68EB">
            <w:pPr>
              <w:pStyle w:val="TableParagraph"/>
              <w:spacing w:before="24"/>
              <w:ind w:right="1010"/>
              <w:rPr>
                <w:sz w:val="20"/>
              </w:rPr>
            </w:pPr>
            <w:r>
              <w:rPr>
                <w:sz w:val="20"/>
              </w:rPr>
              <w:t>Roque Ribeiro da Conceição</w:t>
            </w:r>
          </w:p>
        </w:tc>
      </w:tr>
      <w:tr w:rsidR="00467FCA" w14:paraId="09E7C49D" w14:textId="77777777">
        <w:trPr>
          <w:trHeight w:val="299"/>
        </w:trPr>
        <w:tc>
          <w:tcPr>
            <w:tcW w:w="562" w:type="dxa"/>
          </w:tcPr>
          <w:p w14:paraId="6E63DBF0" w14:textId="77777777" w:rsidR="00467FCA" w:rsidRDefault="001B68EB">
            <w:pPr>
              <w:pStyle w:val="TableParagraph"/>
              <w:spacing w:before="24"/>
              <w:ind w:left="153"/>
              <w:jc w:val="left"/>
              <w:rPr>
                <w:sz w:val="20"/>
              </w:rPr>
            </w:pPr>
            <w:r>
              <w:rPr>
                <w:sz w:val="20"/>
              </w:rPr>
              <w:t>92</w:t>
            </w:r>
          </w:p>
        </w:tc>
        <w:tc>
          <w:tcPr>
            <w:tcW w:w="6080" w:type="dxa"/>
          </w:tcPr>
          <w:p w14:paraId="07F98173" w14:textId="77777777" w:rsidR="00467FCA" w:rsidRDefault="001B68EB">
            <w:pPr>
              <w:pStyle w:val="TableParagraph"/>
              <w:spacing w:before="24"/>
              <w:ind w:right="1009"/>
              <w:rPr>
                <w:sz w:val="20"/>
              </w:rPr>
            </w:pPr>
            <w:r>
              <w:rPr>
                <w:sz w:val="20"/>
              </w:rPr>
              <w:t>Rozangelo Silva da Silva</w:t>
            </w:r>
          </w:p>
        </w:tc>
      </w:tr>
      <w:tr w:rsidR="00467FCA" w14:paraId="34720C30" w14:textId="77777777">
        <w:trPr>
          <w:trHeight w:val="299"/>
        </w:trPr>
        <w:tc>
          <w:tcPr>
            <w:tcW w:w="562" w:type="dxa"/>
          </w:tcPr>
          <w:p w14:paraId="1B6E787B" w14:textId="77777777" w:rsidR="00467FCA" w:rsidRDefault="001B68EB">
            <w:pPr>
              <w:pStyle w:val="TableParagraph"/>
              <w:spacing w:before="24"/>
              <w:ind w:left="153"/>
              <w:jc w:val="left"/>
              <w:rPr>
                <w:sz w:val="20"/>
              </w:rPr>
            </w:pPr>
            <w:r>
              <w:rPr>
                <w:sz w:val="20"/>
              </w:rPr>
              <w:t>93</w:t>
            </w:r>
          </w:p>
        </w:tc>
        <w:tc>
          <w:tcPr>
            <w:tcW w:w="6080" w:type="dxa"/>
          </w:tcPr>
          <w:p w14:paraId="7810B80F" w14:textId="77777777" w:rsidR="00467FCA" w:rsidRDefault="001B68EB">
            <w:pPr>
              <w:pStyle w:val="TableParagraph"/>
              <w:spacing w:before="24"/>
              <w:ind w:right="1009"/>
              <w:rPr>
                <w:sz w:val="20"/>
              </w:rPr>
            </w:pPr>
            <w:r>
              <w:rPr>
                <w:sz w:val="20"/>
              </w:rPr>
              <w:t>Samuel dos Santos Souza</w:t>
            </w:r>
          </w:p>
        </w:tc>
      </w:tr>
      <w:tr w:rsidR="00467FCA" w14:paraId="35780E9F" w14:textId="77777777">
        <w:trPr>
          <w:trHeight w:val="299"/>
        </w:trPr>
        <w:tc>
          <w:tcPr>
            <w:tcW w:w="562" w:type="dxa"/>
          </w:tcPr>
          <w:p w14:paraId="164A6748" w14:textId="77777777" w:rsidR="00467FCA" w:rsidRDefault="001B68EB">
            <w:pPr>
              <w:pStyle w:val="TableParagraph"/>
              <w:spacing w:before="24"/>
              <w:ind w:left="153"/>
              <w:jc w:val="left"/>
              <w:rPr>
                <w:sz w:val="20"/>
              </w:rPr>
            </w:pPr>
            <w:r>
              <w:rPr>
                <w:sz w:val="20"/>
              </w:rPr>
              <w:t>94</w:t>
            </w:r>
          </w:p>
        </w:tc>
        <w:tc>
          <w:tcPr>
            <w:tcW w:w="6080" w:type="dxa"/>
          </w:tcPr>
          <w:p w14:paraId="3F68E077" w14:textId="77777777" w:rsidR="00467FCA" w:rsidRDefault="001B68EB">
            <w:pPr>
              <w:pStyle w:val="TableParagraph"/>
              <w:spacing w:before="24"/>
              <w:ind w:right="1013"/>
              <w:rPr>
                <w:sz w:val="20"/>
              </w:rPr>
            </w:pPr>
            <w:r>
              <w:rPr>
                <w:sz w:val="20"/>
              </w:rPr>
              <w:t>Silvano Passos dos Santos</w:t>
            </w:r>
          </w:p>
        </w:tc>
      </w:tr>
      <w:tr w:rsidR="00467FCA" w14:paraId="5D57B5BC" w14:textId="77777777">
        <w:trPr>
          <w:trHeight w:val="299"/>
        </w:trPr>
        <w:tc>
          <w:tcPr>
            <w:tcW w:w="562" w:type="dxa"/>
          </w:tcPr>
          <w:p w14:paraId="59D5B7FC" w14:textId="77777777" w:rsidR="00467FCA" w:rsidRDefault="001B68EB">
            <w:pPr>
              <w:pStyle w:val="TableParagraph"/>
              <w:spacing w:before="24"/>
              <w:ind w:left="153"/>
              <w:jc w:val="left"/>
              <w:rPr>
                <w:sz w:val="20"/>
              </w:rPr>
            </w:pPr>
            <w:r>
              <w:rPr>
                <w:sz w:val="20"/>
              </w:rPr>
              <w:t>95</w:t>
            </w:r>
          </w:p>
        </w:tc>
        <w:tc>
          <w:tcPr>
            <w:tcW w:w="6080" w:type="dxa"/>
          </w:tcPr>
          <w:p w14:paraId="770030A9" w14:textId="77777777" w:rsidR="00467FCA" w:rsidRDefault="001B68EB">
            <w:pPr>
              <w:pStyle w:val="TableParagraph"/>
              <w:spacing w:before="24"/>
              <w:ind w:left="1013" w:right="1013"/>
              <w:rPr>
                <w:sz w:val="20"/>
              </w:rPr>
            </w:pPr>
            <w:r>
              <w:rPr>
                <w:sz w:val="20"/>
              </w:rPr>
              <w:t>Sueli Andrade da Hora</w:t>
            </w:r>
          </w:p>
        </w:tc>
      </w:tr>
      <w:tr w:rsidR="00467FCA" w14:paraId="173573DC" w14:textId="77777777">
        <w:trPr>
          <w:trHeight w:val="302"/>
        </w:trPr>
        <w:tc>
          <w:tcPr>
            <w:tcW w:w="562" w:type="dxa"/>
          </w:tcPr>
          <w:p w14:paraId="08E3CE55" w14:textId="77777777" w:rsidR="00467FCA" w:rsidRDefault="001B68EB">
            <w:pPr>
              <w:pStyle w:val="TableParagraph"/>
              <w:spacing w:before="24"/>
              <w:ind w:left="153"/>
              <w:jc w:val="left"/>
              <w:rPr>
                <w:sz w:val="20"/>
              </w:rPr>
            </w:pPr>
            <w:r>
              <w:rPr>
                <w:sz w:val="20"/>
              </w:rPr>
              <w:t>96</w:t>
            </w:r>
          </w:p>
        </w:tc>
        <w:tc>
          <w:tcPr>
            <w:tcW w:w="6080" w:type="dxa"/>
          </w:tcPr>
          <w:p w14:paraId="266F4EF9" w14:textId="77777777" w:rsidR="00467FCA" w:rsidRDefault="001B68EB">
            <w:pPr>
              <w:pStyle w:val="TableParagraph"/>
              <w:spacing w:before="24"/>
              <w:ind w:right="1011"/>
              <w:rPr>
                <w:sz w:val="20"/>
              </w:rPr>
            </w:pPr>
            <w:r>
              <w:rPr>
                <w:sz w:val="20"/>
              </w:rPr>
              <w:t>Therezinha do Nascimento Almeida</w:t>
            </w:r>
          </w:p>
        </w:tc>
      </w:tr>
      <w:tr w:rsidR="00467FCA" w14:paraId="419C1B80" w14:textId="77777777">
        <w:trPr>
          <w:trHeight w:val="299"/>
        </w:trPr>
        <w:tc>
          <w:tcPr>
            <w:tcW w:w="562" w:type="dxa"/>
          </w:tcPr>
          <w:p w14:paraId="78AA8ABF" w14:textId="77777777" w:rsidR="00467FCA" w:rsidRDefault="001B68EB">
            <w:pPr>
              <w:pStyle w:val="TableParagraph"/>
              <w:spacing w:before="24"/>
              <w:ind w:left="153"/>
              <w:jc w:val="left"/>
              <w:rPr>
                <w:sz w:val="20"/>
              </w:rPr>
            </w:pPr>
            <w:r>
              <w:rPr>
                <w:sz w:val="20"/>
              </w:rPr>
              <w:t>97</w:t>
            </w:r>
          </w:p>
        </w:tc>
        <w:tc>
          <w:tcPr>
            <w:tcW w:w="6080" w:type="dxa"/>
          </w:tcPr>
          <w:p w14:paraId="4199BAB2" w14:textId="77777777" w:rsidR="00467FCA" w:rsidRDefault="001B68EB">
            <w:pPr>
              <w:pStyle w:val="TableParagraph"/>
              <w:spacing w:before="24"/>
              <w:ind w:right="1013"/>
              <w:rPr>
                <w:sz w:val="20"/>
              </w:rPr>
            </w:pPr>
            <w:r>
              <w:rPr>
                <w:sz w:val="20"/>
              </w:rPr>
              <w:t>Valdelice Cunha Reis</w:t>
            </w:r>
          </w:p>
        </w:tc>
      </w:tr>
      <w:tr w:rsidR="00467FCA" w14:paraId="539E063B" w14:textId="77777777">
        <w:trPr>
          <w:trHeight w:val="299"/>
        </w:trPr>
        <w:tc>
          <w:tcPr>
            <w:tcW w:w="562" w:type="dxa"/>
          </w:tcPr>
          <w:p w14:paraId="1CD7D95D" w14:textId="77777777" w:rsidR="00467FCA" w:rsidRDefault="001B68EB">
            <w:pPr>
              <w:pStyle w:val="TableParagraph"/>
              <w:spacing w:before="24"/>
              <w:ind w:left="153"/>
              <w:jc w:val="left"/>
              <w:rPr>
                <w:sz w:val="20"/>
              </w:rPr>
            </w:pPr>
            <w:r>
              <w:rPr>
                <w:sz w:val="20"/>
              </w:rPr>
              <w:t>98</w:t>
            </w:r>
          </w:p>
        </w:tc>
        <w:tc>
          <w:tcPr>
            <w:tcW w:w="6080" w:type="dxa"/>
          </w:tcPr>
          <w:p w14:paraId="1FBA92CA" w14:textId="77777777" w:rsidR="00467FCA" w:rsidRDefault="001B68EB">
            <w:pPr>
              <w:pStyle w:val="TableParagraph"/>
              <w:spacing w:before="24"/>
              <w:ind w:left="1013" w:right="1013"/>
              <w:rPr>
                <w:sz w:val="20"/>
              </w:rPr>
            </w:pPr>
            <w:r>
              <w:rPr>
                <w:sz w:val="20"/>
              </w:rPr>
              <w:t>Vitória França da Silva</w:t>
            </w:r>
          </w:p>
        </w:tc>
      </w:tr>
      <w:tr w:rsidR="00467FCA" w14:paraId="2A3D432C" w14:textId="77777777">
        <w:trPr>
          <w:trHeight w:val="299"/>
        </w:trPr>
        <w:tc>
          <w:tcPr>
            <w:tcW w:w="562" w:type="dxa"/>
          </w:tcPr>
          <w:p w14:paraId="7061DDC5" w14:textId="77777777" w:rsidR="00467FCA" w:rsidRDefault="001B68EB">
            <w:pPr>
              <w:pStyle w:val="TableParagraph"/>
              <w:spacing w:before="24"/>
              <w:ind w:left="153"/>
              <w:jc w:val="left"/>
              <w:rPr>
                <w:sz w:val="20"/>
              </w:rPr>
            </w:pPr>
            <w:r>
              <w:rPr>
                <w:sz w:val="20"/>
              </w:rPr>
              <w:t>99</w:t>
            </w:r>
          </w:p>
        </w:tc>
        <w:tc>
          <w:tcPr>
            <w:tcW w:w="6080" w:type="dxa"/>
          </w:tcPr>
          <w:p w14:paraId="7585D4AF" w14:textId="77777777" w:rsidR="00467FCA" w:rsidRDefault="001B68EB">
            <w:pPr>
              <w:pStyle w:val="TableParagraph"/>
              <w:spacing w:before="24"/>
              <w:ind w:right="1011"/>
              <w:rPr>
                <w:sz w:val="20"/>
              </w:rPr>
            </w:pPr>
            <w:r>
              <w:rPr>
                <w:sz w:val="20"/>
              </w:rPr>
              <w:t>Zorilda Bispo dos Santos</w:t>
            </w:r>
          </w:p>
        </w:tc>
      </w:tr>
      <w:tr w:rsidR="00467FCA" w14:paraId="1C64E0FB" w14:textId="77777777">
        <w:trPr>
          <w:trHeight w:val="299"/>
        </w:trPr>
        <w:tc>
          <w:tcPr>
            <w:tcW w:w="562" w:type="dxa"/>
          </w:tcPr>
          <w:p w14:paraId="0B46C3BB" w14:textId="77777777" w:rsidR="00467FCA" w:rsidRDefault="001B68EB">
            <w:pPr>
              <w:pStyle w:val="TableParagraph"/>
              <w:spacing w:before="24"/>
              <w:ind w:left="88"/>
              <w:jc w:val="left"/>
              <w:rPr>
                <w:sz w:val="20"/>
              </w:rPr>
            </w:pPr>
            <w:r>
              <w:rPr>
                <w:sz w:val="20"/>
              </w:rPr>
              <w:t>100</w:t>
            </w:r>
          </w:p>
        </w:tc>
        <w:tc>
          <w:tcPr>
            <w:tcW w:w="6080" w:type="dxa"/>
          </w:tcPr>
          <w:p w14:paraId="34CFA11F" w14:textId="77777777" w:rsidR="00467FCA" w:rsidRDefault="001B68EB">
            <w:pPr>
              <w:pStyle w:val="TableParagraph"/>
              <w:spacing w:before="24"/>
              <w:ind w:right="1012"/>
              <w:rPr>
                <w:sz w:val="20"/>
              </w:rPr>
            </w:pPr>
            <w:r>
              <w:rPr>
                <w:sz w:val="20"/>
              </w:rPr>
              <w:t>Zuleide de Jesus Souza</w:t>
            </w:r>
          </w:p>
        </w:tc>
      </w:tr>
    </w:tbl>
    <w:p w14:paraId="6517B1EE" w14:textId="77777777" w:rsidR="00467FCA" w:rsidRDefault="00467FCA">
      <w:pPr>
        <w:rPr>
          <w:sz w:val="20"/>
        </w:rPr>
        <w:sectPr w:rsidR="00467FCA">
          <w:pgSz w:w="12240" w:h="15840"/>
          <w:pgMar w:top="1440" w:right="1320" w:bottom="1140" w:left="1320" w:header="0" w:footer="957" w:gutter="0"/>
          <w:cols w:space="720"/>
        </w:sectPr>
      </w:pPr>
    </w:p>
    <w:p w14:paraId="5911F2DE" w14:textId="77777777" w:rsidR="00467FCA" w:rsidRDefault="001B68EB">
      <w:pPr>
        <w:spacing w:before="75"/>
        <w:ind w:left="389" w:right="404"/>
        <w:jc w:val="center"/>
        <w:rPr>
          <w:b/>
          <w:sz w:val="20"/>
        </w:rPr>
      </w:pPr>
      <w:bookmarkStart w:id="590" w:name="vsc_pazmino_407_esp"/>
      <w:bookmarkEnd w:id="590"/>
      <w:r>
        <w:rPr>
          <w:b/>
          <w:sz w:val="20"/>
        </w:rPr>
        <w:t>VOTO CONCURRENTE</w:t>
      </w:r>
    </w:p>
    <w:p w14:paraId="209F0EB5" w14:textId="77777777" w:rsidR="00467FCA" w:rsidRDefault="001B68EB">
      <w:pPr>
        <w:spacing w:before="2" w:line="243" w:lineRule="exact"/>
        <w:ind w:left="389" w:right="407"/>
        <w:jc w:val="center"/>
        <w:rPr>
          <w:b/>
          <w:sz w:val="20"/>
        </w:rPr>
      </w:pPr>
      <w:r>
        <w:rPr>
          <w:b/>
          <w:sz w:val="20"/>
        </w:rPr>
        <w:t>JUEZ L. PATRICIO PAZMIÑO FREIRE</w:t>
      </w:r>
    </w:p>
    <w:p w14:paraId="11040A5A" w14:textId="77777777" w:rsidR="00467FCA" w:rsidRDefault="001B68EB">
      <w:pPr>
        <w:ind w:left="389" w:right="408"/>
        <w:jc w:val="center"/>
        <w:rPr>
          <w:b/>
          <w:sz w:val="20"/>
        </w:rPr>
      </w:pPr>
      <w:r>
        <w:rPr>
          <w:b/>
          <w:sz w:val="20"/>
        </w:rPr>
        <w:t>CASO EMPLEADOS DE LA FÁBRICA DE FUEGOS EN SANTO ANTÔNIO DE JESUS Y SUS FAMILIARES VS. BRASIL</w:t>
      </w:r>
    </w:p>
    <w:p w14:paraId="630DD4F1" w14:textId="77777777" w:rsidR="00467FCA" w:rsidRDefault="001B68EB">
      <w:pPr>
        <w:spacing w:before="1"/>
        <w:ind w:left="388" w:right="408"/>
        <w:jc w:val="center"/>
        <w:rPr>
          <w:b/>
          <w:sz w:val="20"/>
        </w:rPr>
      </w:pPr>
      <w:r>
        <w:rPr>
          <w:b/>
          <w:sz w:val="20"/>
        </w:rPr>
        <w:t>SENTENCIA DE 15 DE JULIO DE 2020</w:t>
      </w:r>
    </w:p>
    <w:p w14:paraId="24AF0EE0" w14:textId="77777777" w:rsidR="00467FCA" w:rsidRDefault="00467FCA">
      <w:pPr>
        <w:pStyle w:val="Textoindependiente"/>
        <w:rPr>
          <w:b/>
          <w:sz w:val="24"/>
        </w:rPr>
      </w:pPr>
    </w:p>
    <w:p w14:paraId="6ADA5B5F" w14:textId="77777777" w:rsidR="00467FCA" w:rsidRDefault="001B68EB">
      <w:pPr>
        <w:pStyle w:val="Prrafodelista"/>
        <w:numPr>
          <w:ilvl w:val="0"/>
          <w:numId w:val="33"/>
        </w:numPr>
        <w:tabs>
          <w:tab w:val="left" w:pos="1517"/>
          <w:tab w:val="left" w:pos="1518"/>
        </w:tabs>
        <w:spacing w:before="192"/>
        <w:ind w:hanging="539"/>
        <w:jc w:val="left"/>
        <w:rPr>
          <w:b/>
          <w:sz w:val="20"/>
        </w:rPr>
      </w:pPr>
      <w:r>
        <w:rPr>
          <w:b/>
          <w:sz w:val="20"/>
        </w:rPr>
        <w:t>Introducción</w:t>
      </w:r>
    </w:p>
    <w:p w14:paraId="55F04DF6" w14:textId="77777777" w:rsidR="00467FCA" w:rsidRDefault="00467FCA">
      <w:pPr>
        <w:pStyle w:val="Textoindependiente"/>
        <w:spacing w:before="1"/>
        <w:rPr>
          <w:b/>
        </w:rPr>
      </w:pPr>
    </w:p>
    <w:p w14:paraId="7EEBB958" w14:textId="77777777" w:rsidR="00467FCA" w:rsidRDefault="001B68EB">
      <w:pPr>
        <w:pStyle w:val="Prrafodelista"/>
        <w:numPr>
          <w:ilvl w:val="0"/>
          <w:numId w:val="32"/>
        </w:numPr>
        <w:tabs>
          <w:tab w:val="left" w:pos="810"/>
        </w:tabs>
        <w:spacing w:before="1"/>
        <w:ind w:right="115" w:firstLine="0"/>
        <w:jc w:val="both"/>
        <w:rPr>
          <w:sz w:val="20"/>
        </w:rPr>
      </w:pPr>
      <w:r>
        <w:rPr>
          <w:sz w:val="20"/>
        </w:rPr>
        <w:t>La</w:t>
      </w:r>
      <w:r>
        <w:rPr>
          <w:spacing w:val="-10"/>
          <w:sz w:val="20"/>
        </w:rPr>
        <w:t xml:space="preserve"> </w:t>
      </w:r>
      <w:r>
        <w:rPr>
          <w:sz w:val="20"/>
        </w:rPr>
        <w:t>sentencia</w:t>
      </w:r>
      <w:r>
        <w:rPr>
          <w:spacing w:val="-7"/>
          <w:sz w:val="20"/>
        </w:rPr>
        <w:t xml:space="preserve"> </w:t>
      </w:r>
      <w:r>
        <w:rPr>
          <w:sz w:val="20"/>
        </w:rPr>
        <w:t>del</w:t>
      </w:r>
      <w:r>
        <w:rPr>
          <w:spacing w:val="-9"/>
          <w:sz w:val="20"/>
        </w:rPr>
        <w:t xml:space="preserve"> </w:t>
      </w:r>
      <w:r>
        <w:rPr>
          <w:sz w:val="20"/>
        </w:rPr>
        <w:t>caso</w:t>
      </w:r>
      <w:r>
        <w:rPr>
          <w:spacing w:val="-11"/>
          <w:sz w:val="20"/>
        </w:rPr>
        <w:t xml:space="preserve"> </w:t>
      </w:r>
      <w:r>
        <w:rPr>
          <w:i/>
          <w:sz w:val="20"/>
        </w:rPr>
        <w:t>Empleados</w:t>
      </w:r>
      <w:r>
        <w:rPr>
          <w:i/>
          <w:spacing w:val="-10"/>
          <w:sz w:val="20"/>
        </w:rPr>
        <w:t xml:space="preserve"> </w:t>
      </w:r>
      <w:r>
        <w:rPr>
          <w:i/>
          <w:sz w:val="20"/>
        </w:rPr>
        <w:t>de</w:t>
      </w:r>
      <w:r>
        <w:rPr>
          <w:i/>
          <w:spacing w:val="-10"/>
          <w:sz w:val="20"/>
        </w:rPr>
        <w:t xml:space="preserve"> </w:t>
      </w:r>
      <w:r>
        <w:rPr>
          <w:i/>
          <w:sz w:val="20"/>
        </w:rPr>
        <w:t>la</w:t>
      </w:r>
      <w:r>
        <w:rPr>
          <w:i/>
          <w:spacing w:val="-8"/>
          <w:sz w:val="20"/>
        </w:rPr>
        <w:t xml:space="preserve"> </w:t>
      </w:r>
      <w:r>
        <w:rPr>
          <w:i/>
          <w:sz w:val="20"/>
        </w:rPr>
        <w:t>Fábrica</w:t>
      </w:r>
      <w:r>
        <w:rPr>
          <w:i/>
          <w:spacing w:val="-7"/>
          <w:sz w:val="20"/>
        </w:rPr>
        <w:t xml:space="preserve"> </w:t>
      </w:r>
      <w:r>
        <w:rPr>
          <w:i/>
          <w:sz w:val="20"/>
        </w:rPr>
        <w:t>de</w:t>
      </w:r>
      <w:r>
        <w:rPr>
          <w:i/>
          <w:spacing w:val="-10"/>
          <w:sz w:val="20"/>
        </w:rPr>
        <w:t xml:space="preserve"> </w:t>
      </w:r>
      <w:r>
        <w:rPr>
          <w:i/>
          <w:sz w:val="20"/>
        </w:rPr>
        <w:t>Fuegos</w:t>
      </w:r>
      <w:r>
        <w:rPr>
          <w:i/>
          <w:spacing w:val="-6"/>
          <w:sz w:val="20"/>
        </w:rPr>
        <w:t xml:space="preserve"> </w:t>
      </w:r>
      <w:r>
        <w:rPr>
          <w:i/>
          <w:sz w:val="20"/>
        </w:rPr>
        <w:t>en</w:t>
      </w:r>
      <w:r>
        <w:rPr>
          <w:i/>
          <w:spacing w:val="-8"/>
          <w:sz w:val="20"/>
        </w:rPr>
        <w:t xml:space="preserve"> </w:t>
      </w:r>
      <w:r>
        <w:rPr>
          <w:i/>
          <w:sz w:val="20"/>
        </w:rPr>
        <w:t>Santo</w:t>
      </w:r>
      <w:r>
        <w:rPr>
          <w:i/>
          <w:spacing w:val="-8"/>
          <w:sz w:val="20"/>
        </w:rPr>
        <w:t xml:space="preserve"> </w:t>
      </w:r>
      <w:r>
        <w:rPr>
          <w:i/>
          <w:sz w:val="20"/>
        </w:rPr>
        <w:t>Antônio</w:t>
      </w:r>
      <w:r>
        <w:rPr>
          <w:i/>
          <w:spacing w:val="-11"/>
          <w:sz w:val="20"/>
        </w:rPr>
        <w:t xml:space="preserve"> </w:t>
      </w:r>
      <w:r>
        <w:rPr>
          <w:i/>
          <w:sz w:val="20"/>
        </w:rPr>
        <w:t xml:space="preserve">de </w:t>
      </w:r>
      <w:r>
        <w:rPr>
          <w:i/>
          <w:sz w:val="20"/>
        </w:rPr>
        <w:t xml:space="preserve">Jesus y sus Familiares Vs. Brasil </w:t>
      </w:r>
      <w:r>
        <w:rPr>
          <w:sz w:val="20"/>
        </w:rPr>
        <w:t>(en adelante, “la Sentencia”) reconoció la pobreza estructural en que vivían las 60 víctimas fallecidas y las 6 sobrevivientes de la explosión de la fábrica de fuegos artificiales, ocurrida el 11 de diciembre de 1998</w:t>
      </w:r>
      <w:hyperlink w:anchor="_bookmark513" w:history="1">
        <w:r>
          <w:rPr>
            <w:position w:val="7"/>
            <w:sz w:val="13"/>
          </w:rPr>
          <w:t>1</w:t>
        </w:r>
      </w:hyperlink>
      <w:r>
        <w:rPr>
          <w:sz w:val="20"/>
        </w:rPr>
        <w:t>, lo que, agregado a otros factores interseccionales de discriminación, permitió que esas personas estuvieran bajo una condición de extrema vulnerabilidad. La Corte concluyó que dicha condición se configura y facilita debido a qu</w:t>
      </w:r>
      <w:r>
        <w:rPr>
          <w:sz w:val="20"/>
        </w:rPr>
        <w:t>e el funcionamiento de</w:t>
      </w:r>
      <w:r>
        <w:rPr>
          <w:spacing w:val="-12"/>
          <w:sz w:val="20"/>
        </w:rPr>
        <w:t xml:space="preserve"> </w:t>
      </w:r>
      <w:r>
        <w:rPr>
          <w:sz w:val="20"/>
        </w:rPr>
        <w:t>la</w:t>
      </w:r>
      <w:r>
        <w:rPr>
          <w:spacing w:val="-8"/>
          <w:sz w:val="20"/>
        </w:rPr>
        <w:t xml:space="preserve"> </w:t>
      </w:r>
      <w:r>
        <w:rPr>
          <w:sz w:val="20"/>
        </w:rPr>
        <w:t>fábrica</w:t>
      </w:r>
      <w:r>
        <w:rPr>
          <w:spacing w:val="-8"/>
          <w:sz w:val="20"/>
        </w:rPr>
        <w:t xml:space="preserve"> </w:t>
      </w:r>
      <w:r>
        <w:rPr>
          <w:sz w:val="20"/>
        </w:rPr>
        <w:t>de</w:t>
      </w:r>
      <w:r>
        <w:rPr>
          <w:spacing w:val="-9"/>
          <w:sz w:val="20"/>
        </w:rPr>
        <w:t xml:space="preserve"> </w:t>
      </w:r>
      <w:r>
        <w:rPr>
          <w:sz w:val="20"/>
        </w:rPr>
        <w:t>fuegos,</w:t>
      </w:r>
      <w:r>
        <w:rPr>
          <w:spacing w:val="-9"/>
          <w:sz w:val="20"/>
        </w:rPr>
        <w:t xml:space="preserve"> </w:t>
      </w:r>
      <w:r>
        <w:rPr>
          <w:sz w:val="20"/>
        </w:rPr>
        <w:t>que</w:t>
      </w:r>
      <w:r>
        <w:rPr>
          <w:spacing w:val="-11"/>
          <w:sz w:val="20"/>
        </w:rPr>
        <w:t xml:space="preserve"> </w:t>
      </w:r>
      <w:r>
        <w:rPr>
          <w:sz w:val="20"/>
        </w:rPr>
        <w:t>se</w:t>
      </w:r>
      <w:r>
        <w:rPr>
          <w:spacing w:val="-10"/>
          <w:sz w:val="20"/>
        </w:rPr>
        <w:t xml:space="preserve"> </w:t>
      </w:r>
      <w:r>
        <w:rPr>
          <w:sz w:val="20"/>
        </w:rPr>
        <w:t>dedicaba</w:t>
      </w:r>
      <w:r>
        <w:rPr>
          <w:spacing w:val="-8"/>
          <w:sz w:val="20"/>
        </w:rPr>
        <w:t xml:space="preserve"> </w:t>
      </w:r>
      <w:r>
        <w:rPr>
          <w:sz w:val="20"/>
        </w:rPr>
        <w:t>a</w:t>
      </w:r>
      <w:r>
        <w:rPr>
          <w:spacing w:val="-8"/>
          <w:sz w:val="20"/>
        </w:rPr>
        <w:t xml:space="preserve"> </w:t>
      </w:r>
      <w:r>
        <w:rPr>
          <w:sz w:val="20"/>
        </w:rPr>
        <w:t>una</w:t>
      </w:r>
      <w:r>
        <w:rPr>
          <w:spacing w:val="-10"/>
          <w:sz w:val="20"/>
        </w:rPr>
        <w:t xml:space="preserve"> </w:t>
      </w:r>
      <w:r>
        <w:rPr>
          <w:sz w:val="20"/>
        </w:rPr>
        <w:t>actividad</w:t>
      </w:r>
      <w:r>
        <w:rPr>
          <w:spacing w:val="-10"/>
          <w:sz w:val="20"/>
        </w:rPr>
        <w:t xml:space="preserve"> </w:t>
      </w:r>
      <w:r>
        <w:rPr>
          <w:sz w:val="20"/>
        </w:rPr>
        <w:t>especialmente</w:t>
      </w:r>
      <w:r>
        <w:rPr>
          <w:spacing w:val="-9"/>
          <w:sz w:val="20"/>
        </w:rPr>
        <w:t xml:space="preserve"> </w:t>
      </w:r>
      <w:r>
        <w:rPr>
          <w:sz w:val="20"/>
        </w:rPr>
        <w:t>peligrosa,</w:t>
      </w:r>
      <w:r>
        <w:rPr>
          <w:spacing w:val="-9"/>
          <w:sz w:val="20"/>
        </w:rPr>
        <w:t xml:space="preserve"> </w:t>
      </w:r>
      <w:r>
        <w:rPr>
          <w:sz w:val="20"/>
        </w:rPr>
        <w:t>sin ninguna</w:t>
      </w:r>
      <w:r>
        <w:rPr>
          <w:spacing w:val="-14"/>
          <w:sz w:val="20"/>
        </w:rPr>
        <w:t xml:space="preserve"> </w:t>
      </w:r>
      <w:r>
        <w:rPr>
          <w:sz w:val="20"/>
        </w:rPr>
        <w:t>fiscalización</w:t>
      </w:r>
      <w:r>
        <w:rPr>
          <w:spacing w:val="-12"/>
          <w:sz w:val="20"/>
        </w:rPr>
        <w:t xml:space="preserve"> </w:t>
      </w:r>
      <w:r>
        <w:rPr>
          <w:sz w:val="20"/>
        </w:rPr>
        <w:t>por</w:t>
      </w:r>
      <w:r>
        <w:rPr>
          <w:spacing w:val="-12"/>
          <w:sz w:val="20"/>
        </w:rPr>
        <w:t xml:space="preserve"> </w:t>
      </w:r>
      <w:r>
        <w:rPr>
          <w:sz w:val="20"/>
        </w:rPr>
        <w:t>parte</w:t>
      </w:r>
      <w:r>
        <w:rPr>
          <w:spacing w:val="-14"/>
          <w:sz w:val="20"/>
        </w:rPr>
        <w:t xml:space="preserve"> </w:t>
      </w:r>
      <w:r>
        <w:rPr>
          <w:sz w:val="20"/>
        </w:rPr>
        <w:t>del</w:t>
      </w:r>
      <w:r>
        <w:rPr>
          <w:spacing w:val="-13"/>
          <w:sz w:val="20"/>
        </w:rPr>
        <w:t xml:space="preserve"> </w:t>
      </w:r>
      <w:r>
        <w:rPr>
          <w:sz w:val="20"/>
        </w:rPr>
        <w:t>Estado,</w:t>
      </w:r>
      <w:r>
        <w:rPr>
          <w:spacing w:val="-13"/>
          <w:sz w:val="20"/>
        </w:rPr>
        <w:t xml:space="preserve"> </w:t>
      </w:r>
      <w:r>
        <w:rPr>
          <w:sz w:val="20"/>
        </w:rPr>
        <w:t>llevó</w:t>
      </w:r>
      <w:r>
        <w:rPr>
          <w:spacing w:val="-12"/>
          <w:sz w:val="20"/>
        </w:rPr>
        <w:t xml:space="preserve"> </w:t>
      </w:r>
      <w:r>
        <w:rPr>
          <w:sz w:val="20"/>
        </w:rPr>
        <w:t>a</w:t>
      </w:r>
      <w:r>
        <w:rPr>
          <w:spacing w:val="-12"/>
          <w:sz w:val="20"/>
        </w:rPr>
        <w:t xml:space="preserve"> </w:t>
      </w:r>
      <w:r>
        <w:rPr>
          <w:sz w:val="20"/>
        </w:rPr>
        <w:t>las</w:t>
      </w:r>
      <w:r>
        <w:rPr>
          <w:spacing w:val="-14"/>
          <w:sz w:val="20"/>
        </w:rPr>
        <w:t xml:space="preserve"> </w:t>
      </w:r>
      <w:r>
        <w:rPr>
          <w:sz w:val="20"/>
        </w:rPr>
        <w:t>trabajadoras,</w:t>
      </w:r>
      <w:r>
        <w:rPr>
          <w:spacing w:val="-13"/>
          <w:sz w:val="20"/>
        </w:rPr>
        <w:t xml:space="preserve"> </w:t>
      </w:r>
      <w:r>
        <w:rPr>
          <w:sz w:val="20"/>
        </w:rPr>
        <w:t>víctimas</w:t>
      </w:r>
      <w:r>
        <w:rPr>
          <w:spacing w:val="-13"/>
          <w:sz w:val="20"/>
        </w:rPr>
        <w:t xml:space="preserve"> </w:t>
      </w:r>
      <w:r>
        <w:rPr>
          <w:sz w:val="20"/>
        </w:rPr>
        <w:t>del</w:t>
      </w:r>
      <w:r>
        <w:rPr>
          <w:spacing w:val="-11"/>
          <w:sz w:val="20"/>
        </w:rPr>
        <w:t xml:space="preserve"> </w:t>
      </w:r>
      <w:r>
        <w:rPr>
          <w:sz w:val="20"/>
        </w:rPr>
        <w:t>caso, a aceptar un trabajo en condiciones que ponían en riesgo su vida e integridad, así como la de sus hijas e hijos menores de</w:t>
      </w:r>
      <w:r>
        <w:rPr>
          <w:spacing w:val="-12"/>
          <w:sz w:val="20"/>
        </w:rPr>
        <w:t xml:space="preserve"> </w:t>
      </w:r>
      <w:r>
        <w:rPr>
          <w:sz w:val="20"/>
        </w:rPr>
        <w:t>edad</w:t>
      </w:r>
      <w:hyperlink w:anchor="_bookmark514" w:history="1">
        <w:r>
          <w:rPr>
            <w:position w:val="7"/>
            <w:sz w:val="13"/>
          </w:rPr>
          <w:t>2</w:t>
        </w:r>
      </w:hyperlink>
      <w:r>
        <w:rPr>
          <w:sz w:val="20"/>
        </w:rPr>
        <w:t>.</w:t>
      </w:r>
    </w:p>
    <w:p w14:paraId="34326326" w14:textId="77777777" w:rsidR="00467FCA" w:rsidRDefault="00467FCA">
      <w:pPr>
        <w:pStyle w:val="Textoindependiente"/>
        <w:spacing w:before="11"/>
        <w:rPr>
          <w:sz w:val="19"/>
        </w:rPr>
      </w:pPr>
    </w:p>
    <w:p w14:paraId="0C127E27" w14:textId="77777777" w:rsidR="00467FCA" w:rsidRDefault="001B68EB">
      <w:pPr>
        <w:pStyle w:val="Prrafodelista"/>
        <w:numPr>
          <w:ilvl w:val="0"/>
          <w:numId w:val="32"/>
        </w:numPr>
        <w:tabs>
          <w:tab w:val="left" w:pos="810"/>
        </w:tabs>
        <w:ind w:right="116" w:firstLine="0"/>
        <w:jc w:val="both"/>
        <w:rPr>
          <w:sz w:val="20"/>
        </w:rPr>
      </w:pPr>
      <w:r>
        <w:rPr>
          <w:sz w:val="20"/>
        </w:rPr>
        <w:t>La</w:t>
      </w:r>
      <w:r>
        <w:rPr>
          <w:spacing w:val="-12"/>
          <w:sz w:val="20"/>
        </w:rPr>
        <w:t xml:space="preserve"> </w:t>
      </w:r>
      <w:r>
        <w:rPr>
          <w:sz w:val="20"/>
        </w:rPr>
        <w:t>sentencia,</w:t>
      </w:r>
      <w:r>
        <w:rPr>
          <w:spacing w:val="-12"/>
          <w:sz w:val="20"/>
        </w:rPr>
        <w:t xml:space="preserve"> </w:t>
      </w:r>
      <w:r>
        <w:rPr>
          <w:sz w:val="20"/>
        </w:rPr>
        <w:t>asimismo,</w:t>
      </w:r>
      <w:r>
        <w:rPr>
          <w:spacing w:val="-12"/>
          <w:sz w:val="20"/>
        </w:rPr>
        <w:t xml:space="preserve"> </w:t>
      </w:r>
      <w:r>
        <w:rPr>
          <w:sz w:val="20"/>
        </w:rPr>
        <w:t>consideró</w:t>
      </w:r>
      <w:r>
        <w:rPr>
          <w:spacing w:val="-16"/>
          <w:sz w:val="20"/>
        </w:rPr>
        <w:t xml:space="preserve"> </w:t>
      </w:r>
      <w:r>
        <w:rPr>
          <w:sz w:val="20"/>
        </w:rPr>
        <w:t>que</w:t>
      </w:r>
      <w:r>
        <w:rPr>
          <w:spacing w:val="-15"/>
          <w:sz w:val="20"/>
        </w:rPr>
        <w:t xml:space="preserve"> </w:t>
      </w:r>
      <w:r>
        <w:rPr>
          <w:sz w:val="20"/>
        </w:rPr>
        <w:t>las</w:t>
      </w:r>
      <w:r>
        <w:rPr>
          <w:spacing w:val="-15"/>
          <w:sz w:val="20"/>
        </w:rPr>
        <w:t xml:space="preserve"> </w:t>
      </w:r>
      <w:r>
        <w:rPr>
          <w:sz w:val="20"/>
        </w:rPr>
        <w:t>trabajadoras</w:t>
      </w:r>
      <w:r>
        <w:rPr>
          <w:spacing w:val="-15"/>
          <w:sz w:val="20"/>
        </w:rPr>
        <w:t xml:space="preserve"> </w:t>
      </w:r>
      <w:r>
        <w:rPr>
          <w:sz w:val="20"/>
        </w:rPr>
        <w:t>de</w:t>
      </w:r>
      <w:r>
        <w:rPr>
          <w:spacing w:val="-13"/>
          <w:sz w:val="20"/>
        </w:rPr>
        <w:t xml:space="preserve"> </w:t>
      </w:r>
      <w:r>
        <w:rPr>
          <w:sz w:val="20"/>
        </w:rPr>
        <w:t>la</w:t>
      </w:r>
      <w:r>
        <w:rPr>
          <w:spacing w:val="-12"/>
          <w:sz w:val="20"/>
        </w:rPr>
        <w:t xml:space="preserve"> </w:t>
      </w:r>
      <w:r>
        <w:rPr>
          <w:sz w:val="20"/>
        </w:rPr>
        <w:t>fábrica</w:t>
      </w:r>
      <w:r>
        <w:rPr>
          <w:spacing w:val="-14"/>
          <w:sz w:val="20"/>
        </w:rPr>
        <w:t xml:space="preserve"> </w:t>
      </w:r>
      <w:r>
        <w:rPr>
          <w:sz w:val="20"/>
        </w:rPr>
        <w:t>no</w:t>
      </w:r>
      <w:r>
        <w:rPr>
          <w:spacing w:val="-15"/>
          <w:sz w:val="20"/>
        </w:rPr>
        <w:t xml:space="preserve"> </w:t>
      </w:r>
      <w:r>
        <w:rPr>
          <w:sz w:val="20"/>
        </w:rPr>
        <w:t>tenían otra</w:t>
      </w:r>
      <w:r>
        <w:rPr>
          <w:spacing w:val="-15"/>
          <w:sz w:val="20"/>
        </w:rPr>
        <w:t xml:space="preserve"> </w:t>
      </w:r>
      <w:r>
        <w:rPr>
          <w:sz w:val="20"/>
        </w:rPr>
        <w:t>alt</w:t>
      </w:r>
      <w:r>
        <w:rPr>
          <w:sz w:val="20"/>
        </w:rPr>
        <w:t>ernativa</w:t>
      </w:r>
      <w:r>
        <w:rPr>
          <w:spacing w:val="-16"/>
          <w:sz w:val="20"/>
        </w:rPr>
        <w:t xml:space="preserve"> </w:t>
      </w:r>
      <w:r>
        <w:rPr>
          <w:sz w:val="20"/>
        </w:rPr>
        <w:t>de</w:t>
      </w:r>
      <w:r>
        <w:rPr>
          <w:spacing w:val="-18"/>
          <w:sz w:val="20"/>
        </w:rPr>
        <w:t xml:space="preserve"> </w:t>
      </w:r>
      <w:r>
        <w:rPr>
          <w:sz w:val="20"/>
        </w:rPr>
        <w:t>trabajo</w:t>
      </w:r>
      <w:r>
        <w:rPr>
          <w:spacing w:val="-18"/>
          <w:sz w:val="20"/>
        </w:rPr>
        <w:t xml:space="preserve"> </w:t>
      </w:r>
      <w:r>
        <w:rPr>
          <w:sz w:val="20"/>
        </w:rPr>
        <w:t>diferente</w:t>
      </w:r>
      <w:r>
        <w:rPr>
          <w:spacing w:val="-16"/>
          <w:sz w:val="20"/>
        </w:rPr>
        <w:t xml:space="preserve"> </w:t>
      </w:r>
      <w:r>
        <w:rPr>
          <w:sz w:val="20"/>
        </w:rPr>
        <w:t>a</w:t>
      </w:r>
      <w:r>
        <w:rPr>
          <w:spacing w:val="-16"/>
          <w:sz w:val="20"/>
        </w:rPr>
        <w:t xml:space="preserve"> </w:t>
      </w:r>
      <w:r>
        <w:rPr>
          <w:sz w:val="20"/>
        </w:rPr>
        <w:t>la</w:t>
      </w:r>
      <w:r>
        <w:rPr>
          <w:spacing w:val="-14"/>
          <w:sz w:val="20"/>
        </w:rPr>
        <w:t xml:space="preserve"> </w:t>
      </w:r>
      <w:r>
        <w:rPr>
          <w:sz w:val="20"/>
        </w:rPr>
        <w:t>fabricación</w:t>
      </w:r>
      <w:r>
        <w:rPr>
          <w:spacing w:val="-16"/>
          <w:sz w:val="20"/>
        </w:rPr>
        <w:t xml:space="preserve"> </w:t>
      </w:r>
      <w:r>
        <w:rPr>
          <w:sz w:val="20"/>
        </w:rPr>
        <w:t>de</w:t>
      </w:r>
      <w:r>
        <w:rPr>
          <w:spacing w:val="-15"/>
          <w:sz w:val="20"/>
        </w:rPr>
        <w:t xml:space="preserve"> </w:t>
      </w:r>
      <w:r>
        <w:rPr>
          <w:sz w:val="20"/>
        </w:rPr>
        <w:t>fuegos</w:t>
      </w:r>
      <w:r>
        <w:rPr>
          <w:spacing w:val="-17"/>
          <w:sz w:val="20"/>
        </w:rPr>
        <w:t xml:space="preserve"> </w:t>
      </w:r>
      <w:r>
        <w:rPr>
          <w:sz w:val="20"/>
        </w:rPr>
        <w:t>artificiales</w:t>
      </w:r>
      <w:hyperlink w:anchor="_bookmark515" w:history="1">
        <w:r>
          <w:rPr>
            <w:position w:val="7"/>
            <w:sz w:val="13"/>
          </w:rPr>
          <w:t>3</w:t>
        </w:r>
      </w:hyperlink>
      <w:r>
        <w:rPr>
          <w:sz w:val="20"/>
        </w:rPr>
        <w:t>,</w:t>
      </w:r>
      <w:r>
        <w:rPr>
          <w:spacing w:val="-15"/>
          <w:sz w:val="20"/>
        </w:rPr>
        <w:t xml:space="preserve"> </w:t>
      </w:r>
      <w:r>
        <w:rPr>
          <w:sz w:val="20"/>
        </w:rPr>
        <w:t>y</w:t>
      </w:r>
      <w:r>
        <w:rPr>
          <w:spacing w:val="-15"/>
          <w:sz w:val="20"/>
        </w:rPr>
        <w:t xml:space="preserve"> </w:t>
      </w:r>
      <w:r>
        <w:rPr>
          <w:sz w:val="20"/>
        </w:rPr>
        <w:t>concluyó que, al no haber fiscalizado la actividad peligrosa llevada a cabo en la fábrica, así como sus condiciones de trabajo – “trabajaban en condiciones de precariedad, insalubridad e inseguridad, en carpas ubicadas en potreros […]; [n]unca recibieron i</w:t>
      </w:r>
      <w:r>
        <w:rPr>
          <w:sz w:val="20"/>
        </w:rPr>
        <w:t>nstrucción alguna sobre medidas de seguridad, ni elementos de protección para la realización del trabajo”</w:t>
      </w:r>
      <w:hyperlink w:anchor="_bookmark516" w:history="1">
        <w:r>
          <w:rPr>
            <w:position w:val="7"/>
            <w:sz w:val="13"/>
          </w:rPr>
          <w:t>4</w:t>
        </w:r>
      </w:hyperlink>
      <w:r>
        <w:rPr>
          <w:position w:val="7"/>
          <w:sz w:val="13"/>
        </w:rPr>
        <w:t xml:space="preserve"> </w:t>
      </w:r>
      <w:r>
        <w:rPr>
          <w:sz w:val="20"/>
        </w:rPr>
        <w:t>– el Estado de Brasil violó el derecho a condiciones equitativas y satisfactorias que garanticen la seguridad, la sal</w:t>
      </w:r>
      <w:r>
        <w:rPr>
          <w:sz w:val="20"/>
        </w:rPr>
        <w:t>ud y la higiene en el trabajo, contenido en el artículo 26 de la Convención</w:t>
      </w:r>
      <w:r>
        <w:rPr>
          <w:spacing w:val="-6"/>
          <w:sz w:val="20"/>
        </w:rPr>
        <w:t xml:space="preserve"> </w:t>
      </w:r>
      <w:r>
        <w:rPr>
          <w:sz w:val="20"/>
        </w:rPr>
        <w:t>Americana.</w:t>
      </w:r>
    </w:p>
    <w:p w14:paraId="3C7E4D60" w14:textId="77777777" w:rsidR="00467FCA" w:rsidRDefault="00467FCA">
      <w:pPr>
        <w:pStyle w:val="Textoindependiente"/>
      </w:pPr>
    </w:p>
    <w:p w14:paraId="546B1FFC" w14:textId="77777777" w:rsidR="00467FCA" w:rsidRDefault="001B68EB">
      <w:pPr>
        <w:pStyle w:val="Prrafodelista"/>
        <w:numPr>
          <w:ilvl w:val="0"/>
          <w:numId w:val="32"/>
        </w:numPr>
        <w:tabs>
          <w:tab w:val="left" w:pos="810"/>
        </w:tabs>
        <w:ind w:right="115" w:firstLine="0"/>
        <w:jc w:val="both"/>
        <w:rPr>
          <w:sz w:val="20"/>
        </w:rPr>
      </w:pPr>
      <w:r>
        <w:rPr>
          <w:sz w:val="20"/>
        </w:rPr>
        <w:t>En virtud de los elementos señalados, que hacen parte del acervo probatorio del caso, respecto de la permanencia de la condición de vulnerabilidad de las personas que s</w:t>
      </w:r>
      <w:r>
        <w:rPr>
          <w:sz w:val="20"/>
        </w:rPr>
        <w:t>e dedican a la fabricación de fuegos artificiales en Santo Antônio de Jesus, en la sentencia se ordenó al Estado diseñar y ejecutar un programa de desarrollo socioeconómico especialmente destinado para la población de aquella ciudad. La Corte determinó que</w:t>
      </w:r>
      <w:r>
        <w:rPr>
          <w:sz w:val="20"/>
        </w:rPr>
        <w:t xml:space="preserve"> ese programa, considerando las principales actividades económicas de la región y la eventual necesidad de incentivar otras actividades, debe traer soluciones a la falta de alternativas de trabajo, “especialmente para las y los jóvenes mayores de 16 años y</w:t>
      </w:r>
      <w:r>
        <w:rPr>
          <w:sz w:val="20"/>
        </w:rPr>
        <w:t xml:space="preserve"> mujeres afrodescendientes que viven en condición de pobreza”. Además, estableció que el programa debe incluir “cursos de capacitación profesional y/o técnicos que</w:t>
      </w:r>
      <w:r>
        <w:rPr>
          <w:spacing w:val="-44"/>
          <w:sz w:val="20"/>
        </w:rPr>
        <w:t xml:space="preserve"> </w:t>
      </w:r>
      <w:r>
        <w:rPr>
          <w:sz w:val="20"/>
        </w:rPr>
        <w:t>permitan la</w:t>
      </w:r>
      <w:r>
        <w:rPr>
          <w:spacing w:val="-21"/>
          <w:sz w:val="20"/>
        </w:rPr>
        <w:t xml:space="preserve"> </w:t>
      </w:r>
      <w:r>
        <w:rPr>
          <w:sz w:val="20"/>
        </w:rPr>
        <w:t>inserción</w:t>
      </w:r>
      <w:r>
        <w:rPr>
          <w:spacing w:val="-19"/>
          <w:sz w:val="20"/>
        </w:rPr>
        <w:t xml:space="preserve"> </w:t>
      </w:r>
      <w:r>
        <w:rPr>
          <w:sz w:val="20"/>
        </w:rPr>
        <w:t>de</w:t>
      </w:r>
      <w:r>
        <w:rPr>
          <w:spacing w:val="-5"/>
          <w:sz w:val="20"/>
        </w:rPr>
        <w:t xml:space="preserve"> </w:t>
      </w:r>
      <w:r>
        <w:rPr>
          <w:sz w:val="20"/>
        </w:rPr>
        <w:t>trabajadoras</w:t>
      </w:r>
      <w:r>
        <w:rPr>
          <w:spacing w:val="-21"/>
          <w:sz w:val="20"/>
        </w:rPr>
        <w:t xml:space="preserve"> </w:t>
      </w:r>
      <w:r>
        <w:rPr>
          <w:sz w:val="20"/>
        </w:rPr>
        <w:t>y</w:t>
      </w:r>
      <w:r>
        <w:rPr>
          <w:spacing w:val="-20"/>
          <w:sz w:val="20"/>
        </w:rPr>
        <w:t xml:space="preserve"> </w:t>
      </w:r>
      <w:r>
        <w:rPr>
          <w:sz w:val="20"/>
        </w:rPr>
        <w:t>trabajadores</w:t>
      </w:r>
      <w:r>
        <w:rPr>
          <w:spacing w:val="-19"/>
          <w:sz w:val="20"/>
        </w:rPr>
        <w:t xml:space="preserve"> </w:t>
      </w:r>
      <w:r>
        <w:rPr>
          <w:sz w:val="20"/>
        </w:rPr>
        <w:t>en</w:t>
      </w:r>
      <w:r>
        <w:rPr>
          <w:spacing w:val="-19"/>
          <w:sz w:val="20"/>
        </w:rPr>
        <w:t xml:space="preserve"> </w:t>
      </w:r>
      <w:r>
        <w:rPr>
          <w:sz w:val="20"/>
        </w:rPr>
        <w:t>otros</w:t>
      </w:r>
      <w:r>
        <w:rPr>
          <w:spacing w:val="-18"/>
          <w:sz w:val="20"/>
        </w:rPr>
        <w:t xml:space="preserve"> </w:t>
      </w:r>
      <w:r>
        <w:rPr>
          <w:sz w:val="20"/>
        </w:rPr>
        <w:t>mercados</w:t>
      </w:r>
      <w:r>
        <w:rPr>
          <w:spacing w:val="-19"/>
          <w:sz w:val="20"/>
        </w:rPr>
        <w:t xml:space="preserve"> </w:t>
      </w:r>
      <w:r>
        <w:rPr>
          <w:sz w:val="20"/>
        </w:rPr>
        <w:t>laborales</w:t>
      </w:r>
      <w:r>
        <w:rPr>
          <w:spacing w:val="-18"/>
          <w:sz w:val="20"/>
        </w:rPr>
        <w:t xml:space="preserve"> </w:t>
      </w:r>
      <w:r>
        <w:rPr>
          <w:sz w:val="20"/>
        </w:rPr>
        <w:t>[…];</w:t>
      </w:r>
      <w:r>
        <w:rPr>
          <w:spacing w:val="-19"/>
          <w:sz w:val="20"/>
        </w:rPr>
        <w:t xml:space="preserve"> </w:t>
      </w:r>
      <w:r>
        <w:rPr>
          <w:sz w:val="20"/>
        </w:rPr>
        <w:t>medida</w:t>
      </w:r>
      <w:r>
        <w:rPr>
          <w:sz w:val="20"/>
        </w:rPr>
        <w:t>s orientadas a enfrentar la deserción escolar causada por el ingreso de menores de edad al mercado laboral, y campañas de sensibilización en materia de derechos laborales y riesgos inherentes a la fabricación de fuegos</w:t>
      </w:r>
      <w:r>
        <w:rPr>
          <w:spacing w:val="-8"/>
          <w:sz w:val="20"/>
        </w:rPr>
        <w:t xml:space="preserve"> </w:t>
      </w:r>
      <w:r>
        <w:rPr>
          <w:sz w:val="20"/>
        </w:rPr>
        <w:t>artificiales”</w:t>
      </w:r>
      <w:hyperlink w:anchor="_bookmark517" w:history="1">
        <w:r>
          <w:rPr>
            <w:position w:val="7"/>
            <w:sz w:val="13"/>
          </w:rPr>
          <w:t>5</w:t>
        </w:r>
      </w:hyperlink>
      <w:r>
        <w:rPr>
          <w:sz w:val="20"/>
        </w:rPr>
        <w:t>.</w:t>
      </w:r>
    </w:p>
    <w:p w14:paraId="2CB6E4A9" w14:textId="77777777" w:rsidR="00467FCA" w:rsidRDefault="00467FCA">
      <w:pPr>
        <w:pStyle w:val="Textoindependiente"/>
        <w:spacing w:before="11"/>
        <w:rPr>
          <w:sz w:val="19"/>
        </w:rPr>
      </w:pPr>
    </w:p>
    <w:p w14:paraId="7F6EE043" w14:textId="77777777" w:rsidR="00467FCA" w:rsidRDefault="001B68EB">
      <w:pPr>
        <w:pStyle w:val="Prrafodelista"/>
        <w:numPr>
          <w:ilvl w:val="0"/>
          <w:numId w:val="32"/>
        </w:numPr>
        <w:tabs>
          <w:tab w:val="left" w:pos="810"/>
        </w:tabs>
        <w:ind w:right="118" w:firstLine="0"/>
        <w:jc w:val="both"/>
        <w:rPr>
          <w:sz w:val="20"/>
        </w:rPr>
      </w:pPr>
      <w:r>
        <w:rPr>
          <w:sz w:val="20"/>
        </w:rPr>
        <w:t>Teniendo</w:t>
      </w:r>
      <w:r>
        <w:rPr>
          <w:spacing w:val="-15"/>
          <w:sz w:val="20"/>
        </w:rPr>
        <w:t xml:space="preserve"> </w:t>
      </w:r>
      <w:r>
        <w:rPr>
          <w:sz w:val="20"/>
        </w:rPr>
        <w:t>en</w:t>
      </w:r>
      <w:r>
        <w:rPr>
          <w:spacing w:val="-13"/>
          <w:sz w:val="20"/>
        </w:rPr>
        <w:t xml:space="preserve"> </w:t>
      </w:r>
      <w:r>
        <w:rPr>
          <w:sz w:val="20"/>
        </w:rPr>
        <w:t>cuenta</w:t>
      </w:r>
      <w:r>
        <w:rPr>
          <w:spacing w:val="-16"/>
          <w:sz w:val="20"/>
        </w:rPr>
        <w:t xml:space="preserve"> </w:t>
      </w:r>
      <w:r>
        <w:rPr>
          <w:sz w:val="20"/>
        </w:rPr>
        <w:t>lo</w:t>
      </w:r>
      <w:r>
        <w:rPr>
          <w:spacing w:val="-15"/>
          <w:sz w:val="20"/>
        </w:rPr>
        <w:t xml:space="preserve"> </w:t>
      </w:r>
      <w:r>
        <w:rPr>
          <w:sz w:val="20"/>
        </w:rPr>
        <w:t>anterior,</w:t>
      </w:r>
      <w:r>
        <w:rPr>
          <w:spacing w:val="-16"/>
          <w:sz w:val="20"/>
        </w:rPr>
        <w:t xml:space="preserve"> </w:t>
      </w:r>
      <w:r>
        <w:rPr>
          <w:sz w:val="20"/>
        </w:rPr>
        <w:t>así</w:t>
      </w:r>
      <w:r>
        <w:rPr>
          <w:spacing w:val="-16"/>
          <w:sz w:val="20"/>
        </w:rPr>
        <w:t xml:space="preserve"> </w:t>
      </w:r>
      <w:r>
        <w:rPr>
          <w:sz w:val="20"/>
        </w:rPr>
        <w:t>como</w:t>
      </w:r>
      <w:r>
        <w:rPr>
          <w:spacing w:val="-15"/>
          <w:sz w:val="20"/>
        </w:rPr>
        <w:t xml:space="preserve"> </w:t>
      </w:r>
      <w:r>
        <w:rPr>
          <w:sz w:val="20"/>
        </w:rPr>
        <w:t>la</w:t>
      </w:r>
      <w:r>
        <w:rPr>
          <w:spacing w:val="-16"/>
          <w:sz w:val="20"/>
        </w:rPr>
        <w:t xml:space="preserve"> </w:t>
      </w:r>
      <w:r>
        <w:rPr>
          <w:sz w:val="20"/>
        </w:rPr>
        <w:t>medida</w:t>
      </w:r>
      <w:r>
        <w:rPr>
          <w:spacing w:val="-16"/>
          <w:sz w:val="20"/>
        </w:rPr>
        <w:t xml:space="preserve"> </w:t>
      </w:r>
      <w:r>
        <w:rPr>
          <w:sz w:val="20"/>
        </w:rPr>
        <w:t>de</w:t>
      </w:r>
      <w:r>
        <w:rPr>
          <w:spacing w:val="-16"/>
          <w:sz w:val="20"/>
        </w:rPr>
        <w:t xml:space="preserve"> </w:t>
      </w:r>
      <w:r>
        <w:rPr>
          <w:sz w:val="20"/>
        </w:rPr>
        <w:t>reparación</w:t>
      </w:r>
      <w:r>
        <w:rPr>
          <w:spacing w:val="-15"/>
          <w:sz w:val="20"/>
        </w:rPr>
        <w:t xml:space="preserve"> </w:t>
      </w:r>
      <w:r>
        <w:rPr>
          <w:sz w:val="20"/>
        </w:rPr>
        <w:t>dictada</w:t>
      </w:r>
      <w:r>
        <w:rPr>
          <w:spacing w:val="-16"/>
          <w:sz w:val="20"/>
        </w:rPr>
        <w:t xml:space="preserve"> </w:t>
      </w:r>
      <w:r>
        <w:rPr>
          <w:sz w:val="20"/>
        </w:rPr>
        <w:t>para que el Estado de Brasil pueda emprender con medidas eficaces tendientes a solucionar y superar, en el mediano y largo plazo, las condiciones y el contexto en que estaban insertas las trabajadoras y trabajadores de la fábrica de fuegos; situación</w:t>
      </w:r>
      <w:r>
        <w:rPr>
          <w:spacing w:val="-5"/>
          <w:sz w:val="20"/>
        </w:rPr>
        <w:t xml:space="preserve"> </w:t>
      </w:r>
      <w:r>
        <w:rPr>
          <w:sz w:val="20"/>
        </w:rPr>
        <w:t>y</w:t>
      </w:r>
      <w:r>
        <w:rPr>
          <w:spacing w:val="-6"/>
          <w:sz w:val="20"/>
        </w:rPr>
        <w:t xml:space="preserve"> </w:t>
      </w:r>
      <w:r>
        <w:rPr>
          <w:sz w:val="20"/>
        </w:rPr>
        <w:t>con</w:t>
      </w:r>
      <w:r>
        <w:rPr>
          <w:sz w:val="20"/>
        </w:rPr>
        <w:t>diciones,</w:t>
      </w:r>
      <w:r>
        <w:rPr>
          <w:spacing w:val="-4"/>
          <w:sz w:val="20"/>
        </w:rPr>
        <w:t xml:space="preserve"> </w:t>
      </w:r>
      <w:r>
        <w:rPr>
          <w:sz w:val="20"/>
        </w:rPr>
        <w:t>que</w:t>
      </w:r>
      <w:r>
        <w:rPr>
          <w:spacing w:val="-9"/>
          <w:sz w:val="20"/>
        </w:rPr>
        <w:t xml:space="preserve"> </w:t>
      </w:r>
      <w:r>
        <w:rPr>
          <w:sz w:val="20"/>
        </w:rPr>
        <w:t>por</w:t>
      </w:r>
      <w:r>
        <w:rPr>
          <w:spacing w:val="-6"/>
          <w:sz w:val="20"/>
        </w:rPr>
        <w:t xml:space="preserve"> </w:t>
      </w:r>
      <w:r>
        <w:rPr>
          <w:sz w:val="20"/>
        </w:rPr>
        <w:t>otro</w:t>
      </w:r>
      <w:r>
        <w:rPr>
          <w:spacing w:val="-7"/>
          <w:sz w:val="20"/>
        </w:rPr>
        <w:t xml:space="preserve"> </w:t>
      </w:r>
      <w:r>
        <w:rPr>
          <w:sz w:val="20"/>
        </w:rPr>
        <w:t>lado,</w:t>
      </w:r>
      <w:r>
        <w:rPr>
          <w:spacing w:val="-6"/>
          <w:sz w:val="20"/>
        </w:rPr>
        <w:t xml:space="preserve"> </w:t>
      </w:r>
      <w:r>
        <w:rPr>
          <w:sz w:val="20"/>
        </w:rPr>
        <w:t>persisten</w:t>
      </w:r>
      <w:r>
        <w:rPr>
          <w:spacing w:val="-4"/>
          <w:sz w:val="20"/>
        </w:rPr>
        <w:t xml:space="preserve"> </w:t>
      </w:r>
      <w:r>
        <w:rPr>
          <w:sz w:val="20"/>
        </w:rPr>
        <w:t>en</w:t>
      </w:r>
      <w:r>
        <w:rPr>
          <w:spacing w:val="-7"/>
          <w:sz w:val="20"/>
        </w:rPr>
        <w:t xml:space="preserve"> </w:t>
      </w:r>
      <w:r>
        <w:rPr>
          <w:sz w:val="20"/>
        </w:rPr>
        <w:t>la</w:t>
      </w:r>
      <w:r>
        <w:rPr>
          <w:spacing w:val="-5"/>
          <w:sz w:val="20"/>
        </w:rPr>
        <w:t xml:space="preserve"> </w:t>
      </w:r>
      <w:r>
        <w:rPr>
          <w:sz w:val="20"/>
        </w:rPr>
        <w:t>zona</w:t>
      </w:r>
      <w:r>
        <w:rPr>
          <w:spacing w:val="-4"/>
          <w:sz w:val="20"/>
        </w:rPr>
        <w:t xml:space="preserve"> </w:t>
      </w:r>
      <w:r>
        <w:rPr>
          <w:sz w:val="20"/>
        </w:rPr>
        <w:t>de</w:t>
      </w:r>
      <w:r>
        <w:rPr>
          <w:spacing w:val="-9"/>
          <w:sz w:val="20"/>
        </w:rPr>
        <w:t xml:space="preserve"> </w:t>
      </w:r>
      <w:r>
        <w:rPr>
          <w:sz w:val="20"/>
        </w:rPr>
        <w:t>los</w:t>
      </w:r>
      <w:r>
        <w:rPr>
          <w:spacing w:val="-6"/>
          <w:sz w:val="20"/>
        </w:rPr>
        <w:t xml:space="preserve"> </w:t>
      </w:r>
      <w:r>
        <w:rPr>
          <w:sz w:val="20"/>
        </w:rPr>
        <w:t>hechos,</w:t>
      </w:r>
      <w:r>
        <w:rPr>
          <w:spacing w:val="-6"/>
          <w:sz w:val="20"/>
        </w:rPr>
        <w:t xml:space="preserve"> </w:t>
      </w:r>
      <w:r>
        <w:rPr>
          <w:sz w:val="20"/>
        </w:rPr>
        <w:t>y,</w:t>
      </w:r>
      <w:r>
        <w:rPr>
          <w:spacing w:val="-4"/>
          <w:sz w:val="20"/>
        </w:rPr>
        <w:t xml:space="preserve"> </w:t>
      </w:r>
      <w:r>
        <w:rPr>
          <w:sz w:val="20"/>
        </w:rPr>
        <w:t>con</w:t>
      </w:r>
    </w:p>
    <w:p w14:paraId="5B9E655F" w14:textId="77777777" w:rsidR="00467FCA" w:rsidRDefault="001B68EB">
      <w:pPr>
        <w:pStyle w:val="Textoindependiente"/>
        <w:spacing w:before="10"/>
        <w:rPr>
          <w:sz w:val="19"/>
        </w:rPr>
      </w:pPr>
      <w:r>
        <w:pict w14:anchorId="7EF0AAB9">
          <v:shape id="_x0000_s1112" style="position:absolute;margin-left:85.1pt;margin-top:14.3pt;width:2in;height:.1pt;z-index:-251572224;mso-wrap-distance-left:0;mso-wrap-distance-right:0;mso-position-horizontal-relative:page" coordorigin="1702,286" coordsize="2880,0" path="m1702,286r2880,e" filled="f" strokeweight=".6pt">
            <v:path arrowok="t"/>
            <w10:wrap type="topAndBottom" anchorx="page"/>
          </v:shape>
        </w:pict>
      </w:r>
    </w:p>
    <w:p w14:paraId="66A3D13D" w14:textId="77777777" w:rsidR="00467FCA" w:rsidRDefault="001B68EB">
      <w:pPr>
        <w:tabs>
          <w:tab w:val="left" w:pos="809"/>
        </w:tabs>
        <w:spacing w:before="74"/>
        <w:ind w:left="101"/>
        <w:rPr>
          <w:sz w:val="16"/>
        </w:rPr>
      </w:pPr>
      <w:bookmarkStart w:id="591" w:name="_bookmark513"/>
      <w:bookmarkEnd w:id="591"/>
      <w:r>
        <w:rPr>
          <w:position w:val="6"/>
          <w:sz w:val="10"/>
        </w:rPr>
        <w:t>1</w:t>
      </w:r>
      <w:r>
        <w:rPr>
          <w:position w:val="6"/>
          <w:sz w:val="10"/>
        </w:rPr>
        <w:tab/>
      </w:r>
      <w:bookmarkStart w:id="592" w:name="_bookmark514"/>
      <w:bookmarkEnd w:id="592"/>
      <w:r>
        <w:rPr>
          <w:sz w:val="16"/>
        </w:rPr>
        <w:t>Párrafos 70, 91, 183, 185-191, 197, 200, 201 y</w:t>
      </w:r>
      <w:r>
        <w:rPr>
          <w:spacing w:val="-15"/>
          <w:sz w:val="16"/>
        </w:rPr>
        <w:t xml:space="preserve"> </w:t>
      </w:r>
      <w:r>
        <w:rPr>
          <w:sz w:val="16"/>
        </w:rPr>
        <w:t>203.</w:t>
      </w:r>
    </w:p>
    <w:p w14:paraId="359F084C" w14:textId="77777777" w:rsidR="00467FCA" w:rsidRDefault="001B68EB">
      <w:pPr>
        <w:tabs>
          <w:tab w:val="left" w:pos="809"/>
        </w:tabs>
        <w:ind w:left="101"/>
        <w:rPr>
          <w:sz w:val="16"/>
        </w:rPr>
      </w:pPr>
      <w:r>
        <w:rPr>
          <w:position w:val="6"/>
          <w:sz w:val="10"/>
        </w:rPr>
        <w:t>2</w:t>
      </w:r>
      <w:r>
        <w:rPr>
          <w:position w:val="6"/>
          <w:sz w:val="10"/>
        </w:rPr>
        <w:tab/>
      </w:r>
      <w:r>
        <w:rPr>
          <w:sz w:val="16"/>
        </w:rPr>
        <w:t>Párrafo</w:t>
      </w:r>
      <w:r>
        <w:rPr>
          <w:spacing w:val="1"/>
          <w:sz w:val="16"/>
        </w:rPr>
        <w:t xml:space="preserve"> </w:t>
      </w:r>
      <w:r>
        <w:rPr>
          <w:sz w:val="16"/>
        </w:rPr>
        <w:t>203.</w:t>
      </w:r>
    </w:p>
    <w:p w14:paraId="310E1E1B" w14:textId="77777777" w:rsidR="00467FCA" w:rsidRDefault="001B68EB">
      <w:pPr>
        <w:tabs>
          <w:tab w:val="left" w:pos="809"/>
        </w:tabs>
        <w:ind w:left="101"/>
        <w:rPr>
          <w:sz w:val="16"/>
        </w:rPr>
      </w:pPr>
      <w:bookmarkStart w:id="593" w:name="_bookmark515"/>
      <w:bookmarkEnd w:id="593"/>
      <w:r>
        <w:rPr>
          <w:position w:val="6"/>
          <w:sz w:val="10"/>
        </w:rPr>
        <w:t>3</w:t>
      </w:r>
      <w:r>
        <w:rPr>
          <w:position w:val="6"/>
          <w:sz w:val="10"/>
        </w:rPr>
        <w:tab/>
      </w:r>
      <w:r>
        <w:rPr>
          <w:sz w:val="16"/>
        </w:rPr>
        <w:t>Párrafo</w:t>
      </w:r>
      <w:r>
        <w:rPr>
          <w:spacing w:val="1"/>
          <w:sz w:val="16"/>
        </w:rPr>
        <w:t xml:space="preserve"> </w:t>
      </w:r>
      <w:r>
        <w:rPr>
          <w:sz w:val="16"/>
        </w:rPr>
        <w:t>188.</w:t>
      </w:r>
    </w:p>
    <w:p w14:paraId="05A5CB21" w14:textId="77777777" w:rsidR="00467FCA" w:rsidRDefault="001B68EB">
      <w:pPr>
        <w:tabs>
          <w:tab w:val="left" w:pos="809"/>
        </w:tabs>
        <w:ind w:left="101"/>
        <w:rPr>
          <w:sz w:val="16"/>
        </w:rPr>
      </w:pPr>
      <w:bookmarkStart w:id="594" w:name="_bookmark516"/>
      <w:bookmarkEnd w:id="594"/>
      <w:r>
        <w:rPr>
          <w:position w:val="6"/>
          <w:sz w:val="10"/>
        </w:rPr>
        <w:t>4</w:t>
      </w:r>
      <w:r>
        <w:rPr>
          <w:position w:val="6"/>
          <w:sz w:val="10"/>
        </w:rPr>
        <w:tab/>
      </w:r>
      <w:r>
        <w:rPr>
          <w:sz w:val="16"/>
        </w:rPr>
        <w:t>Párrafo</w:t>
      </w:r>
      <w:r>
        <w:rPr>
          <w:spacing w:val="1"/>
          <w:sz w:val="16"/>
        </w:rPr>
        <w:t xml:space="preserve"> </w:t>
      </w:r>
      <w:r>
        <w:rPr>
          <w:sz w:val="16"/>
        </w:rPr>
        <w:t>175.</w:t>
      </w:r>
    </w:p>
    <w:p w14:paraId="446E51E2" w14:textId="77777777" w:rsidR="00467FCA" w:rsidRDefault="001B68EB">
      <w:pPr>
        <w:tabs>
          <w:tab w:val="left" w:pos="809"/>
        </w:tabs>
        <w:ind w:left="101"/>
        <w:rPr>
          <w:sz w:val="16"/>
        </w:rPr>
      </w:pPr>
      <w:bookmarkStart w:id="595" w:name="_bookmark517"/>
      <w:bookmarkEnd w:id="595"/>
      <w:r>
        <w:rPr>
          <w:position w:val="6"/>
          <w:sz w:val="10"/>
        </w:rPr>
        <w:t>5</w:t>
      </w:r>
      <w:r>
        <w:rPr>
          <w:position w:val="6"/>
          <w:sz w:val="10"/>
        </w:rPr>
        <w:tab/>
      </w:r>
      <w:r>
        <w:rPr>
          <w:sz w:val="16"/>
        </w:rPr>
        <w:t>Párrafos 289 y</w:t>
      </w:r>
      <w:r>
        <w:rPr>
          <w:spacing w:val="-2"/>
          <w:sz w:val="16"/>
        </w:rPr>
        <w:t xml:space="preserve"> </w:t>
      </w:r>
      <w:r>
        <w:rPr>
          <w:sz w:val="16"/>
        </w:rPr>
        <w:t>290.</w:t>
      </w:r>
    </w:p>
    <w:p w14:paraId="57481AF9" w14:textId="77777777" w:rsidR="00467FCA" w:rsidRDefault="00467FCA">
      <w:pPr>
        <w:rPr>
          <w:sz w:val="16"/>
        </w:rPr>
        <w:sectPr w:rsidR="00467FCA">
          <w:footerReference w:type="default" r:id="rId43"/>
          <w:pgSz w:w="11900" w:h="16850"/>
          <w:pgMar w:top="1340" w:right="1580" w:bottom="280" w:left="1600" w:header="0" w:footer="0" w:gutter="0"/>
          <w:cols w:space="720"/>
        </w:sectPr>
      </w:pPr>
    </w:p>
    <w:p w14:paraId="043FB46D" w14:textId="77777777" w:rsidR="00467FCA" w:rsidRDefault="001B68EB">
      <w:pPr>
        <w:pStyle w:val="Textoindependiente"/>
        <w:spacing w:before="75"/>
        <w:ind w:left="101" w:right="117"/>
        <w:jc w:val="both"/>
      </w:pPr>
      <w:r>
        <w:t>el propósito de evitar que violaciones como las cometidas en el caso vuelvan a repetirse, emito el presente voto concurrente con el objetivo de reforzar la responsabilidad que tiene el Estado del Brasil y sus servidores públicos, particularmente en los res</w:t>
      </w:r>
      <w:r>
        <w:t>pectivos niveles gubernamentales concernidos en la implementación</w:t>
      </w:r>
      <w:r>
        <w:rPr>
          <w:spacing w:val="-10"/>
        </w:rPr>
        <w:t xml:space="preserve"> </w:t>
      </w:r>
      <w:r>
        <w:t>y</w:t>
      </w:r>
      <w:r>
        <w:rPr>
          <w:spacing w:val="-12"/>
        </w:rPr>
        <w:t xml:space="preserve"> </w:t>
      </w:r>
      <w:r>
        <w:t>ejecución</w:t>
      </w:r>
      <w:r>
        <w:rPr>
          <w:spacing w:val="-10"/>
        </w:rPr>
        <w:t xml:space="preserve"> </w:t>
      </w:r>
      <w:r>
        <w:t>de</w:t>
      </w:r>
      <w:r>
        <w:rPr>
          <w:spacing w:val="-11"/>
        </w:rPr>
        <w:t xml:space="preserve"> </w:t>
      </w:r>
      <w:r>
        <w:t>la</w:t>
      </w:r>
      <w:r>
        <w:rPr>
          <w:spacing w:val="-9"/>
        </w:rPr>
        <w:t xml:space="preserve"> </w:t>
      </w:r>
      <w:r>
        <w:t>sentencia</w:t>
      </w:r>
      <w:r>
        <w:rPr>
          <w:spacing w:val="-11"/>
        </w:rPr>
        <w:t xml:space="preserve"> </w:t>
      </w:r>
      <w:r>
        <w:t>y</w:t>
      </w:r>
      <w:r>
        <w:rPr>
          <w:spacing w:val="-11"/>
        </w:rPr>
        <w:t xml:space="preserve"> </w:t>
      </w:r>
      <w:r>
        <w:t>las</w:t>
      </w:r>
      <w:r>
        <w:rPr>
          <w:spacing w:val="-12"/>
        </w:rPr>
        <w:t xml:space="preserve"> </w:t>
      </w:r>
      <w:r>
        <w:t>medidas</w:t>
      </w:r>
      <w:r>
        <w:rPr>
          <w:spacing w:val="-12"/>
        </w:rPr>
        <w:t xml:space="preserve"> </w:t>
      </w:r>
      <w:r>
        <w:t>de</w:t>
      </w:r>
      <w:r>
        <w:rPr>
          <w:spacing w:val="-9"/>
        </w:rPr>
        <w:t xml:space="preserve"> </w:t>
      </w:r>
      <w:r>
        <w:t>reparación,</w:t>
      </w:r>
      <w:r>
        <w:rPr>
          <w:spacing w:val="-12"/>
        </w:rPr>
        <w:t xml:space="preserve"> </w:t>
      </w:r>
      <w:r>
        <w:t>respecto</w:t>
      </w:r>
      <w:r>
        <w:rPr>
          <w:spacing w:val="-12"/>
        </w:rPr>
        <w:t xml:space="preserve"> </w:t>
      </w:r>
      <w:r>
        <w:t>de la</w:t>
      </w:r>
      <w:r>
        <w:rPr>
          <w:spacing w:val="-6"/>
        </w:rPr>
        <w:t xml:space="preserve"> </w:t>
      </w:r>
      <w:r>
        <w:t>obligación</w:t>
      </w:r>
      <w:r>
        <w:rPr>
          <w:spacing w:val="-4"/>
        </w:rPr>
        <w:t xml:space="preserve"> </w:t>
      </w:r>
      <w:r>
        <w:t>convencional</w:t>
      </w:r>
      <w:r>
        <w:rPr>
          <w:spacing w:val="-5"/>
        </w:rPr>
        <w:t xml:space="preserve"> </w:t>
      </w:r>
      <w:r>
        <w:t>de</w:t>
      </w:r>
      <w:r>
        <w:rPr>
          <w:spacing w:val="-4"/>
        </w:rPr>
        <w:t xml:space="preserve"> </w:t>
      </w:r>
      <w:r>
        <w:t>observar</w:t>
      </w:r>
      <w:r>
        <w:rPr>
          <w:spacing w:val="-4"/>
        </w:rPr>
        <w:t xml:space="preserve"> </w:t>
      </w:r>
      <w:r>
        <w:t>e</w:t>
      </w:r>
      <w:r>
        <w:rPr>
          <w:spacing w:val="-7"/>
        </w:rPr>
        <w:t xml:space="preserve"> </w:t>
      </w:r>
      <w:r>
        <w:t>implementar</w:t>
      </w:r>
      <w:r>
        <w:rPr>
          <w:spacing w:val="-5"/>
        </w:rPr>
        <w:t xml:space="preserve"> </w:t>
      </w:r>
      <w:r>
        <w:t>el</w:t>
      </w:r>
      <w:r>
        <w:rPr>
          <w:spacing w:val="-5"/>
        </w:rPr>
        <w:t xml:space="preserve"> </w:t>
      </w:r>
      <w:r>
        <w:t>principio</w:t>
      </w:r>
      <w:r>
        <w:rPr>
          <w:spacing w:val="-4"/>
        </w:rPr>
        <w:t xml:space="preserve"> </w:t>
      </w:r>
      <w:r>
        <w:t>de</w:t>
      </w:r>
      <w:r>
        <w:rPr>
          <w:spacing w:val="-3"/>
        </w:rPr>
        <w:t xml:space="preserve"> </w:t>
      </w:r>
      <w:r>
        <w:t>progresividad</w:t>
      </w:r>
      <w:r>
        <w:rPr>
          <w:spacing w:val="-5"/>
        </w:rPr>
        <w:t xml:space="preserve"> </w:t>
      </w:r>
      <w:r>
        <w:t>y no regresividad en materia de derech</w:t>
      </w:r>
      <w:r>
        <w:t>os económicos, sociales, culturales y ambientales.</w:t>
      </w:r>
      <w:r>
        <w:rPr>
          <w:spacing w:val="-7"/>
        </w:rPr>
        <w:t xml:space="preserve"> </w:t>
      </w:r>
      <w:r>
        <w:t>Con</w:t>
      </w:r>
      <w:r>
        <w:rPr>
          <w:spacing w:val="-5"/>
        </w:rPr>
        <w:t xml:space="preserve"> </w:t>
      </w:r>
      <w:r>
        <w:t>este</w:t>
      </w:r>
      <w:r>
        <w:rPr>
          <w:spacing w:val="-9"/>
        </w:rPr>
        <w:t xml:space="preserve"> </w:t>
      </w:r>
      <w:r>
        <w:t>propósito,</w:t>
      </w:r>
      <w:r>
        <w:rPr>
          <w:spacing w:val="-9"/>
        </w:rPr>
        <w:t xml:space="preserve"> </w:t>
      </w:r>
      <w:r>
        <w:t>revisare</w:t>
      </w:r>
      <w:r>
        <w:rPr>
          <w:spacing w:val="-10"/>
        </w:rPr>
        <w:t xml:space="preserve"> </w:t>
      </w:r>
      <w:r>
        <w:t>la</w:t>
      </w:r>
      <w:r>
        <w:rPr>
          <w:spacing w:val="-8"/>
        </w:rPr>
        <w:t xml:space="preserve"> </w:t>
      </w:r>
      <w:r>
        <w:t>Enmienda</w:t>
      </w:r>
      <w:r>
        <w:rPr>
          <w:spacing w:val="-9"/>
        </w:rPr>
        <w:t xml:space="preserve"> </w:t>
      </w:r>
      <w:r>
        <w:t>a</w:t>
      </w:r>
      <w:r>
        <w:rPr>
          <w:spacing w:val="-8"/>
        </w:rPr>
        <w:t xml:space="preserve"> </w:t>
      </w:r>
      <w:r>
        <w:t>la</w:t>
      </w:r>
      <w:r>
        <w:rPr>
          <w:spacing w:val="-8"/>
        </w:rPr>
        <w:t xml:space="preserve"> </w:t>
      </w:r>
      <w:r>
        <w:t>Constitución</w:t>
      </w:r>
      <w:r>
        <w:rPr>
          <w:spacing w:val="-8"/>
        </w:rPr>
        <w:t xml:space="preserve"> </w:t>
      </w:r>
      <w:r>
        <w:t>de</w:t>
      </w:r>
      <w:r>
        <w:rPr>
          <w:spacing w:val="-9"/>
        </w:rPr>
        <w:t xml:space="preserve"> </w:t>
      </w:r>
      <w:r>
        <w:t>Brasil</w:t>
      </w:r>
      <w:r>
        <w:rPr>
          <w:spacing w:val="-9"/>
        </w:rPr>
        <w:t xml:space="preserve"> </w:t>
      </w:r>
      <w:r>
        <w:t>N</w:t>
      </w:r>
      <w:r>
        <w:rPr>
          <w:position w:val="7"/>
          <w:sz w:val="13"/>
        </w:rPr>
        <w:t>o</w:t>
      </w:r>
      <w:r>
        <w:t xml:space="preserve">. </w:t>
      </w:r>
      <w:r>
        <w:rPr>
          <w:spacing w:val="2"/>
        </w:rPr>
        <w:t>95</w:t>
      </w:r>
      <w:hyperlink w:anchor="_bookmark518" w:history="1">
        <w:r>
          <w:rPr>
            <w:spacing w:val="2"/>
            <w:position w:val="7"/>
            <w:sz w:val="13"/>
          </w:rPr>
          <w:t>6</w:t>
        </w:r>
      </w:hyperlink>
      <w:r>
        <w:rPr>
          <w:spacing w:val="2"/>
        </w:rPr>
        <w:t xml:space="preserve">, </w:t>
      </w:r>
      <w:r>
        <w:t>y, en las conclusiones, argumentaré porque la misma, desde un enfoque de convencionalidad,</w:t>
      </w:r>
      <w:r>
        <w:rPr>
          <w:spacing w:val="-11"/>
        </w:rPr>
        <w:t xml:space="preserve"> </w:t>
      </w:r>
      <w:r>
        <w:t>debe</w:t>
      </w:r>
      <w:r>
        <w:rPr>
          <w:spacing w:val="-10"/>
        </w:rPr>
        <w:t xml:space="preserve"> </w:t>
      </w:r>
      <w:r>
        <w:t>ser</w:t>
      </w:r>
      <w:r>
        <w:rPr>
          <w:spacing w:val="-15"/>
        </w:rPr>
        <w:t xml:space="preserve"> </w:t>
      </w:r>
      <w:r>
        <w:t>interpretada</w:t>
      </w:r>
      <w:r>
        <w:rPr>
          <w:spacing w:val="-11"/>
        </w:rPr>
        <w:t xml:space="preserve"> </w:t>
      </w:r>
      <w:r>
        <w:t>conforme</w:t>
      </w:r>
      <w:r>
        <w:rPr>
          <w:spacing w:val="-12"/>
        </w:rPr>
        <w:t xml:space="preserve"> </w:t>
      </w:r>
      <w:r>
        <w:t>a</w:t>
      </w:r>
      <w:r>
        <w:rPr>
          <w:spacing w:val="-13"/>
        </w:rPr>
        <w:t xml:space="preserve"> </w:t>
      </w:r>
      <w:r>
        <w:t>los</w:t>
      </w:r>
      <w:r>
        <w:rPr>
          <w:spacing w:val="-12"/>
        </w:rPr>
        <w:t xml:space="preserve"> </w:t>
      </w:r>
      <w:r>
        <w:t>precedentes</w:t>
      </w:r>
      <w:r>
        <w:rPr>
          <w:spacing w:val="-12"/>
        </w:rPr>
        <w:t xml:space="preserve"> </w:t>
      </w:r>
      <w:r>
        <w:t>y</w:t>
      </w:r>
      <w:r>
        <w:rPr>
          <w:spacing w:val="-12"/>
        </w:rPr>
        <w:t xml:space="preserve"> </w:t>
      </w:r>
      <w:r>
        <w:t>jurisprudencia interamericana y, por lo tanto, no debe ser un obstáculo para el cumplimiento de la medida de repar</w:t>
      </w:r>
      <w:r>
        <w:t>ación ordenada.</w:t>
      </w:r>
    </w:p>
    <w:p w14:paraId="1AF977A4" w14:textId="77777777" w:rsidR="00467FCA" w:rsidRDefault="00467FCA">
      <w:pPr>
        <w:pStyle w:val="Textoindependiente"/>
        <w:rPr>
          <w:sz w:val="24"/>
        </w:rPr>
      </w:pPr>
    </w:p>
    <w:p w14:paraId="6F6F9156" w14:textId="77777777" w:rsidR="00467FCA" w:rsidRDefault="001B68EB">
      <w:pPr>
        <w:pStyle w:val="Ttulo1"/>
        <w:numPr>
          <w:ilvl w:val="0"/>
          <w:numId w:val="33"/>
        </w:numPr>
        <w:tabs>
          <w:tab w:val="left" w:pos="1517"/>
          <w:tab w:val="left" w:pos="1518"/>
        </w:tabs>
        <w:spacing w:before="195"/>
        <w:ind w:hanging="647"/>
        <w:jc w:val="left"/>
      </w:pPr>
      <w:r>
        <w:t>La Enmienda Constitucional N</w:t>
      </w:r>
      <w:r>
        <w:rPr>
          <w:position w:val="7"/>
          <w:sz w:val="13"/>
        </w:rPr>
        <w:t>o</w:t>
      </w:r>
      <w:r>
        <w:t>.</w:t>
      </w:r>
      <w:r>
        <w:rPr>
          <w:spacing w:val="-6"/>
        </w:rPr>
        <w:t xml:space="preserve"> </w:t>
      </w:r>
      <w:r>
        <w:t>95</w:t>
      </w:r>
    </w:p>
    <w:p w14:paraId="26278A61" w14:textId="77777777" w:rsidR="00467FCA" w:rsidRDefault="00467FCA">
      <w:pPr>
        <w:pStyle w:val="Textoindependiente"/>
        <w:spacing w:before="1"/>
        <w:rPr>
          <w:b/>
        </w:rPr>
      </w:pPr>
    </w:p>
    <w:p w14:paraId="55F461B6" w14:textId="77777777" w:rsidR="00467FCA" w:rsidRDefault="001B68EB">
      <w:pPr>
        <w:pStyle w:val="Prrafodelista"/>
        <w:numPr>
          <w:ilvl w:val="0"/>
          <w:numId w:val="32"/>
        </w:numPr>
        <w:tabs>
          <w:tab w:val="left" w:pos="810"/>
        </w:tabs>
        <w:ind w:right="115" w:firstLine="0"/>
        <w:jc w:val="both"/>
        <w:rPr>
          <w:sz w:val="20"/>
        </w:rPr>
      </w:pPr>
      <w:r>
        <w:rPr>
          <w:sz w:val="20"/>
        </w:rPr>
        <w:t>El 16 de diciembre de 2016, la propuesta del Gobierno Federal de Brasil para implementar el techo para el gasto público federal, objeto de la Propuesta de Enmienda a la Constitución de Brasil 241/55</w:t>
      </w:r>
      <w:hyperlink w:anchor="_bookmark519" w:history="1">
        <w:r>
          <w:rPr>
            <w:position w:val="7"/>
            <w:sz w:val="13"/>
          </w:rPr>
          <w:t>7</w:t>
        </w:r>
      </w:hyperlink>
      <w:r>
        <w:rPr>
          <w:sz w:val="20"/>
        </w:rPr>
        <w:t>, fue aprobada como la Enmienda Constitucional</w:t>
      </w:r>
      <w:r>
        <w:rPr>
          <w:spacing w:val="-6"/>
          <w:sz w:val="20"/>
        </w:rPr>
        <w:t xml:space="preserve"> </w:t>
      </w:r>
      <w:r>
        <w:rPr>
          <w:sz w:val="20"/>
        </w:rPr>
        <w:t>N</w:t>
      </w:r>
      <w:r>
        <w:rPr>
          <w:position w:val="7"/>
          <w:sz w:val="13"/>
        </w:rPr>
        <w:t>o</w:t>
      </w:r>
      <w:r>
        <w:rPr>
          <w:sz w:val="20"/>
        </w:rPr>
        <w:t>.</w:t>
      </w:r>
      <w:r>
        <w:rPr>
          <w:spacing w:val="-8"/>
          <w:sz w:val="20"/>
        </w:rPr>
        <w:t xml:space="preserve"> </w:t>
      </w:r>
      <w:r>
        <w:rPr>
          <w:sz w:val="20"/>
        </w:rPr>
        <w:t>95</w:t>
      </w:r>
      <w:r>
        <w:rPr>
          <w:spacing w:val="-5"/>
          <w:sz w:val="20"/>
        </w:rPr>
        <w:t xml:space="preserve"> </w:t>
      </w:r>
      <w:r>
        <w:rPr>
          <w:sz w:val="20"/>
        </w:rPr>
        <w:t>(en</w:t>
      </w:r>
      <w:r>
        <w:rPr>
          <w:spacing w:val="-8"/>
          <w:sz w:val="20"/>
        </w:rPr>
        <w:t xml:space="preserve"> </w:t>
      </w:r>
      <w:r>
        <w:rPr>
          <w:sz w:val="20"/>
        </w:rPr>
        <w:t>adelante,</w:t>
      </w:r>
      <w:r>
        <w:rPr>
          <w:spacing w:val="-6"/>
          <w:sz w:val="20"/>
        </w:rPr>
        <w:t xml:space="preserve"> </w:t>
      </w:r>
      <w:r>
        <w:rPr>
          <w:sz w:val="20"/>
        </w:rPr>
        <w:t>“EC/95”</w:t>
      </w:r>
      <w:r>
        <w:rPr>
          <w:spacing w:val="-6"/>
          <w:sz w:val="20"/>
        </w:rPr>
        <w:t xml:space="preserve"> </w:t>
      </w:r>
      <w:r>
        <w:rPr>
          <w:sz w:val="20"/>
        </w:rPr>
        <w:t>o</w:t>
      </w:r>
      <w:r>
        <w:rPr>
          <w:spacing w:val="-7"/>
          <w:sz w:val="20"/>
        </w:rPr>
        <w:t xml:space="preserve"> </w:t>
      </w:r>
      <w:r>
        <w:rPr>
          <w:sz w:val="20"/>
        </w:rPr>
        <w:t>“la</w:t>
      </w:r>
      <w:r>
        <w:rPr>
          <w:spacing w:val="-8"/>
          <w:sz w:val="20"/>
        </w:rPr>
        <w:t xml:space="preserve"> </w:t>
      </w:r>
      <w:r>
        <w:rPr>
          <w:sz w:val="20"/>
        </w:rPr>
        <w:t>Enmienda”).</w:t>
      </w:r>
      <w:r>
        <w:rPr>
          <w:spacing w:val="-6"/>
          <w:sz w:val="20"/>
        </w:rPr>
        <w:t xml:space="preserve"> </w:t>
      </w:r>
      <w:r>
        <w:rPr>
          <w:sz w:val="20"/>
        </w:rPr>
        <w:t>La</w:t>
      </w:r>
      <w:r>
        <w:rPr>
          <w:spacing w:val="-8"/>
          <w:sz w:val="20"/>
        </w:rPr>
        <w:t xml:space="preserve"> </w:t>
      </w:r>
      <w:r>
        <w:rPr>
          <w:sz w:val="20"/>
        </w:rPr>
        <w:t>EC/95,</w:t>
      </w:r>
      <w:r>
        <w:rPr>
          <w:spacing w:val="-9"/>
          <w:sz w:val="20"/>
        </w:rPr>
        <w:t xml:space="preserve"> </w:t>
      </w:r>
      <w:r>
        <w:rPr>
          <w:sz w:val="20"/>
        </w:rPr>
        <w:t>instituyó</w:t>
      </w:r>
      <w:r>
        <w:rPr>
          <w:spacing w:val="-6"/>
          <w:sz w:val="20"/>
        </w:rPr>
        <w:t xml:space="preserve"> </w:t>
      </w:r>
      <w:r>
        <w:rPr>
          <w:sz w:val="20"/>
        </w:rPr>
        <w:t>un nuevo régimen fiscal para el Estado de Brasil, entró en vigencia en 2017 y con un tiempo de duración que llega al año</w:t>
      </w:r>
      <w:r>
        <w:rPr>
          <w:spacing w:val="-6"/>
          <w:sz w:val="20"/>
        </w:rPr>
        <w:t xml:space="preserve"> </w:t>
      </w:r>
      <w:r>
        <w:rPr>
          <w:sz w:val="20"/>
        </w:rPr>
        <w:t>2036</w:t>
      </w:r>
      <w:hyperlink w:anchor="_bookmark520" w:history="1">
        <w:r>
          <w:rPr>
            <w:position w:val="7"/>
            <w:sz w:val="13"/>
          </w:rPr>
          <w:t>8</w:t>
        </w:r>
      </w:hyperlink>
      <w:r>
        <w:rPr>
          <w:sz w:val="20"/>
        </w:rPr>
        <w:t>.</w:t>
      </w:r>
    </w:p>
    <w:p w14:paraId="1B555EFB" w14:textId="77777777" w:rsidR="00467FCA" w:rsidRDefault="00467FCA">
      <w:pPr>
        <w:pStyle w:val="Textoindependiente"/>
      </w:pPr>
    </w:p>
    <w:p w14:paraId="3529912F" w14:textId="77777777" w:rsidR="00467FCA" w:rsidRDefault="001B68EB">
      <w:pPr>
        <w:pStyle w:val="Prrafodelista"/>
        <w:numPr>
          <w:ilvl w:val="0"/>
          <w:numId w:val="32"/>
        </w:numPr>
        <w:tabs>
          <w:tab w:val="left" w:pos="810"/>
        </w:tabs>
        <w:ind w:right="116" w:firstLine="0"/>
        <w:jc w:val="both"/>
        <w:rPr>
          <w:sz w:val="20"/>
        </w:rPr>
      </w:pPr>
      <w:r>
        <w:rPr>
          <w:sz w:val="20"/>
        </w:rPr>
        <w:t>La Propuesta de Enmienda vino acompañada de una justificación</w:t>
      </w:r>
      <w:hyperlink w:anchor="_bookmark521" w:history="1">
        <w:r>
          <w:rPr>
            <w:position w:val="7"/>
            <w:sz w:val="13"/>
          </w:rPr>
          <w:t>9</w:t>
        </w:r>
      </w:hyperlink>
      <w:r>
        <w:rPr>
          <w:position w:val="7"/>
          <w:sz w:val="13"/>
        </w:rPr>
        <w:t xml:space="preserve"> </w:t>
      </w:r>
      <w:r>
        <w:rPr>
          <w:sz w:val="20"/>
        </w:rPr>
        <w:t>basada en la alegada necesidad de impedir el crecimiento del gasto público en el futuro, para restaurar la confianza en la sostenibilidad del gasto y la deuda pública. En ese sentido, el fundamento alegado al proponer la EC/95 se basa en la necesidad de es</w:t>
      </w:r>
      <w:r>
        <w:rPr>
          <w:sz w:val="20"/>
        </w:rPr>
        <w:t>tabilizar el crecimiento del gasto primario, como instrumento para contener la expansión de la deuda pública. Cabe citar que la justificación indica como beneficios de la implementación del ajuste fiscal: el aumento de la previsibilidad de la política macr</w:t>
      </w:r>
      <w:r>
        <w:rPr>
          <w:sz w:val="20"/>
        </w:rPr>
        <w:t>oeconómica y el fortalecimiento de la confianza de los agentes; la eliminación de la tendencia de crecimiento real del gasto público; y la reducción del riesgo país y consecuente apertura de espacios para la reducción estructural de las tasas de interés.</w:t>
      </w:r>
      <w:r>
        <w:rPr>
          <w:spacing w:val="-8"/>
          <w:sz w:val="20"/>
        </w:rPr>
        <w:t xml:space="preserve"> </w:t>
      </w:r>
      <w:r>
        <w:rPr>
          <w:sz w:val="20"/>
        </w:rPr>
        <w:t>A</w:t>
      </w:r>
      <w:r>
        <w:rPr>
          <w:sz w:val="20"/>
        </w:rPr>
        <w:t>demás,</w:t>
      </w:r>
      <w:r>
        <w:rPr>
          <w:spacing w:val="-5"/>
          <w:sz w:val="20"/>
        </w:rPr>
        <w:t xml:space="preserve"> </w:t>
      </w:r>
      <w:r>
        <w:rPr>
          <w:sz w:val="20"/>
        </w:rPr>
        <w:t>argumenta</w:t>
      </w:r>
      <w:r>
        <w:rPr>
          <w:spacing w:val="-6"/>
          <w:sz w:val="20"/>
        </w:rPr>
        <w:t xml:space="preserve"> </w:t>
      </w:r>
      <w:r>
        <w:rPr>
          <w:sz w:val="20"/>
        </w:rPr>
        <w:t>que</w:t>
      </w:r>
      <w:r>
        <w:rPr>
          <w:spacing w:val="-9"/>
          <w:sz w:val="20"/>
        </w:rPr>
        <w:t xml:space="preserve"> </w:t>
      </w:r>
      <w:r>
        <w:rPr>
          <w:sz w:val="20"/>
        </w:rPr>
        <w:t>“[d]esde</w:t>
      </w:r>
      <w:r>
        <w:rPr>
          <w:spacing w:val="-8"/>
          <w:sz w:val="20"/>
        </w:rPr>
        <w:t xml:space="preserve"> </w:t>
      </w:r>
      <w:r>
        <w:rPr>
          <w:sz w:val="20"/>
        </w:rPr>
        <w:t>una</w:t>
      </w:r>
      <w:r>
        <w:rPr>
          <w:spacing w:val="-6"/>
          <w:sz w:val="20"/>
        </w:rPr>
        <w:t xml:space="preserve"> </w:t>
      </w:r>
      <w:r>
        <w:rPr>
          <w:sz w:val="20"/>
        </w:rPr>
        <w:t>perspectiva</w:t>
      </w:r>
      <w:r>
        <w:rPr>
          <w:spacing w:val="-6"/>
          <w:sz w:val="20"/>
        </w:rPr>
        <w:t xml:space="preserve"> </w:t>
      </w:r>
      <w:r>
        <w:rPr>
          <w:sz w:val="20"/>
        </w:rPr>
        <w:t>social,</w:t>
      </w:r>
      <w:r>
        <w:rPr>
          <w:spacing w:val="-8"/>
          <w:sz w:val="20"/>
        </w:rPr>
        <w:t xml:space="preserve"> </w:t>
      </w:r>
      <w:r>
        <w:rPr>
          <w:sz w:val="20"/>
        </w:rPr>
        <w:t>la</w:t>
      </w:r>
      <w:r>
        <w:rPr>
          <w:spacing w:val="-6"/>
          <w:sz w:val="20"/>
        </w:rPr>
        <w:t xml:space="preserve"> </w:t>
      </w:r>
      <w:r>
        <w:rPr>
          <w:sz w:val="20"/>
        </w:rPr>
        <w:t xml:space="preserve">implementación de esta medida apalancará la capacidad de la economía para generar empleos e ingresos, además de estimular la aplicación más eficiente de los recursos públicos. Por tanto, contribuirá </w:t>
      </w:r>
      <w:r>
        <w:rPr>
          <w:sz w:val="20"/>
        </w:rPr>
        <w:t>a mejorar la calidad de vida de los ciudadanos brasileños”</w:t>
      </w:r>
      <w:r>
        <w:rPr>
          <w:spacing w:val="-42"/>
          <w:sz w:val="20"/>
        </w:rPr>
        <w:t xml:space="preserve"> </w:t>
      </w:r>
      <w:hyperlink w:anchor="_bookmark522" w:history="1">
        <w:r>
          <w:rPr>
            <w:position w:val="7"/>
            <w:sz w:val="13"/>
          </w:rPr>
          <w:t>10</w:t>
        </w:r>
      </w:hyperlink>
      <w:r>
        <w:rPr>
          <w:sz w:val="20"/>
        </w:rPr>
        <w:t>.</w:t>
      </w:r>
    </w:p>
    <w:p w14:paraId="16B3954A" w14:textId="77777777" w:rsidR="00467FCA" w:rsidRDefault="00467FCA">
      <w:pPr>
        <w:pStyle w:val="Textoindependiente"/>
      </w:pPr>
    </w:p>
    <w:p w14:paraId="0272E9DD" w14:textId="77777777" w:rsidR="00467FCA" w:rsidRDefault="001B68EB">
      <w:pPr>
        <w:pStyle w:val="Prrafodelista"/>
        <w:numPr>
          <w:ilvl w:val="0"/>
          <w:numId w:val="32"/>
        </w:numPr>
        <w:tabs>
          <w:tab w:val="left" w:pos="810"/>
        </w:tabs>
        <w:ind w:right="118" w:firstLine="0"/>
        <w:jc w:val="both"/>
        <w:rPr>
          <w:sz w:val="20"/>
        </w:rPr>
      </w:pPr>
      <w:r>
        <w:rPr>
          <w:sz w:val="20"/>
        </w:rPr>
        <w:t>La Enmienda establece límites individualizados, independientemente del aumento del PIB (Producto Interno Bruto), para el gasto primario del Estado. Para 2017 se fijó un límite equivalente al gasto realizado en 2016, fijado por la inflación observada en 201</w:t>
      </w:r>
      <w:r>
        <w:rPr>
          <w:sz w:val="20"/>
        </w:rPr>
        <w:t>6. A partir del segundo año, es decir 2018, para el límite de gasto primario se incorporaron lineamientos presupuestarios y de la ley de presupuesto anual, que consistió en el valor del límite del año anterior, ajustado por la inflación del año</w:t>
      </w:r>
      <w:r>
        <w:rPr>
          <w:spacing w:val="-3"/>
          <w:sz w:val="20"/>
        </w:rPr>
        <w:t xml:space="preserve"> </w:t>
      </w:r>
      <w:r>
        <w:rPr>
          <w:sz w:val="20"/>
        </w:rPr>
        <w:t>anterior</w:t>
      </w:r>
      <w:hyperlink w:anchor="_bookmark523" w:history="1">
        <w:r>
          <w:rPr>
            <w:position w:val="7"/>
            <w:sz w:val="13"/>
          </w:rPr>
          <w:t>11</w:t>
        </w:r>
      </w:hyperlink>
      <w:r>
        <w:rPr>
          <w:sz w:val="20"/>
        </w:rPr>
        <w:t>.</w:t>
      </w:r>
    </w:p>
    <w:p w14:paraId="0D827CAF" w14:textId="77777777" w:rsidR="00467FCA" w:rsidRDefault="00467FCA">
      <w:pPr>
        <w:pStyle w:val="Textoindependiente"/>
      </w:pPr>
    </w:p>
    <w:p w14:paraId="61F5FE4C" w14:textId="77777777" w:rsidR="00467FCA" w:rsidRDefault="001B68EB">
      <w:pPr>
        <w:pStyle w:val="Textoindependiente"/>
        <w:spacing w:before="8"/>
        <w:rPr>
          <w:sz w:val="27"/>
        </w:rPr>
      </w:pPr>
      <w:r>
        <w:pict w14:anchorId="71D27856">
          <v:shape id="_x0000_s1111" style="position:absolute;margin-left:85.1pt;margin-top:19.1pt;width:2in;height:.1pt;z-index:-251571200;mso-wrap-distance-left:0;mso-wrap-distance-right:0;mso-position-horizontal-relative:page" coordorigin="1702,382" coordsize="2880,0" path="m1702,382r2880,e" filled="f" strokeweight=".6pt">
            <v:path arrowok="t"/>
            <w10:wrap type="topAndBottom" anchorx="page"/>
          </v:shape>
        </w:pict>
      </w:r>
    </w:p>
    <w:p w14:paraId="35298758" w14:textId="77777777" w:rsidR="00467FCA" w:rsidRDefault="001B68EB">
      <w:pPr>
        <w:tabs>
          <w:tab w:val="left" w:pos="809"/>
        </w:tabs>
        <w:spacing w:before="74"/>
        <w:ind w:left="101" w:right="114"/>
        <w:jc w:val="both"/>
        <w:rPr>
          <w:sz w:val="16"/>
        </w:rPr>
      </w:pPr>
      <w:bookmarkStart w:id="596" w:name="_bookmark518"/>
      <w:bookmarkEnd w:id="596"/>
      <w:r>
        <w:rPr>
          <w:position w:val="6"/>
          <w:sz w:val="10"/>
        </w:rPr>
        <w:t>6</w:t>
      </w:r>
      <w:r>
        <w:rPr>
          <w:position w:val="6"/>
          <w:sz w:val="10"/>
        </w:rPr>
        <w:tab/>
      </w:r>
      <w:r>
        <w:rPr>
          <w:i/>
          <w:sz w:val="16"/>
        </w:rPr>
        <w:t xml:space="preserve">Cfr. </w:t>
      </w:r>
      <w:r>
        <w:rPr>
          <w:sz w:val="16"/>
        </w:rPr>
        <w:t>Enmienda Constitucional N</w:t>
      </w:r>
      <w:r>
        <w:rPr>
          <w:position w:val="6"/>
          <w:sz w:val="10"/>
        </w:rPr>
        <w:t>o</w:t>
      </w:r>
      <w:r>
        <w:rPr>
          <w:sz w:val="16"/>
        </w:rPr>
        <w:t>. 95, de 15 de diciembre de 2016 (expediente de prueba 4356 a 4360), disponible en:</w:t>
      </w:r>
      <w:r>
        <w:rPr>
          <w:spacing w:val="-11"/>
          <w:sz w:val="16"/>
        </w:rPr>
        <w:t xml:space="preserve"> </w:t>
      </w:r>
      <w:hyperlink r:id="rId44">
        <w:r>
          <w:rPr>
            <w:sz w:val="16"/>
            <w:u w:val="single"/>
          </w:rPr>
          <w:t>http://www.planalto.gov.br/ccivil_03/constituicao/emendas/emc/emc95.htm</w:t>
        </w:r>
        <w:r>
          <w:rPr>
            <w:sz w:val="16"/>
          </w:rPr>
          <w:t>.</w:t>
        </w:r>
      </w:hyperlink>
    </w:p>
    <w:p w14:paraId="153A1DBA" w14:textId="77777777" w:rsidR="00467FCA" w:rsidRDefault="001B68EB">
      <w:pPr>
        <w:tabs>
          <w:tab w:val="left" w:pos="809"/>
          <w:tab w:val="left" w:pos="8506"/>
        </w:tabs>
        <w:ind w:left="101" w:right="114"/>
        <w:jc w:val="both"/>
        <w:rPr>
          <w:sz w:val="16"/>
        </w:rPr>
      </w:pPr>
      <w:bookmarkStart w:id="597" w:name="_bookmark519"/>
      <w:bookmarkEnd w:id="597"/>
      <w:r>
        <w:rPr>
          <w:position w:val="6"/>
          <w:sz w:val="10"/>
        </w:rPr>
        <w:t>7</w:t>
      </w:r>
      <w:r>
        <w:rPr>
          <w:position w:val="6"/>
          <w:sz w:val="10"/>
        </w:rPr>
        <w:tab/>
      </w:r>
      <w:r>
        <w:rPr>
          <w:sz w:val="16"/>
        </w:rPr>
        <w:t xml:space="preserve">Propuesta de Enmienda a la Constitución de Brasil 55 y 241 de 2016, disponible en: </w:t>
      </w:r>
      <w:hyperlink r:id="rId45">
        <w:r>
          <w:rPr>
            <w:sz w:val="16"/>
            <w:u w:val="single"/>
          </w:rPr>
          <w:t>https://www25.senado.leg.br/web/atividade/materias/-/materia/127337</w:t>
        </w:r>
      </w:hyperlink>
      <w:r>
        <w:rPr>
          <w:sz w:val="16"/>
          <w:u w:val="single"/>
        </w:rPr>
        <w:t>.</w:t>
      </w:r>
      <w:r>
        <w:rPr>
          <w:sz w:val="16"/>
        </w:rPr>
        <w:tab/>
      </w:r>
      <w:r>
        <w:rPr>
          <w:spacing w:val="-16"/>
          <w:sz w:val="16"/>
        </w:rPr>
        <w:t>y</w:t>
      </w:r>
      <w:bookmarkStart w:id="598" w:name="_bookmark520"/>
      <w:bookmarkEnd w:id="598"/>
      <w:r>
        <w:rPr>
          <w:spacing w:val="-16"/>
          <w:sz w:val="16"/>
        </w:rPr>
        <w:t xml:space="preserve"> </w:t>
      </w:r>
      <w:hyperlink r:id="rId46">
        <w:r>
          <w:rPr>
            <w:sz w:val="16"/>
            <w:u w:val="single"/>
          </w:rPr>
          <w:t>https://</w:t>
        </w:r>
        <w:r>
          <w:rPr>
            <w:sz w:val="16"/>
            <w:u w:val="single"/>
          </w:rPr>
          <w:t>www.camara.leg.br/proposicoesWeb/fichadetramitacao?idProposicao=2088351</w:t>
        </w:r>
      </w:hyperlink>
      <w:r>
        <w:rPr>
          <w:sz w:val="16"/>
        </w:rPr>
        <w:t>.</w:t>
      </w:r>
    </w:p>
    <w:p w14:paraId="71932B7B" w14:textId="77777777" w:rsidR="00467FCA" w:rsidRDefault="001B68EB">
      <w:pPr>
        <w:tabs>
          <w:tab w:val="left" w:pos="809"/>
        </w:tabs>
        <w:ind w:left="101" w:right="114" w:hanging="1"/>
        <w:jc w:val="both"/>
        <w:rPr>
          <w:sz w:val="16"/>
        </w:rPr>
      </w:pPr>
      <w:r>
        <w:rPr>
          <w:position w:val="6"/>
          <w:sz w:val="10"/>
        </w:rPr>
        <w:t>8</w:t>
      </w:r>
      <w:r>
        <w:rPr>
          <w:position w:val="6"/>
          <w:sz w:val="10"/>
        </w:rPr>
        <w:tab/>
      </w:r>
      <w:r>
        <w:rPr>
          <w:i/>
          <w:sz w:val="16"/>
        </w:rPr>
        <w:t xml:space="preserve">Cfr. </w:t>
      </w:r>
      <w:r>
        <w:rPr>
          <w:sz w:val="16"/>
        </w:rPr>
        <w:t>Enmienda Constitucional N</w:t>
      </w:r>
      <w:r>
        <w:rPr>
          <w:position w:val="6"/>
          <w:sz w:val="10"/>
        </w:rPr>
        <w:t>o</w:t>
      </w:r>
      <w:r>
        <w:rPr>
          <w:sz w:val="16"/>
        </w:rPr>
        <w:t xml:space="preserve">. 95, </w:t>
      </w:r>
      <w:r>
        <w:rPr>
          <w:i/>
          <w:sz w:val="16"/>
        </w:rPr>
        <w:t>supra</w:t>
      </w:r>
      <w:r>
        <w:rPr>
          <w:sz w:val="16"/>
        </w:rPr>
        <w:t>, Artículo 1º, Art. 106 del Acto de las Disposiciones Constitucionales Transitorias (en adelante,</w:t>
      </w:r>
      <w:r>
        <w:rPr>
          <w:spacing w:val="-3"/>
          <w:sz w:val="16"/>
        </w:rPr>
        <w:t xml:space="preserve"> </w:t>
      </w:r>
      <w:r>
        <w:rPr>
          <w:sz w:val="16"/>
        </w:rPr>
        <w:t>“ADCT”).</w:t>
      </w:r>
    </w:p>
    <w:p w14:paraId="35F7EF64" w14:textId="77777777" w:rsidR="00467FCA" w:rsidRDefault="001B68EB">
      <w:pPr>
        <w:tabs>
          <w:tab w:val="left" w:pos="809"/>
        </w:tabs>
        <w:ind w:left="101" w:right="113"/>
        <w:rPr>
          <w:sz w:val="16"/>
        </w:rPr>
      </w:pPr>
      <w:bookmarkStart w:id="599" w:name="_bookmark521"/>
      <w:bookmarkEnd w:id="599"/>
      <w:r>
        <w:rPr>
          <w:position w:val="6"/>
          <w:sz w:val="10"/>
        </w:rPr>
        <w:t>9</w:t>
      </w:r>
      <w:r>
        <w:rPr>
          <w:position w:val="6"/>
          <w:sz w:val="10"/>
        </w:rPr>
        <w:tab/>
      </w:r>
      <w:r>
        <w:rPr>
          <w:i/>
          <w:sz w:val="16"/>
        </w:rPr>
        <w:t xml:space="preserve">Cfr. </w:t>
      </w:r>
      <w:r>
        <w:rPr>
          <w:sz w:val="16"/>
        </w:rPr>
        <w:t>EMI nº 00083/2016 MF MPDG</w:t>
      </w:r>
      <w:r>
        <w:rPr>
          <w:sz w:val="16"/>
        </w:rPr>
        <w:t xml:space="preserve">, de 15 de junio de 2016, disponible en: </w:t>
      </w:r>
      <w:r>
        <w:rPr>
          <w:sz w:val="16"/>
          <w:u w:val="single"/>
        </w:rPr>
        <w:t>https</w:t>
      </w:r>
      <w:hyperlink r:id="rId47">
        <w:r>
          <w:rPr>
            <w:sz w:val="16"/>
            <w:u w:val="single"/>
          </w:rPr>
          <w:t>://w</w:t>
        </w:r>
      </w:hyperlink>
      <w:r>
        <w:rPr>
          <w:sz w:val="16"/>
          <w:u w:val="single"/>
        </w:rPr>
        <w:t>ww</w:t>
      </w:r>
      <w:hyperlink r:id="rId48">
        <w:r>
          <w:rPr>
            <w:sz w:val="16"/>
            <w:u w:val="single"/>
          </w:rPr>
          <w:t>.c</w:t>
        </w:r>
      </w:hyperlink>
      <w:r>
        <w:rPr>
          <w:sz w:val="16"/>
          <w:u w:val="single"/>
        </w:rPr>
        <w:t>a</w:t>
      </w:r>
      <w:hyperlink r:id="rId49">
        <w:r>
          <w:rPr>
            <w:sz w:val="16"/>
            <w:u w:val="single"/>
          </w:rPr>
          <w:t>mara.leg.br/proposicoesWeb/prop_mostrarintegra?codteor=1468431&amp;filename=PEC+24</w:t>
        </w:r>
      </w:hyperlink>
      <w:r>
        <w:rPr>
          <w:sz w:val="16"/>
        </w:rPr>
        <w:t xml:space="preserve"> </w:t>
      </w:r>
      <w:r>
        <w:rPr>
          <w:sz w:val="16"/>
          <w:u w:val="single"/>
        </w:rPr>
        <w:t>1/2016</w:t>
      </w:r>
      <w:r>
        <w:rPr>
          <w:sz w:val="16"/>
        </w:rPr>
        <w:t>.</w:t>
      </w:r>
    </w:p>
    <w:p w14:paraId="03A7A3C7" w14:textId="77777777" w:rsidR="00467FCA" w:rsidRDefault="001B68EB">
      <w:pPr>
        <w:tabs>
          <w:tab w:val="left" w:pos="809"/>
        </w:tabs>
        <w:ind w:left="101"/>
        <w:rPr>
          <w:sz w:val="16"/>
        </w:rPr>
      </w:pPr>
      <w:bookmarkStart w:id="600" w:name="_bookmark522"/>
      <w:bookmarkEnd w:id="600"/>
      <w:r>
        <w:rPr>
          <w:position w:val="6"/>
          <w:sz w:val="10"/>
        </w:rPr>
        <w:t>10</w:t>
      </w:r>
      <w:r>
        <w:rPr>
          <w:position w:val="6"/>
          <w:sz w:val="10"/>
        </w:rPr>
        <w:tab/>
      </w:r>
      <w:r>
        <w:rPr>
          <w:i/>
          <w:sz w:val="16"/>
        </w:rPr>
        <w:t xml:space="preserve">Cfr. </w:t>
      </w:r>
      <w:r>
        <w:rPr>
          <w:sz w:val="16"/>
        </w:rPr>
        <w:t>EMI nº 00083/2016 MF MP</w:t>
      </w:r>
      <w:r>
        <w:rPr>
          <w:sz w:val="16"/>
        </w:rPr>
        <w:t xml:space="preserve">DG, </w:t>
      </w:r>
      <w:r>
        <w:rPr>
          <w:i/>
          <w:sz w:val="16"/>
        </w:rPr>
        <w:t>supra</w:t>
      </w:r>
      <w:r>
        <w:rPr>
          <w:sz w:val="16"/>
        </w:rPr>
        <w:t>, párr.</w:t>
      </w:r>
      <w:r>
        <w:rPr>
          <w:spacing w:val="-14"/>
          <w:sz w:val="16"/>
        </w:rPr>
        <w:t xml:space="preserve"> </w:t>
      </w:r>
      <w:r>
        <w:rPr>
          <w:sz w:val="16"/>
        </w:rPr>
        <w:t>8.</w:t>
      </w:r>
    </w:p>
    <w:p w14:paraId="5142B19B" w14:textId="77777777" w:rsidR="00467FCA" w:rsidRDefault="001B68EB">
      <w:pPr>
        <w:tabs>
          <w:tab w:val="left" w:pos="809"/>
        </w:tabs>
        <w:ind w:left="101"/>
        <w:rPr>
          <w:sz w:val="16"/>
        </w:rPr>
      </w:pPr>
      <w:bookmarkStart w:id="601" w:name="_bookmark523"/>
      <w:bookmarkEnd w:id="601"/>
      <w:r>
        <w:rPr>
          <w:position w:val="6"/>
          <w:sz w:val="10"/>
        </w:rPr>
        <w:t>11</w:t>
      </w:r>
      <w:r>
        <w:rPr>
          <w:position w:val="6"/>
          <w:sz w:val="10"/>
        </w:rPr>
        <w:tab/>
      </w:r>
      <w:r>
        <w:rPr>
          <w:i/>
          <w:sz w:val="16"/>
        </w:rPr>
        <w:t xml:space="preserve">Cfr. </w:t>
      </w:r>
      <w:r>
        <w:rPr>
          <w:sz w:val="16"/>
        </w:rPr>
        <w:t>Enmienda Constitucional N</w:t>
      </w:r>
      <w:r>
        <w:rPr>
          <w:position w:val="6"/>
          <w:sz w:val="10"/>
        </w:rPr>
        <w:t>o</w:t>
      </w:r>
      <w:r>
        <w:rPr>
          <w:sz w:val="16"/>
        </w:rPr>
        <w:t xml:space="preserve">. 95, </w:t>
      </w:r>
      <w:r>
        <w:rPr>
          <w:i/>
          <w:sz w:val="16"/>
        </w:rPr>
        <w:t>supra</w:t>
      </w:r>
      <w:r>
        <w:rPr>
          <w:sz w:val="16"/>
        </w:rPr>
        <w:t>, Artículo 1º, Art. 107 del ADCT, párr. 1º, I y</w:t>
      </w:r>
      <w:r>
        <w:rPr>
          <w:spacing w:val="-23"/>
          <w:sz w:val="16"/>
        </w:rPr>
        <w:t xml:space="preserve"> </w:t>
      </w:r>
      <w:r>
        <w:rPr>
          <w:sz w:val="16"/>
        </w:rPr>
        <w:t>II.</w:t>
      </w:r>
    </w:p>
    <w:p w14:paraId="06A45683" w14:textId="77777777" w:rsidR="00467FCA" w:rsidRDefault="00467FCA">
      <w:pPr>
        <w:rPr>
          <w:sz w:val="16"/>
        </w:rPr>
        <w:sectPr w:rsidR="00467FCA">
          <w:footerReference w:type="default" r:id="rId50"/>
          <w:pgSz w:w="11900" w:h="16850"/>
          <w:pgMar w:top="1340" w:right="1580" w:bottom="280" w:left="1600" w:header="0" w:footer="0" w:gutter="0"/>
          <w:cols w:space="720"/>
        </w:sectPr>
      </w:pPr>
    </w:p>
    <w:p w14:paraId="699792D7" w14:textId="77777777" w:rsidR="00467FCA" w:rsidRDefault="001B68EB">
      <w:pPr>
        <w:pStyle w:val="Prrafodelista"/>
        <w:numPr>
          <w:ilvl w:val="0"/>
          <w:numId w:val="32"/>
        </w:numPr>
        <w:tabs>
          <w:tab w:val="left" w:pos="810"/>
        </w:tabs>
        <w:spacing w:before="75"/>
        <w:ind w:right="115" w:hanging="1"/>
        <w:jc w:val="both"/>
        <w:rPr>
          <w:sz w:val="20"/>
        </w:rPr>
      </w:pPr>
      <w:r>
        <w:rPr>
          <w:sz w:val="20"/>
        </w:rPr>
        <w:t>Las reglas establecidas por la EC/95 no permiten, por tanto, el crecimiento del gasto público total y real por encima de la inflación, incluso si hay un aumento en las tasas de crecimiento económico, lo que diferencia el caso brasileño de otras experiencia</w:t>
      </w:r>
      <w:r>
        <w:rPr>
          <w:sz w:val="20"/>
        </w:rPr>
        <w:t>s extranjeras que han adoptado el techo de gasto público. De esa forma, solamente es posible incrementar las inversiones en un área siempre que se hagan recortes</w:t>
      </w:r>
      <w:r>
        <w:rPr>
          <w:spacing w:val="-5"/>
          <w:sz w:val="20"/>
        </w:rPr>
        <w:t xml:space="preserve"> </w:t>
      </w:r>
      <w:r>
        <w:rPr>
          <w:sz w:val="20"/>
        </w:rPr>
        <w:t>en</w:t>
      </w:r>
      <w:r>
        <w:rPr>
          <w:spacing w:val="-3"/>
          <w:sz w:val="20"/>
        </w:rPr>
        <w:t xml:space="preserve"> </w:t>
      </w:r>
      <w:r>
        <w:rPr>
          <w:sz w:val="20"/>
        </w:rPr>
        <w:t>otras.</w:t>
      </w:r>
      <w:r>
        <w:rPr>
          <w:spacing w:val="-5"/>
          <w:sz w:val="20"/>
        </w:rPr>
        <w:t xml:space="preserve"> </w:t>
      </w:r>
      <w:r>
        <w:rPr>
          <w:sz w:val="20"/>
        </w:rPr>
        <w:t>De</w:t>
      </w:r>
      <w:r>
        <w:rPr>
          <w:spacing w:val="-4"/>
          <w:sz w:val="20"/>
        </w:rPr>
        <w:t xml:space="preserve"> </w:t>
      </w:r>
      <w:r>
        <w:rPr>
          <w:sz w:val="20"/>
        </w:rPr>
        <w:t>acuerdo</w:t>
      </w:r>
      <w:r>
        <w:rPr>
          <w:spacing w:val="-3"/>
          <w:sz w:val="20"/>
        </w:rPr>
        <w:t xml:space="preserve"> </w:t>
      </w:r>
      <w:r>
        <w:rPr>
          <w:sz w:val="20"/>
        </w:rPr>
        <w:t>con</w:t>
      </w:r>
      <w:r>
        <w:rPr>
          <w:spacing w:val="-3"/>
          <w:sz w:val="20"/>
        </w:rPr>
        <w:t xml:space="preserve"> </w:t>
      </w:r>
      <w:r>
        <w:rPr>
          <w:sz w:val="20"/>
        </w:rPr>
        <w:t>lo</w:t>
      </w:r>
      <w:r>
        <w:rPr>
          <w:spacing w:val="-5"/>
          <w:sz w:val="20"/>
        </w:rPr>
        <w:t xml:space="preserve"> </w:t>
      </w:r>
      <w:r>
        <w:rPr>
          <w:sz w:val="20"/>
        </w:rPr>
        <w:t>dispuesto</w:t>
      </w:r>
      <w:r>
        <w:rPr>
          <w:spacing w:val="-3"/>
          <w:sz w:val="20"/>
        </w:rPr>
        <w:t xml:space="preserve"> </w:t>
      </w:r>
      <w:r>
        <w:rPr>
          <w:sz w:val="20"/>
        </w:rPr>
        <w:t>en</w:t>
      </w:r>
      <w:r>
        <w:rPr>
          <w:spacing w:val="-4"/>
          <w:sz w:val="20"/>
        </w:rPr>
        <w:t xml:space="preserve"> </w:t>
      </w:r>
      <w:r>
        <w:rPr>
          <w:sz w:val="20"/>
        </w:rPr>
        <w:t>la</w:t>
      </w:r>
      <w:r>
        <w:rPr>
          <w:spacing w:val="-4"/>
          <w:sz w:val="20"/>
        </w:rPr>
        <w:t xml:space="preserve"> </w:t>
      </w:r>
      <w:r>
        <w:rPr>
          <w:sz w:val="20"/>
        </w:rPr>
        <w:t>normativa,</w:t>
      </w:r>
      <w:r>
        <w:rPr>
          <w:spacing w:val="-5"/>
          <w:sz w:val="20"/>
        </w:rPr>
        <w:t xml:space="preserve"> </w:t>
      </w:r>
      <w:r>
        <w:rPr>
          <w:sz w:val="20"/>
        </w:rPr>
        <w:t>cualquier</w:t>
      </w:r>
      <w:r>
        <w:rPr>
          <w:spacing w:val="-5"/>
          <w:sz w:val="20"/>
        </w:rPr>
        <w:t xml:space="preserve"> </w:t>
      </w:r>
      <w:r>
        <w:rPr>
          <w:sz w:val="20"/>
        </w:rPr>
        <w:t>cambio</w:t>
      </w:r>
      <w:r>
        <w:rPr>
          <w:spacing w:val="-4"/>
          <w:sz w:val="20"/>
        </w:rPr>
        <w:t xml:space="preserve"> </w:t>
      </w:r>
      <w:r>
        <w:rPr>
          <w:sz w:val="20"/>
        </w:rPr>
        <w:t>en las reglas solo pod</w:t>
      </w:r>
      <w:r>
        <w:rPr>
          <w:sz w:val="20"/>
        </w:rPr>
        <w:t>rá realizarse después del décimo año de vigencia del nuevo régimen</w:t>
      </w:r>
      <w:r>
        <w:rPr>
          <w:spacing w:val="-9"/>
          <w:sz w:val="20"/>
        </w:rPr>
        <w:t xml:space="preserve"> </w:t>
      </w:r>
      <w:r>
        <w:rPr>
          <w:sz w:val="20"/>
        </w:rPr>
        <w:t>fiscal</w:t>
      </w:r>
      <w:r>
        <w:rPr>
          <w:spacing w:val="-7"/>
          <w:sz w:val="20"/>
        </w:rPr>
        <w:t xml:space="preserve"> </w:t>
      </w:r>
      <w:r>
        <w:rPr>
          <w:sz w:val="20"/>
        </w:rPr>
        <w:t>y</w:t>
      </w:r>
      <w:r>
        <w:rPr>
          <w:spacing w:val="-8"/>
          <w:sz w:val="20"/>
        </w:rPr>
        <w:t xml:space="preserve"> </w:t>
      </w:r>
      <w:r>
        <w:rPr>
          <w:sz w:val="20"/>
        </w:rPr>
        <w:t>se</w:t>
      </w:r>
      <w:r>
        <w:rPr>
          <w:spacing w:val="-10"/>
          <w:sz w:val="20"/>
        </w:rPr>
        <w:t xml:space="preserve"> </w:t>
      </w:r>
      <w:r>
        <w:rPr>
          <w:sz w:val="20"/>
        </w:rPr>
        <w:t>limitará</w:t>
      </w:r>
      <w:r>
        <w:rPr>
          <w:spacing w:val="-10"/>
          <w:sz w:val="20"/>
        </w:rPr>
        <w:t xml:space="preserve"> </w:t>
      </w:r>
      <w:r>
        <w:rPr>
          <w:sz w:val="20"/>
        </w:rPr>
        <w:t>a</w:t>
      </w:r>
      <w:r>
        <w:rPr>
          <w:spacing w:val="-8"/>
          <w:sz w:val="20"/>
        </w:rPr>
        <w:t xml:space="preserve"> </w:t>
      </w:r>
      <w:r>
        <w:rPr>
          <w:sz w:val="20"/>
        </w:rPr>
        <w:t>cambios</w:t>
      </w:r>
      <w:r>
        <w:rPr>
          <w:spacing w:val="-6"/>
          <w:sz w:val="20"/>
        </w:rPr>
        <w:t xml:space="preserve"> </w:t>
      </w:r>
      <w:r>
        <w:rPr>
          <w:sz w:val="20"/>
        </w:rPr>
        <w:t>en</w:t>
      </w:r>
      <w:r>
        <w:rPr>
          <w:spacing w:val="-6"/>
          <w:sz w:val="20"/>
        </w:rPr>
        <w:t xml:space="preserve"> </w:t>
      </w:r>
      <w:r>
        <w:rPr>
          <w:sz w:val="20"/>
        </w:rPr>
        <w:t>el</w:t>
      </w:r>
      <w:r>
        <w:rPr>
          <w:spacing w:val="-10"/>
          <w:sz w:val="20"/>
        </w:rPr>
        <w:t xml:space="preserve"> </w:t>
      </w:r>
      <w:r>
        <w:rPr>
          <w:sz w:val="20"/>
        </w:rPr>
        <w:t>índice</w:t>
      </w:r>
      <w:r>
        <w:rPr>
          <w:spacing w:val="-9"/>
          <w:sz w:val="20"/>
        </w:rPr>
        <w:t xml:space="preserve"> </w:t>
      </w:r>
      <w:r>
        <w:rPr>
          <w:sz w:val="20"/>
        </w:rPr>
        <w:t>de</w:t>
      </w:r>
      <w:r>
        <w:rPr>
          <w:spacing w:val="-9"/>
          <w:sz w:val="20"/>
        </w:rPr>
        <w:t xml:space="preserve"> </w:t>
      </w:r>
      <w:r>
        <w:rPr>
          <w:sz w:val="20"/>
        </w:rPr>
        <w:t>corrección</w:t>
      </w:r>
      <w:r>
        <w:rPr>
          <w:spacing w:val="-8"/>
          <w:sz w:val="20"/>
        </w:rPr>
        <w:t xml:space="preserve"> </w:t>
      </w:r>
      <w:r>
        <w:rPr>
          <w:sz w:val="20"/>
        </w:rPr>
        <w:t>inflacionaria</w:t>
      </w:r>
      <w:r>
        <w:rPr>
          <w:spacing w:val="-9"/>
          <w:sz w:val="20"/>
        </w:rPr>
        <w:t xml:space="preserve"> </w:t>
      </w:r>
      <w:r>
        <w:rPr>
          <w:sz w:val="20"/>
        </w:rPr>
        <w:t>anual</w:t>
      </w:r>
      <w:hyperlink w:anchor="_bookmark524" w:history="1">
        <w:r>
          <w:rPr>
            <w:position w:val="7"/>
            <w:sz w:val="13"/>
          </w:rPr>
          <w:t>12</w:t>
        </w:r>
      </w:hyperlink>
      <w:r>
        <w:rPr>
          <w:sz w:val="20"/>
        </w:rPr>
        <w:t>.</w:t>
      </w:r>
    </w:p>
    <w:p w14:paraId="76E9253C" w14:textId="77777777" w:rsidR="00467FCA" w:rsidRDefault="00467FCA">
      <w:pPr>
        <w:pStyle w:val="Textoindependiente"/>
        <w:spacing w:before="1"/>
      </w:pPr>
    </w:p>
    <w:p w14:paraId="6946548C" w14:textId="77777777" w:rsidR="00467FCA" w:rsidRDefault="001B68EB">
      <w:pPr>
        <w:pStyle w:val="Prrafodelista"/>
        <w:numPr>
          <w:ilvl w:val="0"/>
          <w:numId w:val="32"/>
        </w:numPr>
        <w:tabs>
          <w:tab w:val="left" w:pos="810"/>
        </w:tabs>
        <w:spacing w:before="1"/>
        <w:ind w:right="116" w:firstLine="0"/>
        <w:jc w:val="both"/>
        <w:rPr>
          <w:sz w:val="20"/>
        </w:rPr>
      </w:pPr>
      <w:r>
        <w:rPr>
          <w:sz w:val="20"/>
        </w:rPr>
        <w:t>La</w:t>
      </w:r>
      <w:r>
        <w:rPr>
          <w:spacing w:val="-9"/>
          <w:sz w:val="20"/>
        </w:rPr>
        <w:t xml:space="preserve"> </w:t>
      </w:r>
      <w:r>
        <w:rPr>
          <w:sz w:val="20"/>
        </w:rPr>
        <w:t>propia</w:t>
      </w:r>
      <w:r>
        <w:rPr>
          <w:spacing w:val="-8"/>
          <w:sz w:val="20"/>
        </w:rPr>
        <w:t xml:space="preserve"> </w:t>
      </w:r>
      <w:r>
        <w:rPr>
          <w:sz w:val="20"/>
        </w:rPr>
        <w:t>EC/95</w:t>
      </w:r>
      <w:r>
        <w:rPr>
          <w:spacing w:val="-5"/>
          <w:sz w:val="20"/>
        </w:rPr>
        <w:t xml:space="preserve"> </w:t>
      </w:r>
      <w:r>
        <w:rPr>
          <w:sz w:val="20"/>
        </w:rPr>
        <w:t>señala</w:t>
      </w:r>
      <w:r>
        <w:rPr>
          <w:spacing w:val="-3"/>
          <w:sz w:val="20"/>
        </w:rPr>
        <w:t xml:space="preserve"> </w:t>
      </w:r>
      <w:r>
        <w:rPr>
          <w:sz w:val="20"/>
        </w:rPr>
        <w:t>algunos</w:t>
      </w:r>
      <w:r>
        <w:rPr>
          <w:spacing w:val="-9"/>
          <w:sz w:val="20"/>
        </w:rPr>
        <w:t xml:space="preserve"> </w:t>
      </w:r>
      <w:r>
        <w:rPr>
          <w:sz w:val="20"/>
        </w:rPr>
        <w:t>gastos</w:t>
      </w:r>
      <w:r>
        <w:rPr>
          <w:spacing w:val="-9"/>
          <w:sz w:val="20"/>
        </w:rPr>
        <w:t xml:space="preserve"> </w:t>
      </w:r>
      <w:r>
        <w:rPr>
          <w:sz w:val="20"/>
        </w:rPr>
        <w:t>que</w:t>
      </w:r>
      <w:r>
        <w:rPr>
          <w:spacing w:val="-7"/>
          <w:sz w:val="20"/>
        </w:rPr>
        <w:t xml:space="preserve"> </w:t>
      </w:r>
      <w:r>
        <w:rPr>
          <w:sz w:val="20"/>
        </w:rPr>
        <w:t>estarán</w:t>
      </w:r>
      <w:r>
        <w:rPr>
          <w:spacing w:val="-7"/>
          <w:sz w:val="20"/>
        </w:rPr>
        <w:t xml:space="preserve"> </w:t>
      </w:r>
      <w:r>
        <w:rPr>
          <w:sz w:val="20"/>
        </w:rPr>
        <w:t>excluidos</w:t>
      </w:r>
      <w:r>
        <w:rPr>
          <w:spacing w:val="-9"/>
          <w:sz w:val="20"/>
        </w:rPr>
        <w:t xml:space="preserve"> </w:t>
      </w:r>
      <w:r>
        <w:rPr>
          <w:sz w:val="20"/>
        </w:rPr>
        <w:t>del</w:t>
      </w:r>
      <w:r>
        <w:rPr>
          <w:spacing w:val="-7"/>
          <w:sz w:val="20"/>
        </w:rPr>
        <w:t xml:space="preserve"> </w:t>
      </w:r>
      <w:r>
        <w:rPr>
          <w:sz w:val="20"/>
        </w:rPr>
        <w:t>techo,</w:t>
      </w:r>
      <w:r>
        <w:rPr>
          <w:spacing w:val="-5"/>
          <w:sz w:val="20"/>
        </w:rPr>
        <w:t xml:space="preserve"> </w:t>
      </w:r>
      <w:r>
        <w:rPr>
          <w:sz w:val="20"/>
        </w:rPr>
        <w:t>como gastos de realización de elecciones para la justicia electoral; transferencias constitucionales relacionadas con la participación de los estados y municipios en el producto de la exploración de petróleo y gas natural, y créditos extraordinarios</w:t>
      </w:r>
      <w:r>
        <w:rPr>
          <w:sz w:val="20"/>
        </w:rPr>
        <w:t xml:space="preserve"> abiertos para atender y hacer frente a gastos imprevisibles y urgentes, como los resultantes de guerras, conmociones internas o calamidades públicas, entre</w:t>
      </w:r>
      <w:r>
        <w:rPr>
          <w:spacing w:val="-25"/>
          <w:sz w:val="20"/>
        </w:rPr>
        <w:t xml:space="preserve"> </w:t>
      </w:r>
      <w:r>
        <w:rPr>
          <w:sz w:val="20"/>
        </w:rPr>
        <w:t>otros</w:t>
      </w:r>
      <w:hyperlink w:anchor="_bookmark525" w:history="1">
        <w:r>
          <w:rPr>
            <w:position w:val="7"/>
            <w:sz w:val="13"/>
          </w:rPr>
          <w:t>13</w:t>
        </w:r>
      </w:hyperlink>
      <w:r>
        <w:rPr>
          <w:sz w:val="20"/>
        </w:rPr>
        <w:t>.</w:t>
      </w:r>
    </w:p>
    <w:p w14:paraId="4A267279" w14:textId="77777777" w:rsidR="00467FCA" w:rsidRDefault="00467FCA">
      <w:pPr>
        <w:pStyle w:val="Textoindependiente"/>
      </w:pPr>
    </w:p>
    <w:p w14:paraId="40027036" w14:textId="77777777" w:rsidR="00467FCA" w:rsidRDefault="001B68EB">
      <w:pPr>
        <w:pStyle w:val="Prrafodelista"/>
        <w:numPr>
          <w:ilvl w:val="0"/>
          <w:numId w:val="32"/>
        </w:numPr>
        <w:tabs>
          <w:tab w:val="left" w:pos="810"/>
        </w:tabs>
        <w:ind w:right="116" w:hanging="1"/>
        <w:jc w:val="both"/>
        <w:rPr>
          <w:sz w:val="20"/>
        </w:rPr>
      </w:pPr>
      <w:r>
        <w:rPr>
          <w:sz w:val="20"/>
        </w:rPr>
        <w:t>Ahora bien, los porcentajes obligatorios de gasto en salu</w:t>
      </w:r>
      <w:r>
        <w:rPr>
          <w:sz w:val="20"/>
        </w:rPr>
        <w:t>d y educación no se excluyeron del techo. La Constitución brasileña exige que los gobiernos apliquen un porcentaje mínimo de sus ingresos a la educación</w:t>
      </w:r>
      <w:hyperlink w:anchor="_bookmark526" w:history="1">
        <w:r>
          <w:rPr>
            <w:position w:val="7"/>
            <w:sz w:val="13"/>
          </w:rPr>
          <w:t>14</w:t>
        </w:r>
      </w:hyperlink>
      <w:r>
        <w:rPr>
          <w:position w:val="7"/>
          <w:sz w:val="13"/>
        </w:rPr>
        <w:t xml:space="preserve"> </w:t>
      </w:r>
      <w:r>
        <w:rPr>
          <w:sz w:val="20"/>
        </w:rPr>
        <w:t>y la salud</w:t>
      </w:r>
      <w:hyperlink w:anchor="_bookmark527" w:history="1">
        <w:r>
          <w:rPr>
            <w:position w:val="7"/>
            <w:sz w:val="13"/>
          </w:rPr>
          <w:t>15</w:t>
        </w:r>
      </w:hyperlink>
      <w:r>
        <w:rPr>
          <w:sz w:val="20"/>
        </w:rPr>
        <w:t>. Antes de que la EC/95 e</w:t>
      </w:r>
      <w:r>
        <w:rPr>
          <w:sz w:val="20"/>
        </w:rPr>
        <w:t>ntrara en vigor, el Gobierno Federal estaba obligado a aplicar a la salud al menos</w:t>
      </w:r>
      <w:r>
        <w:rPr>
          <w:spacing w:val="-14"/>
          <w:sz w:val="20"/>
        </w:rPr>
        <w:t xml:space="preserve"> </w:t>
      </w:r>
      <w:r>
        <w:rPr>
          <w:sz w:val="20"/>
        </w:rPr>
        <w:t>la</w:t>
      </w:r>
      <w:r>
        <w:rPr>
          <w:spacing w:val="-12"/>
          <w:sz w:val="20"/>
        </w:rPr>
        <w:t xml:space="preserve"> </w:t>
      </w:r>
      <w:r>
        <w:rPr>
          <w:sz w:val="20"/>
        </w:rPr>
        <w:t>misma</w:t>
      </w:r>
      <w:r>
        <w:rPr>
          <w:spacing w:val="-11"/>
          <w:sz w:val="20"/>
        </w:rPr>
        <w:t xml:space="preserve"> </w:t>
      </w:r>
      <w:r>
        <w:rPr>
          <w:sz w:val="20"/>
        </w:rPr>
        <w:t>cantidad</w:t>
      </w:r>
      <w:r>
        <w:rPr>
          <w:spacing w:val="-12"/>
          <w:sz w:val="20"/>
        </w:rPr>
        <w:t xml:space="preserve"> </w:t>
      </w:r>
      <w:r>
        <w:rPr>
          <w:sz w:val="20"/>
        </w:rPr>
        <w:t>que</w:t>
      </w:r>
      <w:r>
        <w:rPr>
          <w:spacing w:val="-14"/>
          <w:sz w:val="20"/>
        </w:rPr>
        <w:t xml:space="preserve"> </w:t>
      </w:r>
      <w:r>
        <w:rPr>
          <w:sz w:val="20"/>
        </w:rPr>
        <w:t>el</w:t>
      </w:r>
      <w:r>
        <w:rPr>
          <w:spacing w:val="-12"/>
          <w:sz w:val="20"/>
        </w:rPr>
        <w:t xml:space="preserve"> </w:t>
      </w:r>
      <w:r>
        <w:rPr>
          <w:sz w:val="20"/>
        </w:rPr>
        <w:t>año</w:t>
      </w:r>
      <w:r>
        <w:rPr>
          <w:spacing w:val="-15"/>
          <w:sz w:val="20"/>
        </w:rPr>
        <w:t xml:space="preserve"> </w:t>
      </w:r>
      <w:r>
        <w:rPr>
          <w:sz w:val="20"/>
        </w:rPr>
        <w:t>anterior,</w:t>
      </w:r>
      <w:r>
        <w:rPr>
          <w:spacing w:val="-13"/>
          <w:sz w:val="20"/>
        </w:rPr>
        <w:t xml:space="preserve"> </w:t>
      </w:r>
      <w:r>
        <w:rPr>
          <w:sz w:val="20"/>
        </w:rPr>
        <w:t>más</w:t>
      </w:r>
      <w:r>
        <w:rPr>
          <w:spacing w:val="-13"/>
          <w:sz w:val="20"/>
        </w:rPr>
        <w:t xml:space="preserve"> </w:t>
      </w:r>
      <w:r>
        <w:rPr>
          <w:sz w:val="20"/>
        </w:rPr>
        <w:t>el</w:t>
      </w:r>
      <w:r>
        <w:rPr>
          <w:spacing w:val="-13"/>
          <w:sz w:val="20"/>
        </w:rPr>
        <w:t xml:space="preserve"> </w:t>
      </w:r>
      <w:r>
        <w:rPr>
          <w:sz w:val="20"/>
        </w:rPr>
        <w:t>porcentaje</w:t>
      </w:r>
      <w:r>
        <w:rPr>
          <w:spacing w:val="-14"/>
          <w:sz w:val="20"/>
        </w:rPr>
        <w:t xml:space="preserve"> </w:t>
      </w:r>
      <w:r>
        <w:rPr>
          <w:sz w:val="20"/>
        </w:rPr>
        <w:t>de</w:t>
      </w:r>
      <w:r>
        <w:rPr>
          <w:spacing w:val="-14"/>
          <w:sz w:val="20"/>
        </w:rPr>
        <w:t xml:space="preserve"> </w:t>
      </w:r>
      <w:r>
        <w:rPr>
          <w:sz w:val="20"/>
        </w:rPr>
        <w:t>variación</w:t>
      </w:r>
      <w:r>
        <w:rPr>
          <w:spacing w:val="-12"/>
          <w:sz w:val="20"/>
        </w:rPr>
        <w:t xml:space="preserve"> </w:t>
      </w:r>
      <w:r>
        <w:rPr>
          <w:sz w:val="20"/>
        </w:rPr>
        <w:t>del</w:t>
      </w:r>
      <w:r>
        <w:rPr>
          <w:spacing w:val="-13"/>
          <w:sz w:val="20"/>
        </w:rPr>
        <w:t xml:space="preserve"> </w:t>
      </w:r>
      <w:r>
        <w:rPr>
          <w:sz w:val="20"/>
        </w:rPr>
        <w:t>PIB. Los</w:t>
      </w:r>
      <w:r>
        <w:rPr>
          <w:spacing w:val="-13"/>
          <w:sz w:val="20"/>
        </w:rPr>
        <w:t xml:space="preserve"> </w:t>
      </w:r>
      <w:r>
        <w:rPr>
          <w:sz w:val="20"/>
        </w:rPr>
        <w:t>estados</w:t>
      </w:r>
      <w:r>
        <w:rPr>
          <w:spacing w:val="-14"/>
          <w:sz w:val="20"/>
        </w:rPr>
        <w:t xml:space="preserve"> </w:t>
      </w:r>
      <w:r>
        <w:rPr>
          <w:sz w:val="20"/>
        </w:rPr>
        <w:t>y</w:t>
      </w:r>
      <w:r>
        <w:rPr>
          <w:spacing w:val="-12"/>
          <w:sz w:val="20"/>
        </w:rPr>
        <w:t xml:space="preserve"> </w:t>
      </w:r>
      <w:r>
        <w:rPr>
          <w:sz w:val="20"/>
        </w:rPr>
        <w:t>municipios</w:t>
      </w:r>
      <w:r>
        <w:rPr>
          <w:spacing w:val="-14"/>
          <w:sz w:val="20"/>
        </w:rPr>
        <w:t xml:space="preserve"> </w:t>
      </w:r>
      <w:r>
        <w:rPr>
          <w:sz w:val="20"/>
        </w:rPr>
        <w:t>deben</w:t>
      </w:r>
      <w:r>
        <w:rPr>
          <w:spacing w:val="-14"/>
          <w:sz w:val="20"/>
        </w:rPr>
        <w:t xml:space="preserve"> </w:t>
      </w:r>
      <w:r>
        <w:rPr>
          <w:sz w:val="20"/>
        </w:rPr>
        <w:t>invertir</w:t>
      </w:r>
      <w:r>
        <w:rPr>
          <w:spacing w:val="-13"/>
          <w:sz w:val="20"/>
        </w:rPr>
        <w:t xml:space="preserve"> </w:t>
      </w:r>
      <w:r>
        <w:rPr>
          <w:sz w:val="20"/>
        </w:rPr>
        <w:t>12%</w:t>
      </w:r>
      <w:r>
        <w:rPr>
          <w:spacing w:val="-12"/>
          <w:sz w:val="20"/>
        </w:rPr>
        <w:t xml:space="preserve"> </w:t>
      </w:r>
      <w:r>
        <w:rPr>
          <w:sz w:val="20"/>
        </w:rPr>
        <w:t>y</w:t>
      </w:r>
      <w:r>
        <w:rPr>
          <w:spacing w:val="-13"/>
          <w:sz w:val="20"/>
        </w:rPr>
        <w:t xml:space="preserve"> </w:t>
      </w:r>
      <w:r>
        <w:rPr>
          <w:sz w:val="20"/>
        </w:rPr>
        <w:t>15%,</w:t>
      </w:r>
      <w:r>
        <w:rPr>
          <w:spacing w:val="-12"/>
          <w:sz w:val="20"/>
        </w:rPr>
        <w:t xml:space="preserve"> </w:t>
      </w:r>
      <w:r>
        <w:rPr>
          <w:sz w:val="20"/>
        </w:rPr>
        <w:t>respectivamente.</w:t>
      </w:r>
      <w:r>
        <w:rPr>
          <w:spacing w:val="-9"/>
          <w:sz w:val="20"/>
        </w:rPr>
        <w:t xml:space="preserve"> </w:t>
      </w:r>
      <w:r>
        <w:rPr>
          <w:sz w:val="20"/>
        </w:rPr>
        <w:t>En</w:t>
      </w:r>
      <w:r>
        <w:rPr>
          <w:spacing w:val="-14"/>
          <w:sz w:val="20"/>
        </w:rPr>
        <w:t xml:space="preserve"> </w:t>
      </w:r>
      <w:r>
        <w:rPr>
          <w:sz w:val="20"/>
        </w:rPr>
        <w:t>educación, el</w:t>
      </w:r>
      <w:r>
        <w:rPr>
          <w:spacing w:val="-5"/>
          <w:sz w:val="20"/>
        </w:rPr>
        <w:t xml:space="preserve"> </w:t>
      </w:r>
      <w:r>
        <w:rPr>
          <w:sz w:val="20"/>
        </w:rPr>
        <w:t>Gobierno</w:t>
      </w:r>
      <w:r>
        <w:rPr>
          <w:spacing w:val="-7"/>
          <w:sz w:val="20"/>
        </w:rPr>
        <w:t xml:space="preserve"> </w:t>
      </w:r>
      <w:r>
        <w:rPr>
          <w:sz w:val="20"/>
        </w:rPr>
        <w:t>Federal</w:t>
      </w:r>
      <w:r>
        <w:rPr>
          <w:spacing w:val="-4"/>
          <w:sz w:val="20"/>
        </w:rPr>
        <w:t xml:space="preserve"> </w:t>
      </w:r>
      <w:r>
        <w:rPr>
          <w:sz w:val="20"/>
        </w:rPr>
        <w:t>debe</w:t>
      </w:r>
      <w:r>
        <w:rPr>
          <w:spacing w:val="-7"/>
          <w:sz w:val="20"/>
        </w:rPr>
        <w:t xml:space="preserve"> </w:t>
      </w:r>
      <w:r>
        <w:rPr>
          <w:sz w:val="20"/>
        </w:rPr>
        <w:t>gastar</w:t>
      </w:r>
      <w:r>
        <w:rPr>
          <w:spacing w:val="-7"/>
          <w:sz w:val="20"/>
        </w:rPr>
        <w:t xml:space="preserve"> </w:t>
      </w:r>
      <w:r>
        <w:rPr>
          <w:sz w:val="20"/>
        </w:rPr>
        <w:t>el</w:t>
      </w:r>
      <w:r>
        <w:rPr>
          <w:spacing w:val="-4"/>
          <w:sz w:val="20"/>
        </w:rPr>
        <w:t xml:space="preserve"> </w:t>
      </w:r>
      <w:r>
        <w:rPr>
          <w:sz w:val="20"/>
        </w:rPr>
        <w:t>18%</w:t>
      </w:r>
      <w:r>
        <w:rPr>
          <w:spacing w:val="-6"/>
          <w:sz w:val="20"/>
        </w:rPr>
        <w:t xml:space="preserve"> </w:t>
      </w:r>
      <w:r>
        <w:rPr>
          <w:sz w:val="20"/>
        </w:rPr>
        <w:t>de</w:t>
      </w:r>
      <w:r>
        <w:rPr>
          <w:spacing w:val="-7"/>
          <w:sz w:val="20"/>
        </w:rPr>
        <w:t xml:space="preserve"> </w:t>
      </w:r>
      <w:r>
        <w:rPr>
          <w:sz w:val="20"/>
        </w:rPr>
        <w:t>lo</w:t>
      </w:r>
      <w:r>
        <w:rPr>
          <w:spacing w:val="-3"/>
          <w:sz w:val="20"/>
        </w:rPr>
        <w:t xml:space="preserve"> </w:t>
      </w:r>
      <w:r>
        <w:rPr>
          <w:sz w:val="20"/>
        </w:rPr>
        <w:t>recaudado,</w:t>
      </w:r>
      <w:r>
        <w:rPr>
          <w:spacing w:val="-6"/>
          <w:sz w:val="20"/>
        </w:rPr>
        <w:t xml:space="preserve"> </w:t>
      </w:r>
      <w:r>
        <w:rPr>
          <w:sz w:val="20"/>
        </w:rPr>
        <w:t>y</w:t>
      </w:r>
      <w:r>
        <w:rPr>
          <w:spacing w:val="-4"/>
          <w:sz w:val="20"/>
        </w:rPr>
        <w:t xml:space="preserve"> </w:t>
      </w:r>
      <w:r>
        <w:rPr>
          <w:sz w:val="20"/>
        </w:rPr>
        <w:t>los</w:t>
      </w:r>
      <w:r>
        <w:rPr>
          <w:spacing w:val="-3"/>
          <w:sz w:val="20"/>
        </w:rPr>
        <w:t xml:space="preserve"> </w:t>
      </w:r>
      <w:r>
        <w:rPr>
          <w:sz w:val="20"/>
        </w:rPr>
        <w:t>estados</w:t>
      </w:r>
      <w:r>
        <w:rPr>
          <w:spacing w:val="-1"/>
          <w:sz w:val="20"/>
        </w:rPr>
        <w:t xml:space="preserve"> </w:t>
      </w:r>
      <w:r>
        <w:rPr>
          <w:sz w:val="20"/>
        </w:rPr>
        <w:t>y</w:t>
      </w:r>
      <w:r>
        <w:rPr>
          <w:spacing w:val="-6"/>
          <w:sz w:val="20"/>
        </w:rPr>
        <w:t xml:space="preserve"> </w:t>
      </w:r>
      <w:r>
        <w:rPr>
          <w:sz w:val="20"/>
        </w:rPr>
        <w:t>municipios, el</w:t>
      </w:r>
      <w:r>
        <w:rPr>
          <w:spacing w:val="-21"/>
          <w:sz w:val="20"/>
        </w:rPr>
        <w:t xml:space="preserve"> </w:t>
      </w:r>
      <w:r>
        <w:rPr>
          <w:sz w:val="20"/>
        </w:rPr>
        <w:t>25%.</w:t>
      </w:r>
      <w:r>
        <w:rPr>
          <w:spacing w:val="-18"/>
          <w:sz w:val="20"/>
        </w:rPr>
        <w:t xml:space="preserve"> </w:t>
      </w:r>
      <w:r>
        <w:rPr>
          <w:sz w:val="20"/>
        </w:rPr>
        <w:t>Desde</w:t>
      </w:r>
      <w:r>
        <w:rPr>
          <w:spacing w:val="-21"/>
          <w:sz w:val="20"/>
        </w:rPr>
        <w:t xml:space="preserve"> </w:t>
      </w:r>
      <w:r>
        <w:rPr>
          <w:sz w:val="20"/>
        </w:rPr>
        <w:t>2017,</w:t>
      </w:r>
      <w:r>
        <w:rPr>
          <w:spacing w:val="-20"/>
          <w:sz w:val="20"/>
        </w:rPr>
        <w:t xml:space="preserve"> </w:t>
      </w:r>
      <w:r>
        <w:rPr>
          <w:sz w:val="20"/>
        </w:rPr>
        <w:t>por</w:t>
      </w:r>
      <w:r>
        <w:rPr>
          <w:spacing w:val="-22"/>
          <w:sz w:val="20"/>
        </w:rPr>
        <w:t xml:space="preserve"> </w:t>
      </w:r>
      <w:r>
        <w:rPr>
          <w:sz w:val="20"/>
        </w:rPr>
        <w:t>disposición</w:t>
      </w:r>
      <w:r>
        <w:rPr>
          <w:spacing w:val="-19"/>
          <w:sz w:val="20"/>
        </w:rPr>
        <w:t xml:space="preserve"> </w:t>
      </w:r>
      <w:r>
        <w:rPr>
          <w:sz w:val="20"/>
        </w:rPr>
        <w:t>de</w:t>
      </w:r>
      <w:r>
        <w:rPr>
          <w:spacing w:val="-21"/>
          <w:sz w:val="20"/>
        </w:rPr>
        <w:t xml:space="preserve"> </w:t>
      </w:r>
      <w:r>
        <w:rPr>
          <w:sz w:val="20"/>
        </w:rPr>
        <w:t>la</w:t>
      </w:r>
      <w:r>
        <w:rPr>
          <w:spacing w:val="-20"/>
          <w:sz w:val="20"/>
        </w:rPr>
        <w:t xml:space="preserve"> </w:t>
      </w:r>
      <w:r>
        <w:rPr>
          <w:sz w:val="20"/>
        </w:rPr>
        <w:t>EC/95,</w:t>
      </w:r>
      <w:r>
        <w:rPr>
          <w:spacing w:val="-20"/>
          <w:sz w:val="20"/>
        </w:rPr>
        <w:t xml:space="preserve"> </w:t>
      </w:r>
      <w:r>
        <w:rPr>
          <w:sz w:val="20"/>
        </w:rPr>
        <w:t>las</w:t>
      </w:r>
      <w:r>
        <w:rPr>
          <w:spacing w:val="-22"/>
          <w:sz w:val="20"/>
        </w:rPr>
        <w:t xml:space="preserve"> </w:t>
      </w:r>
      <w:r>
        <w:rPr>
          <w:sz w:val="20"/>
        </w:rPr>
        <w:t>inversiones</w:t>
      </w:r>
      <w:r>
        <w:rPr>
          <w:spacing w:val="-18"/>
          <w:sz w:val="20"/>
        </w:rPr>
        <w:t xml:space="preserve"> </w:t>
      </w:r>
      <w:r>
        <w:rPr>
          <w:sz w:val="20"/>
        </w:rPr>
        <w:t>en</w:t>
      </w:r>
      <w:r>
        <w:rPr>
          <w:spacing w:val="-19"/>
          <w:sz w:val="20"/>
        </w:rPr>
        <w:t xml:space="preserve"> </w:t>
      </w:r>
      <w:r>
        <w:rPr>
          <w:sz w:val="20"/>
        </w:rPr>
        <w:t>salud</w:t>
      </w:r>
      <w:r>
        <w:rPr>
          <w:spacing w:val="-20"/>
          <w:sz w:val="20"/>
        </w:rPr>
        <w:t xml:space="preserve"> </w:t>
      </w:r>
      <w:r>
        <w:rPr>
          <w:sz w:val="20"/>
        </w:rPr>
        <w:t>y</w:t>
      </w:r>
      <w:r>
        <w:rPr>
          <w:spacing w:val="-20"/>
          <w:sz w:val="20"/>
        </w:rPr>
        <w:t xml:space="preserve"> </w:t>
      </w:r>
      <w:r>
        <w:rPr>
          <w:sz w:val="20"/>
        </w:rPr>
        <w:t>educación se deben limitar a los mínimos constitucionales más la corrección monetaria</w:t>
      </w:r>
      <w:r>
        <w:rPr>
          <w:sz w:val="20"/>
        </w:rPr>
        <w:t xml:space="preserve"> a raíz de la</w:t>
      </w:r>
      <w:r>
        <w:rPr>
          <w:spacing w:val="-3"/>
          <w:sz w:val="20"/>
        </w:rPr>
        <w:t xml:space="preserve"> </w:t>
      </w:r>
      <w:r>
        <w:rPr>
          <w:sz w:val="20"/>
        </w:rPr>
        <w:t>inflación</w:t>
      </w:r>
      <w:hyperlink w:anchor="_bookmark528" w:history="1">
        <w:r>
          <w:rPr>
            <w:position w:val="7"/>
            <w:sz w:val="13"/>
          </w:rPr>
          <w:t>16</w:t>
        </w:r>
      </w:hyperlink>
      <w:r>
        <w:rPr>
          <w:sz w:val="20"/>
        </w:rPr>
        <w:t>.</w:t>
      </w:r>
    </w:p>
    <w:p w14:paraId="3897A2CE" w14:textId="77777777" w:rsidR="00467FCA" w:rsidRDefault="00467FCA">
      <w:pPr>
        <w:pStyle w:val="Textoindependiente"/>
        <w:rPr>
          <w:sz w:val="24"/>
        </w:rPr>
      </w:pPr>
    </w:p>
    <w:p w14:paraId="2C4D94D9" w14:textId="77777777" w:rsidR="00467FCA" w:rsidRDefault="001B68EB">
      <w:pPr>
        <w:pStyle w:val="Ttulo1"/>
        <w:numPr>
          <w:ilvl w:val="0"/>
          <w:numId w:val="33"/>
        </w:numPr>
        <w:tabs>
          <w:tab w:val="left" w:pos="1517"/>
          <w:tab w:val="left" w:pos="1518"/>
          <w:tab w:val="left" w:pos="2016"/>
          <w:tab w:val="left" w:pos="4284"/>
          <w:tab w:val="left" w:pos="6161"/>
          <w:tab w:val="left" w:pos="7947"/>
          <w:tab w:val="left" w:pos="8316"/>
        </w:tabs>
        <w:spacing w:before="193"/>
        <w:ind w:right="122" w:hanging="756"/>
        <w:jc w:val="left"/>
      </w:pPr>
      <w:r>
        <w:t>La</w:t>
      </w:r>
      <w:r>
        <w:tab/>
        <w:t>interdependencia,</w:t>
      </w:r>
      <w:r>
        <w:tab/>
        <w:t>indivisibilidad,</w:t>
      </w:r>
      <w:r>
        <w:tab/>
        <w:t>progresividad</w:t>
      </w:r>
      <w:r>
        <w:tab/>
        <w:t>y</w:t>
      </w:r>
      <w:r>
        <w:tab/>
      </w:r>
      <w:r>
        <w:rPr>
          <w:spacing w:val="-10"/>
        </w:rPr>
        <w:t xml:space="preserve">no </w:t>
      </w:r>
      <w:r>
        <w:t>regresividad de los derechos</w:t>
      </w:r>
      <w:r>
        <w:rPr>
          <w:spacing w:val="-4"/>
        </w:rPr>
        <w:t xml:space="preserve"> </w:t>
      </w:r>
      <w:r>
        <w:t>humanos</w:t>
      </w:r>
    </w:p>
    <w:p w14:paraId="375424C5" w14:textId="77777777" w:rsidR="00467FCA" w:rsidRDefault="00467FCA">
      <w:pPr>
        <w:pStyle w:val="Textoindependiente"/>
        <w:spacing w:before="1"/>
        <w:rPr>
          <w:b/>
        </w:rPr>
      </w:pPr>
    </w:p>
    <w:p w14:paraId="32136E89" w14:textId="77777777" w:rsidR="00467FCA" w:rsidRDefault="001B68EB">
      <w:pPr>
        <w:pStyle w:val="Prrafodelista"/>
        <w:numPr>
          <w:ilvl w:val="0"/>
          <w:numId w:val="32"/>
        </w:numPr>
        <w:tabs>
          <w:tab w:val="left" w:pos="810"/>
        </w:tabs>
        <w:ind w:left="100" w:right="116" w:firstLine="0"/>
        <w:jc w:val="both"/>
        <w:rPr>
          <w:sz w:val="20"/>
        </w:rPr>
      </w:pPr>
      <w:r>
        <w:rPr>
          <w:sz w:val="20"/>
        </w:rPr>
        <w:t>La indivisibilidad e interdependencia de los derechos humanos ha sido reconocida y reafirmada en diversas oportunidades, por distintos organismos nacionales</w:t>
      </w:r>
      <w:r>
        <w:rPr>
          <w:spacing w:val="-3"/>
          <w:sz w:val="20"/>
        </w:rPr>
        <w:t xml:space="preserve"> </w:t>
      </w:r>
      <w:r>
        <w:rPr>
          <w:sz w:val="20"/>
        </w:rPr>
        <w:t>e</w:t>
      </w:r>
      <w:r>
        <w:rPr>
          <w:spacing w:val="-7"/>
          <w:sz w:val="20"/>
        </w:rPr>
        <w:t xml:space="preserve"> </w:t>
      </w:r>
      <w:r>
        <w:rPr>
          <w:sz w:val="20"/>
        </w:rPr>
        <w:t>internaciones.</w:t>
      </w:r>
      <w:r>
        <w:rPr>
          <w:spacing w:val="-5"/>
          <w:sz w:val="20"/>
        </w:rPr>
        <w:t xml:space="preserve"> </w:t>
      </w:r>
      <w:r>
        <w:rPr>
          <w:sz w:val="20"/>
        </w:rPr>
        <w:t>En</w:t>
      </w:r>
      <w:r>
        <w:rPr>
          <w:spacing w:val="-6"/>
          <w:sz w:val="20"/>
        </w:rPr>
        <w:t xml:space="preserve"> </w:t>
      </w:r>
      <w:r>
        <w:rPr>
          <w:sz w:val="20"/>
        </w:rPr>
        <w:t>consecuencia,</w:t>
      </w:r>
      <w:r>
        <w:rPr>
          <w:spacing w:val="-5"/>
          <w:sz w:val="20"/>
        </w:rPr>
        <w:t xml:space="preserve"> </w:t>
      </w:r>
      <w:r>
        <w:rPr>
          <w:sz w:val="20"/>
        </w:rPr>
        <w:t>es</w:t>
      </w:r>
      <w:r>
        <w:rPr>
          <w:spacing w:val="-5"/>
          <w:sz w:val="20"/>
        </w:rPr>
        <w:t xml:space="preserve"> </w:t>
      </w:r>
      <w:r>
        <w:rPr>
          <w:sz w:val="20"/>
        </w:rPr>
        <w:t>pacífica</w:t>
      </w:r>
      <w:r>
        <w:rPr>
          <w:spacing w:val="-4"/>
          <w:sz w:val="20"/>
        </w:rPr>
        <w:t xml:space="preserve"> </w:t>
      </w:r>
      <w:r>
        <w:rPr>
          <w:sz w:val="20"/>
        </w:rPr>
        <w:t>y</w:t>
      </w:r>
      <w:r>
        <w:rPr>
          <w:spacing w:val="-7"/>
          <w:sz w:val="20"/>
        </w:rPr>
        <w:t xml:space="preserve"> </w:t>
      </w:r>
      <w:r>
        <w:rPr>
          <w:sz w:val="20"/>
        </w:rPr>
        <w:t>generalmente</w:t>
      </w:r>
      <w:r>
        <w:rPr>
          <w:spacing w:val="-5"/>
          <w:sz w:val="20"/>
        </w:rPr>
        <w:t xml:space="preserve"> </w:t>
      </w:r>
      <w:r>
        <w:rPr>
          <w:sz w:val="20"/>
        </w:rPr>
        <w:t>aceptada</w:t>
      </w:r>
      <w:r>
        <w:rPr>
          <w:spacing w:val="-6"/>
          <w:sz w:val="20"/>
        </w:rPr>
        <w:t xml:space="preserve"> </w:t>
      </w:r>
      <w:r>
        <w:rPr>
          <w:sz w:val="20"/>
        </w:rPr>
        <w:t>la comprensión de que los der</w:t>
      </w:r>
      <w:r>
        <w:rPr>
          <w:sz w:val="20"/>
        </w:rPr>
        <w:t>echos civiles y políticos y los derechos económicos, sociales, culturales y ambientales son indivisibles e interdependientes entre sí, es decir, tienen un vínculo que no solo hace que deban ser comprendidos en conjunto, sino que también implica que el goce</w:t>
      </w:r>
      <w:r>
        <w:rPr>
          <w:sz w:val="20"/>
        </w:rPr>
        <w:t xml:space="preserve"> y ejercicio de un derecho está vinculado a que se garantice los otros, así como que la violación de uno de esos derechos pone en riesgo el conjunto de los demás</w:t>
      </w:r>
      <w:r>
        <w:rPr>
          <w:spacing w:val="-6"/>
          <w:sz w:val="20"/>
        </w:rPr>
        <w:t xml:space="preserve"> </w:t>
      </w:r>
      <w:r>
        <w:rPr>
          <w:sz w:val="20"/>
        </w:rPr>
        <w:t>derechos.</w:t>
      </w:r>
    </w:p>
    <w:p w14:paraId="2E8456DC" w14:textId="77777777" w:rsidR="00467FCA" w:rsidRDefault="00467FCA">
      <w:pPr>
        <w:pStyle w:val="Textoindependiente"/>
        <w:spacing w:before="1"/>
      </w:pPr>
    </w:p>
    <w:p w14:paraId="26050EA4" w14:textId="77777777" w:rsidR="00467FCA" w:rsidRDefault="001B68EB">
      <w:pPr>
        <w:pStyle w:val="Prrafodelista"/>
        <w:numPr>
          <w:ilvl w:val="0"/>
          <w:numId w:val="32"/>
        </w:numPr>
        <w:tabs>
          <w:tab w:val="left" w:pos="810"/>
        </w:tabs>
        <w:ind w:right="116" w:hanging="1"/>
        <w:jc w:val="both"/>
        <w:rPr>
          <w:sz w:val="20"/>
        </w:rPr>
      </w:pPr>
      <w:r>
        <w:rPr>
          <w:sz w:val="20"/>
        </w:rPr>
        <w:t>En este sentido, el Preámbulo de la Convención Americana reconoce el principio de l</w:t>
      </w:r>
      <w:r>
        <w:rPr>
          <w:sz w:val="20"/>
        </w:rPr>
        <w:t>a indivisibilidad e interdependencia de los derechos humanos, cuando reitera que “sólo puede realizarse el ideal del ser humano libre, exento del temor y de la miseria, si se crean condiciones que permitan a cada persona gozar de sus derechos económicos, s</w:t>
      </w:r>
      <w:r>
        <w:rPr>
          <w:sz w:val="20"/>
        </w:rPr>
        <w:t>ociales y culturales, tanto como de sus derechos civiles y políticos”</w:t>
      </w:r>
      <w:r>
        <w:rPr>
          <w:spacing w:val="-14"/>
          <w:sz w:val="20"/>
        </w:rPr>
        <w:t xml:space="preserve"> </w:t>
      </w:r>
      <w:hyperlink w:anchor="_bookmark529" w:history="1">
        <w:r>
          <w:rPr>
            <w:position w:val="7"/>
            <w:sz w:val="13"/>
          </w:rPr>
          <w:t>17</w:t>
        </w:r>
      </w:hyperlink>
      <w:r>
        <w:rPr>
          <w:sz w:val="20"/>
        </w:rPr>
        <w:t>.</w:t>
      </w:r>
    </w:p>
    <w:p w14:paraId="2B0F5F74" w14:textId="77777777" w:rsidR="00467FCA" w:rsidRDefault="00467FCA">
      <w:pPr>
        <w:pStyle w:val="Textoindependiente"/>
      </w:pPr>
    </w:p>
    <w:p w14:paraId="07CDAFA0" w14:textId="77777777" w:rsidR="00467FCA" w:rsidRDefault="00467FCA">
      <w:pPr>
        <w:pStyle w:val="Textoindependiente"/>
      </w:pPr>
    </w:p>
    <w:p w14:paraId="78D72F5D" w14:textId="77777777" w:rsidR="00467FCA" w:rsidRDefault="00467FCA">
      <w:pPr>
        <w:pStyle w:val="Textoindependiente"/>
      </w:pPr>
    </w:p>
    <w:p w14:paraId="7241035C" w14:textId="77777777" w:rsidR="00467FCA" w:rsidRDefault="001B68EB">
      <w:pPr>
        <w:pStyle w:val="Textoindependiente"/>
        <w:spacing w:before="7"/>
        <w:rPr>
          <w:sz w:val="27"/>
        </w:rPr>
      </w:pPr>
      <w:r>
        <w:pict w14:anchorId="325F6245">
          <v:shape id="_x0000_s1110" style="position:absolute;margin-left:85.1pt;margin-top:19.05pt;width:2in;height:.1pt;z-index:-251570176;mso-wrap-distance-left:0;mso-wrap-distance-right:0;mso-position-horizontal-relative:page" coordorigin="1702,381" coordsize="2880,0" path="m1702,381r2880,e" filled="f" strokeweight=".6pt">
            <v:path arrowok="t"/>
            <w10:wrap type="topAndBottom" anchorx="page"/>
          </v:shape>
        </w:pict>
      </w:r>
    </w:p>
    <w:p w14:paraId="432AD4EF" w14:textId="77777777" w:rsidR="00467FCA" w:rsidRDefault="001B68EB">
      <w:pPr>
        <w:tabs>
          <w:tab w:val="left" w:pos="809"/>
        </w:tabs>
        <w:spacing w:before="74"/>
        <w:ind w:left="101"/>
        <w:rPr>
          <w:sz w:val="16"/>
        </w:rPr>
      </w:pPr>
      <w:bookmarkStart w:id="602" w:name="_bookmark524"/>
      <w:bookmarkEnd w:id="602"/>
      <w:r>
        <w:rPr>
          <w:position w:val="6"/>
          <w:sz w:val="10"/>
        </w:rPr>
        <w:t>12</w:t>
      </w:r>
      <w:r>
        <w:rPr>
          <w:position w:val="6"/>
          <w:sz w:val="10"/>
        </w:rPr>
        <w:tab/>
      </w:r>
      <w:r>
        <w:rPr>
          <w:i/>
          <w:sz w:val="16"/>
        </w:rPr>
        <w:t xml:space="preserve">Cfr. </w:t>
      </w:r>
      <w:r>
        <w:rPr>
          <w:sz w:val="16"/>
        </w:rPr>
        <w:t>Enmienda Constitucional N</w:t>
      </w:r>
      <w:r>
        <w:rPr>
          <w:position w:val="6"/>
          <w:sz w:val="10"/>
        </w:rPr>
        <w:t>o</w:t>
      </w:r>
      <w:r>
        <w:rPr>
          <w:sz w:val="16"/>
        </w:rPr>
        <w:t xml:space="preserve">. 95, </w:t>
      </w:r>
      <w:r>
        <w:rPr>
          <w:i/>
          <w:sz w:val="16"/>
        </w:rPr>
        <w:t>supra</w:t>
      </w:r>
      <w:r>
        <w:rPr>
          <w:sz w:val="16"/>
        </w:rPr>
        <w:t>, Artículo 1º, Art. 108 del</w:t>
      </w:r>
      <w:r>
        <w:rPr>
          <w:spacing w:val="-12"/>
          <w:sz w:val="16"/>
        </w:rPr>
        <w:t xml:space="preserve"> </w:t>
      </w:r>
      <w:r>
        <w:rPr>
          <w:sz w:val="16"/>
        </w:rPr>
        <w:t>ADCT.</w:t>
      </w:r>
    </w:p>
    <w:p w14:paraId="5D37C00C" w14:textId="77777777" w:rsidR="00467FCA" w:rsidRDefault="001B68EB">
      <w:pPr>
        <w:tabs>
          <w:tab w:val="left" w:pos="809"/>
        </w:tabs>
        <w:ind w:left="101"/>
        <w:rPr>
          <w:sz w:val="16"/>
        </w:rPr>
      </w:pPr>
      <w:bookmarkStart w:id="603" w:name="_bookmark525"/>
      <w:bookmarkEnd w:id="603"/>
      <w:r>
        <w:rPr>
          <w:position w:val="6"/>
          <w:sz w:val="10"/>
        </w:rPr>
        <w:t>13</w:t>
      </w:r>
      <w:r>
        <w:rPr>
          <w:position w:val="6"/>
          <w:sz w:val="10"/>
        </w:rPr>
        <w:tab/>
      </w:r>
      <w:r>
        <w:rPr>
          <w:i/>
          <w:sz w:val="16"/>
        </w:rPr>
        <w:t xml:space="preserve">Cfr. </w:t>
      </w:r>
      <w:r>
        <w:rPr>
          <w:sz w:val="16"/>
        </w:rPr>
        <w:t>Enmienda Constitucional N</w:t>
      </w:r>
      <w:r>
        <w:rPr>
          <w:position w:val="6"/>
          <w:sz w:val="10"/>
        </w:rPr>
        <w:t>o</w:t>
      </w:r>
      <w:r>
        <w:rPr>
          <w:sz w:val="16"/>
        </w:rPr>
        <w:t xml:space="preserve">. 95, </w:t>
      </w:r>
      <w:r>
        <w:rPr>
          <w:i/>
          <w:sz w:val="16"/>
        </w:rPr>
        <w:t>supra</w:t>
      </w:r>
      <w:r>
        <w:rPr>
          <w:sz w:val="16"/>
        </w:rPr>
        <w:t>, Artículo 1º, Art. 107 del ADCT, párr. 6º, I, II y</w:t>
      </w:r>
      <w:r>
        <w:rPr>
          <w:spacing w:val="-24"/>
          <w:sz w:val="16"/>
        </w:rPr>
        <w:t xml:space="preserve"> </w:t>
      </w:r>
      <w:r>
        <w:rPr>
          <w:sz w:val="16"/>
        </w:rPr>
        <w:t>III.</w:t>
      </w:r>
    </w:p>
    <w:p w14:paraId="3ECF636D" w14:textId="77777777" w:rsidR="00467FCA" w:rsidRDefault="001B68EB">
      <w:pPr>
        <w:tabs>
          <w:tab w:val="left" w:pos="809"/>
        </w:tabs>
        <w:ind w:left="101" w:right="113"/>
        <w:rPr>
          <w:sz w:val="16"/>
        </w:rPr>
      </w:pPr>
      <w:bookmarkStart w:id="604" w:name="_bookmark526"/>
      <w:bookmarkEnd w:id="604"/>
      <w:r>
        <w:rPr>
          <w:position w:val="6"/>
          <w:sz w:val="10"/>
        </w:rPr>
        <w:t>14</w:t>
      </w:r>
      <w:r>
        <w:rPr>
          <w:position w:val="6"/>
          <w:sz w:val="10"/>
        </w:rPr>
        <w:tab/>
      </w:r>
      <w:r>
        <w:rPr>
          <w:i/>
          <w:sz w:val="16"/>
        </w:rPr>
        <w:t xml:space="preserve">Cfr. </w:t>
      </w:r>
      <w:r>
        <w:rPr>
          <w:sz w:val="16"/>
        </w:rPr>
        <w:t>Constitución de la República Federativa de Brasil, promulgada el 5 de octubre de 1988, Artículo 212, disponible en:</w:t>
      </w:r>
      <w:r>
        <w:rPr>
          <w:spacing w:val="-11"/>
          <w:sz w:val="16"/>
        </w:rPr>
        <w:t xml:space="preserve"> </w:t>
      </w:r>
      <w:hyperlink r:id="rId51">
        <w:r>
          <w:rPr>
            <w:sz w:val="16"/>
            <w:u w:val="single"/>
          </w:rPr>
          <w:t>http://www.planalto.gov.br/ccivil_03/constituicao/constituicao.htm</w:t>
        </w:r>
        <w:r>
          <w:rPr>
            <w:sz w:val="16"/>
          </w:rPr>
          <w:t>.</w:t>
        </w:r>
      </w:hyperlink>
    </w:p>
    <w:p w14:paraId="352628FC" w14:textId="77777777" w:rsidR="00467FCA" w:rsidRDefault="001B68EB">
      <w:pPr>
        <w:tabs>
          <w:tab w:val="left" w:pos="809"/>
        </w:tabs>
        <w:ind w:left="101"/>
        <w:rPr>
          <w:sz w:val="16"/>
        </w:rPr>
      </w:pPr>
      <w:bookmarkStart w:id="605" w:name="_bookmark527"/>
      <w:bookmarkEnd w:id="605"/>
      <w:r>
        <w:rPr>
          <w:position w:val="6"/>
          <w:sz w:val="10"/>
        </w:rPr>
        <w:t>15</w:t>
      </w:r>
      <w:r>
        <w:rPr>
          <w:position w:val="6"/>
          <w:sz w:val="10"/>
        </w:rPr>
        <w:tab/>
      </w:r>
      <w:r>
        <w:rPr>
          <w:i/>
          <w:sz w:val="16"/>
        </w:rPr>
        <w:t xml:space="preserve">Cfr. </w:t>
      </w:r>
      <w:r>
        <w:rPr>
          <w:sz w:val="16"/>
        </w:rPr>
        <w:t xml:space="preserve">Constitución de Brasil, </w:t>
      </w:r>
      <w:r>
        <w:rPr>
          <w:i/>
          <w:sz w:val="16"/>
        </w:rPr>
        <w:t>supra</w:t>
      </w:r>
      <w:r>
        <w:rPr>
          <w:sz w:val="16"/>
        </w:rPr>
        <w:t>, Artículo 198, párr.</w:t>
      </w:r>
      <w:r>
        <w:rPr>
          <w:spacing w:val="-8"/>
          <w:sz w:val="16"/>
        </w:rPr>
        <w:t xml:space="preserve"> </w:t>
      </w:r>
      <w:r>
        <w:rPr>
          <w:sz w:val="16"/>
        </w:rPr>
        <w:t>2º.</w:t>
      </w:r>
    </w:p>
    <w:p w14:paraId="13FF23F7" w14:textId="77777777" w:rsidR="00467FCA" w:rsidRDefault="001B68EB">
      <w:pPr>
        <w:tabs>
          <w:tab w:val="left" w:pos="809"/>
        </w:tabs>
        <w:ind w:left="101"/>
        <w:rPr>
          <w:sz w:val="16"/>
        </w:rPr>
      </w:pPr>
      <w:bookmarkStart w:id="606" w:name="_bookmark528"/>
      <w:bookmarkEnd w:id="606"/>
      <w:r>
        <w:rPr>
          <w:position w:val="6"/>
          <w:sz w:val="10"/>
        </w:rPr>
        <w:t>16</w:t>
      </w:r>
      <w:r>
        <w:rPr>
          <w:position w:val="6"/>
          <w:sz w:val="10"/>
        </w:rPr>
        <w:tab/>
      </w:r>
      <w:r>
        <w:rPr>
          <w:i/>
          <w:sz w:val="16"/>
        </w:rPr>
        <w:t xml:space="preserve">Cfr. </w:t>
      </w:r>
      <w:r>
        <w:rPr>
          <w:sz w:val="16"/>
        </w:rPr>
        <w:t>Enmienda Constitucional N</w:t>
      </w:r>
      <w:r>
        <w:rPr>
          <w:position w:val="6"/>
          <w:sz w:val="10"/>
        </w:rPr>
        <w:t>o</w:t>
      </w:r>
      <w:r>
        <w:rPr>
          <w:sz w:val="16"/>
        </w:rPr>
        <w:t xml:space="preserve">. 95, </w:t>
      </w:r>
      <w:r>
        <w:rPr>
          <w:i/>
          <w:sz w:val="16"/>
        </w:rPr>
        <w:t>supra</w:t>
      </w:r>
      <w:r>
        <w:rPr>
          <w:sz w:val="16"/>
        </w:rPr>
        <w:t>, Artículo 1º, Art. 110 del</w:t>
      </w:r>
      <w:r>
        <w:rPr>
          <w:spacing w:val="-12"/>
          <w:sz w:val="16"/>
        </w:rPr>
        <w:t xml:space="preserve"> </w:t>
      </w:r>
      <w:r>
        <w:rPr>
          <w:sz w:val="16"/>
        </w:rPr>
        <w:t>ADCT.</w:t>
      </w:r>
    </w:p>
    <w:p w14:paraId="3E137B18" w14:textId="77777777" w:rsidR="00467FCA" w:rsidRDefault="001B68EB">
      <w:pPr>
        <w:tabs>
          <w:tab w:val="left" w:pos="809"/>
        </w:tabs>
        <w:ind w:left="101"/>
        <w:rPr>
          <w:sz w:val="16"/>
        </w:rPr>
      </w:pPr>
      <w:bookmarkStart w:id="607" w:name="_bookmark529"/>
      <w:bookmarkEnd w:id="607"/>
      <w:r>
        <w:rPr>
          <w:position w:val="6"/>
          <w:sz w:val="10"/>
        </w:rPr>
        <w:t>17</w:t>
      </w:r>
      <w:r>
        <w:rPr>
          <w:position w:val="6"/>
          <w:sz w:val="10"/>
        </w:rPr>
        <w:tab/>
      </w:r>
      <w:r>
        <w:rPr>
          <w:i/>
          <w:sz w:val="16"/>
        </w:rPr>
        <w:t xml:space="preserve">Cfr. </w:t>
      </w:r>
      <w:r>
        <w:rPr>
          <w:sz w:val="16"/>
        </w:rPr>
        <w:t xml:space="preserve">Convención Americana sobre </w:t>
      </w:r>
      <w:r>
        <w:rPr>
          <w:sz w:val="16"/>
        </w:rPr>
        <w:t>Derechos Humanos, Preámbulo, párr.</w:t>
      </w:r>
      <w:r>
        <w:rPr>
          <w:spacing w:val="-10"/>
          <w:sz w:val="16"/>
        </w:rPr>
        <w:t xml:space="preserve"> </w:t>
      </w:r>
      <w:r>
        <w:rPr>
          <w:sz w:val="16"/>
        </w:rPr>
        <w:t>4.</w:t>
      </w:r>
    </w:p>
    <w:p w14:paraId="0C6622AF" w14:textId="77777777" w:rsidR="00467FCA" w:rsidRDefault="00467FCA">
      <w:pPr>
        <w:rPr>
          <w:sz w:val="16"/>
        </w:rPr>
        <w:sectPr w:rsidR="00467FCA">
          <w:footerReference w:type="default" r:id="rId52"/>
          <w:pgSz w:w="11900" w:h="16850"/>
          <w:pgMar w:top="1340" w:right="1580" w:bottom="280" w:left="1600" w:header="0" w:footer="0" w:gutter="0"/>
          <w:cols w:space="720"/>
        </w:sectPr>
      </w:pPr>
    </w:p>
    <w:p w14:paraId="454D5AAE" w14:textId="77777777" w:rsidR="00467FCA" w:rsidRDefault="001B68EB">
      <w:pPr>
        <w:pStyle w:val="Prrafodelista"/>
        <w:numPr>
          <w:ilvl w:val="0"/>
          <w:numId w:val="32"/>
        </w:numPr>
        <w:tabs>
          <w:tab w:val="left" w:pos="810"/>
        </w:tabs>
        <w:spacing w:before="75"/>
        <w:ind w:right="116" w:firstLine="0"/>
        <w:jc w:val="both"/>
        <w:rPr>
          <w:sz w:val="20"/>
        </w:rPr>
      </w:pPr>
      <w:r>
        <w:rPr>
          <w:sz w:val="20"/>
        </w:rPr>
        <w:t xml:space="preserve">De igual forma, la Corte Interamericana, desde el caso </w:t>
      </w:r>
      <w:r>
        <w:rPr>
          <w:i/>
          <w:sz w:val="20"/>
        </w:rPr>
        <w:t>Acevedo Buendía y otros</w:t>
      </w:r>
      <w:hyperlink w:anchor="_bookmark530" w:history="1">
        <w:r>
          <w:rPr>
            <w:position w:val="7"/>
            <w:sz w:val="13"/>
          </w:rPr>
          <w:t>18</w:t>
        </w:r>
      </w:hyperlink>
      <w:r>
        <w:rPr>
          <w:sz w:val="20"/>
        </w:rPr>
        <w:t>, se ha manifestado en reiteradas ocasiones sobre el principio en cuestión y sobre</w:t>
      </w:r>
      <w:r>
        <w:rPr>
          <w:spacing w:val="-10"/>
          <w:sz w:val="20"/>
        </w:rPr>
        <w:t xml:space="preserve"> </w:t>
      </w:r>
      <w:r>
        <w:rPr>
          <w:sz w:val="20"/>
        </w:rPr>
        <w:t>sus</w:t>
      </w:r>
      <w:r>
        <w:rPr>
          <w:spacing w:val="-10"/>
          <w:sz w:val="20"/>
        </w:rPr>
        <w:t xml:space="preserve"> </w:t>
      </w:r>
      <w:r>
        <w:rPr>
          <w:sz w:val="20"/>
        </w:rPr>
        <w:t>implicaciones.</w:t>
      </w:r>
      <w:r>
        <w:rPr>
          <w:spacing w:val="-7"/>
          <w:sz w:val="20"/>
        </w:rPr>
        <w:t xml:space="preserve"> </w:t>
      </w:r>
      <w:r>
        <w:rPr>
          <w:sz w:val="20"/>
        </w:rPr>
        <w:t>Por</w:t>
      </w:r>
      <w:r>
        <w:rPr>
          <w:spacing w:val="-8"/>
          <w:sz w:val="20"/>
        </w:rPr>
        <w:t xml:space="preserve"> </w:t>
      </w:r>
      <w:r>
        <w:rPr>
          <w:sz w:val="20"/>
        </w:rPr>
        <w:t>ejemplo,</w:t>
      </w:r>
      <w:r>
        <w:rPr>
          <w:spacing w:val="-7"/>
          <w:sz w:val="20"/>
        </w:rPr>
        <w:t xml:space="preserve"> </w:t>
      </w:r>
      <w:r>
        <w:rPr>
          <w:sz w:val="20"/>
        </w:rPr>
        <w:t>en</w:t>
      </w:r>
      <w:r>
        <w:rPr>
          <w:spacing w:val="-8"/>
          <w:sz w:val="20"/>
        </w:rPr>
        <w:t xml:space="preserve"> </w:t>
      </w:r>
      <w:r>
        <w:rPr>
          <w:sz w:val="20"/>
        </w:rPr>
        <w:t>la</w:t>
      </w:r>
      <w:r>
        <w:rPr>
          <w:spacing w:val="-9"/>
          <w:sz w:val="20"/>
        </w:rPr>
        <w:t xml:space="preserve"> </w:t>
      </w:r>
      <w:r>
        <w:rPr>
          <w:sz w:val="20"/>
        </w:rPr>
        <w:t>sentencia</w:t>
      </w:r>
      <w:r>
        <w:rPr>
          <w:spacing w:val="-9"/>
          <w:sz w:val="20"/>
        </w:rPr>
        <w:t xml:space="preserve"> </w:t>
      </w:r>
      <w:r>
        <w:rPr>
          <w:sz w:val="20"/>
        </w:rPr>
        <w:t>del</w:t>
      </w:r>
      <w:r>
        <w:rPr>
          <w:spacing w:val="-8"/>
          <w:sz w:val="20"/>
        </w:rPr>
        <w:t xml:space="preserve"> </w:t>
      </w:r>
      <w:r>
        <w:rPr>
          <w:sz w:val="20"/>
        </w:rPr>
        <w:t>caso</w:t>
      </w:r>
      <w:r>
        <w:rPr>
          <w:spacing w:val="-7"/>
          <w:sz w:val="20"/>
        </w:rPr>
        <w:t xml:space="preserve"> </w:t>
      </w:r>
      <w:r>
        <w:rPr>
          <w:i/>
          <w:sz w:val="20"/>
        </w:rPr>
        <w:t>Cuscul</w:t>
      </w:r>
      <w:r>
        <w:rPr>
          <w:i/>
          <w:spacing w:val="-8"/>
          <w:sz w:val="20"/>
        </w:rPr>
        <w:t xml:space="preserve"> </w:t>
      </w:r>
      <w:r>
        <w:rPr>
          <w:i/>
          <w:sz w:val="20"/>
        </w:rPr>
        <w:t>Pivaral</w:t>
      </w:r>
      <w:r>
        <w:rPr>
          <w:i/>
          <w:spacing w:val="-7"/>
          <w:sz w:val="20"/>
        </w:rPr>
        <w:t xml:space="preserve"> </w:t>
      </w:r>
      <w:r>
        <w:rPr>
          <w:i/>
          <w:sz w:val="20"/>
        </w:rPr>
        <w:t>y</w:t>
      </w:r>
      <w:r>
        <w:rPr>
          <w:i/>
          <w:spacing w:val="-9"/>
          <w:sz w:val="20"/>
        </w:rPr>
        <w:t xml:space="preserve"> </w:t>
      </w:r>
      <w:r>
        <w:rPr>
          <w:i/>
          <w:sz w:val="20"/>
        </w:rPr>
        <w:t>otros</w:t>
      </w:r>
      <w:r>
        <w:rPr>
          <w:sz w:val="20"/>
        </w:rPr>
        <w:t>, el Tribunal señaló lo</w:t>
      </w:r>
      <w:r>
        <w:rPr>
          <w:spacing w:val="-5"/>
          <w:sz w:val="20"/>
        </w:rPr>
        <w:t xml:space="preserve"> </w:t>
      </w:r>
      <w:r>
        <w:rPr>
          <w:sz w:val="20"/>
        </w:rPr>
        <w:t>siguiente:</w:t>
      </w:r>
    </w:p>
    <w:p w14:paraId="439CAD83" w14:textId="77777777" w:rsidR="00467FCA" w:rsidRDefault="00467FCA">
      <w:pPr>
        <w:pStyle w:val="Textoindependiente"/>
      </w:pPr>
    </w:p>
    <w:p w14:paraId="6CB94E6F" w14:textId="77777777" w:rsidR="00467FCA" w:rsidRDefault="001B68EB">
      <w:pPr>
        <w:ind w:left="821" w:right="113"/>
        <w:jc w:val="both"/>
        <w:rPr>
          <w:sz w:val="13"/>
        </w:rPr>
      </w:pPr>
      <w:r>
        <w:rPr>
          <w:i/>
          <w:sz w:val="18"/>
        </w:rPr>
        <w:t>El Tribunal advierte que el hecho de que los derechos derivados del artículo 26 estén sujetos a las obligaciones generales de la Convención Americana no sólo es resultado de cuestiones formales, sino que resulta de la interdependencia e indivisibilidad rec</w:t>
      </w:r>
      <w:r>
        <w:rPr>
          <w:i/>
          <w:sz w:val="18"/>
        </w:rPr>
        <w:t>íproca existente entre los derechos civiles y políticos y los económicos, sociales, culturales</w:t>
      </w:r>
      <w:r>
        <w:rPr>
          <w:i/>
          <w:spacing w:val="-8"/>
          <w:sz w:val="18"/>
        </w:rPr>
        <w:t xml:space="preserve"> </w:t>
      </w:r>
      <w:r>
        <w:rPr>
          <w:i/>
          <w:sz w:val="18"/>
        </w:rPr>
        <w:t>y</w:t>
      </w:r>
      <w:r>
        <w:rPr>
          <w:i/>
          <w:spacing w:val="-9"/>
          <w:sz w:val="18"/>
        </w:rPr>
        <w:t xml:space="preserve"> </w:t>
      </w:r>
      <w:r>
        <w:rPr>
          <w:i/>
          <w:sz w:val="18"/>
        </w:rPr>
        <w:t>ambientales.</w:t>
      </w:r>
      <w:r>
        <w:rPr>
          <w:i/>
          <w:spacing w:val="-8"/>
          <w:sz w:val="18"/>
        </w:rPr>
        <w:t xml:space="preserve"> </w:t>
      </w:r>
      <w:r>
        <w:rPr>
          <w:i/>
          <w:sz w:val="18"/>
        </w:rPr>
        <w:t>Al</w:t>
      </w:r>
      <w:r>
        <w:rPr>
          <w:i/>
          <w:spacing w:val="-7"/>
          <w:sz w:val="18"/>
        </w:rPr>
        <w:t xml:space="preserve"> </w:t>
      </w:r>
      <w:r>
        <w:rPr>
          <w:i/>
          <w:sz w:val="18"/>
        </w:rPr>
        <w:t>respecto,</w:t>
      </w:r>
      <w:r>
        <w:rPr>
          <w:i/>
          <w:spacing w:val="-9"/>
          <w:sz w:val="18"/>
        </w:rPr>
        <w:t xml:space="preserve"> </w:t>
      </w:r>
      <w:r>
        <w:rPr>
          <w:i/>
          <w:sz w:val="18"/>
        </w:rPr>
        <w:t>la</w:t>
      </w:r>
      <w:r>
        <w:rPr>
          <w:i/>
          <w:spacing w:val="-7"/>
          <w:sz w:val="18"/>
        </w:rPr>
        <w:t xml:space="preserve"> </w:t>
      </w:r>
      <w:r>
        <w:rPr>
          <w:i/>
          <w:sz w:val="18"/>
        </w:rPr>
        <w:t>Corte</w:t>
      </w:r>
      <w:r>
        <w:rPr>
          <w:i/>
          <w:spacing w:val="-7"/>
          <w:sz w:val="18"/>
        </w:rPr>
        <w:t xml:space="preserve"> </w:t>
      </w:r>
      <w:r>
        <w:rPr>
          <w:i/>
          <w:sz w:val="18"/>
        </w:rPr>
        <w:t>ha</w:t>
      </w:r>
      <w:r>
        <w:rPr>
          <w:i/>
          <w:spacing w:val="-8"/>
          <w:sz w:val="18"/>
        </w:rPr>
        <w:t xml:space="preserve"> </w:t>
      </w:r>
      <w:r>
        <w:rPr>
          <w:i/>
          <w:sz w:val="18"/>
        </w:rPr>
        <w:t>reconocido</w:t>
      </w:r>
      <w:r>
        <w:rPr>
          <w:i/>
          <w:spacing w:val="-6"/>
          <w:sz w:val="18"/>
        </w:rPr>
        <w:t xml:space="preserve"> </w:t>
      </w:r>
      <w:r>
        <w:rPr>
          <w:i/>
          <w:sz w:val="18"/>
        </w:rPr>
        <w:t>que</w:t>
      </w:r>
      <w:r>
        <w:rPr>
          <w:i/>
          <w:spacing w:val="-7"/>
          <w:sz w:val="18"/>
        </w:rPr>
        <w:t xml:space="preserve"> </w:t>
      </w:r>
      <w:r>
        <w:rPr>
          <w:i/>
          <w:sz w:val="18"/>
        </w:rPr>
        <w:t>ambas</w:t>
      </w:r>
      <w:r>
        <w:rPr>
          <w:i/>
          <w:spacing w:val="-8"/>
          <w:sz w:val="18"/>
        </w:rPr>
        <w:t xml:space="preserve"> </w:t>
      </w:r>
      <w:r>
        <w:rPr>
          <w:i/>
          <w:sz w:val="18"/>
        </w:rPr>
        <w:t>categorías</w:t>
      </w:r>
      <w:r>
        <w:rPr>
          <w:i/>
          <w:spacing w:val="-7"/>
          <w:sz w:val="18"/>
        </w:rPr>
        <w:t xml:space="preserve"> </w:t>
      </w:r>
      <w:r>
        <w:rPr>
          <w:i/>
          <w:sz w:val="18"/>
        </w:rPr>
        <w:t>de derechos deben ser entendidas integralmente y de forma conglobada como derechos humano</w:t>
      </w:r>
      <w:r>
        <w:rPr>
          <w:i/>
          <w:sz w:val="18"/>
        </w:rPr>
        <w:t>s,</w:t>
      </w:r>
      <w:r>
        <w:rPr>
          <w:i/>
          <w:spacing w:val="-18"/>
          <w:sz w:val="18"/>
        </w:rPr>
        <w:t xml:space="preserve"> </w:t>
      </w:r>
      <w:r>
        <w:rPr>
          <w:i/>
          <w:sz w:val="18"/>
        </w:rPr>
        <w:t>sin</w:t>
      </w:r>
      <w:r>
        <w:rPr>
          <w:i/>
          <w:spacing w:val="-16"/>
          <w:sz w:val="18"/>
        </w:rPr>
        <w:t xml:space="preserve"> </w:t>
      </w:r>
      <w:r>
        <w:rPr>
          <w:i/>
          <w:sz w:val="18"/>
        </w:rPr>
        <w:t>jerarquía</w:t>
      </w:r>
      <w:r>
        <w:rPr>
          <w:i/>
          <w:spacing w:val="-18"/>
          <w:sz w:val="18"/>
        </w:rPr>
        <w:t xml:space="preserve"> </w:t>
      </w:r>
      <w:r>
        <w:rPr>
          <w:i/>
          <w:sz w:val="18"/>
        </w:rPr>
        <w:t>entre</w:t>
      </w:r>
      <w:r>
        <w:rPr>
          <w:i/>
          <w:spacing w:val="-17"/>
          <w:sz w:val="18"/>
        </w:rPr>
        <w:t xml:space="preserve"> </w:t>
      </w:r>
      <w:r>
        <w:rPr>
          <w:i/>
          <w:sz w:val="18"/>
        </w:rPr>
        <w:t>sí</w:t>
      </w:r>
      <w:r>
        <w:rPr>
          <w:i/>
          <w:spacing w:val="-17"/>
          <w:sz w:val="18"/>
        </w:rPr>
        <w:t xml:space="preserve"> </w:t>
      </w:r>
      <w:r>
        <w:rPr>
          <w:i/>
          <w:sz w:val="18"/>
        </w:rPr>
        <w:t>y</w:t>
      </w:r>
      <w:r>
        <w:rPr>
          <w:i/>
          <w:spacing w:val="-18"/>
          <w:sz w:val="18"/>
        </w:rPr>
        <w:t xml:space="preserve"> </w:t>
      </w:r>
      <w:r>
        <w:rPr>
          <w:i/>
          <w:sz w:val="18"/>
        </w:rPr>
        <w:t>exigibles</w:t>
      </w:r>
      <w:r>
        <w:rPr>
          <w:i/>
          <w:spacing w:val="-18"/>
          <w:sz w:val="18"/>
        </w:rPr>
        <w:t xml:space="preserve"> </w:t>
      </w:r>
      <w:r>
        <w:rPr>
          <w:i/>
          <w:sz w:val="18"/>
        </w:rPr>
        <w:t>en</w:t>
      </w:r>
      <w:r>
        <w:rPr>
          <w:i/>
          <w:spacing w:val="-16"/>
          <w:sz w:val="18"/>
        </w:rPr>
        <w:t xml:space="preserve"> </w:t>
      </w:r>
      <w:r>
        <w:rPr>
          <w:i/>
          <w:sz w:val="18"/>
        </w:rPr>
        <w:t>todos</w:t>
      </w:r>
      <w:r>
        <w:rPr>
          <w:i/>
          <w:spacing w:val="-17"/>
          <w:sz w:val="18"/>
        </w:rPr>
        <w:t xml:space="preserve"> </w:t>
      </w:r>
      <w:r>
        <w:rPr>
          <w:i/>
          <w:sz w:val="18"/>
        </w:rPr>
        <w:t>los</w:t>
      </w:r>
      <w:r>
        <w:rPr>
          <w:i/>
          <w:spacing w:val="-18"/>
          <w:sz w:val="18"/>
        </w:rPr>
        <w:t xml:space="preserve"> </w:t>
      </w:r>
      <w:r>
        <w:rPr>
          <w:i/>
          <w:sz w:val="18"/>
        </w:rPr>
        <w:t>casos</w:t>
      </w:r>
      <w:r>
        <w:rPr>
          <w:i/>
          <w:spacing w:val="-18"/>
          <w:sz w:val="18"/>
        </w:rPr>
        <w:t xml:space="preserve"> </w:t>
      </w:r>
      <w:r>
        <w:rPr>
          <w:i/>
          <w:sz w:val="18"/>
        </w:rPr>
        <w:t>ante</w:t>
      </w:r>
      <w:r>
        <w:rPr>
          <w:i/>
          <w:spacing w:val="-17"/>
          <w:sz w:val="18"/>
        </w:rPr>
        <w:t xml:space="preserve"> </w:t>
      </w:r>
      <w:r>
        <w:rPr>
          <w:i/>
          <w:sz w:val="18"/>
        </w:rPr>
        <w:t>aquellas</w:t>
      </w:r>
      <w:r>
        <w:rPr>
          <w:i/>
          <w:spacing w:val="-18"/>
          <w:sz w:val="18"/>
        </w:rPr>
        <w:t xml:space="preserve"> </w:t>
      </w:r>
      <w:r>
        <w:rPr>
          <w:i/>
          <w:sz w:val="18"/>
        </w:rPr>
        <w:t>autoridades que resulten competentes para ello. De igual forma, el Tribunal advierte que el Preámbulo</w:t>
      </w:r>
      <w:r>
        <w:rPr>
          <w:i/>
          <w:spacing w:val="-14"/>
          <w:sz w:val="18"/>
        </w:rPr>
        <w:t xml:space="preserve"> </w:t>
      </w:r>
      <w:r>
        <w:rPr>
          <w:i/>
          <w:sz w:val="18"/>
        </w:rPr>
        <w:t>de</w:t>
      </w:r>
      <w:r>
        <w:rPr>
          <w:i/>
          <w:spacing w:val="-15"/>
          <w:sz w:val="18"/>
        </w:rPr>
        <w:t xml:space="preserve"> </w:t>
      </w:r>
      <w:r>
        <w:rPr>
          <w:i/>
          <w:sz w:val="18"/>
        </w:rPr>
        <w:t>la</w:t>
      </w:r>
      <w:r>
        <w:rPr>
          <w:i/>
          <w:spacing w:val="-15"/>
          <w:sz w:val="18"/>
        </w:rPr>
        <w:t xml:space="preserve"> </w:t>
      </w:r>
      <w:r>
        <w:rPr>
          <w:i/>
          <w:sz w:val="18"/>
        </w:rPr>
        <w:t>Convención,</w:t>
      </w:r>
      <w:r>
        <w:rPr>
          <w:i/>
          <w:spacing w:val="-15"/>
          <w:sz w:val="18"/>
        </w:rPr>
        <w:t xml:space="preserve"> </w:t>
      </w:r>
      <w:r>
        <w:rPr>
          <w:i/>
          <w:sz w:val="18"/>
        </w:rPr>
        <w:t>así</w:t>
      </w:r>
      <w:r>
        <w:rPr>
          <w:i/>
          <w:spacing w:val="-14"/>
          <w:sz w:val="18"/>
        </w:rPr>
        <w:t xml:space="preserve"> </w:t>
      </w:r>
      <w:r>
        <w:rPr>
          <w:i/>
          <w:sz w:val="18"/>
        </w:rPr>
        <w:t>como</w:t>
      </w:r>
      <w:r>
        <w:rPr>
          <w:i/>
          <w:spacing w:val="-14"/>
          <w:sz w:val="18"/>
        </w:rPr>
        <w:t xml:space="preserve"> </w:t>
      </w:r>
      <w:r>
        <w:rPr>
          <w:i/>
          <w:sz w:val="18"/>
        </w:rPr>
        <w:t>diversas</w:t>
      </w:r>
      <w:r>
        <w:rPr>
          <w:i/>
          <w:spacing w:val="-12"/>
          <w:sz w:val="18"/>
        </w:rPr>
        <w:t xml:space="preserve"> </w:t>
      </w:r>
      <w:r>
        <w:rPr>
          <w:i/>
          <w:sz w:val="18"/>
        </w:rPr>
        <w:t>cláusulas</w:t>
      </w:r>
      <w:r>
        <w:rPr>
          <w:i/>
          <w:spacing w:val="-15"/>
          <w:sz w:val="18"/>
        </w:rPr>
        <w:t xml:space="preserve"> </w:t>
      </w:r>
      <w:r>
        <w:rPr>
          <w:i/>
          <w:sz w:val="18"/>
        </w:rPr>
        <w:t>de</w:t>
      </w:r>
      <w:r>
        <w:rPr>
          <w:i/>
          <w:spacing w:val="-15"/>
          <w:sz w:val="18"/>
        </w:rPr>
        <w:t xml:space="preserve"> </w:t>
      </w:r>
      <w:r>
        <w:rPr>
          <w:i/>
          <w:sz w:val="18"/>
        </w:rPr>
        <w:t>la</w:t>
      </w:r>
      <w:r>
        <w:rPr>
          <w:i/>
          <w:spacing w:val="-12"/>
          <w:sz w:val="18"/>
        </w:rPr>
        <w:t xml:space="preserve"> </w:t>
      </w:r>
      <w:r>
        <w:rPr>
          <w:i/>
          <w:sz w:val="18"/>
        </w:rPr>
        <w:t>Declaración</w:t>
      </w:r>
      <w:r>
        <w:rPr>
          <w:i/>
          <w:spacing w:val="-14"/>
          <w:sz w:val="18"/>
        </w:rPr>
        <w:t xml:space="preserve"> </w:t>
      </w:r>
      <w:r>
        <w:rPr>
          <w:i/>
          <w:sz w:val="18"/>
        </w:rPr>
        <w:t>Americana, muestran que tanto los derechos civiles y políticos, como los DESCA, fueron rec</w:t>
      </w:r>
      <w:r>
        <w:rPr>
          <w:i/>
          <w:sz w:val="18"/>
        </w:rPr>
        <w:t>onocidos por los Estados de la región como derechos esenciales de la persona humana.</w:t>
      </w:r>
      <w:hyperlink w:anchor="_bookmark531" w:history="1">
        <w:r>
          <w:rPr>
            <w:position w:val="7"/>
            <w:sz w:val="13"/>
          </w:rPr>
          <w:t>19</w:t>
        </w:r>
      </w:hyperlink>
    </w:p>
    <w:p w14:paraId="1C02DBFB" w14:textId="77777777" w:rsidR="00467FCA" w:rsidRDefault="00467FCA">
      <w:pPr>
        <w:pStyle w:val="Textoindependiente"/>
        <w:spacing w:before="6"/>
      </w:pPr>
    </w:p>
    <w:p w14:paraId="34BDF624" w14:textId="77777777" w:rsidR="00467FCA" w:rsidRDefault="001B68EB">
      <w:pPr>
        <w:pStyle w:val="Prrafodelista"/>
        <w:numPr>
          <w:ilvl w:val="0"/>
          <w:numId w:val="32"/>
        </w:numPr>
        <w:tabs>
          <w:tab w:val="left" w:pos="810"/>
        </w:tabs>
        <w:ind w:right="116" w:firstLine="0"/>
        <w:jc w:val="both"/>
        <w:rPr>
          <w:sz w:val="20"/>
        </w:rPr>
      </w:pPr>
      <w:r>
        <w:rPr>
          <w:sz w:val="20"/>
        </w:rPr>
        <w:t>Por otra parte, la Resolución 32/130 de la Asamblea General de Naciones Unidas de 16 de diciembre de 1977, afirma que: “a) Todos los der</w:t>
      </w:r>
      <w:r>
        <w:rPr>
          <w:sz w:val="20"/>
        </w:rPr>
        <w:t>echos humanos y libertades fundamentales son indivisibles e interdependientes; deberá prestarse la misma</w:t>
      </w:r>
      <w:r>
        <w:rPr>
          <w:spacing w:val="-9"/>
          <w:sz w:val="20"/>
        </w:rPr>
        <w:t xml:space="preserve"> </w:t>
      </w:r>
      <w:r>
        <w:rPr>
          <w:sz w:val="20"/>
        </w:rPr>
        <w:t>atención</w:t>
      </w:r>
      <w:r>
        <w:rPr>
          <w:spacing w:val="-4"/>
          <w:sz w:val="20"/>
        </w:rPr>
        <w:t xml:space="preserve"> </w:t>
      </w:r>
      <w:r>
        <w:rPr>
          <w:sz w:val="20"/>
        </w:rPr>
        <w:t>y</w:t>
      </w:r>
      <w:r>
        <w:rPr>
          <w:spacing w:val="-6"/>
          <w:sz w:val="20"/>
        </w:rPr>
        <w:t xml:space="preserve"> </w:t>
      </w:r>
      <w:r>
        <w:rPr>
          <w:sz w:val="20"/>
        </w:rPr>
        <w:t>urgente</w:t>
      </w:r>
      <w:r>
        <w:rPr>
          <w:spacing w:val="-8"/>
          <w:sz w:val="20"/>
        </w:rPr>
        <w:t xml:space="preserve"> </w:t>
      </w:r>
      <w:r>
        <w:rPr>
          <w:sz w:val="20"/>
        </w:rPr>
        <w:t>consideración</w:t>
      </w:r>
      <w:r>
        <w:rPr>
          <w:spacing w:val="-4"/>
          <w:sz w:val="20"/>
        </w:rPr>
        <w:t xml:space="preserve"> </w:t>
      </w:r>
      <w:r>
        <w:rPr>
          <w:sz w:val="20"/>
        </w:rPr>
        <w:t>a</w:t>
      </w:r>
      <w:r>
        <w:rPr>
          <w:spacing w:val="-8"/>
          <w:sz w:val="20"/>
        </w:rPr>
        <w:t xml:space="preserve"> </w:t>
      </w:r>
      <w:r>
        <w:rPr>
          <w:sz w:val="20"/>
        </w:rPr>
        <w:t>la</w:t>
      </w:r>
      <w:r>
        <w:rPr>
          <w:spacing w:val="-6"/>
          <w:sz w:val="20"/>
        </w:rPr>
        <w:t xml:space="preserve"> </w:t>
      </w:r>
      <w:r>
        <w:rPr>
          <w:sz w:val="20"/>
        </w:rPr>
        <w:t>aplicación,</w:t>
      </w:r>
      <w:r>
        <w:rPr>
          <w:spacing w:val="-6"/>
          <w:sz w:val="20"/>
        </w:rPr>
        <w:t xml:space="preserve"> </w:t>
      </w:r>
      <w:r>
        <w:rPr>
          <w:sz w:val="20"/>
        </w:rPr>
        <w:t>la</w:t>
      </w:r>
      <w:r>
        <w:rPr>
          <w:spacing w:val="-8"/>
          <w:sz w:val="20"/>
        </w:rPr>
        <w:t xml:space="preserve"> </w:t>
      </w:r>
      <w:r>
        <w:rPr>
          <w:sz w:val="20"/>
        </w:rPr>
        <w:t>promoción</w:t>
      </w:r>
      <w:r>
        <w:rPr>
          <w:spacing w:val="-5"/>
          <w:sz w:val="20"/>
        </w:rPr>
        <w:t xml:space="preserve"> </w:t>
      </w:r>
      <w:r>
        <w:rPr>
          <w:sz w:val="20"/>
        </w:rPr>
        <w:t>y</w:t>
      </w:r>
      <w:r>
        <w:rPr>
          <w:spacing w:val="-8"/>
          <w:sz w:val="20"/>
        </w:rPr>
        <w:t xml:space="preserve"> </w:t>
      </w:r>
      <w:r>
        <w:rPr>
          <w:sz w:val="20"/>
        </w:rPr>
        <w:t>la</w:t>
      </w:r>
      <w:r>
        <w:rPr>
          <w:spacing w:val="-8"/>
          <w:sz w:val="20"/>
        </w:rPr>
        <w:t xml:space="preserve"> </w:t>
      </w:r>
      <w:r>
        <w:rPr>
          <w:sz w:val="20"/>
        </w:rPr>
        <w:t>protección tanto de los derechos civiles y políticos, como de los derechos económic</w:t>
      </w:r>
      <w:r>
        <w:rPr>
          <w:sz w:val="20"/>
        </w:rPr>
        <w:t xml:space="preserve">os, sociales y culturales; b) La plena realización de los derechos civiles y políticos sin el goce de los derechos económicos, sociales y culturales resulta imposible; la consecución de un progreso duradero en la aplicación de los derechos humanos depende </w:t>
      </w:r>
      <w:r>
        <w:rPr>
          <w:sz w:val="20"/>
        </w:rPr>
        <w:t>de unas buenas y eficaces políticas nacionales e internacionales de desarrollo económico y social (…)”</w:t>
      </w:r>
      <w:hyperlink w:anchor="_bookmark532" w:history="1">
        <w:r>
          <w:rPr>
            <w:position w:val="7"/>
            <w:sz w:val="13"/>
          </w:rPr>
          <w:t>20</w:t>
        </w:r>
      </w:hyperlink>
      <w:r>
        <w:rPr>
          <w:sz w:val="20"/>
        </w:rPr>
        <w:t xml:space="preserve">. Por lo tanto, siguiendo la perspectiva de sometimiento y respeto al orden jerárquico superior normativo, en el ámbito </w:t>
      </w:r>
      <w:r>
        <w:rPr>
          <w:sz w:val="20"/>
        </w:rPr>
        <w:t>global</w:t>
      </w:r>
      <w:hyperlink w:anchor="_bookmark533" w:history="1">
        <w:r>
          <w:rPr>
            <w:position w:val="7"/>
            <w:sz w:val="13"/>
          </w:rPr>
          <w:t>21</w:t>
        </w:r>
      </w:hyperlink>
      <w:r>
        <w:rPr>
          <w:sz w:val="20"/>
        </w:rPr>
        <w:t>, estas afirmaciones alumbran y reafirman la importancia y vigencia de estos principios y</w:t>
      </w:r>
      <w:r>
        <w:rPr>
          <w:spacing w:val="-22"/>
          <w:sz w:val="20"/>
        </w:rPr>
        <w:t xml:space="preserve"> </w:t>
      </w:r>
      <w:r>
        <w:rPr>
          <w:sz w:val="20"/>
        </w:rPr>
        <w:t>derechos.</w:t>
      </w:r>
    </w:p>
    <w:p w14:paraId="76988144" w14:textId="77777777" w:rsidR="00467FCA" w:rsidRDefault="00467FCA">
      <w:pPr>
        <w:pStyle w:val="Textoindependiente"/>
        <w:spacing w:before="1"/>
      </w:pPr>
    </w:p>
    <w:p w14:paraId="53A404C3" w14:textId="77777777" w:rsidR="00467FCA" w:rsidRDefault="001B68EB">
      <w:pPr>
        <w:pStyle w:val="Prrafodelista"/>
        <w:numPr>
          <w:ilvl w:val="0"/>
          <w:numId w:val="32"/>
        </w:numPr>
        <w:tabs>
          <w:tab w:val="left" w:pos="810"/>
        </w:tabs>
        <w:ind w:right="117" w:hanging="1"/>
        <w:jc w:val="both"/>
        <w:rPr>
          <w:sz w:val="13"/>
        </w:rPr>
      </w:pPr>
      <w:r>
        <w:rPr>
          <w:sz w:val="20"/>
        </w:rPr>
        <w:t>El principio de progresividad y no regresividad de los derechos humanos, también conocido como prohibición de retroceso de irreversibilidad de los beneficios o protección alcanzada, está plasmado en distintos instrumentos internacionales de protección</w:t>
      </w:r>
      <w:r>
        <w:rPr>
          <w:spacing w:val="-15"/>
          <w:sz w:val="20"/>
        </w:rPr>
        <w:t xml:space="preserve"> </w:t>
      </w:r>
      <w:r>
        <w:rPr>
          <w:sz w:val="20"/>
        </w:rPr>
        <w:t>de</w:t>
      </w:r>
      <w:r>
        <w:rPr>
          <w:spacing w:val="-15"/>
          <w:sz w:val="20"/>
        </w:rPr>
        <w:t xml:space="preserve"> </w:t>
      </w:r>
      <w:r>
        <w:rPr>
          <w:sz w:val="20"/>
        </w:rPr>
        <w:t>d</w:t>
      </w:r>
      <w:r>
        <w:rPr>
          <w:sz w:val="20"/>
        </w:rPr>
        <w:t>erechos</w:t>
      </w:r>
      <w:r>
        <w:rPr>
          <w:spacing w:val="-12"/>
          <w:sz w:val="20"/>
        </w:rPr>
        <w:t xml:space="preserve"> </w:t>
      </w:r>
      <w:r>
        <w:rPr>
          <w:sz w:val="20"/>
        </w:rPr>
        <w:t>humanos</w:t>
      </w:r>
      <w:r>
        <w:rPr>
          <w:spacing w:val="-16"/>
          <w:sz w:val="20"/>
        </w:rPr>
        <w:t xml:space="preserve"> </w:t>
      </w:r>
      <w:r>
        <w:rPr>
          <w:sz w:val="20"/>
        </w:rPr>
        <w:t>y</w:t>
      </w:r>
      <w:r>
        <w:rPr>
          <w:spacing w:val="-14"/>
          <w:sz w:val="20"/>
        </w:rPr>
        <w:t xml:space="preserve"> </w:t>
      </w:r>
      <w:r>
        <w:rPr>
          <w:sz w:val="20"/>
        </w:rPr>
        <w:t>ha</w:t>
      </w:r>
      <w:r>
        <w:rPr>
          <w:spacing w:val="-14"/>
          <w:sz w:val="20"/>
        </w:rPr>
        <w:t xml:space="preserve"> </w:t>
      </w:r>
      <w:r>
        <w:rPr>
          <w:sz w:val="20"/>
        </w:rPr>
        <w:t>sido</w:t>
      </w:r>
      <w:r>
        <w:rPr>
          <w:spacing w:val="-13"/>
          <w:sz w:val="20"/>
        </w:rPr>
        <w:t xml:space="preserve"> </w:t>
      </w:r>
      <w:r>
        <w:rPr>
          <w:sz w:val="20"/>
        </w:rPr>
        <w:t>objeto</w:t>
      </w:r>
      <w:r>
        <w:rPr>
          <w:spacing w:val="-17"/>
          <w:sz w:val="20"/>
        </w:rPr>
        <w:t xml:space="preserve"> </w:t>
      </w:r>
      <w:r>
        <w:rPr>
          <w:sz w:val="20"/>
        </w:rPr>
        <w:t>de</w:t>
      </w:r>
      <w:r>
        <w:rPr>
          <w:spacing w:val="-18"/>
          <w:sz w:val="20"/>
        </w:rPr>
        <w:t xml:space="preserve"> </w:t>
      </w:r>
      <w:r>
        <w:rPr>
          <w:sz w:val="20"/>
        </w:rPr>
        <w:t>diversas</w:t>
      </w:r>
      <w:r>
        <w:rPr>
          <w:spacing w:val="-17"/>
          <w:sz w:val="20"/>
        </w:rPr>
        <w:t xml:space="preserve"> </w:t>
      </w:r>
      <w:r>
        <w:rPr>
          <w:sz w:val="20"/>
        </w:rPr>
        <w:t>decisiones</w:t>
      </w:r>
      <w:r>
        <w:rPr>
          <w:spacing w:val="-14"/>
          <w:sz w:val="20"/>
        </w:rPr>
        <w:t xml:space="preserve"> </w:t>
      </w:r>
      <w:r>
        <w:rPr>
          <w:sz w:val="20"/>
        </w:rPr>
        <w:t>de</w:t>
      </w:r>
      <w:r>
        <w:rPr>
          <w:spacing w:val="-15"/>
          <w:sz w:val="20"/>
        </w:rPr>
        <w:t xml:space="preserve"> </w:t>
      </w:r>
      <w:r>
        <w:rPr>
          <w:sz w:val="20"/>
        </w:rPr>
        <w:t>la</w:t>
      </w:r>
      <w:r>
        <w:rPr>
          <w:spacing w:val="-14"/>
          <w:sz w:val="20"/>
        </w:rPr>
        <w:t xml:space="preserve"> </w:t>
      </w:r>
      <w:r>
        <w:rPr>
          <w:sz w:val="20"/>
        </w:rPr>
        <w:t>Corte</w:t>
      </w:r>
      <w:hyperlink w:anchor="_bookmark534" w:history="1">
        <w:r>
          <w:rPr>
            <w:position w:val="7"/>
            <w:sz w:val="13"/>
          </w:rPr>
          <w:t>22</w:t>
        </w:r>
      </w:hyperlink>
    </w:p>
    <w:p w14:paraId="56579ECE" w14:textId="77777777" w:rsidR="00467FCA" w:rsidRDefault="001B68EB">
      <w:pPr>
        <w:pStyle w:val="Textoindependiente"/>
        <w:spacing w:before="8"/>
        <w:rPr>
          <w:sz w:val="13"/>
        </w:rPr>
      </w:pPr>
      <w:r>
        <w:pict w14:anchorId="1049C19E">
          <v:shape id="_x0000_s1109" style="position:absolute;margin-left:85.1pt;margin-top:10.6pt;width:2in;height:.1pt;z-index:-251569152;mso-wrap-distance-left:0;mso-wrap-distance-right:0;mso-position-horizontal-relative:page" coordorigin="1702,212" coordsize="2880,0" path="m1702,212r2880,e" filled="f" strokeweight=".6pt">
            <v:path arrowok="t"/>
            <w10:wrap type="topAndBottom" anchorx="page"/>
          </v:shape>
        </w:pict>
      </w:r>
    </w:p>
    <w:p w14:paraId="7A74293D" w14:textId="77777777" w:rsidR="00467FCA" w:rsidRDefault="001B68EB">
      <w:pPr>
        <w:tabs>
          <w:tab w:val="left" w:pos="809"/>
        </w:tabs>
        <w:spacing w:before="74"/>
        <w:ind w:left="101" w:right="116" w:hanging="1"/>
        <w:jc w:val="both"/>
        <w:rPr>
          <w:sz w:val="16"/>
        </w:rPr>
      </w:pPr>
      <w:bookmarkStart w:id="608" w:name="_bookmark530"/>
      <w:bookmarkEnd w:id="608"/>
      <w:r>
        <w:rPr>
          <w:position w:val="6"/>
          <w:sz w:val="10"/>
        </w:rPr>
        <w:t>18</w:t>
      </w:r>
      <w:r>
        <w:rPr>
          <w:position w:val="6"/>
          <w:sz w:val="10"/>
        </w:rPr>
        <w:tab/>
      </w:r>
      <w:r>
        <w:rPr>
          <w:i/>
          <w:sz w:val="16"/>
        </w:rPr>
        <w:t>Cfr.</w:t>
      </w:r>
      <w:r>
        <w:rPr>
          <w:i/>
          <w:spacing w:val="-4"/>
          <w:sz w:val="16"/>
        </w:rPr>
        <w:t xml:space="preserve"> </w:t>
      </w:r>
      <w:r>
        <w:rPr>
          <w:i/>
          <w:sz w:val="16"/>
        </w:rPr>
        <w:t>Caso</w:t>
      </w:r>
      <w:r>
        <w:rPr>
          <w:i/>
          <w:spacing w:val="-7"/>
          <w:sz w:val="16"/>
        </w:rPr>
        <w:t xml:space="preserve"> </w:t>
      </w:r>
      <w:r>
        <w:rPr>
          <w:i/>
          <w:sz w:val="16"/>
        </w:rPr>
        <w:t>Acevedo</w:t>
      </w:r>
      <w:r>
        <w:rPr>
          <w:i/>
          <w:spacing w:val="-7"/>
          <w:sz w:val="16"/>
        </w:rPr>
        <w:t xml:space="preserve"> </w:t>
      </w:r>
      <w:r>
        <w:rPr>
          <w:i/>
          <w:sz w:val="16"/>
        </w:rPr>
        <w:t>Buendía</w:t>
      </w:r>
      <w:r>
        <w:rPr>
          <w:i/>
          <w:spacing w:val="-8"/>
          <w:sz w:val="16"/>
        </w:rPr>
        <w:t xml:space="preserve"> </w:t>
      </w:r>
      <w:r>
        <w:rPr>
          <w:i/>
          <w:sz w:val="16"/>
        </w:rPr>
        <w:t>y</w:t>
      </w:r>
      <w:r>
        <w:rPr>
          <w:i/>
          <w:spacing w:val="-6"/>
          <w:sz w:val="16"/>
        </w:rPr>
        <w:t xml:space="preserve"> </w:t>
      </w:r>
      <w:r>
        <w:rPr>
          <w:i/>
          <w:sz w:val="16"/>
        </w:rPr>
        <w:t>otros</w:t>
      </w:r>
      <w:r>
        <w:rPr>
          <w:i/>
          <w:spacing w:val="-5"/>
          <w:sz w:val="16"/>
        </w:rPr>
        <w:t xml:space="preserve"> </w:t>
      </w:r>
      <w:r>
        <w:rPr>
          <w:i/>
          <w:sz w:val="16"/>
        </w:rPr>
        <w:t>(“Cesantes</w:t>
      </w:r>
      <w:r>
        <w:rPr>
          <w:i/>
          <w:spacing w:val="-7"/>
          <w:sz w:val="16"/>
        </w:rPr>
        <w:t xml:space="preserve"> </w:t>
      </w:r>
      <w:r>
        <w:rPr>
          <w:i/>
          <w:sz w:val="16"/>
        </w:rPr>
        <w:t>y</w:t>
      </w:r>
      <w:r>
        <w:rPr>
          <w:i/>
          <w:spacing w:val="-5"/>
          <w:sz w:val="16"/>
        </w:rPr>
        <w:t xml:space="preserve"> </w:t>
      </w:r>
      <w:r>
        <w:rPr>
          <w:i/>
          <w:sz w:val="16"/>
        </w:rPr>
        <w:t>Jubilados</w:t>
      </w:r>
      <w:r>
        <w:rPr>
          <w:i/>
          <w:spacing w:val="-5"/>
          <w:sz w:val="16"/>
        </w:rPr>
        <w:t xml:space="preserve"> </w:t>
      </w:r>
      <w:r>
        <w:rPr>
          <w:i/>
          <w:sz w:val="16"/>
        </w:rPr>
        <w:t>de</w:t>
      </w:r>
      <w:r>
        <w:rPr>
          <w:i/>
          <w:spacing w:val="-5"/>
          <w:sz w:val="16"/>
        </w:rPr>
        <w:t xml:space="preserve"> </w:t>
      </w:r>
      <w:r>
        <w:rPr>
          <w:i/>
          <w:sz w:val="16"/>
        </w:rPr>
        <w:t>la</w:t>
      </w:r>
      <w:r>
        <w:rPr>
          <w:i/>
          <w:spacing w:val="-6"/>
          <w:sz w:val="16"/>
        </w:rPr>
        <w:t xml:space="preserve"> </w:t>
      </w:r>
      <w:r>
        <w:rPr>
          <w:i/>
          <w:sz w:val="16"/>
        </w:rPr>
        <w:t>Contraloría”)</w:t>
      </w:r>
      <w:r>
        <w:rPr>
          <w:i/>
          <w:spacing w:val="-8"/>
          <w:sz w:val="16"/>
        </w:rPr>
        <w:t xml:space="preserve"> </w:t>
      </w:r>
      <w:r>
        <w:rPr>
          <w:i/>
          <w:sz w:val="16"/>
        </w:rPr>
        <w:t>Vs.</w:t>
      </w:r>
      <w:r>
        <w:rPr>
          <w:i/>
          <w:spacing w:val="-6"/>
          <w:sz w:val="16"/>
        </w:rPr>
        <w:t xml:space="preserve"> </w:t>
      </w:r>
      <w:r>
        <w:rPr>
          <w:i/>
          <w:sz w:val="16"/>
        </w:rPr>
        <w:t>Perú.</w:t>
      </w:r>
      <w:r>
        <w:rPr>
          <w:i/>
          <w:spacing w:val="-6"/>
          <w:sz w:val="16"/>
        </w:rPr>
        <w:t xml:space="preserve"> </w:t>
      </w:r>
      <w:r>
        <w:rPr>
          <w:i/>
          <w:sz w:val="16"/>
        </w:rPr>
        <w:t xml:space="preserve">Excepción </w:t>
      </w:r>
      <w:r>
        <w:rPr>
          <w:i/>
          <w:sz w:val="16"/>
        </w:rPr>
        <w:t xml:space="preserve">Preliminar, Fondo, Reparaciones y Costas. </w:t>
      </w:r>
      <w:r>
        <w:rPr>
          <w:sz w:val="16"/>
        </w:rPr>
        <w:t>Sentencia de 1 de julio de 2009 Serie C No. 198, párr.</w:t>
      </w:r>
      <w:r>
        <w:rPr>
          <w:spacing w:val="-33"/>
          <w:sz w:val="16"/>
        </w:rPr>
        <w:t xml:space="preserve"> </w:t>
      </w:r>
      <w:r>
        <w:rPr>
          <w:sz w:val="16"/>
        </w:rPr>
        <w:t>101.</w:t>
      </w:r>
    </w:p>
    <w:p w14:paraId="555EF249" w14:textId="77777777" w:rsidR="00467FCA" w:rsidRDefault="001B68EB">
      <w:pPr>
        <w:tabs>
          <w:tab w:val="left" w:pos="809"/>
        </w:tabs>
        <w:ind w:left="101" w:right="118"/>
        <w:jc w:val="both"/>
        <w:rPr>
          <w:sz w:val="16"/>
        </w:rPr>
      </w:pPr>
      <w:bookmarkStart w:id="609" w:name="_bookmark531"/>
      <w:bookmarkEnd w:id="609"/>
      <w:r>
        <w:rPr>
          <w:position w:val="6"/>
          <w:sz w:val="10"/>
        </w:rPr>
        <w:t>19</w:t>
      </w:r>
      <w:r>
        <w:rPr>
          <w:position w:val="6"/>
          <w:sz w:val="10"/>
        </w:rPr>
        <w:tab/>
      </w:r>
      <w:r>
        <w:rPr>
          <w:i/>
          <w:sz w:val="16"/>
        </w:rPr>
        <w:t xml:space="preserve">Cfr. Caso Cuscul Pivaral y otros Vs. Guatemala. Excepción Preliminar, Fondo, Reparaciones y Costas. </w:t>
      </w:r>
      <w:r>
        <w:rPr>
          <w:sz w:val="16"/>
        </w:rPr>
        <w:t>Sentencia de 23 de agosto de 2018. Serie C No. 359,</w:t>
      </w:r>
      <w:r>
        <w:rPr>
          <w:sz w:val="16"/>
        </w:rPr>
        <w:t xml:space="preserve"> párr.</w:t>
      </w:r>
      <w:r>
        <w:rPr>
          <w:spacing w:val="-21"/>
          <w:sz w:val="16"/>
        </w:rPr>
        <w:t xml:space="preserve"> </w:t>
      </w:r>
      <w:r>
        <w:rPr>
          <w:sz w:val="16"/>
        </w:rPr>
        <w:t>85.</w:t>
      </w:r>
    </w:p>
    <w:p w14:paraId="3681AE5D" w14:textId="77777777" w:rsidR="00467FCA" w:rsidRDefault="001B68EB">
      <w:pPr>
        <w:tabs>
          <w:tab w:val="left" w:pos="809"/>
        </w:tabs>
        <w:ind w:left="101" w:right="112" w:hanging="1"/>
        <w:jc w:val="both"/>
        <w:rPr>
          <w:sz w:val="16"/>
        </w:rPr>
      </w:pPr>
      <w:bookmarkStart w:id="610" w:name="_bookmark532"/>
      <w:bookmarkEnd w:id="610"/>
      <w:r>
        <w:rPr>
          <w:position w:val="6"/>
          <w:sz w:val="10"/>
        </w:rPr>
        <w:t>20</w:t>
      </w:r>
      <w:r>
        <w:rPr>
          <w:position w:val="6"/>
          <w:sz w:val="10"/>
        </w:rPr>
        <w:tab/>
      </w:r>
      <w:r>
        <w:rPr>
          <w:i/>
          <w:sz w:val="16"/>
        </w:rPr>
        <w:t xml:space="preserve">Cfr. </w:t>
      </w:r>
      <w:r>
        <w:rPr>
          <w:sz w:val="16"/>
        </w:rPr>
        <w:t>ONU, Resolución de la Asamblea General “Distintos criterios y medios posibles dentro del sistema de las Naciones Unidas para mejorar el goce efectivo de los derechos humanos y las libertades fundamentales”, A/RES/32/130, aprobada el 16 d</w:t>
      </w:r>
      <w:r>
        <w:rPr>
          <w:sz w:val="16"/>
        </w:rPr>
        <w:t>e diciembre de 1977, 1.a) y</w:t>
      </w:r>
      <w:r>
        <w:rPr>
          <w:spacing w:val="-16"/>
          <w:sz w:val="16"/>
        </w:rPr>
        <w:t xml:space="preserve"> </w:t>
      </w:r>
      <w:r>
        <w:rPr>
          <w:sz w:val="16"/>
        </w:rPr>
        <w:t>1.b).</w:t>
      </w:r>
    </w:p>
    <w:p w14:paraId="280B0971" w14:textId="77777777" w:rsidR="00467FCA" w:rsidRDefault="001B68EB">
      <w:pPr>
        <w:tabs>
          <w:tab w:val="left" w:pos="809"/>
        </w:tabs>
        <w:ind w:left="101" w:right="112"/>
        <w:jc w:val="both"/>
        <w:rPr>
          <w:sz w:val="16"/>
        </w:rPr>
      </w:pPr>
      <w:bookmarkStart w:id="611" w:name="_bookmark533"/>
      <w:bookmarkEnd w:id="611"/>
      <w:r>
        <w:rPr>
          <w:position w:val="6"/>
          <w:sz w:val="10"/>
        </w:rPr>
        <w:t>21</w:t>
      </w:r>
      <w:r>
        <w:rPr>
          <w:position w:val="6"/>
          <w:sz w:val="10"/>
        </w:rPr>
        <w:tab/>
      </w:r>
      <w:r>
        <w:rPr>
          <w:sz w:val="16"/>
        </w:rPr>
        <w:t>Es cierto que se ha ido conformando un orden jerárquico internacional superior de principios y valores</w:t>
      </w:r>
      <w:r>
        <w:rPr>
          <w:spacing w:val="-3"/>
          <w:sz w:val="16"/>
        </w:rPr>
        <w:t xml:space="preserve"> </w:t>
      </w:r>
      <w:r>
        <w:rPr>
          <w:sz w:val="16"/>
        </w:rPr>
        <w:t>que</w:t>
      </w:r>
      <w:r>
        <w:rPr>
          <w:spacing w:val="-5"/>
          <w:sz w:val="16"/>
        </w:rPr>
        <w:t xml:space="preserve"> </w:t>
      </w:r>
      <w:r>
        <w:rPr>
          <w:sz w:val="16"/>
        </w:rPr>
        <w:t>forman</w:t>
      </w:r>
      <w:r>
        <w:rPr>
          <w:spacing w:val="-4"/>
          <w:sz w:val="16"/>
        </w:rPr>
        <w:t xml:space="preserve"> </w:t>
      </w:r>
      <w:r>
        <w:rPr>
          <w:sz w:val="16"/>
        </w:rPr>
        <w:t>parte</w:t>
      </w:r>
      <w:r>
        <w:rPr>
          <w:spacing w:val="-2"/>
          <w:sz w:val="16"/>
        </w:rPr>
        <w:t xml:space="preserve"> </w:t>
      </w:r>
      <w:r>
        <w:rPr>
          <w:sz w:val="16"/>
        </w:rPr>
        <w:t>de</w:t>
      </w:r>
      <w:r>
        <w:rPr>
          <w:spacing w:val="-2"/>
          <w:sz w:val="16"/>
        </w:rPr>
        <w:t xml:space="preserve"> </w:t>
      </w:r>
      <w:r>
        <w:rPr>
          <w:sz w:val="16"/>
        </w:rPr>
        <w:t>un</w:t>
      </w:r>
      <w:r>
        <w:rPr>
          <w:spacing w:val="-1"/>
          <w:sz w:val="16"/>
        </w:rPr>
        <w:t xml:space="preserve"> </w:t>
      </w:r>
      <w:r>
        <w:rPr>
          <w:sz w:val="16"/>
        </w:rPr>
        <w:t>fondo</w:t>
      </w:r>
      <w:r>
        <w:rPr>
          <w:spacing w:val="-2"/>
          <w:sz w:val="16"/>
        </w:rPr>
        <w:t xml:space="preserve"> </w:t>
      </w:r>
      <w:r>
        <w:rPr>
          <w:sz w:val="16"/>
        </w:rPr>
        <w:t>ontológico.</w:t>
      </w:r>
      <w:r>
        <w:rPr>
          <w:spacing w:val="-4"/>
          <w:sz w:val="16"/>
        </w:rPr>
        <w:t xml:space="preserve"> </w:t>
      </w:r>
      <w:r>
        <w:rPr>
          <w:sz w:val="16"/>
        </w:rPr>
        <w:t>Partiendo</w:t>
      </w:r>
      <w:r>
        <w:rPr>
          <w:spacing w:val="-4"/>
          <w:sz w:val="16"/>
        </w:rPr>
        <w:t xml:space="preserve"> </w:t>
      </w:r>
      <w:r>
        <w:rPr>
          <w:sz w:val="16"/>
        </w:rPr>
        <w:t>de</w:t>
      </w:r>
      <w:r>
        <w:rPr>
          <w:spacing w:val="-2"/>
          <w:sz w:val="16"/>
        </w:rPr>
        <w:t xml:space="preserve"> </w:t>
      </w:r>
      <w:r>
        <w:rPr>
          <w:sz w:val="16"/>
        </w:rPr>
        <w:t>dicho</w:t>
      </w:r>
      <w:r>
        <w:rPr>
          <w:spacing w:val="-4"/>
          <w:sz w:val="16"/>
        </w:rPr>
        <w:t xml:space="preserve"> </w:t>
      </w:r>
      <w:r>
        <w:rPr>
          <w:sz w:val="16"/>
        </w:rPr>
        <w:t>fondo</w:t>
      </w:r>
      <w:r>
        <w:rPr>
          <w:spacing w:val="-4"/>
          <w:sz w:val="16"/>
        </w:rPr>
        <w:t xml:space="preserve"> </w:t>
      </w:r>
      <w:r>
        <w:rPr>
          <w:sz w:val="16"/>
        </w:rPr>
        <w:t>ontológico,</w:t>
      </w:r>
      <w:r>
        <w:rPr>
          <w:spacing w:val="-3"/>
          <w:sz w:val="16"/>
        </w:rPr>
        <w:t xml:space="preserve"> </w:t>
      </w:r>
      <w:r>
        <w:rPr>
          <w:sz w:val="16"/>
        </w:rPr>
        <w:t>se</w:t>
      </w:r>
      <w:r>
        <w:rPr>
          <w:spacing w:val="-5"/>
          <w:sz w:val="16"/>
        </w:rPr>
        <w:t xml:space="preserve"> </w:t>
      </w:r>
      <w:r>
        <w:rPr>
          <w:sz w:val="16"/>
        </w:rPr>
        <w:t>deben</w:t>
      </w:r>
      <w:r>
        <w:rPr>
          <w:spacing w:val="-3"/>
          <w:sz w:val="16"/>
        </w:rPr>
        <w:t xml:space="preserve"> </w:t>
      </w:r>
      <w:r>
        <w:rPr>
          <w:sz w:val="16"/>
        </w:rPr>
        <w:t>conducir los razonamientos de</w:t>
      </w:r>
      <w:r>
        <w:rPr>
          <w:sz w:val="16"/>
        </w:rPr>
        <w:t xml:space="preserve"> interpretación y aplicación de las normas de derecho internacional de los derechos humanos.</w:t>
      </w:r>
      <w:r>
        <w:rPr>
          <w:spacing w:val="-7"/>
          <w:sz w:val="16"/>
        </w:rPr>
        <w:t xml:space="preserve"> </w:t>
      </w:r>
      <w:r>
        <w:rPr>
          <w:sz w:val="16"/>
        </w:rPr>
        <w:t>También</w:t>
      </w:r>
      <w:r>
        <w:rPr>
          <w:spacing w:val="-7"/>
          <w:sz w:val="16"/>
        </w:rPr>
        <w:t xml:space="preserve"> </w:t>
      </w:r>
      <w:r>
        <w:rPr>
          <w:sz w:val="16"/>
        </w:rPr>
        <w:t>es</w:t>
      </w:r>
      <w:r>
        <w:rPr>
          <w:spacing w:val="-6"/>
          <w:sz w:val="16"/>
        </w:rPr>
        <w:t xml:space="preserve"> </w:t>
      </w:r>
      <w:r>
        <w:rPr>
          <w:sz w:val="16"/>
        </w:rPr>
        <w:t>cierto</w:t>
      </w:r>
      <w:r>
        <w:rPr>
          <w:spacing w:val="-8"/>
          <w:sz w:val="16"/>
        </w:rPr>
        <w:t xml:space="preserve"> </w:t>
      </w:r>
      <w:r>
        <w:rPr>
          <w:sz w:val="16"/>
        </w:rPr>
        <w:t>que</w:t>
      </w:r>
      <w:r>
        <w:rPr>
          <w:spacing w:val="-6"/>
          <w:sz w:val="16"/>
        </w:rPr>
        <w:t xml:space="preserve"> </w:t>
      </w:r>
      <w:r>
        <w:rPr>
          <w:sz w:val="16"/>
        </w:rPr>
        <w:t>el</w:t>
      </w:r>
      <w:r>
        <w:rPr>
          <w:spacing w:val="-6"/>
          <w:sz w:val="16"/>
        </w:rPr>
        <w:t xml:space="preserve"> </w:t>
      </w:r>
      <w:r>
        <w:rPr>
          <w:i/>
          <w:sz w:val="16"/>
        </w:rPr>
        <w:t>corpus</w:t>
      </w:r>
      <w:r>
        <w:rPr>
          <w:i/>
          <w:spacing w:val="-6"/>
          <w:sz w:val="16"/>
        </w:rPr>
        <w:t xml:space="preserve"> </w:t>
      </w:r>
      <w:r>
        <w:rPr>
          <w:i/>
          <w:sz w:val="16"/>
        </w:rPr>
        <w:t>juris</w:t>
      </w:r>
      <w:r>
        <w:rPr>
          <w:i/>
          <w:spacing w:val="-6"/>
          <w:sz w:val="16"/>
        </w:rPr>
        <w:t xml:space="preserve"> </w:t>
      </w:r>
      <w:r>
        <w:rPr>
          <w:sz w:val="16"/>
        </w:rPr>
        <w:t>internacional</w:t>
      </w:r>
      <w:r>
        <w:rPr>
          <w:spacing w:val="-7"/>
          <w:sz w:val="16"/>
        </w:rPr>
        <w:t xml:space="preserve"> </w:t>
      </w:r>
      <w:r>
        <w:rPr>
          <w:sz w:val="16"/>
        </w:rPr>
        <w:t>se</w:t>
      </w:r>
      <w:r>
        <w:rPr>
          <w:spacing w:val="-6"/>
          <w:sz w:val="16"/>
        </w:rPr>
        <w:t xml:space="preserve"> </w:t>
      </w:r>
      <w:r>
        <w:rPr>
          <w:sz w:val="16"/>
        </w:rPr>
        <w:t>nutre</w:t>
      </w:r>
      <w:r>
        <w:rPr>
          <w:spacing w:val="-8"/>
          <w:sz w:val="16"/>
        </w:rPr>
        <w:t xml:space="preserve"> </w:t>
      </w:r>
      <w:r>
        <w:rPr>
          <w:sz w:val="16"/>
        </w:rPr>
        <w:t>de</w:t>
      </w:r>
      <w:r>
        <w:rPr>
          <w:spacing w:val="-7"/>
          <w:sz w:val="16"/>
        </w:rPr>
        <w:t xml:space="preserve"> </w:t>
      </w:r>
      <w:r>
        <w:rPr>
          <w:sz w:val="16"/>
        </w:rPr>
        <w:t>principios</w:t>
      </w:r>
      <w:r>
        <w:rPr>
          <w:spacing w:val="-8"/>
          <w:sz w:val="16"/>
        </w:rPr>
        <w:t xml:space="preserve"> </w:t>
      </w:r>
      <w:r>
        <w:rPr>
          <w:sz w:val="16"/>
        </w:rPr>
        <w:t>fundacionales,</w:t>
      </w:r>
      <w:r>
        <w:rPr>
          <w:spacing w:val="-7"/>
          <w:sz w:val="16"/>
        </w:rPr>
        <w:t xml:space="preserve"> </w:t>
      </w:r>
      <w:r>
        <w:rPr>
          <w:sz w:val="16"/>
        </w:rPr>
        <w:t>valores ordenadores y, evidentemente, de reglas y normas escritas, las cuales se deben entender desde una perspectiva literal, siempre y cuando su sentido y entendimiento sea suficiente y claro. Sin embargo, cuando eso no es posible o es insuficiente, el i</w:t>
      </w:r>
      <w:r>
        <w:rPr>
          <w:sz w:val="16"/>
        </w:rPr>
        <w:t>ntérprete del derecho debe hacer uso de una revisión teleológica, que busque apoyo en el origen, el espíritu de los textos, tratando de desentrañar lo que sus mentores</w:t>
      </w:r>
      <w:r>
        <w:rPr>
          <w:spacing w:val="-8"/>
          <w:sz w:val="16"/>
        </w:rPr>
        <w:t xml:space="preserve"> </w:t>
      </w:r>
      <w:r>
        <w:rPr>
          <w:sz w:val="16"/>
        </w:rPr>
        <w:t>pretendieron</w:t>
      </w:r>
      <w:r>
        <w:rPr>
          <w:spacing w:val="-6"/>
          <w:sz w:val="16"/>
        </w:rPr>
        <w:t xml:space="preserve"> </w:t>
      </w:r>
      <w:r>
        <w:rPr>
          <w:sz w:val="16"/>
        </w:rPr>
        <w:t>transmitir,</w:t>
      </w:r>
      <w:r>
        <w:rPr>
          <w:spacing w:val="-6"/>
          <w:sz w:val="16"/>
        </w:rPr>
        <w:t xml:space="preserve"> </w:t>
      </w:r>
      <w:r>
        <w:rPr>
          <w:sz w:val="16"/>
        </w:rPr>
        <w:t>en</w:t>
      </w:r>
      <w:r>
        <w:rPr>
          <w:spacing w:val="-6"/>
          <w:sz w:val="16"/>
        </w:rPr>
        <w:t xml:space="preserve"> </w:t>
      </w:r>
      <w:r>
        <w:rPr>
          <w:sz w:val="16"/>
        </w:rPr>
        <w:t>el</w:t>
      </w:r>
      <w:r>
        <w:rPr>
          <w:spacing w:val="-6"/>
          <w:sz w:val="16"/>
        </w:rPr>
        <w:t xml:space="preserve"> </w:t>
      </w:r>
      <w:r>
        <w:rPr>
          <w:sz w:val="16"/>
        </w:rPr>
        <w:t>marco</w:t>
      </w:r>
      <w:r>
        <w:rPr>
          <w:spacing w:val="-7"/>
          <w:sz w:val="16"/>
        </w:rPr>
        <w:t xml:space="preserve"> </w:t>
      </w:r>
      <w:r>
        <w:rPr>
          <w:sz w:val="16"/>
        </w:rPr>
        <w:t>de</w:t>
      </w:r>
      <w:r>
        <w:rPr>
          <w:spacing w:val="-5"/>
          <w:sz w:val="16"/>
        </w:rPr>
        <w:t xml:space="preserve"> </w:t>
      </w:r>
      <w:r>
        <w:rPr>
          <w:sz w:val="16"/>
        </w:rPr>
        <w:t>una</w:t>
      </w:r>
      <w:r>
        <w:rPr>
          <w:spacing w:val="-8"/>
          <w:sz w:val="16"/>
        </w:rPr>
        <w:t xml:space="preserve"> </w:t>
      </w:r>
      <w:r>
        <w:rPr>
          <w:sz w:val="16"/>
        </w:rPr>
        <w:t>reflexión</w:t>
      </w:r>
      <w:r>
        <w:rPr>
          <w:spacing w:val="-6"/>
          <w:sz w:val="16"/>
        </w:rPr>
        <w:t xml:space="preserve"> </w:t>
      </w:r>
      <w:r>
        <w:rPr>
          <w:sz w:val="16"/>
        </w:rPr>
        <w:t>sistémica</w:t>
      </w:r>
      <w:r>
        <w:rPr>
          <w:spacing w:val="-8"/>
          <w:sz w:val="16"/>
        </w:rPr>
        <w:t xml:space="preserve"> </w:t>
      </w:r>
      <w:r>
        <w:rPr>
          <w:sz w:val="16"/>
        </w:rPr>
        <w:t>de</w:t>
      </w:r>
      <w:r>
        <w:rPr>
          <w:spacing w:val="-5"/>
          <w:sz w:val="16"/>
        </w:rPr>
        <w:t xml:space="preserve"> </w:t>
      </w:r>
      <w:r>
        <w:rPr>
          <w:sz w:val="16"/>
        </w:rPr>
        <w:t>la</w:t>
      </w:r>
      <w:r>
        <w:rPr>
          <w:spacing w:val="-6"/>
          <w:sz w:val="16"/>
        </w:rPr>
        <w:t xml:space="preserve"> </w:t>
      </w:r>
      <w:r>
        <w:rPr>
          <w:sz w:val="16"/>
        </w:rPr>
        <w:t>norma,</w:t>
      </w:r>
      <w:r>
        <w:rPr>
          <w:spacing w:val="-8"/>
          <w:sz w:val="16"/>
        </w:rPr>
        <w:t xml:space="preserve"> </w:t>
      </w:r>
      <w:r>
        <w:rPr>
          <w:sz w:val="16"/>
        </w:rPr>
        <w:t>en</w:t>
      </w:r>
      <w:r>
        <w:rPr>
          <w:spacing w:val="-6"/>
          <w:sz w:val="16"/>
        </w:rPr>
        <w:t xml:space="preserve"> </w:t>
      </w:r>
      <w:r>
        <w:rPr>
          <w:sz w:val="16"/>
        </w:rPr>
        <w:t>su</w:t>
      </w:r>
      <w:r>
        <w:rPr>
          <w:spacing w:val="-8"/>
          <w:sz w:val="16"/>
        </w:rPr>
        <w:t xml:space="preserve"> </w:t>
      </w:r>
      <w:r>
        <w:rPr>
          <w:sz w:val="16"/>
        </w:rPr>
        <w:t>versi</w:t>
      </w:r>
      <w:r>
        <w:rPr>
          <w:sz w:val="16"/>
        </w:rPr>
        <w:t>ón</w:t>
      </w:r>
      <w:r>
        <w:rPr>
          <w:spacing w:val="-8"/>
          <w:sz w:val="16"/>
        </w:rPr>
        <w:t xml:space="preserve"> </w:t>
      </w:r>
      <w:r>
        <w:rPr>
          <w:sz w:val="16"/>
        </w:rPr>
        <w:t>viva, evolutiva pero siempre interconectada con el orden jerárquico normativo al que se pertenece. En ese sentido, la labor hermenéutica del Tribunal hace conexión directa y tiene fundamentación sólida con los principios,</w:t>
      </w:r>
      <w:r>
        <w:rPr>
          <w:spacing w:val="-8"/>
          <w:sz w:val="16"/>
        </w:rPr>
        <w:t xml:space="preserve"> </w:t>
      </w:r>
      <w:r>
        <w:rPr>
          <w:sz w:val="16"/>
        </w:rPr>
        <w:t>propósitos</w:t>
      </w:r>
      <w:r>
        <w:rPr>
          <w:spacing w:val="-6"/>
          <w:sz w:val="16"/>
        </w:rPr>
        <w:t xml:space="preserve"> </w:t>
      </w:r>
      <w:r>
        <w:rPr>
          <w:sz w:val="16"/>
        </w:rPr>
        <w:t>y</w:t>
      </w:r>
      <w:r>
        <w:rPr>
          <w:spacing w:val="-5"/>
          <w:sz w:val="16"/>
        </w:rPr>
        <w:t xml:space="preserve"> </w:t>
      </w:r>
      <w:r>
        <w:rPr>
          <w:sz w:val="16"/>
        </w:rPr>
        <w:t>valores</w:t>
      </w:r>
      <w:r>
        <w:rPr>
          <w:spacing w:val="-3"/>
          <w:sz w:val="16"/>
        </w:rPr>
        <w:t xml:space="preserve"> </w:t>
      </w:r>
      <w:r>
        <w:rPr>
          <w:sz w:val="16"/>
        </w:rPr>
        <w:t>que</w:t>
      </w:r>
      <w:r>
        <w:rPr>
          <w:spacing w:val="-6"/>
          <w:sz w:val="16"/>
        </w:rPr>
        <w:t xml:space="preserve"> </w:t>
      </w:r>
      <w:r>
        <w:rPr>
          <w:sz w:val="16"/>
        </w:rPr>
        <w:t>confor</w:t>
      </w:r>
      <w:r>
        <w:rPr>
          <w:sz w:val="16"/>
        </w:rPr>
        <w:t>man</w:t>
      </w:r>
      <w:r>
        <w:rPr>
          <w:spacing w:val="-7"/>
          <w:sz w:val="16"/>
        </w:rPr>
        <w:t xml:space="preserve"> </w:t>
      </w:r>
      <w:r>
        <w:rPr>
          <w:sz w:val="16"/>
        </w:rPr>
        <w:t>el</w:t>
      </w:r>
      <w:r>
        <w:rPr>
          <w:spacing w:val="-4"/>
          <w:sz w:val="16"/>
        </w:rPr>
        <w:t xml:space="preserve"> </w:t>
      </w:r>
      <w:r>
        <w:rPr>
          <w:sz w:val="16"/>
        </w:rPr>
        <w:t>mencionado</w:t>
      </w:r>
      <w:r>
        <w:rPr>
          <w:spacing w:val="-5"/>
          <w:sz w:val="16"/>
        </w:rPr>
        <w:t xml:space="preserve"> </w:t>
      </w:r>
      <w:r>
        <w:rPr>
          <w:sz w:val="16"/>
        </w:rPr>
        <w:t>orden</w:t>
      </w:r>
      <w:r>
        <w:rPr>
          <w:spacing w:val="-7"/>
          <w:sz w:val="16"/>
        </w:rPr>
        <w:t xml:space="preserve"> </w:t>
      </w:r>
      <w:r>
        <w:rPr>
          <w:sz w:val="16"/>
        </w:rPr>
        <w:t>jerárquico</w:t>
      </w:r>
      <w:r>
        <w:rPr>
          <w:spacing w:val="-5"/>
          <w:sz w:val="16"/>
        </w:rPr>
        <w:t xml:space="preserve"> </w:t>
      </w:r>
      <w:r>
        <w:rPr>
          <w:sz w:val="16"/>
        </w:rPr>
        <w:t>superior</w:t>
      </w:r>
      <w:r>
        <w:rPr>
          <w:spacing w:val="-5"/>
          <w:sz w:val="16"/>
        </w:rPr>
        <w:t xml:space="preserve"> </w:t>
      </w:r>
      <w:r>
        <w:rPr>
          <w:sz w:val="16"/>
        </w:rPr>
        <w:t>global</w:t>
      </w:r>
      <w:r>
        <w:rPr>
          <w:spacing w:val="-4"/>
          <w:sz w:val="16"/>
        </w:rPr>
        <w:t xml:space="preserve"> </w:t>
      </w:r>
      <w:r>
        <w:rPr>
          <w:sz w:val="16"/>
        </w:rPr>
        <w:t>y</w:t>
      </w:r>
      <w:r>
        <w:rPr>
          <w:spacing w:val="-8"/>
          <w:sz w:val="16"/>
        </w:rPr>
        <w:t xml:space="preserve"> </w:t>
      </w:r>
      <w:r>
        <w:rPr>
          <w:sz w:val="16"/>
        </w:rPr>
        <w:t>regional.</w:t>
      </w:r>
    </w:p>
    <w:p w14:paraId="4A75FDDB" w14:textId="77777777" w:rsidR="00467FCA" w:rsidRDefault="001B68EB">
      <w:pPr>
        <w:tabs>
          <w:tab w:val="left" w:pos="809"/>
        </w:tabs>
        <w:ind w:left="101" w:right="113"/>
        <w:jc w:val="both"/>
        <w:rPr>
          <w:i/>
          <w:sz w:val="16"/>
        </w:rPr>
      </w:pPr>
      <w:bookmarkStart w:id="612" w:name="_bookmark534"/>
      <w:bookmarkEnd w:id="612"/>
      <w:r>
        <w:rPr>
          <w:position w:val="6"/>
          <w:sz w:val="10"/>
        </w:rPr>
        <w:t>22</w:t>
      </w:r>
      <w:r>
        <w:rPr>
          <w:position w:val="6"/>
          <w:sz w:val="10"/>
        </w:rPr>
        <w:tab/>
      </w:r>
      <w:r>
        <w:rPr>
          <w:i/>
          <w:sz w:val="16"/>
        </w:rPr>
        <w:t>Cfr. Caso Acevedo Buendía y otros ("Cesantes y Jubilados de la Contraloría") Vs. Perú, supra</w:t>
      </w:r>
      <w:r>
        <w:rPr>
          <w:sz w:val="16"/>
        </w:rPr>
        <w:t xml:space="preserve">, párrs. 101 a 103; </w:t>
      </w:r>
      <w:r>
        <w:rPr>
          <w:i/>
          <w:sz w:val="16"/>
        </w:rPr>
        <w:t xml:space="preserve">Caso Poblete Vilches y otros Vs. Chile. Fondo, Reparaciones y Costas. </w:t>
      </w:r>
      <w:r>
        <w:rPr>
          <w:sz w:val="16"/>
        </w:rPr>
        <w:t xml:space="preserve">Sentencia de 8 de marzo de 2018. Serie C No. 349, párr. 104; </w:t>
      </w:r>
      <w:r>
        <w:rPr>
          <w:i/>
          <w:sz w:val="16"/>
        </w:rPr>
        <w:t>Caso Cuscul Pivaral y otros Vs. Guatemala, supra</w:t>
      </w:r>
      <w:r>
        <w:rPr>
          <w:sz w:val="16"/>
        </w:rPr>
        <w:t>, párr. 98;</w:t>
      </w:r>
      <w:r>
        <w:rPr>
          <w:spacing w:val="-6"/>
          <w:sz w:val="16"/>
        </w:rPr>
        <w:t xml:space="preserve"> </w:t>
      </w:r>
      <w:r>
        <w:rPr>
          <w:i/>
          <w:sz w:val="16"/>
        </w:rPr>
        <w:t>Caso</w:t>
      </w:r>
      <w:r>
        <w:rPr>
          <w:i/>
          <w:spacing w:val="-4"/>
          <w:sz w:val="16"/>
        </w:rPr>
        <w:t xml:space="preserve"> </w:t>
      </w:r>
      <w:r>
        <w:rPr>
          <w:i/>
          <w:sz w:val="16"/>
        </w:rPr>
        <w:t>Muelle</w:t>
      </w:r>
      <w:r>
        <w:rPr>
          <w:i/>
          <w:spacing w:val="-5"/>
          <w:sz w:val="16"/>
        </w:rPr>
        <w:t xml:space="preserve"> </w:t>
      </w:r>
      <w:r>
        <w:rPr>
          <w:i/>
          <w:sz w:val="16"/>
        </w:rPr>
        <w:t>Flores</w:t>
      </w:r>
      <w:r>
        <w:rPr>
          <w:i/>
          <w:spacing w:val="-5"/>
          <w:sz w:val="16"/>
        </w:rPr>
        <w:t xml:space="preserve"> </w:t>
      </w:r>
      <w:r>
        <w:rPr>
          <w:i/>
          <w:sz w:val="16"/>
        </w:rPr>
        <w:t>Vs.</w:t>
      </w:r>
      <w:r>
        <w:rPr>
          <w:i/>
          <w:spacing w:val="-5"/>
          <w:sz w:val="16"/>
        </w:rPr>
        <w:t xml:space="preserve"> </w:t>
      </w:r>
      <w:r>
        <w:rPr>
          <w:i/>
          <w:sz w:val="16"/>
        </w:rPr>
        <w:t>Perú.</w:t>
      </w:r>
      <w:r>
        <w:rPr>
          <w:i/>
          <w:spacing w:val="-3"/>
          <w:sz w:val="16"/>
        </w:rPr>
        <w:t xml:space="preserve"> </w:t>
      </w:r>
      <w:r>
        <w:rPr>
          <w:i/>
          <w:sz w:val="16"/>
        </w:rPr>
        <w:t>Excepciones</w:t>
      </w:r>
      <w:r>
        <w:rPr>
          <w:i/>
          <w:spacing w:val="-5"/>
          <w:sz w:val="16"/>
        </w:rPr>
        <w:t xml:space="preserve"> </w:t>
      </w:r>
      <w:r>
        <w:rPr>
          <w:i/>
          <w:sz w:val="16"/>
        </w:rPr>
        <w:t>Preliminares,</w:t>
      </w:r>
      <w:r>
        <w:rPr>
          <w:i/>
          <w:spacing w:val="-6"/>
          <w:sz w:val="16"/>
        </w:rPr>
        <w:t xml:space="preserve"> </w:t>
      </w:r>
      <w:r>
        <w:rPr>
          <w:i/>
          <w:sz w:val="16"/>
        </w:rPr>
        <w:t>Fondo,</w:t>
      </w:r>
      <w:r>
        <w:rPr>
          <w:i/>
          <w:spacing w:val="-5"/>
          <w:sz w:val="16"/>
        </w:rPr>
        <w:t xml:space="preserve"> </w:t>
      </w:r>
      <w:r>
        <w:rPr>
          <w:i/>
          <w:sz w:val="16"/>
        </w:rPr>
        <w:t>Rep</w:t>
      </w:r>
      <w:r>
        <w:rPr>
          <w:i/>
          <w:sz w:val="16"/>
        </w:rPr>
        <w:t>araciones</w:t>
      </w:r>
      <w:r>
        <w:rPr>
          <w:i/>
          <w:spacing w:val="-7"/>
          <w:sz w:val="16"/>
        </w:rPr>
        <w:t xml:space="preserve"> </w:t>
      </w:r>
      <w:r>
        <w:rPr>
          <w:i/>
          <w:sz w:val="16"/>
        </w:rPr>
        <w:t>y</w:t>
      </w:r>
      <w:r>
        <w:rPr>
          <w:i/>
          <w:spacing w:val="-4"/>
          <w:sz w:val="16"/>
        </w:rPr>
        <w:t xml:space="preserve"> </w:t>
      </w:r>
      <w:r>
        <w:rPr>
          <w:i/>
          <w:sz w:val="16"/>
        </w:rPr>
        <w:t>Costas.</w:t>
      </w:r>
      <w:r>
        <w:rPr>
          <w:i/>
          <w:spacing w:val="-6"/>
          <w:sz w:val="16"/>
        </w:rPr>
        <w:t xml:space="preserve"> </w:t>
      </w:r>
      <w:r>
        <w:rPr>
          <w:sz w:val="16"/>
        </w:rPr>
        <w:t>Sentencia</w:t>
      </w:r>
      <w:r>
        <w:rPr>
          <w:spacing w:val="-2"/>
          <w:sz w:val="16"/>
        </w:rPr>
        <w:t xml:space="preserve"> </w:t>
      </w:r>
      <w:r>
        <w:rPr>
          <w:sz w:val="16"/>
        </w:rPr>
        <w:t>de</w:t>
      </w:r>
      <w:r>
        <w:rPr>
          <w:spacing w:val="-5"/>
          <w:sz w:val="16"/>
        </w:rPr>
        <w:t xml:space="preserve"> </w:t>
      </w:r>
      <w:r>
        <w:rPr>
          <w:sz w:val="16"/>
        </w:rPr>
        <w:t xml:space="preserve">6 de marzo de 2019. Serie C No. 375, párr. 190; </w:t>
      </w:r>
      <w:r>
        <w:rPr>
          <w:i/>
          <w:sz w:val="16"/>
        </w:rPr>
        <w:t>Caso Asociación Nacional de Cesantes y Jubilados de la Superintendencia Nacional de Administración Tributaria (ANCEJUB-SUNAT) Vs. Perú. Excepciones Preliminares, Fondo, Repara</w:t>
      </w:r>
      <w:r>
        <w:rPr>
          <w:i/>
          <w:sz w:val="16"/>
        </w:rPr>
        <w:t xml:space="preserve">ciones y Costas. </w:t>
      </w:r>
      <w:r>
        <w:rPr>
          <w:sz w:val="16"/>
        </w:rPr>
        <w:t>Sentencia de 21 de noviembre de 2019. Serie C No. 394, párr.</w:t>
      </w:r>
      <w:r>
        <w:rPr>
          <w:spacing w:val="-7"/>
          <w:sz w:val="16"/>
        </w:rPr>
        <w:t xml:space="preserve"> </w:t>
      </w:r>
      <w:r>
        <w:rPr>
          <w:sz w:val="16"/>
        </w:rPr>
        <w:t>173;</w:t>
      </w:r>
      <w:r>
        <w:rPr>
          <w:spacing w:val="-8"/>
          <w:sz w:val="16"/>
        </w:rPr>
        <w:t xml:space="preserve"> </w:t>
      </w:r>
      <w:r>
        <w:rPr>
          <w:i/>
          <w:sz w:val="16"/>
        </w:rPr>
        <w:t>Caso</w:t>
      </w:r>
      <w:r>
        <w:rPr>
          <w:i/>
          <w:spacing w:val="-5"/>
          <w:sz w:val="16"/>
        </w:rPr>
        <w:t xml:space="preserve"> </w:t>
      </w:r>
      <w:r>
        <w:rPr>
          <w:i/>
          <w:sz w:val="16"/>
        </w:rPr>
        <w:t>Hernández</w:t>
      </w:r>
      <w:r>
        <w:rPr>
          <w:i/>
          <w:spacing w:val="-5"/>
          <w:sz w:val="16"/>
        </w:rPr>
        <w:t xml:space="preserve"> </w:t>
      </w:r>
      <w:r>
        <w:rPr>
          <w:i/>
          <w:sz w:val="16"/>
        </w:rPr>
        <w:t>Vs.</w:t>
      </w:r>
      <w:r>
        <w:rPr>
          <w:i/>
          <w:spacing w:val="-7"/>
          <w:sz w:val="16"/>
        </w:rPr>
        <w:t xml:space="preserve"> </w:t>
      </w:r>
      <w:r>
        <w:rPr>
          <w:i/>
          <w:sz w:val="16"/>
        </w:rPr>
        <w:t>Argentina.</w:t>
      </w:r>
      <w:r>
        <w:rPr>
          <w:i/>
          <w:spacing w:val="-6"/>
          <w:sz w:val="16"/>
        </w:rPr>
        <w:t xml:space="preserve"> </w:t>
      </w:r>
      <w:r>
        <w:rPr>
          <w:i/>
          <w:sz w:val="16"/>
        </w:rPr>
        <w:t>Excepción</w:t>
      </w:r>
      <w:r>
        <w:rPr>
          <w:i/>
          <w:spacing w:val="-7"/>
          <w:sz w:val="16"/>
        </w:rPr>
        <w:t xml:space="preserve"> </w:t>
      </w:r>
      <w:r>
        <w:rPr>
          <w:i/>
          <w:sz w:val="16"/>
        </w:rPr>
        <w:t>Preliminar,</w:t>
      </w:r>
      <w:r>
        <w:rPr>
          <w:i/>
          <w:spacing w:val="-6"/>
          <w:sz w:val="16"/>
        </w:rPr>
        <w:t xml:space="preserve"> </w:t>
      </w:r>
      <w:r>
        <w:rPr>
          <w:i/>
          <w:sz w:val="16"/>
        </w:rPr>
        <w:t>Fondo,</w:t>
      </w:r>
      <w:r>
        <w:rPr>
          <w:i/>
          <w:spacing w:val="-9"/>
          <w:sz w:val="16"/>
        </w:rPr>
        <w:t xml:space="preserve"> </w:t>
      </w:r>
      <w:r>
        <w:rPr>
          <w:i/>
          <w:sz w:val="16"/>
        </w:rPr>
        <w:t>Reparaciones</w:t>
      </w:r>
      <w:r>
        <w:rPr>
          <w:i/>
          <w:spacing w:val="-7"/>
          <w:sz w:val="16"/>
        </w:rPr>
        <w:t xml:space="preserve"> </w:t>
      </w:r>
      <w:r>
        <w:rPr>
          <w:i/>
          <w:sz w:val="16"/>
        </w:rPr>
        <w:t>y</w:t>
      </w:r>
      <w:r>
        <w:rPr>
          <w:i/>
          <w:spacing w:val="-5"/>
          <w:sz w:val="16"/>
        </w:rPr>
        <w:t xml:space="preserve"> </w:t>
      </w:r>
      <w:r>
        <w:rPr>
          <w:i/>
          <w:sz w:val="16"/>
        </w:rPr>
        <w:t>Costas.</w:t>
      </w:r>
      <w:r>
        <w:rPr>
          <w:i/>
          <w:spacing w:val="-6"/>
          <w:sz w:val="16"/>
        </w:rPr>
        <w:t xml:space="preserve"> </w:t>
      </w:r>
      <w:r>
        <w:rPr>
          <w:sz w:val="16"/>
        </w:rPr>
        <w:t>Sentencia de</w:t>
      </w:r>
      <w:r>
        <w:rPr>
          <w:spacing w:val="12"/>
          <w:sz w:val="16"/>
        </w:rPr>
        <w:t xml:space="preserve"> </w:t>
      </w:r>
      <w:r>
        <w:rPr>
          <w:sz w:val="16"/>
        </w:rPr>
        <w:t>22</w:t>
      </w:r>
      <w:r>
        <w:rPr>
          <w:spacing w:val="14"/>
          <w:sz w:val="16"/>
        </w:rPr>
        <w:t xml:space="preserve"> </w:t>
      </w:r>
      <w:r>
        <w:rPr>
          <w:sz w:val="16"/>
        </w:rPr>
        <w:t>de</w:t>
      </w:r>
      <w:r>
        <w:rPr>
          <w:spacing w:val="13"/>
          <w:sz w:val="16"/>
        </w:rPr>
        <w:t xml:space="preserve"> </w:t>
      </w:r>
      <w:r>
        <w:rPr>
          <w:sz w:val="16"/>
        </w:rPr>
        <w:t>noviembre</w:t>
      </w:r>
      <w:r>
        <w:rPr>
          <w:spacing w:val="13"/>
          <w:sz w:val="16"/>
        </w:rPr>
        <w:t xml:space="preserve"> </w:t>
      </w:r>
      <w:r>
        <w:rPr>
          <w:sz w:val="16"/>
        </w:rPr>
        <w:t>de</w:t>
      </w:r>
      <w:r>
        <w:rPr>
          <w:spacing w:val="11"/>
          <w:sz w:val="16"/>
        </w:rPr>
        <w:t xml:space="preserve"> </w:t>
      </w:r>
      <w:r>
        <w:rPr>
          <w:sz w:val="16"/>
        </w:rPr>
        <w:t>2019.</w:t>
      </w:r>
      <w:r>
        <w:rPr>
          <w:spacing w:val="12"/>
          <w:sz w:val="16"/>
        </w:rPr>
        <w:t xml:space="preserve"> </w:t>
      </w:r>
      <w:r>
        <w:rPr>
          <w:sz w:val="16"/>
        </w:rPr>
        <w:t>Serie</w:t>
      </w:r>
      <w:r>
        <w:rPr>
          <w:spacing w:val="12"/>
          <w:sz w:val="16"/>
        </w:rPr>
        <w:t xml:space="preserve"> </w:t>
      </w:r>
      <w:r>
        <w:rPr>
          <w:sz w:val="16"/>
        </w:rPr>
        <w:t>C</w:t>
      </w:r>
      <w:r>
        <w:rPr>
          <w:spacing w:val="13"/>
          <w:sz w:val="16"/>
        </w:rPr>
        <w:t xml:space="preserve"> </w:t>
      </w:r>
      <w:r>
        <w:rPr>
          <w:sz w:val="16"/>
        </w:rPr>
        <w:t>No.</w:t>
      </w:r>
      <w:r>
        <w:rPr>
          <w:spacing w:val="12"/>
          <w:sz w:val="16"/>
        </w:rPr>
        <w:t xml:space="preserve"> </w:t>
      </w:r>
      <w:r>
        <w:rPr>
          <w:sz w:val="16"/>
        </w:rPr>
        <w:t>395,</w:t>
      </w:r>
      <w:r>
        <w:rPr>
          <w:spacing w:val="12"/>
          <w:sz w:val="16"/>
        </w:rPr>
        <w:t xml:space="preserve"> </w:t>
      </w:r>
      <w:r>
        <w:rPr>
          <w:sz w:val="16"/>
        </w:rPr>
        <w:t>párr.</w:t>
      </w:r>
      <w:r>
        <w:rPr>
          <w:spacing w:val="9"/>
          <w:sz w:val="16"/>
        </w:rPr>
        <w:t xml:space="preserve"> </w:t>
      </w:r>
      <w:r>
        <w:rPr>
          <w:sz w:val="16"/>
        </w:rPr>
        <w:t>81;</w:t>
      </w:r>
      <w:r>
        <w:rPr>
          <w:spacing w:val="12"/>
          <w:sz w:val="16"/>
        </w:rPr>
        <w:t xml:space="preserve"> </w:t>
      </w:r>
      <w:r>
        <w:rPr>
          <w:i/>
          <w:sz w:val="16"/>
        </w:rPr>
        <w:t>Caso</w:t>
      </w:r>
      <w:r>
        <w:rPr>
          <w:i/>
          <w:spacing w:val="14"/>
          <w:sz w:val="16"/>
        </w:rPr>
        <w:t xml:space="preserve"> </w:t>
      </w:r>
      <w:r>
        <w:rPr>
          <w:i/>
          <w:sz w:val="16"/>
        </w:rPr>
        <w:t>Comunidades</w:t>
      </w:r>
      <w:r>
        <w:rPr>
          <w:i/>
          <w:spacing w:val="12"/>
          <w:sz w:val="16"/>
        </w:rPr>
        <w:t xml:space="preserve"> </w:t>
      </w:r>
      <w:r>
        <w:rPr>
          <w:i/>
          <w:sz w:val="16"/>
        </w:rPr>
        <w:t>Indígenas</w:t>
      </w:r>
      <w:r>
        <w:rPr>
          <w:i/>
          <w:spacing w:val="11"/>
          <w:sz w:val="16"/>
        </w:rPr>
        <w:t xml:space="preserve"> </w:t>
      </w:r>
      <w:r>
        <w:rPr>
          <w:i/>
          <w:sz w:val="16"/>
        </w:rPr>
        <w:t>Miembros</w:t>
      </w:r>
      <w:r>
        <w:rPr>
          <w:i/>
          <w:spacing w:val="13"/>
          <w:sz w:val="16"/>
        </w:rPr>
        <w:t xml:space="preserve"> </w:t>
      </w:r>
      <w:r>
        <w:rPr>
          <w:i/>
          <w:sz w:val="16"/>
        </w:rPr>
        <w:t>de</w:t>
      </w:r>
      <w:r>
        <w:rPr>
          <w:i/>
          <w:spacing w:val="13"/>
          <w:sz w:val="16"/>
        </w:rPr>
        <w:t xml:space="preserve"> </w:t>
      </w:r>
      <w:r>
        <w:rPr>
          <w:i/>
          <w:sz w:val="16"/>
        </w:rPr>
        <w:t>la</w:t>
      </w:r>
    </w:p>
    <w:p w14:paraId="2B98912D" w14:textId="77777777" w:rsidR="00467FCA" w:rsidRDefault="00467FCA">
      <w:pPr>
        <w:jc w:val="both"/>
        <w:rPr>
          <w:sz w:val="16"/>
        </w:rPr>
        <w:sectPr w:rsidR="00467FCA">
          <w:footerReference w:type="default" r:id="rId53"/>
          <w:pgSz w:w="11900" w:h="16850"/>
          <w:pgMar w:top="1340" w:right="1580" w:bottom="280" w:left="1600" w:header="0" w:footer="0" w:gutter="0"/>
          <w:cols w:space="720"/>
        </w:sectPr>
      </w:pPr>
    </w:p>
    <w:p w14:paraId="1706444A" w14:textId="77777777" w:rsidR="00467FCA" w:rsidRDefault="001B68EB">
      <w:pPr>
        <w:pStyle w:val="Textoindependiente"/>
        <w:spacing w:before="75"/>
        <w:ind w:left="101" w:hanging="1"/>
      </w:pPr>
      <w:r>
        <w:t>que configuran, por su reiteración, no solo en un precedente, sino que ya configura una jurisprudencia constante y consistente.</w:t>
      </w:r>
    </w:p>
    <w:p w14:paraId="667695A9" w14:textId="77777777" w:rsidR="00467FCA" w:rsidRDefault="00467FCA">
      <w:pPr>
        <w:pStyle w:val="Textoindependiente"/>
        <w:spacing w:before="1"/>
      </w:pPr>
    </w:p>
    <w:p w14:paraId="6E5858DF" w14:textId="77777777" w:rsidR="00467FCA" w:rsidRDefault="001B68EB">
      <w:pPr>
        <w:pStyle w:val="Prrafodelista"/>
        <w:numPr>
          <w:ilvl w:val="0"/>
          <w:numId w:val="32"/>
        </w:numPr>
        <w:tabs>
          <w:tab w:val="left" w:pos="810"/>
        </w:tabs>
        <w:ind w:right="116" w:hanging="1"/>
        <w:jc w:val="both"/>
        <w:rPr>
          <w:sz w:val="20"/>
        </w:rPr>
      </w:pPr>
      <w:r>
        <w:rPr>
          <w:sz w:val="20"/>
        </w:rPr>
        <w:t>La Convención Americana, en su artículo 26, dispone que los Estados deben buscar,</w:t>
      </w:r>
      <w:r>
        <w:rPr>
          <w:spacing w:val="-5"/>
          <w:sz w:val="20"/>
        </w:rPr>
        <w:t xml:space="preserve"> </w:t>
      </w:r>
      <w:r>
        <w:rPr>
          <w:sz w:val="20"/>
        </w:rPr>
        <w:t>progresivamente,</w:t>
      </w:r>
      <w:r>
        <w:rPr>
          <w:spacing w:val="-6"/>
          <w:sz w:val="20"/>
        </w:rPr>
        <w:t xml:space="preserve"> </w:t>
      </w:r>
      <w:r>
        <w:rPr>
          <w:sz w:val="20"/>
        </w:rPr>
        <w:t>la</w:t>
      </w:r>
      <w:r>
        <w:rPr>
          <w:spacing w:val="-4"/>
          <w:sz w:val="20"/>
        </w:rPr>
        <w:t xml:space="preserve"> </w:t>
      </w:r>
      <w:r>
        <w:rPr>
          <w:sz w:val="20"/>
        </w:rPr>
        <w:t>plena</w:t>
      </w:r>
      <w:r>
        <w:rPr>
          <w:spacing w:val="-4"/>
          <w:sz w:val="20"/>
        </w:rPr>
        <w:t xml:space="preserve"> </w:t>
      </w:r>
      <w:r>
        <w:rPr>
          <w:sz w:val="20"/>
        </w:rPr>
        <w:t>realización</w:t>
      </w:r>
      <w:r>
        <w:rPr>
          <w:spacing w:val="-4"/>
          <w:sz w:val="20"/>
        </w:rPr>
        <w:t xml:space="preserve"> </w:t>
      </w:r>
      <w:r>
        <w:rPr>
          <w:sz w:val="20"/>
        </w:rPr>
        <w:t>de</w:t>
      </w:r>
      <w:r>
        <w:rPr>
          <w:spacing w:val="-8"/>
          <w:sz w:val="20"/>
        </w:rPr>
        <w:t xml:space="preserve"> </w:t>
      </w:r>
      <w:r>
        <w:rPr>
          <w:sz w:val="20"/>
        </w:rPr>
        <w:t>los</w:t>
      </w:r>
      <w:r>
        <w:rPr>
          <w:spacing w:val="-4"/>
          <w:sz w:val="20"/>
        </w:rPr>
        <w:t xml:space="preserve"> </w:t>
      </w:r>
      <w:r>
        <w:rPr>
          <w:sz w:val="20"/>
        </w:rPr>
        <w:t>“derechos</w:t>
      </w:r>
      <w:r>
        <w:rPr>
          <w:spacing w:val="-7"/>
          <w:sz w:val="20"/>
        </w:rPr>
        <w:t xml:space="preserve"> </w:t>
      </w:r>
      <w:r>
        <w:rPr>
          <w:sz w:val="20"/>
        </w:rPr>
        <w:t>que</w:t>
      </w:r>
      <w:r>
        <w:rPr>
          <w:spacing w:val="-4"/>
          <w:sz w:val="20"/>
        </w:rPr>
        <w:t xml:space="preserve"> </w:t>
      </w:r>
      <w:r>
        <w:rPr>
          <w:sz w:val="20"/>
        </w:rPr>
        <w:t>se</w:t>
      </w:r>
      <w:r>
        <w:rPr>
          <w:spacing w:val="-8"/>
          <w:sz w:val="20"/>
        </w:rPr>
        <w:t xml:space="preserve"> </w:t>
      </w:r>
      <w:r>
        <w:rPr>
          <w:sz w:val="20"/>
        </w:rPr>
        <w:t>derivan</w:t>
      </w:r>
      <w:r>
        <w:rPr>
          <w:spacing w:val="-2"/>
          <w:sz w:val="20"/>
        </w:rPr>
        <w:t xml:space="preserve"> </w:t>
      </w:r>
      <w:r>
        <w:rPr>
          <w:sz w:val="20"/>
        </w:rPr>
        <w:t>de</w:t>
      </w:r>
      <w:r>
        <w:rPr>
          <w:spacing w:val="-5"/>
          <w:sz w:val="20"/>
        </w:rPr>
        <w:t xml:space="preserve"> </w:t>
      </w:r>
      <w:r>
        <w:rPr>
          <w:sz w:val="20"/>
        </w:rPr>
        <w:t>las normas económicas, sociales y sobre educación, ciencia y cultura, contenidas en la Carta de la Organización de los Estados</w:t>
      </w:r>
      <w:r>
        <w:rPr>
          <w:spacing w:val="-8"/>
          <w:sz w:val="20"/>
        </w:rPr>
        <w:t xml:space="preserve"> </w:t>
      </w:r>
      <w:r>
        <w:rPr>
          <w:sz w:val="20"/>
        </w:rPr>
        <w:t>Americanos”</w:t>
      </w:r>
      <w:hyperlink w:anchor="_bookmark535" w:history="1">
        <w:r>
          <w:rPr>
            <w:position w:val="7"/>
            <w:sz w:val="13"/>
          </w:rPr>
          <w:t>23</w:t>
        </w:r>
      </w:hyperlink>
      <w:r>
        <w:rPr>
          <w:sz w:val="20"/>
        </w:rPr>
        <w:t>.</w:t>
      </w:r>
    </w:p>
    <w:p w14:paraId="4E56531B" w14:textId="77777777" w:rsidR="00467FCA" w:rsidRDefault="00467FCA">
      <w:pPr>
        <w:pStyle w:val="Textoindependiente"/>
        <w:spacing w:before="1"/>
      </w:pPr>
    </w:p>
    <w:p w14:paraId="60BF0275" w14:textId="77777777" w:rsidR="00467FCA" w:rsidRDefault="001B68EB">
      <w:pPr>
        <w:pStyle w:val="Prrafodelista"/>
        <w:numPr>
          <w:ilvl w:val="0"/>
          <w:numId w:val="32"/>
        </w:numPr>
        <w:tabs>
          <w:tab w:val="left" w:pos="810"/>
        </w:tabs>
        <w:ind w:right="115" w:hanging="1"/>
        <w:jc w:val="both"/>
        <w:rPr>
          <w:sz w:val="20"/>
        </w:rPr>
      </w:pPr>
      <w:r>
        <w:rPr>
          <w:sz w:val="20"/>
        </w:rPr>
        <w:t>En el mismo sentido, la obligación de progresividad está establecida en el Protoc</w:t>
      </w:r>
      <w:r>
        <w:rPr>
          <w:sz w:val="20"/>
        </w:rPr>
        <w:t>olo</w:t>
      </w:r>
      <w:r>
        <w:rPr>
          <w:spacing w:val="-19"/>
          <w:sz w:val="20"/>
        </w:rPr>
        <w:t xml:space="preserve"> </w:t>
      </w:r>
      <w:r>
        <w:rPr>
          <w:sz w:val="20"/>
        </w:rPr>
        <w:t>de</w:t>
      </w:r>
      <w:r>
        <w:rPr>
          <w:spacing w:val="-18"/>
          <w:sz w:val="20"/>
        </w:rPr>
        <w:t xml:space="preserve"> </w:t>
      </w:r>
      <w:r>
        <w:rPr>
          <w:sz w:val="20"/>
        </w:rPr>
        <w:t>San</w:t>
      </w:r>
      <w:r>
        <w:rPr>
          <w:spacing w:val="-16"/>
          <w:sz w:val="20"/>
        </w:rPr>
        <w:t xml:space="preserve"> </w:t>
      </w:r>
      <w:r>
        <w:rPr>
          <w:sz w:val="20"/>
        </w:rPr>
        <w:t>Salvador,</w:t>
      </w:r>
      <w:r>
        <w:rPr>
          <w:spacing w:val="-15"/>
          <w:sz w:val="20"/>
        </w:rPr>
        <w:t xml:space="preserve"> </w:t>
      </w:r>
      <w:r>
        <w:rPr>
          <w:sz w:val="20"/>
        </w:rPr>
        <w:t>ratificado</w:t>
      </w:r>
      <w:r>
        <w:rPr>
          <w:spacing w:val="-17"/>
          <w:sz w:val="20"/>
        </w:rPr>
        <w:t xml:space="preserve"> </w:t>
      </w:r>
      <w:r>
        <w:rPr>
          <w:sz w:val="20"/>
        </w:rPr>
        <w:t>por</w:t>
      </w:r>
      <w:r>
        <w:rPr>
          <w:spacing w:val="-19"/>
          <w:sz w:val="20"/>
        </w:rPr>
        <w:t xml:space="preserve"> </w:t>
      </w:r>
      <w:r>
        <w:rPr>
          <w:sz w:val="20"/>
        </w:rPr>
        <w:t>Brasil</w:t>
      </w:r>
      <w:r>
        <w:rPr>
          <w:spacing w:val="-16"/>
          <w:sz w:val="20"/>
        </w:rPr>
        <w:t xml:space="preserve"> </w:t>
      </w:r>
      <w:r>
        <w:rPr>
          <w:sz w:val="20"/>
        </w:rPr>
        <w:t>en</w:t>
      </w:r>
      <w:r>
        <w:rPr>
          <w:spacing w:val="-16"/>
          <w:sz w:val="20"/>
        </w:rPr>
        <w:t xml:space="preserve"> </w:t>
      </w:r>
      <w:r>
        <w:rPr>
          <w:sz w:val="20"/>
        </w:rPr>
        <w:t>1996</w:t>
      </w:r>
      <w:hyperlink w:anchor="_bookmark536" w:history="1">
        <w:r>
          <w:rPr>
            <w:position w:val="7"/>
            <w:sz w:val="13"/>
          </w:rPr>
          <w:t>24</w:t>
        </w:r>
      </w:hyperlink>
      <w:r>
        <w:rPr>
          <w:sz w:val="20"/>
        </w:rPr>
        <w:t>,</w:t>
      </w:r>
      <w:r>
        <w:rPr>
          <w:spacing w:val="-17"/>
          <w:sz w:val="20"/>
        </w:rPr>
        <w:t xml:space="preserve"> </w:t>
      </w:r>
      <w:r>
        <w:rPr>
          <w:sz w:val="20"/>
        </w:rPr>
        <w:t>de</w:t>
      </w:r>
      <w:r>
        <w:rPr>
          <w:spacing w:val="-18"/>
          <w:sz w:val="20"/>
        </w:rPr>
        <w:t xml:space="preserve"> </w:t>
      </w:r>
      <w:r>
        <w:rPr>
          <w:sz w:val="20"/>
        </w:rPr>
        <w:t>modo</w:t>
      </w:r>
      <w:r>
        <w:rPr>
          <w:spacing w:val="-19"/>
          <w:sz w:val="20"/>
        </w:rPr>
        <w:t xml:space="preserve"> </w:t>
      </w:r>
      <w:r>
        <w:rPr>
          <w:sz w:val="20"/>
        </w:rPr>
        <w:t>que</w:t>
      </w:r>
      <w:r>
        <w:rPr>
          <w:spacing w:val="-18"/>
          <w:sz w:val="20"/>
        </w:rPr>
        <w:t xml:space="preserve"> </w:t>
      </w:r>
      <w:r>
        <w:rPr>
          <w:sz w:val="20"/>
        </w:rPr>
        <w:t>se</w:t>
      </w:r>
      <w:r>
        <w:rPr>
          <w:spacing w:val="-15"/>
          <w:sz w:val="20"/>
        </w:rPr>
        <w:t xml:space="preserve"> </w:t>
      </w:r>
      <w:r>
        <w:rPr>
          <w:sz w:val="20"/>
        </w:rPr>
        <w:t>desprende como consecuencia de esa normativa que le está vedado a cualquier Estado Parte adoptar políticas, medidas administrativas, y sancionar normas jur</w:t>
      </w:r>
      <w:r>
        <w:rPr>
          <w:sz w:val="20"/>
        </w:rPr>
        <w:t>ídicas que empeoren la situación de los derechos económicos, sociales y culturales de su población, sin una justificación específica y</w:t>
      </w:r>
      <w:r>
        <w:rPr>
          <w:spacing w:val="-1"/>
          <w:sz w:val="20"/>
        </w:rPr>
        <w:t xml:space="preserve"> </w:t>
      </w:r>
      <w:r>
        <w:rPr>
          <w:sz w:val="20"/>
        </w:rPr>
        <w:t>adecuada.</w:t>
      </w:r>
    </w:p>
    <w:p w14:paraId="1ACE1F91" w14:textId="77777777" w:rsidR="00467FCA" w:rsidRDefault="00467FCA">
      <w:pPr>
        <w:pStyle w:val="Textoindependiente"/>
      </w:pPr>
    </w:p>
    <w:p w14:paraId="709DC814" w14:textId="77777777" w:rsidR="00467FCA" w:rsidRDefault="001B68EB">
      <w:pPr>
        <w:pStyle w:val="Prrafodelista"/>
        <w:numPr>
          <w:ilvl w:val="0"/>
          <w:numId w:val="32"/>
        </w:numPr>
        <w:tabs>
          <w:tab w:val="left" w:pos="811"/>
        </w:tabs>
        <w:spacing w:before="1"/>
        <w:ind w:left="102" w:right="117" w:hanging="1"/>
        <w:jc w:val="both"/>
        <w:rPr>
          <w:sz w:val="20"/>
        </w:rPr>
      </w:pPr>
      <w:r>
        <w:rPr>
          <w:sz w:val="20"/>
        </w:rPr>
        <w:t>El principio de progresividad también se encuentra contemplado en Pacto Internacional de los Derechos Económic</w:t>
      </w:r>
      <w:r>
        <w:rPr>
          <w:sz w:val="20"/>
        </w:rPr>
        <w:t>os, Sociales y Culturales (en adelante, “PIDESC”), que establece que: “[…] cada uno de los Estados Partes en el presente Pacto se compromete a adoptar medidas, tanto por separado como mediante la asistencia y la cooperación internacionales, especialmente e</w:t>
      </w:r>
      <w:r>
        <w:rPr>
          <w:sz w:val="20"/>
        </w:rPr>
        <w:t>conómicas y técnicas, hasta el máximo de los recursos de que disponga, para lograr progresivamente, por todos los medios apropiados, inclusive en particular la adopción de medidas legislativas, la plena efectividad de los derechos aquí reconocidos”</w:t>
      </w:r>
      <w:r>
        <w:rPr>
          <w:spacing w:val="-21"/>
          <w:sz w:val="20"/>
        </w:rPr>
        <w:t xml:space="preserve"> </w:t>
      </w:r>
      <w:hyperlink w:anchor="_bookmark537" w:history="1">
        <w:r>
          <w:rPr>
            <w:position w:val="7"/>
            <w:sz w:val="13"/>
          </w:rPr>
          <w:t>25</w:t>
        </w:r>
      </w:hyperlink>
      <w:r>
        <w:rPr>
          <w:sz w:val="20"/>
        </w:rPr>
        <w:t>.</w:t>
      </w:r>
    </w:p>
    <w:p w14:paraId="70118F43" w14:textId="77777777" w:rsidR="00467FCA" w:rsidRDefault="00467FCA">
      <w:pPr>
        <w:pStyle w:val="Textoindependiente"/>
        <w:spacing w:before="10"/>
        <w:rPr>
          <w:sz w:val="19"/>
        </w:rPr>
      </w:pPr>
    </w:p>
    <w:p w14:paraId="6CB20209" w14:textId="77777777" w:rsidR="00467FCA" w:rsidRDefault="001B68EB">
      <w:pPr>
        <w:pStyle w:val="Prrafodelista"/>
        <w:numPr>
          <w:ilvl w:val="0"/>
          <w:numId w:val="32"/>
        </w:numPr>
        <w:tabs>
          <w:tab w:val="left" w:pos="810"/>
        </w:tabs>
        <w:ind w:right="117" w:firstLine="0"/>
        <w:jc w:val="both"/>
        <w:rPr>
          <w:sz w:val="20"/>
        </w:rPr>
      </w:pPr>
      <w:r>
        <w:rPr>
          <w:sz w:val="20"/>
        </w:rPr>
        <w:t>Al interpretar el PIDESC, en diciembre de 1990, el Comité de Derechos Económicos, Sociales y Culturales de las Naciones Unidas (en adelante, el “Comité DESC”) había señalado que “todas las medidas de carácter deliberadamente r</w:t>
      </w:r>
      <w:r>
        <w:rPr>
          <w:sz w:val="20"/>
        </w:rPr>
        <w:t>etroactivo en este aspecto requerirán la consideración más cuidadosa y deberán justificarse plenamente por referencia a la totalidad de los derechos previstos en el Pacto</w:t>
      </w:r>
      <w:r>
        <w:rPr>
          <w:spacing w:val="-10"/>
          <w:sz w:val="20"/>
        </w:rPr>
        <w:t xml:space="preserve"> </w:t>
      </w:r>
      <w:r>
        <w:rPr>
          <w:sz w:val="20"/>
        </w:rPr>
        <w:t>y</w:t>
      </w:r>
      <w:r>
        <w:rPr>
          <w:spacing w:val="-11"/>
          <w:sz w:val="20"/>
        </w:rPr>
        <w:t xml:space="preserve"> </w:t>
      </w:r>
      <w:r>
        <w:rPr>
          <w:sz w:val="20"/>
        </w:rPr>
        <w:t>en</w:t>
      </w:r>
      <w:r>
        <w:rPr>
          <w:spacing w:val="-7"/>
          <w:sz w:val="20"/>
        </w:rPr>
        <w:t xml:space="preserve"> </w:t>
      </w:r>
      <w:r>
        <w:rPr>
          <w:sz w:val="20"/>
        </w:rPr>
        <w:t>el</w:t>
      </w:r>
      <w:r>
        <w:rPr>
          <w:spacing w:val="-10"/>
          <w:sz w:val="20"/>
        </w:rPr>
        <w:t xml:space="preserve"> </w:t>
      </w:r>
      <w:r>
        <w:rPr>
          <w:sz w:val="20"/>
        </w:rPr>
        <w:t>contexto</w:t>
      </w:r>
      <w:r>
        <w:rPr>
          <w:spacing w:val="-9"/>
          <w:sz w:val="20"/>
        </w:rPr>
        <w:t xml:space="preserve"> </w:t>
      </w:r>
      <w:r>
        <w:rPr>
          <w:sz w:val="20"/>
        </w:rPr>
        <w:t>del</w:t>
      </w:r>
      <w:r>
        <w:rPr>
          <w:spacing w:val="-10"/>
          <w:sz w:val="20"/>
        </w:rPr>
        <w:t xml:space="preserve"> </w:t>
      </w:r>
      <w:r>
        <w:rPr>
          <w:sz w:val="20"/>
        </w:rPr>
        <w:t>aprovechamiento</w:t>
      </w:r>
      <w:r>
        <w:rPr>
          <w:spacing w:val="-11"/>
          <w:sz w:val="20"/>
        </w:rPr>
        <w:t xml:space="preserve"> </w:t>
      </w:r>
      <w:r>
        <w:rPr>
          <w:sz w:val="20"/>
        </w:rPr>
        <w:t>pleno</w:t>
      </w:r>
      <w:r>
        <w:rPr>
          <w:spacing w:val="-11"/>
          <w:sz w:val="20"/>
        </w:rPr>
        <w:t xml:space="preserve"> </w:t>
      </w:r>
      <w:r>
        <w:rPr>
          <w:sz w:val="20"/>
        </w:rPr>
        <w:t>del</w:t>
      </w:r>
      <w:r>
        <w:rPr>
          <w:spacing w:val="-10"/>
          <w:sz w:val="20"/>
        </w:rPr>
        <w:t xml:space="preserve"> </w:t>
      </w:r>
      <w:r>
        <w:rPr>
          <w:sz w:val="20"/>
        </w:rPr>
        <w:t>máximo</w:t>
      </w:r>
      <w:r>
        <w:rPr>
          <w:spacing w:val="-11"/>
          <w:sz w:val="20"/>
        </w:rPr>
        <w:t xml:space="preserve"> </w:t>
      </w:r>
      <w:r>
        <w:rPr>
          <w:sz w:val="20"/>
        </w:rPr>
        <w:t>de</w:t>
      </w:r>
      <w:r>
        <w:rPr>
          <w:spacing w:val="-11"/>
          <w:sz w:val="20"/>
        </w:rPr>
        <w:t xml:space="preserve"> </w:t>
      </w:r>
      <w:r>
        <w:rPr>
          <w:sz w:val="20"/>
        </w:rPr>
        <w:t>los</w:t>
      </w:r>
      <w:r>
        <w:rPr>
          <w:spacing w:val="-10"/>
          <w:sz w:val="20"/>
        </w:rPr>
        <w:t xml:space="preserve"> </w:t>
      </w:r>
      <w:r>
        <w:rPr>
          <w:sz w:val="20"/>
        </w:rPr>
        <w:t>recursos</w:t>
      </w:r>
      <w:r>
        <w:rPr>
          <w:spacing w:val="-11"/>
          <w:sz w:val="20"/>
        </w:rPr>
        <w:t xml:space="preserve"> </w:t>
      </w:r>
      <w:r>
        <w:rPr>
          <w:sz w:val="20"/>
        </w:rPr>
        <w:t>de</w:t>
      </w:r>
      <w:r>
        <w:rPr>
          <w:spacing w:val="-11"/>
          <w:sz w:val="20"/>
        </w:rPr>
        <w:t xml:space="preserve"> </w:t>
      </w:r>
      <w:r>
        <w:rPr>
          <w:sz w:val="20"/>
        </w:rPr>
        <w:t>que se disponga”</w:t>
      </w:r>
      <w:hyperlink w:anchor="_bookmark538" w:history="1">
        <w:r>
          <w:rPr>
            <w:position w:val="7"/>
            <w:sz w:val="13"/>
          </w:rPr>
          <w:t>26</w:t>
        </w:r>
      </w:hyperlink>
      <w:r>
        <w:rPr>
          <w:sz w:val="20"/>
        </w:rPr>
        <w:t>. Más recientemente, el Comité DESC reiteró dicha interpretación, al considerar que “los Estados partes deberían evitar adoptar deliberadamente cualquier medida regresiva sin una cuidadosa consideración y j</w:t>
      </w:r>
      <w:r>
        <w:rPr>
          <w:sz w:val="20"/>
        </w:rPr>
        <w:t>ustificación”</w:t>
      </w:r>
      <w:r>
        <w:rPr>
          <w:spacing w:val="-31"/>
          <w:sz w:val="20"/>
        </w:rPr>
        <w:t xml:space="preserve"> </w:t>
      </w:r>
      <w:hyperlink w:anchor="_bookmark539" w:history="1">
        <w:r>
          <w:rPr>
            <w:position w:val="7"/>
            <w:sz w:val="13"/>
          </w:rPr>
          <w:t>27</w:t>
        </w:r>
      </w:hyperlink>
      <w:r>
        <w:rPr>
          <w:sz w:val="20"/>
        </w:rPr>
        <w:t>.</w:t>
      </w:r>
    </w:p>
    <w:p w14:paraId="0405077D" w14:textId="77777777" w:rsidR="00467FCA" w:rsidRDefault="00467FCA">
      <w:pPr>
        <w:pStyle w:val="Textoindependiente"/>
        <w:spacing w:before="1"/>
      </w:pPr>
    </w:p>
    <w:p w14:paraId="4FFCEF65" w14:textId="77777777" w:rsidR="00467FCA" w:rsidRDefault="001B68EB">
      <w:pPr>
        <w:pStyle w:val="Prrafodelista"/>
        <w:numPr>
          <w:ilvl w:val="0"/>
          <w:numId w:val="32"/>
        </w:numPr>
        <w:tabs>
          <w:tab w:val="left" w:pos="810"/>
        </w:tabs>
        <w:ind w:right="118" w:hanging="1"/>
        <w:jc w:val="both"/>
        <w:rPr>
          <w:sz w:val="20"/>
        </w:rPr>
      </w:pPr>
      <w:r>
        <w:rPr>
          <w:sz w:val="20"/>
        </w:rPr>
        <w:t xml:space="preserve">La jurisprudencia de la Corte Interamericana, desde el caso </w:t>
      </w:r>
      <w:r>
        <w:rPr>
          <w:i/>
          <w:sz w:val="20"/>
        </w:rPr>
        <w:t xml:space="preserve">Poblete Vilches y otros Vs. Chile </w:t>
      </w:r>
      <w:r>
        <w:rPr>
          <w:sz w:val="20"/>
        </w:rPr>
        <w:t>ha sido constante en el sentido de que se pueden desprender dos tipos de obligaciones del artículo 26: una de e</w:t>
      </w:r>
      <w:r>
        <w:rPr>
          <w:sz w:val="20"/>
        </w:rPr>
        <w:t>xigibilidad inmediata, la cual implica que</w:t>
      </w:r>
      <w:r>
        <w:rPr>
          <w:spacing w:val="-15"/>
          <w:sz w:val="20"/>
        </w:rPr>
        <w:t xml:space="preserve"> </w:t>
      </w:r>
      <w:r>
        <w:rPr>
          <w:sz w:val="20"/>
        </w:rPr>
        <w:t>cada</w:t>
      </w:r>
      <w:r>
        <w:rPr>
          <w:spacing w:val="-12"/>
          <w:sz w:val="20"/>
        </w:rPr>
        <w:t xml:space="preserve"> </w:t>
      </w:r>
      <w:r>
        <w:rPr>
          <w:sz w:val="20"/>
        </w:rPr>
        <w:t>Estado</w:t>
      </w:r>
      <w:r>
        <w:rPr>
          <w:spacing w:val="-14"/>
          <w:sz w:val="20"/>
        </w:rPr>
        <w:t xml:space="preserve"> </w:t>
      </w:r>
      <w:r>
        <w:rPr>
          <w:sz w:val="20"/>
        </w:rPr>
        <w:t>debe</w:t>
      </w:r>
      <w:r>
        <w:rPr>
          <w:spacing w:val="-14"/>
          <w:sz w:val="20"/>
        </w:rPr>
        <w:t xml:space="preserve"> </w:t>
      </w:r>
      <w:r>
        <w:rPr>
          <w:sz w:val="20"/>
        </w:rPr>
        <w:t>asegurar</w:t>
      </w:r>
      <w:r>
        <w:rPr>
          <w:spacing w:val="-15"/>
          <w:sz w:val="20"/>
        </w:rPr>
        <w:t xml:space="preserve"> </w:t>
      </w:r>
      <w:r>
        <w:rPr>
          <w:sz w:val="20"/>
        </w:rPr>
        <w:t>el</w:t>
      </w:r>
      <w:r>
        <w:rPr>
          <w:spacing w:val="-10"/>
          <w:sz w:val="20"/>
        </w:rPr>
        <w:t xml:space="preserve"> </w:t>
      </w:r>
      <w:r>
        <w:rPr>
          <w:sz w:val="20"/>
        </w:rPr>
        <w:t>ejercicio</w:t>
      </w:r>
      <w:r>
        <w:rPr>
          <w:spacing w:val="-14"/>
          <w:sz w:val="20"/>
        </w:rPr>
        <w:t xml:space="preserve"> </w:t>
      </w:r>
      <w:r>
        <w:rPr>
          <w:sz w:val="20"/>
        </w:rPr>
        <w:t>de</w:t>
      </w:r>
      <w:r>
        <w:rPr>
          <w:spacing w:val="-15"/>
          <w:sz w:val="20"/>
        </w:rPr>
        <w:t xml:space="preserve"> </w:t>
      </w:r>
      <w:r>
        <w:rPr>
          <w:sz w:val="20"/>
        </w:rPr>
        <w:t>los</w:t>
      </w:r>
      <w:r>
        <w:rPr>
          <w:spacing w:val="-13"/>
          <w:sz w:val="20"/>
        </w:rPr>
        <w:t xml:space="preserve"> </w:t>
      </w:r>
      <w:r>
        <w:rPr>
          <w:sz w:val="20"/>
        </w:rPr>
        <w:t>DESCA</w:t>
      </w:r>
      <w:r>
        <w:rPr>
          <w:spacing w:val="-12"/>
          <w:sz w:val="20"/>
        </w:rPr>
        <w:t xml:space="preserve"> </w:t>
      </w:r>
      <w:r>
        <w:rPr>
          <w:sz w:val="20"/>
        </w:rPr>
        <w:t>sin</w:t>
      </w:r>
      <w:r>
        <w:rPr>
          <w:spacing w:val="-12"/>
          <w:sz w:val="20"/>
        </w:rPr>
        <w:t xml:space="preserve"> </w:t>
      </w:r>
      <w:r>
        <w:rPr>
          <w:sz w:val="20"/>
        </w:rPr>
        <w:t>discriminación,</w:t>
      </w:r>
      <w:r>
        <w:rPr>
          <w:spacing w:val="-14"/>
          <w:sz w:val="20"/>
        </w:rPr>
        <w:t xml:space="preserve"> </w:t>
      </w:r>
      <w:r>
        <w:rPr>
          <w:sz w:val="20"/>
        </w:rPr>
        <w:t>así</w:t>
      </w:r>
      <w:r>
        <w:rPr>
          <w:spacing w:val="-12"/>
          <w:sz w:val="20"/>
        </w:rPr>
        <w:t xml:space="preserve"> </w:t>
      </w:r>
      <w:r>
        <w:rPr>
          <w:sz w:val="20"/>
        </w:rPr>
        <w:t>como adoptar medidas eficaces para su plena realización</w:t>
      </w:r>
      <w:hyperlink w:anchor="_bookmark540" w:history="1">
        <w:r>
          <w:rPr>
            <w:position w:val="7"/>
            <w:sz w:val="13"/>
          </w:rPr>
          <w:t>28</w:t>
        </w:r>
      </w:hyperlink>
      <w:r>
        <w:rPr>
          <w:sz w:val="20"/>
        </w:rPr>
        <w:t>, y, la segunda, de carácter progresivo, en la m</w:t>
      </w:r>
      <w:r>
        <w:rPr>
          <w:sz w:val="20"/>
        </w:rPr>
        <w:t>edida en que los “Estados partes tienen la obligación concreta</w:t>
      </w:r>
      <w:r>
        <w:rPr>
          <w:spacing w:val="2"/>
          <w:sz w:val="20"/>
        </w:rPr>
        <w:t xml:space="preserve"> </w:t>
      </w:r>
      <w:r>
        <w:rPr>
          <w:sz w:val="20"/>
        </w:rPr>
        <w:t>y</w:t>
      </w:r>
    </w:p>
    <w:p w14:paraId="3578DD3E" w14:textId="77777777" w:rsidR="00467FCA" w:rsidRDefault="001B68EB">
      <w:pPr>
        <w:pStyle w:val="Textoindependiente"/>
        <w:spacing w:before="8"/>
        <w:rPr>
          <w:sz w:val="19"/>
        </w:rPr>
      </w:pPr>
      <w:r>
        <w:pict w14:anchorId="789587FD">
          <v:shape id="_x0000_s1108" style="position:absolute;margin-left:85.1pt;margin-top:14.25pt;width:2in;height:.1pt;z-index:-251568128;mso-wrap-distance-left:0;mso-wrap-distance-right:0;mso-position-horizontal-relative:page" coordorigin="1702,285" coordsize="2880,0" path="m1702,285r2880,e" filled="f" strokeweight=".6pt">
            <v:path arrowok="t"/>
            <w10:wrap type="topAndBottom" anchorx="page"/>
          </v:shape>
        </w:pict>
      </w:r>
    </w:p>
    <w:p w14:paraId="78CC6E69" w14:textId="77777777" w:rsidR="00467FCA" w:rsidRDefault="001B68EB">
      <w:pPr>
        <w:spacing w:before="74"/>
        <w:ind w:left="101" w:right="113"/>
        <w:jc w:val="both"/>
        <w:rPr>
          <w:sz w:val="16"/>
        </w:rPr>
      </w:pPr>
      <w:r>
        <w:rPr>
          <w:i/>
          <w:sz w:val="16"/>
        </w:rPr>
        <w:t xml:space="preserve">Asociación Lhaka Honhat (Nuestra Tierra) Vs. Argentina. Fondo, Reparaciones y Costas. </w:t>
      </w:r>
      <w:r>
        <w:rPr>
          <w:sz w:val="16"/>
        </w:rPr>
        <w:t xml:space="preserve">Sentencia de 6 de febrero de 2020. Serie C No. 400, párrs. 229, 272 y 281, y </w:t>
      </w:r>
      <w:r>
        <w:rPr>
          <w:i/>
          <w:sz w:val="16"/>
        </w:rPr>
        <w:t xml:space="preserve">Caso Spoltore Vs. Argentina. Excepción Preliminar, Fondo, Reparaciones y Costas. </w:t>
      </w:r>
      <w:r>
        <w:rPr>
          <w:sz w:val="16"/>
        </w:rPr>
        <w:t>Sentencia de 9 de junio de 2020. Serie C No. 404, párrs. 97 y 98.</w:t>
      </w:r>
    </w:p>
    <w:p w14:paraId="55B498A5" w14:textId="77777777" w:rsidR="00467FCA" w:rsidRDefault="001B68EB">
      <w:pPr>
        <w:tabs>
          <w:tab w:val="left" w:pos="809"/>
        </w:tabs>
        <w:spacing w:line="194" w:lineRule="exact"/>
        <w:ind w:left="101"/>
        <w:jc w:val="both"/>
        <w:rPr>
          <w:sz w:val="16"/>
        </w:rPr>
      </w:pPr>
      <w:bookmarkStart w:id="613" w:name="_bookmark535"/>
      <w:bookmarkEnd w:id="613"/>
      <w:r>
        <w:rPr>
          <w:position w:val="6"/>
          <w:sz w:val="10"/>
        </w:rPr>
        <w:t>23</w:t>
      </w:r>
      <w:r>
        <w:rPr>
          <w:position w:val="6"/>
          <w:sz w:val="10"/>
        </w:rPr>
        <w:tab/>
      </w:r>
      <w:r>
        <w:rPr>
          <w:i/>
          <w:sz w:val="16"/>
        </w:rPr>
        <w:t>Cfr</w:t>
      </w:r>
      <w:r>
        <w:rPr>
          <w:sz w:val="16"/>
        </w:rPr>
        <w:t>. Convención Americana sob</w:t>
      </w:r>
      <w:r>
        <w:rPr>
          <w:sz w:val="16"/>
        </w:rPr>
        <w:t>re Derechos Humanos, Artículo</w:t>
      </w:r>
      <w:r>
        <w:rPr>
          <w:spacing w:val="-7"/>
          <w:sz w:val="16"/>
        </w:rPr>
        <w:t xml:space="preserve"> </w:t>
      </w:r>
      <w:r>
        <w:rPr>
          <w:sz w:val="16"/>
        </w:rPr>
        <w:t>26.</w:t>
      </w:r>
    </w:p>
    <w:p w14:paraId="0C50DE5E" w14:textId="77777777" w:rsidR="00467FCA" w:rsidRDefault="001B68EB">
      <w:pPr>
        <w:tabs>
          <w:tab w:val="left" w:pos="809"/>
        </w:tabs>
        <w:ind w:left="101" w:right="112" w:hanging="1"/>
        <w:jc w:val="both"/>
        <w:rPr>
          <w:sz w:val="16"/>
        </w:rPr>
      </w:pPr>
      <w:bookmarkStart w:id="614" w:name="_bookmark536"/>
      <w:bookmarkEnd w:id="614"/>
      <w:r>
        <w:rPr>
          <w:position w:val="6"/>
          <w:sz w:val="10"/>
        </w:rPr>
        <w:t>24</w:t>
      </w:r>
      <w:r>
        <w:rPr>
          <w:position w:val="6"/>
          <w:sz w:val="10"/>
        </w:rPr>
        <w:tab/>
      </w:r>
      <w:r>
        <w:rPr>
          <w:i/>
          <w:sz w:val="16"/>
        </w:rPr>
        <w:t>Cfr</w:t>
      </w:r>
      <w:r>
        <w:rPr>
          <w:sz w:val="16"/>
        </w:rPr>
        <w:t>. “Protocolo de San Salvador”: Protocolo Adicional a la Convención Americana en materia de Derechos Económicos, Sociales y Culturales, Artículo</w:t>
      </w:r>
      <w:r>
        <w:rPr>
          <w:spacing w:val="-5"/>
          <w:sz w:val="16"/>
        </w:rPr>
        <w:t xml:space="preserve"> </w:t>
      </w:r>
      <w:r>
        <w:rPr>
          <w:sz w:val="16"/>
        </w:rPr>
        <w:t>1.</w:t>
      </w:r>
    </w:p>
    <w:p w14:paraId="156F6942" w14:textId="77777777" w:rsidR="00467FCA" w:rsidRDefault="001B68EB">
      <w:pPr>
        <w:tabs>
          <w:tab w:val="left" w:pos="809"/>
        </w:tabs>
        <w:ind w:left="101" w:right="116"/>
        <w:jc w:val="both"/>
        <w:rPr>
          <w:sz w:val="16"/>
        </w:rPr>
      </w:pPr>
      <w:bookmarkStart w:id="615" w:name="_bookmark537"/>
      <w:bookmarkEnd w:id="615"/>
      <w:r>
        <w:rPr>
          <w:position w:val="6"/>
          <w:sz w:val="10"/>
        </w:rPr>
        <w:t>25</w:t>
      </w:r>
      <w:r>
        <w:rPr>
          <w:position w:val="6"/>
          <w:sz w:val="10"/>
        </w:rPr>
        <w:tab/>
      </w:r>
      <w:r>
        <w:rPr>
          <w:i/>
          <w:sz w:val="16"/>
        </w:rPr>
        <w:t>Cfr</w:t>
      </w:r>
      <w:r>
        <w:rPr>
          <w:sz w:val="16"/>
        </w:rPr>
        <w:t>. Pacto Internacional de Derechos Económicos Sociales y Culturales, adoptado el 16 de diciembre de 1966</w:t>
      </w:r>
      <w:r>
        <w:rPr>
          <w:sz w:val="16"/>
        </w:rPr>
        <w:t>, Artículo</w:t>
      </w:r>
      <w:r>
        <w:rPr>
          <w:spacing w:val="-6"/>
          <w:sz w:val="16"/>
        </w:rPr>
        <w:t xml:space="preserve"> </w:t>
      </w:r>
      <w:r>
        <w:rPr>
          <w:sz w:val="16"/>
        </w:rPr>
        <w:t>2.1.</w:t>
      </w:r>
    </w:p>
    <w:p w14:paraId="6E25C9C9" w14:textId="77777777" w:rsidR="00467FCA" w:rsidRDefault="001B68EB">
      <w:pPr>
        <w:tabs>
          <w:tab w:val="left" w:pos="809"/>
        </w:tabs>
        <w:ind w:left="101" w:right="113" w:hanging="1"/>
        <w:jc w:val="both"/>
        <w:rPr>
          <w:sz w:val="16"/>
        </w:rPr>
      </w:pPr>
      <w:bookmarkStart w:id="616" w:name="_bookmark538"/>
      <w:bookmarkEnd w:id="616"/>
      <w:r>
        <w:rPr>
          <w:position w:val="6"/>
          <w:sz w:val="10"/>
        </w:rPr>
        <w:t>26</w:t>
      </w:r>
      <w:r>
        <w:rPr>
          <w:position w:val="6"/>
          <w:sz w:val="10"/>
        </w:rPr>
        <w:tab/>
      </w:r>
      <w:r>
        <w:rPr>
          <w:i/>
          <w:sz w:val="16"/>
        </w:rPr>
        <w:t>Cfr</w:t>
      </w:r>
      <w:r>
        <w:rPr>
          <w:sz w:val="16"/>
        </w:rPr>
        <w:t>. Naciones Unidas, Comité de Derechos Económicos, Sociales y Culturales, Observación General No. 3, párr.</w:t>
      </w:r>
      <w:r>
        <w:rPr>
          <w:spacing w:val="-8"/>
          <w:sz w:val="16"/>
        </w:rPr>
        <w:t xml:space="preserve"> </w:t>
      </w:r>
      <w:r>
        <w:rPr>
          <w:sz w:val="16"/>
        </w:rPr>
        <w:t>9.</w:t>
      </w:r>
    </w:p>
    <w:p w14:paraId="3ABB28CB" w14:textId="77777777" w:rsidR="00467FCA" w:rsidRDefault="001B68EB">
      <w:pPr>
        <w:tabs>
          <w:tab w:val="left" w:pos="809"/>
        </w:tabs>
        <w:ind w:left="101" w:right="114" w:hanging="1"/>
        <w:jc w:val="both"/>
        <w:rPr>
          <w:sz w:val="16"/>
        </w:rPr>
      </w:pPr>
      <w:bookmarkStart w:id="617" w:name="_bookmark539"/>
      <w:bookmarkEnd w:id="617"/>
      <w:r>
        <w:rPr>
          <w:position w:val="6"/>
          <w:sz w:val="10"/>
        </w:rPr>
        <w:t>27</w:t>
      </w:r>
      <w:r>
        <w:rPr>
          <w:position w:val="6"/>
          <w:sz w:val="10"/>
        </w:rPr>
        <w:tab/>
      </w:r>
      <w:r>
        <w:rPr>
          <w:i/>
          <w:sz w:val="16"/>
        </w:rPr>
        <w:t>Cfr</w:t>
      </w:r>
      <w:r>
        <w:rPr>
          <w:sz w:val="16"/>
        </w:rPr>
        <w:t xml:space="preserve">. Comité DESC, Observación General No. 23 </w:t>
      </w:r>
      <w:r>
        <w:rPr>
          <w:i/>
          <w:sz w:val="16"/>
        </w:rPr>
        <w:t>sobre el derecho a condiciones de trabajo equitativas y satisfactorias (artíc</w:t>
      </w:r>
      <w:r>
        <w:rPr>
          <w:i/>
          <w:sz w:val="16"/>
        </w:rPr>
        <w:t>ulo 7 del Pacto Internacional de Derechos Económicos, Sociales y Culturales</w:t>
      </w:r>
      <w:r>
        <w:rPr>
          <w:sz w:val="16"/>
        </w:rPr>
        <w:t>), E/C.12/GC/23, 26 de abril del 2016, párr.</w:t>
      </w:r>
      <w:r>
        <w:rPr>
          <w:spacing w:val="-10"/>
          <w:sz w:val="16"/>
        </w:rPr>
        <w:t xml:space="preserve"> </w:t>
      </w:r>
      <w:r>
        <w:rPr>
          <w:sz w:val="16"/>
        </w:rPr>
        <w:t>52.</w:t>
      </w:r>
    </w:p>
    <w:p w14:paraId="3918C87E" w14:textId="77777777" w:rsidR="00467FCA" w:rsidRDefault="001B68EB">
      <w:pPr>
        <w:tabs>
          <w:tab w:val="left" w:pos="809"/>
        </w:tabs>
        <w:ind w:left="101" w:right="113"/>
        <w:jc w:val="both"/>
        <w:rPr>
          <w:sz w:val="16"/>
        </w:rPr>
      </w:pPr>
      <w:bookmarkStart w:id="618" w:name="_bookmark540"/>
      <w:bookmarkEnd w:id="618"/>
      <w:r>
        <w:rPr>
          <w:position w:val="6"/>
          <w:sz w:val="10"/>
        </w:rPr>
        <w:t>28</w:t>
      </w:r>
      <w:r>
        <w:rPr>
          <w:position w:val="6"/>
          <w:sz w:val="10"/>
        </w:rPr>
        <w:tab/>
      </w:r>
      <w:r>
        <w:rPr>
          <w:sz w:val="16"/>
        </w:rPr>
        <w:t>Párrafo</w:t>
      </w:r>
      <w:r>
        <w:rPr>
          <w:spacing w:val="-4"/>
          <w:sz w:val="16"/>
        </w:rPr>
        <w:t xml:space="preserve"> </w:t>
      </w:r>
      <w:r>
        <w:rPr>
          <w:sz w:val="16"/>
        </w:rPr>
        <w:t>172</w:t>
      </w:r>
      <w:r>
        <w:rPr>
          <w:spacing w:val="-4"/>
          <w:sz w:val="16"/>
        </w:rPr>
        <w:t xml:space="preserve"> </w:t>
      </w:r>
      <w:r>
        <w:rPr>
          <w:sz w:val="16"/>
        </w:rPr>
        <w:t>de</w:t>
      </w:r>
      <w:r>
        <w:rPr>
          <w:spacing w:val="-5"/>
          <w:sz w:val="16"/>
        </w:rPr>
        <w:t xml:space="preserve"> </w:t>
      </w:r>
      <w:r>
        <w:rPr>
          <w:sz w:val="16"/>
        </w:rPr>
        <w:t>la</w:t>
      </w:r>
      <w:r>
        <w:rPr>
          <w:spacing w:val="-6"/>
          <w:sz w:val="16"/>
        </w:rPr>
        <w:t xml:space="preserve"> </w:t>
      </w:r>
      <w:r>
        <w:rPr>
          <w:sz w:val="16"/>
        </w:rPr>
        <w:t>Sentencia;</w:t>
      </w:r>
      <w:r>
        <w:rPr>
          <w:spacing w:val="-3"/>
          <w:sz w:val="16"/>
        </w:rPr>
        <w:t xml:space="preserve"> </w:t>
      </w:r>
      <w:r>
        <w:rPr>
          <w:i/>
          <w:sz w:val="16"/>
        </w:rPr>
        <w:t>cfr.</w:t>
      </w:r>
      <w:r>
        <w:rPr>
          <w:i/>
          <w:spacing w:val="-6"/>
          <w:sz w:val="16"/>
        </w:rPr>
        <w:t xml:space="preserve"> </w:t>
      </w:r>
      <w:r>
        <w:rPr>
          <w:i/>
          <w:sz w:val="16"/>
        </w:rPr>
        <w:t>Caso</w:t>
      </w:r>
      <w:r>
        <w:rPr>
          <w:i/>
          <w:spacing w:val="-4"/>
          <w:sz w:val="16"/>
        </w:rPr>
        <w:t xml:space="preserve"> </w:t>
      </w:r>
      <w:r>
        <w:rPr>
          <w:i/>
          <w:sz w:val="16"/>
        </w:rPr>
        <w:t>Poblete</w:t>
      </w:r>
      <w:r>
        <w:rPr>
          <w:i/>
          <w:spacing w:val="-7"/>
          <w:sz w:val="16"/>
        </w:rPr>
        <w:t xml:space="preserve"> </w:t>
      </w:r>
      <w:r>
        <w:rPr>
          <w:i/>
          <w:sz w:val="16"/>
        </w:rPr>
        <w:t>Vilches</w:t>
      </w:r>
      <w:r>
        <w:rPr>
          <w:i/>
          <w:spacing w:val="-5"/>
          <w:sz w:val="16"/>
        </w:rPr>
        <w:t xml:space="preserve"> </w:t>
      </w:r>
      <w:r>
        <w:rPr>
          <w:i/>
          <w:sz w:val="16"/>
        </w:rPr>
        <w:t>y</w:t>
      </w:r>
      <w:r>
        <w:rPr>
          <w:i/>
          <w:spacing w:val="-3"/>
          <w:sz w:val="16"/>
        </w:rPr>
        <w:t xml:space="preserve"> </w:t>
      </w:r>
      <w:r>
        <w:rPr>
          <w:i/>
          <w:sz w:val="16"/>
        </w:rPr>
        <w:t>otros</w:t>
      </w:r>
      <w:r>
        <w:rPr>
          <w:i/>
          <w:spacing w:val="-5"/>
          <w:sz w:val="16"/>
        </w:rPr>
        <w:t xml:space="preserve"> </w:t>
      </w:r>
      <w:r>
        <w:rPr>
          <w:i/>
          <w:sz w:val="16"/>
        </w:rPr>
        <w:t>Vs.</w:t>
      </w:r>
      <w:r>
        <w:rPr>
          <w:i/>
          <w:spacing w:val="-6"/>
          <w:sz w:val="16"/>
        </w:rPr>
        <w:t xml:space="preserve"> </w:t>
      </w:r>
      <w:r>
        <w:rPr>
          <w:i/>
          <w:sz w:val="16"/>
        </w:rPr>
        <w:t>Chile,</w:t>
      </w:r>
      <w:r>
        <w:rPr>
          <w:i/>
          <w:spacing w:val="-3"/>
          <w:sz w:val="16"/>
        </w:rPr>
        <w:t xml:space="preserve"> </w:t>
      </w:r>
      <w:r>
        <w:rPr>
          <w:i/>
          <w:sz w:val="16"/>
        </w:rPr>
        <w:t>supra,</w:t>
      </w:r>
      <w:r>
        <w:rPr>
          <w:i/>
          <w:spacing w:val="-6"/>
          <w:sz w:val="16"/>
        </w:rPr>
        <w:t xml:space="preserve"> </w:t>
      </w:r>
      <w:r>
        <w:rPr>
          <w:i/>
          <w:sz w:val="16"/>
        </w:rPr>
        <w:t>párr.</w:t>
      </w:r>
      <w:r>
        <w:rPr>
          <w:i/>
          <w:spacing w:val="-5"/>
          <w:sz w:val="16"/>
        </w:rPr>
        <w:t xml:space="preserve"> </w:t>
      </w:r>
      <w:r>
        <w:rPr>
          <w:i/>
          <w:sz w:val="16"/>
        </w:rPr>
        <w:t>104;</w:t>
      </w:r>
      <w:r>
        <w:rPr>
          <w:i/>
          <w:spacing w:val="-8"/>
          <w:sz w:val="16"/>
        </w:rPr>
        <w:t xml:space="preserve"> </w:t>
      </w:r>
      <w:r>
        <w:rPr>
          <w:sz w:val="16"/>
        </w:rPr>
        <w:t xml:space="preserve">Comité de Derechos Económicos, Sociales y Culturales, </w:t>
      </w:r>
      <w:r>
        <w:rPr>
          <w:i/>
          <w:sz w:val="16"/>
        </w:rPr>
        <w:t xml:space="preserve">Observación General No. 3: La índole de las obligaciones de los Estados Partes (párrafo 1 del artículo 2 del Pacto), </w:t>
      </w:r>
      <w:r>
        <w:rPr>
          <w:sz w:val="16"/>
        </w:rPr>
        <w:t xml:space="preserve">UN Doc. E/1991/23, 14 de diciembre de 1990, párr. 3, y </w:t>
      </w:r>
      <w:r>
        <w:rPr>
          <w:i/>
          <w:sz w:val="16"/>
        </w:rPr>
        <w:t>Caso Spoltore Vs. Argentina, s</w:t>
      </w:r>
      <w:r>
        <w:rPr>
          <w:i/>
          <w:sz w:val="16"/>
        </w:rPr>
        <w:t>upra</w:t>
      </w:r>
      <w:r>
        <w:rPr>
          <w:sz w:val="16"/>
        </w:rPr>
        <w:t xml:space="preserve">, párr. 97. Ver también, Comité de Derechos Económicos, Sociales y Culturales, </w:t>
      </w:r>
      <w:r>
        <w:rPr>
          <w:i/>
          <w:sz w:val="16"/>
        </w:rPr>
        <w:t>Observación General No. 19: El derecho a la seguridad social (artículo 9)</w:t>
      </w:r>
      <w:r>
        <w:rPr>
          <w:sz w:val="16"/>
        </w:rPr>
        <w:t>, UN Doc. E/C.12/GC/19, 4 de febrero de 2008, párr.</w:t>
      </w:r>
      <w:r>
        <w:rPr>
          <w:spacing w:val="-8"/>
          <w:sz w:val="16"/>
        </w:rPr>
        <w:t xml:space="preserve"> </w:t>
      </w:r>
      <w:r>
        <w:rPr>
          <w:sz w:val="16"/>
        </w:rPr>
        <w:t>40.</w:t>
      </w:r>
    </w:p>
    <w:p w14:paraId="06D04DF6" w14:textId="77777777" w:rsidR="00467FCA" w:rsidRDefault="00467FCA">
      <w:pPr>
        <w:jc w:val="both"/>
        <w:rPr>
          <w:sz w:val="16"/>
        </w:rPr>
        <w:sectPr w:rsidR="00467FCA">
          <w:footerReference w:type="default" r:id="rId54"/>
          <w:pgSz w:w="11900" w:h="16850"/>
          <w:pgMar w:top="1340" w:right="1580" w:bottom="280" w:left="1600" w:header="0" w:footer="0" w:gutter="0"/>
          <w:cols w:space="720"/>
        </w:sectPr>
      </w:pPr>
    </w:p>
    <w:p w14:paraId="004B9516" w14:textId="77777777" w:rsidR="00467FCA" w:rsidRDefault="001B68EB">
      <w:pPr>
        <w:pStyle w:val="Textoindependiente"/>
        <w:spacing w:before="75"/>
        <w:ind w:left="101" w:right="118"/>
        <w:jc w:val="both"/>
      </w:pPr>
      <w:r>
        <w:t>constante</w:t>
      </w:r>
      <w:r>
        <w:rPr>
          <w:spacing w:val="-20"/>
        </w:rPr>
        <w:t xml:space="preserve"> </w:t>
      </w:r>
      <w:r>
        <w:t>de</w:t>
      </w:r>
      <w:r>
        <w:rPr>
          <w:spacing w:val="-21"/>
        </w:rPr>
        <w:t xml:space="preserve"> </w:t>
      </w:r>
      <w:r>
        <w:t>avanzar</w:t>
      </w:r>
      <w:r>
        <w:rPr>
          <w:spacing w:val="-19"/>
        </w:rPr>
        <w:t xml:space="preserve"> </w:t>
      </w:r>
      <w:r>
        <w:t>lo</w:t>
      </w:r>
      <w:r>
        <w:rPr>
          <w:spacing w:val="-16"/>
        </w:rPr>
        <w:t xml:space="preserve"> </w:t>
      </w:r>
      <w:r>
        <w:t>más</w:t>
      </w:r>
      <w:r>
        <w:rPr>
          <w:spacing w:val="-18"/>
        </w:rPr>
        <w:t xml:space="preserve"> </w:t>
      </w:r>
      <w:r>
        <w:t>expedita</w:t>
      </w:r>
      <w:r>
        <w:rPr>
          <w:spacing w:val="-17"/>
        </w:rPr>
        <w:t xml:space="preserve"> </w:t>
      </w:r>
      <w:r>
        <w:t>y</w:t>
      </w:r>
      <w:r>
        <w:rPr>
          <w:spacing w:val="-18"/>
        </w:rPr>
        <w:t xml:space="preserve"> </w:t>
      </w:r>
      <w:r>
        <w:t>eficazmente</w:t>
      </w:r>
      <w:r>
        <w:rPr>
          <w:spacing w:val="-21"/>
        </w:rPr>
        <w:t xml:space="preserve"> </w:t>
      </w:r>
      <w:r>
        <w:t>posible</w:t>
      </w:r>
      <w:r>
        <w:rPr>
          <w:spacing w:val="-19"/>
        </w:rPr>
        <w:t xml:space="preserve"> </w:t>
      </w:r>
      <w:r>
        <w:t>hacia</w:t>
      </w:r>
      <w:r>
        <w:rPr>
          <w:spacing w:val="-17"/>
        </w:rPr>
        <w:t xml:space="preserve"> </w:t>
      </w:r>
      <w:r>
        <w:t>la</w:t>
      </w:r>
      <w:r>
        <w:rPr>
          <w:spacing w:val="-20"/>
        </w:rPr>
        <w:t xml:space="preserve"> </w:t>
      </w:r>
      <w:r>
        <w:t>plena</w:t>
      </w:r>
      <w:r>
        <w:rPr>
          <w:spacing w:val="-20"/>
        </w:rPr>
        <w:t xml:space="preserve"> </w:t>
      </w:r>
      <w:r>
        <w:t>efectividad de</w:t>
      </w:r>
      <w:r>
        <w:rPr>
          <w:spacing w:val="-11"/>
        </w:rPr>
        <w:t xml:space="preserve"> </w:t>
      </w:r>
      <w:r>
        <w:t>dichos</w:t>
      </w:r>
      <w:r>
        <w:rPr>
          <w:spacing w:val="-10"/>
        </w:rPr>
        <w:t xml:space="preserve"> </w:t>
      </w:r>
      <w:r>
        <w:t>derechos”</w:t>
      </w:r>
      <w:hyperlink w:anchor="_bookmark541" w:history="1">
        <w:r>
          <w:rPr>
            <w:position w:val="7"/>
            <w:sz w:val="13"/>
          </w:rPr>
          <w:t>29</w:t>
        </w:r>
      </w:hyperlink>
      <w:r>
        <w:t>.</w:t>
      </w:r>
      <w:r>
        <w:rPr>
          <w:spacing w:val="-10"/>
        </w:rPr>
        <w:t xml:space="preserve"> </w:t>
      </w:r>
      <w:r>
        <w:t>Por</w:t>
      </w:r>
      <w:r>
        <w:rPr>
          <w:spacing w:val="-10"/>
        </w:rPr>
        <w:t xml:space="preserve"> </w:t>
      </w:r>
      <w:r>
        <w:t>otra</w:t>
      </w:r>
      <w:r>
        <w:rPr>
          <w:spacing w:val="-9"/>
        </w:rPr>
        <w:t xml:space="preserve"> </w:t>
      </w:r>
      <w:r>
        <w:t>parte,</w:t>
      </w:r>
      <w:r>
        <w:rPr>
          <w:spacing w:val="-10"/>
        </w:rPr>
        <w:t xml:space="preserve"> </w:t>
      </w:r>
      <w:r>
        <w:t>la</w:t>
      </w:r>
      <w:r>
        <w:rPr>
          <w:spacing w:val="-9"/>
        </w:rPr>
        <w:t xml:space="preserve"> </w:t>
      </w:r>
      <w:r>
        <w:t>Corte</w:t>
      </w:r>
      <w:r>
        <w:rPr>
          <w:spacing w:val="-10"/>
        </w:rPr>
        <w:t xml:space="preserve"> </w:t>
      </w:r>
      <w:r>
        <w:t>también</w:t>
      </w:r>
      <w:r>
        <w:rPr>
          <w:spacing w:val="-8"/>
        </w:rPr>
        <w:t xml:space="preserve"> </w:t>
      </w:r>
      <w:r>
        <w:t>ha</w:t>
      </w:r>
      <w:r>
        <w:rPr>
          <w:spacing w:val="-9"/>
        </w:rPr>
        <w:t xml:space="preserve"> </w:t>
      </w:r>
      <w:r>
        <w:t>reconocido</w:t>
      </w:r>
      <w:r>
        <w:rPr>
          <w:spacing w:val="-10"/>
        </w:rPr>
        <w:t xml:space="preserve"> </w:t>
      </w:r>
      <w:r>
        <w:t>que</w:t>
      </w:r>
      <w:r>
        <w:rPr>
          <w:spacing w:val="-10"/>
        </w:rPr>
        <w:t xml:space="preserve"> </w:t>
      </w:r>
      <w:r>
        <w:t>el</w:t>
      </w:r>
      <w:r>
        <w:rPr>
          <w:spacing w:val="-6"/>
        </w:rPr>
        <w:t xml:space="preserve"> </w:t>
      </w:r>
      <w:r>
        <w:t xml:space="preserve">carácter progresivo de las obligaciones que se derivan del artículo 26 también impone a los Estados el deber de </w:t>
      </w:r>
      <w:r>
        <w:rPr>
          <w:i/>
        </w:rPr>
        <w:t xml:space="preserve">no regresividad </w:t>
      </w:r>
      <w:r>
        <w:t>frente a la realización de los derechos alcanzados</w:t>
      </w:r>
      <w:hyperlink w:anchor="_bookmark542" w:history="1">
        <w:r>
          <w:rPr>
            <w:position w:val="7"/>
            <w:sz w:val="13"/>
          </w:rPr>
          <w:t>30</w:t>
        </w:r>
      </w:hyperlink>
      <w:r>
        <w:t xml:space="preserve">. De esa forma, las obligaciones de respeto </w:t>
      </w:r>
      <w:r>
        <w:t>y garantía, bien como de adoptar disposiciones de derecho interno (artículos 1.1 y 2), se muestran</w:t>
      </w:r>
      <w:r>
        <w:rPr>
          <w:spacing w:val="-43"/>
        </w:rPr>
        <w:t xml:space="preserve"> </w:t>
      </w:r>
      <w:r>
        <w:t>esenciales para lograr su efectividad</w:t>
      </w:r>
      <w:hyperlink w:anchor="_bookmark543" w:history="1">
        <w:r>
          <w:rPr>
            <w:position w:val="7"/>
            <w:sz w:val="13"/>
          </w:rPr>
          <w:t>31</w:t>
        </w:r>
      </w:hyperlink>
      <w:r>
        <w:t>.</w:t>
      </w:r>
    </w:p>
    <w:p w14:paraId="6EA321BD" w14:textId="77777777" w:rsidR="00467FCA" w:rsidRDefault="00467FCA">
      <w:pPr>
        <w:pStyle w:val="Textoindependiente"/>
        <w:spacing w:before="2"/>
      </w:pPr>
    </w:p>
    <w:p w14:paraId="03524B13" w14:textId="77777777" w:rsidR="00467FCA" w:rsidRDefault="001B68EB">
      <w:pPr>
        <w:pStyle w:val="Prrafodelista"/>
        <w:numPr>
          <w:ilvl w:val="0"/>
          <w:numId w:val="32"/>
        </w:numPr>
        <w:tabs>
          <w:tab w:val="left" w:pos="810"/>
        </w:tabs>
        <w:ind w:right="116" w:firstLine="0"/>
        <w:jc w:val="both"/>
        <w:rPr>
          <w:sz w:val="20"/>
        </w:rPr>
      </w:pPr>
      <w:r>
        <w:rPr>
          <w:sz w:val="20"/>
        </w:rPr>
        <w:t>Ahora bien, como se expuso, el principio de progresividad de los derechos humanos e</w:t>
      </w:r>
      <w:r>
        <w:rPr>
          <w:sz w:val="20"/>
        </w:rPr>
        <w:t>stá relacionado con la dimensión de realización gradual de dichos derechos, con el fin de alcanzar su pleno cumplimiento. Si bien el principio de progresividad se ha relacionado particularmente con los derechos económicos, sociales, culturales y ambientale</w:t>
      </w:r>
      <w:r>
        <w:rPr>
          <w:sz w:val="20"/>
        </w:rPr>
        <w:t>s, su aplicación, especialmente en razón de la indivisibilidad</w:t>
      </w:r>
      <w:r>
        <w:rPr>
          <w:spacing w:val="-8"/>
          <w:sz w:val="20"/>
        </w:rPr>
        <w:t xml:space="preserve"> </w:t>
      </w:r>
      <w:r>
        <w:rPr>
          <w:sz w:val="20"/>
        </w:rPr>
        <w:t>e</w:t>
      </w:r>
      <w:r>
        <w:rPr>
          <w:spacing w:val="-10"/>
          <w:sz w:val="20"/>
        </w:rPr>
        <w:t xml:space="preserve"> </w:t>
      </w:r>
      <w:r>
        <w:rPr>
          <w:sz w:val="20"/>
        </w:rPr>
        <w:t>interdependencia</w:t>
      </w:r>
      <w:r>
        <w:rPr>
          <w:spacing w:val="-9"/>
          <w:sz w:val="20"/>
        </w:rPr>
        <w:t xml:space="preserve"> </w:t>
      </w:r>
      <w:r>
        <w:rPr>
          <w:sz w:val="20"/>
        </w:rPr>
        <w:t>de</w:t>
      </w:r>
      <w:r>
        <w:rPr>
          <w:spacing w:val="-9"/>
          <w:sz w:val="20"/>
        </w:rPr>
        <w:t xml:space="preserve"> </w:t>
      </w:r>
      <w:r>
        <w:rPr>
          <w:sz w:val="20"/>
        </w:rPr>
        <w:t>los</w:t>
      </w:r>
      <w:r>
        <w:rPr>
          <w:spacing w:val="-7"/>
          <w:sz w:val="20"/>
        </w:rPr>
        <w:t xml:space="preserve"> </w:t>
      </w:r>
      <w:r>
        <w:rPr>
          <w:sz w:val="20"/>
        </w:rPr>
        <w:t>derechos</w:t>
      </w:r>
      <w:r>
        <w:rPr>
          <w:spacing w:val="-10"/>
          <w:sz w:val="20"/>
        </w:rPr>
        <w:t xml:space="preserve"> </w:t>
      </w:r>
      <w:r>
        <w:rPr>
          <w:sz w:val="20"/>
        </w:rPr>
        <w:t>humanos,</w:t>
      </w:r>
      <w:r>
        <w:rPr>
          <w:spacing w:val="-7"/>
          <w:sz w:val="20"/>
        </w:rPr>
        <w:t xml:space="preserve"> </w:t>
      </w:r>
      <w:r>
        <w:rPr>
          <w:sz w:val="20"/>
        </w:rPr>
        <w:t>también</w:t>
      </w:r>
      <w:r>
        <w:rPr>
          <w:spacing w:val="-6"/>
          <w:sz w:val="20"/>
        </w:rPr>
        <w:t xml:space="preserve"> </w:t>
      </w:r>
      <w:r>
        <w:rPr>
          <w:sz w:val="20"/>
        </w:rPr>
        <w:t>se</w:t>
      </w:r>
      <w:r>
        <w:rPr>
          <w:spacing w:val="-4"/>
          <w:sz w:val="20"/>
        </w:rPr>
        <w:t xml:space="preserve"> </w:t>
      </w:r>
      <w:r>
        <w:rPr>
          <w:sz w:val="20"/>
        </w:rPr>
        <w:t>verifica</w:t>
      </w:r>
      <w:r>
        <w:rPr>
          <w:spacing w:val="-9"/>
          <w:sz w:val="20"/>
        </w:rPr>
        <w:t xml:space="preserve"> </w:t>
      </w:r>
      <w:r>
        <w:rPr>
          <w:sz w:val="20"/>
        </w:rPr>
        <w:t>para los</w:t>
      </w:r>
      <w:r>
        <w:rPr>
          <w:spacing w:val="-12"/>
          <w:sz w:val="20"/>
        </w:rPr>
        <w:t xml:space="preserve"> </w:t>
      </w:r>
      <w:r>
        <w:rPr>
          <w:sz w:val="20"/>
        </w:rPr>
        <w:t>derechos</w:t>
      </w:r>
      <w:r>
        <w:rPr>
          <w:spacing w:val="-9"/>
          <w:sz w:val="20"/>
        </w:rPr>
        <w:t xml:space="preserve"> </w:t>
      </w:r>
      <w:r>
        <w:rPr>
          <w:sz w:val="20"/>
        </w:rPr>
        <w:t>civiles</w:t>
      </w:r>
      <w:r>
        <w:rPr>
          <w:spacing w:val="-9"/>
          <w:sz w:val="20"/>
        </w:rPr>
        <w:t xml:space="preserve"> </w:t>
      </w:r>
      <w:r>
        <w:rPr>
          <w:sz w:val="20"/>
        </w:rPr>
        <w:t>y</w:t>
      </w:r>
      <w:r>
        <w:rPr>
          <w:spacing w:val="-8"/>
          <w:sz w:val="20"/>
        </w:rPr>
        <w:t xml:space="preserve"> </w:t>
      </w:r>
      <w:r>
        <w:rPr>
          <w:sz w:val="20"/>
        </w:rPr>
        <w:t>políticos.</w:t>
      </w:r>
      <w:r>
        <w:rPr>
          <w:spacing w:val="-9"/>
          <w:sz w:val="20"/>
        </w:rPr>
        <w:t xml:space="preserve"> </w:t>
      </w:r>
      <w:r>
        <w:rPr>
          <w:sz w:val="20"/>
        </w:rPr>
        <w:t>En</w:t>
      </w:r>
      <w:r>
        <w:rPr>
          <w:spacing w:val="-9"/>
          <w:sz w:val="20"/>
        </w:rPr>
        <w:t xml:space="preserve"> </w:t>
      </w:r>
      <w:r>
        <w:rPr>
          <w:sz w:val="20"/>
        </w:rPr>
        <w:t>efecto,</w:t>
      </w:r>
      <w:r>
        <w:rPr>
          <w:spacing w:val="-6"/>
          <w:sz w:val="20"/>
        </w:rPr>
        <w:t xml:space="preserve"> </w:t>
      </w:r>
      <w:r>
        <w:rPr>
          <w:sz w:val="20"/>
        </w:rPr>
        <w:t>es</w:t>
      </w:r>
      <w:r>
        <w:rPr>
          <w:spacing w:val="-9"/>
          <w:sz w:val="20"/>
        </w:rPr>
        <w:t xml:space="preserve"> </w:t>
      </w:r>
      <w:r>
        <w:rPr>
          <w:sz w:val="20"/>
        </w:rPr>
        <w:t>evidente</w:t>
      </w:r>
      <w:r>
        <w:rPr>
          <w:spacing w:val="-11"/>
          <w:sz w:val="20"/>
        </w:rPr>
        <w:t xml:space="preserve"> </w:t>
      </w:r>
      <w:r>
        <w:rPr>
          <w:sz w:val="20"/>
        </w:rPr>
        <w:t>que</w:t>
      </w:r>
      <w:r>
        <w:rPr>
          <w:spacing w:val="-12"/>
          <w:sz w:val="20"/>
        </w:rPr>
        <w:t xml:space="preserve"> </w:t>
      </w:r>
      <w:r>
        <w:rPr>
          <w:sz w:val="20"/>
        </w:rPr>
        <w:t>la</w:t>
      </w:r>
      <w:r>
        <w:rPr>
          <w:spacing w:val="-8"/>
          <w:sz w:val="20"/>
        </w:rPr>
        <w:t xml:space="preserve"> </w:t>
      </w:r>
      <w:r>
        <w:rPr>
          <w:sz w:val="20"/>
        </w:rPr>
        <w:t>garantía</w:t>
      </w:r>
      <w:r>
        <w:rPr>
          <w:spacing w:val="-10"/>
          <w:sz w:val="20"/>
        </w:rPr>
        <w:t xml:space="preserve"> </w:t>
      </w:r>
      <w:r>
        <w:rPr>
          <w:sz w:val="20"/>
        </w:rPr>
        <w:t>y</w:t>
      </w:r>
      <w:r>
        <w:rPr>
          <w:spacing w:val="-6"/>
          <w:sz w:val="20"/>
        </w:rPr>
        <w:t xml:space="preserve"> </w:t>
      </w:r>
      <w:r>
        <w:rPr>
          <w:sz w:val="20"/>
        </w:rPr>
        <w:t>protección</w:t>
      </w:r>
      <w:r>
        <w:rPr>
          <w:spacing w:val="-10"/>
          <w:sz w:val="20"/>
        </w:rPr>
        <w:t xml:space="preserve"> </w:t>
      </w:r>
      <w:r>
        <w:rPr>
          <w:sz w:val="20"/>
        </w:rPr>
        <w:t>de los derechos civiles y políticos también demandan prestaciones positivas del</w:t>
      </w:r>
      <w:r>
        <w:rPr>
          <w:spacing w:val="-39"/>
          <w:sz w:val="20"/>
        </w:rPr>
        <w:t xml:space="preserve"> </w:t>
      </w:r>
      <w:r>
        <w:rPr>
          <w:sz w:val="20"/>
        </w:rPr>
        <w:t>Estado, además de los deberes de abstención, como, por ejemplo, sucede con el derecho</w:t>
      </w:r>
      <w:r>
        <w:rPr>
          <w:spacing w:val="-34"/>
          <w:sz w:val="20"/>
        </w:rPr>
        <w:t xml:space="preserve"> </w:t>
      </w:r>
      <w:r>
        <w:rPr>
          <w:sz w:val="20"/>
        </w:rPr>
        <w:t>de defensa, por el cual el Estado tiene la obligación de brindar una defensa pública gratu</w:t>
      </w:r>
      <w:r>
        <w:rPr>
          <w:sz w:val="20"/>
        </w:rPr>
        <w:t>ita al acusado que carece de recursos económicos para cubrir los costos de un abogado</w:t>
      </w:r>
      <w:r>
        <w:rPr>
          <w:spacing w:val="-3"/>
          <w:sz w:val="20"/>
        </w:rPr>
        <w:t xml:space="preserve"> </w:t>
      </w:r>
      <w:r>
        <w:rPr>
          <w:sz w:val="20"/>
        </w:rPr>
        <w:t>particular.</w:t>
      </w:r>
    </w:p>
    <w:p w14:paraId="0716B9B3" w14:textId="77777777" w:rsidR="00467FCA" w:rsidRDefault="00467FCA">
      <w:pPr>
        <w:pStyle w:val="Textoindependiente"/>
        <w:spacing w:before="11"/>
        <w:rPr>
          <w:sz w:val="19"/>
        </w:rPr>
      </w:pPr>
    </w:p>
    <w:p w14:paraId="0DDEB870" w14:textId="77777777" w:rsidR="00467FCA" w:rsidRDefault="001B68EB">
      <w:pPr>
        <w:pStyle w:val="Prrafodelista"/>
        <w:numPr>
          <w:ilvl w:val="0"/>
          <w:numId w:val="32"/>
        </w:numPr>
        <w:tabs>
          <w:tab w:val="left" w:pos="810"/>
        </w:tabs>
        <w:ind w:right="118" w:firstLine="0"/>
        <w:jc w:val="both"/>
        <w:rPr>
          <w:sz w:val="20"/>
        </w:rPr>
      </w:pPr>
      <w:r>
        <w:rPr>
          <w:sz w:val="20"/>
        </w:rPr>
        <w:t>El ordenamiento jurídico brasileño, de forma similar, contempla</w:t>
      </w:r>
      <w:r>
        <w:rPr>
          <w:spacing w:val="-39"/>
          <w:sz w:val="20"/>
        </w:rPr>
        <w:t xml:space="preserve"> </w:t>
      </w:r>
      <w:r>
        <w:rPr>
          <w:sz w:val="20"/>
        </w:rPr>
        <w:t>disposiciones relacionadas con la prohibición del retroceso social, e incluso trata de dicha prohibición en relación con todos los derechos fundamentales, sin distinguir entre civiles, políticos, económicos, sociales, culturales y ambientales. En efecto, l</w:t>
      </w:r>
      <w:r>
        <w:rPr>
          <w:sz w:val="20"/>
        </w:rPr>
        <w:t>a Constitución de Brasil prevé lo</w:t>
      </w:r>
      <w:r>
        <w:rPr>
          <w:spacing w:val="-5"/>
          <w:sz w:val="20"/>
        </w:rPr>
        <w:t xml:space="preserve"> </w:t>
      </w:r>
      <w:r>
        <w:rPr>
          <w:sz w:val="20"/>
        </w:rPr>
        <w:t>siguiente:</w:t>
      </w:r>
    </w:p>
    <w:p w14:paraId="345651D5" w14:textId="77777777" w:rsidR="00467FCA" w:rsidRDefault="00467FCA">
      <w:pPr>
        <w:pStyle w:val="Textoindependiente"/>
        <w:spacing w:before="11"/>
        <w:rPr>
          <w:sz w:val="19"/>
        </w:rPr>
      </w:pPr>
    </w:p>
    <w:p w14:paraId="6E8E28F6" w14:textId="77777777" w:rsidR="00467FCA" w:rsidRDefault="001B68EB">
      <w:pPr>
        <w:ind w:left="821" w:right="112"/>
        <w:jc w:val="both"/>
        <w:rPr>
          <w:sz w:val="18"/>
        </w:rPr>
      </w:pPr>
      <w:r>
        <w:rPr>
          <w:sz w:val="18"/>
        </w:rPr>
        <w:t>“Art. 3. Constituyen objetivos fundamentales de la República Federal de Brasil: 1. construir una sociedad libre, justa y solidaria; 2. garantizar el desarrollo nacional; 3. erradicar</w:t>
      </w:r>
      <w:r>
        <w:rPr>
          <w:spacing w:val="-14"/>
          <w:sz w:val="18"/>
        </w:rPr>
        <w:t xml:space="preserve"> </w:t>
      </w:r>
      <w:r>
        <w:rPr>
          <w:sz w:val="18"/>
        </w:rPr>
        <w:t>la</w:t>
      </w:r>
      <w:r>
        <w:rPr>
          <w:spacing w:val="-14"/>
          <w:sz w:val="18"/>
        </w:rPr>
        <w:t xml:space="preserve"> </w:t>
      </w:r>
      <w:r>
        <w:rPr>
          <w:sz w:val="18"/>
        </w:rPr>
        <w:t>pobreza</w:t>
      </w:r>
      <w:r>
        <w:rPr>
          <w:spacing w:val="-13"/>
          <w:sz w:val="18"/>
        </w:rPr>
        <w:t xml:space="preserve"> </w:t>
      </w:r>
      <w:r>
        <w:rPr>
          <w:sz w:val="18"/>
        </w:rPr>
        <w:t>y</w:t>
      </w:r>
      <w:r>
        <w:rPr>
          <w:spacing w:val="-13"/>
          <w:sz w:val="18"/>
        </w:rPr>
        <w:t xml:space="preserve"> </w:t>
      </w:r>
      <w:r>
        <w:rPr>
          <w:sz w:val="18"/>
        </w:rPr>
        <w:t>la</w:t>
      </w:r>
      <w:r>
        <w:rPr>
          <w:spacing w:val="-13"/>
          <w:sz w:val="18"/>
        </w:rPr>
        <w:t xml:space="preserve"> </w:t>
      </w:r>
      <w:r>
        <w:rPr>
          <w:sz w:val="18"/>
        </w:rPr>
        <w:t>marginación</w:t>
      </w:r>
      <w:r>
        <w:rPr>
          <w:spacing w:val="-13"/>
          <w:sz w:val="18"/>
        </w:rPr>
        <w:t xml:space="preserve"> </w:t>
      </w:r>
      <w:r>
        <w:rPr>
          <w:sz w:val="18"/>
        </w:rPr>
        <w:t>y</w:t>
      </w:r>
      <w:r>
        <w:rPr>
          <w:spacing w:val="-14"/>
          <w:sz w:val="18"/>
        </w:rPr>
        <w:t xml:space="preserve"> </w:t>
      </w:r>
      <w:r>
        <w:rPr>
          <w:sz w:val="18"/>
        </w:rPr>
        <w:t>reducir</w:t>
      </w:r>
      <w:r>
        <w:rPr>
          <w:spacing w:val="-14"/>
          <w:sz w:val="18"/>
        </w:rPr>
        <w:t xml:space="preserve"> </w:t>
      </w:r>
      <w:r>
        <w:rPr>
          <w:sz w:val="18"/>
        </w:rPr>
        <w:t>las</w:t>
      </w:r>
      <w:r>
        <w:rPr>
          <w:spacing w:val="-13"/>
          <w:sz w:val="18"/>
        </w:rPr>
        <w:t xml:space="preserve"> </w:t>
      </w:r>
      <w:r>
        <w:rPr>
          <w:sz w:val="18"/>
        </w:rPr>
        <w:t>desigualdades</w:t>
      </w:r>
      <w:r>
        <w:rPr>
          <w:spacing w:val="-15"/>
          <w:sz w:val="18"/>
        </w:rPr>
        <w:t xml:space="preserve"> </w:t>
      </w:r>
      <w:r>
        <w:rPr>
          <w:sz w:val="18"/>
        </w:rPr>
        <w:t>sociales</w:t>
      </w:r>
      <w:r>
        <w:rPr>
          <w:spacing w:val="-14"/>
          <w:sz w:val="18"/>
        </w:rPr>
        <w:t xml:space="preserve"> </w:t>
      </w:r>
      <w:r>
        <w:rPr>
          <w:sz w:val="18"/>
        </w:rPr>
        <w:t>y</w:t>
      </w:r>
      <w:r>
        <w:rPr>
          <w:spacing w:val="-15"/>
          <w:sz w:val="18"/>
        </w:rPr>
        <w:t xml:space="preserve"> </w:t>
      </w:r>
      <w:r>
        <w:rPr>
          <w:sz w:val="18"/>
        </w:rPr>
        <w:t>regionales;</w:t>
      </w:r>
    </w:p>
    <w:p w14:paraId="5EC65FFC" w14:textId="77777777" w:rsidR="00467FCA" w:rsidRDefault="001B68EB">
      <w:pPr>
        <w:spacing w:line="242" w:lineRule="auto"/>
        <w:ind w:left="821" w:right="116"/>
        <w:jc w:val="both"/>
        <w:rPr>
          <w:sz w:val="12"/>
        </w:rPr>
      </w:pPr>
      <w:r>
        <w:rPr>
          <w:sz w:val="18"/>
        </w:rPr>
        <w:t xml:space="preserve">4. promover el bien de todos, sin prejuicios de origen, raza, sexo, color edad o cualesquiera otras formas de discriminación.” </w:t>
      </w:r>
      <w:hyperlink w:anchor="_bookmark544" w:history="1">
        <w:r>
          <w:rPr>
            <w:position w:val="6"/>
            <w:sz w:val="12"/>
          </w:rPr>
          <w:t>32</w:t>
        </w:r>
      </w:hyperlink>
    </w:p>
    <w:p w14:paraId="7B5D3D74" w14:textId="77777777" w:rsidR="00467FCA" w:rsidRDefault="00467FCA">
      <w:pPr>
        <w:pStyle w:val="Textoindependiente"/>
        <w:spacing w:before="8"/>
        <w:rPr>
          <w:sz w:val="19"/>
        </w:rPr>
      </w:pPr>
    </w:p>
    <w:p w14:paraId="430B9575" w14:textId="77777777" w:rsidR="00467FCA" w:rsidRDefault="001B68EB">
      <w:pPr>
        <w:ind w:left="821" w:right="114"/>
        <w:jc w:val="both"/>
        <w:rPr>
          <w:sz w:val="12"/>
        </w:rPr>
      </w:pPr>
      <w:r>
        <w:rPr>
          <w:sz w:val="18"/>
        </w:rPr>
        <w:t>“Art.</w:t>
      </w:r>
      <w:r>
        <w:rPr>
          <w:spacing w:val="-9"/>
          <w:sz w:val="18"/>
        </w:rPr>
        <w:t xml:space="preserve"> </w:t>
      </w:r>
      <w:r>
        <w:rPr>
          <w:sz w:val="18"/>
        </w:rPr>
        <w:t>60</w:t>
      </w:r>
      <w:r>
        <w:rPr>
          <w:spacing w:val="-6"/>
          <w:sz w:val="18"/>
        </w:rPr>
        <w:t xml:space="preserve"> </w:t>
      </w:r>
      <w:r>
        <w:rPr>
          <w:sz w:val="18"/>
        </w:rPr>
        <w:t>[…]</w:t>
      </w:r>
      <w:r>
        <w:rPr>
          <w:spacing w:val="-5"/>
          <w:sz w:val="18"/>
        </w:rPr>
        <w:t xml:space="preserve"> </w:t>
      </w:r>
      <w:r>
        <w:rPr>
          <w:sz w:val="18"/>
        </w:rPr>
        <w:t>§4º</w:t>
      </w:r>
      <w:r>
        <w:rPr>
          <w:spacing w:val="-7"/>
          <w:sz w:val="18"/>
        </w:rPr>
        <w:t xml:space="preserve"> </w:t>
      </w:r>
      <w:r>
        <w:rPr>
          <w:sz w:val="18"/>
        </w:rPr>
        <w:t>No</w:t>
      </w:r>
      <w:r>
        <w:rPr>
          <w:spacing w:val="-6"/>
          <w:sz w:val="18"/>
        </w:rPr>
        <w:t xml:space="preserve"> </w:t>
      </w:r>
      <w:r>
        <w:rPr>
          <w:sz w:val="18"/>
        </w:rPr>
        <w:t>será</w:t>
      </w:r>
      <w:r>
        <w:rPr>
          <w:spacing w:val="-7"/>
          <w:sz w:val="18"/>
        </w:rPr>
        <w:t xml:space="preserve"> </w:t>
      </w:r>
      <w:r>
        <w:rPr>
          <w:sz w:val="18"/>
        </w:rPr>
        <w:t>objeto</w:t>
      </w:r>
      <w:r>
        <w:rPr>
          <w:spacing w:val="-6"/>
          <w:sz w:val="18"/>
        </w:rPr>
        <w:t xml:space="preserve"> </w:t>
      </w:r>
      <w:r>
        <w:rPr>
          <w:sz w:val="18"/>
        </w:rPr>
        <w:t>de</w:t>
      </w:r>
      <w:r>
        <w:rPr>
          <w:spacing w:val="-6"/>
          <w:sz w:val="18"/>
        </w:rPr>
        <w:t xml:space="preserve"> </w:t>
      </w:r>
      <w:r>
        <w:rPr>
          <w:sz w:val="18"/>
        </w:rPr>
        <w:t>deliberación</w:t>
      </w:r>
      <w:r>
        <w:rPr>
          <w:spacing w:val="-6"/>
          <w:sz w:val="18"/>
        </w:rPr>
        <w:t xml:space="preserve"> </w:t>
      </w:r>
      <w:r>
        <w:rPr>
          <w:sz w:val="18"/>
        </w:rPr>
        <w:t>la</w:t>
      </w:r>
      <w:r>
        <w:rPr>
          <w:spacing w:val="-7"/>
          <w:sz w:val="18"/>
        </w:rPr>
        <w:t xml:space="preserve"> </w:t>
      </w:r>
      <w:r>
        <w:rPr>
          <w:sz w:val="18"/>
        </w:rPr>
        <w:t>propuesta</w:t>
      </w:r>
      <w:r>
        <w:rPr>
          <w:spacing w:val="-8"/>
          <w:sz w:val="18"/>
        </w:rPr>
        <w:t xml:space="preserve"> </w:t>
      </w:r>
      <w:r>
        <w:rPr>
          <w:sz w:val="18"/>
        </w:rPr>
        <w:t>de</w:t>
      </w:r>
      <w:r>
        <w:rPr>
          <w:spacing w:val="-6"/>
          <w:sz w:val="18"/>
        </w:rPr>
        <w:t xml:space="preserve"> </w:t>
      </w:r>
      <w:r>
        <w:rPr>
          <w:sz w:val="18"/>
        </w:rPr>
        <w:t>enmienda</w:t>
      </w:r>
      <w:r>
        <w:rPr>
          <w:spacing w:val="-7"/>
          <w:sz w:val="18"/>
        </w:rPr>
        <w:t xml:space="preserve"> </w:t>
      </w:r>
      <w:r>
        <w:rPr>
          <w:sz w:val="18"/>
        </w:rPr>
        <w:t>para</w:t>
      </w:r>
      <w:r>
        <w:rPr>
          <w:spacing w:val="-10"/>
          <w:sz w:val="18"/>
        </w:rPr>
        <w:t xml:space="preserve"> </w:t>
      </w:r>
      <w:r>
        <w:rPr>
          <w:sz w:val="18"/>
        </w:rPr>
        <w:t>abolir: I - la forma federativa de Estado; II - votación directa, secreta, universal y periódica; III - la separación de poderes; IV - derechos y garantías</w:t>
      </w:r>
      <w:r>
        <w:rPr>
          <w:spacing w:val="-16"/>
          <w:sz w:val="18"/>
        </w:rPr>
        <w:t xml:space="preserve"> </w:t>
      </w:r>
      <w:r>
        <w:rPr>
          <w:sz w:val="18"/>
        </w:rPr>
        <w:t>individuales.”</w:t>
      </w:r>
      <w:hyperlink w:anchor="_bookmark545" w:history="1">
        <w:r>
          <w:rPr>
            <w:position w:val="6"/>
            <w:sz w:val="12"/>
          </w:rPr>
          <w:t>33</w:t>
        </w:r>
      </w:hyperlink>
    </w:p>
    <w:p w14:paraId="2E718F55" w14:textId="77777777" w:rsidR="00467FCA" w:rsidRDefault="00467FCA">
      <w:pPr>
        <w:pStyle w:val="Textoindependiente"/>
        <w:spacing w:before="2"/>
      </w:pPr>
    </w:p>
    <w:p w14:paraId="559483F3" w14:textId="77777777" w:rsidR="00467FCA" w:rsidRDefault="001B68EB">
      <w:pPr>
        <w:pStyle w:val="Prrafodelista"/>
        <w:numPr>
          <w:ilvl w:val="0"/>
          <w:numId w:val="32"/>
        </w:numPr>
        <w:tabs>
          <w:tab w:val="left" w:pos="810"/>
        </w:tabs>
        <w:ind w:right="118" w:firstLine="0"/>
        <w:jc w:val="both"/>
        <w:rPr>
          <w:sz w:val="20"/>
        </w:rPr>
      </w:pPr>
      <w:r>
        <w:rPr>
          <w:sz w:val="20"/>
        </w:rPr>
        <w:t>Así, co</w:t>
      </w:r>
      <w:r>
        <w:rPr>
          <w:sz w:val="20"/>
        </w:rPr>
        <w:t>nforme a lo expuesto anteriormente, es imperioso notar que, en los términos de la normativa internacional y nacional, el Estado de Brasil debe orientar sus políticas y leyes en materia de derechos humanos por el principio de progresividad</w:t>
      </w:r>
      <w:r>
        <w:rPr>
          <w:spacing w:val="-5"/>
          <w:sz w:val="20"/>
        </w:rPr>
        <w:t xml:space="preserve"> </w:t>
      </w:r>
      <w:r>
        <w:rPr>
          <w:sz w:val="20"/>
        </w:rPr>
        <w:t>y</w:t>
      </w:r>
      <w:r>
        <w:rPr>
          <w:spacing w:val="-3"/>
          <w:sz w:val="20"/>
        </w:rPr>
        <w:t xml:space="preserve"> </w:t>
      </w:r>
      <w:r>
        <w:rPr>
          <w:sz w:val="20"/>
        </w:rPr>
        <w:t>no</w:t>
      </w:r>
      <w:r>
        <w:rPr>
          <w:spacing w:val="-4"/>
          <w:sz w:val="20"/>
        </w:rPr>
        <w:t xml:space="preserve"> </w:t>
      </w:r>
      <w:r>
        <w:rPr>
          <w:sz w:val="20"/>
        </w:rPr>
        <w:t>regresividad</w:t>
      </w:r>
      <w:r>
        <w:rPr>
          <w:spacing w:val="-5"/>
          <w:sz w:val="20"/>
        </w:rPr>
        <w:t xml:space="preserve"> </w:t>
      </w:r>
      <w:r>
        <w:rPr>
          <w:sz w:val="20"/>
        </w:rPr>
        <w:t>de</w:t>
      </w:r>
      <w:r>
        <w:rPr>
          <w:spacing w:val="-7"/>
          <w:sz w:val="20"/>
        </w:rPr>
        <w:t xml:space="preserve"> </w:t>
      </w:r>
      <w:r>
        <w:rPr>
          <w:sz w:val="20"/>
        </w:rPr>
        <w:t>dichos</w:t>
      </w:r>
      <w:r>
        <w:rPr>
          <w:spacing w:val="-4"/>
          <w:sz w:val="20"/>
        </w:rPr>
        <w:t xml:space="preserve"> </w:t>
      </w:r>
      <w:r>
        <w:rPr>
          <w:sz w:val="20"/>
        </w:rPr>
        <w:t>derechos.</w:t>
      </w:r>
      <w:r>
        <w:rPr>
          <w:spacing w:val="-4"/>
          <w:sz w:val="20"/>
        </w:rPr>
        <w:t xml:space="preserve"> </w:t>
      </w:r>
      <w:r>
        <w:rPr>
          <w:sz w:val="20"/>
        </w:rPr>
        <w:t>Ello</w:t>
      </w:r>
      <w:r>
        <w:rPr>
          <w:spacing w:val="-7"/>
          <w:sz w:val="20"/>
        </w:rPr>
        <w:t xml:space="preserve"> </w:t>
      </w:r>
      <w:r>
        <w:rPr>
          <w:sz w:val="20"/>
        </w:rPr>
        <w:t>implica,</w:t>
      </w:r>
      <w:r>
        <w:rPr>
          <w:spacing w:val="-6"/>
          <w:sz w:val="20"/>
        </w:rPr>
        <w:t xml:space="preserve"> </w:t>
      </w:r>
      <w:r>
        <w:rPr>
          <w:sz w:val="20"/>
        </w:rPr>
        <w:t>incluso,</w:t>
      </w:r>
      <w:r>
        <w:rPr>
          <w:spacing w:val="-6"/>
          <w:sz w:val="20"/>
        </w:rPr>
        <w:t xml:space="preserve"> </w:t>
      </w:r>
      <w:r>
        <w:rPr>
          <w:sz w:val="20"/>
        </w:rPr>
        <w:t>no</w:t>
      </w:r>
      <w:r>
        <w:rPr>
          <w:spacing w:val="-6"/>
          <w:sz w:val="20"/>
        </w:rPr>
        <w:t xml:space="preserve"> </w:t>
      </w:r>
      <w:r>
        <w:rPr>
          <w:sz w:val="20"/>
        </w:rPr>
        <w:t>adoptar medidas</w:t>
      </w:r>
      <w:r>
        <w:rPr>
          <w:spacing w:val="-7"/>
          <w:sz w:val="20"/>
        </w:rPr>
        <w:t xml:space="preserve"> </w:t>
      </w:r>
      <w:r>
        <w:rPr>
          <w:sz w:val="20"/>
        </w:rPr>
        <w:t>legislativas</w:t>
      </w:r>
      <w:r>
        <w:rPr>
          <w:spacing w:val="-6"/>
          <w:sz w:val="20"/>
        </w:rPr>
        <w:t xml:space="preserve"> </w:t>
      </w:r>
      <w:r>
        <w:rPr>
          <w:sz w:val="20"/>
        </w:rPr>
        <w:t>que</w:t>
      </w:r>
      <w:r>
        <w:rPr>
          <w:spacing w:val="-8"/>
          <w:sz w:val="20"/>
        </w:rPr>
        <w:t xml:space="preserve"> </w:t>
      </w:r>
      <w:r>
        <w:rPr>
          <w:sz w:val="20"/>
        </w:rPr>
        <w:t>resulten</w:t>
      </w:r>
      <w:r>
        <w:rPr>
          <w:spacing w:val="-5"/>
          <w:sz w:val="20"/>
        </w:rPr>
        <w:t xml:space="preserve"> </w:t>
      </w:r>
      <w:r>
        <w:rPr>
          <w:sz w:val="20"/>
        </w:rPr>
        <w:t>en</w:t>
      </w:r>
      <w:r>
        <w:rPr>
          <w:spacing w:val="-3"/>
          <w:sz w:val="20"/>
        </w:rPr>
        <w:t xml:space="preserve"> </w:t>
      </w:r>
      <w:r>
        <w:rPr>
          <w:sz w:val="20"/>
        </w:rPr>
        <w:t>retrocesos</w:t>
      </w:r>
      <w:r>
        <w:rPr>
          <w:spacing w:val="-5"/>
          <w:sz w:val="20"/>
        </w:rPr>
        <w:t xml:space="preserve"> </w:t>
      </w:r>
      <w:r>
        <w:rPr>
          <w:sz w:val="20"/>
        </w:rPr>
        <w:t>sociales,</w:t>
      </w:r>
      <w:r>
        <w:rPr>
          <w:spacing w:val="-7"/>
          <w:sz w:val="20"/>
        </w:rPr>
        <w:t xml:space="preserve"> </w:t>
      </w:r>
      <w:r>
        <w:rPr>
          <w:sz w:val="20"/>
        </w:rPr>
        <w:t>ni</w:t>
      </w:r>
      <w:r>
        <w:rPr>
          <w:spacing w:val="-6"/>
          <w:sz w:val="20"/>
        </w:rPr>
        <w:t xml:space="preserve"> </w:t>
      </w:r>
      <w:r>
        <w:rPr>
          <w:sz w:val="20"/>
        </w:rPr>
        <w:t>implementarlas</w:t>
      </w:r>
      <w:r>
        <w:rPr>
          <w:spacing w:val="-7"/>
          <w:sz w:val="20"/>
        </w:rPr>
        <w:t xml:space="preserve"> </w:t>
      </w:r>
      <w:r>
        <w:rPr>
          <w:sz w:val="20"/>
        </w:rPr>
        <w:t>de</w:t>
      </w:r>
      <w:r>
        <w:rPr>
          <w:spacing w:val="-8"/>
          <w:sz w:val="20"/>
        </w:rPr>
        <w:t xml:space="preserve"> </w:t>
      </w:r>
      <w:r>
        <w:rPr>
          <w:sz w:val="20"/>
        </w:rPr>
        <w:t>modo que generen dichos</w:t>
      </w:r>
      <w:r>
        <w:rPr>
          <w:spacing w:val="-2"/>
          <w:sz w:val="20"/>
        </w:rPr>
        <w:t xml:space="preserve"> </w:t>
      </w:r>
      <w:r>
        <w:rPr>
          <w:sz w:val="20"/>
        </w:rPr>
        <w:t>retrocesos.</w:t>
      </w:r>
    </w:p>
    <w:p w14:paraId="3D96D379" w14:textId="77777777" w:rsidR="00467FCA" w:rsidRDefault="00467FCA">
      <w:pPr>
        <w:pStyle w:val="Textoindependiente"/>
      </w:pPr>
    </w:p>
    <w:p w14:paraId="5E3BACC3" w14:textId="77777777" w:rsidR="00467FCA" w:rsidRDefault="00467FCA">
      <w:pPr>
        <w:pStyle w:val="Textoindependiente"/>
      </w:pPr>
    </w:p>
    <w:p w14:paraId="325F8C95" w14:textId="77777777" w:rsidR="00467FCA" w:rsidRDefault="00467FCA">
      <w:pPr>
        <w:pStyle w:val="Textoindependiente"/>
      </w:pPr>
    </w:p>
    <w:p w14:paraId="16A0FE82" w14:textId="77777777" w:rsidR="00467FCA" w:rsidRDefault="001B68EB">
      <w:pPr>
        <w:pStyle w:val="Textoindependiente"/>
        <w:spacing w:before="8"/>
        <w:rPr>
          <w:sz w:val="27"/>
        </w:rPr>
      </w:pPr>
      <w:r>
        <w:pict w14:anchorId="1B8EDA97">
          <v:shape id="_x0000_s1107" style="position:absolute;margin-left:85.1pt;margin-top:19.1pt;width:2in;height:.1pt;z-index:-251567104;mso-wrap-distance-left:0;mso-wrap-distance-right:0;mso-position-horizontal-relative:page" coordorigin="1702,382" coordsize="2880,0" path="m1702,382r2880,e" filled="f" strokeweight=".6pt">
            <v:path arrowok="t"/>
            <w10:wrap type="topAndBottom" anchorx="page"/>
          </v:shape>
        </w:pict>
      </w:r>
    </w:p>
    <w:p w14:paraId="3950748E" w14:textId="77777777" w:rsidR="00467FCA" w:rsidRDefault="001B68EB">
      <w:pPr>
        <w:tabs>
          <w:tab w:val="left" w:pos="809"/>
        </w:tabs>
        <w:spacing w:before="74"/>
        <w:ind w:left="101" w:right="112"/>
        <w:jc w:val="both"/>
        <w:rPr>
          <w:sz w:val="16"/>
        </w:rPr>
      </w:pPr>
      <w:bookmarkStart w:id="619" w:name="_bookmark541"/>
      <w:bookmarkEnd w:id="619"/>
      <w:r>
        <w:rPr>
          <w:position w:val="6"/>
          <w:sz w:val="10"/>
        </w:rPr>
        <w:t>29</w:t>
      </w:r>
      <w:r>
        <w:rPr>
          <w:position w:val="6"/>
          <w:sz w:val="10"/>
        </w:rPr>
        <w:tab/>
      </w:r>
      <w:r>
        <w:rPr>
          <w:sz w:val="16"/>
        </w:rPr>
        <w:t>Párrafo</w:t>
      </w:r>
      <w:r>
        <w:rPr>
          <w:spacing w:val="-4"/>
          <w:sz w:val="16"/>
        </w:rPr>
        <w:t xml:space="preserve"> </w:t>
      </w:r>
      <w:r>
        <w:rPr>
          <w:sz w:val="16"/>
        </w:rPr>
        <w:t>172</w:t>
      </w:r>
      <w:r>
        <w:rPr>
          <w:spacing w:val="-4"/>
          <w:sz w:val="16"/>
        </w:rPr>
        <w:t xml:space="preserve"> </w:t>
      </w:r>
      <w:r>
        <w:rPr>
          <w:sz w:val="16"/>
        </w:rPr>
        <w:t>de</w:t>
      </w:r>
      <w:r>
        <w:rPr>
          <w:spacing w:val="-5"/>
          <w:sz w:val="16"/>
        </w:rPr>
        <w:t xml:space="preserve"> </w:t>
      </w:r>
      <w:r>
        <w:rPr>
          <w:sz w:val="16"/>
        </w:rPr>
        <w:t>la</w:t>
      </w:r>
      <w:r>
        <w:rPr>
          <w:spacing w:val="-6"/>
          <w:sz w:val="16"/>
        </w:rPr>
        <w:t xml:space="preserve"> </w:t>
      </w:r>
      <w:r>
        <w:rPr>
          <w:sz w:val="16"/>
        </w:rPr>
        <w:t>Sentencia;</w:t>
      </w:r>
      <w:r>
        <w:rPr>
          <w:spacing w:val="-4"/>
          <w:sz w:val="16"/>
        </w:rPr>
        <w:t xml:space="preserve"> </w:t>
      </w:r>
      <w:r>
        <w:rPr>
          <w:i/>
          <w:sz w:val="16"/>
        </w:rPr>
        <w:t>cfr.</w:t>
      </w:r>
      <w:r>
        <w:rPr>
          <w:i/>
          <w:spacing w:val="-6"/>
          <w:sz w:val="16"/>
        </w:rPr>
        <w:t xml:space="preserve"> </w:t>
      </w:r>
      <w:r>
        <w:rPr>
          <w:i/>
          <w:sz w:val="16"/>
        </w:rPr>
        <w:t>Caso</w:t>
      </w:r>
      <w:r>
        <w:rPr>
          <w:i/>
          <w:spacing w:val="-3"/>
          <w:sz w:val="16"/>
        </w:rPr>
        <w:t xml:space="preserve"> </w:t>
      </w:r>
      <w:r>
        <w:rPr>
          <w:i/>
          <w:sz w:val="16"/>
        </w:rPr>
        <w:t>Poblete</w:t>
      </w:r>
      <w:r>
        <w:rPr>
          <w:i/>
          <w:spacing w:val="-7"/>
          <w:sz w:val="16"/>
        </w:rPr>
        <w:t xml:space="preserve"> </w:t>
      </w:r>
      <w:r>
        <w:rPr>
          <w:i/>
          <w:sz w:val="16"/>
        </w:rPr>
        <w:t>Vilches</w:t>
      </w:r>
      <w:r>
        <w:rPr>
          <w:i/>
          <w:spacing w:val="-5"/>
          <w:sz w:val="16"/>
        </w:rPr>
        <w:t xml:space="preserve"> </w:t>
      </w:r>
      <w:r>
        <w:rPr>
          <w:i/>
          <w:sz w:val="16"/>
        </w:rPr>
        <w:t>y</w:t>
      </w:r>
      <w:r>
        <w:rPr>
          <w:i/>
          <w:spacing w:val="-4"/>
          <w:sz w:val="16"/>
        </w:rPr>
        <w:t xml:space="preserve"> </w:t>
      </w:r>
      <w:r>
        <w:rPr>
          <w:i/>
          <w:sz w:val="16"/>
        </w:rPr>
        <w:t>otros</w:t>
      </w:r>
      <w:r>
        <w:rPr>
          <w:i/>
          <w:spacing w:val="-5"/>
          <w:sz w:val="16"/>
        </w:rPr>
        <w:t xml:space="preserve"> </w:t>
      </w:r>
      <w:r>
        <w:rPr>
          <w:i/>
          <w:sz w:val="16"/>
        </w:rPr>
        <w:t>Vs.</w:t>
      </w:r>
      <w:r>
        <w:rPr>
          <w:i/>
          <w:spacing w:val="-6"/>
          <w:sz w:val="16"/>
        </w:rPr>
        <w:t xml:space="preserve"> </w:t>
      </w:r>
      <w:r>
        <w:rPr>
          <w:i/>
          <w:sz w:val="16"/>
        </w:rPr>
        <w:t>Chile,</w:t>
      </w:r>
      <w:r>
        <w:rPr>
          <w:i/>
          <w:spacing w:val="-3"/>
          <w:sz w:val="16"/>
        </w:rPr>
        <w:t xml:space="preserve"> </w:t>
      </w:r>
      <w:r>
        <w:rPr>
          <w:i/>
          <w:sz w:val="16"/>
        </w:rPr>
        <w:t>supra,</w:t>
      </w:r>
      <w:r>
        <w:rPr>
          <w:i/>
          <w:spacing w:val="-5"/>
          <w:sz w:val="16"/>
        </w:rPr>
        <w:t xml:space="preserve"> </w:t>
      </w:r>
      <w:r>
        <w:rPr>
          <w:i/>
          <w:sz w:val="16"/>
        </w:rPr>
        <w:t>párr.</w:t>
      </w:r>
      <w:r>
        <w:rPr>
          <w:i/>
          <w:spacing w:val="-6"/>
          <w:sz w:val="16"/>
        </w:rPr>
        <w:t xml:space="preserve"> </w:t>
      </w:r>
      <w:r>
        <w:rPr>
          <w:i/>
          <w:sz w:val="16"/>
        </w:rPr>
        <w:t>104;</w:t>
      </w:r>
      <w:r>
        <w:rPr>
          <w:i/>
          <w:spacing w:val="-8"/>
          <w:sz w:val="16"/>
        </w:rPr>
        <w:t xml:space="preserve"> </w:t>
      </w:r>
      <w:r>
        <w:rPr>
          <w:sz w:val="16"/>
        </w:rPr>
        <w:t>Comité de</w:t>
      </w:r>
      <w:r>
        <w:rPr>
          <w:spacing w:val="-15"/>
          <w:sz w:val="16"/>
        </w:rPr>
        <w:t xml:space="preserve"> </w:t>
      </w:r>
      <w:r>
        <w:rPr>
          <w:sz w:val="16"/>
        </w:rPr>
        <w:t>Derechos</w:t>
      </w:r>
      <w:r>
        <w:rPr>
          <w:spacing w:val="-12"/>
          <w:sz w:val="16"/>
        </w:rPr>
        <w:t xml:space="preserve"> </w:t>
      </w:r>
      <w:r>
        <w:rPr>
          <w:sz w:val="16"/>
        </w:rPr>
        <w:t>Económicos,</w:t>
      </w:r>
      <w:r>
        <w:rPr>
          <w:spacing w:val="-13"/>
          <w:sz w:val="16"/>
        </w:rPr>
        <w:t xml:space="preserve"> </w:t>
      </w:r>
      <w:r>
        <w:rPr>
          <w:sz w:val="16"/>
        </w:rPr>
        <w:t>Sociales</w:t>
      </w:r>
      <w:r>
        <w:rPr>
          <w:spacing w:val="-12"/>
          <w:sz w:val="16"/>
        </w:rPr>
        <w:t xml:space="preserve"> </w:t>
      </w:r>
      <w:r>
        <w:rPr>
          <w:sz w:val="16"/>
        </w:rPr>
        <w:t>y</w:t>
      </w:r>
      <w:r>
        <w:rPr>
          <w:spacing w:val="-11"/>
          <w:sz w:val="16"/>
        </w:rPr>
        <w:t xml:space="preserve"> </w:t>
      </w:r>
      <w:r>
        <w:rPr>
          <w:sz w:val="16"/>
        </w:rPr>
        <w:t>Culturales,</w:t>
      </w:r>
      <w:r>
        <w:rPr>
          <w:spacing w:val="-15"/>
          <w:sz w:val="16"/>
        </w:rPr>
        <w:t xml:space="preserve"> </w:t>
      </w:r>
      <w:r>
        <w:rPr>
          <w:i/>
          <w:sz w:val="16"/>
        </w:rPr>
        <w:t>Observación</w:t>
      </w:r>
      <w:r>
        <w:rPr>
          <w:i/>
          <w:spacing w:val="-15"/>
          <w:sz w:val="16"/>
        </w:rPr>
        <w:t xml:space="preserve"> </w:t>
      </w:r>
      <w:r>
        <w:rPr>
          <w:i/>
          <w:sz w:val="16"/>
        </w:rPr>
        <w:t>General</w:t>
      </w:r>
      <w:r>
        <w:rPr>
          <w:i/>
          <w:spacing w:val="-13"/>
          <w:sz w:val="16"/>
        </w:rPr>
        <w:t xml:space="preserve"> </w:t>
      </w:r>
      <w:r>
        <w:rPr>
          <w:i/>
          <w:sz w:val="16"/>
        </w:rPr>
        <w:t>No.</w:t>
      </w:r>
      <w:r>
        <w:rPr>
          <w:i/>
          <w:spacing w:val="-13"/>
          <w:sz w:val="16"/>
        </w:rPr>
        <w:t xml:space="preserve"> </w:t>
      </w:r>
      <w:r>
        <w:rPr>
          <w:i/>
          <w:sz w:val="16"/>
        </w:rPr>
        <w:t>3,</w:t>
      </w:r>
      <w:r>
        <w:rPr>
          <w:i/>
          <w:spacing w:val="-13"/>
          <w:sz w:val="16"/>
        </w:rPr>
        <w:t xml:space="preserve"> </w:t>
      </w:r>
      <w:r>
        <w:rPr>
          <w:i/>
          <w:sz w:val="16"/>
        </w:rPr>
        <w:t>supra</w:t>
      </w:r>
      <w:r>
        <w:rPr>
          <w:sz w:val="16"/>
        </w:rPr>
        <w:t>,</w:t>
      </w:r>
      <w:r>
        <w:rPr>
          <w:spacing w:val="-13"/>
          <w:sz w:val="16"/>
        </w:rPr>
        <w:t xml:space="preserve"> </w:t>
      </w:r>
      <w:r>
        <w:rPr>
          <w:sz w:val="16"/>
        </w:rPr>
        <w:t>párr.</w:t>
      </w:r>
      <w:r>
        <w:rPr>
          <w:spacing w:val="-13"/>
          <w:sz w:val="16"/>
        </w:rPr>
        <w:t xml:space="preserve"> </w:t>
      </w:r>
      <w:r>
        <w:rPr>
          <w:sz w:val="16"/>
        </w:rPr>
        <w:t>9,</w:t>
      </w:r>
      <w:r>
        <w:rPr>
          <w:spacing w:val="-15"/>
          <w:sz w:val="16"/>
        </w:rPr>
        <w:t xml:space="preserve"> </w:t>
      </w:r>
      <w:r>
        <w:rPr>
          <w:sz w:val="16"/>
        </w:rPr>
        <w:t>y</w:t>
      </w:r>
      <w:r>
        <w:rPr>
          <w:spacing w:val="-11"/>
          <w:sz w:val="16"/>
        </w:rPr>
        <w:t xml:space="preserve"> </w:t>
      </w:r>
      <w:r>
        <w:rPr>
          <w:i/>
          <w:sz w:val="16"/>
        </w:rPr>
        <w:t>Caso</w:t>
      </w:r>
      <w:r>
        <w:rPr>
          <w:i/>
          <w:spacing w:val="-11"/>
          <w:sz w:val="16"/>
        </w:rPr>
        <w:t xml:space="preserve"> </w:t>
      </w:r>
      <w:r>
        <w:rPr>
          <w:i/>
          <w:sz w:val="16"/>
        </w:rPr>
        <w:t>Spoltore Vs. Argentina, supra</w:t>
      </w:r>
      <w:r>
        <w:rPr>
          <w:sz w:val="16"/>
        </w:rPr>
        <w:t xml:space="preserve">, párr. 97. Ver también, Comité de Derechos Económicos, Sociales y Culturales, </w:t>
      </w:r>
      <w:r>
        <w:rPr>
          <w:i/>
          <w:sz w:val="16"/>
        </w:rPr>
        <w:t>Observación General No. 19</w:t>
      </w:r>
      <w:r>
        <w:rPr>
          <w:sz w:val="16"/>
        </w:rPr>
        <w:t xml:space="preserve">, </w:t>
      </w:r>
      <w:r>
        <w:rPr>
          <w:i/>
          <w:sz w:val="16"/>
        </w:rPr>
        <w:t>supra</w:t>
      </w:r>
      <w:r>
        <w:rPr>
          <w:sz w:val="16"/>
        </w:rPr>
        <w:t>, párrs. 40 y</w:t>
      </w:r>
      <w:r>
        <w:rPr>
          <w:spacing w:val="-15"/>
          <w:sz w:val="16"/>
        </w:rPr>
        <w:t xml:space="preserve"> </w:t>
      </w:r>
      <w:r>
        <w:rPr>
          <w:sz w:val="16"/>
        </w:rPr>
        <w:t>41.</w:t>
      </w:r>
    </w:p>
    <w:p w14:paraId="5E942F52" w14:textId="77777777" w:rsidR="00467FCA" w:rsidRDefault="001B68EB">
      <w:pPr>
        <w:tabs>
          <w:tab w:val="left" w:pos="809"/>
        </w:tabs>
        <w:ind w:left="101" w:right="114"/>
        <w:jc w:val="both"/>
        <w:rPr>
          <w:sz w:val="16"/>
        </w:rPr>
      </w:pPr>
      <w:bookmarkStart w:id="620" w:name="_bookmark542"/>
      <w:bookmarkEnd w:id="620"/>
      <w:r>
        <w:rPr>
          <w:position w:val="6"/>
          <w:sz w:val="10"/>
        </w:rPr>
        <w:t>30</w:t>
      </w:r>
      <w:r>
        <w:rPr>
          <w:position w:val="6"/>
          <w:sz w:val="10"/>
        </w:rPr>
        <w:tab/>
      </w:r>
      <w:r>
        <w:rPr>
          <w:sz w:val="16"/>
        </w:rPr>
        <w:t xml:space="preserve">Párrafo 172 de la Sentencia; </w:t>
      </w:r>
      <w:r>
        <w:rPr>
          <w:i/>
          <w:sz w:val="16"/>
        </w:rPr>
        <w:t>cfr. Caso Acevedo Buendía y otros (“Cesantes y Jubilados de la Contraloría”) Vs. Perú, supra</w:t>
      </w:r>
      <w:r>
        <w:rPr>
          <w:sz w:val="16"/>
        </w:rPr>
        <w:t xml:space="preserve">, </w:t>
      </w:r>
      <w:r>
        <w:rPr>
          <w:sz w:val="16"/>
        </w:rPr>
        <w:t xml:space="preserve">párrs. 102 a 103; </w:t>
      </w:r>
      <w:r>
        <w:rPr>
          <w:i/>
          <w:sz w:val="16"/>
        </w:rPr>
        <w:t>Caso Asociación Nacional de Cesantes y Jubilados de la Superintendencia Nacional de Administración Tributaria (ANCEJUB-SUNAT) Vs. Perú, supra</w:t>
      </w:r>
      <w:r>
        <w:rPr>
          <w:sz w:val="16"/>
        </w:rPr>
        <w:t xml:space="preserve">, párr. 173, y </w:t>
      </w:r>
      <w:r>
        <w:rPr>
          <w:i/>
          <w:sz w:val="16"/>
        </w:rPr>
        <w:t>Caso Spoltore Vs. Argentina, supra</w:t>
      </w:r>
      <w:r>
        <w:rPr>
          <w:sz w:val="16"/>
        </w:rPr>
        <w:t>, párr.</w:t>
      </w:r>
      <w:r>
        <w:rPr>
          <w:spacing w:val="-11"/>
          <w:sz w:val="16"/>
        </w:rPr>
        <w:t xml:space="preserve"> </w:t>
      </w:r>
      <w:r>
        <w:rPr>
          <w:sz w:val="16"/>
        </w:rPr>
        <w:t>97.</w:t>
      </w:r>
    </w:p>
    <w:p w14:paraId="75E83E6B" w14:textId="77777777" w:rsidR="00467FCA" w:rsidRDefault="001B68EB">
      <w:pPr>
        <w:tabs>
          <w:tab w:val="left" w:pos="809"/>
        </w:tabs>
        <w:ind w:left="101" w:right="115"/>
        <w:jc w:val="both"/>
        <w:rPr>
          <w:sz w:val="16"/>
        </w:rPr>
      </w:pPr>
      <w:bookmarkStart w:id="621" w:name="_bookmark543"/>
      <w:bookmarkEnd w:id="621"/>
      <w:r>
        <w:rPr>
          <w:position w:val="6"/>
          <w:sz w:val="10"/>
        </w:rPr>
        <w:t>31</w:t>
      </w:r>
      <w:r>
        <w:rPr>
          <w:position w:val="6"/>
          <w:sz w:val="10"/>
        </w:rPr>
        <w:tab/>
      </w:r>
      <w:r>
        <w:rPr>
          <w:sz w:val="16"/>
        </w:rPr>
        <w:t xml:space="preserve">Párrafo 172 de la Sentencia; </w:t>
      </w:r>
      <w:r>
        <w:rPr>
          <w:i/>
          <w:sz w:val="16"/>
        </w:rPr>
        <w:t>cfr. Caso Poblete Vilches y otros Vs. Chile, supra</w:t>
      </w:r>
      <w:r>
        <w:rPr>
          <w:sz w:val="16"/>
        </w:rPr>
        <w:t xml:space="preserve">, párr. 104; </w:t>
      </w:r>
      <w:r>
        <w:rPr>
          <w:i/>
          <w:sz w:val="16"/>
        </w:rPr>
        <w:t>Caso Asociación</w:t>
      </w:r>
      <w:r>
        <w:rPr>
          <w:i/>
          <w:spacing w:val="-5"/>
          <w:sz w:val="16"/>
        </w:rPr>
        <w:t xml:space="preserve"> </w:t>
      </w:r>
      <w:r>
        <w:rPr>
          <w:i/>
          <w:sz w:val="16"/>
        </w:rPr>
        <w:t>Nacional</w:t>
      </w:r>
      <w:r>
        <w:rPr>
          <w:i/>
          <w:spacing w:val="-4"/>
          <w:sz w:val="16"/>
        </w:rPr>
        <w:t xml:space="preserve"> </w:t>
      </w:r>
      <w:r>
        <w:rPr>
          <w:i/>
          <w:sz w:val="16"/>
        </w:rPr>
        <w:t>de</w:t>
      </w:r>
      <w:r>
        <w:rPr>
          <w:i/>
          <w:spacing w:val="-6"/>
          <w:sz w:val="16"/>
        </w:rPr>
        <w:t xml:space="preserve"> </w:t>
      </w:r>
      <w:r>
        <w:rPr>
          <w:i/>
          <w:sz w:val="16"/>
        </w:rPr>
        <w:t>Cesantes</w:t>
      </w:r>
      <w:r>
        <w:rPr>
          <w:i/>
          <w:spacing w:val="-6"/>
          <w:sz w:val="16"/>
        </w:rPr>
        <w:t xml:space="preserve"> </w:t>
      </w:r>
      <w:r>
        <w:rPr>
          <w:i/>
          <w:sz w:val="16"/>
        </w:rPr>
        <w:t>y</w:t>
      </w:r>
      <w:r>
        <w:rPr>
          <w:i/>
          <w:spacing w:val="-5"/>
          <w:sz w:val="16"/>
        </w:rPr>
        <w:t xml:space="preserve"> </w:t>
      </w:r>
      <w:r>
        <w:rPr>
          <w:i/>
          <w:sz w:val="16"/>
        </w:rPr>
        <w:t>Jubilados</w:t>
      </w:r>
      <w:r>
        <w:rPr>
          <w:i/>
          <w:spacing w:val="-7"/>
          <w:sz w:val="16"/>
        </w:rPr>
        <w:t xml:space="preserve"> </w:t>
      </w:r>
      <w:r>
        <w:rPr>
          <w:i/>
          <w:sz w:val="16"/>
        </w:rPr>
        <w:t>de</w:t>
      </w:r>
      <w:r>
        <w:rPr>
          <w:i/>
          <w:spacing w:val="-3"/>
          <w:sz w:val="16"/>
        </w:rPr>
        <w:t xml:space="preserve"> </w:t>
      </w:r>
      <w:r>
        <w:rPr>
          <w:i/>
          <w:sz w:val="16"/>
        </w:rPr>
        <w:t>la</w:t>
      </w:r>
      <w:r>
        <w:rPr>
          <w:i/>
          <w:spacing w:val="-7"/>
          <w:sz w:val="16"/>
        </w:rPr>
        <w:t xml:space="preserve"> </w:t>
      </w:r>
      <w:r>
        <w:rPr>
          <w:i/>
          <w:sz w:val="16"/>
        </w:rPr>
        <w:t>Superintendencia</w:t>
      </w:r>
      <w:r>
        <w:rPr>
          <w:i/>
          <w:spacing w:val="-4"/>
          <w:sz w:val="16"/>
        </w:rPr>
        <w:t xml:space="preserve"> </w:t>
      </w:r>
      <w:r>
        <w:rPr>
          <w:i/>
          <w:sz w:val="16"/>
        </w:rPr>
        <w:t>Nacional</w:t>
      </w:r>
      <w:r>
        <w:rPr>
          <w:i/>
          <w:spacing w:val="-4"/>
          <w:sz w:val="16"/>
        </w:rPr>
        <w:t xml:space="preserve"> </w:t>
      </w:r>
      <w:r>
        <w:rPr>
          <w:i/>
          <w:sz w:val="16"/>
        </w:rPr>
        <w:t>de</w:t>
      </w:r>
      <w:r>
        <w:rPr>
          <w:i/>
          <w:spacing w:val="-8"/>
          <w:sz w:val="16"/>
        </w:rPr>
        <w:t xml:space="preserve"> </w:t>
      </w:r>
      <w:r>
        <w:rPr>
          <w:i/>
          <w:sz w:val="16"/>
        </w:rPr>
        <w:t>Administración</w:t>
      </w:r>
      <w:r>
        <w:rPr>
          <w:i/>
          <w:spacing w:val="-5"/>
          <w:sz w:val="16"/>
        </w:rPr>
        <w:t xml:space="preserve"> </w:t>
      </w:r>
      <w:r>
        <w:rPr>
          <w:i/>
          <w:sz w:val="16"/>
        </w:rPr>
        <w:t>Tributaria (ANCEJUB-SUNAT) Vs. Perú, supra</w:t>
      </w:r>
      <w:r>
        <w:rPr>
          <w:sz w:val="16"/>
        </w:rPr>
        <w:t xml:space="preserve">, párr. 173, y </w:t>
      </w:r>
      <w:r>
        <w:rPr>
          <w:i/>
          <w:sz w:val="16"/>
        </w:rPr>
        <w:t>Caso Spoltore Vs. Argentina, supra</w:t>
      </w:r>
      <w:r>
        <w:rPr>
          <w:sz w:val="16"/>
        </w:rPr>
        <w:t>, párr.</w:t>
      </w:r>
      <w:r>
        <w:rPr>
          <w:spacing w:val="-21"/>
          <w:sz w:val="16"/>
        </w:rPr>
        <w:t xml:space="preserve"> </w:t>
      </w:r>
      <w:r>
        <w:rPr>
          <w:sz w:val="16"/>
        </w:rPr>
        <w:t>97.</w:t>
      </w:r>
    </w:p>
    <w:p w14:paraId="69AF82B5" w14:textId="77777777" w:rsidR="00467FCA" w:rsidRDefault="001B68EB">
      <w:pPr>
        <w:tabs>
          <w:tab w:val="left" w:pos="809"/>
        </w:tabs>
        <w:ind w:left="101"/>
        <w:jc w:val="both"/>
        <w:rPr>
          <w:sz w:val="16"/>
        </w:rPr>
      </w:pPr>
      <w:bookmarkStart w:id="622" w:name="_bookmark544"/>
      <w:bookmarkEnd w:id="622"/>
      <w:r>
        <w:rPr>
          <w:position w:val="6"/>
          <w:sz w:val="10"/>
        </w:rPr>
        <w:t>32</w:t>
      </w:r>
      <w:r>
        <w:rPr>
          <w:position w:val="6"/>
          <w:sz w:val="10"/>
        </w:rPr>
        <w:tab/>
      </w:r>
      <w:r>
        <w:rPr>
          <w:i/>
          <w:sz w:val="16"/>
        </w:rPr>
        <w:t xml:space="preserve">Cfr. </w:t>
      </w:r>
      <w:r>
        <w:rPr>
          <w:sz w:val="16"/>
        </w:rPr>
        <w:t xml:space="preserve">Constitución de Brasil, </w:t>
      </w:r>
      <w:r>
        <w:rPr>
          <w:i/>
          <w:sz w:val="16"/>
        </w:rPr>
        <w:t>supra</w:t>
      </w:r>
      <w:r>
        <w:rPr>
          <w:sz w:val="16"/>
        </w:rPr>
        <w:t>, Artículo</w:t>
      </w:r>
      <w:r>
        <w:rPr>
          <w:spacing w:val="-3"/>
          <w:sz w:val="16"/>
        </w:rPr>
        <w:t xml:space="preserve"> </w:t>
      </w:r>
      <w:r>
        <w:rPr>
          <w:sz w:val="16"/>
        </w:rPr>
        <w:t>3º.</w:t>
      </w:r>
    </w:p>
    <w:p w14:paraId="0D365311" w14:textId="77777777" w:rsidR="00467FCA" w:rsidRDefault="001B68EB">
      <w:pPr>
        <w:tabs>
          <w:tab w:val="left" w:pos="809"/>
        </w:tabs>
        <w:ind w:left="101"/>
        <w:jc w:val="both"/>
        <w:rPr>
          <w:sz w:val="16"/>
        </w:rPr>
      </w:pPr>
      <w:bookmarkStart w:id="623" w:name="_bookmark545"/>
      <w:bookmarkEnd w:id="623"/>
      <w:r>
        <w:rPr>
          <w:position w:val="6"/>
          <w:sz w:val="10"/>
        </w:rPr>
        <w:t>33</w:t>
      </w:r>
      <w:r>
        <w:rPr>
          <w:position w:val="6"/>
          <w:sz w:val="10"/>
        </w:rPr>
        <w:tab/>
      </w:r>
      <w:r>
        <w:rPr>
          <w:i/>
          <w:sz w:val="16"/>
        </w:rPr>
        <w:t xml:space="preserve">Cfr. </w:t>
      </w:r>
      <w:r>
        <w:rPr>
          <w:sz w:val="16"/>
        </w:rPr>
        <w:t xml:space="preserve">Constitución de Brasil, </w:t>
      </w:r>
      <w:r>
        <w:rPr>
          <w:i/>
          <w:sz w:val="16"/>
        </w:rPr>
        <w:t>supra</w:t>
      </w:r>
      <w:r>
        <w:rPr>
          <w:sz w:val="16"/>
        </w:rPr>
        <w:t>, Artículo 60, párrafo</w:t>
      </w:r>
      <w:r>
        <w:rPr>
          <w:spacing w:val="-7"/>
          <w:sz w:val="16"/>
        </w:rPr>
        <w:t xml:space="preserve"> </w:t>
      </w:r>
      <w:r>
        <w:rPr>
          <w:sz w:val="16"/>
        </w:rPr>
        <w:t>4º.</w:t>
      </w:r>
    </w:p>
    <w:p w14:paraId="781D6992" w14:textId="77777777" w:rsidR="00467FCA" w:rsidRDefault="00467FCA">
      <w:pPr>
        <w:jc w:val="both"/>
        <w:rPr>
          <w:sz w:val="16"/>
        </w:rPr>
        <w:sectPr w:rsidR="00467FCA">
          <w:footerReference w:type="default" r:id="rId55"/>
          <w:pgSz w:w="11900" w:h="16850"/>
          <w:pgMar w:top="1340" w:right="1580" w:bottom="280" w:left="1600" w:header="0" w:footer="0" w:gutter="0"/>
          <w:cols w:space="720"/>
        </w:sectPr>
      </w:pPr>
    </w:p>
    <w:p w14:paraId="1B68014C" w14:textId="77777777" w:rsidR="00467FCA" w:rsidRDefault="001B68EB">
      <w:pPr>
        <w:pStyle w:val="Ttulo1"/>
        <w:numPr>
          <w:ilvl w:val="0"/>
          <w:numId w:val="33"/>
        </w:numPr>
        <w:tabs>
          <w:tab w:val="left" w:pos="1517"/>
          <w:tab w:val="left" w:pos="1518"/>
        </w:tabs>
        <w:spacing w:before="75"/>
        <w:ind w:hanging="692"/>
        <w:jc w:val="left"/>
      </w:pPr>
      <w:r>
        <w:t>Conclusión</w:t>
      </w:r>
    </w:p>
    <w:p w14:paraId="000692CF" w14:textId="77777777" w:rsidR="00467FCA" w:rsidRDefault="00467FCA">
      <w:pPr>
        <w:pStyle w:val="Textoindependiente"/>
        <w:spacing w:before="1"/>
        <w:rPr>
          <w:b/>
        </w:rPr>
      </w:pPr>
    </w:p>
    <w:p w14:paraId="173ACCA5" w14:textId="77777777" w:rsidR="00467FCA" w:rsidRDefault="001B68EB">
      <w:pPr>
        <w:pStyle w:val="Prrafodelista"/>
        <w:numPr>
          <w:ilvl w:val="0"/>
          <w:numId w:val="32"/>
        </w:numPr>
        <w:tabs>
          <w:tab w:val="left" w:pos="810"/>
        </w:tabs>
        <w:spacing w:before="1"/>
        <w:ind w:right="116" w:hanging="1"/>
        <w:jc w:val="both"/>
        <w:rPr>
          <w:sz w:val="20"/>
        </w:rPr>
      </w:pPr>
      <w:r>
        <w:rPr>
          <w:sz w:val="20"/>
        </w:rPr>
        <w:t>Brasi</w:t>
      </w:r>
      <w:r>
        <w:rPr>
          <w:sz w:val="20"/>
        </w:rPr>
        <w:t>l ratificó la Convención Americana el 25 de septiembre de 1992 y el Protocolo de San Salvador, el 21 de agosto de 1996, y reconoció la competencia contenciosa</w:t>
      </w:r>
      <w:r>
        <w:rPr>
          <w:spacing w:val="-15"/>
          <w:sz w:val="20"/>
        </w:rPr>
        <w:t xml:space="preserve"> </w:t>
      </w:r>
      <w:r>
        <w:rPr>
          <w:sz w:val="20"/>
        </w:rPr>
        <w:t>de</w:t>
      </w:r>
      <w:r>
        <w:rPr>
          <w:spacing w:val="-16"/>
          <w:sz w:val="20"/>
        </w:rPr>
        <w:t xml:space="preserve"> </w:t>
      </w:r>
      <w:r>
        <w:rPr>
          <w:sz w:val="20"/>
        </w:rPr>
        <w:t>la</w:t>
      </w:r>
      <w:r>
        <w:rPr>
          <w:spacing w:val="-15"/>
          <w:sz w:val="20"/>
        </w:rPr>
        <w:t xml:space="preserve"> </w:t>
      </w:r>
      <w:r>
        <w:rPr>
          <w:sz w:val="20"/>
        </w:rPr>
        <w:t>Corte</w:t>
      </w:r>
      <w:r>
        <w:rPr>
          <w:spacing w:val="-14"/>
          <w:sz w:val="20"/>
        </w:rPr>
        <w:t xml:space="preserve"> </w:t>
      </w:r>
      <w:r>
        <w:rPr>
          <w:sz w:val="20"/>
        </w:rPr>
        <w:t>el</w:t>
      </w:r>
      <w:r>
        <w:rPr>
          <w:spacing w:val="-14"/>
          <w:sz w:val="20"/>
        </w:rPr>
        <w:t xml:space="preserve"> </w:t>
      </w:r>
      <w:r>
        <w:rPr>
          <w:sz w:val="20"/>
        </w:rPr>
        <w:t>10</w:t>
      </w:r>
      <w:r>
        <w:rPr>
          <w:spacing w:val="-15"/>
          <w:sz w:val="20"/>
        </w:rPr>
        <w:t xml:space="preserve"> </w:t>
      </w:r>
      <w:r>
        <w:rPr>
          <w:sz w:val="20"/>
        </w:rPr>
        <w:t>de</w:t>
      </w:r>
      <w:r>
        <w:rPr>
          <w:spacing w:val="-16"/>
          <w:sz w:val="20"/>
        </w:rPr>
        <w:t xml:space="preserve"> </w:t>
      </w:r>
      <w:r>
        <w:rPr>
          <w:sz w:val="20"/>
        </w:rPr>
        <w:t>diciembre</w:t>
      </w:r>
      <w:r>
        <w:rPr>
          <w:spacing w:val="-15"/>
          <w:sz w:val="20"/>
        </w:rPr>
        <w:t xml:space="preserve"> </w:t>
      </w:r>
      <w:r>
        <w:rPr>
          <w:sz w:val="20"/>
        </w:rPr>
        <w:t>de</w:t>
      </w:r>
      <w:r>
        <w:rPr>
          <w:spacing w:val="-16"/>
          <w:sz w:val="20"/>
        </w:rPr>
        <w:t xml:space="preserve"> </w:t>
      </w:r>
      <w:r>
        <w:rPr>
          <w:sz w:val="20"/>
        </w:rPr>
        <w:t>1998.</w:t>
      </w:r>
      <w:r>
        <w:rPr>
          <w:spacing w:val="-16"/>
          <w:sz w:val="20"/>
        </w:rPr>
        <w:t xml:space="preserve"> </w:t>
      </w:r>
      <w:r>
        <w:rPr>
          <w:sz w:val="20"/>
        </w:rPr>
        <w:t>De</w:t>
      </w:r>
      <w:r>
        <w:rPr>
          <w:spacing w:val="-16"/>
          <w:sz w:val="20"/>
        </w:rPr>
        <w:t xml:space="preserve"> </w:t>
      </w:r>
      <w:r>
        <w:rPr>
          <w:sz w:val="20"/>
        </w:rPr>
        <w:t>ahí</w:t>
      </w:r>
      <w:r>
        <w:rPr>
          <w:spacing w:val="-11"/>
          <w:sz w:val="20"/>
        </w:rPr>
        <w:t xml:space="preserve"> </w:t>
      </w:r>
      <w:r>
        <w:rPr>
          <w:sz w:val="20"/>
        </w:rPr>
        <w:t>se</w:t>
      </w:r>
      <w:r>
        <w:rPr>
          <w:spacing w:val="-16"/>
          <w:sz w:val="20"/>
        </w:rPr>
        <w:t xml:space="preserve"> </w:t>
      </w:r>
      <w:r>
        <w:rPr>
          <w:sz w:val="20"/>
        </w:rPr>
        <w:t>deriva,</w:t>
      </w:r>
      <w:r>
        <w:rPr>
          <w:spacing w:val="-13"/>
          <w:sz w:val="20"/>
        </w:rPr>
        <w:t xml:space="preserve"> </w:t>
      </w:r>
      <w:r>
        <w:rPr>
          <w:sz w:val="20"/>
        </w:rPr>
        <w:t>evidentemente, la obligación que tiene el Estado tanto de cumplir con las disposiciones de los instrumentos mencionados y respetar y garantizar los derechos en ellos previstos</w:t>
      </w:r>
      <w:hyperlink w:anchor="_bookmark546" w:history="1">
        <w:r>
          <w:rPr>
            <w:position w:val="6"/>
            <w:sz w:val="12"/>
          </w:rPr>
          <w:t>34</w:t>
        </w:r>
      </w:hyperlink>
      <w:r>
        <w:rPr>
          <w:sz w:val="20"/>
        </w:rPr>
        <w:t xml:space="preserve">, como de cumplir integralmente las sentencias </w:t>
      </w:r>
      <w:r>
        <w:rPr>
          <w:sz w:val="20"/>
        </w:rPr>
        <w:t>del Tribunal</w:t>
      </w:r>
      <w:r>
        <w:rPr>
          <w:spacing w:val="-13"/>
          <w:sz w:val="20"/>
        </w:rPr>
        <w:t xml:space="preserve"> </w:t>
      </w:r>
      <w:r>
        <w:rPr>
          <w:sz w:val="20"/>
        </w:rPr>
        <w:t>Interamericano</w:t>
      </w:r>
      <w:hyperlink w:anchor="_bookmark547" w:history="1">
        <w:r>
          <w:rPr>
            <w:position w:val="6"/>
            <w:sz w:val="12"/>
          </w:rPr>
          <w:t>35</w:t>
        </w:r>
      </w:hyperlink>
      <w:r>
        <w:rPr>
          <w:sz w:val="20"/>
        </w:rPr>
        <w:t>.</w:t>
      </w:r>
    </w:p>
    <w:p w14:paraId="45C98752" w14:textId="77777777" w:rsidR="00467FCA" w:rsidRDefault="00467FCA">
      <w:pPr>
        <w:pStyle w:val="Textoindependiente"/>
        <w:spacing w:before="12"/>
        <w:rPr>
          <w:sz w:val="19"/>
        </w:rPr>
      </w:pPr>
    </w:p>
    <w:p w14:paraId="5F5930D1" w14:textId="77777777" w:rsidR="00467FCA" w:rsidRDefault="001B68EB">
      <w:pPr>
        <w:pStyle w:val="Prrafodelista"/>
        <w:numPr>
          <w:ilvl w:val="0"/>
          <w:numId w:val="32"/>
        </w:numPr>
        <w:tabs>
          <w:tab w:val="left" w:pos="810"/>
        </w:tabs>
        <w:ind w:right="118" w:firstLine="0"/>
        <w:jc w:val="both"/>
        <w:rPr>
          <w:sz w:val="20"/>
        </w:rPr>
      </w:pPr>
      <w:r>
        <w:rPr>
          <w:sz w:val="20"/>
        </w:rPr>
        <w:t>En virtud del análisis hecho en el acápite referido a la EC/95, se puede vislumbrar, a partir de una interpretación literal de la normativa, que su implementación podría generar un significati</w:t>
      </w:r>
      <w:r>
        <w:rPr>
          <w:sz w:val="20"/>
        </w:rPr>
        <w:t>vo impacto negativo en la garantía de los</w:t>
      </w:r>
      <w:r>
        <w:rPr>
          <w:spacing w:val="-13"/>
          <w:sz w:val="20"/>
        </w:rPr>
        <w:t xml:space="preserve"> </w:t>
      </w:r>
      <w:r>
        <w:rPr>
          <w:sz w:val="20"/>
        </w:rPr>
        <w:t>derechos</w:t>
      </w:r>
      <w:r>
        <w:rPr>
          <w:spacing w:val="-12"/>
          <w:sz w:val="20"/>
        </w:rPr>
        <w:t xml:space="preserve"> </w:t>
      </w:r>
      <w:r>
        <w:rPr>
          <w:sz w:val="20"/>
        </w:rPr>
        <w:t>económicos,</w:t>
      </w:r>
      <w:r>
        <w:rPr>
          <w:spacing w:val="-13"/>
          <w:sz w:val="20"/>
        </w:rPr>
        <w:t xml:space="preserve"> </w:t>
      </w:r>
      <w:r>
        <w:rPr>
          <w:sz w:val="20"/>
        </w:rPr>
        <w:t>sociales,</w:t>
      </w:r>
      <w:r>
        <w:rPr>
          <w:spacing w:val="-9"/>
          <w:sz w:val="20"/>
        </w:rPr>
        <w:t xml:space="preserve"> </w:t>
      </w:r>
      <w:r>
        <w:rPr>
          <w:sz w:val="20"/>
        </w:rPr>
        <w:t>culturales</w:t>
      </w:r>
      <w:r>
        <w:rPr>
          <w:spacing w:val="-13"/>
          <w:sz w:val="20"/>
        </w:rPr>
        <w:t xml:space="preserve"> </w:t>
      </w:r>
      <w:r>
        <w:rPr>
          <w:sz w:val="20"/>
        </w:rPr>
        <w:t>y</w:t>
      </w:r>
      <w:r>
        <w:rPr>
          <w:spacing w:val="-9"/>
          <w:sz w:val="20"/>
        </w:rPr>
        <w:t xml:space="preserve"> </w:t>
      </w:r>
      <w:r>
        <w:rPr>
          <w:sz w:val="20"/>
        </w:rPr>
        <w:t>ambientales</w:t>
      </w:r>
      <w:r>
        <w:rPr>
          <w:spacing w:val="-13"/>
          <w:sz w:val="20"/>
        </w:rPr>
        <w:t xml:space="preserve"> </w:t>
      </w:r>
      <w:r>
        <w:rPr>
          <w:sz w:val="20"/>
        </w:rPr>
        <w:t>de</w:t>
      </w:r>
      <w:r>
        <w:rPr>
          <w:spacing w:val="-12"/>
          <w:sz w:val="20"/>
        </w:rPr>
        <w:t xml:space="preserve"> </w:t>
      </w:r>
      <w:r>
        <w:rPr>
          <w:sz w:val="20"/>
        </w:rPr>
        <w:t>la</w:t>
      </w:r>
      <w:r>
        <w:rPr>
          <w:spacing w:val="-11"/>
          <w:sz w:val="20"/>
        </w:rPr>
        <w:t xml:space="preserve"> </w:t>
      </w:r>
      <w:r>
        <w:rPr>
          <w:sz w:val="20"/>
        </w:rPr>
        <w:t>población</w:t>
      </w:r>
      <w:r>
        <w:rPr>
          <w:spacing w:val="-11"/>
          <w:sz w:val="20"/>
        </w:rPr>
        <w:t xml:space="preserve"> </w:t>
      </w:r>
      <w:r>
        <w:rPr>
          <w:sz w:val="20"/>
        </w:rPr>
        <w:t>brasileña a lo largo de los veinte años de vigencia de la Enmienda Constitucional, y, en particular, de los derechos a la salud y la</w:t>
      </w:r>
      <w:r>
        <w:rPr>
          <w:spacing w:val="-3"/>
          <w:sz w:val="20"/>
        </w:rPr>
        <w:t xml:space="preserve"> </w:t>
      </w:r>
      <w:r>
        <w:rPr>
          <w:sz w:val="20"/>
        </w:rPr>
        <w:t>educación</w:t>
      </w:r>
      <w:r>
        <w:rPr>
          <w:sz w:val="20"/>
        </w:rPr>
        <w:t>.</w:t>
      </w:r>
    </w:p>
    <w:p w14:paraId="7BB2BC5B" w14:textId="77777777" w:rsidR="00467FCA" w:rsidRDefault="00467FCA">
      <w:pPr>
        <w:pStyle w:val="Textoindependiente"/>
      </w:pPr>
    </w:p>
    <w:p w14:paraId="12F0E79F" w14:textId="77777777" w:rsidR="00467FCA" w:rsidRDefault="001B68EB">
      <w:pPr>
        <w:pStyle w:val="Prrafodelista"/>
        <w:numPr>
          <w:ilvl w:val="0"/>
          <w:numId w:val="32"/>
        </w:numPr>
        <w:tabs>
          <w:tab w:val="left" w:pos="810"/>
        </w:tabs>
        <w:ind w:right="116" w:firstLine="0"/>
        <w:jc w:val="both"/>
        <w:rPr>
          <w:sz w:val="20"/>
        </w:rPr>
      </w:pPr>
      <w:r>
        <w:rPr>
          <w:sz w:val="20"/>
        </w:rPr>
        <w:t>Es cierto que el presupuesto público es un componente fundamental para la realización de los DESCA, pues el ejercicio de esos derechos necesita la implementación</w:t>
      </w:r>
      <w:r>
        <w:rPr>
          <w:spacing w:val="-13"/>
          <w:sz w:val="20"/>
        </w:rPr>
        <w:t xml:space="preserve"> </w:t>
      </w:r>
      <w:r>
        <w:rPr>
          <w:sz w:val="20"/>
        </w:rPr>
        <w:t>de</w:t>
      </w:r>
      <w:r>
        <w:rPr>
          <w:spacing w:val="-15"/>
          <w:sz w:val="20"/>
        </w:rPr>
        <w:t xml:space="preserve"> </w:t>
      </w:r>
      <w:r>
        <w:rPr>
          <w:sz w:val="20"/>
        </w:rPr>
        <w:t>proyectos,</w:t>
      </w:r>
      <w:r>
        <w:rPr>
          <w:spacing w:val="-14"/>
          <w:sz w:val="20"/>
        </w:rPr>
        <w:t xml:space="preserve"> </w:t>
      </w:r>
      <w:r>
        <w:rPr>
          <w:sz w:val="20"/>
        </w:rPr>
        <w:t>programas,</w:t>
      </w:r>
      <w:r>
        <w:rPr>
          <w:spacing w:val="-14"/>
          <w:sz w:val="20"/>
        </w:rPr>
        <w:t xml:space="preserve"> </w:t>
      </w:r>
      <w:r>
        <w:rPr>
          <w:sz w:val="20"/>
        </w:rPr>
        <w:t>políticas</w:t>
      </w:r>
      <w:r>
        <w:rPr>
          <w:spacing w:val="-14"/>
          <w:sz w:val="20"/>
        </w:rPr>
        <w:t xml:space="preserve"> </w:t>
      </w:r>
      <w:r>
        <w:rPr>
          <w:sz w:val="20"/>
        </w:rPr>
        <w:t>públicas</w:t>
      </w:r>
      <w:r>
        <w:rPr>
          <w:spacing w:val="-11"/>
          <w:sz w:val="20"/>
        </w:rPr>
        <w:t xml:space="preserve"> </w:t>
      </w:r>
      <w:r>
        <w:rPr>
          <w:sz w:val="20"/>
        </w:rPr>
        <w:t>y</w:t>
      </w:r>
      <w:r>
        <w:rPr>
          <w:spacing w:val="-14"/>
          <w:sz w:val="20"/>
        </w:rPr>
        <w:t xml:space="preserve"> </w:t>
      </w:r>
      <w:r>
        <w:rPr>
          <w:sz w:val="20"/>
        </w:rPr>
        <w:t>normativa,</w:t>
      </w:r>
      <w:r>
        <w:rPr>
          <w:spacing w:val="-13"/>
          <w:sz w:val="20"/>
        </w:rPr>
        <w:t xml:space="preserve"> </w:t>
      </w:r>
      <w:r>
        <w:rPr>
          <w:sz w:val="20"/>
        </w:rPr>
        <w:t>en</w:t>
      </w:r>
      <w:r>
        <w:rPr>
          <w:spacing w:val="-13"/>
          <w:sz w:val="20"/>
        </w:rPr>
        <w:t xml:space="preserve"> </w:t>
      </w:r>
      <w:r>
        <w:rPr>
          <w:sz w:val="20"/>
        </w:rPr>
        <w:t>general, es decir, prestaciones</w:t>
      </w:r>
      <w:r>
        <w:rPr>
          <w:sz w:val="20"/>
        </w:rPr>
        <w:t xml:space="preserve"> positivas por parte del Estado. En ese sentido, si una determinada</w:t>
      </w:r>
      <w:r>
        <w:rPr>
          <w:spacing w:val="-11"/>
          <w:sz w:val="20"/>
        </w:rPr>
        <w:t xml:space="preserve"> </w:t>
      </w:r>
      <w:r>
        <w:rPr>
          <w:sz w:val="20"/>
        </w:rPr>
        <w:t>norma</w:t>
      </w:r>
      <w:r>
        <w:rPr>
          <w:spacing w:val="-10"/>
          <w:sz w:val="20"/>
        </w:rPr>
        <w:t xml:space="preserve"> </w:t>
      </w:r>
      <w:r>
        <w:rPr>
          <w:sz w:val="20"/>
        </w:rPr>
        <w:t>impone</w:t>
      </w:r>
      <w:r>
        <w:rPr>
          <w:spacing w:val="-9"/>
          <w:sz w:val="20"/>
        </w:rPr>
        <w:t xml:space="preserve"> </w:t>
      </w:r>
      <w:r>
        <w:rPr>
          <w:sz w:val="20"/>
        </w:rPr>
        <w:t>un</w:t>
      </w:r>
      <w:r>
        <w:rPr>
          <w:spacing w:val="-9"/>
          <w:sz w:val="20"/>
        </w:rPr>
        <w:t xml:space="preserve"> </w:t>
      </w:r>
      <w:r>
        <w:rPr>
          <w:sz w:val="20"/>
        </w:rPr>
        <w:t>límite</w:t>
      </w:r>
      <w:r>
        <w:rPr>
          <w:spacing w:val="-9"/>
          <w:sz w:val="20"/>
        </w:rPr>
        <w:t xml:space="preserve"> </w:t>
      </w:r>
      <w:r>
        <w:rPr>
          <w:sz w:val="20"/>
        </w:rPr>
        <w:t>fijo</w:t>
      </w:r>
      <w:r>
        <w:rPr>
          <w:spacing w:val="-9"/>
          <w:sz w:val="20"/>
        </w:rPr>
        <w:t xml:space="preserve"> </w:t>
      </w:r>
      <w:r>
        <w:rPr>
          <w:sz w:val="20"/>
        </w:rPr>
        <w:t>y</w:t>
      </w:r>
      <w:r>
        <w:rPr>
          <w:spacing w:val="-11"/>
          <w:sz w:val="20"/>
        </w:rPr>
        <w:t xml:space="preserve"> </w:t>
      </w:r>
      <w:r>
        <w:rPr>
          <w:sz w:val="20"/>
        </w:rPr>
        <w:t>tajante</w:t>
      </w:r>
      <w:r>
        <w:rPr>
          <w:spacing w:val="-11"/>
          <w:sz w:val="20"/>
        </w:rPr>
        <w:t xml:space="preserve"> </w:t>
      </w:r>
      <w:r>
        <w:rPr>
          <w:sz w:val="20"/>
        </w:rPr>
        <w:t>a</w:t>
      </w:r>
      <w:r>
        <w:rPr>
          <w:spacing w:val="-9"/>
          <w:sz w:val="20"/>
        </w:rPr>
        <w:t xml:space="preserve"> </w:t>
      </w:r>
      <w:r>
        <w:rPr>
          <w:sz w:val="20"/>
        </w:rPr>
        <w:t>dicho</w:t>
      </w:r>
      <w:r>
        <w:rPr>
          <w:spacing w:val="-9"/>
          <w:sz w:val="20"/>
        </w:rPr>
        <w:t xml:space="preserve"> </w:t>
      </w:r>
      <w:r>
        <w:rPr>
          <w:sz w:val="20"/>
        </w:rPr>
        <w:t>presupuesto,</w:t>
      </w:r>
      <w:r>
        <w:rPr>
          <w:spacing w:val="-6"/>
          <w:sz w:val="20"/>
        </w:rPr>
        <w:t xml:space="preserve"> </w:t>
      </w:r>
      <w:r>
        <w:rPr>
          <w:sz w:val="20"/>
        </w:rPr>
        <w:t>la</w:t>
      </w:r>
      <w:r>
        <w:rPr>
          <w:spacing w:val="-10"/>
          <w:sz w:val="20"/>
        </w:rPr>
        <w:t xml:space="preserve"> </w:t>
      </w:r>
      <w:r>
        <w:rPr>
          <w:sz w:val="20"/>
        </w:rPr>
        <w:t>aplicación de</w:t>
      </w:r>
      <w:r>
        <w:rPr>
          <w:spacing w:val="-8"/>
          <w:sz w:val="20"/>
        </w:rPr>
        <w:t xml:space="preserve"> </w:t>
      </w:r>
      <w:r>
        <w:rPr>
          <w:sz w:val="20"/>
        </w:rPr>
        <w:t>esa</w:t>
      </w:r>
      <w:r>
        <w:rPr>
          <w:spacing w:val="-6"/>
          <w:sz w:val="20"/>
        </w:rPr>
        <w:t xml:space="preserve"> </w:t>
      </w:r>
      <w:r>
        <w:rPr>
          <w:sz w:val="20"/>
        </w:rPr>
        <w:t>norma</w:t>
      </w:r>
      <w:r>
        <w:rPr>
          <w:spacing w:val="-5"/>
          <w:sz w:val="20"/>
        </w:rPr>
        <w:t xml:space="preserve"> </w:t>
      </w:r>
      <w:r>
        <w:rPr>
          <w:sz w:val="20"/>
        </w:rPr>
        <w:t>puede</w:t>
      </w:r>
      <w:r>
        <w:rPr>
          <w:spacing w:val="-5"/>
          <w:sz w:val="20"/>
        </w:rPr>
        <w:t xml:space="preserve"> </w:t>
      </w:r>
      <w:r>
        <w:rPr>
          <w:sz w:val="20"/>
        </w:rPr>
        <w:t>resultar</w:t>
      </w:r>
      <w:r>
        <w:rPr>
          <w:spacing w:val="-7"/>
          <w:sz w:val="20"/>
        </w:rPr>
        <w:t xml:space="preserve"> </w:t>
      </w:r>
      <w:r>
        <w:rPr>
          <w:sz w:val="20"/>
        </w:rPr>
        <w:t>en</w:t>
      </w:r>
      <w:r>
        <w:rPr>
          <w:spacing w:val="-4"/>
          <w:sz w:val="20"/>
        </w:rPr>
        <w:t xml:space="preserve"> </w:t>
      </w:r>
      <w:r>
        <w:rPr>
          <w:sz w:val="20"/>
        </w:rPr>
        <w:t>graves</w:t>
      </w:r>
      <w:r>
        <w:rPr>
          <w:spacing w:val="-7"/>
          <w:sz w:val="20"/>
        </w:rPr>
        <w:t xml:space="preserve"> </w:t>
      </w:r>
      <w:r>
        <w:rPr>
          <w:sz w:val="20"/>
        </w:rPr>
        <w:t>y</w:t>
      </w:r>
      <w:r>
        <w:rPr>
          <w:spacing w:val="-4"/>
          <w:sz w:val="20"/>
        </w:rPr>
        <w:t xml:space="preserve"> </w:t>
      </w:r>
      <w:r>
        <w:rPr>
          <w:sz w:val="20"/>
        </w:rPr>
        <w:t>eventuales</w:t>
      </w:r>
      <w:r>
        <w:rPr>
          <w:spacing w:val="-7"/>
          <w:sz w:val="20"/>
        </w:rPr>
        <w:t xml:space="preserve"> </w:t>
      </w:r>
      <w:r>
        <w:rPr>
          <w:sz w:val="20"/>
        </w:rPr>
        <w:t>violaciones</w:t>
      </w:r>
      <w:r>
        <w:rPr>
          <w:spacing w:val="-7"/>
          <w:sz w:val="20"/>
        </w:rPr>
        <w:t xml:space="preserve"> </w:t>
      </w:r>
      <w:r>
        <w:rPr>
          <w:sz w:val="20"/>
        </w:rPr>
        <w:t>y</w:t>
      </w:r>
      <w:r>
        <w:rPr>
          <w:spacing w:val="-4"/>
          <w:sz w:val="20"/>
        </w:rPr>
        <w:t xml:space="preserve"> </w:t>
      </w:r>
      <w:r>
        <w:rPr>
          <w:sz w:val="20"/>
        </w:rPr>
        <w:t>restricciones</w:t>
      </w:r>
      <w:r>
        <w:rPr>
          <w:spacing w:val="-7"/>
          <w:sz w:val="20"/>
        </w:rPr>
        <w:t xml:space="preserve"> </w:t>
      </w:r>
      <w:r>
        <w:rPr>
          <w:sz w:val="20"/>
        </w:rPr>
        <w:t>a</w:t>
      </w:r>
      <w:r>
        <w:rPr>
          <w:spacing w:val="-5"/>
          <w:sz w:val="20"/>
        </w:rPr>
        <w:t xml:space="preserve"> </w:t>
      </w:r>
      <w:r>
        <w:rPr>
          <w:sz w:val="20"/>
        </w:rPr>
        <w:t>los derechos económicos, sociales, culturales y ambientales, con lo que se vulneraría el principio de progresividad y no regresividad en materia de DESCA. Al respecto, y si se quiere evitar estas conductas inconvencionales, se deberá tener en</w:t>
      </w:r>
      <w:r>
        <w:rPr>
          <w:spacing w:val="-38"/>
          <w:sz w:val="20"/>
        </w:rPr>
        <w:t xml:space="preserve"> </w:t>
      </w:r>
      <w:r>
        <w:rPr>
          <w:sz w:val="20"/>
        </w:rPr>
        <w:t>consideración</w:t>
      </w:r>
      <w:r>
        <w:rPr>
          <w:sz w:val="20"/>
        </w:rPr>
        <w:t xml:space="preserve"> que</w:t>
      </w:r>
      <w:r>
        <w:rPr>
          <w:spacing w:val="-7"/>
          <w:sz w:val="20"/>
        </w:rPr>
        <w:t xml:space="preserve"> </w:t>
      </w:r>
      <w:r>
        <w:rPr>
          <w:sz w:val="20"/>
        </w:rPr>
        <w:t>una</w:t>
      </w:r>
      <w:r>
        <w:rPr>
          <w:spacing w:val="-4"/>
          <w:sz w:val="20"/>
        </w:rPr>
        <w:t xml:space="preserve"> </w:t>
      </w:r>
      <w:r>
        <w:rPr>
          <w:sz w:val="20"/>
        </w:rPr>
        <w:t>de</w:t>
      </w:r>
      <w:r>
        <w:rPr>
          <w:spacing w:val="-7"/>
          <w:sz w:val="20"/>
        </w:rPr>
        <w:t xml:space="preserve"> </w:t>
      </w:r>
      <w:r>
        <w:rPr>
          <w:sz w:val="20"/>
        </w:rPr>
        <w:t>las</w:t>
      </w:r>
      <w:r>
        <w:rPr>
          <w:spacing w:val="-3"/>
          <w:sz w:val="20"/>
        </w:rPr>
        <w:t xml:space="preserve"> </w:t>
      </w:r>
      <w:r>
        <w:rPr>
          <w:sz w:val="20"/>
        </w:rPr>
        <w:t>categorías</w:t>
      </w:r>
      <w:r>
        <w:rPr>
          <w:spacing w:val="-4"/>
          <w:sz w:val="20"/>
        </w:rPr>
        <w:t xml:space="preserve"> </w:t>
      </w:r>
      <w:r>
        <w:rPr>
          <w:sz w:val="20"/>
        </w:rPr>
        <w:t>conceptuales</w:t>
      </w:r>
      <w:r>
        <w:rPr>
          <w:spacing w:val="-3"/>
          <w:sz w:val="20"/>
        </w:rPr>
        <w:t xml:space="preserve"> </w:t>
      </w:r>
      <w:r>
        <w:rPr>
          <w:sz w:val="20"/>
        </w:rPr>
        <w:t>de</w:t>
      </w:r>
      <w:r>
        <w:rPr>
          <w:spacing w:val="-6"/>
          <w:sz w:val="20"/>
        </w:rPr>
        <w:t xml:space="preserve"> </w:t>
      </w:r>
      <w:r>
        <w:rPr>
          <w:sz w:val="20"/>
        </w:rPr>
        <w:t>los</w:t>
      </w:r>
      <w:r>
        <w:rPr>
          <w:spacing w:val="-4"/>
          <w:sz w:val="20"/>
        </w:rPr>
        <w:t xml:space="preserve"> </w:t>
      </w:r>
      <w:r>
        <w:rPr>
          <w:sz w:val="20"/>
        </w:rPr>
        <w:t>indicadores</w:t>
      </w:r>
      <w:r>
        <w:rPr>
          <w:spacing w:val="-3"/>
          <w:sz w:val="20"/>
        </w:rPr>
        <w:t xml:space="preserve"> </w:t>
      </w:r>
      <w:r>
        <w:rPr>
          <w:sz w:val="20"/>
        </w:rPr>
        <w:t>de</w:t>
      </w:r>
      <w:r>
        <w:rPr>
          <w:spacing w:val="-4"/>
          <w:sz w:val="20"/>
        </w:rPr>
        <w:t xml:space="preserve"> </w:t>
      </w:r>
      <w:r>
        <w:rPr>
          <w:sz w:val="20"/>
        </w:rPr>
        <w:t>progreso</w:t>
      </w:r>
      <w:r>
        <w:rPr>
          <w:spacing w:val="-1"/>
          <w:sz w:val="20"/>
        </w:rPr>
        <w:t xml:space="preserve"> </w:t>
      </w:r>
      <w:r>
        <w:rPr>
          <w:sz w:val="20"/>
        </w:rPr>
        <w:t>usados</w:t>
      </w:r>
      <w:r>
        <w:rPr>
          <w:spacing w:val="-4"/>
          <w:sz w:val="20"/>
        </w:rPr>
        <w:t xml:space="preserve"> </w:t>
      </w:r>
      <w:r>
        <w:rPr>
          <w:sz w:val="20"/>
        </w:rPr>
        <w:t>por</w:t>
      </w:r>
      <w:r>
        <w:rPr>
          <w:spacing w:val="-5"/>
          <w:sz w:val="20"/>
        </w:rPr>
        <w:t xml:space="preserve"> </w:t>
      </w:r>
      <w:r>
        <w:rPr>
          <w:sz w:val="20"/>
        </w:rPr>
        <w:t>la Asamblea</w:t>
      </w:r>
      <w:r>
        <w:rPr>
          <w:spacing w:val="-5"/>
          <w:sz w:val="20"/>
        </w:rPr>
        <w:t xml:space="preserve"> </w:t>
      </w:r>
      <w:r>
        <w:rPr>
          <w:sz w:val="20"/>
        </w:rPr>
        <w:t>General</w:t>
      </w:r>
      <w:r>
        <w:rPr>
          <w:spacing w:val="-6"/>
          <w:sz w:val="20"/>
        </w:rPr>
        <w:t xml:space="preserve"> </w:t>
      </w:r>
      <w:r>
        <w:rPr>
          <w:sz w:val="20"/>
        </w:rPr>
        <w:t>de</w:t>
      </w:r>
      <w:r>
        <w:rPr>
          <w:spacing w:val="-7"/>
          <w:sz w:val="20"/>
        </w:rPr>
        <w:t xml:space="preserve"> </w:t>
      </w:r>
      <w:r>
        <w:rPr>
          <w:sz w:val="20"/>
        </w:rPr>
        <w:t>la</w:t>
      </w:r>
      <w:r>
        <w:rPr>
          <w:spacing w:val="-4"/>
          <w:sz w:val="20"/>
        </w:rPr>
        <w:t xml:space="preserve"> </w:t>
      </w:r>
      <w:r>
        <w:rPr>
          <w:sz w:val="20"/>
        </w:rPr>
        <w:t>OEA</w:t>
      </w:r>
      <w:r>
        <w:rPr>
          <w:spacing w:val="-6"/>
          <w:sz w:val="20"/>
        </w:rPr>
        <w:t xml:space="preserve"> </w:t>
      </w:r>
      <w:r>
        <w:rPr>
          <w:sz w:val="20"/>
        </w:rPr>
        <w:t>para</w:t>
      </w:r>
      <w:r>
        <w:rPr>
          <w:spacing w:val="-6"/>
          <w:sz w:val="20"/>
        </w:rPr>
        <w:t xml:space="preserve"> </w:t>
      </w:r>
      <w:r>
        <w:rPr>
          <w:sz w:val="20"/>
        </w:rPr>
        <w:t>medir</w:t>
      </w:r>
      <w:r>
        <w:rPr>
          <w:spacing w:val="-8"/>
          <w:sz w:val="20"/>
        </w:rPr>
        <w:t xml:space="preserve"> </w:t>
      </w:r>
      <w:r>
        <w:rPr>
          <w:sz w:val="20"/>
        </w:rPr>
        <w:t>la</w:t>
      </w:r>
      <w:r>
        <w:rPr>
          <w:spacing w:val="-4"/>
          <w:sz w:val="20"/>
        </w:rPr>
        <w:t xml:space="preserve"> </w:t>
      </w:r>
      <w:r>
        <w:rPr>
          <w:sz w:val="20"/>
        </w:rPr>
        <w:t>realización</w:t>
      </w:r>
      <w:r>
        <w:rPr>
          <w:spacing w:val="-5"/>
          <w:sz w:val="20"/>
        </w:rPr>
        <w:t xml:space="preserve"> </w:t>
      </w:r>
      <w:r>
        <w:rPr>
          <w:sz w:val="20"/>
        </w:rPr>
        <w:t>de</w:t>
      </w:r>
      <w:r>
        <w:rPr>
          <w:spacing w:val="-5"/>
          <w:sz w:val="20"/>
        </w:rPr>
        <w:t xml:space="preserve"> </w:t>
      </w:r>
      <w:r>
        <w:rPr>
          <w:sz w:val="20"/>
        </w:rPr>
        <w:t>los</w:t>
      </w:r>
      <w:r>
        <w:rPr>
          <w:spacing w:val="-5"/>
          <w:sz w:val="20"/>
        </w:rPr>
        <w:t xml:space="preserve"> </w:t>
      </w:r>
      <w:r>
        <w:rPr>
          <w:sz w:val="20"/>
        </w:rPr>
        <w:t>derechos</w:t>
      </w:r>
      <w:r>
        <w:rPr>
          <w:spacing w:val="-5"/>
          <w:sz w:val="20"/>
        </w:rPr>
        <w:t xml:space="preserve"> </w:t>
      </w:r>
      <w:r>
        <w:rPr>
          <w:sz w:val="20"/>
        </w:rPr>
        <w:t>contemplados en el Protocolo de San Salvador justamente incluye el contexto financiero básico y los compromisos presupuestarios del Estado. Los indicadores contenidos en esta categoría permiten evaluar la disponibilidad efectiva de recursos del Estado para</w:t>
      </w:r>
      <w:r>
        <w:rPr>
          <w:sz w:val="20"/>
        </w:rPr>
        <w:t xml:space="preserve"> ejecutar</w:t>
      </w:r>
      <w:r>
        <w:rPr>
          <w:spacing w:val="-15"/>
          <w:sz w:val="20"/>
        </w:rPr>
        <w:t xml:space="preserve"> </w:t>
      </w:r>
      <w:r>
        <w:rPr>
          <w:sz w:val="20"/>
        </w:rPr>
        <w:t>el</w:t>
      </w:r>
      <w:r>
        <w:rPr>
          <w:spacing w:val="-13"/>
          <w:sz w:val="20"/>
        </w:rPr>
        <w:t xml:space="preserve"> </w:t>
      </w:r>
      <w:r>
        <w:rPr>
          <w:sz w:val="20"/>
        </w:rPr>
        <w:t>Gasto</w:t>
      </w:r>
      <w:r>
        <w:rPr>
          <w:spacing w:val="-14"/>
          <w:sz w:val="20"/>
        </w:rPr>
        <w:t xml:space="preserve"> </w:t>
      </w:r>
      <w:r>
        <w:rPr>
          <w:sz w:val="20"/>
        </w:rPr>
        <w:t>Público</w:t>
      </w:r>
      <w:r>
        <w:rPr>
          <w:spacing w:val="-16"/>
          <w:sz w:val="20"/>
        </w:rPr>
        <w:t xml:space="preserve"> </w:t>
      </w:r>
      <w:r>
        <w:rPr>
          <w:sz w:val="20"/>
        </w:rPr>
        <w:t>Social,</w:t>
      </w:r>
      <w:r>
        <w:rPr>
          <w:spacing w:val="-12"/>
          <w:sz w:val="20"/>
        </w:rPr>
        <w:t xml:space="preserve"> </w:t>
      </w:r>
      <w:r>
        <w:rPr>
          <w:sz w:val="20"/>
        </w:rPr>
        <w:t>entre</w:t>
      </w:r>
      <w:r>
        <w:rPr>
          <w:spacing w:val="-12"/>
          <w:sz w:val="20"/>
        </w:rPr>
        <w:t xml:space="preserve"> </w:t>
      </w:r>
      <w:r>
        <w:rPr>
          <w:sz w:val="20"/>
        </w:rPr>
        <w:t>otros</w:t>
      </w:r>
      <w:hyperlink w:anchor="_bookmark548" w:history="1">
        <w:r>
          <w:rPr>
            <w:position w:val="6"/>
            <w:sz w:val="12"/>
          </w:rPr>
          <w:t>36</w:t>
        </w:r>
      </w:hyperlink>
      <w:r>
        <w:rPr>
          <w:sz w:val="20"/>
        </w:rPr>
        <w:t>;</w:t>
      </w:r>
      <w:r>
        <w:rPr>
          <w:spacing w:val="-14"/>
          <w:sz w:val="20"/>
        </w:rPr>
        <w:t xml:space="preserve"> </w:t>
      </w:r>
      <w:r>
        <w:rPr>
          <w:sz w:val="20"/>
        </w:rPr>
        <w:t>instrumentos</w:t>
      </w:r>
      <w:r>
        <w:rPr>
          <w:spacing w:val="-14"/>
          <w:sz w:val="20"/>
        </w:rPr>
        <w:t xml:space="preserve"> </w:t>
      </w:r>
      <w:r>
        <w:rPr>
          <w:sz w:val="20"/>
        </w:rPr>
        <w:t>que,</w:t>
      </w:r>
      <w:r>
        <w:rPr>
          <w:spacing w:val="-13"/>
          <w:sz w:val="20"/>
        </w:rPr>
        <w:t xml:space="preserve"> </w:t>
      </w:r>
      <w:r>
        <w:rPr>
          <w:sz w:val="20"/>
        </w:rPr>
        <w:t>consecuentemente, deberán ser tomados en cuenta para evitar que los Estados Parte incurran en las violaciones antes</w:t>
      </w:r>
      <w:r>
        <w:rPr>
          <w:spacing w:val="1"/>
          <w:sz w:val="20"/>
        </w:rPr>
        <w:t xml:space="preserve"> </w:t>
      </w:r>
      <w:r>
        <w:rPr>
          <w:sz w:val="20"/>
        </w:rPr>
        <w:t>advertidas.</w:t>
      </w:r>
    </w:p>
    <w:p w14:paraId="3EF27C47" w14:textId="77777777" w:rsidR="00467FCA" w:rsidRDefault="00467FCA">
      <w:pPr>
        <w:pStyle w:val="Textoindependiente"/>
      </w:pPr>
    </w:p>
    <w:p w14:paraId="77968E80" w14:textId="77777777" w:rsidR="00467FCA" w:rsidRDefault="001B68EB">
      <w:pPr>
        <w:pStyle w:val="Prrafodelista"/>
        <w:numPr>
          <w:ilvl w:val="0"/>
          <w:numId w:val="32"/>
        </w:numPr>
        <w:tabs>
          <w:tab w:val="left" w:pos="810"/>
        </w:tabs>
        <w:ind w:right="116" w:firstLine="0"/>
        <w:jc w:val="both"/>
        <w:rPr>
          <w:sz w:val="20"/>
        </w:rPr>
      </w:pPr>
      <w:r>
        <w:rPr>
          <w:sz w:val="20"/>
        </w:rPr>
        <w:t>En atención a lo expuesto, urge manifestar mi preocupación respecto a la posible utilización de una lectura o interpretación literal de la EC/95, cuyas connotaciones puedan constituirse en un óbice o argumentación para evadir el cumplimiento de las medidas</w:t>
      </w:r>
      <w:r>
        <w:rPr>
          <w:sz w:val="20"/>
        </w:rPr>
        <w:t xml:space="preserve"> de reparación ordenadas en la Sentencia. Al respecto, quiero recalcar que, en virtud de las obligaciones internacionales adquiridas por el Estado, este no puede alegar la EC/95 como un obstáculo, especialmente para el cumplimiento de la medida de reparaci</w:t>
      </w:r>
      <w:r>
        <w:rPr>
          <w:sz w:val="20"/>
        </w:rPr>
        <w:t>ón referida a la creación y puesta en marcha del programa socioeconómico ordenado en la sentencia. Manifiesto y expongo esta preocupación, teniendo en cuenta que dicho programa necesitará la inversión considerable de recursos públicos, toda vez que se trat</w:t>
      </w:r>
      <w:r>
        <w:rPr>
          <w:sz w:val="20"/>
        </w:rPr>
        <w:t>a de una política estructural, cuyo principal objetivo es permitir que la población vulnerable de Santo Antônio de Jesus pueda acceder a otros mercados laborales. Ello, además, sin perjuicio de los eventuales impactos que, en materia de prohibición de regr</w:t>
      </w:r>
      <w:r>
        <w:rPr>
          <w:sz w:val="20"/>
        </w:rPr>
        <w:t>esividad, puede llegar a tener la implementación de las disposiciones contenidas en la</w:t>
      </w:r>
      <w:r>
        <w:rPr>
          <w:spacing w:val="-15"/>
          <w:sz w:val="20"/>
        </w:rPr>
        <w:t xml:space="preserve"> </w:t>
      </w:r>
      <w:r>
        <w:rPr>
          <w:sz w:val="20"/>
        </w:rPr>
        <w:t>EC/95.</w:t>
      </w:r>
    </w:p>
    <w:p w14:paraId="65E5B51E" w14:textId="77777777" w:rsidR="00467FCA" w:rsidRDefault="00467FCA">
      <w:pPr>
        <w:pStyle w:val="Textoindependiente"/>
      </w:pPr>
    </w:p>
    <w:p w14:paraId="38621A0A" w14:textId="77777777" w:rsidR="00467FCA" w:rsidRDefault="001B68EB">
      <w:pPr>
        <w:pStyle w:val="Prrafodelista"/>
        <w:numPr>
          <w:ilvl w:val="0"/>
          <w:numId w:val="32"/>
        </w:numPr>
        <w:tabs>
          <w:tab w:val="left" w:pos="811"/>
        </w:tabs>
        <w:ind w:left="102" w:right="115" w:firstLine="0"/>
        <w:jc w:val="both"/>
        <w:rPr>
          <w:sz w:val="20"/>
        </w:rPr>
      </w:pPr>
      <w:r>
        <w:rPr>
          <w:sz w:val="20"/>
        </w:rPr>
        <w:t>Tomando en cuenta las consideraciones previamente expuestas, es imprescindible que el Estado de Brasil, con el propósito de dar cumplimiento a</w:t>
      </w:r>
      <w:r>
        <w:rPr>
          <w:spacing w:val="7"/>
          <w:sz w:val="20"/>
        </w:rPr>
        <w:t xml:space="preserve"> </w:t>
      </w:r>
      <w:r>
        <w:rPr>
          <w:sz w:val="20"/>
        </w:rPr>
        <w:t>las</w:t>
      </w:r>
    </w:p>
    <w:p w14:paraId="268DB8D1" w14:textId="77777777" w:rsidR="00467FCA" w:rsidRDefault="001B68EB">
      <w:pPr>
        <w:pStyle w:val="Textoindependiente"/>
        <w:spacing w:before="8"/>
        <w:rPr>
          <w:sz w:val="23"/>
        </w:rPr>
      </w:pPr>
      <w:r>
        <w:pict w14:anchorId="52649910">
          <v:shape id="_x0000_s1106" style="position:absolute;margin-left:85.1pt;margin-top:16.65pt;width:2in;height:.1pt;z-index:-251566080;mso-wrap-distance-left:0;mso-wrap-distance-right:0;mso-position-horizontal-relative:page" coordorigin="1702,333" coordsize="2880,0" path="m1702,333r2880,e" filled="f" strokeweight=".6pt">
            <v:path arrowok="t"/>
            <w10:wrap type="topAndBottom" anchorx="page"/>
          </v:shape>
        </w:pict>
      </w:r>
    </w:p>
    <w:p w14:paraId="25F7F2D5" w14:textId="77777777" w:rsidR="00467FCA" w:rsidRDefault="001B68EB">
      <w:pPr>
        <w:tabs>
          <w:tab w:val="left" w:pos="809"/>
        </w:tabs>
        <w:spacing w:before="74"/>
        <w:ind w:left="101"/>
        <w:jc w:val="both"/>
        <w:rPr>
          <w:sz w:val="16"/>
        </w:rPr>
      </w:pPr>
      <w:bookmarkStart w:id="624" w:name="_bookmark546"/>
      <w:bookmarkEnd w:id="624"/>
      <w:r>
        <w:rPr>
          <w:position w:val="6"/>
          <w:sz w:val="10"/>
        </w:rPr>
        <w:t>34</w:t>
      </w:r>
      <w:r>
        <w:rPr>
          <w:position w:val="6"/>
          <w:sz w:val="10"/>
        </w:rPr>
        <w:tab/>
      </w:r>
      <w:r>
        <w:rPr>
          <w:i/>
          <w:sz w:val="16"/>
        </w:rPr>
        <w:t xml:space="preserve">Cfr. </w:t>
      </w:r>
      <w:r>
        <w:rPr>
          <w:sz w:val="16"/>
        </w:rPr>
        <w:t>Convención Americana, Artículo 1, y Protocolo de San Salvador, Artículo</w:t>
      </w:r>
      <w:r>
        <w:rPr>
          <w:spacing w:val="-13"/>
          <w:sz w:val="16"/>
        </w:rPr>
        <w:t xml:space="preserve"> </w:t>
      </w:r>
      <w:r>
        <w:rPr>
          <w:sz w:val="16"/>
        </w:rPr>
        <w:t>1.</w:t>
      </w:r>
    </w:p>
    <w:p w14:paraId="342BA51B" w14:textId="77777777" w:rsidR="00467FCA" w:rsidRDefault="001B68EB">
      <w:pPr>
        <w:tabs>
          <w:tab w:val="left" w:pos="809"/>
        </w:tabs>
        <w:ind w:left="101"/>
        <w:jc w:val="both"/>
        <w:rPr>
          <w:sz w:val="16"/>
        </w:rPr>
      </w:pPr>
      <w:bookmarkStart w:id="625" w:name="_bookmark547"/>
      <w:bookmarkEnd w:id="625"/>
      <w:r>
        <w:rPr>
          <w:position w:val="6"/>
          <w:sz w:val="10"/>
        </w:rPr>
        <w:t>35</w:t>
      </w:r>
      <w:r>
        <w:rPr>
          <w:position w:val="6"/>
          <w:sz w:val="10"/>
        </w:rPr>
        <w:tab/>
      </w:r>
      <w:bookmarkStart w:id="626" w:name="_bookmark548"/>
      <w:bookmarkEnd w:id="626"/>
      <w:r>
        <w:rPr>
          <w:i/>
          <w:sz w:val="16"/>
        </w:rPr>
        <w:t xml:space="preserve">Cfr. </w:t>
      </w:r>
      <w:r>
        <w:rPr>
          <w:sz w:val="16"/>
        </w:rPr>
        <w:t>Convención Americana, Artículos 33.b), 62 y</w:t>
      </w:r>
      <w:r>
        <w:rPr>
          <w:spacing w:val="-7"/>
          <w:sz w:val="16"/>
        </w:rPr>
        <w:t xml:space="preserve"> </w:t>
      </w:r>
      <w:r>
        <w:rPr>
          <w:sz w:val="16"/>
        </w:rPr>
        <w:t>63.</w:t>
      </w:r>
    </w:p>
    <w:p w14:paraId="0969BA7A" w14:textId="77777777" w:rsidR="00467FCA" w:rsidRDefault="001B68EB">
      <w:pPr>
        <w:tabs>
          <w:tab w:val="left" w:pos="809"/>
        </w:tabs>
        <w:ind w:left="101" w:right="113"/>
        <w:jc w:val="both"/>
        <w:rPr>
          <w:sz w:val="16"/>
        </w:rPr>
      </w:pPr>
      <w:r>
        <w:rPr>
          <w:position w:val="6"/>
          <w:sz w:val="10"/>
        </w:rPr>
        <w:t>36</w:t>
      </w:r>
      <w:r>
        <w:rPr>
          <w:position w:val="6"/>
          <w:sz w:val="10"/>
        </w:rPr>
        <w:tab/>
      </w:r>
      <w:r>
        <w:rPr>
          <w:i/>
          <w:sz w:val="16"/>
        </w:rPr>
        <w:t>Cfr.</w:t>
      </w:r>
      <w:r>
        <w:rPr>
          <w:i/>
          <w:spacing w:val="-7"/>
          <w:sz w:val="16"/>
        </w:rPr>
        <w:t xml:space="preserve"> </w:t>
      </w:r>
      <w:r>
        <w:rPr>
          <w:sz w:val="16"/>
        </w:rPr>
        <w:t>OEA,</w:t>
      </w:r>
      <w:r>
        <w:rPr>
          <w:spacing w:val="-7"/>
          <w:sz w:val="16"/>
        </w:rPr>
        <w:t xml:space="preserve"> </w:t>
      </w:r>
      <w:r>
        <w:rPr>
          <w:sz w:val="16"/>
        </w:rPr>
        <w:t>“Aprobación</w:t>
      </w:r>
      <w:r>
        <w:rPr>
          <w:spacing w:val="-8"/>
          <w:sz w:val="16"/>
        </w:rPr>
        <w:t xml:space="preserve"> </w:t>
      </w:r>
      <w:r>
        <w:rPr>
          <w:sz w:val="16"/>
        </w:rPr>
        <w:t>de</w:t>
      </w:r>
      <w:r>
        <w:rPr>
          <w:spacing w:val="-8"/>
          <w:sz w:val="16"/>
        </w:rPr>
        <w:t xml:space="preserve"> </w:t>
      </w:r>
      <w:r>
        <w:rPr>
          <w:sz w:val="16"/>
        </w:rPr>
        <w:t>indicadores</w:t>
      </w:r>
      <w:r>
        <w:rPr>
          <w:spacing w:val="-7"/>
          <w:sz w:val="16"/>
        </w:rPr>
        <w:t xml:space="preserve"> </w:t>
      </w:r>
      <w:r>
        <w:rPr>
          <w:sz w:val="16"/>
        </w:rPr>
        <w:t>de</w:t>
      </w:r>
      <w:r>
        <w:rPr>
          <w:spacing w:val="-8"/>
          <w:sz w:val="16"/>
        </w:rPr>
        <w:t xml:space="preserve"> </w:t>
      </w:r>
      <w:r>
        <w:rPr>
          <w:sz w:val="16"/>
        </w:rPr>
        <w:t>progreso</w:t>
      </w:r>
      <w:r>
        <w:rPr>
          <w:spacing w:val="-7"/>
          <w:sz w:val="16"/>
        </w:rPr>
        <w:t xml:space="preserve"> </w:t>
      </w:r>
      <w:r>
        <w:rPr>
          <w:sz w:val="16"/>
        </w:rPr>
        <w:t>para</w:t>
      </w:r>
      <w:r>
        <w:rPr>
          <w:spacing w:val="-9"/>
          <w:sz w:val="16"/>
        </w:rPr>
        <w:t xml:space="preserve"> </w:t>
      </w:r>
      <w:r>
        <w:rPr>
          <w:sz w:val="16"/>
        </w:rPr>
        <w:t>medición</w:t>
      </w:r>
      <w:r>
        <w:rPr>
          <w:spacing w:val="-6"/>
          <w:sz w:val="16"/>
        </w:rPr>
        <w:t xml:space="preserve"> </w:t>
      </w:r>
      <w:r>
        <w:rPr>
          <w:sz w:val="16"/>
        </w:rPr>
        <w:t>de</w:t>
      </w:r>
      <w:r>
        <w:rPr>
          <w:spacing w:val="-8"/>
          <w:sz w:val="16"/>
        </w:rPr>
        <w:t xml:space="preserve"> </w:t>
      </w:r>
      <w:r>
        <w:rPr>
          <w:sz w:val="16"/>
        </w:rPr>
        <w:t>derechos</w:t>
      </w:r>
      <w:r>
        <w:rPr>
          <w:spacing w:val="-5"/>
          <w:sz w:val="16"/>
        </w:rPr>
        <w:t xml:space="preserve"> </w:t>
      </w:r>
      <w:r>
        <w:rPr>
          <w:sz w:val="16"/>
        </w:rPr>
        <w:t>contemplados</w:t>
      </w:r>
      <w:r>
        <w:rPr>
          <w:spacing w:val="-6"/>
          <w:sz w:val="16"/>
        </w:rPr>
        <w:t xml:space="preserve"> </w:t>
      </w:r>
      <w:r>
        <w:rPr>
          <w:sz w:val="16"/>
        </w:rPr>
        <w:t>en</w:t>
      </w:r>
      <w:r>
        <w:rPr>
          <w:spacing w:val="-9"/>
          <w:sz w:val="16"/>
        </w:rPr>
        <w:t xml:space="preserve"> </w:t>
      </w:r>
      <w:r>
        <w:rPr>
          <w:sz w:val="16"/>
        </w:rPr>
        <w:t>el Protocolo</w:t>
      </w:r>
      <w:r>
        <w:rPr>
          <w:spacing w:val="-9"/>
          <w:sz w:val="16"/>
        </w:rPr>
        <w:t xml:space="preserve"> </w:t>
      </w:r>
      <w:r>
        <w:rPr>
          <w:sz w:val="16"/>
        </w:rPr>
        <w:t>de</w:t>
      </w:r>
      <w:r>
        <w:rPr>
          <w:spacing w:val="-10"/>
          <w:sz w:val="16"/>
        </w:rPr>
        <w:t xml:space="preserve"> </w:t>
      </w:r>
      <w:r>
        <w:rPr>
          <w:sz w:val="16"/>
        </w:rPr>
        <w:t>San</w:t>
      </w:r>
      <w:r>
        <w:rPr>
          <w:spacing w:val="-11"/>
          <w:sz w:val="16"/>
        </w:rPr>
        <w:t xml:space="preserve"> </w:t>
      </w:r>
      <w:r>
        <w:rPr>
          <w:sz w:val="16"/>
        </w:rPr>
        <w:t>Salvad</w:t>
      </w:r>
      <w:r>
        <w:rPr>
          <w:sz w:val="16"/>
        </w:rPr>
        <w:t>or”,</w:t>
      </w:r>
      <w:r>
        <w:rPr>
          <w:spacing w:val="-11"/>
          <w:sz w:val="16"/>
        </w:rPr>
        <w:t xml:space="preserve"> </w:t>
      </w:r>
      <w:r>
        <w:rPr>
          <w:sz w:val="16"/>
        </w:rPr>
        <w:t>resolución</w:t>
      </w:r>
      <w:r>
        <w:rPr>
          <w:spacing w:val="-10"/>
          <w:sz w:val="16"/>
        </w:rPr>
        <w:t xml:space="preserve"> </w:t>
      </w:r>
      <w:r>
        <w:rPr>
          <w:sz w:val="16"/>
        </w:rPr>
        <w:t>AG/RES.</w:t>
      </w:r>
      <w:r>
        <w:rPr>
          <w:spacing w:val="-11"/>
          <w:sz w:val="16"/>
        </w:rPr>
        <w:t xml:space="preserve"> </w:t>
      </w:r>
      <w:r>
        <w:rPr>
          <w:sz w:val="16"/>
        </w:rPr>
        <w:t>2713</w:t>
      </w:r>
      <w:r>
        <w:rPr>
          <w:spacing w:val="-9"/>
          <w:sz w:val="16"/>
        </w:rPr>
        <w:t xml:space="preserve"> </w:t>
      </w:r>
      <w:r>
        <w:rPr>
          <w:sz w:val="16"/>
        </w:rPr>
        <w:t>(XLII-O/12)</w:t>
      </w:r>
      <w:r>
        <w:rPr>
          <w:spacing w:val="-11"/>
          <w:sz w:val="16"/>
        </w:rPr>
        <w:t xml:space="preserve"> </w:t>
      </w:r>
      <w:r>
        <w:rPr>
          <w:sz w:val="16"/>
        </w:rPr>
        <w:t>aprobada</w:t>
      </w:r>
      <w:r>
        <w:rPr>
          <w:spacing w:val="-9"/>
          <w:sz w:val="16"/>
        </w:rPr>
        <w:t xml:space="preserve"> </w:t>
      </w:r>
      <w:r>
        <w:rPr>
          <w:sz w:val="16"/>
        </w:rPr>
        <w:t>en</w:t>
      </w:r>
      <w:r>
        <w:rPr>
          <w:spacing w:val="-8"/>
          <w:sz w:val="16"/>
        </w:rPr>
        <w:t xml:space="preserve"> </w:t>
      </w:r>
      <w:r>
        <w:rPr>
          <w:sz w:val="16"/>
        </w:rPr>
        <w:t>la</w:t>
      </w:r>
      <w:r>
        <w:rPr>
          <w:spacing w:val="-10"/>
          <w:sz w:val="16"/>
        </w:rPr>
        <w:t xml:space="preserve"> </w:t>
      </w:r>
      <w:r>
        <w:rPr>
          <w:sz w:val="16"/>
        </w:rPr>
        <w:t>segunda</w:t>
      </w:r>
      <w:r>
        <w:rPr>
          <w:spacing w:val="-10"/>
          <w:sz w:val="16"/>
        </w:rPr>
        <w:t xml:space="preserve"> </w:t>
      </w:r>
      <w:r>
        <w:rPr>
          <w:sz w:val="16"/>
        </w:rPr>
        <w:t>sesión</w:t>
      </w:r>
      <w:r>
        <w:rPr>
          <w:spacing w:val="-7"/>
          <w:sz w:val="16"/>
        </w:rPr>
        <w:t xml:space="preserve"> </w:t>
      </w:r>
      <w:r>
        <w:rPr>
          <w:sz w:val="16"/>
        </w:rPr>
        <w:t xml:space="preserve">plenaria de 4 de junio de 2012, Punto 1 de la resolución, disponible en: </w:t>
      </w:r>
      <w:hyperlink r:id="rId56">
        <w:r>
          <w:rPr>
            <w:color w:val="0562C1"/>
            <w:sz w:val="16"/>
            <w:u w:val="single" w:color="0562C1"/>
          </w:rPr>
          <w:t>http:</w:t>
        </w:r>
        <w:r>
          <w:rPr>
            <w:color w:val="0562C1"/>
            <w:sz w:val="16"/>
            <w:u w:val="single" w:color="0562C1"/>
          </w:rPr>
          <w:t>//www.oas.org/es/sadye/inclusion-</w:t>
        </w:r>
      </w:hyperlink>
      <w:r>
        <w:rPr>
          <w:color w:val="0562C1"/>
          <w:sz w:val="16"/>
        </w:rPr>
        <w:t xml:space="preserve"> </w:t>
      </w:r>
      <w:hyperlink r:id="rId57">
        <w:r>
          <w:rPr>
            <w:color w:val="0562C1"/>
            <w:sz w:val="16"/>
            <w:u w:val="single" w:color="0562C1"/>
          </w:rPr>
          <w:t>social/protocolo-ssv/docs/pssv-indicadores-es.pdf</w:t>
        </w:r>
      </w:hyperlink>
      <w:r>
        <w:rPr>
          <w:sz w:val="16"/>
        </w:rPr>
        <w:t>.</w:t>
      </w:r>
    </w:p>
    <w:p w14:paraId="3823A09B" w14:textId="77777777" w:rsidR="00467FCA" w:rsidRDefault="00467FCA">
      <w:pPr>
        <w:jc w:val="both"/>
        <w:rPr>
          <w:sz w:val="16"/>
        </w:rPr>
        <w:sectPr w:rsidR="00467FCA">
          <w:footerReference w:type="default" r:id="rId58"/>
          <w:pgSz w:w="11900" w:h="16850"/>
          <w:pgMar w:top="1340" w:right="1580" w:bottom="280" w:left="1600" w:header="0" w:footer="0" w:gutter="0"/>
          <w:cols w:space="720"/>
        </w:sectPr>
      </w:pPr>
    </w:p>
    <w:p w14:paraId="49D51C52" w14:textId="77777777" w:rsidR="00467FCA" w:rsidRPr="00AF39D7" w:rsidRDefault="001B68EB">
      <w:pPr>
        <w:pStyle w:val="Textoindependiente"/>
        <w:spacing w:before="75"/>
        <w:ind w:left="101" w:right="117"/>
        <w:jc w:val="both"/>
        <w:rPr>
          <w:lang w:val="es-AR"/>
        </w:rPr>
      </w:pPr>
      <w:r w:rsidRPr="00AF39D7">
        <w:rPr>
          <w:lang w:val="es-AR"/>
        </w:rPr>
        <w:t>medidas de reparación, deberá garantizar la aplicación de los principios de progresividad y no regresividad, desde una interpretación conforme con la Convención Americana sobre los Derechos Humanos y con aplicación del Control de Convencionalidad, a la luz</w:t>
      </w:r>
      <w:r w:rsidRPr="00AF39D7">
        <w:rPr>
          <w:lang w:val="es-AR"/>
        </w:rPr>
        <w:t xml:space="preserve"> de la jurisprudencia de este Tribunal internacional, donde claramente</w:t>
      </w:r>
      <w:r w:rsidRPr="00AF39D7">
        <w:rPr>
          <w:spacing w:val="-18"/>
          <w:lang w:val="es-AR"/>
        </w:rPr>
        <w:t xml:space="preserve"> </w:t>
      </w:r>
      <w:r w:rsidRPr="00AF39D7">
        <w:rPr>
          <w:lang w:val="es-AR"/>
        </w:rPr>
        <w:t>está</w:t>
      </w:r>
      <w:r w:rsidRPr="00AF39D7">
        <w:rPr>
          <w:spacing w:val="-16"/>
          <w:lang w:val="es-AR"/>
        </w:rPr>
        <w:t xml:space="preserve"> </w:t>
      </w:r>
      <w:r w:rsidRPr="00AF39D7">
        <w:rPr>
          <w:lang w:val="es-AR"/>
        </w:rPr>
        <w:t>vedada</w:t>
      </w:r>
      <w:r w:rsidRPr="00AF39D7">
        <w:rPr>
          <w:spacing w:val="-16"/>
          <w:lang w:val="es-AR"/>
        </w:rPr>
        <w:t xml:space="preserve"> </w:t>
      </w:r>
      <w:r w:rsidRPr="00AF39D7">
        <w:rPr>
          <w:lang w:val="es-AR"/>
        </w:rPr>
        <w:t>la</w:t>
      </w:r>
      <w:r w:rsidRPr="00AF39D7">
        <w:rPr>
          <w:spacing w:val="-18"/>
          <w:lang w:val="es-AR"/>
        </w:rPr>
        <w:t xml:space="preserve"> </w:t>
      </w:r>
      <w:r w:rsidRPr="00AF39D7">
        <w:rPr>
          <w:lang w:val="es-AR"/>
        </w:rPr>
        <w:t>alegación</w:t>
      </w:r>
      <w:r w:rsidRPr="00AF39D7">
        <w:rPr>
          <w:spacing w:val="-17"/>
          <w:lang w:val="es-AR"/>
        </w:rPr>
        <w:t xml:space="preserve"> </w:t>
      </w:r>
      <w:r w:rsidRPr="00AF39D7">
        <w:rPr>
          <w:lang w:val="es-AR"/>
        </w:rPr>
        <w:t>de</w:t>
      </w:r>
      <w:r w:rsidRPr="00AF39D7">
        <w:rPr>
          <w:spacing w:val="-18"/>
          <w:lang w:val="es-AR"/>
        </w:rPr>
        <w:t xml:space="preserve"> </w:t>
      </w:r>
      <w:r w:rsidRPr="00AF39D7">
        <w:rPr>
          <w:lang w:val="es-AR"/>
        </w:rPr>
        <w:t>existencia</w:t>
      </w:r>
      <w:r w:rsidRPr="00AF39D7">
        <w:rPr>
          <w:spacing w:val="-18"/>
          <w:lang w:val="es-AR"/>
        </w:rPr>
        <w:t xml:space="preserve"> </w:t>
      </w:r>
      <w:r w:rsidRPr="00AF39D7">
        <w:rPr>
          <w:lang w:val="es-AR"/>
        </w:rPr>
        <w:t>de</w:t>
      </w:r>
      <w:r w:rsidRPr="00AF39D7">
        <w:rPr>
          <w:spacing w:val="-17"/>
          <w:lang w:val="es-AR"/>
        </w:rPr>
        <w:t xml:space="preserve"> </w:t>
      </w:r>
      <w:r w:rsidRPr="00AF39D7">
        <w:rPr>
          <w:lang w:val="es-AR"/>
        </w:rPr>
        <w:t>normativa</w:t>
      </w:r>
      <w:r w:rsidRPr="00AF39D7">
        <w:rPr>
          <w:spacing w:val="-18"/>
          <w:lang w:val="es-AR"/>
        </w:rPr>
        <w:t xml:space="preserve"> </w:t>
      </w:r>
      <w:r w:rsidRPr="00AF39D7">
        <w:rPr>
          <w:lang w:val="es-AR"/>
        </w:rPr>
        <w:t>interna</w:t>
      </w:r>
      <w:r w:rsidRPr="00AF39D7">
        <w:rPr>
          <w:spacing w:val="-16"/>
          <w:lang w:val="es-AR"/>
        </w:rPr>
        <w:t xml:space="preserve"> </w:t>
      </w:r>
      <w:r w:rsidRPr="00AF39D7">
        <w:rPr>
          <w:lang w:val="es-AR"/>
        </w:rPr>
        <w:t>vigente,</w:t>
      </w:r>
      <w:r w:rsidRPr="00AF39D7">
        <w:rPr>
          <w:spacing w:val="-18"/>
          <w:lang w:val="es-AR"/>
        </w:rPr>
        <w:t xml:space="preserve"> </w:t>
      </w:r>
      <w:r w:rsidRPr="00AF39D7">
        <w:rPr>
          <w:lang w:val="es-AR"/>
        </w:rPr>
        <w:t>para incumplir</w:t>
      </w:r>
      <w:r w:rsidRPr="00AF39D7">
        <w:rPr>
          <w:spacing w:val="-13"/>
          <w:lang w:val="es-AR"/>
        </w:rPr>
        <w:t xml:space="preserve"> </w:t>
      </w:r>
      <w:r w:rsidRPr="00AF39D7">
        <w:rPr>
          <w:lang w:val="es-AR"/>
        </w:rPr>
        <w:t>o</w:t>
      </w:r>
      <w:r w:rsidRPr="00AF39D7">
        <w:rPr>
          <w:spacing w:val="-12"/>
          <w:lang w:val="es-AR"/>
        </w:rPr>
        <w:t xml:space="preserve"> </w:t>
      </w:r>
      <w:r w:rsidRPr="00AF39D7">
        <w:rPr>
          <w:lang w:val="es-AR"/>
        </w:rPr>
        <w:t>evadir</w:t>
      </w:r>
      <w:r w:rsidRPr="00AF39D7">
        <w:rPr>
          <w:spacing w:val="-13"/>
          <w:lang w:val="es-AR"/>
        </w:rPr>
        <w:t xml:space="preserve"> </w:t>
      </w:r>
      <w:r w:rsidRPr="00AF39D7">
        <w:rPr>
          <w:lang w:val="es-AR"/>
        </w:rPr>
        <w:t>las</w:t>
      </w:r>
      <w:r w:rsidRPr="00AF39D7">
        <w:rPr>
          <w:spacing w:val="-10"/>
          <w:lang w:val="es-AR"/>
        </w:rPr>
        <w:t xml:space="preserve"> </w:t>
      </w:r>
      <w:r w:rsidRPr="00AF39D7">
        <w:rPr>
          <w:lang w:val="es-AR"/>
        </w:rPr>
        <w:t>responsabilidades</w:t>
      </w:r>
      <w:r w:rsidRPr="00AF39D7">
        <w:rPr>
          <w:spacing w:val="-13"/>
          <w:lang w:val="es-AR"/>
        </w:rPr>
        <w:t xml:space="preserve"> </w:t>
      </w:r>
      <w:r w:rsidRPr="00AF39D7">
        <w:rPr>
          <w:lang w:val="es-AR"/>
        </w:rPr>
        <w:t>internacionales</w:t>
      </w:r>
      <w:r w:rsidRPr="00AF39D7">
        <w:rPr>
          <w:spacing w:val="-12"/>
          <w:lang w:val="es-AR"/>
        </w:rPr>
        <w:t xml:space="preserve"> </w:t>
      </w:r>
      <w:r w:rsidRPr="00AF39D7">
        <w:rPr>
          <w:lang w:val="es-AR"/>
        </w:rPr>
        <w:t>que</w:t>
      </w:r>
      <w:r w:rsidRPr="00AF39D7">
        <w:rPr>
          <w:spacing w:val="-12"/>
          <w:lang w:val="es-AR"/>
        </w:rPr>
        <w:t xml:space="preserve"> </w:t>
      </w:r>
      <w:r w:rsidRPr="00AF39D7">
        <w:rPr>
          <w:lang w:val="es-AR"/>
        </w:rPr>
        <w:t>emanan</w:t>
      </w:r>
      <w:r w:rsidRPr="00AF39D7">
        <w:rPr>
          <w:spacing w:val="-10"/>
          <w:lang w:val="es-AR"/>
        </w:rPr>
        <w:t xml:space="preserve"> </w:t>
      </w:r>
      <w:r w:rsidRPr="00AF39D7">
        <w:rPr>
          <w:lang w:val="es-AR"/>
        </w:rPr>
        <w:t>de</w:t>
      </w:r>
      <w:r w:rsidRPr="00AF39D7">
        <w:rPr>
          <w:spacing w:val="-10"/>
          <w:lang w:val="es-AR"/>
        </w:rPr>
        <w:t xml:space="preserve"> </w:t>
      </w:r>
      <w:r w:rsidRPr="00AF39D7">
        <w:rPr>
          <w:lang w:val="es-AR"/>
        </w:rPr>
        <w:t>la</w:t>
      </w:r>
      <w:r w:rsidRPr="00AF39D7">
        <w:rPr>
          <w:spacing w:val="-11"/>
          <w:lang w:val="es-AR"/>
        </w:rPr>
        <w:t xml:space="preserve"> </w:t>
      </w:r>
      <w:r w:rsidRPr="00AF39D7">
        <w:rPr>
          <w:lang w:val="es-AR"/>
        </w:rPr>
        <w:t>sentencia.</w:t>
      </w:r>
    </w:p>
    <w:p w14:paraId="0FAC509B" w14:textId="77777777" w:rsidR="00467FCA" w:rsidRPr="00AF39D7" w:rsidRDefault="00467FCA">
      <w:pPr>
        <w:pStyle w:val="Textoindependiente"/>
        <w:rPr>
          <w:sz w:val="24"/>
          <w:lang w:val="es-AR"/>
        </w:rPr>
      </w:pPr>
    </w:p>
    <w:p w14:paraId="609D037A" w14:textId="77777777" w:rsidR="00467FCA" w:rsidRPr="00AF39D7" w:rsidRDefault="00467FCA">
      <w:pPr>
        <w:pStyle w:val="Textoindependiente"/>
        <w:rPr>
          <w:sz w:val="24"/>
          <w:lang w:val="es-AR"/>
        </w:rPr>
      </w:pPr>
    </w:p>
    <w:p w14:paraId="029B4FDE" w14:textId="77777777" w:rsidR="00467FCA" w:rsidRPr="00AF39D7" w:rsidRDefault="00467FCA">
      <w:pPr>
        <w:pStyle w:val="Textoindependiente"/>
        <w:rPr>
          <w:sz w:val="24"/>
          <w:lang w:val="es-AR"/>
        </w:rPr>
      </w:pPr>
    </w:p>
    <w:p w14:paraId="1B53A462" w14:textId="77777777" w:rsidR="00467FCA" w:rsidRPr="00AF39D7" w:rsidRDefault="00467FCA">
      <w:pPr>
        <w:pStyle w:val="Textoindependiente"/>
        <w:rPr>
          <w:sz w:val="24"/>
          <w:lang w:val="es-AR"/>
        </w:rPr>
      </w:pPr>
    </w:p>
    <w:p w14:paraId="72D607F0" w14:textId="77777777" w:rsidR="00467FCA" w:rsidRPr="00AF39D7" w:rsidRDefault="00467FCA">
      <w:pPr>
        <w:pStyle w:val="Textoindependiente"/>
        <w:spacing w:before="2"/>
        <w:rPr>
          <w:sz w:val="24"/>
          <w:lang w:val="es-AR"/>
        </w:rPr>
      </w:pPr>
    </w:p>
    <w:p w14:paraId="17FB65D8" w14:textId="77777777" w:rsidR="00467FCA" w:rsidRPr="00AF39D7" w:rsidRDefault="001B68EB">
      <w:pPr>
        <w:pStyle w:val="Textoindependiente"/>
        <w:ind w:left="4348" w:right="1794"/>
        <w:rPr>
          <w:lang w:val="es-AR"/>
        </w:rPr>
      </w:pPr>
      <w:r w:rsidRPr="00AF39D7">
        <w:rPr>
          <w:lang w:val="es-AR"/>
        </w:rPr>
        <w:t>L. Patricio Pazmiño Freire Juez</w:t>
      </w:r>
    </w:p>
    <w:p w14:paraId="227ED96D" w14:textId="77777777" w:rsidR="00467FCA" w:rsidRPr="00AF39D7" w:rsidRDefault="00467FCA">
      <w:pPr>
        <w:pStyle w:val="Textoindependiente"/>
        <w:rPr>
          <w:sz w:val="24"/>
          <w:lang w:val="es-AR"/>
        </w:rPr>
      </w:pPr>
    </w:p>
    <w:p w14:paraId="7767E8C9" w14:textId="77777777" w:rsidR="00467FCA" w:rsidRPr="00AF39D7" w:rsidRDefault="00467FCA">
      <w:pPr>
        <w:pStyle w:val="Textoindependiente"/>
        <w:rPr>
          <w:sz w:val="24"/>
          <w:lang w:val="es-AR"/>
        </w:rPr>
      </w:pPr>
    </w:p>
    <w:p w14:paraId="685A5E14" w14:textId="77777777" w:rsidR="00467FCA" w:rsidRPr="00AF39D7" w:rsidRDefault="00467FCA">
      <w:pPr>
        <w:pStyle w:val="Textoindependiente"/>
        <w:rPr>
          <w:sz w:val="24"/>
          <w:lang w:val="es-AR"/>
        </w:rPr>
      </w:pPr>
    </w:p>
    <w:p w14:paraId="6DD8173B" w14:textId="77777777" w:rsidR="00467FCA" w:rsidRPr="00AF39D7" w:rsidRDefault="00467FCA">
      <w:pPr>
        <w:pStyle w:val="Textoindependiente"/>
        <w:rPr>
          <w:sz w:val="24"/>
          <w:lang w:val="es-AR"/>
        </w:rPr>
      </w:pPr>
    </w:p>
    <w:p w14:paraId="160016D7" w14:textId="77777777" w:rsidR="00467FCA" w:rsidRPr="00AF39D7" w:rsidRDefault="00467FCA">
      <w:pPr>
        <w:pStyle w:val="Textoindependiente"/>
        <w:rPr>
          <w:sz w:val="24"/>
          <w:lang w:val="es-AR"/>
        </w:rPr>
      </w:pPr>
    </w:p>
    <w:p w14:paraId="1C78F8DE" w14:textId="77777777" w:rsidR="00467FCA" w:rsidRPr="00AF39D7" w:rsidRDefault="001B68EB">
      <w:pPr>
        <w:pStyle w:val="Textoindependiente"/>
        <w:ind w:left="309" w:right="5942" w:hanging="209"/>
        <w:rPr>
          <w:lang w:val="es-AR"/>
        </w:rPr>
      </w:pPr>
      <w:r w:rsidRPr="00AF39D7">
        <w:rPr>
          <w:lang w:val="es-AR"/>
        </w:rPr>
        <w:t>Pablo Saavedra Alessandri Secretario</w:t>
      </w:r>
    </w:p>
    <w:p w14:paraId="67F0306B" w14:textId="77777777" w:rsidR="00467FCA" w:rsidRPr="00AF39D7" w:rsidRDefault="00467FCA">
      <w:pPr>
        <w:rPr>
          <w:lang w:val="es-AR"/>
        </w:rPr>
        <w:sectPr w:rsidR="00467FCA" w:rsidRPr="00AF39D7">
          <w:footerReference w:type="default" r:id="rId59"/>
          <w:pgSz w:w="11900" w:h="16850"/>
          <w:pgMar w:top="1340" w:right="1580" w:bottom="280" w:left="1600" w:header="0" w:footer="0" w:gutter="0"/>
          <w:cols w:space="720"/>
        </w:sectPr>
      </w:pPr>
    </w:p>
    <w:p w14:paraId="047E5590" w14:textId="77777777" w:rsidR="00467FCA" w:rsidRPr="00AF39D7" w:rsidRDefault="001B68EB">
      <w:pPr>
        <w:pStyle w:val="Ttulo1"/>
        <w:spacing w:before="76"/>
        <w:ind w:left="760" w:right="691"/>
        <w:jc w:val="center"/>
        <w:rPr>
          <w:lang w:val="es-AR"/>
        </w:rPr>
      </w:pPr>
      <w:bookmarkStart w:id="627" w:name="vsc_viogrossi_407_esp"/>
      <w:bookmarkEnd w:id="627"/>
      <w:r w:rsidRPr="00AF39D7">
        <w:rPr>
          <w:lang w:val="es-AR"/>
        </w:rPr>
        <w:t>VOTO PARCIALMENTE DISIDENTE DEL JUEZ EDUARDO VIO GROSSI</w:t>
      </w:r>
    </w:p>
    <w:p w14:paraId="7DA51CDF" w14:textId="77777777" w:rsidR="00467FCA" w:rsidRPr="00AF39D7" w:rsidRDefault="00467FCA">
      <w:pPr>
        <w:pStyle w:val="Textoindependiente"/>
        <w:rPr>
          <w:b/>
          <w:sz w:val="26"/>
          <w:lang w:val="es-AR"/>
        </w:rPr>
      </w:pPr>
    </w:p>
    <w:p w14:paraId="4251939E" w14:textId="77777777" w:rsidR="00467FCA" w:rsidRPr="00AF39D7" w:rsidRDefault="001B68EB">
      <w:pPr>
        <w:spacing w:before="1"/>
        <w:ind w:left="761" w:right="691"/>
        <w:jc w:val="center"/>
        <w:rPr>
          <w:b/>
          <w:sz w:val="20"/>
          <w:lang w:val="es-AR"/>
        </w:rPr>
      </w:pPr>
      <w:r w:rsidRPr="00AF39D7">
        <w:rPr>
          <w:b/>
          <w:sz w:val="20"/>
          <w:lang w:val="es-AR"/>
        </w:rPr>
        <w:t>CORTE INTERAMERICANA DE DERECHOS HUMANOS</w:t>
      </w:r>
    </w:p>
    <w:p w14:paraId="4E98F0EF" w14:textId="77777777" w:rsidR="00467FCA" w:rsidRDefault="001B68EB">
      <w:pPr>
        <w:spacing w:before="37" w:line="276" w:lineRule="auto"/>
        <w:ind w:left="763" w:right="691"/>
        <w:jc w:val="center"/>
        <w:rPr>
          <w:b/>
          <w:sz w:val="20"/>
        </w:rPr>
      </w:pPr>
      <w:r w:rsidRPr="00AF39D7">
        <w:rPr>
          <w:b/>
          <w:sz w:val="20"/>
          <w:lang w:val="es-AR"/>
        </w:rPr>
        <w:t xml:space="preserve">CASO EMPLEADOS DE LA FÁBRICA DE FUEGOS EN SANTO ANTÔNIO DE JESUS Y SUS FAMILIARES VS. </w:t>
      </w:r>
      <w:r>
        <w:rPr>
          <w:b/>
          <w:sz w:val="20"/>
        </w:rPr>
        <w:t>BRASIL</w:t>
      </w:r>
    </w:p>
    <w:p w14:paraId="5C5FE72D" w14:textId="77777777" w:rsidR="00467FCA" w:rsidRDefault="00467FCA">
      <w:pPr>
        <w:pStyle w:val="Textoindependiente"/>
        <w:spacing w:before="12"/>
        <w:rPr>
          <w:b/>
          <w:sz w:val="22"/>
        </w:rPr>
      </w:pPr>
    </w:p>
    <w:p w14:paraId="663487D5" w14:textId="77777777" w:rsidR="00467FCA" w:rsidRPr="00AF39D7" w:rsidRDefault="001B68EB">
      <w:pPr>
        <w:ind w:left="758" w:right="691"/>
        <w:jc w:val="center"/>
        <w:rPr>
          <w:b/>
          <w:sz w:val="20"/>
          <w:lang w:val="es-AR"/>
        </w:rPr>
      </w:pPr>
      <w:r w:rsidRPr="00AF39D7">
        <w:rPr>
          <w:b/>
          <w:sz w:val="20"/>
          <w:lang w:val="es-AR"/>
        </w:rPr>
        <w:t>SENTENCIA DE 15 DE JULIO DE 2020</w:t>
      </w:r>
    </w:p>
    <w:p w14:paraId="084BD218" w14:textId="77777777" w:rsidR="00467FCA" w:rsidRDefault="001B68EB">
      <w:pPr>
        <w:spacing w:before="38"/>
        <w:ind w:left="760" w:right="691"/>
        <w:jc w:val="center"/>
        <w:rPr>
          <w:b/>
          <w:sz w:val="20"/>
        </w:rPr>
      </w:pPr>
      <w:r>
        <w:rPr>
          <w:b/>
          <w:sz w:val="20"/>
        </w:rPr>
        <w:t>(Excepciones Preliminares, Fondo, Reparaciones y Costas).</w:t>
      </w:r>
    </w:p>
    <w:p w14:paraId="5FC7A2C8" w14:textId="77777777" w:rsidR="00467FCA" w:rsidRDefault="00467FCA">
      <w:pPr>
        <w:pStyle w:val="Textoindependiente"/>
        <w:rPr>
          <w:b/>
          <w:sz w:val="24"/>
        </w:rPr>
      </w:pPr>
    </w:p>
    <w:p w14:paraId="08BCB81D" w14:textId="77777777" w:rsidR="00467FCA" w:rsidRDefault="00467FCA">
      <w:pPr>
        <w:pStyle w:val="Textoindependiente"/>
        <w:spacing w:before="11"/>
        <w:rPr>
          <w:b/>
          <w:sz w:val="24"/>
        </w:rPr>
      </w:pPr>
    </w:p>
    <w:p w14:paraId="4AEFE1C3" w14:textId="77777777" w:rsidR="00467FCA" w:rsidRDefault="001B68EB">
      <w:pPr>
        <w:pStyle w:val="Prrafodelista"/>
        <w:numPr>
          <w:ilvl w:val="1"/>
          <w:numId w:val="32"/>
        </w:numPr>
        <w:tabs>
          <w:tab w:val="left" w:pos="742"/>
        </w:tabs>
        <w:jc w:val="both"/>
        <w:rPr>
          <w:b/>
          <w:sz w:val="20"/>
        </w:rPr>
      </w:pPr>
      <w:r>
        <w:rPr>
          <w:b/>
          <w:sz w:val="20"/>
        </w:rPr>
        <w:t>INTRODUCCIÓN.</w:t>
      </w:r>
    </w:p>
    <w:p w14:paraId="6FB4DCA4" w14:textId="77777777" w:rsidR="00467FCA" w:rsidRDefault="00467FCA">
      <w:pPr>
        <w:pStyle w:val="Textoindependiente"/>
        <w:rPr>
          <w:b/>
          <w:sz w:val="26"/>
        </w:rPr>
      </w:pPr>
    </w:p>
    <w:p w14:paraId="08816183" w14:textId="77777777" w:rsidR="00467FCA" w:rsidRDefault="001B68EB">
      <w:pPr>
        <w:pStyle w:val="Prrafodelista"/>
        <w:numPr>
          <w:ilvl w:val="0"/>
          <w:numId w:val="31"/>
        </w:numPr>
        <w:tabs>
          <w:tab w:val="left" w:pos="1442"/>
          <w:tab w:val="left" w:pos="1443"/>
        </w:tabs>
        <w:spacing w:line="276" w:lineRule="auto"/>
        <w:ind w:right="397" w:firstLine="0"/>
        <w:jc w:val="both"/>
        <w:rPr>
          <w:sz w:val="20"/>
        </w:rPr>
      </w:pPr>
      <w:r>
        <w:rPr>
          <w:sz w:val="20"/>
        </w:rPr>
        <w:t>Se expide el presente voto parcialmente disidente</w:t>
      </w:r>
      <w:hyperlink w:anchor="_bookmark549" w:history="1">
        <w:r>
          <w:rPr>
            <w:position w:val="7"/>
            <w:sz w:val="13"/>
          </w:rPr>
          <w:t>1</w:t>
        </w:r>
      </w:hyperlink>
      <w:r>
        <w:rPr>
          <w:position w:val="7"/>
          <w:sz w:val="13"/>
        </w:rPr>
        <w:t xml:space="preserve"> </w:t>
      </w:r>
      <w:r>
        <w:rPr>
          <w:sz w:val="20"/>
        </w:rPr>
        <w:t>con relación a la Sentencia del rótulo</w:t>
      </w:r>
      <w:hyperlink w:anchor="_bookmark550" w:history="1">
        <w:r>
          <w:rPr>
            <w:position w:val="7"/>
            <w:sz w:val="13"/>
          </w:rPr>
          <w:t>2</w:t>
        </w:r>
      </w:hyperlink>
      <w:r>
        <w:rPr>
          <w:sz w:val="20"/>
        </w:rPr>
        <w:t>,</w:t>
      </w:r>
      <w:r>
        <w:rPr>
          <w:spacing w:val="-8"/>
          <w:sz w:val="20"/>
        </w:rPr>
        <w:t xml:space="preserve"> </w:t>
      </w:r>
      <w:r>
        <w:rPr>
          <w:sz w:val="20"/>
        </w:rPr>
        <w:t>a</w:t>
      </w:r>
      <w:r>
        <w:rPr>
          <w:spacing w:val="-7"/>
          <w:sz w:val="20"/>
        </w:rPr>
        <w:t xml:space="preserve"> </w:t>
      </w:r>
      <w:r>
        <w:rPr>
          <w:sz w:val="20"/>
        </w:rPr>
        <w:t>los</w:t>
      </w:r>
      <w:r>
        <w:rPr>
          <w:spacing w:val="-4"/>
          <w:sz w:val="20"/>
        </w:rPr>
        <w:t xml:space="preserve"> </w:t>
      </w:r>
      <w:r>
        <w:rPr>
          <w:sz w:val="20"/>
        </w:rPr>
        <w:t>efectos</w:t>
      </w:r>
      <w:r>
        <w:rPr>
          <w:spacing w:val="-8"/>
          <w:sz w:val="20"/>
        </w:rPr>
        <w:t xml:space="preserve"> </w:t>
      </w:r>
      <w:r>
        <w:rPr>
          <w:sz w:val="20"/>
        </w:rPr>
        <w:t>de</w:t>
      </w:r>
      <w:r>
        <w:rPr>
          <w:spacing w:val="-3"/>
          <w:sz w:val="20"/>
        </w:rPr>
        <w:t xml:space="preserve"> </w:t>
      </w:r>
      <w:r>
        <w:rPr>
          <w:sz w:val="20"/>
        </w:rPr>
        <w:t>dar</w:t>
      </w:r>
      <w:r>
        <w:rPr>
          <w:spacing w:val="-7"/>
          <w:sz w:val="20"/>
        </w:rPr>
        <w:t xml:space="preserve"> </w:t>
      </w:r>
      <w:r>
        <w:rPr>
          <w:sz w:val="20"/>
        </w:rPr>
        <w:t>cuenta</w:t>
      </w:r>
      <w:r>
        <w:rPr>
          <w:spacing w:val="-7"/>
          <w:sz w:val="20"/>
        </w:rPr>
        <w:t xml:space="preserve"> </w:t>
      </w:r>
      <w:r>
        <w:rPr>
          <w:sz w:val="20"/>
        </w:rPr>
        <w:t>de</w:t>
      </w:r>
      <w:r>
        <w:rPr>
          <w:spacing w:val="-6"/>
          <w:sz w:val="20"/>
        </w:rPr>
        <w:t xml:space="preserve"> </w:t>
      </w:r>
      <w:r>
        <w:rPr>
          <w:sz w:val="20"/>
        </w:rPr>
        <w:t>las</w:t>
      </w:r>
      <w:r>
        <w:rPr>
          <w:spacing w:val="-4"/>
          <w:sz w:val="20"/>
        </w:rPr>
        <w:t xml:space="preserve"> </w:t>
      </w:r>
      <w:r>
        <w:rPr>
          <w:sz w:val="20"/>
        </w:rPr>
        <w:t>razones</w:t>
      </w:r>
      <w:r>
        <w:rPr>
          <w:spacing w:val="-8"/>
          <w:sz w:val="20"/>
        </w:rPr>
        <w:t xml:space="preserve"> </w:t>
      </w:r>
      <w:r>
        <w:rPr>
          <w:sz w:val="20"/>
        </w:rPr>
        <w:t>por</w:t>
      </w:r>
      <w:r>
        <w:rPr>
          <w:spacing w:val="-6"/>
          <w:sz w:val="20"/>
        </w:rPr>
        <w:t xml:space="preserve"> </w:t>
      </w:r>
      <w:r>
        <w:rPr>
          <w:sz w:val="20"/>
        </w:rPr>
        <w:t>las</w:t>
      </w:r>
      <w:r>
        <w:rPr>
          <w:spacing w:val="-7"/>
          <w:sz w:val="20"/>
        </w:rPr>
        <w:t xml:space="preserve"> </w:t>
      </w:r>
      <w:r>
        <w:rPr>
          <w:sz w:val="20"/>
        </w:rPr>
        <w:t>que</w:t>
      </w:r>
      <w:r>
        <w:rPr>
          <w:spacing w:val="-6"/>
          <w:sz w:val="20"/>
        </w:rPr>
        <w:t xml:space="preserve"> </w:t>
      </w:r>
      <w:r>
        <w:rPr>
          <w:sz w:val="20"/>
        </w:rPr>
        <w:t>se</w:t>
      </w:r>
      <w:r>
        <w:rPr>
          <w:spacing w:val="-8"/>
          <w:sz w:val="20"/>
        </w:rPr>
        <w:t xml:space="preserve"> </w:t>
      </w:r>
      <w:r>
        <w:rPr>
          <w:sz w:val="20"/>
        </w:rPr>
        <w:t>discrepa,</w:t>
      </w:r>
      <w:r>
        <w:rPr>
          <w:spacing w:val="-6"/>
          <w:sz w:val="20"/>
        </w:rPr>
        <w:t xml:space="preserve"> </w:t>
      </w:r>
      <w:r>
        <w:rPr>
          <w:sz w:val="20"/>
        </w:rPr>
        <w:t>por</w:t>
      </w:r>
      <w:r>
        <w:rPr>
          <w:spacing w:val="-8"/>
          <w:sz w:val="20"/>
        </w:rPr>
        <w:t xml:space="preserve"> </w:t>
      </w:r>
      <w:r>
        <w:rPr>
          <w:sz w:val="20"/>
        </w:rPr>
        <w:t>de</w:t>
      </w:r>
      <w:r>
        <w:rPr>
          <w:spacing w:val="-8"/>
          <w:sz w:val="20"/>
        </w:rPr>
        <w:t xml:space="preserve"> </w:t>
      </w:r>
      <w:r>
        <w:rPr>
          <w:sz w:val="20"/>
        </w:rPr>
        <w:t>pronto,</w:t>
      </w:r>
      <w:r>
        <w:rPr>
          <w:spacing w:val="-4"/>
          <w:sz w:val="20"/>
        </w:rPr>
        <w:t xml:space="preserve"> </w:t>
      </w:r>
      <w:r>
        <w:rPr>
          <w:sz w:val="20"/>
        </w:rPr>
        <w:t>de lo dispuesto e</w:t>
      </w:r>
      <w:r>
        <w:rPr>
          <w:sz w:val="20"/>
        </w:rPr>
        <w:t xml:space="preserve">n los Resolutivos N° </w:t>
      </w:r>
      <w:r>
        <w:rPr>
          <w:spacing w:val="6"/>
          <w:sz w:val="20"/>
        </w:rPr>
        <w:t>2</w:t>
      </w:r>
      <w:hyperlink w:anchor="_bookmark551" w:history="1">
        <w:r>
          <w:rPr>
            <w:spacing w:val="6"/>
            <w:position w:val="7"/>
            <w:sz w:val="13"/>
          </w:rPr>
          <w:t>3</w:t>
        </w:r>
      </w:hyperlink>
      <w:r>
        <w:rPr>
          <w:spacing w:val="6"/>
          <w:position w:val="7"/>
          <w:sz w:val="13"/>
        </w:rPr>
        <w:t xml:space="preserve"> </w:t>
      </w:r>
      <w:r>
        <w:rPr>
          <w:sz w:val="20"/>
        </w:rPr>
        <w:t xml:space="preserve">y </w:t>
      </w:r>
      <w:r>
        <w:rPr>
          <w:spacing w:val="6"/>
          <w:sz w:val="20"/>
        </w:rPr>
        <w:t>6</w:t>
      </w:r>
      <w:hyperlink w:anchor="_bookmark552" w:history="1">
        <w:r>
          <w:rPr>
            <w:spacing w:val="6"/>
            <w:position w:val="7"/>
            <w:sz w:val="13"/>
          </w:rPr>
          <w:t>4</w:t>
        </w:r>
      </w:hyperlink>
      <w:r>
        <w:rPr>
          <w:spacing w:val="6"/>
          <w:position w:val="7"/>
          <w:sz w:val="13"/>
        </w:rPr>
        <w:t xml:space="preserve"> </w:t>
      </w:r>
      <w:r>
        <w:rPr>
          <w:sz w:val="20"/>
        </w:rPr>
        <w:t>de aquella, los que, sobre la base de lo prescrito en el artículo 26 de la Convención Americana sobre Derechos Humanos</w:t>
      </w:r>
      <w:hyperlink w:anchor="_bookmark553" w:history="1">
        <w:r>
          <w:rPr>
            <w:position w:val="7"/>
            <w:sz w:val="13"/>
          </w:rPr>
          <w:t>5</w:t>
        </w:r>
      </w:hyperlink>
      <w:r>
        <w:rPr>
          <w:sz w:val="20"/>
        </w:rPr>
        <w:t>, desestima, en el primero, la excepción, presentada por el Estado, de incompetencia de la Corte Interame</w:t>
      </w:r>
      <w:r>
        <w:rPr>
          <w:sz w:val="20"/>
        </w:rPr>
        <w:t>ricana de Derechos Humanos</w:t>
      </w:r>
      <w:hyperlink w:anchor="_bookmark554" w:history="1">
        <w:r>
          <w:rPr>
            <w:position w:val="7"/>
            <w:sz w:val="13"/>
          </w:rPr>
          <w:t>6</w:t>
        </w:r>
      </w:hyperlink>
      <w:r>
        <w:rPr>
          <w:position w:val="7"/>
          <w:sz w:val="13"/>
        </w:rPr>
        <w:t xml:space="preserve"> </w:t>
      </w:r>
      <w:r>
        <w:rPr>
          <w:sz w:val="20"/>
        </w:rPr>
        <w:t>para conocer violaciones a los derechos en dicha disposición</w:t>
      </w:r>
      <w:r>
        <w:rPr>
          <w:spacing w:val="-10"/>
          <w:sz w:val="20"/>
        </w:rPr>
        <w:t xml:space="preserve"> </w:t>
      </w:r>
      <w:r>
        <w:rPr>
          <w:sz w:val="20"/>
        </w:rPr>
        <w:t>aludidos</w:t>
      </w:r>
      <w:r>
        <w:rPr>
          <w:spacing w:val="-11"/>
          <w:sz w:val="20"/>
        </w:rPr>
        <w:t xml:space="preserve"> </w:t>
      </w:r>
      <w:r>
        <w:rPr>
          <w:sz w:val="20"/>
        </w:rPr>
        <w:t>y</w:t>
      </w:r>
      <w:r>
        <w:rPr>
          <w:spacing w:val="-12"/>
          <w:sz w:val="20"/>
        </w:rPr>
        <w:t xml:space="preserve"> </w:t>
      </w:r>
      <w:r>
        <w:rPr>
          <w:sz w:val="20"/>
        </w:rPr>
        <w:t>declara,</w:t>
      </w:r>
      <w:r>
        <w:rPr>
          <w:spacing w:val="-12"/>
          <w:sz w:val="20"/>
        </w:rPr>
        <w:t xml:space="preserve"> </w:t>
      </w:r>
      <w:r>
        <w:rPr>
          <w:sz w:val="20"/>
        </w:rPr>
        <w:t>en</w:t>
      </w:r>
      <w:r>
        <w:rPr>
          <w:spacing w:val="-7"/>
          <w:sz w:val="20"/>
        </w:rPr>
        <w:t xml:space="preserve"> </w:t>
      </w:r>
      <w:r>
        <w:rPr>
          <w:sz w:val="20"/>
        </w:rPr>
        <w:t>el</w:t>
      </w:r>
      <w:r>
        <w:rPr>
          <w:spacing w:val="-11"/>
          <w:sz w:val="20"/>
        </w:rPr>
        <w:t xml:space="preserve"> </w:t>
      </w:r>
      <w:r>
        <w:rPr>
          <w:sz w:val="20"/>
        </w:rPr>
        <w:t>segundo,</w:t>
      </w:r>
      <w:r>
        <w:rPr>
          <w:spacing w:val="-12"/>
          <w:sz w:val="20"/>
        </w:rPr>
        <w:t xml:space="preserve"> </w:t>
      </w:r>
      <w:r>
        <w:rPr>
          <w:sz w:val="20"/>
        </w:rPr>
        <w:t>la</w:t>
      </w:r>
      <w:r>
        <w:rPr>
          <w:spacing w:val="-11"/>
          <w:sz w:val="20"/>
        </w:rPr>
        <w:t xml:space="preserve"> </w:t>
      </w:r>
      <w:r>
        <w:rPr>
          <w:sz w:val="20"/>
        </w:rPr>
        <w:t>violación</w:t>
      </w:r>
      <w:r>
        <w:rPr>
          <w:spacing w:val="-9"/>
          <w:sz w:val="20"/>
        </w:rPr>
        <w:t xml:space="preserve"> </w:t>
      </w:r>
      <w:r>
        <w:rPr>
          <w:sz w:val="20"/>
        </w:rPr>
        <w:t>de</w:t>
      </w:r>
      <w:r>
        <w:rPr>
          <w:spacing w:val="-12"/>
          <w:sz w:val="20"/>
        </w:rPr>
        <w:t xml:space="preserve"> </w:t>
      </w:r>
      <w:r>
        <w:rPr>
          <w:sz w:val="20"/>
        </w:rPr>
        <w:t>tales</w:t>
      </w:r>
      <w:r>
        <w:rPr>
          <w:spacing w:val="-12"/>
          <w:sz w:val="20"/>
        </w:rPr>
        <w:t xml:space="preserve"> </w:t>
      </w:r>
      <w:r>
        <w:rPr>
          <w:sz w:val="20"/>
        </w:rPr>
        <w:t>derechos,</w:t>
      </w:r>
      <w:r>
        <w:rPr>
          <w:spacing w:val="-12"/>
          <w:sz w:val="20"/>
        </w:rPr>
        <w:t xml:space="preserve"> </w:t>
      </w:r>
      <w:r>
        <w:rPr>
          <w:sz w:val="20"/>
        </w:rPr>
        <w:t>con</w:t>
      </w:r>
      <w:r>
        <w:rPr>
          <w:spacing w:val="-9"/>
          <w:sz w:val="20"/>
        </w:rPr>
        <w:t xml:space="preserve"> </w:t>
      </w:r>
      <w:r>
        <w:rPr>
          <w:sz w:val="20"/>
        </w:rPr>
        <w:t>lo</w:t>
      </w:r>
      <w:r>
        <w:rPr>
          <w:spacing w:val="-12"/>
          <w:sz w:val="20"/>
        </w:rPr>
        <w:t xml:space="preserve"> </w:t>
      </w:r>
      <w:r>
        <w:rPr>
          <w:sz w:val="20"/>
        </w:rPr>
        <w:t>cual</w:t>
      </w:r>
      <w:r>
        <w:rPr>
          <w:spacing w:val="-11"/>
          <w:sz w:val="20"/>
        </w:rPr>
        <w:t xml:space="preserve"> </w:t>
      </w:r>
      <w:r>
        <w:rPr>
          <w:sz w:val="20"/>
        </w:rPr>
        <w:t>hace a ésta justiciable ante aquella. Pero, este texto t</w:t>
      </w:r>
      <w:r>
        <w:rPr>
          <w:sz w:val="20"/>
        </w:rPr>
        <w:t>ambién se emite porque se disiente de lo indicado en el citado Resolutivo N° 6 por la referencia que hace al artículo 24 de la Convención, concerniente a la igualdad ante la</w:t>
      </w:r>
      <w:r>
        <w:rPr>
          <w:spacing w:val="-7"/>
          <w:sz w:val="20"/>
        </w:rPr>
        <w:t xml:space="preserve"> </w:t>
      </w:r>
      <w:r>
        <w:rPr>
          <w:sz w:val="20"/>
        </w:rPr>
        <w:t>ley.</w:t>
      </w:r>
    </w:p>
    <w:p w14:paraId="6686A1A6" w14:textId="77777777" w:rsidR="00467FCA" w:rsidRDefault="00467FCA">
      <w:pPr>
        <w:pStyle w:val="Textoindependiente"/>
        <w:spacing w:before="11"/>
        <w:rPr>
          <w:sz w:val="22"/>
        </w:rPr>
      </w:pPr>
    </w:p>
    <w:p w14:paraId="55F44CF2" w14:textId="77777777" w:rsidR="00467FCA" w:rsidRDefault="001B68EB">
      <w:pPr>
        <w:pStyle w:val="Prrafodelista"/>
        <w:numPr>
          <w:ilvl w:val="0"/>
          <w:numId w:val="31"/>
        </w:numPr>
        <w:tabs>
          <w:tab w:val="left" w:pos="1442"/>
          <w:tab w:val="left" w:pos="1443"/>
        </w:tabs>
        <w:spacing w:before="1" w:line="276" w:lineRule="auto"/>
        <w:ind w:right="396" w:firstLine="0"/>
        <w:jc w:val="both"/>
        <w:rPr>
          <w:sz w:val="20"/>
        </w:rPr>
      </w:pPr>
      <w:r>
        <w:rPr>
          <w:sz w:val="20"/>
        </w:rPr>
        <w:t>Ahora bien, a los efectos de exponer adecuadamente la posición que se susten</w:t>
      </w:r>
      <w:r>
        <w:rPr>
          <w:sz w:val="20"/>
        </w:rPr>
        <w:t>ta en este escrito, resulta necesario primeramente reiterar algunas consideraciones generales previas en las que se inserta esta opinión, para luego aludir a los señalados artículos 26 y 24, además de dejar constancia de una consideración atingente al Reso</w:t>
      </w:r>
      <w:r>
        <w:rPr>
          <w:sz w:val="20"/>
        </w:rPr>
        <w:t>lutivo N° 4 del fallo, relativo al derecho a la</w:t>
      </w:r>
      <w:r>
        <w:rPr>
          <w:spacing w:val="-3"/>
          <w:sz w:val="20"/>
        </w:rPr>
        <w:t xml:space="preserve"> </w:t>
      </w:r>
      <w:r>
        <w:rPr>
          <w:sz w:val="20"/>
        </w:rPr>
        <w:t>vida</w:t>
      </w:r>
      <w:hyperlink w:anchor="_bookmark555" w:history="1">
        <w:r>
          <w:rPr>
            <w:position w:val="7"/>
            <w:sz w:val="13"/>
          </w:rPr>
          <w:t>7</w:t>
        </w:r>
      </w:hyperlink>
      <w:r>
        <w:rPr>
          <w:sz w:val="20"/>
        </w:rPr>
        <w:t>.</w:t>
      </w:r>
    </w:p>
    <w:p w14:paraId="1838D27B" w14:textId="77777777" w:rsidR="00467FCA" w:rsidRDefault="001B68EB">
      <w:pPr>
        <w:pStyle w:val="Textoindependiente"/>
        <w:spacing w:before="4"/>
        <w:rPr>
          <w:sz w:val="13"/>
        </w:rPr>
      </w:pPr>
      <w:r>
        <w:pict w14:anchorId="7850DC37">
          <v:shape id="_x0000_s1105" style="position:absolute;margin-left:56.75pt;margin-top:10.45pt;width:2in;height:.1pt;z-index:-251565056;mso-wrap-distance-left:0;mso-wrap-distance-right:0;mso-position-horizontal-relative:page" coordorigin="1135,209" coordsize="2880,0" path="m1135,209r2880,e" filled="f" strokeweight=".72pt">
            <v:path arrowok="t"/>
            <w10:wrap type="topAndBottom" anchorx="page"/>
          </v:shape>
        </w:pict>
      </w:r>
    </w:p>
    <w:p w14:paraId="56EF881B" w14:textId="77777777" w:rsidR="00467FCA" w:rsidRDefault="001B68EB">
      <w:pPr>
        <w:spacing w:before="71"/>
        <w:ind w:left="470" w:right="392"/>
        <w:jc w:val="both"/>
        <w:rPr>
          <w:sz w:val="16"/>
        </w:rPr>
      </w:pPr>
      <w:bookmarkStart w:id="628" w:name="_bookmark549"/>
      <w:bookmarkEnd w:id="628"/>
      <w:r>
        <w:rPr>
          <w:position w:val="6"/>
          <w:sz w:val="10"/>
        </w:rPr>
        <w:t xml:space="preserve">1 </w:t>
      </w:r>
      <w:r>
        <w:rPr>
          <w:sz w:val="16"/>
        </w:rPr>
        <w:t>Art. 66.2 de la Convención: “</w:t>
      </w:r>
      <w:r>
        <w:rPr>
          <w:i/>
          <w:sz w:val="16"/>
        </w:rPr>
        <w:t>Si el fallo no expresare en todo o en parte la opinión unánime de los jueces, cualquiera de éstos tendrá derecho a que se agregue al fal</w:t>
      </w:r>
      <w:r>
        <w:rPr>
          <w:i/>
          <w:sz w:val="16"/>
        </w:rPr>
        <w:t>lo su opinión disidente o individual</w:t>
      </w:r>
      <w:r>
        <w:rPr>
          <w:sz w:val="16"/>
        </w:rPr>
        <w:t>.”</w:t>
      </w:r>
    </w:p>
    <w:p w14:paraId="3E456254" w14:textId="77777777" w:rsidR="00467FCA" w:rsidRDefault="001B68EB">
      <w:pPr>
        <w:ind w:left="470" w:right="393"/>
        <w:jc w:val="both"/>
        <w:rPr>
          <w:i/>
          <w:sz w:val="16"/>
        </w:rPr>
      </w:pPr>
      <w:r>
        <w:rPr>
          <w:sz w:val="16"/>
        </w:rPr>
        <w:t>Art. 24.3 del Estatuto de la Corte: “</w:t>
      </w:r>
      <w:r>
        <w:rPr>
          <w:i/>
          <w:sz w:val="16"/>
        </w:rPr>
        <w:t xml:space="preserve">Las decisiones, juicios y opiniones de la Corte se comunicarán en sesiones </w:t>
      </w:r>
      <w:r>
        <w:rPr>
          <w:i/>
          <w:sz w:val="16"/>
        </w:rPr>
        <w:t>públicas y se notificarán por escrito a las partes. Además, se publicarán conjuntamente con los votos y opiniones separados de los jueces y con cualesquiera otros datos o antecedentes que la Corte considere conveniente.”</w:t>
      </w:r>
    </w:p>
    <w:p w14:paraId="06DA0749" w14:textId="77777777" w:rsidR="00467FCA" w:rsidRDefault="001B68EB">
      <w:pPr>
        <w:ind w:left="470" w:right="392"/>
        <w:jc w:val="both"/>
        <w:rPr>
          <w:i/>
          <w:sz w:val="16"/>
        </w:rPr>
      </w:pPr>
      <w:r>
        <w:rPr>
          <w:sz w:val="16"/>
        </w:rPr>
        <w:t>Art. 65.2 del Reglamento de la Cort</w:t>
      </w:r>
      <w:r>
        <w:rPr>
          <w:sz w:val="16"/>
        </w:rPr>
        <w:t>e: “</w:t>
      </w:r>
      <w:r>
        <w:rPr>
          <w:i/>
          <w:sz w:val="16"/>
        </w:rPr>
        <w:t>Todo Juez que haya participado en el examen de un caso tiene derecho a unir a la sentencia su voto concurrente o disidente que deberá ser razonado. Estos votos deberán ser presentados dentro</w:t>
      </w:r>
      <w:r>
        <w:rPr>
          <w:i/>
          <w:spacing w:val="-8"/>
          <w:sz w:val="16"/>
        </w:rPr>
        <w:t xml:space="preserve"> </w:t>
      </w:r>
      <w:r>
        <w:rPr>
          <w:i/>
          <w:sz w:val="16"/>
        </w:rPr>
        <w:t>del</w:t>
      </w:r>
      <w:r>
        <w:rPr>
          <w:i/>
          <w:spacing w:val="-8"/>
          <w:sz w:val="16"/>
        </w:rPr>
        <w:t xml:space="preserve"> </w:t>
      </w:r>
      <w:r>
        <w:rPr>
          <w:i/>
          <w:sz w:val="16"/>
        </w:rPr>
        <w:t>plazo</w:t>
      </w:r>
      <w:r>
        <w:rPr>
          <w:i/>
          <w:spacing w:val="-7"/>
          <w:sz w:val="16"/>
        </w:rPr>
        <w:t xml:space="preserve"> </w:t>
      </w:r>
      <w:r>
        <w:rPr>
          <w:i/>
          <w:sz w:val="16"/>
        </w:rPr>
        <w:t>fijado</w:t>
      </w:r>
      <w:r>
        <w:rPr>
          <w:i/>
          <w:spacing w:val="-7"/>
          <w:sz w:val="16"/>
        </w:rPr>
        <w:t xml:space="preserve"> </w:t>
      </w:r>
      <w:r>
        <w:rPr>
          <w:i/>
          <w:sz w:val="16"/>
        </w:rPr>
        <w:t>por</w:t>
      </w:r>
      <w:r>
        <w:rPr>
          <w:i/>
          <w:spacing w:val="-4"/>
          <w:sz w:val="16"/>
        </w:rPr>
        <w:t xml:space="preserve"> </w:t>
      </w:r>
      <w:r>
        <w:rPr>
          <w:i/>
          <w:sz w:val="16"/>
        </w:rPr>
        <w:t>la</w:t>
      </w:r>
      <w:r>
        <w:rPr>
          <w:i/>
          <w:spacing w:val="-6"/>
          <w:sz w:val="16"/>
        </w:rPr>
        <w:t xml:space="preserve"> </w:t>
      </w:r>
      <w:r>
        <w:rPr>
          <w:i/>
          <w:sz w:val="16"/>
        </w:rPr>
        <w:t>Presidencia,</w:t>
      </w:r>
      <w:r>
        <w:rPr>
          <w:i/>
          <w:spacing w:val="-6"/>
          <w:sz w:val="16"/>
        </w:rPr>
        <w:t xml:space="preserve"> </w:t>
      </w:r>
      <w:r>
        <w:rPr>
          <w:i/>
          <w:sz w:val="16"/>
        </w:rPr>
        <w:t>de</w:t>
      </w:r>
      <w:r>
        <w:rPr>
          <w:i/>
          <w:spacing w:val="-5"/>
          <w:sz w:val="16"/>
        </w:rPr>
        <w:t xml:space="preserve"> </w:t>
      </w:r>
      <w:r>
        <w:rPr>
          <w:i/>
          <w:sz w:val="16"/>
        </w:rPr>
        <w:t>modo</w:t>
      </w:r>
      <w:r>
        <w:rPr>
          <w:i/>
          <w:spacing w:val="-4"/>
          <w:sz w:val="16"/>
        </w:rPr>
        <w:t xml:space="preserve"> </w:t>
      </w:r>
      <w:r>
        <w:rPr>
          <w:i/>
          <w:sz w:val="16"/>
        </w:rPr>
        <w:t>que</w:t>
      </w:r>
      <w:r>
        <w:rPr>
          <w:i/>
          <w:spacing w:val="-5"/>
          <w:sz w:val="16"/>
        </w:rPr>
        <w:t xml:space="preserve"> </w:t>
      </w:r>
      <w:r>
        <w:rPr>
          <w:i/>
          <w:sz w:val="16"/>
        </w:rPr>
        <w:t>puedan</w:t>
      </w:r>
      <w:r>
        <w:rPr>
          <w:i/>
          <w:spacing w:val="-6"/>
          <w:sz w:val="16"/>
        </w:rPr>
        <w:t xml:space="preserve"> </w:t>
      </w:r>
      <w:r>
        <w:rPr>
          <w:i/>
          <w:sz w:val="16"/>
        </w:rPr>
        <w:t>ser</w:t>
      </w:r>
      <w:r>
        <w:rPr>
          <w:i/>
          <w:spacing w:val="-6"/>
          <w:sz w:val="16"/>
        </w:rPr>
        <w:t xml:space="preserve"> </w:t>
      </w:r>
      <w:r>
        <w:rPr>
          <w:i/>
          <w:sz w:val="16"/>
        </w:rPr>
        <w:t>c</w:t>
      </w:r>
      <w:r>
        <w:rPr>
          <w:i/>
          <w:sz w:val="16"/>
        </w:rPr>
        <w:t>onocidos</w:t>
      </w:r>
      <w:r>
        <w:rPr>
          <w:i/>
          <w:spacing w:val="-6"/>
          <w:sz w:val="16"/>
        </w:rPr>
        <w:t xml:space="preserve"> </w:t>
      </w:r>
      <w:r>
        <w:rPr>
          <w:i/>
          <w:sz w:val="16"/>
        </w:rPr>
        <w:t>por</w:t>
      </w:r>
      <w:r>
        <w:rPr>
          <w:i/>
          <w:spacing w:val="-6"/>
          <w:sz w:val="16"/>
        </w:rPr>
        <w:t xml:space="preserve"> </w:t>
      </w:r>
      <w:r>
        <w:rPr>
          <w:i/>
          <w:sz w:val="16"/>
        </w:rPr>
        <w:t>los</w:t>
      </w:r>
      <w:r>
        <w:rPr>
          <w:i/>
          <w:spacing w:val="-5"/>
          <w:sz w:val="16"/>
        </w:rPr>
        <w:t xml:space="preserve"> </w:t>
      </w:r>
      <w:r>
        <w:rPr>
          <w:i/>
          <w:sz w:val="16"/>
        </w:rPr>
        <w:t>Jueces</w:t>
      </w:r>
      <w:r>
        <w:rPr>
          <w:i/>
          <w:spacing w:val="-5"/>
          <w:sz w:val="16"/>
        </w:rPr>
        <w:t xml:space="preserve"> </w:t>
      </w:r>
      <w:r>
        <w:rPr>
          <w:i/>
          <w:sz w:val="16"/>
        </w:rPr>
        <w:t>antes</w:t>
      </w:r>
      <w:r>
        <w:rPr>
          <w:i/>
          <w:spacing w:val="-5"/>
          <w:sz w:val="16"/>
        </w:rPr>
        <w:t xml:space="preserve"> </w:t>
      </w:r>
      <w:r>
        <w:rPr>
          <w:i/>
          <w:sz w:val="16"/>
        </w:rPr>
        <w:t>de</w:t>
      </w:r>
      <w:r>
        <w:rPr>
          <w:i/>
          <w:spacing w:val="-7"/>
          <w:sz w:val="16"/>
        </w:rPr>
        <w:t xml:space="preserve"> </w:t>
      </w:r>
      <w:r>
        <w:rPr>
          <w:i/>
          <w:sz w:val="16"/>
        </w:rPr>
        <w:t>la</w:t>
      </w:r>
      <w:r>
        <w:rPr>
          <w:i/>
          <w:spacing w:val="-6"/>
          <w:sz w:val="16"/>
        </w:rPr>
        <w:t xml:space="preserve"> </w:t>
      </w:r>
      <w:r>
        <w:rPr>
          <w:i/>
          <w:sz w:val="16"/>
        </w:rPr>
        <w:t>notificación de la sentencia. Dichos votos sólo podrán referirse a lo tratado en las</w:t>
      </w:r>
      <w:r>
        <w:rPr>
          <w:i/>
          <w:spacing w:val="-14"/>
          <w:sz w:val="16"/>
        </w:rPr>
        <w:t xml:space="preserve"> </w:t>
      </w:r>
      <w:r>
        <w:rPr>
          <w:i/>
          <w:sz w:val="16"/>
        </w:rPr>
        <w:t>sentencias.”</w:t>
      </w:r>
    </w:p>
    <w:p w14:paraId="75563C08" w14:textId="77777777" w:rsidR="00467FCA" w:rsidRDefault="001B68EB">
      <w:pPr>
        <w:ind w:left="470" w:right="391"/>
        <w:jc w:val="both"/>
        <w:rPr>
          <w:sz w:val="16"/>
        </w:rPr>
      </w:pPr>
      <w:r>
        <w:rPr>
          <w:sz w:val="16"/>
        </w:rPr>
        <w:t>En lo sucesivo, cada vez que se cite una disposición sin indicar el instrumento jurídico al que corresponde, se</w:t>
      </w:r>
      <w:bookmarkStart w:id="629" w:name="_bookmark550"/>
      <w:bookmarkEnd w:id="629"/>
      <w:r>
        <w:rPr>
          <w:sz w:val="16"/>
        </w:rPr>
        <w:t xml:space="preserve"> entenderá que es de la Convención Americana sobre Derechos Humanos.</w:t>
      </w:r>
    </w:p>
    <w:p w14:paraId="0849E7CF" w14:textId="77777777" w:rsidR="00467FCA" w:rsidRDefault="001B68EB">
      <w:pPr>
        <w:ind w:left="470"/>
        <w:jc w:val="both"/>
        <w:rPr>
          <w:sz w:val="16"/>
        </w:rPr>
      </w:pPr>
      <w:r>
        <w:rPr>
          <w:position w:val="6"/>
          <w:sz w:val="10"/>
        </w:rPr>
        <w:t xml:space="preserve">2 </w:t>
      </w:r>
      <w:r>
        <w:rPr>
          <w:sz w:val="16"/>
        </w:rPr>
        <w:t>En adelante, la Sentencia.</w:t>
      </w:r>
    </w:p>
    <w:p w14:paraId="164EAF11" w14:textId="77777777" w:rsidR="00467FCA" w:rsidRDefault="001B68EB">
      <w:pPr>
        <w:ind w:left="470" w:right="393" w:hanging="1"/>
        <w:jc w:val="both"/>
        <w:rPr>
          <w:i/>
          <w:sz w:val="16"/>
        </w:rPr>
      </w:pPr>
      <w:bookmarkStart w:id="630" w:name="_bookmark551"/>
      <w:bookmarkEnd w:id="630"/>
      <w:r>
        <w:rPr>
          <w:position w:val="6"/>
          <w:sz w:val="10"/>
        </w:rPr>
        <w:t>3</w:t>
      </w:r>
      <w:r>
        <w:rPr>
          <w:spacing w:val="9"/>
          <w:position w:val="6"/>
          <w:sz w:val="10"/>
        </w:rPr>
        <w:t xml:space="preserve"> </w:t>
      </w:r>
      <w:r>
        <w:rPr>
          <w:sz w:val="16"/>
        </w:rPr>
        <w:t>“</w:t>
      </w:r>
      <w:r>
        <w:rPr>
          <w:i/>
          <w:sz w:val="16"/>
        </w:rPr>
        <w:t>Desestimar</w:t>
      </w:r>
      <w:r>
        <w:rPr>
          <w:i/>
          <w:spacing w:val="-13"/>
          <w:sz w:val="16"/>
        </w:rPr>
        <w:t xml:space="preserve"> </w:t>
      </w:r>
      <w:r>
        <w:rPr>
          <w:i/>
          <w:sz w:val="16"/>
        </w:rPr>
        <w:t>la</w:t>
      </w:r>
      <w:r>
        <w:rPr>
          <w:i/>
          <w:spacing w:val="-14"/>
          <w:sz w:val="16"/>
        </w:rPr>
        <w:t xml:space="preserve"> </w:t>
      </w:r>
      <w:r>
        <w:rPr>
          <w:i/>
          <w:sz w:val="16"/>
        </w:rPr>
        <w:t>excepción</w:t>
      </w:r>
      <w:r>
        <w:rPr>
          <w:i/>
          <w:spacing w:val="-15"/>
          <w:sz w:val="16"/>
        </w:rPr>
        <w:t xml:space="preserve"> </w:t>
      </w:r>
      <w:r>
        <w:rPr>
          <w:i/>
          <w:sz w:val="16"/>
        </w:rPr>
        <w:t>preliminar</w:t>
      </w:r>
      <w:r>
        <w:rPr>
          <w:i/>
          <w:spacing w:val="-12"/>
          <w:sz w:val="16"/>
        </w:rPr>
        <w:t xml:space="preserve"> </w:t>
      </w:r>
      <w:r>
        <w:rPr>
          <w:i/>
          <w:sz w:val="16"/>
        </w:rPr>
        <w:t>relativa</w:t>
      </w:r>
      <w:r>
        <w:rPr>
          <w:i/>
          <w:spacing w:val="-13"/>
          <w:sz w:val="16"/>
        </w:rPr>
        <w:t xml:space="preserve"> </w:t>
      </w:r>
      <w:r>
        <w:rPr>
          <w:i/>
          <w:sz w:val="16"/>
        </w:rPr>
        <w:t>a</w:t>
      </w:r>
      <w:r>
        <w:rPr>
          <w:i/>
          <w:spacing w:val="-14"/>
          <w:sz w:val="16"/>
        </w:rPr>
        <w:t xml:space="preserve"> </w:t>
      </w:r>
      <w:r>
        <w:rPr>
          <w:i/>
          <w:sz w:val="16"/>
        </w:rPr>
        <w:t>la</w:t>
      </w:r>
      <w:r>
        <w:rPr>
          <w:i/>
          <w:spacing w:val="-15"/>
          <w:sz w:val="16"/>
        </w:rPr>
        <w:t xml:space="preserve"> </w:t>
      </w:r>
      <w:r>
        <w:rPr>
          <w:i/>
          <w:sz w:val="16"/>
        </w:rPr>
        <w:t>alegada</w:t>
      </w:r>
      <w:r>
        <w:rPr>
          <w:i/>
          <w:spacing w:val="-15"/>
          <w:sz w:val="16"/>
        </w:rPr>
        <w:t xml:space="preserve"> </w:t>
      </w:r>
      <w:r>
        <w:rPr>
          <w:i/>
          <w:sz w:val="16"/>
        </w:rPr>
        <w:t>incompetencia</w:t>
      </w:r>
      <w:r>
        <w:rPr>
          <w:i/>
          <w:spacing w:val="-16"/>
          <w:sz w:val="16"/>
        </w:rPr>
        <w:t xml:space="preserve"> </w:t>
      </w:r>
      <w:r>
        <w:rPr>
          <w:i/>
          <w:sz w:val="16"/>
        </w:rPr>
        <w:t>ratione</w:t>
      </w:r>
      <w:r>
        <w:rPr>
          <w:i/>
          <w:spacing w:val="-14"/>
          <w:sz w:val="16"/>
        </w:rPr>
        <w:t xml:space="preserve"> </w:t>
      </w:r>
      <w:r>
        <w:rPr>
          <w:i/>
          <w:sz w:val="16"/>
        </w:rPr>
        <w:t>materiae</w:t>
      </w:r>
      <w:r>
        <w:rPr>
          <w:i/>
          <w:spacing w:val="-18"/>
          <w:sz w:val="16"/>
        </w:rPr>
        <w:t xml:space="preserve"> </w:t>
      </w:r>
      <w:r>
        <w:rPr>
          <w:i/>
          <w:sz w:val="16"/>
        </w:rPr>
        <w:t>respecto</w:t>
      </w:r>
      <w:r>
        <w:rPr>
          <w:i/>
          <w:spacing w:val="-14"/>
          <w:sz w:val="16"/>
        </w:rPr>
        <w:t xml:space="preserve"> </w:t>
      </w:r>
      <w:r>
        <w:rPr>
          <w:i/>
          <w:sz w:val="16"/>
        </w:rPr>
        <w:t>de</w:t>
      </w:r>
      <w:r>
        <w:rPr>
          <w:i/>
          <w:spacing w:val="-14"/>
          <w:sz w:val="16"/>
        </w:rPr>
        <w:t xml:space="preserve"> </w:t>
      </w:r>
      <w:r>
        <w:rPr>
          <w:i/>
          <w:sz w:val="16"/>
        </w:rPr>
        <w:t>las</w:t>
      </w:r>
      <w:r>
        <w:rPr>
          <w:i/>
          <w:spacing w:val="-13"/>
          <w:sz w:val="16"/>
        </w:rPr>
        <w:t xml:space="preserve"> </w:t>
      </w:r>
      <w:r>
        <w:rPr>
          <w:i/>
          <w:sz w:val="16"/>
        </w:rPr>
        <w:t>supuestas violaciones al derecho al trabajo, de conformidad con el párrafo 23 de esta</w:t>
      </w:r>
      <w:r>
        <w:rPr>
          <w:i/>
          <w:spacing w:val="-15"/>
          <w:sz w:val="16"/>
        </w:rPr>
        <w:t xml:space="preserve"> </w:t>
      </w:r>
      <w:r>
        <w:rPr>
          <w:i/>
          <w:sz w:val="16"/>
        </w:rPr>
        <w:t>Sentencia</w:t>
      </w:r>
      <w:r>
        <w:rPr>
          <w:sz w:val="16"/>
        </w:rPr>
        <w:t>.</w:t>
      </w:r>
      <w:r>
        <w:rPr>
          <w:i/>
          <w:sz w:val="16"/>
        </w:rPr>
        <w:t>”</w:t>
      </w:r>
    </w:p>
    <w:p w14:paraId="639EE1DC" w14:textId="77777777" w:rsidR="00467FCA" w:rsidRDefault="001B68EB">
      <w:pPr>
        <w:ind w:left="470" w:right="393"/>
        <w:jc w:val="both"/>
        <w:rPr>
          <w:sz w:val="16"/>
        </w:rPr>
      </w:pPr>
      <w:bookmarkStart w:id="631" w:name="_bookmark552"/>
      <w:bookmarkEnd w:id="631"/>
      <w:r>
        <w:rPr>
          <w:position w:val="6"/>
          <w:sz w:val="10"/>
        </w:rPr>
        <w:t xml:space="preserve">4 </w:t>
      </w:r>
      <w:r>
        <w:rPr>
          <w:i/>
          <w:sz w:val="16"/>
        </w:rPr>
        <w:t>“El Estado es responsable por la violación de los derechos de la niña y del niño, a la igual pro</w:t>
      </w:r>
      <w:r>
        <w:rPr>
          <w:i/>
          <w:sz w:val="16"/>
        </w:rPr>
        <w:t>tección de la ley, a la prohibición de discriminación y al trabajo, contenidos en los artículos 19, 24 y 26, en relación con el artículo 1.1 de la Convención Americana sobre Derechos Humanos, en perjuicio de las sesenta personas fallecidas y los seis sobre</w:t>
      </w:r>
      <w:r>
        <w:rPr>
          <w:i/>
          <w:sz w:val="16"/>
        </w:rPr>
        <w:t>vivientes de la explosión de la fábrica de fuegos de Santo Antônio de Jesus, ocurrida el 11 de diciembre de 1998, a las que se refiere el párrafo 204 de esta Sentencia, entre los que se encuentran 23 niñas y niños, en los términos de los párrafos 148 a 204</w:t>
      </w:r>
      <w:r>
        <w:rPr>
          <w:i/>
          <w:sz w:val="16"/>
        </w:rPr>
        <w:t xml:space="preserve"> de esta</w:t>
      </w:r>
      <w:r>
        <w:rPr>
          <w:i/>
          <w:spacing w:val="-10"/>
          <w:sz w:val="16"/>
        </w:rPr>
        <w:t xml:space="preserve"> </w:t>
      </w:r>
      <w:r>
        <w:rPr>
          <w:i/>
          <w:sz w:val="16"/>
        </w:rPr>
        <w:t>sentencia</w:t>
      </w:r>
      <w:r>
        <w:rPr>
          <w:sz w:val="16"/>
        </w:rPr>
        <w:t>”.</w:t>
      </w:r>
    </w:p>
    <w:p w14:paraId="614BA816" w14:textId="77777777" w:rsidR="00467FCA" w:rsidRDefault="001B68EB">
      <w:pPr>
        <w:spacing w:line="194" w:lineRule="exact"/>
        <w:ind w:left="470"/>
        <w:jc w:val="both"/>
        <w:rPr>
          <w:sz w:val="16"/>
        </w:rPr>
      </w:pPr>
      <w:bookmarkStart w:id="632" w:name="_bookmark553"/>
      <w:bookmarkEnd w:id="632"/>
      <w:r>
        <w:rPr>
          <w:position w:val="6"/>
          <w:sz w:val="10"/>
        </w:rPr>
        <w:t xml:space="preserve">5 </w:t>
      </w:r>
      <w:r>
        <w:rPr>
          <w:sz w:val="16"/>
        </w:rPr>
        <w:t>En adelante, la Convención.</w:t>
      </w:r>
    </w:p>
    <w:p w14:paraId="2E7C34CD" w14:textId="77777777" w:rsidR="00467FCA" w:rsidRDefault="001B68EB">
      <w:pPr>
        <w:ind w:left="470"/>
        <w:jc w:val="both"/>
        <w:rPr>
          <w:sz w:val="16"/>
        </w:rPr>
      </w:pPr>
      <w:bookmarkStart w:id="633" w:name="_bookmark554"/>
      <w:bookmarkEnd w:id="633"/>
      <w:r>
        <w:rPr>
          <w:position w:val="6"/>
          <w:sz w:val="10"/>
        </w:rPr>
        <w:t xml:space="preserve">6 </w:t>
      </w:r>
      <w:r>
        <w:rPr>
          <w:sz w:val="16"/>
        </w:rPr>
        <w:t>En adelante, la Corte.</w:t>
      </w:r>
    </w:p>
    <w:p w14:paraId="6E026A05" w14:textId="77777777" w:rsidR="00467FCA" w:rsidRDefault="001B68EB">
      <w:pPr>
        <w:spacing w:before="1"/>
        <w:ind w:left="469" w:right="392"/>
        <w:jc w:val="both"/>
        <w:rPr>
          <w:i/>
          <w:sz w:val="16"/>
        </w:rPr>
      </w:pPr>
      <w:bookmarkStart w:id="634" w:name="_bookmark555"/>
      <w:bookmarkEnd w:id="634"/>
      <w:r>
        <w:rPr>
          <w:i/>
          <w:position w:val="6"/>
          <w:sz w:val="10"/>
        </w:rPr>
        <w:t xml:space="preserve">7 </w:t>
      </w:r>
      <w:r>
        <w:rPr>
          <w:i/>
          <w:sz w:val="16"/>
        </w:rPr>
        <w:t>“El Estado es responsable por la violación de los derechos a la vida y del niño y de la niña contenidos en los artículos</w:t>
      </w:r>
      <w:r>
        <w:rPr>
          <w:i/>
          <w:spacing w:val="-9"/>
          <w:sz w:val="16"/>
        </w:rPr>
        <w:t xml:space="preserve"> </w:t>
      </w:r>
      <w:r>
        <w:rPr>
          <w:i/>
          <w:sz w:val="16"/>
        </w:rPr>
        <w:t>4.1</w:t>
      </w:r>
      <w:r>
        <w:rPr>
          <w:i/>
          <w:spacing w:val="-11"/>
          <w:sz w:val="16"/>
        </w:rPr>
        <w:t xml:space="preserve"> </w:t>
      </w:r>
      <w:r>
        <w:rPr>
          <w:i/>
          <w:sz w:val="16"/>
        </w:rPr>
        <w:t>y</w:t>
      </w:r>
      <w:r>
        <w:rPr>
          <w:i/>
          <w:spacing w:val="-9"/>
          <w:sz w:val="16"/>
        </w:rPr>
        <w:t xml:space="preserve"> </w:t>
      </w:r>
      <w:r>
        <w:rPr>
          <w:i/>
          <w:sz w:val="16"/>
        </w:rPr>
        <w:t>19,</w:t>
      </w:r>
      <w:r>
        <w:rPr>
          <w:i/>
          <w:spacing w:val="-11"/>
          <w:sz w:val="16"/>
        </w:rPr>
        <w:t xml:space="preserve"> </w:t>
      </w:r>
      <w:r>
        <w:rPr>
          <w:i/>
          <w:sz w:val="16"/>
        </w:rPr>
        <w:t>en</w:t>
      </w:r>
      <w:r>
        <w:rPr>
          <w:i/>
          <w:spacing w:val="-11"/>
          <w:sz w:val="16"/>
        </w:rPr>
        <w:t xml:space="preserve"> </w:t>
      </w:r>
      <w:r>
        <w:rPr>
          <w:i/>
          <w:sz w:val="16"/>
        </w:rPr>
        <w:t>relación</w:t>
      </w:r>
      <w:r>
        <w:rPr>
          <w:i/>
          <w:spacing w:val="-11"/>
          <w:sz w:val="16"/>
        </w:rPr>
        <w:t xml:space="preserve"> </w:t>
      </w:r>
      <w:r>
        <w:rPr>
          <w:i/>
          <w:sz w:val="16"/>
        </w:rPr>
        <w:t>con</w:t>
      </w:r>
      <w:r>
        <w:rPr>
          <w:i/>
          <w:spacing w:val="-11"/>
          <w:sz w:val="16"/>
        </w:rPr>
        <w:t xml:space="preserve"> </w:t>
      </w:r>
      <w:r>
        <w:rPr>
          <w:i/>
          <w:sz w:val="16"/>
        </w:rPr>
        <w:t>el</w:t>
      </w:r>
      <w:r>
        <w:rPr>
          <w:i/>
          <w:spacing w:val="-8"/>
          <w:sz w:val="16"/>
        </w:rPr>
        <w:t xml:space="preserve"> </w:t>
      </w:r>
      <w:r>
        <w:rPr>
          <w:i/>
          <w:sz w:val="16"/>
        </w:rPr>
        <w:t>artículo</w:t>
      </w:r>
      <w:r>
        <w:rPr>
          <w:i/>
          <w:spacing w:val="-9"/>
          <w:sz w:val="16"/>
        </w:rPr>
        <w:t xml:space="preserve"> </w:t>
      </w:r>
      <w:r>
        <w:rPr>
          <w:i/>
          <w:sz w:val="16"/>
        </w:rPr>
        <w:t>1.1</w:t>
      </w:r>
      <w:r>
        <w:rPr>
          <w:i/>
          <w:spacing w:val="-9"/>
          <w:sz w:val="16"/>
        </w:rPr>
        <w:t xml:space="preserve"> </w:t>
      </w:r>
      <w:r>
        <w:rPr>
          <w:i/>
          <w:sz w:val="16"/>
        </w:rPr>
        <w:t>de</w:t>
      </w:r>
      <w:r>
        <w:rPr>
          <w:i/>
          <w:spacing w:val="-10"/>
          <w:sz w:val="16"/>
        </w:rPr>
        <w:t xml:space="preserve"> </w:t>
      </w:r>
      <w:r>
        <w:rPr>
          <w:i/>
          <w:sz w:val="16"/>
        </w:rPr>
        <w:t>la</w:t>
      </w:r>
      <w:r>
        <w:rPr>
          <w:i/>
          <w:spacing w:val="-10"/>
          <w:sz w:val="16"/>
        </w:rPr>
        <w:t xml:space="preserve"> </w:t>
      </w:r>
      <w:r>
        <w:rPr>
          <w:i/>
          <w:sz w:val="16"/>
        </w:rPr>
        <w:t>Convenció</w:t>
      </w:r>
      <w:r>
        <w:rPr>
          <w:i/>
          <w:sz w:val="16"/>
        </w:rPr>
        <w:t>n</w:t>
      </w:r>
      <w:r>
        <w:rPr>
          <w:i/>
          <w:spacing w:val="-11"/>
          <w:sz w:val="16"/>
        </w:rPr>
        <w:t xml:space="preserve"> </w:t>
      </w:r>
      <w:r>
        <w:rPr>
          <w:i/>
          <w:sz w:val="16"/>
        </w:rPr>
        <w:t>Americana</w:t>
      </w:r>
      <w:r>
        <w:rPr>
          <w:i/>
          <w:spacing w:val="-11"/>
          <w:sz w:val="16"/>
        </w:rPr>
        <w:t xml:space="preserve"> </w:t>
      </w:r>
      <w:r>
        <w:rPr>
          <w:i/>
          <w:sz w:val="16"/>
        </w:rPr>
        <w:t>sobre</w:t>
      </w:r>
      <w:r>
        <w:rPr>
          <w:i/>
          <w:spacing w:val="-10"/>
          <w:sz w:val="16"/>
        </w:rPr>
        <w:t xml:space="preserve"> </w:t>
      </w:r>
      <w:r>
        <w:rPr>
          <w:i/>
          <w:sz w:val="16"/>
        </w:rPr>
        <w:t>Derechos</w:t>
      </w:r>
      <w:r>
        <w:rPr>
          <w:i/>
          <w:spacing w:val="-10"/>
          <w:sz w:val="16"/>
        </w:rPr>
        <w:t xml:space="preserve"> </w:t>
      </w:r>
      <w:r>
        <w:rPr>
          <w:i/>
          <w:sz w:val="16"/>
        </w:rPr>
        <w:t>Humanos,</w:t>
      </w:r>
      <w:r>
        <w:rPr>
          <w:i/>
          <w:spacing w:val="-11"/>
          <w:sz w:val="16"/>
        </w:rPr>
        <w:t xml:space="preserve"> </w:t>
      </w:r>
      <w:r>
        <w:rPr>
          <w:i/>
          <w:sz w:val="16"/>
        </w:rPr>
        <w:t>en</w:t>
      </w:r>
      <w:r>
        <w:rPr>
          <w:i/>
          <w:spacing w:val="-11"/>
          <w:sz w:val="16"/>
        </w:rPr>
        <w:t xml:space="preserve"> </w:t>
      </w:r>
      <w:r>
        <w:rPr>
          <w:i/>
          <w:sz w:val="16"/>
        </w:rPr>
        <w:t>perjuicio de</w:t>
      </w:r>
      <w:r>
        <w:rPr>
          <w:i/>
          <w:spacing w:val="-2"/>
          <w:sz w:val="16"/>
        </w:rPr>
        <w:t xml:space="preserve"> </w:t>
      </w:r>
      <w:r>
        <w:rPr>
          <w:i/>
          <w:sz w:val="16"/>
        </w:rPr>
        <w:t>las</w:t>
      </w:r>
      <w:r>
        <w:rPr>
          <w:i/>
          <w:spacing w:val="-2"/>
          <w:sz w:val="16"/>
        </w:rPr>
        <w:t xml:space="preserve"> </w:t>
      </w:r>
      <w:r>
        <w:rPr>
          <w:i/>
          <w:sz w:val="16"/>
        </w:rPr>
        <w:t>sesenta</w:t>
      </w:r>
      <w:r>
        <w:rPr>
          <w:i/>
          <w:spacing w:val="-2"/>
          <w:sz w:val="16"/>
        </w:rPr>
        <w:t xml:space="preserve"> </w:t>
      </w:r>
      <w:r>
        <w:rPr>
          <w:i/>
          <w:sz w:val="16"/>
        </w:rPr>
        <w:t>personas</w:t>
      </w:r>
      <w:r>
        <w:rPr>
          <w:i/>
          <w:spacing w:val="-5"/>
          <w:sz w:val="16"/>
        </w:rPr>
        <w:t xml:space="preserve"> </w:t>
      </w:r>
      <w:r>
        <w:rPr>
          <w:i/>
          <w:sz w:val="16"/>
        </w:rPr>
        <w:t>fallecidas</w:t>
      </w:r>
      <w:r>
        <w:rPr>
          <w:i/>
          <w:spacing w:val="-1"/>
          <w:sz w:val="16"/>
        </w:rPr>
        <w:t xml:space="preserve"> </w:t>
      </w:r>
      <w:r>
        <w:rPr>
          <w:i/>
          <w:sz w:val="16"/>
        </w:rPr>
        <w:t>en</w:t>
      </w:r>
      <w:r>
        <w:rPr>
          <w:i/>
          <w:spacing w:val="-4"/>
          <w:sz w:val="16"/>
        </w:rPr>
        <w:t xml:space="preserve"> </w:t>
      </w:r>
      <w:r>
        <w:rPr>
          <w:i/>
          <w:sz w:val="16"/>
        </w:rPr>
        <w:t>la</w:t>
      </w:r>
      <w:r>
        <w:rPr>
          <w:i/>
          <w:spacing w:val="-3"/>
          <w:sz w:val="16"/>
        </w:rPr>
        <w:t xml:space="preserve"> </w:t>
      </w:r>
      <w:r>
        <w:rPr>
          <w:i/>
          <w:sz w:val="16"/>
        </w:rPr>
        <w:t>explosión</w:t>
      </w:r>
      <w:r>
        <w:rPr>
          <w:i/>
          <w:spacing w:val="-5"/>
          <w:sz w:val="16"/>
        </w:rPr>
        <w:t xml:space="preserve"> </w:t>
      </w:r>
      <w:r>
        <w:rPr>
          <w:i/>
          <w:sz w:val="16"/>
        </w:rPr>
        <w:t>de</w:t>
      </w:r>
      <w:r>
        <w:rPr>
          <w:i/>
          <w:spacing w:val="-2"/>
          <w:sz w:val="16"/>
        </w:rPr>
        <w:t xml:space="preserve"> </w:t>
      </w:r>
      <w:r>
        <w:rPr>
          <w:i/>
          <w:sz w:val="16"/>
        </w:rPr>
        <w:t>la</w:t>
      </w:r>
      <w:r>
        <w:rPr>
          <w:i/>
          <w:spacing w:val="-2"/>
          <w:sz w:val="16"/>
        </w:rPr>
        <w:t xml:space="preserve"> </w:t>
      </w:r>
      <w:r>
        <w:rPr>
          <w:i/>
          <w:sz w:val="16"/>
        </w:rPr>
        <w:t>fábrica</w:t>
      </w:r>
      <w:r>
        <w:rPr>
          <w:i/>
          <w:spacing w:val="-3"/>
          <w:sz w:val="16"/>
        </w:rPr>
        <w:t xml:space="preserve"> </w:t>
      </w:r>
      <w:r>
        <w:rPr>
          <w:i/>
          <w:sz w:val="16"/>
        </w:rPr>
        <w:t>de</w:t>
      </w:r>
      <w:r>
        <w:rPr>
          <w:i/>
          <w:spacing w:val="-4"/>
          <w:sz w:val="16"/>
        </w:rPr>
        <w:t xml:space="preserve"> </w:t>
      </w:r>
      <w:r>
        <w:rPr>
          <w:i/>
          <w:sz w:val="16"/>
        </w:rPr>
        <w:t>fuegos</w:t>
      </w:r>
      <w:r>
        <w:rPr>
          <w:i/>
          <w:spacing w:val="-2"/>
          <w:sz w:val="16"/>
        </w:rPr>
        <w:t xml:space="preserve"> </w:t>
      </w:r>
      <w:r>
        <w:rPr>
          <w:i/>
          <w:sz w:val="16"/>
        </w:rPr>
        <w:t>de</w:t>
      </w:r>
      <w:r>
        <w:rPr>
          <w:i/>
          <w:spacing w:val="-2"/>
          <w:sz w:val="16"/>
        </w:rPr>
        <w:t xml:space="preserve"> </w:t>
      </w:r>
      <w:r>
        <w:rPr>
          <w:i/>
          <w:sz w:val="16"/>
        </w:rPr>
        <w:t>Santo</w:t>
      </w:r>
      <w:r>
        <w:rPr>
          <w:i/>
          <w:spacing w:val="-3"/>
          <w:sz w:val="16"/>
        </w:rPr>
        <w:t xml:space="preserve"> </w:t>
      </w:r>
      <w:r>
        <w:rPr>
          <w:i/>
          <w:sz w:val="16"/>
        </w:rPr>
        <w:t>Antônio</w:t>
      </w:r>
      <w:r>
        <w:rPr>
          <w:i/>
          <w:spacing w:val="-2"/>
          <w:sz w:val="16"/>
        </w:rPr>
        <w:t xml:space="preserve"> </w:t>
      </w:r>
      <w:r>
        <w:rPr>
          <w:i/>
          <w:sz w:val="16"/>
        </w:rPr>
        <w:t>de</w:t>
      </w:r>
      <w:r>
        <w:rPr>
          <w:i/>
          <w:spacing w:val="-1"/>
          <w:sz w:val="16"/>
        </w:rPr>
        <w:t xml:space="preserve"> </w:t>
      </w:r>
      <w:r>
        <w:rPr>
          <w:i/>
          <w:sz w:val="16"/>
        </w:rPr>
        <w:t>Jesus,</w:t>
      </w:r>
      <w:r>
        <w:rPr>
          <w:i/>
          <w:spacing w:val="-3"/>
          <w:sz w:val="16"/>
        </w:rPr>
        <w:t xml:space="preserve"> </w:t>
      </w:r>
      <w:r>
        <w:rPr>
          <w:i/>
          <w:sz w:val="16"/>
        </w:rPr>
        <w:t>ocurrida</w:t>
      </w:r>
      <w:r>
        <w:rPr>
          <w:i/>
          <w:spacing w:val="-3"/>
          <w:sz w:val="16"/>
        </w:rPr>
        <w:t xml:space="preserve"> </w:t>
      </w:r>
      <w:r>
        <w:rPr>
          <w:i/>
          <w:sz w:val="16"/>
        </w:rPr>
        <w:t>el</w:t>
      </w:r>
      <w:r>
        <w:rPr>
          <w:i/>
          <w:spacing w:val="-5"/>
          <w:sz w:val="16"/>
        </w:rPr>
        <w:t xml:space="preserve"> </w:t>
      </w:r>
      <w:r>
        <w:rPr>
          <w:i/>
          <w:sz w:val="16"/>
        </w:rPr>
        <w:t>11</w:t>
      </w:r>
    </w:p>
    <w:p w14:paraId="6DAA41F1" w14:textId="77777777" w:rsidR="00467FCA" w:rsidRDefault="00467FCA">
      <w:pPr>
        <w:jc w:val="both"/>
        <w:rPr>
          <w:sz w:val="16"/>
        </w:rPr>
        <w:sectPr w:rsidR="00467FCA">
          <w:footerReference w:type="default" r:id="rId60"/>
          <w:pgSz w:w="12240" w:h="15840"/>
          <w:pgMar w:top="1340" w:right="1140" w:bottom="1200" w:left="960" w:header="0" w:footer="1002" w:gutter="0"/>
          <w:pgNumType w:start="1"/>
          <w:cols w:space="720"/>
        </w:sectPr>
      </w:pPr>
    </w:p>
    <w:p w14:paraId="37B0ABC5" w14:textId="77777777" w:rsidR="00467FCA" w:rsidRDefault="001B68EB">
      <w:pPr>
        <w:pStyle w:val="Ttulo1"/>
        <w:numPr>
          <w:ilvl w:val="1"/>
          <w:numId w:val="32"/>
        </w:numPr>
        <w:tabs>
          <w:tab w:val="left" w:pos="1450"/>
        </w:tabs>
        <w:spacing w:before="76"/>
        <w:ind w:left="1449" w:hanging="980"/>
        <w:jc w:val="both"/>
      </w:pPr>
      <w:r>
        <w:t>CONSIDERACIONES GENERALES</w:t>
      </w:r>
      <w:r>
        <w:rPr>
          <w:spacing w:val="-2"/>
        </w:rPr>
        <w:t xml:space="preserve"> </w:t>
      </w:r>
      <w:r>
        <w:t>PREVIAS.</w:t>
      </w:r>
    </w:p>
    <w:p w14:paraId="0FBA69BA" w14:textId="77777777" w:rsidR="00467FCA" w:rsidRDefault="00467FCA">
      <w:pPr>
        <w:pStyle w:val="Textoindependiente"/>
        <w:rPr>
          <w:b/>
          <w:sz w:val="26"/>
        </w:rPr>
      </w:pPr>
    </w:p>
    <w:p w14:paraId="7D76D125" w14:textId="77777777" w:rsidR="00467FCA" w:rsidRDefault="001B68EB">
      <w:pPr>
        <w:pStyle w:val="Prrafodelista"/>
        <w:numPr>
          <w:ilvl w:val="0"/>
          <w:numId w:val="31"/>
        </w:numPr>
        <w:tabs>
          <w:tab w:val="left" w:pos="1442"/>
          <w:tab w:val="left" w:pos="1443"/>
        </w:tabs>
        <w:spacing w:before="1"/>
        <w:ind w:left="1442" w:hanging="973"/>
        <w:jc w:val="both"/>
        <w:rPr>
          <w:sz w:val="20"/>
        </w:rPr>
      </w:pPr>
      <w:r>
        <w:rPr>
          <w:sz w:val="20"/>
        </w:rPr>
        <w:t>Evidentemente, este escrito se emite respetando lo resuelto en</w:t>
      </w:r>
      <w:r>
        <w:rPr>
          <w:spacing w:val="-10"/>
          <w:sz w:val="20"/>
        </w:rPr>
        <w:t xml:space="preserve"> </w:t>
      </w:r>
      <w:r>
        <w:rPr>
          <w:sz w:val="20"/>
        </w:rPr>
        <w:t>autos.</w:t>
      </w:r>
    </w:p>
    <w:p w14:paraId="52426AB5" w14:textId="77777777" w:rsidR="00467FCA" w:rsidRDefault="00467FCA">
      <w:pPr>
        <w:pStyle w:val="Textoindependiente"/>
        <w:spacing w:before="2"/>
        <w:rPr>
          <w:sz w:val="25"/>
        </w:rPr>
      </w:pPr>
    </w:p>
    <w:p w14:paraId="59047BBE" w14:textId="77777777" w:rsidR="00467FCA" w:rsidRDefault="001B68EB">
      <w:pPr>
        <w:pStyle w:val="Prrafodelista"/>
        <w:numPr>
          <w:ilvl w:val="0"/>
          <w:numId w:val="31"/>
        </w:numPr>
        <w:tabs>
          <w:tab w:val="left" w:pos="1442"/>
          <w:tab w:val="left" w:pos="1443"/>
        </w:tabs>
        <w:spacing w:line="276" w:lineRule="auto"/>
        <w:ind w:right="397" w:firstLine="0"/>
        <w:jc w:val="both"/>
        <w:rPr>
          <w:sz w:val="20"/>
        </w:rPr>
      </w:pPr>
      <w:r>
        <w:rPr>
          <w:sz w:val="20"/>
        </w:rPr>
        <w:t>Ahora bien, este voto se fundamenta en el principio de Derecho Público, ámbito al que</w:t>
      </w:r>
      <w:r>
        <w:rPr>
          <w:spacing w:val="-10"/>
          <w:sz w:val="20"/>
        </w:rPr>
        <w:t xml:space="preserve"> </w:t>
      </w:r>
      <w:r>
        <w:rPr>
          <w:sz w:val="20"/>
        </w:rPr>
        <w:t>pertenece</w:t>
      </w:r>
      <w:r>
        <w:rPr>
          <w:spacing w:val="-8"/>
          <w:sz w:val="20"/>
        </w:rPr>
        <w:t xml:space="preserve"> </w:t>
      </w:r>
      <w:r>
        <w:rPr>
          <w:sz w:val="20"/>
        </w:rPr>
        <w:t>el</w:t>
      </w:r>
      <w:r>
        <w:rPr>
          <w:spacing w:val="-8"/>
          <w:sz w:val="20"/>
        </w:rPr>
        <w:t xml:space="preserve"> </w:t>
      </w:r>
      <w:r>
        <w:rPr>
          <w:sz w:val="20"/>
        </w:rPr>
        <w:t>Derecho</w:t>
      </w:r>
      <w:r>
        <w:rPr>
          <w:spacing w:val="-10"/>
          <w:sz w:val="20"/>
        </w:rPr>
        <w:t xml:space="preserve"> </w:t>
      </w:r>
      <w:r>
        <w:rPr>
          <w:sz w:val="20"/>
        </w:rPr>
        <w:t>Internacional</w:t>
      </w:r>
      <w:r>
        <w:rPr>
          <w:spacing w:val="-7"/>
          <w:sz w:val="20"/>
        </w:rPr>
        <w:t xml:space="preserve"> </w:t>
      </w:r>
      <w:r>
        <w:rPr>
          <w:sz w:val="20"/>
        </w:rPr>
        <w:t>Público</w:t>
      </w:r>
      <w:r>
        <w:rPr>
          <w:spacing w:val="-8"/>
          <w:sz w:val="20"/>
        </w:rPr>
        <w:t xml:space="preserve"> </w:t>
      </w:r>
      <w:r>
        <w:rPr>
          <w:sz w:val="20"/>
        </w:rPr>
        <w:t>y,</w:t>
      </w:r>
      <w:r>
        <w:rPr>
          <w:spacing w:val="-9"/>
          <w:sz w:val="20"/>
        </w:rPr>
        <w:t xml:space="preserve"> </w:t>
      </w:r>
      <w:r>
        <w:rPr>
          <w:sz w:val="20"/>
        </w:rPr>
        <w:t>por</w:t>
      </w:r>
      <w:r>
        <w:rPr>
          <w:spacing w:val="-10"/>
          <w:sz w:val="20"/>
        </w:rPr>
        <w:t xml:space="preserve"> </w:t>
      </w:r>
      <w:r>
        <w:rPr>
          <w:sz w:val="20"/>
        </w:rPr>
        <w:t>ende,</w:t>
      </w:r>
      <w:r>
        <w:rPr>
          <w:spacing w:val="-8"/>
          <w:sz w:val="20"/>
        </w:rPr>
        <w:t xml:space="preserve"> </w:t>
      </w:r>
      <w:r>
        <w:rPr>
          <w:sz w:val="20"/>
        </w:rPr>
        <w:t>como</w:t>
      </w:r>
      <w:r>
        <w:rPr>
          <w:spacing w:val="-10"/>
          <w:sz w:val="20"/>
        </w:rPr>
        <w:t xml:space="preserve"> </w:t>
      </w:r>
      <w:r>
        <w:rPr>
          <w:sz w:val="20"/>
        </w:rPr>
        <w:t>integrante</w:t>
      </w:r>
      <w:r>
        <w:rPr>
          <w:spacing w:val="-10"/>
          <w:sz w:val="20"/>
        </w:rPr>
        <w:t xml:space="preserve"> </w:t>
      </w:r>
      <w:r>
        <w:rPr>
          <w:sz w:val="20"/>
        </w:rPr>
        <w:t>de</w:t>
      </w:r>
      <w:r>
        <w:rPr>
          <w:spacing w:val="-8"/>
          <w:sz w:val="20"/>
        </w:rPr>
        <w:t xml:space="preserve"> </w:t>
      </w:r>
      <w:r>
        <w:rPr>
          <w:sz w:val="20"/>
        </w:rPr>
        <w:t>esta</w:t>
      </w:r>
      <w:r>
        <w:rPr>
          <w:spacing w:val="-8"/>
          <w:sz w:val="20"/>
        </w:rPr>
        <w:t xml:space="preserve"> </w:t>
      </w:r>
      <w:r>
        <w:rPr>
          <w:sz w:val="20"/>
        </w:rPr>
        <w:t>último, también</w:t>
      </w:r>
      <w:r>
        <w:rPr>
          <w:spacing w:val="-15"/>
          <w:sz w:val="20"/>
        </w:rPr>
        <w:t xml:space="preserve"> </w:t>
      </w:r>
      <w:r>
        <w:rPr>
          <w:sz w:val="20"/>
        </w:rPr>
        <w:t>el</w:t>
      </w:r>
      <w:r>
        <w:rPr>
          <w:spacing w:val="-17"/>
          <w:sz w:val="20"/>
        </w:rPr>
        <w:t xml:space="preserve"> </w:t>
      </w:r>
      <w:r>
        <w:rPr>
          <w:sz w:val="20"/>
        </w:rPr>
        <w:t>Derecho</w:t>
      </w:r>
      <w:r>
        <w:rPr>
          <w:spacing w:val="-16"/>
          <w:sz w:val="20"/>
        </w:rPr>
        <w:t xml:space="preserve"> </w:t>
      </w:r>
      <w:r>
        <w:rPr>
          <w:sz w:val="20"/>
        </w:rPr>
        <w:t>Internacional</w:t>
      </w:r>
      <w:r>
        <w:rPr>
          <w:spacing w:val="-15"/>
          <w:sz w:val="20"/>
        </w:rPr>
        <w:t xml:space="preserve"> </w:t>
      </w:r>
      <w:r>
        <w:rPr>
          <w:sz w:val="20"/>
        </w:rPr>
        <w:t>de</w:t>
      </w:r>
      <w:r>
        <w:rPr>
          <w:spacing w:val="-16"/>
          <w:sz w:val="20"/>
        </w:rPr>
        <w:t xml:space="preserve"> </w:t>
      </w:r>
      <w:r>
        <w:rPr>
          <w:sz w:val="20"/>
        </w:rPr>
        <w:t>los</w:t>
      </w:r>
      <w:r>
        <w:rPr>
          <w:spacing w:val="-16"/>
          <w:sz w:val="20"/>
        </w:rPr>
        <w:t xml:space="preserve"> </w:t>
      </w:r>
      <w:r>
        <w:rPr>
          <w:sz w:val="20"/>
        </w:rPr>
        <w:t>Derechos</w:t>
      </w:r>
      <w:r>
        <w:rPr>
          <w:spacing w:val="-16"/>
          <w:sz w:val="20"/>
        </w:rPr>
        <w:t xml:space="preserve"> </w:t>
      </w:r>
      <w:r>
        <w:rPr>
          <w:sz w:val="20"/>
        </w:rPr>
        <w:t>Humanos,</w:t>
      </w:r>
      <w:r>
        <w:rPr>
          <w:spacing w:val="-16"/>
          <w:sz w:val="20"/>
        </w:rPr>
        <w:t xml:space="preserve"> </w:t>
      </w:r>
      <w:r>
        <w:rPr>
          <w:sz w:val="20"/>
        </w:rPr>
        <w:t>en</w:t>
      </w:r>
      <w:r>
        <w:rPr>
          <w:spacing w:val="-14"/>
          <w:sz w:val="20"/>
        </w:rPr>
        <w:t xml:space="preserve"> </w:t>
      </w:r>
      <w:r>
        <w:rPr>
          <w:sz w:val="20"/>
        </w:rPr>
        <w:t>virtud</w:t>
      </w:r>
      <w:r>
        <w:rPr>
          <w:spacing w:val="-16"/>
          <w:sz w:val="20"/>
        </w:rPr>
        <w:t xml:space="preserve"> </w:t>
      </w:r>
      <w:r>
        <w:rPr>
          <w:sz w:val="20"/>
        </w:rPr>
        <w:t>del</w:t>
      </w:r>
      <w:r>
        <w:rPr>
          <w:spacing w:val="-17"/>
          <w:sz w:val="20"/>
        </w:rPr>
        <w:t xml:space="preserve"> </w:t>
      </w:r>
      <w:r>
        <w:rPr>
          <w:sz w:val="20"/>
        </w:rPr>
        <w:t>cual,</w:t>
      </w:r>
      <w:r>
        <w:rPr>
          <w:spacing w:val="-16"/>
          <w:sz w:val="20"/>
        </w:rPr>
        <w:t xml:space="preserve"> </w:t>
      </w:r>
      <w:r>
        <w:rPr>
          <w:sz w:val="20"/>
        </w:rPr>
        <w:t>solo</w:t>
      </w:r>
      <w:r>
        <w:rPr>
          <w:spacing w:val="-14"/>
          <w:sz w:val="20"/>
        </w:rPr>
        <w:t xml:space="preserve"> </w:t>
      </w:r>
      <w:r>
        <w:rPr>
          <w:sz w:val="20"/>
        </w:rPr>
        <w:t>se</w:t>
      </w:r>
      <w:r>
        <w:rPr>
          <w:spacing w:val="-16"/>
          <w:sz w:val="20"/>
        </w:rPr>
        <w:t xml:space="preserve"> </w:t>
      </w:r>
      <w:r>
        <w:rPr>
          <w:sz w:val="20"/>
        </w:rPr>
        <w:t>puede hacer</w:t>
      </w:r>
      <w:r>
        <w:rPr>
          <w:spacing w:val="-9"/>
          <w:sz w:val="20"/>
        </w:rPr>
        <w:t xml:space="preserve"> </w:t>
      </w:r>
      <w:r>
        <w:rPr>
          <w:sz w:val="20"/>
        </w:rPr>
        <w:t>lo</w:t>
      </w:r>
      <w:r>
        <w:rPr>
          <w:spacing w:val="-10"/>
          <w:sz w:val="20"/>
        </w:rPr>
        <w:t xml:space="preserve"> </w:t>
      </w:r>
      <w:r>
        <w:rPr>
          <w:sz w:val="20"/>
        </w:rPr>
        <w:t>que</w:t>
      </w:r>
      <w:r>
        <w:rPr>
          <w:spacing w:val="-11"/>
          <w:sz w:val="20"/>
        </w:rPr>
        <w:t xml:space="preserve"> </w:t>
      </w:r>
      <w:r>
        <w:rPr>
          <w:sz w:val="20"/>
        </w:rPr>
        <w:t>la</w:t>
      </w:r>
      <w:r>
        <w:rPr>
          <w:spacing w:val="-9"/>
          <w:sz w:val="20"/>
        </w:rPr>
        <w:t xml:space="preserve"> </w:t>
      </w:r>
      <w:r>
        <w:rPr>
          <w:sz w:val="20"/>
        </w:rPr>
        <w:t>norma</w:t>
      </w:r>
      <w:r>
        <w:rPr>
          <w:spacing w:val="-10"/>
          <w:sz w:val="20"/>
        </w:rPr>
        <w:t xml:space="preserve"> </w:t>
      </w:r>
      <w:r>
        <w:rPr>
          <w:sz w:val="20"/>
        </w:rPr>
        <w:t>permite,</w:t>
      </w:r>
      <w:r>
        <w:rPr>
          <w:spacing w:val="-10"/>
          <w:sz w:val="20"/>
        </w:rPr>
        <w:t xml:space="preserve"> </w:t>
      </w:r>
      <w:r>
        <w:rPr>
          <w:sz w:val="20"/>
        </w:rPr>
        <w:t>por</w:t>
      </w:r>
      <w:r>
        <w:rPr>
          <w:spacing w:val="-10"/>
          <w:sz w:val="20"/>
        </w:rPr>
        <w:t xml:space="preserve"> </w:t>
      </w:r>
      <w:r>
        <w:rPr>
          <w:sz w:val="20"/>
        </w:rPr>
        <w:t>lo</w:t>
      </w:r>
      <w:r>
        <w:rPr>
          <w:spacing w:val="-11"/>
          <w:sz w:val="20"/>
        </w:rPr>
        <w:t xml:space="preserve"> </w:t>
      </w:r>
      <w:r>
        <w:rPr>
          <w:sz w:val="20"/>
        </w:rPr>
        <w:t>que</w:t>
      </w:r>
      <w:r>
        <w:rPr>
          <w:spacing w:val="-8"/>
          <w:sz w:val="20"/>
        </w:rPr>
        <w:t xml:space="preserve"> </w:t>
      </w:r>
      <w:r>
        <w:rPr>
          <w:sz w:val="20"/>
        </w:rPr>
        <w:t>lo</w:t>
      </w:r>
      <w:r>
        <w:rPr>
          <w:spacing w:val="-10"/>
          <w:sz w:val="20"/>
        </w:rPr>
        <w:t xml:space="preserve"> </w:t>
      </w:r>
      <w:r>
        <w:rPr>
          <w:sz w:val="20"/>
        </w:rPr>
        <w:t>no</w:t>
      </w:r>
      <w:r>
        <w:rPr>
          <w:spacing w:val="-9"/>
          <w:sz w:val="20"/>
        </w:rPr>
        <w:t xml:space="preserve"> </w:t>
      </w:r>
      <w:r>
        <w:rPr>
          <w:sz w:val="20"/>
        </w:rPr>
        <w:t>regulado</w:t>
      </w:r>
      <w:r>
        <w:rPr>
          <w:spacing w:val="-8"/>
          <w:sz w:val="20"/>
        </w:rPr>
        <w:t xml:space="preserve"> </w:t>
      </w:r>
      <w:r>
        <w:rPr>
          <w:sz w:val="20"/>
        </w:rPr>
        <w:t>se</w:t>
      </w:r>
      <w:r>
        <w:rPr>
          <w:spacing w:val="-11"/>
          <w:sz w:val="20"/>
        </w:rPr>
        <w:t xml:space="preserve"> </w:t>
      </w:r>
      <w:r>
        <w:rPr>
          <w:sz w:val="20"/>
        </w:rPr>
        <w:t>inserta</w:t>
      </w:r>
      <w:r>
        <w:rPr>
          <w:spacing w:val="-7"/>
          <w:sz w:val="20"/>
        </w:rPr>
        <w:t xml:space="preserve"> </w:t>
      </w:r>
      <w:r>
        <w:rPr>
          <w:sz w:val="20"/>
        </w:rPr>
        <w:t>en</w:t>
      </w:r>
      <w:r>
        <w:rPr>
          <w:spacing w:val="-9"/>
          <w:sz w:val="20"/>
        </w:rPr>
        <w:t xml:space="preserve"> </w:t>
      </w:r>
      <w:r>
        <w:rPr>
          <w:sz w:val="20"/>
        </w:rPr>
        <w:t>la</w:t>
      </w:r>
      <w:r>
        <w:rPr>
          <w:spacing w:val="-9"/>
          <w:sz w:val="20"/>
        </w:rPr>
        <w:t xml:space="preserve"> </w:t>
      </w:r>
      <w:r>
        <w:rPr>
          <w:sz w:val="20"/>
        </w:rPr>
        <w:t>jurisdicción</w:t>
      </w:r>
      <w:r>
        <w:rPr>
          <w:spacing w:val="-8"/>
          <w:sz w:val="20"/>
        </w:rPr>
        <w:t xml:space="preserve"> </w:t>
      </w:r>
      <w:r>
        <w:rPr>
          <w:sz w:val="20"/>
        </w:rPr>
        <w:t>interna, doméstica o exclusiva de los Estados</w:t>
      </w:r>
      <w:hyperlink w:anchor="_bookmark556" w:history="1">
        <w:r>
          <w:rPr>
            <w:position w:val="7"/>
            <w:sz w:val="13"/>
          </w:rPr>
          <w:t>8</w:t>
        </w:r>
      </w:hyperlink>
      <w:r>
        <w:rPr>
          <w:sz w:val="20"/>
        </w:rPr>
        <w:t>. Dicho principio difiere, entonces, del imperante en Derecho Privado, a saber, que se puede hacer todo lo que la norma no</w:t>
      </w:r>
      <w:r>
        <w:rPr>
          <w:spacing w:val="-20"/>
          <w:sz w:val="20"/>
        </w:rPr>
        <w:t xml:space="preserve"> </w:t>
      </w:r>
      <w:r>
        <w:rPr>
          <w:sz w:val="20"/>
        </w:rPr>
        <w:t>prohíbe.</w:t>
      </w:r>
    </w:p>
    <w:p w14:paraId="1C0C07A2" w14:textId="77777777" w:rsidR="00467FCA" w:rsidRDefault="00467FCA">
      <w:pPr>
        <w:pStyle w:val="Textoindependiente"/>
        <w:spacing w:before="4"/>
        <w:rPr>
          <w:sz w:val="22"/>
        </w:rPr>
      </w:pPr>
    </w:p>
    <w:p w14:paraId="148DA300" w14:textId="77777777" w:rsidR="00467FCA" w:rsidRDefault="001B68EB">
      <w:pPr>
        <w:pStyle w:val="Prrafodelista"/>
        <w:numPr>
          <w:ilvl w:val="0"/>
          <w:numId w:val="31"/>
        </w:numPr>
        <w:tabs>
          <w:tab w:val="left" w:pos="1442"/>
          <w:tab w:val="left" w:pos="1443"/>
        </w:tabs>
        <w:spacing w:line="276" w:lineRule="auto"/>
        <w:ind w:right="395" w:firstLine="0"/>
        <w:jc w:val="both"/>
        <w:rPr>
          <w:sz w:val="20"/>
        </w:rPr>
      </w:pPr>
      <w:r>
        <w:rPr>
          <w:sz w:val="20"/>
        </w:rPr>
        <w:t>También</w:t>
      </w:r>
      <w:r>
        <w:rPr>
          <w:spacing w:val="-7"/>
          <w:sz w:val="20"/>
        </w:rPr>
        <w:t xml:space="preserve"> </w:t>
      </w:r>
      <w:r>
        <w:rPr>
          <w:sz w:val="20"/>
        </w:rPr>
        <w:t>este</w:t>
      </w:r>
      <w:r>
        <w:rPr>
          <w:spacing w:val="-7"/>
          <w:sz w:val="20"/>
        </w:rPr>
        <w:t xml:space="preserve"> </w:t>
      </w:r>
      <w:r>
        <w:rPr>
          <w:sz w:val="20"/>
        </w:rPr>
        <w:t>texto</w:t>
      </w:r>
      <w:r>
        <w:rPr>
          <w:spacing w:val="-9"/>
          <w:sz w:val="20"/>
        </w:rPr>
        <w:t xml:space="preserve"> </w:t>
      </w:r>
      <w:r>
        <w:rPr>
          <w:sz w:val="20"/>
        </w:rPr>
        <w:t>se</w:t>
      </w:r>
      <w:r>
        <w:rPr>
          <w:spacing w:val="-9"/>
          <w:sz w:val="20"/>
        </w:rPr>
        <w:t xml:space="preserve"> </w:t>
      </w:r>
      <w:r>
        <w:rPr>
          <w:sz w:val="20"/>
        </w:rPr>
        <w:t>basa</w:t>
      </w:r>
      <w:r>
        <w:rPr>
          <w:spacing w:val="-5"/>
          <w:sz w:val="20"/>
        </w:rPr>
        <w:t xml:space="preserve"> </w:t>
      </w:r>
      <w:r>
        <w:rPr>
          <w:sz w:val="20"/>
        </w:rPr>
        <w:t>en</w:t>
      </w:r>
      <w:r>
        <w:rPr>
          <w:spacing w:val="-4"/>
          <w:sz w:val="20"/>
        </w:rPr>
        <w:t xml:space="preserve"> </w:t>
      </w:r>
      <w:r>
        <w:rPr>
          <w:sz w:val="20"/>
        </w:rPr>
        <w:t>el</w:t>
      </w:r>
      <w:r>
        <w:rPr>
          <w:spacing w:val="-7"/>
          <w:sz w:val="20"/>
        </w:rPr>
        <w:t xml:space="preserve"> </w:t>
      </w:r>
      <w:r>
        <w:rPr>
          <w:sz w:val="20"/>
        </w:rPr>
        <w:t>valor</w:t>
      </w:r>
      <w:r>
        <w:rPr>
          <w:spacing w:val="-9"/>
          <w:sz w:val="20"/>
        </w:rPr>
        <w:t xml:space="preserve"> </w:t>
      </w:r>
      <w:r>
        <w:rPr>
          <w:sz w:val="20"/>
        </w:rPr>
        <w:t>del</w:t>
      </w:r>
      <w:r>
        <w:rPr>
          <w:spacing w:val="-6"/>
          <w:sz w:val="20"/>
        </w:rPr>
        <w:t xml:space="preserve"> </w:t>
      </w:r>
      <w:r>
        <w:rPr>
          <w:sz w:val="20"/>
        </w:rPr>
        <w:t>De</w:t>
      </w:r>
      <w:r>
        <w:rPr>
          <w:sz w:val="20"/>
        </w:rPr>
        <w:t>recho,</w:t>
      </w:r>
      <w:r>
        <w:rPr>
          <w:spacing w:val="-9"/>
          <w:sz w:val="20"/>
        </w:rPr>
        <w:t xml:space="preserve"> </w:t>
      </w:r>
      <w:r>
        <w:rPr>
          <w:sz w:val="20"/>
        </w:rPr>
        <w:t>incluyendo</w:t>
      </w:r>
      <w:r>
        <w:rPr>
          <w:spacing w:val="-7"/>
          <w:sz w:val="20"/>
        </w:rPr>
        <w:t xml:space="preserve"> </w:t>
      </w:r>
      <w:r>
        <w:rPr>
          <w:sz w:val="20"/>
        </w:rPr>
        <w:t>en</w:t>
      </w:r>
      <w:r>
        <w:rPr>
          <w:spacing w:val="-7"/>
          <w:sz w:val="20"/>
        </w:rPr>
        <w:t xml:space="preserve"> </w:t>
      </w:r>
      <w:r>
        <w:rPr>
          <w:sz w:val="20"/>
        </w:rPr>
        <w:t>él</w:t>
      </w:r>
      <w:r>
        <w:rPr>
          <w:spacing w:val="-7"/>
          <w:sz w:val="20"/>
        </w:rPr>
        <w:t xml:space="preserve"> </w:t>
      </w:r>
      <w:r>
        <w:rPr>
          <w:sz w:val="20"/>
        </w:rPr>
        <w:t>a</w:t>
      </w:r>
      <w:r>
        <w:rPr>
          <w:spacing w:val="-8"/>
          <w:sz w:val="20"/>
        </w:rPr>
        <w:t xml:space="preserve"> </w:t>
      </w:r>
      <w:r>
        <w:rPr>
          <w:sz w:val="20"/>
        </w:rPr>
        <w:t>sus</w:t>
      </w:r>
      <w:r>
        <w:rPr>
          <w:spacing w:val="-6"/>
          <w:sz w:val="20"/>
        </w:rPr>
        <w:t xml:space="preserve"> </w:t>
      </w:r>
      <w:r>
        <w:rPr>
          <w:sz w:val="20"/>
        </w:rPr>
        <w:t>normas procesales,</w:t>
      </w:r>
      <w:r>
        <w:rPr>
          <w:spacing w:val="-19"/>
          <w:sz w:val="20"/>
        </w:rPr>
        <w:t xml:space="preserve"> </w:t>
      </w:r>
      <w:r>
        <w:rPr>
          <w:sz w:val="20"/>
        </w:rPr>
        <w:t>que,</w:t>
      </w:r>
      <w:r>
        <w:rPr>
          <w:spacing w:val="-17"/>
          <w:sz w:val="20"/>
        </w:rPr>
        <w:t xml:space="preserve"> </w:t>
      </w:r>
      <w:r>
        <w:rPr>
          <w:sz w:val="20"/>
        </w:rPr>
        <w:t>especialmente</w:t>
      </w:r>
      <w:r>
        <w:rPr>
          <w:spacing w:val="-17"/>
          <w:sz w:val="20"/>
        </w:rPr>
        <w:t xml:space="preserve"> </w:t>
      </w:r>
      <w:r>
        <w:rPr>
          <w:sz w:val="20"/>
        </w:rPr>
        <w:t>en</w:t>
      </w:r>
      <w:r>
        <w:rPr>
          <w:spacing w:val="-16"/>
          <w:sz w:val="20"/>
        </w:rPr>
        <w:t xml:space="preserve"> </w:t>
      </w:r>
      <w:r>
        <w:rPr>
          <w:sz w:val="20"/>
        </w:rPr>
        <w:t>el</w:t>
      </w:r>
      <w:r>
        <w:rPr>
          <w:spacing w:val="-16"/>
          <w:sz w:val="20"/>
        </w:rPr>
        <w:t xml:space="preserve"> </w:t>
      </w:r>
      <w:r>
        <w:rPr>
          <w:sz w:val="20"/>
        </w:rPr>
        <w:t>área</w:t>
      </w:r>
      <w:r>
        <w:rPr>
          <w:spacing w:val="-18"/>
          <w:sz w:val="20"/>
        </w:rPr>
        <w:t xml:space="preserve"> </w:t>
      </w:r>
      <w:r>
        <w:rPr>
          <w:sz w:val="20"/>
        </w:rPr>
        <w:t>de</w:t>
      </w:r>
      <w:r>
        <w:rPr>
          <w:spacing w:val="-19"/>
          <w:sz w:val="20"/>
        </w:rPr>
        <w:t xml:space="preserve"> </w:t>
      </w:r>
      <w:r>
        <w:rPr>
          <w:sz w:val="20"/>
        </w:rPr>
        <w:t>los</w:t>
      </w:r>
      <w:r>
        <w:rPr>
          <w:spacing w:val="-17"/>
          <w:sz w:val="20"/>
        </w:rPr>
        <w:t xml:space="preserve"> </w:t>
      </w:r>
      <w:r>
        <w:rPr>
          <w:sz w:val="20"/>
        </w:rPr>
        <w:t>derechos</w:t>
      </w:r>
      <w:r>
        <w:rPr>
          <w:spacing w:val="-19"/>
          <w:sz w:val="20"/>
        </w:rPr>
        <w:t xml:space="preserve"> </w:t>
      </w:r>
      <w:r>
        <w:rPr>
          <w:sz w:val="20"/>
        </w:rPr>
        <w:t>humanos,</w:t>
      </w:r>
      <w:r>
        <w:rPr>
          <w:spacing w:val="-16"/>
          <w:sz w:val="20"/>
        </w:rPr>
        <w:t xml:space="preserve"> </w:t>
      </w:r>
      <w:r>
        <w:rPr>
          <w:sz w:val="20"/>
        </w:rPr>
        <w:t>son</w:t>
      </w:r>
      <w:r>
        <w:rPr>
          <w:spacing w:val="-15"/>
          <w:sz w:val="20"/>
        </w:rPr>
        <w:t xml:space="preserve"> </w:t>
      </w:r>
      <w:r>
        <w:rPr>
          <w:sz w:val="20"/>
        </w:rPr>
        <w:t>tan</w:t>
      </w:r>
      <w:r>
        <w:rPr>
          <w:spacing w:val="-17"/>
          <w:sz w:val="20"/>
        </w:rPr>
        <w:t xml:space="preserve"> </w:t>
      </w:r>
      <w:r>
        <w:rPr>
          <w:sz w:val="20"/>
        </w:rPr>
        <w:t>esenciales</w:t>
      </w:r>
      <w:r>
        <w:rPr>
          <w:spacing w:val="-19"/>
          <w:sz w:val="20"/>
        </w:rPr>
        <w:t xml:space="preserve"> </w:t>
      </w:r>
      <w:r>
        <w:rPr>
          <w:sz w:val="20"/>
        </w:rPr>
        <w:t>como las sustantivas, puesto que su respeto permite que estas últimas realmente puedan ser efectivas. Así, la forma es indisolublemente ligada al fondo. Y es que, en gran medida, las normas procesales, estimadas a veces como meras formalidades y, por ende,</w:t>
      </w:r>
      <w:r>
        <w:rPr>
          <w:sz w:val="20"/>
        </w:rPr>
        <w:t xml:space="preserve"> susceptibles de</w:t>
      </w:r>
      <w:r>
        <w:rPr>
          <w:spacing w:val="-15"/>
          <w:sz w:val="20"/>
        </w:rPr>
        <w:t xml:space="preserve"> </w:t>
      </w:r>
      <w:r>
        <w:rPr>
          <w:sz w:val="20"/>
        </w:rPr>
        <w:t>no</w:t>
      </w:r>
      <w:r>
        <w:rPr>
          <w:spacing w:val="-11"/>
          <w:sz w:val="20"/>
        </w:rPr>
        <w:t xml:space="preserve"> </w:t>
      </w:r>
      <w:r>
        <w:rPr>
          <w:sz w:val="20"/>
        </w:rPr>
        <w:t>considerarse</w:t>
      </w:r>
      <w:r>
        <w:rPr>
          <w:spacing w:val="-15"/>
          <w:sz w:val="20"/>
        </w:rPr>
        <w:t xml:space="preserve"> </w:t>
      </w:r>
      <w:r>
        <w:rPr>
          <w:sz w:val="20"/>
        </w:rPr>
        <w:t>a</w:t>
      </w:r>
      <w:r>
        <w:rPr>
          <w:spacing w:val="-10"/>
          <w:sz w:val="20"/>
        </w:rPr>
        <w:t xml:space="preserve"> </w:t>
      </w:r>
      <w:r>
        <w:rPr>
          <w:sz w:val="20"/>
        </w:rPr>
        <w:t>fin</w:t>
      </w:r>
      <w:r>
        <w:rPr>
          <w:spacing w:val="-10"/>
          <w:sz w:val="20"/>
        </w:rPr>
        <w:t xml:space="preserve"> </w:t>
      </w:r>
      <w:r>
        <w:rPr>
          <w:sz w:val="20"/>
        </w:rPr>
        <w:t>de</w:t>
      </w:r>
      <w:r>
        <w:rPr>
          <w:spacing w:val="-14"/>
          <w:sz w:val="20"/>
        </w:rPr>
        <w:t xml:space="preserve"> </w:t>
      </w:r>
      <w:r>
        <w:rPr>
          <w:sz w:val="20"/>
        </w:rPr>
        <w:t>privilegiar</w:t>
      </w:r>
      <w:r>
        <w:rPr>
          <w:spacing w:val="-12"/>
          <w:sz w:val="20"/>
        </w:rPr>
        <w:t xml:space="preserve"> </w:t>
      </w:r>
      <w:r>
        <w:rPr>
          <w:sz w:val="20"/>
        </w:rPr>
        <w:t>a</w:t>
      </w:r>
      <w:r>
        <w:rPr>
          <w:spacing w:val="-12"/>
          <w:sz w:val="20"/>
        </w:rPr>
        <w:t xml:space="preserve"> </w:t>
      </w:r>
      <w:r>
        <w:rPr>
          <w:sz w:val="20"/>
        </w:rPr>
        <w:t>las</w:t>
      </w:r>
      <w:r>
        <w:rPr>
          <w:spacing w:val="-11"/>
          <w:sz w:val="20"/>
        </w:rPr>
        <w:t xml:space="preserve"> </w:t>
      </w:r>
      <w:r>
        <w:rPr>
          <w:sz w:val="20"/>
        </w:rPr>
        <w:t>sustantivas,</w:t>
      </w:r>
      <w:r>
        <w:rPr>
          <w:spacing w:val="-14"/>
          <w:sz w:val="20"/>
        </w:rPr>
        <w:t xml:space="preserve"> </w:t>
      </w:r>
      <w:r>
        <w:rPr>
          <w:sz w:val="20"/>
        </w:rPr>
        <w:t>condicionan</w:t>
      </w:r>
      <w:r>
        <w:rPr>
          <w:spacing w:val="-12"/>
          <w:sz w:val="20"/>
        </w:rPr>
        <w:t xml:space="preserve"> </w:t>
      </w:r>
      <w:r>
        <w:rPr>
          <w:sz w:val="20"/>
        </w:rPr>
        <w:t>la</w:t>
      </w:r>
      <w:r>
        <w:rPr>
          <w:spacing w:val="-14"/>
          <w:sz w:val="20"/>
        </w:rPr>
        <w:t xml:space="preserve"> </w:t>
      </w:r>
      <w:r>
        <w:rPr>
          <w:sz w:val="20"/>
        </w:rPr>
        <w:t>aplicabilidad</w:t>
      </w:r>
      <w:r>
        <w:rPr>
          <w:spacing w:val="-12"/>
          <w:sz w:val="20"/>
        </w:rPr>
        <w:t xml:space="preserve"> </w:t>
      </w:r>
      <w:r>
        <w:rPr>
          <w:sz w:val="20"/>
        </w:rPr>
        <w:t>de</w:t>
      </w:r>
      <w:r>
        <w:rPr>
          <w:spacing w:val="-14"/>
          <w:sz w:val="20"/>
        </w:rPr>
        <w:t xml:space="preserve"> </w:t>
      </w:r>
      <w:r>
        <w:rPr>
          <w:sz w:val="20"/>
        </w:rPr>
        <w:t>éstas. Por ende, en el evento de subestimarse, por parte de una instancia judicial internacional, a las normas procesales, se podría estar alentando al</w:t>
      </w:r>
      <w:r>
        <w:rPr>
          <w:sz w:val="20"/>
        </w:rPr>
        <w:t xml:space="preserve"> conjunto de la sociedad internacional y, aún,</w:t>
      </w:r>
      <w:r>
        <w:rPr>
          <w:spacing w:val="-13"/>
          <w:sz w:val="20"/>
        </w:rPr>
        <w:t xml:space="preserve"> </w:t>
      </w:r>
      <w:r>
        <w:rPr>
          <w:sz w:val="20"/>
        </w:rPr>
        <w:t>a</w:t>
      </w:r>
      <w:r>
        <w:rPr>
          <w:spacing w:val="-11"/>
          <w:sz w:val="20"/>
        </w:rPr>
        <w:t xml:space="preserve"> </w:t>
      </w:r>
      <w:r>
        <w:rPr>
          <w:sz w:val="20"/>
        </w:rPr>
        <w:t>las</w:t>
      </w:r>
      <w:r>
        <w:rPr>
          <w:spacing w:val="-10"/>
          <w:sz w:val="20"/>
        </w:rPr>
        <w:t xml:space="preserve"> </w:t>
      </w:r>
      <w:r>
        <w:rPr>
          <w:sz w:val="20"/>
        </w:rPr>
        <w:t>sociedades</w:t>
      </w:r>
      <w:r>
        <w:rPr>
          <w:spacing w:val="-12"/>
          <w:sz w:val="20"/>
        </w:rPr>
        <w:t xml:space="preserve"> </w:t>
      </w:r>
      <w:r>
        <w:rPr>
          <w:sz w:val="20"/>
        </w:rPr>
        <w:t>nacionales,</w:t>
      </w:r>
      <w:r>
        <w:rPr>
          <w:spacing w:val="-10"/>
          <w:sz w:val="20"/>
        </w:rPr>
        <w:t xml:space="preserve"> </w:t>
      </w:r>
      <w:r>
        <w:rPr>
          <w:sz w:val="20"/>
        </w:rPr>
        <w:t>a</w:t>
      </w:r>
      <w:r>
        <w:rPr>
          <w:spacing w:val="-11"/>
          <w:sz w:val="20"/>
        </w:rPr>
        <w:t xml:space="preserve"> </w:t>
      </w:r>
      <w:r>
        <w:rPr>
          <w:sz w:val="20"/>
        </w:rPr>
        <w:t>actuar</w:t>
      </w:r>
      <w:r>
        <w:rPr>
          <w:spacing w:val="-13"/>
          <w:sz w:val="20"/>
        </w:rPr>
        <w:t xml:space="preserve"> </w:t>
      </w:r>
      <w:r>
        <w:rPr>
          <w:sz w:val="20"/>
        </w:rPr>
        <w:t>del</w:t>
      </w:r>
      <w:r>
        <w:rPr>
          <w:spacing w:val="-11"/>
          <w:sz w:val="20"/>
        </w:rPr>
        <w:t xml:space="preserve"> </w:t>
      </w:r>
      <w:r>
        <w:rPr>
          <w:sz w:val="20"/>
        </w:rPr>
        <w:t>mismo</w:t>
      </w:r>
      <w:r>
        <w:rPr>
          <w:spacing w:val="-10"/>
          <w:sz w:val="20"/>
        </w:rPr>
        <w:t xml:space="preserve"> </w:t>
      </w:r>
      <w:r>
        <w:rPr>
          <w:sz w:val="20"/>
        </w:rPr>
        <w:t>modo,</w:t>
      </w:r>
      <w:r>
        <w:rPr>
          <w:spacing w:val="-11"/>
          <w:sz w:val="20"/>
        </w:rPr>
        <w:t xml:space="preserve"> </w:t>
      </w:r>
      <w:r>
        <w:rPr>
          <w:sz w:val="20"/>
        </w:rPr>
        <w:t>lo</w:t>
      </w:r>
      <w:r>
        <w:rPr>
          <w:spacing w:val="-10"/>
          <w:sz w:val="20"/>
        </w:rPr>
        <w:t xml:space="preserve"> </w:t>
      </w:r>
      <w:r>
        <w:rPr>
          <w:sz w:val="20"/>
        </w:rPr>
        <w:t>que</w:t>
      </w:r>
      <w:r>
        <w:rPr>
          <w:spacing w:val="-10"/>
          <w:sz w:val="20"/>
        </w:rPr>
        <w:t xml:space="preserve"> </w:t>
      </w:r>
      <w:r>
        <w:rPr>
          <w:sz w:val="20"/>
        </w:rPr>
        <w:t>podría</w:t>
      </w:r>
      <w:r>
        <w:rPr>
          <w:spacing w:val="-12"/>
          <w:sz w:val="20"/>
        </w:rPr>
        <w:t xml:space="preserve"> </w:t>
      </w:r>
      <w:r>
        <w:rPr>
          <w:sz w:val="20"/>
        </w:rPr>
        <w:t>provocar</w:t>
      </w:r>
      <w:r>
        <w:rPr>
          <w:spacing w:val="-13"/>
          <w:sz w:val="20"/>
        </w:rPr>
        <w:t xml:space="preserve"> </w:t>
      </w:r>
      <w:r>
        <w:rPr>
          <w:sz w:val="20"/>
        </w:rPr>
        <w:t>un</w:t>
      </w:r>
      <w:r>
        <w:rPr>
          <w:spacing w:val="-8"/>
          <w:sz w:val="20"/>
        </w:rPr>
        <w:t xml:space="preserve"> </w:t>
      </w:r>
      <w:r>
        <w:rPr>
          <w:sz w:val="20"/>
        </w:rPr>
        <w:t>efecto devastador en lo que respecta a la efectiva vigencia del Derecho Internacional de los Derechos Humanos.</w:t>
      </w:r>
    </w:p>
    <w:p w14:paraId="18B305FA" w14:textId="77777777" w:rsidR="00467FCA" w:rsidRDefault="00467FCA">
      <w:pPr>
        <w:pStyle w:val="Textoindependiente"/>
        <w:spacing w:before="1"/>
        <w:rPr>
          <w:sz w:val="22"/>
        </w:rPr>
      </w:pPr>
    </w:p>
    <w:p w14:paraId="26F90C88" w14:textId="77777777" w:rsidR="00467FCA" w:rsidRDefault="001B68EB">
      <w:pPr>
        <w:pStyle w:val="Prrafodelista"/>
        <w:numPr>
          <w:ilvl w:val="0"/>
          <w:numId w:val="31"/>
        </w:numPr>
        <w:tabs>
          <w:tab w:val="left" w:pos="1442"/>
          <w:tab w:val="left" w:pos="1443"/>
        </w:tabs>
        <w:spacing w:line="276" w:lineRule="auto"/>
        <w:ind w:right="396" w:firstLine="0"/>
        <w:jc w:val="both"/>
        <w:rPr>
          <w:sz w:val="20"/>
        </w:rPr>
      </w:pPr>
      <w:r>
        <w:rPr>
          <w:sz w:val="20"/>
        </w:rPr>
        <w:t>En tal orden de ideas, se considera que indudablemente las normas jurídicas son el resultado de acuerdos entre sus autores, los legisladores en la escena nacional y los Estados en la internacional, los que arriban a aquellos conciliando posiciones adoptada</w:t>
      </w:r>
      <w:r>
        <w:rPr>
          <w:sz w:val="20"/>
        </w:rPr>
        <w:t>s en vista de llevar a la práctica principios, doctrinas e ideologías, resguardar intereses propios</w:t>
      </w:r>
      <w:r>
        <w:rPr>
          <w:spacing w:val="-50"/>
          <w:sz w:val="20"/>
        </w:rPr>
        <w:t xml:space="preserve"> </w:t>
      </w:r>
      <w:r>
        <w:rPr>
          <w:sz w:val="20"/>
        </w:rPr>
        <w:t>o de terceros, consolidar o acrecentar posiciones de poder, obtener beneficios económicos, etc. Por ello, igualmente se tiene en cuenta que, por lo general,</w:t>
      </w:r>
      <w:r>
        <w:rPr>
          <w:sz w:val="20"/>
        </w:rPr>
        <w:t xml:space="preserve"> el referido consenso no lo es tanto sobre los fundamentos de la respectiva norma como en lo que ella</w:t>
      </w:r>
      <w:r>
        <w:rPr>
          <w:spacing w:val="-20"/>
          <w:sz w:val="20"/>
        </w:rPr>
        <w:t xml:space="preserve"> </w:t>
      </w:r>
      <w:r>
        <w:rPr>
          <w:sz w:val="20"/>
        </w:rPr>
        <w:t>expresa.</w:t>
      </w:r>
    </w:p>
    <w:p w14:paraId="3B628689" w14:textId="77777777" w:rsidR="00467FCA" w:rsidRDefault="00467FCA">
      <w:pPr>
        <w:pStyle w:val="Textoindependiente"/>
        <w:spacing w:before="4"/>
        <w:rPr>
          <w:sz w:val="22"/>
        </w:rPr>
      </w:pPr>
    </w:p>
    <w:p w14:paraId="4DD01A66" w14:textId="77777777" w:rsidR="00467FCA" w:rsidRDefault="001B68EB">
      <w:pPr>
        <w:pStyle w:val="Prrafodelista"/>
        <w:numPr>
          <w:ilvl w:val="0"/>
          <w:numId w:val="31"/>
        </w:numPr>
        <w:tabs>
          <w:tab w:val="left" w:pos="1442"/>
          <w:tab w:val="left" w:pos="1443"/>
        </w:tabs>
        <w:spacing w:line="276" w:lineRule="auto"/>
        <w:ind w:right="397" w:firstLine="0"/>
        <w:jc w:val="both"/>
        <w:rPr>
          <w:sz w:val="20"/>
        </w:rPr>
      </w:pPr>
      <w:r>
        <w:rPr>
          <w:sz w:val="20"/>
        </w:rPr>
        <w:t>En lo que respecta a la materia en cuestión, tal consenso constituye más bien, siguiendo lo que se expresó a propósito de la Declaración Univers</w:t>
      </w:r>
      <w:r>
        <w:rPr>
          <w:sz w:val="20"/>
        </w:rPr>
        <w:t>al de Derechos Humanos, un acuerdo práctico de lo que se convenía, más no sobre los fundamentos de ello. Dada la estructura</w:t>
      </w:r>
      <w:r>
        <w:rPr>
          <w:spacing w:val="14"/>
          <w:sz w:val="20"/>
        </w:rPr>
        <w:t xml:space="preserve"> </w:t>
      </w:r>
      <w:r>
        <w:rPr>
          <w:sz w:val="20"/>
        </w:rPr>
        <w:t>societaria</w:t>
      </w:r>
      <w:r>
        <w:rPr>
          <w:spacing w:val="17"/>
          <w:sz w:val="20"/>
        </w:rPr>
        <w:t xml:space="preserve"> </w:t>
      </w:r>
      <w:r>
        <w:rPr>
          <w:sz w:val="20"/>
        </w:rPr>
        <w:t>internacional,</w:t>
      </w:r>
      <w:r>
        <w:rPr>
          <w:spacing w:val="15"/>
          <w:sz w:val="20"/>
        </w:rPr>
        <w:t xml:space="preserve"> </w:t>
      </w:r>
      <w:r>
        <w:rPr>
          <w:sz w:val="20"/>
        </w:rPr>
        <w:t>básicamente</w:t>
      </w:r>
      <w:r>
        <w:rPr>
          <w:spacing w:val="14"/>
          <w:sz w:val="20"/>
        </w:rPr>
        <w:t xml:space="preserve"> </w:t>
      </w:r>
      <w:r>
        <w:rPr>
          <w:sz w:val="20"/>
        </w:rPr>
        <w:t>aún</w:t>
      </w:r>
      <w:r>
        <w:rPr>
          <w:spacing w:val="15"/>
          <w:sz w:val="20"/>
        </w:rPr>
        <w:t xml:space="preserve"> </w:t>
      </w:r>
      <w:r>
        <w:rPr>
          <w:sz w:val="20"/>
        </w:rPr>
        <w:t>formada</w:t>
      </w:r>
      <w:r>
        <w:rPr>
          <w:spacing w:val="15"/>
          <w:sz w:val="20"/>
        </w:rPr>
        <w:t xml:space="preserve"> </w:t>
      </w:r>
      <w:r>
        <w:rPr>
          <w:sz w:val="20"/>
        </w:rPr>
        <w:t>por</w:t>
      </w:r>
      <w:r>
        <w:rPr>
          <w:spacing w:val="15"/>
          <w:sz w:val="20"/>
        </w:rPr>
        <w:t xml:space="preserve"> </w:t>
      </w:r>
      <w:r>
        <w:rPr>
          <w:sz w:val="20"/>
        </w:rPr>
        <w:t>Estados</w:t>
      </w:r>
      <w:r>
        <w:rPr>
          <w:spacing w:val="17"/>
          <w:sz w:val="20"/>
        </w:rPr>
        <w:t xml:space="preserve"> </w:t>
      </w:r>
      <w:r>
        <w:rPr>
          <w:sz w:val="20"/>
        </w:rPr>
        <w:t>soberanos,</w:t>
      </w:r>
      <w:r>
        <w:rPr>
          <w:spacing w:val="16"/>
          <w:sz w:val="20"/>
        </w:rPr>
        <w:t xml:space="preserve"> </w:t>
      </w:r>
      <w:r>
        <w:rPr>
          <w:sz w:val="20"/>
        </w:rPr>
        <w:t>este</w:t>
      </w:r>
    </w:p>
    <w:p w14:paraId="439192B9" w14:textId="77777777" w:rsidR="00467FCA" w:rsidRDefault="00467FCA">
      <w:pPr>
        <w:pStyle w:val="Textoindependiente"/>
      </w:pPr>
    </w:p>
    <w:p w14:paraId="42B68A9D" w14:textId="77777777" w:rsidR="00467FCA" w:rsidRDefault="001B68EB">
      <w:pPr>
        <w:pStyle w:val="Textoindependiente"/>
        <w:spacing w:before="5"/>
        <w:rPr>
          <w:sz w:val="27"/>
        </w:rPr>
      </w:pPr>
      <w:r>
        <w:pict w14:anchorId="511D2F47">
          <v:shape id="_x0000_s1104" style="position:absolute;margin-left:56.75pt;margin-top:19.05pt;width:2in;height:.1pt;z-index:-251564032;mso-wrap-distance-left:0;mso-wrap-distance-right:0;mso-position-horizontal-relative:page" coordorigin="1135,381" coordsize="2880,0" path="m1135,381r2880,e" filled="f" strokeweight=".72pt">
            <v:path arrowok="t"/>
            <w10:wrap type="topAndBottom" anchorx="page"/>
          </v:shape>
        </w:pict>
      </w:r>
    </w:p>
    <w:p w14:paraId="6FF086D8" w14:textId="77777777" w:rsidR="00467FCA" w:rsidRDefault="001B68EB">
      <w:pPr>
        <w:spacing w:before="71"/>
        <w:ind w:left="470" w:right="397" w:hanging="1"/>
        <w:jc w:val="both"/>
        <w:rPr>
          <w:i/>
          <w:sz w:val="16"/>
        </w:rPr>
      </w:pPr>
      <w:r>
        <w:rPr>
          <w:i/>
          <w:sz w:val="16"/>
        </w:rPr>
        <w:t>de diciembre de 1998, a las que se refiere el párra</w:t>
      </w:r>
      <w:r>
        <w:rPr>
          <w:i/>
          <w:sz w:val="16"/>
        </w:rPr>
        <w:t>fo 139 de esta Sentencia, entre los que se encuentran veinte niños y niñas, en los términos de los párrafos 115 a 139 de la presente Sentencia”.</w:t>
      </w:r>
    </w:p>
    <w:p w14:paraId="7971F630" w14:textId="77777777" w:rsidR="00467FCA" w:rsidRDefault="001B68EB">
      <w:pPr>
        <w:ind w:left="470" w:right="393"/>
        <w:jc w:val="both"/>
        <w:rPr>
          <w:sz w:val="16"/>
        </w:rPr>
      </w:pPr>
      <w:bookmarkStart w:id="635" w:name="_bookmark556"/>
      <w:bookmarkEnd w:id="635"/>
      <w:r>
        <w:rPr>
          <w:position w:val="6"/>
          <w:sz w:val="10"/>
        </w:rPr>
        <w:t>8</w:t>
      </w:r>
      <w:r>
        <w:rPr>
          <w:spacing w:val="27"/>
          <w:position w:val="6"/>
          <w:sz w:val="10"/>
        </w:rPr>
        <w:t xml:space="preserve"> </w:t>
      </w:r>
      <w:r>
        <w:rPr>
          <w:sz w:val="16"/>
        </w:rPr>
        <w:t>“</w:t>
      </w:r>
      <w:r>
        <w:rPr>
          <w:i/>
          <w:sz w:val="16"/>
        </w:rPr>
        <w:t>La</w:t>
      </w:r>
      <w:r>
        <w:rPr>
          <w:i/>
          <w:spacing w:val="-10"/>
          <w:sz w:val="16"/>
        </w:rPr>
        <w:t xml:space="preserve"> </w:t>
      </w:r>
      <w:r>
        <w:rPr>
          <w:i/>
          <w:sz w:val="16"/>
        </w:rPr>
        <w:t>cuestión</w:t>
      </w:r>
      <w:r>
        <w:rPr>
          <w:i/>
          <w:spacing w:val="-13"/>
          <w:sz w:val="16"/>
        </w:rPr>
        <w:t xml:space="preserve"> </w:t>
      </w:r>
      <w:r>
        <w:rPr>
          <w:i/>
          <w:sz w:val="16"/>
        </w:rPr>
        <w:t>de</w:t>
      </w:r>
      <w:r>
        <w:rPr>
          <w:i/>
          <w:spacing w:val="-12"/>
          <w:sz w:val="16"/>
        </w:rPr>
        <w:t xml:space="preserve"> </w:t>
      </w:r>
      <w:r>
        <w:rPr>
          <w:i/>
          <w:sz w:val="16"/>
        </w:rPr>
        <w:t>si</w:t>
      </w:r>
      <w:r>
        <w:rPr>
          <w:i/>
          <w:spacing w:val="-11"/>
          <w:sz w:val="16"/>
        </w:rPr>
        <w:t xml:space="preserve"> </w:t>
      </w:r>
      <w:r>
        <w:rPr>
          <w:i/>
          <w:sz w:val="16"/>
        </w:rPr>
        <w:t>un</w:t>
      </w:r>
      <w:r>
        <w:rPr>
          <w:i/>
          <w:spacing w:val="-11"/>
          <w:sz w:val="16"/>
        </w:rPr>
        <w:t xml:space="preserve"> </w:t>
      </w:r>
      <w:r>
        <w:rPr>
          <w:i/>
          <w:sz w:val="16"/>
        </w:rPr>
        <w:t>asunto</w:t>
      </w:r>
      <w:r>
        <w:rPr>
          <w:i/>
          <w:spacing w:val="-11"/>
          <w:sz w:val="16"/>
        </w:rPr>
        <w:t xml:space="preserve"> </w:t>
      </w:r>
      <w:r>
        <w:rPr>
          <w:i/>
          <w:sz w:val="16"/>
        </w:rPr>
        <w:t>determinado</w:t>
      </w:r>
      <w:r>
        <w:rPr>
          <w:i/>
          <w:spacing w:val="-11"/>
          <w:sz w:val="16"/>
        </w:rPr>
        <w:t xml:space="preserve"> </w:t>
      </w:r>
      <w:r>
        <w:rPr>
          <w:i/>
          <w:sz w:val="16"/>
        </w:rPr>
        <w:t>corresponde</w:t>
      </w:r>
      <w:r>
        <w:rPr>
          <w:i/>
          <w:spacing w:val="-12"/>
          <w:sz w:val="16"/>
        </w:rPr>
        <w:t xml:space="preserve"> </w:t>
      </w:r>
      <w:r>
        <w:rPr>
          <w:i/>
          <w:sz w:val="16"/>
        </w:rPr>
        <w:t>o</w:t>
      </w:r>
      <w:r>
        <w:rPr>
          <w:i/>
          <w:spacing w:val="-9"/>
          <w:sz w:val="16"/>
        </w:rPr>
        <w:t xml:space="preserve"> </w:t>
      </w:r>
      <w:r>
        <w:rPr>
          <w:i/>
          <w:sz w:val="16"/>
        </w:rPr>
        <w:t>no</w:t>
      </w:r>
      <w:r>
        <w:rPr>
          <w:i/>
          <w:spacing w:val="-11"/>
          <w:sz w:val="16"/>
        </w:rPr>
        <w:t xml:space="preserve"> </w:t>
      </w:r>
      <w:r>
        <w:rPr>
          <w:i/>
          <w:sz w:val="16"/>
        </w:rPr>
        <w:t>a</w:t>
      </w:r>
      <w:r>
        <w:rPr>
          <w:i/>
          <w:spacing w:val="-10"/>
          <w:sz w:val="16"/>
        </w:rPr>
        <w:t xml:space="preserve"> </w:t>
      </w:r>
      <w:r>
        <w:rPr>
          <w:i/>
          <w:sz w:val="16"/>
        </w:rPr>
        <w:t>la</w:t>
      </w:r>
      <w:r>
        <w:rPr>
          <w:i/>
          <w:spacing w:val="-10"/>
          <w:sz w:val="16"/>
        </w:rPr>
        <w:t xml:space="preserve"> </w:t>
      </w:r>
      <w:r>
        <w:rPr>
          <w:i/>
          <w:sz w:val="16"/>
        </w:rPr>
        <w:t>jurisdicción</w:t>
      </w:r>
      <w:r>
        <w:rPr>
          <w:i/>
          <w:spacing w:val="-11"/>
          <w:sz w:val="16"/>
        </w:rPr>
        <w:t xml:space="preserve"> </w:t>
      </w:r>
      <w:r>
        <w:rPr>
          <w:i/>
          <w:sz w:val="16"/>
        </w:rPr>
        <w:t>exclusiva</w:t>
      </w:r>
      <w:r>
        <w:rPr>
          <w:i/>
          <w:spacing w:val="-12"/>
          <w:sz w:val="16"/>
        </w:rPr>
        <w:t xml:space="preserve"> </w:t>
      </w:r>
      <w:r>
        <w:rPr>
          <w:i/>
          <w:sz w:val="16"/>
        </w:rPr>
        <w:t>del</w:t>
      </w:r>
      <w:r>
        <w:rPr>
          <w:i/>
          <w:spacing w:val="-11"/>
          <w:sz w:val="16"/>
        </w:rPr>
        <w:t xml:space="preserve"> </w:t>
      </w:r>
      <w:r>
        <w:rPr>
          <w:i/>
          <w:sz w:val="16"/>
        </w:rPr>
        <w:t>Estado,</w:t>
      </w:r>
      <w:r>
        <w:rPr>
          <w:i/>
          <w:spacing w:val="-11"/>
          <w:sz w:val="16"/>
        </w:rPr>
        <w:t xml:space="preserve"> </w:t>
      </w:r>
      <w:r>
        <w:rPr>
          <w:i/>
          <w:sz w:val="16"/>
        </w:rPr>
        <w:t>es</w:t>
      </w:r>
      <w:r>
        <w:rPr>
          <w:i/>
          <w:spacing w:val="-10"/>
          <w:sz w:val="16"/>
        </w:rPr>
        <w:t xml:space="preserve"> </w:t>
      </w:r>
      <w:r>
        <w:rPr>
          <w:i/>
          <w:sz w:val="16"/>
        </w:rPr>
        <w:t>una</w:t>
      </w:r>
      <w:r>
        <w:rPr>
          <w:i/>
          <w:spacing w:val="-10"/>
          <w:sz w:val="16"/>
        </w:rPr>
        <w:t xml:space="preserve"> </w:t>
      </w:r>
      <w:r>
        <w:rPr>
          <w:i/>
          <w:sz w:val="16"/>
        </w:rPr>
        <w:t>cuestión esencialmente relativa, la que depende del desarrollo de las relaciones internacionales. En el estado actual del desarrollo del derecho internacional, la Corte es de opinión que los asuntos relativos a la nacionalidad pertenecen, en</w:t>
      </w:r>
      <w:r>
        <w:rPr>
          <w:i/>
          <w:spacing w:val="-12"/>
          <w:sz w:val="16"/>
        </w:rPr>
        <w:t xml:space="preserve"> </w:t>
      </w:r>
      <w:r>
        <w:rPr>
          <w:i/>
          <w:sz w:val="16"/>
        </w:rPr>
        <w:t>principio,</w:t>
      </w:r>
      <w:r>
        <w:rPr>
          <w:i/>
          <w:spacing w:val="-11"/>
          <w:sz w:val="16"/>
        </w:rPr>
        <w:t xml:space="preserve"> </w:t>
      </w:r>
      <w:r>
        <w:rPr>
          <w:i/>
          <w:sz w:val="16"/>
        </w:rPr>
        <w:t>a</w:t>
      </w:r>
      <w:r>
        <w:rPr>
          <w:i/>
          <w:spacing w:val="-14"/>
          <w:sz w:val="16"/>
        </w:rPr>
        <w:t xml:space="preserve"> </w:t>
      </w:r>
      <w:r>
        <w:rPr>
          <w:i/>
          <w:sz w:val="16"/>
        </w:rPr>
        <w:t>e</w:t>
      </w:r>
      <w:r>
        <w:rPr>
          <w:i/>
          <w:sz w:val="16"/>
        </w:rPr>
        <w:t>se</w:t>
      </w:r>
      <w:r>
        <w:rPr>
          <w:i/>
          <w:spacing w:val="-12"/>
          <w:sz w:val="16"/>
        </w:rPr>
        <w:t xml:space="preserve"> </w:t>
      </w:r>
      <w:r>
        <w:rPr>
          <w:i/>
          <w:sz w:val="16"/>
        </w:rPr>
        <w:t>dominio</w:t>
      </w:r>
      <w:r>
        <w:rPr>
          <w:i/>
          <w:spacing w:val="-9"/>
          <w:sz w:val="16"/>
        </w:rPr>
        <w:t xml:space="preserve"> </w:t>
      </w:r>
      <w:r>
        <w:rPr>
          <w:i/>
          <w:sz w:val="16"/>
        </w:rPr>
        <w:t>reservado</w:t>
      </w:r>
      <w:r>
        <w:rPr>
          <w:sz w:val="16"/>
        </w:rPr>
        <w:t>”.</w:t>
      </w:r>
      <w:r>
        <w:rPr>
          <w:spacing w:val="-12"/>
          <w:sz w:val="16"/>
        </w:rPr>
        <w:t xml:space="preserve"> </w:t>
      </w:r>
      <w:r>
        <w:rPr>
          <w:sz w:val="16"/>
        </w:rPr>
        <w:t>Corte</w:t>
      </w:r>
      <w:r>
        <w:rPr>
          <w:spacing w:val="-10"/>
          <w:sz w:val="16"/>
        </w:rPr>
        <w:t xml:space="preserve"> </w:t>
      </w:r>
      <w:r>
        <w:rPr>
          <w:sz w:val="16"/>
        </w:rPr>
        <w:t>Permanente</w:t>
      </w:r>
      <w:r>
        <w:rPr>
          <w:spacing w:val="-13"/>
          <w:sz w:val="16"/>
        </w:rPr>
        <w:t xml:space="preserve"> </w:t>
      </w:r>
      <w:r>
        <w:rPr>
          <w:sz w:val="16"/>
        </w:rPr>
        <w:t>de</w:t>
      </w:r>
      <w:r>
        <w:rPr>
          <w:spacing w:val="-12"/>
          <w:sz w:val="16"/>
        </w:rPr>
        <w:t xml:space="preserve"> </w:t>
      </w:r>
      <w:r>
        <w:rPr>
          <w:sz w:val="16"/>
        </w:rPr>
        <w:t>Justicia</w:t>
      </w:r>
      <w:r>
        <w:rPr>
          <w:spacing w:val="-10"/>
          <w:sz w:val="16"/>
        </w:rPr>
        <w:t xml:space="preserve"> </w:t>
      </w:r>
      <w:r>
        <w:rPr>
          <w:sz w:val="16"/>
        </w:rPr>
        <w:t>Internacional,</w:t>
      </w:r>
      <w:r>
        <w:rPr>
          <w:spacing w:val="-12"/>
          <w:sz w:val="16"/>
        </w:rPr>
        <w:t xml:space="preserve"> </w:t>
      </w:r>
      <w:r>
        <w:rPr>
          <w:sz w:val="16"/>
        </w:rPr>
        <w:t>Opinión</w:t>
      </w:r>
      <w:r>
        <w:rPr>
          <w:spacing w:val="-11"/>
          <w:sz w:val="16"/>
        </w:rPr>
        <w:t xml:space="preserve"> </w:t>
      </w:r>
      <w:r>
        <w:rPr>
          <w:sz w:val="16"/>
        </w:rPr>
        <w:t>Consultiva</w:t>
      </w:r>
      <w:r>
        <w:rPr>
          <w:spacing w:val="-11"/>
          <w:sz w:val="16"/>
        </w:rPr>
        <w:t xml:space="preserve"> </w:t>
      </w:r>
      <w:r>
        <w:rPr>
          <w:sz w:val="16"/>
        </w:rPr>
        <w:t>sobre</w:t>
      </w:r>
      <w:r>
        <w:rPr>
          <w:spacing w:val="-10"/>
          <w:sz w:val="16"/>
        </w:rPr>
        <w:t xml:space="preserve"> </w:t>
      </w:r>
      <w:r>
        <w:rPr>
          <w:sz w:val="16"/>
        </w:rPr>
        <w:t>ciertos decretos de nacionalidad dictados en la zona francesa de Túnez y Marruecos, Serie B Nº 4, pág.</w:t>
      </w:r>
      <w:r>
        <w:rPr>
          <w:spacing w:val="-24"/>
          <w:sz w:val="16"/>
        </w:rPr>
        <w:t xml:space="preserve"> </w:t>
      </w:r>
      <w:r>
        <w:rPr>
          <w:sz w:val="16"/>
        </w:rPr>
        <w:t>24.</w:t>
      </w:r>
    </w:p>
    <w:p w14:paraId="23FE9B08" w14:textId="77777777" w:rsidR="00467FCA" w:rsidRDefault="001B68EB">
      <w:pPr>
        <w:ind w:left="470" w:right="391"/>
        <w:jc w:val="both"/>
        <w:rPr>
          <w:i/>
          <w:sz w:val="16"/>
        </w:rPr>
      </w:pPr>
      <w:r>
        <w:rPr>
          <w:sz w:val="16"/>
        </w:rPr>
        <w:t>Protocole n° 15 portant amendement à la Convention (Europ</w:t>
      </w:r>
      <w:r>
        <w:rPr>
          <w:sz w:val="16"/>
        </w:rPr>
        <w:t>éenne) de Sauvegarde des Droits de l’Homme et des Libertés</w:t>
      </w:r>
      <w:r>
        <w:rPr>
          <w:spacing w:val="-5"/>
          <w:sz w:val="16"/>
        </w:rPr>
        <w:t xml:space="preserve"> </w:t>
      </w:r>
      <w:r>
        <w:rPr>
          <w:sz w:val="16"/>
        </w:rPr>
        <w:t>fondamentales,</w:t>
      </w:r>
      <w:r>
        <w:rPr>
          <w:spacing w:val="-2"/>
          <w:sz w:val="16"/>
        </w:rPr>
        <w:t xml:space="preserve"> </w:t>
      </w:r>
      <w:r>
        <w:rPr>
          <w:sz w:val="16"/>
        </w:rPr>
        <w:t>art.1:</w:t>
      </w:r>
      <w:r>
        <w:rPr>
          <w:spacing w:val="-6"/>
          <w:sz w:val="16"/>
        </w:rPr>
        <w:t xml:space="preserve"> </w:t>
      </w:r>
      <w:r>
        <w:rPr>
          <w:sz w:val="16"/>
        </w:rPr>
        <w:t>“</w:t>
      </w:r>
      <w:r>
        <w:rPr>
          <w:i/>
          <w:sz w:val="16"/>
        </w:rPr>
        <w:t>A</w:t>
      </w:r>
      <w:r>
        <w:rPr>
          <w:i/>
          <w:spacing w:val="-1"/>
          <w:sz w:val="16"/>
        </w:rPr>
        <w:t xml:space="preserve"> </w:t>
      </w:r>
      <w:r>
        <w:rPr>
          <w:i/>
          <w:sz w:val="16"/>
        </w:rPr>
        <w:t>la</w:t>
      </w:r>
      <w:r>
        <w:rPr>
          <w:i/>
          <w:spacing w:val="-3"/>
          <w:sz w:val="16"/>
        </w:rPr>
        <w:t xml:space="preserve"> </w:t>
      </w:r>
      <w:r>
        <w:rPr>
          <w:i/>
          <w:sz w:val="16"/>
        </w:rPr>
        <w:t>fin</w:t>
      </w:r>
      <w:r>
        <w:rPr>
          <w:i/>
          <w:spacing w:val="-2"/>
          <w:sz w:val="16"/>
        </w:rPr>
        <w:t xml:space="preserve"> </w:t>
      </w:r>
      <w:r>
        <w:rPr>
          <w:i/>
          <w:sz w:val="16"/>
        </w:rPr>
        <w:t>du</w:t>
      </w:r>
      <w:r>
        <w:rPr>
          <w:i/>
          <w:spacing w:val="-6"/>
          <w:sz w:val="16"/>
        </w:rPr>
        <w:t xml:space="preserve"> </w:t>
      </w:r>
      <w:r>
        <w:rPr>
          <w:i/>
          <w:sz w:val="16"/>
        </w:rPr>
        <w:t>préambule</w:t>
      </w:r>
      <w:r>
        <w:rPr>
          <w:i/>
          <w:spacing w:val="-1"/>
          <w:sz w:val="16"/>
        </w:rPr>
        <w:t xml:space="preserve"> </w:t>
      </w:r>
      <w:r>
        <w:rPr>
          <w:i/>
          <w:sz w:val="16"/>
        </w:rPr>
        <w:t>de</w:t>
      </w:r>
      <w:r>
        <w:rPr>
          <w:i/>
          <w:spacing w:val="-2"/>
          <w:sz w:val="16"/>
        </w:rPr>
        <w:t xml:space="preserve"> </w:t>
      </w:r>
      <w:r>
        <w:rPr>
          <w:i/>
          <w:sz w:val="16"/>
        </w:rPr>
        <w:t>la</w:t>
      </w:r>
      <w:r>
        <w:rPr>
          <w:i/>
          <w:spacing w:val="-5"/>
          <w:sz w:val="16"/>
        </w:rPr>
        <w:t xml:space="preserve"> </w:t>
      </w:r>
      <w:r>
        <w:rPr>
          <w:i/>
          <w:sz w:val="16"/>
        </w:rPr>
        <w:t>Convention,</w:t>
      </w:r>
      <w:r>
        <w:rPr>
          <w:i/>
          <w:spacing w:val="-3"/>
          <w:sz w:val="16"/>
        </w:rPr>
        <w:t xml:space="preserve"> </w:t>
      </w:r>
      <w:r>
        <w:rPr>
          <w:i/>
          <w:sz w:val="16"/>
        </w:rPr>
        <w:t>un</w:t>
      </w:r>
      <w:r>
        <w:rPr>
          <w:i/>
          <w:spacing w:val="-2"/>
          <w:sz w:val="16"/>
        </w:rPr>
        <w:t xml:space="preserve"> </w:t>
      </w:r>
      <w:r>
        <w:rPr>
          <w:i/>
          <w:sz w:val="16"/>
        </w:rPr>
        <w:t>nouveau</w:t>
      </w:r>
      <w:r>
        <w:rPr>
          <w:i/>
          <w:spacing w:val="-2"/>
          <w:sz w:val="16"/>
        </w:rPr>
        <w:t xml:space="preserve"> </w:t>
      </w:r>
      <w:r>
        <w:rPr>
          <w:i/>
          <w:sz w:val="16"/>
        </w:rPr>
        <w:t>considérant</w:t>
      </w:r>
      <w:r>
        <w:rPr>
          <w:i/>
          <w:spacing w:val="-3"/>
          <w:sz w:val="16"/>
        </w:rPr>
        <w:t xml:space="preserve"> </w:t>
      </w:r>
      <w:r>
        <w:rPr>
          <w:i/>
          <w:sz w:val="16"/>
        </w:rPr>
        <w:t>est</w:t>
      </w:r>
      <w:r>
        <w:rPr>
          <w:i/>
          <w:spacing w:val="-3"/>
          <w:sz w:val="16"/>
        </w:rPr>
        <w:t xml:space="preserve"> </w:t>
      </w:r>
      <w:r>
        <w:rPr>
          <w:i/>
          <w:sz w:val="16"/>
        </w:rPr>
        <w:t>ajouté</w:t>
      </w:r>
      <w:r>
        <w:rPr>
          <w:i/>
          <w:spacing w:val="-2"/>
          <w:sz w:val="16"/>
        </w:rPr>
        <w:t xml:space="preserve"> </w:t>
      </w:r>
      <w:r>
        <w:rPr>
          <w:i/>
          <w:sz w:val="16"/>
        </w:rPr>
        <w:t>et</w:t>
      </w:r>
      <w:r>
        <w:rPr>
          <w:i/>
          <w:spacing w:val="-3"/>
          <w:sz w:val="16"/>
        </w:rPr>
        <w:t xml:space="preserve"> </w:t>
      </w:r>
      <w:r>
        <w:rPr>
          <w:i/>
          <w:sz w:val="16"/>
        </w:rPr>
        <w:t>se</w:t>
      </w:r>
      <w:r>
        <w:rPr>
          <w:i/>
          <w:spacing w:val="-2"/>
          <w:sz w:val="16"/>
        </w:rPr>
        <w:t xml:space="preserve"> </w:t>
      </w:r>
      <w:r>
        <w:rPr>
          <w:i/>
          <w:sz w:val="16"/>
        </w:rPr>
        <w:t>lit comme suit</w:t>
      </w:r>
      <w:r>
        <w:rPr>
          <w:sz w:val="16"/>
        </w:rPr>
        <w:t xml:space="preserve">: </w:t>
      </w:r>
      <w:r>
        <w:rPr>
          <w:i/>
          <w:sz w:val="16"/>
        </w:rPr>
        <w:t>Affirmant qu’il incombe au premier chef aux Hautes Parties contractantes, conformément au principe de subsidiarité, de garantir le respect des droits et libertés définis dans la présente Convention et ses protocoles, et</w:t>
      </w:r>
      <w:r>
        <w:rPr>
          <w:i/>
          <w:spacing w:val="-4"/>
          <w:sz w:val="16"/>
        </w:rPr>
        <w:t xml:space="preserve"> </w:t>
      </w:r>
      <w:r>
        <w:rPr>
          <w:i/>
          <w:sz w:val="16"/>
        </w:rPr>
        <w:t>que,</w:t>
      </w:r>
      <w:r>
        <w:rPr>
          <w:i/>
          <w:spacing w:val="-3"/>
          <w:sz w:val="16"/>
        </w:rPr>
        <w:t xml:space="preserve"> </w:t>
      </w:r>
      <w:r>
        <w:rPr>
          <w:i/>
          <w:sz w:val="16"/>
        </w:rPr>
        <w:t>ce</w:t>
      </w:r>
      <w:r>
        <w:rPr>
          <w:i/>
          <w:spacing w:val="-5"/>
          <w:sz w:val="16"/>
        </w:rPr>
        <w:t xml:space="preserve"> </w:t>
      </w:r>
      <w:r>
        <w:rPr>
          <w:i/>
          <w:sz w:val="16"/>
        </w:rPr>
        <w:t>faisant,</w:t>
      </w:r>
      <w:r>
        <w:rPr>
          <w:i/>
          <w:spacing w:val="-3"/>
          <w:sz w:val="16"/>
        </w:rPr>
        <w:t xml:space="preserve"> </w:t>
      </w:r>
      <w:r>
        <w:rPr>
          <w:i/>
          <w:sz w:val="16"/>
        </w:rPr>
        <w:t>elles</w:t>
      </w:r>
      <w:r>
        <w:rPr>
          <w:i/>
          <w:spacing w:val="-2"/>
          <w:sz w:val="16"/>
        </w:rPr>
        <w:t xml:space="preserve"> </w:t>
      </w:r>
      <w:r>
        <w:rPr>
          <w:i/>
          <w:sz w:val="16"/>
        </w:rPr>
        <w:t>jouissent</w:t>
      </w:r>
      <w:r>
        <w:rPr>
          <w:i/>
          <w:spacing w:val="-3"/>
          <w:sz w:val="16"/>
        </w:rPr>
        <w:t xml:space="preserve"> </w:t>
      </w:r>
      <w:r>
        <w:rPr>
          <w:i/>
          <w:sz w:val="16"/>
        </w:rPr>
        <w:t>d’u</w:t>
      </w:r>
      <w:r>
        <w:rPr>
          <w:i/>
          <w:sz w:val="16"/>
        </w:rPr>
        <w:t>ne</w:t>
      </w:r>
      <w:r>
        <w:rPr>
          <w:i/>
          <w:spacing w:val="-2"/>
          <w:sz w:val="16"/>
        </w:rPr>
        <w:t xml:space="preserve"> </w:t>
      </w:r>
      <w:r>
        <w:rPr>
          <w:i/>
          <w:sz w:val="16"/>
        </w:rPr>
        <w:t>marge</w:t>
      </w:r>
      <w:r>
        <w:rPr>
          <w:i/>
          <w:spacing w:val="-5"/>
          <w:sz w:val="16"/>
        </w:rPr>
        <w:t xml:space="preserve"> </w:t>
      </w:r>
      <w:r>
        <w:rPr>
          <w:i/>
          <w:sz w:val="16"/>
        </w:rPr>
        <w:t>d’appréciation,</w:t>
      </w:r>
      <w:r>
        <w:rPr>
          <w:i/>
          <w:spacing w:val="-3"/>
          <w:sz w:val="16"/>
        </w:rPr>
        <w:t xml:space="preserve"> </w:t>
      </w:r>
      <w:r>
        <w:rPr>
          <w:i/>
          <w:sz w:val="16"/>
        </w:rPr>
        <w:t>sous</w:t>
      </w:r>
      <w:r>
        <w:rPr>
          <w:i/>
          <w:spacing w:val="-2"/>
          <w:sz w:val="16"/>
        </w:rPr>
        <w:t xml:space="preserve"> </w:t>
      </w:r>
      <w:r>
        <w:rPr>
          <w:i/>
          <w:sz w:val="16"/>
        </w:rPr>
        <w:t>le</w:t>
      </w:r>
      <w:r>
        <w:rPr>
          <w:i/>
          <w:spacing w:val="-2"/>
          <w:sz w:val="16"/>
        </w:rPr>
        <w:t xml:space="preserve"> </w:t>
      </w:r>
      <w:r>
        <w:rPr>
          <w:i/>
          <w:sz w:val="16"/>
        </w:rPr>
        <w:t>contrôle</w:t>
      </w:r>
      <w:r>
        <w:rPr>
          <w:i/>
          <w:spacing w:val="-2"/>
          <w:sz w:val="16"/>
        </w:rPr>
        <w:t xml:space="preserve"> </w:t>
      </w:r>
      <w:r>
        <w:rPr>
          <w:i/>
          <w:sz w:val="16"/>
        </w:rPr>
        <w:t>de</w:t>
      </w:r>
      <w:r>
        <w:rPr>
          <w:i/>
          <w:spacing w:val="-2"/>
          <w:sz w:val="16"/>
        </w:rPr>
        <w:t xml:space="preserve"> </w:t>
      </w:r>
      <w:r>
        <w:rPr>
          <w:i/>
          <w:sz w:val="16"/>
        </w:rPr>
        <w:t>la</w:t>
      </w:r>
      <w:r>
        <w:rPr>
          <w:i/>
          <w:spacing w:val="-3"/>
          <w:sz w:val="16"/>
        </w:rPr>
        <w:t xml:space="preserve"> </w:t>
      </w:r>
      <w:r>
        <w:rPr>
          <w:i/>
          <w:sz w:val="16"/>
        </w:rPr>
        <w:t>Cour</w:t>
      </w:r>
      <w:r>
        <w:rPr>
          <w:i/>
          <w:spacing w:val="-4"/>
          <w:sz w:val="16"/>
        </w:rPr>
        <w:t xml:space="preserve"> </w:t>
      </w:r>
      <w:r>
        <w:rPr>
          <w:i/>
          <w:sz w:val="16"/>
        </w:rPr>
        <w:t>européenne</w:t>
      </w:r>
      <w:r>
        <w:rPr>
          <w:i/>
          <w:spacing w:val="-5"/>
          <w:sz w:val="16"/>
        </w:rPr>
        <w:t xml:space="preserve"> </w:t>
      </w:r>
      <w:r>
        <w:rPr>
          <w:i/>
          <w:sz w:val="16"/>
        </w:rPr>
        <w:t>des</w:t>
      </w:r>
      <w:r>
        <w:rPr>
          <w:i/>
          <w:spacing w:val="-5"/>
          <w:sz w:val="16"/>
        </w:rPr>
        <w:t xml:space="preserve"> </w:t>
      </w:r>
      <w:r>
        <w:rPr>
          <w:i/>
          <w:sz w:val="16"/>
        </w:rPr>
        <w:t>Droits</w:t>
      </w:r>
      <w:r>
        <w:rPr>
          <w:i/>
          <w:spacing w:val="-2"/>
          <w:sz w:val="16"/>
        </w:rPr>
        <w:t xml:space="preserve"> </w:t>
      </w:r>
      <w:r>
        <w:rPr>
          <w:i/>
          <w:sz w:val="16"/>
        </w:rPr>
        <w:t>de l’Homme instituée par la présente</w:t>
      </w:r>
      <w:r>
        <w:rPr>
          <w:i/>
          <w:spacing w:val="-1"/>
          <w:sz w:val="16"/>
        </w:rPr>
        <w:t xml:space="preserve"> </w:t>
      </w:r>
      <w:r>
        <w:rPr>
          <w:i/>
          <w:sz w:val="16"/>
        </w:rPr>
        <w:t>Convention.”</w:t>
      </w:r>
    </w:p>
    <w:p w14:paraId="798E44AA" w14:textId="77777777" w:rsidR="00467FCA" w:rsidRDefault="00467FCA">
      <w:pPr>
        <w:jc w:val="both"/>
        <w:rPr>
          <w:sz w:val="16"/>
        </w:rPr>
        <w:sectPr w:rsidR="00467FCA">
          <w:pgSz w:w="12240" w:h="15840"/>
          <w:pgMar w:top="1340" w:right="1140" w:bottom="1200" w:left="960" w:header="0" w:footer="1002" w:gutter="0"/>
          <w:cols w:space="720"/>
        </w:sectPr>
      </w:pPr>
    </w:p>
    <w:p w14:paraId="61ED27E4" w14:textId="77777777" w:rsidR="00467FCA" w:rsidRDefault="001B68EB">
      <w:pPr>
        <w:pStyle w:val="Textoindependiente"/>
        <w:spacing w:before="76" w:line="278" w:lineRule="auto"/>
        <w:ind w:left="470"/>
      </w:pPr>
      <w:r>
        <w:t>método ha sido el que ha permitido avances en materia de derechos humanos, aunque, sin duda, dispares según el contin</w:t>
      </w:r>
      <w:r>
        <w:t>ente y países de que se trate.</w:t>
      </w:r>
    </w:p>
    <w:p w14:paraId="622032AA" w14:textId="77777777" w:rsidR="00467FCA" w:rsidRDefault="00467FCA">
      <w:pPr>
        <w:pStyle w:val="Textoindependiente"/>
        <w:spacing w:before="11"/>
        <w:rPr>
          <w:sz w:val="21"/>
        </w:rPr>
      </w:pPr>
    </w:p>
    <w:p w14:paraId="08447FA0" w14:textId="77777777" w:rsidR="00467FCA" w:rsidRDefault="001B68EB">
      <w:pPr>
        <w:pStyle w:val="Prrafodelista"/>
        <w:numPr>
          <w:ilvl w:val="0"/>
          <w:numId w:val="31"/>
        </w:numPr>
        <w:tabs>
          <w:tab w:val="left" w:pos="1442"/>
          <w:tab w:val="left" w:pos="1443"/>
        </w:tabs>
        <w:spacing w:before="1" w:line="276" w:lineRule="auto"/>
        <w:ind w:right="396" w:firstLine="0"/>
        <w:jc w:val="both"/>
        <w:rPr>
          <w:sz w:val="20"/>
        </w:rPr>
      </w:pPr>
      <w:r>
        <w:rPr>
          <w:sz w:val="20"/>
        </w:rPr>
        <w:t>Por otra parte, asimismo se tiene presente en este escrito que el Derecho es el único</w:t>
      </w:r>
      <w:r>
        <w:rPr>
          <w:spacing w:val="-9"/>
          <w:sz w:val="20"/>
        </w:rPr>
        <w:t xml:space="preserve"> </w:t>
      </w:r>
      <w:r>
        <w:rPr>
          <w:sz w:val="20"/>
        </w:rPr>
        <w:t>instrumento</w:t>
      </w:r>
      <w:r>
        <w:rPr>
          <w:spacing w:val="-8"/>
          <w:sz w:val="20"/>
        </w:rPr>
        <w:t xml:space="preserve"> </w:t>
      </w:r>
      <w:r>
        <w:rPr>
          <w:sz w:val="20"/>
        </w:rPr>
        <w:t>del</w:t>
      </w:r>
      <w:r>
        <w:rPr>
          <w:spacing w:val="-7"/>
          <w:sz w:val="20"/>
        </w:rPr>
        <w:t xml:space="preserve"> </w:t>
      </w:r>
      <w:r>
        <w:rPr>
          <w:sz w:val="20"/>
        </w:rPr>
        <w:t>que</w:t>
      </w:r>
      <w:r>
        <w:rPr>
          <w:spacing w:val="-8"/>
          <w:sz w:val="20"/>
        </w:rPr>
        <w:t xml:space="preserve"> </w:t>
      </w:r>
      <w:r>
        <w:rPr>
          <w:sz w:val="20"/>
        </w:rPr>
        <w:t>puede</w:t>
      </w:r>
      <w:r>
        <w:rPr>
          <w:spacing w:val="-8"/>
          <w:sz w:val="20"/>
        </w:rPr>
        <w:t xml:space="preserve"> </w:t>
      </w:r>
      <w:r>
        <w:rPr>
          <w:sz w:val="20"/>
        </w:rPr>
        <w:t>disponer</w:t>
      </w:r>
      <w:r>
        <w:rPr>
          <w:spacing w:val="-9"/>
          <w:sz w:val="20"/>
        </w:rPr>
        <w:t xml:space="preserve"> </w:t>
      </w:r>
      <w:r>
        <w:rPr>
          <w:sz w:val="20"/>
        </w:rPr>
        <w:t>la</w:t>
      </w:r>
      <w:r>
        <w:rPr>
          <w:spacing w:val="-4"/>
          <w:sz w:val="20"/>
        </w:rPr>
        <w:t xml:space="preserve"> </w:t>
      </w:r>
      <w:r>
        <w:rPr>
          <w:sz w:val="20"/>
        </w:rPr>
        <w:t>persona</w:t>
      </w:r>
      <w:r>
        <w:rPr>
          <w:spacing w:val="-7"/>
          <w:sz w:val="20"/>
        </w:rPr>
        <w:t xml:space="preserve"> </w:t>
      </w:r>
      <w:r>
        <w:rPr>
          <w:sz w:val="20"/>
        </w:rPr>
        <w:t>humana</w:t>
      </w:r>
      <w:r>
        <w:rPr>
          <w:spacing w:val="-8"/>
          <w:sz w:val="20"/>
        </w:rPr>
        <w:t xml:space="preserve"> </w:t>
      </w:r>
      <w:r>
        <w:rPr>
          <w:sz w:val="20"/>
        </w:rPr>
        <w:t>ante</w:t>
      </w:r>
      <w:r>
        <w:rPr>
          <w:spacing w:val="-6"/>
          <w:sz w:val="20"/>
        </w:rPr>
        <w:t xml:space="preserve"> </w:t>
      </w:r>
      <w:r>
        <w:rPr>
          <w:sz w:val="20"/>
        </w:rPr>
        <w:t>el</w:t>
      </w:r>
      <w:r>
        <w:rPr>
          <w:spacing w:val="-7"/>
          <w:sz w:val="20"/>
        </w:rPr>
        <w:t xml:space="preserve"> </w:t>
      </w:r>
      <w:r>
        <w:rPr>
          <w:sz w:val="20"/>
        </w:rPr>
        <w:t>inmenso</w:t>
      </w:r>
      <w:r>
        <w:rPr>
          <w:spacing w:val="-6"/>
          <w:sz w:val="20"/>
        </w:rPr>
        <w:t xml:space="preserve"> </w:t>
      </w:r>
      <w:r>
        <w:rPr>
          <w:sz w:val="20"/>
        </w:rPr>
        <w:t>y</w:t>
      </w:r>
      <w:r>
        <w:rPr>
          <w:spacing w:val="-5"/>
          <w:sz w:val="20"/>
        </w:rPr>
        <w:t xml:space="preserve"> </w:t>
      </w:r>
      <w:r>
        <w:rPr>
          <w:sz w:val="20"/>
        </w:rPr>
        <w:t>avasallador poder que detenta el Estado, particularmente en la escena internacional. La relación entre ambos es abismantemente desequilibrada. En la situación que nos ocupa, sin el apoyo del Derecho Interamericano de los Derechos Humanos y de las instituci</w:t>
      </w:r>
      <w:r>
        <w:rPr>
          <w:sz w:val="20"/>
        </w:rPr>
        <w:t>ones que contempla, el ser</w:t>
      </w:r>
      <w:r>
        <w:rPr>
          <w:spacing w:val="-15"/>
          <w:sz w:val="20"/>
        </w:rPr>
        <w:t xml:space="preserve"> </w:t>
      </w:r>
      <w:r>
        <w:rPr>
          <w:sz w:val="20"/>
        </w:rPr>
        <w:t>humano</w:t>
      </w:r>
      <w:r>
        <w:rPr>
          <w:spacing w:val="-9"/>
          <w:sz w:val="20"/>
        </w:rPr>
        <w:t xml:space="preserve"> </w:t>
      </w:r>
      <w:r>
        <w:rPr>
          <w:sz w:val="20"/>
        </w:rPr>
        <w:t>estaría,</w:t>
      </w:r>
      <w:r>
        <w:rPr>
          <w:spacing w:val="-12"/>
          <w:sz w:val="20"/>
        </w:rPr>
        <w:t xml:space="preserve"> </w:t>
      </w:r>
      <w:r>
        <w:rPr>
          <w:sz w:val="20"/>
        </w:rPr>
        <w:t>en</w:t>
      </w:r>
      <w:r>
        <w:rPr>
          <w:spacing w:val="-7"/>
          <w:sz w:val="20"/>
        </w:rPr>
        <w:t xml:space="preserve"> </w:t>
      </w:r>
      <w:r>
        <w:rPr>
          <w:sz w:val="20"/>
        </w:rPr>
        <w:t>el</w:t>
      </w:r>
      <w:r>
        <w:rPr>
          <w:spacing w:val="-13"/>
          <w:sz w:val="20"/>
        </w:rPr>
        <w:t xml:space="preserve"> </w:t>
      </w:r>
      <w:r>
        <w:rPr>
          <w:sz w:val="20"/>
        </w:rPr>
        <w:t>ámbito</w:t>
      </w:r>
      <w:r>
        <w:rPr>
          <w:spacing w:val="-14"/>
          <w:sz w:val="20"/>
        </w:rPr>
        <w:t xml:space="preserve"> </w:t>
      </w:r>
      <w:r>
        <w:rPr>
          <w:sz w:val="20"/>
        </w:rPr>
        <w:t>internacional,</w:t>
      </w:r>
      <w:r>
        <w:rPr>
          <w:spacing w:val="-12"/>
          <w:sz w:val="20"/>
        </w:rPr>
        <w:t xml:space="preserve"> </w:t>
      </w:r>
      <w:r>
        <w:rPr>
          <w:sz w:val="20"/>
        </w:rPr>
        <w:t>prácticamente</w:t>
      </w:r>
      <w:r>
        <w:rPr>
          <w:spacing w:val="-11"/>
          <w:sz w:val="20"/>
        </w:rPr>
        <w:t xml:space="preserve"> </w:t>
      </w:r>
      <w:r>
        <w:rPr>
          <w:sz w:val="20"/>
        </w:rPr>
        <w:t>en</w:t>
      </w:r>
      <w:r>
        <w:rPr>
          <w:spacing w:val="-10"/>
          <w:sz w:val="20"/>
        </w:rPr>
        <w:t xml:space="preserve"> </w:t>
      </w:r>
      <w:r>
        <w:rPr>
          <w:sz w:val="20"/>
        </w:rPr>
        <w:t>la</w:t>
      </w:r>
      <w:r>
        <w:rPr>
          <w:spacing w:val="-10"/>
          <w:sz w:val="20"/>
        </w:rPr>
        <w:t xml:space="preserve"> </w:t>
      </w:r>
      <w:r>
        <w:rPr>
          <w:sz w:val="20"/>
        </w:rPr>
        <w:t>indefensión</w:t>
      </w:r>
      <w:r>
        <w:rPr>
          <w:spacing w:val="-10"/>
          <w:sz w:val="20"/>
        </w:rPr>
        <w:t xml:space="preserve"> </w:t>
      </w:r>
      <w:r>
        <w:rPr>
          <w:sz w:val="20"/>
        </w:rPr>
        <w:t>o,</w:t>
      </w:r>
      <w:r>
        <w:rPr>
          <w:spacing w:val="-13"/>
          <w:sz w:val="20"/>
        </w:rPr>
        <w:t xml:space="preserve"> </w:t>
      </w:r>
      <w:r>
        <w:rPr>
          <w:sz w:val="20"/>
        </w:rPr>
        <w:t>al</w:t>
      </w:r>
      <w:r>
        <w:rPr>
          <w:spacing w:val="-11"/>
          <w:sz w:val="20"/>
        </w:rPr>
        <w:t xml:space="preserve"> </w:t>
      </w:r>
      <w:r>
        <w:rPr>
          <w:sz w:val="20"/>
        </w:rPr>
        <w:t>menos, en una situación francamente de desigualdad o de</w:t>
      </w:r>
      <w:r>
        <w:rPr>
          <w:spacing w:val="-10"/>
          <w:sz w:val="20"/>
        </w:rPr>
        <w:t xml:space="preserve"> </w:t>
      </w:r>
      <w:r>
        <w:rPr>
          <w:sz w:val="20"/>
        </w:rPr>
        <w:t>precariedad.</w:t>
      </w:r>
    </w:p>
    <w:p w14:paraId="46E0C4C3" w14:textId="77777777" w:rsidR="00467FCA" w:rsidRDefault="00467FCA">
      <w:pPr>
        <w:pStyle w:val="Textoindependiente"/>
        <w:spacing w:before="3"/>
        <w:rPr>
          <w:sz w:val="22"/>
        </w:rPr>
      </w:pPr>
    </w:p>
    <w:p w14:paraId="37E94A0D" w14:textId="77777777" w:rsidR="00467FCA" w:rsidRDefault="001B68EB">
      <w:pPr>
        <w:pStyle w:val="Prrafodelista"/>
        <w:numPr>
          <w:ilvl w:val="0"/>
          <w:numId w:val="31"/>
        </w:numPr>
        <w:tabs>
          <w:tab w:val="left" w:pos="1442"/>
          <w:tab w:val="left" w:pos="1443"/>
        </w:tabs>
        <w:spacing w:line="276" w:lineRule="auto"/>
        <w:ind w:right="395" w:firstLine="0"/>
        <w:jc w:val="both"/>
        <w:rPr>
          <w:sz w:val="20"/>
        </w:rPr>
      </w:pPr>
      <w:r>
        <w:rPr>
          <w:sz w:val="20"/>
        </w:rPr>
        <w:t>Igualmente,</w:t>
      </w:r>
      <w:r>
        <w:rPr>
          <w:spacing w:val="-16"/>
          <w:sz w:val="20"/>
        </w:rPr>
        <w:t xml:space="preserve"> </w:t>
      </w:r>
      <w:r>
        <w:rPr>
          <w:sz w:val="20"/>
        </w:rPr>
        <w:t>cabe</w:t>
      </w:r>
      <w:r>
        <w:rPr>
          <w:spacing w:val="-16"/>
          <w:sz w:val="20"/>
        </w:rPr>
        <w:t xml:space="preserve"> </w:t>
      </w:r>
      <w:r>
        <w:rPr>
          <w:sz w:val="20"/>
        </w:rPr>
        <w:t>añadir</w:t>
      </w:r>
      <w:r>
        <w:rPr>
          <w:spacing w:val="-16"/>
          <w:sz w:val="20"/>
        </w:rPr>
        <w:t xml:space="preserve"> </w:t>
      </w:r>
      <w:r>
        <w:rPr>
          <w:sz w:val="20"/>
        </w:rPr>
        <w:t>que</w:t>
      </w:r>
      <w:r>
        <w:rPr>
          <w:spacing w:val="-14"/>
          <w:sz w:val="20"/>
        </w:rPr>
        <w:t xml:space="preserve"> </w:t>
      </w:r>
      <w:r>
        <w:rPr>
          <w:sz w:val="20"/>
        </w:rPr>
        <w:t>este</w:t>
      </w:r>
      <w:r>
        <w:rPr>
          <w:spacing w:val="-13"/>
          <w:sz w:val="20"/>
        </w:rPr>
        <w:t xml:space="preserve"> </w:t>
      </w:r>
      <w:r>
        <w:rPr>
          <w:sz w:val="20"/>
        </w:rPr>
        <w:t>voto</w:t>
      </w:r>
      <w:r>
        <w:rPr>
          <w:spacing w:val="-16"/>
          <w:sz w:val="20"/>
        </w:rPr>
        <w:t xml:space="preserve"> </w:t>
      </w:r>
      <w:r>
        <w:rPr>
          <w:sz w:val="20"/>
        </w:rPr>
        <w:t>se</w:t>
      </w:r>
      <w:r>
        <w:rPr>
          <w:spacing w:val="-14"/>
          <w:sz w:val="20"/>
        </w:rPr>
        <w:t xml:space="preserve"> </w:t>
      </w:r>
      <w:r>
        <w:rPr>
          <w:sz w:val="20"/>
        </w:rPr>
        <w:t>apoya</w:t>
      </w:r>
      <w:r>
        <w:rPr>
          <w:spacing w:val="-15"/>
          <w:sz w:val="20"/>
        </w:rPr>
        <w:t xml:space="preserve"> </w:t>
      </w:r>
      <w:r>
        <w:rPr>
          <w:sz w:val="20"/>
        </w:rPr>
        <w:t>en</w:t>
      </w:r>
      <w:r>
        <w:rPr>
          <w:spacing w:val="-14"/>
          <w:sz w:val="20"/>
        </w:rPr>
        <w:t xml:space="preserve"> </w:t>
      </w:r>
      <w:r>
        <w:rPr>
          <w:sz w:val="20"/>
        </w:rPr>
        <w:t>la</w:t>
      </w:r>
      <w:r>
        <w:rPr>
          <w:spacing w:val="-14"/>
          <w:sz w:val="20"/>
        </w:rPr>
        <w:t xml:space="preserve"> </w:t>
      </w:r>
      <w:r>
        <w:rPr>
          <w:sz w:val="20"/>
        </w:rPr>
        <w:t>función</w:t>
      </w:r>
      <w:r>
        <w:rPr>
          <w:spacing w:val="-14"/>
          <w:sz w:val="20"/>
        </w:rPr>
        <w:t xml:space="preserve"> </w:t>
      </w:r>
      <w:r>
        <w:rPr>
          <w:sz w:val="20"/>
        </w:rPr>
        <w:t>que</w:t>
      </w:r>
      <w:r>
        <w:rPr>
          <w:spacing w:val="-14"/>
          <w:sz w:val="20"/>
        </w:rPr>
        <w:t xml:space="preserve"> </w:t>
      </w:r>
      <w:r>
        <w:rPr>
          <w:sz w:val="20"/>
        </w:rPr>
        <w:t>le</w:t>
      </w:r>
      <w:r>
        <w:rPr>
          <w:spacing w:val="-16"/>
          <w:sz w:val="20"/>
        </w:rPr>
        <w:t xml:space="preserve"> </w:t>
      </w:r>
      <w:r>
        <w:rPr>
          <w:sz w:val="20"/>
        </w:rPr>
        <w:t>cabe</w:t>
      </w:r>
      <w:r>
        <w:rPr>
          <w:spacing w:val="-15"/>
          <w:sz w:val="20"/>
        </w:rPr>
        <w:t xml:space="preserve"> </w:t>
      </w:r>
      <w:r>
        <w:rPr>
          <w:sz w:val="20"/>
        </w:rPr>
        <w:t>a</w:t>
      </w:r>
      <w:r>
        <w:rPr>
          <w:spacing w:val="-15"/>
          <w:sz w:val="20"/>
        </w:rPr>
        <w:t xml:space="preserve"> </w:t>
      </w:r>
      <w:r>
        <w:rPr>
          <w:sz w:val="20"/>
        </w:rPr>
        <w:t>la</w:t>
      </w:r>
      <w:r>
        <w:rPr>
          <w:spacing w:val="-15"/>
          <w:sz w:val="20"/>
        </w:rPr>
        <w:t xml:space="preserve"> </w:t>
      </w:r>
      <w:r>
        <w:rPr>
          <w:sz w:val="20"/>
        </w:rPr>
        <w:t>Corte en</w:t>
      </w:r>
      <w:r>
        <w:rPr>
          <w:spacing w:val="-6"/>
          <w:sz w:val="20"/>
        </w:rPr>
        <w:t xml:space="preserve"> </w:t>
      </w:r>
      <w:r>
        <w:rPr>
          <w:sz w:val="20"/>
        </w:rPr>
        <w:t>tanto</w:t>
      </w:r>
      <w:r>
        <w:rPr>
          <w:spacing w:val="-8"/>
          <w:sz w:val="20"/>
        </w:rPr>
        <w:t xml:space="preserve"> </w:t>
      </w:r>
      <w:r>
        <w:rPr>
          <w:sz w:val="20"/>
        </w:rPr>
        <w:t>entidad</w:t>
      </w:r>
      <w:r>
        <w:rPr>
          <w:spacing w:val="-6"/>
          <w:sz w:val="20"/>
        </w:rPr>
        <w:t xml:space="preserve"> </w:t>
      </w:r>
      <w:r>
        <w:rPr>
          <w:sz w:val="20"/>
        </w:rPr>
        <w:t>judicial,</w:t>
      </w:r>
      <w:r>
        <w:rPr>
          <w:spacing w:val="-8"/>
          <w:sz w:val="20"/>
        </w:rPr>
        <w:t xml:space="preserve"> </w:t>
      </w:r>
      <w:r>
        <w:rPr>
          <w:sz w:val="20"/>
        </w:rPr>
        <w:t>cual</w:t>
      </w:r>
      <w:r>
        <w:rPr>
          <w:spacing w:val="-7"/>
          <w:sz w:val="20"/>
        </w:rPr>
        <w:t xml:space="preserve"> </w:t>
      </w:r>
      <w:r>
        <w:rPr>
          <w:sz w:val="20"/>
        </w:rPr>
        <w:t>es,</w:t>
      </w:r>
      <w:r>
        <w:rPr>
          <w:spacing w:val="-7"/>
          <w:sz w:val="20"/>
        </w:rPr>
        <w:t xml:space="preserve"> </w:t>
      </w:r>
      <w:r>
        <w:rPr>
          <w:sz w:val="20"/>
        </w:rPr>
        <w:t>aplicar</w:t>
      </w:r>
      <w:r>
        <w:rPr>
          <w:spacing w:val="-5"/>
          <w:sz w:val="20"/>
        </w:rPr>
        <w:t xml:space="preserve"> </w:t>
      </w:r>
      <w:r>
        <w:rPr>
          <w:sz w:val="20"/>
        </w:rPr>
        <w:t>e</w:t>
      </w:r>
      <w:r>
        <w:rPr>
          <w:spacing w:val="-8"/>
          <w:sz w:val="20"/>
        </w:rPr>
        <w:t xml:space="preserve"> </w:t>
      </w:r>
      <w:r>
        <w:rPr>
          <w:sz w:val="20"/>
        </w:rPr>
        <w:t>interpretar</w:t>
      </w:r>
      <w:r>
        <w:rPr>
          <w:spacing w:val="-8"/>
          <w:sz w:val="20"/>
        </w:rPr>
        <w:t xml:space="preserve"> </w:t>
      </w:r>
      <w:r>
        <w:rPr>
          <w:sz w:val="20"/>
        </w:rPr>
        <w:t>la</w:t>
      </w:r>
      <w:r>
        <w:rPr>
          <w:spacing w:val="-7"/>
          <w:sz w:val="20"/>
        </w:rPr>
        <w:t xml:space="preserve"> </w:t>
      </w:r>
      <w:r>
        <w:rPr>
          <w:sz w:val="20"/>
        </w:rPr>
        <w:t>Convención</w:t>
      </w:r>
      <w:hyperlink w:anchor="_bookmark557" w:history="1">
        <w:r>
          <w:rPr>
            <w:position w:val="7"/>
            <w:sz w:val="13"/>
          </w:rPr>
          <w:t>9</w:t>
        </w:r>
      </w:hyperlink>
      <w:r>
        <w:rPr>
          <w:sz w:val="20"/>
        </w:rPr>
        <w:t>,</w:t>
      </w:r>
      <w:r>
        <w:rPr>
          <w:spacing w:val="-7"/>
          <w:sz w:val="20"/>
        </w:rPr>
        <w:t xml:space="preserve"> </w:t>
      </w:r>
      <w:r>
        <w:rPr>
          <w:sz w:val="20"/>
        </w:rPr>
        <w:t>acorde</w:t>
      </w:r>
      <w:r>
        <w:rPr>
          <w:spacing w:val="-7"/>
          <w:sz w:val="20"/>
        </w:rPr>
        <w:t xml:space="preserve"> </w:t>
      </w:r>
      <w:r>
        <w:rPr>
          <w:sz w:val="20"/>
        </w:rPr>
        <w:t>a</w:t>
      </w:r>
      <w:r>
        <w:rPr>
          <w:spacing w:val="-7"/>
          <w:sz w:val="20"/>
        </w:rPr>
        <w:t xml:space="preserve"> </w:t>
      </w:r>
      <w:r>
        <w:rPr>
          <w:sz w:val="20"/>
        </w:rPr>
        <w:t>las</w:t>
      </w:r>
      <w:r>
        <w:rPr>
          <w:spacing w:val="-8"/>
          <w:sz w:val="20"/>
        </w:rPr>
        <w:t xml:space="preserve"> </w:t>
      </w:r>
      <w:r>
        <w:rPr>
          <w:sz w:val="20"/>
        </w:rPr>
        <w:t>reglas</w:t>
      </w:r>
      <w:r>
        <w:rPr>
          <w:spacing w:val="-8"/>
          <w:sz w:val="20"/>
        </w:rPr>
        <w:t xml:space="preserve"> </w:t>
      </w:r>
      <w:r>
        <w:rPr>
          <w:spacing w:val="2"/>
          <w:sz w:val="20"/>
        </w:rPr>
        <w:t xml:space="preserve">de </w:t>
      </w:r>
      <w:r>
        <w:rPr>
          <w:sz w:val="20"/>
        </w:rPr>
        <w:t>interpretación previstas en la Convención de Viena sobre el Derecho de los Tratados</w:t>
      </w:r>
      <w:hyperlink w:anchor="_bookmark558" w:history="1">
        <w:r>
          <w:rPr>
            <w:position w:val="7"/>
            <w:sz w:val="13"/>
          </w:rPr>
          <w:t>10</w:t>
        </w:r>
      </w:hyperlink>
      <w:r>
        <w:rPr>
          <w:sz w:val="20"/>
        </w:rPr>
        <w:t>,</w:t>
      </w:r>
      <w:r>
        <w:rPr>
          <w:sz w:val="20"/>
        </w:rPr>
        <w:t xml:space="preserve"> que están dirigidas a determinar el sentido y alcance de lo que aquella dispone, y no en buscar en ella lo que el intérprete quiera que</w:t>
      </w:r>
      <w:r>
        <w:rPr>
          <w:spacing w:val="-3"/>
          <w:sz w:val="20"/>
        </w:rPr>
        <w:t xml:space="preserve"> </w:t>
      </w:r>
      <w:r>
        <w:rPr>
          <w:sz w:val="20"/>
        </w:rPr>
        <w:t>exprese</w:t>
      </w:r>
      <w:hyperlink w:anchor="_bookmark559" w:history="1">
        <w:r>
          <w:rPr>
            <w:position w:val="7"/>
            <w:sz w:val="13"/>
          </w:rPr>
          <w:t>11</w:t>
        </w:r>
      </w:hyperlink>
      <w:r>
        <w:rPr>
          <w:sz w:val="20"/>
        </w:rPr>
        <w:t>.</w:t>
      </w:r>
    </w:p>
    <w:p w14:paraId="0BCAAD11" w14:textId="77777777" w:rsidR="00467FCA" w:rsidRDefault="00467FCA">
      <w:pPr>
        <w:pStyle w:val="Textoindependiente"/>
        <w:rPr>
          <w:sz w:val="22"/>
        </w:rPr>
      </w:pPr>
    </w:p>
    <w:p w14:paraId="795E1E91" w14:textId="77777777" w:rsidR="00467FCA" w:rsidRDefault="001B68EB">
      <w:pPr>
        <w:pStyle w:val="Prrafodelista"/>
        <w:numPr>
          <w:ilvl w:val="0"/>
          <w:numId w:val="31"/>
        </w:numPr>
        <w:tabs>
          <w:tab w:val="left" w:pos="1450"/>
        </w:tabs>
        <w:spacing w:line="276" w:lineRule="auto"/>
        <w:ind w:right="395" w:firstLine="0"/>
        <w:jc w:val="both"/>
        <w:rPr>
          <w:sz w:val="20"/>
        </w:rPr>
      </w:pPr>
      <w:r>
        <w:rPr>
          <w:sz w:val="20"/>
        </w:rPr>
        <w:t>La</w:t>
      </w:r>
      <w:r>
        <w:rPr>
          <w:spacing w:val="-13"/>
          <w:sz w:val="20"/>
        </w:rPr>
        <w:t xml:space="preserve"> </w:t>
      </w:r>
      <w:r>
        <w:rPr>
          <w:sz w:val="20"/>
        </w:rPr>
        <w:t>aplicación</w:t>
      </w:r>
      <w:r>
        <w:rPr>
          <w:spacing w:val="-9"/>
          <w:sz w:val="20"/>
        </w:rPr>
        <w:t xml:space="preserve"> </w:t>
      </w:r>
      <w:r>
        <w:rPr>
          <w:sz w:val="20"/>
        </w:rPr>
        <w:t>e</w:t>
      </w:r>
      <w:r>
        <w:rPr>
          <w:spacing w:val="-11"/>
          <w:sz w:val="20"/>
        </w:rPr>
        <w:t xml:space="preserve"> </w:t>
      </w:r>
      <w:r>
        <w:rPr>
          <w:sz w:val="20"/>
        </w:rPr>
        <w:t>interpretación</w:t>
      </w:r>
      <w:r>
        <w:rPr>
          <w:spacing w:val="-12"/>
          <w:sz w:val="20"/>
        </w:rPr>
        <w:t xml:space="preserve"> </w:t>
      </w:r>
      <w:r>
        <w:rPr>
          <w:sz w:val="20"/>
        </w:rPr>
        <w:t>de</w:t>
      </w:r>
      <w:r>
        <w:rPr>
          <w:spacing w:val="-11"/>
          <w:sz w:val="20"/>
        </w:rPr>
        <w:t xml:space="preserve"> </w:t>
      </w:r>
      <w:r>
        <w:rPr>
          <w:sz w:val="20"/>
        </w:rPr>
        <w:t>la</w:t>
      </w:r>
      <w:r>
        <w:rPr>
          <w:spacing w:val="-10"/>
          <w:sz w:val="20"/>
        </w:rPr>
        <w:t xml:space="preserve"> </w:t>
      </w:r>
      <w:r>
        <w:rPr>
          <w:sz w:val="20"/>
        </w:rPr>
        <w:t>Convención</w:t>
      </w:r>
      <w:r>
        <w:rPr>
          <w:spacing w:val="-13"/>
          <w:sz w:val="20"/>
        </w:rPr>
        <w:t xml:space="preserve"> </w:t>
      </w:r>
      <w:r>
        <w:rPr>
          <w:sz w:val="20"/>
        </w:rPr>
        <w:t>importa,</w:t>
      </w:r>
      <w:r>
        <w:rPr>
          <w:spacing w:val="-8"/>
          <w:sz w:val="20"/>
        </w:rPr>
        <w:t xml:space="preserve"> </w:t>
      </w:r>
      <w:r>
        <w:rPr>
          <w:sz w:val="20"/>
        </w:rPr>
        <w:t>consecuentemente,</w:t>
      </w:r>
      <w:r>
        <w:rPr>
          <w:spacing w:val="-13"/>
          <w:sz w:val="20"/>
        </w:rPr>
        <w:t xml:space="preserve"> </w:t>
      </w:r>
      <w:r>
        <w:rPr>
          <w:sz w:val="20"/>
        </w:rPr>
        <w:t>que</w:t>
      </w:r>
      <w:r>
        <w:rPr>
          <w:spacing w:val="-14"/>
          <w:sz w:val="20"/>
        </w:rPr>
        <w:t xml:space="preserve"> </w:t>
      </w:r>
      <w:r>
        <w:rPr>
          <w:sz w:val="20"/>
        </w:rPr>
        <w:t>lo que compete a la Corte es impartir Justicia en materia de Derechos Humanos a través del Derecho y más específicamente aún, según lo que aquella dispone, función diferente a la asignada</w:t>
      </w:r>
      <w:r>
        <w:rPr>
          <w:spacing w:val="-8"/>
          <w:sz w:val="20"/>
        </w:rPr>
        <w:t xml:space="preserve"> </w:t>
      </w:r>
      <w:r>
        <w:rPr>
          <w:sz w:val="20"/>
        </w:rPr>
        <w:t>a</w:t>
      </w:r>
      <w:r>
        <w:rPr>
          <w:spacing w:val="-8"/>
          <w:sz w:val="20"/>
        </w:rPr>
        <w:t xml:space="preserve"> </w:t>
      </w:r>
      <w:r>
        <w:rPr>
          <w:sz w:val="20"/>
        </w:rPr>
        <w:t>la</w:t>
      </w:r>
      <w:r>
        <w:rPr>
          <w:spacing w:val="-5"/>
          <w:sz w:val="20"/>
        </w:rPr>
        <w:t xml:space="preserve"> </w:t>
      </w:r>
      <w:r>
        <w:rPr>
          <w:sz w:val="20"/>
        </w:rPr>
        <w:t>Comisión</w:t>
      </w:r>
      <w:r>
        <w:rPr>
          <w:spacing w:val="-7"/>
          <w:sz w:val="20"/>
        </w:rPr>
        <w:t xml:space="preserve"> </w:t>
      </w:r>
      <w:r>
        <w:rPr>
          <w:sz w:val="20"/>
        </w:rPr>
        <w:t>Interamericana</w:t>
      </w:r>
      <w:r>
        <w:rPr>
          <w:spacing w:val="-5"/>
          <w:sz w:val="20"/>
        </w:rPr>
        <w:t xml:space="preserve"> </w:t>
      </w:r>
      <w:r>
        <w:rPr>
          <w:sz w:val="20"/>
        </w:rPr>
        <w:t>de</w:t>
      </w:r>
      <w:r>
        <w:rPr>
          <w:spacing w:val="-7"/>
          <w:sz w:val="20"/>
        </w:rPr>
        <w:t xml:space="preserve"> </w:t>
      </w:r>
      <w:r>
        <w:rPr>
          <w:sz w:val="20"/>
        </w:rPr>
        <w:t>Derechos</w:t>
      </w:r>
      <w:r>
        <w:rPr>
          <w:spacing w:val="-6"/>
          <w:sz w:val="20"/>
        </w:rPr>
        <w:t xml:space="preserve"> </w:t>
      </w:r>
      <w:r>
        <w:rPr>
          <w:sz w:val="20"/>
        </w:rPr>
        <w:t>Human</w:t>
      </w:r>
      <w:r>
        <w:rPr>
          <w:sz w:val="20"/>
        </w:rPr>
        <w:t>os</w:t>
      </w:r>
      <w:hyperlink w:anchor="_bookmark560" w:history="1">
        <w:r>
          <w:rPr>
            <w:position w:val="7"/>
            <w:sz w:val="13"/>
          </w:rPr>
          <w:t>12</w:t>
        </w:r>
      </w:hyperlink>
      <w:r>
        <w:rPr>
          <w:sz w:val="20"/>
        </w:rPr>
        <w:t>,</w:t>
      </w:r>
      <w:r>
        <w:rPr>
          <w:spacing w:val="-8"/>
          <w:sz w:val="20"/>
        </w:rPr>
        <w:t xml:space="preserve"> </w:t>
      </w:r>
      <w:r>
        <w:rPr>
          <w:sz w:val="20"/>
        </w:rPr>
        <w:t>consistente</w:t>
      </w:r>
      <w:r>
        <w:rPr>
          <w:spacing w:val="-7"/>
          <w:sz w:val="20"/>
        </w:rPr>
        <w:t xml:space="preserve"> </w:t>
      </w:r>
      <w:r>
        <w:rPr>
          <w:sz w:val="20"/>
        </w:rPr>
        <w:t>en</w:t>
      </w:r>
      <w:r>
        <w:rPr>
          <w:spacing w:val="-6"/>
          <w:sz w:val="20"/>
        </w:rPr>
        <w:t xml:space="preserve"> </w:t>
      </w:r>
      <w:r>
        <w:rPr>
          <w:sz w:val="20"/>
        </w:rPr>
        <w:t>promover</w:t>
      </w:r>
      <w:r>
        <w:rPr>
          <w:spacing w:val="-9"/>
          <w:sz w:val="20"/>
        </w:rPr>
        <w:t xml:space="preserve"> </w:t>
      </w:r>
      <w:r>
        <w:rPr>
          <w:sz w:val="20"/>
        </w:rPr>
        <w:t>la observancia y la defensa de los derechos humanos, incluso ante</w:t>
      </w:r>
      <w:r>
        <w:rPr>
          <w:spacing w:val="-11"/>
          <w:sz w:val="20"/>
        </w:rPr>
        <w:t xml:space="preserve"> </w:t>
      </w:r>
      <w:r>
        <w:rPr>
          <w:sz w:val="20"/>
        </w:rPr>
        <w:t>ella</w:t>
      </w:r>
      <w:hyperlink w:anchor="_bookmark561" w:history="1">
        <w:r>
          <w:rPr>
            <w:rFonts w:ascii="Calibri" w:hAnsi="Calibri"/>
            <w:position w:val="8"/>
            <w:sz w:val="14"/>
          </w:rPr>
          <w:t>13</w:t>
        </w:r>
      </w:hyperlink>
      <w:r>
        <w:rPr>
          <w:sz w:val="20"/>
        </w:rPr>
        <w:t>.</w:t>
      </w:r>
    </w:p>
    <w:p w14:paraId="2AC7A620" w14:textId="77777777" w:rsidR="00467FCA" w:rsidRDefault="001B68EB">
      <w:pPr>
        <w:pStyle w:val="Textoindependiente"/>
        <w:spacing w:before="10"/>
        <w:rPr>
          <w:sz w:val="24"/>
        </w:rPr>
      </w:pPr>
      <w:r>
        <w:pict w14:anchorId="67AB9606">
          <v:shape id="_x0000_s1103" style="position:absolute;margin-left:56.75pt;margin-top:17.45pt;width:2in;height:.1pt;z-index:-251563008;mso-wrap-distance-left:0;mso-wrap-distance-right:0;mso-position-horizontal-relative:page" coordorigin="1135,349" coordsize="2880,0" path="m1135,349r2880,e" filled="f" strokeweight=".72pt">
            <v:path arrowok="t"/>
            <w10:wrap type="topAndBottom" anchorx="page"/>
          </v:shape>
        </w:pict>
      </w:r>
    </w:p>
    <w:p w14:paraId="483CE06F" w14:textId="77777777" w:rsidR="00467FCA" w:rsidRDefault="001B68EB">
      <w:pPr>
        <w:spacing w:before="71"/>
        <w:ind w:left="470" w:right="393"/>
        <w:jc w:val="both"/>
        <w:rPr>
          <w:i/>
          <w:sz w:val="16"/>
        </w:rPr>
      </w:pPr>
      <w:bookmarkStart w:id="636" w:name="_bookmark557"/>
      <w:bookmarkEnd w:id="636"/>
      <w:r>
        <w:rPr>
          <w:position w:val="6"/>
          <w:sz w:val="10"/>
        </w:rPr>
        <w:t xml:space="preserve">9 </w:t>
      </w:r>
      <w:r>
        <w:rPr>
          <w:sz w:val="16"/>
        </w:rPr>
        <w:t xml:space="preserve">Art. 62.3 de la Convención: </w:t>
      </w:r>
      <w:r>
        <w:rPr>
          <w:i/>
          <w:sz w:val="16"/>
        </w:rPr>
        <w:t>“La Corte tiene competencia para conocer de cualquier ca</w:t>
      </w:r>
      <w:r>
        <w:rPr>
          <w:i/>
          <w:sz w:val="16"/>
        </w:rPr>
        <w:t>so relativo a la interpretación y aplicación de las disposiciones de esta Convención que le sea sometido, siempre que los Estados Partes en el caso hayan reconocido o reconozcan dicha competencia, ora por declaración especial, como se indica en los incisos</w:t>
      </w:r>
      <w:r>
        <w:rPr>
          <w:i/>
          <w:sz w:val="16"/>
        </w:rPr>
        <w:t xml:space="preserve"> anteriores, ora por convención especial.”</w:t>
      </w:r>
    </w:p>
    <w:p w14:paraId="627ACEC0" w14:textId="77777777" w:rsidR="00467FCA" w:rsidRDefault="001B68EB">
      <w:pPr>
        <w:ind w:left="470" w:right="393"/>
        <w:jc w:val="both"/>
        <w:rPr>
          <w:sz w:val="16"/>
        </w:rPr>
      </w:pPr>
      <w:r>
        <w:rPr>
          <w:sz w:val="16"/>
        </w:rPr>
        <w:t>En</w:t>
      </w:r>
      <w:r>
        <w:rPr>
          <w:spacing w:val="-11"/>
          <w:sz w:val="16"/>
        </w:rPr>
        <w:t xml:space="preserve"> </w:t>
      </w:r>
      <w:r>
        <w:rPr>
          <w:sz w:val="16"/>
        </w:rPr>
        <w:t>lo</w:t>
      </w:r>
      <w:r>
        <w:rPr>
          <w:spacing w:val="-11"/>
          <w:sz w:val="16"/>
        </w:rPr>
        <w:t xml:space="preserve"> </w:t>
      </w:r>
      <w:r>
        <w:rPr>
          <w:sz w:val="16"/>
        </w:rPr>
        <w:t>sucesivo,</w:t>
      </w:r>
      <w:r>
        <w:rPr>
          <w:spacing w:val="-13"/>
          <w:sz w:val="16"/>
        </w:rPr>
        <w:t xml:space="preserve"> </w:t>
      </w:r>
      <w:r>
        <w:rPr>
          <w:sz w:val="16"/>
        </w:rPr>
        <w:t>cada</w:t>
      </w:r>
      <w:r>
        <w:rPr>
          <w:spacing w:val="-15"/>
          <w:sz w:val="16"/>
        </w:rPr>
        <w:t xml:space="preserve"> </w:t>
      </w:r>
      <w:r>
        <w:rPr>
          <w:sz w:val="16"/>
        </w:rPr>
        <w:t>vez</w:t>
      </w:r>
      <w:r>
        <w:rPr>
          <w:spacing w:val="-12"/>
          <w:sz w:val="16"/>
        </w:rPr>
        <w:t xml:space="preserve"> </w:t>
      </w:r>
      <w:r>
        <w:rPr>
          <w:sz w:val="16"/>
        </w:rPr>
        <w:t>que</w:t>
      </w:r>
      <w:r>
        <w:rPr>
          <w:spacing w:val="-14"/>
          <w:sz w:val="16"/>
        </w:rPr>
        <w:t xml:space="preserve"> </w:t>
      </w:r>
      <w:r>
        <w:rPr>
          <w:sz w:val="16"/>
        </w:rPr>
        <w:t>se</w:t>
      </w:r>
      <w:r>
        <w:rPr>
          <w:spacing w:val="-10"/>
          <w:sz w:val="16"/>
        </w:rPr>
        <w:t xml:space="preserve"> </w:t>
      </w:r>
      <w:r>
        <w:rPr>
          <w:sz w:val="16"/>
        </w:rPr>
        <w:t>indique</w:t>
      </w:r>
      <w:r>
        <w:rPr>
          <w:spacing w:val="-12"/>
          <w:sz w:val="16"/>
        </w:rPr>
        <w:t xml:space="preserve"> </w:t>
      </w:r>
      <w:r>
        <w:rPr>
          <w:sz w:val="16"/>
        </w:rPr>
        <w:t>un</w:t>
      </w:r>
      <w:r>
        <w:rPr>
          <w:spacing w:val="-13"/>
          <w:sz w:val="16"/>
        </w:rPr>
        <w:t xml:space="preserve"> </w:t>
      </w:r>
      <w:r>
        <w:rPr>
          <w:sz w:val="16"/>
        </w:rPr>
        <w:t>artículo</w:t>
      </w:r>
      <w:r>
        <w:rPr>
          <w:spacing w:val="-11"/>
          <w:sz w:val="16"/>
        </w:rPr>
        <w:t xml:space="preserve"> </w:t>
      </w:r>
      <w:r>
        <w:rPr>
          <w:sz w:val="16"/>
        </w:rPr>
        <w:t>sin</w:t>
      </w:r>
      <w:r>
        <w:rPr>
          <w:spacing w:val="-12"/>
          <w:sz w:val="16"/>
        </w:rPr>
        <w:t xml:space="preserve"> </w:t>
      </w:r>
      <w:r>
        <w:rPr>
          <w:sz w:val="16"/>
        </w:rPr>
        <w:t>señalar</w:t>
      </w:r>
      <w:r>
        <w:rPr>
          <w:spacing w:val="-11"/>
          <w:sz w:val="16"/>
        </w:rPr>
        <w:t xml:space="preserve"> </w:t>
      </w:r>
      <w:r>
        <w:rPr>
          <w:sz w:val="16"/>
        </w:rPr>
        <w:t>el</w:t>
      </w:r>
      <w:r>
        <w:rPr>
          <w:spacing w:val="-11"/>
          <w:sz w:val="16"/>
        </w:rPr>
        <w:t xml:space="preserve"> </w:t>
      </w:r>
      <w:r>
        <w:rPr>
          <w:sz w:val="16"/>
        </w:rPr>
        <w:t>instrumento</w:t>
      </w:r>
      <w:r>
        <w:rPr>
          <w:spacing w:val="-9"/>
          <w:sz w:val="16"/>
        </w:rPr>
        <w:t xml:space="preserve"> </w:t>
      </w:r>
      <w:r>
        <w:rPr>
          <w:sz w:val="16"/>
        </w:rPr>
        <w:t>jurídico</w:t>
      </w:r>
      <w:r>
        <w:rPr>
          <w:spacing w:val="-11"/>
          <w:sz w:val="16"/>
        </w:rPr>
        <w:t xml:space="preserve"> </w:t>
      </w:r>
      <w:r>
        <w:rPr>
          <w:sz w:val="16"/>
        </w:rPr>
        <w:t>al</w:t>
      </w:r>
      <w:r>
        <w:rPr>
          <w:spacing w:val="-12"/>
          <w:sz w:val="16"/>
        </w:rPr>
        <w:t xml:space="preserve"> </w:t>
      </w:r>
      <w:r>
        <w:rPr>
          <w:sz w:val="16"/>
        </w:rPr>
        <w:t>que</w:t>
      </w:r>
      <w:r>
        <w:rPr>
          <w:spacing w:val="-12"/>
          <w:sz w:val="16"/>
        </w:rPr>
        <w:t xml:space="preserve"> </w:t>
      </w:r>
      <w:r>
        <w:rPr>
          <w:sz w:val="16"/>
        </w:rPr>
        <w:t>pertenece,</w:t>
      </w:r>
      <w:r>
        <w:rPr>
          <w:spacing w:val="-13"/>
          <w:sz w:val="16"/>
        </w:rPr>
        <w:t xml:space="preserve"> </w:t>
      </w:r>
      <w:r>
        <w:rPr>
          <w:sz w:val="16"/>
        </w:rPr>
        <w:t>se</w:t>
      </w:r>
      <w:r>
        <w:rPr>
          <w:spacing w:val="-12"/>
          <w:sz w:val="16"/>
        </w:rPr>
        <w:t xml:space="preserve"> </w:t>
      </w:r>
      <w:r>
        <w:rPr>
          <w:sz w:val="16"/>
        </w:rPr>
        <w:t>entenderá que es a la</w:t>
      </w:r>
      <w:r>
        <w:rPr>
          <w:spacing w:val="-1"/>
          <w:sz w:val="16"/>
        </w:rPr>
        <w:t xml:space="preserve"> </w:t>
      </w:r>
      <w:r>
        <w:rPr>
          <w:sz w:val="16"/>
        </w:rPr>
        <w:t>Convención.</w:t>
      </w:r>
    </w:p>
    <w:p w14:paraId="1C5A8015" w14:textId="77777777" w:rsidR="00467FCA" w:rsidRDefault="001B68EB">
      <w:pPr>
        <w:ind w:left="470"/>
        <w:jc w:val="both"/>
        <w:rPr>
          <w:sz w:val="16"/>
        </w:rPr>
      </w:pPr>
      <w:bookmarkStart w:id="637" w:name="_bookmark558"/>
      <w:bookmarkEnd w:id="637"/>
      <w:r>
        <w:rPr>
          <w:position w:val="6"/>
          <w:sz w:val="10"/>
        </w:rPr>
        <w:t>10</w:t>
      </w:r>
      <w:bookmarkStart w:id="638" w:name="_bookmark559"/>
      <w:bookmarkEnd w:id="638"/>
      <w:r>
        <w:rPr>
          <w:position w:val="6"/>
          <w:sz w:val="10"/>
        </w:rPr>
        <w:t xml:space="preserve"> </w:t>
      </w:r>
      <w:r>
        <w:rPr>
          <w:sz w:val="16"/>
        </w:rPr>
        <w:t>En adelante, Convención de Viena.</w:t>
      </w:r>
    </w:p>
    <w:p w14:paraId="56F0616C" w14:textId="77777777" w:rsidR="00467FCA" w:rsidRDefault="001B68EB">
      <w:pPr>
        <w:ind w:left="470" w:right="394"/>
        <w:jc w:val="both"/>
        <w:rPr>
          <w:i/>
          <w:sz w:val="16"/>
        </w:rPr>
      </w:pPr>
      <w:r>
        <w:rPr>
          <w:position w:val="6"/>
          <w:sz w:val="10"/>
        </w:rPr>
        <w:t>11</w:t>
      </w:r>
      <w:r>
        <w:rPr>
          <w:spacing w:val="33"/>
          <w:position w:val="6"/>
          <w:sz w:val="10"/>
        </w:rPr>
        <w:t xml:space="preserve"> </w:t>
      </w:r>
      <w:r>
        <w:rPr>
          <w:sz w:val="16"/>
        </w:rPr>
        <w:t>Art.</w:t>
      </w:r>
      <w:r>
        <w:rPr>
          <w:spacing w:val="-10"/>
          <w:sz w:val="16"/>
        </w:rPr>
        <w:t xml:space="preserve"> </w:t>
      </w:r>
      <w:r>
        <w:rPr>
          <w:sz w:val="16"/>
        </w:rPr>
        <w:t>31</w:t>
      </w:r>
      <w:r>
        <w:rPr>
          <w:spacing w:val="-9"/>
          <w:sz w:val="16"/>
        </w:rPr>
        <w:t xml:space="preserve"> </w:t>
      </w:r>
      <w:r>
        <w:rPr>
          <w:sz w:val="16"/>
        </w:rPr>
        <w:t>de</w:t>
      </w:r>
      <w:r>
        <w:rPr>
          <w:spacing w:val="-10"/>
          <w:sz w:val="16"/>
        </w:rPr>
        <w:t xml:space="preserve"> </w:t>
      </w:r>
      <w:r>
        <w:rPr>
          <w:sz w:val="16"/>
        </w:rPr>
        <w:t>la</w:t>
      </w:r>
      <w:r>
        <w:rPr>
          <w:spacing w:val="-10"/>
          <w:sz w:val="16"/>
        </w:rPr>
        <w:t xml:space="preserve"> </w:t>
      </w:r>
      <w:r>
        <w:rPr>
          <w:sz w:val="16"/>
        </w:rPr>
        <w:t>Convención</w:t>
      </w:r>
      <w:r>
        <w:rPr>
          <w:spacing w:val="-10"/>
          <w:sz w:val="16"/>
        </w:rPr>
        <w:t xml:space="preserve"> </w:t>
      </w:r>
      <w:r>
        <w:rPr>
          <w:sz w:val="16"/>
        </w:rPr>
        <w:t>de</w:t>
      </w:r>
      <w:r>
        <w:rPr>
          <w:spacing w:val="-12"/>
          <w:sz w:val="16"/>
        </w:rPr>
        <w:t xml:space="preserve"> </w:t>
      </w:r>
      <w:r>
        <w:rPr>
          <w:sz w:val="16"/>
        </w:rPr>
        <w:t>Viena:</w:t>
      </w:r>
      <w:r>
        <w:rPr>
          <w:spacing w:val="-8"/>
          <w:sz w:val="16"/>
        </w:rPr>
        <w:t xml:space="preserve"> </w:t>
      </w:r>
      <w:r>
        <w:rPr>
          <w:sz w:val="16"/>
        </w:rPr>
        <w:t>“</w:t>
      </w:r>
      <w:r>
        <w:rPr>
          <w:i/>
          <w:sz w:val="16"/>
        </w:rPr>
        <w:t>Regla</w:t>
      </w:r>
      <w:r>
        <w:rPr>
          <w:i/>
          <w:spacing w:val="-10"/>
          <w:sz w:val="16"/>
        </w:rPr>
        <w:t xml:space="preserve"> </w:t>
      </w:r>
      <w:r>
        <w:rPr>
          <w:i/>
          <w:sz w:val="16"/>
        </w:rPr>
        <w:t>general</w:t>
      </w:r>
      <w:r>
        <w:rPr>
          <w:i/>
          <w:spacing w:val="-11"/>
          <w:sz w:val="16"/>
        </w:rPr>
        <w:t xml:space="preserve"> </w:t>
      </w:r>
      <w:r>
        <w:rPr>
          <w:i/>
          <w:sz w:val="16"/>
        </w:rPr>
        <w:t>de</w:t>
      </w:r>
      <w:r>
        <w:rPr>
          <w:i/>
          <w:spacing w:val="-9"/>
          <w:sz w:val="16"/>
        </w:rPr>
        <w:t xml:space="preserve"> </w:t>
      </w:r>
      <w:r>
        <w:rPr>
          <w:i/>
          <w:sz w:val="16"/>
        </w:rPr>
        <w:t>interpretación.</w:t>
      </w:r>
      <w:r>
        <w:rPr>
          <w:i/>
          <w:spacing w:val="-8"/>
          <w:sz w:val="16"/>
        </w:rPr>
        <w:t xml:space="preserve"> </w:t>
      </w:r>
      <w:r>
        <w:rPr>
          <w:i/>
          <w:sz w:val="16"/>
        </w:rPr>
        <w:t>I.</w:t>
      </w:r>
      <w:r>
        <w:rPr>
          <w:i/>
          <w:spacing w:val="-11"/>
          <w:sz w:val="16"/>
        </w:rPr>
        <w:t xml:space="preserve"> </w:t>
      </w:r>
      <w:r>
        <w:rPr>
          <w:i/>
          <w:sz w:val="16"/>
        </w:rPr>
        <w:t>Un</w:t>
      </w:r>
      <w:r>
        <w:rPr>
          <w:i/>
          <w:spacing w:val="-11"/>
          <w:sz w:val="16"/>
        </w:rPr>
        <w:t xml:space="preserve"> </w:t>
      </w:r>
      <w:r>
        <w:rPr>
          <w:i/>
          <w:sz w:val="16"/>
        </w:rPr>
        <w:t>tratado</w:t>
      </w:r>
      <w:r>
        <w:rPr>
          <w:i/>
          <w:spacing w:val="-10"/>
          <w:sz w:val="16"/>
        </w:rPr>
        <w:t xml:space="preserve"> </w:t>
      </w:r>
      <w:r>
        <w:rPr>
          <w:i/>
          <w:sz w:val="16"/>
        </w:rPr>
        <w:t>deberá</w:t>
      </w:r>
      <w:r>
        <w:rPr>
          <w:i/>
          <w:spacing w:val="-10"/>
          <w:sz w:val="16"/>
        </w:rPr>
        <w:t xml:space="preserve"> </w:t>
      </w:r>
      <w:r>
        <w:rPr>
          <w:i/>
          <w:sz w:val="16"/>
        </w:rPr>
        <w:t>interpretarse</w:t>
      </w:r>
      <w:r>
        <w:rPr>
          <w:i/>
          <w:spacing w:val="-12"/>
          <w:sz w:val="16"/>
        </w:rPr>
        <w:t xml:space="preserve"> </w:t>
      </w:r>
      <w:r>
        <w:rPr>
          <w:i/>
          <w:sz w:val="16"/>
        </w:rPr>
        <w:t>de</w:t>
      </w:r>
      <w:r>
        <w:rPr>
          <w:i/>
          <w:spacing w:val="-12"/>
          <w:sz w:val="16"/>
        </w:rPr>
        <w:t xml:space="preserve"> </w:t>
      </w:r>
      <w:r>
        <w:rPr>
          <w:i/>
          <w:sz w:val="16"/>
        </w:rPr>
        <w:t>buena fe</w:t>
      </w:r>
      <w:r>
        <w:rPr>
          <w:i/>
          <w:spacing w:val="-7"/>
          <w:sz w:val="16"/>
        </w:rPr>
        <w:t xml:space="preserve"> </w:t>
      </w:r>
      <w:r>
        <w:rPr>
          <w:i/>
          <w:sz w:val="16"/>
        </w:rPr>
        <w:t>conforme</w:t>
      </w:r>
      <w:r>
        <w:rPr>
          <w:i/>
          <w:spacing w:val="-7"/>
          <w:sz w:val="16"/>
        </w:rPr>
        <w:t xml:space="preserve"> </w:t>
      </w:r>
      <w:r>
        <w:rPr>
          <w:i/>
          <w:sz w:val="16"/>
        </w:rPr>
        <w:t>al</w:t>
      </w:r>
      <w:r>
        <w:rPr>
          <w:i/>
          <w:spacing w:val="-8"/>
          <w:sz w:val="16"/>
        </w:rPr>
        <w:t xml:space="preserve"> </w:t>
      </w:r>
      <w:r>
        <w:rPr>
          <w:i/>
          <w:sz w:val="16"/>
        </w:rPr>
        <w:t>sentido</w:t>
      </w:r>
      <w:r>
        <w:rPr>
          <w:i/>
          <w:spacing w:val="-9"/>
          <w:sz w:val="16"/>
        </w:rPr>
        <w:t xml:space="preserve"> </w:t>
      </w:r>
      <w:r>
        <w:rPr>
          <w:i/>
          <w:sz w:val="16"/>
        </w:rPr>
        <w:t>corriente</w:t>
      </w:r>
      <w:r>
        <w:rPr>
          <w:i/>
          <w:spacing w:val="-7"/>
          <w:sz w:val="16"/>
        </w:rPr>
        <w:t xml:space="preserve"> </w:t>
      </w:r>
      <w:r>
        <w:rPr>
          <w:i/>
          <w:sz w:val="16"/>
        </w:rPr>
        <w:t>que</w:t>
      </w:r>
      <w:r>
        <w:rPr>
          <w:i/>
          <w:spacing w:val="-7"/>
          <w:sz w:val="16"/>
        </w:rPr>
        <w:t xml:space="preserve"> </w:t>
      </w:r>
      <w:r>
        <w:rPr>
          <w:i/>
          <w:sz w:val="16"/>
        </w:rPr>
        <w:t>haya</w:t>
      </w:r>
      <w:r>
        <w:rPr>
          <w:i/>
          <w:spacing w:val="-10"/>
          <w:sz w:val="16"/>
        </w:rPr>
        <w:t xml:space="preserve"> </w:t>
      </w:r>
      <w:r>
        <w:rPr>
          <w:i/>
          <w:sz w:val="16"/>
        </w:rPr>
        <w:t>de</w:t>
      </w:r>
      <w:r>
        <w:rPr>
          <w:i/>
          <w:spacing w:val="-7"/>
          <w:sz w:val="16"/>
        </w:rPr>
        <w:t xml:space="preserve"> </w:t>
      </w:r>
      <w:r>
        <w:rPr>
          <w:i/>
          <w:sz w:val="16"/>
        </w:rPr>
        <w:t>atribuirse</w:t>
      </w:r>
      <w:r>
        <w:rPr>
          <w:i/>
          <w:spacing w:val="-10"/>
          <w:sz w:val="16"/>
        </w:rPr>
        <w:t xml:space="preserve"> </w:t>
      </w:r>
      <w:r>
        <w:rPr>
          <w:i/>
          <w:sz w:val="16"/>
        </w:rPr>
        <w:t>a</w:t>
      </w:r>
      <w:r>
        <w:rPr>
          <w:i/>
          <w:spacing w:val="-8"/>
          <w:sz w:val="16"/>
        </w:rPr>
        <w:t xml:space="preserve"> </w:t>
      </w:r>
      <w:r>
        <w:rPr>
          <w:i/>
          <w:sz w:val="16"/>
        </w:rPr>
        <w:t>los</w:t>
      </w:r>
      <w:r>
        <w:rPr>
          <w:i/>
          <w:spacing w:val="-11"/>
          <w:sz w:val="16"/>
        </w:rPr>
        <w:t xml:space="preserve"> </w:t>
      </w:r>
      <w:r>
        <w:rPr>
          <w:i/>
          <w:sz w:val="16"/>
        </w:rPr>
        <w:t>términos</w:t>
      </w:r>
      <w:r>
        <w:rPr>
          <w:i/>
          <w:spacing w:val="-10"/>
          <w:sz w:val="16"/>
        </w:rPr>
        <w:t xml:space="preserve"> </w:t>
      </w:r>
      <w:r>
        <w:rPr>
          <w:i/>
          <w:sz w:val="16"/>
        </w:rPr>
        <w:t>del</w:t>
      </w:r>
      <w:r>
        <w:rPr>
          <w:i/>
          <w:spacing w:val="-8"/>
          <w:sz w:val="16"/>
        </w:rPr>
        <w:t xml:space="preserve"> </w:t>
      </w:r>
      <w:r>
        <w:rPr>
          <w:i/>
          <w:sz w:val="16"/>
        </w:rPr>
        <w:t>tratado</w:t>
      </w:r>
      <w:r>
        <w:rPr>
          <w:i/>
          <w:spacing w:val="-9"/>
          <w:sz w:val="16"/>
        </w:rPr>
        <w:t xml:space="preserve"> </w:t>
      </w:r>
      <w:r>
        <w:rPr>
          <w:i/>
          <w:sz w:val="16"/>
        </w:rPr>
        <w:t>en</w:t>
      </w:r>
      <w:r>
        <w:rPr>
          <w:i/>
          <w:spacing w:val="-8"/>
          <w:sz w:val="16"/>
        </w:rPr>
        <w:t xml:space="preserve"> </w:t>
      </w:r>
      <w:r>
        <w:rPr>
          <w:i/>
          <w:sz w:val="16"/>
        </w:rPr>
        <w:t>el</w:t>
      </w:r>
      <w:r>
        <w:rPr>
          <w:i/>
          <w:spacing w:val="-8"/>
          <w:sz w:val="16"/>
        </w:rPr>
        <w:t xml:space="preserve"> </w:t>
      </w:r>
      <w:r>
        <w:rPr>
          <w:i/>
          <w:sz w:val="16"/>
        </w:rPr>
        <w:t>contexto</w:t>
      </w:r>
      <w:r>
        <w:rPr>
          <w:i/>
          <w:spacing w:val="-9"/>
          <w:sz w:val="16"/>
        </w:rPr>
        <w:t xml:space="preserve"> </w:t>
      </w:r>
      <w:r>
        <w:rPr>
          <w:i/>
          <w:sz w:val="16"/>
        </w:rPr>
        <w:t>de</w:t>
      </w:r>
      <w:r>
        <w:rPr>
          <w:i/>
          <w:spacing w:val="-10"/>
          <w:sz w:val="16"/>
        </w:rPr>
        <w:t xml:space="preserve"> </w:t>
      </w:r>
      <w:r>
        <w:rPr>
          <w:i/>
          <w:sz w:val="16"/>
        </w:rPr>
        <w:t>estos</w:t>
      </w:r>
      <w:r>
        <w:rPr>
          <w:i/>
          <w:spacing w:val="-9"/>
          <w:sz w:val="16"/>
        </w:rPr>
        <w:t xml:space="preserve"> </w:t>
      </w:r>
      <w:r>
        <w:rPr>
          <w:i/>
          <w:sz w:val="16"/>
        </w:rPr>
        <w:t>y</w:t>
      </w:r>
      <w:r>
        <w:rPr>
          <w:i/>
          <w:spacing w:val="-9"/>
          <w:sz w:val="16"/>
        </w:rPr>
        <w:t xml:space="preserve"> </w:t>
      </w:r>
      <w:r>
        <w:rPr>
          <w:i/>
          <w:sz w:val="16"/>
        </w:rPr>
        <w:t>teniendo en cuenta su objeto y</w:t>
      </w:r>
      <w:r>
        <w:rPr>
          <w:i/>
          <w:spacing w:val="-7"/>
          <w:sz w:val="16"/>
        </w:rPr>
        <w:t xml:space="preserve"> </w:t>
      </w:r>
      <w:r>
        <w:rPr>
          <w:i/>
          <w:sz w:val="16"/>
        </w:rPr>
        <w:t>fin.</w:t>
      </w:r>
    </w:p>
    <w:p w14:paraId="5ED64420" w14:textId="77777777" w:rsidR="00467FCA" w:rsidRDefault="001B68EB">
      <w:pPr>
        <w:pStyle w:val="Prrafodelista"/>
        <w:numPr>
          <w:ilvl w:val="0"/>
          <w:numId w:val="30"/>
        </w:numPr>
        <w:tabs>
          <w:tab w:val="left" w:pos="708"/>
        </w:tabs>
        <w:ind w:right="392" w:firstLine="0"/>
        <w:jc w:val="both"/>
        <w:rPr>
          <w:i/>
          <w:sz w:val="16"/>
        </w:rPr>
      </w:pPr>
      <w:r>
        <w:rPr>
          <w:i/>
          <w:sz w:val="16"/>
        </w:rPr>
        <w:t>Para los efectos de la interpretación de un tratado. el contexto comprenderá, además del texto, incluidos su preámbulo y</w:t>
      </w:r>
      <w:r>
        <w:rPr>
          <w:i/>
          <w:spacing w:val="-3"/>
          <w:sz w:val="16"/>
        </w:rPr>
        <w:t xml:space="preserve"> </w:t>
      </w:r>
      <w:r>
        <w:rPr>
          <w:i/>
          <w:sz w:val="16"/>
        </w:rPr>
        <w:t>anexos:</w:t>
      </w:r>
    </w:p>
    <w:p w14:paraId="5D005BEF" w14:textId="77777777" w:rsidR="00467FCA" w:rsidRDefault="001B68EB">
      <w:pPr>
        <w:pStyle w:val="Prrafodelista"/>
        <w:numPr>
          <w:ilvl w:val="0"/>
          <w:numId w:val="29"/>
        </w:numPr>
        <w:tabs>
          <w:tab w:val="left" w:pos="692"/>
        </w:tabs>
        <w:ind w:right="393" w:firstLine="0"/>
        <w:jc w:val="both"/>
        <w:rPr>
          <w:i/>
          <w:sz w:val="16"/>
        </w:rPr>
      </w:pPr>
      <w:r>
        <w:rPr>
          <w:i/>
          <w:sz w:val="16"/>
        </w:rPr>
        <w:t>todo</w:t>
      </w:r>
      <w:r>
        <w:rPr>
          <w:i/>
          <w:spacing w:val="-5"/>
          <w:sz w:val="16"/>
        </w:rPr>
        <w:t xml:space="preserve"> </w:t>
      </w:r>
      <w:r>
        <w:rPr>
          <w:i/>
          <w:sz w:val="16"/>
        </w:rPr>
        <w:t>acuerdo</w:t>
      </w:r>
      <w:r>
        <w:rPr>
          <w:i/>
          <w:spacing w:val="-7"/>
          <w:sz w:val="16"/>
        </w:rPr>
        <w:t xml:space="preserve"> </w:t>
      </w:r>
      <w:r>
        <w:rPr>
          <w:i/>
          <w:sz w:val="16"/>
        </w:rPr>
        <w:t>que</w:t>
      </w:r>
      <w:r>
        <w:rPr>
          <w:i/>
          <w:spacing w:val="-7"/>
          <w:sz w:val="16"/>
        </w:rPr>
        <w:t xml:space="preserve"> </w:t>
      </w:r>
      <w:r>
        <w:rPr>
          <w:i/>
          <w:sz w:val="16"/>
        </w:rPr>
        <w:t>se</w:t>
      </w:r>
      <w:r>
        <w:rPr>
          <w:i/>
          <w:spacing w:val="-7"/>
          <w:sz w:val="16"/>
        </w:rPr>
        <w:t xml:space="preserve"> </w:t>
      </w:r>
      <w:r>
        <w:rPr>
          <w:i/>
          <w:sz w:val="16"/>
        </w:rPr>
        <w:t>refiera</w:t>
      </w:r>
      <w:r>
        <w:rPr>
          <w:i/>
          <w:spacing w:val="-7"/>
          <w:sz w:val="16"/>
        </w:rPr>
        <w:t xml:space="preserve"> </w:t>
      </w:r>
      <w:r>
        <w:rPr>
          <w:i/>
          <w:sz w:val="16"/>
        </w:rPr>
        <w:t>al</w:t>
      </w:r>
      <w:r>
        <w:rPr>
          <w:i/>
          <w:spacing w:val="-6"/>
          <w:sz w:val="16"/>
        </w:rPr>
        <w:t xml:space="preserve"> </w:t>
      </w:r>
      <w:r>
        <w:rPr>
          <w:i/>
          <w:sz w:val="16"/>
        </w:rPr>
        <w:t>tratado</w:t>
      </w:r>
      <w:r>
        <w:rPr>
          <w:i/>
          <w:spacing w:val="-7"/>
          <w:sz w:val="16"/>
        </w:rPr>
        <w:t xml:space="preserve"> </w:t>
      </w:r>
      <w:r>
        <w:rPr>
          <w:i/>
          <w:sz w:val="16"/>
        </w:rPr>
        <w:t>y</w:t>
      </w:r>
      <w:r>
        <w:rPr>
          <w:i/>
          <w:spacing w:val="-6"/>
          <w:sz w:val="16"/>
        </w:rPr>
        <w:t xml:space="preserve"> </w:t>
      </w:r>
      <w:r>
        <w:rPr>
          <w:i/>
          <w:sz w:val="16"/>
        </w:rPr>
        <w:t>haya</w:t>
      </w:r>
      <w:r>
        <w:rPr>
          <w:i/>
          <w:spacing w:val="-8"/>
          <w:sz w:val="16"/>
        </w:rPr>
        <w:t xml:space="preserve"> </w:t>
      </w:r>
      <w:r>
        <w:rPr>
          <w:i/>
          <w:sz w:val="16"/>
        </w:rPr>
        <w:t>sido</w:t>
      </w:r>
      <w:r>
        <w:rPr>
          <w:i/>
          <w:spacing w:val="-7"/>
          <w:sz w:val="16"/>
        </w:rPr>
        <w:t xml:space="preserve"> </w:t>
      </w:r>
      <w:r>
        <w:rPr>
          <w:i/>
          <w:sz w:val="16"/>
        </w:rPr>
        <w:t>concertado</w:t>
      </w:r>
      <w:r>
        <w:rPr>
          <w:i/>
          <w:spacing w:val="-7"/>
          <w:sz w:val="16"/>
        </w:rPr>
        <w:t xml:space="preserve"> </w:t>
      </w:r>
      <w:r>
        <w:rPr>
          <w:i/>
          <w:sz w:val="16"/>
        </w:rPr>
        <w:t>entre</w:t>
      </w:r>
      <w:r>
        <w:rPr>
          <w:i/>
          <w:spacing w:val="-7"/>
          <w:sz w:val="16"/>
        </w:rPr>
        <w:t xml:space="preserve"> </w:t>
      </w:r>
      <w:r>
        <w:rPr>
          <w:i/>
          <w:sz w:val="16"/>
        </w:rPr>
        <w:t>todas</w:t>
      </w:r>
      <w:r>
        <w:rPr>
          <w:i/>
          <w:spacing w:val="-7"/>
          <w:sz w:val="16"/>
        </w:rPr>
        <w:t xml:space="preserve"> </w:t>
      </w:r>
      <w:r>
        <w:rPr>
          <w:i/>
          <w:sz w:val="16"/>
        </w:rPr>
        <w:t>las</w:t>
      </w:r>
      <w:r>
        <w:rPr>
          <w:i/>
          <w:spacing w:val="-7"/>
          <w:sz w:val="16"/>
        </w:rPr>
        <w:t xml:space="preserve"> </w:t>
      </w:r>
      <w:r>
        <w:rPr>
          <w:i/>
          <w:sz w:val="16"/>
        </w:rPr>
        <w:t>partes</w:t>
      </w:r>
      <w:r>
        <w:rPr>
          <w:i/>
          <w:spacing w:val="-7"/>
          <w:sz w:val="16"/>
        </w:rPr>
        <w:t xml:space="preserve"> </w:t>
      </w:r>
      <w:r>
        <w:rPr>
          <w:i/>
          <w:sz w:val="16"/>
        </w:rPr>
        <w:t>con</w:t>
      </w:r>
      <w:r>
        <w:rPr>
          <w:i/>
          <w:spacing w:val="-8"/>
          <w:sz w:val="16"/>
        </w:rPr>
        <w:t xml:space="preserve"> </w:t>
      </w:r>
      <w:r>
        <w:rPr>
          <w:i/>
          <w:sz w:val="16"/>
        </w:rPr>
        <w:t>motivo</w:t>
      </w:r>
      <w:r>
        <w:rPr>
          <w:i/>
          <w:spacing w:val="-7"/>
          <w:sz w:val="16"/>
        </w:rPr>
        <w:t xml:space="preserve"> </w:t>
      </w:r>
      <w:r>
        <w:rPr>
          <w:i/>
          <w:sz w:val="16"/>
        </w:rPr>
        <w:t>de</w:t>
      </w:r>
      <w:r>
        <w:rPr>
          <w:i/>
          <w:spacing w:val="-7"/>
          <w:sz w:val="16"/>
        </w:rPr>
        <w:t xml:space="preserve"> </w:t>
      </w:r>
      <w:r>
        <w:rPr>
          <w:i/>
          <w:sz w:val="16"/>
        </w:rPr>
        <w:t>la</w:t>
      </w:r>
      <w:r>
        <w:rPr>
          <w:i/>
          <w:spacing w:val="-8"/>
          <w:sz w:val="16"/>
        </w:rPr>
        <w:t xml:space="preserve"> </w:t>
      </w:r>
      <w:r>
        <w:rPr>
          <w:i/>
          <w:sz w:val="16"/>
        </w:rPr>
        <w:t>celebración del</w:t>
      </w:r>
      <w:r>
        <w:rPr>
          <w:i/>
          <w:spacing w:val="-1"/>
          <w:sz w:val="16"/>
        </w:rPr>
        <w:t xml:space="preserve"> </w:t>
      </w:r>
      <w:r>
        <w:rPr>
          <w:i/>
          <w:sz w:val="16"/>
        </w:rPr>
        <w:t>tratado:</w:t>
      </w:r>
    </w:p>
    <w:p w14:paraId="71D3D7A2" w14:textId="77777777" w:rsidR="00467FCA" w:rsidRDefault="001B68EB">
      <w:pPr>
        <w:pStyle w:val="Prrafodelista"/>
        <w:numPr>
          <w:ilvl w:val="0"/>
          <w:numId w:val="29"/>
        </w:numPr>
        <w:tabs>
          <w:tab w:val="left" w:pos="711"/>
        </w:tabs>
        <w:ind w:right="394" w:firstLine="0"/>
        <w:jc w:val="both"/>
        <w:rPr>
          <w:i/>
          <w:sz w:val="16"/>
        </w:rPr>
      </w:pPr>
      <w:r>
        <w:rPr>
          <w:i/>
          <w:sz w:val="16"/>
        </w:rPr>
        <w:t>todo instrumento formulado por una o más partes con motivo de la celebración del tratado y aceptado por las demás como instrumento referente al</w:t>
      </w:r>
      <w:r>
        <w:rPr>
          <w:i/>
          <w:spacing w:val="-3"/>
          <w:sz w:val="16"/>
        </w:rPr>
        <w:t xml:space="preserve"> </w:t>
      </w:r>
      <w:r>
        <w:rPr>
          <w:i/>
          <w:sz w:val="16"/>
        </w:rPr>
        <w:t>tratado;</w:t>
      </w:r>
    </w:p>
    <w:p w14:paraId="67044CB2" w14:textId="77777777" w:rsidR="00467FCA" w:rsidRDefault="001B68EB">
      <w:pPr>
        <w:pStyle w:val="Prrafodelista"/>
        <w:numPr>
          <w:ilvl w:val="0"/>
          <w:numId w:val="30"/>
        </w:numPr>
        <w:tabs>
          <w:tab w:val="left" w:pos="689"/>
        </w:tabs>
        <w:ind w:left="688" w:hanging="219"/>
        <w:jc w:val="both"/>
        <w:rPr>
          <w:i/>
          <w:sz w:val="16"/>
        </w:rPr>
      </w:pPr>
      <w:r>
        <w:rPr>
          <w:i/>
          <w:sz w:val="16"/>
        </w:rPr>
        <w:t>Juntamente con el contexto, habrá de tenerse en</w:t>
      </w:r>
      <w:r>
        <w:rPr>
          <w:i/>
          <w:spacing w:val="-8"/>
          <w:sz w:val="16"/>
        </w:rPr>
        <w:t xml:space="preserve"> </w:t>
      </w:r>
      <w:r>
        <w:rPr>
          <w:i/>
          <w:sz w:val="16"/>
        </w:rPr>
        <w:t>cuenta:</w:t>
      </w:r>
    </w:p>
    <w:p w14:paraId="2AFF49C4" w14:textId="77777777" w:rsidR="00467FCA" w:rsidRDefault="001B68EB">
      <w:pPr>
        <w:pStyle w:val="Prrafodelista"/>
        <w:numPr>
          <w:ilvl w:val="0"/>
          <w:numId w:val="28"/>
        </w:numPr>
        <w:tabs>
          <w:tab w:val="left" w:pos="744"/>
        </w:tabs>
        <w:ind w:right="394" w:firstLine="0"/>
        <w:jc w:val="both"/>
        <w:rPr>
          <w:i/>
          <w:sz w:val="16"/>
        </w:rPr>
      </w:pPr>
      <w:r>
        <w:rPr>
          <w:i/>
          <w:sz w:val="16"/>
        </w:rPr>
        <w:t>todo acue</w:t>
      </w:r>
      <w:r>
        <w:rPr>
          <w:i/>
          <w:sz w:val="16"/>
        </w:rPr>
        <w:t>rdo ulterior entre las partes acerca de la interpretación del tratado o de la aplicación de sus disposiciones:</w:t>
      </w:r>
    </w:p>
    <w:p w14:paraId="1EBDBCC5" w14:textId="77777777" w:rsidR="00467FCA" w:rsidRDefault="001B68EB">
      <w:pPr>
        <w:pStyle w:val="Prrafodelista"/>
        <w:numPr>
          <w:ilvl w:val="0"/>
          <w:numId w:val="28"/>
        </w:numPr>
        <w:tabs>
          <w:tab w:val="left" w:pos="696"/>
        </w:tabs>
        <w:ind w:right="393" w:firstLine="0"/>
        <w:jc w:val="both"/>
        <w:rPr>
          <w:i/>
          <w:sz w:val="16"/>
        </w:rPr>
      </w:pPr>
      <w:r>
        <w:rPr>
          <w:i/>
          <w:sz w:val="16"/>
        </w:rPr>
        <w:t>toda</w:t>
      </w:r>
      <w:r>
        <w:rPr>
          <w:i/>
          <w:spacing w:val="-9"/>
          <w:sz w:val="16"/>
        </w:rPr>
        <w:t xml:space="preserve"> </w:t>
      </w:r>
      <w:r>
        <w:rPr>
          <w:i/>
          <w:sz w:val="16"/>
        </w:rPr>
        <w:t>práctica</w:t>
      </w:r>
      <w:r>
        <w:rPr>
          <w:i/>
          <w:spacing w:val="-6"/>
          <w:sz w:val="16"/>
        </w:rPr>
        <w:t xml:space="preserve"> </w:t>
      </w:r>
      <w:r>
        <w:rPr>
          <w:i/>
          <w:sz w:val="16"/>
        </w:rPr>
        <w:t>ulteriormente</w:t>
      </w:r>
      <w:r>
        <w:rPr>
          <w:i/>
          <w:spacing w:val="-7"/>
          <w:sz w:val="16"/>
        </w:rPr>
        <w:t xml:space="preserve"> </w:t>
      </w:r>
      <w:r>
        <w:rPr>
          <w:i/>
          <w:sz w:val="16"/>
        </w:rPr>
        <w:t>seguida</w:t>
      </w:r>
      <w:r>
        <w:rPr>
          <w:i/>
          <w:spacing w:val="-8"/>
          <w:sz w:val="16"/>
        </w:rPr>
        <w:t xml:space="preserve"> </w:t>
      </w:r>
      <w:r>
        <w:rPr>
          <w:i/>
          <w:sz w:val="16"/>
        </w:rPr>
        <w:t>en</w:t>
      </w:r>
      <w:r>
        <w:rPr>
          <w:i/>
          <w:spacing w:val="-6"/>
          <w:sz w:val="16"/>
        </w:rPr>
        <w:t xml:space="preserve"> </w:t>
      </w:r>
      <w:r>
        <w:rPr>
          <w:i/>
          <w:sz w:val="16"/>
        </w:rPr>
        <w:t>la</w:t>
      </w:r>
      <w:r>
        <w:rPr>
          <w:i/>
          <w:spacing w:val="-8"/>
          <w:sz w:val="16"/>
        </w:rPr>
        <w:t xml:space="preserve"> </w:t>
      </w:r>
      <w:r>
        <w:rPr>
          <w:i/>
          <w:sz w:val="16"/>
        </w:rPr>
        <w:t>aplicación</w:t>
      </w:r>
      <w:r>
        <w:rPr>
          <w:i/>
          <w:spacing w:val="-8"/>
          <w:sz w:val="16"/>
        </w:rPr>
        <w:t xml:space="preserve"> </w:t>
      </w:r>
      <w:r>
        <w:rPr>
          <w:i/>
          <w:sz w:val="16"/>
        </w:rPr>
        <w:t>del</w:t>
      </w:r>
      <w:r>
        <w:rPr>
          <w:i/>
          <w:spacing w:val="-6"/>
          <w:sz w:val="16"/>
        </w:rPr>
        <w:t xml:space="preserve"> </w:t>
      </w:r>
      <w:r>
        <w:rPr>
          <w:i/>
          <w:sz w:val="16"/>
        </w:rPr>
        <w:t>tratado</w:t>
      </w:r>
      <w:r>
        <w:rPr>
          <w:i/>
          <w:spacing w:val="-7"/>
          <w:sz w:val="16"/>
        </w:rPr>
        <w:t xml:space="preserve"> </w:t>
      </w:r>
      <w:r>
        <w:rPr>
          <w:i/>
          <w:sz w:val="16"/>
        </w:rPr>
        <w:t>por</w:t>
      </w:r>
      <w:r>
        <w:rPr>
          <w:i/>
          <w:spacing w:val="-6"/>
          <w:sz w:val="16"/>
        </w:rPr>
        <w:t xml:space="preserve"> </w:t>
      </w:r>
      <w:r>
        <w:rPr>
          <w:i/>
          <w:sz w:val="16"/>
        </w:rPr>
        <w:t>la</w:t>
      </w:r>
      <w:r>
        <w:rPr>
          <w:i/>
          <w:spacing w:val="-6"/>
          <w:sz w:val="16"/>
        </w:rPr>
        <w:t xml:space="preserve"> </w:t>
      </w:r>
      <w:r>
        <w:rPr>
          <w:i/>
          <w:sz w:val="16"/>
        </w:rPr>
        <w:t>cual</w:t>
      </w:r>
      <w:r>
        <w:rPr>
          <w:i/>
          <w:spacing w:val="-8"/>
          <w:sz w:val="16"/>
        </w:rPr>
        <w:t xml:space="preserve"> </w:t>
      </w:r>
      <w:r>
        <w:rPr>
          <w:i/>
          <w:sz w:val="16"/>
        </w:rPr>
        <w:t>conste</w:t>
      </w:r>
      <w:r>
        <w:rPr>
          <w:i/>
          <w:spacing w:val="-7"/>
          <w:sz w:val="16"/>
        </w:rPr>
        <w:t xml:space="preserve"> </w:t>
      </w:r>
      <w:r>
        <w:rPr>
          <w:i/>
          <w:sz w:val="16"/>
        </w:rPr>
        <w:t>el</w:t>
      </w:r>
      <w:r>
        <w:rPr>
          <w:i/>
          <w:spacing w:val="-8"/>
          <w:sz w:val="16"/>
        </w:rPr>
        <w:t xml:space="preserve"> </w:t>
      </w:r>
      <w:r>
        <w:rPr>
          <w:i/>
          <w:sz w:val="16"/>
        </w:rPr>
        <w:t>acuerdo</w:t>
      </w:r>
      <w:r>
        <w:rPr>
          <w:i/>
          <w:spacing w:val="-7"/>
          <w:sz w:val="16"/>
        </w:rPr>
        <w:t xml:space="preserve"> </w:t>
      </w:r>
      <w:r>
        <w:rPr>
          <w:i/>
          <w:sz w:val="16"/>
        </w:rPr>
        <w:t>de</w:t>
      </w:r>
      <w:r>
        <w:rPr>
          <w:i/>
          <w:spacing w:val="-7"/>
          <w:sz w:val="16"/>
        </w:rPr>
        <w:t xml:space="preserve"> </w:t>
      </w:r>
      <w:r>
        <w:rPr>
          <w:i/>
          <w:sz w:val="16"/>
        </w:rPr>
        <w:t>las</w:t>
      </w:r>
      <w:r>
        <w:rPr>
          <w:i/>
          <w:spacing w:val="-7"/>
          <w:sz w:val="16"/>
        </w:rPr>
        <w:t xml:space="preserve"> </w:t>
      </w:r>
      <w:r>
        <w:rPr>
          <w:i/>
          <w:sz w:val="16"/>
        </w:rPr>
        <w:t>partes</w:t>
      </w:r>
      <w:r>
        <w:rPr>
          <w:i/>
          <w:spacing w:val="-7"/>
          <w:sz w:val="16"/>
        </w:rPr>
        <w:t xml:space="preserve"> </w:t>
      </w:r>
      <w:r>
        <w:rPr>
          <w:i/>
          <w:sz w:val="16"/>
        </w:rPr>
        <w:t>acerca de la interpretación del</w:t>
      </w:r>
      <w:r>
        <w:rPr>
          <w:i/>
          <w:spacing w:val="-4"/>
          <w:sz w:val="16"/>
        </w:rPr>
        <w:t xml:space="preserve"> </w:t>
      </w:r>
      <w:r>
        <w:rPr>
          <w:i/>
          <w:sz w:val="16"/>
        </w:rPr>
        <w:t>trat</w:t>
      </w:r>
      <w:r>
        <w:rPr>
          <w:i/>
          <w:sz w:val="16"/>
        </w:rPr>
        <w:t>ado:</w:t>
      </w:r>
    </w:p>
    <w:p w14:paraId="6FFF9FDD" w14:textId="77777777" w:rsidR="00467FCA" w:rsidRDefault="001B68EB">
      <w:pPr>
        <w:pStyle w:val="Prrafodelista"/>
        <w:numPr>
          <w:ilvl w:val="0"/>
          <w:numId w:val="28"/>
        </w:numPr>
        <w:tabs>
          <w:tab w:val="left" w:pos="684"/>
        </w:tabs>
        <w:ind w:left="683" w:hanging="214"/>
        <w:jc w:val="both"/>
        <w:rPr>
          <w:i/>
          <w:sz w:val="16"/>
        </w:rPr>
      </w:pPr>
      <w:r>
        <w:rPr>
          <w:i/>
          <w:sz w:val="16"/>
        </w:rPr>
        <w:t>toda forma pertinente de derecho internacional aplicable en las relaciones entre las</w:t>
      </w:r>
      <w:r>
        <w:rPr>
          <w:i/>
          <w:spacing w:val="-15"/>
          <w:sz w:val="16"/>
        </w:rPr>
        <w:t xml:space="preserve"> </w:t>
      </w:r>
      <w:r>
        <w:rPr>
          <w:i/>
          <w:sz w:val="16"/>
        </w:rPr>
        <w:t>partes.</w:t>
      </w:r>
    </w:p>
    <w:p w14:paraId="3CA4DA5F" w14:textId="77777777" w:rsidR="00467FCA" w:rsidRDefault="001B68EB">
      <w:pPr>
        <w:pStyle w:val="Prrafodelista"/>
        <w:numPr>
          <w:ilvl w:val="0"/>
          <w:numId w:val="30"/>
        </w:numPr>
        <w:tabs>
          <w:tab w:val="left" w:pos="689"/>
        </w:tabs>
        <w:ind w:left="688" w:hanging="219"/>
        <w:jc w:val="both"/>
        <w:rPr>
          <w:sz w:val="16"/>
        </w:rPr>
      </w:pPr>
      <w:r>
        <w:rPr>
          <w:i/>
          <w:sz w:val="16"/>
        </w:rPr>
        <w:t>Se dará a un término un sentido especial si consta que tal fue la intención de las</w:t>
      </w:r>
      <w:r>
        <w:rPr>
          <w:i/>
          <w:spacing w:val="-13"/>
          <w:sz w:val="16"/>
        </w:rPr>
        <w:t xml:space="preserve"> </w:t>
      </w:r>
      <w:r>
        <w:rPr>
          <w:i/>
          <w:sz w:val="16"/>
        </w:rPr>
        <w:t>partes</w:t>
      </w:r>
      <w:r>
        <w:rPr>
          <w:sz w:val="16"/>
        </w:rPr>
        <w:t>.”</w:t>
      </w:r>
    </w:p>
    <w:p w14:paraId="1B5A365F" w14:textId="77777777" w:rsidR="00467FCA" w:rsidRDefault="001B68EB">
      <w:pPr>
        <w:ind w:left="470" w:right="395"/>
        <w:jc w:val="both"/>
        <w:rPr>
          <w:sz w:val="16"/>
        </w:rPr>
      </w:pPr>
      <w:r>
        <w:rPr>
          <w:sz w:val="16"/>
        </w:rPr>
        <w:t>Art. 32 de la Convención de Viena: “</w:t>
      </w:r>
      <w:r>
        <w:rPr>
          <w:i/>
          <w:sz w:val="16"/>
        </w:rPr>
        <w:t>Medios de interpretación complementarios. Se podrán acudir a medios de interpretación complementarios, en particular a los traba</w:t>
      </w:r>
      <w:r>
        <w:rPr>
          <w:i/>
          <w:sz w:val="16"/>
        </w:rPr>
        <w:t>jos preparatorios del tratado y a las circunstancias de su celebración,</w:t>
      </w:r>
      <w:r>
        <w:rPr>
          <w:i/>
          <w:spacing w:val="-14"/>
          <w:sz w:val="16"/>
        </w:rPr>
        <w:t xml:space="preserve"> </w:t>
      </w:r>
      <w:r>
        <w:rPr>
          <w:i/>
          <w:sz w:val="16"/>
        </w:rPr>
        <w:t>para</w:t>
      </w:r>
      <w:r>
        <w:rPr>
          <w:i/>
          <w:spacing w:val="-13"/>
          <w:sz w:val="16"/>
        </w:rPr>
        <w:t xml:space="preserve"> </w:t>
      </w:r>
      <w:r>
        <w:rPr>
          <w:i/>
          <w:sz w:val="16"/>
        </w:rPr>
        <w:t>confirmar</w:t>
      </w:r>
      <w:r>
        <w:rPr>
          <w:i/>
          <w:spacing w:val="-11"/>
          <w:sz w:val="16"/>
        </w:rPr>
        <w:t xml:space="preserve"> </w:t>
      </w:r>
      <w:r>
        <w:rPr>
          <w:i/>
          <w:sz w:val="16"/>
        </w:rPr>
        <w:t>el</w:t>
      </w:r>
      <w:r>
        <w:rPr>
          <w:i/>
          <w:spacing w:val="-15"/>
          <w:sz w:val="16"/>
        </w:rPr>
        <w:t xml:space="preserve"> </w:t>
      </w:r>
      <w:r>
        <w:rPr>
          <w:i/>
          <w:sz w:val="16"/>
        </w:rPr>
        <w:t>sentido</w:t>
      </w:r>
      <w:r>
        <w:rPr>
          <w:i/>
          <w:spacing w:val="-12"/>
          <w:sz w:val="16"/>
        </w:rPr>
        <w:t xml:space="preserve"> </w:t>
      </w:r>
      <w:r>
        <w:rPr>
          <w:i/>
          <w:sz w:val="16"/>
        </w:rPr>
        <w:t>resultante</w:t>
      </w:r>
      <w:r>
        <w:rPr>
          <w:i/>
          <w:spacing w:val="-10"/>
          <w:sz w:val="16"/>
        </w:rPr>
        <w:t xml:space="preserve"> </w:t>
      </w:r>
      <w:r>
        <w:rPr>
          <w:i/>
          <w:sz w:val="16"/>
        </w:rPr>
        <w:t>de</w:t>
      </w:r>
      <w:r>
        <w:rPr>
          <w:i/>
          <w:spacing w:val="-12"/>
          <w:sz w:val="16"/>
        </w:rPr>
        <w:t xml:space="preserve"> </w:t>
      </w:r>
      <w:r>
        <w:rPr>
          <w:i/>
          <w:sz w:val="16"/>
        </w:rPr>
        <w:t>la</w:t>
      </w:r>
      <w:r>
        <w:rPr>
          <w:i/>
          <w:spacing w:val="-14"/>
          <w:sz w:val="16"/>
        </w:rPr>
        <w:t xml:space="preserve"> </w:t>
      </w:r>
      <w:r>
        <w:rPr>
          <w:i/>
          <w:sz w:val="16"/>
        </w:rPr>
        <w:t>aplicación</w:t>
      </w:r>
      <w:r>
        <w:rPr>
          <w:i/>
          <w:spacing w:val="-13"/>
          <w:sz w:val="16"/>
        </w:rPr>
        <w:t xml:space="preserve"> </w:t>
      </w:r>
      <w:r>
        <w:rPr>
          <w:i/>
          <w:sz w:val="16"/>
        </w:rPr>
        <w:t>del</w:t>
      </w:r>
      <w:r>
        <w:rPr>
          <w:i/>
          <w:spacing w:val="-13"/>
          <w:sz w:val="16"/>
        </w:rPr>
        <w:t xml:space="preserve"> </w:t>
      </w:r>
      <w:r>
        <w:rPr>
          <w:i/>
          <w:sz w:val="16"/>
        </w:rPr>
        <w:t>artículo</w:t>
      </w:r>
      <w:r>
        <w:rPr>
          <w:i/>
          <w:spacing w:val="-14"/>
          <w:sz w:val="16"/>
        </w:rPr>
        <w:t xml:space="preserve"> </w:t>
      </w:r>
      <w:r>
        <w:rPr>
          <w:i/>
          <w:sz w:val="16"/>
        </w:rPr>
        <w:t>31,</w:t>
      </w:r>
      <w:r>
        <w:rPr>
          <w:i/>
          <w:spacing w:val="-16"/>
          <w:sz w:val="16"/>
        </w:rPr>
        <w:t xml:space="preserve"> </w:t>
      </w:r>
      <w:r>
        <w:rPr>
          <w:i/>
          <w:sz w:val="16"/>
        </w:rPr>
        <w:t>o</w:t>
      </w:r>
      <w:r>
        <w:rPr>
          <w:i/>
          <w:spacing w:val="-11"/>
          <w:sz w:val="16"/>
        </w:rPr>
        <w:t xml:space="preserve"> </w:t>
      </w:r>
      <w:r>
        <w:rPr>
          <w:i/>
          <w:sz w:val="16"/>
        </w:rPr>
        <w:t>para</w:t>
      </w:r>
      <w:r>
        <w:rPr>
          <w:i/>
          <w:spacing w:val="-13"/>
          <w:sz w:val="16"/>
        </w:rPr>
        <w:t xml:space="preserve"> </w:t>
      </w:r>
      <w:r>
        <w:rPr>
          <w:i/>
          <w:sz w:val="16"/>
        </w:rPr>
        <w:t>determinar</w:t>
      </w:r>
      <w:r>
        <w:rPr>
          <w:i/>
          <w:spacing w:val="-11"/>
          <w:sz w:val="16"/>
        </w:rPr>
        <w:t xml:space="preserve"> </w:t>
      </w:r>
      <w:r>
        <w:rPr>
          <w:i/>
          <w:sz w:val="16"/>
        </w:rPr>
        <w:t>el</w:t>
      </w:r>
      <w:r>
        <w:rPr>
          <w:i/>
          <w:spacing w:val="-14"/>
          <w:sz w:val="16"/>
        </w:rPr>
        <w:t xml:space="preserve"> </w:t>
      </w:r>
      <w:r>
        <w:rPr>
          <w:i/>
          <w:sz w:val="16"/>
        </w:rPr>
        <w:t>sentido</w:t>
      </w:r>
      <w:r>
        <w:rPr>
          <w:i/>
          <w:spacing w:val="-11"/>
          <w:sz w:val="16"/>
        </w:rPr>
        <w:t xml:space="preserve"> </w:t>
      </w:r>
      <w:r>
        <w:rPr>
          <w:i/>
          <w:sz w:val="16"/>
        </w:rPr>
        <w:t>cuando la interpretación dada de conformidad con el artículo</w:t>
      </w:r>
      <w:r>
        <w:rPr>
          <w:i/>
          <w:spacing w:val="-8"/>
          <w:sz w:val="16"/>
        </w:rPr>
        <w:t xml:space="preserve"> </w:t>
      </w:r>
      <w:r>
        <w:rPr>
          <w:i/>
          <w:sz w:val="16"/>
        </w:rPr>
        <w:t>31</w:t>
      </w:r>
      <w:r>
        <w:rPr>
          <w:sz w:val="16"/>
        </w:rPr>
        <w:t>:</w:t>
      </w:r>
    </w:p>
    <w:p w14:paraId="6EE49567" w14:textId="77777777" w:rsidR="00467FCA" w:rsidRDefault="001B68EB">
      <w:pPr>
        <w:pStyle w:val="Prrafodelista"/>
        <w:numPr>
          <w:ilvl w:val="0"/>
          <w:numId w:val="27"/>
        </w:numPr>
        <w:tabs>
          <w:tab w:val="left" w:pos="696"/>
        </w:tabs>
        <w:ind w:hanging="227"/>
        <w:rPr>
          <w:sz w:val="16"/>
        </w:rPr>
      </w:pPr>
      <w:r>
        <w:rPr>
          <w:sz w:val="16"/>
        </w:rPr>
        <w:t>deje ambiguo u oscu</w:t>
      </w:r>
      <w:r>
        <w:rPr>
          <w:sz w:val="16"/>
        </w:rPr>
        <w:t>ro el sentido;</w:t>
      </w:r>
      <w:r>
        <w:rPr>
          <w:spacing w:val="-4"/>
          <w:sz w:val="16"/>
        </w:rPr>
        <w:t xml:space="preserve"> </w:t>
      </w:r>
      <w:r>
        <w:rPr>
          <w:sz w:val="16"/>
        </w:rPr>
        <w:t>o</w:t>
      </w:r>
    </w:p>
    <w:p w14:paraId="524487C7" w14:textId="77777777" w:rsidR="00467FCA" w:rsidRDefault="001B68EB">
      <w:pPr>
        <w:pStyle w:val="Prrafodelista"/>
        <w:numPr>
          <w:ilvl w:val="0"/>
          <w:numId w:val="27"/>
        </w:numPr>
        <w:tabs>
          <w:tab w:val="left" w:pos="701"/>
        </w:tabs>
        <w:spacing w:line="194" w:lineRule="exact"/>
        <w:ind w:left="700" w:hanging="232"/>
        <w:rPr>
          <w:sz w:val="16"/>
        </w:rPr>
      </w:pPr>
      <w:r>
        <w:rPr>
          <w:sz w:val="16"/>
        </w:rPr>
        <w:t>conduzca a un resultado manifiestamente absurdo o</w:t>
      </w:r>
      <w:r>
        <w:rPr>
          <w:spacing w:val="-5"/>
          <w:sz w:val="16"/>
        </w:rPr>
        <w:t xml:space="preserve"> </w:t>
      </w:r>
      <w:r>
        <w:rPr>
          <w:sz w:val="16"/>
        </w:rPr>
        <w:t>irrazonable.”</w:t>
      </w:r>
    </w:p>
    <w:p w14:paraId="2A19C4C5" w14:textId="77777777" w:rsidR="00467FCA" w:rsidRDefault="001B68EB">
      <w:pPr>
        <w:ind w:left="470"/>
        <w:rPr>
          <w:sz w:val="16"/>
        </w:rPr>
      </w:pPr>
      <w:bookmarkStart w:id="639" w:name="_bookmark560"/>
      <w:bookmarkEnd w:id="639"/>
      <w:r>
        <w:rPr>
          <w:position w:val="6"/>
          <w:sz w:val="10"/>
        </w:rPr>
        <w:t xml:space="preserve">12 </w:t>
      </w:r>
      <w:r>
        <w:rPr>
          <w:sz w:val="16"/>
        </w:rPr>
        <w:t>En adelante, la Comisión.</w:t>
      </w:r>
    </w:p>
    <w:p w14:paraId="399E8D7D" w14:textId="77777777" w:rsidR="00467FCA" w:rsidRDefault="001B68EB">
      <w:pPr>
        <w:spacing w:before="1"/>
        <w:ind w:left="470" w:right="409"/>
        <w:rPr>
          <w:i/>
          <w:sz w:val="16"/>
        </w:rPr>
      </w:pPr>
      <w:bookmarkStart w:id="640" w:name="_bookmark561"/>
      <w:bookmarkEnd w:id="640"/>
      <w:r>
        <w:rPr>
          <w:position w:val="6"/>
          <w:sz w:val="10"/>
        </w:rPr>
        <w:t>13</w:t>
      </w:r>
      <w:r>
        <w:rPr>
          <w:spacing w:val="33"/>
          <w:position w:val="6"/>
          <w:sz w:val="10"/>
        </w:rPr>
        <w:t xml:space="preserve"> </w:t>
      </w:r>
      <w:r>
        <w:rPr>
          <w:sz w:val="16"/>
        </w:rPr>
        <w:t>Art.</w:t>
      </w:r>
      <w:r>
        <w:rPr>
          <w:spacing w:val="-14"/>
          <w:sz w:val="16"/>
        </w:rPr>
        <w:t xml:space="preserve"> </w:t>
      </w:r>
      <w:r>
        <w:rPr>
          <w:sz w:val="16"/>
        </w:rPr>
        <w:t>41:</w:t>
      </w:r>
      <w:r>
        <w:rPr>
          <w:spacing w:val="-18"/>
          <w:sz w:val="16"/>
        </w:rPr>
        <w:t xml:space="preserve"> </w:t>
      </w:r>
      <w:r>
        <w:rPr>
          <w:i/>
          <w:sz w:val="16"/>
        </w:rPr>
        <w:t>“La</w:t>
      </w:r>
      <w:r>
        <w:rPr>
          <w:i/>
          <w:spacing w:val="-18"/>
          <w:sz w:val="16"/>
        </w:rPr>
        <w:t xml:space="preserve"> </w:t>
      </w:r>
      <w:r>
        <w:rPr>
          <w:i/>
          <w:sz w:val="16"/>
        </w:rPr>
        <w:t>Comisión</w:t>
      </w:r>
      <w:r>
        <w:rPr>
          <w:i/>
          <w:spacing w:val="-15"/>
          <w:sz w:val="16"/>
        </w:rPr>
        <w:t xml:space="preserve"> </w:t>
      </w:r>
      <w:r>
        <w:rPr>
          <w:i/>
          <w:sz w:val="16"/>
        </w:rPr>
        <w:t>tiene</w:t>
      </w:r>
      <w:r>
        <w:rPr>
          <w:i/>
          <w:spacing w:val="-13"/>
          <w:sz w:val="16"/>
        </w:rPr>
        <w:t xml:space="preserve"> </w:t>
      </w:r>
      <w:r>
        <w:rPr>
          <w:i/>
          <w:sz w:val="16"/>
        </w:rPr>
        <w:t>la</w:t>
      </w:r>
      <w:r>
        <w:rPr>
          <w:i/>
          <w:spacing w:val="-18"/>
          <w:sz w:val="16"/>
        </w:rPr>
        <w:t xml:space="preserve"> </w:t>
      </w:r>
      <w:r>
        <w:rPr>
          <w:i/>
          <w:sz w:val="16"/>
        </w:rPr>
        <w:t>función</w:t>
      </w:r>
      <w:r>
        <w:rPr>
          <w:i/>
          <w:spacing w:val="-15"/>
          <w:sz w:val="16"/>
        </w:rPr>
        <w:t xml:space="preserve"> </w:t>
      </w:r>
      <w:r>
        <w:rPr>
          <w:i/>
          <w:sz w:val="16"/>
        </w:rPr>
        <w:t>principal</w:t>
      </w:r>
      <w:r>
        <w:rPr>
          <w:i/>
          <w:spacing w:val="-17"/>
          <w:sz w:val="16"/>
        </w:rPr>
        <w:t xml:space="preserve"> </w:t>
      </w:r>
      <w:r>
        <w:rPr>
          <w:i/>
          <w:sz w:val="16"/>
        </w:rPr>
        <w:t>de</w:t>
      </w:r>
      <w:r>
        <w:rPr>
          <w:i/>
          <w:spacing w:val="-17"/>
          <w:sz w:val="16"/>
        </w:rPr>
        <w:t xml:space="preserve"> </w:t>
      </w:r>
      <w:r>
        <w:rPr>
          <w:i/>
          <w:sz w:val="16"/>
        </w:rPr>
        <w:t>promover</w:t>
      </w:r>
      <w:r>
        <w:rPr>
          <w:i/>
          <w:spacing w:val="-14"/>
          <w:sz w:val="16"/>
        </w:rPr>
        <w:t xml:space="preserve"> </w:t>
      </w:r>
      <w:r>
        <w:rPr>
          <w:i/>
          <w:sz w:val="16"/>
        </w:rPr>
        <w:t>la</w:t>
      </w:r>
      <w:r>
        <w:rPr>
          <w:i/>
          <w:spacing w:val="-14"/>
          <w:sz w:val="16"/>
        </w:rPr>
        <w:t xml:space="preserve"> </w:t>
      </w:r>
      <w:r>
        <w:rPr>
          <w:i/>
          <w:sz w:val="16"/>
        </w:rPr>
        <w:t>observancia</w:t>
      </w:r>
      <w:r>
        <w:rPr>
          <w:i/>
          <w:spacing w:val="-17"/>
          <w:sz w:val="16"/>
        </w:rPr>
        <w:t xml:space="preserve"> </w:t>
      </w:r>
      <w:r>
        <w:rPr>
          <w:i/>
          <w:sz w:val="16"/>
        </w:rPr>
        <w:t>y</w:t>
      </w:r>
      <w:r>
        <w:rPr>
          <w:i/>
          <w:spacing w:val="-14"/>
          <w:sz w:val="16"/>
        </w:rPr>
        <w:t xml:space="preserve"> </w:t>
      </w:r>
      <w:r>
        <w:rPr>
          <w:i/>
          <w:sz w:val="16"/>
        </w:rPr>
        <w:t>la</w:t>
      </w:r>
      <w:r>
        <w:rPr>
          <w:i/>
          <w:spacing w:val="-17"/>
          <w:sz w:val="16"/>
        </w:rPr>
        <w:t xml:space="preserve"> </w:t>
      </w:r>
      <w:r>
        <w:rPr>
          <w:i/>
          <w:sz w:val="16"/>
        </w:rPr>
        <w:t>defensa</w:t>
      </w:r>
      <w:r>
        <w:rPr>
          <w:i/>
          <w:spacing w:val="-17"/>
          <w:sz w:val="16"/>
        </w:rPr>
        <w:t xml:space="preserve"> </w:t>
      </w:r>
      <w:r>
        <w:rPr>
          <w:i/>
          <w:sz w:val="16"/>
        </w:rPr>
        <w:t>de</w:t>
      </w:r>
      <w:r>
        <w:rPr>
          <w:i/>
          <w:spacing w:val="-14"/>
          <w:sz w:val="16"/>
        </w:rPr>
        <w:t xml:space="preserve"> </w:t>
      </w:r>
      <w:r>
        <w:rPr>
          <w:i/>
          <w:sz w:val="16"/>
        </w:rPr>
        <w:t>los</w:t>
      </w:r>
      <w:r>
        <w:rPr>
          <w:i/>
          <w:spacing w:val="-17"/>
          <w:sz w:val="16"/>
        </w:rPr>
        <w:t xml:space="preserve"> </w:t>
      </w:r>
      <w:r>
        <w:rPr>
          <w:i/>
          <w:sz w:val="16"/>
        </w:rPr>
        <w:t>derechos</w:t>
      </w:r>
      <w:r>
        <w:rPr>
          <w:i/>
          <w:spacing w:val="-13"/>
          <w:sz w:val="16"/>
        </w:rPr>
        <w:t xml:space="preserve"> </w:t>
      </w:r>
      <w:r>
        <w:rPr>
          <w:i/>
          <w:sz w:val="16"/>
        </w:rPr>
        <w:t xml:space="preserve">humanos, </w:t>
      </w:r>
      <w:r>
        <w:rPr>
          <w:i/>
          <w:sz w:val="16"/>
        </w:rPr>
        <w:t>y en el ejercicio de su mandato tiene las siguientes funciones y</w:t>
      </w:r>
      <w:r>
        <w:rPr>
          <w:i/>
          <w:spacing w:val="-9"/>
          <w:sz w:val="16"/>
        </w:rPr>
        <w:t xml:space="preserve"> </w:t>
      </w:r>
      <w:r>
        <w:rPr>
          <w:i/>
          <w:sz w:val="16"/>
        </w:rPr>
        <w:t>atribuciones:</w:t>
      </w:r>
    </w:p>
    <w:p w14:paraId="12A6B8AC" w14:textId="77777777" w:rsidR="00467FCA" w:rsidRDefault="001B68EB">
      <w:pPr>
        <w:pStyle w:val="Prrafodelista"/>
        <w:numPr>
          <w:ilvl w:val="0"/>
          <w:numId w:val="26"/>
        </w:numPr>
        <w:tabs>
          <w:tab w:val="left" w:pos="754"/>
        </w:tabs>
        <w:ind w:hanging="227"/>
        <w:rPr>
          <w:i/>
          <w:sz w:val="16"/>
        </w:rPr>
      </w:pPr>
      <w:r>
        <w:rPr>
          <w:i/>
          <w:sz w:val="16"/>
        </w:rPr>
        <w:t>estimular la conciencia de los derechos humanos en los pueblos de</w:t>
      </w:r>
      <w:r>
        <w:rPr>
          <w:i/>
          <w:spacing w:val="-12"/>
          <w:sz w:val="16"/>
        </w:rPr>
        <w:t xml:space="preserve"> </w:t>
      </w:r>
      <w:r>
        <w:rPr>
          <w:i/>
          <w:sz w:val="16"/>
        </w:rPr>
        <w:t>América;</w:t>
      </w:r>
    </w:p>
    <w:p w14:paraId="2107642B" w14:textId="77777777" w:rsidR="00467FCA" w:rsidRDefault="00467FCA">
      <w:pPr>
        <w:rPr>
          <w:sz w:val="16"/>
        </w:rPr>
        <w:sectPr w:rsidR="00467FCA">
          <w:pgSz w:w="12240" w:h="15840"/>
          <w:pgMar w:top="1340" w:right="1140" w:bottom="1200" w:left="960" w:header="0" w:footer="1002" w:gutter="0"/>
          <w:cols w:space="720"/>
        </w:sectPr>
      </w:pPr>
    </w:p>
    <w:p w14:paraId="339A9C9D" w14:textId="77777777" w:rsidR="00467FCA" w:rsidRDefault="001B68EB">
      <w:pPr>
        <w:pStyle w:val="Prrafodelista"/>
        <w:numPr>
          <w:ilvl w:val="0"/>
          <w:numId w:val="25"/>
        </w:numPr>
        <w:tabs>
          <w:tab w:val="left" w:pos="1450"/>
        </w:tabs>
        <w:spacing w:before="76" w:line="276" w:lineRule="auto"/>
        <w:ind w:right="396" w:firstLine="0"/>
        <w:jc w:val="both"/>
        <w:rPr>
          <w:sz w:val="20"/>
        </w:rPr>
      </w:pPr>
      <w:r>
        <w:rPr>
          <w:sz w:val="20"/>
        </w:rPr>
        <w:t>La función jurisdiccional de la Corte le impone, por lo tanto, proceder acorde a la dign</w:t>
      </w:r>
      <w:r>
        <w:rPr>
          <w:sz w:val="20"/>
        </w:rPr>
        <w:t>idad que emana de la circunstancia de ser un tribunal y, adicionalmente, autónomo,</w:t>
      </w:r>
      <w:r>
        <w:rPr>
          <w:spacing w:val="-48"/>
          <w:sz w:val="20"/>
        </w:rPr>
        <w:t xml:space="preserve"> </w:t>
      </w:r>
      <w:r>
        <w:rPr>
          <w:sz w:val="20"/>
        </w:rPr>
        <w:t>sin que, en el ejercicio de sus prerrogativas, pueda ser fiscalizado o controlado por entidad alguna, pero, al mismo tiempo, sin ninguna capacidad de hacer cumplir sus fallo</w:t>
      </w:r>
      <w:r>
        <w:rPr>
          <w:sz w:val="20"/>
        </w:rPr>
        <w:t>s por el empleo</w:t>
      </w:r>
      <w:r>
        <w:rPr>
          <w:spacing w:val="-20"/>
          <w:sz w:val="20"/>
        </w:rPr>
        <w:t xml:space="preserve"> </w:t>
      </w:r>
      <w:r>
        <w:rPr>
          <w:sz w:val="20"/>
        </w:rPr>
        <w:t>de</w:t>
      </w:r>
      <w:r>
        <w:rPr>
          <w:spacing w:val="-19"/>
          <w:sz w:val="20"/>
        </w:rPr>
        <w:t xml:space="preserve"> </w:t>
      </w:r>
      <w:r>
        <w:rPr>
          <w:sz w:val="20"/>
        </w:rPr>
        <w:t>medidas</w:t>
      </w:r>
      <w:r>
        <w:rPr>
          <w:spacing w:val="-18"/>
          <w:sz w:val="20"/>
        </w:rPr>
        <w:t xml:space="preserve"> </w:t>
      </w:r>
      <w:r>
        <w:rPr>
          <w:sz w:val="20"/>
        </w:rPr>
        <w:t>coercitivas.</w:t>
      </w:r>
      <w:r>
        <w:rPr>
          <w:spacing w:val="-19"/>
          <w:sz w:val="20"/>
        </w:rPr>
        <w:t xml:space="preserve"> </w:t>
      </w:r>
      <w:r>
        <w:rPr>
          <w:sz w:val="20"/>
        </w:rPr>
        <w:t>La</w:t>
      </w:r>
      <w:r>
        <w:rPr>
          <w:spacing w:val="-17"/>
          <w:sz w:val="20"/>
        </w:rPr>
        <w:t xml:space="preserve"> </w:t>
      </w:r>
      <w:r>
        <w:rPr>
          <w:sz w:val="20"/>
        </w:rPr>
        <w:t>majestad</w:t>
      </w:r>
      <w:r>
        <w:rPr>
          <w:spacing w:val="-17"/>
          <w:sz w:val="20"/>
        </w:rPr>
        <w:t xml:space="preserve"> </w:t>
      </w:r>
      <w:r>
        <w:rPr>
          <w:sz w:val="20"/>
        </w:rPr>
        <w:t>propia</w:t>
      </w:r>
      <w:r>
        <w:rPr>
          <w:spacing w:val="-18"/>
          <w:sz w:val="20"/>
        </w:rPr>
        <w:t xml:space="preserve"> </w:t>
      </w:r>
      <w:r>
        <w:rPr>
          <w:sz w:val="20"/>
        </w:rPr>
        <w:t>de</w:t>
      </w:r>
      <w:r>
        <w:rPr>
          <w:spacing w:val="-19"/>
          <w:sz w:val="20"/>
        </w:rPr>
        <w:t xml:space="preserve"> </w:t>
      </w:r>
      <w:r>
        <w:rPr>
          <w:sz w:val="20"/>
        </w:rPr>
        <w:t>la</w:t>
      </w:r>
      <w:r>
        <w:rPr>
          <w:spacing w:val="-17"/>
          <w:sz w:val="20"/>
        </w:rPr>
        <w:t xml:space="preserve"> </w:t>
      </w:r>
      <w:r>
        <w:rPr>
          <w:sz w:val="20"/>
        </w:rPr>
        <w:t>magistratura</w:t>
      </w:r>
      <w:r>
        <w:rPr>
          <w:spacing w:val="-17"/>
          <w:sz w:val="20"/>
        </w:rPr>
        <w:t xml:space="preserve"> </w:t>
      </w:r>
      <w:r>
        <w:rPr>
          <w:sz w:val="20"/>
        </w:rPr>
        <w:t>que</w:t>
      </w:r>
      <w:r>
        <w:rPr>
          <w:spacing w:val="-20"/>
          <w:sz w:val="20"/>
        </w:rPr>
        <w:t xml:space="preserve"> </w:t>
      </w:r>
      <w:r>
        <w:rPr>
          <w:sz w:val="20"/>
        </w:rPr>
        <w:t>le</w:t>
      </w:r>
      <w:r>
        <w:rPr>
          <w:spacing w:val="-19"/>
          <w:sz w:val="20"/>
        </w:rPr>
        <w:t xml:space="preserve"> </w:t>
      </w:r>
      <w:r>
        <w:rPr>
          <w:sz w:val="20"/>
        </w:rPr>
        <w:t>ha</w:t>
      </w:r>
      <w:r>
        <w:rPr>
          <w:spacing w:val="-17"/>
          <w:sz w:val="20"/>
        </w:rPr>
        <w:t xml:space="preserve"> </w:t>
      </w:r>
      <w:r>
        <w:rPr>
          <w:sz w:val="20"/>
        </w:rPr>
        <w:t>sido</w:t>
      </w:r>
      <w:r>
        <w:rPr>
          <w:spacing w:val="-20"/>
          <w:sz w:val="20"/>
        </w:rPr>
        <w:t xml:space="preserve"> </w:t>
      </w:r>
      <w:r>
        <w:rPr>
          <w:sz w:val="20"/>
        </w:rPr>
        <w:t>confiada a</w:t>
      </w:r>
      <w:r>
        <w:rPr>
          <w:spacing w:val="-8"/>
          <w:sz w:val="20"/>
        </w:rPr>
        <w:t xml:space="preserve"> </w:t>
      </w:r>
      <w:r>
        <w:rPr>
          <w:sz w:val="20"/>
        </w:rPr>
        <w:t>la</w:t>
      </w:r>
      <w:r>
        <w:rPr>
          <w:spacing w:val="-8"/>
          <w:sz w:val="20"/>
        </w:rPr>
        <w:t xml:space="preserve"> </w:t>
      </w:r>
      <w:r>
        <w:rPr>
          <w:sz w:val="20"/>
        </w:rPr>
        <w:t>Corte</w:t>
      </w:r>
      <w:r>
        <w:rPr>
          <w:spacing w:val="-7"/>
          <w:sz w:val="20"/>
        </w:rPr>
        <w:t xml:space="preserve"> </w:t>
      </w:r>
      <w:r>
        <w:rPr>
          <w:sz w:val="20"/>
        </w:rPr>
        <w:t>conlleva,</w:t>
      </w:r>
      <w:r>
        <w:rPr>
          <w:spacing w:val="-6"/>
          <w:sz w:val="20"/>
        </w:rPr>
        <w:t xml:space="preserve"> </w:t>
      </w:r>
      <w:r>
        <w:rPr>
          <w:sz w:val="20"/>
        </w:rPr>
        <w:t>consecuentemente,</w:t>
      </w:r>
      <w:r>
        <w:rPr>
          <w:spacing w:val="-7"/>
          <w:sz w:val="20"/>
        </w:rPr>
        <w:t xml:space="preserve"> </w:t>
      </w:r>
      <w:r>
        <w:rPr>
          <w:sz w:val="20"/>
        </w:rPr>
        <w:t>proceder</w:t>
      </w:r>
      <w:r>
        <w:rPr>
          <w:spacing w:val="-7"/>
          <w:sz w:val="20"/>
        </w:rPr>
        <w:t xml:space="preserve"> </w:t>
      </w:r>
      <w:r>
        <w:rPr>
          <w:sz w:val="20"/>
        </w:rPr>
        <w:t>con</w:t>
      </w:r>
      <w:r>
        <w:rPr>
          <w:spacing w:val="-7"/>
          <w:sz w:val="20"/>
        </w:rPr>
        <w:t xml:space="preserve"> </w:t>
      </w:r>
      <w:r>
        <w:rPr>
          <w:sz w:val="20"/>
        </w:rPr>
        <w:t>pleno</w:t>
      </w:r>
      <w:r>
        <w:rPr>
          <w:spacing w:val="-9"/>
          <w:sz w:val="20"/>
        </w:rPr>
        <w:t xml:space="preserve"> </w:t>
      </w:r>
      <w:r>
        <w:rPr>
          <w:sz w:val="20"/>
        </w:rPr>
        <w:t>apego</w:t>
      </w:r>
      <w:r>
        <w:rPr>
          <w:spacing w:val="-6"/>
          <w:sz w:val="20"/>
        </w:rPr>
        <w:t xml:space="preserve"> </w:t>
      </w:r>
      <w:r>
        <w:rPr>
          <w:sz w:val="20"/>
        </w:rPr>
        <w:t>a</w:t>
      </w:r>
      <w:r>
        <w:rPr>
          <w:spacing w:val="-7"/>
          <w:sz w:val="20"/>
        </w:rPr>
        <w:t xml:space="preserve"> </w:t>
      </w:r>
      <w:r>
        <w:rPr>
          <w:sz w:val="20"/>
        </w:rPr>
        <w:t>los</w:t>
      </w:r>
      <w:r>
        <w:rPr>
          <w:spacing w:val="-8"/>
          <w:sz w:val="20"/>
        </w:rPr>
        <w:t xml:space="preserve"> </w:t>
      </w:r>
      <w:r>
        <w:rPr>
          <w:sz w:val="20"/>
        </w:rPr>
        <w:t>límites</w:t>
      </w:r>
      <w:r>
        <w:rPr>
          <w:spacing w:val="-9"/>
          <w:sz w:val="20"/>
        </w:rPr>
        <w:t xml:space="preserve"> </w:t>
      </w:r>
      <w:r>
        <w:rPr>
          <w:sz w:val="20"/>
        </w:rPr>
        <w:t>que</w:t>
      </w:r>
      <w:r>
        <w:rPr>
          <w:spacing w:val="-7"/>
          <w:sz w:val="20"/>
        </w:rPr>
        <w:t xml:space="preserve"> </w:t>
      </w:r>
      <w:r>
        <w:rPr>
          <w:sz w:val="20"/>
        </w:rPr>
        <w:t>se</w:t>
      </w:r>
      <w:r>
        <w:rPr>
          <w:spacing w:val="-9"/>
          <w:sz w:val="20"/>
        </w:rPr>
        <w:t xml:space="preserve"> </w:t>
      </w:r>
      <w:r>
        <w:rPr>
          <w:sz w:val="20"/>
        </w:rPr>
        <w:t>le</w:t>
      </w:r>
      <w:r>
        <w:rPr>
          <w:spacing w:val="-8"/>
          <w:sz w:val="20"/>
        </w:rPr>
        <w:t xml:space="preserve"> </w:t>
      </w:r>
      <w:r>
        <w:rPr>
          <w:sz w:val="20"/>
        </w:rPr>
        <w:t>han establecido a sus facultades privativas, de suerte que sus decisiones sean acatadas principalmente por considerarse justas en razón, entre otras, de su autoridad moral y su estricto apego a lo efectivamente pactado por los Estados en la</w:t>
      </w:r>
      <w:r>
        <w:rPr>
          <w:spacing w:val="-20"/>
          <w:sz w:val="20"/>
        </w:rPr>
        <w:t xml:space="preserve"> </w:t>
      </w:r>
      <w:r>
        <w:rPr>
          <w:sz w:val="20"/>
        </w:rPr>
        <w:t>Convención.</w:t>
      </w:r>
    </w:p>
    <w:p w14:paraId="4D770874" w14:textId="77777777" w:rsidR="00467FCA" w:rsidRDefault="00467FCA">
      <w:pPr>
        <w:pStyle w:val="Textoindependiente"/>
        <w:spacing w:before="2"/>
        <w:rPr>
          <w:sz w:val="23"/>
        </w:rPr>
      </w:pPr>
    </w:p>
    <w:p w14:paraId="6A8C26AD" w14:textId="77777777" w:rsidR="00467FCA" w:rsidRDefault="001B68EB">
      <w:pPr>
        <w:pStyle w:val="Ttulo1"/>
        <w:numPr>
          <w:ilvl w:val="1"/>
          <w:numId w:val="32"/>
        </w:numPr>
        <w:tabs>
          <w:tab w:val="left" w:pos="1450"/>
        </w:tabs>
        <w:ind w:left="1449" w:hanging="980"/>
        <w:jc w:val="both"/>
      </w:pPr>
      <w:r>
        <w:t>ARTÍCULO</w:t>
      </w:r>
      <w:r>
        <w:rPr>
          <w:spacing w:val="1"/>
        </w:rPr>
        <w:t xml:space="preserve"> </w:t>
      </w:r>
      <w:r>
        <w:t>26.</w:t>
      </w:r>
    </w:p>
    <w:p w14:paraId="1DB4A134" w14:textId="77777777" w:rsidR="00467FCA" w:rsidRDefault="00467FCA">
      <w:pPr>
        <w:pStyle w:val="Textoindependiente"/>
        <w:rPr>
          <w:b/>
          <w:sz w:val="26"/>
        </w:rPr>
      </w:pPr>
    </w:p>
    <w:p w14:paraId="35990003"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Para una mejor exposición de lo que se sostiene en cuanto al artículo 26 de la Convención, es indispensable formular las consideraciones previas específicamente concernientes a esa disposición, para luego aludir a la interpretación tanto de t</w:t>
      </w:r>
      <w:r>
        <w:rPr>
          <w:sz w:val="20"/>
        </w:rPr>
        <w:t>al norma convencional, como a la Carta de la Organización de los Estados Americanos</w:t>
      </w:r>
      <w:hyperlink w:anchor="_bookmark562" w:history="1">
        <w:r>
          <w:rPr>
            <w:position w:val="7"/>
            <w:sz w:val="13"/>
          </w:rPr>
          <w:t>14</w:t>
        </w:r>
      </w:hyperlink>
      <w:r>
        <w:rPr>
          <w:position w:val="7"/>
          <w:sz w:val="13"/>
        </w:rPr>
        <w:t xml:space="preserve"> </w:t>
      </w:r>
      <w:r>
        <w:rPr>
          <w:sz w:val="20"/>
        </w:rPr>
        <w:t>a que hace referencia dicha disposición y al Pacto de San Salvador que corrobora lo que se expone en este</w:t>
      </w:r>
      <w:r>
        <w:rPr>
          <w:spacing w:val="-3"/>
          <w:sz w:val="20"/>
        </w:rPr>
        <w:t xml:space="preserve"> </w:t>
      </w:r>
      <w:r>
        <w:rPr>
          <w:sz w:val="20"/>
        </w:rPr>
        <w:t>escrito.</w:t>
      </w:r>
    </w:p>
    <w:p w14:paraId="49A24ECD" w14:textId="77777777" w:rsidR="00467FCA" w:rsidRDefault="00467FCA">
      <w:pPr>
        <w:pStyle w:val="Textoindependiente"/>
        <w:spacing w:before="11"/>
        <w:rPr>
          <w:sz w:val="22"/>
        </w:rPr>
      </w:pPr>
    </w:p>
    <w:p w14:paraId="72B5F4E6" w14:textId="77777777" w:rsidR="00467FCA" w:rsidRDefault="001B68EB">
      <w:pPr>
        <w:pStyle w:val="Ttulo1"/>
        <w:numPr>
          <w:ilvl w:val="0"/>
          <w:numId w:val="24"/>
        </w:numPr>
        <w:tabs>
          <w:tab w:val="left" w:pos="742"/>
        </w:tabs>
        <w:jc w:val="both"/>
      </w:pPr>
      <w:r>
        <w:t>Consideraciones previa</w:t>
      </w:r>
      <w:r>
        <w:t>s específicas referidas al artículo</w:t>
      </w:r>
      <w:r>
        <w:rPr>
          <w:spacing w:val="-5"/>
        </w:rPr>
        <w:t xml:space="preserve"> </w:t>
      </w:r>
      <w:r>
        <w:t>26.</w:t>
      </w:r>
    </w:p>
    <w:p w14:paraId="49810102" w14:textId="77777777" w:rsidR="00467FCA" w:rsidRDefault="00467FCA">
      <w:pPr>
        <w:pStyle w:val="Textoindependiente"/>
        <w:rPr>
          <w:b/>
          <w:sz w:val="26"/>
        </w:rPr>
      </w:pPr>
    </w:p>
    <w:p w14:paraId="75108177" w14:textId="77777777" w:rsidR="00467FCA" w:rsidRDefault="001B68EB">
      <w:pPr>
        <w:pStyle w:val="Prrafodelista"/>
        <w:numPr>
          <w:ilvl w:val="0"/>
          <w:numId w:val="25"/>
        </w:numPr>
        <w:tabs>
          <w:tab w:val="left" w:pos="1450"/>
        </w:tabs>
        <w:spacing w:line="276" w:lineRule="auto"/>
        <w:ind w:right="394" w:firstLine="0"/>
        <w:jc w:val="both"/>
        <w:rPr>
          <w:sz w:val="20"/>
        </w:rPr>
      </w:pPr>
      <w:r>
        <w:rPr>
          <w:sz w:val="20"/>
        </w:rPr>
        <w:t>Al respecto, es menester señalar, previamente, que se reitera lo expresado en los votos individuales emitidos por el suscrito</w:t>
      </w:r>
      <w:hyperlink w:anchor="_bookmark563" w:history="1">
        <w:r>
          <w:rPr>
            <w:position w:val="7"/>
            <w:sz w:val="13"/>
          </w:rPr>
          <w:t>15</w:t>
        </w:r>
      </w:hyperlink>
      <w:r>
        <w:rPr>
          <w:position w:val="7"/>
          <w:sz w:val="13"/>
        </w:rPr>
        <w:t xml:space="preserve"> </w:t>
      </w:r>
      <w:r>
        <w:rPr>
          <w:sz w:val="20"/>
        </w:rPr>
        <w:t>acerca de la invocación que en las correspondientes</w:t>
      </w:r>
      <w:r>
        <w:rPr>
          <w:spacing w:val="-10"/>
          <w:sz w:val="20"/>
        </w:rPr>
        <w:t xml:space="preserve"> </w:t>
      </w:r>
      <w:r>
        <w:rPr>
          <w:sz w:val="20"/>
        </w:rPr>
        <w:t>Sentencias</w:t>
      </w:r>
      <w:r>
        <w:rPr>
          <w:spacing w:val="-10"/>
          <w:sz w:val="20"/>
        </w:rPr>
        <w:t xml:space="preserve"> </w:t>
      </w:r>
      <w:r>
        <w:rPr>
          <w:sz w:val="20"/>
        </w:rPr>
        <w:t>se</w:t>
      </w:r>
      <w:r>
        <w:rPr>
          <w:spacing w:val="-10"/>
          <w:sz w:val="20"/>
        </w:rPr>
        <w:t xml:space="preserve"> </w:t>
      </w:r>
      <w:r>
        <w:rPr>
          <w:sz w:val="20"/>
        </w:rPr>
        <w:t>hacen</w:t>
      </w:r>
      <w:r>
        <w:rPr>
          <w:spacing w:val="-7"/>
          <w:sz w:val="20"/>
        </w:rPr>
        <w:t xml:space="preserve"> </w:t>
      </w:r>
      <w:r>
        <w:rPr>
          <w:sz w:val="20"/>
        </w:rPr>
        <w:t>a</w:t>
      </w:r>
      <w:r>
        <w:rPr>
          <w:spacing w:val="-9"/>
          <w:sz w:val="20"/>
        </w:rPr>
        <w:t xml:space="preserve"> </w:t>
      </w:r>
      <w:r>
        <w:rPr>
          <w:sz w:val="20"/>
        </w:rPr>
        <w:t>la</w:t>
      </w:r>
      <w:r>
        <w:rPr>
          <w:spacing w:val="-6"/>
          <w:sz w:val="20"/>
        </w:rPr>
        <w:t xml:space="preserve"> </w:t>
      </w:r>
      <w:r>
        <w:rPr>
          <w:sz w:val="20"/>
        </w:rPr>
        <w:t>mencionada</w:t>
      </w:r>
      <w:r>
        <w:rPr>
          <w:spacing w:val="-9"/>
          <w:sz w:val="20"/>
        </w:rPr>
        <w:t xml:space="preserve"> </w:t>
      </w:r>
      <w:r>
        <w:rPr>
          <w:sz w:val="20"/>
        </w:rPr>
        <w:t>disposic</w:t>
      </w:r>
      <w:r>
        <w:rPr>
          <w:sz w:val="20"/>
        </w:rPr>
        <w:t>ión</w:t>
      </w:r>
      <w:r>
        <w:rPr>
          <w:spacing w:val="-8"/>
          <w:sz w:val="20"/>
        </w:rPr>
        <w:t xml:space="preserve"> </w:t>
      </w:r>
      <w:r>
        <w:rPr>
          <w:sz w:val="20"/>
        </w:rPr>
        <w:t>convencional,</w:t>
      </w:r>
      <w:r>
        <w:rPr>
          <w:spacing w:val="-8"/>
          <w:sz w:val="20"/>
        </w:rPr>
        <w:t xml:space="preserve"> </w:t>
      </w:r>
      <w:r>
        <w:rPr>
          <w:sz w:val="20"/>
        </w:rPr>
        <w:t>incluyendo las consideraciones generales y previas realizadas en algunos de</w:t>
      </w:r>
      <w:r>
        <w:rPr>
          <w:spacing w:val="-11"/>
          <w:sz w:val="20"/>
        </w:rPr>
        <w:t xml:space="preserve"> </w:t>
      </w:r>
      <w:r>
        <w:rPr>
          <w:sz w:val="20"/>
        </w:rPr>
        <w:t>ellos.</w:t>
      </w:r>
    </w:p>
    <w:p w14:paraId="1543A6F9" w14:textId="77777777" w:rsidR="00467FCA" w:rsidRDefault="00467FCA">
      <w:pPr>
        <w:pStyle w:val="Textoindependiente"/>
        <w:spacing w:before="1"/>
        <w:rPr>
          <w:sz w:val="23"/>
        </w:rPr>
      </w:pPr>
    </w:p>
    <w:p w14:paraId="5F6951EE" w14:textId="77777777" w:rsidR="00467FCA" w:rsidRDefault="001B68EB">
      <w:pPr>
        <w:pStyle w:val="Prrafodelista"/>
        <w:numPr>
          <w:ilvl w:val="0"/>
          <w:numId w:val="25"/>
        </w:numPr>
        <w:tabs>
          <w:tab w:val="left" w:pos="1450"/>
        </w:tabs>
        <w:spacing w:before="1" w:line="276" w:lineRule="auto"/>
        <w:ind w:right="396" w:hanging="1"/>
        <w:jc w:val="both"/>
        <w:rPr>
          <w:sz w:val="20"/>
        </w:rPr>
      </w:pPr>
      <w:r>
        <w:rPr>
          <w:sz w:val="20"/>
        </w:rPr>
        <w:t xml:space="preserve">Es, asimismo, de suma relevancia desde ya indicar que este texto no se refiere a la existencia del derecho a condiciones equitativas y satisfactorias que </w:t>
      </w:r>
      <w:r>
        <w:rPr>
          <w:sz w:val="20"/>
        </w:rPr>
        <w:t>garanticen</w:t>
      </w:r>
      <w:r>
        <w:rPr>
          <w:spacing w:val="52"/>
          <w:sz w:val="20"/>
        </w:rPr>
        <w:t xml:space="preserve"> </w:t>
      </w:r>
      <w:r>
        <w:rPr>
          <w:sz w:val="20"/>
        </w:rPr>
        <w:t>la</w:t>
      </w:r>
    </w:p>
    <w:p w14:paraId="66790F7E" w14:textId="77777777" w:rsidR="00467FCA" w:rsidRDefault="001B68EB">
      <w:pPr>
        <w:pStyle w:val="Textoindependiente"/>
        <w:spacing w:before="2"/>
        <w:rPr>
          <w:sz w:val="29"/>
        </w:rPr>
      </w:pPr>
      <w:r>
        <w:pict w14:anchorId="3CA75F36">
          <v:shape id="_x0000_s1102" style="position:absolute;margin-left:56.75pt;margin-top:20.1pt;width:2in;height:.1pt;z-index:-251561984;mso-wrap-distance-left:0;mso-wrap-distance-right:0;mso-position-horizontal-relative:page" coordorigin="1135,402" coordsize="2880,0" path="m1135,402r2880,e" filled="f" strokeweight=".72pt">
            <v:path arrowok="t"/>
            <w10:wrap type="topAndBottom" anchorx="page"/>
          </v:shape>
        </w:pict>
      </w:r>
    </w:p>
    <w:p w14:paraId="4D545487" w14:textId="77777777" w:rsidR="00467FCA" w:rsidRDefault="001B68EB">
      <w:pPr>
        <w:pStyle w:val="Prrafodelista"/>
        <w:numPr>
          <w:ilvl w:val="0"/>
          <w:numId w:val="26"/>
        </w:numPr>
        <w:tabs>
          <w:tab w:val="left" w:pos="768"/>
        </w:tabs>
        <w:spacing w:before="71"/>
        <w:ind w:left="470" w:right="394" w:firstLine="57"/>
        <w:jc w:val="both"/>
        <w:rPr>
          <w:i/>
          <w:sz w:val="16"/>
        </w:rPr>
      </w:pPr>
      <w:r>
        <w:rPr>
          <w:i/>
          <w:sz w:val="16"/>
        </w:rPr>
        <w:t>formular recomendaciones, cuando lo estime conveniente, a los gobiernos de los Estados miembros para que adopten medidas progresivas en favor de los derechos humanos dentro del marco de sus leyes internas y sus preceptos</w:t>
      </w:r>
      <w:r>
        <w:rPr>
          <w:i/>
          <w:spacing w:val="-3"/>
          <w:sz w:val="16"/>
        </w:rPr>
        <w:t xml:space="preserve"> </w:t>
      </w:r>
      <w:r>
        <w:rPr>
          <w:i/>
          <w:sz w:val="16"/>
        </w:rPr>
        <w:t>constitucionales,</w:t>
      </w:r>
      <w:r>
        <w:rPr>
          <w:i/>
          <w:spacing w:val="-4"/>
          <w:sz w:val="16"/>
        </w:rPr>
        <w:t xml:space="preserve"> </w:t>
      </w:r>
      <w:r>
        <w:rPr>
          <w:i/>
          <w:sz w:val="16"/>
        </w:rPr>
        <w:t>a</w:t>
      </w:r>
      <w:r>
        <w:rPr>
          <w:i/>
          <w:sz w:val="16"/>
        </w:rPr>
        <w:t>l</w:t>
      </w:r>
      <w:r>
        <w:rPr>
          <w:i/>
          <w:spacing w:val="-4"/>
          <w:sz w:val="16"/>
        </w:rPr>
        <w:t xml:space="preserve"> </w:t>
      </w:r>
      <w:r>
        <w:rPr>
          <w:i/>
          <w:sz w:val="16"/>
        </w:rPr>
        <w:t>igual</w:t>
      </w:r>
      <w:r>
        <w:rPr>
          <w:i/>
          <w:spacing w:val="-4"/>
          <w:sz w:val="16"/>
        </w:rPr>
        <w:t xml:space="preserve"> </w:t>
      </w:r>
      <w:r>
        <w:rPr>
          <w:i/>
          <w:sz w:val="16"/>
        </w:rPr>
        <w:t>que</w:t>
      </w:r>
      <w:r>
        <w:rPr>
          <w:i/>
          <w:spacing w:val="-3"/>
          <w:sz w:val="16"/>
        </w:rPr>
        <w:t xml:space="preserve"> </w:t>
      </w:r>
      <w:r>
        <w:rPr>
          <w:i/>
          <w:sz w:val="16"/>
        </w:rPr>
        <w:t>disposiciones</w:t>
      </w:r>
      <w:r>
        <w:rPr>
          <w:i/>
          <w:spacing w:val="-3"/>
          <w:sz w:val="16"/>
        </w:rPr>
        <w:t xml:space="preserve"> </w:t>
      </w:r>
      <w:r>
        <w:rPr>
          <w:i/>
          <w:sz w:val="16"/>
        </w:rPr>
        <w:t>apropiadas</w:t>
      </w:r>
      <w:r>
        <w:rPr>
          <w:i/>
          <w:spacing w:val="-3"/>
          <w:sz w:val="16"/>
        </w:rPr>
        <w:t xml:space="preserve"> </w:t>
      </w:r>
      <w:r>
        <w:rPr>
          <w:i/>
          <w:sz w:val="16"/>
        </w:rPr>
        <w:t>para</w:t>
      </w:r>
      <w:r>
        <w:rPr>
          <w:i/>
          <w:spacing w:val="-4"/>
          <w:sz w:val="16"/>
        </w:rPr>
        <w:t xml:space="preserve"> </w:t>
      </w:r>
      <w:r>
        <w:rPr>
          <w:i/>
          <w:sz w:val="16"/>
        </w:rPr>
        <w:t>fomentar</w:t>
      </w:r>
      <w:r>
        <w:rPr>
          <w:i/>
          <w:spacing w:val="-5"/>
          <w:sz w:val="16"/>
        </w:rPr>
        <w:t xml:space="preserve"> </w:t>
      </w:r>
      <w:r>
        <w:rPr>
          <w:i/>
          <w:sz w:val="16"/>
        </w:rPr>
        <w:t>el</w:t>
      </w:r>
      <w:r>
        <w:rPr>
          <w:i/>
          <w:spacing w:val="-4"/>
          <w:sz w:val="16"/>
        </w:rPr>
        <w:t xml:space="preserve"> </w:t>
      </w:r>
      <w:r>
        <w:rPr>
          <w:i/>
          <w:sz w:val="16"/>
        </w:rPr>
        <w:t>debido</w:t>
      </w:r>
      <w:r>
        <w:rPr>
          <w:i/>
          <w:spacing w:val="-5"/>
          <w:sz w:val="16"/>
        </w:rPr>
        <w:t xml:space="preserve"> </w:t>
      </w:r>
      <w:r>
        <w:rPr>
          <w:i/>
          <w:sz w:val="16"/>
        </w:rPr>
        <w:t>respeto</w:t>
      </w:r>
      <w:r>
        <w:rPr>
          <w:i/>
          <w:spacing w:val="-3"/>
          <w:sz w:val="16"/>
        </w:rPr>
        <w:t xml:space="preserve"> </w:t>
      </w:r>
      <w:r>
        <w:rPr>
          <w:i/>
          <w:sz w:val="16"/>
        </w:rPr>
        <w:t>a</w:t>
      </w:r>
      <w:r>
        <w:rPr>
          <w:i/>
          <w:spacing w:val="-7"/>
          <w:sz w:val="16"/>
        </w:rPr>
        <w:t xml:space="preserve"> </w:t>
      </w:r>
      <w:r>
        <w:rPr>
          <w:i/>
          <w:sz w:val="16"/>
        </w:rPr>
        <w:t>esos</w:t>
      </w:r>
      <w:r>
        <w:rPr>
          <w:i/>
          <w:spacing w:val="-2"/>
          <w:sz w:val="16"/>
        </w:rPr>
        <w:t xml:space="preserve"> </w:t>
      </w:r>
      <w:r>
        <w:rPr>
          <w:i/>
          <w:sz w:val="16"/>
        </w:rPr>
        <w:t>derechos;</w:t>
      </w:r>
    </w:p>
    <w:p w14:paraId="373B8D45" w14:textId="77777777" w:rsidR="00467FCA" w:rsidRDefault="001B68EB">
      <w:pPr>
        <w:pStyle w:val="Prrafodelista"/>
        <w:numPr>
          <w:ilvl w:val="0"/>
          <w:numId w:val="26"/>
        </w:numPr>
        <w:tabs>
          <w:tab w:val="left" w:pos="739"/>
        </w:tabs>
        <w:ind w:left="738" w:hanging="212"/>
        <w:jc w:val="both"/>
        <w:rPr>
          <w:i/>
          <w:sz w:val="16"/>
        </w:rPr>
      </w:pPr>
      <w:r>
        <w:rPr>
          <w:i/>
          <w:sz w:val="16"/>
        </w:rPr>
        <w:t>preparar los estudios e informes que considere convenientes para el desempeño de sus</w:t>
      </w:r>
      <w:r>
        <w:rPr>
          <w:i/>
          <w:spacing w:val="-11"/>
          <w:sz w:val="16"/>
        </w:rPr>
        <w:t xml:space="preserve"> </w:t>
      </w:r>
      <w:r>
        <w:rPr>
          <w:i/>
          <w:sz w:val="16"/>
        </w:rPr>
        <w:t>funciones;</w:t>
      </w:r>
    </w:p>
    <w:p w14:paraId="02A75BD3" w14:textId="77777777" w:rsidR="00467FCA" w:rsidRDefault="001B68EB">
      <w:pPr>
        <w:pStyle w:val="Prrafodelista"/>
        <w:numPr>
          <w:ilvl w:val="0"/>
          <w:numId w:val="26"/>
        </w:numPr>
        <w:tabs>
          <w:tab w:val="left" w:pos="754"/>
        </w:tabs>
        <w:ind w:left="470" w:right="395" w:firstLine="57"/>
        <w:jc w:val="both"/>
        <w:rPr>
          <w:i/>
          <w:sz w:val="16"/>
        </w:rPr>
      </w:pPr>
      <w:r>
        <w:rPr>
          <w:i/>
          <w:sz w:val="16"/>
        </w:rPr>
        <w:t>solicitar</w:t>
      </w:r>
      <w:r>
        <w:rPr>
          <w:i/>
          <w:spacing w:val="-6"/>
          <w:sz w:val="16"/>
        </w:rPr>
        <w:t xml:space="preserve"> </w:t>
      </w:r>
      <w:r>
        <w:rPr>
          <w:i/>
          <w:sz w:val="16"/>
        </w:rPr>
        <w:t>de</w:t>
      </w:r>
      <w:r>
        <w:rPr>
          <w:i/>
          <w:spacing w:val="-5"/>
          <w:sz w:val="16"/>
        </w:rPr>
        <w:t xml:space="preserve"> </w:t>
      </w:r>
      <w:r>
        <w:rPr>
          <w:i/>
          <w:sz w:val="16"/>
        </w:rPr>
        <w:t>los</w:t>
      </w:r>
      <w:r>
        <w:rPr>
          <w:i/>
          <w:spacing w:val="-6"/>
          <w:sz w:val="16"/>
        </w:rPr>
        <w:t xml:space="preserve"> </w:t>
      </w:r>
      <w:r>
        <w:rPr>
          <w:i/>
          <w:sz w:val="16"/>
        </w:rPr>
        <w:t>gobiernos</w:t>
      </w:r>
      <w:r>
        <w:rPr>
          <w:i/>
          <w:spacing w:val="-6"/>
          <w:sz w:val="16"/>
        </w:rPr>
        <w:t xml:space="preserve"> </w:t>
      </w:r>
      <w:r>
        <w:rPr>
          <w:i/>
          <w:sz w:val="16"/>
        </w:rPr>
        <w:t>de</w:t>
      </w:r>
      <w:r>
        <w:rPr>
          <w:i/>
          <w:spacing w:val="-6"/>
          <w:sz w:val="16"/>
        </w:rPr>
        <w:t xml:space="preserve"> </w:t>
      </w:r>
      <w:r>
        <w:rPr>
          <w:i/>
          <w:sz w:val="16"/>
        </w:rPr>
        <w:t>los</w:t>
      </w:r>
      <w:r>
        <w:rPr>
          <w:i/>
          <w:spacing w:val="-6"/>
          <w:sz w:val="16"/>
        </w:rPr>
        <w:t xml:space="preserve"> </w:t>
      </w:r>
      <w:r>
        <w:rPr>
          <w:i/>
          <w:sz w:val="16"/>
        </w:rPr>
        <w:t>Estados</w:t>
      </w:r>
      <w:r>
        <w:rPr>
          <w:i/>
          <w:spacing w:val="-6"/>
          <w:sz w:val="16"/>
        </w:rPr>
        <w:t xml:space="preserve"> </w:t>
      </w:r>
      <w:r>
        <w:rPr>
          <w:i/>
          <w:sz w:val="16"/>
        </w:rPr>
        <w:t>miembros</w:t>
      </w:r>
      <w:r>
        <w:rPr>
          <w:i/>
          <w:spacing w:val="-8"/>
          <w:sz w:val="16"/>
        </w:rPr>
        <w:t xml:space="preserve"> </w:t>
      </w:r>
      <w:r>
        <w:rPr>
          <w:i/>
          <w:sz w:val="16"/>
        </w:rPr>
        <w:t>que</w:t>
      </w:r>
      <w:r>
        <w:rPr>
          <w:i/>
          <w:spacing w:val="-6"/>
          <w:sz w:val="16"/>
        </w:rPr>
        <w:t xml:space="preserve"> </w:t>
      </w:r>
      <w:r>
        <w:rPr>
          <w:i/>
          <w:sz w:val="16"/>
        </w:rPr>
        <w:t>le</w:t>
      </w:r>
      <w:r>
        <w:rPr>
          <w:i/>
          <w:spacing w:val="-8"/>
          <w:sz w:val="16"/>
        </w:rPr>
        <w:t xml:space="preserve"> </w:t>
      </w:r>
      <w:r>
        <w:rPr>
          <w:i/>
          <w:sz w:val="16"/>
        </w:rPr>
        <w:t>proporcionen</w:t>
      </w:r>
      <w:r>
        <w:rPr>
          <w:i/>
          <w:spacing w:val="-7"/>
          <w:sz w:val="16"/>
        </w:rPr>
        <w:t xml:space="preserve"> </w:t>
      </w:r>
      <w:r>
        <w:rPr>
          <w:i/>
          <w:sz w:val="16"/>
        </w:rPr>
        <w:t>informes</w:t>
      </w:r>
      <w:r>
        <w:rPr>
          <w:i/>
          <w:spacing w:val="-6"/>
          <w:sz w:val="16"/>
        </w:rPr>
        <w:t xml:space="preserve"> </w:t>
      </w:r>
      <w:r>
        <w:rPr>
          <w:i/>
          <w:sz w:val="16"/>
        </w:rPr>
        <w:t>sobre</w:t>
      </w:r>
      <w:r>
        <w:rPr>
          <w:i/>
          <w:spacing w:val="-6"/>
          <w:sz w:val="16"/>
        </w:rPr>
        <w:t xml:space="preserve"> </w:t>
      </w:r>
      <w:r>
        <w:rPr>
          <w:i/>
          <w:sz w:val="16"/>
        </w:rPr>
        <w:t>las</w:t>
      </w:r>
      <w:r>
        <w:rPr>
          <w:i/>
          <w:spacing w:val="-6"/>
          <w:sz w:val="16"/>
        </w:rPr>
        <w:t xml:space="preserve"> </w:t>
      </w:r>
      <w:r>
        <w:rPr>
          <w:i/>
          <w:sz w:val="16"/>
        </w:rPr>
        <w:t>medidas</w:t>
      </w:r>
      <w:r>
        <w:rPr>
          <w:i/>
          <w:spacing w:val="-6"/>
          <w:sz w:val="16"/>
        </w:rPr>
        <w:t xml:space="preserve"> </w:t>
      </w:r>
      <w:r>
        <w:rPr>
          <w:i/>
          <w:sz w:val="16"/>
        </w:rPr>
        <w:t>que</w:t>
      </w:r>
      <w:r>
        <w:rPr>
          <w:i/>
          <w:spacing w:val="-6"/>
          <w:sz w:val="16"/>
        </w:rPr>
        <w:t xml:space="preserve"> </w:t>
      </w:r>
      <w:r>
        <w:rPr>
          <w:i/>
          <w:sz w:val="16"/>
        </w:rPr>
        <w:t>adopten en materia de derechos</w:t>
      </w:r>
      <w:r>
        <w:rPr>
          <w:i/>
          <w:spacing w:val="-5"/>
          <w:sz w:val="16"/>
        </w:rPr>
        <w:t xml:space="preserve"> </w:t>
      </w:r>
      <w:r>
        <w:rPr>
          <w:i/>
          <w:sz w:val="16"/>
        </w:rPr>
        <w:t>humanos;</w:t>
      </w:r>
    </w:p>
    <w:p w14:paraId="697A5344" w14:textId="77777777" w:rsidR="00467FCA" w:rsidRDefault="001B68EB">
      <w:pPr>
        <w:pStyle w:val="Prrafodelista"/>
        <w:numPr>
          <w:ilvl w:val="0"/>
          <w:numId w:val="26"/>
        </w:numPr>
        <w:tabs>
          <w:tab w:val="left" w:pos="754"/>
        </w:tabs>
        <w:ind w:left="470" w:right="394" w:firstLine="57"/>
        <w:jc w:val="both"/>
        <w:rPr>
          <w:i/>
          <w:sz w:val="16"/>
        </w:rPr>
      </w:pPr>
      <w:r>
        <w:rPr>
          <w:i/>
          <w:sz w:val="16"/>
        </w:rPr>
        <w:t>atender las consultas que, por medio de la Secretaría General de la Organización de los Estados Americanos, le formulen</w:t>
      </w:r>
      <w:r>
        <w:rPr>
          <w:i/>
          <w:spacing w:val="-14"/>
          <w:sz w:val="16"/>
        </w:rPr>
        <w:t xml:space="preserve"> </w:t>
      </w:r>
      <w:r>
        <w:rPr>
          <w:i/>
          <w:sz w:val="16"/>
        </w:rPr>
        <w:t>los</w:t>
      </w:r>
      <w:r>
        <w:rPr>
          <w:i/>
          <w:spacing w:val="-14"/>
          <w:sz w:val="16"/>
        </w:rPr>
        <w:t xml:space="preserve"> </w:t>
      </w:r>
      <w:r>
        <w:rPr>
          <w:i/>
          <w:sz w:val="16"/>
        </w:rPr>
        <w:t>Estados</w:t>
      </w:r>
      <w:r>
        <w:rPr>
          <w:i/>
          <w:spacing w:val="-14"/>
          <w:sz w:val="16"/>
        </w:rPr>
        <w:t xml:space="preserve"> </w:t>
      </w:r>
      <w:r>
        <w:rPr>
          <w:i/>
          <w:sz w:val="16"/>
        </w:rPr>
        <w:t>miembros</w:t>
      </w:r>
      <w:r>
        <w:rPr>
          <w:i/>
          <w:spacing w:val="-13"/>
          <w:sz w:val="16"/>
        </w:rPr>
        <w:t xml:space="preserve"> </w:t>
      </w:r>
      <w:r>
        <w:rPr>
          <w:i/>
          <w:sz w:val="16"/>
        </w:rPr>
        <w:t>en</w:t>
      </w:r>
      <w:r>
        <w:rPr>
          <w:i/>
          <w:spacing w:val="-15"/>
          <w:sz w:val="16"/>
        </w:rPr>
        <w:t xml:space="preserve"> </w:t>
      </w:r>
      <w:r>
        <w:rPr>
          <w:i/>
          <w:sz w:val="16"/>
        </w:rPr>
        <w:t>cuestiones</w:t>
      </w:r>
      <w:r>
        <w:rPr>
          <w:i/>
          <w:spacing w:val="-14"/>
          <w:sz w:val="16"/>
        </w:rPr>
        <w:t xml:space="preserve"> </w:t>
      </w:r>
      <w:r>
        <w:rPr>
          <w:i/>
          <w:sz w:val="16"/>
        </w:rPr>
        <w:t>relacionadas</w:t>
      </w:r>
      <w:r>
        <w:rPr>
          <w:i/>
          <w:spacing w:val="-14"/>
          <w:sz w:val="16"/>
        </w:rPr>
        <w:t xml:space="preserve"> </w:t>
      </w:r>
      <w:r>
        <w:rPr>
          <w:i/>
          <w:sz w:val="16"/>
        </w:rPr>
        <w:t>con</w:t>
      </w:r>
      <w:r>
        <w:rPr>
          <w:i/>
          <w:spacing w:val="-14"/>
          <w:sz w:val="16"/>
        </w:rPr>
        <w:t xml:space="preserve"> </w:t>
      </w:r>
      <w:r>
        <w:rPr>
          <w:i/>
          <w:sz w:val="16"/>
        </w:rPr>
        <w:t>los</w:t>
      </w:r>
      <w:r>
        <w:rPr>
          <w:i/>
          <w:spacing w:val="-17"/>
          <w:sz w:val="16"/>
        </w:rPr>
        <w:t xml:space="preserve"> </w:t>
      </w:r>
      <w:r>
        <w:rPr>
          <w:i/>
          <w:sz w:val="16"/>
        </w:rPr>
        <w:t>derechos</w:t>
      </w:r>
      <w:r>
        <w:rPr>
          <w:i/>
          <w:spacing w:val="-12"/>
          <w:sz w:val="16"/>
        </w:rPr>
        <w:t xml:space="preserve"> </w:t>
      </w:r>
      <w:r>
        <w:rPr>
          <w:i/>
          <w:sz w:val="16"/>
        </w:rPr>
        <w:t>humanos</w:t>
      </w:r>
      <w:r>
        <w:rPr>
          <w:i/>
          <w:spacing w:val="-17"/>
          <w:sz w:val="16"/>
        </w:rPr>
        <w:t xml:space="preserve"> </w:t>
      </w:r>
      <w:r>
        <w:rPr>
          <w:i/>
          <w:sz w:val="16"/>
        </w:rPr>
        <w:t>y,</w:t>
      </w:r>
      <w:r>
        <w:rPr>
          <w:i/>
          <w:spacing w:val="-16"/>
          <w:sz w:val="16"/>
        </w:rPr>
        <w:t xml:space="preserve"> </w:t>
      </w:r>
      <w:r>
        <w:rPr>
          <w:i/>
          <w:sz w:val="16"/>
        </w:rPr>
        <w:t>dentro</w:t>
      </w:r>
      <w:r>
        <w:rPr>
          <w:i/>
          <w:spacing w:val="-14"/>
          <w:sz w:val="16"/>
        </w:rPr>
        <w:t xml:space="preserve"> </w:t>
      </w:r>
      <w:r>
        <w:rPr>
          <w:i/>
          <w:sz w:val="16"/>
        </w:rPr>
        <w:t>de</w:t>
      </w:r>
      <w:r>
        <w:rPr>
          <w:i/>
          <w:spacing w:val="-14"/>
          <w:sz w:val="16"/>
        </w:rPr>
        <w:t xml:space="preserve"> </w:t>
      </w:r>
      <w:r>
        <w:rPr>
          <w:i/>
          <w:sz w:val="16"/>
        </w:rPr>
        <w:t>sus</w:t>
      </w:r>
      <w:r>
        <w:rPr>
          <w:i/>
          <w:spacing w:val="-14"/>
          <w:sz w:val="16"/>
        </w:rPr>
        <w:t xml:space="preserve"> </w:t>
      </w:r>
      <w:r>
        <w:rPr>
          <w:i/>
          <w:sz w:val="16"/>
        </w:rPr>
        <w:t>posibilidades, les prestará el asesoramiento que éstos le</w:t>
      </w:r>
      <w:r>
        <w:rPr>
          <w:i/>
          <w:spacing w:val="-4"/>
          <w:sz w:val="16"/>
        </w:rPr>
        <w:t xml:space="preserve"> </w:t>
      </w:r>
      <w:r>
        <w:rPr>
          <w:i/>
          <w:sz w:val="16"/>
        </w:rPr>
        <w:t>soliciten;</w:t>
      </w:r>
    </w:p>
    <w:p w14:paraId="14D93897" w14:textId="77777777" w:rsidR="00467FCA" w:rsidRDefault="001B68EB">
      <w:pPr>
        <w:pStyle w:val="Prrafodelista"/>
        <w:numPr>
          <w:ilvl w:val="0"/>
          <w:numId w:val="26"/>
        </w:numPr>
        <w:tabs>
          <w:tab w:val="left" w:pos="732"/>
        </w:tabs>
        <w:ind w:left="470" w:right="394" w:firstLine="57"/>
        <w:jc w:val="both"/>
        <w:rPr>
          <w:i/>
          <w:sz w:val="16"/>
        </w:rPr>
      </w:pPr>
      <w:r>
        <w:rPr>
          <w:i/>
          <w:sz w:val="16"/>
        </w:rPr>
        <w:t>actuar respecto de las peticiones y otras comunicaciones en ejercicio de su autoridad de conformidad con lo dispuesto en los artículos 44 al 51 de esta Convención,</w:t>
      </w:r>
      <w:r>
        <w:rPr>
          <w:i/>
          <w:spacing w:val="-13"/>
          <w:sz w:val="16"/>
        </w:rPr>
        <w:t xml:space="preserve"> </w:t>
      </w:r>
      <w:r>
        <w:rPr>
          <w:i/>
          <w:sz w:val="16"/>
        </w:rPr>
        <w:t>y</w:t>
      </w:r>
    </w:p>
    <w:p w14:paraId="6C5CBE03" w14:textId="77777777" w:rsidR="00467FCA" w:rsidRDefault="001B68EB">
      <w:pPr>
        <w:pStyle w:val="Prrafodelista"/>
        <w:numPr>
          <w:ilvl w:val="0"/>
          <w:numId w:val="26"/>
        </w:numPr>
        <w:tabs>
          <w:tab w:val="left" w:pos="756"/>
        </w:tabs>
        <w:ind w:left="755" w:hanging="229"/>
        <w:jc w:val="both"/>
        <w:rPr>
          <w:i/>
          <w:sz w:val="16"/>
        </w:rPr>
      </w:pPr>
      <w:r>
        <w:rPr>
          <w:i/>
          <w:sz w:val="16"/>
        </w:rPr>
        <w:t>rendir un informe anual a la Asamblea General de la Organización de los Estados</w:t>
      </w:r>
      <w:r>
        <w:rPr>
          <w:i/>
          <w:spacing w:val="-14"/>
          <w:sz w:val="16"/>
        </w:rPr>
        <w:t xml:space="preserve"> </w:t>
      </w:r>
      <w:r>
        <w:rPr>
          <w:i/>
          <w:sz w:val="16"/>
        </w:rPr>
        <w:t>Americanos</w:t>
      </w:r>
      <w:r>
        <w:rPr>
          <w:i/>
          <w:sz w:val="16"/>
        </w:rPr>
        <w:t>.”</w:t>
      </w:r>
    </w:p>
    <w:p w14:paraId="3CF26C08" w14:textId="77777777" w:rsidR="00467FCA" w:rsidRDefault="001B68EB">
      <w:pPr>
        <w:ind w:left="470"/>
        <w:jc w:val="both"/>
        <w:rPr>
          <w:sz w:val="16"/>
        </w:rPr>
      </w:pPr>
      <w:bookmarkStart w:id="641" w:name="_bookmark562"/>
      <w:bookmarkEnd w:id="641"/>
      <w:r>
        <w:rPr>
          <w:position w:val="6"/>
          <w:sz w:val="10"/>
        </w:rPr>
        <w:t xml:space="preserve">14 </w:t>
      </w:r>
      <w:r>
        <w:rPr>
          <w:sz w:val="16"/>
        </w:rPr>
        <w:t>En adelante, la OEA.</w:t>
      </w:r>
    </w:p>
    <w:p w14:paraId="3B273AF6" w14:textId="77777777" w:rsidR="00467FCA" w:rsidRDefault="001B68EB">
      <w:pPr>
        <w:ind w:left="470" w:right="391"/>
        <w:jc w:val="both"/>
        <w:rPr>
          <w:i/>
          <w:sz w:val="16"/>
        </w:rPr>
      </w:pPr>
      <w:bookmarkStart w:id="642" w:name="_bookmark563"/>
      <w:bookmarkEnd w:id="642"/>
      <w:r>
        <w:rPr>
          <w:position w:val="6"/>
          <w:sz w:val="10"/>
        </w:rPr>
        <w:t xml:space="preserve">15 </w:t>
      </w:r>
      <w:r>
        <w:rPr>
          <w:i/>
          <w:sz w:val="16"/>
        </w:rPr>
        <w:t>Voto Parcialmente Disidente del Juez Eduardo Vio Grossi a la Sentencia del 22 de noviembre de 2019, Corte Interamericana de Derechos Humanos, Caso Hernández Vs. Argentina. Excepción Preliminar, Fondo, Reparaciones y Costas; Vo</w:t>
      </w:r>
      <w:r>
        <w:rPr>
          <w:i/>
          <w:sz w:val="16"/>
        </w:rPr>
        <w:t>to Parcialmente Disidente del Juez Eduardo Vio Grossi, Corte Interamericana de Derechos Humanos, Caso Muelle Flores Vs. Perú, Sentencia de 06 de marzo de 2019,(Excepciones Preliminares, Fondo, Reparaciones y Costas); Voto Parcialmente Disidente del Juez Ed</w:t>
      </w:r>
      <w:r>
        <w:rPr>
          <w:i/>
          <w:sz w:val="16"/>
        </w:rPr>
        <w:t>uardo Vio Grossi, Corte Interamericana de Derechos Humanos, Caso San Miguel Sosa y Otras Vs. Venezuela, Sentencia de 8 de febrero de 2018 (Fondo, Reparaciones y Costas); Voto</w:t>
      </w:r>
      <w:r>
        <w:rPr>
          <w:i/>
          <w:spacing w:val="-4"/>
          <w:sz w:val="16"/>
        </w:rPr>
        <w:t xml:space="preserve"> </w:t>
      </w:r>
      <w:r>
        <w:rPr>
          <w:i/>
          <w:sz w:val="16"/>
        </w:rPr>
        <w:t>Parcialmente</w:t>
      </w:r>
      <w:r>
        <w:rPr>
          <w:i/>
          <w:spacing w:val="-1"/>
          <w:sz w:val="16"/>
        </w:rPr>
        <w:t xml:space="preserve"> </w:t>
      </w:r>
      <w:r>
        <w:rPr>
          <w:i/>
          <w:sz w:val="16"/>
        </w:rPr>
        <w:t>Disidente</w:t>
      </w:r>
      <w:r>
        <w:rPr>
          <w:i/>
          <w:spacing w:val="-4"/>
          <w:sz w:val="16"/>
        </w:rPr>
        <w:t xml:space="preserve"> </w:t>
      </w:r>
      <w:r>
        <w:rPr>
          <w:i/>
          <w:sz w:val="16"/>
        </w:rPr>
        <w:t>del</w:t>
      </w:r>
      <w:r>
        <w:rPr>
          <w:i/>
          <w:spacing w:val="-2"/>
          <w:sz w:val="16"/>
        </w:rPr>
        <w:t xml:space="preserve"> </w:t>
      </w:r>
      <w:r>
        <w:rPr>
          <w:i/>
          <w:sz w:val="16"/>
        </w:rPr>
        <w:t>Juez</w:t>
      </w:r>
      <w:r>
        <w:rPr>
          <w:i/>
          <w:spacing w:val="-3"/>
          <w:sz w:val="16"/>
        </w:rPr>
        <w:t xml:space="preserve"> </w:t>
      </w:r>
      <w:r>
        <w:rPr>
          <w:i/>
          <w:sz w:val="16"/>
        </w:rPr>
        <w:t>Eduardo</w:t>
      </w:r>
      <w:r>
        <w:rPr>
          <w:i/>
          <w:spacing w:val="-3"/>
          <w:sz w:val="16"/>
        </w:rPr>
        <w:t xml:space="preserve"> </w:t>
      </w:r>
      <w:r>
        <w:rPr>
          <w:i/>
          <w:sz w:val="16"/>
        </w:rPr>
        <w:t>Vio</w:t>
      </w:r>
      <w:r>
        <w:rPr>
          <w:i/>
          <w:spacing w:val="-3"/>
          <w:sz w:val="16"/>
        </w:rPr>
        <w:t xml:space="preserve"> </w:t>
      </w:r>
      <w:r>
        <w:rPr>
          <w:i/>
          <w:sz w:val="16"/>
        </w:rPr>
        <w:t>Grossi,</w:t>
      </w:r>
      <w:r>
        <w:rPr>
          <w:i/>
          <w:spacing w:val="-5"/>
          <w:sz w:val="16"/>
        </w:rPr>
        <w:t xml:space="preserve"> </w:t>
      </w:r>
      <w:r>
        <w:rPr>
          <w:i/>
          <w:sz w:val="16"/>
        </w:rPr>
        <w:t>Corte</w:t>
      </w:r>
      <w:r>
        <w:rPr>
          <w:i/>
          <w:spacing w:val="-1"/>
          <w:sz w:val="16"/>
        </w:rPr>
        <w:t xml:space="preserve"> </w:t>
      </w:r>
      <w:r>
        <w:rPr>
          <w:i/>
          <w:sz w:val="16"/>
        </w:rPr>
        <w:t>Interamericana</w:t>
      </w:r>
      <w:r>
        <w:rPr>
          <w:i/>
          <w:spacing w:val="-5"/>
          <w:sz w:val="16"/>
        </w:rPr>
        <w:t xml:space="preserve"> </w:t>
      </w:r>
      <w:r>
        <w:rPr>
          <w:i/>
          <w:sz w:val="16"/>
        </w:rPr>
        <w:t>de</w:t>
      </w:r>
      <w:r>
        <w:rPr>
          <w:i/>
          <w:spacing w:val="-3"/>
          <w:sz w:val="16"/>
        </w:rPr>
        <w:t xml:space="preserve"> </w:t>
      </w:r>
      <w:r>
        <w:rPr>
          <w:i/>
          <w:sz w:val="16"/>
        </w:rPr>
        <w:t>Derec</w:t>
      </w:r>
      <w:r>
        <w:rPr>
          <w:i/>
          <w:sz w:val="16"/>
        </w:rPr>
        <w:t>hos</w:t>
      </w:r>
      <w:r>
        <w:rPr>
          <w:i/>
          <w:spacing w:val="-3"/>
          <w:sz w:val="16"/>
        </w:rPr>
        <w:t xml:space="preserve"> </w:t>
      </w:r>
      <w:r>
        <w:rPr>
          <w:i/>
          <w:sz w:val="16"/>
        </w:rPr>
        <w:t>Humanos,</w:t>
      </w:r>
      <w:r>
        <w:rPr>
          <w:i/>
          <w:spacing w:val="-5"/>
          <w:sz w:val="16"/>
        </w:rPr>
        <w:t xml:space="preserve"> </w:t>
      </w:r>
      <w:r>
        <w:rPr>
          <w:i/>
          <w:sz w:val="16"/>
        </w:rPr>
        <w:t>Caso</w:t>
      </w:r>
      <w:r>
        <w:rPr>
          <w:i/>
          <w:spacing w:val="-3"/>
          <w:sz w:val="16"/>
        </w:rPr>
        <w:t xml:space="preserve"> </w:t>
      </w:r>
      <w:r>
        <w:rPr>
          <w:i/>
          <w:sz w:val="16"/>
        </w:rPr>
        <w:t>Lagos del</w:t>
      </w:r>
      <w:r>
        <w:rPr>
          <w:i/>
          <w:spacing w:val="-7"/>
          <w:sz w:val="16"/>
        </w:rPr>
        <w:t xml:space="preserve"> </w:t>
      </w:r>
      <w:r>
        <w:rPr>
          <w:i/>
          <w:sz w:val="16"/>
        </w:rPr>
        <w:t>Campo</w:t>
      </w:r>
      <w:r>
        <w:rPr>
          <w:i/>
          <w:spacing w:val="-7"/>
          <w:sz w:val="16"/>
        </w:rPr>
        <w:t xml:space="preserve"> </w:t>
      </w:r>
      <w:r>
        <w:rPr>
          <w:i/>
          <w:sz w:val="16"/>
        </w:rPr>
        <w:t>Vs.</w:t>
      </w:r>
      <w:r>
        <w:rPr>
          <w:i/>
          <w:spacing w:val="-7"/>
          <w:sz w:val="16"/>
        </w:rPr>
        <w:t xml:space="preserve"> </w:t>
      </w:r>
      <w:r>
        <w:rPr>
          <w:i/>
          <w:sz w:val="16"/>
        </w:rPr>
        <w:t>Perú,</w:t>
      </w:r>
      <w:r>
        <w:rPr>
          <w:i/>
          <w:spacing w:val="-8"/>
          <w:sz w:val="16"/>
        </w:rPr>
        <w:t xml:space="preserve"> </w:t>
      </w:r>
      <w:r>
        <w:rPr>
          <w:i/>
          <w:sz w:val="16"/>
        </w:rPr>
        <w:t>Sentencia</w:t>
      </w:r>
      <w:r>
        <w:rPr>
          <w:i/>
          <w:spacing w:val="-6"/>
          <w:sz w:val="16"/>
        </w:rPr>
        <w:t xml:space="preserve"> </w:t>
      </w:r>
      <w:r>
        <w:rPr>
          <w:i/>
          <w:sz w:val="16"/>
        </w:rPr>
        <w:t>de</w:t>
      </w:r>
      <w:r>
        <w:rPr>
          <w:i/>
          <w:spacing w:val="-8"/>
          <w:sz w:val="16"/>
        </w:rPr>
        <w:t xml:space="preserve"> </w:t>
      </w:r>
      <w:r>
        <w:rPr>
          <w:i/>
          <w:sz w:val="16"/>
        </w:rPr>
        <w:t>31</w:t>
      </w:r>
      <w:r>
        <w:rPr>
          <w:i/>
          <w:spacing w:val="-6"/>
          <w:sz w:val="16"/>
        </w:rPr>
        <w:t xml:space="preserve"> </w:t>
      </w:r>
      <w:r>
        <w:rPr>
          <w:i/>
          <w:sz w:val="16"/>
        </w:rPr>
        <w:t>de</w:t>
      </w:r>
      <w:r>
        <w:rPr>
          <w:i/>
          <w:spacing w:val="-6"/>
          <w:sz w:val="16"/>
        </w:rPr>
        <w:t xml:space="preserve"> </w:t>
      </w:r>
      <w:r>
        <w:rPr>
          <w:i/>
          <w:sz w:val="16"/>
        </w:rPr>
        <w:t>agosto</w:t>
      </w:r>
      <w:r>
        <w:rPr>
          <w:i/>
          <w:spacing w:val="-7"/>
          <w:sz w:val="16"/>
        </w:rPr>
        <w:t xml:space="preserve"> </w:t>
      </w:r>
      <w:r>
        <w:rPr>
          <w:i/>
          <w:sz w:val="16"/>
        </w:rPr>
        <w:t>de</w:t>
      </w:r>
      <w:r>
        <w:rPr>
          <w:i/>
          <w:spacing w:val="-8"/>
          <w:sz w:val="16"/>
        </w:rPr>
        <w:t xml:space="preserve"> </w:t>
      </w:r>
      <w:r>
        <w:rPr>
          <w:i/>
          <w:sz w:val="16"/>
        </w:rPr>
        <w:t>2017,</w:t>
      </w:r>
      <w:r>
        <w:rPr>
          <w:i/>
          <w:spacing w:val="-6"/>
          <w:sz w:val="16"/>
        </w:rPr>
        <w:t xml:space="preserve"> </w:t>
      </w:r>
      <w:r>
        <w:rPr>
          <w:i/>
          <w:sz w:val="16"/>
        </w:rPr>
        <w:t>(Excepciones</w:t>
      </w:r>
      <w:r>
        <w:rPr>
          <w:i/>
          <w:spacing w:val="-7"/>
          <w:sz w:val="16"/>
        </w:rPr>
        <w:t xml:space="preserve"> </w:t>
      </w:r>
      <w:r>
        <w:rPr>
          <w:i/>
          <w:sz w:val="16"/>
        </w:rPr>
        <w:t>Preliminares,</w:t>
      </w:r>
      <w:r>
        <w:rPr>
          <w:i/>
          <w:spacing w:val="-7"/>
          <w:sz w:val="16"/>
        </w:rPr>
        <w:t xml:space="preserve"> </w:t>
      </w:r>
      <w:r>
        <w:rPr>
          <w:i/>
          <w:sz w:val="16"/>
        </w:rPr>
        <w:t>Fondo,</w:t>
      </w:r>
      <w:r>
        <w:rPr>
          <w:i/>
          <w:spacing w:val="-6"/>
          <w:sz w:val="16"/>
        </w:rPr>
        <w:t xml:space="preserve"> </w:t>
      </w:r>
      <w:r>
        <w:rPr>
          <w:i/>
          <w:sz w:val="16"/>
        </w:rPr>
        <w:t>Reparaciones</w:t>
      </w:r>
      <w:r>
        <w:rPr>
          <w:i/>
          <w:spacing w:val="-8"/>
          <w:sz w:val="16"/>
        </w:rPr>
        <w:t xml:space="preserve"> </w:t>
      </w:r>
      <w:r>
        <w:rPr>
          <w:i/>
          <w:sz w:val="16"/>
        </w:rPr>
        <w:t>y</w:t>
      </w:r>
      <w:r>
        <w:rPr>
          <w:i/>
          <w:spacing w:val="-6"/>
          <w:sz w:val="16"/>
        </w:rPr>
        <w:t xml:space="preserve"> </w:t>
      </w:r>
      <w:r>
        <w:rPr>
          <w:i/>
          <w:sz w:val="16"/>
        </w:rPr>
        <w:t>Costa), y Voto Individual del Juez Eduardo Vio Grossi, Corte Interamericana de Derechos Humanos, Caso Trabajadores Cesados de Petroperú y Otros Vs. Perú, Sentencia de 23 de noviembre de 2017 (Excepciones Preliminares, Fondo, Reparaciones y</w:t>
      </w:r>
      <w:r>
        <w:rPr>
          <w:i/>
          <w:spacing w:val="-3"/>
          <w:sz w:val="16"/>
        </w:rPr>
        <w:t xml:space="preserve"> </w:t>
      </w:r>
      <w:r>
        <w:rPr>
          <w:i/>
          <w:sz w:val="16"/>
        </w:rPr>
        <w:t>Costas).</w:t>
      </w:r>
    </w:p>
    <w:p w14:paraId="6B0DB0DA" w14:textId="77777777" w:rsidR="00467FCA" w:rsidRDefault="00467FCA">
      <w:pPr>
        <w:jc w:val="both"/>
        <w:rPr>
          <w:sz w:val="16"/>
        </w:rPr>
        <w:sectPr w:rsidR="00467FCA">
          <w:pgSz w:w="12240" w:h="15840"/>
          <w:pgMar w:top="1340" w:right="1140" w:bottom="1200" w:left="960" w:header="0" w:footer="1002" w:gutter="0"/>
          <w:cols w:space="720"/>
        </w:sectPr>
      </w:pPr>
    </w:p>
    <w:p w14:paraId="074691F6" w14:textId="77777777" w:rsidR="00467FCA" w:rsidRDefault="001B68EB">
      <w:pPr>
        <w:pStyle w:val="Textoindependiente"/>
        <w:spacing w:before="76" w:line="276" w:lineRule="auto"/>
        <w:ind w:left="470" w:right="397" w:hanging="1"/>
        <w:jc w:val="both"/>
      </w:pPr>
      <w:r>
        <w:t>seguridad, la salud y la higiene en el trabajo como tampoco a la de los demás derechos económicos, sociales y culturales. La existencia de tales derechos no es objeto del presente escrito. Lo que, en cambio, se sostiene aquí es únicamente que</w:t>
      </w:r>
      <w:r>
        <w:t xml:space="preserve"> la Corte, contrariamente a lo indicado en la Sentencia, carece de competencia para conocer, al amparo de lo previsto en</w:t>
      </w:r>
      <w:r>
        <w:rPr>
          <w:spacing w:val="-15"/>
        </w:rPr>
        <w:t xml:space="preserve"> </w:t>
      </w:r>
      <w:r>
        <w:t>el</w:t>
      </w:r>
      <w:r>
        <w:rPr>
          <w:spacing w:val="-14"/>
        </w:rPr>
        <w:t xml:space="preserve"> </w:t>
      </w:r>
      <w:r>
        <w:t>artículo</w:t>
      </w:r>
      <w:r>
        <w:rPr>
          <w:spacing w:val="-18"/>
        </w:rPr>
        <w:t xml:space="preserve"> </w:t>
      </w:r>
      <w:r>
        <w:t>26</w:t>
      </w:r>
      <w:r>
        <w:rPr>
          <w:spacing w:val="-14"/>
        </w:rPr>
        <w:t xml:space="preserve"> </w:t>
      </w:r>
      <w:r>
        <w:t>de</w:t>
      </w:r>
      <w:r>
        <w:rPr>
          <w:spacing w:val="-15"/>
        </w:rPr>
        <w:t xml:space="preserve"> </w:t>
      </w:r>
      <w:r>
        <w:t>la</w:t>
      </w:r>
      <w:r>
        <w:rPr>
          <w:spacing w:val="-16"/>
        </w:rPr>
        <w:t xml:space="preserve"> </w:t>
      </w:r>
      <w:r>
        <w:t>Convención</w:t>
      </w:r>
      <w:hyperlink w:anchor="_bookmark564" w:history="1">
        <w:r>
          <w:rPr>
            <w:position w:val="7"/>
            <w:sz w:val="13"/>
          </w:rPr>
          <w:t>16</w:t>
        </w:r>
      </w:hyperlink>
      <w:r>
        <w:t>,</w:t>
      </w:r>
      <w:r>
        <w:rPr>
          <w:spacing w:val="-17"/>
        </w:rPr>
        <w:t xml:space="preserve"> </w:t>
      </w:r>
      <w:r>
        <w:t>de</w:t>
      </w:r>
      <w:r>
        <w:rPr>
          <w:spacing w:val="-18"/>
        </w:rPr>
        <w:t xml:space="preserve"> </w:t>
      </w:r>
      <w:r>
        <w:t>las</w:t>
      </w:r>
      <w:r>
        <w:rPr>
          <w:spacing w:val="-15"/>
        </w:rPr>
        <w:t xml:space="preserve"> </w:t>
      </w:r>
      <w:r>
        <w:t>violaciones</w:t>
      </w:r>
      <w:r>
        <w:rPr>
          <w:spacing w:val="-17"/>
        </w:rPr>
        <w:t xml:space="preserve"> </w:t>
      </w:r>
      <w:r>
        <w:t>de</w:t>
      </w:r>
      <w:r>
        <w:rPr>
          <w:spacing w:val="-17"/>
        </w:rPr>
        <w:t xml:space="preserve"> </w:t>
      </w:r>
      <w:r>
        <w:t>aquellos,</w:t>
      </w:r>
      <w:r>
        <w:rPr>
          <w:spacing w:val="-15"/>
        </w:rPr>
        <w:t xml:space="preserve"> </w:t>
      </w:r>
      <w:r>
        <w:t>esto</w:t>
      </w:r>
      <w:r>
        <w:rPr>
          <w:spacing w:val="-15"/>
        </w:rPr>
        <w:t xml:space="preserve"> </w:t>
      </w:r>
      <w:r>
        <w:t>es,</w:t>
      </w:r>
      <w:r>
        <w:rPr>
          <w:spacing w:val="-15"/>
        </w:rPr>
        <w:t xml:space="preserve"> </w:t>
      </w:r>
      <w:r>
        <w:t>que</w:t>
      </w:r>
      <w:r>
        <w:rPr>
          <w:spacing w:val="-18"/>
        </w:rPr>
        <w:t xml:space="preserve"> </w:t>
      </w:r>
      <w:r>
        <w:t>las</w:t>
      </w:r>
      <w:r>
        <w:rPr>
          <w:spacing w:val="-17"/>
        </w:rPr>
        <w:t xml:space="preserve"> </w:t>
      </w:r>
      <w:r>
        <w:t>presuntas vulneraci</w:t>
      </w:r>
      <w:r>
        <w:t>ones de esos derechos no son susceptibles de ser justiciables ante</w:t>
      </w:r>
      <w:r>
        <w:rPr>
          <w:spacing w:val="-23"/>
        </w:rPr>
        <w:t xml:space="preserve"> </w:t>
      </w:r>
      <w:r>
        <w:t>ella.</w:t>
      </w:r>
    </w:p>
    <w:p w14:paraId="395A3A19" w14:textId="77777777" w:rsidR="00467FCA" w:rsidRDefault="00467FCA">
      <w:pPr>
        <w:pStyle w:val="Textoindependiente"/>
        <w:spacing w:before="4"/>
        <w:rPr>
          <w:sz w:val="22"/>
        </w:rPr>
      </w:pPr>
    </w:p>
    <w:p w14:paraId="55739F9B" w14:textId="77777777" w:rsidR="00467FCA" w:rsidRDefault="001B68EB">
      <w:pPr>
        <w:pStyle w:val="Prrafodelista"/>
        <w:numPr>
          <w:ilvl w:val="0"/>
          <w:numId w:val="25"/>
        </w:numPr>
        <w:tabs>
          <w:tab w:val="left" w:pos="1450"/>
        </w:tabs>
        <w:spacing w:before="1" w:line="276" w:lineRule="auto"/>
        <w:ind w:right="397" w:firstLine="0"/>
        <w:jc w:val="both"/>
        <w:rPr>
          <w:sz w:val="20"/>
        </w:rPr>
      </w:pPr>
      <w:r>
        <w:rPr>
          <w:sz w:val="20"/>
        </w:rPr>
        <w:t>Lo</w:t>
      </w:r>
      <w:r>
        <w:rPr>
          <w:spacing w:val="-11"/>
          <w:sz w:val="20"/>
        </w:rPr>
        <w:t xml:space="preserve"> </w:t>
      </w:r>
      <w:r>
        <w:rPr>
          <w:sz w:val="20"/>
        </w:rPr>
        <w:t>anterior</w:t>
      </w:r>
      <w:r>
        <w:rPr>
          <w:spacing w:val="-8"/>
          <w:sz w:val="20"/>
        </w:rPr>
        <w:t xml:space="preserve"> </w:t>
      </w:r>
      <w:r>
        <w:rPr>
          <w:sz w:val="20"/>
        </w:rPr>
        <w:t>no</w:t>
      </w:r>
      <w:r>
        <w:rPr>
          <w:spacing w:val="-11"/>
          <w:sz w:val="20"/>
        </w:rPr>
        <w:t xml:space="preserve"> </w:t>
      </w:r>
      <w:r>
        <w:rPr>
          <w:sz w:val="20"/>
        </w:rPr>
        <w:t>implica,</w:t>
      </w:r>
      <w:r>
        <w:rPr>
          <w:spacing w:val="-10"/>
          <w:sz w:val="20"/>
        </w:rPr>
        <w:t xml:space="preserve"> </w:t>
      </w:r>
      <w:r>
        <w:rPr>
          <w:sz w:val="20"/>
        </w:rPr>
        <w:t>por</w:t>
      </w:r>
      <w:r>
        <w:rPr>
          <w:spacing w:val="-8"/>
          <w:sz w:val="20"/>
        </w:rPr>
        <w:t xml:space="preserve"> </w:t>
      </w:r>
      <w:r>
        <w:rPr>
          <w:sz w:val="20"/>
        </w:rPr>
        <w:t>ende,</w:t>
      </w:r>
      <w:r>
        <w:rPr>
          <w:spacing w:val="-11"/>
          <w:sz w:val="20"/>
        </w:rPr>
        <w:t xml:space="preserve"> </w:t>
      </w:r>
      <w:r>
        <w:rPr>
          <w:sz w:val="20"/>
        </w:rPr>
        <w:t>que</w:t>
      </w:r>
      <w:r>
        <w:rPr>
          <w:spacing w:val="-8"/>
          <w:sz w:val="20"/>
        </w:rPr>
        <w:t xml:space="preserve"> </w:t>
      </w:r>
      <w:r>
        <w:rPr>
          <w:sz w:val="20"/>
        </w:rPr>
        <w:t>las</w:t>
      </w:r>
      <w:r>
        <w:rPr>
          <w:spacing w:val="-9"/>
          <w:sz w:val="20"/>
        </w:rPr>
        <w:t xml:space="preserve"> </w:t>
      </w:r>
      <w:r>
        <w:rPr>
          <w:sz w:val="20"/>
        </w:rPr>
        <w:t>violaciones</w:t>
      </w:r>
      <w:r>
        <w:rPr>
          <w:spacing w:val="-10"/>
          <w:sz w:val="20"/>
        </w:rPr>
        <w:t xml:space="preserve"> </w:t>
      </w:r>
      <w:r>
        <w:rPr>
          <w:sz w:val="20"/>
        </w:rPr>
        <w:t>de</w:t>
      </w:r>
      <w:r>
        <w:rPr>
          <w:spacing w:val="-10"/>
          <w:sz w:val="20"/>
        </w:rPr>
        <w:t xml:space="preserve"> </w:t>
      </w:r>
      <w:r>
        <w:rPr>
          <w:sz w:val="20"/>
        </w:rPr>
        <w:t>dichos</w:t>
      </w:r>
      <w:r>
        <w:rPr>
          <w:spacing w:val="-11"/>
          <w:sz w:val="20"/>
        </w:rPr>
        <w:t xml:space="preserve"> </w:t>
      </w:r>
      <w:r>
        <w:rPr>
          <w:sz w:val="20"/>
        </w:rPr>
        <w:t>derechos</w:t>
      </w:r>
      <w:r>
        <w:rPr>
          <w:spacing w:val="-5"/>
          <w:sz w:val="20"/>
        </w:rPr>
        <w:t xml:space="preserve"> </w:t>
      </w:r>
      <w:r>
        <w:rPr>
          <w:sz w:val="20"/>
        </w:rPr>
        <w:t>no</w:t>
      </w:r>
      <w:r>
        <w:rPr>
          <w:spacing w:val="-11"/>
          <w:sz w:val="20"/>
        </w:rPr>
        <w:t xml:space="preserve"> </w:t>
      </w:r>
      <w:r>
        <w:rPr>
          <w:sz w:val="20"/>
        </w:rPr>
        <w:t>puedan ser</w:t>
      </w:r>
      <w:r>
        <w:rPr>
          <w:spacing w:val="-10"/>
          <w:sz w:val="20"/>
        </w:rPr>
        <w:t xml:space="preserve"> </w:t>
      </w:r>
      <w:r>
        <w:rPr>
          <w:sz w:val="20"/>
        </w:rPr>
        <w:t>justiciables</w:t>
      </w:r>
      <w:r>
        <w:rPr>
          <w:spacing w:val="-10"/>
          <w:sz w:val="20"/>
        </w:rPr>
        <w:t xml:space="preserve"> </w:t>
      </w:r>
      <w:r>
        <w:rPr>
          <w:sz w:val="20"/>
        </w:rPr>
        <w:t>ante</w:t>
      </w:r>
      <w:r>
        <w:rPr>
          <w:spacing w:val="-9"/>
          <w:sz w:val="20"/>
        </w:rPr>
        <w:t xml:space="preserve"> </w:t>
      </w:r>
      <w:r>
        <w:rPr>
          <w:sz w:val="20"/>
        </w:rPr>
        <w:t>las</w:t>
      </w:r>
      <w:r>
        <w:rPr>
          <w:spacing w:val="-7"/>
          <w:sz w:val="20"/>
        </w:rPr>
        <w:t xml:space="preserve"> </w:t>
      </w:r>
      <w:r>
        <w:rPr>
          <w:sz w:val="20"/>
        </w:rPr>
        <w:t>jurisdicciones</w:t>
      </w:r>
      <w:r>
        <w:rPr>
          <w:spacing w:val="-9"/>
          <w:sz w:val="20"/>
        </w:rPr>
        <w:t xml:space="preserve"> </w:t>
      </w:r>
      <w:r>
        <w:rPr>
          <w:sz w:val="20"/>
        </w:rPr>
        <w:t>nacionales</w:t>
      </w:r>
      <w:r>
        <w:rPr>
          <w:spacing w:val="-10"/>
          <w:sz w:val="20"/>
        </w:rPr>
        <w:t xml:space="preserve"> </w:t>
      </w:r>
      <w:r>
        <w:rPr>
          <w:sz w:val="20"/>
        </w:rPr>
        <w:t>correspondientes.</w:t>
      </w:r>
      <w:r>
        <w:rPr>
          <w:spacing w:val="-9"/>
          <w:sz w:val="20"/>
        </w:rPr>
        <w:t xml:space="preserve"> </w:t>
      </w:r>
      <w:r>
        <w:rPr>
          <w:sz w:val="20"/>
        </w:rPr>
        <w:t>Ello</w:t>
      </w:r>
      <w:r>
        <w:rPr>
          <w:spacing w:val="-7"/>
          <w:sz w:val="20"/>
        </w:rPr>
        <w:t xml:space="preserve"> </w:t>
      </w:r>
      <w:r>
        <w:rPr>
          <w:sz w:val="20"/>
        </w:rPr>
        <w:t>dependerá</w:t>
      </w:r>
      <w:r>
        <w:rPr>
          <w:spacing w:val="-9"/>
          <w:sz w:val="20"/>
        </w:rPr>
        <w:t xml:space="preserve"> </w:t>
      </w:r>
      <w:r>
        <w:rPr>
          <w:sz w:val="20"/>
        </w:rPr>
        <w:t>de</w:t>
      </w:r>
      <w:r>
        <w:rPr>
          <w:spacing w:val="-9"/>
          <w:sz w:val="20"/>
        </w:rPr>
        <w:t xml:space="preserve"> </w:t>
      </w:r>
      <w:r>
        <w:rPr>
          <w:sz w:val="20"/>
        </w:rPr>
        <w:t>lo</w:t>
      </w:r>
      <w:r>
        <w:rPr>
          <w:spacing w:val="-10"/>
          <w:sz w:val="20"/>
        </w:rPr>
        <w:t xml:space="preserve"> </w:t>
      </w:r>
      <w:r>
        <w:rPr>
          <w:sz w:val="20"/>
        </w:rPr>
        <w:t>que dispongan los respectivos ordenamientos internos, materia que escapa, en todo caso, al objeto del presente documento y que se inserta en la jurisdicción interna, doméstica o exclusiva de los Estados Partes de la</w:t>
      </w:r>
      <w:r>
        <w:rPr>
          <w:spacing w:val="-7"/>
          <w:sz w:val="20"/>
        </w:rPr>
        <w:t xml:space="preserve"> </w:t>
      </w:r>
      <w:r>
        <w:rPr>
          <w:sz w:val="20"/>
        </w:rPr>
        <w:t>Convención</w:t>
      </w:r>
      <w:hyperlink w:anchor="_bookmark565" w:history="1">
        <w:r>
          <w:rPr>
            <w:position w:val="7"/>
            <w:sz w:val="13"/>
          </w:rPr>
          <w:t>17</w:t>
        </w:r>
      </w:hyperlink>
      <w:r>
        <w:rPr>
          <w:sz w:val="20"/>
        </w:rPr>
        <w:t>.</w:t>
      </w:r>
    </w:p>
    <w:p w14:paraId="4FBEE4EF" w14:textId="77777777" w:rsidR="00467FCA" w:rsidRDefault="00467FCA">
      <w:pPr>
        <w:pStyle w:val="Textoindependiente"/>
        <w:spacing w:before="2"/>
        <w:rPr>
          <w:sz w:val="22"/>
        </w:rPr>
      </w:pPr>
    </w:p>
    <w:p w14:paraId="696186AE"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Lo que se sostiene en este voto supone que se debe distinguir entre los derechos humanos en general, que, en toda circunstancia, deben ser respetados en virtud de lo prescrito en el Derecho Internacional y aquellos que, además, pueden ser justiciabl</w:t>
      </w:r>
      <w:r>
        <w:rPr>
          <w:sz w:val="20"/>
        </w:rPr>
        <w:t xml:space="preserve">es ante una jurisdicción internacional. A este respecto, cabe llamar la atención de que solo existen tres tribunales internacionales en materia de derechos humanos, a saber, la Corte, el Tribunal Europeo de Derechos Humanos y la Corte Africana de Derechos </w:t>
      </w:r>
      <w:r>
        <w:rPr>
          <w:sz w:val="20"/>
        </w:rPr>
        <w:t>Humanos y de los Pueblos. Pues bien, no todos los Estados de las respectivas regiones, han aceptado la jurisdicción del tribunal correspondiente. Por otra parte, no todas las regiones del mundo disponen</w:t>
      </w:r>
      <w:r>
        <w:rPr>
          <w:spacing w:val="-7"/>
          <w:sz w:val="20"/>
        </w:rPr>
        <w:t xml:space="preserve"> </w:t>
      </w:r>
      <w:r>
        <w:rPr>
          <w:sz w:val="20"/>
        </w:rPr>
        <w:t>de</w:t>
      </w:r>
      <w:r>
        <w:rPr>
          <w:spacing w:val="-9"/>
          <w:sz w:val="20"/>
        </w:rPr>
        <w:t xml:space="preserve"> </w:t>
      </w:r>
      <w:r>
        <w:rPr>
          <w:sz w:val="20"/>
        </w:rPr>
        <w:t>una</w:t>
      </w:r>
      <w:r>
        <w:rPr>
          <w:spacing w:val="-8"/>
          <w:sz w:val="20"/>
        </w:rPr>
        <w:t xml:space="preserve"> </w:t>
      </w:r>
      <w:r>
        <w:rPr>
          <w:sz w:val="20"/>
        </w:rPr>
        <w:t>jurisdicción</w:t>
      </w:r>
      <w:r>
        <w:rPr>
          <w:spacing w:val="-7"/>
          <w:sz w:val="20"/>
        </w:rPr>
        <w:t xml:space="preserve"> </w:t>
      </w:r>
      <w:r>
        <w:rPr>
          <w:sz w:val="20"/>
        </w:rPr>
        <w:t>internacional</w:t>
      </w:r>
      <w:r>
        <w:rPr>
          <w:spacing w:val="-5"/>
          <w:sz w:val="20"/>
        </w:rPr>
        <w:t xml:space="preserve"> </w:t>
      </w:r>
      <w:r>
        <w:rPr>
          <w:sz w:val="20"/>
        </w:rPr>
        <w:t>en</w:t>
      </w:r>
      <w:r>
        <w:rPr>
          <w:spacing w:val="-7"/>
          <w:sz w:val="20"/>
        </w:rPr>
        <w:t xml:space="preserve"> </w:t>
      </w:r>
      <w:r>
        <w:rPr>
          <w:sz w:val="20"/>
        </w:rPr>
        <w:t>materia</w:t>
      </w:r>
      <w:r>
        <w:rPr>
          <w:spacing w:val="-8"/>
          <w:sz w:val="20"/>
        </w:rPr>
        <w:t xml:space="preserve"> </w:t>
      </w:r>
      <w:r>
        <w:rPr>
          <w:sz w:val="20"/>
        </w:rPr>
        <w:t>de</w:t>
      </w:r>
      <w:r>
        <w:rPr>
          <w:spacing w:val="-9"/>
          <w:sz w:val="20"/>
        </w:rPr>
        <w:t xml:space="preserve"> </w:t>
      </w:r>
      <w:r>
        <w:rPr>
          <w:sz w:val="20"/>
        </w:rPr>
        <w:t>derec</w:t>
      </w:r>
      <w:r>
        <w:rPr>
          <w:sz w:val="20"/>
        </w:rPr>
        <w:t>hos</w:t>
      </w:r>
      <w:r>
        <w:rPr>
          <w:spacing w:val="-6"/>
          <w:sz w:val="20"/>
        </w:rPr>
        <w:t xml:space="preserve"> </w:t>
      </w:r>
      <w:r>
        <w:rPr>
          <w:sz w:val="20"/>
        </w:rPr>
        <w:t>humanos.</w:t>
      </w:r>
      <w:r>
        <w:rPr>
          <w:spacing w:val="-6"/>
          <w:sz w:val="20"/>
        </w:rPr>
        <w:t xml:space="preserve"> </w:t>
      </w:r>
      <w:r>
        <w:rPr>
          <w:sz w:val="20"/>
        </w:rPr>
        <w:t>Tampoco</w:t>
      </w:r>
      <w:r>
        <w:rPr>
          <w:spacing w:val="-7"/>
          <w:sz w:val="20"/>
        </w:rPr>
        <w:t xml:space="preserve"> </w:t>
      </w:r>
      <w:r>
        <w:rPr>
          <w:sz w:val="20"/>
        </w:rPr>
        <w:t>se</w:t>
      </w:r>
      <w:r>
        <w:rPr>
          <w:spacing w:val="-8"/>
          <w:sz w:val="20"/>
        </w:rPr>
        <w:t xml:space="preserve"> </w:t>
      </w:r>
      <w:r>
        <w:rPr>
          <w:sz w:val="20"/>
        </w:rPr>
        <w:t>ha creado un tribunal universal de derechos</w:t>
      </w:r>
      <w:r>
        <w:rPr>
          <w:spacing w:val="-10"/>
          <w:sz w:val="20"/>
        </w:rPr>
        <w:t xml:space="preserve"> </w:t>
      </w:r>
      <w:r>
        <w:rPr>
          <w:sz w:val="20"/>
        </w:rPr>
        <w:t>humanos.</w:t>
      </w:r>
    </w:p>
    <w:p w14:paraId="5D78A397" w14:textId="77777777" w:rsidR="00467FCA" w:rsidRDefault="00467FCA">
      <w:pPr>
        <w:pStyle w:val="Textoindependiente"/>
        <w:spacing w:before="3"/>
        <w:rPr>
          <w:sz w:val="22"/>
        </w:rPr>
      </w:pPr>
    </w:p>
    <w:p w14:paraId="7828C4A6" w14:textId="77777777" w:rsidR="00467FCA" w:rsidRDefault="001B68EB">
      <w:pPr>
        <w:pStyle w:val="Prrafodelista"/>
        <w:numPr>
          <w:ilvl w:val="0"/>
          <w:numId w:val="25"/>
        </w:numPr>
        <w:tabs>
          <w:tab w:val="left" w:pos="1450"/>
        </w:tabs>
        <w:spacing w:line="276" w:lineRule="auto"/>
        <w:ind w:right="396" w:firstLine="0"/>
        <w:jc w:val="both"/>
        <w:rPr>
          <w:sz w:val="20"/>
        </w:rPr>
      </w:pPr>
      <w:r>
        <w:rPr>
          <w:sz w:val="20"/>
        </w:rPr>
        <w:t>La circunstancia, pues, de que un Estado no haya aceptado ser sometido a una instancia</w:t>
      </w:r>
      <w:r>
        <w:rPr>
          <w:spacing w:val="-14"/>
          <w:sz w:val="20"/>
        </w:rPr>
        <w:t xml:space="preserve"> </w:t>
      </w:r>
      <w:r>
        <w:rPr>
          <w:sz w:val="20"/>
        </w:rPr>
        <w:t>jurisdiccional</w:t>
      </w:r>
      <w:r>
        <w:rPr>
          <w:spacing w:val="-13"/>
          <w:sz w:val="20"/>
        </w:rPr>
        <w:t xml:space="preserve"> </w:t>
      </w:r>
      <w:r>
        <w:rPr>
          <w:sz w:val="20"/>
        </w:rPr>
        <w:t>internacional</w:t>
      </w:r>
      <w:r>
        <w:rPr>
          <w:spacing w:val="-11"/>
          <w:sz w:val="20"/>
        </w:rPr>
        <w:t xml:space="preserve"> </w:t>
      </w:r>
      <w:r>
        <w:rPr>
          <w:sz w:val="20"/>
        </w:rPr>
        <w:t>en</w:t>
      </w:r>
      <w:r>
        <w:rPr>
          <w:spacing w:val="-13"/>
          <w:sz w:val="20"/>
        </w:rPr>
        <w:t xml:space="preserve"> </w:t>
      </w:r>
      <w:r>
        <w:rPr>
          <w:sz w:val="20"/>
        </w:rPr>
        <w:t>materia</w:t>
      </w:r>
      <w:r>
        <w:rPr>
          <w:spacing w:val="-11"/>
          <w:sz w:val="20"/>
        </w:rPr>
        <w:t xml:space="preserve"> </w:t>
      </w:r>
      <w:r>
        <w:rPr>
          <w:sz w:val="20"/>
        </w:rPr>
        <w:t>de</w:t>
      </w:r>
      <w:r>
        <w:rPr>
          <w:spacing w:val="-15"/>
          <w:sz w:val="20"/>
        </w:rPr>
        <w:t xml:space="preserve"> </w:t>
      </w:r>
      <w:r>
        <w:rPr>
          <w:sz w:val="20"/>
        </w:rPr>
        <w:t>derechos</w:t>
      </w:r>
      <w:r>
        <w:rPr>
          <w:spacing w:val="-14"/>
          <w:sz w:val="20"/>
        </w:rPr>
        <w:t xml:space="preserve"> </w:t>
      </w:r>
      <w:r>
        <w:rPr>
          <w:sz w:val="20"/>
        </w:rPr>
        <w:t>humanos,</w:t>
      </w:r>
      <w:r>
        <w:rPr>
          <w:spacing w:val="-15"/>
          <w:sz w:val="20"/>
        </w:rPr>
        <w:t xml:space="preserve"> </w:t>
      </w:r>
      <w:r>
        <w:rPr>
          <w:sz w:val="20"/>
        </w:rPr>
        <w:t>no</w:t>
      </w:r>
      <w:r>
        <w:rPr>
          <w:spacing w:val="-15"/>
          <w:sz w:val="20"/>
        </w:rPr>
        <w:t xml:space="preserve"> </w:t>
      </w:r>
      <w:r>
        <w:rPr>
          <w:sz w:val="20"/>
        </w:rPr>
        <w:t>significa</w:t>
      </w:r>
      <w:r>
        <w:rPr>
          <w:spacing w:val="-14"/>
          <w:sz w:val="20"/>
        </w:rPr>
        <w:t xml:space="preserve"> </w:t>
      </w:r>
      <w:r>
        <w:rPr>
          <w:sz w:val="20"/>
        </w:rPr>
        <w:t>que</w:t>
      </w:r>
      <w:r>
        <w:rPr>
          <w:spacing w:val="-12"/>
          <w:sz w:val="20"/>
        </w:rPr>
        <w:t xml:space="preserve"> </w:t>
      </w:r>
      <w:r>
        <w:rPr>
          <w:sz w:val="20"/>
        </w:rPr>
        <w:t>éstos no existan y que no puedan eventualmente violarse. El Estado los debe, de todas maneras, respetar, aunque no exista un tribunal internacional al que se pueda concurrir en el evento de que los vulnere y ello máxime si son consagrados en un tratado del</w:t>
      </w:r>
      <w:r>
        <w:rPr>
          <w:sz w:val="20"/>
        </w:rPr>
        <w:t xml:space="preserve"> que es Estado Parte. En</w:t>
      </w:r>
      <w:r>
        <w:rPr>
          <w:spacing w:val="-14"/>
          <w:sz w:val="20"/>
        </w:rPr>
        <w:t xml:space="preserve"> </w:t>
      </w:r>
      <w:r>
        <w:rPr>
          <w:sz w:val="20"/>
        </w:rPr>
        <w:t>tal</w:t>
      </w:r>
      <w:r>
        <w:rPr>
          <w:spacing w:val="-13"/>
          <w:sz w:val="20"/>
        </w:rPr>
        <w:t xml:space="preserve"> </w:t>
      </w:r>
      <w:r>
        <w:rPr>
          <w:sz w:val="20"/>
        </w:rPr>
        <w:t>eventualidad,</w:t>
      </w:r>
      <w:r>
        <w:rPr>
          <w:spacing w:val="-14"/>
          <w:sz w:val="20"/>
        </w:rPr>
        <w:t xml:space="preserve"> </w:t>
      </w:r>
      <w:r>
        <w:rPr>
          <w:sz w:val="20"/>
        </w:rPr>
        <w:t>la</w:t>
      </w:r>
      <w:r>
        <w:rPr>
          <w:spacing w:val="-11"/>
          <w:sz w:val="20"/>
        </w:rPr>
        <w:t xml:space="preserve"> </w:t>
      </w:r>
      <w:r>
        <w:rPr>
          <w:sz w:val="20"/>
        </w:rPr>
        <w:t>sociedad</w:t>
      </w:r>
      <w:r>
        <w:rPr>
          <w:spacing w:val="-13"/>
          <w:sz w:val="20"/>
        </w:rPr>
        <w:t xml:space="preserve"> </w:t>
      </w:r>
      <w:r>
        <w:rPr>
          <w:sz w:val="20"/>
        </w:rPr>
        <w:t>internacional</w:t>
      </w:r>
      <w:r>
        <w:rPr>
          <w:spacing w:val="-13"/>
          <w:sz w:val="20"/>
        </w:rPr>
        <w:t xml:space="preserve"> </w:t>
      </w:r>
      <w:r>
        <w:rPr>
          <w:sz w:val="20"/>
        </w:rPr>
        <w:t>podrá</w:t>
      </w:r>
      <w:r>
        <w:rPr>
          <w:spacing w:val="-13"/>
          <w:sz w:val="20"/>
        </w:rPr>
        <w:t xml:space="preserve"> </w:t>
      </w:r>
      <w:r>
        <w:rPr>
          <w:sz w:val="20"/>
        </w:rPr>
        <w:t>emplear</w:t>
      </w:r>
      <w:r>
        <w:rPr>
          <w:spacing w:val="-15"/>
          <w:sz w:val="20"/>
        </w:rPr>
        <w:t xml:space="preserve"> </w:t>
      </w:r>
      <w:r>
        <w:rPr>
          <w:sz w:val="20"/>
        </w:rPr>
        <w:t>medios</w:t>
      </w:r>
      <w:r>
        <w:rPr>
          <w:spacing w:val="-12"/>
          <w:sz w:val="20"/>
        </w:rPr>
        <w:t xml:space="preserve"> </w:t>
      </w:r>
      <w:r>
        <w:rPr>
          <w:sz w:val="20"/>
        </w:rPr>
        <w:t>netamente</w:t>
      </w:r>
      <w:r>
        <w:rPr>
          <w:spacing w:val="-15"/>
          <w:sz w:val="20"/>
        </w:rPr>
        <w:t xml:space="preserve"> </w:t>
      </w:r>
      <w:r>
        <w:rPr>
          <w:sz w:val="20"/>
        </w:rPr>
        <w:t>diplomáticos o</w:t>
      </w:r>
      <w:r>
        <w:rPr>
          <w:spacing w:val="-13"/>
          <w:sz w:val="20"/>
        </w:rPr>
        <w:t xml:space="preserve"> </w:t>
      </w:r>
      <w:r>
        <w:rPr>
          <w:sz w:val="20"/>
        </w:rPr>
        <w:t>políticos</w:t>
      </w:r>
      <w:r>
        <w:rPr>
          <w:spacing w:val="-12"/>
          <w:sz w:val="20"/>
        </w:rPr>
        <w:t xml:space="preserve"> </w:t>
      </w:r>
      <w:r>
        <w:rPr>
          <w:sz w:val="20"/>
        </w:rPr>
        <w:t>para</w:t>
      </w:r>
      <w:r>
        <w:rPr>
          <w:spacing w:val="-11"/>
          <w:sz w:val="20"/>
        </w:rPr>
        <w:t xml:space="preserve"> </w:t>
      </w:r>
      <w:r>
        <w:rPr>
          <w:sz w:val="20"/>
        </w:rPr>
        <w:t>lograr</w:t>
      </w:r>
      <w:r>
        <w:rPr>
          <w:spacing w:val="-12"/>
          <w:sz w:val="20"/>
        </w:rPr>
        <w:t xml:space="preserve"> </w:t>
      </w:r>
      <w:r>
        <w:rPr>
          <w:sz w:val="20"/>
        </w:rPr>
        <w:t>el</w:t>
      </w:r>
      <w:r>
        <w:rPr>
          <w:spacing w:val="-8"/>
          <w:sz w:val="20"/>
        </w:rPr>
        <w:t xml:space="preserve"> </w:t>
      </w:r>
      <w:r>
        <w:rPr>
          <w:sz w:val="20"/>
        </w:rPr>
        <w:t>restablecimiento</w:t>
      </w:r>
      <w:r>
        <w:rPr>
          <w:spacing w:val="-13"/>
          <w:sz w:val="20"/>
        </w:rPr>
        <w:t xml:space="preserve"> </w:t>
      </w:r>
      <w:r>
        <w:rPr>
          <w:sz w:val="20"/>
        </w:rPr>
        <w:t>del</w:t>
      </w:r>
      <w:r>
        <w:rPr>
          <w:spacing w:val="-8"/>
          <w:sz w:val="20"/>
        </w:rPr>
        <w:t xml:space="preserve"> </w:t>
      </w:r>
      <w:r>
        <w:rPr>
          <w:sz w:val="20"/>
        </w:rPr>
        <w:t>respeto</w:t>
      </w:r>
      <w:r>
        <w:rPr>
          <w:spacing w:val="-12"/>
          <w:sz w:val="20"/>
        </w:rPr>
        <w:t xml:space="preserve"> </w:t>
      </w:r>
      <w:r>
        <w:rPr>
          <w:sz w:val="20"/>
        </w:rPr>
        <w:t>de</w:t>
      </w:r>
      <w:r>
        <w:rPr>
          <w:spacing w:val="-12"/>
          <w:sz w:val="20"/>
        </w:rPr>
        <w:t xml:space="preserve"> </w:t>
      </w:r>
      <w:r>
        <w:rPr>
          <w:sz w:val="20"/>
        </w:rPr>
        <w:t>los</w:t>
      </w:r>
      <w:r>
        <w:rPr>
          <w:spacing w:val="-12"/>
          <w:sz w:val="20"/>
        </w:rPr>
        <w:t xml:space="preserve"> </w:t>
      </w:r>
      <w:r>
        <w:rPr>
          <w:sz w:val="20"/>
        </w:rPr>
        <w:t>derechos</w:t>
      </w:r>
      <w:r>
        <w:rPr>
          <w:spacing w:val="-11"/>
          <w:sz w:val="20"/>
        </w:rPr>
        <w:t xml:space="preserve"> </w:t>
      </w:r>
      <w:r>
        <w:rPr>
          <w:sz w:val="20"/>
        </w:rPr>
        <w:t>en</w:t>
      </w:r>
      <w:r>
        <w:rPr>
          <w:spacing w:val="-10"/>
          <w:sz w:val="20"/>
        </w:rPr>
        <w:t xml:space="preserve"> </w:t>
      </w:r>
      <w:r>
        <w:rPr>
          <w:sz w:val="20"/>
        </w:rPr>
        <w:t>comento.</w:t>
      </w:r>
      <w:r>
        <w:rPr>
          <w:spacing w:val="-12"/>
          <w:sz w:val="20"/>
        </w:rPr>
        <w:t xml:space="preserve"> </w:t>
      </w:r>
      <w:r>
        <w:rPr>
          <w:sz w:val="20"/>
        </w:rPr>
        <w:t>Entonces, un</w:t>
      </w:r>
      <w:r>
        <w:rPr>
          <w:spacing w:val="-8"/>
          <w:sz w:val="20"/>
        </w:rPr>
        <w:t xml:space="preserve"> </w:t>
      </w:r>
      <w:r>
        <w:rPr>
          <w:sz w:val="20"/>
        </w:rPr>
        <w:t>asunto</w:t>
      </w:r>
      <w:r>
        <w:rPr>
          <w:spacing w:val="-9"/>
          <w:sz w:val="20"/>
        </w:rPr>
        <w:t xml:space="preserve"> </w:t>
      </w:r>
      <w:r>
        <w:rPr>
          <w:sz w:val="20"/>
        </w:rPr>
        <w:t>es</w:t>
      </w:r>
      <w:r>
        <w:rPr>
          <w:spacing w:val="-10"/>
          <w:sz w:val="20"/>
        </w:rPr>
        <w:t xml:space="preserve"> </w:t>
      </w:r>
      <w:r>
        <w:rPr>
          <w:sz w:val="20"/>
        </w:rPr>
        <w:t>la</w:t>
      </w:r>
      <w:r>
        <w:rPr>
          <w:spacing w:val="-8"/>
          <w:sz w:val="20"/>
        </w:rPr>
        <w:t xml:space="preserve"> </w:t>
      </w:r>
      <w:r>
        <w:rPr>
          <w:sz w:val="20"/>
        </w:rPr>
        <w:t>consagración</w:t>
      </w:r>
      <w:r>
        <w:rPr>
          <w:spacing w:val="-8"/>
          <w:sz w:val="20"/>
        </w:rPr>
        <w:t xml:space="preserve"> </w:t>
      </w:r>
      <w:r>
        <w:rPr>
          <w:sz w:val="20"/>
        </w:rPr>
        <w:t>internacional</w:t>
      </w:r>
      <w:r>
        <w:rPr>
          <w:spacing w:val="-7"/>
          <w:sz w:val="20"/>
        </w:rPr>
        <w:t xml:space="preserve"> </w:t>
      </w:r>
      <w:r>
        <w:rPr>
          <w:sz w:val="20"/>
        </w:rPr>
        <w:t>de</w:t>
      </w:r>
      <w:r>
        <w:rPr>
          <w:spacing w:val="-9"/>
          <w:sz w:val="20"/>
        </w:rPr>
        <w:t xml:space="preserve"> </w:t>
      </w:r>
      <w:r>
        <w:rPr>
          <w:sz w:val="20"/>
        </w:rPr>
        <w:t>éstos,</w:t>
      </w:r>
      <w:r>
        <w:rPr>
          <w:spacing w:val="-10"/>
          <w:sz w:val="20"/>
        </w:rPr>
        <w:t xml:space="preserve"> </w:t>
      </w:r>
      <w:r>
        <w:rPr>
          <w:sz w:val="20"/>
        </w:rPr>
        <w:t>y</w:t>
      </w:r>
      <w:r>
        <w:rPr>
          <w:spacing w:val="-8"/>
          <w:sz w:val="20"/>
        </w:rPr>
        <w:t xml:space="preserve"> </w:t>
      </w:r>
      <w:r>
        <w:rPr>
          <w:sz w:val="20"/>
        </w:rPr>
        <w:t>otro,</w:t>
      </w:r>
      <w:r>
        <w:rPr>
          <w:spacing w:val="-7"/>
          <w:sz w:val="20"/>
        </w:rPr>
        <w:t xml:space="preserve"> </w:t>
      </w:r>
      <w:r>
        <w:rPr>
          <w:sz w:val="20"/>
        </w:rPr>
        <w:t>el</w:t>
      </w:r>
      <w:r>
        <w:rPr>
          <w:spacing w:val="-8"/>
          <w:sz w:val="20"/>
        </w:rPr>
        <w:t xml:space="preserve"> </w:t>
      </w:r>
      <w:r>
        <w:rPr>
          <w:sz w:val="20"/>
        </w:rPr>
        <w:t>instrumento</w:t>
      </w:r>
      <w:r>
        <w:rPr>
          <w:spacing w:val="-9"/>
          <w:sz w:val="20"/>
        </w:rPr>
        <w:t xml:space="preserve"> </w:t>
      </w:r>
      <w:r>
        <w:rPr>
          <w:sz w:val="20"/>
        </w:rPr>
        <w:t>internacional</w:t>
      </w:r>
      <w:r>
        <w:rPr>
          <w:spacing w:val="-9"/>
          <w:sz w:val="20"/>
        </w:rPr>
        <w:t xml:space="preserve"> </w:t>
      </w:r>
      <w:r>
        <w:rPr>
          <w:sz w:val="20"/>
        </w:rPr>
        <w:t>que se</w:t>
      </w:r>
      <w:r>
        <w:rPr>
          <w:spacing w:val="-15"/>
          <w:sz w:val="20"/>
        </w:rPr>
        <w:t xml:space="preserve"> </w:t>
      </w:r>
      <w:r>
        <w:rPr>
          <w:sz w:val="20"/>
        </w:rPr>
        <w:t>emplee</w:t>
      </w:r>
      <w:r>
        <w:rPr>
          <w:spacing w:val="-16"/>
          <w:sz w:val="20"/>
        </w:rPr>
        <w:t xml:space="preserve"> </w:t>
      </w:r>
      <w:r>
        <w:rPr>
          <w:sz w:val="20"/>
        </w:rPr>
        <w:t>para</w:t>
      </w:r>
      <w:r>
        <w:rPr>
          <w:spacing w:val="-16"/>
          <w:sz w:val="20"/>
        </w:rPr>
        <w:t xml:space="preserve"> </w:t>
      </w:r>
      <w:r>
        <w:rPr>
          <w:sz w:val="20"/>
        </w:rPr>
        <w:t>lograr</w:t>
      </w:r>
      <w:r>
        <w:rPr>
          <w:spacing w:val="-16"/>
          <w:sz w:val="20"/>
        </w:rPr>
        <w:t xml:space="preserve"> </w:t>
      </w:r>
      <w:r>
        <w:rPr>
          <w:sz w:val="20"/>
        </w:rPr>
        <w:t>que</w:t>
      </w:r>
      <w:r>
        <w:rPr>
          <w:spacing w:val="-16"/>
          <w:sz w:val="20"/>
        </w:rPr>
        <w:t xml:space="preserve"> </w:t>
      </w:r>
      <w:r>
        <w:rPr>
          <w:sz w:val="20"/>
        </w:rPr>
        <w:t>se</w:t>
      </w:r>
      <w:r>
        <w:rPr>
          <w:spacing w:val="-17"/>
          <w:sz w:val="20"/>
        </w:rPr>
        <w:t xml:space="preserve"> </w:t>
      </w:r>
      <w:r>
        <w:rPr>
          <w:sz w:val="20"/>
        </w:rPr>
        <w:t>restablezca</w:t>
      </w:r>
      <w:r>
        <w:rPr>
          <w:spacing w:val="-12"/>
          <w:sz w:val="20"/>
        </w:rPr>
        <w:t xml:space="preserve"> </w:t>
      </w:r>
      <w:r>
        <w:rPr>
          <w:sz w:val="20"/>
        </w:rPr>
        <w:t>su</w:t>
      </w:r>
      <w:r>
        <w:rPr>
          <w:spacing w:val="-15"/>
          <w:sz w:val="20"/>
        </w:rPr>
        <w:t xml:space="preserve"> </w:t>
      </w:r>
      <w:r>
        <w:rPr>
          <w:sz w:val="20"/>
        </w:rPr>
        <w:t>vigencia</w:t>
      </w:r>
      <w:r>
        <w:rPr>
          <w:spacing w:val="-12"/>
          <w:sz w:val="20"/>
        </w:rPr>
        <w:t xml:space="preserve"> </w:t>
      </w:r>
      <w:r>
        <w:rPr>
          <w:sz w:val="20"/>
        </w:rPr>
        <w:t>en</w:t>
      </w:r>
      <w:r>
        <w:rPr>
          <w:spacing w:val="-15"/>
          <w:sz w:val="20"/>
        </w:rPr>
        <w:t xml:space="preserve"> </w:t>
      </w:r>
      <w:r>
        <w:rPr>
          <w:sz w:val="20"/>
        </w:rPr>
        <w:t>las</w:t>
      </w:r>
      <w:r>
        <w:rPr>
          <w:spacing w:val="-13"/>
          <w:sz w:val="20"/>
        </w:rPr>
        <w:t xml:space="preserve"> </w:t>
      </w:r>
      <w:r>
        <w:rPr>
          <w:sz w:val="20"/>
        </w:rPr>
        <w:t>situaciones</w:t>
      </w:r>
      <w:r>
        <w:rPr>
          <w:spacing w:val="-14"/>
          <w:sz w:val="20"/>
        </w:rPr>
        <w:t xml:space="preserve"> </w:t>
      </w:r>
      <w:r>
        <w:rPr>
          <w:sz w:val="20"/>
        </w:rPr>
        <w:t>en</w:t>
      </w:r>
      <w:r>
        <w:rPr>
          <w:spacing w:val="-14"/>
          <w:sz w:val="20"/>
        </w:rPr>
        <w:t xml:space="preserve"> </w:t>
      </w:r>
      <w:r>
        <w:rPr>
          <w:sz w:val="20"/>
        </w:rPr>
        <w:t>que</w:t>
      </w:r>
      <w:r>
        <w:rPr>
          <w:spacing w:val="-15"/>
          <w:sz w:val="20"/>
        </w:rPr>
        <w:t xml:space="preserve"> </w:t>
      </w:r>
      <w:r>
        <w:rPr>
          <w:sz w:val="20"/>
        </w:rPr>
        <w:t>sean</w:t>
      </w:r>
      <w:r>
        <w:rPr>
          <w:spacing w:val="-12"/>
          <w:sz w:val="20"/>
        </w:rPr>
        <w:t xml:space="preserve"> </w:t>
      </w:r>
      <w:r>
        <w:rPr>
          <w:sz w:val="20"/>
        </w:rPr>
        <w:t>violados.</w:t>
      </w:r>
    </w:p>
    <w:p w14:paraId="4F0D0A9E" w14:textId="77777777" w:rsidR="00467FCA" w:rsidRDefault="00467FCA">
      <w:pPr>
        <w:pStyle w:val="Textoindependiente"/>
        <w:spacing w:before="2"/>
        <w:rPr>
          <w:sz w:val="22"/>
        </w:rPr>
      </w:pPr>
    </w:p>
    <w:p w14:paraId="425D220B" w14:textId="77777777" w:rsidR="00467FCA" w:rsidRDefault="001B68EB">
      <w:pPr>
        <w:pStyle w:val="Ttulo1"/>
        <w:numPr>
          <w:ilvl w:val="0"/>
          <w:numId w:val="24"/>
        </w:numPr>
        <w:tabs>
          <w:tab w:val="left" w:pos="742"/>
        </w:tabs>
        <w:jc w:val="both"/>
      </w:pPr>
      <w:r>
        <w:t>La interpretación del artículo</w:t>
      </w:r>
      <w:r>
        <w:rPr>
          <w:spacing w:val="-2"/>
        </w:rPr>
        <w:t xml:space="preserve"> </w:t>
      </w:r>
      <w:r>
        <w:t>26.</w:t>
      </w:r>
    </w:p>
    <w:p w14:paraId="09EFE740" w14:textId="77777777" w:rsidR="00467FCA" w:rsidRDefault="00467FCA">
      <w:pPr>
        <w:pStyle w:val="Textoindependiente"/>
        <w:rPr>
          <w:b/>
          <w:sz w:val="26"/>
        </w:rPr>
      </w:pPr>
    </w:p>
    <w:p w14:paraId="53874144"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En vista de que la Convención es un tratado entre Estados y,</w:t>
      </w:r>
      <w:r>
        <w:rPr>
          <w:sz w:val="20"/>
        </w:rPr>
        <w:t xml:space="preserve"> por ende, regida por el Derecho Internacional Público</w:t>
      </w:r>
      <w:hyperlink w:anchor="_bookmark566" w:history="1">
        <w:r>
          <w:rPr>
            <w:position w:val="7"/>
            <w:sz w:val="13"/>
          </w:rPr>
          <w:t>18</w:t>
        </w:r>
      </w:hyperlink>
      <w:r>
        <w:rPr>
          <w:sz w:val="20"/>
        </w:rPr>
        <w:t>, las razones que sustentan este disenso se encuentran, principalmente, en la interpretación que, acorde a los métodos de interpretación de los tratados</w:t>
      </w:r>
      <w:r>
        <w:rPr>
          <w:spacing w:val="-14"/>
          <w:sz w:val="20"/>
        </w:rPr>
        <w:t xml:space="preserve"> </w:t>
      </w:r>
      <w:r>
        <w:rPr>
          <w:sz w:val="20"/>
        </w:rPr>
        <w:t>previstos</w:t>
      </w:r>
      <w:r>
        <w:rPr>
          <w:spacing w:val="-13"/>
          <w:sz w:val="20"/>
        </w:rPr>
        <w:t xml:space="preserve"> </w:t>
      </w:r>
      <w:r>
        <w:rPr>
          <w:sz w:val="20"/>
        </w:rPr>
        <w:t>en</w:t>
      </w:r>
      <w:r>
        <w:rPr>
          <w:spacing w:val="-13"/>
          <w:sz w:val="20"/>
        </w:rPr>
        <w:t xml:space="preserve"> </w:t>
      </w:r>
      <w:r>
        <w:rPr>
          <w:sz w:val="20"/>
        </w:rPr>
        <w:t>la</w:t>
      </w:r>
      <w:r>
        <w:rPr>
          <w:spacing w:val="-12"/>
          <w:sz w:val="20"/>
        </w:rPr>
        <w:t xml:space="preserve"> </w:t>
      </w:r>
      <w:r>
        <w:rPr>
          <w:sz w:val="20"/>
        </w:rPr>
        <w:t>Convención</w:t>
      </w:r>
      <w:r>
        <w:rPr>
          <w:spacing w:val="-13"/>
          <w:sz w:val="20"/>
        </w:rPr>
        <w:t xml:space="preserve"> </w:t>
      </w:r>
      <w:r>
        <w:rPr>
          <w:sz w:val="20"/>
        </w:rPr>
        <w:t>de</w:t>
      </w:r>
      <w:r>
        <w:rPr>
          <w:spacing w:val="-14"/>
          <w:sz w:val="20"/>
        </w:rPr>
        <w:t xml:space="preserve"> </w:t>
      </w:r>
      <w:r>
        <w:rPr>
          <w:sz w:val="20"/>
        </w:rPr>
        <w:t>Viena,</w:t>
      </w:r>
      <w:r>
        <w:rPr>
          <w:spacing w:val="-14"/>
          <w:sz w:val="20"/>
        </w:rPr>
        <w:t xml:space="preserve"> </w:t>
      </w:r>
      <w:r>
        <w:rPr>
          <w:sz w:val="20"/>
        </w:rPr>
        <w:t>se</w:t>
      </w:r>
      <w:r>
        <w:rPr>
          <w:spacing w:val="-14"/>
          <w:sz w:val="20"/>
        </w:rPr>
        <w:t xml:space="preserve"> </w:t>
      </w:r>
      <w:r>
        <w:rPr>
          <w:sz w:val="20"/>
        </w:rPr>
        <w:t>debe</w:t>
      </w:r>
      <w:r>
        <w:rPr>
          <w:spacing w:val="-14"/>
          <w:sz w:val="20"/>
        </w:rPr>
        <w:t xml:space="preserve"> </w:t>
      </w:r>
      <w:r>
        <w:rPr>
          <w:sz w:val="20"/>
        </w:rPr>
        <w:t>hacer</w:t>
      </w:r>
      <w:r>
        <w:rPr>
          <w:spacing w:val="-15"/>
          <w:sz w:val="20"/>
        </w:rPr>
        <w:t xml:space="preserve"> </w:t>
      </w:r>
      <w:r>
        <w:rPr>
          <w:sz w:val="20"/>
        </w:rPr>
        <w:t>del</w:t>
      </w:r>
      <w:r>
        <w:rPr>
          <w:spacing w:val="-12"/>
          <w:sz w:val="20"/>
        </w:rPr>
        <w:t xml:space="preserve"> </w:t>
      </w:r>
      <w:r>
        <w:rPr>
          <w:sz w:val="20"/>
        </w:rPr>
        <w:t>artículo</w:t>
      </w:r>
      <w:r>
        <w:rPr>
          <w:spacing w:val="-12"/>
          <w:sz w:val="20"/>
        </w:rPr>
        <w:t xml:space="preserve"> </w:t>
      </w:r>
      <w:r>
        <w:rPr>
          <w:sz w:val="20"/>
        </w:rPr>
        <w:t>26.</w:t>
      </w:r>
      <w:r>
        <w:rPr>
          <w:spacing w:val="-16"/>
          <w:sz w:val="20"/>
        </w:rPr>
        <w:t xml:space="preserve"> </w:t>
      </w:r>
      <w:r>
        <w:rPr>
          <w:sz w:val="20"/>
        </w:rPr>
        <w:t>Dichos</w:t>
      </w:r>
      <w:r>
        <w:rPr>
          <w:spacing w:val="-14"/>
          <w:sz w:val="20"/>
        </w:rPr>
        <w:t xml:space="preserve"> </w:t>
      </w:r>
      <w:r>
        <w:rPr>
          <w:sz w:val="20"/>
        </w:rPr>
        <w:t>métodos, que</w:t>
      </w:r>
      <w:r>
        <w:rPr>
          <w:spacing w:val="20"/>
          <w:sz w:val="20"/>
        </w:rPr>
        <w:t xml:space="preserve"> </w:t>
      </w:r>
      <w:r>
        <w:rPr>
          <w:sz w:val="20"/>
        </w:rPr>
        <w:t>deben</w:t>
      </w:r>
      <w:r>
        <w:rPr>
          <w:spacing w:val="22"/>
          <w:sz w:val="20"/>
        </w:rPr>
        <w:t xml:space="preserve"> </w:t>
      </w:r>
      <w:r>
        <w:rPr>
          <w:sz w:val="20"/>
        </w:rPr>
        <w:t>ser</w:t>
      </w:r>
      <w:r>
        <w:rPr>
          <w:spacing w:val="22"/>
          <w:sz w:val="20"/>
        </w:rPr>
        <w:t xml:space="preserve"> </w:t>
      </w:r>
      <w:r>
        <w:rPr>
          <w:sz w:val="20"/>
        </w:rPr>
        <w:t>conco</w:t>
      </w:r>
      <w:r>
        <w:rPr>
          <w:sz w:val="20"/>
        </w:rPr>
        <w:t>rdantes</w:t>
      </w:r>
      <w:r>
        <w:rPr>
          <w:spacing w:val="22"/>
          <w:sz w:val="20"/>
        </w:rPr>
        <w:t xml:space="preserve"> </w:t>
      </w:r>
      <w:r>
        <w:rPr>
          <w:sz w:val="20"/>
        </w:rPr>
        <w:t>o</w:t>
      </w:r>
      <w:r>
        <w:rPr>
          <w:spacing w:val="22"/>
          <w:sz w:val="20"/>
        </w:rPr>
        <w:t xml:space="preserve"> </w:t>
      </w:r>
      <w:r>
        <w:rPr>
          <w:sz w:val="20"/>
        </w:rPr>
        <w:t>en</w:t>
      </w:r>
      <w:r>
        <w:rPr>
          <w:spacing w:val="22"/>
          <w:sz w:val="20"/>
        </w:rPr>
        <w:t xml:space="preserve"> </w:t>
      </w:r>
      <w:r>
        <w:rPr>
          <w:sz w:val="20"/>
        </w:rPr>
        <w:t>armonía</w:t>
      </w:r>
      <w:r>
        <w:rPr>
          <w:spacing w:val="21"/>
          <w:sz w:val="20"/>
        </w:rPr>
        <w:t xml:space="preserve"> </w:t>
      </w:r>
      <w:r>
        <w:rPr>
          <w:sz w:val="20"/>
        </w:rPr>
        <w:t>entre</w:t>
      </w:r>
      <w:r>
        <w:rPr>
          <w:spacing w:val="22"/>
          <w:sz w:val="20"/>
        </w:rPr>
        <w:t xml:space="preserve"> </w:t>
      </w:r>
      <w:r>
        <w:rPr>
          <w:sz w:val="20"/>
        </w:rPr>
        <w:t>sí,</w:t>
      </w:r>
      <w:r>
        <w:rPr>
          <w:spacing w:val="23"/>
          <w:sz w:val="20"/>
        </w:rPr>
        <w:t xml:space="preserve"> </w:t>
      </w:r>
      <w:r>
        <w:rPr>
          <w:sz w:val="20"/>
        </w:rPr>
        <w:t>sin</w:t>
      </w:r>
      <w:r>
        <w:rPr>
          <w:spacing w:val="22"/>
          <w:sz w:val="20"/>
        </w:rPr>
        <w:t xml:space="preserve"> </w:t>
      </w:r>
      <w:r>
        <w:rPr>
          <w:sz w:val="20"/>
        </w:rPr>
        <w:t>que</w:t>
      </w:r>
      <w:r>
        <w:rPr>
          <w:spacing w:val="20"/>
          <w:sz w:val="20"/>
        </w:rPr>
        <w:t xml:space="preserve"> </w:t>
      </w:r>
      <w:r>
        <w:rPr>
          <w:sz w:val="20"/>
        </w:rPr>
        <w:t>ninguno</w:t>
      </w:r>
      <w:r>
        <w:rPr>
          <w:spacing w:val="21"/>
          <w:sz w:val="20"/>
        </w:rPr>
        <w:t xml:space="preserve"> </w:t>
      </w:r>
      <w:r>
        <w:rPr>
          <w:sz w:val="20"/>
        </w:rPr>
        <w:t>prevalezca</w:t>
      </w:r>
      <w:r>
        <w:rPr>
          <w:spacing w:val="24"/>
          <w:sz w:val="20"/>
        </w:rPr>
        <w:t xml:space="preserve"> </w:t>
      </w:r>
      <w:r>
        <w:rPr>
          <w:sz w:val="20"/>
        </w:rPr>
        <w:t>sobre</w:t>
      </w:r>
      <w:r>
        <w:rPr>
          <w:spacing w:val="20"/>
          <w:sz w:val="20"/>
        </w:rPr>
        <w:t xml:space="preserve"> </w:t>
      </w:r>
      <w:r>
        <w:rPr>
          <w:sz w:val="20"/>
        </w:rPr>
        <w:t>los</w:t>
      </w:r>
    </w:p>
    <w:p w14:paraId="06DF9E54" w14:textId="77777777" w:rsidR="00467FCA" w:rsidRDefault="001B68EB">
      <w:pPr>
        <w:pStyle w:val="Textoindependiente"/>
        <w:spacing w:before="5"/>
        <w:rPr>
          <w:sz w:val="21"/>
        </w:rPr>
      </w:pPr>
      <w:r>
        <w:pict w14:anchorId="7BFC7E32">
          <v:shape id="_x0000_s1101" style="position:absolute;margin-left:56.75pt;margin-top:15.35pt;width:2in;height:.1pt;z-index:-251560960;mso-wrap-distance-left:0;mso-wrap-distance-right:0;mso-position-horizontal-relative:page" coordorigin="1135,307" coordsize="2880,0" path="m1135,307r2880,e" filled="f" strokeweight=".72pt">
            <v:path arrowok="t"/>
            <w10:wrap type="topAndBottom" anchorx="page"/>
          </v:shape>
        </w:pict>
      </w:r>
    </w:p>
    <w:p w14:paraId="4BC9C113" w14:textId="77777777" w:rsidR="00467FCA" w:rsidRDefault="001B68EB">
      <w:pPr>
        <w:spacing w:before="71"/>
        <w:ind w:left="470"/>
        <w:jc w:val="both"/>
        <w:rPr>
          <w:sz w:val="16"/>
        </w:rPr>
      </w:pPr>
      <w:bookmarkStart w:id="643" w:name="_bookmark564"/>
      <w:bookmarkEnd w:id="643"/>
      <w:r>
        <w:rPr>
          <w:position w:val="6"/>
          <w:sz w:val="10"/>
        </w:rPr>
        <w:t xml:space="preserve">16 </w:t>
      </w:r>
      <w:r>
        <w:rPr>
          <w:sz w:val="16"/>
        </w:rPr>
        <w:t>En adelante, artículo 26.</w:t>
      </w:r>
    </w:p>
    <w:p w14:paraId="1600D776" w14:textId="77777777" w:rsidR="00467FCA" w:rsidRDefault="001B68EB">
      <w:pPr>
        <w:ind w:left="470"/>
        <w:jc w:val="both"/>
        <w:rPr>
          <w:sz w:val="16"/>
        </w:rPr>
      </w:pPr>
      <w:bookmarkStart w:id="644" w:name="_bookmark565"/>
      <w:bookmarkEnd w:id="644"/>
      <w:r>
        <w:rPr>
          <w:position w:val="6"/>
          <w:sz w:val="10"/>
        </w:rPr>
        <w:t xml:space="preserve">17 </w:t>
      </w:r>
      <w:r>
        <w:rPr>
          <w:i/>
          <w:sz w:val="16"/>
        </w:rPr>
        <w:t>Supra</w:t>
      </w:r>
      <w:r>
        <w:rPr>
          <w:sz w:val="16"/>
        </w:rPr>
        <w:t>, Nota N° 8.</w:t>
      </w:r>
    </w:p>
    <w:p w14:paraId="39569060" w14:textId="77777777" w:rsidR="00467FCA" w:rsidRDefault="001B68EB">
      <w:pPr>
        <w:ind w:left="470" w:right="392"/>
        <w:jc w:val="both"/>
        <w:rPr>
          <w:i/>
          <w:sz w:val="16"/>
        </w:rPr>
      </w:pPr>
      <w:bookmarkStart w:id="645" w:name="_bookmark566"/>
      <w:bookmarkEnd w:id="645"/>
      <w:r>
        <w:rPr>
          <w:position w:val="6"/>
          <w:sz w:val="10"/>
        </w:rPr>
        <w:t xml:space="preserve">18 </w:t>
      </w:r>
      <w:r>
        <w:rPr>
          <w:sz w:val="16"/>
        </w:rPr>
        <w:t>Art. 2 de la Convención de Viena: “</w:t>
      </w:r>
      <w:r>
        <w:rPr>
          <w:i/>
          <w:sz w:val="16"/>
        </w:rPr>
        <w:t>Términos empleados. 1. Para los efectos de la presente Convención: a) se entiende por "tratado" un acuerdo internacional celebrado por escrito entre Estados y regido por el derecho internacional, ya conste en un instrumento único o en dos o más instrumento</w:t>
      </w:r>
      <w:r>
        <w:rPr>
          <w:i/>
          <w:sz w:val="16"/>
        </w:rPr>
        <w:t>s conexos y cualquiera que sea su denominación particular”.</w:t>
      </w:r>
    </w:p>
    <w:p w14:paraId="48ED89CB" w14:textId="77777777" w:rsidR="00467FCA" w:rsidRDefault="00467FCA">
      <w:pPr>
        <w:jc w:val="both"/>
        <w:rPr>
          <w:sz w:val="16"/>
        </w:rPr>
        <w:sectPr w:rsidR="00467FCA">
          <w:pgSz w:w="12240" w:h="15840"/>
          <w:pgMar w:top="1340" w:right="1140" w:bottom="1200" w:left="960" w:header="0" w:footer="1002" w:gutter="0"/>
          <w:cols w:space="720"/>
        </w:sectPr>
      </w:pPr>
    </w:p>
    <w:p w14:paraId="5BCBFF32" w14:textId="77777777" w:rsidR="00467FCA" w:rsidRDefault="001B68EB">
      <w:pPr>
        <w:pStyle w:val="Textoindependiente"/>
        <w:spacing w:before="76" w:line="278" w:lineRule="auto"/>
        <w:ind w:left="470" w:right="393"/>
      </w:pPr>
      <w:r>
        <w:t>otros, dicen relación con la buena fe, el tenor literal de los términos del tratado, el contexto de ellos y el objeto y fin de aquél</w:t>
      </w:r>
      <w:hyperlink w:anchor="_bookmark567" w:history="1">
        <w:r>
          <w:rPr>
            <w:position w:val="7"/>
            <w:sz w:val="13"/>
          </w:rPr>
          <w:t>19</w:t>
        </w:r>
      </w:hyperlink>
      <w:r>
        <w:t>.</w:t>
      </w:r>
    </w:p>
    <w:p w14:paraId="3C0A01D2" w14:textId="77777777" w:rsidR="00467FCA" w:rsidRDefault="001B68EB">
      <w:pPr>
        <w:pStyle w:val="Prrafodelista"/>
        <w:numPr>
          <w:ilvl w:val="0"/>
          <w:numId w:val="25"/>
        </w:numPr>
        <w:tabs>
          <w:tab w:val="left" w:pos="1450"/>
        </w:tabs>
        <w:spacing w:line="278" w:lineRule="auto"/>
        <w:ind w:right="399" w:firstLine="0"/>
        <w:jc w:val="both"/>
        <w:rPr>
          <w:sz w:val="20"/>
        </w:rPr>
      </w:pPr>
      <w:r>
        <w:rPr>
          <w:sz w:val="20"/>
        </w:rPr>
        <w:t>De</w:t>
      </w:r>
      <w:r>
        <w:rPr>
          <w:spacing w:val="-7"/>
          <w:sz w:val="20"/>
        </w:rPr>
        <w:t xml:space="preserve"> </w:t>
      </w:r>
      <w:r>
        <w:rPr>
          <w:sz w:val="20"/>
        </w:rPr>
        <w:t>lo</w:t>
      </w:r>
      <w:r>
        <w:rPr>
          <w:spacing w:val="-7"/>
          <w:sz w:val="20"/>
        </w:rPr>
        <w:t xml:space="preserve"> </w:t>
      </w:r>
      <w:r>
        <w:rPr>
          <w:sz w:val="20"/>
        </w:rPr>
        <w:t>que</w:t>
      </w:r>
      <w:r>
        <w:rPr>
          <w:spacing w:val="-5"/>
          <w:sz w:val="20"/>
        </w:rPr>
        <w:t xml:space="preserve"> </w:t>
      </w:r>
      <w:r>
        <w:rPr>
          <w:sz w:val="20"/>
        </w:rPr>
        <w:t>se</w:t>
      </w:r>
      <w:r>
        <w:rPr>
          <w:spacing w:val="-7"/>
          <w:sz w:val="20"/>
        </w:rPr>
        <w:t xml:space="preserve"> </w:t>
      </w:r>
      <w:r>
        <w:rPr>
          <w:sz w:val="20"/>
        </w:rPr>
        <w:t>trata,</w:t>
      </w:r>
      <w:r>
        <w:rPr>
          <w:spacing w:val="-4"/>
          <w:sz w:val="20"/>
        </w:rPr>
        <w:t xml:space="preserve"> </w:t>
      </w:r>
      <w:r>
        <w:rPr>
          <w:sz w:val="20"/>
        </w:rPr>
        <w:t>entonces,</w:t>
      </w:r>
      <w:r>
        <w:rPr>
          <w:spacing w:val="-6"/>
          <w:sz w:val="20"/>
        </w:rPr>
        <w:t xml:space="preserve"> </w:t>
      </w:r>
      <w:r>
        <w:rPr>
          <w:sz w:val="20"/>
        </w:rPr>
        <w:t>es</w:t>
      </w:r>
      <w:r>
        <w:rPr>
          <w:spacing w:val="-6"/>
          <w:sz w:val="20"/>
        </w:rPr>
        <w:t xml:space="preserve"> </w:t>
      </w:r>
      <w:r>
        <w:rPr>
          <w:sz w:val="20"/>
        </w:rPr>
        <w:t>interpretar,</w:t>
      </w:r>
      <w:r>
        <w:rPr>
          <w:spacing w:val="-6"/>
          <w:sz w:val="20"/>
        </w:rPr>
        <w:t xml:space="preserve"> </w:t>
      </w:r>
      <w:r>
        <w:rPr>
          <w:sz w:val="20"/>
        </w:rPr>
        <w:t>según</w:t>
      </w:r>
      <w:r>
        <w:rPr>
          <w:spacing w:val="-4"/>
          <w:sz w:val="20"/>
        </w:rPr>
        <w:t xml:space="preserve"> </w:t>
      </w:r>
      <w:r>
        <w:rPr>
          <w:sz w:val="20"/>
        </w:rPr>
        <w:t>esos</w:t>
      </w:r>
      <w:r>
        <w:rPr>
          <w:spacing w:val="-6"/>
          <w:sz w:val="20"/>
        </w:rPr>
        <w:t xml:space="preserve"> </w:t>
      </w:r>
      <w:r>
        <w:rPr>
          <w:sz w:val="20"/>
        </w:rPr>
        <w:t>métodos,</w:t>
      </w:r>
      <w:r>
        <w:rPr>
          <w:spacing w:val="-6"/>
          <w:sz w:val="20"/>
        </w:rPr>
        <w:t xml:space="preserve"> </w:t>
      </w:r>
      <w:r>
        <w:rPr>
          <w:sz w:val="20"/>
        </w:rPr>
        <w:t>el</w:t>
      </w:r>
      <w:r>
        <w:rPr>
          <w:spacing w:val="-5"/>
          <w:sz w:val="20"/>
        </w:rPr>
        <w:t xml:space="preserve"> </w:t>
      </w:r>
      <w:r>
        <w:rPr>
          <w:sz w:val="20"/>
        </w:rPr>
        <w:t>artículo</w:t>
      </w:r>
      <w:r>
        <w:rPr>
          <w:spacing w:val="-7"/>
          <w:sz w:val="20"/>
        </w:rPr>
        <w:t xml:space="preserve"> </w:t>
      </w:r>
      <w:r>
        <w:rPr>
          <w:sz w:val="20"/>
        </w:rPr>
        <w:t>26,</w:t>
      </w:r>
      <w:r>
        <w:rPr>
          <w:spacing w:val="-6"/>
          <w:sz w:val="20"/>
        </w:rPr>
        <w:t xml:space="preserve"> </w:t>
      </w:r>
      <w:r>
        <w:rPr>
          <w:sz w:val="20"/>
        </w:rPr>
        <w:t>el que</w:t>
      </w:r>
      <w:r>
        <w:rPr>
          <w:spacing w:val="-3"/>
          <w:sz w:val="20"/>
        </w:rPr>
        <w:t xml:space="preserve"> </w:t>
      </w:r>
      <w:r>
        <w:rPr>
          <w:sz w:val="20"/>
        </w:rPr>
        <w:t>establece:</w:t>
      </w:r>
    </w:p>
    <w:p w14:paraId="66F4BB44" w14:textId="77777777" w:rsidR="00467FCA" w:rsidRDefault="00467FCA">
      <w:pPr>
        <w:pStyle w:val="Textoindependiente"/>
        <w:spacing w:before="3"/>
        <w:rPr>
          <w:sz w:val="22"/>
        </w:rPr>
      </w:pPr>
    </w:p>
    <w:p w14:paraId="55C101B5" w14:textId="77777777" w:rsidR="00467FCA" w:rsidRDefault="001B68EB">
      <w:pPr>
        <w:spacing w:line="276" w:lineRule="auto"/>
        <w:ind w:left="1461" w:right="393"/>
        <w:jc w:val="both"/>
        <w:rPr>
          <w:i/>
          <w:sz w:val="18"/>
        </w:rPr>
      </w:pPr>
      <w:r>
        <w:rPr>
          <w:i/>
          <w:sz w:val="18"/>
        </w:rPr>
        <w:t>“Desarrollo</w:t>
      </w:r>
      <w:r>
        <w:rPr>
          <w:i/>
          <w:spacing w:val="-6"/>
          <w:sz w:val="18"/>
        </w:rPr>
        <w:t xml:space="preserve"> </w:t>
      </w:r>
      <w:r>
        <w:rPr>
          <w:i/>
          <w:sz w:val="18"/>
        </w:rPr>
        <w:t>Progresivo.</w:t>
      </w:r>
      <w:r>
        <w:rPr>
          <w:i/>
          <w:spacing w:val="-7"/>
          <w:sz w:val="18"/>
        </w:rPr>
        <w:t xml:space="preserve"> </w:t>
      </w:r>
      <w:r>
        <w:rPr>
          <w:i/>
          <w:sz w:val="18"/>
        </w:rPr>
        <w:t>Los</w:t>
      </w:r>
      <w:r>
        <w:rPr>
          <w:i/>
          <w:spacing w:val="-9"/>
          <w:sz w:val="18"/>
        </w:rPr>
        <w:t xml:space="preserve"> </w:t>
      </w:r>
      <w:r>
        <w:rPr>
          <w:i/>
          <w:sz w:val="18"/>
        </w:rPr>
        <w:t>Estados</w:t>
      </w:r>
      <w:r>
        <w:rPr>
          <w:i/>
          <w:spacing w:val="-7"/>
          <w:sz w:val="18"/>
        </w:rPr>
        <w:t xml:space="preserve"> </w:t>
      </w:r>
      <w:r>
        <w:rPr>
          <w:i/>
          <w:sz w:val="18"/>
        </w:rPr>
        <w:t>Partes</w:t>
      </w:r>
      <w:r>
        <w:rPr>
          <w:i/>
          <w:spacing w:val="-6"/>
          <w:sz w:val="18"/>
        </w:rPr>
        <w:t xml:space="preserve"> </w:t>
      </w:r>
      <w:r>
        <w:rPr>
          <w:i/>
          <w:sz w:val="18"/>
        </w:rPr>
        <w:t>se</w:t>
      </w:r>
      <w:r>
        <w:rPr>
          <w:i/>
          <w:spacing w:val="-8"/>
          <w:sz w:val="18"/>
        </w:rPr>
        <w:t xml:space="preserve"> </w:t>
      </w:r>
      <w:r>
        <w:rPr>
          <w:i/>
          <w:sz w:val="18"/>
        </w:rPr>
        <w:t>comprometen</w:t>
      </w:r>
      <w:r>
        <w:rPr>
          <w:i/>
          <w:spacing w:val="-5"/>
          <w:sz w:val="18"/>
        </w:rPr>
        <w:t xml:space="preserve"> </w:t>
      </w:r>
      <w:r>
        <w:rPr>
          <w:i/>
          <w:sz w:val="18"/>
        </w:rPr>
        <w:t>a</w:t>
      </w:r>
      <w:r>
        <w:rPr>
          <w:i/>
          <w:spacing w:val="-7"/>
          <w:sz w:val="18"/>
        </w:rPr>
        <w:t xml:space="preserve"> </w:t>
      </w:r>
      <w:r>
        <w:rPr>
          <w:i/>
          <w:sz w:val="18"/>
        </w:rPr>
        <w:t>adoptar</w:t>
      </w:r>
      <w:r>
        <w:rPr>
          <w:i/>
          <w:spacing w:val="-7"/>
          <w:sz w:val="18"/>
        </w:rPr>
        <w:t xml:space="preserve"> </w:t>
      </w:r>
      <w:r>
        <w:rPr>
          <w:i/>
          <w:sz w:val="18"/>
        </w:rPr>
        <w:t>providencias,</w:t>
      </w:r>
      <w:r>
        <w:rPr>
          <w:i/>
          <w:spacing w:val="-7"/>
          <w:sz w:val="18"/>
        </w:rPr>
        <w:t xml:space="preserve"> </w:t>
      </w:r>
      <w:r>
        <w:rPr>
          <w:i/>
          <w:sz w:val="18"/>
        </w:rPr>
        <w:t>tanto</w:t>
      </w:r>
      <w:r>
        <w:rPr>
          <w:i/>
          <w:spacing w:val="-5"/>
          <w:sz w:val="18"/>
        </w:rPr>
        <w:t xml:space="preserve"> </w:t>
      </w:r>
      <w:r>
        <w:rPr>
          <w:i/>
          <w:sz w:val="18"/>
        </w:rPr>
        <w:t xml:space="preserve">a </w:t>
      </w:r>
      <w:r>
        <w:rPr>
          <w:i/>
          <w:sz w:val="18"/>
        </w:rPr>
        <w:t>nivel interno como mediante la cooperación internacional, especialmente económica y técnica,</w:t>
      </w:r>
      <w:r>
        <w:rPr>
          <w:i/>
          <w:spacing w:val="-9"/>
          <w:sz w:val="18"/>
        </w:rPr>
        <w:t xml:space="preserve"> </w:t>
      </w:r>
      <w:r>
        <w:rPr>
          <w:i/>
          <w:sz w:val="18"/>
        </w:rPr>
        <w:t>para</w:t>
      </w:r>
      <w:r>
        <w:rPr>
          <w:i/>
          <w:spacing w:val="-7"/>
          <w:sz w:val="18"/>
        </w:rPr>
        <w:t xml:space="preserve"> </w:t>
      </w:r>
      <w:r>
        <w:rPr>
          <w:i/>
          <w:sz w:val="18"/>
        </w:rPr>
        <w:t>lograr</w:t>
      </w:r>
      <w:r>
        <w:rPr>
          <w:i/>
          <w:spacing w:val="-7"/>
          <w:sz w:val="18"/>
        </w:rPr>
        <w:t xml:space="preserve"> </w:t>
      </w:r>
      <w:r>
        <w:rPr>
          <w:i/>
          <w:sz w:val="18"/>
        </w:rPr>
        <w:t>progresivamente</w:t>
      </w:r>
      <w:r>
        <w:rPr>
          <w:i/>
          <w:spacing w:val="-6"/>
          <w:sz w:val="18"/>
        </w:rPr>
        <w:t xml:space="preserve"> </w:t>
      </w:r>
      <w:r>
        <w:rPr>
          <w:i/>
          <w:sz w:val="18"/>
        </w:rPr>
        <w:t>la</w:t>
      </w:r>
      <w:r>
        <w:rPr>
          <w:i/>
          <w:spacing w:val="-7"/>
          <w:sz w:val="18"/>
        </w:rPr>
        <w:t xml:space="preserve"> </w:t>
      </w:r>
      <w:r>
        <w:rPr>
          <w:i/>
          <w:sz w:val="18"/>
        </w:rPr>
        <w:t>plena</w:t>
      </w:r>
      <w:r>
        <w:rPr>
          <w:i/>
          <w:spacing w:val="-7"/>
          <w:sz w:val="18"/>
        </w:rPr>
        <w:t xml:space="preserve"> </w:t>
      </w:r>
      <w:r>
        <w:rPr>
          <w:i/>
          <w:sz w:val="18"/>
        </w:rPr>
        <w:t>efectividad</w:t>
      </w:r>
      <w:r>
        <w:rPr>
          <w:i/>
          <w:spacing w:val="-6"/>
          <w:sz w:val="18"/>
        </w:rPr>
        <w:t xml:space="preserve"> </w:t>
      </w:r>
      <w:r>
        <w:rPr>
          <w:i/>
          <w:sz w:val="18"/>
        </w:rPr>
        <w:t>de</w:t>
      </w:r>
      <w:r>
        <w:rPr>
          <w:i/>
          <w:spacing w:val="-6"/>
          <w:sz w:val="18"/>
        </w:rPr>
        <w:t xml:space="preserve"> </w:t>
      </w:r>
      <w:r>
        <w:rPr>
          <w:i/>
          <w:sz w:val="18"/>
        </w:rPr>
        <w:t>los</w:t>
      </w:r>
      <w:r>
        <w:rPr>
          <w:i/>
          <w:spacing w:val="-7"/>
          <w:sz w:val="18"/>
        </w:rPr>
        <w:t xml:space="preserve"> </w:t>
      </w:r>
      <w:r>
        <w:rPr>
          <w:i/>
          <w:sz w:val="18"/>
        </w:rPr>
        <w:t>derechos</w:t>
      </w:r>
      <w:r>
        <w:rPr>
          <w:i/>
          <w:spacing w:val="-7"/>
          <w:sz w:val="18"/>
        </w:rPr>
        <w:t xml:space="preserve"> </w:t>
      </w:r>
      <w:r>
        <w:rPr>
          <w:i/>
          <w:sz w:val="18"/>
        </w:rPr>
        <w:t>que</w:t>
      </w:r>
      <w:r>
        <w:rPr>
          <w:i/>
          <w:spacing w:val="-6"/>
          <w:sz w:val="18"/>
        </w:rPr>
        <w:t xml:space="preserve"> </w:t>
      </w:r>
      <w:r>
        <w:rPr>
          <w:i/>
          <w:sz w:val="18"/>
        </w:rPr>
        <w:t>se</w:t>
      </w:r>
      <w:r>
        <w:rPr>
          <w:i/>
          <w:spacing w:val="-7"/>
          <w:sz w:val="18"/>
        </w:rPr>
        <w:t xml:space="preserve"> </w:t>
      </w:r>
      <w:r>
        <w:rPr>
          <w:i/>
          <w:sz w:val="18"/>
        </w:rPr>
        <w:t>derivan</w:t>
      </w:r>
      <w:r>
        <w:rPr>
          <w:i/>
          <w:spacing w:val="-6"/>
          <w:sz w:val="18"/>
        </w:rPr>
        <w:t xml:space="preserve"> </w:t>
      </w:r>
      <w:r>
        <w:rPr>
          <w:i/>
          <w:sz w:val="18"/>
        </w:rPr>
        <w:t>de las</w:t>
      </w:r>
      <w:r>
        <w:rPr>
          <w:i/>
          <w:spacing w:val="-13"/>
          <w:sz w:val="18"/>
        </w:rPr>
        <w:t xml:space="preserve"> </w:t>
      </w:r>
      <w:r>
        <w:rPr>
          <w:i/>
          <w:sz w:val="18"/>
        </w:rPr>
        <w:t>normas</w:t>
      </w:r>
      <w:r>
        <w:rPr>
          <w:i/>
          <w:spacing w:val="-12"/>
          <w:sz w:val="18"/>
        </w:rPr>
        <w:t xml:space="preserve"> </w:t>
      </w:r>
      <w:r>
        <w:rPr>
          <w:i/>
          <w:sz w:val="18"/>
        </w:rPr>
        <w:t>económicas,</w:t>
      </w:r>
      <w:r>
        <w:rPr>
          <w:i/>
          <w:spacing w:val="-13"/>
          <w:sz w:val="18"/>
        </w:rPr>
        <w:t xml:space="preserve"> </w:t>
      </w:r>
      <w:r>
        <w:rPr>
          <w:i/>
          <w:sz w:val="18"/>
        </w:rPr>
        <w:t>sociales</w:t>
      </w:r>
      <w:r>
        <w:rPr>
          <w:i/>
          <w:spacing w:val="-12"/>
          <w:sz w:val="18"/>
        </w:rPr>
        <w:t xml:space="preserve"> </w:t>
      </w:r>
      <w:r>
        <w:rPr>
          <w:i/>
          <w:sz w:val="18"/>
        </w:rPr>
        <w:t>y</w:t>
      </w:r>
      <w:r>
        <w:rPr>
          <w:i/>
          <w:spacing w:val="-13"/>
          <w:sz w:val="18"/>
        </w:rPr>
        <w:t xml:space="preserve"> </w:t>
      </w:r>
      <w:r>
        <w:rPr>
          <w:i/>
          <w:sz w:val="18"/>
        </w:rPr>
        <w:t>sobre</w:t>
      </w:r>
      <w:r>
        <w:rPr>
          <w:i/>
          <w:spacing w:val="-11"/>
          <w:sz w:val="18"/>
        </w:rPr>
        <w:t xml:space="preserve"> </w:t>
      </w:r>
      <w:r>
        <w:rPr>
          <w:i/>
          <w:sz w:val="18"/>
        </w:rPr>
        <w:t>educación,</w:t>
      </w:r>
      <w:r>
        <w:rPr>
          <w:i/>
          <w:spacing w:val="-13"/>
          <w:sz w:val="18"/>
        </w:rPr>
        <w:t xml:space="preserve"> </w:t>
      </w:r>
      <w:r>
        <w:rPr>
          <w:i/>
          <w:sz w:val="18"/>
        </w:rPr>
        <w:t>ciencia</w:t>
      </w:r>
      <w:r>
        <w:rPr>
          <w:i/>
          <w:spacing w:val="-12"/>
          <w:sz w:val="18"/>
        </w:rPr>
        <w:t xml:space="preserve"> </w:t>
      </w:r>
      <w:r>
        <w:rPr>
          <w:i/>
          <w:sz w:val="18"/>
        </w:rPr>
        <w:t>y</w:t>
      </w:r>
      <w:r>
        <w:rPr>
          <w:i/>
          <w:spacing w:val="-13"/>
          <w:sz w:val="18"/>
        </w:rPr>
        <w:t xml:space="preserve"> </w:t>
      </w:r>
      <w:r>
        <w:rPr>
          <w:i/>
          <w:sz w:val="18"/>
        </w:rPr>
        <w:t>cultura,</w:t>
      </w:r>
      <w:r>
        <w:rPr>
          <w:i/>
          <w:spacing w:val="-13"/>
          <w:sz w:val="18"/>
        </w:rPr>
        <w:t xml:space="preserve"> </w:t>
      </w:r>
      <w:r>
        <w:rPr>
          <w:i/>
          <w:sz w:val="18"/>
        </w:rPr>
        <w:t>contenidas</w:t>
      </w:r>
      <w:r>
        <w:rPr>
          <w:i/>
          <w:spacing w:val="-14"/>
          <w:sz w:val="18"/>
        </w:rPr>
        <w:t xml:space="preserve"> </w:t>
      </w:r>
      <w:r>
        <w:rPr>
          <w:i/>
          <w:sz w:val="18"/>
        </w:rPr>
        <w:t>en</w:t>
      </w:r>
      <w:r>
        <w:rPr>
          <w:i/>
          <w:spacing w:val="-11"/>
          <w:sz w:val="18"/>
        </w:rPr>
        <w:t xml:space="preserve"> </w:t>
      </w:r>
      <w:r>
        <w:rPr>
          <w:i/>
          <w:sz w:val="18"/>
        </w:rPr>
        <w:t>la</w:t>
      </w:r>
      <w:r>
        <w:rPr>
          <w:i/>
          <w:spacing w:val="-13"/>
          <w:sz w:val="18"/>
        </w:rPr>
        <w:t xml:space="preserve"> </w:t>
      </w:r>
      <w:r>
        <w:rPr>
          <w:i/>
          <w:sz w:val="18"/>
        </w:rPr>
        <w:t>Carta de la Organización de los Estados Americanos, reformada por el Protocolo de Buenos</w:t>
      </w:r>
      <w:r>
        <w:rPr>
          <w:i/>
          <w:spacing w:val="-40"/>
          <w:sz w:val="18"/>
        </w:rPr>
        <w:t xml:space="preserve"> </w:t>
      </w:r>
      <w:r>
        <w:rPr>
          <w:i/>
          <w:sz w:val="18"/>
        </w:rPr>
        <w:t>Aires, en la medida de los recursos disponibles, por vía legislativa u otros medios</w:t>
      </w:r>
      <w:r>
        <w:rPr>
          <w:i/>
          <w:spacing w:val="-29"/>
          <w:sz w:val="18"/>
        </w:rPr>
        <w:t xml:space="preserve"> </w:t>
      </w:r>
      <w:r>
        <w:rPr>
          <w:i/>
          <w:sz w:val="18"/>
        </w:rPr>
        <w:t>apropiados.”</w:t>
      </w:r>
    </w:p>
    <w:p w14:paraId="686B6D12" w14:textId="77777777" w:rsidR="00467FCA" w:rsidRDefault="00467FCA">
      <w:pPr>
        <w:pStyle w:val="Textoindependiente"/>
        <w:rPr>
          <w:i/>
          <w:sz w:val="23"/>
        </w:rPr>
      </w:pPr>
    </w:p>
    <w:p w14:paraId="7C443017" w14:textId="77777777" w:rsidR="00467FCA" w:rsidRDefault="001B68EB">
      <w:pPr>
        <w:pStyle w:val="Ttulo1"/>
        <w:numPr>
          <w:ilvl w:val="0"/>
          <w:numId w:val="23"/>
        </w:numPr>
        <w:tabs>
          <w:tab w:val="left" w:pos="742"/>
        </w:tabs>
        <w:jc w:val="both"/>
      </w:pPr>
      <w:r>
        <w:t>Buena</w:t>
      </w:r>
      <w:r>
        <w:rPr>
          <w:spacing w:val="-1"/>
        </w:rPr>
        <w:t xml:space="preserve"> </w:t>
      </w:r>
      <w:r>
        <w:t>fe.</w:t>
      </w:r>
    </w:p>
    <w:p w14:paraId="5EF5D96A" w14:textId="77777777" w:rsidR="00467FCA" w:rsidRDefault="00467FCA">
      <w:pPr>
        <w:pStyle w:val="Textoindependiente"/>
        <w:rPr>
          <w:b/>
          <w:sz w:val="26"/>
        </w:rPr>
      </w:pPr>
    </w:p>
    <w:p w14:paraId="18A2A97A" w14:textId="77777777" w:rsidR="00467FCA" w:rsidRDefault="001B68EB">
      <w:pPr>
        <w:pStyle w:val="Prrafodelista"/>
        <w:numPr>
          <w:ilvl w:val="0"/>
          <w:numId w:val="25"/>
        </w:numPr>
        <w:tabs>
          <w:tab w:val="left" w:pos="1450"/>
        </w:tabs>
        <w:spacing w:before="1" w:line="276" w:lineRule="auto"/>
        <w:ind w:right="398" w:firstLine="0"/>
        <w:jc w:val="both"/>
        <w:rPr>
          <w:sz w:val="20"/>
        </w:rPr>
      </w:pPr>
      <w:r>
        <w:rPr>
          <w:sz w:val="20"/>
        </w:rPr>
        <w:t>El</w:t>
      </w:r>
      <w:r>
        <w:rPr>
          <w:spacing w:val="-5"/>
          <w:sz w:val="20"/>
        </w:rPr>
        <w:t xml:space="preserve"> </w:t>
      </w:r>
      <w:r>
        <w:rPr>
          <w:sz w:val="20"/>
        </w:rPr>
        <w:t>método</w:t>
      </w:r>
      <w:r>
        <w:rPr>
          <w:spacing w:val="-6"/>
          <w:sz w:val="20"/>
        </w:rPr>
        <w:t xml:space="preserve"> </w:t>
      </w:r>
      <w:r>
        <w:rPr>
          <w:sz w:val="20"/>
        </w:rPr>
        <w:t>sustentado</w:t>
      </w:r>
      <w:r>
        <w:rPr>
          <w:spacing w:val="-4"/>
          <w:sz w:val="20"/>
        </w:rPr>
        <w:t xml:space="preserve"> </w:t>
      </w:r>
      <w:r>
        <w:rPr>
          <w:sz w:val="20"/>
        </w:rPr>
        <w:t>en</w:t>
      </w:r>
      <w:r>
        <w:rPr>
          <w:spacing w:val="-3"/>
          <w:sz w:val="20"/>
        </w:rPr>
        <w:t xml:space="preserve"> </w:t>
      </w:r>
      <w:r>
        <w:rPr>
          <w:sz w:val="20"/>
        </w:rPr>
        <w:t>la</w:t>
      </w:r>
      <w:r>
        <w:rPr>
          <w:spacing w:val="-5"/>
          <w:sz w:val="20"/>
        </w:rPr>
        <w:t xml:space="preserve"> </w:t>
      </w:r>
      <w:r>
        <w:rPr>
          <w:sz w:val="20"/>
        </w:rPr>
        <w:t>buena</w:t>
      </w:r>
      <w:r>
        <w:rPr>
          <w:spacing w:val="-4"/>
          <w:sz w:val="20"/>
        </w:rPr>
        <w:t xml:space="preserve"> </w:t>
      </w:r>
      <w:r>
        <w:rPr>
          <w:sz w:val="20"/>
        </w:rPr>
        <w:t>fe</w:t>
      </w:r>
      <w:r>
        <w:rPr>
          <w:spacing w:val="-7"/>
          <w:sz w:val="20"/>
        </w:rPr>
        <w:t xml:space="preserve"> </w:t>
      </w:r>
      <w:r>
        <w:rPr>
          <w:sz w:val="20"/>
        </w:rPr>
        <w:t>implica</w:t>
      </w:r>
      <w:r>
        <w:rPr>
          <w:spacing w:val="-4"/>
          <w:sz w:val="20"/>
        </w:rPr>
        <w:t xml:space="preserve"> </w:t>
      </w:r>
      <w:r>
        <w:rPr>
          <w:sz w:val="20"/>
        </w:rPr>
        <w:t>que</w:t>
      </w:r>
      <w:r>
        <w:rPr>
          <w:spacing w:val="-7"/>
          <w:sz w:val="20"/>
        </w:rPr>
        <w:t xml:space="preserve"> </w:t>
      </w:r>
      <w:r>
        <w:rPr>
          <w:sz w:val="20"/>
        </w:rPr>
        <w:t>lo</w:t>
      </w:r>
      <w:r>
        <w:rPr>
          <w:spacing w:val="-3"/>
          <w:sz w:val="20"/>
        </w:rPr>
        <w:t xml:space="preserve"> </w:t>
      </w:r>
      <w:r>
        <w:rPr>
          <w:sz w:val="20"/>
        </w:rPr>
        <w:t>pactado</w:t>
      </w:r>
      <w:r>
        <w:rPr>
          <w:spacing w:val="-4"/>
          <w:sz w:val="20"/>
        </w:rPr>
        <w:t xml:space="preserve"> </w:t>
      </w:r>
      <w:r>
        <w:rPr>
          <w:sz w:val="20"/>
        </w:rPr>
        <w:t>por</w:t>
      </w:r>
      <w:r>
        <w:rPr>
          <w:spacing w:val="-6"/>
          <w:sz w:val="20"/>
        </w:rPr>
        <w:t xml:space="preserve"> </w:t>
      </w:r>
      <w:r>
        <w:rPr>
          <w:sz w:val="20"/>
        </w:rPr>
        <w:t>los</w:t>
      </w:r>
      <w:r>
        <w:rPr>
          <w:spacing w:val="-6"/>
          <w:sz w:val="20"/>
        </w:rPr>
        <w:t xml:space="preserve"> </w:t>
      </w:r>
      <w:r>
        <w:rPr>
          <w:sz w:val="20"/>
        </w:rPr>
        <w:t>Estados</w:t>
      </w:r>
      <w:r>
        <w:rPr>
          <w:spacing w:val="-3"/>
          <w:sz w:val="20"/>
        </w:rPr>
        <w:t xml:space="preserve"> </w:t>
      </w:r>
      <w:r>
        <w:rPr>
          <w:sz w:val="20"/>
        </w:rPr>
        <w:t xml:space="preserve">Partes del tratado de que se trate debe entenderse a partir de que efectivamente ellos tuvieron la voluntad de concordarlo, de suerte de que realmente se aplicara o tuviera un efecto útil. En este sentido, la buena fe se vincula </w:t>
      </w:r>
      <w:r>
        <w:rPr>
          <w:sz w:val="20"/>
        </w:rPr>
        <w:t>estrechamente al principio “</w:t>
      </w:r>
      <w:r>
        <w:rPr>
          <w:i/>
          <w:sz w:val="20"/>
        </w:rPr>
        <w:t>pacta sunt servanda</w:t>
      </w:r>
      <w:r>
        <w:rPr>
          <w:sz w:val="20"/>
        </w:rPr>
        <w:t>” contemplado en el artículo 26 de la Convención de</w:t>
      </w:r>
      <w:r>
        <w:rPr>
          <w:spacing w:val="-11"/>
          <w:sz w:val="20"/>
        </w:rPr>
        <w:t xml:space="preserve"> </w:t>
      </w:r>
      <w:r>
        <w:rPr>
          <w:sz w:val="20"/>
        </w:rPr>
        <w:t>Viena</w:t>
      </w:r>
      <w:hyperlink w:anchor="_bookmark568" w:history="1">
        <w:r>
          <w:rPr>
            <w:position w:val="7"/>
            <w:sz w:val="13"/>
          </w:rPr>
          <w:t>20</w:t>
        </w:r>
      </w:hyperlink>
      <w:r>
        <w:rPr>
          <w:sz w:val="20"/>
        </w:rPr>
        <w:t>.</w:t>
      </w:r>
    </w:p>
    <w:p w14:paraId="334C6B5D" w14:textId="77777777" w:rsidR="00467FCA" w:rsidRDefault="00467FCA">
      <w:pPr>
        <w:pStyle w:val="Textoindependiente"/>
        <w:rPr>
          <w:sz w:val="23"/>
        </w:rPr>
      </w:pPr>
    </w:p>
    <w:p w14:paraId="15BF918D" w14:textId="77777777" w:rsidR="00467FCA" w:rsidRDefault="001B68EB">
      <w:pPr>
        <w:pStyle w:val="Prrafodelista"/>
        <w:numPr>
          <w:ilvl w:val="0"/>
          <w:numId w:val="25"/>
        </w:numPr>
        <w:tabs>
          <w:tab w:val="left" w:pos="1450"/>
        </w:tabs>
        <w:spacing w:line="276" w:lineRule="auto"/>
        <w:ind w:right="394" w:firstLine="0"/>
        <w:jc w:val="both"/>
        <w:rPr>
          <w:sz w:val="20"/>
        </w:rPr>
      </w:pPr>
      <w:r>
        <w:rPr>
          <w:sz w:val="20"/>
        </w:rPr>
        <w:t>En esta perspectiva, es más que evidente que el efecto útil de esa norma es que los Estados Partes de la Convención</w:t>
      </w:r>
      <w:r>
        <w:rPr>
          <w:sz w:val="20"/>
        </w:rPr>
        <w:t xml:space="preserve"> realmente adopten las providencias en vista de lograr progresivamente la plena efectividad de los derechos que se derivan de las normas de la OEA, y todo ello según los recursos disponibles</w:t>
      </w:r>
      <w:r>
        <w:rPr>
          <w:i/>
          <w:sz w:val="20"/>
        </w:rPr>
        <w:t xml:space="preserve">. </w:t>
      </w:r>
      <w:r>
        <w:rPr>
          <w:sz w:val="20"/>
        </w:rPr>
        <w:t>La obligación de los Estados prevista en el artículo</w:t>
      </w:r>
      <w:r>
        <w:rPr>
          <w:spacing w:val="-14"/>
          <w:sz w:val="20"/>
        </w:rPr>
        <w:t xml:space="preserve"> </w:t>
      </w:r>
      <w:r>
        <w:rPr>
          <w:sz w:val="20"/>
        </w:rPr>
        <w:t>26</w:t>
      </w:r>
      <w:r>
        <w:rPr>
          <w:spacing w:val="-7"/>
          <w:sz w:val="20"/>
        </w:rPr>
        <w:t xml:space="preserve"> </w:t>
      </w:r>
      <w:r>
        <w:rPr>
          <w:sz w:val="20"/>
        </w:rPr>
        <w:t>es,</w:t>
      </w:r>
      <w:r>
        <w:rPr>
          <w:spacing w:val="-11"/>
          <w:sz w:val="20"/>
        </w:rPr>
        <w:t xml:space="preserve"> </w:t>
      </w:r>
      <w:r>
        <w:rPr>
          <w:sz w:val="20"/>
        </w:rPr>
        <w:t>ento</w:t>
      </w:r>
      <w:r>
        <w:rPr>
          <w:sz w:val="20"/>
        </w:rPr>
        <w:t>nces,</w:t>
      </w:r>
      <w:r>
        <w:rPr>
          <w:spacing w:val="-11"/>
          <w:sz w:val="20"/>
        </w:rPr>
        <w:t xml:space="preserve"> </w:t>
      </w:r>
      <w:r>
        <w:rPr>
          <w:sz w:val="20"/>
        </w:rPr>
        <w:t>la</w:t>
      </w:r>
      <w:r>
        <w:rPr>
          <w:spacing w:val="-12"/>
          <w:sz w:val="20"/>
        </w:rPr>
        <w:t xml:space="preserve"> </w:t>
      </w:r>
      <w:r>
        <w:rPr>
          <w:sz w:val="20"/>
        </w:rPr>
        <w:t>de</w:t>
      </w:r>
      <w:r>
        <w:rPr>
          <w:spacing w:val="-11"/>
          <w:sz w:val="20"/>
        </w:rPr>
        <w:t xml:space="preserve"> </w:t>
      </w:r>
      <w:r>
        <w:rPr>
          <w:sz w:val="20"/>
        </w:rPr>
        <w:t>adoptar</w:t>
      </w:r>
      <w:r>
        <w:rPr>
          <w:spacing w:val="-14"/>
          <w:sz w:val="20"/>
        </w:rPr>
        <w:t xml:space="preserve"> </w:t>
      </w:r>
      <w:r>
        <w:rPr>
          <w:sz w:val="20"/>
        </w:rPr>
        <w:t>las</w:t>
      </w:r>
      <w:r>
        <w:rPr>
          <w:spacing w:val="-13"/>
          <w:sz w:val="20"/>
        </w:rPr>
        <w:t xml:space="preserve"> </w:t>
      </w:r>
      <w:r>
        <w:rPr>
          <w:sz w:val="20"/>
        </w:rPr>
        <w:t>medidas</w:t>
      </w:r>
      <w:r>
        <w:rPr>
          <w:spacing w:val="-12"/>
          <w:sz w:val="20"/>
        </w:rPr>
        <w:t xml:space="preserve"> </w:t>
      </w:r>
      <w:r>
        <w:rPr>
          <w:sz w:val="20"/>
        </w:rPr>
        <w:t>para</w:t>
      </w:r>
      <w:r>
        <w:rPr>
          <w:spacing w:val="-12"/>
          <w:sz w:val="20"/>
        </w:rPr>
        <w:t xml:space="preserve"> </w:t>
      </w:r>
      <w:r>
        <w:rPr>
          <w:sz w:val="20"/>
        </w:rPr>
        <w:t>ser</w:t>
      </w:r>
      <w:r>
        <w:rPr>
          <w:spacing w:val="-11"/>
          <w:sz w:val="20"/>
        </w:rPr>
        <w:t xml:space="preserve"> </w:t>
      </w:r>
      <w:r>
        <w:rPr>
          <w:sz w:val="20"/>
        </w:rPr>
        <w:t>efectivos</w:t>
      </w:r>
      <w:r>
        <w:rPr>
          <w:spacing w:val="-11"/>
          <w:sz w:val="20"/>
        </w:rPr>
        <w:t xml:space="preserve"> </w:t>
      </w:r>
      <w:r>
        <w:rPr>
          <w:sz w:val="20"/>
        </w:rPr>
        <w:t>los</w:t>
      </w:r>
      <w:r>
        <w:rPr>
          <w:spacing w:val="-11"/>
          <w:sz w:val="20"/>
        </w:rPr>
        <w:t xml:space="preserve"> </w:t>
      </w:r>
      <w:r>
        <w:rPr>
          <w:sz w:val="20"/>
        </w:rPr>
        <w:t>señalados</w:t>
      </w:r>
      <w:r>
        <w:rPr>
          <w:spacing w:val="-11"/>
          <w:sz w:val="20"/>
        </w:rPr>
        <w:t xml:space="preserve"> </w:t>
      </w:r>
      <w:r>
        <w:rPr>
          <w:sz w:val="20"/>
        </w:rPr>
        <w:t>derechos y no a que éstos realmente lo sean. La obligación es de comportamiento, no de</w:t>
      </w:r>
      <w:r>
        <w:rPr>
          <w:spacing w:val="-29"/>
          <w:sz w:val="20"/>
        </w:rPr>
        <w:t xml:space="preserve"> </w:t>
      </w:r>
      <w:r>
        <w:rPr>
          <w:sz w:val="20"/>
        </w:rPr>
        <w:t>resultado.</w:t>
      </w:r>
    </w:p>
    <w:p w14:paraId="713F7BA0" w14:textId="77777777" w:rsidR="00467FCA" w:rsidRDefault="00467FCA">
      <w:pPr>
        <w:pStyle w:val="Textoindependiente"/>
        <w:spacing w:before="2"/>
        <w:rPr>
          <w:sz w:val="22"/>
        </w:rPr>
      </w:pPr>
    </w:p>
    <w:p w14:paraId="2B76AC2D"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En esa misma dirección, es necesario llamar la atención acerca de que lo que establece</w:t>
      </w:r>
      <w:r>
        <w:rPr>
          <w:spacing w:val="-8"/>
          <w:sz w:val="20"/>
        </w:rPr>
        <w:t xml:space="preserve"> </w:t>
      </w:r>
      <w:r>
        <w:rPr>
          <w:sz w:val="20"/>
        </w:rPr>
        <w:t>el</w:t>
      </w:r>
      <w:r>
        <w:rPr>
          <w:spacing w:val="-5"/>
          <w:sz w:val="20"/>
        </w:rPr>
        <w:t xml:space="preserve"> </w:t>
      </w:r>
      <w:r>
        <w:rPr>
          <w:sz w:val="20"/>
        </w:rPr>
        <w:t>artículo</w:t>
      </w:r>
      <w:r>
        <w:rPr>
          <w:spacing w:val="-7"/>
          <w:sz w:val="20"/>
        </w:rPr>
        <w:t xml:space="preserve"> </w:t>
      </w:r>
      <w:r>
        <w:rPr>
          <w:sz w:val="20"/>
        </w:rPr>
        <w:t>26</w:t>
      </w:r>
      <w:r>
        <w:rPr>
          <w:spacing w:val="-5"/>
          <w:sz w:val="20"/>
        </w:rPr>
        <w:t xml:space="preserve"> </w:t>
      </w:r>
      <w:r>
        <w:rPr>
          <w:sz w:val="20"/>
        </w:rPr>
        <w:t>es</w:t>
      </w:r>
      <w:r>
        <w:rPr>
          <w:spacing w:val="-6"/>
          <w:sz w:val="20"/>
        </w:rPr>
        <w:t xml:space="preserve"> </w:t>
      </w:r>
      <w:r>
        <w:rPr>
          <w:sz w:val="20"/>
        </w:rPr>
        <w:t>semejante</w:t>
      </w:r>
      <w:r>
        <w:rPr>
          <w:spacing w:val="-10"/>
          <w:sz w:val="20"/>
        </w:rPr>
        <w:t xml:space="preserve"> </w:t>
      </w:r>
      <w:r>
        <w:rPr>
          <w:sz w:val="20"/>
        </w:rPr>
        <w:t>a</w:t>
      </w:r>
      <w:r>
        <w:rPr>
          <w:spacing w:val="-5"/>
          <w:sz w:val="20"/>
        </w:rPr>
        <w:t xml:space="preserve"> </w:t>
      </w:r>
      <w:r>
        <w:rPr>
          <w:sz w:val="20"/>
        </w:rPr>
        <w:t>lo</w:t>
      </w:r>
      <w:r>
        <w:rPr>
          <w:spacing w:val="-9"/>
          <w:sz w:val="20"/>
        </w:rPr>
        <w:t xml:space="preserve"> </w:t>
      </w:r>
      <w:r>
        <w:rPr>
          <w:sz w:val="20"/>
        </w:rPr>
        <w:t>previsto</w:t>
      </w:r>
      <w:r>
        <w:rPr>
          <w:spacing w:val="-10"/>
          <w:sz w:val="20"/>
        </w:rPr>
        <w:t xml:space="preserve"> </w:t>
      </w:r>
      <w:r>
        <w:rPr>
          <w:sz w:val="20"/>
        </w:rPr>
        <w:t>en</w:t>
      </w:r>
      <w:r>
        <w:rPr>
          <w:spacing w:val="-4"/>
          <w:sz w:val="20"/>
        </w:rPr>
        <w:t xml:space="preserve"> </w:t>
      </w:r>
      <w:r>
        <w:rPr>
          <w:sz w:val="20"/>
        </w:rPr>
        <w:t>el</w:t>
      </w:r>
      <w:r>
        <w:rPr>
          <w:spacing w:val="-8"/>
          <w:sz w:val="20"/>
        </w:rPr>
        <w:t xml:space="preserve"> </w:t>
      </w:r>
      <w:r>
        <w:rPr>
          <w:sz w:val="20"/>
        </w:rPr>
        <w:t>artículo</w:t>
      </w:r>
      <w:r>
        <w:rPr>
          <w:spacing w:val="-9"/>
          <w:sz w:val="20"/>
        </w:rPr>
        <w:t xml:space="preserve"> </w:t>
      </w:r>
      <w:r>
        <w:rPr>
          <w:sz w:val="20"/>
        </w:rPr>
        <w:t>2</w:t>
      </w:r>
      <w:r>
        <w:rPr>
          <w:spacing w:val="-7"/>
          <w:sz w:val="20"/>
        </w:rPr>
        <w:t xml:space="preserve"> </w:t>
      </w:r>
      <w:r>
        <w:rPr>
          <w:sz w:val="20"/>
        </w:rPr>
        <w:t>de</w:t>
      </w:r>
      <w:r>
        <w:rPr>
          <w:spacing w:val="-9"/>
          <w:sz w:val="20"/>
        </w:rPr>
        <w:t xml:space="preserve"> </w:t>
      </w:r>
      <w:r>
        <w:rPr>
          <w:sz w:val="20"/>
        </w:rPr>
        <w:t>la</w:t>
      </w:r>
      <w:r>
        <w:rPr>
          <w:spacing w:val="-6"/>
          <w:sz w:val="20"/>
        </w:rPr>
        <w:t xml:space="preserve"> </w:t>
      </w:r>
      <w:r>
        <w:rPr>
          <w:sz w:val="20"/>
        </w:rPr>
        <w:t>Convención,</w:t>
      </w:r>
      <w:r>
        <w:rPr>
          <w:spacing w:val="-6"/>
          <w:sz w:val="20"/>
        </w:rPr>
        <w:t xml:space="preserve"> </w:t>
      </w:r>
      <w:r>
        <w:rPr>
          <w:sz w:val="20"/>
        </w:rPr>
        <w:t>esto</w:t>
      </w:r>
      <w:r>
        <w:rPr>
          <w:spacing w:val="-8"/>
          <w:sz w:val="20"/>
        </w:rPr>
        <w:t xml:space="preserve"> </w:t>
      </w:r>
      <w:r>
        <w:rPr>
          <w:sz w:val="20"/>
        </w:rPr>
        <w:t>es, que los Estados se obligan a adoptar, en el primero, medidas si el ejercicio de los</w:t>
      </w:r>
      <w:r>
        <w:rPr>
          <w:sz w:val="20"/>
        </w:rPr>
        <w:t xml:space="preserve"> derechos consagrados en el artículo 1.2 de la Convención no estuviere garantizado</w:t>
      </w:r>
      <w:hyperlink w:anchor="_bookmark569" w:history="1">
        <w:r>
          <w:rPr>
            <w:position w:val="7"/>
            <w:sz w:val="13"/>
          </w:rPr>
          <w:t>21</w:t>
        </w:r>
      </w:hyperlink>
      <w:r>
        <w:rPr>
          <w:position w:val="7"/>
          <w:sz w:val="13"/>
        </w:rPr>
        <w:t xml:space="preserve"> </w:t>
      </w:r>
      <w:r>
        <w:rPr>
          <w:sz w:val="20"/>
        </w:rPr>
        <w:t>y en segundo, providencias en vista de lograr progresivamente la plena efectividad de los derechos que se derivan</w:t>
      </w:r>
      <w:r>
        <w:rPr>
          <w:spacing w:val="-12"/>
          <w:sz w:val="20"/>
        </w:rPr>
        <w:t xml:space="preserve"> </w:t>
      </w:r>
      <w:r>
        <w:rPr>
          <w:sz w:val="20"/>
        </w:rPr>
        <w:t>de</w:t>
      </w:r>
      <w:r>
        <w:rPr>
          <w:spacing w:val="-14"/>
          <w:sz w:val="20"/>
        </w:rPr>
        <w:t xml:space="preserve"> </w:t>
      </w:r>
      <w:r>
        <w:rPr>
          <w:sz w:val="20"/>
        </w:rPr>
        <w:t>las</w:t>
      </w:r>
      <w:r>
        <w:rPr>
          <w:spacing w:val="-13"/>
          <w:sz w:val="20"/>
        </w:rPr>
        <w:t xml:space="preserve"> </w:t>
      </w:r>
      <w:r>
        <w:rPr>
          <w:sz w:val="20"/>
        </w:rPr>
        <w:t>normas</w:t>
      </w:r>
      <w:r>
        <w:rPr>
          <w:spacing w:val="-12"/>
          <w:sz w:val="20"/>
        </w:rPr>
        <w:t xml:space="preserve"> </w:t>
      </w:r>
      <w:r>
        <w:rPr>
          <w:sz w:val="20"/>
        </w:rPr>
        <w:t>de</w:t>
      </w:r>
      <w:r>
        <w:rPr>
          <w:spacing w:val="-14"/>
          <w:sz w:val="20"/>
        </w:rPr>
        <w:t xml:space="preserve"> </w:t>
      </w:r>
      <w:r>
        <w:rPr>
          <w:sz w:val="20"/>
        </w:rPr>
        <w:t>la</w:t>
      </w:r>
      <w:r>
        <w:rPr>
          <w:spacing w:val="-13"/>
          <w:sz w:val="20"/>
        </w:rPr>
        <w:t xml:space="preserve"> </w:t>
      </w:r>
      <w:r>
        <w:rPr>
          <w:sz w:val="20"/>
        </w:rPr>
        <w:t>OEA</w:t>
      </w:r>
      <w:r>
        <w:rPr>
          <w:spacing w:val="-11"/>
          <w:sz w:val="20"/>
        </w:rPr>
        <w:t xml:space="preserve"> </w:t>
      </w:r>
      <w:r>
        <w:rPr>
          <w:sz w:val="20"/>
        </w:rPr>
        <w:t>que</w:t>
      </w:r>
      <w:r>
        <w:rPr>
          <w:spacing w:val="-14"/>
          <w:sz w:val="20"/>
        </w:rPr>
        <w:t xml:space="preserve"> </w:t>
      </w:r>
      <w:r>
        <w:rPr>
          <w:sz w:val="20"/>
        </w:rPr>
        <w:t>alude,</w:t>
      </w:r>
      <w:r>
        <w:rPr>
          <w:spacing w:val="-13"/>
          <w:sz w:val="20"/>
        </w:rPr>
        <w:t xml:space="preserve"> </w:t>
      </w:r>
      <w:r>
        <w:rPr>
          <w:sz w:val="20"/>
        </w:rPr>
        <w:t>aunque</w:t>
      </w:r>
      <w:r>
        <w:rPr>
          <w:spacing w:val="-13"/>
          <w:sz w:val="20"/>
        </w:rPr>
        <w:t xml:space="preserve"> </w:t>
      </w:r>
      <w:r>
        <w:rPr>
          <w:sz w:val="20"/>
        </w:rPr>
        <w:t>ambas</w:t>
      </w:r>
      <w:r>
        <w:rPr>
          <w:spacing w:val="-13"/>
          <w:sz w:val="20"/>
        </w:rPr>
        <w:t xml:space="preserve"> </w:t>
      </w:r>
      <w:r>
        <w:rPr>
          <w:sz w:val="20"/>
        </w:rPr>
        <w:t>disposiciones</w:t>
      </w:r>
      <w:r>
        <w:rPr>
          <w:spacing w:val="-13"/>
          <w:sz w:val="20"/>
        </w:rPr>
        <w:t xml:space="preserve"> </w:t>
      </w:r>
      <w:r>
        <w:rPr>
          <w:sz w:val="20"/>
        </w:rPr>
        <w:t>difieren</w:t>
      </w:r>
      <w:r>
        <w:rPr>
          <w:spacing w:val="-9"/>
          <w:sz w:val="20"/>
        </w:rPr>
        <w:t xml:space="preserve"> </w:t>
      </w:r>
      <w:r>
        <w:rPr>
          <w:sz w:val="20"/>
        </w:rPr>
        <w:t>en</w:t>
      </w:r>
      <w:r>
        <w:rPr>
          <w:spacing w:val="-11"/>
          <w:sz w:val="20"/>
        </w:rPr>
        <w:t xml:space="preserve"> </w:t>
      </w:r>
      <w:r>
        <w:rPr>
          <w:sz w:val="20"/>
        </w:rPr>
        <w:t>que</w:t>
      </w:r>
      <w:r>
        <w:rPr>
          <w:spacing w:val="-14"/>
          <w:sz w:val="20"/>
        </w:rPr>
        <w:t xml:space="preserve"> </w:t>
      </w:r>
      <w:r>
        <w:rPr>
          <w:sz w:val="20"/>
        </w:rPr>
        <w:t>esta última condiciona el cumplimiento de lo que establece a la disponibilidad de los correspondientes</w:t>
      </w:r>
      <w:r>
        <w:rPr>
          <w:spacing w:val="-3"/>
          <w:sz w:val="20"/>
        </w:rPr>
        <w:t xml:space="preserve"> </w:t>
      </w:r>
      <w:r>
        <w:rPr>
          <w:sz w:val="20"/>
        </w:rPr>
        <w:t>recursos.</w:t>
      </w:r>
    </w:p>
    <w:p w14:paraId="02B8085A" w14:textId="77777777" w:rsidR="00467FCA" w:rsidRDefault="00467FCA">
      <w:pPr>
        <w:pStyle w:val="Textoindependiente"/>
        <w:spacing w:before="2"/>
        <w:rPr>
          <w:sz w:val="22"/>
        </w:rPr>
      </w:pPr>
    </w:p>
    <w:p w14:paraId="69251B8A"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Considerando lo precedente, importa interrogarse, en consecuencia, respecto la razón</w:t>
      </w:r>
      <w:r>
        <w:rPr>
          <w:spacing w:val="-8"/>
          <w:sz w:val="20"/>
        </w:rPr>
        <w:t xml:space="preserve"> </w:t>
      </w:r>
      <w:r>
        <w:rPr>
          <w:sz w:val="20"/>
        </w:rPr>
        <w:t>por</w:t>
      </w:r>
      <w:r>
        <w:rPr>
          <w:spacing w:val="-10"/>
          <w:sz w:val="20"/>
        </w:rPr>
        <w:t xml:space="preserve"> </w:t>
      </w:r>
      <w:r>
        <w:rPr>
          <w:sz w:val="20"/>
        </w:rPr>
        <w:t>la</w:t>
      </w:r>
      <w:r>
        <w:rPr>
          <w:spacing w:val="-7"/>
          <w:sz w:val="20"/>
        </w:rPr>
        <w:t xml:space="preserve"> </w:t>
      </w:r>
      <w:r>
        <w:rPr>
          <w:sz w:val="20"/>
        </w:rPr>
        <w:t>que</w:t>
      </w:r>
      <w:r>
        <w:rPr>
          <w:spacing w:val="-8"/>
          <w:sz w:val="20"/>
        </w:rPr>
        <w:t xml:space="preserve"> </w:t>
      </w:r>
      <w:r>
        <w:rPr>
          <w:sz w:val="20"/>
        </w:rPr>
        <w:t>se</w:t>
      </w:r>
      <w:r>
        <w:rPr>
          <w:spacing w:val="-8"/>
          <w:sz w:val="20"/>
        </w:rPr>
        <w:t xml:space="preserve"> </w:t>
      </w:r>
      <w:r>
        <w:rPr>
          <w:sz w:val="20"/>
        </w:rPr>
        <w:t>convino</w:t>
      </w:r>
      <w:r>
        <w:rPr>
          <w:spacing w:val="-8"/>
          <w:sz w:val="20"/>
        </w:rPr>
        <w:t xml:space="preserve"> </w:t>
      </w:r>
      <w:r>
        <w:rPr>
          <w:sz w:val="20"/>
        </w:rPr>
        <w:t>el</w:t>
      </w:r>
      <w:r>
        <w:rPr>
          <w:spacing w:val="-9"/>
          <w:sz w:val="20"/>
        </w:rPr>
        <w:t xml:space="preserve"> </w:t>
      </w:r>
      <w:r>
        <w:rPr>
          <w:sz w:val="20"/>
        </w:rPr>
        <w:t>artículo</w:t>
      </w:r>
      <w:r>
        <w:rPr>
          <w:spacing w:val="-8"/>
          <w:sz w:val="20"/>
        </w:rPr>
        <w:t xml:space="preserve"> </w:t>
      </w:r>
      <w:r>
        <w:rPr>
          <w:sz w:val="20"/>
        </w:rPr>
        <w:t>26</w:t>
      </w:r>
      <w:r>
        <w:rPr>
          <w:spacing w:val="-5"/>
          <w:sz w:val="20"/>
        </w:rPr>
        <w:t xml:space="preserve"> </w:t>
      </w:r>
      <w:r>
        <w:rPr>
          <w:sz w:val="20"/>
        </w:rPr>
        <w:t>y,</w:t>
      </w:r>
      <w:r>
        <w:rPr>
          <w:spacing w:val="-7"/>
          <w:sz w:val="20"/>
        </w:rPr>
        <w:t xml:space="preserve"> </w:t>
      </w:r>
      <w:r>
        <w:rPr>
          <w:sz w:val="20"/>
        </w:rPr>
        <w:t>por</w:t>
      </w:r>
      <w:r>
        <w:rPr>
          <w:spacing w:val="-6"/>
          <w:sz w:val="20"/>
        </w:rPr>
        <w:t xml:space="preserve"> </w:t>
      </w:r>
      <w:r>
        <w:rPr>
          <w:sz w:val="20"/>
        </w:rPr>
        <w:t>tanto,</w:t>
      </w:r>
      <w:r>
        <w:rPr>
          <w:spacing w:val="-10"/>
          <w:sz w:val="20"/>
        </w:rPr>
        <w:t xml:space="preserve"> </w:t>
      </w:r>
      <w:r>
        <w:rPr>
          <w:sz w:val="20"/>
        </w:rPr>
        <w:t>por</w:t>
      </w:r>
      <w:r>
        <w:rPr>
          <w:spacing w:val="-8"/>
          <w:sz w:val="20"/>
        </w:rPr>
        <w:t xml:space="preserve"> </w:t>
      </w:r>
      <w:r>
        <w:rPr>
          <w:sz w:val="20"/>
        </w:rPr>
        <w:t>qué</w:t>
      </w:r>
      <w:r>
        <w:rPr>
          <w:spacing w:val="-8"/>
          <w:sz w:val="20"/>
        </w:rPr>
        <w:t xml:space="preserve"> </w:t>
      </w:r>
      <w:r>
        <w:rPr>
          <w:sz w:val="20"/>
        </w:rPr>
        <w:t>no</w:t>
      </w:r>
      <w:r>
        <w:rPr>
          <w:spacing w:val="-8"/>
          <w:sz w:val="20"/>
        </w:rPr>
        <w:t xml:space="preserve"> </w:t>
      </w:r>
      <w:r>
        <w:rPr>
          <w:sz w:val="20"/>
        </w:rPr>
        <w:t>se</w:t>
      </w:r>
      <w:r>
        <w:rPr>
          <w:spacing w:val="-8"/>
          <w:sz w:val="20"/>
        </w:rPr>
        <w:t xml:space="preserve"> </w:t>
      </w:r>
      <w:r>
        <w:rPr>
          <w:sz w:val="20"/>
        </w:rPr>
        <w:t>abordaron</w:t>
      </w:r>
      <w:r>
        <w:rPr>
          <w:spacing w:val="-6"/>
          <w:sz w:val="20"/>
        </w:rPr>
        <w:t xml:space="preserve"> </w:t>
      </w:r>
      <w:r>
        <w:rPr>
          <w:sz w:val="20"/>
        </w:rPr>
        <w:t>los</w:t>
      </w:r>
      <w:r>
        <w:rPr>
          <w:spacing w:val="-9"/>
          <w:sz w:val="20"/>
        </w:rPr>
        <w:t xml:space="preserve"> </w:t>
      </w:r>
      <w:r>
        <w:rPr>
          <w:sz w:val="20"/>
        </w:rPr>
        <w:t>derechos a</w:t>
      </w:r>
      <w:r>
        <w:rPr>
          <w:spacing w:val="-15"/>
          <w:sz w:val="20"/>
        </w:rPr>
        <w:t xml:space="preserve"> </w:t>
      </w:r>
      <w:r>
        <w:rPr>
          <w:sz w:val="20"/>
        </w:rPr>
        <w:t>que</w:t>
      </w:r>
      <w:r>
        <w:rPr>
          <w:spacing w:val="-13"/>
          <w:sz w:val="20"/>
        </w:rPr>
        <w:t xml:space="preserve"> </w:t>
      </w:r>
      <w:r>
        <w:rPr>
          <w:sz w:val="20"/>
        </w:rPr>
        <w:t>se</w:t>
      </w:r>
      <w:r>
        <w:rPr>
          <w:spacing w:val="-13"/>
          <w:sz w:val="20"/>
        </w:rPr>
        <w:t xml:space="preserve"> </w:t>
      </w:r>
      <w:r>
        <w:rPr>
          <w:sz w:val="20"/>
        </w:rPr>
        <w:t>remite</w:t>
      </w:r>
      <w:r>
        <w:rPr>
          <w:spacing w:val="-14"/>
          <w:sz w:val="20"/>
        </w:rPr>
        <w:t xml:space="preserve"> </w:t>
      </w:r>
      <w:r>
        <w:rPr>
          <w:sz w:val="20"/>
        </w:rPr>
        <w:t>de</w:t>
      </w:r>
      <w:r>
        <w:rPr>
          <w:spacing w:val="-15"/>
          <w:sz w:val="20"/>
        </w:rPr>
        <w:t xml:space="preserve"> </w:t>
      </w:r>
      <w:r>
        <w:rPr>
          <w:sz w:val="20"/>
        </w:rPr>
        <w:t>la</w:t>
      </w:r>
      <w:r>
        <w:rPr>
          <w:spacing w:val="-12"/>
          <w:sz w:val="20"/>
        </w:rPr>
        <w:t xml:space="preserve"> </w:t>
      </w:r>
      <w:r>
        <w:rPr>
          <w:sz w:val="20"/>
        </w:rPr>
        <w:t>misma</w:t>
      </w:r>
      <w:r>
        <w:rPr>
          <w:spacing w:val="-12"/>
          <w:sz w:val="20"/>
        </w:rPr>
        <w:t xml:space="preserve"> </w:t>
      </w:r>
      <w:r>
        <w:rPr>
          <w:sz w:val="20"/>
        </w:rPr>
        <w:t>forma</w:t>
      </w:r>
      <w:r>
        <w:rPr>
          <w:spacing w:val="-11"/>
          <w:sz w:val="20"/>
        </w:rPr>
        <w:t xml:space="preserve"> </w:t>
      </w:r>
      <w:r>
        <w:rPr>
          <w:sz w:val="20"/>
        </w:rPr>
        <w:t>en</w:t>
      </w:r>
      <w:r>
        <w:rPr>
          <w:spacing w:val="-12"/>
          <w:sz w:val="20"/>
        </w:rPr>
        <w:t xml:space="preserve"> </w:t>
      </w:r>
      <w:r>
        <w:rPr>
          <w:sz w:val="20"/>
        </w:rPr>
        <w:t>que</w:t>
      </w:r>
      <w:r>
        <w:rPr>
          <w:spacing w:val="-13"/>
          <w:sz w:val="20"/>
        </w:rPr>
        <w:t xml:space="preserve"> </w:t>
      </w:r>
      <w:r>
        <w:rPr>
          <w:sz w:val="20"/>
        </w:rPr>
        <w:t>se</w:t>
      </w:r>
      <w:r>
        <w:rPr>
          <w:spacing w:val="-13"/>
          <w:sz w:val="20"/>
        </w:rPr>
        <w:t xml:space="preserve"> </w:t>
      </w:r>
      <w:r>
        <w:rPr>
          <w:sz w:val="20"/>
        </w:rPr>
        <w:t>hizo</w:t>
      </w:r>
      <w:r>
        <w:rPr>
          <w:spacing w:val="-14"/>
          <w:sz w:val="20"/>
        </w:rPr>
        <w:t xml:space="preserve"> </w:t>
      </w:r>
      <w:r>
        <w:rPr>
          <w:sz w:val="20"/>
        </w:rPr>
        <w:t>en</w:t>
      </w:r>
      <w:r>
        <w:rPr>
          <w:spacing w:val="-11"/>
          <w:sz w:val="20"/>
        </w:rPr>
        <w:t xml:space="preserve"> </w:t>
      </w:r>
      <w:r>
        <w:rPr>
          <w:sz w:val="20"/>
        </w:rPr>
        <w:t>cuanto</w:t>
      </w:r>
      <w:r>
        <w:rPr>
          <w:spacing w:val="-13"/>
          <w:sz w:val="20"/>
        </w:rPr>
        <w:t xml:space="preserve"> </w:t>
      </w:r>
      <w:r>
        <w:rPr>
          <w:sz w:val="20"/>
        </w:rPr>
        <w:t>a</w:t>
      </w:r>
      <w:r>
        <w:rPr>
          <w:spacing w:val="-15"/>
          <w:sz w:val="20"/>
        </w:rPr>
        <w:t xml:space="preserve"> </w:t>
      </w:r>
      <w:r>
        <w:rPr>
          <w:sz w:val="20"/>
        </w:rPr>
        <w:t>los</w:t>
      </w:r>
      <w:r>
        <w:rPr>
          <w:spacing w:val="-12"/>
          <w:sz w:val="20"/>
        </w:rPr>
        <w:t xml:space="preserve"> </w:t>
      </w:r>
      <w:r>
        <w:rPr>
          <w:sz w:val="20"/>
        </w:rPr>
        <w:t>derechos</w:t>
      </w:r>
      <w:r>
        <w:rPr>
          <w:spacing w:val="-12"/>
          <w:sz w:val="20"/>
        </w:rPr>
        <w:t xml:space="preserve"> </w:t>
      </w:r>
      <w:r>
        <w:rPr>
          <w:sz w:val="20"/>
        </w:rPr>
        <w:t>civiles</w:t>
      </w:r>
      <w:r>
        <w:rPr>
          <w:spacing w:val="-13"/>
          <w:sz w:val="20"/>
        </w:rPr>
        <w:t xml:space="preserve"> </w:t>
      </w:r>
      <w:r>
        <w:rPr>
          <w:sz w:val="20"/>
        </w:rPr>
        <w:t>y</w:t>
      </w:r>
      <w:r>
        <w:rPr>
          <w:spacing w:val="-12"/>
          <w:sz w:val="20"/>
        </w:rPr>
        <w:t xml:space="preserve"> </w:t>
      </w:r>
      <w:r>
        <w:rPr>
          <w:sz w:val="20"/>
        </w:rPr>
        <w:t>políticos. La</w:t>
      </w:r>
      <w:r>
        <w:rPr>
          <w:spacing w:val="-3"/>
          <w:sz w:val="20"/>
        </w:rPr>
        <w:t xml:space="preserve"> </w:t>
      </w:r>
      <w:r>
        <w:rPr>
          <w:sz w:val="20"/>
        </w:rPr>
        <w:t>respuesta</w:t>
      </w:r>
      <w:r>
        <w:rPr>
          <w:spacing w:val="-2"/>
          <w:sz w:val="20"/>
        </w:rPr>
        <w:t xml:space="preserve"> </w:t>
      </w:r>
      <w:r>
        <w:rPr>
          <w:sz w:val="20"/>
        </w:rPr>
        <w:t>sustentada</w:t>
      </w:r>
      <w:r>
        <w:rPr>
          <w:spacing w:val="-3"/>
          <w:sz w:val="20"/>
        </w:rPr>
        <w:t xml:space="preserve"> </w:t>
      </w:r>
      <w:r>
        <w:rPr>
          <w:sz w:val="20"/>
        </w:rPr>
        <w:t>en</w:t>
      </w:r>
      <w:r>
        <w:rPr>
          <w:spacing w:val="-2"/>
          <w:sz w:val="20"/>
        </w:rPr>
        <w:t xml:space="preserve"> </w:t>
      </w:r>
      <w:r>
        <w:rPr>
          <w:sz w:val="20"/>
        </w:rPr>
        <w:t>la</w:t>
      </w:r>
      <w:r>
        <w:rPr>
          <w:spacing w:val="-4"/>
          <w:sz w:val="20"/>
        </w:rPr>
        <w:t xml:space="preserve"> </w:t>
      </w:r>
      <w:r>
        <w:rPr>
          <w:sz w:val="20"/>
        </w:rPr>
        <w:t>buena</w:t>
      </w:r>
      <w:r>
        <w:rPr>
          <w:spacing w:val="-2"/>
          <w:sz w:val="20"/>
        </w:rPr>
        <w:t xml:space="preserve"> </w:t>
      </w:r>
      <w:r>
        <w:rPr>
          <w:sz w:val="20"/>
        </w:rPr>
        <w:t>fe</w:t>
      </w:r>
      <w:r>
        <w:rPr>
          <w:spacing w:val="-7"/>
          <w:sz w:val="20"/>
        </w:rPr>
        <w:t xml:space="preserve"> </w:t>
      </w:r>
      <w:r>
        <w:rPr>
          <w:sz w:val="20"/>
        </w:rPr>
        <w:t>no</w:t>
      </w:r>
      <w:r>
        <w:rPr>
          <w:spacing w:val="-6"/>
          <w:sz w:val="20"/>
        </w:rPr>
        <w:t xml:space="preserve"> </w:t>
      </w:r>
      <w:r>
        <w:rPr>
          <w:sz w:val="20"/>
        </w:rPr>
        <w:t>puede</w:t>
      </w:r>
      <w:r>
        <w:rPr>
          <w:spacing w:val="-4"/>
          <w:sz w:val="20"/>
        </w:rPr>
        <w:t xml:space="preserve"> </w:t>
      </w:r>
      <w:r>
        <w:rPr>
          <w:sz w:val="20"/>
        </w:rPr>
        <w:t>ser</w:t>
      </w:r>
      <w:r>
        <w:rPr>
          <w:spacing w:val="-3"/>
          <w:sz w:val="20"/>
        </w:rPr>
        <w:t xml:space="preserve"> </w:t>
      </w:r>
      <w:r>
        <w:rPr>
          <w:sz w:val="20"/>
        </w:rPr>
        <w:t>otra</w:t>
      </w:r>
      <w:r>
        <w:rPr>
          <w:spacing w:val="-5"/>
          <w:sz w:val="20"/>
        </w:rPr>
        <w:t xml:space="preserve"> </w:t>
      </w:r>
      <w:r>
        <w:rPr>
          <w:sz w:val="20"/>
        </w:rPr>
        <w:t>que</w:t>
      </w:r>
      <w:r>
        <w:rPr>
          <w:spacing w:val="-3"/>
          <w:sz w:val="20"/>
        </w:rPr>
        <w:t xml:space="preserve"> </w:t>
      </w:r>
      <w:r>
        <w:rPr>
          <w:sz w:val="20"/>
        </w:rPr>
        <w:t>la</w:t>
      </w:r>
      <w:r>
        <w:rPr>
          <w:spacing w:val="-3"/>
          <w:sz w:val="20"/>
        </w:rPr>
        <w:t xml:space="preserve"> </w:t>
      </w:r>
      <w:r>
        <w:rPr>
          <w:sz w:val="20"/>
        </w:rPr>
        <w:t>Convención</w:t>
      </w:r>
      <w:r>
        <w:rPr>
          <w:spacing w:val="-3"/>
          <w:sz w:val="20"/>
        </w:rPr>
        <w:t xml:space="preserve"> </w:t>
      </w:r>
      <w:r>
        <w:rPr>
          <w:sz w:val="20"/>
        </w:rPr>
        <w:t>contempló</w:t>
      </w:r>
      <w:r>
        <w:rPr>
          <w:spacing w:val="-7"/>
          <w:sz w:val="20"/>
        </w:rPr>
        <w:t xml:space="preserve"> </w:t>
      </w:r>
      <w:r>
        <w:rPr>
          <w:sz w:val="20"/>
        </w:rPr>
        <w:t>que ambos</w:t>
      </w:r>
      <w:r>
        <w:rPr>
          <w:spacing w:val="-12"/>
          <w:sz w:val="20"/>
        </w:rPr>
        <w:t xml:space="preserve"> </w:t>
      </w:r>
      <w:r>
        <w:rPr>
          <w:sz w:val="20"/>
        </w:rPr>
        <w:t>tipos</w:t>
      </w:r>
      <w:r>
        <w:rPr>
          <w:spacing w:val="-11"/>
          <w:sz w:val="20"/>
        </w:rPr>
        <w:t xml:space="preserve"> </w:t>
      </w:r>
      <w:r>
        <w:rPr>
          <w:sz w:val="20"/>
        </w:rPr>
        <w:t>de</w:t>
      </w:r>
      <w:r>
        <w:rPr>
          <w:spacing w:val="-12"/>
          <w:sz w:val="20"/>
        </w:rPr>
        <w:t xml:space="preserve"> </w:t>
      </w:r>
      <w:r>
        <w:rPr>
          <w:sz w:val="20"/>
        </w:rPr>
        <w:t>derechos</w:t>
      </w:r>
      <w:r>
        <w:rPr>
          <w:spacing w:val="-13"/>
          <w:sz w:val="20"/>
        </w:rPr>
        <w:t xml:space="preserve"> </w:t>
      </w:r>
      <w:r>
        <w:rPr>
          <w:sz w:val="20"/>
        </w:rPr>
        <w:t>humanos,</w:t>
      </w:r>
      <w:r>
        <w:rPr>
          <w:spacing w:val="-11"/>
          <w:sz w:val="20"/>
        </w:rPr>
        <w:t xml:space="preserve"> </w:t>
      </w:r>
      <w:r>
        <w:rPr>
          <w:sz w:val="20"/>
        </w:rPr>
        <w:t>si</w:t>
      </w:r>
      <w:r>
        <w:rPr>
          <w:spacing w:val="-11"/>
          <w:sz w:val="20"/>
        </w:rPr>
        <w:t xml:space="preserve"> </w:t>
      </w:r>
      <w:r>
        <w:rPr>
          <w:sz w:val="20"/>
        </w:rPr>
        <w:t>bien</w:t>
      </w:r>
      <w:r>
        <w:rPr>
          <w:spacing w:val="-9"/>
          <w:sz w:val="20"/>
        </w:rPr>
        <w:t xml:space="preserve"> </w:t>
      </w:r>
      <w:r>
        <w:rPr>
          <w:sz w:val="20"/>
        </w:rPr>
        <w:t>están</w:t>
      </w:r>
      <w:r>
        <w:rPr>
          <w:spacing w:val="-13"/>
          <w:sz w:val="20"/>
        </w:rPr>
        <w:t xml:space="preserve"> </w:t>
      </w:r>
      <w:r>
        <w:rPr>
          <w:sz w:val="20"/>
        </w:rPr>
        <w:t>estrechamente</w:t>
      </w:r>
      <w:r>
        <w:rPr>
          <w:spacing w:val="-11"/>
          <w:sz w:val="20"/>
        </w:rPr>
        <w:t xml:space="preserve"> </w:t>
      </w:r>
      <w:r>
        <w:rPr>
          <w:sz w:val="20"/>
        </w:rPr>
        <w:t>vinculados</w:t>
      </w:r>
      <w:r>
        <w:rPr>
          <w:spacing w:val="-11"/>
          <w:sz w:val="20"/>
        </w:rPr>
        <w:t xml:space="preserve"> </w:t>
      </w:r>
      <w:r>
        <w:rPr>
          <w:sz w:val="20"/>
        </w:rPr>
        <w:t>entre</w:t>
      </w:r>
      <w:r>
        <w:rPr>
          <w:spacing w:val="-12"/>
          <w:sz w:val="20"/>
        </w:rPr>
        <w:t xml:space="preserve"> </w:t>
      </w:r>
      <w:r>
        <w:rPr>
          <w:sz w:val="20"/>
        </w:rPr>
        <w:t>sí</w:t>
      </w:r>
      <w:r>
        <w:rPr>
          <w:spacing w:val="-7"/>
          <w:sz w:val="20"/>
        </w:rPr>
        <w:t xml:space="preserve"> </w:t>
      </w:r>
      <w:r>
        <w:rPr>
          <w:sz w:val="20"/>
        </w:rPr>
        <w:t>en</w:t>
      </w:r>
      <w:r>
        <w:rPr>
          <w:spacing w:val="-10"/>
          <w:sz w:val="20"/>
        </w:rPr>
        <w:t xml:space="preserve"> </w:t>
      </w:r>
      <w:r>
        <w:rPr>
          <w:sz w:val="20"/>
        </w:rPr>
        <w:t>razón</w:t>
      </w:r>
    </w:p>
    <w:p w14:paraId="4F9E7BD7" w14:textId="77777777" w:rsidR="00467FCA" w:rsidRDefault="001B68EB">
      <w:pPr>
        <w:pStyle w:val="Textoindependiente"/>
        <w:spacing w:before="9"/>
        <w:rPr>
          <w:sz w:val="17"/>
        </w:rPr>
      </w:pPr>
      <w:r>
        <w:pict w14:anchorId="20822D5E">
          <v:shape id="_x0000_s1100" style="position:absolute;margin-left:56.75pt;margin-top:13.15pt;width:2in;height:.1pt;z-index:-251559936;mso-wrap-distance-left:0;mso-wrap-distance-right:0;mso-position-horizontal-relative:page" coordorigin="1135,263" coordsize="2880,0" path="m1135,263r2880,e" filled="f" strokeweight=".72pt">
            <v:path arrowok="t"/>
            <w10:wrap type="topAndBottom" anchorx="page"/>
          </v:shape>
        </w:pict>
      </w:r>
    </w:p>
    <w:p w14:paraId="0E01B782" w14:textId="77777777" w:rsidR="00467FCA" w:rsidRDefault="001B68EB">
      <w:pPr>
        <w:spacing w:before="71"/>
        <w:ind w:left="470"/>
        <w:jc w:val="both"/>
        <w:rPr>
          <w:sz w:val="16"/>
        </w:rPr>
      </w:pPr>
      <w:bookmarkStart w:id="646" w:name="_bookmark567"/>
      <w:bookmarkEnd w:id="646"/>
      <w:r>
        <w:rPr>
          <w:position w:val="6"/>
          <w:sz w:val="10"/>
        </w:rPr>
        <w:t xml:space="preserve">19 </w:t>
      </w:r>
      <w:r>
        <w:rPr>
          <w:i/>
          <w:sz w:val="16"/>
        </w:rPr>
        <w:t xml:space="preserve">Supra, </w:t>
      </w:r>
      <w:r>
        <w:rPr>
          <w:sz w:val="16"/>
        </w:rPr>
        <w:t>Nota N° 11.</w:t>
      </w:r>
    </w:p>
    <w:p w14:paraId="72E9A5E1" w14:textId="77777777" w:rsidR="00467FCA" w:rsidRDefault="001B68EB">
      <w:pPr>
        <w:ind w:left="470"/>
        <w:jc w:val="both"/>
        <w:rPr>
          <w:i/>
          <w:sz w:val="16"/>
        </w:rPr>
      </w:pPr>
      <w:bookmarkStart w:id="647" w:name="_bookmark568"/>
      <w:bookmarkEnd w:id="647"/>
      <w:r>
        <w:rPr>
          <w:position w:val="6"/>
          <w:sz w:val="10"/>
        </w:rPr>
        <w:t xml:space="preserve">20 </w:t>
      </w:r>
      <w:r>
        <w:rPr>
          <w:i/>
          <w:sz w:val="16"/>
        </w:rPr>
        <w:t>"Todo tratado en vigor obliga a las partes y debe ser cumplido por ellas de buena fe.”</w:t>
      </w:r>
    </w:p>
    <w:p w14:paraId="088D96A9" w14:textId="77777777" w:rsidR="00467FCA" w:rsidRDefault="001B68EB">
      <w:pPr>
        <w:ind w:left="470" w:right="392"/>
        <w:jc w:val="both"/>
        <w:rPr>
          <w:i/>
          <w:sz w:val="16"/>
        </w:rPr>
      </w:pPr>
      <w:bookmarkStart w:id="648" w:name="_bookmark569"/>
      <w:bookmarkEnd w:id="648"/>
      <w:r>
        <w:rPr>
          <w:position w:val="6"/>
          <w:sz w:val="10"/>
        </w:rPr>
        <w:t xml:space="preserve">21 </w:t>
      </w:r>
      <w:r>
        <w:rPr>
          <w:sz w:val="16"/>
        </w:rPr>
        <w:t xml:space="preserve">Art. 2: </w:t>
      </w:r>
      <w:r>
        <w:rPr>
          <w:i/>
          <w:sz w:val="16"/>
        </w:rPr>
        <w:t>“Deber de Adoptar Disposiciones de Derecho Interno. Si el ejercicio de los derechos y libertades mencionados</w:t>
      </w:r>
      <w:r>
        <w:rPr>
          <w:i/>
          <w:spacing w:val="-14"/>
          <w:sz w:val="16"/>
        </w:rPr>
        <w:t xml:space="preserve"> </w:t>
      </w:r>
      <w:r>
        <w:rPr>
          <w:i/>
          <w:sz w:val="16"/>
        </w:rPr>
        <w:t>en</w:t>
      </w:r>
      <w:r>
        <w:rPr>
          <w:i/>
          <w:spacing w:val="-18"/>
          <w:sz w:val="16"/>
        </w:rPr>
        <w:t xml:space="preserve"> </w:t>
      </w:r>
      <w:r>
        <w:rPr>
          <w:i/>
          <w:sz w:val="16"/>
        </w:rPr>
        <w:t>el</w:t>
      </w:r>
      <w:r>
        <w:rPr>
          <w:i/>
          <w:spacing w:val="-15"/>
          <w:sz w:val="16"/>
        </w:rPr>
        <w:t xml:space="preserve"> </w:t>
      </w:r>
      <w:r>
        <w:rPr>
          <w:i/>
          <w:sz w:val="16"/>
        </w:rPr>
        <w:t>artículo</w:t>
      </w:r>
      <w:r>
        <w:rPr>
          <w:i/>
          <w:spacing w:val="-16"/>
          <w:sz w:val="16"/>
        </w:rPr>
        <w:t xml:space="preserve"> </w:t>
      </w:r>
      <w:r>
        <w:rPr>
          <w:i/>
          <w:sz w:val="16"/>
        </w:rPr>
        <w:t>1</w:t>
      </w:r>
      <w:r>
        <w:rPr>
          <w:i/>
          <w:spacing w:val="-14"/>
          <w:sz w:val="16"/>
        </w:rPr>
        <w:t xml:space="preserve"> </w:t>
      </w:r>
      <w:r>
        <w:rPr>
          <w:i/>
          <w:sz w:val="16"/>
        </w:rPr>
        <w:t>no</w:t>
      </w:r>
      <w:r>
        <w:rPr>
          <w:i/>
          <w:spacing w:val="-14"/>
          <w:sz w:val="16"/>
        </w:rPr>
        <w:t xml:space="preserve"> </w:t>
      </w:r>
      <w:r>
        <w:rPr>
          <w:i/>
          <w:sz w:val="16"/>
        </w:rPr>
        <w:t>estuviere</w:t>
      </w:r>
      <w:r>
        <w:rPr>
          <w:i/>
          <w:spacing w:val="-17"/>
          <w:sz w:val="16"/>
        </w:rPr>
        <w:t xml:space="preserve"> </w:t>
      </w:r>
      <w:r>
        <w:rPr>
          <w:i/>
          <w:sz w:val="16"/>
        </w:rPr>
        <w:t>ya</w:t>
      </w:r>
      <w:r>
        <w:rPr>
          <w:i/>
          <w:spacing w:val="-17"/>
          <w:sz w:val="16"/>
        </w:rPr>
        <w:t xml:space="preserve"> </w:t>
      </w:r>
      <w:r>
        <w:rPr>
          <w:i/>
          <w:sz w:val="16"/>
        </w:rPr>
        <w:t>garantizado</w:t>
      </w:r>
      <w:r>
        <w:rPr>
          <w:i/>
          <w:spacing w:val="-14"/>
          <w:sz w:val="16"/>
        </w:rPr>
        <w:t xml:space="preserve"> </w:t>
      </w:r>
      <w:r>
        <w:rPr>
          <w:i/>
          <w:sz w:val="16"/>
        </w:rPr>
        <w:t>por</w:t>
      </w:r>
      <w:r>
        <w:rPr>
          <w:i/>
          <w:spacing w:val="-16"/>
          <w:sz w:val="16"/>
        </w:rPr>
        <w:t xml:space="preserve"> </w:t>
      </w:r>
      <w:r>
        <w:rPr>
          <w:i/>
          <w:sz w:val="16"/>
        </w:rPr>
        <w:t>disposiciones</w:t>
      </w:r>
      <w:r>
        <w:rPr>
          <w:i/>
          <w:spacing w:val="-16"/>
          <w:sz w:val="16"/>
        </w:rPr>
        <w:t xml:space="preserve"> </w:t>
      </w:r>
      <w:r>
        <w:rPr>
          <w:i/>
          <w:sz w:val="16"/>
        </w:rPr>
        <w:t>legislativas</w:t>
      </w:r>
      <w:r>
        <w:rPr>
          <w:i/>
          <w:spacing w:val="-17"/>
          <w:sz w:val="16"/>
        </w:rPr>
        <w:t xml:space="preserve"> </w:t>
      </w:r>
      <w:r>
        <w:rPr>
          <w:i/>
          <w:sz w:val="16"/>
        </w:rPr>
        <w:t>o</w:t>
      </w:r>
      <w:r>
        <w:rPr>
          <w:i/>
          <w:spacing w:val="-16"/>
          <w:sz w:val="16"/>
        </w:rPr>
        <w:t xml:space="preserve"> </w:t>
      </w:r>
      <w:r>
        <w:rPr>
          <w:i/>
          <w:sz w:val="16"/>
        </w:rPr>
        <w:t>de</w:t>
      </w:r>
      <w:r>
        <w:rPr>
          <w:i/>
          <w:spacing w:val="-17"/>
          <w:sz w:val="16"/>
        </w:rPr>
        <w:t xml:space="preserve"> </w:t>
      </w:r>
      <w:r>
        <w:rPr>
          <w:i/>
          <w:sz w:val="16"/>
        </w:rPr>
        <w:t>otro</w:t>
      </w:r>
      <w:r>
        <w:rPr>
          <w:i/>
          <w:spacing w:val="-16"/>
          <w:sz w:val="16"/>
        </w:rPr>
        <w:t xml:space="preserve"> </w:t>
      </w:r>
      <w:r>
        <w:rPr>
          <w:i/>
          <w:sz w:val="16"/>
        </w:rPr>
        <w:t>carácter,</w:t>
      </w:r>
      <w:r>
        <w:rPr>
          <w:i/>
          <w:spacing w:val="-15"/>
          <w:sz w:val="16"/>
        </w:rPr>
        <w:t xml:space="preserve"> </w:t>
      </w:r>
      <w:r>
        <w:rPr>
          <w:i/>
          <w:sz w:val="16"/>
        </w:rPr>
        <w:t>los</w:t>
      </w:r>
      <w:r>
        <w:rPr>
          <w:i/>
          <w:spacing w:val="-14"/>
          <w:sz w:val="16"/>
        </w:rPr>
        <w:t xml:space="preserve"> </w:t>
      </w:r>
      <w:r>
        <w:rPr>
          <w:i/>
          <w:sz w:val="16"/>
        </w:rPr>
        <w:t>Estados Partes se comprometen a adoptar, con arreglo a sus procedimientos constitucionales y a las disposiciones de esta Convención,</w:t>
      </w:r>
      <w:r>
        <w:rPr>
          <w:i/>
          <w:spacing w:val="-4"/>
          <w:sz w:val="16"/>
        </w:rPr>
        <w:t xml:space="preserve"> </w:t>
      </w:r>
      <w:r>
        <w:rPr>
          <w:i/>
          <w:sz w:val="16"/>
        </w:rPr>
        <w:t>las</w:t>
      </w:r>
      <w:r>
        <w:rPr>
          <w:i/>
          <w:spacing w:val="-6"/>
          <w:sz w:val="16"/>
        </w:rPr>
        <w:t xml:space="preserve"> </w:t>
      </w:r>
      <w:r>
        <w:rPr>
          <w:i/>
          <w:sz w:val="16"/>
        </w:rPr>
        <w:t>medidas</w:t>
      </w:r>
      <w:r>
        <w:rPr>
          <w:i/>
          <w:spacing w:val="-5"/>
          <w:sz w:val="16"/>
        </w:rPr>
        <w:t xml:space="preserve"> </w:t>
      </w:r>
      <w:r>
        <w:rPr>
          <w:i/>
          <w:sz w:val="16"/>
        </w:rPr>
        <w:t>legislativas</w:t>
      </w:r>
      <w:r>
        <w:rPr>
          <w:i/>
          <w:spacing w:val="-6"/>
          <w:sz w:val="16"/>
        </w:rPr>
        <w:t xml:space="preserve"> </w:t>
      </w:r>
      <w:r>
        <w:rPr>
          <w:i/>
          <w:sz w:val="16"/>
        </w:rPr>
        <w:t>o</w:t>
      </w:r>
      <w:r>
        <w:rPr>
          <w:i/>
          <w:spacing w:val="-5"/>
          <w:sz w:val="16"/>
        </w:rPr>
        <w:t xml:space="preserve"> </w:t>
      </w:r>
      <w:r>
        <w:rPr>
          <w:i/>
          <w:sz w:val="16"/>
        </w:rPr>
        <w:t>de</w:t>
      </w:r>
      <w:r>
        <w:rPr>
          <w:i/>
          <w:spacing w:val="-5"/>
          <w:sz w:val="16"/>
        </w:rPr>
        <w:t xml:space="preserve"> </w:t>
      </w:r>
      <w:r>
        <w:rPr>
          <w:i/>
          <w:sz w:val="16"/>
        </w:rPr>
        <w:t>otro</w:t>
      </w:r>
      <w:r>
        <w:rPr>
          <w:i/>
          <w:spacing w:val="-5"/>
          <w:sz w:val="16"/>
        </w:rPr>
        <w:t xml:space="preserve"> </w:t>
      </w:r>
      <w:r>
        <w:rPr>
          <w:i/>
          <w:sz w:val="16"/>
        </w:rPr>
        <w:t>carácter</w:t>
      </w:r>
      <w:r>
        <w:rPr>
          <w:i/>
          <w:spacing w:val="-4"/>
          <w:sz w:val="16"/>
        </w:rPr>
        <w:t xml:space="preserve"> </w:t>
      </w:r>
      <w:r>
        <w:rPr>
          <w:i/>
          <w:sz w:val="16"/>
        </w:rPr>
        <w:t>que</w:t>
      </w:r>
      <w:r>
        <w:rPr>
          <w:i/>
          <w:spacing w:val="-6"/>
          <w:sz w:val="16"/>
        </w:rPr>
        <w:t xml:space="preserve"> </w:t>
      </w:r>
      <w:r>
        <w:rPr>
          <w:i/>
          <w:sz w:val="16"/>
        </w:rPr>
        <w:t>fueren</w:t>
      </w:r>
      <w:r>
        <w:rPr>
          <w:i/>
          <w:spacing w:val="-6"/>
          <w:sz w:val="16"/>
        </w:rPr>
        <w:t xml:space="preserve"> </w:t>
      </w:r>
      <w:r>
        <w:rPr>
          <w:i/>
          <w:sz w:val="16"/>
        </w:rPr>
        <w:t>necesarias</w:t>
      </w:r>
      <w:r>
        <w:rPr>
          <w:i/>
          <w:spacing w:val="-6"/>
          <w:sz w:val="16"/>
        </w:rPr>
        <w:t xml:space="preserve"> </w:t>
      </w:r>
      <w:r>
        <w:rPr>
          <w:i/>
          <w:sz w:val="16"/>
        </w:rPr>
        <w:t>para</w:t>
      </w:r>
      <w:r>
        <w:rPr>
          <w:i/>
          <w:spacing w:val="-4"/>
          <w:sz w:val="16"/>
        </w:rPr>
        <w:t xml:space="preserve"> </w:t>
      </w:r>
      <w:r>
        <w:rPr>
          <w:i/>
          <w:sz w:val="16"/>
        </w:rPr>
        <w:t>hacer</w:t>
      </w:r>
      <w:r>
        <w:rPr>
          <w:i/>
          <w:spacing w:val="-4"/>
          <w:sz w:val="16"/>
        </w:rPr>
        <w:t xml:space="preserve"> </w:t>
      </w:r>
      <w:r>
        <w:rPr>
          <w:i/>
          <w:sz w:val="16"/>
        </w:rPr>
        <w:t>efectivos</w:t>
      </w:r>
      <w:r>
        <w:rPr>
          <w:i/>
          <w:spacing w:val="-6"/>
          <w:sz w:val="16"/>
        </w:rPr>
        <w:t xml:space="preserve"> </w:t>
      </w:r>
      <w:r>
        <w:rPr>
          <w:i/>
          <w:sz w:val="16"/>
        </w:rPr>
        <w:t>tales</w:t>
      </w:r>
      <w:r>
        <w:rPr>
          <w:i/>
          <w:spacing w:val="-5"/>
          <w:sz w:val="16"/>
        </w:rPr>
        <w:t xml:space="preserve"> </w:t>
      </w:r>
      <w:r>
        <w:rPr>
          <w:i/>
          <w:sz w:val="16"/>
        </w:rPr>
        <w:t>derechos</w:t>
      </w:r>
      <w:r>
        <w:rPr>
          <w:i/>
          <w:spacing w:val="-6"/>
          <w:sz w:val="16"/>
        </w:rPr>
        <w:t xml:space="preserve"> </w:t>
      </w:r>
      <w:r>
        <w:rPr>
          <w:i/>
          <w:sz w:val="16"/>
        </w:rPr>
        <w:t>y libertades.</w:t>
      </w:r>
    </w:p>
    <w:p w14:paraId="3AD996DB" w14:textId="77777777" w:rsidR="00467FCA" w:rsidRDefault="00467FCA">
      <w:pPr>
        <w:jc w:val="both"/>
        <w:rPr>
          <w:sz w:val="16"/>
        </w:rPr>
        <w:sectPr w:rsidR="00467FCA">
          <w:pgSz w:w="12240" w:h="15840"/>
          <w:pgMar w:top="1340" w:right="1140" w:bottom="1200" w:left="960" w:header="0" w:footer="1002" w:gutter="0"/>
          <w:cols w:space="720"/>
        </w:sectPr>
      </w:pPr>
    </w:p>
    <w:p w14:paraId="487D11A5" w14:textId="77777777" w:rsidR="00467FCA" w:rsidRDefault="001B68EB">
      <w:pPr>
        <w:pStyle w:val="Textoindependiente"/>
        <w:spacing w:before="76" w:line="276" w:lineRule="auto"/>
        <w:ind w:left="470" w:right="395"/>
        <w:jc w:val="both"/>
      </w:pPr>
      <w:r>
        <w:t>del ideal al que se aspira, cual es, según su Preámbulo, el de crear las condiciones que permitan su “</w:t>
      </w:r>
      <w:r>
        <w:rPr>
          <w:i/>
        </w:rPr>
        <w:t>goce</w:t>
      </w:r>
      <w:r>
        <w:t>”</w:t>
      </w:r>
      <w:hyperlink w:anchor="_bookmark570" w:history="1">
        <w:r>
          <w:rPr>
            <w:position w:val="7"/>
            <w:sz w:val="13"/>
          </w:rPr>
          <w:t>22</w:t>
        </w:r>
      </w:hyperlink>
      <w:r>
        <w:t>, son, empero, distintos y particularmen</w:t>
      </w:r>
      <w:r>
        <w:t>te, de desigual desarrollo en el ámbito del Derecho Internacional Público, por lo que deben tener un tratamiento diferenciado, que es precisamente lo que aquella hace en vista de lo que también indica su Preámbulo</w:t>
      </w:r>
      <w:hyperlink w:anchor="_bookmark571" w:history="1">
        <w:r>
          <w:rPr>
            <w:position w:val="7"/>
            <w:sz w:val="13"/>
          </w:rPr>
          <w:t>23</w:t>
        </w:r>
      </w:hyperlink>
      <w:r>
        <w:t>.</w:t>
      </w:r>
    </w:p>
    <w:p w14:paraId="011AC8BA" w14:textId="77777777" w:rsidR="00467FCA" w:rsidRDefault="00467FCA">
      <w:pPr>
        <w:pStyle w:val="Textoindependiente"/>
        <w:spacing w:before="3"/>
        <w:rPr>
          <w:sz w:val="22"/>
        </w:rPr>
      </w:pPr>
    </w:p>
    <w:p w14:paraId="7B933C9E" w14:textId="77777777" w:rsidR="00467FCA" w:rsidRDefault="001B68EB">
      <w:pPr>
        <w:pStyle w:val="Prrafodelista"/>
        <w:numPr>
          <w:ilvl w:val="0"/>
          <w:numId w:val="25"/>
        </w:numPr>
        <w:tabs>
          <w:tab w:val="left" w:pos="1450"/>
        </w:tabs>
        <w:spacing w:line="276" w:lineRule="auto"/>
        <w:ind w:right="396" w:firstLine="0"/>
        <w:jc w:val="both"/>
        <w:rPr>
          <w:sz w:val="20"/>
        </w:rPr>
      </w:pPr>
      <w:r>
        <w:rPr>
          <w:sz w:val="20"/>
        </w:rPr>
        <w:t>Entonc</w:t>
      </w:r>
      <w:r>
        <w:rPr>
          <w:sz w:val="20"/>
        </w:rPr>
        <w:t>es y al amparo del principio de buena fe, procede subrayar que, de la circunstancia</w:t>
      </w:r>
      <w:r>
        <w:rPr>
          <w:spacing w:val="-4"/>
          <w:sz w:val="20"/>
        </w:rPr>
        <w:t xml:space="preserve"> </w:t>
      </w:r>
      <w:r>
        <w:rPr>
          <w:sz w:val="20"/>
        </w:rPr>
        <w:t>de</w:t>
      </w:r>
      <w:r>
        <w:rPr>
          <w:spacing w:val="-4"/>
          <w:sz w:val="20"/>
        </w:rPr>
        <w:t xml:space="preserve"> </w:t>
      </w:r>
      <w:r>
        <w:rPr>
          <w:sz w:val="20"/>
        </w:rPr>
        <w:t>que</w:t>
      </w:r>
      <w:r>
        <w:rPr>
          <w:spacing w:val="-4"/>
          <w:sz w:val="20"/>
        </w:rPr>
        <w:t xml:space="preserve"> </w:t>
      </w:r>
      <w:r>
        <w:rPr>
          <w:sz w:val="20"/>
        </w:rPr>
        <w:t>en</w:t>
      </w:r>
      <w:r>
        <w:rPr>
          <w:spacing w:val="-2"/>
          <w:sz w:val="20"/>
        </w:rPr>
        <w:t xml:space="preserve"> </w:t>
      </w:r>
      <w:r>
        <w:rPr>
          <w:sz w:val="20"/>
        </w:rPr>
        <w:t>el</w:t>
      </w:r>
      <w:r>
        <w:rPr>
          <w:spacing w:val="-5"/>
          <w:sz w:val="20"/>
        </w:rPr>
        <w:t xml:space="preserve"> </w:t>
      </w:r>
      <w:r>
        <w:rPr>
          <w:sz w:val="20"/>
        </w:rPr>
        <w:t>Preámbulo</w:t>
      </w:r>
      <w:r>
        <w:rPr>
          <w:spacing w:val="-7"/>
          <w:sz w:val="20"/>
        </w:rPr>
        <w:t xml:space="preserve"> </w:t>
      </w:r>
      <w:r>
        <w:rPr>
          <w:sz w:val="20"/>
        </w:rPr>
        <w:t>de</w:t>
      </w:r>
      <w:r>
        <w:rPr>
          <w:spacing w:val="-7"/>
          <w:sz w:val="20"/>
        </w:rPr>
        <w:t xml:space="preserve"> </w:t>
      </w:r>
      <w:r>
        <w:rPr>
          <w:sz w:val="20"/>
        </w:rPr>
        <w:t>la</w:t>
      </w:r>
      <w:r>
        <w:rPr>
          <w:spacing w:val="-3"/>
          <w:sz w:val="20"/>
        </w:rPr>
        <w:t xml:space="preserve"> </w:t>
      </w:r>
      <w:r>
        <w:rPr>
          <w:sz w:val="20"/>
        </w:rPr>
        <w:t>Convención</w:t>
      </w:r>
      <w:r>
        <w:rPr>
          <w:spacing w:val="-3"/>
          <w:sz w:val="20"/>
        </w:rPr>
        <w:t xml:space="preserve"> </w:t>
      </w:r>
      <w:r>
        <w:rPr>
          <w:sz w:val="20"/>
        </w:rPr>
        <w:t>se</w:t>
      </w:r>
      <w:r>
        <w:rPr>
          <w:spacing w:val="-4"/>
          <w:sz w:val="20"/>
        </w:rPr>
        <w:t xml:space="preserve"> </w:t>
      </w:r>
      <w:r>
        <w:rPr>
          <w:sz w:val="20"/>
        </w:rPr>
        <w:t>afirme</w:t>
      </w:r>
      <w:r>
        <w:rPr>
          <w:spacing w:val="-4"/>
          <w:sz w:val="20"/>
        </w:rPr>
        <w:t xml:space="preserve"> </w:t>
      </w:r>
      <w:r>
        <w:rPr>
          <w:sz w:val="20"/>
        </w:rPr>
        <w:t>que</w:t>
      </w:r>
      <w:r>
        <w:rPr>
          <w:spacing w:val="-7"/>
          <w:sz w:val="20"/>
        </w:rPr>
        <w:t xml:space="preserve"> </w:t>
      </w:r>
      <w:r>
        <w:rPr>
          <w:sz w:val="20"/>
        </w:rPr>
        <w:t>la persona</w:t>
      </w:r>
      <w:r>
        <w:rPr>
          <w:spacing w:val="-5"/>
          <w:sz w:val="20"/>
        </w:rPr>
        <w:t xml:space="preserve"> </w:t>
      </w:r>
      <w:r>
        <w:rPr>
          <w:sz w:val="20"/>
        </w:rPr>
        <w:t>debe</w:t>
      </w:r>
      <w:r>
        <w:rPr>
          <w:spacing w:val="-4"/>
          <w:sz w:val="20"/>
        </w:rPr>
        <w:t xml:space="preserve"> </w:t>
      </w:r>
      <w:r>
        <w:rPr>
          <w:sz w:val="20"/>
        </w:rPr>
        <w:t>gozar de sus derechos económicos, sociales y culturales, tanto como de sus derechos civiles y políticos, no se colige, como lo hace la Sentencia, que el efecto útil del artículo 26 sea que la violación de los derechos a que alude son justiciables ante la C</w:t>
      </w:r>
      <w:r>
        <w:rPr>
          <w:sz w:val="20"/>
        </w:rPr>
        <w:t>orte, sino que los Estados adopten</w:t>
      </w:r>
      <w:r>
        <w:rPr>
          <w:spacing w:val="-11"/>
          <w:sz w:val="20"/>
        </w:rPr>
        <w:t xml:space="preserve"> </w:t>
      </w:r>
      <w:r>
        <w:rPr>
          <w:sz w:val="20"/>
        </w:rPr>
        <w:t>las</w:t>
      </w:r>
      <w:r>
        <w:rPr>
          <w:spacing w:val="-13"/>
          <w:sz w:val="20"/>
        </w:rPr>
        <w:t xml:space="preserve"> </w:t>
      </w:r>
      <w:r>
        <w:rPr>
          <w:sz w:val="20"/>
        </w:rPr>
        <w:t>providencias</w:t>
      </w:r>
      <w:r>
        <w:rPr>
          <w:spacing w:val="-12"/>
          <w:sz w:val="20"/>
        </w:rPr>
        <w:t xml:space="preserve"> </w:t>
      </w:r>
      <w:r>
        <w:rPr>
          <w:sz w:val="20"/>
        </w:rPr>
        <w:t>pertinentes</w:t>
      </w:r>
      <w:r>
        <w:rPr>
          <w:spacing w:val="-11"/>
          <w:sz w:val="20"/>
        </w:rPr>
        <w:t xml:space="preserve"> </w:t>
      </w:r>
      <w:r>
        <w:rPr>
          <w:sz w:val="20"/>
        </w:rPr>
        <w:t>para</w:t>
      </w:r>
      <w:r>
        <w:rPr>
          <w:spacing w:val="-9"/>
          <w:sz w:val="20"/>
        </w:rPr>
        <w:t xml:space="preserve"> </w:t>
      </w:r>
      <w:r>
        <w:rPr>
          <w:sz w:val="20"/>
        </w:rPr>
        <w:t>hacer</w:t>
      </w:r>
      <w:r>
        <w:rPr>
          <w:spacing w:val="-11"/>
          <w:sz w:val="20"/>
        </w:rPr>
        <w:t xml:space="preserve"> </w:t>
      </w:r>
      <w:r>
        <w:rPr>
          <w:sz w:val="20"/>
        </w:rPr>
        <w:t>progresivamente</w:t>
      </w:r>
      <w:r>
        <w:rPr>
          <w:spacing w:val="-9"/>
          <w:sz w:val="20"/>
        </w:rPr>
        <w:t xml:space="preserve"> </w:t>
      </w:r>
      <w:r>
        <w:rPr>
          <w:sz w:val="20"/>
        </w:rPr>
        <w:t>efectivos</w:t>
      </w:r>
      <w:r>
        <w:rPr>
          <w:spacing w:val="-10"/>
          <w:sz w:val="20"/>
        </w:rPr>
        <w:t xml:space="preserve"> </w:t>
      </w:r>
      <w:r>
        <w:rPr>
          <w:sz w:val="20"/>
        </w:rPr>
        <w:t>dichos</w:t>
      </w:r>
      <w:r>
        <w:rPr>
          <w:spacing w:val="-13"/>
          <w:sz w:val="20"/>
        </w:rPr>
        <w:t xml:space="preserve"> </w:t>
      </w:r>
      <w:r>
        <w:rPr>
          <w:sz w:val="20"/>
        </w:rPr>
        <w:t>derechos.</w:t>
      </w:r>
    </w:p>
    <w:p w14:paraId="5A896A51" w14:textId="77777777" w:rsidR="00467FCA" w:rsidRDefault="00467FCA">
      <w:pPr>
        <w:pStyle w:val="Textoindependiente"/>
        <w:spacing w:before="5"/>
        <w:rPr>
          <w:sz w:val="22"/>
        </w:rPr>
      </w:pPr>
    </w:p>
    <w:p w14:paraId="64C0809D"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Como</w:t>
      </w:r>
      <w:r>
        <w:rPr>
          <w:spacing w:val="-15"/>
          <w:sz w:val="20"/>
        </w:rPr>
        <w:t xml:space="preserve"> </w:t>
      </w:r>
      <w:r>
        <w:rPr>
          <w:sz w:val="20"/>
        </w:rPr>
        <w:t>una</w:t>
      </w:r>
      <w:r>
        <w:rPr>
          <w:spacing w:val="-15"/>
          <w:sz w:val="20"/>
        </w:rPr>
        <w:t xml:space="preserve"> </w:t>
      </w:r>
      <w:r>
        <w:rPr>
          <w:sz w:val="20"/>
        </w:rPr>
        <w:t>acotación</w:t>
      </w:r>
      <w:r>
        <w:rPr>
          <w:spacing w:val="-14"/>
          <w:sz w:val="20"/>
        </w:rPr>
        <w:t xml:space="preserve"> </w:t>
      </w:r>
      <w:r>
        <w:rPr>
          <w:sz w:val="20"/>
        </w:rPr>
        <w:t>adicional,</w:t>
      </w:r>
      <w:r>
        <w:rPr>
          <w:spacing w:val="-13"/>
          <w:sz w:val="20"/>
        </w:rPr>
        <w:t xml:space="preserve"> </w:t>
      </w:r>
      <w:r>
        <w:rPr>
          <w:sz w:val="20"/>
        </w:rPr>
        <w:t>resulta</w:t>
      </w:r>
      <w:r>
        <w:rPr>
          <w:spacing w:val="-15"/>
          <w:sz w:val="20"/>
        </w:rPr>
        <w:t xml:space="preserve"> </w:t>
      </w:r>
      <w:r>
        <w:rPr>
          <w:sz w:val="20"/>
        </w:rPr>
        <w:t>imperioso</w:t>
      </w:r>
      <w:r>
        <w:rPr>
          <w:spacing w:val="-14"/>
          <w:sz w:val="20"/>
        </w:rPr>
        <w:t xml:space="preserve"> </w:t>
      </w:r>
      <w:r>
        <w:rPr>
          <w:sz w:val="20"/>
        </w:rPr>
        <w:t>expresar</w:t>
      </w:r>
      <w:r>
        <w:rPr>
          <w:spacing w:val="-16"/>
          <w:sz w:val="20"/>
        </w:rPr>
        <w:t xml:space="preserve"> </w:t>
      </w:r>
      <w:r>
        <w:rPr>
          <w:sz w:val="20"/>
        </w:rPr>
        <w:t>que</w:t>
      </w:r>
      <w:r>
        <w:rPr>
          <w:spacing w:val="-14"/>
          <w:sz w:val="20"/>
        </w:rPr>
        <w:t xml:space="preserve"> </w:t>
      </w:r>
      <w:r>
        <w:rPr>
          <w:sz w:val="20"/>
        </w:rPr>
        <w:t>es</w:t>
      </w:r>
      <w:r>
        <w:rPr>
          <w:spacing w:val="-13"/>
          <w:sz w:val="20"/>
        </w:rPr>
        <w:t xml:space="preserve"> </w:t>
      </w:r>
      <w:r>
        <w:rPr>
          <w:sz w:val="20"/>
        </w:rPr>
        <w:t>sorprendente</w:t>
      </w:r>
      <w:r>
        <w:rPr>
          <w:spacing w:val="-16"/>
          <w:sz w:val="20"/>
        </w:rPr>
        <w:t xml:space="preserve"> </w:t>
      </w:r>
      <w:r>
        <w:rPr>
          <w:sz w:val="20"/>
        </w:rPr>
        <w:t>que la</w:t>
      </w:r>
      <w:r>
        <w:rPr>
          <w:spacing w:val="-6"/>
          <w:sz w:val="20"/>
        </w:rPr>
        <w:t xml:space="preserve"> </w:t>
      </w:r>
      <w:r>
        <w:rPr>
          <w:sz w:val="20"/>
        </w:rPr>
        <w:t>Sentencia</w:t>
      </w:r>
      <w:r>
        <w:rPr>
          <w:spacing w:val="-5"/>
          <w:sz w:val="20"/>
        </w:rPr>
        <w:t xml:space="preserve"> </w:t>
      </w:r>
      <w:r>
        <w:rPr>
          <w:sz w:val="20"/>
        </w:rPr>
        <w:t>no</w:t>
      </w:r>
      <w:r>
        <w:rPr>
          <w:spacing w:val="-5"/>
          <w:sz w:val="20"/>
        </w:rPr>
        <w:t xml:space="preserve"> </w:t>
      </w:r>
      <w:r>
        <w:rPr>
          <w:sz w:val="20"/>
        </w:rPr>
        <w:t>se</w:t>
      </w:r>
      <w:r>
        <w:rPr>
          <w:spacing w:val="-7"/>
          <w:sz w:val="20"/>
        </w:rPr>
        <w:t xml:space="preserve"> </w:t>
      </w:r>
      <w:r>
        <w:rPr>
          <w:sz w:val="20"/>
        </w:rPr>
        <w:t>haya</w:t>
      </w:r>
      <w:r>
        <w:rPr>
          <w:spacing w:val="-3"/>
          <w:sz w:val="20"/>
        </w:rPr>
        <w:t xml:space="preserve"> </w:t>
      </w:r>
      <w:r>
        <w:rPr>
          <w:sz w:val="20"/>
        </w:rPr>
        <w:t>referido,</w:t>
      </w:r>
      <w:r>
        <w:rPr>
          <w:spacing w:val="-5"/>
          <w:sz w:val="20"/>
        </w:rPr>
        <w:t xml:space="preserve"> </w:t>
      </w:r>
      <w:r>
        <w:rPr>
          <w:sz w:val="20"/>
        </w:rPr>
        <w:t>en</w:t>
      </w:r>
      <w:r>
        <w:rPr>
          <w:spacing w:val="-4"/>
          <w:sz w:val="20"/>
        </w:rPr>
        <w:t xml:space="preserve"> </w:t>
      </w:r>
      <w:r>
        <w:rPr>
          <w:sz w:val="20"/>
        </w:rPr>
        <w:t>parte</w:t>
      </w:r>
      <w:r>
        <w:rPr>
          <w:spacing w:val="-7"/>
          <w:sz w:val="20"/>
        </w:rPr>
        <w:t xml:space="preserve"> </w:t>
      </w:r>
      <w:r>
        <w:rPr>
          <w:sz w:val="20"/>
        </w:rPr>
        <w:t>alguna,</w:t>
      </w:r>
      <w:r>
        <w:rPr>
          <w:spacing w:val="-6"/>
          <w:sz w:val="20"/>
        </w:rPr>
        <w:t xml:space="preserve"> </w:t>
      </w:r>
      <w:r>
        <w:rPr>
          <w:sz w:val="20"/>
        </w:rPr>
        <w:t>a</w:t>
      </w:r>
      <w:r>
        <w:rPr>
          <w:spacing w:val="-6"/>
          <w:sz w:val="20"/>
        </w:rPr>
        <w:t xml:space="preserve"> </w:t>
      </w:r>
      <w:r>
        <w:rPr>
          <w:sz w:val="20"/>
        </w:rPr>
        <w:t>la</w:t>
      </w:r>
      <w:r>
        <w:rPr>
          <w:spacing w:val="-5"/>
          <w:sz w:val="20"/>
        </w:rPr>
        <w:t xml:space="preserve"> </w:t>
      </w:r>
      <w:r>
        <w:rPr>
          <w:sz w:val="20"/>
        </w:rPr>
        <w:t>buena</w:t>
      </w:r>
      <w:r>
        <w:rPr>
          <w:spacing w:val="-5"/>
          <w:sz w:val="20"/>
        </w:rPr>
        <w:t xml:space="preserve"> </w:t>
      </w:r>
      <w:r>
        <w:rPr>
          <w:sz w:val="20"/>
        </w:rPr>
        <w:t>fe</w:t>
      </w:r>
      <w:r>
        <w:rPr>
          <w:spacing w:val="-5"/>
          <w:sz w:val="20"/>
        </w:rPr>
        <w:t xml:space="preserve"> </w:t>
      </w:r>
      <w:r>
        <w:rPr>
          <w:sz w:val="20"/>
        </w:rPr>
        <w:t>como</w:t>
      </w:r>
      <w:r>
        <w:rPr>
          <w:spacing w:val="-4"/>
          <w:sz w:val="20"/>
        </w:rPr>
        <w:t xml:space="preserve"> </w:t>
      </w:r>
      <w:r>
        <w:rPr>
          <w:sz w:val="20"/>
        </w:rPr>
        <w:t>elemento</w:t>
      </w:r>
      <w:r>
        <w:rPr>
          <w:spacing w:val="-7"/>
          <w:sz w:val="20"/>
        </w:rPr>
        <w:t xml:space="preserve"> </w:t>
      </w:r>
      <w:r>
        <w:rPr>
          <w:sz w:val="20"/>
        </w:rPr>
        <w:t>tan</w:t>
      </w:r>
      <w:r>
        <w:rPr>
          <w:spacing w:val="-5"/>
          <w:sz w:val="20"/>
        </w:rPr>
        <w:t xml:space="preserve"> </w:t>
      </w:r>
      <w:r>
        <w:rPr>
          <w:sz w:val="20"/>
        </w:rPr>
        <w:t xml:space="preserve">esencial como los otros que contempla el art. 31.1 de la Convención de Viena para la interpretación de los tratados, todos los cuales deben ser empleados simultánea y armoniosamente, sin privilegiar o desmerecer a uno u otro. En </w:t>
      </w:r>
      <w:r>
        <w:rPr>
          <w:sz w:val="20"/>
        </w:rPr>
        <w:t>el mismo sentido, es también insólito que no suministre</w:t>
      </w:r>
      <w:r>
        <w:rPr>
          <w:spacing w:val="-8"/>
          <w:sz w:val="20"/>
        </w:rPr>
        <w:t xml:space="preserve"> </w:t>
      </w:r>
      <w:r>
        <w:rPr>
          <w:sz w:val="20"/>
        </w:rPr>
        <w:t>ninguna</w:t>
      </w:r>
      <w:r>
        <w:rPr>
          <w:spacing w:val="-8"/>
          <w:sz w:val="20"/>
        </w:rPr>
        <w:t xml:space="preserve"> </w:t>
      </w:r>
      <w:r>
        <w:rPr>
          <w:sz w:val="20"/>
        </w:rPr>
        <w:t>explicación</w:t>
      </w:r>
      <w:r>
        <w:rPr>
          <w:spacing w:val="-4"/>
          <w:sz w:val="20"/>
        </w:rPr>
        <w:t xml:space="preserve"> </w:t>
      </w:r>
      <w:r>
        <w:rPr>
          <w:sz w:val="20"/>
        </w:rPr>
        <w:t>acerca</w:t>
      </w:r>
      <w:r>
        <w:rPr>
          <w:spacing w:val="-9"/>
          <w:sz w:val="20"/>
        </w:rPr>
        <w:t xml:space="preserve"> </w:t>
      </w:r>
      <w:r>
        <w:rPr>
          <w:sz w:val="20"/>
        </w:rPr>
        <w:t>de</w:t>
      </w:r>
      <w:r>
        <w:rPr>
          <w:spacing w:val="-7"/>
          <w:sz w:val="20"/>
        </w:rPr>
        <w:t xml:space="preserve"> </w:t>
      </w:r>
      <w:r>
        <w:rPr>
          <w:sz w:val="20"/>
        </w:rPr>
        <w:t>la</w:t>
      </w:r>
      <w:r>
        <w:rPr>
          <w:spacing w:val="-8"/>
          <w:sz w:val="20"/>
        </w:rPr>
        <w:t xml:space="preserve"> </w:t>
      </w:r>
      <w:r>
        <w:rPr>
          <w:sz w:val="20"/>
        </w:rPr>
        <w:t>inclusión</w:t>
      </w:r>
      <w:r>
        <w:rPr>
          <w:spacing w:val="-8"/>
          <w:sz w:val="20"/>
        </w:rPr>
        <w:t xml:space="preserve"> </w:t>
      </w:r>
      <w:r>
        <w:rPr>
          <w:sz w:val="20"/>
        </w:rPr>
        <w:t>del</w:t>
      </w:r>
      <w:r>
        <w:rPr>
          <w:spacing w:val="-8"/>
          <w:sz w:val="20"/>
        </w:rPr>
        <w:t xml:space="preserve"> </w:t>
      </w:r>
      <w:r>
        <w:rPr>
          <w:sz w:val="20"/>
        </w:rPr>
        <w:t>artículo</w:t>
      </w:r>
      <w:r>
        <w:rPr>
          <w:spacing w:val="-7"/>
          <w:sz w:val="20"/>
        </w:rPr>
        <w:t xml:space="preserve"> </w:t>
      </w:r>
      <w:r>
        <w:rPr>
          <w:sz w:val="20"/>
        </w:rPr>
        <w:t>26</w:t>
      </w:r>
      <w:r>
        <w:rPr>
          <w:spacing w:val="-5"/>
          <w:sz w:val="20"/>
        </w:rPr>
        <w:t xml:space="preserve"> </w:t>
      </w:r>
      <w:r>
        <w:rPr>
          <w:sz w:val="20"/>
        </w:rPr>
        <w:t>en</w:t>
      </w:r>
      <w:r>
        <w:rPr>
          <w:spacing w:val="-5"/>
          <w:sz w:val="20"/>
        </w:rPr>
        <w:t xml:space="preserve"> </w:t>
      </w:r>
      <w:r>
        <w:rPr>
          <w:sz w:val="20"/>
        </w:rPr>
        <w:t>un</w:t>
      </w:r>
      <w:r>
        <w:rPr>
          <w:spacing w:val="-7"/>
          <w:sz w:val="20"/>
        </w:rPr>
        <w:t xml:space="preserve"> </w:t>
      </w:r>
      <w:r>
        <w:rPr>
          <w:sz w:val="20"/>
        </w:rPr>
        <w:t>capítulo</w:t>
      </w:r>
      <w:r>
        <w:rPr>
          <w:spacing w:val="-7"/>
          <w:sz w:val="20"/>
        </w:rPr>
        <w:t xml:space="preserve"> </w:t>
      </w:r>
      <w:r>
        <w:rPr>
          <w:sz w:val="20"/>
        </w:rPr>
        <w:t>separado de los derechos políticos y civiles y, en particular, de cuál sería su razón de ser y su efecto útil. La Sentencia no</w:t>
      </w:r>
      <w:r>
        <w:rPr>
          <w:sz w:val="20"/>
        </w:rPr>
        <w:t xml:space="preserve"> da respuesta alguna en lo que dice relación al motivo o razón de la existencia del artículo 26 en tanto norma diferente a las previstas en cuanto a los derechos civiles y</w:t>
      </w:r>
      <w:r>
        <w:rPr>
          <w:spacing w:val="-2"/>
          <w:sz w:val="20"/>
        </w:rPr>
        <w:t xml:space="preserve"> </w:t>
      </w:r>
      <w:r>
        <w:rPr>
          <w:sz w:val="20"/>
        </w:rPr>
        <w:t>políticos.</w:t>
      </w:r>
    </w:p>
    <w:p w14:paraId="4812E30C" w14:textId="77777777" w:rsidR="00467FCA" w:rsidRDefault="00467FCA">
      <w:pPr>
        <w:pStyle w:val="Textoindependiente"/>
        <w:spacing w:before="3"/>
        <w:rPr>
          <w:sz w:val="22"/>
        </w:rPr>
      </w:pPr>
    </w:p>
    <w:p w14:paraId="179D1F4D" w14:textId="77777777" w:rsidR="00467FCA" w:rsidRDefault="001B68EB">
      <w:pPr>
        <w:pStyle w:val="Prrafodelista"/>
        <w:numPr>
          <w:ilvl w:val="0"/>
          <w:numId w:val="25"/>
        </w:numPr>
        <w:tabs>
          <w:tab w:val="left" w:pos="1450"/>
        </w:tabs>
        <w:spacing w:line="276" w:lineRule="auto"/>
        <w:ind w:left="469" w:right="395" w:firstLine="0"/>
        <w:jc w:val="both"/>
        <w:rPr>
          <w:sz w:val="20"/>
        </w:rPr>
      </w:pPr>
      <w:r>
        <w:rPr>
          <w:sz w:val="20"/>
        </w:rPr>
        <w:t>En suma, entonces, la buena fe conduce a estimar al artículo 26 en su propio mérito, lo que implica que debe ser interpretado, no como reconociendo derechos que no enumera ni desarrolla, como se hace en autos, sino como remitiendo, para conocerlos, a norma</w:t>
      </w:r>
      <w:r>
        <w:rPr>
          <w:sz w:val="20"/>
        </w:rPr>
        <w:t>s</w:t>
      </w:r>
      <w:r>
        <w:rPr>
          <w:spacing w:val="-9"/>
          <w:sz w:val="20"/>
        </w:rPr>
        <w:t xml:space="preserve"> </w:t>
      </w:r>
      <w:r>
        <w:rPr>
          <w:sz w:val="20"/>
        </w:rPr>
        <w:t>distintas</w:t>
      </w:r>
      <w:r>
        <w:rPr>
          <w:spacing w:val="-10"/>
          <w:sz w:val="20"/>
        </w:rPr>
        <w:t xml:space="preserve"> </w:t>
      </w:r>
      <w:r>
        <w:rPr>
          <w:sz w:val="20"/>
        </w:rPr>
        <w:t>a</w:t>
      </w:r>
      <w:r>
        <w:rPr>
          <w:spacing w:val="-9"/>
          <w:sz w:val="20"/>
        </w:rPr>
        <w:t xml:space="preserve"> </w:t>
      </w:r>
      <w:r>
        <w:rPr>
          <w:sz w:val="20"/>
        </w:rPr>
        <w:t>las</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Convención,</w:t>
      </w:r>
      <w:r>
        <w:rPr>
          <w:spacing w:val="-7"/>
          <w:sz w:val="20"/>
        </w:rPr>
        <w:t xml:space="preserve"> </w:t>
      </w:r>
      <w:r>
        <w:rPr>
          <w:sz w:val="20"/>
        </w:rPr>
        <w:t>como</w:t>
      </w:r>
      <w:r>
        <w:rPr>
          <w:spacing w:val="-10"/>
          <w:sz w:val="20"/>
        </w:rPr>
        <w:t xml:space="preserve"> </w:t>
      </w:r>
      <w:r>
        <w:rPr>
          <w:sz w:val="20"/>
        </w:rPr>
        <w:t>son</w:t>
      </w:r>
      <w:r>
        <w:rPr>
          <w:spacing w:val="-8"/>
          <w:sz w:val="20"/>
        </w:rPr>
        <w:t xml:space="preserve"> </w:t>
      </w:r>
      <w:r>
        <w:rPr>
          <w:sz w:val="20"/>
        </w:rPr>
        <w:t>las</w:t>
      </w:r>
      <w:r>
        <w:rPr>
          <w:spacing w:val="-10"/>
          <w:sz w:val="20"/>
        </w:rPr>
        <w:t xml:space="preserve"> </w:t>
      </w:r>
      <w:r>
        <w:rPr>
          <w:sz w:val="20"/>
        </w:rPr>
        <w:t>de</w:t>
      </w:r>
      <w:r>
        <w:rPr>
          <w:spacing w:val="-9"/>
          <w:sz w:val="20"/>
        </w:rPr>
        <w:t xml:space="preserve"> </w:t>
      </w:r>
      <w:r>
        <w:rPr>
          <w:sz w:val="20"/>
        </w:rPr>
        <w:t>la</w:t>
      </w:r>
      <w:r>
        <w:rPr>
          <w:spacing w:val="-9"/>
          <w:sz w:val="20"/>
        </w:rPr>
        <w:t xml:space="preserve"> </w:t>
      </w:r>
      <w:r>
        <w:rPr>
          <w:sz w:val="20"/>
        </w:rPr>
        <w:t>Carta</w:t>
      </w:r>
      <w:r>
        <w:rPr>
          <w:spacing w:val="-9"/>
          <w:sz w:val="20"/>
        </w:rPr>
        <w:t xml:space="preserve"> </w:t>
      </w:r>
      <w:r>
        <w:rPr>
          <w:sz w:val="20"/>
        </w:rPr>
        <w:t>de</w:t>
      </w:r>
      <w:r>
        <w:rPr>
          <w:spacing w:val="-10"/>
          <w:sz w:val="20"/>
        </w:rPr>
        <w:t xml:space="preserve"> </w:t>
      </w:r>
      <w:r>
        <w:rPr>
          <w:sz w:val="20"/>
        </w:rPr>
        <w:t>la</w:t>
      </w:r>
      <w:r>
        <w:rPr>
          <w:spacing w:val="-7"/>
          <w:sz w:val="20"/>
        </w:rPr>
        <w:t xml:space="preserve"> </w:t>
      </w:r>
      <w:r>
        <w:rPr>
          <w:sz w:val="20"/>
        </w:rPr>
        <w:t>OEA</w:t>
      </w:r>
      <w:r>
        <w:rPr>
          <w:spacing w:val="-10"/>
          <w:sz w:val="20"/>
        </w:rPr>
        <w:t xml:space="preserve"> </w:t>
      </w:r>
      <w:r>
        <w:rPr>
          <w:sz w:val="20"/>
        </w:rPr>
        <w:t>y</w:t>
      </w:r>
      <w:r>
        <w:rPr>
          <w:spacing w:val="-10"/>
          <w:sz w:val="20"/>
        </w:rPr>
        <w:t xml:space="preserve"> </w:t>
      </w:r>
      <w:r>
        <w:rPr>
          <w:sz w:val="20"/>
        </w:rPr>
        <w:t>que,</w:t>
      </w:r>
      <w:r>
        <w:rPr>
          <w:spacing w:val="-7"/>
          <w:sz w:val="20"/>
        </w:rPr>
        <w:t xml:space="preserve"> </w:t>
      </w:r>
      <w:r>
        <w:rPr>
          <w:sz w:val="20"/>
        </w:rPr>
        <w:t>por</w:t>
      </w:r>
      <w:r>
        <w:rPr>
          <w:spacing w:val="-10"/>
          <w:sz w:val="20"/>
        </w:rPr>
        <w:t xml:space="preserve"> </w:t>
      </w:r>
      <w:r>
        <w:rPr>
          <w:sz w:val="20"/>
        </w:rPr>
        <w:t>ende, su efecto útil propio o particular, es, se reitera, que los Estados Partes de la Convención adopten providencias para hacer progresivamente efectivos los derechos que s</w:t>
      </w:r>
      <w:r>
        <w:rPr>
          <w:sz w:val="20"/>
        </w:rPr>
        <w:t>e derivan de aquellas normas y todo ello según los recursos</w:t>
      </w:r>
      <w:r>
        <w:rPr>
          <w:spacing w:val="-5"/>
          <w:sz w:val="20"/>
        </w:rPr>
        <w:t xml:space="preserve"> </w:t>
      </w:r>
      <w:r>
        <w:rPr>
          <w:sz w:val="20"/>
        </w:rPr>
        <w:t>disponibles.</w:t>
      </w:r>
    </w:p>
    <w:p w14:paraId="01C67B95" w14:textId="77777777" w:rsidR="00467FCA" w:rsidRDefault="00467FCA">
      <w:pPr>
        <w:pStyle w:val="Textoindependiente"/>
        <w:spacing w:before="1"/>
        <w:rPr>
          <w:sz w:val="23"/>
        </w:rPr>
      </w:pPr>
    </w:p>
    <w:p w14:paraId="367FB5DB" w14:textId="77777777" w:rsidR="00467FCA" w:rsidRDefault="001B68EB">
      <w:pPr>
        <w:pStyle w:val="Ttulo1"/>
        <w:numPr>
          <w:ilvl w:val="0"/>
          <w:numId w:val="23"/>
        </w:numPr>
        <w:tabs>
          <w:tab w:val="left" w:pos="741"/>
        </w:tabs>
        <w:ind w:left="740"/>
        <w:jc w:val="both"/>
      </w:pPr>
      <w:r>
        <w:t>Tenor</w:t>
      </w:r>
      <w:r>
        <w:rPr>
          <w:spacing w:val="-1"/>
        </w:rPr>
        <w:t xml:space="preserve"> </w:t>
      </w:r>
      <w:r>
        <w:t>literal.</w:t>
      </w:r>
    </w:p>
    <w:p w14:paraId="5C706B46" w14:textId="77777777" w:rsidR="00467FCA" w:rsidRDefault="00467FCA">
      <w:pPr>
        <w:pStyle w:val="Textoindependiente"/>
        <w:spacing w:before="10"/>
        <w:rPr>
          <w:b/>
          <w:sz w:val="25"/>
        </w:rPr>
      </w:pPr>
    </w:p>
    <w:p w14:paraId="5FD04FAB" w14:textId="77777777" w:rsidR="00467FCA" w:rsidRDefault="001B68EB">
      <w:pPr>
        <w:pStyle w:val="Prrafodelista"/>
        <w:numPr>
          <w:ilvl w:val="0"/>
          <w:numId w:val="25"/>
        </w:numPr>
        <w:tabs>
          <w:tab w:val="left" w:pos="1449"/>
        </w:tabs>
        <w:spacing w:line="278" w:lineRule="auto"/>
        <w:ind w:left="469" w:right="398" w:firstLine="0"/>
        <w:jc w:val="both"/>
        <w:rPr>
          <w:sz w:val="20"/>
        </w:rPr>
      </w:pPr>
      <w:r>
        <w:rPr>
          <w:sz w:val="20"/>
        </w:rPr>
        <w:t>Al</w:t>
      </w:r>
      <w:r>
        <w:rPr>
          <w:spacing w:val="-12"/>
          <w:sz w:val="20"/>
        </w:rPr>
        <w:t xml:space="preserve"> </w:t>
      </w:r>
      <w:r>
        <w:rPr>
          <w:sz w:val="20"/>
        </w:rPr>
        <w:t>interpretar</w:t>
      </w:r>
      <w:r>
        <w:rPr>
          <w:spacing w:val="-10"/>
          <w:sz w:val="20"/>
        </w:rPr>
        <w:t xml:space="preserve"> </w:t>
      </w:r>
      <w:r>
        <w:rPr>
          <w:sz w:val="20"/>
        </w:rPr>
        <w:t>el</w:t>
      </w:r>
      <w:r>
        <w:rPr>
          <w:spacing w:val="-10"/>
          <w:sz w:val="20"/>
        </w:rPr>
        <w:t xml:space="preserve"> </w:t>
      </w:r>
      <w:r>
        <w:rPr>
          <w:sz w:val="20"/>
        </w:rPr>
        <w:t>artículo</w:t>
      </w:r>
      <w:r>
        <w:rPr>
          <w:spacing w:val="-10"/>
          <w:sz w:val="20"/>
        </w:rPr>
        <w:t xml:space="preserve"> </w:t>
      </w:r>
      <w:r>
        <w:rPr>
          <w:sz w:val="20"/>
        </w:rPr>
        <w:t>26</w:t>
      </w:r>
      <w:r>
        <w:rPr>
          <w:spacing w:val="-12"/>
          <w:sz w:val="20"/>
        </w:rPr>
        <w:t xml:space="preserve"> </w:t>
      </w:r>
      <w:r>
        <w:rPr>
          <w:sz w:val="20"/>
        </w:rPr>
        <w:t>a</w:t>
      </w:r>
      <w:r>
        <w:rPr>
          <w:spacing w:val="-11"/>
          <w:sz w:val="20"/>
        </w:rPr>
        <w:t xml:space="preserve"> </w:t>
      </w:r>
      <w:r>
        <w:rPr>
          <w:sz w:val="20"/>
        </w:rPr>
        <w:t>la</w:t>
      </w:r>
      <w:r>
        <w:rPr>
          <w:spacing w:val="-10"/>
          <w:sz w:val="20"/>
        </w:rPr>
        <w:t xml:space="preserve"> </w:t>
      </w:r>
      <w:r>
        <w:rPr>
          <w:sz w:val="20"/>
        </w:rPr>
        <w:t>luz</w:t>
      </w:r>
      <w:r>
        <w:rPr>
          <w:spacing w:val="-11"/>
          <w:sz w:val="20"/>
        </w:rPr>
        <w:t xml:space="preserve"> </w:t>
      </w:r>
      <w:r>
        <w:rPr>
          <w:sz w:val="20"/>
        </w:rPr>
        <w:t>de</w:t>
      </w:r>
      <w:r>
        <w:rPr>
          <w:spacing w:val="-11"/>
          <w:sz w:val="20"/>
        </w:rPr>
        <w:t xml:space="preserve"> </w:t>
      </w:r>
      <w:r>
        <w:rPr>
          <w:sz w:val="20"/>
        </w:rPr>
        <w:t>su</w:t>
      </w:r>
      <w:r>
        <w:rPr>
          <w:spacing w:val="-11"/>
          <w:sz w:val="20"/>
        </w:rPr>
        <w:t xml:space="preserve"> </w:t>
      </w:r>
      <w:r>
        <w:rPr>
          <w:sz w:val="20"/>
        </w:rPr>
        <w:t>tenor</w:t>
      </w:r>
      <w:r>
        <w:rPr>
          <w:spacing w:val="-11"/>
          <w:sz w:val="20"/>
        </w:rPr>
        <w:t xml:space="preserve"> </w:t>
      </w:r>
      <w:r>
        <w:rPr>
          <w:sz w:val="20"/>
        </w:rPr>
        <w:t>literal</w:t>
      </w:r>
      <w:r>
        <w:rPr>
          <w:spacing w:val="-10"/>
          <w:sz w:val="20"/>
        </w:rPr>
        <w:t xml:space="preserve"> </w:t>
      </w:r>
      <w:r>
        <w:rPr>
          <w:sz w:val="20"/>
        </w:rPr>
        <w:t>o</w:t>
      </w:r>
      <w:r>
        <w:rPr>
          <w:spacing w:val="-10"/>
          <w:sz w:val="20"/>
        </w:rPr>
        <w:t xml:space="preserve"> </w:t>
      </w:r>
      <w:r>
        <w:rPr>
          <w:sz w:val="20"/>
        </w:rPr>
        <w:t>corriente,</w:t>
      </w:r>
      <w:r>
        <w:rPr>
          <w:spacing w:val="-11"/>
          <w:sz w:val="20"/>
        </w:rPr>
        <w:t xml:space="preserve"> </w:t>
      </w:r>
      <w:r>
        <w:rPr>
          <w:sz w:val="20"/>
        </w:rPr>
        <w:t>se</w:t>
      </w:r>
      <w:r>
        <w:rPr>
          <w:spacing w:val="-10"/>
          <w:sz w:val="20"/>
        </w:rPr>
        <w:t xml:space="preserve"> </w:t>
      </w:r>
      <w:r>
        <w:rPr>
          <w:sz w:val="20"/>
        </w:rPr>
        <w:t>puede</w:t>
      </w:r>
      <w:r>
        <w:rPr>
          <w:spacing w:val="-11"/>
          <w:sz w:val="20"/>
        </w:rPr>
        <w:t xml:space="preserve"> </w:t>
      </w:r>
      <w:r>
        <w:rPr>
          <w:sz w:val="20"/>
        </w:rPr>
        <w:t>concluir en que dicha</w:t>
      </w:r>
      <w:r>
        <w:rPr>
          <w:spacing w:val="-4"/>
          <w:sz w:val="20"/>
        </w:rPr>
        <w:t xml:space="preserve"> </w:t>
      </w:r>
      <w:r>
        <w:rPr>
          <w:sz w:val="20"/>
        </w:rPr>
        <w:t>norma:</w:t>
      </w:r>
    </w:p>
    <w:p w14:paraId="558D3AE5" w14:textId="77777777" w:rsidR="00467FCA" w:rsidRDefault="00467FCA">
      <w:pPr>
        <w:pStyle w:val="Textoindependiente"/>
      </w:pPr>
    </w:p>
    <w:p w14:paraId="261952FC" w14:textId="77777777" w:rsidR="00467FCA" w:rsidRDefault="00467FCA">
      <w:pPr>
        <w:pStyle w:val="Textoindependiente"/>
      </w:pPr>
    </w:p>
    <w:p w14:paraId="349167B0" w14:textId="77777777" w:rsidR="00467FCA" w:rsidRDefault="00467FCA">
      <w:pPr>
        <w:pStyle w:val="Textoindependiente"/>
      </w:pPr>
    </w:p>
    <w:p w14:paraId="4943921E" w14:textId="77777777" w:rsidR="00467FCA" w:rsidRDefault="00467FCA">
      <w:pPr>
        <w:pStyle w:val="Textoindependiente"/>
      </w:pPr>
    </w:p>
    <w:p w14:paraId="4049782B" w14:textId="77777777" w:rsidR="00467FCA" w:rsidRDefault="001B68EB">
      <w:pPr>
        <w:pStyle w:val="Textoindependiente"/>
        <w:spacing w:before="2"/>
        <w:rPr>
          <w:sz w:val="23"/>
        </w:rPr>
      </w:pPr>
      <w:r>
        <w:pict w14:anchorId="3D132386">
          <v:shape id="_x0000_s1099" style="position:absolute;margin-left:56.75pt;margin-top:16.45pt;width:2in;height:.1pt;z-index:-251558912;mso-wrap-distance-left:0;mso-wrap-distance-right:0;mso-position-horizontal-relative:page" coordorigin="1135,329" coordsize="2880,0" path="m1135,329r2880,e" filled="f" strokeweight=".72pt">
            <v:path arrowok="t"/>
            <w10:wrap type="topAndBottom" anchorx="page"/>
          </v:shape>
        </w:pict>
      </w:r>
    </w:p>
    <w:p w14:paraId="5D93D958" w14:textId="77777777" w:rsidR="00467FCA" w:rsidRDefault="001B68EB">
      <w:pPr>
        <w:spacing w:before="71"/>
        <w:ind w:left="470" w:right="394"/>
        <w:jc w:val="both"/>
        <w:rPr>
          <w:sz w:val="16"/>
        </w:rPr>
      </w:pPr>
      <w:bookmarkStart w:id="649" w:name="_bookmark570"/>
      <w:bookmarkEnd w:id="649"/>
      <w:r>
        <w:rPr>
          <w:position w:val="6"/>
          <w:sz w:val="10"/>
        </w:rPr>
        <w:t>22</w:t>
      </w:r>
      <w:r>
        <w:rPr>
          <w:spacing w:val="33"/>
          <w:position w:val="6"/>
          <w:sz w:val="10"/>
        </w:rPr>
        <w:t xml:space="preserve"> </w:t>
      </w:r>
      <w:r>
        <w:rPr>
          <w:sz w:val="16"/>
        </w:rPr>
        <w:t>Párr.</w:t>
      </w:r>
      <w:r>
        <w:rPr>
          <w:spacing w:val="-13"/>
          <w:sz w:val="16"/>
        </w:rPr>
        <w:t xml:space="preserve"> </w:t>
      </w:r>
      <w:r>
        <w:rPr>
          <w:sz w:val="16"/>
        </w:rPr>
        <w:t>4°</w:t>
      </w:r>
      <w:r>
        <w:rPr>
          <w:spacing w:val="-15"/>
          <w:sz w:val="16"/>
        </w:rPr>
        <w:t xml:space="preserve"> </w:t>
      </w:r>
      <w:r>
        <w:rPr>
          <w:sz w:val="16"/>
        </w:rPr>
        <w:t>del</w:t>
      </w:r>
      <w:r>
        <w:rPr>
          <w:spacing w:val="-13"/>
          <w:sz w:val="16"/>
        </w:rPr>
        <w:t xml:space="preserve"> </w:t>
      </w:r>
      <w:r>
        <w:rPr>
          <w:sz w:val="16"/>
        </w:rPr>
        <w:t>Preámbulo</w:t>
      </w:r>
      <w:r>
        <w:rPr>
          <w:spacing w:val="-14"/>
          <w:sz w:val="16"/>
        </w:rPr>
        <w:t xml:space="preserve"> </w:t>
      </w:r>
      <w:r>
        <w:rPr>
          <w:sz w:val="16"/>
        </w:rPr>
        <w:t>de</w:t>
      </w:r>
      <w:r>
        <w:rPr>
          <w:spacing w:val="-12"/>
          <w:sz w:val="16"/>
        </w:rPr>
        <w:t xml:space="preserve"> </w:t>
      </w:r>
      <w:r>
        <w:rPr>
          <w:sz w:val="16"/>
        </w:rPr>
        <w:t>la</w:t>
      </w:r>
      <w:r>
        <w:rPr>
          <w:spacing w:val="-12"/>
          <w:sz w:val="16"/>
        </w:rPr>
        <w:t xml:space="preserve"> </w:t>
      </w:r>
      <w:r>
        <w:rPr>
          <w:sz w:val="16"/>
        </w:rPr>
        <w:t>Convención:</w:t>
      </w:r>
      <w:r>
        <w:rPr>
          <w:spacing w:val="-15"/>
          <w:sz w:val="16"/>
        </w:rPr>
        <w:t xml:space="preserve"> </w:t>
      </w:r>
      <w:r>
        <w:rPr>
          <w:sz w:val="16"/>
        </w:rPr>
        <w:t>“</w:t>
      </w:r>
      <w:r>
        <w:rPr>
          <w:i/>
          <w:sz w:val="16"/>
        </w:rPr>
        <w:t>Reiterando</w:t>
      </w:r>
      <w:r>
        <w:rPr>
          <w:i/>
          <w:spacing w:val="-14"/>
          <w:sz w:val="16"/>
        </w:rPr>
        <w:t xml:space="preserve"> </w:t>
      </w:r>
      <w:r>
        <w:rPr>
          <w:i/>
          <w:sz w:val="16"/>
        </w:rPr>
        <w:t>que,</w:t>
      </w:r>
      <w:r>
        <w:rPr>
          <w:i/>
          <w:spacing w:val="-13"/>
          <w:sz w:val="16"/>
        </w:rPr>
        <w:t xml:space="preserve"> </w:t>
      </w:r>
      <w:r>
        <w:rPr>
          <w:i/>
          <w:sz w:val="16"/>
        </w:rPr>
        <w:t>con</w:t>
      </w:r>
      <w:r>
        <w:rPr>
          <w:i/>
          <w:spacing w:val="-13"/>
          <w:sz w:val="16"/>
        </w:rPr>
        <w:t xml:space="preserve"> </w:t>
      </w:r>
      <w:r>
        <w:rPr>
          <w:i/>
          <w:sz w:val="16"/>
        </w:rPr>
        <w:t>arreglo</w:t>
      </w:r>
      <w:r>
        <w:rPr>
          <w:i/>
          <w:spacing w:val="-11"/>
          <w:sz w:val="16"/>
        </w:rPr>
        <w:t xml:space="preserve"> </w:t>
      </w:r>
      <w:r>
        <w:rPr>
          <w:i/>
          <w:sz w:val="16"/>
        </w:rPr>
        <w:t>a</w:t>
      </w:r>
      <w:r>
        <w:rPr>
          <w:i/>
          <w:spacing w:val="-13"/>
          <w:sz w:val="16"/>
        </w:rPr>
        <w:t xml:space="preserve"> </w:t>
      </w:r>
      <w:r>
        <w:rPr>
          <w:i/>
          <w:sz w:val="16"/>
        </w:rPr>
        <w:t>la</w:t>
      </w:r>
      <w:r>
        <w:rPr>
          <w:i/>
          <w:spacing w:val="-13"/>
          <w:sz w:val="16"/>
        </w:rPr>
        <w:t xml:space="preserve"> </w:t>
      </w:r>
      <w:r>
        <w:rPr>
          <w:i/>
          <w:sz w:val="16"/>
        </w:rPr>
        <w:t>Declaración</w:t>
      </w:r>
      <w:r>
        <w:rPr>
          <w:i/>
          <w:spacing w:val="-13"/>
          <w:sz w:val="16"/>
        </w:rPr>
        <w:t xml:space="preserve"> </w:t>
      </w:r>
      <w:r>
        <w:rPr>
          <w:i/>
          <w:sz w:val="16"/>
        </w:rPr>
        <w:t>Universal</w:t>
      </w:r>
      <w:r>
        <w:rPr>
          <w:i/>
          <w:spacing w:val="-12"/>
          <w:sz w:val="16"/>
        </w:rPr>
        <w:t xml:space="preserve"> </w:t>
      </w:r>
      <w:r>
        <w:rPr>
          <w:i/>
          <w:sz w:val="16"/>
        </w:rPr>
        <w:t>de</w:t>
      </w:r>
      <w:r>
        <w:rPr>
          <w:i/>
          <w:spacing w:val="-12"/>
          <w:sz w:val="16"/>
        </w:rPr>
        <w:t xml:space="preserve"> </w:t>
      </w:r>
      <w:r>
        <w:rPr>
          <w:i/>
          <w:sz w:val="16"/>
        </w:rPr>
        <w:t>los</w:t>
      </w:r>
      <w:r>
        <w:rPr>
          <w:i/>
          <w:spacing w:val="-12"/>
          <w:sz w:val="16"/>
        </w:rPr>
        <w:t xml:space="preserve"> </w:t>
      </w:r>
      <w:r>
        <w:rPr>
          <w:i/>
          <w:sz w:val="16"/>
        </w:rPr>
        <w:t>Derechos Humanos, sólo puede realizarse el ideal del ser humano libre, exento del temor y de la miseria, si se crean condiciones que permitan a cada persona gozar de sus derechos ec</w:t>
      </w:r>
      <w:r>
        <w:rPr>
          <w:i/>
          <w:sz w:val="16"/>
        </w:rPr>
        <w:t>onómicos, sociales y culturales, tanto como de sus derechos civiles y</w:t>
      </w:r>
      <w:r>
        <w:rPr>
          <w:i/>
          <w:spacing w:val="-6"/>
          <w:sz w:val="16"/>
        </w:rPr>
        <w:t xml:space="preserve"> </w:t>
      </w:r>
      <w:r>
        <w:rPr>
          <w:i/>
          <w:sz w:val="16"/>
        </w:rPr>
        <w:t>políticos</w:t>
      </w:r>
      <w:r>
        <w:rPr>
          <w:sz w:val="16"/>
        </w:rPr>
        <w:t>.”</w:t>
      </w:r>
    </w:p>
    <w:p w14:paraId="0C05E900" w14:textId="77777777" w:rsidR="00467FCA" w:rsidRDefault="001B68EB">
      <w:pPr>
        <w:ind w:left="470" w:right="392"/>
        <w:jc w:val="both"/>
        <w:rPr>
          <w:i/>
          <w:sz w:val="16"/>
        </w:rPr>
      </w:pPr>
      <w:bookmarkStart w:id="650" w:name="_bookmark571"/>
      <w:bookmarkEnd w:id="650"/>
      <w:r>
        <w:rPr>
          <w:position w:val="6"/>
          <w:sz w:val="10"/>
        </w:rPr>
        <w:t xml:space="preserve">23 </w:t>
      </w:r>
      <w:r>
        <w:rPr>
          <w:sz w:val="16"/>
        </w:rPr>
        <w:t>5° Considerando del Preámbulo: “[…]</w:t>
      </w:r>
      <w:r>
        <w:rPr>
          <w:i/>
          <w:sz w:val="16"/>
        </w:rPr>
        <w:t>la Tercera Conferencia Interamericana Extraordinaria (Buenos Aires, 1967) aprobó la incorporación a la propia Carta de la Organización d</w:t>
      </w:r>
      <w:r>
        <w:rPr>
          <w:i/>
          <w:sz w:val="16"/>
        </w:rPr>
        <w:t>e normas más amplias sobre derechos económicos, sociales y educacionales y resolvió que una convención interamericana sobre derechos humanos determinara la estructura, competencia y procedimiento de los órganos encargados de esa materia”.</w:t>
      </w:r>
    </w:p>
    <w:p w14:paraId="59C86B48" w14:textId="77777777" w:rsidR="00467FCA" w:rsidRDefault="00467FCA">
      <w:pPr>
        <w:jc w:val="both"/>
        <w:rPr>
          <w:sz w:val="16"/>
        </w:rPr>
        <w:sectPr w:rsidR="00467FCA">
          <w:pgSz w:w="12240" w:h="15840"/>
          <w:pgMar w:top="1340" w:right="1140" w:bottom="1200" w:left="960" w:header="0" w:footer="1002" w:gutter="0"/>
          <w:cols w:space="720"/>
        </w:sectPr>
      </w:pPr>
    </w:p>
    <w:p w14:paraId="78C89187" w14:textId="77777777" w:rsidR="00467FCA" w:rsidRDefault="001B68EB">
      <w:pPr>
        <w:pStyle w:val="Prrafodelista"/>
        <w:numPr>
          <w:ilvl w:val="1"/>
          <w:numId w:val="25"/>
        </w:numPr>
        <w:tabs>
          <w:tab w:val="left" w:pos="1013"/>
        </w:tabs>
        <w:spacing w:before="76" w:line="276" w:lineRule="auto"/>
        <w:ind w:right="393"/>
        <w:jc w:val="both"/>
        <w:rPr>
          <w:sz w:val="20"/>
        </w:rPr>
      </w:pPr>
      <w:r>
        <w:rPr>
          <w:sz w:val="20"/>
        </w:rPr>
        <w:t>se encuentra, como única disposición, en el Capítulo III, denominado “Derechos Económicos, Sociales y Culturales”</w:t>
      </w:r>
      <w:hyperlink w:anchor="_bookmark572" w:history="1">
        <w:r>
          <w:rPr>
            <w:position w:val="7"/>
            <w:sz w:val="13"/>
          </w:rPr>
          <w:t>24</w:t>
        </w:r>
      </w:hyperlink>
      <w:r>
        <w:rPr>
          <w:sz w:val="20"/>
        </w:rPr>
        <w:t>, de la Parte I, titulada, “</w:t>
      </w:r>
      <w:r>
        <w:rPr>
          <w:i/>
          <w:sz w:val="20"/>
        </w:rPr>
        <w:t>Deberes de los Estados y Derechos Protegidos”</w:t>
      </w:r>
      <w:r>
        <w:rPr>
          <w:sz w:val="20"/>
        </w:rPr>
        <w:t>, la que también comprende al Capítu</w:t>
      </w:r>
      <w:r>
        <w:rPr>
          <w:sz w:val="20"/>
        </w:rPr>
        <w:t>lo I “</w:t>
      </w:r>
      <w:r>
        <w:rPr>
          <w:i/>
          <w:sz w:val="20"/>
        </w:rPr>
        <w:t>Enumeración de Deberes</w:t>
      </w:r>
      <w:r>
        <w:rPr>
          <w:sz w:val="20"/>
        </w:rPr>
        <w:t>”, su Capítulo II “</w:t>
      </w:r>
      <w:r>
        <w:rPr>
          <w:i/>
          <w:sz w:val="20"/>
        </w:rPr>
        <w:t>Derechos Civiles y Políticos</w:t>
      </w:r>
      <w:r>
        <w:rPr>
          <w:sz w:val="20"/>
        </w:rPr>
        <w:t>”; por lo que, en consecuencia,</w:t>
      </w:r>
      <w:r>
        <w:rPr>
          <w:spacing w:val="-36"/>
          <w:sz w:val="20"/>
        </w:rPr>
        <w:t xml:space="preserve"> </w:t>
      </w:r>
      <w:r>
        <w:rPr>
          <w:sz w:val="20"/>
        </w:rPr>
        <w:t>se puede desprender de lo expuesto que es el propio instrumento convencional el que hace una nítida distinción entre los derechos civiles y políticos</w:t>
      </w:r>
      <w:r>
        <w:rPr>
          <w:sz w:val="20"/>
        </w:rPr>
        <w:t xml:space="preserve"> y los derechos económicos, sociales y culturales, dándoles así a cada una de estas dos últimas categorías de derechos una consideración especial y</w:t>
      </w:r>
      <w:r>
        <w:rPr>
          <w:spacing w:val="-2"/>
          <w:sz w:val="20"/>
        </w:rPr>
        <w:t xml:space="preserve"> </w:t>
      </w:r>
      <w:r>
        <w:rPr>
          <w:sz w:val="20"/>
        </w:rPr>
        <w:t>diferente;</w:t>
      </w:r>
    </w:p>
    <w:p w14:paraId="4183E938" w14:textId="77777777" w:rsidR="00467FCA" w:rsidRDefault="00467FCA">
      <w:pPr>
        <w:pStyle w:val="Textoindependiente"/>
        <w:spacing w:before="3"/>
        <w:rPr>
          <w:sz w:val="23"/>
        </w:rPr>
      </w:pPr>
    </w:p>
    <w:p w14:paraId="7C96E8E0" w14:textId="77777777" w:rsidR="00467FCA" w:rsidRDefault="001B68EB">
      <w:pPr>
        <w:pStyle w:val="Prrafodelista"/>
        <w:numPr>
          <w:ilvl w:val="1"/>
          <w:numId w:val="25"/>
        </w:numPr>
        <w:tabs>
          <w:tab w:val="left" w:pos="1013"/>
        </w:tabs>
        <w:spacing w:line="276" w:lineRule="auto"/>
        <w:ind w:right="395" w:hanging="454"/>
        <w:jc w:val="both"/>
        <w:rPr>
          <w:sz w:val="20"/>
        </w:rPr>
      </w:pPr>
      <w:r>
        <w:rPr>
          <w:sz w:val="20"/>
        </w:rPr>
        <w:t>no enumera ni detalla o especifica los derechos que alude, tan solo los identifica como los “</w:t>
      </w:r>
      <w:r>
        <w:rPr>
          <w:i/>
          <w:sz w:val="20"/>
        </w:rPr>
        <w:t>que</w:t>
      </w:r>
      <w:r>
        <w:rPr>
          <w:i/>
          <w:sz w:val="20"/>
        </w:rPr>
        <w:t xml:space="preserve"> se derivan</w:t>
      </w:r>
      <w:hyperlink w:anchor="_bookmark573" w:history="1">
        <w:r>
          <w:rPr>
            <w:i/>
            <w:position w:val="7"/>
            <w:sz w:val="13"/>
          </w:rPr>
          <w:t>25</w:t>
        </w:r>
      </w:hyperlink>
      <w:r>
        <w:rPr>
          <w:i/>
          <w:position w:val="7"/>
          <w:sz w:val="13"/>
        </w:rPr>
        <w:t xml:space="preserve"> </w:t>
      </w:r>
      <w:r>
        <w:rPr>
          <w:i/>
          <w:sz w:val="20"/>
        </w:rPr>
        <w:t>de las normas económicas, sociales y sobre educación, ciencia y cultura, contenidas en la Carta de la</w:t>
      </w:r>
      <w:r>
        <w:rPr>
          <w:sz w:val="20"/>
        </w:rPr>
        <w:t>” OEA, vale decir, derechos que se desprenden o se pueden inferir</w:t>
      </w:r>
      <w:hyperlink w:anchor="_bookmark574" w:history="1">
        <w:r>
          <w:rPr>
            <w:position w:val="7"/>
            <w:sz w:val="13"/>
          </w:rPr>
          <w:t>26</w:t>
        </w:r>
      </w:hyperlink>
      <w:r>
        <w:rPr>
          <w:position w:val="7"/>
          <w:sz w:val="13"/>
        </w:rPr>
        <w:t xml:space="preserve"> </w:t>
      </w:r>
      <w:r>
        <w:rPr>
          <w:sz w:val="20"/>
        </w:rPr>
        <w:t>de disposiciones de esta</w:t>
      </w:r>
      <w:r>
        <w:rPr>
          <w:spacing w:val="-29"/>
          <w:sz w:val="20"/>
        </w:rPr>
        <w:t xml:space="preserve"> </w:t>
      </w:r>
      <w:r>
        <w:rPr>
          <w:sz w:val="20"/>
        </w:rPr>
        <w:t>última;</w:t>
      </w:r>
    </w:p>
    <w:p w14:paraId="4470C9EB" w14:textId="77777777" w:rsidR="00467FCA" w:rsidRDefault="00467FCA">
      <w:pPr>
        <w:pStyle w:val="Textoindependiente"/>
        <w:spacing w:before="1"/>
        <w:rPr>
          <w:sz w:val="22"/>
        </w:rPr>
      </w:pPr>
    </w:p>
    <w:p w14:paraId="35FF0F9E" w14:textId="77777777" w:rsidR="00467FCA" w:rsidRDefault="001B68EB">
      <w:pPr>
        <w:pStyle w:val="Prrafodelista"/>
        <w:numPr>
          <w:ilvl w:val="1"/>
          <w:numId w:val="25"/>
        </w:numPr>
        <w:tabs>
          <w:tab w:val="left" w:pos="1013"/>
        </w:tabs>
        <w:spacing w:line="276" w:lineRule="auto"/>
        <w:ind w:right="398" w:hanging="509"/>
        <w:jc w:val="both"/>
        <w:rPr>
          <w:sz w:val="20"/>
        </w:rPr>
      </w:pPr>
      <w:r>
        <w:rPr>
          <w:sz w:val="20"/>
        </w:rPr>
        <w:t>no</w:t>
      </w:r>
      <w:r>
        <w:rPr>
          <w:spacing w:val="-7"/>
          <w:sz w:val="20"/>
        </w:rPr>
        <w:t xml:space="preserve"> </w:t>
      </w:r>
      <w:r>
        <w:rPr>
          <w:sz w:val="20"/>
        </w:rPr>
        <w:t>prescribe</w:t>
      </w:r>
      <w:r>
        <w:rPr>
          <w:spacing w:val="-4"/>
          <w:sz w:val="20"/>
        </w:rPr>
        <w:t xml:space="preserve"> </w:t>
      </w:r>
      <w:r>
        <w:rPr>
          <w:sz w:val="20"/>
        </w:rPr>
        <w:t>el</w:t>
      </w:r>
      <w:r>
        <w:rPr>
          <w:spacing w:val="-5"/>
          <w:sz w:val="20"/>
        </w:rPr>
        <w:t xml:space="preserve"> </w:t>
      </w:r>
      <w:r>
        <w:rPr>
          <w:sz w:val="20"/>
        </w:rPr>
        <w:t>respeto</w:t>
      </w:r>
      <w:r>
        <w:rPr>
          <w:spacing w:val="-3"/>
          <w:sz w:val="20"/>
        </w:rPr>
        <w:t xml:space="preserve"> </w:t>
      </w:r>
      <w:r>
        <w:rPr>
          <w:sz w:val="20"/>
        </w:rPr>
        <w:t>de</w:t>
      </w:r>
      <w:r>
        <w:rPr>
          <w:spacing w:val="-7"/>
          <w:sz w:val="20"/>
        </w:rPr>
        <w:t xml:space="preserve"> </w:t>
      </w:r>
      <w:r>
        <w:rPr>
          <w:sz w:val="20"/>
        </w:rPr>
        <w:t>los</w:t>
      </w:r>
      <w:r>
        <w:rPr>
          <w:spacing w:val="-6"/>
          <w:sz w:val="20"/>
        </w:rPr>
        <w:t xml:space="preserve"> </w:t>
      </w:r>
      <w:r>
        <w:rPr>
          <w:sz w:val="20"/>
        </w:rPr>
        <w:t>derechos</w:t>
      </w:r>
      <w:r>
        <w:rPr>
          <w:spacing w:val="-6"/>
          <w:sz w:val="20"/>
        </w:rPr>
        <w:t xml:space="preserve"> </w:t>
      </w:r>
      <w:r>
        <w:rPr>
          <w:sz w:val="20"/>
        </w:rPr>
        <w:t>a</w:t>
      </w:r>
      <w:r>
        <w:rPr>
          <w:spacing w:val="-4"/>
          <w:sz w:val="20"/>
        </w:rPr>
        <w:t xml:space="preserve"> </w:t>
      </w:r>
      <w:r>
        <w:rPr>
          <w:sz w:val="20"/>
        </w:rPr>
        <w:t>que</w:t>
      </w:r>
      <w:r>
        <w:rPr>
          <w:spacing w:val="-7"/>
          <w:sz w:val="20"/>
        </w:rPr>
        <w:t xml:space="preserve"> </w:t>
      </w:r>
      <w:r>
        <w:rPr>
          <w:sz w:val="20"/>
        </w:rPr>
        <w:t>se</w:t>
      </w:r>
      <w:r>
        <w:rPr>
          <w:spacing w:val="-7"/>
          <w:sz w:val="20"/>
        </w:rPr>
        <w:t xml:space="preserve"> </w:t>
      </w:r>
      <w:r>
        <w:rPr>
          <w:sz w:val="20"/>
        </w:rPr>
        <w:t>refiere</w:t>
      </w:r>
      <w:r>
        <w:rPr>
          <w:spacing w:val="-6"/>
          <w:sz w:val="20"/>
        </w:rPr>
        <w:t xml:space="preserve"> </w:t>
      </w:r>
      <w:r>
        <w:rPr>
          <w:sz w:val="20"/>
        </w:rPr>
        <w:t>ni</w:t>
      </w:r>
      <w:r>
        <w:rPr>
          <w:spacing w:val="-5"/>
          <w:sz w:val="20"/>
        </w:rPr>
        <w:t xml:space="preserve"> </w:t>
      </w:r>
      <w:r>
        <w:rPr>
          <w:sz w:val="20"/>
        </w:rPr>
        <w:t>que</w:t>
      </w:r>
      <w:r>
        <w:rPr>
          <w:spacing w:val="-7"/>
          <w:sz w:val="20"/>
        </w:rPr>
        <w:t xml:space="preserve"> </w:t>
      </w:r>
      <w:r>
        <w:rPr>
          <w:sz w:val="20"/>
        </w:rPr>
        <w:t>se</w:t>
      </w:r>
      <w:r>
        <w:rPr>
          <w:spacing w:val="-7"/>
          <w:sz w:val="20"/>
        </w:rPr>
        <w:t xml:space="preserve"> </w:t>
      </w:r>
      <w:r>
        <w:rPr>
          <w:sz w:val="20"/>
        </w:rPr>
        <w:t>garantice</w:t>
      </w:r>
      <w:r>
        <w:rPr>
          <w:spacing w:val="-6"/>
          <w:sz w:val="20"/>
        </w:rPr>
        <w:t xml:space="preserve"> </w:t>
      </w:r>
      <w:r>
        <w:rPr>
          <w:sz w:val="20"/>
        </w:rPr>
        <w:t>su</w:t>
      </w:r>
      <w:r>
        <w:rPr>
          <w:spacing w:val="-4"/>
          <w:sz w:val="20"/>
        </w:rPr>
        <w:t xml:space="preserve"> </w:t>
      </w:r>
      <w:r>
        <w:rPr>
          <w:sz w:val="20"/>
        </w:rPr>
        <w:t>respeto, tampoco los consagra o</w:t>
      </w:r>
      <w:r>
        <w:rPr>
          <w:spacing w:val="-1"/>
          <w:sz w:val="20"/>
        </w:rPr>
        <w:t xml:space="preserve"> </w:t>
      </w:r>
      <w:r>
        <w:rPr>
          <w:sz w:val="20"/>
        </w:rPr>
        <w:t>contempla;</w:t>
      </w:r>
    </w:p>
    <w:p w14:paraId="1506F2AC" w14:textId="77777777" w:rsidR="00467FCA" w:rsidRDefault="00467FCA">
      <w:pPr>
        <w:pStyle w:val="Textoindependiente"/>
        <w:spacing w:before="1"/>
        <w:rPr>
          <w:sz w:val="22"/>
        </w:rPr>
      </w:pPr>
    </w:p>
    <w:p w14:paraId="469874E5" w14:textId="77777777" w:rsidR="00467FCA" w:rsidRDefault="001B68EB">
      <w:pPr>
        <w:pStyle w:val="Prrafodelista"/>
        <w:numPr>
          <w:ilvl w:val="1"/>
          <w:numId w:val="25"/>
        </w:numPr>
        <w:tabs>
          <w:tab w:val="left" w:pos="1013"/>
        </w:tabs>
        <w:spacing w:line="276" w:lineRule="auto"/>
        <w:ind w:right="393" w:hanging="516"/>
        <w:jc w:val="both"/>
        <w:rPr>
          <w:sz w:val="20"/>
        </w:rPr>
      </w:pPr>
      <w:r>
        <w:rPr>
          <w:sz w:val="20"/>
        </w:rPr>
        <w:t>no hace efectivos o exigibles tales derechos, pues si así lo hubiera querido, lo habría expresado derechamente y sin ambigüedad alguna, es decir, a contrario de lo que señala</w:t>
      </w:r>
      <w:r>
        <w:rPr>
          <w:spacing w:val="-11"/>
          <w:sz w:val="20"/>
        </w:rPr>
        <w:t xml:space="preserve"> </w:t>
      </w:r>
      <w:r>
        <w:rPr>
          <w:sz w:val="20"/>
        </w:rPr>
        <w:t>la</w:t>
      </w:r>
      <w:r>
        <w:rPr>
          <w:spacing w:val="-11"/>
          <w:sz w:val="20"/>
        </w:rPr>
        <w:t xml:space="preserve"> </w:t>
      </w:r>
      <w:r>
        <w:rPr>
          <w:sz w:val="20"/>
        </w:rPr>
        <w:t>Sentencia,</w:t>
      </w:r>
      <w:r>
        <w:rPr>
          <w:spacing w:val="-12"/>
          <w:sz w:val="20"/>
        </w:rPr>
        <w:t xml:space="preserve"> </w:t>
      </w:r>
      <w:r>
        <w:rPr>
          <w:sz w:val="20"/>
        </w:rPr>
        <w:t>no</w:t>
      </w:r>
      <w:r>
        <w:rPr>
          <w:spacing w:val="-9"/>
          <w:sz w:val="20"/>
        </w:rPr>
        <w:t xml:space="preserve"> </w:t>
      </w:r>
      <w:r>
        <w:rPr>
          <w:sz w:val="20"/>
        </w:rPr>
        <w:t>“</w:t>
      </w:r>
      <w:r>
        <w:rPr>
          <w:i/>
          <w:sz w:val="20"/>
        </w:rPr>
        <w:t>realiza</w:t>
      </w:r>
      <w:r>
        <w:rPr>
          <w:i/>
          <w:spacing w:val="-11"/>
          <w:sz w:val="20"/>
        </w:rPr>
        <w:t xml:space="preserve"> </w:t>
      </w:r>
      <w:r>
        <w:rPr>
          <w:i/>
          <w:sz w:val="20"/>
        </w:rPr>
        <w:t>una</w:t>
      </w:r>
      <w:r>
        <w:rPr>
          <w:i/>
          <w:spacing w:val="-11"/>
          <w:sz w:val="20"/>
        </w:rPr>
        <w:t xml:space="preserve"> </w:t>
      </w:r>
      <w:r>
        <w:rPr>
          <w:i/>
          <w:sz w:val="20"/>
        </w:rPr>
        <w:t>remisión</w:t>
      </w:r>
      <w:r>
        <w:rPr>
          <w:i/>
          <w:spacing w:val="-10"/>
          <w:sz w:val="20"/>
        </w:rPr>
        <w:t xml:space="preserve"> </w:t>
      </w:r>
      <w:r>
        <w:rPr>
          <w:i/>
          <w:sz w:val="20"/>
        </w:rPr>
        <w:t>directa</w:t>
      </w:r>
      <w:r>
        <w:rPr>
          <w:i/>
          <w:spacing w:val="-10"/>
          <w:sz w:val="20"/>
        </w:rPr>
        <w:t xml:space="preserve"> </w:t>
      </w:r>
      <w:r>
        <w:rPr>
          <w:i/>
          <w:sz w:val="20"/>
        </w:rPr>
        <w:t>a</w:t>
      </w:r>
      <w:r>
        <w:rPr>
          <w:i/>
          <w:spacing w:val="-11"/>
          <w:sz w:val="20"/>
        </w:rPr>
        <w:t xml:space="preserve"> </w:t>
      </w:r>
      <w:r>
        <w:rPr>
          <w:i/>
          <w:sz w:val="20"/>
        </w:rPr>
        <w:t>las</w:t>
      </w:r>
      <w:r>
        <w:rPr>
          <w:i/>
          <w:spacing w:val="-12"/>
          <w:sz w:val="20"/>
        </w:rPr>
        <w:t xml:space="preserve"> </w:t>
      </w:r>
      <w:r>
        <w:rPr>
          <w:i/>
          <w:sz w:val="20"/>
        </w:rPr>
        <w:t>normas</w:t>
      </w:r>
      <w:r>
        <w:rPr>
          <w:i/>
          <w:spacing w:val="-10"/>
          <w:sz w:val="20"/>
        </w:rPr>
        <w:t xml:space="preserve"> </w:t>
      </w:r>
      <w:r>
        <w:rPr>
          <w:i/>
          <w:sz w:val="20"/>
        </w:rPr>
        <w:t>económicas,</w:t>
      </w:r>
      <w:r>
        <w:rPr>
          <w:i/>
          <w:spacing w:val="-9"/>
          <w:sz w:val="20"/>
        </w:rPr>
        <w:t xml:space="preserve"> </w:t>
      </w:r>
      <w:r>
        <w:rPr>
          <w:i/>
          <w:sz w:val="20"/>
        </w:rPr>
        <w:t>sociales y</w:t>
      </w:r>
      <w:r>
        <w:rPr>
          <w:i/>
          <w:spacing w:val="-10"/>
          <w:sz w:val="20"/>
        </w:rPr>
        <w:t xml:space="preserve"> </w:t>
      </w:r>
      <w:r>
        <w:rPr>
          <w:i/>
          <w:sz w:val="20"/>
        </w:rPr>
        <w:t>sobre</w:t>
      </w:r>
      <w:r>
        <w:rPr>
          <w:i/>
          <w:spacing w:val="-8"/>
          <w:sz w:val="20"/>
        </w:rPr>
        <w:t xml:space="preserve"> </w:t>
      </w:r>
      <w:r>
        <w:rPr>
          <w:i/>
          <w:sz w:val="20"/>
        </w:rPr>
        <w:t>educación,</w:t>
      </w:r>
      <w:r>
        <w:rPr>
          <w:i/>
          <w:spacing w:val="-11"/>
          <w:sz w:val="20"/>
        </w:rPr>
        <w:t xml:space="preserve"> </w:t>
      </w:r>
      <w:r>
        <w:rPr>
          <w:i/>
          <w:sz w:val="20"/>
        </w:rPr>
        <w:t>ciencia</w:t>
      </w:r>
      <w:r>
        <w:rPr>
          <w:i/>
          <w:spacing w:val="-9"/>
          <w:sz w:val="20"/>
        </w:rPr>
        <w:t xml:space="preserve"> </w:t>
      </w:r>
      <w:r>
        <w:rPr>
          <w:i/>
          <w:sz w:val="20"/>
        </w:rPr>
        <w:t>y</w:t>
      </w:r>
      <w:r>
        <w:rPr>
          <w:i/>
          <w:spacing w:val="-9"/>
          <w:sz w:val="20"/>
        </w:rPr>
        <w:t xml:space="preserve"> </w:t>
      </w:r>
      <w:r>
        <w:rPr>
          <w:i/>
          <w:sz w:val="20"/>
        </w:rPr>
        <w:t>cultura</w:t>
      </w:r>
      <w:r>
        <w:rPr>
          <w:i/>
          <w:spacing w:val="-10"/>
          <w:sz w:val="20"/>
        </w:rPr>
        <w:t xml:space="preserve"> </w:t>
      </w:r>
      <w:r>
        <w:rPr>
          <w:i/>
          <w:sz w:val="20"/>
        </w:rPr>
        <w:t>contenidas</w:t>
      </w:r>
      <w:r>
        <w:rPr>
          <w:i/>
          <w:spacing w:val="-10"/>
          <w:sz w:val="20"/>
        </w:rPr>
        <w:t xml:space="preserve"> </w:t>
      </w:r>
      <w:r>
        <w:rPr>
          <w:i/>
          <w:sz w:val="20"/>
        </w:rPr>
        <w:t>en</w:t>
      </w:r>
      <w:r>
        <w:rPr>
          <w:i/>
          <w:spacing w:val="-8"/>
          <w:sz w:val="20"/>
        </w:rPr>
        <w:t xml:space="preserve"> </w:t>
      </w:r>
      <w:r>
        <w:rPr>
          <w:i/>
          <w:sz w:val="20"/>
        </w:rPr>
        <w:t>la</w:t>
      </w:r>
      <w:r>
        <w:rPr>
          <w:i/>
          <w:spacing w:val="-10"/>
          <w:sz w:val="20"/>
        </w:rPr>
        <w:t xml:space="preserve"> </w:t>
      </w:r>
      <w:r>
        <w:rPr>
          <w:i/>
          <w:sz w:val="20"/>
        </w:rPr>
        <w:t>Carta</w:t>
      </w:r>
      <w:r>
        <w:rPr>
          <w:i/>
          <w:spacing w:val="-9"/>
          <w:sz w:val="20"/>
        </w:rPr>
        <w:t xml:space="preserve"> </w:t>
      </w:r>
      <w:r>
        <w:rPr>
          <w:i/>
          <w:sz w:val="20"/>
        </w:rPr>
        <w:t>de</w:t>
      </w:r>
      <w:r>
        <w:rPr>
          <w:i/>
          <w:spacing w:val="-10"/>
          <w:sz w:val="20"/>
        </w:rPr>
        <w:t xml:space="preserve"> </w:t>
      </w:r>
      <w:r>
        <w:rPr>
          <w:i/>
          <w:sz w:val="20"/>
        </w:rPr>
        <w:t>la</w:t>
      </w:r>
      <w:r>
        <w:rPr>
          <w:i/>
          <w:spacing w:val="-10"/>
          <w:sz w:val="20"/>
        </w:rPr>
        <w:t xml:space="preserve"> </w:t>
      </w:r>
      <w:r>
        <w:rPr>
          <w:i/>
          <w:sz w:val="20"/>
        </w:rPr>
        <w:t>OEA</w:t>
      </w:r>
      <w:r>
        <w:rPr>
          <w:sz w:val="20"/>
        </w:rPr>
        <w:t>”</w:t>
      </w:r>
      <w:hyperlink w:anchor="_bookmark575" w:history="1">
        <w:r>
          <w:rPr>
            <w:position w:val="7"/>
            <w:sz w:val="13"/>
          </w:rPr>
          <w:t>27</w:t>
        </w:r>
      </w:hyperlink>
      <w:r>
        <w:rPr>
          <w:sz w:val="20"/>
        </w:rPr>
        <w:t>,</w:t>
      </w:r>
      <w:r>
        <w:rPr>
          <w:spacing w:val="-10"/>
          <w:sz w:val="20"/>
        </w:rPr>
        <w:t xml:space="preserve"> </w:t>
      </w:r>
      <w:r>
        <w:rPr>
          <w:sz w:val="20"/>
        </w:rPr>
        <w:t>sino</w:t>
      </w:r>
      <w:r>
        <w:rPr>
          <w:spacing w:val="-10"/>
          <w:sz w:val="20"/>
        </w:rPr>
        <w:t xml:space="preserve"> </w:t>
      </w:r>
      <w:r>
        <w:rPr>
          <w:sz w:val="20"/>
        </w:rPr>
        <w:t>más</w:t>
      </w:r>
      <w:r>
        <w:rPr>
          <w:spacing w:val="-11"/>
          <w:sz w:val="20"/>
        </w:rPr>
        <w:t xml:space="preserve"> </w:t>
      </w:r>
      <w:r>
        <w:rPr>
          <w:sz w:val="20"/>
        </w:rPr>
        <w:t>bien, tan</w:t>
      </w:r>
      <w:r>
        <w:rPr>
          <w:spacing w:val="-17"/>
          <w:sz w:val="20"/>
        </w:rPr>
        <w:t xml:space="preserve"> </w:t>
      </w:r>
      <w:r>
        <w:rPr>
          <w:sz w:val="20"/>
        </w:rPr>
        <w:t>solo</w:t>
      </w:r>
      <w:r>
        <w:rPr>
          <w:spacing w:val="-16"/>
          <w:sz w:val="20"/>
        </w:rPr>
        <w:t xml:space="preserve"> </w:t>
      </w:r>
      <w:r>
        <w:rPr>
          <w:sz w:val="20"/>
        </w:rPr>
        <w:t>contempla,</w:t>
      </w:r>
      <w:r>
        <w:rPr>
          <w:spacing w:val="-16"/>
          <w:sz w:val="20"/>
        </w:rPr>
        <w:t xml:space="preserve"> </w:t>
      </w:r>
      <w:r>
        <w:rPr>
          <w:sz w:val="20"/>
        </w:rPr>
        <w:t>según</w:t>
      </w:r>
      <w:r>
        <w:rPr>
          <w:spacing w:val="-16"/>
          <w:sz w:val="20"/>
        </w:rPr>
        <w:t xml:space="preserve"> </w:t>
      </w:r>
      <w:r>
        <w:rPr>
          <w:sz w:val="20"/>
        </w:rPr>
        <w:t>los</w:t>
      </w:r>
      <w:r>
        <w:rPr>
          <w:spacing w:val="-16"/>
          <w:sz w:val="20"/>
        </w:rPr>
        <w:t xml:space="preserve"> </w:t>
      </w:r>
      <w:r>
        <w:rPr>
          <w:sz w:val="20"/>
        </w:rPr>
        <w:t>propios</w:t>
      </w:r>
      <w:r>
        <w:rPr>
          <w:spacing w:val="-18"/>
          <w:sz w:val="20"/>
        </w:rPr>
        <w:t xml:space="preserve"> </w:t>
      </w:r>
      <w:r>
        <w:rPr>
          <w:sz w:val="20"/>
        </w:rPr>
        <w:t>términos</w:t>
      </w:r>
      <w:r>
        <w:rPr>
          <w:spacing w:val="-13"/>
          <w:sz w:val="20"/>
        </w:rPr>
        <w:t xml:space="preserve"> </w:t>
      </w:r>
      <w:r>
        <w:rPr>
          <w:sz w:val="20"/>
        </w:rPr>
        <w:t>de</w:t>
      </w:r>
      <w:r>
        <w:rPr>
          <w:spacing w:val="-19"/>
          <w:sz w:val="20"/>
        </w:rPr>
        <w:t xml:space="preserve"> </w:t>
      </w:r>
      <w:r>
        <w:rPr>
          <w:sz w:val="20"/>
        </w:rPr>
        <w:t>aquella,</w:t>
      </w:r>
      <w:r>
        <w:rPr>
          <w:spacing w:val="-18"/>
          <w:sz w:val="20"/>
        </w:rPr>
        <w:t xml:space="preserve"> </w:t>
      </w:r>
      <w:r>
        <w:rPr>
          <w:sz w:val="20"/>
        </w:rPr>
        <w:t>un</w:t>
      </w:r>
      <w:r>
        <w:rPr>
          <w:spacing w:val="-14"/>
          <w:sz w:val="20"/>
        </w:rPr>
        <w:t xml:space="preserve"> </w:t>
      </w:r>
      <w:r>
        <w:rPr>
          <w:sz w:val="20"/>
        </w:rPr>
        <w:t>“</w:t>
      </w:r>
      <w:r>
        <w:rPr>
          <w:i/>
          <w:sz w:val="20"/>
        </w:rPr>
        <w:t>reconocimiento</w:t>
      </w:r>
      <w:r>
        <w:rPr>
          <w:i/>
          <w:spacing w:val="-19"/>
          <w:sz w:val="20"/>
        </w:rPr>
        <w:t xml:space="preserve"> </w:t>
      </w:r>
      <w:r>
        <w:rPr>
          <w:i/>
          <w:sz w:val="20"/>
        </w:rPr>
        <w:t>implícito en</w:t>
      </w:r>
      <w:r>
        <w:rPr>
          <w:sz w:val="20"/>
        </w:rPr>
        <w:t>” esta última</w:t>
      </w:r>
      <w:hyperlink w:anchor="_bookmark576" w:history="1">
        <w:r>
          <w:rPr>
            <w:position w:val="7"/>
            <w:sz w:val="13"/>
          </w:rPr>
          <w:t>28</w:t>
        </w:r>
      </w:hyperlink>
      <w:r>
        <w:rPr>
          <w:sz w:val="20"/>
        </w:rPr>
        <w:t>.</w:t>
      </w:r>
    </w:p>
    <w:p w14:paraId="61C948CF" w14:textId="77777777" w:rsidR="00467FCA" w:rsidRDefault="00467FCA">
      <w:pPr>
        <w:pStyle w:val="Textoindependiente"/>
        <w:spacing w:before="4"/>
        <w:rPr>
          <w:sz w:val="22"/>
        </w:rPr>
      </w:pPr>
    </w:p>
    <w:p w14:paraId="01FB2251" w14:textId="77777777" w:rsidR="00467FCA" w:rsidRDefault="001B68EB">
      <w:pPr>
        <w:pStyle w:val="Prrafodelista"/>
        <w:numPr>
          <w:ilvl w:val="1"/>
          <w:numId w:val="25"/>
        </w:numPr>
        <w:tabs>
          <w:tab w:val="left" w:pos="1013"/>
        </w:tabs>
        <w:spacing w:before="1" w:line="276" w:lineRule="auto"/>
        <w:ind w:right="395" w:hanging="464"/>
        <w:jc w:val="both"/>
        <w:rPr>
          <w:i/>
          <w:sz w:val="20"/>
        </w:rPr>
      </w:pPr>
      <w:r>
        <w:rPr>
          <w:sz w:val="20"/>
        </w:rPr>
        <w:t>dispone, en cambio, una obligación de hacer, no de resultado, consistente en que los Estados Partes de la Convención deben “</w:t>
      </w:r>
      <w:r>
        <w:rPr>
          <w:i/>
          <w:sz w:val="20"/>
        </w:rPr>
        <w:t>adoptar providencias, tanto a nivel interno como mediante la cooperación internaci</w:t>
      </w:r>
      <w:r>
        <w:rPr>
          <w:i/>
          <w:sz w:val="20"/>
        </w:rPr>
        <w:t>onal, especialmente económica y técnica, para lograr progresivamente la plena efectividad de los derechos</w:t>
      </w:r>
      <w:r>
        <w:rPr>
          <w:sz w:val="20"/>
        </w:rPr>
        <w:t>” a que</w:t>
      </w:r>
      <w:r>
        <w:rPr>
          <w:spacing w:val="-13"/>
          <w:sz w:val="20"/>
        </w:rPr>
        <w:t xml:space="preserve"> </w:t>
      </w:r>
      <w:r>
        <w:rPr>
          <w:sz w:val="20"/>
        </w:rPr>
        <w:t>alude</w:t>
      </w:r>
      <w:r>
        <w:rPr>
          <w:i/>
          <w:sz w:val="20"/>
        </w:rPr>
        <w:t>;</w:t>
      </w:r>
    </w:p>
    <w:p w14:paraId="1A602D3C" w14:textId="77777777" w:rsidR="00467FCA" w:rsidRDefault="00467FCA">
      <w:pPr>
        <w:pStyle w:val="Textoindependiente"/>
        <w:spacing w:before="1"/>
        <w:rPr>
          <w:i/>
          <w:sz w:val="22"/>
        </w:rPr>
      </w:pPr>
    </w:p>
    <w:p w14:paraId="76B405ED" w14:textId="77777777" w:rsidR="00467FCA" w:rsidRDefault="001B68EB">
      <w:pPr>
        <w:pStyle w:val="Prrafodelista"/>
        <w:numPr>
          <w:ilvl w:val="1"/>
          <w:numId w:val="25"/>
        </w:numPr>
        <w:tabs>
          <w:tab w:val="left" w:pos="1013"/>
        </w:tabs>
        <w:spacing w:before="1" w:line="276" w:lineRule="auto"/>
        <w:ind w:right="394" w:hanging="516"/>
        <w:jc w:val="both"/>
        <w:rPr>
          <w:sz w:val="20"/>
        </w:rPr>
      </w:pPr>
      <w:r>
        <w:rPr>
          <w:sz w:val="20"/>
        </w:rPr>
        <w:t>indica que la obligación de comportamiento que establece se cumple “</w:t>
      </w:r>
      <w:r>
        <w:rPr>
          <w:i/>
          <w:sz w:val="20"/>
        </w:rPr>
        <w:t>en la medida de los recursos disponibles, por vía legislativa u otr</w:t>
      </w:r>
      <w:r>
        <w:rPr>
          <w:i/>
          <w:sz w:val="20"/>
        </w:rPr>
        <w:t>os medios apropiados</w:t>
      </w:r>
      <w:r>
        <w:rPr>
          <w:sz w:val="20"/>
        </w:rPr>
        <w:t>”, con lo que no sólo</w:t>
      </w:r>
      <w:r>
        <w:rPr>
          <w:spacing w:val="-12"/>
          <w:sz w:val="20"/>
        </w:rPr>
        <w:t xml:space="preserve"> </w:t>
      </w:r>
      <w:r>
        <w:rPr>
          <w:sz w:val="20"/>
        </w:rPr>
        <w:t>refuerza</w:t>
      </w:r>
      <w:r>
        <w:rPr>
          <w:spacing w:val="-15"/>
          <w:sz w:val="20"/>
        </w:rPr>
        <w:t xml:space="preserve"> </w:t>
      </w:r>
      <w:r>
        <w:rPr>
          <w:sz w:val="20"/>
        </w:rPr>
        <w:t>la</w:t>
      </w:r>
      <w:r>
        <w:rPr>
          <w:spacing w:val="-14"/>
          <w:sz w:val="20"/>
        </w:rPr>
        <w:t xml:space="preserve"> </w:t>
      </w:r>
      <w:r>
        <w:rPr>
          <w:sz w:val="20"/>
        </w:rPr>
        <w:t>falta</w:t>
      </w:r>
      <w:r>
        <w:rPr>
          <w:spacing w:val="-12"/>
          <w:sz w:val="20"/>
        </w:rPr>
        <w:t xml:space="preserve"> </w:t>
      </w:r>
      <w:r>
        <w:rPr>
          <w:sz w:val="20"/>
        </w:rPr>
        <w:t>de</w:t>
      </w:r>
      <w:r>
        <w:rPr>
          <w:spacing w:val="-13"/>
          <w:sz w:val="20"/>
        </w:rPr>
        <w:t xml:space="preserve"> </w:t>
      </w:r>
      <w:r>
        <w:rPr>
          <w:sz w:val="20"/>
        </w:rPr>
        <w:t>efectividad</w:t>
      </w:r>
      <w:r>
        <w:rPr>
          <w:spacing w:val="-12"/>
          <w:sz w:val="20"/>
        </w:rPr>
        <w:t xml:space="preserve"> </w:t>
      </w:r>
      <w:r>
        <w:rPr>
          <w:sz w:val="20"/>
        </w:rPr>
        <w:t>de</w:t>
      </w:r>
      <w:r>
        <w:rPr>
          <w:spacing w:val="-15"/>
          <w:sz w:val="20"/>
        </w:rPr>
        <w:t xml:space="preserve"> </w:t>
      </w:r>
      <w:r>
        <w:rPr>
          <w:sz w:val="20"/>
        </w:rPr>
        <w:t>tales</w:t>
      </w:r>
      <w:r>
        <w:rPr>
          <w:spacing w:val="-16"/>
          <w:sz w:val="20"/>
        </w:rPr>
        <w:t xml:space="preserve"> </w:t>
      </w:r>
      <w:r>
        <w:rPr>
          <w:sz w:val="20"/>
        </w:rPr>
        <w:t>derechos,</w:t>
      </w:r>
      <w:r>
        <w:rPr>
          <w:spacing w:val="-12"/>
          <w:sz w:val="20"/>
        </w:rPr>
        <w:t xml:space="preserve"> </w:t>
      </w:r>
      <w:r>
        <w:rPr>
          <w:sz w:val="20"/>
        </w:rPr>
        <w:t>sino</w:t>
      </w:r>
      <w:r>
        <w:rPr>
          <w:spacing w:val="-14"/>
          <w:sz w:val="20"/>
        </w:rPr>
        <w:t xml:space="preserve"> </w:t>
      </w:r>
      <w:r>
        <w:rPr>
          <w:sz w:val="20"/>
        </w:rPr>
        <w:t>que</w:t>
      </w:r>
      <w:r>
        <w:rPr>
          <w:spacing w:val="-15"/>
          <w:sz w:val="20"/>
        </w:rPr>
        <w:t xml:space="preserve"> </w:t>
      </w:r>
      <w:r>
        <w:rPr>
          <w:sz w:val="20"/>
        </w:rPr>
        <w:t>condiciona</w:t>
      </w:r>
      <w:r>
        <w:rPr>
          <w:spacing w:val="-15"/>
          <w:sz w:val="20"/>
        </w:rPr>
        <w:t xml:space="preserve"> </w:t>
      </w:r>
      <w:r>
        <w:rPr>
          <w:sz w:val="20"/>
        </w:rPr>
        <w:t>la</w:t>
      </w:r>
      <w:r>
        <w:rPr>
          <w:spacing w:val="-15"/>
          <w:sz w:val="20"/>
        </w:rPr>
        <w:t xml:space="preserve"> </w:t>
      </w:r>
      <w:r>
        <w:rPr>
          <w:sz w:val="20"/>
        </w:rPr>
        <w:t>posibilidad de</w:t>
      </w:r>
      <w:r>
        <w:rPr>
          <w:spacing w:val="-7"/>
          <w:sz w:val="20"/>
        </w:rPr>
        <w:t xml:space="preserve"> </w:t>
      </w:r>
      <w:r>
        <w:rPr>
          <w:sz w:val="20"/>
        </w:rPr>
        <w:t>cumplir</w:t>
      </w:r>
      <w:r>
        <w:rPr>
          <w:spacing w:val="-4"/>
          <w:sz w:val="20"/>
        </w:rPr>
        <w:t xml:space="preserve"> </w:t>
      </w:r>
      <w:r>
        <w:rPr>
          <w:sz w:val="20"/>
        </w:rPr>
        <w:t>aquella</w:t>
      </w:r>
      <w:r>
        <w:rPr>
          <w:spacing w:val="-5"/>
          <w:sz w:val="20"/>
        </w:rPr>
        <w:t xml:space="preserve"> </w:t>
      </w:r>
      <w:r>
        <w:rPr>
          <w:sz w:val="20"/>
        </w:rPr>
        <w:t>a</w:t>
      </w:r>
      <w:r>
        <w:rPr>
          <w:spacing w:val="-2"/>
          <w:sz w:val="20"/>
        </w:rPr>
        <w:t xml:space="preserve"> </w:t>
      </w:r>
      <w:r>
        <w:rPr>
          <w:sz w:val="20"/>
        </w:rPr>
        <w:t>la</w:t>
      </w:r>
      <w:r>
        <w:rPr>
          <w:spacing w:val="-3"/>
          <w:sz w:val="20"/>
        </w:rPr>
        <w:t xml:space="preserve"> </w:t>
      </w:r>
      <w:r>
        <w:rPr>
          <w:sz w:val="20"/>
        </w:rPr>
        <w:t>existencia</w:t>
      </w:r>
      <w:r>
        <w:rPr>
          <w:spacing w:val="-5"/>
          <w:sz w:val="20"/>
        </w:rPr>
        <w:t xml:space="preserve"> </w:t>
      </w:r>
      <w:r>
        <w:rPr>
          <w:sz w:val="20"/>
        </w:rPr>
        <w:t>de</w:t>
      </w:r>
      <w:r>
        <w:rPr>
          <w:spacing w:val="-7"/>
          <w:sz w:val="20"/>
        </w:rPr>
        <w:t xml:space="preserve"> </w:t>
      </w:r>
      <w:r>
        <w:rPr>
          <w:sz w:val="20"/>
        </w:rPr>
        <w:t>los</w:t>
      </w:r>
      <w:r>
        <w:rPr>
          <w:spacing w:val="-3"/>
          <w:sz w:val="20"/>
        </w:rPr>
        <w:t xml:space="preserve"> </w:t>
      </w:r>
      <w:r>
        <w:rPr>
          <w:sz w:val="20"/>
        </w:rPr>
        <w:t>recursos</w:t>
      </w:r>
      <w:r>
        <w:rPr>
          <w:spacing w:val="-6"/>
          <w:sz w:val="20"/>
        </w:rPr>
        <w:t xml:space="preserve"> </w:t>
      </w:r>
      <w:r>
        <w:rPr>
          <w:sz w:val="20"/>
        </w:rPr>
        <w:t>de</w:t>
      </w:r>
      <w:r>
        <w:rPr>
          <w:spacing w:val="-7"/>
          <w:sz w:val="20"/>
        </w:rPr>
        <w:t xml:space="preserve"> </w:t>
      </w:r>
      <w:r>
        <w:rPr>
          <w:sz w:val="20"/>
        </w:rPr>
        <w:t>que</w:t>
      </w:r>
      <w:r>
        <w:rPr>
          <w:spacing w:val="-3"/>
          <w:sz w:val="20"/>
        </w:rPr>
        <w:t xml:space="preserve"> </w:t>
      </w:r>
      <w:r>
        <w:rPr>
          <w:sz w:val="20"/>
        </w:rPr>
        <w:t>el</w:t>
      </w:r>
      <w:r>
        <w:rPr>
          <w:spacing w:val="-5"/>
          <w:sz w:val="20"/>
        </w:rPr>
        <w:t xml:space="preserve"> </w:t>
      </w:r>
      <w:r>
        <w:rPr>
          <w:sz w:val="20"/>
        </w:rPr>
        <w:t>pertinente</w:t>
      </w:r>
      <w:r>
        <w:rPr>
          <w:spacing w:val="-2"/>
          <w:sz w:val="20"/>
        </w:rPr>
        <w:t xml:space="preserve"> </w:t>
      </w:r>
      <w:r>
        <w:rPr>
          <w:sz w:val="20"/>
        </w:rPr>
        <w:t>Estado</w:t>
      </w:r>
      <w:r>
        <w:rPr>
          <w:spacing w:val="-7"/>
          <w:sz w:val="20"/>
        </w:rPr>
        <w:t xml:space="preserve"> </w:t>
      </w:r>
      <w:r>
        <w:rPr>
          <w:sz w:val="20"/>
        </w:rPr>
        <w:t>disponga para ello;</w:t>
      </w:r>
      <w:r>
        <w:rPr>
          <w:spacing w:val="1"/>
          <w:sz w:val="20"/>
        </w:rPr>
        <w:t xml:space="preserve"> </w:t>
      </w:r>
      <w:r>
        <w:rPr>
          <w:sz w:val="20"/>
        </w:rPr>
        <w:t>y</w:t>
      </w:r>
    </w:p>
    <w:p w14:paraId="73544F9A" w14:textId="77777777" w:rsidR="00467FCA" w:rsidRDefault="00467FCA">
      <w:pPr>
        <w:pStyle w:val="Textoindependiente"/>
        <w:spacing w:before="3"/>
        <w:rPr>
          <w:sz w:val="22"/>
        </w:rPr>
      </w:pPr>
    </w:p>
    <w:p w14:paraId="047EC68D" w14:textId="77777777" w:rsidR="00467FCA" w:rsidRDefault="001B68EB">
      <w:pPr>
        <w:pStyle w:val="Prrafodelista"/>
        <w:numPr>
          <w:ilvl w:val="1"/>
          <w:numId w:val="25"/>
        </w:numPr>
        <w:tabs>
          <w:tab w:val="left" w:pos="1013"/>
        </w:tabs>
        <w:spacing w:line="276" w:lineRule="auto"/>
        <w:ind w:right="395" w:hanging="572"/>
        <w:jc w:val="both"/>
        <w:rPr>
          <w:sz w:val="20"/>
        </w:rPr>
      </w:pPr>
      <w:r>
        <w:rPr>
          <w:sz w:val="20"/>
        </w:rPr>
        <w:t>hace depender la adopción de las medidas de que se trata, no sólo de la voluntad unilateral del correspondiente Estado, sino de los acuerdos que él pueda llegar con otros Estados, también soberanos, y con organizaciones internacionales de cooperación.</w:t>
      </w:r>
    </w:p>
    <w:p w14:paraId="0E93CF97" w14:textId="77777777" w:rsidR="00467FCA" w:rsidRDefault="00467FCA">
      <w:pPr>
        <w:pStyle w:val="Textoindependiente"/>
      </w:pPr>
    </w:p>
    <w:p w14:paraId="578F8874" w14:textId="77777777" w:rsidR="00467FCA" w:rsidRDefault="00467FCA">
      <w:pPr>
        <w:pStyle w:val="Textoindependiente"/>
      </w:pPr>
    </w:p>
    <w:p w14:paraId="3872B79D" w14:textId="77777777" w:rsidR="00467FCA" w:rsidRDefault="001B68EB">
      <w:pPr>
        <w:pStyle w:val="Textoindependiente"/>
        <w:spacing w:before="2"/>
        <w:rPr>
          <w:sz w:val="12"/>
        </w:rPr>
      </w:pPr>
      <w:r>
        <w:pict w14:anchorId="2246A43F">
          <v:shape id="_x0000_s1098" style="position:absolute;margin-left:56.75pt;margin-top:9.75pt;width:2in;height:.1pt;z-index:-251557888;mso-wrap-distance-left:0;mso-wrap-distance-right:0;mso-position-horizontal-relative:page" coordorigin="1135,195" coordsize="2880,0" path="m1135,195r2880,e" filled="f" strokeweight=".72pt">
            <v:path arrowok="t"/>
            <w10:wrap type="topAndBottom" anchorx="page"/>
          </v:shape>
        </w:pict>
      </w:r>
    </w:p>
    <w:p w14:paraId="23FAC3F9" w14:textId="77777777" w:rsidR="00467FCA" w:rsidRDefault="001B68EB">
      <w:pPr>
        <w:spacing w:before="71"/>
        <w:ind w:left="470"/>
        <w:rPr>
          <w:sz w:val="16"/>
        </w:rPr>
      </w:pPr>
      <w:bookmarkStart w:id="651" w:name="_bookmark572"/>
      <w:bookmarkEnd w:id="651"/>
      <w:r>
        <w:rPr>
          <w:position w:val="6"/>
          <w:sz w:val="10"/>
        </w:rPr>
        <w:t xml:space="preserve">24 </w:t>
      </w:r>
      <w:r>
        <w:rPr>
          <w:sz w:val="16"/>
        </w:rPr>
        <w:t>El Capítulo IV de la Parte I se titula “</w:t>
      </w:r>
      <w:r>
        <w:rPr>
          <w:i/>
          <w:sz w:val="16"/>
        </w:rPr>
        <w:t>Suspensión de Garantías, Interpretación y Aplicación</w:t>
      </w:r>
      <w:r>
        <w:rPr>
          <w:sz w:val="16"/>
        </w:rPr>
        <w:t>” y el Capítulo V de la misma, “</w:t>
      </w:r>
      <w:r>
        <w:rPr>
          <w:i/>
          <w:sz w:val="16"/>
        </w:rPr>
        <w:t>Deberes de las personas”</w:t>
      </w:r>
      <w:r>
        <w:rPr>
          <w:sz w:val="16"/>
        </w:rPr>
        <w:t>.</w:t>
      </w:r>
    </w:p>
    <w:p w14:paraId="663CFB4D" w14:textId="77777777" w:rsidR="00467FCA" w:rsidRDefault="001B68EB">
      <w:pPr>
        <w:ind w:left="470"/>
        <w:rPr>
          <w:sz w:val="16"/>
        </w:rPr>
      </w:pPr>
      <w:bookmarkStart w:id="652" w:name="_bookmark573"/>
      <w:bookmarkEnd w:id="652"/>
      <w:r>
        <w:rPr>
          <w:position w:val="6"/>
          <w:sz w:val="10"/>
        </w:rPr>
        <w:t xml:space="preserve">25 </w:t>
      </w:r>
      <w:r>
        <w:rPr>
          <w:sz w:val="16"/>
        </w:rPr>
        <w:t>“</w:t>
      </w:r>
      <w:r>
        <w:rPr>
          <w:i/>
          <w:sz w:val="16"/>
        </w:rPr>
        <w:t>Derivar: Dicho de una cosa: Traer su origen de otra.” Cfr</w:t>
      </w:r>
      <w:r>
        <w:rPr>
          <w:sz w:val="16"/>
        </w:rPr>
        <w:t xml:space="preserve">. Diccionario de la Lengua Española, Real </w:t>
      </w:r>
      <w:r>
        <w:rPr>
          <w:sz w:val="16"/>
        </w:rPr>
        <w:t>Academia Española, 2018.</w:t>
      </w:r>
    </w:p>
    <w:p w14:paraId="4C819CA0" w14:textId="77777777" w:rsidR="00467FCA" w:rsidRDefault="001B68EB">
      <w:pPr>
        <w:spacing w:before="2"/>
        <w:ind w:left="470"/>
        <w:rPr>
          <w:sz w:val="16"/>
        </w:rPr>
      </w:pPr>
      <w:bookmarkStart w:id="653" w:name="_bookmark574"/>
      <w:bookmarkEnd w:id="653"/>
      <w:r>
        <w:rPr>
          <w:position w:val="6"/>
          <w:sz w:val="10"/>
        </w:rPr>
        <w:t xml:space="preserve">26 </w:t>
      </w:r>
      <w:r>
        <w:rPr>
          <w:sz w:val="16"/>
        </w:rPr>
        <w:t>“</w:t>
      </w:r>
      <w:r>
        <w:rPr>
          <w:i/>
          <w:sz w:val="16"/>
        </w:rPr>
        <w:t>Inferir: Deducir algo o sacarlo como conclusión de otra cosa</w:t>
      </w:r>
      <w:r>
        <w:rPr>
          <w:sz w:val="16"/>
        </w:rPr>
        <w:t xml:space="preserve">”, </w:t>
      </w:r>
      <w:r>
        <w:rPr>
          <w:i/>
          <w:sz w:val="16"/>
        </w:rPr>
        <w:t>Idem</w:t>
      </w:r>
      <w:r>
        <w:rPr>
          <w:sz w:val="16"/>
        </w:rPr>
        <w:t>.</w:t>
      </w:r>
    </w:p>
    <w:p w14:paraId="2362964B" w14:textId="77777777" w:rsidR="00467FCA" w:rsidRDefault="001B68EB">
      <w:pPr>
        <w:ind w:left="470"/>
        <w:rPr>
          <w:sz w:val="16"/>
        </w:rPr>
      </w:pPr>
      <w:bookmarkStart w:id="654" w:name="_bookmark575"/>
      <w:bookmarkEnd w:id="654"/>
      <w:r>
        <w:rPr>
          <w:position w:val="6"/>
          <w:sz w:val="10"/>
        </w:rPr>
        <w:t xml:space="preserve">27 </w:t>
      </w:r>
      <w:r>
        <w:rPr>
          <w:sz w:val="16"/>
        </w:rPr>
        <w:t>Párr. 155 de la Sentencia.</w:t>
      </w:r>
    </w:p>
    <w:p w14:paraId="182C91DE" w14:textId="77777777" w:rsidR="00467FCA" w:rsidRDefault="001B68EB">
      <w:pPr>
        <w:ind w:left="470"/>
        <w:rPr>
          <w:sz w:val="16"/>
        </w:rPr>
      </w:pPr>
      <w:bookmarkStart w:id="655" w:name="_bookmark576"/>
      <w:bookmarkEnd w:id="655"/>
      <w:r>
        <w:rPr>
          <w:position w:val="6"/>
          <w:sz w:val="10"/>
        </w:rPr>
        <w:t xml:space="preserve">28 </w:t>
      </w:r>
      <w:r>
        <w:rPr>
          <w:i/>
          <w:sz w:val="16"/>
        </w:rPr>
        <w:t>Idem</w:t>
      </w:r>
      <w:r>
        <w:rPr>
          <w:sz w:val="16"/>
        </w:rPr>
        <w:t>.</w:t>
      </w:r>
    </w:p>
    <w:p w14:paraId="00E4A43B" w14:textId="77777777" w:rsidR="00467FCA" w:rsidRDefault="00467FCA">
      <w:pPr>
        <w:rPr>
          <w:sz w:val="16"/>
        </w:rPr>
        <w:sectPr w:rsidR="00467FCA">
          <w:pgSz w:w="12240" w:h="15840"/>
          <w:pgMar w:top="1340" w:right="1140" w:bottom="1200" w:left="960" w:header="0" w:footer="1002" w:gutter="0"/>
          <w:cols w:space="720"/>
        </w:sectPr>
      </w:pPr>
    </w:p>
    <w:p w14:paraId="5E7D0FD9" w14:textId="77777777" w:rsidR="00467FCA" w:rsidRDefault="001B68EB">
      <w:pPr>
        <w:pStyle w:val="Prrafodelista"/>
        <w:numPr>
          <w:ilvl w:val="0"/>
          <w:numId w:val="25"/>
        </w:numPr>
        <w:tabs>
          <w:tab w:val="left" w:pos="1450"/>
        </w:tabs>
        <w:spacing w:before="76" w:line="276" w:lineRule="auto"/>
        <w:ind w:right="395" w:firstLine="0"/>
        <w:jc w:val="both"/>
        <w:rPr>
          <w:sz w:val="20"/>
        </w:rPr>
      </w:pPr>
      <w:r>
        <w:rPr>
          <w:sz w:val="20"/>
        </w:rPr>
        <w:t>Igualmente</w:t>
      </w:r>
      <w:r>
        <w:rPr>
          <w:spacing w:val="-9"/>
          <w:sz w:val="20"/>
        </w:rPr>
        <w:t xml:space="preserve"> </w:t>
      </w:r>
      <w:r>
        <w:rPr>
          <w:sz w:val="20"/>
        </w:rPr>
        <w:t>se</w:t>
      </w:r>
      <w:r>
        <w:rPr>
          <w:spacing w:val="-9"/>
          <w:sz w:val="20"/>
        </w:rPr>
        <w:t xml:space="preserve"> </w:t>
      </w:r>
      <w:r>
        <w:rPr>
          <w:sz w:val="20"/>
        </w:rPr>
        <w:t>puede</w:t>
      </w:r>
      <w:r>
        <w:rPr>
          <w:spacing w:val="-9"/>
          <w:sz w:val="20"/>
        </w:rPr>
        <w:t xml:space="preserve"> </w:t>
      </w:r>
      <w:r>
        <w:rPr>
          <w:sz w:val="20"/>
        </w:rPr>
        <w:t>concluir</w:t>
      </w:r>
      <w:r>
        <w:rPr>
          <w:spacing w:val="-9"/>
          <w:sz w:val="20"/>
        </w:rPr>
        <w:t xml:space="preserve"> </w:t>
      </w:r>
      <w:r>
        <w:rPr>
          <w:sz w:val="20"/>
        </w:rPr>
        <w:t>en</w:t>
      </w:r>
      <w:r>
        <w:rPr>
          <w:spacing w:val="-7"/>
          <w:sz w:val="20"/>
        </w:rPr>
        <w:t xml:space="preserve"> </w:t>
      </w:r>
      <w:r>
        <w:rPr>
          <w:sz w:val="20"/>
        </w:rPr>
        <w:t>que</w:t>
      </w:r>
      <w:r>
        <w:rPr>
          <w:spacing w:val="-9"/>
          <w:sz w:val="20"/>
        </w:rPr>
        <w:t xml:space="preserve"> </w:t>
      </w:r>
      <w:r>
        <w:rPr>
          <w:sz w:val="20"/>
        </w:rPr>
        <w:t>los</w:t>
      </w:r>
      <w:r>
        <w:rPr>
          <w:spacing w:val="-9"/>
          <w:sz w:val="20"/>
        </w:rPr>
        <w:t xml:space="preserve"> </w:t>
      </w:r>
      <w:r>
        <w:rPr>
          <w:sz w:val="20"/>
        </w:rPr>
        <w:t>derechos</w:t>
      </w:r>
      <w:r>
        <w:rPr>
          <w:spacing w:val="-6"/>
          <w:sz w:val="20"/>
        </w:rPr>
        <w:t xml:space="preserve"> </w:t>
      </w:r>
      <w:r>
        <w:rPr>
          <w:sz w:val="20"/>
        </w:rPr>
        <w:t>en</w:t>
      </w:r>
      <w:r>
        <w:rPr>
          <w:spacing w:val="-7"/>
          <w:sz w:val="20"/>
        </w:rPr>
        <w:t xml:space="preserve"> </w:t>
      </w:r>
      <w:r>
        <w:rPr>
          <w:sz w:val="20"/>
        </w:rPr>
        <w:t>cuestión</w:t>
      </w:r>
      <w:r>
        <w:rPr>
          <w:spacing w:val="-7"/>
          <w:sz w:val="20"/>
        </w:rPr>
        <w:t xml:space="preserve"> </w:t>
      </w:r>
      <w:r>
        <w:rPr>
          <w:sz w:val="20"/>
        </w:rPr>
        <w:t>no</w:t>
      </w:r>
      <w:r>
        <w:rPr>
          <w:spacing w:val="-9"/>
          <w:sz w:val="20"/>
        </w:rPr>
        <w:t xml:space="preserve"> </w:t>
      </w:r>
      <w:r>
        <w:rPr>
          <w:sz w:val="20"/>
        </w:rPr>
        <w:t>son,</w:t>
      </w:r>
      <w:r>
        <w:rPr>
          <w:spacing w:val="-6"/>
          <w:sz w:val="20"/>
        </w:rPr>
        <w:t xml:space="preserve"> </w:t>
      </w:r>
      <w:r>
        <w:rPr>
          <w:sz w:val="20"/>
        </w:rPr>
        <w:t>en</w:t>
      </w:r>
      <w:r>
        <w:rPr>
          <w:spacing w:val="-7"/>
          <w:sz w:val="20"/>
        </w:rPr>
        <w:t xml:space="preserve"> </w:t>
      </w:r>
      <w:r>
        <w:rPr>
          <w:sz w:val="20"/>
        </w:rPr>
        <w:t>términos empleados por la Convención, “</w:t>
      </w:r>
      <w:r>
        <w:rPr>
          <w:i/>
          <w:sz w:val="20"/>
        </w:rPr>
        <w:t>reconocidos</w:t>
      </w:r>
      <w:r>
        <w:rPr>
          <w:sz w:val="20"/>
        </w:rPr>
        <w:t>”</w:t>
      </w:r>
      <w:hyperlink w:anchor="_bookmark577" w:history="1">
        <w:r>
          <w:rPr>
            <w:position w:val="7"/>
            <w:sz w:val="13"/>
          </w:rPr>
          <w:t>29</w:t>
        </w:r>
      </w:hyperlink>
      <w:r>
        <w:rPr>
          <w:sz w:val="20"/>
        </w:rPr>
        <w:t>, “</w:t>
      </w:r>
      <w:r>
        <w:rPr>
          <w:i/>
          <w:sz w:val="20"/>
        </w:rPr>
        <w:t>establecidos</w:t>
      </w:r>
      <w:r>
        <w:rPr>
          <w:sz w:val="20"/>
        </w:rPr>
        <w:t>”</w:t>
      </w:r>
      <w:hyperlink w:anchor="_bookmark578" w:history="1">
        <w:r>
          <w:rPr>
            <w:position w:val="7"/>
            <w:sz w:val="13"/>
          </w:rPr>
          <w:t>30</w:t>
        </w:r>
      </w:hyperlink>
      <w:r>
        <w:rPr>
          <w:sz w:val="20"/>
        </w:rPr>
        <w:t>, “</w:t>
      </w:r>
      <w:r>
        <w:rPr>
          <w:i/>
          <w:sz w:val="20"/>
        </w:rPr>
        <w:t>garantizados</w:t>
      </w:r>
      <w:r>
        <w:rPr>
          <w:sz w:val="20"/>
        </w:rPr>
        <w:t>”</w:t>
      </w:r>
      <w:hyperlink w:anchor="_bookmark579" w:history="1">
        <w:r>
          <w:rPr>
            <w:position w:val="7"/>
            <w:sz w:val="13"/>
          </w:rPr>
          <w:t>31</w:t>
        </w:r>
      </w:hyperlink>
      <w:r>
        <w:rPr>
          <w:sz w:val="20"/>
        </w:rPr>
        <w:t>, “</w:t>
      </w:r>
      <w:r>
        <w:rPr>
          <w:i/>
          <w:sz w:val="20"/>
        </w:rPr>
        <w:t>consagrados</w:t>
      </w:r>
      <w:r>
        <w:rPr>
          <w:sz w:val="20"/>
        </w:rPr>
        <w:t>”</w:t>
      </w:r>
      <w:hyperlink w:anchor="_bookmark580" w:history="1">
        <w:r>
          <w:rPr>
            <w:position w:val="7"/>
            <w:sz w:val="13"/>
          </w:rPr>
          <w:t>32</w:t>
        </w:r>
      </w:hyperlink>
      <w:r>
        <w:rPr>
          <w:position w:val="7"/>
          <w:sz w:val="13"/>
        </w:rPr>
        <w:t xml:space="preserve"> </w:t>
      </w:r>
      <w:r>
        <w:rPr>
          <w:sz w:val="20"/>
        </w:rPr>
        <w:t>o “</w:t>
      </w:r>
      <w:r>
        <w:rPr>
          <w:i/>
          <w:sz w:val="20"/>
        </w:rPr>
        <w:t>protegidos</w:t>
      </w:r>
      <w:r>
        <w:rPr>
          <w:sz w:val="20"/>
        </w:rPr>
        <w:t>”</w:t>
      </w:r>
      <w:hyperlink w:anchor="_bookmark581" w:history="1">
        <w:r>
          <w:rPr>
            <w:position w:val="7"/>
            <w:sz w:val="13"/>
          </w:rPr>
          <w:t>33</w:t>
        </w:r>
      </w:hyperlink>
      <w:r>
        <w:rPr>
          <w:position w:val="7"/>
          <w:sz w:val="13"/>
        </w:rPr>
        <w:t xml:space="preserve"> </w:t>
      </w:r>
      <w:r>
        <w:rPr>
          <w:sz w:val="20"/>
        </w:rPr>
        <w:t xml:space="preserve">en o por ella y en relación al derecho a condiciones equitativas y satisfactorias que aseguren la seguridad e higiene en el trabajo, tampoco es, como lo indica la Sentencia, </w:t>
      </w:r>
      <w:r>
        <w:rPr>
          <w:i/>
          <w:sz w:val="20"/>
        </w:rPr>
        <w:t>“un derecho protegido por el artículo 26 de la Convenc</w:t>
      </w:r>
      <w:r>
        <w:rPr>
          <w:i/>
          <w:sz w:val="20"/>
        </w:rPr>
        <w:t>ión</w:t>
      </w:r>
      <w:r>
        <w:rPr>
          <w:sz w:val="20"/>
        </w:rPr>
        <w:t>”</w:t>
      </w:r>
      <w:hyperlink w:anchor="_bookmark582" w:history="1">
        <w:r>
          <w:rPr>
            <w:position w:val="7"/>
            <w:sz w:val="13"/>
          </w:rPr>
          <w:t>34</w:t>
        </w:r>
      </w:hyperlink>
      <w:r>
        <w:rPr>
          <w:position w:val="7"/>
          <w:sz w:val="13"/>
        </w:rPr>
        <w:t xml:space="preserve"> </w:t>
      </w:r>
      <w:r>
        <w:rPr>
          <w:sz w:val="20"/>
        </w:rPr>
        <w:t>o “</w:t>
      </w:r>
      <w:r>
        <w:rPr>
          <w:i/>
          <w:sz w:val="20"/>
        </w:rPr>
        <w:t>un derecho reconocido</w:t>
      </w:r>
      <w:r>
        <w:rPr>
          <w:sz w:val="20"/>
        </w:rPr>
        <w:t>” por “</w:t>
      </w:r>
      <w:r>
        <w:rPr>
          <w:i/>
          <w:sz w:val="20"/>
        </w:rPr>
        <w:t>el artículo 26</w:t>
      </w:r>
      <w:r>
        <w:rPr>
          <w:sz w:val="20"/>
        </w:rPr>
        <w:t>”</w:t>
      </w:r>
      <w:hyperlink w:anchor="_bookmark583" w:history="1">
        <w:r>
          <w:rPr>
            <w:position w:val="7"/>
            <w:sz w:val="13"/>
          </w:rPr>
          <w:t>35</w:t>
        </w:r>
      </w:hyperlink>
      <w:r>
        <w:rPr>
          <w:sz w:val="20"/>
        </w:rPr>
        <w:t xml:space="preserve">, sino que es un derecho que se </w:t>
      </w:r>
      <w:r>
        <w:rPr>
          <w:i/>
          <w:sz w:val="20"/>
        </w:rPr>
        <w:t>deriva de las normas</w:t>
      </w:r>
      <w:r>
        <w:rPr>
          <w:i/>
          <w:spacing w:val="-5"/>
          <w:sz w:val="20"/>
        </w:rPr>
        <w:t xml:space="preserve"> </w:t>
      </w:r>
      <w:r>
        <w:rPr>
          <w:i/>
          <w:sz w:val="20"/>
        </w:rPr>
        <w:t>económicas,</w:t>
      </w:r>
      <w:r>
        <w:rPr>
          <w:i/>
          <w:spacing w:val="-4"/>
          <w:sz w:val="20"/>
        </w:rPr>
        <w:t xml:space="preserve"> </w:t>
      </w:r>
      <w:r>
        <w:rPr>
          <w:i/>
          <w:sz w:val="20"/>
        </w:rPr>
        <w:t>sociales</w:t>
      </w:r>
      <w:r>
        <w:rPr>
          <w:i/>
          <w:spacing w:val="-5"/>
          <w:sz w:val="20"/>
        </w:rPr>
        <w:t xml:space="preserve"> </w:t>
      </w:r>
      <w:r>
        <w:rPr>
          <w:i/>
          <w:sz w:val="20"/>
        </w:rPr>
        <w:t>y</w:t>
      </w:r>
      <w:r>
        <w:rPr>
          <w:i/>
          <w:spacing w:val="-3"/>
          <w:sz w:val="20"/>
        </w:rPr>
        <w:t xml:space="preserve"> </w:t>
      </w:r>
      <w:r>
        <w:rPr>
          <w:i/>
          <w:sz w:val="20"/>
        </w:rPr>
        <w:t>sobre</w:t>
      </w:r>
      <w:r>
        <w:rPr>
          <w:i/>
          <w:spacing w:val="-5"/>
          <w:sz w:val="20"/>
        </w:rPr>
        <w:t xml:space="preserve"> </w:t>
      </w:r>
      <w:r>
        <w:rPr>
          <w:i/>
          <w:sz w:val="20"/>
        </w:rPr>
        <w:t>educación,</w:t>
      </w:r>
      <w:r>
        <w:rPr>
          <w:i/>
          <w:spacing w:val="-6"/>
          <w:sz w:val="20"/>
        </w:rPr>
        <w:t xml:space="preserve"> </w:t>
      </w:r>
      <w:r>
        <w:rPr>
          <w:i/>
          <w:sz w:val="20"/>
        </w:rPr>
        <w:t>ciencia</w:t>
      </w:r>
      <w:r>
        <w:rPr>
          <w:i/>
          <w:spacing w:val="-5"/>
          <w:sz w:val="20"/>
        </w:rPr>
        <w:t xml:space="preserve"> </w:t>
      </w:r>
      <w:r>
        <w:rPr>
          <w:i/>
          <w:sz w:val="20"/>
        </w:rPr>
        <w:t>y</w:t>
      </w:r>
      <w:r>
        <w:rPr>
          <w:i/>
          <w:spacing w:val="-4"/>
          <w:sz w:val="20"/>
        </w:rPr>
        <w:t xml:space="preserve"> </w:t>
      </w:r>
      <w:r>
        <w:rPr>
          <w:i/>
          <w:sz w:val="20"/>
        </w:rPr>
        <w:t>cultura,</w:t>
      </w:r>
      <w:r>
        <w:rPr>
          <w:i/>
          <w:spacing w:val="-4"/>
          <w:sz w:val="20"/>
        </w:rPr>
        <w:t xml:space="preserve"> </w:t>
      </w:r>
      <w:r>
        <w:rPr>
          <w:i/>
          <w:sz w:val="20"/>
        </w:rPr>
        <w:t>contenidas</w:t>
      </w:r>
      <w:r>
        <w:rPr>
          <w:i/>
          <w:spacing w:val="-5"/>
          <w:sz w:val="20"/>
        </w:rPr>
        <w:t xml:space="preserve"> </w:t>
      </w:r>
      <w:r>
        <w:rPr>
          <w:i/>
          <w:sz w:val="20"/>
        </w:rPr>
        <w:t>en</w:t>
      </w:r>
      <w:r>
        <w:rPr>
          <w:i/>
          <w:spacing w:val="-4"/>
          <w:sz w:val="20"/>
        </w:rPr>
        <w:t xml:space="preserve"> </w:t>
      </w:r>
      <w:r>
        <w:rPr>
          <w:i/>
          <w:sz w:val="20"/>
        </w:rPr>
        <w:t>la</w:t>
      </w:r>
      <w:r>
        <w:rPr>
          <w:i/>
          <w:spacing w:val="-5"/>
          <w:sz w:val="20"/>
        </w:rPr>
        <w:t xml:space="preserve"> </w:t>
      </w:r>
      <w:r>
        <w:rPr>
          <w:i/>
          <w:sz w:val="20"/>
        </w:rPr>
        <w:t>Carta</w:t>
      </w:r>
      <w:r>
        <w:rPr>
          <w:i/>
          <w:spacing w:val="-6"/>
          <w:sz w:val="20"/>
        </w:rPr>
        <w:t xml:space="preserve"> </w:t>
      </w:r>
      <w:r>
        <w:rPr>
          <w:i/>
          <w:sz w:val="20"/>
        </w:rPr>
        <w:t xml:space="preserve">de la </w:t>
      </w:r>
      <w:r>
        <w:rPr>
          <w:sz w:val="20"/>
        </w:rPr>
        <w:t>OEA, es decir, es un derecho que tiene su origen esta última y no en la</w:t>
      </w:r>
      <w:r>
        <w:rPr>
          <w:spacing w:val="-26"/>
          <w:sz w:val="20"/>
        </w:rPr>
        <w:t xml:space="preserve"> </w:t>
      </w:r>
      <w:r>
        <w:rPr>
          <w:sz w:val="20"/>
        </w:rPr>
        <w:t>Convención.</w:t>
      </w:r>
    </w:p>
    <w:p w14:paraId="7ED5DC4F" w14:textId="77777777" w:rsidR="00467FCA" w:rsidRDefault="00467FCA">
      <w:pPr>
        <w:pStyle w:val="Textoindependiente"/>
        <w:spacing w:before="2"/>
        <w:rPr>
          <w:sz w:val="23"/>
        </w:rPr>
      </w:pPr>
    </w:p>
    <w:p w14:paraId="6D71BE41"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En</w:t>
      </w:r>
      <w:r>
        <w:rPr>
          <w:spacing w:val="-7"/>
          <w:sz w:val="20"/>
        </w:rPr>
        <w:t xml:space="preserve"> </w:t>
      </w:r>
      <w:r>
        <w:rPr>
          <w:sz w:val="20"/>
        </w:rPr>
        <w:t>síntesis,</w:t>
      </w:r>
      <w:r>
        <w:rPr>
          <w:spacing w:val="-8"/>
          <w:sz w:val="20"/>
        </w:rPr>
        <w:t xml:space="preserve"> </w:t>
      </w:r>
      <w:r>
        <w:rPr>
          <w:sz w:val="20"/>
        </w:rPr>
        <w:t>la</w:t>
      </w:r>
      <w:r>
        <w:rPr>
          <w:spacing w:val="-5"/>
          <w:sz w:val="20"/>
        </w:rPr>
        <w:t xml:space="preserve"> </w:t>
      </w:r>
      <w:r>
        <w:rPr>
          <w:sz w:val="20"/>
        </w:rPr>
        <w:t>Convención</w:t>
      </w:r>
      <w:r>
        <w:rPr>
          <w:spacing w:val="-7"/>
          <w:sz w:val="20"/>
        </w:rPr>
        <w:t xml:space="preserve"> </w:t>
      </w:r>
      <w:r>
        <w:rPr>
          <w:sz w:val="20"/>
        </w:rPr>
        <w:t>no</w:t>
      </w:r>
      <w:r>
        <w:rPr>
          <w:spacing w:val="-6"/>
          <w:sz w:val="20"/>
        </w:rPr>
        <w:t xml:space="preserve"> </w:t>
      </w:r>
      <w:r>
        <w:rPr>
          <w:sz w:val="20"/>
        </w:rPr>
        <w:t>“</w:t>
      </w:r>
      <w:r>
        <w:rPr>
          <w:i/>
          <w:sz w:val="20"/>
        </w:rPr>
        <w:t>realiza</w:t>
      </w:r>
      <w:r>
        <w:rPr>
          <w:sz w:val="20"/>
        </w:rPr>
        <w:t>”,</w:t>
      </w:r>
      <w:r>
        <w:rPr>
          <w:spacing w:val="-6"/>
          <w:sz w:val="20"/>
        </w:rPr>
        <w:t xml:space="preserve"> </w:t>
      </w:r>
      <w:r>
        <w:rPr>
          <w:sz w:val="20"/>
        </w:rPr>
        <w:t>como</w:t>
      </w:r>
      <w:r>
        <w:rPr>
          <w:spacing w:val="-6"/>
          <w:sz w:val="20"/>
        </w:rPr>
        <w:t xml:space="preserve"> </w:t>
      </w:r>
      <w:r>
        <w:rPr>
          <w:sz w:val="20"/>
        </w:rPr>
        <w:t>lo</w:t>
      </w:r>
      <w:r>
        <w:rPr>
          <w:spacing w:val="-7"/>
          <w:sz w:val="20"/>
        </w:rPr>
        <w:t xml:space="preserve"> </w:t>
      </w:r>
      <w:r>
        <w:rPr>
          <w:sz w:val="20"/>
        </w:rPr>
        <w:t>afirma</w:t>
      </w:r>
      <w:r>
        <w:rPr>
          <w:spacing w:val="-8"/>
          <w:sz w:val="20"/>
        </w:rPr>
        <w:t xml:space="preserve"> </w:t>
      </w:r>
      <w:r>
        <w:rPr>
          <w:sz w:val="20"/>
        </w:rPr>
        <w:t>la</w:t>
      </w:r>
      <w:r>
        <w:rPr>
          <w:spacing w:val="-5"/>
          <w:sz w:val="20"/>
        </w:rPr>
        <w:t xml:space="preserve"> </w:t>
      </w:r>
      <w:r>
        <w:rPr>
          <w:sz w:val="20"/>
        </w:rPr>
        <w:t>Sentencia,</w:t>
      </w:r>
      <w:r>
        <w:rPr>
          <w:spacing w:val="-5"/>
          <w:sz w:val="20"/>
        </w:rPr>
        <w:t xml:space="preserve"> </w:t>
      </w:r>
      <w:r>
        <w:rPr>
          <w:sz w:val="20"/>
        </w:rPr>
        <w:t>“</w:t>
      </w:r>
      <w:r>
        <w:rPr>
          <w:i/>
          <w:sz w:val="20"/>
        </w:rPr>
        <w:t>una</w:t>
      </w:r>
      <w:r>
        <w:rPr>
          <w:i/>
          <w:spacing w:val="-8"/>
          <w:sz w:val="20"/>
        </w:rPr>
        <w:t xml:space="preserve"> </w:t>
      </w:r>
      <w:r>
        <w:rPr>
          <w:i/>
          <w:sz w:val="20"/>
        </w:rPr>
        <w:t>remisión directa</w:t>
      </w:r>
      <w:r>
        <w:rPr>
          <w:i/>
          <w:spacing w:val="-9"/>
          <w:sz w:val="20"/>
        </w:rPr>
        <w:t xml:space="preserve"> </w:t>
      </w:r>
      <w:r>
        <w:rPr>
          <w:i/>
          <w:sz w:val="20"/>
        </w:rPr>
        <w:t>a</w:t>
      </w:r>
      <w:r>
        <w:rPr>
          <w:i/>
          <w:spacing w:val="-9"/>
          <w:sz w:val="20"/>
        </w:rPr>
        <w:t xml:space="preserve"> </w:t>
      </w:r>
      <w:r>
        <w:rPr>
          <w:i/>
          <w:sz w:val="20"/>
        </w:rPr>
        <w:t>las</w:t>
      </w:r>
      <w:r>
        <w:rPr>
          <w:i/>
          <w:spacing w:val="-10"/>
          <w:sz w:val="20"/>
        </w:rPr>
        <w:t xml:space="preserve"> </w:t>
      </w:r>
      <w:r>
        <w:rPr>
          <w:i/>
          <w:sz w:val="20"/>
        </w:rPr>
        <w:t>normas</w:t>
      </w:r>
      <w:r>
        <w:rPr>
          <w:i/>
          <w:spacing w:val="-7"/>
          <w:sz w:val="20"/>
        </w:rPr>
        <w:t xml:space="preserve"> </w:t>
      </w:r>
      <w:r>
        <w:rPr>
          <w:i/>
          <w:sz w:val="20"/>
        </w:rPr>
        <w:t>económicas,</w:t>
      </w:r>
      <w:r>
        <w:rPr>
          <w:i/>
          <w:spacing w:val="-9"/>
          <w:sz w:val="20"/>
        </w:rPr>
        <w:t xml:space="preserve"> </w:t>
      </w:r>
      <w:r>
        <w:rPr>
          <w:i/>
          <w:sz w:val="20"/>
        </w:rPr>
        <w:t>sociales</w:t>
      </w:r>
      <w:r>
        <w:rPr>
          <w:i/>
          <w:spacing w:val="-10"/>
          <w:sz w:val="20"/>
        </w:rPr>
        <w:t xml:space="preserve"> </w:t>
      </w:r>
      <w:r>
        <w:rPr>
          <w:i/>
          <w:sz w:val="20"/>
        </w:rPr>
        <w:t>y</w:t>
      </w:r>
      <w:r>
        <w:rPr>
          <w:i/>
          <w:spacing w:val="-7"/>
          <w:sz w:val="20"/>
        </w:rPr>
        <w:t xml:space="preserve"> </w:t>
      </w:r>
      <w:r>
        <w:rPr>
          <w:i/>
          <w:sz w:val="20"/>
        </w:rPr>
        <w:t>sobre</w:t>
      </w:r>
      <w:r>
        <w:rPr>
          <w:i/>
          <w:spacing w:val="-10"/>
          <w:sz w:val="20"/>
        </w:rPr>
        <w:t xml:space="preserve"> </w:t>
      </w:r>
      <w:r>
        <w:rPr>
          <w:i/>
          <w:sz w:val="20"/>
        </w:rPr>
        <w:t>educación,</w:t>
      </w:r>
      <w:r>
        <w:rPr>
          <w:i/>
          <w:spacing w:val="-9"/>
          <w:sz w:val="20"/>
        </w:rPr>
        <w:t xml:space="preserve"> </w:t>
      </w:r>
      <w:r>
        <w:rPr>
          <w:i/>
          <w:sz w:val="20"/>
        </w:rPr>
        <w:t>ciencia</w:t>
      </w:r>
      <w:r>
        <w:rPr>
          <w:i/>
          <w:spacing w:val="-9"/>
          <w:sz w:val="20"/>
        </w:rPr>
        <w:t xml:space="preserve"> </w:t>
      </w:r>
      <w:r>
        <w:rPr>
          <w:i/>
          <w:sz w:val="20"/>
        </w:rPr>
        <w:t>y</w:t>
      </w:r>
      <w:r>
        <w:rPr>
          <w:i/>
          <w:spacing w:val="-9"/>
          <w:sz w:val="20"/>
        </w:rPr>
        <w:t xml:space="preserve"> </w:t>
      </w:r>
      <w:r>
        <w:rPr>
          <w:i/>
          <w:sz w:val="20"/>
        </w:rPr>
        <w:t>cultura</w:t>
      </w:r>
      <w:r>
        <w:rPr>
          <w:i/>
          <w:spacing w:val="-10"/>
          <w:sz w:val="20"/>
        </w:rPr>
        <w:t xml:space="preserve"> </w:t>
      </w:r>
      <w:r>
        <w:rPr>
          <w:i/>
          <w:sz w:val="20"/>
        </w:rPr>
        <w:t>contenidas</w:t>
      </w:r>
      <w:r>
        <w:rPr>
          <w:i/>
          <w:spacing w:val="-10"/>
          <w:sz w:val="20"/>
        </w:rPr>
        <w:t xml:space="preserve"> </w:t>
      </w:r>
      <w:r>
        <w:rPr>
          <w:i/>
          <w:sz w:val="20"/>
        </w:rPr>
        <w:t>en la Carta de la OEA</w:t>
      </w:r>
      <w:r>
        <w:rPr>
          <w:sz w:val="20"/>
        </w:rPr>
        <w:t>”, sino que, tal como por lo demás textualmente aquella lo indica, los derechos de que se trata “</w:t>
      </w:r>
      <w:r>
        <w:rPr>
          <w:i/>
          <w:sz w:val="20"/>
        </w:rPr>
        <w:t xml:space="preserve">pueden ser derivados interpretativamente del artículo 26”, </w:t>
      </w:r>
      <w:r>
        <w:rPr>
          <w:sz w:val="20"/>
        </w:rPr>
        <w:t>de lo que,</w:t>
      </w:r>
      <w:r>
        <w:rPr>
          <w:spacing w:val="-13"/>
          <w:sz w:val="20"/>
        </w:rPr>
        <w:t xml:space="preserve"> </w:t>
      </w:r>
      <w:r>
        <w:rPr>
          <w:sz w:val="20"/>
        </w:rPr>
        <w:t>por</w:t>
      </w:r>
      <w:r>
        <w:rPr>
          <w:spacing w:val="-11"/>
          <w:sz w:val="20"/>
        </w:rPr>
        <w:t xml:space="preserve"> </w:t>
      </w:r>
      <w:r>
        <w:rPr>
          <w:sz w:val="20"/>
        </w:rPr>
        <w:t>otra</w:t>
      </w:r>
      <w:r>
        <w:rPr>
          <w:spacing w:val="-11"/>
          <w:sz w:val="20"/>
        </w:rPr>
        <w:t xml:space="preserve"> </w:t>
      </w:r>
      <w:r>
        <w:rPr>
          <w:sz w:val="20"/>
        </w:rPr>
        <w:t>parte</w:t>
      </w:r>
      <w:r>
        <w:rPr>
          <w:i/>
          <w:sz w:val="20"/>
        </w:rPr>
        <w:t>,</w:t>
      </w:r>
      <w:r>
        <w:rPr>
          <w:i/>
          <w:spacing w:val="-11"/>
          <w:sz w:val="20"/>
        </w:rPr>
        <w:t xml:space="preserve"> </w:t>
      </w:r>
      <w:r>
        <w:rPr>
          <w:sz w:val="20"/>
        </w:rPr>
        <w:t>se</w:t>
      </w:r>
      <w:r>
        <w:rPr>
          <w:spacing w:val="-10"/>
          <w:sz w:val="20"/>
        </w:rPr>
        <w:t xml:space="preserve"> </w:t>
      </w:r>
      <w:r>
        <w:rPr>
          <w:sz w:val="20"/>
        </w:rPr>
        <w:t>colegiría</w:t>
      </w:r>
      <w:r>
        <w:rPr>
          <w:spacing w:val="-10"/>
          <w:sz w:val="20"/>
        </w:rPr>
        <w:t xml:space="preserve"> </w:t>
      </w:r>
      <w:r>
        <w:rPr>
          <w:i/>
          <w:sz w:val="20"/>
        </w:rPr>
        <w:t>“su</w:t>
      </w:r>
      <w:r>
        <w:rPr>
          <w:i/>
          <w:spacing w:val="-9"/>
          <w:sz w:val="20"/>
        </w:rPr>
        <w:t xml:space="preserve"> </w:t>
      </w:r>
      <w:r>
        <w:rPr>
          <w:i/>
          <w:sz w:val="20"/>
        </w:rPr>
        <w:t>existencia</w:t>
      </w:r>
      <w:r>
        <w:rPr>
          <w:i/>
          <w:spacing w:val="-9"/>
          <w:sz w:val="20"/>
        </w:rPr>
        <w:t xml:space="preserve"> </w:t>
      </w:r>
      <w:r>
        <w:rPr>
          <w:i/>
          <w:sz w:val="20"/>
        </w:rPr>
        <w:t>y</w:t>
      </w:r>
      <w:r>
        <w:rPr>
          <w:i/>
          <w:spacing w:val="-10"/>
          <w:sz w:val="20"/>
        </w:rPr>
        <w:t xml:space="preserve"> </w:t>
      </w:r>
      <w:r>
        <w:rPr>
          <w:i/>
          <w:sz w:val="20"/>
        </w:rPr>
        <w:t>rec</w:t>
      </w:r>
      <w:r>
        <w:rPr>
          <w:i/>
          <w:sz w:val="20"/>
        </w:rPr>
        <w:t>onocimiento</w:t>
      </w:r>
      <w:r>
        <w:rPr>
          <w:i/>
          <w:spacing w:val="-13"/>
          <w:sz w:val="20"/>
        </w:rPr>
        <w:t xml:space="preserve"> </w:t>
      </w:r>
      <w:r>
        <w:rPr>
          <w:i/>
          <w:sz w:val="20"/>
        </w:rPr>
        <w:t>implícito</w:t>
      </w:r>
      <w:r>
        <w:rPr>
          <w:i/>
          <w:spacing w:val="-11"/>
          <w:sz w:val="20"/>
        </w:rPr>
        <w:t xml:space="preserve"> </w:t>
      </w:r>
      <w:r>
        <w:rPr>
          <w:i/>
          <w:sz w:val="20"/>
        </w:rPr>
        <w:t>en</w:t>
      </w:r>
      <w:r>
        <w:rPr>
          <w:i/>
          <w:spacing w:val="-12"/>
          <w:sz w:val="20"/>
        </w:rPr>
        <w:t xml:space="preserve"> </w:t>
      </w:r>
      <w:r>
        <w:rPr>
          <w:i/>
          <w:sz w:val="20"/>
        </w:rPr>
        <w:t>la</w:t>
      </w:r>
      <w:r>
        <w:rPr>
          <w:i/>
          <w:spacing w:val="-9"/>
          <w:sz w:val="20"/>
        </w:rPr>
        <w:t xml:space="preserve"> </w:t>
      </w:r>
      <w:r>
        <w:rPr>
          <w:i/>
          <w:sz w:val="20"/>
        </w:rPr>
        <w:t>Carta</w:t>
      </w:r>
      <w:r>
        <w:rPr>
          <w:sz w:val="20"/>
        </w:rPr>
        <w:t>”</w:t>
      </w:r>
      <w:hyperlink w:anchor="_bookmark584" w:history="1">
        <w:r>
          <w:rPr>
            <w:position w:val="7"/>
            <w:sz w:val="13"/>
          </w:rPr>
          <w:t>36</w:t>
        </w:r>
      </w:hyperlink>
      <w:r>
        <w:rPr>
          <w:sz w:val="20"/>
        </w:rPr>
        <w:t>.</w:t>
      </w:r>
      <w:r>
        <w:rPr>
          <w:spacing w:val="-13"/>
          <w:sz w:val="20"/>
        </w:rPr>
        <w:t xml:space="preserve"> </w:t>
      </w:r>
      <w:r>
        <w:rPr>
          <w:sz w:val="20"/>
        </w:rPr>
        <w:t xml:space="preserve">Para determinar esos derechos y estimarlos como </w:t>
      </w:r>
      <w:r>
        <w:rPr>
          <w:i/>
          <w:sz w:val="20"/>
        </w:rPr>
        <w:t>reconocidos</w:t>
      </w:r>
      <w:r>
        <w:rPr>
          <w:sz w:val="20"/>
        </w:rPr>
        <w:t>”, “</w:t>
      </w:r>
      <w:r>
        <w:rPr>
          <w:i/>
          <w:sz w:val="20"/>
        </w:rPr>
        <w:t>establecidos</w:t>
      </w:r>
      <w:r>
        <w:rPr>
          <w:sz w:val="20"/>
        </w:rPr>
        <w:t>”, “</w:t>
      </w:r>
      <w:r>
        <w:rPr>
          <w:i/>
          <w:sz w:val="20"/>
        </w:rPr>
        <w:t>garantizados</w:t>
      </w:r>
      <w:r>
        <w:rPr>
          <w:sz w:val="20"/>
        </w:rPr>
        <w:t>”, “</w:t>
      </w:r>
      <w:r>
        <w:rPr>
          <w:i/>
          <w:sz w:val="20"/>
        </w:rPr>
        <w:t>consagrados</w:t>
      </w:r>
      <w:r>
        <w:rPr>
          <w:sz w:val="20"/>
        </w:rPr>
        <w:t>” o “</w:t>
      </w:r>
      <w:r>
        <w:rPr>
          <w:i/>
          <w:sz w:val="20"/>
        </w:rPr>
        <w:t>protegidos</w:t>
      </w:r>
      <w:r>
        <w:rPr>
          <w:sz w:val="20"/>
        </w:rPr>
        <w:t>” por la Convención, sería necesario interpretar las citadas norm</w:t>
      </w:r>
      <w:r>
        <w:rPr>
          <w:sz w:val="20"/>
        </w:rPr>
        <w:t>as de la Carta de la OEA, derivar de allí los derechos correspondientes y</w:t>
      </w:r>
      <w:r>
        <w:rPr>
          <w:spacing w:val="-34"/>
          <w:sz w:val="20"/>
        </w:rPr>
        <w:t xml:space="preserve"> </w:t>
      </w:r>
      <w:r>
        <w:rPr>
          <w:sz w:val="20"/>
        </w:rPr>
        <w:t>considerarlos,</w:t>
      </w:r>
    </w:p>
    <w:p w14:paraId="3F9CB1AF" w14:textId="77777777" w:rsidR="00467FCA" w:rsidRDefault="001B68EB">
      <w:pPr>
        <w:pStyle w:val="Textoindependiente"/>
        <w:spacing w:before="4"/>
        <w:rPr>
          <w:sz w:val="10"/>
        </w:rPr>
      </w:pPr>
      <w:r>
        <w:pict w14:anchorId="0B17D331">
          <v:shape id="_x0000_s1097" style="position:absolute;margin-left:56.75pt;margin-top:8.65pt;width:2in;height:.1pt;z-index:-251556864;mso-wrap-distance-left:0;mso-wrap-distance-right:0;mso-position-horizontal-relative:page" coordorigin="1135,173" coordsize="2880,0" path="m1135,173r2880,e" filled="f" strokeweight=".72pt">
            <v:path arrowok="t"/>
            <w10:wrap type="topAndBottom" anchorx="page"/>
          </v:shape>
        </w:pict>
      </w:r>
    </w:p>
    <w:p w14:paraId="795959F7" w14:textId="77777777" w:rsidR="00467FCA" w:rsidRDefault="001B68EB">
      <w:pPr>
        <w:spacing w:before="71"/>
        <w:ind w:left="470" w:right="393"/>
        <w:jc w:val="both"/>
        <w:rPr>
          <w:i/>
          <w:sz w:val="16"/>
        </w:rPr>
      </w:pPr>
      <w:bookmarkStart w:id="656" w:name="_bookmark577"/>
      <w:bookmarkEnd w:id="656"/>
      <w:r>
        <w:rPr>
          <w:position w:val="6"/>
          <w:sz w:val="10"/>
        </w:rPr>
        <w:t xml:space="preserve">29 </w:t>
      </w:r>
      <w:r>
        <w:rPr>
          <w:sz w:val="16"/>
        </w:rPr>
        <w:t xml:space="preserve">Art. 1.1: ”Obligación </w:t>
      </w:r>
      <w:r>
        <w:rPr>
          <w:i/>
          <w:sz w:val="16"/>
        </w:rPr>
        <w:t>de Respetar los Derechos. Los Estados Partes en esta Convención se comprometen a respetar los derechos y libertades reconocidos en ella y a garantizar su libre y pleno ejercicio a toda persona que esté sujeta a su jurisdicción, sin discriminación alguna po</w:t>
      </w:r>
      <w:r>
        <w:rPr>
          <w:i/>
          <w:sz w:val="16"/>
        </w:rPr>
        <w:t>r motivos de raza, color, sexo, idioma, religión, opiniones políticas o de cualquier otra índole, origen nacional o social, posición económica, nacimiento o cualquier otra condición social.”</w:t>
      </w:r>
    </w:p>
    <w:p w14:paraId="73DD5F4D" w14:textId="77777777" w:rsidR="00467FCA" w:rsidRDefault="001B68EB">
      <w:pPr>
        <w:ind w:left="470" w:right="396"/>
        <w:jc w:val="both"/>
        <w:rPr>
          <w:i/>
          <w:sz w:val="16"/>
        </w:rPr>
      </w:pPr>
      <w:r>
        <w:rPr>
          <w:sz w:val="16"/>
        </w:rPr>
        <w:t xml:space="preserve">Art. 22.4: </w:t>
      </w:r>
      <w:r>
        <w:rPr>
          <w:i/>
          <w:sz w:val="16"/>
        </w:rPr>
        <w:t xml:space="preserve">“Derecho de Circulación y de Residencia. El ejercicio </w:t>
      </w:r>
      <w:r>
        <w:rPr>
          <w:i/>
          <w:sz w:val="16"/>
        </w:rPr>
        <w:t>de los derechos reconocidos en el inciso 1 puede asimismo ser restringido por la ley, en zonas determinadas, por razones de interés público.”</w:t>
      </w:r>
    </w:p>
    <w:p w14:paraId="0E9DEF82" w14:textId="77777777" w:rsidR="00467FCA" w:rsidRDefault="001B68EB">
      <w:pPr>
        <w:ind w:left="470" w:right="394"/>
        <w:jc w:val="both"/>
        <w:rPr>
          <w:i/>
          <w:sz w:val="16"/>
        </w:rPr>
      </w:pPr>
      <w:r>
        <w:rPr>
          <w:sz w:val="16"/>
        </w:rPr>
        <w:t>Art.</w:t>
      </w:r>
      <w:r>
        <w:rPr>
          <w:spacing w:val="-4"/>
          <w:sz w:val="16"/>
        </w:rPr>
        <w:t xml:space="preserve"> </w:t>
      </w:r>
      <w:r>
        <w:rPr>
          <w:sz w:val="16"/>
        </w:rPr>
        <w:t>25.1</w:t>
      </w:r>
      <w:r>
        <w:rPr>
          <w:i/>
          <w:sz w:val="16"/>
        </w:rPr>
        <w:t>:</w:t>
      </w:r>
      <w:r>
        <w:rPr>
          <w:i/>
          <w:spacing w:val="-6"/>
          <w:sz w:val="16"/>
        </w:rPr>
        <w:t xml:space="preserve"> </w:t>
      </w:r>
      <w:r>
        <w:rPr>
          <w:i/>
          <w:sz w:val="16"/>
        </w:rPr>
        <w:t>”Protección</w:t>
      </w:r>
      <w:r>
        <w:rPr>
          <w:i/>
          <w:spacing w:val="-3"/>
          <w:sz w:val="16"/>
        </w:rPr>
        <w:t xml:space="preserve"> </w:t>
      </w:r>
      <w:r>
        <w:rPr>
          <w:i/>
          <w:sz w:val="16"/>
        </w:rPr>
        <w:t>Judicial.</w:t>
      </w:r>
      <w:r>
        <w:rPr>
          <w:i/>
          <w:spacing w:val="-3"/>
          <w:sz w:val="16"/>
        </w:rPr>
        <w:t xml:space="preserve"> </w:t>
      </w:r>
      <w:r>
        <w:rPr>
          <w:i/>
          <w:sz w:val="16"/>
        </w:rPr>
        <w:t>Toda</w:t>
      </w:r>
      <w:r>
        <w:rPr>
          <w:i/>
          <w:spacing w:val="-5"/>
          <w:sz w:val="16"/>
        </w:rPr>
        <w:t xml:space="preserve"> </w:t>
      </w:r>
      <w:r>
        <w:rPr>
          <w:i/>
          <w:sz w:val="16"/>
        </w:rPr>
        <w:t>persona</w:t>
      </w:r>
      <w:r>
        <w:rPr>
          <w:i/>
          <w:spacing w:val="-6"/>
          <w:sz w:val="16"/>
        </w:rPr>
        <w:t xml:space="preserve"> </w:t>
      </w:r>
      <w:r>
        <w:rPr>
          <w:i/>
          <w:sz w:val="16"/>
        </w:rPr>
        <w:t>tiene</w:t>
      </w:r>
      <w:r>
        <w:rPr>
          <w:i/>
          <w:spacing w:val="-2"/>
          <w:sz w:val="16"/>
        </w:rPr>
        <w:t xml:space="preserve"> </w:t>
      </w:r>
      <w:r>
        <w:rPr>
          <w:i/>
          <w:sz w:val="16"/>
        </w:rPr>
        <w:t>derecho</w:t>
      </w:r>
      <w:r>
        <w:rPr>
          <w:i/>
          <w:spacing w:val="-2"/>
          <w:sz w:val="16"/>
        </w:rPr>
        <w:t xml:space="preserve"> </w:t>
      </w:r>
      <w:r>
        <w:rPr>
          <w:i/>
          <w:sz w:val="16"/>
        </w:rPr>
        <w:t>a</w:t>
      </w:r>
      <w:r>
        <w:rPr>
          <w:i/>
          <w:spacing w:val="-5"/>
          <w:sz w:val="16"/>
        </w:rPr>
        <w:t xml:space="preserve"> </w:t>
      </w:r>
      <w:r>
        <w:rPr>
          <w:i/>
          <w:sz w:val="16"/>
        </w:rPr>
        <w:t>un</w:t>
      </w:r>
      <w:r>
        <w:rPr>
          <w:i/>
          <w:spacing w:val="-3"/>
          <w:sz w:val="16"/>
        </w:rPr>
        <w:t xml:space="preserve"> </w:t>
      </w:r>
      <w:r>
        <w:rPr>
          <w:i/>
          <w:sz w:val="16"/>
        </w:rPr>
        <w:t>recurso</w:t>
      </w:r>
      <w:r>
        <w:rPr>
          <w:i/>
          <w:spacing w:val="-4"/>
          <w:sz w:val="16"/>
        </w:rPr>
        <w:t xml:space="preserve"> </w:t>
      </w:r>
      <w:r>
        <w:rPr>
          <w:i/>
          <w:sz w:val="16"/>
        </w:rPr>
        <w:t>sencillo</w:t>
      </w:r>
      <w:r>
        <w:rPr>
          <w:i/>
          <w:spacing w:val="-4"/>
          <w:sz w:val="16"/>
        </w:rPr>
        <w:t xml:space="preserve"> </w:t>
      </w:r>
      <w:r>
        <w:rPr>
          <w:i/>
          <w:sz w:val="16"/>
        </w:rPr>
        <w:t>y</w:t>
      </w:r>
      <w:r>
        <w:rPr>
          <w:i/>
          <w:spacing w:val="-4"/>
          <w:sz w:val="16"/>
        </w:rPr>
        <w:t xml:space="preserve"> </w:t>
      </w:r>
      <w:r>
        <w:rPr>
          <w:i/>
          <w:sz w:val="16"/>
        </w:rPr>
        <w:t>rápido</w:t>
      </w:r>
      <w:r>
        <w:rPr>
          <w:i/>
          <w:spacing w:val="-3"/>
          <w:sz w:val="16"/>
        </w:rPr>
        <w:t xml:space="preserve"> </w:t>
      </w:r>
      <w:r>
        <w:rPr>
          <w:i/>
          <w:sz w:val="16"/>
        </w:rPr>
        <w:t>o</w:t>
      </w:r>
      <w:r>
        <w:rPr>
          <w:i/>
          <w:spacing w:val="-4"/>
          <w:sz w:val="16"/>
        </w:rPr>
        <w:t xml:space="preserve"> </w:t>
      </w:r>
      <w:r>
        <w:rPr>
          <w:i/>
          <w:sz w:val="16"/>
        </w:rPr>
        <w:t>a</w:t>
      </w:r>
      <w:r>
        <w:rPr>
          <w:i/>
          <w:spacing w:val="-3"/>
          <w:sz w:val="16"/>
        </w:rPr>
        <w:t xml:space="preserve"> </w:t>
      </w:r>
      <w:r>
        <w:rPr>
          <w:i/>
          <w:sz w:val="16"/>
        </w:rPr>
        <w:t>cualquier</w:t>
      </w:r>
      <w:r>
        <w:rPr>
          <w:i/>
          <w:spacing w:val="-4"/>
          <w:sz w:val="16"/>
        </w:rPr>
        <w:t xml:space="preserve"> </w:t>
      </w:r>
      <w:r>
        <w:rPr>
          <w:i/>
          <w:sz w:val="16"/>
        </w:rPr>
        <w:t>otro</w:t>
      </w:r>
      <w:r>
        <w:rPr>
          <w:i/>
          <w:spacing w:val="-1"/>
          <w:sz w:val="16"/>
        </w:rPr>
        <w:t xml:space="preserve"> </w:t>
      </w:r>
      <w:r>
        <w:rPr>
          <w:i/>
          <w:sz w:val="16"/>
        </w:rPr>
        <w:t>recu</w:t>
      </w:r>
      <w:r>
        <w:rPr>
          <w:i/>
          <w:sz w:val="16"/>
        </w:rPr>
        <w:t>rso efectivo ante los jueces o tribunales competentes, que la ampare contra actos que violen sus derechos fundamentales reconocidos por la Constitución, la ley o la presente Convención, aun cuando tal violación sea cometida por personas que actúen en ejerc</w:t>
      </w:r>
      <w:r>
        <w:rPr>
          <w:i/>
          <w:sz w:val="16"/>
        </w:rPr>
        <w:t>icio de sus funciones</w:t>
      </w:r>
      <w:r>
        <w:rPr>
          <w:i/>
          <w:spacing w:val="-9"/>
          <w:sz w:val="16"/>
        </w:rPr>
        <w:t xml:space="preserve"> </w:t>
      </w:r>
      <w:r>
        <w:rPr>
          <w:i/>
          <w:sz w:val="16"/>
        </w:rPr>
        <w:t>oficiales.</w:t>
      </w:r>
    </w:p>
    <w:p w14:paraId="5BF9FC4E" w14:textId="77777777" w:rsidR="00467FCA" w:rsidRDefault="001B68EB">
      <w:pPr>
        <w:ind w:left="470" w:right="393"/>
        <w:jc w:val="both"/>
        <w:rPr>
          <w:i/>
          <w:sz w:val="16"/>
        </w:rPr>
      </w:pPr>
      <w:r>
        <w:rPr>
          <w:sz w:val="16"/>
        </w:rPr>
        <w:t>Art.</w:t>
      </w:r>
      <w:r>
        <w:rPr>
          <w:spacing w:val="-7"/>
          <w:sz w:val="16"/>
        </w:rPr>
        <w:t xml:space="preserve"> </w:t>
      </w:r>
      <w:r>
        <w:rPr>
          <w:sz w:val="16"/>
        </w:rPr>
        <w:t>29.a</w:t>
      </w:r>
      <w:r>
        <w:rPr>
          <w:i/>
          <w:sz w:val="16"/>
        </w:rPr>
        <w:t>):</w:t>
      </w:r>
      <w:r>
        <w:rPr>
          <w:i/>
          <w:spacing w:val="-4"/>
          <w:sz w:val="16"/>
        </w:rPr>
        <w:t xml:space="preserve"> </w:t>
      </w:r>
      <w:r>
        <w:rPr>
          <w:i/>
          <w:sz w:val="16"/>
        </w:rPr>
        <w:t>”Normas</w:t>
      </w:r>
      <w:r>
        <w:rPr>
          <w:i/>
          <w:spacing w:val="-5"/>
          <w:sz w:val="16"/>
        </w:rPr>
        <w:t xml:space="preserve"> </w:t>
      </w:r>
      <w:r>
        <w:rPr>
          <w:i/>
          <w:sz w:val="16"/>
        </w:rPr>
        <w:t>de</w:t>
      </w:r>
      <w:r>
        <w:rPr>
          <w:i/>
          <w:spacing w:val="-2"/>
          <w:sz w:val="16"/>
        </w:rPr>
        <w:t xml:space="preserve"> </w:t>
      </w:r>
      <w:r>
        <w:rPr>
          <w:i/>
          <w:sz w:val="16"/>
        </w:rPr>
        <w:t>Interpretación.</w:t>
      </w:r>
      <w:r>
        <w:rPr>
          <w:i/>
          <w:spacing w:val="-3"/>
          <w:sz w:val="16"/>
        </w:rPr>
        <w:t xml:space="preserve"> </w:t>
      </w:r>
      <w:r>
        <w:rPr>
          <w:i/>
          <w:sz w:val="16"/>
        </w:rPr>
        <w:t>Ninguna</w:t>
      </w:r>
      <w:r>
        <w:rPr>
          <w:i/>
          <w:spacing w:val="-6"/>
          <w:sz w:val="16"/>
        </w:rPr>
        <w:t xml:space="preserve"> </w:t>
      </w:r>
      <w:r>
        <w:rPr>
          <w:i/>
          <w:sz w:val="16"/>
        </w:rPr>
        <w:t>disposición</w:t>
      </w:r>
      <w:r>
        <w:rPr>
          <w:i/>
          <w:spacing w:val="-6"/>
          <w:sz w:val="16"/>
        </w:rPr>
        <w:t xml:space="preserve"> </w:t>
      </w:r>
      <w:r>
        <w:rPr>
          <w:i/>
          <w:sz w:val="16"/>
        </w:rPr>
        <w:t>de</w:t>
      </w:r>
      <w:r>
        <w:rPr>
          <w:i/>
          <w:spacing w:val="-2"/>
          <w:sz w:val="16"/>
        </w:rPr>
        <w:t xml:space="preserve"> </w:t>
      </w:r>
      <w:r>
        <w:rPr>
          <w:i/>
          <w:sz w:val="16"/>
        </w:rPr>
        <w:t>la</w:t>
      </w:r>
      <w:r>
        <w:rPr>
          <w:i/>
          <w:spacing w:val="-7"/>
          <w:sz w:val="16"/>
        </w:rPr>
        <w:t xml:space="preserve"> </w:t>
      </w:r>
      <w:r>
        <w:rPr>
          <w:i/>
          <w:sz w:val="16"/>
        </w:rPr>
        <w:t>presente</w:t>
      </w:r>
      <w:r>
        <w:rPr>
          <w:i/>
          <w:spacing w:val="-5"/>
          <w:sz w:val="16"/>
        </w:rPr>
        <w:t xml:space="preserve"> </w:t>
      </w:r>
      <w:r>
        <w:rPr>
          <w:i/>
          <w:sz w:val="16"/>
        </w:rPr>
        <w:t>Convención</w:t>
      </w:r>
      <w:r>
        <w:rPr>
          <w:i/>
          <w:spacing w:val="-6"/>
          <w:sz w:val="16"/>
        </w:rPr>
        <w:t xml:space="preserve"> </w:t>
      </w:r>
      <w:r>
        <w:rPr>
          <w:i/>
          <w:sz w:val="16"/>
        </w:rPr>
        <w:t>puede</w:t>
      </w:r>
      <w:r>
        <w:rPr>
          <w:i/>
          <w:spacing w:val="-5"/>
          <w:sz w:val="16"/>
        </w:rPr>
        <w:t xml:space="preserve"> </w:t>
      </w:r>
      <w:r>
        <w:rPr>
          <w:i/>
          <w:sz w:val="16"/>
        </w:rPr>
        <w:t>ser</w:t>
      </w:r>
      <w:r>
        <w:rPr>
          <w:i/>
          <w:spacing w:val="-2"/>
          <w:sz w:val="16"/>
        </w:rPr>
        <w:t xml:space="preserve"> </w:t>
      </w:r>
      <w:r>
        <w:rPr>
          <w:i/>
          <w:sz w:val="16"/>
        </w:rPr>
        <w:t>interpretada</w:t>
      </w:r>
      <w:r>
        <w:rPr>
          <w:i/>
          <w:spacing w:val="-3"/>
          <w:sz w:val="16"/>
        </w:rPr>
        <w:t xml:space="preserve"> </w:t>
      </w:r>
      <w:r>
        <w:rPr>
          <w:i/>
          <w:sz w:val="16"/>
        </w:rPr>
        <w:t>en</w:t>
      </w:r>
      <w:r>
        <w:rPr>
          <w:i/>
          <w:spacing w:val="-6"/>
          <w:sz w:val="16"/>
        </w:rPr>
        <w:t xml:space="preserve"> </w:t>
      </w:r>
      <w:r>
        <w:rPr>
          <w:i/>
          <w:sz w:val="16"/>
        </w:rPr>
        <w:t>el sentido</w:t>
      </w:r>
      <w:r>
        <w:rPr>
          <w:i/>
          <w:spacing w:val="-8"/>
          <w:sz w:val="16"/>
        </w:rPr>
        <w:t xml:space="preserve"> </w:t>
      </w:r>
      <w:r>
        <w:rPr>
          <w:i/>
          <w:sz w:val="16"/>
        </w:rPr>
        <w:t>de:</w:t>
      </w:r>
      <w:r>
        <w:rPr>
          <w:i/>
          <w:spacing w:val="-6"/>
          <w:sz w:val="16"/>
        </w:rPr>
        <w:t xml:space="preserve"> </w:t>
      </w:r>
      <w:r>
        <w:rPr>
          <w:i/>
          <w:sz w:val="16"/>
        </w:rPr>
        <w:t>a)</w:t>
      </w:r>
      <w:r>
        <w:rPr>
          <w:i/>
          <w:spacing w:val="-8"/>
          <w:sz w:val="16"/>
        </w:rPr>
        <w:t xml:space="preserve"> </w:t>
      </w:r>
      <w:r>
        <w:rPr>
          <w:i/>
          <w:sz w:val="16"/>
        </w:rPr>
        <w:t>permitir</w:t>
      </w:r>
      <w:r>
        <w:rPr>
          <w:i/>
          <w:spacing w:val="-5"/>
          <w:sz w:val="16"/>
        </w:rPr>
        <w:t xml:space="preserve"> </w:t>
      </w:r>
      <w:r>
        <w:rPr>
          <w:i/>
          <w:sz w:val="16"/>
        </w:rPr>
        <w:t>a</w:t>
      </w:r>
      <w:r>
        <w:rPr>
          <w:i/>
          <w:spacing w:val="-8"/>
          <w:sz w:val="16"/>
        </w:rPr>
        <w:t xml:space="preserve"> </w:t>
      </w:r>
      <w:r>
        <w:rPr>
          <w:i/>
          <w:sz w:val="16"/>
        </w:rPr>
        <w:t>alguno</w:t>
      </w:r>
      <w:r>
        <w:rPr>
          <w:i/>
          <w:spacing w:val="-7"/>
          <w:sz w:val="16"/>
        </w:rPr>
        <w:t xml:space="preserve"> </w:t>
      </w:r>
      <w:r>
        <w:rPr>
          <w:i/>
          <w:sz w:val="16"/>
        </w:rPr>
        <w:t>de</w:t>
      </w:r>
      <w:r>
        <w:rPr>
          <w:i/>
          <w:spacing w:val="-6"/>
          <w:sz w:val="16"/>
        </w:rPr>
        <w:t xml:space="preserve"> </w:t>
      </w:r>
      <w:r>
        <w:rPr>
          <w:i/>
          <w:sz w:val="16"/>
        </w:rPr>
        <w:t>los</w:t>
      </w:r>
      <w:r>
        <w:rPr>
          <w:i/>
          <w:spacing w:val="-5"/>
          <w:sz w:val="16"/>
        </w:rPr>
        <w:t xml:space="preserve"> </w:t>
      </w:r>
      <w:r>
        <w:rPr>
          <w:i/>
          <w:sz w:val="16"/>
        </w:rPr>
        <w:t>Estados</w:t>
      </w:r>
      <w:r>
        <w:rPr>
          <w:i/>
          <w:spacing w:val="-6"/>
          <w:sz w:val="16"/>
        </w:rPr>
        <w:t xml:space="preserve"> </w:t>
      </w:r>
      <w:r>
        <w:rPr>
          <w:i/>
          <w:sz w:val="16"/>
        </w:rPr>
        <w:t>Partes,</w:t>
      </w:r>
      <w:r>
        <w:rPr>
          <w:i/>
          <w:spacing w:val="-8"/>
          <w:sz w:val="16"/>
        </w:rPr>
        <w:t xml:space="preserve"> </w:t>
      </w:r>
      <w:r>
        <w:rPr>
          <w:i/>
          <w:sz w:val="16"/>
        </w:rPr>
        <w:t>grupo</w:t>
      </w:r>
      <w:r>
        <w:rPr>
          <w:i/>
          <w:spacing w:val="-7"/>
          <w:sz w:val="16"/>
        </w:rPr>
        <w:t xml:space="preserve"> </w:t>
      </w:r>
      <w:r>
        <w:rPr>
          <w:i/>
          <w:sz w:val="16"/>
        </w:rPr>
        <w:t>o</w:t>
      </w:r>
      <w:r>
        <w:rPr>
          <w:i/>
          <w:spacing w:val="-7"/>
          <w:sz w:val="16"/>
        </w:rPr>
        <w:t xml:space="preserve"> </w:t>
      </w:r>
      <w:r>
        <w:rPr>
          <w:i/>
          <w:sz w:val="16"/>
        </w:rPr>
        <w:t>persona,</w:t>
      </w:r>
      <w:r>
        <w:rPr>
          <w:i/>
          <w:spacing w:val="-7"/>
          <w:sz w:val="16"/>
        </w:rPr>
        <w:t xml:space="preserve"> </w:t>
      </w:r>
      <w:r>
        <w:rPr>
          <w:i/>
          <w:sz w:val="16"/>
        </w:rPr>
        <w:t>suprimir</w:t>
      </w:r>
      <w:r>
        <w:rPr>
          <w:i/>
          <w:spacing w:val="-6"/>
          <w:sz w:val="16"/>
        </w:rPr>
        <w:t xml:space="preserve"> </w:t>
      </w:r>
      <w:r>
        <w:rPr>
          <w:i/>
          <w:sz w:val="16"/>
        </w:rPr>
        <w:t>el</w:t>
      </w:r>
      <w:r>
        <w:rPr>
          <w:i/>
          <w:spacing w:val="-8"/>
          <w:sz w:val="16"/>
        </w:rPr>
        <w:t xml:space="preserve"> </w:t>
      </w:r>
      <w:r>
        <w:rPr>
          <w:i/>
          <w:sz w:val="16"/>
        </w:rPr>
        <w:t>goce</w:t>
      </w:r>
      <w:r>
        <w:rPr>
          <w:i/>
          <w:spacing w:val="-8"/>
          <w:sz w:val="16"/>
        </w:rPr>
        <w:t xml:space="preserve"> </w:t>
      </w:r>
      <w:r>
        <w:rPr>
          <w:i/>
          <w:sz w:val="16"/>
        </w:rPr>
        <w:t>y</w:t>
      </w:r>
      <w:r>
        <w:rPr>
          <w:i/>
          <w:spacing w:val="-9"/>
          <w:sz w:val="16"/>
        </w:rPr>
        <w:t xml:space="preserve"> </w:t>
      </w:r>
      <w:r>
        <w:rPr>
          <w:i/>
          <w:sz w:val="16"/>
        </w:rPr>
        <w:t>ejercicio</w:t>
      </w:r>
      <w:r>
        <w:rPr>
          <w:i/>
          <w:spacing w:val="-7"/>
          <w:sz w:val="16"/>
        </w:rPr>
        <w:t xml:space="preserve"> </w:t>
      </w:r>
      <w:r>
        <w:rPr>
          <w:i/>
          <w:sz w:val="16"/>
        </w:rPr>
        <w:t>de</w:t>
      </w:r>
      <w:r>
        <w:rPr>
          <w:i/>
          <w:spacing w:val="-8"/>
          <w:sz w:val="16"/>
        </w:rPr>
        <w:t xml:space="preserve"> </w:t>
      </w:r>
      <w:r>
        <w:rPr>
          <w:i/>
          <w:sz w:val="16"/>
        </w:rPr>
        <w:t>los</w:t>
      </w:r>
      <w:r>
        <w:rPr>
          <w:i/>
          <w:spacing w:val="-7"/>
          <w:sz w:val="16"/>
        </w:rPr>
        <w:t xml:space="preserve"> </w:t>
      </w:r>
      <w:r>
        <w:rPr>
          <w:i/>
          <w:sz w:val="16"/>
        </w:rPr>
        <w:t>derechos y libertades reconocidos en la Convención o limitarlos en mayor medida que la prevista en</w:t>
      </w:r>
      <w:r>
        <w:rPr>
          <w:i/>
          <w:spacing w:val="-19"/>
          <w:sz w:val="16"/>
        </w:rPr>
        <w:t xml:space="preserve"> </w:t>
      </w:r>
      <w:r>
        <w:rPr>
          <w:i/>
          <w:sz w:val="16"/>
        </w:rPr>
        <w:t>ella”.</w:t>
      </w:r>
    </w:p>
    <w:p w14:paraId="20513160" w14:textId="77777777" w:rsidR="00467FCA" w:rsidRDefault="001B68EB">
      <w:pPr>
        <w:ind w:left="470" w:right="395"/>
        <w:jc w:val="both"/>
        <w:rPr>
          <w:i/>
          <w:sz w:val="16"/>
        </w:rPr>
      </w:pPr>
      <w:r>
        <w:rPr>
          <w:sz w:val="16"/>
        </w:rPr>
        <w:t>Art. 30: “</w:t>
      </w:r>
      <w:r>
        <w:rPr>
          <w:i/>
          <w:sz w:val="16"/>
        </w:rPr>
        <w:t>Alcance de las Restricciones. Las restricciones permitidas, de acuerdo con esta Convención, al goce y ejercicio de los dere</w:t>
      </w:r>
      <w:r>
        <w:rPr>
          <w:i/>
          <w:sz w:val="16"/>
        </w:rPr>
        <w:t>chos y libertades reconocidas en la misma, no pueden ser aplicadas sino conforme a leyes que se dictaren por razones de interés general y con el propósito para el cual han sido</w:t>
      </w:r>
      <w:r>
        <w:rPr>
          <w:i/>
          <w:spacing w:val="-21"/>
          <w:sz w:val="16"/>
        </w:rPr>
        <w:t xml:space="preserve"> </w:t>
      </w:r>
      <w:r>
        <w:rPr>
          <w:i/>
          <w:sz w:val="16"/>
        </w:rPr>
        <w:t>establecidas.”</w:t>
      </w:r>
    </w:p>
    <w:p w14:paraId="65DFFF12" w14:textId="77777777" w:rsidR="00467FCA" w:rsidRDefault="001B68EB">
      <w:pPr>
        <w:ind w:left="470" w:right="394"/>
        <w:jc w:val="both"/>
        <w:rPr>
          <w:i/>
          <w:sz w:val="16"/>
        </w:rPr>
      </w:pPr>
      <w:r>
        <w:rPr>
          <w:sz w:val="16"/>
        </w:rPr>
        <w:t xml:space="preserve">Art. 31: </w:t>
      </w:r>
      <w:r>
        <w:rPr>
          <w:i/>
          <w:sz w:val="16"/>
        </w:rPr>
        <w:t>“Reconocimiento de Otros Derechos. Podrán ser incluidos</w:t>
      </w:r>
      <w:r>
        <w:rPr>
          <w:i/>
          <w:sz w:val="16"/>
        </w:rPr>
        <w:t xml:space="preserve"> en el régimen de protección de esta Convención otros derechos y libertades que sean reconocidos de acuerdo con los procedimientos establecidos en los artículos 76 y 77.”</w:t>
      </w:r>
    </w:p>
    <w:p w14:paraId="5D495584" w14:textId="77777777" w:rsidR="00467FCA" w:rsidRDefault="001B68EB">
      <w:pPr>
        <w:ind w:left="470" w:right="391" w:hanging="1"/>
        <w:jc w:val="both"/>
        <w:rPr>
          <w:sz w:val="16"/>
        </w:rPr>
      </w:pPr>
      <w:r>
        <w:rPr>
          <w:sz w:val="16"/>
        </w:rPr>
        <w:t xml:space="preserve">Art. 48.1.f): </w:t>
      </w:r>
      <w:r>
        <w:rPr>
          <w:i/>
          <w:sz w:val="16"/>
        </w:rPr>
        <w:t>“1. La Comisión, al recibir una petición o comunicación en la que se al</w:t>
      </w:r>
      <w:r>
        <w:rPr>
          <w:i/>
          <w:sz w:val="16"/>
        </w:rPr>
        <w:t>egue la violación de cualquiera de</w:t>
      </w:r>
      <w:r>
        <w:rPr>
          <w:i/>
          <w:spacing w:val="-6"/>
          <w:sz w:val="16"/>
        </w:rPr>
        <w:t xml:space="preserve"> </w:t>
      </w:r>
      <w:r>
        <w:rPr>
          <w:i/>
          <w:sz w:val="16"/>
        </w:rPr>
        <w:t>los</w:t>
      </w:r>
      <w:r>
        <w:rPr>
          <w:i/>
          <w:spacing w:val="-7"/>
          <w:sz w:val="16"/>
        </w:rPr>
        <w:t xml:space="preserve"> </w:t>
      </w:r>
      <w:r>
        <w:rPr>
          <w:i/>
          <w:sz w:val="16"/>
        </w:rPr>
        <w:t>derechos</w:t>
      </w:r>
      <w:r>
        <w:rPr>
          <w:i/>
          <w:spacing w:val="-5"/>
          <w:sz w:val="16"/>
        </w:rPr>
        <w:t xml:space="preserve"> </w:t>
      </w:r>
      <w:r>
        <w:rPr>
          <w:i/>
          <w:sz w:val="16"/>
        </w:rPr>
        <w:t>que</w:t>
      </w:r>
      <w:r>
        <w:rPr>
          <w:i/>
          <w:spacing w:val="-5"/>
          <w:sz w:val="16"/>
        </w:rPr>
        <w:t xml:space="preserve"> </w:t>
      </w:r>
      <w:r>
        <w:rPr>
          <w:i/>
          <w:sz w:val="16"/>
        </w:rPr>
        <w:t>consagra</w:t>
      </w:r>
      <w:r>
        <w:rPr>
          <w:i/>
          <w:spacing w:val="-8"/>
          <w:sz w:val="16"/>
        </w:rPr>
        <w:t xml:space="preserve"> </w:t>
      </w:r>
      <w:r>
        <w:rPr>
          <w:i/>
          <w:sz w:val="16"/>
        </w:rPr>
        <w:t>esta</w:t>
      </w:r>
      <w:r>
        <w:rPr>
          <w:i/>
          <w:spacing w:val="-6"/>
          <w:sz w:val="16"/>
        </w:rPr>
        <w:t xml:space="preserve"> </w:t>
      </w:r>
      <w:r>
        <w:rPr>
          <w:i/>
          <w:sz w:val="16"/>
        </w:rPr>
        <w:t>Convención,</w:t>
      </w:r>
      <w:r>
        <w:rPr>
          <w:i/>
          <w:spacing w:val="-7"/>
          <w:sz w:val="16"/>
        </w:rPr>
        <w:t xml:space="preserve"> </w:t>
      </w:r>
      <w:r>
        <w:rPr>
          <w:i/>
          <w:sz w:val="16"/>
        </w:rPr>
        <w:t>procederá</w:t>
      </w:r>
      <w:r>
        <w:rPr>
          <w:i/>
          <w:spacing w:val="-6"/>
          <w:sz w:val="16"/>
        </w:rPr>
        <w:t xml:space="preserve"> </w:t>
      </w:r>
      <w:r>
        <w:rPr>
          <w:i/>
          <w:sz w:val="16"/>
        </w:rPr>
        <w:t>en</w:t>
      </w:r>
      <w:r>
        <w:rPr>
          <w:i/>
          <w:spacing w:val="-3"/>
          <w:sz w:val="16"/>
        </w:rPr>
        <w:t xml:space="preserve"> </w:t>
      </w:r>
      <w:r>
        <w:rPr>
          <w:i/>
          <w:sz w:val="16"/>
        </w:rPr>
        <w:t>los</w:t>
      </w:r>
      <w:r>
        <w:rPr>
          <w:i/>
          <w:spacing w:val="-5"/>
          <w:sz w:val="16"/>
        </w:rPr>
        <w:t xml:space="preserve"> </w:t>
      </w:r>
      <w:r>
        <w:rPr>
          <w:i/>
          <w:sz w:val="16"/>
        </w:rPr>
        <w:t>siguientes</w:t>
      </w:r>
      <w:r>
        <w:rPr>
          <w:i/>
          <w:spacing w:val="-5"/>
          <w:sz w:val="16"/>
        </w:rPr>
        <w:t xml:space="preserve"> </w:t>
      </w:r>
      <w:r>
        <w:rPr>
          <w:i/>
          <w:sz w:val="16"/>
        </w:rPr>
        <w:t>términos:</w:t>
      </w:r>
      <w:r>
        <w:rPr>
          <w:i/>
          <w:spacing w:val="-5"/>
          <w:sz w:val="16"/>
        </w:rPr>
        <w:t xml:space="preserve"> </w:t>
      </w:r>
      <w:r>
        <w:rPr>
          <w:i/>
          <w:sz w:val="16"/>
        </w:rPr>
        <w:t>[…]…</w:t>
      </w:r>
      <w:r>
        <w:rPr>
          <w:i/>
          <w:spacing w:val="-5"/>
          <w:sz w:val="16"/>
        </w:rPr>
        <w:t xml:space="preserve"> </w:t>
      </w:r>
      <w:r>
        <w:rPr>
          <w:i/>
          <w:sz w:val="16"/>
        </w:rPr>
        <w:t>se</w:t>
      </w:r>
      <w:r>
        <w:rPr>
          <w:i/>
          <w:spacing w:val="-5"/>
          <w:sz w:val="16"/>
        </w:rPr>
        <w:t xml:space="preserve"> </w:t>
      </w:r>
      <w:r>
        <w:rPr>
          <w:i/>
          <w:sz w:val="16"/>
        </w:rPr>
        <w:t>pondrá</w:t>
      </w:r>
      <w:r>
        <w:rPr>
          <w:i/>
          <w:spacing w:val="-6"/>
          <w:sz w:val="16"/>
        </w:rPr>
        <w:t xml:space="preserve"> </w:t>
      </w:r>
      <w:r>
        <w:rPr>
          <w:i/>
          <w:sz w:val="16"/>
        </w:rPr>
        <w:t>a</w:t>
      </w:r>
      <w:r>
        <w:rPr>
          <w:i/>
          <w:spacing w:val="-6"/>
          <w:sz w:val="16"/>
        </w:rPr>
        <w:t xml:space="preserve"> </w:t>
      </w:r>
      <w:r>
        <w:rPr>
          <w:i/>
          <w:sz w:val="16"/>
        </w:rPr>
        <w:t>disposición de las partes interesadas, a fin de llegar a una solución amistosa del asunto fundada en el respeto a los derechos humanos reconocidos en esta</w:t>
      </w:r>
      <w:r>
        <w:rPr>
          <w:i/>
          <w:spacing w:val="-5"/>
          <w:sz w:val="16"/>
        </w:rPr>
        <w:t xml:space="preserve"> </w:t>
      </w:r>
      <w:r>
        <w:rPr>
          <w:i/>
          <w:sz w:val="16"/>
        </w:rPr>
        <w:t>Convención</w:t>
      </w:r>
      <w:r>
        <w:rPr>
          <w:sz w:val="16"/>
        </w:rPr>
        <w:t>.”</w:t>
      </w:r>
    </w:p>
    <w:p w14:paraId="61628C15" w14:textId="77777777" w:rsidR="00467FCA" w:rsidRDefault="001B68EB">
      <w:pPr>
        <w:ind w:left="470" w:right="392"/>
        <w:jc w:val="both"/>
        <w:rPr>
          <w:sz w:val="16"/>
        </w:rPr>
      </w:pPr>
      <w:bookmarkStart w:id="657" w:name="_bookmark578"/>
      <w:bookmarkEnd w:id="657"/>
      <w:r>
        <w:rPr>
          <w:position w:val="6"/>
          <w:sz w:val="10"/>
        </w:rPr>
        <w:t xml:space="preserve">30 </w:t>
      </w:r>
      <w:r>
        <w:rPr>
          <w:sz w:val="16"/>
        </w:rPr>
        <w:t>Art. 45.1: “</w:t>
      </w:r>
      <w:r>
        <w:rPr>
          <w:i/>
          <w:sz w:val="16"/>
        </w:rPr>
        <w:t xml:space="preserve">Todo Estado parte puede, en el momento del depósito de su instrumento de </w:t>
      </w:r>
      <w:r>
        <w:rPr>
          <w:i/>
          <w:sz w:val="16"/>
        </w:rPr>
        <w:t xml:space="preserve">ratificación o adhesión de esta Convención, o en cualquier momento posterior, declarar que reconoce la competencia de la Comisión para recibir y examinar las comunicaciones en que un Estado parte alegue que otro Estado parte ha incurrido en violaciones de </w:t>
      </w:r>
      <w:r>
        <w:rPr>
          <w:i/>
          <w:sz w:val="16"/>
        </w:rPr>
        <w:t>los derechos humanos establecidos en esta Convención.</w:t>
      </w:r>
      <w:r>
        <w:rPr>
          <w:sz w:val="16"/>
        </w:rPr>
        <w:t>”</w:t>
      </w:r>
    </w:p>
    <w:p w14:paraId="1CA4E762" w14:textId="77777777" w:rsidR="00467FCA" w:rsidRDefault="001B68EB">
      <w:pPr>
        <w:ind w:left="470" w:right="391"/>
        <w:jc w:val="both"/>
        <w:rPr>
          <w:sz w:val="16"/>
        </w:rPr>
      </w:pPr>
      <w:bookmarkStart w:id="658" w:name="_bookmark579"/>
      <w:bookmarkEnd w:id="658"/>
      <w:r>
        <w:rPr>
          <w:position w:val="6"/>
          <w:sz w:val="10"/>
        </w:rPr>
        <w:t xml:space="preserve">31 </w:t>
      </w:r>
      <w:r>
        <w:rPr>
          <w:sz w:val="16"/>
        </w:rPr>
        <w:t>Art. 47.b: “</w:t>
      </w:r>
      <w:r>
        <w:rPr>
          <w:i/>
          <w:sz w:val="16"/>
        </w:rPr>
        <w:t>La Comisión declarará inadmisible toda petición o comunicación presentada de acuerdo con los artículos 44 ó 45 cuando: [...] no exponga hechos que caractericen una violación de los derec</w:t>
      </w:r>
      <w:r>
        <w:rPr>
          <w:i/>
          <w:sz w:val="16"/>
        </w:rPr>
        <w:t>hos garantizados por esta Convención</w:t>
      </w:r>
      <w:r>
        <w:rPr>
          <w:sz w:val="16"/>
        </w:rPr>
        <w:t>”.</w:t>
      </w:r>
    </w:p>
    <w:p w14:paraId="7D4D67B3" w14:textId="77777777" w:rsidR="00467FCA" w:rsidRDefault="001B68EB">
      <w:pPr>
        <w:ind w:left="470"/>
        <w:jc w:val="both"/>
        <w:rPr>
          <w:sz w:val="16"/>
        </w:rPr>
      </w:pPr>
      <w:bookmarkStart w:id="659" w:name="_bookmark580"/>
      <w:bookmarkEnd w:id="659"/>
      <w:r>
        <w:rPr>
          <w:position w:val="6"/>
          <w:sz w:val="10"/>
        </w:rPr>
        <w:t xml:space="preserve">32 </w:t>
      </w:r>
      <w:r>
        <w:rPr>
          <w:i/>
          <w:sz w:val="16"/>
        </w:rPr>
        <w:t>Supra</w:t>
      </w:r>
      <w:r>
        <w:rPr>
          <w:sz w:val="16"/>
        </w:rPr>
        <w:t xml:space="preserve">, Art. 48.1.f), </w:t>
      </w:r>
      <w:r>
        <w:rPr>
          <w:i/>
          <w:sz w:val="16"/>
        </w:rPr>
        <w:t xml:space="preserve">cit. </w:t>
      </w:r>
      <w:r>
        <w:rPr>
          <w:sz w:val="16"/>
        </w:rPr>
        <w:t>Nota N° 29.</w:t>
      </w:r>
    </w:p>
    <w:p w14:paraId="1D903AB6" w14:textId="77777777" w:rsidR="00467FCA" w:rsidRDefault="001B68EB">
      <w:pPr>
        <w:ind w:left="470" w:right="395"/>
        <w:jc w:val="both"/>
        <w:rPr>
          <w:i/>
          <w:sz w:val="16"/>
        </w:rPr>
      </w:pPr>
      <w:bookmarkStart w:id="660" w:name="_bookmark581"/>
      <w:bookmarkEnd w:id="660"/>
      <w:r>
        <w:rPr>
          <w:position w:val="6"/>
          <w:sz w:val="10"/>
        </w:rPr>
        <w:t>33</w:t>
      </w:r>
      <w:r>
        <w:rPr>
          <w:spacing w:val="34"/>
          <w:position w:val="6"/>
          <w:sz w:val="10"/>
        </w:rPr>
        <w:t xml:space="preserve"> </w:t>
      </w:r>
      <w:r>
        <w:rPr>
          <w:sz w:val="16"/>
        </w:rPr>
        <w:t>Art.</w:t>
      </w:r>
      <w:r>
        <w:rPr>
          <w:spacing w:val="-15"/>
          <w:sz w:val="16"/>
        </w:rPr>
        <w:t xml:space="preserve"> </w:t>
      </w:r>
      <w:r>
        <w:rPr>
          <w:sz w:val="16"/>
        </w:rPr>
        <w:t>4.1:</w:t>
      </w:r>
      <w:r>
        <w:rPr>
          <w:spacing w:val="-15"/>
          <w:sz w:val="16"/>
        </w:rPr>
        <w:t xml:space="preserve"> </w:t>
      </w:r>
      <w:r>
        <w:rPr>
          <w:sz w:val="16"/>
        </w:rPr>
        <w:t>“</w:t>
      </w:r>
      <w:r>
        <w:rPr>
          <w:i/>
          <w:sz w:val="16"/>
        </w:rPr>
        <w:t>Derecho</w:t>
      </w:r>
      <w:r>
        <w:rPr>
          <w:i/>
          <w:spacing w:val="-13"/>
          <w:sz w:val="16"/>
        </w:rPr>
        <w:t xml:space="preserve"> </w:t>
      </w:r>
      <w:r>
        <w:rPr>
          <w:i/>
          <w:sz w:val="16"/>
        </w:rPr>
        <w:t>a</w:t>
      </w:r>
      <w:r>
        <w:rPr>
          <w:i/>
          <w:spacing w:val="-17"/>
          <w:sz w:val="16"/>
        </w:rPr>
        <w:t xml:space="preserve"> </w:t>
      </w:r>
      <w:r>
        <w:rPr>
          <w:i/>
          <w:sz w:val="16"/>
        </w:rPr>
        <w:t>la</w:t>
      </w:r>
      <w:r>
        <w:rPr>
          <w:i/>
          <w:spacing w:val="-15"/>
          <w:sz w:val="16"/>
        </w:rPr>
        <w:t xml:space="preserve"> </w:t>
      </w:r>
      <w:r>
        <w:rPr>
          <w:i/>
          <w:sz w:val="16"/>
        </w:rPr>
        <w:t>Vida.</w:t>
      </w:r>
      <w:r>
        <w:rPr>
          <w:i/>
          <w:spacing w:val="-14"/>
          <w:sz w:val="16"/>
        </w:rPr>
        <w:t xml:space="preserve"> </w:t>
      </w:r>
      <w:r>
        <w:rPr>
          <w:i/>
          <w:sz w:val="16"/>
        </w:rPr>
        <w:t>Toda</w:t>
      </w:r>
      <w:r>
        <w:rPr>
          <w:i/>
          <w:spacing w:val="-15"/>
          <w:sz w:val="16"/>
        </w:rPr>
        <w:t xml:space="preserve"> </w:t>
      </w:r>
      <w:r>
        <w:rPr>
          <w:i/>
          <w:sz w:val="16"/>
        </w:rPr>
        <w:t>persona</w:t>
      </w:r>
      <w:r>
        <w:rPr>
          <w:i/>
          <w:spacing w:val="-14"/>
          <w:sz w:val="16"/>
        </w:rPr>
        <w:t xml:space="preserve"> </w:t>
      </w:r>
      <w:r>
        <w:rPr>
          <w:i/>
          <w:sz w:val="16"/>
        </w:rPr>
        <w:t>tiene</w:t>
      </w:r>
      <w:r>
        <w:rPr>
          <w:i/>
          <w:spacing w:val="-14"/>
          <w:sz w:val="16"/>
        </w:rPr>
        <w:t xml:space="preserve"> </w:t>
      </w:r>
      <w:r>
        <w:rPr>
          <w:i/>
          <w:sz w:val="16"/>
        </w:rPr>
        <w:t>derecho</w:t>
      </w:r>
      <w:r>
        <w:rPr>
          <w:i/>
          <w:spacing w:val="-14"/>
          <w:sz w:val="16"/>
        </w:rPr>
        <w:t xml:space="preserve"> </w:t>
      </w:r>
      <w:r>
        <w:rPr>
          <w:i/>
          <w:sz w:val="16"/>
        </w:rPr>
        <w:t>a</w:t>
      </w:r>
      <w:r>
        <w:rPr>
          <w:i/>
          <w:spacing w:val="-17"/>
          <w:sz w:val="16"/>
        </w:rPr>
        <w:t xml:space="preserve"> </w:t>
      </w:r>
      <w:r>
        <w:rPr>
          <w:i/>
          <w:sz w:val="16"/>
        </w:rPr>
        <w:t>que</w:t>
      </w:r>
      <w:r>
        <w:rPr>
          <w:i/>
          <w:spacing w:val="-14"/>
          <w:sz w:val="16"/>
        </w:rPr>
        <w:t xml:space="preserve"> </w:t>
      </w:r>
      <w:r>
        <w:rPr>
          <w:i/>
          <w:sz w:val="16"/>
        </w:rPr>
        <w:t>se</w:t>
      </w:r>
      <w:r>
        <w:rPr>
          <w:i/>
          <w:spacing w:val="-14"/>
          <w:sz w:val="16"/>
        </w:rPr>
        <w:t xml:space="preserve"> </w:t>
      </w:r>
      <w:r>
        <w:rPr>
          <w:i/>
          <w:sz w:val="16"/>
        </w:rPr>
        <w:t>respete</w:t>
      </w:r>
      <w:r>
        <w:rPr>
          <w:i/>
          <w:spacing w:val="-13"/>
          <w:sz w:val="16"/>
        </w:rPr>
        <w:t xml:space="preserve"> </w:t>
      </w:r>
      <w:r>
        <w:rPr>
          <w:i/>
          <w:sz w:val="16"/>
        </w:rPr>
        <w:t>su</w:t>
      </w:r>
      <w:r>
        <w:rPr>
          <w:i/>
          <w:spacing w:val="-18"/>
          <w:sz w:val="16"/>
        </w:rPr>
        <w:t xml:space="preserve"> </w:t>
      </w:r>
      <w:r>
        <w:rPr>
          <w:i/>
          <w:sz w:val="16"/>
        </w:rPr>
        <w:t>vida.</w:t>
      </w:r>
      <w:r>
        <w:rPr>
          <w:i/>
          <w:spacing w:val="28"/>
          <w:sz w:val="16"/>
        </w:rPr>
        <w:t xml:space="preserve"> </w:t>
      </w:r>
      <w:r>
        <w:rPr>
          <w:i/>
          <w:sz w:val="16"/>
        </w:rPr>
        <w:t>Este</w:t>
      </w:r>
      <w:r>
        <w:rPr>
          <w:i/>
          <w:spacing w:val="-14"/>
          <w:sz w:val="16"/>
        </w:rPr>
        <w:t xml:space="preserve"> </w:t>
      </w:r>
      <w:r>
        <w:rPr>
          <w:i/>
          <w:sz w:val="16"/>
        </w:rPr>
        <w:t>derecho</w:t>
      </w:r>
      <w:r>
        <w:rPr>
          <w:i/>
          <w:spacing w:val="-15"/>
          <w:sz w:val="16"/>
        </w:rPr>
        <w:t xml:space="preserve"> </w:t>
      </w:r>
      <w:r>
        <w:rPr>
          <w:i/>
          <w:sz w:val="16"/>
        </w:rPr>
        <w:t>estará</w:t>
      </w:r>
      <w:r>
        <w:rPr>
          <w:i/>
          <w:spacing w:val="-18"/>
          <w:sz w:val="16"/>
        </w:rPr>
        <w:t xml:space="preserve"> </w:t>
      </w:r>
      <w:r>
        <w:rPr>
          <w:i/>
          <w:sz w:val="16"/>
        </w:rPr>
        <w:t xml:space="preserve">protegido, </w:t>
      </w:r>
      <w:r>
        <w:rPr>
          <w:i/>
          <w:sz w:val="16"/>
        </w:rPr>
        <w:t>en general, a partir del momento de la concepción. Nadie puede ser privado de la vida</w:t>
      </w:r>
      <w:r>
        <w:rPr>
          <w:i/>
          <w:spacing w:val="-23"/>
          <w:sz w:val="16"/>
        </w:rPr>
        <w:t xml:space="preserve"> </w:t>
      </w:r>
      <w:r>
        <w:rPr>
          <w:i/>
          <w:sz w:val="16"/>
        </w:rPr>
        <w:t>arbitrariamente.”</w:t>
      </w:r>
    </w:p>
    <w:p w14:paraId="4129152F" w14:textId="77777777" w:rsidR="00467FCA" w:rsidRDefault="001B68EB">
      <w:pPr>
        <w:ind w:left="470" w:right="392"/>
        <w:jc w:val="both"/>
        <w:rPr>
          <w:i/>
          <w:sz w:val="16"/>
        </w:rPr>
      </w:pPr>
      <w:r>
        <w:rPr>
          <w:sz w:val="16"/>
        </w:rPr>
        <w:t xml:space="preserve">Art. 63.1: </w:t>
      </w:r>
      <w:r>
        <w:rPr>
          <w:i/>
          <w:sz w:val="16"/>
        </w:rPr>
        <w:t>“Cuando decida que hubo violación de un derecho o libertad protegidos en esta Convención, la Corte dispondrá que se garantice al lesionado en</w:t>
      </w:r>
      <w:r>
        <w:rPr>
          <w:i/>
          <w:sz w:val="16"/>
        </w:rPr>
        <w:t xml:space="preserve"> el goce de su derecho o libertad conculcados. Dispondrá, asimismo, si ello</w:t>
      </w:r>
      <w:r>
        <w:rPr>
          <w:i/>
          <w:spacing w:val="-4"/>
          <w:sz w:val="16"/>
        </w:rPr>
        <w:t xml:space="preserve"> </w:t>
      </w:r>
      <w:r>
        <w:rPr>
          <w:i/>
          <w:sz w:val="16"/>
        </w:rPr>
        <w:t>fuera</w:t>
      </w:r>
      <w:r>
        <w:rPr>
          <w:i/>
          <w:spacing w:val="-6"/>
          <w:sz w:val="16"/>
        </w:rPr>
        <w:t xml:space="preserve"> </w:t>
      </w:r>
      <w:r>
        <w:rPr>
          <w:i/>
          <w:sz w:val="16"/>
        </w:rPr>
        <w:t>procedente,</w:t>
      </w:r>
      <w:r>
        <w:rPr>
          <w:i/>
          <w:spacing w:val="-6"/>
          <w:sz w:val="16"/>
        </w:rPr>
        <w:t xml:space="preserve"> </w:t>
      </w:r>
      <w:r>
        <w:rPr>
          <w:i/>
          <w:sz w:val="16"/>
        </w:rPr>
        <w:t>que</w:t>
      </w:r>
      <w:r>
        <w:rPr>
          <w:i/>
          <w:spacing w:val="-5"/>
          <w:sz w:val="16"/>
        </w:rPr>
        <w:t xml:space="preserve"> </w:t>
      </w:r>
      <w:r>
        <w:rPr>
          <w:i/>
          <w:sz w:val="16"/>
        </w:rPr>
        <w:t>se</w:t>
      </w:r>
      <w:r>
        <w:rPr>
          <w:i/>
          <w:spacing w:val="-7"/>
          <w:sz w:val="16"/>
        </w:rPr>
        <w:t xml:space="preserve"> </w:t>
      </w:r>
      <w:r>
        <w:rPr>
          <w:i/>
          <w:sz w:val="16"/>
        </w:rPr>
        <w:t>reparen</w:t>
      </w:r>
      <w:r>
        <w:rPr>
          <w:i/>
          <w:spacing w:val="-6"/>
          <w:sz w:val="16"/>
        </w:rPr>
        <w:t xml:space="preserve"> </w:t>
      </w:r>
      <w:r>
        <w:rPr>
          <w:i/>
          <w:sz w:val="16"/>
        </w:rPr>
        <w:t>las</w:t>
      </w:r>
      <w:r>
        <w:rPr>
          <w:i/>
          <w:spacing w:val="-4"/>
          <w:sz w:val="16"/>
        </w:rPr>
        <w:t xml:space="preserve"> </w:t>
      </w:r>
      <w:r>
        <w:rPr>
          <w:i/>
          <w:sz w:val="16"/>
        </w:rPr>
        <w:t>consecuencias</w:t>
      </w:r>
      <w:r>
        <w:rPr>
          <w:i/>
          <w:spacing w:val="-5"/>
          <w:sz w:val="16"/>
        </w:rPr>
        <w:t xml:space="preserve"> </w:t>
      </w:r>
      <w:r>
        <w:rPr>
          <w:i/>
          <w:sz w:val="16"/>
        </w:rPr>
        <w:t>de</w:t>
      </w:r>
      <w:r>
        <w:rPr>
          <w:i/>
          <w:spacing w:val="-5"/>
          <w:sz w:val="16"/>
        </w:rPr>
        <w:t xml:space="preserve"> </w:t>
      </w:r>
      <w:r>
        <w:rPr>
          <w:i/>
          <w:sz w:val="16"/>
        </w:rPr>
        <w:t>la</w:t>
      </w:r>
      <w:r>
        <w:rPr>
          <w:i/>
          <w:spacing w:val="-3"/>
          <w:sz w:val="16"/>
        </w:rPr>
        <w:t xml:space="preserve"> </w:t>
      </w:r>
      <w:r>
        <w:rPr>
          <w:i/>
          <w:sz w:val="16"/>
        </w:rPr>
        <w:t>medida</w:t>
      </w:r>
      <w:r>
        <w:rPr>
          <w:i/>
          <w:spacing w:val="-6"/>
          <w:sz w:val="16"/>
        </w:rPr>
        <w:t xml:space="preserve"> </w:t>
      </w:r>
      <w:r>
        <w:rPr>
          <w:i/>
          <w:sz w:val="16"/>
        </w:rPr>
        <w:t>o</w:t>
      </w:r>
      <w:r>
        <w:rPr>
          <w:i/>
          <w:spacing w:val="-4"/>
          <w:sz w:val="16"/>
        </w:rPr>
        <w:t xml:space="preserve"> </w:t>
      </w:r>
      <w:r>
        <w:rPr>
          <w:i/>
          <w:sz w:val="16"/>
        </w:rPr>
        <w:t>situación</w:t>
      </w:r>
      <w:r>
        <w:rPr>
          <w:i/>
          <w:spacing w:val="-6"/>
          <w:sz w:val="16"/>
        </w:rPr>
        <w:t xml:space="preserve"> </w:t>
      </w:r>
      <w:r>
        <w:rPr>
          <w:i/>
          <w:sz w:val="16"/>
        </w:rPr>
        <w:t>que</w:t>
      </w:r>
      <w:r>
        <w:rPr>
          <w:i/>
          <w:spacing w:val="-4"/>
          <w:sz w:val="16"/>
        </w:rPr>
        <w:t xml:space="preserve"> </w:t>
      </w:r>
      <w:r>
        <w:rPr>
          <w:i/>
          <w:sz w:val="16"/>
        </w:rPr>
        <w:t>ha</w:t>
      </w:r>
      <w:r>
        <w:rPr>
          <w:i/>
          <w:spacing w:val="-6"/>
          <w:sz w:val="16"/>
        </w:rPr>
        <w:t xml:space="preserve"> </w:t>
      </w:r>
      <w:r>
        <w:rPr>
          <w:i/>
          <w:sz w:val="16"/>
        </w:rPr>
        <w:t>configurado</w:t>
      </w:r>
      <w:r>
        <w:rPr>
          <w:i/>
          <w:spacing w:val="-4"/>
          <w:sz w:val="16"/>
        </w:rPr>
        <w:t xml:space="preserve"> </w:t>
      </w:r>
      <w:r>
        <w:rPr>
          <w:i/>
          <w:sz w:val="16"/>
        </w:rPr>
        <w:t>la</w:t>
      </w:r>
      <w:r>
        <w:rPr>
          <w:i/>
          <w:spacing w:val="-6"/>
          <w:sz w:val="16"/>
        </w:rPr>
        <w:t xml:space="preserve"> </w:t>
      </w:r>
      <w:r>
        <w:rPr>
          <w:i/>
          <w:sz w:val="16"/>
        </w:rPr>
        <w:t>vulneración de esos derechos y el pago de una justa indemnización a la parte</w:t>
      </w:r>
      <w:r>
        <w:rPr>
          <w:i/>
          <w:spacing w:val="-13"/>
          <w:sz w:val="16"/>
        </w:rPr>
        <w:t xml:space="preserve"> </w:t>
      </w:r>
      <w:r>
        <w:rPr>
          <w:i/>
          <w:sz w:val="16"/>
        </w:rPr>
        <w:t>lesio</w:t>
      </w:r>
      <w:r>
        <w:rPr>
          <w:i/>
          <w:sz w:val="16"/>
        </w:rPr>
        <w:t>nada.”</w:t>
      </w:r>
    </w:p>
    <w:p w14:paraId="601E8756" w14:textId="77777777" w:rsidR="00467FCA" w:rsidRDefault="001B68EB">
      <w:pPr>
        <w:ind w:left="470"/>
        <w:jc w:val="both"/>
        <w:rPr>
          <w:sz w:val="16"/>
        </w:rPr>
      </w:pPr>
      <w:bookmarkStart w:id="661" w:name="_bookmark582"/>
      <w:bookmarkEnd w:id="661"/>
      <w:r>
        <w:rPr>
          <w:position w:val="6"/>
          <w:sz w:val="10"/>
        </w:rPr>
        <w:t xml:space="preserve">34 </w:t>
      </w:r>
      <w:r>
        <w:rPr>
          <w:sz w:val="16"/>
        </w:rPr>
        <w:t>Párr. 155.</w:t>
      </w:r>
    </w:p>
    <w:p w14:paraId="0E3AD13A" w14:textId="77777777" w:rsidR="00467FCA" w:rsidRDefault="001B68EB">
      <w:pPr>
        <w:ind w:left="470"/>
        <w:jc w:val="both"/>
        <w:rPr>
          <w:sz w:val="16"/>
        </w:rPr>
      </w:pPr>
      <w:bookmarkStart w:id="662" w:name="_bookmark583"/>
      <w:bookmarkEnd w:id="662"/>
      <w:r>
        <w:rPr>
          <w:position w:val="6"/>
          <w:sz w:val="10"/>
        </w:rPr>
        <w:t xml:space="preserve">35 </w:t>
      </w:r>
      <w:r>
        <w:rPr>
          <w:sz w:val="16"/>
        </w:rPr>
        <w:t>Párrs. 156 y 157.</w:t>
      </w:r>
    </w:p>
    <w:p w14:paraId="01794F87" w14:textId="77777777" w:rsidR="00467FCA" w:rsidRDefault="001B68EB">
      <w:pPr>
        <w:ind w:left="470"/>
        <w:jc w:val="both"/>
        <w:rPr>
          <w:i/>
          <w:sz w:val="16"/>
        </w:rPr>
      </w:pPr>
      <w:bookmarkStart w:id="663" w:name="_bookmark584"/>
      <w:bookmarkEnd w:id="663"/>
      <w:r>
        <w:rPr>
          <w:position w:val="6"/>
          <w:sz w:val="10"/>
        </w:rPr>
        <w:t xml:space="preserve">36 </w:t>
      </w:r>
      <w:r>
        <w:rPr>
          <w:i/>
          <w:sz w:val="16"/>
        </w:rPr>
        <w:t xml:space="preserve">Idem, </w:t>
      </w:r>
      <w:r>
        <w:rPr>
          <w:sz w:val="16"/>
        </w:rPr>
        <w:t>Nota N° 34</w:t>
      </w:r>
      <w:r>
        <w:rPr>
          <w:i/>
          <w:sz w:val="16"/>
        </w:rPr>
        <w:t>.</w:t>
      </w:r>
    </w:p>
    <w:p w14:paraId="25EC9D06" w14:textId="77777777" w:rsidR="00467FCA" w:rsidRDefault="00467FCA">
      <w:pPr>
        <w:jc w:val="both"/>
        <w:rPr>
          <w:sz w:val="16"/>
        </w:rPr>
        <w:sectPr w:rsidR="00467FCA">
          <w:pgSz w:w="12240" w:h="15840"/>
          <w:pgMar w:top="1340" w:right="1140" w:bottom="1200" w:left="960" w:header="0" w:footer="1002" w:gutter="0"/>
          <w:cols w:space="720"/>
        </w:sectPr>
      </w:pPr>
    </w:p>
    <w:p w14:paraId="0150C4C1" w14:textId="77777777" w:rsidR="00467FCA" w:rsidRDefault="001B68EB">
      <w:pPr>
        <w:pStyle w:val="Textoindependiente"/>
        <w:spacing w:before="76" w:line="276" w:lineRule="auto"/>
        <w:ind w:left="470" w:right="398"/>
        <w:jc w:val="both"/>
      </w:pPr>
      <w:r>
        <w:t>consecuentemente, reconocidos, más no expresamente, sino que solo implícitamente, por dicho tratado, ejercicios intelectuales estos últimos demasiados alejados de las expresiones directas y claras de la Convención respecto de los derechos a que ella se ref</w:t>
      </w:r>
      <w:r>
        <w:t>iere.</w:t>
      </w:r>
    </w:p>
    <w:p w14:paraId="1298C95D" w14:textId="77777777" w:rsidR="00467FCA" w:rsidRDefault="00467FCA">
      <w:pPr>
        <w:pStyle w:val="Textoindependiente"/>
        <w:spacing w:before="3"/>
        <w:rPr>
          <w:sz w:val="22"/>
        </w:rPr>
      </w:pPr>
    </w:p>
    <w:p w14:paraId="0A71BB2F" w14:textId="77777777" w:rsidR="00467FCA" w:rsidRDefault="001B68EB">
      <w:pPr>
        <w:pStyle w:val="Prrafodelista"/>
        <w:numPr>
          <w:ilvl w:val="0"/>
          <w:numId w:val="25"/>
        </w:numPr>
        <w:tabs>
          <w:tab w:val="left" w:pos="1450"/>
        </w:tabs>
        <w:spacing w:line="276" w:lineRule="auto"/>
        <w:ind w:left="469" w:right="395" w:firstLine="0"/>
        <w:jc w:val="both"/>
        <w:rPr>
          <w:sz w:val="20"/>
        </w:rPr>
      </w:pPr>
      <w:r>
        <w:rPr>
          <w:sz w:val="20"/>
        </w:rPr>
        <w:t>Evidentemente,</w:t>
      </w:r>
      <w:r>
        <w:rPr>
          <w:spacing w:val="-13"/>
          <w:sz w:val="20"/>
        </w:rPr>
        <w:t xml:space="preserve"> </w:t>
      </w:r>
      <w:r>
        <w:rPr>
          <w:sz w:val="20"/>
        </w:rPr>
        <w:t>no</w:t>
      </w:r>
      <w:r>
        <w:rPr>
          <w:spacing w:val="-11"/>
          <w:sz w:val="20"/>
        </w:rPr>
        <w:t xml:space="preserve"> </w:t>
      </w:r>
      <w:r>
        <w:rPr>
          <w:sz w:val="20"/>
        </w:rPr>
        <w:t>se</w:t>
      </w:r>
      <w:r>
        <w:rPr>
          <w:spacing w:val="-10"/>
          <w:sz w:val="20"/>
        </w:rPr>
        <w:t xml:space="preserve"> </w:t>
      </w:r>
      <w:r>
        <w:rPr>
          <w:sz w:val="20"/>
        </w:rPr>
        <w:t>puede</w:t>
      </w:r>
      <w:r>
        <w:rPr>
          <w:spacing w:val="-12"/>
          <w:sz w:val="20"/>
        </w:rPr>
        <w:t xml:space="preserve"> </w:t>
      </w:r>
      <w:r>
        <w:rPr>
          <w:sz w:val="20"/>
        </w:rPr>
        <w:t>compartir</w:t>
      </w:r>
      <w:r>
        <w:rPr>
          <w:spacing w:val="-12"/>
          <w:sz w:val="20"/>
        </w:rPr>
        <w:t xml:space="preserve"> </w:t>
      </w:r>
      <w:r>
        <w:rPr>
          <w:sz w:val="20"/>
        </w:rPr>
        <w:t>la</w:t>
      </w:r>
      <w:r>
        <w:rPr>
          <w:spacing w:val="-11"/>
          <w:sz w:val="20"/>
        </w:rPr>
        <w:t xml:space="preserve"> </w:t>
      </w:r>
      <w:r>
        <w:rPr>
          <w:sz w:val="20"/>
        </w:rPr>
        <w:t>postura</w:t>
      </w:r>
      <w:r>
        <w:rPr>
          <w:spacing w:val="-12"/>
          <w:sz w:val="20"/>
        </w:rPr>
        <w:t xml:space="preserve"> </w:t>
      </w:r>
      <w:r>
        <w:rPr>
          <w:sz w:val="20"/>
        </w:rPr>
        <w:t>adoptada</w:t>
      </w:r>
      <w:r>
        <w:rPr>
          <w:spacing w:val="-9"/>
          <w:sz w:val="20"/>
        </w:rPr>
        <w:t xml:space="preserve"> </w:t>
      </w:r>
      <w:r>
        <w:rPr>
          <w:sz w:val="20"/>
        </w:rPr>
        <w:t>en</w:t>
      </w:r>
      <w:r>
        <w:rPr>
          <w:spacing w:val="-12"/>
          <w:sz w:val="20"/>
        </w:rPr>
        <w:t xml:space="preserve"> </w:t>
      </w:r>
      <w:r>
        <w:rPr>
          <w:sz w:val="20"/>
        </w:rPr>
        <w:t>la</w:t>
      </w:r>
      <w:r>
        <w:rPr>
          <w:spacing w:val="-12"/>
          <w:sz w:val="20"/>
        </w:rPr>
        <w:t xml:space="preserve"> </w:t>
      </w:r>
      <w:r>
        <w:rPr>
          <w:sz w:val="20"/>
        </w:rPr>
        <w:t>Sentencia,</w:t>
      </w:r>
      <w:r>
        <w:rPr>
          <w:spacing w:val="-12"/>
          <w:sz w:val="20"/>
        </w:rPr>
        <w:t xml:space="preserve"> </w:t>
      </w:r>
      <w:r>
        <w:rPr>
          <w:sz w:val="20"/>
        </w:rPr>
        <w:t>por</w:t>
      </w:r>
      <w:r>
        <w:rPr>
          <w:spacing w:val="-14"/>
          <w:sz w:val="20"/>
        </w:rPr>
        <w:t xml:space="preserve"> </w:t>
      </w:r>
      <w:r>
        <w:rPr>
          <w:sz w:val="20"/>
        </w:rPr>
        <w:t>de pronto, porque el artículo 26 no reconoce derecho alguno, sino que se remite a las normas de la OEA que señala, de las que, por lo demás y a su vez, se derivarían derec</w:t>
      </w:r>
      <w:r>
        <w:rPr>
          <w:sz w:val="20"/>
        </w:rPr>
        <w:t>hos y enseguida,</w:t>
      </w:r>
      <w:r>
        <w:rPr>
          <w:spacing w:val="-19"/>
          <w:sz w:val="20"/>
        </w:rPr>
        <w:t xml:space="preserve"> </w:t>
      </w:r>
      <w:r>
        <w:rPr>
          <w:sz w:val="20"/>
        </w:rPr>
        <w:t>puesto</w:t>
      </w:r>
      <w:r>
        <w:rPr>
          <w:spacing w:val="-18"/>
          <w:sz w:val="20"/>
        </w:rPr>
        <w:t xml:space="preserve"> </w:t>
      </w:r>
      <w:r>
        <w:rPr>
          <w:sz w:val="20"/>
        </w:rPr>
        <w:t>lo</w:t>
      </w:r>
      <w:r>
        <w:rPr>
          <w:spacing w:val="-19"/>
          <w:sz w:val="20"/>
        </w:rPr>
        <w:t xml:space="preserve"> </w:t>
      </w:r>
      <w:r>
        <w:rPr>
          <w:sz w:val="20"/>
        </w:rPr>
        <w:t>que</w:t>
      </w:r>
      <w:r>
        <w:rPr>
          <w:spacing w:val="-21"/>
          <w:sz w:val="20"/>
        </w:rPr>
        <w:t xml:space="preserve"> </w:t>
      </w:r>
      <w:r>
        <w:rPr>
          <w:sz w:val="20"/>
        </w:rPr>
        <w:t>aquella</w:t>
      </w:r>
      <w:r>
        <w:rPr>
          <w:spacing w:val="-20"/>
          <w:sz w:val="20"/>
        </w:rPr>
        <w:t xml:space="preserve"> </w:t>
      </w:r>
      <w:r>
        <w:rPr>
          <w:sz w:val="20"/>
        </w:rPr>
        <w:t>indica,</w:t>
      </w:r>
      <w:r>
        <w:rPr>
          <w:spacing w:val="-18"/>
          <w:sz w:val="20"/>
        </w:rPr>
        <w:t xml:space="preserve"> </w:t>
      </w:r>
      <w:r>
        <w:rPr>
          <w:sz w:val="20"/>
        </w:rPr>
        <w:t>se</w:t>
      </w:r>
      <w:r>
        <w:rPr>
          <w:spacing w:val="-19"/>
          <w:sz w:val="20"/>
        </w:rPr>
        <w:t xml:space="preserve"> </w:t>
      </w:r>
      <w:r>
        <w:rPr>
          <w:sz w:val="20"/>
        </w:rPr>
        <w:t>aparta</w:t>
      </w:r>
      <w:r>
        <w:rPr>
          <w:spacing w:val="-20"/>
          <w:sz w:val="20"/>
        </w:rPr>
        <w:t xml:space="preserve"> </w:t>
      </w:r>
      <w:r>
        <w:rPr>
          <w:sz w:val="20"/>
        </w:rPr>
        <w:t>totalmente</w:t>
      </w:r>
      <w:r>
        <w:rPr>
          <w:spacing w:val="-21"/>
          <w:sz w:val="20"/>
        </w:rPr>
        <w:t xml:space="preserve"> </w:t>
      </w:r>
      <w:r>
        <w:rPr>
          <w:sz w:val="20"/>
        </w:rPr>
        <w:t>de</w:t>
      </w:r>
      <w:r>
        <w:rPr>
          <w:spacing w:val="-19"/>
          <w:sz w:val="20"/>
        </w:rPr>
        <w:t xml:space="preserve"> </w:t>
      </w:r>
      <w:r>
        <w:rPr>
          <w:sz w:val="20"/>
        </w:rPr>
        <w:t>lo</w:t>
      </w:r>
      <w:r>
        <w:rPr>
          <w:spacing w:val="-19"/>
          <w:sz w:val="20"/>
        </w:rPr>
        <w:t xml:space="preserve"> </w:t>
      </w:r>
      <w:r>
        <w:rPr>
          <w:sz w:val="20"/>
        </w:rPr>
        <w:t>que</w:t>
      </w:r>
      <w:r>
        <w:rPr>
          <w:spacing w:val="-16"/>
          <w:sz w:val="20"/>
        </w:rPr>
        <w:t xml:space="preserve"> </w:t>
      </w:r>
      <w:r>
        <w:rPr>
          <w:sz w:val="20"/>
        </w:rPr>
        <w:t>norma</w:t>
      </w:r>
      <w:r>
        <w:rPr>
          <w:spacing w:val="-17"/>
          <w:sz w:val="20"/>
        </w:rPr>
        <w:t xml:space="preserve"> </w:t>
      </w:r>
      <w:r>
        <w:rPr>
          <w:sz w:val="20"/>
        </w:rPr>
        <w:t>explícitamente establece,</w:t>
      </w:r>
      <w:r>
        <w:rPr>
          <w:spacing w:val="-12"/>
          <w:sz w:val="20"/>
        </w:rPr>
        <w:t xml:space="preserve"> </w:t>
      </w:r>
      <w:r>
        <w:rPr>
          <w:sz w:val="20"/>
        </w:rPr>
        <w:t>sin</w:t>
      </w:r>
      <w:r>
        <w:rPr>
          <w:spacing w:val="-13"/>
          <w:sz w:val="20"/>
        </w:rPr>
        <w:t xml:space="preserve"> </w:t>
      </w:r>
      <w:r>
        <w:rPr>
          <w:sz w:val="20"/>
        </w:rPr>
        <w:t>suministrar</w:t>
      </w:r>
      <w:r>
        <w:rPr>
          <w:spacing w:val="-12"/>
          <w:sz w:val="20"/>
        </w:rPr>
        <w:t xml:space="preserve"> </w:t>
      </w:r>
      <w:r>
        <w:rPr>
          <w:sz w:val="20"/>
        </w:rPr>
        <w:t>fundamento</w:t>
      </w:r>
      <w:r>
        <w:rPr>
          <w:spacing w:val="-14"/>
          <w:sz w:val="20"/>
        </w:rPr>
        <w:t xml:space="preserve"> </w:t>
      </w:r>
      <w:r>
        <w:rPr>
          <w:sz w:val="20"/>
        </w:rPr>
        <w:t>alguno</w:t>
      </w:r>
      <w:r>
        <w:rPr>
          <w:spacing w:val="-12"/>
          <w:sz w:val="20"/>
        </w:rPr>
        <w:t xml:space="preserve"> </w:t>
      </w:r>
      <w:r>
        <w:rPr>
          <w:sz w:val="20"/>
        </w:rPr>
        <w:t>de</w:t>
      </w:r>
      <w:r>
        <w:rPr>
          <w:spacing w:val="-12"/>
          <w:sz w:val="20"/>
        </w:rPr>
        <w:t xml:space="preserve"> </w:t>
      </w:r>
      <w:r>
        <w:rPr>
          <w:sz w:val="20"/>
        </w:rPr>
        <w:t>su</w:t>
      </w:r>
      <w:r>
        <w:rPr>
          <w:spacing w:val="-12"/>
          <w:sz w:val="20"/>
        </w:rPr>
        <w:t xml:space="preserve"> </w:t>
      </w:r>
      <w:r>
        <w:rPr>
          <w:sz w:val="20"/>
        </w:rPr>
        <w:t>proceder,</w:t>
      </w:r>
      <w:r>
        <w:rPr>
          <w:spacing w:val="-12"/>
          <w:sz w:val="20"/>
        </w:rPr>
        <w:t xml:space="preserve"> </w:t>
      </w:r>
      <w:r>
        <w:rPr>
          <w:sz w:val="20"/>
        </w:rPr>
        <w:t>sino</w:t>
      </w:r>
      <w:r>
        <w:rPr>
          <w:spacing w:val="-14"/>
          <w:sz w:val="20"/>
        </w:rPr>
        <w:t xml:space="preserve"> </w:t>
      </w:r>
      <w:r>
        <w:rPr>
          <w:sz w:val="20"/>
        </w:rPr>
        <w:t>únicamente</w:t>
      </w:r>
      <w:r>
        <w:rPr>
          <w:spacing w:val="-12"/>
          <w:sz w:val="20"/>
        </w:rPr>
        <w:t xml:space="preserve"> </w:t>
      </w:r>
      <w:r>
        <w:rPr>
          <w:sz w:val="20"/>
        </w:rPr>
        <w:t>explicaciones que parecen elaboradas para interpretarlo en abierta contraposición a lo que textual y claramente</w:t>
      </w:r>
      <w:r>
        <w:rPr>
          <w:spacing w:val="-3"/>
          <w:sz w:val="20"/>
        </w:rPr>
        <w:t xml:space="preserve"> </w:t>
      </w:r>
      <w:r>
        <w:rPr>
          <w:sz w:val="20"/>
        </w:rPr>
        <w:t>indica.</w:t>
      </w:r>
    </w:p>
    <w:p w14:paraId="4826BEDC" w14:textId="77777777" w:rsidR="00467FCA" w:rsidRDefault="00467FCA">
      <w:pPr>
        <w:pStyle w:val="Textoindependiente"/>
        <w:spacing w:before="4"/>
        <w:rPr>
          <w:sz w:val="22"/>
        </w:rPr>
      </w:pPr>
    </w:p>
    <w:p w14:paraId="1174CE06" w14:textId="77777777" w:rsidR="00467FCA" w:rsidRDefault="001B68EB">
      <w:pPr>
        <w:pStyle w:val="Prrafodelista"/>
        <w:numPr>
          <w:ilvl w:val="0"/>
          <w:numId w:val="25"/>
        </w:numPr>
        <w:tabs>
          <w:tab w:val="left" w:pos="1449"/>
        </w:tabs>
        <w:spacing w:line="276" w:lineRule="auto"/>
        <w:ind w:left="469" w:right="398" w:firstLine="0"/>
        <w:jc w:val="both"/>
        <w:rPr>
          <w:sz w:val="20"/>
        </w:rPr>
      </w:pPr>
      <w:r>
        <w:rPr>
          <w:sz w:val="20"/>
        </w:rPr>
        <w:t>Al actuar en esa dirección, indudablemente que la Sentencia hace caso omiso del tenor literal del artículo 26 y, consecuentemente, no a</w:t>
      </w:r>
      <w:r>
        <w:rPr>
          <w:sz w:val="20"/>
        </w:rPr>
        <w:t>plica armoniosamente a su respecto lo previsto en el artículo 31.1 de la Convención de Viena ni efectúa, en rigor, una interpretación</w:t>
      </w:r>
      <w:r>
        <w:rPr>
          <w:spacing w:val="-7"/>
          <w:sz w:val="20"/>
        </w:rPr>
        <w:t xml:space="preserve"> </w:t>
      </w:r>
      <w:r>
        <w:rPr>
          <w:sz w:val="20"/>
        </w:rPr>
        <w:t>de</w:t>
      </w:r>
      <w:r>
        <w:rPr>
          <w:spacing w:val="-9"/>
          <w:sz w:val="20"/>
        </w:rPr>
        <w:t xml:space="preserve"> </w:t>
      </w:r>
      <w:r>
        <w:rPr>
          <w:sz w:val="20"/>
        </w:rPr>
        <w:t>aquél.</w:t>
      </w:r>
      <w:r>
        <w:rPr>
          <w:spacing w:val="-5"/>
          <w:sz w:val="20"/>
        </w:rPr>
        <w:t xml:space="preserve"> </w:t>
      </w:r>
      <w:r>
        <w:rPr>
          <w:sz w:val="20"/>
        </w:rPr>
        <w:t>Al</w:t>
      </w:r>
      <w:r>
        <w:rPr>
          <w:spacing w:val="-7"/>
          <w:sz w:val="20"/>
        </w:rPr>
        <w:t xml:space="preserve"> </w:t>
      </w:r>
      <w:r>
        <w:rPr>
          <w:sz w:val="20"/>
        </w:rPr>
        <w:t>parecer,</w:t>
      </w:r>
      <w:r>
        <w:rPr>
          <w:spacing w:val="-4"/>
          <w:sz w:val="20"/>
        </w:rPr>
        <w:t xml:space="preserve"> </w:t>
      </w:r>
      <w:r>
        <w:rPr>
          <w:sz w:val="20"/>
        </w:rPr>
        <w:t>el</w:t>
      </w:r>
      <w:r>
        <w:rPr>
          <w:spacing w:val="-6"/>
          <w:sz w:val="20"/>
        </w:rPr>
        <w:t xml:space="preserve"> </w:t>
      </w:r>
      <w:r>
        <w:rPr>
          <w:sz w:val="20"/>
        </w:rPr>
        <w:t>tenor</w:t>
      </w:r>
      <w:r>
        <w:rPr>
          <w:spacing w:val="-7"/>
          <w:sz w:val="20"/>
        </w:rPr>
        <w:t xml:space="preserve"> </w:t>
      </w:r>
      <w:r>
        <w:rPr>
          <w:sz w:val="20"/>
        </w:rPr>
        <w:t>literal</w:t>
      </w:r>
      <w:r>
        <w:rPr>
          <w:spacing w:val="-6"/>
          <w:sz w:val="20"/>
        </w:rPr>
        <w:t xml:space="preserve"> </w:t>
      </w:r>
      <w:r>
        <w:rPr>
          <w:sz w:val="20"/>
        </w:rPr>
        <w:t>de</w:t>
      </w:r>
      <w:r>
        <w:rPr>
          <w:spacing w:val="-7"/>
          <w:sz w:val="20"/>
        </w:rPr>
        <w:t xml:space="preserve"> </w:t>
      </w:r>
      <w:r>
        <w:rPr>
          <w:sz w:val="20"/>
        </w:rPr>
        <w:t>lo</w:t>
      </w:r>
      <w:r>
        <w:rPr>
          <w:spacing w:val="-7"/>
          <w:sz w:val="20"/>
        </w:rPr>
        <w:t xml:space="preserve"> </w:t>
      </w:r>
      <w:r>
        <w:rPr>
          <w:sz w:val="20"/>
        </w:rPr>
        <w:t>pactado</w:t>
      </w:r>
      <w:r>
        <w:rPr>
          <w:spacing w:val="-8"/>
          <w:sz w:val="20"/>
        </w:rPr>
        <w:t xml:space="preserve"> </w:t>
      </w:r>
      <w:r>
        <w:rPr>
          <w:sz w:val="20"/>
        </w:rPr>
        <w:t>no</w:t>
      </w:r>
      <w:r>
        <w:rPr>
          <w:spacing w:val="-9"/>
          <w:sz w:val="20"/>
        </w:rPr>
        <w:t xml:space="preserve"> </w:t>
      </w:r>
      <w:r>
        <w:rPr>
          <w:sz w:val="20"/>
        </w:rPr>
        <w:t>tiene,</w:t>
      </w:r>
      <w:r>
        <w:rPr>
          <w:spacing w:val="-5"/>
          <w:sz w:val="20"/>
        </w:rPr>
        <w:t xml:space="preserve"> </w:t>
      </w:r>
      <w:r>
        <w:rPr>
          <w:sz w:val="20"/>
        </w:rPr>
        <w:t>para</w:t>
      </w:r>
      <w:r>
        <w:rPr>
          <w:spacing w:val="-5"/>
          <w:sz w:val="20"/>
        </w:rPr>
        <w:t xml:space="preserve"> </w:t>
      </w:r>
      <w:r>
        <w:rPr>
          <w:sz w:val="20"/>
        </w:rPr>
        <w:t>la</w:t>
      </w:r>
      <w:r>
        <w:rPr>
          <w:spacing w:val="-8"/>
          <w:sz w:val="20"/>
        </w:rPr>
        <w:t xml:space="preserve"> </w:t>
      </w:r>
      <w:r>
        <w:rPr>
          <w:sz w:val="20"/>
        </w:rPr>
        <w:t>Sentencia, relevancia alguna y, por ende, lo consid</w:t>
      </w:r>
      <w:r>
        <w:rPr>
          <w:sz w:val="20"/>
        </w:rPr>
        <w:t>era como un mero formulismo, lo que le posibilita atribuir a dicha disposición un sentido y alcance que escapa con mucho a lo que los Estados expresamente estamparon, como si en realidad quisieron convenir otra cosa, lo que, evidentemente, choca contra tod</w:t>
      </w:r>
      <w:r>
        <w:rPr>
          <w:sz w:val="20"/>
        </w:rPr>
        <w:t>a</w:t>
      </w:r>
      <w:r>
        <w:rPr>
          <w:spacing w:val="2"/>
          <w:sz w:val="20"/>
        </w:rPr>
        <w:t xml:space="preserve"> </w:t>
      </w:r>
      <w:r>
        <w:rPr>
          <w:sz w:val="20"/>
        </w:rPr>
        <w:t>lógica.</w:t>
      </w:r>
    </w:p>
    <w:p w14:paraId="49107653" w14:textId="77777777" w:rsidR="00467FCA" w:rsidRDefault="00467FCA">
      <w:pPr>
        <w:pStyle w:val="Textoindependiente"/>
        <w:spacing w:before="2"/>
        <w:rPr>
          <w:sz w:val="22"/>
        </w:rPr>
      </w:pPr>
    </w:p>
    <w:p w14:paraId="17982632" w14:textId="77777777" w:rsidR="00467FCA" w:rsidRDefault="001B68EB">
      <w:pPr>
        <w:pStyle w:val="Prrafodelista"/>
        <w:numPr>
          <w:ilvl w:val="0"/>
          <w:numId w:val="25"/>
        </w:numPr>
        <w:tabs>
          <w:tab w:val="left" w:pos="1450"/>
        </w:tabs>
        <w:spacing w:line="276" w:lineRule="auto"/>
        <w:ind w:left="469" w:right="397" w:firstLine="0"/>
        <w:jc w:val="both"/>
        <w:rPr>
          <w:sz w:val="20"/>
        </w:rPr>
      </w:pPr>
      <w:r>
        <w:rPr>
          <w:sz w:val="20"/>
        </w:rPr>
        <w:t>Por</w:t>
      </w:r>
      <w:r>
        <w:rPr>
          <w:spacing w:val="-14"/>
          <w:sz w:val="20"/>
        </w:rPr>
        <w:t xml:space="preserve"> </w:t>
      </w:r>
      <w:r>
        <w:rPr>
          <w:sz w:val="20"/>
        </w:rPr>
        <w:t>el</w:t>
      </w:r>
      <w:r>
        <w:rPr>
          <w:spacing w:val="-16"/>
          <w:sz w:val="20"/>
        </w:rPr>
        <w:t xml:space="preserve"> </w:t>
      </w:r>
      <w:r>
        <w:rPr>
          <w:sz w:val="20"/>
        </w:rPr>
        <w:t>contrario,</w:t>
      </w:r>
      <w:r>
        <w:rPr>
          <w:spacing w:val="-17"/>
          <w:sz w:val="20"/>
        </w:rPr>
        <w:t xml:space="preserve"> </w:t>
      </w:r>
      <w:r>
        <w:rPr>
          <w:sz w:val="20"/>
        </w:rPr>
        <w:t>fundadamente</w:t>
      </w:r>
      <w:r>
        <w:rPr>
          <w:spacing w:val="-16"/>
          <w:sz w:val="20"/>
        </w:rPr>
        <w:t xml:space="preserve"> </w:t>
      </w:r>
      <w:r>
        <w:rPr>
          <w:sz w:val="20"/>
        </w:rPr>
        <w:t>se</w:t>
      </w:r>
      <w:r>
        <w:rPr>
          <w:spacing w:val="-18"/>
          <w:sz w:val="20"/>
        </w:rPr>
        <w:t xml:space="preserve"> </w:t>
      </w:r>
      <w:r>
        <w:rPr>
          <w:sz w:val="20"/>
        </w:rPr>
        <w:t>puede</w:t>
      </w:r>
      <w:r>
        <w:rPr>
          <w:spacing w:val="-15"/>
          <w:sz w:val="20"/>
        </w:rPr>
        <w:t xml:space="preserve"> </w:t>
      </w:r>
      <w:r>
        <w:rPr>
          <w:sz w:val="20"/>
        </w:rPr>
        <w:t>sostener</w:t>
      </w:r>
      <w:r>
        <w:rPr>
          <w:spacing w:val="-18"/>
          <w:sz w:val="20"/>
        </w:rPr>
        <w:t xml:space="preserve"> </w:t>
      </w:r>
      <w:r>
        <w:rPr>
          <w:sz w:val="20"/>
        </w:rPr>
        <w:t>que,</w:t>
      </w:r>
      <w:r>
        <w:rPr>
          <w:spacing w:val="-18"/>
          <w:sz w:val="20"/>
        </w:rPr>
        <w:t xml:space="preserve"> </w:t>
      </w:r>
      <w:r>
        <w:rPr>
          <w:sz w:val="20"/>
        </w:rPr>
        <w:t>de</w:t>
      </w:r>
      <w:r>
        <w:rPr>
          <w:spacing w:val="-18"/>
          <w:sz w:val="20"/>
        </w:rPr>
        <w:t xml:space="preserve"> </w:t>
      </w:r>
      <w:r>
        <w:rPr>
          <w:sz w:val="20"/>
        </w:rPr>
        <w:t>acuerdo</w:t>
      </w:r>
      <w:r>
        <w:rPr>
          <w:spacing w:val="-15"/>
          <w:sz w:val="20"/>
        </w:rPr>
        <w:t xml:space="preserve"> </w:t>
      </w:r>
      <w:r>
        <w:rPr>
          <w:sz w:val="20"/>
        </w:rPr>
        <w:t>a</w:t>
      </w:r>
      <w:r>
        <w:rPr>
          <w:spacing w:val="-14"/>
          <w:sz w:val="20"/>
        </w:rPr>
        <w:t xml:space="preserve"> </w:t>
      </w:r>
      <w:r>
        <w:rPr>
          <w:sz w:val="20"/>
        </w:rPr>
        <w:t>su</w:t>
      </w:r>
      <w:r>
        <w:rPr>
          <w:spacing w:val="-16"/>
          <w:sz w:val="20"/>
        </w:rPr>
        <w:t xml:space="preserve"> </w:t>
      </w:r>
      <w:r>
        <w:rPr>
          <w:sz w:val="20"/>
        </w:rPr>
        <w:t>tenor</w:t>
      </w:r>
      <w:r>
        <w:rPr>
          <w:spacing w:val="-17"/>
          <w:sz w:val="20"/>
        </w:rPr>
        <w:t xml:space="preserve"> </w:t>
      </w:r>
      <w:r>
        <w:rPr>
          <w:sz w:val="20"/>
        </w:rPr>
        <w:t>literal y el principio de buena fe, el artículo 26, por una parte, no plantea varias posibilidades de aplicación,</w:t>
      </w:r>
      <w:r>
        <w:rPr>
          <w:spacing w:val="-7"/>
          <w:sz w:val="20"/>
        </w:rPr>
        <w:t xml:space="preserve"> </w:t>
      </w:r>
      <w:r>
        <w:rPr>
          <w:sz w:val="20"/>
        </w:rPr>
        <w:t>esto</w:t>
      </w:r>
      <w:r>
        <w:rPr>
          <w:spacing w:val="-7"/>
          <w:sz w:val="20"/>
        </w:rPr>
        <w:t xml:space="preserve"> </w:t>
      </w:r>
      <w:r>
        <w:rPr>
          <w:sz w:val="20"/>
        </w:rPr>
        <w:t>es,</w:t>
      </w:r>
      <w:r>
        <w:rPr>
          <w:spacing w:val="-10"/>
          <w:sz w:val="20"/>
        </w:rPr>
        <w:t xml:space="preserve"> </w:t>
      </w:r>
      <w:r>
        <w:rPr>
          <w:sz w:val="20"/>
        </w:rPr>
        <w:t>dudas</w:t>
      </w:r>
      <w:r>
        <w:rPr>
          <w:spacing w:val="-10"/>
          <w:sz w:val="20"/>
        </w:rPr>
        <w:t xml:space="preserve"> </w:t>
      </w:r>
      <w:r>
        <w:rPr>
          <w:sz w:val="20"/>
        </w:rPr>
        <w:t>acerca</w:t>
      </w:r>
      <w:r>
        <w:rPr>
          <w:spacing w:val="-9"/>
          <w:sz w:val="20"/>
        </w:rPr>
        <w:t xml:space="preserve"> </w:t>
      </w:r>
      <w:r>
        <w:rPr>
          <w:sz w:val="20"/>
        </w:rPr>
        <w:t>de</w:t>
      </w:r>
      <w:r>
        <w:rPr>
          <w:spacing w:val="-9"/>
          <w:sz w:val="20"/>
        </w:rPr>
        <w:t xml:space="preserve"> </w:t>
      </w:r>
      <w:r>
        <w:rPr>
          <w:sz w:val="20"/>
        </w:rPr>
        <w:t>su</w:t>
      </w:r>
      <w:r>
        <w:rPr>
          <w:spacing w:val="-8"/>
          <w:sz w:val="20"/>
        </w:rPr>
        <w:t xml:space="preserve"> </w:t>
      </w:r>
      <w:r>
        <w:rPr>
          <w:sz w:val="20"/>
        </w:rPr>
        <w:t>sentido</w:t>
      </w:r>
      <w:r>
        <w:rPr>
          <w:spacing w:val="-10"/>
          <w:sz w:val="20"/>
        </w:rPr>
        <w:t xml:space="preserve"> </w:t>
      </w:r>
      <w:r>
        <w:rPr>
          <w:sz w:val="20"/>
        </w:rPr>
        <w:t>y</w:t>
      </w:r>
      <w:r>
        <w:rPr>
          <w:spacing w:val="-9"/>
          <w:sz w:val="20"/>
        </w:rPr>
        <w:t xml:space="preserve"> </w:t>
      </w:r>
      <w:r>
        <w:rPr>
          <w:sz w:val="20"/>
        </w:rPr>
        <w:t>alcance</w:t>
      </w:r>
      <w:r>
        <w:rPr>
          <w:spacing w:val="-10"/>
          <w:sz w:val="20"/>
        </w:rPr>
        <w:t xml:space="preserve"> </w:t>
      </w:r>
      <w:r>
        <w:rPr>
          <w:sz w:val="20"/>
        </w:rPr>
        <w:t>y</w:t>
      </w:r>
      <w:r>
        <w:rPr>
          <w:spacing w:val="-9"/>
          <w:sz w:val="20"/>
        </w:rPr>
        <w:t xml:space="preserve"> </w:t>
      </w:r>
      <w:r>
        <w:rPr>
          <w:sz w:val="20"/>
        </w:rPr>
        <w:t>que,</w:t>
      </w:r>
      <w:r>
        <w:rPr>
          <w:spacing w:val="-9"/>
          <w:sz w:val="20"/>
        </w:rPr>
        <w:t xml:space="preserve"> </w:t>
      </w:r>
      <w:r>
        <w:rPr>
          <w:sz w:val="20"/>
        </w:rPr>
        <w:t>en</w:t>
      </w:r>
      <w:r>
        <w:rPr>
          <w:spacing w:val="-8"/>
          <w:sz w:val="20"/>
        </w:rPr>
        <w:t xml:space="preserve"> </w:t>
      </w:r>
      <w:r>
        <w:rPr>
          <w:sz w:val="20"/>
        </w:rPr>
        <w:t>consecuencia,</w:t>
      </w:r>
      <w:r>
        <w:rPr>
          <w:spacing w:val="-10"/>
          <w:sz w:val="20"/>
        </w:rPr>
        <w:t xml:space="preserve"> </w:t>
      </w:r>
      <w:r>
        <w:rPr>
          <w:sz w:val="20"/>
        </w:rPr>
        <w:t>justifiquen la interpretación que se aparte ostensiblemente de lo pactad</w:t>
      </w:r>
      <w:r>
        <w:rPr>
          <w:sz w:val="20"/>
        </w:rPr>
        <w:t>o, y por la otra, no establece derecho humano alguno y, menos aún, que puedan ser exigibles ante la Corte, sino que alude a obligaciones de hacer, no de resultado, asumidas por los Estados Partes de la Convención.</w:t>
      </w:r>
    </w:p>
    <w:p w14:paraId="42FE100D" w14:textId="77777777" w:rsidR="00467FCA" w:rsidRDefault="00467FCA">
      <w:pPr>
        <w:pStyle w:val="Textoindependiente"/>
        <w:spacing w:before="4"/>
        <w:rPr>
          <w:sz w:val="22"/>
        </w:rPr>
      </w:pPr>
    </w:p>
    <w:p w14:paraId="27BA8BEE" w14:textId="77777777" w:rsidR="00467FCA" w:rsidRDefault="001B68EB">
      <w:pPr>
        <w:pStyle w:val="Prrafodelista"/>
        <w:numPr>
          <w:ilvl w:val="0"/>
          <w:numId w:val="25"/>
        </w:numPr>
        <w:tabs>
          <w:tab w:val="left" w:pos="1450"/>
        </w:tabs>
        <w:spacing w:line="276" w:lineRule="auto"/>
        <w:ind w:left="469" w:right="397" w:firstLine="0"/>
        <w:jc w:val="both"/>
        <w:rPr>
          <w:sz w:val="20"/>
        </w:rPr>
      </w:pPr>
      <w:r>
        <w:rPr>
          <w:sz w:val="20"/>
        </w:rPr>
        <w:t>En definitiva, se puede concluir, a contr</w:t>
      </w:r>
      <w:r>
        <w:rPr>
          <w:sz w:val="20"/>
        </w:rPr>
        <w:t>ario de lo que sostiene en autos, en que, “</w:t>
      </w:r>
      <w:r>
        <w:rPr>
          <w:i/>
          <w:sz w:val="20"/>
        </w:rPr>
        <w:t>conforme al sentido corriente que haya de atribuirse a los términos del tratado</w:t>
      </w:r>
      <w:r>
        <w:rPr>
          <w:sz w:val="20"/>
        </w:rPr>
        <w:t>”, el artículo 26 no constituye título suficiente para recurrir a la Corte en resguardo de los derechos que “</w:t>
      </w:r>
      <w:r>
        <w:rPr>
          <w:i/>
          <w:sz w:val="20"/>
        </w:rPr>
        <w:t>derivan</w:t>
      </w:r>
      <w:r>
        <w:rPr>
          <w:sz w:val="20"/>
        </w:rPr>
        <w:t>” de la Carta de l</w:t>
      </w:r>
      <w:r>
        <w:rPr>
          <w:sz w:val="20"/>
        </w:rPr>
        <w:t>a OEA y que, por ende, no son “</w:t>
      </w:r>
      <w:r>
        <w:rPr>
          <w:i/>
          <w:sz w:val="20"/>
        </w:rPr>
        <w:t>reconocidos</w:t>
      </w:r>
      <w:r>
        <w:rPr>
          <w:sz w:val="20"/>
        </w:rPr>
        <w:t>”, “</w:t>
      </w:r>
      <w:r>
        <w:rPr>
          <w:i/>
          <w:sz w:val="20"/>
        </w:rPr>
        <w:t>establecidos</w:t>
      </w:r>
      <w:r>
        <w:rPr>
          <w:sz w:val="20"/>
        </w:rPr>
        <w:t>”, “</w:t>
      </w:r>
      <w:r>
        <w:rPr>
          <w:i/>
          <w:sz w:val="20"/>
        </w:rPr>
        <w:t>garantizados”,</w:t>
      </w:r>
      <w:r>
        <w:rPr>
          <w:i/>
          <w:spacing w:val="-7"/>
          <w:sz w:val="20"/>
        </w:rPr>
        <w:t xml:space="preserve"> </w:t>
      </w:r>
      <w:r>
        <w:rPr>
          <w:i/>
          <w:sz w:val="20"/>
        </w:rPr>
        <w:t>“consagrados”</w:t>
      </w:r>
      <w:r>
        <w:rPr>
          <w:i/>
          <w:spacing w:val="-6"/>
          <w:sz w:val="20"/>
        </w:rPr>
        <w:t xml:space="preserve"> </w:t>
      </w:r>
      <w:r>
        <w:rPr>
          <w:i/>
          <w:sz w:val="20"/>
        </w:rPr>
        <w:t>o</w:t>
      </w:r>
      <w:r>
        <w:rPr>
          <w:i/>
          <w:spacing w:val="-8"/>
          <w:sz w:val="20"/>
        </w:rPr>
        <w:t xml:space="preserve"> </w:t>
      </w:r>
      <w:r>
        <w:rPr>
          <w:i/>
          <w:sz w:val="20"/>
        </w:rPr>
        <w:t>“protegidos</w:t>
      </w:r>
      <w:r>
        <w:rPr>
          <w:sz w:val="20"/>
        </w:rPr>
        <w:t>”</w:t>
      </w:r>
      <w:r>
        <w:rPr>
          <w:spacing w:val="-6"/>
          <w:sz w:val="20"/>
        </w:rPr>
        <w:t xml:space="preserve"> </w:t>
      </w:r>
      <w:r>
        <w:rPr>
          <w:sz w:val="20"/>
        </w:rPr>
        <w:t>en</w:t>
      </w:r>
      <w:r>
        <w:rPr>
          <w:spacing w:val="-4"/>
          <w:sz w:val="20"/>
        </w:rPr>
        <w:t xml:space="preserve"> </w:t>
      </w:r>
      <w:r>
        <w:rPr>
          <w:sz w:val="20"/>
        </w:rPr>
        <w:t>o</w:t>
      </w:r>
      <w:r>
        <w:rPr>
          <w:spacing w:val="-8"/>
          <w:sz w:val="20"/>
        </w:rPr>
        <w:t xml:space="preserve"> </w:t>
      </w:r>
      <w:r>
        <w:rPr>
          <w:sz w:val="20"/>
        </w:rPr>
        <w:t>por</w:t>
      </w:r>
      <w:r>
        <w:rPr>
          <w:spacing w:val="-7"/>
          <w:sz w:val="20"/>
        </w:rPr>
        <w:t xml:space="preserve"> </w:t>
      </w:r>
      <w:r>
        <w:rPr>
          <w:sz w:val="20"/>
        </w:rPr>
        <w:t>la</w:t>
      </w:r>
      <w:r>
        <w:rPr>
          <w:spacing w:val="-5"/>
          <w:sz w:val="20"/>
        </w:rPr>
        <w:t xml:space="preserve"> </w:t>
      </w:r>
      <w:r>
        <w:rPr>
          <w:sz w:val="20"/>
        </w:rPr>
        <w:t>Convención,</w:t>
      </w:r>
      <w:r>
        <w:rPr>
          <w:spacing w:val="-7"/>
          <w:sz w:val="20"/>
        </w:rPr>
        <w:t xml:space="preserve"> </w:t>
      </w:r>
      <w:r>
        <w:rPr>
          <w:sz w:val="20"/>
        </w:rPr>
        <w:t>los</w:t>
      </w:r>
      <w:r>
        <w:rPr>
          <w:spacing w:val="-6"/>
          <w:sz w:val="20"/>
        </w:rPr>
        <w:t xml:space="preserve"> </w:t>
      </w:r>
      <w:r>
        <w:rPr>
          <w:sz w:val="20"/>
        </w:rPr>
        <w:t>únicos</w:t>
      </w:r>
      <w:r>
        <w:rPr>
          <w:spacing w:val="-7"/>
          <w:sz w:val="20"/>
        </w:rPr>
        <w:t xml:space="preserve"> </w:t>
      </w:r>
      <w:r>
        <w:rPr>
          <w:sz w:val="20"/>
        </w:rPr>
        <w:t>respecto</w:t>
      </w:r>
      <w:r>
        <w:rPr>
          <w:spacing w:val="-6"/>
          <w:sz w:val="20"/>
        </w:rPr>
        <w:t xml:space="preserve"> </w:t>
      </w:r>
      <w:r>
        <w:rPr>
          <w:sz w:val="20"/>
        </w:rPr>
        <w:t>de los que, por su violación son justiciables ante la instancia jurisdiccional</w:t>
      </w:r>
      <w:r>
        <w:rPr>
          <w:spacing w:val="-25"/>
          <w:sz w:val="20"/>
        </w:rPr>
        <w:t xml:space="preserve"> </w:t>
      </w:r>
      <w:r>
        <w:rPr>
          <w:sz w:val="20"/>
        </w:rPr>
        <w:t>interamericana.</w:t>
      </w:r>
    </w:p>
    <w:p w14:paraId="3A96EEB2" w14:textId="77777777" w:rsidR="00467FCA" w:rsidRDefault="00467FCA">
      <w:pPr>
        <w:pStyle w:val="Textoindependiente"/>
        <w:rPr>
          <w:sz w:val="23"/>
        </w:rPr>
      </w:pPr>
    </w:p>
    <w:p w14:paraId="4B4FF635" w14:textId="77777777" w:rsidR="00467FCA" w:rsidRDefault="001B68EB">
      <w:pPr>
        <w:pStyle w:val="Ttulo1"/>
        <w:numPr>
          <w:ilvl w:val="0"/>
          <w:numId w:val="23"/>
        </w:numPr>
        <w:tabs>
          <w:tab w:val="left" w:pos="742"/>
        </w:tabs>
        <w:jc w:val="both"/>
      </w:pPr>
      <w:r>
        <w:t>Método subjetivo.</w:t>
      </w:r>
    </w:p>
    <w:p w14:paraId="55A53D66" w14:textId="77777777" w:rsidR="00467FCA" w:rsidRDefault="00467FCA">
      <w:pPr>
        <w:pStyle w:val="Textoindependiente"/>
        <w:rPr>
          <w:b/>
          <w:sz w:val="26"/>
        </w:rPr>
      </w:pPr>
    </w:p>
    <w:p w14:paraId="3F314C58"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Al</w:t>
      </w:r>
      <w:r>
        <w:rPr>
          <w:spacing w:val="-16"/>
          <w:sz w:val="20"/>
        </w:rPr>
        <w:t xml:space="preserve"> </w:t>
      </w:r>
      <w:r>
        <w:rPr>
          <w:sz w:val="20"/>
        </w:rPr>
        <w:t>intentar</w:t>
      </w:r>
      <w:r>
        <w:rPr>
          <w:spacing w:val="-16"/>
          <w:sz w:val="20"/>
        </w:rPr>
        <w:t xml:space="preserve"> </w:t>
      </w:r>
      <w:r>
        <w:rPr>
          <w:sz w:val="20"/>
        </w:rPr>
        <w:t>desentrañar</w:t>
      </w:r>
      <w:r>
        <w:rPr>
          <w:spacing w:val="-16"/>
          <w:sz w:val="20"/>
        </w:rPr>
        <w:t xml:space="preserve"> </w:t>
      </w:r>
      <w:r>
        <w:rPr>
          <w:sz w:val="20"/>
        </w:rPr>
        <w:t>la</w:t>
      </w:r>
      <w:r>
        <w:rPr>
          <w:spacing w:val="-15"/>
          <w:sz w:val="20"/>
        </w:rPr>
        <w:t xml:space="preserve"> </w:t>
      </w:r>
      <w:r>
        <w:rPr>
          <w:sz w:val="20"/>
        </w:rPr>
        <w:t>voluntad</w:t>
      </w:r>
      <w:r>
        <w:rPr>
          <w:spacing w:val="-15"/>
          <w:sz w:val="20"/>
        </w:rPr>
        <w:t xml:space="preserve"> </w:t>
      </w:r>
      <w:r>
        <w:rPr>
          <w:sz w:val="20"/>
        </w:rPr>
        <w:t>de</w:t>
      </w:r>
      <w:r>
        <w:rPr>
          <w:spacing w:val="-16"/>
          <w:sz w:val="20"/>
        </w:rPr>
        <w:t xml:space="preserve"> </w:t>
      </w:r>
      <w:r>
        <w:rPr>
          <w:sz w:val="20"/>
        </w:rPr>
        <w:t>los</w:t>
      </w:r>
      <w:r>
        <w:rPr>
          <w:spacing w:val="-16"/>
          <w:sz w:val="20"/>
        </w:rPr>
        <w:t xml:space="preserve"> </w:t>
      </w:r>
      <w:r>
        <w:rPr>
          <w:sz w:val="20"/>
        </w:rPr>
        <w:t>Estados</w:t>
      </w:r>
      <w:r>
        <w:rPr>
          <w:spacing w:val="-16"/>
          <w:sz w:val="20"/>
        </w:rPr>
        <w:t xml:space="preserve"> </w:t>
      </w:r>
      <w:r>
        <w:rPr>
          <w:sz w:val="20"/>
        </w:rPr>
        <w:t>Partes</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Convención</w:t>
      </w:r>
      <w:r>
        <w:rPr>
          <w:spacing w:val="-14"/>
          <w:sz w:val="20"/>
        </w:rPr>
        <w:t xml:space="preserve"> </w:t>
      </w:r>
      <w:r>
        <w:rPr>
          <w:sz w:val="20"/>
        </w:rPr>
        <w:t>respecto del artículo 26, resulta menester referirse, siempre conforme a lo previsto en la Convención de Viena, al contexto de los términos, por lo que se debe aludir al sistema consagrado en</w:t>
      </w:r>
      <w:r>
        <w:rPr>
          <w:spacing w:val="-43"/>
          <w:sz w:val="20"/>
        </w:rPr>
        <w:t xml:space="preserve"> </w:t>
      </w:r>
      <w:r>
        <w:rPr>
          <w:sz w:val="20"/>
        </w:rPr>
        <w:t>la Convención en el cual se inserta dicho artículo, lo que impor</w:t>
      </w:r>
      <w:r>
        <w:rPr>
          <w:sz w:val="20"/>
        </w:rPr>
        <w:t>ta</w:t>
      </w:r>
      <w:r>
        <w:rPr>
          <w:spacing w:val="-8"/>
          <w:sz w:val="20"/>
        </w:rPr>
        <w:t xml:space="preserve"> </w:t>
      </w:r>
      <w:r>
        <w:rPr>
          <w:sz w:val="20"/>
        </w:rPr>
        <w:t>que:</w:t>
      </w:r>
    </w:p>
    <w:p w14:paraId="614AA116" w14:textId="77777777" w:rsidR="00467FCA" w:rsidRDefault="00467FCA">
      <w:pPr>
        <w:spacing w:line="276" w:lineRule="auto"/>
        <w:jc w:val="both"/>
        <w:rPr>
          <w:sz w:val="20"/>
        </w:rPr>
        <w:sectPr w:rsidR="00467FCA">
          <w:pgSz w:w="12240" w:h="15840"/>
          <w:pgMar w:top="1340" w:right="1140" w:bottom="1200" w:left="960" w:header="0" w:footer="1002" w:gutter="0"/>
          <w:cols w:space="720"/>
        </w:sectPr>
      </w:pPr>
    </w:p>
    <w:p w14:paraId="0712B006" w14:textId="77777777" w:rsidR="00467FCA" w:rsidRDefault="001B68EB">
      <w:pPr>
        <w:pStyle w:val="Prrafodelista"/>
        <w:numPr>
          <w:ilvl w:val="0"/>
          <w:numId w:val="22"/>
        </w:numPr>
        <w:tabs>
          <w:tab w:val="left" w:pos="1013"/>
        </w:tabs>
        <w:spacing w:before="76" w:line="276" w:lineRule="auto"/>
        <w:ind w:right="395"/>
        <w:jc w:val="both"/>
        <w:rPr>
          <w:sz w:val="20"/>
        </w:rPr>
      </w:pPr>
      <w:r>
        <w:rPr>
          <w:sz w:val="20"/>
        </w:rPr>
        <w:t>dicho sistema está conformado por los deberes y derechos que dispone, los órganos encargados de garantizar su respeto y exigir su cumplimiento y disposiciones concernientes a la</w:t>
      </w:r>
      <w:r>
        <w:rPr>
          <w:spacing w:val="-2"/>
          <w:sz w:val="20"/>
        </w:rPr>
        <w:t xml:space="preserve"> </w:t>
      </w:r>
      <w:r>
        <w:rPr>
          <w:sz w:val="20"/>
        </w:rPr>
        <w:t>Convención</w:t>
      </w:r>
      <w:hyperlink w:anchor="_bookmark585" w:history="1">
        <w:r>
          <w:rPr>
            <w:position w:val="7"/>
            <w:sz w:val="13"/>
          </w:rPr>
          <w:t>37</w:t>
        </w:r>
      </w:hyperlink>
      <w:r>
        <w:rPr>
          <w:sz w:val="20"/>
        </w:rPr>
        <w:t>;</w:t>
      </w:r>
    </w:p>
    <w:p w14:paraId="72F78049" w14:textId="77777777" w:rsidR="00467FCA" w:rsidRDefault="00467FCA">
      <w:pPr>
        <w:pStyle w:val="Textoindependiente"/>
        <w:rPr>
          <w:sz w:val="23"/>
        </w:rPr>
      </w:pPr>
    </w:p>
    <w:p w14:paraId="1C0173DF" w14:textId="77777777" w:rsidR="00467FCA" w:rsidRDefault="001B68EB">
      <w:pPr>
        <w:pStyle w:val="Prrafodelista"/>
        <w:numPr>
          <w:ilvl w:val="0"/>
          <w:numId w:val="22"/>
        </w:numPr>
        <w:tabs>
          <w:tab w:val="left" w:pos="1013"/>
        </w:tabs>
        <w:spacing w:before="1" w:line="276" w:lineRule="auto"/>
        <w:ind w:right="395" w:hanging="271"/>
        <w:jc w:val="both"/>
        <w:rPr>
          <w:sz w:val="20"/>
        </w:rPr>
      </w:pPr>
      <w:r>
        <w:rPr>
          <w:sz w:val="20"/>
        </w:rPr>
        <w:t>en lo rel</w:t>
      </w:r>
      <w:r>
        <w:rPr>
          <w:sz w:val="20"/>
        </w:rPr>
        <w:t>ativo a los deberes, ellos son dos, a saber, la “</w:t>
      </w:r>
      <w:r>
        <w:rPr>
          <w:i/>
          <w:sz w:val="20"/>
        </w:rPr>
        <w:t>Obligación de Respetar los Derechos</w:t>
      </w:r>
      <w:r>
        <w:rPr>
          <w:sz w:val="20"/>
        </w:rPr>
        <w:t>”</w:t>
      </w:r>
      <w:hyperlink w:anchor="_bookmark586" w:history="1">
        <w:r>
          <w:rPr>
            <w:position w:val="7"/>
            <w:sz w:val="13"/>
          </w:rPr>
          <w:t>38</w:t>
        </w:r>
      </w:hyperlink>
      <w:r>
        <w:rPr>
          <w:position w:val="7"/>
          <w:sz w:val="13"/>
        </w:rPr>
        <w:t xml:space="preserve"> </w:t>
      </w:r>
      <w:r>
        <w:rPr>
          <w:sz w:val="20"/>
        </w:rPr>
        <w:t>y el “</w:t>
      </w:r>
      <w:r>
        <w:rPr>
          <w:i/>
          <w:sz w:val="20"/>
        </w:rPr>
        <w:t>Deber de Adoptar Disposiciones de Derecho Interno</w:t>
      </w:r>
      <w:r>
        <w:rPr>
          <w:sz w:val="20"/>
        </w:rPr>
        <w:t>”</w:t>
      </w:r>
      <w:hyperlink w:anchor="_bookmark587" w:history="1">
        <w:r>
          <w:rPr>
            <w:position w:val="7"/>
            <w:sz w:val="13"/>
          </w:rPr>
          <w:t>39</w:t>
        </w:r>
      </w:hyperlink>
      <w:r>
        <w:rPr>
          <w:position w:val="7"/>
          <w:sz w:val="13"/>
        </w:rPr>
        <w:t xml:space="preserve"> </w:t>
      </w:r>
      <w:r>
        <w:rPr>
          <w:sz w:val="20"/>
        </w:rPr>
        <w:t>y, en lo atinente a los derechos, ellos son los “</w:t>
      </w:r>
      <w:r>
        <w:rPr>
          <w:i/>
          <w:sz w:val="20"/>
        </w:rPr>
        <w:t>Derechos Civiles y Políticos</w:t>
      </w:r>
      <w:r>
        <w:rPr>
          <w:sz w:val="20"/>
        </w:rPr>
        <w:t>” y los “</w:t>
      </w:r>
      <w:r>
        <w:rPr>
          <w:i/>
          <w:sz w:val="20"/>
        </w:rPr>
        <w:t>Derechos Económicos, Sociales y Culturales</w:t>
      </w:r>
      <w:r>
        <w:rPr>
          <w:sz w:val="20"/>
        </w:rPr>
        <w:t>”</w:t>
      </w:r>
      <w:hyperlink w:anchor="_bookmark588" w:history="1">
        <w:r>
          <w:rPr>
            <w:position w:val="7"/>
            <w:sz w:val="13"/>
          </w:rPr>
          <w:t>40</w:t>
        </w:r>
      </w:hyperlink>
      <w:r>
        <w:rPr>
          <w:sz w:val="20"/>
        </w:rPr>
        <w:t>;</w:t>
      </w:r>
      <w:r>
        <w:rPr>
          <w:spacing w:val="-2"/>
          <w:sz w:val="20"/>
        </w:rPr>
        <w:t xml:space="preserve"> </w:t>
      </w:r>
      <w:r>
        <w:rPr>
          <w:sz w:val="20"/>
        </w:rPr>
        <w:t>y</w:t>
      </w:r>
    </w:p>
    <w:p w14:paraId="7EC6F585" w14:textId="77777777" w:rsidR="00467FCA" w:rsidRDefault="00467FCA">
      <w:pPr>
        <w:pStyle w:val="Textoindependiente"/>
        <w:spacing w:before="1"/>
        <w:rPr>
          <w:sz w:val="23"/>
        </w:rPr>
      </w:pPr>
    </w:p>
    <w:p w14:paraId="31C5E268" w14:textId="77777777" w:rsidR="00467FCA" w:rsidRDefault="001B68EB">
      <w:pPr>
        <w:pStyle w:val="Prrafodelista"/>
        <w:numPr>
          <w:ilvl w:val="0"/>
          <w:numId w:val="22"/>
        </w:numPr>
        <w:tabs>
          <w:tab w:val="left" w:pos="1013"/>
        </w:tabs>
        <w:spacing w:line="276" w:lineRule="auto"/>
        <w:ind w:right="397"/>
        <w:jc w:val="both"/>
        <w:rPr>
          <w:sz w:val="20"/>
        </w:rPr>
      </w:pPr>
      <w:r>
        <w:rPr>
          <w:sz w:val="20"/>
        </w:rPr>
        <w:t>en lo pertinente a los órganos, ellos son la Comisión, la Corte</w:t>
      </w:r>
      <w:hyperlink w:anchor="_bookmark589" w:history="1">
        <w:r>
          <w:rPr>
            <w:position w:val="7"/>
            <w:sz w:val="13"/>
          </w:rPr>
          <w:t>41</w:t>
        </w:r>
      </w:hyperlink>
      <w:r>
        <w:rPr>
          <w:position w:val="7"/>
          <w:sz w:val="13"/>
        </w:rPr>
        <w:t xml:space="preserve"> </w:t>
      </w:r>
      <w:r>
        <w:rPr>
          <w:sz w:val="20"/>
        </w:rPr>
        <w:t>y la Asamblea General de la OEA, correspondiéndole a la primera la promoción y defensa de los derechos humanos</w:t>
      </w:r>
      <w:hyperlink w:anchor="_bookmark590" w:history="1">
        <w:r>
          <w:rPr>
            <w:position w:val="7"/>
            <w:sz w:val="13"/>
          </w:rPr>
          <w:t>42</w:t>
        </w:r>
      </w:hyperlink>
      <w:r>
        <w:rPr>
          <w:sz w:val="20"/>
        </w:rPr>
        <w:t>, a la segunda, interpretar y aplicar la Convención</w:t>
      </w:r>
      <w:hyperlink w:anchor="_bookmark591" w:history="1">
        <w:r>
          <w:rPr>
            <w:position w:val="7"/>
            <w:sz w:val="13"/>
          </w:rPr>
          <w:t>43</w:t>
        </w:r>
      </w:hyperlink>
      <w:r>
        <w:rPr>
          <w:position w:val="7"/>
          <w:sz w:val="13"/>
        </w:rPr>
        <w:t xml:space="preserve"> </w:t>
      </w:r>
      <w:r>
        <w:rPr>
          <w:sz w:val="20"/>
        </w:rPr>
        <w:t xml:space="preserve">y a la tercera, </w:t>
      </w:r>
      <w:r>
        <w:rPr>
          <w:sz w:val="20"/>
        </w:rPr>
        <w:t>adoptar las medidas que correspondan para hacer cumplir el pertinente</w:t>
      </w:r>
      <w:r>
        <w:rPr>
          <w:spacing w:val="-11"/>
          <w:sz w:val="20"/>
        </w:rPr>
        <w:t xml:space="preserve"> </w:t>
      </w:r>
      <w:r>
        <w:rPr>
          <w:sz w:val="20"/>
        </w:rPr>
        <w:t>fallo</w:t>
      </w:r>
      <w:hyperlink w:anchor="_bookmark592" w:history="1">
        <w:r>
          <w:rPr>
            <w:position w:val="7"/>
            <w:sz w:val="13"/>
          </w:rPr>
          <w:t>44</w:t>
        </w:r>
      </w:hyperlink>
      <w:r>
        <w:rPr>
          <w:sz w:val="20"/>
        </w:rPr>
        <w:t>;</w:t>
      </w:r>
    </w:p>
    <w:p w14:paraId="0F8B89A0" w14:textId="77777777" w:rsidR="00467FCA" w:rsidRDefault="00467FCA">
      <w:pPr>
        <w:pStyle w:val="Textoindependiente"/>
        <w:spacing w:before="2"/>
        <w:rPr>
          <w:sz w:val="22"/>
        </w:rPr>
      </w:pPr>
    </w:p>
    <w:p w14:paraId="772B6A6E" w14:textId="77777777" w:rsidR="00467FCA" w:rsidRDefault="001B68EB">
      <w:pPr>
        <w:pStyle w:val="Prrafodelista"/>
        <w:numPr>
          <w:ilvl w:val="0"/>
          <w:numId w:val="25"/>
        </w:numPr>
        <w:tabs>
          <w:tab w:val="left" w:pos="1450"/>
        </w:tabs>
        <w:spacing w:line="276" w:lineRule="auto"/>
        <w:ind w:right="397" w:firstLine="0"/>
        <w:jc w:val="both"/>
        <w:rPr>
          <w:i/>
          <w:sz w:val="20"/>
        </w:rPr>
      </w:pPr>
      <w:r>
        <w:rPr>
          <w:sz w:val="20"/>
        </w:rPr>
        <w:t>De la interpretación armónica de esas normas, se puede colegir que a los Estados que han reconocido la competencia contenciosa de la Corte, únic</w:t>
      </w:r>
      <w:r>
        <w:rPr>
          <w:sz w:val="20"/>
        </w:rPr>
        <w:t>amente se les puede requerir,</w:t>
      </w:r>
      <w:r>
        <w:rPr>
          <w:spacing w:val="-9"/>
          <w:sz w:val="20"/>
        </w:rPr>
        <w:t xml:space="preserve"> </w:t>
      </w:r>
      <w:r>
        <w:rPr>
          <w:sz w:val="20"/>
        </w:rPr>
        <w:t>en</w:t>
      </w:r>
      <w:r>
        <w:rPr>
          <w:spacing w:val="-7"/>
          <w:sz w:val="20"/>
        </w:rPr>
        <w:t xml:space="preserve"> </w:t>
      </w:r>
      <w:r>
        <w:rPr>
          <w:sz w:val="20"/>
        </w:rPr>
        <w:t>cuanto</w:t>
      </w:r>
      <w:r>
        <w:rPr>
          <w:spacing w:val="-9"/>
          <w:sz w:val="20"/>
        </w:rPr>
        <w:t xml:space="preserve"> </w:t>
      </w:r>
      <w:r>
        <w:rPr>
          <w:sz w:val="20"/>
        </w:rPr>
        <w:t>al</w:t>
      </w:r>
      <w:r>
        <w:rPr>
          <w:spacing w:val="-7"/>
          <w:sz w:val="20"/>
        </w:rPr>
        <w:t xml:space="preserve"> </w:t>
      </w:r>
      <w:r>
        <w:rPr>
          <w:sz w:val="20"/>
        </w:rPr>
        <w:t>caso</w:t>
      </w:r>
      <w:r>
        <w:rPr>
          <w:spacing w:val="-9"/>
          <w:sz w:val="20"/>
        </w:rPr>
        <w:t xml:space="preserve"> </w:t>
      </w:r>
      <w:r>
        <w:rPr>
          <w:sz w:val="20"/>
        </w:rPr>
        <w:t>que</w:t>
      </w:r>
      <w:r>
        <w:rPr>
          <w:spacing w:val="-9"/>
          <w:sz w:val="20"/>
        </w:rPr>
        <w:t xml:space="preserve"> </w:t>
      </w:r>
      <w:r>
        <w:rPr>
          <w:sz w:val="20"/>
        </w:rPr>
        <w:t>le</w:t>
      </w:r>
      <w:r>
        <w:rPr>
          <w:spacing w:val="-9"/>
          <w:sz w:val="20"/>
        </w:rPr>
        <w:t xml:space="preserve"> </w:t>
      </w:r>
      <w:r>
        <w:rPr>
          <w:sz w:val="20"/>
        </w:rPr>
        <w:t>ha</w:t>
      </w:r>
      <w:r>
        <w:rPr>
          <w:spacing w:val="-8"/>
          <w:sz w:val="20"/>
        </w:rPr>
        <w:t xml:space="preserve"> </w:t>
      </w:r>
      <w:r>
        <w:rPr>
          <w:sz w:val="20"/>
        </w:rPr>
        <w:t>sido</w:t>
      </w:r>
      <w:r>
        <w:rPr>
          <w:spacing w:val="-9"/>
          <w:sz w:val="20"/>
        </w:rPr>
        <w:t xml:space="preserve"> </w:t>
      </w:r>
      <w:r>
        <w:rPr>
          <w:sz w:val="20"/>
        </w:rPr>
        <w:t>sometido</w:t>
      </w:r>
      <w:r>
        <w:rPr>
          <w:spacing w:val="-9"/>
          <w:sz w:val="20"/>
        </w:rPr>
        <w:t xml:space="preserve"> </w:t>
      </w:r>
      <w:r>
        <w:rPr>
          <w:sz w:val="20"/>
        </w:rPr>
        <w:t>a</w:t>
      </w:r>
      <w:r>
        <w:rPr>
          <w:spacing w:val="-8"/>
          <w:sz w:val="20"/>
        </w:rPr>
        <w:t xml:space="preserve"> </w:t>
      </w:r>
      <w:r>
        <w:rPr>
          <w:sz w:val="20"/>
        </w:rPr>
        <w:t>ésta,</w:t>
      </w:r>
      <w:r>
        <w:rPr>
          <w:spacing w:val="-6"/>
          <w:sz w:val="20"/>
        </w:rPr>
        <w:t xml:space="preserve"> </w:t>
      </w:r>
      <w:r>
        <w:rPr>
          <w:sz w:val="20"/>
        </w:rPr>
        <w:t>el</w:t>
      </w:r>
      <w:r>
        <w:rPr>
          <w:spacing w:val="-8"/>
          <w:sz w:val="20"/>
        </w:rPr>
        <w:t xml:space="preserve"> </w:t>
      </w:r>
      <w:r>
        <w:rPr>
          <w:sz w:val="20"/>
        </w:rPr>
        <w:t>debido</w:t>
      </w:r>
      <w:r>
        <w:rPr>
          <w:spacing w:val="-7"/>
          <w:sz w:val="20"/>
        </w:rPr>
        <w:t xml:space="preserve"> </w:t>
      </w:r>
      <w:r>
        <w:rPr>
          <w:sz w:val="20"/>
        </w:rPr>
        <w:t>respeto</w:t>
      </w:r>
      <w:r>
        <w:rPr>
          <w:spacing w:val="-9"/>
          <w:sz w:val="20"/>
        </w:rPr>
        <w:t xml:space="preserve"> </w:t>
      </w:r>
      <w:r>
        <w:rPr>
          <w:sz w:val="20"/>
        </w:rPr>
        <w:t>de</w:t>
      </w:r>
      <w:r>
        <w:rPr>
          <w:spacing w:val="-9"/>
          <w:sz w:val="20"/>
        </w:rPr>
        <w:t xml:space="preserve"> </w:t>
      </w:r>
      <w:r>
        <w:rPr>
          <w:sz w:val="20"/>
        </w:rPr>
        <w:t>los</w:t>
      </w:r>
      <w:r>
        <w:rPr>
          <w:spacing w:val="-9"/>
          <w:sz w:val="20"/>
        </w:rPr>
        <w:t xml:space="preserve"> </w:t>
      </w:r>
      <w:r>
        <w:rPr>
          <w:sz w:val="20"/>
        </w:rPr>
        <w:t>derechos civiles</w:t>
      </w:r>
      <w:r>
        <w:rPr>
          <w:spacing w:val="-19"/>
          <w:sz w:val="20"/>
        </w:rPr>
        <w:t xml:space="preserve"> </w:t>
      </w:r>
      <w:r>
        <w:rPr>
          <w:sz w:val="20"/>
        </w:rPr>
        <w:t>y</w:t>
      </w:r>
      <w:r>
        <w:rPr>
          <w:spacing w:val="-20"/>
          <w:sz w:val="20"/>
        </w:rPr>
        <w:t xml:space="preserve"> </w:t>
      </w:r>
      <w:r>
        <w:rPr>
          <w:sz w:val="20"/>
        </w:rPr>
        <w:t>políticos</w:t>
      </w:r>
      <w:r>
        <w:rPr>
          <w:spacing w:val="-20"/>
          <w:sz w:val="20"/>
        </w:rPr>
        <w:t xml:space="preserve"> </w:t>
      </w:r>
      <w:r>
        <w:rPr>
          <w:sz w:val="20"/>
        </w:rPr>
        <w:t>“</w:t>
      </w:r>
      <w:r>
        <w:rPr>
          <w:i/>
          <w:sz w:val="20"/>
        </w:rPr>
        <w:t>reconocidos”,</w:t>
      </w:r>
      <w:r>
        <w:rPr>
          <w:i/>
          <w:spacing w:val="-18"/>
          <w:sz w:val="20"/>
        </w:rPr>
        <w:t xml:space="preserve"> </w:t>
      </w:r>
      <w:r>
        <w:rPr>
          <w:i/>
          <w:sz w:val="20"/>
        </w:rPr>
        <w:t>“establecidos”,</w:t>
      </w:r>
      <w:r>
        <w:rPr>
          <w:i/>
          <w:spacing w:val="-19"/>
          <w:sz w:val="20"/>
        </w:rPr>
        <w:t xml:space="preserve"> </w:t>
      </w:r>
      <w:r>
        <w:rPr>
          <w:i/>
          <w:sz w:val="20"/>
        </w:rPr>
        <w:t>“garantizados”,</w:t>
      </w:r>
      <w:r>
        <w:rPr>
          <w:i/>
          <w:spacing w:val="-20"/>
          <w:sz w:val="20"/>
        </w:rPr>
        <w:t xml:space="preserve"> </w:t>
      </w:r>
      <w:r>
        <w:rPr>
          <w:i/>
          <w:sz w:val="20"/>
        </w:rPr>
        <w:t>“consagrados”</w:t>
      </w:r>
      <w:r>
        <w:rPr>
          <w:i/>
          <w:spacing w:val="-17"/>
          <w:sz w:val="20"/>
        </w:rPr>
        <w:t xml:space="preserve"> </w:t>
      </w:r>
      <w:r>
        <w:rPr>
          <w:i/>
          <w:sz w:val="20"/>
        </w:rPr>
        <w:t>o</w:t>
      </w:r>
      <w:r>
        <w:rPr>
          <w:i/>
          <w:spacing w:val="-20"/>
          <w:sz w:val="20"/>
        </w:rPr>
        <w:t xml:space="preserve"> </w:t>
      </w:r>
      <w:r>
        <w:rPr>
          <w:i/>
          <w:sz w:val="20"/>
        </w:rPr>
        <w:t>“protegidos</w:t>
      </w:r>
      <w:r>
        <w:rPr>
          <w:sz w:val="20"/>
        </w:rPr>
        <w:t>” por la Convención y además, siempre que eventualmente sea menester, la adopción, “</w:t>
      </w:r>
      <w:r>
        <w:rPr>
          <w:i/>
          <w:sz w:val="20"/>
        </w:rPr>
        <w:t xml:space="preserve">con arreglo a </w:t>
      </w:r>
      <w:r>
        <w:rPr>
          <w:sz w:val="20"/>
        </w:rPr>
        <w:t xml:space="preserve">(los) </w:t>
      </w:r>
      <w:r>
        <w:rPr>
          <w:i/>
          <w:sz w:val="20"/>
        </w:rPr>
        <w:t xml:space="preserve">procedimientos constitucionales </w:t>
      </w:r>
      <w:r>
        <w:rPr>
          <w:sz w:val="20"/>
        </w:rPr>
        <w:t xml:space="preserve">(del correspondiente Estado) </w:t>
      </w:r>
      <w:r>
        <w:rPr>
          <w:i/>
          <w:sz w:val="20"/>
        </w:rPr>
        <w:t xml:space="preserve">y a las disposiciones de </w:t>
      </w:r>
      <w:r>
        <w:rPr>
          <w:sz w:val="20"/>
        </w:rPr>
        <w:t>(aquella</w:t>
      </w:r>
      <w:r>
        <w:rPr>
          <w:i/>
          <w:sz w:val="20"/>
        </w:rPr>
        <w:t>) […], las medidas legislativas o de otro carácter que fue</w:t>
      </w:r>
      <w:r>
        <w:rPr>
          <w:i/>
          <w:sz w:val="20"/>
        </w:rPr>
        <w:t>ren necesarias para hacer efectivos tales derechos y</w:t>
      </w:r>
      <w:r>
        <w:rPr>
          <w:i/>
          <w:spacing w:val="-6"/>
          <w:sz w:val="20"/>
        </w:rPr>
        <w:t xml:space="preserve"> </w:t>
      </w:r>
      <w:r>
        <w:rPr>
          <w:i/>
          <w:sz w:val="20"/>
        </w:rPr>
        <w:t>libertades”.</w:t>
      </w:r>
    </w:p>
    <w:p w14:paraId="579EFDB6" w14:textId="77777777" w:rsidR="00467FCA" w:rsidRDefault="00467FCA">
      <w:pPr>
        <w:pStyle w:val="Textoindependiente"/>
        <w:rPr>
          <w:i/>
          <w:sz w:val="23"/>
        </w:rPr>
      </w:pPr>
    </w:p>
    <w:p w14:paraId="097823C9"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En cambio, respecto de los derechos “</w:t>
      </w:r>
      <w:r>
        <w:rPr>
          <w:i/>
          <w:sz w:val="20"/>
        </w:rPr>
        <w:t>que se derivan de las normas económicas, sociales</w:t>
      </w:r>
      <w:r>
        <w:rPr>
          <w:i/>
          <w:spacing w:val="-5"/>
          <w:sz w:val="20"/>
        </w:rPr>
        <w:t xml:space="preserve"> </w:t>
      </w:r>
      <w:r>
        <w:rPr>
          <w:i/>
          <w:sz w:val="20"/>
        </w:rPr>
        <w:t>y</w:t>
      </w:r>
      <w:r>
        <w:rPr>
          <w:i/>
          <w:spacing w:val="-6"/>
          <w:sz w:val="20"/>
        </w:rPr>
        <w:t xml:space="preserve"> </w:t>
      </w:r>
      <w:r>
        <w:rPr>
          <w:i/>
          <w:sz w:val="20"/>
        </w:rPr>
        <w:t>sobre</w:t>
      </w:r>
      <w:r>
        <w:rPr>
          <w:i/>
          <w:spacing w:val="-4"/>
          <w:sz w:val="20"/>
        </w:rPr>
        <w:t xml:space="preserve"> </w:t>
      </w:r>
      <w:r>
        <w:rPr>
          <w:i/>
          <w:sz w:val="20"/>
        </w:rPr>
        <w:t>educación,</w:t>
      </w:r>
      <w:r>
        <w:rPr>
          <w:i/>
          <w:spacing w:val="-6"/>
          <w:sz w:val="20"/>
        </w:rPr>
        <w:t xml:space="preserve"> </w:t>
      </w:r>
      <w:r>
        <w:rPr>
          <w:i/>
          <w:sz w:val="20"/>
        </w:rPr>
        <w:t>ciencia</w:t>
      </w:r>
      <w:r>
        <w:rPr>
          <w:i/>
          <w:spacing w:val="-5"/>
          <w:sz w:val="20"/>
        </w:rPr>
        <w:t xml:space="preserve"> </w:t>
      </w:r>
      <w:r>
        <w:rPr>
          <w:i/>
          <w:sz w:val="20"/>
        </w:rPr>
        <w:t>y</w:t>
      </w:r>
      <w:r>
        <w:rPr>
          <w:i/>
          <w:spacing w:val="-3"/>
          <w:sz w:val="20"/>
        </w:rPr>
        <w:t xml:space="preserve"> </w:t>
      </w:r>
      <w:r>
        <w:rPr>
          <w:i/>
          <w:sz w:val="20"/>
        </w:rPr>
        <w:t>cultura,</w:t>
      </w:r>
      <w:r>
        <w:rPr>
          <w:i/>
          <w:spacing w:val="-4"/>
          <w:sz w:val="20"/>
        </w:rPr>
        <w:t xml:space="preserve"> </w:t>
      </w:r>
      <w:r>
        <w:rPr>
          <w:i/>
          <w:sz w:val="20"/>
        </w:rPr>
        <w:t>contenidas</w:t>
      </w:r>
      <w:r>
        <w:rPr>
          <w:i/>
          <w:spacing w:val="-6"/>
          <w:sz w:val="20"/>
        </w:rPr>
        <w:t xml:space="preserve"> </w:t>
      </w:r>
      <w:r>
        <w:rPr>
          <w:i/>
          <w:sz w:val="20"/>
        </w:rPr>
        <w:t>en</w:t>
      </w:r>
      <w:r>
        <w:rPr>
          <w:i/>
          <w:spacing w:val="-4"/>
          <w:sz w:val="20"/>
        </w:rPr>
        <w:t xml:space="preserve"> </w:t>
      </w:r>
      <w:r>
        <w:rPr>
          <w:i/>
          <w:sz w:val="20"/>
        </w:rPr>
        <w:t>la</w:t>
      </w:r>
      <w:r>
        <w:rPr>
          <w:i/>
          <w:spacing w:val="-5"/>
          <w:sz w:val="20"/>
        </w:rPr>
        <w:t xml:space="preserve"> </w:t>
      </w:r>
      <w:r>
        <w:rPr>
          <w:i/>
          <w:sz w:val="20"/>
        </w:rPr>
        <w:t>Carta</w:t>
      </w:r>
      <w:r>
        <w:rPr>
          <w:i/>
          <w:spacing w:val="-5"/>
          <w:sz w:val="20"/>
        </w:rPr>
        <w:t xml:space="preserve"> </w:t>
      </w:r>
      <w:r>
        <w:rPr>
          <w:i/>
          <w:sz w:val="20"/>
        </w:rPr>
        <w:t>de</w:t>
      </w:r>
      <w:r>
        <w:rPr>
          <w:i/>
          <w:spacing w:val="-4"/>
          <w:sz w:val="20"/>
        </w:rPr>
        <w:t xml:space="preserve"> </w:t>
      </w:r>
      <w:r>
        <w:rPr>
          <w:i/>
          <w:sz w:val="20"/>
        </w:rPr>
        <w:t>la”</w:t>
      </w:r>
      <w:r>
        <w:rPr>
          <w:i/>
          <w:spacing w:val="-6"/>
          <w:sz w:val="20"/>
        </w:rPr>
        <w:t xml:space="preserve"> </w:t>
      </w:r>
      <w:r>
        <w:rPr>
          <w:sz w:val="20"/>
        </w:rPr>
        <w:t>OEA,</w:t>
      </w:r>
      <w:r>
        <w:rPr>
          <w:spacing w:val="-6"/>
          <w:sz w:val="20"/>
        </w:rPr>
        <w:t xml:space="preserve"> </w:t>
      </w:r>
      <w:r>
        <w:rPr>
          <w:sz w:val="20"/>
        </w:rPr>
        <w:t>únicamente se</w:t>
      </w:r>
      <w:r>
        <w:rPr>
          <w:spacing w:val="-10"/>
          <w:sz w:val="20"/>
        </w:rPr>
        <w:t xml:space="preserve"> </w:t>
      </w:r>
      <w:r>
        <w:rPr>
          <w:sz w:val="20"/>
        </w:rPr>
        <w:t>puede</w:t>
      </w:r>
      <w:r>
        <w:rPr>
          <w:spacing w:val="-7"/>
          <w:sz w:val="20"/>
        </w:rPr>
        <w:t xml:space="preserve"> </w:t>
      </w:r>
      <w:r>
        <w:rPr>
          <w:sz w:val="20"/>
        </w:rPr>
        <w:t>requerir</w:t>
      </w:r>
      <w:r>
        <w:rPr>
          <w:spacing w:val="-9"/>
          <w:sz w:val="20"/>
        </w:rPr>
        <w:t xml:space="preserve"> </w:t>
      </w:r>
      <w:r>
        <w:rPr>
          <w:sz w:val="20"/>
        </w:rPr>
        <w:t>de</w:t>
      </w:r>
      <w:r>
        <w:rPr>
          <w:spacing w:val="-9"/>
          <w:sz w:val="20"/>
        </w:rPr>
        <w:t xml:space="preserve"> </w:t>
      </w:r>
      <w:r>
        <w:rPr>
          <w:sz w:val="20"/>
        </w:rPr>
        <w:t>los</w:t>
      </w:r>
      <w:r>
        <w:rPr>
          <w:spacing w:val="-6"/>
          <w:sz w:val="20"/>
        </w:rPr>
        <w:t xml:space="preserve"> </w:t>
      </w:r>
      <w:r>
        <w:rPr>
          <w:sz w:val="20"/>
        </w:rPr>
        <w:t>Estados</w:t>
      </w:r>
      <w:r>
        <w:rPr>
          <w:spacing w:val="-9"/>
          <w:sz w:val="20"/>
        </w:rPr>
        <w:t xml:space="preserve"> </w:t>
      </w:r>
      <w:r>
        <w:rPr>
          <w:sz w:val="20"/>
        </w:rPr>
        <w:t>la</w:t>
      </w:r>
      <w:r>
        <w:rPr>
          <w:spacing w:val="-8"/>
          <w:sz w:val="20"/>
        </w:rPr>
        <w:t xml:space="preserve"> </w:t>
      </w:r>
      <w:r>
        <w:rPr>
          <w:sz w:val="20"/>
        </w:rPr>
        <w:t>adopción</w:t>
      </w:r>
      <w:r>
        <w:rPr>
          <w:spacing w:val="-8"/>
          <w:sz w:val="20"/>
        </w:rPr>
        <w:t xml:space="preserve"> </w:t>
      </w:r>
      <w:r>
        <w:rPr>
          <w:sz w:val="20"/>
        </w:rPr>
        <w:t>“</w:t>
      </w:r>
      <w:r>
        <w:rPr>
          <w:i/>
          <w:sz w:val="20"/>
        </w:rPr>
        <w:t>por</w:t>
      </w:r>
      <w:r>
        <w:rPr>
          <w:i/>
          <w:spacing w:val="-9"/>
          <w:sz w:val="20"/>
        </w:rPr>
        <w:t xml:space="preserve"> </w:t>
      </w:r>
      <w:r>
        <w:rPr>
          <w:i/>
          <w:sz w:val="20"/>
        </w:rPr>
        <w:t>vía</w:t>
      </w:r>
      <w:r>
        <w:rPr>
          <w:i/>
          <w:spacing w:val="-8"/>
          <w:sz w:val="20"/>
        </w:rPr>
        <w:t xml:space="preserve"> </w:t>
      </w:r>
      <w:r>
        <w:rPr>
          <w:i/>
          <w:sz w:val="20"/>
        </w:rPr>
        <w:t>legislativa</w:t>
      </w:r>
      <w:r>
        <w:rPr>
          <w:i/>
          <w:spacing w:val="-8"/>
          <w:sz w:val="20"/>
        </w:rPr>
        <w:t xml:space="preserve"> </w:t>
      </w:r>
      <w:r>
        <w:rPr>
          <w:i/>
          <w:sz w:val="20"/>
        </w:rPr>
        <w:t>u</w:t>
      </w:r>
      <w:r>
        <w:rPr>
          <w:i/>
          <w:spacing w:val="-7"/>
          <w:sz w:val="20"/>
        </w:rPr>
        <w:t xml:space="preserve"> </w:t>
      </w:r>
      <w:r>
        <w:rPr>
          <w:i/>
          <w:sz w:val="20"/>
        </w:rPr>
        <w:t>otros</w:t>
      </w:r>
      <w:r>
        <w:rPr>
          <w:i/>
          <w:spacing w:val="-6"/>
          <w:sz w:val="20"/>
        </w:rPr>
        <w:t xml:space="preserve"> </w:t>
      </w:r>
      <w:r>
        <w:rPr>
          <w:i/>
          <w:sz w:val="20"/>
        </w:rPr>
        <w:t>medios</w:t>
      </w:r>
      <w:r>
        <w:rPr>
          <w:i/>
          <w:spacing w:val="-9"/>
          <w:sz w:val="20"/>
        </w:rPr>
        <w:t xml:space="preserve"> </w:t>
      </w:r>
      <w:r>
        <w:rPr>
          <w:i/>
          <w:sz w:val="20"/>
        </w:rPr>
        <w:t>apropiados</w:t>
      </w:r>
      <w:r>
        <w:rPr>
          <w:sz w:val="20"/>
        </w:rPr>
        <w:t>”, de “</w:t>
      </w:r>
      <w:r>
        <w:rPr>
          <w:i/>
          <w:sz w:val="20"/>
        </w:rPr>
        <w:t>providencias, tanto a nivel interno como mediante la cooperación internacional, especialmente económica y técnica, para lograr progresivamente la plena efectividad</w:t>
      </w:r>
      <w:r>
        <w:rPr>
          <w:sz w:val="20"/>
        </w:rPr>
        <w:t>” de</w:t>
      </w:r>
      <w:r>
        <w:rPr>
          <w:sz w:val="20"/>
        </w:rPr>
        <w:t xml:space="preserve"> aquellos y ello “</w:t>
      </w:r>
      <w:r>
        <w:rPr>
          <w:i/>
          <w:sz w:val="20"/>
        </w:rPr>
        <w:t>en la medida de los recursos</w:t>
      </w:r>
      <w:r>
        <w:rPr>
          <w:i/>
          <w:spacing w:val="-3"/>
          <w:sz w:val="20"/>
        </w:rPr>
        <w:t xml:space="preserve"> </w:t>
      </w:r>
      <w:r>
        <w:rPr>
          <w:i/>
          <w:sz w:val="20"/>
        </w:rPr>
        <w:t>disponibles</w:t>
      </w:r>
      <w:r>
        <w:rPr>
          <w:sz w:val="20"/>
        </w:rPr>
        <w:t>”.</w:t>
      </w:r>
    </w:p>
    <w:p w14:paraId="61018260" w14:textId="77777777" w:rsidR="00467FCA" w:rsidRDefault="00467FCA">
      <w:pPr>
        <w:pStyle w:val="Textoindependiente"/>
      </w:pPr>
    </w:p>
    <w:p w14:paraId="11F38B19" w14:textId="77777777" w:rsidR="00467FCA" w:rsidRDefault="001B68EB">
      <w:pPr>
        <w:pStyle w:val="Textoindependiente"/>
        <w:spacing w:before="1"/>
        <w:rPr>
          <w:sz w:val="19"/>
        </w:rPr>
      </w:pPr>
      <w:r>
        <w:pict w14:anchorId="2C0DAB29">
          <v:shape id="_x0000_s1096" style="position:absolute;margin-left:56.75pt;margin-top:14pt;width:2in;height:.1pt;z-index:-251555840;mso-wrap-distance-left:0;mso-wrap-distance-right:0;mso-position-horizontal-relative:page" coordorigin="1135,280" coordsize="2880,0" path="m1135,280r2880,e" filled="f" strokeweight=".72pt">
            <v:path arrowok="t"/>
            <w10:wrap type="topAndBottom" anchorx="page"/>
          </v:shape>
        </w:pict>
      </w:r>
    </w:p>
    <w:p w14:paraId="472BF8FA" w14:textId="77777777" w:rsidR="00467FCA" w:rsidRDefault="001B68EB">
      <w:pPr>
        <w:spacing w:before="71"/>
        <w:ind w:left="470"/>
        <w:rPr>
          <w:sz w:val="16"/>
        </w:rPr>
      </w:pPr>
      <w:bookmarkStart w:id="664" w:name="_bookmark585"/>
      <w:bookmarkEnd w:id="664"/>
      <w:r>
        <w:rPr>
          <w:position w:val="6"/>
          <w:sz w:val="10"/>
        </w:rPr>
        <w:t xml:space="preserve">37 </w:t>
      </w:r>
      <w:r>
        <w:rPr>
          <w:sz w:val="16"/>
        </w:rPr>
        <w:t>“</w:t>
      </w:r>
      <w:r>
        <w:rPr>
          <w:i/>
          <w:sz w:val="16"/>
        </w:rPr>
        <w:t>Parte III, “Disposiciones generales y transitorias</w:t>
      </w:r>
      <w:r>
        <w:rPr>
          <w:sz w:val="16"/>
        </w:rPr>
        <w:t>”.</w:t>
      </w:r>
    </w:p>
    <w:p w14:paraId="7CFB5FD0" w14:textId="77777777" w:rsidR="00467FCA" w:rsidRDefault="001B68EB">
      <w:pPr>
        <w:ind w:left="470"/>
        <w:rPr>
          <w:sz w:val="16"/>
        </w:rPr>
      </w:pPr>
      <w:bookmarkStart w:id="665" w:name="_bookmark586"/>
      <w:bookmarkEnd w:id="665"/>
      <w:r>
        <w:rPr>
          <w:position w:val="6"/>
          <w:sz w:val="10"/>
        </w:rPr>
        <w:t xml:space="preserve">38 </w:t>
      </w:r>
      <w:r>
        <w:rPr>
          <w:i/>
          <w:sz w:val="16"/>
        </w:rPr>
        <w:t>Supra</w:t>
      </w:r>
      <w:r>
        <w:rPr>
          <w:sz w:val="16"/>
        </w:rPr>
        <w:t>, Nota N° 29, Art. 1.1.</w:t>
      </w:r>
    </w:p>
    <w:p w14:paraId="5297BC53" w14:textId="77777777" w:rsidR="00467FCA" w:rsidRDefault="001B68EB">
      <w:pPr>
        <w:ind w:left="470"/>
        <w:rPr>
          <w:sz w:val="16"/>
        </w:rPr>
      </w:pPr>
      <w:bookmarkStart w:id="666" w:name="_bookmark587"/>
      <w:bookmarkEnd w:id="666"/>
      <w:r>
        <w:rPr>
          <w:position w:val="6"/>
          <w:sz w:val="10"/>
        </w:rPr>
        <w:t xml:space="preserve">39 </w:t>
      </w:r>
      <w:r>
        <w:rPr>
          <w:sz w:val="16"/>
        </w:rPr>
        <w:t>Supra, Nota N° 21.</w:t>
      </w:r>
    </w:p>
    <w:p w14:paraId="2220AF78" w14:textId="77777777" w:rsidR="00467FCA" w:rsidRDefault="001B68EB">
      <w:pPr>
        <w:ind w:left="470" w:right="393"/>
        <w:jc w:val="both"/>
        <w:rPr>
          <w:sz w:val="16"/>
        </w:rPr>
      </w:pPr>
      <w:bookmarkStart w:id="667" w:name="_bookmark588"/>
      <w:bookmarkEnd w:id="667"/>
      <w:r>
        <w:rPr>
          <w:position w:val="6"/>
          <w:sz w:val="10"/>
        </w:rPr>
        <w:t xml:space="preserve">40 </w:t>
      </w:r>
      <w:r>
        <w:rPr>
          <w:sz w:val="16"/>
        </w:rPr>
        <w:t>Parte I, Capítulo II, arts. 3 a 25. Derecho al reconocimiento de la personalidad jurídica (art. 3), Derecho a la vida</w:t>
      </w:r>
      <w:r>
        <w:rPr>
          <w:spacing w:val="-14"/>
          <w:sz w:val="16"/>
        </w:rPr>
        <w:t xml:space="preserve"> </w:t>
      </w:r>
      <w:r>
        <w:rPr>
          <w:sz w:val="16"/>
        </w:rPr>
        <w:t>(art.</w:t>
      </w:r>
      <w:r>
        <w:rPr>
          <w:spacing w:val="-16"/>
          <w:sz w:val="16"/>
        </w:rPr>
        <w:t xml:space="preserve"> </w:t>
      </w:r>
      <w:r>
        <w:rPr>
          <w:sz w:val="16"/>
        </w:rPr>
        <w:t>4),</w:t>
      </w:r>
      <w:r>
        <w:rPr>
          <w:spacing w:val="-13"/>
          <w:sz w:val="16"/>
        </w:rPr>
        <w:t xml:space="preserve"> </w:t>
      </w:r>
      <w:r>
        <w:rPr>
          <w:sz w:val="16"/>
        </w:rPr>
        <w:t>Derecho</w:t>
      </w:r>
      <w:r>
        <w:rPr>
          <w:spacing w:val="-11"/>
          <w:sz w:val="16"/>
        </w:rPr>
        <w:t xml:space="preserve"> </w:t>
      </w:r>
      <w:r>
        <w:rPr>
          <w:sz w:val="16"/>
        </w:rPr>
        <w:t>a</w:t>
      </w:r>
      <w:r>
        <w:rPr>
          <w:spacing w:val="-16"/>
          <w:sz w:val="16"/>
        </w:rPr>
        <w:t xml:space="preserve"> </w:t>
      </w:r>
      <w:r>
        <w:rPr>
          <w:sz w:val="16"/>
        </w:rPr>
        <w:t>la</w:t>
      </w:r>
      <w:r>
        <w:rPr>
          <w:spacing w:val="-13"/>
          <w:sz w:val="16"/>
        </w:rPr>
        <w:t xml:space="preserve"> </w:t>
      </w:r>
      <w:r>
        <w:rPr>
          <w:sz w:val="16"/>
        </w:rPr>
        <w:t>integridad</w:t>
      </w:r>
      <w:r>
        <w:rPr>
          <w:spacing w:val="-11"/>
          <w:sz w:val="16"/>
        </w:rPr>
        <w:t xml:space="preserve"> </w:t>
      </w:r>
      <w:r>
        <w:rPr>
          <w:sz w:val="16"/>
        </w:rPr>
        <w:t>personal</w:t>
      </w:r>
      <w:r>
        <w:rPr>
          <w:spacing w:val="-13"/>
          <w:sz w:val="16"/>
        </w:rPr>
        <w:t xml:space="preserve"> </w:t>
      </w:r>
      <w:r>
        <w:rPr>
          <w:sz w:val="16"/>
        </w:rPr>
        <w:t>(art.</w:t>
      </w:r>
      <w:r>
        <w:rPr>
          <w:spacing w:val="-17"/>
          <w:sz w:val="16"/>
        </w:rPr>
        <w:t xml:space="preserve"> </w:t>
      </w:r>
      <w:r>
        <w:rPr>
          <w:sz w:val="16"/>
        </w:rPr>
        <w:t>5),</w:t>
      </w:r>
      <w:r>
        <w:rPr>
          <w:spacing w:val="-13"/>
          <w:sz w:val="16"/>
        </w:rPr>
        <w:t xml:space="preserve"> </w:t>
      </w:r>
      <w:r>
        <w:rPr>
          <w:sz w:val="16"/>
        </w:rPr>
        <w:t>Prohibición</w:t>
      </w:r>
      <w:r>
        <w:rPr>
          <w:spacing w:val="-13"/>
          <w:sz w:val="16"/>
        </w:rPr>
        <w:t xml:space="preserve"> </w:t>
      </w:r>
      <w:r>
        <w:rPr>
          <w:sz w:val="16"/>
        </w:rPr>
        <w:t>de</w:t>
      </w:r>
      <w:r>
        <w:rPr>
          <w:spacing w:val="-12"/>
          <w:sz w:val="16"/>
        </w:rPr>
        <w:t xml:space="preserve"> </w:t>
      </w:r>
      <w:r>
        <w:rPr>
          <w:sz w:val="16"/>
        </w:rPr>
        <w:t>la</w:t>
      </w:r>
      <w:r>
        <w:rPr>
          <w:spacing w:val="-14"/>
          <w:sz w:val="16"/>
        </w:rPr>
        <w:t xml:space="preserve"> </w:t>
      </w:r>
      <w:r>
        <w:rPr>
          <w:sz w:val="16"/>
        </w:rPr>
        <w:t>esclavitud</w:t>
      </w:r>
      <w:r>
        <w:rPr>
          <w:spacing w:val="-14"/>
          <w:sz w:val="16"/>
        </w:rPr>
        <w:t xml:space="preserve"> </w:t>
      </w:r>
      <w:r>
        <w:rPr>
          <w:sz w:val="16"/>
        </w:rPr>
        <w:t>y</w:t>
      </w:r>
      <w:r>
        <w:rPr>
          <w:spacing w:val="-11"/>
          <w:sz w:val="16"/>
        </w:rPr>
        <w:t xml:space="preserve"> </w:t>
      </w:r>
      <w:r>
        <w:rPr>
          <w:sz w:val="16"/>
        </w:rPr>
        <w:t>la</w:t>
      </w:r>
      <w:r>
        <w:rPr>
          <w:spacing w:val="-15"/>
          <w:sz w:val="16"/>
        </w:rPr>
        <w:t xml:space="preserve"> </w:t>
      </w:r>
      <w:r>
        <w:rPr>
          <w:sz w:val="16"/>
        </w:rPr>
        <w:t>servidumbre</w:t>
      </w:r>
      <w:r>
        <w:rPr>
          <w:spacing w:val="-15"/>
          <w:sz w:val="16"/>
        </w:rPr>
        <w:t xml:space="preserve"> </w:t>
      </w:r>
      <w:r>
        <w:rPr>
          <w:sz w:val="16"/>
        </w:rPr>
        <w:t>(art.</w:t>
      </w:r>
      <w:r>
        <w:rPr>
          <w:spacing w:val="-16"/>
          <w:sz w:val="16"/>
        </w:rPr>
        <w:t xml:space="preserve"> </w:t>
      </w:r>
      <w:r>
        <w:rPr>
          <w:sz w:val="16"/>
        </w:rPr>
        <w:t>6),</w:t>
      </w:r>
      <w:r>
        <w:rPr>
          <w:spacing w:val="-13"/>
          <w:sz w:val="16"/>
        </w:rPr>
        <w:t xml:space="preserve"> </w:t>
      </w:r>
      <w:r>
        <w:rPr>
          <w:sz w:val="16"/>
        </w:rPr>
        <w:t>Derecho a</w:t>
      </w:r>
      <w:r>
        <w:rPr>
          <w:spacing w:val="-14"/>
          <w:sz w:val="16"/>
        </w:rPr>
        <w:t xml:space="preserve"> </w:t>
      </w:r>
      <w:r>
        <w:rPr>
          <w:sz w:val="16"/>
        </w:rPr>
        <w:t>la</w:t>
      </w:r>
      <w:r>
        <w:rPr>
          <w:spacing w:val="-14"/>
          <w:sz w:val="16"/>
        </w:rPr>
        <w:t xml:space="preserve"> </w:t>
      </w:r>
      <w:r>
        <w:rPr>
          <w:sz w:val="16"/>
        </w:rPr>
        <w:t>libertad</w:t>
      </w:r>
      <w:r>
        <w:rPr>
          <w:spacing w:val="-15"/>
          <w:sz w:val="16"/>
        </w:rPr>
        <w:t xml:space="preserve"> </w:t>
      </w:r>
      <w:r>
        <w:rPr>
          <w:sz w:val="16"/>
        </w:rPr>
        <w:t>persona</w:t>
      </w:r>
      <w:r>
        <w:rPr>
          <w:sz w:val="16"/>
        </w:rPr>
        <w:t>l</w:t>
      </w:r>
      <w:r>
        <w:rPr>
          <w:spacing w:val="-14"/>
          <w:sz w:val="16"/>
        </w:rPr>
        <w:t xml:space="preserve"> </w:t>
      </w:r>
      <w:r>
        <w:rPr>
          <w:sz w:val="16"/>
        </w:rPr>
        <w:t>(art.</w:t>
      </w:r>
      <w:r>
        <w:rPr>
          <w:spacing w:val="-16"/>
          <w:sz w:val="16"/>
        </w:rPr>
        <w:t xml:space="preserve"> </w:t>
      </w:r>
      <w:r>
        <w:rPr>
          <w:sz w:val="16"/>
        </w:rPr>
        <w:t>7),</w:t>
      </w:r>
      <w:r>
        <w:rPr>
          <w:spacing w:val="-17"/>
          <w:sz w:val="16"/>
        </w:rPr>
        <w:t xml:space="preserve"> </w:t>
      </w:r>
      <w:r>
        <w:rPr>
          <w:sz w:val="16"/>
        </w:rPr>
        <w:t>Garantías</w:t>
      </w:r>
      <w:r>
        <w:rPr>
          <w:spacing w:val="-13"/>
          <w:sz w:val="16"/>
        </w:rPr>
        <w:t xml:space="preserve"> </w:t>
      </w:r>
      <w:r>
        <w:rPr>
          <w:sz w:val="16"/>
        </w:rPr>
        <w:t>judiciales</w:t>
      </w:r>
      <w:r>
        <w:rPr>
          <w:spacing w:val="-15"/>
          <w:sz w:val="16"/>
        </w:rPr>
        <w:t xml:space="preserve"> </w:t>
      </w:r>
      <w:r>
        <w:rPr>
          <w:sz w:val="16"/>
        </w:rPr>
        <w:t>(art.</w:t>
      </w:r>
      <w:r>
        <w:rPr>
          <w:spacing w:val="-16"/>
          <w:sz w:val="16"/>
        </w:rPr>
        <w:t xml:space="preserve"> </w:t>
      </w:r>
      <w:r>
        <w:rPr>
          <w:sz w:val="16"/>
        </w:rPr>
        <w:t>8),</w:t>
      </w:r>
      <w:r>
        <w:rPr>
          <w:spacing w:val="-14"/>
          <w:sz w:val="16"/>
        </w:rPr>
        <w:t xml:space="preserve"> </w:t>
      </w:r>
      <w:r>
        <w:rPr>
          <w:sz w:val="16"/>
        </w:rPr>
        <w:t>Principio</w:t>
      </w:r>
      <w:r>
        <w:rPr>
          <w:spacing w:val="-12"/>
          <w:sz w:val="16"/>
        </w:rPr>
        <w:t xml:space="preserve"> </w:t>
      </w:r>
      <w:r>
        <w:rPr>
          <w:sz w:val="16"/>
        </w:rPr>
        <w:t>de</w:t>
      </w:r>
      <w:r>
        <w:rPr>
          <w:spacing w:val="-13"/>
          <w:sz w:val="16"/>
        </w:rPr>
        <w:t xml:space="preserve"> </w:t>
      </w:r>
      <w:r>
        <w:rPr>
          <w:sz w:val="16"/>
        </w:rPr>
        <w:t>legalidad</w:t>
      </w:r>
      <w:r>
        <w:rPr>
          <w:spacing w:val="-14"/>
          <w:sz w:val="16"/>
        </w:rPr>
        <w:t xml:space="preserve"> </w:t>
      </w:r>
      <w:r>
        <w:rPr>
          <w:sz w:val="16"/>
        </w:rPr>
        <w:t>y</w:t>
      </w:r>
      <w:r>
        <w:rPr>
          <w:spacing w:val="-15"/>
          <w:sz w:val="16"/>
        </w:rPr>
        <w:t xml:space="preserve"> </w:t>
      </w:r>
      <w:r>
        <w:rPr>
          <w:sz w:val="16"/>
        </w:rPr>
        <w:t>de</w:t>
      </w:r>
      <w:r>
        <w:rPr>
          <w:spacing w:val="-15"/>
          <w:sz w:val="16"/>
        </w:rPr>
        <w:t xml:space="preserve"> </w:t>
      </w:r>
      <w:r>
        <w:rPr>
          <w:sz w:val="16"/>
        </w:rPr>
        <w:t>retroactividad</w:t>
      </w:r>
      <w:r>
        <w:rPr>
          <w:spacing w:val="-15"/>
          <w:sz w:val="16"/>
        </w:rPr>
        <w:t xml:space="preserve"> </w:t>
      </w:r>
      <w:r>
        <w:rPr>
          <w:sz w:val="16"/>
        </w:rPr>
        <w:t>(art.</w:t>
      </w:r>
      <w:r>
        <w:rPr>
          <w:spacing w:val="-16"/>
          <w:sz w:val="16"/>
        </w:rPr>
        <w:t xml:space="preserve"> </w:t>
      </w:r>
      <w:r>
        <w:rPr>
          <w:sz w:val="16"/>
        </w:rPr>
        <w:t>9),</w:t>
      </w:r>
      <w:r>
        <w:rPr>
          <w:spacing w:val="-14"/>
          <w:sz w:val="16"/>
        </w:rPr>
        <w:t xml:space="preserve"> </w:t>
      </w:r>
      <w:r>
        <w:rPr>
          <w:sz w:val="16"/>
        </w:rPr>
        <w:t>Derecho a indemnización (art. 10), Protección de la honra y de la dignidad (art. 11), Libertad de conciencia y de religión (art.</w:t>
      </w:r>
      <w:r>
        <w:rPr>
          <w:spacing w:val="-7"/>
          <w:sz w:val="16"/>
        </w:rPr>
        <w:t xml:space="preserve"> </w:t>
      </w:r>
      <w:r>
        <w:rPr>
          <w:sz w:val="16"/>
        </w:rPr>
        <w:t>12),</w:t>
      </w:r>
      <w:r>
        <w:rPr>
          <w:spacing w:val="-6"/>
          <w:sz w:val="16"/>
        </w:rPr>
        <w:t xml:space="preserve"> </w:t>
      </w:r>
      <w:r>
        <w:rPr>
          <w:sz w:val="16"/>
        </w:rPr>
        <w:t>Libertad</w:t>
      </w:r>
      <w:r>
        <w:rPr>
          <w:spacing w:val="-8"/>
          <w:sz w:val="16"/>
        </w:rPr>
        <w:t xml:space="preserve"> </w:t>
      </w:r>
      <w:r>
        <w:rPr>
          <w:sz w:val="16"/>
        </w:rPr>
        <w:t>de</w:t>
      </w:r>
      <w:r>
        <w:rPr>
          <w:spacing w:val="-7"/>
          <w:sz w:val="16"/>
        </w:rPr>
        <w:t xml:space="preserve"> </w:t>
      </w:r>
      <w:r>
        <w:rPr>
          <w:sz w:val="16"/>
        </w:rPr>
        <w:t>pensamiento</w:t>
      </w:r>
      <w:r>
        <w:rPr>
          <w:spacing w:val="-4"/>
          <w:sz w:val="16"/>
        </w:rPr>
        <w:t xml:space="preserve"> </w:t>
      </w:r>
      <w:r>
        <w:rPr>
          <w:sz w:val="16"/>
        </w:rPr>
        <w:t>y</w:t>
      </w:r>
      <w:r>
        <w:rPr>
          <w:spacing w:val="-7"/>
          <w:sz w:val="16"/>
        </w:rPr>
        <w:t xml:space="preserve"> </w:t>
      </w:r>
      <w:r>
        <w:rPr>
          <w:sz w:val="16"/>
        </w:rPr>
        <w:t>de</w:t>
      </w:r>
      <w:r>
        <w:rPr>
          <w:spacing w:val="-5"/>
          <w:sz w:val="16"/>
        </w:rPr>
        <w:t xml:space="preserve"> </w:t>
      </w:r>
      <w:r>
        <w:rPr>
          <w:sz w:val="16"/>
        </w:rPr>
        <w:t>expresión</w:t>
      </w:r>
      <w:r>
        <w:rPr>
          <w:spacing w:val="-6"/>
          <w:sz w:val="16"/>
        </w:rPr>
        <w:t xml:space="preserve"> </w:t>
      </w:r>
      <w:r>
        <w:rPr>
          <w:sz w:val="16"/>
        </w:rPr>
        <w:t>(art.</w:t>
      </w:r>
      <w:r>
        <w:rPr>
          <w:spacing w:val="-9"/>
          <w:sz w:val="16"/>
        </w:rPr>
        <w:t xml:space="preserve"> </w:t>
      </w:r>
      <w:r>
        <w:rPr>
          <w:sz w:val="16"/>
        </w:rPr>
        <w:t>13),</w:t>
      </w:r>
      <w:r>
        <w:rPr>
          <w:spacing w:val="-8"/>
          <w:sz w:val="16"/>
        </w:rPr>
        <w:t xml:space="preserve"> </w:t>
      </w:r>
      <w:r>
        <w:rPr>
          <w:sz w:val="16"/>
        </w:rPr>
        <w:t>Derecho</w:t>
      </w:r>
      <w:r>
        <w:rPr>
          <w:spacing w:val="-7"/>
          <w:sz w:val="16"/>
        </w:rPr>
        <w:t xml:space="preserve"> </w:t>
      </w:r>
      <w:r>
        <w:rPr>
          <w:sz w:val="16"/>
        </w:rPr>
        <w:t>de</w:t>
      </w:r>
      <w:r>
        <w:rPr>
          <w:spacing w:val="-8"/>
          <w:sz w:val="16"/>
        </w:rPr>
        <w:t xml:space="preserve"> </w:t>
      </w:r>
      <w:r>
        <w:rPr>
          <w:sz w:val="16"/>
        </w:rPr>
        <w:t>rectificación</w:t>
      </w:r>
      <w:r>
        <w:rPr>
          <w:spacing w:val="-6"/>
          <w:sz w:val="16"/>
        </w:rPr>
        <w:t xml:space="preserve"> </w:t>
      </w:r>
      <w:r>
        <w:rPr>
          <w:sz w:val="16"/>
        </w:rPr>
        <w:t>o</w:t>
      </w:r>
      <w:r>
        <w:rPr>
          <w:spacing w:val="-9"/>
          <w:sz w:val="16"/>
        </w:rPr>
        <w:t xml:space="preserve"> </w:t>
      </w:r>
      <w:r>
        <w:rPr>
          <w:sz w:val="16"/>
        </w:rPr>
        <w:t>respuesta</w:t>
      </w:r>
      <w:r>
        <w:rPr>
          <w:spacing w:val="-7"/>
          <w:sz w:val="16"/>
        </w:rPr>
        <w:t xml:space="preserve"> </w:t>
      </w:r>
      <w:r>
        <w:rPr>
          <w:sz w:val="16"/>
        </w:rPr>
        <w:t>(art.</w:t>
      </w:r>
      <w:r>
        <w:rPr>
          <w:spacing w:val="-8"/>
          <w:sz w:val="16"/>
        </w:rPr>
        <w:t xml:space="preserve"> </w:t>
      </w:r>
      <w:r>
        <w:rPr>
          <w:sz w:val="16"/>
        </w:rPr>
        <w:t>14),</w:t>
      </w:r>
      <w:r>
        <w:rPr>
          <w:spacing w:val="-8"/>
          <w:sz w:val="16"/>
        </w:rPr>
        <w:t xml:space="preserve"> </w:t>
      </w:r>
      <w:r>
        <w:rPr>
          <w:sz w:val="16"/>
        </w:rPr>
        <w:t>Derecho de</w:t>
      </w:r>
      <w:r>
        <w:rPr>
          <w:spacing w:val="-6"/>
          <w:sz w:val="16"/>
        </w:rPr>
        <w:t xml:space="preserve"> </w:t>
      </w:r>
      <w:r>
        <w:rPr>
          <w:sz w:val="16"/>
        </w:rPr>
        <w:t>reunión</w:t>
      </w:r>
      <w:r>
        <w:rPr>
          <w:spacing w:val="-6"/>
          <w:sz w:val="16"/>
        </w:rPr>
        <w:t xml:space="preserve"> </w:t>
      </w:r>
      <w:r>
        <w:rPr>
          <w:sz w:val="16"/>
        </w:rPr>
        <w:t>(art.</w:t>
      </w:r>
      <w:r>
        <w:rPr>
          <w:spacing w:val="-6"/>
          <w:sz w:val="16"/>
        </w:rPr>
        <w:t xml:space="preserve"> </w:t>
      </w:r>
      <w:r>
        <w:rPr>
          <w:sz w:val="16"/>
        </w:rPr>
        <w:t>15),</w:t>
      </w:r>
      <w:r>
        <w:rPr>
          <w:spacing w:val="-6"/>
          <w:sz w:val="16"/>
        </w:rPr>
        <w:t xml:space="preserve"> </w:t>
      </w:r>
      <w:r>
        <w:rPr>
          <w:sz w:val="16"/>
        </w:rPr>
        <w:t>Libertad</w:t>
      </w:r>
      <w:r>
        <w:rPr>
          <w:spacing w:val="-8"/>
          <w:sz w:val="16"/>
        </w:rPr>
        <w:t xml:space="preserve"> </w:t>
      </w:r>
      <w:r>
        <w:rPr>
          <w:sz w:val="16"/>
        </w:rPr>
        <w:t>de</w:t>
      </w:r>
      <w:r>
        <w:rPr>
          <w:spacing w:val="-5"/>
          <w:sz w:val="16"/>
        </w:rPr>
        <w:t xml:space="preserve"> </w:t>
      </w:r>
      <w:r>
        <w:rPr>
          <w:sz w:val="16"/>
        </w:rPr>
        <w:t>asociación</w:t>
      </w:r>
      <w:r>
        <w:rPr>
          <w:spacing w:val="-6"/>
          <w:sz w:val="16"/>
        </w:rPr>
        <w:t xml:space="preserve"> </w:t>
      </w:r>
      <w:r>
        <w:rPr>
          <w:sz w:val="16"/>
        </w:rPr>
        <w:t>(art.</w:t>
      </w:r>
      <w:r>
        <w:rPr>
          <w:spacing w:val="-6"/>
          <w:sz w:val="16"/>
        </w:rPr>
        <w:t xml:space="preserve"> </w:t>
      </w:r>
      <w:r>
        <w:rPr>
          <w:sz w:val="16"/>
        </w:rPr>
        <w:t>16),</w:t>
      </w:r>
      <w:r>
        <w:rPr>
          <w:spacing w:val="-7"/>
          <w:sz w:val="16"/>
        </w:rPr>
        <w:t xml:space="preserve"> </w:t>
      </w:r>
      <w:r>
        <w:rPr>
          <w:sz w:val="16"/>
        </w:rPr>
        <w:t>Protección</w:t>
      </w:r>
      <w:r>
        <w:rPr>
          <w:spacing w:val="-6"/>
          <w:sz w:val="16"/>
        </w:rPr>
        <w:t xml:space="preserve"> </w:t>
      </w:r>
      <w:r>
        <w:rPr>
          <w:sz w:val="16"/>
        </w:rPr>
        <w:t>a</w:t>
      </w:r>
      <w:r>
        <w:rPr>
          <w:spacing w:val="-6"/>
          <w:sz w:val="16"/>
        </w:rPr>
        <w:t xml:space="preserve"> </w:t>
      </w:r>
      <w:r>
        <w:rPr>
          <w:sz w:val="16"/>
        </w:rPr>
        <w:t>la</w:t>
      </w:r>
      <w:r>
        <w:rPr>
          <w:spacing w:val="-6"/>
          <w:sz w:val="16"/>
        </w:rPr>
        <w:t xml:space="preserve"> </w:t>
      </w:r>
      <w:r>
        <w:rPr>
          <w:sz w:val="16"/>
        </w:rPr>
        <w:t>familia</w:t>
      </w:r>
      <w:r>
        <w:rPr>
          <w:spacing w:val="-6"/>
          <w:sz w:val="16"/>
        </w:rPr>
        <w:t xml:space="preserve"> </w:t>
      </w:r>
      <w:r>
        <w:rPr>
          <w:sz w:val="16"/>
        </w:rPr>
        <w:t>(art.</w:t>
      </w:r>
      <w:r>
        <w:rPr>
          <w:spacing w:val="-7"/>
          <w:sz w:val="16"/>
        </w:rPr>
        <w:t xml:space="preserve"> </w:t>
      </w:r>
      <w:r>
        <w:rPr>
          <w:sz w:val="16"/>
        </w:rPr>
        <w:t>17),</w:t>
      </w:r>
      <w:r>
        <w:rPr>
          <w:spacing w:val="-6"/>
          <w:sz w:val="16"/>
        </w:rPr>
        <w:t xml:space="preserve"> </w:t>
      </w:r>
      <w:r>
        <w:rPr>
          <w:sz w:val="16"/>
        </w:rPr>
        <w:t>Derecho</w:t>
      </w:r>
      <w:r>
        <w:rPr>
          <w:spacing w:val="-4"/>
          <w:sz w:val="16"/>
        </w:rPr>
        <w:t xml:space="preserve"> </w:t>
      </w:r>
      <w:r>
        <w:rPr>
          <w:sz w:val="16"/>
        </w:rPr>
        <w:t>al</w:t>
      </w:r>
      <w:r>
        <w:rPr>
          <w:spacing w:val="-6"/>
          <w:sz w:val="16"/>
        </w:rPr>
        <w:t xml:space="preserve"> </w:t>
      </w:r>
      <w:r>
        <w:rPr>
          <w:sz w:val="16"/>
        </w:rPr>
        <w:t>nombre</w:t>
      </w:r>
      <w:r>
        <w:rPr>
          <w:spacing w:val="-6"/>
          <w:sz w:val="16"/>
        </w:rPr>
        <w:t xml:space="preserve"> </w:t>
      </w:r>
      <w:r>
        <w:rPr>
          <w:sz w:val="16"/>
        </w:rPr>
        <w:t>(art.</w:t>
      </w:r>
      <w:r>
        <w:rPr>
          <w:spacing w:val="-6"/>
          <w:sz w:val="16"/>
        </w:rPr>
        <w:t xml:space="preserve"> </w:t>
      </w:r>
      <w:r>
        <w:rPr>
          <w:sz w:val="16"/>
        </w:rPr>
        <w:t>18), Derechos</w:t>
      </w:r>
      <w:r>
        <w:rPr>
          <w:spacing w:val="-3"/>
          <w:sz w:val="16"/>
        </w:rPr>
        <w:t xml:space="preserve"> </w:t>
      </w:r>
      <w:r>
        <w:rPr>
          <w:sz w:val="16"/>
        </w:rPr>
        <w:t>del</w:t>
      </w:r>
      <w:r>
        <w:rPr>
          <w:spacing w:val="-3"/>
          <w:sz w:val="16"/>
        </w:rPr>
        <w:t xml:space="preserve"> </w:t>
      </w:r>
      <w:r>
        <w:rPr>
          <w:sz w:val="16"/>
        </w:rPr>
        <w:t>niño</w:t>
      </w:r>
      <w:r>
        <w:rPr>
          <w:spacing w:val="-2"/>
          <w:sz w:val="16"/>
        </w:rPr>
        <w:t xml:space="preserve"> </w:t>
      </w:r>
      <w:r>
        <w:rPr>
          <w:sz w:val="16"/>
        </w:rPr>
        <w:t>(art.</w:t>
      </w:r>
      <w:r>
        <w:rPr>
          <w:spacing w:val="-4"/>
          <w:sz w:val="16"/>
        </w:rPr>
        <w:t xml:space="preserve"> </w:t>
      </w:r>
      <w:r>
        <w:rPr>
          <w:sz w:val="16"/>
        </w:rPr>
        <w:t>19),</w:t>
      </w:r>
      <w:r>
        <w:rPr>
          <w:spacing w:val="-4"/>
          <w:sz w:val="16"/>
        </w:rPr>
        <w:t xml:space="preserve"> </w:t>
      </w:r>
      <w:r>
        <w:rPr>
          <w:sz w:val="16"/>
        </w:rPr>
        <w:t>Derecho</w:t>
      </w:r>
      <w:r>
        <w:rPr>
          <w:spacing w:val="-2"/>
          <w:sz w:val="16"/>
        </w:rPr>
        <w:t xml:space="preserve"> </w:t>
      </w:r>
      <w:r>
        <w:rPr>
          <w:sz w:val="16"/>
        </w:rPr>
        <w:t>a</w:t>
      </w:r>
      <w:r>
        <w:rPr>
          <w:spacing w:val="-2"/>
          <w:sz w:val="16"/>
        </w:rPr>
        <w:t xml:space="preserve"> </w:t>
      </w:r>
      <w:r>
        <w:rPr>
          <w:sz w:val="16"/>
        </w:rPr>
        <w:t>la</w:t>
      </w:r>
      <w:r>
        <w:rPr>
          <w:spacing w:val="-3"/>
          <w:sz w:val="16"/>
        </w:rPr>
        <w:t xml:space="preserve"> </w:t>
      </w:r>
      <w:r>
        <w:rPr>
          <w:sz w:val="16"/>
        </w:rPr>
        <w:t>nacionalidad</w:t>
      </w:r>
      <w:r>
        <w:rPr>
          <w:spacing w:val="-2"/>
          <w:sz w:val="16"/>
        </w:rPr>
        <w:t xml:space="preserve"> </w:t>
      </w:r>
      <w:r>
        <w:rPr>
          <w:sz w:val="16"/>
        </w:rPr>
        <w:t>(art.</w:t>
      </w:r>
      <w:r>
        <w:rPr>
          <w:spacing w:val="-6"/>
          <w:sz w:val="16"/>
        </w:rPr>
        <w:t xml:space="preserve"> </w:t>
      </w:r>
      <w:r>
        <w:rPr>
          <w:sz w:val="16"/>
        </w:rPr>
        <w:t>20),</w:t>
      </w:r>
      <w:r>
        <w:rPr>
          <w:spacing w:val="-3"/>
          <w:sz w:val="16"/>
        </w:rPr>
        <w:t xml:space="preserve"> </w:t>
      </w:r>
      <w:r>
        <w:rPr>
          <w:sz w:val="16"/>
        </w:rPr>
        <w:t>Derecho</w:t>
      </w:r>
      <w:r>
        <w:rPr>
          <w:spacing w:val="-2"/>
          <w:sz w:val="16"/>
        </w:rPr>
        <w:t xml:space="preserve"> </w:t>
      </w:r>
      <w:r>
        <w:rPr>
          <w:sz w:val="16"/>
        </w:rPr>
        <w:t>a</w:t>
      </w:r>
      <w:r>
        <w:rPr>
          <w:spacing w:val="-3"/>
          <w:sz w:val="16"/>
        </w:rPr>
        <w:t xml:space="preserve"> </w:t>
      </w:r>
      <w:r>
        <w:rPr>
          <w:sz w:val="16"/>
        </w:rPr>
        <w:t>la</w:t>
      </w:r>
      <w:r>
        <w:rPr>
          <w:spacing w:val="-4"/>
          <w:sz w:val="16"/>
        </w:rPr>
        <w:t xml:space="preserve"> </w:t>
      </w:r>
      <w:r>
        <w:rPr>
          <w:sz w:val="16"/>
        </w:rPr>
        <w:t>propiedad</w:t>
      </w:r>
      <w:r>
        <w:rPr>
          <w:spacing w:val="-2"/>
          <w:sz w:val="16"/>
        </w:rPr>
        <w:t xml:space="preserve"> </w:t>
      </w:r>
      <w:r>
        <w:rPr>
          <w:sz w:val="16"/>
        </w:rPr>
        <w:t>privada</w:t>
      </w:r>
      <w:r>
        <w:rPr>
          <w:spacing w:val="-3"/>
          <w:sz w:val="16"/>
        </w:rPr>
        <w:t xml:space="preserve"> </w:t>
      </w:r>
      <w:r>
        <w:rPr>
          <w:sz w:val="16"/>
        </w:rPr>
        <w:t>(art.</w:t>
      </w:r>
      <w:r>
        <w:rPr>
          <w:spacing w:val="-3"/>
          <w:sz w:val="16"/>
        </w:rPr>
        <w:t xml:space="preserve"> </w:t>
      </w:r>
      <w:r>
        <w:rPr>
          <w:sz w:val="16"/>
        </w:rPr>
        <w:t>21),</w:t>
      </w:r>
      <w:r>
        <w:rPr>
          <w:spacing w:val="-4"/>
          <w:sz w:val="16"/>
        </w:rPr>
        <w:t xml:space="preserve"> </w:t>
      </w:r>
      <w:r>
        <w:rPr>
          <w:sz w:val="16"/>
        </w:rPr>
        <w:t>Derecho de circulación y de residencia (art. 22), Derechos políticos (art. 23), Igualdad ante la ley (art. 24) y Protección judicial (art.</w:t>
      </w:r>
      <w:r>
        <w:rPr>
          <w:spacing w:val="-1"/>
          <w:sz w:val="16"/>
        </w:rPr>
        <w:t xml:space="preserve"> </w:t>
      </w:r>
      <w:r>
        <w:rPr>
          <w:sz w:val="16"/>
        </w:rPr>
        <w:t>25).</w:t>
      </w:r>
    </w:p>
    <w:p w14:paraId="5AF856F9" w14:textId="77777777" w:rsidR="00467FCA" w:rsidRDefault="001B68EB">
      <w:pPr>
        <w:spacing w:line="194" w:lineRule="exact"/>
        <w:ind w:left="470"/>
        <w:jc w:val="both"/>
        <w:rPr>
          <w:i/>
          <w:sz w:val="16"/>
        </w:rPr>
      </w:pPr>
      <w:r>
        <w:rPr>
          <w:sz w:val="16"/>
        </w:rPr>
        <w:t xml:space="preserve">Art.26, </w:t>
      </w:r>
      <w:r>
        <w:rPr>
          <w:i/>
          <w:sz w:val="16"/>
        </w:rPr>
        <w:t>cit.</w:t>
      </w:r>
    </w:p>
    <w:p w14:paraId="042D7A22" w14:textId="77777777" w:rsidR="00467FCA" w:rsidRDefault="001B68EB">
      <w:pPr>
        <w:ind w:left="470" w:right="392"/>
        <w:jc w:val="both"/>
        <w:rPr>
          <w:i/>
          <w:sz w:val="16"/>
        </w:rPr>
      </w:pPr>
      <w:bookmarkStart w:id="668" w:name="_bookmark589"/>
      <w:bookmarkEnd w:id="668"/>
      <w:r>
        <w:rPr>
          <w:position w:val="6"/>
          <w:sz w:val="10"/>
        </w:rPr>
        <w:t xml:space="preserve">41 </w:t>
      </w:r>
      <w:r>
        <w:rPr>
          <w:sz w:val="16"/>
        </w:rPr>
        <w:t>“</w:t>
      </w:r>
      <w:r>
        <w:rPr>
          <w:i/>
          <w:sz w:val="16"/>
        </w:rPr>
        <w:t xml:space="preserve">Parte II Medios de Protección.” </w:t>
      </w:r>
      <w:r>
        <w:rPr>
          <w:sz w:val="16"/>
        </w:rPr>
        <w:t xml:space="preserve">Art. 33: </w:t>
      </w:r>
      <w:r>
        <w:rPr>
          <w:i/>
          <w:sz w:val="16"/>
        </w:rPr>
        <w:t>“Son competentes para conocer de los asuntos relaciona</w:t>
      </w:r>
      <w:r>
        <w:rPr>
          <w:i/>
          <w:sz w:val="16"/>
        </w:rPr>
        <w:t>dos con el cumplimiento de los compromisos contraídos por los Estados Partes en esta Convención:</w:t>
      </w:r>
    </w:p>
    <w:p w14:paraId="5FB31E80" w14:textId="77777777" w:rsidR="00467FCA" w:rsidRDefault="001B68EB">
      <w:pPr>
        <w:pStyle w:val="Prrafodelista"/>
        <w:numPr>
          <w:ilvl w:val="0"/>
          <w:numId w:val="21"/>
        </w:numPr>
        <w:tabs>
          <w:tab w:val="left" w:pos="697"/>
        </w:tabs>
        <w:ind w:hanging="227"/>
        <w:jc w:val="both"/>
        <w:rPr>
          <w:i/>
          <w:sz w:val="16"/>
        </w:rPr>
      </w:pPr>
      <w:r>
        <w:rPr>
          <w:i/>
          <w:sz w:val="16"/>
        </w:rPr>
        <w:t>la Comisión Interamericana de Derechos Humanos, llamada en adelante la Comisión,</w:t>
      </w:r>
      <w:r>
        <w:rPr>
          <w:i/>
          <w:spacing w:val="-11"/>
          <w:sz w:val="16"/>
        </w:rPr>
        <w:t xml:space="preserve"> </w:t>
      </w:r>
      <w:r>
        <w:rPr>
          <w:i/>
          <w:sz w:val="16"/>
        </w:rPr>
        <w:t>y</w:t>
      </w:r>
    </w:p>
    <w:p w14:paraId="75A5FE85" w14:textId="77777777" w:rsidR="00467FCA" w:rsidRDefault="001B68EB">
      <w:pPr>
        <w:pStyle w:val="Prrafodelista"/>
        <w:numPr>
          <w:ilvl w:val="0"/>
          <w:numId w:val="21"/>
        </w:numPr>
        <w:tabs>
          <w:tab w:val="left" w:pos="701"/>
        </w:tabs>
        <w:ind w:left="700" w:hanging="231"/>
        <w:jc w:val="both"/>
        <w:rPr>
          <w:i/>
          <w:sz w:val="16"/>
        </w:rPr>
      </w:pPr>
      <w:r>
        <w:rPr>
          <w:i/>
          <w:sz w:val="16"/>
        </w:rPr>
        <w:t>la Corte Interamericana de Derechos Humanos, llamada en adelante la</w:t>
      </w:r>
      <w:r>
        <w:rPr>
          <w:i/>
          <w:spacing w:val="-12"/>
          <w:sz w:val="16"/>
        </w:rPr>
        <w:t xml:space="preserve"> </w:t>
      </w:r>
      <w:r>
        <w:rPr>
          <w:i/>
          <w:sz w:val="16"/>
        </w:rPr>
        <w:t>Corte.”</w:t>
      </w:r>
    </w:p>
    <w:p w14:paraId="7C223557" w14:textId="77777777" w:rsidR="00467FCA" w:rsidRDefault="001B68EB">
      <w:pPr>
        <w:ind w:left="470"/>
        <w:jc w:val="both"/>
        <w:rPr>
          <w:sz w:val="16"/>
        </w:rPr>
      </w:pPr>
      <w:bookmarkStart w:id="669" w:name="_bookmark590"/>
      <w:bookmarkEnd w:id="669"/>
      <w:r>
        <w:rPr>
          <w:position w:val="6"/>
          <w:sz w:val="10"/>
        </w:rPr>
        <w:t xml:space="preserve">42 </w:t>
      </w:r>
      <w:r>
        <w:rPr>
          <w:i/>
          <w:sz w:val="16"/>
        </w:rPr>
        <w:t>Supra</w:t>
      </w:r>
      <w:r>
        <w:rPr>
          <w:sz w:val="16"/>
        </w:rPr>
        <w:t>, Nota N° 13.</w:t>
      </w:r>
    </w:p>
    <w:p w14:paraId="476542B7" w14:textId="77777777" w:rsidR="00467FCA" w:rsidRDefault="001B68EB">
      <w:pPr>
        <w:ind w:left="470"/>
        <w:jc w:val="both"/>
        <w:rPr>
          <w:sz w:val="16"/>
        </w:rPr>
      </w:pPr>
      <w:bookmarkStart w:id="670" w:name="_bookmark591"/>
      <w:bookmarkEnd w:id="670"/>
      <w:r>
        <w:rPr>
          <w:position w:val="6"/>
          <w:sz w:val="10"/>
        </w:rPr>
        <w:t xml:space="preserve">43 </w:t>
      </w:r>
      <w:r>
        <w:rPr>
          <w:i/>
          <w:sz w:val="16"/>
        </w:rPr>
        <w:t xml:space="preserve">Supra, </w:t>
      </w:r>
      <w:r>
        <w:rPr>
          <w:sz w:val="16"/>
        </w:rPr>
        <w:t>Nota N° 9, Art. 62.3.</w:t>
      </w:r>
    </w:p>
    <w:p w14:paraId="12BD46EB" w14:textId="77777777" w:rsidR="00467FCA" w:rsidRDefault="001B68EB">
      <w:pPr>
        <w:spacing w:before="2"/>
        <w:ind w:left="470" w:right="394"/>
        <w:jc w:val="both"/>
        <w:rPr>
          <w:i/>
          <w:sz w:val="16"/>
        </w:rPr>
      </w:pPr>
      <w:bookmarkStart w:id="671" w:name="_bookmark592"/>
      <w:bookmarkEnd w:id="671"/>
      <w:r>
        <w:rPr>
          <w:position w:val="6"/>
          <w:sz w:val="10"/>
        </w:rPr>
        <w:t xml:space="preserve">44 </w:t>
      </w:r>
      <w:r>
        <w:rPr>
          <w:sz w:val="16"/>
        </w:rPr>
        <w:t>Art. 65: “</w:t>
      </w:r>
      <w:r>
        <w:rPr>
          <w:i/>
          <w:sz w:val="16"/>
        </w:rPr>
        <w:t>La Corte someterá a la consideración de la Asamblea General de la Organización en cada período ordinario de sesiones un informe sobre su labor en el año anterior. De manera especial y con l</w:t>
      </w:r>
      <w:r>
        <w:rPr>
          <w:i/>
          <w:sz w:val="16"/>
        </w:rPr>
        <w:t>as recomendaciones pertinentes, señalará los casos en que un Estado no haya dado cumplimiento a sus fallos.”</w:t>
      </w:r>
    </w:p>
    <w:p w14:paraId="02565016" w14:textId="77777777" w:rsidR="00467FCA" w:rsidRDefault="00467FCA">
      <w:pPr>
        <w:jc w:val="both"/>
        <w:rPr>
          <w:sz w:val="16"/>
        </w:rPr>
        <w:sectPr w:rsidR="00467FCA">
          <w:pgSz w:w="12240" w:h="15840"/>
          <w:pgMar w:top="1340" w:right="1140" w:bottom="1200" w:left="960" w:header="0" w:footer="1002" w:gutter="0"/>
          <w:cols w:space="720"/>
        </w:sectPr>
      </w:pPr>
    </w:p>
    <w:p w14:paraId="444AFDA3" w14:textId="77777777" w:rsidR="00467FCA" w:rsidRDefault="001B68EB">
      <w:pPr>
        <w:pStyle w:val="Prrafodelista"/>
        <w:numPr>
          <w:ilvl w:val="0"/>
          <w:numId w:val="25"/>
        </w:numPr>
        <w:tabs>
          <w:tab w:val="left" w:pos="1450"/>
        </w:tabs>
        <w:spacing w:before="76" w:line="276" w:lineRule="auto"/>
        <w:ind w:right="397" w:firstLine="0"/>
        <w:jc w:val="both"/>
        <w:rPr>
          <w:sz w:val="20"/>
        </w:rPr>
      </w:pPr>
      <w:r>
        <w:rPr>
          <w:sz w:val="20"/>
        </w:rPr>
        <w:t>Ahora</w:t>
      </w:r>
      <w:r>
        <w:rPr>
          <w:spacing w:val="-11"/>
          <w:sz w:val="20"/>
        </w:rPr>
        <w:t xml:space="preserve"> </w:t>
      </w:r>
      <w:r>
        <w:rPr>
          <w:sz w:val="20"/>
        </w:rPr>
        <w:t>bien,</w:t>
      </w:r>
      <w:r>
        <w:rPr>
          <w:spacing w:val="-11"/>
          <w:sz w:val="20"/>
        </w:rPr>
        <w:t xml:space="preserve"> </w:t>
      </w:r>
      <w:r>
        <w:rPr>
          <w:sz w:val="20"/>
        </w:rPr>
        <w:t>procede</w:t>
      </w:r>
      <w:r>
        <w:rPr>
          <w:spacing w:val="-11"/>
          <w:sz w:val="20"/>
        </w:rPr>
        <w:t xml:space="preserve"> </w:t>
      </w:r>
      <w:r>
        <w:rPr>
          <w:sz w:val="20"/>
        </w:rPr>
        <w:t>dejar</w:t>
      </w:r>
      <w:r>
        <w:rPr>
          <w:spacing w:val="-11"/>
          <w:sz w:val="20"/>
        </w:rPr>
        <w:t xml:space="preserve"> </w:t>
      </w:r>
      <w:r>
        <w:rPr>
          <w:sz w:val="20"/>
        </w:rPr>
        <w:t>constancia,</w:t>
      </w:r>
      <w:r>
        <w:rPr>
          <w:spacing w:val="-11"/>
          <w:sz w:val="20"/>
        </w:rPr>
        <w:t xml:space="preserve"> </w:t>
      </w:r>
      <w:r>
        <w:rPr>
          <w:sz w:val="20"/>
        </w:rPr>
        <w:t>a</w:t>
      </w:r>
      <w:r>
        <w:rPr>
          <w:spacing w:val="-11"/>
          <w:sz w:val="20"/>
        </w:rPr>
        <w:t xml:space="preserve"> </w:t>
      </w:r>
      <w:r>
        <w:rPr>
          <w:sz w:val="20"/>
        </w:rPr>
        <w:t>los</w:t>
      </w:r>
      <w:r>
        <w:rPr>
          <w:spacing w:val="-11"/>
          <w:sz w:val="20"/>
        </w:rPr>
        <w:t xml:space="preserve"> </w:t>
      </w:r>
      <w:r>
        <w:rPr>
          <w:sz w:val="20"/>
        </w:rPr>
        <w:t>efectos</w:t>
      </w:r>
      <w:r>
        <w:rPr>
          <w:spacing w:val="-11"/>
          <w:sz w:val="20"/>
        </w:rPr>
        <w:t xml:space="preserve"> </w:t>
      </w:r>
      <w:r>
        <w:rPr>
          <w:sz w:val="20"/>
        </w:rPr>
        <w:t>de</w:t>
      </w:r>
      <w:r>
        <w:rPr>
          <w:spacing w:val="-11"/>
          <w:sz w:val="20"/>
        </w:rPr>
        <w:t xml:space="preserve"> </w:t>
      </w:r>
      <w:r>
        <w:rPr>
          <w:sz w:val="20"/>
        </w:rPr>
        <w:t>la</w:t>
      </w:r>
      <w:r>
        <w:rPr>
          <w:spacing w:val="-10"/>
          <w:sz w:val="20"/>
        </w:rPr>
        <w:t xml:space="preserve"> </w:t>
      </w:r>
      <w:r>
        <w:rPr>
          <w:sz w:val="20"/>
        </w:rPr>
        <w:t>aplicación</w:t>
      </w:r>
      <w:r>
        <w:rPr>
          <w:spacing w:val="-10"/>
          <w:sz w:val="20"/>
        </w:rPr>
        <w:t xml:space="preserve"> </w:t>
      </w:r>
      <w:r>
        <w:rPr>
          <w:sz w:val="20"/>
        </w:rPr>
        <w:t>de</w:t>
      </w:r>
      <w:r>
        <w:rPr>
          <w:spacing w:val="-9"/>
          <w:sz w:val="20"/>
        </w:rPr>
        <w:t xml:space="preserve"> </w:t>
      </w:r>
      <w:r>
        <w:rPr>
          <w:sz w:val="20"/>
        </w:rPr>
        <w:t>este</w:t>
      </w:r>
      <w:r>
        <w:rPr>
          <w:spacing w:val="-11"/>
          <w:sz w:val="20"/>
        </w:rPr>
        <w:t xml:space="preserve"> </w:t>
      </w:r>
      <w:r>
        <w:rPr>
          <w:sz w:val="20"/>
        </w:rPr>
        <w:t>método de</w:t>
      </w:r>
      <w:r>
        <w:rPr>
          <w:spacing w:val="-16"/>
          <w:sz w:val="20"/>
        </w:rPr>
        <w:t xml:space="preserve"> </w:t>
      </w:r>
      <w:r>
        <w:rPr>
          <w:sz w:val="20"/>
        </w:rPr>
        <w:t>interpretación,</w:t>
      </w:r>
      <w:r>
        <w:rPr>
          <w:spacing w:val="-13"/>
          <w:sz w:val="20"/>
        </w:rPr>
        <w:t xml:space="preserve"> </w:t>
      </w:r>
      <w:r>
        <w:rPr>
          <w:sz w:val="20"/>
        </w:rPr>
        <w:t>que,</w:t>
      </w:r>
      <w:r>
        <w:rPr>
          <w:spacing w:val="-11"/>
          <w:sz w:val="20"/>
        </w:rPr>
        <w:t xml:space="preserve"> </w:t>
      </w:r>
      <w:r>
        <w:rPr>
          <w:sz w:val="20"/>
        </w:rPr>
        <w:t>acorde</w:t>
      </w:r>
      <w:r>
        <w:rPr>
          <w:spacing w:val="-14"/>
          <w:sz w:val="20"/>
        </w:rPr>
        <w:t xml:space="preserve"> </w:t>
      </w:r>
      <w:r>
        <w:rPr>
          <w:sz w:val="20"/>
        </w:rPr>
        <w:t>a</w:t>
      </w:r>
      <w:r>
        <w:rPr>
          <w:spacing w:val="-12"/>
          <w:sz w:val="20"/>
        </w:rPr>
        <w:t xml:space="preserve"> </w:t>
      </w:r>
      <w:r>
        <w:rPr>
          <w:sz w:val="20"/>
        </w:rPr>
        <w:t>lo</w:t>
      </w:r>
      <w:r>
        <w:rPr>
          <w:spacing w:val="-14"/>
          <w:sz w:val="20"/>
        </w:rPr>
        <w:t xml:space="preserve"> </w:t>
      </w:r>
      <w:r>
        <w:rPr>
          <w:sz w:val="20"/>
        </w:rPr>
        <w:t>dispuesto</w:t>
      </w:r>
      <w:r>
        <w:rPr>
          <w:spacing w:val="-11"/>
          <w:sz w:val="20"/>
        </w:rPr>
        <w:t xml:space="preserve"> </w:t>
      </w:r>
      <w:r>
        <w:rPr>
          <w:sz w:val="20"/>
        </w:rPr>
        <w:t>en</w:t>
      </w:r>
      <w:r>
        <w:rPr>
          <w:spacing w:val="-14"/>
          <w:sz w:val="20"/>
        </w:rPr>
        <w:t xml:space="preserve"> </w:t>
      </w:r>
      <w:r>
        <w:rPr>
          <w:sz w:val="20"/>
        </w:rPr>
        <w:t>el</w:t>
      </w:r>
      <w:r>
        <w:rPr>
          <w:spacing w:val="-12"/>
          <w:sz w:val="20"/>
        </w:rPr>
        <w:t xml:space="preserve"> </w:t>
      </w:r>
      <w:r>
        <w:rPr>
          <w:sz w:val="20"/>
        </w:rPr>
        <w:t>párrafo</w:t>
      </w:r>
      <w:r>
        <w:rPr>
          <w:spacing w:val="-14"/>
          <w:sz w:val="20"/>
        </w:rPr>
        <w:t xml:space="preserve"> </w:t>
      </w:r>
      <w:r>
        <w:rPr>
          <w:sz w:val="20"/>
        </w:rPr>
        <w:t>5</w:t>
      </w:r>
      <w:r>
        <w:rPr>
          <w:spacing w:val="-12"/>
          <w:sz w:val="20"/>
        </w:rPr>
        <w:t xml:space="preserve"> </w:t>
      </w:r>
      <w:r>
        <w:rPr>
          <w:sz w:val="20"/>
        </w:rPr>
        <w:t>del</w:t>
      </w:r>
      <w:r>
        <w:rPr>
          <w:spacing w:val="-12"/>
          <w:sz w:val="20"/>
        </w:rPr>
        <w:t xml:space="preserve"> </w:t>
      </w:r>
      <w:r>
        <w:rPr>
          <w:sz w:val="20"/>
        </w:rPr>
        <w:t>Preámbulo</w:t>
      </w:r>
      <w:r>
        <w:rPr>
          <w:spacing w:val="-16"/>
          <w:sz w:val="20"/>
        </w:rPr>
        <w:t xml:space="preserve"> </w:t>
      </w:r>
      <w:r>
        <w:rPr>
          <w:sz w:val="20"/>
        </w:rPr>
        <w:t>de</w:t>
      </w:r>
      <w:r>
        <w:rPr>
          <w:spacing w:val="-16"/>
          <w:sz w:val="20"/>
        </w:rPr>
        <w:t xml:space="preserve"> </w:t>
      </w:r>
      <w:r>
        <w:rPr>
          <w:sz w:val="20"/>
        </w:rPr>
        <w:t>la</w:t>
      </w:r>
      <w:r>
        <w:rPr>
          <w:spacing w:val="-12"/>
          <w:sz w:val="20"/>
        </w:rPr>
        <w:t xml:space="preserve"> </w:t>
      </w:r>
      <w:r>
        <w:rPr>
          <w:sz w:val="20"/>
        </w:rPr>
        <w:t>Convención, que</w:t>
      </w:r>
      <w:r>
        <w:rPr>
          <w:spacing w:val="-14"/>
          <w:sz w:val="20"/>
        </w:rPr>
        <w:t xml:space="preserve"> </w:t>
      </w:r>
      <w:r>
        <w:rPr>
          <w:sz w:val="20"/>
        </w:rPr>
        <w:t>en</w:t>
      </w:r>
      <w:r>
        <w:rPr>
          <w:spacing w:val="-9"/>
          <w:sz w:val="20"/>
        </w:rPr>
        <w:t xml:space="preserve"> </w:t>
      </w:r>
      <w:r>
        <w:rPr>
          <w:sz w:val="20"/>
        </w:rPr>
        <w:t>la</w:t>
      </w:r>
      <w:r>
        <w:rPr>
          <w:spacing w:val="-12"/>
          <w:sz w:val="20"/>
        </w:rPr>
        <w:t xml:space="preserve"> </w:t>
      </w:r>
      <w:r>
        <w:rPr>
          <w:sz w:val="20"/>
        </w:rPr>
        <w:t>Carta</w:t>
      </w:r>
      <w:r>
        <w:rPr>
          <w:spacing w:val="-12"/>
          <w:sz w:val="20"/>
        </w:rPr>
        <w:t xml:space="preserve"> </w:t>
      </w:r>
      <w:r>
        <w:rPr>
          <w:sz w:val="20"/>
        </w:rPr>
        <w:t>de</w:t>
      </w:r>
      <w:r>
        <w:rPr>
          <w:spacing w:val="-13"/>
          <w:sz w:val="20"/>
        </w:rPr>
        <w:t xml:space="preserve"> </w:t>
      </w:r>
      <w:r>
        <w:rPr>
          <w:sz w:val="20"/>
        </w:rPr>
        <w:t>la</w:t>
      </w:r>
      <w:r>
        <w:rPr>
          <w:spacing w:val="-10"/>
          <w:sz w:val="20"/>
        </w:rPr>
        <w:t xml:space="preserve"> </w:t>
      </w:r>
      <w:r>
        <w:rPr>
          <w:sz w:val="20"/>
        </w:rPr>
        <w:t>OEA</w:t>
      </w:r>
      <w:r>
        <w:rPr>
          <w:spacing w:val="-12"/>
          <w:sz w:val="20"/>
        </w:rPr>
        <w:t xml:space="preserve"> </w:t>
      </w:r>
      <w:r>
        <w:rPr>
          <w:sz w:val="20"/>
        </w:rPr>
        <w:t>se</w:t>
      </w:r>
      <w:r>
        <w:rPr>
          <w:spacing w:val="-11"/>
          <w:sz w:val="20"/>
        </w:rPr>
        <w:t xml:space="preserve"> </w:t>
      </w:r>
      <w:r>
        <w:rPr>
          <w:sz w:val="20"/>
        </w:rPr>
        <w:t>incorporaron</w:t>
      </w:r>
      <w:r>
        <w:rPr>
          <w:spacing w:val="-8"/>
          <w:sz w:val="20"/>
        </w:rPr>
        <w:t xml:space="preserve"> </w:t>
      </w:r>
      <w:r>
        <w:rPr>
          <w:sz w:val="20"/>
        </w:rPr>
        <w:t>“</w:t>
      </w:r>
      <w:r>
        <w:rPr>
          <w:i/>
          <w:sz w:val="20"/>
        </w:rPr>
        <w:t>normas</w:t>
      </w:r>
      <w:r>
        <w:rPr>
          <w:i/>
          <w:spacing w:val="-13"/>
          <w:sz w:val="20"/>
        </w:rPr>
        <w:t xml:space="preserve"> </w:t>
      </w:r>
      <w:r>
        <w:rPr>
          <w:i/>
          <w:sz w:val="20"/>
        </w:rPr>
        <w:t>más</w:t>
      </w:r>
      <w:r>
        <w:rPr>
          <w:i/>
          <w:spacing w:val="-11"/>
          <w:sz w:val="20"/>
        </w:rPr>
        <w:t xml:space="preserve"> </w:t>
      </w:r>
      <w:r>
        <w:rPr>
          <w:i/>
          <w:sz w:val="20"/>
        </w:rPr>
        <w:t>amplias</w:t>
      </w:r>
      <w:r>
        <w:rPr>
          <w:i/>
          <w:spacing w:val="-11"/>
          <w:sz w:val="20"/>
        </w:rPr>
        <w:t xml:space="preserve"> </w:t>
      </w:r>
      <w:r>
        <w:rPr>
          <w:i/>
          <w:sz w:val="20"/>
        </w:rPr>
        <w:t>sobre</w:t>
      </w:r>
      <w:r>
        <w:rPr>
          <w:i/>
          <w:spacing w:val="-13"/>
          <w:sz w:val="20"/>
        </w:rPr>
        <w:t xml:space="preserve"> </w:t>
      </w:r>
      <w:r>
        <w:rPr>
          <w:i/>
          <w:sz w:val="20"/>
        </w:rPr>
        <w:t>derechos</w:t>
      </w:r>
      <w:r>
        <w:rPr>
          <w:i/>
          <w:spacing w:val="-11"/>
          <w:sz w:val="20"/>
        </w:rPr>
        <w:t xml:space="preserve"> </w:t>
      </w:r>
      <w:r>
        <w:rPr>
          <w:i/>
          <w:sz w:val="20"/>
        </w:rPr>
        <w:t>económicos, sociales y educacionales</w:t>
      </w:r>
      <w:r>
        <w:rPr>
          <w:sz w:val="20"/>
        </w:rPr>
        <w:t>” y que en la Convención se determinó “</w:t>
      </w:r>
      <w:r>
        <w:rPr>
          <w:i/>
          <w:sz w:val="20"/>
        </w:rPr>
        <w:t xml:space="preserve">la estructura, competencia y procedimiento de </w:t>
      </w:r>
      <w:r>
        <w:rPr>
          <w:i/>
          <w:sz w:val="20"/>
        </w:rPr>
        <w:t>los órganos encargados de esa</w:t>
      </w:r>
      <w:r>
        <w:rPr>
          <w:i/>
          <w:spacing w:val="-1"/>
          <w:sz w:val="20"/>
        </w:rPr>
        <w:t xml:space="preserve"> </w:t>
      </w:r>
      <w:r>
        <w:rPr>
          <w:i/>
          <w:sz w:val="20"/>
        </w:rPr>
        <w:t>materia”</w:t>
      </w:r>
      <w:r>
        <w:rPr>
          <w:sz w:val="20"/>
        </w:rPr>
        <w:t>.</w:t>
      </w:r>
    </w:p>
    <w:p w14:paraId="0BF11F0D" w14:textId="77777777" w:rsidR="00467FCA" w:rsidRDefault="00467FCA">
      <w:pPr>
        <w:pStyle w:val="Textoindependiente"/>
        <w:spacing w:before="3"/>
        <w:rPr>
          <w:sz w:val="22"/>
        </w:rPr>
      </w:pPr>
    </w:p>
    <w:p w14:paraId="3C40EF1E" w14:textId="77777777" w:rsidR="00467FCA" w:rsidRDefault="001B68EB">
      <w:pPr>
        <w:pStyle w:val="Prrafodelista"/>
        <w:numPr>
          <w:ilvl w:val="0"/>
          <w:numId w:val="25"/>
        </w:numPr>
        <w:tabs>
          <w:tab w:val="left" w:pos="1450"/>
        </w:tabs>
        <w:spacing w:before="1" w:line="276" w:lineRule="auto"/>
        <w:ind w:right="396" w:firstLine="0"/>
        <w:jc w:val="both"/>
        <w:rPr>
          <w:sz w:val="20"/>
        </w:rPr>
      </w:pPr>
      <w:r>
        <w:rPr>
          <w:sz w:val="20"/>
        </w:rPr>
        <w:t>Es decir, ha sido la propia Convención la que, en cumplimiento de dicho mandato y</w:t>
      </w:r>
      <w:r>
        <w:rPr>
          <w:spacing w:val="-13"/>
          <w:sz w:val="20"/>
        </w:rPr>
        <w:t xml:space="preserve"> </w:t>
      </w:r>
      <w:r>
        <w:rPr>
          <w:sz w:val="20"/>
        </w:rPr>
        <w:t>como</w:t>
      </w:r>
      <w:r>
        <w:rPr>
          <w:spacing w:val="-14"/>
          <w:sz w:val="20"/>
        </w:rPr>
        <w:t xml:space="preserve"> </w:t>
      </w:r>
      <w:r>
        <w:rPr>
          <w:sz w:val="20"/>
        </w:rPr>
        <w:t>ya</w:t>
      </w:r>
      <w:r>
        <w:rPr>
          <w:spacing w:val="-12"/>
          <w:sz w:val="20"/>
        </w:rPr>
        <w:t xml:space="preserve"> </w:t>
      </w:r>
      <w:r>
        <w:rPr>
          <w:sz w:val="20"/>
        </w:rPr>
        <w:t>se</w:t>
      </w:r>
      <w:r>
        <w:rPr>
          <w:spacing w:val="-14"/>
          <w:sz w:val="20"/>
        </w:rPr>
        <w:t xml:space="preserve"> </w:t>
      </w:r>
      <w:r>
        <w:rPr>
          <w:sz w:val="20"/>
        </w:rPr>
        <w:t>ha</w:t>
      </w:r>
      <w:r>
        <w:rPr>
          <w:spacing w:val="-12"/>
          <w:sz w:val="20"/>
        </w:rPr>
        <w:t xml:space="preserve"> </w:t>
      </w:r>
      <w:r>
        <w:rPr>
          <w:sz w:val="20"/>
        </w:rPr>
        <w:t>afirmado,</w:t>
      </w:r>
      <w:r>
        <w:rPr>
          <w:spacing w:val="-13"/>
          <w:sz w:val="20"/>
        </w:rPr>
        <w:t xml:space="preserve"> </w:t>
      </w:r>
      <w:r>
        <w:rPr>
          <w:sz w:val="20"/>
        </w:rPr>
        <w:t>le</w:t>
      </w:r>
      <w:r>
        <w:rPr>
          <w:spacing w:val="-14"/>
          <w:sz w:val="20"/>
        </w:rPr>
        <w:t xml:space="preserve"> </w:t>
      </w:r>
      <w:r>
        <w:rPr>
          <w:sz w:val="20"/>
        </w:rPr>
        <w:t>dio</w:t>
      </w:r>
      <w:r>
        <w:rPr>
          <w:spacing w:val="-14"/>
          <w:sz w:val="20"/>
        </w:rPr>
        <w:t xml:space="preserve"> </w:t>
      </w:r>
      <w:r>
        <w:rPr>
          <w:sz w:val="20"/>
        </w:rPr>
        <w:t>a</w:t>
      </w:r>
      <w:r>
        <w:rPr>
          <w:spacing w:val="-13"/>
          <w:sz w:val="20"/>
        </w:rPr>
        <w:t xml:space="preserve"> </w:t>
      </w:r>
      <w:r>
        <w:rPr>
          <w:sz w:val="20"/>
        </w:rPr>
        <w:t>los</w:t>
      </w:r>
      <w:r>
        <w:rPr>
          <w:spacing w:val="-13"/>
          <w:sz w:val="20"/>
        </w:rPr>
        <w:t xml:space="preserve"> </w:t>
      </w:r>
      <w:r>
        <w:rPr>
          <w:sz w:val="20"/>
        </w:rPr>
        <w:t>derechos</w:t>
      </w:r>
      <w:r>
        <w:rPr>
          <w:spacing w:val="-13"/>
          <w:sz w:val="20"/>
        </w:rPr>
        <w:t xml:space="preserve"> </w:t>
      </w:r>
      <w:r>
        <w:rPr>
          <w:sz w:val="20"/>
        </w:rPr>
        <w:t>civiles</w:t>
      </w:r>
      <w:r>
        <w:rPr>
          <w:spacing w:val="-13"/>
          <w:sz w:val="20"/>
        </w:rPr>
        <w:t xml:space="preserve"> </w:t>
      </w:r>
      <w:r>
        <w:rPr>
          <w:sz w:val="20"/>
        </w:rPr>
        <w:t>y</w:t>
      </w:r>
      <w:r>
        <w:rPr>
          <w:spacing w:val="-13"/>
          <w:sz w:val="20"/>
        </w:rPr>
        <w:t xml:space="preserve"> </w:t>
      </w:r>
      <w:r>
        <w:rPr>
          <w:sz w:val="20"/>
        </w:rPr>
        <w:t>políticos</w:t>
      </w:r>
      <w:r>
        <w:rPr>
          <w:spacing w:val="-13"/>
          <w:sz w:val="20"/>
        </w:rPr>
        <w:t xml:space="preserve"> </w:t>
      </w:r>
      <w:r>
        <w:rPr>
          <w:sz w:val="20"/>
        </w:rPr>
        <w:t>un</w:t>
      </w:r>
      <w:r>
        <w:rPr>
          <w:spacing w:val="-11"/>
          <w:sz w:val="20"/>
        </w:rPr>
        <w:t xml:space="preserve"> </w:t>
      </w:r>
      <w:r>
        <w:rPr>
          <w:sz w:val="20"/>
        </w:rPr>
        <w:t>tratamiento</w:t>
      </w:r>
      <w:r>
        <w:rPr>
          <w:spacing w:val="-14"/>
          <w:sz w:val="20"/>
        </w:rPr>
        <w:t xml:space="preserve"> </w:t>
      </w:r>
      <w:r>
        <w:rPr>
          <w:sz w:val="20"/>
        </w:rPr>
        <w:t>diferenciado de los derechos económicos sociales y culturales, expresado, como ya se afirmó, el primero en el Capítulo II de la Parte I de la Convención y el segundo en el Capítulo III de la misma parte e instrumento. De suerte, por tanto, que la indivisib</w:t>
      </w:r>
      <w:r>
        <w:rPr>
          <w:sz w:val="20"/>
        </w:rPr>
        <w:t>ilidad de los derechos civiles y políticos y de los derechos económicos, sociales y culturales a que hace referencia el Preámbulo de la Convención, es al “</w:t>
      </w:r>
      <w:r>
        <w:rPr>
          <w:i/>
          <w:sz w:val="20"/>
        </w:rPr>
        <w:t>goce</w:t>
      </w:r>
      <w:r>
        <w:rPr>
          <w:sz w:val="20"/>
        </w:rPr>
        <w:t>” de ambos tipos de derechos humanos y no a que deban someterse a las mismas reglas para su ejerc</w:t>
      </w:r>
      <w:r>
        <w:rPr>
          <w:sz w:val="20"/>
        </w:rPr>
        <w:t>icio y fiscalización</w:t>
      </w:r>
      <w:r>
        <w:rPr>
          <w:spacing w:val="-18"/>
          <w:sz w:val="20"/>
        </w:rPr>
        <w:t xml:space="preserve"> </w:t>
      </w:r>
      <w:r>
        <w:rPr>
          <w:sz w:val="20"/>
        </w:rPr>
        <w:t>internacional.</w:t>
      </w:r>
    </w:p>
    <w:p w14:paraId="222230FC" w14:textId="77777777" w:rsidR="00467FCA" w:rsidRDefault="00467FCA">
      <w:pPr>
        <w:pStyle w:val="Textoindependiente"/>
        <w:spacing w:before="4"/>
        <w:rPr>
          <w:sz w:val="22"/>
        </w:rPr>
      </w:pPr>
    </w:p>
    <w:p w14:paraId="14BDFA48" w14:textId="77777777" w:rsidR="00467FCA" w:rsidRDefault="001B68EB">
      <w:pPr>
        <w:pStyle w:val="Prrafodelista"/>
        <w:numPr>
          <w:ilvl w:val="0"/>
          <w:numId w:val="25"/>
        </w:numPr>
        <w:tabs>
          <w:tab w:val="left" w:pos="1450"/>
        </w:tabs>
        <w:spacing w:line="276" w:lineRule="auto"/>
        <w:ind w:right="397" w:hanging="1"/>
        <w:jc w:val="both"/>
        <w:rPr>
          <w:i/>
          <w:sz w:val="20"/>
        </w:rPr>
      </w:pPr>
      <w:r>
        <w:rPr>
          <w:sz w:val="20"/>
        </w:rPr>
        <w:t>Asimismo, es menester hacer presente que, en cuanto a lo que el artículo 31.2 de la Convención de Viena considera como contexto, no existe acuerdo alguno que se refiera a (la</w:t>
      </w:r>
      <w:r>
        <w:rPr>
          <w:spacing w:val="-16"/>
          <w:sz w:val="20"/>
        </w:rPr>
        <w:t xml:space="preserve"> </w:t>
      </w:r>
      <w:r>
        <w:rPr>
          <w:sz w:val="20"/>
        </w:rPr>
        <w:t>Convención)</w:t>
      </w:r>
      <w:r>
        <w:rPr>
          <w:spacing w:val="-14"/>
          <w:sz w:val="20"/>
        </w:rPr>
        <w:t xml:space="preserve"> </w:t>
      </w:r>
      <w:r>
        <w:rPr>
          <w:sz w:val="20"/>
        </w:rPr>
        <w:t>y</w:t>
      </w:r>
      <w:r>
        <w:rPr>
          <w:spacing w:val="-14"/>
          <w:sz w:val="20"/>
        </w:rPr>
        <w:t xml:space="preserve"> </w:t>
      </w:r>
      <w:r>
        <w:rPr>
          <w:i/>
          <w:sz w:val="20"/>
        </w:rPr>
        <w:t>“haya</w:t>
      </w:r>
      <w:r>
        <w:rPr>
          <w:i/>
          <w:spacing w:val="-12"/>
          <w:sz w:val="20"/>
        </w:rPr>
        <w:t xml:space="preserve"> </w:t>
      </w:r>
      <w:r>
        <w:rPr>
          <w:i/>
          <w:sz w:val="20"/>
        </w:rPr>
        <w:t>sido</w:t>
      </w:r>
      <w:r>
        <w:rPr>
          <w:i/>
          <w:spacing w:val="-15"/>
          <w:sz w:val="20"/>
        </w:rPr>
        <w:t xml:space="preserve"> </w:t>
      </w:r>
      <w:r>
        <w:rPr>
          <w:i/>
          <w:sz w:val="20"/>
        </w:rPr>
        <w:t>concertado</w:t>
      </w:r>
      <w:r>
        <w:rPr>
          <w:i/>
          <w:spacing w:val="-14"/>
          <w:sz w:val="20"/>
        </w:rPr>
        <w:t xml:space="preserve"> </w:t>
      </w:r>
      <w:r>
        <w:rPr>
          <w:i/>
          <w:sz w:val="20"/>
        </w:rPr>
        <w:t>entre</w:t>
      </w:r>
      <w:r>
        <w:rPr>
          <w:i/>
          <w:spacing w:val="-17"/>
          <w:sz w:val="20"/>
        </w:rPr>
        <w:t xml:space="preserve"> </w:t>
      </w:r>
      <w:r>
        <w:rPr>
          <w:i/>
          <w:sz w:val="20"/>
        </w:rPr>
        <w:t>to</w:t>
      </w:r>
      <w:r>
        <w:rPr>
          <w:i/>
          <w:sz w:val="20"/>
        </w:rPr>
        <w:t>das</w:t>
      </w:r>
      <w:r>
        <w:rPr>
          <w:i/>
          <w:spacing w:val="-16"/>
          <w:sz w:val="20"/>
        </w:rPr>
        <w:t xml:space="preserve"> </w:t>
      </w:r>
      <w:r>
        <w:rPr>
          <w:i/>
          <w:sz w:val="20"/>
        </w:rPr>
        <w:t>las</w:t>
      </w:r>
      <w:r>
        <w:rPr>
          <w:i/>
          <w:spacing w:val="-16"/>
          <w:sz w:val="20"/>
        </w:rPr>
        <w:t xml:space="preserve"> </w:t>
      </w:r>
      <w:r>
        <w:rPr>
          <w:i/>
          <w:sz w:val="20"/>
        </w:rPr>
        <w:t>partes</w:t>
      </w:r>
      <w:r>
        <w:rPr>
          <w:i/>
          <w:spacing w:val="-14"/>
          <w:sz w:val="20"/>
        </w:rPr>
        <w:t xml:space="preserve"> </w:t>
      </w:r>
      <w:r>
        <w:rPr>
          <w:i/>
          <w:sz w:val="20"/>
        </w:rPr>
        <w:t>con</w:t>
      </w:r>
      <w:r>
        <w:rPr>
          <w:i/>
          <w:spacing w:val="-14"/>
          <w:sz w:val="20"/>
        </w:rPr>
        <w:t xml:space="preserve"> </w:t>
      </w:r>
      <w:r>
        <w:rPr>
          <w:i/>
          <w:sz w:val="20"/>
        </w:rPr>
        <w:t>motivo</w:t>
      </w:r>
      <w:r>
        <w:rPr>
          <w:i/>
          <w:spacing w:val="-17"/>
          <w:sz w:val="20"/>
        </w:rPr>
        <w:t xml:space="preserve"> </w:t>
      </w:r>
      <w:r>
        <w:rPr>
          <w:i/>
          <w:sz w:val="20"/>
        </w:rPr>
        <w:t>de</w:t>
      </w:r>
      <w:r>
        <w:rPr>
          <w:i/>
          <w:spacing w:val="-14"/>
          <w:sz w:val="20"/>
        </w:rPr>
        <w:t xml:space="preserve"> </w:t>
      </w:r>
      <w:r>
        <w:rPr>
          <w:i/>
          <w:sz w:val="20"/>
        </w:rPr>
        <w:t>su</w:t>
      </w:r>
      <w:r>
        <w:rPr>
          <w:i/>
          <w:spacing w:val="-13"/>
          <w:sz w:val="20"/>
        </w:rPr>
        <w:t xml:space="preserve"> </w:t>
      </w:r>
      <w:r>
        <w:rPr>
          <w:i/>
          <w:sz w:val="20"/>
        </w:rPr>
        <w:t xml:space="preserve">celebración” </w:t>
      </w:r>
      <w:r>
        <w:rPr>
          <w:sz w:val="20"/>
        </w:rPr>
        <w:t>ni</w:t>
      </w:r>
      <w:r>
        <w:rPr>
          <w:spacing w:val="-17"/>
          <w:sz w:val="20"/>
        </w:rPr>
        <w:t xml:space="preserve"> </w:t>
      </w:r>
      <w:r>
        <w:rPr>
          <w:sz w:val="20"/>
        </w:rPr>
        <w:t>tampoco</w:t>
      </w:r>
      <w:r>
        <w:rPr>
          <w:spacing w:val="-16"/>
          <w:sz w:val="20"/>
        </w:rPr>
        <w:t xml:space="preserve"> </w:t>
      </w:r>
      <w:r>
        <w:rPr>
          <w:sz w:val="20"/>
        </w:rPr>
        <w:t>algún</w:t>
      </w:r>
      <w:r>
        <w:rPr>
          <w:spacing w:val="-15"/>
          <w:sz w:val="20"/>
        </w:rPr>
        <w:t xml:space="preserve"> </w:t>
      </w:r>
      <w:r>
        <w:rPr>
          <w:i/>
          <w:sz w:val="20"/>
        </w:rPr>
        <w:t>“instrumento</w:t>
      </w:r>
      <w:r>
        <w:rPr>
          <w:i/>
          <w:spacing w:val="-19"/>
          <w:sz w:val="20"/>
        </w:rPr>
        <w:t xml:space="preserve"> </w:t>
      </w:r>
      <w:r>
        <w:rPr>
          <w:i/>
          <w:sz w:val="20"/>
        </w:rPr>
        <w:t>formulado</w:t>
      </w:r>
      <w:r>
        <w:rPr>
          <w:i/>
          <w:spacing w:val="-18"/>
          <w:sz w:val="20"/>
        </w:rPr>
        <w:t xml:space="preserve"> </w:t>
      </w:r>
      <w:r>
        <w:rPr>
          <w:i/>
          <w:sz w:val="20"/>
        </w:rPr>
        <w:t>por</w:t>
      </w:r>
      <w:r>
        <w:rPr>
          <w:i/>
          <w:spacing w:val="-19"/>
          <w:sz w:val="20"/>
        </w:rPr>
        <w:t xml:space="preserve"> </w:t>
      </w:r>
      <w:r>
        <w:rPr>
          <w:i/>
          <w:sz w:val="20"/>
        </w:rPr>
        <w:t>una</w:t>
      </w:r>
      <w:r>
        <w:rPr>
          <w:i/>
          <w:spacing w:val="-16"/>
          <w:sz w:val="20"/>
        </w:rPr>
        <w:t xml:space="preserve"> </w:t>
      </w:r>
      <w:r>
        <w:rPr>
          <w:i/>
          <w:sz w:val="20"/>
        </w:rPr>
        <w:t>o</w:t>
      </w:r>
      <w:r>
        <w:rPr>
          <w:i/>
          <w:spacing w:val="-19"/>
          <w:sz w:val="20"/>
        </w:rPr>
        <w:t xml:space="preserve"> </w:t>
      </w:r>
      <w:r>
        <w:rPr>
          <w:i/>
          <w:sz w:val="20"/>
        </w:rPr>
        <w:t>más</w:t>
      </w:r>
      <w:r>
        <w:rPr>
          <w:i/>
          <w:spacing w:val="-17"/>
          <w:sz w:val="20"/>
        </w:rPr>
        <w:t xml:space="preserve"> </w:t>
      </w:r>
      <w:r>
        <w:rPr>
          <w:i/>
          <w:sz w:val="20"/>
        </w:rPr>
        <w:t>partes</w:t>
      </w:r>
      <w:r>
        <w:rPr>
          <w:i/>
          <w:spacing w:val="-16"/>
          <w:sz w:val="20"/>
        </w:rPr>
        <w:t xml:space="preserve"> </w:t>
      </w:r>
      <w:r>
        <w:rPr>
          <w:i/>
          <w:sz w:val="20"/>
        </w:rPr>
        <w:t>con</w:t>
      </w:r>
      <w:r>
        <w:rPr>
          <w:i/>
          <w:spacing w:val="-16"/>
          <w:sz w:val="20"/>
        </w:rPr>
        <w:t xml:space="preserve"> </w:t>
      </w:r>
      <w:r>
        <w:rPr>
          <w:i/>
          <w:sz w:val="20"/>
        </w:rPr>
        <w:t>motivo</w:t>
      </w:r>
      <w:r>
        <w:rPr>
          <w:i/>
          <w:spacing w:val="-18"/>
          <w:sz w:val="20"/>
        </w:rPr>
        <w:t xml:space="preserve"> </w:t>
      </w:r>
      <w:r>
        <w:rPr>
          <w:i/>
          <w:sz w:val="20"/>
        </w:rPr>
        <w:t>de</w:t>
      </w:r>
      <w:r>
        <w:rPr>
          <w:i/>
          <w:spacing w:val="-19"/>
          <w:sz w:val="20"/>
        </w:rPr>
        <w:t xml:space="preserve"> </w:t>
      </w:r>
      <w:r>
        <w:rPr>
          <w:i/>
          <w:sz w:val="20"/>
        </w:rPr>
        <w:t>la</w:t>
      </w:r>
      <w:r>
        <w:rPr>
          <w:i/>
          <w:spacing w:val="-16"/>
          <w:sz w:val="20"/>
        </w:rPr>
        <w:t xml:space="preserve"> </w:t>
      </w:r>
      <w:r>
        <w:rPr>
          <w:i/>
          <w:sz w:val="20"/>
        </w:rPr>
        <w:t xml:space="preserve">celebración” </w:t>
      </w:r>
      <w:r>
        <w:rPr>
          <w:sz w:val="20"/>
        </w:rPr>
        <w:t xml:space="preserve">de la Convención </w:t>
      </w:r>
      <w:r>
        <w:rPr>
          <w:i/>
          <w:sz w:val="20"/>
        </w:rPr>
        <w:t xml:space="preserve">y ”aceptado por las demás como instrumento referente” </w:t>
      </w:r>
      <w:r>
        <w:rPr>
          <w:sz w:val="20"/>
        </w:rPr>
        <w:t>a</w:t>
      </w:r>
      <w:r>
        <w:rPr>
          <w:spacing w:val="-21"/>
          <w:sz w:val="20"/>
        </w:rPr>
        <w:t xml:space="preserve"> </w:t>
      </w:r>
      <w:r>
        <w:rPr>
          <w:sz w:val="20"/>
        </w:rPr>
        <w:t>ella</w:t>
      </w:r>
      <w:r>
        <w:rPr>
          <w:i/>
          <w:sz w:val="20"/>
        </w:rPr>
        <w:t>.</w:t>
      </w:r>
    </w:p>
    <w:p w14:paraId="5737619D" w14:textId="77777777" w:rsidR="00467FCA" w:rsidRDefault="00467FCA">
      <w:pPr>
        <w:pStyle w:val="Textoindependiente"/>
        <w:spacing w:before="11"/>
        <w:rPr>
          <w:i/>
          <w:sz w:val="22"/>
        </w:rPr>
      </w:pPr>
    </w:p>
    <w:p w14:paraId="02A8AC7D" w14:textId="77777777" w:rsidR="00467FCA" w:rsidRDefault="001B68EB">
      <w:pPr>
        <w:pStyle w:val="Prrafodelista"/>
        <w:numPr>
          <w:ilvl w:val="0"/>
          <w:numId w:val="25"/>
        </w:numPr>
        <w:tabs>
          <w:tab w:val="left" w:pos="1450"/>
        </w:tabs>
        <w:spacing w:line="276" w:lineRule="auto"/>
        <w:ind w:right="396" w:hanging="1"/>
        <w:jc w:val="both"/>
        <w:rPr>
          <w:i/>
          <w:sz w:val="20"/>
        </w:rPr>
      </w:pPr>
      <w:r>
        <w:rPr>
          <w:sz w:val="20"/>
        </w:rPr>
        <w:t>Tampoco</w:t>
      </w:r>
      <w:r>
        <w:rPr>
          <w:spacing w:val="-19"/>
          <w:sz w:val="20"/>
        </w:rPr>
        <w:t xml:space="preserve"> </w:t>
      </w:r>
      <w:r>
        <w:rPr>
          <w:sz w:val="20"/>
        </w:rPr>
        <w:t>existe</w:t>
      </w:r>
      <w:r>
        <w:rPr>
          <w:spacing w:val="-19"/>
          <w:sz w:val="20"/>
        </w:rPr>
        <w:t xml:space="preserve"> </w:t>
      </w:r>
      <w:r>
        <w:rPr>
          <w:sz w:val="20"/>
        </w:rPr>
        <w:t>junto</w:t>
      </w:r>
      <w:r>
        <w:rPr>
          <w:spacing w:val="-21"/>
          <w:sz w:val="20"/>
        </w:rPr>
        <w:t xml:space="preserve"> </w:t>
      </w:r>
      <w:r>
        <w:rPr>
          <w:sz w:val="20"/>
        </w:rPr>
        <w:t>al</w:t>
      </w:r>
      <w:r>
        <w:rPr>
          <w:spacing w:val="-15"/>
          <w:sz w:val="20"/>
        </w:rPr>
        <w:t xml:space="preserve"> </w:t>
      </w:r>
      <w:r>
        <w:rPr>
          <w:sz w:val="20"/>
        </w:rPr>
        <w:t>contexto,</w:t>
      </w:r>
      <w:r>
        <w:rPr>
          <w:spacing w:val="-17"/>
          <w:sz w:val="20"/>
        </w:rPr>
        <w:t xml:space="preserve"> </w:t>
      </w:r>
      <w:r>
        <w:rPr>
          <w:sz w:val="20"/>
        </w:rPr>
        <w:t>como</w:t>
      </w:r>
      <w:r>
        <w:rPr>
          <w:spacing w:val="-21"/>
          <w:sz w:val="20"/>
        </w:rPr>
        <w:t xml:space="preserve"> </w:t>
      </w:r>
      <w:r>
        <w:rPr>
          <w:sz w:val="20"/>
        </w:rPr>
        <w:t>lo</w:t>
      </w:r>
      <w:r>
        <w:rPr>
          <w:spacing w:val="-21"/>
          <w:sz w:val="20"/>
        </w:rPr>
        <w:t xml:space="preserve"> </w:t>
      </w:r>
      <w:r>
        <w:rPr>
          <w:sz w:val="20"/>
        </w:rPr>
        <w:t>dispone</w:t>
      </w:r>
      <w:r>
        <w:rPr>
          <w:spacing w:val="-19"/>
          <w:sz w:val="20"/>
        </w:rPr>
        <w:t xml:space="preserve"> </w:t>
      </w:r>
      <w:r>
        <w:rPr>
          <w:sz w:val="20"/>
        </w:rPr>
        <w:t>el</w:t>
      </w:r>
      <w:r>
        <w:rPr>
          <w:spacing w:val="-19"/>
          <w:sz w:val="20"/>
        </w:rPr>
        <w:t xml:space="preserve"> </w:t>
      </w:r>
      <w:r>
        <w:rPr>
          <w:sz w:val="20"/>
        </w:rPr>
        <w:t>artículo</w:t>
      </w:r>
      <w:r>
        <w:rPr>
          <w:spacing w:val="-19"/>
          <w:sz w:val="20"/>
        </w:rPr>
        <w:t xml:space="preserve"> </w:t>
      </w:r>
      <w:r>
        <w:rPr>
          <w:sz w:val="20"/>
        </w:rPr>
        <w:t>31.3</w:t>
      </w:r>
      <w:r>
        <w:rPr>
          <w:spacing w:val="-19"/>
          <w:sz w:val="20"/>
        </w:rPr>
        <w:t xml:space="preserve"> </w:t>
      </w:r>
      <w:r>
        <w:rPr>
          <w:sz w:val="20"/>
        </w:rPr>
        <w:t>de</w:t>
      </w:r>
      <w:r>
        <w:rPr>
          <w:spacing w:val="-18"/>
          <w:sz w:val="20"/>
        </w:rPr>
        <w:t xml:space="preserve"> </w:t>
      </w:r>
      <w:r>
        <w:rPr>
          <w:sz w:val="20"/>
        </w:rPr>
        <w:t>la</w:t>
      </w:r>
      <w:r>
        <w:rPr>
          <w:spacing w:val="-17"/>
          <w:sz w:val="20"/>
        </w:rPr>
        <w:t xml:space="preserve"> </w:t>
      </w:r>
      <w:r>
        <w:rPr>
          <w:sz w:val="20"/>
        </w:rPr>
        <w:t>Convención de Viena, algún “</w:t>
      </w:r>
      <w:r>
        <w:rPr>
          <w:i/>
          <w:sz w:val="20"/>
        </w:rPr>
        <w:t xml:space="preserve">acuerdo ulterior entre las partes acerca de la interpretación” </w:t>
      </w:r>
      <w:r>
        <w:rPr>
          <w:sz w:val="20"/>
        </w:rPr>
        <w:t xml:space="preserve">de la Convención </w:t>
      </w:r>
      <w:r>
        <w:rPr>
          <w:i/>
          <w:sz w:val="20"/>
        </w:rPr>
        <w:t xml:space="preserve">“o de la aplicación de sus disposiciones” </w:t>
      </w:r>
      <w:r>
        <w:rPr>
          <w:sz w:val="20"/>
        </w:rPr>
        <w:t xml:space="preserve">ni una </w:t>
      </w:r>
      <w:r>
        <w:rPr>
          <w:i/>
          <w:sz w:val="20"/>
        </w:rPr>
        <w:t xml:space="preserve">“práctica ulteriormente seguida en la aplicación” </w:t>
      </w:r>
      <w:r>
        <w:rPr>
          <w:sz w:val="20"/>
        </w:rPr>
        <w:t>de ella</w:t>
      </w:r>
      <w:r>
        <w:rPr>
          <w:i/>
          <w:sz w:val="20"/>
        </w:rPr>
        <w:t>, ”por la cual conste el acuerdo de las partes acerca de” su “interpre</w:t>
      </w:r>
      <w:r>
        <w:rPr>
          <w:i/>
          <w:sz w:val="20"/>
        </w:rPr>
        <w:t>tación”</w:t>
      </w:r>
      <w:r>
        <w:rPr>
          <w:sz w:val="20"/>
        </w:rPr>
        <w:t>,</w:t>
      </w:r>
      <w:r>
        <w:rPr>
          <w:spacing w:val="-9"/>
          <w:sz w:val="20"/>
        </w:rPr>
        <w:t xml:space="preserve"> </w:t>
      </w:r>
      <w:r>
        <w:rPr>
          <w:sz w:val="20"/>
        </w:rPr>
        <w:t>salvo</w:t>
      </w:r>
      <w:r>
        <w:rPr>
          <w:spacing w:val="-9"/>
          <w:sz w:val="20"/>
        </w:rPr>
        <w:t xml:space="preserve"> </w:t>
      </w:r>
      <w:r>
        <w:rPr>
          <w:sz w:val="20"/>
        </w:rPr>
        <w:t>el</w:t>
      </w:r>
      <w:r>
        <w:rPr>
          <w:spacing w:val="-10"/>
          <w:sz w:val="20"/>
        </w:rPr>
        <w:t xml:space="preserve"> </w:t>
      </w:r>
      <w:r>
        <w:rPr>
          <w:sz w:val="20"/>
        </w:rPr>
        <w:t>Protocolo</w:t>
      </w:r>
      <w:r>
        <w:rPr>
          <w:spacing w:val="-11"/>
          <w:sz w:val="20"/>
        </w:rPr>
        <w:t xml:space="preserve"> </w:t>
      </w:r>
      <w:r>
        <w:rPr>
          <w:sz w:val="20"/>
        </w:rPr>
        <w:t>de</w:t>
      </w:r>
      <w:r>
        <w:rPr>
          <w:spacing w:val="-9"/>
          <w:sz w:val="20"/>
        </w:rPr>
        <w:t xml:space="preserve"> </w:t>
      </w:r>
      <w:r>
        <w:rPr>
          <w:sz w:val="20"/>
        </w:rPr>
        <w:t>San</w:t>
      </w:r>
      <w:r>
        <w:rPr>
          <w:spacing w:val="-10"/>
          <w:sz w:val="20"/>
        </w:rPr>
        <w:t xml:space="preserve"> </w:t>
      </w:r>
      <w:r>
        <w:rPr>
          <w:sz w:val="20"/>
        </w:rPr>
        <w:t>Salvador,</w:t>
      </w:r>
      <w:r>
        <w:rPr>
          <w:spacing w:val="-8"/>
          <w:sz w:val="20"/>
        </w:rPr>
        <w:t xml:space="preserve"> </w:t>
      </w:r>
      <w:r>
        <w:rPr>
          <w:sz w:val="20"/>
        </w:rPr>
        <w:t>al</w:t>
      </w:r>
      <w:r>
        <w:rPr>
          <w:spacing w:val="-7"/>
          <w:sz w:val="20"/>
        </w:rPr>
        <w:t xml:space="preserve"> </w:t>
      </w:r>
      <w:r>
        <w:rPr>
          <w:sz w:val="20"/>
        </w:rPr>
        <w:t>que</w:t>
      </w:r>
      <w:r>
        <w:rPr>
          <w:spacing w:val="-9"/>
          <w:sz w:val="20"/>
        </w:rPr>
        <w:t xml:space="preserve"> </w:t>
      </w:r>
      <w:r>
        <w:rPr>
          <w:sz w:val="20"/>
        </w:rPr>
        <w:t>se</w:t>
      </w:r>
      <w:r>
        <w:rPr>
          <w:spacing w:val="-11"/>
          <w:sz w:val="20"/>
        </w:rPr>
        <w:t xml:space="preserve"> </w:t>
      </w:r>
      <w:r>
        <w:rPr>
          <w:sz w:val="20"/>
        </w:rPr>
        <w:t>hará</w:t>
      </w:r>
      <w:r>
        <w:rPr>
          <w:spacing w:val="-8"/>
          <w:sz w:val="20"/>
        </w:rPr>
        <w:t xml:space="preserve"> </w:t>
      </w:r>
      <w:r>
        <w:rPr>
          <w:sz w:val="20"/>
        </w:rPr>
        <w:t>referencia</w:t>
      </w:r>
      <w:r>
        <w:rPr>
          <w:spacing w:val="-11"/>
          <w:sz w:val="20"/>
        </w:rPr>
        <w:t xml:space="preserve"> </w:t>
      </w:r>
      <w:r>
        <w:rPr>
          <w:sz w:val="20"/>
        </w:rPr>
        <w:t>más</w:t>
      </w:r>
      <w:r>
        <w:rPr>
          <w:spacing w:val="-9"/>
          <w:sz w:val="20"/>
        </w:rPr>
        <w:t xml:space="preserve"> </w:t>
      </w:r>
      <w:r>
        <w:rPr>
          <w:sz w:val="20"/>
        </w:rPr>
        <w:t>adelante</w:t>
      </w:r>
      <w:r>
        <w:rPr>
          <w:i/>
          <w:sz w:val="20"/>
        </w:rPr>
        <w:t>.</w:t>
      </w:r>
    </w:p>
    <w:p w14:paraId="1BEDF2D5" w14:textId="77777777" w:rsidR="00467FCA" w:rsidRDefault="00467FCA">
      <w:pPr>
        <w:pStyle w:val="Textoindependiente"/>
        <w:spacing w:before="3"/>
        <w:rPr>
          <w:i/>
          <w:sz w:val="22"/>
        </w:rPr>
      </w:pPr>
    </w:p>
    <w:p w14:paraId="12898A6F" w14:textId="77777777" w:rsidR="00467FCA" w:rsidRDefault="001B68EB">
      <w:pPr>
        <w:pStyle w:val="Prrafodelista"/>
        <w:numPr>
          <w:ilvl w:val="0"/>
          <w:numId w:val="25"/>
        </w:numPr>
        <w:tabs>
          <w:tab w:val="left" w:pos="1451"/>
        </w:tabs>
        <w:spacing w:line="276" w:lineRule="auto"/>
        <w:ind w:right="396" w:firstLine="0"/>
        <w:jc w:val="both"/>
        <w:rPr>
          <w:sz w:val="20"/>
        </w:rPr>
      </w:pPr>
      <w:r>
        <w:rPr>
          <w:sz w:val="20"/>
        </w:rPr>
        <w:t>Por ende, no resulta aceptable que, ante la ausencia de lo que se conoce como la “interpretación auténtica”</w:t>
      </w:r>
      <w:hyperlink w:anchor="_bookmark593" w:history="1">
        <w:r>
          <w:rPr>
            <w:position w:val="7"/>
            <w:sz w:val="13"/>
          </w:rPr>
          <w:t>45</w:t>
        </w:r>
      </w:hyperlink>
      <w:r>
        <w:rPr>
          <w:position w:val="7"/>
          <w:sz w:val="13"/>
        </w:rPr>
        <w:t xml:space="preserve"> </w:t>
      </w:r>
      <w:r>
        <w:rPr>
          <w:sz w:val="20"/>
        </w:rPr>
        <w:t>de la Convención, su sentido</w:t>
      </w:r>
      <w:r>
        <w:rPr>
          <w:sz w:val="20"/>
        </w:rPr>
        <w:t xml:space="preserve"> y alcance sean determinados por la Corte al margen y aún en contradicción con lo pactado por sus Estados Partes. La Convención, como todo tratado, no existe al margen de lo que estos últimos expresamente convinieron.</w:t>
      </w:r>
    </w:p>
    <w:p w14:paraId="41907F85" w14:textId="77777777" w:rsidR="00467FCA" w:rsidRDefault="00467FCA">
      <w:pPr>
        <w:pStyle w:val="Textoindependiente"/>
        <w:spacing w:before="2"/>
        <w:rPr>
          <w:sz w:val="22"/>
        </w:rPr>
      </w:pPr>
    </w:p>
    <w:p w14:paraId="5F78D7D3"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Por</w:t>
      </w:r>
      <w:r>
        <w:rPr>
          <w:spacing w:val="-19"/>
          <w:sz w:val="20"/>
        </w:rPr>
        <w:t xml:space="preserve"> </w:t>
      </w:r>
      <w:r>
        <w:rPr>
          <w:sz w:val="20"/>
        </w:rPr>
        <w:t>otra</w:t>
      </w:r>
      <w:r>
        <w:rPr>
          <w:spacing w:val="-19"/>
          <w:sz w:val="20"/>
        </w:rPr>
        <w:t xml:space="preserve"> </w:t>
      </w:r>
      <w:r>
        <w:rPr>
          <w:sz w:val="20"/>
        </w:rPr>
        <w:t>parte,</w:t>
      </w:r>
      <w:r>
        <w:rPr>
          <w:spacing w:val="-20"/>
          <w:sz w:val="20"/>
        </w:rPr>
        <w:t xml:space="preserve"> </w:t>
      </w:r>
      <w:r>
        <w:rPr>
          <w:sz w:val="20"/>
        </w:rPr>
        <w:t>en</w:t>
      </w:r>
      <w:r>
        <w:rPr>
          <w:spacing w:val="-16"/>
          <w:sz w:val="20"/>
        </w:rPr>
        <w:t xml:space="preserve"> </w:t>
      </w:r>
      <w:r>
        <w:rPr>
          <w:sz w:val="20"/>
        </w:rPr>
        <w:t>el</w:t>
      </w:r>
      <w:r>
        <w:rPr>
          <w:spacing w:val="-18"/>
          <w:sz w:val="20"/>
        </w:rPr>
        <w:t xml:space="preserve"> </w:t>
      </w:r>
      <w:r>
        <w:rPr>
          <w:sz w:val="20"/>
        </w:rPr>
        <w:t>intento</w:t>
      </w:r>
      <w:r>
        <w:rPr>
          <w:spacing w:val="-20"/>
          <w:sz w:val="20"/>
        </w:rPr>
        <w:t xml:space="preserve"> </w:t>
      </w:r>
      <w:r>
        <w:rPr>
          <w:sz w:val="20"/>
        </w:rPr>
        <w:t>por</w:t>
      </w:r>
      <w:r>
        <w:rPr>
          <w:spacing w:val="-21"/>
          <w:sz w:val="20"/>
        </w:rPr>
        <w:t xml:space="preserve"> </w:t>
      </w:r>
      <w:r>
        <w:rPr>
          <w:sz w:val="20"/>
        </w:rPr>
        <w:t>jus</w:t>
      </w:r>
      <w:r>
        <w:rPr>
          <w:sz w:val="20"/>
        </w:rPr>
        <w:t>tificar</w:t>
      </w:r>
      <w:r>
        <w:rPr>
          <w:spacing w:val="-20"/>
          <w:sz w:val="20"/>
        </w:rPr>
        <w:t xml:space="preserve"> </w:t>
      </w:r>
      <w:r>
        <w:rPr>
          <w:sz w:val="20"/>
        </w:rPr>
        <w:t>la</w:t>
      </w:r>
      <w:r>
        <w:rPr>
          <w:spacing w:val="-20"/>
          <w:sz w:val="20"/>
        </w:rPr>
        <w:t xml:space="preserve"> </w:t>
      </w:r>
      <w:r>
        <w:rPr>
          <w:spacing w:val="3"/>
          <w:sz w:val="20"/>
        </w:rPr>
        <w:t>judicialización</w:t>
      </w:r>
      <w:r>
        <w:rPr>
          <w:spacing w:val="-13"/>
          <w:sz w:val="20"/>
        </w:rPr>
        <w:t xml:space="preserve"> </w:t>
      </w:r>
      <w:r>
        <w:rPr>
          <w:sz w:val="20"/>
        </w:rPr>
        <w:t>ante</w:t>
      </w:r>
      <w:r>
        <w:rPr>
          <w:spacing w:val="-21"/>
          <w:sz w:val="20"/>
        </w:rPr>
        <w:t xml:space="preserve"> </w:t>
      </w:r>
      <w:r>
        <w:rPr>
          <w:sz w:val="20"/>
        </w:rPr>
        <w:t>la</w:t>
      </w:r>
      <w:r>
        <w:rPr>
          <w:spacing w:val="-19"/>
          <w:sz w:val="20"/>
        </w:rPr>
        <w:t xml:space="preserve"> </w:t>
      </w:r>
      <w:r>
        <w:rPr>
          <w:sz w:val="20"/>
        </w:rPr>
        <w:t>Corte</w:t>
      </w:r>
      <w:r>
        <w:rPr>
          <w:spacing w:val="-19"/>
          <w:sz w:val="20"/>
        </w:rPr>
        <w:t xml:space="preserve"> </w:t>
      </w:r>
      <w:r>
        <w:rPr>
          <w:sz w:val="20"/>
        </w:rPr>
        <w:t>del</w:t>
      </w:r>
      <w:r>
        <w:rPr>
          <w:spacing w:val="-18"/>
          <w:sz w:val="20"/>
        </w:rPr>
        <w:t xml:space="preserve"> </w:t>
      </w:r>
      <w:r>
        <w:rPr>
          <w:sz w:val="20"/>
        </w:rPr>
        <w:t>derecho a condiciones equitativas y satisfactorias que garanticen la seguridad, la salud y la higiene en el trabajo y apoyándose en lo prescrito en el artículo 31.3.c) de la Convención de Viena, la Sentencia acude a tratados ratificados por Brasil, como, e</w:t>
      </w:r>
      <w:r>
        <w:rPr>
          <w:sz w:val="20"/>
        </w:rPr>
        <w:t xml:space="preserve">n consecuencia, fuentes autónomas del Derecho Internacional, es decir, que crean derechos. Empero, esas fuentes solo aludirían a la existencia del antes indicado derecho, lo que, como se expresó, no era objeto de la causa de autos ni es, consecuentemente, </w:t>
      </w:r>
      <w:r>
        <w:rPr>
          <w:sz w:val="20"/>
        </w:rPr>
        <w:t>abordado en este escrito, y no expresan</w:t>
      </w:r>
      <w:r>
        <w:rPr>
          <w:spacing w:val="-13"/>
          <w:sz w:val="20"/>
        </w:rPr>
        <w:t xml:space="preserve"> </w:t>
      </w:r>
      <w:r>
        <w:rPr>
          <w:sz w:val="20"/>
        </w:rPr>
        <w:t>absolutamente</w:t>
      </w:r>
      <w:r>
        <w:rPr>
          <w:spacing w:val="-14"/>
          <w:sz w:val="20"/>
        </w:rPr>
        <w:t xml:space="preserve"> </w:t>
      </w:r>
      <w:r>
        <w:rPr>
          <w:sz w:val="20"/>
        </w:rPr>
        <w:t>nada</w:t>
      </w:r>
      <w:r>
        <w:rPr>
          <w:spacing w:val="-11"/>
          <w:sz w:val="20"/>
        </w:rPr>
        <w:t xml:space="preserve"> </w:t>
      </w:r>
      <w:r>
        <w:rPr>
          <w:sz w:val="20"/>
        </w:rPr>
        <w:t>sobre</w:t>
      </w:r>
      <w:r>
        <w:rPr>
          <w:spacing w:val="-14"/>
          <w:sz w:val="20"/>
        </w:rPr>
        <w:t xml:space="preserve"> </w:t>
      </w:r>
      <w:r>
        <w:rPr>
          <w:sz w:val="20"/>
        </w:rPr>
        <w:t>la</w:t>
      </w:r>
      <w:r>
        <w:rPr>
          <w:spacing w:val="-11"/>
          <w:sz w:val="20"/>
        </w:rPr>
        <w:t xml:space="preserve"> </w:t>
      </w:r>
      <w:r>
        <w:rPr>
          <w:sz w:val="20"/>
        </w:rPr>
        <w:t>judicialización</w:t>
      </w:r>
      <w:r>
        <w:rPr>
          <w:spacing w:val="-12"/>
          <w:sz w:val="20"/>
        </w:rPr>
        <w:t xml:space="preserve"> </w:t>
      </w:r>
      <w:r>
        <w:rPr>
          <w:sz w:val="20"/>
        </w:rPr>
        <w:t>de</w:t>
      </w:r>
      <w:r>
        <w:rPr>
          <w:spacing w:val="-14"/>
          <w:sz w:val="20"/>
        </w:rPr>
        <w:t xml:space="preserve"> </w:t>
      </w:r>
      <w:r>
        <w:rPr>
          <w:sz w:val="20"/>
        </w:rPr>
        <w:t>las</w:t>
      </w:r>
      <w:r>
        <w:rPr>
          <w:spacing w:val="-12"/>
          <w:sz w:val="20"/>
        </w:rPr>
        <w:t xml:space="preserve"> </w:t>
      </w:r>
      <w:r>
        <w:rPr>
          <w:sz w:val="20"/>
        </w:rPr>
        <w:t>eventuales</w:t>
      </w:r>
      <w:r>
        <w:rPr>
          <w:spacing w:val="-9"/>
          <w:sz w:val="20"/>
        </w:rPr>
        <w:t xml:space="preserve"> </w:t>
      </w:r>
      <w:r>
        <w:rPr>
          <w:sz w:val="20"/>
        </w:rPr>
        <w:t>violaciones</w:t>
      </w:r>
      <w:r>
        <w:rPr>
          <w:spacing w:val="-12"/>
          <w:sz w:val="20"/>
        </w:rPr>
        <w:t xml:space="preserve"> </w:t>
      </w:r>
      <w:r>
        <w:rPr>
          <w:sz w:val="20"/>
        </w:rPr>
        <w:t>de</w:t>
      </w:r>
      <w:r>
        <w:rPr>
          <w:spacing w:val="-14"/>
          <w:sz w:val="20"/>
        </w:rPr>
        <w:t xml:space="preserve"> </w:t>
      </w:r>
      <w:r>
        <w:rPr>
          <w:sz w:val="20"/>
        </w:rPr>
        <w:t>aquél.</w:t>
      </w:r>
    </w:p>
    <w:p w14:paraId="39FC9092" w14:textId="77777777" w:rsidR="00467FCA" w:rsidRDefault="00467FCA">
      <w:pPr>
        <w:pStyle w:val="Textoindependiente"/>
        <w:spacing w:before="11"/>
        <w:rPr>
          <w:sz w:val="22"/>
        </w:rPr>
      </w:pPr>
    </w:p>
    <w:p w14:paraId="2942FF7E" w14:textId="77777777" w:rsidR="00467FCA" w:rsidRDefault="001B68EB">
      <w:pPr>
        <w:pStyle w:val="Prrafodelista"/>
        <w:numPr>
          <w:ilvl w:val="0"/>
          <w:numId w:val="25"/>
        </w:numPr>
        <w:tabs>
          <w:tab w:val="left" w:pos="1450"/>
        </w:tabs>
        <w:spacing w:before="1" w:line="278" w:lineRule="auto"/>
        <w:ind w:right="395" w:firstLine="0"/>
        <w:jc w:val="both"/>
        <w:rPr>
          <w:sz w:val="20"/>
        </w:rPr>
      </w:pPr>
      <w:r>
        <w:rPr>
          <w:sz w:val="20"/>
        </w:rPr>
        <w:t>Es lo que ocurre con la referencia al Pacto Internacional de Derechos Económicos, Sociales</w:t>
      </w:r>
      <w:r>
        <w:rPr>
          <w:spacing w:val="59"/>
          <w:sz w:val="20"/>
        </w:rPr>
        <w:t xml:space="preserve"> </w:t>
      </w:r>
      <w:r>
        <w:rPr>
          <w:sz w:val="20"/>
        </w:rPr>
        <w:t>y</w:t>
      </w:r>
      <w:r>
        <w:rPr>
          <w:spacing w:val="57"/>
          <w:sz w:val="20"/>
        </w:rPr>
        <w:t xml:space="preserve"> </w:t>
      </w:r>
      <w:r>
        <w:rPr>
          <w:sz w:val="20"/>
        </w:rPr>
        <w:t>Culturales</w:t>
      </w:r>
      <w:hyperlink w:anchor="_bookmark594" w:history="1">
        <w:r>
          <w:rPr>
            <w:position w:val="7"/>
            <w:sz w:val="13"/>
          </w:rPr>
          <w:t>46</w:t>
        </w:r>
      </w:hyperlink>
      <w:r>
        <w:rPr>
          <w:sz w:val="20"/>
        </w:rPr>
        <w:t>,</w:t>
      </w:r>
      <w:r>
        <w:rPr>
          <w:spacing w:val="59"/>
          <w:sz w:val="20"/>
        </w:rPr>
        <w:t xml:space="preserve"> </w:t>
      </w:r>
      <w:r>
        <w:rPr>
          <w:sz w:val="20"/>
        </w:rPr>
        <w:t>a</w:t>
      </w:r>
      <w:r>
        <w:rPr>
          <w:spacing w:val="59"/>
          <w:sz w:val="20"/>
        </w:rPr>
        <w:t xml:space="preserve"> </w:t>
      </w:r>
      <w:r>
        <w:rPr>
          <w:sz w:val="20"/>
        </w:rPr>
        <w:t>la</w:t>
      </w:r>
      <w:r>
        <w:rPr>
          <w:spacing w:val="58"/>
          <w:sz w:val="20"/>
        </w:rPr>
        <w:t xml:space="preserve"> </w:t>
      </w:r>
      <w:r>
        <w:rPr>
          <w:sz w:val="20"/>
        </w:rPr>
        <w:t>Convención</w:t>
      </w:r>
      <w:r>
        <w:rPr>
          <w:spacing w:val="61"/>
          <w:sz w:val="20"/>
        </w:rPr>
        <w:t xml:space="preserve"> </w:t>
      </w:r>
      <w:r>
        <w:rPr>
          <w:sz w:val="20"/>
        </w:rPr>
        <w:t>sobre</w:t>
      </w:r>
      <w:r>
        <w:rPr>
          <w:spacing w:val="59"/>
          <w:sz w:val="20"/>
        </w:rPr>
        <w:t xml:space="preserve"> </w:t>
      </w:r>
      <w:r>
        <w:rPr>
          <w:sz w:val="20"/>
        </w:rPr>
        <w:t>la</w:t>
      </w:r>
      <w:r>
        <w:rPr>
          <w:spacing w:val="59"/>
          <w:sz w:val="20"/>
        </w:rPr>
        <w:t xml:space="preserve"> </w:t>
      </w:r>
      <w:r>
        <w:rPr>
          <w:sz w:val="20"/>
        </w:rPr>
        <w:t>Eliminación</w:t>
      </w:r>
      <w:r>
        <w:rPr>
          <w:spacing w:val="59"/>
          <w:sz w:val="20"/>
        </w:rPr>
        <w:t xml:space="preserve"> </w:t>
      </w:r>
      <w:r>
        <w:rPr>
          <w:sz w:val="20"/>
        </w:rPr>
        <w:t>de</w:t>
      </w:r>
      <w:r>
        <w:rPr>
          <w:spacing w:val="56"/>
          <w:sz w:val="20"/>
        </w:rPr>
        <w:t xml:space="preserve"> </w:t>
      </w:r>
      <w:r>
        <w:rPr>
          <w:sz w:val="20"/>
        </w:rPr>
        <w:t>todas</w:t>
      </w:r>
      <w:r>
        <w:rPr>
          <w:spacing w:val="57"/>
          <w:sz w:val="20"/>
        </w:rPr>
        <w:t xml:space="preserve"> </w:t>
      </w:r>
      <w:r>
        <w:rPr>
          <w:sz w:val="20"/>
        </w:rPr>
        <w:t>las</w:t>
      </w:r>
      <w:r>
        <w:rPr>
          <w:spacing w:val="60"/>
          <w:sz w:val="20"/>
        </w:rPr>
        <w:t xml:space="preserve"> </w:t>
      </w:r>
      <w:r>
        <w:rPr>
          <w:sz w:val="20"/>
        </w:rPr>
        <w:t>Formas</w:t>
      </w:r>
      <w:r>
        <w:rPr>
          <w:spacing w:val="59"/>
          <w:sz w:val="20"/>
        </w:rPr>
        <w:t xml:space="preserve"> </w:t>
      </w:r>
      <w:r>
        <w:rPr>
          <w:sz w:val="20"/>
        </w:rPr>
        <w:t>de</w:t>
      </w:r>
    </w:p>
    <w:p w14:paraId="0A503F12" w14:textId="77777777" w:rsidR="00467FCA" w:rsidRDefault="001B68EB">
      <w:pPr>
        <w:pStyle w:val="Textoindependiente"/>
        <w:spacing w:before="2"/>
        <w:rPr>
          <w:sz w:val="16"/>
        </w:rPr>
      </w:pPr>
      <w:r>
        <w:pict w14:anchorId="236C0BC1">
          <v:shape id="_x0000_s1095" style="position:absolute;margin-left:56.75pt;margin-top:12.2pt;width:2in;height:.1pt;z-index:-251554816;mso-wrap-distance-left:0;mso-wrap-distance-right:0;mso-position-horizontal-relative:page" coordorigin="1135,244" coordsize="2880,0" path="m1135,244r2880,e" filled="f" strokeweight=".72pt">
            <v:path arrowok="t"/>
            <w10:wrap type="topAndBottom" anchorx="page"/>
          </v:shape>
        </w:pict>
      </w:r>
    </w:p>
    <w:p w14:paraId="43905527" w14:textId="77777777" w:rsidR="00467FCA" w:rsidRDefault="001B68EB">
      <w:pPr>
        <w:spacing w:before="71"/>
        <w:ind w:left="470"/>
        <w:rPr>
          <w:sz w:val="16"/>
        </w:rPr>
      </w:pPr>
      <w:bookmarkStart w:id="672" w:name="_bookmark593"/>
      <w:bookmarkEnd w:id="672"/>
      <w:r>
        <w:rPr>
          <w:position w:val="6"/>
          <w:sz w:val="10"/>
        </w:rPr>
        <w:t xml:space="preserve">45 </w:t>
      </w:r>
      <w:r>
        <w:rPr>
          <w:sz w:val="16"/>
        </w:rPr>
        <w:t>Denominación dada por la doctrina.</w:t>
      </w:r>
    </w:p>
    <w:p w14:paraId="131F9B2D" w14:textId="77777777" w:rsidR="00467FCA" w:rsidRDefault="001B68EB">
      <w:pPr>
        <w:ind w:left="470"/>
        <w:rPr>
          <w:sz w:val="16"/>
        </w:rPr>
      </w:pPr>
      <w:bookmarkStart w:id="673" w:name="_bookmark594"/>
      <w:bookmarkEnd w:id="673"/>
      <w:r>
        <w:rPr>
          <w:position w:val="6"/>
          <w:sz w:val="10"/>
        </w:rPr>
        <w:t xml:space="preserve">46 </w:t>
      </w:r>
      <w:r>
        <w:rPr>
          <w:sz w:val="16"/>
        </w:rPr>
        <w:t>Párr. 162 de la Sentencia.</w:t>
      </w:r>
    </w:p>
    <w:p w14:paraId="3E90D74D" w14:textId="77777777" w:rsidR="00467FCA" w:rsidRDefault="00467FCA">
      <w:pPr>
        <w:rPr>
          <w:sz w:val="16"/>
        </w:rPr>
        <w:sectPr w:rsidR="00467FCA">
          <w:pgSz w:w="12240" w:h="15840"/>
          <w:pgMar w:top="1340" w:right="1140" w:bottom="1200" w:left="960" w:header="0" w:footer="1002" w:gutter="0"/>
          <w:cols w:space="720"/>
        </w:sectPr>
      </w:pPr>
    </w:p>
    <w:p w14:paraId="55A08987" w14:textId="77777777" w:rsidR="00467FCA" w:rsidRDefault="001B68EB">
      <w:pPr>
        <w:pStyle w:val="Textoindependiente"/>
        <w:spacing w:before="76" w:line="276" w:lineRule="auto"/>
        <w:ind w:left="470" w:right="395"/>
        <w:jc w:val="both"/>
      </w:pPr>
      <w:r>
        <w:t>Discriminación contra la Mujer</w:t>
      </w:r>
      <w:hyperlink w:anchor="_bookmark595" w:history="1">
        <w:r>
          <w:rPr>
            <w:position w:val="7"/>
            <w:sz w:val="13"/>
          </w:rPr>
          <w:t>47</w:t>
        </w:r>
      </w:hyperlink>
      <w:r>
        <w:t>, a la Constitución de la Organización Internacional del Trabajo</w:t>
      </w:r>
      <w:hyperlink w:anchor="_bookmark596" w:history="1">
        <w:r>
          <w:rPr>
            <w:position w:val="7"/>
            <w:sz w:val="13"/>
          </w:rPr>
          <w:t xml:space="preserve">48 </w:t>
        </w:r>
      </w:hyperlink>
      <w:r>
        <w:rPr>
          <w:position w:val="7"/>
          <w:sz w:val="13"/>
        </w:rPr>
        <w:t xml:space="preserve">y </w:t>
      </w:r>
      <w:hyperlink w:anchor="_bookmark597" w:history="1">
        <w:r>
          <w:rPr>
            <w:position w:val="7"/>
            <w:sz w:val="13"/>
          </w:rPr>
          <w:t>49</w:t>
        </w:r>
      </w:hyperlink>
      <w:r>
        <w:t>, al Convenio No. 81 de 1947 de la OIT, sobre la Inspección del Trabajo</w:t>
      </w:r>
      <w:hyperlink w:anchor="_bookmark598" w:history="1">
        <w:r>
          <w:rPr>
            <w:position w:val="7"/>
            <w:sz w:val="13"/>
          </w:rPr>
          <w:t>50</w:t>
        </w:r>
      </w:hyperlink>
      <w:r>
        <w:t>, y al Convenio No. 155 de 1981 de la OIT, sobre seguridad y salud de los trabajadores</w:t>
      </w:r>
      <w:hyperlink w:anchor="_bookmark599" w:history="1">
        <w:r>
          <w:rPr>
            <w:position w:val="7"/>
            <w:sz w:val="13"/>
          </w:rPr>
          <w:t>51</w:t>
        </w:r>
      </w:hyperlink>
      <w:r>
        <w:t>, instrum</w:t>
      </w:r>
      <w:r>
        <w:t>entos</w:t>
      </w:r>
      <w:r>
        <w:rPr>
          <w:spacing w:val="-5"/>
        </w:rPr>
        <w:t xml:space="preserve"> </w:t>
      </w:r>
      <w:r>
        <w:t>jurídicos,</w:t>
      </w:r>
      <w:r>
        <w:rPr>
          <w:spacing w:val="-1"/>
        </w:rPr>
        <w:t xml:space="preserve"> </w:t>
      </w:r>
      <w:r>
        <w:t>se</w:t>
      </w:r>
      <w:r>
        <w:rPr>
          <w:spacing w:val="-4"/>
        </w:rPr>
        <w:t xml:space="preserve"> </w:t>
      </w:r>
      <w:r>
        <w:t>reitera,</w:t>
      </w:r>
      <w:r>
        <w:rPr>
          <w:spacing w:val="-4"/>
        </w:rPr>
        <w:t xml:space="preserve"> </w:t>
      </w:r>
      <w:r>
        <w:t>que</w:t>
      </w:r>
      <w:r>
        <w:rPr>
          <w:spacing w:val="-4"/>
        </w:rPr>
        <w:t xml:space="preserve"> </w:t>
      </w:r>
      <w:r>
        <w:t>no</w:t>
      </w:r>
      <w:r>
        <w:rPr>
          <w:spacing w:val="-4"/>
        </w:rPr>
        <w:t xml:space="preserve"> </w:t>
      </w:r>
      <w:r>
        <w:t>contemplan</w:t>
      </w:r>
      <w:r>
        <w:rPr>
          <w:spacing w:val="-4"/>
        </w:rPr>
        <w:t xml:space="preserve"> </w:t>
      </w:r>
      <w:r>
        <w:t>la</w:t>
      </w:r>
      <w:r>
        <w:rPr>
          <w:spacing w:val="-5"/>
        </w:rPr>
        <w:t xml:space="preserve"> </w:t>
      </w:r>
      <w:r>
        <w:t>posibilidad</w:t>
      </w:r>
      <w:r>
        <w:rPr>
          <w:spacing w:val="-5"/>
        </w:rPr>
        <w:t xml:space="preserve"> </w:t>
      </w:r>
      <w:r>
        <w:t>de</w:t>
      </w:r>
      <w:r>
        <w:rPr>
          <w:spacing w:val="-2"/>
        </w:rPr>
        <w:t xml:space="preserve"> </w:t>
      </w:r>
      <w:r>
        <w:t>recurrir</w:t>
      </w:r>
      <w:r>
        <w:rPr>
          <w:spacing w:val="-4"/>
        </w:rPr>
        <w:t xml:space="preserve"> </w:t>
      </w:r>
      <w:r>
        <w:t>ante</w:t>
      </w:r>
      <w:r>
        <w:rPr>
          <w:spacing w:val="-7"/>
        </w:rPr>
        <w:t xml:space="preserve"> </w:t>
      </w:r>
      <w:r>
        <w:t>la</w:t>
      </w:r>
      <w:r>
        <w:rPr>
          <w:spacing w:val="-3"/>
        </w:rPr>
        <w:t xml:space="preserve"> </w:t>
      </w:r>
      <w:r>
        <w:t>Corte u otro tribunal internacional, por las eventuales violaciones del derecho al</w:t>
      </w:r>
      <w:r>
        <w:rPr>
          <w:spacing w:val="-20"/>
        </w:rPr>
        <w:t xml:space="preserve"> </w:t>
      </w:r>
      <w:r>
        <w:t>trabajo.</w:t>
      </w:r>
    </w:p>
    <w:p w14:paraId="0AC8D0BF" w14:textId="77777777" w:rsidR="00467FCA" w:rsidRDefault="00467FCA">
      <w:pPr>
        <w:pStyle w:val="Textoindependiente"/>
        <w:spacing w:before="1"/>
        <w:rPr>
          <w:sz w:val="23"/>
        </w:rPr>
      </w:pPr>
    </w:p>
    <w:p w14:paraId="54FCD48D" w14:textId="77777777" w:rsidR="00467FCA" w:rsidRDefault="001B68EB">
      <w:pPr>
        <w:pStyle w:val="Prrafodelista"/>
        <w:numPr>
          <w:ilvl w:val="0"/>
          <w:numId w:val="25"/>
        </w:numPr>
        <w:tabs>
          <w:tab w:val="left" w:pos="1450"/>
        </w:tabs>
        <w:spacing w:line="276" w:lineRule="auto"/>
        <w:ind w:right="396" w:firstLine="0"/>
        <w:jc w:val="both"/>
        <w:rPr>
          <w:sz w:val="20"/>
        </w:rPr>
      </w:pPr>
      <w:r>
        <w:rPr>
          <w:sz w:val="20"/>
        </w:rPr>
        <w:t>Tampoco la Sentencia recurre a fuentes auxiliares del Derecho Internacional, esto es, a las que ayudan en la determinación de las reglas de derecho aplicables, como son la jurisprudencia, la doctrina o las resoluciones de organizaciones internacionales dec</w:t>
      </w:r>
      <w:r>
        <w:rPr>
          <w:sz w:val="20"/>
        </w:rPr>
        <w:t>larativas de derecho</w:t>
      </w:r>
      <w:hyperlink w:anchor="_bookmark600" w:history="1">
        <w:r>
          <w:rPr>
            <w:position w:val="7"/>
            <w:sz w:val="13"/>
          </w:rPr>
          <w:t>52</w:t>
        </w:r>
      </w:hyperlink>
      <w:r>
        <w:rPr>
          <w:sz w:val="20"/>
        </w:rPr>
        <w:t>. Únicamente apela sea a su propia jurisprudencia, lo cual es útil básicamente para demostrar coherencia en su proceder, más no necesariamente para determinar las reglas jurídicas aplicables, sea a reso</w:t>
      </w:r>
      <w:r>
        <w:rPr>
          <w:sz w:val="20"/>
        </w:rPr>
        <w:t>luciones de organizaciones internacionales no vinculantes para los Estados, es decir, a meras recomendaciones, y que, además, no interpretan a la Convención ni tienen por objeto</w:t>
      </w:r>
      <w:r>
        <w:rPr>
          <w:spacing w:val="-8"/>
          <w:sz w:val="20"/>
        </w:rPr>
        <w:t xml:space="preserve"> </w:t>
      </w:r>
      <w:r>
        <w:rPr>
          <w:sz w:val="20"/>
        </w:rPr>
        <w:t>hacerlo.</w:t>
      </w:r>
    </w:p>
    <w:p w14:paraId="027302AA" w14:textId="77777777" w:rsidR="00467FCA" w:rsidRDefault="00467FCA">
      <w:pPr>
        <w:pStyle w:val="Textoindependiente"/>
        <w:spacing w:before="2"/>
        <w:rPr>
          <w:sz w:val="22"/>
        </w:rPr>
      </w:pPr>
    </w:p>
    <w:p w14:paraId="1139D448" w14:textId="77777777" w:rsidR="00467FCA" w:rsidRDefault="001B68EB">
      <w:pPr>
        <w:pStyle w:val="Prrafodelista"/>
        <w:numPr>
          <w:ilvl w:val="0"/>
          <w:numId w:val="25"/>
        </w:numPr>
        <w:tabs>
          <w:tab w:val="left" w:pos="1451"/>
        </w:tabs>
        <w:spacing w:line="276" w:lineRule="auto"/>
        <w:ind w:right="397" w:firstLine="0"/>
        <w:jc w:val="both"/>
        <w:rPr>
          <w:sz w:val="20"/>
        </w:rPr>
      </w:pPr>
      <w:r>
        <w:rPr>
          <w:sz w:val="20"/>
        </w:rPr>
        <w:t>Lo último indicado acontece con Observaciones Generales No. 14,</w:t>
      </w:r>
      <w:hyperlink w:anchor="_bookmark601" w:history="1">
        <w:r>
          <w:rPr>
            <w:position w:val="7"/>
            <w:sz w:val="13"/>
          </w:rPr>
          <w:t>53</w:t>
        </w:r>
      </w:hyperlink>
      <w:r>
        <w:rPr>
          <w:sz w:val="20"/>
        </w:rPr>
        <w:t xml:space="preserve">, </w:t>
      </w:r>
      <w:r>
        <w:rPr>
          <w:spacing w:val="3"/>
          <w:sz w:val="20"/>
        </w:rPr>
        <w:t>18</w:t>
      </w:r>
      <w:hyperlink w:anchor="_bookmark602" w:history="1">
        <w:r>
          <w:rPr>
            <w:spacing w:val="3"/>
            <w:position w:val="7"/>
            <w:sz w:val="13"/>
          </w:rPr>
          <w:t>54</w:t>
        </w:r>
      </w:hyperlink>
      <w:r>
        <w:rPr>
          <w:spacing w:val="3"/>
          <w:position w:val="7"/>
          <w:sz w:val="13"/>
        </w:rPr>
        <w:t xml:space="preserve"> </w:t>
      </w:r>
      <w:r>
        <w:rPr>
          <w:sz w:val="20"/>
        </w:rPr>
        <w:t xml:space="preserve">y </w:t>
      </w:r>
      <w:r>
        <w:rPr>
          <w:spacing w:val="3"/>
          <w:sz w:val="20"/>
        </w:rPr>
        <w:t>23</w:t>
      </w:r>
      <w:hyperlink w:anchor="_bookmark603" w:history="1">
        <w:r>
          <w:rPr>
            <w:spacing w:val="3"/>
            <w:position w:val="7"/>
            <w:sz w:val="13"/>
          </w:rPr>
          <w:t>55</w:t>
        </w:r>
      </w:hyperlink>
      <w:r>
        <w:rPr>
          <w:spacing w:val="3"/>
          <w:sz w:val="20"/>
        </w:rPr>
        <w:t xml:space="preserve">, </w:t>
      </w:r>
      <w:r>
        <w:rPr>
          <w:sz w:val="20"/>
        </w:rPr>
        <w:t>todas del Comité de Derechos Económicos, Sociales y Culturales del Consejo Económico y Social de las Naciones Unidas. Y es que esos instrumentos, má</w:t>
      </w:r>
      <w:r>
        <w:rPr>
          <w:sz w:val="20"/>
        </w:rPr>
        <w:t>s que interpretar una norma convencional y menos aún a la Convención, constituyen expresión de aspiraciones, por lo demás legítimas, de cambio o desarrollo del Derecho Internacional en la materia a la que cada uno se refiere. Por otra parte, no se debe olv</w:t>
      </w:r>
      <w:r>
        <w:rPr>
          <w:sz w:val="20"/>
        </w:rPr>
        <w:t>idar que ni siquiera emanan de un funcionario o de un órgano internacional del</w:t>
      </w:r>
      <w:r>
        <w:rPr>
          <w:spacing w:val="-6"/>
          <w:sz w:val="20"/>
        </w:rPr>
        <w:t xml:space="preserve"> </w:t>
      </w:r>
      <w:r>
        <w:rPr>
          <w:sz w:val="20"/>
        </w:rPr>
        <w:t>SIDH.</w:t>
      </w:r>
    </w:p>
    <w:p w14:paraId="72917B30" w14:textId="77777777" w:rsidR="00467FCA" w:rsidRDefault="00467FCA">
      <w:pPr>
        <w:pStyle w:val="Textoindependiente"/>
        <w:spacing w:before="3"/>
        <w:rPr>
          <w:sz w:val="22"/>
        </w:rPr>
      </w:pPr>
    </w:p>
    <w:p w14:paraId="522FD7A6"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En cuanto a la Declaración Universal de Derechos Humanos</w:t>
      </w:r>
      <w:hyperlink w:anchor="_bookmark604" w:history="1">
        <w:r>
          <w:rPr>
            <w:position w:val="7"/>
            <w:sz w:val="13"/>
          </w:rPr>
          <w:t>56</w:t>
        </w:r>
      </w:hyperlink>
      <w:r>
        <w:rPr>
          <w:position w:val="7"/>
          <w:sz w:val="13"/>
        </w:rPr>
        <w:t xml:space="preserve"> </w:t>
      </w:r>
      <w:r>
        <w:rPr>
          <w:sz w:val="20"/>
        </w:rPr>
        <w:t>y a la Declaración Americana de los Derechos y Deberes del Hombre</w:t>
      </w:r>
      <w:hyperlink w:anchor="_bookmark605" w:history="1">
        <w:r>
          <w:rPr>
            <w:position w:val="7"/>
            <w:sz w:val="13"/>
          </w:rPr>
          <w:t>57</w:t>
        </w:r>
      </w:hyperlink>
      <w:r>
        <w:rPr>
          <w:position w:val="7"/>
          <w:sz w:val="13"/>
        </w:rPr>
        <w:t xml:space="preserve"> </w:t>
      </w:r>
      <w:r>
        <w:rPr>
          <w:sz w:val="20"/>
        </w:rPr>
        <w:t>referidas en la Sentencia, si bien es cierto que ellas son Resoluciones Declarativas de Derecho, en cuanto dan cuenta de principios generales de Derecho aplicables en las materias correspondientes, reconocidos además, por la Convención</w:t>
      </w:r>
      <w:r>
        <w:rPr>
          <w:sz w:val="20"/>
        </w:rPr>
        <w:t xml:space="preserve"> en orden a que “</w:t>
      </w:r>
      <w:r>
        <w:rPr>
          <w:i/>
          <w:sz w:val="20"/>
        </w:rPr>
        <w:t>los derechos esenciales del hombre[</w:t>
      </w:r>
      <w:r>
        <w:rPr>
          <w:sz w:val="20"/>
        </w:rPr>
        <w:t xml:space="preserve">…](que) </w:t>
      </w:r>
      <w:r>
        <w:rPr>
          <w:i/>
          <w:sz w:val="20"/>
        </w:rPr>
        <w:t xml:space="preserve">tienen como fundamento los atributos de la persona humana” </w:t>
      </w:r>
      <w:r>
        <w:rPr>
          <w:sz w:val="20"/>
        </w:rPr>
        <w:t>y de que son “</w:t>
      </w:r>
      <w:r>
        <w:rPr>
          <w:i/>
          <w:sz w:val="20"/>
        </w:rPr>
        <w:t>principios […] consagrados en” ella</w:t>
      </w:r>
      <w:hyperlink w:anchor="_bookmark606" w:history="1">
        <w:r>
          <w:rPr>
            <w:position w:val="7"/>
            <w:sz w:val="13"/>
          </w:rPr>
          <w:t>58</w:t>
        </w:r>
      </w:hyperlink>
      <w:r>
        <w:rPr>
          <w:sz w:val="20"/>
        </w:rPr>
        <w:t>, no es menos cierto que tales Declaraciones no contem</w:t>
      </w:r>
      <w:r>
        <w:rPr>
          <w:sz w:val="20"/>
        </w:rPr>
        <w:t>plan ni</w:t>
      </w:r>
      <w:r>
        <w:rPr>
          <w:spacing w:val="6"/>
          <w:sz w:val="20"/>
        </w:rPr>
        <w:t xml:space="preserve"> </w:t>
      </w:r>
      <w:r>
        <w:rPr>
          <w:sz w:val="20"/>
        </w:rPr>
        <w:t>hacen</w:t>
      </w:r>
    </w:p>
    <w:p w14:paraId="1070D4D9" w14:textId="77777777" w:rsidR="00467FCA" w:rsidRDefault="001B68EB">
      <w:pPr>
        <w:pStyle w:val="Textoindependiente"/>
        <w:spacing w:before="11"/>
        <w:rPr>
          <w:sz w:val="16"/>
        </w:rPr>
      </w:pPr>
      <w:r>
        <w:pict w14:anchorId="030BA603">
          <v:shape id="_x0000_s1094" style="position:absolute;margin-left:56.75pt;margin-top:12.65pt;width:2in;height:.1pt;z-index:-251553792;mso-wrap-distance-left:0;mso-wrap-distance-right:0;mso-position-horizontal-relative:page" coordorigin="1135,253" coordsize="2880,0" path="m1135,253r2880,e" filled="f" strokeweight=".72pt">
            <v:path arrowok="t"/>
            <w10:wrap type="topAndBottom" anchorx="page"/>
          </v:shape>
        </w:pict>
      </w:r>
    </w:p>
    <w:p w14:paraId="53A23EA1" w14:textId="77777777" w:rsidR="00467FCA" w:rsidRDefault="001B68EB">
      <w:pPr>
        <w:spacing w:before="71"/>
        <w:ind w:left="470"/>
        <w:rPr>
          <w:sz w:val="16"/>
        </w:rPr>
      </w:pPr>
      <w:bookmarkStart w:id="674" w:name="_bookmark595"/>
      <w:bookmarkEnd w:id="674"/>
      <w:r>
        <w:rPr>
          <w:position w:val="6"/>
          <w:sz w:val="10"/>
        </w:rPr>
        <w:t xml:space="preserve">47    </w:t>
      </w:r>
      <w:r>
        <w:rPr>
          <w:sz w:val="16"/>
        </w:rPr>
        <w:t>Párr.</w:t>
      </w:r>
      <w:r>
        <w:rPr>
          <w:spacing w:val="4"/>
          <w:sz w:val="16"/>
        </w:rPr>
        <w:t xml:space="preserve"> </w:t>
      </w:r>
      <w:r>
        <w:rPr>
          <w:sz w:val="16"/>
        </w:rPr>
        <w:t>163.</w:t>
      </w:r>
    </w:p>
    <w:p w14:paraId="1249905D" w14:textId="77777777" w:rsidR="00467FCA" w:rsidRDefault="001B68EB">
      <w:pPr>
        <w:ind w:left="470"/>
        <w:rPr>
          <w:sz w:val="16"/>
        </w:rPr>
      </w:pPr>
      <w:bookmarkStart w:id="675" w:name="_bookmark596"/>
      <w:bookmarkEnd w:id="675"/>
      <w:r>
        <w:rPr>
          <w:position w:val="6"/>
          <w:sz w:val="10"/>
        </w:rPr>
        <w:t xml:space="preserve">48    </w:t>
      </w:r>
      <w:r>
        <w:rPr>
          <w:sz w:val="16"/>
        </w:rPr>
        <w:t>Párr.</w:t>
      </w:r>
      <w:r>
        <w:rPr>
          <w:spacing w:val="4"/>
          <w:sz w:val="16"/>
        </w:rPr>
        <w:t xml:space="preserve"> </w:t>
      </w:r>
      <w:r>
        <w:rPr>
          <w:sz w:val="16"/>
        </w:rPr>
        <w:t>164.</w:t>
      </w:r>
    </w:p>
    <w:p w14:paraId="2B340C83" w14:textId="77777777" w:rsidR="00467FCA" w:rsidRDefault="001B68EB">
      <w:pPr>
        <w:ind w:left="470"/>
        <w:rPr>
          <w:sz w:val="16"/>
        </w:rPr>
      </w:pPr>
      <w:bookmarkStart w:id="676" w:name="_bookmark597"/>
      <w:bookmarkEnd w:id="676"/>
      <w:r>
        <w:rPr>
          <w:position w:val="6"/>
          <w:sz w:val="10"/>
        </w:rPr>
        <w:t xml:space="preserve">49 </w:t>
      </w:r>
      <w:r>
        <w:rPr>
          <w:sz w:val="16"/>
        </w:rPr>
        <w:t>En adelante, la OIT.</w:t>
      </w:r>
    </w:p>
    <w:p w14:paraId="06D0D76F" w14:textId="77777777" w:rsidR="00467FCA" w:rsidRDefault="001B68EB">
      <w:pPr>
        <w:ind w:left="470"/>
        <w:rPr>
          <w:sz w:val="16"/>
        </w:rPr>
      </w:pPr>
      <w:bookmarkStart w:id="677" w:name="_bookmark598"/>
      <w:bookmarkEnd w:id="677"/>
      <w:r>
        <w:rPr>
          <w:position w:val="6"/>
          <w:sz w:val="10"/>
        </w:rPr>
        <w:t xml:space="preserve">50   </w:t>
      </w:r>
      <w:bookmarkStart w:id="678" w:name="_bookmark599"/>
      <w:bookmarkEnd w:id="678"/>
      <w:r>
        <w:rPr>
          <w:position w:val="6"/>
          <w:sz w:val="10"/>
        </w:rPr>
        <w:t xml:space="preserve"> </w:t>
      </w:r>
      <w:r>
        <w:rPr>
          <w:sz w:val="16"/>
        </w:rPr>
        <w:t>Párr.</w:t>
      </w:r>
      <w:r>
        <w:rPr>
          <w:spacing w:val="4"/>
          <w:sz w:val="16"/>
        </w:rPr>
        <w:t xml:space="preserve"> </w:t>
      </w:r>
      <w:r>
        <w:rPr>
          <w:sz w:val="16"/>
        </w:rPr>
        <w:t>164.</w:t>
      </w:r>
    </w:p>
    <w:p w14:paraId="14E568A3" w14:textId="77777777" w:rsidR="00467FCA" w:rsidRDefault="001B68EB">
      <w:pPr>
        <w:ind w:left="470"/>
        <w:rPr>
          <w:sz w:val="16"/>
        </w:rPr>
      </w:pPr>
      <w:r>
        <w:rPr>
          <w:position w:val="6"/>
          <w:sz w:val="10"/>
        </w:rPr>
        <w:t xml:space="preserve">51    </w:t>
      </w:r>
      <w:r>
        <w:rPr>
          <w:sz w:val="16"/>
        </w:rPr>
        <w:t>Párr.</w:t>
      </w:r>
      <w:r>
        <w:rPr>
          <w:spacing w:val="4"/>
          <w:sz w:val="16"/>
        </w:rPr>
        <w:t xml:space="preserve"> </w:t>
      </w:r>
      <w:r>
        <w:rPr>
          <w:sz w:val="16"/>
        </w:rPr>
        <w:t>165.</w:t>
      </w:r>
    </w:p>
    <w:p w14:paraId="3FEBE83E" w14:textId="77777777" w:rsidR="00467FCA" w:rsidRDefault="001B68EB">
      <w:pPr>
        <w:ind w:left="470" w:right="392"/>
        <w:jc w:val="both"/>
        <w:rPr>
          <w:i/>
          <w:sz w:val="16"/>
        </w:rPr>
      </w:pPr>
      <w:bookmarkStart w:id="679" w:name="_bookmark600"/>
      <w:bookmarkEnd w:id="679"/>
      <w:r>
        <w:rPr>
          <w:position w:val="6"/>
          <w:sz w:val="10"/>
        </w:rPr>
        <w:t xml:space="preserve">52 </w:t>
      </w:r>
      <w:r>
        <w:rPr>
          <w:sz w:val="16"/>
        </w:rPr>
        <w:t>Artículo 38 del Estatuto de la Corte Internacional de Justicia: “</w:t>
      </w:r>
      <w:r>
        <w:rPr>
          <w:i/>
          <w:sz w:val="16"/>
        </w:rPr>
        <w:t>La Corte, cuya función es decidir conforme al derecho internacional las controversias que le sean sometidas, deberá aplicar: a. las convenciones</w:t>
      </w:r>
      <w:r>
        <w:rPr>
          <w:i/>
          <w:spacing w:val="-39"/>
          <w:sz w:val="16"/>
        </w:rPr>
        <w:t xml:space="preserve"> </w:t>
      </w:r>
      <w:r>
        <w:rPr>
          <w:i/>
          <w:sz w:val="16"/>
        </w:rPr>
        <w:t xml:space="preserve">internacionales, sean generales o particulares, que establecen reglas expresamente reconocidas por los Estados </w:t>
      </w:r>
      <w:r>
        <w:rPr>
          <w:i/>
          <w:sz w:val="16"/>
        </w:rPr>
        <w:t>litigantes; h. la costumbre internacional como. prueba de una práctica generalmente aceptada como derecho; c. los principios generales de derecho reconocidos por las naciones civilizadas; d. las decisiones judiciales y las doctrinas de los publicistas</w:t>
      </w:r>
      <w:r>
        <w:rPr>
          <w:i/>
          <w:spacing w:val="-8"/>
          <w:sz w:val="16"/>
        </w:rPr>
        <w:t xml:space="preserve"> </w:t>
      </w:r>
      <w:r>
        <w:rPr>
          <w:i/>
          <w:sz w:val="16"/>
        </w:rPr>
        <w:t>de</w:t>
      </w:r>
      <w:r>
        <w:rPr>
          <w:i/>
          <w:spacing w:val="-8"/>
          <w:sz w:val="16"/>
        </w:rPr>
        <w:t xml:space="preserve"> </w:t>
      </w:r>
      <w:r>
        <w:rPr>
          <w:i/>
          <w:sz w:val="16"/>
        </w:rPr>
        <w:t>m</w:t>
      </w:r>
      <w:r>
        <w:rPr>
          <w:i/>
          <w:sz w:val="16"/>
        </w:rPr>
        <w:t>ayor</w:t>
      </w:r>
      <w:r>
        <w:rPr>
          <w:i/>
          <w:spacing w:val="-7"/>
          <w:sz w:val="16"/>
        </w:rPr>
        <w:t xml:space="preserve"> </w:t>
      </w:r>
      <w:r>
        <w:rPr>
          <w:i/>
          <w:sz w:val="16"/>
        </w:rPr>
        <w:t>competencia</w:t>
      </w:r>
      <w:r>
        <w:rPr>
          <w:i/>
          <w:spacing w:val="-9"/>
          <w:sz w:val="16"/>
        </w:rPr>
        <w:t xml:space="preserve"> </w:t>
      </w:r>
      <w:r>
        <w:rPr>
          <w:i/>
          <w:sz w:val="16"/>
        </w:rPr>
        <w:t>de</w:t>
      </w:r>
      <w:r>
        <w:rPr>
          <w:i/>
          <w:spacing w:val="-8"/>
          <w:sz w:val="16"/>
        </w:rPr>
        <w:t xml:space="preserve"> </w:t>
      </w:r>
      <w:r>
        <w:rPr>
          <w:i/>
          <w:sz w:val="16"/>
        </w:rPr>
        <w:t>las</w:t>
      </w:r>
      <w:r>
        <w:rPr>
          <w:i/>
          <w:spacing w:val="-11"/>
          <w:sz w:val="16"/>
        </w:rPr>
        <w:t xml:space="preserve"> </w:t>
      </w:r>
      <w:r>
        <w:rPr>
          <w:i/>
          <w:sz w:val="16"/>
        </w:rPr>
        <w:t>distintas</w:t>
      </w:r>
      <w:r>
        <w:rPr>
          <w:i/>
          <w:spacing w:val="-8"/>
          <w:sz w:val="16"/>
        </w:rPr>
        <w:t xml:space="preserve"> </w:t>
      </w:r>
      <w:r>
        <w:rPr>
          <w:i/>
          <w:sz w:val="16"/>
        </w:rPr>
        <w:t>naciones,</w:t>
      </w:r>
      <w:r>
        <w:rPr>
          <w:i/>
          <w:spacing w:val="-13"/>
          <w:sz w:val="16"/>
        </w:rPr>
        <w:t xml:space="preserve"> </w:t>
      </w:r>
      <w:r>
        <w:rPr>
          <w:i/>
          <w:sz w:val="16"/>
        </w:rPr>
        <w:t>como</w:t>
      </w:r>
      <w:r>
        <w:rPr>
          <w:i/>
          <w:spacing w:val="-10"/>
          <w:sz w:val="16"/>
        </w:rPr>
        <w:t xml:space="preserve"> </w:t>
      </w:r>
      <w:r>
        <w:rPr>
          <w:i/>
          <w:sz w:val="16"/>
        </w:rPr>
        <w:t>medio</w:t>
      </w:r>
      <w:r>
        <w:rPr>
          <w:i/>
          <w:spacing w:val="-8"/>
          <w:sz w:val="16"/>
        </w:rPr>
        <w:t xml:space="preserve"> </w:t>
      </w:r>
      <w:r>
        <w:rPr>
          <w:i/>
          <w:sz w:val="16"/>
        </w:rPr>
        <w:t>auxiliar</w:t>
      </w:r>
      <w:r>
        <w:rPr>
          <w:i/>
          <w:spacing w:val="-7"/>
          <w:sz w:val="16"/>
        </w:rPr>
        <w:t xml:space="preserve"> </w:t>
      </w:r>
      <w:r>
        <w:rPr>
          <w:i/>
          <w:sz w:val="16"/>
        </w:rPr>
        <w:t>para</w:t>
      </w:r>
      <w:r>
        <w:rPr>
          <w:i/>
          <w:spacing w:val="-9"/>
          <w:sz w:val="16"/>
        </w:rPr>
        <w:t xml:space="preserve"> </w:t>
      </w:r>
      <w:r>
        <w:rPr>
          <w:i/>
          <w:sz w:val="16"/>
        </w:rPr>
        <w:t>la</w:t>
      </w:r>
      <w:r>
        <w:rPr>
          <w:i/>
          <w:spacing w:val="-11"/>
          <w:sz w:val="16"/>
        </w:rPr>
        <w:t xml:space="preserve"> </w:t>
      </w:r>
      <w:r>
        <w:rPr>
          <w:i/>
          <w:sz w:val="16"/>
        </w:rPr>
        <w:t>determinación</w:t>
      </w:r>
      <w:r>
        <w:rPr>
          <w:i/>
          <w:spacing w:val="-9"/>
          <w:sz w:val="16"/>
        </w:rPr>
        <w:t xml:space="preserve"> </w:t>
      </w:r>
      <w:r>
        <w:rPr>
          <w:i/>
          <w:sz w:val="16"/>
        </w:rPr>
        <w:t>de</w:t>
      </w:r>
      <w:r>
        <w:rPr>
          <w:i/>
          <w:spacing w:val="-8"/>
          <w:sz w:val="16"/>
        </w:rPr>
        <w:t xml:space="preserve"> </w:t>
      </w:r>
      <w:r>
        <w:rPr>
          <w:i/>
          <w:sz w:val="16"/>
        </w:rPr>
        <w:t>las</w:t>
      </w:r>
      <w:r>
        <w:rPr>
          <w:i/>
          <w:spacing w:val="-10"/>
          <w:sz w:val="16"/>
        </w:rPr>
        <w:t xml:space="preserve"> </w:t>
      </w:r>
      <w:r>
        <w:rPr>
          <w:i/>
          <w:sz w:val="16"/>
        </w:rPr>
        <w:t>reglas de derecho, sin perjuicio de lo dispuesto en el Artículo 59. 2. La presente disposición no restringe la facultad de la Corte para decidir un litigio ex aequ</w:t>
      </w:r>
      <w:r>
        <w:rPr>
          <w:i/>
          <w:sz w:val="16"/>
        </w:rPr>
        <w:t>o et bono, si las partes así lo</w:t>
      </w:r>
      <w:r>
        <w:rPr>
          <w:i/>
          <w:spacing w:val="-11"/>
          <w:sz w:val="16"/>
        </w:rPr>
        <w:t xml:space="preserve"> </w:t>
      </w:r>
      <w:r>
        <w:rPr>
          <w:i/>
          <w:sz w:val="16"/>
        </w:rPr>
        <w:t>convinieren.”</w:t>
      </w:r>
    </w:p>
    <w:p w14:paraId="583960BF" w14:textId="77777777" w:rsidR="00467FCA" w:rsidRDefault="001B68EB">
      <w:pPr>
        <w:spacing w:line="194" w:lineRule="exact"/>
        <w:ind w:left="470"/>
        <w:jc w:val="both"/>
        <w:rPr>
          <w:sz w:val="16"/>
        </w:rPr>
      </w:pPr>
      <w:bookmarkStart w:id="680" w:name="_bookmark601"/>
      <w:bookmarkEnd w:id="680"/>
      <w:r>
        <w:rPr>
          <w:position w:val="6"/>
          <w:sz w:val="10"/>
        </w:rPr>
        <w:t xml:space="preserve">53 </w:t>
      </w:r>
      <w:r>
        <w:rPr>
          <w:sz w:val="16"/>
        </w:rPr>
        <w:t>Párr. 166 de la Sentencia.</w:t>
      </w:r>
    </w:p>
    <w:p w14:paraId="2C417181" w14:textId="77777777" w:rsidR="00467FCA" w:rsidRDefault="001B68EB">
      <w:pPr>
        <w:ind w:left="470"/>
        <w:jc w:val="both"/>
        <w:rPr>
          <w:sz w:val="16"/>
        </w:rPr>
      </w:pPr>
      <w:bookmarkStart w:id="681" w:name="_bookmark602"/>
      <w:bookmarkEnd w:id="681"/>
      <w:r>
        <w:rPr>
          <w:position w:val="6"/>
          <w:sz w:val="10"/>
        </w:rPr>
        <w:t xml:space="preserve">54 </w:t>
      </w:r>
      <w:r>
        <w:rPr>
          <w:i/>
          <w:sz w:val="16"/>
        </w:rPr>
        <w:t>Idem</w:t>
      </w:r>
      <w:r>
        <w:rPr>
          <w:sz w:val="16"/>
        </w:rPr>
        <w:t>.</w:t>
      </w:r>
    </w:p>
    <w:p w14:paraId="65AC2DD7" w14:textId="77777777" w:rsidR="00467FCA" w:rsidRDefault="001B68EB">
      <w:pPr>
        <w:ind w:left="470"/>
        <w:rPr>
          <w:sz w:val="16"/>
        </w:rPr>
      </w:pPr>
      <w:bookmarkStart w:id="682" w:name="_bookmark603"/>
      <w:bookmarkEnd w:id="682"/>
      <w:r>
        <w:rPr>
          <w:position w:val="6"/>
          <w:sz w:val="10"/>
        </w:rPr>
        <w:t xml:space="preserve">55 </w:t>
      </w:r>
      <w:r>
        <w:rPr>
          <w:sz w:val="16"/>
        </w:rPr>
        <w:t>Art. 167.</w:t>
      </w:r>
    </w:p>
    <w:p w14:paraId="196771FE" w14:textId="77777777" w:rsidR="00467FCA" w:rsidRDefault="001B68EB">
      <w:pPr>
        <w:ind w:left="470"/>
        <w:rPr>
          <w:sz w:val="16"/>
        </w:rPr>
      </w:pPr>
      <w:bookmarkStart w:id="683" w:name="_bookmark604"/>
      <w:bookmarkEnd w:id="683"/>
      <w:r>
        <w:rPr>
          <w:position w:val="6"/>
          <w:sz w:val="10"/>
        </w:rPr>
        <w:t xml:space="preserve">56    </w:t>
      </w:r>
      <w:r>
        <w:rPr>
          <w:sz w:val="16"/>
        </w:rPr>
        <w:t>Párr.</w:t>
      </w:r>
      <w:r>
        <w:rPr>
          <w:spacing w:val="4"/>
          <w:sz w:val="16"/>
        </w:rPr>
        <w:t xml:space="preserve"> </w:t>
      </w:r>
      <w:r>
        <w:rPr>
          <w:sz w:val="16"/>
        </w:rPr>
        <w:t>162.</w:t>
      </w:r>
    </w:p>
    <w:p w14:paraId="308CCB6E" w14:textId="77777777" w:rsidR="00467FCA" w:rsidRDefault="001B68EB">
      <w:pPr>
        <w:ind w:left="470"/>
        <w:rPr>
          <w:sz w:val="16"/>
        </w:rPr>
      </w:pPr>
      <w:bookmarkStart w:id="684" w:name="_bookmark605"/>
      <w:bookmarkEnd w:id="684"/>
      <w:r>
        <w:rPr>
          <w:position w:val="6"/>
          <w:sz w:val="10"/>
        </w:rPr>
        <w:t xml:space="preserve">57    </w:t>
      </w:r>
      <w:r>
        <w:rPr>
          <w:sz w:val="16"/>
        </w:rPr>
        <w:t>Párr.</w:t>
      </w:r>
      <w:r>
        <w:rPr>
          <w:spacing w:val="4"/>
          <w:sz w:val="16"/>
        </w:rPr>
        <w:t xml:space="preserve"> </w:t>
      </w:r>
      <w:r>
        <w:rPr>
          <w:sz w:val="16"/>
        </w:rPr>
        <w:t>161.</w:t>
      </w:r>
    </w:p>
    <w:p w14:paraId="2465109B" w14:textId="77777777" w:rsidR="00467FCA" w:rsidRDefault="001B68EB">
      <w:pPr>
        <w:ind w:left="470" w:right="392"/>
        <w:jc w:val="both"/>
        <w:rPr>
          <w:i/>
          <w:sz w:val="16"/>
        </w:rPr>
      </w:pPr>
      <w:bookmarkStart w:id="685" w:name="_bookmark606"/>
      <w:bookmarkEnd w:id="685"/>
      <w:r>
        <w:rPr>
          <w:position w:val="6"/>
          <w:sz w:val="10"/>
        </w:rPr>
        <w:t xml:space="preserve">58 </w:t>
      </w:r>
      <w:r>
        <w:rPr>
          <w:sz w:val="16"/>
        </w:rPr>
        <w:t xml:space="preserve">Párrs. 2 y 3 de Preámbulo: </w:t>
      </w:r>
      <w:r>
        <w:rPr>
          <w:i/>
          <w:sz w:val="16"/>
        </w:rPr>
        <w:t>“Reconociendo que los derechos esenciales del hombre no nacen del hecho de ser nacional de determinado Estado, sino que tienen como fundamento los atributos de la persona humana, razón por la</w:t>
      </w:r>
      <w:r>
        <w:rPr>
          <w:i/>
          <w:spacing w:val="-7"/>
          <w:sz w:val="16"/>
        </w:rPr>
        <w:t xml:space="preserve"> </w:t>
      </w:r>
      <w:r>
        <w:rPr>
          <w:i/>
          <w:sz w:val="16"/>
        </w:rPr>
        <w:t>cual</w:t>
      </w:r>
      <w:r>
        <w:rPr>
          <w:i/>
          <w:spacing w:val="-6"/>
          <w:sz w:val="16"/>
        </w:rPr>
        <w:t xml:space="preserve"> </w:t>
      </w:r>
      <w:r>
        <w:rPr>
          <w:i/>
          <w:sz w:val="16"/>
        </w:rPr>
        <w:t>justifican</w:t>
      </w:r>
      <w:r>
        <w:rPr>
          <w:i/>
          <w:spacing w:val="-7"/>
          <w:sz w:val="16"/>
        </w:rPr>
        <w:t xml:space="preserve"> </w:t>
      </w:r>
      <w:r>
        <w:rPr>
          <w:i/>
          <w:sz w:val="16"/>
        </w:rPr>
        <w:t>una</w:t>
      </w:r>
      <w:r>
        <w:rPr>
          <w:i/>
          <w:spacing w:val="-6"/>
          <w:sz w:val="16"/>
        </w:rPr>
        <w:t xml:space="preserve"> </w:t>
      </w:r>
      <w:r>
        <w:rPr>
          <w:i/>
          <w:sz w:val="16"/>
        </w:rPr>
        <w:t>protección</w:t>
      </w:r>
      <w:r>
        <w:rPr>
          <w:i/>
          <w:spacing w:val="-6"/>
          <w:sz w:val="16"/>
        </w:rPr>
        <w:t xml:space="preserve"> </w:t>
      </w:r>
      <w:r>
        <w:rPr>
          <w:i/>
          <w:sz w:val="16"/>
        </w:rPr>
        <w:t>internacional,</w:t>
      </w:r>
      <w:r>
        <w:rPr>
          <w:i/>
          <w:spacing w:val="-7"/>
          <w:sz w:val="16"/>
        </w:rPr>
        <w:t xml:space="preserve"> </w:t>
      </w:r>
      <w:r>
        <w:rPr>
          <w:i/>
          <w:sz w:val="16"/>
        </w:rPr>
        <w:t>de</w:t>
      </w:r>
      <w:r>
        <w:rPr>
          <w:i/>
          <w:spacing w:val="-5"/>
          <w:sz w:val="16"/>
        </w:rPr>
        <w:t xml:space="preserve"> </w:t>
      </w:r>
      <w:r>
        <w:rPr>
          <w:i/>
          <w:sz w:val="16"/>
        </w:rPr>
        <w:t>naturaleza</w:t>
      </w:r>
      <w:r>
        <w:rPr>
          <w:i/>
          <w:spacing w:val="-8"/>
          <w:sz w:val="16"/>
        </w:rPr>
        <w:t xml:space="preserve"> </w:t>
      </w:r>
      <w:r>
        <w:rPr>
          <w:i/>
          <w:sz w:val="16"/>
        </w:rPr>
        <w:t>conv</w:t>
      </w:r>
      <w:r>
        <w:rPr>
          <w:i/>
          <w:sz w:val="16"/>
        </w:rPr>
        <w:t>encional</w:t>
      </w:r>
      <w:r>
        <w:rPr>
          <w:i/>
          <w:spacing w:val="-7"/>
          <w:sz w:val="16"/>
        </w:rPr>
        <w:t xml:space="preserve"> </w:t>
      </w:r>
      <w:r>
        <w:rPr>
          <w:i/>
          <w:sz w:val="16"/>
        </w:rPr>
        <w:t>coadyuvante</w:t>
      </w:r>
      <w:r>
        <w:rPr>
          <w:i/>
          <w:spacing w:val="-5"/>
          <w:sz w:val="16"/>
        </w:rPr>
        <w:t xml:space="preserve"> </w:t>
      </w:r>
      <w:r>
        <w:rPr>
          <w:i/>
          <w:sz w:val="16"/>
        </w:rPr>
        <w:t>o</w:t>
      </w:r>
      <w:r>
        <w:rPr>
          <w:i/>
          <w:spacing w:val="-8"/>
          <w:sz w:val="16"/>
        </w:rPr>
        <w:t xml:space="preserve"> </w:t>
      </w:r>
      <w:r>
        <w:rPr>
          <w:i/>
          <w:sz w:val="16"/>
        </w:rPr>
        <w:t>complementaria</w:t>
      </w:r>
      <w:r>
        <w:rPr>
          <w:i/>
          <w:spacing w:val="-6"/>
          <w:sz w:val="16"/>
        </w:rPr>
        <w:t xml:space="preserve"> </w:t>
      </w:r>
      <w:r>
        <w:rPr>
          <w:i/>
          <w:sz w:val="16"/>
        </w:rPr>
        <w:t>de</w:t>
      </w:r>
      <w:r>
        <w:rPr>
          <w:i/>
          <w:spacing w:val="-7"/>
          <w:sz w:val="16"/>
        </w:rPr>
        <w:t xml:space="preserve"> </w:t>
      </w:r>
      <w:r>
        <w:rPr>
          <w:i/>
          <w:sz w:val="16"/>
        </w:rPr>
        <w:t>la</w:t>
      </w:r>
      <w:r>
        <w:rPr>
          <w:i/>
          <w:spacing w:val="-7"/>
          <w:sz w:val="16"/>
        </w:rPr>
        <w:t xml:space="preserve"> </w:t>
      </w:r>
      <w:r>
        <w:rPr>
          <w:i/>
          <w:sz w:val="16"/>
        </w:rPr>
        <w:t>que ofrece el derecho interno de los Estados</w:t>
      </w:r>
      <w:r>
        <w:rPr>
          <w:i/>
          <w:spacing w:val="-4"/>
          <w:sz w:val="16"/>
        </w:rPr>
        <w:t xml:space="preserve"> </w:t>
      </w:r>
      <w:r>
        <w:rPr>
          <w:i/>
          <w:sz w:val="16"/>
        </w:rPr>
        <w:t>americanos;</w:t>
      </w:r>
    </w:p>
    <w:p w14:paraId="543AD563" w14:textId="77777777" w:rsidR="00467FCA" w:rsidRDefault="00467FCA">
      <w:pPr>
        <w:jc w:val="both"/>
        <w:rPr>
          <w:sz w:val="16"/>
        </w:rPr>
        <w:sectPr w:rsidR="00467FCA">
          <w:pgSz w:w="12240" w:h="15840"/>
          <w:pgMar w:top="1340" w:right="1140" w:bottom="1200" w:left="960" w:header="0" w:footer="1002" w:gutter="0"/>
          <w:cols w:space="720"/>
        </w:sectPr>
      </w:pPr>
    </w:p>
    <w:p w14:paraId="701910F3" w14:textId="77777777" w:rsidR="00467FCA" w:rsidRDefault="001B68EB">
      <w:pPr>
        <w:pStyle w:val="Textoindependiente"/>
        <w:spacing w:before="76" w:line="276" w:lineRule="auto"/>
        <w:ind w:left="470" w:right="397"/>
        <w:jc w:val="both"/>
      </w:pPr>
      <w:r>
        <w:t>referencia a mecanismo alguno de control del respeto de dichos principios. Cabe añadir que la</w:t>
      </w:r>
      <w:r>
        <w:rPr>
          <w:spacing w:val="-8"/>
        </w:rPr>
        <w:t xml:space="preserve"> </w:t>
      </w:r>
      <w:r>
        <w:t>citada</w:t>
      </w:r>
      <w:r>
        <w:rPr>
          <w:spacing w:val="-8"/>
        </w:rPr>
        <w:t xml:space="preserve"> </w:t>
      </w:r>
      <w:r>
        <w:t>Declaración</w:t>
      </w:r>
      <w:r>
        <w:rPr>
          <w:spacing w:val="-7"/>
        </w:rPr>
        <w:t xml:space="preserve"> </w:t>
      </w:r>
      <w:r>
        <w:t>Americana,</w:t>
      </w:r>
      <w:r>
        <w:rPr>
          <w:spacing w:val="-8"/>
        </w:rPr>
        <w:t xml:space="preserve"> </w:t>
      </w:r>
      <w:r>
        <w:t>por</w:t>
      </w:r>
      <w:r>
        <w:rPr>
          <w:spacing w:val="-7"/>
        </w:rPr>
        <w:t xml:space="preserve"> </w:t>
      </w:r>
      <w:r>
        <w:t>ser</w:t>
      </w:r>
      <w:r>
        <w:rPr>
          <w:spacing w:val="-7"/>
        </w:rPr>
        <w:t xml:space="preserve"> </w:t>
      </w:r>
      <w:r>
        <w:t>anterior</w:t>
      </w:r>
      <w:r>
        <w:rPr>
          <w:spacing w:val="-8"/>
        </w:rPr>
        <w:t xml:space="preserve"> </w:t>
      </w:r>
      <w:r>
        <w:t>a</w:t>
      </w:r>
      <w:r>
        <w:rPr>
          <w:spacing w:val="-7"/>
        </w:rPr>
        <w:t xml:space="preserve"> </w:t>
      </w:r>
      <w:r>
        <w:t>la</w:t>
      </w:r>
      <w:r>
        <w:rPr>
          <w:spacing w:val="-8"/>
        </w:rPr>
        <w:t xml:space="preserve"> </w:t>
      </w:r>
      <w:r>
        <w:t>Convención,</w:t>
      </w:r>
      <w:r>
        <w:rPr>
          <w:spacing w:val="-7"/>
        </w:rPr>
        <w:t xml:space="preserve"> </w:t>
      </w:r>
      <w:r>
        <w:t>no</w:t>
      </w:r>
      <w:r>
        <w:rPr>
          <w:spacing w:val="-7"/>
        </w:rPr>
        <w:t xml:space="preserve"> </w:t>
      </w:r>
      <w:r>
        <w:t>la</w:t>
      </w:r>
      <w:r>
        <w:rPr>
          <w:spacing w:val="-8"/>
        </w:rPr>
        <w:t xml:space="preserve"> </w:t>
      </w:r>
      <w:r>
        <w:t>interpreta,</w:t>
      </w:r>
      <w:r>
        <w:rPr>
          <w:spacing w:val="-6"/>
        </w:rPr>
        <w:t xml:space="preserve"> </w:t>
      </w:r>
      <w:r>
        <w:t>sino</w:t>
      </w:r>
      <w:r>
        <w:rPr>
          <w:spacing w:val="-6"/>
        </w:rPr>
        <w:t xml:space="preserve"> </w:t>
      </w:r>
      <w:r>
        <w:t>más exactamente, esta última se celebra en virtud de lo proclamado en aquella, para precisamente establecer mecanismos de</w:t>
      </w:r>
      <w:r>
        <w:rPr>
          <w:spacing w:val="-3"/>
        </w:rPr>
        <w:t xml:space="preserve"> </w:t>
      </w:r>
      <w:r>
        <w:t>control</w:t>
      </w:r>
      <w:hyperlink w:anchor="_bookmark607" w:history="1">
        <w:r>
          <w:rPr>
            <w:position w:val="7"/>
            <w:sz w:val="13"/>
          </w:rPr>
          <w:t>59</w:t>
        </w:r>
      </w:hyperlink>
      <w:r>
        <w:t>.</w:t>
      </w:r>
    </w:p>
    <w:p w14:paraId="0CAC4041" w14:textId="77777777" w:rsidR="00467FCA" w:rsidRDefault="00467FCA">
      <w:pPr>
        <w:pStyle w:val="Textoindependiente"/>
        <w:spacing w:before="4"/>
        <w:rPr>
          <w:sz w:val="22"/>
        </w:rPr>
      </w:pPr>
    </w:p>
    <w:p w14:paraId="4729A866" w14:textId="77777777" w:rsidR="00467FCA" w:rsidRDefault="001B68EB">
      <w:pPr>
        <w:pStyle w:val="Prrafodelista"/>
        <w:numPr>
          <w:ilvl w:val="0"/>
          <w:numId w:val="25"/>
        </w:numPr>
        <w:tabs>
          <w:tab w:val="left" w:pos="1450"/>
        </w:tabs>
        <w:spacing w:line="276" w:lineRule="auto"/>
        <w:ind w:right="395" w:hanging="1"/>
        <w:jc w:val="both"/>
        <w:rPr>
          <w:sz w:val="20"/>
        </w:rPr>
      </w:pPr>
      <w:r>
        <w:rPr>
          <w:sz w:val="20"/>
        </w:rPr>
        <w:t>Con relación a la alusión que la Sentencia hace al artículo 29 de la Convención</w:t>
      </w:r>
      <w:hyperlink w:anchor="_bookmark608" w:history="1">
        <w:r>
          <w:rPr>
            <w:position w:val="7"/>
            <w:sz w:val="13"/>
          </w:rPr>
          <w:t>60</w:t>
        </w:r>
      </w:hyperlink>
      <w:r>
        <w:rPr>
          <w:sz w:val="20"/>
        </w:rPr>
        <w:t xml:space="preserve">, conocido como principio </w:t>
      </w:r>
      <w:r>
        <w:rPr>
          <w:i/>
          <w:sz w:val="20"/>
        </w:rPr>
        <w:t>pro personae</w:t>
      </w:r>
      <w:r>
        <w:rPr>
          <w:sz w:val="20"/>
        </w:rPr>
        <w:t>, procede recordar que se trata de una norma concerniente a la interpretación de los derechos reconocidos</w:t>
      </w:r>
      <w:r>
        <w:rPr>
          <w:sz w:val="20"/>
        </w:rPr>
        <w:t xml:space="preserve"> en dicho instrumento y no de los</w:t>
      </w:r>
      <w:r>
        <w:rPr>
          <w:spacing w:val="-6"/>
          <w:sz w:val="20"/>
        </w:rPr>
        <w:t xml:space="preserve"> </w:t>
      </w:r>
      <w:r>
        <w:rPr>
          <w:sz w:val="20"/>
        </w:rPr>
        <w:t>mecanismos</w:t>
      </w:r>
      <w:r>
        <w:rPr>
          <w:spacing w:val="-6"/>
          <w:sz w:val="20"/>
        </w:rPr>
        <w:t xml:space="preserve"> </w:t>
      </w:r>
      <w:r>
        <w:rPr>
          <w:sz w:val="20"/>
        </w:rPr>
        <w:t>de</w:t>
      </w:r>
      <w:r>
        <w:rPr>
          <w:spacing w:val="-4"/>
          <w:sz w:val="20"/>
        </w:rPr>
        <w:t xml:space="preserve"> </w:t>
      </w:r>
      <w:r>
        <w:rPr>
          <w:sz w:val="20"/>
        </w:rPr>
        <w:t>control</w:t>
      </w:r>
      <w:r>
        <w:rPr>
          <w:spacing w:val="-5"/>
          <w:sz w:val="20"/>
        </w:rPr>
        <w:t xml:space="preserve"> </w:t>
      </w:r>
      <w:r>
        <w:rPr>
          <w:sz w:val="20"/>
        </w:rPr>
        <w:t>previstos</w:t>
      </w:r>
      <w:r>
        <w:rPr>
          <w:spacing w:val="-6"/>
          <w:sz w:val="20"/>
        </w:rPr>
        <w:t xml:space="preserve"> </w:t>
      </w:r>
      <w:r>
        <w:rPr>
          <w:sz w:val="20"/>
        </w:rPr>
        <w:t>en</w:t>
      </w:r>
      <w:r>
        <w:rPr>
          <w:spacing w:val="-2"/>
          <w:sz w:val="20"/>
        </w:rPr>
        <w:t xml:space="preserve"> </w:t>
      </w:r>
      <w:r>
        <w:rPr>
          <w:sz w:val="20"/>
        </w:rPr>
        <w:t>el</w:t>
      </w:r>
      <w:r>
        <w:rPr>
          <w:spacing w:val="-5"/>
          <w:sz w:val="20"/>
        </w:rPr>
        <w:t xml:space="preserve"> </w:t>
      </w:r>
      <w:r>
        <w:rPr>
          <w:sz w:val="20"/>
        </w:rPr>
        <w:t>mismo.</w:t>
      </w:r>
      <w:r>
        <w:rPr>
          <w:spacing w:val="-6"/>
          <w:sz w:val="20"/>
        </w:rPr>
        <w:t xml:space="preserve"> </w:t>
      </w:r>
      <w:r>
        <w:rPr>
          <w:sz w:val="20"/>
        </w:rPr>
        <w:t>Igualmente</w:t>
      </w:r>
      <w:r>
        <w:rPr>
          <w:spacing w:val="-6"/>
          <w:sz w:val="20"/>
        </w:rPr>
        <w:t xml:space="preserve"> </w:t>
      </w:r>
      <w:r>
        <w:rPr>
          <w:sz w:val="20"/>
        </w:rPr>
        <w:t>es</w:t>
      </w:r>
      <w:r>
        <w:rPr>
          <w:spacing w:val="-6"/>
          <w:sz w:val="20"/>
        </w:rPr>
        <w:t xml:space="preserve"> </w:t>
      </w:r>
      <w:r>
        <w:rPr>
          <w:sz w:val="20"/>
        </w:rPr>
        <w:t>menester</w:t>
      </w:r>
      <w:r>
        <w:rPr>
          <w:spacing w:val="-6"/>
          <w:sz w:val="20"/>
        </w:rPr>
        <w:t xml:space="preserve"> </w:t>
      </w:r>
      <w:r>
        <w:rPr>
          <w:sz w:val="20"/>
        </w:rPr>
        <w:t>no</w:t>
      </w:r>
      <w:r>
        <w:rPr>
          <w:spacing w:val="-4"/>
          <w:sz w:val="20"/>
        </w:rPr>
        <w:t xml:space="preserve"> </w:t>
      </w:r>
      <w:r>
        <w:rPr>
          <w:sz w:val="20"/>
        </w:rPr>
        <w:t>olvidar</w:t>
      </w:r>
      <w:r>
        <w:rPr>
          <w:spacing w:val="-6"/>
          <w:sz w:val="20"/>
        </w:rPr>
        <w:t xml:space="preserve"> </w:t>
      </w:r>
      <w:r>
        <w:rPr>
          <w:sz w:val="20"/>
        </w:rPr>
        <w:t>que</w:t>
      </w:r>
      <w:r>
        <w:rPr>
          <w:spacing w:val="-7"/>
          <w:sz w:val="20"/>
        </w:rPr>
        <w:t xml:space="preserve"> </w:t>
      </w:r>
      <w:r>
        <w:rPr>
          <w:sz w:val="20"/>
        </w:rPr>
        <w:t>la citada disposición es atingente a la interpretación de la Convención, mandatando que, en ese ejercicio, el sentido y alcance que se logr</w:t>
      </w:r>
      <w:r>
        <w:rPr>
          <w:sz w:val="20"/>
        </w:rPr>
        <w:t>e no puede implicar una limitación del derecho humano</w:t>
      </w:r>
      <w:r>
        <w:rPr>
          <w:spacing w:val="-21"/>
          <w:sz w:val="20"/>
        </w:rPr>
        <w:t xml:space="preserve"> </w:t>
      </w:r>
      <w:r>
        <w:rPr>
          <w:sz w:val="20"/>
        </w:rPr>
        <w:t>de</w:t>
      </w:r>
      <w:r>
        <w:rPr>
          <w:spacing w:val="-18"/>
          <w:sz w:val="20"/>
        </w:rPr>
        <w:t xml:space="preserve"> </w:t>
      </w:r>
      <w:r>
        <w:rPr>
          <w:sz w:val="20"/>
        </w:rPr>
        <w:t>que</w:t>
      </w:r>
      <w:r>
        <w:rPr>
          <w:spacing w:val="-18"/>
          <w:sz w:val="20"/>
        </w:rPr>
        <w:t xml:space="preserve"> </w:t>
      </w:r>
      <w:r>
        <w:rPr>
          <w:sz w:val="20"/>
        </w:rPr>
        <w:t>se</w:t>
      </w:r>
      <w:r>
        <w:rPr>
          <w:spacing w:val="-21"/>
          <w:sz w:val="20"/>
        </w:rPr>
        <w:t xml:space="preserve"> </w:t>
      </w:r>
      <w:r>
        <w:rPr>
          <w:sz w:val="20"/>
        </w:rPr>
        <w:t>trate,</w:t>
      </w:r>
      <w:r>
        <w:rPr>
          <w:spacing w:val="-17"/>
          <w:sz w:val="20"/>
        </w:rPr>
        <w:t xml:space="preserve"> </w:t>
      </w:r>
      <w:r>
        <w:rPr>
          <w:sz w:val="20"/>
        </w:rPr>
        <w:t>tal</w:t>
      </w:r>
      <w:r>
        <w:rPr>
          <w:spacing w:val="-18"/>
          <w:sz w:val="20"/>
        </w:rPr>
        <w:t xml:space="preserve"> </w:t>
      </w:r>
      <w:r>
        <w:rPr>
          <w:sz w:val="20"/>
        </w:rPr>
        <w:t>como</w:t>
      </w:r>
      <w:r>
        <w:rPr>
          <w:spacing w:val="-18"/>
          <w:sz w:val="20"/>
        </w:rPr>
        <w:t xml:space="preserve"> </w:t>
      </w:r>
      <w:r>
        <w:rPr>
          <w:sz w:val="20"/>
        </w:rPr>
        <w:t>es</w:t>
      </w:r>
      <w:r>
        <w:rPr>
          <w:spacing w:val="-15"/>
          <w:sz w:val="20"/>
        </w:rPr>
        <w:t xml:space="preserve"> </w:t>
      </w:r>
      <w:r>
        <w:rPr>
          <w:sz w:val="20"/>
        </w:rPr>
        <w:t>reconocido</w:t>
      </w:r>
      <w:r>
        <w:rPr>
          <w:spacing w:val="-16"/>
          <w:sz w:val="20"/>
        </w:rPr>
        <w:t xml:space="preserve"> </w:t>
      </w:r>
      <w:r>
        <w:rPr>
          <w:sz w:val="20"/>
        </w:rPr>
        <w:t>por</w:t>
      </w:r>
      <w:r>
        <w:rPr>
          <w:spacing w:val="-18"/>
          <w:sz w:val="20"/>
        </w:rPr>
        <w:t xml:space="preserve"> </w:t>
      </w:r>
      <w:r>
        <w:rPr>
          <w:sz w:val="20"/>
        </w:rPr>
        <w:t>ella</w:t>
      </w:r>
      <w:r>
        <w:rPr>
          <w:spacing w:val="-16"/>
          <w:sz w:val="20"/>
        </w:rPr>
        <w:t xml:space="preserve"> </w:t>
      </w:r>
      <w:r>
        <w:rPr>
          <w:sz w:val="20"/>
        </w:rPr>
        <w:t>o</w:t>
      </w:r>
      <w:r>
        <w:rPr>
          <w:spacing w:val="-19"/>
          <w:sz w:val="20"/>
        </w:rPr>
        <w:t xml:space="preserve"> </w:t>
      </w:r>
      <w:r>
        <w:rPr>
          <w:sz w:val="20"/>
        </w:rPr>
        <w:t>por</w:t>
      </w:r>
      <w:r>
        <w:rPr>
          <w:spacing w:val="-18"/>
          <w:sz w:val="20"/>
        </w:rPr>
        <w:t xml:space="preserve"> </w:t>
      </w:r>
      <w:r>
        <w:rPr>
          <w:sz w:val="20"/>
        </w:rPr>
        <w:t>los</w:t>
      </w:r>
      <w:r>
        <w:rPr>
          <w:spacing w:val="-17"/>
          <w:sz w:val="20"/>
        </w:rPr>
        <w:t xml:space="preserve"> </w:t>
      </w:r>
      <w:r>
        <w:rPr>
          <w:sz w:val="20"/>
        </w:rPr>
        <w:t>otros</w:t>
      </w:r>
      <w:r>
        <w:rPr>
          <w:spacing w:val="-18"/>
          <w:sz w:val="20"/>
        </w:rPr>
        <w:t xml:space="preserve"> </w:t>
      </w:r>
      <w:r>
        <w:rPr>
          <w:sz w:val="20"/>
        </w:rPr>
        <w:t>instrumentos</w:t>
      </w:r>
      <w:r>
        <w:rPr>
          <w:spacing w:val="-20"/>
          <w:sz w:val="20"/>
        </w:rPr>
        <w:t xml:space="preserve"> </w:t>
      </w:r>
      <w:r>
        <w:rPr>
          <w:sz w:val="20"/>
        </w:rPr>
        <w:t>jurídicos que</w:t>
      </w:r>
      <w:r>
        <w:rPr>
          <w:spacing w:val="-12"/>
          <w:sz w:val="20"/>
        </w:rPr>
        <w:t xml:space="preserve"> </w:t>
      </w:r>
      <w:r>
        <w:rPr>
          <w:sz w:val="20"/>
        </w:rPr>
        <w:t>señala.</w:t>
      </w:r>
      <w:r>
        <w:rPr>
          <w:spacing w:val="-11"/>
          <w:sz w:val="20"/>
        </w:rPr>
        <w:t xml:space="preserve"> </w:t>
      </w:r>
      <w:r>
        <w:rPr>
          <w:sz w:val="20"/>
        </w:rPr>
        <w:t>Por</w:t>
      </w:r>
      <w:r>
        <w:rPr>
          <w:spacing w:val="-11"/>
          <w:sz w:val="20"/>
        </w:rPr>
        <w:t xml:space="preserve"> </w:t>
      </w:r>
      <w:r>
        <w:rPr>
          <w:sz w:val="20"/>
        </w:rPr>
        <w:t>ende,</w:t>
      </w:r>
      <w:r>
        <w:rPr>
          <w:spacing w:val="-11"/>
          <w:sz w:val="20"/>
        </w:rPr>
        <w:t xml:space="preserve"> </w:t>
      </w:r>
      <w:r>
        <w:rPr>
          <w:sz w:val="20"/>
        </w:rPr>
        <w:t>el</w:t>
      </w:r>
      <w:r>
        <w:rPr>
          <w:spacing w:val="-7"/>
          <w:sz w:val="20"/>
        </w:rPr>
        <w:t xml:space="preserve"> </w:t>
      </w:r>
      <w:r>
        <w:rPr>
          <w:sz w:val="20"/>
        </w:rPr>
        <w:t>citado</w:t>
      </w:r>
      <w:r>
        <w:rPr>
          <w:spacing w:val="-11"/>
          <w:sz w:val="20"/>
        </w:rPr>
        <w:t xml:space="preserve"> </w:t>
      </w:r>
      <w:r>
        <w:rPr>
          <w:sz w:val="20"/>
        </w:rPr>
        <w:t>artículo</w:t>
      </w:r>
      <w:r>
        <w:rPr>
          <w:spacing w:val="-11"/>
          <w:sz w:val="20"/>
        </w:rPr>
        <w:t xml:space="preserve"> </w:t>
      </w:r>
      <w:r>
        <w:rPr>
          <w:sz w:val="20"/>
        </w:rPr>
        <w:t>no</w:t>
      </w:r>
      <w:r>
        <w:rPr>
          <w:spacing w:val="-12"/>
          <w:sz w:val="20"/>
        </w:rPr>
        <w:t xml:space="preserve"> </w:t>
      </w:r>
      <w:r>
        <w:rPr>
          <w:sz w:val="20"/>
        </w:rPr>
        <w:t>tiene</w:t>
      </w:r>
      <w:r>
        <w:rPr>
          <w:spacing w:val="-9"/>
          <w:sz w:val="20"/>
        </w:rPr>
        <w:t xml:space="preserve"> </w:t>
      </w:r>
      <w:r>
        <w:rPr>
          <w:sz w:val="20"/>
        </w:rPr>
        <w:t>por</w:t>
      </w:r>
      <w:r>
        <w:rPr>
          <w:spacing w:val="-9"/>
          <w:sz w:val="20"/>
        </w:rPr>
        <w:t xml:space="preserve"> </w:t>
      </w:r>
      <w:r>
        <w:rPr>
          <w:sz w:val="20"/>
        </w:rPr>
        <w:t>objeto</w:t>
      </w:r>
      <w:r>
        <w:rPr>
          <w:spacing w:val="-9"/>
          <w:sz w:val="20"/>
        </w:rPr>
        <w:t xml:space="preserve"> </w:t>
      </w:r>
      <w:r>
        <w:rPr>
          <w:sz w:val="20"/>
        </w:rPr>
        <w:t>otorgar</w:t>
      </w:r>
      <w:r>
        <w:rPr>
          <w:spacing w:val="-11"/>
          <w:sz w:val="20"/>
        </w:rPr>
        <w:t xml:space="preserve"> </w:t>
      </w:r>
      <w:r>
        <w:rPr>
          <w:sz w:val="20"/>
        </w:rPr>
        <w:t>la</w:t>
      </w:r>
      <w:r>
        <w:rPr>
          <w:spacing w:val="-10"/>
          <w:sz w:val="20"/>
        </w:rPr>
        <w:t xml:space="preserve"> </w:t>
      </w:r>
      <w:r>
        <w:rPr>
          <w:sz w:val="20"/>
        </w:rPr>
        <w:t>facultad</w:t>
      </w:r>
      <w:r>
        <w:rPr>
          <w:spacing w:val="-11"/>
          <w:sz w:val="20"/>
        </w:rPr>
        <w:t xml:space="preserve"> </w:t>
      </w:r>
      <w:r>
        <w:rPr>
          <w:sz w:val="20"/>
        </w:rPr>
        <w:t>a</w:t>
      </w:r>
      <w:r>
        <w:rPr>
          <w:spacing w:val="-10"/>
          <w:sz w:val="20"/>
        </w:rPr>
        <w:t xml:space="preserve"> </w:t>
      </w:r>
      <w:r>
        <w:rPr>
          <w:sz w:val="20"/>
        </w:rPr>
        <w:t>la</w:t>
      </w:r>
      <w:r>
        <w:rPr>
          <w:spacing w:val="-10"/>
          <w:sz w:val="20"/>
        </w:rPr>
        <w:t xml:space="preserve"> </w:t>
      </w:r>
      <w:r>
        <w:rPr>
          <w:sz w:val="20"/>
        </w:rPr>
        <w:t>Corte</w:t>
      </w:r>
      <w:r>
        <w:rPr>
          <w:spacing w:val="-12"/>
          <w:sz w:val="20"/>
        </w:rPr>
        <w:t xml:space="preserve"> </w:t>
      </w:r>
      <w:r>
        <w:rPr>
          <w:sz w:val="20"/>
        </w:rPr>
        <w:t>para pronunciarse sobre la judicialización de las presuntas violaciones de los derechos humanos, sino que, más propiamente, le establece una condición para la interpretación de la Convención. Y tampoco establece la facultad de la Corte de interpretar otros</w:t>
      </w:r>
      <w:r>
        <w:rPr>
          <w:sz w:val="20"/>
        </w:rPr>
        <w:t xml:space="preserve"> tratados o instrumentos</w:t>
      </w:r>
      <w:r>
        <w:rPr>
          <w:spacing w:val="-7"/>
          <w:sz w:val="20"/>
        </w:rPr>
        <w:t xml:space="preserve"> </w:t>
      </w:r>
      <w:r>
        <w:rPr>
          <w:sz w:val="20"/>
        </w:rPr>
        <w:t>jurídicos</w:t>
      </w:r>
      <w:r>
        <w:rPr>
          <w:spacing w:val="-7"/>
          <w:sz w:val="20"/>
        </w:rPr>
        <w:t xml:space="preserve"> </w:t>
      </w:r>
      <w:r>
        <w:rPr>
          <w:sz w:val="20"/>
        </w:rPr>
        <w:t>internacionales</w:t>
      </w:r>
      <w:r>
        <w:rPr>
          <w:spacing w:val="-7"/>
          <w:sz w:val="20"/>
        </w:rPr>
        <w:t xml:space="preserve"> </w:t>
      </w:r>
      <w:r>
        <w:rPr>
          <w:sz w:val="20"/>
        </w:rPr>
        <w:t>sino</w:t>
      </w:r>
      <w:r>
        <w:rPr>
          <w:spacing w:val="-10"/>
          <w:sz w:val="20"/>
        </w:rPr>
        <w:t xml:space="preserve"> </w:t>
      </w:r>
      <w:r>
        <w:rPr>
          <w:sz w:val="20"/>
        </w:rPr>
        <w:t>únicamente</w:t>
      </w:r>
      <w:r>
        <w:rPr>
          <w:spacing w:val="-8"/>
          <w:sz w:val="20"/>
        </w:rPr>
        <w:t xml:space="preserve"> </w:t>
      </w:r>
      <w:r>
        <w:rPr>
          <w:sz w:val="20"/>
        </w:rPr>
        <w:t>en</w:t>
      </w:r>
      <w:r>
        <w:rPr>
          <w:spacing w:val="-5"/>
          <w:sz w:val="20"/>
        </w:rPr>
        <w:t xml:space="preserve"> </w:t>
      </w:r>
      <w:r>
        <w:rPr>
          <w:sz w:val="20"/>
        </w:rPr>
        <w:t>la</w:t>
      </w:r>
      <w:r>
        <w:rPr>
          <w:spacing w:val="-5"/>
          <w:sz w:val="20"/>
        </w:rPr>
        <w:t xml:space="preserve"> </w:t>
      </w:r>
      <w:r>
        <w:rPr>
          <w:sz w:val="20"/>
        </w:rPr>
        <w:t>medida</w:t>
      </w:r>
      <w:r>
        <w:rPr>
          <w:spacing w:val="-6"/>
          <w:sz w:val="20"/>
        </w:rPr>
        <w:t xml:space="preserve"> </w:t>
      </w:r>
      <w:r>
        <w:rPr>
          <w:sz w:val="20"/>
        </w:rPr>
        <w:t>que</w:t>
      </w:r>
      <w:r>
        <w:rPr>
          <w:spacing w:val="-8"/>
          <w:sz w:val="20"/>
        </w:rPr>
        <w:t xml:space="preserve"> </w:t>
      </w:r>
      <w:r>
        <w:rPr>
          <w:sz w:val="20"/>
        </w:rPr>
        <w:t>sea</w:t>
      </w:r>
      <w:r>
        <w:rPr>
          <w:spacing w:val="-9"/>
          <w:sz w:val="20"/>
        </w:rPr>
        <w:t xml:space="preserve"> </w:t>
      </w:r>
      <w:r>
        <w:rPr>
          <w:sz w:val="20"/>
        </w:rPr>
        <w:t>necesario</w:t>
      </w:r>
      <w:r>
        <w:rPr>
          <w:spacing w:val="-8"/>
          <w:sz w:val="20"/>
        </w:rPr>
        <w:t xml:space="preserve"> </w:t>
      </w:r>
      <w:r>
        <w:rPr>
          <w:sz w:val="20"/>
        </w:rPr>
        <w:t>para determinar si ellos establecen un sentido y alcance más amplio que el que se puede determinar del derecho humano garantizado en la</w:t>
      </w:r>
      <w:r>
        <w:rPr>
          <w:spacing w:val="-5"/>
          <w:sz w:val="20"/>
        </w:rPr>
        <w:t xml:space="preserve"> </w:t>
      </w:r>
      <w:r>
        <w:rPr>
          <w:sz w:val="20"/>
        </w:rPr>
        <w:t>Convención.</w:t>
      </w:r>
    </w:p>
    <w:p w14:paraId="242E2008" w14:textId="77777777" w:rsidR="00467FCA" w:rsidRDefault="00467FCA">
      <w:pPr>
        <w:pStyle w:val="Textoindependiente"/>
        <w:spacing w:before="1"/>
        <w:rPr>
          <w:sz w:val="23"/>
        </w:rPr>
      </w:pPr>
    </w:p>
    <w:p w14:paraId="188F979E"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Igualmente, parece necesario formular unas breves acotaciones acerca de las expresiones de la Sentencia de que “</w:t>
      </w:r>
      <w:r>
        <w:rPr>
          <w:i/>
          <w:sz w:val="20"/>
        </w:rPr>
        <w:t>los tratados de derechos humanos son instrumentos vivos,</w:t>
      </w:r>
      <w:r>
        <w:rPr>
          <w:i/>
          <w:spacing w:val="-12"/>
          <w:sz w:val="20"/>
        </w:rPr>
        <w:t xml:space="preserve"> </w:t>
      </w:r>
      <w:r>
        <w:rPr>
          <w:i/>
          <w:sz w:val="20"/>
        </w:rPr>
        <w:t>cuya</w:t>
      </w:r>
      <w:r>
        <w:rPr>
          <w:i/>
          <w:spacing w:val="-9"/>
          <w:sz w:val="20"/>
        </w:rPr>
        <w:t xml:space="preserve"> </w:t>
      </w:r>
      <w:r>
        <w:rPr>
          <w:i/>
          <w:sz w:val="20"/>
        </w:rPr>
        <w:t>interpretación</w:t>
      </w:r>
      <w:r>
        <w:rPr>
          <w:i/>
          <w:spacing w:val="-9"/>
          <w:sz w:val="20"/>
        </w:rPr>
        <w:t xml:space="preserve"> </w:t>
      </w:r>
      <w:r>
        <w:rPr>
          <w:i/>
          <w:sz w:val="20"/>
        </w:rPr>
        <w:t>tiene</w:t>
      </w:r>
      <w:r>
        <w:rPr>
          <w:i/>
          <w:spacing w:val="-10"/>
          <w:sz w:val="20"/>
        </w:rPr>
        <w:t xml:space="preserve"> </w:t>
      </w:r>
      <w:r>
        <w:rPr>
          <w:i/>
          <w:sz w:val="20"/>
        </w:rPr>
        <w:t>que</w:t>
      </w:r>
      <w:r>
        <w:rPr>
          <w:i/>
          <w:spacing w:val="-11"/>
          <w:sz w:val="20"/>
        </w:rPr>
        <w:t xml:space="preserve"> </w:t>
      </w:r>
      <w:r>
        <w:rPr>
          <w:i/>
          <w:sz w:val="20"/>
        </w:rPr>
        <w:t>acompañar</w:t>
      </w:r>
      <w:r>
        <w:rPr>
          <w:i/>
          <w:spacing w:val="-10"/>
          <w:sz w:val="20"/>
        </w:rPr>
        <w:t xml:space="preserve"> </w:t>
      </w:r>
      <w:r>
        <w:rPr>
          <w:i/>
          <w:sz w:val="20"/>
        </w:rPr>
        <w:t>la</w:t>
      </w:r>
      <w:r>
        <w:rPr>
          <w:i/>
          <w:spacing w:val="-10"/>
          <w:sz w:val="20"/>
        </w:rPr>
        <w:t xml:space="preserve"> </w:t>
      </w:r>
      <w:r>
        <w:rPr>
          <w:i/>
          <w:sz w:val="20"/>
        </w:rPr>
        <w:t>evolución</w:t>
      </w:r>
      <w:r>
        <w:rPr>
          <w:i/>
          <w:spacing w:val="-10"/>
          <w:sz w:val="20"/>
        </w:rPr>
        <w:t xml:space="preserve"> </w:t>
      </w:r>
      <w:r>
        <w:rPr>
          <w:i/>
          <w:sz w:val="20"/>
        </w:rPr>
        <w:t>de</w:t>
      </w:r>
      <w:r>
        <w:rPr>
          <w:i/>
          <w:spacing w:val="-9"/>
          <w:sz w:val="20"/>
        </w:rPr>
        <w:t xml:space="preserve"> </w:t>
      </w:r>
      <w:r>
        <w:rPr>
          <w:i/>
          <w:sz w:val="20"/>
        </w:rPr>
        <w:t>los</w:t>
      </w:r>
      <w:r>
        <w:rPr>
          <w:i/>
          <w:spacing w:val="-10"/>
          <w:sz w:val="20"/>
        </w:rPr>
        <w:t xml:space="preserve"> </w:t>
      </w:r>
      <w:r>
        <w:rPr>
          <w:i/>
          <w:sz w:val="20"/>
        </w:rPr>
        <w:t>tiempos</w:t>
      </w:r>
      <w:r>
        <w:rPr>
          <w:i/>
          <w:spacing w:val="-10"/>
          <w:sz w:val="20"/>
        </w:rPr>
        <w:t xml:space="preserve"> </w:t>
      </w:r>
      <w:r>
        <w:rPr>
          <w:i/>
          <w:sz w:val="20"/>
        </w:rPr>
        <w:t>y</w:t>
      </w:r>
      <w:r>
        <w:rPr>
          <w:i/>
          <w:spacing w:val="-11"/>
          <w:sz w:val="20"/>
        </w:rPr>
        <w:t xml:space="preserve"> </w:t>
      </w:r>
      <w:r>
        <w:rPr>
          <w:i/>
          <w:sz w:val="20"/>
        </w:rPr>
        <w:t>las</w:t>
      </w:r>
      <w:r>
        <w:rPr>
          <w:i/>
          <w:spacing w:val="-10"/>
          <w:sz w:val="20"/>
        </w:rPr>
        <w:t xml:space="preserve"> </w:t>
      </w:r>
      <w:r>
        <w:rPr>
          <w:i/>
          <w:sz w:val="20"/>
        </w:rPr>
        <w:t>condiciones d</w:t>
      </w:r>
      <w:r>
        <w:rPr>
          <w:i/>
          <w:sz w:val="20"/>
        </w:rPr>
        <w:t>e</w:t>
      </w:r>
      <w:r>
        <w:rPr>
          <w:i/>
          <w:spacing w:val="5"/>
          <w:sz w:val="20"/>
        </w:rPr>
        <w:t xml:space="preserve"> </w:t>
      </w:r>
      <w:r>
        <w:rPr>
          <w:i/>
          <w:sz w:val="20"/>
        </w:rPr>
        <w:t>vida</w:t>
      </w:r>
      <w:r>
        <w:rPr>
          <w:i/>
          <w:spacing w:val="5"/>
          <w:sz w:val="20"/>
        </w:rPr>
        <w:t xml:space="preserve"> </w:t>
      </w:r>
      <w:r>
        <w:rPr>
          <w:i/>
          <w:sz w:val="20"/>
        </w:rPr>
        <w:t>actuales</w:t>
      </w:r>
      <w:r>
        <w:rPr>
          <w:sz w:val="20"/>
        </w:rPr>
        <w:t>”</w:t>
      </w:r>
      <w:hyperlink w:anchor="_bookmark609" w:history="1">
        <w:r>
          <w:rPr>
            <w:position w:val="7"/>
            <w:sz w:val="13"/>
          </w:rPr>
          <w:t>61</w:t>
        </w:r>
      </w:hyperlink>
      <w:r>
        <w:rPr>
          <w:sz w:val="20"/>
        </w:rPr>
        <w:t>.</w:t>
      </w:r>
      <w:r>
        <w:rPr>
          <w:spacing w:val="4"/>
          <w:sz w:val="20"/>
        </w:rPr>
        <w:t xml:space="preserve"> </w:t>
      </w:r>
      <w:r>
        <w:rPr>
          <w:sz w:val="20"/>
        </w:rPr>
        <w:t>La</w:t>
      </w:r>
      <w:r>
        <w:rPr>
          <w:spacing w:val="8"/>
          <w:sz w:val="20"/>
        </w:rPr>
        <w:t xml:space="preserve"> </w:t>
      </w:r>
      <w:r>
        <w:rPr>
          <w:sz w:val="20"/>
        </w:rPr>
        <w:t>primera</w:t>
      </w:r>
      <w:r>
        <w:rPr>
          <w:spacing w:val="7"/>
          <w:sz w:val="20"/>
        </w:rPr>
        <w:t xml:space="preserve"> </w:t>
      </w:r>
      <w:r>
        <w:rPr>
          <w:sz w:val="20"/>
        </w:rPr>
        <w:t>anotación</w:t>
      </w:r>
      <w:r>
        <w:rPr>
          <w:spacing w:val="9"/>
          <w:sz w:val="20"/>
        </w:rPr>
        <w:t xml:space="preserve"> </w:t>
      </w:r>
      <w:r>
        <w:rPr>
          <w:sz w:val="20"/>
        </w:rPr>
        <w:t>es</w:t>
      </w:r>
      <w:r>
        <w:rPr>
          <w:spacing w:val="3"/>
          <w:sz w:val="20"/>
        </w:rPr>
        <w:t xml:space="preserve"> </w:t>
      </w:r>
      <w:r>
        <w:rPr>
          <w:sz w:val="20"/>
        </w:rPr>
        <w:t>que</w:t>
      </w:r>
      <w:r>
        <w:rPr>
          <w:spacing w:val="6"/>
          <w:sz w:val="20"/>
        </w:rPr>
        <w:t xml:space="preserve"> </w:t>
      </w:r>
      <w:r>
        <w:rPr>
          <w:sz w:val="20"/>
        </w:rPr>
        <w:t>ello</w:t>
      </w:r>
      <w:r>
        <w:rPr>
          <w:spacing w:val="6"/>
          <w:sz w:val="20"/>
        </w:rPr>
        <w:t xml:space="preserve"> </w:t>
      </w:r>
      <w:r>
        <w:rPr>
          <w:sz w:val="20"/>
        </w:rPr>
        <w:t>está</w:t>
      </w:r>
      <w:r>
        <w:rPr>
          <w:spacing w:val="5"/>
          <w:sz w:val="20"/>
        </w:rPr>
        <w:t xml:space="preserve"> </w:t>
      </w:r>
      <w:r>
        <w:rPr>
          <w:sz w:val="20"/>
        </w:rPr>
        <w:t>previsto</w:t>
      </w:r>
      <w:r>
        <w:rPr>
          <w:spacing w:val="6"/>
          <w:sz w:val="20"/>
        </w:rPr>
        <w:t xml:space="preserve"> </w:t>
      </w:r>
      <w:r>
        <w:rPr>
          <w:sz w:val="20"/>
        </w:rPr>
        <w:t>en</w:t>
      </w:r>
      <w:r>
        <w:rPr>
          <w:spacing w:val="9"/>
          <w:sz w:val="20"/>
        </w:rPr>
        <w:t xml:space="preserve"> </w:t>
      </w:r>
      <w:r>
        <w:rPr>
          <w:sz w:val="20"/>
        </w:rPr>
        <w:t>el</w:t>
      </w:r>
      <w:r>
        <w:rPr>
          <w:spacing w:val="9"/>
          <w:sz w:val="20"/>
        </w:rPr>
        <w:t xml:space="preserve"> </w:t>
      </w:r>
      <w:r>
        <w:rPr>
          <w:sz w:val="20"/>
        </w:rPr>
        <w:t>artículo</w:t>
      </w:r>
      <w:r>
        <w:rPr>
          <w:spacing w:val="5"/>
          <w:sz w:val="20"/>
        </w:rPr>
        <w:t xml:space="preserve"> </w:t>
      </w:r>
      <w:r>
        <w:rPr>
          <w:sz w:val="20"/>
        </w:rPr>
        <w:t>31.3.</w:t>
      </w:r>
      <w:r>
        <w:rPr>
          <w:spacing w:val="7"/>
          <w:sz w:val="20"/>
        </w:rPr>
        <w:t xml:space="preserve"> </w:t>
      </w:r>
      <w:r>
        <w:rPr>
          <w:sz w:val="20"/>
        </w:rPr>
        <w:t>a)</w:t>
      </w:r>
      <w:r>
        <w:rPr>
          <w:spacing w:val="10"/>
          <w:sz w:val="20"/>
        </w:rPr>
        <w:t xml:space="preserve"> </w:t>
      </w:r>
      <w:r>
        <w:rPr>
          <w:sz w:val="20"/>
        </w:rPr>
        <w:t>y</w:t>
      </w:r>
    </w:p>
    <w:p w14:paraId="57B85187" w14:textId="77777777" w:rsidR="00467FCA" w:rsidRDefault="001B68EB">
      <w:pPr>
        <w:pStyle w:val="Textoindependiente"/>
        <w:spacing w:line="276" w:lineRule="auto"/>
        <w:ind w:left="470" w:right="397"/>
        <w:jc w:val="both"/>
      </w:pPr>
      <w:r>
        <w:t>b)</w:t>
      </w:r>
      <w:r>
        <w:rPr>
          <w:spacing w:val="-7"/>
        </w:rPr>
        <w:t xml:space="preserve"> </w:t>
      </w:r>
      <w:r>
        <w:t>de</w:t>
      </w:r>
      <w:r>
        <w:rPr>
          <w:spacing w:val="-6"/>
        </w:rPr>
        <w:t xml:space="preserve"> </w:t>
      </w:r>
      <w:r>
        <w:t>la</w:t>
      </w:r>
      <w:r>
        <w:rPr>
          <w:spacing w:val="-7"/>
        </w:rPr>
        <w:t xml:space="preserve"> </w:t>
      </w:r>
      <w:r>
        <w:t>Convención</w:t>
      </w:r>
      <w:r>
        <w:rPr>
          <w:spacing w:val="-4"/>
        </w:rPr>
        <w:t xml:space="preserve"> </w:t>
      </w:r>
      <w:r>
        <w:t>de</w:t>
      </w:r>
      <w:r>
        <w:rPr>
          <w:spacing w:val="-3"/>
        </w:rPr>
        <w:t xml:space="preserve"> </w:t>
      </w:r>
      <w:r>
        <w:t>Viena,</w:t>
      </w:r>
      <w:r>
        <w:rPr>
          <w:spacing w:val="-7"/>
        </w:rPr>
        <w:t xml:space="preserve"> </w:t>
      </w:r>
      <w:r>
        <w:t>al</w:t>
      </w:r>
      <w:r>
        <w:rPr>
          <w:spacing w:val="-5"/>
        </w:rPr>
        <w:t xml:space="preserve"> </w:t>
      </w:r>
      <w:r>
        <w:t>disponer</w:t>
      </w:r>
      <w:r>
        <w:rPr>
          <w:spacing w:val="-6"/>
        </w:rPr>
        <w:t xml:space="preserve"> </w:t>
      </w:r>
      <w:r>
        <w:t>que,</w:t>
      </w:r>
      <w:r>
        <w:rPr>
          <w:spacing w:val="-7"/>
        </w:rPr>
        <w:t xml:space="preserve"> </w:t>
      </w:r>
      <w:r>
        <w:t>junto</w:t>
      </w:r>
      <w:r>
        <w:rPr>
          <w:spacing w:val="-9"/>
        </w:rPr>
        <w:t xml:space="preserve"> </w:t>
      </w:r>
      <w:r>
        <w:t>al</w:t>
      </w:r>
      <w:r>
        <w:rPr>
          <w:spacing w:val="-6"/>
        </w:rPr>
        <w:t xml:space="preserve"> </w:t>
      </w:r>
      <w:r>
        <w:t>contexto,</w:t>
      </w:r>
      <w:r>
        <w:rPr>
          <w:spacing w:val="-5"/>
        </w:rPr>
        <w:t xml:space="preserve"> </w:t>
      </w:r>
      <w:r>
        <w:t>se</w:t>
      </w:r>
      <w:r>
        <w:rPr>
          <w:spacing w:val="-7"/>
        </w:rPr>
        <w:t xml:space="preserve"> </w:t>
      </w:r>
      <w:r>
        <w:t>debe</w:t>
      </w:r>
      <w:r>
        <w:rPr>
          <w:spacing w:val="-8"/>
        </w:rPr>
        <w:t xml:space="preserve"> </w:t>
      </w:r>
      <w:r>
        <w:t>tener</w:t>
      </w:r>
      <w:r>
        <w:rPr>
          <w:spacing w:val="-8"/>
        </w:rPr>
        <w:t xml:space="preserve"> </w:t>
      </w:r>
      <w:r>
        <w:t>los</w:t>
      </w:r>
      <w:r>
        <w:rPr>
          <w:spacing w:val="-6"/>
        </w:rPr>
        <w:t xml:space="preserve"> </w:t>
      </w:r>
      <w:r>
        <w:t>acuerdos y la práctica de los Estados sobre la interpretación del tratado de que se trate. Lo evolutivo debe ser, entonces, más el Derecho aplicable que la jurisprudencia que se expida sobre</w:t>
      </w:r>
      <w:r>
        <w:rPr>
          <w:spacing w:val="-36"/>
        </w:rPr>
        <w:t xml:space="preserve"> </w:t>
      </w:r>
      <w:r>
        <w:t>él.</w:t>
      </w:r>
    </w:p>
    <w:p w14:paraId="551C8CAC" w14:textId="77777777" w:rsidR="00467FCA" w:rsidRDefault="00467FCA">
      <w:pPr>
        <w:pStyle w:val="Textoindependiente"/>
        <w:rPr>
          <w:sz w:val="23"/>
        </w:rPr>
      </w:pPr>
    </w:p>
    <w:p w14:paraId="434D7A27"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La segunda observación es que, en consecuencia, en la interp</w:t>
      </w:r>
      <w:r>
        <w:rPr>
          <w:sz w:val="20"/>
        </w:rPr>
        <w:t>retación se debería tener presente que, para la determinación de “</w:t>
      </w:r>
      <w:r>
        <w:rPr>
          <w:i/>
          <w:sz w:val="20"/>
        </w:rPr>
        <w:t xml:space="preserve">la evolución de los tiempos” </w:t>
      </w:r>
      <w:r>
        <w:rPr>
          <w:sz w:val="20"/>
        </w:rPr>
        <w:t xml:space="preserve">y de </w:t>
      </w:r>
      <w:r>
        <w:rPr>
          <w:i/>
          <w:sz w:val="20"/>
        </w:rPr>
        <w:t>“las condiciones de vida actuales</w:t>
      </w:r>
      <w:r>
        <w:rPr>
          <w:sz w:val="20"/>
        </w:rPr>
        <w:t>”, no solo bastaría una afirmación genérica y, en ocasiones, sin mayor sustento científico por parte de entidades no estata</w:t>
      </w:r>
      <w:r>
        <w:rPr>
          <w:sz w:val="20"/>
        </w:rPr>
        <w:t>les, sino que ella debería ser compartida por la sociedad internacional y, en el caso de la Convención, por la sociedad interamericana, una y otra conformada aún hoy principalmente por Estados soberanos.</w:t>
      </w:r>
      <w:r>
        <w:rPr>
          <w:spacing w:val="14"/>
          <w:sz w:val="20"/>
        </w:rPr>
        <w:t xml:space="preserve"> </w:t>
      </w:r>
      <w:r>
        <w:rPr>
          <w:sz w:val="20"/>
        </w:rPr>
        <w:t>De</w:t>
      </w:r>
    </w:p>
    <w:p w14:paraId="0E53F194" w14:textId="77777777" w:rsidR="00467FCA" w:rsidRDefault="001B68EB">
      <w:pPr>
        <w:pStyle w:val="Textoindependiente"/>
      </w:pPr>
      <w:r>
        <w:pict w14:anchorId="70EC6BB9">
          <v:shape id="_x0000_s1093" style="position:absolute;margin-left:56.75pt;margin-top:14.5pt;width:2in;height:.1pt;z-index:-251552768;mso-wrap-distance-left:0;mso-wrap-distance-right:0;mso-position-horizontal-relative:page" coordorigin="1135,290" coordsize="2880,0" path="m1135,290r2880,e" filled="f" strokeweight=".72pt">
            <v:path arrowok="t"/>
            <w10:wrap type="topAndBottom" anchorx="page"/>
          </v:shape>
        </w:pict>
      </w:r>
    </w:p>
    <w:p w14:paraId="45677236" w14:textId="77777777" w:rsidR="00467FCA" w:rsidRDefault="001B68EB">
      <w:pPr>
        <w:spacing w:before="71"/>
        <w:ind w:left="470" w:right="392"/>
        <w:jc w:val="both"/>
        <w:rPr>
          <w:i/>
          <w:sz w:val="16"/>
        </w:rPr>
      </w:pPr>
      <w:r>
        <w:rPr>
          <w:i/>
          <w:sz w:val="16"/>
        </w:rPr>
        <w:t>Considerando</w:t>
      </w:r>
      <w:r>
        <w:rPr>
          <w:i/>
          <w:spacing w:val="-3"/>
          <w:sz w:val="16"/>
        </w:rPr>
        <w:t xml:space="preserve"> </w:t>
      </w:r>
      <w:r>
        <w:rPr>
          <w:i/>
          <w:sz w:val="16"/>
        </w:rPr>
        <w:t>que</w:t>
      </w:r>
      <w:r>
        <w:rPr>
          <w:i/>
          <w:spacing w:val="-5"/>
          <w:sz w:val="16"/>
        </w:rPr>
        <w:t xml:space="preserve"> </w:t>
      </w:r>
      <w:r>
        <w:rPr>
          <w:i/>
          <w:sz w:val="16"/>
        </w:rPr>
        <w:t>estos</w:t>
      </w:r>
      <w:r>
        <w:rPr>
          <w:i/>
          <w:spacing w:val="-5"/>
          <w:sz w:val="16"/>
        </w:rPr>
        <w:t xml:space="preserve"> </w:t>
      </w:r>
      <w:r>
        <w:rPr>
          <w:i/>
          <w:sz w:val="16"/>
        </w:rPr>
        <w:t>principios</w:t>
      </w:r>
      <w:r>
        <w:rPr>
          <w:i/>
          <w:spacing w:val="-2"/>
          <w:sz w:val="16"/>
        </w:rPr>
        <w:t xml:space="preserve"> </w:t>
      </w:r>
      <w:r>
        <w:rPr>
          <w:i/>
          <w:sz w:val="16"/>
        </w:rPr>
        <w:t>han</w:t>
      </w:r>
      <w:r>
        <w:rPr>
          <w:i/>
          <w:spacing w:val="-4"/>
          <w:sz w:val="16"/>
        </w:rPr>
        <w:t xml:space="preserve"> </w:t>
      </w:r>
      <w:r>
        <w:rPr>
          <w:i/>
          <w:sz w:val="16"/>
        </w:rPr>
        <w:t>sido</w:t>
      </w:r>
      <w:r>
        <w:rPr>
          <w:i/>
          <w:spacing w:val="-2"/>
          <w:sz w:val="16"/>
        </w:rPr>
        <w:t xml:space="preserve"> </w:t>
      </w:r>
      <w:r>
        <w:rPr>
          <w:i/>
          <w:sz w:val="16"/>
        </w:rPr>
        <w:t>consagrados</w:t>
      </w:r>
      <w:r>
        <w:rPr>
          <w:i/>
          <w:spacing w:val="-2"/>
          <w:sz w:val="16"/>
        </w:rPr>
        <w:t xml:space="preserve"> </w:t>
      </w:r>
      <w:r>
        <w:rPr>
          <w:i/>
          <w:sz w:val="16"/>
        </w:rPr>
        <w:t>en</w:t>
      </w:r>
      <w:r>
        <w:rPr>
          <w:i/>
          <w:spacing w:val="-6"/>
          <w:sz w:val="16"/>
        </w:rPr>
        <w:t xml:space="preserve"> </w:t>
      </w:r>
      <w:r>
        <w:rPr>
          <w:i/>
          <w:sz w:val="16"/>
        </w:rPr>
        <w:t>la</w:t>
      </w:r>
      <w:r>
        <w:rPr>
          <w:i/>
          <w:spacing w:val="-1"/>
          <w:sz w:val="16"/>
        </w:rPr>
        <w:t xml:space="preserve"> </w:t>
      </w:r>
      <w:r>
        <w:rPr>
          <w:i/>
          <w:sz w:val="16"/>
        </w:rPr>
        <w:t>Carta</w:t>
      </w:r>
      <w:r>
        <w:rPr>
          <w:i/>
          <w:spacing w:val="-3"/>
          <w:sz w:val="16"/>
        </w:rPr>
        <w:t xml:space="preserve"> </w:t>
      </w:r>
      <w:r>
        <w:rPr>
          <w:i/>
          <w:sz w:val="16"/>
        </w:rPr>
        <w:t>de</w:t>
      </w:r>
      <w:r>
        <w:rPr>
          <w:i/>
          <w:spacing w:val="-2"/>
          <w:sz w:val="16"/>
        </w:rPr>
        <w:t xml:space="preserve"> </w:t>
      </w:r>
      <w:r>
        <w:rPr>
          <w:i/>
          <w:sz w:val="16"/>
        </w:rPr>
        <w:t>la</w:t>
      </w:r>
      <w:r>
        <w:rPr>
          <w:i/>
          <w:spacing w:val="-3"/>
          <w:sz w:val="16"/>
        </w:rPr>
        <w:t xml:space="preserve"> </w:t>
      </w:r>
      <w:r>
        <w:rPr>
          <w:i/>
          <w:sz w:val="16"/>
        </w:rPr>
        <w:t>Organización</w:t>
      </w:r>
      <w:r>
        <w:rPr>
          <w:i/>
          <w:spacing w:val="-6"/>
          <w:sz w:val="16"/>
        </w:rPr>
        <w:t xml:space="preserve"> </w:t>
      </w:r>
      <w:r>
        <w:rPr>
          <w:i/>
          <w:sz w:val="16"/>
        </w:rPr>
        <w:t>de</w:t>
      </w:r>
      <w:r>
        <w:rPr>
          <w:i/>
          <w:spacing w:val="-3"/>
          <w:sz w:val="16"/>
        </w:rPr>
        <w:t xml:space="preserve"> </w:t>
      </w:r>
      <w:r>
        <w:rPr>
          <w:i/>
          <w:sz w:val="16"/>
        </w:rPr>
        <w:t>los</w:t>
      </w:r>
      <w:r>
        <w:rPr>
          <w:i/>
          <w:spacing w:val="-2"/>
          <w:sz w:val="16"/>
        </w:rPr>
        <w:t xml:space="preserve"> </w:t>
      </w:r>
      <w:r>
        <w:rPr>
          <w:i/>
          <w:sz w:val="16"/>
        </w:rPr>
        <w:t>Estados</w:t>
      </w:r>
      <w:r>
        <w:rPr>
          <w:i/>
          <w:spacing w:val="-2"/>
          <w:sz w:val="16"/>
        </w:rPr>
        <w:t xml:space="preserve"> </w:t>
      </w:r>
      <w:r>
        <w:rPr>
          <w:i/>
          <w:sz w:val="16"/>
        </w:rPr>
        <w:t>Americanos, en la Declaración Americana de los Derechos y Deberes del Hombre y en la Declaración Universal de los Derechos Humanos</w:t>
      </w:r>
      <w:r>
        <w:rPr>
          <w:i/>
          <w:spacing w:val="-13"/>
          <w:sz w:val="16"/>
        </w:rPr>
        <w:t xml:space="preserve"> </w:t>
      </w:r>
      <w:r>
        <w:rPr>
          <w:i/>
          <w:sz w:val="16"/>
        </w:rPr>
        <w:t>que</w:t>
      </w:r>
      <w:r>
        <w:rPr>
          <w:i/>
          <w:spacing w:val="-13"/>
          <w:sz w:val="16"/>
        </w:rPr>
        <w:t xml:space="preserve"> </w:t>
      </w:r>
      <w:r>
        <w:rPr>
          <w:i/>
          <w:sz w:val="16"/>
        </w:rPr>
        <w:t>han</w:t>
      </w:r>
      <w:r>
        <w:rPr>
          <w:i/>
          <w:spacing w:val="-13"/>
          <w:sz w:val="16"/>
        </w:rPr>
        <w:t xml:space="preserve"> </w:t>
      </w:r>
      <w:r>
        <w:rPr>
          <w:i/>
          <w:sz w:val="16"/>
        </w:rPr>
        <w:t>sido</w:t>
      </w:r>
      <w:r>
        <w:rPr>
          <w:i/>
          <w:spacing w:val="-12"/>
          <w:sz w:val="16"/>
        </w:rPr>
        <w:t xml:space="preserve"> </w:t>
      </w:r>
      <w:r>
        <w:rPr>
          <w:i/>
          <w:sz w:val="16"/>
        </w:rPr>
        <w:t>reafirmados</w:t>
      </w:r>
      <w:r>
        <w:rPr>
          <w:i/>
          <w:spacing w:val="-14"/>
          <w:sz w:val="16"/>
        </w:rPr>
        <w:t xml:space="preserve"> </w:t>
      </w:r>
      <w:r>
        <w:rPr>
          <w:i/>
          <w:sz w:val="16"/>
        </w:rPr>
        <w:t>y</w:t>
      </w:r>
      <w:r>
        <w:rPr>
          <w:i/>
          <w:spacing w:val="-12"/>
          <w:sz w:val="16"/>
        </w:rPr>
        <w:t xml:space="preserve"> </w:t>
      </w:r>
      <w:r>
        <w:rPr>
          <w:i/>
          <w:sz w:val="16"/>
        </w:rPr>
        <w:t>desarrollados</w:t>
      </w:r>
      <w:r>
        <w:rPr>
          <w:i/>
          <w:spacing w:val="-15"/>
          <w:sz w:val="16"/>
        </w:rPr>
        <w:t xml:space="preserve"> </w:t>
      </w:r>
      <w:r>
        <w:rPr>
          <w:i/>
          <w:sz w:val="16"/>
        </w:rPr>
        <w:t>en</w:t>
      </w:r>
      <w:r>
        <w:rPr>
          <w:i/>
          <w:spacing w:val="-13"/>
          <w:sz w:val="16"/>
        </w:rPr>
        <w:t xml:space="preserve"> </w:t>
      </w:r>
      <w:r>
        <w:rPr>
          <w:i/>
          <w:sz w:val="16"/>
        </w:rPr>
        <w:t>otros</w:t>
      </w:r>
      <w:r>
        <w:rPr>
          <w:i/>
          <w:spacing w:val="-13"/>
          <w:sz w:val="16"/>
        </w:rPr>
        <w:t xml:space="preserve"> </w:t>
      </w:r>
      <w:r>
        <w:rPr>
          <w:i/>
          <w:sz w:val="16"/>
        </w:rPr>
        <w:t>instrumentos</w:t>
      </w:r>
      <w:r>
        <w:rPr>
          <w:i/>
          <w:spacing w:val="-12"/>
          <w:sz w:val="16"/>
        </w:rPr>
        <w:t xml:space="preserve"> </w:t>
      </w:r>
      <w:r>
        <w:rPr>
          <w:i/>
          <w:sz w:val="16"/>
        </w:rPr>
        <w:t>inte</w:t>
      </w:r>
      <w:r>
        <w:rPr>
          <w:i/>
          <w:sz w:val="16"/>
        </w:rPr>
        <w:t>rnacionales,</w:t>
      </w:r>
      <w:r>
        <w:rPr>
          <w:i/>
          <w:spacing w:val="-14"/>
          <w:sz w:val="16"/>
        </w:rPr>
        <w:t xml:space="preserve"> </w:t>
      </w:r>
      <w:r>
        <w:rPr>
          <w:i/>
          <w:sz w:val="16"/>
        </w:rPr>
        <w:t>tanto</w:t>
      </w:r>
      <w:r>
        <w:rPr>
          <w:i/>
          <w:spacing w:val="-12"/>
          <w:sz w:val="16"/>
        </w:rPr>
        <w:t xml:space="preserve"> </w:t>
      </w:r>
      <w:r>
        <w:rPr>
          <w:i/>
          <w:sz w:val="16"/>
        </w:rPr>
        <w:t>de</w:t>
      </w:r>
      <w:r>
        <w:rPr>
          <w:i/>
          <w:spacing w:val="-12"/>
          <w:sz w:val="16"/>
        </w:rPr>
        <w:t xml:space="preserve"> </w:t>
      </w:r>
      <w:r>
        <w:rPr>
          <w:i/>
          <w:sz w:val="16"/>
        </w:rPr>
        <w:t>ámbito</w:t>
      </w:r>
      <w:r>
        <w:rPr>
          <w:i/>
          <w:spacing w:val="-12"/>
          <w:sz w:val="16"/>
        </w:rPr>
        <w:t xml:space="preserve"> </w:t>
      </w:r>
      <w:r>
        <w:rPr>
          <w:i/>
          <w:sz w:val="16"/>
        </w:rPr>
        <w:t>universal como</w:t>
      </w:r>
      <w:r>
        <w:rPr>
          <w:i/>
          <w:spacing w:val="-4"/>
          <w:sz w:val="16"/>
        </w:rPr>
        <w:t xml:space="preserve"> </w:t>
      </w:r>
      <w:r>
        <w:rPr>
          <w:i/>
          <w:sz w:val="16"/>
        </w:rPr>
        <w:t>regional;”</w:t>
      </w:r>
    </w:p>
    <w:p w14:paraId="2C956B58" w14:textId="77777777" w:rsidR="00467FCA" w:rsidRDefault="001B68EB">
      <w:pPr>
        <w:spacing w:line="194" w:lineRule="exact"/>
        <w:ind w:left="470"/>
        <w:rPr>
          <w:sz w:val="16"/>
        </w:rPr>
      </w:pPr>
      <w:bookmarkStart w:id="686" w:name="_bookmark607"/>
      <w:bookmarkEnd w:id="686"/>
      <w:r>
        <w:rPr>
          <w:position w:val="6"/>
          <w:sz w:val="10"/>
        </w:rPr>
        <w:t xml:space="preserve">59 </w:t>
      </w:r>
      <w:r>
        <w:rPr>
          <w:i/>
          <w:sz w:val="16"/>
        </w:rPr>
        <w:t>Supra</w:t>
      </w:r>
      <w:r>
        <w:rPr>
          <w:sz w:val="16"/>
        </w:rPr>
        <w:t>, Nota N° 23.</w:t>
      </w:r>
    </w:p>
    <w:p w14:paraId="7B43CDC1" w14:textId="77777777" w:rsidR="00467FCA" w:rsidRDefault="001B68EB">
      <w:pPr>
        <w:ind w:left="470" w:right="409"/>
        <w:rPr>
          <w:i/>
          <w:sz w:val="16"/>
        </w:rPr>
      </w:pPr>
      <w:bookmarkStart w:id="687" w:name="_bookmark608"/>
      <w:bookmarkEnd w:id="687"/>
      <w:r>
        <w:rPr>
          <w:i/>
          <w:position w:val="6"/>
          <w:sz w:val="10"/>
        </w:rPr>
        <w:t xml:space="preserve">60 </w:t>
      </w:r>
      <w:r>
        <w:rPr>
          <w:i/>
          <w:sz w:val="16"/>
        </w:rPr>
        <w:t>“Normas de Interpretación</w:t>
      </w:r>
      <w:r>
        <w:rPr>
          <w:b/>
          <w:i/>
          <w:sz w:val="16"/>
        </w:rPr>
        <w:t xml:space="preserve">. </w:t>
      </w:r>
      <w:r>
        <w:rPr>
          <w:i/>
          <w:sz w:val="16"/>
        </w:rPr>
        <w:t>Ninguna disposición de la presente Convención puede ser interpretada en el sentido de:</w:t>
      </w:r>
    </w:p>
    <w:p w14:paraId="73396D8E" w14:textId="77777777" w:rsidR="00467FCA" w:rsidRDefault="001B68EB">
      <w:pPr>
        <w:pStyle w:val="Prrafodelista"/>
        <w:numPr>
          <w:ilvl w:val="0"/>
          <w:numId w:val="20"/>
        </w:numPr>
        <w:tabs>
          <w:tab w:val="left" w:pos="744"/>
        </w:tabs>
        <w:ind w:right="394" w:firstLine="57"/>
        <w:rPr>
          <w:i/>
          <w:sz w:val="16"/>
        </w:rPr>
      </w:pPr>
      <w:r>
        <w:rPr>
          <w:i/>
          <w:sz w:val="16"/>
        </w:rPr>
        <w:t>permitir</w:t>
      </w:r>
      <w:r>
        <w:rPr>
          <w:i/>
          <w:spacing w:val="-10"/>
          <w:sz w:val="16"/>
        </w:rPr>
        <w:t xml:space="preserve"> </w:t>
      </w:r>
      <w:r>
        <w:rPr>
          <w:i/>
          <w:sz w:val="16"/>
        </w:rPr>
        <w:t>a</w:t>
      </w:r>
      <w:r>
        <w:rPr>
          <w:i/>
          <w:spacing w:val="-13"/>
          <w:sz w:val="16"/>
        </w:rPr>
        <w:t xml:space="preserve"> </w:t>
      </w:r>
      <w:r>
        <w:rPr>
          <w:i/>
          <w:sz w:val="16"/>
        </w:rPr>
        <w:t>alguno</w:t>
      </w:r>
      <w:r>
        <w:rPr>
          <w:i/>
          <w:spacing w:val="-11"/>
          <w:sz w:val="16"/>
        </w:rPr>
        <w:t xml:space="preserve"> </w:t>
      </w:r>
      <w:r>
        <w:rPr>
          <w:i/>
          <w:sz w:val="16"/>
        </w:rPr>
        <w:t>de</w:t>
      </w:r>
      <w:r>
        <w:rPr>
          <w:i/>
          <w:spacing w:val="-10"/>
          <w:sz w:val="16"/>
        </w:rPr>
        <w:t xml:space="preserve"> </w:t>
      </w:r>
      <w:r>
        <w:rPr>
          <w:i/>
          <w:sz w:val="16"/>
        </w:rPr>
        <w:t>los</w:t>
      </w:r>
      <w:r>
        <w:rPr>
          <w:i/>
          <w:spacing w:val="-11"/>
          <w:sz w:val="16"/>
        </w:rPr>
        <w:t xml:space="preserve"> </w:t>
      </w:r>
      <w:r>
        <w:rPr>
          <w:i/>
          <w:sz w:val="16"/>
        </w:rPr>
        <w:t>Estados</w:t>
      </w:r>
      <w:r>
        <w:rPr>
          <w:i/>
          <w:spacing w:val="-12"/>
          <w:sz w:val="16"/>
        </w:rPr>
        <w:t xml:space="preserve"> </w:t>
      </w:r>
      <w:r>
        <w:rPr>
          <w:i/>
          <w:sz w:val="16"/>
        </w:rPr>
        <w:t>Partes,</w:t>
      </w:r>
      <w:r>
        <w:rPr>
          <w:i/>
          <w:spacing w:val="-13"/>
          <w:sz w:val="16"/>
        </w:rPr>
        <w:t xml:space="preserve"> </w:t>
      </w:r>
      <w:r>
        <w:rPr>
          <w:i/>
          <w:sz w:val="16"/>
        </w:rPr>
        <w:t>grupo</w:t>
      </w:r>
      <w:r>
        <w:rPr>
          <w:i/>
          <w:spacing w:val="-11"/>
          <w:sz w:val="16"/>
        </w:rPr>
        <w:t xml:space="preserve"> </w:t>
      </w:r>
      <w:r>
        <w:rPr>
          <w:i/>
          <w:sz w:val="16"/>
        </w:rPr>
        <w:t>o</w:t>
      </w:r>
      <w:r>
        <w:rPr>
          <w:i/>
          <w:spacing w:val="-12"/>
          <w:sz w:val="16"/>
        </w:rPr>
        <w:t xml:space="preserve"> </w:t>
      </w:r>
      <w:r>
        <w:rPr>
          <w:i/>
          <w:sz w:val="16"/>
        </w:rPr>
        <w:t>persona,</w:t>
      </w:r>
      <w:r>
        <w:rPr>
          <w:i/>
          <w:spacing w:val="-13"/>
          <w:sz w:val="16"/>
        </w:rPr>
        <w:t xml:space="preserve"> </w:t>
      </w:r>
      <w:r>
        <w:rPr>
          <w:i/>
          <w:sz w:val="16"/>
        </w:rPr>
        <w:t>suprimir</w:t>
      </w:r>
      <w:r>
        <w:rPr>
          <w:i/>
          <w:spacing w:val="-11"/>
          <w:sz w:val="16"/>
        </w:rPr>
        <w:t xml:space="preserve"> </w:t>
      </w:r>
      <w:r>
        <w:rPr>
          <w:i/>
          <w:sz w:val="16"/>
        </w:rPr>
        <w:t>el</w:t>
      </w:r>
      <w:r>
        <w:rPr>
          <w:i/>
          <w:spacing w:val="-13"/>
          <w:sz w:val="16"/>
        </w:rPr>
        <w:t xml:space="preserve"> </w:t>
      </w:r>
      <w:r>
        <w:rPr>
          <w:i/>
          <w:sz w:val="16"/>
        </w:rPr>
        <w:t>goce</w:t>
      </w:r>
      <w:r>
        <w:rPr>
          <w:i/>
          <w:spacing w:val="-12"/>
          <w:sz w:val="16"/>
        </w:rPr>
        <w:t xml:space="preserve"> </w:t>
      </w:r>
      <w:r>
        <w:rPr>
          <w:i/>
          <w:sz w:val="16"/>
        </w:rPr>
        <w:t>y</w:t>
      </w:r>
      <w:r>
        <w:rPr>
          <w:i/>
          <w:spacing w:val="-10"/>
          <w:sz w:val="16"/>
        </w:rPr>
        <w:t xml:space="preserve"> </w:t>
      </w:r>
      <w:r>
        <w:rPr>
          <w:i/>
          <w:sz w:val="16"/>
        </w:rPr>
        <w:t>ejercicio</w:t>
      </w:r>
      <w:r>
        <w:rPr>
          <w:i/>
          <w:spacing w:val="-11"/>
          <w:sz w:val="16"/>
        </w:rPr>
        <w:t xml:space="preserve"> </w:t>
      </w:r>
      <w:r>
        <w:rPr>
          <w:i/>
          <w:sz w:val="16"/>
        </w:rPr>
        <w:t>de</w:t>
      </w:r>
      <w:r>
        <w:rPr>
          <w:i/>
          <w:spacing w:val="-12"/>
          <w:sz w:val="16"/>
        </w:rPr>
        <w:t xml:space="preserve"> </w:t>
      </w:r>
      <w:r>
        <w:rPr>
          <w:i/>
          <w:sz w:val="16"/>
        </w:rPr>
        <w:t>los</w:t>
      </w:r>
      <w:r>
        <w:rPr>
          <w:i/>
          <w:spacing w:val="-10"/>
          <w:sz w:val="16"/>
        </w:rPr>
        <w:t xml:space="preserve"> </w:t>
      </w:r>
      <w:r>
        <w:rPr>
          <w:i/>
          <w:sz w:val="16"/>
        </w:rPr>
        <w:t>derechos</w:t>
      </w:r>
      <w:r>
        <w:rPr>
          <w:i/>
          <w:spacing w:val="-12"/>
          <w:sz w:val="16"/>
        </w:rPr>
        <w:t xml:space="preserve"> </w:t>
      </w:r>
      <w:r>
        <w:rPr>
          <w:i/>
          <w:sz w:val="16"/>
        </w:rPr>
        <w:t>y</w:t>
      </w:r>
      <w:r>
        <w:rPr>
          <w:i/>
          <w:spacing w:val="-12"/>
          <w:sz w:val="16"/>
        </w:rPr>
        <w:t xml:space="preserve"> </w:t>
      </w:r>
      <w:r>
        <w:rPr>
          <w:i/>
          <w:sz w:val="16"/>
        </w:rPr>
        <w:t>libertades reconocidos en la Convención o limitarlos en mayor medida que la prevista en</w:t>
      </w:r>
      <w:r>
        <w:rPr>
          <w:i/>
          <w:spacing w:val="-13"/>
          <w:sz w:val="16"/>
        </w:rPr>
        <w:t xml:space="preserve"> </w:t>
      </w:r>
      <w:r>
        <w:rPr>
          <w:i/>
          <w:sz w:val="16"/>
        </w:rPr>
        <w:t>ella;</w:t>
      </w:r>
    </w:p>
    <w:p w14:paraId="7D2CD7F1" w14:textId="77777777" w:rsidR="00467FCA" w:rsidRDefault="001B68EB">
      <w:pPr>
        <w:pStyle w:val="Prrafodelista"/>
        <w:numPr>
          <w:ilvl w:val="0"/>
          <w:numId w:val="20"/>
        </w:numPr>
        <w:tabs>
          <w:tab w:val="left" w:pos="764"/>
        </w:tabs>
        <w:ind w:right="394" w:firstLine="57"/>
        <w:rPr>
          <w:i/>
          <w:sz w:val="16"/>
        </w:rPr>
      </w:pPr>
      <w:r>
        <w:rPr>
          <w:i/>
          <w:sz w:val="16"/>
        </w:rPr>
        <w:t xml:space="preserve">limitar el goce y ejercicio de cualquier derecho o libertad que pueda estar reconocido de acuerdo con las </w:t>
      </w:r>
      <w:r>
        <w:rPr>
          <w:i/>
          <w:sz w:val="16"/>
        </w:rPr>
        <w:t>leyes de cualquiera de los Estados Partes o de acuerdo con otra convención en que sea parte uno de dichos</w:t>
      </w:r>
      <w:r>
        <w:rPr>
          <w:i/>
          <w:spacing w:val="-26"/>
          <w:sz w:val="16"/>
        </w:rPr>
        <w:t xml:space="preserve"> </w:t>
      </w:r>
      <w:r>
        <w:rPr>
          <w:i/>
          <w:sz w:val="16"/>
        </w:rPr>
        <w:t>Estados;</w:t>
      </w:r>
    </w:p>
    <w:p w14:paraId="3C654664" w14:textId="77777777" w:rsidR="00467FCA" w:rsidRDefault="001B68EB">
      <w:pPr>
        <w:pStyle w:val="Prrafodelista"/>
        <w:numPr>
          <w:ilvl w:val="0"/>
          <w:numId w:val="20"/>
        </w:numPr>
        <w:tabs>
          <w:tab w:val="left" w:pos="744"/>
        </w:tabs>
        <w:ind w:right="395" w:firstLine="57"/>
        <w:rPr>
          <w:i/>
          <w:sz w:val="16"/>
        </w:rPr>
      </w:pPr>
      <w:r>
        <w:rPr>
          <w:i/>
          <w:sz w:val="16"/>
        </w:rPr>
        <w:t>excluir otros derechos y garantías que son inherentes al ser humano o que se derivan de la forma democrática representativa de gobierno,</w:t>
      </w:r>
      <w:r>
        <w:rPr>
          <w:i/>
          <w:spacing w:val="-7"/>
          <w:sz w:val="16"/>
        </w:rPr>
        <w:t xml:space="preserve"> </w:t>
      </w:r>
      <w:r>
        <w:rPr>
          <w:i/>
          <w:sz w:val="16"/>
        </w:rPr>
        <w:t>y</w:t>
      </w:r>
    </w:p>
    <w:p w14:paraId="144A3E53" w14:textId="77777777" w:rsidR="00467FCA" w:rsidRDefault="001B68EB">
      <w:pPr>
        <w:pStyle w:val="Prrafodelista"/>
        <w:numPr>
          <w:ilvl w:val="0"/>
          <w:numId w:val="20"/>
        </w:numPr>
        <w:tabs>
          <w:tab w:val="left" w:pos="764"/>
        </w:tabs>
        <w:spacing w:before="2"/>
        <w:ind w:right="395" w:firstLine="57"/>
        <w:rPr>
          <w:i/>
          <w:sz w:val="16"/>
        </w:rPr>
      </w:pPr>
      <w:r>
        <w:rPr>
          <w:i/>
          <w:sz w:val="16"/>
        </w:rPr>
        <w:t>excluir o limitar el efecto que puedan producir la Declaración Americana de Derechos y Deberes del Hombre y otros act</w:t>
      </w:r>
      <w:r>
        <w:rPr>
          <w:i/>
          <w:sz w:val="16"/>
        </w:rPr>
        <w:t>os internacionales de la misma</w:t>
      </w:r>
      <w:r>
        <w:rPr>
          <w:i/>
          <w:spacing w:val="-3"/>
          <w:sz w:val="16"/>
        </w:rPr>
        <w:t xml:space="preserve"> </w:t>
      </w:r>
      <w:r>
        <w:rPr>
          <w:i/>
          <w:sz w:val="16"/>
        </w:rPr>
        <w:t>naturaleza.</w:t>
      </w:r>
    </w:p>
    <w:p w14:paraId="7F45C160" w14:textId="77777777" w:rsidR="00467FCA" w:rsidRDefault="001B68EB">
      <w:pPr>
        <w:ind w:left="470"/>
        <w:rPr>
          <w:sz w:val="16"/>
        </w:rPr>
      </w:pPr>
      <w:bookmarkStart w:id="688" w:name="_bookmark609"/>
      <w:bookmarkEnd w:id="688"/>
      <w:r>
        <w:rPr>
          <w:position w:val="6"/>
          <w:sz w:val="10"/>
        </w:rPr>
        <w:t xml:space="preserve">61 </w:t>
      </w:r>
      <w:r>
        <w:rPr>
          <w:sz w:val="16"/>
        </w:rPr>
        <w:t>Párr. 158.</w:t>
      </w:r>
    </w:p>
    <w:p w14:paraId="32188E2A" w14:textId="77777777" w:rsidR="00467FCA" w:rsidRDefault="00467FCA">
      <w:pPr>
        <w:rPr>
          <w:sz w:val="16"/>
        </w:rPr>
        <w:sectPr w:rsidR="00467FCA">
          <w:pgSz w:w="12240" w:h="15840"/>
          <w:pgMar w:top="1340" w:right="1140" w:bottom="1200" w:left="960" w:header="0" w:footer="1002" w:gutter="0"/>
          <w:cols w:space="720"/>
        </w:sectPr>
      </w:pPr>
    </w:p>
    <w:p w14:paraId="7312B8B2" w14:textId="77777777" w:rsidR="00467FCA" w:rsidRDefault="001B68EB">
      <w:pPr>
        <w:pStyle w:val="Textoindependiente"/>
        <w:spacing w:before="76" w:line="276" w:lineRule="auto"/>
        <w:ind w:left="470" w:right="395"/>
        <w:jc w:val="both"/>
      </w:pPr>
      <w:r>
        <w:t>otra</w:t>
      </w:r>
      <w:r>
        <w:rPr>
          <w:spacing w:val="-13"/>
        </w:rPr>
        <w:t xml:space="preserve"> </w:t>
      </w:r>
      <w:r>
        <w:t>forma,</w:t>
      </w:r>
      <w:r>
        <w:rPr>
          <w:spacing w:val="-13"/>
        </w:rPr>
        <w:t xml:space="preserve"> </w:t>
      </w:r>
      <w:r>
        <w:t>se</w:t>
      </w:r>
      <w:r>
        <w:rPr>
          <w:spacing w:val="-15"/>
        </w:rPr>
        <w:t xml:space="preserve"> </w:t>
      </w:r>
      <w:r>
        <w:t>le</w:t>
      </w:r>
      <w:r>
        <w:rPr>
          <w:spacing w:val="-11"/>
        </w:rPr>
        <w:t xml:space="preserve"> </w:t>
      </w:r>
      <w:r>
        <w:t>estaría</w:t>
      </w:r>
      <w:r>
        <w:rPr>
          <w:spacing w:val="-11"/>
        </w:rPr>
        <w:t xml:space="preserve"> </w:t>
      </w:r>
      <w:r>
        <w:t>confiriendo</w:t>
      </w:r>
      <w:r>
        <w:rPr>
          <w:spacing w:val="-14"/>
        </w:rPr>
        <w:t xml:space="preserve"> </w:t>
      </w:r>
      <w:r>
        <w:t>a</w:t>
      </w:r>
      <w:r>
        <w:rPr>
          <w:spacing w:val="-12"/>
        </w:rPr>
        <w:t xml:space="preserve"> </w:t>
      </w:r>
      <w:r>
        <w:t>dichas</w:t>
      </w:r>
      <w:r>
        <w:rPr>
          <w:spacing w:val="-14"/>
        </w:rPr>
        <w:t xml:space="preserve"> </w:t>
      </w:r>
      <w:r>
        <w:t>entidades</w:t>
      </w:r>
      <w:r>
        <w:rPr>
          <w:spacing w:val="-13"/>
        </w:rPr>
        <w:t xml:space="preserve"> </w:t>
      </w:r>
      <w:r>
        <w:t>particulares</w:t>
      </w:r>
      <w:r>
        <w:rPr>
          <w:spacing w:val="-14"/>
        </w:rPr>
        <w:t xml:space="preserve"> </w:t>
      </w:r>
      <w:r>
        <w:t>la</w:t>
      </w:r>
      <w:r>
        <w:rPr>
          <w:spacing w:val="-12"/>
        </w:rPr>
        <w:t xml:space="preserve"> </w:t>
      </w:r>
      <w:r>
        <w:t>facultad</w:t>
      </w:r>
      <w:r>
        <w:rPr>
          <w:spacing w:val="-12"/>
        </w:rPr>
        <w:t xml:space="preserve"> </w:t>
      </w:r>
      <w:r>
        <w:t>de</w:t>
      </w:r>
      <w:r>
        <w:rPr>
          <w:spacing w:val="-15"/>
        </w:rPr>
        <w:t xml:space="preserve"> </w:t>
      </w:r>
      <w:r>
        <w:t>determinar la referida evolución y las condiciones de vida actuales, lo que no solo podría conducir a afirmaciones arbitrarias, sino que también atentaría contra la participación ciudadana, a través de Estados democráticos, en los asuntos</w:t>
      </w:r>
      <w:r>
        <w:rPr>
          <w:spacing w:val="-5"/>
        </w:rPr>
        <w:t xml:space="preserve"> </w:t>
      </w:r>
      <w:r>
        <w:t>internacionales.</w:t>
      </w:r>
    </w:p>
    <w:p w14:paraId="304483E5" w14:textId="77777777" w:rsidR="00467FCA" w:rsidRDefault="00467FCA">
      <w:pPr>
        <w:pStyle w:val="Textoindependiente"/>
        <w:spacing w:before="4"/>
        <w:rPr>
          <w:sz w:val="22"/>
        </w:rPr>
      </w:pPr>
    </w:p>
    <w:p w14:paraId="4F84AC27" w14:textId="77777777" w:rsidR="00467FCA" w:rsidRDefault="001B68EB">
      <w:pPr>
        <w:pStyle w:val="Prrafodelista"/>
        <w:numPr>
          <w:ilvl w:val="0"/>
          <w:numId w:val="25"/>
        </w:numPr>
        <w:tabs>
          <w:tab w:val="left" w:pos="1450"/>
        </w:tabs>
        <w:spacing w:before="1" w:line="276" w:lineRule="auto"/>
        <w:ind w:right="395" w:firstLine="0"/>
        <w:jc w:val="both"/>
        <w:rPr>
          <w:sz w:val="20"/>
        </w:rPr>
      </w:pPr>
      <w:r>
        <w:rPr>
          <w:sz w:val="20"/>
        </w:rPr>
        <w:t>En suma, teniendo presente que los textos antes aludidos son invocados por la Sentencia</w:t>
      </w:r>
      <w:r>
        <w:rPr>
          <w:spacing w:val="-9"/>
          <w:sz w:val="20"/>
        </w:rPr>
        <w:t xml:space="preserve"> </w:t>
      </w:r>
      <w:r>
        <w:rPr>
          <w:sz w:val="20"/>
        </w:rPr>
        <w:t>a</w:t>
      </w:r>
      <w:r>
        <w:rPr>
          <w:spacing w:val="-5"/>
          <w:sz w:val="20"/>
        </w:rPr>
        <w:t xml:space="preserve"> </w:t>
      </w:r>
      <w:r>
        <w:rPr>
          <w:sz w:val="20"/>
        </w:rPr>
        <w:t>fin</w:t>
      </w:r>
      <w:r>
        <w:rPr>
          <w:spacing w:val="-7"/>
          <w:sz w:val="20"/>
        </w:rPr>
        <w:t xml:space="preserve"> </w:t>
      </w:r>
      <w:r>
        <w:rPr>
          <w:sz w:val="20"/>
        </w:rPr>
        <w:t>de</w:t>
      </w:r>
      <w:r>
        <w:rPr>
          <w:spacing w:val="-8"/>
          <w:sz w:val="20"/>
        </w:rPr>
        <w:t xml:space="preserve"> </w:t>
      </w:r>
      <w:r>
        <w:rPr>
          <w:sz w:val="20"/>
        </w:rPr>
        <w:t>fundamentar</w:t>
      </w:r>
      <w:r>
        <w:rPr>
          <w:spacing w:val="-7"/>
          <w:sz w:val="20"/>
        </w:rPr>
        <w:t xml:space="preserve"> </w:t>
      </w:r>
      <w:r>
        <w:rPr>
          <w:sz w:val="20"/>
        </w:rPr>
        <w:t>su</w:t>
      </w:r>
      <w:r>
        <w:rPr>
          <w:spacing w:val="-7"/>
          <w:sz w:val="20"/>
        </w:rPr>
        <w:t xml:space="preserve"> </w:t>
      </w:r>
      <w:r>
        <w:rPr>
          <w:sz w:val="20"/>
        </w:rPr>
        <w:t>posición</w:t>
      </w:r>
      <w:r>
        <w:rPr>
          <w:spacing w:val="-5"/>
          <w:sz w:val="20"/>
        </w:rPr>
        <w:t xml:space="preserve"> </w:t>
      </w:r>
      <w:r>
        <w:rPr>
          <w:sz w:val="20"/>
        </w:rPr>
        <w:t>en</w:t>
      </w:r>
      <w:r>
        <w:rPr>
          <w:spacing w:val="-4"/>
          <w:sz w:val="20"/>
        </w:rPr>
        <w:t xml:space="preserve"> </w:t>
      </w:r>
      <w:r>
        <w:rPr>
          <w:sz w:val="20"/>
        </w:rPr>
        <w:t>cuanto</w:t>
      </w:r>
      <w:r>
        <w:rPr>
          <w:spacing w:val="-9"/>
          <w:sz w:val="20"/>
        </w:rPr>
        <w:t xml:space="preserve"> </w:t>
      </w:r>
      <w:r>
        <w:rPr>
          <w:sz w:val="20"/>
        </w:rPr>
        <w:t>a</w:t>
      </w:r>
      <w:r>
        <w:rPr>
          <w:spacing w:val="-9"/>
          <w:sz w:val="20"/>
        </w:rPr>
        <w:t xml:space="preserve"> </w:t>
      </w:r>
      <w:r>
        <w:rPr>
          <w:sz w:val="20"/>
        </w:rPr>
        <w:t>que</w:t>
      </w:r>
      <w:r>
        <w:rPr>
          <w:spacing w:val="-9"/>
          <w:sz w:val="20"/>
        </w:rPr>
        <w:t xml:space="preserve"> </w:t>
      </w:r>
      <w:r>
        <w:rPr>
          <w:sz w:val="20"/>
        </w:rPr>
        <w:t>la</w:t>
      </w:r>
      <w:r>
        <w:rPr>
          <w:spacing w:val="-5"/>
          <w:sz w:val="20"/>
        </w:rPr>
        <w:t xml:space="preserve"> </w:t>
      </w:r>
      <w:r>
        <w:rPr>
          <w:sz w:val="20"/>
        </w:rPr>
        <w:t>Corte</w:t>
      </w:r>
      <w:r>
        <w:rPr>
          <w:spacing w:val="-8"/>
          <w:sz w:val="20"/>
        </w:rPr>
        <w:t xml:space="preserve"> </w:t>
      </w:r>
      <w:r>
        <w:rPr>
          <w:sz w:val="20"/>
        </w:rPr>
        <w:t>tiene</w:t>
      </w:r>
      <w:r>
        <w:rPr>
          <w:spacing w:val="-9"/>
          <w:sz w:val="20"/>
        </w:rPr>
        <w:t xml:space="preserve"> </w:t>
      </w:r>
      <w:r>
        <w:rPr>
          <w:sz w:val="20"/>
        </w:rPr>
        <w:t>competencia</w:t>
      </w:r>
      <w:r>
        <w:rPr>
          <w:spacing w:val="-8"/>
          <w:sz w:val="20"/>
        </w:rPr>
        <w:t xml:space="preserve"> </w:t>
      </w:r>
      <w:r>
        <w:rPr>
          <w:sz w:val="20"/>
        </w:rPr>
        <w:t>para conocer y resolver sobre las eventuales violaciones al derecho a condiciones equitativ</w:t>
      </w:r>
      <w:r>
        <w:rPr>
          <w:sz w:val="20"/>
        </w:rPr>
        <w:t>as y satisfactorias que garanticen la seguridad, la salud y la higiene en el trabajo, se puede afirmar</w:t>
      </w:r>
      <w:r>
        <w:rPr>
          <w:spacing w:val="-16"/>
          <w:sz w:val="20"/>
        </w:rPr>
        <w:t xml:space="preserve"> </w:t>
      </w:r>
      <w:r>
        <w:rPr>
          <w:sz w:val="20"/>
        </w:rPr>
        <w:t>categóricamente</w:t>
      </w:r>
      <w:r>
        <w:rPr>
          <w:spacing w:val="-19"/>
          <w:sz w:val="20"/>
        </w:rPr>
        <w:t xml:space="preserve"> </w:t>
      </w:r>
      <w:r>
        <w:rPr>
          <w:sz w:val="20"/>
        </w:rPr>
        <w:t>que</w:t>
      </w:r>
      <w:r>
        <w:rPr>
          <w:spacing w:val="-16"/>
          <w:sz w:val="20"/>
        </w:rPr>
        <w:t xml:space="preserve"> </w:t>
      </w:r>
      <w:r>
        <w:rPr>
          <w:sz w:val="20"/>
        </w:rPr>
        <w:t>lo</w:t>
      </w:r>
      <w:r>
        <w:rPr>
          <w:spacing w:val="-16"/>
          <w:sz w:val="20"/>
        </w:rPr>
        <w:t xml:space="preserve"> </w:t>
      </w:r>
      <w:r>
        <w:rPr>
          <w:sz w:val="20"/>
        </w:rPr>
        <w:t>cierto</w:t>
      </w:r>
      <w:r>
        <w:rPr>
          <w:spacing w:val="-16"/>
          <w:sz w:val="20"/>
        </w:rPr>
        <w:t xml:space="preserve"> </w:t>
      </w:r>
      <w:r>
        <w:rPr>
          <w:sz w:val="20"/>
        </w:rPr>
        <w:t>es</w:t>
      </w:r>
      <w:r>
        <w:rPr>
          <w:spacing w:val="-18"/>
          <w:sz w:val="20"/>
        </w:rPr>
        <w:t xml:space="preserve"> </w:t>
      </w:r>
      <w:r>
        <w:rPr>
          <w:sz w:val="20"/>
        </w:rPr>
        <w:t>que,</w:t>
      </w:r>
      <w:r>
        <w:rPr>
          <w:spacing w:val="-16"/>
          <w:sz w:val="20"/>
        </w:rPr>
        <w:t xml:space="preserve"> </w:t>
      </w:r>
      <w:r>
        <w:rPr>
          <w:sz w:val="20"/>
        </w:rPr>
        <w:t>en</w:t>
      </w:r>
      <w:r>
        <w:rPr>
          <w:spacing w:val="-16"/>
          <w:sz w:val="20"/>
        </w:rPr>
        <w:t xml:space="preserve"> </w:t>
      </w:r>
      <w:r>
        <w:rPr>
          <w:sz w:val="20"/>
        </w:rPr>
        <w:t>el</w:t>
      </w:r>
      <w:r>
        <w:rPr>
          <w:spacing w:val="-17"/>
          <w:sz w:val="20"/>
        </w:rPr>
        <w:t xml:space="preserve"> </w:t>
      </w:r>
      <w:r>
        <w:rPr>
          <w:sz w:val="20"/>
        </w:rPr>
        <w:t>mejor</w:t>
      </w:r>
      <w:r>
        <w:rPr>
          <w:spacing w:val="-17"/>
          <w:sz w:val="20"/>
        </w:rPr>
        <w:t xml:space="preserve"> </w:t>
      </w:r>
      <w:r>
        <w:rPr>
          <w:sz w:val="20"/>
        </w:rPr>
        <w:t>de</w:t>
      </w:r>
      <w:r>
        <w:rPr>
          <w:spacing w:val="-16"/>
          <w:sz w:val="20"/>
        </w:rPr>
        <w:t xml:space="preserve"> </w:t>
      </w:r>
      <w:r>
        <w:rPr>
          <w:sz w:val="20"/>
        </w:rPr>
        <w:t>los</w:t>
      </w:r>
      <w:r>
        <w:rPr>
          <w:spacing w:val="-18"/>
          <w:sz w:val="20"/>
        </w:rPr>
        <w:t xml:space="preserve"> </w:t>
      </w:r>
      <w:r>
        <w:rPr>
          <w:sz w:val="20"/>
        </w:rPr>
        <w:t>casos,</w:t>
      </w:r>
      <w:r>
        <w:rPr>
          <w:spacing w:val="-13"/>
          <w:sz w:val="20"/>
        </w:rPr>
        <w:t xml:space="preserve"> </w:t>
      </w:r>
      <w:r>
        <w:rPr>
          <w:sz w:val="20"/>
        </w:rPr>
        <w:t>aquellos</w:t>
      </w:r>
      <w:r>
        <w:rPr>
          <w:spacing w:val="-18"/>
          <w:sz w:val="20"/>
        </w:rPr>
        <w:t xml:space="preserve"> </w:t>
      </w:r>
      <w:r>
        <w:rPr>
          <w:sz w:val="20"/>
        </w:rPr>
        <w:t>instrumentos podrían ser considerados como reconocimientos de la existencia de esos derechos, más no de la mencionada competencia. Es, pues, irrefutable que ninguno de ellos, se reitera, ninguno,</w:t>
      </w:r>
      <w:r>
        <w:rPr>
          <w:spacing w:val="-22"/>
          <w:sz w:val="20"/>
        </w:rPr>
        <w:t xml:space="preserve"> </w:t>
      </w:r>
      <w:r>
        <w:rPr>
          <w:sz w:val="20"/>
        </w:rPr>
        <w:t>dice</w:t>
      </w:r>
      <w:r>
        <w:rPr>
          <w:spacing w:val="-21"/>
          <w:sz w:val="20"/>
        </w:rPr>
        <w:t xml:space="preserve"> </w:t>
      </w:r>
      <w:r>
        <w:rPr>
          <w:sz w:val="20"/>
        </w:rPr>
        <w:t>relación</w:t>
      </w:r>
      <w:r>
        <w:rPr>
          <w:spacing w:val="-19"/>
          <w:sz w:val="20"/>
        </w:rPr>
        <w:t xml:space="preserve"> </w:t>
      </w:r>
      <w:r>
        <w:rPr>
          <w:sz w:val="20"/>
        </w:rPr>
        <w:t>o</w:t>
      </w:r>
      <w:r>
        <w:rPr>
          <w:spacing w:val="-19"/>
          <w:sz w:val="20"/>
        </w:rPr>
        <w:t xml:space="preserve"> </w:t>
      </w:r>
      <w:r>
        <w:rPr>
          <w:sz w:val="20"/>
        </w:rPr>
        <w:t>dispone</w:t>
      </w:r>
      <w:r>
        <w:rPr>
          <w:spacing w:val="-21"/>
          <w:sz w:val="20"/>
        </w:rPr>
        <w:t xml:space="preserve"> </w:t>
      </w:r>
      <w:r>
        <w:rPr>
          <w:sz w:val="20"/>
        </w:rPr>
        <w:t>que</w:t>
      </w:r>
      <w:r>
        <w:rPr>
          <w:spacing w:val="-21"/>
          <w:sz w:val="20"/>
        </w:rPr>
        <w:t xml:space="preserve"> </w:t>
      </w:r>
      <w:r>
        <w:rPr>
          <w:sz w:val="20"/>
        </w:rPr>
        <w:t>las</w:t>
      </w:r>
      <w:r>
        <w:rPr>
          <w:spacing w:val="-21"/>
          <w:sz w:val="20"/>
        </w:rPr>
        <w:t xml:space="preserve"> </w:t>
      </w:r>
      <w:r>
        <w:rPr>
          <w:sz w:val="20"/>
        </w:rPr>
        <w:t>presuntas</w:t>
      </w:r>
      <w:r>
        <w:rPr>
          <w:spacing w:val="-21"/>
          <w:sz w:val="20"/>
        </w:rPr>
        <w:t xml:space="preserve"> </w:t>
      </w:r>
      <w:r>
        <w:rPr>
          <w:sz w:val="20"/>
        </w:rPr>
        <w:t>violaciones</w:t>
      </w:r>
      <w:r>
        <w:rPr>
          <w:spacing w:val="-21"/>
          <w:sz w:val="20"/>
        </w:rPr>
        <w:t xml:space="preserve"> </w:t>
      </w:r>
      <w:r>
        <w:rPr>
          <w:sz w:val="20"/>
        </w:rPr>
        <w:t>de</w:t>
      </w:r>
      <w:r>
        <w:rPr>
          <w:spacing w:val="-21"/>
          <w:sz w:val="20"/>
        </w:rPr>
        <w:t xml:space="preserve"> </w:t>
      </w:r>
      <w:r>
        <w:rPr>
          <w:sz w:val="20"/>
        </w:rPr>
        <w:t>los</w:t>
      </w:r>
      <w:r>
        <w:rPr>
          <w:spacing w:val="-18"/>
          <w:sz w:val="20"/>
        </w:rPr>
        <w:t xml:space="preserve"> </w:t>
      </w:r>
      <w:r>
        <w:rPr>
          <w:sz w:val="20"/>
        </w:rPr>
        <w:t>citados</w:t>
      </w:r>
      <w:r>
        <w:rPr>
          <w:spacing w:val="-21"/>
          <w:sz w:val="20"/>
        </w:rPr>
        <w:t xml:space="preserve"> </w:t>
      </w:r>
      <w:r>
        <w:rPr>
          <w:sz w:val="20"/>
        </w:rPr>
        <w:t>derechos</w:t>
      </w:r>
      <w:r>
        <w:rPr>
          <w:spacing w:val="-21"/>
          <w:sz w:val="20"/>
        </w:rPr>
        <w:t xml:space="preserve"> </w:t>
      </w:r>
      <w:r>
        <w:rPr>
          <w:sz w:val="20"/>
        </w:rPr>
        <w:t>puedan ser llevadas ante la Corte para que resuelva sobre</w:t>
      </w:r>
      <w:r>
        <w:rPr>
          <w:spacing w:val="-13"/>
          <w:sz w:val="20"/>
        </w:rPr>
        <w:t xml:space="preserve"> </w:t>
      </w:r>
      <w:r>
        <w:rPr>
          <w:sz w:val="20"/>
        </w:rPr>
        <w:t>ellas.</w:t>
      </w:r>
    </w:p>
    <w:p w14:paraId="2FCD2458" w14:textId="77777777" w:rsidR="00467FCA" w:rsidRDefault="00467FCA">
      <w:pPr>
        <w:pStyle w:val="Textoindependiente"/>
        <w:spacing w:before="3"/>
        <w:rPr>
          <w:sz w:val="22"/>
        </w:rPr>
      </w:pPr>
    </w:p>
    <w:p w14:paraId="6BF80514" w14:textId="77777777" w:rsidR="00467FCA" w:rsidRDefault="001B68EB">
      <w:pPr>
        <w:pStyle w:val="Prrafodelista"/>
        <w:numPr>
          <w:ilvl w:val="0"/>
          <w:numId w:val="25"/>
        </w:numPr>
        <w:tabs>
          <w:tab w:val="left" w:pos="1450"/>
        </w:tabs>
        <w:spacing w:line="276" w:lineRule="auto"/>
        <w:ind w:right="396" w:firstLine="0"/>
        <w:jc w:val="both"/>
        <w:rPr>
          <w:sz w:val="20"/>
        </w:rPr>
      </w:pPr>
      <w:r>
        <w:rPr>
          <w:sz w:val="20"/>
        </w:rPr>
        <w:t>A</w:t>
      </w:r>
      <w:r>
        <w:rPr>
          <w:spacing w:val="-20"/>
          <w:sz w:val="20"/>
        </w:rPr>
        <w:t xml:space="preserve"> </w:t>
      </w:r>
      <w:r>
        <w:rPr>
          <w:sz w:val="20"/>
        </w:rPr>
        <w:t>lo</w:t>
      </w:r>
      <w:r>
        <w:rPr>
          <w:spacing w:val="-19"/>
          <w:sz w:val="20"/>
        </w:rPr>
        <w:t xml:space="preserve"> </w:t>
      </w:r>
      <w:r>
        <w:rPr>
          <w:sz w:val="20"/>
        </w:rPr>
        <w:t>precedentemente</w:t>
      </w:r>
      <w:r>
        <w:rPr>
          <w:spacing w:val="-21"/>
          <w:sz w:val="20"/>
        </w:rPr>
        <w:t xml:space="preserve"> </w:t>
      </w:r>
      <w:r>
        <w:rPr>
          <w:sz w:val="20"/>
        </w:rPr>
        <w:t>indicado,</w:t>
      </w:r>
      <w:r>
        <w:rPr>
          <w:spacing w:val="-19"/>
          <w:sz w:val="20"/>
        </w:rPr>
        <w:t xml:space="preserve"> </w:t>
      </w:r>
      <w:r>
        <w:rPr>
          <w:sz w:val="20"/>
        </w:rPr>
        <w:t>procede</w:t>
      </w:r>
      <w:r>
        <w:rPr>
          <w:spacing w:val="-19"/>
          <w:sz w:val="20"/>
        </w:rPr>
        <w:t xml:space="preserve"> </w:t>
      </w:r>
      <w:r>
        <w:rPr>
          <w:sz w:val="20"/>
        </w:rPr>
        <w:t>añadir</w:t>
      </w:r>
      <w:r>
        <w:rPr>
          <w:spacing w:val="-19"/>
          <w:sz w:val="20"/>
        </w:rPr>
        <w:t xml:space="preserve"> </w:t>
      </w:r>
      <w:r>
        <w:rPr>
          <w:sz w:val="20"/>
        </w:rPr>
        <w:t>que</w:t>
      </w:r>
      <w:r>
        <w:rPr>
          <w:spacing w:val="-21"/>
          <w:sz w:val="20"/>
        </w:rPr>
        <w:t xml:space="preserve"> </w:t>
      </w:r>
      <w:r>
        <w:rPr>
          <w:sz w:val="20"/>
        </w:rPr>
        <w:t>las</w:t>
      </w:r>
      <w:r>
        <w:rPr>
          <w:spacing w:val="-16"/>
          <w:sz w:val="20"/>
        </w:rPr>
        <w:t xml:space="preserve"> </w:t>
      </w:r>
      <w:r>
        <w:rPr>
          <w:sz w:val="20"/>
        </w:rPr>
        <w:t>referencias</w:t>
      </w:r>
      <w:r>
        <w:rPr>
          <w:spacing w:val="-22"/>
          <w:sz w:val="20"/>
        </w:rPr>
        <w:t xml:space="preserve"> </w:t>
      </w:r>
      <w:r>
        <w:rPr>
          <w:sz w:val="20"/>
        </w:rPr>
        <w:t>que</w:t>
      </w:r>
      <w:r>
        <w:rPr>
          <w:spacing w:val="-21"/>
          <w:sz w:val="20"/>
        </w:rPr>
        <w:t xml:space="preserve"> </w:t>
      </w:r>
      <w:r>
        <w:rPr>
          <w:sz w:val="20"/>
        </w:rPr>
        <w:t>la</w:t>
      </w:r>
      <w:r>
        <w:rPr>
          <w:spacing w:val="-15"/>
          <w:sz w:val="20"/>
        </w:rPr>
        <w:t xml:space="preserve"> </w:t>
      </w:r>
      <w:r>
        <w:rPr>
          <w:sz w:val="20"/>
        </w:rPr>
        <w:t>Sentencia hace a la legislación interna del Estado</w:t>
      </w:r>
      <w:hyperlink w:anchor="_bookmark610" w:history="1">
        <w:r>
          <w:rPr>
            <w:position w:val="7"/>
            <w:sz w:val="13"/>
          </w:rPr>
          <w:t>62</w:t>
        </w:r>
      </w:hyperlink>
      <w:r>
        <w:rPr>
          <w:position w:val="7"/>
          <w:sz w:val="13"/>
        </w:rPr>
        <w:t xml:space="preserve"> </w:t>
      </w:r>
      <w:r>
        <w:rPr>
          <w:sz w:val="20"/>
        </w:rPr>
        <w:t>tampoco justif</w:t>
      </w:r>
      <w:r>
        <w:rPr>
          <w:sz w:val="20"/>
        </w:rPr>
        <w:t>ican la tesis sostenida por ella en cuanto a que habilitaría para que se pudiera recurrir ante la Corte por las violaciones de los derechos antes mencionados. La competencia de la Corte deriva de la facultad que se le concede por la Convención y no por una</w:t>
      </w:r>
      <w:r>
        <w:rPr>
          <w:sz w:val="20"/>
        </w:rPr>
        <w:t xml:space="preserve"> disposición del derecho interno del Estado de que se trate, aunque, evidentemente, dicho ordenamiento jurídico se debe tener presente, conforme lo indica el citado artículo 29, al momento de interpretar aquella a los efectos de que ello no limite el goce </w:t>
      </w:r>
      <w:r>
        <w:rPr>
          <w:sz w:val="20"/>
        </w:rPr>
        <w:t>y el ejercicio de un derecho reconocido por este</w:t>
      </w:r>
      <w:r>
        <w:rPr>
          <w:spacing w:val="-23"/>
          <w:sz w:val="20"/>
        </w:rPr>
        <w:t xml:space="preserve"> </w:t>
      </w:r>
      <w:r>
        <w:rPr>
          <w:sz w:val="20"/>
        </w:rPr>
        <w:t>último.</w:t>
      </w:r>
    </w:p>
    <w:p w14:paraId="24E7CA8D" w14:textId="77777777" w:rsidR="00467FCA" w:rsidRDefault="00467FCA">
      <w:pPr>
        <w:pStyle w:val="Textoindependiente"/>
        <w:spacing w:before="2"/>
        <w:rPr>
          <w:sz w:val="22"/>
        </w:rPr>
      </w:pPr>
    </w:p>
    <w:p w14:paraId="6B52477B" w14:textId="77777777" w:rsidR="00467FCA" w:rsidRDefault="001B68EB">
      <w:pPr>
        <w:pStyle w:val="Prrafodelista"/>
        <w:numPr>
          <w:ilvl w:val="0"/>
          <w:numId w:val="25"/>
        </w:numPr>
        <w:tabs>
          <w:tab w:val="left" w:pos="1450"/>
        </w:tabs>
        <w:spacing w:line="276" w:lineRule="auto"/>
        <w:ind w:right="396" w:firstLine="0"/>
        <w:jc w:val="both"/>
        <w:rPr>
          <w:sz w:val="20"/>
        </w:rPr>
      </w:pPr>
      <w:r>
        <w:rPr>
          <w:sz w:val="20"/>
        </w:rPr>
        <w:t>Con respecto a lo sostenido precedentemente, se debe remarcar que en la propia Sentencia</w:t>
      </w:r>
      <w:r>
        <w:rPr>
          <w:spacing w:val="-3"/>
          <w:sz w:val="20"/>
        </w:rPr>
        <w:t xml:space="preserve"> </w:t>
      </w:r>
      <w:r>
        <w:rPr>
          <w:sz w:val="20"/>
        </w:rPr>
        <w:t>se</w:t>
      </w:r>
      <w:r>
        <w:rPr>
          <w:spacing w:val="-6"/>
          <w:sz w:val="20"/>
        </w:rPr>
        <w:t xml:space="preserve"> </w:t>
      </w:r>
      <w:r>
        <w:rPr>
          <w:sz w:val="20"/>
        </w:rPr>
        <w:t>indica</w:t>
      </w:r>
      <w:r>
        <w:rPr>
          <w:spacing w:val="-3"/>
          <w:sz w:val="20"/>
        </w:rPr>
        <w:t xml:space="preserve"> </w:t>
      </w:r>
      <w:r>
        <w:rPr>
          <w:sz w:val="20"/>
        </w:rPr>
        <w:t>que</w:t>
      </w:r>
      <w:r>
        <w:rPr>
          <w:spacing w:val="-1"/>
          <w:sz w:val="20"/>
        </w:rPr>
        <w:t xml:space="preserve"> </w:t>
      </w:r>
      <w:r>
        <w:rPr>
          <w:sz w:val="20"/>
        </w:rPr>
        <w:t>a</w:t>
      </w:r>
      <w:r>
        <w:rPr>
          <w:spacing w:val="-5"/>
          <w:sz w:val="20"/>
        </w:rPr>
        <w:t xml:space="preserve"> </w:t>
      </w:r>
      <w:r>
        <w:rPr>
          <w:sz w:val="20"/>
        </w:rPr>
        <w:t>lo</w:t>
      </w:r>
      <w:r>
        <w:rPr>
          <w:spacing w:val="-3"/>
          <w:sz w:val="20"/>
        </w:rPr>
        <w:t xml:space="preserve"> </w:t>
      </w:r>
      <w:r>
        <w:rPr>
          <w:sz w:val="20"/>
        </w:rPr>
        <w:t>que</w:t>
      </w:r>
      <w:r>
        <w:rPr>
          <w:spacing w:val="-4"/>
          <w:sz w:val="20"/>
        </w:rPr>
        <w:t xml:space="preserve"> </w:t>
      </w:r>
      <w:r>
        <w:rPr>
          <w:sz w:val="20"/>
        </w:rPr>
        <w:t>se</w:t>
      </w:r>
      <w:r>
        <w:rPr>
          <w:spacing w:val="-3"/>
          <w:sz w:val="20"/>
        </w:rPr>
        <w:t xml:space="preserve"> </w:t>
      </w:r>
      <w:r>
        <w:rPr>
          <w:sz w:val="20"/>
        </w:rPr>
        <w:t>refiere</w:t>
      </w:r>
      <w:r>
        <w:rPr>
          <w:spacing w:val="-4"/>
          <w:sz w:val="20"/>
        </w:rPr>
        <w:t xml:space="preserve"> </w:t>
      </w:r>
      <w:r>
        <w:rPr>
          <w:sz w:val="20"/>
        </w:rPr>
        <w:t>es</w:t>
      </w:r>
      <w:r>
        <w:rPr>
          <w:spacing w:val="-5"/>
          <w:sz w:val="20"/>
        </w:rPr>
        <w:t xml:space="preserve"> </w:t>
      </w:r>
      <w:r>
        <w:rPr>
          <w:sz w:val="20"/>
        </w:rPr>
        <w:t>a</w:t>
      </w:r>
      <w:r>
        <w:rPr>
          <w:spacing w:val="-2"/>
          <w:sz w:val="20"/>
        </w:rPr>
        <w:t xml:space="preserve"> </w:t>
      </w:r>
      <w:r>
        <w:rPr>
          <w:sz w:val="20"/>
        </w:rPr>
        <w:t>la</w:t>
      </w:r>
      <w:r>
        <w:rPr>
          <w:spacing w:val="-5"/>
          <w:sz w:val="20"/>
        </w:rPr>
        <w:t xml:space="preserve"> </w:t>
      </w:r>
      <w:r>
        <w:rPr>
          <w:sz w:val="20"/>
        </w:rPr>
        <w:t>determinación</w:t>
      </w:r>
      <w:r>
        <w:rPr>
          <w:spacing w:val="-3"/>
          <w:sz w:val="20"/>
        </w:rPr>
        <w:t xml:space="preserve"> </w:t>
      </w:r>
      <w:r>
        <w:rPr>
          <w:sz w:val="20"/>
        </w:rPr>
        <w:t>del</w:t>
      </w:r>
      <w:r>
        <w:rPr>
          <w:spacing w:val="-3"/>
          <w:sz w:val="20"/>
        </w:rPr>
        <w:t xml:space="preserve"> </w:t>
      </w:r>
      <w:r>
        <w:rPr>
          <w:sz w:val="20"/>
        </w:rPr>
        <w:t>contenido</w:t>
      </w:r>
      <w:r>
        <w:rPr>
          <w:spacing w:val="-3"/>
          <w:sz w:val="20"/>
        </w:rPr>
        <w:t xml:space="preserve"> </w:t>
      </w:r>
      <w:r>
        <w:rPr>
          <w:sz w:val="20"/>
        </w:rPr>
        <w:t>y</w:t>
      </w:r>
      <w:r>
        <w:rPr>
          <w:spacing w:val="-6"/>
          <w:sz w:val="20"/>
        </w:rPr>
        <w:t xml:space="preserve"> </w:t>
      </w:r>
      <w:r>
        <w:rPr>
          <w:sz w:val="20"/>
        </w:rPr>
        <w:t>alcance</w:t>
      </w:r>
      <w:r>
        <w:rPr>
          <w:spacing w:val="-6"/>
          <w:sz w:val="20"/>
        </w:rPr>
        <w:t xml:space="preserve"> </w:t>
      </w:r>
      <w:r>
        <w:rPr>
          <w:sz w:val="20"/>
        </w:rPr>
        <w:t>del derecho a condiciones equitativas y satisfactorias que garanticen la seguridad, la salud y la higiene</w:t>
      </w:r>
      <w:r>
        <w:rPr>
          <w:spacing w:val="-19"/>
          <w:sz w:val="20"/>
        </w:rPr>
        <w:t xml:space="preserve"> </w:t>
      </w:r>
      <w:r>
        <w:rPr>
          <w:sz w:val="20"/>
        </w:rPr>
        <w:t>en</w:t>
      </w:r>
      <w:r>
        <w:rPr>
          <w:spacing w:val="-13"/>
          <w:sz w:val="20"/>
        </w:rPr>
        <w:t xml:space="preserve"> </w:t>
      </w:r>
      <w:r>
        <w:rPr>
          <w:sz w:val="20"/>
        </w:rPr>
        <w:t>el</w:t>
      </w:r>
      <w:r>
        <w:rPr>
          <w:spacing w:val="-16"/>
          <w:sz w:val="20"/>
        </w:rPr>
        <w:t xml:space="preserve"> </w:t>
      </w:r>
      <w:r>
        <w:rPr>
          <w:sz w:val="20"/>
        </w:rPr>
        <w:t>trabajo</w:t>
      </w:r>
      <w:hyperlink w:anchor="_bookmark611" w:history="1">
        <w:r>
          <w:rPr>
            <w:position w:val="7"/>
            <w:sz w:val="13"/>
          </w:rPr>
          <w:t>63</w:t>
        </w:r>
        <w:r>
          <w:rPr>
            <w:spacing w:val="7"/>
            <w:position w:val="7"/>
            <w:sz w:val="13"/>
          </w:rPr>
          <w:t xml:space="preserve"> </w:t>
        </w:r>
      </w:hyperlink>
      <w:r>
        <w:rPr>
          <w:sz w:val="20"/>
        </w:rPr>
        <w:t>y</w:t>
      </w:r>
      <w:r>
        <w:rPr>
          <w:spacing w:val="-17"/>
          <w:sz w:val="20"/>
        </w:rPr>
        <w:t xml:space="preserve"> </w:t>
      </w:r>
      <w:r>
        <w:rPr>
          <w:sz w:val="20"/>
        </w:rPr>
        <w:t>de</w:t>
      </w:r>
      <w:r>
        <w:rPr>
          <w:spacing w:val="-18"/>
          <w:sz w:val="20"/>
        </w:rPr>
        <w:t xml:space="preserve"> </w:t>
      </w:r>
      <w:r>
        <w:rPr>
          <w:sz w:val="20"/>
        </w:rPr>
        <w:t>allí</w:t>
      </w:r>
      <w:r>
        <w:rPr>
          <w:spacing w:val="-16"/>
          <w:sz w:val="20"/>
        </w:rPr>
        <w:t xml:space="preserve"> </w:t>
      </w:r>
      <w:r>
        <w:rPr>
          <w:sz w:val="20"/>
        </w:rPr>
        <w:t>es</w:t>
      </w:r>
      <w:r>
        <w:rPr>
          <w:spacing w:val="-17"/>
          <w:sz w:val="20"/>
        </w:rPr>
        <w:t xml:space="preserve"> </w:t>
      </w:r>
      <w:r>
        <w:rPr>
          <w:sz w:val="20"/>
        </w:rPr>
        <w:t>que</w:t>
      </w:r>
      <w:r>
        <w:rPr>
          <w:spacing w:val="-16"/>
          <w:sz w:val="20"/>
        </w:rPr>
        <w:t xml:space="preserve"> </w:t>
      </w:r>
      <w:r>
        <w:rPr>
          <w:sz w:val="20"/>
        </w:rPr>
        <w:t>concluye</w:t>
      </w:r>
      <w:r>
        <w:rPr>
          <w:spacing w:val="-15"/>
          <w:sz w:val="20"/>
        </w:rPr>
        <w:t xml:space="preserve"> </w:t>
      </w:r>
      <w:r>
        <w:rPr>
          <w:sz w:val="20"/>
        </w:rPr>
        <w:t>en</w:t>
      </w:r>
      <w:r>
        <w:rPr>
          <w:spacing w:val="-12"/>
          <w:sz w:val="20"/>
        </w:rPr>
        <w:t xml:space="preserve"> </w:t>
      </w:r>
      <w:r>
        <w:rPr>
          <w:sz w:val="20"/>
        </w:rPr>
        <w:t>“</w:t>
      </w:r>
      <w:r>
        <w:rPr>
          <w:i/>
          <w:sz w:val="20"/>
        </w:rPr>
        <w:t>que</w:t>
      </w:r>
      <w:r>
        <w:rPr>
          <w:i/>
          <w:spacing w:val="-18"/>
          <w:sz w:val="20"/>
        </w:rPr>
        <w:t xml:space="preserve"> </w:t>
      </w:r>
      <w:r>
        <w:rPr>
          <w:i/>
          <w:sz w:val="20"/>
        </w:rPr>
        <w:t>existe</w:t>
      </w:r>
      <w:r>
        <w:rPr>
          <w:i/>
          <w:spacing w:val="-18"/>
          <w:sz w:val="20"/>
        </w:rPr>
        <w:t xml:space="preserve"> </w:t>
      </w:r>
      <w:r>
        <w:rPr>
          <w:i/>
          <w:sz w:val="20"/>
        </w:rPr>
        <w:t>una</w:t>
      </w:r>
      <w:r>
        <w:rPr>
          <w:i/>
          <w:spacing w:val="-16"/>
          <w:sz w:val="20"/>
        </w:rPr>
        <w:t xml:space="preserve"> </w:t>
      </w:r>
      <w:r>
        <w:rPr>
          <w:i/>
          <w:sz w:val="20"/>
        </w:rPr>
        <w:t>referencia</w:t>
      </w:r>
      <w:r>
        <w:rPr>
          <w:i/>
          <w:spacing w:val="-16"/>
          <w:sz w:val="20"/>
        </w:rPr>
        <w:t xml:space="preserve"> </w:t>
      </w:r>
      <w:r>
        <w:rPr>
          <w:i/>
          <w:sz w:val="20"/>
        </w:rPr>
        <w:t>con</w:t>
      </w:r>
      <w:r>
        <w:rPr>
          <w:i/>
          <w:spacing w:val="-14"/>
          <w:sz w:val="20"/>
        </w:rPr>
        <w:t xml:space="preserve"> </w:t>
      </w:r>
      <w:r>
        <w:rPr>
          <w:i/>
          <w:sz w:val="20"/>
        </w:rPr>
        <w:t>el</w:t>
      </w:r>
      <w:r>
        <w:rPr>
          <w:i/>
          <w:spacing w:val="-16"/>
          <w:sz w:val="20"/>
        </w:rPr>
        <w:t xml:space="preserve"> </w:t>
      </w:r>
      <w:r>
        <w:rPr>
          <w:i/>
          <w:sz w:val="20"/>
        </w:rPr>
        <w:t xml:space="preserve">suficiente </w:t>
      </w:r>
      <w:r>
        <w:rPr>
          <w:i/>
          <w:sz w:val="20"/>
        </w:rPr>
        <w:t>grado de especificidad al derecho a condiciones de trabajo equitativas y satisfactorias para derivar su existencia y reconocimiento implícito en la Carta de la OEA</w:t>
      </w:r>
      <w:r>
        <w:rPr>
          <w:sz w:val="20"/>
        </w:rPr>
        <w:t>”</w:t>
      </w:r>
      <w:hyperlink w:anchor="_bookmark612" w:history="1">
        <w:r>
          <w:rPr>
            <w:position w:val="7"/>
            <w:sz w:val="13"/>
          </w:rPr>
          <w:t>64</w:t>
        </w:r>
      </w:hyperlink>
      <w:r>
        <w:rPr>
          <w:sz w:val="20"/>
        </w:rPr>
        <w:t>. No se refiere, entonces, a la judicialización ante la</w:t>
      </w:r>
      <w:r>
        <w:rPr>
          <w:spacing w:val="-4"/>
          <w:sz w:val="20"/>
        </w:rPr>
        <w:t xml:space="preserve"> </w:t>
      </w:r>
      <w:r>
        <w:rPr>
          <w:sz w:val="20"/>
        </w:rPr>
        <w:t>Co</w:t>
      </w:r>
      <w:r>
        <w:rPr>
          <w:sz w:val="20"/>
        </w:rPr>
        <w:t>rte.</w:t>
      </w:r>
    </w:p>
    <w:p w14:paraId="4E8D25BB" w14:textId="77777777" w:rsidR="00467FCA" w:rsidRDefault="00467FCA">
      <w:pPr>
        <w:pStyle w:val="Textoindependiente"/>
        <w:spacing w:before="3"/>
        <w:rPr>
          <w:sz w:val="22"/>
        </w:rPr>
      </w:pPr>
    </w:p>
    <w:p w14:paraId="17ED4E14"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Adicionalmente,</w:t>
      </w:r>
      <w:r>
        <w:rPr>
          <w:spacing w:val="-11"/>
          <w:sz w:val="20"/>
        </w:rPr>
        <w:t xml:space="preserve"> </w:t>
      </w:r>
      <w:r>
        <w:rPr>
          <w:sz w:val="20"/>
        </w:rPr>
        <w:t>se</w:t>
      </w:r>
      <w:r>
        <w:rPr>
          <w:spacing w:val="-11"/>
          <w:sz w:val="20"/>
        </w:rPr>
        <w:t xml:space="preserve"> </w:t>
      </w:r>
      <w:r>
        <w:rPr>
          <w:sz w:val="20"/>
        </w:rPr>
        <w:t>debe</w:t>
      </w:r>
      <w:r>
        <w:rPr>
          <w:spacing w:val="-9"/>
          <w:sz w:val="20"/>
        </w:rPr>
        <w:t xml:space="preserve"> </w:t>
      </w:r>
      <w:r>
        <w:rPr>
          <w:sz w:val="20"/>
        </w:rPr>
        <w:t>advertir</w:t>
      </w:r>
      <w:r>
        <w:rPr>
          <w:spacing w:val="-12"/>
          <w:sz w:val="20"/>
        </w:rPr>
        <w:t xml:space="preserve"> </w:t>
      </w:r>
      <w:r>
        <w:rPr>
          <w:sz w:val="20"/>
        </w:rPr>
        <w:t>que</w:t>
      </w:r>
      <w:r>
        <w:rPr>
          <w:spacing w:val="-8"/>
          <w:sz w:val="20"/>
        </w:rPr>
        <w:t xml:space="preserve"> </w:t>
      </w:r>
      <w:r>
        <w:rPr>
          <w:sz w:val="20"/>
        </w:rPr>
        <w:t>en</w:t>
      </w:r>
      <w:r>
        <w:rPr>
          <w:spacing w:val="-9"/>
          <w:sz w:val="20"/>
        </w:rPr>
        <w:t xml:space="preserve"> </w:t>
      </w:r>
      <w:r>
        <w:rPr>
          <w:sz w:val="20"/>
        </w:rPr>
        <w:t>otras</w:t>
      </w:r>
      <w:r>
        <w:rPr>
          <w:spacing w:val="-11"/>
          <w:sz w:val="20"/>
        </w:rPr>
        <w:t xml:space="preserve"> </w:t>
      </w:r>
      <w:r>
        <w:rPr>
          <w:sz w:val="20"/>
        </w:rPr>
        <w:t>sentencias</w:t>
      </w:r>
      <w:r>
        <w:rPr>
          <w:spacing w:val="-11"/>
          <w:sz w:val="20"/>
        </w:rPr>
        <w:t xml:space="preserve"> </w:t>
      </w:r>
      <w:r>
        <w:rPr>
          <w:sz w:val="20"/>
        </w:rPr>
        <w:t>de</w:t>
      </w:r>
      <w:r>
        <w:rPr>
          <w:spacing w:val="-10"/>
          <w:sz w:val="20"/>
        </w:rPr>
        <w:t xml:space="preserve"> </w:t>
      </w:r>
      <w:r>
        <w:rPr>
          <w:sz w:val="20"/>
        </w:rPr>
        <w:t>la</w:t>
      </w:r>
      <w:r>
        <w:rPr>
          <w:spacing w:val="-10"/>
          <w:sz w:val="20"/>
        </w:rPr>
        <w:t xml:space="preserve"> </w:t>
      </w:r>
      <w:r>
        <w:rPr>
          <w:sz w:val="20"/>
        </w:rPr>
        <w:t>Corte</w:t>
      </w:r>
      <w:r>
        <w:rPr>
          <w:spacing w:val="-11"/>
          <w:sz w:val="20"/>
        </w:rPr>
        <w:t xml:space="preserve"> </w:t>
      </w:r>
      <w:r>
        <w:rPr>
          <w:sz w:val="20"/>
        </w:rPr>
        <w:t>se</w:t>
      </w:r>
      <w:r>
        <w:rPr>
          <w:spacing w:val="-11"/>
          <w:sz w:val="20"/>
        </w:rPr>
        <w:t xml:space="preserve"> </w:t>
      </w:r>
      <w:r>
        <w:rPr>
          <w:sz w:val="20"/>
        </w:rPr>
        <w:t>alcanzó</w:t>
      </w:r>
      <w:r>
        <w:rPr>
          <w:spacing w:val="-10"/>
          <w:sz w:val="20"/>
        </w:rPr>
        <w:t xml:space="preserve"> </w:t>
      </w:r>
      <w:r>
        <w:rPr>
          <w:sz w:val="20"/>
        </w:rPr>
        <w:t xml:space="preserve">un resultado análogo al que se pretende en autos, aplicando únicamente disposiciones de la Convención referentes a derechos que ésta reconoce y lógicamente dentro de los límites </w:t>
      </w:r>
      <w:r>
        <w:rPr>
          <w:spacing w:val="2"/>
          <w:sz w:val="20"/>
        </w:rPr>
        <w:t xml:space="preserve">de </w:t>
      </w:r>
      <w:r>
        <w:rPr>
          <w:sz w:val="20"/>
        </w:rPr>
        <w:t>ellas, sin haber tenido necesidad de recurrir al artículo 26. De modo, pues</w:t>
      </w:r>
      <w:r>
        <w:rPr>
          <w:sz w:val="20"/>
        </w:rPr>
        <w:t>, que no se vislumbra la razón por la insistencia de señalar dicha norma como fundamento para que las violaciones de los derechos humanos que se “</w:t>
      </w:r>
      <w:r>
        <w:rPr>
          <w:i/>
          <w:sz w:val="20"/>
        </w:rPr>
        <w:t>derivan</w:t>
      </w:r>
      <w:r>
        <w:rPr>
          <w:sz w:val="20"/>
        </w:rPr>
        <w:t>” de la Carta de la OEA puedan ser conocidas por la Corte, cuando es evidente que ello resulta</w:t>
      </w:r>
      <w:r>
        <w:rPr>
          <w:spacing w:val="-12"/>
          <w:sz w:val="20"/>
        </w:rPr>
        <w:t xml:space="preserve"> </w:t>
      </w:r>
      <w:r>
        <w:rPr>
          <w:sz w:val="20"/>
        </w:rPr>
        <w:t>superflu</w:t>
      </w:r>
      <w:r>
        <w:rPr>
          <w:sz w:val="20"/>
        </w:rPr>
        <w:t>o.</w:t>
      </w:r>
    </w:p>
    <w:p w14:paraId="05D91243" w14:textId="77777777" w:rsidR="00467FCA" w:rsidRDefault="00467FCA">
      <w:pPr>
        <w:pStyle w:val="Textoindependiente"/>
        <w:rPr>
          <w:sz w:val="22"/>
        </w:rPr>
      </w:pPr>
    </w:p>
    <w:p w14:paraId="739E4245" w14:textId="77777777" w:rsidR="00467FCA" w:rsidRDefault="001B68EB">
      <w:pPr>
        <w:pStyle w:val="Prrafodelista"/>
        <w:numPr>
          <w:ilvl w:val="0"/>
          <w:numId w:val="25"/>
        </w:numPr>
        <w:tabs>
          <w:tab w:val="left" w:pos="1450"/>
        </w:tabs>
        <w:spacing w:before="1" w:line="276" w:lineRule="auto"/>
        <w:ind w:right="397" w:firstLine="0"/>
        <w:jc w:val="both"/>
        <w:rPr>
          <w:sz w:val="20"/>
        </w:rPr>
      </w:pPr>
      <w:r>
        <w:rPr>
          <w:sz w:val="20"/>
        </w:rPr>
        <w:t>Lo anterior es tanto más cierto cuando se constata que la Sentencia, al declarar, sobre la base del artículo 26, la violación del derecho a condiciones equitativas y satisfactorias</w:t>
      </w:r>
      <w:r>
        <w:rPr>
          <w:spacing w:val="5"/>
          <w:sz w:val="20"/>
        </w:rPr>
        <w:t xml:space="preserve"> </w:t>
      </w:r>
      <w:r>
        <w:rPr>
          <w:sz w:val="20"/>
        </w:rPr>
        <w:t>que</w:t>
      </w:r>
      <w:r>
        <w:rPr>
          <w:spacing w:val="5"/>
          <w:sz w:val="20"/>
        </w:rPr>
        <w:t xml:space="preserve"> </w:t>
      </w:r>
      <w:r>
        <w:rPr>
          <w:sz w:val="20"/>
        </w:rPr>
        <w:t>garanticen</w:t>
      </w:r>
      <w:r>
        <w:rPr>
          <w:spacing w:val="8"/>
          <w:sz w:val="20"/>
        </w:rPr>
        <w:t xml:space="preserve"> </w:t>
      </w:r>
      <w:r>
        <w:rPr>
          <w:sz w:val="20"/>
        </w:rPr>
        <w:t>la</w:t>
      </w:r>
      <w:r>
        <w:rPr>
          <w:spacing w:val="7"/>
          <w:sz w:val="20"/>
        </w:rPr>
        <w:t xml:space="preserve"> </w:t>
      </w:r>
      <w:r>
        <w:rPr>
          <w:sz w:val="20"/>
        </w:rPr>
        <w:t>seguridad,</w:t>
      </w:r>
      <w:r>
        <w:rPr>
          <w:spacing w:val="5"/>
          <w:sz w:val="20"/>
        </w:rPr>
        <w:t xml:space="preserve"> </w:t>
      </w:r>
      <w:r>
        <w:rPr>
          <w:sz w:val="20"/>
        </w:rPr>
        <w:t>la</w:t>
      </w:r>
      <w:r>
        <w:rPr>
          <w:spacing w:val="7"/>
          <w:sz w:val="20"/>
        </w:rPr>
        <w:t xml:space="preserve"> </w:t>
      </w:r>
      <w:r>
        <w:rPr>
          <w:sz w:val="20"/>
        </w:rPr>
        <w:t>salud</w:t>
      </w:r>
      <w:r>
        <w:rPr>
          <w:spacing w:val="7"/>
          <w:sz w:val="20"/>
        </w:rPr>
        <w:t xml:space="preserve"> </w:t>
      </w:r>
      <w:r>
        <w:rPr>
          <w:sz w:val="20"/>
        </w:rPr>
        <w:t>y</w:t>
      </w:r>
      <w:r>
        <w:rPr>
          <w:spacing w:val="6"/>
          <w:sz w:val="20"/>
        </w:rPr>
        <w:t xml:space="preserve"> </w:t>
      </w:r>
      <w:r>
        <w:rPr>
          <w:sz w:val="20"/>
        </w:rPr>
        <w:t>la</w:t>
      </w:r>
      <w:r>
        <w:rPr>
          <w:spacing w:val="6"/>
          <w:sz w:val="20"/>
        </w:rPr>
        <w:t xml:space="preserve"> </w:t>
      </w:r>
      <w:r>
        <w:rPr>
          <w:sz w:val="20"/>
        </w:rPr>
        <w:t>higiene</w:t>
      </w:r>
      <w:r>
        <w:rPr>
          <w:spacing w:val="5"/>
          <w:sz w:val="20"/>
        </w:rPr>
        <w:t xml:space="preserve"> </w:t>
      </w:r>
      <w:r>
        <w:rPr>
          <w:sz w:val="20"/>
        </w:rPr>
        <w:t>en</w:t>
      </w:r>
      <w:r>
        <w:rPr>
          <w:spacing w:val="9"/>
          <w:sz w:val="20"/>
        </w:rPr>
        <w:t xml:space="preserve"> </w:t>
      </w:r>
      <w:r>
        <w:rPr>
          <w:sz w:val="20"/>
        </w:rPr>
        <w:t>el</w:t>
      </w:r>
      <w:r>
        <w:rPr>
          <w:spacing w:val="7"/>
          <w:sz w:val="20"/>
        </w:rPr>
        <w:t xml:space="preserve"> </w:t>
      </w:r>
      <w:r>
        <w:rPr>
          <w:sz w:val="20"/>
        </w:rPr>
        <w:t>trabajo,</w:t>
      </w:r>
      <w:r>
        <w:rPr>
          <w:spacing w:val="6"/>
          <w:sz w:val="20"/>
        </w:rPr>
        <w:t xml:space="preserve"> </w:t>
      </w:r>
      <w:r>
        <w:rPr>
          <w:sz w:val="20"/>
        </w:rPr>
        <w:t>lo</w:t>
      </w:r>
      <w:r>
        <w:rPr>
          <w:spacing w:val="5"/>
          <w:sz w:val="20"/>
        </w:rPr>
        <w:t xml:space="preserve"> </w:t>
      </w:r>
      <w:r>
        <w:rPr>
          <w:sz w:val="20"/>
        </w:rPr>
        <w:t>hace</w:t>
      </w:r>
      <w:r>
        <w:rPr>
          <w:spacing w:val="5"/>
          <w:sz w:val="20"/>
        </w:rPr>
        <w:t xml:space="preserve"> </w:t>
      </w:r>
      <w:r>
        <w:rPr>
          <w:sz w:val="20"/>
        </w:rPr>
        <w:t>junto</w:t>
      </w:r>
    </w:p>
    <w:p w14:paraId="1961382C" w14:textId="77777777" w:rsidR="00467FCA" w:rsidRDefault="001B68EB">
      <w:pPr>
        <w:pStyle w:val="Textoindependiente"/>
        <w:spacing w:before="5"/>
        <w:rPr>
          <w:sz w:val="24"/>
        </w:rPr>
      </w:pPr>
      <w:r>
        <w:pict w14:anchorId="38ED7F9C">
          <v:shape id="_x0000_s1092" style="position:absolute;margin-left:56.75pt;margin-top:17.2pt;width:2in;height:.1pt;z-index:-251551744;mso-wrap-distance-left:0;mso-wrap-distance-right:0;mso-position-horizontal-relative:page" coordorigin="1135,344" coordsize="2880,0" path="m1135,344r2880,e" filled="f" strokeweight=".72pt">
            <v:path arrowok="t"/>
            <w10:wrap type="topAndBottom" anchorx="page"/>
          </v:shape>
        </w:pict>
      </w:r>
    </w:p>
    <w:p w14:paraId="41B4A110" w14:textId="77777777" w:rsidR="00467FCA" w:rsidRDefault="001B68EB">
      <w:pPr>
        <w:spacing w:before="71"/>
        <w:ind w:left="470"/>
        <w:rPr>
          <w:sz w:val="16"/>
        </w:rPr>
      </w:pPr>
      <w:bookmarkStart w:id="689" w:name="_bookmark610"/>
      <w:bookmarkEnd w:id="689"/>
      <w:r>
        <w:rPr>
          <w:position w:val="6"/>
          <w:sz w:val="10"/>
        </w:rPr>
        <w:t xml:space="preserve">62 </w:t>
      </w:r>
      <w:r>
        <w:rPr>
          <w:sz w:val="16"/>
        </w:rPr>
        <w:t>Párrs. 150, 151 y 152.</w:t>
      </w:r>
    </w:p>
    <w:p w14:paraId="4993BBAD" w14:textId="77777777" w:rsidR="00467FCA" w:rsidRDefault="001B68EB">
      <w:pPr>
        <w:ind w:left="470"/>
        <w:rPr>
          <w:sz w:val="16"/>
        </w:rPr>
      </w:pPr>
      <w:bookmarkStart w:id="690" w:name="_bookmark611"/>
      <w:bookmarkEnd w:id="690"/>
      <w:r>
        <w:rPr>
          <w:position w:val="6"/>
          <w:sz w:val="10"/>
        </w:rPr>
        <w:t xml:space="preserve">63    </w:t>
      </w:r>
      <w:r>
        <w:rPr>
          <w:sz w:val="16"/>
        </w:rPr>
        <w:t>Párr.</w:t>
      </w:r>
      <w:r>
        <w:rPr>
          <w:spacing w:val="4"/>
          <w:sz w:val="16"/>
        </w:rPr>
        <w:t xml:space="preserve"> </w:t>
      </w:r>
      <w:r>
        <w:rPr>
          <w:sz w:val="16"/>
        </w:rPr>
        <w:t>156.</w:t>
      </w:r>
    </w:p>
    <w:p w14:paraId="4393C605" w14:textId="77777777" w:rsidR="00467FCA" w:rsidRDefault="001B68EB">
      <w:pPr>
        <w:ind w:left="470"/>
        <w:rPr>
          <w:sz w:val="16"/>
        </w:rPr>
      </w:pPr>
      <w:bookmarkStart w:id="691" w:name="_bookmark612"/>
      <w:bookmarkEnd w:id="691"/>
      <w:r>
        <w:rPr>
          <w:position w:val="6"/>
          <w:sz w:val="10"/>
        </w:rPr>
        <w:t xml:space="preserve">64    </w:t>
      </w:r>
      <w:r>
        <w:rPr>
          <w:sz w:val="16"/>
        </w:rPr>
        <w:t>Párr.</w:t>
      </w:r>
      <w:r>
        <w:rPr>
          <w:spacing w:val="4"/>
          <w:sz w:val="16"/>
        </w:rPr>
        <w:t xml:space="preserve"> </w:t>
      </w:r>
      <w:r>
        <w:rPr>
          <w:sz w:val="16"/>
        </w:rPr>
        <w:t>155.</w:t>
      </w:r>
    </w:p>
    <w:p w14:paraId="1720966B" w14:textId="77777777" w:rsidR="00467FCA" w:rsidRDefault="00467FCA">
      <w:pPr>
        <w:rPr>
          <w:sz w:val="16"/>
        </w:rPr>
        <w:sectPr w:rsidR="00467FCA">
          <w:pgSz w:w="12240" w:h="15840"/>
          <w:pgMar w:top="1340" w:right="1140" w:bottom="1200" w:left="960" w:header="0" w:footer="1002" w:gutter="0"/>
          <w:cols w:space="720"/>
        </w:sectPr>
      </w:pPr>
    </w:p>
    <w:p w14:paraId="5837503A" w14:textId="77777777" w:rsidR="00467FCA" w:rsidRDefault="001B68EB">
      <w:pPr>
        <w:pStyle w:val="Textoindependiente"/>
        <w:spacing w:before="76" w:line="276" w:lineRule="auto"/>
        <w:ind w:left="470" w:right="397"/>
        <w:jc w:val="both"/>
      </w:pPr>
      <w:r>
        <w:t>con declarar también violado el artículo 19, atingente a los derechos del niño, con lo que,</w:t>
      </w:r>
      <w:r>
        <w:rPr>
          <w:spacing w:val="-42"/>
        </w:rPr>
        <w:t xml:space="preserve"> </w:t>
      </w:r>
      <w:r>
        <w:t>lo privó</w:t>
      </w:r>
      <w:r>
        <w:rPr>
          <w:spacing w:val="-14"/>
        </w:rPr>
        <w:t xml:space="preserve"> </w:t>
      </w:r>
      <w:r>
        <w:t>de</w:t>
      </w:r>
      <w:r>
        <w:rPr>
          <w:spacing w:val="-14"/>
        </w:rPr>
        <w:t xml:space="preserve"> </w:t>
      </w:r>
      <w:r>
        <w:t>la</w:t>
      </w:r>
      <w:r>
        <w:rPr>
          <w:spacing w:val="-12"/>
        </w:rPr>
        <w:t xml:space="preserve"> </w:t>
      </w:r>
      <w:r>
        <w:t>fortaleza</w:t>
      </w:r>
      <w:r>
        <w:rPr>
          <w:spacing w:val="-12"/>
        </w:rPr>
        <w:t xml:space="preserve"> </w:t>
      </w:r>
      <w:r>
        <w:t>de</w:t>
      </w:r>
      <w:r>
        <w:rPr>
          <w:spacing w:val="-14"/>
        </w:rPr>
        <w:t xml:space="preserve"> </w:t>
      </w:r>
      <w:r>
        <w:t>la</w:t>
      </w:r>
      <w:r>
        <w:rPr>
          <w:spacing w:val="-12"/>
        </w:rPr>
        <w:t xml:space="preserve"> </w:t>
      </w:r>
      <w:r>
        <w:t>que,</w:t>
      </w:r>
      <w:r>
        <w:rPr>
          <w:spacing w:val="-12"/>
        </w:rPr>
        <w:t xml:space="preserve"> </w:t>
      </w:r>
      <w:r>
        <w:rPr>
          <w:i/>
        </w:rPr>
        <w:t>per</w:t>
      </w:r>
      <w:r>
        <w:rPr>
          <w:i/>
          <w:spacing w:val="-14"/>
        </w:rPr>
        <w:t xml:space="preserve"> </w:t>
      </w:r>
      <w:r>
        <w:rPr>
          <w:i/>
        </w:rPr>
        <w:t>se,</w:t>
      </w:r>
      <w:r>
        <w:rPr>
          <w:i/>
          <w:spacing w:val="-13"/>
        </w:rPr>
        <w:t xml:space="preserve"> </w:t>
      </w:r>
      <w:r>
        <w:t>goza,</w:t>
      </w:r>
      <w:r>
        <w:rPr>
          <w:spacing w:val="-13"/>
        </w:rPr>
        <w:t xml:space="preserve"> </w:t>
      </w:r>
      <w:r>
        <w:t>sentando</w:t>
      </w:r>
      <w:r>
        <w:rPr>
          <w:spacing w:val="-14"/>
        </w:rPr>
        <w:t xml:space="preserve"> </w:t>
      </w:r>
      <w:r>
        <w:t>así</w:t>
      </w:r>
      <w:r>
        <w:rPr>
          <w:spacing w:val="-12"/>
        </w:rPr>
        <w:t xml:space="preserve"> </w:t>
      </w:r>
      <w:r>
        <w:t>un</w:t>
      </w:r>
      <w:r>
        <w:rPr>
          <w:spacing w:val="-12"/>
        </w:rPr>
        <w:t xml:space="preserve"> </w:t>
      </w:r>
      <w:r>
        <w:t>precedente</w:t>
      </w:r>
      <w:r>
        <w:rPr>
          <w:spacing w:val="-10"/>
        </w:rPr>
        <w:t xml:space="preserve"> </w:t>
      </w:r>
      <w:r>
        <w:t>de</w:t>
      </w:r>
      <w:r>
        <w:rPr>
          <w:spacing w:val="-14"/>
        </w:rPr>
        <w:t xml:space="preserve"> </w:t>
      </w:r>
      <w:r>
        <w:t>que,</w:t>
      </w:r>
      <w:r>
        <w:rPr>
          <w:spacing w:val="-11"/>
        </w:rPr>
        <w:t xml:space="preserve"> </w:t>
      </w:r>
      <w:r>
        <w:t>en</w:t>
      </w:r>
      <w:r>
        <w:rPr>
          <w:spacing w:val="-12"/>
        </w:rPr>
        <w:t xml:space="preserve"> </w:t>
      </w:r>
      <w:r>
        <w:t>el</w:t>
      </w:r>
      <w:r>
        <w:rPr>
          <w:spacing w:val="-12"/>
        </w:rPr>
        <w:t xml:space="preserve"> </w:t>
      </w:r>
      <w:r>
        <w:t>futuro, no pueda ser invocado como el único fundamento para declarar su eventual violación. Un lamentable retroceso, pues, en esta</w:t>
      </w:r>
      <w:r>
        <w:rPr>
          <w:spacing w:val="-2"/>
        </w:rPr>
        <w:t xml:space="preserve"> </w:t>
      </w:r>
      <w:r>
        <w:t>materia.</w:t>
      </w:r>
    </w:p>
    <w:p w14:paraId="5D0D943D" w14:textId="77777777" w:rsidR="00467FCA" w:rsidRDefault="00467FCA">
      <w:pPr>
        <w:pStyle w:val="Textoindependiente"/>
        <w:spacing w:before="4"/>
        <w:rPr>
          <w:sz w:val="22"/>
        </w:rPr>
      </w:pPr>
    </w:p>
    <w:p w14:paraId="6CFCD9D3" w14:textId="77777777" w:rsidR="00467FCA" w:rsidRDefault="001B68EB">
      <w:pPr>
        <w:pStyle w:val="Prrafodelista"/>
        <w:numPr>
          <w:ilvl w:val="0"/>
          <w:numId w:val="25"/>
        </w:numPr>
        <w:tabs>
          <w:tab w:val="left" w:pos="1450"/>
        </w:tabs>
        <w:spacing w:line="276" w:lineRule="auto"/>
        <w:ind w:right="397" w:firstLine="0"/>
        <w:jc w:val="both"/>
        <w:rPr>
          <w:sz w:val="20"/>
        </w:rPr>
      </w:pPr>
      <w:r>
        <w:rPr>
          <w:sz w:val="20"/>
        </w:rPr>
        <w:t>De lo reseñado, se puede concluir, por lo tanto, que la aplicación del método subjetivo d</w:t>
      </w:r>
      <w:r>
        <w:rPr>
          <w:sz w:val="20"/>
        </w:rPr>
        <w:t>e interpretación de los tratados, conduce al mismo resultado ya antes señalado, a</w:t>
      </w:r>
      <w:r>
        <w:rPr>
          <w:spacing w:val="-7"/>
          <w:sz w:val="20"/>
        </w:rPr>
        <w:t xml:space="preserve"> </w:t>
      </w:r>
      <w:r>
        <w:rPr>
          <w:sz w:val="20"/>
        </w:rPr>
        <w:t>saber</w:t>
      </w:r>
      <w:r>
        <w:rPr>
          <w:spacing w:val="-6"/>
          <w:sz w:val="20"/>
        </w:rPr>
        <w:t xml:space="preserve"> </w:t>
      </w:r>
      <w:r>
        <w:rPr>
          <w:sz w:val="20"/>
        </w:rPr>
        <w:t>y</w:t>
      </w:r>
      <w:r>
        <w:rPr>
          <w:spacing w:val="-4"/>
          <w:sz w:val="20"/>
        </w:rPr>
        <w:t xml:space="preserve"> </w:t>
      </w:r>
      <w:r>
        <w:rPr>
          <w:sz w:val="20"/>
        </w:rPr>
        <w:t>a</w:t>
      </w:r>
      <w:r>
        <w:rPr>
          <w:spacing w:val="-7"/>
          <w:sz w:val="20"/>
        </w:rPr>
        <w:t xml:space="preserve"> </w:t>
      </w:r>
      <w:r>
        <w:rPr>
          <w:sz w:val="20"/>
        </w:rPr>
        <w:t>diferencia</w:t>
      </w:r>
      <w:r>
        <w:rPr>
          <w:spacing w:val="-6"/>
          <w:sz w:val="20"/>
        </w:rPr>
        <w:t xml:space="preserve"> </w:t>
      </w:r>
      <w:r>
        <w:rPr>
          <w:sz w:val="20"/>
        </w:rPr>
        <w:t>de</w:t>
      </w:r>
      <w:r>
        <w:rPr>
          <w:spacing w:val="-8"/>
          <w:sz w:val="20"/>
        </w:rPr>
        <w:t xml:space="preserve"> </w:t>
      </w:r>
      <w:r>
        <w:rPr>
          <w:sz w:val="20"/>
        </w:rPr>
        <w:t>lo</w:t>
      </w:r>
      <w:r>
        <w:rPr>
          <w:spacing w:val="-7"/>
          <w:sz w:val="20"/>
        </w:rPr>
        <w:t xml:space="preserve"> </w:t>
      </w:r>
      <w:r>
        <w:rPr>
          <w:sz w:val="20"/>
        </w:rPr>
        <w:t>que</w:t>
      </w:r>
      <w:r>
        <w:rPr>
          <w:spacing w:val="-8"/>
          <w:sz w:val="20"/>
        </w:rPr>
        <w:t xml:space="preserve"> </w:t>
      </w:r>
      <w:r>
        <w:rPr>
          <w:sz w:val="20"/>
        </w:rPr>
        <w:t>indica</w:t>
      </w:r>
      <w:r>
        <w:rPr>
          <w:spacing w:val="-3"/>
          <w:sz w:val="20"/>
        </w:rPr>
        <w:t xml:space="preserve"> </w:t>
      </w:r>
      <w:r>
        <w:rPr>
          <w:sz w:val="20"/>
        </w:rPr>
        <w:t>la</w:t>
      </w:r>
      <w:r>
        <w:rPr>
          <w:spacing w:val="-7"/>
          <w:sz w:val="20"/>
        </w:rPr>
        <w:t xml:space="preserve"> </w:t>
      </w:r>
      <w:r>
        <w:rPr>
          <w:sz w:val="20"/>
        </w:rPr>
        <w:t>Sentencia,</w:t>
      </w:r>
      <w:r>
        <w:rPr>
          <w:spacing w:val="-7"/>
          <w:sz w:val="20"/>
        </w:rPr>
        <w:t xml:space="preserve"> </w:t>
      </w:r>
      <w:r>
        <w:rPr>
          <w:sz w:val="20"/>
        </w:rPr>
        <w:t>que</w:t>
      </w:r>
      <w:r>
        <w:rPr>
          <w:spacing w:val="-2"/>
          <w:sz w:val="20"/>
        </w:rPr>
        <w:t xml:space="preserve"> </w:t>
      </w:r>
      <w:r>
        <w:rPr>
          <w:sz w:val="20"/>
        </w:rPr>
        <w:t>en</w:t>
      </w:r>
      <w:r>
        <w:rPr>
          <w:spacing w:val="-6"/>
          <w:sz w:val="20"/>
        </w:rPr>
        <w:t xml:space="preserve"> </w:t>
      </w:r>
      <w:r>
        <w:rPr>
          <w:sz w:val="20"/>
        </w:rPr>
        <w:t>momento</w:t>
      </w:r>
      <w:r>
        <w:rPr>
          <w:spacing w:val="-5"/>
          <w:sz w:val="20"/>
        </w:rPr>
        <w:t xml:space="preserve"> </w:t>
      </w:r>
      <w:r>
        <w:rPr>
          <w:sz w:val="20"/>
        </w:rPr>
        <w:t>alguno</w:t>
      </w:r>
      <w:r>
        <w:rPr>
          <w:spacing w:val="-8"/>
          <w:sz w:val="20"/>
        </w:rPr>
        <w:t xml:space="preserve"> </w:t>
      </w:r>
      <w:r>
        <w:rPr>
          <w:sz w:val="20"/>
        </w:rPr>
        <w:t>se</w:t>
      </w:r>
      <w:r>
        <w:rPr>
          <w:spacing w:val="-7"/>
          <w:sz w:val="20"/>
        </w:rPr>
        <w:t xml:space="preserve"> </w:t>
      </w:r>
      <w:r>
        <w:rPr>
          <w:sz w:val="20"/>
        </w:rPr>
        <w:t>incluyó</w:t>
      </w:r>
      <w:r>
        <w:rPr>
          <w:spacing w:val="-8"/>
          <w:sz w:val="20"/>
        </w:rPr>
        <w:t xml:space="preserve"> </w:t>
      </w:r>
      <w:r>
        <w:rPr>
          <w:sz w:val="20"/>
        </w:rPr>
        <w:t>a</w:t>
      </w:r>
      <w:r>
        <w:rPr>
          <w:spacing w:val="-3"/>
          <w:sz w:val="20"/>
        </w:rPr>
        <w:t xml:space="preserve"> </w:t>
      </w:r>
      <w:r>
        <w:rPr>
          <w:sz w:val="20"/>
        </w:rPr>
        <w:t>los derechos económicos, sociales y culturales que se “</w:t>
      </w:r>
      <w:r>
        <w:rPr>
          <w:i/>
          <w:sz w:val="20"/>
        </w:rPr>
        <w:t>derivan</w:t>
      </w:r>
      <w:r>
        <w:rPr>
          <w:sz w:val="20"/>
        </w:rPr>
        <w:t>” de las normas de la Car</w:t>
      </w:r>
      <w:r>
        <w:rPr>
          <w:sz w:val="20"/>
        </w:rPr>
        <w:t>ta de la OEA, entre ellos, el derecho a condiciones equitativas y satisfactorias que garanticen la seguridad, la salud y la higiene en el trabajo, en el régimen de protección previsto en la Convención.</w:t>
      </w:r>
    </w:p>
    <w:p w14:paraId="3B3D628C" w14:textId="77777777" w:rsidR="00467FCA" w:rsidRDefault="00467FCA">
      <w:pPr>
        <w:pStyle w:val="Textoindependiente"/>
        <w:spacing w:before="1"/>
        <w:rPr>
          <w:sz w:val="23"/>
        </w:rPr>
      </w:pPr>
    </w:p>
    <w:p w14:paraId="3CFA681B" w14:textId="77777777" w:rsidR="00467FCA" w:rsidRDefault="001B68EB">
      <w:pPr>
        <w:pStyle w:val="Ttulo1"/>
        <w:numPr>
          <w:ilvl w:val="0"/>
          <w:numId w:val="23"/>
        </w:numPr>
        <w:tabs>
          <w:tab w:val="left" w:pos="742"/>
        </w:tabs>
        <w:spacing w:before="1"/>
        <w:jc w:val="both"/>
      </w:pPr>
      <w:r>
        <w:t>Método funcional o</w:t>
      </w:r>
      <w:r>
        <w:rPr>
          <w:spacing w:val="-3"/>
        </w:rPr>
        <w:t xml:space="preserve"> </w:t>
      </w:r>
      <w:r>
        <w:t>teleológico.</w:t>
      </w:r>
    </w:p>
    <w:p w14:paraId="6D78A614" w14:textId="77777777" w:rsidR="00467FCA" w:rsidRDefault="00467FCA">
      <w:pPr>
        <w:pStyle w:val="Textoindependiente"/>
        <w:spacing w:before="9"/>
        <w:rPr>
          <w:b/>
          <w:sz w:val="25"/>
        </w:rPr>
      </w:pPr>
    </w:p>
    <w:p w14:paraId="4888380A" w14:textId="77777777" w:rsidR="00467FCA" w:rsidRDefault="001B68EB">
      <w:pPr>
        <w:pStyle w:val="Prrafodelista"/>
        <w:numPr>
          <w:ilvl w:val="0"/>
          <w:numId w:val="25"/>
        </w:numPr>
        <w:tabs>
          <w:tab w:val="left" w:pos="1450"/>
        </w:tabs>
        <w:spacing w:before="1" w:line="278" w:lineRule="auto"/>
        <w:ind w:right="395" w:firstLine="0"/>
        <w:jc w:val="both"/>
        <w:rPr>
          <w:sz w:val="20"/>
        </w:rPr>
      </w:pPr>
      <w:r>
        <w:rPr>
          <w:sz w:val="20"/>
        </w:rPr>
        <w:t>Al tratar de precisar el objeto y fin de la disposición convencional que interesa, se puede sostener</w:t>
      </w:r>
      <w:r>
        <w:rPr>
          <w:spacing w:val="-3"/>
          <w:sz w:val="20"/>
        </w:rPr>
        <w:t xml:space="preserve"> </w:t>
      </w:r>
      <w:r>
        <w:rPr>
          <w:sz w:val="20"/>
        </w:rPr>
        <w:t>que:</w:t>
      </w:r>
    </w:p>
    <w:p w14:paraId="2CDAAB54" w14:textId="77777777" w:rsidR="00467FCA" w:rsidRDefault="00467FCA">
      <w:pPr>
        <w:pStyle w:val="Textoindependiente"/>
        <w:spacing w:before="8"/>
        <w:rPr>
          <w:sz w:val="22"/>
        </w:rPr>
      </w:pPr>
    </w:p>
    <w:p w14:paraId="5BEB8B3B" w14:textId="77777777" w:rsidR="00467FCA" w:rsidRDefault="001B68EB">
      <w:pPr>
        <w:pStyle w:val="Prrafodelista"/>
        <w:numPr>
          <w:ilvl w:val="0"/>
          <w:numId w:val="19"/>
        </w:numPr>
        <w:tabs>
          <w:tab w:val="left" w:pos="1013"/>
        </w:tabs>
        <w:spacing w:before="1" w:line="276" w:lineRule="auto"/>
        <w:ind w:right="394"/>
        <w:jc w:val="both"/>
        <w:rPr>
          <w:sz w:val="20"/>
        </w:rPr>
      </w:pPr>
      <w:r>
        <w:rPr>
          <w:sz w:val="20"/>
        </w:rPr>
        <w:t>el</w:t>
      </w:r>
      <w:r>
        <w:rPr>
          <w:spacing w:val="-20"/>
          <w:sz w:val="20"/>
        </w:rPr>
        <w:t xml:space="preserve"> </w:t>
      </w:r>
      <w:r>
        <w:rPr>
          <w:sz w:val="20"/>
        </w:rPr>
        <w:t>propósito</w:t>
      </w:r>
      <w:r>
        <w:rPr>
          <w:spacing w:val="-19"/>
          <w:sz w:val="20"/>
        </w:rPr>
        <w:t xml:space="preserve"> </w:t>
      </w:r>
      <w:r>
        <w:rPr>
          <w:sz w:val="20"/>
        </w:rPr>
        <w:t>de</w:t>
      </w:r>
      <w:r>
        <w:rPr>
          <w:spacing w:val="-21"/>
          <w:sz w:val="20"/>
        </w:rPr>
        <w:t xml:space="preserve"> </w:t>
      </w:r>
      <w:r>
        <w:rPr>
          <w:sz w:val="20"/>
        </w:rPr>
        <w:t>los</w:t>
      </w:r>
      <w:r>
        <w:rPr>
          <w:spacing w:val="-18"/>
          <w:sz w:val="20"/>
        </w:rPr>
        <w:t xml:space="preserve"> </w:t>
      </w:r>
      <w:r>
        <w:rPr>
          <w:sz w:val="20"/>
        </w:rPr>
        <w:t>Estados</w:t>
      </w:r>
      <w:r>
        <w:rPr>
          <w:spacing w:val="-18"/>
          <w:sz w:val="20"/>
        </w:rPr>
        <w:t xml:space="preserve"> </w:t>
      </w:r>
      <w:r>
        <w:rPr>
          <w:sz w:val="20"/>
        </w:rPr>
        <w:t>al</w:t>
      </w:r>
      <w:r>
        <w:rPr>
          <w:spacing w:val="-17"/>
          <w:sz w:val="20"/>
        </w:rPr>
        <w:t xml:space="preserve"> </w:t>
      </w:r>
      <w:r>
        <w:rPr>
          <w:sz w:val="20"/>
        </w:rPr>
        <w:t>suscribir</w:t>
      </w:r>
      <w:r>
        <w:rPr>
          <w:spacing w:val="-19"/>
          <w:sz w:val="20"/>
        </w:rPr>
        <w:t xml:space="preserve"> </w:t>
      </w:r>
      <w:r>
        <w:rPr>
          <w:sz w:val="20"/>
        </w:rPr>
        <w:t>la</w:t>
      </w:r>
      <w:r>
        <w:rPr>
          <w:spacing w:val="-20"/>
          <w:sz w:val="20"/>
        </w:rPr>
        <w:t xml:space="preserve"> </w:t>
      </w:r>
      <w:r>
        <w:rPr>
          <w:sz w:val="20"/>
        </w:rPr>
        <w:t>Convención</w:t>
      </w:r>
      <w:r>
        <w:rPr>
          <w:spacing w:val="-16"/>
          <w:sz w:val="20"/>
        </w:rPr>
        <w:t xml:space="preserve"> </w:t>
      </w:r>
      <w:r>
        <w:rPr>
          <w:sz w:val="20"/>
        </w:rPr>
        <w:t>fue</w:t>
      </w:r>
      <w:r>
        <w:rPr>
          <w:spacing w:val="-17"/>
          <w:sz w:val="20"/>
        </w:rPr>
        <w:t xml:space="preserve"> </w:t>
      </w:r>
      <w:r>
        <w:rPr>
          <w:sz w:val="20"/>
        </w:rPr>
        <w:t>“</w:t>
      </w:r>
      <w:r>
        <w:rPr>
          <w:i/>
          <w:sz w:val="20"/>
        </w:rPr>
        <w:t>consolidar</w:t>
      </w:r>
      <w:r>
        <w:rPr>
          <w:i/>
          <w:spacing w:val="-19"/>
          <w:sz w:val="20"/>
        </w:rPr>
        <w:t xml:space="preserve"> </w:t>
      </w:r>
      <w:r>
        <w:rPr>
          <w:i/>
          <w:sz w:val="20"/>
        </w:rPr>
        <w:t>en</w:t>
      </w:r>
      <w:r>
        <w:rPr>
          <w:i/>
          <w:spacing w:val="-16"/>
          <w:sz w:val="20"/>
        </w:rPr>
        <w:t xml:space="preserve"> </w:t>
      </w:r>
      <w:r>
        <w:rPr>
          <w:i/>
          <w:sz w:val="20"/>
        </w:rPr>
        <w:t>este</w:t>
      </w:r>
      <w:r>
        <w:rPr>
          <w:i/>
          <w:spacing w:val="-19"/>
          <w:sz w:val="20"/>
        </w:rPr>
        <w:t xml:space="preserve"> </w:t>
      </w:r>
      <w:r>
        <w:rPr>
          <w:i/>
          <w:sz w:val="20"/>
        </w:rPr>
        <w:t xml:space="preserve">Continente, </w:t>
      </w:r>
      <w:r>
        <w:rPr>
          <w:i/>
          <w:sz w:val="20"/>
        </w:rPr>
        <w:t>dentro del cuadro de las instituciones democráticas, un régimen de libertad personal y de justicia social, fundado en el respeto de los derechos esenciales del</w:t>
      </w:r>
      <w:r>
        <w:rPr>
          <w:i/>
          <w:spacing w:val="-19"/>
          <w:sz w:val="20"/>
        </w:rPr>
        <w:t xml:space="preserve"> </w:t>
      </w:r>
      <w:r>
        <w:rPr>
          <w:i/>
          <w:sz w:val="20"/>
        </w:rPr>
        <w:t>hombre</w:t>
      </w:r>
      <w:r>
        <w:rPr>
          <w:sz w:val="20"/>
        </w:rPr>
        <w:t>”</w:t>
      </w:r>
      <w:hyperlink w:anchor="_bookmark613" w:history="1">
        <w:r>
          <w:rPr>
            <w:position w:val="7"/>
            <w:sz w:val="13"/>
          </w:rPr>
          <w:t>65</w:t>
        </w:r>
      </w:hyperlink>
      <w:r>
        <w:rPr>
          <w:sz w:val="20"/>
        </w:rPr>
        <w:t>;</w:t>
      </w:r>
    </w:p>
    <w:p w14:paraId="76494ED7" w14:textId="77777777" w:rsidR="00467FCA" w:rsidRDefault="00467FCA">
      <w:pPr>
        <w:pStyle w:val="Textoindependiente"/>
        <w:spacing w:before="11"/>
        <w:rPr>
          <w:sz w:val="22"/>
        </w:rPr>
      </w:pPr>
    </w:p>
    <w:p w14:paraId="75628A55" w14:textId="77777777" w:rsidR="00467FCA" w:rsidRDefault="001B68EB">
      <w:pPr>
        <w:pStyle w:val="Prrafodelista"/>
        <w:numPr>
          <w:ilvl w:val="0"/>
          <w:numId w:val="19"/>
        </w:numPr>
        <w:tabs>
          <w:tab w:val="left" w:pos="1013"/>
        </w:tabs>
        <w:spacing w:line="276" w:lineRule="auto"/>
        <w:ind w:right="395"/>
        <w:jc w:val="both"/>
        <w:rPr>
          <w:sz w:val="20"/>
        </w:rPr>
      </w:pPr>
      <w:r>
        <w:rPr>
          <w:sz w:val="20"/>
        </w:rPr>
        <w:t>para ello y tal como ya se señaló</w:t>
      </w:r>
      <w:hyperlink w:anchor="_bookmark614" w:history="1">
        <w:r>
          <w:rPr>
            <w:position w:val="7"/>
            <w:sz w:val="13"/>
          </w:rPr>
          <w:t>66</w:t>
        </w:r>
      </w:hyperlink>
      <w:r>
        <w:rPr>
          <w:sz w:val="20"/>
        </w:rPr>
        <w:t xml:space="preserve">, </w:t>
      </w:r>
      <w:r>
        <w:rPr>
          <w:i/>
          <w:sz w:val="20"/>
        </w:rPr>
        <w:t xml:space="preserve">“la Tercera Conferencia Interamericana Extraordinaria (Buenos Aires 1967) aprobó la incorporación a la propia Carta de la Organización </w:t>
      </w:r>
      <w:r>
        <w:rPr>
          <w:sz w:val="20"/>
        </w:rPr>
        <w:t xml:space="preserve">(de los Estados Americanos) </w:t>
      </w:r>
      <w:r>
        <w:rPr>
          <w:i/>
          <w:sz w:val="20"/>
        </w:rPr>
        <w:t>de normas más amplias sobre derechos económicos, sociales y educacionales</w:t>
      </w:r>
      <w:r>
        <w:rPr>
          <w:sz w:val="20"/>
        </w:rPr>
        <w:t>” y</w:t>
      </w:r>
      <w:r>
        <w:rPr>
          <w:sz w:val="20"/>
        </w:rPr>
        <w:t xml:space="preserve"> se “</w:t>
      </w:r>
      <w:r>
        <w:rPr>
          <w:i/>
          <w:sz w:val="20"/>
        </w:rPr>
        <w:t>resolvió que una Convención interamericana sobre derechos humanos determinara la estructura, competencia y procedimiento de los órganos encargados de esa</w:t>
      </w:r>
      <w:r>
        <w:rPr>
          <w:i/>
          <w:spacing w:val="-9"/>
          <w:sz w:val="20"/>
        </w:rPr>
        <w:t xml:space="preserve"> </w:t>
      </w:r>
      <w:r>
        <w:rPr>
          <w:i/>
          <w:sz w:val="20"/>
        </w:rPr>
        <w:t>materia</w:t>
      </w:r>
      <w:r>
        <w:rPr>
          <w:sz w:val="20"/>
        </w:rPr>
        <w:t>”;</w:t>
      </w:r>
    </w:p>
    <w:p w14:paraId="6061E560" w14:textId="77777777" w:rsidR="00467FCA" w:rsidRDefault="00467FCA">
      <w:pPr>
        <w:pStyle w:val="Textoindependiente"/>
        <w:rPr>
          <w:sz w:val="23"/>
        </w:rPr>
      </w:pPr>
    </w:p>
    <w:p w14:paraId="26A96F84" w14:textId="77777777" w:rsidR="00467FCA" w:rsidRDefault="001B68EB">
      <w:pPr>
        <w:pStyle w:val="Prrafodelista"/>
        <w:numPr>
          <w:ilvl w:val="0"/>
          <w:numId w:val="19"/>
        </w:numPr>
        <w:tabs>
          <w:tab w:val="left" w:pos="1013"/>
        </w:tabs>
        <w:spacing w:line="276" w:lineRule="auto"/>
        <w:ind w:right="395"/>
        <w:jc w:val="both"/>
        <w:rPr>
          <w:sz w:val="20"/>
        </w:rPr>
      </w:pPr>
      <w:r>
        <w:rPr>
          <w:sz w:val="20"/>
        </w:rPr>
        <w:t>es del todo evidente, entonces, que, lo dispuesto en la citada Conferencia se cumplió,</w:t>
      </w:r>
      <w:r>
        <w:rPr>
          <w:sz w:val="20"/>
        </w:rPr>
        <w:t xml:space="preserve"> en</w:t>
      </w:r>
      <w:r>
        <w:rPr>
          <w:spacing w:val="-20"/>
          <w:sz w:val="20"/>
        </w:rPr>
        <w:t xml:space="preserve"> </w:t>
      </w:r>
      <w:r>
        <w:rPr>
          <w:sz w:val="20"/>
        </w:rPr>
        <w:t>lo</w:t>
      </w:r>
      <w:r>
        <w:rPr>
          <w:spacing w:val="-20"/>
          <w:sz w:val="20"/>
        </w:rPr>
        <w:t xml:space="preserve"> </w:t>
      </w:r>
      <w:r>
        <w:rPr>
          <w:sz w:val="20"/>
        </w:rPr>
        <w:t>concerniente</w:t>
      </w:r>
      <w:r>
        <w:rPr>
          <w:spacing w:val="-20"/>
          <w:sz w:val="20"/>
        </w:rPr>
        <w:t xml:space="preserve"> </w:t>
      </w:r>
      <w:r>
        <w:rPr>
          <w:sz w:val="20"/>
        </w:rPr>
        <w:t>a</w:t>
      </w:r>
      <w:r>
        <w:rPr>
          <w:spacing w:val="-21"/>
          <w:sz w:val="20"/>
        </w:rPr>
        <w:t xml:space="preserve"> </w:t>
      </w:r>
      <w:r>
        <w:rPr>
          <w:sz w:val="20"/>
        </w:rPr>
        <w:t>los</w:t>
      </w:r>
      <w:r>
        <w:rPr>
          <w:spacing w:val="-19"/>
          <w:sz w:val="20"/>
        </w:rPr>
        <w:t xml:space="preserve"> </w:t>
      </w:r>
      <w:r>
        <w:rPr>
          <w:sz w:val="20"/>
        </w:rPr>
        <w:t>derechos</w:t>
      </w:r>
      <w:r>
        <w:rPr>
          <w:spacing w:val="-19"/>
          <w:sz w:val="20"/>
        </w:rPr>
        <w:t xml:space="preserve"> </w:t>
      </w:r>
      <w:r>
        <w:rPr>
          <w:sz w:val="20"/>
        </w:rPr>
        <w:t>económicos,</w:t>
      </w:r>
      <w:r>
        <w:rPr>
          <w:spacing w:val="-19"/>
          <w:sz w:val="20"/>
        </w:rPr>
        <w:t xml:space="preserve"> </w:t>
      </w:r>
      <w:r>
        <w:rPr>
          <w:sz w:val="20"/>
        </w:rPr>
        <w:t>sociales</w:t>
      </w:r>
      <w:r>
        <w:rPr>
          <w:spacing w:val="-22"/>
          <w:sz w:val="20"/>
        </w:rPr>
        <w:t xml:space="preserve"> </w:t>
      </w:r>
      <w:r>
        <w:rPr>
          <w:sz w:val="20"/>
        </w:rPr>
        <w:t>y</w:t>
      </w:r>
      <w:r>
        <w:rPr>
          <w:spacing w:val="-19"/>
          <w:sz w:val="20"/>
        </w:rPr>
        <w:t xml:space="preserve"> </w:t>
      </w:r>
      <w:r>
        <w:rPr>
          <w:sz w:val="20"/>
        </w:rPr>
        <w:t>educacionales,</w:t>
      </w:r>
      <w:r>
        <w:rPr>
          <w:spacing w:val="-19"/>
          <w:sz w:val="20"/>
        </w:rPr>
        <w:t xml:space="preserve"> </w:t>
      </w:r>
      <w:r>
        <w:rPr>
          <w:sz w:val="20"/>
        </w:rPr>
        <w:t>con</w:t>
      </w:r>
      <w:r>
        <w:rPr>
          <w:spacing w:val="-17"/>
          <w:sz w:val="20"/>
        </w:rPr>
        <w:t xml:space="preserve"> </w:t>
      </w:r>
      <w:r>
        <w:rPr>
          <w:sz w:val="20"/>
        </w:rPr>
        <w:t>el</w:t>
      </w:r>
      <w:r>
        <w:rPr>
          <w:spacing w:val="-20"/>
          <w:sz w:val="20"/>
        </w:rPr>
        <w:t xml:space="preserve"> </w:t>
      </w:r>
      <w:r>
        <w:rPr>
          <w:sz w:val="20"/>
        </w:rPr>
        <w:t>Protocolo de Buenos Aires y en lo que respecta a la estructura, competencia y procedimiento de los órganos encargados de esa materia, con la Convención;</w:t>
      </w:r>
      <w:r>
        <w:rPr>
          <w:spacing w:val="-6"/>
          <w:sz w:val="20"/>
        </w:rPr>
        <w:t xml:space="preserve"> </w:t>
      </w:r>
      <w:r>
        <w:rPr>
          <w:sz w:val="20"/>
        </w:rPr>
        <w:t>y</w:t>
      </w:r>
    </w:p>
    <w:p w14:paraId="4D27D40C" w14:textId="77777777" w:rsidR="00467FCA" w:rsidRDefault="00467FCA">
      <w:pPr>
        <w:pStyle w:val="Textoindependiente"/>
        <w:spacing w:before="11"/>
        <w:rPr>
          <w:sz w:val="22"/>
        </w:rPr>
      </w:pPr>
    </w:p>
    <w:p w14:paraId="0BFEB9F0" w14:textId="77777777" w:rsidR="00467FCA" w:rsidRDefault="001B68EB">
      <w:pPr>
        <w:pStyle w:val="Prrafodelista"/>
        <w:numPr>
          <w:ilvl w:val="0"/>
          <w:numId w:val="19"/>
        </w:numPr>
        <w:tabs>
          <w:tab w:val="left" w:pos="1013"/>
        </w:tabs>
        <w:spacing w:before="1" w:line="276" w:lineRule="auto"/>
        <w:ind w:right="393" w:hanging="271"/>
        <w:jc w:val="both"/>
        <w:rPr>
          <w:sz w:val="20"/>
        </w:rPr>
      </w:pPr>
      <w:r>
        <w:rPr>
          <w:sz w:val="20"/>
        </w:rPr>
        <w:t>es, por tanto, dando cumplimiento a ese mandato, que se incluyó el artículo 26 en la Convención en u</w:t>
      </w:r>
      <w:r>
        <w:rPr>
          <w:sz w:val="20"/>
        </w:rPr>
        <w:t xml:space="preserve">n capítulo separado del relativo a los derecho políticos y civiles y, además, estableciendo una especial obligación para los Estados Partes de la Convención, no existente en cuanto a los recién mencionados derechos, a saber, la de adoptar las </w:t>
      </w:r>
      <w:r>
        <w:rPr>
          <w:i/>
          <w:sz w:val="20"/>
        </w:rPr>
        <w:t>“providencias</w:t>
      </w:r>
      <w:r>
        <w:rPr>
          <w:i/>
          <w:sz w:val="20"/>
        </w:rPr>
        <w:t>, tanto a nivel interno como mediante la cooperación internacional,</w:t>
      </w:r>
      <w:r>
        <w:rPr>
          <w:i/>
          <w:spacing w:val="-18"/>
          <w:sz w:val="20"/>
        </w:rPr>
        <w:t xml:space="preserve"> </w:t>
      </w:r>
      <w:r>
        <w:rPr>
          <w:i/>
          <w:sz w:val="20"/>
        </w:rPr>
        <w:t>especialmente</w:t>
      </w:r>
      <w:r>
        <w:rPr>
          <w:i/>
          <w:spacing w:val="-17"/>
          <w:sz w:val="20"/>
        </w:rPr>
        <w:t xml:space="preserve"> </w:t>
      </w:r>
      <w:r>
        <w:rPr>
          <w:i/>
          <w:sz w:val="20"/>
        </w:rPr>
        <w:t>económica</w:t>
      </w:r>
      <w:r>
        <w:rPr>
          <w:i/>
          <w:spacing w:val="-17"/>
          <w:sz w:val="20"/>
        </w:rPr>
        <w:t xml:space="preserve"> </w:t>
      </w:r>
      <w:r>
        <w:rPr>
          <w:i/>
          <w:sz w:val="20"/>
        </w:rPr>
        <w:t>y</w:t>
      </w:r>
      <w:r>
        <w:rPr>
          <w:i/>
          <w:spacing w:val="-19"/>
          <w:sz w:val="20"/>
        </w:rPr>
        <w:t xml:space="preserve"> </w:t>
      </w:r>
      <w:r>
        <w:rPr>
          <w:i/>
          <w:sz w:val="20"/>
        </w:rPr>
        <w:t>técnica,</w:t>
      </w:r>
      <w:r>
        <w:rPr>
          <w:i/>
          <w:spacing w:val="-19"/>
          <w:sz w:val="20"/>
        </w:rPr>
        <w:t xml:space="preserve"> </w:t>
      </w:r>
      <w:r>
        <w:rPr>
          <w:i/>
          <w:sz w:val="20"/>
        </w:rPr>
        <w:t>para</w:t>
      </w:r>
      <w:r>
        <w:rPr>
          <w:i/>
          <w:spacing w:val="-18"/>
          <w:sz w:val="20"/>
        </w:rPr>
        <w:t xml:space="preserve"> </w:t>
      </w:r>
      <w:r>
        <w:rPr>
          <w:i/>
          <w:sz w:val="20"/>
        </w:rPr>
        <w:t>lograr</w:t>
      </w:r>
      <w:r>
        <w:rPr>
          <w:i/>
          <w:spacing w:val="-20"/>
          <w:sz w:val="20"/>
        </w:rPr>
        <w:t xml:space="preserve"> </w:t>
      </w:r>
      <w:r>
        <w:rPr>
          <w:i/>
          <w:sz w:val="20"/>
        </w:rPr>
        <w:t>progresivamente</w:t>
      </w:r>
      <w:r>
        <w:rPr>
          <w:i/>
          <w:spacing w:val="-21"/>
          <w:sz w:val="20"/>
        </w:rPr>
        <w:t xml:space="preserve"> </w:t>
      </w:r>
      <w:r>
        <w:rPr>
          <w:i/>
          <w:sz w:val="20"/>
        </w:rPr>
        <w:t>la</w:t>
      </w:r>
      <w:r>
        <w:rPr>
          <w:i/>
          <w:spacing w:val="-18"/>
          <w:sz w:val="20"/>
        </w:rPr>
        <w:t xml:space="preserve"> </w:t>
      </w:r>
      <w:r>
        <w:rPr>
          <w:i/>
          <w:sz w:val="20"/>
        </w:rPr>
        <w:t xml:space="preserve">plena efectividad de los” </w:t>
      </w:r>
      <w:r>
        <w:rPr>
          <w:sz w:val="20"/>
        </w:rPr>
        <w:t>derechos a los que se refiere y ello “</w:t>
      </w:r>
      <w:r>
        <w:rPr>
          <w:i/>
          <w:sz w:val="20"/>
        </w:rPr>
        <w:t>en la medida de los recursos disponibles, por vía legislat</w:t>
      </w:r>
      <w:r>
        <w:rPr>
          <w:i/>
          <w:sz w:val="20"/>
        </w:rPr>
        <w:t>iva u otros medios</w:t>
      </w:r>
      <w:r>
        <w:rPr>
          <w:i/>
          <w:spacing w:val="-11"/>
          <w:sz w:val="20"/>
        </w:rPr>
        <w:t xml:space="preserve"> </w:t>
      </w:r>
      <w:r>
        <w:rPr>
          <w:i/>
          <w:sz w:val="20"/>
        </w:rPr>
        <w:t>apropiados</w:t>
      </w:r>
      <w:r>
        <w:rPr>
          <w:sz w:val="20"/>
        </w:rPr>
        <w:t>”.</w:t>
      </w:r>
    </w:p>
    <w:p w14:paraId="462FDD0A" w14:textId="77777777" w:rsidR="00467FCA" w:rsidRDefault="00467FCA">
      <w:pPr>
        <w:pStyle w:val="Textoindependiente"/>
      </w:pPr>
    </w:p>
    <w:p w14:paraId="353FB2F5" w14:textId="77777777" w:rsidR="00467FCA" w:rsidRDefault="00467FCA">
      <w:pPr>
        <w:pStyle w:val="Textoindependiente"/>
      </w:pPr>
    </w:p>
    <w:p w14:paraId="67C1312D" w14:textId="77777777" w:rsidR="00467FCA" w:rsidRDefault="001B68EB">
      <w:pPr>
        <w:pStyle w:val="Textoindependiente"/>
        <w:spacing w:before="2"/>
      </w:pPr>
      <w:r>
        <w:pict w14:anchorId="0A4567B4">
          <v:shape id="_x0000_s1091" style="position:absolute;margin-left:56.75pt;margin-top:14.65pt;width:2in;height:.1pt;z-index:-251550720;mso-wrap-distance-left:0;mso-wrap-distance-right:0;mso-position-horizontal-relative:page" coordorigin="1135,293" coordsize="2880,0" path="m1135,293r2880,e" filled="f" strokeweight=".72pt">
            <v:path arrowok="t"/>
            <w10:wrap type="topAndBottom" anchorx="page"/>
          </v:shape>
        </w:pict>
      </w:r>
    </w:p>
    <w:p w14:paraId="798872D2" w14:textId="77777777" w:rsidR="00467FCA" w:rsidRDefault="001B68EB">
      <w:pPr>
        <w:spacing w:before="71"/>
        <w:ind w:left="470"/>
        <w:rPr>
          <w:sz w:val="16"/>
        </w:rPr>
      </w:pPr>
      <w:bookmarkStart w:id="692" w:name="_bookmark613"/>
      <w:bookmarkEnd w:id="692"/>
      <w:r>
        <w:rPr>
          <w:position w:val="6"/>
          <w:sz w:val="10"/>
        </w:rPr>
        <w:t xml:space="preserve">65 </w:t>
      </w:r>
      <w:r>
        <w:rPr>
          <w:sz w:val="16"/>
        </w:rPr>
        <w:t>Párr. 1° del Preámbulo.</w:t>
      </w:r>
    </w:p>
    <w:p w14:paraId="02A9DC93" w14:textId="77777777" w:rsidR="00467FCA" w:rsidRDefault="001B68EB">
      <w:pPr>
        <w:ind w:left="470"/>
        <w:rPr>
          <w:sz w:val="16"/>
        </w:rPr>
      </w:pPr>
      <w:bookmarkStart w:id="693" w:name="_bookmark614"/>
      <w:bookmarkEnd w:id="693"/>
      <w:r>
        <w:rPr>
          <w:position w:val="6"/>
          <w:sz w:val="10"/>
        </w:rPr>
        <w:t xml:space="preserve">66 </w:t>
      </w:r>
      <w:r>
        <w:rPr>
          <w:i/>
          <w:sz w:val="16"/>
        </w:rPr>
        <w:t xml:space="preserve">Supra, </w:t>
      </w:r>
      <w:r>
        <w:rPr>
          <w:sz w:val="16"/>
        </w:rPr>
        <w:t>Nota N° 23.</w:t>
      </w:r>
    </w:p>
    <w:p w14:paraId="497FB7A9" w14:textId="77777777" w:rsidR="00467FCA" w:rsidRDefault="00467FCA">
      <w:pPr>
        <w:rPr>
          <w:sz w:val="16"/>
        </w:rPr>
        <w:sectPr w:rsidR="00467FCA">
          <w:pgSz w:w="12240" w:h="15840"/>
          <w:pgMar w:top="1340" w:right="1140" w:bottom="1200" w:left="960" w:header="0" w:footer="1002" w:gutter="0"/>
          <w:cols w:space="720"/>
        </w:sectPr>
      </w:pPr>
    </w:p>
    <w:p w14:paraId="43B5BA72" w14:textId="77777777" w:rsidR="00467FCA" w:rsidRDefault="001B68EB">
      <w:pPr>
        <w:pStyle w:val="Prrafodelista"/>
        <w:numPr>
          <w:ilvl w:val="0"/>
          <w:numId w:val="25"/>
        </w:numPr>
        <w:tabs>
          <w:tab w:val="left" w:pos="1450"/>
        </w:tabs>
        <w:spacing w:before="76" w:line="276" w:lineRule="auto"/>
        <w:ind w:right="395" w:firstLine="0"/>
        <w:jc w:val="both"/>
        <w:rPr>
          <w:sz w:val="20"/>
        </w:rPr>
      </w:pPr>
      <w:r>
        <w:rPr>
          <w:sz w:val="20"/>
        </w:rPr>
        <w:t>En</w:t>
      </w:r>
      <w:r>
        <w:rPr>
          <w:spacing w:val="-13"/>
          <w:sz w:val="20"/>
        </w:rPr>
        <w:t xml:space="preserve"> </w:t>
      </w:r>
      <w:r>
        <w:rPr>
          <w:sz w:val="20"/>
        </w:rPr>
        <w:t>otros</w:t>
      </w:r>
      <w:r>
        <w:rPr>
          <w:spacing w:val="-11"/>
          <w:sz w:val="20"/>
        </w:rPr>
        <w:t xml:space="preserve"> </w:t>
      </w:r>
      <w:r>
        <w:rPr>
          <w:sz w:val="20"/>
        </w:rPr>
        <w:t>términos,</w:t>
      </w:r>
      <w:r>
        <w:rPr>
          <w:spacing w:val="-11"/>
          <w:sz w:val="20"/>
        </w:rPr>
        <w:t xml:space="preserve"> </w:t>
      </w:r>
      <w:r>
        <w:rPr>
          <w:sz w:val="20"/>
        </w:rPr>
        <w:t>el</w:t>
      </w:r>
      <w:r>
        <w:rPr>
          <w:spacing w:val="-10"/>
          <w:sz w:val="20"/>
        </w:rPr>
        <w:t xml:space="preserve"> </w:t>
      </w:r>
      <w:r>
        <w:rPr>
          <w:sz w:val="20"/>
        </w:rPr>
        <w:t>objeto</w:t>
      </w:r>
      <w:r>
        <w:rPr>
          <w:spacing w:val="-11"/>
          <w:sz w:val="20"/>
        </w:rPr>
        <w:t xml:space="preserve"> </w:t>
      </w:r>
      <w:r>
        <w:rPr>
          <w:sz w:val="20"/>
        </w:rPr>
        <w:t>y</w:t>
      </w:r>
      <w:r>
        <w:rPr>
          <w:spacing w:val="-11"/>
          <w:sz w:val="20"/>
        </w:rPr>
        <w:t xml:space="preserve"> </w:t>
      </w:r>
      <w:r>
        <w:rPr>
          <w:sz w:val="20"/>
        </w:rPr>
        <w:t>fin</w:t>
      </w:r>
      <w:r>
        <w:rPr>
          <w:spacing w:val="-12"/>
          <w:sz w:val="20"/>
        </w:rPr>
        <w:t xml:space="preserve"> </w:t>
      </w:r>
      <w:r>
        <w:rPr>
          <w:sz w:val="20"/>
        </w:rPr>
        <w:t>del</w:t>
      </w:r>
      <w:r>
        <w:rPr>
          <w:spacing w:val="-10"/>
          <w:sz w:val="20"/>
        </w:rPr>
        <w:t xml:space="preserve"> </w:t>
      </w:r>
      <w:r>
        <w:rPr>
          <w:sz w:val="20"/>
        </w:rPr>
        <w:t>artículo</w:t>
      </w:r>
      <w:r>
        <w:rPr>
          <w:spacing w:val="-11"/>
          <w:sz w:val="20"/>
        </w:rPr>
        <w:t xml:space="preserve"> </w:t>
      </w:r>
      <w:r>
        <w:rPr>
          <w:sz w:val="20"/>
        </w:rPr>
        <w:t>26</w:t>
      </w:r>
      <w:r>
        <w:rPr>
          <w:spacing w:val="-10"/>
          <w:sz w:val="20"/>
        </w:rPr>
        <w:t xml:space="preserve"> </w:t>
      </w:r>
      <w:r>
        <w:rPr>
          <w:sz w:val="20"/>
        </w:rPr>
        <w:t>es</w:t>
      </w:r>
      <w:r>
        <w:rPr>
          <w:spacing w:val="-11"/>
          <w:sz w:val="20"/>
        </w:rPr>
        <w:t xml:space="preserve"> </w:t>
      </w:r>
      <w:r>
        <w:rPr>
          <w:sz w:val="20"/>
        </w:rPr>
        <w:t>que</w:t>
      </w:r>
      <w:r>
        <w:rPr>
          <w:spacing w:val="-11"/>
          <w:sz w:val="20"/>
        </w:rPr>
        <w:t xml:space="preserve"> </w:t>
      </w:r>
      <w:r>
        <w:rPr>
          <w:sz w:val="20"/>
        </w:rPr>
        <w:t>se</w:t>
      </w:r>
      <w:r>
        <w:rPr>
          <w:spacing w:val="-14"/>
          <w:sz w:val="20"/>
        </w:rPr>
        <w:t xml:space="preserve"> </w:t>
      </w:r>
      <w:r>
        <w:rPr>
          <w:sz w:val="20"/>
        </w:rPr>
        <w:t>adopten</w:t>
      </w:r>
      <w:r>
        <w:rPr>
          <w:spacing w:val="-10"/>
          <w:sz w:val="20"/>
        </w:rPr>
        <w:t xml:space="preserve"> </w:t>
      </w:r>
      <w:r>
        <w:rPr>
          <w:sz w:val="20"/>
        </w:rPr>
        <w:t>las</w:t>
      </w:r>
      <w:r>
        <w:rPr>
          <w:spacing w:val="-11"/>
          <w:sz w:val="20"/>
        </w:rPr>
        <w:t xml:space="preserve"> </w:t>
      </w:r>
      <w:r>
        <w:rPr>
          <w:sz w:val="20"/>
        </w:rPr>
        <w:t>providencias que</w:t>
      </w:r>
      <w:r>
        <w:rPr>
          <w:spacing w:val="-14"/>
          <w:sz w:val="20"/>
        </w:rPr>
        <w:t xml:space="preserve"> </w:t>
      </w:r>
      <w:r>
        <w:rPr>
          <w:sz w:val="20"/>
        </w:rPr>
        <w:t>señala</w:t>
      </w:r>
      <w:r>
        <w:rPr>
          <w:spacing w:val="-12"/>
          <w:sz w:val="20"/>
        </w:rPr>
        <w:t xml:space="preserve"> </w:t>
      </w:r>
      <w:r>
        <w:rPr>
          <w:sz w:val="20"/>
        </w:rPr>
        <w:t>para</w:t>
      </w:r>
      <w:r>
        <w:rPr>
          <w:spacing w:val="-12"/>
          <w:sz w:val="20"/>
        </w:rPr>
        <w:t xml:space="preserve"> </w:t>
      </w:r>
      <w:r>
        <w:rPr>
          <w:sz w:val="20"/>
        </w:rPr>
        <w:t>lograr</w:t>
      </w:r>
      <w:r>
        <w:rPr>
          <w:spacing w:val="-14"/>
          <w:sz w:val="20"/>
        </w:rPr>
        <w:t xml:space="preserve"> </w:t>
      </w:r>
      <w:r>
        <w:rPr>
          <w:sz w:val="20"/>
        </w:rPr>
        <w:t>la</w:t>
      </w:r>
      <w:r>
        <w:rPr>
          <w:spacing w:val="-12"/>
          <w:sz w:val="20"/>
        </w:rPr>
        <w:t xml:space="preserve"> </w:t>
      </w:r>
      <w:r>
        <w:rPr>
          <w:sz w:val="20"/>
        </w:rPr>
        <w:t>efectividad</w:t>
      </w:r>
      <w:r>
        <w:rPr>
          <w:spacing w:val="-12"/>
          <w:sz w:val="20"/>
        </w:rPr>
        <w:t xml:space="preserve"> </w:t>
      </w:r>
      <w:r>
        <w:rPr>
          <w:sz w:val="20"/>
        </w:rPr>
        <w:t>de</w:t>
      </w:r>
      <w:r>
        <w:rPr>
          <w:spacing w:val="-14"/>
          <w:sz w:val="20"/>
        </w:rPr>
        <w:t xml:space="preserve"> </w:t>
      </w:r>
      <w:r>
        <w:rPr>
          <w:sz w:val="20"/>
        </w:rPr>
        <w:t>los</w:t>
      </w:r>
      <w:r>
        <w:rPr>
          <w:spacing w:val="-13"/>
          <w:sz w:val="20"/>
        </w:rPr>
        <w:t xml:space="preserve"> </w:t>
      </w:r>
      <w:r>
        <w:rPr>
          <w:sz w:val="20"/>
        </w:rPr>
        <w:t>derechos</w:t>
      </w:r>
      <w:r>
        <w:rPr>
          <w:spacing w:val="-13"/>
          <w:sz w:val="20"/>
        </w:rPr>
        <w:t xml:space="preserve"> </w:t>
      </w:r>
      <w:r>
        <w:rPr>
          <w:sz w:val="20"/>
        </w:rPr>
        <w:t>que</w:t>
      </w:r>
      <w:r>
        <w:rPr>
          <w:spacing w:val="-14"/>
          <w:sz w:val="20"/>
        </w:rPr>
        <w:t xml:space="preserve"> </w:t>
      </w:r>
      <w:r>
        <w:rPr>
          <w:sz w:val="20"/>
        </w:rPr>
        <w:t>indica</w:t>
      </w:r>
      <w:r>
        <w:rPr>
          <w:spacing w:val="-12"/>
          <w:sz w:val="20"/>
        </w:rPr>
        <w:t xml:space="preserve"> </w:t>
      </w:r>
      <w:r>
        <w:rPr>
          <w:sz w:val="20"/>
        </w:rPr>
        <w:t>y</w:t>
      </w:r>
      <w:r>
        <w:rPr>
          <w:spacing w:val="-13"/>
          <w:sz w:val="20"/>
        </w:rPr>
        <w:t xml:space="preserve"> </w:t>
      </w:r>
      <w:r>
        <w:rPr>
          <w:sz w:val="20"/>
        </w:rPr>
        <w:t>no</w:t>
      </w:r>
      <w:r>
        <w:rPr>
          <w:spacing w:val="-14"/>
          <w:sz w:val="20"/>
        </w:rPr>
        <w:t xml:space="preserve"> </w:t>
      </w:r>
      <w:r>
        <w:rPr>
          <w:sz w:val="20"/>
        </w:rPr>
        <w:t>que</w:t>
      </w:r>
      <w:r>
        <w:rPr>
          <w:spacing w:val="-11"/>
          <w:sz w:val="20"/>
        </w:rPr>
        <w:t xml:space="preserve"> </w:t>
      </w:r>
      <w:r>
        <w:rPr>
          <w:sz w:val="20"/>
        </w:rPr>
        <w:t>éstos</w:t>
      </w:r>
      <w:r>
        <w:rPr>
          <w:spacing w:val="-13"/>
          <w:sz w:val="20"/>
        </w:rPr>
        <w:t xml:space="preserve"> </w:t>
      </w:r>
      <w:r>
        <w:rPr>
          <w:sz w:val="20"/>
        </w:rPr>
        <w:t>sean</w:t>
      </w:r>
      <w:r>
        <w:rPr>
          <w:spacing w:val="-12"/>
          <w:sz w:val="20"/>
        </w:rPr>
        <w:t xml:space="preserve"> </w:t>
      </w:r>
      <w:r>
        <w:rPr>
          <w:sz w:val="20"/>
        </w:rPr>
        <w:t>exigibles de</w:t>
      </w:r>
      <w:r>
        <w:rPr>
          <w:spacing w:val="-13"/>
          <w:sz w:val="20"/>
        </w:rPr>
        <w:t xml:space="preserve"> </w:t>
      </w:r>
      <w:r>
        <w:rPr>
          <w:sz w:val="20"/>
        </w:rPr>
        <w:t>inmediato</w:t>
      </w:r>
      <w:r>
        <w:rPr>
          <w:spacing w:val="-11"/>
          <w:sz w:val="20"/>
        </w:rPr>
        <w:t xml:space="preserve"> </w:t>
      </w:r>
      <w:r>
        <w:rPr>
          <w:sz w:val="20"/>
        </w:rPr>
        <w:t>y</w:t>
      </w:r>
      <w:r>
        <w:rPr>
          <w:spacing w:val="-12"/>
          <w:sz w:val="20"/>
        </w:rPr>
        <w:t xml:space="preserve"> </w:t>
      </w:r>
      <w:r>
        <w:rPr>
          <w:sz w:val="20"/>
        </w:rPr>
        <w:t>menos</w:t>
      </w:r>
      <w:r>
        <w:rPr>
          <w:spacing w:val="-12"/>
          <w:sz w:val="20"/>
        </w:rPr>
        <w:t xml:space="preserve"> </w:t>
      </w:r>
      <w:r>
        <w:rPr>
          <w:sz w:val="20"/>
        </w:rPr>
        <w:t>aún</w:t>
      </w:r>
      <w:r>
        <w:rPr>
          <w:spacing w:val="-11"/>
          <w:sz w:val="20"/>
        </w:rPr>
        <w:t xml:space="preserve"> </w:t>
      </w:r>
      <w:r>
        <w:rPr>
          <w:sz w:val="20"/>
        </w:rPr>
        <w:t>que</w:t>
      </w:r>
      <w:r>
        <w:rPr>
          <w:spacing w:val="-13"/>
          <w:sz w:val="20"/>
        </w:rPr>
        <w:t xml:space="preserve"> </w:t>
      </w:r>
      <w:r>
        <w:rPr>
          <w:sz w:val="20"/>
        </w:rPr>
        <w:t>sean</w:t>
      </w:r>
      <w:r>
        <w:rPr>
          <w:spacing w:val="-11"/>
          <w:sz w:val="20"/>
        </w:rPr>
        <w:t xml:space="preserve"> </w:t>
      </w:r>
      <w:r>
        <w:rPr>
          <w:sz w:val="20"/>
        </w:rPr>
        <w:t>justiciables</w:t>
      </w:r>
      <w:r>
        <w:rPr>
          <w:spacing w:val="-10"/>
          <w:sz w:val="20"/>
        </w:rPr>
        <w:t xml:space="preserve"> </w:t>
      </w:r>
      <w:r>
        <w:rPr>
          <w:sz w:val="20"/>
        </w:rPr>
        <w:t>ante</w:t>
      </w:r>
      <w:r>
        <w:rPr>
          <w:spacing w:val="-13"/>
          <w:sz w:val="20"/>
        </w:rPr>
        <w:t xml:space="preserve"> </w:t>
      </w:r>
      <w:r>
        <w:rPr>
          <w:sz w:val="20"/>
        </w:rPr>
        <w:t>la</w:t>
      </w:r>
      <w:r>
        <w:rPr>
          <w:spacing w:val="-11"/>
          <w:sz w:val="20"/>
        </w:rPr>
        <w:t xml:space="preserve"> </w:t>
      </w:r>
      <w:r>
        <w:rPr>
          <w:sz w:val="20"/>
        </w:rPr>
        <w:t>Corte,</w:t>
      </w:r>
      <w:r>
        <w:rPr>
          <w:spacing w:val="-10"/>
          <w:sz w:val="20"/>
        </w:rPr>
        <w:t xml:space="preserve"> </w:t>
      </w:r>
      <w:r>
        <w:rPr>
          <w:sz w:val="20"/>
        </w:rPr>
        <w:t>como</w:t>
      </w:r>
      <w:r>
        <w:rPr>
          <w:spacing w:val="-13"/>
          <w:sz w:val="20"/>
        </w:rPr>
        <w:t xml:space="preserve"> </w:t>
      </w:r>
      <w:r>
        <w:rPr>
          <w:sz w:val="20"/>
        </w:rPr>
        <w:t>lo</w:t>
      </w:r>
      <w:r>
        <w:rPr>
          <w:spacing w:val="-10"/>
          <w:sz w:val="20"/>
        </w:rPr>
        <w:t xml:space="preserve"> </w:t>
      </w:r>
      <w:r>
        <w:rPr>
          <w:sz w:val="20"/>
        </w:rPr>
        <w:t>afirma</w:t>
      </w:r>
      <w:r>
        <w:rPr>
          <w:spacing w:val="-11"/>
          <w:sz w:val="20"/>
        </w:rPr>
        <w:t xml:space="preserve"> </w:t>
      </w:r>
      <w:r>
        <w:rPr>
          <w:sz w:val="20"/>
        </w:rPr>
        <w:t>la</w:t>
      </w:r>
      <w:r>
        <w:rPr>
          <w:spacing w:val="-11"/>
          <w:sz w:val="20"/>
        </w:rPr>
        <w:t xml:space="preserve"> </w:t>
      </w:r>
      <w:r>
        <w:rPr>
          <w:sz w:val="20"/>
        </w:rPr>
        <w:t>Sentencia</w:t>
      </w:r>
      <w:hyperlink w:anchor="_bookmark615" w:history="1">
        <w:r>
          <w:rPr>
            <w:position w:val="7"/>
            <w:sz w:val="13"/>
          </w:rPr>
          <w:t>67</w:t>
        </w:r>
      </w:hyperlink>
      <w:r>
        <w:rPr>
          <w:sz w:val="20"/>
        </w:rPr>
        <w:t>. Téngase en cuenta, a este respecto, que el propio título de la disposición es “</w:t>
      </w:r>
      <w:r>
        <w:rPr>
          <w:i/>
          <w:sz w:val="20"/>
        </w:rPr>
        <w:t>Desarrollo Progresivo</w:t>
      </w:r>
      <w:r>
        <w:rPr>
          <w:sz w:val="20"/>
        </w:rPr>
        <w:t>” y que el del Capítulo III, del que es la única norma, es “</w:t>
      </w:r>
      <w:r>
        <w:rPr>
          <w:i/>
          <w:sz w:val="20"/>
        </w:rPr>
        <w:t xml:space="preserve">Derechos Económicos, Sociales y Culturales”, </w:t>
      </w:r>
      <w:r>
        <w:rPr>
          <w:sz w:val="20"/>
        </w:rPr>
        <w:t>de donde se colige que lo que ordena tal norma, s</w:t>
      </w:r>
      <w:r>
        <w:rPr>
          <w:sz w:val="20"/>
        </w:rPr>
        <w:t>u objeto y fin, es que se adopten medidas para lograr, progresivamente, la efectividad de los derechos a que se refiere y no que éstos sean</w:t>
      </w:r>
      <w:r>
        <w:rPr>
          <w:spacing w:val="-5"/>
          <w:sz w:val="20"/>
        </w:rPr>
        <w:t xml:space="preserve"> </w:t>
      </w:r>
      <w:r>
        <w:rPr>
          <w:sz w:val="20"/>
        </w:rPr>
        <w:t>efectivos.</w:t>
      </w:r>
    </w:p>
    <w:p w14:paraId="2DBE6F0C" w14:textId="77777777" w:rsidR="00467FCA" w:rsidRDefault="00467FCA">
      <w:pPr>
        <w:pStyle w:val="Textoindependiente"/>
        <w:spacing w:before="2"/>
        <w:rPr>
          <w:sz w:val="23"/>
        </w:rPr>
      </w:pPr>
    </w:p>
    <w:p w14:paraId="7DB6EBB5" w14:textId="77777777" w:rsidR="00467FCA" w:rsidRDefault="001B68EB">
      <w:pPr>
        <w:pStyle w:val="Prrafodelista"/>
        <w:numPr>
          <w:ilvl w:val="0"/>
          <w:numId w:val="25"/>
        </w:numPr>
        <w:tabs>
          <w:tab w:val="left" w:pos="1450"/>
        </w:tabs>
        <w:spacing w:before="1" w:line="276" w:lineRule="auto"/>
        <w:ind w:right="395" w:firstLine="0"/>
        <w:jc w:val="both"/>
        <w:rPr>
          <w:sz w:val="20"/>
        </w:rPr>
      </w:pPr>
      <w:r>
        <w:rPr>
          <w:sz w:val="20"/>
        </w:rPr>
        <w:t>Aceptar</w:t>
      </w:r>
      <w:r>
        <w:rPr>
          <w:spacing w:val="-10"/>
          <w:sz w:val="20"/>
        </w:rPr>
        <w:t xml:space="preserve"> </w:t>
      </w:r>
      <w:r>
        <w:rPr>
          <w:sz w:val="20"/>
        </w:rPr>
        <w:t>que,</w:t>
      </w:r>
      <w:r>
        <w:rPr>
          <w:spacing w:val="-9"/>
          <w:sz w:val="20"/>
        </w:rPr>
        <w:t xml:space="preserve"> </w:t>
      </w:r>
      <w:r>
        <w:rPr>
          <w:sz w:val="20"/>
        </w:rPr>
        <w:t>para</w:t>
      </w:r>
      <w:r>
        <w:rPr>
          <w:spacing w:val="-9"/>
          <w:sz w:val="20"/>
        </w:rPr>
        <w:t xml:space="preserve"> </w:t>
      </w:r>
      <w:r>
        <w:rPr>
          <w:sz w:val="20"/>
        </w:rPr>
        <w:t>interpretar</w:t>
      </w:r>
      <w:r>
        <w:rPr>
          <w:spacing w:val="-10"/>
          <w:sz w:val="20"/>
        </w:rPr>
        <w:t xml:space="preserve"> </w:t>
      </w:r>
      <w:r>
        <w:rPr>
          <w:sz w:val="20"/>
        </w:rPr>
        <w:t>una</w:t>
      </w:r>
      <w:r>
        <w:rPr>
          <w:spacing w:val="-9"/>
          <w:sz w:val="20"/>
        </w:rPr>
        <w:t xml:space="preserve"> </w:t>
      </w:r>
      <w:r>
        <w:rPr>
          <w:sz w:val="20"/>
        </w:rPr>
        <w:t>específica</w:t>
      </w:r>
      <w:r>
        <w:rPr>
          <w:spacing w:val="-9"/>
          <w:sz w:val="20"/>
        </w:rPr>
        <w:t xml:space="preserve"> </w:t>
      </w:r>
      <w:r>
        <w:rPr>
          <w:sz w:val="20"/>
        </w:rPr>
        <w:t>disposición</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Convención,</w:t>
      </w:r>
      <w:r>
        <w:rPr>
          <w:spacing w:val="-9"/>
          <w:sz w:val="20"/>
        </w:rPr>
        <w:t xml:space="preserve"> </w:t>
      </w:r>
      <w:r>
        <w:rPr>
          <w:sz w:val="20"/>
        </w:rPr>
        <w:t>bastaría evocar el objeto y f</w:t>
      </w:r>
      <w:r>
        <w:rPr>
          <w:sz w:val="20"/>
        </w:rPr>
        <w:t>in general de ésta antes señalado, de suyo amplio vago o impreciso y, por tanto, implicaría afectar la seguridad y certeza jurídicas que debe caracterizar a todo fallo de la Corte, puesto que dejaría a su criterio, con extenso margen, la determinación de l</w:t>
      </w:r>
      <w:r>
        <w:rPr>
          <w:sz w:val="20"/>
        </w:rPr>
        <w:t>os derechos que derivan de las mencionadas normas de la Carta de la OEA, por lo que los Estados Partes de la Convención no sabrían, con antelación a los juicios correspondientes, cuales son.</w:t>
      </w:r>
    </w:p>
    <w:p w14:paraId="6D7D827A" w14:textId="77777777" w:rsidR="00467FCA" w:rsidRDefault="00467FCA">
      <w:pPr>
        <w:pStyle w:val="Textoindependiente"/>
        <w:spacing w:before="1"/>
        <w:rPr>
          <w:sz w:val="22"/>
        </w:rPr>
      </w:pPr>
    </w:p>
    <w:p w14:paraId="030368C0" w14:textId="77777777" w:rsidR="00467FCA" w:rsidRDefault="001B68EB">
      <w:pPr>
        <w:pStyle w:val="Prrafodelista"/>
        <w:numPr>
          <w:ilvl w:val="0"/>
          <w:numId w:val="25"/>
        </w:numPr>
        <w:tabs>
          <w:tab w:val="left" w:pos="1450"/>
        </w:tabs>
        <w:spacing w:line="276" w:lineRule="auto"/>
        <w:ind w:right="396" w:firstLine="0"/>
        <w:jc w:val="both"/>
        <w:rPr>
          <w:sz w:val="20"/>
        </w:rPr>
      </w:pPr>
      <w:r>
        <w:rPr>
          <w:sz w:val="20"/>
        </w:rPr>
        <w:t>Es por tal motivo que no se puede compartir el criterio expuesto</w:t>
      </w:r>
      <w:r>
        <w:rPr>
          <w:sz w:val="20"/>
        </w:rPr>
        <w:t xml:space="preserve"> en la Sentencia, en el sentido de que, en mérito de lo previsto en los artículos 1 y 2 de la Convención, el artículo</w:t>
      </w:r>
      <w:r>
        <w:rPr>
          <w:spacing w:val="-8"/>
          <w:sz w:val="20"/>
        </w:rPr>
        <w:t xml:space="preserve"> </w:t>
      </w:r>
      <w:r>
        <w:rPr>
          <w:sz w:val="20"/>
        </w:rPr>
        <w:t>26</w:t>
      </w:r>
      <w:r>
        <w:rPr>
          <w:spacing w:val="-4"/>
          <w:sz w:val="20"/>
        </w:rPr>
        <w:t xml:space="preserve"> </w:t>
      </w:r>
      <w:r>
        <w:rPr>
          <w:sz w:val="20"/>
        </w:rPr>
        <w:t>distingue</w:t>
      </w:r>
      <w:r>
        <w:rPr>
          <w:spacing w:val="-5"/>
          <w:sz w:val="20"/>
        </w:rPr>
        <w:t xml:space="preserve"> </w:t>
      </w:r>
      <w:r>
        <w:rPr>
          <w:sz w:val="20"/>
        </w:rPr>
        <w:t>entre</w:t>
      </w:r>
      <w:r>
        <w:rPr>
          <w:spacing w:val="-4"/>
          <w:sz w:val="20"/>
        </w:rPr>
        <w:t xml:space="preserve"> </w:t>
      </w:r>
      <w:r>
        <w:rPr>
          <w:sz w:val="20"/>
        </w:rPr>
        <w:t>“</w:t>
      </w:r>
      <w:r>
        <w:rPr>
          <w:i/>
          <w:sz w:val="20"/>
        </w:rPr>
        <w:t>aspectos</w:t>
      </w:r>
      <w:r>
        <w:rPr>
          <w:i/>
          <w:spacing w:val="-7"/>
          <w:sz w:val="20"/>
        </w:rPr>
        <w:t xml:space="preserve"> </w:t>
      </w:r>
      <w:r>
        <w:rPr>
          <w:i/>
          <w:sz w:val="20"/>
        </w:rPr>
        <w:t>que</w:t>
      </w:r>
      <w:r>
        <w:rPr>
          <w:i/>
          <w:spacing w:val="-7"/>
          <w:sz w:val="20"/>
        </w:rPr>
        <w:t xml:space="preserve"> </w:t>
      </w:r>
      <w:r>
        <w:rPr>
          <w:i/>
          <w:sz w:val="20"/>
        </w:rPr>
        <w:t>tienen</w:t>
      </w:r>
      <w:r>
        <w:rPr>
          <w:i/>
          <w:spacing w:val="-3"/>
          <w:sz w:val="20"/>
        </w:rPr>
        <w:t xml:space="preserve"> </w:t>
      </w:r>
      <w:r>
        <w:rPr>
          <w:i/>
          <w:sz w:val="20"/>
        </w:rPr>
        <w:t>una</w:t>
      </w:r>
      <w:r>
        <w:rPr>
          <w:i/>
          <w:spacing w:val="-6"/>
          <w:sz w:val="20"/>
        </w:rPr>
        <w:t xml:space="preserve"> </w:t>
      </w:r>
      <w:r>
        <w:rPr>
          <w:i/>
          <w:sz w:val="20"/>
        </w:rPr>
        <w:t>exigibilidad</w:t>
      </w:r>
      <w:r>
        <w:rPr>
          <w:i/>
          <w:spacing w:val="-6"/>
          <w:sz w:val="20"/>
        </w:rPr>
        <w:t xml:space="preserve"> </w:t>
      </w:r>
      <w:r>
        <w:rPr>
          <w:i/>
          <w:sz w:val="20"/>
        </w:rPr>
        <w:t>inmediata”</w:t>
      </w:r>
      <w:r>
        <w:rPr>
          <w:i/>
          <w:spacing w:val="-6"/>
          <w:sz w:val="20"/>
        </w:rPr>
        <w:t xml:space="preserve"> </w:t>
      </w:r>
      <w:r>
        <w:rPr>
          <w:i/>
          <w:sz w:val="20"/>
        </w:rPr>
        <w:t>y</w:t>
      </w:r>
      <w:r>
        <w:rPr>
          <w:i/>
          <w:spacing w:val="-7"/>
          <w:sz w:val="20"/>
        </w:rPr>
        <w:t xml:space="preserve"> </w:t>
      </w:r>
      <w:r>
        <w:rPr>
          <w:i/>
          <w:sz w:val="20"/>
        </w:rPr>
        <w:t>“aspectos</w:t>
      </w:r>
      <w:r>
        <w:rPr>
          <w:i/>
          <w:spacing w:val="-6"/>
          <w:sz w:val="20"/>
        </w:rPr>
        <w:t xml:space="preserve"> </w:t>
      </w:r>
      <w:r>
        <w:rPr>
          <w:i/>
          <w:sz w:val="20"/>
        </w:rPr>
        <w:t>que tienen un carácter progresivo</w:t>
      </w:r>
      <w:r>
        <w:rPr>
          <w:sz w:val="20"/>
        </w:rPr>
        <w:t>”</w:t>
      </w:r>
      <w:hyperlink w:anchor="_bookmark616" w:history="1">
        <w:r>
          <w:rPr>
            <w:position w:val="7"/>
            <w:sz w:val="13"/>
          </w:rPr>
          <w:t>68</w:t>
        </w:r>
      </w:hyperlink>
      <w:r>
        <w:rPr>
          <w:sz w:val="20"/>
        </w:rPr>
        <w:t>, puesto que ello se aparta ostensiblemente de lo previsto en las aludidas disposiciones, que establecen que los derechos a que se refieren son únicamente los “</w:t>
      </w:r>
      <w:r>
        <w:rPr>
          <w:i/>
          <w:sz w:val="20"/>
        </w:rPr>
        <w:t>reconocidos</w:t>
      </w:r>
      <w:r>
        <w:rPr>
          <w:sz w:val="20"/>
        </w:rPr>
        <w:t>”, “</w:t>
      </w:r>
      <w:r>
        <w:rPr>
          <w:i/>
          <w:sz w:val="20"/>
        </w:rPr>
        <w:t>establecidos</w:t>
      </w:r>
      <w:r>
        <w:rPr>
          <w:sz w:val="20"/>
        </w:rPr>
        <w:t>”, “</w:t>
      </w:r>
      <w:r>
        <w:rPr>
          <w:i/>
          <w:sz w:val="20"/>
        </w:rPr>
        <w:t>garantizados</w:t>
      </w:r>
      <w:r>
        <w:rPr>
          <w:sz w:val="20"/>
        </w:rPr>
        <w:t>”, “</w:t>
      </w:r>
      <w:r>
        <w:rPr>
          <w:i/>
          <w:sz w:val="20"/>
        </w:rPr>
        <w:t>consagrados</w:t>
      </w:r>
      <w:r>
        <w:rPr>
          <w:sz w:val="20"/>
        </w:rPr>
        <w:t>” o “</w:t>
      </w:r>
      <w:r>
        <w:rPr>
          <w:i/>
          <w:sz w:val="20"/>
        </w:rPr>
        <w:t>protegidos</w:t>
      </w:r>
      <w:r>
        <w:rPr>
          <w:sz w:val="20"/>
        </w:rPr>
        <w:t>” en o por ella, lo que no acontece con los aludidos por el artículo 26. Además, la indicada distinción que hace la Sentencia sería, en sí misma, confusa y aún contradictoria, ya que, por una parte, no se sabría con certeza y con antelación al proceder cua</w:t>
      </w:r>
      <w:r>
        <w:rPr>
          <w:sz w:val="20"/>
        </w:rPr>
        <w:t>les aspectos o más exactamente, cuales derechos a que alude el artículo 26 serían exigibles de inmediato y cuales requerirían que progresen con tal propósito y por la otra, los primeros no requerirían la adopción de providencias para ser exigibles, mientra</w:t>
      </w:r>
      <w:r>
        <w:rPr>
          <w:sz w:val="20"/>
        </w:rPr>
        <w:t>s los otros no podrían serlo en tanto no se adopten</w:t>
      </w:r>
      <w:r>
        <w:rPr>
          <w:spacing w:val="-5"/>
          <w:sz w:val="20"/>
        </w:rPr>
        <w:t xml:space="preserve"> </w:t>
      </w:r>
      <w:r>
        <w:rPr>
          <w:sz w:val="20"/>
        </w:rPr>
        <w:t>aquellas.</w:t>
      </w:r>
    </w:p>
    <w:p w14:paraId="34D64CEA" w14:textId="77777777" w:rsidR="00467FCA" w:rsidRDefault="00467FCA">
      <w:pPr>
        <w:pStyle w:val="Textoindependiente"/>
        <w:spacing w:before="3"/>
        <w:rPr>
          <w:sz w:val="22"/>
        </w:rPr>
      </w:pPr>
    </w:p>
    <w:p w14:paraId="1C518B92" w14:textId="77777777" w:rsidR="00467FCA" w:rsidRDefault="001B68EB">
      <w:pPr>
        <w:pStyle w:val="Prrafodelista"/>
        <w:numPr>
          <w:ilvl w:val="0"/>
          <w:numId w:val="25"/>
        </w:numPr>
        <w:tabs>
          <w:tab w:val="left" w:pos="1450"/>
        </w:tabs>
        <w:spacing w:line="276" w:lineRule="auto"/>
        <w:ind w:right="395" w:firstLine="0"/>
        <w:jc w:val="both"/>
        <w:rPr>
          <w:sz w:val="20"/>
        </w:rPr>
      </w:pPr>
      <w:r>
        <w:rPr>
          <w:sz w:val="20"/>
        </w:rPr>
        <w:t>Por otra parte, un proceder como el aludido, conllevaría, por parte de la Corte, la asunción</w:t>
      </w:r>
      <w:r>
        <w:rPr>
          <w:spacing w:val="-15"/>
          <w:sz w:val="20"/>
        </w:rPr>
        <w:t xml:space="preserve"> </w:t>
      </w:r>
      <w:r>
        <w:rPr>
          <w:sz w:val="20"/>
        </w:rPr>
        <w:t>de</w:t>
      </w:r>
      <w:r>
        <w:rPr>
          <w:spacing w:val="-14"/>
          <w:sz w:val="20"/>
        </w:rPr>
        <w:t xml:space="preserve"> </w:t>
      </w:r>
      <w:r>
        <w:rPr>
          <w:sz w:val="20"/>
        </w:rPr>
        <w:t>la</w:t>
      </w:r>
      <w:r>
        <w:rPr>
          <w:spacing w:val="-15"/>
          <w:sz w:val="20"/>
        </w:rPr>
        <w:t xml:space="preserve"> </w:t>
      </w:r>
      <w:r>
        <w:rPr>
          <w:sz w:val="20"/>
        </w:rPr>
        <w:t>función</w:t>
      </w:r>
      <w:r>
        <w:rPr>
          <w:spacing w:val="-14"/>
          <w:sz w:val="20"/>
        </w:rPr>
        <w:t xml:space="preserve"> </w:t>
      </w:r>
      <w:r>
        <w:rPr>
          <w:sz w:val="20"/>
        </w:rPr>
        <w:t>normativa</w:t>
      </w:r>
      <w:r>
        <w:rPr>
          <w:spacing w:val="-13"/>
          <w:sz w:val="20"/>
        </w:rPr>
        <w:t xml:space="preserve"> </w:t>
      </w:r>
      <w:r>
        <w:rPr>
          <w:sz w:val="20"/>
        </w:rPr>
        <w:t>internacional,</w:t>
      </w:r>
      <w:r>
        <w:rPr>
          <w:spacing w:val="-11"/>
          <w:sz w:val="20"/>
        </w:rPr>
        <w:t xml:space="preserve"> </w:t>
      </w:r>
      <w:r>
        <w:rPr>
          <w:sz w:val="20"/>
        </w:rPr>
        <w:t>que,</w:t>
      </w:r>
      <w:r>
        <w:rPr>
          <w:spacing w:val="-13"/>
          <w:sz w:val="20"/>
        </w:rPr>
        <w:t xml:space="preserve"> </w:t>
      </w:r>
      <w:r>
        <w:rPr>
          <w:sz w:val="20"/>
        </w:rPr>
        <w:t>en</w:t>
      </w:r>
      <w:r>
        <w:rPr>
          <w:spacing w:val="-15"/>
          <w:sz w:val="20"/>
        </w:rPr>
        <w:t xml:space="preserve"> </w:t>
      </w:r>
      <w:r>
        <w:rPr>
          <w:sz w:val="20"/>
        </w:rPr>
        <w:t>lo</w:t>
      </w:r>
      <w:r>
        <w:rPr>
          <w:spacing w:val="-14"/>
          <w:sz w:val="20"/>
        </w:rPr>
        <w:t xml:space="preserve"> </w:t>
      </w:r>
      <w:r>
        <w:rPr>
          <w:sz w:val="20"/>
        </w:rPr>
        <w:t>concerniente</w:t>
      </w:r>
      <w:r>
        <w:rPr>
          <w:spacing w:val="-11"/>
          <w:sz w:val="20"/>
        </w:rPr>
        <w:t xml:space="preserve"> </w:t>
      </w:r>
      <w:r>
        <w:rPr>
          <w:sz w:val="20"/>
        </w:rPr>
        <w:t>a</w:t>
      </w:r>
      <w:r>
        <w:rPr>
          <w:spacing w:val="-15"/>
          <w:sz w:val="20"/>
        </w:rPr>
        <w:t xml:space="preserve"> </w:t>
      </w:r>
      <w:r>
        <w:rPr>
          <w:sz w:val="20"/>
        </w:rPr>
        <w:t>la</w:t>
      </w:r>
      <w:r>
        <w:rPr>
          <w:spacing w:val="-13"/>
          <w:sz w:val="20"/>
        </w:rPr>
        <w:t xml:space="preserve"> </w:t>
      </w:r>
      <w:r>
        <w:rPr>
          <w:sz w:val="20"/>
        </w:rPr>
        <w:t>Convención,</w:t>
      </w:r>
      <w:r>
        <w:rPr>
          <w:spacing w:val="-13"/>
          <w:sz w:val="20"/>
        </w:rPr>
        <w:t xml:space="preserve"> </w:t>
      </w:r>
      <w:r>
        <w:rPr>
          <w:sz w:val="20"/>
        </w:rPr>
        <w:t>solo corresponde</w:t>
      </w:r>
      <w:r>
        <w:rPr>
          <w:spacing w:val="9"/>
          <w:sz w:val="20"/>
        </w:rPr>
        <w:t xml:space="preserve"> </w:t>
      </w:r>
      <w:r>
        <w:rPr>
          <w:sz w:val="20"/>
        </w:rPr>
        <w:t>a</w:t>
      </w:r>
      <w:r>
        <w:rPr>
          <w:spacing w:val="12"/>
          <w:sz w:val="20"/>
        </w:rPr>
        <w:t xml:space="preserve"> </w:t>
      </w:r>
      <w:r>
        <w:rPr>
          <w:sz w:val="20"/>
        </w:rPr>
        <w:t>s</w:t>
      </w:r>
      <w:r>
        <w:rPr>
          <w:sz w:val="20"/>
        </w:rPr>
        <w:t>us</w:t>
      </w:r>
      <w:r>
        <w:rPr>
          <w:spacing w:val="10"/>
          <w:sz w:val="20"/>
        </w:rPr>
        <w:t xml:space="preserve"> </w:t>
      </w:r>
      <w:r>
        <w:rPr>
          <w:sz w:val="20"/>
        </w:rPr>
        <w:t>Estados</w:t>
      </w:r>
      <w:r>
        <w:rPr>
          <w:spacing w:val="11"/>
          <w:sz w:val="20"/>
        </w:rPr>
        <w:t xml:space="preserve"> </w:t>
      </w:r>
      <w:r>
        <w:rPr>
          <w:sz w:val="20"/>
        </w:rPr>
        <w:t>Partes</w:t>
      </w:r>
      <w:hyperlink w:anchor="_bookmark617" w:history="1">
        <w:r>
          <w:rPr>
            <w:position w:val="7"/>
            <w:sz w:val="13"/>
          </w:rPr>
          <w:t>69</w:t>
        </w:r>
      </w:hyperlink>
      <w:r>
        <w:rPr>
          <w:sz w:val="20"/>
        </w:rPr>
        <w:t>.</w:t>
      </w:r>
      <w:r>
        <w:rPr>
          <w:spacing w:val="9"/>
          <w:sz w:val="20"/>
        </w:rPr>
        <w:t xml:space="preserve"> </w:t>
      </w:r>
      <w:r>
        <w:rPr>
          <w:sz w:val="20"/>
        </w:rPr>
        <w:t>Y</w:t>
      </w:r>
      <w:r>
        <w:rPr>
          <w:spacing w:val="10"/>
          <w:sz w:val="20"/>
        </w:rPr>
        <w:t xml:space="preserve"> </w:t>
      </w:r>
      <w:r>
        <w:rPr>
          <w:sz w:val="20"/>
        </w:rPr>
        <w:t>ello</w:t>
      </w:r>
      <w:r>
        <w:rPr>
          <w:spacing w:val="11"/>
          <w:sz w:val="20"/>
        </w:rPr>
        <w:t xml:space="preserve"> </w:t>
      </w:r>
      <w:r>
        <w:rPr>
          <w:sz w:val="20"/>
        </w:rPr>
        <w:t>en</w:t>
      </w:r>
      <w:r>
        <w:rPr>
          <w:spacing w:val="10"/>
          <w:sz w:val="20"/>
        </w:rPr>
        <w:t xml:space="preserve"> </w:t>
      </w:r>
      <w:r>
        <w:rPr>
          <w:sz w:val="20"/>
        </w:rPr>
        <w:t>atención</w:t>
      </w:r>
      <w:r>
        <w:rPr>
          <w:spacing w:val="12"/>
          <w:sz w:val="20"/>
        </w:rPr>
        <w:t xml:space="preserve"> </w:t>
      </w:r>
      <w:r>
        <w:rPr>
          <w:sz w:val="20"/>
        </w:rPr>
        <w:t>a</w:t>
      </w:r>
      <w:r>
        <w:rPr>
          <w:spacing w:val="12"/>
          <w:sz w:val="20"/>
        </w:rPr>
        <w:t xml:space="preserve"> </w:t>
      </w:r>
      <w:r>
        <w:rPr>
          <w:sz w:val="20"/>
        </w:rPr>
        <w:t>que,</w:t>
      </w:r>
      <w:r>
        <w:rPr>
          <w:spacing w:val="11"/>
          <w:sz w:val="20"/>
        </w:rPr>
        <w:t xml:space="preserve"> </w:t>
      </w:r>
      <w:r>
        <w:rPr>
          <w:sz w:val="20"/>
        </w:rPr>
        <w:t>con</w:t>
      </w:r>
      <w:r>
        <w:rPr>
          <w:spacing w:val="9"/>
          <w:sz w:val="20"/>
        </w:rPr>
        <w:t xml:space="preserve"> </w:t>
      </w:r>
      <w:r>
        <w:rPr>
          <w:sz w:val="20"/>
        </w:rPr>
        <w:t>la</w:t>
      </w:r>
      <w:r>
        <w:rPr>
          <w:spacing w:val="12"/>
          <w:sz w:val="20"/>
        </w:rPr>
        <w:t xml:space="preserve"> </w:t>
      </w:r>
      <w:r>
        <w:rPr>
          <w:sz w:val="20"/>
        </w:rPr>
        <w:t>ausencia</w:t>
      </w:r>
      <w:r>
        <w:rPr>
          <w:spacing w:val="12"/>
          <w:sz w:val="20"/>
        </w:rPr>
        <w:t xml:space="preserve"> </w:t>
      </w:r>
      <w:r>
        <w:rPr>
          <w:spacing w:val="2"/>
          <w:sz w:val="20"/>
        </w:rPr>
        <w:t>de</w:t>
      </w:r>
    </w:p>
    <w:p w14:paraId="7F64335B" w14:textId="77777777" w:rsidR="00467FCA" w:rsidRDefault="001B68EB">
      <w:pPr>
        <w:pStyle w:val="Textoindependiente"/>
        <w:spacing w:before="10"/>
      </w:pPr>
      <w:r>
        <w:pict w14:anchorId="23A82AAD">
          <v:shape id="_x0000_s1090" style="position:absolute;margin-left:56.75pt;margin-top:15.05pt;width:2in;height:.1pt;z-index:-251549696;mso-wrap-distance-left:0;mso-wrap-distance-right:0;mso-position-horizontal-relative:page" coordorigin="1135,301" coordsize="2880,0" path="m1135,301r2880,e" filled="f" strokeweight=".72pt">
            <v:path arrowok="t"/>
            <w10:wrap type="topAndBottom" anchorx="page"/>
          </v:shape>
        </w:pict>
      </w:r>
    </w:p>
    <w:p w14:paraId="421329A9" w14:textId="77777777" w:rsidR="00467FCA" w:rsidRDefault="001B68EB">
      <w:pPr>
        <w:spacing w:before="71"/>
        <w:ind w:left="470"/>
        <w:jc w:val="both"/>
        <w:rPr>
          <w:sz w:val="16"/>
        </w:rPr>
      </w:pPr>
      <w:bookmarkStart w:id="694" w:name="_bookmark615"/>
      <w:bookmarkEnd w:id="694"/>
      <w:r>
        <w:rPr>
          <w:position w:val="6"/>
          <w:sz w:val="10"/>
        </w:rPr>
        <w:t xml:space="preserve">67 </w:t>
      </w:r>
      <w:r>
        <w:rPr>
          <w:sz w:val="16"/>
        </w:rPr>
        <w:t>Párr. 172.</w:t>
      </w:r>
    </w:p>
    <w:p w14:paraId="74321F1E" w14:textId="77777777" w:rsidR="00467FCA" w:rsidRDefault="001B68EB">
      <w:pPr>
        <w:ind w:left="470"/>
        <w:jc w:val="both"/>
        <w:rPr>
          <w:i/>
          <w:sz w:val="16"/>
        </w:rPr>
      </w:pPr>
      <w:bookmarkStart w:id="695" w:name="_bookmark616"/>
      <w:bookmarkEnd w:id="695"/>
      <w:r>
        <w:rPr>
          <w:position w:val="6"/>
          <w:sz w:val="10"/>
        </w:rPr>
        <w:t>68</w:t>
      </w:r>
      <w:bookmarkStart w:id="696" w:name="_bookmark617"/>
      <w:bookmarkEnd w:id="696"/>
      <w:r>
        <w:rPr>
          <w:position w:val="6"/>
          <w:sz w:val="10"/>
        </w:rPr>
        <w:t xml:space="preserve"> </w:t>
      </w:r>
      <w:r>
        <w:rPr>
          <w:i/>
          <w:sz w:val="16"/>
        </w:rPr>
        <w:t>Idem.</w:t>
      </w:r>
    </w:p>
    <w:p w14:paraId="41E0C33A" w14:textId="77777777" w:rsidR="00467FCA" w:rsidRDefault="001B68EB">
      <w:pPr>
        <w:ind w:left="470" w:right="395"/>
        <w:jc w:val="both"/>
        <w:rPr>
          <w:i/>
          <w:sz w:val="16"/>
        </w:rPr>
      </w:pPr>
      <w:r>
        <w:rPr>
          <w:position w:val="6"/>
          <w:sz w:val="10"/>
        </w:rPr>
        <w:t xml:space="preserve">69 </w:t>
      </w:r>
      <w:r>
        <w:rPr>
          <w:sz w:val="16"/>
        </w:rPr>
        <w:t>Art. 31: “</w:t>
      </w:r>
      <w:r>
        <w:rPr>
          <w:i/>
          <w:sz w:val="16"/>
        </w:rPr>
        <w:t>Reconocimiento de Otros Derechos. Podrán ser incluidos en el régimen de protección de esta Convención otros derechos y libertades que sean reconocidos de acuerdo con los procedimientos establecidos en los artículos 76 y 77.”</w:t>
      </w:r>
    </w:p>
    <w:p w14:paraId="66AE4F53" w14:textId="77777777" w:rsidR="00467FCA" w:rsidRDefault="001B68EB">
      <w:pPr>
        <w:ind w:left="470" w:right="395" w:hanging="1"/>
        <w:jc w:val="both"/>
        <w:rPr>
          <w:i/>
          <w:sz w:val="16"/>
        </w:rPr>
      </w:pPr>
      <w:r>
        <w:rPr>
          <w:sz w:val="16"/>
        </w:rPr>
        <w:t xml:space="preserve">Art. 76: </w:t>
      </w:r>
      <w:r>
        <w:rPr>
          <w:i/>
          <w:sz w:val="16"/>
        </w:rPr>
        <w:t>“1. Cualquier Estado parte directamente y la Comisión o la Corte por conducto del Secretario General, pueden someter a la Asamblea General, para lo que estime conveniente, una propuesta de enmienda a esta Convención.</w:t>
      </w:r>
    </w:p>
    <w:p w14:paraId="48261964" w14:textId="77777777" w:rsidR="00467FCA" w:rsidRDefault="001B68EB">
      <w:pPr>
        <w:ind w:left="470" w:right="393" w:firstLine="57"/>
        <w:jc w:val="both"/>
        <w:rPr>
          <w:i/>
          <w:sz w:val="16"/>
        </w:rPr>
      </w:pPr>
      <w:r>
        <w:rPr>
          <w:i/>
          <w:sz w:val="16"/>
        </w:rPr>
        <w:t>2. Las enmiendas entrarán en vigor para</w:t>
      </w:r>
      <w:r>
        <w:rPr>
          <w:i/>
          <w:sz w:val="16"/>
        </w:rPr>
        <w:t xml:space="preserve"> los Estados ratificantes de las mismas en la fecha en que se haya depositado el respectivo instrumento de ratificación que corresponda al número de los dos tercios de los Estados Partes</w:t>
      </w:r>
      <w:r>
        <w:rPr>
          <w:i/>
          <w:spacing w:val="-10"/>
          <w:sz w:val="16"/>
        </w:rPr>
        <w:t xml:space="preserve"> </w:t>
      </w:r>
      <w:r>
        <w:rPr>
          <w:i/>
          <w:sz w:val="16"/>
        </w:rPr>
        <w:t>en</w:t>
      </w:r>
      <w:r>
        <w:rPr>
          <w:i/>
          <w:spacing w:val="-8"/>
          <w:sz w:val="16"/>
        </w:rPr>
        <w:t xml:space="preserve"> </w:t>
      </w:r>
      <w:r>
        <w:rPr>
          <w:i/>
          <w:sz w:val="16"/>
        </w:rPr>
        <w:t>esta</w:t>
      </w:r>
      <w:r>
        <w:rPr>
          <w:i/>
          <w:spacing w:val="-8"/>
          <w:sz w:val="16"/>
        </w:rPr>
        <w:t xml:space="preserve"> </w:t>
      </w:r>
      <w:r>
        <w:rPr>
          <w:i/>
          <w:sz w:val="16"/>
        </w:rPr>
        <w:t>Convención.</w:t>
      </w:r>
      <w:r>
        <w:rPr>
          <w:i/>
          <w:spacing w:val="39"/>
          <w:sz w:val="16"/>
        </w:rPr>
        <w:t xml:space="preserve"> </w:t>
      </w:r>
      <w:r>
        <w:rPr>
          <w:i/>
          <w:sz w:val="16"/>
        </w:rPr>
        <w:t>En</w:t>
      </w:r>
      <w:r>
        <w:rPr>
          <w:i/>
          <w:spacing w:val="-8"/>
          <w:sz w:val="16"/>
        </w:rPr>
        <w:t xml:space="preserve"> </w:t>
      </w:r>
      <w:r>
        <w:rPr>
          <w:i/>
          <w:sz w:val="16"/>
        </w:rPr>
        <w:t>cuanto</w:t>
      </w:r>
      <w:r>
        <w:rPr>
          <w:i/>
          <w:spacing w:val="-7"/>
          <w:sz w:val="16"/>
        </w:rPr>
        <w:t xml:space="preserve"> </w:t>
      </w:r>
      <w:r>
        <w:rPr>
          <w:i/>
          <w:sz w:val="16"/>
        </w:rPr>
        <w:t>al</w:t>
      </w:r>
      <w:r>
        <w:rPr>
          <w:i/>
          <w:spacing w:val="-11"/>
          <w:sz w:val="16"/>
        </w:rPr>
        <w:t xml:space="preserve"> </w:t>
      </w:r>
      <w:r>
        <w:rPr>
          <w:i/>
          <w:sz w:val="16"/>
        </w:rPr>
        <w:t>resto</w:t>
      </w:r>
      <w:r>
        <w:rPr>
          <w:i/>
          <w:spacing w:val="-9"/>
          <w:sz w:val="16"/>
        </w:rPr>
        <w:t xml:space="preserve"> </w:t>
      </w:r>
      <w:r>
        <w:rPr>
          <w:i/>
          <w:sz w:val="16"/>
        </w:rPr>
        <w:t>de</w:t>
      </w:r>
      <w:r>
        <w:rPr>
          <w:i/>
          <w:spacing w:val="-7"/>
          <w:sz w:val="16"/>
        </w:rPr>
        <w:t xml:space="preserve"> </w:t>
      </w:r>
      <w:r>
        <w:rPr>
          <w:i/>
          <w:sz w:val="16"/>
        </w:rPr>
        <w:t>los</w:t>
      </w:r>
      <w:r>
        <w:rPr>
          <w:i/>
          <w:spacing w:val="-7"/>
          <w:sz w:val="16"/>
        </w:rPr>
        <w:t xml:space="preserve"> </w:t>
      </w:r>
      <w:r>
        <w:rPr>
          <w:i/>
          <w:sz w:val="16"/>
        </w:rPr>
        <w:t>Estados</w:t>
      </w:r>
      <w:r>
        <w:rPr>
          <w:i/>
          <w:spacing w:val="-7"/>
          <w:sz w:val="16"/>
        </w:rPr>
        <w:t xml:space="preserve"> </w:t>
      </w:r>
      <w:r>
        <w:rPr>
          <w:i/>
          <w:sz w:val="16"/>
        </w:rPr>
        <w:t>Partes,</w:t>
      </w:r>
      <w:r>
        <w:rPr>
          <w:i/>
          <w:spacing w:val="-8"/>
          <w:sz w:val="16"/>
        </w:rPr>
        <w:t xml:space="preserve"> </w:t>
      </w:r>
      <w:r>
        <w:rPr>
          <w:i/>
          <w:sz w:val="16"/>
        </w:rPr>
        <w:t>entrará</w:t>
      </w:r>
      <w:r>
        <w:rPr>
          <w:i/>
          <w:sz w:val="16"/>
        </w:rPr>
        <w:t>n</w:t>
      </w:r>
      <w:r>
        <w:rPr>
          <w:i/>
          <w:spacing w:val="-11"/>
          <w:sz w:val="16"/>
        </w:rPr>
        <w:t xml:space="preserve"> </w:t>
      </w:r>
      <w:r>
        <w:rPr>
          <w:i/>
          <w:sz w:val="16"/>
        </w:rPr>
        <w:t>en</w:t>
      </w:r>
      <w:r>
        <w:rPr>
          <w:i/>
          <w:spacing w:val="-11"/>
          <w:sz w:val="16"/>
        </w:rPr>
        <w:t xml:space="preserve"> </w:t>
      </w:r>
      <w:r>
        <w:rPr>
          <w:i/>
          <w:sz w:val="16"/>
        </w:rPr>
        <w:t>vigor</w:t>
      </w:r>
      <w:r>
        <w:rPr>
          <w:i/>
          <w:spacing w:val="-9"/>
          <w:sz w:val="16"/>
        </w:rPr>
        <w:t xml:space="preserve"> </w:t>
      </w:r>
      <w:r>
        <w:rPr>
          <w:i/>
          <w:sz w:val="16"/>
        </w:rPr>
        <w:t>en</w:t>
      </w:r>
      <w:r>
        <w:rPr>
          <w:i/>
          <w:spacing w:val="-12"/>
          <w:sz w:val="16"/>
        </w:rPr>
        <w:t xml:space="preserve"> </w:t>
      </w:r>
      <w:r>
        <w:rPr>
          <w:i/>
          <w:sz w:val="16"/>
        </w:rPr>
        <w:t>la</w:t>
      </w:r>
      <w:r>
        <w:rPr>
          <w:i/>
          <w:spacing w:val="-8"/>
          <w:sz w:val="16"/>
        </w:rPr>
        <w:t xml:space="preserve"> </w:t>
      </w:r>
      <w:r>
        <w:rPr>
          <w:i/>
          <w:sz w:val="16"/>
        </w:rPr>
        <w:t>fecha</w:t>
      </w:r>
      <w:r>
        <w:rPr>
          <w:i/>
          <w:spacing w:val="-10"/>
          <w:sz w:val="16"/>
        </w:rPr>
        <w:t xml:space="preserve"> </w:t>
      </w:r>
      <w:r>
        <w:rPr>
          <w:i/>
          <w:sz w:val="16"/>
        </w:rPr>
        <w:t>en</w:t>
      </w:r>
      <w:r>
        <w:rPr>
          <w:i/>
          <w:spacing w:val="-11"/>
          <w:sz w:val="16"/>
        </w:rPr>
        <w:t xml:space="preserve"> </w:t>
      </w:r>
      <w:r>
        <w:rPr>
          <w:i/>
          <w:sz w:val="16"/>
        </w:rPr>
        <w:t>que</w:t>
      </w:r>
      <w:r>
        <w:rPr>
          <w:i/>
          <w:spacing w:val="-10"/>
          <w:sz w:val="16"/>
        </w:rPr>
        <w:t xml:space="preserve"> </w:t>
      </w:r>
      <w:r>
        <w:rPr>
          <w:i/>
          <w:sz w:val="16"/>
        </w:rPr>
        <w:t>depositen sus respectivos instrumentos de</w:t>
      </w:r>
      <w:r>
        <w:rPr>
          <w:i/>
          <w:spacing w:val="-4"/>
          <w:sz w:val="16"/>
        </w:rPr>
        <w:t xml:space="preserve"> </w:t>
      </w:r>
      <w:r>
        <w:rPr>
          <w:i/>
          <w:sz w:val="16"/>
        </w:rPr>
        <w:t>ratificación.”</w:t>
      </w:r>
    </w:p>
    <w:p w14:paraId="78A8DCED" w14:textId="77777777" w:rsidR="00467FCA" w:rsidRDefault="001B68EB">
      <w:pPr>
        <w:ind w:left="470" w:right="392"/>
        <w:jc w:val="both"/>
        <w:rPr>
          <w:i/>
          <w:sz w:val="16"/>
        </w:rPr>
      </w:pPr>
      <w:r>
        <w:rPr>
          <w:sz w:val="16"/>
        </w:rPr>
        <w:t xml:space="preserve">Art. 77: </w:t>
      </w:r>
      <w:r>
        <w:rPr>
          <w:i/>
          <w:sz w:val="16"/>
        </w:rPr>
        <w:t>“1. De acuerdo con la facultad establecida en el artículo 31, cualquier Estado parte y la Comisión podrán someter a la consideración de los Estados Partes reunidos con ocasión de la Asamblea General, proyectos de protocolos adicionales a esta Convención, c</w:t>
      </w:r>
      <w:r>
        <w:rPr>
          <w:i/>
          <w:sz w:val="16"/>
        </w:rPr>
        <w:t>on la finalidad de incluir progresivamente en el régimen de protección de la misma otros derechos y libertades.</w:t>
      </w:r>
    </w:p>
    <w:p w14:paraId="01307ADE" w14:textId="77777777" w:rsidR="00467FCA" w:rsidRDefault="00467FCA">
      <w:pPr>
        <w:jc w:val="both"/>
        <w:rPr>
          <w:sz w:val="16"/>
        </w:rPr>
        <w:sectPr w:rsidR="00467FCA">
          <w:pgSz w:w="12240" w:h="15840"/>
          <w:pgMar w:top="1340" w:right="1140" w:bottom="1200" w:left="960" w:header="0" w:footer="1002" w:gutter="0"/>
          <w:cols w:space="720"/>
        </w:sectPr>
      </w:pPr>
    </w:p>
    <w:p w14:paraId="3BE65969" w14:textId="77777777" w:rsidR="00467FCA" w:rsidRDefault="001B68EB">
      <w:pPr>
        <w:pStyle w:val="Textoindependiente"/>
        <w:spacing w:before="76" w:line="276" w:lineRule="auto"/>
        <w:ind w:left="470" w:right="397"/>
        <w:jc w:val="both"/>
      </w:pPr>
      <w:r>
        <w:t>especificación de los derechos que se derivan de las normas de la Carta de la OEA, la Corte podría</w:t>
      </w:r>
      <w:r>
        <w:rPr>
          <w:spacing w:val="-6"/>
        </w:rPr>
        <w:t xml:space="preserve"> </w:t>
      </w:r>
      <w:r>
        <w:t>establecer</w:t>
      </w:r>
      <w:r>
        <w:rPr>
          <w:spacing w:val="-9"/>
        </w:rPr>
        <w:t xml:space="preserve"> </w:t>
      </w:r>
      <w:r>
        <w:t>derechos</w:t>
      </w:r>
      <w:r>
        <w:rPr>
          <w:spacing w:val="-10"/>
        </w:rPr>
        <w:t xml:space="preserve"> </w:t>
      </w:r>
      <w:r>
        <w:t>no</w:t>
      </w:r>
      <w:r>
        <w:rPr>
          <w:spacing w:val="-7"/>
        </w:rPr>
        <w:t xml:space="preserve"> </w:t>
      </w:r>
      <w:r>
        <w:t>expresam</w:t>
      </w:r>
      <w:r>
        <w:t>ente</w:t>
      </w:r>
      <w:r>
        <w:rPr>
          <w:spacing w:val="-10"/>
        </w:rPr>
        <w:t xml:space="preserve"> </w:t>
      </w:r>
      <w:r>
        <w:t>previstos</w:t>
      </w:r>
      <w:r>
        <w:rPr>
          <w:spacing w:val="-6"/>
        </w:rPr>
        <w:t xml:space="preserve"> </w:t>
      </w:r>
      <w:r>
        <w:t>en</w:t>
      </w:r>
      <w:r>
        <w:rPr>
          <w:spacing w:val="-8"/>
        </w:rPr>
        <w:t xml:space="preserve"> </w:t>
      </w:r>
      <w:r>
        <w:t>dichas</w:t>
      </w:r>
      <w:r>
        <w:rPr>
          <w:spacing w:val="-9"/>
        </w:rPr>
        <w:t xml:space="preserve"> </w:t>
      </w:r>
      <w:r>
        <w:t>normas</w:t>
      </w:r>
      <w:r>
        <w:rPr>
          <w:spacing w:val="-9"/>
        </w:rPr>
        <w:t xml:space="preserve"> </w:t>
      </w:r>
      <w:r>
        <w:t>y</w:t>
      </w:r>
      <w:r>
        <w:rPr>
          <w:spacing w:val="-9"/>
        </w:rPr>
        <w:t xml:space="preserve"> </w:t>
      </w:r>
      <w:r>
        <w:t>disponer</w:t>
      </w:r>
      <w:r>
        <w:rPr>
          <w:spacing w:val="-9"/>
        </w:rPr>
        <w:t xml:space="preserve"> </w:t>
      </w:r>
      <w:r>
        <w:t>que</w:t>
      </w:r>
      <w:r>
        <w:rPr>
          <w:spacing w:val="-8"/>
        </w:rPr>
        <w:t xml:space="preserve"> </w:t>
      </w:r>
      <w:r>
        <w:t>son justiciables ante</w:t>
      </w:r>
      <w:r>
        <w:rPr>
          <w:spacing w:val="-3"/>
        </w:rPr>
        <w:t xml:space="preserve"> </w:t>
      </w:r>
      <w:r>
        <w:t>ella.</w:t>
      </w:r>
    </w:p>
    <w:p w14:paraId="0F00E4EB" w14:textId="77777777" w:rsidR="00467FCA" w:rsidRDefault="00467FCA">
      <w:pPr>
        <w:pStyle w:val="Textoindependiente"/>
        <w:spacing w:before="3"/>
        <w:rPr>
          <w:sz w:val="22"/>
        </w:rPr>
      </w:pPr>
    </w:p>
    <w:p w14:paraId="305ACD29" w14:textId="77777777" w:rsidR="00467FCA" w:rsidRDefault="001B68EB">
      <w:pPr>
        <w:pStyle w:val="Prrafodelista"/>
        <w:numPr>
          <w:ilvl w:val="0"/>
          <w:numId w:val="18"/>
        </w:numPr>
        <w:tabs>
          <w:tab w:val="left" w:pos="1450"/>
        </w:tabs>
        <w:spacing w:line="276" w:lineRule="auto"/>
        <w:ind w:right="397" w:firstLine="0"/>
        <w:jc w:val="both"/>
        <w:rPr>
          <w:sz w:val="20"/>
        </w:rPr>
      </w:pPr>
      <w:r>
        <w:rPr>
          <w:sz w:val="20"/>
        </w:rPr>
        <w:t>En</w:t>
      </w:r>
      <w:r>
        <w:rPr>
          <w:spacing w:val="-14"/>
          <w:sz w:val="20"/>
        </w:rPr>
        <w:t xml:space="preserve"> </w:t>
      </w:r>
      <w:r>
        <w:rPr>
          <w:sz w:val="20"/>
        </w:rPr>
        <w:t>definitiva,</w:t>
      </w:r>
      <w:r>
        <w:rPr>
          <w:spacing w:val="-16"/>
          <w:sz w:val="20"/>
        </w:rPr>
        <w:t xml:space="preserve"> </w:t>
      </w:r>
      <w:r>
        <w:rPr>
          <w:sz w:val="20"/>
        </w:rPr>
        <w:t>pues,</w:t>
      </w:r>
      <w:r>
        <w:rPr>
          <w:spacing w:val="-15"/>
          <w:sz w:val="20"/>
        </w:rPr>
        <w:t xml:space="preserve"> </w:t>
      </w:r>
      <w:r>
        <w:rPr>
          <w:sz w:val="20"/>
        </w:rPr>
        <w:t>discrepando</w:t>
      </w:r>
      <w:r>
        <w:rPr>
          <w:spacing w:val="-14"/>
          <w:sz w:val="20"/>
        </w:rPr>
        <w:t xml:space="preserve"> </w:t>
      </w:r>
      <w:r>
        <w:rPr>
          <w:sz w:val="20"/>
        </w:rPr>
        <w:t>de</w:t>
      </w:r>
      <w:r>
        <w:rPr>
          <w:spacing w:val="-14"/>
          <w:sz w:val="20"/>
        </w:rPr>
        <w:t xml:space="preserve"> </w:t>
      </w:r>
      <w:r>
        <w:rPr>
          <w:sz w:val="20"/>
        </w:rPr>
        <w:t>la</w:t>
      </w:r>
      <w:r>
        <w:rPr>
          <w:spacing w:val="-15"/>
          <w:sz w:val="20"/>
        </w:rPr>
        <w:t xml:space="preserve"> </w:t>
      </w:r>
      <w:r>
        <w:rPr>
          <w:sz w:val="20"/>
        </w:rPr>
        <w:t>Sentencia,</w:t>
      </w:r>
      <w:r>
        <w:rPr>
          <w:spacing w:val="-13"/>
          <w:sz w:val="20"/>
        </w:rPr>
        <w:t xml:space="preserve"> </w:t>
      </w:r>
      <w:r>
        <w:rPr>
          <w:sz w:val="20"/>
        </w:rPr>
        <w:t>se</w:t>
      </w:r>
      <w:r>
        <w:rPr>
          <w:spacing w:val="-14"/>
          <w:sz w:val="20"/>
        </w:rPr>
        <w:t xml:space="preserve"> </w:t>
      </w:r>
      <w:r>
        <w:rPr>
          <w:sz w:val="20"/>
        </w:rPr>
        <w:t>puede</w:t>
      </w:r>
      <w:r>
        <w:rPr>
          <w:spacing w:val="-16"/>
          <w:sz w:val="20"/>
        </w:rPr>
        <w:t xml:space="preserve"> </w:t>
      </w:r>
      <w:r>
        <w:rPr>
          <w:sz w:val="20"/>
        </w:rPr>
        <w:t>afirmar</w:t>
      </w:r>
      <w:r>
        <w:rPr>
          <w:spacing w:val="-16"/>
          <w:sz w:val="20"/>
        </w:rPr>
        <w:t xml:space="preserve"> </w:t>
      </w:r>
      <w:r>
        <w:rPr>
          <w:sz w:val="20"/>
        </w:rPr>
        <w:t>que</w:t>
      </w:r>
      <w:r>
        <w:rPr>
          <w:spacing w:val="-17"/>
          <w:sz w:val="20"/>
        </w:rPr>
        <w:t xml:space="preserve"> </w:t>
      </w:r>
      <w:r>
        <w:rPr>
          <w:sz w:val="20"/>
        </w:rPr>
        <w:t>la</w:t>
      </w:r>
      <w:r>
        <w:rPr>
          <w:spacing w:val="-10"/>
          <w:sz w:val="20"/>
        </w:rPr>
        <w:t xml:space="preserve"> </w:t>
      </w:r>
      <w:r>
        <w:rPr>
          <w:sz w:val="20"/>
        </w:rPr>
        <w:t>aplicación del método funcional o teleológico de interpretación de tratados respecto del artículo 26 de la</w:t>
      </w:r>
      <w:r>
        <w:rPr>
          <w:sz w:val="20"/>
        </w:rPr>
        <w:t xml:space="preserve"> Convención conduce a la misma conclusión a que se llega con la utilización de los demás métodos de interpretación de tratados, es decir, que dicha disposición no tiene por</w:t>
      </w:r>
      <w:r>
        <w:rPr>
          <w:spacing w:val="-48"/>
          <w:sz w:val="20"/>
        </w:rPr>
        <w:t xml:space="preserve"> </w:t>
      </w:r>
      <w:r>
        <w:rPr>
          <w:sz w:val="20"/>
        </w:rPr>
        <w:t>finalidad establecer derecho humano alguno, sino únicamente consagrar el deber de l</w:t>
      </w:r>
      <w:r>
        <w:rPr>
          <w:sz w:val="20"/>
        </w:rPr>
        <w:t>os Estados Partes de adoptar medidas para hacer efectivos los derechos económicos, sociales y culturales que se “</w:t>
      </w:r>
      <w:r>
        <w:rPr>
          <w:i/>
          <w:sz w:val="20"/>
        </w:rPr>
        <w:t>derivan</w:t>
      </w:r>
      <w:r>
        <w:rPr>
          <w:sz w:val="20"/>
        </w:rPr>
        <w:t>” de la Carta de la</w:t>
      </w:r>
      <w:r>
        <w:rPr>
          <w:spacing w:val="-8"/>
          <w:sz w:val="20"/>
        </w:rPr>
        <w:t xml:space="preserve"> </w:t>
      </w:r>
      <w:r>
        <w:rPr>
          <w:sz w:val="20"/>
        </w:rPr>
        <w:t>OEA.</w:t>
      </w:r>
    </w:p>
    <w:p w14:paraId="267D63CE" w14:textId="77777777" w:rsidR="00467FCA" w:rsidRDefault="00467FCA">
      <w:pPr>
        <w:pStyle w:val="Textoindependiente"/>
        <w:spacing w:before="1"/>
        <w:rPr>
          <w:sz w:val="23"/>
        </w:rPr>
      </w:pPr>
    </w:p>
    <w:p w14:paraId="336A9B5F" w14:textId="77777777" w:rsidR="00467FCA" w:rsidRDefault="001B68EB">
      <w:pPr>
        <w:pStyle w:val="Ttulo1"/>
        <w:numPr>
          <w:ilvl w:val="0"/>
          <w:numId w:val="23"/>
        </w:numPr>
        <w:tabs>
          <w:tab w:val="left" w:pos="742"/>
        </w:tabs>
        <w:jc w:val="both"/>
      </w:pPr>
      <w:r>
        <w:t>Medios</w:t>
      </w:r>
      <w:r>
        <w:rPr>
          <w:spacing w:val="-1"/>
        </w:rPr>
        <w:t xml:space="preserve"> </w:t>
      </w:r>
      <w:r>
        <w:t>Complementarios.</w:t>
      </w:r>
    </w:p>
    <w:p w14:paraId="1BD75492" w14:textId="77777777" w:rsidR="00467FCA" w:rsidRDefault="00467FCA">
      <w:pPr>
        <w:pStyle w:val="Textoindependiente"/>
        <w:spacing w:before="1"/>
        <w:rPr>
          <w:b/>
          <w:sz w:val="26"/>
        </w:rPr>
      </w:pPr>
    </w:p>
    <w:p w14:paraId="2ED41C56" w14:textId="77777777" w:rsidR="00467FCA" w:rsidRDefault="001B68EB">
      <w:pPr>
        <w:pStyle w:val="Prrafodelista"/>
        <w:numPr>
          <w:ilvl w:val="0"/>
          <w:numId w:val="18"/>
        </w:numPr>
        <w:tabs>
          <w:tab w:val="left" w:pos="1450"/>
        </w:tabs>
        <w:spacing w:line="276" w:lineRule="auto"/>
        <w:ind w:right="398" w:firstLine="0"/>
        <w:jc w:val="both"/>
        <w:rPr>
          <w:sz w:val="20"/>
        </w:rPr>
      </w:pPr>
      <w:r>
        <w:rPr>
          <w:sz w:val="20"/>
        </w:rPr>
        <w:t>En</w:t>
      </w:r>
      <w:r>
        <w:rPr>
          <w:spacing w:val="-8"/>
          <w:sz w:val="20"/>
        </w:rPr>
        <w:t xml:space="preserve"> </w:t>
      </w:r>
      <w:r>
        <w:rPr>
          <w:sz w:val="20"/>
        </w:rPr>
        <w:t>lo</w:t>
      </w:r>
      <w:r>
        <w:rPr>
          <w:spacing w:val="-9"/>
          <w:sz w:val="20"/>
        </w:rPr>
        <w:t xml:space="preserve"> </w:t>
      </w:r>
      <w:r>
        <w:rPr>
          <w:sz w:val="20"/>
        </w:rPr>
        <w:t>concerniente</w:t>
      </w:r>
      <w:r>
        <w:rPr>
          <w:spacing w:val="-9"/>
          <w:sz w:val="20"/>
        </w:rPr>
        <w:t xml:space="preserve"> </w:t>
      </w:r>
      <w:r>
        <w:rPr>
          <w:sz w:val="20"/>
        </w:rPr>
        <w:t>a</w:t>
      </w:r>
      <w:r>
        <w:rPr>
          <w:spacing w:val="-9"/>
          <w:sz w:val="20"/>
        </w:rPr>
        <w:t xml:space="preserve"> </w:t>
      </w:r>
      <w:r>
        <w:rPr>
          <w:sz w:val="20"/>
        </w:rPr>
        <w:t>los</w:t>
      </w:r>
      <w:r>
        <w:rPr>
          <w:spacing w:val="-6"/>
          <w:sz w:val="20"/>
        </w:rPr>
        <w:t xml:space="preserve"> </w:t>
      </w:r>
      <w:r>
        <w:rPr>
          <w:sz w:val="20"/>
        </w:rPr>
        <w:t>medios</w:t>
      </w:r>
      <w:r>
        <w:rPr>
          <w:spacing w:val="-9"/>
          <w:sz w:val="20"/>
        </w:rPr>
        <w:t xml:space="preserve"> </w:t>
      </w:r>
      <w:r>
        <w:rPr>
          <w:sz w:val="20"/>
        </w:rPr>
        <w:t>complementarios</w:t>
      </w:r>
      <w:r>
        <w:rPr>
          <w:spacing w:val="-9"/>
          <w:sz w:val="20"/>
        </w:rPr>
        <w:t xml:space="preserve"> </w:t>
      </w:r>
      <w:r>
        <w:rPr>
          <w:sz w:val="20"/>
        </w:rPr>
        <w:t>de</w:t>
      </w:r>
      <w:r>
        <w:rPr>
          <w:spacing w:val="-10"/>
          <w:sz w:val="20"/>
        </w:rPr>
        <w:t xml:space="preserve"> </w:t>
      </w:r>
      <w:r>
        <w:rPr>
          <w:sz w:val="20"/>
        </w:rPr>
        <w:t>interpretación</w:t>
      </w:r>
      <w:r>
        <w:rPr>
          <w:spacing w:val="-7"/>
          <w:sz w:val="20"/>
        </w:rPr>
        <w:t xml:space="preserve"> </w:t>
      </w:r>
      <w:r>
        <w:rPr>
          <w:sz w:val="20"/>
        </w:rPr>
        <w:t>de</w:t>
      </w:r>
      <w:r>
        <w:rPr>
          <w:spacing w:val="-9"/>
          <w:sz w:val="20"/>
        </w:rPr>
        <w:t xml:space="preserve"> </w:t>
      </w:r>
      <w:r>
        <w:rPr>
          <w:sz w:val="20"/>
        </w:rPr>
        <w:t>tratados,</w:t>
      </w:r>
      <w:r>
        <w:rPr>
          <w:spacing w:val="-6"/>
          <w:sz w:val="20"/>
        </w:rPr>
        <w:t xml:space="preserve"> </w:t>
      </w:r>
      <w:r>
        <w:rPr>
          <w:sz w:val="20"/>
        </w:rPr>
        <w:t>es de destacar que, en la Conferencia Especializada Interamericana sobre Derechos Humanos de 1969, en la que se acordó el texto definitivo de la Convención, se propusieron en esta materia, dos artículos. Uno fue el 26 en los términos que actualme</w:t>
      </w:r>
      <w:r>
        <w:rPr>
          <w:sz w:val="20"/>
        </w:rPr>
        <w:t>nte figura en la Convención. Dicho artículo fue</w:t>
      </w:r>
      <w:r>
        <w:rPr>
          <w:spacing w:val="-2"/>
          <w:sz w:val="20"/>
        </w:rPr>
        <w:t xml:space="preserve"> </w:t>
      </w:r>
      <w:r>
        <w:rPr>
          <w:sz w:val="20"/>
        </w:rPr>
        <w:t>aprobado</w:t>
      </w:r>
      <w:hyperlink w:anchor="_bookmark618" w:history="1">
        <w:r>
          <w:rPr>
            <w:position w:val="7"/>
            <w:sz w:val="13"/>
          </w:rPr>
          <w:t>70</w:t>
        </w:r>
      </w:hyperlink>
      <w:r>
        <w:rPr>
          <w:sz w:val="20"/>
        </w:rPr>
        <w:t>.</w:t>
      </w:r>
    </w:p>
    <w:p w14:paraId="1A4FEB08" w14:textId="77777777" w:rsidR="00467FCA" w:rsidRDefault="00467FCA">
      <w:pPr>
        <w:pStyle w:val="Textoindependiente"/>
        <w:spacing w:before="11"/>
        <w:rPr>
          <w:sz w:val="22"/>
        </w:rPr>
      </w:pPr>
    </w:p>
    <w:p w14:paraId="06F858F1" w14:textId="77777777" w:rsidR="00467FCA" w:rsidRDefault="001B68EB">
      <w:pPr>
        <w:pStyle w:val="Prrafodelista"/>
        <w:numPr>
          <w:ilvl w:val="0"/>
          <w:numId w:val="18"/>
        </w:numPr>
        <w:tabs>
          <w:tab w:val="left" w:pos="1450"/>
        </w:tabs>
        <w:spacing w:before="1"/>
        <w:ind w:left="1449"/>
        <w:jc w:val="both"/>
        <w:rPr>
          <w:sz w:val="20"/>
        </w:rPr>
      </w:pPr>
      <w:r>
        <w:rPr>
          <w:sz w:val="20"/>
        </w:rPr>
        <w:t>El otro artículo propuesto, el 27,</w:t>
      </w:r>
      <w:r>
        <w:rPr>
          <w:spacing w:val="-4"/>
          <w:sz w:val="20"/>
        </w:rPr>
        <w:t xml:space="preserve"> </w:t>
      </w:r>
      <w:r>
        <w:rPr>
          <w:sz w:val="20"/>
        </w:rPr>
        <w:t>expresaba:</w:t>
      </w:r>
    </w:p>
    <w:p w14:paraId="0078D086" w14:textId="77777777" w:rsidR="00467FCA" w:rsidRDefault="00467FCA">
      <w:pPr>
        <w:pStyle w:val="Textoindependiente"/>
        <w:spacing w:before="10"/>
        <w:rPr>
          <w:sz w:val="25"/>
        </w:rPr>
      </w:pPr>
    </w:p>
    <w:p w14:paraId="35E45648" w14:textId="77777777" w:rsidR="00467FCA" w:rsidRDefault="001B68EB">
      <w:pPr>
        <w:spacing w:line="276" w:lineRule="auto"/>
        <w:ind w:left="1461" w:right="392"/>
        <w:jc w:val="both"/>
        <w:rPr>
          <w:i/>
          <w:sz w:val="18"/>
        </w:rPr>
      </w:pPr>
      <w:r>
        <w:rPr>
          <w:sz w:val="18"/>
        </w:rPr>
        <w:t>“</w:t>
      </w:r>
      <w:r>
        <w:rPr>
          <w:i/>
          <w:sz w:val="18"/>
        </w:rPr>
        <w:t>Control del Cumplimiento de las Obligaciones. Los Estados Partes deben remitir a la Comisión</w:t>
      </w:r>
      <w:r>
        <w:rPr>
          <w:i/>
          <w:spacing w:val="-9"/>
          <w:sz w:val="18"/>
        </w:rPr>
        <w:t xml:space="preserve"> </w:t>
      </w:r>
      <w:r>
        <w:rPr>
          <w:i/>
          <w:sz w:val="18"/>
        </w:rPr>
        <w:t>Interamericana</w:t>
      </w:r>
      <w:r>
        <w:rPr>
          <w:i/>
          <w:spacing w:val="-11"/>
          <w:sz w:val="18"/>
        </w:rPr>
        <w:t xml:space="preserve"> </w:t>
      </w:r>
      <w:r>
        <w:rPr>
          <w:i/>
          <w:sz w:val="18"/>
        </w:rPr>
        <w:t>de</w:t>
      </w:r>
      <w:r>
        <w:rPr>
          <w:i/>
          <w:spacing w:val="-10"/>
          <w:sz w:val="18"/>
        </w:rPr>
        <w:t xml:space="preserve"> </w:t>
      </w:r>
      <w:r>
        <w:rPr>
          <w:i/>
          <w:sz w:val="18"/>
        </w:rPr>
        <w:t>Derechos</w:t>
      </w:r>
      <w:r>
        <w:rPr>
          <w:i/>
          <w:spacing w:val="-11"/>
          <w:sz w:val="18"/>
        </w:rPr>
        <w:t xml:space="preserve"> </w:t>
      </w:r>
      <w:r>
        <w:rPr>
          <w:i/>
          <w:sz w:val="18"/>
        </w:rPr>
        <w:t>Humanos</w:t>
      </w:r>
      <w:r>
        <w:rPr>
          <w:i/>
          <w:spacing w:val="-10"/>
          <w:sz w:val="18"/>
        </w:rPr>
        <w:t xml:space="preserve"> </w:t>
      </w:r>
      <w:r>
        <w:rPr>
          <w:i/>
          <w:sz w:val="18"/>
        </w:rPr>
        <w:t>copia</w:t>
      </w:r>
      <w:r>
        <w:rPr>
          <w:i/>
          <w:spacing w:val="-13"/>
          <w:sz w:val="18"/>
        </w:rPr>
        <w:t xml:space="preserve"> </w:t>
      </w:r>
      <w:r>
        <w:rPr>
          <w:i/>
          <w:sz w:val="18"/>
        </w:rPr>
        <w:t>de</w:t>
      </w:r>
      <w:r>
        <w:rPr>
          <w:i/>
          <w:spacing w:val="-10"/>
          <w:sz w:val="18"/>
        </w:rPr>
        <w:t xml:space="preserve"> </w:t>
      </w:r>
      <w:r>
        <w:rPr>
          <w:i/>
          <w:sz w:val="18"/>
        </w:rPr>
        <w:t>los</w:t>
      </w:r>
      <w:r>
        <w:rPr>
          <w:i/>
          <w:spacing w:val="-11"/>
          <w:sz w:val="18"/>
        </w:rPr>
        <w:t xml:space="preserve"> </w:t>
      </w:r>
      <w:r>
        <w:rPr>
          <w:i/>
          <w:sz w:val="18"/>
        </w:rPr>
        <w:t>informes</w:t>
      </w:r>
      <w:r>
        <w:rPr>
          <w:i/>
          <w:spacing w:val="-10"/>
          <w:sz w:val="18"/>
        </w:rPr>
        <w:t xml:space="preserve"> </w:t>
      </w:r>
      <w:r>
        <w:rPr>
          <w:i/>
          <w:sz w:val="18"/>
        </w:rPr>
        <w:t>y</w:t>
      </w:r>
      <w:r>
        <w:rPr>
          <w:i/>
          <w:spacing w:val="-11"/>
          <w:sz w:val="18"/>
        </w:rPr>
        <w:t xml:space="preserve"> </w:t>
      </w:r>
      <w:r>
        <w:rPr>
          <w:i/>
          <w:sz w:val="18"/>
        </w:rPr>
        <w:t>estudios</w:t>
      </w:r>
      <w:r>
        <w:rPr>
          <w:i/>
          <w:spacing w:val="-13"/>
          <w:sz w:val="18"/>
        </w:rPr>
        <w:t xml:space="preserve"> </w:t>
      </w:r>
      <w:r>
        <w:rPr>
          <w:i/>
          <w:sz w:val="18"/>
        </w:rPr>
        <w:t>que</w:t>
      </w:r>
      <w:r>
        <w:rPr>
          <w:i/>
          <w:spacing w:val="-11"/>
          <w:sz w:val="18"/>
        </w:rPr>
        <w:t xml:space="preserve"> </w:t>
      </w:r>
      <w:r>
        <w:rPr>
          <w:i/>
          <w:sz w:val="18"/>
        </w:rPr>
        <w:t>en</w:t>
      </w:r>
      <w:r>
        <w:rPr>
          <w:i/>
          <w:spacing w:val="-9"/>
          <w:sz w:val="18"/>
        </w:rPr>
        <w:t xml:space="preserve"> </w:t>
      </w:r>
      <w:r>
        <w:rPr>
          <w:i/>
          <w:sz w:val="18"/>
        </w:rPr>
        <w:t>sus respectivos campos someten anualmente a las Comisiones Ejecutivas del Consejo Interamericano Económico y Social y del Consejo Interamericano para la Educación, la Ciencia y la Cultura, a fin de que aquélla verifique si se están cumpliendo las obligacio</w:t>
      </w:r>
      <w:r>
        <w:rPr>
          <w:i/>
          <w:sz w:val="18"/>
        </w:rPr>
        <w:t>nes antes determinadas, que son la sustentación indispensable para el ejercicio de los otros derechos consagrados en esta</w:t>
      </w:r>
      <w:r>
        <w:rPr>
          <w:i/>
          <w:spacing w:val="-4"/>
          <w:sz w:val="18"/>
        </w:rPr>
        <w:t xml:space="preserve"> </w:t>
      </w:r>
      <w:r>
        <w:rPr>
          <w:i/>
          <w:sz w:val="18"/>
        </w:rPr>
        <w:t>Convención.”</w:t>
      </w:r>
    </w:p>
    <w:p w14:paraId="13CEEB71" w14:textId="77777777" w:rsidR="00467FCA" w:rsidRDefault="00467FCA">
      <w:pPr>
        <w:pStyle w:val="Textoindependiente"/>
        <w:spacing w:before="1"/>
        <w:rPr>
          <w:i/>
          <w:sz w:val="23"/>
        </w:rPr>
      </w:pPr>
    </w:p>
    <w:p w14:paraId="042B007B" w14:textId="77777777" w:rsidR="00467FCA" w:rsidRDefault="001B68EB">
      <w:pPr>
        <w:pStyle w:val="Prrafodelista"/>
        <w:numPr>
          <w:ilvl w:val="0"/>
          <w:numId w:val="18"/>
        </w:numPr>
        <w:tabs>
          <w:tab w:val="left" w:pos="1450"/>
        </w:tabs>
        <w:spacing w:line="276" w:lineRule="auto"/>
        <w:ind w:right="397" w:firstLine="0"/>
        <w:jc w:val="both"/>
        <w:rPr>
          <w:sz w:val="20"/>
        </w:rPr>
      </w:pPr>
      <w:r>
        <w:rPr>
          <w:sz w:val="20"/>
        </w:rPr>
        <w:t>Nótese que el mencionado proyecto de artículo 27, que no fue aprobado</w:t>
      </w:r>
      <w:hyperlink w:anchor="_bookmark619" w:history="1">
        <w:r>
          <w:rPr>
            <w:position w:val="7"/>
            <w:sz w:val="13"/>
          </w:rPr>
          <w:t>71</w:t>
        </w:r>
      </w:hyperlink>
      <w:r>
        <w:rPr>
          <w:sz w:val="20"/>
        </w:rPr>
        <w:t>, se refería a “i</w:t>
      </w:r>
      <w:r>
        <w:rPr>
          <w:sz w:val="20"/>
        </w:rPr>
        <w:t>nformes y estudios” para que la Comisión verificara si se estaban cumpliendo las referidas obligaciones y distinguía, entonces, entre, por una parte, “</w:t>
      </w:r>
      <w:r>
        <w:rPr>
          <w:i/>
          <w:sz w:val="20"/>
        </w:rPr>
        <w:t>las obligaciones antes determinadas</w:t>
      </w:r>
      <w:r>
        <w:rPr>
          <w:sz w:val="20"/>
        </w:rPr>
        <w:t>”, obviamente en el artículo 26, es decir, las pertinentes a los derec</w:t>
      </w:r>
      <w:r>
        <w:rPr>
          <w:sz w:val="20"/>
        </w:rPr>
        <w:t>hos que “</w:t>
      </w:r>
      <w:r>
        <w:rPr>
          <w:i/>
          <w:sz w:val="20"/>
        </w:rPr>
        <w:t>derivan</w:t>
      </w:r>
      <w:r>
        <w:rPr>
          <w:i/>
          <w:spacing w:val="-13"/>
          <w:sz w:val="20"/>
        </w:rPr>
        <w:t xml:space="preserve"> </w:t>
      </w:r>
      <w:r>
        <w:rPr>
          <w:i/>
          <w:sz w:val="20"/>
        </w:rPr>
        <w:t>de</w:t>
      </w:r>
      <w:r>
        <w:rPr>
          <w:i/>
          <w:spacing w:val="-14"/>
          <w:sz w:val="20"/>
        </w:rPr>
        <w:t xml:space="preserve"> </w:t>
      </w:r>
      <w:r>
        <w:rPr>
          <w:i/>
          <w:sz w:val="20"/>
        </w:rPr>
        <w:t>las</w:t>
      </w:r>
      <w:r>
        <w:rPr>
          <w:i/>
          <w:spacing w:val="-14"/>
          <w:sz w:val="20"/>
        </w:rPr>
        <w:t xml:space="preserve"> </w:t>
      </w:r>
      <w:r>
        <w:rPr>
          <w:i/>
          <w:sz w:val="20"/>
        </w:rPr>
        <w:t>normas</w:t>
      </w:r>
      <w:r>
        <w:rPr>
          <w:i/>
          <w:spacing w:val="-11"/>
          <w:sz w:val="20"/>
        </w:rPr>
        <w:t xml:space="preserve"> </w:t>
      </w:r>
      <w:r>
        <w:rPr>
          <w:i/>
          <w:sz w:val="20"/>
        </w:rPr>
        <w:t>económicas,</w:t>
      </w:r>
      <w:r>
        <w:rPr>
          <w:i/>
          <w:spacing w:val="-12"/>
          <w:sz w:val="20"/>
        </w:rPr>
        <w:t xml:space="preserve"> </w:t>
      </w:r>
      <w:r>
        <w:rPr>
          <w:i/>
          <w:sz w:val="20"/>
        </w:rPr>
        <w:t>sociales</w:t>
      </w:r>
      <w:r>
        <w:rPr>
          <w:i/>
          <w:spacing w:val="-13"/>
          <w:sz w:val="20"/>
        </w:rPr>
        <w:t xml:space="preserve"> </w:t>
      </w:r>
      <w:r>
        <w:rPr>
          <w:i/>
          <w:sz w:val="20"/>
        </w:rPr>
        <w:t>y</w:t>
      </w:r>
      <w:r>
        <w:rPr>
          <w:i/>
          <w:spacing w:val="-11"/>
          <w:sz w:val="20"/>
        </w:rPr>
        <w:t xml:space="preserve"> </w:t>
      </w:r>
      <w:r>
        <w:rPr>
          <w:i/>
          <w:sz w:val="20"/>
        </w:rPr>
        <w:t>sobre</w:t>
      </w:r>
      <w:r>
        <w:rPr>
          <w:i/>
          <w:spacing w:val="-11"/>
          <w:sz w:val="20"/>
        </w:rPr>
        <w:t xml:space="preserve"> </w:t>
      </w:r>
      <w:r>
        <w:rPr>
          <w:i/>
          <w:sz w:val="20"/>
        </w:rPr>
        <w:t>educación,</w:t>
      </w:r>
      <w:r>
        <w:rPr>
          <w:i/>
          <w:spacing w:val="-14"/>
          <w:sz w:val="20"/>
        </w:rPr>
        <w:t xml:space="preserve"> </w:t>
      </w:r>
      <w:r>
        <w:rPr>
          <w:i/>
          <w:sz w:val="20"/>
        </w:rPr>
        <w:t>ciencia</w:t>
      </w:r>
      <w:r>
        <w:rPr>
          <w:i/>
          <w:spacing w:val="-10"/>
          <w:sz w:val="20"/>
        </w:rPr>
        <w:t xml:space="preserve"> </w:t>
      </w:r>
      <w:r>
        <w:rPr>
          <w:i/>
          <w:sz w:val="20"/>
        </w:rPr>
        <w:t>y</w:t>
      </w:r>
      <w:r>
        <w:rPr>
          <w:i/>
          <w:spacing w:val="-14"/>
          <w:sz w:val="20"/>
        </w:rPr>
        <w:t xml:space="preserve"> </w:t>
      </w:r>
      <w:r>
        <w:rPr>
          <w:i/>
          <w:sz w:val="20"/>
        </w:rPr>
        <w:t>cultura,</w:t>
      </w:r>
      <w:r>
        <w:rPr>
          <w:i/>
          <w:spacing w:val="-11"/>
          <w:sz w:val="20"/>
        </w:rPr>
        <w:t xml:space="preserve"> </w:t>
      </w:r>
      <w:r>
        <w:rPr>
          <w:i/>
          <w:sz w:val="20"/>
        </w:rPr>
        <w:t>contenidas en la Carta de la Organización de los Estados Americanos, reformada por el Protocolo de Buenas</w:t>
      </w:r>
      <w:r>
        <w:rPr>
          <w:i/>
          <w:spacing w:val="-14"/>
          <w:sz w:val="20"/>
        </w:rPr>
        <w:t xml:space="preserve"> </w:t>
      </w:r>
      <w:r>
        <w:rPr>
          <w:i/>
          <w:sz w:val="20"/>
        </w:rPr>
        <w:t>Aires</w:t>
      </w:r>
      <w:r>
        <w:rPr>
          <w:sz w:val="20"/>
        </w:rPr>
        <w:t>”</w:t>
      </w:r>
      <w:r>
        <w:rPr>
          <w:spacing w:val="-11"/>
          <w:sz w:val="20"/>
        </w:rPr>
        <w:t xml:space="preserve"> </w:t>
      </w:r>
      <w:r>
        <w:rPr>
          <w:sz w:val="20"/>
        </w:rPr>
        <w:t>y</w:t>
      </w:r>
      <w:r>
        <w:rPr>
          <w:spacing w:val="-13"/>
          <w:sz w:val="20"/>
        </w:rPr>
        <w:t xml:space="preserve"> </w:t>
      </w:r>
      <w:r>
        <w:rPr>
          <w:sz w:val="20"/>
        </w:rPr>
        <w:t>por</w:t>
      </w:r>
      <w:r>
        <w:rPr>
          <w:spacing w:val="-14"/>
          <w:sz w:val="20"/>
        </w:rPr>
        <w:t xml:space="preserve"> </w:t>
      </w:r>
      <w:r>
        <w:rPr>
          <w:sz w:val="20"/>
        </w:rPr>
        <w:t>la</w:t>
      </w:r>
      <w:r>
        <w:rPr>
          <w:spacing w:val="-10"/>
          <w:sz w:val="20"/>
        </w:rPr>
        <w:t xml:space="preserve"> </w:t>
      </w:r>
      <w:r>
        <w:rPr>
          <w:sz w:val="20"/>
        </w:rPr>
        <w:t>otra</w:t>
      </w:r>
      <w:r>
        <w:rPr>
          <w:spacing w:val="-12"/>
          <w:sz w:val="20"/>
        </w:rPr>
        <w:t xml:space="preserve"> </w:t>
      </w:r>
      <w:r>
        <w:rPr>
          <w:sz w:val="20"/>
        </w:rPr>
        <w:t>parte,</w:t>
      </w:r>
      <w:r>
        <w:rPr>
          <w:spacing w:val="-11"/>
          <w:sz w:val="20"/>
        </w:rPr>
        <w:t xml:space="preserve"> </w:t>
      </w:r>
      <w:r>
        <w:rPr>
          <w:sz w:val="20"/>
        </w:rPr>
        <w:t>“</w:t>
      </w:r>
      <w:r>
        <w:rPr>
          <w:i/>
          <w:sz w:val="20"/>
        </w:rPr>
        <w:t>los</w:t>
      </w:r>
      <w:r>
        <w:rPr>
          <w:i/>
          <w:spacing w:val="-11"/>
          <w:sz w:val="20"/>
        </w:rPr>
        <w:t xml:space="preserve"> </w:t>
      </w:r>
      <w:r>
        <w:rPr>
          <w:i/>
          <w:sz w:val="20"/>
        </w:rPr>
        <w:t>otros</w:t>
      </w:r>
      <w:r>
        <w:rPr>
          <w:i/>
          <w:spacing w:val="-11"/>
          <w:sz w:val="20"/>
        </w:rPr>
        <w:t xml:space="preserve"> </w:t>
      </w:r>
      <w:r>
        <w:rPr>
          <w:i/>
          <w:sz w:val="20"/>
        </w:rPr>
        <w:t>derechos</w:t>
      </w:r>
      <w:r>
        <w:rPr>
          <w:i/>
          <w:spacing w:val="-11"/>
          <w:sz w:val="20"/>
        </w:rPr>
        <w:t xml:space="preserve"> </w:t>
      </w:r>
      <w:r>
        <w:rPr>
          <w:i/>
          <w:sz w:val="20"/>
        </w:rPr>
        <w:t>consagrados</w:t>
      </w:r>
      <w:r>
        <w:rPr>
          <w:i/>
          <w:spacing w:val="-12"/>
          <w:sz w:val="20"/>
        </w:rPr>
        <w:t xml:space="preserve"> </w:t>
      </w:r>
      <w:r>
        <w:rPr>
          <w:i/>
          <w:sz w:val="20"/>
        </w:rPr>
        <w:t>en</w:t>
      </w:r>
      <w:r>
        <w:rPr>
          <w:i/>
          <w:spacing w:val="-9"/>
          <w:sz w:val="20"/>
        </w:rPr>
        <w:t xml:space="preserve"> </w:t>
      </w:r>
      <w:r>
        <w:rPr>
          <w:i/>
          <w:sz w:val="20"/>
        </w:rPr>
        <w:t>esta</w:t>
      </w:r>
      <w:r>
        <w:rPr>
          <w:i/>
          <w:spacing w:val="-12"/>
          <w:sz w:val="20"/>
        </w:rPr>
        <w:t xml:space="preserve"> </w:t>
      </w:r>
      <w:r>
        <w:rPr>
          <w:i/>
          <w:sz w:val="20"/>
        </w:rPr>
        <w:t>Convención”</w:t>
      </w:r>
      <w:r>
        <w:rPr>
          <w:sz w:val="20"/>
        </w:rPr>
        <w:t>,</w:t>
      </w:r>
      <w:r>
        <w:rPr>
          <w:spacing w:val="-11"/>
          <w:sz w:val="20"/>
        </w:rPr>
        <w:t xml:space="preserve"> </w:t>
      </w:r>
      <w:r>
        <w:rPr>
          <w:sz w:val="20"/>
        </w:rPr>
        <w:t xml:space="preserve">esto es, los </w:t>
      </w:r>
      <w:r>
        <w:rPr>
          <w:i/>
          <w:sz w:val="20"/>
        </w:rPr>
        <w:t>“derechos civiles y</w:t>
      </w:r>
      <w:r>
        <w:rPr>
          <w:i/>
          <w:spacing w:val="-1"/>
          <w:sz w:val="20"/>
        </w:rPr>
        <w:t xml:space="preserve"> </w:t>
      </w:r>
      <w:r>
        <w:rPr>
          <w:i/>
          <w:sz w:val="20"/>
        </w:rPr>
        <w:t>políticos</w:t>
      </w:r>
      <w:r>
        <w:rPr>
          <w:sz w:val="20"/>
        </w:rPr>
        <w:t>”.</w:t>
      </w:r>
    </w:p>
    <w:p w14:paraId="00BE2B88" w14:textId="77777777" w:rsidR="00467FCA" w:rsidRDefault="00467FCA">
      <w:pPr>
        <w:pStyle w:val="Textoindependiente"/>
        <w:rPr>
          <w:sz w:val="23"/>
        </w:rPr>
      </w:pPr>
    </w:p>
    <w:p w14:paraId="1A98A067" w14:textId="77777777" w:rsidR="00467FCA" w:rsidRDefault="001B68EB">
      <w:pPr>
        <w:pStyle w:val="Prrafodelista"/>
        <w:numPr>
          <w:ilvl w:val="0"/>
          <w:numId w:val="18"/>
        </w:numPr>
        <w:tabs>
          <w:tab w:val="left" w:pos="1450"/>
        </w:tabs>
        <w:spacing w:line="276" w:lineRule="auto"/>
        <w:ind w:right="396" w:firstLine="0"/>
        <w:jc w:val="both"/>
        <w:rPr>
          <w:sz w:val="20"/>
        </w:rPr>
      </w:pPr>
      <w:r>
        <w:rPr>
          <w:sz w:val="20"/>
        </w:rPr>
        <w:t>De</w:t>
      </w:r>
      <w:r>
        <w:rPr>
          <w:spacing w:val="-16"/>
          <w:sz w:val="20"/>
        </w:rPr>
        <w:t xml:space="preserve"> </w:t>
      </w:r>
      <w:r>
        <w:rPr>
          <w:sz w:val="20"/>
        </w:rPr>
        <w:t>suerte</w:t>
      </w:r>
      <w:r>
        <w:rPr>
          <w:spacing w:val="-15"/>
          <w:sz w:val="20"/>
        </w:rPr>
        <w:t xml:space="preserve"> </w:t>
      </w:r>
      <w:r>
        <w:rPr>
          <w:sz w:val="20"/>
        </w:rPr>
        <w:t>que,</w:t>
      </w:r>
      <w:r>
        <w:rPr>
          <w:spacing w:val="-15"/>
          <w:sz w:val="20"/>
        </w:rPr>
        <w:t xml:space="preserve"> </w:t>
      </w:r>
      <w:r>
        <w:rPr>
          <w:sz w:val="20"/>
        </w:rPr>
        <w:t>con</w:t>
      </w:r>
      <w:r>
        <w:rPr>
          <w:spacing w:val="-13"/>
          <w:sz w:val="20"/>
        </w:rPr>
        <w:t xml:space="preserve"> </w:t>
      </w:r>
      <w:r>
        <w:rPr>
          <w:sz w:val="20"/>
        </w:rPr>
        <w:t>la</w:t>
      </w:r>
      <w:r>
        <w:rPr>
          <w:spacing w:val="-14"/>
          <w:sz w:val="20"/>
        </w:rPr>
        <w:t xml:space="preserve"> </w:t>
      </w:r>
      <w:r>
        <w:rPr>
          <w:sz w:val="20"/>
        </w:rPr>
        <w:t>adopción</w:t>
      </w:r>
      <w:r>
        <w:rPr>
          <w:spacing w:val="-14"/>
          <w:sz w:val="20"/>
        </w:rPr>
        <w:t xml:space="preserve"> </w:t>
      </w:r>
      <w:r>
        <w:rPr>
          <w:sz w:val="20"/>
        </w:rPr>
        <w:t>del</w:t>
      </w:r>
      <w:r>
        <w:rPr>
          <w:spacing w:val="-14"/>
          <w:sz w:val="20"/>
        </w:rPr>
        <w:t xml:space="preserve"> </w:t>
      </w:r>
      <w:r>
        <w:rPr>
          <w:sz w:val="20"/>
        </w:rPr>
        <w:t>artículo</w:t>
      </w:r>
      <w:r>
        <w:rPr>
          <w:spacing w:val="-15"/>
          <w:sz w:val="20"/>
        </w:rPr>
        <w:t xml:space="preserve"> </w:t>
      </w:r>
      <w:r>
        <w:rPr>
          <w:sz w:val="20"/>
        </w:rPr>
        <w:t>26,</w:t>
      </w:r>
      <w:r>
        <w:rPr>
          <w:spacing w:val="-15"/>
          <w:sz w:val="20"/>
        </w:rPr>
        <w:t xml:space="preserve"> </w:t>
      </w:r>
      <w:r>
        <w:rPr>
          <w:sz w:val="20"/>
        </w:rPr>
        <w:t>no</w:t>
      </w:r>
      <w:r>
        <w:rPr>
          <w:spacing w:val="-15"/>
          <w:sz w:val="20"/>
        </w:rPr>
        <w:t xml:space="preserve"> </w:t>
      </w:r>
      <w:r>
        <w:rPr>
          <w:sz w:val="20"/>
        </w:rPr>
        <w:t>se</w:t>
      </w:r>
      <w:r>
        <w:rPr>
          <w:spacing w:val="-16"/>
          <w:sz w:val="20"/>
        </w:rPr>
        <w:t xml:space="preserve"> </w:t>
      </w:r>
      <w:r>
        <w:rPr>
          <w:sz w:val="20"/>
        </w:rPr>
        <w:t>tuvo</w:t>
      </w:r>
      <w:r>
        <w:rPr>
          <w:spacing w:val="-15"/>
          <w:sz w:val="20"/>
        </w:rPr>
        <w:t xml:space="preserve"> </w:t>
      </w:r>
      <w:r>
        <w:rPr>
          <w:sz w:val="20"/>
        </w:rPr>
        <w:t>la</w:t>
      </w:r>
      <w:r>
        <w:rPr>
          <w:spacing w:val="-12"/>
          <w:sz w:val="20"/>
        </w:rPr>
        <w:t xml:space="preserve"> </w:t>
      </w:r>
      <w:r>
        <w:rPr>
          <w:sz w:val="20"/>
        </w:rPr>
        <w:t>intención</w:t>
      </w:r>
      <w:r>
        <w:rPr>
          <w:spacing w:val="-13"/>
          <w:sz w:val="20"/>
        </w:rPr>
        <w:t xml:space="preserve"> </w:t>
      </w:r>
      <w:r>
        <w:rPr>
          <w:sz w:val="20"/>
        </w:rPr>
        <w:t>de</w:t>
      </w:r>
      <w:r>
        <w:rPr>
          <w:spacing w:val="-14"/>
          <w:sz w:val="20"/>
        </w:rPr>
        <w:t xml:space="preserve"> </w:t>
      </w:r>
      <w:r>
        <w:rPr>
          <w:sz w:val="20"/>
        </w:rPr>
        <w:t>incorporar los derechos económicos, sociales y culturales en el régimen de protección previsto en la C</w:t>
      </w:r>
      <w:r>
        <w:rPr>
          <w:sz w:val="20"/>
        </w:rPr>
        <w:t>onvención.</w:t>
      </w:r>
      <w:r>
        <w:rPr>
          <w:spacing w:val="11"/>
          <w:sz w:val="20"/>
        </w:rPr>
        <w:t xml:space="preserve"> </w:t>
      </w:r>
      <w:r>
        <w:rPr>
          <w:sz w:val="20"/>
        </w:rPr>
        <w:t>La</w:t>
      </w:r>
      <w:r>
        <w:rPr>
          <w:spacing w:val="12"/>
          <w:sz w:val="20"/>
        </w:rPr>
        <w:t xml:space="preserve"> </w:t>
      </w:r>
      <w:r>
        <w:rPr>
          <w:sz w:val="20"/>
        </w:rPr>
        <w:t>única</w:t>
      </w:r>
      <w:r>
        <w:rPr>
          <w:spacing w:val="9"/>
          <w:sz w:val="20"/>
        </w:rPr>
        <w:t xml:space="preserve"> </w:t>
      </w:r>
      <w:r>
        <w:rPr>
          <w:sz w:val="20"/>
        </w:rPr>
        <w:t>proposición</w:t>
      </w:r>
      <w:r>
        <w:rPr>
          <w:spacing w:val="12"/>
          <w:sz w:val="20"/>
        </w:rPr>
        <w:t xml:space="preserve"> </w:t>
      </w:r>
      <w:r>
        <w:rPr>
          <w:sz w:val="20"/>
        </w:rPr>
        <w:t>que</w:t>
      </w:r>
      <w:r>
        <w:rPr>
          <w:spacing w:val="9"/>
          <w:sz w:val="20"/>
        </w:rPr>
        <w:t xml:space="preserve"> </w:t>
      </w:r>
      <w:r>
        <w:rPr>
          <w:sz w:val="20"/>
        </w:rPr>
        <w:t>hubo</w:t>
      </w:r>
      <w:r>
        <w:rPr>
          <w:spacing w:val="10"/>
          <w:sz w:val="20"/>
        </w:rPr>
        <w:t xml:space="preserve"> </w:t>
      </w:r>
      <w:r>
        <w:rPr>
          <w:sz w:val="20"/>
        </w:rPr>
        <w:t>al</w:t>
      </w:r>
      <w:r>
        <w:rPr>
          <w:spacing w:val="12"/>
          <w:sz w:val="20"/>
        </w:rPr>
        <w:t xml:space="preserve"> </w:t>
      </w:r>
      <w:r>
        <w:rPr>
          <w:sz w:val="20"/>
        </w:rPr>
        <w:t>respecto</w:t>
      </w:r>
      <w:r>
        <w:rPr>
          <w:spacing w:val="10"/>
          <w:sz w:val="20"/>
        </w:rPr>
        <w:t xml:space="preserve"> </w:t>
      </w:r>
      <w:r>
        <w:rPr>
          <w:sz w:val="20"/>
        </w:rPr>
        <w:t>fue</w:t>
      </w:r>
      <w:r>
        <w:rPr>
          <w:spacing w:val="9"/>
          <w:sz w:val="20"/>
        </w:rPr>
        <w:t xml:space="preserve"> </w:t>
      </w:r>
      <w:r>
        <w:rPr>
          <w:sz w:val="20"/>
        </w:rPr>
        <w:t>que</w:t>
      </w:r>
      <w:r>
        <w:rPr>
          <w:spacing w:val="10"/>
          <w:sz w:val="20"/>
        </w:rPr>
        <w:t xml:space="preserve"> </w:t>
      </w:r>
      <w:r>
        <w:rPr>
          <w:sz w:val="20"/>
        </w:rPr>
        <w:t>se</w:t>
      </w:r>
      <w:r>
        <w:rPr>
          <w:spacing w:val="10"/>
          <w:sz w:val="20"/>
        </w:rPr>
        <w:t xml:space="preserve"> </w:t>
      </w:r>
      <w:r>
        <w:rPr>
          <w:sz w:val="20"/>
        </w:rPr>
        <w:t>sometiera</w:t>
      </w:r>
      <w:r>
        <w:rPr>
          <w:spacing w:val="9"/>
          <w:sz w:val="20"/>
        </w:rPr>
        <w:t xml:space="preserve"> </w:t>
      </w:r>
      <w:r>
        <w:rPr>
          <w:sz w:val="20"/>
        </w:rPr>
        <w:t>a</w:t>
      </w:r>
      <w:r>
        <w:rPr>
          <w:spacing w:val="13"/>
          <w:sz w:val="20"/>
        </w:rPr>
        <w:t xml:space="preserve"> </w:t>
      </w:r>
      <w:r>
        <w:rPr>
          <w:sz w:val="20"/>
        </w:rPr>
        <w:t>examen</w:t>
      </w:r>
      <w:r>
        <w:rPr>
          <w:spacing w:val="10"/>
          <w:sz w:val="20"/>
        </w:rPr>
        <w:t xml:space="preserve"> </w:t>
      </w:r>
      <w:r>
        <w:rPr>
          <w:sz w:val="20"/>
        </w:rPr>
        <w:t>de</w:t>
      </w:r>
    </w:p>
    <w:p w14:paraId="6C4E5866" w14:textId="77777777" w:rsidR="00467FCA" w:rsidRDefault="001B68EB">
      <w:pPr>
        <w:pStyle w:val="Textoindependiente"/>
        <w:spacing w:before="2"/>
        <w:rPr>
          <w:sz w:val="12"/>
        </w:rPr>
      </w:pPr>
      <w:r>
        <w:pict w14:anchorId="0579F0DD">
          <v:shape id="_x0000_s1089" style="position:absolute;margin-left:56.75pt;margin-top:9.75pt;width:2in;height:.1pt;z-index:-251548672;mso-wrap-distance-left:0;mso-wrap-distance-right:0;mso-position-horizontal-relative:page" coordorigin="1135,195" coordsize="2880,0" path="m1135,195r2880,e" filled="f" strokeweight=".72pt">
            <v:path arrowok="t"/>
            <w10:wrap type="topAndBottom" anchorx="page"/>
          </v:shape>
        </w:pict>
      </w:r>
    </w:p>
    <w:p w14:paraId="14A22340" w14:textId="77777777" w:rsidR="00467FCA" w:rsidRDefault="001B68EB">
      <w:pPr>
        <w:spacing w:before="71"/>
        <w:ind w:left="470" w:right="334" w:firstLine="57"/>
        <w:rPr>
          <w:i/>
          <w:sz w:val="16"/>
        </w:rPr>
      </w:pPr>
      <w:r>
        <w:rPr>
          <w:i/>
          <w:sz w:val="16"/>
        </w:rPr>
        <w:t>2. Cada protocolo debe fijar las modalidades de su entrada en vigor, y se aplicará sólo entre los Estados Partes en el mismo.”</w:t>
      </w:r>
    </w:p>
    <w:p w14:paraId="2B2F168F" w14:textId="77777777" w:rsidR="00467FCA" w:rsidRDefault="001B68EB">
      <w:pPr>
        <w:spacing w:line="242" w:lineRule="auto"/>
        <w:ind w:left="470" w:right="409"/>
        <w:rPr>
          <w:sz w:val="16"/>
        </w:rPr>
      </w:pPr>
      <w:bookmarkStart w:id="697" w:name="_bookmark618"/>
      <w:bookmarkEnd w:id="697"/>
      <w:r>
        <w:rPr>
          <w:position w:val="6"/>
          <w:sz w:val="10"/>
        </w:rPr>
        <w:t xml:space="preserve">70 </w:t>
      </w:r>
      <w:r>
        <w:rPr>
          <w:i/>
          <w:sz w:val="16"/>
        </w:rPr>
        <w:t xml:space="preserve">Cfr. </w:t>
      </w:r>
      <w:r>
        <w:rPr>
          <w:sz w:val="16"/>
        </w:rPr>
        <w:t>Actas de la Conferencia Especializada Interamericana sobre Derechos Humanos, 7 a 22 de noviembre de 1969, OEA/Ser.K/XVI/1</w:t>
      </w:r>
      <w:r>
        <w:rPr>
          <w:sz w:val="16"/>
        </w:rPr>
        <w:t>.2, p.</w:t>
      </w:r>
      <w:r>
        <w:rPr>
          <w:spacing w:val="-7"/>
          <w:sz w:val="16"/>
        </w:rPr>
        <w:t xml:space="preserve"> </w:t>
      </w:r>
      <w:r>
        <w:rPr>
          <w:sz w:val="16"/>
        </w:rPr>
        <w:t>318.</w:t>
      </w:r>
    </w:p>
    <w:p w14:paraId="48812A4A" w14:textId="77777777" w:rsidR="00467FCA" w:rsidRDefault="001B68EB">
      <w:pPr>
        <w:ind w:left="470" w:right="409"/>
        <w:rPr>
          <w:sz w:val="16"/>
        </w:rPr>
      </w:pPr>
      <w:bookmarkStart w:id="698" w:name="_bookmark619"/>
      <w:bookmarkEnd w:id="698"/>
      <w:r>
        <w:rPr>
          <w:position w:val="6"/>
          <w:sz w:val="10"/>
        </w:rPr>
        <w:t xml:space="preserve">71 </w:t>
      </w:r>
      <w:r>
        <w:rPr>
          <w:i/>
          <w:sz w:val="16"/>
        </w:rPr>
        <w:t xml:space="preserve">Cfr. </w:t>
      </w:r>
      <w:r>
        <w:rPr>
          <w:sz w:val="16"/>
        </w:rPr>
        <w:t>Actas de la Conferencia Especializada Interamericana sobre Derechos Humanos, 7 a 22 de noviembre de 1969, OEA/Ser.K/XVI/1.2, p.</w:t>
      </w:r>
      <w:r>
        <w:rPr>
          <w:spacing w:val="-7"/>
          <w:sz w:val="16"/>
        </w:rPr>
        <w:t xml:space="preserve"> </w:t>
      </w:r>
      <w:r>
        <w:rPr>
          <w:sz w:val="16"/>
        </w:rPr>
        <w:t>448.</w:t>
      </w:r>
    </w:p>
    <w:p w14:paraId="1E403785" w14:textId="77777777" w:rsidR="00467FCA" w:rsidRDefault="00467FCA">
      <w:pPr>
        <w:rPr>
          <w:sz w:val="16"/>
        </w:rPr>
        <w:sectPr w:rsidR="00467FCA">
          <w:pgSz w:w="12240" w:h="15840"/>
          <w:pgMar w:top="1340" w:right="1140" w:bottom="1200" w:left="960" w:header="0" w:footer="1002" w:gutter="0"/>
          <w:cols w:space="720"/>
        </w:sectPr>
      </w:pPr>
    </w:p>
    <w:p w14:paraId="209EAC9B" w14:textId="77777777" w:rsidR="00467FCA" w:rsidRDefault="001B68EB">
      <w:pPr>
        <w:pStyle w:val="Textoindependiente"/>
        <w:spacing w:before="76" w:line="276" w:lineRule="auto"/>
        <w:ind w:left="470" w:right="397"/>
        <w:jc w:val="both"/>
      </w:pPr>
      <w:r>
        <w:t>órganos</w:t>
      </w:r>
      <w:r>
        <w:rPr>
          <w:spacing w:val="-16"/>
        </w:rPr>
        <w:t xml:space="preserve"> </w:t>
      </w:r>
      <w:r>
        <w:t>de</w:t>
      </w:r>
      <w:r>
        <w:rPr>
          <w:spacing w:val="-14"/>
        </w:rPr>
        <w:t xml:space="preserve"> </w:t>
      </w:r>
      <w:r>
        <w:t>la</w:t>
      </w:r>
      <w:r>
        <w:rPr>
          <w:spacing w:val="-13"/>
        </w:rPr>
        <w:t xml:space="preserve"> </w:t>
      </w:r>
      <w:r>
        <w:t>OEA</w:t>
      </w:r>
      <w:r>
        <w:rPr>
          <w:spacing w:val="-12"/>
        </w:rPr>
        <w:t xml:space="preserve"> </w:t>
      </w:r>
      <w:r>
        <w:t>el</w:t>
      </w:r>
      <w:r>
        <w:rPr>
          <w:spacing w:val="-12"/>
        </w:rPr>
        <w:t xml:space="preserve"> </w:t>
      </w:r>
      <w:r>
        <w:t>cumplimiento</w:t>
      </w:r>
      <w:r>
        <w:rPr>
          <w:spacing w:val="-15"/>
        </w:rPr>
        <w:t xml:space="preserve"> </w:t>
      </w:r>
      <w:r>
        <w:t>de</w:t>
      </w:r>
      <w:r>
        <w:rPr>
          <w:spacing w:val="-16"/>
        </w:rPr>
        <w:t xml:space="preserve"> </w:t>
      </w:r>
      <w:r>
        <w:t>las</w:t>
      </w:r>
      <w:r>
        <w:rPr>
          <w:spacing w:val="-13"/>
        </w:rPr>
        <w:t xml:space="preserve"> </w:t>
      </w:r>
      <w:r>
        <w:t>obligaciones</w:t>
      </w:r>
      <w:r>
        <w:rPr>
          <w:spacing w:val="-13"/>
        </w:rPr>
        <w:t xml:space="preserve"> </w:t>
      </w:r>
      <w:r>
        <w:t>referidas</w:t>
      </w:r>
      <w:r>
        <w:rPr>
          <w:spacing w:val="-13"/>
        </w:rPr>
        <w:t xml:space="preserve"> </w:t>
      </w:r>
      <w:r>
        <w:t>a</w:t>
      </w:r>
      <w:r>
        <w:rPr>
          <w:spacing w:val="-12"/>
        </w:rPr>
        <w:t xml:space="preserve"> </w:t>
      </w:r>
      <w:r>
        <w:t>esos</w:t>
      </w:r>
      <w:r>
        <w:rPr>
          <w:spacing w:val="-15"/>
        </w:rPr>
        <w:t xml:space="preserve"> </w:t>
      </w:r>
      <w:r>
        <w:t>derechos,</w:t>
      </w:r>
      <w:r>
        <w:rPr>
          <w:spacing w:val="-13"/>
        </w:rPr>
        <w:t xml:space="preserve"> </w:t>
      </w:r>
      <w:r>
        <w:t>por</w:t>
      </w:r>
      <w:r>
        <w:rPr>
          <w:spacing w:val="-14"/>
        </w:rPr>
        <w:t xml:space="preserve"> </w:t>
      </w:r>
      <w:r>
        <w:t>estimar que dicho cumplimiento era la base para la realización de los derechos civiles y políticos. Y, como se indicó, esa propuesta no fue acogida. Ello confirma, por lo tanto, que los Estados Partes</w:t>
      </w:r>
      <w:r>
        <w:rPr>
          <w:spacing w:val="-11"/>
        </w:rPr>
        <w:t xml:space="preserve"> </w:t>
      </w:r>
      <w:r>
        <w:t>de</w:t>
      </w:r>
      <w:r>
        <w:rPr>
          <w:spacing w:val="-10"/>
        </w:rPr>
        <w:t xml:space="preserve"> </w:t>
      </w:r>
      <w:r>
        <w:t>la</w:t>
      </w:r>
      <w:r>
        <w:rPr>
          <w:spacing w:val="-10"/>
        </w:rPr>
        <w:t xml:space="preserve"> </w:t>
      </w:r>
      <w:r>
        <w:t>Convención</w:t>
      </w:r>
      <w:r>
        <w:rPr>
          <w:spacing w:val="-9"/>
        </w:rPr>
        <w:t xml:space="preserve"> </w:t>
      </w:r>
      <w:r>
        <w:t>no</w:t>
      </w:r>
      <w:r>
        <w:rPr>
          <w:spacing w:val="-13"/>
        </w:rPr>
        <w:t xml:space="preserve"> </w:t>
      </w:r>
      <w:r>
        <w:t>tuvieron</w:t>
      </w:r>
      <w:r>
        <w:rPr>
          <w:spacing w:val="-11"/>
        </w:rPr>
        <w:t xml:space="preserve"> </w:t>
      </w:r>
      <w:r>
        <w:t>la</w:t>
      </w:r>
      <w:r>
        <w:rPr>
          <w:spacing w:val="-10"/>
        </w:rPr>
        <w:t xml:space="preserve"> </w:t>
      </w:r>
      <w:r>
        <w:t>voluntad</w:t>
      </w:r>
      <w:r>
        <w:rPr>
          <w:spacing w:val="-9"/>
        </w:rPr>
        <w:t xml:space="preserve"> </w:t>
      </w:r>
      <w:r>
        <w:t>alguna</w:t>
      </w:r>
      <w:r>
        <w:rPr>
          <w:spacing w:val="-12"/>
        </w:rPr>
        <w:t xml:space="preserve"> </w:t>
      </w:r>
      <w:r>
        <w:t>de</w:t>
      </w:r>
      <w:r>
        <w:rPr>
          <w:spacing w:val="-13"/>
        </w:rPr>
        <w:t xml:space="preserve"> </w:t>
      </w:r>
      <w:r>
        <w:t>incl</w:t>
      </w:r>
      <w:r>
        <w:t>uir</w:t>
      </w:r>
      <w:r>
        <w:rPr>
          <w:spacing w:val="-14"/>
        </w:rPr>
        <w:t xml:space="preserve"> </w:t>
      </w:r>
      <w:r>
        <w:t>a</w:t>
      </w:r>
      <w:r>
        <w:rPr>
          <w:spacing w:val="-9"/>
        </w:rPr>
        <w:t xml:space="preserve"> </w:t>
      </w:r>
      <w:r>
        <w:t>los</w:t>
      </w:r>
      <w:r>
        <w:rPr>
          <w:spacing w:val="-11"/>
        </w:rPr>
        <w:t xml:space="preserve"> </w:t>
      </w:r>
      <w:r>
        <w:t>derechos</w:t>
      </w:r>
      <w:r>
        <w:rPr>
          <w:spacing w:val="-10"/>
        </w:rPr>
        <w:t xml:space="preserve"> </w:t>
      </w:r>
      <w:r>
        <w:t>económicos, sociales</w:t>
      </w:r>
      <w:r>
        <w:rPr>
          <w:spacing w:val="-15"/>
        </w:rPr>
        <w:t xml:space="preserve"> </w:t>
      </w:r>
      <w:r>
        <w:t>y</w:t>
      </w:r>
      <w:r>
        <w:rPr>
          <w:spacing w:val="-16"/>
        </w:rPr>
        <w:t xml:space="preserve"> </w:t>
      </w:r>
      <w:r>
        <w:t>culturales</w:t>
      </w:r>
      <w:r>
        <w:rPr>
          <w:spacing w:val="-17"/>
        </w:rPr>
        <w:t xml:space="preserve"> </w:t>
      </w:r>
      <w:r>
        <w:t>en</w:t>
      </w:r>
      <w:r>
        <w:rPr>
          <w:spacing w:val="-13"/>
        </w:rPr>
        <w:t xml:space="preserve"> </w:t>
      </w:r>
      <w:r>
        <w:t>el</w:t>
      </w:r>
      <w:r>
        <w:rPr>
          <w:spacing w:val="-16"/>
        </w:rPr>
        <w:t xml:space="preserve"> </w:t>
      </w:r>
      <w:r>
        <w:t>régimen</w:t>
      </w:r>
      <w:r>
        <w:rPr>
          <w:spacing w:val="-15"/>
        </w:rPr>
        <w:t xml:space="preserve"> </w:t>
      </w:r>
      <w:r>
        <w:t>de</w:t>
      </w:r>
      <w:r>
        <w:rPr>
          <w:spacing w:val="-17"/>
        </w:rPr>
        <w:t xml:space="preserve"> </w:t>
      </w:r>
      <w:r>
        <w:t>protección</w:t>
      </w:r>
      <w:r>
        <w:rPr>
          <w:spacing w:val="-13"/>
        </w:rPr>
        <w:t xml:space="preserve"> </w:t>
      </w:r>
      <w:r>
        <w:t>que</w:t>
      </w:r>
      <w:r>
        <w:rPr>
          <w:spacing w:val="-18"/>
        </w:rPr>
        <w:t xml:space="preserve"> </w:t>
      </w:r>
      <w:r>
        <w:t>establece,</w:t>
      </w:r>
      <w:r>
        <w:rPr>
          <w:spacing w:val="-14"/>
        </w:rPr>
        <w:t xml:space="preserve"> </w:t>
      </w:r>
      <w:r>
        <w:t>en</w:t>
      </w:r>
      <w:r>
        <w:rPr>
          <w:spacing w:val="-15"/>
        </w:rPr>
        <w:t xml:space="preserve"> </w:t>
      </w:r>
      <w:r>
        <w:t>cambio,</w:t>
      </w:r>
      <w:r>
        <w:rPr>
          <w:spacing w:val="-17"/>
        </w:rPr>
        <w:t xml:space="preserve"> </w:t>
      </w:r>
      <w:r>
        <w:t>para</w:t>
      </w:r>
      <w:r>
        <w:rPr>
          <w:spacing w:val="-16"/>
        </w:rPr>
        <w:t xml:space="preserve"> </w:t>
      </w:r>
      <w:r>
        <w:t>los</w:t>
      </w:r>
      <w:r>
        <w:rPr>
          <w:spacing w:val="-17"/>
        </w:rPr>
        <w:t xml:space="preserve"> </w:t>
      </w:r>
      <w:r>
        <w:t>derechos civiles y</w:t>
      </w:r>
      <w:r>
        <w:rPr>
          <w:spacing w:val="-1"/>
        </w:rPr>
        <w:t xml:space="preserve"> </w:t>
      </w:r>
      <w:r>
        <w:t>políticos</w:t>
      </w:r>
      <w:hyperlink w:anchor="_bookmark620" w:history="1">
        <w:r>
          <w:rPr>
            <w:position w:val="7"/>
            <w:sz w:val="13"/>
          </w:rPr>
          <w:t>72</w:t>
        </w:r>
      </w:hyperlink>
      <w:r>
        <w:t>.</w:t>
      </w:r>
    </w:p>
    <w:p w14:paraId="02506E22" w14:textId="77777777" w:rsidR="00467FCA" w:rsidRDefault="00467FCA">
      <w:pPr>
        <w:pStyle w:val="Textoindependiente"/>
        <w:spacing w:before="2"/>
        <w:rPr>
          <w:sz w:val="23"/>
        </w:rPr>
      </w:pPr>
    </w:p>
    <w:p w14:paraId="629DCE30" w14:textId="77777777" w:rsidR="00467FCA" w:rsidRDefault="001B68EB">
      <w:pPr>
        <w:pStyle w:val="Ttulo1"/>
        <w:numPr>
          <w:ilvl w:val="0"/>
          <w:numId w:val="24"/>
        </w:numPr>
        <w:tabs>
          <w:tab w:val="left" w:pos="809"/>
        </w:tabs>
        <w:ind w:left="808" w:hanging="339"/>
        <w:jc w:val="both"/>
      </w:pPr>
      <w:r>
        <w:t>La Carta de la</w:t>
      </w:r>
      <w:r>
        <w:rPr>
          <w:spacing w:val="-4"/>
        </w:rPr>
        <w:t xml:space="preserve"> </w:t>
      </w:r>
      <w:r>
        <w:t>OEA.</w:t>
      </w:r>
    </w:p>
    <w:p w14:paraId="5AFBFE5A" w14:textId="77777777" w:rsidR="00467FCA" w:rsidRDefault="00467FCA">
      <w:pPr>
        <w:pStyle w:val="Textoindependiente"/>
        <w:rPr>
          <w:b/>
          <w:sz w:val="26"/>
        </w:rPr>
      </w:pPr>
    </w:p>
    <w:p w14:paraId="1059974B" w14:textId="77777777" w:rsidR="00467FCA" w:rsidRDefault="001B68EB">
      <w:pPr>
        <w:pStyle w:val="Prrafodelista"/>
        <w:numPr>
          <w:ilvl w:val="0"/>
          <w:numId w:val="17"/>
        </w:numPr>
        <w:tabs>
          <w:tab w:val="left" w:pos="1450"/>
        </w:tabs>
        <w:spacing w:line="276" w:lineRule="auto"/>
        <w:ind w:right="396" w:hanging="1"/>
        <w:jc w:val="both"/>
        <w:rPr>
          <w:sz w:val="20"/>
        </w:rPr>
      </w:pPr>
      <w:r>
        <w:rPr>
          <w:sz w:val="20"/>
        </w:rPr>
        <w:t>Pues</w:t>
      </w:r>
      <w:r>
        <w:rPr>
          <w:spacing w:val="-19"/>
          <w:sz w:val="20"/>
        </w:rPr>
        <w:t xml:space="preserve"> </w:t>
      </w:r>
      <w:r>
        <w:rPr>
          <w:sz w:val="20"/>
        </w:rPr>
        <w:t>bien,</w:t>
      </w:r>
      <w:r>
        <w:rPr>
          <w:spacing w:val="-18"/>
          <w:sz w:val="20"/>
        </w:rPr>
        <w:t xml:space="preserve"> </w:t>
      </w:r>
      <w:r>
        <w:rPr>
          <w:sz w:val="20"/>
        </w:rPr>
        <w:t>atendido</w:t>
      </w:r>
      <w:r>
        <w:rPr>
          <w:spacing w:val="-18"/>
          <w:sz w:val="20"/>
        </w:rPr>
        <w:t xml:space="preserve"> </w:t>
      </w:r>
      <w:r>
        <w:rPr>
          <w:sz w:val="20"/>
        </w:rPr>
        <w:t>el</w:t>
      </w:r>
      <w:r>
        <w:rPr>
          <w:spacing w:val="-19"/>
          <w:sz w:val="20"/>
        </w:rPr>
        <w:t xml:space="preserve"> </w:t>
      </w:r>
      <w:r>
        <w:rPr>
          <w:sz w:val="20"/>
        </w:rPr>
        <w:t>hecho</w:t>
      </w:r>
      <w:r>
        <w:rPr>
          <w:spacing w:val="-18"/>
          <w:sz w:val="20"/>
        </w:rPr>
        <w:t xml:space="preserve"> </w:t>
      </w:r>
      <w:r>
        <w:rPr>
          <w:sz w:val="20"/>
        </w:rPr>
        <w:t>de</w:t>
      </w:r>
      <w:r>
        <w:rPr>
          <w:spacing w:val="-19"/>
          <w:sz w:val="20"/>
        </w:rPr>
        <w:t xml:space="preserve"> </w:t>
      </w:r>
      <w:r>
        <w:rPr>
          <w:sz w:val="20"/>
        </w:rPr>
        <w:t>que</w:t>
      </w:r>
      <w:r>
        <w:rPr>
          <w:spacing w:val="-19"/>
          <w:sz w:val="20"/>
        </w:rPr>
        <w:t xml:space="preserve"> </w:t>
      </w:r>
      <w:r>
        <w:rPr>
          <w:sz w:val="20"/>
        </w:rPr>
        <w:t>el</w:t>
      </w:r>
      <w:r>
        <w:rPr>
          <w:spacing w:val="-17"/>
          <w:sz w:val="20"/>
        </w:rPr>
        <w:t xml:space="preserve"> </w:t>
      </w:r>
      <w:r>
        <w:rPr>
          <w:sz w:val="20"/>
        </w:rPr>
        <w:t>artículo</w:t>
      </w:r>
      <w:r>
        <w:rPr>
          <w:spacing w:val="-21"/>
          <w:sz w:val="20"/>
        </w:rPr>
        <w:t xml:space="preserve"> </w:t>
      </w:r>
      <w:r>
        <w:rPr>
          <w:sz w:val="20"/>
        </w:rPr>
        <w:t>26</w:t>
      </w:r>
      <w:r>
        <w:rPr>
          <w:spacing w:val="-19"/>
          <w:sz w:val="20"/>
        </w:rPr>
        <w:t xml:space="preserve"> </w:t>
      </w:r>
      <w:r>
        <w:rPr>
          <w:sz w:val="20"/>
        </w:rPr>
        <w:t>remite</w:t>
      </w:r>
      <w:r>
        <w:rPr>
          <w:spacing w:val="-19"/>
          <w:sz w:val="20"/>
        </w:rPr>
        <w:t xml:space="preserve"> </w:t>
      </w:r>
      <w:r>
        <w:rPr>
          <w:sz w:val="20"/>
        </w:rPr>
        <w:t>a</w:t>
      </w:r>
      <w:r>
        <w:rPr>
          <w:spacing w:val="-20"/>
          <w:sz w:val="20"/>
        </w:rPr>
        <w:t xml:space="preserve"> </w:t>
      </w:r>
      <w:r>
        <w:rPr>
          <w:i/>
          <w:sz w:val="20"/>
        </w:rPr>
        <w:t>“las</w:t>
      </w:r>
      <w:r>
        <w:rPr>
          <w:i/>
          <w:spacing w:val="-21"/>
          <w:sz w:val="20"/>
        </w:rPr>
        <w:t xml:space="preserve"> </w:t>
      </w:r>
      <w:r>
        <w:rPr>
          <w:i/>
          <w:sz w:val="20"/>
        </w:rPr>
        <w:t>normas</w:t>
      </w:r>
      <w:r>
        <w:rPr>
          <w:i/>
          <w:spacing w:val="-18"/>
          <w:sz w:val="20"/>
        </w:rPr>
        <w:t xml:space="preserve"> </w:t>
      </w:r>
      <w:r>
        <w:rPr>
          <w:i/>
          <w:sz w:val="20"/>
        </w:rPr>
        <w:t>económicas, sociales y sobre educación, ciencia y cultura, contenidas en la Carta de la Organización de los</w:t>
      </w:r>
      <w:r>
        <w:rPr>
          <w:i/>
          <w:spacing w:val="-8"/>
          <w:sz w:val="20"/>
        </w:rPr>
        <w:t xml:space="preserve"> </w:t>
      </w:r>
      <w:r>
        <w:rPr>
          <w:i/>
          <w:sz w:val="20"/>
        </w:rPr>
        <w:t>Estados</w:t>
      </w:r>
      <w:r>
        <w:rPr>
          <w:i/>
          <w:spacing w:val="-7"/>
          <w:sz w:val="20"/>
        </w:rPr>
        <w:t xml:space="preserve"> </w:t>
      </w:r>
      <w:r>
        <w:rPr>
          <w:i/>
          <w:sz w:val="20"/>
        </w:rPr>
        <w:t>Americanos,</w:t>
      </w:r>
      <w:r>
        <w:rPr>
          <w:i/>
          <w:spacing w:val="-7"/>
          <w:sz w:val="20"/>
        </w:rPr>
        <w:t xml:space="preserve"> </w:t>
      </w:r>
      <w:r>
        <w:rPr>
          <w:i/>
          <w:sz w:val="20"/>
        </w:rPr>
        <w:t>reformada</w:t>
      </w:r>
      <w:r>
        <w:rPr>
          <w:i/>
          <w:spacing w:val="-6"/>
          <w:sz w:val="20"/>
        </w:rPr>
        <w:t xml:space="preserve"> </w:t>
      </w:r>
      <w:r>
        <w:rPr>
          <w:i/>
          <w:sz w:val="20"/>
        </w:rPr>
        <w:t>por</w:t>
      </w:r>
      <w:r>
        <w:rPr>
          <w:i/>
          <w:spacing w:val="-5"/>
          <w:sz w:val="20"/>
        </w:rPr>
        <w:t xml:space="preserve"> </w:t>
      </w:r>
      <w:r>
        <w:rPr>
          <w:i/>
          <w:sz w:val="20"/>
        </w:rPr>
        <w:t>el</w:t>
      </w:r>
      <w:r>
        <w:rPr>
          <w:i/>
          <w:spacing w:val="-8"/>
          <w:sz w:val="20"/>
        </w:rPr>
        <w:t xml:space="preserve"> </w:t>
      </w:r>
      <w:r>
        <w:rPr>
          <w:i/>
          <w:sz w:val="20"/>
        </w:rPr>
        <w:t>Protocolo</w:t>
      </w:r>
      <w:r>
        <w:rPr>
          <w:i/>
          <w:spacing w:val="-8"/>
          <w:sz w:val="20"/>
        </w:rPr>
        <w:t xml:space="preserve"> </w:t>
      </w:r>
      <w:r>
        <w:rPr>
          <w:i/>
          <w:sz w:val="20"/>
        </w:rPr>
        <w:t>de</w:t>
      </w:r>
      <w:r>
        <w:rPr>
          <w:i/>
          <w:spacing w:val="-8"/>
          <w:sz w:val="20"/>
        </w:rPr>
        <w:t xml:space="preserve"> </w:t>
      </w:r>
      <w:r>
        <w:rPr>
          <w:i/>
          <w:sz w:val="20"/>
        </w:rPr>
        <w:t>Buenos</w:t>
      </w:r>
      <w:r>
        <w:rPr>
          <w:i/>
          <w:spacing w:val="-7"/>
          <w:sz w:val="20"/>
        </w:rPr>
        <w:t xml:space="preserve"> </w:t>
      </w:r>
      <w:r>
        <w:rPr>
          <w:i/>
          <w:sz w:val="20"/>
        </w:rPr>
        <w:t>Aires</w:t>
      </w:r>
      <w:r>
        <w:rPr>
          <w:sz w:val="20"/>
        </w:rPr>
        <w:t>”,</w:t>
      </w:r>
      <w:r>
        <w:rPr>
          <w:spacing w:val="-7"/>
          <w:sz w:val="20"/>
        </w:rPr>
        <w:t xml:space="preserve"> </w:t>
      </w:r>
      <w:r>
        <w:rPr>
          <w:sz w:val="20"/>
        </w:rPr>
        <w:t>resulta</w:t>
      </w:r>
      <w:r>
        <w:rPr>
          <w:spacing w:val="-9"/>
          <w:sz w:val="20"/>
        </w:rPr>
        <w:t xml:space="preserve"> </w:t>
      </w:r>
      <w:r>
        <w:rPr>
          <w:sz w:val="20"/>
        </w:rPr>
        <w:t>indispensable, para</w:t>
      </w:r>
      <w:r>
        <w:rPr>
          <w:spacing w:val="-18"/>
          <w:sz w:val="20"/>
        </w:rPr>
        <w:t xml:space="preserve"> </w:t>
      </w:r>
      <w:r>
        <w:rPr>
          <w:sz w:val="20"/>
        </w:rPr>
        <w:t>conocer</w:t>
      </w:r>
      <w:r>
        <w:rPr>
          <w:spacing w:val="-19"/>
          <w:sz w:val="20"/>
        </w:rPr>
        <w:t xml:space="preserve"> </w:t>
      </w:r>
      <w:r>
        <w:rPr>
          <w:sz w:val="20"/>
        </w:rPr>
        <w:t>el</w:t>
      </w:r>
      <w:r>
        <w:rPr>
          <w:spacing w:val="-17"/>
          <w:sz w:val="20"/>
        </w:rPr>
        <w:t xml:space="preserve"> </w:t>
      </w:r>
      <w:r>
        <w:rPr>
          <w:sz w:val="20"/>
        </w:rPr>
        <w:t>alcance</w:t>
      </w:r>
      <w:r>
        <w:rPr>
          <w:spacing w:val="-16"/>
          <w:sz w:val="20"/>
        </w:rPr>
        <w:t xml:space="preserve"> </w:t>
      </w:r>
      <w:r>
        <w:rPr>
          <w:sz w:val="20"/>
        </w:rPr>
        <w:t>de</w:t>
      </w:r>
      <w:r>
        <w:rPr>
          <w:spacing w:val="-19"/>
          <w:sz w:val="20"/>
        </w:rPr>
        <w:t xml:space="preserve"> </w:t>
      </w:r>
      <w:r>
        <w:rPr>
          <w:sz w:val="20"/>
        </w:rPr>
        <w:t>aquél,</w:t>
      </w:r>
      <w:r>
        <w:rPr>
          <w:spacing w:val="-16"/>
          <w:sz w:val="20"/>
        </w:rPr>
        <w:t xml:space="preserve"> </w:t>
      </w:r>
      <w:r>
        <w:rPr>
          <w:sz w:val="20"/>
        </w:rPr>
        <w:t>referirse</w:t>
      </w:r>
      <w:r>
        <w:rPr>
          <w:spacing w:val="-19"/>
          <w:sz w:val="20"/>
        </w:rPr>
        <w:t xml:space="preserve"> </w:t>
      </w:r>
      <w:r>
        <w:rPr>
          <w:sz w:val="20"/>
        </w:rPr>
        <w:t>asimismo</w:t>
      </w:r>
      <w:r>
        <w:rPr>
          <w:spacing w:val="-19"/>
          <w:sz w:val="20"/>
        </w:rPr>
        <w:t xml:space="preserve"> </w:t>
      </w:r>
      <w:r>
        <w:rPr>
          <w:sz w:val="20"/>
        </w:rPr>
        <w:t>al</w:t>
      </w:r>
      <w:r>
        <w:rPr>
          <w:spacing w:val="-17"/>
          <w:sz w:val="20"/>
        </w:rPr>
        <w:t xml:space="preserve"> </w:t>
      </w:r>
      <w:r>
        <w:rPr>
          <w:sz w:val="20"/>
        </w:rPr>
        <w:t>contenido</w:t>
      </w:r>
      <w:r>
        <w:rPr>
          <w:spacing w:val="-19"/>
          <w:sz w:val="20"/>
        </w:rPr>
        <w:t xml:space="preserve"> </w:t>
      </w:r>
      <w:r>
        <w:rPr>
          <w:sz w:val="20"/>
        </w:rPr>
        <w:t>de</w:t>
      </w:r>
      <w:r>
        <w:rPr>
          <w:spacing w:val="-19"/>
          <w:sz w:val="20"/>
        </w:rPr>
        <w:t xml:space="preserve"> </w:t>
      </w:r>
      <w:r>
        <w:rPr>
          <w:sz w:val="20"/>
        </w:rPr>
        <w:t>las</w:t>
      </w:r>
      <w:r>
        <w:rPr>
          <w:spacing w:val="-16"/>
          <w:sz w:val="20"/>
        </w:rPr>
        <w:t xml:space="preserve"> </w:t>
      </w:r>
      <w:r>
        <w:rPr>
          <w:sz w:val="20"/>
        </w:rPr>
        <w:t>mencionadas</w:t>
      </w:r>
      <w:r>
        <w:rPr>
          <w:spacing w:val="-18"/>
          <w:sz w:val="20"/>
        </w:rPr>
        <w:t xml:space="preserve"> </w:t>
      </w:r>
      <w:r>
        <w:rPr>
          <w:sz w:val="20"/>
        </w:rPr>
        <w:t>normas y, en particular, a las citadas en la</w:t>
      </w:r>
      <w:r>
        <w:rPr>
          <w:spacing w:val="-5"/>
          <w:sz w:val="20"/>
        </w:rPr>
        <w:t xml:space="preserve"> </w:t>
      </w:r>
      <w:r>
        <w:rPr>
          <w:sz w:val="20"/>
        </w:rPr>
        <w:t>Sentencia.</w:t>
      </w:r>
    </w:p>
    <w:p w14:paraId="580DCE7E" w14:textId="77777777" w:rsidR="00467FCA" w:rsidRDefault="00467FCA">
      <w:pPr>
        <w:pStyle w:val="Textoindependiente"/>
        <w:spacing w:before="11"/>
        <w:rPr>
          <w:sz w:val="22"/>
        </w:rPr>
      </w:pPr>
    </w:p>
    <w:p w14:paraId="24B7A519" w14:textId="77777777" w:rsidR="00467FCA" w:rsidRDefault="001B68EB">
      <w:pPr>
        <w:pStyle w:val="Prrafodelista"/>
        <w:numPr>
          <w:ilvl w:val="0"/>
          <w:numId w:val="17"/>
        </w:numPr>
        <w:tabs>
          <w:tab w:val="left" w:pos="1450"/>
        </w:tabs>
        <w:spacing w:line="276" w:lineRule="auto"/>
        <w:ind w:right="396" w:firstLine="0"/>
        <w:jc w:val="both"/>
        <w:rPr>
          <w:sz w:val="20"/>
        </w:rPr>
      </w:pPr>
      <w:r>
        <w:rPr>
          <w:sz w:val="20"/>
        </w:rPr>
        <w:t>Con</w:t>
      </w:r>
      <w:r>
        <w:rPr>
          <w:spacing w:val="-8"/>
          <w:sz w:val="20"/>
        </w:rPr>
        <w:t xml:space="preserve"> </w:t>
      </w:r>
      <w:r>
        <w:rPr>
          <w:sz w:val="20"/>
        </w:rPr>
        <w:t>relación</w:t>
      </w:r>
      <w:r>
        <w:rPr>
          <w:spacing w:val="-8"/>
          <w:sz w:val="20"/>
        </w:rPr>
        <w:t xml:space="preserve"> </w:t>
      </w:r>
      <w:r>
        <w:rPr>
          <w:sz w:val="20"/>
        </w:rPr>
        <w:t>al</w:t>
      </w:r>
      <w:r>
        <w:rPr>
          <w:spacing w:val="-8"/>
          <w:sz w:val="20"/>
        </w:rPr>
        <w:t xml:space="preserve"> </w:t>
      </w:r>
      <w:r>
        <w:rPr>
          <w:sz w:val="20"/>
        </w:rPr>
        <w:t>derecho</w:t>
      </w:r>
      <w:r>
        <w:rPr>
          <w:spacing w:val="-8"/>
          <w:sz w:val="20"/>
        </w:rPr>
        <w:t xml:space="preserve"> </w:t>
      </w:r>
      <w:r>
        <w:rPr>
          <w:sz w:val="20"/>
        </w:rPr>
        <w:t>a</w:t>
      </w:r>
      <w:r>
        <w:rPr>
          <w:spacing w:val="-9"/>
          <w:sz w:val="20"/>
        </w:rPr>
        <w:t xml:space="preserve"> </w:t>
      </w:r>
      <w:r>
        <w:rPr>
          <w:sz w:val="20"/>
        </w:rPr>
        <w:t>condiciones</w:t>
      </w:r>
      <w:r>
        <w:rPr>
          <w:spacing w:val="-6"/>
          <w:sz w:val="20"/>
        </w:rPr>
        <w:t xml:space="preserve"> </w:t>
      </w:r>
      <w:r>
        <w:rPr>
          <w:sz w:val="20"/>
        </w:rPr>
        <w:t>equitativas</w:t>
      </w:r>
      <w:r>
        <w:rPr>
          <w:spacing w:val="-10"/>
          <w:sz w:val="20"/>
        </w:rPr>
        <w:t xml:space="preserve"> </w:t>
      </w:r>
      <w:r>
        <w:rPr>
          <w:sz w:val="20"/>
        </w:rPr>
        <w:t>y</w:t>
      </w:r>
      <w:r>
        <w:rPr>
          <w:spacing w:val="-9"/>
          <w:sz w:val="20"/>
        </w:rPr>
        <w:t xml:space="preserve"> </w:t>
      </w:r>
      <w:r>
        <w:rPr>
          <w:sz w:val="20"/>
        </w:rPr>
        <w:t>satisfactorias</w:t>
      </w:r>
      <w:r>
        <w:rPr>
          <w:spacing w:val="-10"/>
          <w:sz w:val="20"/>
        </w:rPr>
        <w:t xml:space="preserve"> </w:t>
      </w:r>
      <w:r>
        <w:rPr>
          <w:sz w:val="20"/>
        </w:rPr>
        <w:t>que</w:t>
      </w:r>
      <w:r>
        <w:rPr>
          <w:spacing w:val="-9"/>
          <w:sz w:val="20"/>
        </w:rPr>
        <w:t xml:space="preserve"> </w:t>
      </w:r>
      <w:r>
        <w:rPr>
          <w:sz w:val="20"/>
        </w:rPr>
        <w:t>garanticen</w:t>
      </w:r>
      <w:r>
        <w:rPr>
          <w:spacing w:val="-8"/>
          <w:sz w:val="20"/>
        </w:rPr>
        <w:t xml:space="preserve"> </w:t>
      </w:r>
      <w:r>
        <w:rPr>
          <w:sz w:val="20"/>
        </w:rPr>
        <w:t>la seguridad, la salud y la higiene en el trabajo, la Sente</w:t>
      </w:r>
      <w:r>
        <w:rPr>
          <w:sz w:val="20"/>
        </w:rPr>
        <w:t xml:space="preserve">ncia evoca a los artículos 45.b y </w:t>
      </w:r>
      <w:r>
        <w:rPr>
          <w:spacing w:val="2"/>
          <w:sz w:val="20"/>
        </w:rPr>
        <w:t>c</w:t>
      </w:r>
      <w:hyperlink w:anchor="_bookmark621" w:history="1">
        <w:r>
          <w:rPr>
            <w:spacing w:val="2"/>
            <w:position w:val="7"/>
            <w:sz w:val="13"/>
          </w:rPr>
          <w:t>73</w:t>
        </w:r>
      </w:hyperlink>
      <w:r>
        <w:rPr>
          <w:spacing w:val="2"/>
          <w:sz w:val="20"/>
        </w:rPr>
        <w:t>, 46</w:t>
      </w:r>
      <w:hyperlink w:anchor="_bookmark622" w:history="1">
        <w:r>
          <w:rPr>
            <w:spacing w:val="2"/>
            <w:position w:val="7"/>
            <w:sz w:val="13"/>
          </w:rPr>
          <w:t>74</w:t>
        </w:r>
      </w:hyperlink>
      <w:r>
        <w:rPr>
          <w:spacing w:val="2"/>
          <w:position w:val="7"/>
          <w:sz w:val="13"/>
        </w:rPr>
        <w:t xml:space="preserve"> </w:t>
      </w:r>
      <w:r>
        <w:rPr>
          <w:sz w:val="20"/>
        </w:rPr>
        <w:t xml:space="preserve">y </w:t>
      </w:r>
      <w:r>
        <w:rPr>
          <w:spacing w:val="2"/>
          <w:sz w:val="20"/>
        </w:rPr>
        <w:t>34.g</w:t>
      </w:r>
      <w:hyperlink w:anchor="_bookmark623" w:history="1">
        <w:r>
          <w:rPr>
            <w:spacing w:val="2"/>
            <w:position w:val="7"/>
            <w:sz w:val="13"/>
          </w:rPr>
          <w:t>75</w:t>
        </w:r>
      </w:hyperlink>
      <w:r>
        <w:rPr>
          <w:spacing w:val="2"/>
          <w:position w:val="7"/>
          <w:sz w:val="13"/>
        </w:rPr>
        <w:t xml:space="preserve"> </w:t>
      </w:r>
      <w:r>
        <w:rPr>
          <w:sz w:val="20"/>
        </w:rPr>
        <w:t>de la Carta de la</w:t>
      </w:r>
      <w:r>
        <w:rPr>
          <w:spacing w:val="36"/>
          <w:sz w:val="20"/>
        </w:rPr>
        <w:t xml:space="preserve"> </w:t>
      </w:r>
      <w:r>
        <w:rPr>
          <w:sz w:val="20"/>
        </w:rPr>
        <w:t>OEA</w:t>
      </w:r>
      <w:hyperlink w:anchor="_bookmark624" w:history="1">
        <w:r>
          <w:rPr>
            <w:position w:val="7"/>
            <w:sz w:val="13"/>
          </w:rPr>
          <w:t>76</w:t>
        </w:r>
      </w:hyperlink>
      <w:r>
        <w:rPr>
          <w:sz w:val="20"/>
        </w:rPr>
        <w:t>.</w:t>
      </w:r>
    </w:p>
    <w:p w14:paraId="34456415" w14:textId="77777777" w:rsidR="00467FCA" w:rsidRDefault="00467FCA">
      <w:pPr>
        <w:pStyle w:val="Textoindependiente"/>
        <w:spacing w:before="2"/>
        <w:rPr>
          <w:sz w:val="22"/>
        </w:rPr>
      </w:pPr>
    </w:p>
    <w:p w14:paraId="651D55B7" w14:textId="77777777" w:rsidR="00467FCA" w:rsidRDefault="001B68EB">
      <w:pPr>
        <w:pStyle w:val="Prrafodelista"/>
        <w:numPr>
          <w:ilvl w:val="0"/>
          <w:numId w:val="17"/>
        </w:numPr>
        <w:tabs>
          <w:tab w:val="left" w:pos="1450"/>
        </w:tabs>
        <w:spacing w:line="276" w:lineRule="auto"/>
        <w:ind w:right="396" w:hanging="1"/>
        <w:jc w:val="both"/>
        <w:rPr>
          <w:sz w:val="20"/>
        </w:rPr>
      </w:pPr>
      <w:r>
        <w:rPr>
          <w:sz w:val="20"/>
        </w:rPr>
        <w:t>Ahora bien, en base a esos artículos, en la Sentencia se afirma que “</w:t>
      </w:r>
      <w:r>
        <w:rPr>
          <w:i/>
          <w:sz w:val="20"/>
        </w:rPr>
        <w:t>la Corte considera que existe una referencia con el suficiente grado de especificidad al derecho a condiciones de trabajo equitativas y satisfactorias para derivar su existencia y reconoc</w:t>
      </w:r>
      <w:r>
        <w:rPr>
          <w:i/>
          <w:sz w:val="20"/>
        </w:rPr>
        <w:t>imiento implícito en la Carta de la OEA</w:t>
      </w:r>
      <w:r>
        <w:rPr>
          <w:sz w:val="20"/>
        </w:rPr>
        <w:t>”</w:t>
      </w:r>
      <w:hyperlink w:anchor="_bookmark625" w:history="1">
        <w:r>
          <w:rPr>
            <w:position w:val="7"/>
            <w:sz w:val="13"/>
          </w:rPr>
          <w:t>77</w:t>
        </w:r>
      </w:hyperlink>
      <w:r>
        <w:rPr>
          <w:sz w:val="20"/>
        </w:rPr>
        <w:t>. Sin embargo, basta la sola lectura de las normas citadas para comprobar, con claridad y sin la menor duda, que ellas establecen obligaciones de hacer o de comportamiento, expresada</w:t>
      </w:r>
      <w:r>
        <w:rPr>
          <w:sz w:val="20"/>
        </w:rPr>
        <w:t>s en los “</w:t>
      </w:r>
      <w:r>
        <w:rPr>
          <w:i/>
          <w:sz w:val="20"/>
        </w:rPr>
        <w:t>máximos esfuerzos</w:t>
      </w:r>
      <w:r>
        <w:rPr>
          <w:sz w:val="20"/>
        </w:rPr>
        <w:t>” a que los Estados se comprometen a fin de lograr la aplicación de “</w:t>
      </w:r>
      <w:r>
        <w:rPr>
          <w:i/>
          <w:sz w:val="20"/>
        </w:rPr>
        <w:t>principios</w:t>
      </w:r>
      <w:r>
        <w:rPr>
          <w:sz w:val="20"/>
        </w:rPr>
        <w:t>” y “</w:t>
      </w:r>
      <w:r>
        <w:rPr>
          <w:i/>
          <w:sz w:val="20"/>
        </w:rPr>
        <w:t>mecanismos</w:t>
      </w:r>
      <w:r>
        <w:rPr>
          <w:sz w:val="20"/>
        </w:rPr>
        <w:t>” o para facilitar la integración latinoamericana, la armonización de las legislaciones laborales y la</w:t>
      </w:r>
      <w:r>
        <w:rPr>
          <w:spacing w:val="-5"/>
          <w:sz w:val="20"/>
        </w:rPr>
        <w:t xml:space="preserve"> </w:t>
      </w:r>
      <w:r>
        <w:rPr>
          <w:sz w:val="20"/>
        </w:rPr>
        <w:t>protección</w:t>
      </w:r>
      <w:r>
        <w:rPr>
          <w:spacing w:val="-4"/>
          <w:sz w:val="20"/>
        </w:rPr>
        <w:t xml:space="preserve"> </w:t>
      </w:r>
      <w:r>
        <w:rPr>
          <w:sz w:val="20"/>
        </w:rPr>
        <w:t>de</w:t>
      </w:r>
      <w:r>
        <w:rPr>
          <w:spacing w:val="-7"/>
          <w:sz w:val="20"/>
        </w:rPr>
        <w:t xml:space="preserve"> </w:t>
      </w:r>
      <w:r>
        <w:rPr>
          <w:sz w:val="20"/>
        </w:rPr>
        <w:t>los</w:t>
      </w:r>
      <w:r>
        <w:rPr>
          <w:spacing w:val="-3"/>
          <w:sz w:val="20"/>
        </w:rPr>
        <w:t xml:space="preserve"> </w:t>
      </w:r>
      <w:r>
        <w:rPr>
          <w:sz w:val="20"/>
        </w:rPr>
        <w:t>derechos</w:t>
      </w:r>
      <w:r>
        <w:rPr>
          <w:spacing w:val="-6"/>
          <w:sz w:val="20"/>
        </w:rPr>
        <w:t xml:space="preserve"> </w:t>
      </w:r>
      <w:r>
        <w:rPr>
          <w:sz w:val="20"/>
        </w:rPr>
        <w:t>de</w:t>
      </w:r>
      <w:r>
        <w:rPr>
          <w:spacing w:val="-7"/>
          <w:sz w:val="20"/>
        </w:rPr>
        <w:t xml:space="preserve"> </w:t>
      </w:r>
      <w:r>
        <w:rPr>
          <w:sz w:val="20"/>
        </w:rPr>
        <w:t>lo</w:t>
      </w:r>
      <w:r>
        <w:rPr>
          <w:sz w:val="20"/>
        </w:rPr>
        <w:t>s</w:t>
      </w:r>
      <w:r>
        <w:rPr>
          <w:spacing w:val="-4"/>
          <w:sz w:val="20"/>
        </w:rPr>
        <w:t xml:space="preserve"> </w:t>
      </w:r>
      <w:r>
        <w:rPr>
          <w:sz w:val="20"/>
        </w:rPr>
        <w:t>trabajadores,</w:t>
      </w:r>
      <w:r>
        <w:rPr>
          <w:spacing w:val="-3"/>
          <w:sz w:val="20"/>
        </w:rPr>
        <w:t xml:space="preserve"> </w:t>
      </w:r>
      <w:r>
        <w:rPr>
          <w:sz w:val="20"/>
        </w:rPr>
        <w:t>o</w:t>
      </w:r>
      <w:r>
        <w:rPr>
          <w:spacing w:val="-4"/>
          <w:sz w:val="20"/>
        </w:rPr>
        <w:t xml:space="preserve"> </w:t>
      </w:r>
      <w:r>
        <w:rPr>
          <w:sz w:val="20"/>
        </w:rPr>
        <w:t>para</w:t>
      </w:r>
      <w:r>
        <w:rPr>
          <w:spacing w:val="-3"/>
          <w:sz w:val="20"/>
        </w:rPr>
        <w:t xml:space="preserve"> </w:t>
      </w:r>
      <w:r>
        <w:rPr>
          <w:sz w:val="20"/>
        </w:rPr>
        <w:t>lograr</w:t>
      </w:r>
      <w:r>
        <w:rPr>
          <w:spacing w:val="-4"/>
          <w:sz w:val="20"/>
        </w:rPr>
        <w:t xml:space="preserve"> </w:t>
      </w:r>
      <w:r>
        <w:rPr>
          <w:sz w:val="20"/>
        </w:rPr>
        <w:t>la</w:t>
      </w:r>
      <w:r>
        <w:rPr>
          <w:spacing w:val="-4"/>
          <w:sz w:val="20"/>
        </w:rPr>
        <w:t xml:space="preserve"> </w:t>
      </w:r>
      <w:r>
        <w:rPr>
          <w:sz w:val="20"/>
        </w:rPr>
        <w:t>“</w:t>
      </w:r>
      <w:r>
        <w:rPr>
          <w:i/>
          <w:sz w:val="20"/>
        </w:rPr>
        <w:t>meta</w:t>
      </w:r>
      <w:r>
        <w:rPr>
          <w:i/>
          <w:spacing w:val="-5"/>
          <w:sz w:val="20"/>
        </w:rPr>
        <w:t xml:space="preserve"> </w:t>
      </w:r>
      <w:r>
        <w:rPr>
          <w:i/>
          <w:sz w:val="20"/>
        </w:rPr>
        <w:t>básica</w:t>
      </w:r>
      <w:r>
        <w:rPr>
          <w:sz w:val="20"/>
        </w:rPr>
        <w:t>”</w:t>
      </w:r>
      <w:r>
        <w:rPr>
          <w:spacing w:val="-3"/>
          <w:sz w:val="20"/>
        </w:rPr>
        <w:t xml:space="preserve"> </w:t>
      </w:r>
      <w:r>
        <w:rPr>
          <w:sz w:val="20"/>
        </w:rPr>
        <w:t>consistente</w:t>
      </w:r>
    </w:p>
    <w:p w14:paraId="316E3063" w14:textId="77777777" w:rsidR="00467FCA" w:rsidRDefault="001B68EB">
      <w:pPr>
        <w:pStyle w:val="Textoindependiente"/>
        <w:spacing w:before="3"/>
        <w:rPr>
          <w:sz w:val="14"/>
        </w:rPr>
      </w:pPr>
      <w:r>
        <w:pict w14:anchorId="321A02BC">
          <v:shape id="_x0000_s1088" style="position:absolute;margin-left:56.75pt;margin-top:11pt;width:2in;height:.1pt;z-index:-251547648;mso-wrap-distance-left:0;mso-wrap-distance-right:0;mso-position-horizontal-relative:page" coordorigin="1135,220" coordsize="2880,0" path="m1135,220r2880,e" filled="f" strokeweight=".72pt">
            <v:path arrowok="t"/>
            <w10:wrap type="topAndBottom" anchorx="page"/>
          </v:shape>
        </w:pict>
      </w:r>
    </w:p>
    <w:p w14:paraId="6B4316CF" w14:textId="77777777" w:rsidR="00467FCA" w:rsidRDefault="001B68EB">
      <w:pPr>
        <w:spacing w:before="71"/>
        <w:ind w:left="470" w:right="394"/>
        <w:jc w:val="both"/>
        <w:rPr>
          <w:sz w:val="16"/>
        </w:rPr>
      </w:pPr>
      <w:bookmarkStart w:id="699" w:name="_bookmark620"/>
      <w:bookmarkEnd w:id="699"/>
      <w:r>
        <w:rPr>
          <w:position w:val="6"/>
          <w:sz w:val="10"/>
        </w:rPr>
        <w:t xml:space="preserve">72 </w:t>
      </w:r>
      <w:r>
        <w:rPr>
          <w:i/>
          <w:sz w:val="16"/>
        </w:rPr>
        <w:t xml:space="preserve">Cfr. </w:t>
      </w:r>
      <w:r>
        <w:rPr>
          <w:sz w:val="16"/>
        </w:rPr>
        <w:t xml:space="preserve">Voto concurrente del Juez Alberto Pérez Pérez, </w:t>
      </w:r>
      <w:r>
        <w:rPr>
          <w:i/>
          <w:sz w:val="16"/>
        </w:rPr>
        <w:t xml:space="preserve">Caso Gonzales Lluy y Otros Vs. Ecuador, </w:t>
      </w:r>
      <w:r>
        <w:rPr>
          <w:sz w:val="16"/>
        </w:rPr>
        <w:t>Sentencia de 1 de septiembre de 2015, (Excepciones Preliminares, Fondo, Reparaciones y Costas).</w:t>
      </w:r>
    </w:p>
    <w:p w14:paraId="07CF0308" w14:textId="77777777" w:rsidR="00467FCA" w:rsidRDefault="001B68EB">
      <w:pPr>
        <w:ind w:left="470" w:right="391"/>
        <w:jc w:val="both"/>
        <w:rPr>
          <w:i/>
          <w:sz w:val="16"/>
        </w:rPr>
      </w:pPr>
      <w:bookmarkStart w:id="700" w:name="_bookmark621"/>
      <w:bookmarkEnd w:id="700"/>
      <w:r>
        <w:rPr>
          <w:position w:val="6"/>
          <w:sz w:val="10"/>
        </w:rPr>
        <w:t xml:space="preserve">73 </w:t>
      </w:r>
      <w:r>
        <w:rPr>
          <w:sz w:val="16"/>
        </w:rPr>
        <w:t>A</w:t>
      </w:r>
      <w:r>
        <w:rPr>
          <w:sz w:val="16"/>
        </w:rPr>
        <w:t>rtículo 45 de la Carta de la OEA: “</w:t>
      </w:r>
      <w:r>
        <w:rPr>
          <w:i/>
          <w:sz w:val="16"/>
        </w:rPr>
        <w:t>Los Estados miembros, convencidos de que el hombre sólo puede alcanzar  la plena realización de sus aspiraciones dentro de un orden social justo, acompañado de desarrollo económico y verdadera paz, convienen en dedicar su</w:t>
      </w:r>
      <w:r>
        <w:rPr>
          <w:i/>
          <w:sz w:val="16"/>
        </w:rPr>
        <w:t>s máximos esfuerzos a la aplicación de los siguientes principios y mecanismos:</w:t>
      </w:r>
      <w:r>
        <w:rPr>
          <w:i/>
          <w:spacing w:val="-4"/>
          <w:sz w:val="16"/>
        </w:rPr>
        <w:t xml:space="preserve"> </w:t>
      </w:r>
      <w:r>
        <w:rPr>
          <w:i/>
          <w:sz w:val="16"/>
        </w:rPr>
        <w:t>[…]</w:t>
      </w:r>
      <w:r>
        <w:rPr>
          <w:i/>
          <w:spacing w:val="-4"/>
          <w:sz w:val="16"/>
        </w:rPr>
        <w:t xml:space="preserve"> </w:t>
      </w:r>
      <w:r>
        <w:rPr>
          <w:i/>
          <w:sz w:val="16"/>
        </w:rPr>
        <w:t>b)</w:t>
      </w:r>
      <w:r>
        <w:rPr>
          <w:i/>
          <w:spacing w:val="-4"/>
          <w:sz w:val="16"/>
        </w:rPr>
        <w:t xml:space="preserve"> </w:t>
      </w:r>
      <w:r>
        <w:rPr>
          <w:i/>
          <w:sz w:val="16"/>
        </w:rPr>
        <w:t>El</w:t>
      </w:r>
      <w:r>
        <w:rPr>
          <w:i/>
          <w:spacing w:val="-2"/>
          <w:sz w:val="16"/>
        </w:rPr>
        <w:t xml:space="preserve"> </w:t>
      </w:r>
      <w:r>
        <w:rPr>
          <w:i/>
          <w:sz w:val="16"/>
        </w:rPr>
        <w:t>trabajo</w:t>
      </w:r>
      <w:r>
        <w:rPr>
          <w:i/>
          <w:spacing w:val="-2"/>
          <w:sz w:val="16"/>
        </w:rPr>
        <w:t xml:space="preserve"> </w:t>
      </w:r>
      <w:r>
        <w:rPr>
          <w:i/>
          <w:sz w:val="16"/>
        </w:rPr>
        <w:t>es</w:t>
      </w:r>
      <w:r>
        <w:rPr>
          <w:i/>
          <w:spacing w:val="-2"/>
          <w:sz w:val="16"/>
        </w:rPr>
        <w:t xml:space="preserve"> </w:t>
      </w:r>
      <w:r>
        <w:rPr>
          <w:i/>
          <w:sz w:val="16"/>
        </w:rPr>
        <w:t>un</w:t>
      </w:r>
      <w:r>
        <w:rPr>
          <w:i/>
          <w:spacing w:val="-3"/>
          <w:sz w:val="16"/>
        </w:rPr>
        <w:t xml:space="preserve"> </w:t>
      </w:r>
      <w:r>
        <w:rPr>
          <w:i/>
          <w:sz w:val="16"/>
        </w:rPr>
        <w:t>derecho</w:t>
      </w:r>
      <w:r>
        <w:rPr>
          <w:i/>
          <w:spacing w:val="-4"/>
          <w:sz w:val="16"/>
        </w:rPr>
        <w:t xml:space="preserve"> </w:t>
      </w:r>
      <w:r>
        <w:rPr>
          <w:i/>
          <w:sz w:val="16"/>
        </w:rPr>
        <w:t>y</w:t>
      </w:r>
      <w:r>
        <w:rPr>
          <w:i/>
          <w:spacing w:val="-2"/>
          <w:sz w:val="16"/>
        </w:rPr>
        <w:t xml:space="preserve"> </w:t>
      </w:r>
      <w:r>
        <w:rPr>
          <w:i/>
          <w:sz w:val="16"/>
        </w:rPr>
        <w:t>un</w:t>
      </w:r>
      <w:r>
        <w:rPr>
          <w:i/>
          <w:spacing w:val="-2"/>
          <w:sz w:val="16"/>
        </w:rPr>
        <w:t xml:space="preserve"> </w:t>
      </w:r>
      <w:r>
        <w:rPr>
          <w:i/>
          <w:sz w:val="16"/>
        </w:rPr>
        <w:t>deber</w:t>
      </w:r>
      <w:r>
        <w:rPr>
          <w:i/>
          <w:spacing w:val="-4"/>
          <w:sz w:val="16"/>
        </w:rPr>
        <w:t xml:space="preserve"> </w:t>
      </w:r>
      <w:r>
        <w:rPr>
          <w:i/>
          <w:sz w:val="16"/>
        </w:rPr>
        <w:t>social,</w:t>
      </w:r>
      <w:r>
        <w:rPr>
          <w:i/>
          <w:spacing w:val="-1"/>
          <w:sz w:val="16"/>
        </w:rPr>
        <w:t xml:space="preserve"> </w:t>
      </w:r>
      <w:r>
        <w:rPr>
          <w:i/>
          <w:sz w:val="16"/>
        </w:rPr>
        <w:t>otorga</w:t>
      </w:r>
      <w:r>
        <w:rPr>
          <w:i/>
          <w:spacing w:val="-5"/>
          <w:sz w:val="16"/>
        </w:rPr>
        <w:t xml:space="preserve"> </w:t>
      </w:r>
      <w:r>
        <w:rPr>
          <w:i/>
          <w:sz w:val="16"/>
        </w:rPr>
        <w:t>dignidad</w:t>
      </w:r>
      <w:r>
        <w:rPr>
          <w:i/>
          <w:spacing w:val="-2"/>
          <w:sz w:val="16"/>
        </w:rPr>
        <w:t xml:space="preserve"> </w:t>
      </w:r>
      <w:r>
        <w:rPr>
          <w:i/>
          <w:sz w:val="16"/>
        </w:rPr>
        <w:t>a</w:t>
      </w:r>
      <w:r>
        <w:rPr>
          <w:i/>
          <w:spacing w:val="-6"/>
          <w:sz w:val="16"/>
        </w:rPr>
        <w:t xml:space="preserve"> </w:t>
      </w:r>
      <w:r>
        <w:rPr>
          <w:i/>
          <w:sz w:val="16"/>
        </w:rPr>
        <w:t>quien</w:t>
      </w:r>
      <w:r>
        <w:rPr>
          <w:i/>
          <w:spacing w:val="-3"/>
          <w:sz w:val="16"/>
        </w:rPr>
        <w:t xml:space="preserve"> </w:t>
      </w:r>
      <w:r>
        <w:rPr>
          <w:i/>
          <w:sz w:val="16"/>
        </w:rPr>
        <w:t>lo</w:t>
      </w:r>
      <w:r>
        <w:rPr>
          <w:i/>
          <w:spacing w:val="-2"/>
          <w:sz w:val="16"/>
        </w:rPr>
        <w:t xml:space="preserve"> </w:t>
      </w:r>
      <w:r>
        <w:rPr>
          <w:i/>
          <w:sz w:val="16"/>
        </w:rPr>
        <w:t>realiza</w:t>
      </w:r>
      <w:r>
        <w:rPr>
          <w:i/>
          <w:spacing w:val="-3"/>
          <w:sz w:val="16"/>
        </w:rPr>
        <w:t xml:space="preserve"> </w:t>
      </w:r>
      <w:r>
        <w:rPr>
          <w:i/>
          <w:sz w:val="16"/>
        </w:rPr>
        <w:t>y</w:t>
      </w:r>
      <w:r>
        <w:rPr>
          <w:i/>
          <w:spacing w:val="-3"/>
          <w:sz w:val="16"/>
        </w:rPr>
        <w:t xml:space="preserve"> </w:t>
      </w:r>
      <w:r>
        <w:rPr>
          <w:i/>
          <w:sz w:val="16"/>
        </w:rPr>
        <w:t>debe</w:t>
      </w:r>
      <w:r>
        <w:rPr>
          <w:i/>
          <w:spacing w:val="-2"/>
          <w:sz w:val="16"/>
        </w:rPr>
        <w:t xml:space="preserve"> </w:t>
      </w:r>
      <w:r>
        <w:rPr>
          <w:i/>
          <w:sz w:val="16"/>
        </w:rPr>
        <w:t>prestarse en condiciones que, incluyendo un régimen de salarios justos, aseguren la vida, la salud y un nivel económico decoroso para el trabajador y su familia, tanto en sus años de trabajo como en su vejez, o cuando cualquier circunstancia lo prive de la</w:t>
      </w:r>
      <w:r>
        <w:rPr>
          <w:i/>
          <w:sz w:val="16"/>
        </w:rPr>
        <w:t xml:space="preserve"> posibilidad de trabajar; c) Los empleadores y los trabajadores, tanto rurales como urbanos, tienen el derecho de asociarse libremente para la defensa y promoción de sus intereses, incluyendo el derecho de negociación colectiva y el de huelga por parte de </w:t>
      </w:r>
      <w:r>
        <w:rPr>
          <w:i/>
          <w:sz w:val="16"/>
        </w:rPr>
        <w:t>los trabajadores, el reconocimiento de la personería jurídica de las asociaciones y la protección de su libertad e independencia, todo de conformidad con la legislación respectiva</w:t>
      </w:r>
      <w:r>
        <w:rPr>
          <w:i/>
          <w:spacing w:val="-2"/>
          <w:sz w:val="16"/>
        </w:rPr>
        <w:t xml:space="preserve"> </w:t>
      </w:r>
      <w:r>
        <w:rPr>
          <w:i/>
          <w:sz w:val="16"/>
        </w:rPr>
        <w:t>[…].</w:t>
      </w:r>
    </w:p>
    <w:p w14:paraId="2BB3F8E3" w14:textId="77777777" w:rsidR="00467FCA" w:rsidRDefault="001B68EB">
      <w:pPr>
        <w:ind w:left="470" w:right="392"/>
        <w:jc w:val="both"/>
        <w:rPr>
          <w:i/>
          <w:sz w:val="16"/>
        </w:rPr>
      </w:pPr>
      <w:bookmarkStart w:id="701" w:name="_bookmark622"/>
      <w:bookmarkEnd w:id="701"/>
      <w:r>
        <w:rPr>
          <w:position w:val="6"/>
          <w:sz w:val="10"/>
        </w:rPr>
        <w:t xml:space="preserve">74 </w:t>
      </w:r>
      <w:r>
        <w:rPr>
          <w:sz w:val="16"/>
        </w:rPr>
        <w:t xml:space="preserve">Artículo 46 de la Carta de la OEA: </w:t>
      </w:r>
      <w:r>
        <w:rPr>
          <w:i/>
          <w:sz w:val="16"/>
        </w:rPr>
        <w:t>“Los Estados miembros reconocen q</w:t>
      </w:r>
      <w:r>
        <w:rPr>
          <w:i/>
          <w:sz w:val="16"/>
        </w:rPr>
        <w:t>ue, para facilitar el proceso de la integración regional latinoamericana, es necesario armonizar la legislación social de los países en desarrollo, especialmente en el campo laboral y de la seguridad social, a fin de que los derechos de los trabajadores se</w:t>
      </w:r>
      <w:r>
        <w:rPr>
          <w:i/>
          <w:sz w:val="16"/>
        </w:rPr>
        <w:t>an igualmente protegidos, y convienen en realizar los máximos esfuerzos para alcanzar esta finalidad.”</w:t>
      </w:r>
    </w:p>
    <w:p w14:paraId="325FF209" w14:textId="77777777" w:rsidR="00467FCA" w:rsidRDefault="001B68EB">
      <w:pPr>
        <w:ind w:left="470" w:right="391"/>
        <w:jc w:val="both"/>
        <w:rPr>
          <w:sz w:val="16"/>
        </w:rPr>
      </w:pPr>
      <w:bookmarkStart w:id="702" w:name="_bookmark623"/>
      <w:bookmarkEnd w:id="702"/>
      <w:r>
        <w:rPr>
          <w:position w:val="6"/>
          <w:sz w:val="10"/>
        </w:rPr>
        <w:t xml:space="preserve">75 </w:t>
      </w:r>
      <w:r>
        <w:rPr>
          <w:sz w:val="16"/>
        </w:rPr>
        <w:t xml:space="preserve">Artículo 34.g de la Carta de la OEA: </w:t>
      </w:r>
      <w:r>
        <w:rPr>
          <w:i/>
          <w:sz w:val="16"/>
        </w:rPr>
        <w:t>“Los Estados miembros convienen en que la igualdad de oportunidades, la eliminación de la pobreza crítica y la distribución equitativa de la riqueza y del ingreso, así como la plena participación de sus pueblos en las decisiones relativas a su propio desar</w:t>
      </w:r>
      <w:r>
        <w:rPr>
          <w:i/>
          <w:sz w:val="16"/>
        </w:rPr>
        <w:t>rollo, son, entre otros, objetivos básicos del desarrollo integral. Para lograrlos, convienen asimismo en dedicar sus máximos esfuerzos a la consecución de las siguientes metas básicas: […] g) Salarios justos, oportunidades de empleo y condiciones de traba</w:t>
      </w:r>
      <w:r>
        <w:rPr>
          <w:i/>
          <w:sz w:val="16"/>
        </w:rPr>
        <w:t>jo aceptables para todos</w:t>
      </w:r>
      <w:r>
        <w:rPr>
          <w:sz w:val="16"/>
        </w:rPr>
        <w:t>.”</w:t>
      </w:r>
    </w:p>
    <w:p w14:paraId="25D50762" w14:textId="77777777" w:rsidR="00467FCA" w:rsidRDefault="001B68EB">
      <w:pPr>
        <w:spacing w:before="1"/>
        <w:ind w:left="470"/>
        <w:jc w:val="both"/>
        <w:rPr>
          <w:sz w:val="16"/>
        </w:rPr>
      </w:pPr>
      <w:bookmarkStart w:id="703" w:name="_bookmark624"/>
      <w:bookmarkEnd w:id="703"/>
      <w:r>
        <w:rPr>
          <w:position w:val="6"/>
          <w:sz w:val="10"/>
        </w:rPr>
        <w:t xml:space="preserve">76 </w:t>
      </w:r>
      <w:r>
        <w:rPr>
          <w:sz w:val="16"/>
        </w:rPr>
        <w:t>Párr. 155.</w:t>
      </w:r>
    </w:p>
    <w:p w14:paraId="7888F258" w14:textId="77777777" w:rsidR="00467FCA" w:rsidRDefault="001B68EB">
      <w:pPr>
        <w:ind w:left="470"/>
        <w:jc w:val="both"/>
        <w:rPr>
          <w:sz w:val="16"/>
        </w:rPr>
      </w:pPr>
      <w:bookmarkStart w:id="704" w:name="_bookmark625"/>
      <w:bookmarkEnd w:id="704"/>
      <w:r>
        <w:rPr>
          <w:position w:val="6"/>
          <w:sz w:val="10"/>
        </w:rPr>
        <w:t xml:space="preserve">77 </w:t>
      </w:r>
      <w:r>
        <w:rPr>
          <w:i/>
          <w:sz w:val="16"/>
        </w:rPr>
        <w:t>Idem</w:t>
      </w:r>
      <w:r>
        <w:rPr>
          <w:sz w:val="16"/>
        </w:rPr>
        <w:t>.</w:t>
      </w:r>
    </w:p>
    <w:p w14:paraId="38C61F91" w14:textId="77777777" w:rsidR="00467FCA" w:rsidRDefault="00467FCA">
      <w:pPr>
        <w:jc w:val="both"/>
        <w:rPr>
          <w:sz w:val="16"/>
        </w:rPr>
        <w:sectPr w:rsidR="00467FCA">
          <w:pgSz w:w="12240" w:h="15840"/>
          <w:pgMar w:top="1340" w:right="1140" w:bottom="1200" w:left="960" w:header="0" w:footer="1002" w:gutter="0"/>
          <w:cols w:space="720"/>
        </w:sectPr>
      </w:pPr>
    </w:p>
    <w:p w14:paraId="23B5D26C" w14:textId="77777777" w:rsidR="00467FCA" w:rsidRDefault="001B68EB">
      <w:pPr>
        <w:pStyle w:val="Textoindependiente"/>
        <w:spacing w:before="76" w:line="276" w:lineRule="auto"/>
        <w:ind w:left="470" w:right="398"/>
        <w:jc w:val="both"/>
      </w:pPr>
      <w:r>
        <w:t>en</w:t>
      </w:r>
      <w:r>
        <w:rPr>
          <w:spacing w:val="-8"/>
        </w:rPr>
        <w:t xml:space="preserve"> </w:t>
      </w:r>
      <w:r>
        <w:t>salarios</w:t>
      </w:r>
      <w:r>
        <w:rPr>
          <w:spacing w:val="-10"/>
        </w:rPr>
        <w:t xml:space="preserve"> </w:t>
      </w:r>
      <w:r>
        <w:t>justos,</w:t>
      </w:r>
      <w:r>
        <w:rPr>
          <w:spacing w:val="-7"/>
        </w:rPr>
        <w:t xml:space="preserve"> </w:t>
      </w:r>
      <w:r>
        <w:t>oportunidades</w:t>
      </w:r>
      <w:r>
        <w:rPr>
          <w:spacing w:val="-9"/>
        </w:rPr>
        <w:t xml:space="preserve"> </w:t>
      </w:r>
      <w:r>
        <w:t>de</w:t>
      </w:r>
      <w:r>
        <w:rPr>
          <w:spacing w:val="-8"/>
        </w:rPr>
        <w:t xml:space="preserve"> </w:t>
      </w:r>
      <w:r>
        <w:t>empleo</w:t>
      </w:r>
      <w:r>
        <w:rPr>
          <w:spacing w:val="-7"/>
        </w:rPr>
        <w:t xml:space="preserve"> </w:t>
      </w:r>
      <w:r>
        <w:t>y</w:t>
      </w:r>
      <w:r>
        <w:rPr>
          <w:spacing w:val="-6"/>
        </w:rPr>
        <w:t xml:space="preserve"> </w:t>
      </w:r>
      <w:r>
        <w:t>condiciones</w:t>
      </w:r>
      <w:r>
        <w:rPr>
          <w:spacing w:val="-10"/>
        </w:rPr>
        <w:t xml:space="preserve"> </w:t>
      </w:r>
      <w:r>
        <w:t>de</w:t>
      </w:r>
      <w:r>
        <w:rPr>
          <w:spacing w:val="-10"/>
        </w:rPr>
        <w:t xml:space="preserve"> </w:t>
      </w:r>
      <w:r>
        <w:t>trabajo</w:t>
      </w:r>
      <w:r>
        <w:rPr>
          <w:spacing w:val="-9"/>
        </w:rPr>
        <w:t xml:space="preserve"> </w:t>
      </w:r>
      <w:r>
        <w:t>aceptables</w:t>
      </w:r>
      <w:r>
        <w:rPr>
          <w:spacing w:val="-7"/>
        </w:rPr>
        <w:t xml:space="preserve"> </w:t>
      </w:r>
      <w:r>
        <w:t>para</w:t>
      </w:r>
      <w:r>
        <w:rPr>
          <w:spacing w:val="-6"/>
        </w:rPr>
        <w:t xml:space="preserve"> </w:t>
      </w:r>
      <w:r>
        <w:t>todos. No</w:t>
      </w:r>
      <w:r>
        <w:rPr>
          <w:spacing w:val="-10"/>
        </w:rPr>
        <w:t xml:space="preserve"> </w:t>
      </w:r>
      <w:r>
        <w:t>se</w:t>
      </w:r>
      <w:r>
        <w:rPr>
          <w:spacing w:val="-9"/>
        </w:rPr>
        <w:t xml:space="preserve"> </w:t>
      </w:r>
      <w:r>
        <w:t>debe</w:t>
      </w:r>
      <w:r>
        <w:rPr>
          <w:spacing w:val="-9"/>
        </w:rPr>
        <w:t xml:space="preserve"> </w:t>
      </w:r>
      <w:r>
        <w:t>olvidar</w:t>
      </w:r>
      <w:r>
        <w:rPr>
          <w:spacing w:val="-9"/>
        </w:rPr>
        <w:t xml:space="preserve"> </w:t>
      </w:r>
      <w:r>
        <w:t>que</w:t>
      </w:r>
      <w:r>
        <w:rPr>
          <w:spacing w:val="-11"/>
        </w:rPr>
        <w:t xml:space="preserve"> </w:t>
      </w:r>
      <w:r>
        <w:t>todas</w:t>
      </w:r>
      <w:r>
        <w:rPr>
          <w:spacing w:val="-11"/>
        </w:rPr>
        <w:t xml:space="preserve"> </w:t>
      </w:r>
      <w:r>
        <w:t>las</w:t>
      </w:r>
      <w:r>
        <w:rPr>
          <w:spacing w:val="-11"/>
        </w:rPr>
        <w:t xml:space="preserve"> </w:t>
      </w:r>
      <w:r>
        <w:t>normas</w:t>
      </w:r>
      <w:r>
        <w:rPr>
          <w:spacing w:val="-9"/>
        </w:rPr>
        <w:t xml:space="preserve"> </w:t>
      </w:r>
      <w:r>
        <w:t>citadas</w:t>
      </w:r>
      <w:r>
        <w:rPr>
          <w:spacing w:val="-9"/>
        </w:rPr>
        <w:t xml:space="preserve"> </w:t>
      </w:r>
      <w:r>
        <w:t>se</w:t>
      </w:r>
      <w:r>
        <w:rPr>
          <w:spacing w:val="-9"/>
        </w:rPr>
        <w:t xml:space="preserve"> </w:t>
      </w:r>
      <w:r>
        <w:t>encuentran</w:t>
      </w:r>
      <w:r>
        <w:rPr>
          <w:spacing w:val="-7"/>
        </w:rPr>
        <w:t xml:space="preserve"> </w:t>
      </w:r>
      <w:r>
        <w:t>en</w:t>
      </w:r>
      <w:r>
        <w:rPr>
          <w:spacing w:val="-7"/>
        </w:rPr>
        <w:t xml:space="preserve"> </w:t>
      </w:r>
      <w:r>
        <w:t>el</w:t>
      </w:r>
      <w:r>
        <w:rPr>
          <w:spacing w:val="-10"/>
        </w:rPr>
        <w:t xml:space="preserve"> </w:t>
      </w:r>
      <w:r>
        <w:t>Capítulo</w:t>
      </w:r>
      <w:r>
        <w:rPr>
          <w:spacing w:val="-11"/>
        </w:rPr>
        <w:t xml:space="preserve"> </w:t>
      </w:r>
      <w:r>
        <w:t>VII</w:t>
      </w:r>
      <w:r>
        <w:rPr>
          <w:spacing w:val="-10"/>
        </w:rPr>
        <w:t xml:space="preserve"> </w:t>
      </w:r>
      <w:r>
        <w:t>de</w:t>
      </w:r>
      <w:r>
        <w:rPr>
          <w:spacing w:val="-9"/>
        </w:rPr>
        <w:t xml:space="preserve"> </w:t>
      </w:r>
      <w:r>
        <w:t>aquella, denominado “</w:t>
      </w:r>
      <w:r>
        <w:rPr>
          <w:i/>
        </w:rPr>
        <w:t>Desarrollo Integral</w:t>
      </w:r>
      <w:r>
        <w:t>”. De modo, pues, que tales normas no establecen obligaciones de resultado, esto es, no disponen que se respeten los derechos humanos que se deriven de las normas que alude, sino que se realicen los máximos esfuerzos</w:t>
      </w:r>
      <w:r>
        <w:t xml:space="preserve"> para lograr así los </w:t>
      </w:r>
      <w:r>
        <w:rPr>
          <w:i/>
        </w:rPr>
        <w:t xml:space="preserve">principios, mecanismos y metas </w:t>
      </w:r>
      <w:r>
        <w:t>que</w:t>
      </w:r>
      <w:r>
        <w:rPr>
          <w:spacing w:val="-8"/>
        </w:rPr>
        <w:t xml:space="preserve"> </w:t>
      </w:r>
      <w:r>
        <w:t>indican.</w:t>
      </w:r>
    </w:p>
    <w:p w14:paraId="11563D6C" w14:textId="77777777" w:rsidR="00467FCA" w:rsidRDefault="00467FCA">
      <w:pPr>
        <w:pStyle w:val="Textoindependiente"/>
        <w:spacing w:before="2"/>
        <w:rPr>
          <w:sz w:val="23"/>
        </w:rPr>
      </w:pPr>
    </w:p>
    <w:p w14:paraId="347F16F3" w14:textId="77777777" w:rsidR="00467FCA" w:rsidRDefault="001B68EB">
      <w:pPr>
        <w:pStyle w:val="Prrafodelista"/>
        <w:numPr>
          <w:ilvl w:val="0"/>
          <w:numId w:val="17"/>
        </w:numPr>
        <w:tabs>
          <w:tab w:val="left" w:pos="1450"/>
        </w:tabs>
        <w:spacing w:line="276" w:lineRule="auto"/>
        <w:ind w:right="396" w:firstLine="0"/>
        <w:jc w:val="both"/>
        <w:rPr>
          <w:sz w:val="20"/>
        </w:rPr>
      </w:pPr>
      <w:r>
        <w:rPr>
          <w:sz w:val="20"/>
        </w:rPr>
        <w:t>Así las cosas, el abanico de posibilidades de las que el intérprete podría “</w:t>
      </w:r>
      <w:r>
        <w:rPr>
          <w:i/>
          <w:sz w:val="20"/>
        </w:rPr>
        <w:t>deriva</w:t>
      </w:r>
      <w:r>
        <w:rPr>
          <w:sz w:val="20"/>
        </w:rPr>
        <w:t xml:space="preserve">r” derechos humanos no expresamente contemplados en noma internacional alguna sería enorme, por no afirmar, </w:t>
      </w:r>
      <w:r>
        <w:rPr>
          <w:sz w:val="20"/>
        </w:rPr>
        <w:t xml:space="preserve">sin límite. De continuar la Corte con esta tendencia y llevada a su extremo, todos los Estados Partes de la Convención y que han aceptado su jurisdicción, eventualmente podrían ser llevados ante ella por no alcanzar plenamente los </w:t>
      </w:r>
      <w:r>
        <w:rPr>
          <w:i/>
          <w:sz w:val="20"/>
        </w:rPr>
        <w:t>“principios</w:t>
      </w:r>
      <w:r>
        <w:rPr>
          <w:sz w:val="20"/>
        </w:rPr>
        <w:t>”, “</w:t>
      </w:r>
      <w:r>
        <w:rPr>
          <w:i/>
          <w:sz w:val="20"/>
        </w:rPr>
        <w:t>metas</w:t>
      </w:r>
      <w:r>
        <w:rPr>
          <w:sz w:val="20"/>
        </w:rPr>
        <w:t>” o “</w:t>
      </w:r>
      <w:r>
        <w:rPr>
          <w:i/>
          <w:sz w:val="20"/>
        </w:rPr>
        <w:t>mecanismos</w:t>
      </w:r>
      <w:r>
        <w:rPr>
          <w:sz w:val="20"/>
        </w:rPr>
        <w:t>” contempladas en la Carta de la OEA de los que la Sentencia</w:t>
      </w:r>
      <w:r>
        <w:rPr>
          <w:spacing w:val="-47"/>
          <w:sz w:val="20"/>
        </w:rPr>
        <w:t xml:space="preserve"> </w:t>
      </w:r>
      <w:r>
        <w:rPr>
          <w:sz w:val="20"/>
        </w:rPr>
        <w:t xml:space="preserve">deriva derechos, lo que, a todas luces, parecería alejado de lo que los Estados Partes deseaban al firmar la Convención o, al menos, de la lógica implícita en ella, en especial, por la </w:t>
      </w:r>
      <w:r>
        <w:rPr>
          <w:sz w:val="20"/>
        </w:rPr>
        <w:t>forma en que está redactado el mencionado Capítulo</w:t>
      </w:r>
      <w:r>
        <w:rPr>
          <w:spacing w:val="-9"/>
          <w:sz w:val="20"/>
        </w:rPr>
        <w:t xml:space="preserve"> </w:t>
      </w:r>
      <w:r>
        <w:rPr>
          <w:sz w:val="20"/>
        </w:rPr>
        <w:t>VII.</w:t>
      </w:r>
    </w:p>
    <w:p w14:paraId="0AA04365" w14:textId="77777777" w:rsidR="00467FCA" w:rsidRDefault="00467FCA">
      <w:pPr>
        <w:pStyle w:val="Textoindependiente"/>
        <w:spacing w:before="12"/>
        <w:rPr>
          <w:sz w:val="22"/>
        </w:rPr>
      </w:pPr>
    </w:p>
    <w:p w14:paraId="4146285F" w14:textId="77777777" w:rsidR="00467FCA" w:rsidRDefault="001B68EB">
      <w:pPr>
        <w:pStyle w:val="Prrafodelista"/>
        <w:numPr>
          <w:ilvl w:val="0"/>
          <w:numId w:val="17"/>
        </w:numPr>
        <w:tabs>
          <w:tab w:val="left" w:pos="1450"/>
        </w:tabs>
        <w:spacing w:line="276" w:lineRule="auto"/>
        <w:ind w:right="395" w:firstLine="0"/>
        <w:jc w:val="both"/>
        <w:rPr>
          <w:i/>
          <w:sz w:val="20"/>
        </w:rPr>
      </w:pPr>
      <w:r>
        <w:rPr>
          <w:sz w:val="20"/>
        </w:rPr>
        <w:t>Es, por lo tanto, evidente que “d</w:t>
      </w:r>
      <w:r>
        <w:rPr>
          <w:i/>
          <w:sz w:val="20"/>
        </w:rPr>
        <w:t>e las normas económicas, sociales y sobre educación, ciencia y cultura, contenidas en la Carta de la Organización de los Estados Americanos, reformada por el Protocol</w:t>
      </w:r>
      <w:r>
        <w:rPr>
          <w:i/>
          <w:sz w:val="20"/>
        </w:rPr>
        <w:t xml:space="preserve">o de Buenos Aires” </w:t>
      </w:r>
      <w:r>
        <w:rPr>
          <w:sz w:val="20"/>
        </w:rPr>
        <w:t>a que se refiere el artículo 26, no se colige, a diferencia de lo que se indica en autos, la competencia de la Corte de conocer y resolver las eventuales violaciones de los derechos que se derivan de</w:t>
      </w:r>
      <w:r>
        <w:rPr>
          <w:spacing w:val="-9"/>
          <w:sz w:val="20"/>
        </w:rPr>
        <w:t xml:space="preserve"> </w:t>
      </w:r>
      <w:r>
        <w:rPr>
          <w:sz w:val="20"/>
        </w:rPr>
        <w:t>ellas</w:t>
      </w:r>
      <w:r>
        <w:rPr>
          <w:i/>
          <w:sz w:val="20"/>
        </w:rPr>
        <w:t>.</w:t>
      </w:r>
    </w:p>
    <w:p w14:paraId="3B87A492" w14:textId="77777777" w:rsidR="00467FCA" w:rsidRDefault="00467FCA">
      <w:pPr>
        <w:pStyle w:val="Textoindependiente"/>
        <w:rPr>
          <w:i/>
          <w:sz w:val="23"/>
        </w:rPr>
      </w:pPr>
    </w:p>
    <w:p w14:paraId="5DC149A2" w14:textId="77777777" w:rsidR="00467FCA" w:rsidRDefault="001B68EB">
      <w:pPr>
        <w:pStyle w:val="Ttulo1"/>
        <w:numPr>
          <w:ilvl w:val="0"/>
          <w:numId w:val="24"/>
        </w:numPr>
        <w:tabs>
          <w:tab w:val="left" w:pos="809"/>
        </w:tabs>
        <w:spacing w:before="1"/>
        <w:ind w:left="808" w:hanging="339"/>
        <w:jc w:val="both"/>
      </w:pPr>
      <w:r>
        <w:t>El Protocolo de San</w:t>
      </w:r>
      <w:r>
        <w:rPr>
          <w:spacing w:val="-3"/>
        </w:rPr>
        <w:t xml:space="preserve"> </w:t>
      </w:r>
      <w:r>
        <w:t>Salvador.</w:t>
      </w:r>
    </w:p>
    <w:p w14:paraId="5B32A876" w14:textId="77777777" w:rsidR="00467FCA" w:rsidRDefault="00467FCA">
      <w:pPr>
        <w:pStyle w:val="Textoindependiente"/>
        <w:spacing w:before="10"/>
        <w:rPr>
          <w:b/>
          <w:sz w:val="25"/>
        </w:rPr>
      </w:pPr>
    </w:p>
    <w:p w14:paraId="4175A430" w14:textId="77777777" w:rsidR="00467FCA" w:rsidRDefault="001B68EB">
      <w:pPr>
        <w:pStyle w:val="Prrafodelista"/>
        <w:numPr>
          <w:ilvl w:val="0"/>
          <w:numId w:val="17"/>
        </w:numPr>
        <w:tabs>
          <w:tab w:val="left" w:pos="1450"/>
        </w:tabs>
        <w:spacing w:line="276" w:lineRule="auto"/>
        <w:ind w:right="398" w:firstLine="0"/>
        <w:jc w:val="both"/>
        <w:rPr>
          <w:sz w:val="20"/>
        </w:rPr>
      </w:pPr>
      <w:r>
        <w:rPr>
          <w:sz w:val="20"/>
        </w:rPr>
        <w:t xml:space="preserve">A mayor abundamiento a lo ya expresado, cabe referirse al </w:t>
      </w:r>
      <w:r>
        <w:rPr>
          <w:i/>
          <w:sz w:val="20"/>
        </w:rPr>
        <w:t>“</w:t>
      </w:r>
      <w:hyperlink r:id="rId61">
        <w:r>
          <w:rPr>
            <w:i/>
            <w:sz w:val="20"/>
          </w:rPr>
          <w:t>Protocolo Adicional a</w:t>
        </w:r>
      </w:hyperlink>
      <w:hyperlink r:id="rId62">
        <w:r>
          <w:rPr>
            <w:i/>
            <w:sz w:val="20"/>
          </w:rPr>
          <w:t xml:space="preserve"> la Convención Americana sobre Derechos Humanos en Materia de Derechos Económicos,</w:t>
        </w:r>
      </w:hyperlink>
      <w:hyperlink r:id="rId63">
        <w:r>
          <w:rPr>
            <w:i/>
            <w:sz w:val="20"/>
          </w:rPr>
          <w:t xml:space="preserve"> Sociales</w:t>
        </w:r>
        <w:r>
          <w:rPr>
            <w:i/>
            <w:spacing w:val="-7"/>
            <w:sz w:val="20"/>
          </w:rPr>
          <w:t xml:space="preserve"> </w:t>
        </w:r>
        <w:r>
          <w:rPr>
            <w:i/>
            <w:sz w:val="20"/>
          </w:rPr>
          <w:t>y</w:t>
        </w:r>
        <w:r>
          <w:rPr>
            <w:i/>
            <w:spacing w:val="-6"/>
            <w:sz w:val="20"/>
          </w:rPr>
          <w:t xml:space="preserve"> </w:t>
        </w:r>
        <w:r>
          <w:rPr>
            <w:i/>
            <w:sz w:val="20"/>
          </w:rPr>
          <w:t>Culturales</w:t>
        </w:r>
        <w:r>
          <w:rPr>
            <w:i/>
            <w:spacing w:val="-8"/>
            <w:sz w:val="20"/>
          </w:rPr>
          <w:t xml:space="preserve"> </w:t>
        </w:r>
        <w:r>
          <w:rPr>
            <w:i/>
            <w:sz w:val="20"/>
          </w:rPr>
          <w:t>–</w:t>
        </w:r>
        <w:r>
          <w:rPr>
            <w:i/>
            <w:spacing w:val="-3"/>
            <w:sz w:val="20"/>
          </w:rPr>
          <w:t xml:space="preserve"> </w:t>
        </w:r>
        <w:r>
          <w:rPr>
            <w:i/>
            <w:sz w:val="20"/>
          </w:rPr>
          <w:t>Pro</w:t>
        </w:r>
        <w:r>
          <w:rPr>
            <w:i/>
            <w:sz w:val="20"/>
          </w:rPr>
          <w:t>tocolo</w:t>
        </w:r>
        <w:r>
          <w:rPr>
            <w:i/>
            <w:spacing w:val="-7"/>
            <w:sz w:val="20"/>
          </w:rPr>
          <w:t xml:space="preserve"> </w:t>
        </w:r>
        <w:r>
          <w:rPr>
            <w:i/>
            <w:sz w:val="20"/>
          </w:rPr>
          <w:t>de</w:t>
        </w:r>
        <w:r>
          <w:rPr>
            <w:i/>
            <w:spacing w:val="-9"/>
            <w:sz w:val="20"/>
          </w:rPr>
          <w:t xml:space="preserve"> </w:t>
        </w:r>
        <w:r>
          <w:rPr>
            <w:i/>
            <w:sz w:val="20"/>
          </w:rPr>
          <w:t>San</w:t>
        </w:r>
        <w:r>
          <w:rPr>
            <w:i/>
            <w:spacing w:val="-4"/>
            <w:sz w:val="20"/>
          </w:rPr>
          <w:t xml:space="preserve"> </w:t>
        </w:r>
        <w:r>
          <w:rPr>
            <w:i/>
            <w:sz w:val="20"/>
          </w:rPr>
          <w:t>Salvador</w:t>
        </w:r>
      </w:hyperlink>
      <w:r>
        <w:rPr>
          <w:i/>
          <w:sz w:val="20"/>
        </w:rPr>
        <w:t>”,</w:t>
      </w:r>
      <w:r>
        <w:rPr>
          <w:i/>
          <w:spacing w:val="-6"/>
          <w:sz w:val="20"/>
        </w:rPr>
        <w:t xml:space="preserve"> </w:t>
      </w:r>
      <w:r>
        <w:rPr>
          <w:sz w:val="20"/>
        </w:rPr>
        <w:t>el</w:t>
      </w:r>
      <w:r>
        <w:rPr>
          <w:spacing w:val="-5"/>
          <w:sz w:val="20"/>
        </w:rPr>
        <w:t xml:space="preserve"> </w:t>
      </w:r>
      <w:r>
        <w:rPr>
          <w:sz w:val="20"/>
        </w:rPr>
        <w:t>que</w:t>
      </w:r>
      <w:r>
        <w:rPr>
          <w:spacing w:val="-7"/>
          <w:sz w:val="20"/>
        </w:rPr>
        <w:t xml:space="preserve"> </w:t>
      </w:r>
      <w:r>
        <w:rPr>
          <w:sz w:val="20"/>
        </w:rPr>
        <w:t>también</w:t>
      </w:r>
      <w:r>
        <w:rPr>
          <w:spacing w:val="-4"/>
          <w:sz w:val="20"/>
        </w:rPr>
        <w:t xml:space="preserve"> </w:t>
      </w:r>
      <w:r>
        <w:rPr>
          <w:sz w:val="20"/>
        </w:rPr>
        <w:t>es</w:t>
      </w:r>
      <w:r>
        <w:rPr>
          <w:spacing w:val="-6"/>
          <w:sz w:val="20"/>
        </w:rPr>
        <w:t xml:space="preserve"> </w:t>
      </w:r>
      <w:r>
        <w:rPr>
          <w:sz w:val="20"/>
        </w:rPr>
        <w:t>citado</w:t>
      </w:r>
      <w:r>
        <w:rPr>
          <w:spacing w:val="-6"/>
          <w:sz w:val="20"/>
        </w:rPr>
        <w:t xml:space="preserve"> </w:t>
      </w:r>
      <w:r>
        <w:rPr>
          <w:sz w:val="20"/>
        </w:rPr>
        <w:t>en</w:t>
      </w:r>
      <w:r>
        <w:rPr>
          <w:spacing w:val="-7"/>
          <w:sz w:val="20"/>
        </w:rPr>
        <w:t xml:space="preserve"> </w:t>
      </w:r>
      <w:r>
        <w:rPr>
          <w:sz w:val="20"/>
        </w:rPr>
        <w:t>la</w:t>
      </w:r>
      <w:r>
        <w:rPr>
          <w:spacing w:val="-5"/>
          <w:sz w:val="20"/>
        </w:rPr>
        <w:t xml:space="preserve"> </w:t>
      </w:r>
      <w:r>
        <w:rPr>
          <w:sz w:val="20"/>
        </w:rPr>
        <w:t>Sentencia en</w:t>
      </w:r>
      <w:r>
        <w:rPr>
          <w:spacing w:val="-9"/>
          <w:sz w:val="20"/>
        </w:rPr>
        <w:t xml:space="preserve"> </w:t>
      </w:r>
      <w:r>
        <w:rPr>
          <w:sz w:val="20"/>
        </w:rPr>
        <w:t>apoyo</w:t>
      </w:r>
      <w:r>
        <w:rPr>
          <w:spacing w:val="-11"/>
          <w:sz w:val="20"/>
        </w:rPr>
        <w:t xml:space="preserve"> </w:t>
      </w:r>
      <w:r>
        <w:rPr>
          <w:sz w:val="20"/>
        </w:rPr>
        <w:t>a</w:t>
      </w:r>
      <w:r>
        <w:rPr>
          <w:spacing w:val="-5"/>
          <w:sz w:val="20"/>
        </w:rPr>
        <w:t xml:space="preserve"> </w:t>
      </w:r>
      <w:r>
        <w:rPr>
          <w:sz w:val="20"/>
        </w:rPr>
        <w:t>su</w:t>
      </w:r>
      <w:r>
        <w:rPr>
          <w:spacing w:val="-9"/>
          <w:sz w:val="20"/>
        </w:rPr>
        <w:t xml:space="preserve"> </w:t>
      </w:r>
      <w:r>
        <w:rPr>
          <w:sz w:val="20"/>
        </w:rPr>
        <w:t>interpretación</w:t>
      </w:r>
      <w:r>
        <w:rPr>
          <w:spacing w:val="-9"/>
          <w:sz w:val="20"/>
        </w:rPr>
        <w:t xml:space="preserve"> </w:t>
      </w:r>
      <w:r>
        <w:rPr>
          <w:sz w:val="20"/>
        </w:rPr>
        <w:t>del</w:t>
      </w:r>
      <w:r>
        <w:rPr>
          <w:spacing w:val="-7"/>
          <w:sz w:val="20"/>
        </w:rPr>
        <w:t xml:space="preserve"> </w:t>
      </w:r>
      <w:r>
        <w:rPr>
          <w:sz w:val="20"/>
        </w:rPr>
        <w:t>artículo</w:t>
      </w:r>
      <w:r>
        <w:rPr>
          <w:spacing w:val="-9"/>
          <w:sz w:val="20"/>
        </w:rPr>
        <w:t xml:space="preserve"> </w:t>
      </w:r>
      <w:r>
        <w:rPr>
          <w:spacing w:val="2"/>
          <w:sz w:val="20"/>
        </w:rPr>
        <w:t>26</w:t>
      </w:r>
      <w:hyperlink w:anchor="_bookmark626" w:history="1">
        <w:r>
          <w:rPr>
            <w:spacing w:val="2"/>
            <w:position w:val="7"/>
            <w:sz w:val="13"/>
          </w:rPr>
          <w:t>78</w:t>
        </w:r>
      </w:hyperlink>
      <w:r>
        <w:rPr>
          <w:spacing w:val="2"/>
          <w:sz w:val="20"/>
        </w:rPr>
        <w:t>,</w:t>
      </w:r>
      <w:r>
        <w:rPr>
          <w:spacing w:val="-11"/>
          <w:sz w:val="20"/>
        </w:rPr>
        <w:t xml:space="preserve"> </w:t>
      </w:r>
      <w:r>
        <w:rPr>
          <w:sz w:val="20"/>
        </w:rPr>
        <w:t>pero</w:t>
      </w:r>
      <w:r>
        <w:rPr>
          <w:spacing w:val="-11"/>
          <w:sz w:val="20"/>
        </w:rPr>
        <w:t xml:space="preserve"> </w:t>
      </w:r>
      <w:r>
        <w:rPr>
          <w:sz w:val="20"/>
        </w:rPr>
        <w:t>que</w:t>
      </w:r>
      <w:r>
        <w:rPr>
          <w:spacing w:val="-9"/>
          <w:sz w:val="20"/>
        </w:rPr>
        <w:t xml:space="preserve"> </w:t>
      </w:r>
      <w:r>
        <w:rPr>
          <w:sz w:val="20"/>
        </w:rPr>
        <w:t>el</w:t>
      </w:r>
      <w:r>
        <w:rPr>
          <w:spacing w:val="-7"/>
          <w:sz w:val="20"/>
        </w:rPr>
        <w:t xml:space="preserve"> </w:t>
      </w:r>
      <w:r>
        <w:rPr>
          <w:sz w:val="20"/>
        </w:rPr>
        <w:t>suscrito</w:t>
      </w:r>
      <w:r>
        <w:rPr>
          <w:spacing w:val="-7"/>
          <w:sz w:val="20"/>
        </w:rPr>
        <w:t xml:space="preserve"> </w:t>
      </w:r>
      <w:r>
        <w:rPr>
          <w:sz w:val="20"/>
        </w:rPr>
        <w:t>estima</w:t>
      </w:r>
      <w:r>
        <w:rPr>
          <w:spacing w:val="-5"/>
          <w:sz w:val="20"/>
        </w:rPr>
        <w:t xml:space="preserve"> </w:t>
      </w:r>
      <w:r>
        <w:rPr>
          <w:sz w:val="20"/>
        </w:rPr>
        <w:t>que</w:t>
      </w:r>
      <w:r>
        <w:rPr>
          <w:spacing w:val="-11"/>
          <w:sz w:val="20"/>
        </w:rPr>
        <w:t xml:space="preserve"> </w:t>
      </w:r>
      <w:r>
        <w:rPr>
          <w:sz w:val="20"/>
        </w:rPr>
        <w:t>su</w:t>
      </w:r>
      <w:r>
        <w:rPr>
          <w:spacing w:val="-7"/>
          <w:sz w:val="20"/>
        </w:rPr>
        <w:t xml:space="preserve"> </w:t>
      </w:r>
      <w:r>
        <w:rPr>
          <w:sz w:val="20"/>
        </w:rPr>
        <w:t>suscripción y vigencia respalda, por el contrario, lo que sostiene en este</w:t>
      </w:r>
      <w:r>
        <w:rPr>
          <w:spacing w:val="-10"/>
          <w:sz w:val="20"/>
        </w:rPr>
        <w:t xml:space="preserve"> </w:t>
      </w:r>
      <w:r>
        <w:rPr>
          <w:sz w:val="20"/>
        </w:rPr>
        <w:t>escrito.</w:t>
      </w:r>
    </w:p>
    <w:p w14:paraId="59289FCD" w14:textId="77777777" w:rsidR="00467FCA" w:rsidRDefault="00467FCA">
      <w:pPr>
        <w:pStyle w:val="Textoindependiente"/>
        <w:spacing w:before="1"/>
        <w:rPr>
          <w:sz w:val="23"/>
        </w:rPr>
      </w:pPr>
    </w:p>
    <w:p w14:paraId="06875790" w14:textId="77777777" w:rsidR="00467FCA" w:rsidRDefault="001B68EB">
      <w:pPr>
        <w:pStyle w:val="Prrafodelista"/>
        <w:numPr>
          <w:ilvl w:val="0"/>
          <w:numId w:val="17"/>
        </w:numPr>
        <w:tabs>
          <w:tab w:val="left" w:pos="1450"/>
        </w:tabs>
        <w:spacing w:line="273" w:lineRule="auto"/>
        <w:ind w:right="401" w:hanging="1"/>
        <w:jc w:val="both"/>
        <w:rPr>
          <w:sz w:val="20"/>
        </w:rPr>
      </w:pPr>
      <w:r>
        <w:rPr>
          <w:sz w:val="20"/>
        </w:rPr>
        <w:t>Dicho</w:t>
      </w:r>
      <w:r>
        <w:rPr>
          <w:spacing w:val="-11"/>
          <w:sz w:val="20"/>
        </w:rPr>
        <w:t xml:space="preserve"> </w:t>
      </w:r>
      <w:r>
        <w:rPr>
          <w:sz w:val="20"/>
        </w:rPr>
        <w:t>instrumento</w:t>
      </w:r>
      <w:hyperlink w:anchor="_bookmark627" w:history="1">
        <w:r>
          <w:rPr>
            <w:position w:val="7"/>
            <w:sz w:val="13"/>
          </w:rPr>
          <w:t>79</w:t>
        </w:r>
        <w:r>
          <w:rPr>
            <w:spacing w:val="16"/>
            <w:position w:val="7"/>
            <w:sz w:val="13"/>
          </w:rPr>
          <w:t xml:space="preserve"> </w:t>
        </w:r>
      </w:hyperlink>
      <w:r>
        <w:rPr>
          <w:sz w:val="20"/>
        </w:rPr>
        <w:t>es</w:t>
      </w:r>
      <w:r>
        <w:rPr>
          <w:spacing w:val="-10"/>
          <w:sz w:val="20"/>
        </w:rPr>
        <w:t xml:space="preserve"> </w:t>
      </w:r>
      <w:r>
        <w:rPr>
          <w:sz w:val="20"/>
        </w:rPr>
        <w:t>adoptado</w:t>
      </w:r>
      <w:r>
        <w:rPr>
          <w:spacing w:val="-9"/>
          <w:sz w:val="20"/>
        </w:rPr>
        <w:t xml:space="preserve"> </w:t>
      </w:r>
      <w:r>
        <w:rPr>
          <w:sz w:val="20"/>
        </w:rPr>
        <w:t>en</w:t>
      </w:r>
      <w:r>
        <w:rPr>
          <w:spacing w:val="-8"/>
          <w:sz w:val="20"/>
        </w:rPr>
        <w:t xml:space="preserve"> </w:t>
      </w:r>
      <w:r>
        <w:rPr>
          <w:sz w:val="20"/>
        </w:rPr>
        <w:t>consideración</w:t>
      </w:r>
      <w:r>
        <w:rPr>
          <w:spacing w:val="-7"/>
          <w:sz w:val="20"/>
        </w:rPr>
        <w:t xml:space="preserve"> </w:t>
      </w:r>
      <w:r>
        <w:rPr>
          <w:sz w:val="20"/>
        </w:rPr>
        <w:t>a</w:t>
      </w:r>
      <w:r>
        <w:rPr>
          <w:spacing w:val="-10"/>
          <w:sz w:val="20"/>
        </w:rPr>
        <w:t xml:space="preserve"> </w:t>
      </w:r>
      <w:r>
        <w:rPr>
          <w:sz w:val="20"/>
        </w:rPr>
        <w:t>lo</w:t>
      </w:r>
      <w:r>
        <w:rPr>
          <w:spacing w:val="-8"/>
          <w:sz w:val="20"/>
        </w:rPr>
        <w:t xml:space="preserve"> </w:t>
      </w:r>
      <w:r>
        <w:rPr>
          <w:sz w:val="20"/>
        </w:rPr>
        <w:t>previsto</w:t>
      </w:r>
      <w:r>
        <w:rPr>
          <w:spacing w:val="-9"/>
          <w:sz w:val="20"/>
        </w:rPr>
        <w:t xml:space="preserve"> </w:t>
      </w:r>
      <w:r>
        <w:rPr>
          <w:sz w:val="20"/>
        </w:rPr>
        <w:t>en</w:t>
      </w:r>
      <w:r>
        <w:rPr>
          <w:spacing w:val="-8"/>
          <w:sz w:val="20"/>
        </w:rPr>
        <w:t xml:space="preserve"> </w:t>
      </w:r>
      <w:r>
        <w:rPr>
          <w:sz w:val="20"/>
        </w:rPr>
        <w:t>los</w:t>
      </w:r>
      <w:r>
        <w:rPr>
          <w:spacing w:val="-11"/>
          <w:sz w:val="20"/>
        </w:rPr>
        <w:t xml:space="preserve"> </w:t>
      </w:r>
      <w:r>
        <w:rPr>
          <w:sz w:val="20"/>
        </w:rPr>
        <w:t>artículos</w:t>
      </w:r>
      <w:r>
        <w:rPr>
          <w:spacing w:val="-11"/>
          <w:sz w:val="20"/>
        </w:rPr>
        <w:t xml:space="preserve"> </w:t>
      </w:r>
      <w:r>
        <w:rPr>
          <w:sz w:val="20"/>
        </w:rPr>
        <w:t xml:space="preserve">31, 76 y </w:t>
      </w:r>
      <w:r>
        <w:rPr>
          <w:spacing w:val="2"/>
          <w:sz w:val="20"/>
        </w:rPr>
        <w:t>77</w:t>
      </w:r>
      <w:hyperlink w:anchor="_bookmark628" w:history="1">
        <w:r>
          <w:rPr>
            <w:spacing w:val="2"/>
            <w:position w:val="7"/>
            <w:sz w:val="13"/>
          </w:rPr>
          <w:t>80</w:t>
        </w:r>
      </w:hyperlink>
      <w:r>
        <w:rPr>
          <w:spacing w:val="2"/>
          <w:position w:val="7"/>
          <w:sz w:val="13"/>
        </w:rPr>
        <w:t xml:space="preserve"> </w:t>
      </w:r>
      <w:r>
        <w:rPr>
          <w:sz w:val="20"/>
        </w:rPr>
        <w:t>de la Convenc</w:t>
      </w:r>
      <w:r>
        <w:rPr>
          <w:sz w:val="20"/>
        </w:rPr>
        <w:t>ión. Así lo expresa su propio Preámbulo, al señalar</w:t>
      </w:r>
      <w:r>
        <w:rPr>
          <w:spacing w:val="-46"/>
          <w:sz w:val="20"/>
        </w:rPr>
        <w:t xml:space="preserve"> </w:t>
      </w:r>
      <w:r>
        <w:rPr>
          <w:sz w:val="20"/>
        </w:rPr>
        <w:t>que</w:t>
      </w:r>
    </w:p>
    <w:p w14:paraId="1136EBDC" w14:textId="77777777" w:rsidR="00467FCA" w:rsidRDefault="00467FCA">
      <w:pPr>
        <w:pStyle w:val="Textoindependiente"/>
        <w:spacing w:before="2"/>
        <w:rPr>
          <w:sz w:val="23"/>
        </w:rPr>
      </w:pPr>
    </w:p>
    <w:p w14:paraId="03030169" w14:textId="77777777" w:rsidR="00467FCA" w:rsidRDefault="001B68EB">
      <w:pPr>
        <w:spacing w:line="276" w:lineRule="auto"/>
        <w:ind w:left="1461" w:right="392"/>
        <w:jc w:val="both"/>
        <w:rPr>
          <w:i/>
          <w:sz w:val="18"/>
        </w:rPr>
      </w:pPr>
      <w:r>
        <w:rPr>
          <w:i/>
          <w:sz w:val="18"/>
        </w:rPr>
        <w:t xml:space="preserve">“(t)eniendo presente que si bien los derechos económicos, sociales y culturales </w:t>
      </w:r>
      <w:r>
        <w:rPr>
          <w:i/>
          <w:sz w:val="18"/>
        </w:rPr>
        <w:t xml:space="preserve">fundamentales han sido reconocidos en anteriores instrumentos internacionales, tanto de ámbito universal como regional, resulta de gran importancia que éstos sean reafirmados, desarrollados, perfeccionados y protegidos en función de consolidar en América, </w:t>
      </w:r>
      <w:r>
        <w:rPr>
          <w:i/>
          <w:sz w:val="18"/>
        </w:rPr>
        <w:t>sobre la base del respeto integral a los derechos de la persona, el régimen democrático representativo de gobierno, así como el derecho de sus pueblos al desarrollo, a la libre determinación</w:t>
      </w:r>
      <w:r>
        <w:rPr>
          <w:i/>
          <w:spacing w:val="-9"/>
          <w:sz w:val="18"/>
        </w:rPr>
        <w:t xml:space="preserve"> </w:t>
      </w:r>
      <w:r>
        <w:rPr>
          <w:i/>
          <w:sz w:val="18"/>
        </w:rPr>
        <w:t>y</w:t>
      </w:r>
      <w:r>
        <w:rPr>
          <w:i/>
          <w:spacing w:val="-11"/>
          <w:sz w:val="18"/>
        </w:rPr>
        <w:t xml:space="preserve"> </w:t>
      </w:r>
      <w:r>
        <w:rPr>
          <w:i/>
          <w:sz w:val="18"/>
        </w:rPr>
        <w:t>a</w:t>
      </w:r>
      <w:r>
        <w:rPr>
          <w:i/>
          <w:spacing w:val="-10"/>
          <w:sz w:val="18"/>
        </w:rPr>
        <w:t xml:space="preserve"> </w:t>
      </w:r>
      <w:r>
        <w:rPr>
          <w:i/>
          <w:sz w:val="18"/>
        </w:rPr>
        <w:t>disponer</w:t>
      </w:r>
      <w:r>
        <w:rPr>
          <w:i/>
          <w:spacing w:val="-13"/>
          <w:sz w:val="18"/>
        </w:rPr>
        <w:t xml:space="preserve"> </w:t>
      </w:r>
      <w:r>
        <w:rPr>
          <w:i/>
          <w:sz w:val="18"/>
        </w:rPr>
        <w:t>libremente</w:t>
      </w:r>
      <w:r>
        <w:rPr>
          <w:i/>
          <w:spacing w:val="-9"/>
          <w:sz w:val="18"/>
        </w:rPr>
        <w:t xml:space="preserve"> </w:t>
      </w:r>
      <w:r>
        <w:rPr>
          <w:i/>
          <w:sz w:val="18"/>
        </w:rPr>
        <w:t>de</w:t>
      </w:r>
      <w:r>
        <w:rPr>
          <w:i/>
          <w:spacing w:val="-10"/>
          <w:sz w:val="18"/>
        </w:rPr>
        <w:t xml:space="preserve"> </w:t>
      </w:r>
      <w:r>
        <w:rPr>
          <w:i/>
          <w:sz w:val="18"/>
        </w:rPr>
        <w:t>sus</w:t>
      </w:r>
      <w:r>
        <w:rPr>
          <w:i/>
          <w:spacing w:val="-10"/>
          <w:sz w:val="18"/>
        </w:rPr>
        <w:t xml:space="preserve"> </w:t>
      </w:r>
      <w:r>
        <w:rPr>
          <w:i/>
          <w:sz w:val="18"/>
        </w:rPr>
        <w:t>riquezas</w:t>
      </w:r>
      <w:r>
        <w:rPr>
          <w:i/>
          <w:spacing w:val="-11"/>
          <w:sz w:val="18"/>
        </w:rPr>
        <w:t xml:space="preserve"> </w:t>
      </w:r>
      <w:r>
        <w:rPr>
          <w:i/>
          <w:sz w:val="18"/>
        </w:rPr>
        <w:t>y</w:t>
      </w:r>
      <w:r>
        <w:rPr>
          <w:i/>
          <w:spacing w:val="-11"/>
          <w:sz w:val="18"/>
        </w:rPr>
        <w:t xml:space="preserve"> </w:t>
      </w:r>
      <w:r>
        <w:rPr>
          <w:i/>
          <w:sz w:val="18"/>
        </w:rPr>
        <w:t>recursos</w:t>
      </w:r>
      <w:r>
        <w:rPr>
          <w:i/>
          <w:spacing w:val="-10"/>
          <w:sz w:val="18"/>
        </w:rPr>
        <w:t xml:space="preserve"> </w:t>
      </w:r>
      <w:r>
        <w:rPr>
          <w:i/>
          <w:sz w:val="18"/>
        </w:rPr>
        <w:t>naturales,</w:t>
      </w:r>
      <w:r>
        <w:rPr>
          <w:i/>
          <w:spacing w:val="-11"/>
          <w:sz w:val="18"/>
        </w:rPr>
        <w:t xml:space="preserve"> </w:t>
      </w:r>
      <w:r>
        <w:rPr>
          <w:i/>
          <w:sz w:val="18"/>
        </w:rPr>
        <w:t>y</w:t>
      </w:r>
      <w:r>
        <w:rPr>
          <w:i/>
          <w:spacing w:val="-10"/>
          <w:sz w:val="18"/>
        </w:rPr>
        <w:t xml:space="preserve"> </w:t>
      </w:r>
      <w:r>
        <w:rPr>
          <w:i/>
          <w:sz w:val="18"/>
        </w:rPr>
        <w:t>c</w:t>
      </w:r>
      <w:r>
        <w:rPr>
          <w:i/>
          <w:sz w:val="18"/>
        </w:rPr>
        <w:t>onsiderando que la Convención Americana sobre Derechos Humanos establece que pueden someterse a la consideración de los Estados partes reunidos con ocasión de la Asamblea General de la Organización</w:t>
      </w:r>
      <w:r>
        <w:rPr>
          <w:i/>
          <w:spacing w:val="15"/>
          <w:sz w:val="18"/>
        </w:rPr>
        <w:t xml:space="preserve"> </w:t>
      </w:r>
      <w:r>
        <w:rPr>
          <w:i/>
          <w:sz w:val="18"/>
        </w:rPr>
        <w:t>de</w:t>
      </w:r>
      <w:r>
        <w:rPr>
          <w:i/>
          <w:spacing w:val="15"/>
          <w:sz w:val="18"/>
        </w:rPr>
        <w:t xml:space="preserve"> </w:t>
      </w:r>
      <w:r>
        <w:rPr>
          <w:i/>
          <w:sz w:val="18"/>
        </w:rPr>
        <w:t>los</w:t>
      </w:r>
      <w:r>
        <w:rPr>
          <w:i/>
          <w:spacing w:val="14"/>
          <w:sz w:val="18"/>
        </w:rPr>
        <w:t xml:space="preserve"> </w:t>
      </w:r>
      <w:r>
        <w:rPr>
          <w:i/>
          <w:sz w:val="18"/>
        </w:rPr>
        <w:t>Estados</w:t>
      </w:r>
      <w:r>
        <w:rPr>
          <w:i/>
          <w:spacing w:val="14"/>
          <w:sz w:val="18"/>
        </w:rPr>
        <w:t xml:space="preserve"> </w:t>
      </w:r>
      <w:r>
        <w:rPr>
          <w:i/>
          <w:sz w:val="18"/>
        </w:rPr>
        <w:t>Americanos</w:t>
      </w:r>
      <w:r>
        <w:rPr>
          <w:i/>
          <w:spacing w:val="14"/>
          <w:sz w:val="18"/>
        </w:rPr>
        <w:t xml:space="preserve"> </w:t>
      </w:r>
      <w:r>
        <w:rPr>
          <w:i/>
          <w:sz w:val="18"/>
        </w:rPr>
        <w:t>proyectos</w:t>
      </w:r>
      <w:r>
        <w:rPr>
          <w:i/>
          <w:spacing w:val="14"/>
          <w:sz w:val="18"/>
        </w:rPr>
        <w:t xml:space="preserve"> </w:t>
      </w:r>
      <w:r>
        <w:rPr>
          <w:i/>
          <w:sz w:val="18"/>
        </w:rPr>
        <w:t>de</w:t>
      </w:r>
      <w:r>
        <w:rPr>
          <w:i/>
          <w:spacing w:val="15"/>
          <w:sz w:val="18"/>
        </w:rPr>
        <w:t xml:space="preserve"> </w:t>
      </w:r>
      <w:r>
        <w:rPr>
          <w:i/>
          <w:sz w:val="18"/>
        </w:rPr>
        <w:t>protocolos</w:t>
      </w:r>
      <w:r>
        <w:rPr>
          <w:i/>
          <w:spacing w:val="14"/>
          <w:sz w:val="18"/>
        </w:rPr>
        <w:t xml:space="preserve"> </w:t>
      </w:r>
      <w:r>
        <w:rPr>
          <w:i/>
          <w:sz w:val="18"/>
        </w:rPr>
        <w:t>adiciona</w:t>
      </w:r>
      <w:r>
        <w:rPr>
          <w:i/>
          <w:sz w:val="18"/>
        </w:rPr>
        <w:t>les</w:t>
      </w:r>
      <w:r>
        <w:rPr>
          <w:i/>
          <w:spacing w:val="14"/>
          <w:sz w:val="18"/>
        </w:rPr>
        <w:t xml:space="preserve"> </w:t>
      </w:r>
      <w:r>
        <w:rPr>
          <w:i/>
          <w:sz w:val="18"/>
        </w:rPr>
        <w:t>a</w:t>
      </w:r>
      <w:r>
        <w:rPr>
          <w:i/>
          <w:spacing w:val="14"/>
          <w:sz w:val="18"/>
        </w:rPr>
        <w:t xml:space="preserve"> </w:t>
      </w:r>
      <w:r>
        <w:rPr>
          <w:i/>
          <w:sz w:val="18"/>
        </w:rPr>
        <w:t>esa</w:t>
      </w:r>
    </w:p>
    <w:p w14:paraId="2559CC3F" w14:textId="77777777" w:rsidR="00467FCA" w:rsidRDefault="001B68EB">
      <w:pPr>
        <w:pStyle w:val="Textoindependiente"/>
        <w:spacing w:before="8"/>
        <w:rPr>
          <w:i/>
        </w:rPr>
      </w:pPr>
      <w:r>
        <w:pict w14:anchorId="2AE7C5D5">
          <v:shape id="_x0000_s1087" style="position:absolute;margin-left:56.75pt;margin-top:14.9pt;width:2in;height:.1pt;z-index:-251546624;mso-wrap-distance-left:0;mso-wrap-distance-right:0;mso-position-horizontal-relative:page" coordorigin="1135,298" coordsize="2880,0" path="m1135,298r2880,e" filled="f" strokeweight=".72pt">
            <v:path arrowok="t"/>
            <w10:wrap type="topAndBottom" anchorx="page"/>
          </v:shape>
        </w:pict>
      </w:r>
    </w:p>
    <w:p w14:paraId="00FD6216" w14:textId="77777777" w:rsidR="00467FCA" w:rsidRDefault="001B68EB">
      <w:pPr>
        <w:spacing w:before="71"/>
        <w:ind w:left="470"/>
        <w:rPr>
          <w:sz w:val="16"/>
        </w:rPr>
      </w:pPr>
      <w:bookmarkStart w:id="705" w:name="_bookmark626"/>
      <w:bookmarkEnd w:id="705"/>
      <w:r>
        <w:rPr>
          <w:position w:val="6"/>
          <w:sz w:val="10"/>
        </w:rPr>
        <w:t xml:space="preserve">78 </w:t>
      </w:r>
      <w:r>
        <w:rPr>
          <w:sz w:val="16"/>
        </w:rPr>
        <w:t>Párr. 161.</w:t>
      </w:r>
    </w:p>
    <w:p w14:paraId="13A89E44" w14:textId="77777777" w:rsidR="00467FCA" w:rsidRDefault="001B68EB">
      <w:pPr>
        <w:ind w:left="470"/>
        <w:rPr>
          <w:sz w:val="16"/>
        </w:rPr>
      </w:pPr>
      <w:bookmarkStart w:id="706" w:name="_bookmark627"/>
      <w:bookmarkEnd w:id="706"/>
      <w:r>
        <w:rPr>
          <w:position w:val="6"/>
          <w:sz w:val="10"/>
        </w:rPr>
        <w:t xml:space="preserve">79 </w:t>
      </w:r>
      <w:r>
        <w:rPr>
          <w:sz w:val="16"/>
        </w:rPr>
        <w:t>En lo sucesivo, el Protocolo.</w:t>
      </w:r>
    </w:p>
    <w:p w14:paraId="46CC59FD" w14:textId="77777777" w:rsidR="00467FCA" w:rsidRDefault="001B68EB">
      <w:pPr>
        <w:ind w:left="470"/>
        <w:rPr>
          <w:sz w:val="16"/>
        </w:rPr>
      </w:pPr>
      <w:bookmarkStart w:id="707" w:name="_bookmark628"/>
      <w:bookmarkEnd w:id="707"/>
      <w:r>
        <w:rPr>
          <w:position w:val="6"/>
          <w:sz w:val="10"/>
        </w:rPr>
        <w:t xml:space="preserve">80 </w:t>
      </w:r>
      <w:r>
        <w:rPr>
          <w:i/>
          <w:sz w:val="16"/>
        </w:rPr>
        <w:t>Supra</w:t>
      </w:r>
      <w:r>
        <w:rPr>
          <w:sz w:val="16"/>
        </w:rPr>
        <w:t>, Nota N° 69.</w:t>
      </w:r>
    </w:p>
    <w:p w14:paraId="28A52899" w14:textId="77777777" w:rsidR="00467FCA" w:rsidRDefault="00467FCA">
      <w:pPr>
        <w:rPr>
          <w:sz w:val="16"/>
        </w:rPr>
        <w:sectPr w:rsidR="00467FCA">
          <w:pgSz w:w="12240" w:h="15840"/>
          <w:pgMar w:top="1340" w:right="1140" w:bottom="1200" w:left="960" w:header="0" w:footer="1002" w:gutter="0"/>
          <w:cols w:space="720"/>
        </w:sectPr>
      </w:pPr>
    </w:p>
    <w:p w14:paraId="6313441B" w14:textId="77777777" w:rsidR="00467FCA" w:rsidRDefault="001B68EB">
      <w:pPr>
        <w:spacing w:before="75" w:line="276" w:lineRule="auto"/>
        <w:ind w:left="1461" w:right="409"/>
        <w:rPr>
          <w:i/>
          <w:sz w:val="18"/>
        </w:rPr>
      </w:pPr>
      <w:r>
        <w:rPr>
          <w:i/>
          <w:sz w:val="18"/>
        </w:rPr>
        <w:t>Convención con la finalidad de incluir progresivamente en el régimen de protección de la misma otros derechos y libertades”.</w:t>
      </w:r>
    </w:p>
    <w:p w14:paraId="7528A76E" w14:textId="77777777" w:rsidR="00467FCA" w:rsidRDefault="00467FCA">
      <w:pPr>
        <w:pStyle w:val="Textoindependiente"/>
        <w:spacing w:before="3"/>
        <w:rPr>
          <w:i/>
          <w:sz w:val="23"/>
        </w:rPr>
      </w:pPr>
    </w:p>
    <w:p w14:paraId="33AC2F2F" w14:textId="77777777" w:rsidR="00467FCA" w:rsidRDefault="001B68EB">
      <w:pPr>
        <w:pStyle w:val="Prrafodelista"/>
        <w:numPr>
          <w:ilvl w:val="0"/>
          <w:numId w:val="17"/>
        </w:numPr>
        <w:tabs>
          <w:tab w:val="left" w:pos="1450"/>
        </w:tabs>
        <w:spacing w:line="276" w:lineRule="auto"/>
        <w:ind w:right="397" w:firstLine="0"/>
        <w:jc w:val="both"/>
        <w:rPr>
          <w:sz w:val="20"/>
        </w:rPr>
      </w:pPr>
      <w:r>
        <w:rPr>
          <w:sz w:val="20"/>
        </w:rPr>
        <w:t>De</w:t>
      </w:r>
      <w:r>
        <w:rPr>
          <w:spacing w:val="-9"/>
          <w:sz w:val="20"/>
        </w:rPr>
        <w:t xml:space="preserve"> </w:t>
      </w:r>
      <w:r>
        <w:rPr>
          <w:sz w:val="20"/>
        </w:rPr>
        <w:t>lo</w:t>
      </w:r>
      <w:r>
        <w:rPr>
          <w:spacing w:val="-9"/>
          <w:sz w:val="20"/>
        </w:rPr>
        <w:t xml:space="preserve"> </w:t>
      </w:r>
      <w:r>
        <w:rPr>
          <w:sz w:val="20"/>
        </w:rPr>
        <w:t>transcrito</w:t>
      </w:r>
      <w:r>
        <w:rPr>
          <w:spacing w:val="-7"/>
          <w:sz w:val="20"/>
        </w:rPr>
        <w:t xml:space="preserve"> </w:t>
      </w:r>
      <w:r>
        <w:rPr>
          <w:sz w:val="20"/>
        </w:rPr>
        <w:t>se</w:t>
      </w:r>
      <w:r>
        <w:rPr>
          <w:spacing w:val="-7"/>
          <w:sz w:val="20"/>
        </w:rPr>
        <w:t xml:space="preserve"> </w:t>
      </w:r>
      <w:r>
        <w:rPr>
          <w:sz w:val="20"/>
        </w:rPr>
        <w:t>desprende,</w:t>
      </w:r>
      <w:r>
        <w:rPr>
          <w:spacing w:val="-6"/>
          <w:sz w:val="20"/>
        </w:rPr>
        <w:t xml:space="preserve"> </w:t>
      </w:r>
      <w:r>
        <w:rPr>
          <w:sz w:val="20"/>
        </w:rPr>
        <w:t>por</w:t>
      </w:r>
      <w:r>
        <w:rPr>
          <w:spacing w:val="-6"/>
          <w:sz w:val="20"/>
        </w:rPr>
        <w:t xml:space="preserve"> </w:t>
      </w:r>
      <w:r>
        <w:rPr>
          <w:sz w:val="20"/>
        </w:rPr>
        <w:t>ende,</w:t>
      </w:r>
      <w:r>
        <w:rPr>
          <w:spacing w:val="-6"/>
          <w:sz w:val="20"/>
        </w:rPr>
        <w:t xml:space="preserve"> </w:t>
      </w:r>
      <w:r>
        <w:rPr>
          <w:sz w:val="20"/>
        </w:rPr>
        <w:t>que</w:t>
      </w:r>
      <w:r>
        <w:rPr>
          <w:spacing w:val="-6"/>
          <w:sz w:val="20"/>
        </w:rPr>
        <w:t xml:space="preserve"> </w:t>
      </w:r>
      <w:r>
        <w:rPr>
          <w:sz w:val="20"/>
        </w:rPr>
        <w:t>se</w:t>
      </w:r>
      <w:r>
        <w:rPr>
          <w:spacing w:val="-7"/>
          <w:sz w:val="20"/>
        </w:rPr>
        <w:t xml:space="preserve"> </w:t>
      </w:r>
      <w:r>
        <w:rPr>
          <w:sz w:val="20"/>
        </w:rPr>
        <w:t>trata</w:t>
      </w:r>
      <w:r>
        <w:rPr>
          <w:spacing w:val="-8"/>
          <w:sz w:val="20"/>
        </w:rPr>
        <w:t xml:space="preserve"> </w:t>
      </w:r>
      <w:r>
        <w:rPr>
          <w:sz w:val="20"/>
        </w:rPr>
        <w:t>de</w:t>
      </w:r>
      <w:r>
        <w:rPr>
          <w:spacing w:val="-7"/>
          <w:sz w:val="20"/>
        </w:rPr>
        <w:t xml:space="preserve"> </w:t>
      </w:r>
      <w:r>
        <w:rPr>
          <w:sz w:val="20"/>
        </w:rPr>
        <w:t>un</w:t>
      </w:r>
      <w:r>
        <w:rPr>
          <w:spacing w:val="-7"/>
          <w:sz w:val="20"/>
        </w:rPr>
        <w:t xml:space="preserve"> </w:t>
      </w:r>
      <w:r>
        <w:rPr>
          <w:sz w:val="20"/>
        </w:rPr>
        <w:t>acuerdo</w:t>
      </w:r>
      <w:r>
        <w:rPr>
          <w:spacing w:val="-6"/>
          <w:sz w:val="20"/>
        </w:rPr>
        <w:t xml:space="preserve"> </w:t>
      </w:r>
      <w:r>
        <w:rPr>
          <w:sz w:val="20"/>
        </w:rPr>
        <w:t>“</w:t>
      </w:r>
      <w:r>
        <w:rPr>
          <w:i/>
          <w:sz w:val="20"/>
        </w:rPr>
        <w:t>Adicional</w:t>
      </w:r>
      <w:r>
        <w:rPr>
          <w:i/>
          <w:spacing w:val="-8"/>
          <w:sz w:val="20"/>
        </w:rPr>
        <w:t xml:space="preserve"> </w:t>
      </w:r>
      <w:r>
        <w:rPr>
          <w:i/>
          <w:sz w:val="20"/>
        </w:rPr>
        <w:t>a</w:t>
      </w:r>
      <w:r>
        <w:rPr>
          <w:i/>
          <w:spacing w:val="-8"/>
          <w:sz w:val="20"/>
        </w:rPr>
        <w:t xml:space="preserve"> </w:t>
      </w:r>
      <w:r>
        <w:rPr>
          <w:i/>
          <w:sz w:val="20"/>
        </w:rPr>
        <w:t>la Convención</w:t>
      </w:r>
      <w:r>
        <w:rPr>
          <w:sz w:val="20"/>
        </w:rPr>
        <w:t>”,</w:t>
      </w:r>
      <w:r>
        <w:rPr>
          <w:spacing w:val="-20"/>
          <w:sz w:val="20"/>
        </w:rPr>
        <w:t xml:space="preserve"> </w:t>
      </w:r>
      <w:r>
        <w:rPr>
          <w:sz w:val="20"/>
        </w:rPr>
        <w:t>que</w:t>
      </w:r>
      <w:r>
        <w:rPr>
          <w:spacing w:val="-20"/>
          <w:sz w:val="20"/>
        </w:rPr>
        <w:t xml:space="preserve"> </w:t>
      </w:r>
      <w:r>
        <w:rPr>
          <w:sz w:val="20"/>
        </w:rPr>
        <w:t>tiene</w:t>
      </w:r>
      <w:r>
        <w:rPr>
          <w:spacing w:val="-17"/>
          <w:sz w:val="20"/>
        </w:rPr>
        <w:t xml:space="preserve"> </w:t>
      </w:r>
      <w:r>
        <w:rPr>
          <w:sz w:val="20"/>
        </w:rPr>
        <w:t>por</w:t>
      </w:r>
      <w:r>
        <w:rPr>
          <w:spacing w:val="-17"/>
          <w:sz w:val="20"/>
        </w:rPr>
        <w:t xml:space="preserve"> </w:t>
      </w:r>
      <w:r>
        <w:rPr>
          <w:sz w:val="20"/>
        </w:rPr>
        <w:t>específica</w:t>
      </w:r>
      <w:r>
        <w:rPr>
          <w:spacing w:val="-18"/>
          <w:sz w:val="20"/>
        </w:rPr>
        <w:t xml:space="preserve"> </w:t>
      </w:r>
      <w:r>
        <w:rPr>
          <w:sz w:val="20"/>
        </w:rPr>
        <w:t>finalidad</w:t>
      </w:r>
      <w:r>
        <w:rPr>
          <w:spacing w:val="-19"/>
          <w:sz w:val="20"/>
        </w:rPr>
        <w:t xml:space="preserve"> </w:t>
      </w:r>
      <w:r>
        <w:rPr>
          <w:sz w:val="20"/>
        </w:rPr>
        <w:t>reafirmar,</w:t>
      </w:r>
      <w:r>
        <w:rPr>
          <w:spacing w:val="-19"/>
          <w:sz w:val="20"/>
        </w:rPr>
        <w:t xml:space="preserve"> </w:t>
      </w:r>
      <w:r>
        <w:rPr>
          <w:sz w:val="20"/>
        </w:rPr>
        <w:t>desarrollar,</w:t>
      </w:r>
      <w:r>
        <w:rPr>
          <w:spacing w:val="-19"/>
          <w:sz w:val="20"/>
        </w:rPr>
        <w:t xml:space="preserve"> </w:t>
      </w:r>
      <w:r>
        <w:rPr>
          <w:sz w:val="20"/>
        </w:rPr>
        <w:t>perfeccionar</w:t>
      </w:r>
      <w:r>
        <w:rPr>
          <w:spacing w:val="-20"/>
          <w:sz w:val="20"/>
        </w:rPr>
        <w:t xml:space="preserve"> </w:t>
      </w:r>
      <w:r>
        <w:rPr>
          <w:sz w:val="20"/>
        </w:rPr>
        <w:t>y</w:t>
      </w:r>
      <w:r>
        <w:rPr>
          <w:spacing w:val="-19"/>
          <w:sz w:val="20"/>
        </w:rPr>
        <w:t xml:space="preserve"> </w:t>
      </w:r>
      <w:r>
        <w:rPr>
          <w:sz w:val="20"/>
        </w:rPr>
        <w:t>proteger los</w:t>
      </w:r>
      <w:r>
        <w:rPr>
          <w:spacing w:val="-11"/>
          <w:sz w:val="20"/>
        </w:rPr>
        <w:t xml:space="preserve"> </w:t>
      </w:r>
      <w:r>
        <w:rPr>
          <w:sz w:val="20"/>
        </w:rPr>
        <w:t>derechos</w:t>
      </w:r>
      <w:r>
        <w:rPr>
          <w:spacing w:val="-10"/>
          <w:sz w:val="20"/>
        </w:rPr>
        <w:t xml:space="preserve"> </w:t>
      </w:r>
      <w:r>
        <w:rPr>
          <w:sz w:val="20"/>
        </w:rPr>
        <w:t>económicos,</w:t>
      </w:r>
      <w:r>
        <w:rPr>
          <w:spacing w:val="-9"/>
          <w:sz w:val="20"/>
        </w:rPr>
        <w:t xml:space="preserve"> </w:t>
      </w:r>
      <w:r>
        <w:rPr>
          <w:sz w:val="20"/>
        </w:rPr>
        <w:t>sociales</w:t>
      </w:r>
      <w:r>
        <w:rPr>
          <w:spacing w:val="-10"/>
          <w:sz w:val="20"/>
        </w:rPr>
        <w:t xml:space="preserve"> </w:t>
      </w:r>
      <w:r>
        <w:rPr>
          <w:sz w:val="20"/>
        </w:rPr>
        <w:t>y</w:t>
      </w:r>
      <w:r>
        <w:rPr>
          <w:spacing w:val="-9"/>
          <w:sz w:val="20"/>
        </w:rPr>
        <w:t xml:space="preserve"> </w:t>
      </w:r>
      <w:r>
        <w:rPr>
          <w:sz w:val="20"/>
        </w:rPr>
        <w:t>culturales</w:t>
      </w:r>
      <w:r>
        <w:rPr>
          <w:spacing w:val="-10"/>
          <w:sz w:val="20"/>
        </w:rPr>
        <w:t xml:space="preserve"> </w:t>
      </w:r>
      <w:r>
        <w:rPr>
          <w:sz w:val="20"/>
        </w:rPr>
        <w:t>y</w:t>
      </w:r>
      <w:r>
        <w:rPr>
          <w:spacing w:val="-7"/>
          <w:sz w:val="20"/>
        </w:rPr>
        <w:t xml:space="preserve"> </w:t>
      </w:r>
      <w:r>
        <w:rPr>
          <w:sz w:val="20"/>
        </w:rPr>
        <w:t>de</w:t>
      </w:r>
      <w:r>
        <w:rPr>
          <w:spacing w:val="-11"/>
          <w:sz w:val="20"/>
        </w:rPr>
        <w:t xml:space="preserve"> </w:t>
      </w:r>
      <w:r>
        <w:rPr>
          <w:sz w:val="20"/>
        </w:rPr>
        <w:t>progresivamente</w:t>
      </w:r>
      <w:r>
        <w:rPr>
          <w:spacing w:val="-10"/>
          <w:sz w:val="20"/>
        </w:rPr>
        <w:t xml:space="preserve"> </w:t>
      </w:r>
      <w:r>
        <w:rPr>
          <w:sz w:val="20"/>
        </w:rPr>
        <w:t>incluirlos</w:t>
      </w:r>
      <w:r>
        <w:rPr>
          <w:spacing w:val="-10"/>
          <w:sz w:val="20"/>
        </w:rPr>
        <w:t xml:space="preserve"> </w:t>
      </w:r>
      <w:r>
        <w:rPr>
          <w:sz w:val="20"/>
        </w:rPr>
        <w:t>en</w:t>
      </w:r>
      <w:r>
        <w:rPr>
          <w:spacing w:val="-5"/>
          <w:sz w:val="20"/>
        </w:rPr>
        <w:t xml:space="preserve"> </w:t>
      </w:r>
      <w:r>
        <w:rPr>
          <w:sz w:val="20"/>
        </w:rPr>
        <w:t>el</w:t>
      </w:r>
      <w:r>
        <w:rPr>
          <w:spacing w:val="-9"/>
          <w:sz w:val="20"/>
        </w:rPr>
        <w:t xml:space="preserve"> </w:t>
      </w:r>
      <w:r>
        <w:rPr>
          <w:sz w:val="20"/>
        </w:rPr>
        <w:t>régimen de protección de la misma y lograr su plena</w:t>
      </w:r>
      <w:r>
        <w:rPr>
          <w:spacing w:val="-9"/>
          <w:sz w:val="20"/>
        </w:rPr>
        <w:t xml:space="preserve"> </w:t>
      </w:r>
      <w:r>
        <w:rPr>
          <w:sz w:val="20"/>
        </w:rPr>
        <w:t>efectividad.</w:t>
      </w:r>
    </w:p>
    <w:p w14:paraId="6F9ADA3D" w14:textId="77777777" w:rsidR="00467FCA" w:rsidRDefault="00467FCA">
      <w:pPr>
        <w:pStyle w:val="Textoindependiente"/>
        <w:rPr>
          <w:sz w:val="23"/>
        </w:rPr>
      </w:pPr>
    </w:p>
    <w:p w14:paraId="22B350E5" w14:textId="77777777" w:rsidR="00467FCA" w:rsidRDefault="001B68EB">
      <w:pPr>
        <w:pStyle w:val="Prrafodelista"/>
        <w:numPr>
          <w:ilvl w:val="0"/>
          <w:numId w:val="17"/>
        </w:numPr>
        <w:tabs>
          <w:tab w:val="left" w:pos="1450"/>
        </w:tabs>
        <w:spacing w:line="276" w:lineRule="auto"/>
        <w:ind w:right="397" w:firstLine="0"/>
        <w:jc w:val="both"/>
        <w:rPr>
          <w:sz w:val="20"/>
        </w:rPr>
      </w:pPr>
      <w:r>
        <w:rPr>
          <w:sz w:val="20"/>
        </w:rPr>
        <w:t>Esto es, el Protocolo se adopta dado que los derechos económicos sociales y culturales no han sido, a la fecha de su suscripción, reafirmados, desarrollados, perfeccionados y protegidos ni incluidos en el régimen de protección de la Convención, lo que impl</w:t>
      </w:r>
      <w:r>
        <w:rPr>
          <w:sz w:val="20"/>
        </w:rPr>
        <w:t>ica que tampoco tienen plena efectividad en virtud del artículo 26. De otra manera no se entendería la finalidad ni la conveniencia del</w:t>
      </w:r>
      <w:r>
        <w:rPr>
          <w:spacing w:val="-8"/>
          <w:sz w:val="20"/>
        </w:rPr>
        <w:t xml:space="preserve"> </w:t>
      </w:r>
      <w:r>
        <w:rPr>
          <w:sz w:val="20"/>
        </w:rPr>
        <w:t>Protocolo.</w:t>
      </w:r>
    </w:p>
    <w:p w14:paraId="5433290C" w14:textId="77777777" w:rsidR="00467FCA" w:rsidRDefault="00467FCA">
      <w:pPr>
        <w:pStyle w:val="Textoindependiente"/>
        <w:spacing w:before="1"/>
        <w:rPr>
          <w:sz w:val="23"/>
        </w:rPr>
      </w:pPr>
    </w:p>
    <w:p w14:paraId="49BA929E" w14:textId="77777777" w:rsidR="00467FCA" w:rsidRDefault="001B68EB">
      <w:pPr>
        <w:pStyle w:val="Prrafodelista"/>
        <w:numPr>
          <w:ilvl w:val="0"/>
          <w:numId w:val="17"/>
        </w:numPr>
        <w:tabs>
          <w:tab w:val="left" w:pos="1450"/>
        </w:tabs>
        <w:spacing w:line="276" w:lineRule="auto"/>
        <w:ind w:left="469" w:right="398" w:firstLine="0"/>
        <w:jc w:val="both"/>
        <w:rPr>
          <w:sz w:val="20"/>
        </w:rPr>
      </w:pPr>
      <w:r>
        <w:rPr>
          <w:sz w:val="20"/>
        </w:rPr>
        <w:t>Así las cosas, el Protocolo reconoce</w:t>
      </w:r>
      <w:hyperlink w:anchor="_bookmark629" w:history="1">
        <w:r>
          <w:rPr>
            <w:position w:val="7"/>
            <w:sz w:val="13"/>
          </w:rPr>
          <w:t>81</w:t>
        </w:r>
      </w:hyperlink>
      <w:r>
        <w:rPr>
          <w:sz w:val="20"/>
        </w:rPr>
        <w:t>, establece</w:t>
      </w:r>
      <w:hyperlink w:anchor="_bookmark630" w:history="1">
        <w:r>
          <w:rPr>
            <w:position w:val="7"/>
            <w:sz w:val="13"/>
          </w:rPr>
          <w:t>82</w:t>
        </w:r>
      </w:hyperlink>
      <w:r>
        <w:rPr>
          <w:sz w:val="20"/>
        </w:rPr>
        <w:t>, enuncia</w:t>
      </w:r>
      <w:hyperlink w:anchor="_bookmark631" w:history="1">
        <w:r>
          <w:rPr>
            <w:position w:val="7"/>
            <w:sz w:val="13"/>
          </w:rPr>
          <w:t>83</w:t>
        </w:r>
      </w:hyperlink>
      <w:r>
        <w:rPr>
          <w:position w:val="7"/>
          <w:sz w:val="13"/>
        </w:rPr>
        <w:t xml:space="preserve"> </w:t>
      </w:r>
      <w:r>
        <w:rPr>
          <w:sz w:val="20"/>
        </w:rPr>
        <w:t>o consagra</w:t>
      </w:r>
      <w:hyperlink w:anchor="_bookmark632" w:history="1">
        <w:r>
          <w:rPr>
            <w:position w:val="7"/>
            <w:sz w:val="13"/>
          </w:rPr>
          <w:t>84</w:t>
        </w:r>
      </w:hyperlink>
      <w:r>
        <w:rPr>
          <w:position w:val="7"/>
          <w:sz w:val="13"/>
        </w:rPr>
        <w:t xml:space="preserve"> </w:t>
      </w:r>
      <w:r>
        <w:rPr>
          <w:sz w:val="20"/>
        </w:rPr>
        <w:t>los siguientes derechos: Derecho al Trabajo (art. 6) , Condiciones Justas, Equitativas y Satisfactorias</w:t>
      </w:r>
      <w:r>
        <w:rPr>
          <w:spacing w:val="-14"/>
          <w:sz w:val="20"/>
        </w:rPr>
        <w:t xml:space="preserve"> </w:t>
      </w:r>
      <w:r>
        <w:rPr>
          <w:sz w:val="20"/>
        </w:rPr>
        <w:t>de</w:t>
      </w:r>
      <w:r>
        <w:rPr>
          <w:spacing w:val="-14"/>
          <w:sz w:val="20"/>
        </w:rPr>
        <w:t xml:space="preserve"> </w:t>
      </w:r>
      <w:r>
        <w:rPr>
          <w:sz w:val="20"/>
        </w:rPr>
        <w:t>Trabajo</w:t>
      </w:r>
      <w:r>
        <w:rPr>
          <w:spacing w:val="-17"/>
          <w:sz w:val="20"/>
        </w:rPr>
        <w:t xml:space="preserve"> </w:t>
      </w:r>
      <w:r>
        <w:rPr>
          <w:sz w:val="20"/>
        </w:rPr>
        <w:t>(art.</w:t>
      </w:r>
      <w:r>
        <w:rPr>
          <w:spacing w:val="-16"/>
          <w:sz w:val="20"/>
        </w:rPr>
        <w:t xml:space="preserve"> </w:t>
      </w:r>
      <w:r>
        <w:rPr>
          <w:sz w:val="20"/>
        </w:rPr>
        <w:t>7),</w:t>
      </w:r>
      <w:r>
        <w:rPr>
          <w:spacing w:val="-13"/>
          <w:sz w:val="20"/>
        </w:rPr>
        <w:t xml:space="preserve"> </w:t>
      </w:r>
      <w:r>
        <w:rPr>
          <w:sz w:val="20"/>
        </w:rPr>
        <w:t>Derechos</w:t>
      </w:r>
      <w:r>
        <w:rPr>
          <w:spacing w:val="-17"/>
          <w:sz w:val="20"/>
        </w:rPr>
        <w:t xml:space="preserve"> </w:t>
      </w:r>
      <w:r>
        <w:rPr>
          <w:sz w:val="20"/>
        </w:rPr>
        <w:t>Sindicales</w:t>
      </w:r>
      <w:r>
        <w:rPr>
          <w:spacing w:val="-13"/>
          <w:sz w:val="20"/>
        </w:rPr>
        <w:t xml:space="preserve"> </w:t>
      </w:r>
      <w:r>
        <w:rPr>
          <w:sz w:val="20"/>
        </w:rPr>
        <w:t>(art.</w:t>
      </w:r>
      <w:r>
        <w:rPr>
          <w:spacing w:val="-14"/>
          <w:sz w:val="20"/>
        </w:rPr>
        <w:t xml:space="preserve"> </w:t>
      </w:r>
      <w:r>
        <w:rPr>
          <w:sz w:val="20"/>
        </w:rPr>
        <w:t>8),</w:t>
      </w:r>
      <w:r>
        <w:rPr>
          <w:spacing w:val="-13"/>
          <w:sz w:val="20"/>
        </w:rPr>
        <w:t xml:space="preserve"> </w:t>
      </w:r>
      <w:r>
        <w:rPr>
          <w:sz w:val="20"/>
        </w:rPr>
        <w:t>Derec</w:t>
      </w:r>
      <w:r>
        <w:rPr>
          <w:sz w:val="20"/>
        </w:rPr>
        <w:t>ho</w:t>
      </w:r>
      <w:r>
        <w:rPr>
          <w:spacing w:val="-15"/>
          <w:sz w:val="20"/>
        </w:rPr>
        <w:t xml:space="preserve"> </w:t>
      </w:r>
      <w:r>
        <w:rPr>
          <w:sz w:val="20"/>
        </w:rPr>
        <w:t>a</w:t>
      </w:r>
      <w:r>
        <w:rPr>
          <w:spacing w:val="-15"/>
          <w:sz w:val="20"/>
        </w:rPr>
        <w:t xml:space="preserve"> </w:t>
      </w:r>
      <w:r>
        <w:rPr>
          <w:sz w:val="20"/>
        </w:rPr>
        <w:t>la</w:t>
      </w:r>
      <w:r>
        <w:rPr>
          <w:spacing w:val="-15"/>
          <w:sz w:val="20"/>
        </w:rPr>
        <w:t xml:space="preserve"> </w:t>
      </w:r>
      <w:r>
        <w:rPr>
          <w:sz w:val="20"/>
        </w:rPr>
        <w:t>Seguridad</w:t>
      </w:r>
      <w:r>
        <w:rPr>
          <w:spacing w:val="-16"/>
          <w:sz w:val="20"/>
        </w:rPr>
        <w:t xml:space="preserve"> </w:t>
      </w:r>
      <w:r>
        <w:rPr>
          <w:sz w:val="20"/>
        </w:rPr>
        <w:t>Social (art.</w:t>
      </w:r>
      <w:r>
        <w:rPr>
          <w:spacing w:val="-9"/>
          <w:sz w:val="20"/>
        </w:rPr>
        <w:t xml:space="preserve"> </w:t>
      </w:r>
      <w:r>
        <w:rPr>
          <w:sz w:val="20"/>
        </w:rPr>
        <w:t>9),</w:t>
      </w:r>
      <w:r>
        <w:rPr>
          <w:spacing w:val="-8"/>
          <w:sz w:val="20"/>
        </w:rPr>
        <w:t xml:space="preserve"> </w:t>
      </w:r>
      <w:r>
        <w:rPr>
          <w:sz w:val="20"/>
        </w:rPr>
        <w:t>Derecho</w:t>
      </w:r>
      <w:r>
        <w:rPr>
          <w:spacing w:val="-9"/>
          <w:sz w:val="20"/>
        </w:rPr>
        <w:t xml:space="preserve"> </w:t>
      </w:r>
      <w:r>
        <w:rPr>
          <w:sz w:val="20"/>
        </w:rPr>
        <w:t>a</w:t>
      </w:r>
      <w:r>
        <w:rPr>
          <w:spacing w:val="-8"/>
          <w:sz w:val="20"/>
        </w:rPr>
        <w:t xml:space="preserve"> </w:t>
      </w:r>
      <w:r>
        <w:rPr>
          <w:sz w:val="20"/>
        </w:rPr>
        <w:t>la</w:t>
      </w:r>
      <w:r>
        <w:rPr>
          <w:spacing w:val="-8"/>
          <w:sz w:val="20"/>
        </w:rPr>
        <w:t xml:space="preserve"> </w:t>
      </w:r>
      <w:r>
        <w:rPr>
          <w:sz w:val="20"/>
        </w:rPr>
        <w:t>Salud</w:t>
      </w:r>
      <w:r>
        <w:rPr>
          <w:spacing w:val="-7"/>
          <w:sz w:val="20"/>
        </w:rPr>
        <w:t xml:space="preserve"> </w:t>
      </w:r>
      <w:r>
        <w:rPr>
          <w:sz w:val="20"/>
        </w:rPr>
        <w:t>(art.</w:t>
      </w:r>
      <w:r>
        <w:rPr>
          <w:spacing w:val="-8"/>
          <w:sz w:val="20"/>
        </w:rPr>
        <w:t xml:space="preserve"> </w:t>
      </w:r>
      <w:r>
        <w:rPr>
          <w:sz w:val="20"/>
        </w:rPr>
        <w:t>10),</w:t>
      </w:r>
      <w:r>
        <w:rPr>
          <w:spacing w:val="-8"/>
          <w:sz w:val="20"/>
        </w:rPr>
        <w:t xml:space="preserve"> </w:t>
      </w:r>
      <w:r>
        <w:rPr>
          <w:sz w:val="20"/>
        </w:rPr>
        <w:t>Derecho</w:t>
      </w:r>
      <w:r>
        <w:rPr>
          <w:spacing w:val="-9"/>
          <w:sz w:val="20"/>
        </w:rPr>
        <w:t xml:space="preserve"> </w:t>
      </w:r>
      <w:r>
        <w:rPr>
          <w:sz w:val="20"/>
        </w:rPr>
        <w:t>a</w:t>
      </w:r>
      <w:r>
        <w:rPr>
          <w:spacing w:val="-8"/>
          <w:sz w:val="20"/>
        </w:rPr>
        <w:t xml:space="preserve"> </w:t>
      </w:r>
      <w:r>
        <w:rPr>
          <w:sz w:val="20"/>
        </w:rPr>
        <w:t>un</w:t>
      </w:r>
      <w:r>
        <w:rPr>
          <w:spacing w:val="-7"/>
          <w:sz w:val="20"/>
        </w:rPr>
        <w:t xml:space="preserve"> </w:t>
      </w:r>
      <w:r>
        <w:rPr>
          <w:sz w:val="20"/>
        </w:rPr>
        <w:t>Medio</w:t>
      </w:r>
      <w:r>
        <w:rPr>
          <w:spacing w:val="-9"/>
          <w:sz w:val="20"/>
        </w:rPr>
        <w:t xml:space="preserve"> </w:t>
      </w:r>
      <w:r>
        <w:rPr>
          <w:sz w:val="20"/>
        </w:rPr>
        <w:t>Ambiente</w:t>
      </w:r>
      <w:r>
        <w:rPr>
          <w:spacing w:val="-8"/>
          <w:sz w:val="20"/>
        </w:rPr>
        <w:t xml:space="preserve"> </w:t>
      </w:r>
      <w:r>
        <w:rPr>
          <w:sz w:val="20"/>
        </w:rPr>
        <w:t>Sano</w:t>
      </w:r>
      <w:r>
        <w:rPr>
          <w:spacing w:val="-9"/>
          <w:sz w:val="20"/>
        </w:rPr>
        <w:t xml:space="preserve"> </w:t>
      </w:r>
      <w:r>
        <w:rPr>
          <w:sz w:val="20"/>
        </w:rPr>
        <w:t>(art.</w:t>
      </w:r>
      <w:r>
        <w:rPr>
          <w:spacing w:val="-9"/>
          <w:sz w:val="20"/>
        </w:rPr>
        <w:t xml:space="preserve"> </w:t>
      </w:r>
      <w:r>
        <w:rPr>
          <w:sz w:val="20"/>
        </w:rPr>
        <w:t>11),</w:t>
      </w:r>
      <w:r>
        <w:rPr>
          <w:spacing w:val="-8"/>
          <w:sz w:val="20"/>
        </w:rPr>
        <w:t xml:space="preserve"> </w:t>
      </w:r>
      <w:r>
        <w:rPr>
          <w:sz w:val="20"/>
        </w:rPr>
        <w:t>Derecho a la Alimentación (art. 12), Derecho a la Educación (art. 13), Derecho a los Beneficios de la Cultura (art. 14), Derecho a la Constitución y Protección de la Familia (art. 15), Derecho de la</w:t>
      </w:r>
      <w:r>
        <w:rPr>
          <w:spacing w:val="-5"/>
          <w:sz w:val="20"/>
        </w:rPr>
        <w:t xml:space="preserve"> </w:t>
      </w:r>
      <w:r>
        <w:rPr>
          <w:sz w:val="20"/>
        </w:rPr>
        <w:t>Niñez</w:t>
      </w:r>
      <w:r>
        <w:rPr>
          <w:spacing w:val="-5"/>
          <w:sz w:val="20"/>
        </w:rPr>
        <w:t xml:space="preserve"> </w:t>
      </w:r>
      <w:r>
        <w:rPr>
          <w:sz w:val="20"/>
        </w:rPr>
        <w:t>(art.</w:t>
      </w:r>
      <w:r>
        <w:rPr>
          <w:spacing w:val="-6"/>
          <w:sz w:val="20"/>
        </w:rPr>
        <w:t xml:space="preserve"> </w:t>
      </w:r>
      <w:r>
        <w:rPr>
          <w:sz w:val="20"/>
        </w:rPr>
        <w:t>16),</w:t>
      </w:r>
      <w:r>
        <w:rPr>
          <w:spacing w:val="-4"/>
          <w:sz w:val="20"/>
        </w:rPr>
        <w:t xml:space="preserve"> </w:t>
      </w:r>
      <w:r>
        <w:rPr>
          <w:sz w:val="20"/>
        </w:rPr>
        <w:t>Protección</w:t>
      </w:r>
      <w:r>
        <w:rPr>
          <w:spacing w:val="-4"/>
          <w:sz w:val="20"/>
        </w:rPr>
        <w:t xml:space="preserve"> </w:t>
      </w:r>
      <w:r>
        <w:rPr>
          <w:sz w:val="20"/>
        </w:rPr>
        <w:t>de</w:t>
      </w:r>
      <w:r>
        <w:rPr>
          <w:spacing w:val="-7"/>
          <w:sz w:val="20"/>
        </w:rPr>
        <w:t xml:space="preserve"> </w:t>
      </w:r>
      <w:r>
        <w:rPr>
          <w:sz w:val="20"/>
        </w:rPr>
        <w:t>los</w:t>
      </w:r>
      <w:r>
        <w:rPr>
          <w:spacing w:val="-6"/>
          <w:sz w:val="20"/>
        </w:rPr>
        <w:t xml:space="preserve"> </w:t>
      </w:r>
      <w:r>
        <w:rPr>
          <w:sz w:val="20"/>
        </w:rPr>
        <w:t>Ancianos</w:t>
      </w:r>
      <w:r>
        <w:rPr>
          <w:spacing w:val="-4"/>
          <w:sz w:val="20"/>
        </w:rPr>
        <w:t xml:space="preserve"> </w:t>
      </w:r>
      <w:r>
        <w:rPr>
          <w:sz w:val="20"/>
        </w:rPr>
        <w:t>(art.</w:t>
      </w:r>
      <w:r>
        <w:rPr>
          <w:spacing w:val="-6"/>
          <w:sz w:val="20"/>
        </w:rPr>
        <w:t xml:space="preserve"> </w:t>
      </w:r>
      <w:r>
        <w:rPr>
          <w:sz w:val="20"/>
        </w:rPr>
        <w:t>17)</w:t>
      </w:r>
      <w:r>
        <w:rPr>
          <w:spacing w:val="-5"/>
          <w:sz w:val="20"/>
        </w:rPr>
        <w:t xml:space="preserve"> </w:t>
      </w:r>
      <w:r>
        <w:rPr>
          <w:sz w:val="20"/>
        </w:rPr>
        <w:t>y</w:t>
      </w:r>
      <w:r>
        <w:rPr>
          <w:spacing w:val="-4"/>
          <w:sz w:val="20"/>
        </w:rPr>
        <w:t xml:space="preserve"> </w:t>
      </w:r>
      <w:r>
        <w:rPr>
          <w:sz w:val="20"/>
        </w:rPr>
        <w:t>P</w:t>
      </w:r>
      <w:r>
        <w:rPr>
          <w:sz w:val="20"/>
        </w:rPr>
        <w:t>rotección</w:t>
      </w:r>
      <w:r>
        <w:rPr>
          <w:spacing w:val="-4"/>
          <w:sz w:val="20"/>
        </w:rPr>
        <w:t xml:space="preserve"> </w:t>
      </w:r>
      <w:r>
        <w:rPr>
          <w:sz w:val="20"/>
        </w:rPr>
        <w:t>de</w:t>
      </w:r>
      <w:r>
        <w:rPr>
          <w:spacing w:val="-7"/>
          <w:sz w:val="20"/>
        </w:rPr>
        <w:t xml:space="preserve"> </w:t>
      </w:r>
      <w:r>
        <w:rPr>
          <w:sz w:val="20"/>
        </w:rPr>
        <w:t>los</w:t>
      </w:r>
      <w:r>
        <w:rPr>
          <w:spacing w:val="-4"/>
          <w:sz w:val="20"/>
        </w:rPr>
        <w:t xml:space="preserve"> </w:t>
      </w:r>
      <w:r>
        <w:rPr>
          <w:sz w:val="20"/>
        </w:rPr>
        <w:t>Minusválidos</w:t>
      </w:r>
      <w:r>
        <w:rPr>
          <w:spacing w:val="-4"/>
          <w:sz w:val="20"/>
        </w:rPr>
        <w:t xml:space="preserve"> </w:t>
      </w:r>
      <w:r>
        <w:rPr>
          <w:sz w:val="20"/>
        </w:rPr>
        <w:t>(art. 18). Téngase presente que, por el contrario, el artículo 26 no establece o consagra derecho alguno, solo se remite a los que se “</w:t>
      </w:r>
      <w:r>
        <w:rPr>
          <w:i/>
          <w:sz w:val="20"/>
        </w:rPr>
        <w:t>deriven</w:t>
      </w:r>
      <w:r>
        <w:rPr>
          <w:sz w:val="20"/>
        </w:rPr>
        <w:t>” de la Carta de la</w:t>
      </w:r>
      <w:r>
        <w:rPr>
          <w:spacing w:val="-12"/>
          <w:sz w:val="20"/>
        </w:rPr>
        <w:t xml:space="preserve"> </w:t>
      </w:r>
      <w:r>
        <w:rPr>
          <w:sz w:val="20"/>
        </w:rPr>
        <w:t>OEA.</w:t>
      </w:r>
    </w:p>
    <w:p w14:paraId="15978866" w14:textId="77777777" w:rsidR="00467FCA" w:rsidRDefault="00467FCA">
      <w:pPr>
        <w:pStyle w:val="Textoindependiente"/>
      </w:pPr>
    </w:p>
    <w:p w14:paraId="71587217" w14:textId="77777777" w:rsidR="00467FCA" w:rsidRDefault="00467FCA">
      <w:pPr>
        <w:pStyle w:val="Textoindependiente"/>
      </w:pPr>
    </w:p>
    <w:p w14:paraId="691DCFAB" w14:textId="77777777" w:rsidR="00467FCA" w:rsidRDefault="001B68EB">
      <w:pPr>
        <w:pStyle w:val="Textoindependiente"/>
        <w:spacing w:before="10"/>
        <w:rPr>
          <w:sz w:val="12"/>
        </w:rPr>
      </w:pPr>
      <w:r>
        <w:pict w14:anchorId="189D4690">
          <v:shape id="_x0000_s1086" style="position:absolute;margin-left:56.75pt;margin-top:10.15pt;width:2in;height:.1pt;z-index:-251545600;mso-wrap-distance-left:0;mso-wrap-distance-right:0;mso-position-horizontal-relative:page" coordorigin="1135,203" coordsize="2880,0" path="m1135,203r2880,e" filled="f" strokeweight=".72pt">
            <v:path arrowok="t"/>
            <w10:wrap type="topAndBottom" anchorx="page"/>
          </v:shape>
        </w:pict>
      </w:r>
    </w:p>
    <w:p w14:paraId="37B4C1F1" w14:textId="77777777" w:rsidR="00467FCA" w:rsidRDefault="001B68EB">
      <w:pPr>
        <w:spacing w:before="71"/>
        <w:ind w:left="470" w:right="393"/>
        <w:jc w:val="both"/>
        <w:rPr>
          <w:i/>
          <w:sz w:val="16"/>
        </w:rPr>
      </w:pPr>
      <w:bookmarkStart w:id="708" w:name="_bookmark629"/>
      <w:bookmarkEnd w:id="708"/>
      <w:r>
        <w:rPr>
          <w:position w:val="6"/>
          <w:sz w:val="10"/>
        </w:rPr>
        <w:t xml:space="preserve">81 </w:t>
      </w:r>
      <w:r>
        <w:rPr>
          <w:sz w:val="16"/>
        </w:rPr>
        <w:t>Art. 1: “</w:t>
      </w:r>
      <w:r>
        <w:rPr>
          <w:i/>
          <w:sz w:val="16"/>
        </w:rPr>
        <w:t xml:space="preserve">Obligación de Adoptar Medidas .Los Estados </w:t>
      </w:r>
      <w:r>
        <w:rPr>
          <w:i/>
          <w:sz w:val="16"/>
        </w:rPr>
        <w:t>partes en el presente Protocolo Adicional a la Convención Americana sobre Derechos Humanos se comprometen a adoptar las medidas necesarias tanto de orden interno como mediante la cooperación entre los Estados, especialmente económica y técnica, hasta el má</w:t>
      </w:r>
      <w:r>
        <w:rPr>
          <w:i/>
          <w:sz w:val="16"/>
        </w:rPr>
        <w:t>ximo de los recursos</w:t>
      </w:r>
      <w:r>
        <w:rPr>
          <w:i/>
          <w:spacing w:val="-11"/>
          <w:sz w:val="16"/>
        </w:rPr>
        <w:t xml:space="preserve"> </w:t>
      </w:r>
      <w:r>
        <w:rPr>
          <w:i/>
          <w:sz w:val="16"/>
        </w:rPr>
        <w:t>disponibles</w:t>
      </w:r>
      <w:r>
        <w:rPr>
          <w:i/>
          <w:spacing w:val="-12"/>
          <w:sz w:val="16"/>
        </w:rPr>
        <w:t xml:space="preserve"> </w:t>
      </w:r>
      <w:r>
        <w:rPr>
          <w:i/>
          <w:sz w:val="16"/>
        </w:rPr>
        <w:t>y</w:t>
      </w:r>
      <w:r>
        <w:rPr>
          <w:i/>
          <w:spacing w:val="-10"/>
          <w:sz w:val="16"/>
        </w:rPr>
        <w:t xml:space="preserve"> </w:t>
      </w:r>
      <w:r>
        <w:rPr>
          <w:i/>
          <w:sz w:val="16"/>
        </w:rPr>
        <w:t>tomando</w:t>
      </w:r>
      <w:r>
        <w:rPr>
          <w:i/>
          <w:spacing w:val="-9"/>
          <w:sz w:val="16"/>
        </w:rPr>
        <w:t xml:space="preserve"> </w:t>
      </w:r>
      <w:r>
        <w:rPr>
          <w:i/>
          <w:sz w:val="16"/>
        </w:rPr>
        <w:t>en</w:t>
      </w:r>
      <w:r>
        <w:rPr>
          <w:i/>
          <w:spacing w:val="-14"/>
          <w:sz w:val="16"/>
        </w:rPr>
        <w:t xml:space="preserve"> </w:t>
      </w:r>
      <w:r>
        <w:rPr>
          <w:i/>
          <w:sz w:val="16"/>
        </w:rPr>
        <w:t>cuenta</w:t>
      </w:r>
      <w:r>
        <w:rPr>
          <w:i/>
          <w:spacing w:val="-10"/>
          <w:sz w:val="16"/>
        </w:rPr>
        <w:t xml:space="preserve"> </w:t>
      </w:r>
      <w:r>
        <w:rPr>
          <w:i/>
          <w:sz w:val="16"/>
        </w:rPr>
        <w:t>su</w:t>
      </w:r>
      <w:r>
        <w:rPr>
          <w:i/>
          <w:spacing w:val="-14"/>
          <w:sz w:val="16"/>
        </w:rPr>
        <w:t xml:space="preserve"> </w:t>
      </w:r>
      <w:r>
        <w:rPr>
          <w:i/>
          <w:sz w:val="16"/>
        </w:rPr>
        <w:t>grado</w:t>
      </w:r>
      <w:r>
        <w:rPr>
          <w:i/>
          <w:spacing w:val="-11"/>
          <w:sz w:val="16"/>
        </w:rPr>
        <w:t xml:space="preserve"> </w:t>
      </w:r>
      <w:r>
        <w:rPr>
          <w:i/>
          <w:sz w:val="16"/>
        </w:rPr>
        <w:t>de</w:t>
      </w:r>
      <w:r>
        <w:rPr>
          <w:i/>
          <w:spacing w:val="-12"/>
          <w:sz w:val="16"/>
        </w:rPr>
        <w:t xml:space="preserve"> </w:t>
      </w:r>
      <w:r>
        <w:rPr>
          <w:i/>
          <w:sz w:val="16"/>
        </w:rPr>
        <w:t>desarrollo,</w:t>
      </w:r>
      <w:r>
        <w:rPr>
          <w:i/>
          <w:spacing w:val="-12"/>
          <w:sz w:val="16"/>
        </w:rPr>
        <w:t xml:space="preserve"> </w:t>
      </w:r>
      <w:r>
        <w:rPr>
          <w:i/>
          <w:sz w:val="16"/>
        </w:rPr>
        <w:t>a</w:t>
      </w:r>
      <w:r>
        <w:rPr>
          <w:i/>
          <w:spacing w:val="-13"/>
          <w:sz w:val="16"/>
        </w:rPr>
        <w:t xml:space="preserve"> </w:t>
      </w:r>
      <w:r>
        <w:rPr>
          <w:i/>
          <w:sz w:val="16"/>
        </w:rPr>
        <w:t>fin</w:t>
      </w:r>
      <w:r>
        <w:rPr>
          <w:i/>
          <w:spacing w:val="-14"/>
          <w:sz w:val="16"/>
        </w:rPr>
        <w:t xml:space="preserve"> </w:t>
      </w:r>
      <w:r>
        <w:rPr>
          <w:i/>
          <w:sz w:val="16"/>
        </w:rPr>
        <w:t>de</w:t>
      </w:r>
      <w:r>
        <w:rPr>
          <w:i/>
          <w:spacing w:val="-10"/>
          <w:sz w:val="16"/>
        </w:rPr>
        <w:t xml:space="preserve"> </w:t>
      </w:r>
      <w:r>
        <w:rPr>
          <w:i/>
          <w:sz w:val="16"/>
        </w:rPr>
        <w:t>lograr</w:t>
      </w:r>
      <w:r>
        <w:rPr>
          <w:i/>
          <w:spacing w:val="-11"/>
          <w:sz w:val="16"/>
        </w:rPr>
        <w:t xml:space="preserve"> </w:t>
      </w:r>
      <w:r>
        <w:rPr>
          <w:i/>
          <w:sz w:val="16"/>
        </w:rPr>
        <w:t>progresivamente,</w:t>
      </w:r>
      <w:r>
        <w:rPr>
          <w:i/>
          <w:spacing w:val="-12"/>
          <w:sz w:val="16"/>
        </w:rPr>
        <w:t xml:space="preserve"> </w:t>
      </w:r>
      <w:r>
        <w:rPr>
          <w:i/>
          <w:sz w:val="16"/>
        </w:rPr>
        <w:t>y</w:t>
      </w:r>
      <w:r>
        <w:rPr>
          <w:i/>
          <w:spacing w:val="-11"/>
          <w:sz w:val="16"/>
        </w:rPr>
        <w:t xml:space="preserve"> </w:t>
      </w:r>
      <w:r>
        <w:rPr>
          <w:i/>
          <w:sz w:val="16"/>
        </w:rPr>
        <w:t>de</w:t>
      </w:r>
      <w:r>
        <w:rPr>
          <w:i/>
          <w:spacing w:val="-13"/>
          <w:sz w:val="16"/>
        </w:rPr>
        <w:t xml:space="preserve"> </w:t>
      </w:r>
      <w:r>
        <w:rPr>
          <w:i/>
          <w:sz w:val="16"/>
        </w:rPr>
        <w:t>conformidad con la legislación interna, la plena efectividad de los derechos que se reconocen en el presente</w:t>
      </w:r>
      <w:r>
        <w:rPr>
          <w:i/>
          <w:spacing w:val="-26"/>
          <w:sz w:val="16"/>
        </w:rPr>
        <w:t xml:space="preserve"> </w:t>
      </w:r>
      <w:r>
        <w:rPr>
          <w:i/>
          <w:sz w:val="16"/>
        </w:rPr>
        <w:t>Protocolo.”</w:t>
      </w:r>
    </w:p>
    <w:p w14:paraId="2C8106D4" w14:textId="77777777" w:rsidR="00467FCA" w:rsidRDefault="001B68EB">
      <w:pPr>
        <w:ind w:left="470" w:right="394"/>
        <w:jc w:val="both"/>
        <w:rPr>
          <w:sz w:val="16"/>
        </w:rPr>
      </w:pPr>
      <w:r>
        <w:rPr>
          <w:sz w:val="16"/>
        </w:rPr>
        <w:t>Art. 4: ”</w:t>
      </w:r>
      <w:r>
        <w:rPr>
          <w:i/>
          <w:sz w:val="16"/>
        </w:rPr>
        <w:t>No Admisión de Restricciones. No podrá restringirse o menoscabarse ninguno de los derechos reconocidos o vigentes en un Estado</w:t>
      </w:r>
      <w:r>
        <w:rPr>
          <w:i/>
          <w:sz w:val="16"/>
        </w:rPr>
        <w:t xml:space="preserve"> en virtud de su legislación interna o de convenciones internacionales, a pretexto de que el</w:t>
      </w:r>
      <w:bookmarkStart w:id="709" w:name="_bookmark630"/>
      <w:bookmarkEnd w:id="709"/>
      <w:r>
        <w:rPr>
          <w:i/>
          <w:sz w:val="16"/>
        </w:rPr>
        <w:t xml:space="preserve"> presente Protocolo no los reconoce o los reconoce en menor grado</w:t>
      </w:r>
      <w:r>
        <w:rPr>
          <w:sz w:val="16"/>
        </w:rPr>
        <w:t>.”</w:t>
      </w:r>
    </w:p>
    <w:p w14:paraId="6CEFC968" w14:textId="77777777" w:rsidR="00467FCA" w:rsidRDefault="001B68EB">
      <w:pPr>
        <w:ind w:left="470" w:right="392"/>
        <w:jc w:val="both"/>
        <w:rPr>
          <w:i/>
          <w:sz w:val="16"/>
        </w:rPr>
      </w:pPr>
      <w:r>
        <w:rPr>
          <w:position w:val="6"/>
          <w:sz w:val="10"/>
        </w:rPr>
        <w:t>82</w:t>
      </w:r>
      <w:r>
        <w:rPr>
          <w:spacing w:val="10"/>
          <w:position w:val="6"/>
          <w:sz w:val="10"/>
        </w:rPr>
        <w:t xml:space="preserve"> </w:t>
      </w:r>
      <w:r>
        <w:rPr>
          <w:sz w:val="16"/>
        </w:rPr>
        <w:t>Arts. 2</w:t>
      </w:r>
      <w:r>
        <w:rPr>
          <w:i/>
          <w:sz w:val="16"/>
        </w:rPr>
        <w:t>: ”Obligación de Adoptar Disposiciones de Derecho Interno. Si el ejercicio de los dere</w:t>
      </w:r>
      <w:r>
        <w:rPr>
          <w:i/>
          <w:sz w:val="16"/>
        </w:rPr>
        <w:t>chos establecidos en el</w:t>
      </w:r>
      <w:r>
        <w:rPr>
          <w:i/>
          <w:spacing w:val="-14"/>
          <w:sz w:val="16"/>
        </w:rPr>
        <w:t xml:space="preserve"> </w:t>
      </w:r>
      <w:r>
        <w:rPr>
          <w:i/>
          <w:sz w:val="16"/>
        </w:rPr>
        <w:t>presente</w:t>
      </w:r>
      <w:r>
        <w:rPr>
          <w:i/>
          <w:spacing w:val="-13"/>
          <w:sz w:val="16"/>
        </w:rPr>
        <w:t xml:space="preserve"> </w:t>
      </w:r>
      <w:r>
        <w:rPr>
          <w:i/>
          <w:sz w:val="16"/>
        </w:rPr>
        <w:t>Protocolo</w:t>
      </w:r>
      <w:r>
        <w:rPr>
          <w:i/>
          <w:spacing w:val="-15"/>
          <w:sz w:val="16"/>
        </w:rPr>
        <w:t xml:space="preserve"> </w:t>
      </w:r>
      <w:r>
        <w:rPr>
          <w:i/>
          <w:sz w:val="16"/>
        </w:rPr>
        <w:t>no</w:t>
      </w:r>
      <w:r>
        <w:rPr>
          <w:i/>
          <w:spacing w:val="-12"/>
          <w:sz w:val="16"/>
        </w:rPr>
        <w:t xml:space="preserve"> </w:t>
      </w:r>
      <w:r>
        <w:rPr>
          <w:i/>
          <w:sz w:val="16"/>
        </w:rPr>
        <w:t>estuviera</w:t>
      </w:r>
      <w:r>
        <w:rPr>
          <w:i/>
          <w:spacing w:val="-15"/>
          <w:sz w:val="16"/>
        </w:rPr>
        <w:t xml:space="preserve"> </w:t>
      </w:r>
      <w:r>
        <w:rPr>
          <w:i/>
          <w:sz w:val="16"/>
        </w:rPr>
        <w:t>ya</w:t>
      </w:r>
      <w:r>
        <w:rPr>
          <w:i/>
          <w:spacing w:val="-14"/>
          <w:sz w:val="16"/>
        </w:rPr>
        <w:t xml:space="preserve"> </w:t>
      </w:r>
      <w:r>
        <w:rPr>
          <w:i/>
          <w:sz w:val="16"/>
        </w:rPr>
        <w:t>garantizado</w:t>
      </w:r>
      <w:r>
        <w:rPr>
          <w:i/>
          <w:spacing w:val="-15"/>
          <w:sz w:val="16"/>
        </w:rPr>
        <w:t xml:space="preserve"> </w:t>
      </w:r>
      <w:r>
        <w:rPr>
          <w:i/>
          <w:sz w:val="16"/>
        </w:rPr>
        <w:t>por</w:t>
      </w:r>
      <w:r>
        <w:rPr>
          <w:i/>
          <w:spacing w:val="-15"/>
          <w:sz w:val="16"/>
        </w:rPr>
        <w:t xml:space="preserve"> </w:t>
      </w:r>
      <w:r>
        <w:rPr>
          <w:i/>
          <w:sz w:val="16"/>
        </w:rPr>
        <w:t>disposiciones</w:t>
      </w:r>
      <w:r>
        <w:rPr>
          <w:i/>
          <w:spacing w:val="-12"/>
          <w:sz w:val="16"/>
        </w:rPr>
        <w:t xml:space="preserve"> </w:t>
      </w:r>
      <w:r>
        <w:rPr>
          <w:i/>
          <w:sz w:val="16"/>
        </w:rPr>
        <w:t>legislativas</w:t>
      </w:r>
      <w:r>
        <w:rPr>
          <w:i/>
          <w:spacing w:val="-13"/>
          <w:sz w:val="16"/>
        </w:rPr>
        <w:t xml:space="preserve"> </w:t>
      </w:r>
      <w:r>
        <w:rPr>
          <w:i/>
          <w:sz w:val="16"/>
        </w:rPr>
        <w:t>o</w:t>
      </w:r>
      <w:r>
        <w:rPr>
          <w:i/>
          <w:spacing w:val="-15"/>
          <w:sz w:val="16"/>
        </w:rPr>
        <w:t xml:space="preserve"> </w:t>
      </w:r>
      <w:r>
        <w:rPr>
          <w:i/>
          <w:sz w:val="16"/>
        </w:rPr>
        <w:t>de</w:t>
      </w:r>
      <w:r>
        <w:rPr>
          <w:i/>
          <w:spacing w:val="-15"/>
          <w:sz w:val="16"/>
        </w:rPr>
        <w:t xml:space="preserve"> </w:t>
      </w:r>
      <w:r>
        <w:rPr>
          <w:i/>
          <w:sz w:val="16"/>
        </w:rPr>
        <w:t>otro</w:t>
      </w:r>
      <w:r>
        <w:rPr>
          <w:i/>
          <w:spacing w:val="-11"/>
          <w:sz w:val="16"/>
        </w:rPr>
        <w:t xml:space="preserve"> </w:t>
      </w:r>
      <w:r>
        <w:rPr>
          <w:i/>
          <w:sz w:val="16"/>
        </w:rPr>
        <w:t>carácter,</w:t>
      </w:r>
      <w:r>
        <w:rPr>
          <w:i/>
          <w:spacing w:val="-14"/>
          <w:sz w:val="16"/>
        </w:rPr>
        <w:t xml:space="preserve"> </w:t>
      </w:r>
      <w:r>
        <w:rPr>
          <w:i/>
          <w:sz w:val="16"/>
        </w:rPr>
        <w:t>los</w:t>
      </w:r>
      <w:r>
        <w:rPr>
          <w:i/>
          <w:spacing w:val="-13"/>
          <w:sz w:val="16"/>
        </w:rPr>
        <w:t xml:space="preserve"> </w:t>
      </w:r>
      <w:r>
        <w:rPr>
          <w:i/>
          <w:sz w:val="16"/>
        </w:rPr>
        <w:t>Estados</w:t>
      </w:r>
      <w:r>
        <w:rPr>
          <w:i/>
          <w:spacing w:val="-15"/>
          <w:sz w:val="16"/>
        </w:rPr>
        <w:t xml:space="preserve"> </w:t>
      </w:r>
      <w:r>
        <w:rPr>
          <w:i/>
          <w:sz w:val="16"/>
        </w:rPr>
        <w:t>partes se</w:t>
      </w:r>
      <w:r>
        <w:rPr>
          <w:i/>
          <w:spacing w:val="-13"/>
          <w:sz w:val="16"/>
        </w:rPr>
        <w:t xml:space="preserve"> </w:t>
      </w:r>
      <w:r>
        <w:rPr>
          <w:i/>
          <w:sz w:val="16"/>
        </w:rPr>
        <w:t>comprometen</w:t>
      </w:r>
      <w:r>
        <w:rPr>
          <w:i/>
          <w:spacing w:val="-14"/>
          <w:sz w:val="16"/>
        </w:rPr>
        <w:t xml:space="preserve"> </w:t>
      </w:r>
      <w:r>
        <w:rPr>
          <w:i/>
          <w:sz w:val="16"/>
        </w:rPr>
        <w:t>a</w:t>
      </w:r>
      <w:r>
        <w:rPr>
          <w:i/>
          <w:spacing w:val="-10"/>
          <w:sz w:val="16"/>
        </w:rPr>
        <w:t xml:space="preserve"> </w:t>
      </w:r>
      <w:r>
        <w:rPr>
          <w:i/>
          <w:sz w:val="16"/>
        </w:rPr>
        <w:t>adoptar,</w:t>
      </w:r>
      <w:r>
        <w:rPr>
          <w:i/>
          <w:spacing w:val="-14"/>
          <w:sz w:val="16"/>
        </w:rPr>
        <w:t xml:space="preserve"> </w:t>
      </w:r>
      <w:r>
        <w:rPr>
          <w:i/>
          <w:sz w:val="16"/>
        </w:rPr>
        <w:t>con</w:t>
      </w:r>
      <w:r>
        <w:rPr>
          <w:i/>
          <w:spacing w:val="-12"/>
          <w:sz w:val="16"/>
        </w:rPr>
        <w:t xml:space="preserve"> </w:t>
      </w:r>
      <w:r>
        <w:rPr>
          <w:i/>
          <w:sz w:val="16"/>
        </w:rPr>
        <w:t>arreglo</w:t>
      </w:r>
      <w:r>
        <w:rPr>
          <w:i/>
          <w:spacing w:val="-9"/>
          <w:sz w:val="16"/>
        </w:rPr>
        <w:t xml:space="preserve"> </w:t>
      </w:r>
      <w:r>
        <w:rPr>
          <w:i/>
          <w:sz w:val="16"/>
        </w:rPr>
        <w:t>a</w:t>
      </w:r>
      <w:r>
        <w:rPr>
          <w:i/>
          <w:spacing w:val="-14"/>
          <w:sz w:val="16"/>
        </w:rPr>
        <w:t xml:space="preserve"> </w:t>
      </w:r>
      <w:r>
        <w:rPr>
          <w:i/>
          <w:sz w:val="16"/>
        </w:rPr>
        <w:t>sus</w:t>
      </w:r>
      <w:r>
        <w:rPr>
          <w:i/>
          <w:spacing w:val="-12"/>
          <w:sz w:val="16"/>
        </w:rPr>
        <w:t xml:space="preserve"> </w:t>
      </w:r>
      <w:r>
        <w:rPr>
          <w:i/>
          <w:sz w:val="16"/>
        </w:rPr>
        <w:t>procedimientos</w:t>
      </w:r>
      <w:r>
        <w:rPr>
          <w:i/>
          <w:spacing w:val="-13"/>
          <w:sz w:val="16"/>
        </w:rPr>
        <w:t xml:space="preserve"> </w:t>
      </w:r>
      <w:r>
        <w:rPr>
          <w:i/>
          <w:sz w:val="16"/>
        </w:rPr>
        <w:t>constitucionales</w:t>
      </w:r>
      <w:r>
        <w:rPr>
          <w:i/>
          <w:spacing w:val="-13"/>
          <w:sz w:val="16"/>
        </w:rPr>
        <w:t xml:space="preserve"> </w:t>
      </w:r>
      <w:r>
        <w:rPr>
          <w:i/>
          <w:sz w:val="16"/>
        </w:rPr>
        <w:t>y</w:t>
      </w:r>
      <w:r>
        <w:rPr>
          <w:i/>
          <w:spacing w:val="-9"/>
          <w:sz w:val="16"/>
        </w:rPr>
        <w:t xml:space="preserve"> </w:t>
      </w:r>
      <w:r>
        <w:rPr>
          <w:i/>
          <w:sz w:val="16"/>
        </w:rPr>
        <w:t>a</w:t>
      </w:r>
      <w:r>
        <w:rPr>
          <w:i/>
          <w:spacing w:val="-14"/>
          <w:sz w:val="16"/>
        </w:rPr>
        <w:t xml:space="preserve"> </w:t>
      </w:r>
      <w:r>
        <w:rPr>
          <w:i/>
          <w:sz w:val="16"/>
        </w:rPr>
        <w:t>las</w:t>
      </w:r>
      <w:r>
        <w:rPr>
          <w:i/>
          <w:spacing w:val="-12"/>
          <w:sz w:val="16"/>
        </w:rPr>
        <w:t xml:space="preserve"> </w:t>
      </w:r>
      <w:r>
        <w:rPr>
          <w:i/>
          <w:sz w:val="16"/>
        </w:rPr>
        <w:t>disposiciones</w:t>
      </w:r>
      <w:r>
        <w:rPr>
          <w:i/>
          <w:spacing w:val="-13"/>
          <w:sz w:val="16"/>
        </w:rPr>
        <w:t xml:space="preserve"> </w:t>
      </w:r>
      <w:r>
        <w:rPr>
          <w:i/>
          <w:sz w:val="16"/>
        </w:rPr>
        <w:t>de</w:t>
      </w:r>
      <w:r>
        <w:rPr>
          <w:i/>
          <w:spacing w:val="-13"/>
          <w:sz w:val="16"/>
        </w:rPr>
        <w:t xml:space="preserve"> </w:t>
      </w:r>
      <w:r>
        <w:rPr>
          <w:i/>
          <w:sz w:val="16"/>
        </w:rPr>
        <w:t>este</w:t>
      </w:r>
      <w:r>
        <w:rPr>
          <w:i/>
          <w:spacing w:val="-12"/>
          <w:sz w:val="16"/>
        </w:rPr>
        <w:t xml:space="preserve"> </w:t>
      </w:r>
      <w:r>
        <w:rPr>
          <w:i/>
          <w:sz w:val="16"/>
        </w:rPr>
        <w:t>Protocolo las medidas legislativas o de otro carácter que fueren necesarias para hacer efectivos tales</w:t>
      </w:r>
      <w:r>
        <w:rPr>
          <w:i/>
          <w:spacing w:val="-14"/>
          <w:sz w:val="16"/>
        </w:rPr>
        <w:t xml:space="preserve"> </w:t>
      </w:r>
      <w:r>
        <w:rPr>
          <w:i/>
          <w:sz w:val="16"/>
        </w:rPr>
        <w:t>derechos.”</w:t>
      </w:r>
    </w:p>
    <w:p w14:paraId="460E852E" w14:textId="77777777" w:rsidR="00467FCA" w:rsidRDefault="001B68EB">
      <w:pPr>
        <w:ind w:left="470" w:right="392"/>
        <w:jc w:val="both"/>
        <w:rPr>
          <w:i/>
          <w:sz w:val="16"/>
        </w:rPr>
      </w:pPr>
      <w:r>
        <w:rPr>
          <w:sz w:val="16"/>
        </w:rPr>
        <w:t>Art. 5: “</w:t>
      </w:r>
      <w:r>
        <w:rPr>
          <w:i/>
          <w:sz w:val="16"/>
        </w:rPr>
        <w:t>Alcance de las Restricciones y Limitaciones. Los Estados partes sólo podrán establecer restricciones y limitaciones al goce y ejercic</w:t>
      </w:r>
      <w:r>
        <w:rPr>
          <w:i/>
          <w:sz w:val="16"/>
        </w:rPr>
        <w:t>io de los derechos establecidos en el presente Protocolo mediante leyes promulgadas con</w:t>
      </w:r>
      <w:r>
        <w:rPr>
          <w:i/>
          <w:spacing w:val="-15"/>
          <w:sz w:val="16"/>
        </w:rPr>
        <w:t xml:space="preserve"> </w:t>
      </w:r>
      <w:r>
        <w:rPr>
          <w:i/>
          <w:sz w:val="16"/>
        </w:rPr>
        <w:t>el</w:t>
      </w:r>
      <w:r>
        <w:rPr>
          <w:i/>
          <w:spacing w:val="-18"/>
          <w:sz w:val="16"/>
        </w:rPr>
        <w:t xml:space="preserve"> </w:t>
      </w:r>
      <w:r>
        <w:rPr>
          <w:i/>
          <w:sz w:val="16"/>
        </w:rPr>
        <w:t>objeto</w:t>
      </w:r>
      <w:r>
        <w:rPr>
          <w:i/>
          <w:spacing w:val="-15"/>
          <w:sz w:val="16"/>
        </w:rPr>
        <w:t xml:space="preserve"> </w:t>
      </w:r>
      <w:r>
        <w:rPr>
          <w:i/>
          <w:sz w:val="16"/>
        </w:rPr>
        <w:t>de</w:t>
      </w:r>
      <w:r>
        <w:rPr>
          <w:i/>
          <w:spacing w:val="-17"/>
          <w:sz w:val="16"/>
        </w:rPr>
        <w:t xml:space="preserve"> </w:t>
      </w:r>
      <w:r>
        <w:rPr>
          <w:i/>
          <w:sz w:val="16"/>
        </w:rPr>
        <w:t>preservar</w:t>
      </w:r>
      <w:r>
        <w:rPr>
          <w:i/>
          <w:spacing w:val="-14"/>
          <w:sz w:val="16"/>
        </w:rPr>
        <w:t xml:space="preserve"> </w:t>
      </w:r>
      <w:r>
        <w:rPr>
          <w:i/>
          <w:sz w:val="16"/>
        </w:rPr>
        <w:t>el</w:t>
      </w:r>
      <w:r>
        <w:rPr>
          <w:i/>
          <w:spacing w:val="-17"/>
          <w:sz w:val="16"/>
        </w:rPr>
        <w:t xml:space="preserve"> </w:t>
      </w:r>
      <w:r>
        <w:rPr>
          <w:i/>
          <w:sz w:val="16"/>
        </w:rPr>
        <w:t>bienestar</w:t>
      </w:r>
      <w:r>
        <w:rPr>
          <w:i/>
          <w:spacing w:val="-16"/>
          <w:sz w:val="16"/>
        </w:rPr>
        <w:t xml:space="preserve"> </w:t>
      </w:r>
      <w:r>
        <w:rPr>
          <w:i/>
          <w:sz w:val="16"/>
        </w:rPr>
        <w:t>general</w:t>
      </w:r>
      <w:r>
        <w:rPr>
          <w:i/>
          <w:spacing w:val="-14"/>
          <w:sz w:val="16"/>
        </w:rPr>
        <w:t xml:space="preserve"> </w:t>
      </w:r>
      <w:r>
        <w:rPr>
          <w:i/>
          <w:sz w:val="16"/>
        </w:rPr>
        <w:t>dentro</w:t>
      </w:r>
      <w:r>
        <w:rPr>
          <w:i/>
          <w:spacing w:val="-16"/>
          <w:sz w:val="16"/>
        </w:rPr>
        <w:t xml:space="preserve"> </w:t>
      </w:r>
      <w:r>
        <w:rPr>
          <w:i/>
          <w:sz w:val="16"/>
        </w:rPr>
        <w:t>de</w:t>
      </w:r>
      <w:r>
        <w:rPr>
          <w:i/>
          <w:spacing w:val="-14"/>
          <w:sz w:val="16"/>
        </w:rPr>
        <w:t xml:space="preserve"> </w:t>
      </w:r>
      <w:r>
        <w:rPr>
          <w:i/>
          <w:sz w:val="16"/>
        </w:rPr>
        <w:t>una</w:t>
      </w:r>
      <w:r>
        <w:rPr>
          <w:i/>
          <w:spacing w:val="-16"/>
          <w:sz w:val="16"/>
        </w:rPr>
        <w:t xml:space="preserve"> </w:t>
      </w:r>
      <w:r>
        <w:rPr>
          <w:i/>
          <w:sz w:val="16"/>
        </w:rPr>
        <w:t>sociedad</w:t>
      </w:r>
      <w:r>
        <w:rPr>
          <w:i/>
          <w:spacing w:val="-16"/>
          <w:sz w:val="16"/>
        </w:rPr>
        <w:t xml:space="preserve"> </w:t>
      </w:r>
      <w:r>
        <w:rPr>
          <w:i/>
          <w:sz w:val="16"/>
        </w:rPr>
        <w:t>democrática,</w:t>
      </w:r>
      <w:r>
        <w:rPr>
          <w:i/>
          <w:spacing w:val="-14"/>
          <w:sz w:val="16"/>
        </w:rPr>
        <w:t xml:space="preserve"> </w:t>
      </w:r>
      <w:r>
        <w:rPr>
          <w:i/>
          <w:sz w:val="16"/>
        </w:rPr>
        <w:t>en</w:t>
      </w:r>
      <w:r>
        <w:rPr>
          <w:i/>
          <w:spacing w:val="-15"/>
          <w:sz w:val="16"/>
        </w:rPr>
        <w:t xml:space="preserve"> </w:t>
      </w:r>
      <w:r>
        <w:rPr>
          <w:i/>
          <w:sz w:val="16"/>
        </w:rPr>
        <w:t>la</w:t>
      </w:r>
      <w:r>
        <w:rPr>
          <w:i/>
          <w:spacing w:val="-17"/>
          <w:sz w:val="16"/>
        </w:rPr>
        <w:t xml:space="preserve"> </w:t>
      </w:r>
      <w:r>
        <w:rPr>
          <w:i/>
          <w:sz w:val="16"/>
        </w:rPr>
        <w:t>medida</w:t>
      </w:r>
      <w:r>
        <w:rPr>
          <w:i/>
          <w:spacing w:val="-16"/>
          <w:sz w:val="16"/>
        </w:rPr>
        <w:t xml:space="preserve"> </w:t>
      </w:r>
      <w:r>
        <w:rPr>
          <w:i/>
          <w:sz w:val="16"/>
        </w:rPr>
        <w:t>que</w:t>
      </w:r>
      <w:r>
        <w:rPr>
          <w:i/>
          <w:spacing w:val="-14"/>
          <w:sz w:val="16"/>
        </w:rPr>
        <w:t xml:space="preserve"> </w:t>
      </w:r>
      <w:r>
        <w:rPr>
          <w:i/>
          <w:sz w:val="16"/>
        </w:rPr>
        <w:t>no</w:t>
      </w:r>
      <w:r>
        <w:rPr>
          <w:i/>
          <w:spacing w:val="-15"/>
          <w:sz w:val="16"/>
        </w:rPr>
        <w:t xml:space="preserve"> </w:t>
      </w:r>
      <w:r>
        <w:rPr>
          <w:i/>
          <w:sz w:val="16"/>
        </w:rPr>
        <w:t>contradigan el propósito y razón de los</w:t>
      </w:r>
      <w:r>
        <w:rPr>
          <w:i/>
          <w:spacing w:val="-9"/>
          <w:sz w:val="16"/>
        </w:rPr>
        <w:t xml:space="preserve"> </w:t>
      </w:r>
      <w:r>
        <w:rPr>
          <w:i/>
          <w:sz w:val="16"/>
        </w:rPr>
        <w:t>mismos”</w:t>
      </w:r>
    </w:p>
    <w:p w14:paraId="36180CDA" w14:textId="77777777" w:rsidR="00467FCA" w:rsidRDefault="001B68EB">
      <w:pPr>
        <w:ind w:left="470" w:right="392"/>
        <w:jc w:val="both"/>
        <w:rPr>
          <w:i/>
          <w:sz w:val="16"/>
        </w:rPr>
      </w:pPr>
      <w:r>
        <w:rPr>
          <w:sz w:val="16"/>
        </w:rPr>
        <w:t>Art. 19.6: “</w:t>
      </w:r>
      <w:r>
        <w:rPr>
          <w:i/>
          <w:sz w:val="16"/>
        </w:rPr>
        <w:t>Medios de Protección. En el caso de que los derechos establecidos en el párrafo a) del artículo 8 y en el artículo 13 fuesen violados por una acción imputable directamente a un Estado parte del pr</w:t>
      </w:r>
      <w:r>
        <w:rPr>
          <w:i/>
          <w:sz w:val="16"/>
        </w:rPr>
        <w:t>esente Protocolo, tal situación</w:t>
      </w:r>
      <w:r>
        <w:rPr>
          <w:i/>
          <w:spacing w:val="-12"/>
          <w:sz w:val="16"/>
        </w:rPr>
        <w:t xml:space="preserve"> </w:t>
      </w:r>
      <w:r>
        <w:rPr>
          <w:i/>
          <w:sz w:val="16"/>
        </w:rPr>
        <w:t>podría</w:t>
      </w:r>
      <w:r>
        <w:rPr>
          <w:i/>
          <w:spacing w:val="-14"/>
          <w:sz w:val="16"/>
        </w:rPr>
        <w:t xml:space="preserve"> </w:t>
      </w:r>
      <w:r>
        <w:rPr>
          <w:i/>
          <w:sz w:val="16"/>
        </w:rPr>
        <w:t>dar</w:t>
      </w:r>
      <w:r>
        <w:rPr>
          <w:i/>
          <w:spacing w:val="-12"/>
          <w:sz w:val="16"/>
        </w:rPr>
        <w:t xml:space="preserve"> </w:t>
      </w:r>
      <w:r>
        <w:rPr>
          <w:i/>
          <w:sz w:val="16"/>
        </w:rPr>
        <w:t>lugar,</w:t>
      </w:r>
      <w:r>
        <w:rPr>
          <w:i/>
          <w:spacing w:val="-14"/>
          <w:sz w:val="16"/>
        </w:rPr>
        <w:t xml:space="preserve"> </w:t>
      </w:r>
      <w:r>
        <w:rPr>
          <w:i/>
          <w:sz w:val="16"/>
        </w:rPr>
        <w:t>mediante</w:t>
      </w:r>
      <w:r>
        <w:rPr>
          <w:i/>
          <w:spacing w:val="-10"/>
          <w:sz w:val="16"/>
        </w:rPr>
        <w:t xml:space="preserve"> </w:t>
      </w:r>
      <w:r>
        <w:rPr>
          <w:i/>
          <w:sz w:val="16"/>
        </w:rPr>
        <w:t>la</w:t>
      </w:r>
      <w:r>
        <w:rPr>
          <w:i/>
          <w:spacing w:val="-14"/>
          <w:sz w:val="16"/>
        </w:rPr>
        <w:t xml:space="preserve"> </w:t>
      </w:r>
      <w:r>
        <w:rPr>
          <w:i/>
          <w:sz w:val="16"/>
        </w:rPr>
        <w:t>participación</w:t>
      </w:r>
      <w:r>
        <w:rPr>
          <w:i/>
          <w:spacing w:val="-14"/>
          <w:sz w:val="16"/>
        </w:rPr>
        <w:t xml:space="preserve"> </w:t>
      </w:r>
      <w:r>
        <w:rPr>
          <w:i/>
          <w:sz w:val="16"/>
        </w:rPr>
        <w:t>de</w:t>
      </w:r>
      <w:r>
        <w:rPr>
          <w:i/>
          <w:spacing w:val="-13"/>
          <w:sz w:val="16"/>
        </w:rPr>
        <w:t xml:space="preserve"> </w:t>
      </w:r>
      <w:r>
        <w:rPr>
          <w:i/>
          <w:sz w:val="16"/>
        </w:rPr>
        <w:t>la</w:t>
      </w:r>
      <w:r>
        <w:rPr>
          <w:i/>
          <w:spacing w:val="-13"/>
          <w:sz w:val="16"/>
        </w:rPr>
        <w:t xml:space="preserve"> </w:t>
      </w:r>
      <w:r>
        <w:rPr>
          <w:i/>
          <w:sz w:val="16"/>
        </w:rPr>
        <w:t>Comisión</w:t>
      </w:r>
      <w:r>
        <w:rPr>
          <w:i/>
          <w:spacing w:val="-12"/>
          <w:sz w:val="16"/>
        </w:rPr>
        <w:t xml:space="preserve"> </w:t>
      </w:r>
      <w:r>
        <w:rPr>
          <w:i/>
          <w:sz w:val="16"/>
        </w:rPr>
        <w:t>Interamericana</w:t>
      </w:r>
      <w:r>
        <w:rPr>
          <w:i/>
          <w:spacing w:val="-16"/>
          <w:sz w:val="16"/>
        </w:rPr>
        <w:t xml:space="preserve"> </w:t>
      </w:r>
      <w:r>
        <w:rPr>
          <w:i/>
          <w:sz w:val="16"/>
        </w:rPr>
        <w:t>de</w:t>
      </w:r>
      <w:r>
        <w:rPr>
          <w:i/>
          <w:spacing w:val="-13"/>
          <w:sz w:val="16"/>
        </w:rPr>
        <w:t xml:space="preserve"> </w:t>
      </w:r>
      <w:r>
        <w:rPr>
          <w:i/>
          <w:sz w:val="16"/>
        </w:rPr>
        <w:t>Derechos</w:t>
      </w:r>
      <w:r>
        <w:rPr>
          <w:i/>
          <w:spacing w:val="-12"/>
          <w:sz w:val="16"/>
        </w:rPr>
        <w:t xml:space="preserve"> </w:t>
      </w:r>
      <w:r>
        <w:rPr>
          <w:i/>
          <w:sz w:val="16"/>
        </w:rPr>
        <w:t>Humanos,</w:t>
      </w:r>
      <w:r>
        <w:rPr>
          <w:i/>
          <w:spacing w:val="-14"/>
          <w:sz w:val="16"/>
        </w:rPr>
        <w:t xml:space="preserve"> </w:t>
      </w:r>
      <w:r>
        <w:rPr>
          <w:i/>
          <w:sz w:val="16"/>
        </w:rPr>
        <w:t>y</w:t>
      </w:r>
      <w:r>
        <w:rPr>
          <w:i/>
          <w:spacing w:val="-12"/>
          <w:sz w:val="16"/>
        </w:rPr>
        <w:t xml:space="preserve"> </w:t>
      </w:r>
      <w:r>
        <w:rPr>
          <w:i/>
          <w:sz w:val="16"/>
        </w:rPr>
        <w:t xml:space="preserve">cuando proceda de la Corte Interamericana de Derechos Humanos, a la aplicación del sistema de peticiones individuales regulado </w:t>
      </w:r>
      <w:r>
        <w:rPr>
          <w:i/>
          <w:sz w:val="16"/>
        </w:rPr>
        <w:t>por los artículos 44 a 51 y 61 a 69 de la Convención Americana sobre Derechos</w:t>
      </w:r>
      <w:r>
        <w:rPr>
          <w:i/>
          <w:spacing w:val="-20"/>
          <w:sz w:val="16"/>
        </w:rPr>
        <w:t xml:space="preserve"> </w:t>
      </w:r>
      <w:r>
        <w:rPr>
          <w:i/>
          <w:sz w:val="16"/>
        </w:rPr>
        <w:t>Humanos.</w:t>
      </w:r>
    </w:p>
    <w:p w14:paraId="53B1EA8D" w14:textId="77777777" w:rsidR="00467FCA" w:rsidRDefault="001B68EB">
      <w:pPr>
        <w:ind w:left="470" w:right="391"/>
        <w:jc w:val="both"/>
        <w:rPr>
          <w:i/>
          <w:sz w:val="16"/>
        </w:rPr>
      </w:pPr>
      <w:bookmarkStart w:id="710" w:name="_bookmark631"/>
      <w:bookmarkEnd w:id="710"/>
      <w:r>
        <w:rPr>
          <w:i/>
          <w:position w:val="6"/>
          <w:sz w:val="10"/>
        </w:rPr>
        <w:t xml:space="preserve">83 </w:t>
      </w:r>
      <w:r>
        <w:rPr>
          <w:i/>
          <w:sz w:val="16"/>
        </w:rPr>
        <w:t xml:space="preserve">Art. 3: ”Obligación de no Discriminación. Los Estados partes en el presente Protocolo se comprometen a garantizar el ejercicio de los derechos que en él se enuncian, </w:t>
      </w:r>
      <w:r>
        <w:rPr>
          <w:i/>
          <w:sz w:val="16"/>
        </w:rPr>
        <w:t>sin discriminación alguna por motivos de raza, color, sexo, idioma, religión, opiniones políticas o de cualquier otra índole, origen nacional o social, posición económica, nacimiento o cualquier otra condición social”.</w:t>
      </w:r>
    </w:p>
    <w:p w14:paraId="6B7FF784" w14:textId="77777777" w:rsidR="00467FCA" w:rsidRDefault="001B68EB">
      <w:pPr>
        <w:ind w:left="470" w:right="393"/>
        <w:jc w:val="both"/>
        <w:rPr>
          <w:sz w:val="16"/>
        </w:rPr>
      </w:pPr>
      <w:bookmarkStart w:id="711" w:name="_bookmark632"/>
      <w:bookmarkEnd w:id="711"/>
      <w:r>
        <w:rPr>
          <w:position w:val="6"/>
          <w:sz w:val="10"/>
        </w:rPr>
        <w:t xml:space="preserve">84 </w:t>
      </w:r>
      <w:r>
        <w:rPr>
          <w:sz w:val="16"/>
        </w:rPr>
        <w:t>Art. 19.1: ”</w:t>
      </w:r>
      <w:r>
        <w:rPr>
          <w:i/>
          <w:sz w:val="16"/>
        </w:rPr>
        <w:t>Medios de Protección 1</w:t>
      </w:r>
      <w:r>
        <w:rPr>
          <w:i/>
          <w:sz w:val="16"/>
        </w:rPr>
        <w:t>. Los Estados partes en el presente Protocolo se comprometen a presentar,  de conformidad con lo dispuesto por este artículo y por las correspondientes normas que al efecto deberá elaborar la Asamblea General de la Organización de los Estados Americanos, i</w:t>
      </w:r>
      <w:r>
        <w:rPr>
          <w:i/>
          <w:sz w:val="16"/>
        </w:rPr>
        <w:t>nformes periódicos respecto de las medidas progresivas que hayan adoptado para asegurar el debido respeto de los derechos consagrados en el mismo Protocolo</w:t>
      </w:r>
      <w:r>
        <w:rPr>
          <w:sz w:val="16"/>
        </w:rPr>
        <w:t>.</w:t>
      </w:r>
    </w:p>
    <w:p w14:paraId="27476A0E" w14:textId="77777777" w:rsidR="00467FCA" w:rsidRDefault="00467FCA">
      <w:pPr>
        <w:jc w:val="both"/>
        <w:rPr>
          <w:sz w:val="16"/>
        </w:rPr>
        <w:sectPr w:rsidR="00467FCA">
          <w:pgSz w:w="12240" w:h="15840"/>
          <w:pgMar w:top="1340" w:right="1140" w:bottom="1200" w:left="960" w:header="0" w:footer="1002" w:gutter="0"/>
          <w:cols w:space="720"/>
        </w:sectPr>
      </w:pPr>
    </w:p>
    <w:p w14:paraId="79BC7286" w14:textId="77777777" w:rsidR="00467FCA" w:rsidRDefault="001B68EB">
      <w:pPr>
        <w:pStyle w:val="Prrafodelista"/>
        <w:numPr>
          <w:ilvl w:val="0"/>
          <w:numId w:val="17"/>
        </w:numPr>
        <w:tabs>
          <w:tab w:val="left" w:pos="1450"/>
        </w:tabs>
        <w:spacing w:before="76" w:line="276" w:lineRule="auto"/>
        <w:ind w:right="397" w:firstLine="0"/>
        <w:jc w:val="both"/>
        <w:rPr>
          <w:sz w:val="20"/>
        </w:rPr>
      </w:pPr>
      <w:r>
        <w:rPr>
          <w:sz w:val="20"/>
        </w:rPr>
        <w:t xml:space="preserve">Y respecto de esos derechos reconocidos por el Protocolo, los Estados Partes se comprometen a adoptar, de manera progresiva, las medidas que garanticen su plena efectividad (arts. 6.2, 10.2, 11.2 y 12.2). En esto hay una coincidencia con lo previsto en el </w:t>
      </w:r>
      <w:r>
        <w:rPr>
          <w:sz w:val="20"/>
        </w:rPr>
        <w:t>artículo 26, es decir, que tanto el Protocolo como esta última disposición dicen relación con derechos cuya efectividad no existe o no es</w:t>
      </w:r>
      <w:r>
        <w:rPr>
          <w:spacing w:val="-5"/>
          <w:sz w:val="20"/>
        </w:rPr>
        <w:t xml:space="preserve"> </w:t>
      </w:r>
      <w:r>
        <w:rPr>
          <w:sz w:val="20"/>
        </w:rPr>
        <w:t>plena.</w:t>
      </w:r>
    </w:p>
    <w:p w14:paraId="4D827DE8" w14:textId="77777777" w:rsidR="00467FCA" w:rsidRDefault="00467FCA">
      <w:pPr>
        <w:pStyle w:val="Textoindependiente"/>
        <w:spacing w:before="3"/>
        <w:rPr>
          <w:sz w:val="22"/>
        </w:rPr>
      </w:pPr>
    </w:p>
    <w:p w14:paraId="2225179B" w14:textId="77777777" w:rsidR="00467FCA" w:rsidRDefault="001B68EB">
      <w:pPr>
        <w:pStyle w:val="Prrafodelista"/>
        <w:numPr>
          <w:ilvl w:val="0"/>
          <w:numId w:val="17"/>
        </w:numPr>
        <w:tabs>
          <w:tab w:val="left" w:pos="1450"/>
        </w:tabs>
        <w:spacing w:before="1" w:line="276" w:lineRule="auto"/>
        <w:ind w:right="395" w:firstLine="0"/>
        <w:jc w:val="both"/>
        <w:rPr>
          <w:sz w:val="20"/>
        </w:rPr>
      </w:pPr>
      <w:r>
        <w:rPr>
          <w:sz w:val="20"/>
        </w:rPr>
        <w:t>El Protocolo igualmente contempla una norma, el artículo 19, concerniente a los medios de protección de los an</w:t>
      </w:r>
      <w:r>
        <w:rPr>
          <w:sz w:val="20"/>
        </w:rPr>
        <w:t>tes señalados derechos. Tales medios consisten en los informes</w:t>
      </w:r>
      <w:r>
        <w:rPr>
          <w:spacing w:val="-7"/>
          <w:sz w:val="20"/>
        </w:rPr>
        <w:t xml:space="preserve"> </w:t>
      </w:r>
      <w:r>
        <w:rPr>
          <w:sz w:val="20"/>
        </w:rPr>
        <w:t>que</w:t>
      </w:r>
      <w:r>
        <w:rPr>
          <w:spacing w:val="-9"/>
          <w:sz w:val="20"/>
        </w:rPr>
        <w:t xml:space="preserve"> </w:t>
      </w:r>
      <w:r>
        <w:rPr>
          <w:sz w:val="20"/>
        </w:rPr>
        <w:t>los</w:t>
      </w:r>
      <w:r>
        <w:rPr>
          <w:spacing w:val="-9"/>
          <w:sz w:val="20"/>
        </w:rPr>
        <w:t xml:space="preserve"> </w:t>
      </w:r>
      <w:r>
        <w:rPr>
          <w:sz w:val="20"/>
        </w:rPr>
        <w:t>Estados</w:t>
      </w:r>
      <w:r>
        <w:rPr>
          <w:spacing w:val="-9"/>
          <w:sz w:val="20"/>
        </w:rPr>
        <w:t xml:space="preserve"> </w:t>
      </w:r>
      <w:r>
        <w:rPr>
          <w:sz w:val="20"/>
        </w:rPr>
        <w:t>Partes</w:t>
      </w:r>
      <w:r>
        <w:rPr>
          <w:spacing w:val="-9"/>
          <w:sz w:val="20"/>
        </w:rPr>
        <w:t xml:space="preserve"> </w:t>
      </w:r>
      <w:r>
        <w:rPr>
          <w:sz w:val="20"/>
        </w:rPr>
        <w:t>deben</w:t>
      </w:r>
      <w:r>
        <w:rPr>
          <w:spacing w:val="-7"/>
          <w:sz w:val="20"/>
        </w:rPr>
        <w:t xml:space="preserve"> </w:t>
      </w:r>
      <w:r>
        <w:rPr>
          <w:sz w:val="20"/>
        </w:rPr>
        <w:t>presentar</w:t>
      </w:r>
      <w:r>
        <w:rPr>
          <w:spacing w:val="-9"/>
          <w:sz w:val="20"/>
        </w:rPr>
        <w:t xml:space="preserve"> </w:t>
      </w:r>
      <w:r>
        <w:rPr>
          <w:sz w:val="20"/>
        </w:rPr>
        <w:t>a</w:t>
      </w:r>
      <w:r>
        <w:rPr>
          <w:spacing w:val="-8"/>
          <w:sz w:val="20"/>
        </w:rPr>
        <w:t xml:space="preserve"> </w:t>
      </w:r>
      <w:r>
        <w:rPr>
          <w:sz w:val="20"/>
        </w:rPr>
        <w:t>la</w:t>
      </w:r>
      <w:r>
        <w:rPr>
          <w:spacing w:val="-6"/>
          <w:sz w:val="20"/>
        </w:rPr>
        <w:t xml:space="preserve"> </w:t>
      </w:r>
      <w:r>
        <w:rPr>
          <w:sz w:val="20"/>
        </w:rPr>
        <w:t>Asamblea</w:t>
      </w:r>
      <w:r>
        <w:rPr>
          <w:spacing w:val="-5"/>
          <w:sz w:val="20"/>
        </w:rPr>
        <w:t xml:space="preserve"> </w:t>
      </w:r>
      <w:r>
        <w:rPr>
          <w:sz w:val="20"/>
        </w:rPr>
        <w:t>General</w:t>
      </w:r>
      <w:r>
        <w:rPr>
          <w:spacing w:val="-5"/>
          <w:sz w:val="20"/>
        </w:rPr>
        <w:t xml:space="preserve"> </w:t>
      </w:r>
      <w:r>
        <w:rPr>
          <w:sz w:val="20"/>
        </w:rPr>
        <w:t>de</w:t>
      </w:r>
      <w:r>
        <w:rPr>
          <w:spacing w:val="-9"/>
          <w:sz w:val="20"/>
        </w:rPr>
        <w:t xml:space="preserve"> </w:t>
      </w:r>
      <w:r>
        <w:rPr>
          <w:sz w:val="20"/>
        </w:rPr>
        <w:t>la</w:t>
      </w:r>
      <w:r>
        <w:rPr>
          <w:spacing w:val="-5"/>
          <w:sz w:val="20"/>
        </w:rPr>
        <w:t xml:space="preserve"> </w:t>
      </w:r>
      <w:r>
        <w:rPr>
          <w:sz w:val="20"/>
        </w:rPr>
        <w:t>OEA</w:t>
      </w:r>
      <w:r>
        <w:rPr>
          <w:spacing w:val="-5"/>
          <w:sz w:val="20"/>
        </w:rPr>
        <w:t xml:space="preserve"> </w:t>
      </w:r>
      <w:r>
        <w:rPr>
          <w:sz w:val="20"/>
        </w:rPr>
        <w:t>“</w:t>
      </w:r>
      <w:r>
        <w:rPr>
          <w:i/>
          <w:sz w:val="20"/>
        </w:rPr>
        <w:t xml:space="preserve">respecto </w:t>
      </w:r>
      <w:r>
        <w:rPr>
          <w:i/>
          <w:sz w:val="20"/>
        </w:rPr>
        <w:t>de las medidas progresivas que hayan adoptado para asegurar el debido respeto de los derechos consagrados en el mismo Protocolo</w:t>
      </w:r>
      <w:r>
        <w:rPr>
          <w:sz w:val="20"/>
        </w:rPr>
        <w:t>”, en el tratamiento que el Consejo Interamericano</w:t>
      </w:r>
      <w:r>
        <w:rPr>
          <w:spacing w:val="-17"/>
          <w:sz w:val="20"/>
        </w:rPr>
        <w:t xml:space="preserve"> </w:t>
      </w:r>
      <w:r>
        <w:rPr>
          <w:sz w:val="20"/>
        </w:rPr>
        <w:t>Económico</w:t>
      </w:r>
      <w:r>
        <w:rPr>
          <w:spacing w:val="-14"/>
          <w:sz w:val="20"/>
        </w:rPr>
        <w:t xml:space="preserve"> </w:t>
      </w:r>
      <w:r>
        <w:rPr>
          <w:sz w:val="20"/>
        </w:rPr>
        <w:t>y</w:t>
      </w:r>
      <w:r>
        <w:rPr>
          <w:spacing w:val="-13"/>
          <w:sz w:val="20"/>
        </w:rPr>
        <w:t xml:space="preserve"> </w:t>
      </w:r>
      <w:r>
        <w:rPr>
          <w:sz w:val="20"/>
        </w:rPr>
        <w:t>Social</w:t>
      </w:r>
      <w:r>
        <w:rPr>
          <w:spacing w:val="-16"/>
          <w:sz w:val="20"/>
        </w:rPr>
        <w:t xml:space="preserve"> </w:t>
      </w:r>
      <w:r>
        <w:rPr>
          <w:sz w:val="20"/>
        </w:rPr>
        <w:t>y</w:t>
      </w:r>
      <w:r>
        <w:rPr>
          <w:spacing w:val="-11"/>
          <w:sz w:val="20"/>
        </w:rPr>
        <w:t xml:space="preserve"> </w:t>
      </w:r>
      <w:r>
        <w:rPr>
          <w:sz w:val="20"/>
        </w:rPr>
        <w:t>el</w:t>
      </w:r>
      <w:r>
        <w:rPr>
          <w:spacing w:val="-15"/>
          <w:sz w:val="20"/>
        </w:rPr>
        <w:t xml:space="preserve"> </w:t>
      </w:r>
      <w:r>
        <w:rPr>
          <w:sz w:val="20"/>
        </w:rPr>
        <w:t>Consejo</w:t>
      </w:r>
      <w:r>
        <w:rPr>
          <w:spacing w:val="-15"/>
          <w:sz w:val="20"/>
        </w:rPr>
        <w:t xml:space="preserve"> </w:t>
      </w:r>
      <w:r>
        <w:rPr>
          <w:sz w:val="20"/>
        </w:rPr>
        <w:t>Interamericano</w:t>
      </w:r>
      <w:r>
        <w:rPr>
          <w:spacing w:val="-16"/>
          <w:sz w:val="20"/>
        </w:rPr>
        <w:t xml:space="preserve"> </w:t>
      </w:r>
      <w:r>
        <w:rPr>
          <w:sz w:val="20"/>
        </w:rPr>
        <w:t>para</w:t>
      </w:r>
      <w:r>
        <w:rPr>
          <w:spacing w:val="-12"/>
          <w:sz w:val="20"/>
        </w:rPr>
        <w:t xml:space="preserve"> </w:t>
      </w:r>
      <w:r>
        <w:rPr>
          <w:sz w:val="20"/>
        </w:rPr>
        <w:t>la</w:t>
      </w:r>
      <w:r>
        <w:rPr>
          <w:spacing w:val="-13"/>
          <w:sz w:val="20"/>
        </w:rPr>
        <w:t xml:space="preserve"> </w:t>
      </w:r>
      <w:r>
        <w:rPr>
          <w:sz w:val="20"/>
        </w:rPr>
        <w:t>Educación,</w:t>
      </w:r>
      <w:r>
        <w:rPr>
          <w:spacing w:val="-16"/>
          <w:sz w:val="20"/>
        </w:rPr>
        <w:t xml:space="preserve"> </w:t>
      </w:r>
      <w:r>
        <w:rPr>
          <w:sz w:val="20"/>
        </w:rPr>
        <w:t>la</w:t>
      </w:r>
      <w:r>
        <w:rPr>
          <w:spacing w:val="-12"/>
          <w:sz w:val="20"/>
        </w:rPr>
        <w:t xml:space="preserve"> </w:t>
      </w:r>
      <w:r>
        <w:rPr>
          <w:sz w:val="20"/>
        </w:rPr>
        <w:t>Ciencia y</w:t>
      </w:r>
      <w:r>
        <w:rPr>
          <w:sz w:val="20"/>
        </w:rPr>
        <w:t xml:space="preserve"> la Cultura de la Organización le den a tales informes y en la opinión eventualmente que pueda proporcionar sobre el particular la Comisión</w:t>
      </w:r>
      <w:hyperlink w:anchor="_bookmark633" w:history="1">
        <w:r>
          <w:rPr>
            <w:position w:val="7"/>
            <w:sz w:val="13"/>
          </w:rPr>
          <w:t>85</w:t>
        </w:r>
      </w:hyperlink>
      <w:r>
        <w:rPr>
          <w:sz w:val="20"/>
        </w:rPr>
        <w:t>. Nótese que esta disposición es similar al proyecto de artículo 27 de la Convenció</w:t>
      </w:r>
      <w:r>
        <w:rPr>
          <w:sz w:val="20"/>
        </w:rPr>
        <w:t>n, que fue rechazado por la Conferencia correspondiente.</w:t>
      </w:r>
    </w:p>
    <w:p w14:paraId="0407657C" w14:textId="77777777" w:rsidR="00467FCA" w:rsidRDefault="00467FCA">
      <w:pPr>
        <w:pStyle w:val="Textoindependiente"/>
        <w:spacing w:before="11"/>
        <w:rPr>
          <w:sz w:val="22"/>
        </w:rPr>
      </w:pPr>
    </w:p>
    <w:p w14:paraId="2ACD0729" w14:textId="77777777" w:rsidR="00467FCA" w:rsidRDefault="001B68EB">
      <w:pPr>
        <w:pStyle w:val="Prrafodelista"/>
        <w:numPr>
          <w:ilvl w:val="0"/>
          <w:numId w:val="17"/>
        </w:numPr>
        <w:tabs>
          <w:tab w:val="left" w:pos="1450"/>
        </w:tabs>
        <w:spacing w:line="276" w:lineRule="auto"/>
        <w:ind w:right="397" w:firstLine="0"/>
        <w:jc w:val="both"/>
        <w:rPr>
          <w:sz w:val="20"/>
        </w:rPr>
      </w:pPr>
      <w:r>
        <w:rPr>
          <w:sz w:val="20"/>
        </w:rPr>
        <w:t>Todo lo anteriormente reseñado significa, primeramente, que, para los Estados Partes del Protocolo, la vigencia de los derechos económicos, sociales y culturales es de naturaleza progresiva, vale de</w:t>
      </w:r>
      <w:r>
        <w:rPr>
          <w:sz w:val="20"/>
        </w:rPr>
        <w:t xml:space="preserve">cir, </w:t>
      </w:r>
      <w:r>
        <w:rPr>
          <w:i/>
          <w:sz w:val="20"/>
        </w:rPr>
        <w:t xml:space="preserve">a contrario sensu, </w:t>
      </w:r>
      <w:r>
        <w:rPr>
          <w:sz w:val="20"/>
        </w:rPr>
        <w:t>aquellos no se encuentran vigentes o, al menos, plenamente</w:t>
      </w:r>
      <w:r>
        <w:rPr>
          <w:spacing w:val="-4"/>
          <w:sz w:val="20"/>
        </w:rPr>
        <w:t xml:space="preserve"> </w:t>
      </w:r>
      <w:r>
        <w:rPr>
          <w:sz w:val="20"/>
        </w:rPr>
        <w:t>vigentes.</w:t>
      </w:r>
    </w:p>
    <w:p w14:paraId="169883D1" w14:textId="77777777" w:rsidR="00467FCA" w:rsidRDefault="00467FCA">
      <w:pPr>
        <w:pStyle w:val="Textoindependiente"/>
      </w:pPr>
    </w:p>
    <w:p w14:paraId="7405AD2F" w14:textId="77777777" w:rsidR="00467FCA" w:rsidRDefault="001B68EB">
      <w:pPr>
        <w:pStyle w:val="Textoindependiente"/>
        <w:spacing w:before="3"/>
        <w:rPr>
          <w:sz w:val="11"/>
        </w:rPr>
      </w:pPr>
      <w:r>
        <w:pict w14:anchorId="64A8AF0B">
          <v:shape id="_x0000_s1085" style="position:absolute;margin-left:56.75pt;margin-top:9.2pt;width:2in;height:.1pt;z-index:-251544576;mso-wrap-distance-left:0;mso-wrap-distance-right:0;mso-position-horizontal-relative:page" coordorigin="1135,184" coordsize="2880,0" path="m1135,184r2880,e" filled="f" strokeweight=".72pt">
            <v:path arrowok="t"/>
            <w10:wrap type="topAndBottom" anchorx="page"/>
          </v:shape>
        </w:pict>
      </w:r>
    </w:p>
    <w:p w14:paraId="18D1D020" w14:textId="77777777" w:rsidR="00467FCA" w:rsidRDefault="001B68EB">
      <w:pPr>
        <w:spacing w:before="71"/>
        <w:ind w:left="470" w:right="391"/>
        <w:jc w:val="both"/>
        <w:rPr>
          <w:i/>
          <w:sz w:val="16"/>
        </w:rPr>
      </w:pPr>
      <w:bookmarkStart w:id="712" w:name="_bookmark633"/>
      <w:bookmarkEnd w:id="712"/>
      <w:r>
        <w:rPr>
          <w:position w:val="6"/>
          <w:sz w:val="10"/>
        </w:rPr>
        <w:t xml:space="preserve">85 </w:t>
      </w:r>
      <w:r>
        <w:rPr>
          <w:i/>
          <w:sz w:val="16"/>
        </w:rPr>
        <w:t>Art. 19: “Medios de Protección.1. Los Estados partes en el presente Protocolo se comprometen a presentar, de conformidad con lo dispuesto por este artículo y por las correspondientes normas que al efecto deberá elaborar la Asamblea General de la Organizaci</w:t>
      </w:r>
      <w:r>
        <w:rPr>
          <w:i/>
          <w:sz w:val="16"/>
        </w:rPr>
        <w:t>ón de los Estados Americanos, informes periódicos respecto de las medidas progresivas que hayan adoptado para asegurar el debido respeto de los derechos consagrados en el mismo Protocolo.</w:t>
      </w:r>
    </w:p>
    <w:p w14:paraId="442A0C67" w14:textId="77777777" w:rsidR="00467FCA" w:rsidRDefault="001B68EB">
      <w:pPr>
        <w:pStyle w:val="Prrafodelista"/>
        <w:numPr>
          <w:ilvl w:val="0"/>
          <w:numId w:val="16"/>
        </w:numPr>
        <w:tabs>
          <w:tab w:val="left" w:pos="689"/>
        </w:tabs>
        <w:ind w:right="394" w:firstLine="0"/>
        <w:jc w:val="both"/>
        <w:rPr>
          <w:i/>
          <w:sz w:val="16"/>
        </w:rPr>
      </w:pPr>
      <w:r>
        <w:rPr>
          <w:i/>
          <w:sz w:val="16"/>
        </w:rPr>
        <w:t>Todos los informes serán presentados al Secretario General de la Org</w:t>
      </w:r>
      <w:r>
        <w:rPr>
          <w:i/>
          <w:sz w:val="16"/>
        </w:rPr>
        <w:t>anización de los Estados Americanos quien los transmitirá al Consejo Interamericano Económico y Social y al Consejo Interamericano para la Educación, la Ciencia</w:t>
      </w:r>
      <w:r>
        <w:rPr>
          <w:i/>
          <w:spacing w:val="-9"/>
          <w:sz w:val="16"/>
        </w:rPr>
        <w:t xml:space="preserve"> </w:t>
      </w:r>
      <w:r>
        <w:rPr>
          <w:i/>
          <w:sz w:val="16"/>
        </w:rPr>
        <w:t>y</w:t>
      </w:r>
      <w:r>
        <w:rPr>
          <w:i/>
          <w:spacing w:val="-9"/>
          <w:sz w:val="16"/>
        </w:rPr>
        <w:t xml:space="preserve"> </w:t>
      </w:r>
      <w:r>
        <w:rPr>
          <w:i/>
          <w:sz w:val="16"/>
        </w:rPr>
        <w:t>la</w:t>
      </w:r>
      <w:r>
        <w:rPr>
          <w:i/>
          <w:spacing w:val="-10"/>
          <w:sz w:val="16"/>
        </w:rPr>
        <w:t xml:space="preserve"> </w:t>
      </w:r>
      <w:r>
        <w:rPr>
          <w:i/>
          <w:sz w:val="16"/>
        </w:rPr>
        <w:t>Cultura,</w:t>
      </w:r>
      <w:r>
        <w:rPr>
          <w:i/>
          <w:spacing w:val="-9"/>
          <w:sz w:val="16"/>
        </w:rPr>
        <w:t xml:space="preserve"> </w:t>
      </w:r>
      <w:r>
        <w:rPr>
          <w:i/>
          <w:sz w:val="16"/>
        </w:rPr>
        <w:t>a</w:t>
      </w:r>
      <w:r>
        <w:rPr>
          <w:i/>
          <w:spacing w:val="-10"/>
          <w:sz w:val="16"/>
        </w:rPr>
        <w:t xml:space="preserve"> </w:t>
      </w:r>
      <w:r>
        <w:rPr>
          <w:i/>
          <w:sz w:val="16"/>
        </w:rPr>
        <w:t>fin</w:t>
      </w:r>
      <w:r>
        <w:rPr>
          <w:i/>
          <w:spacing w:val="-8"/>
          <w:sz w:val="16"/>
        </w:rPr>
        <w:t xml:space="preserve"> </w:t>
      </w:r>
      <w:r>
        <w:rPr>
          <w:i/>
          <w:sz w:val="16"/>
        </w:rPr>
        <w:t>de</w:t>
      </w:r>
      <w:r>
        <w:rPr>
          <w:i/>
          <w:spacing w:val="-10"/>
          <w:sz w:val="16"/>
        </w:rPr>
        <w:t xml:space="preserve"> </w:t>
      </w:r>
      <w:r>
        <w:rPr>
          <w:i/>
          <w:sz w:val="16"/>
        </w:rPr>
        <w:t>que</w:t>
      </w:r>
      <w:r>
        <w:rPr>
          <w:i/>
          <w:spacing w:val="-8"/>
          <w:sz w:val="16"/>
        </w:rPr>
        <w:t xml:space="preserve"> </w:t>
      </w:r>
      <w:r>
        <w:rPr>
          <w:i/>
          <w:sz w:val="16"/>
        </w:rPr>
        <w:t>los</w:t>
      </w:r>
      <w:r>
        <w:rPr>
          <w:i/>
          <w:spacing w:val="-10"/>
          <w:sz w:val="16"/>
        </w:rPr>
        <w:t xml:space="preserve"> </w:t>
      </w:r>
      <w:r>
        <w:rPr>
          <w:i/>
          <w:sz w:val="16"/>
        </w:rPr>
        <w:t>examinen</w:t>
      </w:r>
      <w:r>
        <w:rPr>
          <w:i/>
          <w:spacing w:val="-8"/>
          <w:sz w:val="16"/>
        </w:rPr>
        <w:t xml:space="preserve"> </w:t>
      </w:r>
      <w:r>
        <w:rPr>
          <w:i/>
          <w:sz w:val="16"/>
        </w:rPr>
        <w:t>conforme</w:t>
      </w:r>
      <w:r>
        <w:rPr>
          <w:i/>
          <w:spacing w:val="-8"/>
          <w:sz w:val="16"/>
        </w:rPr>
        <w:t xml:space="preserve"> </w:t>
      </w:r>
      <w:r>
        <w:rPr>
          <w:i/>
          <w:sz w:val="16"/>
        </w:rPr>
        <w:t>a</w:t>
      </w:r>
      <w:r>
        <w:rPr>
          <w:i/>
          <w:spacing w:val="-10"/>
          <w:sz w:val="16"/>
        </w:rPr>
        <w:t xml:space="preserve"> </w:t>
      </w:r>
      <w:r>
        <w:rPr>
          <w:i/>
          <w:sz w:val="16"/>
        </w:rPr>
        <w:t>lo</w:t>
      </w:r>
      <w:r>
        <w:rPr>
          <w:i/>
          <w:spacing w:val="-9"/>
          <w:sz w:val="16"/>
        </w:rPr>
        <w:t xml:space="preserve"> </w:t>
      </w:r>
      <w:r>
        <w:rPr>
          <w:i/>
          <w:sz w:val="16"/>
        </w:rPr>
        <w:t>dispuesto</w:t>
      </w:r>
      <w:r>
        <w:rPr>
          <w:i/>
          <w:spacing w:val="-9"/>
          <w:sz w:val="16"/>
        </w:rPr>
        <w:t xml:space="preserve"> </w:t>
      </w:r>
      <w:r>
        <w:rPr>
          <w:i/>
          <w:sz w:val="16"/>
        </w:rPr>
        <w:t>en</w:t>
      </w:r>
      <w:r>
        <w:rPr>
          <w:i/>
          <w:spacing w:val="-12"/>
          <w:sz w:val="16"/>
        </w:rPr>
        <w:t xml:space="preserve"> </w:t>
      </w:r>
      <w:r>
        <w:rPr>
          <w:i/>
          <w:sz w:val="16"/>
        </w:rPr>
        <w:t>el</w:t>
      </w:r>
      <w:r>
        <w:rPr>
          <w:i/>
          <w:spacing w:val="-8"/>
          <w:sz w:val="16"/>
        </w:rPr>
        <w:t xml:space="preserve"> </w:t>
      </w:r>
      <w:r>
        <w:rPr>
          <w:i/>
          <w:sz w:val="16"/>
        </w:rPr>
        <w:t>presente</w:t>
      </w:r>
      <w:r>
        <w:rPr>
          <w:i/>
          <w:spacing w:val="-7"/>
          <w:sz w:val="16"/>
        </w:rPr>
        <w:t xml:space="preserve"> </w:t>
      </w:r>
      <w:r>
        <w:rPr>
          <w:i/>
          <w:sz w:val="16"/>
        </w:rPr>
        <w:t>artículo.</w:t>
      </w:r>
      <w:r>
        <w:rPr>
          <w:i/>
          <w:spacing w:val="-8"/>
          <w:sz w:val="16"/>
        </w:rPr>
        <w:t xml:space="preserve"> </w:t>
      </w:r>
      <w:r>
        <w:rPr>
          <w:i/>
          <w:sz w:val="16"/>
        </w:rPr>
        <w:t>El</w:t>
      </w:r>
      <w:r>
        <w:rPr>
          <w:i/>
          <w:spacing w:val="-9"/>
          <w:sz w:val="16"/>
        </w:rPr>
        <w:t xml:space="preserve"> </w:t>
      </w:r>
      <w:r>
        <w:rPr>
          <w:i/>
          <w:sz w:val="16"/>
        </w:rPr>
        <w:t>Sec</w:t>
      </w:r>
      <w:r>
        <w:rPr>
          <w:i/>
          <w:sz w:val="16"/>
        </w:rPr>
        <w:t>retario</w:t>
      </w:r>
      <w:r>
        <w:rPr>
          <w:i/>
          <w:spacing w:val="-9"/>
          <w:sz w:val="16"/>
        </w:rPr>
        <w:t xml:space="preserve"> </w:t>
      </w:r>
      <w:r>
        <w:rPr>
          <w:i/>
          <w:sz w:val="16"/>
        </w:rPr>
        <w:t>General enviará copia de tales informes a la Comisión Interamericana de Derechos</w:t>
      </w:r>
      <w:r>
        <w:rPr>
          <w:i/>
          <w:spacing w:val="-7"/>
          <w:sz w:val="16"/>
        </w:rPr>
        <w:t xml:space="preserve"> </w:t>
      </w:r>
      <w:r>
        <w:rPr>
          <w:i/>
          <w:sz w:val="16"/>
        </w:rPr>
        <w:t>Humanos.</w:t>
      </w:r>
    </w:p>
    <w:p w14:paraId="1C2AAEC7" w14:textId="77777777" w:rsidR="00467FCA" w:rsidRDefault="001B68EB">
      <w:pPr>
        <w:pStyle w:val="Prrafodelista"/>
        <w:numPr>
          <w:ilvl w:val="0"/>
          <w:numId w:val="16"/>
        </w:numPr>
        <w:tabs>
          <w:tab w:val="left" w:pos="725"/>
        </w:tabs>
        <w:ind w:right="391" w:firstLine="0"/>
        <w:jc w:val="both"/>
        <w:rPr>
          <w:i/>
          <w:sz w:val="16"/>
        </w:rPr>
      </w:pPr>
      <w:r>
        <w:rPr>
          <w:i/>
          <w:sz w:val="16"/>
        </w:rPr>
        <w:t>El Secretario General de la Organización de los Estados Americanos transmitirá también a los organismos especializados</w:t>
      </w:r>
      <w:r>
        <w:rPr>
          <w:i/>
          <w:spacing w:val="-13"/>
          <w:sz w:val="16"/>
        </w:rPr>
        <w:t xml:space="preserve"> </w:t>
      </w:r>
      <w:r>
        <w:rPr>
          <w:i/>
          <w:sz w:val="16"/>
        </w:rPr>
        <w:t>del</w:t>
      </w:r>
      <w:r>
        <w:rPr>
          <w:i/>
          <w:spacing w:val="-11"/>
          <w:sz w:val="16"/>
        </w:rPr>
        <w:t xml:space="preserve"> </w:t>
      </w:r>
      <w:r>
        <w:rPr>
          <w:i/>
          <w:sz w:val="16"/>
        </w:rPr>
        <w:t>sistema</w:t>
      </w:r>
      <w:r>
        <w:rPr>
          <w:i/>
          <w:spacing w:val="-13"/>
          <w:sz w:val="16"/>
        </w:rPr>
        <w:t xml:space="preserve"> </w:t>
      </w:r>
      <w:r>
        <w:rPr>
          <w:i/>
          <w:sz w:val="16"/>
        </w:rPr>
        <w:t>interamericano,</w:t>
      </w:r>
      <w:r>
        <w:rPr>
          <w:i/>
          <w:spacing w:val="-11"/>
          <w:sz w:val="16"/>
        </w:rPr>
        <w:t xml:space="preserve"> </w:t>
      </w:r>
      <w:r>
        <w:rPr>
          <w:i/>
          <w:sz w:val="16"/>
        </w:rPr>
        <w:t>de</w:t>
      </w:r>
      <w:r>
        <w:rPr>
          <w:i/>
          <w:spacing w:val="-10"/>
          <w:sz w:val="16"/>
        </w:rPr>
        <w:t xml:space="preserve"> </w:t>
      </w:r>
      <w:r>
        <w:rPr>
          <w:i/>
          <w:sz w:val="16"/>
        </w:rPr>
        <w:t>los</w:t>
      </w:r>
      <w:r>
        <w:rPr>
          <w:i/>
          <w:spacing w:val="-12"/>
          <w:sz w:val="16"/>
        </w:rPr>
        <w:t xml:space="preserve"> </w:t>
      </w:r>
      <w:r>
        <w:rPr>
          <w:i/>
          <w:sz w:val="16"/>
        </w:rPr>
        <w:t>cual</w:t>
      </w:r>
      <w:r>
        <w:rPr>
          <w:i/>
          <w:sz w:val="16"/>
        </w:rPr>
        <w:t>es</w:t>
      </w:r>
      <w:r>
        <w:rPr>
          <w:i/>
          <w:spacing w:val="-12"/>
          <w:sz w:val="16"/>
        </w:rPr>
        <w:t xml:space="preserve"> </w:t>
      </w:r>
      <w:r>
        <w:rPr>
          <w:i/>
          <w:sz w:val="16"/>
        </w:rPr>
        <w:t>sean</w:t>
      </w:r>
      <w:r>
        <w:rPr>
          <w:i/>
          <w:spacing w:val="-13"/>
          <w:sz w:val="16"/>
        </w:rPr>
        <w:t xml:space="preserve"> </w:t>
      </w:r>
      <w:r>
        <w:rPr>
          <w:i/>
          <w:sz w:val="16"/>
        </w:rPr>
        <w:t>miembros</w:t>
      </w:r>
      <w:r>
        <w:rPr>
          <w:i/>
          <w:spacing w:val="-12"/>
          <w:sz w:val="16"/>
        </w:rPr>
        <w:t xml:space="preserve"> </w:t>
      </w:r>
      <w:r>
        <w:rPr>
          <w:i/>
          <w:sz w:val="16"/>
        </w:rPr>
        <w:t>los</w:t>
      </w:r>
      <w:r>
        <w:rPr>
          <w:i/>
          <w:spacing w:val="-12"/>
          <w:sz w:val="16"/>
        </w:rPr>
        <w:t xml:space="preserve"> </w:t>
      </w:r>
      <w:r>
        <w:rPr>
          <w:i/>
          <w:sz w:val="16"/>
        </w:rPr>
        <w:t>Estados</w:t>
      </w:r>
      <w:r>
        <w:rPr>
          <w:i/>
          <w:spacing w:val="-10"/>
          <w:sz w:val="16"/>
        </w:rPr>
        <w:t xml:space="preserve"> </w:t>
      </w:r>
      <w:r>
        <w:rPr>
          <w:i/>
          <w:sz w:val="16"/>
        </w:rPr>
        <w:t>partes</w:t>
      </w:r>
      <w:r>
        <w:rPr>
          <w:i/>
          <w:spacing w:val="-14"/>
          <w:sz w:val="16"/>
        </w:rPr>
        <w:t xml:space="preserve"> </w:t>
      </w:r>
      <w:r>
        <w:rPr>
          <w:i/>
          <w:sz w:val="16"/>
        </w:rPr>
        <w:t>en</w:t>
      </w:r>
      <w:r>
        <w:rPr>
          <w:i/>
          <w:spacing w:val="-11"/>
          <w:sz w:val="16"/>
        </w:rPr>
        <w:t xml:space="preserve"> </w:t>
      </w:r>
      <w:r>
        <w:rPr>
          <w:i/>
          <w:sz w:val="16"/>
        </w:rPr>
        <w:t>el</w:t>
      </w:r>
      <w:r>
        <w:rPr>
          <w:i/>
          <w:spacing w:val="-11"/>
          <w:sz w:val="16"/>
        </w:rPr>
        <w:t xml:space="preserve"> </w:t>
      </w:r>
      <w:r>
        <w:rPr>
          <w:i/>
          <w:sz w:val="16"/>
        </w:rPr>
        <w:t>presente</w:t>
      </w:r>
      <w:r>
        <w:rPr>
          <w:i/>
          <w:spacing w:val="-11"/>
          <w:sz w:val="16"/>
        </w:rPr>
        <w:t xml:space="preserve"> </w:t>
      </w:r>
      <w:r>
        <w:rPr>
          <w:i/>
          <w:sz w:val="16"/>
        </w:rPr>
        <w:t>Protocolo, copias de los informes enviados o de las partes pertinentes de éstos, en la medida en que tengan relación con materias que sean de la competencia de dichos organismos, conforme a sus instrumentos</w:t>
      </w:r>
      <w:r>
        <w:rPr>
          <w:i/>
          <w:spacing w:val="-20"/>
          <w:sz w:val="16"/>
        </w:rPr>
        <w:t xml:space="preserve"> </w:t>
      </w:r>
      <w:r>
        <w:rPr>
          <w:i/>
          <w:sz w:val="16"/>
        </w:rPr>
        <w:t>constitutivos.</w:t>
      </w:r>
    </w:p>
    <w:p w14:paraId="2C7FB63A" w14:textId="77777777" w:rsidR="00467FCA" w:rsidRDefault="001B68EB">
      <w:pPr>
        <w:pStyle w:val="Prrafodelista"/>
        <w:numPr>
          <w:ilvl w:val="0"/>
          <w:numId w:val="16"/>
        </w:numPr>
        <w:tabs>
          <w:tab w:val="left" w:pos="756"/>
        </w:tabs>
        <w:ind w:right="392" w:firstLine="0"/>
        <w:jc w:val="both"/>
        <w:rPr>
          <w:i/>
          <w:sz w:val="16"/>
        </w:rPr>
      </w:pPr>
      <w:r>
        <w:rPr>
          <w:i/>
          <w:sz w:val="16"/>
        </w:rPr>
        <w:t xml:space="preserve">Los organismos especializados del </w:t>
      </w:r>
      <w:r>
        <w:rPr>
          <w:i/>
          <w:sz w:val="16"/>
        </w:rPr>
        <w:t>sistema interamericano podrán presentar al Consejo Interamericano Económico y Social y al Consejo Interamericano para la Educación, la Ciencia y la Cultura informes relativos al cumplimiento de las disposiciones del presente Protocolo, en el campo de sus</w:t>
      </w:r>
      <w:r>
        <w:rPr>
          <w:i/>
          <w:spacing w:val="-8"/>
          <w:sz w:val="16"/>
        </w:rPr>
        <w:t xml:space="preserve"> </w:t>
      </w:r>
      <w:r>
        <w:rPr>
          <w:i/>
          <w:sz w:val="16"/>
        </w:rPr>
        <w:t>a</w:t>
      </w:r>
      <w:r>
        <w:rPr>
          <w:i/>
          <w:sz w:val="16"/>
        </w:rPr>
        <w:t>ctividades.”</w:t>
      </w:r>
    </w:p>
    <w:p w14:paraId="3A7E8FCF" w14:textId="77777777" w:rsidR="00467FCA" w:rsidRDefault="001B68EB">
      <w:pPr>
        <w:pStyle w:val="Prrafodelista"/>
        <w:numPr>
          <w:ilvl w:val="0"/>
          <w:numId w:val="16"/>
        </w:numPr>
        <w:tabs>
          <w:tab w:val="left" w:pos="699"/>
        </w:tabs>
        <w:ind w:right="392" w:firstLine="0"/>
        <w:jc w:val="both"/>
        <w:rPr>
          <w:i/>
          <w:sz w:val="16"/>
        </w:rPr>
      </w:pPr>
      <w:r>
        <w:rPr>
          <w:i/>
          <w:sz w:val="16"/>
        </w:rPr>
        <w:t>Los informes anuales que presenten a la Asamblea General el Consejo Interamericano Económico y Social y el Consejo</w:t>
      </w:r>
      <w:r>
        <w:rPr>
          <w:i/>
          <w:spacing w:val="-10"/>
          <w:sz w:val="16"/>
        </w:rPr>
        <w:t xml:space="preserve"> </w:t>
      </w:r>
      <w:r>
        <w:rPr>
          <w:i/>
          <w:sz w:val="16"/>
        </w:rPr>
        <w:t>Interamericano</w:t>
      </w:r>
      <w:r>
        <w:rPr>
          <w:i/>
          <w:spacing w:val="-9"/>
          <w:sz w:val="16"/>
        </w:rPr>
        <w:t xml:space="preserve"> </w:t>
      </w:r>
      <w:r>
        <w:rPr>
          <w:i/>
          <w:sz w:val="16"/>
        </w:rPr>
        <w:t>para</w:t>
      </w:r>
      <w:r>
        <w:rPr>
          <w:i/>
          <w:spacing w:val="-10"/>
          <w:sz w:val="16"/>
        </w:rPr>
        <w:t xml:space="preserve"> </w:t>
      </w:r>
      <w:r>
        <w:rPr>
          <w:i/>
          <w:sz w:val="16"/>
        </w:rPr>
        <w:t>la</w:t>
      </w:r>
      <w:r>
        <w:rPr>
          <w:i/>
          <w:spacing w:val="-8"/>
          <w:sz w:val="16"/>
        </w:rPr>
        <w:t xml:space="preserve"> </w:t>
      </w:r>
      <w:r>
        <w:rPr>
          <w:i/>
          <w:sz w:val="16"/>
        </w:rPr>
        <w:t>Educación,</w:t>
      </w:r>
      <w:r>
        <w:rPr>
          <w:i/>
          <w:spacing w:val="-9"/>
          <w:sz w:val="16"/>
        </w:rPr>
        <w:t xml:space="preserve"> </w:t>
      </w:r>
      <w:r>
        <w:rPr>
          <w:i/>
          <w:sz w:val="16"/>
        </w:rPr>
        <w:t>la</w:t>
      </w:r>
      <w:r>
        <w:rPr>
          <w:i/>
          <w:spacing w:val="-10"/>
          <w:sz w:val="16"/>
        </w:rPr>
        <w:t xml:space="preserve"> </w:t>
      </w:r>
      <w:r>
        <w:rPr>
          <w:i/>
          <w:sz w:val="16"/>
        </w:rPr>
        <w:t>Ciencia</w:t>
      </w:r>
      <w:r>
        <w:rPr>
          <w:i/>
          <w:spacing w:val="-10"/>
          <w:sz w:val="16"/>
        </w:rPr>
        <w:t xml:space="preserve"> </w:t>
      </w:r>
      <w:r>
        <w:rPr>
          <w:i/>
          <w:sz w:val="16"/>
        </w:rPr>
        <w:t>y</w:t>
      </w:r>
      <w:r>
        <w:rPr>
          <w:i/>
          <w:spacing w:val="-9"/>
          <w:sz w:val="16"/>
        </w:rPr>
        <w:t xml:space="preserve"> </w:t>
      </w:r>
      <w:r>
        <w:rPr>
          <w:i/>
          <w:sz w:val="16"/>
        </w:rPr>
        <w:t>la</w:t>
      </w:r>
      <w:r>
        <w:rPr>
          <w:i/>
          <w:spacing w:val="-11"/>
          <w:sz w:val="16"/>
        </w:rPr>
        <w:t xml:space="preserve"> </w:t>
      </w:r>
      <w:r>
        <w:rPr>
          <w:i/>
          <w:sz w:val="16"/>
        </w:rPr>
        <w:t>Cultura</w:t>
      </w:r>
      <w:r>
        <w:rPr>
          <w:i/>
          <w:spacing w:val="-8"/>
          <w:sz w:val="16"/>
        </w:rPr>
        <w:t xml:space="preserve"> </w:t>
      </w:r>
      <w:r>
        <w:rPr>
          <w:i/>
          <w:sz w:val="16"/>
        </w:rPr>
        <w:t>contendrán</w:t>
      </w:r>
      <w:r>
        <w:rPr>
          <w:i/>
          <w:spacing w:val="-11"/>
          <w:sz w:val="16"/>
        </w:rPr>
        <w:t xml:space="preserve"> </w:t>
      </w:r>
      <w:r>
        <w:rPr>
          <w:i/>
          <w:sz w:val="16"/>
        </w:rPr>
        <w:t>un</w:t>
      </w:r>
      <w:r>
        <w:rPr>
          <w:i/>
          <w:spacing w:val="-8"/>
          <w:sz w:val="16"/>
        </w:rPr>
        <w:t xml:space="preserve"> </w:t>
      </w:r>
      <w:r>
        <w:rPr>
          <w:i/>
          <w:sz w:val="16"/>
        </w:rPr>
        <w:t>resumen</w:t>
      </w:r>
      <w:r>
        <w:rPr>
          <w:i/>
          <w:spacing w:val="-13"/>
          <w:sz w:val="16"/>
        </w:rPr>
        <w:t xml:space="preserve"> </w:t>
      </w:r>
      <w:r>
        <w:rPr>
          <w:i/>
          <w:sz w:val="16"/>
        </w:rPr>
        <w:t>de</w:t>
      </w:r>
      <w:r>
        <w:rPr>
          <w:i/>
          <w:spacing w:val="-11"/>
          <w:sz w:val="16"/>
        </w:rPr>
        <w:t xml:space="preserve"> </w:t>
      </w:r>
      <w:r>
        <w:rPr>
          <w:i/>
          <w:sz w:val="16"/>
        </w:rPr>
        <w:t>la</w:t>
      </w:r>
      <w:r>
        <w:rPr>
          <w:i/>
          <w:spacing w:val="-8"/>
          <w:sz w:val="16"/>
        </w:rPr>
        <w:t xml:space="preserve"> </w:t>
      </w:r>
      <w:r>
        <w:rPr>
          <w:i/>
          <w:sz w:val="16"/>
        </w:rPr>
        <w:t>información</w:t>
      </w:r>
      <w:r>
        <w:rPr>
          <w:i/>
          <w:spacing w:val="-11"/>
          <w:sz w:val="16"/>
        </w:rPr>
        <w:t xml:space="preserve"> </w:t>
      </w:r>
      <w:r>
        <w:rPr>
          <w:i/>
          <w:sz w:val="16"/>
        </w:rPr>
        <w:t>recibida de</w:t>
      </w:r>
      <w:r>
        <w:rPr>
          <w:i/>
          <w:spacing w:val="-10"/>
          <w:sz w:val="16"/>
        </w:rPr>
        <w:t xml:space="preserve"> </w:t>
      </w:r>
      <w:r>
        <w:rPr>
          <w:i/>
          <w:sz w:val="16"/>
        </w:rPr>
        <w:t>los</w:t>
      </w:r>
      <w:r>
        <w:rPr>
          <w:i/>
          <w:spacing w:val="-10"/>
          <w:sz w:val="16"/>
        </w:rPr>
        <w:t xml:space="preserve"> </w:t>
      </w:r>
      <w:r>
        <w:rPr>
          <w:i/>
          <w:sz w:val="16"/>
        </w:rPr>
        <w:t>Estados</w:t>
      </w:r>
      <w:r>
        <w:rPr>
          <w:i/>
          <w:spacing w:val="-11"/>
          <w:sz w:val="16"/>
        </w:rPr>
        <w:t xml:space="preserve"> </w:t>
      </w:r>
      <w:r>
        <w:rPr>
          <w:i/>
          <w:sz w:val="16"/>
        </w:rPr>
        <w:t>partes</w:t>
      </w:r>
      <w:r>
        <w:rPr>
          <w:i/>
          <w:spacing w:val="-9"/>
          <w:sz w:val="16"/>
        </w:rPr>
        <w:t xml:space="preserve"> </w:t>
      </w:r>
      <w:r>
        <w:rPr>
          <w:i/>
          <w:sz w:val="16"/>
        </w:rPr>
        <w:t>en</w:t>
      </w:r>
      <w:r>
        <w:rPr>
          <w:i/>
          <w:spacing w:val="-12"/>
          <w:sz w:val="16"/>
        </w:rPr>
        <w:t xml:space="preserve"> </w:t>
      </w:r>
      <w:r>
        <w:rPr>
          <w:i/>
          <w:sz w:val="16"/>
        </w:rPr>
        <w:t>el</w:t>
      </w:r>
      <w:r>
        <w:rPr>
          <w:i/>
          <w:spacing w:val="-13"/>
          <w:sz w:val="16"/>
        </w:rPr>
        <w:t xml:space="preserve"> </w:t>
      </w:r>
      <w:r>
        <w:rPr>
          <w:i/>
          <w:sz w:val="16"/>
        </w:rPr>
        <w:t>presente</w:t>
      </w:r>
      <w:r>
        <w:rPr>
          <w:i/>
          <w:spacing w:val="-10"/>
          <w:sz w:val="16"/>
        </w:rPr>
        <w:t xml:space="preserve"> </w:t>
      </w:r>
      <w:r>
        <w:rPr>
          <w:i/>
          <w:sz w:val="16"/>
        </w:rPr>
        <w:t>Protocolo</w:t>
      </w:r>
      <w:r>
        <w:rPr>
          <w:i/>
          <w:spacing w:val="-9"/>
          <w:sz w:val="16"/>
        </w:rPr>
        <w:t xml:space="preserve"> </w:t>
      </w:r>
      <w:r>
        <w:rPr>
          <w:i/>
          <w:sz w:val="16"/>
        </w:rPr>
        <w:t>y</w:t>
      </w:r>
      <w:r>
        <w:rPr>
          <w:i/>
          <w:spacing w:val="-11"/>
          <w:sz w:val="16"/>
        </w:rPr>
        <w:t xml:space="preserve"> </w:t>
      </w:r>
      <w:r>
        <w:rPr>
          <w:i/>
          <w:sz w:val="16"/>
        </w:rPr>
        <w:t>de</w:t>
      </w:r>
      <w:r>
        <w:rPr>
          <w:i/>
          <w:spacing w:val="-10"/>
          <w:sz w:val="16"/>
        </w:rPr>
        <w:t xml:space="preserve"> </w:t>
      </w:r>
      <w:r>
        <w:rPr>
          <w:i/>
          <w:sz w:val="16"/>
        </w:rPr>
        <w:t>los</w:t>
      </w:r>
      <w:r>
        <w:rPr>
          <w:i/>
          <w:spacing w:val="-10"/>
          <w:sz w:val="16"/>
        </w:rPr>
        <w:t xml:space="preserve"> </w:t>
      </w:r>
      <w:r>
        <w:rPr>
          <w:i/>
          <w:sz w:val="16"/>
        </w:rPr>
        <w:t>organismos</w:t>
      </w:r>
      <w:r>
        <w:rPr>
          <w:i/>
          <w:spacing w:val="-13"/>
          <w:sz w:val="16"/>
        </w:rPr>
        <w:t xml:space="preserve"> </w:t>
      </w:r>
      <w:r>
        <w:rPr>
          <w:i/>
          <w:sz w:val="16"/>
        </w:rPr>
        <w:t>especializados</w:t>
      </w:r>
      <w:r>
        <w:rPr>
          <w:i/>
          <w:spacing w:val="-10"/>
          <w:sz w:val="16"/>
        </w:rPr>
        <w:t xml:space="preserve"> </w:t>
      </w:r>
      <w:r>
        <w:rPr>
          <w:i/>
          <w:sz w:val="16"/>
        </w:rPr>
        <w:t>acerca</w:t>
      </w:r>
      <w:r>
        <w:rPr>
          <w:i/>
          <w:spacing w:val="-11"/>
          <w:sz w:val="16"/>
        </w:rPr>
        <w:t xml:space="preserve"> </w:t>
      </w:r>
      <w:r>
        <w:rPr>
          <w:i/>
          <w:sz w:val="16"/>
        </w:rPr>
        <w:t>de</w:t>
      </w:r>
      <w:r>
        <w:rPr>
          <w:i/>
          <w:spacing w:val="-12"/>
          <w:sz w:val="16"/>
        </w:rPr>
        <w:t xml:space="preserve"> </w:t>
      </w:r>
      <w:r>
        <w:rPr>
          <w:i/>
          <w:sz w:val="16"/>
        </w:rPr>
        <w:t>las</w:t>
      </w:r>
      <w:r>
        <w:rPr>
          <w:i/>
          <w:spacing w:val="-10"/>
          <w:sz w:val="16"/>
        </w:rPr>
        <w:t xml:space="preserve"> </w:t>
      </w:r>
      <w:r>
        <w:rPr>
          <w:i/>
          <w:sz w:val="16"/>
        </w:rPr>
        <w:t>medidas</w:t>
      </w:r>
      <w:r>
        <w:rPr>
          <w:i/>
          <w:spacing w:val="-13"/>
          <w:sz w:val="16"/>
        </w:rPr>
        <w:t xml:space="preserve"> </w:t>
      </w:r>
      <w:r>
        <w:rPr>
          <w:i/>
          <w:sz w:val="16"/>
        </w:rPr>
        <w:t>progresivas adoptadas a fin de asegurar el respeto de los derechos reconocidos en el propio Protocolo y las recomendaciones de carácter general que al respecto se estimen</w:t>
      </w:r>
      <w:r>
        <w:rPr>
          <w:i/>
          <w:spacing w:val="-10"/>
          <w:sz w:val="16"/>
        </w:rPr>
        <w:t xml:space="preserve"> </w:t>
      </w:r>
      <w:r>
        <w:rPr>
          <w:i/>
          <w:sz w:val="16"/>
        </w:rPr>
        <w:t>pertinentes.</w:t>
      </w:r>
    </w:p>
    <w:p w14:paraId="245FCFA4" w14:textId="77777777" w:rsidR="00467FCA" w:rsidRDefault="001B68EB">
      <w:pPr>
        <w:pStyle w:val="Prrafodelista"/>
        <w:numPr>
          <w:ilvl w:val="0"/>
          <w:numId w:val="16"/>
        </w:numPr>
        <w:tabs>
          <w:tab w:val="left" w:pos="689"/>
        </w:tabs>
        <w:ind w:right="394" w:firstLine="0"/>
        <w:jc w:val="both"/>
        <w:rPr>
          <w:i/>
          <w:sz w:val="16"/>
        </w:rPr>
      </w:pPr>
      <w:r>
        <w:rPr>
          <w:i/>
          <w:sz w:val="16"/>
        </w:rPr>
        <w:t>En</w:t>
      </w:r>
      <w:r>
        <w:rPr>
          <w:i/>
          <w:spacing w:val="-4"/>
          <w:sz w:val="16"/>
        </w:rPr>
        <w:t xml:space="preserve"> </w:t>
      </w:r>
      <w:r>
        <w:rPr>
          <w:i/>
          <w:sz w:val="16"/>
        </w:rPr>
        <w:t>el</w:t>
      </w:r>
      <w:r>
        <w:rPr>
          <w:i/>
          <w:spacing w:val="-2"/>
          <w:sz w:val="16"/>
        </w:rPr>
        <w:t xml:space="preserve"> </w:t>
      </w:r>
      <w:r>
        <w:rPr>
          <w:i/>
          <w:sz w:val="16"/>
        </w:rPr>
        <w:t>caso</w:t>
      </w:r>
      <w:r>
        <w:rPr>
          <w:i/>
          <w:spacing w:val="-2"/>
          <w:sz w:val="16"/>
        </w:rPr>
        <w:t xml:space="preserve"> </w:t>
      </w:r>
      <w:r>
        <w:rPr>
          <w:i/>
          <w:sz w:val="16"/>
        </w:rPr>
        <w:t>de</w:t>
      </w:r>
      <w:r>
        <w:rPr>
          <w:i/>
          <w:spacing w:val="-4"/>
          <w:sz w:val="16"/>
        </w:rPr>
        <w:t xml:space="preserve"> </w:t>
      </w:r>
      <w:r>
        <w:rPr>
          <w:i/>
          <w:sz w:val="16"/>
        </w:rPr>
        <w:t>que</w:t>
      </w:r>
      <w:r>
        <w:rPr>
          <w:i/>
          <w:spacing w:val="-2"/>
          <w:sz w:val="16"/>
        </w:rPr>
        <w:t xml:space="preserve"> </w:t>
      </w:r>
      <w:r>
        <w:rPr>
          <w:i/>
          <w:sz w:val="16"/>
        </w:rPr>
        <w:t>los</w:t>
      </w:r>
      <w:r>
        <w:rPr>
          <w:i/>
          <w:spacing w:val="-1"/>
          <w:sz w:val="16"/>
        </w:rPr>
        <w:t xml:space="preserve"> </w:t>
      </w:r>
      <w:r>
        <w:rPr>
          <w:i/>
          <w:sz w:val="16"/>
        </w:rPr>
        <w:t>derechos</w:t>
      </w:r>
      <w:r>
        <w:rPr>
          <w:i/>
          <w:spacing w:val="-2"/>
          <w:sz w:val="16"/>
        </w:rPr>
        <w:t xml:space="preserve"> </w:t>
      </w:r>
      <w:r>
        <w:rPr>
          <w:i/>
          <w:sz w:val="16"/>
        </w:rPr>
        <w:t>establecidos</w:t>
      </w:r>
      <w:r>
        <w:rPr>
          <w:i/>
          <w:spacing w:val="-4"/>
          <w:sz w:val="16"/>
        </w:rPr>
        <w:t xml:space="preserve"> </w:t>
      </w:r>
      <w:r>
        <w:rPr>
          <w:i/>
          <w:sz w:val="16"/>
        </w:rPr>
        <w:t>en el</w:t>
      </w:r>
      <w:r>
        <w:rPr>
          <w:i/>
          <w:spacing w:val="-6"/>
          <w:sz w:val="16"/>
        </w:rPr>
        <w:t xml:space="preserve"> </w:t>
      </w:r>
      <w:r>
        <w:rPr>
          <w:i/>
          <w:sz w:val="16"/>
        </w:rPr>
        <w:t>párrafo</w:t>
      </w:r>
      <w:r>
        <w:rPr>
          <w:i/>
          <w:spacing w:val="-1"/>
          <w:sz w:val="16"/>
        </w:rPr>
        <w:t xml:space="preserve"> </w:t>
      </w:r>
      <w:r>
        <w:rPr>
          <w:i/>
          <w:sz w:val="16"/>
        </w:rPr>
        <w:t>a)</w:t>
      </w:r>
      <w:r>
        <w:rPr>
          <w:i/>
          <w:spacing w:val="-4"/>
          <w:sz w:val="16"/>
        </w:rPr>
        <w:t xml:space="preserve"> </w:t>
      </w:r>
      <w:r>
        <w:rPr>
          <w:i/>
          <w:sz w:val="16"/>
        </w:rPr>
        <w:t>del</w:t>
      </w:r>
      <w:r>
        <w:rPr>
          <w:i/>
          <w:spacing w:val="-2"/>
          <w:sz w:val="16"/>
        </w:rPr>
        <w:t xml:space="preserve"> </w:t>
      </w:r>
      <w:r>
        <w:rPr>
          <w:i/>
          <w:sz w:val="16"/>
        </w:rPr>
        <w:t>artícul</w:t>
      </w:r>
      <w:r>
        <w:rPr>
          <w:i/>
          <w:sz w:val="16"/>
        </w:rPr>
        <w:t>o</w:t>
      </w:r>
      <w:r>
        <w:rPr>
          <w:i/>
          <w:spacing w:val="-2"/>
          <w:sz w:val="16"/>
        </w:rPr>
        <w:t xml:space="preserve"> </w:t>
      </w:r>
      <w:r>
        <w:rPr>
          <w:i/>
          <w:sz w:val="16"/>
        </w:rPr>
        <w:t>8</w:t>
      </w:r>
      <w:r>
        <w:rPr>
          <w:i/>
          <w:spacing w:val="-3"/>
          <w:sz w:val="16"/>
        </w:rPr>
        <w:t xml:space="preserve"> </w:t>
      </w:r>
      <w:r>
        <w:rPr>
          <w:i/>
          <w:sz w:val="16"/>
        </w:rPr>
        <w:t>y</w:t>
      </w:r>
      <w:r>
        <w:rPr>
          <w:i/>
          <w:spacing w:val="-1"/>
          <w:sz w:val="16"/>
        </w:rPr>
        <w:t xml:space="preserve"> </w:t>
      </w:r>
      <w:r>
        <w:rPr>
          <w:i/>
          <w:sz w:val="16"/>
        </w:rPr>
        <w:t>en</w:t>
      </w:r>
      <w:r>
        <w:rPr>
          <w:i/>
          <w:spacing w:val="-3"/>
          <w:sz w:val="16"/>
        </w:rPr>
        <w:t xml:space="preserve"> </w:t>
      </w:r>
      <w:r>
        <w:rPr>
          <w:i/>
          <w:sz w:val="16"/>
        </w:rPr>
        <w:t>el</w:t>
      </w:r>
      <w:r>
        <w:rPr>
          <w:i/>
          <w:spacing w:val="-2"/>
          <w:sz w:val="16"/>
        </w:rPr>
        <w:t xml:space="preserve"> </w:t>
      </w:r>
      <w:r>
        <w:rPr>
          <w:i/>
          <w:sz w:val="16"/>
        </w:rPr>
        <w:t>artículo</w:t>
      </w:r>
      <w:r>
        <w:rPr>
          <w:i/>
          <w:spacing w:val="-2"/>
          <w:sz w:val="16"/>
        </w:rPr>
        <w:t xml:space="preserve"> </w:t>
      </w:r>
      <w:r>
        <w:rPr>
          <w:i/>
          <w:sz w:val="16"/>
        </w:rPr>
        <w:t>13</w:t>
      </w:r>
      <w:r>
        <w:rPr>
          <w:i/>
          <w:spacing w:val="-3"/>
          <w:sz w:val="16"/>
        </w:rPr>
        <w:t xml:space="preserve"> </w:t>
      </w:r>
      <w:r>
        <w:rPr>
          <w:i/>
          <w:sz w:val="16"/>
        </w:rPr>
        <w:t>fuesen</w:t>
      </w:r>
      <w:r>
        <w:rPr>
          <w:i/>
          <w:spacing w:val="-6"/>
          <w:sz w:val="16"/>
        </w:rPr>
        <w:t xml:space="preserve"> </w:t>
      </w:r>
      <w:r>
        <w:rPr>
          <w:i/>
          <w:sz w:val="16"/>
        </w:rPr>
        <w:t>violados</w:t>
      </w:r>
      <w:r>
        <w:rPr>
          <w:i/>
          <w:spacing w:val="-1"/>
          <w:sz w:val="16"/>
        </w:rPr>
        <w:t xml:space="preserve"> </w:t>
      </w:r>
      <w:r>
        <w:rPr>
          <w:i/>
          <w:sz w:val="16"/>
        </w:rPr>
        <w:t>por una</w:t>
      </w:r>
      <w:r>
        <w:rPr>
          <w:i/>
          <w:spacing w:val="-14"/>
          <w:sz w:val="16"/>
        </w:rPr>
        <w:t xml:space="preserve"> </w:t>
      </w:r>
      <w:r>
        <w:rPr>
          <w:i/>
          <w:sz w:val="16"/>
        </w:rPr>
        <w:t>acción</w:t>
      </w:r>
      <w:r>
        <w:rPr>
          <w:i/>
          <w:spacing w:val="-16"/>
          <w:sz w:val="16"/>
        </w:rPr>
        <w:t xml:space="preserve"> </w:t>
      </w:r>
      <w:r>
        <w:rPr>
          <w:i/>
          <w:sz w:val="16"/>
        </w:rPr>
        <w:t>imputable</w:t>
      </w:r>
      <w:r>
        <w:rPr>
          <w:i/>
          <w:spacing w:val="-14"/>
          <w:sz w:val="16"/>
        </w:rPr>
        <w:t xml:space="preserve"> </w:t>
      </w:r>
      <w:r>
        <w:rPr>
          <w:i/>
          <w:sz w:val="16"/>
        </w:rPr>
        <w:t>directamente</w:t>
      </w:r>
      <w:r>
        <w:rPr>
          <w:i/>
          <w:spacing w:val="-13"/>
          <w:sz w:val="16"/>
        </w:rPr>
        <w:t xml:space="preserve"> </w:t>
      </w:r>
      <w:r>
        <w:rPr>
          <w:i/>
          <w:sz w:val="16"/>
        </w:rPr>
        <w:t>a</w:t>
      </w:r>
      <w:r>
        <w:rPr>
          <w:i/>
          <w:spacing w:val="-16"/>
          <w:sz w:val="16"/>
        </w:rPr>
        <w:t xml:space="preserve"> </w:t>
      </w:r>
      <w:r>
        <w:rPr>
          <w:i/>
          <w:sz w:val="16"/>
        </w:rPr>
        <w:t>un</w:t>
      </w:r>
      <w:r>
        <w:rPr>
          <w:i/>
          <w:spacing w:val="-13"/>
          <w:sz w:val="16"/>
        </w:rPr>
        <w:t xml:space="preserve"> </w:t>
      </w:r>
      <w:r>
        <w:rPr>
          <w:i/>
          <w:sz w:val="16"/>
        </w:rPr>
        <w:t>Estado</w:t>
      </w:r>
      <w:r>
        <w:rPr>
          <w:i/>
          <w:spacing w:val="-15"/>
          <w:sz w:val="16"/>
        </w:rPr>
        <w:t xml:space="preserve"> </w:t>
      </w:r>
      <w:r>
        <w:rPr>
          <w:i/>
          <w:sz w:val="16"/>
        </w:rPr>
        <w:t>parte</w:t>
      </w:r>
      <w:r>
        <w:rPr>
          <w:i/>
          <w:spacing w:val="-17"/>
          <w:sz w:val="16"/>
        </w:rPr>
        <w:t xml:space="preserve"> </w:t>
      </w:r>
      <w:r>
        <w:rPr>
          <w:i/>
          <w:sz w:val="16"/>
        </w:rPr>
        <w:t>del</w:t>
      </w:r>
      <w:r>
        <w:rPr>
          <w:i/>
          <w:spacing w:val="-16"/>
          <w:sz w:val="16"/>
        </w:rPr>
        <w:t xml:space="preserve"> </w:t>
      </w:r>
      <w:r>
        <w:rPr>
          <w:i/>
          <w:sz w:val="16"/>
        </w:rPr>
        <w:t>presente</w:t>
      </w:r>
      <w:r>
        <w:rPr>
          <w:i/>
          <w:spacing w:val="-12"/>
          <w:sz w:val="16"/>
        </w:rPr>
        <w:t xml:space="preserve"> </w:t>
      </w:r>
      <w:r>
        <w:rPr>
          <w:i/>
          <w:sz w:val="16"/>
        </w:rPr>
        <w:t>Protocolo,</w:t>
      </w:r>
      <w:r>
        <w:rPr>
          <w:i/>
          <w:spacing w:val="-16"/>
          <w:sz w:val="16"/>
        </w:rPr>
        <w:t xml:space="preserve"> </w:t>
      </w:r>
      <w:r>
        <w:rPr>
          <w:i/>
          <w:sz w:val="16"/>
        </w:rPr>
        <w:t>tal</w:t>
      </w:r>
      <w:r>
        <w:rPr>
          <w:i/>
          <w:spacing w:val="-14"/>
          <w:sz w:val="16"/>
        </w:rPr>
        <w:t xml:space="preserve"> </w:t>
      </w:r>
      <w:r>
        <w:rPr>
          <w:i/>
          <w:sz w:val="16"/>
        </w:rPr>
        <w:t>situación</w:t>
      </w:r>
      <w:r>
        <w:rPr>
          <w:i/>
          <w:spacing w:val="-15"/>
          <w:sz w:val="16"/>
        </w:rPr>
        <w:t xml:space="preserve"> </w:t>
      </w:r>
      <w:r>
        <w:rPr>
          <w:i/>
          <w:sz w:val="16"/>
        </w:rPr>
        <w:t>podría</w:t>
      </w:r>
      <w:r>
        <w:rPr>
          <w:i/>
          <w:spacing w:val="-14"/>
          <w:sz w:val="16"/>
        </w:rPr>
        <w:t xml:space="preserve"> </w:t>
      </w:r>
      <w:r>
        <w:rPr>
          <w:i/>
          <w:sz w:val="16"/>
        </w:rPr>
        <w:t>dar</w:t>
      </w:r>
      <w:r>
        <w:rPr>
          <w:i/>
          <w:spacing w:val="-14"/>
          <w:sz w:val="16"/>
        </w:rPr>
        <w:t xml:space="preserve"> </w:t>
      </w:r>
      <w:r>
        <w:rPr>
          <w:i/>
          <w:sz w:val="16"/>
        </w:rPr>
        <w:t>lugar,</w:t>
      </w:r>
      <w:r>
        <w:rPr>
          <w:i/>
          <w:spacing w:val="-15"/>
          <w:sz w:val="16"/>
        </w:rPr>
        <w:t xml:space="preserve"> </w:t>
      </w:r>
      <w:r>
        <w:rPr>
          <w:i/>
          <w:sz w:val="16"/>
        </w:rPr>
        <w:t>mediante la</w:t>
      </w:r>
      <w:r>
        <w:rPr>
          <w:i/>
          <w:spacing w:val="-9"/>
          <w:sz w:val="16"/>
        </w:rPr>
        <w:t xml:space="preserve"> </w:t>
      </w:r>
      <w:r>
        <w:rPr>
          <w:i/>
          <w:sz w:val="16"/>
        </w:rPr>
        <w:t>participación</w:t>
      </w:r>
      <w:r>
        <w:rPr>
          <w:i/>
          <w:spacing w:val="-11"/>
          <w:sz w:val="16"/>
        </w:rPr>
        <w:t xml:space="preserve"> </w:t>
      </w:r>
      <w:r>
        <w:rPr>
          <w:i/>
          <w:sz w:val="16"/>
        </w:rPr>
        <w:t>de</w:t>
      </w:r>
      <w:r>
        <w:rPr>
          <w:i/>
          <w:spacing w:val="-10"/>
          <w:sz w:val="16"/>
        </w:rPr>
        <w:t xml:space="preserve"> </w:t>
      </w:r>
      <w:r>
        <w:rPr>
          <w:i/>
          <w:sz w:val="16"/>
        </w:rPr>
        <w:t>la</w:t>
      </w:r>
      <w:r>
        <w:rPr>
          <w:i/>
          <w:spacing w:val="-9"/>
          <w:sz w:val="16"/>
        </w:rPr>
        <w:t xml:space="preserve"> </w:t>
      </w:r>
      <w:r>
        <w:rPr>
          <w:i/>
          <w:sz w:val="16"/>
        </w:rPr>
        <w:t>Comisión</w:t>
      </w:r>
      <w:r>
        <w:rPr>
          <w:i/>
          <w:spacing w:val="-11"/>
          <w:sz w:val="16"/>
        </w:rPr>
        <w:t xml:space="preserve"> </w:t>
      </w:r>
      <w:r>
        <w:rPr>
          <w:i/>
          <w:sz w:val="16"/>
        </w:rPr>
        <w:t>Interamericana</w:t>
      </w:r>
      <w:r>
        <w:rPr>
          <w:i/>
          <w:spacing w:val="-8"/>
          <w:sz w:val="16"/>
        </w:rPr>
        <w:t xml:space="preserve"> </w:t>
      </w:r>
      <w:r>
        <w:rPr>
          <w:i/>
          <w:sz w:val="16"/>
        </w:rPr>
        <w:t>de</w:t>
      </w:r>
      <w:r>
        <w:rPr>
          <w:i/>
          <w:spacing w:val="-8"/>
          <w:sz w:val="16"/>
        </w:rPr>
        <w:t xml:space="preserve"> </w:t>
      </w:r>
      <w:r>
        <w:rPr>
          <w:i/>
          <w:sz w:val="16"/>
        </w:rPr>
        <w:t>Derechos</w:t>
      </w:r>
      <w:r>
        <w:rPr>
          <w:i/>
          <w:spacing w:val="-10"/>
          <w:sz w:val="16"/>
        </w:rPr>
        <w:t xml:space="preserve"> </w:t>
      </w:r>
      <w:r>
        <w:rPr>
          <w:i/>
          <w:sz w:val="16"/>
        </w:rPr>
        <w:t>Humanos,</w:t>
      </w:r>
      <w:r>
        <w:rPr>
          <w:i/>
          <w:spacing w:val="-9"/>
          <w:sz w:val="16"/>
        </w:rPr>
        <w:t xml:space="preserve"> </w:t>
      </w:r>
      <w:r>
        <w:rPr>
          <w:i/>
          <w:sz w:val="16"/>
        </w:rPr>
        <w:t>y</w:t>
      </w:r>
      <w:r>
        <w:rPr>
          <w:i/>
          <w:spacing w:val="-9"/>
          <w:sz w:val="16"/>
        </w:rPr>
        <w:t xml:space="preserve"> </w:t>
      </w:r>
      <w:r>
        <w:rPr>
          <w:i/>
          <w:sz w:val="16"/>
        </w:rPr>
        <w:t>cuando</w:t>
      </w:r>
      <w:r>
        <w:rPr>
          <w:i/>
          <w:spacing w:val="-9"/>
          <w:sz w:val="16"/>
        </w:rPr>
        <w:t xml:space="preserve"> </w:t>
      </w:r>
      <w:r>
        <w:rPr>
          <w:i/>
          <w:sz w:val="16"/>
        </w:rPr>
        <w:t>proceda</w:t>
      </w:r>
      <w:r>
        <w:rPr>
          <w:i/>
          <w:spacing w:val="-11"/>
          <w:sz w:val="16"/>
        </w:rPr>
        <w:t xml:space="preserve"> </w:t>
      </w:r>
      <w:r>
        <w:rPr>
          <w:i/>
          <w:sz w:val="16"/>
        </w:rPr>
        <w:t>de</w:t>
      </w:r>
      <w:r>
        <w:rPr>
          <w:i/>
          <w:spacing w:val="-7"/>
          <w:sz w:val="16"/>
        </w:rPr>
        <w:t xml:space="preserve"> </w:t>
      </w:r>
      <w:r>
        <w:rPr>
          <w:i/>
          <w:sz w:val="16"/>
        </w:rPr>
        <w:t>la</w:t>
      </w:r>
      <w:r>
        <w:rPr>
          <w:i/>
          <w:spacing w:val="-8"/>
          <w:sz w:val="16"/>
        </w:rPr>
        <w:t xml:space="preserve"> </w:t>
      </w:r>
      <w:r>
        <w:rPr>
          <w:i/>
          <w:sz w:val="16"/>
        </w:rPr>
        <w:t>Corte</w:t>
      </w:r>
      <w:r>
        <w:rPr>
          <w:i/>
          <w:spacing w:val="-11"/>
          <w:sz w:val="16"/>
        </w:rPr>
        <w:t xml:space="preserve"> </w:t>
      </w:r>
      <w:r>
        <w:rPr>
          <w:i/>
          <w:sz w:val="16"/>
        </w:rPr>
        <w:t>Interamericana de</w:t>
      </w:r>
      <w:r>
        <w:rPr>
          <w:i/>
          <w:spacing w:val="-5"/>
          <w:sz w:val="16"/>
        </w:rPr>
        <w:t xml:space="preserve"> </w:t>
      </w:r>
      <w:r>
        <w:rPr>
          <w:i/>
          <w:sz w:val="16"/>
        </w:rPr>
        <w:t>Derechos</w:t>
      </w:r>
      <w:r>
        <w:rPr>
          <w:i/>
          <w:spacing w:val="-2"/>
          <w:sz w:val="16"/>
        </w:rPr>
        <w:t xml:space="preserve"> </w:t>
      </w:r>
      <w:r>
        <w:rPr>
          <w:i/>
          <w:sz w:val="16"/>
        </w:rPr>
        <w:t>Humanos,</w:t>
      </w:r>
      <w:r>
        <w:rPr>
          <w:i/>
          <w:spacing w:val="-3"/>
          <w:sz w:val="16"/>
        </w:rPr>
        <w:t xml:space="preserve"> </w:t>
      </w:r>
      <w:r>
        <w:rPr>
          <w:i/>
          <w:sz w:val="16"/>
        </w:rPr>
        <w:t>a</w:t>
      </w:r>
      <w:r>
        <w:rPr>
          <w:i/>
          <w:spacing w:val="-6"/>
          <w:sz w:val="16"/>
        </w:rPr>
        <w:t xml:space="preserve"> </w:t>
      </w:r>
      <w:r>
        <w:rPr>
          <w:i/>
          <w:sz w:val="16"/>
        </w:rPr>
        <w:t>la</w:t>
      </w:r>
      <w:r>
        <w:rPr>
          <w:i/>
          <w:spacing w:val="-6"/>
          <w:sz w:val="16"/>
        </w:rPr>
        <w:t xml:space="preserve"> </w:t>
      </w:r>
      <w:r>
        <w:rPr>
          <w:i/>
          <w:sz w:val="16"/>
        </w:rPr>
        <w:t>aplicación</w:t>
      </w:r>
      <w:r>
        <w:rPr>
          <w:i/>
          <w:spacing w:val="-3"/>
          <w:sz w:val="16"/>
        </w:rPr>
        <w:t xml:space="preserve"> </w:t>
      </w:r>
      <w:r>
        <w:rPr>
          <w:i/>
          <w:sz w:val="16"/>
        </w:rPr>
        <w:t>del</w:t>
      </w:r>
      <w:r>
        <w:rPr>
          <w:i/>
          <w:spacing w:val="-3"/>
          <w:sz w:val="16"/>
        </w:rPr>
        <w:t xml:space="preserve"> </w:t>
      </w:r>
      <w:r>
        <w:rPr>
          <w:i/>
          <w:sz w:val="16"/>
        </w:rPr>
        <w:t>sistema</w:t>
      </w:r>
      <w:r>
        <w:rPr>
          <w:i/>
          <w:spacing w:val="-8"/>
          <w:sz w:val="16"/>
        </w:rPr>
        <w:t xml:space="preserve"> </w:t>
      </w:r>
      <w:r>
        <w:rPr>
          <w:i/>
          <w:sz w:val="16"/>
        </w:rPr>
        <w:t>de</w:t>
      </w:r>
      <w:r>
        <w:rPr>
          <w:i/>
          <w:spacing w:val="-5"/>
          <w:sz w:val="16"/>
        </w:rPr>
        <w:t xml:space="preserve"> </w:t>
      </w:r>
      <w:r>
        <w:rPr>
          <w:i/>
          <w:sz w:val="16"/>
        </w:rPr>
        <w:t>peticiones</w:t>
      </w:r>
      <w:r>
        <w:rPr>
          <w:i/>
          <w:spacing w:val="-2"/>
          <w:sz w:val="16"/>
        </w:rPr>
        <w:t xml:space="preserve"> </w:t>
      </w:r>
      <w:r>
        <w:rPr>
          <w:i/>
          <w:sz w:val="16"/>
        </w:rPr>
        <w:t>individuales</w:t>
      </w:r>
      <w:r>
        <w:rPr>
          <w:i/>
          <w:spacing w:val="-4"/>
          <w:sz w:val="16"/>
        </w:rPr>
        <w:t xml:space="preserve"> </w:t>
      </w:r>
      <w:r>
        <w:rPr>
          <w:i/>
          <w:sz w:val="16"/>
        </w:rPr>
        <w:t>regulado</w:t>
      </w:r>
      <w:r>
        <w:rPr>
          <w:i/>
          <w:spacing w:val="-7"/>
          <w:sz w:val="16"/>
        </w:rPr>
        <w:t xml:space="preserve"> </w:t>
      </w:r>
      <w:r>
        <w:rPr>
          <w:i/>
          <w:sz w:val="16"/>
        </w:rPr>
        <w:t>por</w:t>
      </w:r>
      <w:r>
        <w:rPr>
          <w:i/>
          <w:spacing w:val="-4"/>
          <w:sz w:val="16"/>
        </w:rPr>
        <w:t xml:space="preserve"> </w:t>
      </w:r>
      <w:r>
        <w:rPr>
          <w:i/>
          <w:sz w:val="16"/>
        </w:rPr>
        <w:t>los</w:t>
      </w:r>
      <w:r>
        <w:rPr>
          <w:i/>
          <w:spacing w:val="-5"/>
          <w:sz w:val="16"/>
        </w:rPr>
        <w:t xml:space="preserve"> </w:t>
      </w:r>
      <w:r>
        <w:rPr>
          <w:i/>
          <w:sz w:val="16"/>
        </w:rPr>
        <w:t>artículos</w:t>
      </w:r>
      <w:r>
        <w:rPr>
          <w:i/>
          <w:spacing w:val="-7"/>
          <w:sz w:val="16"/>
        </w:rPr>
        <w:t xml:space="preserve"> </w:t>
      </w:r>
      <w:r>
        <w:rPr>
          <w:i/>
          <w:sz w:val="16"/>
        </w:rPr>
        <w:t>44</w:t>
      </w:r>
      <w:r>
        <w:rPr>
          <w:i/>
          <w:spacing w:val="-4"/>
          <w:sz w:val="16"/>
        </w:rPr>
        <w:t xml:space="preserve"> </w:t>
      </w:r>
      <w:r>
        <w:rPr>
          <w:i/>
          <w:sz w:val="16"/>
        </w:rPr>
        <w:t>a</w:t>
      </w:r>
      <w:r>
        <w:rPr>
          <w:i/>
          <w:spacing w:val="-6"/>
          <w:sz w:val="16"/>
        </w:rPr>
        <w:t xml:space="preserve"> </w:t>
      </w:r>
      <w:r>
        <w:rPr>
          <w:i/>
          <w:sz w:val="16"/>
        </w:rPr>
        <w:t>51</w:t>
      </w:r>
      <w:r>
        <w:rPr>
          <w:i/>
          <w:spacing w:val="-4"/>
          <w:sz w:val="16"/>
        </w:rPr>
        <w:t xml:space="preserve"> </w:t>
      </w:r>
      <w:r>
        <w:rPr>
          <w:i/>
          <w:sz w:val="16"/>
        </w:rPr>
        <w:t>y</w:t>
      </w:r>
      <w:r>
        <w:rPr>
          <w:i/>
          <w:spacing w:val="-6"/>
          <w:sz w:val="16"/>
        </w:rPr>
        <w:t xml:space="preserve"> </w:t>
      </w:r>
      <w:r>
        <w:rPr>
          <w:i/>
          <w:sz w:val="16"/>
        </w:rPr>
        <w:t>61 a 69 de la Convención Americana sobre Derechos</w:t>
      </w:r>
      <w:r>
        <w:rPr>
          <w:i/>
          <w:spacing w:val="-6"/>
          <w:sz w:val="16"/>
        </w:rPr>
        <w:t xml:space="preserve"> </w:t>
      </w:r>
      <w:r>
        <w:rPr>
          <w:i/>
          <w:sz w:val="16"/>
        </w:rPr>
        <w:t>Humanos.</w:t>
      </w:r>
    </w:p>
    <w:p w14:paraId="0AAD9F72" w14:textId="77777777" w:rsidR="00467FCA" w:rsidRDefault="001B68EB">
      <w:pPr>
        <w:pStyle w:val="Prrafodelista"/>
        <w:numPr>
          <w:ilvl w:val="0"/>
          <w:numId w:val="16"/>
        </w:numPr>
        <w:tabs>
          <w:tab w:val="left" w:pos="706"/>
        </w:tabs>
        <w:ind w:right="393" w:firstLine="0"/>
        <w:jc w:val="both"/>
        <w:rPr>
          <w:i/>
          <w:sz w:val="16"/>
        </w:rPr>
      </w:pPr>
      <w:r>
        <w:rPr>
          <w:i/>
          <w:sz w:val="16"/>
        </w:rPr>
        <w:t>Sin perjuicio de lo dispuesto en el párrafo anterior, la Comisión Interamericana de Derechos Humanos podrá formular las observaciones y recomendaciones que considere pertinentes sobre la situación de los derechos económicos,</w:t>
      </w:r>
      <w:r>
        <w:rPr>
          <w:i/>
          <w:spacing w:val="-11"/>
          <w:sz w:val="16"/>
        </w:rPr>
        <w:t xml:space="preserve"> </w:t>
      </w:r>
      <w:r>
        <w:rPr>
          <w:i/>
          <w:sz w:val="16"/>
        </w:rPr>
        <w:t>sociales</w:t>
      </w:r>
      <w:r>
        <w:rPr>
          <w:i/>
          <w:spacing w:val="-9"/>
          <w:sz w:val="16"/>
        </w:rPr>
        <w:t xml:space="preserve"> </w:t>
      </w:r>
      <w:r>
        <w:rPr>
          <w:i/>
          <w:sz w:val="16"/>
        </w:rPr>
        <w:t>y</w:t>
      </w:r>
      <w:r>
        <w:rPr>
          <w:i/>
          <w:spacing w:val="-9"/>
          <w:sz w:val="16"/>
        </w:rPr>
        <w:t xml:space="preserve"> </w:t>
      </w:r>
      <w:r>
        <w:rPr>
          <w:i/>
          <w:sz w:val="16"/>
        </w:rPr>
        <w:t>culturales</w:t>
      </w:r>
      <w:r>
        <w:rPr>
          <w:i/>
          <w:spacing w:val="-6"/>
          <w:sz w:val="16"/>
        </w:rPr>
        <w:t xml:space="preserve"> </w:t>
      </w:r>
      <w:r>
        <w:rPr>
          <w:i/>
          <w:sz w:val="16"/>
        </w:rPr>
        <w:t>estableci</w:t>
      </w:r>
      <w:r>
        <w:rPr>
          <w:i/>
          <w:sz w:val="16"/>
        </w:rPr>
        <w:t>dos</w:t>
      </w:r>
      <w:r>
        <w:rPr>
          <w:i/>
          <w:spacing w:val="-10"/>
          <w:sz w:val="16"/>
        </w:rPr>
        <w:t xml:space="preserve"> </w:t>
      </w:r>
      <w:r>
        <w:rPr>
          <w:i/>
          <w:sz w:val="16"/>
        </w:rPr>
        <w:t>en</w:t>
      </w:r>
      <w:r>
        <w:rPr>
          <w:i/>
          <w:spacing w:val="-7"/>
          <w:sz w:val="16"/>
        </w:rPr>
        <w:t xml:space="preserve"> </w:t>
      </w:r>
      <w:r>
        <w:rPr>
          <w:i/>
          <w:sz w:val="16"/>
        </w:rPr>
        <w:t>el</w:t>
      </w:r>
      <w:r>
        <w:rPr>
          <w:i/>
          <w:spacing w:val="-11"/>
          <w:sz w:val="16"/>
        </w:rPr>
        <w:t xml:space="preserve"> </w:t>
      </w:r>
      <w:r>
        <w:rPr>
          <w:i/>
          <w:sz w:val="16"/>
        </w:rPr>
        <w:t>presente</w:t>
      </w:r>
      <w:r>
        <w:rPr>
          <w:i/>
          <w:spacing w:val="-9"/>
          <w:sz w:val="16"/>
        </w:rPr>
        <w:t xml:space="preserve"> </w:t>
      </w:r>
      <w:r>
        <w:rPr>
          <w:i/>
          <w:sz w:val="16"/>
        </w:rPr>
        <w:t>Protocolo</w:t>
      </w:r>
      <w:r>
        <w:rPr>
          <w:i/>
          <w:spacing w:val="-8"/>
          <w:sz w:val="16"/>
        </w:rPr>
        <w:t xml:space="preserve"> </w:t>
      </w:r>
      <w:r>
        <w:rPr>
          <w:i/>
          <w:sz w:val="16"/>
        </w:rPr>
        <w:t>en</w:t>
      </w:r>
      <w:r>
        <w:rPr>
          <w:i/>
          <w:spacing w:val="-8"/>
          <w:sz w:val="16"/>
        </w:rPr>
        <w:t xml:space="preserve"> </w:t>
      </w:r>
      <w:r>
        <w:rPr>
          <w:i/>
          <w:sz w:val="16"/>
        </w:rPr>
        <w:t>todos</w:t>
      </w:r>
      <w:r>
        <w:rPr>
          <w:i/>
          <w:spacing w:val="-9"/>
          <w:sz w:val="16"/>
        </w:rPr>
        <w:t xml:space="preserve"> </w:t>
      </w:r>
      <w:r>
        <w:rPr>
          <w:i/>
          <w:sz w:val="16"/>
        </w:rPr>
        <w:t>o</w:t>
      </w:r>
      <w:r>
        <w:rPr>
          <w:i/>
          <w:spacing w:val="-9"/>
          <w:sz w:val="16"/>
        </w:rPr>
        <w:t xml:space="preserve"> </w:t>
      </w:r>
      <w:r>
        <w:rPr>
          <w:i/>
          <w:sz w:val="16"/>
        </w:rPr>
        <w:t>en</w:t>
      </w:r>
      <w:r>
        <w:rPr>
          <w:i/>
          <w:spacing w:val="-7"/>
          <w:sz w:val="16"/>
        </w:rPr>
        <w:t xml:space="preserve"> </w:t>
      </w:r>
      <w:r>
        <w:rPr>
          <w:i/>
          <w:sz w:val="16"/>
        </w:rPr>
        <w:t>algunos</w:t>
      </w:r>
      <w:r>
        <w:rPr>
          <w:i/>
          <w:spacing w:val="-7"/>
          <w:sz w:val="16"/>
        </w:rPr>
        <w:t xml:space="preserve"> </w:t>
      </w:r>
      <w:r>
        <w:rPr>
          <w:i/>
          <w:sz w:val="16"/>
        </w:rPr>
        <w:t>de</w:t>
      </w:r>
      <w:r>
        <w:rPr>
          <w:i/>
          <w:spacing w:val="-6"/>
          <w:sz w:val="16"/>
        </w:rPr>
        <w:t xml:space="preserve"> </w:t>
      </w:r>
      <w:r>
        <w:rPr>
          <w:i/>
          <w:sz w:val="16"/>
        </w:rPr>
        <w:t>los</w:t>
      </w:r>
      <w:r>
        <w:rPr>
          <w:i/>
          <w:spacing w:val="-10"/>
          <w:sz w:val="16"/>
        </w:rPr>
        <w:t xml:space="preserve"> </w:t>
      </w:r>
      <w:r>
        <w:rPr>
          <w:i/>
          <w:sz w:val="16"/>
        </w:rPr>
        <w:t>Estados</w:t>
      </w:r>
      <w:r>
        <w:rPr>
          <w:i/>
          <w:spacing w:val="-6"/>
          <w:sz w:val="16"/>
        </w:rPr>
        <w:t xml:space="preserve"> </w:t>
      </w:r>
      <w:r>
        <w:rPr>
          <w:i/>
          <w:sz w:val="16"/>
        </w:rPr>
        <w:t>partes, las que podrá incluir en el Informe Anual a la Asamblea General o en un Informe Especial, según lo considere más apropiado.</w:t>
      </w:r>
    </w:p>
    <w:p w14:paraId="41CA9C39" w14:textId="77777777" w:rsidR="00467FCA" w:rsidRDefault="001B68EB">
      <w:pPr>
        <w:pStyle w:val="Prrafodelista"/>
        <w:numPr>
          <w:ilvl w:val="0"/>
          <w:numId w:val="16"/>
        </w:numPr>
        <w:tabs>
          <w:tab w:val="left" w:pos="720"/>
        </w:tabs>
        <w:spacing w:before="1"/>
        <w:ind w:right="394" w:firstLine="0"/>
        <w:jc w:val="both"/>
        <w:rPr>
          <w:i/>
          <w:sz w:val="16"/>
        </w:rPr>
      </w:pPr>
      <w:r>
        <w:rPr>
          <w:i/>
          <w:sz w:val="16"/>
        </w:rPr>
        <w:t>Los Consejos y la Comisión Interamericana de Derechos Huma</w:t>
      </w:r>
      <w:r>
        <w:rPr>
          <w:i/>
          <w:sz w:val="16"/>
        </w:rPr>
        <w:t>nos en ejercicio de las funciones que se les confieren en el presente artículo tendrán en cuenta la naturaleza progresiva de la vigencia de los derechos objeto de protección por este</w:t>
      </w:r>
      <w:r>
        <w:rPr>
          <w:i/>
          <w:spacing w:val="1"/>
          <w:sz w:val="16"/>
        </w:rPr>
        <w:t xml:space="preserve"> </w:t>
      </w:r>
      <w:r>
        <w:rPr>
          <w:i/>
          <w:sz w:val="16"/>
        </w:rPr>
        <w:t>Protocolo.”</w:t>
      </w:r>
    </w:p>
    <w:p w14:paraId="14D81F4F" w14:textId="77777777" w:rsidR="00467FCA" w:rsidRDefault="00467FCA">
      <w:pPr>
        <w:jc w:val="both"/>
        <w:rPr>
          <w:sz w:val="16"/>
        </w:rPr>
        <w:sectPr w:rsidR="00467FCA">
          <w:pgSz w:w="12240" w:h="15840"/>
          <w:pgMar w:top="1340" w:right="1140" w:bottom="1200" w:left="960" w:header="0" w:footer="1002" w:gutter="0"/>
          <w:cols w:space="720"/>
        </w:sectPr>
      </w:pPr>
    </w:p>
    <w:p w14:paraId="4235E30E" w14:textId="77777777" w:rsidR="00467FCA" w:rsidRDefault="001B68EB">
      <w:pPr>
        <w:pStyle w:val="Prrafodelista"/>
        <w:numPr>
          <w:ilvl w:val="0"/>
          <w:numId w:val="15"/>
        </w:numPr>
        <w:tabs>
          <w:tab w:val="left" w:pos="1450"/>
        </w:tabs>
        <w:spacing w:before="197" w:line="276" w:lineRule="auto"/>
        <w:ind w:right="396" w:hanging="1"/>
        <w:jc w:val="both"/>
        <w:rPr>
          <w:sz w:val="20"/>
        </w:rPr>
      </w:pPr>
      <w:r>
        <w:rPr>
          <w:sz w:val="20"/>
        </w:rPr>
        <w:t>En segundo término y, en consecuencia, ello imp</w:t>
      </w:r>
      <w:r>
        <w:rPr>
          <w:sz w:val="20"/>
        </w:rPr>
        <w:t>orta, para los aludidos Estados, que lo dispuesto en el 26 implica que los citados derechos no se encuentren comprendidos entre los que se aplica el sistema de protección previsto en la Convención o que se estén vigentes, dado que, en caso contrario, la ad</w:t>
      </w:r>
      <w:r>
        <w:rPr>
          <w:sz w:val="20"/>
        </w:rPr>
        <w:t>opción del Protocolo hubiese sido</w:t>
      </w:r>
      <w:r>
        <w:rPr>
          <w:spacing w:val="-33"/>
          <w:sz w:val="20"/>
        </w:rPr>
        <w:t xml:space="preserve"> </w:t>
      </w:r>
      <w:r>
        <w:rPr>
          <w:sz w:val="20"/>
        </w:rPr>
        <w:t>innecesaria.</w:t>
      </w:r>
    </w:p>
    <w:p w14:paraId="28546342" w14:textId="77777777" w:rsidR="00467FCA" w:rsidRDefault="00467FCA">
      <w:pPr>
        <w:pStyle w:val="Textoindependiente"/>
        <w:spacing w:before="2"/>
        <w:rPr>
          <w:sz w:val="22"/>
        </w:rPr>
      </w:pPr>
    </w:p>
    <w:p w14:paraId="4870A648" w14:textId="77777777" w:rsidR="00467FCA" w:rsidRDefault="001B68EB">
      <w:pPr>
        <w:pStyle w:val="Prrafodelista"/>
        <w:numPr>
          <w:ilvl w:val="0"/>
          <w:numId w:val="15"/>
        </w:numPr>
        <w:tabs>
          <w:tab w:val="left" w:pos="1450"/>
        </w:tabs>
        <w:spacing w:line="276" w:lineRule="auto"/>
        <w:ind w:right="396" w:firstLine="0"/>
        <w:jc w:val="both"/>
        <w:rPr>
          <w:sz w:val="20"/>
        </w:rPr>
      </w:pPr>
      <w:r>
        <w:rPr>
          <w:sz w:val="20"/>
        </w:rPr>
        <w:t>Téngase</w:t>
      </w:r>
      <w:r>
        <w:rPr>
          <w:spacing w:val="-14"/>
          <w:sz w:val="20"/>
        </w:rPr>
        <w:t xml:space="preserve"> </w:t>
      </w:r>
      <w:r>
        <w:rPr>
          <w:sz w:val="20"/>
        </w:rPr>
        <w:t>presente</w:t>
      </w:r>
      <w:r>
        <w:rPr>
          <w:spacing w:val="-11"/>
          <w:sz w:val="20"/>
        </w:rPr>
        <w:t xml:space="preserve"> </w:t>
      </w:r>
      <w:r>
        <w:rPr>
          <w:sz w:val="20"/>
        </w:rPr>
        <w:t>también</w:t>
      </w:r>
      <w:r>
        <w:rPr>
          <w:spacing w:val="-12"/>
          <w:sz w:val="20"/>
        </w:rPr>
        <w:t xml:space="preserve"> </w:t>
      </w:r>
      <w:r>
        <w:rPr>
          <w:sz w:val="20"/>
        </w:rPr>
        <w:t>que</w:t>
      </w:r>
      <w:r>
        <w:rPr>
          <w:spacing w:val="-11"/>
          <w:sz w:val="20"/>
        </w:rPr>
        <w:t xml:space="preserve"> </w:t>
      </w:r>
      <w:r>
        <w:rPr>
          <w:sz w:val="20"/>
        </w:rPr>
        <w:t>en</w:t>
      </w:r>
      <w:r>
        <w:rPr>
          <w:spacing w:val="-12"/>
          <w:sz w:val="20"/>
        </w:rPr>
        <w:t xml:space="preserve"> </w:t>
      </w:r>
      <w:r>
        <w:rPr>
          <w:sz w:val="20"/>
        </w:rPr>
        <w:t>la</w:t>
      </w:r>
      <w:r>
        <w:rPr>
          <w:spacing w:val="-12"/>
          <w:sz w:val="20"/>
        </w:rPr>
        <w:t xml:space="preserve"> </w:t>
      </w:r>
      <w:r>
        <w:rPr>
          <w:sz w:val="20"/>
        </w:rPr>
        <w:t>OEA</w:t>
      </w:r>
      <w:r>
        <w:rPr>
          <w:spacing w:val="-9"/>
          <w:sz w:val="20"/>
        </w:rPr>
        <w:t xml:space="preserve"> </w:t>
      </w:r>
      <w:r>
        <w:rPr>
          <w:sz w:val="20"/>
        </w:rPr>
        <w:t>se</w:t>
      </w:r>
      <w:r>
        <w:rPr>
          <w:spacing w:val="-11"/>
          <w:sz w:val="20"/>
        </w:rPr>
        <w:t xml:space="preserve"> </w:t>
      </w:r>
      <w:r>
        <w:rPr>
          <w:sz w:val="20"/>
        </w:rPr>
        <w:t>creó</w:t>
      </w:r>
      <w:r>
        <w:rPr>
          <w:spacing w:val="-14"/>
          <w:sz w:val="20"/>
        </w:rPr>
        <w:t xml:space="preserve"> </w:t>
      </w:r>
      <w:r>
        <w:rPr>
          <w:sz w:val="20"/>
        </w:rPr>
        <w:t>el</w:t>
      </w:r>
      <w:r>
        <w:rPr>
          <w:spacing w:val="-10"/>
          <w:sz w:val="20"/>
        </w:rPr>
        <w:t xml:space="preserve"> </w:t>
      </w:r>
      <w:r>
        <w:rPr>
          <w:sz w:val="20"/>
        </w:rPr>
        <w:t>Grupo</w:t>
      </w:r>
      <w:r>
        <w:rPr>
          <w:spacing w:val="-14"/>
          <w:sz w:val="20"/>
        </w:rPr>
        <w:t xml:space="preserve"> </w:t>
      </w:r>
      <w:r>
        <w:rPr>
          <w:sz w:val="20"/>
        </w:rPr>
        <w:t>de</w:t>
      </w:r>
      <w:r>
        <w:rPr>
          <w:spacing w:val="-14"/>
          <w:sz w:val="20"/>
        </w:rPr>
        <w:t xml:space="preserve"> </w:t>
      </w:r>
      <w:r>
        <w:rPr>
          <w:sz w:val="20"/>
        </w:rPr>
        <w:t>Trabajo</w:t>
      </w:r>
      <w:r>
        <w:rPr>
          <w:spacing w:val="-13"/>
          <w:sz w:val="20"/>
        </w:rPr>
        <w:t xml:space="preserve"> </w:t>
      </w:r>
      <w:r>
        <w:rPr>
          <w:sz w:val="20"/>
        </w:rPr>
        <w:t>para</w:t>
      </w:r>
      <w:r>
        <w:rPr>
          <w:spacing w:val="-12"/>
          <w:sz w:val="20"/>
        </w:rPr>
        <w:t xml:space="preserve"> </w:t>
      </w:r>
      <w:r>
        <w:rPr>
          <w:sz w:val="20"/>
        </w:rPr>
        <w:t>Analizar los informes Periódicos de los Estados Partes del Protocolo</w:t>
      </w:r>
      <w:hyperlink w:anchor="_bookmark634" w:history="1">
        <w:r>
          <w:rPr>
            <w:position w:val="7"/>
            <w:sz w:val="13"/>
          </w:rPr>
          <w:t>86</w:t>
        </w:r>
      </w:hyperlink>
      <w:r>
        <w:rPr>
          <w:sz w:val="20"/>
        </w:rPr>
        <w:t>, como mecanismo para dar seguimiento al cumplimiento de los compromisos contraídos por dicho instrumento en la materia.</w:t>
      </w:r>
      <w:r>
        <w:rPr>
          <w:spacing w:val="-12"/>
          <w:sz w:val="20"/>
        </w:rPr>
        <w:t xml:space="preserve"> </w:t>
      </w:r>
      <w:r>
        <w:rPr>
          <w:sz w:val="20"/>
        </w:rPr>
        <w:t>Ello</w:t>
      </w:r>
      <w:r>
        <w:rPr>
          <w:spacing w:val="-11"/>
          <w:sz w:val="20"/>
        </w:rPr>
        <w:t xml:space="preserve"> </w:t>
      </w:r>
      <w:r>
        <w:rPr>
          <w:sz w:val="20"/>
        </w:rPr>
        <w:t>confirma</w:t>
      </w:r>
      <w:r>
        <w:rPr>
          <w:spacing w:val="-11"/>
          <w:sz w:val="20"/>
        </w:rPr>
        <w:t xml:space="preserve"> </w:t>
      </w:r>
      <w:r>
        <w:rPr>
          <w:sz w:val="20"/>
        </w:rPr>
        <w:t>que,</w:t>
      </w:r>
      <w:r>
        <w:rPr>
          <w:spacing w:val="-13"/>
          <w:sz w:val="20"/>
        </w:rPr>
        <w:t xml:space="preserve"> </w:t>
      </w:r>
      <w:r>
        <w:rPr>
          <w:sz w:val="20"/>
        </w:rPr>
        <w:t>indudablemente,</w:t>
      </w:r>
      <w:r>
        <w:rPr>
          <w:spacing w:val="-11"/>
          <w:sz w:val="20"/>
        </w:rPr>
        <w:t xml:space="preserve"> </w:t>
      </w:r>
      <w:r>
        <w:rPr>
          <w:sz w:val="20"/>
        </w:rPr>
        <w:t>la</w:t>
      </w:r>
      <w:r>
        <w:rPr>
          <w:spacing w:val="-9"/>
          <w:sz w:val="20"/>
        </w:rPr>
        <w:t xml:space="preserve"> </w:t>
      </w:r>
      <w:r>
        <w:rPr>
          <w:sz w:val="20"/>
        </w:rPr>
        <w:t>voluntad</w:t>
      </w:r>
      <w:r>
        <w:rPr>
          <w:spacing w:val="-12"/>
          <w:sz w:val="20"/>
        </w:rPr>
        <w:t xml:space="preserve"> </w:t>
      </w:r>
      <w:r>
        <w:rPr>
          <w:sz w:val="20"/>
        </w:rPr>
        <w:t>de</w:t>
      </w:r>
      <w:r>
        <w:rPr>
          <w:spacing w:val="-13"/>
          <w:sz w:val="20"/>
        </w:rPr>
        <w:t xml:space="preserve"> </w:t>
      </w:r>
      <w:r>
        <w:rPr>
          <w:sz w:val="20"/>
        </w:rPr>
        <w:t>los</w:t>
      </w:r>
      <w:r>
        <w:rPr>
          <w:spacing w:val="-11"/>
          <w:sz w:val="20"/>
        </w:rPr>
        <w:t xml:space="preserve"> </w:t>
      </w:r>
      <w:r>
        <w:rPr>
          <w:sz w:val="20"/>
        </w:rPr>
        <w:t>mencionados</w:t>
      </w:r>
      <w:r>
        <w:rPr>
          <w:spacing w:val="-11"/>
          <w:sz w:val="20"/>
        </w:rPr>
        <w:t xml:space="preserve"> </w:t>
      </w:r>
      <w:r>
        <w:rPr>
          <w:sz w:val="20"/>
        </w:rPr>
        <w:t>Estados</w:t>
      </w:r>
      <w:r>
        <w:rPr>
          <w:spacing w:val="-14"/>
          <w:sz w:val="20"/>
        </w:rPr>
        <w:t xml:space="preserve"> </w:t>
      </w:r>
      <w:r>
        <w:rPr>
          <w:sz w:val="20"/>
        </w:rPr>
        <w:t>ha</w:t>
      </w:r>
      <w:r>
        <w:rPr>
          <w:spacing w:val="-10"/>
          <w:sz w:val="20"/>
        </w:rPr>
        <w:t xml:space="preserve"> </w:t>
      </w:r>
      <w:r>
        <w:rPr>
          <w:sz w:val="20"/>
        </w:rPr>
        <w:t>sido la</w:t>
      </w:r>
      <w:r>
        <w:rPr>
          <w:spacing w:val="-18"/>
          <w:sz w:val="20"/>
        </w:rPr>
        <w:t xml:space="preserve"> </w:t>
      </w:r>
      <w:r>
        <w:rPr>
          <w:sz w:val="20"/>
        </w:rPr>
        <w:t>de</w:t>
      </w:r>
      <w:r>
        <w:rPr>
          <w:spacing w:val="-16"/>
          <w:sz w:val="20"/>
        </w:rPr>
        <w:t xml:space="preserve"> </w:t>
      </w:r>
      <w:r>
        <w:rPr>
          <w:sz w:val="20"/>
        </w:rPr>
        <w:t>crear</w:t>
      </w:r>
      <w:r>
        <w:rPr>
          <w:spacing w:val="-19"/>
          <w:sz w:val="20"/>
        </w:rPr>
        <w:t xml:space="preserve"> </w:t>
      </w:r>
      <w:r>
        <w:rPr>
          <w:sz w:val="20"/>
        </w:rPr>
        <w:t>un</w:t>
      </w:r>
      <w:r>
        <w:rPr>
          <w:spacing w:val="-14"/>
          <w:sz w:val="20"/>
        </w:rPr>
        <w:t xml:space="preserve"> </w:t>
      </w:r>
      <w:r>
        <w:rPr>
          <w:sz w:val="20"/>
        </w:rPr>
        <w:t>mecanismo</w:t>
      </w:r>
      <w:r>
        <w:rPr>
          <w:spacing w:val="-19"/>
          <w:sz w:val="20"/>
        </w:rPr>
        <w:t xml:space="preserve"> </w:t>
      </w:r>
      <w:r>
        <w:rPr>
          <w:sz w:val="20"/>
        </w:rPr>
        <w:t>no</w:t>
      </w:r>
      <w:r>
        <w:rPr>
          <w:spacing w:val="-16"/>
          <w:sz w:val="20"/>
        </w:rPr>
        <w:t xml:space="preserve"> </w:t>
      </w:r>
      <w:r>
        <w:rPr>
          <w:sz w:val="20"/>
        </w:rPr>
        <w:t>jurisdiccional</w:t>
      </w:r>
      <w:r>
        <w:rPr>
          <w:spacing w:val="-16"/>
          <w:sz w:val="20"/>
        </w:rPr>
        <w:t xml:space="preserve"> </w:t>
      </w:r>
      <w:r>
        <w:rPr>
          <w:sz w:val="20"/>
        </w:rPr>
        <w:t>para</w:t>
      </w:r>
      <w:r>
        <w:rPr>
          <w:spacing w:val="-15"/>
          <w:sz w:val="20"/>
        </w:rPr>
        <w:t xml:space="preserve"> </w:t>
      </w:r>
      <w:r>
        <w:rPr>
          <w:sz w:val="20"/>
        </w:rPr>
        <w:t>la</w:t>
      </w:r>
      <w:r>
        <w:rPr>
          <w:spacing w:val="-17"/>
          <w:sz w:val="20"/>
        </w:rPr>
        <w:t xml:space="preserve"> </w:t>
      </w:r>
      <w:r>
        <w:rPr>
          <w:sz w:val="20"/>
        </w:rPr>
        <w:t>supervisión</w:t>
      </w:r>
      <w:r>
        <w:rPr>
          <w:spacing w:val="-16"/>
          <w:sz w:val="20"/>
        </w:rPr>
        <w:t xml:space="preserve"> </w:t>
      </w:r>
      <w:r>
        <w:rPr>
          <w:sz w:val="20"/>
        </w:rPr>
        <w:t>internacional</w:t>
      </w:r>
      <w:r>
        <w:rPr>
          <w:spacing w:val="-17"/>
          <w:sz w:val="20"/>
        </w:rPr>
        <w:t xml:space="preserve"> </w:t>
      </w:r>
      <w:r>
        <w:rPr>
          <w:sz w:val="20"/>
        </w:rPr>
        <w:t>del</w:t>
      </w:r>
      <w:r>
        <w:rPr>
          <w:spacing w:val="-15"/>
          <w:sz w:val="20"/>
        </w:rPr>
        <w:t xml:space="preserve"> </w:t>
      </w:r>
      <w:r>
        <w:rPr>
          <w:sz w:val="20"/>
        </w:rPr>
        <w:t>cumplimiento del</w:t>
      </w:r>
      <w:r>
        <w:rPr>
          <w:spacing w:val="-2"/>
          <w:sz w:val="20"/>
        </w:rPr>
        <w:t xml:space="preserve"> </w:t>
      </w:r>
      <w:r>
        <w:rPr>
          <w:sz w:val="20"/>
        </w:rPr>
        <w:t>Protocolo.</w:t>
      </w:r>
    </w:p>
    <w:p w14:paraId="24A7E0B0" w14:textId="77777777" w:rsidR="00467FCA" w:rsidRDefault="00467FCA">
      <w:pPr>
        <w:pStyle w:val="Textoindependiente"/>
        <w:spacing w:before="1"/>
        <w:rPr>
          <w:sz w:val="23"/>
        </w:rPr>
      </w:pPr>
    </w:p>
    <w:p w14:paraId="5763932F" w14:textId="77777777" w:rsidR="00467FCA" w:rsidRDefault="001B68EB">
      <w:pPr>
        <w:pStyle w:val="Prrafodelista"/>
        <w:numPr>
          <w:ilvl w:val="0"/>
          <w:numId w:val="15"/>
        </w:numPr>
        <w:tabs>
          <w:tab w:val="left" w:pos="1450"/>
        </w:tabs>
        <w:spacing w:before="1" w:line="276" w:lineRule="auto"/>
        <w:ind w:right="399" w:firstLine="0"/>
        <w:jc w:val="both"/>
        <w:rPr>
          <w:sz w:val="20"/>
        </w:rPr>
      </w:pPr>
      <w:r>
        <w:rPr>
          <w:sz w:val="20"/>
        </w:rPr>
        <w:t>La única excepción a ese régimen está prevista en el numeral 6 del artículo 19, a saber,</w:t>
      </w:r>
      <w:r>
        <w:rPr>
          <w:spacing w:val="-3"/>
          <w:sz w:val="20"/>
        </w:rPr>
        <w:t xml:space="preserve"> </w:t>
      </w:r>
      <w:r>
        <w:rPr>
          <w:sz w:val="20"/>
        </w:rPr>
        <w:t>que</w:t>
      </w:r>
    </w:p>
    <w:p w14:paraId="22124459" w14:textId="77777777" w:rsidR="00467FCA" w:rsidRDefault="00467FCA">
      <w:pPr>
        <w:pStyle w:val="Textoindependiente"/>
        <w:spacing w:before="9"/>
        <w:rPr>
          <w:sz w:val="22"/>
        </w:rPr>
      </w:pPr>
    </w:p>
    <w:p w14:paraId="31D4CEBE" w14:textId="77777777" w:rsidR="00467FCA" w:rsidRDefault="001B68EB">
      <w:pPr>
        <w:spacing w:line="276" w:lineRule="auto"/>
        <w:ind w:left="1461" w:right="393"/>
        <w:jc w:val="both"/>
        <w:rPr>
          <w:sz w:val="18"/>
        </w:rPr>
      </w:pPr>
      <w:r>
        <w:rPr>
          <w:i/>
          <w:sz w:val="18"/>
        </w:rPr>
        <w:t>“en</w:t>
      </w:r>
      <w:r>
        <w:rPr>
          <w:i/>
          <w:spacing w:val="-4"/>
          <w:sz w:val="18"/>
        </w:rPr>
        <w:t xml:space="preserve"> </w:t>
      </w:r>
      <w:r>
        <w:rPr>
          <w:i/>
          <w:sz w:val="18"/>
        </w:rPr>
        <w:t>el</w:t>
      </w:r>
      <w:r>
        <w:rPr>
          <w:i/>
          <w:spacing w:val="-4"/>
          <w:sz w:val="18"/>
        </w:rPr>
        <w:t xml:space="preserve"> </w:t>
      </w:r>
      <w:r>
        <w:rPr>
          <w:i/>
          <w:sz w:val="18"/>
        </w:rPr>
        <w:t>caso</w:t>
      </w:r>
      <w:r>
        <w:rPr>
          <w:i/>
          <w:spacing w:val="-5"/>
          <w:sz w:val="18"/>
        </w:rPr>
        <w:t xml:space="preserve"> </w:t>
      </w:r>
      <w:r>
        <w:rPr>
          <w:i/>
          <w:sz w:val="18"/>
        </w:rPr>
        <w:t>de</w:t>
      </w:r>
      <w:r>
        <w:rPr>
          <w:i/>
          <w:spacing w:val="-4"/>
          <w:sz w:val="18"/>
        </w:rPr>
        <w:t xml:space="preserve"> </w:t>
      </w:r>
      <w:r>
        <w:rPr>
          <w:i/>
          <w:sz w:val="18"/>
        </w:rPr>
        <w:t>que</w:t>
      </w:r>
      <w:r>
        <w:rPr>
          <w:i/>
          <w:spacing w:val="-4"/>
          <w:sz w:val="18"/>
        </w:rPr>
        <w:t xml:space="preserve"> </w:t>
      </w:r>
      <w:r>
        <w:rPr>
          <w:i/>
          <w:sz w:val="18"/>
        </w:rPr>
        <w:t>los</w:t>
      </w:r>
      <w:r>
        <w:rPr>
          <w:i/>
          <w:spacing w:val="-6"/>
          <w:sz w:val="18"/>
        </w:rPr>
        <w:t xml:space="preserve"> </w:t>
      </w:r>
      <w:r>
        <w:rPr>
          <w:i/>
          <w:sz w:val="18"/>
        </w:rPr>
        <w:t>derechos</w:t>
      </w:r>
      <w:r>
        <w:rPr>
          <w:i/>
          <w:spacing w:val="-5"/>
          <w:sz w:val="18"/>
        </w:rPr>
        <w:t xml:space="preserve"> </w:t>
      </w:r>
      <w:r>
        <w:rPr>
          <w:i/>
          <w:sz w:val="18"/>
        </w:rPr>
        <w:t>establecidos</w:t>
      </w:r>
      <w:r>
        <w:rPr>
          <w:i/>
          <w:spacing w:val="-6"/>
          <w:sz w:val="18"/>
        </w:rPr>
        <w:t xml:space="preserve"> </w:t>
      </w:r>
      <w:r>
        <w:rPr>
          <w:i/>
          <w:sz w:val="18"/>
        </w:rPr>
        <w:t>en</w:t>
      </w:r>
      <w:r>
        <w:rPr>
          <w:i/>
          <w:spacing w:val="-3"/>
          <w:sz w:val="18"/>
        </w:rPr>
        <w:t xml:space="preserve"> </w:t>
      </w:r>
      <w:r>
        <w:rPr>
          <w:i/>
          <w:sz w:val="18"/>
        </w:rPr>
        <w:t>el</w:t>
      </w:r>
      <w:r>
        <w:rPr>
          <w:i/>
          <w:spacing w:val="-4"/>
          <w:sz w:val="18"/>
        </w:rPr>
        <w:t xml:space="preserve"> </w:t>
      </w:r>
      <w:r>
        <w:rPr>
          <w:i/>
          <w:sz w:val="18"/>
        </w:rPr>
        <w:t>párrafo</w:t>
      </w:r>
      <w:r>
        <w:rPr>
          <w:i/>
          <w:spacing w:val="-5"/>
          <w:sz w:val="18"/>
        </w:rPr>
        <w:t xml:space="preserve"> </w:t>
      </w:r>
      <w:r>
        <w:rPr>
          <w:i/>
          <w:sz w:val="18"/>
        </w:rPr>
        <w:t>a)</w:t>
      </w:r>
      <w:r>
        <w:rPr>
          <w:i/>
          <w:spacing w:val="-5"/>
          <w:sz w:val="18"/>
        </w:rPr>
        <w:t xml:space="preserve"> </w:t>
      </w:r>
      <w:r>
        <w:rPr>
          <w:i/>
          <w:sz w:val="18"/>
        </w:rPr>
        <w:t>del</w:t>
      </w:r>
      <w:r>
        <w:rPr>
          <w:i/>
          <w:spacing w:val="-4"/>
          <w:sz w:val="18"/>
        </w:rPr>
        <w:t xml:space="preserve"> </w:t>
      </w:r>
      <w:r>
        <w:rPr>
          <w:i/>
          <w:sz w:val="18"/>
        </w:rPr>
        <w:t>artículo</w:t>
      </w:r>
      <w:r>
        <w:rPr>
          <w:i/>
          <w:spacing w:val="-5"/>
          <w:sz w:val="18"/>
        </w:rPr>
        <w:t xml:space="preserve"> </w:t>
      </w:r>
      <w:r>
        <w:rPr>
          <w:i/>
          <w:spacing w:val="2"/>
          <w:sz w:val="18"/>
        </w:rPr>
        <w:t>8</w:t>
      </w:r>
      <w:hyperlink w:anchor="_bookmark635" w:history="1">
        <w:r>
          <w:rPr>
            <w:i/>
            <w:spacing w:val="2"/>
            <w:position w:val="6"/>
            <w:sz w:val="12"/>
          </w:rPr>
          <w:t>87</w:t>
        </w:r>
        <w:r>
          <w:rPr>
            <w:i/>
            <w:spacing w:val="17"/>
            <w:position w:val="6"/>
            <w:sz w:val="12"/>
          </w:rPr>
          <w:t xml:space="preserve"> </w:t>
        </w:r>
      </w:hyperlink>
      <w:r>
        <w:rPr>
          <w:i/>
          <w:sz w:val="18"/>
        </w:rPr>
        <w:t>y</w:t>
      </w:r>
      <w:r>
        <w:rPr>
          <w:i/>
          <w:spacing w:val="-7"/>
          <w:sz w:val="18"/>
        </w:rPr>
        <w:t xml:space="preserve"> </w:t>
      </w:r>
      <w:r>
        <w:rPr>
          <w:i/>
          <w:sz w:val="18"/>
        </w:rPr>
        <w:t>en</w:t>
      </w:r>
      <w:r>
        <w:rPr>
          <w:i/>
          <w:spacing w:val="-3"/>
          <w:sz w:val="18"/>
        </w:rPr>
        <w:t xml:space="preserve"> </w:t>
      </w:r>
      <w:r>
        <w:rPr>
          <w:i/>
          <w:sz w:val="18"/>
        </w:rPr>
        <w:t>el</w:t>
      </w:r>
      <w:r>
        <w:rPr>
          <w:i/>
          <w:spacing w:val="-4"/>
          <w:sz w:val="18"/>
        </w:rPr>
        <w:t xml:space="preserve"> </w:t>
      </w:r>
      <w:r>
        <w:rPr>
          <w:i/>
          <w:sz w:val="18"/>
        </w:rPr>
        <w:t xml:space="preserve">artículo </w:t>
      </w:r>
      <w:r>
        <w:rPr>
          <w:i/>
          <w:spacing w:val="2"/>
          <w:sz w:val="18"/>
        </w:rPr>
        <w:t>13</w:t>
      </w:r>
      <w:hyperlink w:anchor="_bookmark636" w:history="1">
        <w:r>
          <w:rPr>
            <w:i/>
            <w:spacing w:val="2"/>
            <w:position w:val="6"/>
            <w:sz w:val="12"/>
          </w:rPr>
          <w:t>88</w:t>
        </w:r>
        <w:r>
          <w:rPr>
            <w:i/>
            <w:spacing w:val="15"/>
            <w:position w:val="6"/>
            <w:sz w:val="12"/>
          </w:rPr>
          <w:t xml:space="preserve"> </w:t>
        </w:r>
      </w:hyperlink>
      <w:r>
        <w:rPr>
          <w:i/>
          <w:sz w:val="18"/>
        </w:rPr>
        <w:t>fuesen</w:t>
      </w:r>
      <w:r>
        <w:rPr>
          <w:i/>
          <w:spacing w:val="-4"/>
          <w:sz w:val="18"/>
        </w:rPr>
        <w:t xml:space="preserve"> </w:t>
      </w:r>
      <w:r>
        <w:rPr>
          <w:i/>
          <w:sz w:val="18"/>
        </w:rPr>
        <w:t>violados</w:t>
      </w:r>
      <w:r>
        <w:rPr>
          <w:i/>
          <w:spacing w:val="-7"/>
          <w:sz w:val="18"/>
        </w:rPr>
        <w:t xml:space="preserve"> </w:t>
      </w:r>
      <w:r>
        <w:rPr>
          <w:i/>
          <w:sz w:val="18"/>
        </w:rPr>
        <w:t>por</w:t>
      </w:r>
      <w:r>
        <w:rPr>
          <w:i/>
          <w:spacing w:val="-6"/>
          <w:sz w:val="18"/>
        </w:rPr>
        <w:t xml:space="preserve"> </w:t>
      </w:r>
      <w:r>
        <w:rPr>
          <w:i/>
          <w:sz w:val="18"/>
        </w:rPr>
        <w:t>una</w:t>
      </w:r>
      <w:r>
        <w:rPr>
          <w:i/>
          <w:spacing w:val="-8"/>
          <w:sz w:val="18"/>
        </w:rPr>
        <w:t xml:space="preserve"> </w:t>
      </w:r>
      <w:r>
        <w:rPr>
          <w:i/>
          <w:sz w:val="18"/>
        </w:rPr>
        <w:t>acción</w:t>
      </w:r>
      <w:r>
        <w:rPr>
          <w:i/>
          <w:spacing w:val="-7"/>
          <w:sz w:val="18"/>
        </w:rPr>
        <w:t xml:space="preserve"> </w:t>
      </w:r>
      <w:r>
        <w:rPr>
          <w:i/>
          <w:sz w:val="18"/>
        </w:rPr>
        <w:t>imputable</w:t>
      </w:r>
      <w:r>
        <w:rPr>
          <w:i/>
          <w:spacing w:val="-6"/>
          <w:sz w:val="18"/>
        </w:rPr>
        <w:t xml:space="preserve"> </w:t>
      </w:r>
      <w:r>
        <w:rPr>
          <w:i/>
          <w:sz w:val="18"/>
        </w:rPr>
        <w:t>directamente</w:t>
      </w:r>
      <w:r>
        <w:rPr>
          <w:i/>
          <w:spacing w:val="-5"/>
          <w:sz w:val="18"/>
        </w:rPr>
        <w:t xml:space="preserve"> </w:t>
      </w:r>
      <w:r>
        <w:rPr>
          <w:i/>
          <w:sz w:val="18"/>
        </w:rPr>
        <w:t>a</w:t>
      </w:r>
      <w:r>
        <w:rPr>
          <w:i/>
          <w:spacing w:val="-6"/>
          <w:sz w:val="18"/>
        </w:rPr>
        <w:t xml:space="preserve"> </w:t>
      </w:r>
      <w:r>
        <w:rPr>
          <w:i/>
          <w:sz w:val="18"/>
        </w:rPr>
        <w:t>un</w:t>
      </w:r>
      <w:r>
        <w:rPr>
          <w:i/>
          <w:spacing w:val="-5"/>
          <w:sz w:val="18"/>
        </w:rPr>
        <w:t xml:space="preserve"> </w:t>
      </w:r>
      <w:r>
        <w:rPr>
          <w:i/>
          <w:sz w:val="18"/>
        </w:rPr>
        <w:t>Estado</w:t>
      </w:r>
      <w:r>
        <w:rPr>
          <w:i/>
          <w:spacing w:val="-5"/>
          <w:sz w:val="18"/>
        </w:rPr>
        <w:t xml:space="preserve"> </w:t>
      </w:r>
      <w:r>
        <w:rPr>
          <w:i/>
          <w:sz w:val="18"/>
        </w:rPr>
        <w:t>parte</w:t>
      </w:r>
      <w:r>
        <w:rPr>
          <w:i/>
          <w:spacing w:val="-5"/>
          <w:sz w:val="18"/>
        </w:rPr>
        <w:t xml:space="preserve"> </w:t>
      </w:r>
      <w:r>
        <w:rPr>
          <w:i/>
          <w:sz w:val="18"/>
        </w:rPr>
        <w:t>del</w:t>
      </w:r>
      <w:r>
        <w:rPr>
          <w:i/>
          <w:spacing w:val="-7"/>
          <w:sz w:val="18"/>
        </w:rPr>
        <w:t xml:space="preserve"> </w:t>
      </w:r>
      <w:r>
        <w:rPr>
          <w:i/>
          <w:sz w:val="18"/>
        </w:rPr>
        <w:t>presente Protocolo, tal situación podría dar lugar, mediante la participación de la Comisión Interamericana de Derechos Humanos, y cuando proceda de la Corte Interamericana de Derechos Humanos, a la aplicación del sistema de peticiones individuales regulad</w:t>
      </w:r>
      <w:r>
        <w:rPr>
          <w:i/>
          <w:sz w:val="18"/>
        </w:rPr>
        <w:t>o por los artículos 44 a 51 y 61 a 69 de la Convención Americana sobre Derechos</w:t>
      </w:r>
      <w:r>
        <w:rPr>
          <w:i/>
          <w:spacing w:val="-22"/>
          <w:sz w:val="18"/>
        </w:rPr>
        <w:t xml:space="preserve"> </w:t>
      </w:r>
      <w:r>
        <w:rPr>
          <w:i/>
          <w:sz w:val="18"/>
        </w:rPr>
        <w:t>Humanos</w:t>
      </w:r>
      <w:r>
        <w:rPr>
          <w:sz w:val="18"/>
        </w:rPr>
        <w:t>.”</w:t>
      </w:r>
    </w:p>
    <w:p w14:paraId="4C0C22A5" w14:textId="77777777" w:rsidR="00467FCA" w:rsidRDefault="00467FCA">
      <w:pPr>
        <w:pStyle w:val="Textoindependiente"/>
      </w:pPr>
    </w:p>
    <w:p w14:paraId="0899E2B2" w14:textId="77777777" w:rsidR="00467FCA" w:rsidRDefault="00467FCA">
      <w:pPr>
        <w:pStyle w:val="Textoindependiente"/>
      </w:pPr>
    </w:p>
    <w:p w14:paraId="129A7679" w14:textId="77777777" w:rsidR="00467FCA" w:rsidRDefault="00467FCA">
      <w:pPr>
        <w:pStyle w:val="Textoindependiente"/>
      </w:pPr>
    </w:p>
    <w:p w14:paraId="4ABFAF16" w14:textId="77777777" w:rsidR="00467FCA" w:rsidRDefault="001B68EB">
      <w:pPr>
        <w:pStyle w:val="Textoindependiente"/>
        <w:spacing w:before="1"/>
        <w:rPr>
          <w:sz w:val="10"/>
        </w:rPr>
      </w:pPr>
      <w:r>
        <w:pict w14:anchorId="365023B2">
          <v:shape id="_x0000_s1084" style="position:absolute;margin-left:56.75pt;margin-top:8.5pt;width:2in;height:.1pt;z-index:-251543552;mso-wrap-distance-left:0;mso-wrap-distance-right:0;mso-position-horizontal-relative:page" coordorigin="1135,170" coordsize="2880,0" path="m1135,170r2880,e" filled="f" strokeweight=".72pt">
            <v:path arrowok="t"/>
            <w10:wrap type="topAndBottom" anchorx="page"/>
          </v:shape>
        </w:pict>
      </w:r>
    </w:p>
    <w:p w14:paraId="36ACC27F" w14:textId="77777777" w:rsidR="00467FCA" w:rsidRDefault="001B68EB">
      <w:pPr>
        <w:spacing w:before="71"/>
        <w:ind w:left="470"/>
        <w:jc w:val="both"/>
        <w:rPr>
          <w:sz w:val="16"/>
        </w:rPr>
      </w:pPr>
      <w:bookmarkStart w:id="713" w:name="_bookmark634"/>
      <w:bookmarkEnd w:id="713"/>
      <w:r>
        <w:rPr>
          <w:position w:val="6"/>
          <w:sz w:val="10"/>
        </w:rPr>
        <w:t xml:space="preserve">86 </w:t>
      </w:r>
      <w:r>
        <w:rPr>
          <w:i/>
          <w:sz w:val="16"/>
        </w:rPr>
        <w:t xml:space="preserve">Cfr. </w:t>
      </w:r>
      <w:hyperlink r:id="rId64">
        <w:r>
          <w:rPr>
            <w:sz w:val="16"/>
            <w:shd w:val="clear" w:color="auto" w:fill="F8F8F8"/>
          </w:rPr>
          <w:t>AG/RES. 2262 (XXXVII-O/07)</w:t>
        </w:r>
      </w:hyperlink>
      <w:r>
        <w:rPr>
          <w:sz w:val="16"/>
        </w:rPr>
        <w:t>, del 05/06/2007.</w:t>
      </w:r>
    </w:p>
    <w:p w14:paraId="1CAE645F" w14:textId="77777777" w:rsidR="00467FCA" w:rsidRDefault="001B68EB">
      <w:pPr>
        <w:ind w:left="470" w:right="392"/>
        <w:jc w:val="both"/>
        <w:rPr>
          <w:i/>
          <w:sz w:val="16"/>
        </w:rPr>
      </w:pPr>
      <w:bookmarkStart w:id="714" w:name="_bookmark635"/>
      <w:bookmarkEnd w:id="714"/>
      <w:r>
        <w:rPr>
          <w:position w:val="6"/>
          <w:sz w:val="10"/>
        </w:rPr>
        <w:t xml:space="preserve">87 </w:t>
      </w:r>
      <w:r>
        <w:rPr>
          <w:sz w:val="16"/>
        </w:rPr>
        <w:t>Art. 8: “</w:t>
      </w:r>
      <w:r>
        <w:rPr>
          <w:i/>
          <w:sz w:val="16"/>
        </w:rPr>
        <w:t>Derechos Sindicales. 1. Los Estados partes garantizarán: a) el derecho de los trabajadores a organizar sindicatos</w:t>
      </w:r>
      <w:r>
        <w:rPr>
          <w:i/>
          <w:spacing w:val="-2"/>
          <w:sz w:val="16"/>
        </w:rPr>
        <w:t xml:space="preserve"> </w:t>
      </w:r>
      <w:r>
        <w:rPr>
          <w:i/>
          <w:sz w:val="16"/>
        </w:rPr>
        <w:t>y</w:t>
      </w:r>
      <w:r>
        <w:rPr>
          <w:i/>
          <w:spacing w:val="-2"/>
          <w:sz w:val="16"/>
        </w:rPr>
        <w:t xml:space="preserve"> </w:t>
      </w:r>
      <w:r>
        <w:rPr>
          <w:i/>
          <w:sz w:val="16"/>
        </w:rPr>
        <w:t>a</w:t>
      </w:r>
      <w:r>
        <w:rPr>
          <w:i/>
          <w:spacing w:val="-3"/>
          <w:sz w:val="16"/>
        </w:rPr>
        <w:t xml:space="preserve"> </w:t>
      </w:r>
      <w:r>
        <w:rPr>
          <w:i/>
          <w:sz w:val="16"/>
        </w:rPr>
        <w:t>afiliarse</w:t>
      </w:r>
      <w:r>
        <w:rPr>
          <w:i/>
          <w:spacing w:val="-2"/>
          <w:sz w:val="16"/>
        </w:rPr>
        <w:t xml:space="preserve"> </w:t>
      </w:r>
      <w:r>
        <w:rPr>
          <w:i/>
          <w:sz w:val="16"/>
        </w:rPr>
        <w:t>al</w:t>
      </w:r>
      <w:r>
        <w:rPr>
          <w:i/>
          <w:spacing w:val="-2"/>
          <w:sz w:val="16"/>
        </w:rPr>
        <w:t xml:space="preserve"> </w:t>
      </w:r>
      <w:r>
        <w:rPr>
          <w:i/>
          <w:sz w:val="16"/>
        </w:rPr>
        <w:t>de</w:t>
      </w:r>
      <w:r>
        <w:rPr>
          <w:i/>
          <w:spacing w:val="-2"/>
          <w:sz w:val="16"/>
        </w:rPr>
        <w:t xml:space="preserve"> </w:t>
      </w:r>
      <w:r>
        <w:rPr>
          <w:i/>
          <w:sz w:val="16"/>
        </w:rPr>
        <w:t>su</w:t>
      </w:r>
      <w:r>
        <w:rPr>
          <w:i/>
          <w:spacing w:val="-1"/>
          <w:sz w:val="16"/>
        </w:rPr>
        <w:t xml:space="preserve"> </w:t>
      </w:r>
      <w:r>
        <w:rPr>
          <w:i/>
          <w:sz w:val="16"/>
        </w:rPr>
        <w:t>elección,</w:t>
      </w:r>
      <w:r>
        <w:rPr>
          <w:i/>
          <w:spacing w:val="-1"/>
          <w:sz w:val="16"/>
        </w:rPr>
        <w:t xml:space="preserve"> </w:t>
      </w:r>
      <w:r>
        <w:rPr>
          <w:i/>
          <w:sz w:val="16"/>
        </w:rPr>
        <w:t>para</w:t>
      </w:r>
      <w:r>
        <w:rPr>
          <w:i/>
          <w:spacing w:val="-2"/>
          <w:sz w:val="16"/>
        </w:rPr>
        <w:t xml:space="preserve"> </w:t>
      </w:r>
      <w:r>
        <w:rPr>
          <w:i/>
          <w:sz w:val="16"/>
        </w:rPr>
        <w:t>la</w:t>
      </w:r>
      <w:r>
        <w:rPr>
          <w:i/>
          <w:spacing w:val="-3"/>
          <w:sz w:val="16"/>
        </w:rPr>
        <w:t xml:space="preserve"> </w:t>
      </w:r>
      <w:r>
        <w:rPr>
          <w:i/>
          <w:sz w:val="16"/>
        </w:rPr>
        <w:t>protección</w:t>
      </w:r>
      <w:r>
        <w:rPr>
          <w:i/>
          <w:spacing w:val="-3"/>
          <w:sz w:val="16"/>
        </w:rPr>
        <w:t xml:space="preserve"> </w:t>
      </w:r>
      <w:r>
        <w:rPr>
          <w:i/>
          <w:sz w:val="16"/>
        </w:rPr>
        <w:t>y</w:t>
      </w:r>
      <w:r>
        <w:rPr>
          <w:i/>
          <w:spacing w:val="-2"/>
          <w:sz w:val="16"/>
        </w:rPr>
        <w:t xml:space="preserve"> </w:t>
      </w:r>
      <w:r>
        <w:rPr>
          <w:i/>
          <w:sz w:val="16"/>
        </w:rPr>
        <w:t>promoción</w:t>
      </w:r>
      <w:r>
        <w:rPr>
          <w:i/>
          <w:spacing w:val="-3"/>
          <w:sz w:val="16"/>
        </w:rPr>
        <w:t xml:space="preserve"> </w:t>
      </w:r>
      <w:r>
        <w:rPr>
          <w:i/>
          <w:sz w:val="16"/>
        </w:rPr>
        <w:t>de</w:t>
      </w:r>
      <w:r>
        <w:rPr>
          <w:i/>
          <w:spacing w:val="-5"/>
          <w:sz w:val="16"/>
        </w:rPr>
        <w:t xml:space="preserve"> </w:t>
      </w:r>
      <w:r>
        <w:rPr>
          <w:i/>
          <w:sz w:val="16"/>
        </w:rPr>
        <w:t>sus intereses.</w:t>
      </w:r>
      <w:r>
        <w:rPr>
          <w:i/>
          <w:spacing w:val="-1"/>
          <w:sz w:val="16"/>
        </w:rPr>
        <w:t xml:space="preserve"> </w:t>
      </w:r>
      <w:r>
        <w:rPr>
          <w:i/>
          <w:sz w:val="16"/>
        </w:rPr>
        <w:t>Como</w:t>
      </w:r>
      <w:r>
        <w:rPr>
          <w:i/>
          <w:spacing w:val="-3"/>
          <w:sz w:val="16"/>
        </w:rPr>
        <w:t xml:space="preserve"> </w:t>
      </w:r>
      <w:r>
        <w:rPr>
          <w:i/>
          <w:sz w:val="16"/>
        </w:rPr>
        <w:t>proyección</w:t>
      </w:r>
      <w:r>
        <w:rPr>
          <w:i/>
          <w:spacing w:val="-6"/>
          <w:sz w:val="16"/>
        </w:rPr>
        <w:t xml:space="preserve"> </w:t>
      </w:r>
      <w:r>
        <w:rPr>
          <w:i/>
          <w:sz w:val="16"/>
        </w:rPr>
        <w:t>de</w:t>
      </w:r>
      <w:r>
        <w:rPr>
          <w:i/>
          <w:spacing w:val="-2"/>
          <w:sz w:val="16"/>
        </w:rPr>
        <w:t xml:space="preserve"> </w:t>
      </w:r>
      <w:r>
        <w:rPr>
          <w:i/>
          <w:sz w:val="16"/>
        </w:rPr>
        <w:t>este derecho,</w:t>
      </w:r>
      <w:r>
        <w:rPr>
          <w:i/>
          <w:spacing w:val="-15"/>
          <w:sz w:val="16"/>
        </w:rPr>
        <w:t xml:space="preserve"> </w:t>
      </w:r>
      <w:r>
        <w:rPr>
          <w:i/>
          <w:sz w:val="16"/>
        </w:rPr>
        <w:t>los</w:t>
      </w:r>
      <w:r>
        <w:rPr>
          <w:i/>
          <w:spacing w:val="-13"/>
          <w:sz w:val="16"/>
        </w:rPr>
        <w:t xml:space="preserve"> </w:t>
      </w:r>
      <w:r>
        <w:rPr>
          <w:i/>
          <w:sz w:val="16"/>
        </w:rPr>
        <w:t>Estados</w:t>
      </w:r>
      <w:r>
        <w:rPr>
          <w:i/>
          <w:spacing w:val="-13"/>
          <w:sz w:val="16"/>
        </w:rPr>
        <w:t xml:space="preserve"> </w:t>
      </w:r>
      <w:r>
        <w:rPr>
          <w:i/>
          <w:sz w:val="16"/>
        </w:rPr>
        <w:t>partes</w:t>
      </w:r>
      <w:r>
        <w:rPr>
          <w:i/>
          <w:spacing w:val="-15"/>
          <w:sz w:val="16"/>
        </w:rPr>
        <w:t xml:space="preserve"> </w:t>
      </w:r>
      <w:r>
        <w:rPr>
          <w:i/>
          <w:sz w:val="16"/>
        </w:rPr>
        <w:t>permitirán</w:t>
      </w:r>
      <w:r>
        <w:rPr>
          <w:i/>
          <w:spacing w:val="-14"/>
          <w:sz w:val="16"/>
        </w:rPr>
        <w:t xml:space="preserve"> </w:t>
      </w:r>
      <w:r>
        <w:rPr>
          <w:i/>
          <w:sz w:val="16"/>
        </w:rPr>
        <w:t>a</w:t>
      </w:r>
      <w:r>
        <w:rPr>
          <w:i/>
          <w:spacing w:val="-14"/>
          <w:sz w:val="16"/>
        </w:rPr>
        <w:t xml:space="preserve"> </w:t>
      </w:r>
      <w:r>
        <w:rPr>
          <w:i/>
          <w:sz w:val="16"/>
        </w:rPr>
        <w:t>los</w:t>
      </w:r>
      <w:r>
        <w:rPr>
          <w:i/>
          <w:spacing w:val="-13"/>
          <w:sz w:val="16"/>
        </w:rPr>
        <w:t xml:space="preserve"> </w:t>
      </w:r>
      <w:r>
        <w:rPr>
          <w:i/>
          <w:sz w:val="16"/>
        </w:rPr>
        <w:t>sindicatos</w:t>
      </w:r>
      <w:r>
        <w:rPr>
          <w:i/>
          <w:spacing w:val="-13"/>
          <w:sz w:val="16"/>
        </w:rPr>
        <w:t xml:space="preserve"> </w:t>
      </w:r>
      <w:r>
        <w:rPr>
          <w:i/>
          <w:sz w:val="16"/>
        </w:rPr>
        <w:t>formar</w:t>
      </w:r>
      <w:r>
        <w:rPr>
          <w:i/>
          <w:spacing w:val="-13"/>
          <w:sz w:val="16"/>
        </w:rPr>
        <w:t xml:space="preserve"> </w:t>
      </w:r>
      <w:r>
        <w:rPr>
          <w:i/>
          <w:sz w:val="16"/>
        </w:rPr>
        <w:t>federaciones</w:t>
      </w:r>
      <w:r>
        <w:rPr>
          <w:i/>
          <w:spacing w:val="-13"/>
          <w:sz w:val="16"/>
        </w:rPr>
        <w:t xml:space="preserve"> </w:t>
      </w:r>
      <w:r>
        <w:rPr>
          <w:i/>
          <w:sz w:val="16"/>
        </w:rPr>
        <w:t>y</w:t>
      </w:r>
      <w:r>
        <w:rPr>
          <w:i/>
          <w:spacing w:val="-15"/>
          <w:sz w:val="16"/>
        </w:rPr>
        <w:t xml:space="preserve"> </w:t>
      </w:r>
      <w:r>
        <w:rPr>
          <w:i/>
          <w:sz w:val="16"/>
        </w:rPr>
        <w:t>confederaciones</w:t>
      </w:r>
      <w:r>
        <w:rPr>
          <w:i/>
          <w:spacing w:val="-13"/>
          <w:sz w:val="16"/>
        </w:rPr>
        <w:t xml:space="preserve"> </w:t>
      </w:r>
      <w:r>
        <w:rPr>
          <w:i/>
          <w:sz w:val="16"/>
        </w:rPr>
        <w:t>nacionales</w:t>
      </w:r>
      <w:r>
        <w:rPr>
          <w:i/>
          <w:spacing w:val="-15"/>
          <w:sz w:val="16"/>
        </w:rPr>
        <w:t xml:space="preserve"> </w:t>
      </w:r>
      <w:r>
        <w:rPr>
          <w:i/>
          <w:sz w:val="16"/>
        </w:rPr>
        <w:t>y</w:t>
      </w:r>
      <w:r>
        <w:rPr>
          <w:i/>
          <w:spacing w:val="-12"/>
          <w:sz w:val="16"/>
        </w:rPr>
        <w:t xml:space="preserve"> </w:t>
      </w:r>
      <w:r>
        <w:rPr>
          <w:i/>
          <w:sz w:val="16"/>
        </w:rPr>
        <w:t>asociarse a las ya existentes, así como formar organizaciones sindicales internacionales y asociarse a la de su elección. Los</w:t>
      </w:r>
      <w:bookmarkStart w:id="715" w:name="_bookmark636"/>
      <w:bookmarkEnd w:id="715"/>
      <w:r>
        <w:rPr>
          <w:i/>
          <w:sz w:val="16"/>
        </w:rPr>
        <w:t xml:space="preserve"> Estados partes también permitirán que los sindicatos, federaciones y confederaciones funcionen</w:t>
      </w:r>
      <w:r>
        <w:rPr>
          <w:i/>
          <w:spacing w:val="-20"/>
          <w:sz w:val="16"/>
        </w:rPr>
        <w:t xml:space="preserve"> </w:t>
      </w:r>
      <w:r>
        <w:rPr>
          <w:i/>
          <w:sz w:val="16"/>
        </w:rPr>
        <w:t>libremente;”</w:t>
      </w:r>
    </w:p>
    <w:p w14:paraId="694D4901" w14:textId="77777777" w:rsidR="00467FCA" w:rsidRDefault="001B68EB">
      <w:pPr>
        <w:spacing w:line="194" w:lineRule="exact"/>
        <w:ind w:left="470"/>
        <w:jc w:val="both"/>
        <w:rPr>
          <w:i/>
          <w:sz w:val="16"/>
        </w:rPr>
      </w:pPr>
      <w:r>
        <w:rPr>
          <w:position w:val="6"/>
          <w:sz w:val="10"/>
        </w:rPr>
        <w:t xml:space="preserve">88 </w:t>
      </w:r>
      <w:r>
        <w:rPr>
          <w:sz w:val="16"/>
        </w:rPr>
        <w:t>Art. 13: “</w:t>
      </w:r>
      <w:r>
        <w:rPr>
          <w:i/>
          <w:sz w:val="16"/>
        </w:rPr>
        <w:t>Derecho a la Educación. 1. Toda persona tiene derecho a la educación.</w:t>
      </w:r>
    </w:p>
    <w:p w14:paraId="54F6A9EB" w14:textId="77777777" w:rsidR="00467FCA" w:rsidRDefault="001B68EB">
      <w:pPr>
        <w:pStyle w:val="Prrafodelista"/>
        <w:numPr>
          <w:ilvl w:val="0"/>
          <w:numId w:val="14"/>
        </w:numPr>
        <w:tabs>
          <w:tab w:val="left" w:pos="711"/>
        </w:tabs>
        <w:ind w:right="393" w:firstLine="0"/>
        <w:jc w:val="both"/>
        <w:rPr>
          <w:i/>
          <w:sz w:val="16"/>
        </w:rPr>
      </w:pPr>
      <w:r>
        <w:rPr>
          <w:i/>
          <w:sz w:val="16"/>
        </w:rPr>
        <w:t xml:space="preserve">Los Estados partes en el presente Protocolo convienen en que la </w:t>
      </w:r>
      <w:r>
        <w:rPr>
          <w:i/>
          <w:sz w:val="16"/>
        </w:rPr>
        <w:t>educación deberá orientarse hacia el pleno desarrollo de la personalidad humana y del sentido de su dignidad y deberá fortalecer el respeto por los derechos humanos, el pluralismo ideológico, las libertades fundamentales, la justicia y la paz. Convienen, a</w:t>
      </w:r>
      <w:r>
        <w:rPr>
          <w:i/>
          <w:sz w:val="16"/>
        </w:rPr>
        <w:t>simismo, en que la educación debe capacitar a todas las personas para participar efectivamente en una sociedad democrática y pluralista, lograr una subsistencia digna, favorecer la comprensión, la tolerancia y la amistad entre todas las naciones</w:t>
      </w:r>
      <w:r>
        <w:rPr>
          <w:i/>
          <w:spacing w:val="-5"/>
          <w:sz w:val="16"/>
        </w:rPr>
        <w:t xml:space="preserve"> </w:t>
      </w:r>
      <w:r>
        <w:rPr>
          <w:i/>
          <w:sz w:val="16"/>
        </w:rPr>
        <w:t>y</w:t>
      </w:r>
      <w:r>
        <w:rPr>
          <w:i/>
          <w:spacing w:val="-3"/>
          <w:sz w:val="16"/>
        </w:rPr>
        <w:t xml:space="preserve"> </w:t>
      </w:r>
      <w:r>
        <w:rPr>
          <w:i/>
          <w:sz w:val="16"/>
        </w:rPr>
        <w:t>todos</w:t>
      </w:r>
      <w:r>
        <w:rPr>
          <w:i/>
          <w:spacing w:val="-2"/>
          <w:sz w:val="16"/>
        </w:rPr>
        <w:t xml:space="preserve"> </w:t>
      </w:r>
      <w:r>
        <w:rPr>
          <w:i/>
          <w:sz w:val="16"/>
        </w:rPr>
        <w:t>lo</w:t>
      </w:r>
      <w:r>
        <w:rPr>
          <w:i/>
          <w:sz w:val="16"/>
        </w:rPr>
        <w:t>s</w:t>
      </w:r>
      <w:r>
        <w:rPr>
          <w:i/>
          <w:spacing w:val="-5"/>
          <w:sz w:val="16"/>
        </w:rPr>
        <w:t xml:space="preserve"> </w:t>
      </w:r>
      <w:r>
        <w:rPr>
          <w:i/>
          <w:sz w:val="16"/>
        </w:rPr>
        <w:t>grupos</w:t>
      </w:r>
      <w:r>
        <w:rPr>
          <w:i/>
          <w:spacing w:val="-5"/>
          <w:sz w:val="16"/>
        </w:rPr>
        <w:t xml:space="preserve"> </w:t>
      </w:r>
      <w:r>
        <w:rPr>
          <w:i/>
          <w:sz w:val="16"/>
        </w:rPr>
        <w:t>raciales,</w:t>
      </w:r>
      <w:r>
        <w:rPr>
          <w:i/>
          <w:spacing w:val="-3"/>
          <w:sz w:val="16"/>
        </w:rPr>
        <w:t xml:space="preserve"> </w:t>
      </w:r>
      <w:r>
        <w:rPr>
          <w:i/>
          <w:sz w:val="16"/>
        </w:rPr>
        <w:t>étnicos</w:t>
      </w:r>
      <w:r>
        <w:rPr>
          <w:i/>
          <w:spacing w:val="-5"/>
          <w:sz w:val="16"/>
        </w:rPr>
        <w:t xml:space="preserve"> </w:t>
      </w:r>
      <w:r>
        <w:rPr>
          <w:i/>
          <w:sz w:val="16"/>
        </w:rPr>
        <w:t>o</w:t>
      </w:r>
      <w:r>
        <w:rPr>
          <w:i/>
          <w:spacing w:val="-4"/>
          <w:sz w:val="16"/>
        </w:rPr>
        <w:t xml:space="preserve"> </w:t>
      </w:r>
      <w:r>
        <w:rPr>
          <w:i/>
          <w:sz w:val="16"/>
        </w:rPr>
        <w:t>religiosos</w:t>
      </w:r>
      <w:r>
        <w:rPr>
          <w:i/>
          <w:spacing w:val="-5"/>
          <w:sz w:val="16"/>
        </w:rPr>
        <w:t xml:space="preserve"> </w:t>
      </w:r>
      <w:r>
        <w:rPr>
          <w:i/>
          <w:sz w:val="16"/>
        </w:rPr>
        <w:t>y</w:t>
      </w:r>
      <w:r>
        <w:rPr>
          <w:i/>
          <w:spacing w:val="-4"/>
          <w:sz w:val="16"/>
        </w:rPr>
        <w:t xml:space="preserve"> </w:t>
      </w:r>
      <w:r>
        <w:rPr>
          <w:i/>
          <w:sz w:val="16"/>
        </w:rPr>
        <w:t>promover</w:t>
      </w:r>
      <w:r>
        <w:rPr>
          <w:i/>
          <w:spacing w:val="-4"/>
          <w:sz w:val="16"/>
        </w:rPr>
        <w:t xml:space="preserve"> </w:t>
      </w:r>
      <w:r>
        <w:rPr>
          <w:i/>
          <w:sz w:val="16"/>
        </w:rPr>
        <w:t>las</w:t>
      </w:r>
      <w:r>
        <w:rPr>
          <w:i/>
          <w:spacing w:val="-2"/>
          <w:sz w:val="16"/>
        </w:rPr>
        <w:t xml:space="preserve"> </w:t>
      </w:r>
      <w:r>
        <w:rPr>
          <w:i/>
          <w:sz w:val="16"/>
        </w:rPr>
        <w:t>actividades</w:t>
      </w:r>
      <w:r>
        <w:rPr>
          <w:i/>
          <w:spacing w:val="-5"/>
          <w:sz w:val="16"/>
        </w:rPr>
        <w:t xml:space="preserve"> </w:t>
      </w:r>
      <w:r>
        <w:rPr>
          <w:i/>
          <w:sz w:val="16"/>
        </w:rPr>
        <w:t>en</w:t>
      </w:r>
      <w:r>
        <w:rPr>
          <w:i/>
          <w:spacing w:val="-6"/>
          <w:sz w:val="16"/>
        </w:rPr>
        <w:t xml:space="preserve"> </w:t>
      </w:r>
      <w:r>
        <w:rPr>
          <w:i/>
          <w:sz w:val="16"/>
        </w:rPr>
        <w:t>favor</w:t>
      </w:r>
      <w:r>
        <w:rPr>
          <w:i/>
          <w:spacing w:val="-4"/>
          <w:sz w:val="16"/>
        </w:rPr>
        <w:t xml:space="preserve"> </w:t>
      </w:r>
      <w:r>
        <w:rPr>
          <w:i/>
          <w:sz w:val="16"/>
        </w:rPr>
        <w:t>del</w:t>
      </w:r>
      <w:r>
        <w:rPr>
          <w:i/>
          <w:spacing w:val="-3"/>
          <w:sz w:val="16"/>
        </w:rPr>
        <w:t xml:space="preserve"> </w:t>
      </w:r>
      <w:r>
        <w:rPr>
          <w:i/>
          <w:sz w:val="16"/>
        </w:rPr>
        <w:t>mantenimiento</w:t>
      </w:r>
      <w:r>
        <w:rPr>
          <w:i/>
          <w:spacing w:val="-2"/>
          <w:sz w:val="16"/>
        </w:rPr>
        <w:t xml:space="preserve"> </w:t>
      </w:r>
      <w:r>
        <w:rPr>
          <w:i/>
          <w:sz w:val="16"/>
        </w:rPr>
        <w:t>de la paz.</w:t>
      </w:r>
    </w:p>
    <w:p w14:paraId="15E16E32" w14:textId="77777777" w:rsidR="00467FCA" w:rsidRDefault="001B68EB">
      <w:pPr>
        <w:pStyle w:val="Prrafodelista"/>
        <w:numPr>
          <w:ilvl w:val="0"/>
          <w:numId w:val="14"/>
        </w:numPr>
        <w:tabs>
          <w:tab w:val="left" w:pos="689"/>
        </w:tabs>
        <w:ind w:right="393" w:firstLine="0"/>
        <w:jc w:val="both"/>
        <w:rPr>
          <w:i/>
          <w:sz w:val="16"/>
        </w:rPr>
      </w:pPr>
      <w:r>
        <w:rPr>
          <w:i/>
          <w:sz w:val="16"/>
        </w:rPr>
        <w:t>Los Estados partes en el presente Protocolo reconocen que, con objeto de lograr el pleno ejercicio del derecho a la</w:t>
      </w:r>
      <w:r>
        <w:rPr>
          <w:i/>
          <w:spacing w:val="-1"/>
          <w:sz w:val="16"/>
        </w:rPr>
        <w:t xml:space="preserve"> </w:t>
      </w:r>
      <w:r>
        <w:rPr>
          <w:i/>
          <w:sz w:val="16"/>
        </w:rPr>
        <w:t>educación:</w:t>
      </w:r>
    </w:p>
    <w:p w14:paraId="044D3522" w14:textId="77777777" w:rsidR="00467FCA" w:rsidRDefault="001B68EB">
      <w:pPr>
        <w:pStyle w:val="Prrafodelista"/>
        <w:numPr>
          <w:ilvl w:val="0"/>
          <w:numId w:val="13"/>
        </w:numPr>
        <w:tabs>
          <w:tab w:val="left" w:pos="682"/>
        </w:tabs>
        <w:jc w:val="both"/>
        <w:rPr>
          <w:i/>
          <w:sz w:val="16"/>
        </w:rPr>
      </w:pPr>
      <w:r>
        <w:rPr>
          <w:i/>
          <w:sz w:val="16"/>
        </w:rPr>
        <w:t>la enseñanza primaria de</w:t>
      </w:r>
      <w:r>
        <w:rPr>
          <w:i/>
          <w:sz w:val="16"/>
        </w:rPr>
        <w:t>be ser obligatoria y asequible a todos</w:t>
      </w:r>
      <w:r>
        <w:rPr>
          <w:i/>
          <w:spacing w:val="-9"/>
          <w:sz w:val="16"/>
        </w:rPr>
        <w:t xml:space="preserve"> </w:t>
      </w:r>
      <w:r>
        <w:rPr>
          <w:i/>
          <w:sz w:val="16"/>
        </w:rPr>
        <w:t>gratuitamente;</w:t>
      </w:r>
    </w:p>
    <w:p w14:paraId="20FBF8F9" w14:textId="77777777" w:rsidR="00467FCA" w:rsidRDefault="001B68EB">
      <w:pPr>
        <w:pStyle w:val="Prrafodelista"/>
        <w:numPr>
          <w:ilvl w:val="0"/>
          <w:numId w:val="13"/>
        </w:numPr>
        <w:tabs>
          <w:tab w:val="left" w:pos="694"/>
        </w:tabs>
        <w:ind w:left="470" w:right="393" w:firstLine="0"/>
        <w:jc w:val="both"/>
        <w:rPr>
          <w:i/>
          <w:sz w:val="16"/>
        </w:rPr>
      </w:pPr>
      <w:r>
        <w:rPr>
          <w:i/>
          <w:sz w:val="16"/>
        </w:rPr>
        <w:t>la enseñanza secundaria en sus diferentes formas, incluso la enseñanza secundaria técnica y profesional, debe ser generalizada y hacerse accesible a todos, por cuantos medios sean apropiados, y en parti</w:t>
      </w:r>
      <w:r>
        <w:rPr>
          <w:i/>
          <w:sz w:val="16"/>
        </w:rPr>
        <w:t>cular por la implantación progresiva de la enseñanza</w:t>
      </w:r>
      <w:r>
        <w:rPr>
          <w:i/>
          <w:spacing w:val="-6"/>
          <w:sz w:val="16"/>
        </w:rPr>
        <w:t xml:space="preserve"> </w:t>
      </w:r>
      <w:r>
        <w:rPr>
          <w:i/>
          <w:sz w:val="16"/>
        </w:rPr>
        <w:t>gratuita;</w:t>
      </w:r>
    </w:p>
    <w:p w14:paraId="7D8B34F5" w14:textId="77777777" w:rsidR="00467FCA" w:rsidRDefault="001B68EB">
      <w:pPr>
        <w:pStyle w:val="Prrafodelista"/>
        <w:numPr>
          <w:ilvl w:val="0"/>
          <w:numId w:val="13"/>
        </w:numPr>
        <w:tabs>
          <w:tab w:val="left" w:pos="665"/>
        </w:tabs>
        <w:ind w:left="470" w:right="394" w:firstLine="0"/>
        <w:jc w:val="both"/>
        <w:rPr>
          <w:i/>
          <w:sz w:val="16"/>
        </w:rPr>
      </w:pPr>
      <w:r>
        <w:rPr>
          <w:i/>
          <w:sz w:val="16"/>
        </w:rPr>
        <w:t>la</w:t>
      </w:r>
      <w:r>
        <w:rPr>
          <w:i/>
          <w:spacing w:val="-8"/>
          <w:sz w:val="16"/>
        </w:rPr>
        <w:t xml:space="preserve"> </w:t>
      </w:r>
      <w:r>
        <w:rPr>
          <w:i/>
          <w:sz w:val="16"/>
        </w:rPr>
        <w:t>enseñanza</w:t>
      </w:r>
      <w:r>
        <w:rPr>
          <w:i/>
          <w:spacing w:val="-8"/>
          <w:sz w:val="16"/>
        </w:rPr>
        <w:t xml:space="preserve"> </w:t>
      </w:r>
      <w:r>
        <w:rPr>
          <w:i/>
          <w:sz w:val="16"/>
        </w:rPr>
        <w:t>superior</w:t>
      </w:r>
      <w:r>
        <w:rPr>
          <w:i/>
          <w:spacing w:val="-8"/>
          <w:sz w:val="16"/>
        </w:rPr>
        <w:t xml:space="preserve"> </w:t>
      </w:r>
      <w:r>
        <w:rPr>
          <w:i/>
          <w:sz w:val="16"/>
        </w:rPr>
        <w:t>debe</w:t>
      </w:r>
      <w:r>
        <w:rPr>
          <w:i/>
          <w:spacing w:val="-10"/>
          <w:sz w:val="16"/>
        </w:rPr>
        <w:t xml:space="preserve"> </w:t>
      </w:r>
      <w:r>
        <w:rPr>
          <w:i/>
          <w:sz w:val="16"/>
        </w:rPr>
        <w:t>hacerse</w:t>
      </w:r>
      <w:r>
        <w:rPr>
          <w:i/>
          <w:spacing w:val="-6"/>
          <w:sz w:val="16"/>
        </w:rPr>
        <w:t xml:space="preserve"> </w:t>
      </w:r>
      <w:r>
        <w:rPr>
          <w:i/>
          <w:sz w:val="16"/>
        </w:rPr>
        <w:t>igualmente</w:t>
      </w:r>
      <w:r>
        <w:rPr>
          <w:i/>
          <w:spacing w:val="-7"/>
          <w:sz w:val="16"/>
        </w:rPr>
        <w:t xml:space="preserve"> </w:t>
      </w:r>
      <w:r>
        <w:rPr>
          <w:i/>
          <w:sz w:val="16"/>
        </w:rPr>
        <w:t>accesible</w:t>
      </w:r>
      <w:r>
        <w:rPr>
          <w:i/>
          <w:spacing w:val="-10"/>
          <w:sz w:val="16"/>
        </w:rPr>
        <w:t xml:space="preserve"> </w:t>
      </w:r>
      <w:r>
        <w:rPr>
          <w:i/>
          <w:sz w:val="16"/>
        </w:rPr>
        <w:t>a</w:t>
      </w:r>
      <w:r>
        <w:rPr>
          <w:i/>
          <w:spacing w:val="-5"/>
          <w:sz w:val="16"/>
        </w:rPr>
        <w:t xml:space="preserve"> </w:t>
      </w:r>
      <w:r>
        <w:rPr>
          <w:i/>
          <w:sz w:val="16"/>
        </w:rPr>
        <w:t>todos,</w:t>
      </w:r>
      <w:r>
        <w:rPr>
          <w:i/>
          <w:spacing w:val="-8"/>
          <w:sz w:val="16"/>
        </w:rPr>
        <w:t xml:space="preserve"> </w:t>
      </w:r>
      <w:r>
        <w:rPr>
          <w:i/>
          <w:sz w:val="16"/>
        </w:rPr>
        <w:t>sobre</w:t>
      </w:r>
      <w:r>
        <w:rPr>
          <w:i/>
          <w:spacing w:val="-6"/>
          <w:sz w:val="16"/>
        </w:rPr>
        <w:t xml:space="preserve"> </w:t>
      </w:r>
      <w:r>
        <w:rPr>
          <w:i/>
          <w:sz w:val="16"/>
        </w:rPr>
        <w:t>la</w:t>
      </w:r>
      <w:r>
        <w:rPr>
          <w:i/>
          <w:spacing w:val="-8"/>
          <w:sz w:val="16"/>
        </w:rPr>
        <w:t xml:space="preserve"> </w:t>
      </w:r>
      <w:r>
        <w:rPr>
          <w:i/>
          <w:sz w:val="16"/>
        </w:rPr>
        <w:t>base</w:t>
      </w:r>
      <w:r>
        <w:rPr>
          <w:i/>
          <w:spacing w:val="-7"/>
          <w:sz w:val="16"/>
        </w:rPr>
        <w:t xml:space="preserve"> </w:t>
      </w:r>
      <w:r>
        <w:rPr>
          <w:i/>
          <w:sz w:val="16"/>
        </w:rPr>
        <w:t>de</w:t>
      </w:r>
      <w:r>
        <w:rPr>
          <w:i/>
          <w:spacing w:val="-6"/>
          <w:sz w:val="16"/>
        </w:rPr>
        <w:t xml:space="preserve"> </w:t>
      </w:r>
      <w:r>
        <w:rPr>
          <w:i/>
          <w:sz w:val="16"/>
        </w:rPr>
        <w:t>la</w:t>
      </w:r>
      <w:r>
        <w:rPr>
          <w:i/>
          <w:spacing w:val="-6"/>
          <w:sz w:val="16"/>
        </w:rPr>
        <w:t xml:space="preserve"> </w:t>
      </w:r>
      <w:r>
        <w:rPr>
          <w:i/>
          <w:sz w:val="16"/>
        </w:rPr>
        <w:t>capacidad</w:t>
      </w:r>
      <w:r>
        <w:rPr>
          <w:i/>
          <w:spacing w:val="-8"/>
          <w:sz w:val="16"/>
        </w:rPr>
        <w:t xml:space="preserve"> </w:t>
      </w:r>
      <w:r>
        <w:rPr>
          <w:i/>
          <w:sz w:val="16"/>
        </w:rPr>
        <w:t>de</w:t>
      </w:r>
      <w:r>
        <w:rPr>
          <w:i/>
          <w:spacing w:val="-7"/>
          <w:sz w:val="16"/>
        </w:rPr>
        <w:t xml:space="preserve"> </w:t>
      </w:r>
      <w:r>
        <w:rPr>
          <w:i/>
          <w:sz w:val="16"/>
        </w:rPr>
        <w:t>cada</w:t>
      </w:r>
      <w:r>
        <w:rPr>
          <w:i/>
          <w:spacing w:val="-8"/>
          <w:sz w:val="16"/>
        </w:rPr>
        <w:t xml:space="preserve"> </w:t>
      </w:r>
      <w:r>
        <w:rPr>
          <w:i/>
          <w:sz w:val="16"/>
        </w:rPr>
        <w:t>uno,</w:t>
      </w:r>
      <w:r>
        <w:rPr>
          <w:i/>
          <w:spacing w:val="-7"/>
          <w:sz w:val="16"/>
        </w:rPr>
        <w:t xml:space="preserve"> </w:t>
      </w:r>
      <w:r>
        <w:rPr>
          <w:i/>
          <w:sz w:val="16"/>
        </w:rPr>
        <w:t xml:space="preserve">por </w:t>
      </w:r>
      <w:r>
        <w:rPr>
          <w:i/>
          <w:sz w:val="16"/>
        </w:rPr>
        <w:t>cuantos medios sean apropiados y en particular, por la implantación progresiva de la enseñanza</w:t>
      </w:r>
      <w:r>
        <w:rPr>
          <w:i/>
          <w:spacing w:val="-22"/>
          <w:sz w:val="16"/>
        </w:rPr>
        <w:t xml:space="preserve"> </w:t>
      </w:r>
      <w:r>
        <w:rPr>
          <w:i/>
          <w:sz w:val="16"/>
        </w:rPr>
        <w:t>gratuita;</w:t>
      </w:r>
    </w:p>
    <w:p w14:paraId="607B864D" w14:textId="77777777" w:rsidR="00467FCA" w:rsidRDefault="001B68EB">
      <w:pPr>
        <w:pStyle w:val="Prrafodelista"/>
        <w:numPr>
          <w:ilvl w:val="0"/>
          <w:numId w:val="13"/>
        </w:numPr>
        <w:tabs>
          <w:tab w:val="left" w:pos="684"/>
        </w:tabs>
        <w:ind w:left="470" w:right="395" w:firstLine="0"/>
        <w:jc w:val="both"/>
        <w:rPr>
          <w:i/>
          <w:sz w:val="16"/>
        </w:rPr>
      </w:pPr>
      <w:r>
        <w:rPr>
          <w:i/>
          <w:sz w:val="16"/>
        </w:rPr>
        <w:t>se</w:t>
      </w:r>
      <w:r>
        <w:rPr>
          <w:i/>
          <w:spacing w:val="-2"/>
          <w:sz w:val="16"/>
        </w:rPr>
        <w:t xml:space="preserve"> </w:t>
      </w:r>
      <w:r>
        <w:rPr>
          <w:i/>
          <w:sz w:val="16"/>
        </w:rPr>
        <w:t>deberá</w:t>
      </w:r>
      <w:r>
        <w:rPr>
          <w:i/>
          <w:spacing w:val="-6"/>
          <w:sz w:val="16"/>
        </w:rPr>
        <w:t xml:space="preserve"> </w:t>
      </w:r>
      <w:r>
        <w:rPr>
          <w:i/>
          <w:sz w:val="16"/>
        </w:rPr>
        <w:t>fomentar</w:t>
      </w:r>
      <w:r>
        <w:rPr>
          <w:i/>
          <w:spacing w:val="-2"/>
          <w:sz w:val="16"/>
        </w:rPr>
        <w:t xml:space="preserve"> </w:t>
      </w:r>
      <w:r>
        <w:rPr>
          <w:i/>
          <w:sz w:val="16"/>
        </w:rPr>
        <w:t>o</w:t>
      </w:r>
      <w:r>
        <w:rPr>
          <w:i/>
          <w:spacing w:val="-2"/>
          <w:sz w:val="16"/>
        </w:rPr>
        <w:t xml:space="preserve"> </w:t>
      </w:r>
      <w:r>
        <w:rPr>
          <w:i/>
          <w:sz w:val="16"/>
        </w:rPr>
        <w:t>intensificar,</w:t>
      </w:r>
      <w:r>
        <w:rPr>
          <w:i/>
          <w:spacing w:val="-2"/>
          <w:sz w:val="16"/>
        </w:rPr>
        <w:t xml:space="preserve"> </w:t>
      </w:r>
      <w:r>
        <w:rPr>
          <w:i/>
          <w:sz w:val="16"/>
        </w:rPr>
        <w:t>en</w:t>
      </w:r>
      <w:r>
        <w:rPr>
          <w:i/>
          <w:spacing w:val="-3"/>
          <w:sz w:val="16"/>
        </w:rPr>
        <w:t xml:space="preserve"> </w:t>
      </w:r>
      <w:r>
        <w:rPr>
          <w:i/>
          <w:sz w:val="16"/>
        </w:rPr>
        <w:t>la</w:t>
      </w:r>
      <w:r>
        <w:rPr>
          <w:i/>
          <w:spacing w:val="-3"/>
          <w:sz w:val="16"/>
        </w:rPr>
        <w:t xml:space="preserve"> </w:t>
      </w:r>
      <w:r>
        <w:rPr>
          <w:i/>
          <w:sz w:val="16"/>
        </w:rPr>
        <w:t>medida</w:t>
      </w:r>
      <w:r>
        <w:rPr>
          <w:i/>
          <w:spacing w:val="-3"/>
          <w:sz w:val="16"/>
        </w:rPr>
        <w:t xml:space="preserve"> </w:t>
      </w:r>
      <w:r>
        <w:rPr>
          <w:i/>
          <w:sz w:val="16"/>
        </w:rPr>
        <w:t>de</w:t>
      </w:r>
      <w:r>
        <w:rPr>
          <w:i/>
          <w:spacing w:val="-2"/>
          <w:sz w:val="16"/>
        </w:rPr>
        <w:t xml:space="preserve"> </w:t>
      </w:r>
      <w:r>
        <w:rPr>
          <w:i/>
          <w:sz w:val="16"/>
        </w:rPr>
        <w:t>lo</w:t>
      </w:r>
      <w:r>
        <w:rPr>
          <w:i/>
          <w:spacing w:val="-3"/>
          <w:sz w:val="16"/>
        </w:rPr>
        <w:t xml:space="preserve"> </w:t>
      </w:r>
      <w:r>
        <w:rPr>
          <w:i/>
          <w:sz w:val="16"/>
        </w:rPr>
        <w:t>posible,</w:t>
      </w:r>
      <w:r>
        <w:rPr>
          <w:i/>
          <w:spacing w:val="-3"/>
          <w:sz w:val="16"/>
        </w:rPr>
        <w:t xml:space="preserve"> </w:t>
      </w:r>
      <w:r>
        <w:rPr>
          <w:i/>
          <w:sz w:val="16"/>
        </w:rPr>
        <w:t>la</w:t>
      </w:r>
      <w:r>
        <w:rPr>
          <w:i/>
          <w:spacing w:val="-3"/>
          <w:sz w:val="16"/>
        </w:rPr>
        <w:t xml:space="preserve"> </w:t>
      </w:r>
      <w:r>
        <w:rPr>
          <w:i/>
          <w:sz w:val="16"/>
        </w:rPr>
        <w:t>educación</w:t>
      </w:r>
      <w:r>
        <w:rPr>
          <w:i/>
          <w:spacing w:val="-6"/>
          <w:sz w:val="16"/>
        </w:rPr>
        <w:t xml:space="preserve"> </w:t>
      </w:r>
      <w:r>
        <w:rPr>
          <w:i/>
          <w:sz w:val="16"/>
        </w:rPr>
        <w:t>básica</w:t>
      </w:r>
      <w:r>
        <w:rPr>
          <w:i/>
          <w:spacing w:val="-2"/>
          <w:sz w:val="16"/>
        </w:rPr>
        <w:t xml:space="preserve"> </w:t>
      </w:r>
      <w:r>
        <w:rPr>
          <w:i/>
          <w:sz w:val="16"/>
        </w:rPr>
        <w:t>para</w:t>
      </w:r>
      <w:r>
        <w:rPr>
          <w:i/>
          <w:spacing w:val="-6"/>
          <w:sz w:val="16"/>
        </w:rPr>
        <w:t xml:space="preserve"> </w:t>
      </w:r>
      <w:r>
        <w:rPr>
          <w:i/>
          <w:sz w:val="16"/>
        </w:rPr>
        <w:t>aquellas</w:t>
      </w:r>
      <w:r>
        <w:rPr>
          <w:i/>
          <w:spacing w:val="-2"/>
          <w:sz w:val="16"/>
        </w:rPr>
        <w:t xml:space="preserve"> </w:t>
      </w:r>
      <w:r>
        <w:rPr>
          <w:i/>
          <w:sz w:val="16"/>
        </w:rPr>
        <w:t>personas</w:t>
      </w:r>
      <w:r>
        <w:rPr>
          <w:i/>
          <w:spacing w:val="-5"/>
          <w:sz w:val="16"/>
        </w:rPr>
        <w:t xml:space="preserve"> </w:t>
      </w:r>
      <w:r>
        <w:rPr>
          <w:i/>
          <w:sz w:val="16"/>
        </w:rPr>
        <w:t>que</w:t>
      </w:r>
      <w:r>
        <w:rPr>
          <w:i/>
          <w:spacing w:val="-2"/>
          <w:sz w:val="16"/>
        </w:rPr>
        <w:t xml:space="preserve"> </w:t>
      </w:r>
      <w:r>
        <w:rPr>
          <w:i/>
          <w:sz w:val="16"/>
        </w:rPr>
        <w:t>no hayan recibido o terminado el ciclo co</w:t>
      </w:r>
      <w:r>
        <w:rPr>
          <w:i/>
          <w:sz w:val="16"/>
        </w:rPr>
        <w:t>mpleto de instrucción</w:t>
      </w:r>
      <w:r>
        <w:rPr>
          <w:i/>
          <w:spacing w:val="-7"/>
          <w:sz w:val="16"/>
        </w:rPr>
        <w:t xml:space="preserve"> </w:t>
      </w:r>
      <w:r>
        <w:rPr>
          <w:i/>
          <w:sz w:val="16"/>
        </w:rPr>
        <w:t>primaria;</w:t>
      </w:r>
    </w:p>
    <w:p w14:paraId="7DDC1601" w14:textId="77777777" w:rsidR="00467FCA" w:rsidRDefault="001B68EB">
      <w:pPr>
        <w:pStyle w:val="Prrafodelista"/>
        <w:numPr>
          <w:ilvl w:val="0"/>
          <w:numId w:val="13"/>
        </w:numPr>
        <w:tabs>
          <w:tab w:val="left" w:pos="701"/>
        </w:tabs>
        <w:ind w:left="470" w:right="396" w:firstLine="0"/>
        <w:jc w:val="both"/>
        <w:rPr>
          <w:i/>
          <w:sz w:val="16"/>
        </w:rPr>
      </w:pPr>
      <w:r>
        <w:rPr>
          <w:i/>
          <w:sz w:val="16"/>
        </w:rPr>
        <w:t>se deberán establecer programas de enseñanza diferenciada para los minusválidos a fin de proporcionar una especial instrucción y formación a personas con impedimentos físicos o deficiencias</w:t>
      </w:r>
      <w:r>
        <w:rPr>
          <w:i/>
          <w:spacing w:val="-15"/>
          <w:sz w:val="16"/>
        </w:rPr>
        <w:t xml:space="preserve"> </w:t>
      </w:r>
      <w:r>
        <w:rPr>
          <w:i/>
          <w:sz w:val="16"/>
        </w:rPr>
        <w:t>mentales.</w:t>
      </w:r>
    </w:p>
    <w:p w14:paraId="7F4522FD" w14:textId="77777777" w:rsidR="00467FCA" w:rsidRDefault="001B68EB">
      <w:pPr>
        <w:pStyle w:val="Prrafodelista"/>
        <w:numPr>
          <w:ilvl w:val="0"/>
          <w:numId w:val="14"/>
        </w:numPr>
        <w:tabs>
          <w:tab w:val="left" w:pos="716"/>
        </w:tabs>
        <w:ind w:right="393" w:firstLine="0"/>
        <w:jc w:val="both"/>
        <w:rPr>
          <w:i/>
          <w:sz w:val="16"/>
        </w:rPr>
      </w:pPr>
      <w:r>
        <w:rPr>
          <w:i/>
          <w:sz w:val="16"/>
        </w:rPr>
        <w:t>Conforme con la legislac</w:t>
      </w:r>
      <w:r>
        <w:rPr>
          <w:i/>
          <w:sz w:val="16"/>
        </w:rPr>
        <w:t>ión interna de los Estados partes, los padres tendrán derecho a escoger el tipo de educación</w:t>
      </w:r>
      <w:r>
        <w:rPr>
          <w:i/>
          <w:spacing w:val="-11"/>
          <w:sz w:val="16"/>
        </w:rPr>
        <w:t xml:space="preserve"> </w:t>
      </w:r>
      <w:r>
        <w:rPr>
          <w:i/>
          <w:sz w:val="16"/>
        </w:rPr>
        <w:t>que</w:t>
      </w:r>
      <w:r>
        <w:rPr>
          <w:i/>
          <w:spacing w:val="-7"/>
          <w:sz w:val="16"/>
        </w:rPr>
        <w:t xml:space="preserve"> </w:t>
      </w:r>
      <w:r>
        <w:rPr>
          <w:i/>
          <w:sz w:val="16"/>
        </w:rPr>
        <w:t>habrá</w:t>
      </w:r>
      <w:r>
        <w:rPr>
          <w:i/>
          <w:spacing w:val="-7"/>
          <w:sz w:val="16"/>
        </w:rPr>
        <w:t xml:space="preserve"> </w:t>
      </w:r>
      <w:r>
        <w:rPr>
          <w:i/>
          <w:sz w:val="16"/>
        </w:rPr>
        <w:t>de</w:t>
      </w:r>
      <w:r>
        <w:rPr>
          <w:i/>
          <w:spacing w:val="-7"/>
          <w:sz w:val="16"/>
        </w:rPr>
        <w:t xml:space="preserve"> </w:t>
      </w:r>
      <w:r>
        <w:rPr>
          <w:i/>
          <w:sz w:val="16"/>
        </w:rPr>
        <w:t>darse</w:t>
      </w:r>
      <w:r>
        <w:rPr>
          <w:i/>
          <w:spacing w:val="-10"/>
          <w:sz w:val="16"/>
        </w:rPr>
        <w:t xml:space="preserve"> </w:t>
      </w:r>
      <w:r>
        <w:rPr>
          <w:i/>
          <w:sz w:val="16"/>
        </w:rPr>
        <w:t>a</w:t>
      </w:r>
      <w:r>
        <w:rPr>
          <w:i/>
          <w:spacing w:val="-7"/>
          <w:sz w:val="16"/>
        </w:rPr>
        <w:t xml:space="preserve"> </w:t>
      </w:r>
      <w:r>
        <w:rPr>
          <w:i/>
          <w:sz w:val="16"/>
        </w:rPr>
        <w:t>sus</w:t>
      </w:r>
      <w:r>
        <w:rPr>
          <w:i/>
          <w:spacing w:val="-7"/>
          <w:sz w:val="16"/>
        </w:rPr>
        <w:t xml:space="preserve"> </w:t>
      </w:r>
      <w:r>
        <w:rPr>
          <w:i/>
          <w:sz w:val="16"/>
        </w:rPr>
        <w:t>hijos,</w:t>
      </w:r>
      <w:r>
        <w:rPr>
          <w:i/>
          <w:spacing w:val="-8"/>
          <w:sz w:val="16"/>
        </w:rPr>
        <w:t xml:space="preserve"> </w:t>
      </w:r>
      <w:r>
        <w:rPr>
          <w:i/>
          <w:sz w:val="16"/>
        </w:rPr>
        <w:t>siempre</w:t>
      </w:r>
      <w:r>
        <w:rPr>
          <w:i/>
          <w:spacing w:val="-7"/>
          <w:sz w:val="16"/>
        </w:rPr>
        <w:t xml:space="preserve"> </w:t>
      </w:r>
      <w:r>
        <w:rPr>
          <w:i/>
          <w:sz w:val="16"/>
        </w:rPr>
        <w:t>que</w:t>
      </w:r>
      <w:r>
        <w:rPr>
          <w:i/>
          <w:spacing w:val="-8"/>
          <w:sz w:val="16"/>
        </w:rPr>
        <w:t xml:space="preserve"> </w:t>
      </w:r>
      <w:r>
        <w:rPr>
          <w:i/>
          <w:sz w:val="16"/>
        </w:rPr>
        <w:t>ella</w:t>
      </w:r>
      <w:r>
        <w:rPr>
          <w:i/>
          <w:spacing w:val="-8"/>
          <w:sz w:val="16"/>
        </w:rPr>
        <w:t xml:space="preserve"> </w:t>
      </w:r>
      <w:r>
        <w:rPr>
          <w:i/>
          <w:sz w:val="16"/>
        </w:rPr>
        <w:t>se</w:t>
      </w:r>
      <w:r>
        <w:rPr>
          <w:i/>
          <w:spacing w:val="-7"/>
          <w:sz w:val="16"/>
        </w:rPr>
        <w:t xml:space="preserve"> </w:t>
      </w:r>
      <w:r>
        <w:rPr>
          <w:i/>
          <w:sz w:val="16"/>
        </w:rPr>
        <w:t>adecue</w:t>
      </w:r>
      <w:r>
        <w:rPr>
          <w:i/>
          <w:spacing w:val="-9"/>
          <w:sz w:val="16"/>
        </w:rPr>
        <w:t xml:space="preserve"> </w:t>
      </w:r>
      <w:r>
        <w:rPr>
          <w:i/>
          <w:sz w:val="16"/>
        </w:rPr>
        <w:t>a</w:t>
      </w:r>
      <w:r>
        <w:rPr>
          <w:i/>
          <w:spacing w:val="-8"/>
          <w:sz w:val="16"/>
        </w:rPr>
        <w:t xml:space="preserve"> </w:t>
      </w:r>
      <w:r>
        <w:rPr>
          <w:i/>
          <w:sz w:val="16"/>
        </w:rPr>
        <w:t>los</w:t>
      </w:r>
      <w:r>
        <w:rPr>
          <w:i/>
          <w:spacing w:val="-10"/>
          <w:sz w:val="16"/>
        </w:rPr>
        <w:t xml:space="preserve"> </w:t>
      </w:r>
      <w:r>
        <w:rPr>
          <w:i/>
          <w:sz w:val="16"/>
        </w:rPr>
        <w:t>principios</w:t>
      </w:r>
      <w:r>
        <w:rPr>
          <w:i/>
          <w:spacing w:val="-6"/>
          <w:sz w:val="16"/>
        </w:rPr>
        <w:t xml:space="preserve"> </w:t>
      </w:r>
      <w:r>
        <w:rPr>
          <w:i/>
          <w:sz w:val="16"/>
        </w:rPr>
        <w:t>enunciados</w:t>
      </w:r>
      <w:r>
        <w:rPr>
          <w:i/>
          <w:spacing w:val="-10"/>
          <w:sz w:val="16"/>
        </w:rPr>
        <w:t xml:space="preserve"> </w:t>
      </w:r>
      <w:r>
        <w:rPr>
          <w:i/>
          <w:sz w:val="16"/>
        </w:rPr>
        <w:t>precedentemente.</w:t>
      </w:r>
    </w:p>
    <w:p w14:paraId="1A5C4337" w14:textId="77777777" w:rsidR="00467FCA" w:rsidRDefault="001B68EB">
      <w:pPr>
        <w:pStyle w:val="Prrafodelista"/>
        <w:numPr>
          <w:ilvl w:val="0"/>
          <w:numId w:val="14"/>
        </w:numPr>
        <w:tabs>
          <w:tab w:val="left" w:pos="696"/>
        </w:tabs>
        <w:spacing w:before="1"/>
        <w:ind w:right="396" w:firstLine="0"/>
        <w:jc w:val="both"/>
        <w:rPr>
          <w:sz w:val="16"/>
        </w:rPr>
      </w:pPr>
      <w:r>
        <w:rPr>
          <w:i/>
          <w:sz w:val="16"/>
        </w:rPr>
        <w:t>Nada de lo dispuesto en este Protocolo se interpretará como una restricción de la libertad de los particulares y entidades para establecer y dirigir instituciones de enseñanza, de acuerdo con la legislación interna de los Estados partes</w:t>
      </w:r>
      <w:r>
        <w:rPr>
          <w:sz w:val="16"/>
        </w:rPr>
        <w:t>.”</w:t>
      </w:r>
    </w:p>
    <w:p w14:paraId="608B5FD5" w14:textId="77777777" w:rsidR="00467FCA" w:rsidRDefault="00467FCA">
      <w:pPr>
        <w:jc w:val="both"/>
        <w:rPr>
          <w:sz w:val="16"/>
        </w:rPr>
        <w:sectPr w:rsidR="00467FCA">
          <w:pgSz w:w="12240" w:h="15840"/>
          <w:pgMar w:top="1500" w:right="1140" w:bottom="1200" w:left="960" w:header="0" w:footer="1002" w:gutter="0"/>
          <w:cols w:space="720"/>
        </w:sectPr>
      </w:pPr>
    </w:p>
    <w:p w14:paraId="5DE859D3" w14:textId="77777777" w:rsidR="00467FCA" w:rsidRDefault="001B68EB">
      <w:pPr>
        <w:pStyle w:val="Prrafodelista"/>
        <w:numPr>
          <w:ilvl w:val="0"/>
          <w:numId w:val="12"/>
        </w:numPr>
        <w:tabs>
          <w:tab w:val="left" w:pos="1450"/>
        </w:tabs>
        <w:spacing w:before="76" w:line="276" w:lineRule="auto"/>
        <w:ind w:right="395" w:firstLine="0"/>
        <w:jc w:val="both"/>
        <w:rPr>
          <w:sz w:val="20"/>
        </w:rPr>
      </w:pPr>
      <w:r>
        <w:rPr>
          <w:sz w:val="20"/>
        </w:rPr>
        <w:t>Lo</w:t>
      </w:r>
      <w:r>
        <w:rPr>
          <w:spacing w:val="-12"/>
          <w:sz w:val="20"/>
        </w:rPr>
        <w:t xml:space="preserve"> </w:t>
      </w:r>
      <w:r>
        <w:rPr>
          <w:sz w:val="20"/>
        </w:rPr>
        <w:t>indicado</w:t>
      </w:r>
      <w:r>
        <w:rPr>
          <w:spacing w:val="-12"/>
          <w:sz w:val="20"/>
        </w:rPr>
        <w:t xml:space="preserve"> </w:t>
      </w:r>
      <w:r>
        <w:rPr>
          <w:sz w:val="20"/>
        </w:rPr>
        <w:t>precedentemente</w:t>
      </w:r>
      <w:r>
        <w:rPr>
          <w:spacing w:val="-12"/>
          <w:sz w:val="20"/>
        </w:rPr>
        <w:t xml:space="preserve"> </w:t>
      </w:r>
      <w:r>
        <w:rPr>
          <w:sz w:val="20"/>
        </w:rPr>
        <w:t>implica</w:t>
      </w:r>
      <w:r>
        <w:rPr>
          <w:spacing w:val="-11"/>
          <w:sz w:val="20"/>
        </w:rPr>
        <w:t xml:space="preserve"> </w:t>
      </w:r>
      <w:r>
        <w:rPr>
          <w:sz w:val="20"/>
        </w:rPr>
        <w:t>que,</w:t>
      </w:r>
      <w:r>
        <w:rPr>
          <w:spacing w:val="-12"/>
          <w:sz w:val="20"/>
        </w:rPr>
        <w:t xml:space="preserve"> </w:t>
      </w:r>
      <w:r>
        <w:rPr>
          <w:sz w:val="20"/>
        </w:rPr>
        <w:t>únicamente</w:t>
      </w:r>
      <w:r>
        <w:rPr>
          <w:spacing w:val="-12"/>
          <w:sz w:val="20"/>
        </w:rPr>
        <w:t xml:space="preserve"> </w:t>
      </w:r>
      <w:r>
        <w:rPr>
          <w:sz w:val="20"/>
        </w:rPr>
        <w:t>en</w:t>
      </w:r>
      <w:r>
        <w:rPr>
          <w:spacing w:val="-8"/>
          <w:sz w:val="20"/>
        </w:rPr>
        <w:t xml:space="preserve"> </w:t>
      </w:r>
      <w:r>
        <w:rPr>
          <w:sz w:val="20"/>
        </w:rPr>
        <w:t>el</w:t>
      </w:r>
      <w:r>
        <w:rPr>
          <w:spacing w:val="-11"/>
          <w:sz w:val="20"/>
        </w:rPr>
        <w:t xml:space="preserve"> </w:t>
      </w:r>
      <w:r>
        <w:rPr>
          <w:sz w:val="20"/>
        </w:rPr>
        <w:t>evento</w:t>
      </w:r>
      <w:r>
        <w:rPr>
          <w:spacing w:val="-11"/>
          <w:sz w:val="20"/>
        </w:rPr>
        <w:t xml:space="preserve"> </w:t>
      </w:r>
      <w:r>
        <w:rPr>
          <w:sz w:val="20"/>
        </w:rPr>
        <w:t>de</w:t>
      </w:r>
      <w:r>
        <w:rPr>
          <w:spacing w:val="-10"/>
          <w:sz w:val="20"/>
        </w:rPr>
        <w:t xml:space="preserve"> </w:t>
      </w:r>
      <w:r>
        <w:rPr>
          <w:sz w:val="20"/>
        </w:rPr>
        <w:t>violación</w:t>
      </w:r>
      <w:r>
        <w:rPr>
          <w:spacing w:val="-13"/>
          <w:sz w:val="20"/>
        </w:rPr>
        <w:t xml:space="preserve"> </w:t>
      </w:r>
      <w:r>
        <w:rPr>
          <w:sz w:val="20"/>
        </w:rPr>
        <w:t>de los derechos referidos a los sindicatos y a la educación, los pertinentes casos pueden ser justiciables ante la Corte. Respecto de la violación de los demás derechos, entre los q</w:t>
      </w:r>
      <w:r>
        <w:rPr>
          <w:sz w:val="20"/>
        </w:rPr>
        <w:t>ue estaría el derecho a condiciones equitativas y satisfactorias que garanticen la seguridad, la salud y la higiene en el trabajo, opera, por el contrario, sólo el sistema de informes establecido en el artículo 19 del</w:t>
      </w:r>
      <w:r>
        <w:rPr>
          <w:spacing w:val="-5"/>
          <w:sz w:val="20"/>
        </w:rPr>
        <w:t xml:space="preserve"> </w:t>
      </w:r>
      <w:r>
        <w:rPr>
          <w:sz w:val="20"/>
        </w:rPr>
        <w:t>Protocolo.</w:t>
      </w:r>
    </w:p>
    <w:p w14:paraId="35CADFA0" w14:textId="77777777" w:rsidR="00467FCA" w:rsidRDefault="00467FCA">
      <w:pPr>
        <w:pStyle w:val="Textoindependiente"/>
        <w:spacing w:before="2"/>
        <w:rPr>
          <w:sz w:val="23"/>
        </w:rPr>
      </w:pPr>
    </w:p>
    <w:p w14:paraId="42F1CD26" w14:textId="77777777" w:rsidR="00467FCA" w:rsidRDefault="001B68EB">
      <w:pPr>
        <w:pStyle w:val="Prrafodelista"/>
        <w:numPr>
          <w:ilvl w:val="0"/>
          <w:numId w:val="12"/>
        </w:numPr>
        <w:tabs>
          <w:tab w:val="left" w:pos="1450"/>
        </w:tabs>
        <w:spacing w:line="276" w:lineRule="auto"/>
        <w:ind w:right="397" w:firstLine="0"/>
        <w:jc w:val="both"/>
        <w:rPr>
          <w:sz w:val="20"/>
        </w:rPr>
      </w:pPr>
      <w:r>
        <w:rPr>
          <w:sz w:val="20"/>
        </w:rPr>
        <w:t>Por ende, el Protocolo es una enmienda a la Convención. Así se desprende de su propio texto, al considerarse como Protocolo, figura expresamente prevista en aquella</w:t>
      </w:r>
      <w:hyperlink w:anchor="_bookmark637" w:history="1">
        <w:r>
          <w:rPr>
            <w:position w:val="7"/>
            <w:sz w:val="13"/>
          </w:rPr>
          <w:t>89</w:t>
        </w:r>
      </w:hyperlink>
      <w:r>
        <w:rPr>
          <w:sz w:val="20"/>
        </w:rPr>
        <w:t>. Procede resaltar el hecho de que, en su Preámbulo, se de</w:t>
      </w:r>
      <w:r>
        <w:rPr>
          <w:sz w:val="20"/>
        </w:rPr>
        <w:t>ja constancia de que se adopta considerando</w:t>
      </w:r>
      <w:r>
        <w:rPr>
          <w:spacing w:val="-19"/>
          <w:sz w:val="20"/>
        </w:rPr>
        <w:t xml:space="preserve"> </w:t>
      </w:r>
      <w:r>
        <w:rPr>
          <w:sz w:val="20"/>
        </w:rPr>
        <w:t>que</w:t>
      </w:r>
      <w:r>
        <w:rPr>
          <w:spacing w:val="-18"/>
          <w:sz w:val="20"/>
        </w:rPr>
        <w:t xml:space="preserve"> </w:t>
      </w:r>
      <w:r>
        <w:rPr>
          <w:sz w:val="20"/>
        </w:rPr>
        <w:t>la</w:t>
      </w:r>
      <w:r>
        <w:rPr>
          <w:spacing w:val="-17"/>
          <w:sz w:val="20"/>
        </w:rPr>
        <w:t xml:space="preserve"> </w:t>
      </w:r>
      <w:r>
        <w:rPr>
          <w:sz w:val="20"/>
        </w:rPr>
        <w:t>Convención</w:t>
      </w:r>
      <w:r>
        <w:rPr>
          <w:spacing w:val="-19"/>
          <w:sz w:val="20"/>
        </w:rPr>
        <w:t xml:space="preserve"> </w:t>
      </w:r>
      <w:r>
        <w:rPr>
          <w:sz w:val="20"/>
        </w:rPr>
        <w:t>contempla</w:t>
      </w:r>
      <w:r>
        <w:rPr>
          <w:spacing w:val="-16"/>
          <w:sz w:val="20"/>
        </w:rPr>
        <w:t xml:space="preserve"> </w:t>
      </w:r>
      <w:r>
        <w:rPr>
          <w:sz w:val="20"/>
        </w:rPr>
        <w:t>esa</w:t>
      </w:r>
      <w:r>
        <w:rPr>
          <w:spacing w:val="-17"/>
          <w:sz w:val="20"/>
        </w:rPr>
        <w:t xml:space="preserve"> </w:t>
      </w:r>
      <w:r>
        <w:rPr>
          <w:sz w:val="20"/>
        </w:rPr>
        <w:t>posibilidad</w:t>
      </w:r>
      <w:hyperlink w:anchor="_bookmark638" w:history="1">
        <w:r>
          <w:rPr>
            <w:position w:val="7"/>
            <w:sz w:val="13"/>
          </w:rPr>
          <w:t>90</w:t>
        </w:r>
      </w:hyperlink>
      <w:r>
        <w:rPr>
          <w:sz w:val="20"/>
        </w:rPr>
        <w:t>.</w:t>
      </w:r>
      <w:r>
        <w:rPr>
          <w:spacing w:val="-20"/>
          <w:sz w:val="20"/>
        </w:rPr>
        <w:t xml:space="preserve"> </w:t>
      </w:r>
      <w:r>
        <w:rPr>
          <w:sz w:val="20"/>
        </w:rPr>
        <w:t>Se</w:t>
      </w:r>
      <w:r>
        <w:rPr>
          <w:spacing w:val="-19"/>
          <w:sz w:val="20"/>
        </w:rPr>
        <w:t xml:space="preserve"> </w:t>
      </w:r>
      <w:r>
        <w:rPr>
          <w:sz w:val="20"/>
        </w:rPr>
        <w:t>trata,</w:t>
      </w:r>
      <w:r>
        <w:rPr>
          <w:spacing w:val="-17"/>
          <w:sz w:val="20"/>
        </w:rPr>
        <w:t xml:space="preserve"> </w:t>
      </w:r>
      <w:r>
        <w:rPr>
          <w:sz w:val="20"/>
        </w:rPr>
        <w:t>pues,</w:t>
      </w:r>
      <w:r>
        <w:rPr>
          <w:spacing w:val="-20"/>
          <w:sz w:val="20"/>
        </w:rPr>
        <w:t xml:space="preserve"> </w:t>
      </w:r>
      <w:r>
        <w:rPr>
          <w:sz w:val="20"/>
        </w:rPr>
        <w:t>de</w:t>
      </w:r>
      <w:r>
        <w:rPr>
          <w:spacing w:val="-18"/>
          <w:sz w:val="20"/>
        </w:rPr>
        <w:t xml:space="preserve"> </w:t>
      </w:r>
      <w:r>
        <w:rPr>
          <w:sz w:val="20"/>
        </w:rPr>
        <w:t>un</w:t>
      </w:r>
      <w:r>
        <w:rPr>
          <w:spacing w:val="-19"/>
          <w:sz w:val="20"/>
        </w:rPr>
        <w:t xml:space="preserve"> </w:t>
      </w:r>
      <w:r>
        <w:rPr>
          <w:sz w:val="20"/>
        </w:rPr>
        <w:t>“</w:t>
      </w:r>
      <w:r>
        <w:rPr>
          <w:i/>
          <w:sz w:val="20"/>
        </w:rPr>
        <w:t>protocolo adicional</w:t>
      </w:r>
      <w:r>
        <w:rPr>
          <w:sz w:val="20"/>
        </w:rPr>
        <w:t>” a ella suscrito “</w:t>
      </w:r>
      <w:r>
        <w:rPr>
          <w:i/>
          <w:sz w:val="20"/>
        </w:rPr>
        <w:t xml:space="preserve">con la finalidad de incluir progresivamente en el régimen de protección </w:t>
      </w:r>
      <w:r>
        <w:rPr>
          <w:i/>
          <w:sz w:val="20"/>
        </w:rPr>
        <w:t>de la misma otros derechos y libertades</w:t>
      </w:r>
      <w:r>
        <w:rPr>
          <w:sz w:val="20"/>
        </w:rPr>
        <w:t>”, los que, por tanto, no los</w:t>
      </w:r>
      <w:r>
        <w:rPr>
          <w:spacing w:val="-26"/>
          <w:sz w:val="20"/>
        </w:rPr>
        <w:t xml:space="preserve"> </w:t>
      </w:r>
      <w:r>
        <w:rPr>
          <w:sz w:val="20"/>
        </w:rPr>
        <w:t>incluía.</w:t>
      </w:r>
    </w:p>
    <w:p w14:paraId="51580458" w14:textId="77777777" w:rsidR="00467FCA" w:rsidRDefault="00467FCA">
      <w:pPr>
        <w:pStyle w:val="Textoindependiente"/>
        <w:spacing w:before="2"/>
        <w:rPr>
          <w:sz w:val="22"/>
        </w:rPr>
      </w:pPr>
    </w:p>
    <w:p w14:paraId="38AB8022" w14:textId="77777777" w:rsidR="00467FCA" w:rsidRDefault="001B68EB">
      <w:pPr>
        <w:pStyle w:val="Prrafodelista"/>
        <w:numPr>
          <w:ilvl w:val="0"/>
          <w:numId w:val="12"/>
        </w:numPr>
        <w:tabs>
          <w:tab w:val="left" w:pos="1450"/>
        </w:tabs>
        <w:ind w:left="1449"/>
        <w:jc w:val="both"/>
        <w:rPr>
          <w:sz w:val="20"/>
        </w:rPr>
      </w:pPr>
      <w:r>
        <w:rPr>
          <w:sz w:val="20"/>
        </w:rPr>
        <w:t>De</w:t>
      </w:r>
      <w:r>
        <w:rPr>
          <w:spacing w:val="8"/>
          <w:sz w:val="20"/>
        </w:rPr>
        <w:t xml:space="preserve"> </w:t>
      </w:r>
      <w:r>
        <w:rPr>
          <w:sz w:val="20"/>
        </w:rPr>
        <w:t>manera,</w:t>
      </w:r>
      <w:r>
        <w:rPr>
          <w:spacing w:val="11"/>
          <w:sz w:val="20"/>
        </w:rPr>
        <w:t xml:space="preserve"> </w:t>
      </w:r>
      <w:r>
        <w:rPr>
          <w:sz w:val="20"/>
        </w:rPr>
        <w:t>en</w:t>
      </w:r>
      <w:r>
        <w:rPr>
          <w:spacing w:val="12"/>
          <w:sz w:val="20"/>
        </w:rPr>
        <w:t xml:space="preserve"> </w:t>
      </w:r>
      <w:r>
        <w:rPr>
          <w:sz w:val="20"/>
        </w:rPr>
        <w:t>consecuencia,</w:t>
      </w:r>
      <w:r>
        <w:rPr>
          <w:spacing w:val="10"/>
          <w:sz w:val="20"/>
        </w:rPr>
        <w:t xml:space="preserve"> </w:t>
      </w:r>
      <w:r>
        <w:rPr>
          <w:sz w:val="20"/>
        </w:rPr>
        <w:t>que</w:t>
      </w:r>
      <w:r>
        <w:rPr>
          <w:spacing w:val="9"/>
          <w:sz w:val="20"/>
        </w:rPr>
        <w:t xml:space="preserve"> </w:t>
      </w:r>
      <w:r>
        <w:rPr>
          <w:sz w:val="20"/>
        </w:rPr>
        <w:t>dicho</w:t>
      </w:r>
      <w:r>
        <w:rPr>
          <w:spacing w:val="10"/>
          <w:sz w:val="20"/>
        </w:rPr>
        <w:t xml:space="preserve"> </w:t>
      </w:r>
      <w:r>
        <w:rPr>
          <w:sz w:val="20"/>
        </w:rPr>
        <w:t>instrumento,</w:t>
      </w:r>
      <w:r>
        <w:rPr>
          <w:spacing w:val="11"/>
          <w:sz w:val="20"/>
        </w:rPr>
        <w:t xml:space="preserve"> </w:t>
      </w:r>
      <w:r>
        <w:rPr>
          <w:sz w:val="20"/>
        </w:rPr>
        <w:t>al</w:t>
      </w:r>
      <w:r>
        <w:rPr>
          <w:spacing w:val="11"/>
          <w:sz w:val="20"/>
        </w:rPr>
        <w:t xml:space="preserve"> </w:t>
      </w:r>
      <w:r>
        <w:rPr>
          <w:sz w:val="20"/>
        </w:rPr>
        <w:t>establecer</w:t>
      </w:r>
      <w:r>
        <w:rPr>
          <w:spacing w:val="11"/>
          <w:sz w:val="20"/>
        </w:rPr>
        <w:t xml:space="preserve"> </w:t>
      </w:r>
      <w:r>
        <w:rPr>
          <w:sz w:val="20"/>
        </w:rPr>
        <w:t>en</w:t>
      </w:r>
      <w:r>
        <w:rPr>
          <w:spacing w:val="11"/>
          <w:sz w:val="20"/>
        </w:rPr>
        <w:t xml:space="preserve"> </w:t>
      </w:r>
      <w:r>
        <w:rPr>
          <w:sz w:val="20"/>
        </w:rPr>
        <w:t>su</w:t>
      </w:r>
      <w:r>
        <w:rPr>
          <w:spacing w:val="10"/>
          <w:sz w:val="20"/>
        </w:rPr>
        <w:t xml:space="preserve"> </w:t>
      </w:r>
      <w:r>
        <w:rPr>
          <w:sz w:val="20"/>
        </w:rPr>
        <w:t>artículo</w:t>
      </w:r>
    </w:p>
    <w:p w14:paraId="265F5BDD" w14:textId="77777777" w:rsidR="00467FCA" w:rsidRDefault="001B68EB">
      <w:pPr>
        <w:pStyle w:val="Textoindependiente"/>
        <w:spacing w:before="35" w:line="276" w:lineRule="auto"/>
        <w:ind w:left="470" w:right="398"/>
        <w:jc w:val="both"/>
      </w:pPr>
      <w:r>
        <w:t>19 la competencia de la Corte para conocer las eventuales violaciones de los derechos referidos</w:t>
      </w:r>
      <w:r>
        <w:rPr>
          <w:spacing w:val="-13"/>
        </w:rPr>
        <w:t xml:space="preserve"> </w:t>
      </w:r>
      <w:r>
        <w:t>a</w:t>
      </w:r>
      <w:r>
        <w:rPr>
          <w:spacing w:val="-10"/>
        </w:rPr>
        <w:t xml:space="preserve"> </w:t>
      </w:r>
      <w:r>
        <w:t>los</w:t>
      </w:r>
      <w:r>
        <w:rPr>
          <w:spacing w:val="-10"/>
        </w:rPr>
        <w:t xml:space="preserve"> </w:t>
      </w:r>
      <w:r>
        <w:t>sindicatos</w:t>
      </w:r>
      <w:r>
        <w:rPr>
          <w:spacing w:val="-13"/>
        </w:rPr>
        <w:t xml:space="preserve"> </w:t>
      </w:r>
      <w:r>
        <w:t>y</w:t>
      </w:r>
      <w:r>
        <w:rPr>
          <w:spacing w:val="-11"/>
        </w:rPr>
        <w:t xml:space="preserve"> </w:t>
      </w:r>
      <w:r>
        <w:t>a</w:t>
      </w:r>
      <w:r>
        <w:rPr>
          <w:spacing w:val="-9"/>
        </w:rPr>
        <w:t xml:space="preserve"> </w:t>
      </w:r>
      <w:r>
        <w:t>la</w:t>
      </w:r>
      <w:r>
        <w:rPr>
          <w:spacing w:val="-10"/>
        </w:rPr>
        <w:t xml:space="preserve"> </w:t>
      </w:r>
      <w:r>
        <w:t>educación,</w:t>
      </w:r>
      <w:r>
        <w:rPr>
          <w:spacing w:val="-11"/>
        </w:rPr>
        <w:t xml:space="preserve"> </w:t>
      </w:r>
      <w:r>
        <w:t>no</w:t>
      </w:r>
      <w:r>
        <w:rPr>
          <w:spacing w:val="-10"/>
        </w:rPr>
        <w:t xml:space="preserve"> </w:t>
      </w:r>
      <w:r>
        <w:t>está</w:t>
      </w:r>
      <w:r>
        <w:rPr>
          <w:spacing w:val="-12"/>
        </w:rPr>
        <w:t xml:space="preserve"> </w:t>
      </w:r>
      <w:r>
        <w:t>limitando</w:t>
      </w:r>
      <w:r>
        <w:rPr>
          <w:spacing w:val="-13"/>
        </w:rPr>
        <w:t xml:space="preserve"> </w:t>
      </w:r>
      <w:r>
        <w:t>a</w:t>
      </w:r>
      <w:r>
        <w:rPr>
          <w:spacing w:val="-10"/>
        </w:rPr>
        <w:t xml:space="preserve"> </w:t>
      </w:r>
      <w:r>
        <w:t>aquella,</w:t>
      </w:r>
      <w:r>
        <w:rPr>
          <w:spacing w:val="-8"/>
        </w:rPr>
        <w:t xml:space="preserve"> </w:t>
      </w:r>
      <w:r>
        <w:t>sino</w:t>
      </w:r>
      <w:r>
        <w:rPr>
          <w:spacing w:val="-13"/>
        </w:rPr>
        <w:t xml:space="preserve"> </w:t>
      </w:r>
      <w:r>
        <w:t>todo</w:t>
      </w:r>
      <w:r>
        <w:rPr>
          <w:spacing w:val="-11"/>
        </w:rPr>
        <w:t xml:space="preserve"> </w:t>
      </w:r>
      <w:r>
        <w:t>lo</w:t>
      </w:r>
      <w:r>
        <w:rPr>
          <w:spacing w:val="-11"/>
        </w:rPr>
        <w:t xml:space="preserve"> </w:t>
      </w:r>
      <w:r>
        <w:t>contrario, la</w:t>
      </w:r>
      <w:r>
        <w:rPr>
          <w:spacing w:val="-20"/>
        </w:rPr>
        <w:t xml:space="preserve"> </w:t>
      </w:r>
      <w:r>
        <w:t>está</w:t>
      </w:r>
      <w:r>
        <w:rPr>
          <w:spacing w:val="-20"/>
        </w:rPr>
        <w:t xml:space="preserve"> </w:t>
      </w:r>
      <w:r>
        <w:t>ampliando.</w:t>
      </w:r>
      <w:r>
        <w:rPr>
          <w:spacing w:val="-20"/>
        </w:rPr>
        <w:t xml:space="preserve"> </w:t>
      </w:r>
      <w:r>
        <w:t>De</w:t>
      </w:r>
      <w:r>
        <w:rPr>
          <w:spacing w:val="-20"/>
        </w:rPr>
        <w:t xml:space="preserve"> </w:t>
      </w:r>
      <w:r>
        <w:t>no</w:t>
      </w:r>
      <w:r>
        <w:rPr>
          <w:spacing w:val="-19"/>
        </w:rPr>
        <w:t xml:space="preserve"> </w:t>
      </w:r>
      <w:r>
        <w:t>existir</w:t>
      </w:r>
      <w:r>
        <w:rPr>
          <w:spacing w:val="-19"/>
        </w:rPr>
        <w:t xml:space="preserve"> </w:t>
      </w:r>
      <w:r>
        <w:t>el</w:t>
      </w:r>
      <w:r>
        <w:rPr>
          <w:spacing w:val="-19"/>
        </w:rPr>
        <w:t xml:space="preserve"> </w:t>
      </w:r>
      <w:r>
        <w:t>Protocolo,</w:t>
      </w:r>
      <w:r>
        <w:rPr>
          <w:spacing w:val="-18"/>
        </w:rPr>
        <w:t xml:space="preserve"> </w:t>
      </w:r>
      <w:r>
        <w:t>la</w:t>
      </w:r>
      <w:r>
        <w:rPr>
          <w:spacing w:val="-20"/>
        </w:rPr>
        <w:t xml:space="preserve"> </w:t>
      </w:r>
      <w:r>
        <w:t>Corte</w:t>
      </w:r>
      <w:r>
        <w:rPr>
          <w:spacing w:val="-20"/>
        </w:rPr>
        <w:t xml:space="preserve"> </w:t>
      </w:r>
      <w:r>
        <w:t>no</w:t>
      </w:r>
      <w:r>
        <w:rPr>
          <w:spacing w:val="-21"/>
        </w:rPr>
        <w:t xml:space="preserve"> </w:t>
      </w:r>
      <w:r>
        <w:t>podría</w:t>
      </w:r>
      <w:r>
        <w:rPr>
          <w:spacing w:val="-17"/>
        </w:rPr>
        <w:t xml:space="preserve"> </w:t>
      </w:r>
      <w:r>
        <w:t>conoce</w:t>
      </w:r>
      <w:r>
        <w:t>r</w:t>
      </w:r>
      <w:r>
        <w:rPr>
          <w:spacing w:val="-21"/>
        </w:rPr>
        <w:t xml:space="preserve"> </w:t>
      </w:r>
      <w:r>
        <w:t>ni</w:t>
      </w:r>
      <w:r>
        <w:rPr>
          <w:spacing w:val="-19"/>
        </w:rPr>
        <w:t xml:space="preserve"> </w:t>
      </w:r>
      <w:r>
        <w:t>siquiera</w:t>
      </w:r>
      <w:r>
        <w:rPr>
          <w:spacing w:val="-20"/>
        </w:rPr>
        <w:t xml:space="preserve"> </w:t>
      </w:r>
      <w:r>
        <w:t>la</w:t>
      </w:r>
      <w:r>
        <w:rPr>
          <w:spacing w:val="-17"/>
        </w:rPr>
        <w:t xml:space="preserve"> </w:t>
      </w:r>
      <w:r>
        <w:t>eventual violación de esos</w:t>
      </w:r>
      <w:r>
        <w:rPr>
          <w:spacing w:val="-3"/>
        </w:rPr>
        <w:t xml:space="preserve"> </w:t>
      </w:r>
      <w:r>
        <w:t>derechos.</w:t>
      </w:r>
    </w:p>
    <w:p w14:paraId="3353FA03" w14:textId="77777777" w:rsidR="00467FCA" w:rsidRDefault="00467FCA">
      <w:pPr>
        <w:pStyle w:val="Textoindependiente"/>
        <w:spacing w:before="5"/>
        <w:rPr>
          <w:sz w:val="22"/>
        </w:rPr>
      </w:pPr>
    </w:p>
    <w:p w14:paraId="37AB1EEE" w14:textId="77777777" w:rsidR="00467FCA" w:rsidRDefault="001B68EB">
      <w:pPr>
        <w:pStyle w:val="Prrafodelista"/>
        <w:numPr>
          <w:ilvl w:val="0"/>
          <w:numId w:val="12"/>
        </w:numPr>
        <w:tabs>
          <w:tab w:val="left" w:pos="1450"/>
        </w:tabs>
        <w:spacing w:line="276" w:lineRule="auto"/>
        <w:ind w:right="395" w:firstLine="0"/>
        <w:jc w:val="both"/>
        <w:rPr>
          <w:sz w:val="20"/>
        </w:rPr>
      </w:pPr>
      <w:r>
        <w:rPr>
          <w:sz w:val="20"/>
        </w:rPr>
        <w:t>Todo lo precedentemente expuesto es, por ende, prueba más que evidente que, para</w:t>
      </w:r>
      <w:r>
        <w:rPr>
          <w:spacing w:val="-12"/>
          <w:sz w:val="20"/>
        </w:rPr>
        <w:t xml:space="preserve"> </w:t>
      </w:r>
      <w:r>
        <w:rPr>
          <w:sz w:val="20"/>
        </w:rPr>
        <w:t>los</w:t>
      </w:r>
      <w:r>
        <w:rPr>
          <w:spacing w:val="-11"/>
          <w:sz w:val="20"/>
        </w:rPr>
        <w:t xml:space="preserve"> </w:t>
      </w:r>
      <w:r>
        <w:rPr>
          <w:sz w:val="20"/>
        </w:rPr>
        <w:t>Estados</w:t>
      </w:r>
      <w:r>
        <w:rPr>
          <w:spacing w:val="-11"/>
          <w:sz w:val="20"/>
        </w:rPr>
        <w:t xml:space="preserve"> </w:t>
      </w:r>
      <w:r>
        <w:rPr>
          <w:sz w:val="20"/>
        </w:rPr>
        <w:t>Partes</w:t>
      </w:r>
      <w:r>
        <w:rPr>
          <w:spacing w:val="-9"/>
          <w:sz w:val="20"/>
        </w:rPr>
        <w:t xml:space="preserve"> </w:t>
      </w:r>
      <w:r>
        <w:rPr>
          <w:sz w:val="20"/>
        </w:rPr>
        <w:t>del</w:t>
      </w:r>
      <w:r>
        <w:rPr>
          <w:spacing w:val="-12"/>
          <w:sz w:val="20"/>
        </w:rPr>
        <w:t xml:space="preserve"> </w:t>
      </w:r>
      <w:r>
        <w:rPr>
          <w:sz w:val="20"/>
        </w:rPr>
        <w:t>Protocolo,</w:t>
      </w:r>
      <w:r>
        <w:rPr>
          <w:spacing w:val="-13"/>
          <w:sz w:val="20"/>
        </w:rPr>
        <w:t xml:space="preserve"> </w:t>
      </w:r>
      <w:r>
        <w:rPr>
          <w:sz w:val="20"/>
        </w:rPr>
        <w:t>lo</w:t>
      </w:r>
      <w:r>
        <w:rPr>
          <w:spacing w:val="-11"/>
          <w:sz w:val="20"/>
        </w:rPr>
        <w:t xml:space="preserve"> </w:t>
      </w:r>
      <w:r>
        <w:rPr>
          <w:sz w:val="20"/>
        </w:rPr>
        <w:t>previsto</w:t>
      </w:r>
      <w:r>
        <w:rPr>
          <w:spacing w:val="-11"/>
          <w:sz w:val="20"/>
        </w:rPr>
        <w:t xml:space="preserve"> </w:t>
      </w:r>
      <w:r>
        <w:rPr>
          <w:sz w:val="20"/>
        </w:rPr>
        <w:t>en</w:t>
      </w:r>
      <w:r>
        <w:rPr>
          <w:spacing w:val="-9"/>
          <w:sz w:val="20"/>
        </w:rPr>
        <w:t xml:space="preserve"> </w:t>
      </w:r>
      <w:r>
        <w:rPr>
          <w:sz w:val="20"/>
        </w:rPr>
        <w:t>el</w:t>
      </w:r>
      <w:r>
        <w:rPr>
          <w:spacing w:val="-10"/>
          <w:sz w:val="20"/>
        </w:rPr>
        <w:t xml:space="preserve"> </w:t>
      </w:r>
      <w:r>
        <w:rPr>
          <w:sz w:val="20"/>
        </w:rPr>
        <w:t>artículo</w:t>
      </w:r>
      <w:r>
        <w:rPr>
          <w:spacing w:val="-14"/>
          <w:sz w:val="20"/>
        </w:rPr>
        <w:t xml:space="preserve"> </w:t>
      </w:r>
      <w:r>
        <w:rPr>
          <w:sz w:val="20"/>
        </w:rPr>
        <w:t>26</w:t>
      </w:r>
      <w:r>
        <w:rPr>
          <w:spacing w:val="-10"/>
          <w:sz w:val="20"/>
        </w:rPr>
        <w:t xml:space="preserve"> </w:t>
      </w:r>
      <w:r>
        <w:rPr>
          <w:sz w:val="20"/>
        </w:rPr>
        <w:t>de</w:t>
      </w:r>
      <w:r>
        <w:rPr>
          <w:spacing w:val="-14"/>
          <w:sz w:val="20"/>
        </w:rPr>
        <w:t xml:space="preserve"> </w:t>
      </w:r>
      <w:r>
        <w:rPr>
          <w:sz w:val="20"/>
        </w:rPr>
        <w:t>la</w:t>
      </w:r>
      <w:r>
        <w:rPr>
          <w:spacing w:val="-8"/>
          <w:sz w:val="20"/>
        </w:rPr>
        <w:t xml:space="preserve"> </w:t>
      </w:r>
      <w:r>
        <w:rPr>
          <w:sz w:val="20"/>
        </w:rPr>
        <w:t>Convención</w:t>
      </w:r>
      <w:r>
        <w:rPr>
          <w:spacing w:val="-9"/>
          <w:sz w:val="20"/>
        </w:rPr>
        <w:t xml:space="preserve"> </w:t>
      </w:r>
      <w:r>
        <w:rPr>
          <w:sz w:val="20"/>
        </w:rPr>
        <w:t>no</w:t>
      </w:r>
      <w:r>
        <w:rPr>
          <w:spacing w:val="-11"/>
          <w:sz w:val="20"/>
        </w:rPr>
        <w:t xml:space="preserve"> </w:t>
      </w:r>
      <w:r>
        <w:rPr>
          <w:sz w:val="20"/>
        </w:rPr>
        <w:t>puede ser interpretado en orden a que establece o reconoce derechos económicos, sociales o culturales</w:t>
      </w:r>
      <w:r>
        <w:rPr>
          <w:spacing w:val="-13"/>
          <w:sz w:val="20"/>
        </w:rPr>
        <w:t xml:space="preserve"> </w:t>
      </w:r>
      <w:r>
        <w:rPr>
          <w:sz w:val="20"/>
        </w:rPr>
        <w:t>ni</w:t>
      </w:r>
      <w:r>
        <w:rPr>
          <w:spacing w:val="-15"/>
          <w:sz w:val="20"/>
        </w:rPr>
        <w:t xml:space="preserve"> </w:t>
      </w:r>
      <w:r>
        <w:rPr>
          <w:sz w:val="20"/>
        </w:rPr>
        <w:t>que</w:t>
      </w:r>
      <w:r>
        <w:rPr>
          <w:spacing w:val="-16"/>
          <w:sz w:val="20"/>
        </w:rPr>
        <w:t xml:space="preserve"> </w:t>
      </w:r>
      <w:r>
        <w:rPr>
          <w:sz w:val="20"/>
        </w:rPr>
        <w:t>habilita</w:t>
      </w:r>
      <w:r>
        <w:rPr>
          <w:spacing w:val="-15"/>
          <w:sz w:val="20"/>
        </w:rPr>
        <w:t xml:space="preserve"> </w:t>
      </w:r>
      <w:r>
        <w:rPr>
          <w:sz w:val="20"/>
        </w:rPr>
        <w:t>para</w:t>
      </w:r>
      <w:r>
        <w:rPr>
          <w:spacing w:val="-12"/>
          <w:sz w:val="20"/>
        </w:rPr>
        <w:t xml:space="preserve"> </w:t>
      </w:r>
      <w:r>
        <w:rPr>
          <w:sz w:val="20"/>
        </w:rPr>
        <w:t>elevar</w:t>
      </w:r>
      <w:r>
        <w:rPr>
          <w:spacing w:val="-14"/>
          <w:sz w:val="20"/>
        </w:rPr>
        <w:t xml:space="preserve"> </w:t>
      </w:r>
      <w:r>
        <w:rPr>
          <w:sz w:val="20"/>
        </w:rPr>
        <w:t>un</w:t>
      </w:r>
      <w:r>
        <w:rPr>
          <w:spacing w:val="-14"/>
          <w:sz w:val="20"/>
        </w:rPr>
        <w:t xml:space="preserve"> </w:t>
      </w:r>
      <w:r>
        <w:rPr>
          <w:sz w:val="20"/>
        </w:rPr>
        <w:t>caso</w:t>
      </w:r>
      <w:r>
        <w:rPr>
          <w:spacing w:val="-14"/>
          <w:sz w:val="20"/>
        </w:rPr>
        <w:t xml:space="preserve"> </w:t>
      </w:r>
      <w:r>
        <w:rPr>
          <w:sz w:val="20"/>
        </w:rPr>
        <w:t>de</w:t>
      </w:r>
      <w:r>
        <w:rPr>
          <w:spacing w:val="-14"/>
          <w:sz w:val="20"/>
        </w:rPr>
        <w:t xml:space="preserve"> </w:t>
      </w:r>
      <w:r>
        <w:rPr>
          <w:sz w:val="20"/>
        </w:rPr>
        <w:t>violación</w:t>
      </w:r>
      <w:r>
        <w:rPr>
          <w:spacing w:val="-14"/>
          <w:sz w:val="20"/>
        </w:rPr>
        <w:t xml:space="preserve"> </w:t>
      </w:r>
      <w:r>
        <w:rPr>
          <w:sz w:val="20"/>
        </w:rPr>
        <w:t>de</w:t>
      </w:r>
      <w:r>
        <w:rPr>
          <w:spacing w:val="-14"/>
          <w:sz w:val="20"/>
        </w:rPr>
        <w:t xml:space="preserve"> </w:t>
      </w:r>
      <w:r>
        <w:rPr>
          <w:sz w:val="20"/>
        </w:rPr>
        <w:t>ellos</w:t>
      </w:r>
      <w:r>
        <w:rPr>
          <w:spacing w:val="-16"/>
          <w:sz w:val="20"/>
        </w:rPr>
        <w:t xml:space="preserve"> </w:t>
      </w:r>
      <w:r>
        <w:rPr>
          <w:sz w:val="20"/>
        </w:rPr>
        <w:t>a</w:t>
      </w:r>
      <w:r>
        <w:rPr>
          <w:spacing w:val="-12"/>
          <w:sz w:val="20"/>
        </w:rPr>
        <w:t xml:space="preserve"> </w:t>
      </w:r>
      <w:r>
        <w:rPr>
          <w:sz w:val="20"/>
        </w:rPr>
        <w:t>conocimiento</w:t>
      </w:r>
      <w:r>
        <w:rPr>
          <w:spacing w:val="-16"/>
          <w:sz w:val="20"/>
        </w:rPr>
        <w:t xml:space="preserve"> </w:t>
      </w:r>
      <w:r>
        <w:rPr>
          <w:sz w:val="20"/>
        </w:rPr>
        <w:t>de</w:t>
      </w:r>
      <w:r>
        <w:rPr>
          <w:spacing w:val="-15"/>
          <w:sz w:val="20"/>
        </w:rPr>
        <w:t xml:space="preserve"> </w:t>
      </w:r>
      <w:r>
        <w:rPr>
          <w:sz w:val="20"/>
        </w:rPr>
        <w:t>la</w:t>
      </w:r>
      <w:r>
        <w:rPr>
          <w:spacing w:val="-13"/>
          <w:sz w:val="20"/>
        </w:rPr>
        <w:t xml:space="preserve"> </w:t>
      </w:r>
      <w:r>
        <w:rPr>
          <w:sz w:val="20"/>
        </w:rPr>
        <w:t>Corte. Se</w:t>
      </w:r>
      <w:r>
        <w:rPr>
          <w:spacing w:val="-22"/>
          <w:sz w:val="20"/>
        </w:rPr>
        <w:t xml:space="preserve"> </w:t>
      </w:r>
      <w:r>
        <w:rPr>
          <w:sz w:val="20"/>
        </w:rPr>
        <w:t>reitera</w:t>
      </w:r>
      <w:r>
        <w:rPr>
          <w:spacing w:val="-20"/>
          <w:sz w:val="20"/>
        </w:rPr>
        <w:t xml:space="preserve"> </w:t>
      </w:r>
      <w:r>
        <w:rPr>
          <w:sz w:val="20"/>
        </w:rPr>
        <w:t>que,</w:t>
      </w:r>
      <w:r>
        <w:rPr>
          <w:spacing w:val="-20"/>
          <w:sz w:val="20"/>
        </w:rPr>
        <w:t xml:space="preserve"> </w:t>
      </w:r>
      <w:r>
        <w:rPr>
          <w:sz w:val="20"/>
        </w:rPr>
        <w:t>si</w:t>
      </w:r>
      <w:r>
        <w:rPr>
          <w:spacing w:val="-17"/>
          <w:sz w:val="20"/>
        </w:rPr>
        <w:t xml:space="preserve"> </w:t>
      </w:r>
      <w:r>
        <w:rPr>
          <w:sz w:val="20"/>
        </w:rPr>
        <w:t>así</w:t>
      </w:r>
      <w:r>
        <w:rPr>
          <w:spacing w:val="-20"/>
          <w:sz w:val="20"/>
        </w:rPr>
        <w:t xml:space="preserve"> </w:t>
      </w:r>
      <w:r>
        <w:rPr>
          <w:sz w:val="20"/>
        </w:rPr>
        <w:t>lo</w:t>
      </w:r>
      <w:r>
        <w:rPr>
          <w:spacing w:val="-21"/>
          <w:sz w:val="20"/>
        </w:rPr>
        <w:t xml:space="preserve"> </w:t>
      </w:r>
      <w:r>
        <w:rPr>
          <w:sz w:val="20"/>
        </w:rPr>
        <w:t>hubiese</w:t>
      </w:r>
      <w:r>
        <w:rPr>
          <w:spacing w:val="-19"/>
          <w:sz w:val="20"/>
        </w:rPr>
        <w:t xml:space="preserve"> </w:t>
      </w:r>
      <w:r>
        <w:rPr>
          <w:sz w:val="20"/>
        </w:rPr>
        <w:t>establecido,</w:t>
      </w:r>
      <w:r>
        <w:rPr>
          <w:spacing w:val="-18"/>
          <w:sz w:val="20"/>
        </w:rPr>
        <w:t xml:space="preserve"> </w:t>
      </w:r>
      <w:r>
        <w:rPr>
          <w:sz w:val="20"/>
        </w:rPr>
        <w:t>obviamente</w:t>
      </w:r>
      <w:r>
        <w:rPr>
          <w:spacing w:val="-22"/>
          <w:sz w:val="20"/>
        </w:rPr>
        <w:t xml:space="preserve"> </w:t>
      </w:r>
      <w:r>
        <w:rPr>
          <w:sz w:val="20"/>
        </w:rPr>
        <w:t>no</w:t>
      </w:r>
      <w:r>
        <w:rPr>
          <w:spacing w:val="-21"/>
          <w:sz w:val="20"/>
        </w:rPr>
        <w:t xml:space="preserve"> </w:t>
      </w:r>
      <w:r>
        <w:rPr>
          <w:sz w:val="20"/>
        </w:rPr>
        <w:t>se</w:t>
      </w:r>
      <w:r>
        <w:rPr>
          <w:spacing w:val="-21"/>
          <w:sz w:val="20"/>
        </w:rPr>
        <w:t xml:space="preserve"> </w:t>
      </w:r>
      <w:r>
        <w:rPr>
          <w:sz w:val="20"/>
        </w:rPr>
        <w:t>hubiese</w:t>
      </w:r>
      <w:r>
        <w:rPr>
          <w:spacing w:val="-19"/>
          <w:sz w:val="20"/>
        </w:rPr>
        <w:t xml:space="preserve"> </w:t>
      </w:r>
      <w:r>
        <w:rPr>
          <w:sz w:val="20"/>
        </w:rPr>
        <w:t>celebrado</w:t>
      </w:r>
      <w:r>
        <w:rPr>
          <w:spacing w:val="-21"/>
          <w:sz w:val="20"/>
        </w:rPr>
        <w:t xml:space="preserve"> </w:t>
      </w:r>
      <w:r>
        <w:rPr>
          <w:sz w:val="20"/>
        </w:rPr>
        <w:t>el</w:t>
      </w:r>
      <w:r>
        <w:rPr>
          <w:spacing w:val="-18"/>
          <w:sz w:val="20"/>
        </w:rPr>
        <w:t xml:space="preserve"> </w:t>
      </w:r>
      <w:r>
        <w:rPr>
          <w:sz w:val="20"/>
        </w:rPr>
        <w:t>Protocolo. Es, por tal motivo, entonces, que ha sido necesaria su adopción. Su suscripción no se explicaría de otra</w:t>
      </w:r>
      <w:r>
        <w:rPr>
          <w:spacing w:val="-3"/>
          <w:sz w:val="20"/>
        </w:rPr>
        <w:t xml:space="preserve"> </w:t>
      </w:r>
      <w:r>
        <w:rPr>
          <w:sz w:val="20"/>
        </w:rPr>
        <w:t>manera.</w:t>
      </w:r>
    </w:p>
    <w:p w14:paraId="3ACE6222" w14:textId="77777777" w:rsidR="00467FCA" w:rsidRDefault="00467FCA">
      <w:pPr>
        <w:pStyle w:val="Textoindependiente"/>
        <w:spacing w:before="3"/>
        <w:rPr>
          <w:sz w:val="22"/>
        </w:rPr>
      </w:pPr>
    </w:p>
    <w:p w14:paraId="1A978BBE" w14:textId="77777777" w:rsidR="00467FCA" w:rsidRDefault="001B68EB">
      <w:pPr>
        <w:pStyle w:val="Prrafodelista"/>
        <w:numPr>
          <w:ilvl w:val="0"/>
          <w:numId w:val="12"/>
        </w:numPr>
        <w:tabs>
          <w:tab w:val="left" w:pos="1450"/>
        </w:tabs>
        <w:spacing w:line="276" w:lineRule="auto"/>
        <w:ind w:right="397" w:firstLine="0"/>
        <w:jc w:val="both"/>
        <w:rPr>
          <w:sz w:val="20"/>
        </w:rPr>
      </w:pPr>
      <w:r>
        <w:rPr>
          <w:sz w:val="20"/>
        </w:rPr>
        <w:t>En mérito de lo precedentemente afirmado, se puede concluir en que el Protocolo es,</w:t>
      </w:r>
      <w:r>
        <w:rPr>
          <w:spacing w:val="-5"/>
          <w:sz w:val="20"/>
        </w:rPr>
        <w:t xml:space="preserve"> </w:t>
      </w:r>
      <w:r>
        <w:rPr>
          <w:sz w:val="20"/>
        </w:rPr>
        <w:t>en</w:t>
      </w:r>
      <w:r>
        <w:rPr>
          <w:spacing w:val="-3"/>
          <w:sz w:val="20"/>
        </w:rPr>
        <w:t xml:space="preserve"> </w:t>
      </w:r>
      <w:r>
        <w:rPr>
          <w:sz w:val="20"/>
        </w:rPr>
        <w:t>consecuencia,</w:t>
      </w:r>
      <w:r>
        <w:rPr>
          <w:spacing w:val="-6"/>
          <w:sz w:val="20"/>
        </w:rPr>
        <w:t xml:space="preserve"> </w:t>
      </w:r>
      <w:r>
        <w:rPr>
          <w:sz w:val="20"/>
        </w:rPr>
        <w:t>la</w:t>
      </w:r>
      <w:r>
        <w:rPr>
          <w:spacing w:val="-1"/>
          <w:sz w:val="20"/>
        </w:rPr>
        <w:t xml:space="preserve"> </w:t>
      </w:r>
      <w:r>
        <w:rPr>
          <w:sz w:val="20"/>
        </w:rPr>
        <w:t>nítida</w:t>
      </w:r>
      <w:r>
        <w:rPr>
          <w:spacing w:val="-5"/>
          <w:sz w:val="20"/>
        </w:rPr>
        <w:t xml:space="preserve"> </w:t>
      </w:r>
      <w:r>
        <w:rPr>
          <w:sz w:val="20"/>
        </w:rPr>
        <w:t>demostración</w:t>
      </w:r>
      <w:r>
        <w:rPr>
          <w:spacing w:val="-5"/>
          <w:sz w:val="20"/>
        </w:rPr>
        <w:t xml:space="preserve"> </w:t>
      </w:r>
      <w:r>
        <w:rPr>
          <w:sz w:val="20"/>
        </w:rPr>
        <w:t>de</w:t>
      </w:r>
      <w:r>
        <w:rPr>
          <w:spacing w:val="-4"/>
          <w:sz w:val="20"/>
        </w:rPr>
        <w:t xml:space="preserve"> </w:t>
      </w:r>
      <w:r>
        <w:rPr>
          <w:sz w:val="20"/>
        </w:rPr>
        <w:t>que</w:t>
      </w:r>
      <w:r>
        <w:rPr>
          <w:spacing w:val="-7"/>
          <w:sz w:val="20"/>
        </w:rPr>
        <w:t xml:space="preserve"> </w:t>
      </w:r>
      <w:r>
        <w:rPr>
          <w:sz w:val="20"/>
        </w:rPr>
        <w:t>lo</w:t>
      </w:r>
      <w:r>
        <w:rPr>
          <w:spacing w:val="-5"/>
          <w:sz w:val="20"/>
        </w:rPr>
        <w:t xml:space="preserve"> </w:t>
      </w:r>
      <w:r>
        <w:rPr>
          <w:sz w:val="20"/>
        </w:rPr>
        <w:t>previsto</w:t>
      </w:r>
      <w:r>
        <w:rPr>
          <w:spacing w:val="-4"/>
          <w:sz w:val="20"/>
        </w:rPr>
        <w:t xml:space="preserve"> </w:t>
      </w:r>
      <w:r>
        <w:rPr>
          <w:sz w:val="20"/>
        </w:rPr>
        <w:t>en</w:t>
      </w:r>
      <w:r>
        <w:rPr>
          <w:spacing w:val="-3"/>
          <w:sz w:val="20"/>
        </w:rPr>
        <w:t xml:space="preserve"> </w:t>
      </w:r>
      <w:r>
        <w:rPr>
          <w:sz w:val="20"/>
        </w:rPr>
        <w:t>el</w:t>
      </w:r>
      <w:r>
        <w:rPr>
          <w:spacing w:val="-5"/>
          <w:sz w:val="20"/>
        </w:rPr>
        <w:t xml:space="preserve"> </w:t>
      </w:r>
      <w:r>
        <w:rPr>
          <w:sz w:val="20"/>
        </w:rPr>
        <w:t>artículo</w:t>
      </w:r>
      <w:r>
        <w:rPr>
          <w:spacing w:val="-8"/>
          <w:sz w:val="20"/>
        </w:rPr>
        <w:t xml:space="preserve"> </w:t>
      </w:r>
      <w:r>
        <w:rPr>
          <w:sz w:val="20"/>
        </w:rPr>
        <w:t>26</w:t>
      </w:r>
      <w:r>
        <w:rPr>
          <w:spacing w:val="-3"/>
          <w:sz w:val="20"/>
        </w:rPr>
        <w:t xml:space="preserve"> </w:t>
      </w:r>
      <w:r>
        <w:rPr>
          <w:sz w:val="20"/>
        </w:rPr>
        <w:t>no</w:t>
      </w:r>
      <w:r>
        <w:rPr>
          <w:spacing w:val="-5"/>
          <w:sz w:val="20"/>
        </w:rPr>
        <w:t xml:space="preserve"> </w:t>
      </w:r>
      <w:r>
        <w:rPr>
          <w:sz w:val="20"/>
        </w:rPr>
        <w:t>establece derecho humano alguno ni menos aún, como se sostiene en autos, que proporciona legitimación activa ante la Corte por violación de los derechos económicos sociales y culturales a que</w:t>
      </w:r>
      <w:r>
        <w:rPr>
          <w:spacing w:val="-3"/>
          <w:sz w:val="20"/>
        </w:rPr>
        <w:t xml:space="preserve"> </w:t>
      </w:r>
      <w:r>
        <w:rPr>
          <w:sz w:val="20"/>
        </w:rPr>
        <w:t>alude.</w:t>
      </w:r>
    </w:p>
    <w:p w14:paraId="42D8C640" w14:textId="77777777" w:rsidR="00467FCA" w:rsidRDefault="00467FCA">
      <w:pPr>
        <w:pStyle w:val="Textoindependiente"/>
        <w:spacing w:before="1"/>
        <w:rPr>
          <w:sz w:val="22"/>
        </w:rPr>
      </w:pPr>
    </w:p>
    <w:p w14:paraId="113A5101" w14:textId="77777777" w:rsidR="00467FCA" w:rsidRDefault="001B68EB">
      <w:pPr>
        <w:pStyle w:val="Ttulo1"/>
        <w:numPr>
          <w:ilvl w:val="0"/>
          <w:numId w:val="24"/>
        </w:numPr>
        <w:tabs>
          <w:tab w:val="left" w:pos="471"/>
        </w:tabs>
        <w:ind w:left="470" w:hanging="361"/>
        <w:jc w:val="left"/>
      </w:pPr>
      <w:r>
        <w:t>Co</w:t>
      </w:r>
      <w:r>
        <w:t>nclusiones en lo respecta al artículo 26.</w:t>
      </w:r>
    </w:p>
    <w:p w14:paraId="05425F58" w14:textId="77777777" w:rsidR="00467FCA" w:rsidRDefault="00467FCA">
      <w:pPr>
        <w:pStyle w:val="Textoindependiente"/>
        <w:spacing w:before="3"/>
        <w:rPr>
          <w:b/>
          <w:sz w:val="25"/>
        </w:rPr>
      </w:pPr>
    </w:p>
    <w:p w14:paraId="5E506D7C" w14:textId="77777777" w:rsidR="00467FCA" w:rsidRDefault="001B68EB">
      <w:pPr>
        <w:pStyle w:val="Prrafodelista"/>
        <w:numPr>
          <w:ilvl w:val="0"/>
          <w:numId w:val="12"/>
        </w:numPr>
        <w:tabs>
          <w:tab w:val="left" w:pos="1450"/>
        </w:tabs>
        <w:spacing w:line="278" w:lineRule="auto"/>
        <w:ind w:right="398" w:hanging="1"/>
        <w:jc w:val="both"/>
        <w:rPr>
          <w:sz w:val="20"/>
        </w:rPr>
      </w:pPr>
      <w:r>
        <w:rPr>
          <w:sz w:val="20"/>
        </w:rPr>
        <w:t xml:space="preserve">Es, entonces, por todo lo expuesto que se disiente parcialmente de la Sentencia, esto es, de lo indicado en sus resolutivos N°s </w:t>
      </w:r>
      <w:r>
        <w:rPr>
          <w:spacing w:val="4"/>
          <w:sz w:val="20"/>
        </w:rPr>
        <w:t>2</w:t>
      </w:r>
      <w:hyperlink w:anchor="_bookmark639" w:history="1">
        <w:r>
          <w:rPr>
            <w:spacing w:val="4"/>
            <w:position w:val="7"/>
            <w:sz w:val="13"/>
          </w:rPr>
          <w:t>91</w:t>
        </w:r>
      </w:hyperlink>
      <w:r>
        <w:rPr>
          <w:spacing w:val="4"/>
          <w:position w:val="7"/>
          <w:sz w:val="13"/>
        </w:rPr>
        <w:t xml:space="preserve"> </w:t>
      </w:r>
      <w:r>
        <w:rPr>
          <w:sz w:val="20"/>
        </w:rPr>
        <w:t>y</w:t>
      </w:r>
      <w:r>
        <w:rPr>
          <w:spacing w:val="-45"/>
          <w:sz w:val="20"/>
        </w:rPr>
        <w:t xml:space="preserve"> </w:t>
      </w:r>
      <w:r>
        <w:rPr>
          <w:spacing w:val="2"/>
          <w:sz w:val="20"/>
        </w:rPr>
        <w:t>6</w:t>
      </w:r>
      <w:hyperlink w:anchor="_bookmark640" w:history="1">
        <w:r>
          <w:rPr>
            <w:spacing w:val="2"/>
            <w:position w:val="7"/>
            <w:sz w:val="13"/>
          </w:rPr>
          <w:t>92</w:t>
        </w:r>
      </w:hyperlink>
      <w:r>
        <w:rPr>
          <w:spacing w:val="2"/>
          <w:sz w:val="20"/>
        </w:rPr>
        <w:t>.</w:t>
      </w:r>
    </w:p>
    <w:p w14:paraId="4E8528EE" w14:textId="77777777" w:rsidR="00467FCA" w:rsidRDefault="00467FCA">
      <w:pPr>
        <w:pStyle w:val="Textoindependiente"/>
        <w:spacing w:before="7"/>
        <w:rPr>
          <w:sz w:val="22"/>
        </w:rPr>
      </w:pPr>
    </w:p>
    <w:p w14:paraId="6580081A" w14:textId="77777777" w:rsidR="00467FCA" w:rsidRDefault="001B68EB">
      <w:pPr>
        <w:pStyle w:val="Prrafodelista"/>
        <w:numPr>
          <w:ilvl w:val="0"/>
          <w:numId w:val="12"/>
        </w:numPr>
        <w:tabs>
          <w:tab w:val="left" w:pos="1450"/>
        </w:tabs>
        <w:spacing w:before="1" w:line="276" w:lineRule="auto"/>
        <w:ind w:right="398" w:firstLine="0"/>
        <w:jc w:val="both"/>
        <w:rPr>
          <w:sz w:val="20"/>
        </w:rPr>
      </w:pPr>
      <w:r>
        <w:rPr>
          <w:sz w:val="20"/>
        </w:rPr>
        <w:t>A este efecto, se debe insistir, una vez más, que este escrito no dice relación con la existencia del derecho a condiciones equitativas y satisfactorias que garanticen la seguridad,</w:t>
      </w:r>
      <w:r>
        <w:rPr>
          <w:spacing w:val="24"/>
          <w:sz w:val="20"/>
        </w:rPr>
        <w:t xml:space="preserve"> </w:t>
      </w:r>
      <w:r>
        <w:rPr>
          <w:sz w:val="20"/>
        </w:rPr>
        <w:t>la</w:t>
      </w:r>
      <w:r>
        <w:rPr>
          <w:spacing w:val="23"/>
          <w:sz w:val="20"/>
        </w:rPr>
        <w:t xml:space="preserve"> </w:t>
      </w:r>
      <w:r>
        <w:rPr>
          <w:sz w:val="20"/>
        </w:rPr>
        <w:t>salud</w:t>
      </w:r>
      <w:r>
        <w:rPr>
          <w:spacing w:val="24"/>
          <w:sz w:val="20"/>
        </w:rPr>
        <w:t xml:space="preserve"> </w:t>
      </w:r>
      <w:r>
        <w:rPr>
          <w:sz w:val="20"/>
        </w:rPr>
        <w:t>y</w:t>
      </w:r>
      <w:r>
        <w:rPr>
          <w:spacing w:val="23"/>
          <w:sz w:val="20"/>
        </w:rPr>
        <w:t xml:space="preserve"> </w:t>
      </w:r>
      <w:r>
        <w:rPr>
          <w:sz w:val="20"/>
        </w:rPr>
        <w:t>la</w:t>
      </w:r>
      <w:r>
        <w:rPr>
          <w:spacing w:val="27"/>
          <w:sz w:val="20"/>
        </w:rPr>
        <w:t xml:space="preserve"> </w:t>
      </w:r>
      <w:r>
        <w:rPr>
          <w:sz w:val="20"/>
        </w:rPr>
        <w:t>higiene</w:t>
      </w:r>
      <w:r>
        <w:rPr>
          <w:spacing w:val="25"/>
          <w:sz w:val="20"/>
        </w:rPr>
        <w:t xml:space="preserve"> </w:t>
      </w:r>
      <w:r>
        <w:rPr>
          <w:sz w:val="20"/>
        </w:rPr>
        <w:t>en</w:t>
      </w:r>
      <w:r>
        <w:rPr>
          <w:spacing w:val="27"/>
          <w:sz w:val="20"/>
        </w:rPr>
        <w:t xml:space="preserve"> </w:t>
      </w:r>
      <w:r>
        <w:rPr>
          <w:sz w:val="20"/>
        </w:rPr>
        <w:t>el</w:t>
      </w:r>
      <w:r>
        <w:rPr>
          <w:spacing w:val="24"/>
          <w:sz w:val="20"/>
        </w:rPr>
        <w:t xml:space="preserve"> </w:t>
      </w:r>
      <w:r>
        <w:rPr>
          <w:sz w:val="20"/>
        </w:rPr>
        <w:t>trabajo.</w:t>
      </w:r>
      <w:r>
        <w:rPr>
          <w:spacing w:val="25"/>
          <w:sz w:val="20"/>
        </w:rPr>
        <w:t xml:space="preserve"> </w:t>
      </w:r>
      <w:r>
        <w:rPr>
          <w:sz w:val="20"/>
        </w:rPr>
        <w:t>Ello</w:t>
      </w:r>
      <w:r>
        <w:rPr>
          <w:spacing w:val="22"/>
          <w:sz w:val="20"/>
        </w:rPr>
        <w:t xml:space="preserve"> </w:t>
      </w:r>
      <w:r>
        <w:rPr>
          <w:sz w:val="20"/>
        </w:rPr>
        <w:t>escapa</w:t>
      </w:r>
      <w:r>
        <w:rPr>
          <w:spacing w:val="22"/>
          <w:sz w:val="20"/>
        </w:rPr>
        <w:t xml:space="preserve"> </w:t>
      </w:r>
      <w:r>
        <w:rPr>
          <w:sz w:val="20"/>
        </w:rPr>
        <w:t>a</w:t>
      </w:r>
      <w:r>
        <w:rPr>
          <w:spacing w:val="26"/>
          <w:sz w:val="20"/>
        </w:rPr>
        <w:t xml:space="preserve"> </w:t>
      </w:r>
      <w:r>
        <w:rPr>
          <w:sz w:val="20"/>
        </w:rPr>
        <w:t>su</w:t>
      </w:r>
      <w:r>
        <w:rPr>
          <w:spacing w:val="24"/>
          <w:sz w:val="20"/>
        </w:rPr>
        <w:t xml:space="preserve"> </w:t>
      </w:r>
      <w:r>
        <w:rPr>
          <w:sz w:val="20"/>
        </w:rPr>
        <w:t>propósito.</w:t>
      </w:r>
      <w:r>
        <w:rPr>
          <w:spacing w:val="23"/>
          <w:sz w:val="20"/>
        </w:rPr>
        <w:t xml:space="preserve"> </w:t>
      </w:r>
      <w:r>
        <w:rPr>
          <w:sz w:val="20"/>
        </w:rPr>
        <w:t>Únicament</w:t>
      </w:r>
      <w:r>
        <w:rPr>
          <w:sz w:val="20"/>
        </w:rPr>
        <w:t>e</w:t>
      </w:r>
      <w:r>
        <w:rPr>
          <w:spacing w:val="25"/>
          <w:sz w:val="20"/>
        </w:rPr>
        <w:t xml:space="preserve"> </w:t>
      </w:r>
      <w:r>
        <w:rPr>
          <w:sz w:val="20"/>
        </w:rPr>
        <w:t>se</w:t>
      </w:r>
    </w:p>
    <w:p w14:paraId="7BC3BEE2" w14:textId="77777777" w:rsidR="00467FCA" w:rsidRDefault="00467FCA">
      <w:pPr>
        <w:pStyle w:val="Textoindependiente"/>
      </w:pPr>
    </w:p>
    <w:p w14:paraId="1F7EE475" w14:textId="77777777" w:rsidR="00467FCA" w:rsidRDefault="001B68EB">
      <w:pPr>
        <w:pStyle w:val="Textoindependiente"/>
        <w:spacing w:before="1"/>
        <w:rPr>
          <w:sz w:val="11"/>
        </w:rPr>
      </w:pPr>
      <w:r>
        <w:pict w14:anchorId="3B763051">
          <v:shape id="_x0000_s1083" style="position:absolute;margin-left:56.75pt;margin-top:9.1pt;width:2in;height:.1pt;z-index:-251542528;mso-wrap-distance-left:0;mso-wrap-distance-right:0;mso-position-horizontal-relative:page" coordorigin="1135,182" coordsize="2880,0" path="m1135,182r2880,e" filled="f" strokeweight=".72pt">
            <v:path arrowok="t"/>
            <w10:wrap type="topAndBottom" anchorx="page"/>
          </v:shape>
        </w:pict>
      </w:r>
    </w:p>
    <w:p w14:paraId="620F15D3" w14:textId="77777777" w:rsidR="00467FCA" w:rsidRDefault="001B68EB">
      <w:pPr>
        <w:spacing w:before="71"/>
        <w:ind w:left="470"/>
        <w:rPr>
          <w:sz w:val="16"/>
        </w:rPr>
      </w:pPr>
      <w:bookmarkStart w:id="716" w:name="_bookmark637"/>
      <w:bookmarkEnd w:id="716"/>
      <w:r>
        <w:rPr>
          <w:position w:val="6"/>
          <w:sz w:val="10"/>
        </w:rPr>
        <w:t xml:space="preserve">89 </w:t>
      </w:r>
      <w:r>
        <w:rPr>
          <w:sz w:val="16"/>
        </w:rPr>
        <w:t>Supra, Nota N° 69.</w:t>
      </w:r>
    </w:p>
    <w:p w14:paraId="77C517C4" w14:textId="77777777" w:rsidR="00467FCA" w:rsidRDefault="001B68EB">
      <w:pPr>
        <w:spacing w:before="2"/>
        <w:ind w:left="470"/>
        <w:rPr>
          <w:sz w:val="16"/>
        </w:rPr>
      </w:pPr>
      <w:bookmarkStart w:id="717" w:name="_bookmark638"/>
      <w:bookmarkEnd w:id="717"/>
      <w:r>
        <w:rPr>
          <w:position w:val="6"/>
          <w:sz w:val="10"/>
        </w:rPr>
        <w:t xml:space="preserve">90 </w:t>
      </w:r>
      <w:r>
        <w:rPr>
          <w:i/>
          <w:sz w:val="16"/>
        </w:rPr>
        <w:t>Supra</w:t>
      </w:r>
      <w:r>
        <w:rPr>
          <w:sz w:val="16"/>
        </w:rPr>
        <w:t>, Párr. 73.</w:t>
      </w:r>
    </w:p>
    <w:p w14:paraId="5F2DAB6B" w14:textId="77777777" w:rsidR="00467FCA" w:rsidRDefault="001B68EB">
      <w:pPr>
        <w:ind w:left="470"/>
        <w:rPr>
          <w:sz w:val="16"/>
        </w:rPr>
      </w:pPr>
      <w:bookmarkStart w:id="718" w:name="_bookmark639"/>
      <w:bookmarkEnd w:id="718"/>
      <w:r>
        <w:rPr>
          <w:position w:val="6"/>
          <w:sz w:val="10"/>
        </w:rPr>
        <w:t xml:space="preserve">91    </w:t>
      </w:r>
      <w:r>
        <w:rPr>
          <w:i/>
          <w:sz w:val="16"/>
        </w:rPr>
        <w:t>Supra</w:t>
      </w:r>
      <w:r>
        <w:rPr>
          <w:sz w:val="16"/>
        </w:rPr>
        <w:t>, Nota N°</w:t>
      </w:r>
      <w:r>
        <w:rPr>
          <w:spacing w:val="-3"/>
          <w:sz w:val="16"/>
        </w:rPr>
        <w:t xml:space="preserve"> </w:t>
      </w:r>
      <w:r>
        <w:rPr>
          <w:sz w:val="16"/>
        </w:rPr>
        <w:t>3.</w:t>
      </w:r>
    </w:p>
    <w:p w14:paraId="76161364" w14:textId="77777777" w:rsidR="00467FCA" w:rsidRDefault="001B68EB">
      <w:pPr>
        <w:ind w:left="470"/>
        <w:rPr>
          <w:sz w:val="16"/>
        </w:rPr>
      </w:pPr>
      <w:bookmarkStart w:id="719" w:name="_bookmark640"/>
      <w:bookmarkEnd w:id="719"/>
      <w:r>
        <w:rPr>
          <w:position w:val="6"/>
          <w:sz w:val="10"/>
        </w:rPr>
        <w:t xml:space="preserve">92    </w:t>
      </w:r>
      <w:r>
        <w:rPr>
          <w:i/>
          <w:sz w:val="16"/>
        </w:rPr>
        <w:t>Supra</w:t>
      </w:r>
      <w:r>
        <w:rPr>
          <w:sz w:val="16"/>
        </w:rPr>
        <w:t>, Nota N°</w:t>
      </w:r>
      <w:r>
        <w:rPr>
          <w:spacing w:val="-3"/>
          <w:sz w:val="16"/>
        </w:rPr>
        <w:t xml:space="preserve"> </w:t>
      </w:r>
      <w:r>
        <w:rPr>
          <w:sz w:val="16"/>
        </w:rPr>
        <w:t>4.</w:t>
      </w:r>
    </w:p>
    <w:p w14:paraId="47F2D645" w14:textId="77777777" w:rsidR="00467FCA" w:rsidRDefault="00467FCA">
      <w:pPr>
        <w:rPr>
          <w:sz w:val="16"/>
        </w:rPr>
        <w:sectPr w:rsidR="00467FCA">
          <w:pgSz w:w="12240" w:h="15840"/>
          <w:pgMar w:top="1340" w:right="1140" w:bottom="1200" w:left="960" w:header="0" w:footer="1002" w:gutter="0"/>
          <w:cols w:space="720"/>
        </w:sectPr>
      </w:pPr>
    </w:p>
    <w:p w14:paraId="4A12E11E" w14:textId="77777777" w:rsidR="00467FCA" w:rsidRDefault="001B68EB">
      <w:pPr>
        <w:pStyle w:val="Textoindependiente"/>
        <w:spacing w:before="76" w:line="278" w:lineRule="auto"/>
        <w:ind w:left="470"/>
      </w:pPr>
      <w:r>
        <w:t>sostiene que su eventual violación no puede ser sometida al conocimiento y resolución de la Corte.</w:t>
      </w:r>
    </w:p>
    <w:p w14:paraId="515323C0" w14:textId="77777777" w:rsidR="00467FCA" w:rsidRDefault="00467FCA">
      <w:pPr>
        <w:pStyle w:val="Textoindependiente"/>
        <w:spacing w:before="11"/>
        <w:rPr>
          <w:sz w:val="21"/>
        </w:rPr>
      </w:pPr>
    </w:p>
    <w:p w14:paraId="7D8F4D25" w14:textId="77777777" w:rsidR="00467FCA" w:rsidRDefault="001B68EB">
      <w:pPr>
        <w:pStyle w:val="Prrafodelista"/>
        <w:numPr>
          <w:ilvl w:val="0"/>
          <w:numId w:val="12"/>
        </w:numPr>
        <w:tabs>
          <w:tab w:val="left" w:pos="1450"/>
        </w:tabs>
        <w:spacing w:before="1" w:line="276" w:lineRule="auto"/>
        <w:ind w:right="397" w:firstLine="0"/>
        <w:jc w:val="both"/>
        <w:rPr>
          <w:sz w:val="20"/>
        </w:rPr>
      </w:pPr>
      <w:r>
        <w:rPr>
          <w:sz w:val="20"/>
        </w:rPr>
        <w:t>Asimismo, se debe señalar que tampoco el presente voto debe ser entendido en orden a que eventualmente no se esté a favor de someter ante la Corte las viola</w:t>
      </w:r>
      <w:r>
        <w:rPr>
          <w:sz w:val="20"/>
        </w:rPr>
        <w:t>ciones de los derechos económicos, sociales y culturales. Lo que se considera sobre el particular es que, si se procede a ello, debe hacerse por quién detenta la titularidad de la función normativa</w:t>
      </w:r>
      <w:r>
        <w:rPr>
          <w:spacing w:val="-16"/>
          <w:sz w:val="20"/>
        </w:rPr>
        <w:t xml:space="preserve"> </w:t>
      </w:r>
      <w:r>
        <w:rPr>
          <w:sz w:val="20"/>
        </w:rPr>
        <w:t>internacional.</w:t>
      </w:r>
      <w:r>
        <w:rPr>
          <w:spacing w:val="-17"/>
          <w:sz w:val="20"/>
        </w:rPr>
        <w:t xml:space="preserve"> </w:t>
      </w:r>
      <w:r>
        <w:rPr>
          <w:sz w:val="20"/>
        </w:rPr>
        <w:t>No</w:t>
      </w:r>
      <w:r>
        <w:rPr>
          <w:spacing w:val="-16"/>
          <w:sz w:val="20"/>
        </w:rPr>
        <w:t xml:space="preserve"> </w:t>
      </w:r>
      <w:r>
        <w:rPr>
          <w:sz w:val="20"/>
        </w:rPr>
        <w:t>parecería</w:t>
      </w:r>
      <w:r>
        <w:rPr>
          <w:spacing w:val="-16"/>
          <w:sz w:val="20"/>
        </w:rPr>
        <w:t xml:space="preserve"> </w:t>
      </w:r>
      <w:r>
        <w:rPr>
          <w:sz w:val="20"/>
        </w:rPr>
        <w:t>conveniente</w:t>
      </w:r>
      <w:r>
        <w:rPr>
          <w:spacing w:val="-19"/>
          <w:sz w:val="20"/>
        </w:rPr>
        <w:t xml:space="preserve"> </w:t>
      </w:r>
      <w:r>
        <w:rPr>
          <w:sz w:val="20"/>
        </w:rPr>
        <w:t>que</w:t>
      </w:r>
      <w:r>
        <w:rPr>
          <w:spacing w:val="-14"/>
          <w:sz w:val="20"/>
        </w:rPr>
        <w:t xml:space="preserve"> </w:t>
      </w:r>
      <w:r>
        <w:rPr>
          <w:sz w:val="20"/>
        </w:rPr>
        <w:t>el</w:t>
      </w:r>
      <w:r>
        <w:rPr>
          <w:spacing w:val="-16"/>
          <w:sz w:val="20"/>
        </w:rPr>
        <w:t xml:space="preserve"> </w:t>
      </w:r>
      <w:r>
        <w:rPr>
          <w:sz w:val="20"/>
        </w:rPr>
        <w:t>órgano</w:t>
      </w:r>
      <w:r>
        <w:rPr>
          <w:spacing w:val="-17"/>
          <w:sz w:val="20"/>
        </w:rPr>
        <w:t xml:space="preserve"> </w:t>
      </w:r>
      <w:r>
        <w:rPr>
          <w:sz w:val="20"/>
        </w:rPr>
        <w:t>al</w:t>
      </w:r>
      <w:r>
        <w:rPr>
          <w:spacing w:val="-17"/>
          <w:sz w:val="20"/>
        </w:rPr>
        <w:t xml:space="preserve"> </w:t>
      </w:r>
      <w:r>
        <w:rPr>
          <w:sz w:val="20"/>
        </w:rPr>
        <w:t>q</w:t>
      </w:r>
      <w:r>
        <w:rPr>
          <w:sz w:val="20"/>
        </w:rPr>
        <w:t>ue</w:t>
      </w:r>
      <w:r>
        <w:rPr>
          <w:spacing w:val="-19"/>
          <w:sz w:val="20"/>
        </w:rPr>
        <w:t xml:space="preserve"> </w:t>
      </w:r>
      <w:r>
        <w:rPr>
          <w:sz w:val="20"/>
        </w:rPr>
        <w:t>le</w:t>
      </w:r>
      <w:r>
        <w:rPr>
          <w:spacing w:val="-17"/>
          <w:sz w:val="20"/>
        </w:rPr>
        <w:t xml:space="preserve"> </w:t>
      </w:r>
      <w:r>
        <w:rPr>
          <w:sz w:val="20"/>
        </w:rPr>
        <w:t>compete</w:t>
      </w:r>
      <w:r>
        <w:rPr>
          <w:spacing w:val="-16"/>
          <w:sz w:val="20"/>
        </w:rPr>
        <w:t xml:space="preserve"> </w:t>
      </w:r>
      <w:r>
        <w:rPr>
          <w:sz w:val="20"/>
        </w:rPr>
        <w:t>la</w:t>
      </w:r>
      <w:r>
        <w:rPr>
          <w:spacing w:val="-16"/>
          <w:sz w:val="20"/>
        </w:rPr>
        <w:t xml:space="preserve"> </w:t>
      </w:r>
      <w:r>
        <w:rPr>
          <w:sz w:val="20"/>
        </w:rPr>
        <w:t>función judicial</w:t>
      </w:r>
      <w:r>
        <w:rPr>
          <w:spacing w:val="-9"/>
          <w:sz w:val="20"/>
        </w:rPr>
        <w:t xml:space="preserve"> </w:t>
      </w:r>
      <w:r>
        <w:rPr>
          <w:sz w:val="20"/>
        </w:rPr>
        <w:t>interamericana</w:t>
      </w:r>
      <w:r>
        <w:rPr>
          <w:spacing w:val="-7"/>
          <w:sz w:val="20"/>
        </w:rPr>
        <w:t xml:space="preserve"> </w:t>
      </w:r>
      <w:r>
        <w:rPr>
          <w:sz w:val="20"/>
        </w:rPr>
        <w:t>asuma</w:t>
      </w:r>
      <w:r>
        <w:rPr>
          <w:spacing w:val="-8"/>
          <w:sz w:val="20"/>
        </w:rPr>
        <w:t xml:space="preserve"> </w:t>
      </w:r>
      <w:r>
        <w:rPr>
          <w:sz w:val="20"/>
        </w:rPr>
        <w:t>la</w:t>
      </w:r>
      <w:r>
        <w:rPr>
          <w:spacing w:val="-9"/>
          <w:sz w:val="20"/>
        </w:rPr>
        <w:t xml:space="preserve"> </w:t>
      </w:r>
      <w:r>
        <w:rPr>
          <w:sz w:val="20"/>
        </w:rPr>
        <w:t>función</w:t>
      </w:r>
      <w:r>
        <w:rPr>
          <w:spacing w:val="-8"/>
          <w:sz w:val="20"/>
        </w:rPr>
        <w:t xml:space="preserve"> </w:t>
      </w:r>
      <w:r>
        <w:rPr>
          <w:sz w:val="20"/>
        </w:rPr>
        <w:t>normativa</w:t>
      </w:r>
      <w:r>
        <w:rPr>
          <w:spacing w:val="-9"/>
          <w:sz w:val="20"/>
        </w:rPr>
        <w:t xml:space="preserve"> </w:t>
      </w:r>
      <w:r>
        <w:rPr>
          <w:sz w:val="20"/>
        </w:rPr>
        <w:t>internacional,</w:t>
      </w:r>
      <w:r>
        <w:rPr>
          <w:spacing w:val="-10"/>
          <w:sz w:val="20"/>
        </w:rPr>
        <w:t xml:space="preserve"> </w:t>
      </w:r>
      <w:r>
        <w:rPr>
          <w:sz w:val="20"/>
        </w:rPr>
        <w:t>máxime</w:t>
      </w:r>
      <w:r>
        <w:rPr>
          <w:spacing w:val="-10"/>
          <w:sz w:val="20"/>
        </w:rPr>
        <w:t xml:space="preserve"> </w:t>
      </w:r>
      <w:r>
        <w:rPr>
          <w:sz w:val="20"/>
        </w:rPr>
        <w:t>cuando</w:t>
      </w:r>
      <w:r>
        <w:rPr>
          <w:spacing w:val="-8"/>
          <w:sz w:val="20"/>
        </w:rPr>
        <w:t xml:space="preserve"> </w:t>
      </w:r>
      <w:r>
        <w:rPr>
          <w:sz w:val="20"/>
        </w:rPr>
        <w:t>dichos</w:t>
      </w:r>
      <w:r>
        <w:rPr>
          <w:spacing w:val="-10"/>
          <w:sz w:val="20"/>
        </w:rPr>
        <w:t xml:space="preserve"> </w:t>
      </w:r>
      <w:r>
        <w:rPr>
          <w:sz w:val="20"/>
        </w:rPr>
        <w:t>los Estados</w:t>
      </w:r>
      <w:r>
        <w:rPr>
          <w:spacing w:val="-11"/>
          <w:sz w:val="20"/>
        </w:rPr>
        <w:t xml:space="preserve"> </w:t>
      </w:r>
      <w:r>
        <w:rPr>
          <w:sz w:val="20"/>
        </w:rPr>
        <w:t>son</w:t>
      </w:r>
      <w:r>
        <w:rPr>
          <w:spacing w:val="-11"/>
          <w:sz w:val="20"/>
        </w:rPr>
        <w:t xml:space="preserve"> </w:t>
      </w:r>
      <w:r>
        <w:rPr>
          <w:sz w:val="20"/>
        </w:rPr>
        <w:t>democráticos</w:t>
      </w:r>
      <w:r>
        <w:rPr>
          <w:spacing w:val="-11"/>
          <w:sz w:val="20"/>
        </w:rPr>
        <w:t xml:space="preserve"> </w:t>
      </w:r>
      <w:r>
        <w:rPr>
          <w:sz w:val="20"/>
        </w:rPr>
        <w:t>y</w:t>
      </w:r>
      <w:r>
        <w:rPr>
          <w:spacing w:val="-12"/>
          <w:sz w:val="20"/>
        </w:rPr>
        <w:t xml:space="preserve"> </w:t>
      </w:r>
      <w:r>
        <w:rPr>
          <w:sz w:val="20"/>
        </w:rPr>
        <w:t>a</w:t>
      </w:r>
      <w:r>
        <w:rPr>
          <w:spacing w:val="-11"/>
          <w:sz w:val="20"/>
        </w:rPr>
        <w:t xml:space="preserve"> </w:t>
      </w:r>
      <w:r>
        <w:rPr>
          <w:sz w:val="20"/>
        </w:rPr>
        <w:t>su</w:t>
      </w:r>
      <w:r>
        <w:rPr>
          <w:spacing w:val="-9"/>
          <w:sz w:val="20"/>
        </w:rPr>
        <w:t xml:space="preserve"> </w:t>
      </w:r>
      <w:r>
        <w:rPr>
          <w:sz w:val="20"/>
        </w:rPr>
        <w:t>respecto</w:t>
      </w:r>
      <w:r>
        <w:rPr>
          <w:spacing w:val="-10"/>
          <w:sz w:val="20"/>
        </w:rPr>
        <w:t xml:space="preserve"> </w:t>
      </w:r>
      <w:r>
        <w:rPr>
          <w:sz w:val="20"/>
        </w:rPr>
        <w:t>rige</w:t>
      </w:r>
      <w:r>
        <w:rPr>
          <w:spacing w:val="-14"/>
          <w:sz w:val="20"/>
        </w:rPr>
        <w:t xml:space="preserve"> </w:t>
      </w:r>
      <w:r>
        <w:rPr>
          <w:sz w:val="20"/>
        </w:rPr>
        <w:t>la</w:t>
      </w:r>
      <w:r>
        <w:rPr>
          <w:spacing w:val="-11"/>
          <w:sz w:val="20"/>
        </w:rPr>
        <w:t xml:space="preserve"> </w:t>
      </w:r>
      <w:r>
        <w:rPr>
          <w:sz w:val="20"/>
        </w:rPr>
        <w:t>Carta</w:t>
      </w:r>
      <w:r>
        <w:rPr>
          <w:spacing w:val="-11"/>
          <w:sz w:val="20"/>
        </w:rPr>
        <w:t xml:space="preserve"> </w:t>
      </w:r>
      <w:r>
        <w:rPr>
          <w:sz w:val="20"/>
        </w:rPr>
        <w:t>Democrática</w:t>
      </w:r>
      <w:r>
        <w:rPr>
          <w:spacing w:val="-12"/>
          <w:sz w:val="20"/>
        </w:rPr>
        <w:t xml:space="preserve"> </w:t>
      </w:r>
      <w:r>
        <w:rPr>
          <w:sz w:val="20"/>
        </w:rPr>
        <w:t>Interamericana</w:t>
      </w:r>
      <w:hyperlink w:anchor="_bookmark641" w:history="1">
        <w:r>
          <w:rPr>
            <w:position w:val="7"/>
            <w:sz w:val="13"/>
          </w:rPr>
          <w:t>93</w:t>
        </w:r>
      </w:hyperlink>
      <w:r>
        <w:rPr>
          <w:sz w:val="20"/>
        </w:rPr>
        <w:t>,</w:t>
      </w:r>
      <w:r>
        <w:rPr>
          <w:spacing w:val="-12"/>
          <w:sz w:val="20"/>
        </w:rPr>
        <w:t xml:space="preserve"> </w:t>
      </w:r>
      <w:r>
        <w:rPr>
          <w:sz w:val="20"/>
        </w:rPr>
        <w:t>la</w:t>
      </w:r>
      <w:r>
        <w:rPr>
          <w:spacing w:val="-11"/>
          <w:sz w:val="20"/>
        </w:rPr>
        <w:t xml:space="preserve"> </w:t>
      </w:r>
      <w:r>
        <w:rPr>
          <w:sz w:val="20"/>
        </w:rPr>
        <w:t>que prevé la separación de poderes y la participación ciudadana en los asuntos públicos, lo que, sin duda, la Corte debe respetar, particularmente en cuanto a aquellas normas que conciernen más directamente a la interve</w:t>
      </w:r>
      <w:r>
        <w:rPr>
          <w:sz w:val="20"/>
        </w:rPr>
        <w:t>nción de la</w:t>
      </w:r>
      <w:r>
        <w:rPr>
          <w:spacing w:val="-6"/>
          <w:sz w:val="20"/>
        </w:rPr>
        <w:t xml:space="preserve"> </w:t>
      </w:r>
      <w:r>
        <w:rPr>
          <w:sz w:val="20"/>
        </w:rPr>
        <w:t>ciudadanía.</w:t>
      </w:r>
    </w:p>
    <w:p w14:paraId="7D8F80D2" w14:textId="77777777" w:rsidR="00467FCA" w:rsidRDefault="00467FCA">
      <w:pPr>
        <w:pStyle w:val="Textoindependiente"/>
        <w:spacing w:before="2"/>
        <w:rPr>
          <w:sz w:val="22"/>
        </w:rPr>
      </w:pPr>
    </w:p>
    <w:p w14:paraId="054DE636" w14:textId="77777777" w:rsidR="00467FCA" w:rsidRDefault="001B68EB">
      <w:pPr>
        <w:pStyle w:val="Prrafodelista"/>
        <w:numPr>
          <w:ilvl w:val="0"/>
          <w:numId w:val="12"/>
        </w:numPr>
        <w:tabs>
          <w:tab w:val="left" w:pos="1451"/>
        </w:tabs>
        <w:spacing w:line="276" w:lineRule="auto"/>
        <w:ind w:right="394" w:firstLine="0"/>
        <w:jc w:val="both"/>
        <w:rPr>
          <w:sz w:val="20"/>
        </w:rPr>
      </w:pPr>
      <w:r>
        <w:rPr>
          <w:sz w:val="20"/>
        </w:rPr>
        <w:t>En</w:t>
      </w:r>
      <w:r>
        <w:rPr>
          <w:spacing w:val="-20"/>
          <w:sz w:val="20"/>
        </w:rPr>
        <w:t xml:space="preserve"> </w:t>
      </w:r>
      <w:r>
        <w:rPr>
          <w:sz w:val="20"/>
        </w:rPr>
        <w:t>esta</w:t>
      </w:r>
      <w:r>
        <w:rPr>
          <w:spacing w:val="-17"/>
          <w:sz w:val="20"/>
        </w:rPr>
        <w:t xml:space="preserve"> </w:t>
      </w:r>
      <w:r>
        <w:rPr>
          <w:sz w:val="20"/>
        </w:rPr>
        <w:t>perspectiva,</w:t>
      </w:r>
      <w:r>
        <w:rPr>
          <w:spacing w:val="-19"/>
          <w:sz w:val="20"/>
        </w:rPr>
        <w:t xml:space="preserve"> </w:t>
      </w:r>
      <w:r>
        <w:rPr>
          <w:sz w:val="20"/>
        </w:rPr>
        <w:t>cabe</w:t>
      </w:r>
      <w:r>
        <w:rPr>
          <w:spacing w:val="-21"/>
          <w:sz w:val="20"/>
        </w:rPr>
        <w:t xml:space="preserve"> </w:t>
      </w:r>
      <w:r>
        <w:rPr>
          <w:sz w:val="20"/>
        </w:rPr>
        <w:t>insistir</w:t>
      </w:r>
      <w:r>
        <w:rPr>
          <w:spacing w:val="-19"/>
          <w:sz w:val="20"/>
        </w:rPr>
        <w:t xml:space="preserve"> </w:t>
      </w:r>
      <w:r>
        <w:rPr>
          <w:sz w:val="20"/>
        </w:rPr>
        <w:t>en</w:t>
      </w:r>
      <w:r>
        <w:rPr>
          <w:spacing w:val="-17"/>
          <w:sz w:val="20"/>
        </w:rPr>
        <w:t xml:space="preserve"> </w:t>
      </w:r>
      <w:r>
        <w:rPr>
          <w:sz w:val="20"/>
        </w:rPr>
        <w:t>que</w:t>
      </w:r>
      <w:r>
        <w:rPr>
          <w:spacing w:val="-19"/>
          <w:sz w:val="20"/>
        </w:rPr>
        <w:t xml:space="preserve"> </w:t>
      </w:r>
      <w:r>
        <w:rPr>
          <w:sz w:val="20"/>
        </w:rPr>
        <w:t>la</w:t>
      </w:r>
      <w:r>
        <w:rPr>
          <w:spacing w:val="-21"/>
          <w:sz w:val="20"/>
        </w:rPr>
        <w:t xml:space="preserve"> </w:t>
      </w:r>
      <w:r>
        <w:rPr>
          <w:sz w:val="20"/>
        </w:rPr>
        <w:t>interpretación</w:t>
      </w:r>
      <w:r>
        <w:rPr>
          <w:spacing w:val="-19"/>
          <w:sz w:val="20"/>
        </w:rPr>
        <w:t xml:space="preserve"> </w:t>
      </w:r>
      <w:r>
        <w:rPr>
          <w:sz w:val="20"/>
        </w:rPr>
        <w:t>no</w:t>
      </w:r>
      <w:r>
        <w:rPr>
          <w:spacing w:val="-19"/>
          <w:sz w:val="20"/>
        </w:rPr>
        <w:t xml:space="preserve"> </w:t>
      </w:r>
      <w:r>
        <w:rPr>
          <w:sz w:val="20"/>
        </w:rPr>
        <w:t>consiste</w:t>
      </w:r>
      <w:r>
        <w:rPr>
          <w:spacing w:val="-17"/>
          <w:sz w:val="20"/>
        </w:rPr>
        <w:t xml:space="preserve"> </w:t>
      </w:r>
      <w:r>
        <w:rPr>
          <w:sz w:val="20"/>
        </w:rPr>
        <w:t>en</w:t>
      </w:r>
      <w:r>
        <w:rPr>
          <w:spacing w:val="-16"/>
          <w:sz w:val="20"/>
        </w:rPr>
        <w:t xml:space="preserve"> </w:t>
      </w:r>
      <w:r>
        <w:rPr>
          <w:sz w:val="20"/>
        </w:rPr>
        <w:t>determinar el sentido y alcance de una norma en vista de que exprese lo que el intérprete desea, sino que</w:t>
      </w:r>
      <w:r>
        <w:rPr>
          <w:spacing w:val="-5"/>
          <w:sz w:val="20"/>
        </w:rPr>
        <w:t xml:space="preserve"> </w:t>
      </w:r>
      <w:r>
        <w:rPr>
          <w:sz w:val="20"/>
        </w:rPr>
        <w:t>ella</w:t>
      </w:r>
      <w:r>
        <w:rPr>
          <w:spacing w:val="-3"/>
          <w:sz w:val="20"/>
        </w:rPr>
        <w:t xml:space="preserve"> </w:t>
      </w:r>
      <w:r>
        <w:rPr>
          <w:sz w:val="20"/>
        </w:rPr>
        <w:t>objetivamente</w:t>
      </w:r>
      <w:r>
        <w:rPr>
          <w:spacing w:val="-2"/>
          <w:sz w:val="20"/>
        </w:rPr>
        <w:t xml:space="preserve"> </w:t>
      </w:r>
      <w:r>
        <w:rPr>
          <w:sz w:val="20"/>
        </w:rPr>
        <w:t>dispone</w:t>
      </w:r>
      <w:r>
        <w:rPr>
          <w:spacing w:val="-2"/>
          <w:sz w:val="20"/>
        </w:rPr>
        <w:t xml:space="preserve"> </w:t>
      </w:r>
      <w:r>
        <w:rPr>
          <w:sz w:val="20"/>
        </w:rPr>
        <w:t>o</w:t>
      </w:r>
      <w:r>
        <w:rPr>
          <w:spacing w:val="-4"/>
          <w:sz w:val="20"/>
        </w:rPr>
        <w:t xml:space="preserve"> </w:t>
      </w:r>
      <w:r>
        <w:rPr>
          <w:sz w:val="20"/>
        </w:rPr>
        <w:t>establece</w:t>
      </w:r>
      <w:r>
        <w:rPr>
          <w:spacing w:val="-4"/>
          <w:sz w:val="20"/>
        </w:rPr>
        <w:t xml:space="preserve"> </w:t>
      </w:r>
      <w:r>
        <w:rPr>
          <w:sz w:val="20"/>
        </w:rPr>
        <w:t>y,</w:t>
      </w:r>
      <w:r>
        <w:rPr>
          <w:spacing w:val="-1"/>
          <w:sz w:val="20"/>
        </w:rPr>
        <w:t xml:space="preserve"> </w:t>
      </w:r>
      <w:r>
        <w:rPr>
          <w:sz w:val="20"/>
        </w:rPr>
        <w:t>en</w:t>
      </w:r>
      <w:r>
        <w:rPr>
          <w:spacing w:val="-2"/>
          <w:sz w:val="20"/>
        </w:rPr>
        <w:t xml:space="preserve"> </w:t>
      </w:r>
      <w:r>
        <w:rPr>
          <w:sz w:val="20"/>
        </w:rPr>
        <w:t>lo</w:t>
      </w:r>
      <w:r>
        <w:rPr>
          <w:spacing w:val="-4"/>
          <w:sz w:val="20"/>
        </w:rPr>
        <w:t xml:space="preserve"> </w:t>
      </w:r>
      <w:r>
        <w:rPr>
          <w:sz w:val="20"/>
        </w:rPr>
        <w:t>que</w:t>
      </w:r>
      <w:r>
        <w:rPr>
          <w:spacing w:val="-4"/>
          <w:sz w:val="20"/>
        </w:rPr>
        <w:t xml:space="preserve"> </w:t>
      </w:r>
      <w:r>
        <w:rPr>
          <w:sz w:val="20"/>
        </w:rPr>
        <w:t>respecta</w:t>
      </w:r>
      <w:r>
        <w:rPr>
          <w:spacing w:val="-3"/>
          <w:sz w:val="20"/>
        </w:rPr>
        <w:t xml:space="preserve"> </w:t>
      </w:r>
      <w:r>
        <w:rPr>
          <w:sz w:val="20"/>
        </w:rPr>
        <w:t>a</w:t>
      </w:r>
      <w:r>
        <w:rPr>
          <w:spacing w:val="-4"/>
          <w:sz w:val="20"/>
        </w:rPr>
        <w:t xml:space="preserve"> </w:t>
      </w:r>
      <w:r>
        <w:rPr>
          <w:sz w:val="20"/>
        </w:rPr>
        <w:t>la</w:t>
      </w:r>
      <w:r>
        <w:rPr>
          <w:spacing w:val="-3"/>
          <w:sz w:val="20"/>
        </w:rPr>
        <w:t xml:space="preserve"> </w:t>
      </w:r>
      <w:r>
        <w:rPr>
          <w:sz w:val="20"/>
        </w:rPr>
        <w:t>Convención,</w:t>
      </w:r>
      <w:r>
        <w:rPr>
          <w:spacing w:val="-4"/>
          <w:sz w:val="20"/>
        </w:rPr>
        <w:t xml:space="preserve"> </w:t>
      </w:r>
      <w:r>
        <w:rPr>
          <w:sz w:val="20"/>
        </w:rPr>
        <w:t>de</w:t>
      </w:r>
      <w:r>
        <w:rPr>
          <w:spacing w:val="-4"/>
          <w:sz w:val="20"/>
        </w:rPr>
        <w:t xml:space="preserve"> </w:t>
      </w:r>
      <w:r>
        <w:rPr>
          <w:sz w:val="20"/>
        </w:rPr>
        <w:t>lo</w:t>
      </w:r>
      <w:r>
        <w:rPr>
          <w:spacing w:val="-4"/>
          <w:sz w:val="20"/>
        </w:rPr>
        <w:t xml:space="preserve"> </w:t>
      </w:r>
      <w:r>
        <w:rPr>
          <w:sz w:val="20"/>
        </w:rPr>
        <w:t>que se</w:t>
      </w:r>
      <w:r>
        <w:rPr>
          <w:spacing w:val="-16"/>
          <w:sz w:val="20"/>
        </w:rPr>
        <w:t xml:space="preserve"> </w:t>
      </w:r>
      <w:r>
        <w:rPr>
          <w:sz w:val="20"/>
        </w:rPr>
        <w:t>trata</w:t>
      </w:r>
      <w:r>
        <w:rPr>
          <w:spacing w:val="-15"/>
          <w:sz w:val="20"/>
        </w:rPr>
        <w:t xml:space="preserve"> </w:t>
      </w:r>
      <w:r>
        <w:rPr>
          <w:sz w:val="20"/>
        </w:rPr>
        <w:t>es</w:t>
      </w:r>
      <w:r>
        <w:rPr>
          <w:spacing w:val="-18"/>
          <w:sz w:val="20"/>
        </w:rPr>
        <w:t xml:space="preserve"> </w:t>
      </w:r>
      <w:r>
        <w:rPr>
          <w:sz w:val="20"/>
        </w:rPr>
        <w:t>precisar</w:t>
      </w:r>
      <w:r>
        <w:rPr>
          <w:spacing w:val="-15"/>
          <w:sz w:val="20"/>
        </w:rPr>
        <w:t xml:space="preserve"> </w:t>
      </w:r>
      <w:r>
        <w:rPr>
          <w:sz w:val="20"/>
        </w:rPr>
        <w:t>cómo</w:t>
      </w:r>
      <w:r>
        <w:rPr>
          <w:spacing w:val="-18"/>
          <w:sz w:val="20"/>
        </w:rPr>
        <w:t xml:space="preserve"> </w:t>
      </w:r>
      <w:r>
        <w:rPr>
          <w:sz w:val="20"/>
        </w:rPr>
        <w:t>lo</w:t>
      </w:r>
      <w:r>
        <w:rPr>
          <w:spacing w:val="-16"/>
          <w:sz w:val="20"/>
        </w:rPr>
        <w:t xml:space="preserve"> </w:t>
      </w:r>
      <w:r>
        <w:rPr>
          <w:sz w:val="20"/>
        </w:rPr>
        <w:t>convenido</w:t>
      </w:r>
      <w:r>
        <w:rPr>
          <w:spacing w:val="-15"/>
          <w:sz w:val="20"/>
        </w:rPr>
        <w:t xml:space="preserve"> </w:t>
      </w:r>
      <w:r>
        <w:rPr>
          <w:sz w:val="20"/>
        </w:rPr>
        <w:t>por</w:t>
      </w:r>
      <w:r>
        <w:rPr>
          <w:spacing w:val="-16"/>
          <w:sz w:val="20"/>
        </w:rPr>
        <w:t xml:space="preserve"> </w:t>
      </w:r>
      <w:r>
        <w:rPr>
          <w:sz w:val="20"/>
        </w:rPr>
        <w:t>sus</w:t>
      </w:r>
      <w:r>
        <w:rPr>
          <w:spacing w:val="-16"/>
          <w:sz w:val="20"/>
        </w:rPr>
        <w:t xml:space="preserve"> </w:t>
      </w:r>
      <w:r>
        <w:rPr>
          <w:sz w:val="20"/>
        </w:rPr>
        <w:t>Estados</w:t>
      </w:r>
      <w:r>
        <w:rPr>
          <w:spacing w:val="-15"/>
          <w:sz w:val="20"/>
        </w:rPr>
        <w:t xml:space="preserve"> </w:t>
      </w:r>
      <w:r>
        <w:rPr>
          <w:sz w:val="20"/>
        </w:rPr>
        <w:t>Partes</w:t>
      </w:r>
      <w:r>
        <w:rPr>
          <w:spacing w:val="-16"/>
          <w:sz w:val="20"/>
        </w:rPr>
        <w:t xml:space="preserve"> </w:t>
      </w:r>
      <w:r>
        <w:rPr>
          <w:sz w:val="20"/>
        </w:rPr>
        <w:t>se</w:t>
      </w:r>
      <w:r>
        <w:rPr>
          <w:spacing w:val="-16"/>
          <w:sz w:val="20"/>
        </w:rPr>
        <w:t xml:space="preserve"> </w:t>
      </w:r>
      <w:r>
        <w:rPr>
          <w:sz w:val="20"/>
        </w:rPr>
        <w:t>puede</w:t>
      </w:r>
      <w:r>
        <w:rPr>
          <w:spacing w:val="-14"/>
          <w:sz w:val="20"/>
        </w:rPr>
        <w:t xml:space="preserve"> </w:t>
      </w:r>
      <w:r>
        <w:rPr>
          <w:sz w:val="20"/>
        </w:rPr>
        <w:t>aplicar</w:t>
      </w:r>
      <w:r>
        <w:rPr>
          <w:spacing w:val="-15"/>
          <w:sz w:val="20"/>
        </w:rPr>
        <w:t xml:space="preserve"> </w:t>
      </w:r>
      <w:r>
        <w:rPr>
          <w:sz w:val="20"/>
        </w:rPr>
        <w:t>en</w:t>
      </w:r>
      <w:r>
        <w:rPr>
          <w:spacing w:val="-16"/>
          <w:sz w:val="20"/>
        </w:rPr>
        <w:t xml:space="preserve"> </w:t>
      </w:r>
      <w:r>
        <w:rPr>
          <w:sz w:val="20"/>
        </w:rPr>
        <w:t>los</w:t>
      </w:r>
      <w:r>
        <w:rPr>
          <w:spacing w:val="-16"/>
          <w:sz w:val="20"/>
        </w:rPr>
        <w:t xml:space="preserve"> </w:t>
      </w:r>
      <w:r>
        <w:rPr>
          <w:sz w:val="20"/>
        </w:rPr>
        <w:t>tiempos y</w:t>
      </w:r>
      <w:r>
        <w:rPr>
          <w:spacing w:val="-7"/>
          <w:sz w:val="20"/>
        </w:rPr>
        <w:t xml:space="preserve"> </w:t>
      </w:r>
      <w:r>
        <w:rPr>
          <w:sz w:val="20"/>
        </w:rPr>
        <w:t>condiciones</w:t>
      </w:r>
      <w:r>
        <w:rPr>
          <w:spacing w:val="-4"/>
          <w:sz w:val="20"/>
        </w:rPr>
        <w:t xml:space="preserve"> </w:t>
      </w:r>
      <w:r>
        <w:rPr>
          <w:sz w:val="20"/>
        </w:rPr>
        <w:t>en</w:t>
      </w:r>
      <w:r>
        <w:rPr>
          <w:spacing w:val="-5"/>
          <w:sz w:val="20"/>
        </w:rPr>
        <w:t xml:space="preserve"> </w:t>
      </w:r>
      <w:r>
        <w:rPr>
          <w:sz w:val="20"/>
        </w:rPr>
        <w:t>que</w:t>
      </w:r>
      <w:r>
        <w:rPr>
          <w:spacing w:val="-4"/>
          <w:sz w:val="20"/>
        </w:rPr>
        <w:t xml:space="preserve"> </w:t>
      </w:r>
      <w:r>
        <w:rPr>
          <w:sz w:val="20"/>
        </w:rPr>
        <w:t>se</w:t>
      </w:r>
      <w:r>
        <w:rPr>
          <w:spacing w:val="-4"/>
          <w:sz w:val="20"/>
        </w:rPr>
        <w:t xml:space="preserve"> </w:t>
      </w:r>
      <w:r>
        <w:rPr>
          <w:sz w:val="20"/>
        </w:rPr>
        <w:t>plantea</w:t>
      </w:r>
      <w:r>
        <w:rPr>
          <w:spacing w:val="-6"/>
          <w:sz w:val="20"/>
        </w:rPr>
        <w:t xml:space="preserve"> </w:t>
      </w:r>
      <w:r>
        <w:rPr>
          <w:sz w:val="20"/>
        </w:rPr>
        <w:t>la</w:t>
      </w:r>
      <w:r>
        <w:rPr>
          <w:spacing w:val="-3"/>
          <w:sz w:val="20"/>
        </w:rPr>
        <w:t xml:space="preserve"> </w:t>
      </w:r>
      <w:r>
        <w:rPr>
          <w:sz w:val="20"/>
        </w:rPr>
        <w:t>respectiva</w:t>
      </w:r>
      <w:r>
        <w:rPr>
          <w:spacing w:val="-4"/>
          <w:sz w:val="20"/>
        </w:rPr>
        <w:t xml:space="preserve"> </w:t>
      </w:r>
      <w:r>
        <w:rPr>
          <w:sz w:val="20"/>
        </w:rPr>
        <w:t>controversia,</w:t>
      </w:r>
      <w:r>
        <w:rPr>
          <w:spacing w:val="-4"/>
          <w:sz w:val="20"/>
        </w:rPr>
        <w:t xml:space="preserve"> </w:t>
      </w:r>
      <w:r>
        <w:rPr>
          <w:sz w:val="20"/>
        </w:rPr>
        <w:t>es</w:t>
      </w:r>
      <w:r>
        <w:rPr>
          <w:spacing w:val="-5"/>
          <w:sz w:val="20"/>
        </w:rPr>
        <w:t xml:space="preserve"> </w:t>
      </w:r>
      <w:r>
        <w:rPr>
          <w:sz w:val="20"/>
        </w:rPr>
        <w:t>decir,</w:t>
      </w:r>
      <w:r>
        <w:rPr>
          <w:spacing w:val="-4"/>
          <w:sz w:val="20"/>
        </w:rPr>
        <w:t xml:space="preserve"> </w:t>
      </w:r>
      <w:r>
        <w:rPr>
          <w:sz w:val="20"/>
        </w:rPr>
        <w:t>cómo</w:t>
      </w:r>
      <w:r>
        <w:rPr>
          <w:spacing w:val="-7"/>
          <w:sz w:val="20"/>
        </w:rPr>
        <w:t xml:space="preserve"> </w:t>
      </w:r>
      <w:r>
        <w:rPr>
          <w:sz w:val="20"/>
        </w:rPr>
        <w:t>hacer</w:t>
      </w:r>
      <w:r>
        <w:rPr>
          <w:spacing w:val="-8"/>
          <w:sz w:val="20"/>
        </w:rPr>
        <w:t xml:space="preserve"> </w:t>
      </w:r>
      <w:r>
        <w:rPr>
          <w:sz w:val="20"/>
        </w:rPr>
        <w:t>aplicable</w:t>
      </w:r>
      <w:r>
        <w:rPr>
          <w:spacing w:val="-4"/>
          <w:sz w:val="20"/>
        </w:rPr>
        <w:t xml:space="preserve"> </w:t>
      </w:r>
      <w:r>
        <w:rPr>
          <w:sz w:val="20"/>
        </w:rPr>
        <w:t>el principio “</w:t>
      </w:r>
      <w:r>
        <w:rPr>
          <w:i/>
          <w:sz w:val="20"/>
        </w:rPr>
        <w:t>pacta sunt servanda</w:t>
      </w:r>
      <w:r>
        <w:rPr>
          <w:sz w:val="20"/>
        </w:rPr>
        <w:t>” en los tiempos y condiciones de vida en que la controversia tiene</w:t>
      </w:r>
      <w:r>
        <w:rPr>
          <w:spacing w:val="-12"/>
          <w:sz w:val="20"/>
        </w:rPr>
        <w:t xml:space="preserve"> </w:t>
      </w:r>
      <w:r>
        <w:rPr>
          <w:sz w:val="20"/>
        </w:rPr>
        <w:t>lugar.</w:t>
      </w:r>
      <w:r>
        <w:rPr>
          <w:spacing w:val="-11"/>
          <w:sz w:val="20"/>
        </w:rPr>
        <w:t xml:space="preserve"> </w:t>
      </w:r>
      <w:r>
        <w:rPr>
          <w:sz w:val="20"/>
        </w:rPr>
        <w:t>El</w:t>
      </w:r>
      <w:r>
        <w:rPr>
          <w:spacing w:val="-10"/>
          <w:sz w:val="20"/>
        </w:rPr>
        <w:t xml:space="preserve"> </w:t>
      </w:r>
      <w:r>
        <w:rPr>
          <w:sz w:val="20"/>
        </w:rPr>
        <w:t>asunto</w:t>
      </w:r>
      <w:r>
        <w:rPr>
          <w:spacing w:val="-11"/>
          <w:sz w:val="20"/>
        </w:rPr>
        <w:t xml:space="preserve"> </w:t>
      </w:r>
      <w:r>
        <w:rPr>
          <w:sz w:val="20"/>
        </w:rPr>
        <w:t>es,</w:t>
      </w:r>
      <w:r>
        <w:rPr>
          <w:spacing w:val="-12"/>
          <w:sz w:val="20"/>
        </w:rPr>
        <w:t xml:space="preserve"> </w:t>
      </w:r>
      <w:r>
        <w:rPr>
          <w:sz w:val="20"/>
        </w:rPr>
        <w:t>entonces,</w:t>
      </w:r>
      <w:r>
        <w:rPr>
          <w:spacing w:val="-8"/>
          <w:sz w:val="20"/>
        </w:rPr>
        <w:t xml:space="preserve"> </w:t>
      </w:r>
      <w:r>
        <w:rPr>
          <w:sz w:val="20"/>
        </w:rPr>
        <w:t>cómo</w:t>
      </w:r>
      <w:r>
        <w:rPr>
          <w:spacing w:val="-11"/>
          <w:sz w:val="20"/>
        </w:rPr>
        <w:t xml:space="preserve"> </w:t>
      </w:r>
      <w:r>
        <w:rPr>
          <w:sz w:val="20"/>
        </w:rPr>
        <w:t>hacer</w:t>
      </w:r>
      <w:r>
        <w:rPr>
          <w:spacing w:val="-9"/>
          <w:sz w:val="20"/>
        </w:rPr>
        <w:t xml:space="preserve"> </w:t>
      </w:r>
      <w:r>
        <w:rPr>
          <w:sz w:val="20"/>
        </w:rPr>
        <w:t>que</w:t>
      </w:r>
      <w:r>
        <w:rPr>
          <w:spacing w:val="-12"/>
          <w:sz w:val="20"/>
        </w:rPr>
        <w:t xml:space="preserve"> </w:t>
      </w:r>
      <w:r>
        <w:rPr>
          <w:sz w:val="20"/>
        </w:rPr>
        <w:t>los</w:t>
      </w:r>
      <w:r>
        <w:rPr>
          <w:spacing w:val="-11"/>
          <w:sz w:val="20"/>
        </w:rPr>
        <w:t xml:space="preserve"> </w:t>
      </w:r>
      <w:r>
        <w:rPr>
          <w:sz w:val="20"/>
        </w:rPr>
        <w:t>tratados</w:t>
      </w:r>
      <w:r>
        <w:rPr>
          <w:spacing w:val="-11"/>
          <w:sz w:val="20"/>
        </w:rPr>
        <w:t xml:space="preserve"> </w:t>
      </w:r>
      <w:r>
        <w:rPr>
          <w:sz w:val="20"/>
        </w:rPr>
        <w:t>de</w:t>
      </w:r>
      <w:r>
        <w:rPr>
          <w:spacing w:val="-11"/>
          <w:sz w:val="20"/>
        </w:rPr>
        <w:t xml:space="preserve"> </w:t>
      </w:r>
      <w:r>
        <w:rPr>
          <w:sz w:val="20"/>
        </w:rPr>
        <w:t>derechos</w:t>
      </w:r>
      <w:r>
        <w:rPr>
          <w:spacing w:val="-11"/>
          <w:sz w:val="20"/>
        </w:rPr>
        <w:t xml:space="preserve"> </w:t>
      </w:r>
      <w:r>
        <w:rPr>
          <w:sz w:val="20"/>
        </w:rPr>
        <w:t>humanos</w:t>
      </w:r>
      <w:r>
        <w:rPr>
          <w:spacing w:val="-10"/>
          <w:sz w:val="20"/>
        </w:rPr>
        <w:t xml:space="preserve"> </w:t>
      </w:r>
      <w:r>
        <w:rPr>
          <w:sz w:val="20"/>
        </w:rPr>
        <w:t xml:space="preserve">sean, </w:t>
      </w:r>
      <w:r>
        <w:rPr>
          <w:i/>
          <w:sz w:val="20"/>
        </w:rPr>
        <w:t xml:space="preserve">per se, </w:t>
      </w:r>
      <w:r>
        <w:rPr>
          <w:sz w:val="20"/>
        </w:rPr>
        <w:t>efectivamente instrumentos vivos, es decir, susceptibles de comprender o ser</w:t>
      </w:r>
      <w:r>
        <w:rPr>
          <w:sz w:val="20"/>
        </w:rPr>
        <w:t xml:space="preserve"> aplicables a las nuevas realidades que se enfrentan y no que sea su interpretación la que, como</w:t>
      </w:r>
      <w:r>
        <w:rPr>
          <w:spacing w:val="-9"/>
          <w:sz w:val="20"/>
        </w:rPr>
        <w:t xml:space="preserve"> </w:t>
      </w:r>
      <w:r>
        <w:rPr>
          <w:sz w:val="20"/>
        </w:rPr>
        <w:t>si</w:t>
      </w:r>
      <w:r>
        <w:rPr>
          <w:spacing w:val="-8"/>
          <w:sz w:val="20"/>
        </w:rPr>
        <w:t xml:space="preserve"> </w:t>
      </w:r>
      <w:r>
        <w:rPr>
          <w:sz w:val="20"/>
        </w:rPr>
        <w:t>fuese</w:t>
      </w:r>
      <w:r>
        <w:rPr>
          <w:spacing w:val="-9"/>
          <w:sz w:val="20"/>
        </w:rPr>
        <w:t xml:space="preserve"> </w:t>
      </w:r>
      <w:r>
        <w:rPr>
          <w:sz w:val="20"/>
        </w:rPr>
        <w:t>una</w:t>
      </w:r>
      <w:r>
        <w:rPr>
          <w:spacing w:val="-8"/>
          <w:sz w:val="20"/>
        </w:rPr>
        <w:t xml:space="preserve"> </w:t>
      </w:r>
      <w:r>
        <w:rPr>
          <w:sz w:val="20"/>
        </w:rPr>
        <w:t>entidad</w:t>
      </w:r>
      <w:r>
        <w:rPr>
          <w:spacing w:val="-7"/>
          <w:sz w:val="20"/>
        </w:rPr>
        <w:t xml:space="preserve"> </w:t>
      </w:r>
      <w:r>
        <w:rPr>
          <w:sz w:val="20"/>
        </w:rPr>
        <w:t>separada</w:t>
      </w:r>
      <w:r>
        <w:rPr>
          <w:spacing w:val="-8"/>
          <w:sz w:val="20"/>
        </w:rPr>
        <w:t xml:space="preserve"> </w:t>
      </w:r>
      <w:r>
        <w:rPr>
          <w:sz w:val="20"/>
        </w:rPr>
        <w:t>de</w:t>
      </w:r>
      <w:r>
        <w:rPr>
          <w:spacing w:val="-6"/>
          <w:sz w:val="20"/>
        </w:rPr>
        <w:t xml:space="preserve"> </w:t>
      </w:r>
      <w:r>
        <w:rPr>
          <w:sz w:val="20"/>
        </w:rPr>
        <w:t>aquellos,</w:t>
      </w:r>
      <w:r>
        <w:rPr>
          <w:spacing w:val="-8"/>
          <w:sz w:val="20"/>
        </w:rPr>
        <w:t xml:space="preserve"> </w:t>
      </w:r>
      <w:r>
        <w:rPr>
          <w:sz w:val="20"/>
        </w:rPr>
        <w:t>acompañe</w:t>
      </w:r>
      <w:r>
        <w:rPr>
          <w:spacing w:val="-9"/>
          <w:sz w:val="20"/>
        </w:rPr>
        <w:t xml:space="preserve"> </w:t>
      </w:r>
      <w:r>
        <w:rPr>
          <w:sz w:val="20"/>
        </w:rPr>
        <w:t>la</w:t>
      </w:r>
      <w:r>
        <w:rPr>
          <w:spacing w:val="-5"/>
          <w:sz w:val="20"/>
        </w:rPr>
        <w:t xml:space="preserve"> </w:t>
      </w:r>
      <w:r>
        <w:rPr>
          <w:sz w:val="20"/>
        </w:rPr>
        <w:t>evolución</w:t>
      </w:r>
      <w:r>
        <w:rPr>
          <w:spacing w:val="-4"/>
          <w:sz w:val="20"/>
        </w:rPr>
        <w:t xml:space="preserve"> </w:t>
      </w:r>
      <w:r>
        <w:rPr>
          <w:sz w:val="20"/>
        </w:rPr>
        <w:t>de</w:t>
      </w:r>
      <w:r>
        <w:rPr>
          <w:spacing w:val="-9"/>
          <w:sz w:val="20"/>
        </w:rPr>
        <w:t xml:space="preserve"> </w:t>
      </w:r>
      <w:r>
        <w:rPr>
          <w:sz w:val="20"/>
        </w:rPr>
        <w:t>los</w:t>
      </w:r>
      <w:r>
        <w:rPr>
          <w:spacing w:val="-9"/>
          <w:sz w:val="20"/>
        </w:rPr>
        <w:t xml:space="preserve"> </w:t>
      </w:r>
      <w:r>
        <w:rPr>
          <w:sz w:val="20"/>
        </w:rPr>
        <w:t>tiempos</w:t>
      </w:r>
      <w:r>
        <w:rPr>
          <w:spacing w:val="-9"/>
          <w:sz w:val="20"/>
        </w:rPr>
        <w:t xml:space="preserve"> </w:t>
      </w:r>
      <w:r>
        <w:rPr>
          <w:sz w:val="20"/>
        </w:rPr>
        <w:t>y</w:t>
      </w:r>
      <w:r>
        <w:rPr>
          <w:spacing w:val="-5"/>
          <w:sz w:val="20"/>
        </w:rPr>
        <w:t xml:space="preserve"> </w:t>
      </w:r>
      <w:r>
        <w:rPr>
          <w:sz w:val="20"/>
        </w:rPr>
        <w:t>las condiciones de vida actuales, alterando lo prescrito por</w:t>
      </w:r>
      <w:r>
        <w:rPr>
          <w:spacing w:val="-11"/>
          <w:sz w:val="20"/>
        </w:rPr>
        <w:t xml:space="preserve"> </w:t>
      </w:r>
      <w:r>
        <w:rPr>
          <w:sz w:val="20"/>
        </w:rPr>
        <w:t>aquellos.</w:t>
      </w:r>
    </w:p>
    <w:p w14:paraId="18856B14" w14:textId="77777777" w:rsidR="00467FCA" w:rsidRDefault="00467FCA">
      <w:pPr>
        <w:pStyle w:val="Textoindependiente"/>
        <w:spacing w:before="4"/>
        <w:rPr>
          <w:sz w:val="22"/>
        </w:rPr>
      </w:pPr>
    </w:p>
    <w:p w14:paraId="5169A05A" w14:textId="77777777" w:rsidR="00467FCA" w:rsidRDefault="001B68EB">
      <w:pPr>
        <w:pStyle w:val="Prrafodelista"/>
        <w:numPr>
          <w:ilvl w:val="0"/>
          <w:numId w:val="12"/>
        </w:numPr>
        <w:tabs>
          <w:tab w:val="left" w:pos="1450"/>
        </w:tabs>
        <w:spacing w:line="276" w:lineRule="auto"/>
        <w:ind w:right="394" w:firstLine="0"/>
        <w:jc w:val="both"/>
        <w:rPr>
          <w:sz w:val="20"/>
        </w:rPr>
      </w:pPr>
      <w:r>
        <w:rPr>
          <w:sz w:val="20"/>
        </w:rPr>
        <w:t>Finalmente, es imperioso repetir que, de persistirse en el derrotero adoptado por la</w:t>
      </w:r>
      <w:r>
        <w:rPr>
          <w:spacing w:val="-16"/>
          <w:sz w:val="20"/>
        </w:rPr>
        <w:t xml:space="preserve"> </w:t>
      </w:r>
      <w:r>
        <w:rPr>
          <w:sz w:val="20"/>
        </w:rPr>
        <w:t>Sentencia,</w:t>
      </w:r>
      <w:r>
        <w:rPr>
          <w:spacing w:val="-13"/>
          <w:sz w:val="20"/>
        </w:rPr>
        <w:t xml:space="preserve"> </w:t>
      </w:r>
      <w:r>
        <w:rPr>
          <w:sz w:val="20"/>
        </w:rPr>
        <w:t>el</w:t>
      </w:r>
      <w:r>
        <w:rPr>
          <w:spacing w:val="-15"/>
          <w:sz w:val="20"/>
        </w:rPr>
        <w:t xml:space="preserve"> </w:t>
      </w:r>
      <w:r>
        <w:rPr>
          <w:sz w:val="20"/>
        </w:rPr>
        <w:t>Sistema</w:t>
      </w:r>
      <w:r>
        <w:rPr>
          <w:spacing w:val="-12"/>
          <w:sz w:val="20"/>
        </w:rPr>
        <w:t xml:space="preserve"> </w:t>
      </w:r>
      <w:r>
        <w:rPr>
          <w:sz w:val="20"/>
        </w:rPr>
        <w:t>Interamericano</w:t>
      </w:r>
      <w:r>
        <w:rPr>
          <w:spacing w:val="-16"/>
          <w:sz w:val="20"/>
        </w:rPr>
        <w:t xml:space="preserve"> </w:t>
      </w:r>
      <w:r>
        <w:rPr>
          <w:sz w:val="20"/>
        </w:rPr>
        <w:t>de</w:t>
      </w:r>
      <w:r>
        <w:rPr>
          <w:spacing w:val="-16"/>
          <w:sz w:val="20"/>
        </w:rPr>
        <w:t xml:space="preserve"> </w:t>
      </w:r>
      <w:r>
        <w:rPr>
          <w:sz w:val="20"/>
        </w:rPr>
        <w:t>Derechos</w:t>
      </w:r>
      <w:r>
        <w:rPr>
          <w:spacing w:val="-14"/>
          <w:sz w:val="20"/>
        </w:rPr>
        <w:t xml:space="preserve"> </w:t>
      </w:r>
      <w:r>
        <w:rPr>
          <w:sz w:val="20"/>
        </w:rPr>
        <w:t>Humanos</w:t>
      </w:r>
      <w:hyperlink w:anchor="_bookmark642" w:history="1">
        <w:r>
          <w:rPr>
            <w:position w:val="7"/>
            <w:sz w:val="13"/>
          </w:rPr>
          <w:t>94</w:t>
        </w:r>
        <w:r>
          <w:rPr>
            <w:spacing w:val="9"/>
            <w:position w:val="7"/>
            <w:sz w:val="13"/>
          </w:rPr>
          <w:t xml:space="preserve"> </w:t>
        </w:r>
      </w:hyperlink>
      <w:r>
        <w:rPr>
          <w:sz w:val="20"/>
        </w:rPr>
        <w:t>en</w:t>
      </w:r>
      <w:r>
        <w:rPr>
          <w:spacing w:val="-14"/>
          <w:sz w:val="20"/>
        </w:rPr>
        <w:t xml:space="preserve"> </w:t>
      </w:r>
      <w:r>
        <w:rPr>
          <w:sz w:val="20"/>
        </w:rPr>
        <w:t>su</w:t>
      </w:r>
      <w:r>
        <w:rPr>
          <w:spacing w:val="-14"/>
          <w:sz w:val="20"/>
        </w:rPr>
        <w:t xml:space="preserve"> </w:t>
      </w:r>
      <w:r>
        <w:rPr>
          <w:sz w:val="20"/>
        </w:rPr>
        <w:t>conjunto</w:t>
      </w:r>
      <w:r>
        <w:rPr>
          <w:spacing w:val="-16"/>
          <w:sz w:val="20"/>
        </w:rPr>
        <w:t xml:space="preserve"> </w:t>
      </w:r>
      <w:r>
        <w:rPr>
          <w:sz w:val="20"/>
        </w:rPr>
        <w:t>podría</w:t>
      </w:r>
      <w:r>
        <w:rPr>
          <w:spacing w:val="-15"/>
          <w:sz w:val="20"/>
        </w:rPr>
        <w:t xml:space="preserve"> </w:t>
      </w:r>
      <w:r>
        <w:rPr>
          <w:sz w:val="20"/>
        </w:rPr>
        <w:t>verse seriamente limitado. Y ello en razón de que, muy probablemente, por una parte, no se incentivaría, sino todo lo contrario, la adhesión de nuevos Estados a la Convención ni la aceptación de la competencia contenciosa de la Corte por los que no lo haya</w:t>
      </w:r>
      <w:r>
        <w:rPr>
          <w:sz w:val="20"/>
        </w:rPr>
        <w:t>n hecho y, por la otra parte, podría renovarse o aún acentuarse la tendencia entre los Estados Partes de la Convención</w:t>
      </w:r>
      <w:r>
        <w:rPr>
          <w:spacing w:val="-13"/>
          <w:sz w:val="20"/>
        </w:rPr>
        <w:t xml:space="preserve"> </w:t>
      </w:r>
      <w:r>
        <w:rPr>
          <w:sz w:val="20"/>
        </w:rPr>
        <w:t>de</w:t>
      </w:r>
      <w:r>
        <w:rPr>
          <w:spacing w:val="-14"/>
          <w:sz w:val="20"/>
        </w:rPr>
        <w:t xml:space="preserve"> </w:t>
      </w:r>
      <w:r>
        <w:rPr>
          <w:sz w:val="20"/>
        </w:rPr>
        <w:t>no</w:t>
      </w:r>
      <w:r>
        <w:rPr>
          <w:spacing w:val="-11"/>
          <w:sz w:val="20"/>
        </w:rPr>
        <w:t xml:space="preserve"> </w:t>
      </w:r>
      <w:r>
        <w:rPr>
          <w:sz w:val="20"/>
        </w:rPr>
        <w:t>dar</w:t>
      </w:r>
      <w:r>
        <w:rPr>
          <w:spacing w:val="-11"/>
          <w:sz w:val="20"/>
        </w:rPr>
        <w:t xml:space="preserve"> </w:t>
      </w:r>
      <w:r>
        <w:rPr>
          <w:sz w:val="20"/>
        </w:rPr>
        <w:t>cumplimiento</w:t>
      </w:r>
      <w:r>
        <w:rPr>
          <w:spacing w:val="-14"/>
          <w:sz w:val="20"/>
        </w:rPr>
        <w:t xml:space="preserve"> </w:t>
      </w:r>
      <w:r>
        <w:rPr>
          <w:sz w:val="20"/>
        </w:rPr>
        <w:t>completo</w:t>
      </w:r>
      <w:r>
        <w:rPr>
          <w:spacing w:val="-14"/>
          <w:sz w:val="20"/>
        </w:rPr>
        <w:t xml:space="preserve"> </w:t>
      </w:r>
      <w:r>
        <w:rPr>
          <w:sz w:val="20"/>
        </w:rPr>
        <w:t>y</w:t>
      </w:r>
      <w:r>
        <w:rPr>
          <w:spacing w:val="-8"/>
          <w:sz w:val="20"/>
        </w:rPr>
        <w:t xml:space="preserve"> </w:t>
      </w:r>
      <w:r>
        <w:rPr>
          <w:sz w:val="20"/>
        </w:rPr>
        <w:t>oportuno</w:t>
      </w:r>
      <w:r>
        <w:rPr>
          <w:spacing w:val="-14"/>
          <w:sz w:val="20"/>
        </w:rPr>
        <w:t xml:space="preserve"> </w:t>
      </w:r>
      <w:r>
        <w:rPr>
          <w:sz w:val="20"/>
        </w:rPr>
        <w:t>a</w:t>
      </w:r>
      <w:r>
        <w:rPr>
          <w:spacing w:val="-10"/>
          <w:sz w:val="20"/>
        </w:rPr>
        <w:t xml:space="preserve"> </w:t>
      </w:r>
      <w:r>
        <w:rPr>
          <w:sz w:val="20"/>
        </w:rPr>
        <w:t>sus</w:t>
      </w:r>
      <w:r>
        <w:rPr>
          <w:spacing w:val="-13"/>
          <w:sz w:val="20"/>
        </w:rPr>
        <w:t xml:space="preserve"> </w:t>
      </w:r>
      <w:r>
        <w:rPr>
          <w:sz w:val="20"/>
        </w:rPr>
        <w:t>fallos.</w:t>
      </w:r>
      <w:r>
        <w:rPr>
          <w:spacing w:val="-13"/>
          <w:sz w:val="20"/>
        </w:rPr>
        <w:t xml:space="preserve"> </w:t>
      </w:r>
      <w:r>
        <w:rPr>
          <w:sz w:val="20"/>
        </w:rPr>
        <w:t>En</w:t>
      </w:r>
      <w:r>
        <w:rPr>
          <w:spacing w:val="-12"/>
          <w:sz w:val="20"/>
        </w:rPr>
        <w:t xml:space="preserve"> </w:t>
      </w:r>
      <w:r>
        <w:rPr>
          <w:sz w:val="20"/>
        </w:rPr>
        <w:t>suma,</w:t>
      </w:r>
      <w:r>
        <w:rPr>
          <w:spacing w:val="-12"/>
          <w:sz w:val="20"/>
        </w:rPr>
        <w:t xml:space="preserve"> </w:t>
      </w:r>
      <w:r>
        <w:rPr>
          <w:sz w:val="20"/>
        </w:rPr>
        <w:t>se</w:t>
      </w:r>
      <w:r>
        <w:rPr>
          <w:spacing w:val="-11"/>
          <w:sz w:val="20"/>
        </w:rPr>
        <w:t xml:space="preserve"> </w:t>
      </w:r>
      <w:r>
        <w:rPr>
          <w:sz w:val="20"/>
        </w:rPr>
        <w:t>debilitaría el</w:t>
      </w:r>
      <w:r>
        <w:rPr>
          <w:spacing w:val="-17"/>
          <w:sz w:val="20"/>
        </w:rPr>
        <w:t xml:space="preserve"> </w:t>
      </w:r>
      <w:r>
        <w:rPr>
          <w:sz w:val="20"/>
        </w:rPr>
        <w:t>principio</w:t>
      </w:r>
      <w:r>
        <w:rPr>
          <w:spacing w:val="-16"/>
          <w:sz w:val="20"/>
        </w:rPr>
        <w:t xml:space="preserve"> </w:t>
      </w:r>
      <w:r>
        <w:rPr>
          <w:sz w:val="20"/>
        </w:rPr>
        <w:t>de</w:t>
      </w:r>
      <w:r>
        <w:rPr>
          <w:spacing w:val="-19"/>
          <w:sz w:val="20"/>
        </w:rPr>
        <w:t xml:space="preserve"> </w:t>
      </w:r>
      <w:r>
        <w:rPr>
          <w:sz w:val="20"/>
        </w:rPr>
        <w:t>la</w:t>
      </w:r>
      <w:r>
        <w:rPr>
          <w:spacing w:val="-15"/>
          <w:sz w:val="20"/>
        </w:rPr>
        <w:t xml:space="preserve"> </w:t>
      </w:r>
      <w:r>
        <w:rPr>
          <w:sz w:val="20"/>
        </w:rPr>
        <w:t>seguridad</w:t>
      </w:r>
      <w:r>
        <w:rPr>
          <w:spacing w:val="-17"/>
          <w:sz w:val="20"/>
        </w:rPr>
        <w:t xml:space="preserve"> </w:t>
      </w:r>
      <w:r>
        <w:rPr>
          <w:sz w:val="20"/>
        </w:rPr>
        <w:t>o</w:t>
      </w:r>
      <w:r>
        <w:rPr>
          <w:spacing w:val="-19"/>
          <w:sz w:val="20"/>
        </w:rPr>
        <w:t xml:space="preserve"> </w:t>
      </w:r>
      <w:r>
        <w:rPr>
          <w:sz w:val="20"/>
        </w:rPr>
        <w:t>certeza</w:t>
      </w:r>
      <w:r>
        <w:rPr>
          <w:spacing w:val="-17"/>
          <w:sz w:val="20"/>
        </w:rPr>
        <w:t xml:space="preserve"> </w:t>
      </w:r>
      <w:r>
        <w:rPr>
          <w:sz w:val="20"/>
        </w:rPr>
        <w:t>jurídica,</w:t>
      </w:r>
      <w:r>
        <w:rPr>
          <w:spacing w:val="-18"/>
          <w:sz w:val="20"/>
        </w:rPr>
        <w:t xml:space="preserve"> </w:t>
      </w:r>
      <w:r>
        <w:rPr>
          <w:sz w:val="20"/>
        </w:rPr>
        <w:t>el</w:t>
      </w:r>
      <w:r>
        <w:rPr>
          <w:spacing w:val="-15"/>
          <w:sz w:val="20"/>
        </w:rPr>
        <w:t xml:space="preserve"> </w:t>
      </w:r>
      <w:r>
        <w:rPr>
          <w:sz w:val="20"/>
        </w:rPr>
        <w:t>que,</w:t>
      </w:r>
      <w:r>
        <w:rPr>
          <w:spacing w:val="-18"/>
          <w:sz w:val="20"/>
        </w:rPr>
        <w:t xml:space="preserve"> </w:t>
      </w:r>
      <w:r>
        <w:rPr>
          <w:sz w:val="20"/>
        </w:rPr>
        <w:t>en</w:t>
      </w:r>
      <w:r>
        <w:rPr>
          <w:spacing w:val="-16"/>
          <w:sz w:val="20"/>
        </w:rPr>
        <w:t xml:space="preserve"> </w:t>
      </w:r>
      <w:r>
        <w:rPr>
          <w:sz w:val="20"/>
        </w:rPr>
        <w:t>lo</w:t>
      </w:r>
      <w:r>
        <w:rPr>
          <w:spacing w:val="-19"/>
          <w:sz w:val="20"/>
        </w:rPr>
        <w:t xml:space="preserve"> </w:t>
      </w:r>
      <w:r>
        <w:rPr>
          <w:sz w:val="20"/>
        </w:rPr>
        <w:t>atingente</w:t>
      </w:r>
      <w:r>
        <w:rPr>
          <w:spacing w:val="-16"/>
          <w:sz w:val="20"/>
        </w:rPr>
        <w:t xml:space="preserve"> </w:t>
      </w:r>
      <w:r>
        <w:rPr>
          <w:sz w:val="20"/>
        </w:rPr>
        <w:t>a</w:t>
      </w:r>
      <w:r>
        <w:rPr>
          <w:spacing w:val="-17"/>
          <w:sz w:val="20"/>
        </w:rPr>
        <w:t xml:space="preserve"> </w:t>
      </w:r>
      <w:r>
        <w:rPr>
          <w:sz w:val="20"/>
        </w:rPr>
        <w:t>los</w:t>
      </w:r>
      <w:r>
        <w:rPr>
          <w:spacing w:val="-17"/>
          <w:sz w:val="20"/>
        </w:rPr>
        <w:t xml:space="preserve"> </w:t>
      </w:r>
      <w:r>
        <w:rPr>
          <w:sz w:val="20"/>
        </w:rPr>
        <w:t>derechos</w:t>
      </w:r>
      <w:r>
        <w:rPr>
          <w:spacing w:val="-18"/>
          <w:sz w:val="20"/>
        </w:rPr>
        <w:t xml:space="preserve"> </w:t>
      </w:r>
      <w:r>
        <w:rPr>
          <w:sz w:val="20"/>
        </w:rPr>
        <w:t>humanos, también beneficia a las víctimas de sus violaciones al garantizar el cumplimiento de las sentencias de la Corte por sustentarse sólidamente en los compromisos soberanamente asumidos por los</w:t>
      </w:r>
      <w:r>
        <w:rPr>
          <w:spacing w:val="-5"/>
          <w:sz w:val="20"/>
        </w:rPr>
        <w:t xml:space="preserve"> </w:t>
      </w:r>
      <w:r>
        <w:rPr>
          <w:sz w:val="20"/>
        </w:rPr>
        <w:t>Estados.</w:t>
      </w:r>
    </w:p>
    <w:p w14:paraId="5C397E7A" w14:textId="77777777" w:rsidR="00467FCA" w:rsidRDefault="00467FCA">
      <w:pPr>
        <w:pStyle w:val="Textoindependiente"/>
        <w:spacing w:before="1"/>
        <w:rPr>
          <w:sz w:val="22"/>
        </w:rPr>
      </w:pPr>
    </w:p>
    <w:p w14:paraId="24B5E9BC" w14:textId="77777777" w:rsidR="00467FCA" w:rsidRDefault="001B68EB">
      <w:pPr>
        <w:pStyle w:val="Prrafodelista"/>
        <w:numPr>
          <w:ilvl w:val="0"/>
          <w:numId w:val="12"/>
        </w:numPr>
        <w:tabs>
          <w:tab w:val="left" w:pos="1450"/>
        </w:tabs>
        <w:spacing w:line="276" w:lineRule="auto"/>
        <w:ind w:right="397" w:firstLine="0"/>
        <w:jc w:val="both"/>
        <w:rPr>
          <w:sz w:val="20"/>
        </w:rPr>
      </w:pPr>
      <w:r>
        <w:rPr>
          <w:sz w:val="20"/>
        </w:rPr>
        <w:t>Al respecto, no</w:t>
      </w:r>
      <w:r>
        <w:rPr>
          <w:sz w:val="20"/>
        </w:rPr>
        <w:t xml:space="preserve"> se debe olvidar que, en la práctica y más allá de cualquier consideración teórica, la función de la Corte es, en definitiva, dictar fallos que restablezcan, lo más pronto posible, el respeto de los derechos humanos violados. No es tan seguro que ello se l</w:t>
      </w:r>
      <w:r>
        <w:rPr>
          <w:sz w:val="20"/>
        </w:rPr>
        <w:t>ogre respecto de violaciones derechos humanos que no fueron consideradas en la Convención como justiciables ante la</w:t>
      </w:r>
      <w:r>
        <w:rPr>
          <w:spacing w:val="-4"/>
          <w:sz w:val="20"/>
        </w:rPr>
        <w:t xml:space="preserve"> </w:t>
      </w:r>
      <w:r>
        <w:rPr>
          <w:sz w:val="20"/>
        </w:rPr>
        <w:t>Corte.</w:t>
      </w:r>
    </w:p>
    <w:p w14:paraId="71D49BD9" w14:textId="77777777" w:rsidR="00467FCA" w:rsidRDefault="001B68EB">
      <w:pPr>
        <w:pStyle w:val="Textoindependiente"/>
        <w:spacing w:before="7"/>
        <w:rPr>
          <w:sz w:val="23"/>
        </w:rPr>
      </w:pPr>
      <w:r>
        <w:pict w14:anchorId="4028664C">
          <v:shape id="_x0000_s1082" style="position:absolute;margin-left:56.75pt;margin-top:16.7pt;width:2in;height:.1pt;z-index:-251541504;mso-wrap-distance-left:0;mso-wrap-distance-right:0;mso-position-horizontal-relative:page" coordorigin="1135,334" coordsize="2880,0" path="m1135,334r2880,e" filled="f" strokeweight=".72pt">
            <v:path arrowok="t"/>
            <w10:wrap type="topAndBottom" anchorx="page"/>
          </v:shape>
        </w:pict>
      </w:r>
    </w:p>
    <w:p w14:paraId="046BC9C6" w14:textId="77777777" w:rsidR="00467FCA" w:rsidRDefault="001B68EB">
      <w:pPr>
        <w:spacing w:before="71"/>
        <w:ind w:left="470"/>
        <w:rPr>
          <w:sz w:val="16"/>
        </w:rPr>
      </w:pPr>
      <w:bookmarkStart w:id="720" w:name="_bookmark641"/>
      <w:bookmarkEnd w:id="720"/>
      <w:r>
        <w:rPr>
          <w:position w:val="6"/>
          <w:sz w:val="10"/>
        </w:rPr>
        <w:t xml:space="preserve">93 </w:t>
      </w:r>
      <w:r>
        <w:rPr>
          <w:sz w:val="16"/>
        </w:rPr>
        <w:t>Adoptada en el Vigésimo Octavo Período Extraordinario de Sesiones de la Asamblea General de la OEA, 11 de septiembre de 2001, Li</w:t>
      </w:r>
      <w:r>
        <w:rPr>
          <w:sz w:val="16"/>
        </w:rPr>
        <w:t>ma, Perú.</w:t>
      </w:r>
    </w:p>
    <w:p w14:paraId="362860CF" w14:textId="77777777" w:rsidR="00467FCA" w:rsidRDefault="001B68EB">
      <w:pPr>
        <w:ind w:left="470"/>
        <w:rPr>
          <w:sz w:val="16"/>
        </w:rPr>
      </w:pPr>
      <w:bookmarkStart w:id="721" w:name="_bookmark642"/>
      <w:bookmarkEnd w:id="721"/>
      <w:r>
        <w:rPr>
          <w:position w:val="6"/>
          <w:sz w:val="10"/>
        </w:rPr>
        <w:t xml:space="preserve">94 </w:t>
      </w:r>
      <w:r>
        <w:rPr>
          <w:sz w:val="16"/>
        </w:rPr>
        <w:t>En adelante, SIDH.</w:t>
      </w:r>
    </w:p>
    <w:p w14:paraId="4616C1A9" w14:textId="77777777" w:rsidR="00467FCA" w:rsidRDefault="00467FCA">
      <w:pPr>
        <w:rPr>
          <w:sz w:val="16"/>
        </w:rPr>
        <w:sectPr w:rsidR="00467FCA">
          <w:pgSz w:w="12240" w:h="15840"/>
          <w:pgMar w:top="1340" w:right="1140" w:bottom="1200" w:left="960" w:header="0" w:footer="1002" w:gutter="0"/>
          <w:cols w:space="720"/>
        </w:sectPr>
      </w:pPr>
    </w:p>
    <w:p w14:paraId="72104FC7" w14:textId="77777777" w:rsidR="00467FCA" w:rsidRDefault="001B68EB">
      <w:pPr>
        <w:pStyle w:val="Ttulo1"/>
        <w:numPr>
          <w:ilvl w:val="1"/>
          <w:numId w:val="32"/>
        </w:numPr>
        <w:tabs>
          <w:tab w:val="left" w:pos="1450"/>
        </w:tabs>
        <w:spacing w:before="197"/>
        <w:ind w:left="1449" w:hanging="980"/>
        <w:jc w:val="both"/>
      </w:pPr>
      <w:r>
        <w:t>EL ARTÍCULO</w:t>
      </w:r>
      <w:r>
        <w:rPr>
          <w:spacing w:val="-3"/>
        </w:rPr>
        <w:t xml:space="preserve"> </w:t>
      </w:r>
      <w:r>
        <w:t>24.</w:t>
      </w:r>
    </w:p>
    <w:p w14:paraId="76D167E5" w14:textId="77777777" w:rsidR="00467FCA" w:rsidRDefault="00467FCA">
      <w:pPr>
        <w:pStyle w:val="Textoindependiente"/>
        <w:rPr>
          <w:b/>
          <w:sz w:val="26"/>
        </w:rPr>
      </w:pPr>
    </w:p>
    <w:p w14:paraId="5A8BBDE4" w14:textId="77777777" w:rsidR="00467FCA" w:rsidRDefault="001B68EB">
      <w:pPr>
        <w:pStyle w:val="Prrafodelista"/>
        <w:numPr>
          <w:ilvl w:val="0"/>
          <w:numId w:val="12"/>
        </w:numPr>
        <w:tabs>
          <w:tab w:val="left" w:pos="1450"/>
        </w:tabs>
        <w:spacing w:line="276" w:lineRule="auto"/>
        <w:ind w:right="397" w:firstLine="0"/>
        <w:jc w:val="both"/>
        <w:rPr>
          <w:sz w:val="20"/>
        </w:rPr>
      </w:pPr>
      <w:r>
        <w:rPr>
          <w:sz w:val="20"/>
        </w:rPr>
        <w:t>Como se indicó al comienzo, se presenta este voto dado que también se discrepa de que, en el Resolutivo N° 6 de la Sentencia</w:t>
      </w:r>
      <w:hyperlink w:anchor="_bookmark643" w:history="1">
        <w:r>
          <w:rPr>
            <w:position w:val="7"/>
            <w:sz w:val="13"/>
          </w:rPr>
          <w:t>95</w:t>
        </w:r>
      </w:hyperlink>
      <w:r>
        <w:rPr>
          <w:sz w:val="20"/>
        </w:rPr>
        <w:t>, se haya declarado la violación de</w:t>
      </w:r>
      <w:r>
        <w:rPr>
          <w:sz w:val="20"/>
        </w:rPr>
        <w:t>l artículo 24 de la Convención</w:t>
      </w:r>
      <w:hyperlink w:anchor="_bookmark644" w:history="1">
        <w:r>
          <w:rPr>
            <w:position w:val="7"/>
            <w:sz w:val="13"/>
          </w:rPr>
          <w:t>96</w:t>
        </w:r>
      </w:hyperlink>
      <w:r>
        <w:rPr>
          <w:sz w:val="20"/>
        </w:rPr>
        <w:t>, lo que, a juicio del suscrito, era</w:t>
      </w:r>
      <w:r>
        <w:rPr>
          <w:spacing w:val="-11"/>
          <w:sz w:val="20"/>
        </w:rPr>
        <w:t xml:space="preserve"> </w:t>
      </w:r>
      <w:r>
        <w:rPr>
          <w:sz w:val="20"/>
        </w:rPr>
        <w:t>improcedente.</w:t>
      </w:r>
    </w:p>
    <w:p w14:paraId="3E00BDDA" w14:textId="77777777" w:rsidR="00467FCA" w:rsidRDefault="00467FCA">
      <w:pPr>
        <w:pStyle w:val="Textoindependiente"/>
        <w:rPr>
          <w:sz w:val="23"/>
        </w:rPr>
      </w:pPr>
    </w:p>
    <w:p w14:paraId="3D802EDC" w14:textId="77777777" w:rsidR="00467FCA" w:rsidRDefault="001B68EB">
      <w:pPr>
        <w:pStyle w:val="Prrafodelista"/>
        <w:numPr>
          <w:ilvl w:val="0"/>
          <w:numId w:val="12"/>
        </w:numPr>
        <w:tabs>
          <w:tab w:val="left" w:pos="1450"/>
        </w:tabs>
        <w:spacing w:before="1"/>
        <w:ind w:left="1449"/>
        <w:jc w:val="both"/>
        <w:rPr>
          <w:sz w:val="20"/>
        </w:rPr>
      </w:pPr>
      <w:r>
        <w:rPr>
          <w:sz w:val="20"/>
        </w:rPr>
        <w:t>La disposición en comento señala</w:t>
      </w:r>
      <w:r>
        <w:rPr>
          <w:spacing w:val="-4"/>
          <w:sz w:val="20"/>
        </w:rPr>
        <w:t xml:space="preserve"> </w:t>
      </w:r>
      <w:r>
        <w:rPr>
          <w:sz w:val="20"/>
        </w:rPr>
        <w:t>que:</w:t>
      </w:r>
    </w:p>
    <w:p w14:paraId="79927F84" w14:textId="77777777" w:rsidR="00467FCA" w:rsidRDefault="00467FCA">
      <w:pPr>
        <w:pStyle w:val="Textoindependiente"/>
        <w:rPr>
          <w:sz w:val="25"/>
        </w:rPr>
      </w:pPr>
    </w:p>
    <w:p w14:paraId="0432E3BE" w14:textId="77777777" w:rsidR="00467FCA" w:rsidRDefault="001B68EB">
      <w:pPr>
        <w:spacing w:before="1" w:line="273" w:lineRule="auto"/>
        <w:ind w:left="1461" w:hanging="1"/>
        <w:rPr>
          <w:i/>
          <w:sz w:val="18"/>
        </w:rPr>
      </w:pPr>
      <w:r>
        <w:rPr>
          <w:i/>
          <w:sz w:val="18"/>
        </w:rPr>
        <w:t>“Todas las personas son iguales ante la ley. En consecuencia, tienen derecho, sin discriminación, a igual protección de la ley.”</w:t>
      </w:r>
    </w:p>
    <w:p w14:paraId="2F579C02" w14:textId="77777777" w:rsidR="00467FCA" w:rsidRDefault="00467FCA">
      <w:pPr>
        <w:pStyle w:val="Textoindependiente"/>
        <w:spacing w:before="5"/>
        <w:rPr>
          <w:i/>
          <w:sz w:val="23"/>
        </w:rPr>
      </w:pPr>
    </w:p>
    <w:p w14:paraId="4F08C41B" w14:textId="77777777" w:rsidR="00467FCA" w:rsidRDefault="001B68EB">
      <w:pPr>
        <w:pStyle w:val="Prrafodelista"/>
        <w:numPr>
          <w:ilvl w:val="0"/>
          <w:numId w:val="12"/>
        </w:numPr>
        <w:tabs>
          <w:tab w:val="left" w:pos="1450"/>
        </w:tabs>
        <w:spacing w:line="276" w:lineRule="auto"/>
        <w:ind w:right="397" w:firstLine="0"/>
        <w:jc w:val="both"/>
        <w:rPr>
          <w:sz w:val="20"/>
        </w:rPr>
      </w:pPr>
      <w:r>
        <w:rPr>
          <w:sz w:val="20"/>
        </w:rPr>
        <w:t>Procurando expresar de la mejor forma posible este disenso, las razones que lo sostienen serán expuestas en términos similares a los empleados precedentemente para la interpretación del artículo 26, vale decir, acorde a lo prescrito en el artículo 31 de la</w:t>
      </w:r>
      <w:r>
        <w:rPr>
          <w:sz w:val="20"/>
        </w:rPr>
        <w:t xml:space="preserve"> Convención de</w:t>
      </w:r>
      <w:r>
        <w:rPr>
          <w:spacing w:val="-2"/>
          <w:sz w:val="20"/>
        </w:rPr>
        <w:t xml:space="preserve"> </w:t>
      </w:r>
      <w:r>
        <w:rPr>
          <w:sz w:val="20"/>
        </w:rPr>
        <w:t>Viena</w:t>
      </w:r>
      <w:hyperlink w:anchor="_bookmark645" w:history="1">
        <w:r>
          <w:rPr>
            <w:position w:val="7"/>
            <w:sz w:val="13"/>
          </w:rPr>
          <w:t>97</w:t>
        </w:r>
      </w:hyperlink>
      <w:r>
        <w:rPr>
          <w:sz w:val="20"/>
        </w:rPr>
        <w:t>.</w:t>
      </w:r>
    </w:p>
    <w:p w14:paraId="1E580F4F" w14:textId="77777777" w:rsidR="00467FCA" w:rsidRDefault="00467FCA">
      <w:pPr>
        <w:pStyle w:val="Textoindependiente"/>
        <w:spacing w:before="6"/>
        <w:rPr>
          <w:sz w:val="24"/>
        </w:rPr>
      </w:pPr>
    </w:p>
    <w:p w14:paraId="335018D3" w14:textId="77777777" w:rsidR="00467FCA" w:rsidRDefault="001B68EB">
      <w:pPr>
        <w:pStyle w:val="Ttulo1"/>
        <w:numPr>
          <w:ilvl w:val="0"/>
          <w:numId w:val="11"/>
        </w:numPr>
        <w:tabs>
          <w:tab w:val="left" w:pos="809"/>
        </w:tabs>
        <w:jc w:val="both"/>
      </w:pPr>
      <w:r>
        <w:t>La buena</w:t>
      </w:r>
      <w:r>
        <w:rPr>
          <w:spacing w:val="-4"/>
        </w:rPr>
        <w:t xml:space="preserve"> </w:t>
      </w:r>
      <w:r>
        <w:t>fe.</w:t>
      </w:r>
    </w:p>
    <w:p w14:paraId="22D5294D" w14:textId="77777777" w:rsidR="00467FCA" w:rsidRDefault="00467FCA">
      <w:pPr>
        <w:pStyle w:val="Textoindependiente"/>
        <w:spacing w:before="5"/>
        <w:rPr>
          <w:b/>
          <w:sz w:val="24"/>
        </w:rPr>
      </w:pPr>
    </w:p>
    <w:p w14:paraId="669E2FDC" w14:textId="77777777" w:rsidR="00467FCA" w:rsidRDefault="001B68EB">
      <w:pPr>
        <w:pStyle w:val="Prrafodelista"/>
        <w:numPr>
          <w:ilvl w:val="0"/>
          <w:numId w:val="12"/>
        </w:numPr>
        <w:tabs>
          <w:tab w:val="left" w:pos="1450"/>
        </w:tabs>
        <w:spacing w:line="266" w:lineRule="auto"/>
        <w:ind w:left="469" w:right="398" w:firstLine="0"/>
        <w:jc w:val="both"/>
        <w:rPr>
          <w:sz w:val="20"/>
        </w:rPr>
      </w:pPr>
      <w:r>
        <w:rPr>
          <w:sz w:val="20"/>
        </w:rPr>
        <w:t>Interpretar la norma en cuestión conforme a la buena fe importa entenderla en el sentido</w:t>
      </w:r>
      <w:r>
        <w:rPr>
          <w:spacing w:val="-6"/>
          <w:sz w:val="20"/>
        </w:rPr>
        <w:t xml:space="preserve"> </w:t>
      </w:r>
      <w:r>
        <w:rPr>
          <w:sz w:val="20"/>
        </w:rPr>
        <w:t>de</w:t>
      </w:r>
      <w:r>
        <w:rPr>
          <w:spacing w:val="-3"/>
          <w:sz w:val="20"/>
        </w:rPr>
        <w:t xml:space="preserve"> </w:t>
      </w:r>
      <w:r>
        <w:rPr>
          <w:sz w:val="20"/>
        </w:rPr>
        <w:t>que</w:t>
      </w:r>
      <w:r>
        <w:rPr>
          <w:spacing w:val="-3"/>
          <w:sz w:val="20"/>
        </w:rPr>
        <w:t xml:space="preserve"> </w:t>
      </w:r>
      <w:r>
        <w:rPr>
          <w:sz w:val="20"/>
        </w:rPr>
        <w:t>su</w:t>
      </w:r>
      <w:r>
        <w:rPr>
          <w:spacing w:val="-1"/>
          <w:sz w:val="20"/>
        </w:rPr>
        <w:t xml:space="preserve"> </w:t>
      </w:r>
      <w:r>
        <w:rPr>
          <w:sz w:val="20"/>
        </w:rPr>
        <w:t>efecto</w:t>
      </w:r>
      <w:r>
        <w:rPr>
          <w:spacing w:val="-6"/>
          <w:sz w:val="20"/>
        </w:rPr>
        <w:t xml:space="preserve"> </w:t>
      </w:r>
      <w:r>
        <w:rPr>
          <w:sz w:val="20"/>
        </w:rPr>
        <w:t>útil</w:t>
      </w:r>
      <w:r>
        <w:rPr>
          <w:spacing w:val="-4"/>
          <w:sz w:val="20"/>
        </w:rPr>
        <w:t xml:space="preserve"> </w:t>
      </w:r>
      <w:r>
        <w:rPr>
          <w:sz w:val="20"/>
        </w:rPr>
        <w:t>es</w:t>
      </w:r>
      <w:r>
        <w:rPr>
          <w:spacing w:val="-5"/>
          <w:sz w:val="20"/>
        </w:rPr>
        <w:t xml:space="preserve"> </w:t>
      </w:r>
      <w:r>
        <w:rPr>
          <w:sz w:val="20"/>
        </w:rPr>
        <w:t>que</w:t>
      </w:r>
      <w:r>
        <w:rPr>
          <w:spacing w:val="-6"/>
          <w:sz w:val="20"/>
        </w:rPr>
        <w:t xml:space="preserve"> </w:t>
      </w:r>
      <w:r>
        <w:rPr>
          <w:sz w:val="20"/>
        </w:rPr>
        <w:t>toda</w:t>
      </w:r>
      <w:r>
        <w:rPr>
          <w:spacing w:val="-4"/>
          <w:sz w:val="20"/>
        </w:rPr>
        <w:t xml:space="preserve"> </w:t>
      </w:r>
      <w:r>
        <w:rPr>
          <w:sz w:val="20"/>
        </w:rPr>
        <w:t>persona</w:t>
      </w:r>
      <w:r>
        <w:rPr>
          <w:spacing w:val="-4"/>
          <w:sz w:val="20"/>
        </w:rPr>
        <w:t xml:space="preserve"> </w:t>
      </w:r>
      <w:r>
        <w:rPr>
          <w:sz w:val="20"/>
        </w:rPr>
        <w:t>tiene</w:t>
      </w:r>
      <w:r>
        <w:rPr>
          <w:spacing w:val="-3"/>
          <w:sz w:val="20"/>
        </w:rPr>
        <w:t xml:space="preserve"> </w:t>
      </w:r>
      <w:r>
        <w:rPr>
          <w:sz w:val="20"/>
        </w:rPr>
        <w:t>el</w:t>
      </w:r>
      <w:r>
        <w:rPr>
          <w:spacing w:val="-3"/>
          <w:sz w:val="20"/>
        </w:rPr>
        <w:t xml:space="preserve"> </w:t>
      </w:r>
      <w:r>
        <w:rPr>
          <w:sz w:val="20"/>
        </w:rPr>
        <w:t>derecho</w:t>
      </w:r>
      <w:r>
        <w:rPr>
          <w:spacing w:val="-6"/>
          <w:sz w:val="20"/>
        </w:rPr>
        <w:t xml:space="preserve"> </w:t>
      </w:r>
      <w:r>
        <w:rPr>
          <w:sz w:val="20"/>
        </w:rPr>
        <w:t>a</w:t>
      </w:r>
      <w:r>
        <w:rPr>
          <w:spacing w:val="-2"/>
          <w:sz w:val="20"/>
        </w:rPr>
        <w:t xml:space="preserve"> </w:t>
      </w:r>
      <w:r>
        <w:rPr>
          <w:sz w:val="20"/>
        </w:rPr>
        <w:t>que</w:t>
      </w:r>
      <w:r>
        <w:rPr>
          <w:spacing w:val="-6"/>
          <w:sz w:val="20"/>
        </w:rPr>
        <w:t xml:space="preserve"> </w:t>
      </w:r>
      <w:r>
        <w:rPr>
          <w:sz w:val="20"/>
        </w:rPr>
        <w:t>la</w:t>
      </w:r>
      <w:r>
        <w:rPr>
          <w:spacing w:val="-2"/>
          <w:sz w:val="20"/>
        </w:rPr>
        <w:t xml:space="preserve"> </w:t>
      </w:r>
      <w:r>
        <w:rPr>
          <w:sz w:val="20"/>
        </w:rPr>
        <w:t>ley</w:t>
      </w:r>
      <w:r>
        <w:rPr>
          <w:spacing w:val="-2"/>
          <w:sz w:val="20"/>
        </w:rPr>
        <w:t xml:space="preserve"> </w:t>
      </w:r>
      <w:r>
        <w:rPr>
          <w:sz w:val="20"/>
        </w:rPr>
        <w:t>la</w:t>
      </w:r>
      <w:r>
        <w:rPr>
          <w:spacing w:val="-4"/>
          <w:sz w:val="20"/>
        </w:rPr>
        <w:t xml:space="preserve"> </w:t>
      </w:r>
      <w:r>
        <w:rPr>
          <w:sz w:val="20"/>
        </w:rPr>
        <w:t>trate</w:t>
      </w:r>
      <w:r>
        <w:rPr>
          <w:spacing w:val="-3"/>
          <w:sz w:val="20"/>
        </w:rPr>
        <w:t xml:space="preserve"> </w:t>
      </w:r>
      <w:r>
        <w:rPr>
          <w:sz w:val="20"/>
        </w:rPr>
        <w:t>como igual a lo</w:t>
      </w:r>
      <w:r>
        <w:rPr>
          <w:sz w:val="20"/>
        </w:rPr>
        <w:t>s demás seres humanos y que, por lo tanto, la proteja sin</w:t>
      </w:r>
      <w:r>
        <w:rPr>
          <w:spacing w:val="-21"/>
          <w:sz w:val="20"/>
        </w:rPr>
        <w:t xml:space="preserve"> </w:t>
      </w:r>
      <w:r>
        <w:rPr>
          <w:sz w:val="20"/>
        </w:rPr>
        <w:t>discriminación.</w:t>
      </w:r>
    </w:p>
    <w:p w14:paraId="5D9EF04C" w14:textId="77777777" w:rsidR="00467FCA" w:rsidRDefault="00467FCA">
      <w:pPr>
        <w:pStyle w:val="Textoindependiente"/>
        <w:spacing w:before="3"/>
        <w:rPr>
          <w:sz w:val="22"/>
        </w:rPr>
      </w:pPr>
    </w:p>
    <w:p w14:paraId="35758A99" w14:textId="77777777" w:rsidR="00467FCA" w:rsidRDefault="001B68EB">
      <w:pPr>
        <w:pStyle w:val="Prrafodelista"/>
        <w:numPr>
          <w:ilvl w:val="0"/>
          <w:numId w:val="12"/>
        </w:numPr>
        <w:tabs>
          <w:tab w:val="left" w:pos="1450"/>
        </w:tabs>
        <w:spacing w:line="266" w:lineRule="auto"/>
        <w:ind w:left="469" w:right="397" w:firstLine="0"/>
        <w:jc w:val="both"/>
        <w:rPr>
          <w:sz w:val="20"/>
        </w:rPr>
      </w:pPr>
      <w:r>
        <w:rPr>
          <w:sz w:val="20"/>
        </w:rPr>
        <w:t>En</w:t>
      </w:r>
      <w:r>
        <w:rPr>
          <w:spacing w:val="-9"/>
          <w:sz w:val="20"/>
        </w:rPr>
        <w:t xml:space="preserve"> </w:t>
      </w:r>
      <w:r>
        <w:rPr>
          <w:sz w:val="20"/>
        </w:rPr>
        <w:t>ese</w:t>
      </w:r>
      <w:r>
        <w:rPr>
          <w:spacing w:val="-9"/>
          <w:sz w:val="20"/>
        </w:rPr>
        <w:t xml:space="preserve"> </w:t>
      </w:r>
      <w:r>
        <w:rPr>
          <w:sz w:val="20"/>
        </w:rPr>
        <w:t>sentido,</w:t>
      </w:r>
      <w:r>
        <w:rPr>
          <w:spacing w:val="-7"/>
          <w:sz w:val="20"/>
        </w:rPr>
        <w:t xml:space="preserve"> </w:t>
      </w:r>
      <w:r>
        <w:rPr>
          <w:sz w:val="20"/>
        </w:rPr>
        <w:t>la</w:t>
      </w:r>
      <w:r>
        <w:rPr>
          <w:spacing w:val="-8"/>
          <w:sz w:val="20"/>
        </w:rPr>
        <w:t xml:space="preserve"> </w:t>
      </w:r>
      <w:r>
        <w:rPr>
          <w:sz w:val="20"/>
        </w:rPr>
        <w:t>eventual</w:t>
      </w:r>
      <w:r>
        <w:rPr>
          <w:spacing w:val="-9"/>
          <w:sz w:val="20"/>
        </w:rPr>
        <w:t xml:space="preserve"> </w:t>
      </w:r>
      <w:r>
        <w:rPr>
          <w:sz w:val="20"/>
        </w:rPr>
        <w:t>violación</w:t>
      </w:r>
      <w:r>
        <w:rPr>
          <w:spacing w:val="-7"/>
          <w:sz w:val="20"/>
        </w:rPr>
        <w:t xml:space="preserve"> </w:t>
      </w:r>
      <w:r>
        <w:rPr>
          <w:sz w:val="20"/>
        </w:rPr>
        <w:t>de</w:t>
      </w:r>
      <w:r>
        <w:rPr>
          <w:spacing w:val="-6"/>
          <w:sz w:val="20"/>
        </w:rPr>
        <w:t xml:space="preserve"> </w:t>
      </w:r>
      <w:r>
        <w:rPr>
          <w:sz w:val="20"/>
        </w:rPr>
        <w:t>ese</w:t>
      </w:r>
      <w:r>
        <w:rPr>
          <w:spacing w:val="-11"/>
          <w:sz w:val="20"/>
        </w:rPr>
        <w:t xml:space="preserve"> </w:t>
      </w:r>
      <w:r>
        <w:rPr>
          <w:sz w:val="20"/>
        </w:rPr>
        <w:t>derecho</w:t>
      </w:r>
      <w:r>
        <w:rPr>
          <w:spacing w:val="-7"/>
          <w:sz w:val="20"/>
        </w:rPr>
        <w:t xml:space="preserve"> </w:t>
      </w:r>
      <w:r>
        <w:rPr>
          <w:sz w:val="20"/>
        </w:rPr>
        <w:t>se</w:t>
      </w:r>
      <w:r>
        <w:rPr>
          <w:spacing w:val="-8"/>
          <w:sz w:val="20"/>
        </w:rPr>
        <w:t xml:space="preserve"> </w:t>
      </w:r>
      <w:r>
        <w:rPr>
          <w:sz w:val="20"/>
        </w:rPr>
        <w:t>produciría</w:t>
      </w:r>
      <w:r>
        <w:rPr>
          <w:spacing w:val="-10"/>
          <w:sz w:val="20"/>
        </w:rPr>
        <w:t xml:space="preserve"> </w:t>
      </w:r>
      <w:r>
        <w:rPr>
          <w:sz w:val="20"/>
        </w:rPr>
        <w:t>por</w:t>
      </w:r>
      <w:r>
        <w:rPr>
          <w:spacing w:val="-8"/>
          <w:sz w:val="20"/>
        </w:rPr>
        <w:t xml:space="preserve"> </w:t>
      </w:r>
      <w:r>
        <w:rPr>
          <w:sz w:val="20"/>
        </w:rPr>
        <w:t>la</w:t>
      </w:r>
      <w:r>
        <w:rPr>
          <w:spacing w:val="-10"/>
          <w:sz w:val="20"/>
        </w:rPr>
        <w:t xml:space="preserve"> </w:t>
      </w:r>
      <w:r>
        <w:rPr>
          <w:sz w:val="20"/>
        </w:rPr>
        <w:t>ley</w:t>
      </w:r>
      <w:r>
        <w:rPr>
          <w:spacing w:val="-7"/>
          <w:sz w:val="20"/>
        </w:rPr>
        <w:t xml:space="preserve"> </w:t>
      </w:r>
      <w:r>
        <w:rPr>
          <w:sz w:val="20"/>
        </w:rPr>
        <w:t>misma y no porque no se garantice el libre y pleno ejercicio de algún otro derecho reconocido por la Convención. Esto es, el efecto útil del derecho en comento es que sea considerado, en sí mismo, un derecho humano. El trato desigual que establezca, o la d</w:t>
      </w:r>
      <w:r>
        <w:rPr>
          <w:sz w:val="20"/>
        </w:rPr>
        <w:t>iscriminación que disponga en cuanto la protección que proporcione, sería la causa que origine la responsabilidad internacional del</w:t>
      </w:r>
      <w:r>
        <w:rPr>
          <w:spacing w:val="-4"/>
          <w:sz w:val="20"/>
        </w:rPr>
        <w:t xml:space="preserve"> </w:t>
      </w:r>
      <w:r>
        <w:rPr>
          <w:sz w:val="20"/>
        </w:rPr>
        <w:t>Estado.</w:t>
      </w:r>
    </w:p>
    <w:p w14:paraId="7952D423" w14:textId="77777777" w:rsidR="00467FCA" w:rsidRDefault="00467FCA">
      <w:pPr>
        <w:pStyle w:val="Textoindependiente"/>
        <w:spacing w:before="2"/>
        <w:rPr>
          <w:sz w:val="22"/>
        </w:rPr>
      </w:pPr>
    </w:p>
    <w:p w14:paraId="79A14AA2" w14:textId="77777777" w:rsidR="00467FCA" w:rsidRDefault="001B68EB">
      <w:pPr>
        <w:pStyle w:val="Prrafodelista"/>
        <w:numPr>
          <w:ilvl w:val="0"/>
          <w:numId w:val="12"/>
        </w:numPr>
        <w:tabs>
          <w:tab w:val="left" w:pos="1450"/>
        </w:tabs>
        <w:spacing w:line="268" w:lineRule="auto"/>
        <w:ind w:right="396" w:firstLine="0"/>
        <w:jc w:val="both"/>
        <w:rPr>
          <w:sz w:val="20"/>
        </w:rPr>
      </w:pPr>
      <w:r>
        <w:rPr>
          <w:sz w:val="20"/>
        </w:rPr>
        <w:t>La regla de la buena fe conduce, en consecuencia, a considerar a lo previsto en el artículo</w:t>
      </w:r>
      <w:r>
        <w:rPr>
          <w:spacing w:val="-9"/>
          <w:sz w:val="20"/>
        </w:rPr>
        <w:t xml:space="preserve"> </w:t>
      </w:r>
      <w:r>
        <w:rPr>
          <w:sz w:val="20"/>
        </w:rPr>
        <w:t>24</w:t>
      </w:r>
      <w:r>
        <w:rPr>
          <w:spacing w:val="-7"/>
          <w:sz w:val="20"/>
        </w:rPr>
        <w:t xml:space="preserve"> </w:t>
      </w:r>
      <w:r>
        <w:rPr>
          <w:sz w:val="20"/>
        </w:rPr>
        <w:t>de</w:t>
      </w:r>
      <w:r>
        <w:rPr>
          <w:spacing w:val="-9"/>
          <w:sz w:val="20"/>
        </w:rPr>
        <w:t xml:space="preserve"> </w:t>
      </w:r>
      <w:r>
        <w:rPr>
          <w:sz w:val="20"/>
        </w:rPr>
        <w:t>la</w:t>
      </w:r>
      <w:r>
        <w:rPr>
          <w:spacing w:val="-8"/>
          <w:sz w:val="20"/>
        </w:rPr>
        <w:t xml:space="preserve"> </w:t>
      </w:r>
      <w:r>
        <w:rPr>
          <w:sz w:val="20"/>
        </w:rPr>
        <w:t>Convención</w:t>
      </w:r>
      <w:r>
        <w:rPr>
          <w:spacing w:val="-7"/>
          <w:sz w:val="20"/>
        </w:rPr>
        <w:t xml:space="preserve"> </w:t>
      </w:r>
      <w:r>
        <w:rPr>
          <w:sz w:val="20"/>
        </w:rPr>
        <w:t>com</w:t>
      </w:r>
      <w:r>
        <w:rPr>
          <w:sz w:val="20"/>
        </w:rPr>
        <w:t>o</w:t>
      </w:r>
      <w:r>
        <w:rPr>
          <w:spacing w:val="-6"/>
          <w:sz w:val="20"/>
        </w:rPr>
        <w:t xml:space="preserve"> </w:t>
      </w:r>
      <w:r>
        <w:rPr>
          <w:sz w:val="20"/>
        </w:rPr>
        <w:t>algo</w:t>
      </w:r>
      <w:r>
        <w:rPr>
          <w:spacing w:val="-9"/>
          <w:sz w:val="20"/>
        </w:rPr>
        <w:t xml:space="preserve"> </w:t>
      </w:r>
      <w:r>
        <w:rPr>
          <w:sz w:val="20"/>
        </w:rPr>
        <w:t>nítidamente</w:t>
      </w:r>
      <w:r>
        <w:rPr>
          <w:spacing w:val="-8"/>
          <w:sz w:val="20"/>
        </w:rPr>
        <w:t xml:space="preserve"> </w:t>
      </w:r>
      <w:r>
        <w:rPr>
          <w:sz w:val="20"/>
        </w:rPr>
        <w:t>distinto</w:t>
      </w:r>
      <w:r>
        <w:rPr>
          <w:spacing w:val="-9"/>
          <w:sz w:val="20"/>
        </w:rPr>
        <w:t xml:space="preserve"> </w:t>
      </w:r>
      <w:r>
        <w:rPr>
          <w:sz w:val="20"/>
        </w:rPr>
        <w:t>de</w:t>
      </w:r>
      <w:r>
        <w:rPr>
          <w:spacing w:val="-9"/>
          <w:sz w:val="20"/>
        </w:rPr>
        <w:t xml:space="preserve"> </w:t>
      </w:r>
      <w:r>
        <w:rPr>
          <w:sz w:val="20"/>
        </w:rPr>
        <w:t>lo</w:t>
      </w:r>
      <w:r>
        <w:rPr>
          <w:spacing w:val="-9"/>
          <w:sz w:val="20"/>
        </w:rPr>
        <w:t xml:space="preserve"> </w:t>
      </w:r>
      <w:r>
        <w:rPr>
          <w:sz w:val="20"/>
        </w:rPr>
        <w:t>contemplado</w:t>
      </w:r>
      <w:r>
        <w:rPr>
          <w:spacing w:val="-9"/>
          <w:sz w:val="20"/>
        </w:rPr>
        <w:t xml:space="preserve"> </w:t>
      </w:r>
      <w:r>
        <w:rPr>
          <w:sz w:val="20"/>
        </w:rPr>
        <w:t>en</w:t>
      </w:r>
      <w:r>
        <w:rPr>
          <w:spacing w:val="-4"/>
          <w:sz w:val="20"/>
        </w:rPr>
        <w:t xml:space="preserve"> </w:t>
      </w:r>
      <w:r>
        <w:rPr>
          <w:sz w:val="20"/>
        </w:rPr>
        <w:t>el</w:t>
      </w:r>
      <w:r>
        <w:rPr>
          <w:spacing w:val="-8"/>
          <w:sz w:val="20"/>
        </w:rPr>
        <w:t xml:space="preserve"> </w:t>
      </w:r>
      <w:r>
        <w:rPr>
          <w:sz w:val="20"/>
        </w:rPr>
        <w:t>artículo</w:t>
      </w:r>
    </w:p>
    <w:p w14:paraId="3BB915DF" w14:textId="77777777" w:rsidR="00467FCA" w:rsidRDefault="001B68EB">
      <w:pPr>
        <w:pStyle w:val="Textoindependiente"/>
        <w:spacing w:line="266" w:lineRule="auto"/>
        <w:ind w:left="470" w:right="399"/>
        <w:jc w:val="both"/>
      </w:pPr>
      <w:r>
        <w:t>1.1 de la misma, la que prevé una obligación condicional de los Estados para garantizar el libre y pleno ejercicio de todos los derechos reconocidos en ella, incluido, por ende, el pertinente a l</w:t>
      </w:r>
      <w:r>
        <w:t>a igualdad ante la ley.</w:t>
      </w:r>
    </w:p>
    <w:p w14:paraId="4688F0F1" w14:textId="77777777" w:rsidR="00467FCA" w:rsidRDefault="00467FCA">
      <w:pPr>
        <w:pStyle w:val="Textoindependiente"/>
        <w:spacing w:before="11"/>
        <w:rPr>
          <w:sz w:val="21"/>
        </w:rPr>
      </w:pPr>
    </w:p>
    <w:p w14:paraId="0E901ABB" w14:textId="77777777" w:rsidR="00467FCA" w:rsidRDefault="001B68EB">
      <w:pPr>
        <w:pStyle w:val="Prrafodelista"/>
        <w:numPr>
          <w:ilvl w:val="0"/>
          <w:numId w:val="10"/>
        </w:numPr>
        <w:tabs>
          <w:tab w:val="left" w:pos="1450"/>
        </w:tabs>
        <w:spacing w:line="266" w:lineRule="auto"/>
        <w:ind w:right="396" w:firstLine="0"/>
        <w:jc w:val="both"/>
        <w:rPr>
          <w:sz w:val="20"/>
        </w:rPr>
      </w:pPr>
      <w:r>
        <w:rPr>
          <w:sz w:val="20"/>
        </w:rPr>
        <w:t>En consecuencia, resulta incomprensible que en autos se declare que se violó el artículo 24 citado, sin indicar, empero, específicamente cual ley incurrió en ese ilícito internacional. En efecto, en la Sentencia se indica una situación genérica como la cau</w:t>
      </w:r>
      <w:r>
        <w:rPr>
          <w:sz w:val="20"/>
        </w:rPr>
        <w:t>sante de tal ilicitud, a saber, la situación estructural de discriminación en virtud de la pobreza o la condición de mujer o afrodescendiente</w:t>
      </w:r>
      <w:hyperlink w:anchor="_bookmark646" w:history="1">
        <w:r>
          <w:rPr>
            <w:position w:val="7"/>
            <w:sz w:val="13"/>
          </w:rPr>
          <w:t>98</w:t>
        </w:r>
      </w:hyperlink>
      <w:r>
        <w:rPr>
          <w:sz w:val="20"/>
        </w:rPr>
        <w:t>, sin, empero, hacer referencia alguna específicamente</w:t>
      </w:r>
      <w:r>
        <w:rPr>
          <w:spacing w:val="-7"/>
          <w:sz w:val="20"/>
        </w:rPr>
        <w:t xml:space="preserve"> </w:t>
      </w:r>
      <w:r>
        <w:rPr>
          <w:sz w:val="20"/>
        </w:rPr>
        <w:t>a</w:t>
      </w:r>
      <w:r>
        <w:rPr>
          <w:spacing w:val="-5"/>
          <w:sz w:val="20"/>
        </w:rPr>
        <w:t xml:space="preserve"> </w:t>
      </w:r>
      <w:r>
        <w:rPr>
          <w:sz w:val="20"/>
        </w:rPr>
        <w:t>la</w:t>
      </w:r>
      <w:r>
        <w:rPr>
          <w:spacing w:val="-5"/>
          <w:sz w:val="20"/>
        </w:rPr>
        <w:t xml:space="preserve"> </w:t>
      </w:r>
      <w:r>
        <w:rPr>
          <w:sz w:val="20"/>
        </w:rPr>
        <w:t>ley</w:t>
      </w:r>
      <w:r>
        <w:rPr>
          <w:spacing w:val="-6"/>
          <w:sz w:val="20"/>
        </w:rPr>
        <w:t xml:space="preserve"> </w:t>
      </w:r>
      <w:r>
        <w:rPr>
          <w:sz w:val="20"/>
        </w:rPr>
        <w:t>como</w:t>
      </w:r>
      <w:r>
        <w:rPr>
          <w:spacing w:val="-7"/>
          <w:sz w:val="20"/>
        </w:rPr>
        <w:t xml:space="preserve"> </w:t>
      </w:r>
      <w:r>
        <w:rPr>
          <w:sz w:val="20"/>
        </w:rPr>
        <w:t>la</w:t>
      </w:r>
      <w:r>
        <w:rPr>
          <w:spacing w:val="-5"/>
          <w:sz w:val="20"/>
        </w:rPr>
        <w:t xml:space="preserve"> </w:t>
      </w:r>
      <w:r>
        <w:rPr>
          <w:sz w:val="20"/>
        </w:rPr>
        <w:t>causante</w:t>
      </w:r>
      <w:r>
        <w:rPr>
          <w:spacing w:val="-9"/>
          <w:sz w:val="20"/>
        </w:rPr>
        <w:t xml:space="preserve"> </w:t>
      </w:r>
      <w:r>
        <w:rPr>
          <w:sz w:val="20"/>
        </w:rPr>
        <w:t>de</w:t>
      </w:r>
      <w:r>
        <w:rPr>
          <w:spacing w:val="-7"/>
          <w:sz w:val="20"/>
        </w:rPr>
        <w:t xml:space="preserve"> </w:t>
      </w:r>
      <w:r>
        <w:rPr>
          <w:sz w:val="20"/>
        </w:rPr>
        <w:t>ello.</w:t>
      </w:r>
      <w:r>
        <w:rPr>
          <w:spacing w:val="-6"/>
          <w:sz w:val="20"/>
        </w:rPr>
        <w:t xml:space="preserve"> </w:t>
      </w:r>
      <w:r>
        <w:rPr>
          <w:sz w:val="20"/>
        </w:rPr>
        <w:t>Recuérdese</w:t>
      </w:r>
      <w:r>
        <w:rPr>
          <w:spacing w:val="-7"/>
          <w:sz w:val="20"/>
        </w:rPr>
        <w:t xml:space="preserve"> </w:t>
      </w:r>
      <w:r>
        <w:rPr>
          <w:sz w:val="20"/>
        </w:rPr>
        <w:t>que</w:t>
      </w:r>
      <w:r>
        <w:rPr>
          <w:spacing w:val="-4"/>
          <w:sz w:val="20"/>
        </w:rPr>
        <w:t xml:space="preserve"> </w:t>
      </w:r>
      <w:r>
        <w:rPr>
          <w:sz w:val="20"/>
        </w:rPr>
        <w:t>el</w:t>
      </w:r>
      <w:r>
        <w:rPr>
          <w:spacing w:val="-7"/>
          <w:sz w:val="20"/>
        </w:rPr>
        <w:t xml:space="preserve"> </w:t>
      </w:r>
      <w:r>
        <w:rPr>
          <w:sz w:val="20"/>
        </w:rPr>
        <w:t>artículo</w:t>
      </w:r>
      <w:r>
        <w:rPr>
          <w:spacing w:val="-8"/>
          <w:sz w:val="20"/>
        </w:rPr>
        <w:t xml:space="preserve"> </w:t>
      </w:r>
      <w:r>
        <w:rPr>
          <w:sz w:val="20"/>
        </w:rPr>
        <w:t>24</w:t>
      </w:r>
      <w:r>
        <w:rPr>
          <w:spacing w:val="-3"/>
          <w:sz w:val="20"/>
        </w:rPr>
        <w:t xml:space="preserve"> </w:t>
      </w:r>
      <w:r>
        <w:rPr>
          <w:sz w:val="20"/>
        </w:rPr>
        <w:t>en</w:t>
      </w:r>
      <w:r>
        <w:rPr>
          <w:spacing w:val="-7"/>
          <w:sz w:val="20"/>
        </w:rPr>
        <w:t xml:space="preserve"> </w:t>
      </w:r>
      <w:r>
        <w:rPr>
          <w:sz w:val="20"/>
        </w:rPr>
        <w:t>cuestión</w:t>
      </w:r>
    </w:p>
    <w:p w14:paraId="495E2EDB" w14:textId="77777777" w:rsidR="00467FCA" w:rsidRDefault="00467FCA">
      <w:pPr>
        <w:pStyle w:val="Textoindependiente"/>
      </w:pPr>
    </w:p>
    <w:p w14:paraId="3D3866DE" w14:textId="77777777" w:rsidR="00467FCA" w:rsidRDefault="00467FCA">
      <w:pPr>
        <w:pStyle w:val="Textoindependiente"/>
      </w:pPr>
    </w:p>
    <w:p w14:paraId="37CF2E49" w14:textId="77777777" w:rsidR="00467FCA" w:rsidRDefault="001B68EB">
      <w:pPr>
        <w:pStyle w:val="Textoindependiente"/>
        <w:rPr>
          <w:sz w:val="11"/>
        </w:rPr>
      </w:pPr>
      <w:r>
        <w:pict w14:anchorId="68E94766">
          <v:shape id="_x0000_s1081" style="position:absolute;margin-left:56.75pt;margin-top:9.05pt;width:2in;height:.1pt;z-index:-251540480;mso-wrap-distance-left:0;mso-wrap-distance-right:0;mso-position-horizontal-relative:page" coordorigin="1135,181" coordsize="2880,0" path="m1135,181r2880,e" filled="f" strokeweight=".72pt">
            <v:path arrowok="t"/>
            <w10:wrap type="topAndBottom" anchorx="page"/>
          </v:shape>
        </w:pict>
      </w:r>
    </w:p>
    <w:p w14:paraId="222F85FB" w14:textId="77777777" w:rsidR="00467FCA" w:rsidRDefault="001B68EB">
      <w:pPr>
        <w:spacing w:before="71"/>
        <w:ind w:left="470"/>
        <w:rPr>
          <w:sz w:val="16"/>
        </w:rPr>
      </w:pPr>
      <w:bookmarkStart w:id="722" w:name="_bookmark643"/>
      <w:bookmarkEnd w:id="722"/>
      <w:r>
        <w:rPr>
          <w:position w:val="6"/>
          <w:sz w:val="10"/>
        </w:rPr>
        <w:t xml:space="preserve">95 </w:t>
      </w:r>
      <w:r>
        <w:rPr>
          <w:sz w:val="16"/>
        </w:rPr>
        <w:t>Supra, Nota N° 3.</w:t>
      </w:r>
    </w:p>
    <w:p w14:paraId="1433B166" w14:textId="77777777" w:rsidR="00467FCA" w:rsidRDefault="001B68EB">
      <w:pPr>
        <w:spacing w:before="2"/>
        <w:ind w:left="470"/>
        <w:rPr>
          <w:sz w:val="16"/>
        </w:rPr>
      </w:pPr>
      <w:bookmarkStart w:id="723" w:name="_bookmark644"/>
      <w:bookmarkEnd w:id="723"/>
      <w:r>
        <w:rPr>
          <w:position w:val="6"/>
          <w:sz w:val="10"/>
        </w:rPr>
        <w:t xml:space="preserve">96 </w:t>
      </w:r>
      <w:r>
        <w:rPr>
          <w:sz w:val="16"/>
        </w:rPr>
        <w:t>En adelante, el artículo 24.</w:t>
      </w:r>
    </w:p>
    <w:p w14:paraId="1E2946E9" w14:textId="77777777" w:rsidR="00467FCA" w:rsidRDefault="001B68EB">
      <w:pPr>
        <w:ind w:left="470"/>
        <w:rPr>
          <w:sz w:val="16"/>
        </w:rPr>
      </w:pPr>
      <w:bookmarkStart w:id="724" w:name="_bookmark645"/>
      <w:bookmarkEnd w:id="724"/>
      <w:r>
        <w:rPr>
          <w:position w:val="6"/>
          <w:sz w:val="10"/>
        </w:rPr>
        <w:t xml:space="preserve">97 </w:t>
      </w:r>
      <w:r>
        <w:rPr>
          <w:i/>
          <w:sz w:val="16"/>
        </w:rPr>
        <w:t>Supra</w:t>
      </w:r>
      <w:r>
        <w:rPr>
          <w:sz w:val="16"/>
        </w:rPr>
        <w:t>, Nota N° 11.</w:t>
      </w:r>
    </w:p>
    <w:p w14:paraId="30921C9B" w14:textId="77777777" w:rsidR="00467FCA" w:rsidRDefault="001B68EB">
      <w:pPr>
        <w:ind w:left="470"/>
        <w:rPr>
          <w:sz w:val="16"/>
        </w:rPr>
      </w:pPr>
      <w:bookmarkStart w:id="725" w:name="_bookmark646"/>
      <w:bookmarkEnd w:id="725"/>
      <w:r>
        <w:rPr>
          <w:position w:val="6"/>
          <w:sz w:val="10"/>
        </w:rPr>
        <w:t xml:space="preserve">98 </w:t>
      </w:r>
      <w:r>
        <w:rPr>
          <w:sz w:val="16"/>
        </w:rPr>
        <w:t>Párrs. 185 a 200.</w:t>
      </w:r>
    </w:p>
    <w:p w14:paraId="7060367B" w14:textId="77777777" w:rsidR="00467FCA" w:rsidRDefault="00467FCA">
      <w:pPr>
        <w:rPr>
          <w:sz w:val="16"/>
        </w:rPr>
        <w:sectPr w:rsidR="00467FCA">
          <w:pgSz w:w="12240" w:h="15840"/>
          <w:pgMar w:top="1500" w:right="1140" w:bottom="1200" w:left="960" w:header="0" w:footer="1002" w:gutter="0"/>
          <w:cols w:space="720"/>
        </w:sectPr>
      </w:pPr>
    </w:p>
    <w:p w14:paraId="3616F429" w14:textId="77777777" w:rsidR="00467FCA" w:rsidRDefault="001B68EB">
      <w:pPr>
        <w:pStyle w:val="Textoindependiente"/>
        <w:spacing w:before="85" w:line="266" w:lineRule="auto"/>
        <w:ind w:left="470" w:right="409"/>
      </w:pPr>
      <w:r>
        <w:t>expresamente establece que es la ley la que debe otorgar la igualdad entre los ser</w:t>
      </w:r>
      <w:r>
        <w:t>es humanos y proporcionar la correspondiente protección, sin discriminación.</w:t>
      </w:r>
    </w:p>
    <w:p w14:paraId="29A19CE4" w14:textId="77777777" w:rsidR="00467FCA" w:rsidRDefault="00467FCA">
      <w:pPr>
        <w:pStyle w:val="Textoindependiente"/>
        <w:spacing w:before="12"/>
        <w:rPr>
          <w:sz w:val="19"/>
        </w:rPr>
      </w:pPr>
    </w:p>
    <w:p w14:paraId="380CA20F" w14:textId="77777777" w:rsidR="00467FCA" w:rsidRDefault="001B68EB">
      <w:pPr>
        <w:pStyle w:val="Ttulo1"/>
        <w:numPr>
          <w:ilvl w:val="0"/>
          <w:numId w:val="11"/>
        </w:numPr>
        <w:tabs>
          <w:tab w:val="left" w:pos="742"/>
        </w:tabs>
        <w:ind w:left="741" w:hanging="272"/>
        <w:jc w:val="both"/>
      </w:pPr>
      <w:r>
        <w:t>Tenor</w:t>
      </w:r>
      <w:r>
        <w:rPr>
          <w:spacing w:val="-1"/>
        </w:rPr>
        <w:t xml:space="preserve"> </w:t>
      </w:r>
      <w:r>
        <w:t>literal.</w:t>
      </w:r>
    </w:p>
    <w:p w14:paraId="57B1DB03" w14:textId="77777777" w:rsidR="00467FCA" w:rsidRDefault="00467FCA">
      <w:pPr>
        <w:pStyle w:val="Textoindependiente"/>
        <w:rPr>
          <w:b/>
          <w:sz w:val="26"/>
        </w:rPr>
      </w:pPr>
    </w:p>
    <w:p w14:paraId="5D2BD974" w14:textId="77777777" w:rsidR="00467FCA" w:rsidRDefault="001B68EB">
      <w:pPr>
        <w:pStyle w:val="Prrafodelista"/>
        <w:numPr>
          <w:ilvl w:val="0"/>
          <w:numId w:val="10"/>
        </w:numPr>
        <w:tabs>
          <w:tab w:val="left" w:pos="1450"/>
        </w:tabs>
        <w:spacing w:line="276" w:lineRule="auto"/>
        <w:ind w:right="397" w:firstLine="0"/>
        <w:jc w:val="both"/>
        <w:rPr>
          <w:sz w:val="20"/>
        </w:rPr>
      </w:pPr>
      <w:r>
        <w:rPr>
          <w:sz w:val="20"/>
        </w:rPr>
        <w:t xml:space="preserve">En lo pertinente al tenor literal de los términos, procede tener presente que la Convención no le proporcionó al término </w:t>
      </w:r>
      <w:r>
        <w:rPr>
          <w:i/>
          <w:sz w:val="20"/>
        </w:rPr>
        <w:t xml:space="preserve">“ley” </w:t>
      </w:r>
      <w:r>
        <w:rPr>
          <w:sz w:val="20"/>
        </w:rPr>
        <w:t>un sentido especial</w:t>
      </w:r>
      <w:hyperlink w:anchor="_bookmark647" w:history="1">
        <w:r>
          <w:rPr>
            <w:i/>
            <w:position w:val="7"/>
            <w:sz w:val="13"/>
          </w:rPr>
          <w:t>99</w:t>
        </w:r>
      </w:hyperlink>
      <w:r>
        <w:rPr>
          <w:sz w:val="20"/>
        </w:rPr>
        <w:t>, por lo que se debe recurrir a su sentido corriente, cual es, “</w:t>
      </w:r>
      <w:r>
        <w:rPr>
          <w:i/>
          <w:sz w:val="20"/>
        </w:rPr>
        <w:t>precepto dictado por la autoridad competente, en que</w:t>
      </w:r>
      <w:r>
        <w:rPr>
          <w:i/>
          <w:spacing w:val="-18"/>
          <w:sz w:val="20"/>
        </w:rPr>
        <w:t xml:space="preserve"> </w:t>
      </w:r>
      <w:r>
        <w:rPr>
          <w:i/>
          <w:sz w:val="20"/>
        </w:rPr>
        <w:t>manda</w:t>
      </w:r>
      <w:r>
        <w:rPr>
          <w:i/>
          <w:spacing w:val="-14"/>
          <w:sz w:val="20"/>
        </w:rPr>
        <w:t xml:space="preserve"> </w:t>
      </w:r>
      <w:r>
        <w:rPr>
          <w:i/>
          <w:sz w:val="20"/>
        </w:rPr>
        <w:t>o</w:t>
      </w:r>
      <w:r>
        <w:rPr>
          <w:i/>
          <w:spacing w:val="-15"/>
          <w:sz w:val="20"/>
        </w:rPr>
        <w:t xml:space="preserve"> </w:t>
      </w:r>
      <w:r>
        <w:rPr>
          <w:i/>
          <w:sz w:val="20"/>
        </w:rPr>
        <w:t>prohíbe</w:t>
      </w:r>
      <w:r>
        <w:rPr>
          <w:i/>
          <w:spacing w:val="-15"/>
          <w:sz w:val="20"/>
        </w:rPr>
        <w:t xml:space="preserve"> </w:t>
      </w:r>
      <w:r>
        <w:rPr>
          <w:i/>
          <w:sz w:val="20"/>
        </w:rPr>
        <w:t>algo</w:t>
      </w:r>
      <w:r>
        <w:rPr>
          <w:i/>
          <w:spacing w:val="-15"/>
          <w:sz w:val="20"/>
        </w:rPr>
        <w:t xml:space="preserve"> </w:t>
      </w:r>
      <w:r>
        <w:rPr>
          <w:i/>
          <w:sz w:val="20"/>
        </w:rPr>
        <w:t>en</w:t>
      </w:r>
      <w:r>
        <w:rPr>
          <w:i/>
          <w:spacing w:val="-13"/>
          <w:sz w:val="20"/>
        </w:rPr>
        <w:t xml:space="preserve"> </w:t>
      </w:r>
      <w:r>
        <w:rPr>
          <w:i/>
          <w:sz w:val="20"/>
        </w:rPr>
        <w:t>consonancia</w:t>
      </w:r>
      <w:r>
        <w:rPr>
          <w:i/>
          <w:spacing w:val="-14"/>
          <w:sz w:val="20"/>
        </w:rPr>
        <w:t xml:space="preserve"> </w:t>
      </w:r>
      <w:r>
        <w:rPr>
          <w:i/>
          <w:sz w:val="20"/>
        </w:rPr>
        <w:t>con</w:t>
      </w:r>
      <w:r>
        <w:rPr>
          <w:i/>
          <w:spacing w:val="-15"/>
          <w:sz w:val="20"/>
        </w:rPr>
        <w:t xml:space="preserve"> </w:t>
      </w:r>
      <w:r>
        <w:rPr>
          <w:i/>
          <w:sz w:val="20"/>
        </w:rPr>
        <w:t>la</w:t>
      </w:r>
      <w:r>
        <w:rPr>
          <w:i/>
          <w:spacing w:val="-16"/>
          <w:sz w:val="20"/>
        </w:rPr>
        <w:t xml:space="preserve"> </w:t>
      </w:r>
      <w:r>
        <w:rPr>
          <w:i/>
          <w:sz w:val="20"/>
        </w:rPr>
        <w:t>justicia</w:t>
      </w:r>
      <w:r>
        <w:rPr>
          <w:i/>
          <w:spacing w:val="-14"/>
          <w:sz w:val="20"/>
        </w:rPr>
        <w:t xml:space="preserve"> </w:t>
      </w:r>
      <w:r>
        <w:rPr>
          <w:i/>
          <w:sz w:val="20"/>
        </w:rPr>
        <w:t>y</w:t>
      </w:r>
      <w:r>
        <w:rPr>
          <w:i/>
          <w:spacing w:val="-14"/>
          <w:sz w:val="20"/>
        </w:rPr>
        <w:t xml:space="preserve"> </w:t>
      </w:r>
      <w:r>
        <w:rPr>
          <w:i/>
          <w:sz w:val="20"/>
        </w:rPr>
        <w:t>para</w:t>
      </w:r>
      <w:r>
        <w:rPr>
          <w:i/>
          <w:spacing w:val="-11"/>
          <w:sz w:val="20"/>
        </w:rPr>
        <w:t xml:space="preserve"> </w:t>
      </w:r>
      <w:r>
        <w:rPr>
          <w:i/>
          <w:sz w:val="20"/>
        </w:rPr>
        <w:t>el</w:t>
      </w:r>
      <w:r>
        <w:rPr>
          <w:i/>
          <w:spacing w:val="-16"/>
          <w:sz w:val="20"/>
        </w:rPr>
        <w:t xml:space="preserve"> </w:t>
      </w:r>
      <w:r>
        <w:rPr>
          <w:i/>
          <w:sz w:val="20"/>
        </w:rPr>
        <w:t>bien</w:t>
      </w:r>
      <w:r>
        <w:rPr>
          <w:i/>
          <w:spacing w:val="-13"/>
          <w:sz w:val="20"/>
        </w:rPr>
        <w:t xml:space="preserve"> </w:t>
      </w:r>
      <w:r>
        <w:rPr>
          <w:i/>
          <w:sz w:val="20"/>
        </w:rPr>
        <w:t>de</w:t>
      </w:r>
      <w:r>
        <w:rPr>
          <w:i/>
          <w:spacing w:val="-18"/>
          <w:sz w:val="20"/>
        </w:rPr>
        <w:t xml:space="preserve"> </w:t>
      </w:r>
      <w:r>
        <w:rPr>
          <w:i/>
          <w:sz w:val="20"/>
        </w:rPr>
        <w:t>los</w:t>
      </w:r>
      <w:r>
        <w:rPr>
          <w:i/>
          <w:spacing w:val="-15"/>
          <w:sz w:val="20"/>
        </w:rPr>
        <w:t xml:space="preserve"> </w:t>
      </w:r>
      <w:r>
        <w:rPr>
          <w:i/>
          <w:sz w:val="20"/>
        </w:rPr>
        <w:t>gobernados</w:t>
      </w:r>
      <w:r>
        <w:rPr>
          <w:sz w:val="20"/>
        </w:rPr>
        <w:t>”</w:t>
      </w:r>
      <w:hyperlink w:anchor="_bookmark648" w:history="1">
        <w:r>
          <w:rPr>
            <w:position w:val="7"/>
            <w:sz w:val="13"/>
          </w:rPr>
          <w:t>100</w:t>
        </w:r>
      </w:hyperlink>
      <w:r>
        <w:rPr>
          <w:sz w:val="20"/>
        </w:rPr>
        <w:t>.</w:t>
      </w:r>
    </w:p>
    <w:p w14:paraId="76422F66" w14:textId="77777777" w:rsidR="00467FCA" w:rsidRDefault="00467FCA">
      <w:pPr>
        <w:pStyle w:val="Textoindependiente"/>
        <w:spacing w:before="11"/>
        <w:rPr>
          <w:sz w:val="22"/>
        </w:rPr>
      </w:pPr>
    </w:p>
    <w:p w14:paraId="64214A59" w14:textId="77777777" w:rsidR="00467FCA" w:rsidRDefault="001B68EB">
      <w:pPr>
        <w:pStyle w:val="Prrafodelista"/>
        <w:numPr>
          <w:ilvl w:val="0"/>
          <w:numId w:val="10"/>
        </w:numPr>
        <w:tabs>
          <w:tab w:val="left" w:pos="1450"/>
        </w:tabs>
        <w:spacing w:before="1" w:line="276" w:lineRule="auto"/>
        <w:ind w:right="396" w:firstLine="0"/>
        <w:jc w:val="both"/>
        <w:rPr>
          <w:sz w:val="20"/>
        </w:rPr>
      </w:pPr>
      <w:r>
        <w:rPr>
          <w:sz w:val="20"/>
        </w:rPr>
        <w:t xml:space="preserve">Dicho concepto coincide, a </w:t>
      </w:r>
      <w:r>
        <w:rPr>
          <w:i/>
          <w:sz w:val="20"/>
        </w:rPr>
        <w:t>grosso modo</w:t>
      </w:r>
      <w:r>
        <w:rPr>
          <w:sz w:val="20"/>
        </w:rPr>
        <w:t>, con lo indicado en la Opinión Consultiva OC-6/86, del 9 de mayo de 1986, a saber “</w:t>
      </w:r>
      <w:r>
        <w:rPr>
          <w:i/>
          <w:sz w:val="20"/>
        </w:rPr>
        <w:t>que la palabra leyes en el artículo 30 de la Convención</w:t>
      </w:r>
      <w:hyperlink w:anchor="_bookmark649" w:history="1">
        <w:r>
          <w:rPr>
            <w:i/>
            <w:position w:val="7"/>
            <w:sz w:val="13"/>
          </w:rPr>
          <w:t>101</w:t>
        </w:r>
      </w:hyperlink>
      <w:r>
        <w:rPr>
          <w:i/>
          <w:position w:val="7"/>
          <w:sz w:val="13"/>
        </w:rPr>
        <w:t xml:space="preserve"> </w:t>
      </w:r>
      <w:r>
        <w:rPr>
          <w:i/>
          <w:sz w:val="20"/>
        </w:rPr>
        <w:t>significa norma jurídica de carácter general, ceñida al bien común, emanada de los órganos legislativos constitucionalmente previstos y democráticamente elegidos, y elaborada según el procedimiento establecido por las constituciones de los Estados Partes p</w:t>
      </w:r>
      <w:r>
        <w:rPr>
          <w:i/>
          <w:sz w:val="20"/>
        </w:rPr>
        <w:t>ara la formación de las</w:t>
      </w:r>
      <w:r>
        <w:rPr>
          <w:i/>
          <w:spacing w:val="-4"/>
          <w:sz w:val="20"/>
        </w:rPr>
        <w:t xml:space="preserve"> </w:t>
      </w:r>
      <w:r>
        <w:rPr>
          <w:i/>
          <w:sz w:val="20"/>
        </w:rPr>
        <w:t>leyes</w:t>
      </w:r>
      <w:r>
        <w:rPr>
          <w:sz w:val="20"/>
        </w:rPr>
        <w:t>”.</w:t>
      </w:r>
    </w:p>
    <w:p w14:paraId="6C2E208E" w14:textId="77777777" w:rsidR="00467FCA" w:rsidRDefault="00467FCA">
      <w:pPr>
        <w:pStyle w:val="Textoindependiente"/>
        <w:spacing w:before="4"/>
        <w:rPr>
          <w:sz w:val="22"/>
        </w:rPr>
      </w:pPr>
    </w:p>
    <w:p w14:paraId="40A3DAD3" w14:textId="77777777" w:rsidR="00467FCA" w:rsidRDefault="001B68EB">
      <w:pPr>
        <w:pStyle w:val="Prrafodelista"/>
        <w:numPr>
          <w:ilvl w:val="0"/>
          <w:numId w:val="10"/>
        </w:numPr>
        <w:tabs>
          <w:tab w:val="left" w:pos="1450"/>
        </w:tabs>
        <w:spacing w:line="276" w:lineRule="auto"/>
        <w:ind w:right="395" w:firstLine="0"/>
        <w:jc w:val="both"/>
        <w:rPr>
          <w:sz w:val="20"/>
        </w:rPr>
      </w:pPr>
      <w:r>
        <w:rPr>
          <w:sz w:val="20"/>
        </w:rPr>
        <w:t>Es</w:t>
      </w:r>
      <w:r>
        <w:rPr>
          <w:spacing w:val="-9"/>
          <w:sz w:val="20"/>
        </w:rPr>
        <w:t xml:space="preserve"> </w:t>
      </w:r>
      <w:r>
        <w:rPr>
          <w:sz w:val="20"/>
        </w:rPr>
        <w:t>del</w:t>
      </w:r>
      <w:r>
        <w:rPr>
          <w:spacing w:val="-7"/>
          <w:sz w:val="20"/>
        </w:rPr>
        <w:t xml:space="preserve"> </w:t>
      </w:r>
      <w:r>
        <w:rPr>
          <w:sz w:val="20"/>
        </w:rPr>
        <w:t>caso</w:t>
      </w:r>
      <w:r>
        <w:rPr>
          <w:spacing w:val="-8"/>
          <w:sz w:val="20"/>
        </w:rPr>
        <w:t xml:space="preserve"> </w:t>
      </w:r>
      <w:r>
        <w:rPr>
          <w:sz w:val="20"/>
        </w:rPr>
        <w:t>indicar</w:t>
      </w:r>
      <w:r>
        <w:rPr>
          <w:spacing w:val="-9"/>
          <w:sz w:val="20"/>
        </w:rPr>
        <w:t xml:space="preserve"> </w:t>
      </w:r>
      <w:r>
        <w:rPr>
          <w:sz w:val="20"/>
        </w:rPr>
        <w:t>que</w:t>
      </w:r>
      <w:r>
        <w:rPr>
          <w:spacing w:val="-8"/>
          <w:sz w:val="20"/>
        </w:rPr>
        <w:t xml:space="preserve"> </w:t>
      </w:r>
      <w:r>
        <w:rPr>
          <w:sz w:val="20"/>
        </w:rPr>
        <w:t>la</w:t>
      </w:r>
      <w:r>
        <w:rPr>
          <w:spacing w:val="-8"/>
          <w:sz w:val="20"/>
        </w:rPr>
        <w:t xml:space="preserve"> </w:t>
      </w:r>
      <w:r>
        <w:rPr>
          <w:sz w:val="20"/>
        </w:rPr>
        <w:t>Corte</w:t>
      </w:r>
      <w:r>
        <w:rPr>
          <w:spacing w:val="-8"/>
          <w:sz w:val="20"/>
        </w:rPr>
        <w:t xml:space="preserve"> </w:t>
      </w:r>
      <w:r>
        <w:rPr>
          <w:sz w:val="20"/>
        </w:rPr>
        <w:t>hizo</w:t>
      </w:r>
      <w:r>
        <w:rPr>
          <w:spacing w:val="-9"/>
          <w:sz w:val="20"/>
        </w:rPr>
        <w:t xml:space="preserve"> </w:t>
      </w:r>
      <w:r>
        <w:rPr>
          <w:sz w:val="20"/>
        </w:rPr>
        <w:t>presente,</w:t>
      </w:r>
      <w:r>
        <w:rPr>
          <w:spacing w:val="-6"/>
          <w:sz w:val="20"/>
        </w:rPr>
        <w:t xml:space="preserve"> </w:t>
      </w:r>
      <w:r>
        <w:rPr>
          <w:sz w:val="20"/>
        </w:rPr>
        <w:t>en</w:t>
      </w:r>
      <w:r>
        <w:rPr>
          <w:spacing w:val="-6"/>
          <w:sz w:val="20"/>
        </w:rPr>
        <w:t xml:space="preserve"> </w:t>
      </w:r>
      <w:r>
        <w:rPr>
          <w:sz w:val="20"/>
        </w:rPr>
        <w:t>esa</w:t>
      </w:r>
      <w:r>
        <w:rPr>
          <w:spacing w:val="-8"/>
          <w:sz w:val="20"/>
        </w:rPr>
        <w:t xml:space="preserve"> </w:t>
      </w:r>
      <w:r>
        <w:rPr>
          <w:sz w:val="20"/>
        </w:rPr>
        <w:t>oportunidad,</w:t>
      </w:r>
      <w:r>
        <w:rPr>
          <w:spacing w:val="-7"/>
          <w:sz w:val="20"/>
        </w:rPr>
        <w:t xml:space="preserve"> </w:t>
      </w:r>
      <w:r>
        <w:rPr>
          <w:sz w:val="20"/>
        </w:rPr>
        <w:t>de</w:t>
      </w:r>
      <w:r>
        <w:rPr>
          <w:spacing w:val="-9"/>
          <w:sz w:val="20"/>
        </w:rPr>
        <w:t xml:space="preserve"> </w:t>
      </w:r>
      <w:r>
        <w:rPr>
          <w:sz w:val="20"/>
        </w:rPr>
        <w:t>que</w:t>
      </w:r>
      <w:r>
        <w:rPr>
          <w:spacing w:val="-8"/>
          <w:sz w:val="20"/>
        </w:rPr>
        <w:t xml:space="preserve"> </w:t>
      </w:r>
      <w:r>
        <w:rPr>
          <w:i/>
          <w:sz w:val="20"/>
        </w:rPr>
        <w:t>“(n)o</w:t>
      </w:r>
      <w:r>
        <w:rPr>
          <w:i/>
          <w:spacing w:val="-9"/>
          <w:sz w:val="20"/>
        </w:rPr>
        <w:t xml:space="preserve"> </w:t>
      </w:r>
      <w:r>
        <w:rPr>
          <w:i/>
          <w:sz w:val="20"/>
        </w:rPr>
        <w:t>se trata,</w:t>
      </w:r>
      <w:r>
        <w:rPr>
          <w:i/>
          <w:spacing w:val="-18"/>
          <w:sz w:val="20"/>
        </w:rPr>
        <w:t xml:space="preserve"> </w:t>
      </w:r>
      <w:r>
        <w:rPr>
          <w:i/>
          <w:sz w:val="20"/>
        </w:rPr>
        <w:t>en</w:t>
      </w:r>
      <w:r>
        <w:rPr>
          <w:i/>
          <w:spacing w:val="-19"/>
          <w:sz w:val="20"/>
        </w:rPr>
        <w:t xml:space="preserve"> </w:t>
      </w:r>
      <w:r>
        <w:rPr>
          <w:i/>
          <w:sz w:val="20"/>
        </w:rPr>
        <w:t>consecuencia,</w:t>
      </w:r>
      <w:r>
        <w:rPr>
          <w:i/>
          <w:spacing w:val="-18"/>
          <w:sz w:val="20"/>
        </w:rPr>
        <w:t xml:space="preserve"> </w:t>
      </w:r>
      <w:r>
        <w:rPr>
          <w:i/>
          <w:sz w:val="20"/>
        </w:rPr>
        <w:t>de</w:t>
      </w:r>
      <w:r>
        <w:rPr>
          <w:i/>
          <w:spacing w:val="-21"/>
          <w:sz w:val="20"/>
        </w:rPr>
        <w:t xml:space="preserve"> </w:t>
      </w:r>
      <w:r>
        <w:rPr>
          <w:i/>
          <w:sz w:val="20"/>
        </w:rPr>
        <w:t>dar</w:t>
      </w:r>
      <w:r>
        <w:rPr>
          <w:i/>
          <w:spacing w:val="-19"/>
          <w:sz w:val="20"/>
        </w:rPr>
        <w:t xml:space="preserve"> </w:t>
      </w:r>
      <w:r>
        <w:rPr>
          <w:i/>
          <w:sz w:val="20"/>
        </w:rPr>
        <w:t>una</w:t>
      </w:r>
      <w:r>
        <w:rPr>
          <w:i/>
          <w:spacing w:val="-20"/>
          <w:sz w:val="20"/>
        </w:rPr>
        <w:t xml:space="preserve"> </w:t>
      </w:r>
      <w:r>
        <w:rPr>
          <w:i/>
          <w:sz w:val="20"/>
        </w:rPr>
        <w:t>respuesta</w:t>
      </w:r>
      <w:r>
        <w:rPr>
          <w:i/>
          <w:spacing w:val="-20"/>
          <w:sz w:val="20"/>
        </w:rPr>
        <w:t xml:space="preserve"> </w:t>
      </w:r>
      <w:r>
        <w:rPr>
          <w:i/>
          <w:sz w:val="20"/>
        </w:rPr>
        <w:t>aplicable</w:t>
      </w:r>
      <w:r>
        <w:rPr>
          <w:i/>
          <w:spacing w:val="-21"/>
          <w:sz w:val="20"/>
        </w:rPr>
        <w:t xml:space="preserve"> </w:t>
      </w:r>
      <w:r>
        <w:rPr>
          <w:i/>
          <w:sz w:val="20"/>
        </w:rPr>
        <w:t>a</w:t>
      </w:r>
      <w:r>
        <w:rPr>
          <w:i/>
          <w:spacing w:val="-20"/>
          <w:sz w:val="20"/>
        </w:rPr>
        <w:t xml:space="preserve"> </w:t>
      </w:r>
      <w:r>
        <w:rPr>
          <w:i/>
          <w:sz w:val="20"/>
        </w:rPr>
        <w:t>todos</w:t>
      </w:r>
      <w:r>
        <w:rPr>
          <w:i/>
          <w:spacing w:val="-21"/>
          <w:sz w:val="20"/>
        </w:rPr>
        <w:t xml:space="preserve"> </w:t>
      </w:r>
      <w:r>
        <w:rPr>
          <w:i/>
          <w:sz w:val="20"/>
        </w:rPr>
        <w:t>los</w:t>
      </w:r>
      <w:r>
        <w:rPr>
          <w:i/>
          <w:spacing w:val="-18"/>
          <w:sz w:val="20"/>
        </w:rPr>
        <w:t xml:space="preserve"> </w:t>
      </w:r>
      <w:r>
        <w:rPr>
          <w:i/>
          <w:sz w:val="20"/>
        </w:rPr>
        <w:t>casos</w:t>
      </w:r>
      <w:r>
        <w:rPr>
          <w:i/>
          <w:spacing w:val="-16"/>
          <w:sz w:val="20"/>
        </w:rPr>
        <w:t xml:space="preserve"> </w:t>
      </w:r>
      <w:r>
        <w:rPr>
          <w:i/>
          <w:sz w:val="20"/>
        </w:rPr>
        <w:t>en</w:t>
      </w:r>
      <w:r>
        <w:rPr>
          <w:i/>
          <w:spacing w:val="-19"/>
          <w:sz w:val="20"/>
        </w:rPr>
        <w:t xml:space="preserve"> </w:t>
      </w:r>
      <w:r>
        <w:rPr>
          <w:i/>
          <w:sz w:val="20"/>
        </w:rPr>
        <w:t>que</w:t>
      </w:r>
      <w:r>
        <w:rPr>
          <w:i/>
          <w:spacing w:val="-21"/>
          <w:sz w:val="20"/>
        </w:rPr>
        <w:t xml:space="preserve"> </w:t>
      </w:r>
      <w:r>
        <w:rPr>
          <w:i/>
          <w:sz w:val="20"/>
        </w:rPr>
        <w:t>la</w:t>
      </w:r>
      <w:r>
        <w:rPr>
          <w:i/>
          <w:spacing w:val="-17"/>
          <w:sz w:val="20"/>
        </w:rPr>
        <w:t xml:space="preserve"> </w:t>
      </w:r>
      <w:r>
        <w:rPr>
          <w:i/>
          <w:sz w:val="20"/>
        </w:rPr>
        <w:t>Convención utiliza</w:t>
      </w:r>
      <w:r>
        <w:rPr>
          <w:i/>
          <w:spacing w:val="-18"/>
          <w:sz w:val="20"/>
        </w:rPr>
        <w:t xml:space="preserve"> </w:t>
      </w:r>
      <w:r>
        <w:rPr>
          <w:i/>
          <w:sz w:val="20"/>
        </w:rPr>
        <w:t>expresiones</w:t>
      </w:r>
      <w:r>
        <w:rPr>
          <w:i/>
          <w:spacing w:val="-19"/>
          <w:sz w:val="20"/>
        </w:rPr>
        <w:t xml:space="preserve"> </w:t>
      </w:r>
      <w:r>
        <w:rPr>
          <w:i/>
          <w:sz w:val="20"/>
        </w:rPr>
        <w:t>como</w:t>
      </w:r>
      <w:r>
        <w:rPr>
          <w:i/>
          <w:spacing w:val="-17"/>
          <w:sz w:val="20"/>
        </w:rPr>
        <w:t xml:space="preserve"> </w:t>
      </w:r>
      <w:r>
        <w:rPr>
          <w:i/>
          <w:sz w:val="20"/>
        </w:rPr>
        <w:t>"</w:t>
      </w:r>
      <w:r>
        <w:rPr>
          <w:i/>
          <w:spacing w:val="-19"/>
          <w:sz w:val="20"/>
        </w:rPr>
        <w:t xml:space="preserve"> </w:t>
      </w:r>
      <w:r>
        <w:rPr>
          <w:i/>
          <w:sz w:val="20"/>
        </w:rPr>
        <w:t>leyes</w:t>
      </w:r>
      <w:r>
        <w:rPr>
          <w:i/>
          <w:spacing w:val="-18"/>
          <w:sz w:val="20"/>
        </w:rPr>
        <w:t xml:space="preserve"> </w:t>
      </w:r>
      <w:r>
        <w:rPr>
          <w:i/>
          <w:sz w:val="20"/>
        </w:rPr>
        <w:t>",</w:t>
      </w:r>
      <w:r>
        <w:rPr>
          <w:i/>
          <w:spacing w:val="-19"/>
          <w:sz w:val="20"/>
        </w:rPr>
        <w:t xml:space="preserve"> </w:t>
      </w:r>
      <w:r>
        <w:rPr>
          <w:i/>
          <w:sz w:val="20"/>
        </w:rPr>
        <w:t>"</w:t>
      </w:r>
      <w:r>
        <w:rPr>
          <w:i/>
          <w:spacing w:val="-19"/>
          <w:sz w:val="20"/>
        </w:rPr>
        <w:t xml:space="preserve"> </w:t>
      </w:r>
      <w:r>
        <w:rPr>
          <w:i/>
          <w:sz w:val="20"/>
        </w:rPr>
        <w:t>ley</w:t>
      </w:r>
      <w:r>
        <w:rPr>
          <w:i/>
          <w:spacing w:val="-18"/>
          <w:sz w:val="20"/>
        </w:rPr>
        <w:t xml:space="preserve"> </w:t>
      </w:r>
      <w:r>
        <w:rPr>
          <w:i/>
          <w:sz w:val="20"/>
        </w:rPr>
        <w:t>",</w:t>
      </w:r>
      <w:r>
        <w:rPr>
          <w:i/>
          <w:spacing w:val="-19"/>
          <w:sz w:val="20"/>
        </w:rPr>
        <w:t xml:space="preserve"> </w:t>
      </w:r>
      <w:r>
        <w:rPr>
          <w:i/>
          <w:sz w:val="20"/>
        </w:rPr>
        <w:t>"</w:t>
      </w:r>
      <w:r>
        <w:rPr>
          <w:i/>
          <w:spacing w:val="-19"/>
          <w:sz w:val="20"/>
        </w:rPr>
        <w:t xml:space="preserve"> </w:t>
      </w:r>
      <w:r>
        <w:rPr>
          <w:i/>
          <w:sz w:val="20"/>
        </w:rPr>
        <w:t>disposiciones</w:t>
      </w:r>
      <w:r>
        <w:rPr>
          <w:i/>
          <w:spacing w:val="-19"/>
          <w:sz w:val="20"/>
        </w:rPr>
        <w:t xml:space="preserve"> </w:t>
      </w:r>
      <w:r>
        <w:rPr>
          <w:i/>
          <w:sz w:val="20"/>
        </w:rPr>
        <w:t>legislativas</w:t>
      </w:r>
      <w:r>
        <w:rPr>
          <w:i/>
          <w:spacing w:val="-18"/>
          <w:sz w:val="20"/>
        </w:rPr>
        <w:t xml:space="preserve"> </w:t>
      </w:r>
      <w:r>
        <w:rPr>
          <w:i/>
          <w:sz w:val="20"/>
        </w:rPr>
        <w:t>",</w:t>
      </w:r>
      <w:r>
        <w:rPr>
          <w:i/>
          <w:spacing w:val="-19"/>
          <w:sz w:val="20"/>
        </w:rPr>
        <w:t xml:space="preserve"> </w:t>
      </w:r>
      <w:r>
        <w:rPr>
          <w:i/>
          <w:sz w:val="20"/>
        </w:rPr>
        <w:t>"</w:t>
      </w:r>
      <w:r>
        <w:rPr>
          <w:i/>
          <w:spacing w:val="-16"/>
          <w:sz w:val="20"/>
        </w:rPr>
        <w:t xml:space="preserve"> </w:t>
      </w:r>
      <w:r>
        <w:rPr>
          <w:i/>
          <w:sz w:val="20"/>
        </w:rPr>
        <w:t>disposiciones</w:t>
      </w:r>
      <w:r>
        <w:rPr>
          <w:i/>
          <w:spacing w:val="-19"/>
          <w:sz w:val="20"/>
        </w:rPr>
        <w:t xml:space="preserve"> </w:t>
      </w:r>
      <w:r>
        <w:rPr>
          <w:i/>
          <w:sz w:val="20"/>
        </w:rPr>
        <w:t xml:space="preserve">legales ", " medidas legislativas ", " restricciones legales " o " leyes internas </w:t>
      </w:r>
      <w:r>
        <w:rPr>
          <w:sz w:val="20"/>
        </w:rPr>
        <w:t xml:space="preserve">", sino que </w:t>
      </w:r>
      <w:r>
        <w:rPr>
          <w:i/>
          <w:sz w:val="20"/>
        </w:rPr>
        <w:t xml:space="preserve">“(e)n cada </w:t>
      </w:r>
      <w:r>
        <w:rPr>
          <w:i/>
          <w:sz w:val="20"/>
        </w:rPr>
        <w:t>ocasión en que tales expresiones son usadas, su sentido ha de ser determinado específicamente</w:t>
      </w:r>
      <w:r>
        <w:rPr>
          <w:sz w:val="20"/>
        </w:rPr>
        <w:t>”</w:t>
      </w:r>
      <w:hyperlink w:anchor="_bookmark650" w:history="1">
        <w:r>
          <w:rPr>
            <w:position w:val="7"/>
            <w:sz w:val="13"/>
          </w:rPr>
          <w:t>102</w:t>
        </w:r>
      </w:hyperlink>
      <w:r>
        <w:rPr>
          <w:sz w:val="20"/>
        </w:rPr>
        <w:t>. Y fue precisamente eso lo que hizo en la Opinión Consultiva OC-12/91, del 6 de diciembre de 1991, al señalar, a los efectos d</w:t>
      </w:r>
      <w:r>
        <w:rPr>
          <w:sz w:val="20"/>
        </w:rPr>
        <w:t>el artículo 64.2 de la Convención</w:t>
      </w:r>
      <w:hyperlink w:anchor="_bookmark651" w:history="1">
        <w:r>
          <w:rPr>
            <w:position w:val="7"/>
            <w:sz w:val="13"/>
          </w:rPr>
          <w:t>103</w:t>
        </w:r>
      </w:hyperlink>
      <w:r>
        <w:rPr>
          <w:sz w:val="20"/>
        </w:rPr>
        <w:t>, “</w:t>
      </w:r>
      <w:r>
        <w:rPr>
          <w:i/>
          <w:sz w:val="20"/>
        </w:rPr>
        <w:t>que,</w:t>
      </w:r>
      <w:r>
        <w:rPr>
          <w:i/>
          <w:spacing w:val="-10"/>
          <w:sz w:val="20"/>
        </w:rPr>
        <w:t xml:space="preserve"> </w:t>
      </w:r>
      <w:r>
        <w:rPr>
          <w:i/>
          <w:sz w:val="20"/>
        </w:rPr>
        <w:t>en</w:t>
      </w:r>
      <w:r>
        <w:rPr>
          <w:i/>
          <w:spacing w:val="-8"/>
          <w:sz w:val="20"/>
        </w:rPr>
        <w:t xml:space="preserve"> </w:t>
      </w:r>
      <w:r>
        <w:rPr>
          <w:i/>
          <w:sz w:val="20"/>
        </w:rPr>
        <w:t>determinadas</w:t>
      </w:r>
      <w:r>
        <w:rPr>
          <w:i/>
          <w:spacing w:val="-7"/>
          <w:sz w:val="20"/>
        </w:rPr>
        <w:t xml:space="preserve"> </w:t>
      </w:r>
      <w:r>
        <w:rPr>
          <w:i/>
          <w:sz w:val="20"/>
        </w:rPr>
        <w:t>circunstancias,</w:t>
      </w:r>
      <w:r>
        <w:rPr>
          <w:i/>
          <w:spacing w:val="-9"/>
          <w:sz w:val="20"/>
        </w:rPr>
        <w:t xml:space="preserve"> </w:t>
      </w:r>
      <w:r>
        <w:rPr>
          <w:i/>
          <w:sz w:val="20"/>
        </w:rPr>
        <w:t>la</w:t>
      </w:r>
      <w:r>
        <w:rPr>
          <w:i/>
          <w:spacing w:val="-9"/>
          <w:sz w:val="20"/>
        </w:rPr>
        <w:t xml:space="preserve"> </w:t>
      </w:r>
      <w:r>
        <w:rPr>
          <w:i/>
          <w:sz w:val="20"/>
        </w:rPr>
        <w:t>Corte,</w:t>
      </w:r>
      <w:r>
        <w:rPr>
          <w:i/>
          <w:spacing w:val="-7"/>
          <w:sz w:val="20"/>
        </w:rPr>
        <w:t xml:space="preserve"> </w:t>
      </w:r>
      <w:r>
        <w:rPr>
          <w:i/>
          <w:sz w:val="20"/>
        </w:rPr>
        <w:t>en</w:t>
      </w:r>
      <w:r>
        <w:rPr>
          <w:i/>
          <w:spacing w:val="-9"/>
          <w:sz w:val="20"/>
        </w:rPr>
        <w:t xml:space="preserve"> </w:t>
      </w:r>
      <w:r>
        <w:rPr>
          <w:i/>
          <w:sz w:val="20"/>
        </w:rPr>
        <w:t>ejercicio</w:t>
      </w:r>
      <w:r>
        <w:rPr>
          <w:i/>
          <w:spacing w:val="-12"/>
          <w:sz w:val="20"/>
        </w:rPr>
        <w:t xml:space="preserve"> </w:t>
      </w:r>
      <w:r>
        <w:rPr>
          <w:i/>
          <w:sz w:val="20"/>
        </w:rPr>
        <w:t>de</w:t>
      </w:r>
      <w:r>
        <w:rPr>
          <w:i/>
          <w:spacing w:val="-10"/>
          <w:sz w:val="20"/>
        </w:rPr>
        <w:t xml:space="preserve"> </w:t>
      </w:r>
      <w:r>
        <w:rPr>
          <w:i/>
          <w:sz w:val="20"/>
        </w:rPr>
        <w:t>la</w:t>
      </w:r>
      <w:r>
        <w:rPr>
          <w:i/>
          <w:spacing w:val="-9"/>
          <w:sz w:val="20"/>
        </w:rPr>
        <w:t xml:space="preserve"> </w:t>
      </w:r>
      <w:r>
        <w:rPr>
          <w:i/>
          <w:sz w:val="20"/>
        </w:rPr>
        <w:t>facultad</w:t>
      </w:r>
      <w:r>
        <w:rPr>
          <w:i/>
          <w:spacing w:val="-11"/>
          <w:sz w:val="20"/>
        </w:rPr>
        <w:t xml:space="preserve"> </w:t>
      </w:r>
      <w:r>
        <w:rPr>
          <w:i/>
          <w:sz w:val="20"/>
        </w:rPr>
        <w:t>contemplada</w:t>
      </w:r>
      <w:r>
        <w:rPr>
          <w:i/>
          <w:spacing w:val="-9"/>
          <w:sz w:val="20"/>
        </w:rPr>
        <w:t xml:space="preserve"> </w:t>
      </w:r>
      <w:r>
        <w:rPr>
          <w:i/>
          <w:sz w:val="20"/>
        </w:rPr>
        <w:t>en</w:t>
      </w:r>
      <w:r>
        <w:rPr>
          <w:i/>
          <w:spacing w:val="-8"/>
          <w:sz w:val="20"/>
        </w:rPr>
        <w:t xml:space="preserve"> </w:t>
      </w:r>
      <w:r>
        <w:rPr>
          <w:i/>
          <w:sz w:val="20"/>
        </w:rPr>
        <w:t>el artículo 64.2 puede contestar consultas sobre compatibilidad entre “proyectos de ley” y la C</w:t>
      </w:r>
      <w:r>
        <w:rPr>
          <w:i/>
          <w:sz w:val="20"/>
        </w:rPr>
        <w:t>onvención</w:t>
      </w:r>
      <w:r>
        <w:rPr>
          <w:sz w:val="20"/>
        </w:rPr>
        <w:t>.</w:t>
      </w:r>
    </w:p>
    <w:p w14:paraId="690EB893" w14:textId="77777777" w:rsidR="00467FCA" w:rsidRDefault="00467FCA">
      <w:pPr>
        <w:pStyle w:val="Textoindependiente"/>
        <w:spacing w:before="2"/>
        <w:rPr>
          <w:sz w:val="22"/>
        </w:rPr>
      </w:pPr>
    </w:p>
    <w:p w14:paraId="74CBDD21" w14:textId="77777777" w:rsidR="00467FCA" w:rsidRDefault="001B68EB">
      <w:pPr>
        <w:pStyle w:val="Prrafodelista"/>
        <w:numPr>
          <w:ilvl w:val="0"/>
          <w:numId w:val="10"/>
        </w:numPr>
        <w:tabs>
          <w:tab w:val="left" w:pos="1450"/>
        </w:tabs>
        <w:spacing w:line="276" w:lineRule="auto"/>
        <w:ind w:right="397" w:firstLine="0"/>
        <w:jc w:val="both"/>
        <w:rPr>
          <w:sz w:val="20"/>
        </w:rPr>
      </w:pPr>
      <w:r>
        <w:rPr>
          <w:sz w:val="20"/>
        </w:rPr>
        <w:t>Así, en consecuencia, se podría sostener que, a falta de una expresa indicación</w:t>
      </w:r>
      <w:r>
        <w:rPr>
          <w:spacing w:val="-40"/>
          <w:sz w:val="20"/>
        </w:rPr>
        <w:t xml:space="preserve"> </w:t>
      </w:r>
      <w:r>
        <w:rPr>
          <w:sz w:val="20"/>
        </w:rPr>
        <w:t xml:space="preserve">de la Convención y de un pronunciamiento más general por parte de la Corte, el concepto </w:t>
      </w:r>
      <w:r>
        <w:rPr>
          <w:spacing w:val="2"/>
          <w:sz w:val="20"/>
        </w:rPr>
        <w:t xml:space="preserve">de </w:t>
      </w:r>
      <w:r>
        <w:rPr>
          <w:sz w:val="20"/>
        </w:rPr>
        <w:t>ley proporcionada por ésta, a los efectos del artículo 30 de la Convenció</w:t>
      </w:r>
      <w:r>
        <w:rPr>
          <w:sz w:val="20"/>
        </w:rPr>
        <w:t>n, es aplicable también a lo dispuesto en su artículo 24, incluyendo en ella a la Constitución y a los reglamentos, resoluciones o instrucciones de carácter</w:t>
      </w:r>
      <w:r>
        <w:rPr>
          <w:spacing w:val="-7"/>
          <w:sz w:val="20"/>
        </w:rPr>
        <w:t xml:space="preserve"> </w:t>
      </w:r>
      <w:r>
        <w:rPr>
          <w:sz w:val="20"/>
        </w:rPr>
        <w:t>general.</w:t>
      </w:r>
    </w:p>
    <w:p w14:paraId="4BEF333F" w14:textId="77777777" w:rsidR="00467FCA" w:rsidRDefault="00467FCA">
      <w:pPr>
        <w:pStyle w:val="Textoindependiente"/>
        <w:spacing w:before="3"/>
        <w:rPr>
          <w:sz w:val="22"/>
        </w:rPr>
      </w:pPr>
    </w:p>
    <w:p w14:paraId="328DE642" w14:textId="77777777" w:rsidR="00467FCA" w:rsidRDefault="001B68EB">
      <w:pPr>
        <w:pStyle w:val="Prrafodelista"/>
        <w:numPr>
          <w:ilvl w:val="0"/>
          <w:numId w:val="10"/>
        </w:numPr>
        <w:tabs>
          <w:tab w:val="left" w:pos="1450"/>
        </w:tabs>
        <w:spacing w:line="276" w:lineRule="auto"/>
        <w:ind w:right="398" w:firstLine="0"/>
        <w:jc w:val="both"/>
        <w:rPr>
          <w:sz w:val="20"/>
        </w:rPr>
      </w:pPr>
      <w:r>
        <w:rPr>
          <w:sz w:val="20"/>
        </w:rPr>
        <w:t>De suerte, entonces, que asimismo el método de interpretación literal de las palabras</w:t>
      </w:r>
      <w:r>
        <w:rPr>
          <w:spacing w:val="-6"/>
          <w:sz w:val="20"/>
        </w:rPr>
        <w:t xml:space="preserve"> </w:t>
      </w:r>
      <w:r>
        <w:rPr>
          <w:sz w:val="20"/>
        </w:rPr>
        <w:t>conduce</w:t>
      </w:r>
      <w:r>
        <w:rPr>
          <w:spacing w:val="-4"/>
          <w:sz w:val="20"/>
        </w:rPr>
        <w:t xml:space="preserve"> </w:t>
      </w:r>
      <w:r>
        <w:rPr>
          <w:sz w:val="20"/>
        </w:rPr>
        <w:t>al</w:t>
      </w:r>
      <w:r>
        <w:rPr>
          <w:spacing w:val="-4"/>
          <w:sz w:val="20"/>
        </w:rPr>
        <w:t xml:space="preserve"> </w:t>
      </w:r>
      <w:r>
        <w:rPr>
          <w:sz w:val="20"/>
        </w:rPr>
        <w:t>mismo</w:t>
      </w:r>
      <w:r>
        <w:rPr>
          <w:spacing w:val="-7"/>
          <w:sz w:val="20"/>
        </w:rPr>
        <w:t xml:space="preserve"> </w:t>
      </w:r>
      <w:r>
        <w:rPr>
          <w:sz w:val="20"/>
        </w:rPr>
        <w:t>resultado</w:t>
      </w:r>
      <w:r>
        <w:rPr>
          <w:spacing w:val="-6"/>
          <w:sz w:val="20"/>
        </w:rPr>
        <w:t xml:space="preserve"> </w:t>
      </w:r>
      <w:r>
        <w:rPr>
          <w:sz w:val="20"/>
        </w:rPr>
        <w:t>que</w:t>
      </w:r>
      <w:r>
        <w:rPr>
          <w:spacing w:val="-7"/>
          <w:sz w:val="20"/>
        </w:rPr>
        <w:t xml:space="preserve"> </w:t>
      </w:r>
      <w:r>
        <w:rPr>
          <w:sz w:val="20"/>
        </w:rPr>
        <w:t>se</w:t>
      </w:r>
      <w:r>
        <w:rPr>
          <w:spacing w:val="-6"/>
          <w:sz w:val="20"/>
        </w:rPr>
        <w:t xml:space="preserve"> </w:t>
      </w:r>
      <w:r>
        <w:rPr>
          <w:sz w:val="20"/>
        </w:rPr>
        <w:t>logra</w:t>
      </w:r>
      <w:r>
        <w:rPr>
          <w:spacing w:val="-5"/>
          <w:sz w:val="20"/>
        </w:rPr>
        <w:t xml:space="preserve"> </w:t>
      </w:r>
      <w:r>
        <w:rPr>
          <w:sz w:val="20"/>
        </w:rPr>
        <w:t>con</w:t>
      </w:r>
      <w:r>
        <w:rPr>
          <w:spacing w:val="-3"/>
          <w:sz w:val="20"/>
        </w:rPr>
        <w:t xml:space="preserve"> </w:t>
      </w:r>
      <w:r>
        <w:rPr>
          <w:sz w:val="20"/>
        </w:rPr>
        <w:t>el</w:t>
      </w:r>
      <w:r>
        <w:rPr>
          <w:spacing w:val="-5"/>
          <w:sz w:val="20"/>
        </w:rPr>
        <w:t xml:space="preserve"> </w:t>
      </w:r>
      <w:r>
        <w:rPr>
          <w:sz w:val="20"/>
        </w:rPr>
        <w:t>método</w:t>
      </w:r>
      <w:r>
        <w:rPr>
          <w:spacing w:val="-6"/>
          <w:sz w:val="20"/>
        </w:rPr>
        <w:t xml:space="preserve"> </w:t>
      </w:r>
      <w:r>
        <w:rPr>
          <w:sz w:val="20"/>
        </w:rPr>
        <w:t>atingente</w:t>
      </w:r>
      <w:r>
        <w:rPr>
          <w:spacing w:val="-6"/>
          <w:sz w:val="20"/>
        </w:rPr>
        <w:t xml:space="preserve"> </w:t>
      </w:r>
      <w:r>
        <w:rPr>
          <w:sz w:val="20"/>
        </w:rPr>
        <w:t>a</w:t>
      </w:r>
      <w:r>
        <w:rPr>
          <w:spacing w:val="-5"/>
          <w:sz w:val="20"/>
        </w:rPr>
        <w:t xml:space="preserve"> </w:t>
      </w:r>
      <w:r>
        <w:rPr>
          <w:sz w:val="20"/>
        </w:rPr>
        <w:t>la</w:t>
      </w:r>
      <w:r>
        <w:rPr>
          <w:spacing w:val="-4"/>
          <w:sz w:val="20"/>
        </w:rPr>
        <w:t xml:space="preserve"> </w:t>
      </w:r>
      <w:r>
        <w:rPr>
          <w:sz w:val="20"/>
        </w:rPr>
        <w:t>buena</w:t>
      </w:r>
      <w:r>
        <w:rPr>
          <w:spacing w:val="-5"/>
          <w:sz w:val="20"/>
        </w:rPr>
        <w:t xml:space="preserve"> </w:t>
      </w:r>
      <w:r>
        <w:rPr>
          <w:sz w:val="20"/>
        </w:rPr>
        <w:t>fe,</w:t>
      </w:r>
      <w:r>
        <w:rPr>
          <w:spacing w:val="-3"/>
          <w:sz w:val="20"/>
        </w:rPr>
        <w:t xml:space="preserve"> </w:t>
      </w:r>
      <w:r>
        <w:rPr>
          <w:sz w:val="20"/>
        </w:rPr>
        <w:t>es decir, que es la ley la que debe considerar a todas personas como iguales y otorgar a to</w:t>
      </w:r>
      <w:r>
        <w:rPr>
          <w:sz w:val="20"/>
        </w:rPr>
        <w:t>das ellas la debida protección, sin discriminación y que, si ello no acaece, se viola el</w:t>
      </w:r>
      <w:r>
        <w:rPr>
          <w:spacing w:val="23"/>
          <w:sz w:val="20"/>
        </w:rPr>
        <w:t xml:space="preserve"> </w:t>
      </w:r>
      <w:r>
        <w:rPr>
          <w:sz w:val="20"/>
        </w:rPr>
        <w:t>derecho</w:t>
      </w:r>
    </w:p>
    <w:p w14:paraId="08C73AD0" w14:textId="77777777" w:rsidR="00467FCA" w:rsidRDefault="00467FCA">
      <w:pPr>
        <w:pStyle w:val="Textoindependiente"/>
      </w:pPr>
    </w:p>
    <w:p w14:paraId="5E27DFF4" w14:textId="77777777" w:rsidR="00467FCA" w:rsidRDefault="001B68EB">
      <w:pPr>
        <w:pStyle w:val="Textoindependiente"/>
        <w:spacing w:before="11"/>
        <w:rPr>
          <w:sz w:val="23"/>
        </w:rPr>
      </w:pPr>
      <w:r>
        <w:pict w14:anchorId="5865136E">
          <v:shape id="_x0000_s1080" style="position:absolute;margin-left:56.75pt;margin-top:16.9pt;width:2in;height:.1pt;z-index:-251539456;mso-wrap-distance-left:0;mso-wrap-distance-right:0;mso-position-horizontal-relative:page" coordorigin="1135,338" coordsize="2880,0" path="m1135,338r2880,e" filled="f" strokeweight=".72pt">
            <v:path arrowok="t"/>
            <w10:wrap type="topAndBottom" anchorx="page"/>
          </v:shape>
        </w:pict>
      </w:r>
    </w:p>
    <w:p w14:paraId="3AC77BCB" w14:textId="77777777" w:rsidR="00467FCA" w:rsidRDefault="001B68EB">
      <w:pPr>
        <w:spacing w:before="71"/>
        <w:ind w:left="470" w:right="392"/>
        <w:jc w:val="both"/>
        <w:rPr>
          <w:i/>
          <w:sz w:val="16"/>
        </w:rPr>
      </w:pPr>
      <w:bookmarkStart w:id="726" w:name="_bookmark647"/>
      <w:bookmarkEnd w:id="726"/>
      <w:r>
        <w:rPr>
          <w:position w:val="6"/>
          <w:sz w:val="10"/>
        </w:rPr>
        <w:t xml:space="preserve">99 </w:t>
      </w:r>
      <w:r>
        <w:rPr>
          <w:sz w:val="16"/>
        </w:rPr>
        <w:t xml:space="preserve">Art. 31.4 de la Convención de Viena: </w:t>
      </w:r>
      <w:r>
        <w:rPr>
          <w:i/>
          <w:sz w:val="16"/>
        </w:rPr>
        <w:t>“Se dará a un término un sentido especial si consta que tal fue la intención de las partes.</w:t>
      </w:r>
    </w:p>
    <w:p w14:paraId="11E4E0A8" w14:textId="77777777" w:rsidR="00467FCA" w:rsidRDefault="001B68EB">
      <w:pPr>
        <w:ind w:left="470"/>
        <w:jc w:val="both"/>
        <w:rPr>
          <w:sz w:val="16"/>
        </w:rPr>
      </w:pPr>
      <w:bookmarkStart w:id="727" w:name="_bookmark648"/>
      <w:bookmarkEnd w:id="727"/>
      <w:r>
        <w:rPr>
          <w:position w:val="6"/>
          <w:sz w:val="10"/>
        </w:rPr>
        <w:t xml:space="preserve">100 </w:t>
      </w:r>
      <w:r>
        <w:rPr>
          <w:i/>
          <w:sz w:val="16"/>
        </w:rPr>
        <w:t xml:space="preserve">Cfr. </w:t>
      </w:r>
      <w:r>
        <w:rPr>
          <w:sz w:val="16"/>
        </w:rPr>
        <w:t xml:space="preserve">Diccionario de </w:t>
      </w:r>
      <w:r>
        <w:rPr>
          <w:sz w:val="16"/>
        </w:rPr>
        <w:t>la Lengua Española, Real Academia Española, 2020.</w:t>
      </w:r>
    </w:p>
    <w:p w14:paraId="148B5291" w14:textId="77777777" w:rsidR="00467FCA" w:rsidRDefault="001B68EB">
      <w:pPr>
        <w:ind w:left="470" w:right="395"/>
        <w:jc w:val="both"/>
        <w:rPr>
          <w:i/>
          <w:sz w:val="16"/>
        </w:rPr>
      </w:pPr>
      <w:bookmarkStart w:id="728" w:name="_bookmark649"/>
      <w:bookmarkEnd w:id="728"/>
      <w:r>
        <w:rPr>
          <w:position w:val="6"/>
          <w:sz w:val="10"/>
        </w:rPr>
        <w:t xml:space="preserve">101 </w:t>
      </w:r>
      <w:r>
        <w:rPr>
          <w:sz w:val="16"/>
        </w:rPr>
        <w:t>“</w:t>
      </w:r>
      <w:r>
        <w:rPr>
          <w:i/>
          <w:sz w:val="16"/>
        </w:rPr>
        <w:t>Alcance de las Restricciones. Las restricciones permitidas, de acuerdo con esta Convención, al goce y ejercicio de</w:t>
      </w:r>
      <w:r>
        <w:rPr>
          <w:i/>
          <w:spacing w:val="-13"/>
          <w:sz w:val="16"/>
        </w:rPr>
        <w:t xml:space="preserve"> </w:t>
      </w:r>
      <w:r>
        <w:rPr>
          <w:i/>
          <w:sz w:val="16"/>
        </w:rPr>
        <w:t>los</w:t>
      </w:r>
      <w:r>
        <w:rPr>
          <w:i/>
          <w:spacing w:val="-12"/>
          <w:sz w:val="16"/>
        </w:rPr>
        <w:t xml:space="preserve"> </w:t>
      </w:r>
      <w:r>
        <w:rPr>
          <w:i/>
          <w:sz w:val="16"/>
        </w:rPr>
        <w:t>derechos</w:t>
      </w:r>
      <w:r>
        <w:rPr>
          <w:i/>
          <w:spacing w:val="-13"/>
          <w:sz w:val="16"/>
        </w:rPr>
        <w:t xml:space="preserve"> </w:t>
      </w:r>
      <w:r>
        <w:rPr>
          <w:i/>
          <w:sz w:val="16"/>
        </w:rPr>
        <w:t>y</w:t>
      </w:r>
      <w:r>
        <w:rPr>
          <w:i/>
          <w:spacing w:val="-12"/>
          <w:sz w:val="16"/>
        </w:rPr>
        <w:t xml:space="preserve"> </w:t>
      </w:r>
      <w:r>
        <w:rPr>
          <w:i/>
          <w:sz w:val="16"/>
        </w:rPr>
        <w:t>libertades</w:t>
      </w:r>
      <w:r>
        <w:rPr>
          <w:i/>
          <w:spacing w:val="-13"/>
          <w:sz w:val="16"/>
        </w:rPr>
        <w:t xml:space="preserve"> </w:t>
      </w:r>
      <w:r>
        <w:rPr>
          <w:i/>
          <w:sz w:val="16"/>
        </w:rPr>
        <w:t>reconocidas</w:t>
      </w:r>
      <w:r>
        <w:rPr>
          <w:i/>
          <w:spacing w:val="-12"/>
          <w:sz w:val="16"/>
        </w:rPr>
        <w:t xml:space="preserve"> </w:t>
      </w:r>
      <w:r>
        <w:rPr>
          <w:i/>
          <w:sz w:val="16"/>
        </w:rPr>
        <w:t>en</w:t>
      </w:r>
      <w:r>
        <w:rPr>
          <w:i/>
          <w:spacing w:val="-13"/>
          <w:sz w:val="16"/>
        </w:rPr>
        <w:t xml:space="preserve"> </w:t>
      </w:r>
      <w:r>
        <w:rPr>
          <w:i/>
          <w:sz w:val="16"/>
        </w:rPr>
        <w:t>la</w:t>
      </w:r>
      <w:r>
        <w:rPr>
          <w:i/>
          <w:spacing w:val="-11"/>
          <w:sz w:val="16"/>
        </w:rPr>
        <w:t xml:space="preserve"> </w:t>
      </w:r>
      <w:r>
        <w:rPr>
          <w:i/>
          <w:sz w:val="16"/>
        </w:rPr>
        <w:t>misma,</w:t>
      </w:r>
      <w:r>
        <w:rPr>
          <w:i/>
          <w:spacing w:val="-13"/>
          <w:sz w:val="16"/>
        </w:rPr>
        <w:t xml:space="preserve"> </w:t>
      </w:r>
      <w:r>
        <w:rPr>
          <w:i/>
          <w:sz w:val="16"/>
        </w:rPr>
        <w:t>no</w:t>
      </w:r>
      <w:r>
        <w:rPr>
          <w:i/>
          <w:spacing w:val="-13"/>
          <w:sz w:val="16"/>
        </w:rPr>
        <w:t xml:space="preserve"> </w:t>
      </w:r>
      <w:r>
        <w:rPr>
          <w:i/>
          <w:sz w:val="16"/>
        </w:rPr>
        <w:t>pueden</w:t>
      </w:r>
      <w:r>
        <w:rPr>
          <w:i/>
          <w:spacing w:val="-13"/>
          <w:sz w:val="16"/>
        </w:rPr>
        <w:t xml:space="preserve"> </w:t>
      </w:r>
      <w:r>
        <w:rPr>
          <w:i/>
          <w:sz w:val="16"/>
        </w:rPr>
        <w:t>ser</w:t>
      </w:r>
      <w:r>
        <w:rPr>
          <w:i/>
          <w:spacing w:val="-10"/>
          <w:sz w:val="16"/>
        </w:rPr>
        <w:t xml:space="preserve"> </w:t>
      </w:r>
      <w:r>
        <w:rPr>
          <w:i/>
          <w:sz w:val="16"/>
        </w:rPr>
        <w:t>aplicadas</w:t>
      </w:r>
      <w:r>
        <w:rPr>
          <w:i/>
          <w:spacing w:val="-12"/>
          <w:sz w:val="16"/>
        </w:rPr>
        <w:t xml:space="preserve"> </w:t>
      </w:r>
      <w:r>
        <w:rPr>
          <w:i/>
          <w:sz w:val="16"/>
        </w:rPr>
        <w:t>sino</w:t>
      </w:r>
      <w:r>
        <w:rPr>
          <w:i/>
          <w:spacing w:val="-14"/>
          <w:sz w:val="16"/>
        </w:rPr>
        <w:t xml:space="preserve"> </w:t>
      </w:r>
      <w:r>
        <w:rPr>
          <w:i/>
          <w:sz w:val="16"/>
        </w:rPr>
        <w:t>conforme</w:t>
      </w:r>
      <w:r>
        <w:rPr>
          <w:i/>
          <w:spacing w:val="-10"/>
          <w:sz w:val="16"/>
        </w:rPr>
        <w:t xml:space="preserve"> </w:t>
      </w:r>
      <w:r>
        <w:rPr>
          <w:i/>
          <w:sz w:val="16"/>
        </w:rPr>
        <w:t>a</w:t>
      </w:r>
      <w:r>
        <w:rPr>
          <w:i/>
          <w:spacing w:val="-13"/>
          <w:sz w:val="16"/>
        </w:rPr>
        <w:t xml:space="preserve"> </w:t>
      </w:r>
      <w:r>
        <w:rPr>
          <w:i/>
          <w:sz w:val="16"/>
        </w:rPr>
        <w:t>leyes</w:t>
      </w:r>
      <w:r>
        <w:rPr>
          <w:i/>
          <w:spacing w:val="-14"/>
          <w:sz w:val="16"/>
        </w:rPr>
        <w:t xml:space="preserve"> </w:t>
      </w:r>
      <w:r>
        <w:rPr>
          <w:i/>
          <w:sz w:val="16"/>
        </w:rPr>
        <w:t>que</w:t>
      </w:r>
      <w:r>
        <w:rPr>
          <w:i/>
          <w:spacing w:val="-12"/>
          <w:sz w:val="16"/>
        </w:rPr>
        <w:t xml:space="preserve"> </w:t>
      </w:r>
      <w:r>
        <w:rPr>
          <w:i/>
          <w:sz w:val="16"/>
        </w:rPr>
        <w:t>se</w:t>
      </w:r>
      <w:r>
        <w:rPr>
          <w:i/>
          <w:spacing w:val="-12"/>
          <w:sz w:val="16"/>
        </w:rPr>
        <w:t xml:space="preserve"> </w:t>
      </w:r>
      <w:r>
        <w:rPr>
          <w:i/>
          <w:sz w:val="16"/>
        </w:rPr>
        <w:t>dictaren por razones de interés general y con el propósito para el cual han sido</w:t>
      </w:r>
      <w:r>
        <w:rPr>
          <w:i/>
          <w:spacing w:val="-18"/>
          <w:sz w:val="16"/>
        </w:rPr>
        <w:t xml:space="preserve"> </w:t>
      </w:r>
      <w:r>
        <w:rPr>
          <w:i/>
          <w:sz w:val="16"/>
        </w:rPr>
        <w:t>establecidas.”</w:t>
      </w:r>
    </w:p>
    <w:p w14:paraId="3FEB4DBB" w14:textId="77777777" w:rsidR="00467FCA" w:rsidRDefault="001B68EB">
      <w:pPr>
        <w:spacing w:before="2"/>
        <w:ind w:left="470"/>
        <w:jc w:val="both"/>
        <w:rPr>
          <w:sz w:val="16"/>
        </w:rPr>
      </w:pPr>
      <w:bookmarkStart w:id="729" w:name="_bookmark650"/>
      <w:bookmarkEnd w:id="729"/>
      <w:r>
        <w:rPr>
          <w:position w:val="6"/>
          <w:sz w:val="10"/>
        </w:rPr>
        <w:t xml:space="preserve">102 </w:t>
      </w:r>
      <w:r>
        <w:rPr>
          <w:sz w:val="16"/>
        </w:rPr>
        <w:t>Párr. 16 de la OC-6/86.</w:t>
      </w:r>
    </w:p>
    <w:p w14:paraId="4111DC98" w14:textId="77777777" w:rsidR="00467FCA" w:rsidRDefault="001B68EB">
      <w:pPr>
        <w:ind w:left="470" w:right="393"/>
        <w:jc w:val="both"/>
        <w:rPr>
          <w:i/>
          <w:sz w:val="16"/>
        </w:rPr>
      </w:pPr>
      <w:bookmarkStart w:id="730" w:name="_bookmark651"/>
      <w:bookmarkEnd w:id="730"/>
      <w:r>
        <w:rPr>
          <w:position w:val="6"/>
          <w:sz w:val="10"/>
        </w:rPr>
        <w:t>103</w:t>
      </w:r>
      <w:r>
        <w:rPr>
          <w:spacing w:val="4"/>
          <w:position w:val="6"/>
          <w:sz w:val="10"/>
        </w:rPr>
        <w:t xml:space="preserve"> </w:t>
      </w:r>
      <w:r>
        <w:rPr>
          <w:sz w:val="16"/>
        </w:rPr>
        <w:t>“</w:t>
      </w:r>
      <w:r>
        <w:rPr>
          <w:i/>
          <w:sz w:val="16"/>
        </w:rPr>
        <w:t>La</w:t>
      </w:r>
      <w:r>
        <w:rPr>
          <w:i/>
          <w:spacing w:val="-13"/>
          <w:sz w:val="16"/>
        </w:rPr>
        <w:t xml:space="preserve"> </w:t>
      </w:r>
      <w:r>
        <w:rPr>
          <w:i/>
          <w:sz w:val="16"/>
        </w:rPr>
        <w:t>Corte,</w:t>
      </w:r>
      <w:r>
        <w:rPr>
          <w:i/>
          <w:spacing w:val="-15"/>
          <w:sz w:val="16"/>
        </w:rPr>
        <w:t xml:space="preserve"> </w:t>
      </w:r>
      <w:r>
        <w:rPr>
          <w:i/>
          <w:sz w:val="16"/>
        </w:rPr>
        <w:t>a</w:t>
      </w:r>
      <w:r>
        <w:rPr>
          <w:i/>
          <w:spacing w:val="-13"/>
          <w:sz w:val="16"/>
        </w:rPr>
        <w:t xml:space="preserve"> </w:t>
      </w:r>
      <w:r>
        <w:rPr>
          <w:i/>
          <w:sz w:val="16"/>
        </w:rPr>
        <w:t>solicitud</w:t>
      </w:r>
      <w:r>
        <w:rPr>
          <w:i/>
          <w:spacing w:val="-11"/>
          <w:sz w:val="16"/>
        </w:rPr>
        <w:t xml:space="preserve"> </w:t>
      </w:r>
      <w:r>
        <w:rPr>
          <w:i/>
          <w:sz w:val="16"/>
        </w:rPr>
        <w:t>de</w:t>
      </w:r>
      <w:r>
        <w:rPr>
          <w:i/>
          <w:spacing w:val="-14"/>
          <w:sz w:val="16"/>
        </w:rPr>
        <w:t xml:space="preserve"> </w:t>
      </w:r>
      <w:r>
        <w:rPr>
          <w:i/>
          <w:sz w:val="16"/>
        </w:rPr>
        <w:t>un</w:t>
      </w:r>
      <w:r>
        <w:rPr>
          <w:i/>
          <w:spacing w:val="-14"/>
          <w:sz w:val="16"/>
        </w:rPr>
        <w:t xml:space="preserve"> </w:t>
      </w:r>
      <w:r>
        <w:rPr>
          <w:i/>
          <w:sz w:val="16"/>
        </w:rPr>
        <w:t>Estado</w:t>
      </w:r>
      <w:r>
        <w:rPr>
          <w:i/>
          <w:spacing w:val="-14"/>
          <w:sz w:val="16"/>
        </w:rPr>
        <w:t xml:space="preserve"> </w:t>
      </w:r>
      <w:r>
        <w:rPr>
          <w:i/>
          <w:sz w:val="16"/>
        </w:rPr>
        <w:t>miembro</w:t>
      </w:r>
      <w:r>
        <w:rPr>
          <w:i/>
          <w:spacing w:val="-14"/>
          <w:sz w:val="16"/>
        </w:rPr>
        <w:t xml:space="preserve"> </w:t>
      </w:r>
      <w:r>
        <w:rPr>
          <w:i/>
          <w:sz w:val="16"/>
        </w:rPr>
        <w:t>de</w:t>
      </w:r>
      <w:r>
        <w:rPr>
          <w:i/>
          <w:spacing w:val="-14"/>
          <w:sz w:val="16"/>
        </w:rPr>
        <w:t xml:space="preserve"> </w:t>
      </w:r>
      <w:r>
        <w:rPr>
          <w:i/>
          <w:sz w:val="16"/>
        </w:rPr>
        <w:t>la</w:t>
      </w:r>
      <w:r>
        <w:rPr>
          <w:i/>
          <w:spacing w:val="-15"/>
          <w:sz w:val="16"/>
        </w:rPr>
        <w:t xml:space="preserve"> </w:t>
      </w:r>
      <w:r>
        <w:rPr>
          <w:i/>
          <w:sz w:val="16"/>
        </w:rPr>
        <w:t>Organización,</w:t>
      </w:r>
      <w:r>
        <w:rPr>
          <w:i/>
          <w:spacing w:val="-14"/>
          <w:sz w:val="16"/>
        </w:rPr>
        <w:t xml:space="preserve"> </w:t>
      </w:r>
      <w:r>
        <w:rPr>
          <w:i/>
          <w:sz w:val="16"/>
        </w:rPr>
        <w:t>podrá</w:t>
      </w:r>
      <w:r>
        <w:rPr>
          <w:i/>
          <w:spacing w:val="-15"/>
          <w:sz w:val="16"/>
        </w:rPr>
        <w:t xml:space="preserve"> </w:t>
      </w:r>
      <w:r>
        <w:rPr>
          <w:i/>
          <w:sz w:val="16"/>
        </w:rPr>
        <w:t>darle</w:t>
      </w:r>
      <w:r>
        <w:rPr>
          <w:i/>
          <w:spacing w:val="-14"/>
          <w:sz w:val="16"/>
        </w:rPr>
        <w:t xml:space="preserve"> </w:t>
      </w:r>
      <w:r>
        <w:rPr>
          <w:i/>
          <w:sz w:val="16"/>
        </w:rPr>
        <w:t>opiniones</w:t>
      </w:r>
      <w:r>
        <w:rPr>
          <w:i/>
          <w:spacing w:val="-12"/>
          <w:sz w:val="16"/>
        </w:rPr>
        <w:t xml:space="preserve"> </w:t>
      </w:r>
      <w:r>
        <w:rPr>
          <w:i/>
          <w:sz w:val="16"/>
        </w:rPr>
        <w:t>acerca</w:t>
      </w:r>
      <w:r>
        <w:rPr>
          <w:i/>
          <w:spacing w:val="-13"/>
          <w:sz w:val="16"/>
        </w:rPr>
        <w:t xml:space="preserve"> </w:t>
      </w:r>
      <w:r>
        <w:rPr>
          <w:i/>
          <w:sz w:val="16"/>
        </w:rPr>
        <w:t>de</w:t>
      </w:r>
      <w:r>
        <w:rPr>
          <w:i/>
          <w:spacing w:val="-14"/>
          <w:sz w:val="16"/>
        </w:rPr>
        <w:t xml:space="preserve"> </w:t>
      </w:r>
      <w:r>
        <w:rPr>
          <w:i/>
          <w:sz w:val="16"/>
        </w:rPr>
        <w:t>la</w:t>
      </w:r>
      <w:r>
        <w:rPr>
          <w:i/>
          <w:spacing w:val="-14"/>
          <w:sz w:val="16"/>
        </w:rPr>
        <w:t xml:space="preserve"> </w:t>
      </w:r>
      <w:r>
        <w:rPr>
          <w:i/>
          <w:sz w:val="16"/>
        </w:rPr>
        <w:t>compatibilidad entre cualquiera de sus leyes internas y los mencionados instrumentos</w:t>
      </w:r>
      <w:r>
        <w:rPr>
          <w:i/>
          <w:spacing w:val="-2"/>
          <w:sz w:val="16"/>
        </w:rPr>
        <w:t xml:space="preserve"> </w:t>
      </w:r>
      <w:r>
        <w:rPr>
          <w:i/>
          <w:sz w:val="16"/>
        </w:rPr>
        <w:t>internacionales.”</w:t>
      </w:r>
    </w:p>
    <w:p w14:paraId="65488F01" w14:textId="77777777" w:rsidR="00467FCA" w:rsidRDefault="00467FCA">
      <w:pPr>
        <w:jc w:val="both"/>
        <w:rPr>
          <w:sz w:val="16"/>
        </w:rPr>
        <w:sectPr w:rsidR="00467FCA">
          <w:pgSz w:w="12240" w:h="15840"/>
          <w:pgMar w:top="1360" w:right="1140" w:bottom="1200" w:left="960" w:header="0" w:footer="1002" w:gutter="0"/>
          <w:cols w:space="720"/>
        </w:sectPr>
      </w:pPr>
    </w:p>
    <w:p w14:paraId="2BA306C3" w14:textId="77777777" w:rsidR="00467FCA" w:rsidRDefault="001B68EB">
      <w:pPr>
        <w:pStyle w:val="Textoindependiente"/>
        <w:spacing w:before="76" w:line="278" w:lineRule="auto"/>
        <w:ind w:left="470" w:right="334"/>
      </w:pPr>
      <w:r>
        <w:t>humano de igualdad ante la ley. La causante de esa violación es, por lo tanto, la ley, la que, a los efectos correspondientes, debe precisa</w:t>
      </w:r>
      <w:r>
        <w:t>rse cual es, lo que no ocurre en autos.</w:t>
      </w:r>
    </w:p>
    <w:p w14:paraId="284721CF" w14:textId="77777777" w:rsidR="00467FCA" w:rsidRDefault="00467FCA">
      <w:pPr>
        <w:pStyle w:val="Textoindependiente"/>
        <w:spacing w:before="11"/>
        <w:rPr>
          <w:sz w:val="21"/>
        </w:rPr>
      </w:pPr>
    </w:p>
    <w:p w14:paraId="4BE8DA2A" w14:textId="77777777" w:rsidR="00467FCA" w:rsidRDefault="001B68EB">
      <w:pPr>
        <w:pStyle w:val="Ttulo1"/>
        <w:numPr>
          <w:ilvl w:val="0"/>
          <w:numId w:val="11"/>
        </w:numPr>
        <w:tabs>
          <w:tab w:val="left" w:pos="742"/>
        </w:tabs>
        <w:spacing w:before="1"/>
        <w:ind w:left="741" w:hanging="272"/>
        <w:jc w:val="both"/>
      </w:pPr>
      <w:r>
        <w:t>El método</w:t>
      </w:r>
      <w:r>
        <w:rPr>
          <w:spacing w:val="-3"/>
        </w:rPr>
        <w:t xml:space="preserve"> </w:t>
      </w:r>
      <w:r>
        <w:t>subjetivo.</w:t>
      </w:r>
    </w:p>
    <w:p w14:paraId="3F06608A" w14:textId="77777777" w:rsidR="00467FCA" w:rsidRDefault="00467FCA">
      <w:pPr>
        <w:pStyle w:val="Textoindependiente"/>
        <w:rPr>
          <w:b/>
          <w:sz w:val="26"/>
        </w:rPr>
      </w:pPr>
    </w:p>
    <w:p w14:paraId="72B25B75" w14:textId="77777777" w:rsidR="00467FCA" w:rsidRDefault="001B68EB">
      <w:pPr>
        <w:pStyle w:val="Prrafodelista"/>
        <w:numPr>
          <w:ilvl w:val="0"/>
          <w:numId w:val="10"/>
        </w:numPr>
        <w:tabs>
          <w:tab w:val="left" w:pos="1450"/>
        </w:tabs>
        <w:spacing w:line="276" w:lineRule="auto"/>
        <w:ind w:left="469" w:right="397" w:firstLine="0"/>
        <w:jc w:val="both"/>
        <w:rPr>
          <w:sz w:val="20"/>
        </w:rPr>
      </w:pPr>
      <w:r>
        <w:rPr>
          <w:sz w:val="20"/>
        </w:rPr>
        <w:t>En lo atingente a la aplicación en la materia en comento del método subjetivo</w:t>
      </w:r>
      <w:r>
        <w:rPr>
          <w:spacing w:val="-38"/>
          <w:sz w:val="20"/>
        </w:rPr>
        <w:t xml:space="preserve"> </w:t>
      </w:r>
      <w:r>
        <w:rPr>
          <w:sz w:val="20"/>
        </w:rPr>
        <w:t>que procura determinar la voluntad de las partes de la Convención acorde al contexto de ella, es menester llamar la</w:t>
      </w:r>
      <w:r>
        <w:rPr>
          <w:sz w:val="20"/>
        </w:rPr>
        <w:t xml:space="preserve"> atención acerca de que el mencionado artículo 24 se encuentra entre los que se refieren a cada uno de los derechos humanos reconocidos en la Convención, por lo que se le aplica, al igual que los otros derechos humanos, lo previsto en sus artículos 1 y 2 y</w:t>
      </w:r>
      <w:r>
        <w:rPr>
          <w:sz w:val="20"/>
        </w:rPr>
        <w:t>, consecuentemente, a su respecto tienen competencia tanto la Comisión como la</w:t>
      </w:r>
      <w:r>
        <w:rPr>
          <w:spacing w:val="-38"/>
          <w:sz w:val="20"/>
        </w:rPr>
        <w:t xml:space="preserve"> </w:t>
      </w:r>
      <w:r>
        <w:rPr>
          <w:sz w:val="20"/>
        </w:rPr>
        <w:t>Corte.</w:t>
      </w:r>
    </w:p>
    <w:p w14:paraId="3F6B82BA" w14:textId="77777777" w:rsidR="00467FCA" w:rsidRDefault="00467FCA">
      <w:pPr>
        <w:pStyle w:val="Textoindependiente"/>
        <w:rPr>
          <w:sz w:val="23"/>
        </w:rPr>
      </w:pPr>
    </w:p>
    <w:p w14:paraId="1A82F0B7" w14:textId="77777777" w:rsidR="00467FCA" w:rsidRDefault="001B68EB">
      <w:pPr>
        <w:pStyle w:val="Prrafodelista"/>
        <w:numPr>
          <w:ilvl w:val="0"/>
          <w:numId w:val="10"/>
        </w:numPr>
        <w:tabs>
          <w:tab w:val="left" w:pos="1449"/>
        </w:tabs>
        <w:spacing w:line="276" w:lineRule="auto"/>
        <w:ind w:left="469" w:right="398" w:firstLine="0"/>
        <w:jc w:val="both"/>
        <w:rPr>
          <w:sz w:val="20"/>
        </w:rPr>
      </w:pPr>
      <w:r>
        <w:rPr>
          <w:sz w:val="20"/>
        </w:rPr>
        <w:t>Efectivamente,</w:t>
      </w:r>
      <w:r>
        <w:rPr>
          <w:spacing w:val="-18"/>
          <w:sz w:val="20"/>
        </w:rPr>
        <w:t xml:space="preserve"> </w:t>
      </w:r>
      <w:r>
        <w:rPr>
          <w:sz w:val="20"/>
        </w:rPr>
        <w:t>el</w:t>
      </w:r>
      <w:r>
        <w:rPr>
          <w:spacing w:val="-16"/>
          <w:sz w:val="20"/>
        </w:rPr>
        <w:t xml:space="preserve"> </w:t>
      </w:r>
      <w:r>
        <w:rPr>
          <w:sz w:val="20"/>
        </w:rPr>
        <w:t>citado</w:t>
      </w:r>
      <w:r>
        <w:rPr>
          <w:spacing w:val="-17"/>
          <w:sz w:val="20"/>
        </w:rPr>
        <w:t xml:space="preserve"> </w:t>
      </w:r>
      <w:r>
        <w:rPr>
          <w:sz w:val="20"/>
        </w:rPr>
        <w:t>artículo</w:t>
      </w:r>
      <w:r>
        <w:rPr>
          <w:spacing w:val="-20"/>
          <w:sz w:val="20"/>
        </w:rPr>
        <w:t xml:space="preserve"> </w:t>
      </w:r>
      <w:r>
        <w:rPr>
          <w:sz w:val="20"/>
        </w:rPr>
        <w:t>24</w:t>
      </w:r>
      <w:r>
        <w:rPr>
          <w:spacing w:val="-17"/>
          <w:sz w:val="20"/>
        </w:rPr>
        <w:t xml:space="preserve"> </w:t>
      </w:r>
      <w:r>
        <w:rPr>
          <w:sz w:val="20"/>
        </w:rPr>
        <w:t>se</w:t>
      </w:r>
      <w:r>
        <w:rPr>
          <w:spacing w:val="-17"/>
          <w:sz w:val="20"/>
        </w:rPr>
        <w:t xml:space="preserve"> </w:t>
      </w:r>
      <w:r>
        <w:rPr>
          <w:sz w:val="20"/>
        </w:rPr>
        <w:t>encuentra</w:t>
      </w:r>
      <w:r>
        <w:rPr>
          <w:spacing w:val="-16"/>
          <w:sz w:val="20"/>
        </w:rPr>
        <w:t xml:space="preserve"> </w:t>
      </w:r>
      <w:r>
        <w:rPr>
          <w:sz w:val="20"/>
        </w:rPr>
        <w:t>en</w:t>
      </w:r>
      <w:r>
        <w:rPr>
          <w:spacing w:val="-17"/>
          <w:sz w:val="20"/>
        </w:rPr>
        <w:t xml:space="preserve"> </w:t>
      </w:r>
      <w:r>
        <w:rPr>
          <w:sz w:val="20"/>
        </w:rPr>
        <w:t>el</w:t>
      </w:r>
      <w:r>
        <w:rPr>
          <w:spacing w:val="-19"/>
          <w:sz w:val="20"/>
        </w:rPr>
        <w:t xml:space="preserve"> </w:t>
      </w:r>
      <w:r>
        <w:rPr>
          <w:sz w:val="20"/>
        </w:rPr>
        <w:t>Capítulo</w:t>
      </w:r>
      <w:r>
        <w:rPr>
          <w:spacing w:val="-20"/>
          <w:sz w:val="20"/>
        </w:rPr>
        <w:t xml:space="preserve"> </w:t>
      </w:r>
      <w:r>
        <w:rPr>
          <w:sz w:val="20"/>
        </w:rPr>
        <w:t>II</w:t>
      </w:r>
      <w:r>
        <w:rPr>
          <w:spacing w:val="-16"/>
          <w:sz w:val="20"/>
        </w:rPr>
        <w:t xml:space="preserve"> </w:t>
      </w:r>
      <w:r>
        <w:rPr>
          <w:sz w:val="20"/>
        </w:rPr>
        <w:t>de</w:t>
      </w:r>
      <w:r>
        <w:rPr>
          <w:spacing w:val="-20"/>
          <w:sz w:val="20"/>
        </w:rPr>
        <w:t xml:space="preserve"> </w:t>
      </w:r>
      <w:r>
        <w:rPr>
          <w:sz w:val="20"/>
        </w:rPr>
        <w:t>la</w:t>
      </w:r>
      <w:r>
        <w:rPr>
          <w:spacing w:val="-16"/>
          <w:sz w:val="20"/>
        </w:rPr>
        <w:t xml:space="preserve"> </w:t>
      </w:r>
      <w:r>
        <w:rPr>
          <w:sz w:val="20"/>
        </w:rPr>
        <w:t>Convención, denominado “</w:t>
      </w:r>
      <w:r>
        <w:rPr>
          <w:i/>
          <w:sz w:val="20"/>
        </w:rPr>
        <w:t>Derechos Civiles y Políticos</w:t>
      </w:r>
      <w:r>
        <w:rPr>
          <w:sz w:val="20"/>
        </w:rPr>
        <w:t>”, de la Parte I de la misma, titulada “</w:t>
      </w:r>
      <w:r>
        <w:rPr>
          <w:i/>
          <w:sz w:val="20"/>
        </w:rPr>
        <w:t>Deb</w:t>
      </w:r>
      <w:r>
        <w:rPr>
          <w:i/>
          <w:sz w:val="20"/>
        </w:rPr>
        <w:t xml:space="preserve">eres </w:t>
      </w:r>
      <w:r>
        <w:rPr>
          <w:i/>
          <w:spacing w:val="2"/>
          <w:sz w:val="20"/>
        </w:rPr>
        <w:t xml:space="preserve">de </w:t>
      </w:r>
      <w:r>
        <w:rPr>
          <w:i/>
          <w:sz w:val="20"/>
        </w:rPr>
        <w:t>los Estados y Derechos</w:t>
      </w:r>
      <w:r>
        <w:rPr>
          <w:sz w:val="20"/>
        </w:rPr>
        <w:t>”, en la que se halla asimismo su Capítulo I, llamado “</w:t>
      </w:r>
      <w:r>
        <w:rPr>
          <w:i/>
          <w:sz w:val="20"/>
        </w:rPr>
        <w:t>Obligación de Respetar los Derechos</w:t>
      </w:r>
      <w:r>
        <w:rPr>
          <w:sz w:val="20"/>
        </w:rPr>
        <w:t>”, de lo que se deduce que este último concierne a los deberes de los Estados</w:t>
      </w:r>
      <w:r>
        <w:rPr>
          <w:spacing w:val="-10"/>
          <w:sz w:val="20"/>
        </w:rPr>
        <w:t xml:space="preserve"> </w:t>
      </w:r>
      <w:r>
        <w:rPr>
          <w:sz w:val="20"/>
        </w:rPr>
        <w:t>aplicables</w:t>
      </w:r>
      <w:r>
        <w:rPr>
          <w:spacing w:val="-6"/>
          <w:sz w:val="20"/>
        </w:rPr>
        <w:t xml:space="preserve"> </w:t>
      </w:r>
      <w:r>
        <w:rPr>
          <w:sz w:val="20"/>
        </w:rPr>
        <w:t>en</w:t>
      </w:r>
      <w:r>
        <w:rPr>
          <w:spacing w:val="-8"/>
          <w:sz w:val="20"/>
        </w:rPr>
        <w:t xml:space="preserve"> </w:t>
      </w:r>
      <w:r>
        <w:rPr>
          <w:sz w:val="20"/>
        </w:rPr>
        <w:t>relación</w:t>
      </w:r>
      <w:r>
        <w:rPr>
          <w:spacing w:val="-7"/>
          <w:sz w:val="20"/>
        </w:rPr>
        <w:t xml:space="preserve"> </w:t>
      </w:r>
      <w:r>
        <w:rPr>
          <w:sz w:val="20"/>
        </w:rPr>
        <w:t>a</w:t>
      </w:r>
      <w:r>
        <w:rPr>
          <w:spacing w:val="-9"/>
          <w:sz w:val="20"/>
        </w:rPr>
        <w:t xml:space="preserve"> </w:t>
      </w:r>
      <w:r>
        <w:rPr>
          <w:sz w:val="20"/>
        </w:rPr>
        <w:t>todos</w:t>
      </w:r>
      <w:r>
        <w:rPr>
          <w:spacing w:val="-9"/>
          <w:sz w:val="20"/>
        </w:rPr>
        <w:t xml:space="preserve"> </w:t>
      </w:r>
      <w:r>
        <w:rPr>
          <w:sz w:val="20"/>
        </w:rPr>
        <w:t>los</w:t>
      </w:r>
      <w:r>
        <w:rPr>
          <w:spacing w:val="-10"/>
          <w:sz w:val="20"/>
        </w:rPr>
        <w:t xml:space="preserve"> </w:t>
      </w:r>
      <w:r>
        <w:rPr>
          <w:sz w:val="20"/>
        </w:rPr>
        <w:t>derechos</w:t>
      </w:r>
      <w:r>
        <w:rPr>
          <w:spacing w:val="-9"/>
          <w:sz w:val="20"/>
        </w:rPr>
        <w:t xml:space="preserve"> </w:t>
      </w:r>
      <w:r>
        <w:rPr>
          <w:sz w:val="20"/>
        </w:rPr>
        <w:t>humanos</w:t>
      </w:r>
      <w:r>
        <w:rPr>
          <w:spacing w:val="-7"/>
          <w:sz w:val="20"/>
        </w:rPr>
        <w:t xml:space="preserve"> </w:t>
      </w:r>
      <w:r>
        <w:rPr>
          <w:sz w:val="20"/>
        </w:rPr>
        <w:t>reconocidos</w:t>
      </w:r>
      <w:r>
        <w:rPr>
          <w:spacing w:val="-9"/>
          <w:sz w:val="20"/>
        </w:rPr>
        <w:t xml:space="preserve"> </w:t>
      </w:r>
      <w:r>
        <w:rPr>
          <w:sz w:val="20"/>
        </w:rPr>
        <w:t>por</w:t>
      </w:r>
      <w:r>
        <w:rPr>
          <w:spacing w:val="-10"/>
          <w:sz w:val="20"/>
        </w:rPr>
        <w:t xml:space="preserve"> </w:t>
      </w:r>
      <w:r>
        <w:rPr>
          <w:sz w:val="20"/>
        </w:rPr>
        <w:t>la</w:t>
      </w:r>
      <w:r>
        <w:rPr>
          <w:spacing w:val="-8"/>
          <w:sz w:val="20"/>
        </w:rPr>
        <w:t xml:space="preserve"> </w:t>
      </w:r>
      <w:r>
        <w:rPr>
          <w:sz w:val="20"/>
        </w:rPr>
        <w:t>Convención, vale</w:t>
      </w:r>
      <w:r>
        <w:rPr>
          <w:spacing w:val="-9"/>
          <w:sz w:val="20"/>
        </w:rPr>
        <w:t xml:space="preserve"> </w:t>
      </w:r>
      <w:r>
        <w:rPr>
          <w:sz w:val="20"/>
        </w:rPr>
        <w:t>decir,</w:t>
      </w:r>
      <w:r>
        <w:rPr>
          <w:spacing w:val="-9"/>
          <w:sz w:val="20"/>
        </w:rPr>
        <w:t xml:space="preserve"> </w:t>
      </w:r>
      <w:r>
        <w:rPr>
          <w:sz w:val="20"/>
        </w:rPr>
        <w:t>a</w:t>
      </w:r>
      <w:r>
        <w:rPr>
          <w:spacing w:val="-8"/>
          <w:sz w:val="20"/>
        </w:rPr>
        <w:t xml:space="preserve"> </w:t>
      </w:r>
      <w:r>
        <w:rPr>
          <w:sz w:val="20"/>
        </w:rPr>
        <w:t>los</w:t>
      </w:r>
      <w:r>
        <w:rPr>
          <w:spacing w:val="-9"/>
          <w:sz w:val="20"/>
        </w:rPr>
        <w:t xml:space="preserve"> </w:t>
      </w:r>
      <w:r>
        <w:rPr>
          <w:sz w:val="20"/>
        </w:rPr>
        <w:t>previstos</w:t>
      </w:r>
      <w:r>
        <w:rPr>
          <w:spacing w:val="-9"/>
          <w:sz w:val="20"/>
        </w:rPr>
        <w:t xml:space="preserve"> </w:t>
      </w:r>
      <w:r>
        <w:rPr>
          <w:sz w:val="20"/>
        </w:rPr>
        <w:t>en</w:t>
      </w:r>
      <w:r>
        <w:rPr>
          <w:spacing w:val="-8"/>
          <w:sz w:val="20"/>
        </w:rPr>
        <w:t xml:space="preserve"> </w:t>
      </w:r>
      <w:r>
        <w:rPr>
          <w:sz w:val="20"/>
        </w:rPr>
        <w:t>el</w:t>
      </w:r>
      <w:r>
        <w:rPr>
          <w:spacing w:val="-7"/>
          <w:sz w:val="20"/>
        </w:rPr>
        <w:t xml:space="preserve"> </w:t>
      </w:r>
      <w:r>
        <w:rPr>
          <w:sz w:val="20"/>
        </w:rPr>
        <w:t>citado</w:t>
      </w:r>
      <w:r>
        <w:rPr>
          <w:spacing w:val="-9"/>
          <w:sz w:val="20"/>
        </w:rPr>
        <w:t xml:space="preserve"> </w:t>
      </w:r>
      <w:r>
        <w:rPr>
          <w:sz w:val="20"/>
        </w:rPr>
        <w:t>Capítulo</w:t>
      </w:r>
      <w:r>
        <w:rPr>
          <w:spacing w:val="-9"/>
          <w:sz w:val="20"/>
        </w:rPr>
        <w:t xml:space="preserve"> </w:t>
      </w:r>
      <w:r>
        <w:rPr>
          <w:sz w:val="20"/>
        </w:rPr>
        <w:t>II,</w:t>
      </w:r>
      <w:r>
        <w:rPr>
          <w:spacing w:val="-8"/>
          <w:sz w:val="20"/>
        </w:rPr>
        <w:t xml:space="preserve"> </w:t>
      </w:r>
      <w:r>
        <w:rPr>
          <w:sz w:val="20"/>
        </w:rPr>
        <w:t>entre</w:t>
      </w:r>
      <w:r>
        <w:rPr>
          <w:spacing w:val="-9"/>
          <w:sz w:val="20"/>
        </w:rPr>
        <w:t xml:space="preserve"> </w:t>
      </w:r>
      <w:r>
        <w:rPr>
          <w:sz w:val="20"/>
        </w:rPr>
        <w:t>ellos</w:t>
      </w:r>
      <w:r>
        <w:rPr>
          <w:spacing w:val="-9"/>
          <w:sz w:val="20"/>
        </w:rPr>
        <w:t xml:space="preserve"> </w:t>
      </w:r>
      <w:r>
        <w:rPr>
          <w:sz w:val="20"/>
        </w:rPr>
        <w:t>el</w:t>
      </w:r>
      <w:r>
        <w:rPr>
          <w:spacing w:val="-5"/>
          <w:sz w:val="20"/>
        </w:rPr>
        <w:t xml:space="preserve"> </w:t>
      </w:r>
      <w:r>
        <w:rPr>
          <w:sz w:val="20"/>
        </w:rPr>
        <w:t>consagrado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9"/>
          <w:sz w:val="20"/>
        </w:rPr>
        <w:t xml:space="preserve"> </w:t>
      </w:r>
      <w:r>
        <w:rPr>
          <w:sz w:val="20"/>
        </w:rPr>
        <w:t>24.</w:t>
      </w:r>
    </w:p>
    <w:p w14:paraId="2C595979" w14:textId="77777777" w:rsidR="00467FCA" w:rsidRDefault="00467FCA">
      <w:pPr>
        <w:pStyle w:val="Textoindependiente"/>
        <w:spacing w:before="2"/>
        <w:rPr>
          <w:sz w:val="22"/>
        </w:rPr>
      </w:pPr>
    </w:p>
    <w:p w14:paraId="7ACA4B40" w14:textId="77777777" w:rsidR="00467FCA" w:rsidRDefault="001B68EB">
      <w:pPr>
        <w:pStyle w:val="Prrafodelista"/>
        <w:numPr>
          <w:ilvl w:val="0"/>
          <w:numId w:val="10"/>
        </w:numPr>
        <w:tabs>
          <w:tab w:val="left" w:pos="1448"/>
        </w:tabs>
        <w:spacing w:line="276" w:lineRule="auto"/>
        <w:ind w:left="468" w:right="398" w:hanging="1"/>
        <w:jc w:val="both"/>
        <w:rPr>
          <w:sz w:val="20"/>
        </w:rPr>
      </w:pPr>
      <w:r>
        <w:rPr>
          <w:sz w:val="20"/>
        </w:rPr>
        <w:t>En tal sentido, no se comparte lo expresado en la Sentencia en cuanto a “</w:t>
      </w:r>
      <w:r>
        <w:rPr>
          <w:i/>
          <w:sz w:val="20"/>
        </w:rPr>
        <w:t>que, si un Estado discrimina en el respeto o garantía de un derecho convencional, incumpliría la obligación establecida en el artículo 1.1 y el derecho sustantivo en cuestión</w:t>
      </w:r>
      <w:r>
        <w:rPr>
          <w:sz w:val="20"/>
        </w:rPr>
        <w:t xml:space="preserve">” y que </w:t>
      </w:r>
      <w:r>
        <w:rPr>
          <w:i/>
          <w:sz w:val="20"/>
        </w:rPr>
        <w:t>“</w:t>
      </w:r>
      <w:r>
        <w:rPr>
          <w:i/>
          <w:sz w:val="20"/>
        </w:rPr>
        <w:t>(e)n cambio, si la discriminación se refiere a una protección desigual de la ley interna o de su aplicación, el hecho debe analizarse a la luz del artículo 24 de la Convención</w:t>
      </w:r>
      <w:r>
        <w:rPr>
          <w:i/>
          <w:spacing w:val="-24"/>
          <w:sz w:val="20"/>
        </w:rPr>
        <w:t xml:space="preserve"> </w:t>
      </w:r>
      <w:r>
        <w:rPr>
          <w:i/>
          <w:sz w:val="20"/>
        </w:rPr>
        <w:t>Americana</w:t>
      </w:r>
      <w:r>
        <w:rPr>
          <w:sz w:val="20"/>
        </w:rPr>
        <w:t>”</w:t>
      </w:r>
      <w:hyperlink w:anchor="_bookmark652" w:history="1">
        <w:r>
          <w:rPr>
            <w:position w:val="7"/>
            <w:sz w:val="13"/>
          </w:rPr>
          <w:t>104</w:t>
        </w:r>
      </w:hyperlink>
      <w:r>
        <w:rPr>
          <w:sz w:val="20"/>
        </w:rPr>
        <w:t>.</w:t>
      </w:r>
    </w:p>
    <w:p w14:paraId="3DB5BD5A" w14:textId="77777777" w:rsidR="00467FCA" w:rsidRDefault="00467FCA">
      <w:pPr>
        <w:pStyle w:val="Textoindependiente"/>
        <w:spacing w:before="2"/>
        <w:rPr>
          <w:sz w:val="22"/>
        </w:rPr>
      </w:pPr>
    </w:p>
    <w:p w14:paraId="002DFD24" w14:textId="77777777" w:rsidR="00467FCA" w:rsidRDefault="001B68EB">
      <w:pPr>
        <w:pStyle w:val="Prrafodelista"/>
        <w:numPr>
          <w:ilvl w:val="0"/>
          <w:numId w:val="10"/>
        </w:numPr>
        <w:tabs>
          <w:tab w:val="left" w:pos="1450"/>
        </w:tabs>
        <w:spacing w:line="276" w:lineRule="auto"/>
        <w:ind w:left="469" w:right="395" w:firstLine="0"/>
        <w:jc w:val="both"/>
        <w:rPr>
          <w:sz w:val="20"/>
        </w:rPr>
      </w:pPr>
      <w:r>
        <w:rPr>
          <w:sz w:val="20"/>
        </w:rPr>
        <w:t xml:space="preserve">Y no se puede coincidir con ese </w:t>
      </w:r>
      <w:r>
        <w:rPr>
          <w:sz w:val="20"/>
        </w:rPr>
        <w:t xml:space="preserve">criterio porque, por de pronto, esta última disposición no se refiere solo al derecho a la igual protección de la ley, sino, primeramente, al derecho a la igualdad ante la ley. En segundo término, se disiente de lo afirmado en la Sentencia ya que mientras </w:t>
      </w:r>
      <w:r>
        <w:rPr>
          <w:sz w:val="20"/>
        </w:rPr>
        <w:t>lo prescrito en el artículo 1.1 de la Convención concierne a la obligación de los Estados de respetar y garantizar el respeto de todos los derechos que aquella reconoce, el artículo 24 es atingente únicamente a uno de los derechos así reconocidos,</w:t>
      </w:r>
      <w:r>
        <w:rPr>
          <w:spacing w:val="-6"/>
          <w:sz w:val="20"/>
        </w:rPr>
        <w:t xml:space="preserve"> </w:t>
      </w:r>
      <w:r>
        <w:rPr>
          <w:sz w:val="20"/>
        </w:rPr>
        <w:t>es</w:t>
      </w:r>
      <w:r>
        <w:rPr>
          <w:spacing w:val="-8"/>
          <w:sz w:val="20"/>
        </w:rPr>
        <w:t xml:space="preserve"> </w:t>
      </w:r>
      <w:r>
        <w:rPr>
          <w:sz w:val="20"/>
        </w:rPr>
        <w:t>decir,</w:t>
      </w:r>
      <w:r>
        <w:rPr>
          <w:spacing w:val="-5"/>
          <w:sz w:val="20"/>
        </w:rPr>
        <w:t xml:space="preserve"> </w:t>
      </w:r>
      <w:r>
        <w:rPr>
          <w:sz w:val="20"/>
        </w:rPr>
        <w:t>al</w:t>
      </w:r>
      <w:r>
        <w:rPr>
          <w:spacing w:val="-5"/>
          <w:sz w:val="20"/>
        </w:rPr>
        <w:t xml:space="preserve"> </w:t>
      </w:r>
      <w:r>
        <w:rPr>
          <w:sz w:val="20"/>
        </w:rPr>
        <w:t>derecho</w:t>
      </w:r>
      <w:r>
        <w:rPr>
          <w:spacing w:val="-6"/>
          <w:sz w:val="20"/>
        </w:rPr>
        <w:t xml:space="preserve"> </w:t>
      </w:r>
      <w:r>
        <w:rPr>
          <w:sz w:val="20"/>
        </w:rPr>
        <w:t>a</w:t>
      </w:r>
      <w:r>
        <w:rPr>
          <w:spacing w:val="-4"/>
          <w:sz w:val="20"/>
        </w:rPr>
        <w:t xml:space="preserve"> </w:t>
      </w:r>
      <w:r>
        <w:rPr>
          <w:sz w:val="20"/>
        </w:rPr>
        <w:t>la</w:t>
      </w:r>
      <w:r>
        <w:rPr>
          <w:spacing w:val="-8"/>
          <w:sz w:val="20"/>
        </w:rPr>
        <w:t xml:space="preserve"> </w:t>
      </w:r>
      <w:r>
        <w:rPr>
          <w:sz w:val="20"/>
        </w:rPr>
        <w:t>igualdad</w:t>
      </w:r>
      <w:r>
        <w:rPr>
          <w:spacing w:val="-6"/>
          <w:sz w:val="20"/>
        </w:rPr>
        <w:t xml:space="preserve"> </w:t>
      </w:r>
      <w:r>
        <w:rPr>
          <w:sz w:val="20"/>
        </w:rPr>
        <w:t>ante</w:t>
      </w:r>
      <w:r>
        <w:rPr>
          <w:spacing w:val="-8"/>
          <w:sz w:val="20"/>
        </w:rPr>
        <w:t xml:space="preserve"> </w:t>
      </w:r>
      <w:r>
        <w:rPr>
          <w:sz w:val="20"/>
        </w:rPr>
        <w:t>la</w:t>
      </w:r>
      <w:r>
        <w:rPr>
          <w:spacing w:val="-8"/>
          <w:sz w:val="20"/>
        </w:rPr>
        <w:t xml:space="preserve"> </w:t>
      </w:r>
      <w:r>
        <w:rPr>
          <w:sz w:val="20"/>
        </w:rPr>
        <w:t>ley.</w:t>
      </w:r>
      <w:r>
        <w:rPr>
          <w:spacing w:val="-7"/>
          <w:sz w:val="20"/>
        </w:rPr>
        <w:t xml:space="preserve"> </w:t>
      </w:r>
      <w:r>
        <w:rPr>
          <w:sz w:val="20"/>
        </w:rPr>
        <w:t>En</w:t>
      </w:r>
      <w:r>
        <w:rPr>
          <w:spacing w:val="-6"/>
          <w:sz w:val="20"/>
        </w:rPr>
        <w:t xml:space="preserve"> </w:t>
      </w:r>
      <w:r>
        <w:rPr>
          <w:sz w:val="20"/>
        </w:rPr>
        <w:t>tercer</w:t>
      </w:r>
      <w:r>
        <w:rPr>
          <w:spacing w:val="-6"/>
          <w:sz w:val="20"/>
        </w:rPr>
        <w:t xml:space="preserve"> </w:t>
      </w:r>
      <w:r>
        <w:rPr>
          <w:sz w:val="20"/>
        </w:rPr>
        <w:t>término,</w:t>
      </w:r>
      <w:r>
        <w:rPr>
          <w:spacing w:val="-6"/>
          <w:sz w:val="20"/>
        </w:rPr>
        <w:t xml:space="preserve"> </w:t>
      </w:r>
      <w:r>
        <w:rPr>
          <w:sz w:val="20"/>
        </w:rPr>
        <w:t>se</w:t>
      </w:r>
      <w:r>
        <w:rPr>
          <w:spacing w:val="-6"/>
          <w:sz w:val="20"/>
        </w:rPr>
        <w:t xml:space="preserve"> </w:t>
      </w:r>
      <w:r>
        <w:rPr>
          <w:sz w:val="20"/>
        </w:rPr>
        <w:t>discrepa</w:t>
      </w:r>
      <w:r>
        <w:rPr>
          <w:spacing w:val="-7"/>
          <w:sz w:val="20"/>
        </w:rPr>
        <w:t xml:space="preserve"> </w:t>
      </w:r>
      <w:r>
        <w:rPr>
          <w:sz w:val="20"/>
        </w:rPr>
        <w:t>del planteamiento</w:t>
      </w:r>
      <w:r>
        <w:rPr>
          <w:spacing w:val="-11"/>
          <w:sz w:val="20"/>
        </w:rPr>
        <w:t xml:space="preserve"> </w:t>
      </w:r>
      <w:r>
        <w:rPr>
          <w:sz w:val="20"/>
        </w:rPr>
        <w:t>de</w:t>
      </w:r>
      <w:r>
        <w:rPr>
          <w:spacing w:val="-11"/>
          <w:sz w:val="20"/>
        </w:rPr>
        <w:t xml:space="preserve"> </w:t>
      </w:r>
      <w:r>
        <w:rPr>
          <w:sz w:val="20"/>
        </w:rPr>
        <w:t>la</w:t>
      </w:r>
      <w:r>
        <w:rPr>
          <w:spacing w:val="-10"/>
          <w:sz w:val="20"/>
        </w:rPr>
        <w:t xml:space="preserve"> </w:t>
      </w:r>
      <w:r>
        <w:rPr>
          <w:sz w:val="20"/>
        </w:rPr>
        <w:t>Sentencia</w:t>
      </w:r>
      <w:r>
        <w:rPr>
          <w:spacing w:val="-10"/>
          <w:sz w:val="20"/>
        </w:rPr>
        <w:t xml:space="preserve"> </w:t>
      </w:r>
      <w:r>
        <w:rPr>
          <w:sz w:val="20"/>
        </w:rPr>
        <w:t>habida</w:t>
      </w:r>
      <w:r>
        <w:rPr>
          <w:spacing w:val="-10"/>
          <w:sz w:val="20"/>
        </w:rPr>
        <w:t xml:space="preserve"> </w:t>
      </w:r>
      <w:r>
        <w:rPr>
          <w:sz w:val="20"/>
        </w:rPr>
        <w:t>cuenta</w:t>
      </w:r>
      <w:r>
        <w:rPr>
          <w:spacing w:val="-10"/>
          <w:sz w:val="20"/>
        </w:rPr>
        <w:t xml:space="preserve"> </w:t>
      </w:r>
      <w:r>
        <w:rPr>
          <w:sz w:val="20"/>
        </w:rPr>
        <w:t>que,</w:t>
      </w:r>
      <w:r>
        <w:rPr>
          <w:spacing w:val="-11"/>
          <w:sz w:val="20"/>
        </w:rPr>
        <w:t xml:space="preserve"> </w:t>
      </w:r>
      <w:r>
        <w:rPr>
          <w:sz w:val="20"/>
        </w:rPr>
        <w:t>mientras</w:t>
      </w:r>
      <w:r>
        <w:rPr>
          <w:spacing w:val="-9"/>
          <w:sz w:val="20"/>
        </w:rPr>
        <w:t xml:space="preserve"> </w:t>
      </w:r>
      <w:r>
        <w:rPr>
          <w:sz w:val="20"/>
        </w:rPr>
        <w:t>el</w:t>
      </w:r>
      <w:r>
        <w:rPr>
          <w:spacing w:val="-7"/>
          <w:sz w:val="20"/>
        </w:rPr>
        <w:t xml:space="preserve"> </w:t>
      </w:r>
      <w:r>
        <w:rPr>
          <w:sz w:val="20"/>
        </w:rPr>
        <w:t>artículo</w:t>
      </w:r>
      <w:r>
        <w:rPr>
          <w:spacing w:val="-11"/>
          <w:sz w:val="20"/>
        </w:rPr>
        <w:t xml:space="preserve"> </w:t>
      </w:r>
      <w:r>
        <w:rPr>
          <w:sz w:val="20"/>
        </w:rPr>
        <w:t>1.1</w:t>
      </w:r>
      <w:r>
        <w:rPr>
          <w:spacing w:val="-10"/>
          <w:sz w:val="20"/>
        </w:rPr>
        <w:t xml:space="preserve"> </w:t>
      </w:r>
      <w:r>
        <w:rPr>
          <w:sz w:val="20"/>
        </w:rPr>
        <w:t>no</w:t>
      </w:r>
      <w:r>
        <w:rPr>
          <w:spacing w:val="-11"/>
          <w:sz w:val="20"/>
        </w:rPr>
        <w:t xml:space="preserve"> </w:t>
      </w:r>
      <w:r>
        <w:rPr>
          <w:sz w:val="20"/>
        </w:rPr>
        <w:t>indica</w:t>
      </w:r>
      <w:r>
        <w:rPr>
          <w:spacing w:val="-8"/>
          <w:sz w:val="20"/>
        </w:rPr>
        <w:t xml:space="preserve"> </w:t>
      </w:r>
      <w:r>
        <w:rPr>
          <w:sz w:val="20"/>
        </w:rPr>
        <w:t>el</w:t>
      </w:r>
      <w:r>
        <w:rPr>
          <w:spacing w:val="-10"/>
          <w:sz w:val="20"/>
        </w:rPr>
        <w:t xml:space="preserve"> </w:t>
      </w:r>
      <w:r>
        <w:rPr>
          <w:sz w:val="20"/>
        </w:rPr>
        <w:t>medio por el cual se discrimina, el artículo 24 lo identifica como la</w:t>
      </w:r>
      <w:r>
        <w:rPr>
          <w:spacing w:val="-12"/>
          <w:sz w:val="20"/>
        </w:rPr>
        <w:t xml:space="preserve"> </w:t>
      </w:r>
      <w:r>
        <w:rPr>
          <w:sz w:val="20"/>
        </w:rPr>
        <w:t>ley.</w:t>
      </w:r>
    </w:p>
    <w:p w14:paraId="7F550094" w14:textId="77777777" w:rsidR="00467FCA" w:rsidRDefault="00467FCA">
      <w:pPr>
        <w:pStyle w:val="Textoindependiente"/>
        <w:spacing w:before="4"/>
        <w:rPr>
          <w:sz w:val="22"/>
        </w:rPr>
      </w:pPr>
    </w:p>
    <w:p w14:paraId="7B0417F0" w14:textId="77777777" w:rsidR="00467FCA" w:rsidRDefault="001B68EB">
      <w:pPr>
        <w:pStyle w:val="Prrafodelista"/>
        <w:numPr>
          <w:ilvl w:val="0"/>
          <w:numId w:val="10"/>
        </w:numPr>
        <w:tabs>
          <w:tab w:val="left" w:pos="1450"/>
        </w:tabs>
        <w:spacing w:line="276" w:lineRule="auto"/>
        <w:ind w:right="400" w:firstLine="0"/>
        <w:jc w:val="both"/>
        <w:rPr>
          <w:sz w:val="20"/>
        </w:rPr>
      </w:pPr>
      <w:r>
        <w:rPr>
          <w:sz w:val="20"/>
        </w:rPr>
        <w:t>Sostener lo q</w:t>
      </w:r>
      <w:r>
        <w:rPr>
          <w:sz w:val="20"/>
        </w:rPr>
        <w:t>ue indica la Sentencia implicaría considerar al artículo 24 en redundante</w:t>
      </w:r>
      <w:r>
        <w:rPr>
          <w:spacing w:val="-5"/>
          <w:sz w:val="20"/>
        </w:rPr>
        <w:t xml:space="preserve"> </w:t>
      </w:r>
      <w:r>
        <w:rPr>
          <w:sz w:val="20"/>
        </w:rPr>
        <w:t>o</w:t>
      </w:r>
      <w:r>
        <w:rPr>
          <w:spacing w:val="-6"/>
          <w:sz w:val="20"/>
        </w:rPr>
        <w:t xml:space="preserve"> </w:t>
      </w:r>
      <w:r>
        <w:rPr>
          <w:sz w:val="20"/>
        </w:rPr>
        <w:t>innecesario,</w:t>
      </w:r>
      <w:r>
        <w:rPr>
          <w:spacing w:val="-6"/>
          <w:sz w:val="20"/>
        </w:rPr>
        <w:t xml:space="preserve"> </w:t>
      </w:r>
      <w:r>
        <w:rPr>
          <w:sz w:val="20"/>
        </w:rPr>
        <w:t>puesto</w:t>
      </w:r>
      <w:r>
        <w:rPr>
          <w:spacing w:val="-7"/>
          <w:sz w:val="20"/>
        </w:rPr>
        <w:t xml:space="preserve"> </w:t>
      </w:r>
      <w:r>
        <w:rPr>
          <w:sz w:val="20"/>
        </w:rPr>
        <w:t>que,</w:t>
      </w:r>
      <w:r>
        <w:rPr>
          <w:spacing w:val="-6"/>
          <w:sz w:val="20"/>
        </w:rPr>
        <w:t xml:space="preserve"> </w:t>
      </w:r>
      <w:r>
        <w:rPr>
          <w:sz w:val="20"/>
        </w:rPr>
        <w:t>a</w:t>
      </w:r>
      <w:r>
        <w:rPr>
          <w:spacing w:val="-3"/>
          <w:sz w:val="20"/>
        </w:rPr>
        <w:t xml:space="preserve"> </w:t>
      </w:r>
      <w:r>
        <w:rPr>
          <w:sz w:val="20"/>
        </w:rPr>
        <w:t>los</w:t>
      </w:r>
      <w:r>
        <w:rPr>
          <w:spacing w:val="-4"/>
          <w:sz w:val="20"/>
        </w:rPr>
        <w:t xml:space="preserve"> </w:t>
      </w:r>
      <w:r>
        <w:rPr>
          <w:sz w:val="20"/>
        </w:rPr>
        <w:t>efectos</w:t>
      </w:r>
      <w:r>
        <w:rPr>
          <w:spacing w:val="-4"/>
          <w:sz w:val="20"/>
        </w:rPr>
        <w:t xml:space="preserve"> </w:t>
      </w:r>
      <w:r>
        <w:rPr>
          <w:sz w:val="20"/>
        </w:rPr>
        <w:t>prácticos,</w:t>
      </w:r>
      <w:r>
        <w:rPr>
          <w:spacing w:val="-4"/>
          <w:sz w:val="20"/>
        </w:rPr>
        <w:t xml:space="preserve"> </w:t>
      </w:r>
      <w:r>
        <w:rPr>
          <w:sz w:val="20"/>
        </w:rPr>
        <w:t>el</w:t>
      </w:r>
      <w:r>
        <w:rPr>
          <w:spacing w:val="-4"/>
          <w:sz w:val="20"/>
        </w:rPr>
        <w:t xml:space="preserve"> </w:t>
      </w:r>
      <w:r>
        <w:rPr>
          <w:sz w:val="20"/>
        </w:rPr>
        <w:t>artículo</w:t>
      </w:r>
      <w:r>
        <w:rPr>
          <w:spacing w:val="-6"/>
          <w:sz w:val="20"/>
        </w:rPr>
        <w:t xml:space="preserve"> </w:t>
      </w:r>
      <w:r>
        <w:rPr>
          <w:sz w:val="20"/>
        </w:rPr>
        <w:t>1</w:t>
      </w:r>
      <w:r>
        <w:rPr>
          <w:spacing w:val="-4"/>
          <w:sz w:val="20"/>
        </w:rPr>
        <w:t xml:space="preserve"> </w:t>
      </w:r>
      <w:r>
        <w:rPr>
          <w:sz w:val="20"/>
        </w:rPr>
        <w:t>de</w:t>
      </w:r>
      <w:r>
        <w:rPr>
          <w:spacing w:val="-4"/>
          <w:sz w:val="20"/>
        </w:rPr>
        <w:t xml:space="preserve"> </w:t>
      </w:r>
      <w:r>
        <w:rPr>
          <w:sz w:val="20"/>
        </w:rPr>
        <w:t>la</w:t>
      </w:r>
      <w:r>
        <w:rPr>
          <w:spacing w:val="-5"/>
          <w:sz w:val="20"/>
        </w:rPr>
        <w:t xml:space="preserve"> </w:t>
      </w:r>
      <w:r>
        <w:rPr>
          <w:sz w:val="20"/>
        </w:rPr>
        <w:t>Convención también prevé la posibilidad de que, en la violación de cualquier derecho convencional, se incurra, por cualquier causa, en</w:t>
      </w:r>
      <w:r>
        <w:rPr>
          <w:spacing w:val="-4"/>
          <w:sz w:val="20"/>
        </w:rPr>
        <w:t xml:space="preserve"> </w:t>
      </w:r>
      <w:r>
        <w:rPr>
          <w:sz w:val="20"/>
        </w:rPr>
        <w:t>discriminación.</w:t>
      </w:r>
    </w:p>
    <w:p w14:paraId="6717493F" w14:textId="77777777" w:rsidR="00467FCA" w:rsidRDefault="00467FCA">
      <w:pPr>
        <w:pStyle w:val="Textoindependiente"/>
        <w:spacing w:before="1"/>
        <w:rPr>
          <w:sz w:val="22"/>
        </w:rPr>
      </w:pPr>
    </w:p>
    <w:p w14:paraId="0361E7DB" w14:textId="77777777" w:rsidR="00467FCA" w:rsidRDefault="001B68EB">
      <w:pPr>
        <w:pStyle w:val="Prrafodelista"/>
        <w:numPr>
          <w:ilvl w:val="0"/>
          <w:numId w:val="10"/>
        </w:numPr>
        <w:tabs>
          <w:tab w:val="left" w:pos="1450"/>
        </w:tabs>
        <w:spacing w:before="1" w:line="276" w:lineRule="auto"/>
        <w:ind w:right="397" w:firstLine="0"/>
        <w:jc w:val="both"/>
        <w:rPr>
          <w:sz w:val="20"/>
        </w:rPr>
      </w:pPr>
      <w:r>
        <w:rPr>
          <w:sz w:val="20"/>
        </w:rPr>
        <w:t>Como</w:t>
      </w:r>
      <w:r>
        <w:rPr>
          <w:spacing w:val="-8"/>
          <w:sz w:val="20"/>
        </w:rPr>
        <w:t xml:space="preserve"> </w:t>
      </w:r>
      <w:r>
        <w:rPr>
          <w:sz w:val="20"/>
        </w:rPr>
        <w:t>correlato</w:t>
      </w:r>
      <w:r>
        <w:rPr>
          <w:spacing w:val="-9"/>
          <w:sz w:val="20"/>
        </w:rPr>
        <w:t xml:space="preserve"> </w:t>
      </w:r>
      <w:r>
        <w:rPr>
          <w:sz w:val="20"/>
        </w:rPr>
        <w:t>de</w:t>
      </w:r>
      <w:r>
        <w:rPr>
          <w:spacing w:val="-9"/>
          <w:sz w:val="20"/>
        </w:rPr>
        <w:t xml:space="preserve"> </w:t>
      </w:r>
      <w:r>
        <w:rPr>
          <w:sz w:val="20"/>
        </w:rPr>
        <w:t>lo</w:t>
      </w:r>
      <w:r>
        <w:rPr>
          <w:spacing w:val="-9"/>
          <w:sz w:val="20"/>
        </w:rPr>
        <w:t xml:space="preserve"> </w:t>
      </w:r>
      <w:r>
        <w:rPr>
          <w:sz w:val="20"/>
        </w:rPr>
        <w:t>afirmado</w:t>
      </w:r>
      <w:r>
        <w:rPr>
          <w:spacing w:val="-10"/>
          <w:sz w:val="20"/>
        </w:rPr>
        <w:t xml:space="preserve"> </w:t>
      </w:r>
      <w:r>
        <w:rPr>
          <w:sz w:val="20"/>
        </w:rPr>
        <w:t>precedentemente,</w:t>
      </w:r>
      <w:r>
        <w:rPr>
          <w:spacing w:val="-8"/>
          <w:sz w:val="20"/>
        </w:rPr>
        <w:t xml:space="preserve"> </w:t>
      </w:r>
      <w:r>
        <w:rPr>
          <w:sz w:val="20"/>
        </w:rPr>
        <w:t>se</w:t>
      </w:r>
      <w:r>
        <w:rPr>
          <w:spacing w:val="-9"/>
          <w:sz w:val="20"/>
        </w:rPr>
        <w:t xml:space="preserve"> </w:t>
      </w:r>
      <w:r>
        <w:rPr>
          <w:sz w:val="20"/>
        </w:rPr>
        <w:t>puede</w:t>
      </w:r>
      <w:r>
        <w:rPr>
          <w:spacing w:val="-9"/>
          <w:sz w:val="20"/>
        </w:rPr>
        <w:t xml:space="preserve"> </w:t>
      </w:r>
      <w:r>
        <w:rPr>
          <w:sz w:val="20"/>
        </w:rPr>
        <w:t>concluir</w:t>
      </w:r>
      <w:r>
        <w:rPr>
          <w:spacing w:val="-10"/>
          <w:sz w:val="20"/>
        </w:rPr>
        <w:t xml:space="preserve"> </w:t>
      </w:r>
      <w:r>
        <w:rPr>
          <w:sz w:val="20"/>
        </w:rPr>
        <w:t>que</w:t>
      </w:r>
      <w:r>
        <w:rPr>
          <w:spacing w:val="-7"/>
          <w:sz w:val="20"/>
        </w:rPr>
        <w:t xml:space="preserve"> </w:t>
      </w:r>
      <w:r>
        <w:rPr>
          <w:sz w:val="20"/>
        </w:rPr>
        <w:t>la</w:t>
      </w:r>
      <w:r>
        <w:rPr>
          <w:spacing w:val="-8"/>
          <w:sz w:val="20"/>
        </w:rPr>
        <w:t xml:space="preserve"> </w:t>
      </w:r>
      <w:r>
        <w:rPr>
          <w:sz w:val="20"/>
        </w:rPr>
        <w:t>regla</w:t>
      </w:r>
      <w:r>
        <w:rPr>
          <w:spacing w:val="-8"/>
          <w:sz w:val="20"/>
        </w:rPr>
        <w:t xml:space="preserve"> </w:t>
      </w:r>
      <w:r>
        <w:rPr>
          <w:sz w:val="20"/>
        </w:rPr>
        <w:t>de interpretación concerni</w:t>
      </w:r>
      <w:r>
        <w:rPr>
          <w:sz w:val="20"/>
        </w:rPr>
        <w:t>ente a determinar la voluntad de las partes de la Convención acorde al contexto de ella nos conduce a la misma conclusión a la que nos llevan los dos métodos precedentes, esto es, que, para determinar la violación de lo previsto en el citado artículo 24, e</w:t>
      </w:r>
      <w:r>
        <w:rPr>
          <w:sz w:val="20"/>
        </w:rPr>
        <w:t>s indispensable precisar la ley que no considera iguales a todas las personas o que</w:t>
      </w:r>
      <w:r>
        <w:rPr>
          <w:spacing w:val="58"/>
          <w:sz w:val="20"/>
        </w:rPr>
        <w:t xml:space="preserve"> </w:t>
      </w:r>
      <w:r>
        <w:rPr>
          <w:sz w:val="20"/>
        </w:rPr>
        <w:t>no</w:t>
      </w:r>
    </w:p>
    <w:p w14:paraId="5E087A99" w14:textId="77777777" w:rsidR="00467FCA" w:rsidRDefault="001B68EB">
      <w:pPr>
        <w:pStyle w:val="Textoindependiente"/>
        <w:spacing w:before="4"/>
        <w:rPr>
          <w:sz w:val="10"/>
        </w:rPr>
      </w:pPr>
      <w:r>
        <w:pict w14:anchorId="38A75B12">
          <v:shape id="_x0000_s1079" style="position:absolute;margin-left:56.75pt;margin-top:8.65pt;width:2in;height:.1pt;z-index:-251538432;mso-wrap-distance-left:0;mso-wrap-distance-right:0;mso-position-horizontal-relative:page" coordorigin="1135,173" coordsize="2880,0" path="m1135,173r2880,e" filled="f" strokeweight=".72pt">
            <v:path arrowok="t"/>
            <w10:wrap type="topAndBottom" anchorx="page"/>
          </v:shape>
        </w:pict>
      </w:r>
    </w:p>
    <w:p w14:paraId="065428B6" w14:textId="77777777" w:rsidR="00467FCA" w:rsidRDefault="001B68EB">
      <w:pPr>
        <w:spacing w:before="71"/>
        <w:ind w:left="470"/>
        <w:rPr>
          <w:sz w:val="16"/>
        </w:rPr>
      </w:pPr>
      <w:bookmarkStart w:id="731" w:name="_bookmark652"/>
      <w:bookmarkEnd w:id="731"/>
      <w:r>
        <w:rPr>
          <w:position w:val="6"/>
          <w:sz w:val="10"/>
        </w:rPr>
        <w:t xml:space="preserve">104 </w:t>
      </w:r>
      <w:r>
        <w:rPr>
          <w:sz w:val="16"/>
        </w:rPr>
        <w:t>Párr. 182.</w:t>
      </w:r>
    </w:p>
    <w:p w14:paraId="65AA7B86" w14:textId="77777777" w:rsidR="00467FCA" w:rsidRDefault="00467FCA">
      <w:pPr>
        <w:rPr>
          <w:sz w:val="16"/>
        </w:rPr>
        <w:sectPr w:rsidR="00467FCA">
          <w:pgSz w:w="12240" w:h="15840"/>
          <w:pgMar w:top="1340" w:right="1140" w:bottom="1200" w:left="960" w:header="0" w:footer="1002" w:gutter="0"/>
          <w:cols w:space="720"/>
        </w:sectPr>
      </w:pPr>
    </w:p>
    <w:p w14:paraId="5851A05D" w14:textId="77777777" w:rsidR="00467FCA" w:rsidRDefault="001B68EB">
      <w:pPr>
        <w:pStyle w:val="Textoindependiente"/>
        <w:spacing w:before="76" w:line="278" w:lineRule="auto"/>
        <w:ind w:left="470" w:right="409"/>
      </w:pPr>
      <w:r>
        <w:t>proporciona la protección debida, sin discriminación, lo que, en autos y como ya se indicó, no ha acontecido.</w:t>
      </w:r>
    </w:p>
    <w:p w14:paraId="4E820413" w14:textId="77777777" w:rsidR="00467FCA" w:rsidRDefault="00467FCA">
      <w:pPr>
        <w:pStyle w:val="Textoindependiente"/>
        <w:spacing w:before="9"/>
        <w:rPr>
          <w:sz w:val="22"/>
        </w:rPr>
      </w:pPr>
    </w:p>
    <w:p w14:paraId="6CE32324" w14:textId="77777777" w:rsidR="00467FCA" w:rsidRDefault="001B68EB">
      <w:pPr>
        <w:pStyle w:val="Ttulo1"/>
        <w:numPr>
          <w:ilvl w:val="0"/>
          <w:numId w:val="11"/>
        </w:numPr>
        <w:tabs>
          <w:tab w:val="left" w:pos="742"/>
        </w:tabs>
        <w:ind w:left="741" w:hanging="272"/>
        <w:jc w:val="both"/>
      </w:pPr>
      <w:r>
        <w:t>Método funcional o</w:t>
      </w:r>
      <w:r>
        <w:rPr>
          <w:spacing w:val="-2"/>
        </w:rPr>
        <w:t xml:space="preserve"> </w:t>
      </w:r>
      <w:r>
        <w:t>teleológico.</w:t>
      </w:r>
    </w:p>
    <w:p w14:paraId="60C81EE7" w14:textId="77777777" w:rsidR="00467FCA" w:rsidRDefault="00467FCA">
      <w:pPr>
        <w:pStyle w:val="Textoindependiente"/>
        <w:rPr>
          <w:b/>
          <w:sz w:val="26"/>
        </w:rPr>
      </w:pPr>
    </w:p>
    <w:p w14:paraId="78566373" w14:textId="77777777" w:rsidR="00467FCA" w:rsidRDefault="001B68EB">
      <w:pPr>
        <w:pStyle w:val="Prrafodelista"/>
        <w:numPr>
          <w:ilvl w:val="0"/>
          <w:numId w:val="10"/>
        </w:numPr>
        <w:tabs>
          <w:tab w:val="left" w:pos="1450"/>
        </w:tabs>
        <w:spacing w:line="276" w:lineRule="auto"/>
        <w:ind w:right="396" w:firstLine="0"/>
        <w:jc w:val="both"/>
        <w:rPr>
          <w:sz w:val="20"/>
        </w:rPr>
      </w:pPr>
      <w:r>
        <w:rPr>
          <w:sz w:val="20"/>
        </w:rPr>
        <w:t>En lo pertinente al objeto y fin específicos de lo previsto en el citado artículo 24, habría que señalar que dicha disposición cumple un rol similar al que desempeñan los artículos 8 y 25 de la Convención. Dicho cometido consiste en que, mientras los artíc</w:t>
      </w:r>
      <w:r>
        <w:rPr>
          <w:sz w:val="20"/>
        </w:rPr>
        <w:t>ulos 3 a</w:t>
      </w:r>
      <w:r>
        <w:rPr>
          <w:spacing w:val="-17"/>
          <w:sz w:val="20"/>
        </w:rPr>
        <w:t xml:space="preserve"> </w:t>
      </w:r>
      <w:r>
        <w:rPr>
          <w:sz w:val="20"/>
        </w:rPr>
        <w:t>7</w:t>
      </w:r>
      <w:r>
        <w:rPr>
          <w:spacing w:val="-14"/>
          <w:sz w:val="20"/>
        </w:rPr>
        <w:t xml:space="preserve"> </w:t>
      </w:r>
      <w:r>
        <w:rPr>
          <w:sz w:val="20"/>
        </w:rPr>
        <w:t>y</w:t>
      </w:r>
      <w:r>
        <w:rPr>
          <w:spacing w:val="-15"/>
          <w:sz w:val="20"/>
        </w:rPr>
        <w:t xml:space="preserve"> </w:t>
      </w:r>
      <w:r>
        <w:rPr>
          <w:sz w:val="20"/>
        </w:rPr>
        <w:t>9</w:t>
      </w:r>
      <w:r>
        <w:rPr>
          <w:spacing w:val="-14"/>
          <w:sz w:val="20"/>
        </w:rPr>
        <w:t xml:space="preserve"> </w:t>
      </w:r>
      <w:r>
        <w:rPr>
          <w:sz w:val="20"/>
        </w:rPr>
        <w:t>a</w:t>
      </w:r>
      <w:r>
        <w:rPr>
          <w:spacing w:val="-17"/>
          <w:sz w:val="20"/>
        </w:rPr>
        <w:t xml:space="preserve"> </w:t>
      </w:r>
      <w:r>
        <w:rPr>
          <w:sz w:val="20"/>
        </w:rPr>
        <w:t>23</w:t>
      </w:r>
      <w:r>
        <w:rPr>
          <w:spacing w:val="-14"/>
          <w:sz w:val="20"/>
        </w:rPr>
        <w:t xml:space="preserve"> </w:t>
      </w:r>
      <w:r>
        <w:rPr>
          <w:sz w:val="20"/>
        </w:rPr>
        <w:t>de</w:t>
      </w:r>
      <w:r>
        <w:rPr>
          <w:spacing w:val="-15"/>
          <w:sz w:val="20"/>
        </w:rPr>
        <w:t xml:space="preserve"> </w:t>
      </w:r>
      <w:r>
        <w:rPr>
          <w:sz w:val="20"/>
        </w:rPr>
        <w:t>ella</w:t>
      </w:r>
      <w:r>
        <w:rPr>
          <w:spacing w:val="-15"/>
          <w:sz w:val="20"/>
        </w:rPr>
        <w:t xml:space="preserve"> </w:t>
      </w:r>
      <w:r>
        <w:rPr>
          <w:sz w:val="20"/>
        </w:rPr>
        <w:t>consagran</w:t>
      </w:r>
      <w:r>
        <w:rPr>
          <w:spacing w:val="-15"/>
          <w:sz w:val="20"/>
        </w:rPr>
        <w:t xml:space="preserve"> </w:t>
      </w:r>
      <w:r>
        <w:rPr>
          <w:sz w:val="20"/>
        </w:rPr>
        <w:t>derechos</w:t>
      </w:r>
      <w:r>
        <w:rPr>
          <w:spacing w:val="-16"/>
          <w:sz w:val="20"/>
        </w:rPr>
        <w:t xml:space="preserve"> </w:t>
      </w:r>
      <w:r>
        <w:rPr>
          <w:sz w:val="20"/>
        </w:rPr>
        <w:t>humanos,</w:t>
      </w:r>
      <w:r>
        <w:rPr>
          <w:spacing w:val="-15"/>
          <w:sz w:val="20"/>
        </w:rPr>
        <w:t xml:space="preserve"> </w:t>
      </w:r>
      <w:r>
        <w:rPr>
          <w:sz w:val="20"/>
        </w:rPr>
        <w:t>lo</w:t>
      </w:r>
      <w:r>
        <w:rPr>
          <w:spacing w:val="-15"/>
          <w:sz w:val="20"/>
        </w:rPr>
        <w:t xml:space="preserve"> </w:t>
      </w:r>
      <w:r>
        <w:rPr>
          <w:sz w:val="20"/>
        </w:rPr>
        <w:t>previsto</w:t>
      </w:r>
      <w:r>
        <w:rPr>
          <w:spacing w:val="-16"/>
          <w:sz w:val="20"/>
        </w:rPr>
        <w:t xml:space="preserve"> </w:t>
      </w:r>
      <w:r>
        <w:rPr>
          <w:sz w:val="20"/>
        </w:rPr>
        <w:t>en</w:t>
      </w:r>
      <w:r>
        <w:rPr>
          <w:spacing w:val="-13"/>
          <w:sz w:val="20"/>
        </w:rPr>
        <w:t xml:space="preserve"> </w:t>
      </w:r>
      <w:r>
        <w:rPr>
          <w:sz w:val="20"/>
        </w:rPr>
        <w:t>los</w:t>
      </w:r>
      <w:r>
        <w:rPr>
          <w:spacing w:val="-16"/>
          <w:sz w:val="20"/>
        </w:rPr>
        <w:t xml:space="preserve"> </w:t>
      </w:r>
      <w:r>
        <w:rPr>
          <w:sz w:val="20"/>
        </w:rPr>
        <w:t>artículos</w:t>
      </w:r>
      <w:r>
        <w:rPr>
          <w:spacing w:val="-17"/>
          <w:sz w:val="20"/>
        </w:rPr>
        <w:t xml:space="preserve"> </w:t>
      </w:r>
      <w:r>
        <w:rPr>
          <w:sz w:val="20"/>
        </w:rPr>
        <w:t>8</w:t>
      </w:r>
      <w:r>
        <w:rPr>
          <w:spacing w:val="-14"/>
          <w:sz w:val="20"/>
        </w:rPr>
        <w:t xml:space="preserve"> </w:t>
      </w:r>
      <w:r>
        <w:rPr>
          <w:sz w:val="20"/>
        </w:rPr>
        <w:t>y</w:t>
      </w:r>
      <w:r>
        <w:rPr>
          <w:spacing w:val="-15"/>
          <w:sz w:val="20"/>
        </w:rPr>
        <w:t xml:space="preserve"> </w:t>
      </w:r>
      <w:r>
        <w:rPr>
          <w:sz w:val="20"/>
        </w:rPr>
        <w:t>25</w:t>
      </w:r>
      <w:r>
        <w:rPr>
          <w:spacing w:val="-14"/>
          <w:sz w:val="20"/>
        </w:rPr>
        <w:t xml:space="preserve"> </w:t>
      </w:r>
      <w:r>
        <w:rPr>
          <w:sz w:val="20"/>
        </w:rPr>
        <w:t>garantiza que, en caso de que los órganos las funciones ejecutivas y normativas en el Estado no enmienden o no reparen las eventuales violaciones a dichos derechos,</w:t>
      </w:r>
      <w:r>
        <w:rPr>
          <w:sz w:val="20"/>
        </w:rPr>
        <w:t xml:space="preserve"> el órgano judicial lo deba, en toda circunstancia, hacer y para ello, la recurrencia ante él se consagra, </w:t>
      </w:r>
      <w:r>
        <w:rPr>
          <w:i/>
          <w:sz w:val="20"/>
        </w:rPr>
        <w:t>per se</w:t>
      </w:r>
      <w:r>
        <w:rPr>
          <w:sz w:val="20"/>
        </w:rPr>
        <w:t>, como un derecho</w:t>
      </w:r>
      <w:r>
        <w:rPr>
          <w:spacing w:val="-3"/>
          <w:sz w:val="20"/>
        </w:rPr>
        <w:t xml:space="preserve"> </w:t>
      </w:r>
      <w:r>
        <w:rPr>
          <w:sz w:val="20"/>
        </w:rPr>
        <w:t>humano.</w:t>
      </w:r>
    </w:p>
    <w:p w14:paraId="25322352" w14:textId="77777777" w:rsidR="00467FCA" w:rsidRDefault="00467FCA">
      <w:pPr>
        <w:pStyle w:val="Textoindependiente"/>
        <w:rPr>
          <w:sz w:val="23"/>
        </w:rPr>
      </w:pPr>
    </w:p>
    <w:p w14:paraId="0F81D40A" w14:textId="77777777" w:rsidR="00467FCA" w:rsidRDefault="001B68EB">
      <w:pPr>
        <w:pStyle w:val="Prrafodelista"/>
        <w:numPr>
          <w:ilvl w:val="0"/>
          <w:numId w:val="10"/>
        </w:numPr>
        <w:tabs>
          <w:tab w:val="left" w:pos="1450"/>
        </w:tabs>
        <w:spacing w:before="1" w:line="276" w:lineRule="auto"/>
        <w:ind w:left="469" w:right="398" w:firstLine="0"/>
        <w:jc w:val="both"/>
        <w:rPr>
          <w:sz w:val="20"/>
        </w:rPr>
      </w:pPr>
      <w:r>
        <w:rPr>
          <w:sz w:val="20"/>
        </w:rPr>
        <w:t>Así, pues, igualmente ocurre con lo previsto en el artículo 24, el que, al consagrar la igualdad ante la ley y la de</w:t>
      </w:r>
      <w:r>
        <w:rPr>
          <w:sz w:val="20"/>
        </w:rPr>
        <w:t xml:space="preserve">bida protección que debe prestar con tal fin, como un derecho humano </w:t>
      </w:r>
      <w:r>
        <w:rPr>
          <w:i/>
          <w:sz w:val="20"/>
        </w:rPr>
        <w:t>per se</w:t>
      </w:r>
      <w:r>
        <w:rPr>
          <w:sz w:val="20"/>
        </w:rPr>
        <w:t>, hace posible que los Estados sean responsables por los actos u omisiones del correspondiente órgano que ejerce en él su función normativa. De ese modo, entonces, el SIDH y en part</w:t>
      </w:r>
      <w:r>
        <w:rPr>
          <w:sz w:val="20"/>
        </w:rPr>
        <w:t>icular, la Convención no dejan rendija por la que se pueda evadir la responsabilidad del Estado por un hecho ilícito</w:t>
      </w:r>
      <w:r>
        <w:rPr>
          <w:spacing w:val="-13"/>
          <w:sz w:val="20"/>
        </w:rPr>
        <w:t xml:space="preserve"> </w:t>
      </w:r>
      <w:r>
        <w:rPr>
          <w:sz w:val="20"/>
        </w:rPr>
        <w:t>internacional.</w:t>
      </w:r>
    </w:p>
    <w:p w14:paraId="02B02F8B" w14:textId="77777777" w:rsidR="00467FCA" w:rsidRDefault="00467FCA">
      <w:pPr>
        <w:pStyle w:val="Textoindependiente"/>
        <w:spacing w:before="2"/>
        <w:rPr>
          <w:sz w:val="22"/>
        </w:rPr>
      </w:pPr>
    </w:p>
    <w:p w14:paraId="3C1CABE8" w14:textId="77777777" w:rsidR="00467FCA" w:rsidRDefault="001B68EB">
      <w:pPr>
        <w:pStyle w:val="Prrafodelista"/>
        <w:numPr>
          <w:ilvl w:val="0"/>
          <w:numId w:val="10"/>
        </w:numPr>
        <w:tabs>
          <w:tab w:val="left" w:pos="1450"/>
        </w:tabs>
        <w:spacing w:line="276" w:lineRule="auto"/>
        <w:ind w:left="469" w:right="394" w:firstLine="0"/>
        <w:jc w:val="both"/>
        <w:rPr>
          <w:sz w:val="20"/>
        </w:rPr>
      </w:pPr>
      <w:r>
        <w:rPr>
          <w:sz w:val="20"/>
        </w:rPr>
        <w:t>Más, para que todo ello ocurra, es imprescindible que las personas puedan presentar peticiones ante la Comisión y de ese mo</w:t>
      </w:r>
      <w:r>
        <w:rPr>
          <w:sz w:val="20"/>
        </w:rPr>
        <w:t>do dar inicio al procedimiento correspondiente</w:t>
      </w:r>
      <w:hyperlink w:anchor="_bookmark653" w:history="1">
        <w:r>
          <w:rPr>
            <w:position w:val="7"/>
            <w:sz w:val="13"/>
          </w:rPr>
          <w:t>105</w:t>
        </w:r>
      </w:hyperlink>
      <w:r>
        <w:rPr>
          <w:sz w:val="20"/>
        </w:rPr>
        <w:t>, es decir, deben disponer de la legitimación activa, lo que, en cuanto al mencionado artículo 24, implica que una ley le desconozca a una persona la igualdad ante ella o no l</w:t>
      </w:r>
      <w:r>
        <w:rPr>
          <w:sz w:val="20"/>
        </w:rPr>
        <w:t>e suministre la protección pertinente, discriminándola, y que ella reclame, demostrando tener el correspondiente interés en el</w:t>
      </w:r>
      <w:r>
        <w:rPr>
          <w:spacing w:val="-1"/>
          <w:sz w:val="20"/>
        </w:rPr>
        <w:t xml:space="preserve"> </w:t>
      </w:r>
      <w:r>
        <w:rPr>
          <w:sz w:val="20"/>
        </w:rPr>
        <w:t>asunto.</w:t>
      </w:r>
    </w:p>
    <w:p w14:paraId="32FBB6E8" w14:textId="77777777" w:rsidR="00467FCA" w:rsidRDefault="00467FCA">
      <w:pPr>
        <w:pStyle w:val="Textoindependiente"/>
        <w:spacing w:before="3"/>
        <w:rPr>
          <w:sz w:val="22"/>
        </w:rPr>
      </w:pPr>
    </w:p>
    <w:p w14:paraId="7DA4A1AB" w14:textId="77777777" w:rsidR="00467FCA" w:rsidRDefault="001B68EB">
      <w:pPr>
        <w:pStyle w:val="Prrafodelista"/>
        <w:numPr>
          <w:ilvl w:val="0"/>
          <w:numId w:val="10"/>
        </w:numPr>
        <w:tabs>
          <w:tab w:val="left" w:pos="1450"/>
        </w:tabs>
        <w:spacing w:line="276" w:lineRule="auto"/>
        <w:ind w:right="397" w:hanging="1"/>
        <w:jc w:val="both"/>
        <w:rPr>
          <w:sz w:val="20"/>
        </w:rPr>
      </w:pPr>
      <w:r>
        <w:rPr>
          <w:sz w:val="20"/>
        </w:rPr>
        <w:t>El</w:t>
      </w:r>
      <w:r>
        <w:rPr>
          <w:spacing w:val="-11"/>
          <w:sz w:val="20"/>
        </w:rPr>
        <w:t xml:space="preserve"> </w:t>
      </w:r>
      <w:r>
        <w:rPr>
          <w:sz w:val="20"/>
        </w:rPr>
        <w:t>objeto</w:t>
      </w:r>
      <w:r>
        <w:rPr>
          <w:spacing w:val="-9"/>
          <w:sz w:val="20"/>
        </w:rPr>
        <w:t xml:space="preserve"> </w:t>
      </w:r>
      <w:r>
        <w:rPr>
          <w:sz w:val="20"/>
        </w:rPr>
        <w:t>y</w:t>
      </w:r>
      <w:r>
        <w:rPr>
          <w:spacing w:val="-9"/>
          <w:sz w:val="20"/>
        </w:rPr>
        <w:t xml:space="preserve"> </w:t>
      </w:r>
      <w:r>
        <w:rPr>
          <w:sz w:val="20"/>
        </w:rPr>
        <w:t>fin</w:t>
      </w:r>
      <w:r>
        <w:rPr>
          <w:spacing w:val="-9"/>
          <w:sz w:val="20"/>
        </w:rPr>
        <w:t xml:space="preserve"> </w:t>
      </w:r>
      <w:r>
        <w:rPr>
          <w:sz w:val="20"/>
        </w:rPr>
        <w:t>del</w:t>
      </w:r>
      <w:r>
        <w:rPr>
          <w:spacing w:val="-8"/>
          <w:sz w:val="20"/>
        </w:rPr>
        <w:t xml:space="preserve"> </w:t>
      </w:r>
      <w:r>
        <w:rPr>
          <w:sz w:val="20"/>
        </w:rPr>
        <w:t>citado</w:t>
      </w:r>
      <w:r>
        <w:rPr>
          <w:spacing w:val="-9"/>
          <w:sz w:val="20"/>
        </w:rPr>
        <w:t xml:space="preserve"> </w:t>
      </w:r>
      <w:r>
        <w:rPr>
          <w:sz w:val="20"/>
        </w:rPr>
        <w:t>artículo</w:t>
      </w:r>
      <w:r>
        <w:rPr>
          <w:spacing w:val="-12"/>
          <w:sz w:val="20"/>
        </w:rPr>
        <w:t xml:space="preserve"> </w:t>
      </w:r>
      <w:r>
        <w:rPr>
          <w:sz w:val="20"/>
        </w:rPr>
        <w:t>24</w:t>
      </w:r>
      <w:r>
        <w:rPr>
          <w:spacing w:val="-7"/>
          <w:sz w:val="20"/>
        </w:rPr>
        <w:t xml:space="preserve"> </w:t>
      </w:r>
      <w:r>
        <w:rPr>
          <w:sz w:val="20"/>
        </w:rPr>
        <w:t>apunta,</w:t>
      </w:r>
      <w:r>
        <w:rPr>
          <w:spacing w:val="-12"/>
          <w:sz w:val="20"/>
        </w:rPr>
        <w:t xml:space="preserve"> </w:t>
      </w:r>
      <w:r>
        <w:rPr>
          <w:sz w:val="20"/>
        </w:rPr>
        <w:t>consecuentemente,</w:t>
      </w:r>
      <w:r>
        <w:rPr>
          <w:spacing w:val="-8"/>
          <w:sz w:val="20"/>
        </w:rPr>
        <w:t xml:space="preserve"> </w:t>
      </w:r>
      <w:r>
        <w:rPr>
          <w:sz w:val="20"/>
        </w:rPr>
        <w:t>también</w:t>
      </w:r>
      <w:r>
        <w:rPr>
          <w:spacing w:val="-10"/>
          <w:sz w:val="20"/>
        </w:rPr>
        <w:t xml:space="preserve"> </w:t>
      </w:r>
      <w:r>
        <w:rPr>
          <w:sz w:val="20"/>
        </w:rPr>
        <w:t>a</w:t>
      </w:r>
      <w:r>
        <w:rPr>
          <w:spacing w:val="-8"/>
          <w:sz w:val="20"/>
        </w:rPr>
        <w:t xml:space="preserve"> </w:t>
      </w:r>
      <w:r>
        <w:rPr>
          <w:sz w:val="20"/>
        </w:rPr>
        <w:t>resaltar que la causa de violación de la desigualdad entre las personas y de la falta de protección</w:t>
      </w:r>
      <w:r>
        <w:rPr>
          <w:spacing w:val="-41"/>
          <w:sz w:val="20"/>
        </w:rPr>
        <w:t xml:space="preserve"> </w:t>
      </w:r>
      <w:r>
        <w:rPr>
          <w:sz w:val="20"/>
        </w:rPr>
        <w:t>de la igualdad entre ellas debe ser la</w:t>
      </w:r>
      <w:r>
        <w:rPr>
          <w:spacing w:val="-4"/>
          <w:sz w:val="20"/>
        </w:rPr>
        <w:t xml:space="preserve"> </w:t>
      </w:r>
      <w:r>
        <w:rPr>
          <w:sz w:val="20"/>
        </w:rPr>
        <w:t>ley.</w:t>
      </w:r>
    </w:p>
    <w:p w14:paraId="2FDB1096" w14:textId="77777777" w:rsidR="00467FCA" w:rsidRDefault="00467FCA">
      <w:pPr>
        <w:pStyle w:val="Textoindependiente"/>
        <w:spacing w:before="3"/>
        <w:rPr>
          <w:sz w:val="22"/>
        </w:rPr>
      </w:pPr>
    </w:p>
    <w:p w14:paraId="021820E3" w14:textId="77777777" w:rsidR="00467FCA" w:rsidRDefault="001B68EB">
      <w:pPr>
        <w:pStyle w:val="Ttulo1"/>
        <w:numPr>
          <w:ilvl w:val="0"/>
          <w:numId w:val="11"/>
        </w:numPr>
        <w:tabs>
          <w:tab w:val="left" w:pos="895"/>
        </w:tabs>
        <w:ind w:left="895" w:hanging="360"/>
        <w:jc w:val="both"/>
      </w:pPr>
      <w:r>
        <w:t>Conclusión sobre el artículo</w:t>
      </w:r>
      <w:r>
        <w:rPr>
          <w:spacing w:val="1"/>
        </w:rPr>
        <w:t xml:space="preserve"> </w:t>
      </w:r>
      <w:r>
        <w:t>24.</w:t>
      </w:r>
    </w:p>
    <w:p w14:paraId="72B2687F" w14:textId="77777777" w:rsidR="00467FCA" w:rsidRDefault="00467FCA">
      <w:pPr>
        <w:pStyle w:val="Textoindependiente"/>
        <w:rPr>
          <w:b/>
          <w:sz w:val="25"/>
        </w:rPr>
      </w:pPr>
    </w:p>
    <w:p w14:paraId="415FCDA5" w14:textId="77777777" w:rsidR="00467FCA" w:rsidRDefault="001B68EB">
      <w:pPr>
        <w:pStyle w:val="Prrafodelista"/>
        <w:numPr>
          <w:ilvl w:val="0"/>
          <w:numId w:val="10"/>
        </w:numPr>
        <w:tabs>
          <w:tab w:val="left" w:pos="1450"/>
        </w:tabs>
        <w:spacing w:line="276" w:lineRule="auto"/>
        <w:ind w:left="469" w:right="395" w:firstLine="0"/>
        <w:jc w:val="both"/>
        <w:rPr>
          <w:sz w:val="20"/>
        </w:rPr>
      </w:pPr>
      <w:r>
        <w:rPr>
          <w:sz w:val="20"/>
        </w:rPr>
        <w:t>En definitiva, se disiente del Resolutivo N° 6 de la Sentencia en atención, por una parte, a que omite toda referencia a la ley que viola el derecho a la igualdad ante ella y a la igual</w:t>
      </w:r>
      <w:r>
        <w:rPr>
          <w:spacing w:val="-16"/>
          <w:sz w:val="20"/>
        </w:rPr>
        <w:t xml:space="preserve"> </w:t>
      </w:r>
      <w:r>
        <w:rPr>
          <w:sz w:val="20"/>
        </w:rPr>
        <w:t>protección</w:t>
      </w:r>
      <w:r>
        <w:rPr>
          <w:spacing w:val="-12"/>
          <w:sz w:val="20"/>
        </w:rPr>
        <w:t xml:space="preserve"> </w:t>
      </w:r>
      <w:r>
        <w:rPr>
          <w:sz w:val="20"/>
        </w:rPr>
        <w:t>de</w:t>
      </w:r>
      <w:r>
        <w:rPr>
          <w:spacing w:val="-11"/>
          <w:sz w:val="20"/>
        </w:rPr>
        <w:t xml:space="preserve"> </w:t>
      </w:r>
      <w:r>
        <w:rPr>
          <w:sz w:val="20"/>
        </w:rPr>
        <w:t>ella,</w:t>
      </w:r>
      <w:r>
        <w:rPr>
          <w:spacing w:val="-13"/>
          <w:sz w:val="20"/>
        </w:rPr>
        <w:t xml:space="preserve"> </w:t>
      </w:r>
      <w:r>
        <w:rPr>
          <w:sz w:val="20"/>
        </w:rPr>
        <w:t>previsto</w:t>
      </w:r>
      <w:r>
        <w:rPr>
          <w:spacing w:val="-11"/>
          <w:sz w:val="20"/>
        </w:rPr>
        <w:t xml:space="preserve"> </w:t>
      </w:r>
      <w:r>
        <w:rPr>
          <w:sz w:val="20"/>
        </w:rPr>
        <w:t>en</w:t>
      </w:r>
      <w:r>
        <w:rPr>
          <w:spacing w:val="-12"/>
          <w:sz w:val="20"/>
        </w:rPr>
        <w:t xml:space="preserve"> </w:t>
      </w:r>
      <w:r>
        <w:rPr>
          <w:sz w:val="20"/>
        </w:rPr>
        <w:t>el</w:t>
      </w:r>
      <w:r>
        <w:rPr>
          <w:spacing w:val="-15"/>
          <w:sz w:val="20"/>
        </w:rPr>
        <w:t xml:space="preserve"> </w:t>
      </w:r>
      <w:r>
        <w:rPr>
          <w:sz w:val="20"/>
        </w:rPr>
        <w:t>artículo</w:t>
      </w:r>
      <w:r>
        <w:rPr>
          <w:spacing w:val="-14"/>
          <w:sz w:val="20"/>
        </w:rPr>
        <w:t xml:space="preserve"> </w:t>
      </w:r>
      <w:r>
        <w:rPr>
          <w:sz w:val="20"/>
        </w:rPr>
        <w:t>24</w:t>
      </w:r>
      <w:r>
        <w:rPr>
          <w:spacing w:val="-15"/>
          <w:sz w:val="20"/>
        </w:rPr>
        <w:t xml:space="preserve"> </w:t>
      </w:r>
      <w:r>
        <w:rPr>
          <w:sz w:val="20"/>
        </w:rPr>
        <w:t>y</w:t>
      </w:r>
      <w:r>
        <w:rPr>
          <w:spacing w:val="-13"/>
          <w:sz w:val="20"/>
        </w:rPr>
        <w:t xml:space="preserve"> </w:t>
      </w:r>
      <w:r>
        <w:rPr>
          <w:sz w:val="20"/>
        </w:rPr>
        <w:t>por</w:t>
      </w:r>
      <w:r>
        <w:rPr>
          <w:spacing w:val="-14"/>
          <w:sz w:val="20"/>
        </w:rPr>
        <w:t xml:space="preserve"> </w:t>
      </w:r>
      <w:r>
        <w:rPr>
          <w:sz w:val="20"/>
        </w:rPr>
        <w:t>la</w:t>
      </w:r>
      <w:r>
        <w:rPr>
          <w:spacing w:val="-12"/>
          <w:sz w:val="20"/>
        </w:rPr>
        <w:t xml:space="preserve"> </w:t>
      </w:r>
      <w:r>
        <w:rPr>
          <w:sz w:val="20"/>
        </w:rPr>
        <w:t>otra,</w:t>
      </w:r>
      <w:r>
        <w:rPr>
          <w:spacing w:val="-14"/>
          <w:sz w:val="20"/>
        </w:rPr>
        <w:t xml:space="preserve"> </w:t>
      </w:r>
      <w:r>
        <w:rPr>
          <w:sz w:val="20"/>
        </w:rPr>
        <w:t>a</w:t>
      </w:r>
      <w:r>
        <w:rPr>
          <w:spacing w:val="-15"/>
          <w:sz w:val="20"/>
        </w:rPr>
        <w:t xml:space="preserve"> </w:t>
      </w:r>
      <w:r>
        <w:rPr>
          <w:sz w:val="20"/>
        </w:rPr>
        <w:t>que</w:t>
      </w:r>
      <w:r>
        <w:rPr>
          <w:spacing w:val="-14"/>
          <w:sz w:val="20"/>
        </w:rPr>
        <w:t xml:space="preserve"> </w:t>
      </w:r>
      <w:r>
        <w:rPr>
          <w:sz w:val="20"/>
        </w:rPr>
        <w:t>se</w:t>
      </w:r>
      <w:r>
        <w:rPr>
          <w:spacing w:val="-11"/>
          <w:sz w:val="20"/>
        </w:rPr>
        <w:t xml:space="preserve"> </w:t>
      </w:r>
      <w:r>
        <w:rPr>
          <w:sz w:val="20"/>
        </w:rPr>
        <w:t>sustenta</w:t>
      </w:r>
      <w:r>
        <w:rPr>
          <w:spacing w:val="-15"/>
          <w:sz w:val="20"/>
        </w:rPr>
        <w:t xml:space="preserve"> </w:t>
      </w:r>
      <w:r>
        <w:rPr>
          <w:sz w:val="20"/>
        </w:rPr>
        <w:t>únicamente en una situación estructural de pobreza o de discriminación por raza o género para declarar su violación, lo que puede ser de utilidad para determinar el contexto en que ésta se da, pero</w:t>
      </w:r>
      <w:r>
        <w:rPr>
          <w:spacing w:val="-14"/>
          <w:sz w:val="20"/>
        </w:rPr>
        <w:t xml:space="preserve"> </w:t>
      </w:r>
      <w:r>
        <w:rPr>
          <w:sz w:val="20"/>
        </w:rPr>
        <w:t>que</w:t>
      </w:r>
      <w:r>
        <w:rPr>
          <w:spacing w:val="-11"/>
          <w:sz w:val="20"/>
        </w:rPr>
        <w:t xml:space="preserve"> </w:t>
      </w:r>
      <w:r>
        <w:rPr>
          <w:sz w:val="20"/>
        </w:rPr>
        <w:t>es</w:t>
      </w:r>
      <w:r>
        <w:rPr>
          <w:spacing w:val="-13"/>
          <w:sz w:val="20"/>
        </w:rPr>
        <w:t xml:space="preserve"> </w:t>
      </w:r>
      <w:r>
        <w:rPr>
          <w:sz w:val="20"/>
        </w:rPr>
        <w:t>insuficiente</w:t>
      </w:r>
      <w:r>
        <w:rPr>
          <w:spacing w:val="-9"/>
          <w:sz w:val="20"/>
        </w:rPr>
        <w:t xml:space="preserve"> </w:t>
      </w:r>
      <w:r>
        <w:rPr>
          <w:sz w:val="20"/>
        </w:rPr>
        <w:t>para</w:t>
      </w:r>
      <w:r>
        <w:rPr>
          <w:spacing w:val="-9"/>
          <w:sz w:val="20"/>
        </w:rPr>
        <w:t xml:space="preserve"> </w:t>
      </w:r>
      <w:r>
        <w:rPr>
          <w:sz w:val="20"/>
        </w:rPr>
        <w:t>ser</w:t>
      </w:r>
      <w:r>
        <w:rPr>
          <w:spacing w:val="-11"/>
          <w:sz w:val="20"/>
        </w:rPr>
        <w:t xml:space="preserve"> </w:t>
      </w:r>
      <w:r>
        <w:rPr>
          <w:sz w:val="20"/>
        </w:rPr>
        <w:t>la</w:t>
      </w:r>
      <w:r>
        <w:rPr>
          <w:spacing w:val="-12"/>
          <w:sz w:val="20"/>
        </w:rPr>
        <w:t xml:space="preserve"> </w:t>
      </w:r>
      <w:r>
        <w:rPr>
          <w:sz w:val="20"/>
        </w:rPr>
        <w:t>única</w:t>
      </w:r>
      <w:r>
        <w:rPr>
          <w:spacing w:val="-10"/>
          <w:sz w:val="20"/>
        </w:rPr>
        <w:t xml:space="preserve"> </w:t>
      </w:r>
      <w:r>
        <w:rPr>
          <w:sz w:val="20"/>
        </w:rPr>
        <w:t>consideración</w:t>
      </w:r>
      <w:r>
        <w:rPr>
          <w:spacing w:val="-9"/>
          <w:sz w:val="20"/>
        </w:rPr>
        <w:t xml:space="preserve"> </w:t>
      </w:r>
      <w:r>
        <w:rPr>
          <w:sz w:val="20"/>
        </w:rPr>
        <w:t>a</w:t>
      </w:r>
      <w:r>
        <w:rPr>
          <w:spacing w:val="-12"/>
          <w:sz w:val="20"/>
        </w:rPr>
        <w:t xml:space="preserve"> </w:t>
      </w:r>
      <w:r>
        <w:rPr>
          <w:sz w:val="20"/>
        </w:rPr>
        <w:t>tener</w:t>
      </w:r>
      <w:r>
        <w:rPr>
          <w:spacing w:val="-10"/>
          <w:sz w:val="20"/>
        </w:rPr>
        <w:t xml:space="preserve"> </w:t>
      </w:r>
      <w:r>
        <w:rPr>
          <w:sz w:val="20"/>
        </w:rPr>
        <w:t>en</w:t>
      </w:r>
      <w:r>
        <w:rPr>
          <w:spacing w:val="-9"/>
          <w:sz w:val="20"/>
        </w:rPr>
        <w:t xml:space="preserve"> </w:t>
      </w:r>
      <w:r>
        <w:rPr>
          <w:sz w:val="20"/>
        </w:rPr>
        <w:t>cuenta</w:t>
      </w:r>
      <w:r>
        <w:rPr>
          <w:spacing w:val="-12"/>
          <w:sz w:val="20"/>
        </w:rPr>
        <w:t xml:space="preserve"> </w:t>
      </w:r>
      <w:r>
        <w:rPr>
          <w:sz w:val="20"/>
        </w:rPr>
        <w:t>sobre</w:t>
      </w:r>
      <w:r>
        <w:rPr>
          <w:spacing w:val="-11"/>
          <w:sz w:val="20"/>
        </w:rPr>
        <w:t xml:space="preserve"> </w:t>
      </w:r>
      <w:r>
        <w:rPr>
          <w:sz w:val="20"/>
        </w:rPr>
        <w:t>el</w:t>
      </w:r>
      <w:r>
        <w:rPr>
          <w:spacing w:val="-10"/>
          <w:sz w:val="20"/>
        </w:rPr>
        <w:t xml:space="preserve"> </w:t>
      </w:r>
      <w:r>
        <w:rPr>
          <w:sz w:val="20"/>
        </w:rPr>
        <w:t>particular.</w:t>
      </w:r>
    </w:p>
    <w:p w14:paraId="136106F0" w14:textId="77777777" w:rsidR="00467FCA" w:rsidRDefault="00467FCA">
      <w:pPr>
        <w:pStyle w:val="Textoindependiente"/>
        <w:spacing w:before="7"/>
        <w:rPr>
          <w:sz w:val="24"/>
        </w:rPr>
      </w:pPr>
    </w:p>
    <w:p w14:paraId="0C53F06B" w14:textId="77777777" w:rsidR="00467FCA" w:rsidRDefault="001B68EB">
      <w:pPr>
        <w:pStyle w:val="Ttulo1"/>
        <w:numPr>
          <w:ilvl w:val="1"/>
          <w:numId w:val="32"/>
        </w:numPr>
        <w:tabs>
          <w:tab w:val="left" w:pos="763"/>
        </w:tabs>
        <w:ind w:left="762" w:hanging="294"/>
        <w:jc w:val="both"/>
      </w:pPr>
      <w:r>
        <w:t>CONSTANCIAS.</w:t>
      </w:r>
    </w:p>
    <w:p w14:paraId="0B3AFA70" w14:textId="77777777" w:rsidR="00467FCA" w:rsidRDefault="00467FCA">
      <w:pPr>
        <w:pStyle w:val="Textoindependiente"/>
        <w:rPr>
          <w:b/>
        </w:rPr>
      </w:pPr>
    </w:p>
    <w:p w14:paraId="70A64BB0" w14:textId="77777777" w:rsidR="00467FCA" w:rsidRDefault="001B68EB">
      <w:pPr>
        <w:pStyle w:val="Textoindependiente"/>
        <w:spacing w:before="1"/>
        <w:rPr>
          <w:b/>
          <w:sz w:val="28"/>
        </w:rPr>
      </w:pPr>
      <w:r>
        <w:pict w14:anchorId="075DA1E7">
          <v:shape id="_x0000_s1078" style="position:absolute;margin-left:56.75pt;margin-top:19.45pt;width:2in;height:.1pt;z-index:-251537408;mso-wrap-distance-left:0;mso-wrap-distance-right:0;mso-position-horizontal-relative:page" coordorigin="1135,389" coordsize="2880,0" path="m1135,389r2880,e" filled="f" strokeweight=".72pt">
            <v:path arrowok="t"/>
            <w10:wrap type="topAndBottom" anchorx="page"/>
          </v:shape>
        </w:pict>
      </w:r>
    </w:p>
    <w:p w14:paraId="36B29733" w14:textId="77777777" w:rsidR="00467FCA" w:rsidRDefault="001B68EB">
      <w:pPr>
        <w:spacing w:before="71"/>
        <w:ind w:left="470" w:right="392"/>
        <w:jc w:val="both"/>
        <w:rPr>
          <w:i/>
          <w:sz w:val="16"/>
        </w:rPr>
      </w:pPr>
      <w:bookmarkStart w:id="732" w:name="_bookmark653"/>
      <w:bookmarkEnd w:id="732"/>
      <w:r>
        <w:rPr>
          <w:position w:val="6"/>
          <w:sz w:val="10"/>
        </w:rPr>
        <w:t xml:space="preserve">105 </w:t>
      </w:r>
      <w:r>
        <w:rPr>
          <w:sz w:val="16"/>
        </w:rPr>
        <w:t xml:space="preserve">Art. 44: </w:t>
      </w:r>
      <w:r>
        <w:rPr>
          <w:b/>
          <w:i/>
          <w:sz w:val="16"/>
        </w:rPr>
        <w:t>“</w:t>
      </w:r>
      <w:r>
        <w:rPr>
          <w:i/>
          <w:sz w:val="16"/>
        </w:rPr>
        <w:t>Cualquier persona o grupo de personas, o entidad no gubernamental legalmente reconocida en uno o más Estados miembros de la Organización, puede presentar a la Comisión peti</w:t>
      </w:r>
      <w:r>
        <w:rPr>
          <w:i/>
          <w:sz w:val="16"/>
        </w:rPr>
        <w:t>ciones que contengan denuncias o quejas de violación de esta Convención por un Estado parte.”</w:t>
      </w:r>
    </w:p>
    <w:p w14:paraId="7C5F4788" w14:textId="77777777" w:rsidR="00467FCA" w:rsidRDefault="00467FCA">
      <w:pPr>
        <w:jc w:val="both"/>
        <w:rPr>
          <w:sz w:val="16"/>
        </w:rPr>
        <w:sectPr w:rsidR="00467FCA">
          <w:pgSz w:w="12240" w:h="15840"/>
          <w:pgMar w:top="1340" w:right="1140" w:bottom="1200" w:left="960" w:header="0" w:footer="1002" w:gutter="0"/>
          <w:cols w:space="720"/>
        </w:sectPr>
      </w:pPr>
    </w:p>
    <w:p w14:paraId="6E481B99" w14:textId="77777777" w:rsidR="00467FCA" w:rsidRDefault="001B68EB">
      <w:pPr>
        <w:pStyle w:val="Prrafodelista"/>
        <w:numPr>
          <w:ilvl w:val="0"/>
          <w:numId w:val="10"/>
        </w:numPr>
        <w:tabs>
          <w:tab w:val="left" w:pos="1450"/>
        </w:tabs>
        <w:spacing w:before="85" w:line="266" w:lineRule="auto"/>
        <w:ind w:right="395" w:firstLine="0"/>
        <w:jc w:val="both"/>
        <w:rPr>
          <w:sz w:val="20"/>
        </w:rPr>
      </w:pPr>
      <w:r>
        <w:rPr>
          <w:sz w:val="20"/>
        </w:rPr>
        <w:t>Aprovechando esta oportunidad, el suscrito quisiera dejar constancia de dos consideraciones adicionales con relación a lo fallado en</w:t>
      </w:r>
      <w:r>
        <w:rPr>
          <w:spacing w:val="-4"/>
          <w:sz w:val="20"/>
        </w:rPr>
        <w:t xml:space="preserve"> </w:t>
      </w:r>
      <w:r>
        <w:rPr>
          <w:sz w:val="20"/>
        </w:rPr>
        <w:t>autos.</w:t>
      </w:r>
    </w:p>
    <w:p w14:paraId="5F57ABB3" w14:textId="77777777" w:rsidR="00467FCA" w:rsidRDefault="00467FCA">
      <w:pPr>
        <w:pStyle w:val="Textoindependiente"/>
        <w:spacing w:before="1"/>
        <w:rPr>
          <w:sz w:val="22"/>
        </w:rPr>
      </w:pPr>
    </w:p>
    <w:p w14:paraId="4162DA41" w14:textId="77777777" w:rsidR="00467FCA" w:rsidRDefault="001B68EB">
      <w:pPr>
        <w:pStyle w:val="Prrafodelista"/>
        <w:numPr>
          <w:ilvl w:val="0"/>
          <w:numId w:val="10"/>
        </w:numPr>
        <w:tabs>
          <w:tab w:val="left" w:pos="1450"/>
        </w:tabs>
        <w:spacing w:before="1" w:line="266" w:lineRule="auto"/>
        <w:ind w:right="396" w:hanging="1"/>
        <w:jc w:val="both"/>
        <w:rPr>
          <w:sz w:val="20"/>
        </w:rPr>
      </w:pPr>
      <w:r>
        <w:rPr>
          <w:sz w:val="20"/>
        </w:rPr>
        <w:t>Una, qu</w:t>
      </w:r>
      <w:r>
        <w:rPr>
          <w:sz w:val="20"/>
        </w:rPr>
        <w:t xml:space="preserve">e, por haberse incluido en el Resolutivo N° 6 la referencia al artículo </w:t>
      </w:r>
      <w:r>
        <w:rPr>
          <w:spacing w:val="2"/>
          <w:sz w:val="20"/>
        </w:rPr>
        <w:t>19</w:t>
      </w:r>
      <w:hyperlink w:anchor="_bookmark654" w:history="1">
        <w:r>
          <w:rPr>
            <w:spacing w:val="2"/>
            <w:position w:val="7"/>
            <w:sz w:val="13"/>
          </w:rPr>
          <w:t>106</w:t>
        </w:r>
      </w:hyperlink>
      <w:r>
        <w:rPr>
          <w:spacing w:val="2"/>
          <w:sz w:val="13"/>
        </w:rPr>
        <w:t xml:space="preserve"> </w:t>
      </w:r>
      <w:r>
        <w:rPr>
          <w:sz w:val="20"/>
        </w:rPr>
        <w:t>junto a los artículos 26 y 24, todos de la Convención, se vio obligado a votar en contra de su aprobación, más ello no debe ser entendido como que rechazara que se haya violado dicho</w:t>
      </w:r>
      <w:r>
        <w:rPr>
          <w:spacing w:val="-3"/>
          <w:sz w:val="20"/>
        </w:rPr>
        <w:t xml:space="preserve"> </w:t>
      </w:r>
      <w:r>
        <w:rPr>
          <w:sz w:val="20"/>
        </w:rPr>
        <w:t>artículo.</w:t>
      </w:r>
    </w:p>
    <w:p w14:paraId="085BBC7E" w14:textId="77777777" w:rsidR="00467FCA" w:rsidRDefault="00467FCA">
      <w:pPr>
        <w:pStyle w:val="Textoindependiente"/>
        <w:spacing w:before="4"/>
        <w:rPr>
          <w:sz w:val="22"/>
        </w:rPr>
      </w:pPr>
    </w:p>
    <w:p w14:paraId="425AEF30" w14:textId="77777777" w:rsidR="00467FCA" w:rsidRDefault="001B68EB">
      <w:pPr>
        <w:pStyle w:val="Prrafodelista"/>
        <w:numPr>
          <w:ilvl w:val="0"/>
          <w:numId w:val="10"/>
        </w:numPr>
        <w:tabs>
          <w:tab w:val="left" w:pos="1450"/>
        </w:tabs>
        <w:spacing w:line="266" w:lineRule="auto"/>
        <w:ind w:left="469" w:right="397" w:firstLine="0"/>
        <w:jc w:val="both"/>
        <w:rPr>
          <w:sz w:val="20"/>
        </w:rPr>
      </w:pPr>
      <w:r>
        <w:rPr>
          <w:sz w:val="20"/>
        </w:rPr>
        <w:t>Y la segunda, que al contemplarse en el Resolutivo N° 4 de la Sentencia</w:t>
      </w:r>
      <w:hyperlink w:anchor="_bookmark655" w:history="1">
        <w:r>
          <w:rPr>
            <w:position w:val="7"/>
            <w:sz w:val="13"/>
          </w:rPr>
          <w:t>107</w:t>
        </w:r>
      </w:hyperlink>
      <w:r>
        <w:rPr>
          <w:position w:val="7"/>
          <w:sz w:val="13"/>
        </w:rPr>
        <w:t xml:space="preserve"> </w:t>
      </w:r>
      <w:r>
        <w:rPr>
          <w:sz w:val="20"/>
        </w:rPr>
        <w:t>al artículo 4.1. de la Convención</w:t>
      </w:r>
      <w:hyperlink w:anchor="_bookmark656" w:history="1">
        <w:r>
          <w:rPr>
            <w:position w:val="7"/>
            <w:sz w:val="13"/>
          </w:rPr>
          <w:t>108</w:t>
        </w:r>
      </w:hyperlink>
      <w:r>
        <w:rPr>
          <w:position w:val="7"/>
          <w:sz w:val="13"/>
        </w:rPr>
        <w:t xml:space="preserve"> </w:t>
      </w:r>
      <w:r>
        <w:rPr>
          <w:sz w:val="20"/>
        </w:rPr>
        <w:t>y habiéndose dado como hecho de que “</w:t>
      </w:r>
      <w:r>
        <w:rPr>
          <w:i/>
          <w:sz w:val="20"/>
        </w:rPr>
        <w:t xml:space="preserve">cuatro de </w:t>
      </w:r>
      <w:r>
        <w:rPr>
          <w:i/>
          <w:spacing w:val="2"/>
          <w:sz w:val="20"/>
        </w:rPr>
        <w:t xml:space="preserve">las </w:t>
      </w:r>
      <w:r>
        <w:rPr>
          <w:i/>
          <w:sz w:val="20"/>
        </w:rPr>
        <w:t xml:space="preserve">mujeres fallecidas </w:t>
      </w:r>
      <w:r>
        <w:rPr>
          <w:sz w:val="20"/>
        </w:rPr>
        <w:t>[en los su</w:t>
      </w:r>
      <w:r>
        <w:rPr>
          <w:sz w:val="20"/>
        </w:rPr>
        <w:t xml:space="preserve">cesos a que se refiere] </w:t>
      </w:r>
      <w:r>
        <w:rPr>
          <w:i/>
          <w:sz w:val="20"/>
        </w:rPr>
        <w:t>se encontraban en estado de gestación</w:t>
      </w:r>
      <w:r>
        <w:rPr>
          <w:sz w:val="20"/>
        </w:rPr>
        <w:t>”</w:t>
      </w:r>
      <w:hyperlink w:anchor="_bookmark657" w:history="1">
        <w:r>
          <w:rPr>
            <w:position w:val="7"/>
            <w:sz w:val="13"/>
          </w:rPr>
          <w:t>109</w:t>
        </w:r>
      </w:hyperlink>
      <w:r>
        <w:rPr>
          <w:sz w:val="20"/>
        </w:rPr>
        <w:t>, hubiese sido deseable la aplicación de la citada norma convencional respecto de</w:t>
      </w:r>
      <w:r>
        <w:rPr>
          <w:spacing w:val="-11"/>
          <w:sz w:val="20"/>
        </w:rPr>
        <w:t xml:space="preserve"> </w:t>
      </w:r>
      <w:r>
        <w:rPr>
          <w:sz w:val="20"/>
        </w:rPr>
        <w:t>los</w:t>
      </w:r>
      <w:r>
        <w:rPr>
          <w:spacing w:val="-8"/>
          <w:sz w:val="20"/>
        </w:rPr>
        <w:t xml:space="preserve"> </w:t>
      </w:r>
      <w:r>
        <w:rPr>
          <w:sz w:val="20"/>
        </w:rPr>
        <w:t>no</w:t>
      </w:r>
      <w:r>
        <w:rPr>
          <w:spacing w:val="-8"/>
          <w:sz w:val="20"/>
        </w:rPr>
        <w:t xml:space="preserve"> </w:t>
      </w:r>
      <w:r>
        <w:rPr>
          <w:sz w:val="20"/>
        </w:rPr>
        <w:t>nacidos</w:t>
      </w:r>
      <w:r>
        <w:rPr>
          <w:spacing w:val="-8"/>
          <w:sz w:val="20"/>
        </w:rPr>
        <w:t xml:space="preserve"> </w:t>
      </w:r>
      <w:r>
        <w:rPr>
          <w:sz w:val="20"/>
        </w:rPr>
        <w:t>o</w:t>
      </w:r>
      <w:r>
        <w:rPr>
          <w:spacing w:val="-8"/>
          <w:sz w:val="20"/>
        </w:rPr>
        <w:t xml:space="preserve"> </w:t>
      </w:r>
      <w:r>
        <w:rPr>
          <w:i/>
          <w:sz w:val="20"/>
        </w:rPr>
        <w:t>nasciturus</w:t>
      </w:r>
      <w:r>
        <w:rPr>
          <w:sz w:val="20"/>
        </w:rPr>
        <w:t>,</w:t>
      </w:r>
      <w:r>
        <w:rPr>
          <w:spacing w:val="-11"/>
          <w:sz w:val="20"/>
        </w:rPr>
        <w:t xml:space="preserve"> </w:t>
      </w:r>
      <w:r>
        <w:rPr>
          <w:sz w:val="20"/>
        </w:rPr>
        <w:t>de</w:t>
      </w:r>
      <w:r>
        <w:rPr>
          <w:spacing w:val="-8"/>
          <w:sz w:val="20"/>
        </w:rPr>
        <w:t xml:space="preserve"> </w:t>
      </w:r>
      <w:r>
        <w:rPr>
          <w:sz w:val="20"/>
        </w:rPr>
        <w:t>conformidad</w:t>
      </w:r>
      <w:r>
        <w:rPr>
          <w:spacing w:val="-9"/>
          <w:sz w:val="20"/>
        </w:rPr>
        <w:t xml:space="preserve"> </w:t>
      </w:r>
      <w:r>
        <w:rPr>
          <w:sz w:val="20"/>
        </w:rPr>
        <w:t>a</w:t>
      </w:r>
      <w:r>
        <w:rPr>
          <w:spacing w:val="-7"/>
          <w:sz w:val="20"/>
        </w:rPr>
        <w:t xml:space="preserve"> </w:t>
      </w:r>
      <w:r>
        <w:rPr>
          <w:sz w:val="20"/>
        </w:rPr>
        <w:t>lo</w:t>
      </w:r>
      <w:r>
        <w:rPr>
          <w:spacing w:val="-9"/>
          <w:sz w:val="20"/>
        </w:rPr>
        <w:t xml:space="preserve"> </w:t>
      </w:r>
      <w:r>
        <w:rPr>
          <w:sz w:val="20"/>
        </w:rPr>
        <w:t>indicado</w:t>
      </w:r>
      <w:r>
        <w:rPr>
          <w:spacing w:val="-5"/>
          <w:sz w:val="20"/>
        </w:rPr>
        <w:t xml:space="preserve"> </w:t>
      </w:r>
      <w:r>
        <w:rPr>
          <w:sz w:val="20"/>
        </w:rPr>
        <w:t>en</w:t>
      </w:r>
      <w:r>
        <w:rPr>
          <w:spacing w:val="-6"/>
          <w:sz w:val="20"/>
        </w:rPr>
        <w:t xml:space="preserve"> </w:t>
      </w:r>
      <w:r>
        <w:rPr>
          <w:sz w:val="20"/>
        </w:rPr>
        <w:t>otros</w:t>
      </w:r>
      <w:r>
        <w:rPr>
          <w:spacing w:val="-8"/>
          <w:sz w:val="20"/>
        </w:rPr>
        <w:t xml:space="preserve"> </w:t>
      </w:r>
      <w:r>
        <w:rPr>
          <w:sz w:val="20"/>
        </w:rPr>
        <w:t>votos</w:t>
      </w:r>
      <w:r>
        <w:rPr>
          <w:spacing w:val="-8"/>
          <w:sz w:val="20"/>
        </w:rPr>
        <w:t xml:space="preserve"> </w:t>
      </w:r>
      <w:r>
        <w:rPr>
          <w:sz w:val="20"/>
        </w:rPr>
        <w:t>del</w:t>
      </w:r>
      <w:r>
        <w:rPr>
          <w:spacing w:val="-8"/>
          <w:sz w:val="20"/>
        </w:rPr>
        <w:t xml:space="preserve"> </w:t>
      </w:r>
      <w:r>
        <w:rPr>
          <w:sz w:val="20"/>
        </w:rPr>
        <w:t>infrascrito</w:t>
      </w:r>
      <w:hyperlink w:anchor="_bookmark658" w:history="1">
        <w:r>
          <w:rPr>
            <w:position w:val="7"/>
            <w:sz w:val="13"/>
          </w:rPr>
          <w:t>110</w:t>
        </w:r>
      </w:hyperlink>
      <w:r>
        <w:rPr>
          <w:sz w:val="20"/>
        </w:rPr>
        <w:t>. Sin embargo, lo señalado no fue posible dado, por una parte, que el tema no fue planteado en autos y, por la otra, que se carecía de la información correspondiente al tiempo y al desarrollo de la gravidez de las mencionadas</w:t>
      </w:r>
      <w:r>
        <w:rPr>
          <w:spacing w:val="-10"/>
          <w:sz w:val="20"/>
        </w:rPr>
        <w:t xml:space="preserve"> </w:t>
      </w:r>
      <w:r>
        <w:rPr>
          <w:sz w:val="20"/>
        </w:rPr>
        <w:t>mujeres.</w:t>
      </w:r>
    </w:p>
    <w:p w14:paraId="3596CDDE" w14:textId="77777777" w:rsidR="00467FCA" w:rsidRDefault="00467FCA">
      <w:pPr>
        <w:pStyle w:val="Textoindependiente"/>
      </w:pPr>
    </w:p>
    <w:p w14:paraId="756497C9" w14:textId="77777777" w:rsidR="00467FCA" w:rsidRDefault="00467FCA">
      <w:pPr>
        <w:pStyle w:val="Textoindependiente"/>
      </w:pPr>
    </w:p>
    <w:p w14:paraId="2F1FE791" w14:textId="77777777" w:rsidR="00467FCA" w:rsidRDefault="00467FCA">
      <w:pPr>
        <w:pStyle w:val="Textoindependiente"/>
      </w:pPr>
    </w:p>
    <w:p w14:paraId="76036EBA" w14:textId="77777777" w:rsidR="00467FCA" w:rsidRDefault="00467FCA">
      <w:pPr>
        <w:pStyle w:val="Textoindependiente"/>
      </w:pPr>
    </w:p>
    <w:p w14:paraId="7CBBD997" w14:textId="77777777" w:rsidR="00467FCA" w:rsidRDefault="00467FCA">
      <w:pPr>
        <w:pStyle w:val="Textoindependiente"/>
      </w:pPr>
    </w:p>
    <w:p w14:paraId="4D977828" w14:textId="77777777" w:rsidR="00467FCA" w:rsidRDefault="00467FCA">
      <w:pPr>
        <w:pStyle w:val="Textoindependiente"/>
      </w:pPr>
    </w:p>
    <w:p w14:paraId="46E96B93" w14:textId="77777777" w:rsidR="00467FCA" w:rsidRDefault="00467FCA">
      <w:pPr>
        <w:pStyle w:val="Textoindependiente"/>
      </w:pPr>
    </w:p>
    <w:p w14:paraId="03D0C677" w14:textId="77777777" w:rsidR="00467FCA" w:rsidRDefault="00467FCA">
      <w:pPr>
        <w:pStyle w:val="Textoindependiente"/>
        <w:rPr>
          <w:sz w:val="19"/>
        </w:rPr>
      </w:pPr>
    </w:p>
    <w:tbl>
      <w:tblPr>
        <w:tblStyle w:val="TableNormal"/>
        <w:tblW w:w="0" w:type="auto"/>
        <w:tblInd w:w="323" w:type="dxa"/>
        <w:tblLayout w:type="fixed"/>
        <w:tblLook w:val="01E0" w:firstRow="1" w:lastRow="1" w:firstColumn="1" w:lastColumn="1" w:noHBand="0" w:noVBand="0"/>
      </w:tblPr>
      <w:tblGrid>
        <w:gridCol w:w="7352"/>
      </w:tblGrid>
      <w:tr w:rsidR="00467FCA" w14:paraId="57BF987A" w14:textId="77777777">
        <w:trPr>
          <w:trHeight w:val="819"/>
        </w:trPr>
        <w:tc>
          <w:tcPr>
            <w:tcW w:w="7352" w:type="dxa"/>
          </w:tcPr>
          <w:p w14:paraId="7B5A7175" w14:textId="77777777" w:rsidR="00467FCA" w:rsidRDefault="001B68EB">
            <w:pPr>
              <w:pStyle w:val="TableParagraph"/>
              <w:spacing w:before="0" w:line="276" w:lineRule="auto"/>
              <w:ind w:left="5336" w:right="177" w:hanging="89"/>
              <w:jc w:val="left"/>
              <w:rPr>
                <w:sz w:val="20"/>
              </w:rPr>
            </w:pPr>
            <w:r>
              <w:rPr>
                <w:sz w:val="20"/>
              </w:rPr>
              <w:t>Eduardo Vio G</w:t>
            </w:r>
            <w:r>
              <w:rPr>
                <w:sz w:val="20"/>
              </w:rPr>
              <w:t>rossi Juez</w:t>
            </w:r>
          </w:p>
        </w:tc>
      </w:tr>
      <w:tr w:rsidR="00467FCA" w14:paraId="141727CA" w14:textId="77777777">
        <w:trPr>
          <w:trHeight w:val="819"/>
        </w:trPr>
        <w:tc>
          <w:tcPr>
            <w:tcW w:w="7352" w:type="dxa"/>
          </w:tcPr>
          <w:p w14:paraId="6C496DA3" w14:textId="77777777" w:rsidR="00467FCA" w:rsidRDefault="00467FCA">
            <w:pPr>
              <w:pStyle w:val="TableParagraph"/>
              <w:spacing w:before="6"/>
              <w:ind w:left="0"/>
              <w:jc w:val="left"/>
              <w:rPr>
                <w:sz w:val="21"/>
              </w:rPr>
            </w:pPr>
          </w:p>
          <w:p w14:paraId="580006F1" w14:textId="77777777" w:rsidR="00467FCA" w:rsidRDefault="001B68EB">
            <w:pPr>
              <w:pStyle w:val="TableParagraph"/>
              <w:spacing w:before="0" w:line="280" w:lineRule="atLeast"/>
              <w:ind w:left="339" w:right="4475" w:hanging="140"/>
              <w:jc w:val="left"/>
              <w:rPr>
                <w:sz w:val="20"/>
              </w:rPr>
            </w:pPr>
            <w:r>
              <w:rPr>
                <w:sz w:val="20"/>
              </w:rPr>
              <w:t>Pablo Saavedra Alessandri Secretario</w:t>
            </w:r>
          </w:p>
        </w:tc>
      </w:tr>
    </w:tbl>
    <w:p w14:paraId="575E3ADC" w14:textId="77777777" w:rsidR="00467FCA" w:rsidRDefault="00467FCA">
      <w:pPr>
        <w:pStyle w:val="Textoindependiente"/>
      </w:pPr>
    </w:p>
    <w:p w14:paraId="5504F8E4" w14:textId="77777777" w:rsidR="00467FCA" w:rsidRDefault="00467FCA">
      <w:pPr>
        <w:pStyle w:val="Textoindependiente"/>
      </w:pPr>
    </w:p>
    <w:p w14:paraId="3ACD1D0B" w14:textId="77777777" w:rsidR="00467FCA" w:rsidRDefault="00467FCA">
      <w:pPr>
        <w:pStyle w:val="Textoindependiente"/>
      </w:pPr>
    </w:p>
    <w:p w14:paraId="69DFFD25" w14:textId="77777777" w:rsidR="00467FCA" w:rsidRDefault="00467FCA">
      <w:pPr>
        <w:pStyle w:val="Textoindependiente"/>
      </w:pPr>
    </w:p>
    <w:p w14:paraId="50FF5F97" w14:textId="77777777" w:rsidR="00467FCA" w:rsidRDefault="00467FCA">
      <w:pPr>
        <w:pStyle w:val="Textoindependiente"/>
      </w:pPr>
    </w:p>
    <w:p w14:paraId="7002F3F4" w14:textId="77777777" w:rsidR="00467FCA" w:rsidRDefault="00467FCA">
      <w:pPr>
        <w:pStyle w:val="Textoindependiente"/>
      </w:pPr>
    </w:p>
    <w:p w14:paraId="3C55B826" w14:textId="77777777" w:rsidR="00467FCA" w:rsidRDefault="00467FCA">
      <w:pPr>
        <w:pStyle w:val="Textoindependiente"/>
      </w:pPr>
    </w:p>
    <w:p w14:paraId="3F8661D9" w14:textId="77777777" w:rsidR="00467FCA" w:rsidRDefault="001B68EB">
      <w:pPr>
        <w:pStyle w:val="Textoindependiente"/>
        <w:spacing w:before="10"/>
        <w:rPr>
          <w:sz w:val="25"/>
        </w:rPr>
      </w:pPr>
      <w:r>
        <w:pict w14:anchorId="2E18BEA9">
          <v:shape id="_x0000_s1077" style="position:absolute;margin-left:56.75pt;margin-top:18.1pt;width:2in;height:.1pt;z-index:-251536384;mso-wrap-distance-left:0;mso-wrap-distance-right:0;mso-position-horizontal-relative:page" coordorigin="1135,362" coordsize="2880,0" path="m1135,362r2880,e" filled="f" strokeweight=".72pt">
            <v:path arrowok="t"/>
            <w10:wrap type="topAndBottom" anchorx="page"/>
          </v:shape>
        </w:pict>
      </w:r>
    </w:p>
    <w:p w14:paraId="216485B8" w14:textId="77777777" w:rsidR="00467FCA" w:rsidRDefault="001B68EB">
      <w:pPr>
        <w:spacing w:before="71"/>
        <w:ind w:left="470" w:right="391"/>
        <w:jc w:val="both"/>
        <w:rPr>
          <w:i/>
          <w:sz w:val="16"/>
        </w:rPr>
      </w:pPr>
      <w:bookmarkStart w:id="733" w:name="_bookmark654"/>
      <w:bookmarkEnd w:id="733"/>
      <w:r>
        <w:rPr>
          <w:i/>
          <w:position w:val="6"/>
          <w:sz w:val="10"/>
        </w:rPr>
        <w:t xml:space="preserve">106 </w:t>
      </w:r>
      <w:r>
        <w:rPr>
          <w:i/>
          <w:sz w:val="16"/>
        </w:rPr>
        <w:t>“Derechos del Niño. Todo niño tiene derecho a las medidas de protección que su condición de menor requiere por parte de su familia, de la sociedad y del Estado.”</w:t>
      </w:r>
    </w:p>
    <w:p w14:paraId="286AAD0D" w14:textId="77777777" w:rsidR="00467FCA" w:rsidRDefault="001B68EB">
      <w:pPr>
        <w:ind w:left="470" w:right="391"/>
        <w:jc w:val="both"/>
        <w:rPr>
          <w:i/>
          <w:sz w:val="16"/>
        </w:rPr>
      </w:pPr>
      <w:bookmarkStart w:id="734" w:name="_bookmark655"/>
      <w:bookmarkEnd w:id="734"/>
      <w:r>
        <w:rPr>
          <w:position w:val="6"/>
          <w:sz w:val="10"/>
        </w:rPr>
        <w:t xml:space="preserve">107 </w:t>
      </w:r>
      <w:r>
        <w:rPr>
          <w:i/>
          <w:sz w:val="16"/>
        </w:rPr>
        <w:t>“El Estado es responsable por la violación de los derechos a la vida y del niño y de la ni</w:t>
      </w:r>
      <w:r>
        <w:rPr>
          <w:i/>
          <w:sz w:val="16"/>
        </w:rPr>
        <w:t>ña contenidos en los artículos</w:t>
      </w:r>
      <w:r>
        <w:rPr>
          <w:i/>
          <w:spacing w:val="-9"/>
          <w:sz w:val="16"/>
        </w:rPr>
        <w:t xml:space="preserve"> </w:t>
      </w:r>
      <w:r>
        <w:rPr>
          <w:i/>
          <w:sz w:val="16"/>
        </w:rPr>
        <w:t>4.1</w:t>
      </w:r>
      <w:r>
        <w:rPr>
          <w:i/>
          <w:spacing w:val="-11"/>
          <w:sz w:val="16"/>
        </w:rPr>
        <w:t xml:space="preserve"> </w:t>
      </w:r>
      <w:r>
        <w:rPr>
          <w:i/>
          <w:sz w:val="16"/>
        </w:rPr>
        <w:t>y</w:t>
      </w:r>
      <w:r>
        <w:rPr>
          <w:i/>
          <w:spacing w:val="-9"/>
          <w:sz w:val="16"/>
        </w:rPr>
        <w:t xml:space="preserve"> </w:t>
      </w:r>
      <w:r>
        <w:rPr>
          <w:i/>
          <w:sz w:val="16"/>
        </w:rPr>
        <w:t>19,</w:t>
      </w:r>
      <w:r>
        <w:rPr>
          <w:i/>
          <w:spacing w:val="-11"/>
          <w:sz w:val="16"/>
        </w:rPr>
        <w:t xml:space="preserve"> </w:t>
      </w:r>
      <w:r>
        <w:rPr>
          <w:i/>
          <w:sz w:val="16"/>
        </w:rPr>
        <w:t>en</w:t>
      </w:r>
      <w:r>
        <w:rPr>
          <w:i/>
          <w:spacing w:val="-11"/>
          <w:sz w:val="16"/>
        </w:rPr>
        <w:t xml:space="preserve"> </w:t>
      </w:r>
      <w:r>
        <w:rPr>
          <w:i/>
          <w:sz w:val="16"/>
        </w:rPr>
        <w:t>relación</w:t>
      </w:r>
      <w:r>
        <w:rPr>
          <w:i/>
          <w:spacing w:val="-11"/>
          <w:sz w:val="16"/>
        </w:rPr>
        <w:t xml:space="preserve"> </w:t>
      </w:r>
      <w:r>
        <w:rPr>
          <w:i/>
          <w:sz w:val="16"/>
        </w:rPr>
        <w:t>con</w:t>
      </w:r>
      <w:r>
        <w:rPr>
          <w:i/>
          <w:spacing w:val="-11"/>
          <w:sz w:val="16"/>
        </w:rPr>
        <w:t xml:space="preserve"> </w:t>
      </w:r>
      <w:r>
        <w:rPr>
          <w:i/>
          <w:sz w:val="16"/>
        </w:rPr>
        <w:t>el</w:t>
      </w:r>
      <w:r>
        <w:rPr>
          <w:i/>
          <w:spacing w:val="-8"/>
          <w:sz w:val="16"/>
        </w:rPr>
        <w:t xml:space="preserve"> </w:t>
      </w:r>
      <w:r>
        <w:rPr>
          <w:i/>
          <w:sz w:val="16"/>
        </w:rPr>
        <w:t>artículo</w:t>
      </w:r>
      <w:r>
        <w:rPr>
          <w:i/>
          <w:spacing w:val="-9"/>
          <w:sz w:val="16"/>
        </w:rPr>
        <w:t xml:space="preserve"> </w:t>
      </w:r>
      <w:r>
        <w:rPr>
          <w:i/>
          <w:sz w:val="16"/>
        </w:rPr>
        <w:t>1.1</w:t>
      </w:r>
      <w:r>
        <w:rPr>
          <w:i/>
          <w:spacing w:val="-9"/>
          <w:sz w:val="16"/>
        </w:rPr>
        <w:t xml:space="preserve"> </w:t>
      </w:r>
      <w:r>
        <w:rPr>
          <w:i/>
          <w:sz w:val="16"/>
        </w:rPr>
        <w:t>de</w:t>
      </w:r>
      <w:r>
        <w:rPr>
          <w:i/>
          <w:spacing w:val="-10"/>
          <w:sz w:val="16"/>
        </w:rPr>
        <w:t xml:space="preserve"> </w:t>
      </w:r>
      <w:r>
        <w:rPr>
          <w:i/>
          <w:sz w:val="16"/>
        </w:rPr>
        <w:t>la</w:t>
      </w:r>
      <w:r>
        <w:rPr>
          <w:i/>
          <w:spacing w:val="-10"/>
          <w:sz w:val="16"/>
        </w:rPr>
        <w:t xml:space="preserve"> </w:t>
      </w:r>
      <w:r>
        <w:rPr>
          <w:i/>
          <w:sz w:val="16"/>
        </w:rPr>
        <w:t>Convención</w:t>
      </w:r>
      <w:r>
        <w:rPr>
          <w:i/>
          <w:spacing w:val="-11"/>
          <w:sz w:val="16"/>
        </w:rPr>
        <w:t xml:space="preserve"> </w:t>
      </w:r>
      <w:r>
        <w:rPr>
          <w:i/>
          <w:sz w:val="16"/>
        </w:rPr>
        <w:t>Americana</w:t>
      </w:r>
      <w:r>
        <w:rPr>
          <w:i/>
          <w:spacing w:val="-10"/>
          <w:sz w:val="16"/>
        </w:rPr>
        <w:t xml:space="preserve"> </w:t>
      </w:r>
      <w:r>
        <w:rPr>
          <w:i/>
          <w:sz w:val="16"/>
        </w:rPr>
        <w:t>sobre</w:t>
      </w:r>
      <w:r>
        <w:rPr>
          <w:i/>
          <w:spacing w:val="-10"/>
          <w:sz w:val="16"/>
        </w:rPr>
        <w:t xml:space="preserve"> </w:t>
      </w:r>
      <w:r>
        <w:rPr>
          <w:i/>
          <w:sz w:val="16"/>
        </w:rPr>
        <w:t>Derechos</w:t>
      </w:r>
      <w:r>
        <w:rPr>
          <w:i/>
          <w:spacing w:val="-10"/>
          <w:sz w:val="16"/>
        </w:rPr>
        <w:t xml:space="preserve"> </w:t>
      </w:r>
      <w:r>
        <w:rPr>
          <w:i/>
          <w:sz w:val="16"/>
        </w:rPr>
        <w:t>Humanos,</w:t>
      </w:r>
      <w:r>
        <w:rPr>
          <w:i/>
          <w:spacing w:val="-11"/>
          <w:sz w:val="16"/>
        </w:rPr>
        <w:t xml:space="preserve"> </w:t>
      </w:r>
      <w:r>
        <w:rPr>
          <w:i/>
          <w:sz w:val="16"/>
        </w:rPr>
        <w:t>en</w:t>
      </w:r>
      <w:r>
        <w:rPr>
          <w:i/>
          <w:spacing w:val="-11"/>
          <w:sz w:val="16"/>
        </w:rPr>
        <w:t xml:space="preserve"> </w:t>
      </w:r>
      <w:r>
        <w:rPr>
          <w:i/>
          <w:sz w:val="16"/>
        </w:rPr>
        <w:t>perjuicio de</w:t>
      </w:r>
      <w:r>
        <w:rPr>
          <w:i/>
          <w:spacing w:val="-2"/>
          <w:sz w:val="16"/>
        </w:rPr>
        <w:t xml:space="preserve"> </w:t>
      </w:r>
      <w:r>
        <w:rPr>
          <w:i/>
          <w:sz w:val="16"/>
        </w:rPr>
        <w:t>las</w:t>
      </w:r>
      <w:r>
        <w:rPr>
          <w:i/>
          <w:spacing w:val="-2"/>
          <w:sz w:val="16"/>
        </w:rPr>
        <w:t xml:space="preserve"> </w:t>
      </w:r>
      <w:r>
        <w:rPr>
          <w:i/>
          <w:sz w:val="16"/>
        </w:rPr>
        <w:t>sesenta</w:t>
      </w:r>
      <w:r>
        <w:rPr>
          <w:i/>
          <w:spacing w:val="-2"/>
          <w:sz w:val="16"/>
        </w:rPr>
        <w:t xml:space="preserve"> </w:t>
      </w:r>
      <w:r>
        <w:rPr>
          <w:i/>
          <w:sz w:val="16"/>
        </w:rPr>
        <w:t>personas</w:t>
      </w:r>
      <w:r>
        <w:rPr>
          <w:i/>
          <w:spacing w:val="-5"/>
          <w:sz w:val="16"/>
        </w:rPr>
        <w:t xml:space="preserve"> </w:t>
      </w:r>
      <w:r>
        <w:rPr>
          <w:i/>
          <w:sz w:val="16"/>
        </w:rPr>
        <w:t>fallecidas</w:t>
      </w:r>
      <w:r>
        <w:rPr>
          <w:i/>
          <w:spacing w:val="-1"/>
          <w:sz w:val="16"/>
        </w:rPr>
        <w:t xml:space="preserve"> </w:t>
      </w:r>
      <w:r>
        <w:rPr>
          <w:i/>
          <w:sz w:val="16"/>
        </w:rPr>
        <w:t>en</w:t>
      </w:r>
      <w:r>
        <w:rPr>
          <w:i/>
          <w:spacing w:val="-4"/>
          <w:sz w:val="16"/>
        </w:rPr>
        <w:t xml:space="preserve"> </w:t>
      </w:r>
      <w:r>
        <w:rPr>
          <w:i/>
          <w:sz w:val="16"/>
        </w:rPr>
        <w:t>la</w:t>
      </w:r>
      <w:r>
        <w:rPr>
          <w:i/>
          <w:spacing w:val="-3"/>
          <w:sz w:val="16"/>
        </w:rPr>
        <w:t xml:space="preserve"> </w:t>
      </w:r>
      <w:r>
        <w:rPr>
          <w:i/>
          <w:sz w:val="16"/>
        </w:rPr>
        <w:t>explosión</w:t>
      </w:r>
      <w:r>
        <w:rPr>
          <w:i/>
          <w:spacing w:val="-5"/>
          <w:sz w:val="16"/>
        </w:rPr>
        <w:t xml:space="preserve"> </w:t>
      </w:r>
      <w:r>
        <w:rPr>
          <w:i/>
          <w:sz w:val="16"/>
        </w:rPr>
        <w:t>de</w:t>
      </w:r>
      <w:r>
        <w:rPr>
          <w:i/>
          <w:spacing w:val="-2"/>
          <w:sz w:val="16"/>
        </w:rPr>
        <w:t xml:space="preserve"> </w:t>
      </w:r>
      <w:r>
        <w:rPr>
          <w:i/>
          <w:sz w:val="16"/>
        </w:rPr>
        <w:t>la</w:t>
      </w:r>
      <w:r>
        <w:rPr>
          <w:i/>
          <w:spacing w:val="-2"/>
          <w:sz w:val="16"/>
        </w:rPr>
        <w:t xml:space="preserve"> </w:t>
      </w:r>
      <w:r>
        <w:rPr>
          <w:i/>
          <w:sz w:val="16"/>
        </w:rPr>
        <w:t>fábrica</w:t>
      </w:r>
      <w:r>
        <w:rPr>
          <w:i/>
          <w:spacing w:val="-3"/>
          <w:sz w:val="16"/>
        </w:rPr>
        <w:t xml:space="preserve"> </w:t>
      </w:r>
      <w:r>
        <w:rPr>
          <w:i/>
          <w:sz w:val="16"/>
        </w:rPr>
        <w:t>de</w:t>
      </w:r>
      <w:r>
        <w:rPr>
          <w:i/>
          <w:spacing w:val="-4"/>
          <w:sz w:val="16"/>
        </w:rPr>
        <w:t xml:space="preserve"> </w:t>
      </w:r>
      <w:r>
        <w:rPr>
          <w:i/>
          <w:sz w:val="16"/>
        </w:rPr>
        <w:t>fuegos</w:t>
      </w:r>
      <w:r>
        <w:rPr>
          <w:i/>
          <w:spacing w:val="-2"/>
          <w:sz w:val="16"/>
        </w:rPr>
        <w:t xml:space="preserve"> </w:t>
      </w:r>
      <w:r>
        <w:rPr>
          <w:i/>
          <w:sz w:val="16"/>
        </w:rPr>
        <w:t>de</w:t>
      </w:r>
      <w:r>
        <w:rPr>
          <w:i/>
          <w:spacing w:val="-2"/>
          <w:sz w:val="16"/>
        </w:rPr>
        <w:t xml:space="preserve"> </w:t>
      </w:r>
      <w:r>
        <w:rPr>
          <w:i/>
          <w:sz w:val="16"/>
        </w:rPr>
        <w:t>Santo</w:t>
      </w:r>
      <w:r>
        <w:rPr>
          <w:i/>
          <w:spacing w:val="-3"/>
          <w:sz w:val="16"/>
        </w:rPr>
        <w:t xml:space="preserve"> </w:t>
      </w:r>
      <w:r>
        <w:rPr>
          <w:i/>
          <w:sz w:val="16"/>
        </w:rPr>
        <w:t>Antônio</w:t>
      </w:r>
      <w:r>
        <w:rPr>
          <w:i/>
          <w:spacing w:val="-2"/>
          <w:sz w:val="16"/>
        </w:rPr>
        <w:t xml:space="preserve"> </w:t>
      </w:r>
      <w:r>
        <w:rPr>
          <w:i/>
          <w:sz w:val="16"/>
        </w:rPr>
        <w:t>de</w:t>
      </w:r>
      <w:r>
        <w:rPr>
          <w:i/>
          <w:spacing w:val="-1"/>
          <w:sz w:val="16"/>
        </w:rPr>
        <w:t xml:space="preserve"> </w:t>
      </w:r>
      <w:r>
        <w:rPr>
          <w:i/>
          <w:sz w:val="16"/>
        </w:rPr>
        <w:t>Jesus,</w:t>
      </w:r>
      <w:r>
        <w:rPr>
          <w:i/>
          <w:spacing w:val="-3"/>
          <w:sz w:val="16"/>
        </w:rPr>
        <w:t xml:space="preserve"> </w:t>
      </w:r>
      <w:r>
        <w:rPr>
          <w:i/>
          <w:sz w:val="16"/>
        </w:rPr>
        <w:t>ocurrida</w:t>
      </w:r>
      <w:r>
        <w:rPr>
          <w:i/>
          <w:spacing w:val="-3"/>
          <w:sz w:val="16"/>
        </w:rPr>
        <w:t xml:space="preserve"> </w:t>
      </w:r>
      <w:r>
        <w:rPr>
          <w:i/>
          <w:sz w:val="16"/>
        </w:rPr>
        <w:t>el</w:t>
      </w:r>
      <w:r>
        <w:rPr>
          <w:i/>
          <w:spacing w:val="-5"/>
          <w:sz w:val="16"/>
        </w:rPr>
        <w:t xml:space="preserve"> </w:t>
      </w:r>
      <w:r>
        <w:rPr>
          <w:i/>
          <w:sz w:val="16"/>
        </w:rPr>
        <w:t>11 de diciembre de 1998, a las que se refiere el párrafo 139 de esta Sentencia, entre los que se encuentran veinte niños y niñas, en los términos de los párrafos 115 a 139 de la presente</w:t>
      </w:r>
      <w:r>
        <w:rPr>
          <w:i/>
          <w:spacing w:val="-15"/>
          <w:sz w:val="16"/>
        </w:rPr>
        <w:t xml:space="preserve"> </w:t>
      </w:r>
      <w:r>
        <w:rPr>
          <w:i/>
          <w:sz w:val="16"/>
        </w:rPr>
        <w:t>Sentencia”.</w:t>
      </w:r>
    </w:p>
    <w:p w14:paraId="1F7D90F5" w14:textId="77777777" w:rsidR="00467FCA" w:rsidRDefault="001B68EB">
      <w:pPr>
        <w:ind w:left="470" w:right="393"/>
        <w:jc w:val="both"/>
        <w:rPr>
          <w:i/>
          <w:sz w:val="16"/>
        </w:rPr>
      </w:pPr>
      <w:bookmarkStart w:id="735" w:name="_bookmark656"/>
      <w:bookmarkEnd w:id="735"/>
      <w:r>
        <w:rPr>
          <w:i/>
          <w:position w:val="6"/>
          <w:sz w:val="10"/>
        </w:rPr>
        <w:t xml:space="preserve">108 </w:t>
      </w:r>
      <w:r>
        <w:rPr>
          <w:i/>
          <w:sz w:val="16"/>
        </w:rPr>
        <w:t>“Toda persona tiene derecho a que se respete su vida.</w:t>
      </w:r>
      <w:r>
        <w:rPr>
          <w:i/>
          <w:sz w:val="16"/>
        </w:rPr>
        <w:t xml:space="preserve"> Este derecho estará protegido por la ley y, en general, a partir del momento de la concepción. Nadie puede ser privado de la vida arbitrariamente.”</w:t>
      </w:r>
    </w:p>
    <w:p w14:paraId="2F2EDA8D" w14:textId="77777777" w:rsidR="00467FCA" w:rsidRDefault="001B68EB">
      <w:pPr>
        <w:ind w:left="470"/>
        <w:jc w:val="both"/>
        <w:rPr>
          <w:sz w:val="16"/>
        </w:rPr>
      </w:pPr>
      <w:bookmarkStart w:id="736" w:name="_bookmark657"/>
      <w:bookmarkEnd w:id="736"/>
      <w:r>
        <w:rPr>
          <w:position w:val="6"/>
          <w:sz w:val="10"/>
        </w:rPr>
        <w:t xml:space="preserve">109 </w:t>
      </w:r>
      <w:r>
        <w:rPr>
          <w:sz w:val="16"/>
        </w:rPr>
        <w:t>Párr. 75.</w:t>
      </w:r>
    </w:p>
    <w:p w14:paraId="33831B01" w14:textId="77777777" w:rsidR="00467FCA" w:rsidRDefault="001B68EB">
      <w:pPr>
        <w:ind w:left="470" w:right="391"/>
        <w:jc w:val="both"/>
        <w:rPr>
          <w:i/>
          <w:sz w:val="16"/>
        </w:rPr>
      </w:pPr>
      <w:bookmarkStart w:id="737" w:name="_bookmark658"/>
      <w:bookmarkEnd w:id="737"/>
      <w:r>
        <w:rPr>
          <w:position w:val="6"/>
          <w:sz w:val="10"/>
        </w:rPr>
        <w:t xml:space="preserve">110 </w:t>
      </w:r>
      <w:r>
        <w:rPr>
          <w:i/>
          <w:sz w:val="16"/>
        </w:rPr>
        <w:t>Cfr. Voto Concurrente del Juez Eduardo Vio Grossi, Caso Masacres de El Mozote y Lugares A</w:t>
      </w:r>
      <w:r>
        <w:rPr>
          <w:i/>
          <w:sz w:val="16"/>
        </w:rPr>
        <w:t>ledaños Vs. El Salvador,</w:t>
      </w:r>
      <w:r>
        <w:rPr>
          <w:i/>
          <w:spacing w:val="-8"/>
          <w:sz w:val="16"/>
        </w:rPr>
        <w:t xml:space="preserve"> </w:t>
      </w:r>
      <w:r>
        <w:rPr>
          <w:sz w:val="16"/>
        </w:rPr>
        <w:t>Sentencia</w:t>
      </w:r>
      <w:r>
        <w:rPr>
          <w:spacing w:val="-8"/>
          <w:sz w:val="16"/>
        </w:rPr>
        <w:t xml:space="preserve"> </w:t>
      </w:r>
      <w:r>
        <w:rPr>
          <w:sz w:val="16"/>
        </w:rPr>
        <w:t>de</w:t>
      </w:r>
      <w:r>
        <w:rPr>
          <w:spacing w:val="-7"/>
          <w:sz w:val="16"/>
        </w:rPr>
        <w:t xml:space="preserve"> </w:t>
      </w:r>
      <w:r>
        <w:rPr>
          <w:sz w:val="16"/>
        </w:rPr>
        <w:t>25</w:t>
      </w:r>
      <w:r>
        <w:rPr>
          <w:spacing w:val="-6"/>
          <w:sz w:val="16"/>
        </w:rPr>
        <w:t xml:space="preserve"> </w:t>
      </w:r>
      <w:r>
        <w:rPr>
          <w:sz w:val="16"/>
        </w:rPr>
        <w:t>de</w:t>
      </w:r>
      <w:r>
        <w:rPr>
          <w:spacing w:val="-9"/>
          <w:sz w:val="16"/>
        </w:rPr>
        <w:t xml:space="preserve"> </w:t>
      </w:r>
      <w:r>
        <w:rPr>
          <w:sz w:val="16"/>
        </w:rPr>
        <w:t>Octubre</w:t>
      </w:r>
      <w:r>
        <w:rPr>
          <w:spacing w:val="-7"/>
          <w:sz w:val="16"/>
        </w:rPr>
        <w:t xml:space="preserve"> </w:t>
      </w:r>
      <w:r>
        <w:rPr>
          <w:sz w:val="16"/>
        </w:rPr>
        <w:t>de</w:t>
      </w:r>
      <w:r>
        <w:rPr>
          <w:spacing w:val="-7"/>
          <w:sz w:val="16"/>
        </w:rPr>
        <w:t xml:space="preserve"> </w:t>
      </w:r>
      <w:r>
        <w:rPr>
          <w:sz w:val="16"/>
        </w:rPr>
        <w:t>2012,</w:t>
      </w:r>
      <w:r>
        <w:rPr>
          <w:spacing w:val="-8"/>
          <w:sz w:val="16"/>
        </w:rPr>
        <w:t xml:space="preserve"> </w:t>
      </w:r>
      <w:r>
        <w:rPr>
          <w:i/>
          <w:sz w:val="16"/>
        </w:rPr>
        <w:t>(Fondo,</w:t>
      </w:r>
      <w:r>
        <w:rPr>
          <w:i/>
          <w:spacing w:val="-8"/>
          <w:sz w:val="16"/>
        </w:rPr>
        <w:t xml:space="preserve"> </w:t>
      </w:r>
      <w:r>
        <w:rPr>
          <w:i/>
          <w:sz w:val="16"/>
        </w:rPr>
        <w:t>Reparaciones</w:t>
      </w:r>
      <w:r>
        <w:rPr>
          <w:i/>
          <w:spacing w:val="-9"/>
          <w:sz w:val="16"/>
        </w:rPr>
        <w:t xml:space="preserve"> </w:t>
      </w:r>
      <w:r>
        <w:rPr>
          <w:i/>
          <w:sz w:val="16"/>
        </w:rPr>
        <w:t>y</w:t>
      </w:r>
      <w:r>
        <w:rPr>
          <w:i/>
          <w:spacing w:val="-6"/>
          <w:sz w:val="16"/>
        </w:rPr>
        <w:t xml:space="preserve"> </w:t>
      </w:r>
      <w:r>
        <w:rPr>
          <w:i/>
          <w:sz w:val="16"/>
        </w:rPr>
        <w:t>Costas),</w:t>
      </w:r>
      <w:r>
        <w:rPr>
          <w:i/>
          <w:spacing w:val="-8"/>
          <w:sz w:val="16"/>
        </w:rPr>
        <w:t xml:space="preserve"> </w:t>
      </w:r>
      <w:r>
        <w:rPr>
          <w:sz w:val="16"/>
        </w:rPr>
        <w:t>Corte</w:t>
      </w:r>
      <w:r>
        <w:rPr>
          <w:spacing w:val="-5"/>
          <w:sz w:val="16"/>
        </w:rPr>
        <w:t xml:space="preserve"> </w:t>
      </w:r>
      <w:r>
        <w:rPr>
          <w:sz w:val="16"/>
        </w:rPr>
        <w:t>Interamericana</w:t>
      </w:r>
      <w:r>
        <w:rPr>
          <w:spacing w:val="-7"/>
          <w:sz w:val="16"/>
        </w:rPr>
        <w:t xml:space="preserve"> </w:t>
      </w:r>
      <w:r>
        <w:rPr>
          <w:sz w:val="16"/>
        </w:rPr>
        <w:t>de</w:t>
      </w:r>
      <w:r>
        <w:rPr>
          <w:spacing w:val="-7"/>
          <w:sz w:val="16"/>
        </w:rPr>
        <w:t xml:space="preserve"> </w:t>
      </w:r>
      <w:r>
        <w:rPr>
          <w:sz w:val="16"/>
        </w:rPr>
        <w:t>Derechos Humanos</w:t>
      </w:r>
      <w:r>
        <w:rPr>
          <w:i/>
          <w:sz w:val="16"/>
        </w:rPr>
        <w:t>;</w:t>
      </w:r>
      <w:r>
        <w:rPr>
          <w:i/>
          <w:spacing w:val="-7"/>
          <w:sz w:val="16"/>
        </w:rPr>
        <w:t xml:space="preserve"> </w:t>
      </w:r>
      <w:r>
        <w:rPr>
          <w:i/>
          <w:sz w:val="16"/>
        </w:rPr>
        <w:t>y</w:t>
      </w:r>
      <w:r>
        <w:rPr>
          <w:i/>
          <w:spacing w:val="-4"/>
          <w:sz w:val="16"/>
        </w:rPr>
        <w:t xml:space="preserve"> </w:t>
      </w:r>
      <w:r>
        <w:rPr>
          <w:i/>
          <w:sz w:val="16"/>
        </w:rPr>
        <w:t>Voto</w:t>
      </w:r>
      <w:r>
        <w:rPr>
          <w:i/>
          <w:spacing w:val="-4"/>
          <w:sz w:val="16"/>
        </w:rPr>
        <w:t xml:space="preserve"> </w:t>
      </w:r>
      <w:r>
        <w:rPr>
          <w:i/>
          <w:sz w:val="16"/>
        </w:rPr>
        <w:t>Disidente</w:t>
      </w:r>
      <w:r>
        <w:rPr>
          <w:i/>
          <w:spacing w:val="-5"/>
          <w:sz w:val="16"/>
        </w:rPr>
        <w:t xml:space="preserve"> </w:t>
      </w:r>
      <w:r>
        <w:rPr>
          <w:i/>
          <w:sz w:val="16"/>
        </w:rPr>
        <w:t>del</w:t>
      </w:r>
      <w:r>
        <w:rPr>
          <w:i/>
          <w:spacing w:val="-6"/>
          <w:sz w:val="16"/>
        </w:rPr>
        <w:t xml:space="preserve"> </w:t>
      </w:r>
      <w:r>
        <w:rPr>
          <w:i/>
          <w:sz w:val="16"/>
        </w:rPr>
        <w:t>Juez</w:t>
      </w:r>
      <w:r>
        <w:rPr>
          <w:i/>
          <w:spacing w:val="-6"/>
          <w:sz w:val="16"/>
        </w:rPr>
        <w:t xml:space="preserve"> </w:t>
      </w:r>
      <w:r>
        <w:rPr>
          <w:i/>
          <w:sz w:val="16"/>
        </w:rPr>
        <w:t>Eduardo</w:t>
      </w:r>
      <w:r>
        <w:rPr>
          <w:i/>
          <w:spacing w:val="-7"/>
          <w:sz w:val="16"/>
        </w:rPr>
        <w:t xml:space="preserve"> </w:t>
      </w:r>
      <w:r>
        <w:rPr>
          <w:i/>
          <w:sz w:val="16"/>
        </w:rPr>
        <w:t>Vio</w:t>
      </w:r>
      <w:r>
        <w:rPr>
          <w:i/>
          <w:spacing w:val="-7"/>
          <w:sz w:val="16"/>
        </w:rPr>
        <w:t xml:space="preserve"> </w:t>
      </w:r>
      <w:r>
        <w:rPr>
          <w:i/>
          <w:sz w:val="16"/>
        </w:rPr>
        <w:t>Grossi,</w:t>
      </w:r>
      <w:r>
        <w:rPr>
          <w:i/>
          <w:spacing w:val="-6"/>
          <w:sz w:val="16"/>
        </w:rPr>
        <w:t xml:space="preserve"> </w:t>
      </w:r>
      <w:r>
        <w:rPr>
          <w:sz w:val="16"/>
        </w:rPr>
        <w:t>Corte</w:t>
      </w:r>
      <w:r>
        <w:rPr>
          <w:spacing w:val="-5"/>
          <w:sz w:val="16"/>
        </w:rPr>
        <w:t xml:space="preserve"> </w:t>
      </w:r>
      <w:r>
        <w:rPr>
          <w:sz w:val="16"/>
        </w:rPr>
        <w:t>Interamericana</w:t>
      </w:r>
      <w:r>
        <w:rPr>
          <w:spacing w:val="-8"/>
          <w:sz w:val="16"/>
        </w:rPr>
        <w:t xml:space="preserve"> </w:t>
      </w:r>
      <w:r>
        <w:rPr>
          <w:sz w:val="16"/>
        </w:rPr>
        <w:t>de</w:t>
      </w:r>
      <w:r>
        <w:rPr>
          <w:spacing w:val="-8"/>
          <w:sz w:val="16"/>
        </w:rPr>
        <w:t xml:space="preserve"> </w:t>
      </w:r>
      <w:r>
        <w:rPr>
          <w:sz w:val="16"/>
        </w:rPr>
        <w:t>Derechos</w:t>
      </w:r>
      <w:r>
        <w:rPr>
          <w:spacing w:val="-5"/>
          <w:sz w:val="16"/>
        </w:rPr>
        <w:t xml:space="preserve"> </w:t>
      </w:r>
      <w:r>
        <w:rPr>
          <w:sz w:val="16"/>
        </w:rPr>
        <w:t>Humanos</w:t>
      </w:r>
      <w:r>
        <w:rPr>
          <w:i/>
          <w:sz w:val="16"/>
        </w:rPr>
        <w:t>,</w:t>
      </w:r>
      <w:r>
        <w:rPr>
          <w:i/>
          <w:spacing w:val="-6"/>
          <w:sz w:val="16"/>
        </w:rPr>
        <w:t xml:space="preserve"> </w:t>
      </w:r>
      <w:r>
        <w:rPr>
          <w:i/>
          <w:sz w:val="16"/>
        </w:rPr>
        <w:t>Caso</w:t>
      </w:r>
      <w:r>
        <w:rPr>
          <w:i/>
          <w:spacing w:val="-4"/>
          <w:sz w:val="16"/>
        </w:rPr>
        <w:t xml:space="preserve"> </w:t>
      </w:r>
      <w:r>
        <w:rPr>
          <w:i/>
          <w:sz w:val="16"/>
        </w:rPr>
        <w:t xml:space="preserve">Artavia </w:t>
      </w:r>
      <w:r>
        <w:rPr>
          <w:i/>
          <w:sz w:val="16"/>
        </w:rPr>
        <w:t xml:space="preserve">Murillo y Otros (Fecundación in Vitro) Vs. Costa Rica, </w:t>
      </w:r>
      <w:r>
        <w:rPr>
          <w:sz w:val="16"/>
        </w:rPr>
        <w:t>Sentencia de 28 de Noviembre de 2012</w:t>
      </w:r>
      <w:r>
        <w:rPr>
          <w:i/>
          <w:sz w:val="16"/>
        </w:rPr>
        <w:t>, (Excepciones Preliminares, Fondo, Reparaciones y</w:t>
      </w:r>
      <w:r>
        <w:rPr>
          <w:i/>
          <w:spacing w:val="-7"/>
          <w:sz w:val="16"/>
        </w:rPr>
        <w:t xml:space="preserve"> </w:t>
      </w:r>
      <w:r>
        <w:rPr>
          <w:i/>
          <w:sz w:val="16"/>
        </w:rPr>
        <w:t>Costas).</w:t>
      </w:r>
    </w:p>
    <w:p w14:paraId="47AFCFA7" w14:textId="77777777" w:rsidR="00467FCA" w:rsidRDefault="00467FCA">
      <w:pPr>
        <w:jc w:val="both"/>
        <w:rPr>
          <w:sz w:val="16"/>
        </w:rPr>
        <w:sectPr w:rsidR="00467FCA">
          <w:pgSz w:w="12240" w:h="15840"/>
          <w:pgMar w:top="1360" w:right="1140" w:bottom="1200" w:left="960" w:header="0" w:footer="1002" w:gutter="0"/>
          <w:cols w:space="720"/>
        </w:sectPr>
      </w:pPr>
    </w:p>
    <w:p w14:paraId="3EBE0EC9" w14:textId="77777777" w:rsidR="00467FCA" w:rsidRDefault="00467FCA">
      <w:pPr>
        <w:pStyle w:val="Textoindependiente"/>
        <w:rPr>
          <w:i/>
        </w:rPr>
      </w:pPr>
    </w:p>
    <w:p w14:paraId="1C4A1C0C" w14:textId="77777777" w:rsidR="00467FCA" w:rsidRDefault="00467FCA">
      <w:pPr>
        <w:pStyle w:val="Textoindependiente"/>
        <w:spacing w:before="4"/>
        <w:rPr>
          <w:i/>
          <w:sz w:val="19"/>
        </w:rPr>
      </w:pPr>
    </w:p>
    <w:p w14:paraId="6222C8D5" w14:textId="77777777" w:rsidR="00467FCA" w:rsidRDefault="001B68EB">
      <w:pPr>
        <w:pStyle w:val="Ttulo1"/>
        <w:spacing w:line="278" w:lineRule="auto"/>
        <w:ind w:left="2757" w:right="2573" w:hanging="1"/>
        <w:jc w:val="center"/>
      </w:pPr>
      <w:bookmarkStart w:id="738" w:name="vsc_sierraporto_407_esp"/>
      <w:bookmarkEnd w:id="738"/>
      <w:r>
        <w:t>VOTO PARCIALMENTE DISIDENTE DEL JUEZ HUMBERTO ANTONIO SIERRA PORTO</w:t>
      </w:r>
    </w:p>
    <w:p w14:paraId="6B7F705D" w14:textId="77777777" w:rsidR="00467FCA" w:rsidRDefault="00467FCA">
      <w:pPr>
        <w:pStyle w:val="Textoindependiente"/>
        <w:spacing w:before="8"/>
        <w:rPr>
          <w:b/>
          <w:sz w:val="22"/>
        </w:rPr>
      </w:pPr>
    </w:p>
    <w:p w14:paraId="13068996" w14:textId="77777777" w:rsidR="00467FCA" w:rsidRDefault="001B68EB">
      <w:pPr>
        <w:spacing w:before="1" w:line="276" w:lineRule="auto"/>
        <w:ind w:left="818" w:right="636"/>
        <w:jc w:val="center"/>
        <w:rPr>
          <w:b/>
          <w:i/>
          <w:sz w:val="20"/>
        </w:rPr>
      </w:pPr>
      <w:r>
        <w:rPr>
          <w:b/>
          <w:i/>
          <w:sz w:val="20"/>
          <w:u w:val="thick"/>
        </w:rPr>
        <w:t>CASO EMPLEADOS DE LA FÁBRICA DE FUEGOS EN SANTO ANTÔNIO DE JESUS</w:t>
      </w:r>
      <w:r>
        <w:rPr>
          <w:b/>
          <w:i/>
          <w:sz w:val="20"/>
        </w:rPr>
        <w:t xml:space="preserve"> </w:t>
      </w:r>
      <w:r>
        <w:rPr>
          <w:b/>
          <w:i/>
          <w:sz w:val="20"/>
          <w:u w:val="thick"/>
        </w:rPr>
        <w:t>Y SUS FAMILIARES VS. BRASIL</w:t>
      </w:r>
    </w:p>
    <w:p w14:paraId="7CD9053F" w14:textId="77777777" w:rsidR="00467FCA" w:rsidRDefault="00467FCA">
      <w:pPr>
        <w:pStyle w:val="Textoindependiente"/>
        <w:spacing w:before="9"/>
        <w:rPr>
          <w:b/>
          <w:i/>
          <w:sz w:val="14"/>
        </w:rPr>
      </w:pPr>
    </w:p>
    <w:p w14:paraId="2CAB4636" w14:textId="77777777" w:rsidR="00467FCA" w:rsidRDefault="001B68EB">
      <w:pPr>
        <w:spacing w:before="99"/>
        <w:ind w:left="813" w:right="636"/>
        <w:jc w:val="center"/>
        <w:rPr>
          <w:b/>
          <w:sz w:val="20"/>
        </w:rPr>
      </w:pPr>
      <w:r>
        <w:rPr>
          <w:b/>
          <w:sz w:val="20"/>
        </w:rPr>
        <w:t>SENTENCIA DE 15 DE JULIO DE 2020</w:t>
      </w:r>
    </w:p>
    <w:p w14:paraId="41B15711" w14:textId="77777777" w:rsidR="00467FCA" w:rsidRDefault="001B68EB">
      <w:pPr>
        <w:spacing w:before="38"/>
        <w:ind w:left="812" w:right="636"/>
        <w:jc w:val="center"/>
        <w:rPr>
          <w:b/>
          <w:sz w:val="20"/>
        </w:rPr>
      </w:pPr>
      <w:r>
        <w:rPr>
          <w:b/>
          <w:sz w:val="20"/>
        </w:rPr>
        <w:t>(Excepciones Preliminares, Fondo, Reparaciones y Costas)</w:t>
      </w:r>
    </w:p>
    <w:p w14:paraId="4B65EBA9" w14:textId="77777777" w:rsidR="00467FCA" w:rsidRDefault="00467FCA">
      <w:pPr>
        <w:pStyle w:val="Textoindependiente"/>
        <w:rPr>
          <w:b/>
          <w:sz w:val="24"/>
        </w:rPr>
      </w:pPr>
    </w:p>
    <w:p w14:paraId="200E8CFC" w14:textId="77777777" w:rsidR="00467FCA" w:rsidRDefault="00467FCA">
      <w:pPr>
        <w:pStyle w:val="Textoindependiente"/>
        <w:spacing w:before="11"/>
        <w:rPr>
          <w:b/>
          <w:sz w:val="24"/>
        </w:rPr>
      </w:pPr>
    </w:p>
    <w:p w14:paraId="69436A2C" w14:textId="77777777" w:rsidR="00467FCA" w:rsidRDefault="001B68EB">
      <w:pPr>
        <w:pStyle w:val="Prrafodelista"/>
        <w:numPr>
          <w:ilvl w:val="1"/>
          <w:numId w:val="10"/>
        </w:numPr>
        <w:tabs>
          <w:tab w:val="left" w:pos="1308"/>
        </w:tabs>
        <w:spacing w:line="276" w:lineRule="auto"/>
        <w:ind w:right="556" w:firstLine="0"/>
        <w:jc w:val="both"/>
        <w:rPr>
          <w:sz w:val="20"/>
        </w:rPr>
      </w:pPr>
      <w:r>
        <w:rPr>
          <w:sz w:val="20"/>
        </w:rPr>
        <w:t>Con</w:t>
      </w:r>
      <w:r>
        <w:rPr>
          <w:spacing w:val="-13"/>
          <w:sz w:val="20"/>
        </w:rPr>
        <w:t xml:space="preserve"> </w:t>
      </w:r>
      <w:r>
        <w:rPr>
          <w:sz w:val="20"/>
        </w:rPr>
        <w:t>el</w:t>
      </w:r>
      <w:r>
        <w:rPr>
          <w:spacing w:val="-10"/>
          <w:sz w:val="20"/>
        </w:rPr>
        <w:t xml:space="preserve"> </w:t>
      </w:r>
      <w:r>
        <w:rPr>
          <w:sz w:val="20"/>
        </w:rPr>
        <w:t>reiterado</w:t>
      </w:r>
      <w:r>
        <w:rPr>
          <w:spacing w:val="-12"/>
          <w:sz w:val="20"/>
        </w:rPr>
        <w:t xml:space="preserve"> </w:t>
      </w:r>
      <w:r>
        <w:rPr>
          <w:sz w:val="20"/>
        </w:rPr>
        <w:t>respeto</w:t>
      </w:r>
      <w:r>
        <w:rPr>
          <w:spacing w:val="-11"/>
          <w:sz w:val="20"/>
        </w:rPr>
        <w:t xml:space="preserve"> </w:t>
      </w:r>
      <w:r>
        <w:rPr>
          <w:sz w:val="20"/>
        </w:rPr>
        <w:t>por</w:t>
      </w:r>
      <w:r>
        <w:rPr>
          <w:spacing w:val="-12"/>
          <w:sz w:val="20"/>
        </w:rPr>
        <w:t xml:space="preserve"> </w:t>
      </w:r>
      <w:r>
        <w:rPr>
          <w:sz w:val="20"/>
        </w:rPr>
        <w:t>las</w:t>
      </w:r>
      <w:r>
        <w:rPr>
          <w:spacing w:val="-13"/>
          <w:sz w:val="20"/>
        </w:rPr>
        <w:t xml:space="preserve"> </w:t>
      </w:r>
      <w:r>
        <w:rPr>
          <w:sz w:val="20"/>
        </w:rPr>
        <w:t>decisiones</w:t>
      </w:r>
      <w:r>
        <w:rPr>
          <w:spacing w:val="-13"/>
          <w:sz w:val="20"/>
        </w:rPr>
        <w:t xml:space="preserve"> </w:t>
      </w:r>
      <w:r>
        <w:rPr>
          <w:sz w:val="20"/>
        </w:rPr>
        <w:t>de</w:t>
      </w:r>
      <w:r>
        <w:rPr>
          <w:spacing w:val="-12"/>
          <w:sz w:val="20"/>
        </w:rPr>
        <w:t xml:space="preserve"> </w:t>
      </w:r>
      <w:r>
        <w:rPr>
          <w:sz w:val="20"/>
        </w:rPr>
        <w:t>la</w:t>
      </w:r>
      <w:r>
        <w:rPr>
          <w:spacing w:val="-10"/>
          <w:sz w:val="20"/>
        </w:rPr>
        <w:t xml:space="preserve"> </w:t>
      </w:r>
      <w:r>
        <w:rPr>
          <w:sz w:val="20"/>
        </w:rPr>
        <w:t>Corte</w:t>
      </w:r>
      <w:r>
        <w:rPr>
          <w:spacing w:val="-14"/>
          <w:sz w:val="20"/>
        </w:rPr>
        <w:t xml:space="preserve"> </w:t>
      </w:r>
      <w:r>
        <w:rPr>
          <w:sz w:val="20"/>
        </w:rPr>
        <w:t>Interamericana</w:t>
      </w:r>
      <w:r>
        <w:rPr>
          <w:spacing w:val="-13"/>
          <w:sz w:val="20"/>
        </w:rPr>
        <w:t xml:space="preserve"> </w:t>
      </w:r>
      <w:r>
        <w:rPr>
          <w:sz w:val="20"/>
        </w:rPr>
        <w:t>de</w:t>
      </w:r>
      <w:r>
        <w:rPr>
          <w:spacing w:val="-11"/>
          <w:sz w:val="20"/>
        </w:rPr>
        <w:t xml:space="preserve"> </w:t>
      </w:r>
      <w:r>
        <w:rPr>
          <w:sz w:val="20"/>
        </w:rPr>
        <w:t>Derechos Humanos (en adelante, “la Corte” o “el Tribunal”), y aunque comparto la mayor parte de las consideraciones que res</w:t>
      </w:r>
      <w:r>
        <w:rPr>
          <w:sz w:val="20"/>
        </w:rPr>
        <w:t xml:space="preserve">paldan la Sentencia adoptada, me permito formular el presente voto parcialmente disidente. Este voto (i) presenta las razones que sustentan mi desacuerdo con la decisión adoptada por la mayoría respecto de la excepción preliminar </w:t>
      </w:r>
      <w:r>
        <w:rPr>
          <w:i/>
          <w:sz w:val="20"/>
        </w:rPr>
        <w:t>ratione materiae</w:t>
      </w:r>
      <w:hyperlink w:anchor="_bookmark659" w:history="1">
        <w:r>
          <w:rPr>
            <w:position w:val="7"/>
            <w:sz w:val="13"/>
          </w:rPr>
          <w:t>1</w:t>
        </w:r>
      </w:hyperlink>
      <w:r>
        <w:rPr>
          <w:i/>
          <w:sz w:val="20"/>
        </w:rPr>
        <w:t xml:space="preserve">, </w:t>
      </w:r>
      <w:r>
        <w:rPr>
          <w:sz w:val="20"/>
        </w:rPr>
        <w:t>y (ii) mis observaciones en relación con el análisis hecho al atribuir responsabilidad internacional al Estado por la violación del derecho a condiciones</w:t>
      </w:r>
      <w:r>
        <w:rPr>
          <w:spacing w:val="-11"/>
          <w:sz w:val="20"/>
        </w:rPr>
        <w:t xml:space="preserve"> </w:t>
      </w:r>
      <w:r>
        <w:rPr>
          <w:sz w:val="20"/>
        </w:rPr>
        <w:t>equitativas</w:t>
      </w:r>
      <w:r>
        <w:rPr>
          <w:spacing w:val="-10"/>
          <w:sz w:val="20"/>
        </w:rPr>
        <w:t xml:space="preserve"> </w:t>
      </w:r>
      <w:r>
        <w:rPr>
          <w:sz w:val="20"/>
        </w:rPr>
        <w:t>y</w:t>
      </w:r>
      <w:r>
        <w:rPr>
          <w:spacing w:val="-12"/>
          <w:sz w:val="20"/>
        </w:rPr>
        <w:t xml:space="preserve"> </w:t>
      </w:r>
      <w:r>
        <w:rPr>
          <w:sz w:val="20"/>
        </w:rPr>
        <w:t>satisfactorias</w:t>
      </w:r>
      <w:r>
        <w:rPr>
          <w:spacing w:val="-11"/>
          <w:sz w:val="20"/>
        </w:rPr>
        <w:t xml:space="preserve"> </w:t>
      </w:r>
      <w:r>
        <w:rPr>
          <w:sz w:val="20"/>
        </w:rPr>
        <w:t>que</w:t>
      </w:r>
      <w:r>
        <w:rPr>
          <w:spacing w:val="-10"/>
          <w:sz w:val="20"/>
        </w:rPr>
        <w:t xml:space="preserve"> </w:t>
      </w:r>
      <w:r>
        <w:rPr>
          <w:sz w:val="20"/>
        </w:rPr>
        <w:t>garanticen</w:t>
      </w:r>
      <w:r>
        <w:rPr>
          <w:spacing w:val="-11"/>
          <w:sz w:val="20"/>
        </w:rPr>
        <w:t xml:space="preserve"> </w:t>
      </w:r>
      <w:r>
        <w:rPr>
          <w:sz w:val="20"/>
        </w:rPr>
        <w:t>la</w:t>
      </w:r>
      <w:r>
        <w:rPr>
          <w:spacing w:val="-11"/>
          <w:sz w:val="20"/>
        </w:rPr>
        <w:t xml:space="preserve"> </w:t>
      </w:r>
      <w:r>
        <w:rPr>
          <w:sz w:val="20"/>
        </w:rPr>
        <w:t>seguridad,</w:t>
      </w:r>
      <w:r>
        <w:rPr>
          <w:spacing w:val="-11"/>
          <w:sz w:val="20"/>
        </w:rPr>
        <w:t xml:space="preserve"> </w:t>
      </w:r>
      <w:r>
        <w:rPr>
          <w:sz w:val="20"/>
        </w:rPr>
        <w:t>la</w:t>
      </w:r>
      <w:r>
        <w:rPr>
          <w:spacing w:val="-11"/>
          <w:sz w:val="20"/>
        </w:rPr>
        <w:t xml:space="preserve"> </w:t>
      </w:r>
      <w:r>
        <w:rPr>
          <w:sz w:val="20"/>
        </w:rPr>
        <w:t>salud</w:t>
      </w:r>
      <w:r>
        <w:rPr>
          <w:spacing w:val="-11"/>
          <w:sz w:val="20"/>
        </w:rPr>
        <w:t xml:space="preserve"> </w:t>
      </w:r>
      <w:r>
        <w:rPr>
          <w:sz w:val="20"/>
        </w:rPr>
        <w:t>y</w:t>
      </w:r>
      <w:r>
        <w:rPr>
          <w:spacing w:val="-12"/>
          <w:sz w:val="20"/>
        </w:rPr>
        <w:t xml:space="preserve"> </w:t>
      </w:r>
      <w:r>
        <w:rPr>
          <w:sz w:val="20"/>
        </w:rPr>
        <w:t>la</w:t>
      </w:r>
      <w:r>
        <w:rPr>
          <w:spacing w:val="-11"/>
          <w:sz w:val="20"/>
        </w:rPr>
        <w:t xml:space="preserve"> </w:t>
      </w:r>
      <w:r>
        <w:rPr>
          <w:sz w:val="20"/>
        </w:rPr>
        <w:t>higie</w:t>
      </w:r>
      <w:r>
        <w:rPr>
          <w:sz w:val="20"/>
        </w:rPr>
        <w:t>ne en el</w:t>
      </w:r>
      <w:r>
        <w:rPr>
          <w:spacing w:val="-1"/>
          <w:sz w:val="20"/>
        </w:rPr>
        <w:t xml:space="preserve"> </w:t>
      </w:r>
      <w:r>
        <w:rPr>
          <w:sz w:val="20"/>
        </w:rPr>
        <w:t>trabajo</w:t>
      </w:r>
      <w:hyperlink w:anchor="_bookmark660" w:history="1">
        <w:r>
          <w:rPr>
            <w:position w:val="7"/>
            <w:sz w:val="13"/>
          </w:rPr>
          <w:t>2</w:t>
        </w:r>
      </w:hyperlink>
      <w:r>
        <w:rPr>
          <w:sz w:val="20"/>
        </w:rPr>
        <w:t>.</w:t>
      </w:r>
    </w:p>
    <w:p w14:paraId="5A4D16E3" w14:textId="77777777" w:rsidR="00467FCA" w:rsidRDefault="00467FCA">
      <w:pPr>
        <w:pStyle w:val="Textoindependiente"/>
        <w:spacing w:before="1"/>
        <w:rPr>
          <w:sz w:val="23"/>
        </w:rPr>
      </w:pPr>
    </w:p>
    <w:p w14:paraId="5A73FACC" w14:textId="77777777" w:rsidR="00467FCA" w:rsidRDefault="001B68EB">
      <w:pPr>
        <w:pStyle w:val="Prrafodelista"/>
        <w:numPr>
          <w:ilvl w:val="1"/>
          <w:numId w:val="10"/>
        </w:numPr>
        <w:tabs>
          <w:tab w:val="left" w:pos="1309"/>
        </w:tabs>
        <w:spacing w:line="276" w:lineRule="auto"/>
        <w:ind w:right="556" w:firstLine="0"/>
        <w:jc w:val="both"/>
        <w:rPr>
          <w:sz w:val="20"/>
        </w:rPr>
      </w:pPr>
      <w:r>
        <w:rPr>
          <w:sz w:val="20"/>
        </w:rPr>
        <w:t>Estas</w:t>
      </w:r>
      <w:r>
        <w:rPr>
          <w:spacing w:val="-20"/>
          <w:sz w:val="20"/>
        </w:rPr>
        <w:t xml:space="preserve"> </w:t>
      </w:r>
      <w:r>
        <w:rPr>
          <w:sz w:val="20"/>
        </w:rPr>
        <w:t>reflexiones</w:t>
      </w:r>
      <w:r>
        <w:rPr>
          <w:spacing w:val="-20"/>
          <w:sz w:val="20"/>
        </w:rPr>
        <w:t xml:space="preserve"> </w:t>
      </w:r>
      <w:r>
        <w:rPr>
          <w:sz w:val="20"/>
        </w:rPr>
        <w:t>complementan</w:t>
      </w:r>
      <w:r>
        <w:rPr>
          <w:spacing w:val="-21"/>
          <w:sz w:val="20"/>
        </w:rPr>
        <w:t xml:space="preserve"> </w:t>
      </w:r>
      <w:r>
        <w:rPr>
          <w:sz w:val="20"/>
        </w:rPr>
        <w:t>lo</w:t>
      </w:r>
      <w:r>
        <w:rPr>
          <w:spacing w:val="-18"/>
          <w:sz w:val="20"/>
        </w:rPr>
        <w:t xml:space="preserve"> </w:t>
      </w:r>
      <w:r>
        <w:rPr>
          <w:sz w:val="20"/>
        </w:rPr>
        <w:t>expresado</w:t>
      </w:r>
      <w:r>
        <w:rPr>
          <w:spacing w:val="-18"/>
          <w:sz w:val="20"/>
        </w:rPr>
        <w:t xml:space="preserve"> </w:t>
      </w:r>
      <w:r>
        <w:rPr>
          <w:sz w:val="20"/>
        </w:rPr>
        <w:t>en</w:t>
      </w:r>
      <w:r>
        <w:rPr>
          <w:spacing w:val="-18"/>
          <w:sz w:val="20"/>
        </w:rPr>
        <w:t xml:space="preserve"> </w:t>
      </w:r>
      <w:r>
        <w:rPr>
          <w:sz w:val="20"/>
        </w:rPr>
        <w:t>mis</w:t>
      </w:r>
      <w:r>
        <w:rPr>
          <w:spacing w:val="-22"/>
          <w:sz w:val="20"/>
        </w:rPr>
        <w:t xml:space="preserve"> </w:t>
      </w:r>
      <w:r>
        <w:rPr>
          <w:sz w:val="20"/>
        </w:rPr>
        <w:t>votos</w:t>
      </w:r>
      <w:r>
        <w:rPr>
          <w:spacing w:val="-20"/>
          <w:sz w:val="20"/>
        </w:rPr>
        <w:t xml:space="preserve"> </w:t>
      </w:r>
      <w:r>
        <w:rPr>
          <w:sz w:val="20"/>
        </w:rPr>
        <w:t>parcialmente</w:t>
      </w:r>
      <w:r>
        <w:rPr>
          <w:spacing w:val="-18"/>
          <w:sz w:val="20"/>
        </w:rPr>
        <w:t xml:space="preserve"> </w:t>
      </w:r>
      <w:r>
        <w:rPr>
          <w:sz w:val="20"/>
        </w:rPr>
        <w:t>disidentes en</w:t>
      </w:r>
      <w:r>
        <w:rPr>
          <w:spacing w:val="-6"/>
          <w:sz w:val="20"/>
        </w:rPr>
        <w:t xml:space="preserve"> </w:t>
      </w:r>
      <w:r>
        <w:rPr>
          <w:sz w:val="20"/>
        </w:rPr>
        <w:t>los</w:t>
      </w:r>
      <w:r>
        <w:rPr>
          <w:spacing w:val="-5"/>
          <w:sz w:val="20"/>
        </w:rPr>
        <w:t xml:space="preserve"> </w:t>
      </w:r>
      <w:r>
        <w:rPr>
          <w:sz w:val="20"/>
        </w:rPr>
        <w:t>casos</w:t>
      </w:r>
      <w:r>
        <w:rPr>
          <w:spacing w:val="-5"/>
          <w:sz w:val="20"/>
        </w:rPr>
        <w:t xml:space="preserve"> </w:t>
      </w:r>
      <w:r>
        <w:rPr>
          <w:sz w:val="20"/>
        </w:rPr>
        <w:t>Lagos</w:t>
      </w:r>
      <w:r>
        <w:rPr>
          <w:spacing w:val="-8"/>
          <w:sz w:val="20"/>
        </w:rPr>
        <w:t xml:space="preserve"> </w:t>
      </w:r>
      <w:r>
        <w:rPr>
          <w:sz w:val="20"/>
        </w:rPr>
        <w:t>del</w:t>
      </w:r>
      <w:r>
        <w:rPr>
          <w:spacing w:val="-4"/>
          <w:sz w:val="20"/>
        </w:rPr>
        <w:t xml:space="preserve"> </w:t>
      </w:r>
      <w:r>
        <w:rPr>
          <w:sz w:val="20"/>
        </w:rPr>
        <w:t>Campo</w:t>
      </w:r>
      <w:r>
        <w:rPr>
          <w:spacing w:val="-8"/>
          <w:sz w:val="20"/>
        </w:rPr>
        <w:t xml:space="preserve"> </w:t>
      </w:r>
      <w:r>
        <w:rPr>
          <w:sz w:val="20"/>
        </w:rPr>
        <w:t>Vs.</w:t>
      </w:r>
      <w:r>
        <w:rPr>
          <w:spacing w:val="-4"/>
          <w:sz w:val="20"/>
        </w:rPr>
        <w:t xml:space="preserve"> </w:t>
      </w:r>
      <w:r>
        <w:rPr>
          <w:sz w:val="20"/>
        </w:rPr>
        <w:t>Perú</w:t>
      </w:r>
      <w:hyperlink w:anchor="_bookmark661" w:history="1">
        <w:r>
          <w:rPr>
            <w:position w:val="7"/>
            <w:sz w:val="13"/>
          </w:rPr>
          <w:t>3</w:t>
        </w:r>
      </w:hyperlink>
      <w:r>
        <w:rPr>
          <w:sz w:val="20"/>
        </w:rPr>
        <w:t>,</w:t>
      </w:r>
      <w:r>
        <w:rPr>
          <w:spacing w:val="-5"/>
          <w:sz w:val="20"/>
        </w:rPr>
        <w:t xml:space="preserve"> </w:t>
      </w:r>
      <w:r>
        <w:rPr>
          <w:sz w:val="20"/>
        </w:rPr>
        <w:t>Trabajadores</w:t>
      </w:r>
      <w:r>
        <w:rPr>
          <w:spacing w:val="-5"/>
          <w:sz w:val="20"/>
        </w:rPr>
        <w:t xml:space="preserve"> </w:t>
      </w:r>
      <w:r>
        <w:rPr>
          <w:sz w:val="20"/>
        </w:rPr>
        <w:t>Cesados</w:t>
      </w:r>
      <w:r>
        <w:rPr>
          <w:spacing w:val="-5"/>
          <w:sz w:val="20"/>
        </w:rPr>
        <w:t xml:space="preserve"> </w:t>
      </w:r>
      <w:r>
        <w:rPr>
          <w:sz w:val="20"/>
        </w:rPr>
        <w:t>de</w:t>
      </w:r>
      <w:r>
        <w:rPr>
          <w:spacing w:val="-6"/>
          <w:sz w:val="20"/>
        </w:rPr>
        <w:t xml:space="preserve"> </w:t>
      </w:r>
      <w:r>
        <w:rPr>
          <w:sz w:val="20"/>
        </w:rPr>
        <w:t>Petroperú</w:t>
      </w:r>
      <w:r>
        <w:rPr>
          <w:spacing w:val="-3"/>
          <w:sz w:val="20"/>
        </w:rPr>
        <w:t xml:space="preserve"> </w:t>
      </w:r>
      <w:r>
        <w:rPr>
          <w:sz w:val="20"/>
        </w:rPr>
        <w:t>y</w:t>
      </w:r>
      <w:r>
        <w:rPr>
          <w:spacing w:val="-5"/>
          <w:sz w:val="20"/>
        </w:rPr>
        <w:t xml:space="preserve"> </w:t>
      </w:r>
      <w:r>
        <w:rPr>
          <w:sz w:val="20"/>
        </w:rPr>
        <w:t>otros</w:t>
      </w:r>
      <w:r>
        <w:rPr>
          <w:spacing w:val="-7"/>
          <w:sz w:val="20"/>
        </w:rPr>
        <w:t xml:space="preserve"> </w:t>
      </w:r>
      <w:r>
        <w:rPr>
          <w:sz w:val="20"/>
        </w:rPr>
        <w:t>Vs. Perú</w:t>
      </w:r>
      <w:hyperlink w:anchor="_bookmark662" w:history="1">
        <w:r>
          <w:rPr>
            <w:position w:val="7"/>
            <w:sz w:val="13"/>
          </w:rPr>
          <w:t>4</w:t>
        </w:r>
      </w:hyperlink>
      <w:r>
        <w:rPr>
          <w:sz w:val="20"/>
        </w:rPr>
        <w:t>, San Miguel Sosa y otras Vs. Venezuela</w:t>
      </w:r>
      <w:hyperlink w:anchor="_bookmark663" w:history="1">
        <w:r>
          <w:rPr>
            <w:position w:val="7"/>
            <w:sz w:val="13"/>
          </w:rPr>
          <w:t>5</w:t>
        </w:r>
      </w:hyperlink>
      <w:r>
        <w:rPr>
          <w:sz w:val="20"/>
        </w:rPr>
        <w:t>, Cuscul Pivaral y otros Vs. Guatemala</w:t>
      </w:r>
      <w:hyperlink w:anchor="_bookmark664" w:history="1">
        <w:r>
          <w:rPr>
            <w:position w:val="7"/>
            <w:sz w:val="13"/>
          </w:rPr>
          <w:t>6</w:t>
        </w:r>
      </w:hyperlink>
      <w:r>
        <w:rPr>
          <w:sz w:val="20"/>
        </w:rPr>
        <w:t xml:space="preserve">, Muelle Flores Vs. </w:t>
      </w:r>
      <w:r>
        <w:rPr>
          <w:spacing w:val="2"/>
          <w:sz w:val="20"/>
        </w:rPr>
        <w:t>Perú</w:t>
      </w:r>
      <w:hyperlink w:anchor="_bookmark665" w:history="1">
        <w:r>
          <w:rPr>
            <w:spacing w:val="2"/>
            <w:position w:val="7"/>
            <w:sz w:val="13"/>
          </w:rPr>
          <w:t>7</w:t>
        </w:r>
      </w:hyperlink>
      <w:r>
        <w:rPr>
          <w:spacing w:val="2"/>
          <w:sz w:val="20"/>
        </w:rPr>
        <w:t xml:space="preserve">, </w:t>
      </w:r>
      <w:r>
        <w:rPr>
          <w:sz w:val="20"/>
        </w:rPr>
        <w:t>Asociación Nacional de Cesantes y Jubilados de la Superintendencia</w:t>
      </w:r>
      <w:r>
        <w:rPr>
          <w:spacing w:val="29"/>
          <w:sz w:val="20"/>
        </w:rPr>
        <w:t xml:space="preserve"> </w:t>
      </w:r>
      <w:r>
        <w:rPr>
          <w:sz w:val="20"/>
        </w:rPr>
        <w:t>Nacional</w:t>
      </w:r>
      <w:r>
        <w:rPr>
          <w:spacing w:val="26"/>
          <w:sz w:val="20"/>
        </w:rPr>
        <w:t xml:space="preserve"> </w:t>
      </w:r>
      <w:r>
        <w:rPr>
          <w:sz w:val="20"/>
        </w:rPr>
        <w:t>de</w:t>
      </w:r>
      <w:r>
        <w:rPr>
          <w:spacing w:val="26"/>
          <w:sz w:val="20"/>
        </w:rPr>
        <w:t xml:space="preserve"> </w:t>
      </w:r>
      <w:r>
        <w:rPr>
          <w:sz w:val="20"/>
        </w:rPr>
        <w:t>Administración</w:t>
      </w:r>
      <w:r>
        <w:rPr>
          <w:spacing w:val="30"/>
          <w:sz w:val="20"/>
        </w:rPr>
        <w:t xml:space="preserve"> </w:t>
      </w:r>
      <w:r>
        <w:rPr>
          <w:sz w:val="20"/>
        </w:rPr>
        <w:t>Tributaria</w:t>
      </w:r>
      <w:r>
        <w:rPr>
          <w:spacing w:val="26"/>
          <w:sz w:val="20"/>
        </w:rPr>
        <w:t xml:space="preserve"> </w:t>
      </w:r>
      <w:r>
        <w:rPr>
          <w:sz w:val="20"/>
        </w:rPr>
        <w:t>(ANCEJUB-SUNAT)</w:t>
      </w:r>
      <w:r>
        <w:rPr>
          <w:spacing w:val="28"/>
          <w:sz w:val="20"/>
        </w:rPr>
        <w:t xml:space="preserve"> </w:t>
      </w:r>
      <w:r>
        <w:rPr>
          <w:sz w:val="20"/>
        </w:rPr>
        <w:t>Vs.</w:t>
      </w:r>
      <w:r>
        <w:rPr>
          <w:spacing w:val="26"/>
          <w:sz w:val="20"/>
        </w:rPr>
        <w:t xml:space="preserve"> </w:t>
      </w:r>
      <w:r>
        <w:rPr>
          <w:sz w:val="20"/>
        </w:rPr>
        <w:t>Perú</w:t>
      </w:r>
      <w:hyperlink w:anchor="_bookmark666" w:history="1">
        <w:r>
          <w:rPr>
            <w:position w:val="7"/>
            <w:sz w:val="13"/>
          </w:rPr>
          <w:t>8</w:t>
        </w:r>
      </w:hyperlink>
      <w:r>
        <w:rPr>
          <w:sz w:val="20"/>
        </w:rPr>
        <w:t>,</w:t>
      </w:r>
    </w:p>
    <w:p w14:paraId="2E695960" w14:textId="77777777" w:rsidR="00467FCA" w:rsidRDefault="00467FCA">
      <w:pPr>
        <w:pStyle w:val="Textoindependiente"/>
      </w:pPr>
    </w:p>
    <w:p w14:paraId="1A96759E" w14:textId="77777777" w:rsidR="00467FCA" w:rsidRDefault="00467FCA">
      <w:pPr>
        <w:pStyle w:val="Textoindependiente"/>
      </w:pPr>
    </w:p>
    <w:p w14:paraId="192AFBA7" w14:textId="77777777" w:rsidR="00467FCA" w:rsidRDefault="001B68EB">
      <w:pPr>
        <w:pStyle w:val="Textoindependiente"/>
        <w:spacing w:before="8"/>
        <w:rPr>
          <w:sz w:val="16"/>
        </w:rPr>
      </w:pPr>
      <w:r>
        <w:pict w14:anchorId="06572587">
          <v:shape id="_x0000_s1076" style="position:absolute;margin-left:85.1pt;margin-top:12.4pt;width:2in;height:.1pt;z-index:-251535360;mso-wrap-distance-left:0;mso-wrap-distance-right:0;mso-position-horizontal-relative:page" coordorigin="1702,248" coordsize="2880,0" path="m1702,248r2880,e" filled="f" strokeweight=".21131mm">
            <v:path arrowok="t"/>
            <w10:wrap type="topAndBottom" anchorx="page"/>
          </v:shape>
        </w:pict>
      </w:r>
    </w:p>
    <w:p w14:paraId="2104F390" w14:textId="77777777" w:rsidR="00467FCA" w:rsidRDefault="001B68EB">
      <w:pPr>
        <w:tabs>
          <w:tab w:val="left" w:pos="1307"/>
        </w:tabs>
        <w:spacing w:before="67"/>
        <w:ind w:left="741"/>
        <w:jc w:val="both"/>
        <w:rPr>
          <w:sz w:val="16"/>
        </w:rPr>
      </w:pPr>
      <w:bookmarkStart w:id="739" w:name="_bookmark659"/>
      <w:bookmarkEnd w:id="739"/>
      <w:r>
        <w:rPr>
          <w:position w:val="6"/>
          <w:sz w:val="10"/>
        </w:rPr>
        <w:t>1</w:t>
      </w:r>
      <w:r>
        <w:rPr>
          <w:position w:val="6"/>
          <w:sz w:val="10"/>
        </w:rPr>
        <w:tab/>
      </w:r>
      <w:r>
        <w:rPr>
          <w:sz w:val="16"/>
        </w:rPr>
        <w:t>Párrafo 23 de la</w:t>
      </w:r>
      <w:r>
        <w:rPr>
          <w:spacing w:val="-4"/>
          <w:sz w:val="16"/>
        </w:rPr>
        <w:t xml:space="preserve"> </w:t>
      </w:r>
      <w:r>
        <w:rPr>
          <w:sz w:val="16"/>
        </w:rPr>
        <w:t>Sentencia.</w:t>
      </w:r>
    </w:p>
    <w:p w14:paraId="56009023" w14:textId="77777777" w:rsidR="00467FCA" w:rsidRDefault="001B68EB">
      <w:pPr>
        <w:tabs>
          <w:tab w:val="left" w:pos="1307"/>
        </w:tabs>
        <w:spacing w:before="79"/>
        <w:ind w:left="741"/>
        <w:jc w:val="both"/>
        <w:rPr>
          <w:sz w:val="16"/>
        </w:rPr>
      </w:pPr>
      <w:bookmarkStart w:id="740" w:name="_bookmark660"/>
      <w:bookmarkEnd w:id="740"/>
      <w:r>
        <w:rPr>
          <w:position w:val="6"/>
          <w:sz w:val="10"/>
        </w:rPr>
        <w:t>2</w:t>
      </w:r>
      <w:r>
        <w:rPr>
          <w:position w:val="6"/>
          <w:sz w:val="10"/>
        </w:rPr>
        <w:tab/>
      </w:r>
      <w:r>
        <w:rPr>
          <w:sz w:val="16"/>
        </w:rPr>
        <w:t>Párrafos 153 a 176 de l</w:t>
      </w:r>
      <w:r>
        <w:rPr>
          <w:sz w:val="16"/>
        </w:rPr>
        <w:t>a</w:t>
      </w:r>
      <w:r>
        <w:rPr>
          <w:spacing w:val="-6"/>
          <w:sz w:val="16"/>
        </w:rPr>
        <w:t xml:space="preserve"> </w:t>
      </w:r>
      <w:r>
        <w:rPr>
          <w:sz w:val="16"/>
        </w:rPr>
        <w:t>Sentencia.</w:t>
      </w:r>
    </w:p>
    <w:p w14:paraId="6EA66AB9" w14:textId="77777777" w:rsidR="00467FCA" w:rsidRDefault="001B68EB">
      <w:pPr>
        <w:tabs>
          <w:tab w:val="left" w:pos="1307"/>
        </w:tabs>
        <w:spacing w:before="81"/>
        <w:ind w:left="741" w:right="553"/>
        <w:jc w:val="both"/>
        <w:rPr>
          <w:sz w:val="16"/>
        </w:rPr>
      </w:pPr>
      <w:bookmarkStart w:id="741" w:name="_bookmark661"/>
      <w:bookmarkEnd w:id="741"/>
      <w:r>
        <w:rPr>
          <w:position w:val="6"/>
          <w:sz w:val="10"/>
        </w:rPr>
        <w:t>3</w:t>
      </w:r>
      <w:r>
        <w:rPr>
          <w:position w:val="6"/>
          <w:sz w:val="10"/>
        </w:rPr>
        <w:tab/>
      </w:r>
      <w:r>
        <w:rPr>
          <w:i/>
          <w:sz w:val="16"/>
        </w:rPr>
        <w:t xml:space="preserve">Cfr. Caso Lagos del Campo Vs. Perú. Excepciones Preliminares, Fondo, Reparaciones y Costas. </w:t>
      </w:r>
      <w:r>
        <w:rPr>
          <w:sz w:val="16"/>
        </w:rPr>
        <w:t>Sentencia de 31 de agosto de 2017. Serie C No. 340. Voto parcialmente disidente del Juez Humberto Antonio Sierra</w:t>
      </w:r>
      <w:r>
        <w:rPr>
          <w:spacing w:val="-1"/>
          <w:sz w:val="16"/>
        </w:rPr>
        <w:t xml:space="preserve"> </w:t>
      </w:r>
      <w:r>
        <w:rPr>
          <w:sz w:val="16"/>
        </w:rPr>
        <w:t>Porto.</w:t>
      </w:r>
    </w:p>
    <w:p w14:paraId="01593D83" w14:textId="77777777" w:rsidR="00467FCA" w:rsidRDefault="001B68EB">
      <w:pPr>
        <w:tabs>
          <w:tab w:val="left" w:pos="1307"/>
        </w:tabs>
        <w:spacing w:before="79"/>
        <w:ind w:left="741" w:right="554"/>
        <w:jc w:val="both"/>
        <w:rPr>
          <w:sz w:val="16"/>
        </w:rPr>
      </w:pPr>
      <w:bookmarkStart w:id="742" w:name="_bookmark662"/>
      <w:bookmarkEnd w:id="742"/>
      <w:r>
        <w:rPr>
          <w:position w:val="6"/>
          <w:sz w:val="10"/>
        </w:rPr>
        <w:t>4</w:t>
      </w:r>
      <w:r>
        <w:rPr>
          <w:position w:val="6"/>
          <w:sz w:val="10"/>
        </w:rPr>
        <w:tab/>
      </w:r>
      <w:r>
        <w:rPr>
          <w:i/>
          <w:sz w:val="16"/>
        </w:rPr>
        <w:t>Cfr. Caso Trabajadores Cesa</w:t>
      </w:r>
      <w:r>
        <w:rPr>
          <w:i/>
          <w:sz w:val="16"/>
        </w:rPr>
        <w:t xml:space="preserve">dos de Petroperú y otros Vs. Perú. Excepciones Preliminares, Fondo, Reparaciones y Costas. </w:t>
      </w:r>
      <w:r>
        <w:rPr>
          <w:sz w:val="16"/>
        </w:rPr>
        <w:t>Sentencia de 23 de noviembre de 2017. Serie C No. 344</w:t>
      </w:r>
      <w:r>
        <w:rPr>
          <w:i/>
          <w:sz w:val="16"/>
        </w:rPr>
        <w:t xml:space="preserve">. </w:t>
      </w:r>
      <w:r>
        <w:rPr>
          <w:sz w:val="16"/>
        </w:rPr>
        <w:t>Voto parcialmente disidente del Juez Humberto Antonio Sierra</w:t>
      </w:r>
      <w:r>
        <w:rPr>
          <w:spacing w:val="-5"/>
          <w:sz w:val="16"/>
        </w:rPr>
        <w:t xml:space="preserve"> </w:t>
      </w:r>
      <w:r>
        <w:rPr>
          <w:sz w:val="16"/>
        </w:rPr>
        <w:t>Porto.</w:t>
      </w:r>
    </w:p>
    <w:p w14:paraId="57997945" w14:textId="77777777" w:rsidR="00467FCA" w:rsidRDefault="001B68EB">
      <w:pPr>
        <w:tabs>
          <w:tab w:val="left" w:pos="1307"/>
        </w:tabs>
        <w:spacing w:before="82"/>
        <w:ind w:left="741" w:right="554"/>
        <w:jc w:val="both"/>
        <w:rPr>
          <w:sz w:val="16"/>
        </w:rPr>
      </w:pPr>
      <w:bookmarkStart w:id="743" w:name="_bookmark663"/>
      <w:bookmarkEnd w:id="743"/>
      <w:r>
        <w:rPr>
          <w:position w:val="6"/>
          <w:sz w:val="10"/>
        </w:rPr>
        <w:t>5</w:t>
      </w:r>
      <w:r>
        <w:rPr>
          <w:position w:val="6"/>
          <w:sz w:val="10"/>
        </w:rPr>
        <w:tab/>
      </w:r>
      <w:r>
        <w:rPr>
          <w:i/>
          <w:sz w:val="16"/>
        </w:rPr>
        <w:t xml:space="preserve">Cfr. Caso San Miguel Sosa y otras Vs. Venezuela. Fondo, Reparaciones y Costas. </w:t>
      </w:r>
      <w:r>
        <w:rPr>
          <w:sz w:val="16"/>
        </w:rPr>
        <w:t>Sentencia de 8 de febrero de 2018. Serie C No. 348. Voto parcialmente disidente del Juez Humberto Antonio Sierra</w:t>
      </w:r>
      <w:r>
        <w:rPr>
          <w:spacing w:val="-28"/>
          <w:sz w:val="16"/>
        </w:rPr>
        <w:t xml:space="preserve"> </w:t>
      </w:r>
      <w:r>
        <w:rPr>
          <w:sz w:val="16"/>
        </w:rPr>
        <w:t>Porto.</w:t>
      </w:r>
    </w:p>
    <w:p w14:paraId="35CE2C20" w14:textId="77777777" w:rsidR="00467FCA" w:rsidRDefault="001B68EB">
      <w:pPr>
        <w:tabs>
          <w:tab w:val="left" w:pos="1307"/>
        </w:tabs>
        <w:spacing w:before="79"/>
        <w:ind w:left="741" w:right="553"/>
        <w:jc w:val="both"/>
        <w:rPr>
          <w:sz w:val="16"/>
        </w:rPr>
      </w:pPr>
      <w:bookmarkStart w:id="744" w:name="_bookmark664"/>
      <w:bookmarkEnd w:id="744"/>
      <w:r>
        <w:rPr>
          <w:position w:val="6"/>
          <w:sz w:val="10"/>
        </w:rPr>
        <w:t>6</w:t>
      </w:r>
      <w:r>
        <w:rPr>
          <w:position w:val="6"/>
          <w:sz w:val="10"/>
        </w:rPr>
        <w:tab/>
      </w:r>
      <w:r>
        <w:rPr>
          <w:i/>
          <w:sz w:val="16"/>
        </w:rPr>
        <w:t>Cfr. Caso Cuscul Pivaral y otros Vs. Guatemala. Excepci</w:t>
      </w:r>
      <w:r>
        <w:rPr>
          <w:i/>
          <w:sz w:val="16"/>
        </w:rPr>
        <w:t xml:space="preserve">ón Preliminar, Fondo, Reparaciones y Costas. </w:t>
      </w:r>
      <w:r>
        <w:rPr>
          <w:sz w:val="16"/>
        </w:rPr>
        <w:t>Sentencia de 23 de agosto de 2018. Serie C No. 359. Voto parcialmente disidente del Juez Humberto Antonio Sierra</w:t>
      </w:r>
      <w:r>
        <w:rPr>
          <w:spacing w:val="-1"/>
          <w:sz w:val="16"/>
        </w:rPr>
        <w:t xml:space="preserve"> </w:t>
      </w:r>
      <w:r>
        <w:rPr>
          <w:sz w:val="16"/>
        </w:rPr>
        <w:t>Porto.</w:t>
      </w:r>
    </w:p>
    <w:p w14:paraId="417FA7AF" w14:textId="77777777" w:rsidR="00467FCA" w:rsidRDefault="001B68EB">
      <w:pPr>
        <w:tabs>
          <w:tab w:val="left" w:pos="1307"/>
        </w:tabs>
        <w:spacing w:before="79"/>
        <w:ind w:left="741" w:right="553"/>
        <w:jc w:val="both"/>
        <w:rPr>
          <w:sz w:val="16"/>
        </w:rPr>
      </w:pPr>
      <w:bookmarkStart w:id="745" w:name="_bookmark665"/>
      <w:bookmarkEnd w:id="745"/>
      <w:r>
        <w:rPr>
          <w:position w:val="6"/>
          <w:sz w:val="10"/>
        </w:rPr>
        <w:t>7</w:t>
      </w:r>
      <w:r>
        <w:rPr>
          <w:position w:val="6"/>
          <w:sz w:val="10"/>
        </w:rPr>
        <w:tab/>
      </w:r>
      <w:r>
        <w:rPr>
          <w:i/>
          <w:sz w:val="16"/>
        </w:rPr>
        <w:t>Cfr. Caso Muelle Flores Vs. Perú. Excepciones Preliminares, Fondo, Reparaciones y Costas.</w:t>
      </w:r>
      <w:r>
        <w:rPr>
          <w:i/>
          <w:sz w:val="16"/>
        </w:rPr>
        <w:t xml:space="preserve"> </w:t>
      </w:r>
      <w:r>
        <w:rPr>
          <w:sz w:val="16"/>
        </w:rPr>
        <w:t>Sentencia de</w:t>
      </w:r>
      <w:r>
        <w:rPr>
          <w:spacing w:val="-7"/>
          <w:sz w:val="16"/>
        </w:rPr>
        <w:t xml:space="preserve"> </w:t>
      </w:r>
      <w:r>
        <w:rPr>
          <w:sz w:val="16"/>
        </w:rPr>
        <w:t>6</w:t>
      </w:r>
      <w:r>
        <w:rPr>
          <w:spacing w:val="-6"/>
          <w:sz w:val="16"/>
        </w:rPr>
        <w:t xml:space="preserve"> </w:t>
      </w:r>
      <w:r>
        <w:rPr>
          <w:sz w:val="16"/>
        </w:rPr>
        <w:t>de</w:t>
      </w:r>
      <w:r>
        <w:rPr>
          <w:spacing w:val="-6"/>
          <w:sz w:val="16"/>
        </w:rPr>
        <w:t xml:space="preserve"> </w:t>
      </w:r>
      <w:r>
        <w:rPr>
          <w:sz w:val="16"/>
        </w:rPr>
        <w:t>marzo</w:t>
      </w:r>
      <w:r>
        <w:rPr>
          <w:spacing w:val="-7"/>
          <w:sz w:val="16"/>
        </w:rPr>
        <w:t xml:space="preserve"> </w:t>
      </w:r>
      <w:r>
        <w:rPr>
          <w:sz w:val="16"/>
        </w:rPr>
        <w:t>de</w:t>
      </w:r>
      <w:r>
        <w:rPr>
          <w:spacing w:val="-9"/>
          <w:sz w:val="16"/>
        </w:rPr>
        <w:t xml:space="preserve"> </w:t>
      </w:r>
      <w:r>
        <w:rPr>
          <w:sz w:val="16"/>
        </w:rPr>
        <w:t>2019.</w:t>
      </w:r>
      <w:r>
        <w:rPr>
          <w:spacing w:val="-6"/>
          <w:sz w:val="16"/>
        </w:rPr>
        <w:t xml:space="preserve"> </w:t>
      </w:r>
      <w:r>
        <w:rPr>
          <w:sz w:val="16"/>
        </w:rPr>
        <w:t>Serie</w:t>
      </w:r>
      <w:r>
        <w:rPr>
          <w:spacing w:val="-9"/>
          <w:sz w:val="16"/>
        </w:rPr>
        <w:t xml:space="preserve"> </w:t>
      </w:r>
      <w:r>
        <w:rPr>
          <w:sz w:val="16"/>
        </w:rPr>
        <w:t>C</w:t>
      </w:r>
      <w:r>
        <w:rPr>
          <w:spacing w:val="-4"/>
          <w:sz w:val="16"/>
        </w:rPr>
        <w:t xml:space="preserve"> </w:t>
      </w:r>
      <w:r>
        <w:rPr>
          <w:sz w:val="16"/>
        </w:rPr>
        <w:t>No.</w:t>
      </w:r>
      <w:r>
        <w:rPr>
          <w:spacing w:val="-7"/>
          <w:sz w:val="16"/>
        </w:rPr>
        <w:t xml:space="preserve"> </w:t>
      </w:r>
      <w:r>
        <w:rPr>
          <w:sz w:val="16"/>
        </w:rPr>
        <w:t>375.</w:t>
      </w:r>
      <w:r>
        <w:rPr>
          <w:spacing w:val="-9"/>
          <w:sz w:val="16"/>
        </w:rPr>
        <w:t xml:space="preserve"> </w:t>
      </w:r>
      <w:r>
        <w:rPr>
          <w:sz w:val="16"/>
        </w:rPr>
        <w:t>Voto</w:t>
      </w:r>
      <w:r>
        <w:rPr>
          <w:spacing w:val="-7"/>
          <w:sz w:val="16"/>
        </w:rPr>
        <w:t xml:space="preserve"> </w:t>
      </w:r>
      <w:r>
        <w:rPr>
          <w:sz w:val="16"/>
        </w:rPr>
        <w:t>parcialmente</w:t>
      </w:r>
      <w:r>
        <w:rPr>
          <w:spacing w:val="-9"/>
          <w:sz w:val="16"/>
        </w:rPr>
        <w:t xml:space="preserve"> </w:t>
      </w:r>
      <w:r>
        <w:rPr>
          <w:sz w:val="16"/>
        </w:rPr>
        <w:t>disidente</w:t>
      </w:r>
      <w:r>
        <w:rPr>
          <w:spacing w:val="-7"/>
          <w:sz w:val="16"/>
        </w:rPr>
        <w:t xml:space="preserve"> </w:t>
      </w:r>
      <w:r>
        <w:rPr>
          <w:sz w:val="16"/>
        </w:rPr>
        <w:t>del</w:t>
      </w:r>
      <w:r>
        <w:rPr>
          <w:spacing w:val="-5"/>
          <w:sz w:val="16"/>
        </w:rPr>
        <w:t xml:space="preserve"> </w:t>
      </w:r>
      <w:r>
        <w:rPr>
          <w:sz w:val="16"/>
        </w:rPr>
        <w:t>Juez</w:t>
      </w:r>
      <w:r>
        <w:rPr>
          <w:spacing w:val="-8"/>
          <w:sz w:val="16"/>
        </w:rPr>
        <w:t xml:space="preserve"> </w:t>
      </w:r>
      <w:r>
        <w:rPr>
          <w:sz w:val="16"/>
        </w:rPr>
        <w:t>Humberto</w:t>
      </w:r>
      <w:r>
        <w:rPr>
          <w:spacing w:val="-6"/>
          <w:sz w:val="16"/>
        </w:rPr>
        <w:t xml:space="preserve"> </w:t>
      </w:r>
      <w:r>
        <w:rPr>
          <w:sz w:val="16"/>
        </w:rPr>
        <w:t>Antonio</w:t>
      </w:r>
      <w:r>
        <w:rPr>
          <w:spacing w:val="-4"/>
          <w:sz w:val="16"/>
        </w:rPr>
        <w:t xml:space="preserve"> </w:t>
      </w:r>
      <w:r>
        <w:rPr>
          <w:sz w:val="16"/>
        </w:rPr>
        <w:t>Sierra</w:t>
      </w:r>
      <w:r>
        <w:rPr>
          <w:spacing w:val="-7"/>
          <w:sz w:val="16"/>
        </w:rPr>
        <w:t xml:space="preserve"> </w:t>
      </w:r>
      <w:r>
        <w:rPr>
          <w:sz w:val="16"/>
        </w:rPr>
        <w:t>Porto.</w:t>
      </w:r>
    </w:p>
    <w:p w14:paraId="5950B92B" w14:textId="77777777" w:rsidR="00467FCA" w:rsidRDefault="001B68EB">
      <w:pPr>
        <w:tabs>
          <w:tab w:val="left" w:pos="1307"/>
        </w:tabs>
        <w:spacing w:before="81"/>
        <w:ind w:left="741" w:right="552"/>
        <w:jc w:val="both"/>
        <w:rPr>
          <w:sz w:val="16"/>
        </w:rPr>
      </w:pPr>
      <w:bookmarkStart w:id="746" w:name="_bookmark666"/>
      <w:bookmarkEnd w:id="746"/>
      <w:r>
        <w:rPr>
          <w:position w:val="6"/>
          <w:sz w:val="10"/>
        </w:rPr>
        <w:t>8</w:t>
      </w:r>
      <w:r>
        <w:rPr>
          <w:position w:val="6"/>
          <w:sz w:val="10"/>
        </w:rPr>
        <w:tab/>
      </w:r>
      <w:r>
        <w:rPr>
          <w:i/>
          <w:sz w:val="16"/>
        </w:rPr>
        <w:t xml:space="preserve">Cfr. Caso Asociación Nacional de Cesantes y Jubilados de la Superintendencia Nacional de Administración Tributaria (ANCEJUB-SUNAT) Vs. Perú. Excepciones Preliminares, Fondo, Reparaciones y Costas. </w:t>
      </w:r>
      <w:r>
        <w:rPr>
          <w:sz w:val="16"/>
        </w:rPr>
        <w:t>Sentencia de 21 de noviembre de 2019. Serie C No. 394. Voto</w:t>
      </w:r>
      <w:r>
        <w:rPr>
          <w:sz w:val="16"/>
        </w:rPr>
        <w:t xml:space="preserve"> parcialmente disidente del Juez Humberto Antonio Sierra</w:t>
      </w:r>
      <w:r>
        <w:rPr>
          <w:spacing w:val="-3"/>
          <w:sz w:val="16"/>
        </w:rPr>
        <w:t xml:space="preserve"> </w:t>
      </w:r>
      <w:r>
        <w:rPr>
          <w:sz w:val="16"/>
        </w:rPr>
        <w:t>Porto.</w:t>
      </w:r>
    </w:p>
    <w:p w14:paraId="08DC833C" w14:textId="77777777" w:rsidR="00467FCA" w:rsidRDefault="00467FCA">
      <w:pPr>
        <w:jc w:val="both"/>
        <w:rPr>
          <w:sz w:val="16"/>
        </w:rPr>
        <w:sectPr w:rsidR="00467FCA">
          <w:footerReference w:type="default" r:id="rId65"/>
          <w:pgSz w:w="12250" w:h="15850"/>
          <w:pgMar w:top="1500" w:right="1142" w:bottom="1180" w:left="960" w:header="0" w:footer="994" w:gutter="0"/>
          <w:pgNumType w:start="1"/>
          <w:cols w:space="720"/>
        </w:sectPr>
      </w:pPr>
    </w:p>
    <w:p w14:paraId="0EA35BC2" w14:textId="77777777" w:rsidR="00467FCA" w:rsidRDefault="00467FCA">
      <w:pPr>
        <w:pStyle w:val="Textoindependiente"/>
        <w:spacing w:before="3"/>
        <w:rPr>
          <w:sz w:val="8"/>
        </w:rPr>
      </w:pPr>
    </w:p>
    <w:p w14:paraId="2C03D57A" w14:textId="77777777" w:rsidR="00467FCA" w:rsidRDefault="001B68EB">
      <w:pPr>
        <w:pStyle w:val="Textoindependiente"/>
        <w:spacing w:before="99" w:line="276" w:lineRule="auto"/>
        <w:ind w:left="741" w:right="557"/>
        <w:jc w:val="both"/>
      </w:pPr>
      <w:r>
        <w:t>Hernández Vs. Argentina</w:t>
      </w:r>
      <w:hyperlink w:anchor="_bookmark667" w:history="1">
        <w:r>
          <w:rPr>
            <w:position w:val="7"/>
            <w:sz w:val="13"/>
          </w:rPr>
          <w:t>9</w:t>
        </w:r>
      </w:hyperlink>
      <w:r>
        <w:t>, y Comunidades Indígenas Miembros de la Asociación Lhaka Honhat (Nuestra Tierra) Vs. Argentina</w:t>
      </w:r>
      <w:hyperlink w:anchor="_bookmark668" w:history="1">
        <w:r>
          <w:rPr>
            <w:position w:val="7"/>
            <w:sz w:val="13"/>
          </w:rPr>
          <w:t>10</w:t>
        </w:r>
      </w:hyperlink>
      <w:r>
        <w:t>; así como en mis votos concurrentes en los casos Gonzales Lluy y otros Vs. Ecuador</w:t>
      </w:r>
      <w:hyperlink w:anchor="_bookmark669" w:history="1">
        <w:r>
          <w:rPr>
            <w:position w:val="7"/>
            <w:sz w:val="13"/>
          </w:rPr>
          <w:t>11</w:t>
        </w:r>
      </w:hyperlink>
      <w:r>
        <w:t xml:space="preserve">, Poblete </w:t>
      </w:r>
      <w:r>
        <w:t>Vilches y otros Vs. Chile</w:t>
      </w:r>
      <w:hyperlink w:anchor="_bookmark670" w:history="1">
        <w:r>
          <w:rPr>
            <w:position w:val="7"/>
            <w:sz w:val="13"/>
          </w:rPr>
          <w:t>12</w:t>
        </w:r>
      </w:hyperlink>
      <w:r>
        <w:t>, y Rodríguez Revolorio y otros Vs. Guatemala</w:t>
      </w:r>
      <w:hyperlink w:anchor="_bookmark671" w:history="1">
        <w:r>
          <w:rPr>
            <w:position w:val="7"/>
            <w:sz w:val="13"/>
          </w:rPr>
          <w:t>13</w:t>
        </w:r>
      </w:hyperlink>
      <w:r>
        <w:t>.</w:t>
      </w:r>
    </w:p>
    <w:p w14:paraId="2A218569" w14:textId="77777777" w:rsidR="00467FCA" w:rsidRDefault="00467FCA">
      <w:pPr>
        <w:pStyle w:val="Textoindependiente"/>
        <w:spacing w:before="11"/>
        <w:rPr>
          <w:sz w:val="22"/>
        </w:rPr>
      </w:pPr>
    </w:p>
    <w:p w14:paraId="6307C9AF" w14:textId="77777777" w:rsidR="00467FCA" w:rsidRDefault="001B68EB">
      <w:pPr>
        <w:pStyle w:val="Prrafodelista"/>
        <w:numPr>
          <w:ilvl w:val="1"/>
          <w:numId w:val="10"/>
        </w:numPr>
        <w:tabs>
          <w:tab w:val="left" w:pos="1308"/>
        </w:tabs>
        <w:spacing w:before="1" w:line="276" w:lineRule="auto"/>
        <w:ind w:right="553" w:firstLine="0"/>
        <w:jc w:val="both"/>
        <w:rPr>
          <w:sz w:val="20"/>
        </w:rPr>
      </w:pPr>
      <w:r>
        <w:rPr>
          <w:sz w:val="20"/>
        </w:rPr>
        <w:t>En este caso, el Estado alegó que la Corte no era competente para pronunciarse sobre la alegada violación del derec</w:t>
      </w:r>
      <w:r>
        <w:rPr>
          <w:sz w:val="20"/>
        </w:rPr>
        <w:t>ho al trabajo, porque los derechos económicos, sociales y culturales no se pueden someter al régimen de peticiones individuales regulado en la Convención Americana (párr. 21). La Comisión y los representantes, por su parte, solicitaron desestimar la excepc</w:t>
      </w:r>
      <w:r>
        <w:rPr>
          <w:sz w:val="20"/>
        </w:rPr>
        <w:t>ión preliminar porque, a su juicio, al referirse a la interpretación del artículo 26 de la Convención, se trataba de un asunto que debía ser resuelto en el apartado de fondo, y porque desde la decisión adoptada en el caso Lagos del Campo Vs. Perú, el alega</w:t>
      </w:r>
      <w:r>
        <w:rPr>
          <w:sz w:val="20"/>
        </w:rPr>
        <w:t>to sobre la incompetencia de la Corte para pronunciarse sobre una eventual violación del artículo 26, ha sido un asunto superado (párr. 22). En atención a los argumentos planteados, la Corte reafirmó su competencia para conocer y resolver controversias rel</w:t>
      </w:r>
      <w:r>
        <w:rPr>
          <w:sz w:val="20"/>
        </w:rPr>
        <w:t>acionadas con el artículo 26 de la Convención Americana</w:t>
      </w:r>
      <w:r>
        <w:rPr>
          <w:spacing w:val="-9"/>
          <w:sz w:val="20"/>
        </w:rPr>
        <w:t xml:space="preserve"> </w:t>
      </w:r>
      <w:r>
        <w:rPr>
          <w:sz w:val="20"/>
        </w:rPr>
        <w:t>y</w:t>
      </w:r>
      <w:r>
        <w:rPr>
          <w:spacing w:val="-3"/>
          <w:sz w:val="20"/>
        </w:rPr>
        <w:t xml:space="preserve"> </w:t>
      </w:r>
      <w:r>
        <w:rPr>
          <w:sz w:val="20"/>
        </w:rPr>
        <w:t>reiteró</w:t>
      </w:r>
      <w:r>
        <w:rPr>
          <w:spacing w:val="-7"/>
          <w:sz w:val="20"/>
        </w:rPr>
        <w:t xml:space="preserve"> </w:t>
      </w:r>
      <w:r>
        <w:rPr>
          <w:sz w:val="20"/>
        </w:rPr>
        <w:t>que</w:t>
      </w:r>
      <w:r>
        <w:rPr>
          <w:spacing w:val="-7"/>
          <w:sz w:val="20"/>
        </w:rPr>
        <w:t xml:space="preserve"> </w:t>
      </w:r>
      <w:r>
        <w:rPr>
          <w:sz w:val="20"/>
        </w:rPr>
        <w:t>las</w:t>
      </w:r>
      <w:r>
        <w:rPr>
          <w:spacing w:val="-7"/>
          <w:sz w:val="20"/>
        </w:rPr>
        <w:t xml:space="preserve"> </w:t>
      </w:r>
      <w:r>
        <w:rPr>
          <w:sz w:val="20"/>
        </w:rPr>
        <w:t>consideraciones</w:t>
      </w:r>
      <w:r>
        <w:rPr>
          <w:spacing w:val="-6"/>
          <w:sz w:val="20"/>
        </w:rPr>
        <w:t xml:space="preserve"> </w:t>
      </w:r>
      <w:r>
        <w:rPr>
          <w:sz w:val="20"/>
        </w:rPr>
        <w:t>sobre</w:t>
      </w:r>
      <w:r>
        <w:rPr>
          <w:spacing w:val="-7"/>
          <w:sz w:val="20"/>
        </w:rPr>
        <w:t xml:space="preserve"> </w:t>
      </w:r>
      <w:r>
        <w:rPr>
          <w:sz w:val="20"/>
        </w:rPr>
        <w:t>una</w:t>
      </w:r>
      <w:r>
        <w:rPr>
          <w:spacing w:val="-5"/>
          <w:sz w:val="20"/>
        </w:rPr>
        <w:t xml:space="preserve"> </w:t>
      </w:r>
      <w:r>
        <w:rPr>
          <w:sz w:val="20"/>
        </w:rPr>
        <w:t>eventual</w:t>
      </w:r>
      <w:r>
        <w:rPr>
          <w:spacing w:val="-7"/>
          <w:sz w:val="20"/>
        </w:rPr>
        <w:t xml:space="preserve"> </w:t>
      </w:r>
      <w:r>
        <w:rPr>
          <w:sz w:val="20"/>
        </w:rPr>
        <w:t>violación</w:t>
      </w:r>
      <w:r>
        <w:rPr>
          <w:spacing w:val="-8"/>
          <w:sz w:val="20"/>
        </w:rPr>
        <w:t xml:space="preserve"> </w:t>
      </w:r>
      <w:r>
        <w:rPr>
          <w:sz w:val="20"/>
        </w:rPr>
        <w:t>a</w:t>
      </w:r>
      <w:r>
        <w:rPr>
          <w:spacing w:val="-5"/>
          <w:sz w:val="20"/>
        </w:rPr>
        <w:t xml:space="preserve"> </w:t>
      </w:r>
      <w:r>
        <w:rPr>
          <w:sz w:val="20"/>
        </w:rPr>
        <w:t>este</w:t>
      </w:r>
      <w:r>
        <w:rPr>
          <w:spacing w:val="-7"/>
          <w:sz w:val="20"/>
        </w:rPr>
        <w:t xml:space="preserve"> </w:t>
      </w:r>
      <w:r>
        <w:rPr>
          <w:sz w:val="20"/>
        </w:rPr>
        <w:t>artículo convencional, corresponde hacerlas en el apartado de fondo. Por lo anterior, desestimó la excepción preliminar (párr.</w:t>
      </w:r>
      <w:r>
        <w:rPr>
          <w:spacing w:val="2"/>
          <w:sz w:val="20"/>
        </w:rPr>
        <w:t xml:space="preserve"> </w:t>
      </w:r>
      <w:r>
        <w:rPr>
          <w:sz w:val="20"/>
        </w:rPr>
        <w:t>23)</w:t>
      </w:r>
      <w:r>
        <w:rPr>
          <w:sz w:val="20"/>
        </w:rPr>
        <w:t>.</w:t>
      </w:r>
    </w:p>
    <w:p w14:paraId="3CD135C9" w14:textId="77777777" w:rsidR="00467FCA" w:rsidRDefault="00467FCA">
      <w:pPr>
        <w:pStyle w:val="Textoindependiente"/>
        <w:spacing w:before="1"/>
        <w:rPr>
          <w:sz w:val="23"/>
        </w:rPr>
      </w:pPr>
    </w:p>
    <w:p w14:paraId="4109397C" w14:textId="77777777" w:rsidR="00467FCA" w:rsidRDefault="001B68EB">
      <w:pPr>
        <w:pStyle w:val="Prrafodelista"/>
        <w:numPr>
          <w:ilvl w:val="1"/>
          <w:numId w:val="10"/>
        </w:numPr>
        <w:tabs>
          <w:tab w:val="left" w:pos="1308"/>
        </w:tabs>
        <w:spacing w:line="276" w:lineRule="auto"/>
        <w:ind w:right="556" w:firstLine="0"/>
        <w:jc w:val="both"/>
        <w:rPr>
          <w:sz w:val="20"/>
        </w:rPr>
      </w:pPr>
      <w:r>
        <w:rPr>
          <w:sz w:val="20"/>
        </w:rPr>
        <w:t xml:space="preserve">Al respecto, debo recordar que las excepciones preliminares son objeciones a la </w:t>
      </w:r>
      <w:r>
        <w:rPr>
          <w:i/>
          <w:sz w:val="20"/>
        </w:rPr>
        <w:t>admisibilidad</w:t>
      </w:r>
      <w:r>
        <w:rPr>
          <w:i/>
          <w:spacing w:val="-17"/>
          <w:sz w:val="20"/>
        </w:rPr>
        <w:t xml:space="preserve"> </w:t>
      </w:r>
      <w:r>
        <w:rPr>
          <w:sz w:val="20"/>
        </w:rPr>
        <w:t>de</w:t>
      </w:r>
      <w:r>
        <w:rPr>
          <w:spacing w:val="-19"/>
          <w:sz w:val="20"/>
        </w:rPr>
        <w:t xml:space="preserve"> </w:t>
      </w:r>
      <w:r>
        <w:rPr>
          <w:sz w:val="20"/>
        </w:rPr>
        <w:t>un</w:t>
      </w:r>
      <w:r>
        <w:rPr>
          <w:spacing w:val="-17"/>
          <w:sz w:val="20"/>
        </w:rPr>
        <w:t xml:space="preserve"> </w:t>
      </w:r>
      <w:r>
        <w:rPr>
          <w:sz w:val="20"/>
        </w:rPr>
        <w:t>asunto</w:t>
      </w:r>
      <w:r>
        <w:rPr>
          <w:spacing w:val="-18"/>
          <w:sz w:val="20"/>
        </w:rPr>
        <w:t xml:space="preserve"> </w:t>
      </w:r>
      <w:r>
        <w:rPr>
          <w:sz w:val="20"/>
        </w:rPr>
        <w:t>o</w:t>
      </w:r>
      <w:r>
        <w:rPr>
          <w:spacing w:val="-19"/>
          <w:sz w:val="20"/>
        </w:rPr>
        <w:t xml:space="preserve"> </w:t>
      </w:r>
      <w:r>
        <w:rPr>
          <w:sz w:val="20"/>
        </w:rPr>
        <w:t>a</w:t>
      </w:r>
      <w:r>
        <w:rPr>
          <w:spacing w:val="-17"/>
          <w:sz w:val="20"/>
        </w:rPr>
        <w:t xml:space="preserve"> </w:t>
      </w:r>
      <w:r>
        <w:rPr>
          <w:sz w:val="20"/>
        </w:rPr>
        <w:t>la</w:t>
      </w:r>
      <w:r>
        <w:rPr>
          <w:spacing w:val="-17"/>
          <w:sz w:val="20"/>
        </w:rPr>
        <w:t xml:space="preserve"> </w:t>
      </w:r>
      <w:r>
        <w:rPr>
          <w:i/>
          <w:sz w:val="20"/>
        </w:rPr>
        <w:t>competencia</w:t>
      </w:r>
      <w:r>
        <w:rPr>
          <w:i/>
          <w:spacing w:val="-17"/>
          <w:sz w:val="20"/>
        </w:rPr>
        <w:t xml:space="preserve"> </w:t>
      </w:r>
      <w:r>
        <w:rPr>
          <w:sz w:val="20"/>
        </w:rPr>
        <w:t>del</w:t>
      </w:r>
      <w:r>
        <w:rPr>
          <w:spacing w:val="-17"/>
          <w:sz w:val="20"/>
        </w:rPr>
        <w:t xml:space="preserve"> </w:t>
      </w:r>
      <w:r>
        <w:rPr>
          <w:sz w:val="20"/>
        </w:rPr>
        <w:t>Tribunal</w:t>
      </w:r>
      <w:r>
        <w:rPr>
          <w:spacing w:val="-17"/>
          <w:sz w:val="20"/>
        </w:rPr>
        <w:t xml:space="preserve"> </w:t>
      </w:r>
      <w:r>
        <w:rPr>
          <w:sz w:val="20"/>
        </w:rPr>
        <w:t>para</w:t>
      </w:r>
      <w:r>
        <w:rPr>
          <w:spacing w:val="-18"/>
          <w:sz w:val="20"/>
        </w:rPr>
        <w:t xml:space="preserve"> </w:t>
      </w:r>
      <w:r>
        <w:rPr>
          <w:sz w:val="20"/>
        </w:rPr>
        <w:t>conocer</w:t>
      </w:r>
      <w:r>
        <w:rPr>
          <w:spacing w:val="-19"/>
          <w:sz w:val="20"/>
        </w:rPr>
        <w:t xml:space="preserve"> </w:t>
      </w:r>
      <w:r>
        <w:rPr>
          <w:sz w:val="20"/>
        </w:rPr>
        <w:t>un</w:t>
      </w:r>
      <w:r>
        <w:rPr>
          <w:spacing w:val="-16"/>
          <w:sz w:val="20"/>
        </w:rPr>
        <w:t xml:space="preserve"> </w:t>
      </w:r>
      <w:r>
        <w:rPr>
          <w:sz w:val="20"/>
        </w:rPr>
        <w:t>caso</w:t>
      </w:r>
      <w:r>
        <w:rPr>
          <w:spacing w:val="-16"/>
          <w:sz w:val="20"/>
        </w:rPr>
        <w:t xml:space="preserve"> </w:t>
      </w:r>
      <w:r>
        <w:rPr>
          <w:sz w:val="20"/>
        </w:rPr>
        <w:t>o</w:t>
      </w:r>
      <w:r>
        <w:rPr>
          <w:spacing w:val="-19"/>
          <w:sz w:val="20"/>
        </w:rPr>
        <w:t xml:space="preserve"> </w:t>
      </w:r>
      <w:r>
        <w:rPr>
          <w:sz w:val="20"/>
        </w:rPr>
        <w:t>alguno de sus aspectos, sea en razón de la persona, la materia, el tiempo o el lugar, siempre que</w:t>
      </w:r>
      <w:r>
        <w:rPr>
          <w:spacing w:val="-9"/>
          <w:sz w:val="20"/>
        </w:rPr>
        <w:t xml:space="preserve"> </w:t>
      </w:r>
      <w:r>
        <w:rPr>
          <w:sz w:val="20"/>
        </w:rPr>
        <w:t>dichos</w:t>
      </w:r>
      <w:r>
        <w:rPr>
          <w:spacing w:val="-8"/>
          <w:sz w:val="20"/>
        </w:rPr>
        <w:t xml:space="preserve"> </w:t>
      </w:r>
      <w:r>
        <w:rPr>
          <w:sz w:val="20"/>
        </w:rPr>
        <w:t>planteamientos</w:t>
      </w:r>
      <w:r>
        <w:rPr>
          <w:spacing w:val="-8"/>
          <w:sz w:val="20"/>
        </w:rPr>
        <w:t xml:space="preserve"> </w:t>
      </w:r>
      <w:r>
        <w:rPr>
          <w:sz w:val="20"/>
        </w:rPr>
        <w:t>tengan</w:t>
      </w:r>
      <w:r>
        <w:rPr>
          <w:spacing w:val="-3"/>
          <w:sz w:val="20"/>
        </w:rPr>
        <w:t xml:space="preserve"> </w:t>
      </w:r>
      <w:r>
        <w:rPr>
          <w:sz w:val="20"/>
        </w:rPr>
        <w:t>el</w:t>
      </w:r>
      <w:r>
        <w:rPr>
          <w:spacing w:val="-6"/>
          <w:sz w:val="20"/>
        </w:rPr>
        <w:t xml:space="preserve"> </w:t>
      </w:r>
      <w:r>
        <w:rPr>
          <w:sz w:val="20"/>
        </w:rPr>
        <w:t>carácter</w:t>
      </w:r>
      <w:r>
        <w:rPr>
          <w:spacing w:val="-8"/>
          <w:sz w:val="20"/>
        </w:rPr>
        <w:t xml:space="preserve"> </w:t>
      </w:r>
      <w:r>
        <w:rPr>
          <w:sz w:val="20"/>
        </w:rPr>
        <w:t>de</w:t>
      </w:r>
      <w:r>
        <w:rPr>
          <w:spacing w:val="-8"/>
          <w:sz w:val="20"/>
        </w:rPr>
        <w:t xml:space="preserve"> </w:t>
      </w:r>
      <w:r>
        <w:rPr>
          <w:sz w:val="20"/>
        </w:rPr>
        <w:t>preliminares</w:t>
      </w:r>
      <w:hyperlink w:anchor="_bookmark672" w:history="1">
        <w:r>
          <w:rPr>
            <w:position w:val="7"/>
            <w:sz w:val="13"/>
          </w:rPr>
          <w:t>14</w:t>
        </w:r>
      </w:hyperlink>
      <w:r>
        <w:rPr>
          <w:sz w:val="20"/>
        </w:rPr>
        <w:t>.</w:t>
      </w:r>
      <w:r>
        <w:rPr>
          <w:spacing w:val="-7"/>
          <w:sz w:val="20"/>
        </w:rPr>
        <w:t xml:space="preserve"> </w:t>
      </w:r>
      <w:r>
        <w:rPr>
          <w:sz w:val="20"/>
        </w:rPr>
        <w:t>Los</w:t>
      </w:r>
      <w:r>
        <w:rPr>
          <w:spacing w:val="-5"/>
          <w:sz w:val="20"/>
        </w:rPr>
        <w:t xml:space="preserve"> </w:t>
      </w:r>
      <w:r>
        <w:rPr>
          <w:sz w:val="20"/>
        </w:rPr>
        <w:t>que</w:t>
      </w:r>
      <w:r>
        <w:rPr>
          <w:spacing w:val="-6"/>
          <w:sz w:val="20"/>
        </w:rPr>
        <w:t xml:space="preserve"> </w:t>
      </w:r>
      <w:r>
        <w:rPr>
          <w:sz w:val="20"/>
        </w:rPr>
        <w:t>no</w:t>
      </w:r>
      <w:r>
        <w:rPr>
          <w:spacing w:val="-8"/>
          <w:sz w:val="20"/>
        </w:rPr>
        <w:t xml:space="preserve"> </w:t>
      </w:r>
      <w:r>
        <w:rPr>
          <w:sz w:val="20"/>
        </w:rPr>
        <w:t>tengan</w:t>
      </w:r>
      <w:r>
        <w:rPr>
          <w:spacing w:val="-4"/>
          <w:sz w:val="20"/>
        </w:rPr>
        <w:t xml:space="preserve"> </w:t>
      </w:r>
      <w:r>
        <w:rPr>
          <w:sz w:val="20"/>
        </w:rPr>
        <w:t>esta naturaleza, como los que se refieren al fon</w:t>
      </w:r>
      <w:r>
        <w:rPr>
          <w:sz w:val="20"/>
        </w:rPr>
        <w:t>do de un asunto, no pueden ser analizados como tales</w:t>
      </w:r>
      <w:hyperlink w:anchor="_bookmark673" w:history="1">
        <w:r>
          <w:rPr>
            <w:position w:val="7"/>
            <w:sz w:val="13"/>
          </w:rPr>
          <w:t>15</w:t>
        </w:r>
      </w:hyperlink>
      <w:r>
        <w:rPr>
          <w:sz w:val="20"/>
        </w:rPr>
        <w:t>, pues el objeto de las excepciones preliminares es, en últimas, impedir el análisis de fondo. Por ello, independiente de la denominación que le otorgue el</w:t>
      </w:r>
      <w:r>
        <w:rPr>
          <w:spacing w:val="46"/>
          <w:sz w:val="20"/>
        </w:rPr>
        <w:t xml:space="preserve"> </w:t>
      </w:r>
      <w:r>
        <w:rPr>
          <w:sz w:val="20"/>
        </w:rPr>
        <w:t>Estado,</w:t>
      </w:r>
    </w:p>
    <w:p w14:paraId="19EF1F3E" w14:textId="77777777" w:rsidR="00467FCA" w:rsidRDefault="001B68EB">
      <w:pPr>
        <w:pStyle w:val="Textoindependiente"/>
        <w:spacing w:before="2"/>
        <w:rPr>
          <w:sz w:val="24"/>
        </w:rPr>
      </w:pPr>
      <w:r>
        <w:pict w14:anchorId="58474E22">
          <v:shape id="_x0000_s1075" style="position:absolute;margin-left:85.1pt;margin-top:17pt;width:2in;height:.1pt;z-index:-251534336;mso-wrap-distance-left:0;mso-wrap-distance-right:0;mso-position-horizontal-relative:page" coordorigin="1702,340" coordsize="2880,0" path="m1702,340r2880,e" filled="f" strokeweight=".21131mm">
            <v:path arrowok="t"/>
            <w10:wrap type="topAndBottom" anchorx="page"/>
          </v:shape>
        </w:pict>
      </w:r>
    </w:p>
    <w:p w14:paraId="058E5529" w14:textId="77777777" w:rsidR="00467FCA" w:rsidRDefault="001B68EB">
      <w:pPr>
        <w:tabs>
          <w:tab w:val="left" w:pos="1307"/>
        </w:tabs>
        <w:spacing w:before="67"/>
        <w:ind w:left="741" w:right="550"/>
        <w:jc w:val="both"/>
        <w:rPr>
          <w:sz w:val="16"/>
        </w:rPr>
      </w:pPr>
      <w:bookmarkStart w:id="747" w:name="_bookmark667"/>
      <w:bookmarkEnd w:id="747"/>
      <w:r>
        <w:rPr>
          <w:position w:val="6"/>
          <w:sz w:val="10"/>
        </w:rPr>
        <w:t>9</w:t>
      </w:r>
      <w:r>
        <w:rPr>
          <w:position w:val="6"/>
          <w:sz w:val="10"/>
        </w:rPr>
        <w:tab/>
      </w:r>
      <w:r>
        <w:rPr>
          <w:i/>
          <w:sz w:val="16"/>
        </w:rPr>
        <w:t xml:space="preserve">Cfr. Caso Hernández Vs. Argentina. Excepción Preliminar, Fondo, Reparaciones y Costas. </w:t>
      </w:r>
      <w:r>
        <w:rPr>
          <w:sz w:val="16"/>
        </w:rPr>
        <w:t>Sentencia de 22 de noviembre de 2019. Serie C No. 395. Voto parcialmente disidente del Juez Humberto Antonio Sierra Porto.</w:t>
      </w:r>
    </w:p>
    <w:p w14:paraId="4065ABE2" w14:textId="77777777" w:rsidR="00467FCA" w:rsidRDefault="001B68EB">
      <w:pPr>
        <w:tabs>
          <w:tab w:val="left" w:pos="1307"/>
        </w:tabs>
        <w:spacing w:before="81"/>
        <w:ind w:left="741" w:right="553"/>
        <w:jc w:val="both"/>
        <w:rPr>
          <w:sz w:val="16"/>
        </w:rPr>
      </w:pPr>
      <w:bookmarkStart w:id="748" w:name="_bookmark668"/>
      <w:bookmarkEnd w:id="748"/>
      <w:r>
        <w:rPr>
          <w:position w:val="6"/>
          <w:sz w:val="10"/>
        </w:rPr>
        <w:t>10</w:t>
      </w:r>
      <w:r>
        <w:rPr>
          <w:position w:val="6"/>
          <w:sz w:val="10"/>
        </w:rPr>
        <w:tab/>
      </w:r>
      <w:r>
        <w:rPr>
          <w:i/>
          <w:sz w:val="16"/>
        </w:rPr>
        <w:t>Cfr. Caso Comunidades Indígenas Miembros de</w:t>
      </w:r>
      <w:r>
        <w:rPr>
          <w:i/>
          <w:sz w:val="16"/>
        </w:rPr>
        <w:t xml:space="preserve"> la Asociación Lhaka Honhat (Nuestra Tierra) Vs. Argentina. Fondo, Reparaciones y Costas. </w:t>
      </w:r>
      <w:r>
        <w:rPr>
          <w:sz w:val="16"/>
        </w:rPr>
        <w:t>Sentencia de 6 de febrero de 2020. Serie C No. 400. Voto parcialmente disidente del Juez Humberto Antonio Sierra</w:t>
      </w:r>
      <w:r>
        <w:rPr>
          <w:spacing w:val="-9"/>
          <w:sz w:val="16"/>
        </w:rPr>
        <w:t xml:space="preserve"> </w:t>
      </w:r>
      <w:r>
        <w:rPr>
          <w:sz w:val="16"/>
        </w:rPr>
        <w:t>Porto.</w:t>
      </w:r>
    </w:p>
    <w:p w14:paraId="177FDA77" w14:textId="77777777" w:rsidR="00467FCA" w:rsidRDefault="001B68EB">
      <w:pPr>
        <w:tabs>
          <w:tab w:val="left" w:pos="1307"/>
        </w:tabs>
        <w:spacing w:before="79"/>
        <w:ind w:left="741" w:right="553"/>
        <w:jc w:val="both"/>
        <w:rPr>
          <w:sz w:val="16"/>
        </w:rPr>
      </w:pPr>
      <w:bookmarkStart w:id="749" w:name="_bookmark669"/>
      <w:bookmarkEnd w:id="749"/>
      <w:r>
        <w:rPr>
          <w:position w:val="6"/>
          <w:sz w:val="10"/>
        </w:rPr>
        <w:t>11</w:t>
      </w:r>
      <w:r>
        <w:rPr>
          <w:position w:val="6"/>
          <w:sz w:val="10"/>
        </w:rPr>
        <w:tab/>
      </w:r>
      <w:r>
        <w:rPr>
          <w:i/>
          <w:sz w:val="16"/>
        </w:rPr>
        <w:t>Cfr. Caso Gonzales Lluy y otros Vs. Ecuador</w:t>
      </w:r>
      <w:r>
        <w:rPr>
          <w:i/>
          <w:sz w:val="16"/>
        </w:rPr>
        <w:t xml:space="preserve">. Excepciones Preliminares, Fondo, Reparaciones y Costas. </w:t>
      </w:r>
      <w:r>
        <w:rPr>
          <w:sz w:val="16"/>
        </w:rPr>
        <w:t>Sentencia de 1 de septiembre de 2015. Serie C No. 298. Voto concurrente del Juez Humberto Antonio Sierra Porto.</w:t>
      </w:r>
    </w:p>
    <w:p w14:paraId="1EECC726" w14:textId="77777777" w:rsidR="00467FCA" w:rsidRDefault="001B68EB">
      <w:pPr>
        <w:tabs>
          <w:tab w:val="left" w:pos="1449"/>
        </w:tabs>
        <w:spacing w:before="82"/>
        <w:ind w:left="741" w:right="555"/>
        <w:jc w:val="both"/>
        <w:rPr>
          <w:sz w:val="16"/>
        </w:rPr>
      </w:pPr>
      <w:bookmarkStart w:id="750" w:name="_bookmark670"/>
      <w:bookmarkEnd w:id="750"/>
      <w:r>
        <w:rPr>
          <w:position w:val="6"/>
          <w:sz w:val="10"/>
        </w:rPr>
        <w:t>12</w:t>
      </w:r>
      <w:r>
        <w:rPr>
          <w:position w:val="6"/>
          <w:sz w:val="10"/>
        </w:rPr>
        <w:tab/>
      </w:r>
      <w:r>
        <w:rPr>
          <w:i/>
          <w:sz w:val="16"/>
        </w:rPr>
        <w:t>Cfr. Caso Poblete Vilches y otros Vs. Chile. Fondo, Reparaciones y Costas</w:t>
      </w:r>
      <w:r>
        <w:rPr>
          <w:sz w:val="16"/>
        </w:rPr>
        <w:t>. Sentenci</w:t>
      </w:r>
      <w:r>
        <w:rPr>
          <w:sz w:val="16"/>
        </w:rPr>
        <w:t>a de 8 de marzo de 2018. Serie C No. 349. Voto Concurrente del Juez Humberto Antonio Sierra</w:t>
      </w:r>
      <w:r>
        <w:rPr>
          <w:spacing w:val="-16"/>
          <w:sz w:val="16"/>
        </w:rPr>
        <w:t xml:space="preserve"> </w:t>
      </w:r>
      <w:r>
        <w:rPr>
          <w:sz w:val="16"/>
        </w:rPr>
        <w:t>Porto.</w:t>
      </w:r>
    </w:p>
    <w:p w14:paraId="7CA0ADF4" w14:textId="77777777" w:rsidR="00467FCA" w:rsidRDefault="001B68EB">
      <w:pPr>
        <w:tabs>
          <w:tab w:val="left" w:pos="1307"/>
        </w:tabs>
        <w:spacing w:before="79"/>
        <w:ind w:left="741" w:right="555"/>
        <w:jc w:val="both"/>
        <w:rPr>
          <w:sz w:val="16"/>
        </w:rPr>
      </w:pPr>
      <w:bookmarkStart w:id="751" w:name="_bookmark671"/>
      <w:bookmarkEnd w:id="751"/>
      <w:r>
        <w:rPr>
          <w:position w:val="6"/>
          <w:sz w:val="10"/>
        </w:rPr>
        <w:t>13</w:t>
      </w:r>
      <w:r>
        <w:rPr>
          <w:position w:val="6"/>
          <w:sz w:val="10"/>
        </w:rPr>
        <w:tab/>
      </w:r>
      <w:r>
        <w:rPr>
          <w:i/>
          <w:sz w:val="16"/>
        </w:rPr>
        <w:t xml:space="preserve">Cfr. Caso Rodríguez Revolorio y otros Vs. Guatemala. Excepción Preliminar, Fondo, Reparaciones y Costas. </w:t>
      </w:r>
      <w:r>
        <w:rPr>
          <w:sz w:val="16"/>
        </w:rPr>
        <w:t>Sentencia de 14 de octubre de 2019. Serie C No. 3</w:t>
      </w:r>
      <w:r>
        <w:rPr>
          <w:sz w:val="16"/>
        </w:rPr>
        <w:t>87. Voto concurrente del Juez Humberto Antonio Sierra</w:t>
      </w:r>
      <w:r>
        <w:rPr>
          <w:spacing w:val="-1"/>
          <w:sz w:val="16"/>
        </w:rPr>
        <w:t xml:space="preserve"> </w:t>
      </w:r>
      <w:r>
        <w:rPr>
          <w:sz w:val="16"/>
        </w:rPr>
        <w:t>Porto.</w:t>
      </w:r>
    </w:p>
    <w:p w14:paraId="3B3E6FD6" w14:textId="77777777" w:rsidR="00467FCA" w:rsidRDefault="001B68EB">
      <w:pPr>
        <w:tabs>
          <w:tab w:val="left" w:pos="1308"/>
        </w:tabs>
        <w:spacing w:before="79"/>
        <w:ind w:left="741" w:right="541"/>
        <w:jc w:val="both"/>
        <w:rPr>
          <w:sz w:val="16"/>
        </w:rPr>
      </w:pPr>
      <w:bookmarkStart w:id="752" w:name="_bookmark672"/>
      <w:bookmarkEnd w:id="752"/>
      <w:r>
        <w:rPr>
          <w:position w:val="6"/>
          <w:sz w:val="10"/>
        </w:rPr>
        <w:t>14</w:t>
      </w:r>
      <w:r>
        <w:rPr>
          <w:position w:val="6"/>
          <w:sz w:val="10"/>
        </w:rPr>
        <w:tab/>
      </w:r>
      <w:r>
        <w:rPr>
          <w:i/>
          <w:spacing w:val="-10"/>
          <w:sz w:val="16"/>
        </w:rPr>
        <w:t>Cfr.</w:t>
      </w:r>
      <w:r>
        <w:rPr>
          <w:i/>
          <w:spacing w:val="-28"/>
          <w:sz w:val="16"/>
        </w:rPr>
        <w:t xml:space="preserve"> </w:t>
      </w:r>
      <w:r>
        <w:rPr>
          <w:i/>
          <w:spacing w:val="-10"/>
          <w:sz w:val="16"/>
        </w:rPr>
        <w:t>Caso</w:t>
      </w:r>
      <w:r>
        <w:rPr>
          <w:i/>
          <w:spacing w:val="-25"/>
          <w:sz w:val="16"/>
        </w:rPr>
        <w:t xml:space="preserve"> </w:t>
      </w:r>
      <w:r>
        <w:rPr>
          <w:i/>
          <w:spacing w:val="-10"/>
          <w:sz w:val="16"/>
        </w:rPr>
        <w:t>Las</w:t>
      </w:r>
      <w:r>
        <w:rPr>
          <w:i/>
          <w:spacing w:val="-24"/>
          <w:sz w:val="16"/>
        </w:rPr>
        <w:t xml:space="preserve"> </w:t>
      </w:r>
      <w:r>
        <w:rPr>
          <w:i/>
          <w:spacing w:val="-12"/>
          <w:sz w:val="16"/>
        </w:rPr>
        <w:t>Palmeras</w:t>
      </w:r>
      <w:r>
        <w:rPr>
          <w:i/>
          <w:spacing w:val="-29"/>
          <w:sz w:val="16"/>
        </w:rPr>
        <w:t xml:space="preserve"> </w:t>
      </w:r>
      <w:r>
        <w:rPr>
          <w:i/>
          <w:spacing w:val="-8"/>
          <w:sz w:val="16"/>
        </w:rPr>
        <w:t>Vs.</w:t>
      </w:r>
      <w:r>
        <w:rPr>
          <w:i/>
          <w:spacing w:val="-27"/>
          <w:sz w:val="16"/>
        </w:rPr>
        <w:t xml:space="preserve"> </w:t>
      </w:r>
      <w:r>
        <w:rPr>
          <w:i/>
          <w:spacing w:val="-12"/>
          <w:sz w:val="16"/>
        </w:rPr>
        <w:t>Colombia.</w:t>
      </w:r>
      <w:r>
        <w:rPr>
          <w:i/>
          <w:spacing w:val="-25"/>
          <w:sz w:val="16"/>
        </w:rPr>
        <w:t xml:space="preserve"> </w:t>
      </w:r>
      <w:r>
        <w:rPr>
          <w:i/>
          <w:spacing w:val="-12"/>
          <w:sz w:val="16"/>
        </w:rPr>
        <w:t>Excepciones</w:t>
      </w:r>
      <w:r>
        <w:rPr>
          <w:i/>
          <w:spacing w:val="-26"/>
          <w:sz w:val="16"/>
        </w:rPr>
        <w:t xml:space="preserve"> </w:t>
      </w:r>
      <w:r>
        <w:rPr>
          <w:i/>
          <w:spacing w:val="-12"/>
          <w:sz w:val="16"/>
        </w:rPr>
        <w:t>Preliminares.</w:t>
      </w:r>
      <w:r>
        <w:rPr>
          <w:i/>
          <w:spacing w:val="-27"/>
          <w:sz w:val="16"/>
        </w:rPr>
        <w:t xml:space="preserve"> </w:t>
      </w:r>
      <w:r>
        <w:rPr>
          <w:spacing w:val="-12"/>
          <w:sz w:val="16"/>
        </w:rPr>
        <w:t>Sentencia</w:t>
      </w:r>
      <w:r>
        <w:rPr>
          <w:spacing w:val="-24"/>
          <w:sz w:val="16"/>
        </w:rPr>
        <w:t xml:space="preserve"> </w:t>
      </w:r>
      <w:r>
        <w:rPr>
          <w:spacing w:val="-6"/>
          <w:sz w:val="16"/>
        </w:rPr>
        <w:t>de</w:t>
      </w:r>
      <w:r>
        <w:rPr>
          <w:spacing w:val="-29"/>
          <w:sz w:val="16"/>
        </w:rPr>
        <w:t xml:space="preserve"> </w:t>
      </w:r>
      <w:r>
        <w:rPr>
          <w:sz w:val="16"/>
        </w:rPr>
        <w:t>4</w:t>
      </w:r>
      <w:r>
        <w:rPr>
          <w:spacing w:val="-25"/>
          <w:sz w:val="16"/>
        </w:rPr>
        <w:t xml:space="preserve"> </w:t>
      </w:r>
      <w:r>
        <w:rPr>
          <w:spacing w:val="-7"/>
          <w:sz w:val="16"/>
        </w:rPr>
        <w:t>de</w:t>
      </w:r>
      <w:r>
        <w:rPr>
          <w:spacing w:val="-26"/>
          <w:sz w:val="16"/>
        </w:rPr>
        <w:t xml:space="preserve"> </w:t>
      </w:r>
      <w:r>
        <w:rPr>
          <w:spacing w:val="-12"/>
          <w:sz w:val="16"/>
        </w:rPr>
        <w:t>febrero</w:t>
      </w:r>
      <w:r>
        <w:rPr>
          <w:spacing w:val="-26"/>
          <w:sz w:val="16"/>
        </w:rPr>
        <w:t xml:space="preserve"> </w:t>
      </w:r>
      <w:r>
        <w:rPr>
          <w:spacing w:val="-7"/>
          <w:sz w:val="16"/>
        </w:rPr>
        <w:t>de</w:t>
      </w:r>
      <w:r>
        <w:rPr>
          <w:spacing w:val="-26"/>
          <w:sz w:val="16"/>
        </w:rPr>
        <w:t xml:space="preserve"> </w:t>
      </w:r>
      <w:r>
        <w:rPr>
          <w:spacing w:val="-11"/>
          <w:sz w:val="16"/>
        </w:rPr>
        <w:t>2000.</w:t>
      </w:r>
      <w:r>
        <w:rPr>
          <w:spacing w:val="-27"/>
          <w:sz w:val="16"/>
        </w:rPr>
        <w:t xml:space="preserve"> </w:t>
      </w:r>
      <w:r>
        <w:rPr>
          <w:spacing w:val="-11"/>
          <w:sz w:val="16"/>
        </w:rPr>
        <w:t>Serie</w:t>
      </w:r>
      <w:r>
        <w:rPr>
          <w:spacing w:val="-29"/>
          <w:sz w:val="16"/>
        </w:rPr>
        <w:t xml:space="preserve"> </w:t>
      </w:r>
      <w:r>
        <w:rPr>
          <w:sz w:val="16"/>
        </w:rPr>
        <w:t>C</w:t>
      </w:r>
      <w:r>
        <w:rPr>
          <w:spacing w:val="-26"/>
          <w:sz w:val="16"/>
        </w:rPr>
        <w:t xml:space="preserve"> </w:t>
      </w:r>
      <w:r>
        <w:rPr>
          <w:spacing w:val="-9"/>
          <w:sz w:val="16"/>
        </w:rPr>
        <w:t>No.</w:t>
      </w:r>
      <w:r>
        <w:rPr>
          <w:spacing w:val="-27"/>
          <w:sz w:val="16"/>
        </w:rPr>
        <w:t xml:space="preserve"> </w:t>
      </w:r>
      <w:r>
        <w:rPr>
          <w:spacing w:val="-9"/>
          <w:sz w:val="16"/>
        </w:rPr>
        <w:t>67,</w:t>
      </w:r>
      <w:r>
        <w:rPr>
          <w:spacing w:val="-27"/>
          <w:sz w:val="16"/>
        </w:rPr>
        <w:t xml:space="preserve"> </w:t>
      </w:r>
      <w:r>
        <w:rPr>
          <w:spacing w:val="-11"/>
          <w:sz w:val="16"/>
        </w:rPr>
        <w:t xml:space="preserve">párr. </w:t>
      </w:r>
      <w:r>
        <w:rPr>
          <w:spacing w:val="-8"/>
          <w:sz w:val="16"/>
        </w:rPr>
        <w:t xml:space="preserve">34, </w:t>
      </w:r>
      <w:r>
        <w:rPr>
          <w:sz w:val="16"/>
        </w:rPr>
        <w:t xml:space="preserve">y </w:t>
      </w:r>
      <w:r>
        <w:rPr>
          <w:i/>
          <w:sz w:val="16"/>
        </w:rPr>
        <w:t xml:space="preserve">Caso Herzog y otros Vs. Brasil. Excepciones Preliminares, Fondo, Reparaciones y Costas. </w:t>
      </w:r>
      <w:r>
        <w:rPr>
          <w:sz w:val="16"/>
        </w:rPr>
        <w:t xml:space="preserve">Sentencia </w:t>
      </w:r>
      <w:r>
        <w:rPr>
          <w:spacing w:val="-3"/>
          <w:sz w:val="16"/>
        </w:rPr>
        <w:t xml:space="preserve">de </w:t>
      </w:r>
      <w:r>
        <w:rPr>
          <w:sz w:val="16"/>
        </w:rPr>
        <w:t>15 de marzo de 2018. Serie C No. 353, párr.</w:t>
      </w:r>
      <w:r>
        <w:rPr>
          <w:spacing w:val="-10"/>
          <w:sz w:val="16"/>
        </w:rPr>
        <w:t xml:space="preserve"> </w:t>
      </w:r>
      <w:r>
        <w:rPr>
          <w:sz w:val="16"/>
        </w:rPr>
        <w:t>97.</w:t>
      </w:r>
    </w:p>
    <w:p w14:paraId="65554ADE" w14:textId="77777777" w:rsidR="00467FCA" w:rsidRDefault="001B68EB">
      <w:pPr>
        <w:tabs>
          <w:tab w:val="left" w:pos="1307"/>
        </w:tabs>
        <w:spacing w:before="81"/>
        <w:ind w:left="741" w:right="550"/>
        <w:jc w:val="both"/>
        <w:rPr>
          <w:sz w:val="16"/>
        </w:rPr>
      </w:pPr>
      <w:bookmarkStart w:id="753" w:name="_bookmark673"/>
      <w:bookmarkEnd w:id="753"/>
      <w:r>
        <w:rPr>
          <w:position w:val="6"/>
          <w:sz w:val="10"/>
        </w:rPr>
        <w:t>15</w:t>
      </w:r>
      <w:r>
        <w:rPr>
          <w:position w:val="6"/>
          <w:sz w:val="10"/>
        </w:rPr>
        <w:tab/>
      </w:r>
      <w:r>
        <w:rPr>
          <w:i/>
          <w:sz w:val="16"/>
        </w:rPr>
        <w:t xml:space="preserve">Cfr. Caso Castañeda Gutman Vs. México. Excepciones Preliminares, Fondo, Reparaciones y Costas. </w:t>
      </w:r>
      <w:r>
        <w:rPr>
          <w:sz w:val="16"/>
        </w:rPr>
        <w:t>Sentencia</w:t>
      </w:r>
      <w:r>
        <w:rPr>
          <w:sz w:val="16"/>
        </w:rPr>
        <w:t xml:space="preserve"> de 6 de agosto de 2008. Serie C No. 184. párr. 39, y </w:t>
      </w:r>
      <w:r>
        <w:rPr>
          <w:i/>
          <w:sz w:val="16"/>
        </w:rPr>
        <w:t>Caso Herzog y otros Vs. Brasil, supra</w:t>
      </w:r>
      <w:r>
        <w:rPr>
          <w:sz w:val="16"/>
        </w:rPr>
        <w:t>, párr. 97.</w:t>
      </w:r>
    </w:p>
    <w:p w14:paraId="14261698" w14:textId="77777777" w:rsidR="00467FCA" w:rsidRDefault="00467FCA">
      <w:pPr>
        <w:jc w:val="both"/>
        <w:rPr>
          <w:sz w:val="16"/>
        </w:rPr>
        <w:sectPr w:rsidR="00467FCA">
          <w:pgSz w:w="12250" w:h="15850"/>
          <w:pgMar w:top="1500" w:right="1142" w:bottom="1180" w:left="960" w:header="0" w:footer="994" w:gutter="0"/>
          <w:cols w:space="720"/>
        </w:sectPr>
      </w:pPr>
    </w:p>
    <w:p w14:paraId="143D86EF" w14:textId="77777777" w:rsidR="00467FCA" w:rsidRDefault="00467FCA">
      <w:pPr>
        <w:pStyle w:val="Textoindependiente"/>
        <w:spacing w:before="3"/>
        <w:rPr>
          <w:sz w:val="8"/>
        </w:rPr>
      </w:pPr>
    </w:p>
    <w:p w14:paraId="176E3DC4" w14:textId="77777777" w:rsidR="00467FCA" w:rsidRDefault="001B68EB">
      <w:pPr>
        <w:pStyle w:val="Textoindependiente"/>
        <w:spacing w:before="99" w:line="276" w:lineRule="auto"/>
        <w:ind w:left="741" w:right="557"/>
        <w:jc w:val="both"/>
      </w:pPr>
      <w:r>
        <w:t xml:space="preserve">si al analizar sus planteamientos se determina que objetan la </w:t>
      </w:r>
      <w:r>
        <w:rPr>
          <w:i/>
        </w:rPr>
        <w:t xml:space="preserve">admisibilidad </w:t>
      </w:r>
      <w:r>
        <w:t xml:space="preserve">o la </w:t>
      </w:r>
      <w:r>
        <w:rPr>
          <w:i/>
        </w:rPr>
        <w:t>competencia</w:t>
      </w:r>
      <w:r>
        <w:rPr>
          <w:i/>
          <w:spacing w:val="-10"/>
        </w:rPr>
        <w:t xml:space="preserve"> </w:t>
      </w:r>
      <w:r>
        <w:t>de</w:t>
      </w:r>
      <w:r>
        <w:rPr>
          <w:spacing w:val="-12"/>
        </w:rPr>
        <w:t xml:space="preserve"> </w:t>
      </w:r>
      <w:r>
        <w:t>la</w:t>
      </w:r>
      <w:r>
        <w:rPr>
          <w:spacing w:val="-9"/>
        </w:rPr>
        <w:t xml:space="preserve"> </w:t>
      </w:r>
      <w:r>
        <w:t>Corte</w:t>
      </w:r>
      <w:r>
        <w:rPr>
          <w:spacing w:val="-11"/>
        </w:rPr>
        <w:t xml:space="preserve"> </w:t>
      </w:r>
      <w:r>
        <w:t>para</w:t>
      </w:r>
      <w:r>
        <w:rPr>
          <w:spacing w:val="-9"/>
        </w:rPr>
        <w:t xml:space="preserve"> </w:t>
      </w:r>
      <w:r>
        <w:t>conocer</w:t>
      </w:r>
      <w:r>
        <w:rPr>
          <w:spacing w:val="-12"/>
        </w:rPr>
        <w:t xml:space="preserve"> </w:t>
      </w:r>
      <w:r>
        <w:t>del</w:t>
      </w:r>
      <w:r>
        <w:rPr>
          <w:spacing w:val="-12"/>
        </w:rPr>
        <w:t xml:space="preserve"> </w:t>
      </w:r>
      <w:r>
        <w:t>caso,</w:t>
      </w:r>
      <w:r>
        <w:rPr>
          <w:spacing w:val="-10"/>
        </w:rPr>
        <w:t xml:space="preserve"> </w:t>
      </w:r>
      <w:r>
        <w:t>deberá</w:t>
      </w:r>
      <w:r>
        <w:t>n</w:t>
      </w:r>
      <w:r>
        <w:rPr>
          <w:spacing w:val="-10"/>
        </w:rPr>
        <w:t xml:space="preserve"> </w:t>
      </w:r>
      <w:r>
        <w:t>ser</w:t>
      </w:r>
      <w:r>
        <w:rPr>
          <w:spacing w:val="-11"/>
        </w:rPr>
        <w:t xml:space="preserve"> </w:t>
      </w:r>
      <w:r>
        <w:t>resueltos</w:t>
      </w:r>
      <w:r>
        <w:rPr>
          <w:spacing w:val="-10"/>
        </w:rPr>
        <w:t xml:space="preserve"> </w:t>
      </w:r>
      <w:r>
        <w:t>como</w:t>
      </w:r>
      <w:r>
        <w:rPr>
          <w:spacing w:val="-10"/>
        </w:rPr>
        <w:t xml:space="preserve"> </w:t>
      </w:r>
      <w:r>
        <w:t>excepciones preliminares, en la etapa correspondiente del</w:t>
      </w:r>
      <w:r>
        <w:rPr>
          <w:spacing w:val="-6"/>
        </w:rPr>
        <w:t xml:space="preserve"> </w:t>
      </w:r>
      <w:r>
        <w:t>procedimiento</w:t>
      </w:r>
      <w:hyperlink w:anchor="_bookmark674" w:history="1">
        <w:r>
          <w:rPr>
            <w:position w:val="7"/>
            <w:sz w:val="13"/>
          </w:rPr>
          <w:t>16</w:t>
        </w:r>
      </w:hyperlink>
      <w:r>
        <w:t>.</w:t>
      </w:r>
    </w:p>
    <w:p w14:paraId="7B4451DB" w14:textId="77777777" w:rsidR="00467FCA" w:rsidRDefault="00467FCA">
      <w:pPr>
        <w:pStyle w:val="Textoindependiente"/>
        <w:rPr>
          <w:sz w:val="23"/>
        </w:rPr>
      </w:pPr>
    </w:p>
    <w:p w14:paraId="07052D9B" w14:textId="77777777" w:rsidR="00467FCA" w:rsidRDefault="001B68EB">
      <w:pPr>
        <w:pStyle w:val="Prrafodelista"/>
        <w:numPr>
          <w:ilvl w:val="1"/>
          <w:numId w:val="10"/>
        </w:numPr>
        <w:tabs>
          <w:tab w:val="left" w:pos="1308"/>
        </w:tabs>
        <w:spacing w:before="1" w:line="276" w:lineRule="auto"/>
        <w:ind w:right="553" w:firstLine="0"/>
        <w:jc w:val="both"/>
        <w:rPr>
          <w:sz w:val="20"/>
        </w:rPr>
      </w:pPr>
      <w:r>
        <w:rPr>
          <w:sz w:val="20"/>
        </w:rPr>
        <w:t>En</w:t>
      </w:r>
      <w:r>
        <w:rPr>
          <w:spacing w:val="-15"/>
          <w:sz w:val="20"/>
        </w:rPr>
        <w:t xml:space="preserve"> </w:t>
      </w:r>
      <w:r>
        <w:rPr>
          <w:sz w:val="20"/>
        </w:rPr>
        <w:t>este</w:t>
      </w:r>
      <w:r>
        <w:rPr>
          <w:spacing w:val="-16"/>
          <w:sz w:val="20"/>
        </w:rPr>
        <w:t xml:space="preserve"> </w:t>
      </w:r>
      <w:r>
        <w:rPr>
          <w:sz w:val="20"/>
        </w:rPr>
        <w:t>caso,</w:t>
      </w:r>
      <w:r>
        <w:rPr>
          <w:spacing w:val="-16"/>
          <w:sz w:val="20"/>
        </w:rPr>
        <w:t xml:space="preserve"> </w:t>
      </w:r>
      <w:r>
        <w:rPr>
          <w:sz w:val="20"/>
        </w:rPr>
        <w:t>el</w:t>
      </w:r>
      <w:r>
        <w:rPr>
          <w:spacing w:val="-15"/>
          <w:sz w:val="20"/>
        </w:rPr>
        <w:t xml:space="preserve"> </w:t>
      </w:r>
      <w:r>
        <w:rPr>
          <w:sz w:val="20"/>
        </w:rPr>
        <w:t>Estado</w:t>
      </w:r>
      <w:r>
        <w:rPr>
          <w:spacing w:val="-16"/>
          <w:sz w:val="20"/>
        </w:rPr>
        <w:t xml:space="preserve"> </w:t>
      </w:r>
      <w:r>
        <w:rPr>
          <w:sz w:val="20"/>
        </w:rPr>
        <w:t>argumentó</w:t>
      </w:r>
      <w:r>
        <w:rPr>
          <w:spacing w:val="-15"/>
          <w:sz w:val="20"/>
        </w:rPr>
        <w:t xml:space="preserve"> </w:t>
      </w:r>
      <w:r>
        <w:rPr>
          <w:sz w:val="20"/>
        </w:rPr>
        <w:t>la</w:t>
      </w:r>
      <w:r>
        <w:rPr>
          <w:spacing w:val="-16"/>
          <w:sz w:val="20"/>
        </w:rPr>
        <w:t xml:space="preserve"> </w:t>
      </w:r>
      <w:r>
        <w:rPr>
          <w:sz w:val="20"/>
        </w:rPr>
        <w:t>falta</w:t>
      </w:r>
      <w:r>
        <w:rPr>
          <w:spacing w:val="-15"/>
          <w:sz w:val="20"/>
        </w:rPr>
        <w:t xml:space="preserve"> </w:t>
      </w:r>
      <w:r>
        <w:rPr>
          <w:sz w:val="20"/>
        </w:rPr>
        <w:t>de</w:t>
      </w:r>
      <w:r>
        <w:rPr>
          <w:spacing w:val="-14"/>
          <w:sz w:val="20"/>
        </w:rPr>
        <w:t xml:space="preserve"> </w:t>
      </w:r>
      <w:r>
        <w:rPr>
          <w:i/>
          <w:sz w:val="20"/>
        </w:rPr>
        <w:t>competencia</w:t>
      </w:r>
      <w:r>
        <w:rPr>
          <w:i/>
          <w:spacing w:val="-15"/>
          <w:sz w:val="20"/>
        </w:rPr>
        <w:t xml:space="preserve"> </w:t>
      </w:r>
      <w:r>
        <w:rPr>
          <w:sz w:val="20"/>
        </w:rPr>
        <w:t>de</w:t>
      </w:r>
      <w:r>
        <w:rPr>
          <w:spacing w:val="-16"/>
          <w:sz w:val="20"/>
        </w:rPr>
        <w:t xml:space="preserve"> </w:t>
      </w:r>
      <w:r>
        <w:rPr>
          <w:sz w:val="20"/>
        </w:rPr>
        <w:t>la</w:t>
      </w:r>
      <w:r>
        <w:rPr>
          <w:spacing w:val="-15"/>
          <w:sz w:val="20"/>
        </w:rPr>
        <w:t xml:space="preserve"> </w:t>
      </w:r>
      <w:r>
        <w:rPr>
          <w:sz w:val="20"/>
        </w:rPr>
        <w:t>Corte</w:t>
      </w:r>
      <w:r>
        <w:rPr>
          <w:spacing w:val="-16"/>
          <w:sz w:val="20"/>
        </w:rPr>
        <w:t xml:space="preserve"> </w:t>
      </w:r>
      <w:r>
        <w:rPr>
          <w:sz w:val="20"/>
        </w:rPr>
        <w:t>para</w:t>
      </w:r>
      <w:r>
        <w:rPr>
          <w:spacing w:val="-15"/>
          <w:sz w:val="20"/>
        </w:rPr>
        <w:t xml:space="preserve"> </w:t>
      </w:r>
      <w:r>
        <w:rPr>
          <w:sz w:val="20"/>
        </w:rPr>
        <w:t>conocer de la alegada violación al artículo 26 de la Convención Americana, por lo que correspondía a la Corte, determinar si, en efecto, era competente para analizar de manera directa una posible violación del derecho al trabajo. Por ello, la Corte no debi</w:t>
      </w:r>
      <w:r>
        <w:rPr>
          <w:sz w:val="20"/>
        </w:rPr>
        <w:t>ó desestimar de plano la excepción preliminar planteada y señalar que este asunto se analizaría en el fondo, pues los alegatos del Estado se referían a asuntos preliminares, que</w:t>
      </w:r>
      <w:r>
        <w:rPr>
          <w:spacing w:val="-8"/>
          <w:sz w:val="20"/>
        </w:rPr>
        <w:t xml:space="preserve"> </w:t>
      </w:r>
      <w:r>
        <w:rPr>
          <w:sz w:val="20"/>
        </w:rPr>
        <w:t>debían</w:t>
      </w:r>
      <w:r>
        <w:rPr>
          <w:spacing w:val="-2"/>
          <w:sz w:val="20"/>
        </w:rPr>
        <w:t xml:space="preserve"> </w:t>
      </w:r>
      <w:r>
        <w:rPr>
          <w:sz w:val="20"/>
        </w:rPr>
        <w:t>ser</w:t>
      </w:r>
      <w:r>
        <w:rPr>
          <w:spacing w:val="-4"/>
          <w:sz w:val="20"/>
        </w:rPr>
        <w:t xml:space="preserve"> </w:t>
      </w:r>
      <w:r>
        <w:rPr>
          <w:sz w:val="20"/>
        </w:rPr>
        <w:t>evacuados</w:t>
      </w:r>
      <w:r>
        <w:rPr>
          <w:spacing w:val="-4"/>
          <w:sz w:val="20"/>
        </w:rPr>
        <w:t xml:space="preserve"> </w:t>
      </w:r>
      <w:r>
        <w:rPr>
          <w:sz w:val="20"/>
        </w:rPr>
        <w:t>al</w:t>
      </w:r>
      <w:r>
        <w:rPr>
          <w:spacing w:val="-5"/>
          <w:sz w:val="20"/>
        </w:rPr>
        <w:t xml:space="preserve"> </w:t>
      </w:r>
      <w:r>
        <w:rPr>
          <w:sz w:val="20"/>
        </w:rPr>
        <w:t>momento</w:t>
      </w:r>
      <w:r>
        <w:rPr>
          <w:spacing w:val="-5"/>
          <w:sz w:val="20"/>
        </w:rPr>
        <w:t xml:space="preserve"> </w:t>
      </w:r>
      <w:r>
        <w:rPr>
          <w:sz w:val="20"/>
        </w:rPr>
        <w:t>de</w:t>
      </w:r>
      <w:r>
        <w:rPr>
          <w:spacing w:val="-4"/>
          <w:sz w:val="20"/>
        </w:rPr>
        <w:t xml:space="preserve"> </w:t>
      </w:r>
      <w:r>
        <w:rPr>
          <w:sz w:val="20"/>
        </w:rPr>
        <w:t>decidir</w:t>
      </w:r>
      <w:r>
        <w:rPr>
          <w:spacing w:val="-6"/>
          <w:sz w:val="20"/>
        </w:rPr>
        <w:t xml:space="preserve"> </w:t>
      </w:r>
      <w:r>
        <w:rPr>
          <w:sz w:val="20"/>
        </w:rPr>
        <w:t>la</w:t>
      </w:r>
      <w:r>
        <w:rPr>
          <w:spacing w:val="-3"/>
          <w:sz w:val="20"/>
        </w:rPr>
        <w:t xml:space="preserve"> </w:t>
      </w:r>
      <w:r>
        <w:rPr>
          <w:sz w:val="20"/>
        </w:rPr>
        <w:t>excepción</w:t>
      </w:r>
      <w:r>
        <w:rPr>
          <w:spacing w:val="-4"/>
          <w:sz w:val="20"/>
        </w:rPr>
        <w:t xml:space="preserve"> </w:t>
      </w:r>
      <w:r>
        <w:rPr>
          <w:sz w:val="20"/>
        </w:rPr>
        <w:t>preliminar.</w:t>
      </w:r>
      <w:r>
        <w:rPr>
          <w:spacing w:val="-6"/>
          <w:sz w:val="20"/>
        </w:rPr>
        <w:t xml:space="preserve"> </w:t>
      </w:r>
      <w:r>
        <w:rPr>
          <w:sz w:val="20"/>
        </w:rPr>
        <w:t>Además,</w:t>
      </w:r>
      <w:r>
        <w:rPr>
          <w:spacing w:val="-7"/>
          <w:sz w:val="20"/>
        </w:rPr>
        <w:t xml:space="preserve"> </w:t>
      </w:r>
      <w:r>
        <w:rPr>
          <w:sz w:val="20"/>
        </w:rPr>
        <w:t>a</w:t>
      </w:r>
      <w:r>
        <w:rPr>
          <w:spacing w:val="-3"/>
          <w:sz w:val="20"/>
        </w:rPr>
        <w:t xml:space="preserve"> </w:t>
      </w:r>
      <w:r>
        <w:rPr>
          <w:sz w:val="20"/>
        </w:rPr>
        <w:t>mi juicio, la Corte debió concluir que no era competente para analizar de forma directa posibles</w:t>
      </w:r>
      <w:r>
        <w:rPr>
          <w:spacing w:val="-7"/>
          <w:sz w:val="20"/>
        </w:rPr>
        <w:t xml:space="preserve"> </w:t>
      </w:r>
      <w:r>
        <w:rPr>
          <w:sz w:val="20"/>
        </w:rPr>
        <w:t>violaciones</w:t>
      </w:r>
      <w:r>
        <w:rPr>
          <w:spacing w:val="-6"/>
          <w:sz w:val="20"/>
        </w:rPr>
        <w:t xml:space="preserve"> </w:t>
      </w:r>
      <w:r>
        <w:rPr>
          <w:sz w:val="20"/>
        </w:rPr>
        <w:t>del</w:t>
      </w:r>
      <w:r>
        <w:rPr>
          <w:spacing w:val="-3"/>
          <w:sz w:val="20"/>
        </w:rPr>
        <w:t xml:space="preserve"> </w:t>
      </w:r>
      <w:r>
        <w:rPr>
          <w:sz w:val="20"/>
        </w:rPr>
        <w:t>derecho</w:t>
      </w:r>
      <w:r>
        <w:rPr>
          <w:spacing w:val="-8"/>
          <w:sz w:val="20"/>
        </w:rPr>
        <w:t xml:space="preserve"> </w:t>
      </w:r>
      <w:r>
        <w:rPr>
          <w:sz w:val="20"/>
        </w:rPr>
        <w:t>al</w:t>
      </w:r>
      <w:r>
        <w:rPr>
          <w:spacing w:val="-5"/>
          <w:sz w:val="20"/>
        </w:rPr>
        <w:t xml:space="preserve"> </w:t>
      </w:r>
      <w:r>
        <w:rPr>
          <w:sz w:val="20"/>
        </w:rPr>
        <w:t>trabajo,</w:t>
      </w:r>
      <w:r>
        <w:rPr>
          <w:spacing w:val="-6"/>
          <w:sz w:val="20"/>
        </w:rPr>
        <w:t xml:space="preserve"> </w:t>
      </w:r>
      <w:r>
        <w:rPr>
          <w:sz w:val="20"/>
        </w:rPr>
        <w:t>por</w:t>
      </w:r>
      <w:r>
        <w:rPr>
          <w:spacing w:val="-7"/>
          <w:sz w:val="20"/>
        </w:rPr>
        <w:t xml:space="preserve"> </w:t>
      </w:r>
      <w:r>
        <w:rPr>
          <w:sz w:val="20"/>
        </w:rPr>
        <w:t>lo</w:t>
      </w:r>
      <w:r>
        <w:rPr>
          <w:spacing w:val="-8"/>
          <w:sz w:val="20"/>
        </w:rPr>
        <w:t xml:space="preserve"> </w:t>
      </w:r>
      <w:r>
        <w:rPr>
          <w:sz w:val="20"/>
        </w:rPr>
        <w:t>que</w:t>
      </w:r>
      <w:r>
        <w:rPr>
          <w:spacing w:val="-7"/>
          <w:sz w:val="20"/>
        </w:rPr>
        <w:t xml:space="preserve"> </w:t>
      </w:r>
      <w:r>
        <w:rPr>
          <w:sz w:val="20"/>
        </w:rPr>
        <w:t>la</w:t>
      </w:r>
      <w:r>
        <w:rPr>
          <w:spacing w:val="-3"/>
          <w:sz w:val="20"/>
        </w:rPr>
        <w:t xml:space="preserve"> </w:t>
      </w:r>
      <w:r>
        <w:rPr>
          <w:sz w:val="20"/>
        </w:rPr>
        <w:t>excepción</w:t>
      </w:r>
      <w:r>
        <w:rPr>
          <w:spacing w:val="-5"/>
          <w:sz w:val="20"/>
        </w:rPr>
        <w:t xml:space="preserve"> </w:t>
      </w:r>
      <w:r>
        <w:rPr>
          <w:sz w:val="20"/>
        </w:rPr>
        <w:t>preliminar</w:t>
      </w:r>
      <w:r>
        <w:rPr>
          <w:spacing w:val="-7"/>
          <w:sz w:val="20"/>
        </w:rPr>
        <w:t xml:space="preserve"> </w:t>
      </w:r>
      <w:r>
        <w:rPr>
          <w:sz w:val="20"/>
        </w:rPr>
        <w:t>planteada por el Estado debió haber sido acogida. Los argumentos por los cuales considero que la Corte no era competente para analizar de forma directa dichas violaciones son presentados con mayor detalle en el siguiente</w:t>
      </w:r>
      <w:r>
        <w:rPr>
          <w:spacing w:val="-4"/>
          <w:sz w:val="20"/>
        </w:rPr>
        <w:t xml:space="preserve"> </w:t>
      </w:r>
      <w:r>
        <w:rPr>
          <w:sz w:val="20"/>
        </w:rPr>
        <w:t>apartado.</w:t>
      </w:r>
    </w:p>
    <w:p w14:paraId="6CB34E46" w14:textId="77777777" w:rsidR="00467FCA" w:rsidRDefault="00467FCA">
      <w:pPr>
        <w:pStyle w:val="Textoindependiente"/>
        <w:rPr>
          <w:sz w:val="23"/>
        </w:rPr>
      </w:pPr>
    </w:p>
    <w:p w14:paraId="35CED1C2" w14:textId="77777777" w:rsidR="00467FCA" w:rsidRDefault="001B68EB">
      <w:pPr>
        <w:pStyle w:val="Prrafodelista"/>
        <w:numPr>
          <w:ilvl w:val="1"/>
          <w:numId w:val="10"/>
        </w:numPr>
        <w:tabs>
          <w:tab w:val="left" w:pos="1308"/>
        </w:tabs>
        <w:spacing w:line="276" w:lineRule="auto"/>
        <w:ind w:right="556" w:firstLine="0"/>
        <w:jc w:val="both"/>
        <w:rPr>
          <w:sz w:val="20"/>
        </w:rPr>
      </w:pPr>
      <w:r>
        <w:rPr>
          <w:sz w:val="20"/>
        </w:rPr>
        <w:t>En la presente Sentencia</w:t>
      </w:r>
      <w:r>
        <w:rPr>
          <w:sz w:val="20"/>
        </w:rPr>
        <w:t>, la Corte concluyó que Brasil es responsable “por la violación de los artículos 19, 24 y 26 de la Convención Americana, en relación con el artículo 1.1 del mismo instrumento, en perjuicio de 60 personas fallecidas y 6 sobrevivientes</w:t>
      </w:r>
      <w:r>
        <w:rPr>
          <w:spacing w:val="-21"/>
          <w:sz w:val="20"/>
        </w:rPr>
        <w:t xml:space="preserve"> </w:t>
      </w:r>
      <w:r>
        <w:rPr>
          <w:sz w:val="20"/>
        </w:rPr>
        <w:t>de</w:t>
      </w:r>
      <w:r>
        <w:rPr>
          <w:spacing w:val="-21"/>
          <w:sz w:val="20"/>
        </w:rPr>
        <w:t xml:space="preserve"> </w:t>
      </w:r>
      <w:r>
        <w:rPr>
          <w:sz w:val="20"/>
        </w:rPr>
        <w:t>la</w:t>
      </w:r>
      <w:r>
        <w:rPr>
          <w:spacing w:val="-17"/>
          <w:sz w:val="20"/>
        </w:rPr>
        <w:t xml:space="preserve"> </w:t>
      </w:r>
      <w:r>
        <w:rPr>
          <w:sz w:val="20"/>
        </w:rPr>
        <w:t>explosión</w:t>
      </w:r>
      <w:r>
        <w:rPr>
          <w:spacing w:val="-19"/>
          <w:sz w:val="20"/>
        </w:rPr>
        <w:t xml:space="preserve"> </w:t>
      </w:r>
      <w:r>
        <w:rPr>
          <w:sz w:val="20"/>
        </w:rPr>
        <w:t>de</w:t>
      </w:r>
      <w:r>
        <w:rPr>
          <w:spacing w:val="-21"/>
          <w:sz w:val="20"/>
        </w:rPr>
        <w:t xml:space="preserve"> </w:t>
      </w:r>
      <w:r>
        <w:rPr>
          <w:sz w:val="20"/>
        </w:rPr>
        <w:t>la</w:t>
      </w:r>
      <w:r>
        <w:rPr>
          <w:spacing w:val="-20"/>
          <w:sz w:val="20"/>
        </w:rPr>
        <w:t xml:space="preserve"> </w:t>
      </w:r>
      <w:r>
        <w:rPr>
          <w:sz w:val="20"/>
        </w:rPr>
        <w:t>fábrica</w:t>
      </w:r>
      <w:r>
        <w:rPr>
          <w:spacing w:val="-20"/>
          <w:sz w:val="20"/>
        </w:rPr>
        <w:t xml:space="preserve"> </w:t>
      </w:r>
      <w:r>
        <w:rPr>
          <w:sz w:val="20"/>
        </w:rPr>
        <w:t>de</w:t>
      </w:r>
      <w:r>
        <w:rPr>
          <w:spacing w:val="-21"/>
          <w:sz w:val="20"/>
        </w:rPr>
        <w:t xml:space="preserve"> </w:t>
      </w:r>
      <w:r>
        <w:rPr>
          <w:sz w:val="20"/>
        </w:rPr>
        <w:t>fuegos</w:t>
      </w:r>
      <w:r>
        <w:rPr>
          <w:spacing w:val="-21"/>
          <w:sz w:val="20"/>
        </w:rPr>
        <w:t xml:space="preserve"> </w:t>
      </w:r>
      <w:r>
        <w:rPr>
          <w:sz w:val="20"/>
        </w:rPr>
        <w:t>de</w:t>
      </w:r>
      <w:r>
        <w:rPr>
          <w:spacing w:val="-21"/>
          <w:sz w:val="20"/>
        </w:rPr>
        <w:t xml:space="preserve"> </w:t>
      </w:r>
      <w:r>
        <w:rPr>
          <w:sz w:val="20"/>
        </w:rPr>
        <w:t>Santo</w:t>
      </w:r>
      <w:r>
        <w:rPr>
          <w:spacing w:val="-21"/>
          <w:sz w:val="20"/>
        </w:rPr>
        <w:t xml:space="preserve"> </w:t>
      </w:r>
      <w:r>
        <w:rPr>
          <w:sz w:val="20"/>
        </w:rPr>
        <w:t>Antônio</w:t>
      </w:r>
      <w:r>
        <w:rPr>
          <w:spacing w:val="-21"/>
          <w:sz w:val="20"/>
        </w:rPr>
        <w:t xml:space="preserve"> </w:t>
      </w:r>
      <w:r>
        <w:rPr>
          <w:sz w:val="20"/>
        </w:rPr>
        <w:t>de</w:t>
      </w:r>
      <w:r>
        <w:rPr>
          <w:spacing w:val="-19"/>
          <w:sz w:val="20"/>
        </w:rPr>
        <w:t xml:space="preserve"> </w:t>
      </w:r>
      <w:r>
        <w:rPr>
          <w:sz w:val="20"/>
        </w:rPr>
        <w:t>Jesus,</w:t>
      </w:r>
      <w:r>
        <w:rPr>
          <w:spacing w:val="-18"/>
          <w:sz w:val="20"/>
        </w:rPr>
        <w:t xml:space="preserve"> </w:t>
      </w:r>
      <w:r>
        <w:rPr>
          <w:sz w:val="20"/>
        </w:rPr>
        <w:t>ocurrida el 11 de diciembre de 1998”</w:t>
      </w:r>
      <w:hyperlink w:anchor="_bookmark675" w:history="1">
        <w:r>
          <w:rPr>
            <w:position w:val="7"/>
            <w:sz w:val="13"/>
          </w:rPr>
          <w:t>17</w:t>
        </w:r>
      </w:hyperlink>
      <w:r>
        <w:rPr>
          <w:sz w:val="20"/>
        </w:rPr>
        <w:t>. La Corte llegó a esta conclusión luego de considerar, entre otros, que el Estado falló en su deber de prevenir accidentes de trabajo. La Se</w:t>
      </w:r>
      <w:r>
        <w:rPr>
          <w:sz w:val="20"/>
        </w:rPr>
        <w:t>ntencia</w:t>
      </w:r>
      <w:r>
        <w:rPr>
          <w:spacing w:val="-5"/>
          <w:sz w:val="20"/>
        </w:rPr>
        <w:t xml:space="preserve"> </w:t>
      </w:r>
      <w:r>
        <w:rPr>
          <w:sz w:val="20"/>
        </w:rPr>
        <w:t>indica</w:t>
      </w:r>
      <w:r>
        <w:rPr>
          <w:spacing w:val="-5"/>
          <w:sz w:val="20"/>
        </w:rPr>
        <w:t xml:space="preserve"> </w:t>
      </w:r>
      <w:r>
        <w:rPr>
          <w:sz w:val="20"/>
        </w:rPr>
        <w:t>que</w:t>
      </w:r>
      <w:r>
        <w:rPr>
          <w:spacing w:val="-3"/>
          <w:sz w:val="20"/>
        </w:rPr>
        <w:t xml:space="preserve"> </w:t>
      </w:r>
      <w:r>
        <w:rPr>
          <w:sz w:val="20"/>
        </w:rPr>
        <w:t>este</w:t>
      </w:r>
      <w:r>
        <w:rPr>
          <w:spacing w:val="-7"/>
          <w:sz w:val="20"/>
        </w:rPr>
        <w:t xml:space="preserve"> </w:t>
      </w:r>
      <w:r>
        <w:rPr>
          <w:sz w:val="20"/>
        </w:rPr>
        <w:t>deber</w:t>
      </w:r>
      <w:r>
        <w:rPr>
          <w:spacing w:val="-6"/>
          <w:sz w:val="20"/>
        </w:rPr>
        <w:t xml:space="preserve"> </w:t>
      </w:r>
      <w:r>
        <w:rPr>
          <w:sz w:val="20"/>
        </w:rPr>
        <w:t>“resulta</w:t>
      </w:r>
      <w:r>
        <w:rPr>
          <w:spacing w:val="-5"/>
          <w:sz w:val="20"/>
        </w:rPr>
        <w:t xml:space="preserve"> </w:t>
      </w:r>
      <w:r>
        <w:rPr>
          <w:sz w:val="20"/>
        </w:rPr>
        <w:t>aún</w:t>
      </w:r>
      <w:r>
        <w:rPr>
          <w:spacing w:val="-3"/>
          <w:sz w:val="20"/>
        </w:rPr>
        <w:t xml:space="preserve"> </w:t>
      </w:r>
      <w:r>
        <w:rPr>
          <w:sz w:val="20"/>
        </w:rPr>
        <w:t>más</w:t>
      </w:r>
      <w:r>
        <w:rPr>
          <w:spacing w:val="-6"/>
          <w:sz w:val="20"/>
        </w:rPr>
        <w:t xml:space="preserve"> </w:t>
      </w:r>
      <w:r>
        <w:rPr>
          <w:sz w:val="20"/>
        </w:rPr>
        <w:t>relevante</w:t>
      </w:r>
      <w:r>
        <w:rPr>
          <w:spacing w:val="-6"/>
          <w:sz w:val="20"/>
        </w:rPr>
        <w:t xml:space="preserve"> </w:t>
      </w:r>
      <w:r>
        <w:rPr>
          <w:sz w:val="20"/>
        </w:rPr>
        <w:t>debido</w:t>
      </w:r>
      <w:r>
        <w:rPr>
          <w:spacing w:val="-4"/>
          <w:sz w:val="20"/>
        </w:rPr>
        <w:t xml:space="preserve"> </w:t>
      </w:r>
      <w:r>
        <w:rPr>
          <w:sz w:val="20"/>
        </w:rPr>
        <w:t>a</w:t>
      </w:r>
      <w:r>
        <w:rPr>
          <w:spacing w:val="-4"/>
          <w:sz w:val="20"/>
        </w:rPr>
        <w:t xml:space="preserve"> </w:t>
      </w:r>
      <w:r>
        <w:rPr>
          <w:sz w:val="20"/>
        </w:rPr>
        <w:t>la</w:t>
      </w:r>
      <w:r>
        <w:rPr>
          <w:spacing w:val="-3"/>
          <w:sz w:val="20"/>
        </w:rPr>
        <w:t xml:space="preserve"> </w:t>
      </w:r>
      <w:r>
        <w:rPr>
          <w:sz w:val="20"/>
        </w:rPr>
        <w:t>magnitud</w:t>
      </w:r>
      <w:r>
        <w:rPr>
          <w:spacing w:val="-5"/>
          <w:sz w:val="20"/>
        </w:rPr>
        <w:t xml:space="preserve"> </w:t>
      </w:r>
      <w:r>
        <w:rPr>
          <w:sz w:val="20"/>
        </w:rPr>
        <w:t>de</w:t>
      </w:r>
      <w:r>
        <w:rPr>
          <w:spacing w:val="-6"/>
          <w:sz w:val="20"/>
        </w:rPr>
        <w:t xml:space="preserve"> </w:t>
      </w:r>
      <w:r>
        <w:rPr>
          <w:sz w:val="20"/>
        </w:rPr>
        <w:t>los hechos</w:t>
      </w:r>
      <w:r>
        <w:rPr>
          <w:spacing w:val="-11"/>
          <w:sz w:val="20"/>
        </w:rPr>
        <w:t xml:space="preserve"> </w:t>
      </w:r>
      <w:r>
        <w:rPr>
          <w:sz w:val="20"/>
        </w:rPr>
        <w:t>del</w:t>
      </w:r>
      <w:r>
        <w:rPr>
          <w:spacing w:val="-7"/>
          <w:sz w:val="20"/>
        </w:rPr>
        <w:t xml:space="preserve"> </w:t>
      </w:r>
      <w:r>
        <w:rPr>
          <w:sz w:val="20"/>
        </w:rPr>
        <w:t>presente</w:t>
      </w:r>
      <w:r>
        <w:rPr>
          <w:spacing w:val="-9"/>
          <w:sz w:val="20"/>
        </w:rPr>
        <w:t xml:space="preserve"> </w:t>
      </w:r>
      <w:r>
        <w:rPr>
          <w:sz w:val="20"/>
        </w:rPr>
        <w:t>caso,</w:t>
      </w:r>
      <w:r>
        <w:rPr>
          <w:spacing w:val="-11"/>
          <w:sz w:val="20"/>
        </w:rPr>
        <w:t xml:space="preserve"> </w:t>
      </w:r>
      <w:r>
        <w:rPr>
          <w:sz w:val="20"/>
        </w:rPr>
        <w:t>que</w:t>
      </w:r>
      <w:r>
        <w:rPr>
          <w:spacing w:val="-11"/>
          <w:sz w:val="20"/>
        </w:rPr>
        <w:t xml:space="preserve"> </w:t>
      </w:r>
      <w:r>
        <w:rPr>
          <w:sz w:val="20"/>
        </w:rPr>
        <w:t>terminaron</w:t>
      </w:r>
      <w:r>
        <w:rPr>
          <w:spacing w:val="-9"/>
          <w:sz w:val="20"/>
        </w:rPr>
        <w:t xml:space="preserve"> </w:t>
      </w:r>
      <w:r>
        <w:rPr>
          <w:sz w:val="20"/>
        </w:rPr>
        <w:t>por</w:t>
      </w:r>
      <w:r>
        <w:rPr>
          <w:spacing w:val="-11"/>
          <w:sz w:val="20"/>
        </w:rPr>
        <w:t xml:space="preserve"> </w:t>
      </w:r>
      <w:r>
        <w:rPr>
          <w:sz w:val="20"/>
        </w:rPr>
        <w:t>afectar</w:t>
      </w:r>
      <w:r>
        <w:rPr>
          <w:spacing w:val="-11"/>
          <w:sz w:val="20"/>
        </w:rPr>
        <w:t xml:space="preserve"> </w:t>
      </w:r>
      <w:r>
        <w:rPr>
          <w:sz w:val="20"/>
        </w:rPr>
        <w:t>gravemente</w:t>
      </w:r>
      <w:r>
        <w:rPr>
          <w:spacing w:val="-9"/>
          <w:sz w:val="20"/>
        </w:rPr>
        <w:t xml:space="preserve"> </w:t>
      </w:r>
      <w:r>
        <w:rPr>
          <w:sz w:val="20"/>
        </w:rPr>
        <w:t>la</w:t>
      </w:r>
      <w:r>
        <w:rPr>
          <w:spacing w:val="-9"/>
          <w:sz w:val="20"/>
        </w:rPr>
        <w:t xml:space="preserve"> </w:t>
      </w:r>
      <w:r>
        <w:rPr>
          <w:sz w:val="20"/>
        </w:rPr>
        <w:t>vida</w:t>
      </w:r>
      <w:r>
        <w:rPr>
          <w:spacing w:val="-10"/>
          <w:sz w:val="20"/>
        </w:rPr>
        <w:t xml:space="preserve"> </w:t>
      </w:r>
      <w:r>
        <w:rPr>
          <w:sz w:val="20"/>
        </w:rPr>
        <w:t>y</w:t>
      </w:r>
      <w:r>
        <w:rPr>
          <w:spacing w:val="-11"/>
          <w:sz w:val="20"/>
        </w:rPr>
        <w:t xml:space="preserve"> </w:t>
      </w:r>
      <w:r>
        <w:rPr>
          <w:sz w:val="20"/>
        </w:rPr>
        <w:t>la</w:t>
      </w:r>
      <w:r>
        <w:rPr>
          <w:spacing w:val="-10"/>
          <w:sz w:val="20"/>
        </w:rPr>
        <w:t xml:space="preserve"> </w:t>
      </w:r>
      <w:r>
        <w:rPr>
          <w:sz w:val="20"/>
        </w:rPr>
        <w:t>integridad personal de las trabajadoras y trabajadores” (párr.</w:t>
      </w:r>
      <w:r>
        <w:rPr>
          <w:spacing w:val="-8"/>
          <w:sz w:val="20"/>
        </w:rPr>
        <w:t xml:space="preserve"> </w:t>
      </w:r>
      <w:r>
        <w:rPr>
          <w:sz w:val="20"/>
        </w:rPr>
        <w:t>176).</w:t>
      </w:r>
    </w:p>
    <w:p w14:paraId="5A51E2E8" w14:textId="77777777" w:rsidR="00467FCA" w:rsidRDefault="00467FCA">
      <w:pPr>
        <w:pStyle w:val="Textoindependiente"/>
        <w:spacing w:before="10"/>
        <w:rPr>
          <w:sz w:val="22"/>
        </w:rPr>
      </w:pPr>
    </w:p>
    <w:p w14:paraId="127AB98C" w14:textId="77777777" w:rsidR="00467FCA" w:rsidRDefault="001B68EB">
      <w:pPr>
        <w:pStyle w:val="Prrafodelista"/>
        <w:numPr>
          <w:ilvl w:val="1"/>
          <w:numId w:val="10"/>
        </w:numPr>
        <w:tabs>
          <w:tab w:val="left" w:pos="1308"/>
        </w:tabs>
        <w:spacing w:line="276" w:lineRule="auto"/>
        <w:ind w:left="740" w:right="557" w:firstLine="0"/>
        <w:jc w:val="both"/>
        <w:rPr>
          <w:sz w:val="20"/>
        </w:rPr>
      </w:pPr>
      <w:r>
        <w:rPr>
          <w:sz w:val="20"/>
        </w:rPr>
        <w:t xml:space="preserve">Si bien comparto de manera general el criterio sostenido por mis colegas, lo cual quedó de manifiesto en mi voto a favor del Punto Resolutivo No. 6 de la Sentencia, considero importante </w:t>
      </w:r>
      <w:r>
        <w:rPr>
          <w:sz w:val="20"/>
        </w:rPr>
        <w:t>aclarar que esto no significa un distanciamiento de lo que he sostenido</w:t>
      </w:r>
      <w:r>
        <w:rPr>
          <w:spacing w:val="-8"/>
          <w:sz w:val="20"/>
        </w:rPr>
        <w:t xml:space="preserve"> </w:t>
      </w:r>
      <w:r>
        <w:rPr>
          <w:sz w:val="20"/>
        </w:rPr>
        <w:t>en</w:t>
      </w:r>
      <w:r>
        <w:rPr>
          <w:spacing w:val="-5"/>
          <w:sz w:val="20"/>
        </w:rPr>
        <w:t xml:space="preserve"> </w:t>
      </w:r>
      <w:r>
        <w:rPr>
          <w:sz w:val="20"/>
        </w:rPr>
        <w:t>otros</w:t>
      </w:r>
      <w:r>
        <w:rPr>
          <w:spacing w:val="-7"/>
          <w:sz w:val="20"/>
        </w:rPr>
        <w:t xml:space="preserve"> </w:t>
      </w:r>
      <w:r>
        <w:rPr>
          <w:sz w:val="20"/>
        </w:rPr>
        <w:t>votos</w:t>
      </w:r>
      <w:r>
        <w:rPr>
          <w:spacing w:val="-8"/>
          <w:sz w:val="20"/>
        </w:rPr>
        <w:t xml:space="preserve"> </w:t>
      </w:r>
      <w:r>
        <w:rPr>
          <w:sz w:val="20"/>
        </w:rPr>
        <w:t>disidentes</w:t>
      </w:r>
      <w:r>
        <w:rPr>
          <w:spacing w:val="-10"/>
          <w:sz w:val="20"/>
        </w:rPr>
        <w:t xml:space="preserve"> </w:t>
      </w:r>
      <w:r>
        <w:rPr>
          <w:sz w:val="20"/>
        </w:rPr>
        <w:t>o</w:t>
      </w:r>
      <w:r>
        <w:rPr>
          <w:spacing w:val="-8"/>
          <w:sz w:val="20"/>
        </w:rPr>
        <w:t xml:space="preserve"> </w:t>
      </w:r>
      <w:r>
        <w:rPr>
          <w:sz w:val="20"/>
        </w:rPr>
        <w:t>concurrentes</w:t>
      </w:r>
      <w:r>
        <w:rPr>
          <w:spacing w:val="-7"/>
          <w:sz w:val="20"/>
        </w:rPr>
        <w:t xml:space="preserve"> </w:t>
      </w:r>
      <w:r>
        <w:rPr>
          <w:sz w:val="20"/>
        </w:rPr>
        <w:t>emitidos</w:t>
      </w:r>
      <w:r>
        <w:rPr>
          <w:spacing w:val="-11"/>
          <w:sz w:val="20"/>
        </w:rPr>
        <w:t xml:space="preserve"> </w:t>
      </w:r>
      <w:r>
        <w:rPr>
          <w:sz w:val="20"/>
        </w:rPr>
        <w:t>anteriormente</w:t>
      </w:r>
      <w:r>
        <w:rPr>
          <w:spacing w:val="-10"/>
          <w:sz w:val="20"/>
        </w:rPr>
        <w:t xml:space="preserve"> </w:t>
      </w:r>
      <w:r>
        <w:rPr>
          <w:sz w:val="20"/>
        </w:rPr>
        <w:t>(supra,</w:t>
      </w:r>
      <w:r>
        <w:rPr>
          <w:spacing w:val="-9"/>
          <w:sz w:val="20"/>
        </w:rPr>
        <w:t xml:space="preserve"> </w:t>
      </w:r>
      <w:r>
        <w:rPr>
          <w:sz w:val="20"/>
        </w:rPr>
        <w:t xml:space="preserve">párr. 2). Reitero que la justiciabilidad de los DESCA, a través de una aplicación directa del artículo 26 de la </w:t>
      </w:r>
      <w:r>
        <w:rPr>
          <w:sz w:val="20"/>
        </w:rPr>
        <w:t>Convención, presenta al menos dos grandes falencias: la primera, que el artículo 26 no contiene propiamente un catálogo de derechos, sino que remite a la Carta de la Organización de Estados Americanos, y esta tampoco contiene un catálogo de derechos claros</w:t>
      </w:r>
      <w:r>
        <w:rPr>
          <w:sz w:val="20"/>
        </w:rPr>
        <w:t xml:space="preserve"> y precisos que permita derivar de ellos obligaciones exigibles a los Estados por vía del sistema de peticiones individuales</w:t>
      </w:r>
      <w:hyperlink w:anchor="_bookmark676" w:history="1">
        <w:r>
          <w:rPr>
            <w:position w:val="7"/>
            <w:sz w:val="13"/>
          </w:rPr>
          <w:t>18</w:t>
        </w:r>
      </w:hyperlink>
      <w:r>
        <w:rPr>
          <w:sz w:val="20"/>
        </w:rPr>
        <w:t>. La segunda, que el</w:t>
      </w:r>
      <w:r>
        <w:rPr>
          <w:spacing w:val="17"/>
          <w:sz w:val="20"/>
        </w:rPr>
        <w:t xml:space="preserve"> </w:t>
      </w:r>
      <w:r>
        <w:rPr>
          <w:sz w:val="20"/>
        </w:rPr>
        <w:t>argumento</w:t>
      </w:r>
    </w:p>
    <w:p w14:paraId="092CEC7B" w14:textId="77777777" w:rsidR="00467FCA" w:rsidRDefault="00467FCA">
      <w:pPr>
        <w:pStyle w:val="Textoindependiente"/>
      </w:pPr>
    </w:p>
    <w:p w14:paraId="1B78DC24" w14:textId="77777777" w:rsidR="00467FCA" w:rsidRDefault="001B68EB">
      <w:pPr>
        <w:pStyle w:val="Textoindependiente"/>
        <w:spacing w:before="3"/>
        <w:rPr>
          <w:sz w:val="15"/>
        </w:rPr>
      </w:pPr>
      <w:r>
        <w:pict w14:anchorId="428D60FE">
          <v:shape id="_x0000_s1074" style="position:absolute;margin-left:85.1pt;margin-top:11.55pt;width:2in;height:.1pt;z-index:-251533312;mso-wrap-distance-left:0;mso-wrap-distance-right:0;mso-position-horizontal-relative:page" coordorigin="1702,231" coordsize="2880,0" path="m1702,231r2880,e" filled="f" strokeweight=".6pt">
            <v:path arrowok="t"/>
            <w10:wrap type="topAndBottom" anchorx="page"/>
          </v:shape>
        </w:pict>
      </w:r>
    </w:p>
    <w:p w14:paraId="06A20010" w14:textId="77777777" w:rsidR="00467FCA" w:rsidRDefault="001B68EB">
      <w:pPr>
        <w:tabs>
          <w:tab w:val="left" w:pos="1307"/>
        </w:tabs>
        <w:spacing w:before="67"/>
        <w:ind w:left="741" w:right="552"/>
        <w:jc w:val="both"/>
        <w:rPr>
          <w:sz w:val="16"/>
        </w:rPr>
      </w:pPr>
      <w:bookmarkStart w:id="754" w:name="_bookmark674"/>
      <w:bookmarkEnd w:id="754"/>
      <w:r>
        <w:rPr>
          <w:position w:val="6"/>
          <w:sz w:val="10"/>
        </w:rPr>
        <w:t>16</w:t>
      </w:r>
      <w:r>
        <w:rPr>
          <w:position w:val="6"/>
          <w:sz w:val="10"/>
        </w:rPr>
        <w:tab/>
      </w:r>
      <w:r>
        <w:rPr>
          <w:i/>
          <w:spacing w:val="-10"/>
          <w:sz w:val="16"/>
        </w:rPr>
        <w:t xml:space="preserve">Cfr. </w:t>
      </w:r>
      <w:r>
        <w:rPr>
          <w:i/>
          <w:sz w:val="16"/>
        </w:rPr>
        <w:t>Caso Castañeda Gutman Vs. México, supra</w:t>
      </w:r>
      <w:r>
        <w:rPr>
          <w:sz w:val="16"/>
        </w:rPr>
        <w:t xml:space="preserve">, y </w:t>
      </w:r>
      <w:r>
        <w:rPr>
          <w:i/>
          <w:sz w:val="16"/>
        </w:rPr>
        <w:t>Caso Lagos del Campo Vs. Perú. Excepciones Preliminares, Fondo, Reparaciones y Costas</w:t>
      </w:r>
      <w:r>
        <w:rPr>
          <w:sz w:val="16"/>
        </w:rPr>
        <w:t>. Sentencia de 31 de agosto de 2017. Serie C No. 340, párr.</w:t>
      </w:r>
      <w:r>
        <w:rPr>
          <w:spacing w:val="-32"/>
          <w:sz w:val="16"/>
        </w:rPr>
        <w:t xml:space="preserve"> </w:t>
      </w:r>
      <w:r>
        <w:rPr>
          <w:sz w:val="16"/>
        </w:rPr>
        <w:t>17.</w:t>
      </w:r>
    </w:p>
    <w:p w14:paraId="0FE91505" w14:textId="77777777" w:rsidR="00467FCA" w:rsidRDefault="001B68EB">
      <w:pPr>
        <w:tabs>
          <w:tab w:val="left" w:pos="1307"/>
        </w:tabs>
        <w:spacing w:before="81"/>
        <w:ind w:left="741"/>
        <w:jc w:val="both"/>
        <w:rPr>
          <w:sz w:val="16"/>
        </w:rPr>
      </w:pPr>
      <w:bookmarkStart w:id="755" w:name="_bookmark675"/>
      <w:bookmarkEnd w:id="755"/>
      <w:r>
        <w:rPr>
          <w:position w:val="6"/>
          <w:sz w:val="10"/>
        </w:rPr>
        <w:t>17</w:t>
      </w:r>
      <w:r>
        <w:rPr>
          <w:position w:val="6"/>
          <w:sz w:val="10"/>
        </w:rPr>
        <w:tab/>
      </w:r>
      <w:r>
        <w:rPr>
          <w:sz w:val="16"/>
        </w:rPr>
        <w:t>Párrafo 204 de la</w:t>
      </w:r>
      <w:r>
        <w:rPr>
          <w:spacing w:val="-4"/>
          <w:sz w:val="16"/>
        </w:rPr>
        <w:t xml:space="preserve"> </w:t>
      </w:r>
      <w:r>
        <w:rPr>
          <w:sz w:val="16"/>
        </w:rPr>
        <w:t>Sentencia.</w:t>
      </w:r>
    </w:p>
    <w:p w14:paraId="7BD824EC" w14:textId="77777777" w:rsidR="00467FCA" w:rsidRDefault="001B68EB">
      <w:pPr>
        <w:tabs>
          <w:tab w:val="left" w:pos="1449"/>
        </w:tabs>
        <w:spacing w:before="79"/>
        <w:ind w:left="741" w:right="554"/>
        <w:jc w:val="both"/>
        <w:rPr>
          <w:sz w:val="16"/>
        </w:rPr>
      </w:pPr>
      <w:bookmarkStart w:id="756" w:name="_bookmark676"/>
      <w:bookmarkEnd w:id="756"/>
      <w:r>
        <w:rPr>
          <w:position w:val="6"/>
          <w:sz w:val="10"/>
        </w:rPr>
        <w:t>18</w:t>
      </w:r>
      <w:r>
        <w:rPr>
          <w:position w:val="6"/>
          <w:sz w:val="10"/>
        </w:rPr>
        <w:tab/>
      </w:r>
      <w:r>
        <w:rPr>
          <w:i/>
          <w:sz w:val="16"/>
        </w:rPr>
        <w:t>Cfr.</w:t>
      </w:r>
      <w:r>
        <w:rPr>
          <w:i/>
          <w:spacing w:val="-12"/>
          <w:sz w:val="16"/>
        </w:rPr>
        <w:t xml:space="preserve"> </w:t>
      </w:r>
      <w:r>
        <w:rPr>
          <w:i/>
          <w:sz w:val="16"/>
        </w:rPr>
        <w:t>Caso</w:t>
      </w:r>
      <w:r>
        <w:rPr>
          <w:i/>
          <w:spacing w:val="-12"/>
          <w:sz w:val="16"/>
        </w:rPr>
        <w:t xml:space="preserve"> </w:t>
      </w:r>
      <w:r>
        <w:rPr>
          <w:i/>
          <w:sz w:val="16"/>
        </w:rPr>
        <w:t>Gonzales</w:t>
      </w:r>
      <w:r>
        <w:rPr>
          <w:i/>
          <w:spacing w:val="-11"/>
          <w:sz w:val="16"/>
        </w:rPr>
        <w:t xml:space="preserve"> </w:t>
      </w:r>
      <w:r>
        <w:rPr>
          <w:i/>
          <w:sz w:val="16"/>
        </w:rPr>
        <w:t>Lluy</w:t>
      </w:r>
      <w:r>
        <w:rPr>
          <w:i/>
          <w:spacing w:val="-14"/>
          <w:sz w:val="16"/>
        </w:rPr>
        <w:t xml:space="preserve"> </w:t>
      </w:r>
      <w:r>
        <w:rPr>
          <w:i/>
          <w:sz w:val="16"/>
        </w:rPr>
        <w:t>y</w:t>
      </w:r>
      <w:r>
        <w:rPr>
          <w:i/>
          <w:spacing w:val="-12"/>
          <w:sz w:val="16"/>
        </w:rPr>
        <w:t xml:space="preserve"> </w:t>
      </w:r>
      <w:r>
        <w:rPr>
          <w:i/>
          <w:sz w:val="16"/>
        </w:rPr>
        <w:t>otr</w:t>
      </w:r>
      <w:r>
        <w:rPr>
          <w:i/>
          <w:sz w:val="16"/>
        </w:rPr>
        <w:t>os</w:t>
      </w:r>
      <w:r>
        <w:rPr>
          <w:i/>
          <w:spacing w:val="-11"/>
          <w:sz w:val="16"/>
        </w:rPr>
        <w:t xml:space="preserve"> </w:t>
      </w:r>
      <w:r>
        <w:rPr>
          <w:i/>
          <w:sz w:val="16"/>
        </w:rPr>
        <w:t>Vs.</w:t>
      </w:r>
      <w:r>
        <w:rPr>
          <w:i/>
          <w:spacing w:val="-11"/>
          <w:sz w:val="16"/>
        </w:rPr>
        <w:t xml:space="preserve"> </w:t>
      </w:r>
      <w:r>
        <w:rPr>
          <w:i/>
          <w:sz w:val="16"/>
        </w:rPr>
        <w:t>Ecuador.</w:t>
      </w:r>
      <w:r>
        <w:rPr>
          <w:i/>
          <w:spacing w:val="-14"/>
          <w:sz w:val="16"/>
        </w:rPr>
        <w:t xml:space="preserve"> </w:t>
      </w:r>
      <w:r>
        <w:rPr>
          <w:i/>
          <w:sz w:val="16"/>
        </w:rPr>
        <w:t>Excepciones</w:t>
      </w:r>
      <w:r>
        <w:rPr>
          <w:i/>
          <w:spacing w:val="-13"/>
          <w:sz w:val="16"/>
        </w:rPr>
        <w:t xml:space="preserve"> </w:t>
      </w:r>
      <w:r>
        <w:rPr>
          <w:i/>
          <w:sz w:val="16"/>
        </w:rPr>
        <w:t>Preliminares,</w:t>
      </w:r>
      <w:r>
        <w:rPr>
          <w:i/>
          <w:spacing w:val="-11"/>
          <w:sz w:val="16"/>
        </w:rPr>
        <w:t xml:space="preserve"> </w:t>
      </w:r>
      <w:r>
        <w:rPr>
          <w:i/>
          <w:sz w:val="16"/>
        </w:rPr>
        <w:t>Fondo,</w:t>
      </w:r>
      <w:r>
        <w:rPr>
          <w:i/>
          <w:spacing w:val="-14"/>
          <w:sz w:val="16"/>
        </w:rPr>
        <w:t xml:space="preserve"> </w:t>
      </w:r>
      <w:r>
        <w:rPr>
          <w:i/>
          <w:sz w:val="16"/>
        </w:rPr>
        <w:t>Reparaciones</w:t>
      </w:r>
      <w:r>
        <w:rPr>
          <w:i/>
          <w:spacing w:val="-12"/>
          <w:sz w:val="16"/>
        </w:rPr>
        <w:t xml:space="preserve"> </w:t>
      </w:r>
      <w:r>
        <w:rPr>
          <w:i/>
          <w:sz w:val="16"/>
        </w:rPr>
        <w:t>y</w:t>
      </w:r>
      <w:r>
        <w:rPr>
          <w:i/>
          <w:spacing w:val="-12"/>
          <w:sz w:val="16"/>
        </w:rPr>
        <w:t xml:space="preserve"> </w:t>
      </w:r>
      <w:r>
        <w:rPr>
          <w:i/>
          <w:sz w:val="16"/>
        </w:rPr>
        <w:t xml:space="preserve">Costas. </w:t>
      </w:r>
      <w:r>
        <w:rPr>
          <w:sz w:val="16"/>
        </w:rPr>
        <w:t>Sentencia de 1 de septiembre de 2015. Serie C No. 298. Voto concurrente del Juez Humberto Antonio Sierra Porto,</w:t>
      </w:r>
      <w:r>
        <w:rPr>
          <w:spacing w:val="-6"/>
          <w:sz w:val="16"/>
        </w:rPr>
        <w:t xml:space="preserve"> </w:t>
      </w:r>
      <w:r>
        <w:rPr>
          <w:sz w:val="16"/>
        </w:rPr>
        <w:t>párrs.</w:t>
      </w:r>
      <w:r>
        <w:rPr>
          <w:spacing w:val="-3"/>
          <w:sz w:val="16"/>
        </w:rPr>
        <w:t xml:space="preserve"> </w:t>
      </w:r>
      <w:r>
        <w:rPr>
          <w:sz w:val="16"/>
        </w:rPr>
        <w:t>7</w:t>
      </w:r>
      <w:r>
        <w:rPr>
          <w:spacing w:val="-4"/>
          <w:sz w:val="16"/>
        </w:rPr>
        <w:t xml:space="preserve"> </w:t>
      </w:r>
      <w:r>
        <w:rPr>
          <w:sz w:val="16"/>
        </w:rPr>
        <w:t>a</w:t>
      </w:r>
      <w:r>
        <w:rPr>
          <w:spacing w:val="-3"/>
          <w:sz w:val="16"/>
        </w:rPr>
        <w:t xml:space="preserve"> </w:t>
      </w:r>
      <w:r>
        <w:rPr>
          <w:sz w:val="16"/>
        </w:rPr>
        <w:t>9,</w:t>
      </w:r>
      <w:r>
        <w:rPr>
          <w:spacing w:val="-6"/>
          <w:sz w:val="16"/>
        </w:rPr>
        <w:t xml:space="preserve"> </w:t>
      </w:r>
      <w:r>
        <w:rPr>
          <w:i/>
          <w:sz w:val="16"/>
        </w:rPr>
        <w:t>Caso</w:t>
      </w:r>
      <w:r>
        <w:rPr>
          <w:i/>
          <w:spacing w:val="-2"/>
          <w:sz w:val="16"/>
        </w:rPr>
        <w:t xml:space="preserve"> </w:t>
      </w:r>
      <w:r>
        <w:rPr>
          <w:i/>
          <w:sz w:val="16"/>
        </w:rPr>
        <w:t>Lagos</w:t>
      </w:r>
      <w:r>
        <w:rPr>
          <w:i/>
          <w:spacing w:val="-2"/>
          <w:sz w:val="16"/>
        </w:rPr>
        <w:t xml:space="preserve"> </w:t>
      </w:r>
      <w:r>
        <w:rPr>
          <w:i/>
          <w:sz w:val="16"/>
        </w:rPr>
        <w:t>del</w:t>
      </w:r>
      <w:r>
        <w:rPr>
          <w:i/>
          <w:spacing w:val="-6"/>
          <w:sz w:val="16"/>
        </w:rPr>
        <w:t xml:space="preserve"> </w:t>
      </w:r>
      <w:r>
        <w:rPr>
          <w:i/>
          <w:sz w:val="16"/>
        </w:rPr>
        <w:t>Campo</w:t>
      </w:r>
      <w:r>
        <w:rPr>
          <w:i/>
          <w:spacing w:val="-2"/>
          <w:sz w:val="16"/>
        </w:rPr>
        <w:t xml:space="preserve"> </w:t>
      </w:r>
      <w:r>
        <w:rPr>
          <w:i/>
          <w:sz w:val="16"/>
        </w:rPr>
        <w:t>Vs.</w:t>
      </w:r>
      <w:r>
        <w:rPr>
          <w:i/>
          <w:spacing w:val="-3"/>
          <w:sz w:val="16"/>
        </w:rPr>
        <w:t xml:space="preserve"> </w:t>
      </w:r>
      <w:r>
        <w:rPr>
          <w:i/>
          <w:sz w:val="16"/>
        </w:rPr>
        <w:t>Perú.</w:t>
      </w:r>
      <w:r>
        <w:rPr>
          <w:i/>
          <w:spacing w:val="-6"/>
          <w:sz w:val="16"/>
        </w:rPr>
        <w:t xml:space="preserve"> </w:t>
      </w:r>
      <w:r>
        <w:rPr>
          <w:i/>
          <w:sz w:val="16"/>
        </w:rPr>
        <w:t>Excepciones</w:t>
      </w:r>
      <w:r>
        <w:rPr>
          <w:i/>
          <w:spacing w:val="-2"/>
          <w:sz w:val="16"/>
        </w:rPr>
        <w:t xml:space="preserve"> </w:t>
      </w:r>
      <w:r>
        <w:rPr>
          <w:i/>
          <w:sz w:val="16"/>
        </w:rPr>
        <w:t>Preliminares,</w:t>
      </w:r>
      <w:r>
        <w:rPr>
          <w:i/>
          <w:spacing w:val="-3"/>
          <w:sz w:val="16"/>
        </w:rPr>
        <w:t xml:space="preserve"> </w:t>
      </w:r>
      <w:r>
        <w:rPr>
          <w:i/>
          <w:sz w:val="16"/>
        </w:rPr>
        <w:t>Fondo,</w:t>
      </w:r>
      <w:r>
        <w:rPr>
          <w:i/>
          <w:spacing w:val="-3"/>
          <w:sz w:val="16"/>
        </w:rPr>
        <w:t xml:space="preserve"> </w:t>
      </w:r>
      <w:r>
        <w:rPr>
          <w:i/>
          <w:sz w:val="16"/>
        </w:rPr>
        <w:t>Reparaciones</w:t>
      </w:r>
      <w:r>
        <w:rPr>
          <w:i/>
          <w:spacing w:val="-5"/>
          <w:sz w:val="16"/>
        </w:rPr>
        <w:t xml:space="preserve"> </w:t>
      </w:r>
      <w:r>
        <w:rPr>
          <w:i/>
          <w:sz w:val="16"/>
        </w:rPr>
        <w:t>y</w:t>
      </w:r>
      <w:r>
        <w:rPr>
          <w:i/>
          <w:spacing w:val="-4"/>
          <w:sz w:val="16"/>
        </w:rPr>
        <w:t xml:space="preserve"> </w:t>
      </w:r>
      <w:r>
        <w:rPr>
          <w:i/>
          <w:sz w:val="16"/>
        </w:rPr>
        <w:t xml:space="preserve">Costas. </w:t>
      </w:r>
      <w:r>
        <w:rPr>
          <w:sz w:val="16"/>
        </w:rPr>
        <w:t>Sentencia de 31 de agosto de 2017. Serie C No. 340. Voto parcialmente disidente del Juez Antonio</w:t>
      </w:r>
      <w:r>
        <w:rPr>
          <w:spacing w:val="-33"/>
          <w:sz w:val="16"/>
        </w:rPr>
        <w:t xml:space="preserve"> </w:t>
      </w:r>
      <w:r>
        <w:rPr>
          <w:sz w:val="16"/>
        </w:rPr>
        <w:t>Humberto</w:t>
      </w:r>
    </w:p>
    <w:p w14:paraId="2E0D7636" w14:textId="77777777" w:rsidR="00467FCA" w:rsidRDefault="00467FCA">
      <w:pPr>
        <w:jc w:val="both"/>
        <w:rPr>
          <w:sz w:val="16"/>
        </w:rPr>
        <w:sectPr w:rsidR="00467FCA">
          <w:pgSz w:w="12250" w:h="15850"/>
          <w:pgMar w:top="1500" w:right="1142" w:bottom="1180" w:left="960" w:header="0" w:footer="994" w:gutter="0"/>
          <w:cols w:space="720"/>
        </w:sectPr>
      </w:pPr>
    </w:p>
    <w:p w14:paraId="557CAE7D" w14:textId="77777777" w:rsidR="00467FCA" w:rsidRDefault="00467FCA">
      <w:pPr>
        <w:pStyle w:val="Textoindependiente"/>
        <w:spacing w:before="3"/>
        <w:rPr>
          <w:sz w:val="8"/>
        </w:rPr>
      </w:pPr>
    </w:p>
    <w:p w14:paraId="2B3EC615" w14:textId="77777777" w:rsidR="00467FCA" w:rsidRDefault="001B68EB">
      <w:pPr>
        <w:pStyle w:val="Textoindependiente"/>
        <w:spacing w:before="99" w:line="276" w:lineRule="auto"/>
        <w:ind w:left="741" w:right="554"/>
        <w:jc w:val="both"/>
      </w:pPr>
      <w:r>
        <w:t>utilizado</w:t>
      </w:r>
      <w:r>
        <w:rPr>
          <w:spacing w:val="-17"/>
        </w:rPr>
        <w:t xml:space="preserve"> </w:t>
      </w:r>
      <w:r>
        <w:t>en</w:t>
      </w:r>
      <w:r>
        <w:rPr>
          <w:spacing w:val="-14"/>
        </w:rPr>
        <w:t xml:space="preserve"> </w:t>
      </w:r>
      <w:r>
        <w:t>la</w:t>
      </w:r>
      <w:r>
        <w:rPr>
          <w:spacing w:val="-15"/>
        </w:rPr>
        <w:t xml:space="preserve"> </w:t>
      </w:r>
      <w:r>
        <w:t>Sentencia</w:t>
      </w:r>
      <w:r>
        <w:rPr>
          <w:spacing w:val="-13"/>
        </w:rPr>
        <w:t xml:space="preserve"> </w:t>
      </w:r>
      <w:r>
        <w:t>para</w:t>
      </w:r>
      <w:r>
        <w:rPr>
          <w:spacing w:val="-15"/>
        </w:rPr>
        <w:t xml:space="preserve"> </w:t>
      </w:r>
      <w:r>
        <w:t>justificar</w:t>
      </w:r>
      <w:r>
        <w:rPr>
          <w:spacing w:val="-17"/>
        </w:rPr>
        <w:t xml:space="preserve"> </w:t>
      </w:r>
      <w:r>
        <w:t>la</w:t>
      </w:r>
      <w:r>
        <w:rPr>
          <w:spacing w:val="-15"/>
        </w:rPr>
        <w:t xml:space="preserve"> </w:t>
      </w:r>
      <w:r>
        <w:t>competencia</w:t>
      </w:r>
      <w:r>
        <w:rPr>
          <w:spacing w:val="-15"/>
        </w:rPr>
        <w:t xml:space="preserve"> </w:t>
      </w:r>
      <w:r>
        <w:t>de</w:t>
      </w:r>
      <w:r>
        <w:rPr>
          <w:spacing w:val="-16"/>
        </w:rPr>
        <w:t xml:space="preserve"> </w:t>
      </w:r>
      <w:r>
        <w:t>la</w:t>
      </w:r>
      <w:r>
        <w:rPr>
          <w:spacing w:val="-15"/>
        </w:rPr>
        <w:t xml:space="preserve"> </w:t>
      </w:r>
      <w:r>
        <w:t>Corte</w:t>
      </w:r>
      <w:r>
        <w:rPr>
          <w:spacing w:val="-16"/>
        </w:rPr>
        <w:t xml:space="preserve"> </w:t>
      </w:r>
      <w:r>
        <w:t>ignora</w:t>
      </w:r>
      <w:r>
        <w:rPr>
          <w:spacing w:val="-13"/>
        </w:rPr>
        <w:t xml:space="preserve"> </w:t>
      </w:r>
      <w:r>
        <w:t>que</w:t>
      </w:r>
      <w:r>
        <w:rPr>
          <w:spacing w:val="-16"/>
        </w:rPr>
        <w:t xml:space="preserve"> </w:t>
      </w:r>
      <w:r>
        <w:t>los</w:t>
      </w:r>
      <w:r>
        <w:rPr>
          <w:spacing w:val="-16"/>
        </w:rPr>
        <w:t xml:space="preserve"> </w:t>
      </w:r>
      <w:r>
        <w:t>Estados acordaron,</w:t>
      </w:r>
      <w:r>
        <w:rPr>
          <w:spacing w:val="-13"/>
        </w:rPr>
        <w:t xml:space="preserve"> </w:t>
      </w:r>
      <w:r>
        <w:t>en</w:t>
      </w:r>
      <w:r>
        <w:rPr>
          <w:spacing w:val="-12"/>
        </w:rPr>
        <w:t xml:space="preserve"> </w:t>
      </w:r>
      <w:r>
        <w:t>el</w:t>
      </w:r>
      <w:r>
        <w:rPr>
          <w:spacing w:val="-15"/>
        </w:rPr>
        <w:t xml:space="preserve"> </w:t>
      </w:r>
      <w:r>
        <w:t>Protocolo</w:t>
      </w:r>
      <w:r>
        <w:rPr>
          <w:spacing w:val="-16"/>
        </w:rPr>
        <w:t xml:space="preserve"> </w:t>
      </w:r>
      <w:r>
        <w:t>de</w:t>
      </w:r>
      <w:r>
        <w:rPr>
          <w:spacing w:val="-14"/>
        </w:rPr>
        <w:t xml:space="preserve"> </w:t>
      </w:r>
      <w:r>
        <w:t>San</w:t>
      </w:r>
      <w:r>
        <w:rPr>
          <w:spacing w:val="-14"/>
        </w:rPr>
        <w:t xml:space="preserve"> </w:t>
      </w:r>
      <w:r>
        <w:t>Salvador,</w:t>
      </w:r>
      <w:r>
        <w:rPr>
          <w:spacing w:val="-15"/>
        </w:rPr>
        <w:t xml:space="preserve"> </w:t>
      </w:r>
      <w:r>
        <w:t>que</w:t>
      </w:r>
      <w:r>
        <w:rPr>
          <w:spacing w:val="-11"/>
        </w:rPr>
        <w:t xml:space="preserve"> </w:t>
      </w:r>
      <w:r>
        <w:t>la</w:t>
      </w:r>
      <w:r>
        <w:rPr>
          <w:spacing w:val="-15"/>
        </w:rPr>
        <w:t xml:space="preserve"> </w:t>
      </w:r>
      <w:r>
        <w:t>competencia</w:t>
      </w:r>
      <w:r>
        <w:rPr>
          <w:spacing w:val="-15"/>
        </w:rPr>
        <w:t xml:space="preserve"> </w:t>
      </w:r>
      <w:r>
        <w:t>de</w:t>
      </w:r>
      <w:r>
        <w:rPr>
          <w:spacing w:val="-14"/>
        </w:rPr>
        <w:t xml:space="preserve"> </w:t>
      </w:r>
      <w:r>
        <w:t>la</w:t>
      </w:r>
      <w:r>
        <w:rPr>
          <w:spacing w:val="-14"/>
        </w:rPr>
        <w:t xml:space="preserve"> </w:t>
      </w:r>
      <w:r>
        <w:t>Corte</w:t>
      </w:r>
      <w:r>
        <w:rPr>
          <w:spacing w:val="-15"/>
        </w:rPr>
        <w:t xml:space="preserve"> </w:t>
      </w:r>
      <w:r>
        <w:t>para</w:t>
      </w:r>
      <w:r>
        <w:rPr>
          <w:spacing w:val="-12"/>
        </w:rPr>
        <w:t xml:space="preserve"> </w:t>
      </w:r>
      <w:r>
        <w:t>conocer sobre violaciones a los DESC a través del sistema de peticiones individuales está restringida a algunos aspectos del derecho a la libertad sindical y al derecho a la educación</w:t>
      </w:r>
      <w:hyperlink w:anchor="_bookmark677" w:history="1">
        <w:r>
          <w:rPr>
            <w:position w:val="7"/>
            <w:sz w:val="13"/>
          </w:rPr>
          <w:t>19</w:t>
        </w:r>
      </w:hyperlink>
      <w:r>
        <w:t>.</w:t>
      </w:r>
    </w:p>
    <w:p w14:paraId="2241D0D9" w14:textId="77777777" w:rsidR="00467FCA" w:rsidRDefault="00467FCA">
      <w:pPr>
        <w:pStyle w:val="Textoindependiente"/>
        <w:spacing w:before="1"/>
        <w:rPr>
          <w:sz w:val="23"/>
        </w:rPr>
      </w:pPr>
    </w:p>
    <w:p w14:paraId="51F5D7AB" w14:textId="77777777" w:rsidR="00467FCA" w:rsidRDefault="001B68EB">
      <w:pPr>
        <w:pStyle w:val="Prrafodelista"/>
        <w:numPr>
          <w:ilvl w:val="1"/>
          <w:numId w:val="10"/>
        </w:numPr>
        <w:tabs>
          <w:tab w:val="left" w:pos="1308"/>
        </w:tabs>
        <w:spacing w:line="276" w:lineRule="auto"/>
        <w:ind w:right="556" w:firstLine="0"/>
        <w:jc w:val="both"/>
        <w:rPr>
          <w:sz w:val="20"/>
        </w:rPr>
      </w:pPr>
      <w:r>
        <w:rPr>
          <w:sz w:val="20"/>
        </w:rPr>
        <w:t>Por lo anterior, si voté con la mayo</w:t>
      </w:r>
      <w:r>
        <w:rPr>
          <w:sz w:val="20"/>
        </w:rPr>
        <w:t>ría de mis colegas fue por la forma como fue agrupado el análisis de las alegadas violaciones al derecho al trabajo, a los derechos de las niñas y los niños y al derecho a la igualdad y no discriminación (capítulo VIII-2); y por la forma en que fueron decl</w:t>
      </w:r>
      <w:r>
        <w:rPr>
          <w:sz w:val="20"/>
        </w:rPr>
        <w:t>aradas dichas violaciones, de manera conjunta, en el Punto Resolutivo No. 6 de la Sentencia. Sin embargo, tal como lo he sostenido en mis votos concurrentes y disidentes previos, el análisis por conexidad de las violaciones de asuntos</w:t>
      </w:r>
      <w:r>
        <w:rPr>
          <w:spacing w:val="-12"/>
          <w:sz w:val="20"/>
        </w:rPr>
        <w:t xml:space="preserve"> </w:t>
      </w:r>
      <w:r>
        <w:rPr>
          <w:sz w:val="20"/>
        </w:rPr>
        <w:t>relacionados</w:t>
      </w:r>
      <w:r>
        <w:rPr>
          <w:spacing w:val="-10"/>
          <w:sz w:val="20"/>
        </w:rPr>
        <w:t xml:space="preserve"> </w:t>
      </w:r>
      <w:r>
        <w:rPr>
          <w:sz w:val="20"/>
        </w:rPr>
        <w:t>con</w:t>
      </w:r>
      <w:r>
        <w:rPr>
          <w:spacing w:val="-10"/>
          <w:sz w:val="20"/>
        </w:rPr>
        <w:t xml:space="preserve"> </w:t>
      </w:r>
      <w:r>
        <w:rPr>
          <w:sz w:val="20"/>
        </w:rPr>
        <w:t>esta</w:t>
      </w:r>
      <w:r>
        <w:rPr>
          <w:spacing w:val="-11"/>
          <w:sz w:val="20"/>
        </w:rPr>
        <w:t xml:space="preserve"> </w:t>
      </w:r>
      <w:r>
        <w:rPr>
          <w:sz w:val="20"/>
        </w:rPr>
        <w:t>categoría</w:t>
      </w:r>
      <w:r>
        <w:rPr>
          <w:spacing w:val="-11"/>
          <w:sz w:val="20"/>
        </w:rPr>
        <w:t xml:space="preserve"> </w:t>
      </w:r>
      <w:r>
        <w:rPr>
          <w:sz w:val="20"/>
        </w:rPr>
        <w:t>de</w:t>
      </w:r>
      <w:r>
        <w:rPr>
          <w:spacing w:val="-11"/>
          <w:sz w:val="20"/>
        </w:rPr>
        <w:t xml:space="preserve"> </w:t>
      </w:r>
      <w:r>
        <w:rPr>
          <w:sz w:val="20"/>
        </w:rPr>
        <w:t>derechos</w:t>
      </w:r>
      <w:r>
        <w:rPr>
          <w:spacing w:val="-12"/>
          <w:sz w:val="20"/>
        </w:rPr>
        <w:t xml:space="preserve"> </w:t>
      </w:r>
      <w:r>
        <w:rPr>
          <w:sz w:val="20"/>
        </w:rPr>
        <w:t>genera</w:t>
      </w:r>
      <w:r>
        <w:rPr>
          <w:spacing w:val="-11"/>
          <w:sz w:val="20"/>
        </w:rPr>
        <w:t xml:space="preserve"> </w:t>
      </w:r>
      <w:r>
        <w:rPr>
          <w:sz w:val="20"/>
        </w:rPr>
        <w:t>el</w:t>
      </w:r>
      <w:r>
        <w:rPr>
          <w:spacing w:val="-11"/>
          <w:sz w:val="20"/>
        </w:rPr>
        <w:t xml:space="preserve"> </w:t>
      </w:r>
      <w:r>
        <w:rPr>
          <w:sz w:val="20"/>
        </w:rPr>
        <w:t>mismo</w:t>
      </w:r>
      <w:r>
        <w:rPr>
          <w:spacing w:val="-11"/>
          <w:sz w:val="20"/>
        </w:rPr>
        <w:t xml:space="preserve"> </w:t>
      </w:r>
      <w:r>
        <w:rPr>
          <w:sz w:val="20"/>
        </w:rPr>
        <w:t>resultado</w:t>
      </w:r>
      <w:r>
        <w:rPr>
          <w:spacing w:val="-12"/>
          <w:sz w:val="20"/>
        </w:rPr>
        <w:t xml:space="preserve"> </w:t>
      </w:r>
      <w:r>
        <w:rPr>
          <w:sz w:val="20"/>
        </w:rPr>
        <w:t>práctico que</w:t>
      </w:r>
      <w:r>
        <w:rPr>
          <w:spacing w:val="-7"/>
          <w:sz w:val="20"/>
        </w:rPr>
        <w:t xml:space="preserve"> </w:t>
      </w:r>
      <w:r>
        <w:rPr>
          <w:sz w:val="20"/>
        </w:rPr>
        <w:t>el</w:t>
      </w:r>
      <w:r>
        <w:rPr>
          <w:spacing w:val="-6"/>
          <w:sz w:val="20"/>
        </w:rPr>
        <w:t xml:space="preserve"> </w:t>
      </w:r>
      <w:r>
        <w:rPr>
          <w:sz w:val="20"/>
        </w:rPr>
        <w:t>análisis</w:t>
      </w:r>
      <w:r>
        <w:rPr>
          <w:spacing w:val="-8"/>
          <w:sz w:val="20"/>
        </w:rPr>
        <w:t xml:space="preserve"> </w:t>
      </w:r>
      <w:r>
        <w:rPr>
          <w:sz w:val="20"/>
        </w:rPr>
        <w:t>autónomo</w:t>
      </w:r>
      <w:r>
        <w:rPr>
          <w:spacing w:val="-9"/>
          <w:sz w:val="20"/>
        </w:rPr>
        <w:t xml:space="preserve"> </w:t>
      </w:r>
      <w:r>
        <w:rPr>
          <w:sz w:val="20"/>
        </w:rPr>
        <w:t>que</w:t>
      </w:r>
      <w:r>
        <w:rPr>
          <w:spacing w:val="-8"/>
          <w:sz w:val="20"/>
        </w:rPr>
        <w:t xml:space="preserve"> </w:t>
      </w:r>
      <w:r>
        <w:rPr>
          <w:sz w:val="20"/>
        </w:rPr>
        <w:t>ha</w:t>
      </w:r>
      <w:r>
        <w:rPr>
          <w:spacing w:val="-4"/>
          <w:sz w:val="20"/>
        </w:rPr>
        <w:t xml:space="preserve"> </w:t>
      </w:r>
      <w:r>
        <w:rPr>
          <w:sz w:val="20"/>
        </w:rPr>
        <w:t>propuesto</w:t>
      </w:r>
      <w:r>
        <w:rPr>
          <w:spacing w:val="-6"/>
          <w:sz w:val="20"/>
        </w:rPr>
        <w:t xml:space="preserve"> </w:t>
      </w:r>
      <w:r>
        <w:rPr>
          <w:sz w:val="20"/>
        </w:rPr>
        <w:t>la</w:t>
      </w:r>
      <w:r>
        <w:rPr>
          <w:spacing w:val="-4"/>
          <w:sz w:val="20"/>
        </w:rPr>
        <w:t xml:space="preserve"> </w:t>
      </w:r>
      <w:r>
        <w:rPr>
          <w:sz w:val="20"/>
        </w:rPr>
        <w:t>mayoría</w:t>
      </w:r>
      <w:r>
        <w:rPr>
          <w:spacing w:val="-4"/>
          <w:sz w:val="20"/>
        </w:rPr>
        <w:t xml:space="preserve"> </w:t>
      </w:r>
      <w:r>
        <w:rPr>
          <w:sz w:val="20"/>
        </w:rPr>
        <w:t>en</w:t>
      </w:r>
      <w:r>
        <w:rPr>
          <w:spacing w:val="-4"/>
          <w:sz w:val="20"/>
        </w:rPr>
        <w:t xml:space="preserve"> </w:t>
      </w:r>
      <w:r>
        <w:rPr>
          <w:sz w:val="20"/>
        </w:rPr>
        <w:t>sentencias</w:t>
      </w:r>
      <w:r>
        <w:rPr>
          <w:spacing w:val="-5"/>
          <w:sz w:val="20"/>
        </w:rPr>
        <w:t xml:space="preserve"> </w:t>
      </w:r>
      <w:r>
        <w:rPr>
          <w:sz w:val="20"/>
        </w:rPr>
        <w:t>recientes,</w:t>
      </w:r>
      <w:r>
        <w:rPr>
          <w:spacing w:val="-4"/>
          <w:sz w:val="20"/>
        </w:rPr>
        <w:t xml:space="preserve"> </w:t>
      </w:r>
      <w:r>
        <w:rPr>
          <w:sz w:val="20"/>
        </w:rPr>
        <w:t>y</w:t>
      </w:r>
      <w:r>
        <w:rPr>
          <w:spacing w:val="-7"/>
          <w:sz w:val="20"/>
        </w:rPr>
        <w:t xml:space="preserve"> </w:t>
      </w:r>
      <w:r>
        <w:rPr>
          <w:sz w:val="20"/>
        </w:rPr>
        <w:t>que</w:t>
      </w:r>
      <w:r>
        <w:rPr>
          <w:spacing w:val="-6"/>
          <w:sz w:val="20"/>
        </w:rPr>
        <w:t xml:space="preserve"> </w:t>
      </w:r>
      <w:r>
        <w:rPr>
          <w:sz w:val="20"/>
        </w:rPr>
        <w:t>se hizo en esta</w:t>
      </w:r>
      <w:r>
        <w:rPr>
          <w:spacing w:val="-2"/>
          <w:sz w:val="20"/>
        </w:rPr>
        <w:t xml:space="preserve"> </w:t>
      </w:r>
      <w:r>
        <w:rPr>
          <w:sz w:val="20"/>
        </w:rPr>
        <w:t>Sentencia.</w:t>
      </w:r>
    </w:p>
    <w:p w14:paraId="5F5F95DC" w14:textId="77777777" w:rsidR="00467FCA" w:rsidRDefault="00467FCA">
      <w:pPr>
        <w:pStyle w:val="Textoindependiente"/>
        <w:spacing w:before="11"/>
        <w:rPr>
          <w:sz w:val="22"/>
        </w:rPr>
      </w:pPr>
    </w:p>
    <w:p w14:paraId="7104F17C" w14:textId="77777777" w:rsidR="00467FCA" w:rsidRDefault="001B68EB">
      <w:pPr>
        <w:pStyle w:val="Prrafodelista"/>
        <w:numPr>
          <w:ilvl w:val="1"/>
          <w:numId w:val="10"/>
        </w:numPr>
        <w:tabs>
          <w:tab w:val="left" w:pos="1308"/>
        </w:tabs>
        <w:spacing w:line="276" w:lineRule="auto"/>
        <w:ind w:right="555" w:firstLine="0"/>
        <w:jc w:val="both"/>
        <w:rPr>
          <w:sz w:val="20"/>
        </w:rPr>
      </w:pPr>
      <w:r>
        <w:rPr>
          <w:sz w:val="20"/>
        </w:rPr>
        <w:t>En ese sentido, no cabe duda de que las violaciones a los derechos humanos de las personas que fallecieron o resultaron heridas como consecuencia de la explosión de la fábrica de fuegos -y que fueron declaradas en la Sentencia-, fueron resultado de la falt</w:t>
      </w:r>
      <w:r>
        <w:rPr>
          <w:sz w:val="20"/>
        </w:rPr>
        <w:t xml:space="preserve">a de fiscalización y control de la actividad peligrosa de fabricación de fuegos artificiales, pese al riesgo que implicaba esta actividad. Por esa razón, a mi juicio, la Corte debió vincular el análisis sobre el deber de prevenir accidentes de trabajo, al </w:t>
      </w:r>
      <w:r>
        <w:rPr>
          <w:sz w:val="20"/>
        </w:rPr>
        <w:t>análisis</w:t>
      </w:r>
      <w:r>
        <w:rPr>
          <w:spacing w:val="-11"/>
          <w:sz w:val="20"/>
        </w:rPr>
        <w:t xml:space="preserve"> </w:t>
      </w:r>
      <w:r>
        <w:rPr>
          <w:sz w:val="20"/>
        </w:rPr>
        <w:t>de</w:t>
      </w:r>
      <w:r>
        <w:rPr>
          <w:spacing w:val="-9"/>
          <w:sz w:val="20"/>
        </w:rPr>
        <w:t xml:space="preserve"> </w:t>
      </w:r>
      <w:r>
        <w:rPr>
          <w:sz w:val="20"/>
        </w:rPr>
        <w:t>las</w:t>
      </w:r>
      <w:r>
        <w:rPr>
          <w:spacing w:val="-9"/>
          <w:sz w:val="20"/>
        </w:rPr>
        <w:t xml:space="preserve"> </w:t>
      </w:r>
      <w:r>
        <w:rPr>
          <w:sz w:val="20"/>
        </w:rPr>
        <w:t>violaciones</w:t>
      </w:r>
      <w:r>
        <w:rPr>
          <w:spacing w:val="-11"/>
          <w:sz w:val="20"/>
        </w:rPr>
        <w:t xml:space="preserve"> </w:t>
      </w:r>
      <w:r>
        <w:rPr>
          <w:sz w:val="20"/>
        </w:rPr>
        <w:t>a</w:t>
      </w:r>
      <w:r>
        <w:rPr>
          <w:spacing w:val="-10"/>
          <w:sz w:val="20"/>
        </w:rPr>
        <w:t xml:space="preserve"> </w:t>
      </w:r>
      <w:r>
        <w:rPr>
          <w:sz w:val="20"/>
        </w:rPr>
        <w:t>los</w:t>
      </w:r>
      <w:r>
        <w:rPr>
          <w:spacing w:val="-10"/>
          <w:sz w:val="20"/>
        </w:rPr>
        <w:t xml:space="preserve"> </w:t>
      </w:r>
      <w:r>
        <w:rPr>
          <w:sz w:val="20"/>
        </w:rPr>
        <w:t>derechos</w:t>
      </w:r>
      <w:r>
        <w:rPr>
          <w:spacing w:val="-9"/>
          <w:sz w:val="20"/>
        </w:rPr>
        <w:t xml:space="preserve"> </w:t>
      </w:r>
      <w:r>
        <w:rPr>
          <w:sz w:val="20"/>
        </w:rPr>
        <w:t>a</w:t>
      </w:r>
      <w:r>
        <w:rPr>
          <w:spacing w:val="-10"/>
          <w:sz w:val="20"/>
        </w:rPr>
        <w:t xml:space="preserve"> </w:t>
      </w:r>
      <w:r>
        <w:rPr>
          <w:sz w:val="20"/>
        </w:rPr>
        <w:t>la</w:t>
      </w:r>
      <w:r>
        <w:rPr>
          <w:spacing w:val="-8"/>
          <w:sz w:val="20"/>
        </w:rPr>
        <w:t xml:space="preserve"> </w:t>
      </w:r>
      <w:r>
        <w:rPr>
          <w:sz w:val="20"/>
        </w:rPr>
        <w:t>vida</w:t>
      </w:r>
      <w:r>
        <w:rPr>
          <w:spacing w:val="-10"/>
          <w:sz w:val="20"/>
        </w:rPr>
        <w:t xml:space="preserve"> </w:t>
      </w:r>
      <w:r>
        <w:rPr>
          <w:sz w:val="20"/>
        </w:rPr>
        <w:t>e</w:t>
      </w:r>
      <w:r>
        <w:rPr>
          <w:spacing w:val="-10"/>
          <w:sz w:val="20"/>
        </w:rPr>
        <w:t xml:space="preserve"> </w:t>
      </w:r>
      <w:r>
        <w:rPr>
          <w:sz w:val="20"/>
        </w:rPr>
        <w:t>integridad.</w:t>
      </w:r>
      <w:r>
        <w:rPr>
          <w:spacing w:val="-9"/>
          <w:sz w:val="20"/>
        </w:rPr>
        <w:t xml:space="preserve"> </w:t>
      </w:r>
      <w:r>
        <w:rPr>
          <w:sz w:val="20"/>
        </w:rPr>
        <w:t>Esa</w:t>
      </w:r>
      <w:r>
        <w:rPr>
          <w:spacing w:val="-10"/>
          <w:sz w:val="20"/>
        </w:rPr>
        <w:t xml:space="preserve"> </w:t>
      </w:r>
      <w:r>
        <w:rPr>
          <w:sz w:val="20"/>
        </w:rPr>
        <w:t>línea</w:t>
      </w:r>
      <w:r>
        <w:rPr>
          <w:spacing w:val="-8"/>
          <w:sz w:val="20"/>
        </w:rPr>
        <w:t xml:space="preserve"> </w:t>
      </w:r>
      <w:r>
        <w:rPr>
          <w:sz w:val="20"/>
        </w:rPr>
        <w:t>argumentativa, habría llegado al mismo resultado práctico, sin generar desgaste institucional y sin la debilidad</w:t>
      </w:r>
      <w:r>
        <w:rPr>
          <w:spacing w:val="-18"/>
          <w:sz w:val="20"/>
        </w:rPr>
        <w:t xml:space="preserve"> </w:t>
      </w:r>
      <w:r>
        <w:rPr>
          <w:sz w:val="20"/>
        </w:rPr>
        <w:t>argumentativa</w:t>
      </w:r>
      <w:r>
        <w:rPr>
          <w:spacing w:val="-17"/>
          <w:sz w:val="20"/>
        </w:rPr>
        <w:t xml:space="preserve"> </w:t>
      </w:r>
      <w:r>
        <w:rPr>
          <w:sz w:val="20"/>
        </w:rPr>
        <w:t>y</w:t>
      </w:r>
      <w:r>
        <w:rPr>
          <w:spacing w:val="-18"/>
          <w:sz w:val="20"/>
        </w:rPr>
        <w:t xml:space="preserve"> </w:t>
      </w:r>
      <w:r>
        <w:rPr>
          <w:sz w:val="20"/>
        </w:rPr>
        <w:t>probatoria</w:t>
      </w:r>
      <w:r>
        <w:rPr>
          <w:spacing w:val="-15"/>
          <w:sz w:val="20"/>
        </w:rPr>
        <w:t xml:space="preserve"> </w:t>
      </w:r>
      <w:r>
        <w:rPr>
          <w:sz w:val="20"/>
        </w:rPr>
        <w:t>que</w:t>
      </w:r>
      <w:r>
        <w:rPr>
          <w:spacing w:val="-16"/>
          <w:sz w:val="20"/>
        </w:rPr>
        <w:t xml:space="preserve"> </w:t>
      </w:r>
      <w:r>
        <w:rPr>
          <w:sz w:val="20"/>
        </w:rPr>
        <w:t>implica</w:t>
      </w:r>
      <w:r>
        <w:rPr>
          <w:spacing w:val="-17"/>
          <w:sz w:val="20"/>
        </w:rPr>
        <w:t xml:space="preserve"> </w:t>
      </w:r>
      <w:r>
        <w:rPr>
          <w:sz w:val="20"/>
        </w:rPr>
        <w:t>el</w:t>
      </w:r>
      <w:r>
        <w:rPr>
          <w:spacing w:val="-16"/>
          <w:sz w:val="20"/>
        </w:rPr>
        <w:t xml:space="preserve"> </w:t>
      </w:r>
      <w:r>
        <w:rPr>
          <w:sz w:val="20"/>
        </w:rPr>
        <w:t>análisis</w:t>
      </w:r>
      <w:r>
        <w:rPr>
          <w:spacing w:val="-16"/>
          <w:sz w:val="20"/>
        </w:rPr>
        <w:t xml:space="preserve"> </w:t>
      </w:r>
      <w:r>
        <w:rPr>
          <w:sz w:val="20"/>
        </w:rPr>
        <w:t>contrario.</w:t>
      </w:r>
      <w:r>
        <w:rPr>
          <w:spacing w:val="-16"/>
          <w:sz w:val="20"/>
        </w:rPr>
        <w:t xml:space="preserve"> </w:t>
      </w:r>
      <w:r>
        <w:rPr>
          <w:sz w:val="20"/>
        </w:rPr>
        <w:t>Así</w:t>
      </w:r>
      <w:r>
        <w:rPr>
          <w:spacing w:val="-17"/>
          <w:sz w:val="20"/>
        </w:rPr>
        <w:t xml:space="preserve"> </w:t>
      </w:r>
      <w:r>
        <w:rPr>
          <w:sz w:val="20"/>
        </w:rPr>
        <w:t>lo</w:t>
      </w:r>
      <w:r>
        <w:rPr>
          <w:spacing w:val="-16"/>
          <w:sz w:val="20"/>
        </w:rPr>
        <w:t xml:space="preserve"> </w:t>
      </w:r>
      <w:r>
        <w:rPr>
          <w:sz w:val="20"/>
        </w:rPr>
        <w:t>he</w:t>
      </w:r>
      <w:r>
        <w:rPr>
          <w:spacing w:val="-16"/>
          <w:sz w:val="20"/>
        </w:rPr>
        <w:t xml:space="preserve"> </w:t>
      </w:r>
      <w:r>
        <w:rPr>
          <w:sz w:val="20"/>
        </w:rPr>
        <w:t>sostenido reiteradamente en relación con otros</w:t>
      </w:r>
      <w:r>
        <w:rPr>
          <w:spacing w:val="1"/>
          <w:sz w:val="20"/>
        </w:rPr>
        <w:t xml:space="preserve"> </w:t>
      </w:r>
      <w:r>
        <w:rPr>
          <w:sz w:val="20"/>
        </w:rPr>
        <w:t>casos</w:t>
      </w:r>
      <w:hyperlink w:anchor="_bookmark678" w:history="1">
        <w:r>
          <w:rPr>
            <w:position w:val="7"/>
            <w:sz w:val="13"/>
          </w:rPr>
          <w:t>20</w:t>
        </w:r>
      </w:hyperlink>
      <w:r>
        <w:rPr>
          <w:sz w:val="20"/>
        </w:rPr>
        <w:t>.</w:t>
      </w:r>
    </w:p>
    <w:p w14:paraId="65B116B5" w14:textId="77777777" w:rsidR="00467FCA" w:rsidRDefault="00467FCA">
      <w:pPr>
        <w:pStyle w:val="Textoindependiente"/>
        <w:spacing w:before="11"/>
        <w:rPr>
          <w:sz w:val="22"/>
        </w:rPr>
      </w:pPr>
    </w:p>
    <w:p w14:paraId="55C116E9" w14:textId="77777777" w:rsidR="00467FCA" w:rsidRDefault="001B68EB">
      <w:pPr>
        <w:pStyle w:val="Prrafodelista"/>
        <w:numPr>
          <w:ilvl w:val="1"/>
          <w:numId w:val="10"/>
        </w:numPr>
        <w:tabs>
          <w:tab w:val="left" w:pos="1309"/>
        </w:tabs>
        <w:spacing w:line="276" w:lineRule="auto"/>
        <w:ind w:right="555" w:firstLine="0"/>
        <w:jc w:val="both"/>
        <w:rPr>
          <w:sz w:val="20"/>
        </w:rPr>
      </w:pPr>
      <w:r>
        <w:rPr>
          <w:sz w:val="20"/>
        </w:rPr>
        <w:t xml:space="preserve">De hecho, en este caso, el análisis de la violación al derecho a condiciones equitativas y satisfactorias que garanticen la seguridad, la salud y la higiene en el trabajo, y que implica el deber de prevenir accidentes de trabajo, está íntimamente ligado a </w:t>
      </w:r>
      <w:r>
        <w:rPr>
          <w:sz w:val="20"/>
        </w:rPr>
        <w:t>las afectaciones a la vida y a la integridad personal de las víctimas fallecidas y heridas como consecuencia de la explosión. Incluso, resulta bastante difícil establecer dónde comienzan y dónde terminan las obligaciones atinentes a cada derecho, cuyo incu</w:t>
      </w:r>
      <w:r>
        <w:rPr>
          <w:sz w:val="20"/>
        </w:rPr>
        <w:t>mplimiento derivó en la declaratoria de responsabilidad internacional del</w:t>
      </w:r>
      <w:r>
        <w:rPr>
          <w:spacing w:val="-28"/>
          <w:sz w:val="20"/>
        </w:rPr>
        <w:t xml:space="preserve"> </w:t>
      </w:r>
      <w:r>
        <w:rPr>
          <w:sz w:val="20"/>
        </w:rPr>
        <w:t>Estado.</w:t>
      </w:r>
    </w:p>
    <w:p w14:paraId="6B98DDD4" w14:textId="77777777" w:rsidR="00467FCA" w:rsidRDefault="001B68EB">
      <w:pPr>
        <w:pStyle w:val="Textoindependiente"/>
        <w:spacing w:before="10"/>
        <w:rPr>
          <w:sz w:val="17"/>
        </w:rPr>
      </w:pPr>
      <w:r>
        <w:pict w14:anchorId="44CEC6AA">
          <v:shape id="_x0000_s1073" style="position:absolute;margin-left:85.1pt;margin-top:13.1pt;width:2in;height:.1pt;z-index:-251532288;mso-wrap-distance-left:0;mso-wrap-distance-right:0;mso-position-horizontal-relative:page" coordorigin="1702,262" coordsize="2880,0" path="m1702,262r2880,e" filled="f" strokeweight=".6pt">
            <v:path arrowok="t"/>
            <w10:wrap type="topAndBottom" anchorx="page"/>
          </v:shape>
        </w:pict>
      </w:r>
    </w:p>
    <w:p w14:paraId="62831183" w14:textId="77777777" w:rsidR="00467FCA" w:rsidRDefault="001B68EB">
      <w:pPr>
        <w:spacing w:before="67"/>
        <w:ind w:left="741" w:right="553"/>
        <w:jc w:val="both"/>
        <w:rPr>
          <w:sz w:val="16"/>
        </w:rPr>
      </w:pPr>
      <w:r>
        <w:rPr>
          <w:sz w:val="16"/>
        </w:rPr>
        <w:t xml:space="preserve">Sierra Porto, párr. 9 y </w:t>
      </w:r>
      <w:r>
        <w:rPr>
          <w:i/>
          <w:sz w:val="16"/>
        </w:rPr>
        <w:t>Caso Poblete Vilches y otros Vs. Chile. Fondo, Reparaciones y Costas</w:t>
      </w:r>
      <w:r>
        <w:rPr>
          <w:sz w:val="16"/>
        </w:rPr>
        <w:t>. Sentencia de 8 de marzo de 2018. Serie C No. 349. Voto Concurrente del Juez Hu</w:t>
      </w:r>
      <w:r>
        <w:rPr>
          <w:sz w:val="16"/>
        </w:rPr>
        <w:t>mberto Antonio Sierra Porto, párr. 3.</w:t>
      </w:r>
    </w:p>
    <w:p w14:paraId="5943C666" w14:textId="77777777" w:rsidR="00467FCA" w:rsidRDefault="001B68EB">
      <w:pPr>
        <w:tabs>
          <w:tab w:val="left" w:pos="1307"/>
        </w:tabs>
        <w:spacing w:before="79"/>
        <w:ind w:left="741" w:right="553"/>
        <w:jc w:val="both"/>
        <w:rPr>
          <w:sz w:val="16"/>
        </w:rPr>
      </w:pPr>
      <w:bookmarkStart w:id="757" w:name="_bookmark677"/>
      <w:bookmarkEnd w:id="757"/>
      <w:r>
        <w:rPr>
          <w:position w:val="6"/>
          <w:sz w:val="10"/>
        </w:rPr>
        <w:t>19</w:t>
      </w:r>
      <w:r>
        <w:rPr>
          <w:position w:val="6"/>
          <w:sz w:val="10"/>
        </w:rPr>
        <w:tab/>
      </w:r>
      <w:r>
        <w:rPr>
          <w:sz w:val="16"/>
        </w:rPr>
        <w:t xml:space="preserve">El </w:t>
      </w:r>
      <w:r>
        <w:rPr>
          <w:i/>
          <w:sz w:val="16"/>
        </w:rPr>
        <w:t>Protocolo adicional a la Convención Americana sobre Derechos Humanos en materia de derechos económicos, sociales y culturales "Protocolo de San Salvador"</w:t>
      </w:r>
      <w:r>
        <w:rPr>
          <w:sz w:val="16"/>
        </w:rPr>
        <w:t>, establece en el artículo 19.6 lo siguiente: “En el caso d</w:t>
      </w:r>
      <w:r>
        <w:rPr>
          <w:sz w:val="16"/>
        </w:rPr>
        <w:t>e que los derechos establecidos en el párrafo a) del artículo 8 y en el artículo 13 fuesen violados por una acción imputable directamente a un Estado Parte del presente Protocolo, tal situación podría dar lugar, mediante</w:t>
      </w:r>
      <w:r>
        <w:rPr>
          <w:spacing w:val="-2"/>
          <w:sz w:val="16"/>
        </w:rPr>
        <w:t xml:space="preserve"> </w:t>
      </w:r>
      <w:r>
        <w:rPr>
          <w:sz w:val="16"/>
        </w:rPr>
        <w:t>la</w:t>
      </w:r>
      <w:r>
        <w:rPr>
          <w:spacing w:val="-8"/>
          <w:sz w:val="16"/>
        </w:rPr>
        <w:t xml:space="preserve"> </w:t>
      </w:r>
      <w:r>
        <w:rPr>
          <w:sz w:val="16"/>
        </w:rPr>
        <w:t>participación</w:t>
      </w:r>
      <w:r>
        <w:rPr>
          <w:spacing w:val="-8"/>
          <w:sz w:val="16"/>
        </w:rPr>
        <w:t xml:space="preserve"> </w:t>
      </w:r>
      <w:r>
        <w:rPr>
          <w:sz w:val="16"/>
        </w:rPr>
        <w:t>de</w:t>
      </w:r>
      <w:r>
        <w:rPr>
          <w:spacing w:val="-5"/>
          <w:sz w:val="16"/>
        </w:rPr>
        <w:t xml:space="preserve"> </w:t>
      </w:r>
      <w:r>
        <w:rPr>
          <w:sz w:val="16"/>
        </w:rPr>
        <w:t>la</w:t>
      </w:r>
      <w:r>
        <w:rPr>
          <w:spacing w:val="-6"/>
          <w:sz w:val="16"/>
        </w:rPr>
        <w:t xml:space="preserve"> </w:t>
      </w:r>
      <w:r>
        <w:rPr>
          <w:sz w:val="16"/>
        </w:rPr>
        <w:t>Comisión</w:t>
      </w:r>
      <w:r>
        <w:rPr>
          <w:spacing w:val="-6"/>
          <w:sz w:val="16"/>
        </w:rPr>
        <w:t xml:space="preserve"> </w:t>
      </w:r>
      <w:r>
        <w:rPr>
          <w:sz w:val="16"/>
        </w:rPr>
        <w:t>Int</w:t>
      </w:r>
      <w:r>
        <w:rPr>
          <w:sz w:val="16"/>
        </w:rPr>
        <w:t>eramericana</w:t>
      </w:r>
      <w:r>
        <w:rPr>
          <w:spacing w:val="-8"/>
          <w:sz w:val="16"/>
        </w:rPr>
        <w:t xml:space="preserve"> </w:t>
      </w:r>
      <w:r>
        <w:rPr>
          <w:sz w:val="16"/>
        </w:rPr>
        <w:t>de</w:t>
      </w:r>
      <w:r>
        <w:rPr>
          <w:spacing w:val="-6"/>
          <w:sz w:val="16"/>
        </w:rPr>
        <w:t xml:space="preserve"> </w:t>
      </w:r>
      <w:r>
        <w:rPr>
          <w:sz w:val="16"/>
        </w:rPr>
        <w:t>Derechos</w:t>
      </w:r>
      <w:r>
        <w:rPr>
          <w:spacing w:val="-5"/>
          <w:sz w:val="16"/>
        </w:rPr>
        <w:t xml:space="preserve"> </w:t>
      </w:r>
      <w:r>
        <w:rPr>
          <w:sz w:val="16"/>
        </w:rPr>
        <w:t>Humanos,</w:t>
      </w:r>
      <w:r>
        <w:rPr>
          <w:spacing w:val="-6"/>
          <w:sz w:val="16"/>
        </w:rPr>
        <w:t xml:space="preserve"> </w:t>
      </w:r>
      <w:r>
        <w:rPr>
          <w:sz w:val="16"/>
        </w:rPr>
        <w:t>y</w:t>
      </w:r>
      <w:r>
        <w:rPr>
          <w:spacing w:val="-7"/>
          <w:sz w:val="16"/>
        </w:rPr>
        <w:t xml:space="preserve"> </w:t>
      </w:r>
      <w:r>
        <w:rPr>
          <w:sz w:val="16"/>
        </w:rPr>
        <w:t>cuando</w:t>
      </w:r>
      <w:r>
        <w:rPr>
          <w:spacing w:val="-7"/>
          <w:sz w:val="16"/>
        </w:rPr>
        <w:t xml:space="preserve"> </w:t>
      </w:r>
      <w:r>
        <w:rPr>
          <w:sz w:val="16"/>
        </w:rPr>
        <w:t>proceda</w:t>
      </w:r>
      <w:r>
        <w:rPr>
          <w:spacing w:val="-6"/>
          <w:sz w:val="16"/>
        </w:rPr>
        <w:t xml:space="preserve"> </w:t>
      </w:r>
      <w:r>
        <w:rPr>
          <w:sz w:val="16"/>
        </w:rPr>
        <w:t>de</w:t>
      </w:r>
      <w:r>
        <w:rPr>
          <w:spacing w:val="-5"/>
          <w:sz w:val="16"/>
        </w:rPr>
        <w:t xml:space="preserve"> </w:t>
      </w:r>
      <w:r>
        <w:rPr>
          <w:sz w:val="16"/>
        </w:rPr>
        <w:t>la</w:t>
      </w:r>
      <w:r>
        <w:rPr>
          <w:spacing w:val="-5"/>
          <w:sz w:val="16"/>
        </w:rPr>
        <w:t xml:space="preserve"> </w:t>
      </w:r>
      <w:r>
        <w:rPr>
          <w:sz w:val="16"/>
        </w:rPr>
        <w:t xml:space="preserve">Corte Interamericana de Derechos Humanos, a la aplicación del sistema de peticiones individuales regulado por </w:t>
      </w:r>
      <w:r>
        <w:rPr>
          <w:spacing w:val="-2"/>
          <w:sz w:val="16"/>
        </w:rPr>
        <w:t xml:space="preserve">los </w:t>
      </w:r>
      <w:r>
        <w:rPr>
          <w:sz w:val="16"/>
        </w:rPr>
        <w:t>artículos 44 a 51 y 61 a 69 de la Convención Americana sobre Derechos</w:t>
      </w:r>
      <w:r>
        <w:rPr>
          <w:spacing w:val="-17"/>
          <w:sz w:val="16"/>
        </w:rPr>
        <w:t xml:space="preserve"> </w:t>
      </w:r>
      <w:r>
        <w:rPr>
          <w:sz w:val="16"/>
        </w:rPr>
        <w:t>Humanos”.</w:t>
      </w:r>
    </w:p>
    <w:p w14:paraId="181F21E8" w14:textId="77777777" w:rsidR="00467FCA" w:rsidRDefault="001B68EB">
      <w:pPr>
        <w:tabs>
          <w:tab w:val="left" w:pos="1307"/>
        </w:tabs>
        <w:spacing w:before="81"/>
        <w:ind w:left="741" w:right="555"/>
        <w:jc w:val="both"/>
        <w:rPr>
          <w:sz w:val="16"/>
        </w:rPr>
      </w:pPr>
      <w:bookmarkStart w:id="758" w:name="_bookmark678"/>
      <w:bookmarkEnd w:id="758"/>
      <w:r>
        <w:rPr>
          <w:position w:val="6"/>
          <w:sz w:val="10"/>
        </w:rPr>
        <w:t>20</w:t>
      </w:r>
      <w:r>
        <w:rPr>
          <w:position w:val="6"/>
          <w:sz w:val="10"/>
        </w:rPr>
        <w:tab/>
      </w:r>
      <w:r>
        <w:rPr>
          <w:i/>
          <w:sz w:val="16"/>
        </w:rPr>
        <w:t xml:space="preserve">Cfr. Caso Rodríguez Revolorio y otros Vs. Guatemala. Excepción Preliminar, Fondo, Reparaciones y Costas. </w:t>
      </w:r>
      <w:r>
        <w:rPr>
          <w:sz w:val="16"/>
        </w:rPr>
        <w:t>Sentencia de 14 de octubre de 2019. Serie C No. 387. Voto concurrente del Juez Humberto Antonio Sierra Porto, párr.</w:t>
      </w:r>
      <w:r>
        <w:rPr>
          <w:spacing w:val="-5"/>
          <w:sz w:val="16"/>
        </w:rPr>
        <w:t xml:space="preserve"> </w:t>
      </w:r>
      <w:r>
        <w:rPr>
          <w:sz w:val="16"/>
        </w:rPr>
        <w:t>7.</w:t>
      </w:r>
    </w:p>
    <w:p w14:paraId="7D647581" w14:textId="77777777" w:rsidR="00467FCA" w:rsidRDefault="00467FCA">
      <w:pPr>
        <w:jc w:val="both"/>
        <w:rPr>
          <w:sz w:val="16"/>
        </w:rPr>
        <w:sectPr w:rsidR="00467FCA">
          <w:pgSz w:w="12250" w:h="15850"/>
          <w:pgMar w:top="1500" w:right="1142" w:bottom="1180" w:left="960" w:header="0" w:footer="994" w:gutter="0"/>
          <w:cols w:space="720"/>
        </w:sectPr>
      </w:pPr>
    </w:p>
    <w:p w14:paraId="11FCC6DC" w14:textId="77777777" w:rsidR="00467FCA" w:rsidRDefault="00467FCA">
      <w:pPr>
        <w:pStyle w:val="Textoindependiente"/>
        <w:spacing w:before="3"/>
        <w:rPr>
          <w:sz w:val="8"/>
        </w:rPr>
      </w:pPr>
    </w:p>
    <w:p w14:paraId="2965961A" w14:textId="77777777" w:rsidR="00467FCA" w:rsidRDefault="001B68EB">
      <w:pPr>
        <w:pStyle w:val="Prrafodelista"/>
        <w:numPr>
          <w:ilvl w:val="1"/>
          <w:numId w:val="10"/>
        </w:numPr>
        <w:tabs>
          <w:tab w:val="left" w:pos="1309"/>
        </w:tabs>
        <w:spacing w:before="99" w:line="276" w:lineRule="auto"/>
        <w:ind w:right="555" w:firstLine="0"/>
        <w:jc w:val="both"/>
        <w:rPr>
          <w:sz w:val="20"/>
        </w:rPr>
      </w:pPr>
      <w:r>
        <w:rPr>
          <w:sz w:val="20"/>
        </w:rPr>
        <w:t>Lo</w:t>
      </w:r>
      <w:r>
        <w:rPr>
          <w:spacing w:val="-16"/>
          <w:sz w:val="20"/>
        </w:rPr>
        <w:t xml:space="preserve"> </w:t>
      </w:r>
      <w:r>
        <w:rPr>
          <w:sz w:val="20"/>
        </w:rPr>
        <w:t>anterior</w:t>
      </w:r>
      <w:r>
        <w:rPr>
          <w:spacing w:val="-16"/>
          <w:sz w:val="20"/>
        </w:rPr>
        <w:t xml:space="preserve"> </w:t>
      </w:r>
      <w:r>
        <w:rPr>
          <w:sz w:val="20"/>
        </w:rPr>
        <w:t>implica</w:t>
      </w:r>
      <w:r>
        <w:rPr>
          <w:spacing w:val="-14"/>
          <w:sz w:val="20"/>
        </w:rPr>
        <w:t xml:space="preserve"> </w:t>
      </w:r>
      <w:r>
        <w:rPr>
          <w:sz w:val="20"/>
        </w:rPr>
        <w:t>que,</w:t>
      </w:r>
      <w:r>
        <w:rPr>
          <w:spacing w:val="-13"/>
          <w:sz w:val="20"/>
        </w:rPr>
        <w:t xml:space="preserve"> </w:t>
      </w:r>
      <w:r>
        <w:rPr>
          <w:sz w:val="20"/>
        </w:rPr>
        <w:t>en</w:t>
      </w:r>
      <w:r>
        <w:rPr>
          <w:spacing w:val="-14"/>
          <w:sz w:val="20"/>
        </w:rPr>
        <w:t xml:space="preserve"> </w:t>
      </w:r>
      <w:r>
        <w:rPr>
          <w:sz w:val="20"/>
        </w:rPr>
        <w:t>este</w:t>
      </w:r>
      <w:r>
        <w:rPr>
          <w:spacing w:val="-15"/>
          <w:sz w:val="20"/>
        </w:rPr>
        <w:t xml:space="preserve"> </w:t>
      </w:r>
      <w:r>
        <w:rPr>
          <w:sz w:val="20"/>
        </w:rPr>
        <w:t>caso,</w:t>
      </w:r>
      <w:r>
        <w:rPr>
          <w:spacing w:val="-16"/>
          <w:sz w:val="20"/>
        </w:rPr>
        <w:t xml:space="preserve"> </w:t>
      </w:r>
      <w:r>
        <w:rPr>
          <w:sz w:val="20"/>
        </w:rPr>
        <w:t>era</w:t>
      </w:r>
      <w:r>
        <w:rPr>
          <w:spacing w:val="-14"/>
          <w:sz w:val="20"/>
        </w:rPr>
        <w:t xml:space="preserve"> </w:t>
      </w:r>
      <w:r>
        <w:rPr>
          <w:sz w:val="20"/>
        </w:rPr>
        <w:t>inútil</w:t>
      </w:r>
      <w:r>
        <w:rPr>
          <w:spacing w:val="-14"/>
          <w:sz w:val="20"/>
        </w:rPr>
        <w:t xml:space="preserve"> </w:t>
      </w:r>
      <w:r>
        <w:rPr>
          <w:sz w:val="20"/>
        </w:rPr>
        <w:t>el</w:t>
      </w:r>
      <w:r>
        <w:rPr>
          <w:spacing w:val="-15"/>
          <w:sz w:val="20"/>
        </w:rPr>
        <w:t xml:space="preserve"> </w:t>
      </w:r>
      <w:r>
        <w:rPr>
          <w:sz w:val="20"/>
        </w:rPr>
        <w:t>análisis</w:t>
      </w:r>
      <w:r>
        <w:rPr>
          <w:spacing w:val="-15"/>
          <w:sz w:val="20"/>
        </w:rPr>
        <w:t xml:space="preserve"> </w:t>
      </w:r>
      <w:r>
        <w:rPr>
          <w:sz w:val="20"/>
        </w:rPr>
        <w:t>del</w:t>
      </w:r>
      <w:r>
        <w:rPr>
          <w:spacing w:val="-15"/>
          <w:sz w:val="20"/>
        </w:rPr>
        <w:t xml:space="preserve"> </w:t>
      </w:r>
      <w:r>
        <w:rPr>
          <w:sz w:val="20"/>
        </w:rPr>
        <w:t>artículo</w:t>
      </w:r>
      <w:r>
        <w:rPr>
          <w:spacing w:val="-16"/>
          <w:sz w:val="20"/>
        </w:rPr>
        <w:t xml:space="preserve"> </w:t>
      </w:r>
      <w:r>
        <w:rPr>
          <w:sz w:val="20"/>
        </w:rPr>
        <w:t>26</w:t>
      </w:r>
      <w:r>
        <w:rPr>
          <w:spacing w:val="-11"/>
          <w:sz w:val="20"/>
        </w:rPr>
        <w:t xml:space="preserve"> </w:t>
      </w:r>
      <w:r>
        <w:rPr>
          <w:sz w:val="20"/>
        </w:rPr>
        <w:t>de</w:t>
      </w:r>
      <w:r>
        <w:rPr>
          <w:spacing w:val="-16"/>
          <w:sz w:val="20"/>
        </w:rPr>
        <w:t xml:space="preserve"> </w:t>
      </w:r>
      <w:r>
        <w:rPr>
          <w:sz w:val="20"/>
        </w:rPr>
        <w:t>manera autónoma. En efecto, ese análisis implica una duplicidad innecesaria en cuanto a la declaratoria de los derechos violados, lo que se evidencia en el hecho de que las actua</w:t>
      </w:r>
      <w:r>
        <w:rPr>
          <w:sz w:val="20"/>
        </w:rPr>
        <w:t>ciones y omisiones estatales que configuran la violación del derecho a condiciones equitativas y satisfactorias de trabajo y a la vida e integridad personal son, en esencia, las</w:t>
      </w:r>
      <w:r>
        <w:rPr>
          <w:spacing w:val="-3"/>
          <w:sz w:val="20"/>
        </w:rPr>
        <w:t xml:space="preserve"> </w:t>
      </w:r>
      <w:r>
        <w:rPr>
          <w:sz w:val="20"/>
        </w:rPr>
        <w:t>mismas.</w:t>
      </w:r>
    </w:p>
    <w:p w14:paraId="393C356B" w14:textId="77777777" w:rsidR="00467FCA" w:rsidRDefault="00467FCA">
      <w:pPr>
        <w:pStyle w:val="Textoindependiente"/>
        <w:rPr>
          <w:sz w:val="23"/>
        </w:rPr>
      </w:pPr>
    </w:p>
    <w:p w14:paraId="55DA18C5" w14:textId="77777777" w:rsidR="00467FCA" w:rsidRDefault="001B68EB">
      <w:pPr>
        <w:pStyle w:val="Prrafodelista"/>
        <w:numPr>
          <w:ilvl w:val="1"/>
          <w:numId w:val="10"/>
        </w:numPr>
        <w:tabs>
          <w:tab w:val="left" w:pos="1309"/>
        </w:tabs>
        <w:spacing w:line="276" w:lineRule="auto"/>
        <w:ind w:right="556" w:hanging="1"/>
        <w:jc w:val="both"/>
        <w:rPr>
          <w:sz w:val="20"/>
        </w:rPr>
      </w:pPr>
      <w:r>
        <w:rPr>
          <w:sz w:val="20"/>
        </w:rPr>
        <w:t>Por lo anterior, aclaro que mi voto en favor del Punto Resolutivo No.</w:t>
      </w:r>
      <w:r>
        <w:rPr>
          <w:sz w:val="20"/>
        </w:rPr>
        <w:t xml:space="preserve"> 6 de la Sentencia no debe entenderse como una aceptación de la tesis -en mi concepto</w:t>
      </w:r>
      <w:r>
        <w:rPr>
          <w:spacing w:val="-51"/>
          <w:sz w:val="20"/>
        </w:rPr>
        <w:t xml:space="preserve"> </w:t>
      </w:r>
      <w:r>
        <w:rPr>
          <w:sz w:val="20"/>
        </w:rPr>
        <w:t>errada- que la Corte ha sostenido recientemente, sobre la posibilidad de declarar violaciones autónomas</w:t>
      </w:r>
      <w:r>
        <w:rPr>
          <w:spacing w:val="-17"/>
          <w:sz w:val="20"/>
        </w:rPr>
        <w:t xml:space="preserve"> </w:t>
      </w:r>
      <w:r>
        <w:rPr>
          <w:sz w:val="20"/>
        </w:rPr>
        <w:t>al</w:t>
      </w:r>
      <w:r>
        <w:rPr>
          <w:spacing w:val="-12"/>
          <w:sz w:val="20"/>
        </w:rPr>
        <w:t xml:space="preserve"> </w:t>
      </w:r>
      <w:r>
        <w:rPr>
          <w:sz w:val="20"/>
        </w:rPr>
        <w:t>artículo</w:t>
      </w:r>
      <w:r>
        <w:rPr>
          <w:spacing w:val="-14"/>
          <w:sz w:val="20"/>
        </w:rPr>
        <w:t xml:space="preserve"> </w:t>
      </w:r>
      <w:r>
        <w:rPr>
          <w:sz w:val="20"/>
        </w:rPr>
        <w:t>26</w:t>
      </w:r>
      <w:r>
        <w:rPr>
          <w:spacing w:val="-15"/>
          <w:sz w:val="20"/>
        </w:rPr>
        <w:t xml:space="preserve"> </w:t>
      </w:r>
      <w:r>
        <w:rPr>
          <w:sz w:val="20"/>
        </w:rPr>
        <w:t>de</w:t>
      </w:r>
      <w:r>
        <w:rPr>
          <w:spacing w:val="-16"/>
          <w:sz w:val="20"/>
        </w:rPr>
        <w:t xml:space="preserve"> </w:t>
      </w:r>
      <w:r>
        <w:rPr>
          <w:sz w:val="20"/>
        </w:rPr>
        <w:t>la</w:t>
      </w:r>
      <w:r>
        <w:rPr>
          <w:spacing w:val="-15"/>
          <w:sz w:val="20"/>
        </w:rPr>
        <w:t xml:space="preserve"> </w:t>
      </w:r>
      <w:r>
        <w:rPr>
          <w:sz w:val="20"/>
        </w:rPr>
        <w:t>Convención</w:t>
      </w:r>
      <w:r>
        <w:rPr>
          <w:spacing w:val="-14"/>
          <w:sz w:val="20"/>
        </w:rPr>
        <w:t xml:space="preserve"> </w:t>
      </w:r>
      <w:r>
        <w:rPr>
          <w:sz w:val="20"/>
        </w:rPr>
        <w:t>Americana.</w:t>
      </w:r>
      <w:r>
        <w:rPr>
          <w:spacing w:val="-14"/>
          <w:sz w:val="20"/>
        </w:rPr>
        <w:t xml:space="preserve"> </w:t>
      </w:r>
      <w:r>
        <w:rPr>
          <w:sz w:val="20"/>
        </w:rPr>
        <w:t>Por</w:t>
      </w:r>
      <w:r>
        <w:rPr>
          <w:spacing w:val="-14"/>
          <w:sz w:val="20"/>
        </w:rPr>
        <w:t xml:space="preserve"> </w:t>
      </w:r>
      <w:r>
        <w:rPr>
          <w:sz w:val="20"/>
        </w:rPr>
        <w:t>el</w:t>
      </w:r>
      <w:r>
        <w:rPr>
          <w:spacing w:val="-15"/>
          <w:sz w:val="20"/>
        </w:rPr>
        <w:t xml:space="preserve"> </w:t>
      </w:r>
      <w:r>
        <w:rPr>
          <w:sz w:val="20"/>
        </w:rPr>
        <w:t>contrario,</w:t>
      </w:r>
      <w:r>
        <w:rPr>
          <w:spacing w:val="-13"/>
          <w:sz w:val="20"/>
        </w:rPr>
        <w:t xml:space="preserve"> </w:t>
      </w:r>
      <w:r>
        <w:rPr>
          <w:sz w:val="20"/>
        </w:rPr>
        <w:t>se</w:t>
      </w:r>
      <w:r>
        <w:rPr>
          <w:spacing w:val="-16"/>
          <w:sz w:val="20"/>
        </w:rPr>
        <w:t xml:space="preserve"> </w:t>
      </w:r>
      <w:r>
        <w:rPr>
          <w:sz w:val="20"/>
        </w:rPr>
        <w:t>de</w:t>
      </w:r>
      <w:r>
        <w:rPr>
          <w:sz w:val="20"/>
        </w:rPr>
        <w:t>be</w:t>
      </w:r>
      <w:r>
        <w:rPr>
          <w:spacing w:val="-14"/>
          <w:sz w:val="20"/>
        </w:rPr>
        <w:t xml:space="preserve"> </w:t>
      </w:r>
      <w:r>
        <w:rPr>
          <w:sz w:val="20"/>
        </w:rPr>
        <w:t>entender como un voto a favor de la responsabilidad internacional de Brasil por la falta de fiscalización de la actividad peligrosa de fabricación de fuegos artificiales, lo cual derivó en la violación a los derechos a la vida y a la integridad de las p</w:t>
      </w:r>
      <w:r>
        <w:rPr>
          <w:sz w:val="20"/>
        </w:rPr>
        <w:t>ersonas fallecidas y heridas en la explosión en la fábrica de fuegos, dentro de las cuales se encontraban niños y niñas que, de acuerdo con la Convención Americana y la Convención sobre los Derechos del Niño, debían ser especialmente</w:t>
      </w:r>
      <w:r>
        <w:rPr>
          <w:spacing w:val="-4"/>
          <w:sz w:val="20"/>
        </w:rPr>
        <w:t xml:space="preserve"> </w:t>
      </w:r>
      <w:r>
        <w:rPr>
          <w:sz w:val="20"/>
        </w:rPr>
        <w:t>protegidos.</w:t>
      </w:r>
    </w:p>
    <w:p w14:paraId="2AF521AC" w14:textId="77777777" w:rsidR="00467FCA" w:rsidRDefault="00467FCA">
      <w:pPr>
        <w:pStyle w:val="Textoindependiente"/>
        <w:rPr>
          <w:sz w:val="23"/>
        </w:rPr>
      </w:pPr>
    </w:p>
    <w:p w14:paraId="191990BD" w14:textId="77777777" w:rsidR="00467FCA" w:rsidRDefault="001B68EB">
      <w:pPr>
        <w:pStyle w:val="Prrafodelista"/>
        <w:numPr>
          <w:ilvl w:val="1"/>
          <w:numId w:val="10"/>
        </w:numPr>
        <w:tabs>
          <w:tab w:val="left" w:pos="1309"/>
        </w:tabs>
        <w:spacing w:before="1" w:line="276" w:lineRule="auto"/>
        <w:ind w:right="555" w:firstLine="0"/>
        <w:jc w:val="both"/>
        <w:rPr>
          <w:sz w:val="20"/>
        </w:rPr>
      </w:pPr>
      <w:r>
        <w:rPr>
          <w:sz w:val="20"/>
        </w:rPr>
        <w:t>Lo anteri</w:t>
      </w:r>
      <w:r>
        <w:rPr>
          <w:sz w:val="20"/>
        </w:rPr>
        <w:t>or me lleva, además, a reiterar mis comentarios sobre el alcance de los principios de interdependencia e indivisibilidad en relación con la interpretación al artículo 26 de la Convención. Dichos principios señalan que todos los derechos tienen igual jerarq</w:t>
      </w:r>
      <w:r>
        <w:rPr>
          <w:sz w:val="20"/>
        </w:rPr>
        <w:t>uía e importancia y que el disfrute de un derecho depende de la realización de otros. Sin embargo, esto no implica que automáticamente se deban incorporar los DESCA como derechos autonomos y justiciables al contenido de la Convención. Si bien es cierto que</w:t>
      </w:r>
      <w:r>
        <w:rPr>
          <w:sz w:val="20"/>
        </w:rPr>
        <w:t xml:space="preserve"> los derechos están intrínsecamente conectados y que el respeto y disfrute de ciertos derechos y libertades no puede justificar la denegación de otros, este argumento no es suficiente para modificar la competencia de un tribunal, como lo proponen quienes p</w:t>
      </w:r>
      <w:r>
        <w:rPr>
          <w:sz w:val="20"/>
        </w:rPr>
        <w:t>retenden la justiciabilidad directa por medio de la interpretación amplia del artículo 26 de la Convención</w:t>
      </w:r>
      <w:hyperlink w:anchor="_bookmark679" w:history="1">
        <w:r>
          <w:rPr>
            <w:position w:val="7"/>
            <w:sz w:val="13"/>
          </w:rPr>
          <w:t>21</w:t>
        </w:r>
      </w:hyperlink>
      <w:r>
        <w:rPr>
          <w:sz w:val="20"/>
        </w:rPr>
        <w:t>. De hecho, los principios de indivisibilidad e interdependencia y la idea según la cual se debe prestar “la misma atención y urgente consideración a la aplicación, la promoción y la protección tanto de los derechos civiles y políticos como de los derechos</w:t>
      </w:r>
      <w:r>
        <w:rPr>
          <w:sz w:val="20"/>
        </w:rPr>
        <w:t xml:space="preserve"> económicos, sociales y culturales”</w:t>
      </w:r>
      <w:hyperlink w:anchor="_bookmark680" w:history="1">
        <w:r>
          <w:rPr>
            <w:position w:val="7"/>
            <w:sz w:val="13"/>
          </w:rPr>
          <w:t>22</w:t>
        </w:r>
      </w:hyperlink>
      <w:r>
        <w:rPr>
          <w:sz w:val="20"/>
        </w:rPr>
        <w:t>, son consistentes con un análisis de los DESCA desde la perspectiva de la conexidad, pues su aplicación no implica una expansión ilimitada de las competencias de la Corte, pero sí permit</w:t>
      </w:r>
      <w:r>
        <w:rPr>
          <w:sz w:val="20"/>
        </w:rPr>
        <w:t>e un entendimiento amplio de los derechos protegidos por la Convención, que implique el respeto y garantía de todos los derechos humanos, incluidos los derechos económicos, sociales,</w:t>
      </w:r>
      <w:r>
        <w:rPr>
          <w:spacing w:val="23"/>
          <w:sz w:val="20"/>
        </w:rPr>
        <w:t xml:space="preserve"> </w:t>
      </w:r>
      <w:r>
        <w:rPr>
          <w:sz w:val="20"/>
        </w:rPr>
        <w:t>culturales</w:t>
      </w:r>
      <w:r>
        <w:rPr>
          <w:spacing w:val="25"/>
          <w:sz w:val="20"/>
        </w:rPr>
        <w:t xml:space="preserve"> </w:t>
      </w:r>
      <w:r>
        <w:rPr>
          <w:sz w:val="20"/>
        </w:rPr>
        <w:t>y</w:t>
      </w:r>
      <w:r>
        <w:rPr>
          <w:spacing w:val="24"/>
          <w:sz w:val="20"/>
        </w:rPr>
        <w:t xml:space="preserve"> </w:t>
      </w:r>
      <w:r>
        <w:rPr>
          <w:sz w:val="20"/>
        </w:rPr>
        <w:t>ambientales</w:t>
      </w:r>
      <w:hyperlink w:anchor="_bookmark681" w:history="1">
        <w:r>
          <w:rPr>
            <w:position w:val="7"/>
            <w:sz w:val="13"/>
          </w:rPr>
          <w:t>23</w:t>
        </w:r>
      </w:hyperlink>
      <w:r>
        <w:rPr>
          <w:sz w:val="20"/>
        </w:rPr>
        <w:t>.</w:t>
      </w:r>
      <w:r>
        <w:rPr>
          <w:spacing w:val="23"/>
          <w:sz w:val="20"/>
        </w:rPr>
        <w:t xml:space="preserve"> </w:t>
      </w:r>
      <w:r>
        <w:rPr>
          <w:sz w:val="20"/>
        </w:rPr>
        <w:t>Además,</w:t>
      </w:r>
      <w:r>
        <w:rPr>
          <w:spacing w:val="26"/>
          <w:sz w:val="20"/>
        </w:rPr>
        <w:t xml:space="preserve"> </w:t>
      </w:r>
      <w:r>
        <w:rPr>
          <w:sz w:val="20"/>
        </w:rPr>
        <w:t>el</w:t>
      </w:r>
      <w:r>
        <w:rPr>
          <w:spacing w:val="26"/>
          <w:sz w:val="20"/>
        </w:rPr>
        <w:t xml:space="preserve"> </w:t>
      </w:r>
      <w:r>
        <w:rPr>
          <w:sz w:val="20"/>
        </w:rPr>
        <w:t>he</w:t>
      </w:r>
      <w:r>
        <w:rPr>
          <w:sz w:val="20"/>
        </w:rPr>
        <w:t>cho</w:t>
      </w:r>
      <w:r>
        <w:rPr>
          <w:spacing w:val="26"/>
          <w:sz w:val="20"/>
        </w:rPr>
        <w:t xml:space="preserve"> </w:t>
      </w:r>
      <w:r>
        <w:rPr>
          <w:sz w:val="20"/>
        </w:rPr>
        <w:t>de</w:t>
      </w:r>
      <w:r>
        <w:rPr>
          <w:spacing w:val="22"/>
          <w:sz w:val="20"/>
        </w:rPr>
        <w:t xml:space="preserve"> </w:t>
      </w:r>
      <w:r>
        <w:rPr>
          <w:sz w:val="20"/>
        </w:rPr>
        <w:t>que</w:t>
      </w:r>
      <w:r>
        <w:rPr>
          <w:spacing w:val="22"/>
          <w:sz w:val="20"/>
        </w:rPr>
        <w:t xml:space="preserve"> </w:t>
      </w:r>
      <w:r>
        <w:rPr>
          <w:sz w:val="20"/>
        </w:rPr>
        <w:t>los</w:t>
      </w:r>
      <w:r>
        <w:rPr>
          <w:spacing w:val="24"/>
          <w:sz w:val="20"/>
        </w:rPr>
        <w:t xml:space="preserve"> </w:t>
      </w:r>
      <w:r>
        <w:rPr>
          <w:sz w:val="20"/>
        </w:rPr>
        <w:t>derechos</w:t>
      </w:r>
      <w:r>
        <w:rPr>
          <w:spacing w:val="23"/>
          <w:sz w:val="20"/>
        </w:rPr>
        <w:t xml:space="preserve"> </w:t>
      </w:r>
      <w:r>
        <w:rPr>
          <w:sz w:val="20"/>
        </w:rPr>
        <w:t>humanos</w:t>
      </w:r>
    </w:p>
    <w:p w14:paraId="04D2608E" w14:textId="77777777" w:rsidR="00467FCA" w:rsidRDefault="001B68EB">
      <w:pPr>
        <w:pStyle w:val="Textoindependiente"/>
        <w:spacing w:before="7"/>
        <w:rPr>
          <w:sz w:val="12"/>
        </w:rPr>
      </w:pPr>
      <w:r>
        <w:pict w14:anchorId="4BA85228">
          <v:shape id="_x0000_s1072" style="position:absolute;margin-left:85.1pt;margin-top:9.9pt;width:2in;height:.1pt;z-index:-251531264;mso-wrap-distance-left:0;mso-wrap-distance-right:0;mso-position-horizontal-relative:page" coordorigin="1702,198" coordsize="2880,0" path="m1702,198r2880,e" filled="f" strokeweight=".6pt">
            <v:path arrowok="t"/>
            <w10:wrap type="topAndBottom" anchorx="page"/>
          </v:shape>
        </w:pict>
      </w:r>
    </w:p>
    <w:p w14:paraId="15CEDC6A" w14:textId="77777777" w:rsidR="00467FCA" w:rsidRDefault="001B68EB">
      <w:pPr>
        <w:tabs>
          <w:tab w:val="left" w:pos="1307"/>
        </w:tabs>
        <w:spacing w:before="67"/>
        <w:ind w:left="741" w:right="554"/>
        <w:jc w:val="both"/>
        <w:rPr>
          <w:sz w:val="16"/>
        </w:rPr>
      </w:pPr>
      <w:bookmarkStart w:id="759" w:name="_bookmark679"/>
      <w:bookmarkEnd w:id="759"/>
      <w:r>
        <w:rPr>
          <w:position w:val="6"/>
          <w:sz w:val="10"/>
        </w:rPr>
        <w:t>21</w:t>
      </w:r>
      <w:r>
        <w:rPr>
          <w:position w:val="6"/>
          <w:sz w:val="10"/>
        </w:rPr>
        <w:tab/>
      </w:r>
      <w:r>
        <w:rPr>
          <w:i/>
          <w:sz w:val="16"/>
        </w:rPr>
        <w:t xml:space="preserve">Cfr. Caso Gonzales Lluy y otros Vs. Ecuador. Excepciones Preliminares, Fondo, Reparaciones y Costas. </w:t>
      </w:r>
      <w:r>
        <w:rPr>
          <w:sz w:val="16"/>
        </w:rPr>
        <w:t>Sentencia de 1 de septiembre de 2015. Serie C No. 298</w:t>
      </w:r>
      <w:r>
        <w:rPr>
          <w:i/>
          <w:sz w:val="16"/>
        </w:rPr>
        <w:t xml:space="preserve">. </w:t>
      </w:r>
      <w:r>
        <w:rPr>
          <w:sz w:val="16"/>
        </w:rPr>
        <w:t>Voto Concurrente del Juez Humberto Antonio Sierra Porto, párr.</w:t>
      </w:r>
      <w:r>
        <w:rPr>
          <w:spacing w:val="-7"/>
          <w:sz w:val="16"/>
        </w:rPr>
        <w:t xml:space="preserve"> </w:t>
      </w:r>
      <w:r>
        <w:rPr>
          <w:sz w:val="16"/>
        </w:rPr>
        <w:t>4.</w:t>
      </w:r>
    </w:p>
    <w:p w14:paraId="3BEA8428" w14:textId="77777777" w:rsidR="00467FCA" w:rsidRDefault="001B68EB">
      <w:pPr>
        <w:tabs>
          <w:tab w:val="left" w:pos="1307"/>
        </w:tabs>
        <w:spacing w:before="79"/>
        <w:ind w:left="741" w:right="551"/>
        <w:jc w:val="both"/>
        <w:rPr>
          <w:sz w:val="16"/>
        </w:rPr>
      </w:pPr>
      <w:bookmarkStart w:id="760" w:name="_bookmark680"/>
      <w:bookmarkEnd w:id="760"/>
      <w:r>
        <w:rPr>
          <w:position w:val="6"/>
          <w:sz w:val="10"/>
        </w:rPr>
        <w:t>22</w:t>
      </w:r>
      <w:r>
        <w:rPr>
          <w:position w:val="6"/>
          <w:sz w:val="10"/>
        </w:rPr>
        <w:tab/>
      </w:r>
      <w:r>
        <w:rPr>
          <w:sz w:val="16"/>
        </w:rPr>
        <w:t>Cfr.</w:t>
      </w:r>
      <w:r>
        <w:rPr>
          <w:spacing w:val="-4"/>
          <w:sz w:val="16"/>
        </w:rPr>
        <w:t xml:space="preserve"> </w:t>
      </w:r>
      <w:r>
        <w:rPr>
          <w:sz w:val="16"/>
        </w:rPr>
        <w:t>Asamblea</w:t>
      </w:r>
      <w:r>
        <w:rPr>
          <w:spacing w:val="-3"/>
          <w:sz w:val="16"/>
        </w:rPr>
        <w:t xml:space="preserve"> </w:t>
      </w:r>
      <w:r>
        <w:rPr>
          <w:sz w:val="16"/>
        </w:rPr>
        <w:t>General</w:t>
      </w:r>
      <w:r>
        <w:rPr>
          <w:spacing w:val="-6"/>
          <w:sz w:val="16"/>
        </w:rPr>
        <w:t xml:space="preserve"> </w:t>
      </w:r>
      <w:r>
        <w:rPr>
          <w:sz w:val="16"/>
        </w:rPr>
        <w:t>de</w:t>
      </w:r>
      <w:r>
        <w:rPr>
          <w:spacing w:val="-2"/>
          <w:sz w:val="16"/>
        </w:rPr>
        <w:t xml:space="preserve"> </w:t>
      </w:r>
      <w:r>
        <w:rPr>
          <w:sz w:val="16"/>
        </w:rPr>
        <w:t>las</w:t>
      </w:r>
      <w:r>
        <w:rPr>
          <w:spacing w:val="-8"/>
          <w:sz w:val="16"/>
        </w:rPr>
        <w:t xml:space="preserve"> </w:t>
      </w:r>
      <w:r>
        <w:rPr>
          <w:sz w:val="16"/>
        </w:rPr>
        <w:t>Naciones</w:t>
      </w:r>
      <w:r>
        <w:rPr>
          <w:spacing w:val="-2"/>
          <w:sz w:val="16"/>
        </w:rPr>
        <w:t xml:space="preserve"> </w:t>
      </w:r>
      <w:r>
        <w:rPr>
          <w:sz w:val="16"/>
        </w:rPr>
        <w:t>Unidas.</w:t>
      </w:r>
      <w:r>
        <w:rPr>
          <w:spacing w:val="-4"/>
          <w:sz w:val="16"/>
        </w:rPr>
        <w:t xml:space="preserve"> </w:t>
      </w:r>
      <w:r>
        <w:rPr>
          <w:i/>
          <w:sz w:val="16"/>
        </w:rPr>
        <w:t>Distintos</w:t>
      </w:r>
      <w:r>
        <w:rPr>
          <w:i/>
          <w:spacing w:val="-2"/>
          <w:sz w:val="16"/>
        </w:rPr>
        <w:t xml:space="preserve"> </w:t>
      </w:r>
      <w:r>
        <w:rPr>
          <w:i/>
          <w:sz w:val="16"/>
        </w:rPr>
        <w:t>criterios</w:t>
      </w:r>
      <w:r>
        <w:rPr>
          <w:i/>
          <w:spacing w:val="-6"/>
          <w:sz w:val="16"/>
        </w:rPr>
        <w:t xml:space="preserve"> </w:t>
      </w:r>
      <w:r>
        <w:rPr>
          <w:i/>
          <w:sz w:val="16"/>
        </w:rPr>
        <w:t>y</w:t>
      </w:r>
      <w:r>
        <w:rPr>
          <w:i/>
          <w:spacing w:val="-4"/>
          <w:sz w:val="16"/>
        </w:rPr>
        <w:t xml:space="preserve"> </w:t>
      </w:r>
      <w:r>
        <w:rPr>
          <w:i/>
          <w:sz w:val="16"/>
        </w:rPr>
        <w:t>medios</w:t>
      </w:r>
      <w:r>
        <w:rPr>
          <w:i/>
          <w:spacing w:val="-5"/>
          <w:sz w:val="16"/>
        </w:rPr>
        <w:t xml:space="preserve"> </w:t>
      </w:r>
      <w:r>
        <w:rPr>
          <w:i/>
          <w:sz w:val="16"/>
        </w:rPr>
        <w:t>posibles</w:t>
      </w:r>
      <w:r>
        <w:rPr>
          <w:i/>
          <w:spacing w:val="-5"/>
          <w:sz w:val="16"/>
        </w:rPr>
        <w:t xml:space="preserve"> </w:t>
      </w:r>
      <w:r>
        <w:rPr>
          <w:i/>
          <w:sz w:val="16"/>
        </w:rPr>
        <w:t>dentro</w:t>
      </w:r>
      <w:r>
        <w:rPr>
          <w:i/>
          <w:spacing w:val="-4"/>
          <w:sz w:val="16"/>
        </w:rPr>
        <w:t xml:space="preserve"> </w:t>
      </w:r>
      <w:r>
        <w:rPr>
          <w:i/>
          <w:sz w:val="16"/>
        </w:rPr>
        <w:t>del</w:t>
      </w:r>
      <w:r>
        <w:rPr>
          <w:i/>
          <w:spacing w:val="-4"/>
          <w:sz w:val="16"/>
        </w:rPr>
        <w:t xml:space="preserve"> </w:t>
      </w:r>
      <w:r>
        <w:rPr>
          <w:i/>
          <w:sz w:val="16"/>
        </w:rPr>
        <w:t>Sistema de</w:t>
      </w:r>
      <w:r>
        <w:rPr>
          <w:i/>
          <w:spacing w:val="-8"/>
          <w:sz w:val="16"/>
        </w:rPr>
        <w:t xml:space="preserve"> </w:t>
      </w:r>
      <w:r>
        <w:rPr>
          <w:i/>
          <w:sz w:val="16"/>
        </w:rPr>
        <w:t>las</w:t>
      </w:r>
      <w:r>
        <w:rPr>
          <w:i/>
          <w:spacing w:val="-10"/>
          <w:sz w:val="16"/>
        </w:rPr>
        <w:t xml:space="preserve"> </w:t>
      </w:r>
      <w:r>
        <w:rPr>
          <w:i/>
          <w:sz w:val="16"/>
        </w:rPr>
        <w:t>Naciones</w:t>
      </w:r>
      <w:r>
        <w:rPr>
          <w:i/>
          <w:spacing w:val="-7"/>
          <w:sz w:val="16"/>
        </w:rPr>
        <w:t xml:space="preserve"> </w:t>
      </w:r>
      <w:r>
        <w:rPr>
          <w:i/>
          <w:sz w:val="16"/>
        </w:rPr>
        <w:t>Unidas</w:t>
      </w:r>
      <w:r>
        <w:rPr>
          <w:i/>
          <w:spacing w:val="-10"/>
          <w:sz w:val="16"/>
        </w:rPr>
        <w:t xml:space="preserve"> </w:t>
      </w:r>
      <w:r>
        <w:rPr>
          <w:i/>
          <w:sz w:val="16"/>
        </w:rPr>
        <w:t>para</w:t>
      </w:r>
      <w:r>
        <w:rPr>
          <w:i/>
          <w:spacing w:val="-9"/>
          <w:sz w:val="16"/>
        </w:rPr>
        <w:t xml:space="preserve"> </w:t>
      </w:r>
      <w:r>
        <w:rPr>
          <w:i/>
          <w:sz w:val="16"/>
        </w:rPr>
        <w:t>mejorar</w:t>
      </w:r>
      <w:r>
        <w:rPr>
          <w:i/>
          <w:spacing w:val="-9"/>
          <w:sz w:val="16"/>
        </w:rPr>
        <w:t xml:space="preserve"> </w:t>
      </w:r>
      <w:r>
        <w:rPr>
          <w:i/>
          <w:sz w:val="16"/>
        </w:rPr>
        <w:t>el</w:t>
      </w:r>
      <w:r>
        <w:rPr>
          <w:i/>
          <w:spacing w:val="-8"/>
          <w:sz w:val="16"/>
        </w:rPr>
        <w:t xml:space="preserve"> </w:t>
      </w:r>
      <w:r>
        <w:rPr>
          <w:i/>
          <w:sz w:val="16"/>
        </w:rPr>
        <w:t>goce</w:t>
      </w:r>
      <w:r>
        <w:rPr>
          <w:i/>
          <w:spacing w:val="-10"/>
          <w:sz w:val="16"/>
        </w:rPr>
        <w:t xml:space="preserve"> </w:t>
      </w:r>
      <w:r>
        <w:rPr>
          <w:i/>
          <w:sz w:val="16"/>
        </w:rPr>
        <w:t>efectivo</w:t>
      </w:r>
      <w:r>
        <w:rPr>
          <w:i/>
          <w:spacing w:val="-9"/>
          <w:sz w:val="16"/>
        </w:rPr>
        <w:t xml:space="preserve"> </w:t>
      </w:r>
      <w:r>
        <w:rPr>
          <w:i/>
          <w:sz w:val="16"/>
        </w:rPr>
        <w:t>de</w:t>
      </w:r>
      <w:r>
        <w:rPr>
          <w:i/>
          <w:spacing w:val="-11"/>
          <w:sz w:val="16"/>
        </w:rPr>
        <w:t xml:space="preserve"> </w:t>
      </w:r>
      <w:r>
        <w:rPr>
          <w:i/>
          <w:sz w:val="16"/>
        </w:rPr>
        <w:t>los</w:t>
      </w:r>
      <w:r>
        <w:rPr>
          <w:i/>
          <w:spacing w:val="-10"/>
          <w:sz w:val="16"/>
        </w:rPr>
        <w:t xml:space="preserve"> </w:t>
      </w:r>
      <w:r>
        <w:rPr>
          <w:i/>
          <w:sz w:val="16"/>
        </w:rPr>
        <w:t>derechos</w:t>
      </w:r>
      <w:r>
        <w:rPr>
          <w:i/>
          <w:spacing w:val="-7"/>
          <w:sz w:val="16"/>
        </w:rPr>
        <w:t xml:space="preserve"> </w:t>
      </w:r>
      <w:r>
        <w:rPr>
          <w:i/>
          <w:sz w:val="16"/>
        </w:rPr>
        <w:t>humanos</w:t>
      </w:r>
      <w:r>
        <w:rPr>
          <w:i/>
          <w:spacing w:val="-10"/>
          <w:sz w:val="16"/>
        </w:rPr>
        <w:t xml:space="preserve"> </w:t>
      </w:r>
      <w:r>
        <w:rPr>
          <w:i/>
          <w:sz w:val="16"/>
        </w:rPr>
        <w:t>y</w:t>
      </w:r>
      <w:r>
        <w:rPr>
          <w:i/>
          <w:spacing w:val="-7"/>
          <w:sz w:val="16"/>
        </w:rPr>
        <w:t xml:space="preserve"> </w:t>
      </w:r>
      <w:r>
        <w:rPr>
          <w:i/>
          <w:sz w:val="16"/>
        </w:rPr>
        <w:t>las</w:t>
      </w:r>
      <w:r>
        <w:rPr>
          <w:i/>
          <w:spacing w:val="-10"/>
          <w:sz w:val="16"/>
        </w:rPr>
        <w:t xml:space="preserve"> </w:t>
      </w:r>
      <w:r>
        <w:rPr>
          <w:i/>
          <w:sz w:val="16"/>
        </w:rPr>
        <w:t>libertades</w:t>
      </w:r>
      <w:r>
        <w:rPr>
          <w:i/>
          <w:spacing w:val="-10"/>
          <w:sz w:val="16"/>
        </w:rPr>
        <w:t xml:space="preserve"> </w:t>
      </w:r>
      <w:r>
        <w:rPr>
          <w:i/>
          <w:sz w:val="16"/>
        </w:rPr>
        <w:t xml:space="preserve">fundamentales. </w:t>
      </w:r>
      <w:r>
        <w:rPr>
          <w:sz w:val="16"/>
        </w:rPr>
        <w:t>Resolución 32/130 de 16 de diciembre de</w:t>
      </w:r>
      <w:r>
        <w:rPr>
          <w:spacing w:val="-9"/>
          <w:sz w:val="16"/>
        </w:rPr>
        <w:t xml:space="preserve"> </w:t>
      </w:r>
      <w:r>
        <w:rPr>
          <w:sz w:val="16"/>
        </w:rPr>
        <w:t>1977.</w:t>
      </w:r>
    </w:p>
    <w:p w14:paraId="2EDCCE78" w14:textId="77777777" w:rsidR="00467FCA" w:rsidRDefault="001B68EB">
      <w:pPr>
        <w:tabs>
          <w:tab w:val="left" w:pos="1449"/>
        </w:tabs>
        <w:spacing w:before="81"/>
        <w:ind w:left="741" w:right="555"/>
        <w:jc w:val="both"/>
        <w:rPr>
          <w:sz w:val="16"/>
        </w:rPr>
      </w:pPr>
      <w:bookmarkStart w:id="761" w:name="_bookmark681"/>
      <w:bookmarkEnd w:id="761"/>
      <w:r>
        <w:rPr>
          <w:position w:val="6"/>
          <w:sz w:val="10"/>
        </w:rPr>
        <w:t>23</w:t>
      </w:r>
      <w:r>
        <w:rPr>
          <w:position w:val="6"/>
          <w:sz w:val="10"/>
        </w:rPr>
        <w:tab/>
      </w:r>
      <w:r>
        <w:rPr>
          <w:i/>
          <w:sz w:val="16"/>
        </w:rPr>
        <w:t>Cfr. Caso Poblete Vilches y otros Vs. Chile. Fondo, Reparaciones y Costas</w:t>
      </w:r>
      <w:r>
        <w:rPr>
          <w:sz w:val="16"/>
        </w:rPr>
        <w:t>. Sentencia de 8 de marzo de 2018. Serie C No. 349. Voto Concurrente del Juez Humberto Antonio Sierra Porto, párr.</w:t>
      </w:r>
      <w:r>
        <w:rPr>
          <w:spacing w:val="-22"/>
          <w:sz w:val="16"/>
        </w:rPr>
        <w:t xml:space="preserve"> </w:t>
      </w:r>
      <w:r>
        <w:rPr>
          <w:sz w:val="16"/>
        </w:rPr>
        <w:t>15.</w:t>
      </w:r>
    </w:p>
    <w:p w14:paraId="67E9A68F" w14:textId="77777777" w:rsidR="00467FCA" w:rsidRDefault="00467FCA">
      <w:pPr>
        <w:jc w:val="both"/>
        <w:rPr>
          <w:sz w:val="16"/>
        </w:rPr>
        <w:sectPr w:rsidR="00467FCA">
          <w:pgSz w:w="12250" w:h="15850"/>
          <w:pgMar w:top="1500" w:right="1142" w:bottom="1180" w:left="960" w:header="0" w:footer="994" w:gutter="0"/>
          <w:cols w:space="720"/>
        </w:sectPr>
      </w:pPr>
    </w:p>
    <w:p w14:paraId="09A7BB68" w14:textId="77777777" w:rsidR="00467FCA" w:rsidRDefault="00467FCA">
      <w:pPr>
        <w:pStyle w:val="Textoindependiente"/>
        <w:spacing w:before="3"/>
        <w:rPr>
          <w:sz w:val="8"/>
        </w:rPr>
      </w:pPr>
    </w:p>
    <w:p w14:paraId="02CD3723" w14:textId="77777777" w:rsidR="00467FCA" w:rsidRDefault="001B68EB">
      <w:pPr>
        <w:pStyle w:val="Textoindependiente"/>
        <w:spacing w:before="99" w:line="276" w:lineRule="auto"/>
        <w:ind w:left="741"/>
      </w:pPr>
      <w:r>
        <w:t>estén interrelacionados e incluso se consideren inescindibles, no implica que no sean diferenciables entre sí y que, en consecuencia, que cada uno tenga su propio alcance</w:t>
      </w:r>
      <w:hyperlink w:anchor="_bookmark682" w:history="1">
        <w:r>
          <w:rPr>
            <w:position w:val="7"/>
            <w:sz w:val="13"/>
          </w:rPr>
          <w:t>24</w:t>
        </w:r>
      </w:hyperlink>
      <w:r>
        <w:t>.</w:t>
      </w:r>
    </w:p>
    <w:p w14:paraId="15C8EF97" w14:textId="77777777" w:rsidR="00467FCA" w:rsidRDefault="00467FCA">
      <w:pPr>
        <w:pStyle w:val="Textoindependiente"/>
        <w:rPr>
          <w:sz w:val="24"/>
        </w:rPr>
      </w:pPr>
    </w:p>
    <w:p w14:paraId="589C3E56" w14:textId="77777777" w:rsidR="00467FCA" w:rsidRDefault="00467FCA">
      <w:pPr>
        <w:pStyle w:val="Textoindependiente"/>
        <w:rPr>
          <w:sz w:val="24"/>
        </w:rPr>
      </w:pPr>
    </w:p>
    <w:p w14:paraId="7D1048D9" w14:textId="77777777" w:rsidR="00467FCA" w:rsidRDefault="00467FCA">
      <w:pPr>
        <w:pStyle w:val="Textoindependiente"/>
        <w:spacing w:before="12"/>
      </w:pPr>
    </w:p>
    <w:p w14:paraId="74C7A457" w14:textId="77777777" w:rsidR="00467FCA" w:rsidRDefault="001B68EB">
      <w:pPr>
        <w:pStyle w:val="Textoindependiente"/>
        <w:spacing w:line="278" w:lineRule="auto"/>
        <w:ind w:left="7365" w:right="951" w:hanging="1296"/>
      </w:pPr>
      <w:r>
        <w:t>Humberto Antonio Sierra Porto Juez</w:t>
      </w:r>
    </w:p>
    <w:p w14:paraId="29F89305" w14:textId="77777777" w:rsidR="00467FCA" w:rsidRDefault="00467FCA">
      <w:pPr>
        <w:pStyle w:val="Textoindependiente"/>
        <w:rPr>
          <w:sz w:val="24"/>
        </w:rPr>
      </w:pPr>
    </w:p>
    <w:p w14:paraId="402CF292" w14:textId="77777777" w:rsidR="00467FCA" w:rsidRDefault="00467FCA">
      <w:pPr>
        <w:pStyle w:val="Textoindependiente"/>
        <w:rPr>
          <w:sz w:val="24"/>
        </w:rPr>
      </w:pPr>
    </w:p>
    <w:p w14:paraId="17629705" w14:textId="77777777" w:rsidR="00467FCA" w:rsidRDefault="00467FCA">
      <w:pPr>
        <w:pStyle w:val="Textoindependiente"/>
        <w:rPr>
          <w:sz w:val="24"/>
        </w:rPr>
      </w:pPr>
    </w:p>
    <w:p w14:paraId="3C485556" w14:textId="77777777" w:rsidR="00467FCA" w:rsidRDefault="00467FCA">
      <w:pPr>
        <w:pStyle w:val="Textoindependiente"/>
        <w:spacing w:before="8"/>
        <w:rPr>
          <w:sz w:val="19"/>
        </w:rPr>
      </w:pPr>
    </w:p>
    <w:p w14:paraId="3DFE98C3" w14:textId="77777777" w:rsidR="00467FCA" w:rsidRDefault="001B68EB">
      <w:pPr>
        <w:pStyle w:val="Textoindependiente"/>
        <w:spacing w:line="276" w:lineRule="auto"/>
        <w:ind w:left="1797" w:right="6309" w:hanging="636"/>
      </w:pPr>
      <w:r>
        <w:t>Pablo Sa</w:t>
      </w:r>
      <w:r>
        <w:t>avedra Alessandri Secretario</w:t>
      </w:r>
    </w:p>
    <w:p w14:paraId="6B37467B" w14:textId="77777777" w:rsidR="00467FCA" w:rsidRDefault="00467FCA">
      <w:pPr>
        <w:pStyle w:val="Textoindependiente"/>
      </w:pPr>
    </w:p>
    <w:p w14:paraId="4297CE20" w14:textId="77777777" w:rsidR="00467FCA" w:rsidRDefault="00467FCA">
      <w:pPr>
        <w:pStyle w:val="Textoindependiente"/>
      </w:pPr>
    </w:p>
    <w:p w14:paraId="54CB7BC3" w14:textId="77777777" w:rsidR="00467FCA" w:rsidRDefault="00467FCA">
      <w:pPr>
        <w:pStyle w:val="Textoindependiente"/>
      </w:pPr>
    </w:p>
    <w:p w14:paraId="1D57D563" w14:textId="77777777" w:rsidR="00467FCA" w:rsidRDefault="00467FCA">
      <w:pPr>
        <w:pStyle w:val="Textoindependiente"/>
      </w:pPr>
    </w:p>
    <w:p w14:paraId="4DA1FFDF" w14:textId="77777777" w:rsidR="00467FCA" w:rsidRDefault="00467FCA">
      <w:pPr>
        <w:pStyle w:val="Textoindependiente"/>
      </w:pPr>
    </w:p>
    <w:p w14:paraId="5AE1DDBC" w14:textId="77777777" w:rsidR="00467FCA" w:rsidRDefault="00467FCA">
      <w:pPr>
        <w:pStyle w:val="Textoindependiente"/>
      </w:pPr>
    </w:p>
    <w:p w14:paraId="26045954" w14:textId="77777777" w:rsidR="00467FCA" w:rsidRDefault="00467FCA">
      <w:pPr>
        <w:pStyle w:val="Textoindependiente"/>
      </w:pPr>
    </w:p>
    <w:p w14:paraId="0FE3B1CD" w14:textId="77777777" w:rsidR="00467FCA" w:rsidRDefault="00467FCA">
      <w:pPr>
        <w:pStyle w:val="Textoindependiente"/>
      </w:pPr>
    </w:p>
    <w:p w14:paraId="2D28C77C" w14:textId="77777777" w:rsidR="00467FCA" w:rsidRDefault="00467FCA">
      <w:pPr>
        <w:pStyle w:val="Textoindependiente"/>
      </w:pPr>
    </w:p>
    <w:p w14:paraId="1079BADD" w14:textId="77777777" w:rsidR="00467FCA" w:rsidRDefault="00467FCA">
      <w:pPr>
        <w:pStyle w:val="Textoindependiente"/>
      </w:pPr>
    </w:p>
    <w:p w14:paraId="29026975" w14:textId="77777777" w:rsidR="00467FCA" w:rsidRDefault="00467FCA">
      <w:pPr>
        <w:pStyle w:val="Textoindependiente"/>
      </w:pPr>
    </w:p>
    <w:p w14:paraId="5C9477AE" w14:textId="77777777" w:rsidR="00467FCA" w:rsidRDefault="00467FCA">
      <w:pPr>
        <w:pStyle w:val="Textoindependiente"/>
      </w:pPr>
    </w:p>
    <w:p w14:paraId="46C047AB" w14:textId="77777777" w:rsidR="00467FCA" w:rsidRDefault="00467FCA">
      <w:pPr>
        <w:pStyle w:val="Textoindependiente"/>
      </w:pPr>
    </w:p>
    <w:p w14:paraId="598A55D1" w14:textId="77777777" w:rsidR="00467FCA" w:rsidRDefault="00467FCA">
      <w:pPr>
        <w:pStyle w:val="Textoindependiente"/>
      </w:pPr>
    </w:p>
    <w:p w14:paraId="2B0B25F1" w14:textId="77777777" w:rsidR="00467FCA" w:rsidRDefault="00467FCA">
      <w:pPr>
        <w:pStyle w:val="Textoindependiente"/>
      </w:pPr>
    </w:p>
    <w:p w14:paraId="65BB616B" w14:textId="77777777" w:rsidR="00467FCA" w:rsidRDefault="00467FCA">
      <w:pPr>
        <w:pStyle w:val="Textoindependiente"/>
      </w:pPr>
    </w:p>
    <w:p w14:paraId="60954207" w14:textId="77777777" w:rsidR="00467FCA" w:rsidRDefault="00467FCA">
      <w:pPr>
        <w:pStyle w:val="Textoindependiente"/>
      </w:pPr>
    </w:p>
    <w:p w14:paraId="5912DF8E" w14:textId="77777777" w:rsidR="00467FCA" w:rsidRDefault="00467FCA">
      <w:pPr>
        <w:pStyle w:val="Textoindependiente"/>
      </w:pPr>
    </w:p>
    <w:p w14:paraId="441742B2" w14:textId="77777777" w:rsidR="00467FCA" w:rsidRDefault="00467FCA">
      <w:pPr>
        <w:pStyle w:val="Textoindependiente"/>
      </w:pPr>
    </w:p>
    <w:p w14:paraId="4B668705" w14:textId="77777777" w:rsidR="00467FCA" w:rsidRDefault="00467FCA">
      <w:pPr>
        <w:pStyle w:val="Textoindependiente"/>
      </w:pPr>
    </w:p>
    <w:p w14:paraId="3756BB49" w14:textId="77777777" w:rsidR="00467FCA" w:rsidRDefault="00467FCA">
      <w:pPr>
        <w:pStyle w:val="Textoindependiente"/>
      </w:pPr>
    </w:p>
    <w:p w14:paraId="155BABA6" w14:textId="77777777" w:rsidR="00467FCA" w:rsidRDefault="00467FCA">
      <w:pPr>
        <w:pStyle w:val="Textoindependiente"/>
      </w:pPr>
    </w:p>
    <w:p w14:paraId="78D4C7C2" w14:textId="77777777" w:rsidR="00467FCA" w:rsidRDefault="00467FCA">
      <w:pPr>
        <w:pStyle w:val="Textoindependiente"/>
      </w:pPr>
    </w:p>
    <w:p w14:paraId="1600501F" w14:textId="77777777" w:rsidR="00467FCA" w:rsidRDefault="00467FCA">
      <w:pPr>
        <w:pStyle w:val="Textoindependiente"/>
      </w:pPr>
    </w:p>
    <w:p w14:paraId="250E6571" w14:textId="77777777" w:rsidR="00467FCA" w:rsidRDefault="00467FCA">
      <w:pPr>
        <w:pStyle w:val="Textoindependiente"/>
      </w:pPr>
    </w:p>
    <w:p w14:paraId="34567206" w14:textId="77777777" w:rsidR="00467FCA" w:rsidRDefault="00467FCA">
      <w:pPr>
        <w:pStyle w:val="Textoindependiente"/>
      </w:pPr>
    </w:p>
    <w:p w14:paraId="73611F14" w14:textId="77777777" w:rsidR="00467FCA" w:rsidRDefault="00467FCA">
      <w:pPr>
        <w:pStyle w:val="Textoindependiente"/>
      </w:pPr>
    </w:p>
    <w:p w14:paraId="6FF2265E" w14:textId="77777777" w:rsidR="00467FCA" w:rsidRDefault="00467FCA">
      <w:pPr>
        <w:pStyle w:val="Textoindependiente"/>
      </w:pPr>
    </w:p>
    <w:p w14:paraId="37B6D7C3" w14:textId="77777777" w:rsidR="00467FCA" w:rsidRDefault="00467FCA">
      <w:pPr>
        <w:pStyle w:val="Textoindependiente"/>
      </w:pPr>
    </w:p>
    <w:p w14:paraId="7C80382A" w14:textId="77777777" w:rsidR="00467FCA" w:rsidRDefault="00467FCA">
      <w:pPr>
        <w:pStyle w:val="Textoindependiente"/>
      </w:pPr>
    </w:p>
    <w:p w14:paraId="5DF7ABC7" w14:textId="77777777" w:rsidR="00467FCA" w:rsidRDefault="00467FCA">
      <w:pPr>
        <w:pStyle w:val="Textoindependiente"/>
      </w:pPr>
    </w:p>
    <w:p w14:paraId="0185C956" w14:textId="77777777" w:rsidR="00467FCA" w:rsidRDefault="00467FCA">
      <w:pPr>
        <w:pStyle w:val="Textoindependiente"/>
      </w:pPr>
    </w:p>
    <w:p w14:paraId="0489AC22" w14:textId="77777777" w:rsidR="00467FCA" w:rsidRDefault="001B68EB">
      <w:pPr>
        <w:pStyle w:val="Textoindependiente"/>
        <w:spacing w:before="8"/>
        <w:rPr>
          <w:sz w:val="17"/>
        </w:rPr>
      </w:pPr>
      <w:r>
        <w:pict w14:anchorId="13649FAD">
          <v:shape id="_x0000_s1071" style="position:absolute;margin-left:85.1pt;margin-top:13pt;width:2in;height:.1pt;z-index:-251530240;mso-wrap-distance-left:0;mso-wrap-distance-right:0;mso-position-horizontal-relative:page" coordorigin="1702,260" coordsize="2880,0" path="m1702,260r2880,e" filled="f" strokeweight=".6pt">
            <v:path arrowok="t"/>
            <w10:wrap type="topAndBottom" anchorx="page"/>
          </v:shape>
        </w:pict>
      </w:r>
    </w:p>
    <w:p w14:paraId="309D3732" w14:textId="77777777" w:rsidR="00467FCA" w:rsidRDefault="001B68EB">
      <w:pPr>
        <w:tabs>
          <w:tab w:val="left" w:pos="1307"/>
        </w:tabs>
        <w:spacing w:before="69"/>
        <w:ind w:left="741" w:right="553"/>
        <w:jc w:val="both"/>
        <w:rPr>
          <w:sz w:val="16"/>
        </w:rPr>
      </w:pPr>
      <w:bookmarkStart w:id="762" w:name="_bookmark682"/>
      <w:bookmarkEnd w:id="762"/>
      <w:r>
        <w:rPr>
          <w:position w:val="6"/>
          <w:sz w:val="10"/>
        </w:rPr>
        <w:t>24</w:t>
      </w:r>
      <w:r>
        <w:rPr>
          <w:position w:val="6"/>
          <w:sz w:val="10"/>
        </w:rPr>
        <w:tab/>
      </w:r>
      <w:r>
        <w:rPr>
          <w:i/>
          <w:sz w:val="16"/>
        </w:rPr>
        <w:t xml:space="preserve">Cfr. Caso Comunidades Indígenas Miembros de la Asociación Lhaka Honhat (Nuestra Tierra) Vs. Argentina. Fondo, Reparaciones y Costas. </w:t>
      </w:r>
      <w:r>
        <w:rPr>
          <w:sz w:val="16"/>
        </w:rPr>
        <w:t>Sentencia de 6 de febrero de 2020. Serie C No. 400. Voto parcialmente disidente del Juez Humberto Antonio Sierra Porto, párr.</w:t>
      </w:r>
      <w:r>
        <w:rPr>
          <w:spacing w:val="-14"/>
          <w:sz w:val="16"/>
        </w:rPr>
        <w:t xml:space="preserve"> </w:t>
      </w:r>
      <w:r>
        <w:rPr>
          <w:sz w:val="16"/>
        </w:rPr>
        <w:t>11.</w:t>
      </w:r>
    </w:p>
    <w:p w14:paraId="1A5B49E6" w14:textId="77777777" w:rsidR="00467FCA" w:rsidRDefault="00467FCA">
      <w:pPr>
        <w:jc w:val="both"/>
        <w:rPr>
          <w:sz w:val="16"/>
        </w:rPr>
        <w:sectPr w:rsidR="00467FCA">
          <w:pgSz w:w="12250" w:h="15850"/>
          <w:pgMar w:top="1500" w:right="1142" w:bottom="1180" w:left="960" w:header="0" w:footer="994" w:gutter="0"/>
          <w:cols w:space="720"/>
        </w:sectPr>
      </w:pPr>
    </w:p>
    <w:p w14:paraId="3B2EB0BE" w14:textId="77777777" w:rsidR="00467FCA" w:rsidRDefault="001B68EB">
      <w:pPr>
        <w:pStyle w:val="Ttulo1"/>
        <w:spacing w:before="161" w:line="243" w:lineRule="exact"/>
        <w:ind w:left="763" w:right="584"/>
        <w:jc w:val="center"/>
      </w:pPr>
      <w:bookmarkStart w:id="763" w:name="vsc_ferrer_407_esp"/>
      <w:bookmarkEnd w:id="763"/>
      <w:r>
        <w:t>VOTO RAZONADO DEL</w:t>
      </w:r>
    </w:p>
    <w:p w14:paraId="093F435A" w14:textId="77777777" w:rsidR="00467FCA" w:rsidRDefault="001B68EB">
      <w:pPr>
        <w:spacing w:line="243" w:lineRule="exact"/>
        <w:ind w:left="763" w:right="584"/>
        <w:jc w:val="center"/>
        <w:rPr>
          <w:b/>
          <w:sz w:val="20"/>
        </w:rPr>
      </w:pPr>
      <w:r>
        <w:rPr>
          <w:b/>
          <w:sz w:val="20"/>
        </w:rPr>
        <w:t>JUEZ EDUARDO FERRER MAC-GREGOR</w:t>
      </w:r>
      <w:r>
        <w:rPr>
          <w:b/>
          <w:spacing w:val="-15"/>
          <w:sz w:val="20"/>
        </w:rPr>
        <w:t xml:space="preserve"> </w:t>
      </w:r>
      <w:r>
        <w:rPr>
          <w:b/>
          <w:sz w:val="20"/>
        </w:rPr>
        <w:t>POISOT</w:t>
      </w:r>
    </w:p>
    <w:p w14:paraId="5B079914" w14:textId="77777777" w:rsidR="00467FCA" w:rsidRDefault="00467FCA">
      <w:pPr>
        <w:pStyle w:val="Textoindependiente"/>
        <w:spacing w:before="1"/>
        <w:rPr>
          <w:b/>
        </w:rPr>
      </w:pPr>
    </w:p>
    <w:p w14:paraId="4D8875BF" w14:textId="77777777" w:rsidR="00467FCA" w:rsidRDefault="001B68EB">
      <w:pPr>
        <w:spacing w:line="243" w:lineRule="exact"/>
        <w:ind w:left="763" w:right="586"/>
        <w:jc w:val="center"/>
        <w:rPr>
          <w:b/>
          <w:i/>
          <w:sz w:val="20"/>
        </w:rPr>
      </w:pPr>
      <w:r>
        <w:rPr>
          <w:b/>
          <w:i/>
          <w:sz w:val="20"/>
          <w:u w:val="thick"/>
        </w:rPr>
        <w:t>CASO EMPLEADOS DE LA FÁBRICA DE</w:t>
      </w:r>
      <w:r>
        <w:rPr>
          <w:b/>
          <w:i/>
          <w:spacing w:val="-17"/>
          <w:sz w:val="20"/>
          <w:u w:val="thick"/>
        </w:rPr>
        <w:t xml:space="preserve"> </w:t>
      </w:r>
      <w:r>
        <w:rPr>
          <w:b/>
          <w:i/>
          <w:sz w:val="20"/>
          <w:u w:val="thick"/>
        </w:rPr>
        <w:t>FUEGOS</w:t>
      </w:r>
    </w:p>
    <w:p w14:paraId="071A064B" w14:textId="77777777" w:rsidR="00467FCA" w:rsidRDefault="001B68EB">
      <w:pPr>
        <w:spacing w:line="243" w:lineRule="exact"/>
        <w:ind w:left="763" w:right="589"/>
        <w:jc w:val="center"/>
        <w:rPr>
          <w:b/>
          <w:i/>
          <w:sz w:val="20"/>
        </w:rPr>
      </w:pPr>
      <w:r>
        <w:rPr>
          <w:b/>
          <w:i/>
          <w:sz w:val="20"/>
          <w:u w:val="thick"/>
        </w:rPr>
        <w:t>EN SANTO ANT</w:t>
      </w:r>
      <w:r>
        <w:rPr>
          <w:b/>
          <w:i/>
          <w:sz w:val="20"/>
          <w:u w:val="thick"/>
        </w:rPr>
        <w:t>ÔNIO DE JESUS Y SUS FAMILIARES VS. BRASIL</w:t>
      </w:r>
    </w:p>
    <w:p w14:paraId="0C701FED" w14:textId="77777777" w:rsidR="00467FCA" w:rsidRDefault="00467FCA">
      <w:pPr>
        <w:pStyle w:val="Textoindependiente"/>
        <w:spacing w:before="9"/>
        <w:rPr>
          <w:b/>
          <w:i/>
          <w:sz w:val="11"/>
        </w:rPr>
      </w:pPr>
    </w:p>
    <w:p w14:paraId="44856ECF" w14:textId="77777777" w:rsidR="00467FCA" w:rsidRDefault="001B68EB">
      <w:pPr>
        <w:spacing w:before="100" w:line="219" w:lineRule="exact"/>
        <w:ind w:left="763" w:right="583"/>
        <w:jc w:val="center"/>
        <w:rPr>
          <w:b/>
          <w:sz w:val="18"/>
        </w:rPr>
      </w:pPr>
      <w:r>
        <w:rPr>
          <w:b/>
          <w:sz w:val="18"/>
        </w:rPr>
        <w:t>SENTENCIA DE 15 DE JULIO DE 2020</w:t>
      </w:r>
    </w:p>
    <w:p w14:paraId="4DF8DF61" w14:textId="77777777" w:rsidR="00467FCA" w:rsidRDefault="001B68EB">
      <w:pPr>
        <w:spacing w:line="219" w:lineRule="exact"/>
        <w:ind w:left="763" w:right="585"/>
        <w:jc w:val="center"/>
        <w:rPr>
          <w:b/>
          <w:i/>
          <w:sz w:val="18"/>
        </w:rPr>
      </w:pPr>
      <w:r>
        <w:rPr>
          <w:b/>
          <w:i/>
          <w:sz w:val="18"/>
        </w:rPr>
        <w:t>(Excepción Preliminar, Fondo, Reparaciones y Costas)</w:t>
      </w:r>
    </w:p>
    <w:p w14:paraId="5F9E6075" w14:textId="77777777" w:rsidR="00467FCA" w:rsidRDefault="00467FCA">
      <w:pPr>
        <w:pStyle w:val="Textoindependiente"/>
        <w:rPr>
          <w:b/>
          <w:i/>
          <w:sz w:val="22"/>
        </w:rPr>
      </w:pPr>
    </w:p>
    <w:p w14:paraId="59E748A3" w14:textId="77777777" w:rsidR="00467FCA" w:rsidRDefault="00467FCA">
      <w:pPr>
        <w:pStyle w:val="Textoindependiente"/>
        <w:rPr>
          <w:b/>
          <w:i/>
          <w:sz w:val="22"/>
        </w:rPr>
      </w:pPr>
    </w:p>
    <w:p w14:paraId="18DA70C8" w14:textId="77777777" w:rsidR="00467FCA" w:rsidRDefault="00467FCA">
      <w:pPr>
        <w:pStyle w:val="Textoindependiente"/>
        <w:spacing w:before="8"/>
        <w:rPr>
          <w:b/>
          <w:i/>
          <w:sz w:val="21"/>
        </w:rPr>
      </w:pPr>
    </w:p>
    <w:p w14:paraId="0F255AC9" w14:textId="77777777" w:rsidR="00467FCA" w:rsidRDefault="001B68EB">
      <w:pPr>
        <w:pStyle w:val="Ttulo1"/>
        <w:ind w:left="586" w:right="691"/>
        <w:jc w:val="center"/>
      </w:pPr>
      <w:r>
        <w:t>INTRODUCCIÓN:</w:t>
      </w:r>
    </w:p>
    <w:p w14:paraId="2718985A" w14:textId="77777777" w:rsidR="00467FCA" w:rsidRDefault="001B68EB">
      <w:pPr>
        <w:spacing w:before="122"/>
        <w:ind w:left="763" w:right="586"/>
        <w:jc w:val="center"/>
        <w:rPr>
          <w:b/>
          <w:sz w:val="20"/>
        </w:rPr>
      </w:pPr>
      <w:r>
        <w:rPr>
          <w:b/>
          <w:sz w:val="20"/>
        </w:rPr>
        <w:t>EMPRESA Y DERECHOS HUMANOS, DERECHO AL TRABAJO, POBREZA, DISCRIMINACIÓN ESTRUCTURAL INTERSECCIONAL E IGUALDAD MATERIAL</w:t>
      </w:r>
    </w:p>
    <w:p w14:paraId="75998B89" w14:textId="77777777" w:rsidR="00467FCA" w:rsidRDefault="00467FCA">
      <w:pPr>
        <w:pStyle w:val="Textoindependiente"/>
        <w:spacing w:before="10"/>
        <w:rPr>
          <w:b/>
          <w:sz w:val="19"/>
        </w:rPr>
      </w:pPr>
    </w:p>
    <w:p w14:paraId="1E8AF49E" w14:textId="77777777" w:rsidR="00467FCA" w:rsidRDefault="001B68EB">
      <w:pPr>
        <w:pStyle w:val="Prrafodelista"/>
        <w:numPr>
          <w:ilvl w:val="0"/>
          <w:numId w:val="9"/>
        </w:numPr>
        <w:tabs>
          <w:tab w:val="left" w:pos="1167"/>
        </w:tabs>
        <w:ind w:right="275" w:firstLine="0"/>
        <w:jc w:val="both"/>
        <w:rPr>
          <w:sz w:val="20"/>
        </w:rPr>
      </w:pPr>
      <w:r>
        <w:rPr>
          <w:sz w:val="20"/>
        </w:rPr>
        <w:t xml:space="preserve">¿Puede el Estado ser responsable internacionalmente por la violación de derechos humanos ocasionada por actos cometidos por una empresa </w:t>
      </w:r>
      <w:r>
        <w:rPr>
          <w:sz w:val="20"/>
        </w:rPr>
        <w:t>privada? Los hechos del</w:t>
      </w:r>
      <w:r>
        <w:rPr>
          <w:spacing w:val="-39"/>
          <w:sz w:val="20"/>
        </w:rPr>
        <w:t xml:space="preserve"> </w:t>
      </w:r>
      <w:r>
        <w:rPr>
          <w:sz w:val="20"/>
        </w:rPr>
        <w:t>presente caso se refieren a la explosión en una fábrica de fuegos artificiales en la que murieron 60 personas y quedaron heridas 6 más, todas ellas mujeres, niñas y niños que trabajaban en dicha</w:t>
      </w:r>
      <w:r>
        <w:rPr>
          <w:spacing w:val="-2"/>
          <w:sz w:val="20"/>
        </w:rPr>
        <w:t xml:space="preserve"> </w:t>
      </w:r>
      <w:r>
        <w:rPr>
          <w:sz w:val="20"/>
        </w:rPr>
        <w:t>fábrica.</w:t>
      </w:r>
    </w:p>
    <w:p w14:paraId="53D70FF6" w14:textId="77777777" w:rsidR="00467FCA" w:rsidRDefault="00467FCA">
      <w:pPr>
        <w:pStyle w:val="Textoindependiente"/>
        <w:spacing w:before="1"/>
      </w:pPr>
    </w:p>
    <w:p w14:paraId="7C8C43E7" w14:textId="77777777" w:rsidR="00467FCA" w:rsidRDefault="001B68EB">
      <w:pPr>
        <w:pStyle w:val="Prrafodelista"/>
        <w:numPr>
          <w:ilvl w:val="0"/>
          <w:numId w:val="9"/>
        </w:numPr>
        <w:tabs>
          <w:tab w:val="left" w:pos="1167"/>
        </w:tabs>
        <w:ind w:left="457" w:right="275" w:firstLine="0"/>
        <w:jc w:val="both"/>
        <w:rPr>
          <w:sz w:val="20"/>
        </w:rPr>
      </w:pPr>
      <w:r>
        <w:rPr>
          <w:sz w:val="20"/>
        </w:rPr>
        <w:t xml:space="preserve">La Corte Interamericana de </w:t>
      </w:r>
      <w:r>
        <w:rPr>
          <w:sz w:val="20"/>
        </w:rPr>
        <w:t>Derechos Humanos (en adelante “Corte IDH” o “Tribunal Interamericano”) analiza cómo la falta de fiscalización a una empresa privada dedicada a la fábrica de fuegos artificiales derivó en una omisión del Estado de proteger los derechos a la vida</w:t>
      </w:r>
      <w:r>
        <w:rPr>
          <w:spacing w:val="-11"/>
          <w:sz w:val="20"/>
        </w:rPr>
        <w:t xml:space="preserve"> </w:t>
      </w:r>
      <w:r>
        <w:rPr>
          <w:sz w:val="20"/>
        </w:rPr>
        <w:t>e</w:t>
      </w:r>
      <w:r>
        <w:rPr>
          <w:spacing w:val="-13"/>
          <w:sz w:val="20"/>
        </w:rPr>
        <w:t xml:space="preserve"> </w:t>
      </w:r>
      <w:r>
        <w:rPr>
          <w:sz w:val="20"/>
        </w:rPr>
        <w:t>integrida</w:t>
      </w:r>
      <w:r>
        <w:rPr>
          <w:sz w:val="20"/>
        </w:rPr>
        <w:t>d</w:t>
      </w:r>
      <w:r>
        <w:rPr>
          <w:spacing w:val="-11"/>
          <w:sz w:val="20"/>
        </w:rPr>
        <w:t xml:space="preserve"> </w:t>
      </w:r>
      <w:r>
        <w:rPr>
          <w:sz w:val="20"/>
        </w:rPr>
        <w:t>personal</w:t>
      </w:r>
      <w:r>
        <w:rPr>
          <w:spacing w:val="-10"/>
          <w:sz w:val="20"/>
        </w:rPr>
        <w:t xml:space="preserve"> </w:t>
      </w:r>
      <w:r>
        <w:rPr>
          <w:sz w:val="20"/>
        </w:rPr>
        <w:t>de</w:t>
      </w:r>
      <w:r>
        <w:rPr>
          <w:spacing w:val="-13"/>
          <w:sz w:val="20"/>
        </w:rPr>
        <w:t xml:space="preserve"> </w:t>
      </w:r>
      <w:r>
        <w:rPr>
          <w:sz w:val="20"/>
        </w:rPr>
        <w:t>las</w:t>
      </w:r>
      <w:r>
        <w:rPr>
          <w:spacing w:val="-12"/>
          <w:sz w:val="20"/>
        </w:rPr>
        <w:t xml:space="preserve"> </w:t>
      </w:r>
      <w:r>
        <w:rPr>
          <w:sz w:val="20"/>
        </w:rPr>
        <w:t>66</w:t>
      </w:r>
      <w:r>
        <w:rPr>
          <w:spacing w:val="-10"/>
          <w:sz w:val="20"/>
        </w:rPr>
        <w:t xml:space="preserve"> </w:t>
      </w:r>
      <w:r>
        <w:rPr>
          <w:sz w:val="20"/>
        </w:rPr>
        <w:t>víctimas.</w:t>
      </w:r>
      <w:r>
        <w:rPr>
          <w:spacing w:val="-12"/>
          <w:sz w:val="20"/>
        </w:rPr>
        <w:t xml:space="preserve"> </w:t>
      </w:r>
      <w:r>
        <w:rPr>
          <w:sz w:val="20"/>
        </w:rPr>
        <w:t>En</w:t>
      </w:r>
      <w:r>
        <w:rPr>
          <w:spacing w:val="-10"/>
          <w:sz w:val="20"/>
        </w:rPr>
        <w:t xml:space="preserve"> </w:t>
      </w:r>
      <w:r>
        <w:rPr>
          <w:sz w:val="20"/>
        </w:rPr>
        <w:t>este</w:t>
      </w:r>
      <w:r>
        <w:rPr>
          <w:spacing w:val="-10"/>
          <w:sz w:val="20"/>
        </w:rPr>
        <w:t xml:space="preserve"> </w:t>
      </w:r>
      <w:r>
        <w:rPr>
          <w:sz w:val="20"/>
        </w:rPr>
        <w:t>sentido,</w:t>
      </w:r>
      <w:r>
        <w:rPr>
          <w:spacing w:val="-11"/>
          <w:sz w:val="20"/>
        </w:rPr>
        <w:t xml:space="preserve"> </w:t>
      </w:r>
      <w:r>
        <w:rPr>
          <w:sz w:val="20"/>
        </w:rPr>
        <w:t>la</w:t>
      </w:r>
      <w:r>
        <w:rPr>
          <w:spacing w:val="-11"/>
          <w:sz w:val="20"/>
        </w:rPr>
        <w:t xml:space="preserve"> </w:t>
      </w:r>
      <w:r>
        <w:rPr>
          <w:sz w:val="20"/>
        </w:rPr>
        <w:t>responsabilidad</w:t>
      </w:r>
      <w:r>
        <w:rPr>
          <w:spacing w:val="-11"/>
          <w:sz w:val="20"/>
        </w:rPr>
        <w:t xml:space="preserve"> </w:t>
      </w:r>
      <w:r>
        <w:rPr>
          <w:sz w:val="20"/>
        </w:rPr>
        <w:t xml:space="preserve">internacional se analiza desde la óptica de la obligación estatal de la garantía de los derechos, específicamente la </w:t>
      </w:r>
      <w:r>
        <w:rPr>
          <w:i/>
          <w:sz w:val="20"/>
        </w:rPr>
        <w:t xml:space="preserve">omisión de fiscalización </w:t>
      </w:r>
      <w:r>
        <w:rPr>
          <w:sz w:val="20"/>
        </w:rPr>
        <w:t>tanto de los derechos antes descritos como desd</w:t>
      </w:r>
      <w:r>
        <w:rPr>
          <w:sz w:val="20"/>
        </w:rPr>
        <w:t>e la visión de las condiciones de trabajo en empresas y, particularmente, frente a trabajos en los cuales las personas se encuentran expuestas a realizar sus labores con materiales peligrosos.</w:t>
      </w:r>
      <w:r>
        <w:rPr>
          <w:spacing w:val="-5"/>
          <w:sz w:val="20"/>
        </w:rPr>
        <w:t xml:space="preserve"> </w:t>
      </w:r>
      <w:r>
        <w:rPr>
          <w:sz w:val="20"/>
        </w:rPr>
        <w:t>La</w:t>
      </w:r>
      <w:r>
        <w:rPr>
          <w:spacing w:val="-4"/>
          <w:sz w:val="20"/>
        </w:rPr>
        <w:t xml:space="preserve"> </w:t>
      </w:r>
      <w:r>
        <w:rPr>
          <w:sz w:val="20"/>
        </w:rPr>
        <w:t>obligación</w:t>
      </w:r>
      <w:r>
        <w:rPr>
          <w:spacing w:val="-4"/>
          <w:sz w:val="20"/>
        </w:rPr>
        <w:t xml:space="preserve"> </w:t>
      </w:r>
      <w:r>
        <w:rPr>
          <w:sz w:val="20"/>
        </w:rPr>
        <w:t>estatal</w:t>
      </w:r>
      <w:r>
        <w:rPr>
          <w:spacing w:val="-4"/>
          <w:sz w:val="20"/>
        </w:rPr>
        <w:t xml:space="preserve"> </w:t>
      </w:r>
      <w:r>
        <w:rPr>
          <w:sz w:val="20"/>
        </w:rPr>
        <w:t>principal</w:t>
      </w:r>
      <w:r>
        <w:rPr>
          <w:spacing w:val="-4"/>
          <w:sz w:val="20"/>
        </w:rPr>
        <w:t xml:space="preserve"> </w:t>
      </w:r>
      <w:r>
        <w:rPr>
          <w:sz w:val="20"/>
        </w:rPr>
        <w:t>analizada</w:t>
      </w:r>
      <w:r>
        <w:rPr>
          <w:spacing w:val="-5"/>
          <w:sz w:val="20"/>
        </w:rPr>
        <w:t xml:space="preserve"> </w:t>
      </w:r>
      <w:r>
        <w:rPr>
          <w:sz w:val="20"/>
        </w:rPr>
        <w:t>es</w:t>
      </w:r>
      <w:r>
        <w:rPr>
          <w:spacing w:val="-7"/>
          <w:sz w:val="20"/>
        </w:rPr>
        <w:t xml:space="preserve"> </w:t>
      </w:r>
      <w:r>
        <w:rPr>
          <w:sz w:val="20"/>
        </w:rPr>
        <w:t>la</w:t>
      </w:r>
      <w:r>
        <w:rPr>
          <w:spacing w:val="-4"/>
          <w:sz w:val="20"/>
        </w:rPr>
        <w:t xml:space="preserve"> </w:t>
      </w:r>
      <w:r>
        <w:rPr>
          <w:sz w:val="20"/>
        </w:rPr>
        <w:t>de</w:t>
      </w:r>
      <w:r>
        <w:rPr>
          <w:spacing w:val="-7"/>
          <w:sz w:val="20"/>
        </w:rPr>
        <w:t xml:space="preserve"> </w:t>
      </w:r>
      <w:r>
        <w:rPr>
          <w:sz w:val="20"/>
        </w:rPr>
        <w:t>adoptar</w:t>
      </w:r>
      <w:r>
        <w:rPr>
          <w:spacing w:val="-5"/>
          <w:sz w:val="20"/>
        </w:rPr>
        <w:t xml:space="preserve"> </w:t>
      </w:r>
      <w:r>
        <w:rPr>
          <w:sz w:val="20"/>
        </w:rPr>
        <w:t>“las</w:t>
      </w:r>
      <w:r>
        <w:rPr>
          <w:spacing w:val="-6"/>
          <w:sz w:val="20"/>
        </w:rPr>
        <w:t xml:space="preserve"> </w:t>
      </w:r>
      <w:r>
        <w:rPr>
          <w:sz w:val="20"/>
        </w:rPr>
        <w:t>medidas</w:t>
      </w:r>
      <w:r>
        <w:rPr>
          <w:spacing w:val="-5"/>
          <w:sz w:val="20"/>
        </w:rPr>
        <w:t xml:space="preserve"> </w:t>
      </w:r>
      <w:r>
        <w:rPr>
          <w:sz w:val="20"/>
        </w:rPr>
        <w:t>necesarias” para “prevenir” eventuales violaciones a los derechos de las mujeres trabajadoras (algunas embarazadas)</w:t>
      </w:r>
      <w:r>
        <w:rPr>
          <w:spacing w:val="-10"/>
          <w:sz w:val="20"/>
        </w:rPr>
        <w:t xml:space="preserve"> </w:t>
      </w:r>
      <w:r>
        <w:rPr>
          <w:sz w:val="20"/>
        </w:rPr>
        <w:t>y</w:t>
      </w:r>
      <w:r>
        <w:rPr>
          <w:spacing w:val="-7"/>
          <w:sz w:val="20"/>
        </w:rPr>
        <w:t xml:space="preserve"> </w:t>
      </w:r>
      <w:r>
        <w:rPr>
          <w:sz w:val="20"/>
        </w:rPr>
        <w:t>de</w:t>
      </w:r>
      <w:r>
        <w:rPr>
          <w:spacing w:val="-9"/>
          <w:sz w:val="20"/>
        </w:rPr>
        <w:t xml:space="preserve"> </w:t>
      </w:r>
      <w:r>
        <w:rPr>
          <w:sz w:val="20"/>
        </w:rPr>
        <w:t>las</w:t>
      </w:r>
      <w:r>
        <w:rPr>
          <w:spacing w:val="-10"/>
          <w:sz w:val="20"/>
        </w:rPr>
        <w:t xml:space="preserve"> </w:t>
      </w:r>
      <w:r>
        <w:rPr>
          <w:sz w:val="20"/>
        </w:rPr>
        <w:t>niñas</w:t>
      </w:r>
      <w:r>
        <w:rPr>
          <w:spacing w:val="-11"/>
          <w:sz w:val="20"/>
        </w:rPr>
        <w:t xml:space="preserve"> </w:t>
      </w:r>
      <w:r>
        <w:rPr>
          <w:sz w:val="20"/>
        </w:rPr>
        <w:t>y</w:t>
      </w:r>
      <w:r>
        <w:rPr>
          <w:spacing w:val="-10"/>
          <w:sz w:val="20"/>
        </w:rPr>
        <w:t xml:space="preserve"> </w:t>
      </w:r>
      <w:r>
        <w:rPr>
          <w:sz w:val="20"/>
        </w:rPr>
        <w:t>los</w:t>
      </w:r>
      <w:r>
        <w:rPr>
          <w:spacing w:val="-9"/>
          <w:sz w:val="20"/>
        </w:rPr>
        <w:t xml:space="preserve"> </w:t>
      </w:r>
      <w:r>
        <w:rPr>
          <w:sz w:val="20"/>
        </w:rPr>
        <w:t>niños</w:t>
      </w:r>
      <w:r>
        <w:rPr>
          <w:spacing w:val="-10"/>
          <w:sz w:val="20"/>
        </w:rPr>
        <w:t xml:space="preserve"> </w:t>
      </w:r>
      <w:r>
        <w:rPr>
          <w:sz w:val="20"/>
        </w:rPr>
        <w:t>que</w:t>
      </w:r>
      <w:r>
        <w:rPr>
          <w:spacing w:val="-11"/>
          <w:sz w:val="20"/>
        </w:rPr>
        <w:t xml:space="preserve"> </w:t>
      </w:r>
      <w:r>
        <w:rPr>
          <w:sz w:val="20"/>
        </w:rPr>
        <w:t>perdieron</w:t>
      </w:r>
      <w:r>
        <w:rPr>
          <w:spacing w:val="-8"/>
          <w:sz w:val="20"/>
        </w:rPr>
        <w:t xml:space="preserve"> </w:t>
      </w:r>
      <w:r>
        <w:rPr>
          <w:sz w:val="20"/>
        </w:rPr>
        <w:t>la</w:t>
      </w:r>
      <w:r>
        <w:rPr>
          <w:spacing w:val="-10"/>
          <w:sz w:val="20"/>
        </w:rPr>
        <w:t xml:space="preserve"> </w:t>
      </w:r>
      <w:r>
        <w:rPr>
          <w:sz w:val="20"/>
        </w:rPr>
        <w:t>vida</w:t>
      </w:r>
      <w:r>
        <w:rPr>
          <w:spacing w:val="-7"/>
          <w:sz w:val="20"/>
        </w:rPr>
        <w:t xml:space="preserve"> </w:t>
      </w:r>
      <w:r>
        <w:rPr>
          <w:sz w:val="20"/>
        </w:rPr>
        <w:t>y</w:t>
      </w:r>
      <w:r>
        <w:rPr>
          <w:spacing w:val="-7"/>
          <w:sz w:val="20"/>
        </w:rPr>
        <w:t xml:space="preserve"> </w:t>
      </w:r>
      <w:r>
        <w:rPr>
          <w:sz w:val="20"/>
        </w:rPr>
        <w:t>de</w:t>
      </w:r>
      <w:r>
        <w:rPr>
          <w:spacing w:val="-8"/>
          <w:sz w:val="20"/>
        </w:rPr>
        <w:t xml:space="preserve"> </w:t>
      </w:r>
      <w:r>
        <w:rPr>
          <w:sz w:val="20"/>
        </w:rPr>
        <w:t>las</w:t>
      </w:r>
      <w:r>
        <w:rPr>
          <w:spacing w:val="-11"/>
          <w:sz w:val="20"/>
        </w:rPr>
        <w:t xml:space="preserve"> </w:t>
      </w:r>
      <w:r>
        <w:rPr>
          <w:sz w:val="20"/>
        </w:rPr>
        <w:t>personas</w:t>
      </w:r>
      <w:r>
        <w:rPr>
          <w:spacing w:val="-8"/>
          <w:sz w:val="20"/>
        </w:rPr>
        <w:t xml:space="preserve"> </w:t>
      </w:r>
      <w:r>
        <w:rPr>
          <w:sz w:val="20"/>
        </w:rPr>
        <w:t>que</w:t>
      </w:r>
      <w:r>
        <w:rPr>
          <w:spacing w:val="-9"/>
          <w:sz w:val="20"/>
        </w:rPr>
        <w:t xml:space="preserve"> </w:t>
      </w:r>
      <w:r>
        <w:rPr>
          <w:sz w:val="20"/>
        </w:rPr>
        <w:t>quedaron gravemente</w:t>
      </w:r>
      <w:r>
        <w:rPr>
          <w:spacing w:val="-1"/>
          <w:sz w:val="20"/>
        </w:rPr>
        <w:t xml:space="preserve"> </w:t>
      </w:r>
      <w:r>
        <w:rPr>
          <w:sz w:val="20"/>
        </w:rPr>
        <w:t>heridas.</w:t>
      </w:r>
    </w:p>
    <w:p w14:paraId="2C15F892" w14:textId="77777777" w:rsidR="00467FCA" w:rsidRDefault="00467FCA">
      <w:pPr>
        <w:pStyle w:val="Textoindependiente"/>
        <w:spacing w:before="8"/>
        <w:rPr>
          <w:sz w:val="21"/>
        </w:rPr>
      </w:pPr>
    </w:p>
    <w:p w14:paraId="61EDB20F" w14:textId="77777777" w:rsidR="00467FCA" w:rsidRDefault="001B68EB">
      <w:pPr>
        <w:pStyle w:val="Prrafodelista"/>
        <w:numPr>
          <w:ilvl w:val="0"/>
          <w:numId w:val="9"/>
        </w:numPr>
        <w:tabs>
          <w:tab w:val="left" w:pos="1166"/>
        </w:tabs>
        <w:ind w:left="457" w:right="276" w:firstLine="0"/>
        <w:jc w:val="both"/>
        <w:rPr>
          <w:sz w:val="20"/>
        </w:rPr>
      </w:pPr>
      <w:r>
        <w:rPr>
          <w:sz w:val="20"/>
        </w:rPr>
        <w:t>Debe</w:t>
      </w:r>
      <w:r>
        <w:rPr>
          <w:spacing w:val="-8"/>
          <w:sz w:val="20"/>
        </w:rPr>
        <w:t xml:space="preserve"> </w:t>
      </w:r>
      <w:r>
        <w:rPr>
          <w:sz w:val="20"/>
        </w:rPr>
        <w:t>destacarse</w:t>
      </w:r>
      <w:r>
        <w:rPr>
          <w:spacing w:val="-7"/>
          <w:sz w:val="20"/>
        </w:rPr>
        <w:t xml:space="preserve"> </w:t>
      </w:r>
      <w:r>
        <w:rPr>
          <w:sz w:val="20"/>
        </w:rPr>
        <w:t>la</w:t>
      </w:r>
      <w:r>
        <w:rPr>
          <w:spacing w:val="-9"/>
          <w:sz w:val="20"/>
        </w:rPr>
        <w:t xml:space="preserve"> </w:t>
      </w:r>
      <w:r>
        <w:rPr>
          <w:sz w:val="20"/>
        </w:rPr>
        <w:t>importante</w:t>
      </w:r>
      <w:r>
        <w:rPr>
          <w:spacing w:val="-7"/>
          <w:sz w:val="20"/>
        </w:rPr>
        <w:t xml:space="preserve"> </w:t>
      </w:r>
      <w:r>
        <w:rPr>
          <w:sz w:val="20"/>
        </w:rPr>
        <w:t>participación</w:t>
      </w:r>
      <w:r>
        <w:rPr>
          <w:spacing w:val="-8"/>
          <w:sz w:val="20"/>
        </w:rPr>
        <w:t xml:space="preserve"> </w:t>
      </w:r>
      <w:r>
        <w:rPr>
          <w:sz w:val="20"/>
        </w:rPr>
        <w:t>de</w:t>
      </w:r>
      <w:r>
        <w:rPr>
          <w:spacing w:val="-4"/>
          <w:sz w:val="20"/>
        </w:rPr>
        <w:t xml:space="preserve"> </w:t>
      </w:r>
      <w:r>
        <w:rPr>
          <w:sz w:val="20"/>
        </w:rPr>
        <w:t>la</w:t>
      </w:r>
      <w:r>
        <w:rPr>
          <w:spacing w:val="-9"/>
          <w:sz w:val="20"/>
        </w:rPr>
        <w:t xml:space="preserve"> </w:t>
      </w:r>
      <w:r>
        <w:rPr>
          <w:sz w:val="20"/>
        </w:rPr>
        <w:t>sociedad</w:t>
      </w:r>
      <w:r>
        <w:rPr>
          <w:spacing w:val="-5"/>
          <w:sz w:val="20"/>
        </w:rPr>
        <w:t xml:space="preserve"> </w:t>
      </w:r>
      <w:r>
        <w:rPr>
          <w:sz w:val="20"/>
        </w:rPr>
        <w:t>civil</w:t>
      </w:r>
      <w:r>
        <w:rPr>
          <w:spacing w:val="-6"/>
          <w:sz w:val="20"/>
        </w:rPr>
        <w:t xml:space="preserve"> </w:t>
      </w:r>
      <w:r>
        <w:rPr>
          <w:sz w:val="20"/>
        </w:rPr>
        <w:t>a</w:t>
      </w:r>
      <w:r>
        <w:rPr>
          <w:spacing w:val="-8"/>
          <w:sz w:val="20"/>
        </w:rPr>
        <w:t xml:space="preserve"> </w:t>
      </w:r>
      <w:r>
        <w:rPr>
          <w:sz w:val="20"/>
        </w:rPr>
        <w:t>través</w:t>
      </w:r>
      <w:r>
        <w:rPr>
          <w:spacing w:val="-6"/>
          <w:sz w:val="20"/>
        </w:rPr>
        <w:t xml:space="preserve"> </w:t>
      </w:r>
      <w:r>
        <w:rPr>
          <w:sz w:val="20"/>
        </w:rPr>
        <w:t>de</w:t>
      </w:r>
      <w:r>
        <w:rPr>
          <w:spacing w:val="-8"/>
          <w:sz w:val="20"/>
        </w:rPr>
        <w:t xml:space="preserve"> </w:t>
      </w:r>
      <w:r>
        <w:rPr>
          <w:sz w:val="20"/>
        </w:rPr>
        <w:t>escritos</w:t>
      </w:r>
      <w:r>
        <w:rPr>
          <w:spacing w:val="-6"/>
          <w:sz w:val="20"/>
        </w:rPr>
        <w:t xml:space="preserve"> </w:t>
      </w:r>
      <w:r>
        <w:rPr>
          <w:sz w:val="20"/>
        </w:rPr>
        <w:t xml:space="preserve">de </w:t>
      </w:r>
      <w:r>
        <w:rPr>
          <w:i/>
          <w:sz w:val="20"/>
        </w:rPr>
        <w:t>amicus curiae</w:t>
      </w:r>
      <w:hyperlink w:anchor="_bookmark683" w:history="1">
        <w:r>
          <w:rPr>
            <w:position w:val="7"/>
            <w:sz w:val="13"/>
          </w:rPr>
          <w:t>1</w:t>
        </w:r>
      </w:hyperlink>
      <w:r>
        <w:rPr>
          <w:sz w:val="20"/>
        </w:rPr>
        <w:t>. Esta no es la primera ocasión en la que la Corte IDH se pronuncia sobre a) la discriminación estructural, b) la discriminación interseccional, c) la discriminación por la posición económica —analizada desde la óptica de la “pobreza” de las víctimas—, y d</w:t>
      </w:r>
      <w:r>
        <w:rPr>
          <w:sz w:val="20"/>
        </w:rPr>
        <w:t>) el contenido de los derechos sociales que se pueden derivar del artículo 26 de la Convención Americana sobre Derechos Humanos (en adelante “Convención Americana” o “Pacto de San José”).</w:t>
      </w:r>
      <w:r>
        <w:rPr>
          <w:spacing w:val="-6"/>
          <w:sz w:val="20"/>
        </w:rPr>
        <w:t xml:space="preserve"> </w:t>
      </w:r>
      <w:r>
        <w:rPr>
          <w:sz w:val="20"/>
        </w:rPr>
        <w:t>No</w:t>
      </w:r>
      <w:r>
        <w:rPr>
          <w:spacing w:val="-6"/>
          <w:sz w:val="20"/>
        </w:rPr>
        <w:t xml:space="preserve"> </w:t>
      </w:r>
      <w:r>
        <w:rPr>
          <w:sz w:val="20"/>
        </w:rPr>
        <w:t>obstante,</w:t>
      </w:r>
      <w:r>
        <w:rPr>
          <w:spacing w:val="-5"/>
          <w:sz w:val="20"/>
        </w:rPr>
        <w:t xml:space="preserve"> </w:t>
      </w:r>
      <w:r>
        <w:rPr>
          <w:sz w:val="20"/>
        </w:rPr>
        <w:t>es</w:t>
      </w:r>
      <w:r>
        <w:rPr>
          <w:spacing w:val="-9"/>
          <w:sz w:val="20"/>
        </w:rPr>
        <w:t xml:space="preserve"> </w:t>
      </w:r>
      <w:r>
        <w:rPr>
          <w:sz w:val="20"/>
        </w:rPr>
        <w:t>la</w:t>
      </w:r>
      <w:r>
        <w:rPr>
          <w:spacing w:val="-7"/>
          <w:sz w:val="20"/>
        </w:rPr>
        <w:t xml:space="preserve"> </w:t>
      </w:r>
      <w:r>
        <w:rPr>
          <w:sz w:val="20"/>
        </w:rPr>
        <w:t>primera</w:t>
      </w:r>
      <w:r>
        <w:rPr>
          <w:spacing w:val="-5"/>
          <w:sz w:val="20"/>
        </w:rPr>
        <w:t xml:space="preserve"> </w:t>
      </w:r>
      <w:r>
        <w:rPr>
          <w:sz w:val="20"/>
        </w:rPr>
        <w:t>oportunidad</w:t>
      </w:r>
      <w:r>
        <w:rPr>
          <w:spacing w:val="-5"/>
          <w:sz w:val="20"/>
        </w:rPr>
        <w:t xml:space="preserve"> </w:t>
      </w:r>
      <w:r>
        <w:rPr>
          <w:sz w:val="20"/>
        </w:rPr>
        <w:t>en</w:t>
      </w:r>
      <w:r>
        <w:rPr>
          <w:spacing w:val="-6"/>
          <w:sz w:val="20"/>
        </w:rPr>
        <w:t xml:space="preserve"> </w:t>
      </w:r>
      <w:r>
        <w:rPr>
          <w:sz w:val="20"/>
        </w:rPr>
        <w:t>que</w:t>
      </w:r>
      <w:r>
        <w:rPr>
          <w:spacing w:val="-9"/>
          <w:sz w:val="20"/>
        </w:rPr>
        <w:t xml:space="preserve"> </w:t>
      </w:r>
      <w:r>
        <w:rPr>
          <w:sz w:val="20"/>
        </w:rPr>
        <w:t>la</w:t>
      </w:r>
      <w:r>
        <w:rPr>
          <w:spacing w:val="-5"/>
          <w:sz w:val="20"/>
        </w:rPr>
        <w:t xml:space="preserve"> </w:t>
      </w:r>
      <w:r>
        <w:rPr>
          <w:sz w:val="20"/>
        </w:rPr>
        <w:t>Corte</w:t>
      </w:r>
      <w:r>
        <w:rPr>
          <w:spacing w:val="-6"/>
          <w:sz w:val="20"/>
        </w:rPr>
        <w:t xml:space="preserve"> </w:t>
      </w:r>
      <w:r>
        <w:rPr>
          <w:sz w:val="20"/>
        </w:rPr>
        <w:t>IDH</w:t>
      </w:r>
      <w:r>
        <w:rPr>
          <w:spacing w:val="-9"/>
          <w:sz w:val="20"/>
        </w:rPr>
        <w:t xml:space="preserve"> </w:t>
      </w:r>
      <w:r>
        <w:rPr>
          <w:sz w:val="20"/>
        </w:rPr>
        <w:t>analiza</w:t>
      </w:r>
      <w:r>
        <w:rPr>
          <w:spacing w:val="-7"/>
          <w:sz w:val="20"/>
        </w:rPr>
        <w:t xml:space="preserve"> </w:t>
      </w:r>
      <w:r>
        <w:rPr>
          <w:sz w:val="20"/>
        </w:rPr>
        <w:t>l</w:t>
      </w:r>
      <w:r>
        <w:rPr>
          <w:sz w:val="20"/>
        </w:rPr>
        <w:t>a</w:t>
      </w:r>
      <w:r>
        <w:rPr>
          <w:spacing w:val="-8"/>
          <w:sz w:val="20"/>
        </w:rPr>
        <w:t xml:space="preserve"> </w:t>
      </w:r>
      <w:r>
        <w:rPr>
          <w:sz w:val="20"/>
        </w:rPr>
        <w:t>forma</w:t>
      </w:r>
      <w:r>
        <w:rPr>
          <w:spacing w:val="-4"/>
          <w:sz w:val="20"/>
        </w:rPr>
        <w:t xml:space="preserve"> </w:t>
      </w:r>
      <w:r>
        <w:rPr>
          <w:sz w:val="20"/>
        </w:rPr>
        <w:t>en</w:t>
      </w:r>
      <w:r>
        <w:rPr>
          <w:spacing w:val="-4"/>
          <w:sz w:val="20"/>
        </w:rPr>
        <w:t xml:space="preserve"> </w:t>
      </w:r>
      <w:r>
        <w:rPr>
          <w:sz w:val="20"/>
        </w:rPr>
        <w:t>que</w:t>
      </w:r>
      <w:r>
        <w:rPr>
          <w:spacing w:val="-9"/>
          <w:sz w:val="20"/>
        </w:rPr>
        <w:t xml:space="preserve"> </w:t>
      </w:r>
      <w:r>
        <w:rPr>
          <w:sz w:val="20"/>
        </w:rPr>
        <w:t>la confluencia</w:t>
      </w:r>
      <w:r>
        <w:rPr>
          <w:spacing w:val="-14"/>
          <w:sz w:val="20"/>
        </w:rPr>
        <w:t xml:space="preserve"> </w:t>
      </w:r>
      <w:r>
        <w:rPr>
          <w:sz w:val="20"/>
        </w:rPr>
        <w:t>de</w:t>
      </w:r>
      <w:r>
        <w:rPr>
          <w:spacing w:val="-15"/>
          <w:sz w:val="20"/>
        </w:rPr>
        <w:t xml:space="preserve"> </w:t>
      </w:r>
      <w:r>
        <w:rPr>
          <w:sz w:val="20"/>
        </w:rPr>
        <w:t>diversos</w:t>
      </w:r>
      <w:r>
        <w:rPr>
          <w:spacing w:val="-14"/>
          <w:sz w:val="20"/>
        </w:rPr>
        <w:t xml:space="preserve"> </w:t>
      </w:r>
      <w:r>
        <w:rPr>
          <w:sz w:val="20"/>
        </w:rPr>
        <w:t>factores</w:t>
      </w:r>
      <w:r>
        <w:rPr>
          <w:spacing w:val="-17"/>
          <w:sz w:val="20"/>
        </w:rPr>
        <w:t xml:space="preserve"> </w:t>
      </w:r>
      <w:r>
        <w:rPr>
          <w:sz w:val="20"/>
        </w:rPr>
        <w:t>presentes</w:t>
      </w:r>
      <w:r>
        <w:rPr>
          <w:spacing w:val="-15"/>
          <w:sz w:val="20"/>
        </w:rPr>
        <w:t xml:space="preserve"> </w:t>
      </w:r>
      <w:r>
        <w:rPr>
          <w:sz w:val="20"/>
        </w:rPr>
        <w:t>en</w:t>
      </w:r>
      <w:r>
        <w:rPr>
          <w:spacing w:val="-15"/>
          <w:sz w:val="20"/>
        </w:rPr>
        <w:t xml:space="preserve"> </w:t>
      </w:r>
      <w:r>
        <w:rPr>
          <w:sz w:val="20"/>
        </w:rPr>
        <w:t>las</w:t>
      </w:r>
      <w:r>
        <w:rPr>
          <w:spacing w:val="-14"/>
          <w:sz w:val="20"/>
        </w:rPr>
        <w:t xml:space="preserve"> </w:t>
      </w:r>
      <w:r>
        <w:rPr>
          <w:sz w:val="20"/>
        </w:rPr>
        <w:t>víctimas</w:t>
      </w:r>
      <w:r>
        <w:rPr>
          <w:spacing w:val="-15"/>
          <w:sz w:val="20"/>
        </w:rPr>
        <w:t xml:space="preserve"> </w:t>
      </w:r>
      <w:r>
        <w:rPr>
          <w:sz w:val="20"/>
        </w:rPr>
        <w:t>en</w:t>
      </w:r>
      <w:r>
        <w:rPr>
          <w:spacing w:val="-13"/>
          <w:sz w:val="20"/>
        </w:rPr>
        <w:t xml:space="preserve"> </w:t>
      </w:r>
      <w:r>
        <w:rPr>
          <w:sz w:val="20"/>
        </w:rPr>
        <w:t>condición</w:t>
      </w:r>
      <w:r>
        <w:rPr>
          <w:spacing w:val="-15"/>
          <w:sz w:val="20"/>
        </w:rPr>
        <w:t xml:space="preserve"> </w:t>
      </w:r>
      <w:r>
        <w:rPr>
          <w:sz w:val="20"/>
        </w:rPr>
        <w:t>de</w:t>
      </w:r>
      <w:r>
        <w:rPr>
          <w:spacing w:val="-17"/>
          <w:sz w:val="20"/>
        </w:rPr>
        <w:t xml:space="preserve"> </w:t>
      </w:r>
      <w:r>
        <w:rPr>
          <w:sz w:val="20"/>
        </w:rPr>
        <w:t>pobreza</w:t>
      </w:r>
      <w:r>
        <w:rPr>
          <w:spacing w:val="-16"/>
          <w:sz w:val="20"/>
        </w:rPr>
        <w:t xml:space="preserve"> </w:t>
      </w:r>
      <w:r>
        <w:rPr>
          <w:sz w:val="20"/>
        </w:rPr>
        <w:t>las</w:t>
      </w:r>
      <w:r>
        <w:rPr>
          <w:spacing w:val="-15"/>
          <w:sz w:val="20"/>
        </w:rPr>
        <w:t xml:space="preserve"> </w:t>
      </w:r>
      <w:r>
        <w:rPr>
          <w:sz w:val="20"/>
        </w:rPr>
        <w:t>sometió a una situación de discriminación estructural frente al disfrute de condiciones específicas del derecho al</w:t>
      </w:r>
      <w:r>
        <w:rPr>
          <w:spacing w:val="-4"/>
          <w:sz w:val="20"/>
        </w:rPr>
        <w:t xml:space="preserve"> </w:t>
      </w:r>
      <w:r>
        <w:rPr>
          <w:sz w:val="20"/>
        </w:rPr>
        <w:t>trabajo.</w:t>
      </w:r>
    </w:p>
    <w:p w14:paraId="76D4CC0D" w14:textId="77777777" w:rsidR="00467FCA" w:rsidRDefault="00467FCA">
      <w:pPr>
        <w:pStyle w:val="Textoindependiente"/>
      </w:pPr>
    </w:p>
    <w:p w14:paraId="5CA5106C" w14:textId="77777777" w:rsidR="00467FCA" w:rsidRDefault="001B68EB">
      <w:pPr>
        <w:pStyle w:val="Textoindependiente"/>
        <w:spacing w:before="1"/>
        <w:rPr>
          <w:sz w:val="12"/>
        </w:rPr>
      </w:pPr>
      <w:r>
        <w:pict w14:anchorId="164E6CD8">
          <v:shape id="_x0000_s1070" style="position:absolute;margin-left:70.9pt;margin-top:9.65pt;width:2in;height:.1pt;z-index:-251529216;mso-wrap-distance-left:0;mso-wrap-distance-right:0;mso-position-horizontal-relative:page" coordorigin="1418,193" coordsize="2880,0" path="m1418,193r2880,e" filled="f" strokeweight=".6pt">
            <v:path arrowok="t"/>
            <w10:wrap type="topAndBottom" anchorx="page"/>
          </v:shape>
        </w:pict>
      </w:r>
    </w:p>
    <w:p w14:paraId="4373E942" w14:textId="77777777" w:rsidR="00467FCA" w:rsidRDefault="001B68EB">
      <w:pPr>
        <w:tabs>
          <w:tab w:val="left" w:pos="1166"/>
        </w:tabs>
        <w:spacing w:before="74"/>
        <w:ind w:left="458" w:right="271" w:hanging="1"/>
        <w:jc w:val="both"/>
        <w:rPr>
          <w:sz w:val="16"/>
        </w:rPr>
      </w:pPr>
      <w:bookmarkStart w:id="764" w:name="_bookmark683"/>
      <w:bookmarkEnd w:id="764"/>
      <w:r>
        <w:rPr>
          <w:position w:val="6"/>
          <w:sz w:val="10"/>
        </w:rPr>
        <w:t>1</w:t>
      </w:r>
      <w:r>
        <w:rPr>
          <w:position w:val="6"/>
          <w:sz w:val="10"/>
        </w:rPr>
        <w:tab/>
      </w:r>
      <w:r>
        <w:rPr>
          <w:sz w:val="16"/>
        </w:rPr>
        <w:t>Los</w:t>
      </w:r>
      <w:r>
        <w:rPr>
          <w:spacing w:val="-3"/>
          <w:sz w:val="16"/>
        </w:rPr>
        <w:t xml:space="preserve"> </w:t>
      </w:r>
      <w:r>
        <w:rPr>
          <w:i/>
          <w:sz w:val="16"/>
        </w:rPr>
        <w:t>amici</w:t>
      </w:r>
      <w:r>
        <w:rPr>
          <w:i/>
          <w:spacing w:val="-3"/>
          <w:sz w:val="16"/>
        </w:rPr>
        <w:t xml:space="preserve"> </w:t>
      </w:r>
      <w:r>
        <w:rPr>
          <w:i/>
          <w:sz w:val="16"/>
        </w:rPr>
        <w:t>curiae</w:t>
      </w:r>
      <w:r>
        <w:rPr>
          <w:i/>
          <w:spacing w:val="-2"/>
          <w:sz w:val="16"/>
        </w:rPr>
        <w:t xml:space="preserve"> </w:t>
      </w:r>
      <w:r>
        <w:rPr>
          <w:sz w:val="16"/>
        </w:rPr>
        <w:t>fueron</w:t>
      </w:r>
      <w:r>
        <w:rPr>
          <w:spacing w:val="-4"/>
          <w:sz w:val="16"/>
        </w:rPr>
        <w:t xml:space="preserve"> </w:t>
      </w:r>
      <w:r>
        <w:rPr>
          <w:sz w:val="16"/>
        </w:rPr>
        <w:t>presentados</w:t>
      </w:r>
      <w:r>
        <w:rPr>
          <w:spacing w:val="-2"/>
          <w:sz w:val="16"/>
        </w:rPr>
        <w:t xml:space="preserve"> </w:t>
      </w:r>
      <w:r>
        <w:rPr>
          <w:sz w:val="16"/>
        </w:rPr>
        <w:t>por:</w:t>
      </w:r>
      <w:r>
        <w:rPr>
          <w:spacing w:val="-7"/>
          <w:sz w:val="16"/>
        </w:rPr>
        <w:t xml:space="preserve"> </w:t>
      </w:r>
      <w:r>
        <w:rPr>
          <w:sz w:val="16"/>
        </w:rPr>
        <w:t>1)</w:t>
      </w:r>
      <w:r>
        <w:rPr>
          <w:spacing w:val="-1"/>
          <w:sz w:val="16"/>
        </w:rPr>
        <w:t xml:space="preserve"> </w:t>
      </w:r>
      <w:r>
        <w:rPr>
          <w:sz w:val="16"/>
        </w:rPr>
        <w:t>la</w:t>
      </w:r>
      <w:r>
        <w:rPr>
          <w:spacing w:val="-3"/>
          <w:sz w:val="16"/>
        </w:rPr>
        <w:t xml:space="preserve"> </w:t>
      </w:r>
      <w:r>
        <w:rPr>
          <w:sz w:val="16"/>
        </w:rPr>
        <w:t>Iniciativa</w:t>
      </w:r>
      <w:r>
        <w:rPr>
          <w:spacing w:val="-3"/>
          <w:sz w:val="16"/>
        </w:rPr>
        <w:t xml:space="preserve"> </w:t>
      </w:r>
      <w:r>
        <w:rPr>
          <w:sz w:val="16"/>
        </w:rPr>
        <w:t>para</w:t>
      </w:r>
      <w:r>
        <w:rPr>
          <w:spacing w:val="-1"/>
          <w:sz w:val="16"/>
        </w:rPr>
        <w:t xml:space="preserve"> </w:t>
      </w:r>
      <w:r>
        <w:rPr>
          <w:sz w:val="16"/>
        </w:rPr>
        <w:t>los</w:t>
      </w:r>
      <w:r>
        <w:rPr>
          <w:spacing w:val="-5"/>
          <w:sz w:val="16"/>
        </w:rPr>
        <w:t xml:space="preserve"> </w:t>
      </w:r>
      <w:r>
        <w:rPr>
          <w:sz w:val="16"/>
        </w:rPr>
        <w:t>Derechos</w:t>
      </w:r>
      <w:r>
        <w:rPr>
          <w:spacing w:val="-1"/>
          <w:sz w:val="16"/>
        </w:rPr>
        <w:t xml:space="preserve"> </w:t>
      </w:r>
      <w:r>
        <w:rPr>
          <w:sz w:val="16"/>
        </w:rPr>
        <w:t>Económicos,</w:t>
      </w:r>
      <w:r>
        <w:rPr>
          <w:spacing w:val="-6"/>
          <w:sz w:val="16"/>
        </w:rPr>
        <w:t xml:space="preserve"> </w:t>
      </w:r>
      <w:r>
        <w:rPr>
          <w:sz w:val="16"/>
        </w:rPr>
        <w:t>Sociales,</w:t>
      </w:r>
      <w:r>
        <w:rPr>
          <w:spacing w:val="-3"/>
          <w:sz w:val="16"/>
        </w:rPr>
        <w:t xml:space="preserve"> </w:t>
      </w:r>
      <w:r>
        <w:rPr>
          <w:sz w:val="16"/>
        </w:rPr>
        <w:t>Culturales y Ambientales (iDESCA) del Laboratorio de Derechos Humanos y Justicia Global (LabDH) y el Instituto Brasileño de Derechos</w:t>
      </w:r>
      <w:r>
        <w:rPr>
          <w:spacing w:val="-10"/>
          <w:sz w:val="16"/>
        </w:rPr>
        <w:t xml:space="preserve"> </w:t>
      </w:r>
      <w:r>
        <w:rPr>
          <w:sz w:val="16"/>
        </w:rPr>
        <w:t>Humanos</w:t>
      </w:r>
      <w:r>
        <w:rPr>
          <w:spacing w:val="-10"/>
          <w:sz w:val="16"/>
        </w:rPr>
        <w:t xml:space="preserve"> </w:t>
      </w:r>
      <w:r>
        <w:rPr>
          <w:sz w:val="16"/>
        </w:rPr>
        <w:t>(IBDH);</w:t>
      </w:r>
      <w:r>
        <w:rPr>
          <w:spacing w:val="-11"/>
          <w:sz w:val="16"/>
        </w:rPr>
        <w:t xml:space="preserve"> </w:t>
      </w:r>
      <w:r>
        <w:rPr>
          <w:sz w:val="16"/>
        </w:rPr>
        <w:t>2)</w:t>
      </w:r>
      <w:r>
        <w:rPr>
          <w:spacing w:val="-8"/>
          <w:sz w:val="16"/>
        </w:rPr>
        <w:t xml:space="preserve"> </w:t>
      </w:r>
      <w:r>
        <w:rPr>
          <w:sz w:val="16"/>
        </w:rPr>
        <w:t>el</w:t>
      </w:r>
      <w:r>
        <w:rPr>
          <w:spacing w:val="-11"/>
          <w:sz w:val="16"/>
        </w:rPr>
        <w:t xml:space="preserve"> </w:t>
      </w:r>
      <w:r>
        <w:rPr>
          <w:sz w:val="16"/>
        </w:rPr>
        <w:t>Ministerio</w:t>
      </w:r>
      <w:r>
        <w:rPr>
          <w:spacing w:val="-9"/>
          <w:sz w:val="16"/>
        </w:rPr>
        <w:t xml:space="preserve"> </w:t>
      </w:r>
      <w:r>
        <w:rPr>
          <w:sz w:val="16"/>
        </w:rPr>
        <w:t>Público</w:t>
      </w:r>
      <w:r>
        <w:rPr>
          <w:spacing w:val="-9"/>
          <w:sz w:val="16"/>
        </w:rPr>
        <w:t xml:space="preserve"> </w:t>
      </w:r>
      <w:r>
        <w:rPr>
          <w:sz w:val="16"/>
        </w:rPr>
        <w:t>d</w:t>
      </w:r>
      <w:r>
        <w:rPr>
          <w:sz w:val="16"/>
        </w:rPr>
        <w:t>el</w:t>
      </w:r>
      <w:r>
        <w:rPr>
          <w:spacing w:val="-11"/>
          <w:sz w:val="16"/>
        </w:rPr>
        <w:t xml:space="preserve"> </w:t>
      </w:r>
      <w:r>
        <w:rPr>
          <w:sz w:val="16"/>
        </w:rPr>
        <w:t>Trabajo</w:t>
      </w:r>
      <w:r>
        <w:rPr>
          <w:spacing w:val="-9"/>
          <w:sz w:val="16"/>
        </w:rPr>
        <w:t xml:space="preserve"> </w:t>
      </w:r>
      <w:r>
        <w:rPr>
          <w:sz w:val="16"/>
        </w:rPr>
        <w:t>de</w:t>
      </w:r>
      <w:r>
        <w:rPr>
          <w:spacing w:val="-10"/>
          <w:sz w:val="16"/>
        </w:rPr>
        <w:t xml:space="preserve"> </w:t>
      </w:r>
      <w:r>
        <w:rPr>
          <w:sz w:val="16"/>
        </w:rPr>
        <w:t>Brasil;</w:t>
      </w:r>
      <w:r>
        <w:rPr>
          <w:spacing w:val="-11"/>
          <w:sz w:val="16"/>
        </w:rPr>
        <w:t xml:space="preserve"> </w:t>
      </w:r>
      <w:r>
        <w:rPr>
          <w:sz w:val="16"/>
        </w:rPr>
        <w:t>3)</w:t>
      </w:r>
      <w:r>
        <w:rPr>
          <w:spacing w:val="-8"/>
          <w:sz w:val="16"/>
        </w:rPr>
        <w:t xml:space="preserve"> </w:t>
      </w:r>
      <w:r>
        <w:rPr>
          <w:sz w:val="16"/>
        </w:rPr>
        <w:t>la</w:t>
      </w:r>
      <w:r>
        <w:rPr>
          <w:spacing w:val="-9"/>
          <w:sz w:val="16"/>
        </w:rPr>
        <w:t xml:space="preserve"> </w:t>
      </w:r>
      <w:r>
        <w:rPr>
          <w:sz w:val="16"/>
        </w:rPr>
        <w:t>Clínica</w:t>
      </w:r>
      <w:r>
        <w:rPr>
          <w:spacing w:val="-10"/>
          <w:sz w:val="16"/>
        </w:rPr>
        <w:t xml:space="preserve"> </w:t>
      </w:r>
      <w:r>
        <w:rPr>
          <w:sz w:val="16"/>
        </w:rPr>
        <w:t>de</w:t>
      </w:r>
      <w:r>
        <w:rPr>
          <w:spacing w:val="-12"/>
          <w:sz w:val="16"/>
        </w:rPr>
        <w:t xml:space="preserve"> </w:t>
      </w:r>
      <w:r>
        <w:rPr>
          <w:sz w:val="16"/>
        </w:rPr>
        <w:t>Defensa</w:t>
      </w:r>
      <w:r>
        <w:rPr>
          <w:spacing w:val="-13"/>
          <w:sz w:val="16"/>
        </w:rPr>
        <w:t xml:space="preserve"> </w:t>
      </w:r>
      <w:r>
        <w:rPr>
          <w:sz w:val="16"/>
        </w:rPr>
        <w:t>de</w:t>
      </w:r>
      <w:r>
        <w:rPr>
          <w:spacing w:val="-10"/>
          <w:sz w:val="16"/>
        </w:rPr>
        <w:t xml:space="preserve"> </w:t>
      </w:r>
      <w:r>
        <w:rPr>
          <w:sz w:val="16"/>
        </w:rPr>
        <w:t>Políticas</w:t>
      </w:r>
      <w:r>
        <w:rPr>
          <w:spacing w:val="-7"/>
          <w:sz w:val="16"/>
        </w:rPr>
        <w:t xml:space="preserve"> </w:t>
      </w:r>
      <w:r>
        <w:rPr>
          <w:sz w:val="16"/>
        </w:rPr>
        <w:t>Públicas en</w:t>
      </w:r>
      <w:r>
        <w:rPr>
          <w:spacing w:val="-2"/>
          <w:sz w:val="16"/>
        </w:rPr>
        <w:t xml:space="preserve"> </w:t>
      </w:r>
      <w:r>
        <w:rPr>
          <w:sz w:val="16"/>
        </w:rPr>
        <w:t>América</w:t>
      </w:r>
      <w:r>
        <w:rPr>
          <w:spacing w:val="-3"/>
          <w:sz w:val="16"/>
        </w:rPr>
        <w:t xml:space="preserve"> </w:t>
      </w:r>
      <w:r>
        <w:rPr>
          <w:sz w:val="16"/>
        </w:rPr>
        <w:t>Latina</w:t>
      </w:r>
      <w:r>
        <w:rPr>
          <w:spacing w:val="-4"/>
          <w:sz w:val="16"/>
        </w:rPr>
        <w:t xml:space="preserve"> </w:t>
      </w:r>
      <w:r>
        <w:rPr>
          <w:sz w:val="16"/>
        </w:rPr>
        <w:t>de</w:t>
      </w:r>
      <w:r>
        <w:rPr>
          <w:spacing w:val="-2"/>
          <w:sz w:val="16"/>
        </w:rPr>
        <w:t xml:space="preserve"> </w:t>
      </w:r>
      <w:r>
        <w:rPr>
          <w:sz w:val="16"/>
        </w:rPr>
        <w:t>la</w:t>
      </w:r>
      <w:r>
        <w:rPr>
          <w:spacing w:val="-2"/>
          <w:sz w:val="16"/>
        </w:rPr>
        <w:t xml:space="preserve"> </w:t>
      </w:r>
      <w:r>
        <w:rPr>
          <w:sz w:val="16"/>
        </w:rPr>
        <w:t>Universidad</w:t>
      </w:r>
      <w:r>
        <w:rPr>
          <w:spacing w:val="-4"/>
          <w:sz w:val="16"/>
        </w:rPr>
        <w:t xml:space="preserve"> </w:t>
      </w:r>
      <w:r>
        <w:rPr>
          <w:sz w:val="16"/>
        </w:rPr>
        <w:t>de</w:t>
      </w:r>
      <w:r>
        <w:rPr>
          <w:spacing w:val="-2"/>
          <w:sz w:val="16"/>
        </w:rPr>
        <w:t xml:space="preserve"> </w:t>
      </w:r>
      <w:r>
        <w:rPr>
          <w:sz w:val="16"/>
        </w:rPr>
        <w:t>Nueva</w:t>
      </w:r>
      <w:r>
        <w:rPr>
          <w:spacing w:val="-2"/>
          <w:sz w:val="16"/>
        </w:rPr>
        <w:t xml:space="preserve"> </w:t>
      </w:r>
      <w:r>
        <w:rPr>
          <w:sz w:val="16"/>
        </w:rPr>
        <w:t>York;</w:t>
      </w:r>
      <w:r>
        <w:rPr>
          <w:spacing w:val="-4"/>
          <w:sz w:val="16"/>
        </w:rPr>
        <w:t xml:space="preserve"> </w:t>
      </w:r>
      <w:r>
        <w:rPr>
          <w:sz w:val="16"/>
        </w:rPr>
        <w:t>4)</w:t>
      </w:r>
      <w:r>
        <w:rPr>
          <w:spacing w:val="-5"/>
          <w:sz w:val="16"/>
        </w:rPr>
        <w:t xml:space="preserve"> </w:t>
      </w:r>
      <w:r>
        <w:rPr>
          <w:sz w:val="16"/>
        </w:rPr>
        <w:t>la</w:t>
      </w:r>
      <w:r>
        <w:rPr>
          <w:spacing w:val="-3"/>
          <w:sz w:val="16"/>
        </w:rPr>
        <w:t xml:space="preserve"> </w:t>
      </w:r>
      <w:r>
        <w:rPr>
          <w:sz w:val="16"/>
        </w:rPr>
        <w:t>Clínica</w:t>
      </w:r>
      <w:r>
        <w:rPr>
          <w:spacing w:val="-2"/>
          <w:sz w:val="16"/>
        </w:rPr>
        <w:t xml:space="preserve"> </w:t>
      </w:r>
      <w:r>
        <w:rPr>
          <w:sz w:val="16"/>
        </w:rPr>
        <w:t>de</w:t>
      </w:r>
      <w:r>
        <w:rPr>
          <w:spacing w:val="-5"/>
          <w:sz w:val="16"/>
        </w:rPr>
        <w:t xml:space="preserve"> </w:t>
      </w:r>
      <w:r>
        <w:rPr>
          <w:sz w:val="16"/>
        </w:rPr>
        <w:t>Derechos Humanos</w:t>
      </w:r>
      <w:r>
        <w:rPr>
          <w:spacing w:val="-3"/>
          <w:sz w:val="16"/>
        </w:rPr>
        <w:t xml:space="preserve"> </w:t>
      </w:r>
      <w:r>
        <w:rPr>
          <w:sz w:val="16"/>
        </w:rPr>
        <w:t>de la</w:t>
      </w:r>
      <w:r>
        <w:rPr>
          <w:spacing w:val="-4"/>
          <w:sz w:val="16"/>
        </w:rPr>
        <w:t xml:space="preserve"> </w:t>
      </w:r>
      <w:r>
        <w:rPr>
          <w:sz w:val="16"/>
        </w:rPr>
        <w:t>Universidad</w:t>
      </w:r>
      <w:r>
        <w:rPr>
          <w:spacing w:val="-2"/>
          <w:sz w:val="16"/>
        </w:rPr>
        <w:t xml:space="preserve"> </w:t>
      </w:r>
      <w:r>
        <w:rPr>
          <w:sz w:val="16"/>
        </w:rPr>
        <w:t>Federal</w:t>
      </w:r>
      <w:r>
        <w:rPr>
          <w:spacing w:val="-4"/>
          <w:sz w:val="16"/>
        </w:rPr>
        <w:t xml:space="preserve"> </w:t>
      </w:r>
      <w:r>
        <w:rPr>
          <w:sz w:val="16"/>
        </w:rPr>
        <w:t>de Bahía;</w:t>
      </w:r>
      <w:r>
        <w:rPr>
          <w:spacing w:val="-12"/>
          <w:sz w:val="16"/>
        </w:rPr>
        <w:t xml:space="preserve"> </w:t>
      </w:r>
      <w:r>
        <w:rPr>
          <w:sz w:val="16"/>
        </w:rPr>
        <w:t>5)</w:t>
      </w:r>
      <w:r>
        <w:rPr>
          <w:spacing w:val="-12"/>
          <w:sz w:val="16"/>
        </w:rPr>
        <w:t xml:space="preserve"> </w:t>
      </w:r>
      <w:r>
        <w:rPr>
          <w:sz w:val="16"/>
        </w:rPr>
        <w:t>la</w:t>
      </w:r>
      <w:r>
        <w:rPr>
          <w:spacing w:val="-13"/>
          <w:sz w:val="16"/>
        </w:rPr>
        <w:t xml:space="preserve"> </w:t>
      </w:r>
      <w:r>
        <w:rPr>
          <w:sz w:val="16"/>
        </w:rPr>
        <w:t>Clínica</w:t>
      </w:r>
      <w:r>
        <w:rPr>
          <w:spacing w:val="-11"/>
          <w:sz w:val="16"/>
        </w:rPr>
        <w:t xml:space="preserve"> </w:t>
      </w:r>
      <w:r>
        <w:rPr>
          <w:sz w:val="16"/>
        </w:rPr>
        <w:t>de</w:t>
      </w:r>
      <w:r>
        <w:rPr>
          <w:spacing w:val="-12"/>
          <w:sz w:val="16"/>
        </w:rPr>
        <w:t xml:space="preserve"> </w:t>
      </w:r>
      <w:r>
        <w:rPr>
          <w:sz w:val="16"/>
        </w:rPr>
        <w:t>Derechos</w:t>
      </w:r>
      <w:r>
        <w:rPr>
          <w:spacing w:val="-11"/>
          <w:sz w:val="16"/>
        </w:rPr>
        <w:t xml:space="preserve"> </w:t>
      </w:r>
      <w:r>
        <w:rPr>
          <w:sz w:val="16"/>
        </w:rPr>
        <w:t>Humanos</w:t>
      </w:r>
      <w:r>
        <w:rPr>
          <w:spacing w:val="-12"/>
          <w:sz w:val="16"/>
        </w:rPr>
        <w:t xml:space="preserve"> </w:t>
      </w:r>
      <w:r>
        <w:rPr>
          <w:sz w:val="16"/>
        </w:rPr>
        <w:t>de</w:t>
      </w:r>
      <w:r>
        <w:rPr>
          <w:spacing w:val="-11"/>
          <w:sz w:val="16"/>
        </w:rPr>
        <w:t xml:space="preserve"> </w:t>
      </w:r>
      <w:r>
        <w:rPr>
          <w:sz w:val="16"/>
        </w:rPr>
        <w:t>la</w:t>
      </w:r>
      <w:r>
        <w:rPr>
          <w:spacing w:val="-11"/>
          <w:sz w:val="16"/>
        </w:rPr>
        <w:t xml:space="preserve"> </w:t>
      </w:r>
      <w:r>
        <w:rPr>
          <w:sz w:val="16"/>
        </w:rPr>
        <w:t>Escuela</w:t>
      </w:r>
      <w:r>
        <w:rPr>
          <w:spacing w:val="-14"/>
          <w:sz w:val="16"/>
        </w:rPr>
        <w:t xml:space="preserve"> </w:t>
      </w:r>
      <w:r>
        <w:rPr>
          <w:sz w:val="16"/>
        </w:rPr>
        <w:t>de</w:t>
      </w:r>
      <w:r>
        <w:rPr>
          <w:spacing w:val="-12"/>
          <w:sz w:val="16"/>
        </w:rPr>
        <w:t xml:space="preserve"> </w:t>
      </w:r>
      <w:r>
        <w:rPr>
          <w:sz w:val="16"/>
        </w:rPr>
        <w:t>Derecho</w:t>
      </w:r>
      <w:r>
        <w:rPr>
          <w:spacing w:val="-12"/>
          <w:sz w:val="16"/>
        </w:rPr>
        <w:t xml:space="preserve"> </w:t>
      </w:r>
      <w:r>
        <w:rPr>
          <w:sz w:val="16"/>
        </w:rPr>
        <w:t>del</w:t>
      </w:r>
      <w:r>
        <w:rPr>
          <w:spacing w:val="-11"/>
          <w:sz w:val="16"/>
        </w:rPr>
        <w:t xml:space="preserve"> </w:t>
      </w:r>
      <w:r>
        <w:rPr>
          <w:sz w:val="16"/>
        </w:rPr>
        <w:t>Instituto</w:t>
      </w:r>
      <w:r>
        <w:rPr>
          <w:spacing w:val="-10"/>
          <w:sz w:val="16"/>
        </w:rPr>
        <w:t xml:space="preserve"> </w:t>
      </w:r>
      <w:r>
        <w:rPr>
          <w:i/>
          <w:sz w:val="16"/>
        </w:rPr>
        <w:t>Brasiliense</w:t>
      </w:r>
      <w:r>
        <w:rPr>
          <w:i/>
          <w:spacing w:val="-11"/>
          <w:sz w:val="16"/>
        </w:rPr>
        <w:t xml:space="preserve"> </w:t>
      </w:r>
      <w:r>
        <w:rPr>
          <w:sz w:val="16"/>
        </w:rPr>
        <w:t>de</w:t>
      </w:r>
      <w:r>
        <w:rPr>
          <w:spacing w:val="-12"/>
          <w:sz w:val="16"/>
        </w:rPr>
        <w:t xml:space="preserve"> </w:t>
      </w:r>
      <w:r>
        <w:rPr>
          <w:sz w:val="16"/>
        </w:rPr>
        <w:t>Derecho</w:t>
      </w:r>
      <w:r>
        <w:rPr>
          <w:spacing w:val="-10"/>
          <w:sz w:val="16"/>
        </w:rPr>
        <w:t xml:space="preserve"> </w:t>
      </w:r>
      <w:r>
        <w:rPr>
          <w:sz w:val="16"/>
        </w:rPr>
        <w:t>Público</w:t>
      </w:r>
      <w:r>
        <w:rPr>
          <w:spacing w:val="-11"/>
          <w:sz w:val="16"/>
        </w:rPr>
        <w:t xml:space="preserve"> </w:t>
      </w:r>
      <w:r>
        <w:rPr>
          <w:sz w:val="16"/>
        </w:rPr>
        <w:t>(CDH- IDP); 6) la Clínica de Derechos Humanos y Derecho Ambiental de la Universidad del Estado de Amazonas, y 7) estudiantes de la Maestría en Derecho Internacional de la Universidad de La</w:t>
      </w:r>
      <w:r>
        <w:rPr>
          <w:spacing w:val="-14"/>
          <w:sz w:val="16"/>
        </w:rPr>
        <w:t xml:space="preserve"> </w:t>
      </w:r>
      <w:r>
        <w:rPr>
          <w:sz w:val="16"/>
        </w:rPr>
        <w:t>Sabana.</w:t>
      </w:r>
    </w:p>
    <w:p w14:paraId="50C863A4" w14:textId="77777777" w:rsidR="00467FCA" w:rsidRDefault="00467FCA">
      <w:pPr>
        <w:jc w:val="both"/>
        <w:rPr>
          <w:sz w:val="16"/>
        </w:rPr>
        <w:sectPr w:rsidR="00467FCA">
          <w:footerReference w:type="default" r:id="rId66"/>
          <w:pgSz w:w="12240" w:h="15840"/>
          <w:pgMar w:top="1500" w:right="1140" w:bottom="280" w:left="960" w:header="0" w:footer="0" w:gutter="0"/>
          <w:cols w:space="720"/>
        </w:sectPr>
      </w:pPr>
    </w:p>
    <w:p w14:paraId="32A35C2D" w14:textId="77777777" w:rsidR="00467FCA" w:rsidRDefault="001B68EB">
      <w:pPr>
        <w:pStyle w:val="Prrafodelista"/>
        <w:numPr>
          <w:ilvl w:val="0"/>
          <w:numId w:val="9"/>
        </w:numPr>
        <w:tabs>
          <w:tab w:val="left" w:pos="1167"/>
        </w:tabs>
        <w:spacing w:before="79"/>
        <w:ind w:right="275" w:firstLine="0"/>
        <w:jc w:val="both"/>
        <w:rPr>
          <w:sz w:val="20"/>
        </w:rPr>
      </w:pPr>
      <w:r>
        <w:rPr>
          <w:sz w:val="20"/>
        </w:rPr>
        <w:t xml:space="preserve">La sentencia aborda el contexto de </w:t>
      </w:r>
      <w:r>
        <w:rPr>
          <w:i/>
          <w:sz w:val="20"/>
        </w:rPr>
        <w:t xml:space="preserve">exclusión social </w:t>
      </w:r>
      <w:r>
        <w:rPr>
          <w:sz w:val="20"/>
        </w:rPr>
        <w:t>en la que se encuentran las personas que residían o residen en algunos barrios del Municipio de Santo Antônio de Jesús, en</w:t>
      </w:r>
      <w:r>
        <w:rPr>
          <w:spacing w:val="-9"/>
          <w:sz w:val="20"/>
        </w:rPr>
        <w:t xml:space="preserve"> </w:t>
      </w:r>
      <w:r>
        <w:rPr>
          <w:sz w:val="20"/>
        </w:rPr>
        <w:t>la</w:t>
      </w:r>
      <w:r>
        <w:rPr>
          <w:spacing w:val="-8"/>
          <w:sz w:val="20"/>
        </w:rPr>
        <w:t xml:space="preserve"> </w:t>
      </w:r>
      <w:r>
        <w:rPr>
          <w:sz w:val="20"/>
        </w:rPr>
        <w:t>región</w:t>
      </w:r>
      <w:r>
        <w:rPr>
          <w:spacing w:val="-9"/>
          <w:sz w:val="20"/>
        </w:rPr>
        <w:t xml:space="preserve"> </w:t>
      </w:r>
      <w:r>
        <w:rPr>
          <w:sz w:val="20"/>
        </w:rPr>
        <w:t>del</w:t>
      </w:r>
      <w:r>
        <w:rPr>
          <w:spacing w:val="-9"/>
          <w:sz w:val="20"/>
        </w:rPr>
        <w:t xml:space="preserve"> </w:t>
      </w:r>
      <w:r>
        <w:rPr>
          <w:sz w:val="20"/>
        </w:rPr>
        <w:t>Recôncavo</w:t>
      </w:r>
      <w:r>
        <w:rPr>
          <w:spacing w:val="-11"/>
          <w:sz w:val="20"/>
        </w:rPr>
        <w:t xml:space="preserve"> </w:t>
      </w:r>
      <w:r>
        <w:rPr>
          <w:sz w:val="20"/>
        </w:rPr>
        <w:t>Sur,</w:t>
      </w:r>
      <w:r>
        <w:rPr>
          <w:spacing w:val="-10"/>
          <w:sz w:val="20"/>
        </w:rPr>
        <w:t xml:space="preserve"> </w:t>
      </w:r>
      <w:r>
        <w:rPr>
          <w:sz w:val="20"/>
        </w:rPr>
        <w:t>Estado</w:t>
      </w:r>
      <w:r>
        <w:rPr>
          <w:spacing w:val="-11"/>
          <w:sz w:val="20"/>
        </w:rPr>
        <w:t xml:space="preserve"> </w:t>
      </w:r>
      <w:r>
        <w:rPr>
          <w:sz w:val="20"/>
        </w:rPr>
        <w:t>de</w:t>
      </w:r>
      <w:r>
        <w:rPr>
          <w:spacing w:val="-9"/>
          <w:sz w:val="20"/>
        </w:rPr>
        <w:t xml:space="preserve"> </w:t>
      </w:r>
      <w:r>
        <w:rPr>
          <w:sz w:val="20"/>
        </w:rPr>
        <w:t>Bahía.</w:t>
      </w:r>
      <w:r>
        <w:rPr>
          <w:spacing w:val="-10"/>
          <w:sz w:val="20"/>
        </w:rPr>
        <w:t xml:space="preserve"> </w:t>
      </w:r>
      <w:r>
        <w:rPr>
          <w:sz w:val="20"/>
        </w:rPr>
        <w:t>Bajo</w:t>
      </w:r>
      <w:r>
        <w:rPr>
          <w:spacing w:val="-9"/>
          <w:sz w:val="20"/>
        </w:rPr>
        <w:t xml:space="preserve"> </w:t>
      </w:r>
      <w:r>
        <w:rPr>
          <w:sz w:val="20"/>
        </w:rPr>
        <w:t>este</w:t>
      </w:r>
      <w:r>
        <w:rPr>
          <w:spacing w:val="-9"/>
          <w:sz w:val="20"/>
        </w:rPr>
        <w:t xml:space="preserve"> </w:t>
      </w:r>
      <w:r>
        <w:rPr>
          <w:sz w:val="20"/>
        </w:rPr>
        <w:t>panorama</w:t>
      </w:r>
      <w:r>
        <w:rPr>
          <w:spacing w:val="-9"/>
          <w:sz w:val="20"/>
        </w:rPr>
        <w:t xml:space="preserve"> </w:t>
      </w:r>
      <w:r>
        <w:rPr>
          <w:sz w:val="20"/>
        </w:rPr>
        <w:t>la</w:t>
      </w:r>
      <w:r>
        <w:rPr>
          <w:spacing w:val="-5"/>
          <w:sz w:val="20"/>
        </w:rPr>
        <w:t xml:space="preserve"> </w:t>
      </w:r>
      <w:r>
        <w:rPr>
          <w:sz w:val="20"/>
        </w:rPr>
        <w:t>fabricación</w:t>
      </w:r>
      <w:r>
        <w:rPr>
          <w:spacing w:val="-9"/>
          <w:sz w:val="20"/>
        </w:rPr>
        <w:t xml:space="preserve"> </w:t>
      </w:r>
      <w:r>
        <w:rPr>
          <w:sz w:val="20"/>
        </w:rPr>
        <w:t>d</w:t>
      </w:r>
      <w:r>
        <w:rPr>
          <w:sz w:val="20"/>
        </w:rPr>
        <w:t>e</w:t>
      </w:r>
      <w:r>
        <w:rPr>
          <w:spacing w:val="-8"/>
          <w:sz w:val="20"/>
        </w:rPr>
        <w:t xml:space="preserve"> </w:t>
      </w:r>
      <w:r>
        <w:rPr>
          <w:sz w:val="20"/>
        </w:rPr>
        <w:t>fuegos artificiales constituía la principal fuente laboral (sino la única opción laboral) de las mujeres que allí se encontraban o se encuentran. Ante un nivel muy bajo de escolaridad y alfabetización, y que la percepción que se tenía de ellas las perfil</w:t>
      </w:r>
      <w:r>
        <w:rPr>
          <w:sz w:val="20"/>
        </w:rPr>
        <w:t>aba como “poco confiables</w:t>
      </w:r>
      <w:r>
        <w:rPr>
          <w:spacing w:val="-50"/>
          <w:sz w:val="20"/>
        </w:rPr>
        <w:t xml:space="preserve"> </w:t>
      </w:r>
      <w:r>
        <w:rPr>
          <w:sz w:val="20"/>
        </w:rPr>
        <w:t>y por estas razones no podían acceder a otro empleo”</w:t>
      </w:r>
      <w:hyperlink w:anchor="_bookmark684" w:history="1">
        <w:r>
          <w:rPr>
            <w:position w:val="7"/>
            <w:sz w:val="13"/>
          </w:rPr>
          <w:t>2</w:t>
        </w:r>
      </w:hyperlink>
      <w:r>
        <w:rPr>
          <w:sz w:val="20"/>
        </w:rPr>
        <w:t xml:space="preserve">. El Tribunal Interamericano consideró que, además de la </w:t>
      </w:r>
      <w:r>
        <w:rPr>
          <w:i/>
          <w:sz w:val="20"/>
        </w:rPr>
        <w:t>discriminación estructural en función de la condición de pobreza</w:t>
      </w:r>
      <w:r>
        <w:rPr>
          <w:sz w:val="20"/>
        </w:rPr>
        <w:t>, en las víctimas conflu</w:t>
      </w:r>
      <w:r>
        <w:rPr>
          <w:sz w:val="20"/>
        </w:rPr>
        <w:t>ían distintas desventajas estructurales que impactaron su victimización, desventajas</w:t>
      </w:r>
      <w:r>
        <w:rPr>
          <w:spacing w:val="-12"/>
          <w:sz w:val="20"/>
        </w:rPr>
        <w:t xml:space="preserve"> </w:t>
      </w:r>
      <w:r>
        <w:rPr>
          <w:sz w:val="20"/>
        </w:rPr>
        <w:t>tanto</w:t>
      </w:r>
      <w:r>
        <w:rPr>
          <w:spacing w:val="-8"/>
          <w:sz w:val="20"/>
        </w:rPr>
        <w:t xml:space="preserve"> </w:t>
      </w:r>
      <w:r>
        <w:rPr>
          <w:sz w:val="20"/>
        </w:rPr>
        <w:t>económicos</w:t>
      </w:r>
      <w:r>
        <w:rPr>
          <w:spacing w:val="-9"/>
          <w:sz w:val="20"/>
        </w:rPr>
        <w:t xml:space="preserve"> </w:t>
      </w:r>
      <w:r>
        <w:rPr>
          <w:sz w:val="20"/>
        </w:rPr>
        <w:t>y</w:t>
      </w:r>
      <w:r>
        <w:rPr>
          <w:spacing w:val="-9"/>
          <w:sz w:val="20"/>
        </w:rPr>
        <w:t xml:space="preserve"> </w:t>
      </w:r>
      <w:r>
        <w:rPr>
          <w:sz w:val="20"/>
        </w:rPr>
        <w:t>sociales,</w:t>
      </w:r>
      <w:r>
        <w:rPr>
          <w:spacing w:val="-9"/>
          <w:sz w:val="20"/>
        </w:rPr>
        <w:t xml:space="preserve"> </w:t>
      </w:r>
      <w:r>
        <w:rPr>
          <w:sz w:val="20"/>
        </w:rPr>
        <w:t>como</w:t>
      </w:r>
      <w:r>
        <w:rPr>
          <w:spacing w:val="-9"/>
          <w:sz w:val="20"/>
        </w:rPr>
        <w:t xml:space="preserve"> </w:t>
      </w:r>
      <w:r>
        <w:rPr>
          <w:sz w:val="20"/>
        </w:rPr>
        <w:t>referidas</w:t>
      </w:r>
      <w:r>
        <w:rPr>
          <w:spacing w:val="-10"/>
          <w:sz w:val="20"/>
        </w:rPr>
        <w:t xml:space="preserve"> </w:t>
      </w:r>
      <w:r>
        <w:rPr>
          <w:sz w:val="20"/>
        </w:rPr>
        <w:t>a</w:t>
      </w:r>
      <w:r>
        <w:rPr>
          <w:spacing w:val="-9"/>
          <w:sz w:val="20"/>
        </w:rPr>
        <w:t xml:space="preserve"> </w:t>
      </w:r>
      <w:r>
        <w:rPr>
          <w:sz w:val="20"/>
        </w:rPr>
        <w:t>grupos</w:t>
      </w:r>
      <w:r>
        <w:rPr>
          <w:spacing w:val="-11"/>
          <w:sz w:val="20"/>
        </w:rPr>
        <w:t xml:space="preserve"> </w:t>
      </w:r>
      <w:r>
        <w:rPr>
          <w:sz w:val="20"/>
        </w:rPr>
        <w:t>determinados</w:t>
      </w:r>
      <w:r>
        <w:rPr>
          <w:spacing w:val="-12"/>
          <w:sz w:val="20"/>
        </w:rPr>
        <w:t xml:space="preserve"> </w:t>
      </w:r>
      <w:r>
        <w:rPr>
          <w:sz w:val="20"/>
        </w:rPr>
        <w:t>de</w:t>
      </w:r>
      <w:r>
        <w:rPr>
          <w:spacing w:val="-12"/>
          <w:sz w:val="20"/>
        </w:rPr>
        <w:t xml:space="preserve"> </w:t>
      </w:r>
      <w:r>
        <w:rPr>
          <w:sz w:val="20"/>
        </w:rPr>
        <w:t xml:space="preserve">personas, por lo que la </w:t>
      </w:r>
      <w:r>
        <w:rPr>
          <w:i/>
          <w:sz w:val="20"/>
        </w:rPr>
        <w:t xml:space="preserve">intersección </w:t>
      </w:r>
      <w:r>
        <w:rPr>
          <w:sz w:val="20"/>
        </w:rPr>
        <w:t>de factores de discriminación “incrementó las desventajas comparativas de las</w:t>
      </w:r>
      <w:r>
        <w:rPr>
          <w:spacing w:val="-6"/>
          <w:sz w:val="20"/>
        </w:rPr>
        <w:t xml:space="preserve"> </w:t>
      </w:r>
      <w:r>
        <w:rPr>
          <w:sz w:val="20"/>
        </w:rPr>
        <w:t>víctimas”</w:t>
      </w:r>
      <w:hyperlink w:anchor="_bookmark685" w:history="1">
        <w:r>
          <w:rPr>
            <w:position w:val="7"/>
            <w:sz w:val="13"/>
          </w:rPr>
          <w:t>3</w:t>
        </w:r>
      </w:hyperlink>
      <w:r>
        <w:rPr>
          <w:sz w:val="20"/>
        </w:rPr>
        <w:t>.</w:t>
      </w:r>
    </w:p>
    <w:p w14:paraId="4013FCC5" w14:textId="77777777" w:rsidR="00467FCA" w:rsidRDefault="00467FCA">
      <w:pPr>
        <w:pStyle w:val="Textoindependiente"/>
        <w:spacing w:before="10"/>
        <w:rPr>
          <w:sz w:val="19"/>
        </w:rPr>
      </w:pPr>
    </w:p>
    <w:p w14:paraId="59D4E3E9" w14:textId="77777777" w:rsidR="00467FCA" w:rsidRDefault="001B68EB">
      <w:pPr>
        <w:pStyle w:val="Prrafodelista"/>
        <w:numPr>
          <w:ilvl w:val="0"/>
          <w:numId w:val="9"/>
        </w:numPr>
        <w:tabs>
          <w:tab w:val="left" w:pos="1167"/>
        </w:tabs>
        <w:ind w:right="272" w:firstLine="0"/>
        <w:jc w:val="both"/>
        <w:rPr>
          <w:sz w:val="20"/>
        </w:rPr>
      </w:pPr>
      <w:r>
        <w:rPr>
          <w:sz w:val="20"/>
        </w:rPr>
        <w:t>La Corte IDH analiza de manera conjunta los artículos 1.1 y 24 de la Convención Americana tanto por la discriminación en la que se en</w:t>
      </w:r>
      <w:r>
        <w:rPr>
          <w:sz w:val="20"/>
        </w:rPr>
        <w:t>contraban las víctimas por la presencia de</w:t>
      </w:r>
      <w:r>
        <w:rPr>
          <w:spacing w:val="-10"/>
          <w:sz w:val="20"/>
        </w:rPr>
        <w:t xml:space="preserve"> </w:t>
      </w:r>
      <w:r>
        <w:rPr>
          <w:sz w:val="20"/>
        </w:rPr>
        <w:t>factores</w:t>
      </w:r>
      <w:r>
        <w:rPr>
          <w:spacing w:val="-9"/>
          <w:sz w:val="20"/>
        </w:rPr>
        <w:t xml:space="preserve"> </w:t>
      </w:r>
      <w:r>
        <w:rPr>
          <w:sz w:val="20"/>
        </w:rPr>
        <w:t>discriminatorios,</w:t>
      </w:r>
      <w:r>
        <w:rPr>
          <w:spacing w:val="-8"/>
          <w:sz w:val="20"/>
        </w:rPr>
        <w:t xml:space="preserve"> </w:t>
      </w:r>
      <w:r>
        <w:rPr>
          <w:sz w:val="20"/>
        </w:rPr>
        <w:t>como</w:t>
      </w:r>
      <w:r>
        <w:rPr>
          <w:spacing w:val="-8"/>
          <w:sz w:val="20"/>
        </w:rPr>
        <w:t xml:space="preserve"> </w:t>
      </w:r>
      <w:r>
        <w:rPr>
          <w:sz w:val="20"/>
        </w:rPr>
        <w:t>por</w:t>
      </w:r>
      <w:r>
        <w:rPr>
          <w:spacing w:val="-9"/>
          <w:sz w:val="20"/>
        </w:rPr>
        <w:t xml:space="preserve"> </w:t>
      </w:r>
      <w:r>
        <w:rPr>
          <w:sz w:val="20"/>
        </w:rPr>
        <w:t>las</w:t>
      </w:r>
      <w:r>
        <w:rPr>
          <w:spacing w:val="-6"/>
          <w:sz w:val="20"/>
        </w:rPr>
        <w:t xml:space="preserve"> </w:t>
      </w:r>
      <w:r>
        <w:rPr>
          <w:sz w:val="20"/>
        </w:rPr>
        <w:t>desigualdades</w:t>
      </w:r>
      <w:r>
        <w:rPr>
          <w:spacing w:val="-9"/>
          <w:sz w:val="20"/>
        </w:rPr>
        <w:t xml:space="preserve"> </w:t>
      </w:r>
      <w:r>
        <w:rPr>
          <w:sz w:val="20"/>
        </w:rPr>
        <w:t>existentes</w:t>
      </w:r>
      <w:r>
        <w:rPr>
          <w:spacing w:val="-6"/>
          <w:sz w:val="20"/>
        </w:rPr>
        <w:t xml:space="preserve"> </w:t>
      </w:r>
      <w:r>
        <w:rPr>
          <w:sz w:val="20"/>
        </w:rPr>
        <w:t>en</w:t>
      </w:r>
      <w:r>
        <w:rPr>
          <w:spacing w:val="-7"/>
          <w:sz w:val="20"/>
        </w:rPr>
        <w:t xml:space="preserve"> </w:t>
      </w:r>
      <w:r>
        <w:rPr>
          <w:sz w:val="20"/>
        </w:rPr>
        <w:t>las</w:t>
      </w:r>
      <w:r>
        <w:rPr>
          <w:spacing w:val="-9"/>
          <w:sz w:val="20"/>
        </w:rPr>
        <w:t xml:space="preserve"> </w:t>
      </w:r>
      <w:r>
        <w:rPr>
          <w:sz w:val="20"/>
        </w:rPr>
        <w:t>mismas</w:t>
      </w:r>
      <w:r>
        <w:rPr>
          <w:spacing w:val="-9"/>
          <w:sz w:val="20"/>
        </w:rPr>
        <w:t xml:space="preserve"> </w:t>
      </w:r>
      <w:r>
        <w:rPr>
          <w:sz w:val="20"/>
        </w:rPr>
        <w:t>por</w:t>
      </w:r>
      <w:r>
        <w:rPr>
          <w:spacing w:val="-9"/>
          <w:sz w:val="20"/>
        </w:rPr>
        <w:t xml:space="preserve"> </w:t>
      </w:r>
      <w:r>
        <w:rPr>
          <w:sz w:val="20"/>
        </w:rPr>
        <w:t>la</w:t>
      </w:r>
      <w:r>
        <w:rPr>
          <w:spacing w:val="-8"/>
          <w:sz w:val="20"/>
        </w:rPr>
        <w:t xml:space="preserve"> </w:t>
      </w:r>
      <w:r>
        <w:rPr>
          <w:sz w:val="20"/>
        </w:rPr>
        <w:t>falta de</w:t>
      </w:r>
      <w:r>
        <w:rPr>
          <w:spacing w:val="-10"/>
          <w:sz w:val="20"/>
        </w:rPr>
        <w:t xml:space="preserve"> </w:t>
      </w:r>
      <w:r>
        <w:rPr>
          <w:sz w:val="20"/>
        </w:rPr>
        <w:t>acciones</w:t>
      </w:r>
      <w:r>
        <w:rPr>
          <w:spacing w:val="-9"/>
          <w:sz w:val="20"/>
        </w:rPr>
        <w:t xml:space="preserve"> </w:t>
      </w:r>
      <w:r>
        <w:rPr>
          <w:sz w:val="20"/>
        </w:rPr>
        <w:t>para</w:t>
      </w:r>
      <w:r>
        <w:rPr>
          <w:spacing w:val="-8"/>
          <w:sz w:val="20"/>
        </w:rPr>
        <w:t xml:space="preserve"> </w:t>
      </w:r>
      <w:r>
        <w:rPr>
          <w:sz w:val="20"/>
        </w:rPr>
        <w:t>mitigar</w:t>
      </w:r>
      <w:r>
        <w:rPr>
          <w:spacing w:val="-9"/>
          <w:sz w:val="20"/>
        </w:rPr>
        <w:t xml:space="preserve"> </w:t>
      </w:r>
      <w:r>
        <w:rPr>
          <w:sz w:val="20"/>
        </w:rPr>
        <w:t>la</w:t>
      </w:r>
      <w:r>
        <w:rPr>
          <w:spacing w:val="-5"/>
          <w:sz w:val="20"/>
        </w:rPr>
        <w:t xml:space="preserve"> </w:t>
      </w:r>
      <w:r>
        <w:rPr>
          <w:sz w:val="20"/>
        </w:rPr>
        <w:t>situación</w:t>
      </w:r>
      <w:r>
        <w:rPr>
          <w:spacing w:val="-4"/>
          <w:sz w:val="20"/>
        </w:rPr>
        <w:t xml:space="preserve"> </w:t>
      </w:r>
      <w:r>
        <w:rPr>
          <w:sz w:val="20"/>
        </w:rPr>
        <w:t>en</w:t>
      </w:r>
      <w:r>
        <w:rPr>
          <w:spacing w:val="-7"/>
          <w:sz w:val="20"/>
        </w:rPr>
        <w:t xml:space="preserve"> </w:t>
      </w:r>
      <w:r>
        <w:rPr>
          <w:sz w:val="20"/>
        </w:rPr>
        <w:t>la</w:t>
      </w:r>
      <w:r>
        <w:rPr>
          <w:spacing w:val="-9"/>
          <w:sz w:val="20"/>
        </w:rPr>
        <w:t xml:space="preserve"> </w:t>
      </w:r>
      <w:r>
        <w:rPr>
          <w:sz w:val="20"/>
        </w:rPr>
        <w:t>que</w:t>
      </w:r>
      <w:r>
        <w:rPr>
          <w:spacing w:val="-7"/>
          <w:sz w:val="20"/>
        </w:rPr>
        <w:t xml:space="preserve"> </w:t>
      </w:r>
      <w:r>
        <w:rPr>
          <w:sz w:val="20"/>
        </w:rPr>
        <w:t>se</w:t>
      </w:r>
      <w:r>
        <w:rPr>
          <w:spacing w:val="-7"/>
          <w:sz w:val="20"/>
        </w:rPr>
        <w:t xml:space="preserve"> </w:t>
      </w:r>
      <w:r>
        <w:rPr>
          <w:sz w:val="20"/>
        </w:rPr>
        <w:t>encontraban</w:t>
      </w:r>
      <w:r>
        <w:rPr>
          <w:spacing w:val="-7"/>
          <w:sz w:val="20"/>
        </w:rPr>
        <w:t xml:space="preserve"> </w:t>
      </w:r>
      <w:r>
        <w:rPr>
          <w:sz w:val="20"/>
        </w:rPr>
        <w:t>laborando</w:t>
      </w:r>
      <w:r>
        <w:rPr>
          <w:spacing w:val="-7"/>
          <w:sz w:val="20"/>
        </w:rPr>
        <w:t xml:space="preserve"> </w:t>
      </w:r>
      <w:r>
        <w:rPr>
          <w:sz w:val="20"/>
        </w:rPr>
        <w:t>o</w:t>
      </w:r>
      <w:r>
        <w:rPr>
          <w:spacing w:val="-9"/>
          <w:sz w:val="20"/>
        </w:rPr>
        <w:t xml:space="preserve"> </w:t>
      </w:r>
      <w:r>
        <w:rPr>
          <w:sz w:val="20"/>
        </w:rPr>
        <w:t>para</w:t>
      </w:r>
      <w:r>
        <w:rPr>
          <w:spacing w:val="-5"/>
          <w:sz w:val="20"/>
        </w:rPr>
        <w:t xml:space="preserve"> </w:t>
      </w:r>
      <w:r>
        <w:rPr>
          <w:sz w:val="20"/>
        </w:rPr>
        <w:t>que</w:t>
      </w:r>
      <w:r>
        <w:rPr>
          <w:spacing w:val="-8"/>
          <w:sz w:val="20"/>
        </w:rPr>
        <w:t xml:space="preserve"> </w:t>
      </w:r>
      <w:r>
        <w:rPr>
          <w:sz w:val="20"/>
        </w:rPr>
        <w:t>pudieran acceder a otras formas de em</w:t>
      </w:r>
      <w:r>
        <w:rPr>
          <w:sz w:val="20"/>
        </w:rPr>
        <w:t>pleo. Resulta especialmente relevante que la Corte IDH “encuentra que del artículo 24 de la Convención se desprende un mandato orientado a garantizar</w:t>
      </w:r>
      <w:r>
        <w:rPr>
          <w:spacing w:val="-10"/>
          <w:sz w:val="20"/>
        </w:rPr>
        <w:t xml:space="preserve"> </w:t>
      </w:r>
      <w:r>
        <w:rPr>
          <w:sz w:val="20"/>
        </w:rPr>
        <w:t>la</w:t>
      </w:r>
      <w:r>
        <w:rPr>
          <w:spacing w:val="-8"/>
          <w:sz w:val="20"/>
        </w:rPr>
        <w:t xml:space="preserve"> </w:t>
      </w:r>
      <w:r>
        <w:rPr>
          <w:i/>
          <w:sz w:val="20"/>
        </w:rPr>
        <w:t>igualdad</w:t>
      </w:r>
      <w:r>
        <w:rPr>
          <w:i/>
          <w:spacing w:val="-7"/>
          <w:sz w:val="20"/>
        </w:rPr>
        <w:t xml:space="preserve"> </w:t>
      </w:r>
      <w:r>
        <w:rPr>
          <w:i/>
          <w:sz w:val="20"/>
        </w:rPr>
        <w:t>material</w:t>
      </w:r>
      <w:r>
        <w:rPr>
          <w:i/>
          <w:spacing w:val="-5"/>
          <w:sz w:val="20"/>
        </w:rPr>
        <w:t xml:space="preserve"> </w:t>
      </w:r>
      <w:r>
        <w:rPr>
          <w:i/>
          <w:sz w:val="20"/>
        </w:rPr>
        <w:t>o</w:t>
      </w:r>
      <w:r>
        <w:rPr>
          <w:i/>
          <w:spacing w:val="-6"/>
          <w:sz w:val="20"/>
        </w:rPr>
        <w:t xml:space="preserve"> </w:t>
      </w:r>
      <w:r>
        <w:rPr>
          <w:i/>
          <w:sz w:val="20"/>
        </w:rPr>
        <w:t>sustancial</w:t>
      </w:r>
      <w:r>
        <w:rPr>
          <w:sz w:val="20"/>
        </w:rPr>
        <w:t>”,</w:t>
      </w:r>
      <w:r>
        <w:rPr>
          <w:spacing w:val="-9"/>
          <w:sz w:val="20"/>
        </w:rPr>
        <w:t xml:space="preserve"> </w:t>
      </w:r>
      <w:r>
        <w:rPr>
          <w:sz w:val="20"/>
        </w:rPr>
        <w:t>lo</w:t>
      </w:r>
      <w:r>
        <w:rPr>
          <w:spacing w:val="-7"/>
          <w:sz w:val="20"/>
        </w:rPr>
        <w:t xml:space="preserve"> </w:t>
      </w:r>
      <w:r>
        <w:rPr>
          <w:sz w:val="20"/>
        </w:rPr>
        <w:t>que</w:t>
      </w:r>
      <w:r>
        <w:rPr>
          <w:spacing w:val="-9"/>
          <w:sz w:val="20"/>
        </w:rPr>
        <w:t xml:space="preserve"> </w:t>
      </w:r>
      <w:r>
        <w:rPr>
          <w:sz w:val="20"/>
        </w:rPr>
        <w:t>“implica</w:t>
      </w:r>
      <w:r>
        <w:rPr>
          <w:spacing w:val="-5"/>
          <w:sz w:val="20"/>
        </w:rPr>
        <w:t xml:space="preserve"> </w:t>
      </w:r>
      <w:r>
        <w:rPr>
          <w:sz w:val="20"/>
        </w:rPr>
        <w:t>la</w:t>
      </w:r>
      <w:r>
        <w:rPr>
          <w:spacing w:val="-6"/>
          <w:sz w:val="20"/>
        </w:rPr>
        <w:t xml:space="preserve"> </w:t>
      </w:r>
      <w:r>
        <w:rPr>
          <w:sz w:val="20"/>
        </w:rPr>
        <w:t>obligación</w:t>
      </w:r>
      <w:r>
        <w:rPr>
          <w:spacing w:val="-7"/>
          <w:sz w:val="20"/>
        </w:rPr>
        <w:t xml:space="preserve"> </w:t>
      </w:r>
      <w:r>
        <w:rPr>
          <w:sz w:val="20"/>
        </w:rPr>
        <w:t>de</w:t>
      </w:r>
      <w:r>
        <w:rPr>
          <w:spacing w:val="-9"/>
          <w:sz w:val="20"/>
        </w:rPr>
        <w:t xml:space="preserve"> </w:t>
      </w:r>
      <w:r>
        <w:rPr>
          <w:sz w:val="20"/>
        </w:rPr>
        <w:t>adoptar</w:t>
      </w:r>
      <w:r>
        <w:rPr>
          <w:spacing w:val="-7"/>
          <w:sz w:val="20"/>
        </w:rPr>
        <w:t xml:space="preserve"> </w:t>
      </w:r>
      <w:r>
        <w:rPr>
          <w:sz w:val="20"/>
        </w:rPr>
        <w:t xml:space="preserve">medidas para garantizar que </w:t>
      </w:r>
      <w:r>
        <w:rPr>
          <w:i/>
          <w:sz w:val="20"/>
        </w:rPr>
        <w:t>la igualdad sea real y efectiva</w:t>
      </w:r>
      <w:r>
        <w:rPr>
          <w:sz w:val="20"/>
        </w:rPr>
        <w:t>, esto es, corregir las desigualdades existentes, promover la inclusión y la participación de los grupos históricamente marginados, garantizar a las personas o grupos en desventaja el goce efectivo</w:t>
      </w:r>
      <w:r>
        <w:rPr>
          <w:sz w:val="20"/>
        </w:rPr>
        <w:t xml:space="preserve"> de sus derechos, en suma, brindar a las personas posibilidades concretas de ver realizada, en sus propios casos, la </w:t>
      </w:r>
      <w:r>
        <w:rPr>
          <w:i/>
          <w:sz w:val="20"/>
        </w:rPr>
        <w:t>igualdad</w:t>
      </w:r>
      <w:r>
        <w:rPr>
          <w:i/>
          <w:spacing w:val="-14"/>
          <w:sz w:val="20"/>
        </w:rPr>
        <w:t xml:space="preserve"> </w:t>
      </w:r>
      <w:r>
        <w:rPr>
          <w:i/>
          <w:sz w:val="20"/>
        </w:rPr>
        <w:t>material</w:t>
      </w:r>
      <w:r>
        <w:rPr>
          <w:sz w:val="20"/>
        </w:rPr>
        <w:t>.</w:t>
      </w:r>
      <w:r>
        <w:rPr>
          <w:spacing w:val="-14"/>
          <w:sz w:val="20"/>
        </w:rPr>
        <w:t xml:space="preserve"> </w:t>
      </w:r>
      <w:r>
        <w:rPr>
          <w:sz w:val="20"/>
        </w:rPr>
        <w:t>Para</w:t>
      </w:r>
      <w:r>
        <w:rPr>
          <w:spacing w:val="-11"/>
          <w:sz w:val="20"/>
        </w:rPr>
        <w:t xml:space="preserve"> </w:t>
      </w:r>
      <w:r>
        <w:rPr>
          <w:sz w:val="20"/>
        </w:rPr>
        <w:t>ello,</w:t>
      </w:r>
      <w:r>
        <w:rPr>
          <w:spacing w:val="-14"/>
          <w:sz w:val="20"/>
        </w:rPr>
        <w:t xml:space="preserve"> </w:t>
      </w:r>
      <w:r>
        <w:rPr>
          <w:sz w:val="20"/>
        </w:rPr>
        <w:t>los</w:t>
      </w:r>
      <w:r>
        <w:rPr>
          <w:spacing w:val="-14"/>
          <w:sz w:val="20"/>
        </w:rPr>
        <w:t xml:space="preserve"> </w:t>
      </w:r>
      <w:r>
        <w:rPr>
          <w:sz w:val="20"/>
        </w:rPr>
        <w:t>Estados</w:t>
      </w:r>
      <w:r>
        <w:rPr>
          <w:spacing w:val="-14"/>
          <w:sz w:val="20"/>
        </w:rPr>
        <w:t xml:space="preserve"> </w:t>
      </w:r>
      <w:r>
        <w:rPr>
          <w:sz w:val="20"/>
        </w:rPr>
        <w:t>deben</w:t>
      </w:r>
      <w:r>
        <w:rPr>
          <w:spacing w:val="-13"/>
          <w:sz w:val="20"/>
        </w:rPr>
        <w:t xml:space="preserve"> </w:t>
      </w:r>
      <w:r>
        <w:rPr>
          <w:sz w:val="20"/>
        </w:rPr>
        <w:t>enfrentar</w:t>
      </w:r>
      <w:r>
        <w:rPr>
          <w:spacing w:val="-15"/>
          <w:sz w:val="20"/>
        </w:rPr>
        <w:t xml:space="preserve"> </w:t>
      </w:r>
      <w:r>
        <w:rPr>
          <w:i/>
          <w:sz w:val="20"/>
        </w:rPr>
        <w:t>activamente</w:t>
      </w:r>
      <w:r>
        <w:rPr>
          <w:i/>
          <w:spacing w:val="-15"/>
          <w:sz w:val="20"/>
        </w:rPr>
        <w:t xml:space="preserve"> </w:t>
      </w:r>
      <w:r>
        <w:rPr>
          <w:sz w:val="20"/>
        </w:rPr>
        <w:t>situaciones</w:t>
      </w:r>
      <w:r>
        <w:rPr>
          <w:spacing w:val="-14"/>
          <w:sz w:val="20"/>
        </w:rPr>
        <w:t xml:space="preserve"> </w:t>
      </w:r>
      <w:r>
        <w:rPr>
          <w:sz w:val="20"/>
        </w:rPr>
        <w:t>de</w:t>
      </w:r>
      <w:r>
        <w:rPr>
          <w:spacing w:val="-15"/>
          <w:sz w:val="20"/>
        </w:rPr>
        <w:t xml:space="preserve"> </w:t>
      </w:r>
      <w:r>
        <w:rPr>
          <w:sz w:val="20"/>
        </w:rPr>
        <w:t>exclusión y</w:t>
      </w:r>
      <w:r>
        <w:rPr>
          <w:spacing w:val="-1"/>
          <w:sz w:val="20"/>
        </w:rPr>
        <w:t xml:space="preserve"> </w:t>
      </w:r>
      <w:r>
        <w:rPr>
          <w:sz w:val="20"/>
        </w:rPr>
        <w:t>marginación”</w:t>
      </w:r>
      <w:hyperlink w:anchor="_bookmark686" w:history="1">
        <w:r>
          <w:rPr>
            <w:position w:val="7"/>
            <w:sz w:val="13"/>
          </w:rPr>
          <w:t>4</w:t>
        </w:r>
      </w:hyperlink>
      <w:r>
        <w:rPr>
          <w:sz w:val="20"/>
        </w:rPr>
        <w:t>.</w:t>
      </w:r>
    </w:p>
    <w:p w14:paraId="57385362" w14:textId="77777777" w:rsidR="00467FCA" w:rsidRDefault="00467FCA">
      <w:pPr>
        <w:pStyle w:val="Textoindependiente"/>
      </w:pPr>
    </w:p>
    <w:p w14:paraId="26E3CC77" w14:textId="77777777" w:rsidR="00467FCA" w:rsidRDefault="001B68EB">
      <w:pPr>
        <w:pStyle w:val="Prrafodelista"/>
        <w:numPr>
          <w:ilvl w:val="0"/>
          <w:numId w:val="9"/>
        </w:numPr>
        <w:tabs>
          <w:tab w:val="left" w:pos="1167"/>
        </w:tabs>
        <w:spacing w:before="1"/>
        <w:ind w:right="273" w:firstLine="0"/>
        <w:jc w:val="both"/>
        <w:rPr>
          <w:sz w:val="20"/>
        </w:rPr>
      </w:pPr>
      <w:r>
        <w:rPr>
          <w:sz w:val="20"/>
        </w:rPr>
        <w:t>Comparto plenamente lo decidido en la sentencia. Emito el presente voto razonado al considerar la necesidad de enfatizar y profundizar algunos elementos del caso que estimo cruciales</w:t>
      </w:r>
      <w:r>
        <w:rPr>
          <w:spacing w:val="-19"/>
          <w:sz w:val="20"/>
        </w:rPr>
        <w:t xml:space="preserve"> </w:t>
      </w:r>
      <w:r>
        <w:rPr>
          <w:sz w:val="20"/>
        </w:rPr>
        <w:t>en</w:t>
      </w:r>
      <w:r>
        <w:rPr>
          <w:spacing w:val="-20"/>
          <w:sz w:val="20"/>
        </w:rPr>
        <w:t xml:space="preserve"> </w:t>
      </w:r>
      <w:r>
        <w:rPr>
          <w:sz w:val="20"/>
        </w:rPr>
        <w:t>el</w:t>
      </w:r>
      <w:r>
        <w:rPr>
          <w:spacing w:val="-20"/>
          <w:sz w:val="20"/>
        </w:rPr>
        <w:t xml:space="preserve"> </w:t>
      </w:r>
      <w:r>
        <w:rPr>
          <w:sz w:val="20"/>
        </w:rPr>
        <w:t>Sistema</w:t>
      </w:r>
      <w:r>
        <w:rPr>
          <w:spacing w:val="-20"/>
          <w:sz w:val="20"/>
        </w:rPr>
        <w:t xml:space="preserve"> </w:t>
      </w:r>
      <w:r>
        <w:rPr>
          <w:sz w:val="20"/>
        </w:rPr>
        <w:t>Interamericano,</w:t>
      </w:r>
      <w:r>
        <w:rPr>
          <w:spacing w:val="-21"/>
          <w:sz w:val="20"/>
        </w:rPr>
        <w:t xml:space="preserve"> </w:t>
      </w:r>
      <w:r>
        <w:rPr>
          <w:sz w:val="20"/>
        </w:rPr>
        <w:t>que</w:t>
      </w:r>
      <w:r>
        <w:rPr>
          <w:spacing w:val="-20"/>
          <w:sz w:val="20"/>
        </w:rPr>
        <w:t xml:space="preserve"> </w:t>
      </w:r>
      <w:r>
        <w:rPr>
          <w:sz w:val="20"/>
        </w:rPr>
        <w:t>se</w:t>
      </w:r>
      <w:r>
        <w:rPr>
          <w:spacing w:val="-19"/>
          <w:sz w:val="20"/>
        </w:rPr>
        <w:t xml:space="preserve"> </w:t>
      </w:r>
      <w:r>
        <w:rPr>
          <w:sz w:val="20"/>
        </w:rPr>
        <w:t>abordarán</w:t>
      </w:r>
      <w:r>
        <w:rPr>
          <w:spacing w:val="-20"/>
          <w:sz w:val="20"/>
        </w:rPr>
        <w:t xml:space="preserve"> </w:t>
      </w:r>
      <w:r>
        <w:rPr>
          <w:sz w:val="20"/>
        </w:rPr>
        <w:t>de</w:t>
      </w:r>
      <w:r>
        <w:rPr>
          <w:spacing w:val="-22"/>
          <w:sz w:val="20"/>
        </w:rPr>
        <w:t xml:space="preserve"> </w:t>
      </w:r>
      <w:r>
        <w:rPr>
          <w:sz w:val="20"/>
        </w:rPr>
        <w:t>la</w:t>
      </w:r>
      <w:r>
        <w:rPr>
          <w:spacing w:val="-20"/>
          <w:sz w:val="20"/>
        </w:rPr>
        <w:t xml:space="preserve"> </w:t>
      </w:r>
      <w:r>
        <w:rPr>
          <w:sz w:val="20"/>
        </w:rPr>
        <w:t>siguiente</w:t>
      </w:r>
      <w:r>
        <w:rPr>
          <w:spacing w:val="-20"/>
          <w:sz w:val="20"/>
        </w:rPr>
        <w:t xml:space="preserve"> </w:t>
      </w:r>
      <w:r>
        <w:rPr>
          <w:sz w:val="20"/>
        </w:rPr>
        <w:t>manera:</w:t>
      </w:r>
      <w:r>
        <w:rPr>
          <w:spacing w:val="-21"/>
          <w:sz w:val="20"/>
        </w:rPr>
        <w:t xml:space="preserve"> </w:t>
      </w:r>
      <w:r>
        <w:rPr>
          <w:b/>
          <w:sz w:val="20"/>
        </w:rPr>
        <w:t>I)</w:t>
      </w:r>
      <w:r>
        <w:rPr>
          <w:b/>
          <w:spacing w:val="-18"/>
          <w:sz w:val="20"/>
        </w:rPr>
        <w:t xml:space="preserve"> </w:t>
      </w:r>
      <w:r>
        <w:rPr>
          <w:i/>
          <w:sz w:val="20"/>
        </w:rPr>
        <w:t xml:space="preserve">Empresas y derechos humanos: la obligación de garantía estatal frente al actuar de particulares </w:t>
      </w:r>
      <w:r>
        <w:rPr>
          <w:sz w:val="20"/>
          <w:u w:val="single"/>
        </w:rPr>
        <w:t>(párrs. 7 a 23)</w:t>
      </w:r>
      <w:r>
        <w:rPr>
          <w:i/>
          <w:sz w:val="20"/>
        </w:rPr>
        <w:t xml:space="preserve">; </w:t>
      </w:r>
      <w:r>
        <w:rPr>
          <w:b/>
          <w:sz w:val="20"/>
        </w:rPr>
        <w:t xml:space="preserve">II) </w:t>
      </w:r>
      <w:r>
        <w:rPr>
          <w:i/>
          <w:sz w:val="20"/>
        </w:rPr>
        <w:t>El derecho a las condiciones equitativas y satisfactorias de trabajo para la protección de las condiciones de segurida</w:t>
      </w:r>
      <w:r>
        <w:rPr>
          <w:i/>
          <w:sz w:val="20"/>
        </w:rPr>
        <w:t xml:space="preserve">d, salud e higiene: un paso más para el contenido del artículo 26 de la Convención Americana </w:t>
      </w:r>
      <w:r>
        <w:rPr>
          <w:sz w:val="20"/>
        </w:rPr>
        <w:t>(</w:t>
      </w:r>
      <w:r>
        <w:rPr>
          <w:sz w:val="20"/>
          <w:u w:val="single"/>
        </w:rPr>
        <w:t>párrs. 24 a 51</w:t>
      </w:r>
      <w:r>
        <w:rPr>
          <w:sz w:val="20"/>
        </w:rPr>
        <w:t xml:space="preserve">); </w:t>
      </w:r>
      <w:r>
        <w:rPr>
          <w:b/>
          <w:sz w:val="20"/>
        </w:rPr>
        <w:t xml:space="preserve">III) </w:t>
      </w:r>
      <w:r>
        <w:rPr>
          <w:i/>
          <w:sz w:val="20"/>
        </w:rPr>
        <w:t>La pobreza como parte de la condición económica y la discriminación estructural e interseccional: de Trabajadores de Hacienda Brasil Verde a</w:t>
      </w:r>
      <w:r>
        <w:rPr>
          <w:i/>
          <w:sz w:val="20"/>
        </w:rPr>
        <w:t xml:space="preserve"> Empleados de la Fábrica de Fuegos </w:t>
      </w:r>
      <w:r>
        <w:rPr>
          <w:sz w:val="20"/>
          <w:u w:val="single"/>
        </w:rPr>
        <w:t>(párrs. 52 a 68)</w:t>
      </w:r>
      <w:r>
        <w:rPr>
          <w:i/>
          <w:sz w:val="20"/>
        </w:rPr>
        <w:t xml:space="preserve">; </w:t>
      </w:r>
      <w:r>
        <w:rPr>
          <w:b/>
          <w:sz w:val="20"/>
        </w:rPr>
        <w:t xml:space="preserve">IV) </w:t>
      </w:r>
      <w:r>
        <w:rPr>
          <w:i/>
          <w:sz w:val="20"/>
        </w:rPr>
        <w:t>Igual protección de la ley, sin discriminación: la evolución de la igualdad formal al mandato de la igualdad</w:t>
      </w:r>
      <w:r>
        <w:rPr>
          <w:i/>
          <w:spacing w:val="-20"/>
          <w:sz w:val="20"/>
        </w:rPr>
        <w:t xml:space="preserve"> </w:t>
      </w:r>
      <w:r>
        <w:rPr>
          <w:i/>
          <w:sz w:val="20"/>
        </w:rPr>
        <w:t>real</w:t>
      </w:r>
      <w:r>
        <w:rPr>
          <w:i/>
          <w:spacing w:val="-20"/>
          <w:sz w:val="20"/>
        </w:rPr>
        <w:t xml:space="preserve"> </w:t>
      </w:r>
      <w:r>
        <w:rPr>
          <w:sz w:val="20"/>
          <w:u w:val="single"/>
        </w:rPr>
        <w:t>(párrs.</w:t>
      </w:r>
      <w:r>
        <w:rPr>
          <w:spacing w:val="-20"/>
          <w:sz w:val="20"/>
          <w:u w:val="single"/>
        </w:rPr>
        <w:t xml:space="preserve"> </w:t>
      </w:r>
      <w:r>
        <w:rPr>
          <w:sz w:val="20"/>
          <w:u w:val="single"/>
        </w:rPr>
        <w:t>69</w:t>
      </w:r>
      <w:r>
        <w:rPr>
          <w:spacing w:val="-16"/>
          <w:sz w:val="20"/>
          <w:u w:val="single"/>
        </w:rPr>
        <w:t xml:space="preserve"> </w:t>
      </w:r>
      <w:r>
        <w:rPr>
          <w:sz w:val="20"/>
          <w:u w:val="single"/>
        </w:rPr>
        <w:t>a</w:t>
      </w:r>
      <w:r>
        <w:rPr>
          <w:spacing w:val="-21"/>
          <w:sz w:val="20"/>
          <w:u w:val="single"/>
        </w:rPr>
        <w:t xml:space="preserve"> </w:t>
      </w:r>
      <w:r>
        <w:rPr>
          <w:sz w:val="20"/>
          <w:u w:val="single"/>
        </w:rPr>
        <w:t>96)</w:t>
      </w:r>
      <w:r>
        <w:rPr>
          <w:sz w:val="20"/>
        </w:rPr>
        <w:t>;</w:t>
      </w:r>
      <w:r>
        <w:rPr>
          <w:spacing w:val="-20"/>
          <w:sz w:val="20"/>
        </w:rPr>
        <w:t xml:space="preserve"> </w:t>
      </w:r>
      <w:r>
        <w:rPr>
          <w:b/>
          <w:sz w:val="20"/>
        </w:rPr>
        <w:t>V)</w:t>
      </w:r>
      <w:r>
        <w:rPr>
          <w:b/>
          <w:spacing w:val="-18"/>
          <w:sz w:val="20"/>
        </w:rPr>
        <w:t xml:space="preserve"> </w:t>
      </w:r>
      <w:r>
        <w:rPr>
          <w:i/>
          <w:sz w:val="20"/>
        </w:rPr>
        <w:t>La</w:t>
      </w:r>
      <w:r>
        <w:rPr>
          <w:i/>
          <w:spacing w:val="-21"/>
          <w:sz w:val="20"/>
        </w:rPr>
        <w:t xml:space="preserve"> </w:t>
      </w:r>
      <w:r>
        <w:rPr>
          <w:i/>
          <w:sz w:val="20"/>
        </w:rPr>
        <w:t>igualdad</w:t>
      </w:r>
      <w:r>
        <w:rPr>
          <w:i/>
          <w:spacing w:val="-20"/>
          <w:sz w:val="20"/>
        </w:rPr>
        <w:t xml:space="preserve"> </w:t>
      </w:r>
      <w:r>
        <w:rPr>
          <w:i/>
          <w:sz w:val="20"/>
        </w:rPr>
        <w:t>material</w:t>
      </w:r>
      <w:r>
        <w:rPr>
          <w:i/>
          <w:spacing w:val="-17"/>
          <w:sz w:val="20"/>
        </w:rPr>
        <w:t xml:space="preserve"> </w:t>
      </w:r>
      <w:r>
        <w:rPr>
          <w:i/>
          <w:sz w:val="20"/>
        </w:rPr>
        <w:t>o</w:t>
      </w:r>
      <w:r>
        <w:rPr>
          <w:i/>
          <w:spacing w:val="-22"/>
          <w:sz w:val="20"/>
        </w:rPr>
        <w:t xml:space="preserve"> </w:t>
      </w:r>
      <w:r>
        <w:rPr>
          <w:i/>
          <w:sz w:val="20"/>
        </w:rPr>
        <w:t>sustancial</w:t>
      </w:r>
      <w:r>
        <w:rPr>
          <w:i/>
          <w:spacing w:val="-18"/>
          <w:sz w:val="20"/>
        </w:rPr>
        <w:t xml:space="preserve"> </w:t>
      </w:r>
      <w:r>
        <w:rPr>
          <w:i/>
          <w:sz w:val="20"/>
        </w:rPr>
        <w:t>en</w:t>
      </w:r>
      <w:r>
        <w:rPr>
          <w:i/>
          <w:spacing w:val="-19"/>
          <w:sz w:val="20"/>
        </w:rPr>
        <w:t xml:space="preserve"> </w:t>
      </w:r>
      <w:r>
        <w:rPr>
          <w:i/>
          <w:sz w:val="20"/>
        </w:rPr>
        <w:t>las</w:t>
      </w:r>
      <w:r>
        <w:rPr>
          <w:i/>
          <w:spacing w:val="-22"/>
          <w:sz w:val="20"/>
        </w:rPr>
        <w:t xml:space="preserve"> </w:t>
      </w:r>
      <w:r>
        <w:rPr>
          <w:i/>
          <w:sz w:val="20"/>
        </w:rPr>
        <w:t>víctimas</w:t>
      </w:r>
      <w:r>
        <w:rPr>
          <w:i/>
          <w:spacing w:val="-19"/>
          <w:sz w:val="20"/>
        </w:rPr>
        <w:t xml:space="preserve"> </w:t>
      </w:r>
      <w:r>
        <w:rPr>
          <w:i/>
          <w:sz w:val="20"/>
        </w:rPr>
        <w:t>de</w:t>
      </w:r>
      <w:r>
        <w:rPr>
          <w:i/>
          <w:spacing w:val="-19"/>
          <w:sz w:val="20"/>
        </w:rPr>
        <w:t xml:space="preserve"> </w:t>
      </w:r>
      <w:r>
        <w:rPr>
          <w:i/>
          <w:sz w:val="20"/>
        </w:rPr>
        <w:t xml:space="preserve">explosión de la Fábrica de Fuegos </w:t>
      </w:r>
      <w:r>
        <w:rPr>
          <w:sz w:val="20"/>
          <w:u w:val="single"/>
        </w:rPr>
        <w:t>(párrs. 97 a 114)</w:t>
      </w:r>
      <w:r>
        <w:rPr>
          <w:sz w:val="20"/>
        </w:rPr>
        <w:t xml:space="preserve">; y </w:t>
      </w:r>
      <w:r>
        <w:rPr>
          <w:b/>
          <w:sz w:val="20"/>
        </w:rPr>
        <w:t xml:space="preserve">VI) </w:t>
      </w:r>
      <w:r>
        <w:rPr>
          <w:sz w:val="20"/>
        </w:rPr>
        <w:t xml:space="preserve">Conclusiones </w:t>
      </w:r>
      <w:r>
        <w:rPr>
          <w:sz w:val="20"/>
          <w:u w:val="single"/>
        </w:rPr>
        <w:t>(párrs. 115 a</w:t>
      </w:r>
      <w:r>
        <w:rPr>
          <w:spacing w:val="-22"/>
          <w:sz w:val="20"/>
          <w:u w:val="single"/>
        </w:rPr>
        <w:t xml:space="preserve"> </w:t>
      </w:r>
      <w:r>
        <w:rPr>
          <w:sz w:val="20"/>
          <w:u w:val="single"/>
        </w:rPr>
        <w:t>123)</w:t>
      </w:r>
      <w:r>
        <w:rPr>
          <w:sz w:val="20"/>
        </w:rPr>
        <w:t>.</w:t>
      </w:r>
    </w:p>
    <w:p w14:paraId="0C27C05C" w14:textId="77777777" w:rsidR="00467FCA" w:rsidRDefault="00467FCA">
      <w:pPr>
        <w:pStyle w:val="Textoindependiente"/>
      </w:pPr>
    </w:p>
    <w:p w14:paraId="6C0B35B4" w14:textId="77777777" w:rsidR="00467FCA" w:rsidRDefault="00467FCA">
      <w:pPr>
        <w:pStyle w:val="Textoindependiente"/>
      </w:pPr>
    </w:p>
    <w:p w14:paraId="051821A5" w14:textId="77777777" w:rsidR="00467FCA" w:rsidRDefault="00467FCA">
      <w:pPr>
        <w:pStyle w:val="Textoindependiente"/>
      </w:pPr>
    </w:p>
    <w:p w14:paraId="09CF761C" w14:textId="77777777" w:rsidR="00467FCA" w:rsidRDefault="00467FCA">
      <w:pPr>
        <w:pStyle w:val="Textoindependiente"/>
      </w:pPr>
    </w:p>
    <w:p w14:paraId="76F2C85D" w14:textId="77777777" w:rsidR="00467FCA" w:rsidRDefault="00467FCA">
      <w:pPr>
        <w:pStyle w:val="Textoindependiente"/>
      </w:pPr>
    </w:p>
    <w:p w14:paraId="5AFDA0D4" w14:textId="77777777" w:rsidR="00467FCA" w:rsidRDefault="001B68EB">
      <w:pPr>
        <w:pStyle w:val="Textoindependiente"/>
        <w:spacing w:before="4"/>
        <w:rPr>
          <w:sz w:val="17"/>
        </w:rPr>
      </w:pPr>
      <w:r>
        <w:pict w14:anchorId="59B24866">
          <v:shape id="_x0000_s1069" style="position:absolute;margin-left:70.9pt;margin-top:12.8pt;width:2in;height:.1pt;z-index:-251528192;mso-wrap-distance-left:0;mso-wrap-distance-right:0;mso-position-horizontal-relative:page" coordorigin="1418,256" coordsize="2880,0" path="m1418,256r2880,e" filled="f" strokeweight=".6pt">
            <v:path arrowok="t"/>
            <w10:wrap type="topAndBottom" anchorx="page"/>
          </v:shape>
        </w:pict>
      </w:r>
    </w:p>
    <w:p w14:paraId="4F0FC765" w14:textId="77777777" w:rsidR="00467FCA" w:rsidRDefault="001B68EB">
      <w:pPr>
        <w:tabs>
          <w:tab w:val="left" w:pos="1166"/>
        </w:tabs>
        <w:spacing w:before="74"/>
        <w:ind w:left="458" w:right="272"/>
        <w:jc w:val="both"/>
        <w:rPr>
          <w:sz w:val="16"/>
        </w:rPr>
      </w:pPr>
      <w:bookmarkStart w:id="765" w:name="_bookmark684"/>
      <w:bookmarkEnd w:id="765"/>
      <w:r>
        <w:rPr>
          <w:position w:val="6"/>
          <w:sz w:val="10"/>
        </w:rPr>
        <w:t>2</w:t>
      </w:r>
      <w:r>
        <w:rPr>
          <w:position w:val="6"/>
          <w:sz w:val="10"/>
        </w:rPr>
        <w:tab/>
      </w:r>
      <w:r>
        <w:rPr>
          <w:i/>
          <w:sz w:val="16"/>
        </w:rPr>
        <w:t xml:space="preserve">Cfr. Caso Empleados de la Fábrica de Fuegos en Santo Antônio de Jesus y sus familiares Vs. Brasil. Excepciones Preliminares, Fondo, Reparaciones y Costas. </w:t>
      </w:r>
      <w:r>
        <w:rPr>
          <w:sz w:val="16"/>
        </w:rPr>
        <w:t>Sentencia de 15 de julio de 2020. Serie C No. 407, párr. 189.</w:t>
      </w:r>
    </w:p>
    <w:p w14:paraId="2B615A7D" w14:textId="77777777" w:rsidR="00467FCA" w:rsidRDefault="001B68EB">
      <w:pPr>
        <w:tabs>
          <w:tab w:val="left" w:pos="1166"/>
        </w:tabs>
        <w:ind w:left="458" w:right="272"/>
        <w:jc w:val="both"/>
        <w:rPr>
          <w:sz w:val="16"/>
        </w:rPr>
      </w:pPr>
      <w:bookmarkStart w:id="766" w:name="_bookmark685"/>
      <w:bookmarkEnd w:id="766"/>
      <w:r>
        <w:rPr>
          <w:position w:val="6"/>
          <w:sz w:val="10"/>
        </w:rPr>
        <w:t>3</w:t>
      </w:r>
      <w:r>
        <w:rPr>
          <w:position w:val="6"/>
          <w:sz w:val="10"/>
        </w:rPr>
        <w:tab/>
      </w:r>
      <w:r>
        <w:rPr>
          <w:sz w:val="16"/>
        </w:rPr>
        <w:t>Las víctimas en el presente caso “comparten factores específicos de discriminación que sufren las personas en situación de pobreza, las mujeres y las y los afrodescendientes, pero, además, pad</w:t>
      </w:r>
      <w:r>
        <w:rPr>
          <w:sz w:val="16"/>
        </w:rPr>
        <w:t xml:space="preserve">ecen una forma específica de discriminación por cuenta de la confluencia de todos estos factores y, en algunos casos, por estar embarazadas, por ser niñas, o por ser niñas y estar embarazadas”. </w:t>
      </w:r>
      <w:r>
        <w:rPr>
          <w:i/>
          <w:sz w:val="16"/>
        </w:rPr>
        <w:t>Cfr. Caso Empleados de la Fábrica de Fuegos en Santo Antônio d</w:t>
      </w:r>
      <w:r>
        <w:rPr>
          <w:i/>
          <w:sz w:val="16"/>
        </w:rPr>
        <w:t xml:space="preserve">e Jesus y sus familiares Vs. Brasil, supra, </w:t>
      </w:r>
      <w:r>
        <w:rPr>
          <w:sz w:val="16"/>
        </w:rPr>
        <w:t>párr.</w:t>
      </w:r>
      <w:r>
        <w:rPr>
          <w:spacing w:val="-12"/>
          <w:sz w:val="16"/>
        </w:rPr>
        <w:t xml:space="preserve"> </w:t>
      </w:r>
      <w:r>
        <w:rPr>
          <w:sz w:val="16"/>
        </w:rPr>
        <w:t>191.</w:t>
      </w:r>
    </w:p>
    <w:p w14:paraId="50D93D5C" w14:textId="77777777" w:rsidR="00467FCA" w:rsidRDefault="001B68EB">
      <w:pPr>
        <w:tabs>
          <w:tab w:val="left" w:pos="1166"/>
        </w:tabs>
        <w:ind w:left="458" w:right="273"/>
        <w:jc w:val="both"/>
        <w:rPr>
          <w:sz w:val="16"/>
        </w:rPr>
      </w:pPr>
      <w:bookmarkStart w:id="767" w:name="_bookmark686"/>
      <w:bookmarkEnd w:id="767"/>
      <w:r>
        <w:rPr>
          <w:position w:val="6"/>
          <w:sz w:val="10"/>
        </w:rPr>
        <w:t>4</w:t>
      </w:r>
      <w:r>
        <w:rPr>
          <w:position w:val="6"/>
          <w:sz w:val="10"/>
        </w:rPr>
        <w:tab/>
      </w:r>
      <w:r>
        <w:rPr>
          <w:i/>
          <w:sz w:val="16"/>
        </w:rPr>
        <w:t xml:space="preserve">Caso Empleados de la Fábrica de Fuegos en Santo Antônio de Jesus y sus familiares Vs. Brasil, supra, </w:t>
      </w:r>
      <w:r>
        <w:rPr>
          <w:sz w:val="16"/>
        </w:rPr>
        <w:t>párr. 199.</w:t>
      </w:r>
    </w:p>
    <w:p w14:paraId="3913C4FE" w14:textId="77777777" w:rsidR="00467FCA" w:rsidRDefault="00467FCA">
      <w:pPr>
        <w:jc w:val="both"/>
        <w:rPr>
          <w:sz w:val="16"/>
        </w:rPr>
        <w:sectPr w:rsidR="00467FCA">
          <w:footerReference w:type="default" r:id="rId67"/>
          <w:pgSz w:w="12240" w:h="15840"/>
          <w:pgMar w:top="1340" w:right="1140" w:bottom="920" w:left="960" w:header="0" w:footer="734" w:gutter="0"/>
          <w:pgNumType w:start="2"/>
          <w:cols w:space="720"/>
        </w:sectPr>
      </w:pPr>
    </w:p>
    <w:p w14:paraId="4679248E" w14:textId="77777777" w:rsidR="00467FCA" w:rsidRDefault="001B68EB">
      <w:pPr>
        <w:pStyle w:val="Ttulo1"/>
        <w:numPr>
          <w:ilvl w:val="1"/>
          <w:numId w:val="9"/>
        </w:numPr>
        <w:tabs>
          <w:tab w:val="left" w:pos="3507"/>
        </w:tabs>
        <w:spacing w:before="79" w:line="243" w:lineRule="exact"/>
        <w:ind w:hanging="349"/>
      </w:pPr>
      <w:r>
        <w:t>EMPRESAS Y DERECHOS</w:t>
      </w:r>
      <w:r>
        <w:rPr>
          <w:spacing w:val="-2"/>
        </w:rPr>
        <w:t xml:space="preserve"> </w:t>
      </w:r>
      <w:r>
        <w:t>HUMANOS:</w:t>
      </w:r>
    </w:p>
    <w:p w14:paraId="307C4516" w14:textId="77777777" w:rsidR="00467FCA" w:rsidRDefault="001B68EB">
      <w:pPr>
        <w:ind w:left="4836" w:right="845" w:hanging="2713"/>
        <w:rPr>
          <w:b/>
          <w:sz w:val="20"/>
        </w:rPr>
      </w:pPr>
      <w:r>
        <w:rPr>
          <w:b/>
          <w:sz w:val="20"/>
        </w:rPr>
        <w:t>LA OBLIGACIÓN DE GARANTÍA ESTATAL FRENTE AL ACTUAR DE PARTICULARES</w:t>
      </w:r>
    </w:p>
    <w:p w14:paraId="2A732D3E" w14:textId="77777777" w:rsidR="00467FCA" w:rsidRDefault="00467FCA">
      <w:pPr>
        <w:pStyle w:val="Textoindependiente"/>
        <w:rPr>
          <w:b/>
        </w:rPr>
      </w:pPr>
    </w:p>
    <w:p w14:paraId="1F9B6B9B" w14:textId="77777777" w:rsidR="00467FCA" w:rsidRDefault="001B68EB">
      <w:pPr>
        <w:pStyle w:val="Prrafodelista"/>
        <w:numPr>
          <w:ilvl w:val="0"/>
          <w:numId w:val="9"/>
        </w:numPr>
        <w:tabs>
          <w:tab w:val="left" w:pos="1167"/>
        </w:tabs>
        <w:ind w:right="275" w:firstLine="0"/>
        <w:jc w:val="both"/>
        <w:rPr>
          <w:sz w:val="20"/>
        </w:rPr>
      </w:pPr>
      <w:r>
        <w:rPr>
          <w:sz w:val="20"/>
        </w:rPr>
        <w:t>La</w:t>
      </w:r>
      <w:r>
        <w:rPr>
          <w:spacing w:val="-7"/>
          <w:sz w:val="20"/>
        </w:rPr>
        <w:t xml:space="preserve"> </w:t>
      </w:r>
      <w:r>
        <w:rPr>
          <w:sz w:val="20"/>
        </w:rPr>
        <w:t>Corte</w:t>
      </w:r>
      <w:r>
        <w:rPr>
          <w:spacing w:val="-8"/>
          <w:sz w:val="20"/>
        </w:rPr>
        <w:t xml:space="preserve"> </w:t>
      </w:r>
      <w:r>
        <w:rPr>
          <w:sz w:val="20"/>
        </w:rPr>
        <w:t>IDH</w:t>
      </w:r>
      <w:r>
        <w:rPr>
          <w:spacing w:val="-7"/>
          <w:sz w:val="20"/>
        </w:rPr>
        <w:t xml:space="preserve"> </w:t>
      </w:r>
      <w:r>
        <w:rPr>
          <w:sz w:val="20"/>
        </w:rPr>
        <w:t>ha</w:t>
      </w:r>
      <w:r>
        <w:rPr>
          <w:spacing w:val="-7"/>
          <w:sz w:val="20"/>
        </w:rPr>
        <w:t xml:space="preserve"> </w:t>
      </w:r>
      <w:r>
        <w:rPr>
          <w:sz w:val="20"/>
        </w:rPr>
        <w:t>sido</w:t>
      </w:r>
      <w:r>
        <w:rPr>
          <w:spacing w:val="-5"/>
          <w:sz w:val="20"/>
        </w:rPr>
        <w:t xml:space="preserve"> </w:t>
      </w:r>
      <w:r>
        <w:rPr>
          <w:sz w:val="20"/>
        </w:rPr>
        <w:t>constante</w:t>
      </w:r>
      <w:r>
        <w:rPr>
          <w:spacing w:val="-8"/>
          <w:sz w:val="20"/>
        </w:rPr>
        <w:t xml:space="preserve"> </w:t>
      </w:r>
      <w:r>
        <w:rPr>
          <w:sz w:val="20"/>
        </w:rPr>
        <w:t>en</w:t>
      </w:r>
      <w:r>
        <w:rPr>
          <w:spacing w:val="-3"/>
          <w:sz w:val="20"/>
        </w:rPr>
        <w:t xml:space="preserve"> </w:t>
      </w:r>
      <w:r>
        <w:rPr>
          <w:sz w:val="20"/>
        </w:rPr>
        <w:t>su</w:t>
      </w:r>
      <w:r>
        <w:rPr>
          <w:spacing w:val="-6"/>
          <w:sz w:val="20"/>
        </w:rPr>
        <w:t xml:space="preserve"> </w:t>
      </w:r>
      <w:r>
        <w:rPr>
          <w:sz w:val="20"/>
        </w:rPr>
        <w:t>jurisprudencia</w:t>
      </w:r>
      <w:r>
        <w:rPr>
          <w:spacing w:val="-7"/>
          <w:sz w:val="20"/>
        </w:rPr>
        <w:t xml:space="preserve"> </w:t>
      </w:r>
      <w:r>
        <w:rPr>
          <w:sz w:val="20"/>
        </w:rPr>
        <w:t>al</w:t>
      </w:r>
      <w:r>
        <w:rPr>
          <w:spacing w:val="-6"/>
          <w:sz w:val="20"/>
        </w:rPr>
        <w:t xml:space="preserve"> </w:t>
      </w:r>
      <w:r>
        <w:rPr>
          <w:sz w:val="20"/>
        </w:rPr>
        <w:t>indicar</w:t>
      </w:r>
      <w:r>
        <w:rPr>
          <w:spacing w:val="-6"/>
          <w:sz w:val="20"/>
        </w:rPr>
        <w:t xml:space="preserve"> </w:t>
      </w:r>
      <w:r>
        <w:rPr>
          <w:sz w:val="20"/>
        </w:rPr>
        <w:t>que</w:t>
      </w:r>
      <w:r>
        <w:rPr>
          <w:spacing w:val="-6"/>
          <w:sz w:val="20"/>
        </w:rPr>
        <w:t xml:space="preserve"> </w:t>
      </w:r>
      <w:r>
        <w:rPr>
          <w:sz w:val="20"/>
        </w:rPr>
        <w:t>un</w:t>
      </w:r>
      <w:r>
        <w:rPr>
          <w:spacing w:val="-6"/>
          <w:sz w:val="20"/>
        </w:rPr>
        <w:t xml:space="preserve"> </w:t>
      </w:r>
      <w:r>
        <w:rPr>
          <w:sz w:val="20"/>
        </w:rPr>
        <w:t>Estado</w:t>
      </w:r>
      <w:r>
        <w:rPr>
          <w:spacing w:val="-8"/>
          <w:sz w:val="20"/>
        </w:rPr>
        <w:t xml:space="preserve"> </w:t>
      </w:r>
      <w:r>
        <w:rPr>
          <w:sz w:val="20"/>
        </w:rPr>
        <w:t>no</w:t>
      </w:r>
      <w:r>
        <w:rPr>
          <w:spacing w:val="-5"/>
          <w:sz w:val="20"/>
        </w:rPr>
        <w:t xml:space="preserve"> </w:t>
      </w:r>
      <w:r>
        <w:rPr>
          <w:sz w:val="20"/>
        </w:rPr>
        <w:t>puede ser</w:t>
      </w:r>
      <w:r>
        <w:rPr>
          <w:spacing w:val="-17"/>
          <w:sz w:val="20"/>
        </w:rPr>
        <w:t xml:space="preserve"> </w:t>
      </w:r>
      <w:r>
        <w:rPr>
          <w:sz w:val="20"/>
        </w:rPr>
        <w:t>responsable</w:t>
      </w:r>
      <w:r>
        <w:rPr>
          <w:spacing w:val="-20"/>
          <w:sz w:val="20"/>
        </w:rPr>
        <w:t xml:space="preserve"> </w:t>
      </w:r>
      <w:r>
        <w:rPr>
          <w:sz w:val="20"/>
        </w:rPr>
        <w:t>por</w:t>
      </w:r>
      <w:r>
        <w:rPr>
          <w:spacing w:val="-16"/>
          <w:sz w:val="20"/>
        </w:rPr>
        <w:t xml:space="preserve"> </w:t>
      </w:r>
      <w:r>
        <w:rPr>
          <w:sz w:val="20"/>
        </w:rPr>
        <w:t>cualquier</w:t>
      </w:r>
      <w:r>
        <w:rPr>
          <w:spacing w:val="-19"/>
          <w:sz w:val="20"/>
        </w:rPr>
        <w:t xml:space="preserve"> </w:t>
      </w:r>
      <w:r>
        <w:rPr>
          <w:sz w:val="20"/>
        </w:rPr>
        <w:t>violación</w:t>
      </w:r>
      <w:r>
        <w:rPr>
          <w:spacing w:val="-17"/>
          <w:sz w:val="20"/>
        </w:rPr>
        <w:t xml:space="preserve"> </w:t>
      </w:r>
      <w:r>
        <w:rPr>
          <w:sz w:val="20"/>
        </w:rPr>
        <w:t>de</w:t>
      </w:r>
      <w:r>
        <w:rPr>
          <w:spacing w:val="-16"/>
          <w:sz w:val="20"/>
        </w:rPr>
        <w:t xml:space="preserve"> </w:t>
      </w:r>
      <w:r>
        <w:rPr>
          <w:sz w:val="20"/>
        </w:rPr>
        <w:t>derechos</w:t>
      </w:r>
      <w:r>
        <w:rPr>
          <w:spacing w:val="-19"/>
          <w:sz w:val="20"/>
        </w:rPr>
        <w:t xml:space="preserve"> </w:t>
      </w:r>
      <w:r>
        <w:rPr>
          <w:sz w:val="20"/>
        </w:rPr>
        <w:t>humanos</w:t>
      </w:r>
      <w:r>
        <w:rPr>
          <w:spacing w:val="-17"/>
          <w:sz w:val="20"/>
        </w:rPr>
        <w:t xml:space="preserve"> </w:t>
      </w:r>
      <w:r>
        <w:rPr>
          <w:sz w:val="20"/>
        </w:rPr>
        <w:t>cometida</w:t>
      </w:r>
      <w:r>
        <w:rPr>
          <w:spacing w:val="-16"/>
          <w:sz w:val="20"/>
        </w:rPr>
        <w:t xml:space="preserve"> </w:t>
      </w:r>
      <w:r>
        <w:rPr>
          <w:sz w:val="20"/>
        </w:rPr>
        <w:t>por</w:t>
      </w:r>
      <w:r>
        <w:rPr>
          <w:spacing w:val="-19"/>
          <w:sz w:val="20"/>
        </w:rPr>
        <w:t xml:space="preserve"> </w:t>
      </w:r>
      <w:r>
        <w:rPr>
          <w:sz w:val="20"/>
        </w:rPr>
        <w:t>particulares</w:t>
      </w:r>
      <w:r>
        <w:rPr>
          <w:spacing w:val="-17"/>
          <w:sz w:val="20"/>
        </w:rPr>
        <w:t xml:space="preserve"> </w:t>
      </w:r>
      <w:r>
        <w:rPr>
          <w:sz w:val="20"/>
        </w:rPr>
        <w:t xml:space="preserve">dentro de su jurisdicción. El carácter </w:t>
      </w:r>
      <w:r>
        <w:rPr>
          <w:i/>
          <w:sz w:val="20"/>
        </w:rPr>
        <w:t xml:space="preserve">erga omnes </w:t>
      </w:r>
      <w:r>
        <w:rPr>
          <w:sz w:val="20"/>
        </w:rPr>
        <w:t>de las obligaciones convencionales de</w:t>
      </w:r>
      <w:r>
        <w:rPr>
          <w:sz w:val="20"/>
        </w:rPr>
        <w:t xml:space="preserve"> garantía a cargo de los Estados, no implica su responsabilidad ilimitada frente a cualquier acto de particulares. Así, aunque un acto, omisión o hecho de un particular tenga como</w:t>
      </w:r>
      <w:r>
        <w:rPr>
          <w:spacing w:val="-47"/>
          <w:sz w:val="20"/>
        </w:rPr>
        <w:t xml:space="preserve"> </w:t>
      </w:r>
      <w:r>
        <w:rPr>
          <w:sz w:val="20"/>
        </w:rPr>
        <w:t>consecuencia jurídica</w:t>
      </w:r>
      <w:r>
        <w:rPr>
          <w:spacing w:val="-5"/>
          <w:sz w:val="20"/>
        </w:rPr>
        <w:t xml:space="preserve"> </w:t>
      </w:r>
      <w:r>
        <w:rPr>
          <w:sz w:val="20"/>
        </w:rPr>
        <w:t>la</w:t>
      </w:r>
      <w:r>
        <w:rPr>
          <w:spacing w:val="-5"/>
          <w:sz w:val="20"/>
        </w:rPr>
        <w:t xml:space="preserve"> </w:t>
      </w:r>
      <w:r>
        <w:rPr>
          <w:sz w:val="20"/>
        </w:rPr>
        <w:t>violación</w:t>
      </w:r>
      <w:r>
        <w:rPr>
          <w:spacing w:val="-3"/>
          <w:sz w:val="20"/>
        </w:rPr>
        <w:t xml:space="preserve"> </w:t>
      </w:r>
      <w:r>
        <w:rPr>
          <w:sz w:val="20"/>
        </w:rPr>
        <w:t>de</w:t>
      </w:r>
      <w:r>
        <w:rPr>
          <w:spacing w:val="-6"/>
          <w:sz w:val="20"/>
        </w:rPr>
        <w:t xml:space="preserve"> </w:t>
      </w:r>
      <w:r>
        <w:rPr>
          <w:sz w:val="20"/>
        </w:rPr>
        <w:t>los</w:t>
      </w:r>
      <w:r>
        <w:rPr>
          <w:spacing w:val="-5"/>
          <w:sz w:val="20"/>
        </w:rPr>
        <w:t xml:space="preserve"> </w:t>
      </w:r>
      <w:r>
        <w:rPr>
          <w:sz w:val="20"/>
        </w:rPr>
        <w:t>derechos</w:t>
      </w:r>
      <w:r>
        <w:rPr>
          <w:spacing w:val="-6"/>
          <w:sz w:val="20"/>
        </w:rPr>
        <w:t xml:space="preserve"> </w:t>
      </w:r>
      <w:r>
        <w:rPr>
          <w:sz w:val="20"/>
        </w:rPr>
        <w:t>de</w:t>
      </w:r>
      <w:r>
        <w:rPr>
          <w:spacing w:val="-6"/>
          <w:sz w:val="20"/>
        </w:rPr>
        <w:t xml:space="preserve"> </w:t>
      </w:r>
      <w:r>
        <w:rPr>
          <w:sz w:val="20"/>
        </w:rPr>
        <w:t>otro,</w:t>
      </w:r>
      <w:r>
        <w:rPr>
          <w:spacing w:val="-6"/>
          <w:sz w:val="20"/>
        </w:rPr>
        <w:t xml:space="preserve"> </w:t>
      </w:r>
      <w:r>
        <w:rPr>
          <w:sz w:val="20"/>
        </w:rPr>
        <w:t>este</w:t>
      </w:r>
      <w:r>
        <w:rPr>
          <w:spacing w:val="-6"/>
          <w:sz w:val="20"/>
        </w:rPr>
        <w:t xml:space="preserve"> </w:t>
      </w:r>
      <w:r>
        <w:rPr>
          <w:sz w:val="20"/>
        </w:rPr>
        <w:t>no</w:t>
      </w:r>
      <w:r>
        <w:rPr>
          <w:spacing w:val="-4"/>
          <w:sz w:val="20"/>
        </w:rPr>
        <w:t xml:space="preserve"> </w:t>
      </w:r>
      <w:r>
        <w:rPr>
          <w:sz w:val="20"/>
        </w:rPr>
        <w:t>es</w:t>
      </w:r>
      <w:r>
        <w:rPr>
          <w:spacing w:val="-5"/>
          <w:sz w:val="20"/>
        </w:rPr>
        <w:t xml:space="preserve"> </w:t>
      </w:r>
      <w:r>
        <w:rPr>
          <w:sz w:val="20"/>
        </w:rPr>
        <w:t>automáticamente</w:t>
      </w:r>
      <w:r>
        <w:rPr>
          <w:spacing w:val="-7"/>
          <w:sz w:val="20"/>
        </w:rPr>
        <w:t xml:space="preserve"> </w:t>
      </w:r>
      <w:r>
        <w:rPr>
          <w:sz w:val="20"/>
        </w:rPr>
        <w:t>atribuible</w:t>
      </w:r>
      <w:r>
        <w:rPr>
          <w:spacing w:val="-6"/>
          <w:sz w:val="20"/>
        </w:rPr>
        <w:t xml:space="preserve"> </w:t>
      </w:r>
      <w:r>
        <w:rPr>
          <w:sz w:val="20"/>
        </w:rPr>
        <w:t>al</w:t>
      </w:r>
      <w:r>
        <w:rPr>
          <w:spacing w:val="-5"/>
          <w:sz w:val="20"/>
        </w:rPr>
        <w:t xml:space="preserve"> </w:t>
      </w:r>
      <w:r>
        <w:rPr>
          <w:sz w:val="20"/>
        </w:rPr>
        <w:t>Estado, sino que corresponde analizar las circunstancias particulares del caso y la concreción de las obligaciones de garantía</w:t>
      </w:r>
      <w:hyperlink w:anchor="_bookmark687" w:history="1">
        <w:r>
          <w:rPr>
            <w:position w:val="7"/>
            <w:sz w:val="13"/>
          </w:rPr>
          <w:t>5</w:t>
        </w:r>
      </w:hyperlink>
      <w:r>
        <w:rPr>
          <w:sz w:val="20"/>
        </w:rPr>
        <w:t>. En este sentido, se deberá verificar si le es atribuible responsa</w:t>
      </w:r>
      <w:r>
        <w:rPr>
          <w:sz w:val="20"/>
        </w:rPr>
        <w:t>bilidad internacional al Estado en cada caso</w:t>
      </w:r>
      <w:r>
        <w:rPr>
          <w:spacing w:val="-1"/>
          <w:sz w:val="20"/>
        </w:rPr>
        <w:t xml:space="preserve"> </w:t>
      </w:r>
      <w:r>
        <w:rPr>
          <w:sz w:val="20"/>
        </w:rPr>
        <w:t>concreto</w:t>
      </w:r>
      <w:hyperlink w:anchor="_bookmark688" w:history="1">
        <w:r>
          <w:rPr>
            <w:position w:val="7"/>
            <w:sz w:val="13"/>
          </w:rPr>
          <w:t>6</w:t>
        </w:r>
      </w:hyperlink>
      <w:r>
        <w:rPr>
          <w:sz w:val="20"/>
        </w:rPr>
        <w:t>.</w:t>
      </w:r>
    </w:p>
    <w:p w14:paraId="287BE91C" w14:textId="77777777" w:rsidR="00467FCA" w:rsidRDefault="00467FCA">
      <w:pPr>
        <w:pStyle w:val="Textoindependiente"/>
      </w:pPr>
    </w:p>
    <w:p w14:paraId="34AA9BCF" w14:textId="77777777" w:rsidR="00467FCA" w:rsidRDefault="001B68EB">
      <w:pPr>
        <w:pStyle w:val="Prrafodelista"/>
        <w:numPr>
          <w:ilvl w:val="0"/>
          <w:numId w:val="9"/>
        </w:numPr>
        <w:tabs>
          <w:tab w:val="left" w:pos="1167"/>
        </w:tabs>
        <w:ind w:right="276" w:firstLine="0"/>
        <w:jc w:val="both"/>
        <w:rPr>
          <w:sz w:val="20"/>
        </w:rPr>
      </w:pPr>
      <w:r>
        <w:rPr>
          <w:sz w:val="20"/>
        </w:rPr>
        <w:t>La</w:t>
      </w:r>
      <w:r>
        <w:rPr>
          <w:spacing w:val="-5"/>
          <w:sz w:val="20"/>
        </w:rPr>
        <w:t xml:space="preserve"> </w:t>
      </w:r>
      <w:r>
        <w:rPr>
          <w:sz w:val="20"/>
        </w:rPr>
        <w:t>responsabilidad</w:t>
      </w:r>
      <w:r>
        <w:rPr>
          <w:spacing w:val="-7"/>
          <w:sz w:val="20"/>
        </w:rPr>
        <w:t xml:space="preserve"> </w:t>
      </w:r>
      <w:r>
        <w:rPr>
          <w:sz w:val="20"/>
        </w:rPr>
        <w:t>internacional</w:t>
      </w:r>
      <w:r>
        <w:rPr>
          <w:spacing w:val="-7"/>
          <w:sz w:val="20"/>
        </w:rPr>
        <w:t xml:space="preserve"> </w:t>
      </w:r>
      <w:r>
        <w:rPr>
          <w:sz w:val="20"/>
        </w:rPr>
        <w:t>del</w:t>
      </w:r>
      <w:r>
        <w:rPr>
          <w:spacing w:val="-7"/>
          <w:sz w:val="20"/>
        </w:rPr>
        <w:t xml:space="preserve"> </w:t>
      </w:r>
      <w:r>
        <w:rPr>
          <w:sz w:val="20"/>
        </w:rPr>
        <w:t>Estado</w:t>
      </w:r>
      <w:r>
        <w:rPr>
          <w:spacing w:val="-6"/>
          <w:sz w:val="20"/>
        </w:rPr>
        <w:t xml:space="preserve"> </w:t>
      </w:r>
      <w:r>
        <w:rPr>
          <w:sz w:val="20"/>
        </w:rPr>
        <w:t>se</w:t>
      </w:r>
      <w:r>
        <w:rPr>
          <w:spacing w:val="-7"/>
          <w:sz w:val="20"/>
        </w:rPr>
        <w:t xml:space="preserve"> </w:t>
      </w:r>
      <w:r>
        <w:rPr>
          <w:sz w:val="20"/>
        </w:rPr>
        <w:t>fundamenta</w:t>
      </w:r>
      <w:r>
        <w:rPr>
          <w:spacing w:val="-8"/>
          <w:sz w:val="20"/>
        </w:rPr>
        <w:t xml:space="preserve"> </w:t>
      </w:r>
      <w:r>
        <w:rPr>
          <w:sz w:val="20"/>
        </w:rPr>
        <w:t>en</w:t>
      </w:r>
      <w:r>
        <w:rPr>
          <w:spacing w:val="-7"/>
          <w:sz w:val="20"/>
        </w:rPr>
        <w:t xml:space="preserve"> </w:t>
      </w:r>
      <w:r>
        <w:rPr>
          <w:sz w:val="20"/>
        </w:rPr>
        <w:t>acciones</w:t>
      </w:r>
      <w:r>
        <w:rPr>
          <w:spacing w:val="-6"/>
          <w:sz w:val="20"/>
        </w:rPr>
        <w:t xml:space="preserve"> </w:t>
      </w:r>
      <w:r>
        <w:rPr>
          <w:sz w:val="20"/>
        </w:rPr>
        <w:t>u</w:t>
      </w:r>
      <w:r>
        <w:rPr>
          <w:spacing w:val="-7"/>
          <w:sz w:val="20"/>
        </w:rPr>
        <w:t xml:space="preserve"> </w:t>
      </w:r>
      <w:r>
        <w:rPr>
          <w:sz w:val="20"/>
        </w:rPr>
        <w:t>omisiones</w:t>
      </w:r>
      <w:r>
        <w:rPr>
          <w:spacing w:val="-8"/>
          <w:sz w:val="20"/>
        </w:rPr>
        <w:t xml:space="preserve"> </w:t>
      </w:r>
      <w:r>
        <w:rPr>
          <w:sz w:val="20"/>
        </w:rPr>
        <w:t>de cualquiera de sus órganos o poderes, independiente de su jerarquía, que violen los</w:t>
      </w:r>
      <w:r>
        <w:rPr>
          <w:sz w:val="20"/>
        </w:rPr>
        <w:t xml:space="preserve"> derechos reconocidos en la Convención</w:t>
      </w:r>
      <w:hyperlink w:anchor="_bookmark689" w:history="1">
        <w:r>
          <w:rPr>
            <w:position w:val="7"/>
            <w:sz w:val="13"/>
          </w:rPr>
          <w:t>7</w:t>
        </w:r>
      </w:hyperlink>
      <w:r>
        <w:rPr>
          <w:sz w:val="20"/>
        </w:rPr>
        <w:t>. Por consiguiente, los Estados se comprometen no solo a respetar los derechos y libertades en ella reconocidos (obligación negativa), sino también a adoptar todas las medidas apropiada</w:t>
      </w:r>
      <w:r>
        <w:rPr>
          <w:sz w:val="20"/>
        </w:rPr>
        <w:t>s para garantizarlos (obligación positiva)</w:t>
      </w:r>
      <w:hyperlink w:anchor="_bookmark690" w:history="1">
        <w:r>
          <w:rPr>
            <w:position w:val="7"/>
            <w:sz w:val="13"/>
          </w:rPr>
          <w:t>8</w:t>
        </w:r>
      </w:hyperlink>
      <w:r>
        <w:rPr>
          <w:sz w:val="20"/>
        </w:rPr>
        <w:t>. En este sentido,</w:t>
      </w:r>
      <w:r>
        <w:rPr>
          <w:spacing w:val="-4"/>
          <w:sz w:val="20"/>
        </w:rPr>
        <w:t xml:space="preserve"> </w:t>
      </w:r>
      <w:r>
        <w:rPr>
          <w:sz w:val="20"/>
        </w:rPr>
        <w:t>la</w:t>
      </w:r>
      <w:r>
        <w:rPr>
          <w:spacing w:val="-2"/>
          <w:sz w:val="20"/>
        </w:rPr>
        <w:t xml:space="preserve"> </w:t>
      </w:r>
      <w:r>
        <w:rPr>
          <w:sz w:val="20"/>
        </w:rPr>
        <w:t>Corte</w:t>
      </w:r>
      <w:r>
        <w:rPr>
          <w:spacing w:val="-3"/>
          <w:sz w:val="20"/>
        </w:rPr>
        <w:t xml:space="preserve"> </w:t>
      </w:r>
      <w:r>
        <w:rPr>
          <w:sz w:val="20"/>
        </w:rPr>
        <w:t>IDH</w:t>
      </w:r>
      <w:r>
        <w:rPr>
          <w:spacing w:val="-3"/>
          <w:sz w:val="20"/>
        </w:rPr>
        <w:t xml:space="preserve"> </w:t>
      </w:r>
      <w:r>
        <w:rPr>
          <w:sz w:val="20"/>
        </w:rPr>
        <w:t>ha</w:t>
      </w:r>
      <w:r>
        <w:rPr>
          <w:spacing w:val="-3"/>
          <w:sz w:val="20"/>
        </w:rPr>
        <w:t xml:space="preserve"> </w:t>
      </w:r>
      <w:r>
        <w:rPr>
          <w:sz w:val="20"/>
        </w:rPr>
        <w:t>establecido</w:t>
      </w:r>
      <w:r>
        <w:rPr>
          <w:spacing w:val="-3"/>
          <w:sz w:val="20"/>
        </w:rPr>
        <w:t xml:space="preserve"> </w:t>
      </w:r>
      <w:r>
        <w:rPr>
          <w:sz w:val="20"/>
        </w:rPr>
        <w:t>que</w:t>
      </w:r>
      <w:r>
        <w:rPr>
          <w:spacing w:val="-3"/>
          <w:sz w:val="20"/>
        </w:rPr>
        <w:t xml:space="preserve"> </w:t>
      </w:r>
      <w:r>
        <w:rPr>
          <w:sz w:val="20"/>
        </w:rPr>
        <w:t>no</w:t>
      </w:r>
      <w:r>
        <w:rPr>
          <w:spacing w:val="-3"/>
          <w:sz w:val="20"/>
        </w:rPr>
        <w:t xml:space="preserve"> </w:t>
      </w:r>
      <w:r>
        <w:rPr>
          <w:sz w:val="20"/>
        </w:rPr>
        <w:t>basta</w:t>
      </w:r>
      <w:r>
        <w:rPr>
          <w:spacing w:val="-5"/>
          <w:sz w:val="20"/>
        </w:rPr>
        <w:t xml:space="preserve"> </w:t>
      </w:r>
      <w:r>
        <w:rPr>
          <w:sz w:val="20"/>
        </w:rPr>
        <w:t>con</w:t>
      </w:r>
      <w:r>
        <w:rPr>
          <w:spacing w:val="-3"/>
          <w:sz w:val="20"/>
        </w:rPr>
        <w:t xml:space="preserve"> </w:t>
      </w:r>
      <w:r>
        <w:rPr>
          <w:sz w:val="20"/>
        </w:rPr>
        <w:t>que</w:t>
      </w:r>
      <w:r>
        <w:rPr>
          <w:spacing w:val="-6"/>
          <w:sz w:val="20"/>
        </w:rPr>
        <w:t xml:space="preserve"> </w:t>
      </w:r>
      <w:r>
        <w:rPr>
          <w:sz w:val="20"/>
        </w:rPr>
        <w:t>los</w:t>
      </w:r>
      <w:r>
        <w:rPr>
          <w:spacing w:val="-3"/>
          <w:sz w:val="20"/>
        </w:rPr>
        <w:t xml:space="preserve"> </w:t>
      </w:r>
      <w:r>
        <w:rPr>
          <w:sz w:val="20"/>
        </w:rPr>
        <w:t>Estados</w:t>
      </w:r>
      <w:r>
        <w:rPr>
          <w:spacing w:val="-3"/>
          <w:sz w:val="20"/>
        </w:rPr>
        <w:t xml:space="preserve"> </w:t>
      </w:r>
      <w:r>
        <w:rPr>
          <w:sz w:val="20"/>
        </w:rPr>
        <w:t>se</w:t>
      </w:r>
      <w:r>
        <w:rPr>
          <w:spacing w:val="-7"/>
          <w:sz w:val="20"/>
        </w:rPr>
        <w:t xml:space="preserve"> </w:t>
      </w:r>
      <w:r>
        <w:rPr>
          <w:sz w:val="20"/>
        </w:rPr>
        <w:t>abstengan</w:t>
      </w:r>
      <w:r>
        <w:rPr>
          <w:spacing w:val="-1"/>
          <w:sz w:val="20"/>
        </w:rPr>
        <w:t xml:space="preserve"> </w:t>
      </w:r>
      <w:r>
        <w:rPr>
          <w:sz w:val="20"/>
        </w:rPr>
        <w:t>de</w:t>
      </w:r>
      <w:r>
        <w:rPr>
          <w:spacing w:val="-3"/>
          <w:sz w:val="20"/>
        </w:rPr>
        <w:t xml:space="preserve"> </w:t>
      </w:r>
      <w:r>
        <w:rPr>
          <w:sz w:val="20"/>
        </w:rPr>
        <w:t xml:space="preserve">violar los derechos, sino que es imperativa </w:t>
      </w:r>
      <w:r>
        <w:rPr>
          <w:i/>
          <w:sz w:val="20"/>
        </w:rPr>
        <w:t>la adopción de medidas positivas</w:t>
      </w:r>
      <w:r>
        <w:rPr>
          <w:sz w:val="20"/>
        </w:rPr>
        <w:t>, determinables en función de las particulares necesidades de protección del sujeto de derecho, ya sea por su condición personal o por la situación específica en que se</w:t>
      </w:r>
      <w:r>
        <w:rPr>
          <w:spacing w:val="-2"/>
          <w:sz w:val="20"/>
        </w:rPr>
        <w:t xml:space="preserve"> </w:t>
      </w:r>
      <w:r>
        <w:rPr>
          <w:sz w:val="20"/>
        </w:rPr>
        <w:t>encuentre</w:t>
      </w:r>
      <w:hyperlink w:anchor="_bookmark691" w:history="1">
        <w:r>
          <w:rPr>
            <w:position w:val="7"/>
            <w:sz w:val="13"/>
          </w:rPr>
          <w:t>9</w:t>
        </w:r>
      </w:hyperlink>
      <w:r>
        <w:rPr>
          <w:sz w:val="20"/>
        </w:rPr>
        <w:t>.</w:t>
      </w:r>
    </w:p>
    <w:p w14:paraId="1028165D" w14:textId="77777777" w:rsidR="00467FCA" w:rsidRDefault="00467FCA">
      <w:pPr>
        <w:pStyle w:val="Textoindependiente"/>
        <w:spacing w:before="10"/>
        <w:rPr>
          <w:sz w:val="19"/>
        </w:rPr>
      </w:pPr>
    </w:p>
    <w:p w14:paraId="6CEEB02B" w14:textId="77777777" w:rsidR="00467FCA" w:rsidRDefault="001B68EB">
      <w:pPr>
        <w:pStyle w:val="Prrafodelista"/>
        <w:numPr>
          <w:ilvl w:val="0"/>
          <w:numId w:val="9"/>
        </w:numPr>
        <w:tabs>
          <w:tab w:val="left" w:pos="1167"/>
        </w:tabs>
        <w:spacing w:before="1"/>
        <w:ind w:left="457" w:right="275" w:firstLine="0"/>
        <w:jc w:val="both"/>
        <w:rPr>
          <w:sz w:val="20"/>
        </w:rPr>
      </w:pPr>
      <w:r>
        <w:rPr>
          <w:sz w:val="20"/>
        </w:rPr>
        <w:t>Debemos recordar que, en el presente caso, la Corte IDH concluyó que las violaciones al</w:t>
      </w:r>
      <w:r>
        <w:rPr>
          <w:spacing w:val="-7"/>
          <w:sz w:val="20"/>
        </w:rPr>
        <w:t xml:space="preserve"> </w:t>
      </w:r>
      <w:r>
        <w:rPr>
          <w:sz w:val="20"/>
        </w:rPr>
        <w:t>derecho</w:t>
      </w:r>
      <w:r>
        <w:rPr>
          <w:spacing w:val="-8"/>
          <w:sz w:val="20"/>
        </w:rPr>
        <w:t xml:space="preserve"> </w:t>
      </w:r>
      <w:r>
        <w:rPr>
          <w:sz w:val="20"/>
        </w:rPr>
        <w:t>a</w:t>
      </w:r>
      <w:r>
        <w:rPr>
          <w:spacing w:val="-7"/>
          <w:sz w:val="20"/>
        </w:rPr>
        <w:t xml:space="preserve"> </w:t>
      </w:r>
      <w:r>
        <w:rPr>
          <w:sz w:val="20"/>
        </w:rPr>
        <w:t>la</w:t>
      </w:r>
      <w:r>
        <w:rPr>
          <w:spacing w:val="-7"/>
          <w:sz w:val="20"/>
        </w:rPr>
        <w:t xml:space="preserve"> </w:t>
      </w:r>
      <w:r>
        <w:rPr>
          <w:sz w:val="20"/>
        </w:rPr>
        <w:t>vida,</w:t>
      </w:r>
      <w:r>
        <w:rPr>
          <w:spacing w:val="-7"/>
          <w:sz w:val="20"/>
        </w:rPr>
        <w:t xml:space="preserve"> </w:t>
      </w:r>
      <w:r>
        <w:rPr>
          <w:sz w:val="20"/>
        </w:rPr>
        <w:t>la</w:t>
      </w:r>
      <w:r>
        <w:rPr>
          <w:spacing w:val="-8"/>
          <w:sz w:val="20"/>
        </w:rPr>
        <w:t xml:space="preserve"> </w:t>
      </w:r>
      <w:r>
        <w:rPr>
          <w:sz w:val="20"/>
        </w:rPr>
        <w:t>integridad</w:t>
      </w:r>
      <w:r>
        <w:rPr>
          <w:spacing w:val="-6"/>
          <w:sz w:val="20"/>
        </w:rPr>
        <w:t xml:space="preserve"> </w:t>
      </w:r>
      <w:r>
        <w:rPr>
          <w:sz w:val="20"/>
        </w:rPr>
        <w:t>personal,</w:t>
      </w:r>
      <w:r>
        <w:rPr>
          <w:spacing w:val="-7"/>
          <w:sz w:val="20"/>
        </w:rPr>
        <w:t xml:space="preserve"> </w:t>
      </w:r>
      <w:r>
        <w:rPr>
          <w:sz w:val="20"/>
        </w:rPr>
        <w:t>derechos</w:t>
      </w:r>
      <w:r>
        <w:rPr>
          <w:spacing w:val="-8"/>
          <w:sz w:val="20"/>
        </w:rPr>
        <w:t xml:space="preserve"> </w:t>
      </w:r>
      <w:r>
        <w:rPr>
          <w:sz w:val="20"/>
        </w:rPr>
        <w:t>de</w:t>
      </w:r>
      <w:r>
        <w:rPr>
          <w:spacing w:val="-8"/>
          <w:sz w:val="20"/>
        </w:rPr>
        <w:t xml:space="preserve"> </w:t>
      </w:r>
      <w:r>
        <w:rPr>
          <w:sz w:val="20"/>
        </w:rPr>
        <w:t>las</w:t>
      </w:r>
      <w:r>
        <w:rPr>
          <w:spacing w:val="-9"/>
          <w:sz w:val="20"/>
        </w:rPr>
        <w:t xml:space="preserve"> </w:t>
      </w:r>
      <w:r>
        <w:rPr>
          <w:sz w:val="20"/>
        </w:rPr>
        <w:t>niñas</w:t>
      </w:r>
      <w:r>
        <w:rPr>
          <w:spacing w:val="-5"/>
          <w:sz w:val="20"/>
        </w:rPr>
        <w:t xml:space="preserve"> </w:t>
      </w:r>
      <w:r>
        <w:rPr>
          <w:sz w:val="20"/>
        </w:rPr>
        <w:t>y</w:t>
      </w:r>
      <w:r>
        <w:rPr>
          <w:spacing w:val="-7"/>
          <w:sz w:val="20"/>
        </w:rPr>
        <w:t xml:space="preserve"> </w:t>
      </w:r>
      <w:r>
        <w:rPr>
          <w:sz w:val="20"/>
        </w:rPr>
        <w:t>los</w:t>
      </w:r>
      <w:r>
        <w:rPr>
          <w:spacing w:val="-5"/>
          <w:sz w:val="20"/>
        </w:rPr>
        <w:t xml:space="preserve"> </w:t>
      </w:r>
      <w:r>
        <w:rPr>
          <w:sz w:val="20"/>
        </w:rPr>
        <w:t>niños</w:t>
      </w:r>
      <w:r>
        <w:rPr>
          <w:spacing w:val="-8"/>
          <w:sz w:val="20"/>
        </w:rPr>
        <w:t xml:space="preserve"> </w:t>
      </w:r>
      <w:r>
        <w:rPr>
          <w:sz w:val="20"/>
        </w:rPr>
        <w:t>y</w:t>
      </w:r>
      <w:r>
        <w:rPr>
          <w:spacing w:val="-7"/>
          <w:sz w:val="20"/>
        </w:rPr>
        <w:t xml:space="preserve"> </w:t>
      </w:r>
      <w:r>
        <w:rPr>
          <w:sz w:val="20"/>
        </w:rPr>
        <w:t>condiciones</w:t>
      </w:r>
      <w:r>
        <w:rPr>
          <w:spacing w:val="-8"/>
          <w:sz w:val="20"/>
        </w:rPr>
        <w:t xml:space="preserve"> </w:t>
      </w:r>
      <w:r>
        <w:rPr>
          <w:sz w:val="20"/>
        </w:rPr>
        <w:t>de trabajo equitativas y satisfactorias (que garanticen la seguridad, la salud y la higiene en el trabajo), se debieron a las omisiones o inacciones estatales,</w:t>
      </w:r>
      <w:hyperlink w:anchor="_bookmark692" w:history="1">
        <w:r>
          <w:rPr>
            <w:position w:val="7"/>
            <w:sz w:val="13"/>
          </w:rPr>
          <w:t>10</w:t>
        </w:r>
      </w:hyperlink>
      <w:r>
        <w:rPr>
          <w:position w:val="7"/>
          <w:sz w:val="13"/>
        </w:rPr>
        <w:t xml:space="preserve"> </w:t>
      </w:r>
      <w:r>
        <w:rPr>
          <w:sz w:val="20"/>
        </w:rPr>
        <w:t>que llevaron a la explosión de la fábrica de fuegos de Santo A</w:t>
      </w:r>
      <w:r>
        <w:rPr>
          <w:sz w:val="20"/>
        </w:rPr>
        <w:t>ntônio de Jesus en la que perdieron la vida 60 personas (mujeres, niñas y niños) y 6 personas sobrevivieron con lesiones. La obligación principal analizada en este caso era la de adoptar “las medidas necesarias” para “prevenir”</w:t>
      </w:r>
      <w:r>
        <w:rPr>
          <w:spacing w:val="-45"/>
          <w:sz w:val="20"/>
        </w:rPr>
        <w:t xml:space="preserve"> </w:t>
      </w:r>
      <w:r>
        <w:rPr>
          <w:sz w:val="20"/>
        </w:rPr>
        <w:t>eventuales violaciones</w:t>
      </w:r>
      <w:r>
        <w:rPr>
          <w:spacing w:val="-3"/>
          <w:sz w:val="20"/>
        </w:rPr>
        <w:t xml:space="preserve"> </w:t>
      </w:r>
      <w:r>
        <w:rPr>
          <w:sz w:val="20"/>
        </w:rPr>
        <w:t>a</w:t>
      </w:r>
      <w:r>
        <w:rPr>
          <w:spacing w:val="-4"/>
          <w:sz w:val="20"/>
        </w:rPr>
        <w:t xml:space="preserve"> </w:t>
      </w:r>
      <w:r>
        <w:rPr>
          <w:sz w:val="20"/>
        </w:rPr>
        <w:t>los</w:t>
      </w:r>
      <w:r>
        <w:rPr>
          <w:spacing w:val="-5"/>
          <w:sz w:val="20"/>
        </w:rPr>
        <w:t xml:space="preserve"> </w:t>
      </w:r>
      <w:r>
        <w:rPr>
          <w:sz w:val="20"/>
        </w:rPr>
        <w:t>derechos</w:t>
      </w:r>
      <w:r>
        <w:rPr>
          <w:spacing w:val="-5"/>
          <w:sz w:val="20"/>
        </w:rPr>
        <w:t xml:space="preserve"> </w:t>
      </w:r>
      <w:r>
        <w:rPr>
          <w:sz w:val="20"/>
        </w:rPr>
        <w:t>de</w:t>
      </w:r>
      <w:r>
        <w:rPr>
          <w:spacing w:val="-6"/>
          <w:sz w:val="20"/>
        </w:rPr>
        <w:t xml:space="preserve"> </w:t>
      </w:r>
      <w:r>
        <w:rPr>
          <w:sz w:val="20"/>
        </w:rPr>
        <w:t>las</w:t>
      </w:r>
      <w:r>
        <w:rPr>
          <w:spacing w:val="-3"/>
          <w:sz w:val="20"/>
        </w:rPr>
        <w:t xml:space="preserve"> </w:t>
      </w:r>
      <w:r>
        <w:rPr>
          <w:sz w:val="20"/>
        </w:rPr>
        <w:t>mujeres</w:t>
      </w:r>
      <w:r>
        <w:rPr>
          <w:spacing w:val="-5"/>
          <w:sz w:val="20"/>
        </w:rPr>
        <w:t xml:space="preserve"> </w:t>
      </w:r>
      <w:r>
        <w:rPr>
          <w:sz w:val="20"/>
        </w:rPr>
        <w:t>trabajadoras</w:t>
      </w:r>
      <w:r>
        <w:rPr>
          <w:spacing w:val="-5"/>
          <w:sz w:val="20"/>
        </w:rPr>
        <w:t xml:space="preserve"> </w:t>
      </w:r>
      <w:r>
        <w:rPr>
          <w:sz w:val="20"/>
        </w:rPr>
        <w:t>y</w:t>
      </w:r>
      <w:r>
        <w:rPr>
          <w:spacing w:val="-5"/>
          <w:sz w:val="20"/>
        </w:rPr>
        <w:t xml:space="preserve"> </w:t>
      </w:r>
      <w:r>
        <w:rPr>
          <w:sz w:val="20"/>
        </w:rPr>
        <w:t>de</w:t>
      </w:r>
      <w:r>
        <w:rPr>
          <w:spacing w:val="-6"/>
          <w:sz w:val="20"/>
        </w:rPr>
        <w:t xml:space="preserve"> </w:t>
      </w:r>
      <w:r>
        <w:rPr>
          <w:sz w:val="20"/>
        </w:rPr>
        <w:t>las</w:t>
      </w:r>
      <w:r>
        <w:rPr>
          <w:spacing w:val="-3"/>
          <w:sz w:val="20"/>
        </w:rPr>
        <w:t xml:space="preserve"> </w:t>
      </w:r>
      <w:r>
        <w:rPr>
          <w:sz w:val="20"/>
        </w:rPr>
        <w:t>niñas</w:t>
      </w:r>
      <w:r>
        <w:rPr>
          <w:spacing w:val="-5"/>
          <w:sz w:val="20"/>
        </w:rPr>
        <w:t xml:space="preserve"> </w:t>
      </w:r>
      <w:r>
        <w:rPr>
          <w:sz w:val="20"/>
        </w:rPr>
        <w:t>y</w:t>
      </w:r>
      <w:r>
        <w:rPr>
          <w:spacing w:val="-5"/>
          <w:sz w:val="20"/>
        </w:rPr>
        <w:t xml:space="preserve"> </w:t>
      </w:r>
      <w:r>
        <w:rPr>
          <w:sz w:val="20"/>
        </w:rPr>
        <w:t>los</w:t>
      </w:r>
      <w:r>
        <w:rPr>
          <w:spacing w:val="-5"/>
          <w:sz w:val="20"/>
        </w:rPr>
        <w:t xml:space="preserve"> </w:t>
      </w:r>
      <w:r>
        <w:rPr>
          <w:sz w:val="20"/>
        </w:rPr>
        <w:t>niños;</w:t>
      </w:r>
      <w:r>
        <w:rPr>
          <w:spacing w:val="-4"/>
          <w:sz w:val="20"/>
        </w:rPr>
        <w:t xml:space="preserve"> </w:t>
      </w:r>
      <w:r>
        <w:rPr>
          <w:sz w:val="20"/>
        </w:rPr>
        <w:t>en</w:t>
      </w:r>
      <w:r>
        <w:rPr>
          <w:spacing w:val="-3"/>
          <w:sz w:val="20"/>
        </w:rPr>
        <w:t xml:space="preserve"> </w:t>
      </w:r>
      <w:r>
        <w:rPr>
          <w:sz w:val="20"/>
        </w:rPr>
        <w:t>donde</w:t>
      </w:r>
      <w:r>
        <w:rPr>
          <w:spacing w:val="-6"/>
          <w:sz w:val="20"/>
        </w:rPr>
        <w:t xml:space="preserve"> </w:t>
      </w:r>
      <w:r>
        <w:rPr>
          <w:sz w:val="20"/>
        </w:rPr>
        <w:t>la forma idónea para garantizar esa prevención era “la fiscalización”; obligación que inclusive estaba establecida por la misma legislación nacional. La obligación de fiscalizar o s</w:t>
      </w:r>
      <w:r>
        <w:rPr>
          <w:sz w:val="20"/>
        </w:rPr>
        <w:t>upervisar (o de “inspeccionar”, como se denomina en algunas legislaciones nacionales) era de fundamental importancia para garantizar los derechos que en este caso fueron</w:t>
      </w:r>
      <w:r>
        <w:rPr>
          <w:spacing w:val="-24"/>
          <w:sz w:val="20"/>
        </w:rPr>
        <w:t xml:space="preserve"> </w:t>
      </w:r>
      <w:r>
        <w:rPr>
          <w:sz w:val="20"/>
        </w:rPr>
        <w:t>analizados</w:t>
      </w:r>
      <w:hyperlink w:anchor="_bookmark693" w:history="1">
        <w:r>
          <w:rPr>
            <w:position w:val="7"/>
            <w:sz w:val="13"/>
          </w:rPr>
          <w:t>11</w:t>
        </w:r>
      </w:hyperlink>
      <w:r>
        <w:rPr>
          <w:sz w:val="20"/>
        </w:rPr>
        <w:t>.</w:t>
      </w:r>
    </w:p>
    <w:p w14:paraId="1BE95F47" w14:textId="77777777" w:rsidR="00467FCA" w:rsidRDefault="00467FCA">
      <w:pPr>
        <w:pStyle w:val="Textoindependiente"/>
      </w:pPr>
    </w:p>
    <w:p w14:paraId="62F8F1CB" w14:textId="77777777" w:rsidR="00467FCA" w:rsidRDefault="001B68EB">
      <w:pPr>
        <w:pStyle w:val="Textoindependiente"/>
        <w:spacing w:before="4"/>
        <w:rPr>
          <w:sz w:val="29"/>
        </w:rPr>
      </w:pPr>
      <w:r>
        <w:pict w14:anchorId="27905828">
          <v:shape id="_x0000_s1068" style="position:absolute;margin-left:70.9pt;margin-top:20.1pt;width:2in;height:.1pt;z-index:-251527168;mso-wrap-distance-left:0;mso-wrap-distance-right:0;mso-position-horizontal-relative:page" coordorigin="1418,402" coordsize="2880,0" path="m1418,402r2880,e" filled="f" strokeweight=".6pt">
            <v:path arrowok="t"/>
            <w10:wrap type="topAndBottom" anchorx="page"/>
          </v:shape>
        </w:pict>
      </w:r>
    </w:p>
    <w:p w14:paraId="0360F222" w14:textId="77777777" w:rsidR="00467FCA" w:rsidRDefault="001B68EB">
      <w:pPr>
        <w:tabs>
          <w:tab w:val="left" w:pos="1166"/>
        </w:tabs>
        <w:spacing w:before="74"/>
        <w:ind w:left="458" w:right="274"/>
        <w:jc w:val="both"/>
        <w:rPr>
          <w:sz w:val="16"/>
        </w:rPr>
      </w:pPr>
      <w:bookmarkStart w:id="768" w:name="_bookmark687"/>
      <w:bookmarkEnd w:id="768"/>
      <w:r>
        <w:rPr>
          <w:position w:val="6"/>
          <w:sz w:val="10"/>
        </w:rPr>
        <w:t>5</w:t>
      </w:r>
      <w:r>
        <w:rPr>
          <w:position w:val="6"/>
          <w:sz w:val="10"/>
        </w:rPr>
        <w:tab/>
      </w:r>
      <w:r>
        <w:rPr>
          <w:i/>
          <w:sz w:val="16"/>
        </w:rPr>
        <w:t>Cfr. Caso de la Masacre de Pueblo B</w:t>
      </w:r>
      <w:r>
        <w:rPr>
          <w:i/>
          <w:sz w:val="16"/>
        </w:rPr>
        <w:t>ello Vs. Colombia</w:t>
      </w:r>
      <w:r>
        <w:rPr>
          <w:sz w:val="16"/>
        </w:rPr>
        <w:t xml:space="preserve">. Sentencia de 31 de enero  de 2006. Serie C No.  140, párr. 123, y </w:t>
      </w:r>
      <w:r>
        <w:rPr>
          <w:i/>
          <w:sz w:val="16"/>
        </w:rPr>
        <w:t>Caso Gómez Virula y otros Vs. Guatemala. Excepción Preliminar, Fondo, Reparaciones y Costas</w:t>
      </w:r>
      <w:r>
        <w:rPr>
          <w:sz w:val="16"/>
        </w:rPr>
        <w:t>. Sentencia de 21 de noviembre de 2019. Serie C No. 393, párr</w:t>
      </w:r>
      <w:r>
        <w:rPr>
          <w:spacing w:val="-8"/>
          <w:sz w:val="16"/>
        </w:rPr>
        <w:t xml:space="preserve"> </w:t>
      </w:r>
      <w:r>
        <w:rPr>
          <w:sz w:val="16"/>
        </w:rPr>
        <w:t>56.</w:t>
      </w:r>
    </w:p>
    <w:p w14:paraId="3935BFB8" w14:textId="77777777" w:rsidR="00467FCA" w:rsidRDefault="001B68EB">
      <w:pPr>
        <w:tabs>
          <w:tab w:val="left" w:pos="1166"/>
        </w:tabs>
        <w:ind w:left="458" w:right="274"/>
        <w:jc w:val="both"/>
        <w:rPr>
          <w:sz w:val="16"/>
        </w:rPr>
      </w:pPr>
      <w:bookmarkStart w:id="769" w:name="_bookmark688"/>
      <w:bookmarkEnd w:id="769"/>
      <w:r>
        <w:rPr>
          <w:position w:val="6"/>
          <w:sz w:val="10"/>
        </w:rPr>
        <w:t>6</w:t>
      </w:r>
      <w:r>
        <w:rPr>
          <w:position w:val="6"/>
          <w:sz w:val="10"/>
        </w:rPr>
        <w:tab/>
      </w:r>
      <w:r>
        <w:rPr>
          <w:i/>
          <w:sz w:val="16"/>
        </w:rPr>
        <w:t>Cfr. Caso Xi</w:t>
      </w:r>
      <w:r>
        <w:rPr>
          <w:i/>
          <w:sz w:val="16"/>
        </w:rPr>
        <w:t xml:space="preserve">menes Lopes Vs. Brasil. </w:t>
      </w:r>
      <w:r>
        <w:rPr>
          <w:sz w:val="16"/>
        </w:rPr>
        <w:t xml:space="preserve">Sentencia de 4 de julio de 2006. Serie C No. 149, párrs. 99 y 125, y </w:t>
      </w:r>
      <w:r>
        <w:rPr>
          <w:i/>
          <w:sz w:val="16"/>
        </w:rPr>
        <w:t>Caso</w:t>
      </w:r>
      <w:r>
        <w:rPr>
          <w:i/>
          <w:spacing w:val="-3"/>
          <w:sz w:val="16"/>
        </w:rPr>
        <w:t xml:space="preserve"> </w:t>
      </w:r>
      <w:r>
        <w:rPr>
          <w:i/>
          <w:sz w:val="16"/>
        </w:rPr>
        <w:t>Gonzales</w:t>
      </w:r>
      <w:r>
        <w:rPr>
          <w:i/>
          <w:spacing w:val="-2"/>
          <w:sz w:val="16"/>
        </w:rPr>
        <w:t xml:space="preserve"> </w:t>
      </w:r>
      <w:r>
        <w:rPr>
          <w:i/>
          <w:sz w:val="16"/>
        </w:rPr>
        <w:t>Lluy</w:t>
      </w:r>
      <w:r>
        <w:rPr>
          <w:i/>
          <w:spacing w:val="-2"/>
          <w:sz w:val="16"/>
        </w:rPr>
        <w:t xml:space="preserve"> </w:t>
      </w:r>
      <w:r>
        <w:rPr>
          <w:i/>
          <w:sz w:val="16"/>
        </w:rPr>
        <w:t>y</w:t>
      </w:r>
      <w:r>
        <w:rPr>
          <w:i/>
          <w:spacing w:val="-4"/>
          <w:sz w:val="16"/>
        </w:rPr>
        <w:t xml:space="preserve"> </w:t>
      </w:r>
      <w:r>
        <w:rPr>
          <w:i/>
          <w:sz w:val="16"/>
        </w:rPr>
        <w:t>otros</w:t>
      </w:r>
      <w:r>
        <w:rPr>
          <w:i/>
          <w:spacing w:val="-2"/>
          <w:sz w:val="16"/>
        </w:rPr>
        <w:t xml:space="preserve"> </w:t>
      </w:r>
      <w:r>
        <w:rPr>
          <w:i/>
          <w:sz w:val="16"/>
        </w:rPr>
        <w:t>Vs.</w:t>
      </w:r>
      <w:r>
        <w:rPr>
          <w:i/>
          <w:spacing w:val="-2"/>
          <w:sz w:val="16"/>
        </w:rPr>
        <w:t xml:space="preserve"> </w:t>
      </w:r>
      <w:r>
        <w:rPr>
          <w:i/>
          <w:sz w:val="16"/>
        </w:rPr>
        <w:t>Ecuador.</w:t>
      </w:r>
      <w:r>
        <w:rPr>
          <w:i/>
          <w:spacing w:val="-3"/>
          <w:sz w:val="16"/>
        </w:rPr>
        <w:t xml:space="preserve"> </w:t>
      </w:r>
      <w:r>
        <w:rPr>
          <w:i/>
          <w:sz w:val="16"/>
        </w:rPr>
        <w:t>Excepciones</w:t>
      </w:r>
      <w:r>
        <w:rPr>
          <w:i/>
          <w:spacing w:val="-2"/>
          <w:sz w:val="16"/>
        </w:rPr>
        <w:t xml:space="preserve"> </w:t>
      </w:r>
      <w:r>
        <w:rPr>
          <w:i/>
          <w:sz w:val="16"/>
        </w:rPr>
        <w:t>Preliminares,</w:t>
      </w:r>
      <w:r>
        <w:rPr>
          <w:i/>
          <w:spacing w:val="-3"/>
          <w:sz w:val="16"/>
        </w:rPr>
        <w:t xml:space="preserve"> </w:t>
      </w:r>
      <w:r>
        <w:rPr>
          <w:i/>
          <w:sz w:val="16"/>
        </w:rPr>
        <w:t>Fondo,</w:t>
      </w:r>
      <w:r>
        <w:rPr>
          <w:i/>
          <w:spacing w:val="-6"/>
          <w:sz w:val="16"/>
        </w:rPr>
        <w:t xml:space="preserve"> </w:t>
      </w:r>
      <w:r>
        <w:rPr>
          <w:i/>
          <w:sz w:val="16"/>
        </w:rPr>
        <w:t>Reparaciones</w:t>
      </w:r>
      <w:r>
        <w:rPr>
          <w:i/>
          <w:spacing w:val="-2"/>
          <w:sz w:val="16"/>
        </w:rPr>
        <w:t xml:space="preserve"> </w:t>
      </w:r>
      <w:r>
        <w:rPr>
          <w:i/>
          <w:sz w:val="16"/>
        </w:rPr>
        <w:t>y</w:t>
      </w:r>
      <w:r>
        <w:rPr>
          <w:i/>
          <w:spacing w:val="-4"/>
          <w:sz w:val="16"/>
        </w:rPr>
        <w:t xml:space="preserve"> </w:t>
      </w:r>
      <w:r>
        <w:rPr>
          <w:i/>
          <w:sz w:val="16"/>
        </w:rPr>
        <w:t>Costas.</w:t>
      </w:r>
      <w:r>
        <w:rPr>
          <w:i/>
          <w:spacing w:val="-4"/>
          <w:sz w:val="16"/>
        </w:rPr>
        <w:t xml:space="preserve"> </w:t>
      </w:r>
      <w:r>
        <w:rPr>
          <w:sz w:val="16"/>
        </w:rPr>
        <w:t>Sentencia</w:t>
      </w:r>
      <w:r>
        <w:rPr>
          <w:spacing w:val="-3"/>
          <w:sz w:val="16"/>
        </w:rPr>
        <w:t xml:space="preserve"> </w:t>
      </w:r>
      <w:r>
        <w:rPr>
          <w:sz w:val="16"/>
        </w:rPr>
        <w:t>de</w:t>
      </w:r>
      <w:r>
        <w:rPr>
          <w:spacing w:val="-2"/>
          <w:sz w:val="16"/>
        </w:rPr>
        <w:t xml:space="preserve"> </w:t>
      </w:r>
      <w:r>
        <w:rPr>
          <w:sz w:val="16"/>
        </w:rPr>
        <w:t>1</w:t>
      </w:r>
      <w:r>
        <w:rPr>
          <w:spacing w:val="-2"/>
          <w:sz w:val="16"/>
        </w:rPr>
        <w:t xml:space="preserve"> </w:t>
      </w:r>
      <w:r>
        <w:rPr>
          <w:sz w:val="16"/>
        </w:rPr>
        <w:t>de septiembre de 2015. Serie C No. 298, párr.</w:t>
      </w:r>
      <w:r>
        <w:rPr>
          <w:spacing w:val="-17"/>
          <w:sz w:val="16"/>
        </w:rPr>
        <w:t xml:space="preserve"> </w:t>
      </w:r>
      <w:r>
        <w:rPr>
          <w:sz w:val="16"/>
        </w:rPr>
        <w:t>170.</w:t>
      </w:r>
    </w:p>
    <w:p w14:paraId="5E08C69D" w14:textId="77777777" w:rsidR="00467FCA" w:rsidRDefault="001B68EB">
      <w:pPr>
        <w:tabs>
          <w:tab w:val="left" w:pos="1166"/>
        </w:tabs>
        <w:ind w:left="458" w:right="273"/>
        <w:jc w:val="both"/>
        <w:rPr>
          <w:sz w:val="16"/>
        </w:rPr>
      </w:pPr>
      <w:bookmarkStart w:id="770" w:name="_bookmark689"/>
      <w:bookmarkEnd w:id="770"/>
      <w:r>
        <w:rPr>
          <w:position w:val="6"/>
          <w:sz w:val="10"/>
        </w:rPr>
        <w:t>7</w:t>
      </w:r>
      <w:r>
        <w:rPr>
          <w:position w:val="6"/>
          <w:sz w:val="10"/>
        </w:rPr>
        <w:tab/>
      </w:r>
      <w:r>
        <w:rPr>
          <w:i/>
          <w:sz w:val="16"/>
        </w:rPr>
        <w:t>Cfr. Caso Velásquez Rodríguez Vs. Honduras. Fondo. S</w:t>
      </w:r>
      <w:r>
        <w:rPr>
          <w:sz w:val="16"/>
        </w:rPr>
        <w:t>entencia de 29 de julio de 1988. Serie C No. 4. párr. 164, y Caso Díaz Loreto y otros Vs. Venezuela. Excepciones Preliminares, Fondo, Reparaciones y Co</w:t>
      </w:r>
      <w:r>
        <w:rPr>
          <w:sz w:val="16"/>
        </w:rPr>
        <w:t>stas. Sentencia de 19 de noviembre de 2019. Serie C No. 392, párr.</w:t>
      </w:r>
      <w:r>
        <w:rPr>
          <w:spacing w:val="-10"/>
          <w:sz w:val="16"/>
        </w:rPr>
        <w:t xml:space="preserve"> </w:t>
      </w:r>
      <w:r>
        <w:rPr>
          <w:sz w:val="16"/>
        </w:rPr>
        <w:t>69.</w:t>
      </w:r>
    </w:p>
    <w:p w14:paraId="11B86DE6" w14:textId="77777777" w:rsidR="00467FCA" w:rsidRDefault="001B68EB">
      <w:pPr>
        <w:tabs>
          <w:tab w:val="left" w:pos="1166"/>
        </w:tabs>
        <w:ind w:left="458" w:right="272"/>
        <w:jc w:val="both"/>
        <w:rPr>
          <w:sz w:val="16"/>
        </w:rPr>
      </w:pPr>
      <w:bookmarkStart w:id="771" w:name="_bookmark690"/>
      <w:bookmarkEnd w:id="771"/>
      <w:r>
        <w:rPr>
          <w:position w:val="6"/>
          <w:sz w:val="10"/>
        </w:rPr>
        <w:t>8</w:t>
      </w:r>
      <w:r>
        <w:rPr>
          <w:position w:val="6"/>
          <w:sz w:val="10"/>
        </w:rPr>
        <w:tab/>
      </w:r>
      <w:r>
        <w:rPr>
          <w:i/>
          <w:sz w:val="16"/>
        </w:rPr>
        <w:t xml:space="preserve">Cfr. Caso Velásquez Rodríguez Vs. Honduras. Fondo, supra, </w:t>
      </w:r>
      <w:r>
        <w:rPr>
          <w:sz w:val="16"/>
        </w:rPr>
        <w:t xml:space="preserve">párrs. 165 y 166, y </w:t>
      </w:r>
      <w:r>
        <w:rPr>
          <w:i/>
          <w:sz w:val="16"/>
        </w:rPr>
        <w:t>Caso Noguera y otra Vs. Paraguay. Fondo, Reparaciones y Costas</w:t>
      </w:r>
      <w:r>
        <w:rPr>
          <w:sz w:val="16"/>
        </w:rPr>
        <w:t xml:space="preserve">. Sentencia de 9 de marzo de 2020. Serie C </w:t>
      </w:r>
      <w:r>
        <w:rPr>
          <w:sz w:val="16"/>
        </w:rPr>
        <w:t>No. 401, párr.</w:t>
      </w:r>
      <w:r>
        <w:rPr>
          <w:spacing w:val="-27"/>
          <w:sz w:val="16"/>
        </w:rPr>
        <w:t xml:space="preserve"> </w:t>
      </w:r>
      <w:r>
        <w:rPr>
          <w:sz w:val="16"/>
        </w:rPr>
        <w:t>65.</w:t>
      </w:r>
    </w:p>
    <w:p w14:paraId="6B5CC381" w14:textId="77777777" w:rsidR="00467FCA" w:rsidRDefault="001B68EB">
      <w:pPr>
        <w:tabs>
          <w:tab w:val="left" w:pos="1166"/>
        </w:tabs>
        <w:ind w:left="458" w:right="270"/>
        <w:jc w:val="both"/>
        <w:rPr>
          <w:sz w:val="16"/>
        </w:rPr>
      </w:pPr>
      <w:bookmarkStart w:id="772" w:name="_bookmark691"/>
      <w:bookmarkEnd w:id="772"/>
      <w:r>
        <w:rPr>
          <w:position w:val="6"/>
          <w:sz w:val="10"/>
        </w:rPr>
        <w:t>9</w:t>
      </w:r>
      <w:r>
        <w:rPr>
          <w:position w:val="6"/>
          <w:sz w:val="10"/>
        </w:rPr>
        <w:tab/>
      </w:r>
      <w:r>
        <w:rPr>
          <w:i/>
          <w:sz w:val="16"/>
        </w:rPr>
        <w:t>Cfr. Caso de la Masacre de Pueblo Bello Vs. Colombia, supra,</w:t>
      </w:r>
      <w:r>
        <w:rPr>
          <w:sz w:val="16"/>
        </w:rPr>
        <w:t xml:space="preserve">, párr. 111, y </w:t>
      </w:r>
      <w:r>
        <w:rPr>
          <w:i/>
          <w:sz w:val="16"/>
        </w:rPr>
        <w:t>Caso Vereda La Esperanza Vs. Colombia. Excepciones Preliminares, Fondo, Reparaciones y Costas</w:t>
      </w:r>
      <w:r>
        <w:rPr>
          <w:sz w:val="16"/>
        </w:rPr>
        <w:t>. Sentencia de 31 de agosto de 2017. Serie C</w:t>
      </w:r>
      <w:r>
        <w:rPr>
          <w:spacing w:val="-40"/>
          <w:sz w:val="16"/>
        </w:rPr>
        <w:t xml:space="preserve"> </w:t>
      </w:r>
      <w:r>
        <w:rPr>
          <w:sz w:val="16"/>
        </w:rPr>
        <w:t>No. 341, párr.</w:t>
      </w:r>
      <w:r>
        <w:rPr>
          <w:spacing w:val="-4"/>
          <w:sz w:val="16"/>
        </w:rPr>
        <w:t xml:space="preserve"> </w:t>
      </w:r>
      <w:r>
        <w:rPr>
          <w:sz w:val="16"/>
        </w:rPr>
        <w:t>82.</w:t>
      </w:r>
    </w:p>
    <w:p w14:paraId="60C5197B" w14:textId="77777777" w:rsidR="00467FCA" w:rsidRDefault="001B68EB">
      <w:pPr>
        <w:tabs>
          <w:tab w:val="left" w:pos="1166"/>
        </w:tabs>
        <w:ind w:left="458"/>
        <w:jc w:val="both"/>
        <w:rPr>
          <w:i/>
          <w:sz w:val="16"/>
        </w:rPr>
      </w:pPr>
      <w:bookmarkStart w:id="773" w:name="_bookmark692"/>
      <w:bookmarkEnd w:id="773"/>
      <w:r>
        <w:rPr>
          <w:position w:val="6"/>
          <w:sz w:val="10"/>
        </w:rPr>
        <w:t>10</w:t>
      </w:r>
      <w:r>
        <w:rPr>
          <w:position w:val="6"/>
          <w:sz w:val="10"/>
        </w:rPr>
        <w:tab/>
      </w:r>
      <w:r>
        <w:rPr>
          <w:i/>
          <w:sz w:val="16"/>
        </w:rPr>
        <w:t>Cfr.</w:t>
      </w:r>
      <w:r>
        <w:rPr>
          <w:i/>
          <w:spacing w:val="6"/>
          <w:sz w:val="16"/>
        </w:rPr>
        <w:t xml:space="preserve"> </w:t>
      </w:r>
      <w:r>
        <w:rPr>
          <w:i/>
          <w:sz w:val="16"/>
        </w:rPr>
        <w:t>Caso</w:t>
      </w:r>
      <w:r>
        <w:rPr>
          <w:i/>
          <w:spacing w:val="8"/>
          <w:sz w:val="16"/>
        </w:rPr>
        <w:t xml:space="preserve"> </w:t>
      </w:r>
      <w:r>
        <w:rPr>
          <w:i/>
          <w:sz w:val="16"/>
        </w:rPr>
        <w:t>Empleados</w:t>
      </w:r>
      <w:r>
        <w:rPr>
          <w:i/>
          <w:spacing w:val="6"/>
          <w:sz w:val="16"/>
        </w:rPr>
        <w:t xml:space="preserve"> </w:t>
      </w:r>
      <w:r>
        <w:rPr>
          <w:i/>
          <w:sz w:val="16"/>
        </w:rPr>
        <w:t>de</w:t>
      </w:r>
      <w:r>
        <w:rPr>
          <w:i/>
          <w:spacing w:val="5"/>
          <w:sz w:val="16"/>
        </w:rPr>
        <w:t xml:space="preserve"> </w:t>
      </w:r>
      <w:r>
        <w:rPr>
          <w:i/>
          <w:sz w:val="16"/>
        </w:rPr>
        <w:t>la</w:t>
      </w:r>
      <w:r>
        <w:rPr>
          <w:i/>
          <w:spacing w:val="7"/>
          <w:sz w:val="16"/>
        </w:rPr>
        <w:t xml:space="preserve"> </w:t>
      </w:r>
      <w:r>
        <w:rPr>
          <w:i/>
          <w:sz w:val="16"/>
        </w:rPr>
        <w:t>Fábrica</w:t>
      </w:r>
      <w:r>
        <w:rPr>
          <w:i/>
          <w:spacing w:val="4"/>
          <w:sz w:val="16"/>
        </w:rPr>
        <w:t xml:space="preserve"> </w:t>
      </w:r>
      <w:r>
        <w:rPr>
          <w:i/>
          <w:sz w:val="16"/>
        </w:rPr>
        <w:t>de</w:t>
      </w:r>
      <w:r>
        <w:rPr>
          <w:i/>
          <w:spacing w:val="6"/>
          <w:sz w:val="16"/>
        </w:rPr>
        <w:t xml:space="preserve"> </w:t>
      </w:r>
      <w:r>
        <w:rPr>
          <w:i/>
          <w:sz w:val="16"/>
        </w:rPr>
        <w:t>Fuegos</w:t>
      </w:r>
      <w:r>
        <w:rPr>
          <w:i/>
          <w:spacing w:val="7"/>
          <w:sz w:val="16"/>
        </w:rPr>
        <w:t xml:space="preserve"> </w:t>
      </w:r>
      <w:r>
        <w:rPr>
          <w:i/>
          <w:sz w:val="16"/>
        </w:rPr>
        <w:t>en</w:t>
      </w:r>
      <w:r>
        <w:rPr>
          <w:i/>
          <w:spacing w:val="5"/>
          <w:sz w:val="16"/>
        </w:rPr>
        <w:t xml:space="preserve"> </w:t>
      </w:r>
      <w:r>
        <w:rPr>
          <w:i/>
          <w:sz w:val="16"/>
        </w:rPr>
        <w:t>Santo</w:t>
      </w:r>
      <w:r>
        <w:rPr>
          <w:i/>
          <w:spacing w:val="5"/>
          <w:sz w:val="16"/>
        </w:rPr>
        <w:t xml:space="preserve"> </w:t>
      </w:r>
      <w:r>
        <w:rPr>
          <w:i/>
          <w:sz w:val="16"/>
        </w:rPr>
        <w:t>Antônio</w:t>
      </w:r>
      <w:r>
        <w:rPr>
          <w:i/>
          <w:spacing w:val="9"/>
          <w:sz w:val="16"/>
        </w:rPr>
        <w:t xml:space="preserve"> </w:t>
      </w:r>
      <w:r>
        <w:rPr>
          <w:i/>
          <w:sz w:val="16"/>
        </w:rPr>
        <w:t>de</w:t>
      </w:r>
      <w:r>
        <w:rPr>
          <w:i/>
          <w:spacing w:val="7"/>
          <w:sz w:val="16"/>
        </w:rPr>
        <w:t xml:space="preserve"> </w:t>
      </w:r>
      <w:r>
        <w:rPr>
          <w:i/>
          <w:sz w:val="16"/>
        </w:rPr>
        <w:t>Jesus</w:t>
      </w:r>
      <w:r>
        <w:rPr>
          <w:i/>
          <w:spacing w:val="6"/>
          <w:sz w:val="16"/>
        </w:rPr>
        <w:t xml:space="preserve"> </w:t>
      </w:r>
      <w:r>
        <w:rPr>
          <w:i/>
          <w:sz w:val="16"/>
        </w:rPr>
        <w:t>y</w:t>
      </w:r>
      <w:r>
        <w:rPr>
          <w:i/>
          <w:spacing w:val="6"/>
          <w:sz w:val="16"/>
        </w:rPr>
        <w:t xml:space="preserve"> </w:t>
      </w:r>
      <w:r>
        <w:rPr>
          <w:i/>
          <w:sz w:val="16"/>
        </w:rPr>
        <w:t>sus</w:t>
      </w:r>
      <w:r>
        <w:rPr>
          <w:i/>
          <w:spacing w:val="5"/>
          <w:sz w:val="16"/>
        </w:rPr>
        <w:t xml:space="preserve"> </w:t>
      </w:r>
      <w:r>
        <w:rPr>
          <w:i/>
          <w:sz w:val="16"/>
        </w:rPr>
        <w:t>familiares</w:t>
      </w:r>
      <w:r>
        <w:rPr>
          <w:i/>
          <w:spacing w:val="6"/>
          <w:sz w:val="16"/>
        </w:rPr>
        <w:t xml:space="preserve"> </w:t>
      </w:r>
      <w:r>
        <w:rPr>
          <w:i/>
          <w:sz w:val="16"/>
        </w:rPr>
        <w:t>Vs.</w:t>
      </w:r>
      <w:r>
        <w:rPr>
          <w:i/>
          <w:spacing w:val="4"/>
          <w:sz w:val="16"/>
        </w:rPr>
        <w:t xml:space="preserve"> </w:t>
      </w:r>
      <w:r>
        <w:rPr>
          <w:i/>
          <w:sz w:val="16"/>
        </w:rPr>
        <w:t>Brasil,</w:t>
      </w:r>
      <w:r>
        <w:rPr>
          <w:i/>
          <w:spacing w:val="7"/>
          <w:sz w:val="16"/>
        </w:rPr>
        <w:t xml:space="preserve"> </w:t>
      </w:r>
      <w:r>
        <w:rPr>
          <w:i/>
          <w:sz w:val="16"/>
        </w:rPr>
        <w:t>supra,</w:t>
      </w:r>
    </w:p>
    <w:p w14:paraId="046F7A00" w14:textId="77777777" w:rsidR="00467FCA" w:rsidRDefault="001B68EB">
      <w:pPr>
        <w:ind w:left="458"/>
        <w:jc w:val="both"/>
        <w:rPr>
          <w:sz w:val="16"/>
        </w:rPr>
      </w:pPr>
      <w:r>
        <w:rPr>
          <w:sz w:val="16"/>
        </w:rPr>
        <w:t>párr. 139.</w:t>
      </w:r>
    </w:p>
    <w:p w14:paraId="43A7FE35" w14:textId="77777777" w:rsidR="00467FCA" w:rsidRDefault="001B68EB">
      <w:pPr>
        <w:tabs>
          <w:tab w:val="left" w:pos="1166"/>
        </w:tabs>
        <w:ind w:left="458"/>
        <w:jc w:val="both"/>
        <w:rPr>
          <w:i/>
          <w:sz w:val="16"/>
        </w:rPr>
      </w:pPr>
      <w:bookmarkStart w:id="774" w:name="_bookmark693"/>
      <w:bookmarkEnd w:id="774"/>
      <w:r>
        <w:rPr>
          <w:position w:val="6"/>
          <w:sz w:val="10"/>
        </w:rPr>
        <w:t>11</w:t>
      </w:r>
      <w:r>
        <w:rPr>
          <w:position w:val="6"/>
          <w:sz w:val="10"/>
        </w:rPr>
        <w:tab/>
      </w:r>
      <w:r>
        <w:rPr>
          <w:i/>
          <w:sz w:val="16"/>
        </w:rPr>
        <w:t>Cfr.</w:t>
      </w:r>
      <w:r>
        <w:rPr>
          <w:i/>
          <w:spacing w:val="6"/>
          <w:sz w:val="16"/>
        </w:rPr>
        <w:t xml:space="preserve"> </w:t>
      </w:r>
      <w:r>
        <w:rPr>
          <w:i/>
          <w:sz w:val="16"/>
        </w:rPr>
        <w:t>Caso</w:t>
      </w:r>
      <w:r>
        <w:rPr>
          <w:i/>
          <w:spacing w:val="8"/>
          <w:sz w:val="16"/>
        </w:rPr>
        <w:t xml:space="preserve"> </w:t>
      </w:r>
      <w:r>
        <w:rPr>
          <w:i/>
          <w:sz w:val="16"/>
        </w:rPr>
        <w:t>Empleados</w:t>
      </w:r>
      <w:r>
        <w:rPr>
          <w:i/>
          <w:spacing w:val="6"/>
          <w:sz w:val="16"/>
        </w:rPr>
        <w:t xml:space="preserve"> </w:t>
      </w:r>
      <w:r>
        <w:rPr>
          <w:i/>
          <w:sz w:val="16"/>
        </w:rPr>
        <w:t>de</w:t>
      </w:r>
      <w:r>
        <w:rPr>
          <w:i/>
          <w:spacing w:val="5"/>
          <w:sz w:val="16"/>
        </w:rPr>
        <w:t xml:space="preserve"> </w:t>
      </w:r>
      <w:r>
        <w:rPr>
          <w:i/>
          <w:sz w:val="16"/>
        </w:rPr>
        <w:t>la</w:t>
      </w:r>
      <w:r>
        <w:rPr>
          <w:i/>
          <w:spacing w:val="7"/>
          <w:sz w:val="16"/>
        </w:rPr>
        <w:t xml:space="preserve"> </w:t>
      </w:r>
      <w:r>
        <w:rPr>
          <w:i/>
          <w:sz w:val="16"/>
        </w:rPr>
        <w:t>Fábrica</w:t>
      </w:r>
      <w:r>
        <w:rPr>
          <w:i/>
          <w:spacing w:val="4"/>
          <w:sz w:val="16"/>
        </w:rPr>
        <w:t xml:space="preserve"> </w:t>
      </w:r>
      <w:r>
        <w:rPr>
          <w:i/>
          <w:sz w:val="16"/>
        </w:rPr>
        <w:t>de</w:t>
      </w:r>
      <w:r>
        <w:rPr>
          <w:i/>
          <w:spacing w:val="6"/>
          <w:sz w:val="16"/>
        </w:rPr>
        <w:t xml:space="preserve"> </w:t>
      </w:r>
      <w:r>
        <w:rPr>
          <w:i/>
          <w:sz w:val="16"/>
        </w:rPr>
        <w:t>Fuegos</w:t>
      </w:r>
      <w:r>
        <w:rPr>
          <w:i/>
          <w:spacing w:val="7"/>
          <w:sz w:val="16"/>
        </w:rPr>
        <w:t xml:space="preserve"> </w:t>
      </w:r>
      <w:r>
        <w:rPr>
          <w:i/>
          <w:sz w:val="16"/>
        </w:rPr>
        <w:t>en</w:t>
      </w:r>
      <w:r>
        <w:rPr>
          <w:i/>
          <w:spacing w:val="5"/>
          <w:sz w:val="16"/>
        </w:rPr>
        <w:t xml:space="preserve"> </w:t>
      </w:r>
      <w:r>
        <w:rPr>
          <w:i/>
          <w:sz w:val="16"/>
        </w:rPr>
        <w:t>Santo</w:t>
      </w:r>
      <w:r>
        <w:rPr>
          <w:i/>
          <w:spacing w:val="5"/>
          <w:sz w:val="16"/>
        </w:rPr>
        <w:t xml:space="preserve"> </w:t>
      </w:r>
      <w:r>
        <w:rPr>
          <w:i/>
          <w:sz w:val="16"/>
        </w:rPr>
        <w:t>Antônio</w:t>
      </w:r>
      <w:r>
        <w:rPr>
          <w:i/>
          <w:spacing w:val="9"/>
          <w:sz w:val="16"/>
        </w:rPr>
        <w:t xml:space="preserve"> </w:t>
      </w:r>
      <w:r>
        <w:rPr>
          <w:i/>
          <w:sz w:val="16"/>
        </w:rPr>
        <w:t>de</w:t>
      </w:r>
      <w:r>
        <w:rPr>
          <w:i/>
          <w:spacing w:val="7"/>
          <w:sz w:val="16"/>
        </w:rPr>
        <w:t xml:space="preserve"> </w:t>
      </w:r>
      <w:r>
        <w:rPr>
          <w:i/>
          <w:sz w:val="16"/>
        </w:rPr>
        <w:t>Jesus</w:t>
      </w:r>
      <w:r>
        <w:rPr>
          <w:i/>
          <w:spacing w:val="6"/>
          <w:sz w:val="16"/>
        </w:rPr>
        <w:t xml:space="preserve"> </w:t>
      </w:r>
      <w:r>
        <w:rPr>
          <w:i/>
          <w:sz w:val="16"/>
        </w:rPr>
        <w:t>y</w:t>
      </w:r>
      <w:r>
        <w:rPr>
          <w:i/>
          <w:spacing w:val="6"/>
          <w:sz w:val="16"/>
        </w:rPr>
        <w:t xml:space="preserve"> </w:t>
      </w:r>
      <w:r>
        <w:rPr>
          <w:i/>
          <w:sz w:val="16"/>
        </w:rPr>
        <w:t>sus</w:t>
      </w:r>
      <w:r>
        <w:rPr>
          <w:i/>
          <w:spacing w:val="5"/>
          <w:sz w:val="16"/>
        </w:rPr>
        <w:t xml:space="preserve"> </w:t>
      </w:r>
      <w:r>
        <w:rPr>
          <w:i/>
          <w:sz w:val="16"/>
        </w:rPr>
        <w:t>familiares</w:t>
      </w:r>
      <w:r>
        <w:rPr>
          <w:i/>
          <w:spacing w:val="6"/>
          <w:sz w:val="16"/>
        </w:rPr>
        <w:t xml:space="preserve"> </w:t>
      </w:r>
      <w:r>
        <w:rPr>
          <w:i/>
          <w:sz w:val="16"/>
        </w:rPr>
        <w:t>Vs.</w:t>
      </w:r>
      <w:r>
        <w:rPr>
          <w:i/>
          <w:spacing w:val="4"/>
          <w:sz w:val="16"/>
        </w:rPr>
        <w:t xml:space="preserve"> </w:t>
      </w:r>
      <w:r>
        <w:rPr>
          <w:i/>
          <w:sz w:val="16"/>
        </w:rPr>
        <w:t>Brasil,</w:t>
      </w:r>
      <w:r>
        <w:rPr>
          <w:i/>
          <w:spacing w:val="7"/>
          <w:sz w:val="16"/>
        </w:rPr>
        <w:t xml:space="preserve"> </w:t>
      </w:r>
      <w:r>
        <w:rPr>
          <w:i/>
          <w:sz w:val="16"/>
        </w:rPr>
        <w:t>supra,</w:t>
      </w:r>
    </w:p>
    <w:p w14:paraId="1ED0178A" w14:textId="77777777" w:rsidR="00467FCA" w:rsidRDefault="001B68EB">
      <w:pPr>
        <w:ind w:left="458"/>
        <w:jc w:val="both"/>
        <w:rPr>
          <w:sz w:val="16"/>
        </w:rPr>
      </w:pPr>
      <w:r>
        <w:rPr>
          <w:sz w:val="16"/>
        </w:rPr>
        <w:t>párrs. 138 y 203.</w:t>
      </w:r>
    </w:p>
    <w:p w14:paraId="3023CC45" w14:textId="77777777" w:rsidR="00467FCA" w:rsidRDefault="00467FCA">
      <w:pPr>
        <w:jc w:val="both"/>
        <w:rPr>
          <w:sz w:val="16"/>
        </w:rPr>
        <w:sectPr w:rsidR="00467FCA">
          <w:pgSz w:w="12240" w:h="15840"/>
          <w:pgMar w:top="1340" w:right="1140" w:bottom="920" w:left="960" w:header="0" w:footer="734" w:gutter="0"/>
          <w:cols w:space="720"/>
        </w:sectPr>
      </w:pPr>
    </w:p>
    <w:p w14:paraId="68604350" w14:textId="77777777" w:rsidR="00467FCA" w:rsidRDefault="001B68EB">
      <w:pPr>
        <w:pStyle w:val="Prrafodelista"/>
        <w:numPr>
          <w:ilvl w:val="0"/>
          <w:numId w:val="9"/>
        </w:numPr>
        <w:tabs>
          <w:tab w:val="left" w:pos="1167"/>
        </w:tabs>
        <w:spacing w:before="79"/>
        <w:ind w:right="274" w:firstLine="0"/>
        <w:jc w:val="both"/>
        <w:rPr>
          <w:sz w:val="20"/>
        </w:rPr>
      </w:pPr>
      <w:r>
        <w:rPr>
          <w:sz w:val="20"/>
        </w:rPr>
        <w:t xml:space="preserve">En la sentencia se invocan los </w:t>
      </w:r>
      <w:r>
        <w:rPr>
          <w:i/>
          <w:sz w:val="20"/>
        </w:rPr>
        <w:t xml:space="preserve">Principios Rectores de Naciones Unidas sobre las Empresas y los Derechos </w:t>
      </w:r>
      <w:r>
        <w:rPr>
          <w:sz w:val="20"/>
        </w:rPr>
        <w:t xml:space="preserve">Humanos (en adelante “los PREDH” o los </w:t>
      </w:r>
      <w:r>
        <w:rPr>
          <w:i/>
          <w:sz w:val="20"/>
        </w:rPr>
        <w:t>“</w:t>
      </w:r>
      <w:r>
        <w:rPr>
          <w:sz w:val="20"/>
        </w:rPr>
        <w:t>principios de Ruggie”) para</w:t>
      </w:r>
      <w:r>
        <w:rPr>
          <w:spacing w:val="-13"/>
          <w:sz w:val="20"/>
        </w:rPr>
        <w:t xml:space="preserve"> </w:t>
      </w:r>
      <w:r>
        <w:rPr>
          <w:sz w:val="20"/>
        </w:rPr>
        <w:t>“reforzar”</w:t>
      </w:r>
      <w:r>
        <w:rPr>
          <w:spacing w:val="-14"/>
          <w:sz w:val="20"/>
        </w:rPr>
        <w:t xml:space="preserve"> </w:t>
      </w:r>
      <w:r>
        <w:rPr>
          <w:sz w:val="20"/>
        </w:rPr>
        <w:t>las</w:t>
      </w:r>
      <w:r>
        <w:rPr>
          <w:spacing w:val="-14"/>
          <w:sz w:val="20"/>
        </w:rPr>
        <w:t xml:space="preserve"> </w:t>
      </w:r>
      <w:r>
        <w:rPr>
          <w:sz w:val="20"/>
        </w:rPr>
        <w:t>obligaciones</w:t>
      </w:r>
      <w:r>
        <w:rPr>
          <w:spacing w:val="-14"/>
          <w:sz w:val="20"/>
        </w:rPr>
        <w:t xml:space="preserve"> </w:t>
      </w:r>
      <w:r>
        <w:rPr>
          <w:sz w:val="20"/>
        </w:rPr>
        <w:t>estatales</w:t>
      </w:r>
      <w:r>
        <w:rPr>
          <w:spacing w:val="-14"/>
          <w:sz w:val="20"/>
        </w:rPr>
        <w:t xml:space="preserve"> </w:t>
      </w:r>
      <w:r>
        <w:rPr>
          <w:sz w:val="20"/>
        </w:rPr>
        <w:t>frente</w:t>
      </w:r>
      <w:r>
        <w:rPr>
          <w:spacing w:val="-10"/>
          <w:sz w:val="20"/>
        </w:rPr>
        <w:t xml:space="preserve"> </w:t>
      </w:r>
      <w:r>
        <w:rPr>
          <w:sz w:val="20"/>
        </w:rPr>
        <w:t>a</w:t>
      </w:r>
      <w:r>
        <w:rPr>
          <w:spacing w:val="-13"/>
          <w:sz w:val="20"/>
        </w:rPr>
        <w:t xml:space="preserve"> </w:t>
      </w:r>
      <w:r>
        <w:rPr>
          <w:sz w:val="20"/>
        </w:rPr>
        <w:t>las</w:t>
      </w:r>
      <w:r>
        <w:rPr>
          <w:spacing w:val="-14"/>
          <w:sz w:val="20"/>
        </w:rPr>
        <w:t xml:space="preserve"> </w:t>
      </w:r>
      <w:r>
        <w:rPr>
          <w:sz w:val="20"/>
        </w:rPr>
        <w:t>actividades</w:t>
      </w:r>
      <w:r>
        <w:rPr>
          <w:spacing w:val="-12"/>
          <w:sz w:val="20"/>
        </w:rPr>
        <w:t xml:space="preserve"> </w:t>
      </w:r>
      <w:r>
        <w:rPr>
          <w:sz w:val="20"/>
        </w:rPr>
        <w:t>empresariales</w:t>
      </w:r>
      <w:r>
        <w:rPr>
          <w:spacing w:val="-12"/>
          <w:sz w:val="20"/>
        </w:rPr>
        <w:t xml:space="preserve"> </w:t>
      </w:r>
      <w:r>
        <w:rPr>
          <w:sz w:val="20"/>
        </w:rPr>
        <w:t>—en</w:t>
      </w:r>
      <w:r>
        <w:rPr>
          <w:spacing w:val="-13"/>
          <w:sz w:val="20"/>
        </w:rPr>
        <w:t xml:space="preserve"> </w:t>
      </w:r>
      <w:r>
        <w:rPr>
          <w:sz w:val="20"/>
        </w:rPr>
        <w:t>este</w:t>
      </w:r>
      <w:r>
        <w:rPr>
          <w:spacing w:val="-12"/>
          <w:sz w:val="20"/>
        </w:rPr>
        <w:t xml:space="preserve"> </w:t>
      </w:r>
      <w:r>
        <w:rPr>
          <w:sz w:val="20"/>
        </w:rPr>
        <w:t>caso de carácter peligroso o de alto riesgo—</w:t>
      </w:r>
      <w:hyperlink w:anchor="_bookmark694" w:history="1">
        <w:r>
          <w:rPr>
            <w:position w:val="7"/>
            <w:sz w:val="13"/>
          </w:rPr>
          <w:t>12</w:t>
        </w:r>
      </w:hyperlink>
      <w:r>
        <w:rPr>
          <w:sz w:val="20"/>
        </w:rPr>
        <w:t>. Si bien no es la primera ocasión que la Corte IDH recurre</w:t>
      </w:r>
      <w:r>
        <w:rPr>
          <w:spacing w:val="-19"/>
          <w:sz w:val="20"/>
        </w:rPr>
        <w:t xml:space="preserve"> </w:t>
      </w:r>
      <w:r>
        <w:rPr>
          <w:sz w:val="20"/>
        </w:rPr>
        <w:t>a</w:t>
      </w:r>
      <w:r>
        <w:rPr>
          <w:spacing w:val="-16"/>
          <w:sz w:val="20"/>
        </w:rPr>
        <w:t xml:space="preserve"> </w:t>
      </w:r>
      <w:r>
        <w:rPr>
          <w:sz w:val="20"/>
        </w:rPr>
        <w:t>los</w:t>
      </w:r>
      <w:r>
        <w:rPr>
          <w:spacing w:val="-16"/>
          <w:sz w:val="20"/>
        </w:rPr>
        <w:t xml:space="preserve"> </w:t>
      </w:r>
      <w:r>
        <w:rPr>
          <w:sz w:val="20"/>
        </w:rPr>
        <w:t>PREDH</w:t>
      </w:r>
      <w:hyperlink w:anchor="_bookmark695" w:history="1">
        <w:r>
          <w:rPr>
            <w:position w:val="7"/>
            <w:sz w:val="13"/>
          </w:rPr>
          <w:t>13</w:t>
        </w:r>
      </w:hyperlink>
      <w:r>
        <w:rPr>
          <w:sz w:val="20"/>
        </w:rPr>
        <w:t>,</w:t>
      </w:r>
      <w:r>
        <w:rPr>
          <w:spacing w:val="36"/>
          <w:sz w:val="20"/>
        </w:rPr>
        <w:t xml:space="preserve"> </w:t>
      </w:r>
      <w:r>
        <w:rPr>
          <w:sz w:val="20"/>
        </w:rPr>
        <w:t>es</w:t>
      </w:r>
      <w:r>
        <w:rPr>
          <w:spacing w:val="-15"/>
          <w:sz w:val="20"/>
        </w:rPr>
        <w:t xml:space="preserve"> </w:t>
      </w:r>
      <w:r>
        <w:rPr>
          <w:sz w:val="20"/>
        </w:rPr>
        <w:t>el</w:t>
      </w:r>
      <w:r>
        <w:rPr>
          <w:spacing w:val="-17"/>
          <w:sz w:val="20"/>
        </w:rPr>
        <w:t xml:space="preserve"> </w:t>
      </w:r>
      <w:r>
        <w:rPr>
          <w:sz w:val="20"/>
        </w:rPr>
        <w:t>primer</w:t>
      </w:r>
      <w:r>
        <w:rPr>
          <w:spacing w:val="-15"/>
          <w:sz w:val="20"/>
        </w:rPr>
        <w:t xml:space="preserve"> </w:t>
      </w:r>
      <w:r>
        <w:rPr>
          <w:sz w:val="20"/>
        </w:rPr>
        <w:t>caso</w:t>
      </w:r>
      <w:r>
        <w:rPr>
          <w:spacing w:val="-16"/>
          <w:sz w:val="20"/>
        </w:rPr>
        <w:t xml:space="preserve"> </w:t>
      </w:r>
      <w:r>
        <w:rPr>
          <w:sz w:val="20"/>
        </w:rPr>
        <w:t>en</w:t>
      </w:r>
      <w:r>
        <w:rPr>
          <w:spacing w:val="-15"/>
          <w:sz w:val="20"/>
        </w:rPr>
        <w:t xml:space="preserve"> </w:t>
      </w:r>
      <w:r>
        <w:rPr>
          <w:sz w:val="20"/>
        </w:rPr>
        <w:t>donde</w:t>
      </w:r>
      <w:r>
        <w:rPr>
          <w:spacing w:val="-16"/>
          <w:sz w:val="20"/>
        </w:rPr>
        <w:t xml:space="preserve"> </w:t>
      </w:r>
      <w:r>
        <w:rPr>
          <w:sz w:val="20"/>
        </w:rPr>
        <w:t>la</w:t>
      </w:r>
      <w:r>
        <w:rPr>
          <w:spacing w:val="-16"/>
          <w:sz w:val="20"/>
        </w:rPr>
        <w:t xml:space="preserve"> </w:t>
      </w:r>
      <w:r>
        <w:rPr>
          <w:sz w:val="20"/>
        </w:rPr>
        <w:t>ap</w:t>
      </w:r>
      <w:r>
        <w:rPr>
          <w:sz w:val="20"/>
        </w:rPr>
        <w:t>licación</w:t>
      </w:r>
      <w:r>
        <w:rPr>
          <w:spacing w:val="-16"/>
          <w:sz w:val="20"/>
        </w:rPr>
        <w:t xml:space="preserve"> </w:t>
      </w:r>
      <w:r>
        <w:rPr>
          <w:sz w:val="20"/>
        </w:rPr>
        <w:t>de</w:t>
      </w:r>
      <w:r>
        <w:rPr>
          <w:spacing w:val="-15"/>
          <w:sz w:val="20"/>
        </w:rPr>
        <w:t xml:space="preserve"> </w:t>
      </w:r>
      <w:r>
        <w:rPr>
          <w:sz w:val="20"/>
        </w:rPr>
        <w:t>lo</w:t>
      </w:r>
      <w:r>
        <w:rPr>
          <w:spacing w:val="-16"/>
          <w:sz w:val="20"/>
        </w:rPr>
        <w:t xml:space="preserve"> </w:t>
      </w:r>
      <w:r>
        <w:rPr>
          <w:sz w:val="20"/>
        </w:rPr>
        <w:t>contenido</w:t>
      </w:r>
      <w:r>
        <w:rPr>
          <w:spacing w:val="-18"/>
          <w:sz w:val="20"/>
        </w:rPr>
        <w:t xml:space="preserve"> </w:t>
      </w:r>
      <w:r>
        <w:rPr>
          <w:sz w:val="20"/>
        </w:rPr>
        <w:t>en</w:t>
      </w:r>
      <w:r>
        <w:rPr>
          <w:spacing w:val="-16"/>
          <w:sz w:val="20"/>
        </w:rPr>
        <w:t xml:space="preserve"> </w:t>
      </w:r>
      <w:r>
        <w:rPr>
          <w:sz w:val="20"/>
        </w:rPr>
        <w:t>los</w:t>
      </w:r>
      <w:r>
        <w:rPr>
          <w:spacing w:val="-18"/>
          <w:sz w:val="20"/>
        </w:rPr>
        <w:t xml:space="preserve"> </w:t>
      </w:r>
      <w:r>
        <w:rPr>
          <w:sz w:val="20"/>
        </w:rPr>
        <w:t>referidos principios</w:t>
      </w:r>
      <w:r>
        <w:rPr>
          <w:spacing w:val="-19"/>
          <w:sz w:val="20"/>
        </w:rPr>
        <w:t xml:space="preserve"> </w:t>
      </w:r>
      <w:r>
        <w:rPr>
          <w:sz w:val="20"/>
        </w:rPr>
        <w:t>encuentra</w:t>
      </w:r>
      <w:r>
        <w:rPr>
          <w:spacing w:val="-21"/>
          <w:sz w:val="20"/>
        </w:rPr>
        <w:t xml:space="preserve"> </w:t>
      </w:r>
      <w:r>
        <w:rPr>
          <w:sz w:val="20"/>
        </w:rPr>
        <w:t>un</w:t>
      </w:r>
      <w:r>
        <w:rPr>
          <w:spacing w:val="-17"/>
          <w:sz w:val="20"/>
        </w:rPr>
        <w:t xml:space="preserve"> </w:t>
      </w:r>
      <w:r>
        <w:rPr>
          <w:sz w:val="20"/>
        </w:rPr>
        <w:t>encuadre</w:t>
      </w:r>
      <w:r>
        <w:rPr>
          <w:spacing w:val="-21"/>
          <w:sz w:val="20"/>
        </w:rPr>
        <w:t xml:space="preserve"> </w:t>
      </w:r>
      <w:r>
        <w:rPr>
          <w:sz w:val="20"/>
        </w:rPr>
        <w:t>armónico</w:t>
      </w:r>
      <w:r>
        <w:rPr>
          <w:spacing w:val="-20"/>
          <w:sz w:val="20"/>
        </w:rPr>
        <w:t xml:space="preserve"> </w:t>
      </w:r>
      <w:r>
        <w:rPr>
          <w:sz w:val="20"/>
        </w:rPr>
        <w:t>en</w:t>
      </w:r>
      <w:r>
        <w:rPr>
          <w:spacing w:val="-20"/>
          <w:sz w:val="20"/>
        </w:rPr>
        <w:t xml:space="preserve"> </w:t>
      </w:r>
      <w:r>
        <w:rPr>
          <w:sz w:val="20"/>
        </w:rPr>
        <w:t>cuanto</w:t>
      </w:r>
      <w:r>
        <w:rPr>
          <w:spacing w:val="-21"/>
          <w:sz w:val="20"/>
        </w:rPr>
        <w:t xml:space="preserve"> </w:t>
      </w:r>
      <w:r>
        <w:rPr>
          <w:sz w:val="20"/>
        </w:rPr>
        <w:t>a</w:t>
      </w:r>
      <w:r>
        <w:rPr>
          <w:spacing w:val="-21"/>
          <w:sz w:val="20"/>
        </w:rPr>
        <w:t xml:space="preserve"> </w:t>
      </w:r>
      <w:r>
        <w:rPr>
          <w:sz w:val="20"/>
        </w:rPr>
        <w:t>las</w:t>
      </w:r>
      <w:r>
        <w:rPr>
          <w:spacing w:val="-18"/>
          <w:sz w:val="20"/>
        </w:rPr>
        <w:t xml:space="preserve"> </w:t>
      </w:r>
      <w:r>
        <w:rPr>
          <w:sz w:val="20"/>
        </w:rPr>
        <w:t>obligaciones</w:t>
      </w:r>
      <w:r>
        <w:rPr>
          <w:spacing w:val="-19"/>
          <w:sz w:val="20"/>
        </w:rPr>
        <w:t xml:space="preserve"> </w:t>
      </w:r>
      <w:r>
        <w:rPr>
          <w:sz w:val="20"/>
        </w:rPr>
        <w:t>que</w:t>
      </w:r>
      <w:r>
        <w:rPr>
          <w:spacing w:val="-22"/>
          <w:sz w:val="20"/>
        </w:rPr>
        <w:t xml:space="preserve"> </w:t>
      </w:r>
      <w:r>
        <w:rPr>
          <w:sz w:val="20"/>
        </w:rPr>
        <w:t>se</w:t>
      </w:r>
      <w:r>
        <w:rPr>
          <w:spacing w:val="-22"/>
          <w:sz w:val="20"/>
        </w:rPr>
        <w:t xml:space="preserve"> </w:t>
      </w:r>
      <w:r>
        <w:rPr>
          <w:sz w:val="20"/>
        </w:rPr>
        <w:t>deben</w:t>
      </w:r>
      <w:r>
        <w:rPr>
          <w:spacing w:val="-17"/>
          <w:sz w:val="20"/>
        </w:rPr>
        <w:t xml:space="preserve"> </w:t>
      </w:r>
      <w:r>
        <w:rPr>
          <w:sz w:val="20"/>
        </w:rPr>
        <w:t>observar desde los artículos 1.1 y 2 del Pacto de San José, así como de otros instrumentos internacionales</w:t>
      </w:r>
      <w:r>
        <w:rPr>
          <w:spacing w:val="-7"/>
          <w:sz w:val="20"/>
        </w:rPr>
        <w:t xml:space="preserve"> </w:t>
      </w:r>
      <w:r>
        <w:rPr>
          <w:sz w:val="20"/>
        </w:rPr>
        <w:t>(como</w:t>
      </w:r>
      <w:r>
        <w:rPr>
          <w:spacing w:val="-7"/>
          <w:sz w:val="20"/>
        </w:rPr>
        <w:t xml:space="preserve"> </w:t>
      </w:r>
      <w:r>
        <w:rPr>
          <w:sz w:val="20"/>
        </w:rPr>
        <w:t>los</w:t>
      </w:r>
      <w:r>
        <w:rPr>
          <w:spacing w:val="-6"/>
          <w:sz w:val="20"/>
        </w:rPr>
        <w:t xml:space="preserve"> </w:t>
      </w:r>
      <w:r>
        <w:rPr>
          <w:sz w:val="20"/>
        </w:rPr>
        <w:t>Convenios</w:t>
      </w:r>
      <w:r>
        <w:rPr>
          <w:spacing w:val="-7"/>
          <w:sz w:val="20"/>
        </w:rPr>
        <w:t xml:space="preserve"> </w:t>
      </w:r>
      <w:r>
        <w:rPr>
          <w:sz w:val="20"/>
        </w:rPr>
        <w:t>81</w:t>
      </w:r>
      <w:r>
        <w:rPr>
          <w:spacing w:val="-5"/>
          <w:sz w:val="20"/>
        </w:rPr>
        <w:t xml:space="preserve"> </w:t>
      </w:r>
      <w:r>
        <w:rPr>
          <w:sz w:val="20"/>
        </w:rPr>
        <w:t>y</w:t>
      </w:r>
      <w:r>
        <w:rPr>
          <w:spacing w:val="-7"/>
          <w:sz w:val="20"/>
        </w:rPr>
        <w:t xml:space="preserve"> </w:t>
      </w:r>
      <w:r>
        <w:rPr>
          <w:sz w:val="20"/>
        </w:rPr>
        <w:t>155</w:t>
      </w:r>
      <w:r>
        <w:rPr>
          <w:spacing w:val="-3"/>
          <w:sz w:val="20"/>
        </w:rPr>
        <w:t xml:space="preserve"> </w:t>
      </w:r>
      <w:r>
        <w:rPr>
          <w:sz w:val="20"/>
        </w:rPr>
        <w:t>de</w:t>
      </w:r>
      <w:r>
        <w:rPr>
          <w:spacing w:val="-7"/>
          <w:sz w:val="20"/>
        </w:rPr>
        <w:t xml:space="preserve"> </w:t>
      </w:r>
      <w:r>
        <w:rPr>
          <w:sz w:val="20"/>
        </w:rPr>
        <w:t>la</w:t>
      </w:r>
      <w:r>
        <w:rPr>
          <w:spacing w:val="-6"/>
          <w:sz w:val="20"/>
        </w:rPr>
        <w:t xml:space="preserve"> </w:t>
      </w:r>
      <w:r>
        <w:rPr>
          <w:sz w:val="20"/>
        </w:rPr>
        <w:t>Organización</w:t>
      </w:r>
      <w:r>
        <w:rPr>
          <w:spacing w:val="-4"/>
          <w:sz w:val="20"/>
        </w:rPr>
        <w:t xml:space="preserve"> </w:t>
      </w:r>
      <w:r>
        <w:rPr>
          <w:sz w:val="20"/>
        </w:rPr>
        <w:t>Internacional</w:t>
      </w:r>
      <w:r>
        <w:rPr>
          <w:spacing w:val="-5"/>
          <w:sz w:val="20"/>
        </w:rPr>
        <w:t xml:space="preserve"> </w:t>
      </w:r>
      <w:r>
        <w:rPr>
          <w:sz w:val="20"/>
        </w:rPr>
        <w:t>del</w:t>
      </w:r>
      <w:r>
        <w:rPr>
          <w:spacing w:val="-6"/>
          <w:sz w:val="20"/>
        </w:rPr>
        <w:t xml:space="preserve"> </w:t>
      </w:r>
      <w:r>
        <w:rPr>
          <w:sz w:val="20"/>
        </w:rPr>
        <w:t>Trabajo)</w:t>
      </w:r>
      <w:r>
        <w:rPr>
          <w:spacing w:val="-3"/>
          <w:sz w:val="20"/>
        </w:rPr>
        <w:t xml:space="preserve"> </w:t>
      </w:r>
      <w:r>
        <w:rPr>
          <w:sz w:val="20"/>
        </w:rPr>
        <w:t>y las</w:t>
      </w:r>
      <w:r>
        <w:rPr>
          <w:spacing w:val="34"/>
          <w:sz w:val="20"/>
        </w:rPr>
        <w:t xml:space="preserve"> </w:t>
      </w:r>
      <w:r>
        <w:rPr>
          <w:sz w:val="20"/>
        </w:rPr>
        <w:t>interpretaciones</w:t>
      </w:r>
      <w:r>
        <w:rPr>
          <w:spacing w:val="-18"/>
          <w:sz w:val="20"/>
        </w:rPr>
        <w:t xml:space="preserve"> </w:t>
      </w:r>
      <w:r>
        <w:rPr>
          <w:sz w:val="20"/>
        </w:rPr>
        <w:t>que</w:t>
      </w:r>
      <w:r>
        <w:rPr>
          <w:spacing w:val="-18"/>
          <w:sz w:val="20"/>
        </w:rPr>
        <w:t xml:space="preserve"> </w:t>
      </w:r>
      <w:r>
        <w:rPr>
          <w:sz w:val="20"/>
        </w:rPr>
        <w:t>contemplan</w:t>
      </w:r>
      <w:r>
        <w:rPr>
          <w:spacing w:val="-15"/>
          <w:sz w:val="20"/>
        </w:rPr>
        <w:t xml:space="preserve"> </w:t>
      </w:r>
      <w:r>
        <w:rPr>
          <w:sz w:val="20"/>
        </w:rPr>
        <w:t>obligaciones</w:t>
      </w:r>
      <w:r>
        <w:rPr>
          <w:spacing w:val="-20"/>
          <w:sz w:val="20"/>
        </w:rPr>
        <w:t xml:space="preserve"> </w:t>
      </w:r>
      <w:r>
        <w:rPr>
          <w:sz w:val="20"/>
        </w:rPr>
        <w:t>para</w:t>
      </w:r>
      <w:r>
        <w:rPr>
          <w:spacing w:val="-19"/>
          <w:sz w:val="20"/>
        </w:rPr>
        <w:t xml:space="preserve"> </w:t>
      </w:r>
      <w:r>
        <w:rPr>
          <w:sz w:val="20"/>
        </w:rPr>
        <w:t>los</w:t>
      </w:r>
      <w:r>
        <w:rPr>
          <w:spacing w:val="-17"/>
          <w:sz w:val="20"/>
        </w:rPr>
        <w:t xml:space="preserve"> </w:t>
      </w:r>
      <w:r>
        <w:rPr>
          <w:sz w:val="20"/>
        </w:rPr>
        <w:t>Estados</w:t>
      </w:r>
      <w:r>
        <w:rPr>
          <w:spacing w:val="-17"/>
          <w:sz w:val="20"/>
        </w:rPr>
        <w:t xml:space="preserve"> </w:t>
      </w:r>
      <w:r>
        <w:rPr>
          <w:sz w:val="20"/>
        </w:rPr>
        <w:t>en</w:t>
      </w:r>
      <w:r>
        <w:rPr>
          <w:spacing w:val="-16"/>
          <w:sz w:val="20"/>
        </w:rPr>
        <w:t xml:space="preserve"> </w:t>
      </w:r>
      <w:r>
        <w:rPr>
          <w:sz w:val="20"/>
        </w:rPr>
        <w:t>est</w:t>
      </w:r>
      <w:r>
        <w:rPr>
          <w:sz w:val="20"/>
        </w:rPr>
        <w:t>e</w:t>
      </w:r>
      <w:r>
        <w:rPr>
          <w:spacing w:val="-20"/>
          <w:sz w:val="20"/>
        </w:rPr>
        <w:t xml:space="preserve"> </w:t>
      </w:r>
      <w:r>
        <w:rPr>
          <w:sz w:val="20"/>
        </w:rPr>
        <w:t>tipo</w:t>
      </w:r>
      <w:r>
        <w:rPr>
          <w:spacing w:val="-20"/>
          <w:sz w:val="20"/>
        </w:rPr>
        <w:t xml:space="preserve"> </w:t>
      </w:r>
      <w:r>
        <w:rPr>
          <w:sz w:val="20"/>
        </w:rPr>
        <w:t>de</w:t>
      </w:r>
      <w:r>
        <w:rPr>
          <w:spacing w:val="-18"/>
          <w:sz w:val="20"/>
        </w:rPr>
        <w:t xml:space="preserve"> </w:t>
      </w:r>
      <w:r>
        <w:rPr>
          <w:sz w:val="20"/>
        </w:rPr>
        <w:t>contextos</w:t>
      </w:r>
      <w:hyperlink w:anchor="_bookmark696" w:history="1">
        <w:r>
          <w:rPr>
            <w:position w:val="7"/>
            <w:sz w:val="13"/>
          </w:rPr>
          <w:t>14</w:t>
        </w:r>
      </w:hyperlink>
      <w:r>
        <w:rPr>
          <w:sz w:val="20"/>
        </w:rPr>
        <w:t>.</w:t>
      </w:r>
    </w:p>
    <w:p w14:paraId="50034282" w14:textId="77777777" w:rsidR="00467FCA" w:rsidRDefault="00467FCA">
      <w:pPr>
        <w:pStyle w:val="Textoindependiente"/>
      </w:pPr>
    </w:p>
    <w:p w14:paraId="281B4507" w14:textId="77777777" w:rsidR="00467FCA" w:rsidRDefault="001B68EB">
      <w:pPr>
        <w:pStyle w:val="Prrafodelista"/>
        <w:numPr>
          <w:ilvl w:val="0"/>
          <w:numId w:val="9"/>
        </w:numPr>
        <w:tabs>
          <w:tab w:val="left" w:pos="1167"/>
        </w:tabs>
        <w:ind w:right="275" w:hanging="1"/>
        <w:jc w:val="both"/>
        <w:rPr>
          <w:sz w:val="20"/>
        </w:rPr>
      </w:pPr>
      <w:r>
        <w:rPr>
          <w:sz w:val="20"/>
        </w:rPr>
        <w:t>De este modo, los principios de Ruggie, parten de la idea de que los Estados deben velar por tres principios (u obligaciones básicas) en el contexto de actividades empresariales que</w:t>
      </w:r>
      <w:r>
        <w:rPr>
          <w:spacing w:val="-19"/>
          <w:sz w:val="20"/>
        </w:rPr>
        <w:t xml:space="preserve"> </w:t>
      </w:r>
      <w:r>
        <w:rPr>
          <w:sz w:val="20"/>
        </w:rPr>
        <w:t>se</w:t>
      </w:r>
      <w:r>
        <w:rPr>
          <w:spacing w:val="-17"/>
          <w:sz w:val="20"/>
        </w:rPr>
        <w:t xml:space="preserve"> </w:t>
      </w:r>
      <w:r>
        <w:rPr>
          <w:sz w:val="20"/>
        </w:rPr>
        <w:t>encuentren</w:t>
      </w:r>
      <w:r>
        <w:rPr>
          <w:spacing w:val="-16"/>
          <w:sz w:val="20"/>
        </w:rPr>
        <w:t xml:space="preserve"> </w:t>
      </w:r>
      <w:r>
        <w:rPr>
          <w:sz w:val="20"/>
        </w:rPr>
        <w:t>bajo</w:t>
      </w:r>
      <w:r>
        <w:rPr>
          <w:spacing w:val="-16"/>
          <w:sz w:val="20"/>
        </w:rPr>
        <w:t xml:space="preserve"> </w:t>
      </w:r>
      <w:r>
        <w:rPr>
          <w:sz w:val="20"/>
        </w:rPr>
        <w:t>su</w:t>
      </w:r>
      <w:r>
        <w:rPr>
          <w:spacing w:val="-16"/>
          <w:sz w:val="20"/>
        </w:rPr>
        <w:t xml:space="preserve"> </w:t>
      </w:r>
      <w:r>
        <w:rPr>
          <w:sz w:val="20"/>
        </w:rPr>
        <w:t>jurisdicción:</w:t>
      </w:r>
      <w:r>
        <w:rPr>
          <w:spacing w:val="-17"/>
          <w:sz w:val="20"/>
        </w:rPr>
        <w:t xml:space="preserve"> </w:t>
      </w:r>
      <w:r>
        <w:rPr>
          <w:i/>
          <w:sz w:val="20"/>
        </w:rPr>
        <w:t>proteger,</w:t>
      </w:r>
      <w:r>
        <w:rPr>
          <w:i/>
          <w:spacing w:val="-18"/>
          <w:sz w:val="20"/>
        </w:rPr>
        <w:t xml:space="preserve"> </w:t>
      </w:r>
      <w:r>
        <w:rPr>
          <w:i/>
          <w:sz w:val="20"/>
        </w:rPr>
        <w:t>respetar</w:t>
      </w:r>
      <w:r>
        <w:rPr>
          <w:i/>
          <w:spacing w:val="-16"/>
          <w:sz w:val="20"/>
        </w:rPr>
        <w:t xml:space="preserve"> </w:t>
      </w:r>
      <w:r>
        <w:rPr>
          <w:i/>
          <w:sz w:val="20"/>
        </w:rPr>
        <w:t>y</w:t>
      </w:r>
      <w:r>
        <w:rPr>
          <w:i/>
          <w:spacing w:val="-15"/>
          <w:sz w:val="20"/>
        </w:rPr>
        <w:t xml:space="preserve"> </w:t>
      </w:r>
      <w:r>
        <w:rPr>
          <w:i/>
          <w:sz w:val="20"/>
        </w:rPr>
        <w:t>remediar</w:t>
      </w:r>
      <w:r>
        <w:rPr>
          <w:sz w:val="20"/>
        </w:rPr>
        <w:t>.</w:t>
      </w:r>
      <w:r>
        <w:rPr>
          <w:spacing w:val="-17"/>
          <w:sz w:val="20"/>
        </w:rPr>
        <w:t xml:space="preserve"> </w:t>
      </w:r>
      <w:r>
        <w:rPr>
          <w:sz w:val="20"/>
        </w:rPr>
        <w:t>En</w:t>
      </w:r>
      <w:r>
        <w:rPr>
          <w:spacing w:val="-16"/>
          <w:sz w:val="20"/>
        </w:rPr>
        <w:t xml:space="preserve"> </w:t>
      </w:r>
      <w:r>
        <w:rPr>
          <w:sz w:val="20"/>
        </w:rPr>
        <w:t>el</w:t>
      </w:r>
      <w:r>
        <w:rPr>
          <w:spacing w:val="-17"/>
          <w:sz w:val="20"/>
        </w:rPr>
        <w:t xml:space="preserve"> </w:t>
      </w:r>
      <w:r>
        <w:rPr>
          <w:sz w:val="20"/>
        </w:rPr>
        <w:t>p</w:t>
      </w:r>
      <w:r>
        <w:rPr>
          <w:sz w:val="20"/>
        </w:rPr>
        <w:t>resente</w:t>
      </w:r>
      <w:r>
        <w:rPr>
          <w:spacing w:val="-19"/>
          <w:sz w:val="20"/>
        </w:rPr>
        <w:t xml:space="preserve"> </w:t>
      </w:r>
      <w:r>
        <w:rPr>
          <w:sz w:val="20"/>
        </w:rPr>
        <w:t>apartado</w:t>
      </w:r>
    </w:p>
    <w:p w14:paraId="3933E22E" w14:textId="77777777" w:rsidR="00467FCA" w:rsidRDefault="001B68EB">
      <w:pPr>
        <w:pStyle w:val="Textoindependiente"/>
        <w:ind w:left="458" w:right="277"/>
        <w:jc w:val="both"/>
      </w:pPr>
      <w:r>
        <w:t>—dados</w:t>
      </w:r>
      <w:r>
        <w:rPr>
          <w:spacing w:val="-7"/>
        </w:rPr>
        <w:t xml:space="preserve"> </w:t>
      </w:r>
      <w:r>
        <w:t>los</w:t>
      </w:r>
      <w:r>
        <w:rPr>
          <w:spacing w:val="-4"/>
        </w:rPr>
        <w:t xml:space="preserve"> </w:t>
      </w:r>
      <w:r>
        <w:t>hechos</w:t>
      </w:r>
      <w:r>
        <w:rPr>
          <w:spacing w:val="-6"/>
        </w:rPr>
        <w:t xml:space="preserve"> </w:t>
      </w:r>
      <w:r>
        <w:t>del</w:t>
      </w:r>
      <w:r>
        <w:rPr>
          <w:spacing w:val="-5"/>
        </w:rPr>
        <w:t xml:space="preserve"> </w:t>
      </w:r>
      <w:r>
        <w:t>caso,</w:t>
      </w:r>
      <w:r>
        <w:rPr>
          <w:spacing w:val="-4"/>
        </w:rPr>
        <w:t xml:space="preserve"> </w:t>
      </w:r>
      <w:r>
        <w:t>es</w:t>
      </w:r>
      <w:r>
        <w:rPr>
          <w:spacing w:val="-6"/>
        </w:rPr>
        <w:t xml:space="preserve"> </w:t>
      </w:r>
      <w:r>
        <w:t>decir,</w:t>
      </w:r>
      <w:r>
        <w:rPr>
          <w:spacing w:val="-6"/>
        </w:rPr>
        <w:t xml:space="preserve"> </w:t>
      </w:r>
      <w:r>
        <w:t>actuar</w:t>
      </w:r>
      <w:r>
        <w:rPr>
          <w:spacing w:val="-4"/>
        </w:rPr>
        <w:t xml:space="preserve"> </w:t>
      </w:r>
      <w:r>
        <w:t>de</w:t>
      </w:r>
      <w:r>
        <w:rPr>
          <w:spacing w:val="-5"/>
        </w:rPr>
        <w:t xml:space="preserve"> </w:t>
      </w:r>
      <w:r>
        <w:t>particulares—,</w:t>
      </w:r>
      <w:r>
        <w:rPr>
          <w:spacing w:val="-6"/>
        </w:rPr>
        <w:t xml:space="preserve"> </w:t>
      </w:r>
      <w:r>
        <w:t>únicamente</w:t>
      </w:r>
      <w:r>
        <w:rPr>
          <w:spacing w:val="-7"/>
        </w:rPr>
        <w:t xml:space="preserve"> </w:t>
      </w:r>
      <w:r>
        <w:t>me</w:t>
      </w:r>
      <w:r>
        <w:rPr>
          <w:spacing w:val="-4"/>
        </w:rPr>
        <w:t xml:space="preserve"> </w:t>
      </w:r>
      <w:r>
        <w:t>centraré</w:t>
      </w:r>
      <w:r>
        <w:rPr>
          <w:spacing w:val="-4"/>
        </w:rPr>
        <w:t xml:space="preserve"> </w:t>
      </w:r>
      <w:r>
        <w:t>en</w:t>
      </w:r>
      <w:r>
        <w:rPr>
          <w:spacing w:val="-4"/>
        </w:rPr>
        <w:t xml:space="preserve"> </w:t>
      </w:r>
      <w:r>
        <w:t>la obligación de proteger. Sin embargo, las obligaciones de respetar y de remediar, al igual que la de proteger, son fundamentales para la vigencia de los derechos humanos en este tipo de situaciones</w:t>
      </w:r>
      <w:hyperlink w:anchor="_bookmark697" w:history="1">
        <w:r>
          <w:rPr>
            <w:position w:val="7"/>
            <w:sz w:val="13"/>
          </w:rPr>
          <w:t>15</w:t>
        </w:r>
      </w:hyperlink>
      <w:r>
        <w:t>.</w:t>
      </w:r>
    </w:p>
    <w:p w14:paraId="1678C0E0" w14:textId="77777777" w:rsidR="00467FCA" w:rsidRDefault="00467FCA">
      <w:pPr>
        <w:pStyle w:val="Textoindependiente"/>
        <w:spacing w:before="12"/>
        <w:rPr>
          <w:sz w:val="19"/>
        </w:rPr>
      </w:pPr>
    </w:p>
    <w:p w14:paraId="318C13C3" w14:textId="77777777" w:rsidR="00467FCA" w:rsidRDefault="001B68EB">
      <w:pPr>
        <w:pStyle w:val="Prrafodelista"/>
        <w:numPr>
          <w:ilvl w:val="0"/>
          <w:numId w:val="9"/>
        </w:numPr>
        <w:tabs>
          <w:tab w:val="left" w:pos="1167"/>
        </w:tabs>
        <w:ind w:left="457" w:right="273" w:firstLine="0"/>
        <w:jc w:val="both"/>
        <w:rPr>
          <w:sz w:val="20"/>
        </w:rPr>
      </w:pPr>
      <w:r>
        <w:rPr>
          <w:sz w:val="20"/>
        </w:rPr>
        <w:t xml:space="preserve">Los </w:t>
      </w:r>
      <w:r>
        <w:rPr>
          <w:i/>
          <w:sz w:val="20"/>
        </w:rPr>
        <w:t>Principios Recto</w:t>
      </w:r>
      <w:r>
        <w:rPr>
          <w:i/>
          <w:sz w:val="20"/>
        </w:rPr>
        <w:t xml:space="preserve">res sobre las Empresas y los Derechos Humanos </w:t>
      </w:r>
      <w:r>
        <w:rPr>
          <w:sz w:val="20"/>
        </w:rPr>
        <w:t>indican que los Estados “deben proteger contra las violaciones de los derechos humanos cometidas en su territorio y/o jurisdicción por terceros, incluidas las empresas”</w:t>
      </w:r>
      <w:hyperlink w:anchor="_bookmark698" w:history="1">
        <w:r>
          <w:rPr>
            <w:position w:val="7"/>
            <w:sz w:val="13"/>
          </w:rPr>
          <w:t>16</w:t>
        </w:r>
      </w:hyperlink>
      <w:r>
        <w:rPr>
          <w:sz w:val="20"/>
        </w:rPr>
        <w:t>. Lo ant</w:t>
      </w:r>
      <w:r>
        <w:rPr>
          <w:sz w:val="20"/>
        </w:rPr>
        <w:t>erior es relevante debido</w:t>
      </w:r>
      <w:r>
        <w:rPr>
          <w:spacing w:val="-9"/>
          <w:sz w:val="20"/>
        </w:rPr>
        <w:t xml:space="preserve"> </w:t>
      </w:r>
      <w:r>
        <w:rPr>
          <w:sz w:val="20"/>
        </w:rPr>
        <w:t>a</w:t>
      </w:r>
      <w:r>
        <w:rPr>
          <w:spacing w:val="-8"/>
          <w:sz w:val="20"/>
        </w:rPr>
        <w:t xml:space="preserve"> </w:t>
      </w:r>
      <w:r>
        <w:rPr>
          <w:sz w:val="20"/>
        </w:rPr>
        <w:t>que,</w:t>
      </w:r>
      <w:r>
        <w:rPr>
          <w:spacing w:val="-6"/>
          <w:sz w:val="20"/>
        </w:rPr>
        <w:t xml:space="preserve"> </w:t>
      </w:r>
      <w:r>
        <w:rPr>
          <w:sz w:val="20"/>
        </w:rPr>
        <w:t>si</w:t>
      </w:r>
      <w:r>
        <w:rPr>
          <w:spacing w:val="-7"/>
          <w:sz w:val="20"/>
        </w:rPr>
        <w:t xml:space="preserve"> </w:t>
      </w:r>
      <w:r>
        <w:rPr>
          <w:sz w:val="20"/>
        </w:rPr>
        <w:t>bien</w:t>
      </w:r>
      <w:r>
        <w:rPr>
          <w:spacing w:val="-7"/>
          <w:sz w:val="20"/>
        </w:rPr>
        <w:t xml:space="preserve"> </w:t>
      </w:r>
      <w:r>
        <w:rPr>
          <w:sz w:val="20"/>
        </w:rPr>
        <w:t>se</w:t>
      </w:r>
      <w:r>
        <w:rPr>
          <w:spacing w:val="-7"/>
          <w:sz w:val="20"/>
        </w:rPr>
        <w:t xml:space="preserve"> </w:t>
      </w:r>
      <w:r>
        <w:rPr>
          <w:sz w:val="20"/>
        </w:rPr>
        <w:t>entiende</w:t>
      </w:r>
      <w:r>
        <w:rPr>
          <w:spacing w:val="-8"/>
          <w:sz w:val="20"/>
        </w:rPr>
        <w:t xml:space="preserve"> </w:t>
      </w:r>
      <w:r>
        <w:rPr>
          <w:sz w:val="20"/>
        </w:rPr>
        <w:t>que</w:t>
      </w:r>
      <w:r>
        <w:rPr>
          <w:spacing w:val="-9"/>
          <w:sz w:val="20"/>
        </w:rPr>
        <w:t xml:space="preserve"> </w:t>
      </w:r>
      <w:r>
        <w:rPr>
          <w:sz w:val="20"/>
        </w:rPr>
        <w:t>los</w:t>
      </w:r>
      <w:r>
        <w:rPr>
          <w:spacing w:val="-9"/>
          <w:sz w:val="20"/>
        </w:rPr>
        <w:t xml:space="preserve"> </w:t>
      </w:r>
      <w:r>
        <w:rPr>
          <w:sz w:val="20"/>
        </w:rPr>
        <w:t>Estado</w:t>
      </w:r>
      <w:r>
        <w:rPr>
          <w:spacing w:val="-7"/>
          <w:sz w:val="20"/>
        </w:rPr>
        <w:t xml:space="preserve"> </w:t>
      </w:r>
      <w:r>
        <w:rPr>
          <w:sz w:val="20"/>
        </w:rPr>
        <w:t>no</w:t>
      </w:r>
      <w:r>
        <w:rPr>
          <w:spacing w:val="-9"/>
          <w:sz w:val="20"/>
        </w:rPr>
        <w:t xml:space="preserve"> </w:t>
      </w:r>
      <w:r>
        <w:rPr>
          <w:sz w:val="20"/>
        </w:rPr>
        <w:t>son,</w:t>
      </w:r>
      <w:r>
        <w:rPr>
          <w:spacing w:val="-8"/>
          <w:sz w:val="20"/>
        </w:rPr>
        <w:t xml:space="preserve"> </w:t>
      </w:r>
      <w:r>
        <w:rPr>
          <w:i/>
          <w:sz w:val="20"/>
        </w:rPr>
        <w:t>per</w:t>
      </w:r>
      <w:r>
        <w:rPr>
          <w:i/>
          <w:spacing w:val="-7"/>
          <w:sz w:val="20"/>
        </w:rPr>
        <w:t xml:space="preserve"> </w:t>
      </w:r>
      <w:r>
        <w:rPr>
          <w:i/>
          <w:sz w:val="20"/>
        </w:rPr>
        <w:t>se</w:t>
      </w:r>
      <w:r>
        <w:rPr>
          <w:sz w:val="20"/>
        </w:rPr>
        <w:t>,</w:t>
      </w:r>
      <w:r>
        <w:rPr>
          <w:spacing w:val="-9"/>
          <w:sz w:val="20"/>
        </w:rPr>
        <w:t xml:space="preserve"> </w:t>
      </w:r>
      <w:r>
        <w:rPr>
          <w:sz w:val="20"/>
        </w:rPr>
        <w:t>responsables</w:t>
      </w:r>
      <w:r>
        <w:rPr>
          <w:spacing w:val="-9"/>
          <w:sz w:val="20"/>
        </w:rPr>
        <w:t xml:space="preserve"> </w:t>
      </w:r>
      <w:r>
        <w:rPr>
          <w:sz w:val="20"/>
        </w:rPr>
        <w:t>por</w:t>
      </w:r>
      <w:r>
        <w:rPr>
          <w:spacing w:val="-9"/>
          <w:sz w:val="20"/>
        </w:rPr>
        <w:t xml:space="preserve"> </w:t>
      </w:r>
      <w:r>
        <w:rPr>
          <w:sz w:val="20"/>
        </w:rPr>
        <w:t>la</w:t>
      </w:r>
      <w:r>
        <w:rPr>
          <w:spacing w:val="-7"/>
          <w:sz w:val="20"/>
        </w:rPr>
        <w:t xml:space="preserve"> </w:t>
      </w:r>
      <w:r>
        <w:rPr>
          <w:sz w:val="20"/>
        </w:rPr>
        <w:t>actuación de particulares, eventualmente pueden serlo si, por un lado, no tomaron medidas o bien no hicieron efectivas esas medidas adoptadas, para gara</w:t>
      </w:r>
      <w:r>
        <w:rPr>
          <w:sz w:val="20"/>
        </w:rPr>
        <w:t>ntizar —de manera preventiva— los derechos humanos que pudieran estar en</w:t>
      </w:r>
      <w:r>
        <w:rPr>
          <w:spacing w:val="-6"/>
          <w:sz w:val="20"/>
        </w:rPr>
        <w:t xml:space="preserve"> </w:t>
      </w:r>
      <w:r>
        <w:rPr>
          <w:sz w:val="20"/>
        </w:rPr>
        <w:t>juego.</w:t>
      </w:r>
    </w:p>
    <w:p w14:paraId="65DEF721" w14:textId="77777777" w:rsidR="00467FCA" w:rsidRDefault="00467FCA">
      <w:pPr>
        <w:pStyle w:val="Textoindependiente"/>
        <w:spacing w:before="6"/>
        <w:rPr>
          <w:sz w:val="21"/>
        </w:rPr>
      </w:pPr>
    </w:p>
    <w:p w14:paraId="35BB9E48" w14:textId="77777777" w:rsidR="00467FCA" w:rsidRDefault="001B68EB">
      <w:pPr>
        <w:pStyle w:val="Prrafodelista"/>
        <w:numPr>
          <w:ilvl w:val="0"/>
          <w:numId w:val="9"/>
        </w:numPr>
        <w:tabs>
          <w:tab w:val="left" w:pos="1166"/>
        </w:tabs>
        <w:ind w:left="457" w:right="275" w:hanging="1"/>
        <w:jc w:val="both"/>
        <w:rPr>
          <w:sz w:val="20"/>
        </w:rPr>
      </w:pPr>
      <w:r>
        <w:rPr>
          <w:sz w:val="20"/>
        </w:rPr>
        <w:t xml:space="preserve">Por otro lado, los PREDH indican que los Estados también tienen el deber de cumplir con las leyes que tengan por objeto o por efecto hacer respetar los derechos humanos a las </w:t>
      </w:r>
      <w:r>
        <w:rPr>
          <w:sz w:val="20"/>
        </w:rPr>
        <w:t>empresas, pero también deben “evaluar periódicamente si tales leyes resultan adecuadas y remediar</w:t>
      </w:r>
      <w:r>
        <w:rPr>
          <w:spacing w:val="-17"/>
          <w:sz w:val="20"/>
        </w:rPr>
        <w:t xml:space="preserve"> </w:t>
      </w:r>
      <w:r>
        <w:rPr>
          <w:sz w:val="20"/>
        </w:rPr>
        <w:t>eventuales</w:t>
      </w:r>
      <w:r>
        <w:rPr>
          <w:spacing w:val="-18"/>
          <w:sz w:val="20"/>
        </w:rPr>
        <w:t xml:space="preserve"> </w:t>
      </w:r>
      <w:r>
        <w:rPr>
          <w:sz w:val="20"/>
        </w:rPr>
        <w:t>carencias”</w:t>
      </w:r>
      <w:hyperlink w:anchor="_bookmark699" w:history="1">
        <w:r>
          <w:rPr>
            <w:position w:val="7"/>
            <w:sz w:val="13"/>
          </w:rPr>
          <w:t>17</w:t>
        </w:r>
      </w:hyperlink>
      <w:r>
        <w:rPr>
          <w:sz w:val="20"/>
        </w:rPr>
        <w:t>.</w:t>
      </w:r>
      <w:r>
        <w:rPr>
          <w:spacing w:val="32"/>
          <w:sz w:val="20"/>
        </w:rPr>
        <w:t xml:space="preserve"> </w:t>
      </w:r>
      <w:r>
        <w:rPr>
          <w:sz w:val="20"/>
        </w:rPr>
        <w:t>Finalmente,</w:t>
      </w:r>
      <w:r>
        <w:rPr>
          <w:spacing w:val="-19"/>
          <w:sz w:val="20"/>
        </w:rPr>
        <w:t xml:space="preserve"> </w:t>
      </w:r>
      <w:r>
        <w:rPr>
          <w:sz w:val="20"/>
        </w:rPr>
        <w:t>los</w:t>
      </w:r>
      <w:r>
        <w:rPr>
          <w:spacing w:val="-18"/>
          <w:sz w:val="20"/>
        </w:rPr>
        <w:t xml:space="preserve"> </w:t>
      </w:r>
      <w:r>
        <w:rPr>
          <w:sz w:val="20"/>
        </w:rPr>
        <w:t>principios</w:t>
      </w:r>
      <w:r>
        <w:rPr>
          <w:spacing w:val="-18"/>
          <w:sz w:val="20"/>
        </w:rPr>
        <w:t xml:space="preserve"> </w:t>
      </w:r>
      <w:r>
        <w:rPr>
          <w:sz w:val="20"/>
        </w:rPr>
        <w:t>establecen</w:t>
      </w:r>
      <w:r>
        <w:rPr>
          <w:spacing w:val="-17"/>
          <w:sz w:val="20"/>
        </w:rPr>
        <w:t xml:space="preserve"> </w:t>
      </w:r>
      <w:r>
        <w:rPr>
          <w:sz w:val="20"/>
        </w:rPr>
        <w:t>que</w:t>
      </w:r>
      <w:r>
        <w:rPr>
          <w:spacing w:val="-21"/>
          <w:sz w:val="20"/>
        </w:rPr>
        <w:t xml:space="preserve"> </w:t>
      </w:r>
      <w:r>
        <w:rPr>
          <w:sz w:val="20"/>
        </w:rPr>
        <w:t>los</w:t>
      </w:r>
      <w:r>
        <w:rPr>
          <w:spacing w:val="-18"/>
          <w:sz w:val="20"/>
        </w:rPr>
        <w:t xml:space="preserve"> </w:t>
      </w:r>
      <w:r>
        <w:rPr>
          <w:sz w:val="20"/>
        </w:rPr>
        <w:t>Estados,</w:t>
      </w:r>
      <w:r>
        <w:rPr>
          <w:spacing w:val="-16"/>
          <w:sz w:val="20"/>
        </w:rPr>
        <w:t xml:space="preserve"> </w:t>
      </w:r>
      <w:r>
        <w:rPr>
          <w:sz w:val="20"/>
        </w:rPr>
        <w:t>como garantes de los derechos humanos de las personas que se encuentran dentro de su jurisdicción, “deben ejercer una supervisión adecuada con vistas a cumplir sus obligaciones internacionales”</w:t>
      </w:r>
      <w:hyperlink w:anchor="_bookmark700" w:history="1">
        <w:r>
          <w:rPr>
            <w:position w:val="7"/>
            <w:sz w:val="13"/>
          </w:rPr>
          <w:t>18</w:t>
        </w:r>
      </w:hyperlink>
      <w:r>
        <w:rPr>
          <w:sz w:val="20"/>
        </w:rPr>
        <w:t>, en particular mediante meca</w:t>
      </w:r>
      <w:r>
        <w:rPr>
          <w:sz w:val="20"/>
        </w:rPr>
        <w:t>nismos adecuados e independientes de supervisión y de rendición de</w:t>
      </w:r>
      <w:r>
        <w:rPr>
          <w:spacing w:val="-2"/>
          <w:sz w:val="20"/>
        </w:rPr>
        <w:t xml:space="preserve"> </w:t>
      </w:r>
      <w:r>
        <w:rPr>
          <w:sz w:val="20"/>
        </w:rPr>
        <w:t>cuentas.</w:t>
      </w:r>
    </w:p>
    <w:p w14:paraId="79B3FC35" w14:textId="77777777" w:rsidR="00467FCA" w:rsidRDefault="001B68EB">
      <w:pPr>
        <w:pStyle w:val="Textoindependiente"/>
        <w:spacing w:before="9"/>
        <w:rPr>
          <w:sz w:val="23"/>
        </w:rPr>
      </w:pPr>
      <w:r>
        <w:pict w14:anchorId="6792CDF8">
          <v:shape id="_x0000_s1067" style="position:absolute;margin-left:70.9pt;margin-top:16.7pt;width:2in;height:.1pt;z-index:-251526144;mso-wrap-distance-left:0;mso-wrap-distance-right:0;mso-position-horizontal-relative:page" coordorigin="1418,334" coordsize="2880,0" path="m1418,334r2880,e" filled="f" strokeweight=".6pt">
            <v:path arrowok="t"/>
            <w10:wrap type="topAndBottom" anchorx="page"/>
          </v:shape>
        </w:pict>
      </w:r>
    </w:p>
    <w:p w14:paraId="08DF651C" w14:textId="77777777" w:rsidR="00467FCA" w:rsidRDefault="001B68EB">
      <w:pPr>
        <w:tabs>
          <w:tab w:val="left" w:pos="1166"/>
        </w:tabs>
        <w:spacing w:before="74"/>
        <w:ind w:left="458" w:right="271"/>
        <w:jc w:val="both"/>
        <w:rPr>
          <w:sz w:val="16"/>
        </w:rPr>
      </w:pPr>
      <w:bookmarkStart w:id="775" w:name="_bookmark694"/>
      <w:bookmarkEnd w:id="775"/>
      <w:r>
        <w:rPr>
          <w:position w:val="6"/>
          <w:sz w:val="10"/>
        </w:rPr>
        <w:t>12</w:t>
      </w:r>
      <w:r>
        <w:rPr>
          <w:position w:val="6"/>
          <w:sz w:val="10"/>
        </w:rPr>
        <w:tab/>
      </w:r>
      <w:r>
        <w:rPr>
          <w:sz w:val="16"/>
        </w:rPr>
        <w:t>En cuanto al derecho a la vida, la integridad personal y los derechos de las niñas y los niños, la Corte IDH estableció la responsabilidad internacional por la “omisiones” con</w:t>
      </w:r>
      <w:r>
        <w:rPr>
          <w:sz w:val="16"/>
        </w:rPr>
        <w:t>statadas. En el caso del derecho a las condiciones de trabajo equitativas y satisfactorias, se determinó la responsabilidad internacional porque el Estado “no ejerció”, “ni emprendió acciones”. Sobre la violación de la prohibición de trabajo infantil la Co</w:t>
      </w:r>
      <w:r>
        <w:rPr>
          <w:sz w:val="16"/>
        </w:rPr>
        <w:t xml:space="preserve">rte IDH indicó que la responsabilidad internacional se generó “al no adoptar las medidas”. </w:t>
      </w:r>
      <w:r>
        <w:rPr>
          <w:i/>
          <w:sz w:val="16"/>
        </w:rPr>
        <w:t>Cfr. Caso Empleados de la Fábrica de Fuegos en Santo Antônio de Jesus y sus familiares Vs. Brasil, supra</w:t>
      </w:r>
      <w:r>
        <w:rPr>
          <w:sz w:val="16"/>
        </w:rPr>
        <w:t>, párrs. 150, 175, 176 y</w:t>
      </w:r>
      <w:r>
        <w:rPr>
          <w:spacing w:val="-15"/>
          <w:sz w:val="16"/>
        </w:rPr>
        <w:t xml:space="preserve"> </w:t>
      </w:r>
      <w:r>
        <w:rPr>
          <w:sz w:val="16"/>
        </w:rPr>
        <w:t>181.</w:t>
      </w:r>
    </w:p>
    <w:p w14:paraId="7D368D5A" w14:textId="77777777" w:rsidR="00467FCA" w:rsidRDefault="001B68EB">
      <w:pPr>
        <w:tabs>
          <w:tab w:val="left" w:pos="1166"/>
        </w:tabs>
        <w:ind w:left="458" w:right="270"/>
        <w:jc w:val="both"/>
        <w:rPr>
          <w:sz w:val="16"/>
        </w:rPr>
      </w:pPr>
      <w:bookmarkStart w:id="776" w:name="_bookmark695"/>
      <w:bookmarkEnd w:id="776"/>
      <w:r>
        <w:rPr>
          <w:position w:val="6"/>
          <w:sz w:val="10"/>
        </w:rPr>
        <w:t>13</w:t>
      </w:r>
      <w:r>
        <w:rPr>
          <w:position w:val="6"/>
          <w:sz w:val="10"/>
        </w:rPr>
        <w:tab/>
      </w:r>
      <w:r>
        <w:rPr>
          <w:i/>
          <w:sz w:val="16"/>
        </w:rPr>
        <w:t>Cfr.</w:t>
      </w:r>
      <w:r>
        <w:rPr>
          <w:i/>
          <w:spacing w:val="-14"/>
          <w:sz w:val="16"/>
        </w:rPr>
        <w:t xml:space="preserve"> </w:t>
      </w:r>
      <w:r>
        <w:rPr>
          <w:i/>
          <w:sz w:val="16"/>
        </w:rPr>
        <w:t>Caso</w:t>
      </w:r>
      <w:r>
        <w:rPr>
          <w:i/>
          <w:spacing w:val="-11"/>
          <w:sz w:val="16"/>
        </w:rPr>
        <w:t xml:space="preserve"> </w:t>
      </w:r>
      <w:r>
        <w:rPr>
          <w:i/>
          <w:sz w:val="16"/>
        </w:rPr>
        <w:t>Pueblos</w:t>
      </w:r>
      <w:r>
        <w:rPr>
          <w:i/>
          <w:spacing w:val="-14"/>
          <w:sz w:val="16"/>
        </w:rPr>
        <w:t xml:space="preserve"> </w:t>
      </w:r>
      <w:r>
        <w:rPr>
          <w:i/>
          <w:sz w:val="16"/>
        </w:rPr>
        <w:t>Kaliña</w:t>
      </w:r>
      <w:r>
        <w:rPr>
          <w:i/>
          <w:spacing w:val="-13"/>
          <w:sz w:val="16"/>
        </w:rPr>
        <w:t xml:space="preserve"> </w:t>
      </w:r>
      <w:r>
        <w:rPr>
          <w:i/>
          <w:sz w:val="16"/>
        </w:rPr>
        <w:t>y</w:t>
      </w:r>
      <w:r>
        <w:rPr>
          <w:i/>
          <w:spacing w:val="-12"/>
          <w:sz w:val="16"/>
        </w:rPr>
        <w:t xml:space="preserve"> </w:t>
      </w:r>
      <w:r>
        <w:rPr>
          <w:i/>
          <w:sz w:val="16"/>
        </w:rPr>
        <w:t>Lokono</w:t>
      </w:r>
      <w:r>
        <w:rPr>
          <w:i/>
          <w:spacing w:val="-14"/>
          <w:sz w:val="16"/>
        </w:rPr>
        <w:t xml:space="preserve"> </w:t>
      </w:r>
      <w:r>
        <w:rPr>
          <w:i/>
          <w:sz w:val="16"/>
        </w:rPr>
        <w:t>Vs.</w:t>
      </w:r>
      <w:r>
        <w:rPr>
          <w:i/>
          <w:spacing w:val="-15"/>
          <w:sz w:val="16"/>
        </w:rPr>
        <w:t xml:space="preserve"> </w:t>
      </w:r>
      <w:r>
        <w:rPr>
          <w:i/>
          <w:sz w:val="16"/>
        </w:rPr>
        <w:t>Surinam.</w:t>
      </w:r>
      <w:r>
        <w:rPr>
          <w:i/>
          <w:spacing w:val="-15"/>
          <w:sz w:val="16"/>
        </w:rPr>
        <w:t xml:space="preserve"> </w:t>
      </w:r>
      <w:r>
        <w:rPr>
          <w:i/>
          <w:sz w:val="16"/>
        </w:rPr>
        <w:t>Fondo,</w:t>
      </w:r>
      <w:r>
        <w:rPr>
          <w:i/>
          <w:spacing w:val="-15"/>
          <w:sz w:val="16"/>
        </w:rPr>
        <w:t xml:space="preserve"> </w:t>
      </w:r>
      <w:r>
        <w:rPr>
          <w:i/>
          <w:sz w:val="16"/>
        </w:rPr>
        <w:t>Reparaciones</w:t>
      </w:r>
      <w:r>
        <w:rPr>
          <w:i/>
          <w:spacing w:val="-14"/>
          <w:sz w:val="16"/>
        </w:rPr>
        <w:t xml:space="preserve"> </w:t>
      </w:r>
      <w:r>
        <w:rPr>
          <w:i/>
          <w:sz w:val="16"/>
        </w:rPr>
        <w:t>y</w:t>
      </w:r>
      <w:r>
        <w:rPr>
          <w:i/>
          <w:spacing w:val="-15"/>
          <w:sz w:val="16"/>
        </w:rPr>
        <w:t xml:space="preserve"> </w:t>
      </w:r>
      <w:r>
        <w:rPr>
          <w:i/>
          <w:sz w:val="16"/>
        </w:rPr>
        <w:t>Costas</w:t>
      </w:r>
      <w:r>
        <w:rPr>
          <w:sz w:val="16"/>
        </w:rPr>
        <w:t>.</w:t>
      </w:r>
      <w:r>
        <w:rPr>
          <w:spacing w:val="-15"/>
          <w:sz w:val="16"/>
        </w:rPr>
        <w:t xml:space="preserve"> </w:t>
      </w:r>
      <w:r>
        <w:rPr>
          <w:sz w:val="16"/>
        </w:rPr>
        <w:t>Sentencia</w:t>
      </w:r>
      <w:r>
        <w:rPr>
          <w:spacing w:val="-15"/>
          <w:sz w:val="16"/>
        </w:rPr>
        <w:t xml:space="preserve"> </w:t>
      </w:r>
      <w:r>
        <w:rPr>
          <w:sz w:val="16"/>
        </w:rPr>
        <w:t>de</w:t>
      </w:r>
      <w:r>
        <w:rPr>
          <w:spacing w:val="-12"/>
          <w:sz w:val="16"/>
        </w:rPr>
        <w:t xml:space="preserve"> </w:t>
      </w:r>
      <w:r>
        <w:rPr>
          <w:sz w:val="16"/>
        </w:rPr>
        <w:t>25</w:t>
      </w:r>
      <w:r>
        <w:rPr>
          <w:spacing w:val="-14"/>
          <w:sz w:val="16"/>
        </w:rPr>
        <w:t xml:space="preserve"> </w:t>
      </w:r>
      <w:r>
        <w:rPr>
          <w:sz w:val="16"/>
        </w:rPr>
        <w:t>de</w:t>
      </w:r>
      <w:r>
        <w:rPr>
          <w:spacing w:val="-14"/>
          <w:sz w:val="16"/>
        </w:rPr>
        <w:t xml:space="preserve"> </w:t>
      </w:r>
      <w:r>
        <w:rPr>
          <w:sz w:val="16"/>
        </w:rPr>
        <w:t xml:space="preserve">noviembre de 2015. Serie C No. 309, párr. 224. </w:t>
      </w:r>
      <w:r>
        <w:rPr>
          <w:i/>
          <w:sz w:val="16"/>
        </w:rPr>
        <w:t xml:space="preserve">Cfr. </w:t>
      </w:r>
      <w:r>
        <w:rPr>
          <w:sz w:val="16"/>
        </w:rPr>
        <w:t>ONU, Principios Rectores sobre las empresas y los derechos humanos: puesta</w:t>
      </w:r>
      <w:r>
        <w:rPr>
          <w:spacing w:val="-11"/>
          <w:sz w:val="16"/>
        </w:rPr>
        <w:t xml:space="preserve"> </w:t>
      </w:r>
      <w:r>
        <w:rPr>
          <w:sz w:val="16"/>
        </w:rPr>
        <w:t>en</w:t>
      </w:r>
      <w:r>
        <w:rPr>
          <w:spacing w:val="-11"/>
          <w:sz w:val="16"/>
        </w:rPr>
        <w:t xml:space="preserve"> </w:t>
      </w:r>
      <w:r>
        <w:rPr>
          <w:sz w:val="16"/>
        </w:rPr>
        <w:t>práctica</w:t>
      </w:r>
      <w:r>
        <w:rPr>
          <w:spacing w:val="-11"/>
          <w:sz w:val="16"/>
        </w:rPr>
        <w:t xml:space="preserve"> </w:t>
      </w:r>
      <w:r>
        <w:rPr>
          <w:sz w:val="16"/>
        </w:rPr>
        <w:t>del</w:t>
      </w:r>
      <w:r>
        <w:rPr>
          <w:spacing w:val="-11"/>
          <w:sz w:val="16"/>
        </w:rPr>
        <w:t xml:space="preserve"> </w:t>
      </w:r>
      <w:r>
        <w:rPr>
          <w:sz w:val="16"/>
        </w:rPr>
        <w:t>marco</w:t>
      </w:r>
      <w:r>
        <w:rPr>
          <w:spacing w:val="-11"/>
          <w:sz w:val="16"/>
        </w:rPr>
        <w:t xml:space="preserve"> </w:t>
      </w:r>
      <w:r>
        <w:rPr>
          <w:sz w:val="16"/>
        </w:rPr>
        <w:t>de</w:t>
      </w:r>
      <w:r>
        <w:rPr>
          <w:spacing w:val="-8"/>
          <w:sz w:val="16"/>
        </w:rPr>
        <w:t xml:space="preserve"> </w:t>
      </w:r>
      <w:r>
        <w:rPr>
          <w:sz w:val="16"/>
        </w:rPr>
        <w:t>las</w:t>
      </w:r>
      <w:r>
        <w:rPr>
          <w:spacing w:val="-10"/>
          <w:sz w:val="16"/>
        </w:rPr>
        <w:t xml:space="preserve"> </w:t>
      </w:r>
      <w:r>
        <w:rPr>
          <w:sz w:val="16"/>
        </w:rPr>
        <w:t>Naciones</w:t>
      </w:r>
      <w:r>
        <w:rPr>
          <w:spacing w:val="-10"/>
          <w:sz w:val="16"/>
        </w:rPr>
        <w:t xml:space="preserve"> </w:t>
      </w:r>
      <w:r>
        <w:rPr>
          <w:sz w:val="16"/>
        </w:rPr>
        <w:t>Unidas</w:t>
      </w:r>
      <w:r>
        <w:rPr>
          <w:spacing w:val="-12"/>
          <w:sz w:val="16"/>
        </w:rPr>
        <w:t xml:space="preserve"> </w:t>
      </w:r>
      <w:r>
        <w:rPr>
          <w:sz w:val="16"/>
        </w:rPr>
        <w:t>para</w:t>
      </w:r>
      <w:r>
        <w:rPr>
          <w:spacing w:val="-13"/>
          <w:sz w:val="16"/>
        </w:rPr>
        <w:t xml:space="preserve"> </w:t>
      </w:r>
      <w:r>
        <w:rPr>
          <w:sz w:val="16"/>
        </w:rPr>
        <w:t>“proteger,</w:t>
      </w:r>
      <w:r>
        <w:rPr>
          <w:spacing w:val="-12"/>
          <w:sz w:val="16"/>
        </w:rPr>
        <w:t xml:space="preserve"> </w:t>
      </w:r>
      <w:r>
        <w:rPr>
          <w:sz w:val="16"/>
        </w:rPr>
        <w:t>respetar</w:t>
      </w:r>
      <w:r>
        <w:rPr>
          <w:spacing w:val="-9"/>
          <w:sz w:val="16"/>
        </w:rPr>
        <w:t xml:space="preserve"> </w:t>
      </w:r>
      <w:r>
        <w:rPr>
          <w:sz w:val="16"/>
        </w:rPr>
        <w:t>y</w:t>
      </w:r>
      <w:r>
        <w:rPr>
          <w:spacing w:val="-12"/>
          <w:sz w:val="16"/>
        </w:rPr>
        <w:t xml:space="preserve"> </w:t>
      </w:r>
      <w:r>
        <w:rPr>
          <w:sz w:val="16"/>
        </w:rPr>
        <w:t>remediar”.</w:t>
      </w:r>
      <w:r>
        <w:rPr>
          <w:spacing w:val="-11"/>
          <w:sz w:val="16"/>
        </w:rPr>
        <w:t xml:space="preserve"> </w:t>
      </w:r>
      <w:r>
        <w:rPr>
          <w:sz w:val="16"/>
        </w:rPr>
        <w:t>Informe</w:t>
      </w:r>
      <w:r>
        <w:rPr>
          <w:spacing w:val="-10"/>
          <w:sz w:val="16"/>
        </w:rPr>
        <w:t xml:space="preserve"> </w:t>
      </w:r>
      <w:r>
        <w:rPr>
          <w:sz w:val="16"/>
        </w:rPr>
        <w:t>del</w:t>
      </w:r>
      <w:r>
        <w:rPr>
          <w:spacing w:val="-12"/>
          <w:sz w:val="16"/>
        </w:rPr>
        <w:t xml:space="preserve"> </w:t>
      </w:r>
      <w:r>
        <w:rPr>
          <w:sz w:val="16"/>
        </w:rPr>
        <w:t>Representante Especial del Secretario General para la cuestión de los derechos humanos</w:t>
      </w:r>
      <w:r>
        <w:rPr>
          <w:sz w:val="16"/>
        </w:rPr>
        <w:t xml:space="preserve"> y las empresas transnacionales y otras empresas, John Ruggie. Presentado durante el 17o período de sesiones del Consejo de Derechos Humanos de las Naciones Unidas, A/HRC/17/31, 21 de marzo de 2011. El Consejo de Derechos Humanos avaló dichos principios y </w:t>
      </w:r>
      <w:r>
        <w:rPr>
          <w:sz w:val="16"/>
        </w:rPr>
        <w:t xml:space="preserve">creó un comité para promover su implementación. </w:t>
      </w:r>
      <w:r>
        <w:rPr>
          <w:i/>
          <w:sz w:val="16"/>
        </w:rPr>
        <w:t>Cfr</w:t>
      </w:r>
      <w:r>
        <w:rPr>
          <w:sz w:val="16"/>
        </w:rPr>
        <w:t xml:space="preserve">. Consejo de Derechos Humanos, Resolución 17/4, UN Doc. A/HRC/17/4, 6 de julio de 2011. Asimismo, véase </w:t>
      </w:r>
      <w:r>
        <w:rPr>
          <w:i/>
          <w:sz w:val="16"/>
        </w:rPr>
        <w:t>La Responsabilidad de las Empresas de Respetar los Derechos Humanos: Guía para la</w:t>
      </w:r>
      <w:r>
        <w:rPr>
          <w:i/>
          <w:spacing w:val="-3"/>
          <w:sz w:val="16"/>
        </w:rPr>
        <w:t xml:space="preserve"> </w:t>
      </w:r>
      <w:r>
        <w:rPr>
          <w:i/>
          <w:sz w:val="16"/>
        </w:rPr>
        <w:t>interpretación</w:t>
      </w:r>
      <w:r>
        <w:rPr>
          <w:sz w:val="16"/>
        </w:rPr>
        <w:t>.</w:t>
      </w:r>
    </w:p>
    <w:p w14:paraId="30D9C004" w14:textId="77777777" w:rsidR="00467FCA" w:rsidRDefault="001B68EB">
      <w:pPr>
        <w:tabs>
          <w:tab w:val="left" w:pos="1166"/>
        </w:tabs>
        <w:ind w:left="458" w:right="273"/>
        <w:jc w:val="both"/>
        <w:rPr>
          <w:sz w:val="16"/>
        </w:rPr>
      </w:pPr>
      <w:bookmarkStart w:id="777" w:name="_bookmark696"/>
      <w:bookmarkEnd w:id="777"/>
      <w:r>
        <w:rPr>
          <w:position w:val="6"/>
          <w:sz w:val="10"/>
        </w:rPr>
        <w:t>14</w:t>
      </w:r>
      <w:r>
        <w:rPr>
          <w:position w:val="6"/>
          <w:sz w:val="10"/>
        </w:rPr>
        <w:tab/>
      </w:r>
      <w:r>
        <w:rPr>
          <w:sz w:val="16"/>
        </w:rPr>
        <w:t>Peritaje</w:t>
      </w:r>
      <w:r>
        <w:rPr>
          <w:spacing w:val="-6"/>
          <w:sz w:val="16"/>
        </w:rPr>
        <w:t xml:space="preserve"> </w:t>
      </w:r>
      <w:r>
        <w:rPr>
          <w:sz w:val="16"/>
        </w:rPr>
        <w:t>presentado</w:t>
      </w:r>
      <w:r>
        <w:rPr>
          <w:spacing w:val="-4"/>
          <w:sz w:val="16"/>
        </w:rPr>
        <w:t xml:space="preserve"> </w:t>
      </w:r>
      <w:r>
        <w:rPr>
          <w:sz w:val="16"/>
        </w:rPr>
        <w:t>ante</w:t>
      </w:r>
      <w:r>
        <w:rPr>
          <w:spacing w:val="-5"/>
          <w:sz w:val="16"/>
        </w:rPr>
        <w:t xml:space="preserve"> </w:t>
      </w:r>
      <w:r>
        <w:rPr>
          <w:sz w:val="16"/>
        </w:rPr>
        <w:t>la</w:t>
      </w:r>
      <w:r>
        <w:rPr>
          <w:spacing w:val="-6"/>
          <w:sz w:val="16"/>
        </w:rPr>
        <w:t xml:space="preserve"> </w:t>
      </w:r>
      <w:r>
        <w:rPr>
          <w:sz w:val="16"/>
        </w:rPr>
        <w:t>Corte</w:t>
      </w:r>
      <w:r>
        <w:rPr>
          <w:spacing w:val="-2"/>
          <w:sz w:val="16"/>
        </w:rPr>
        <w:t xml:space="preserve"> </w:t>
      </w:r>
      <w:r>
        <w:rPr>
          <w:sz w:val="16"/>
        </w:rPr>
        <w:t>IDH</w:t>
      </w:r>
      <w:r>
        <w:rPr>
          <w:spacing w:val="-6"/>
          <w:sz w:val="16"/>
        </w:rPr>
        <w:t xml:space="preserve"> </w:t>
      </w:r>
      <w:r>
        <w:rPr>
          <w:sz w:val="16"/>
        </w:rPr>
        <w:t>por</w:t>
      </w:r>
      <w:r>
        <w:rPr>
          <w:spacing w:val="-4"/>
          <w:sz w:val="16"/>
        </w:rPr>
        <w:t xml:space="preserve"> </w:t>
      </w:r>
      <w:r>
        <w:rPr>
          <w:sz w:val="16"/>
        </w:rPr>
        <w:t>Christian</w:t>
      </w:r>
      <w:r>
        <w:rPr>
          <w:spacing w:val="-3"/>
          <w:sz w:val="16"/>
        </w:rPr>
        <w:t xml:space="preserve"> </w:t>
      </w:r>
      <w:r>
        <w:rPr>
          <w:sz w:val="16"/>
        </w:rPr>
        <w:t>Courtis.</w:t>
      </w:r>
      <w:r>
        <w:rPr>
          <w:spacing w:val="-6"/>
          <w:sz w:val="16"/>
        </w:rPr>
        <w:t xml:space="preserve"> </w:t>
      </w:r>
      <w:r>
        <w:rPr>
          <w:i/>
          <w:sz w:val="16"/>
        </w:rPr>
        <w:t>Cfr.</w:t>
      </w:r>
      <w:r>
        <w:rPr>
          <w:i/>
          <w:spacing w:val="-6"/>
          <w:sz w:val="16"/>
        </w:rPr>
        <w:t xml:space="preserve"> </w:t>
      </w:r>
      <w:r>
        <w:rPr>
          <w:i/>
          <w:sz w:val="16"/>
        </w:rPr>
        <w:t>Caso</w:t>
      </w:r>
      <w:r>
        <w:rPr>
          <w:i/>
          <w:spacing w:val="-4"/>
          <w:sz w:val="16"/>
        </w:rPr>
        <w:t xml:space="preserve"> </w:t>
      </w:r>
      <w:r>
        <w:rPr>
          <w:i/>
          <w:sz w:val="16"/>
        </w:rPr>
        <w:t>Empleados</w:t>
      </w:r>
      <w:r>
        <w:rPr>
          <w:i/>
          <w:spacing w:val="-5"/>
          <w:sz w:val="16"/>
        </w:rPr>
        <w:t xml:space="preserve"> </w:t>
      </w:r>
      <w:r>
        <w:rPr>
          <w:i/>
          <w:sz w:val="16"/>
        </w:rPr>
        <w:t>de</w:t>
      </w:r>
      <w:r>
        <w:rPr>
          <w:i/>
          <w:spacing w:val="-5"/>
          <w:sz w:val="16"/>
        </w:rPr>
        <w:t xml:space="preserve"> </w:t>
      </w:r>
      <w:r>
        <w:rPr>
          <w:i/>
          <w:sz w:val="16"/>
        </w:rPr>
        <w:t>la</w:t>
      </w:r>
      <w:r>
        <w:rPr>
          <w:i/>
          <w:spacing w:val="-7"/>
          <w:sz w:val="16"/>
        </w:rPr>
        <w:t xml:space="preserve"> </w:t>
      </w:r>
      <w:r>
        <w:rPr>
          <w:i/>
          <w:sz w:val="16"/>
        </w:rPr>
        <w:t>Fábrica</w:t>
      </w:r>
      <w:r>
        <w:rPr>
          <w:i/>
          <w:spacing w:val="-6"/>
          <w:sz w:val="16"/>
        </w:rPr>
        <w:t xml:space="preserve"> </w:t>
      </w:r>
      <w:r>
        <w:rPr>
          <w:i/>
          <w:sz w:val="16"/>
        </w:rPr>
        <w:t>de</w:t>
      </w:r>
      <w:r>
        <w:rPr>
          <w:i/>
          <w:spacing w:val="-5"/>
          <w:sz w:val="16"/>
        </w:rPr>
        <w:t xml:space="preserve"> </w:t>
      </w:r>
      <w:r>
        <w:rPr>
          <w:i/>
          <w:sz w:val="16"/>
        </w:rPr>
        <w:t>Fuegos</w:t>
      </w:r>
      <w:r>
        <w:rPr>
          <w:i/>
          <w:spacing w:val="-5"/>
          <w:sz w:val="16"/>
        </w:rPr>
        <w:t xml:space="preserve"> </w:t>
      </w:r>
      <w:r>
        <w:rPr>
          <w:i/>
          <w:sz w:val="16"/>
        </w:rPr>
        <w:t>en Santo</w:t>
      </w:r>
      <w:r>
        <w:rPr>
          <w:i/>
          <w:spacing w:val="-5"/>
          <w:sz w:val="16"/>
        </w:rPr>
        <w:t xml:space="preserve"> </w:t>
      </w:r>
      <w:r>
        <w:rPr>
          <w:i/>
          <w:sz w:val="16"/>
        </w:rPr>
        <w:t>Antônio</w:t>
      </w:r>
      <w:r>
        <w:rPr>
          <w:i/>
          <w:spacing w:val="-7"/>
          <w:sz w:val="16"/>
        </w:rPr>
        <w:t xml:space="preserve"> </w:t>
      </w:r>
      <w:r>
        <w:rPr>
          <w:i/>
          <w:sz w:val="16"/>
        </w:rPr>
        <w:t>de</w:t>
      </w:r>
      <w:r>
        <w:rPr>
          <w:i/>
          <w:spacing w:val="-5"/>
          <w:sz w:val="16"/>
        </w:rPr>
        <w:t xml:space="preserve"> </w:t>
      </w:r>
      <w:r>
        <w:rPr>
          <w:i/>
          <w:sz w:val="16"/>
        </w:rPr>
        <w:t>Jesus</w:t>
      </w:r>
      <w:r>
        <w:rPr>
          <w:i/>
          <w:spacing w:val="-8"/>
          <w:sz w:val="16"/>
        </w:rPr>
        <w:t xml:space="preserve"> </w:t>
      </w:r>
      <w:r>
        <w:rPr>
          <w:i/>
          <w:sz w:val="16"/>
        </w:rPr>
        <w:t>y</w:t>
      </w:r>
      <w:r>
        <w:rPr>
          <w:i/>
          <w:spacing w:val="-6"/>
          <w:sz w:val="16"/>
        </w:rPr>
        <w:t xml:space="preserve"> </w:t>
      </w:r>
      <w:r>
        <w:rPr>
          <w:i/>
          <w:sz w:val="16"/>
        </w:rPr>
        <w:t>sus</w:t>
      </w:r>
      <w:r>
        <w:rPr>
          <w:i/>
          <w:spacing w:val="-7"/>
          <w:sz w:val="16"/>
        </w:rPr>
        <w:t xml:space="preserve"> </w:t>
      </w:r>
      <w:r>
        <w:rPr>
          <w:i/>
          <w:sz w:val="16"/>
        </w:rPr>
        <w:t>familiares</w:t>
      </w:r>
      <w:r>
        <w:rPr>
          <w:i/>
          <w:spacing w:val="-5"/>
          <w:sz w:val="16"/>
        </w:rPr>
        <w:t xml:space="preserve"> </w:t>
      </w:r>
      <w:r>
        <w:rPr>
          <w:i/>
          <w:sz w:val="16"/>
        </w:rPr>
        <w:t>Vs.</w:t>
      </w:r>
      <w:r>
        <w:rPr>
          <w:i/>
          <w:spacing w:val="-9"/>
          <w:sz w:val="16"/>
        </w:rPr>
        <w:t xml:space="preserve"> </w:t>
      </w:r>
      <w:r>
        <w:rPr>
          <w:i/>
          <w:sz w:val="16"/>
        </w:rPr>
        <w:t>Brasil.</w:t>
      </w:r>
      <w:r>
        <w:rPr>
          <w:i/>
          <w:spacing w:val="-6"/>
          <w:sz w:val="16"/>
        </w:rPr>
        <w:t xml:space="preserve"> </w:t>
      </w:r>
      <w:r>
        <w:rPr>
          <w:i/>
          <w:sz w:val="16"/>
        </w:rPr>
        <w:t>Excepciones</w:t>
      </w:r>
      <w:r>
        <w:rPr>
          <w:i/>
          <w:spacing w:val="-5"/>
          <w:sz w:val="16"/>
        </w:rPr>
        <w:t xml:space="preserve"> </w:t>
      </w:r>
      <w:r>
        <w:rPr>
          <w:i/>
          <w:sz w:val="16"/>
        </w:rPr>
        <w:t>preliminares,</w:t>
      </w:r>
      <w:r>
        <w:rPr>
          <w:i/>
          <w:spacing w:val="-8"/>
          <w:sz w:val="16"/>
        </w:rPr>
        <w:t xml:space="preserve"> </w:t>
      </w:r>
      <w:r>
        <w:rPr>
          <w:i/>
          <w:sz w:val="16"/>
        </w:rPr>
        <w:t>fondo,</w:t>
      </w:r>
      <w:r>
        <w:rPr>
          <w:i/>
          <w:spacing w:val="-9"/>
          <w:sz w:val="16"/>
        </w:rPr>
        <w:t xml:space="preserve"> </w:t>
      </w:r>
      <w:r>
        <w:rPr>
          <w:i/>
          <w:sz w:val="16"/>
        </w:rPr>
        <w:t>reparaciones</w:t>
      </w:r>
      <w:r>
        <w:rPr>
          <w:i/>
          <w:spacing w:val="-7"/>
          <w:sz w:val="16"/>
        </w:rPr>
        <w:t xml:space="preserve"> </w:t>
      </w:r>
      <w:r>
        <w:rPr>
          <w:i/>
          <w:sz w:val="16"/>
        </w:rPr>
        <w:t>y</w:t>
      </w:r>
      <w:r>
        <w:rPr>
          <w:i/>
          <w:spacing w:val="-6"/>
          <w:sz w:val="16"/>
        </w:rPr>
        <w:t xml:space="preserve"> </w:t>
      </w:r>
      <w:r>
        <w:rPr>
          <w:i/>
          <w:sz w:val="16"/>
        </w:rPr>
        <w:t>costas.</w:t>
      </w:r>
      <w:r>
        <w:rPr>
          <w:i/>
          <w:spacing w:val="-8"/>
          <w:sz w:val="16"/>
        </w:rPr>
        <w:t xml:space="preserve"> </w:t>
      </w:r>
      <w:r>
        <w:rPr>
          <w:sz w:val="16"/>
        </w:rPr>
        <w:t>Sentencia de 15 de julio de 2020. Serie C No. 407, párrs. 164 y</w:t>
      </w:r>
      <w:r>
        <w:rPr>
          <w:spacing w:val="-16"/>
          <w:sz w:val="16"/>
        </w:rPr>
        <w:t xml:space="preserve"> </w:t>
      </w:r>
      <w:r>
        <w:rPr>
          <w:sz w:val="16"/>
        </w:rPr>
        <w:t>165.</w:t>
      </w:r>
    </w:p>
    <w:p w14:paraId="2CA818EB" w14:textId="77777777" w:rsidR="00467FCA" w:rsidRDefault="001B68EB">
      <w:pPr>
        <w:tabs>
          <w:tab w:val="left" w:pos="1166"/>
        </w:tabs>
        <w:ind w:left="458"/>
        <w:jc w:val="both"/>
        <w:rPr>
          <w:sz w:val="16"/>
        </w:rPr>
      </w:pPr>
      <w:bookmarkStart w:id="778" w:name="_bookmark697"/>
      <w:bookmarkEnd w:id="778"/>
      <w:r>
        <w:rPr>
          <w:position w:val="6"/>
          <w:sz w:val="10"/>
        </w:rPr>
        <w:t>15</w:t>
      </w:r>
      <w:r>
        <w:rPr>
          <w:position w:val="6"/>
          <w:sz w:val="10"/>
        </w:rPr>
        <w:tab/>
      </w:r>
      <w:r>
        <w:rPr>
          <w:i/>
          <w:sz w:val="16"/>
        </w:rPr>
        <w:t xml:space="preserve">Cfr. </w:t>
      </w:r>
      <w:r>
        <w:rPr>
          <w:sz w:val="16"/>
        </w:rPr>
        <w:t>Principios rectores sobre las empresas y los derechos humanos, Principios: 11 a 24 y 25 a</w:t>
      </w:r>
      <w:r>
        <w:rPr>
          <w:spacing w:val="-26"/>
          <w:sz w:val="16"/>
        </w:rPr>
        <w:t xml:space="preserve"> </w:t>
      </w:r>
      <w:r>
        <w:rPr>
          <w:sz w:val="16"/>
        </w:rPr>
        <w:t>31.</w:t>
      </w:r>
    </w:p>
    <w:p w14:paraId="47D0C371" w14:textId="77777777" w:rsidR="00467FCA" w:rsidRDefault="001B68EB">
      <w:pPr>
        <w:tabs>
          <w:tab w:val="left" w:pos="1166"/>
        </w:tabs>
        <w:ind w:left="458"/>
        <w:jc w:val="both"/>
        <w:rPr>
          <w:sz w:val="16"/>
        </w:rPr>
      </w:pPr>
      <w:bookmarkStart w:id="779" w:name="_bookmark698"/>
      <w:bookmarkEnd w:id="779"/>
      <w:r>
        <w:rPr>
          <w:position w:val="6"/>
          <w:sz w:val="10"/>
        </w:rPr>
        <w:t>16</w:t>
      </w:r>
      <w:r>
        <w:rPr>
          <w:position w:val="6"/>
          <w:sz w:val="10"/>
        </w:rPr>
        <w:tab/>
      </w:r>
      <w:r>
        <w:rPr>
          <w:i/>
          <w:sz w:val="16"/>
        </w:rPr>
        <w:t xml:space="preserve">Cfr. </w:t>
      </w:r>
      <w:r>
        <w:rPr>
          <w:sz w:val="16"/>
        </w:rPr>
        <w:t>Principios rectores sobre las empresas y los derechos humanos, principio</w:t>
      </w:r>
      <w:r>
        <w:rPr>
          <w:spacing w:val="-10"/>
          <w:sz w:val="16"/>
        </w:rPr>
        <w:t xml:space="preserve"> </w:t>
      </w:r>
      <w:r>
        <w:rPr>
          <w:sz w:val="16"/>
        </w:rPr>
        <w:t>1.</w:t>
      </w:r>
    </w:p>
    <w:p w14:paraId="2EE69840" w14:textId="77777777" w:rsidR="00467FCA" w:rsidRDefault="001B68EB">
      <w:pPr>
        <w:tabs>
          <w:tab w:val="left" w:pos="1166"/>
        </w:tabs>
        <w:ind w:left="458"/>
        <w:jc w:val="both"/>
        <w:rPr>
          <w:sz w:val="16"/>
        </w:rPr>
      </w:pPr>
      <w:bookmarkStart w:id="780" w:name="_bookmark699"/>
      <w:bookmarkEnd w:id="780"/>
      <w:r>
        <w:rPr>
          <w:position w:val="6"/>
          <w:sz w:val="10"/>
        </w:rPr>
        <w:t>1</w:t>
      </w:r>
      <w:r>
        <w:rPr>
          <w:position w:val="6"/>
          <w:sz w:val="10"/>
        </w:rPr>
        <w:t>7</w:t>
      </w:r>
      <w:r>
        <w:rPr>
          <w:position w:val="6"/>
          <w:sz w:val="10"/>
        </w:rPr>
        <w:tab/>
      </w:r>
      <w:r>
        <w:rPr>
          <w:i/>
          <w:sz w:val="16"/>
        </w:rPr>
        <w:t xml:space="preserve">Cfr. </w:t>
      </w:r>
      <w:r>
        <w:rPr>
          <w:sz w:val="16"/>
        </w:rPr>
        <w:t>Principios rectores sobre las empresas y los derechos humanos, principio 3,</w:t>
      </w:r>
      <w:r>
        <w:rPr>
          <w:spacing w:val="-14"/>
          <w:sz w:val="16"/>
        </w:rPr>
        <w:t xml:space="preserve"> </w:t>
      </w:r>
      <w:r>
        <w:rPr>
          <w:sz w:val="16"/>
        </w:rPr>
        <w:t>a).</w:t>
      </w:r>
    </w:p>
    <w:p w14:paraId="5F6B8CB1" w14:textId="77777777" w:rsidR="00467FCA" w:rsidRDefault="001B68EB">
      <w:pPr>
        <w:tabs>
          <w:tab w:val="left" w:pos="1166"/>
        </w:tabs>
        <w:ind w:left="458"/>
        <w:jc w:val="both"/>
        <w:rPr>
          <w:sz w:val="16"/>
        </w:rPr>
      </w:pPr>
      <w:bookmarkStart w:id="781" w:name="_bookmark700"/>
      <w:bookmarkEnd w:id="781"/>
      <w:r>
        <w:rPr>
          <w:position w:val="6"/>
          <w:sz w:val="10"/>
        </w:rPr>
        <w:t>18</w:t>
      </w:r>
      <w:r>
        <w:rPr>
          <w:position w:val="6"/>
          <w:sz w:val="10"/>
        </w:rPr>
        <w:tab/>
      </w:r>
      <w:r>
        <w:rPr>
          <w:i/>
          <w:sz w:val="16"/>
        </w:rPr>
        <w:t xml:space="preserve">Cfr. </w:t>
      </w:r>
      <w:r>
        <w:rPr>
          <w:sz w:val="16"/>
        </w:rPr>
        <w:t>Principios rectores sobre las empresas y los derechos humanos, principio</w:t>
      </w:r>
      <w:r>
        <w:rPr>
          <w:spacing w:val="-10"/>
          <w:sz w:val="16"/>
        </w:rPr>
        <w:t xml:space="preserve"> </w:t>
      </w:r>
      <w:r>
        <w:rPr>
          <w:sz w:val="16"/>
        </w:rPr>
        <w:t>5.</w:t>
      </w:r>
    </w:p>
    <w:p w14:paraId="3C013A0B" w14:textId="77777777" w:rsidR="00467FCA" w:rsidRDefault="00467FCA">
      <w:pPr>
        <w:jc w:val="both"/>
        <w:rPr>
          <w:sz w:val="16"/>
        </w:rPr>
        <w:sectPr w:rsidR="00467FCA">
          <w:pgSz w:w="12240" w:h="15840"/>
          <w:pgMar w:top="1340" w:right="1140" w:bottom="920" w:left="960" w:header="0" w:footer="734" w:gutter="0"/>
          <w:cols w:space="720"/>
        </w:sectPr>
      </w:pPr>
    </w:p>
    <w:p w14:paraId="161C8660" w14:textId="77777777" w:rsidR="00467FCA" w:rsidRDefault="001B68EB">
      <w:pPr>
        <w:pStyle w:val="Prrafodelista"/>
        <w:numPr>
          <w:ilvl w:val="0"/>
          <w:numId w:val="9"/>
        </w:numPr>
        <w:tabs>
          <w:tab w:val="left" w:pos="1167"/>
        </w:tabs>
        <w:spacing w:before="161"/>
        <w:ind w:right="275" w:hanging="1"/>
        <w:jc w:val="both"/>
        <w:rPr>
          <w:sz w:val="20"/>
        </w:rPr>
      </w:pPr>
      <w:r>
        <w:rPr>
          <w:sz w:val="20"/>
        </w:rPr>
        <w:t>Como</w:t>
      </w:r>
      <w:r>
        <w:rPr>
          <w:spacing w:val="-4"/>
          <w:sz w:val="20"/>
        </w:rPr>
        <w:t xml:space="preserve"> </w:t>
      </w:r>
      <w:r>
        <w:rPr>
          <w:sz w:val="20"/>
        </w:rPr>
        <w:t>se</w:t>
      </w:r>
      <w:r>
        <w:rPr>
          <w:spacing w:val="-7"/>
          <w:sz w:val="20"/>
        </w:rPr>
        <w:t xml:space="preserve"> </w:t>
      </w:r>
      <w:r>
        <w:rPr>
          <w:sz w:val="20"/>
        </w:rPr>
        <w:t>mencionó,</w:t>
      </w:r>
      <w:r>
        <w:rPr>
          <w:spacing w:val="-6"/>
          <w:sz w:val="20"/>
        </w:rPr>
        <w:t xml:space="preserve"> </w:t>
      </w:r>
      <w:r>
        <w:rPr>
          <w:sz w:val="20"/>
        </w:rPr>
        <w:t>lo</w:t>
      </w:r>
      <w:r>
        <w:rPr>
          <w:spacing w:val="-7"/>
          <w:sz w:val="20"/>
        </w:rPr>
        <w:t xml:space="preserve"> </w:t>
      </w:r>
      <w:r>
        <w:rPr>
          <w:sz w:val="20"/>
        </w:rPr>
        <w:t>decidido</w:t>
      </w:r>
      <w:r>
        <w:rPr>
          <w:spacing w:val="-6"/>
          <w:sz w:val="20"/>
        </w:rPr>
        <w:t xml:space="preserve"> </w:t>
      </w:r>
      <w:r>
        <w:rPr>
          <w:sz w:val="20"/>
        </w:rPr>
        <w:t>por</w:t>
      </w:r>
      <w:r>
        <w:rPr>
          <w:spacing w:val="-7"/>
          <w:sz w:val="20"/>
        </w:rPr>
        <w:t xml:space="preserve"> </w:t>
      </w:r>
      <w:r>
        <w:rPr>
          <w:sz w:val="20"/>
        </w:rPr>
        <w:t>la</w:t>
      </w:r>
      <w:r>
        <w:rPr>
          <w:spacing w:val="-5"/>
          <w:sz w:val="20"/>
        </w:rPr>
        <w:t xml:space="preserve"> </w:t>
      </w:r>
      <w:r>
        <w:rPr>
          <w:sz w:val="20"/>
        </w:rPr>
        <w:t>Corte</w:t>
      </w:r>
      <w:r>
        <w:rPr>
          <w:spacing w:val="-7"/>
          <w:sz w:val="20"/>
        </w:rPr>
        <w:t xml:space="preserve"> </w:t>
      </w:r>
      <w:r>
        <w:rPr>
          <w:sz w:val="20"/>
        </w:rPr>
        <w:t>IDH</w:t>
      </w:r>
      <w:r>
        <w:rPr>
          <w:spacing w:val="-6"/>
          <w:sz w:val="20"/>
        </w:rPr>
        <w:t xml:space="preserve"> </w:t>
      </w:r>
      <w:r>
        <w:rPr>
          <w:sz w:val="20"/>
        </w:rPr>
        <w:t>es</w:t>
      </w:r>
      <w:r>
        <w:rPr>
          <w:spacing w:val="-5"/>
          <w:sz w:val="20"/>
        </w:rPr>
        <w:t xml:space="preserve"> </w:t>
      </w:r>
      <w:r>
        <w:rPr>
          <w:sz w:val="20"/>
        </w:rPr>
        <w:t>consonante</w:t>
      </w:r>
      <w:r>
        <w:rPr>
          <w:spacing w:val="-7"/>
          <w:sz w:val="20"/>
        </w:rPr>
        <w:t xml:space="preserve"> </w:t>
      </w:r>
      <w:r>
        <w:rPr>
          <w:sz w:val="20"/>
        </w:rPr>
        <w:t>con</w:t>
      </w:r>
      <w:r>
        <w:rPr>
          <w:spacing w:val="-7"/>
          <w:sz w:val="20"/>
        </w:rPr>
        <w:t xml:space="preserve"> </w:t>
      </w:r>
      <w:r>
        <w:rPr>
          <w:sz w:val="20"/>
        </w:rPr>
        <w:t>las</w:t>
      </w:r>
      <w:r>
        <w:rPr>
          <w:spacing w:val="-6"/>
          <w:sz w:val="20"/>
        </w:rPr>
        <w:t xml:space="preserve"> </w:t>
      </w:r>
      <w:r>
        <w:rPr>
          <w:sz w:val="20"/>
        </w:rPr>
        <w:t>obligaciones</w:t>
      </w:r>
      <w:r>
        <w:rPr>
          <w:spacing w:val="-6"/>
          <w:sz w:val="20"/>
        </w:rPr>
        <w:t xml:space="preserve"> </w:t>
      </w:r>
      <w:r>
        <w:rPr>
          <w:sz w:val="20"/>
        </w:rPr>
        <w:t xml:space="preserve">de los Estados en el marco de los derechos humanos y las empresas. Así, por ejemplo, la Comisión Interamericana de Derechos Humanos (en adelante “la CIDH” o “la Comisión Interamericana”) en un reciente informe denominado </w:t>
      </w:r>
      <w:r>
        <w:rPr>
          <w:i/>
          <w:sz w:val="20"/>
        </w:rPr>
        <w:t>Empresas y Derechos Hu</w:t>
      </w:r>
      <w:r>
        <w:rPr>
          <w:i/>
          <w:sz w:val="20"/>
        </w:rPr>
        <w:t xml:space="preserve">manos: Estándares Interamericanos, </w:t>
      </w:r>
      <w:r>
        <w:rPr>
          <w:sz w:val="20"/>
        </w:rPr>
        <w:t>identificó que dentro del marco convencional —derivado de las obligaciones generales que contempla el Pacto de San José— se puede entender que lo expresado en los principios de Ruggie tiene cabida dentro del Sistema</w:t>
      </w:r>
      <w:r>
        <w:rPr>
          <w:spacing w:val="-23"/>
          <w:sz w:val="20"/>
        </w:rPr>
        <w:t xml:space="preserve"> </w:t>
      </w:r>
      <w:r>
        <w:rPr>
          <w:sz w:val="20"/>
        </w:rPr>
        <w:t>Inter</w:t>
      </w:r>
      <w:r>
        <w:rPr>
          <w:sz w:val="20"/>
        </w:rPr>
        <w:t>americano.</w:t>
      </w:r>
    </w:p>
    <w:p w14:paraId="5F5BC433" w14:textId="77777777" w:rsidR="00467FCA" w:rsidRDefault="00467FCA">
      <w:pPr>
        <w:pStyle w:val="Textoindependiente"/>
        <w:spacing w:before="6"/>
        <w:rPr>
          <w:sz w:val="21"/>
        </w:rPr>
      </w:pPr>
    </w:p>
    <w:p w14:paraId="5E82C2A0" w14:textId="77777777" w:rsidR="00467FCA" w:rsidRDefault="001B68EB">
      <w:pPr>
        <w:pStyle w:val="Prrafodelista"/>
        <w:numPr>
          <w:ilvl w:val="0"/>
          <w:numId w:val="9"/>
        </w:numPr>
        <w:tabs>
          <w:tab w:val="left" w:pos="1167"/>
        </w:tabs>
        <w:spacing w:before="1"/>
        <w:ind w:right="272" w:firstLine="0"/>
        <w:jc w:val="both"/>
        <w:rPr>
          <w:sz w:val="20"/>
        </w:rPr>
      </w:pPr>
      <w:r>
        <w:rPr>
          <w:sz w:val="20"/>
        </w:rPr>
        <w:t>Del referido informe, se desprende que las obligaciones de los Estados frente a particulares que actúen mediante empresas se traducen en cuatro sub-obligaciones —o deberes— que pueden comprenderse dentro de la obligación de “garantizar” y “adec</w:t>
      </w:r>
      <w:r>
        <w:rPr>
          <w:sz w:val="20"/>
        </w:rPr>
        <w:t>uar el derecho interno” (arts. 1.1 y 2 de la Convención Americana). Estas cuatro sub-obligaciones son: i) deber de prevenir violaciones a los derechos humanos en el marco de actividades empresariales, ii) deber de regular y adoptar disposiciones de derecho</w:t>
      </w:r>
      <w:r>
        <w:rPr>
          <w:sz w:val="20"/>
        </w:rPr>
        <w:t xml:space="preserve"> interno, iii) deber de fiscalizar tales actividades y iv) deber de investigar, sancionar y asegurar el acceso a reparaciones integrales para victimas en dichos contextos</w:t>
      </w:r>
      <w:hyperlink w:anchor="_bookmark701" w:history="1">
        <w:r>
          <w:rPr>
            <w:position w:val="7"/>
            <w:sz w:val="13"/>
          </w:rPr>
          <w:t>19</w:t>
        </w:r>
      </w:hyperlink>
      <w:r>
        <w:rPr>
          <w:sz w:val="20"/>
        </w:rPr>
        <w:t>. Sin embargo, desde mi perspectiva, los deberes ii)</w:t>
      </w:r>
      <w:r>
        <w:rPr>
          <w:sz w:val="20"/>
        </w:rPr>
        <w:t xml:space="preserve"> y iii) son, en realidad, expresiones de cómo se puede ejecutar la prevención, como se expondrá a</w:t>
      </w:r>
      <w:r>
        <w:rPr>
          <w:spacing w:val="-5"/>
          <w:sz w:val="20"/>
        </w:rPr>
        <w:t xml:space="preserve"> </w:t>
      </w:r>
      <w:r>
        <w:rPr>
          <w:sz w:val="20"/>
        </w:rPr>
        <w:t>continuación.</w:t>
      </w:r>
    </w:p>
    <w:p w14:paraId="597155C1" w14:textId="77777777" w:rsidR="00467FCA" w:rsidRDefault="00467FCA">
      <w:pPr>
        <w:pStyle w:val="Textoindependiente"/>
        <w:spacing w:before="11"/>
        <w:rPr>
          <w:sz w:val="19"/>
        </w:rPr>
      </w:pPr>
    </w:p>
    <w:p w14:paraId="6BF3C0F3" w14:textId="77777777" w:rsidR="00467FCA" w:rsidRDefault="001B68EB">
      <w:pPr>
        <w:pStyle w:val="Prrafodelista"/>
        <w:numPr>
          <w:ilvl w:val="0"/>
          <w:numId w:val="9"/>
        </w:numPr>
        <w:tabs>
          <w:tab w:val="left" w:pos="1167"/>
        </w:tabs>
        <w:spacing w:before="1"/>
        <w:ind w:right="275" w:firstLine="0"/>
        <w:jc w:val="both"/>
        <w:rPr>
          <w:sz w:val="20"/>
        </w:rPr>
      </w:pPr>
      <w:r>
        <w:rPr>
          <w:sz w:val="20"/>
        </w:rPr>
        <w:t>La Corte IDH ya ha indicado desde su primera decisión que la obligación de</w:t>
      </w:r>
      <w:r>
        <w:rPr>
          <w:spacing w:val="-37"/>
          <w:sz w:val="20"/>
        </w:rPr>
        <w:t xml:space="preserve"> </w:t>
      </w:r>
      <w:r>
        <w:rPr>
          <w:sz w:val="20"/>
        </w:rPr>
        <w:t>garantizar implica una amplia gama de acciones por parte del Estado</w:t>
      </w:r>
      <w:hyperlink w:anchor="_bookmark702" w:history="1">
        <w:r>
          <w:rPr>
            <w:position w:val="7"/>
            <w:sz w:val="13"/>
          </w:rPr>
          <w:t>20</w:t>
        </w:r>
      </w:hyperlink>
      <w:r>
        <w:rPr>
          <w:sz w:val="20"/>
        </w:rPr>
        <w:t>. Un primer paso para la garantía de</w:t>
      </w:r>
      <w:r>
        <w:rPr>
          <w:spacing w:val="-10"/>
          <w:sz w:val="20"/>
        </w:rPr>
        <w:t xml:space="preserve"> </w:t>
      </w:r>
      <w:r>
        <w:rPr>
          <w:sz w:val="20"/>
        </w:rPr>
        <w:t>los</w:t>
      </w:r>
      <w:r>
        <w:rPr>
          <w:spacing w:val="-9"/>
          <w:sz w:val="20"/>
        </w:rPr>
        <w:t xml:space="preserve"> </w:t>
      </w:r>
      <w:r>
        <w:rPr>
          <w:sz w:val="20"/>
        </w:rPr>
        <w:t>derechos</w:t>
      </w:r>
      <w:r>
        <w:rPr>
          <w:spacing w:val="-9"/>
          <w:sz w:val="20"/>
        </w:rPr>
        <w:t xml:space="preserve"> </w:t>
      </w:r>
      <w:r>
        <w:rPr>
          <w:sz w:val="20"/>
        </w:rPr>
        <w:t>humanos</w:t>
      </w:r>
      <w:r>
        <w:rPr>
          <w:spacing w:val="-9"/>
          <w:sz w:val="20"/>
        </w:rPr>
        <w:t xml:space="preserve"> </w:t>
      </w:r>
      <w:r>
        <w:rPr>
          <w:sz w:val="20"/>
        </w:rPr>
        <w:t>es</w:t>
      </w:r>
      <w:r>
        <w:rPr>
          <w:spacing w:val="-9"/>
          <w:sz w:val="20"/>
        </w:rPr>
        <w:t xml:space="preserve"> </w:t>
      </w:r>
      <w:r>
        <w:rPr>
          <w:sz w:val="20"/>
        </w:rPr>
        <w:t>la</w:t>
      </w:r>
      <w:r>
        <w:rPr>
          <w:spacing w:val="-8"/>
          <w:sz w:val="20"/>
        </w:rPr>
        <w:t xml:space="preserve"> </w:t>
      </w:r>
      <w:r>
        <w:rPr>
          <w:sz w:val="20"/>
        </w:rPr>
        <w:t>“prevención”.</w:t>
      </w:r>
      <w:r>
        <w:rPr>
          <w:spacing w:val="-6"/>
          <w:sz w:val="20"/>
        </w:rPr>
        <w:t xml:space="preserve"> </w:t>
      </w:r>
      <w:r>
        <w:rPr>
          <w:sz w:val="20"/>
        </w:rPr>
        <w:t>Sobre</w:t>
      </w:r>
      <w:r>
        <w:rPr>
          <w:spacing w:val="-7"/>
          <w:sz w:val="20"/>
        </w:rPr>
        <w:t xml:space="preserve"> </w:t>
      </w:r>
      <w:r>
        <w:rPr>
          <w:sz w:val="20"/>
        </w:rPr>
        <w:t>esta</w:t>
      </w:r>
      <w:r>
        <w:rPr>
          <w:spacing w:val="-5"/>
          <w:sz w:val="20"/>
        </w:rPr>
        <w:t xml:space="preserve"> </w:t>
      </w:r>
      <w:r>
        <w:rPr>
          <w:sz w:val="20"/>
        </w:rPr>
        <w:t>faceta</w:t>
      </w:r>
      <w:r>
        <w:rPr>
          <w:spacing w:val="-9"/>
          <w:sz w:val="20"/>
        </w:rPr>
        <w:t xml:space="preserve"> </w:t>
      </w:r>
      <w:r>
        <w:rPr>
          <w:sz w:val="20"/>
        </w:rPr>
        <w:t>de</w:t>
      </w:r>
      <w:r>
        <w:rPr>
          <w:spacing w:val="-9"/>
          <w:sz w:val="20"/>
        </w:rPr>
        <w:t xml:space="preserve"> </w:t>
      </w:r>
      <w:r>
        <w:rPr>
          <w:sz w:val="20"/>
        </w:rPr>
        <w:t>la</w:t>
      </w:r>
      <w:r>
        <w:rPr>
          <w:spacing w:val="-5"/>
          <w:sz w:val="20"/>
        </w:rPr>
        <w:t xml:space="preserve"> </w:t>
      </w:r>
      <w:r>
        <w:rPr>
          <w:sz w:val="20"/>
        </w:rPr>
        <w:t>obligación</w:t>
      </w:r>
      <w:r>
        <w:rPr>
          <w:spacing w:val="-7"/>
          <w:sz w:val="20"/>
        </w:rPr>
        <w:t xml:space="preserve"> </w:t>
      </w:r>
      <w:r>
        <w:rPr>
          <w:sz w:val="20"/>
        </w:rPr>
        <w:t>de</w:t>
      </w:r>
      <w:r>
        <w:rPr>
          <w:spacing w:val="-9"/>
          <w:sz w:val="20"/>
        </w:rPr>
        <w:t xml:space="preserve"> </w:t>
      </w:r>
      <w:r>
        <w:rPr>
          <w:sz w:val="20"/>
        </w:rPr>
        <w:t>garantizar, el Tribunal Interamericano ha indicado que dicha obligación es de medio o comportamiento y no</w:t>
      </w:r>
      <w:r>
        <w:rPr>
          <w:spacing w:val="-10"/>
          <w:sz w:val="20"/>
        </w:rPr>
        <w:t xml:space="preserve"> </w:t>
      </w:r>
      <w:r>
        <w:rPr>
          <w:sz w:val="20"/>
        </w:rPr>
        <w:t>se</w:t>
      </w:r>
      <w:r>
        <w:rPr>
          <w:spacing w:val="-10"/>
          <w:sz w:val="20"/>
        </w:rPr>
        <w:t xml:space="preserve"> </w:t>
      </w:r>
      <w:r>
        <w:rPr>
          <w:sz w:val="20"/>
        </w:rPr>
        <w:t>demuestra</w:t>
      </w:r>
      <w:r>
        <w:rPr>
          <w:spacing w:val="-7"/>
          <w:sz w:val="20"/>
        </w:rPr>
        <w:t xml:space="preserve"> </w:t>
      </w:r>
      <w:r>
        <w:rPr>
          <w:sz w:val="20"/>
        </w:rPr>
        <w:t>su</w:t>
      </w:r>
      <w:r>
        <w:rPr>
          <w:spacing w:val="-7"/>
          <w:sz w:val="20"/>
        </w:rPr>
        <w:t xml:space="preserve"> </w:t>
      </w:r>
      <w:r>
        <w:rPr>
          <w:sz w:val="20"/>
        </w:rPr>
        <w:t>incumplimiento</w:t>
      </w:r>
      <w:r>
        <w:rPr>
          <w:spacing w:val="-10"/>
          <w:sz w:val="20"/>
        </w:rPr>
        <w:t xml:space="preserve"> </w:t>
      </w:r>
      <w:r>
        <w:rPr>
          <w:sz w:val="20"/>
        </w:rPr>
        <w:t>por</w:t>
      </w:r>
      <w:r>
        <w:rPr>
          <w:spacing w:val="-8"/>
          <w:sz w:val="20"/>
        </w:rPr>
        <w:t xml:space="preserve"> </w:t>
      </w:r>
      <w:r>
        <w:rPr>
          <w:sz w:val="20"/>
        </w:rPr>
        <w:t>el</w:t>
      </w:r>
      <w:r>
        <w:rPr>
          <w:spacing w:val="-9"/>
          <w:sz w:val="20"/>
        </w:rPr>
        <w:t xml:space="preserve"> </w:t>
      </w:r>
      <w:r>
        <w:rPr>
          <w:sz w:val="20"/>
        </w:rPr>
        <w:t>mero</w:t>
      </w:r>
      <w:r>
        <w:rPr>
          <w:spacing w:val="-7"/>
          <w:sz w:val="20"/>
        </w:rPr>
        <w:t xml:space="preserve"> </w:t>
      </w:r>
      <w:r>
        <w:rPr>
          <w:sz w:val="20"/>
        </w:rPr>
        <w:t>hecho</w:t>
      </w:r>
      <w:r>
        <w:rPr>
          <w:spacing w:val="-10"/>
          <w:sz w:val="20"/>
        </w:rPr>
        <w:t xml:space="preserve"> </w:t>
      </w:r>
      <w:r>
        <w:rPr>
          <w:sz w:val="20"/>
        </w:rPr>
        <w:t>de</w:t>
      </w:r>
      <w:r>
        <w:rPr>
          <w:spacing w:val="-10"/>
          <w:sz w:val="20"/>
        </w:rPr>
        <w:t xml:space="preserve"> </w:t>
      </w:r>
      <w:r>
        <w:rPr>
          <w:sz w:val="20"/>
        </w:rPr>
        <w:t>que</w:t>
      </w:r>
      <w:r>
        <w:rPr>
          <w:spacing w:val="-10"/>
          <w:sz w:val="20"/>
        </w:rPr>
        <w:t xml:space="preserve"> </w:t>
      </w:r>
      <w:r>
        <w:rPr>
          <w:sz w:val="20"/>
        </w:rPr>
        <w:t>un</w:t>
      </w:r>
      <w:r>
        <w:rPr>
          <w:spacing w:val="-7"/>
          <w:sz w:val="20"/>
        </w:rPr>
        <w:t xml:space="preserve"> </w:t>
      </w:r>
      <w:r>
        <w:rPr>
          <w:sz w:val="20"/>
        </w:rPr>
        <w:t>derecho</w:t>
      </w:r>
      <w:r>
        <w:rPr>
          <w:spacing w:val="-10"/>
          <w:sz w:val="20"/>
        </w:rPr>
        <w:t xml:space="preserve"> </w:t>
      </w:r>
      <w:r>
        <w:rPr>
          <w:sz w:val="20"/>
        </w:rPr>
        <w:t>haya</w:t>
      </w:r>
      <w:r>
        <w:rPr>
          <w:spacing w:val="-7"/>
          <w:sz w:val="20"/>
        </w:rPr>
        <w:t xml:space="preserve"> </w:t>
      </w:r>
      <w:r>
        <w:rPr>
          <w:sz w:val="20"/>
        </w:rPr>
        <w:t>sido</w:t>
      </w:r>
      <w:r>
        <w:rPr>
          <w:spacing w:val="-8"/>
          <w:sz w:val="20"/>
        </w:rPr>
        <w:t xml:space="preserve"> </w:t>
      </w:r>
      <w:r>
        <w:rPr>
          <w:sz w:val="20"/>
        </w:rPr>
        <w:t>violado</w:t>
      </w:r>
      <w:hyperlink w:anchor="_bookmark703" w:history="1">
        <w:r>
          <w:rPr>
            <w:position w:val="7"/>
            <w:sz w:val="13"/>
          </w:rPr>
          <w:t>21</w:t>
        </w:r>
      </w:hyperlink>
      <w:r>
        <w:rPr>
          <w:sz w:val="20"/>
        </w:rPr>
        <w:t>. En</w:t>
      </w:r>
      <w:r>
        <w:rPr>
          <w:spacing w:val="-8"/>
          <w:sz w:val="20"/>
        </w:rPr>
        <w:t xml:space="preserve"> </w:t>
      </w:r>
      <w:r>
        <w:rPr>
          <w:sz w:val="20"/>
        </w:rPr>
        <w:t>otras</w:t>
      </w:r>
      <w:r>
        <w:rPr>
          <w:spacing w:val="-10"/>
          <w:sz w:val="20"/>
        </w:rPr>
        <w:t xml:space="preserve"> </w:t>
      </w:r>
      <w:r>
        <w:rPr>
          <w:sz w:val="20"/>
        </w:rPr>
        <w:t>palabras,</w:t>
      </w:r>
      <w:r>
        <w:rPr>
          <w:spacing w:val="-8"/>
          <w:sz w:val="20"/>
        </w:rPr>
        <w:t xml:space="preserve"> </w:t>
      </w:r>
      <w:r>
        <w:rPr>
          <w:sz w:val="20"/>
        </w:rPr>
        <w:t>el</w:t>
      </w:r>
      <w:r>
        <w:rPr>
          <w:spacing w:val="-9"/>
          <w:sz w:val="20"/>
        </w:rPr>
        <w:t xml:space="preserve"> </w:t>
      </w:r>
      <w:r>
        <w:rPr>
          <w:sz w:val="20"/>
        </w:rPr>
        <w:t>incumpli</w:t>
      </w:r>
      <w:r>
        <w:rPr>
          <w:sz w:val="20"/>
        </w:rPr>
        <w:t>miento</w:t>
      </w:r>
      <w:r>
        <w:rPr>
          <w:spacing w:val="-9"/>
          <w:sz w:val="20"/>
        </w:rPr>
        <w:t xml:space="preserve"> </w:t>
      </w:r>
      <w:r>
        <w:rPr>
          <w:sz w:val="20"/>
        </w:rPr>
        <w:t>no</w:t>
      </w:r>
      <w:r>
        <w:rPr>
          <w:spacing w:val="-10"/>
          <w:sz w:val="20"/>
        </w:rPr>
        <w:t xml:space="preserve"> </w:t>
      </w:r>
      <w:r>
        <w:rPr>
          <w:sz w:val="20"/>
        </w:rPr>
        <w:t>se</w:t>
      </w:r>
      <w:r>
        <w:rPr>
          <w:spacing w:val="-9"/>
          <w:sz w:val="20"/>
        </w:rPr>
        <w:t xml:space="preserve"> </w:t>
      </w:r>
      <w:r>
        <w:rPr>
          <w:sz w:val="20"/>
        </w:rPr>
        <w:t>genera</w:t>
      </w:r>
      <w:r>
        <w:rPr>
          <w:spacing w:val="-9"/>
          <w:sz w:val="20"/>
        </w:rPr>
        <w:t xml:space="preserve"> </w:t>
      </w:r>
      <w:r>
        <w:rPr>
          <w:sz w:val="20"/>
        </w:rPr>
        <w:t>por</w:t>
      </w:r>
      <w:r>
        <w:rPr>
          <w:spacing w:val="-9"/>
          <w:sz w:val="20"/>
        </w:rPr>
        <w:t xml:space="preserve"> </w:t>
      </w:r>
      <w:r>
        <w:rPr>
          <w:sz w:val="20"/>
        </w:rPr>
        <w:t>la</w:t>
      </w:r>
      <w:r>
        <w:rPr>
          <w:spacing w:val="-9"/>
          <w:sz w:val="20"/>
        </w:rPr>
        <w:t xml:space="preserve"> </w:t>
      </w:r>
      <w:r>
        <w:rPr>
          <w:sz w:val="20"/>
        </w:rPr>
        <w:t>plena</w:t>
      </w:r>
      <w:r>
        <w:rPr>
          <w:spacing w:val="-8"/>
          <w:sz w:val="20"/>
        </w:rPr>
        <w:t xml:space="preserve"> </w:t>
      </w:r>
      <w:r>
        <w:rPr>
          <w:sz w:val="20"/>
        </w:rPr>
        <w:t>efectividad</w:t>
      </w:r>
      <w:r>
        <w:rPr>
          <w:spacing w:val="-8"/>
          <w:sz w:val="20"/>
        </w:rPr>
        <w:t xml:space="preserve"> </w:t>
      </w:r>
      <w:r>
        <w:rPr>
          <w:sz w:val="20"/>
        </w:rPr>
        <w:t>de</w:t>
      </w:r>
      <w:r>
        <w:rPr>
          <w:spacing w:val="-9"/>
          <w:sz w:val="20"/>
        </w:rPr>
        <w:t xml:space="preserve"> </w:t>
      </w:r>
      <w:r>
        <w:rPr>
          <w:sz w:val="20"/>
        </w:rPr>
        <w:t>dichas</w:t>
      </w:r>
      <w:r>
        <w:rPr>
          <w:spacing w:val="-10"/>
          <w:sz w:val="20"/>
        </w:rPr>
        <w:t xml:space="preserve"> </w:t>
      </w:r>
      <w:r>
        <w:rPr>
          <w:sz w:val="20"/>
        </w:rPr>
        <w:t>medidas, sino que, al menos, se espera que se generen resultados considerables y que resulten suficientes para estimar que ha existido una evolución de la situación inicial a una situación actual, para lo cual será deseable que dichos avances sean</w:t>
      </w:r>
      <w:r>
        <w:rPr>
          <w:spacing w:val="-9"/>
          <w:sz w:val="20"/>
        </w:rPr>
        <w:t xml:space="preserve"> </w:t>
      </w:r>
      <w:r>
        <w:rPr>
          <w:sz w:val="20"/>
        </w:rPr>
        <w:t>medibles</w:t>
      </w:r>
      <w:r>
        <w:rPr>
          <w:sz w:val="20"/>
        </w:rPr>
        <w:t>.</w:t>
      </w:r>
    </w:p>
    <w:p w14:paraId="013E2371" w14:textId="77777777" w:rsidR="00467FCA" w:rsidRDefault="00467FCA">
      <w:pPr>
        <w:pStyle w:val="Textoindependiente"/>
      </w:pPr>
    </w:p>
    <w:p w14:paraId="47E24E96" w14:textId="77777777" w:rsidR="00467FCA" w:rsidRDefault="001B68EB">
      <w:pPr>
        <w:pStyle w:val="Prrafodelista"/>
        <w:numPr>
          <w:ilvl w:val="0"/>
          <w:numId w:val="9"/>
        </w:numPr>
        <w:tabs>
          <w:tab w:val="left" w:pos="1167"/>
        </w:tabs>
        <w:ind w:right="274" w:firstLine="0"/>
        <w:jc w:val="both"/>
        <w:rPr>
          <w:sz w:val="20"/>
        </w:rPr>
      </w:pPr>
      <w:r>
        <w:rPr>
          <w:sz w:val="20"/>
        </w:rPr>
        <w:t>Como correlato de lo anterior, la Corte IDH ya ha expresado que los Estados deben adoptar</w:t>
      </w:r>
      <w:r>
        <w:rPr>
          <w:spacing w:val="-20"/>
          <w:sz w:val="20"/>
        </w:rPr>
        <w:t xml:space="preserve"> </w:t>
      </w:r>
      <w:r>
        <w:rPr>
          <w:sz w:val="20"/>
        </w:rPr>
        <w:t>“medidas</w:t>
      </w:r>
      <w:r>
        <w:rPr>
          <w:spacing w:val="-18"/>
          <w:sz w:val="20"/>
        </w:rPr>
        <w:t xml:space="preserve"> </w:t>
      </w:r>
      <w:r>
        <w:rPr>
          <w:sz w:val="20"/>
        </w:rPr>
        <w:t>integrales</w:t>
      </w:r>
      <w:r>
        <w:rPr>
          <w:spacing w:val="-19"/>
          <w:sz w:val="20"/>
        </w:rPr>
        <w:t xml:space="preserve"> </w:t>
      </w:r>
      <w:r>
        <w:rPr>
          <w:sz w:val="20"/>
        </w:rPr>
        <w:t>para</w:t>
      </w:r>
      <w:r>
        <w:rPr>
          <w:spacing w:val="-17"/>
          <w:sz w:val="20"/>
        </w:rPr>
        <w:t xml:space="preserve"> </w:t>
      </w:r>
      <w:r>
        <w:rPr>
          <w:sz w:val="20"/>
        </w:rPr>
        <w:t>cumplir</w:t>
      </w:r>
      <w:r>
        <w:rPr>
          <w:spacing w:val="-20"/>
          <w:sz w:val="20"/>
        </w:rPr>
        <w:t xml:space="preserve"> </w:t>
      </w:r>
      <w:r>
        <w:rPr>
          <w:sz w:val="20"/>
        </w:rPr>
        <w:t>con</w:t>
      </w:r>
      <w:r>
        <w:rPr>
          <w:spacing w:val="-16"/>
          <w:sz w:val="20"/>
        </w:rPr>
        <w:t xml:space="preserve"> </w:t>
      </w:r>
      <w:r>
        <w:rPr>
          <w:sz w:val="20"/>
        </w:rPr>
        <w:t>el</w:t>
      </w:r>
      <w:r>
        <w:rPr>
          <w:spacing w:val="-16"/>
          <w:sz w:val="20"/>
        </w:rPr>
        <w:t xml:space="preserve"> </w:t>
      </w:r>
      <w:r>
        <w:rPr>
          <w:sz w:val="20"/>
        </w:rPr>
        <w:t>deber</w:t>
      </w:r>
      <w:r>
        <w:rPr>
          <w:spacing w:val="-18"/>
          <w:sz w:val="20"/>
        </w:rPr>
        <w:t xml:space="preserve"> </w:t>
      </w:r>
      <w:r>
        <w:rPr>
          <w:sz w:val="20"/>
        </w:rPr>
        <w:t>de</w:t>
      </w:r>
      <w:r>
        <w:rPr>
          <w:spacing w:val="-19"/>
          <w:sz w:val="20"/>
        </w:rPr>
        <w:t xml:space="preserve"> </w:t>
      </w:r>
      <w:r>
        <w:rPr>
          <w:sz w:val="20"/>
        </w:rPr>
        <w:t>prevención”.</w:t>
      </w:r>
      <w:r>
        <w:rPr>
          <w:spacing w:val="-19"/>
          <w:sz w:val="20"/>
        </w:rPr>
        <w:t xml:space="preserve"> </w:t>
      </w:r>
      <w:r>
        <w:rPr>
          <w:sz w:val="20"/>
        </w:rPr>
        <w:t>En</w:t>
      </w:r>
      <w:r>
        <w:rPr>
          <w:spacing w:val="-16"/>
          <w:sz w:val="20"/>
        </w:rPr>
        <w:t xml:space="preserve"> </w:t>
      </w:r>
      <w:r>
        <w:rPr>
          <w:sz w:val="20"/>
        </w:rPr>
        <w:t>especial,</w:t>
      </w:r>
      <w:r>
        <w:rPr>
          <w:spacing w:val="-19"/>
          <w:sz w:val="20"/>
        </w:rPr>
        <w:t xml:space="preserve"> </w:t>
      </w:r>
      <w:r>
        <w:rPr>
          <w:sz w:val="20"/>
        </w:rPr>
        <w:t>los</w:t>
      </w:r>
      <w:r>
        <w:rPr>
          <w:spacing w:val="-18"/>
          <w:sz w:val="20"/>
        </w:rPr>
        <w:t xml:space="preserve"> </w:t>
      </w:r>
      <w:r>
        <w:rPr>
          <w:sz w:val="20"/>
        </w:rPr>
        <w:t>Estados deben contar con un marco jurídico de protección, con una aplicación efectiva del mismo y con políticas de prevención y prácticas que permitan actuar de una manera eficaz ante las denuncias</w:t>
      </w:r>
      <w:r>
        <w:rPr>
          <w:spacing w:val="-17"/>
          <w:sz w:val="20"/>
        </w:rPr>
        <w:t xml:space="preserve"> </w:t>
      </w:r>
      <w:r>
        <w:rPr>
          <w:sz w:val="20"/>
        </w:rPr>
        <w:t>de</w:t>
      </w:r>
      <w:r>
        <w:rPr>
          <w:spacing w:val="-14"/>
          <w:sz w:val="20"/>
        </w:rPr>
        <w:t xml:space="preserve"> </w:t>
      </w:r>
      <w:r>
        <w:rPr>
          <w:sz w:val="20"/>
        </w:rPr>
        <w:t>violaciones</w:t>
      </w:r>
      <w:r>
        <w:rPr>
          <w:spacing w:val="-17"/>
          <w:sz w:val="20"/>
        </w:rPr>
        <w:t xml:space="preserve"> </w:t>
      </w:r>
      <w:r>
        <w:rPr>
          <w:sz w:val="20"/>
        </w:rPr>
        <w:t>de</w:t>
      </w:r>
      <w:r>
        <w:rPr>
          <w:spacing w:val="-14"/>
          <w:sz w:val="20"/>
        </w:rPr>
        <w:t xml:space="preserve"> </w:t>
      </w:r>
      <w:r>
        <w:rPr>
          <w:sz w:val="20"/>
        </w:rPr>
        <w:t>derechos</w:t>
      </w:r>
      <w:r>
        <w:rPr>
          <w:spacing w:val="-14"/>
          <w:sz w:val="20"/>
        </w:rPr>
        <w:t xml:space="preserve"> </w:t>
      </w:r>
      <w:r>
        <w:rPr>
          <w:sz w:val="20"/>
        </w:rPr>
        <w:t>humanos.</w:t>
      </w:r>
      <w:r>
        <w:rPr>
          <w:spacing w:val="-13"/>
          <w:sz w:val="20"/>
        </w:rPr>
        <w:t xml:space="preserve"> </w:t>
      </w:r>
      <w:r>
        <w:rPr>
          <w:sz w:val="20"/>
        </w:rPr>
        <w:t>La</w:t>
      </w:r>
      <w:r>
        <w:rPr>
          <w:spacing w:val="-13"/>
          <w:sz w:val="20"/>
        </w:rPr>
        <w:t xml:space="preserve"> </w:t>
      </w:r>
      <w:r>
        <w:rPr>
          <w:sz w:val="20"/>
        </w:rPr>
        <w:t>estrategia</w:t>
      </w:r>
      <w:r>
        <w:rPr>
          <w:spacing w:val="-15"/>
          <w:sz w:val="20"/>
        </w:rPr>
        <w:t xml:space="preserve"> </w:t>
      </w:r>
      <w:r>
        <w:rPr>
          <w:sz w:val="20"/>
        </w:rPr>
        <w:t>de</w:t>
      </w:r>
      <w:r>
        <w:rPr>
          <w:spacing w:val="-16"/>
          <w:sz w:val="20"/>
        </w:rPr>
        <w:t xml:space="preserve"> </w:t>
      </w:r>
      <w:r>
        <w:rPr>
          <w:sz w:val="20"/>
        </w:rPr>
        <w:t>preve</w:t>
      </w:r>
      <w:r>
        <w:rPr>
          <w:sz w:val="20"/>
        </w:rPr>
        <w:t>nción</w:t>
      </w:r>
      <w:r>
        <w:rPr>
          <w:spacing w:val="-15"/>
          <w:sz w:val="20"/>
        </w:rPr>
        <w:t xml:space="preserve"> </w:t>
      </w:r>
      <w:r>
        <w:rPr>
          <w:sz w:val="20"/>
        </w:rPr>
        <w:t>debe</w:t>
      </w:r>
      <w:r>
        <w:rPr>
          <w:spacing w:val="-14"/>
          <w:sz w:val="20"/>
        </w:rPr>
        <w:t xml:space="preserve"> </w:t>
      </w:r>
      <w:r>
        <w:rPr>
          <w:sz w:val="20"/>
        </w:rPr>
        <w:t>ser</w:t>
      </w:r>
      <w:r>
        <w:rPr>
          <w:spacing w:val="-17"/>
          <w:sz w:val="20"/>
        </w:rPr>
        <w:t xml:space="preserve"> </w:t>
      </w:r>
      <w:r>
        <w:rPr>
          <w:sz w:val="20"/>
        </w:rPr>
        <w:t>integral, es decir, debe prevenir los factores de riesgo y a la vez fortalecer las instituciones para que puedan proporcionar una respuesta efectiva frente a la violación de derechos humanos en cuestión.</w:t>
      </w:r>
      <w:r>
        <w:rPr>
          <w:spacing w:val="-12"/>
          <w:sz w:val="20"/>
        </w:rPr>
        <w:t xml:space="preserve"> </w:t>
      </w:r>
      <w:r>
        <w:rPr>
          <w:sz w:val="20"/>
        </w:rPr>
        <w:t>Asimismo,</w:t>
      </w:r>
      <w:r>
        <w:rPr>
          <w:spacing w:val="-10"/>
          <w:sz w:val="20"/>
        </w:rPr>
        <w:t xml:space="preserve"> </w:t>
      </w:r>
      <w:r>
        <w:rPr>
          <w:sz w:val="20"/>
        </w:rPr>
        <w:t>los</w:t>
      </w:r>
      <w:r>
        <w:rPr>
          <w:spacing w:val="-7"/>
          <w:sz w:val="20"/>
        </w:rPr>
        <w:t xml:space="preserve"> </w:t>
      </w:r>
      <w:r>
        <w:rPr>
          <w:sz w:val="20"/>
        </w:rPr>
        <w:t>Estados</w:t>
      </w:r>
      <w:r>
        <w:rPr>
          <w:spacing w:val="-12"/>
          <w:sz w:val="20"/>
        </w:rPr>
        <w:t xml:space="preserve"> </w:t>
      </w:r>
      <w:r>
        <w:rPr>
          <w:sz w:val="20"/>
        </w:rPr>
        <w:t>deben</w:t>
      </w:r>
      <w:r>
        <w:rPr>
          <w:spacing w:val="-10"/>
          <w:sz w:val="20"/>
        </w:rPr>
        <w:t xml:space="preserve"> </w:t>
      </w:r>
      <w:r>
        <w:rPr>
          <w:sz w:val="20"/>
        </w:rPr>
        <w:t>adoptar</w:t>
      </w:r>
      <w:r>
        <w:rPr>
          <w:spacing w:val="-10"/>
          <w:sz w:val="20"/>
        </w:rPr>
        <w:t xml:space="preserve"> </w:t>
      </w:r>
      <w:r>
        <w:rPr>
          <w:sz w:val="20"/>
        </w:rPr>
        <w:t>medidas</w:t>
      </w:r>
      <w:r>
        <w:rPr>
          <w:spacing w:val="-11"/>
          <w:sz w:val="20"/>
        </w:rPr>
        <w:t xml:space="preserve"> </w:t>
      </w:r>
      <w:r>
        <w:rPr>
          <w:sz w:val="20"/>
        </w:rPr>
        <w:t>de</w:t>
      </w:r>
      <w:r>
        <w:rPr>
          <w:spacing w:val="-12"/>
          <w:sz w:val="20"/>
        </w:rPr>
        <w:t xml:space="preserve"> </w:t>
      </w:r>
      <w:r>
        <w:rPr>
          <w:sz w:val="20"/>
        </w:rPr>
        <w:t>protección</w:t>
      </w:r>
      <w:r>
        <w:rPr>
          <w:spacing w:val="-10"/>
          <w:sz w:val="20"/>
        </w:rPr>
        <w:t xml:space="preserve"> </w:t>
      </w:r>
      <w:r>
        <w:rPr>
          <w:sz w:val="20"/>
        </w:rPr>
        <w:t>en</w:t>
      </w:r>
      <w:r>
        <w:rPr>
          <w:spacing w:val="-10"/>
          <w:sz w:val="20"/>
        </w:rPr>
        <w:t xml:space="preserve"> </w:t>
      </w:r>
      <w:r>
        <w:rPr>
          <w:sz w:val="20"/>
        </w:rPr>
        <w:t>casos</w:t>
      </w:r>
      <w:r>
        <w:rPr>
          <w:spacing w:val="-9"/>
          <w:sz w:val="20"/>
        </w:rPr>
        <w:t xml:space="preserve"> </w:t>
      </w:r>
      <w:r>
        <w:rPr>
          <w:sz w:val="20"/>
        </w:rPr>
        <w:t>específicos</w:t>
      </w:r>
      <w:r>
        <w:rPr>
          <w:spacing w:val="-12"/>
          <w:sz w:val="20"/>
        </w:rPr>
        <w:t xml:space="preserve"> </w:t>
      </w:r>
      <w:r>
        <w:rPr>
          <w:sz w:val="20"/>
        </w:rPr>
        <w:t>en los que es evidente que determinados grupos de personas pueden sufrir afectaciones a sus derechos</w:t>
      </w:r>
      <w:hyperlink w:anchor="_bookmark704" w:history="1">
        <w:r>
          <w:rPr>
            <w:position w:val="7"/>
            <w:sz w:val="13"/>
          </w:rPr>
          <w:t>22</w:t>
        </w:r>
      </w:hyperlink>
      <w:r>
        <w:rPr>
          <w:sz w:val="20"/>
        </w:rPr>
        <w:t>.</w:t>
      </w:r>
    </w:p>
    <w:p w14:paraId="4FEDB499" w14:textId="77777777" w:rsidR="00467FCA" w:rsidRDefault="001B68EB">
      <w:pPr>
        <w:pStyle w:val="Textoindependiente"/>
        <w:spacing w:before="9"/>
        <w:rPr>
          <w:sz w:val="15"/>
        </w:rPr>
      </w:pPr>
      <w:r>
        <w:pict w14:anchorId="05F4A253">
          <v:shape id="_x0000_s1066" style="position:absolute;margin-left:70.9pt;margin-top:11.85pt;width:2in;height:.1pt;z-index:-251525120;mso-wrap-distance-left:0;mso-wrap-distance-right:0;mso-position-horizontal-relative:page" coordorigin="1418,237" coordsize="2880,0" path="m1418,237r2880,e" filled="f" strokeweight=".6pt">
            <v:path arrowok="t"/>
            <w10:wrap type="topAndBottom" anchorx="page"/>
          </v:shape>
        </w:pict>
      </w:r>
    </w:p>
    <w:p w14:paraId="6D362A4B" w14:textId="77777777" w:rsidR="00467FCA" w:rsidRDefault="001B68EB">
      <w:pPr>
        <w:tabs>
          <w:tab w:val="left" w:pos="1166"/>
        </w:tabs>
        <w:spacing w:before="74"/>
        <w:ind w:left="458" w:right="273"/>
        <w:jc w:val="both"/>
        <w:rPr>
          <w:sz w:val="16"/>
        </w:rPr>
      </w:pPr>
      <w:bookmarkStart w:id="782" w:name="_bookmark701"/>
      <w:bookmarkEnd w:id="782"/>
      <w:r>
        <w:rPr>
          <w:position w:val="6"/>
          <w:sz w:val="10"/>
        </w:rPr>
        <w:t>19</w:t>
      </w:r>
      <w:r>
        <w:rPr>
          <w:position w:val="6"/>
          <w:sz w:val="10"/>
        </w:rPr>
        <w:tab/>
      </w:r>
      <w:r>
        <w:rPr>
          <w:i/>
          <w:sz w:val="16"/>
        </w:rPr>
        <w:t xml:space="preserve">Cfr. </w:t>
      </w:r>
      <w:r>
        <w:rPr>
          <w:sz w:val="16"/>
        </w:rPr>
        <w:t xml:space="preserve">CIDH y REDESCA, </w:t>
      </w:r>
      <w:r>
        <w:rPr>
          <w:i/>
          <w:sz w:val="16"/>
        </w:rPr>
        <w:t>Informe sobre Empresas y Derechos Humanos: Estándar</w:t>
      </w:r>
      <w:r>
        <w:rPr>
          <w:i/>
          <w:sz w:val="16"/>
        </w:rPr>
        <w:t>es Interamericanos</w:t>
      </w:r>
      <w:r>
        <w:rPr>
          <w:sz w:val="16"/>
        </w:rPr>
        <w:t>, OEA/Ser.L/V/II CIDH/REDESCA/INF.1/19, 1 de noviembre de 2019, párr.</w:t>
      </w:r>
      <w:r>
        <w:rPr>
          <w:spacing w:val="-11"/>
          <w:sz w:val="16"/>
        </w:rPr>
        <w:t xml:space="preserve"> </w:t>
      </w:r>
      <w:r>
        <w:rPr>
          <w:sz w:val="16"/>
        </w:rPr>
        <w:t>86.</w:t>
      </w:r>
    </w:p>
    <w:p w14:paraId="520181D8" w14:textId="77777777" w:rsidR="00467FCA" w:rsidRDefault="001B68EB">
      <w:pPr>
        <w:tabs>
          <w:tab w:val="left" w:pos="1166"/>
        </w:tabs>
        <w:ind w:left="458" w:right="271"/>
        <w:jc w:val="both"/>
        <w:rPr>
          <w:sz w:val="16"/>
        </w:rPr>
      </w:pPr>
      <w:bookmarkStart w:id="783" w:name="_bookmark702"/>
      <w:bookmarkEnd w:id="783"/>
      <w:r>
        <w:rPr>
          <w:position w:val="6"/>
          <w:sz w:val="10"/>
        </w:rPr>
        <w:t>20</w:t>
      </w:r>
      <w:r>
        <w:rPr>
          <w:position w:val="6"/>
          <w:sz w:val="10"/>
        </w:rPr>
        <w:tab/>
      </w:r>
      <w:r>
        <w:rPr>
          <w:sz w:val="16"/>
        </w:rPr>
        <w:t>“La segunda obligación de los Estados Partes es la de "garantizar" el libre y pleno ejercicio de los derechos reconocidos</w:t>
      </w:r>
      <w:r>
        <w:rPr>
          <w:spacing w:val="-2"/>
          <w:sz w:val="16"/>
        </w:rPr>
        <w:t xml:space="preserve"> </w:t>
      </w:r>
      <w:r>
        <w:rPr>
          <w:sz w:val="16"/>
        </w:rPr>
        <w:t>en</w:t>
      </w:r>
      <w:r>
        <w:rPr>
          <w:spacing w:val="-3"/>
          <w:sz w:val="16"/>
        </w:rPr>
        <w:t xml:space="preserve"> </w:t>
      </w:r>
      <w:r>
        <w:rPr>
          <w:sz w:val="16"/>
        </w:rPr>
        <w:t>la</w:t>
      </w:r>
      <w:r>
        <w:rPr>
          <w:spacing w:val="-3"/>
          <w:sz w:val="16"/>
        </w:rPr>
        <w:t xml:space="preserve"> </w:t>
      </w:r>
      <w:r>
        <w:rPr>
          <w:sz w:val="16"/>
        </w:rPr>
        <w:t>Convención</w:t>
      </w:r>
      <w:r>
        <w:rPr>
          <w:spacing w:val="-6"/>
          <w:sz w:val="16"/>
        </w:rPr>
        <w:t xml:space="preserve"> </w:t>
      </w:r>
      <w:r>
        <w:rPr>
          <w:sz w:val="16"/>
        </w:rPr>
        <w:t>a</w:t>
      </w:r>
      <w:r>
        <w:rPr>
          <w:spacing w:val="-1"/>
          <w:sz w:val="16"/>
        </w:rPr>
        <w:t xml:space="preserve"> </w:t>
      </w:r>
      <w:r>
        <w:rPr>
          <w:sz w:val="16"/>
        </w:rPr>
        <w:t>toda</w:t>
      </w:r>
      <w:r>
        <w:rPr>
          <w:spacing w:val="-6"/>
          <w:sz w:val="16"/>
        </w:rPr>
        <w:t xml:space="preserve"> </w:t>
      </w:r>
      <w:r>
        <w:rPr>
          <w:sz w:val="16"/>
        </w:rPr>
        <w:t>persona</w:t>
      </w:r>
      <w:r>
        <w:rPr>
          <w:spacing w:val="-2"/>
          <w:sz w:val="16"/>
        </w:rPr>
        <w:t xml:space="preserve"> </w:t>
      </w:r>
      <w:r>
        <w:rPr>
          <w:sz w:val="16"/>
        </w:rPr>
        <w:t>sujeta</w:t>
      </w:r>
      <w:r>
        <w:rPr>
          <w:spacing w:val="-3"/>
          <w:sz w:val="16"/>
        </w:rPr>
        <w:t xml:space="preserve"> </w:t>
      </w:r>
      <w:r>
        <w:rPr>
          <w:sz w:val="16"/>
        </w:rPr>
        <w:t>a</w:t>
      </w:r>
      <w:r>
        <w:rPr>
          <w:spacing w:val="-3"/>
          <w:sz w:val="16"/>
        </w:rPr>
        <w:t xml:space="preserve"> </w:t>
      </w:r>
      <w:r>
        <w:rPr>
          <w:sz w:val="16"/>
        </w:rPr>
        <w:t>su</w:t>
      </w:r>
      <w:r>
        <w:rPr>
          <w:spacing w:val="-1"/>
          <w:sz w:val="16"/>
        </w:rPr>
        <w:t xml:space="preserve"> </w:t>
      </w:r>
      <w:r>
        <w:rPr>
          <w:sz w:val="16"/>
        </w:rPr>
        <w:t>jurisdicción.</w:t>
      </w:r>
      <w:r>
        <w:rPr>
          <w:spacing w:val="-1"/>
          <w:sz w:val="16"/>
        </w:rPr>
        <w:t xml:space="preserve"> </w:t>
      </w:r>
      <w:r>
        <w:rPr>
          <w:sz w:val="16"/>
        </w:rPr>
        <w:t>Esta</w:t>
      </w:r>
      <w:r>
        <w:rPr>
          <w:spacing w:val="-3"/>
          <w:sz w:val="16"/>
        </w:rPr>
        <w:t xml:space="preserve"> </w:t>
      </w:r>
      <w:r>
        <w:rPr>
          <w:sz w:val="16"/>
        </w:rPr>
        <w:t>obligación</w:t>
      </w:r>
      <w:r>
        <w:rPr>
          <w:spacing w:val="-3"/>
          <w:sz w:val="16"/>
        </w:rPr>
        <w:t xml:space="preserve"> </w:t>
      </w:r>
      <w:r>
        <w:rPr>
          <w:sz w:val="16"/>
        </w:rPr>
        <w:t>implica</w:t>
      </w:r>
      <w:r>
        <w:rPr>
          <w:spacing w:val="-1"/>
          <w:sz w:val="16"/>
        </w:rPr>
        <w:t xml:space="preserve"> </w:t>
      </w:r>
      <w:r>
        <w:rPr>
          <w:sz w:val="16"/>
        </w:rPr>
        <w:t>el</w:t>
      </w:r>
      <w:r>
        <w:rPr>
          <w:spacing w:val="-3"/>
          <w:sz w:val="16"/>
        </w:rPr>
        <w:t xml:space="preserve"> </w:t>
      </w:r>
      <w:r>
        <w:rPr>
          <w:sz w:val="16"/>
        </w:rPr>
        <w:t>deber</w:t>
      </w:r>
      <w:r>
        <w:rPr>
          <w:spacing w:val="-2"/>
          <w:sz w:val="16"/>
        </w:rPr>
        <w:t xml:space="preserve"> </w:t>
      </w:r>
      <w:r>
        <w:rPr>
          <w:sz w:val="16"/>
        </w:rPr>
        <w:t>de</w:t>
      </w:r>
      <w:r>
        <w:rPr>
          <w:spacing w:val="-2"/>
          <w:sz w:val="16"/>
        </w:rPr>
        <w:t xml:space="preserve"> </w:t>
      </w:r>
      <w:r>
        <w:rPr>
          <w:sz w:val="16"/>
        </w:rPr>
        <w:t>los Estados Partes de organizar todo el aparato gubernamental y, en general, todas las estructuras a través de las cuales se manifiesta el ejercicio del poder público, de manera tal que sean capaces de asegurar jurídicamente el libre y pleno ejercicio de l</w:t>
      </w:r>
      <w:r>
        <w:rPr>
          <w:sz w:val="16"/>
        </w:rPr>
        <w:t xml:space="preserve">os derechos humanos. Como consecuencia de esta obligación los Estados deben prevenir, investigar y sancionar toda violación de </w:t>
      </w:r>
      <w:r>
        <w:rPr>
          <w:spacing w:val="-2"/>
          <w:sz w:val="16"/>
        </w:rPr>
        <w:t xml:space="preserve">los </w:t>
      </w:r>
      <w:r>
        <w:rPr>
          <w:sz w:val="16"/>
        </w:rPr>
        <w:t>derechos reconocidos por la Convención y procurar, además, el restablecimiento, si es</w:t>
      </w:r>
      <w:r>
        <w:rPr>
          <w:spacing w:val="-14"/>
          <w:sz w:val="16"/>
        </w:rPr>
        <w:t xml:space="preserve"> </w:t>
      </w:r>
      <w:r>
        <w:rPr>
          <w:sz w:val="16"/>
        </w:rPr>
        <w:t>posible,</w:t>
      </w:r>
      <w:r>
        <w:rPr>
          <w:spacing w:val="-15"/>
          <w:sz w:val="16"/>
        </w:rPr>
        <w:t xml:space="preserve"> </w:t>
      </w:r>
      <w:r>
        <w:rPr>
          <w:sz w:val="16"/>
        </w:rPr>
        <w:t>del</w:t>
      </w:r>
      <w:r>
        <w:rPr>
          <w:spacing w:val="-15"/>
          <w:sz w:val="16"/>
        </w:rPr>
        <w:t xml:space="preserve"> </w:t>
      </w:r>
      <w:r>
        <w:rPr>
          <w:sz w:val="16"/>
        </w:rPr>
        <w:t>derecho</w:t>
      </w:r>
      <w:r>
        <w:rPr>
          <w:spacing w:val="-14"/>
          <w:sz w:val="16"/>
        </w:rPr>
        <w:t xml:space="preserve"> </w:t>
      </w:r>
      <w:r>
        <w:rPr>
          <w:sz w:val="16"/>
        </w:rPr>
        <w:t>conculcado</w:t>
      </w:r>
      <w:r>
        <w:rPr>
          <w:spacing w:val="-14"/>
          <w:sz w:val="16"/>
        </w:rPr>
        <w:t xml:space="preserve"> </w:t>
      </w:r>
      <w:r>
        <w:rPr>
          <w:sz w:val="16"/>
        </w:rPr>
        <w:t>y,</w:t>
      </w:r>
      <w:r>
        <w:rPr>
          <w:spacing w:val="-14"/>
          <w:sz w:val="16"/>
        </w:rPr>
        <w:t xml:space="preserve"> </w:t>
      </w:r>
      <w:r>
        <w:rPr>
          <w:sz w:val="16"/>
        </w:rPr>
        <w:t>en</w:t>
      </w:r>
      <w:r>
        <w:rPr>
          <w:spacing w:val="-15"/>
          <w:sz w:val="16"/>
        </w:rPr>
        <w:t xml:space="preserve"> </w:t>
      </w:r>
      <w:r>
        <w:rPr>
          <w:sz w:val="16"/>
        </w:rPr>
        <w:t>s</w:t>
      </w:r>
      <w:r>
        <w:rPr>
          <w:sz w:val="16"/>
        </w:rPr>
        <w:t>u</w:t>
      </w:r>
      <w:r>
        <w:rPr>
          <w:spacing w:val="-15"/>
          <w:sz w:val="16"/>
        </w:rPr>
        <w:t xml:space="preserve"> </w:t>
      </w:r>
      <w:r>
        <w:rPr>
          <w:sz w:val="16"/>
        </w:rPr>
        <w:t>caso,</w:t>
      </w:r>
      <w:r>
        <w:rPr>
          <w:spacing w:val="-15"/>
          <w:sz w:val="16"/>
        </w:rPr>
        <w:t xml:space="preserve"> </w:t>
      </w:r>
      <w:r>
        <w:rPr>
          <w:sz w:val="16"/>
        </w:rPr>
        <w:t>la</w:t>
      </w:r>
      <w:r>
        <w:rPr>
          <w:spacing w:val="-15"/>
          <w:sz w:val="16"/>
        </w:rPr>
        <w:t xml:space="preserve"> </w:t>
      </w:r>
      <w:r>
        <w:rPr>
          <w:sz w:val="16"/>
        </w:rPr>
        <w:t>reparación</w:t>
      </w:r>
      <w:r>
        <w:rPr>
          <w:spacing w:val="-13"/>
          <w:sz w:val="16"/>
        </w:rPr>
        <w:t xml:space="preserve"> </w:t>
      </w:r>
      <w:r>
        <w:rPr>
          <w:sz w:val="16"/>
        </w:rPr>
        <w:t>de</w:t>
      </w:r>
      <w:r>
        <w:rPr>
          <w:spacing w:val="-13"/>
          <w:sz w:val="16"/>
        </w:rPr>
        <w:t xml:space="preserve"> </w:t>
      </w:r>
      <w:r>
        <w:rPr>
          <w:sz w:val="16"/>
        </w:rPr>
        <w:t>los</w:t>
      </w:r>
      <w:r>
        <w:rPr>
          <w:spacing w:val="-14"/>
          <w:sz w:val="16"/>
        </w:rPr>
        <w:t xml:space="preserve"> </w:t>
      </w:r>
      <w:r>
        <w:rPr>
          <w:sz w:val="16"/>
        </w:rPr>
        <w:t>daños</w:t>
      </w:r>
      <w:r>
        <w:rPr>
          <w:spacing w:val="-14"/>
          <w:sz w:val="16"/>
        </w:rPr>
        <w:t xml:space="preserve"> </w:t>
      </w:r>
      <w:r>
        <w:rPr>
          <w:sz w:val="16"/>
        </w:rPr>
        <w:t>producidos</w:t>
      </w:r>
      <w:r>
        <w:rPr>
          <w:spacing w:val="-14"/>
          <w:sz w:val="16"/>
        </w:rPr>
        <w:t xml:space="preserve"> </w:t>
      </w:r>
      <w:r>
        <w:rPr>
          <w:sz w:val="16"/>
        </w:rPr>
        <w:t>por</w:t>
      </w:r>
      <w:r>
        <w:rPr>
          <w:spacing w:val="-14"/>
          <w:sz w:val="16"/>
        </w:rPr>
        <w:t xml:space="preserve"> </w:t>
      </w:r>
      <w:r>
        <w:rPr>
          <w:sz w:val="16"/>
        </w:rPr>
        <w:t>la</w:t>
      </w:r>
      <w:r>
        <w:rPr>
          <w:spacing w:val="-13"/>
          <w:sz w:val="16"/>
        </w:rPr>
        <w:t xml:space="preserve"> </w:t>
      </w:r>
      <w:r>
        <w:rPr>
          <w:sz w:val="16"/>
        </w:rPr>
        <w:t>violación</w:t>
      </w:r>
      <w:r>
        <w:rPr>
          <w:spacing w:val="-14"/>
          <w:sz w:val="16"/>
        </w:rPr>
        <w:t xml:space="preserve"> </w:t>
      </w:r>
      <w:r>
        <w:rPr>
          <w:sz w:val="16"/>
        </w:rPr>
        <w:t>de</w:t>
      </w:r>
      <w:r>
        <w:rPr>
          <w:spacing w:val="-14"/>
          <w:sz w:val="16"/>
        </w:rPr>
        <w:t xml:space="preserve"> </w:t>
      </w:r>
      <w:r>
        <w:rPr>
          <w:sz w:val="16"/>
        </w:rPr>
        <w:t>los</w:t>
      </w:r>
      <w:r>
        <w:rPr>
          <w:spacing w:val="-14"/>
          <w:sz w:val="16"/>
        </w:rPr>
        <w:t xml:space="preserve"> </w:t>
      </w:r>
      <w:r>
        <w:rPr>
          <w:sz w:val="16"/>
        </w:rPr>
        <w:t xml:space="preserve">derechos humanos”. </w:t>
      </w:r>
      <w:r>
        <w:rPr>
          <w:i/>
          <w:sz w:val="16"/>
        </w:rPr>
        <w:t xml:space="preserve">Caso Velásquez Rodríguez Vs. Honduras. Fondo, supra, </w:t>
      </w:r>
      <w:r>
        <w:rPr>
          <w:sz w:val="16"/>
        </w:rPr>
        <w:t>párr.</w:t>
      </w:r>
      <w:r>
        <w:rPr>
          <w:spacing w:val="-15"/>
          <w:sz w:val="16"/>
        </w:rPr>
        <w:t xml:space="preserve"> </w:t>
      </w:r>
      <w:r>
        <w:rPr>
          <w:sz w:val="16"/>
        </w:rPr>
        <w:t>166.</w:t>
      </w:r>
    </w:p>
    <w:p w14:paraId="1EDF2C63" w14:textId="77777777" w:rsidR="00467FCA" w:rsidRDefault="001B68EB">
      <w:pPr>
        <w:tabs>
          <w:tab w:val="left" w:pos="1166"/>
        </w:tabs>
        <w:ind w:left="458" w:right="274"/>
        <w:jc w:val="both"/>
        <w:rPr>
          <w:sz w:val="16"/>
        </w:rPr>
      </w:pPr>
      <w:bookmarkStart w:id="784" w:name="_bookmark703"/>
      <w:bookmarkEnd w:id="784"/>
      <w:r>
        <w:rPr>
          <w:position w:val="6"/>
          <w:sz w:val="10"/>
        </w:rPr>
        <w:t>21</w:t>
      </w:r>
      <w:r>
        <w:rPr>
          <w:position w:val="6"/>
          <w:sz w:val="10"/>
        </w:rPr>
        <w:tab/>
      </w:r>
      <w:r>
        <w:rPr>
          <w:i/>
          <w:sz w:val="16"/>
        </w:rPr>
        <w:t xml:space="preserve">Cfr. Caso Velásquez Rodríguez Vs. Honduras. Fondo, supra, </w:t>
      </w:r>
      <w:r>
        <w:rPr>
          <w:sz w:val="16"/>
        </w:rPr>
        <w:t xml:space="preserve">párr. 166, y </w:t>
      </w:r>
      <w:r>
        <w:rPr>
          <w:i/>
          <w:sz w:val="16"/>
        </w:rPr>
        <w:t>Caso Comunidades Indígenas Mi</w:t>
      </w:r>
      <w:r>
        <w:rPr>
          <w:i/>
          <w:sz w:val="16"/>
        </w:rPr>
        <w:t>embros</w:t>
      </w:r>
      <w:r>
        <w:rPr>
          <w:i/>
          <w:spacing w:val="-8"/>
          <w:sz w:val="16"/>
        </w:rPr>
        <w:t xml:space="preserve"> </w:t>
      </w:r>
      <w:r>
        <w:rPr>
          <w:i/>
          <w:sz w:val="16"/>
        </w:rPr>
        <w:t>de</w:t>
      </w:r>
      <w:r>
        <w:rPr>
          <w:i/>
          <w:spacing w:val="-5"/>
          <w:sz w:val="16"/>
        </w:rPr>
        <w:t xml:space="preserve"> </w:t>
      </w:r>
      <w:r>
        <w:rPr>
          <w:i/>
          <w:sz w:val="16"/>
        </w:rPr>
        <w:t>la</w:t>
      </w:r>
      <w:r>
        <w:rPr>
          <w:i/>
          <w:spacing w:val="-8"/>
          <w:sz w:val="16"/>
        </w:rPr>
        <w:t xml:space="preserve"> </w:t>
      </w:r>
      <w:r>
        <w:rPr>
          <w:i/>
          <w:sz w:val="16"/>
        </w:rPr>
        <w:t>Asociación</w:t>
      </w:r>
      <w:r>
        <w:rPr>
          <w:i/>
          <w:spacing w:val="-7"/>
          <w:sz w:val="16"/>
        </w:rPr>
        <w:t xml:space="preserve"> </w:t>
      </w:r>
      <w:r>
        <w:rPr>
          <w:i/>
          <w:sz w:val="16"/>
        </w:rPr>
        <w:t>Lhaka</w:t>
      </w:r>
      <w:r>
        <w:rPr>
          <w:i/>
          <w:spacing w:val="-6"/>
          <w:sz w:val="16"/>
        </w:rPr>
        <w:t xml:space="preserve"> </w:t>
      </w:r>
      <w:r>
        <w:rPr>
          <w:i/>
          <w:sz w:val="16"/>
        </w:rPr>
        <w:t>Honhat</w:t>
      </w:r>
      <w:r>
        <w:rPr>
          <w:i/>
          <w:spacing w:val="-6"/>
          <w:sz w:val="16"/>
        </w:rPr>
        <w:t xml:space="preserve"> </w:t>
      </w:r>
      <w:r>
        <w:rPr>
          <w:i/>
          <w:sz w:val="16"/>
        </w:rPr>
        <w:t>(Nuestra</w:t>
      </w:r>
      <w:r>
        <w:rPr>
          <w:i/>
          <w:spacing w:val="-7"/>
          <w:sz w:val="16"/>
        </w:rPr>
        <w:t xml:space="preserve"> </w:t>
      </w:r>
      <w:r>
        <w:rPr>
          <w:i/>
          <w:sz w:val="16"/>
        </w:rPr>
        <w:t>Tierra)</w:t>
      </w:r>
      <w:r>
        <w:rPr>
          <w:i/>
          <w:spacing w:val="-8"/>
          <w:sz w:val="16"/>
        </w:rPr>
        <w:t xml:space="preserve"> </w:t>
      </w:r>
      <w:r>
        <w:rPr>
          <w:i/>
          <w:sz w:val="16"/>
        </w:rPr>
        <w:t>Vs.</w:t>
      </w:r>
      <w:r>
        <w:rPr>
          <w:i/>
          <w:spacing w:val="-6"/>
          <w:sz w:val="16"/>
        </w:rPr>
        <w:t xml:space="preserve"> </w:t>
      </w:r>
      <w:r>
        <w:rPr>
          <w:i/>
          <w:sz w:val="16"/>
        </w:rPr>
        <w:t>Argentina.</w:t>
      </w:r>
      <w:r>
        <w:rPr>
          <w:i/>
          <w:spacing w:val="-7"/>
          <w:sz w:val="16"/>
        </w:rPr>
        <w:t xml:space="preserve"> </w:t>
      </w:r>
      <w:r>
        <w:rPr>
          <w:i/>
          <w:sz w:val="16"/>
        </w:rPr>
        <w:t>Fondo,</w:t>
      </w:r>
      <w:r>
        <w:rPr>
          <w:i/>
          <w:spacing w:val="-8"/>
          <w:sz w:val="16"/>
        </w:rPr>
        <w:t xml:space="preserve"> </w:t>
      </w:r>
      <w:r>
        <w:rPr>
          <w:i/>
          <w:sz w:val="16"/>
        </w:rPr>
        <w:t>Reparaciones</w:t>
      </w:r>
      <w:r>
        <w:rPr>
          <w:i/>
          <w:spacing w:val="-5"/>
          <w:sz w:val="16"/>
        </w:rPr>
        <w:t xml:space="preserve"> </w:t>
      </w:r>
      <w:r>
        <w:rPr>
          <w:i/>
          <w:sz w:val="16"/>
        </w:rPr>
        <w:t>y</w:t>
      </w:r>
      <w:r>
        <w:rPr>
          <w:i/>
          <w:spacing w:val="-7"/>
          <w:sz w:val="16"/>
        </w:rPr>
        <w:t xml:space="preserve"> </w:t>
      </w:r>
      <w:r>
        <w:rPr>
          <w:i/>
          <w:sz w:val="16"/>
        </w:rPr>
        <w:t>Costas</w:t>
      </w:r>
      <w:r>
        <w:rPr>
          <w:sz w:val="16"/>
        </w:rPr>
        <w:t>.</w:t>
      </w:r>
      <w:r>
        <w:rPr>
          <w:spacing w:val="-6"/>
          <w:sz w:val="16"/>
        </w:rPr>
        <w:t xml:space="preserve"> </w:t>
      </w:r>
      <w:r>
        <w:rPr>
          <w:sz w:val="16"/>
        </w:rPr>
        <w:t>Sentencia</w:t>
      </w:r>
      <w:r>
        <w:rPr>
          <w:spacing w:val="-6"/>
          <w:sz w:val="16"/>
        </w:rPr>
        <w:t xml:space="preserve"> </w:t>
      </w:r>
      <w:r>
        <w:rPr>
          <w:sz w:val="16"/>
        </w:rPr>
        <w:t>de 6 de febrero de 2020. Serie C No. 400, párr.</w:t>
      </w:r>
      <w:r>
        <w:rPr>
          <w:spacing w:val="-15"/>
          <w:sz w:val="16"/>
        </w:rPr>
        <w:t xml:space="preserve"> </w:t>
      </w:r>
      <w:r>
        <w:rPr>
          <w:sz w:val="16"/>
        </w:rPr>
        <w:t>208.</w:t>
      </w:r>
    </w:p>
    <w:p w14:paraId="72B6A189" w14:textId="77777777" w:rsidR="00467FCA" w:rsidRDefault="001B68EB">
      <w:pPr>
        <w:tabs>
          <w:tab w:val="left" w:pos="1166"/>
        </w:tabs>
        <w:ind w:left="458" w:right="270"/>
        <w:jc w:val="both"/>
        <w:rPr>
          <w:sz w:val="16"/>
        </w:rPr>
      </w:pPr>
      <w:bookmarkStart w:id="785" w:name="_bookmark704"/>
      <w:bookmarkEnd w:id="785"/>
      <w:r>
        <w:rPr>
          <w:position w:val="6"/>
          <w:sz w:val="10"/>
        </w:rPr>
        <w:t>22</w:t>
      </w:r>
      <w:r>
        <w:rPr>
          <w:position w:val="6"/>
          <w:sz w:val="10"/>
        </w:rPr>
        <w:tab/>
      </w:r>
      <w:r>
        <w:rPr>
          <w:i/>
          <w:sz w:val="16"/>
        </w:rPr>
        <w:t>Mutatis</w:t>
      </w:r>
      <w:r>
        <w:rPr>
          <w:i/>
          <w:spacing w:val="-9"/>
          <w:sz w:val="16"/>
        </w:rPr>
        <w:t xml:space="preserve"> </w:t>
      </w:r>
      <w:r>
        <w:rPr>
          <w:i/>
          <w:sz w:val="16"/>
        </w:rPr>
        <w:t>mutandi,</w:t>
      </w:r>
      <w:r>
        <w:rPr>
          <w:i/>
          <w:spacing w:val="-9"/>
          <w:sz w:val="16"/>
        </w:rPr>
        <w:t xml:space="preserve"> </w:t>
      </w:r>
      <w:r>
        <w:rPr>
          <w:i/>
          <w:sz w:val="16"/>
        </w:rPr>
        <w:t>Caso</w:t>
      </w:r>
      <w:r>
        <w:rPr>
          <w:i/>
          <w:spacing w:val="-8"/>
          <w:sz w:val="16"/>
        </w:rPr>
        <w:t xml:space="preserve"> </w:t>
      </w:r>
      <w:r>
        <w:rPr>
          <w:i/>
          <w:sz w:val="16"/>
        </w:rPr>
        <w:t>Trabajadores</w:t>
      </w:r>
      <w:r>
        <w:rPr>
          <w:i/>
          <w:spacing w:val="-11"/>
          <w:sz w:val="16"/>
        </w:rPr>
        <w:t xml:space="preserve"> </w:t>
      </w:r>
      <w:r>
        <w:rPr>
          <w:i/>
          <w:sz w:val="16"/>
        </w:rPr>
        <w:t>de</w:t>
      </w:r>
      <w:r>
        <w:rPr>
          <w:i/>
          <w:spacing w:val="-11"/>
          <w:sz w:val="16"/>
        </w:rPr>
        <w:t xml:space="preserve"> </w:t>
      </w:r>
      <w:r>
        <w:rPr>
          <w:i/>
          <w:sz w:val="16"/>
        </w:rPr>
        <w:t>la</w:t>
      </w:r>
      <w:r>
        <w:rPr>
          <w:i/>
          <w:spacing w:val="-9"/>
          <w:sz w:val="16"/>
        </w:rPr>
        <w:t xml:space="preserve"> </w:t>
      </w:r>
      <w:r>
        <w:rPr>
          <w:i/>
          <w:sz w:val="16"/>
        </w:rPr>
        <w:t>Hacienda</w:t>
      </w:r>
      <w:r>
        <w:rPr>
          <w:i/>
          <w:spacing w:val="-11"/>
          <w:sz w:val="16"/>
        </w:rPr>
        <w:t xml:space="preserve"> </w:t>
      </w:r>
      <w:r>
        <w:rPr>
          <w:i/>
          <w:sz w:val="16"/>
        </w:rPr>
        <w:t>Brasil</w:t>
      </w:r>
      <w:r>
        <w:rPr>
          <w:i/>
          <w:spacing w:val="-12"/>
          <w:sz w:val="16"/>
        </w:rPr>
        <w:t xml:space="preserve"> </w:t>
      </w:r>
      <w:r>
        <w:rPr>
          <w:i/>
          <w:sz w:val="16"/>
        </w:rPr>
        <w:t>Verde</w:t>
      </w:r>
      <w:r>
        <w:rPr>
          <w:i/>
          <w:spacing w:val="-11"/>
          <w:sz w:val="16"/>
        </w:rPr>
        <w:t xml:space="preserve"> </w:t>
      </w:r>
      <w:r>
        <w:rPr>
          <w:i/>
          <w:sz w:val="16"/>
        </w:rPr>
        <w:t>Vs.</w:t>
      </w:r>
      <w:r>
        <w:rPr>
          <w:i/>
          <w:spacing w:val="-9"/>
          <w:sz w:val="16"/>
        </w:rPr>
        <w:t xml:space="preserve"> </w:t>
      </w:r>
      <w:r>
        <w:rPr>
          <w:i/>
          <w:sz w:val="16"/>
        </w:rPr>
        <w:t>Brasil.</w:t>
      </w:r>
      <w:r>
        <w:rPr>
          <w:i/>
          <w:spacing w:val="-9"/>
          <w:sz w:val="16"/>
        </w:rPr>
        <w:t xml:space="preserve"> </w:t>
      </w:r>
      <w:r>
        <w:rPr>
          <w:i/>
          <w:sz w:val="16"/>
        </w:rPr>
        <w:t>Excepciones</w:t>
      </w:r>
      <w:r>
        <w:rPr>
          <w:i/>
          <w:spacing w:val="-11"/>
          <w:sz w:val="16"/>
        </w:rPr>
        <w:t xml:space="preserve"> </w:t>
      </w:r>
      <w:r>
        <w:rPr>
          <w:i/>
          <w:sz w:val="16"/>
        </w:rPr>
        <w:t>Preliminares,</w:t>
      </w:r>
      <w:r>
        <w:rPr>
          <w:i/>
          <w:spacing w:val="-9"/>
          <w:sz w:val="16"/>
        </w:rPr>
        <w:t xml:space="preserve"> </w:t>
      </w:r>
      <w:r>
        <w:rPr>
          <w:i/>
          <w:sz w:val="16"/>
        </w:rPr>
        <w:t>Fondo, Reparaciones y Costas</w:t>
      </w:r>
      <w:r>
        <w:rPr>
          <w:sz w:val="16"/>
        </w:rPr>
        <w:t>. Sentencia de 20 de octubre de 2016. Serie C No. 318, párr.</w:t>
      </w:r>
      <w:r>
        <w:rPr>
          <w:spacing w:val="-17"/>
          <w:sz w:val="16"/>
        </w:rPr>
        <w:t xml:space="preserve"> </w:t>
      </w:r>
      <w:r>
        <w:rPr>
          <w:sz w:val="16"/>
        </w:rPr>
        <w:t>320.</w:t>
      </w:r>
    </w:p>
    <w:p w14:paraId="63600139" w14:textId="77777777" w:rsidR="00467FCA" w:rsidRDefault="00467FCA">
      <w:pPr>
        <w:jc w:val="both"/>
        <w:rPr>
          <w:sz w:val="16"/>
        </w:rPr>
        <w:sectPr w:rsidR="00467FCA">
          <w:pgSz w:w="12240" w:h="15840"/>
          <w:pgMar w:top="1500" w:right="1140" w:bottom="920" w:left="960" w:header="0" w:footer="734" w:gutter="0"/>
          <w:cols w:space="720"/>
        </w:sectPr>
      </w:pPr>
    </w:p>
    <w:p w14:paraId="751BDCAB" w14:textId="77777777" w:rsidR="00467FCA" w:rsidRDefault="001B68EB">
      <w:pPr>
        <w:pStyle w:val="Prrafodelista"/>
        <w:numPr>
          <w:ilvl w:val="0"/>
          <w:numId w:val="9"/>
        </w:numPr>
        <w:tabs>
          <w:tab w:val="left" w:pos="1167"/>
        </w:tabs>
        <w:spacing w:before="161"/>
        <w:ind w:right="274" w:firstLine="0"/>
        <w:jc w:val="both"/>
        <w:rPr>
          <w:sz w:val="20"/>
        </w:rPr>
      </w:pPr>
      <w:r>
        <w:rPr>
          <w:sz w:val="20"/>
        </w:rPr>
        <w:t>Un primer elemento que se puede desprender de lo indicado por el Tribunal Interamericano es la obligación de contar con un</w:t>
      </w:r>
      <w:r>
        <w:rPr>
          <w:sz w:val="20"/>
        </w:rPr>
        <w:t xml:space="preserve"> </w:t>
      </w:r>
      <w:r>
        <w:rPr>
          <w:i/>
          <w:sz w:val="20"/>
        </w:rPr>
        <w:t>marco jurídico de protección</w:t>
      </w:r>
      <w:r>
        <w:rPr>
          <w:sz w:val="20"/>
        </w:rPr>
        <w:t>, es decir, regular. Como ha sido interpretado de los artículos 1.1 y 2 de la Convención Americana, “la obligación estatal de adecuar la legislación interna a las disposiciones convencionales no se limita al texto constituciona</w:t>
      </w:r>
      <w:r>
        <w:rPr>
          <w:sz w:val="20"/>
        </w:rPr>
        <w:t>l o legislativo, sino que debe irradiar a todas las disposiciones jurídicas de carácter reglamentario y traducirse en la efectiva aplicación práctica de los estándares de protección de los derechos humanos”</w:t>
      </w:r>
      <w:hyperlink w:anchor="_bookmark705" w:history="1">
        <w:r>
          <w:rPr>
            <w:position w:val="7"/>
            <w:sz w:val="13"/>
          </w:rPr>
          <w:t>23</w:t>
        </w:r>
      </w:hyperlink>
      <w:r>
        <w:rPr>
          <w:sz w:val="20"/>
        </w:rPr>
        <w:t>. No obstante, n</w:t>
      </w:r>
      <w:r>
        <w:rPr>
          <w:sz w:val="20"/>
        </w:rPr>
        <w:t>o basta</w:t>
      </w:r>
      <w:r>
        <w:rPr>
          <w:spacing w:val="-51"/>
          <w:sz w:val="20"/>
        </w:rPr>
        <w:t xml:space="preserve"> </w:t>
      </w:r>
      <w:r>
        <w:rPr>
          <w:sz w:val="20"/>
        </w:rPr>
        <w:t>con la adopción o adecuación de la legislación interna, sino que, junto con la regulación, en aras de hacer operativo lo contemplado en la normativa, es necesario que se cuente con un aparato institucional que tenga competencia sobre dicha</w:t>
      </w:r>
      <w:r>
        <w:rPr>
          <w:spacing w:val="-3"/>
          <w:sz w:val="20"/>
        </w:rPr>
        <w:t xml:space="preserve"> </w:t>
      </w:r>
      <w:r>
        <w:rPr>
          <w:sz w:val="20"/>
        </w:rPr>
        <w:t>normativ</w:t>
      </w:r>
      <w:r>
        <w:rPr>
          <w:sz w:val="20"/>
        </w:rPr>
        <w:t>a</w:t>
      </w:r>
      <w:hyperlink w:anchor="_bookmark706" w:history="1">
        <w:r>
          <w:rPr>
            <w:position w:val="7"/>
            <w:sz w:val="13"/>
          </w:rPr>
          <w:t>24</w:t>
        </w:r>
      </w:hyperlink>
      <w:r>
        <w:rPr>
          <w:sz w:val="20"/>
        </w:rPr>
        <w:t>.</w:t>
      </w:r>
    </w:p>
    <w:p w14:paraId="48ED7AB7" w14:textId="77777777" w:rsidR="00467FCA" w:rsidRDefault="00467FCA">
      <w:pPr>
        <w:pStyle w:val="Textoindependiente"/>
      </w:pPr>
    </w:p>
    <w:p w14:paraId="59899C37" w14:textId="77777777" w:rsidR="00467FCA" w:rsidRDefault="001B68EB">
      <w:pPr>
        <w:pStyle w:val="Prrafodelista"/>
        <w:numPr>
          <w:ilvl w:val="0"/>
          <w:numId w:val="9"/>
        </w:numPr>
        <w:tabs>
          <w:tab w:val="left" w:pos="1167"/>
        </w:tabs>
        <w:ind w:right="275" w:firstLine="0"/>
        <w:jc w:val="both"/>
        <w:rPr>
          <w:sz w:val="20"/>
        </w:rPr>
      </w:pPr>
      <w:r>
        <w:rPr>
          <w:sz w:val="20"/>
        </w:rPr>
        <w:t>Tampoco</w:t>
      </w:r>
      <w:r>
        <w:rPr>
          <w:spacing w:val="-12"/>
          <w:sz w:val="20"/>
        </w:rPr>
        <w:t xml:space="preserve"> </w:t>
      </w:r>
      <w:r>
        <w:rPr>
          <w:sz w:val="20"/>
        </w:rPr>
        <w:t>basta</w:t>
      </w:r>
      <w:r>
        <w:rPr>
          <w:spacing w:val="-10"/>
          <w:sz w:val="20"/>
        </w:rPr>
        <w:t xml:space="preserve"> </w:t>
      </w:r>
      <w:r>
        <w:rPr>
          <w:sz w:val="20"/>
        </w:rPr>
        <w:t>con</w:t>
      </w:r>
      <w:r>
        <w:rPr>
          <w:spacing w:val="-9"/>
          <w:sz w:val="20"/>
        </w:rPr>
        <w:t xml:space="preserve"> </w:t>
      </w:r>
      <w:r>
        <w:rPr>
          <w:sz w:val="20"/>
        </w:rPr>
        <w:t>la</w:t>
      </w:r>
      <w:r>
        <w:rPr>
          <w:spacing w:val="-11"/>
          <w:sz w:val="20"/>
        </w:rPr>
        <w:t xml:space="preserve"> </w:t>
      </w:r>
      <w:r>
        <w:rPr>
          <w:sz w:val="20"/>
        </w:rPr>
        <w:t>existencia</w:t>
      </w:r>
      <w:r>
        <w:rPr>
          <w:spacing w:val="-10"/>
          <w:sz w:val="20"/>
        </w:rPr>
        <w:t xml:space="preserve"> </w:t>
      </w:r>
      <w:r>
        <w:rPr>
          <w:sz w:val="20"/>
        </w:rPr>
        <w:t>formal</w:t>
      </w:r>
      <w:r>
        <w:rPr>
          <w:spacing w:val="-10"/>
          <w:sz w:val="20"/>
        </w:rPr>
        <w:t xml:space="preserve"> </w:t>
      </w:r>
      <w:r>
        <w:rPr>
          <w:sz w:val="20"/>
        </w:rPr>
        <w:t>de</w:t>
      </w:r>
      <w:r>
        <w:rPr>
          <w:spacing w:val="-13"/>
          <w:sz w:val="20"/>
        </w:rPr>
        <w:t xml:space="preserve"> </w:t>
      </w:r>
      <w:r>
        <w:rPr>
          <w:sz w:val="20"/>
        </w:rPr>
        <w:t>un</w:t>
      </w:r>
      <w:r>
        <w:rPr>
          <w:spacing w:val="-12"/>
          <w:sz w:val="20"/>
        </w:rPr>
        <w:t xml:space="preserve"> </w:t>
      </w:r>
      <w:r>
        <w:rPr>
          <w:sz w:val="20"/>
        </w:rPr>
        <w:t>aparato</w:t>
      </w:r>
      <w:r>
        <w:rPr>
          <w:spacing w:val="-11"/>
          <w:sz w:val="20"/>
        </w:rPr>
        <w:t xml:space="preserve"> </w:t>
      </w:r>
      <w:r>
        <w:rPr>
          <w:sz w:val="20"/>
        </w:rPr>
        <w:t>institucional</w:t>
      </w:r>
      <w:r>
        <w:rPr>
          <w:spacing w:val="-11"/>
          <w:sz w:val="20"/>
        </w:rPr>
        <w:t xml:space="preserve"> </w:t>
      </w:r>
      <w:r>
        <w:rPr>
          <w:sz w:val="20"/>
        </w:rPr>
        <w:t>al</w:t>
      </w:r>
      <w:r>
        <w:rPr>
          <w:spacing w:val="-13"/>
          <w:sz w:val="20"/>
        </w:rPr>
        <w:t xml:space="preserve"> </w:t>
      </w:r>
      <w:r>
        <w:rPr>
          <w:sz w:val="20"/>
        </w:rPr>
        <w:t>que</w:t>
      </w:r>
      <w:r>
        <w:rPr>
          <w:spacing w:val="-14"/>
          <w:sz w:val="20"/>
        </w:rPr>
        <w:t xml:space="preserve"> </w:t>
      </w:r>
      <w:r>
        <w:rPr>
          <w:sz w:val="20"/>
        </w:rPr>
        <w:t>se</w:t>
      </w:r>
      <w:r>
        <w:rPr>
          <w:spacing w:val="-11"/>
          <w:sz w:val="20"/>
        </w:rPr>
        <w:t xml:space="preserve"> </w:t>
      </w:r>
      <w:r>
        <w:rPr>
          <w:sz w:val="20"/>
        </w:rPr>
        <w:t>le</w:t>
      </w:r>
      <w:r>
        <w:rPr>
          <w:spacing w:val="-11"/>
          <w:sz w:val="20"/>
        </w:rPr>
        <w:t xml:space="preserve"> </w:t>
      </w:r>
      <w:r>
        <w:rPr>
          <w:sz w:val="20"/>
        </w:rPr>
        <w:t xml:space="preserve">delegue la competencia, sino que es necesario que efectivamente ese aparato, en la práctica, vele porque se materialice lo que se ha regulado. Para ello, como segundo elemento, </w:t>
      </w:r>
      <w:r>
        <w:rPr>
          <w:i/>
          <w:sz w:val="20"/>
        </w:rPr>
        <w:t xml:space="preserve">las obligaciones de fiscalización, supervisión o inspección </w:t>
      </w:r>
      <w:r>
        <w:rPr>
          <w:sz w:val="20"/>
        </w:rPr>
        <w:t>cobran especial rel</w:t>
      </w:r>
      <w:r>
        <w:rPr>
          <w:sz w:val="20"/>
        </w:rPr>
        <w:t xml:space="preserve">evancia, al ser </w:t>
      </w:r>
      <w:r>
        <w:rPr>
          <w:i/>
          <w:sz w:val="20"/>
        </w:rPr>
        <w:t xml:space="preserve">el medio </w:t>
      </w:r>
      <w:r>
        <w:rPr>
          <w:sz w:val="20"/>
        </w:rPr>
        <w:t>que permite a las autoridades o instituciones vigilar el actuar de los entes particulares frente a derechos que el Estado reconoce y se ha comprometido a</w:t>
      </w:r>
      <w:r>
        <w:rPr>
          <w:spacing w:val="-12"/>
          <w:sz w:val="20"/>
        </w:rPr>
        <w:t xml:space="preserve"> </w:t>
      </w:r>
      <w:r>
        <w:rPr>
          <w:sz w:val="20"/>
        </w:rPr>
        <w:t>garantizar.</w:t>
      </w:r>
    </w:p>
    <w:p w14:paraId="0F3ACCBD" w14:textId="77777777" w:rsidR="00467FCA" w:rsidRDefault="00467FCA">
      <w:pPr>
        <w:pStyle w:val="Textoindependiente"/>
      </w:pPr>
    </w:p>
    <w:p w14:paraId="5DCD3192" w14:textId="77777777" w:rsidR="00467FCA" w:rsidRDefault="001B68EB">
      <w:pPr>
        <w:pStyle w:val="Prrafodelista"/>
        <w:numPr>
          <w:ilvl w:val="0"/>
          <w:numId w:val="9"/>
        </w:numPr>
        <w:tabs>
          <w:tab w:val="left" w:pos="1167"/>
        </w:tabs>
        <w:ind w:right="276" w:firstLine="0"/>
        <w:jc w:val="both"/>
        <w:rPr>
          <w:sz w:val="20"/>
        </w:rPr>
      </w:pPr>
      <w:r>
        <w:rPr>
          <w:sz w:val="20"/>
        </w:rPr>
        <w:t>La jurisprudencia de la Corte IDH ya ha tenido la oportunidad de pronunciarse concretamente sobre la fiscalización o supervisión dentro del ámbito de la salud</w:t>
      </w:r>
      <w:hyperlink w:anchor="_bookmark707" w:history="1">
        <w:r>
          <w:rPr>
            <w:position w:val="7"/>
            <w:sz w:val="13"/>
          </w:rPr>
          <w:t>25</w:t>
        </w:r>
      </w:hyperlink>
      <w:r>
        <w:rPr>
          <w:sz w:val="20"/>
        </w:rPr>
        <w:t>. Por lo que las</w:t>
      </w:r>
      <w:r>
        <w:rPr>
          <w:spacing w:val="-10"/>
          <w:sz w:val="20"/>
        </w:rPr>
        <w:t xml:space="preserve"> </w:t>
      </w:r>
      <w:r>
        <w:rPr>
          <w:sz w:val="20"/>
        </w:rPr>
        <w:t>mismas</w:t>
      </w:r>
      <w:r>
        <w:rPr>
          <w:spacing w:val="-6"/>
          <w:sz w:val="20"/>
        </w:rPr>
        <w:t xml:space="preserve"> </w:t>
      </w:r>
      <w:r>
        <w:rPr>
          <w:sz w:val="20"/>
        </w:rPr>
        <w:t>obligaciones,</w:t>
      </w:r>
      <w:r>
        <w:rPr>
          <w:spacing w:val="-8"/>
          <w:sz w:val="20"/>
        </w:rPr>
        <w:t xml:space="preserve"> </w:t>
      </w:r>
      <w:r>
        <w:rPr>
          <w:sz w:val="20"/>
        </w:rPr>
        <w:t>en</w:t>
      </w:r>
      <w:r>
        <w:rPr>
          <w:spacing w:val="-5"/>
          <w:sz w:val="20"/>
        </w:rPr>
        <w:t xml:space="preserve"> </w:t>
      </w:r>
      <w:r>
        <w:rPr>
          <w:sz w:val="20"/>
        </w:rPr>
        <w:t>el</w:t>
      </w:r>
      <w:r>
        <w:rPr>
          <w:spacing w:val="-5"/>
          <w:sz w:val="20"/>
        </w:rPr>
        <w:t xml:space="preserve"> </w:t>
      </w:r>
      <w:r>
        <w:rPr>
          <w:sz w:val="20"/>
        </w:rPr>
        <w:t>ámbito</w:t>
      </w:r>
      <w:r>
        <w:rPr>
          <w:spacing w:val="-9"/>
          <w:sz w:val="20"/>
        </w:rPr>
        <w:t xml:space="preserve"> </w:t>
      </w:r>
      <w:r>
        <w:rPr>
          <w:sz w:val="20"/>
        </w:rPr>
        <w:t>de</w:t>
      </w:r>
      <w:r>
        <w:rPr>
          <w:spacing w:val="-7"/>
          <w:sz w:val="20"/>
        </w:rPr>
        <w:t xml:space="preserve"> </w:t>
      </w:r>
      <w:r>
        <w:rPr>
          <w:sz w:val="20"/>
        </w:rPr>
        <w:t>empresas</w:t>
      </w:r>
      <w:r>
        <w:rPr>
          <w:spacing w:val="-7"/>
          <w:sz w:val="20"/>
        </w:rPr>
        <w:t xml:space="preserve"> </w:t>
      </w:r>
      <w:r>
        <w:rPr>
          <w:sz w:val="20"/>
        </w:rPr>
        <w:t>y</w:t>
      </w:r>
      <w:r>
        <w:rPr>
          <w:spacing w:val="-8"/>
          <w:sz w:val="20"/>
        </w:rPr>
        <w:t xml:space="preserve"> </w:t>
      </w:r>
      <w:r>
        <w:rPr>
          <w:sz w:val="20"/>
        </w:rPr>
        <w:t>la</w:t>
      </w:r>
      <w:r>
        <w:rPr>
          <w:spacing w:val="-5"/>
          <w:sz w:val="20"/>
        </w:rPr>
        <w:t xml:space="preserve"> </w:t>
      </w:r>
      <w:r>
        <w:rPr>
          <w:sz w:val="20"/>
        </w:rPr>
        <w:t>vigilancia</w:t>
      </w:r>
      <w:r>
        <w:rPr>
          <w:spacing w:val="-9"/>
          <w:sz w:val="20"/>
        </w:rPr>
        <w:t xml:space="preserve"> </w:t>
      </w:r>
      <w:r>
        <w:rPr>
          <w:sz w:val="20"/>
        </w:rPr>
        <w:t>de</w:t>
      </w:r>
      <w:r>
        <w:rPr>
          <w:spacing w:val="-7"/>
          <w:sz w:val="20"/>
        </w:rPr>
        <w:t xml:space="preserve"> </w:t>
      </w:r>
      <w:r>
        <w:rPr>
          <w:sz w:val="20"/>
        </w:rPr>
        <w:t>derechos</w:t>
      </w:r>
      <w:r>
        <w:rPr>
          <w:spacing w:val="-6"/>
          <w:sz w:val="20"/>
        </w:rPr>
        <w:t xml:space="preserve"> </w:t>
      </w:r>
      <w:r>
        <w:rPr>
          <w:sz w:val="20"/>
        </w:rPr>
        <w:t>humanos,</w:t>
      </w:r>
      <w:r>
        <w:rPr>
          <w:spacing w:val="-6"/>
          <w:sz w:val="20"/>
        </w:rPr>
        <w:t xml:space="preserve"> </w:t>
      </w:r>
      <w:r>
        <w:rPr>
          <w:sz w:val="20"/>
        </w:rPr>
        <w:t>y</w:t>
      </w:r>
      <w:r>
        <w:rPr>
          <w:spacing w:val="-7"/>
          <w:sz w:val="20"/>
        </w:rPr>
        <w:t xml:space="preserve"> </w:t>
      </w:r>
      <w:r>
        <w:rPr>
          <w:sz w:val="20"/>
        </w:rPr>
        <w:t>en concreto en el ámbito laboral, juegan un papel</w:t>
      </w:r>
      <w:r>
        <w:rPr>
          <w:spacing w:val="-4"/>
          <w:sz w:val="20"/>
        </w:rPr>
        <w:t xml:space="preserve"> </w:t>
      </w:r>
      <w:r>
        <w:rPr>
          <w:sz w:val="20"/>
        </w:rPr>
        <w:t>fundamental.</w:t>
      </w:r>
    </w:p>
    <w:p w14:paraId="23F38FBF" w14:textId="77777777" w:rsidR="00467FCA" w:rsidRDefault="00467FCA">
      <w:pPr>
        <w:pStyle w:val="Textoindependiente"/>
        <w:spacing w:before="11"/>
        <w:rPr>
          <w:sz w:val="19"/>
        </w:rPr>
      </w:pPr>
    </w:p>
    <w:p w14:paraId="51DE66D5" w14:textId="77777777" w:rsidR="00467FCA" w:rsidRDefault="001B68EB">
      <w:pPr>
        <w:pStyle w:val="Prrafodelista"/>
        <w:numPr>
          <w:ilvl w:val="0"/>
          <w:numId w:val="9"/>
        </w:numPr>
        <w:tabs>
          <w:tab w:val="left" w:pos="1167"/>
        </w:tabs>
        <w:ind w:right="276" w:firstLine="0"/>
        <w:jc w:val="both"/>
        <w:rPr>
          <w:sz w:val="20"/>
        </w:rPr>
      </w:pPr>
      <w:r>
        <w:rPr>
          <w:sz w:val="20"/>
        </w:rPr>
        <w:t>La Comisión Interamericana ha identificado la importancia de la supervisión, fiscalización</w:t>
      </w:r>
      <w:r>
        <w:rPr>
          <w:spacing w:val="-18"/>
          <w:sz w:val="20"/>
        </w:rPr>
        <w:t xml:space="preserve"> </w:t>
      </w:r>
      <w:r>
        <w:rPr>
          <w:sz w:val="20"/>
        </w:rPr>
        <w:t>o</w:t>
      </w:r>
      <w:r>
        <w:rPr>
          <w:spacing w:val="-20"/>
          <w:sz w:val="20"/>
        </w:rPr>
        <w:t xml:space="preserve"> </w:t>
      </w:r>
      <w:r>
        <w:rPr>
          <w:sz w:val="20"/>
        </w:rPr>
        <w:t>inspección</w:t>
      </w:r>
      <w:r>
        <w:rPr>
          <w:spacing w:val="-18"/>
          <w:sz w:val="20"/>
        </w:rPr>
        <w:t xml:space="preserve"> </w:t>
      </w:r>
      <w:r>
        <w:rPr>
          <w:sz w:val="20"/>
        </w:rPr>
        <w:t>dentro</w:t>
      </w:r>
      <w:r>
        <w:rPr>
          <w:spacing w:val="-17"/>
          <w:sz w:val="20"/>
        </w:rPr>
        <w:t xml:space="preserve"> </w:t>
      </w:r>
      <w:r>
        <w:rPr>
          <w:sz w:val="20"/>
        </w:rPr>
        <w:t>el</w:t>
      </w:r>
      <w:r>
        <w:rPr>
          <w:spacing w:val="-18"/>
          <w:sz w:val="20"/>
        </w:rPr>
        <w:t xml:space="preserve"> </w:t>
      </w:r>
      <w:r>
        <w:rPr>
          <w:sz w:val="20"/>
        </w:rPr>
        <w:t>ámbito</w:t>
      </w:r>
      <w:r>
        <w:rPr>
          <w:spacing w:val="-20"/>
          <w:sz w:val="20"/>
        </w:rPr>
        <w:t xml:space="preserve"> </w:t>
      </w:r>
      <w:r>
        <w:rPr>
          <w:sz w:val="20"/>
        </w:rPr>
        <w:t>laboral</w:t>
      </w:r>
      <w:r>
        <w:rPr>
          <w:spacing w:val="-19"/>
          <w:sz w:val="20"/>
        </w:rPr>
        <w:t xml:space="preserve"> </w:t>
      </w:r>
      <w:r>
        <w:rPr>
          <w:sz w:val="20"/>
        </w:rPr>
        <w:t>entre</w:t>
      </w:r>
      <w:r>
        <w:rPr>
          <w:spacing w:val="-17"/>
          <w:sz w:val="20"/>
        </w:rPr>
        <w:t xml:space="preserve"> </w:t>
      </w:r>
      <w:r>
        <w:rPr>
          <w:sz w:val="20"/>
        </w:rPr>
        <w:t>particulares,</w:t>
      </w:r>
      <w:r>
        <w:rPr>
          <w:spacing w:val="-18"/>
          <w:sz w:val="20"/>
        </w:rPr>
        <w:t xml:space="preserve"> </w:t>
      </w:r>
      <w:r>
        <w:rPr>
          <w:sz w:val="20"/>
        </w:rPr>
        <w:t>en</w:t>
      </w:r>
      <w:r>
        <w:rPr>
          <w:spacing w:val="-17"/>
          <w:sz w:val="20"/>
        </w:rPr>
        <w:t xml:space="preserve"> </w:t>
      </w:r>
      <w:r>
        <w:rPr>
          <w:sz w:val="20"/>
        </w:rPr>
        <w:t>especial</w:t>
      </w:r>
      <w:r>
        <w:rPr>
          <w:spacing w:val="-18"/>
          <w:sz w:val="20"/>
        </w:rPr>
        <w:t xml:space="preserve"> </w:t>
      </w:r>
      <w:r>
        <w:rPr>
          <w:sz w:val="20"/>
        </w:rPr>
        <w:t>para</w:t>
      </w:r>
      <w:r>
        <w:rPr>
          <w:spacing w:val="-19"/>
          <w:sz w:val="20"/>
        </w:rPr>
        <w:t xml:space="preserve"> </w:t>
      </w:r>
      <w:r>
        <w:rPr>
          <w:sz w:val="20"/>
        </w:rPr>
        <w:t>controlar y</w:t>
      </w:r>
      <w:r>
        <w:rPr>
          <w:spacing w:val="-8"/>
          <w:sz w:val="20"/>
        </w:rPr>
        <w:t xml:space="preserve"> </w:t>
      </w:r>
      <w:r>
        <w:rPr>
          <w:sz w:val="20"/>
        </w:rPr>
        <w:t>vigilar</w:t>
      </w:r>
      <w:r>
        <w:rPr>
          <w:spacing w:val="-8"/>
          <w:sz w:val="20"/>
        </w:rPr>
        <w:t xml:space="preserve"> </w:t>
      </w:r>
      <w:r>
        <w:rPr>
          <w:sz w:val="20"/>
        </w:rPr>
        <w:t>horarios</w:t>
      </w:r>
      <w:r>
        <w:rPr>
          <w:spacing w:val="-9"/>
          <w:sz w:val="20"/>
        </w:rPr>
        <w:t xml:space="preserve"> </w:t>
      </w:r>
      <w:r>
        <w:rPr>
          <w:sz w:val="20"/>
        </w:rPr>
        <w:t>de</w:t>
      </w:r>
      <w:r>
        <w:rPr>
          <w:spacing w:val="-8"/>
          <w:sz w:val="20"/>
        </w:rPr>
        <w:t xml:space="preserve"> </w:t>
      </w:r>
      <w:r>
        <w:rPr>
          <w:sz w:val="20"/>
        </w:rPr>
        <w:t>las</w:t>
      </w:r>
      <w:r>
        <w:rPr>
          <w:spacing w:val="-3"/>
          <w:sz w:val="20"/>
        </w:rPr>
        <w:t xml:space="preserve"> </w:t>
      </w:r>
      <w:r>
        <w:rPr>
          <w:sz w:val="20"/>
        </w:rPr>
        <w:t>jornadas</w:t>
      </w:r>
      <w:r>
        <w:rPr>
          <w:spacing w:val="-9"/>
          <w:sz w:val="20"/>
        </w:rPr>
        <w:t xml:space="preserve"> </w:t>
      </w:r>
      <w:r>
        <w:rPr>
          <w:sz w:val="20"/>
        </w:rPr>
        <w:t>laborales</w:t>
      </w:r>
      <w:hyperlink w:anchor="_bookmark708" w:history="1">
        <w:r>
          <w:rPr>
            <w:position w:val="7"/>
            <w:sz w:val="13"/>
          </w:rPr>
          <w:t>26</w:t>
        </w:r>
      </w:hyperlink>
      <w:r>
        <w:rPr>
          <w:sz w:val="20"/>
        </w:rPr>
        <w:t>,</w:t>
      </w:r>
      <w:r>
        <w:rPr>
          <w:spacing w:val="-7"/>
          <w:sz w:val="20"/>
        </w:rPr>
        <w:t xml:space="preserve"> </w:t>
      </w:r>
      <w:r>
        <w:rPr>
          <w:sz w:val="20"/>
        </w:rPr>
        <w:t>condiciones</w:t>
      </w:r>
      <w:r>
        <w:rPr>
          <w:spacing w:val="-6"/>
          <w:sz w:val="20"/>
        </w:rPr>
        <w:t xml:space="preserve"> </w:t>
      </w:r>
      <w:r>
        <w:rPr>
          <w:sz w:val="20"/>
        </w:rPr>
        <w:t>de</w:t>
      </w:r>
      <w:r>
        <w:rPr>
          <w:spacing w:val="-6"/>
          <w:sz w:val="20"/>
        </w:rPr>
        <w:t xml:space="preserve"> </w:t>
      </w:r>
      <w:r>
        <w:rPr>
          <w:sz w:val="20"/>
        </w:rPr>
        <w:t>trabajo</w:t>
      </w:r>
      <w:r>
        <w:rPr>
          <w:spacing w:val="-5"/>
          <w:sz w:val="20"/>
        </w:rPr>
        <w:t xml:space="preserve"> </w:t>
      </w:r>
      <w:r>
        <w:rPr>
          <w:sz w:val="20"/>
        </w:rPr>
        <w:t>que</w:t>
      </w:r>
      <w:r>
        <w:rPr>
          <w:spacing w:val="-7"/>
          <w:sz w:val="20"/>
        </w:rPr>
        <w:t xml:space="preserve"> </w:t>
      </w:r>
      <w:r>
        <w:rPr>
          <w:sz w:val="20"/>
        </w:rPr>
        <w:t>podrían</w:t>
      </w:r>
      <w:r>
        <w:rPr>
          <w:spacing w:val="-6"/>
          <w:sz w:val="20"/>
        </w:rPr>
        <w:t xml:space="preserve"> </w:t>
      </w:r>
      <w:r>
        <w:rPr>
          <w:sz w:val="20"/>
        </w:rPr>
        <w:t>tener</w:t>
      </w:r>
      <w:r>
        <w:rPr>
          <w:spacing w:val="-7"/>
          <w:sz w:val="20"/>
        </w:rPr>
        <w:t xml:space="preserve"> </w:t>
      </w:r>
      <w:r>
        <w:rPr>
          <w:sz w:val="20"/>
        </w:rPr>
        <w:t>alguna repercusión</w:t>
      </w:r>
      <w:r>
        <w:rPr>
          <w:spacing w:val="-2"/>
          <w:sz w:val="20"/>
        </w:rPr>
        <w:t xml:space="preserve"> </w:t>
      </w:r>
      <w:r>
        <w:rPr>
          <w:sz w:val="20"/>
        </w:rPr>
        <w:t>sobre</w:t>
      </w:r>
      <w:r>
        <w:rPr>
          <w:spacing w:val="-4"/>
          <w:sz w:val="20"/>
        </w:rPr>
        <w:t xml:space="preserve"> </w:t>
      </w:r>
      <w:r>
        <w:rPr>
          <w:sz w:val="20"/>
        </w:rPr>
        <w:t>la</w:t>
      </w:r>
      <w:r>
        <w:rPr>
          <w:spacing w:val="-2"/>
          <w:sz w:val="20"/>
        </w:rPr>
        <w:t xml:space="preserve"> </w:t>
      </w:r>
      <w:r>
        <w:rPr>
          <w:sz w:val="20"/>
        </w:rPr>
        <w:t>vida,</w:t>
      </w:r>
      <w:r>
        <w:rPr>
          <w:spacing w:val="-6"/>
          <w:sz w:val="20"/>
        </w:rPr>
        <w:t xml:space="preserve"> </w:t>
      </w:r>
      <w:r>
        <w:rPr>
          <w:sz w:val="20"/>
        </w:rPr>
        <w:t>integridad</w:t>
      </w:r>
      <w:r>
        <w:rPr>
          <w:spacing w:val="-3"/>
          <w:sz w:val="20"/>
        </w:rPr>
        <w:t xml:space="preserve"> </w:t>
      </w:r>
      <w:r>
        <w:rPr>
          <w:sz w:val="20"/>
        </w:rPr>
        <w:t>o</w:t>
      </w:r>
      <w:r>
        <w:rPr>
          <w:spacing w:val="-6"/>
          <w:sz w:val="20"/>
        </w:rPr>
        <w:t xml:space="preserve"> </w:t>
      </w:r>
      <w:r>
        <w:rPr>
          <w:sz w:val="20"/>
        </w:rPr>
        <w:t>la salud</w:t>
      </w:r>
      <w:r>
        <w:rPr>
          <w:spacing w:val="-2"/>
          <w:sz w:val="20"/>
        </w:rPr>
        <w:t xml:space="preserve"> </w:t>
      </w:r>
      <w:r>
        <w:rPr>
          <w:sz w:val="20"/>
        </w:rPr>
        <w:t>de</w:t>
      </w:r>
      <w:r>
        <w:rPr>
          <w:spacing w:val="-7"/>
          <w:sz w:val="20"/>
        </w:rPr>
        <w:t xml:space="preserve"> </w:t>
      </w:r>
      <w:r>
        <w:rPr>
          <w:sz w:val="20"/>
        </w:rPr>
        <w:t>los</w:t>
      </w:r>
      <w:r>
        <w:rPr>
          <w:spacing w:val="-4"/>
          <w:sz w:val="20"/>
        </w:rPr>
        <w:t xml:space="preserve"> </w:t>
      </w:r>
      <w:r>
        <w:rPr>
          <w:sz w:val="20"/>
        </w:rPr>
        <w:t>trabajadores</w:t>
      </w:r>
      <w:hyperlink w:anchor="_bookmark709" w:history="1">
        <w:r>
          <w:rPr>
            <w:position w:val="7"/>
            <w:sz w:val="13"/>
          </w:rPr>
          <w:t>27</w:t>
        </w:r>
      </w:hyperlink>
      <w:r>
        <w:rPr>
          <w:sz w:val="20"/>
        </w:rPr>
        <w:t>,</w:t>
      </w:r>
      <w:r>
        <w:rPr>
          <w:spacing w:val="-3"/>
          <w:sz w:val="20"/>
        </w:rPr>
        <w:t xml:space="preserve"> </w:t>
      </w:r>
      <w:r>
        <w:rPr>
          <w:sz w:val="20"/>
        </w:rPr>
        <w:t>la</w:t>
      </w:r>
      <w:r>
        <w:rPr>
          <w:spacing w:val="-5"/>
          <w:sz w:val="20"/>
        </w:rPr>
        <w:t xml:space="preserve"> </w:t>
      </w:r>
      <w:r>
        <w:rPr>
          <w:sz w:val="20"/>
        </w:rPr>
        <w:t>falta</w:t>
      </w:r>
      <w:r>
        <w:rPr>
          <w:spacing w:val="-4"/>
          <w:sz w:val="20"/>
        </w:rPr>
        <w:t xml:space="preserve"> </w:t>
      </w:r>
      <w:r>
        <w:rPr>
          <w:sz w:val="20"/>
        </w:rPr>
        <w:t>de</w:t>
      </w:r>
      <w:r>
        <w:rPr>
          <w:spacing w:val="-4"/>
          <w:sz w:val="20"/>
        </w:rPr>
        <w:t xml:space="preserve"> </w:t>
      </w:r>
      <w:r>
        <w:rPr>
          <w:sz w:val="20"/>
        </w:rPr>
        <w:t>seguridad</w:t>
      </w:r>
      <w:r>
        <w:rPr>
          <w:spacing w:val="-3"/>
          <w:sz w:val="20"/>
        </w:rPr>
        <w:t xml:space="preserve"> </w:t>
      </w:r>
      <w:r>
        <w:rPr>
          <w:sz w:val="20"/>
        </w:rPr>
        <w:t>en las actividades que realizan los trabajadores</w:t>
      </w:r>
      <w:hyperlink w:anchor="_bookmark710" w:history="1">
        <w:r>
          <w:rPr>
            <w:position w:val="7"/>
            <w:sz w:val="13"/>
          </w:rPr>
          <w:t>28</w:t>
        </w:r>
      </w:hyperlink>
      <w:r>
        <w:rPr>
          <w:position w:val="7"/>
          <w:sz w:val="13"/>
        </w:rPr>
        <w:t xml:space="preserve"> </w:t>
      </w:r>
      <w:r>
        <w:rPr>
          <w:sz w:val="20"/>
        </w:rPr>
        <w:t>o la explotación laboral de</w:t>
      </w:r>
      <w:r>
        <w:rPr>
          <w:spacing w:val="-41"/>
          <w:sz w:val="20"/>
        </w:rPr>
        <w:t xml:space="preserve"> </w:t>
      </w:r>
      <w:r>
        <w:rPr>
          <w:sz w:val="20"/>
        </w:rPr>
        <w:t>trabajadores</w:t>
      </w:r>
      <w:hyperlink w:anchor="_bookmark711" w:history="1">
        <w:r>
          <w:rPr>
            <w:position w:val="7"/>
            <w:sz w:val="13"/>
          </w:rPr>
          <w:t>29</w:t>
        </w:r>
      </w:hyperlink>
      <w:r>
        <w:rPr>
          <w:sz w:val="20"/>
        </w:rPr>
        <w:t>.</w:t>
      </w:r>
    </w:p>
    <w:p w14:paraId="5C1BC80D" w14:textId="77777777" w:rsidR="00467FCA" w:rsidRDefault="00467FCA">
      <w:pPr>
        <w:pStyle w:val="Textoindependiente"/>
        <w:spacing w:before="1"/>
      </w:pPr>
    </w:p>
    <w:p w14:paraId="30D69049" w14:textId="77777777" w:rsidR="00467FCA" w:rsidRDefault="001B68EB">
      <w:pPr>
        <w:pStyle w:val="Prrafodelista"/>
        <w:numPr>
          <w:ilvl w:val="0"/>
          <w:numId w:val="9"/>
        </w:numPr>
        <w:tabs>
          <w:tab w:val="left" w:pos="1167"/>
        </w:tabs>
        <w:ind w:right="275" w:firstLine="0"/>
        <w:jc w:val="both"/>
        <w:rPr>
          <w:sz w:val="20"/>
        </w:rPr>
      </w:pPr>
      <w:r>
        <w:rPr>
          <w:sz w:val="20"/>
        </w:rPr>
        <w:t>Por</w:t>
      </w:r>
      <w:r>
        <w:rPr>
          <w:spacing w:val="-5"/>
          <w:sz w:val="20"/>
        </w:rPr>
        <w:t xml:space="preserve"> </w:t>
      </w:r>
      <w:r>
        <w:rPr>
          <w:sz w:val="20"/>
        </w:rPr>
        <w:t>su</w:t>
      </w:r>
      <w:r>
        <w:rPr>
          <w:spacing w:val="-4"/>
          <w:sz w:val="20"/>
        </w:rPr>
        <w:t xml:space="preserve"> </w:t>
      </w:r>
      <w:r>
        <w:rPr>
          <w:sz w:val="20"/>
        </w:rPr>
        <w:t>parte,</w:t>
      </w:r>
      <w:r>
        <w:rPr>
          <w:spacing w:val="-6"/>
          <w:sz w:val="20"/>
        </w:rPr>
        <w:t xml:space="preserve"> </w:t>
      </w:r>
      <w:r>
        <w:rPr>
          <w:sz w:val="20"/>
        </w:rPr>
        <w:t>si</w:t>
      </w:r>
      <w:r>
        <w:rPr>
          <w:spacing w:val="-5"/>
          <w:sz w:val="20"/>
        </w:rPr>
        <w:t xml:space="preserve"> </w:t>
      </w:r>
      <w:r>
        <w:rPr>
          <w:sz w:val="20"/>
        </w:rPr>
        <w:t>bien</w:t>
      </w:r>
      <w:r>
        <w:rPr>
          <w:spacing w:val="-4"/>
          <w:sz w:val="20"/>
        </w:rPr>
        <w:t xml:space="preserve"> </w:t>
      </w:r>
      <w:r>
        <w:rPr>
          <w:sz w:val="20"/>
        </w:rPr>
        <w:t>la</w:t>
      </w:r>
      <w:r>
        <w:rPr>
          <w:spacing w:val="-5"/>
          <w:sz w:val="20"/>
        </w:rPr>
        <w:t xml:space="preserve"> </w:t>
      </w:r>
      <w:r>
        <w:rPr>
          <w:sz w:val="20"/>
        </w:rPr>
        <w:t>Corte</w:t>
      </w:r>
      <w:r>
        <w:rPr>
          <w:spacing w:val="-7"/>
          <w:sz w:val="20"/>
        </w:rPr>
        <w:t xml:space="preserve"> </w:t>
      </w:r>
      <w:r>
        <w:rPr>
          <w:sz w:val="20"/>
        </w:rPr>
        <w:t>IDH</w:t>
      </w:r>
      <w:r>
        <w:rPr>
          <w:spacing w:val="-6"/>
          <w:sz w:val="20"/>
        </w:rPr>
        <w:t xml:space="preserve"> </w:t>
      </w:r>
      <w:r>
        <w:rPr>
          <w:sz w:val="20"/>
        </w:rPr>
        <w:t>no</w:t>
      </w:r>
      <w:r>
        <w:rPr>
          <w:spacing w:val="-6"/>
          <w:sz w:val="20"/>
        </w:rPr>
        <w:t xml:space="preserve"> </w:t>
      </w:r>
      <w:r>
        <w:rPr>
          <w:sz w:val="20"/>
        </w:rPr>
        <w:t>había</w:t>
      </w:r>
      <w:r>
        <w:rPr>
          <w:spacing w:val="-5"/>
          <w:sz w:val="20"/>
        </w:rPr>
        <w:t xml:space="preserve"> </w:t>
      </w:r>
      <w:r>
        <w:rPr>
          <w:sz w:val="20"/>
        </w:rPr>
        <w:t>abordado</w:t>
      </w:r>
      <w:r>
        <w:rPr>
          <w:spacing w:val="-6"/>
          <w:sz w:val="20"/>
        </w:rPr>
        <w:t xml:space="preserve"> </w:t>
      </w:r>
      <w:r>
        <w:rPr>
          <w:sz w:val="20"/>
        </w:rPr>
        <w:t>propiamente</w:t>
      </w:r>
      <w:r>
        <w:rPr>
          <w:spacing w:val="-7"/>
          <w:sz w:val="20"/>
        </w:rPr>
        <w:t xml:space="preserve"> </w:t>
      </w:r>
      <w:r>
        <w:rPr>
          <w:sz w:val="20"/>
        </w:rPr>
        <w:t>la</w:t>
      </w:r>
      <w:r>
        <w:rPr>
          <w:spacing w:val="-5"/>
          <w:sz w:val="20"/>
        </w:rPr>
        <w:t xml:space="preserve"> </w:t>
      </w:r>
      <w:r>
        <w:rPr>
          <w:sz w:val="20"/>
        </w:rPr>
        <w:t>inspección</w:t>
      </w:r>
      <w:r>
        <w:rPr>
          <w:spacing w:val="-4"/>
          <w:sz w:val="20"/>
        </w:rPr>
        <w:t xml:space="preserve"> </w:t>
      </w:r>
      <w:r>
        <w:rPr>
          <w:sz w:val="20"/>
        </w:rPr>
        <w:t>laboral como part</w:t>
      </w:r>
      <w:r>
        <w:rPr>
          <w:sz w:val="20"/>
        </w:rPr>
        <w:t>e de la responsabilidad internacional, en un caso sobre trabajos forzados y formas contemporáneas</w:t>
      </w:r>
      <w:r>
        <w:rPr>
          <w:spacing w:val="-19"/>
          <w:sz w:val="20"/>
        </w:rPr>
        <w:t xml:space="preserve"> </w:t>
      </w:r>
      <w:r>
        <w:rPr>
          <w:sz w:val="20"/>
        </w:rPr>
        <w:t>de</w:t>
      </w:r>
      <w:r>
        <w:rPr>
          <w:spacing w:val="-17"/>
          <w:sz w:val="20"/>
        </w:rPr>
        <w:t xml:space="preserve"> </w:t>
      </w:r>
      <w:r>
        <w:rPr>
          <w:sz w:val="20"/>
        </w:rPr>
        <w:t>esclavitud,</w:t>
      </w:r>
      <w:r>
        <w:rPr>
          <w:spacing w:val="-19"/>
          <w:sz w:val="20"/>
        </w:rPr>
        <w:t xml:space="preserve"> </w:t>
      </w:r>
      <w:r>
        <w:rPr>
          <w:sz w:val="20"/>
        </w:rPr>
        <w:t>indicó</w:t>
      </w:r>
      <w:r>
        <w:rPr>
          <w:spacing w:val="-20"/>
          <w:sz w:val="20"/>
        </w:rPr>
        <w:t xml:space="preserve"> </w:t>
      </w:r>
      <w:r>
        <w:rPr>
          <w:sz w:val="20"/>
        </w:rPr>
        <w:t>que</w:t>
      </w:r>
      <w:r>
        <w:rPr>
          <w:spacing w:val="-20"/>
          <w:sz w:val="20"/>
        </w:rPr>
        <w:t xml:space="preserve"> </w:t>
      </w:r>
      <w:r>
        <w:rPr>
          <w:sz w:val="20"/>
        </w:rPr>
        <w:t>“[r]especto</w:t>
      </w:r>
      <w:r>
        <w:rPr>
          <w:spacing w:val="-20"/>
          <w:sz w:val="20"/>
        </w:rPr>
        <w:t xml:space="preserve"> </w:t>
      </w:r>
      <w:r>
        <w:rPr>
          <w:sz w:val="20"/>
        </w:rPr>
        <w:t>de</w:t>
      </w:r>
      <w:r>
        <w:rPr>
          <w:spacing w:val="-19"/>
          <w:sz w:val="20"/>
        </w:rPr>
        <w:t xml:space="preserve"> </w:t>
      </w:r>
      <w:r>
        <w:rPr>
          <w:sz w:val="20"/>
        </w:rPr>
        <w:t>la</w:t>
      </w:r>
      <w:r>
        <w:rPr>
          <w:spacing w:val="-16"/>
          <w:sz w:val="20"/>
        </w:rPr>
        <w:t xml:space="preserve"> </w:t>
      </w:r>
      <w:r>
        <w:rPr>
          <w:sz w:val="20"/>
        </w:rPr>
        <w:t>obligación</w:t>
      </w:r>
      <w:r>
        <w:rPr>
          <w:spacing w:val="-17"/>
          <w:sz w:val="20"/>
        </w:rPr>
        <w:t xml:space="preserve"> </w:t>
      </w:r>
      <w:r>
        <w:rPr>
          <w:sz w:val="20"/>
        </w:rPr>
        <w:t>de</w:t>
      </w:r>
      <w:r>
        <w:rPr>
          <w:spacing w:val="-17"/>
          <w:sz w:val="20"/>
        </w:rPr>
        <w:t xml:space="preserve"> </w:t>
      </w:r>
      <w:r>
        <w:rPr>
          <w:sz w:val="20"/>
        </w:rPr>
        <w:t>garantizar</w:t>
      </w:r>
      <w:r>
        <w:rPr>
          <w:spacing w:val="-20"/>
          <w:sz w:val="20"/>
        </w:rPr>
        <w:t xml:space="preserve"> </w:t>
      </w:r>
      <w:r>
        <w:rPr>
          <w:sz w:val="20"/>
        </w:rPr>
        <w:t>el</w:t>
      </w:r>
      <w:r>
        <w:rPr>
          <w:spacing w:val="-18"/>
          <w:sz w:val="20"/>
        </w:rPr>
        <w:t xml:space="preserve"> </w:t>
      </w:r>
      <w:r>
        <w:rPr>
          <w:sz w:val="20"/>
        </w:rPr>
        <w:t xml:space="preserve">derecho reconocido en el artículo 6 de la Convención Americana, […] los Estados tienen la obligación de: […] </w:t>
      </w:r>
      <w:r>
        <w:rPr>
          <w:i/>
          <w:sz w:val="20"/>
          <w:u w:val="single"/>
        </w:rPr>
        <w:t>iv) realizar inspecciones u otras medidas de detección de dichas prácticas</w:t>
      </w:r>
      <w:r>
        <w:rPr>
          <w:i/>
          <w:sz w:val="20"/>
        </w:rPr>
        <w:t xml:space="preserve"> </w:t>
      </w:r>
      <w:r>
        <w:rPr>
          <w:sz w:val="20"/>
        </w:rPr>
        <w:t>[…]”</w:t>
      </w:r>
      <w:hyperlink w:anchor="_bookmark712" w:history="1">
        <w:r>
          <w:rPr>
            <w:position w:val="7"/>
            <w:sz w:val="13"/>
          </w:rPr>
          <w:t>30</w:t>
        </w:r>
      </w:hyperlink>
      <w:r>
        <w:rPr>
          <w:sz w:val="13"/>
        </w:rPr>
        <w:t xml:space="preserve"> </w:t>
      </w:r>
      <w:r>
        <w:rPr>
          <w:sz w:val="20"/>
        </w:rPr>
        <w:t>(énfasis</w:t>
      </w:r>
      <w:r>
        <w:rPr>
          <w:spacing w:val="-5"/>
          <w:sz w:val="20"/>
        </w:rPr>
        <w:t xml:space="preserve"> </w:t>
      </w:r>
      <w:r>
        <w:rPr>
          <w:sz w:val="20"/>
        </w:rPr>
        <w:t>añadido).</w:t>
      </w:r>
      <w:r>
        <w:rPr>
          <w:spacing w:val="-4"/>
          <w:sz w:val="20"/>
        </w:rPr>
        <w:t xml:space="preserve"> </w:t>
      </w:r>
      <w:r>
        <w:rPr>
          <w:sz w:val="20"/>
        </w:rPr>
        <w:t>Pronunciamient</w:t>
      </w:r>
      <w:r>
        <w:rPr>
          <w:sz w:val="20"/>
        </w:rPr>
        <w:t>o</w:t>
      </w:r>
      <w:r>
        <w:rPr>
          <w:spacing w:val="-7"/>
          <w:sz w:val="20"/>
        </w:rPr>
        <w:t xml:space="preserve"> </w:t>
      </w:r>
      <w:r>
        <w:rPr>
          <w:sz w:val="20"/>
        </w:rPr>
        <w:t>que</w:t>
      </w:r>
      <w:r>
        <w:rPr>
          <w:spacing w:val="-5"/>
          <w:sz w:val="20"/>
        </w:rPr>
        <w:t xml:space="preserve"> </w:t>
      </w:r>
      <w:r>
        <w:rPr>
          <w:sz w:val="20"/>
        </w:rPr>
        <w:t>claramente</w:t>
      </w:r>
      <w:r>
        <w:rPr>
          <w:spacing w:val="-4"/>
          <w:sz w:val="20"/>
        </w:rPr>
        <w:t xml:space="preserve"> </w:t>
      </w:r>
      <w:r>
        <w:rPr>
          <w:sz w:val="20"/>
        </w:rPr>
        <w:t>es</w:t>
      </w:r>
      <w:r>
        <w:rPr>
          <w:spacing w:val="-6"/>
          <w:sz w:val="20"/>
        </w:rPr>
        <w:t xml:space="preserve"> </w:t>
      </w:r>
      <w:r>
        <w:rPr>
          <w:sz w:val="20"/>
        </w:rPr>
        <w:t>aplicable</w:t>
      </w:r>
      <w:r>
        <w:rPr>
          <w:spacing w:val="-5"/>
          <w:sz w:val="20"/>
        </w:rPr>
        <w:t xml:space="preserve"> </w:t>
      </w:r>
      <w:r>
        <w:rPr>
          <w:sz w:val="20"/>
        </w:rPr>
        <w:t>a</w:t>
      </w:r>
      <w:r>
        <w:rPr>
          <w:spacing w:val="-3"/>
          <w:sz w:val="20"/>
        </w:rPr>
        <w:t xml:space="preserve"> </w:t>
      </w:r>
      <w:r>
        <w:rPr>
          <w:sz w:val="20"/>
        </w:rPr>
        <w:t>la</w:t>
      </w:r>
      <w:r>
        <w:rPr>
          <w:spacing w:val="-5"/>
          <w:sz w:val="20"/>
        </w:rPr>
        <w:t xml:space="preserve"> </w:t>
      </w:r>
      <w:r>
        <w:rPr>
          <w:sz w:val="20"/>
        </w:rPr>
        <w:t>protección</w:t>
      </w:r>
      <w:r>
        <w:rPr>
          <w:spacing w:val="-3"/>
          <w:sz w:val="20"/>
        </w:rPr>
        <w:t xml:space="preserve"> </w:t>
      </w:r>
      <w:r>
        <w:rPr>
          <w:sz w:val="20"/>
        </w:rPr>
        <w:t>del</w:t>
      </w:r>
      <w:r>
        <w:rPr>
          <w:spacing w:val="-3"/>
          <w:sz w:val="20"/>
        </w:rPr>
        <w:t xml:space="preserve"> </w:t>
      </w:r>
      <w:r>
        <w:rPr>
          <w:sz w:val="20"/>
        </w:rPr>
        <w:t>derecho</w:t>
      </w:r>
      <w:r>
        <w:rPr>
          <w:spacing w:val="-6"/>
          <w:sz w:val="20"/>
        </w:rPr>
        <w:t xml:space="preserve"> </w:t>
      </w:r>
      <w:r>
        <w:rPr>
          <w:sz w:val="20"/>
        </w:rPr>
        <w:t>a las condiciones dignas de</w:t>
      </w:r>
      <w:r>
        <w:rPr>
          <w:spacing w:val="-9"/>
          <w:sz w:val="20"/>
        </w:rPr>
        <w:t xml:space="preserve"> </w:t>
      </w:r>
      <w:r>
        <w:rPr>
          <w:sz w:val="20"/>
        </w:rPr>
        <w:t>trabajo.</w:t>
      </w:r>
    </w:p>
    <w:p w14:paraId="326A1A23" w14:textId="77777777" w:rsidR="00467FCA" w:rsidRDefault="00467FCA">
      <w:pPr>
        <w:pStyle w:val="Textoindependiente"/>
        <w:spacing w:before="12"/>
        <w:rPr>
          <w:sz w:val="19"/>
        </w:rPr>
      </w:pPr>
    </w:p>
    <w:p w14:paraId="2B796D7C" w14:textId="77777777" w:rsidR="00467FCA" w:rsidRDefault="001B68EB">
      <w:pPr>
        <w:pStyle w:val="Prrafodelista"/>
        <w:numPr>
          <w:ilvl w:val="0"/>
          <w:numId w:val="9"/>
        </w:numPr>
        <w:tabs>
          <w:tab w:val="left" w:pos="1167"/>
        </w:tabs>
        <w:ind w:right="275" w:hanging="1"/>
        <w:jc w:val="both"/>
        <w:rPr>
          <w:sz w:val="20"/>
        </w:rPr>
      </w:pPr>
      <w:r>
        <w:rPr>
          <w:sz w:val="20"/>
        </w:rPr>
        <w:t>Finalmente, es importante destacar que, como lo ha expresado la Comisión Interamericana, la prevención estará en juego cuando “el propio Estado genere o consoli</w:t>
      </w:r>
      <w:r>
        <w:rPr>
          <w:sz w:val="20"/>
        </w:rPr>
        <w:t>de una situación de riesgo para el disfrute de los derechos humanos”. Es decir, “también</w:t>
      </w:r>
      <w:r>
        <w:rPr>
          <w:spacing w:val="11"/>
          <w:sz w:val="20"/>
        </w:rPr>
        <w:t xml:space="preserve"> </w:t>
      </w:r>
      <w:r>
        <w:rPr>
          <w:sz w:val="20"/>
        </w:rPr>
        <w:t>podrá́</w:t>
      </w:r>
    </w:p>
    <w:p w14:paraId="6C69ED6F" w14:textId="77777777" w:rsidR="00467FCA" w:rsidRDefault="001B68EB">
      <w:pPr>
        <w:pStyle w:val="Textoindependiente"/>
        <w:spacing w:before="4"/>
        <w:rPr>
          <w:sz w:val="29"/>
        </w:rPr>
      </w:pPr>
      <w:r>
        <w:pict w14:anchorId="15040DF7">
          <v:shape id="_x0000_s1065" style="position:absolute;margin-left:70.9pt;margin-top:20.1pt;width:2in;height:.1pt;z-index:-251524096;mso-wrap-distance-left:0;mso-wrap-distance-right:0;mso-position-horizontal-relative:page" coordorigin="1418,402" coordsize="2880,0" path="m1418,402r2880,e" filled="f" strokeweight=".6pt">
            <v:path arrowok="t"/>
            <w10:wrap type="topAndBottom" anchorx="page"/>
          </v:shape>
        </w:pict>
      </w:r>
    </w:p>
    <w:p w14:paraId="36C6AECA" w14:textId="77777777" w:rsidR="00467FCA" w:rsidRDefault="001B68EB">
      <w:pPr>
        <w:tabs>
          <w:tab w:val="left" w:pos="1166"/>
        </w:tabs>
        <w:spacing w:before="74"/>
        <w:ind w:left="458" w:right="409"/>
        <w:rPr>
          <w:sz w:val="16"/>
        </w:rPr>
      </w:pPr>
      <w:bookmarkStart w:id="786" w:name="_bookmark705"/>
      <w:bookmarkEnd w:id="786"/>
      <w:r>
        <w:rPr>
          <w:position w:val="6"/>
          <w:sz w:val="10"/>
        </w:rPr>
        <w:t>23</w:t>
      </w:r>
      <w:r>
        <w:rPr>
          <w:position w:val="6"/>
          <w:sz w:val="10"/>
        </w:rPr>
        <w:tab/>
      </w:r>
      <w:r>
        <w:rPr>
          <w:sz w:val="16"/>
        </w:rPr>
        <w:t xml:space="preserve">Ver, </w:t>
      </w:r>
      <w:r>
        <w:rPr>
          <w:i/>
          <w:sz w:val="16"/>
        </w:rPr>
        <w:t>inter alia</w:t>
      </w:r>
      <w:r>
        <w:rPr>
          <w:sz w:val="16"/>
        </w:rPr>
        <w:t xml:space="preserve">, </w:t>
      </w:r>
      <w:r>
        <w:rPr>
          <w:i/>
          <w:sz w:val="16"/>
        </w:rPr>
        <w:t xml:space="preserve">Derechos y garantías de niñas y niños en el contexto de la migración y/o en necesidad de protección internacional. </w:t>
      </w:r>
      <w:r>
        <w:rPr>
          <w:sz w:val="16"/>
        </w:rPr>
        <w:t>Opinión Consultiva OC-21/14 de 19 de agosto de 2014. Serie A No. 21, párr.</w:t>
      </w:r>
      <w:r>
        <w:rPr>
          <w:spacing w:val="-24"/>
          <w:sz w:val="16"/>
        </w:rPr>
        <w:t xml:space="preserve"> </w:t>
      </w:r>
      <w:r>
        <w:rPr>
          <w:sz w:val="16"/>
        </w:rPr>
        <w:t>65.</w:t>
      </w:r>
    </w:p>
    <w:p w14:paraId="7F2C51C6" w14:textId="77777777" w:rsidR="00467FCA" w:rsidRDefault="001B68EB">
      <w:pPr>
        <w:tabs>
          <w:tab w:val="left" w:pos="1166"/>
        </w:tabs>
        <w:ind w:left="458"/>
        <w:rPr>
          <w:i/>
          <w:sz w:val="16"/>
        </w:rPr>
      </w:pPr>
      <w:bookmarkStart w:id="787" w:name="_bookmark706"/>
      <w:bookmarkEnd w:id="787"/>
      <w:r>
        <w:rPr>
          <w:position w:val="6"/>
          <w:sz w:val="10"/>
        </w:rPr>
        <w:t>24</w:t>
      </w:r>
      <w:r>
        <w:rPr>
          <w:position w:val="6"/>
          <w:sz w:val="10"/>
        </w:rPr>
        <w:tab/>
      </w:r>
      <w:r>
        <w:rPr>
          <w:i/>
          <w:sz w:val="16"/>
        </w:rPr>
        <w:t xml:space="preserve">Cfr. </w:t>
      </w:r>
      <w:r>
        <w:rPr>
          <w:sz w:val="16"/>
        </w:rPr>
        <w:t xml:space="preserve">CIDH y REDESCA, </w:t>
      </w:r>
      <w:r>
        <w:rPr>
          <w:i/>
          <w:sz w:val="16"/>
        </w:rPr>
        <w:t>Informe sobre Empresas y Derechos Huma</w:t>
      </w:r>
      <w:r>
        <w:rPr>
          <w:i/>
          <w:sz w:val="16"/>
        </w:rPr>
        <w:t>nos: Estándares Interamericanos</w:t>
      </w:r>
      <w:r>
        <w:rPr>
          <w:sz w:val="16"/>
        </w:rPr>
        <w:t>,</w:t>
      </w:r>
      <w:r>
        <w:rPr>
          <w:spacing w:val="50"/>
          <w:sz w:val="16"/>
        </w:rPr>
        <w:t xml:space="preserve"> </w:t>
      </w:r>
      <w:r>
        <w:rPr>
          <w:i/>
          <w:sz w:val="16"/>
        </w:rPr>
        <w:t>supra,</w:t>
      </w:r>
    </w:p>
    <w:p w14:paraId="624A0353" w14:textId="77777777" w:rsidR="00467FCA" w:rsidRDefault="001B68EB">
      <w:pPr>
        <w:ind w:left="458"/>
        <w:rPr>
          <w:sz w:val="16"/>
        </w:rPr>
      </w:pPr>
      <w:r>
        <w:rPr>
          <w:sz w:val="16"/>
        </w:rPr>
        <w:t>párr. 105.</w:t>
      </w:r>
    </w:p>
    <w:p w14:paraId="4C6E84A8" w14:textId="77777777" w:rsidR="00467FCA" w:rsidRDefault="001B68EB">
      <w:pPr>
        <w:tabs>
          <w:tab w:val="left" w:pos="1166"/>
        </w:tabs>
        <w:ind w:left="458" w:right="409"/>
        <w:rPr>
          <w:sz w:val="16"/>
        </w:rPr>
      </w:pPr>
      <w:bookmarkStart w:id="788" w:name="_bookmark707"/>
      <w:bookmarkEnd w:id="788"/>
      <w:r>
        <w:rPr>
          <w:position w:val="6"/>
          <w:sz w:val="10"/>
        </w:rPr>
        <w:t>25</w:t>
      </w:r>
      <w:r>
        <w:rPr>
          <w:position w:val="6"/>
          <w:sz w:val="10"/>
        </w:rPr>
        <w:tab/>
      </w:r>
      <w:r>
        <w:rPr>
          <w:sz w:val="16"/>
        </w:rPr>
        <w:t>La jurisprudencia de la Corte IDH no ha hecho una distinción entre ambas acepciones, por lo que deben entenderse como</w:t>
      </w:r>
      <w:r>
        <w:rPr>
          <w:spacing w:val="-3"/>
          <w:sz w:val="16"/>
        </w:rPr>
        <w:t xml:space="preserve"> </w:t>
      </w:r>
      <w:r>
        <w:rPr>
          <w:sz w:val="16"/>
        </w:rPr>
        <w:t>sinónimos.</w:t>
      </w:r>
    </w:p>
    <w:p w14:paraId="46E40463" w14:textId="77777777" w:rsidR="00467FCA" w:rsidRDefault="001B68EB">
      <w:pPr>
        <w:tabs>
          <w:tab w:val="left" w:pos="1166"/>
        </w:tabs>
        <w:ind w:left="458" w:right="409" w:hanging="1"/>
        <w:rPr>
          <w:sz w:val="16"/>
        </w:rPr>
      </w:pPr>
      <w:bookmarkStart w:id="789" w:name="_bookmark708"/>
      <w:bookmarkEnd w:id="789"/>
      <w:r>
        <w:rPr>
          <w:position w:val="6"/>
          <w:sz w:val="10"/>
        </w:rPr>
        <w:t>26</w:t>
      </w:r>
      <w:r>
        <w:rPr>
          <w:position w:val="6"/>
          <w:sz w:val="10"/>
        </w:rPr>
        <w:tab/>
      </w:r>
      <w:r>
        <w:rPr>
          <w:i/>
          <w:sz w:val="16"/>
        </w:rPr>
        <w:t xml:space="preserve">Cfr. </w:t>
      </w:r>
      <w:r>
        <w:rPr>
          <w:sz w:val="16"/>
        </w:rPr>
        <w:t xml:space="preserve">CIDH. </w:t>
      </w:r>
      <w:r>
        <w:rPr>
          <w:i/>
          <w:sz w:val="16"/>
        </w:rPr>
        <w:t>Situación de Derecho Humanos en Honduras</w:t>
      </w:r>
      <w:r>
        <w:rPr>
          <w:sz w:val="16"/>
        </w:rPr>
        <w:t>, OEA/Ser.L/V/II. D</w:t>
      </w:r>
      <w:r>
        <w:rPr>
          <w:sz w:val="16"/>
        </w:rPr>
        <w:t>oc. 42/15, 31 de diciembre de 2015, párr.</w:t>
      </w:r>
      <w:r>
        <w:rPr>
          <w:spacing w:val="-4"/>
          <w:sz w:val="16"/>
        </w:rPr>
        <w:t xml:space="preserve"> </w:t>
      </w:r>
      <w:r>
        <w:rPr>
          <w:sz w:val="16"/>
        </w:rPr>
        <w:t>405-415.</w:t>
      </w:r>
    </w:p>
    <w:p w14:paraId="34891E43" w14:textId="77777777" w:rsidR="00467FCA" w:rsidRDefault="001B68EB">
      <w:pPr>
        <w:tabs>
          <w:tab w:val="left" w:pos="1166"/>
        </w:tabs>
        <w:ind w:left="458"/>
        <w:rPr>
          <w:sz w:val="16"/>
        </w:rPr>
      </w:pPr>
      <w:bookmarkStart w:id="790" w:name="_bookmark709"/>
      <w:bookmarkEnd w:id="790"/>
      <w:r>
        <w:rPr>
          <w:position w:val="6"/>
          <w:sz w:val="10"/>
        </w:rPr>
        <w:t>27</w:t>
      </w:r>
      <w:r>
        <w:rPr>
          <w:position w:val="6"/>
          <w:sz w:val="10"/>
        </w:rPr>
        <w:tab/>
      </w:r>
      <w:r>
        <w:rPr>
          <w:i/>
          <w:sz w:val="16"/>
        </w:rPr>
        <w:t xml:space="preserve">Cfr. </w:t>
      </w:r>
      <w:r>
        <w:rPr>
          <w:sz w:val="16"/>
        </w:rPr>
        <w:t xml:space="preserve">CIDH. </w:t>
      </w:r>
      <w:r>
        <w:rPr>
          <w:i/>
          <w:sz w:val="16"/>
        </w:rPr>
        <w:t>Situación de Derecho Humanos en Honduras</w:t>
      </w:r>
      <w:r>
        <w:rPr>
          <w:sz w:val="16"/>
        </w:rPr>
        <w:t xml:space="preserve">, </w:t>
      </w:r>
      <w:r>
        <w:rPr>
          <w:i/>
          <w:sz w:val="16"/>
        </w:rPr>
        <w:t>supra,</w:t>
      </w:r>
      <w:r>
        <w:rPr>
          <w:i/>
          <w:spacing w:val="-23"/>
          <w:sz w:val="16"/>
        </w:rPr>
        <w:t xml:space="preserve"> </w:t>
      </w:r>
      <w:r>
        <w:rPr>
          <w:sz w:val="16"/>
        </w:rPr>
        <w:t>párrs.427-435.</w:t>
      </w:r>
    </w:p>
    <w:p w14:paraId="0B5AB115" w14:textId="77777777" w:rsidR="00467FCA" w:rsidRDefault="001B68EB">
      <w:pPr>
        <w:tabs>
          <w:tab w:val="left" w:pos="1166"/>
        </w:tabs>
        <w:ind w:left="458"/>
        <w:rPr>
          <w:sz w:val="16"/>
        </w:rPr>
      </w:pPr>
      <w:bookmarkStart w:id="791" w:name="_bookmark710"/>
      <w:bookmarkEnd w:id="791"/>
      <w:r>
        <w:rPr>
          <w:position w:val="6"/>
          <w:sz w:val="10"/>
        </w:rPr>
        <w:t>28</w:t>
      </w:r>
      <w:r>
        <w:rPr>
          <w:position w:val="6"/>
          <w:sz w:val="10"/>
        </w:rPr>
        <w:tab/>
      </w:r>
      <w:r>
        <w:rPr>
          <w:i/>
          <w:sz w:val="16"/>
        </w:rPr>
        <w:t xml:space="preserve">Cfr. </w:t>
      </w:r>
      <w:r>
        <w:rPr>
          <w:sz w:val="16"/>
        </w:rPr>
        <w:t xml:space="preserve">CIDH. </w:t>
      </w:r>
      <w:r>
        <w:rPr>
          <w:i/>
          <w:sz w:val="16"/>
        </w:rPr>
        <w:t>Situación de Derecho Humanos en Honduras</w:t>
      </w:r>
      <w:r>
        <w:rPr>
          <w:sz w:val="16"/>
        </w:rPr>
        <w:t xml:space="preserve">, </w:t>
      </w:r>
      <w:r>
        <w:rPr>
          <w:i/>
          <w:sz w:val="16"/>
        </w:rPr>
        <w:t>supra</w:t>
      </w:r>
      <w:r>
        <w:rPr>
          <w:sz w:val="16"/>
        </w:rPr>
        <w:t>,</w:t>
      </w:r>
      <w:r>
        <w:rPr>
          <w:spacing w:val="-22"/>
          <w:sz w:val="16"/>
        </w:rPr>
        <w:t xml:space="preserve"> </w:t>
      </w:r>
      <w:r>
        <w:rPr>
          <w:sz w:val="16"/>
        </w:rPr>
        <w:t>párrs.427-435.</w:t>
      </w:r>
    </w:p>
    <w:p w14:paraId="314823B5" w14:textId="77777777" w:rsidR="00467FCA" w:rsidRDefault="001B68EB">
      <w:pPr>
        <w:tabs>
          <w:tab w:val="left" w:pos="1166"/>
        </w:tabs>
        <w:ind w:left="458" w:right="269"/>
        <w:rPr>
          <w:sz w:val="16"/>
        </w:rPr>
      </w:pPr>
      <w:bookmarkStart w:id="792" w:name="_bookmark711"/>
      <w:bookmarkEnd w:id="792"/>
      <w:r>
        <w:rPr>
          <w:position w:val="6"/>
          <w:sz w:val="10"/>
        </w:rPr>
        <w:t>29</w:t>
      </w:r>
      <w:r>
        <w:rPr>
          <w:position w:val="6"/>
          <w:sz w:val="10"/>
        </w:rPr>
        <w:tab/>
      </w:r>
      <w:r>
        <w:rPr>
          <w:i/>
          <w:sz w:val="16"/>
        </w:rPr>
        <w:t xml:space="preserve">Cfr. </w:t>
      </w:r>
      <w:r>
        <w:rPr>
          <w:sz w:val="16"/>
        </w:rPr>
        <w:t xml:space="preserve">CIDH. </w:t>
      </w:r>
      <w:r>
        <w:rPr>
          <w:i/>
          <w:sz w:val="16"/>
        </w:rPr>
        <w:t>Situación de Derecho Humanos en Honduras</w:t>
      </w:r>
      <w:r>
        <w:rPr>
          <w:sz w:val="16"/>
        </w:rPr>
        <w:t xml:space="preserve">, </w:t>
      </w:r>
      <w:r>
        <w:rPr>
          <w:i/>
          <w:sz w:val="16"/>
        </w:rPr>
        <w:t xml:space="preserve">supra, </w:t>
      </w:r>
      <w:r>
        <w:rPr>
          <w:sz w:val="16"/>
        </w:rPr>
        <w:t xml:space="preserve">párrs.427-435 y </w:t>
      </w:r>
      <w:r>
        <w:rPr>
          <w:i/>
          <w:sz w:val="16"/>
        </w:rPr>
        <w:t>Situación de Derechos Humanos</w:t>
      </w:r>
      <w:r>
        <w:rPr>
          <w:i/>
          <w:spacing w:val="-5"/>
          <w:sz w:val="16"/>
        </w:rPr>
        <w:t xml:space="preserve"> </w:t>
      </w:r>
      <w:r>
        <w:rPr>
          <w:i/>
          <w:sz w:val="16"/>
        </w:rPr>
        <w:t>en</w:t>
      </w:r>
      <w:r>
        <w:rPr>
          <w:i/>
          <w:spacing w:val="-8"/>
          <w:sz w:val="16"/>
        </w:rPr>
        <w:t xml:space="preserve"> </w:t>
      </w:r>
      <w:r>
        <w:rPr>
          <w:i/>
          <w:sz w:val="16"/>
        </w:rPr>
        <w:t>República</w:t>
      </w:r>
      <w:r>
        <w:rPr>
          <w:i/>
          <w:spacing w:val="-5"/>
          <w:sz w:val="16"/>
        </w:rPr>
        <w:t xml:space="preserve"> </w:t>
      </w:r>
      <w:r>
        <w:rPr>
          <w:i/>
          <w:sz w:val="16"/>
        </w:rPr>
        <w:t>Dominicana</w:t>
      </w:r>
      <w:r>
        <w:rPr>
          <w:sz w:val="16"/>
        </w:rPr>
        <w:t>,</w:t>
      </w:r>
      <w:r>
        <w:rPr>
          <w:spacing w:val="-6"/>
          <w:sz w:val="16"/>
        </w:rPr>
        <w:t xml:space="preserve"> </w:t>
      </w:r>
      <w:r>
        <w:rPr>
          <w:sz w:val="16"/>
        </w:rPr>
        <w:t>OEA/Ser.L/V/II.</w:t>
      </w:r>
      <w:r>
        <w:rPr>
          <w:spacing w:val="-6"/>
          <w:sz w:val="16"/>
        </w:rPr>
        <w:t xml:space="preserve"> </w:t>
      </w:r>
      <w:r>
        <w:rPr>
          <w:sz w:val="16"/>
        </w:rPr>
        <w:t>Doc.</w:t>
      </w:r>
      <w:r>
        <w:rPr>
          <w:spacing w:val="-5"/>
          <w:sz w:val="16"/>
        </w:rPr>
        <w:t xml:space="preserve"> </w:t>
      </w:r>
      <w:r>
        <w:rPr>
          <w:sz w:val="16"/>
        </w:rPr>
        <w:t>45/15,</w:t>
      </w:r>
      <w:r>
        <w:rPr>
          <w:spacing w:val="-8"/>
          <w:sz w:val="16"/>
        </w:rPr>
        <w:t xml:space="preserve"> </w:t>
      </w:r>
      <w:r>
        <w:rPr>
          <w:sz w:val="16"/>
        </w:rPr>
        <w:t>31</w:t>
      </w:r>
      <w:r>
        <w:rPr>
          <w:spacing w:val="-6"/>
          <w:sz w:val="16"/>
        </w:rPr>
        <w:t xml:space="preserve"> </w:t>
      </w:r>
      <w:r>
        <w:rPr>
          <w:sz w:val="16"/>
        </w:rPr>
        <w:t>de</w:t>
      </w:r>
      <w:r>
        <w:rPr>
          <w:spacing w:val="-6"/>
          <w:sz w:val="16"/>
        </w:rPr>
        <w:t xml:space="preserve"> </w:t>
      </w:r>
      <w:r>
        <w:rPr>
          <w:sz w:val="16"/>
        </w:rPr>
        <w:t>diciembre</w:t>
      </w:r>
      <w:r>
        <w:rPr>
          <w:spacing w:val="-7"/>
          <w:sz w:val="16"/>
        </w:rPr>
        <w:t xml:space="preserve"> </w:t>
      </w:r>
      <w:r>
        <w:rPr>
          <w:sz w:val="16"/>
        </w:rPr>
        <w:t>de</w:t>
      </w:r>
      <w:r>
        <w:rPr>
          <w:spacing w:val="-6"/>
          <w:sz w:val="16"/>
        </w:rPr>
        <w:t xml:space="preserve"> </w:t>
      </w:r>
      <w:r>
        <w:rPr>
          <w:sz w:val="16"/>
        </w:rPr>
        <w:t>2015,</w:t>
      </w:r>
      <w:r>
        <w:rPr>
          <w:spacing w:val="-8"/>
          <w:sz w:val="16"/>
        </w:rPr>
        <w:t xml:space="preserve"> </w:t>
      </w:r>
      <w:r>
        <w:rPr>
          <w:sz w:val="16"/>
        </w:rPr>
        <w:t>párrs.</w:t>
      </w:r>
      <w:r>
        <w:rPr>
          <w:spacing w:val="-8"/>
          <w:sz w:val="16"/>
        </w:rPr>
        <w:t xml:space="preserve"> </w:t>
      </w:r>
      <w:r>
        <w:rPr>
          <w:sz w:val="16"/>
        </w:rPr>
        <w:t>565-574</w:t>
      </w:r>
      <w:r>
        <w:rPr>
          <w:spacing w:val="-5"/>
          <w:sz w:val="16"/>
        </w:rPr>
        <w:t xml:space="preserve"> </w:t>
      </w:r>
      <w:r>
        <w:rPr>
          <w:sz w:val="16"/>
        </w:rPr>
        <w:t>y</w:t>
      </w:r>
      <w:r>
        <w:rPr>
          <w:spacing w:val="-6"/>
          <w:sz w:val="16"/>
        </w:rPr>
        <w:t xml:space="preserve"> </w:t>
      </w:r>
      <w:r>
        <w:rPr>
          <w:sz w:val="16"/>
        </w:rPr>
        <w:t>653.14.</w:t>
      </w:r>
    </w:p>
    <w:p w14:paraId="378EAF9F" w14:textId="77777777" w:rsidR="00467FCA" w:rsidRDefault="001B68EB">
      <w:pPr>
        <w:tabs>
          <w:tab w:val="left" w:pos="1166"/>
        </w:tabs>
        <w:ind w:left="458"/>
        <w:rPr>
          <w:sz w:val="16"/>
        </w:rPr>
      </w:pPr>
      <w:bookmarkStart w:id="793" w:name="_bookmark712"/>
      <w:bookmarkEnd w:id="793"/>
      <w:r>
        <w:rPr>
          <w:position w:val="6"/>
          <w:sz w:val="10"/>
        </w:rPr>
        <w:t>30</w:t>
      </w:r>
      <w:r>
        <w:rPr>
          <w:position w:val="6"/>
          <w:sz w:val="10"/>
        </w:rPr>
        <w:tab/>
      </w:r>
      <w:r>
        <w:rPr>
          <w:i/>
          <w:sz w:val="16"/>
        </w:rPr>
        <w:t xml:space="preserve">Cfr. Caso Trabajadores de la Hacienda Brasil Verde Vs. Brasil, supra, </w:t>
      </w:r>
      <w:r>
        <w:rPr>
          <w:sz w:val="16"/>
        </w:rPr>
        <w:t>párr.</w:t>
      </w:r>
      <w:r>
        <w:rPr>
          <w:spacing w:val="-16"/>
          <w:sz w:val="16"/>
        </w:rPr>
        <w:t xml:space="preserve"> </w:t>
      </w:r>
      <w:r>
        <w:rPr>
          <w:sz w:val="16"/>
        </w:rPr>
        <w:t>319.</w:t>
      </w:r>
    </w:p>
    <w:p w14:paraId="77F42A92" w14:textId="77777777" w:rsidR="00467FCA" w:rsidRDefault="00467FCA">
      <w:pPr>
        <w:rPr>
          <w:sz w:val="16"/>
        </w:rPr>
        <w:sectPr w:rsidR="00467FCA">
          <w:pgSz w:w="12240" w:h="15840"/>
          <w:pgMar w:top="1500" w:right="1140" w:bottom="920" w:left="960" w:header="0" w:footer="734" w:gutter="0"/>
          <w:cols w:space="720"/>
        </w:sectPr>
      </w:pPr>
    </w:p>
    <w:p w14:paraId="6D120BA3" w14:textId="77777777" w:rsidR="00467FCA" w:rsidRDefault="001B68EB">
      <w:pPr>
        <w:pStyle w:val="Textoindependiente"/>
        <w:spacing w:before="79"/>
        <w:ind w:left="458" w:right="273"/>
        <w:jc w:val="both"/>
      </w:pPr>
      <w:r>
        <w:t>incumplir</w:t>
      </w:r>
      <w:r>
        <w:rPr>
          <w:spacing w:val="-16"/>
        </w:rPr>
        <w:t xml:space="preserve"> </w:t>
      </w:r>
      <w:r>
        <w:t>estas</w:t>
      </w:r>
      <w:r>
        <w:rPr>
          <w:spacing w:val="-10"/>
        </w:rPr>
        <w:t xml:space="preserve"> </w:t>
      </w:r>
      <w:r>
        <w:t>obligaciones</w:t>
      </w:r>
      <w:r>
        <w:rPr>
          <w:spacing w:val="-11"/>
        </w:rPr>
        <w:t xml:space="preserve"> </w:t>
      </w:r>
      <w:r>
        <w:t>siempre</w:t>
      </w:r>
      <w:r>
        <w:rPr>
          <w:spacing w:val="-12"/>
        </w:rPr>
        <w:t xml:space="preserve"> </w:t>
      </w:r>
      <w:r>
        <w:t>que</w:t>
      </w:r>
      <w:r>
        <w:rPr>
          <w:spacing w:val="-11"/>
        </w:rPr>
        <w:t xml:space="preserve"> </w:t>
      </w:r>
      <w:r>
        <w:t>su</w:t>
      </w:r>
      <w:r>
        <w:rPr>
          <w:spacing w:val="-10"/>
        </w:rPr>
        <w:t xml:space="preserve"> </w:t>
      </w:r>
      <w:r>
        <w:t>comportamiento</w:t>
      </w:r>
      <w:r>
        <w:rPr>
          <w:spacing w:val="-12"/>
        </w:rPr>
        <w:t xml:space="preserve"> </w:t>
      </w:r>
      <w:r>
        <w:t>previo</w:t>
      </w:r>
      <w:r>
        <w:rPr>
          <w:spacing w:val="-11"/>
        </w:rPr>
        <w:t xml:space="preserve"> </w:t>
      </w:r>
      <w:r>
        <w:t>fuera</w:t>
      </w:r>
      <w:r>
        <w:rPr>
          <w:spacing w:val="-11"/>
        </w:rPr>
        <w:t xml:space="preserve"> </w:t>
      </w:r>
      <w:r>
        <w:t>tal</w:t>
      </w:r>
      <w:r>
        <w:rPr>
          <w:spacing w:val="-12"/>
        </w:rPr>
        <w:t xml:space="preserve"> </w:t>
      </w:r>
      <w:r>
        <w:t>que</w:t>
      </w:r>
      <w:r>
        <w:rPr>
          <w:spacing w:val="-12"/>
        </w:rPr>
        <w:t xml:space="preserve"> </w:t>
      </w:r>
      <w:r>
        <w:t>haya</w:t>
      </w:r>
      <w:r>
        <w:rPr>
          <w:spacing w:val="-12"/>
        </w:rPr>
        <w:t xml:space="preserve"> </w:t>
      </w:r>
      <w:r>
        <w:t>creado o contribuido de manera decisiva a la existencia del riesgo para la c</w:t>
      </w:r>
      <w:r>
        <w:t>oncreción de alguna violación en el caso particular”. Para “vincular un comportamiento estatal a la creación del riesgo será́ necesario establecer la conexión de acciones u omisiones concretas a la creación o consolidación de situaciones de riesgo reales p</w:t>
      </w:r>
      <w:r>
        <w:t>ara la comisión de violaciones de derechos humanos, en este caso, vinculadas a actuaciones empresariales”</w:t>
      </w:r>
      <w:hyperlink w:anchor="_bookmark713" w:history="1">
        <w:r>
          <w:rPr>
            <w:position w:val="7"/>
            <w:sz w:val="13"/>
          </w:rPr>
          <w:t>31</w:t>
        </w:r>
      </w:hyperlink>
      <w:r>
        <w:t>. Circunstancias que,</w:t>
      </w:r>
      <w:r>
        <w:rPr>
          <w:spacing w:val="-44"/>
        </w:rPr>
        <w:t xml:space="preserve"> </w:t>
      </w:r>
      <w:r>
        <w:t>como se abordó en la sentencia, generaron la responsabilidad internacional en este</w:t>
      </w:r>
      <w:r>
        <w:rPr>
          <w:spacing w:val="-15"/>
        </w:rPr>
        <w:t xml:space="preserve"> </w:t>
      </w:r>
      <w:r>
        <w:t>caso.</w:t>
      </w:r>
    </w:p>
    <w:p w14:paraId="68555BEE" w14:textId="77777777" w:rsidR="00467FCA" w:rsidRDefault="00467FCA">
      <w:pPr>
        <w:pStyle w:val="Textoindependiente"/>
        <w:spacing w:before="2"/>
        <w:rPr>
          <w:sz w:val="33"/>
        </w:rPr>
      </w:pPr>
    </w:p>
    <w:p w14:paraId="2DB4B312" w14:textId="77777777" w:rsidR="00467FCA" w:rsidRDefault="001B68EB">
      <w:pPr>
        <w:pStyle w:val="Ttulo1"/>
        <w:numPr>
          <w:ilvl w:val="2"/>
          <w:numId w:val="32"/>
        </w:numPr>
        <w:tabs>
          <w:tab w:val="left" w:pos="1287"/>
        </w:tabs>
        <w:ind w:right="438" w:firstLine="314"/>
        <w:jc w:val="left"/>
      </w:pPr>
      <w:r>
        <w:t>EL DERECHO A LAS CONDICIONES EQUITATIVAS Y SATISFACTORIAS DE TRABAJO PARA LA PROTECCIÓN DE LA SEGURIDAD, SALUD E HIGIENE: UN</w:t>
      </w:r>
      <w:r>
        <w:rPr>
          <w:spacing w:val="-30"/>
        </w:rPr>
        <w:t xml:space="preserve"> </w:t>
      </w:r>
      <w:r>
        <w:t>PASO</w:t>
      </w:r>
    </w:p>
    <w:p w14:paraId="08468BD0" w14:textId="77777777" w:rsidR="00467FCA" w:rsidRDefault="001B68EB">
      <w:pPr>
        <w:spacing w:line="242" w:lineRule="exact"/>
        <w:ind w:left="919"/>
        <w:rPr>
          <w:b/>
          <w:sz w:val="20"/>
        </w:rPr>
      </w:pPr>
      <w:r>
        <w:rPr>
          <w:b/>
          <w:sz w:val="20"/>
        </w:rPr>
        <w:t>MÁS EN EL CONTENIDO DEL ARTÍCULO 26 DE LA CONVENCIÓN AMERICANA</w:t>
      </w:r>
    </w:p>
    <w:p w14:paraId="156E6EFA" w14:textId="77777777" w:rsidR="00467FCA" w:rsidRDefault="00467FCA">
      <w:pPr>
        <w:pStyle w:val="Textoindependiente"/>
        <w:spacing w:before="11"/>
        <w:rPr>
          <w:b/>
          <w:sz w:val="29"/>
        </w:rPr>
      </w:pPr>
    </w:p>
    <w:p w14:paraId="48A41A14" w14:textId="77777777" w:rsidR="00467FCA" w:rsidRDefault="001B68EB">
      <w:pPr>
        <w:pStyle w:val="Prrafodelista"/>
        <w:numPr>
          <w:ilvl w:val="0"/>
          <w:numId w:val="9"/>
        </w:numPr>
        <w:tabs>
          <w:tab w:val="left" w:pos="1167"/>
        </w:tabs>
        <w:spacing w:before="1"/>
        <w:ind w:right="275" w:firstLine="0"/>
        <w:jc w:val="both"/>
        <w:rPr>
          <w:sz w:val="20"/>
        </w:rPr>
      </w:pPr>
      <w:r>
        <w:rPr>
          <w:sz w:val="20"/>
        </w:rPr>
        <w:t>Si</w:t>
      </w:r>
      <w:r>
        <w:rPr>
          <w:spacing w:val="-11"/>
          <w:sz w:val="20"/>
        </w:rPr>
        <w:t xml:space="preserve"> </w:t>
      </w:r>
      <w:r>
        <w:rPr>
          <w:sz w:val="20"/>
        </w:rPr>
        <w:t>bien</w:t>
      </w:r>
      <w:r>
        <w:rPr>
          <w:spacing w:val="-10"/>
          <w:sz w:val="20"/>
        </w:rPr>
        <w:t xml:space="preserve"> </w:t>
      </w:r>
      <w:r>
        <w:rPr>
          <w:sz w:val="20"/>
        </w:rPr>
        <w:t>en</w:t>
      </w:r>
      <w:r>
        <w:rPr>
          <w:spacing w:val="-9"/>
          <w:sz w:val="20"/>
        </w:rPr>
        <w:t xml:space="preserve"> </w:t>
      </w:r>
      <w:r>
        <w:rPr>
          <w:sz w:val="20"/>
        </w:rPr>
        <w:t>la</w:t>
      </w:r>
      <w:r>
        <w:rPr>
          <w:spacing w:val="-11"/>
          <w:sz w:val="20"/>
        </w:rPr>
        <w:t xml:space="preserve"> </w:t>
      </w:r>
      <w:r>
        <w:rPr>
          <w:sz w:val="20"/>
        </w:rPr>
        <w:t>sentencia</w:t>
      </w:r>
      <w:r>
        <w:rPr>
          <w:spacing w:val="-10"/>
          <w:sz w:val="20"/>
        </w:rPr>
        <w:t xml:space="preserve"> </w:t>
      </w:r>
      <w:r>
        <w:rPr>
          <w:sz w:val="20"/>
        </w:rPr>
        <w:t>se</w:t>
      </w:r>
      <w:r>
        <w:rPr>
          <w:spacing w:val="-12"/>
          <w:sz w:val="20"/>
        </w:rPr>
        <w:t xml:space="preserve"> </w:t>
      </w:r>
      <w:r>
        <w:rPr>
          <w:sz w:val="20"/>
        </w:rPr>
        <w:t>analizan</w:t>
      </w:r>
      <w:r>
        <w:rPr>
          <w:spacing w:val="-10"/>
          <w:sz w:val="20"/>
        </w:rPr>
        <w:t xml:space="preserve"> </w:t>
      </w:r>
      <w:r>
        <w:rPr>
          <w:sz w:val="20"/>
        </w:rPr>
        <w:t>en</w:t>
      </w:r>
      <w:r>
        <w:rPr>
          <w:spacing w:val="-9"/>
          <w:sz w:val="20"/>
        </w:rPr>
        <w:t xml:space="preserve"> </w:t>
      </w:r>
      <w:r>
        <w:rPr>
          <w:sz w:val="20"/>
        </w:rPr>
        <w:t>un</w:t>
      </w:r>
      <w:r>
        <w:rPr>
          <w:spacing w:val="-10"/>
          <w:sz w:val="20"/>
        </w:rPr>
        <w:t xml:space="preserve"> </w:t>
      </w:r>
      <w:r>
        <w:rPr>
          <w:sz w:val="20"/>
        </w:rPr>
        <w:t>apartado</w:t>
      </w:r>
      <w:r>
        <w:rPr>
          <w:spacing w:val="-11"/>
          <w:sz w:val="20"/>
        </w:rPr>
        <w:t xml:space="preserve"> </w:t>
      </w:r>
      <w:r>
        <w:rPr>
          <w:sz w:val="20"/>
        </w:rPr>
        <w:t>los</w:t>
      </w:r>
      <w:r>
        <w:rPr>
          <w:spacing w:val="-12"/>
          <w:sz w:val="20"/>
        </w:rPr>
        <w:t xml:space="preserve"> </w:t>
      </w:r>
      <w:r>
        <w:rPr>
          <w:sz w:val="20"/>
        </w:rPr>
        <w:t>derecho</w:t>
      </w:r>
      <w:r>
        <w:rPr>
          <w:sz w:val="20"/>
        </w:rPr>
        <w:t>s</w:t>
      </w:r>
      <w:r>
        <w:rPr>
          <w:spacing w:val="-11"/>
          <w:sz w:val="20"/>
        </w:rPr>
        <w:t xml:space="preserve"> </w:t>
      </w:r>
      <w:r>
        <w:rPr>
          <w:sz w:val="20"/>
        </w:rPr>
        <w:t>a</w:t>
      </w:r>
      <w:r>
        <w:rPr>
          <w:spacing w:val="-11"/>
          <w:sz w:val="20"/>
        </w:rPr>
        <w:t xml:space="preserve"> </w:t>
      </w:r>
      <w:r>
        <w:rPr>
          <w:sz w:val="20"/>
        </w:rPr>
        <w:t>la</w:t>
      </w:r>
      <w:r>
        <w:rPr>
          <w:spacing w:val="-11"/>
          <w:sz w:val="20"/>
        </w:rPr>
        <w:t xml:space="preserve"> </w:t>
      </w:r>
      <w:r>
        <w:rPr>
          <w:sz w:val="20"/>
        </w:rPr>
        <w:t>vida</w:t>
      </w:r>
      <w:r>
        <w:rPr>
          <w:spacing w:val="-8"/>
          <w:sz w:val="20"/>
        </w:rPr>
        <w:t xml:space="preserve"> </w:t>
      </w:r>
      <w:r>
        <w:rPr>
          <w:sz w:val="20"/>
        </w:rPr>
        <w:t>y</w:t>
      </w:r>
      <w:r>
        <w:rPr>
          <w:spacing w:val="-12"/>
          <w:sz w:val="20"/>
        </w:rPr>
        <w:t xml:space="preserve"> </w:t>
      </w:r>
      <w:r>
        <w:rPr>
          <w:sz w:val="20"/>
        </w:rPr>
        <w:t>la</w:t>
      </w:r>
      <w:r>
        <w:rPr>
          <w:spacing w:val="-10"/>
          <w:sz w:val="20"/>
        </w:rPr>
        <w:t xml:space="preserve"> </w:t>
      </w:r>
      <w:r>
        <w:rPr>
          <w:sz w:val="20"/>
        </w:rPr>
        <w:t>integridad personal y, en otro, el derecho al trabajo, es de relevancia hacer notar que —dada la interdependencia e indivisibilidad de los derechos humanos—, las violaciones deben ser comprendidas de manera integral. Es decir, el incumplim</w:t>
      </w:r>
      <w:r>
        <w:rPr>
          <w:sz w:val="20"/>
        </w:rPr>
        <w:t>iento (por inacción y omisión) de la obligación de prevención frente a un deber concreto y expreso (fiscalizar, supervisar o inspeccionar), impacta en cada una de las violaciones</w:t>
      </w:r>
      <w:r>
        <w:rPr>
          <w:spacing w:val="-7"/>
          <w:sz w:val="20"/>
        </w:rPr>
        <w:t xml:space="preserve"> </w:t>
      </w:r>
      <w:r>
        <w:rPr>
          <w:sz w:val="20"/>
        </w:rPr>
        <w:t>constatadas.</w:t>
      </w:r>
    </w:p>
    <w:p w14:paraId="5A894004" w14:textId="77777777" w:rsidR="00467FCA" w:rsidRDefault="001B68EB">
      <w:pPr>
        <w:pStyle w:val="Prrafodelista"/>
        <w:numPr>
          <w:ilvl w:val="0"/>
          <w:numId w:val="9"/>
        </w:numPr>
        <w:tabs>
          <w:tab w:val="left" w:pos="1167"/>
        </w:tabs>
        <w:spacing w:before="118"/>
        <w:ind w:left="457" w:right="275" w:firstLine="0"/>
        <w:jc w:val="both"/>
        <w:rPr>
          <w:sz w:val="20"/>
        </w:rPr>
      </w:pPr>
      <w:r>
        <w:rPr>
          <w:sz w:val="20"/>
        </w:rPr>
        <w:t>Así,</w:t>
      </w:r>
      <w:r>
        <w:rPr>
          <w:spacing w:val="-12"/>
          <w:sz w:val="20"/>
        </w:rPr>
        <w:t xml:space="preserve"> </w:t>
      </w:r>
      <w:r>
        <w:rPr>
          <w:sz w:val="20"/>
        </w:rPr>
        <w:t>no</w:t>
      </w:r>
      <w:r>
        <w:rPr>
          <w:spacing w:val="-9"/>
          <w:sz w:val="20"/>
        </w:rPr>
        <w:t xml:space="preserve"> </w:t>
      </w:r>
      <w:r>
        <w:rPr>
          <w:sz w:val="20"/>
        </w:rPr>
        <w:t>estaba</w:t>
      </w:r>
      <w:r>
        <w:rPr>
          <w:spacing w:val="-8"/>
          <w:sz w:val="20"/>
        </w:rPr>
        <w:t xml:space="preserve"> </w:t>
      </w:r>
      <w:r>
        <w:rPr>
          <w:sz w:val="20"/>
        </w:rPr>
        <w:t>en</w:t>
      </w:r>
      <w:r>
        <w:rPr>
          <w:spacing w:val="-9"/>
          <w:sz w:val="20"/>
        </w:rPr>
        <w:t xml:space="preserve"> </w:t>
      </w:r>
      <w:r>
        <w:rPr>
          <w:sz w:val="20"/>
        </w:rPr>
        <w:t>discusión</w:t>
      </w:r>
      <w:r>
        <w:rPr>
          <w:spacing w:val="-10"/>
          <w:sz w:val="20"/>
        </w:rPr>
        <w:t xml:space="preserve"> </w:t>
      </w:r>
      <w:r>
        <w:rPr>
          <w:sz w:val="20"/>
        </w:rPr>
        <w:t>si</w:t>
      </w:r>
      <w:r>
        <w:rPr>
          <w:spacing w:val="-7"/>
          <w:sz w:val="20"/>
        </w:rPr>
        <w:t xml:space="preserve"> </w:t>
      </w:r>
      <w:r>
        <w:rPr>
          <w:sz w:val="20"/>
        </w:rPr>
        <w:t>el</w:t>
      </w:r>
      <w:r>
        <w:rPr>
          <w:spacing w:val="-10"/>
          <w:sz w:val="20"/>
        </w:rPr>
        <w:t xml:space="preserve"> </w:t>
      </w:r>
      <w:r>
        <w:rPr>
          <w:sz w:val="20"/>
        </w:rPr>
        <w:t>Estado</w:t>
      </w:r>
      <w:r>
        <w:rPr>
          <w:spacing w:val="-10"/>
          <w:sz w:val="20"/>
        </w:rPr>
        <w:t xml:space="preserve"> </w:t>
      </w:r>
      <w:r>
        <w:rPr>
          <w:sz w:val="20"/>
        </w:rPr>
        <w:t>había</w:t>
      </w:r>
      <w:r>
        <w:rPr>
          <w:spacing w:val="-10"/>
          <w:sz w:val="20"/>
        </w:rPr>
        <w:t xml:space="preserve"> </w:t>
      </w:r>
      <w:r>
        <w:rPr>
          <w:sz w:val="20"/>
        </w:rPr>
        <w:t>regulado,</w:t>
      </w:r>
      <w:r>
        <w:rPr>
          <w:spacing w:val="-11"/>
          <w:sz w:val="20"/>
        </w:rPr>
        <w:t xml:space="preserve"> </w:t>
      </w:r>
      <w:r>
        <w:rPr>
          <w:sz w:val="20"/>
        </w:rPr>
        <w:t>o</w:t>
      </w:r>
      <w:r>
        <w:rPr>
          <w:spacing w:val="-11"/>
          <w:sz w:val="20"/>
        </w:rPr>
        <w:t xml:space="preserve"> </w:t>
      </w:r>
      <w:r>
        <w:rPr>
          <w:sz w:val="20"/>
        </w:rPr>
        <w:t>no,</w:t>
      </w:r>
      <w:r>
        <w:rPr>
          <w:spacing w:val="-11"/>
          <w:sz w:val="20"/>
        </w:rPr>
        <w:t xml:space="preserve"> </w:t>
      </w:r>
      <w:r>
        <w:rPr>
          <w:sz w:val="20"/>
        </w:rPr>
        <w:t>de</w:t>
      </w:r>
      <w:r>
        <w:rPr>
          <w:spacing w:val="-11"/>
          <w:sz w:val="20"/>
        </w:rPr>
        <w:t xml:space="preserve"> </w:t>
      </w:r>
      <w:r>
        <w:rPr>
          <w:sz w:val="20"/>
        </w:rPr>
        <w:t>manera</w:t>
      </w:r>
      <w:r>
        <w:rPr>
          <w:spacing w:val="-9"/>
          <w:sz w:val="20"/>
        </w:rPr>
        <w:t xml:space="preserve"> </w:t>
      </w:r>
      <w:r>
        <w:rPr>
          <w:sz w:val="20"/>
        </w:rPr>
        <w:t>preventiva</w:t>
      </w:r>
      <w:r>
        <w:rPr>
          <w:spacing w:val="-10"/>
          <w:sz w:val="20"/>
        </w:rPr>
        <w:t xml:space="preserve"> </w:t>
      </w:r>
      <w:r>
        <w:rPr>
          <w:sz w:val="20"/>
        </w:rPr>
        <w:t>las actividades que se consideraran peligrosas, como parte de la obligación de garantía. En el caso se analizó si esa normativa había sido implementada por las autoridades competentes y si el actuar de dichas autoridades habían pre</w:t>
      </w:r>
      <w:r>
        <w:rPr>
          <w:sz w:val="20"/>
        </w:rPr>
        <w:t>venido —mediante la fiscalización, supervisión o inspección— las violaciones a los derechos humanos. De esta forma, la conducta omisa e inactiva</w:t>
      </w:r>
      <w:r>
        <w:rPr>
          <w:spacing w:val="-6"/>
          <w:sz w:val="20"/>
        </w:rPr>
        <w:t xml:space="preserve"> </w:t>
      </w:r>
      <w:r>
        <w:rPr>
          <w:sz w:val="20"/>
        </w:rPr>
        <w:t>del</w:t>
      </w:r>
      <w:r>
        <w:rPr>
          <w:spacing w:val="-4"/>
          <w:sz w:val="20"/>
        </w:rPr>
        <w:t xml:space="preserve"> </w:t>
      </w:r>
      <w:r>
        <w:rPr>
          <w:sz w:val="20"/>
        </w:rPr>
        <w:t>Estado</w:t>
      </w:r>
      <w:r>
        <w:rPr>
          <w:spacing w:val="-3"/>
          <w:sz w:val="20"/>
        </w:rPr>
        <w:t xml:space="preserve"> </w:t>
      </w:r>
      <w:r>
        <w:rPr>
          <w:sz w:val="20"/>
        </w:rPr>
        <w:t>en</w:t>
      </w:r>
      <w:r>
        <w:rPr>
          <w:spacing w:val="-5"/>
          <w:sz w:val="20"/>
        </w:rPr>
        <w:t xml:space="preserve"> </w:t>
      </w:r>
      <w:r>
        <w:rPr>
          <w:sz w:val="20"/>
        </w:rPr>
        <w:t>los</w:t>
      </w:r>
      <w:r>
        <w:rPr>
          <w:spacing w:val="-5"/>
          <w:sz w:val="20"/>
        </w:rPr>
        <w:t xml:space="preserve"> </w:t>
      </w:r>
      <w:r>
        <w:rPr>
          <w:sz w:val="20"/>
        </w:rPr>
        <w:t>contextos</w:t>
      </w:r>
      <w:r>
        <w:rPr>
          <w:spacing w:val="-5"/>
          <w:sz w:val="20"/>
        </w:rPr>
        <w:t xml:space="preserve"> </w:t>
      </w:r>
      <w:r>
        <w:rPr>
          <w:sz w:val="20"/>
        </w:rPr>
        <w:t>de</w:t>
      </w:r>
      <w:r>
        <w:rPr>
          <w:spacing w:val="-5"/>
          <w:sz w:val="20"/>
        </w:rPr>
        <w:t xml:space="preserve"> </w:t>
      </w:r>
      <w:r>
        <w:rPr>
          <w:sz w:val="20"/>
        </w:rPr>
        <w:t>empresas</w:t>
      </w:r>
      <w:r>
        <w:rPr>
          <w:spacing w:val="-7"/>
          <w:sz w:val="20"/>
        </w:rPr>
        <w:t xml:space="preserve"> </w:t>
      </w:r>
      <w:r>
        <w:rPr>
          <w:sz w:val="20"/>
        </w:rPr>
        <w:t>particulares</w:t>
      </w:r>
      <w:r>
        <w:rPr>
          <w:spacing w:val="-4"/>
          <w:sz w:val="20"/>
        </w:rPr>
        <w:t xml:space="preserve"> </w:t>
      </w:r>
      <w:r>
        <w:rPr>
          <w:sz w:val="20"/>
        </w:rPr>
        <w:t>compromete</w:t>
      </w:r>
      <w:r>
        <w:rPr>
          <w:spacing w:val="-5"/>
          <w:sz w:val="20"/>
        </w:rPr>
        <w:t xml:space="preserve"> </w:t>
      </w:r>
      <w:r>
        <w:rPr>
          <w:sz w:val="20"/>
        </w:rPr>
        <w:t>la</w:t>
      </w:r>
      <w:r>
        <w:rPr>
          <w:spacing w:val="-4"/>
          <w:sz w:val="20"/>
        </w:rPr>
        <w:t xml:space="preserve"> </w:t>
      </w:r>
      <w:r>
        <w:rPr>
          <w:sz w:val="20"/>
        </w:rPr>
        <w:t>responsabilidad internacional,</w:t>
      </w:r>
      <w:r>
        <w:rPr>
          <w:spacing w:val="-12"/>
          <w:sz w:val="20"/>
        </w:rPr>
        <w:t xml:space="preserve"> </w:t>
      </w:r>
      <w:r>
        <w:rPr>
          <w:sz w:val="20"/>
        </w:rPr>
        <w:t>tanto</w:t>
      </w:r>
      <w:r>
        <w:rPr>
          <w:spacing w:val="-10"/>
          <w:sz w:val="20"/>
        </w:rPr>
        <w:t xml:space="preserve"> </w:t>
      </w:r>
      <w:r>
        <w:rPr>
          <w:sz w:val="20"/>
        </w:rPr>
        <w:t>en</w:t>
      </w:r>
      <w:r>
        <w:rPr>
          <w:spacing w:val="-10"/>
          <w:sz w:val="20"/>
        </w:rPr>
        <w:t xml:space="preserve"> </w:t>
      </w:r>
      <w:r>
        <w:rPr>
          <w:sz w:val="20"/>
        </w:rPr>
        <w:t>los</w:t>
      </w:r>
      <w:r>
        <w:rPr>
          <w:spacing w:val="-12"/>
          <w:sz w:val="20"/>
        </w:rPr>
        <w:t xml:space="preserve"> </w:t>
      </w:r>
      <w:r>
        <w:rPr>
          <w:sz w:val="20"/>
        </w:rPr>
        <w:t>desarrollos</w:t>
      </w:r>
      <w:r>
        <w:rPr>
          <w:spacing w:val="-11"/>
          <w:sz w:val="20"/>
        </w:rPr>
        <w:t xml:space="preserve"> </w:t>
      </w:r>
      <w:r>
        <w:rPr>
          <w:sz w:val="20"/>
        </w:rPr>
        <w:t>normativos</w:t>
      </w:r>
      <w:r>
        <w:rPr>
          <w:spacing w:val="-12"/>
          <w:sz w:val="20"/>
        </w:rPr>
        <w:t xml:space="preserve"> </w:t>
      </w:r>
      <w:r>
        <w:rPr>
          <w:sz w:val="20"/>
        </w:rPr>
        <w:t>sobre</w:t>
      </w:r>
      <w:r>
        <w:rPr>
          <w:spacing w:val="-12"/>
          <w:sz w:val="20"/>
        </w:rPr>
        <w:t xml:space="preserve"> </w:t>
      </w:r>
      <w:r>
        <w:rPr>
          <w:sz w:val="20"/>
        </w:rPr>
        <w:t>empresas</w:t>
      </w:r>
      <w:r>
        <w:rPr>
          <w:spacing w:val="-11"/>
          <w:sz w:val="20"/>
        </w:rPr>
        <w:t xml:space="preserve"> </w:t>
      </w:r>
      <w:r>
        <w:rPr>
          <w:sz w:val="20"/>
        </w:rPr>
        <w:t>y</w:t>
      </w:r>
      <w:r>
        <w:rPr>
          <w:spacing w:val="-12"/>
          <w:sz w:val="20"/>
        </w:rPr>
        <w:t xml:space="preserve"> </w:t>
      </w:r>
      <w:r>
        <w:rPr>
          <w:sz w:val="20"/>
        </w:rPr>
        <w:t>derechos</w:t>
      </w:r>
      <w:r>
        <w:rPr>
          <w:spacing w:val="-12"/>
          <w:sz w:val="20"/>
        </w:rPr>
        <w:t xml:space="preserve"> </w:t>
      </w:r>
      <w:r>
        <w:rPr>
          <w:sz w:val="20"/>
        </w:rPr>
        <w:t>humanos,</w:t>
      </w:r>
      <w:r>
        <w:rPr>
          <w:spacing w:val="-10"/>
          <w:sz w:val="20"/>
        </w:rPr>
        <w:t xml:space="preserve"> </w:t>
      </w:r>
      <w:r>
        <w:rPr>
          <w:sz w:val="20"/>
        </w:rPr>
        <w:t>como en el marco convencional desarrollado por la jurisprudencia de la Corte</w:t>
      </w:r>
      <w:r>
        <w:rPr>
          <w:spacing w:val="-13"/>
          <w:sz w:val="20"/>
        </w:rPr>
        <w:t xml:space="preserve"> </w:t>
      </w:r>
      <w:r>
        <w:rPr>
          <w:sz w:val="20"/>
        </w:rPr>
        <w:t>IDH.</w:t>
      </w:r>
    </w:p>
    <w:p w14:paraId="5E69AF9E" w14:textId="77777777" w:rsidR="00467FCA" w:rsidRDefault="00467FCA">
      <w:pPr>
        <w:pStyle w:val="Textoindependiente"/>
        <w:spacing w:before="1"/>
      </w:pPr>
    </w:p>
    <w:p w14:paraId="17833C42" w14:textId="77777777" w:rsidR="00467FCA" w:rsidRDefault="001B68EB">
      <w:pPr>
        <w:pStyle w:val="Prrafodelista"/>
        <w:numPr>
          <w:ilvl w:val="0"/>
          <w:numId w:val="9"/>
        </w:numPr>
        <w:tabs>
          <w:tab w:val="left" w:pos="1166"/>
        </w:tabs>
        <w:ind w:left="457" w:right="276" w:firstLine="0"/>
        <w:jc w:val="both"/>
        <w:rPr>
          <w:sz w:val="20"/>
        </w:rPr>
      </w:pPr>
      <w:r>
        <w:rPr>
          <w:sz w:val="20"/>
        </w:rPr>
        <w:t xml:space="preserve">La intención de la presente sección es abonar en la importancia de la </w:t>
      </w:r>
      <w:r>
        <w:rPr>
          <w:i/>
          <w:sz w:val="20"/>
        </w:rPr>
        <w:t>fiscalización, supervisión</w:t>
      </w:r>
      <w:r>
        <w:rPr>
          <w:i/>
          <w:spacing w:val="-13"/>
          <w:sz w:val="20"/>
        </w:rPr>
        <w:t xml:space="preserve"> </w:t>
      </w:r>
      <w:r>
        <w:rPr>
          <w:i/>
          <w:sz w:val="20"/>
        </w:rPr>
        <w:t>o</w:t>
      </w:r>
      <w:r>
        <w:rPr>
          <w:i/>
          <w:spacing w:val="-17"/>
          <w:sz w:val="20"/>
        </w:rPr>
        <w:t xml:space="preserve"> </w:t>
      </w:r>
      <w:r>
        <w:rPr>
          <w:i/>
          <w:sz w:val="20"/>
        </w:rPr>
        <w:t>inspección</w:t>
      </w:r>
      <w:r>
        <w:rPr>
          <w:i/>
          <w:spacing w:val="-13"/>
          <w:sz w:val="20"/>
        </w:rPr>
        <w:t xml:space="preserve"> </w:t>
      </w:r>
      <w:r>
        <w:rPr>
          <w:sz w:val="20"/>
        </w:rPr>
        <w:t>como</w:t>
      </w:r>
      <w:r>
        <w:rPr>
          <w:spacing w:val="-17"/>
          <w:sz w:val="20"/>
        </w:rPr>
        <w:t xml:space="preserve"> </w:t>
      </w:r>
      <w:r>
        <w:rPr>
          <w:sz w:val="20"/>
        </w:rPr>
        <w:t>mecanismos</w:t>
      </w:r>
      <w:r>
        <w:rPr>
          <w:spacing w:val="-16"/>
          <w:sz w:val="20"/>
        </w:rPr>
        <w:t xml:space="preserve"> </w:t>
      </w:r>
      <w:r>
        <w:rPr>
          <w:sz w:val="20"/>
        </w:rPr>
        <w:t>de</w:t>
      </w:r>
      <w:r>
        <w:rPr>
          <w:spacing w:val="-17"/>
          <w:sz w:val="20"/>
        </w:rPr>
        <w:t xml:space="preserve"> </w:t>
      </w:r>
      <w:r>
        <w:rPr>
          <w:sz w:val="20"/>
        </w:rPr>
        <w:t>garantía</w:t>
      </w:r>
      <w:r>
        <w:rPr>
          <w:spacing w:val="-16"/>
          <w:sz w:val="20"/>
        </w:rPr>
        <w:t xml:space="preserve"> </w:t>
      </w:r>
      <w:r>
        <w:rPr>
          <w:sz w:val="20"/>
        </w:rPr>
        <w:t>y</w:t>
      </w:r>
      <w:r>
        <w:rPr>
          <w:spacing w:val="-16"/>
          <w:sz w:val="20"/>
        </w:rPr>
        <w:t xml:space="preserve"> </w:t>
      </w:r>
      <w:r>
        <w:rPr>
          <w:sz w:val="20"/>
        </w:rPr>
        <w:t>prevención</w:t>
      </w:r>
      <w:r>
        <w:rPr>
          <w:spacing w:val="-14"/>
          <w:sz w:val="20"/>
        </w:rPr>
        <w:t xml:space="preserve"> </w:t>
      </w:r>
      <w:r>
        <w:rPr>
          <w:sz w:val="20"/>
        </w:rPr>
        <w:t>de</w:t>
      </w:r>
      <w:r>
        <w:rPr>
          <w:spacing w:val="-17"/>
          <w:sz w:val="20"/>
        </w:rPr>
        <w:t xml:space="preserve"> </w:t>
      </w:r>
      <w:r>
        <w:rPr>
          <w:sz w:val="20"/>
        </w:rPr>
        <w:t>los</w:t>
      </w:r>
      <w:r>
        <w:rPr>
          <w:spacing w:val="-17"/>
          <w:sz w:val="20"/>
        </w:rPr>
        <w:t xml:space="preserve"> </w:t>
      </w:r>
      <w:r>
        <w:rPr>
          <w:sz w:val="20"/>
        </w:rPr>
        <w:t>derechos</w:t>
      </w:r>
      <w:r>
        <w:rPr>
          <w:spacing w:val="-16"/>
          <w:sz w:val="20"/>
        </w:rPr>
        <w:t xml:space="preserve"> </w:t>
      </w:r>
      <w:r>
        <w:rPr>
          <w:sz w:val="20"/>
        </w:rPr>
        <w:t>laborales en los contextos de relaciones entre particulares. Para ello, en primer lugar, abordaré “el contenido del derecho identificado en el presente caso” derivado del artículo 26 del Pacto de San José y, posteriormente, externaré algunas consideracione</w:t>
      </w:r>
      <w:r>
        <w:rPr>
          <w:sz w:val="20"/>
        </w:rPr>
        <w:t xml:space="preserve">s sobre la importancia de la </w:t>
      </w:r>
      <w:r>
        <w:rPr>
          <w:i/>
          <w:sz w:val="20"/>
        </w:rPr>
        <w:t xml:space="preserve">fiscalización o inspección </w:t>
      </w:r>
      <w:r>
        <w:rPr>
          <w:sz w:val="20"/>
        </w:rPr>
        <w:t>como mecanismos preventivos para las condiciones equitativas y satisfactorias del derecho al trabajo que garanticen la seguridad, la salud y la higiene en el trabajo.</w:t>
      </w:r>
    </w:p>
    <w:p w14:paraId="20AB6D1F" w14:textId="77777777" w:rsidR="00467FCA" w:rsidRDefault="00467FCA">
      <w:pPr>
        <w:pStyle w:val="Textoindependiente"/>
        <w:rPr>
          <w:sz w:val="24"/>
        </w:rPr>
      </w:pPr>
    </w:p>
    <w:p w14:paraId="6B85FA21" w14:textId="77777777" w:rsidR="00467FCA" w:rsidRDefault="001B68EB">
      <w:pPr>
        <w:pStyle w:val="Ttulo2"/>
        <w:numPr>
          <w:ilvl w:val="0"/>
          <w:numId w:val="8"/>
        </w:numPr>
        <w:tabs>
          <w:tab w:val="left" w:pos="805"/>
        </w:tabs>
        <w:spacing w:before="191"/>
        <w:ind w:right="277" w:firstLine="0"/>
        <w:jc w:val="both"/>
      </w:pPr>
      <w:r>
        <w:t>Sobre el contenido del derecho a</w:t>
      </w:r>
      <w:r>
        <w:t xml:space="preserve"> condiciones equitativas y satisfactorias de </w:t>
      </w:r>
      <w:r>
        <w:t>trabajo</w:t>
      </w:r>
    </w:p>
    <w:p w14:paraId="0DD9A2DA" w14:textId="77777777" w:rsidR="00467FCA" w:rsidRDefault="00467FCA">
      <w:pPr>
        <w:pStyle w:val="Textoindependiente"/>
        <w:spacing w:before="11"/>
        <w:rPr>
          <w:b/>
          <w:i/>
          <w:sz w:val="29"/>
        </w:rPr>
      </w:pPr>
    </w:p>
    <w:p w14:paraId="7149372B" w14:textId="77777777" w:rsidR="00467FCA" w:rsidRDefault="001B68EB">
      <w:pPr>
        <w:pStyle w:val="Prrafodelista"/>
        <w:numPr>
          <w:ilvl w:val="0"/>
          <w:numId w:val="9"/>
        </w:numPr>
        <w:tabs>
          <w:tab w:val="left" w:pos="1165"/>
        </w:tabs>
        <w:ind w:left="456" w:right="278" w:firstLine="0"/>
        <w:jc w:val="both"/>
        <w:rPr>
          <w:sz w:val="20"/>
        </w:rPr>
      </w:pPr>
      <w:r>
        <w:rPr>
          <w:sz w:val="20"/>
        </w:rPr>
        <w:t>El derecho al trabajo ha formado un eslabón fundamental en la línea jurisprudencial relativa a los derechos económicos, sociales, culturales y ambientales (en adelante “los DESCA”)</w:t>
      </w:r>
      <w:r>
        <w:rPr>
          <w:spacing w:val="37"/>
          <w:sz w:val="20"/>
        </w:rPr>
        <w:t xml:space="preserve"> </w:t>
      </w:r>
      <w:r>
        <w:rPr>
          <w:sz w:val="20"/>
        </w:rPr>
        <w:t>desde</w:t>
      </w:r>
      <w:r>
        <w:rPr>
          <w:spacing w:val="37"/>
          <w:sz w:val="20"/>
        </w:rPr>
        <w:t xml:space="preserve"> </w:t>
      </w:r>
      <w:r>
        <w:rPr>
          <w:sz w:val="20"/>
        </w:rPr>
        <w:t>el</w:t>
      </w:r>
      <w:r>
        <w:rPr>
          <w:spacing w:val="39"/>
          <w:sz w:val="20"/>
        </w:rPr>
        <w:t xml:space="preserve"> </w:t>
      </w:r>
      <w:r>
        <w:rPr>
          <w:sz w:val="20"/>
        </w:rPr>
        <w:t>caso</w:t>
      </w:r>
      <w:r>
        <w:rPr>
          <w:spacing w:val="38"/>
          <w:sz w:val="20"/>
        </w:rPr>
        <w:t xml:space="preserve"> </w:t>
      </w:r>
      <w:r>
        <w:rPr>
          <w:i/>
          <w:sz w:val="20"/>
        </w:rPr>
        <w:t>Lagos</w:t>
      </w:r>
      <w:r>
        <w:rPr>
          <w:i/>
          <w:spacing w:val="35"/>
          <w:sz w:val="20"/>
        </w:rPr>
        <w:t xml:space="preserve"> </w:t>
      </w:r>
      <w:r>
        <w:rPr>
          <w:i/>
          <w:sz w:val="20"/>
        </w:rPr>
        <w:t>d</w:t>
      </w:r>
      <w:r>
        <w:rPr>
          <w:i/>
          <w:sz w:val="20"/>
        </w:rPr>
        <w:t>el</w:t>
      </w:r>
      <w:r>
        <w:rPr>
          <w:i/>
          <w:spacing w:val="36"/>
          <w:sz w:val="20"/>
        </w:rPr>
        <w:t xml:space="preserve"> </w:t>
      </w:r>
      <w:r>
        <w:rPr>
          <w:i/>
          <w:sz w:val="20"/>
        </w:rPr>
        <w:t>Campo</w:t>
      </w:r>
      <w:r>
        <w:rPr>
          <w:i/>
          <w:spacing w:val="35"/>
          <w:sz w:val="20"/>
        </w:rPr>
        <w:t xml:space="preserve"> </w:t>
      </w:r>
      <w:r>
        <w:rPr>
          <w:i/>
          <w:sz w:val="20"/>
        </w:rPr>
        <w:t>Vs.</w:t>
      </w:r>
      <w:r>
        <w:rPr>
          <w:i/>
          <w:spacing w:val="38"/>
          <w:sz w:val="20"/>
        </w:rPr>
        <w:t xml:space="preserve"> </w:t>
      </w:r>
      <w:r>
        <w:rPr>
          <w:i/>
          <w:sz w:val="20"/>
        </w:rPr>
        <w:t>Perú</w:t>
      </w:r>
      <w:hyperlink w:anchor="_bookmark714" w:history="1">
        <w:r>
          <w:rPr>
            <w:position w:val="7"/>
            <w:sz w:val="13"/>
          </w:rPr>
          <w:t>32</w:t>
        </w:r>
      </w:hyperlink>
      <w:r>
        <w:rPr>
          <w:i/>
          <w:sz w:val="20"/>
        </w:rPr>
        <w:t>.</w:t>
      </w:r>
      <w:r>
        <w:rPr>
          <w:i/>
          <w:spacing w:val="35"/>
          <w:sz w:val="20"/>
        </w:rPr>
        <w:t xml:space="preserve"> </w:t>
      </w:r>
      <w:r>
        <w:rPr>
          <w:sz w:val="20"/>
        </w:rPr>
        <w:t>En</w:t>
      </w:r>
      <w:r>
        <w:rPr>
          <w:spacing w:val="39"/>
          <w:sz w:val="20"/>
        </w:rPr>
        <w:t xml:space="preserve"> </w:t>
      </w:r>
      <w:r>
        <w:rPr>
          <w:sz w:val="20"/>
        </w:rPr>
        <w:t>este</w:t>
      </w:r>
      <w:r>
        <w:rPr>
          <w:spacing w:val="35"/>
          <w:sz w:val="20"/>
        </w:rPr>
        <w:t xml:space="preserve"> </w:t>
      </w:r>
      <w:r>
        <w:rPr>
          <w:sz w:val="20"/>
        </w:rPr>
        <w:t>mismo</w:t>
      </w:r>
      <w:r>
        <w:rPr>
          <w:spacing w:val="35"/>
          <w:sz w:val="20"/>
        </w:rPr>
        <w:t xml:space="preserve"> </w:t>
      </w:r>
      <w:r>
        <w:rPr>
          <w:sz w:val="20"/>
        </w:rPr>
        <w:t>periodo</w:t>
      </w:r>
      <w:r>
        <w:rPr>
          <w:spacing w:val="37"/>
          <w:sz w:val="20"/>
        </w:rPr>
        <w:t xml:space="preserve"> </w:t>
      </w:r>
      <w:r>
        <w:rPr>
          <w:sz w:val="20"/>
        </w:rPr>
        <w:t>de</w:t>
      </w:r>
      <w:r>
        <w:rPr>
          <w:spacing w:val="38"/>
          <w:sz w:val="20"/>
        </w:rPr>
        <w:t xml:space="preserve"> </w:t>
      </w:r>
      <w:r>
        <w:rPr>
          <w:sz w:val="20"/>
        </w:rPr>
        <w:t>sesiones</w:t>
      </w:r>
    </w:p>
    <w:p w14:paraId="20D672BF" w14:textId="77777777" w:rsidR="00467FCA" w:rsidRDefault="001B68EB">
      <w:pPr>
        <w:pStyle w:val="Textoindependiente"/>
        <w:spacing w:before="9"/>
        <w:rPr>
          <w:sz w:val="10"/>
        </w:rPr>
      </w:pPr>
      <w:r>
        <w:pict w14:anchorId="57987EF7">
          <v:shape id="_x0000_s1064" style="position:absolute;margin-left:70.9pt;margin-top:8.8pt;width:2in;height:.1pt;z-index:-251523072;mso-wrap-distance-left:0;mso-wrap-distance-right:0;mso-position-horizontal-relative:page" coordorigin="1418,176" coordsize="2880,0" path="m1418,176r2880,e" filled="f" strokeweight=".6pt">
            <v:path arrowok="t"/>
            <w10:wrap type="topAndBottom" anchorx="page"/>
          </v:shape>
        </w:pict>
      </w:r>
    </w:p>
    <w:p w14:paraId="5DFCC241" w14:textId="77777777" w:rsidR="00467FCA" w:rsidRDefault="001B68EB">
      <w:pPr>
        <w:tabs>
          <w:tab w:val="left" w:pos="1166"/>
        </w:tabs>
        <w:spacing w:before="74"/>
        <w:ind w:left="458"/>
        <w:jc w:val="both"/>
        <w:rPr>
          <w:i/>
          <w:sz w:val="16"/>
        </w:rPr>
      </w:pPr>
      <w:bookmarkStart w:id="794" w:name="_bookmark713"/>
      <w:bookmarkEnd w:id="794"/>
      <w:r>
        <w:rPr>
          <w:position w:val="6"/>
          <w:sz w:val="10"/>
        </w:rPr>
        <w:t>31</w:t>
      </w:r>
      <w:r>
        <w:rPr>
          <w:position w:val="6"/>
          <w:sz w:val="10"/>
        </w:rPr>
        <w:tab/>
      </w:r>
      <w:r>
        <w:rPr>
          <w:i/>
          <w:sz w:val="16"/>
        </w:rPr>
        <w:t xml:space="preserve">Cfr. </w:t>
      </w:r>
      <w:r>
        <w:rPr>
          <w:sz w:val="16"/>
        </w:rPr>
        <w:t xml:space="preserve">CIDH y REDESCA, </w:t>
      </w:r>
      <w:r>
        <w:rPr>
          <w:i/>
          <w:sz w:val="16"/>
        </w:rPr>
        <w:t>Informe sobre Empresas y Derechos Humanos: Estándares Interamericanos</w:t>
      </w:r>
      <w:r>
        <w:rPr>
          <w:sz w:val="16"/>
        </w:rPr>
        <w:t>,</w:t>
      </w:r>
      <w:r>
        <w:rPr>
          <w:spacing w:val="43"/>
          <w:sz w:val="16"/>
        </w:rPr>
        <w:t xml:space="preserve"> </w:t>
      </w:r>
      <w:r>
        <w:rPr>
          <w:i/>
          <w:sz w:val="16"/>
        </w:rPr>
        <w:t>supra,</w:t>
      </w:r>
    </w:p>
    <w:p w14:paraId="44B532A5" w14:textId="77777777" w:rsidR="00467FCA" w:rsidRDefault="001B68EB">
      <w:pPr>
        <w:ind w:left="458"/>
        <w:jc w:val="both"/>
        <w:rPr>
          <w:sz w:val="16"/>
        </w:rPr>
      </w:pPr>
      <w:r>
        <w:rPr>
          <w:sz w:val="16"/>
        </w:rPr>
        <w:t>párr. 96.</w:t>
      </w:r>
    </w:p>
    <w:p w14:paraId="7664C785" w14:textId="77777777" w:rsidR="00467FCA" w:rsidRDefault="001B68EB">
      <w:pPr>
        <w:tabs>
          <w:tab w:val="left" w:pos="1166"/>
        </w:tabs>
        <w:ind w:left="458" w:right="270"/>
        <w:jc w:val="both"/>
        <w:rPr>
          <w:sz w:val="16"/>
        </w:rPr>
      </w:pPr>
      <w:bookmarkStart w:id="795" w:name="_bookmark714"/>
      <w:bookmarkEnd w:id="795"/>
      <w:r>
        <w:rPr>
          <w:position w:val="6"/>
          <w:sz w:val="10"/>
        </w:rPr>
        <w:t>32</w:t>
      </w:r>
      <w:r>
        <w:rPr>
          <w:position w:val="6"/>
          <w:sz w:val="10"/>
        </w:rPr>
        <w:tab/>
      </w:r>
      <w:r>
        <w:rPr>
          <w:i/>
          <w:sz w:val="16"/>
        </w:rPr>
        <w:t>Cfr.</w:t>
      </w:r>
      <w:r>
        <w:rPr>
          <w:i/>
          <w:spacing w:val="-4"/>
          <w:sz w:val="16"/>
        </w:rPr>
        <w:t xml:space="preserve"> </w:t>
      </w:r>
      <w:r>
        <w:rPr>
          <w:i/>
          <w:sz w:val="16"/>
        </w:rPr>
        <w:t>Caso</w:t>
      </w:r>
      <w:r>
        <w:rPr>
          <w:i/>
          <w:spacing w:val="-3"/>
          <w:sz w:val="16"/>
        </w:rPr>
        <w:t xml:space="preserve"> </w:t>
      </w:r>
      <w:r>
        <w:rPr>
          <w:i/>
          <w:sz w:val="16"/>
        </w:rPr>
        <w:t>Lagos</w:t>
      </w:r>
      <w:r>
        <w:rPr>
          <w:i/>
          <w:spacing w:val="-5"/>
          <w:sz w:val="16"/>
        </w:rPr>
        <w:t xml:space="preserve"> </w:t>
      </w:r>
      <w:r>
        <w:rPr>
          <w:i/>
          <w:sz w:val="16"/>
        </w:rPr>
        <w:t>del</w:t>
      </w:r>
      <w:r>
        <w:rPr>
          <w:i/>
          <w:spacing w:val="-7"/>
          <w:sz w:val="16"/>
        </w:rPr>
        <w:t xml:space="preserve"> </w:t>
      </w:r>
      <w:r>
        <w:rPr>
          <w:i/>
          <w:sz w:val="16"/>
        </w:rPr>
        <w:t>Campo</w:t>
      </w:r>
      <w:r>
        <w:rPr>
          <w:i/>
          <w:spacing w:val="-4"/>
          <w:sz w:val="16"/>
        </w:rPr>
        <w:t xml:space="preserve"> </w:t>
      </w:r>
      <w:r>
        <w:rPr>
          <w:i/>
          <w:sz w:val="16"/>
        </w:rPr>
        <w:t>Vs.</w:t>
      </w:r>
      <w:r>
        <w:rPr>
          <w:i/>
          <w:spacing w:val="-4"/>
          <w:sz w:val="16"/>
        </w:rPr>
        <w:t xml:space="preserve"> </w:t>
      </w:r>
      <w:r>
        <w:rPr>
          <w:i/>
          <w:sz w:val="16"/>
        </w:rPr>
        <w:t>Perú.</w:t>
      </w:r>
      <w:r>
        <w:rPr>
          <w:i/>
          <w:spacing w:val="-4"/>
          <w:sz w:val="16"/>
        </w:rPr>
        <w:t xml:space="preserve"> </w:t>
      </w:r>
      <w:r>
        <w:rPr>
          <w:i/>
          <w:sz w:val="16"/>
        </w:rPr>
        <w:t>Excepciones</w:t>
      </w:r>
      <w:r>
        <w:rPr>
          <w:i/>
          <w:spacing w:val="-2"/>
          <w:sz w:val="16"/>
        </w:rPr>
        <w:t xml:space="preserve"> </w:t>
      </w:r>
      <w:r>
        <w:rPr>
          <w:i/>
          <w:sz w:val="16"/>
        </w:rPr>
        <w:t>Preliminares,</w:t>
      </w:r>
      <w:r>
        <w:rPr>
          <w:i/>
          <w:spacing w:val="-4"/>
          <w:sz w:val="16"/>
        </w:rPr>
        <w:t xml:space="preserve"> </w:t>
      </w:r>
      <w:r>
        <w:rPr>
          <w:i/>
          <w:sz w:val="16"/>
        </w:rPr>
        <w:t>Fondo,</w:t>
      </w:r>
      <w:r>
        <w:rPr>
          <w:i/>
          <w:spacing w:val="-3"/>
          <w:sz w:val="16"/>
        </w:rPr>
        <w:t xml:space="preserve"> </w:t>
      </w:r>
      <w:r>
        <w:rPr>
          <w:i/>
          <w:sz w:val="16"/>
        </w:rPr>
        <w:t>Reparaciones</w:t>
      </w:r>
      <w:r>
        <w:rPr>
          <w:i/>
          <w:spacing w:val="-6"/>
          <w:sz w:val="16"/>
        </w:rPr>
        <w:t xml:space="preserve"> </w:t>
      </w:r>
      <w:r>
        <w:rPr>
          <w:i/>
          <w:sz w:val="16"/>
        </w:rPr>
        <w:t>y</w:t>
      </w:r>
      <w:r>
        <w:rPr>
          <w:i/>
          <w:spacing w:val="-4"/>
          <w:sz w:val="16"/>
        </w:rPr>
        <w:t xml:space="preserve"> </w:t>
      </w:r>
      <w:r>
        <w:rPr>
          <w:i/>
          <w:sz w:val="16"/>
        </w:rPr>
        <w:t>Costas</w:t>
      </w:r>
      <w:r>
        <w:rPr>
          <w:sz w:val="16"/>
        </w:rPr>
        <w:t>.</w:t>
      </w:r>
      <w:r>
        <w:rPr>
          <w:spacing w:val="-4"/>
          <w:sz w:val="16"/>
        </w:rPr>
        <w:t xml:space="preserve"> </w:t>
      </w:r>
      <w:r>
        <w:rPr>
          <w:sz w:val="16"/>
        </w:rPr>
        <w:t>Sentencia</w:t>
      </w:r>
      <w:r>
        <w:rPr>
          <w:spacing w:val="-4"/>
          <w:sz w:val="16"/>
        </w:rPr>
        <w:t xml:space="preserve"> </w:t>
      </w:r>
      <w:r>
        <w:rPr>
          <w:sz w:val="16"/>
        </w:rPr>
        <w:t>de 31</w:t>
      </w:r>
      <w:r>
        <w:rPr>
          <w:spacing w:val="-11"/>
          <w:sz w:val="16"/>
        </w:rPr>
        <w:t xml:space="preserve"> </w:t>
      </w:r>
      <w:r>
        <w:rPr>
          <w:sz w:val="16"/>
        </w:rPr>
        <w:t>de</w:t>
      </w:r>
      <w:r>
        <w:rPr>
          <w:spacing w:val="-11"/>
          <w:sz w:val="16"/>
        </w:rPr>
        <w:t xml:space="preserve"> </w:t>
      </w:r>
      <w:r>
        <w:rPr>
          <w:sz w:val="16"/>
        </w:rPr>
        <w:t>agosto</w:t>
      </w:r>
      <w:r>
        <w:rPr>
          <w:spacing w:val="-11"/>
          <w:sz w:val="16"/>
        </w:rPr>
        <w:t xml:space="preserve"> </w:t>
      </w:r>
      <w:r>
        <w:rPr>
          <w:sz w:val="16"/>
        </w:rPr>
        <w:t>de</w:t>
      </w:r>
      <w:r>
        <w:rPr>
          <w:spacing w:val="-11"/>
          <w:sz w:val="16"/>
        </w:rPr>
        <w:t xml:space="preserve"> </w:t>
      </w:r>
      <w:r>
        <w:rPr>
          <w:sz w:val="16"/>
        </w:rPr>
        <w:t>2017.</w:t>
      </w:r>
      <w:r>
        <w:rPr>
          <w:spacing w:val="-12"/>
          <w:sz w:val="16"/>
        </w:rPr>
        <w:t xml:space="preserve"> </w:t>
      </w:r>
      <w:r>
        <w:rPr>
          <w:sz w:val="16"/>
        </w:rPr>
        <w:t>Serie</w:t>
      </w:r>
      <w:r>
        <w:rPr>
          <w:spacing w:val="-10"/>
          <w:sz w:val="16"/>
        </w:rPr>
        <w:t xml:space="preserve"> </w:t>
      </w:r>
      <w:r>
        <w:rPr>
          <w:sz w:val="16"/>
        </w:rPr>
        <w:t>C</w:t>
      </w:r>
      <w:r>
        <w:rPr>
          <w:spacing w:val="-13"/>
          <w:sz w:val="16"/>
        </w:rPr>
        <w:t xml:space="preserve"> </w:t>
      </w:r>
      <w:r>
        <w:rPr>
          <w:sz w:val="16"/>
        </w:rPr>
        <w:t>No.</w:t>
      </w:r>
      <w:r>
        <w:rPr>
          <w:spacing w:val="-10"/>
          <w:sz w:val="16"/>
        </w:rPr>
        <w:t xml:space="preserve"> </w:t>
      </w:r>
      <w:r>
        <w:rPr>
          <w:sz w:val="16"/>
        </w:rPr>
        <w:t>340,</w:t>
      </w:r>
      <w:r>
        <w:rPr>
          <w:spacing w:val="-11"/>
          <w:sz w:val="16"/>
        </w:rPr>
        <w:t xml:space="preserve"> </w:t>
      </w:r>
      <w:r>
        <w:rPr>
          <w:sz w:val="16"/>
        </w:rPr>
        <w:t>párrs.</w:t>
      </w:r>
      <w:r>
        <w:rPr>
          <w:spacing w:val="-10"/>
          <w:sz w:val="16"/>
        </w:rPr>
        <w:t xml:space="preserve"> </w:t>
      </w:r>
      <w:r>
        <w:rPr>
          <w:sz w:val="16"/>
        </w:rPr>
        <w:t>153</w:t>
      </w:r>
      <w:r>
        <w:rPr>
          <w:spacing w:val="-10"/>
          <w:sz w:val="16"/>
        </w:rPr>
        <w:t xml:space="preserve"> </w:t>
      </w:r>
      <w:r>
        <w:rPr>
          <w:sz w:val="16"/>
        </w:rPr>
        <w:t>y</w:t>
      </w:r>
      <w:r>
        <w:rPr>
          <w:spacing w:val="-11"/>
          <w:sz w:val="16"/>
        </w:rPr>
        <w:t xml:space="preserve"> </w:t>
      </w:r>
      <w:r>
        <w:rPr>
          <w:sz w:val="16"/>
        </w:rPr>
        <w:t>154.</w:t>
      </w:r>
      <w:r>
        <w:rPr>
          <w:spacing w:val="-10"/>
          <w:sz w:val="16"/>
        </w:rPr>
        <w:t xml:space="preserve"> </w:t>
      </w:r>
      <w:r>
        <w:rPr>
          <w:sz w:val="16"/>
        </w:rPr>
        <w:t>En</w:t>
      </w:r>
      <w:r>
        <w:rPr>
          <w:spacing w:val="-12"/>
          <w:sz w:val="16"/>
        </w:rPr>
        <w:t xml:space="preserve"> </w:t>
      </w:r>
      <w:r>
        <w:rPr>
          <w:sz w:val="16"/>
        </w:rPr>
        <w:t>este</w:t>
      </w:r>
      <w:r>
        <w:rPr>
          <w:spacing w:val="-10"/>
          <w:sz w:val="16"/>
        </w:rPr>
        <w:t xml:space="preserve"> </w:t>
      </w:r>
      <w:r>
        <w:rPr>
          <w:sz w:val="16"/>
        </w:rPr>
        <w:t>sentido,</w:t>
      </w:r>
      <w:r>
        <w:rPr>
          <w:spacing w:val="-10"/>
          <w:sz w:val="16"/>
        </w:rPr>
        <w:t xml:space="preserve"> </w:t>
      </w:r>
      <w:r>
        <w:rPr>
          <w:sz w:val="16"/>
        </w:rPr>
        <w:t>en</w:t>
      </w:r>
      <w:r>
        <w:rPr>
          <w:spacing w:val="-12"/>
          <w:sz w:val="16"/>
        </w:rPr>
        <w:t xml:space="preserve"> </w:t>
      </w:r>
      <w:r>
        <w:rPr>
          <w:sz w:val="16"/>
        </w:rPr>
        <w:t>el</w:t>
      </w:r>
      <w:r>
        <w:rPr>
          <w:spacing w:val="-11"/>
          <w:sz w:val="16"/>
        </w:rPr>
        <w:t xml:space="preserve"> </w:t>
      </w:r>
      <w:r>
        <w:rPr>
          <w:sz w:val="16"/>
        </w:rPr>
        <w:t>caso</w:t>
      </w:r>
      <w:r>
        <w:rPr>
          <w:spacing w:val="-10"/>
          <w:sz w:val="16"/>
        </w:rPr>
        <w:t xml:space="preserve"> </w:t>
      </w:r>
      <w:r>
        <w:rPr>
          <w:i/>
          <w:sz w:val="16"/>
        </w:rPr>
        <w:t>San</w:t>
      </w:r>
      <w:r>
        <w:rPr>
          <w:i/>
          <w:spacing w:val="-12"/>
          <w:sz w:val="16"/>
        </w:rPr>
        <w:t xml:space="preserve"> </w:t>
      </w:r>
      <w:r>
        <w:rPr>
          <w:i/>
          <w:sz w:val="16"/>
        </w:rPr>
        <w:t>Miguel</w:t>
      </w:r>
      <w:r>
        <w:rPr>
          <w:i/>
          <w:spacing w:val="-11"/>
          <w:sz w:val="16"/>
        </w:rPr>
        <w:t xml:space="preserve"> </w:t>
      </w:r>
      <w:r>
        <w:rPr>
          <w:i/>
          <w:sz w:val="16"/>
        </w:rPr>
        <w:t>Sosa</w:t>
      </w:r>
      <w:r>
        <w:rPr>
          <w:i/>
          <w:spacing w:val="-12"/>
          <w:sz w:val="16"/>
        </w:rPr>
        <w:t xml:space="preserve"> </w:t>
      </w:r>
      <w:r>
        <w:rPr>
          <w:i/>
          <w:sz w:val="16"/>
        </w:rPr>
        <w:t>y</w:t>
      </w:r>
      <w:r>
        <w:rPr>
          <w:i/>
          <w:spacing w:val="-10"/>
          <w:sz w:val="16"/>
        </w:rPr>
        <w:t xml:space="preserve"> </w:t>
      </w:r>
      <w:r>
        <w:rPr>
          <w:i/>
          <w:sz w:val="16"/>
        </w:rPr>
        <w:t>otras,</w:t>
      </w:r>
      <w:r>
        <w:rPr>
          <w:i/>
          <w:spacing w:val="-13"/>
          <w:sz w:val="16"/>
        </w:rPr>
        <w:t xml:space="preserve"> </w:t>
      </w:r>
      <w:r>
        <w:rPr>
          <w:sz w:val="16"/>
        </w:rPr>
        <w:t xml:space="preserve">expresé que “[e]l caso </w:t>
      </w:r>
      <w:r>
        <w:rPr>
          <w:i/>
          <w:sz w:val="16"/>
        </w:rPr>
        <w:t>San Miguel Sosa y otras Vs. Venezuela</w:t>
      </w:r>
      <w:r>
        <w:rPr>
          <w:sz w:val="16"/>
        </w:rPr>
        <w:t xml:space="preserve">, complementa la visión que de manera rápida ha tenido el Tribunal Interamericano sobre los derechos sociales y su exigibilidad directa ante esta instancia judicial. En este sentido, la triada de casos laborales </w:t>
      </w:r>
      <w:r>
        <w:rPr>
          <w:i/>
          <w:sz w:val="16"/>
        </w:rPr>
        <w:t>Lagos d</w:t>
      </w:r>
      <w:r>
        <w:rPr>
          <w:i/>
          <w:sz w:val="16"/>
        </w:rPr>
        <w:t xml:space="preserve">el Campo, Trabajadores Cesados del Petroperú y otros </w:t>
      </w:r>
      <w:r>
        <w:rPr>
          <w:sz w:val="16"/>
        </w:rPr>
        <w:t xml:space="preserve">y ahora el caso </w:t>
      </w:r>
      <w:r>
        <w:rPr>
          <w:i/>
          <w:sz w:val="16"/>
        </w:rPr>
        <w:t xml:space="preserve">San Miguel Sosa y otras, </w:t>
      </w:r>
      <w:r>
        <w:rPr>
          <w:sz w:val="16"/>
        </w:rPr>
        <w:t>permiten delinear una serie de estándares que se deben tener en consideración en los ejercicios</w:t>
      </w:r>
      <w:r>
        <w:rPr>
          <w:spacing w:val="23"/>
          <w:sz w:val="16"/>
        </w:rPr>
        <w:t xml:space="preserve"> </w:t>
      </w:r>
      <w:r>
        <w:rPr>
          <w:sz w:val="16"/>
        </w:rPr>
        <w:t>de</w:t>
      </w:r>
      <w:r>
        <w:rPr>
          <w:spacing w:val="24"/>
          <w:sz w:val="16"/>
        </w:rPr>
        <w:t xml:space="preserve"> </w:t>
      </w:r>
      <w:r>
        <w:rPr>
          <w:sz w:val="16"/>
        </w:rPr>
        <w:t>control</w:t>
      </w:r>
      <w:r>
        <w:rPr>
          <w:spacing w:val="22"/>
          <w:sz w:val="16"/>
        </w:rPr>
        <w:t xml:space="preserve"> </w:t>
      </w:r>
      <w:r>
        <w:rPr>
          <w:sz w:val="16"/>
        </w:rPr>
        <w:t>de</w:t>
      </w:r>
      <w:r>
        <w:rPr>
          <w:spacing w:val="24"/>
          <w:sz w:val="16"/>
        </w:rPr>
        <w:t xml:space="preserve"> </w:t>
      </w:r>
      <w:r>
        <w:rPr>
          <w:sz w:val="16"/>
        </w:rPr>
        <w:t>convencionalidad</w:t>
      </w:r>
      <w:r>
        <w:rPr>
          <w:spacing w:val="23"/>
          <w:sz w:val="16"/>
        </w:rPr>
        <w:t xml:space="preserve"> </w:t>
      </w:r>
      <w:r>
        <w:rPr>
          <w:sz w:val="16"/>
        </w:rPr>
        <w:t>en</w:t>
      </w:r>
      <w:r>
        <w:rPr>
          <w:spacing w:val="25"/>
          <w:sz w:val="16"/>
        </w:rPr>
        <w:t xml:space="preserve"> </w:t>
      </w:r>
      <w:r>
        <w:rPr>
          <w:sz w:val="16"/>
        </w:rPr>
        <w:t>sede</w:t>
      </w:r>
      <w:r>
        <w:rPr>
          <w:spacing w:val="24"/>
          <w:sz w:val="16"/>
        </w:rPr>
        <w:t xml:space="preserve"> </w:t>
      </w:r>
      <w:r>
        <w:rPr>
          <w:sz w:val="16"/>
        </w:rPr>
        <w:t>interna</w:t>
      </w:r>
      <w:r>
        <w:rPr>
          <w:spacing w:val="22"/>
          <w:sz w:val="16"/>
        </w:rPr>
        <w:t xml:space="preserve"> </w:t>
      </w:r>
      <w:r>
        <w:rPr>
          <w:sz w:val="16"/>
        </w:rPr>
        <w:t>y</w:t>
      </w:r>
      <w:r>
        <w:rPr>
          <w:spacing w:val="25"/>
          <w:sz w:val="16"/>
        </w:rPr>
        <w:t xml:space="preserve"> </w:t>
      </w:r>
      <w:r>
        <w:rPr>
          <w:sz w:val="16"/>
        </w:rPr>
        <w:t>abundar</w:t>
      </w:r>
      <w:r>
        <w:rPr>
          <w:spacing w:val="26"/>
          <w:sz w:val="16"/>
        </w:rPr>
        <w:t xml:space="preserve"> </w:t>
      </w:r>
      <w:r>
        <w:rPr>
          <w:sz w:val="16"/>
        </w:rPr>
        <w:t>al</w:t>
      </w:r>
      <w:r>
        <w:rPr>
          <w:spacing w:val="23"/>
          <w:sz w:val="16"/>
        </w:rPr>
        <w:t xml:space="preserve"> </w:t>
      </w:r>
      <w:r>
        <w:rPr>
          <w:sz w:val="16"/>
        </w:rPr>
        <w:t>diálog</w:t>
      </w:r>
      <w:r>
        <w:rPr>
          <w:sz w:val="16"/>
        </w:rPr>
        <w:t>o</w:t>
      </w:r>
      <w:r>
        <w:rPr>
          <w:spacing w:val="25"/>
          <w:sz w:val="16"/>
        </w:rPr>
        <w:t xml:space="preserve"> </w:t>
      </w:r>
      <w:r>
        <w:rPr>
          <w:sz w:val="16"/>
        </w:rPr>
        <w:t>jurisprudencial</w:t>
      </w:r>
      <w:r>
        <w:rPr>
          <w:spacing w:val="24"/>
          <w:sz w:val="16"/>
        </w:rPr>
        <w:t xml:space="preserve"> </w:t>
      </w:r>
      <w:r>
        <w:rPr>
          <w:sz w:val="16"/>
        </w:rPr>
        <w:t>existente</w:t>
      </w:r>
      <w:r>
        <w:rPr>
          <w:spacing w:val="24"/>
          <w:sz w:val="16"/>
        </w:rPr>
        <w:t xml:space="preserve"> </w:t>
      </w:r>
      <w:r>
        <w:rPr>
          <w:sz w:val="16"/>
        </w:rPr>
        <w:t>entre</w:t>
      </w:r>
      <w:r>
        <w:rPr>
          <w:spacing w:val="25"/>
          <w:sz w:val="16"/>
        </w:rPr>
        <w:t xml:space="preserve"> </w:t>
      </w:r>
      <w:r>
        <w:rPr>
          <w:sz w:val="16"/>
        </w:rPr>
        <w:t>el</w:t>
      </w:r>
    </w:p>
    <w:p w14:paraId="13472285" w14:textId="77777777" w:rsidR="00467FCA" w:rsidRDefault="00467FCA">
      <w:pPr>
        <w:jc w:val="both"/>
        <w:rPr>
          <w:sz w:val="16"/>
        </w:rPr>
        <w:sectPr w:rsidR="00467FCA">
          <w:pgSz w:w="12240" w:h="15840"/>
          <w:pgMar w:top="1340" w:right="1140" w:bottom="920" w:left="960" w:header="0" w:footer="734" w:gutter="0"/>
          <w:cols w:space="720"/>
        </w:sectPr>
      </w:pPr>
    </w:p>
    <w:p w14:paraId="2B03FCB1" w14:textId="77777777" w:rsidR="00467FCA" w:rsidRDefault="001B68EB">
      <w:pPr>
        <w:pStyle w:val="Textoindependiente"/>
        <w:spacing w:before="79"/>
        <w:ind w:left="458" w:right="277"/>
        <w:jc w:val="both"/>
      </w:pPr>
      <w:r>
        <w:t xml:space="preserve">(efectuado por primera vez de manera virtual debido a la pandemia) se decidió el caso </w:t>
      </w:r>
      <w:r>
        <w:rPr>
          <w:i/>
        </w:rPr>
        <w:t>Spoltore</w:t>
      </w:r>
      <w:r>
        <w:rPr>
          <w:i/>
          <w:spacing w:val="-10"/>
        </w:rPr>
        <w:t xml:space="preserve"> </w:t>
      </w:r>
      <w:r>
        <w:rPr>
          <w:i/>
        </w:rPr>
        <w:t>Vs.</w:t>
      </w:r>
      <w:r>
        <w:rPr>
          <w:i/>
          <w:spacing w:val="-8"/>
        </w:rPr>
        <w:t xml:space="preserve"> </w:t>
      </w:r>
      <w:r>
        <w:rPr>
          <w:i/>
        </w:rPr>
        <w:t>Argentina,</w:t>
      </w:r>
      <w:r>
        <w:rPr>
          <w:i/>
          <w:spacing w:val="-9"/>
        </w:rPr>
        <w:t xml:space="preserve"> </w:t>
      </w:r>
      <w:r>
        <w:t>en</w:t>
      </w:r>
      <w:r>
        <w:rPr>
          <w:spacing w:val="-7"/>
        </w:rPr>
        <w:t xml:space="preserve"> </w:t>
      </w:r>
      <w:r>
        <w:t>donde</w:t>
      </w:r>
      <w:r>
        <w:rPr>
          <w:spacing w:val="-8"/>
        </w:rPr>
        <w:t xml:space="preserve"> </w:t>
      </w:r>
      <w:r>
        <w:t>expresé</w:t>
      </w:r>
      <w:r>
        <w:rPr>
          <w:spacing w:val="-9"/>
        </w:rPr>
        <w:t xml:space="preserve"> </w:t>
      </w:r>
      <w:r>
        <w:t>en</w:t>
      </w:r>
      <w:r>
        <w:rPr>
          <w:spacing w:val="-7"/>
        </w:rPr>
        <w:t xml:space="preserve"> </w:t>
      </w:r>
      <w:r>
        <w:t>mi</w:t>
      </w:r>
      <w:r>
        <w:rPr>
          <w:spacing w:val="-5"/>
        </w:rPr>
        <w:t xml:space="preserve"> </w:t>
      </w:r>
      <w:r>
        <w:t>voto</w:t>
      </w:r>
      <w:r>
        <w:rPr>
          <w:spacing w:val="-7"/>
        </w:rPr>
        <w:t xml:space="preserve"> </w:t>
      </w:r>
      <w:r>
        <w:t>razonado</w:t>
      </w:r>
      <w:r>
        <w:rPr>
          <w:spacing w:val="-10"/>
        </w:rPr>
        <w:t xml:space="preserve"> </w:t>
      </w:r>
      <w:r>
        <w:t>que</w:t>
      </w:r>
      <w:r>
        <w:rPr>
          <w:spacing w:val="-7"/>
        </w:rPr>
        <w:t xml:space="preserve"> </w:t>
      </w:r>
      <w:r>
        <w:t>“[y]a</w:t>
      </w:r>
      <w:r>
        <w:rPr>
          <w:spacing w:val="-8"/>
        </w:rPr>
        <w:t xml:space="preserve"> </w:t>
      </w:r>
      <w:r>
        <w:t>desde</w:t>
      </w:r>
      <w:r>
        <w:rPr>
          <w:spacing w:val="-7"/>
        </w:rPr>
        <w:t xml:space="preserve"> </w:t>
      </w:r>
      <w:r>
        <w:t>el</w:t>
      </w:r>
      <w:r>
        <w:rPr>
          <w:spacing w:val="-8"/>
        </w:rPr>
        <w:t xml:space="preserve"> </w:t>
      </w:r>
      <w:r>
        <w:rPr>
          <w:i/>
        </w:rPr>
        <w:t>Caso</w:t>
      </w:r>
      <w:r>
        <w:rPr>
          <w:i/>
          <w:spacing w:val="-9"/>
        </w:rPr>
        <w:t xml:space="preserve"> </w:t>
      </w:r>
      <w:r>
        <w:rPr>
          <w:i/>
        </w:rPr>
        <w:t xml:space="preserve">Lagos del Campo </w:t>
      </w:r>
      <w:r>
        <w:t>la jurisprudencia del Tribunal Interamericano venía identificando las diferentes formas en las que el derecho al trabajo se proyecta, como el derecho de los empleadores y trabajadores de asociarse libremente para la defensa y promoción de sus intereses</w:t>
      </w:r>
      <w:r>
        <w:rPr>
          <w:spacing w:val="-20"/>
        </w:rPr>
        <w:t xml:space="preserve"> </w:t>
      </w:r>
      <w:r>
        <w:t>[…]</w:t>
      </w:r>
      <w:r>
        <w:t>”</w:t>
      </w:r>
      <w:hyperlink w:anchor="_bookmark715" w:history="1">
        <w:r>
          <w:rPr>
            <w:position w:val="7"/>
            <w:sz w:val="13"/>
          </w:rPr>
          <w:t>33</w:t>
        </w:r>
      </w:hyperlink>
      <w:r>
        <w:t>.</w:t>
      </w:r>
    </w:p>
    <w:p w14:paraId="5301EADD" w14:textId="77777777" w:rsidR="00467FCA" w:rsidRDefault="001B68EB">
      <w:pPr>
        <w:pStyle w:val="Prrafodelista"/>
        <w:numPr>
          <w:ilvl w:val="0"/>
          <w:numId w:val="9"/>
        </w:numPr>
        <w:tabs>
          <w:tab w:val="left" w:pos="1167"/>
        </w:tabs>
        <w:spacing w:before="119"/>
        <w:ind w:left="457" w:right="275" w:firstLine="0"/>
        <w:jc w:val="both"/>
        <w:rPr>
          <w:sz w:val="20"/>
        </w:rPr>
      </w:pPr>
      <w:r>
        <w:rPr>
          <w:sz w:val="20"/>
        </w:rPr>
        <w:t>En</w:t>
      </w:r>
      <w:r>
        <w:rPr>
          <w:spacing w:val="-5"/>
          <w:sz w:val="20"/>
        </w:rPr>
        <w:t xml:space="preserve"> </w:t>
      </w:r>
      <w:r>
        <w:rPr>
          <w:sz w:val="20"/>
        </w:rPr>
        <w:t>el</w:t>
      </w:r>
      <w:r>
        <w:rPr>
          <w:spacing w:val="-5"/>
          <w:sz w:val="20"/>
        </w:rPr>
        <w:t xml:space="preserve"> </w:t>
      </w:r>
      <w:r>
        <w:rPr>
          <w:sz w:val="20"/>
        </w:rPr>
        <w:t>caso</w:t>
      </w:r>
      <w:r>
        <w:rPr>
          <w:spacing w:val="-7"/>
          <w:sz w:val="20"/>
        </w:rPr>
        <w:t xml:space="preserve"> </w:t>
      </w:r>
      <w:r>
        <w:rPr>
          <w:i/>
          <w:sz w:val="20"/>
        </w:rPr>
        <w:t>Spoltore</w:t>
      </w:r>
      <w:r>
        <w:rPr>
          <w:i/>
          <w:spacing w:val="-4"/>
          <w:sz w:val="20"/>
        </w:rPr>
        <w:t xml:space="preserve"> </w:t>
      </w:r>
      <w:r>
        <w:rPr>
          <w:sz w:val="20"/>
        </w:rPr>
        <w:t>la</w:t>
      </w:r>
      <w:r>
        <w:rPr>
          <w:spacing w:val="-5"/>
          <w:sz w:val="20"/>
        </w:rPr>
        <w:t xml:space="preserve"> </w:t>
      </w:r>
      <w:r>
        <w:rPr>
          <w:sz w:val="20"/>
        </w:rPr>
        <w:t>Corte</w:t>
      </w:r>
      <w:r>
        <w:rPr>
          <w:spacing w:val="-7"/>
          <w:sz w:val="20"/>
        </w:rPr>
        <w:t xml:space="preserve"> </w:t>
      </w:r>
      <w:r>
        <w:rPr>
          <w:sz w:val="20"/>
        </w:rPr>
        <w:t>IDH</w:t>
      </w:r>
      <w:r>
        <w:rPr>
          <w:spacing w:val="-7"/>
          <w:sz w:val="20"/>
        </w:rPr>
        <w:t xml:space="preserve"> </w:t>
      </w:r>
      <w:r>
        <w:rPr>
          <w:sz w:val="20"/>
        </w:rPr>
        <w:t>identificó</w:t>
      </w:r>
      <w:r>
        <w:rPr>
          <w:spacing w:val="-4"/>
          <w:sz w:val="20"/>
        </w:rPr>
        <w:t xml:space="preserve"> </w:t>
      </w:r>
      <w:r>
        <w:rPr>
          <w:sz w:val="20"/>
        </w:rPr>
        <w:t>que</w:t>
      </w:r>
      <w:r>
        <w:rPr>
          <w:spacing w:val="-4"/>
          <w:sz w:val="20"/>
        </w:rPr>
        <w:t xml:space="preserve"> </w:t>
      </w:r>
      <w:r>
        <w:rPr>
          <w:sz w:val="20"/>
        </w:rPr>
        <w:t>el</w:t>
      </w:r>
      <w:r>
        <w:rPr>
          <w:spacing w:val="-5"/>
          <w:sz w:val="20"/>
        </w:rPr>
        <w:t xml:space="preserve"> </w:t>
      </w:r>
      <w:r>
        <w:rPr>
          <w:sz w:val="20"/>
        </w:rPr>
        <w:t>derecho</w:t>
      </w:r>
      <w:r>
        <w:rPr>
          <w:spacing w:val="-3"/>
          <w:sz w:val="20"/>
        </w:rPr>
        <w:t xml:space="preserve"> </w:t>
      </w:r>
      <w:r>
        <w:rPr>
          <w:sz w:val="20"/>
        </w:rPr>
        <w:t>a</w:t>
      </w:r>
      <w:r>
        <w:rPr>
          <w:spacing w:val="-5"/>
          <w:sz w:val="20"/>
        </w:rPr>
        <w:t xml:space="preserve"> </w:t>
      </w:r>
      <w:r>
        <w:rPr>
          <w:sz w:val="20"/>
        </w:rPr>
        <w:t>las</w:t>
      </w:r>
      <w:r>
        <w:rPr>
          <w:spacing w:val="-4"/>
          <w:sz w:val="20"/>
        </w:rPr>
        <w:t xml:space="preserve"> </w:t>
      </w:r>
      <w:r>
        <w:rPr>
          <w:sz w:val="20"/>
        </w:rPr>
        <w:t>condiciones</w:t>
      </w:r>
      <w:r>
        <w:rPr>
          <w:spacing w:val="-4"/>
          <w:sz w:val="20"/>
        </w:rPr>
        <w:t xml:space="preserve"> </w:t>
      </w:r>
      <w:r>
        <w:rPr>
          <w:sz w:val="20"/>
        </w:rPr>
        <w:t>equitativas y</w:t>
      </w:r>
      <w:r>
        <w:rPr>
          <w:spacing w:val="-9"/>
          <w:sz w:val="20"/>
        </w:rPr>
        <w:t xml:space="preserve"> </w:t>
      </w:r>
      <w:r>
        <w:rPr>
          <w:sz w:val="20"/>
        </w:rPr>
        <w:t>satisfactorias,</w:t>
      </w:r>
      <w:r>
        <w:rPr>
          <w:spacing w:val="-6"/>
          <w:sz w:val="20"/>
        </w:rPr>
        <w:t xml:space="preserve"> </w:t>
      </w:r>
      <w:r>
        <w:rPr>
          <w:sz w:val="20"/>
        </w:rPr>
        <w:t>“como</w:t>
      </w:r>
      <w:r>
        <w:rPr>
          <w:spacing w:val="-7"/>
          <w:sz w:val="20"/>
        </w:rPr>
        <w:t xml:space="preserve"> </w:t>
      </w:r>
      <w:r>
        <w:rPr>
          <w:sz w:val="20"/>
        </w:rPr>
        <w:t>componente</w:t>
      </w:r>
      <w:r>
        <w:rPr>
          <w:spacing w:val="-8"/>
          <w:sz w:val="20"/>
        </w:rPr>
        <w:t xml:space="preserve"> </w:t>
      </w:r>
      <w:r>
        <w:rPr>
          <w:sz w:val="20"/>
        </w:rPr>
        <w:t>y</w:t>
      </w:r>
      <w:r>
        <w:rPr>
          <w:spacing w:val="-8"/>
          <w:sz w:val="20"/>
        </w:rPr>
        <w:t xml:space="preserve"> </w:t>
      </w:r>
      <w:r>
        <w:rPr>
          <w:sz w:val="20"/>
        </w:rPr>
        <w:t>parte</w:t>
      </w:r>
      <w:r>
        <w:rPr>
          <w:spacing w:val="-7"/>
          <w:sz w:val="20"/>
        </w:rPr>
        <w:t xml:space="preserve"> </w:t>
      </w:r>
      <w:r>
        <w:rPr>
          <w:sz w:val="20"/>
        </w:rPr>
        <w:t>del</w:t>
      </w:r>
      <w:r>
        <w:rPr>
          <w:spacing w:val="-6"/>
          <w:sz w:val="20"/>
        </w:rPr>
        <w:t xml:space="preserve"> </w:t>
      </w:r>
      <w:r>
        <w:rPr>
          <w:sz w:val="20"/>
        </w:rPr>
        <w:t>derecho</w:t>
      </w:r>
      <w:r>
        <w:rPr>
          <w:spacing w:val="-9"/>
          <w:sz w:val="20"/>
        </w:rPr>
        <w:t xml:space="preserve"> </w:t>
      </w:r>
      <w:r>
        <w:rPr>
          <w:sz w:val="20"/>
        </w:rPr>
        <w:t>al</w:t>
      </w:r>
      <w:r>
        <w:rPr>
          <w:spacing w:val="-5"/>
          <w:sz w:val="20"/>
        </w:rPr>
        <w:t xml:space="preserve"> </w:t>
      </w:r>
      <w:r>
        <w:rPr>
          <w:sz w:val="20"/>
        </w:rPr>
        <w:t>trabajo”</w:t>
      </w:r>
      <w:r>
        <w:rPr>
          <w:spacing w:val="-17"/>
          <w:sz w:val="20"/>
        </w:rPr>
        <w:t xml:space="preserve"> </w:t>
      </w:r>
      <w:hyperlink w:anchor="_bookmark716" w:history="1">
        <w:r>
          <w:rPr>
            <w:position w:val="7"/>
            <w:sz w:val="13"/>
          </w:rPr>
          <w:t>34</w:t>
        </w:r>
      </w:hyperlink>
      <w:r>
        <w:rPr>
          <w:sz w:val="20"/>
        </w:rPr>
        <w:t>,</w:t>
      </w:r>
      <w:r>
        <w:rPr>
          <w:spacing w:val="-9"/>
          <w:sz w:val="20"/>
        </w:rPr>
        <w:t xml:space="preserve"> </w:t>
      </w:r>
      <w:r>
        <w:rPr>
          <w:sz w:val="20"/>
        </w:rPr>
        <w:t>se</w:t>
      </w:r>
      <w:r>
        <w:rPr>
          <w:spacing w:val="-4"/>
          <w:sz w:val="20"/>
        </w:rPr>
        <w:t xml:space="preserve"> </w:t>
      </w:r>
      <w:r>
        <w:rPr>
          <w:sz w:val="20"/>
        </w:rPr>
        <w:t>derivaba</w:t>
      </w:r>
      <w:r>
        <w:rPr>
          <w:spacing w:val="-6"/>
          <w:sz w:val="20"/>
        </w:rPr>
        <w:t xml:space="preserve"> </w:t>
      </w:r>
      <w:r>
        <w:rPr>
          <w:sz w:val="20"/>
        </w:rPr>
        <w:t>del</w:t>
      </w:r>
      <w:r>
        <w:rPr>
          <w:spacing w:val="-9"/>
          <w:sz w:val="20"/>
        </w:rPr>
        <w:t xml:space="preserve"> </w:t>
      </w:r>
      <w:r>
        <w:rPr>
          <w:sz w:val="20"/>
        </w:rPr>
        <w:t>artículo 45.b) de la Carta de la Organización de Estados Americanos (en adelante “Carta de la OEA”). Se consideró que existía una referencia con el suficiente grado de especificidad del derecho a condiciones de trabajo para derivar su existencia y reconoci</w:t>
      </w:r>
      <w:r>
        <w:rPr>
          <w:sz w:val="20"/>
        </w:rPr>
        <w:t>miento implícito en la referida Carta</w:t>
      </w:r>
      <w:hyperlink w:anchor="_bookmark717" w:history="1">
        <w:r>
          <w:rPr>
            <w:position w:val="7"/>
            <w:sz w:val="13"/>
          </w:rPr>
          <w:t>35</w:t>
        </w:r>
      </w:hyperlink>
      <w:r>
        <w:rPr>
          <w:sz w:val="20"/>
        </w:rPr>
        <w:t>.</w:t>
      </w:r>
      <w:r>
        <w:rPr>
          <w:spacing w:val="-12"/>
          <w:sz w:val="20"/>
        </w:rPr>
        <w:t xml:space="preserve"> </w:t>
      </w:r>
      <w:r>
        <w:rPr>
          <w:sz w:val="20"/>
        </w:rPr>
        <w:t>De</w:t>
      </w:r>
      <w:r>
        <w:rPr>
          <w:spacing w:val="-9"/>
          <w:sz w:val="20"/>
        </w:rPr>
        <w:t xml:space="preserve"> </w:t>
      </w:r>
      <w:r>
        <w:rPr>
          <w:sz w:val="20"/>
        </w:rPr>
        <w:t>este</w:t>
      </w:r>
      <w:r>
        <w:rPr>
          <w:spacing w:val="-12"/>
          <w:sz w:val="20"/>
        </w:rPr>
        <w:t xml:space="preserve"> </w:t>
      </w:r>
      <w:r>
        <w:rPr>
          <w:sz w:val="20"/>
        </w:rPr>
        <w:t>modo,</w:t>
      </w:r>
      <w:r>
        <w:rPr>
          <w:spacing w:val="-11"/>
          <w:sz w:val="20"/>
        </w:rPr>
        <w:t xml:space="preserve"> </w:t>
      </w:r>
      <w:r>
        <w:rPr>
          <w:sz w:val="20"/>
        </w:rPr>
        <w:t>de</w:t>
      </w:r>
      <w:r>
        <w:rPr>
          <w:spacing w:val="-9"/>
          <w:sz w:val="20"/>
        </w:rPr>
        <w:t xml:space="preserve"> </w:t>
      </w:r>
      <w:r>
        <w:rPr>
          <w:sz w:val="20"/>
        </w:rPr>
        <w:t>la</w:t>
      </w:r>
      <w:r>
        <w:rPr>
          <w:spacing w:val="-10"/>
          <w:sz w:val="20"/>
        </w:rPr>
        <w:t xml:space="preserve"> </w:t>
      </w:r>
      <w:r>
        <w:rPr>
          <w:sz w:val="20"/>
        </w:rPr>
        <w:t>misma</w:t>
      </w:r>
      <w:r>
        <w:rPr>
          <w:spacing w:val="-11"/>
          <w:sz w:val="20"/>
        </w:rPr>
        <w:t xml:space="preserve"> </w:t>
      </w:r>
      <w:r>
        <w:rPr>
          <w:sz w:val="20"/>
        </w:rPr>
        <w:t>forma</w:t>
      </w:r>
      <w:r>
        <w:rPr>
          <w:spacing w:val="-8"/>
          <w:sz w:val="20"/>
        </w:rPr>
        <w:t xml:space="preserve"> </w:t>
      </w:r>
      <w:r>
        <w:rPr>
          <w:sz w:val="20"/>
        </w:rPr>
        <w:t>en</w:t>
      </w:r>
      <w:r>
        <w:rPr>
          <w:spacing w:val="-10"/>
          <w:sz w:val="20"/>
        </w:rPr>
        <w:t xml:space="preserve"> </w:t>
      </w:r>
      <w:r>
        <w:rPr>
          <w:sz w:val="20"/>
        </w:rPr>
        <w:t>la</w:t>
      </w:r>
      <w:r>
        <w:rPr>
          <w:spacing w:val="-8"/>
          <w:sz w:val="20"/>
        </w:rPr>
        <w:t xml:space="preserve"> </w:t>
      </w:r>
      <w:r>
        <w:rPr>
          <w:sz w:val="20"/>
        </w:rPr>
        <w:t>que</w:t>
      </w:r>
      <w:r>
        <w:rPr>
          <w:spacing w:val="-12"/>
          <w:sz w:val="20"/>
        </w:rPr>
        <w:t xml:space="preserve"> </w:t>
      </w:r>
      <w:r>
        <w:rPr>
          <w:sz w:val="20"/>
        </w:rPr>
        <w:t>lo</w:t>
      </w:r>
      <w:r>
        <w:rPr>
          <w:spacing w:val="-9"/>
          <w:sz w:val="20"/>
        </w:rPr>
        <w:t xml:space="preserve"> </w:t>
      </w:r>
      <w:r>
        <w:rPr>
          <w:sz w:val="20"/>
        </w:rPr>
        <w:t>ha</w:t>
      </w:r>
      <w:r>
        <w:rPr>
          <w:spacing w:val="-10"/>
          <w:sz w:val="20"/>
        </w:rPr>
        <w:t xml:space="preserve"> </w:t>
      </w:r>
      <w:r>
        <w:rPr>
          <w:sz w:val="20"/>
        </w:rPr>
        <w:t>hecho</w:t>
      </w:r>
      <w:r>
        <w:rPr>
          <w:spacing w:val="-8"/>
          <w:sz w:val="20"/>
        </w:rPr>
        <w:t xml:space="preserve"> </w:t>
      </w:r>
      <w:r>
        <w:rPr>
          <w:sz w:val="20"/>
        </w:rPr>
        <w:t>en</w:t>
      </w:r>
      <w:r>
        <w:rPr>
          <w:spacing w:val="-7"/>
          <w:sz w:val="20"/>
        </w:rPr>
        <w:t xml:space="preserve"> </w:t>
      </w:r>
      <w:r>
        <w:rPr>
          <w:sz w:val="20"/>
        </w:rPr>
        <w:t>otros</w:t>
      </w:r>
      <w:r>
        <w:rPr>
          <w:spacing w:val="-9"/>
          <w:sz w:val="20"/>
        </w:rPr>
        <w:t xml:space="preserve"> </w:t>
      </w:r>
      <w:r>
        <w:rPr>
          <w:sz w:val="20"/>
        </w:rPr>
        <w:t>casos</w:t>
      </w:r>
      <w:hyperlink w:anchor="_bookmark718" w:history="1">
        <w:r>
          <w:rPr>
            <w:position w:val="7"/>
            <w:sz w:val="13"/>
          </w:rPr>
          <w:t>36</w:t>
        </w:r>
      </w:hyperlink>
      <w:r>
        <w:rPr>
          <w:sz w:val="20"/>
        </w:rPr>
        <w:t>,</w:t>
      </w:r>
      <w:r>
        <w:rPr>
          <w:spacing w:val="-11"/>
          <w:sz w:val="20"/>
        </w:rPr>
        <w:t xml:space="preserve"> </w:t>
      </w:r>
      <w:r>
        <w:rPr>
          <w:sz w:val="20"/>
        </w:rPr>
        <w:t>la</w:t>
      </w:r>
      <w:r>
        <w:rPr>
          <w:spacing w:val="-8"/>
          <w:sz w:val="20"/>
        </w:rPr>
        <w:t xml:space="preserve"> </w:t>
      </w:r>
      <w:r>
        <w:rPr>
          <w:sz w:val="20"/>
        </w:rPr>
        <w:t xml:space="preserve">sentencia recurrió a la Declaración Americana de los Derechos y Deberes del Hombre, a un </w:t>
      </w:r>
      <w:r>
        <w:rPr>
          <w:i/>
          <w:sz w:val="20"/>
        </w:rPr>
        <w:t xml:space="preserve">corpus iuris internacional </w:t>
      </w:r>
      <w:r>
        <w:rPr>
          <w:sz w:val="20"/>
        </w:rPr>
        <w:t>y a la Constitución de Argentina para delimitar el contenido, de manera no limitativa, de lo que podría abarcar las condiciones “equitativas</w:t>
      </w:r>
      <w:r>
        <w:rPr>
          <w:sz w:val="20"/>
        </w:rPr>
        <w:t xml:space="preserve"> y satisfactorias”</w:t>
      </w:r>
      <w:hyperlink w:anchor="_bookmark719" w:history="1">
        <w:r>
          <w:rPr>
            <w:position w:val="7"/>
            <w:sz w:val="13"/>
          </w:rPr>
          <w:t>37</w:t>
        </w:r>
      </w:hyperlink>
      <w:r>
        <w:rPr>
          <w:sz w:val="20"/>
        </w:rPr>
        <w:t>. No obstante, en aquel caso la Corte IDH abordó únicamente ese derecho en el marco del acceso la</w:t>
      </w:r>
      <w:r>
        <w:rPr>
          <w:spacing w:val="-6"/>
          <w:sz w:val="20"/>
        </w:rPr>
        <w:t xml:space="preserve"> </w:t>
      </w:r>
      <w:r>
        <w:rPr>
          <w:sz w:val="20"/>
        </w:rPr>
        <w:t>justicia,</w:t>
      </w:r>
      <w:r>
        <w:rPr>
          <w:spacing w:val="-6"/>
          <w:sz w:val="20"/>
        </w:rPr>
        <w:t xml:space="preserve"> </w:t>
      </w:r>
      <w:r>
        <w:rPr>
          <w:sz w:val="20"/>
        </w:rPr>
        <w:t>es</w:t>
      </w:r>
      <w:r>
        <w:rPr>
          <w:spacing w:val="-6"/>
          <w:sz w:val="20"/>
        </w:rPr>
        <w:t xml:space="preserve"> </w:t>
      </w:r>
      <w:r>
        <w:rPr>
          <w:sz w:val="20"/>
        </w:rPr>
        <w:t>decir,</w:t>
      </w:r>
      <w:r>
        <w:rPr>
          <w:spacing w:val="-7"/>
          <w:sz w:val="20"/>
        </w:rPr>
        <w:t xml:space="preserve"> </w:t>
      </w:r>
      <w:r>
        <w:rPr>
          <w:sz w:val="20"/>
        </w:rPr>
        <w:t>no</w:t>
      </w:r>
      <w:r>
        <w:rPr>
          <w:spacing w:val="-4"/>
          <w:sz w:val="20"/>
        </w:rPr>
        <w:t xml:space="preserve"> </w:t>
      </w:r>
      <w:r>
        <w:rPr>
          <w:sz w:val="20"/>
        </w:rPr>
        <w:t>se</w:t>
      </w:r>
      <w:r>
        <w:rPr>
          <w:spacing w:val="-7"/>
          <w:sz w:val="20"/>
        </w:rPr>
        <w:t xml:space="preserve"> </w:t>
      </w:r>
      <w:r>
        <w:rPr>
          <w:sz w:val="20"/>
        </w:rPr>
        <w:t>desarrolló</w:t>
      </w:r>
      <w:r>
        <w:rPr>
          <w:spacing w:val="-7"/>
          <w:sz w:val="20"/>
        </w:rPr>
        <w:t xml:space="preserve"> </w:t>
      </w:r>
      <w:r>
        <w:rPr>
          <w:sz w:val="20"/>
        </w:rPr>
        <w:t>un</w:t>
      </w:r>
      <w:r>
        <w:rPr>
          <w:spacing w:val="-4"/>
          <w:sz w:val="20"/>
        </w:rPr>
        <w:t xml:space="preserve"> </w:t>
      </w:r>
      <w:r>
        <w:rPr>
          <w:sz w:val="20"/>
        </w:rPr>
        <w:t>contenido</w:t>
      </w:r>
      <w:r>
        <w:rPr>
          <w:spacing w:val="-7"/>
          <w:sz w:val="20"/>
        </w:rPr>
        <w:t xml:space="preserve"> </w:t>
      </w:r>
      <w:r>
        <w:rPr>
          <w:sz w:val="20"/>
        </w:rPr>
        <w:t>sustancial</w:t>
      </w:r>
      <w:r>
        <w:rPr>
          <w:spacing w:val="-6"/>
          <w:sz w:val="20"/>
        </w:rPr>
        <w:t xml:space="preserve"> </w:t>
      </w:r>
      <w:r>
        <w:rPr>
          <w:sz w:val="20"/>
        </w:rPr>
        <w:t>y</w:t>
      </w:r>
      <w:r>
        <w:rPr>
          <w:spacing w:val="-3"/>
          <w:sz w:val="20"/>
        </w:rPr>
        <w:t xml:space="preserve"> </w:t>
      </w:r>
      <w:r>
        <w:rPr>
          <w:sz w:val="20"/>
        </w:rPr>
        <w:t>obligacional</w:t>
      </w:r>
      <w:r>
        <w:rPr>
          <w:spacing w:val="-6"/>
          <w:sz w:val="20"/>
        </w:rPr>
        <w:t xml:space="preserve"> </w:t>
      </w:r>
      <w:r>
        <w:rPr>
          <w:sz w:val="20"/>
        </w:rPr>
        <w:t>en</w:t>
      </w:r>
      <w:r>
        <w:rPr>
          <w:spacing w:val="-4"/>
          <w:sz w:val="20"/>
        </w:rPr>
        <w:t xml:space="preserve"> </w:t>
      </w:r>
      <w:r>
        <w:rPr>
          <w:sz w:val="20"/>
        </w:rPr>
        <w:t>relación</w:t>
      </w:r>
      <w:r>
        <w:rPr>
          <w:spacing w:val="-4"/>
          <w:sz w:val="20"/>
        </w:rPr>
        <w:t xml:space="preserve"> </w:t>
      </w:r>
      <w:r>
        <w:rPr>
          <w:sz w:val="20"/>
        </w:rPr>
        <w:t>con</w:t>
      </w:r>
      <w:r>
        <w:rPr>
          <w:spacing w:val="-5"/>
          <w:sz w:val="20"/>
        </w:rPr>
        <w:t xml:space="preserve"> </w:t>
      </w:r>
      <w:r>
        <w:rPr>
          <w:sz w:val="20"/>
        </w:rPr>
        <w:t>las condicione</w:t>
      </w:r>
      <w:r>
        <w:rPr>
          <w:sz w:val="20"/>
        </w:rPr>
        <w:t>s equitativas y satisfactorias que abarcaran condiciones de seguridad, salud e higiene en el</w:t>
      </w:r>
      <w:r>
        <w:rPr>
          <w:spacing w:val="-2"/>
          <w:sz w:val="20"/>
        </w:rPr>
        <w:t xml:space="preserve"> </w:t>
      </w:r>
      <w:r>
        <w:rPr>
          <w:sz w:val="20"/>
        </w:rPr>
        <w:t>trabajo.</w:t>
      </w:r>
    </w:p>
    <w:p w14:paraId="0B9C14F4" w14:textId="77777777" w:rsidR="00467FCA" w:rsidRDefault="001B68EB">
      <w:pPr>
        <w:pStyle w:val="Prrafodelista"/>
        <w:numPr>
          <w:ilvl w:val="0"/>
          <w:numId w:val="9"/>
        </w:numPr>
        <w:tabs>
          <w:tab w:val="left" w:pos="1167"/>
        </w:tabs>
        <w:spacing w:before="121"/>
        <w:ind w:right="277" w:firstLine="0"/>
        <w:jc w:val="both"/>
        <w:rPr>
          <w:sz w:val="20"/>
        </w:rPr>
      </w:pPr>
      <w:r>
        <w:rPr>
          <w:sz w:val="20"/>
        </w:rPr>
        <w:t xml:space="preserve">A diferencia del caso </w:t>
      </w:r>
      <w:r>
        <w:rPr>
          <w:i/>
          <w:sz w:val="20"/>
        </w:rPr>
        <w:t>Spoltore</w:t>
      </w:r>
      <w:r>
        <w:rPr>
          <w:sz w:val="20"/>
        </w:rPr>
        <w:t>, en el presente caso, el Tribunal Interamericano si bien utiliza</w:t>
      </w:r>
      <w:r>
        <w:rPr>
          <w:spacing w:val="-13"/>
          <w:sz w:val="20"/>
        </w:rPr>
        <w:t xml:space="preserve"> </w:t>
      </w:r>
      <w:r>
        <w:rPr>
          <w:sz w:val="20"/>
        </w:rPr>
        <w:t>el</w:t>
      </w:r>
      <w:r>
        <w:rPr>
          <w:spacing w:val="-12"/>
          <w:sz w:val="20"/>
        </w:rPr>
        <w:t xml:space="preserve"> </w:t>
      </w:r>
      <w:r>
        <w:rPr>
          <w:sz w:val="20"/>
        </w:rPr>
        <w:t>mismo</w:t>
      </w:r>
      <w:r>
        <w:rPr>
          <w:spacing w:val="-12"/>
          <w:sz w:val="20"/>
        </w:rPr>
        <w:t xml:space="preserve"> </w:t>
      </w:r>
      <w:r>
        <w:rPr>
          <w:sz w:val="20"/>
        </w:rPr>
        <w:t>sustento</w:t>
      </w:r>
      <w:r>
        <w:rPr>
          <w:spacing w:val="-14"/>
          <w:sz w:val="20"/>
        </w:rPr>
        <w:t xml:space="preserve"> </w:t>
      </w:r>
      <w:r>
        <w:rPr>
          <w:sz w:val="20"/>
        </w:rPr>
        <w:t>normativo</w:t>
      </w:r>
      <w:r>
        <w:rPr>
          <w:spacing w:val="-14"/>
          <w:sz w:val="20"/>
        </w:rPr>
        <w:t xml:space="preserve"> </w:t>
      </w:r>
      <w:r>
        <w:rPr>
          <w:sz w:val="20"/>
        </w:rPr>
        <w:t>para</w:t>
      </w:r>
      <w:r>
        <w:rPr>
          <w:spacing w:val="-12"/>
          <w:sz w:val="20"/>
        </w:rPr>
        <w:t xml:space="preserve"> </w:t>
      </w:r>
      <w:r>
        <w:rPr>
          <w:sz w:val="20"/>
        </w:rPr>
        <w:t>derivar</w:t>
      </w:r>
      <w:r>
        <w:rPr>
          <w:spacing w:val="-12"/>
          <w:sz w:val="20"/>
        </w:rPr>
        <w:t xml:space="preserve"> </w:t>
      </w:r>
      <w:r>
        <w:rPr>
          <w:sz w:val="20"/>
        </w:rPr>
        <w:t>el</w:t>
      </w:r>
      <w:r>
        <w:rPr>
          <w:spacing w:val="-12"/>
          <w:sz w:val="20"/>
        </w:rPr>
        <w:t xml:space="preserve"> </w:t>
      </w:r>
      <w:r>
        <w:rPr>
          <w:sz w:val="20"/>
        </w:rPr>
        <w:t>derecho,</w:t>
      </w:r>
      <w:r>
        <w:rPr>
          <w:spacing w:val="-12"/>
          <w:sz w:val="20"/>
        </w:rPr>
        <w:t xml:space="preserve"> </w:t>
      </w:r>
      <w:r>
        <w:rPr>
          <w:sz w:val="20"/>
        </w:rPr>
        <w:t>se</w:t>
      </w:r>
      <w:r>
        <w:rPr>
          <w:spacing w:val="-11"/>
          <w:sz w:val="20"/>
        </w:rPr>
        <w:t xml:space="preserve"> </w:t>
      </w:r>
      <w:r>
        <w:rPr>
          <w:sz w:val="20"/>
        </w:rPr>
        <w:t>ha</w:t>
      </w:r>
      <w:r>
        <w:rPr>
          <w:sz w:val="20"/>
        </w:rPr>
        <w:t>cen</w:t>
      </w:r>
      <w:r>
        <w:rPr>
          <w:spacing w:val="-12"/>
          <w:sz w:val="20"/>
        </w:rPr>
        <w:t xml:space="preserve"> </w:t>
      </w:r>
      <w:r>
        <w:rPr>
          <w:sz w:val="20"/>
        </w:rPr>
        <w:t>importantes</w:t>
      </w:r>
      <w:r>
        <w:rPr>
          <w:spacing w:val="-14"/>
          <w:sz w:val="20"/>
        </w:rPr>
        <w:t xml:space="preserve"> </w:t>
      </w:r>
      <w:r>
        <w:rPr>
          <w:sz w:val="20"/>
        </w:rPr>
        <w:t>precisiones sobre el contenido sustancial del mismo. Por ejemplo, la sentencia indica que “tomando en cuenta los hechos y particularidades del presente caso”, el derecho al trabajo implica</w:t>
      </w:r>
      <w:r>
        <w:rPr>
          <w:spacing w:val="-31"/>
          <w:sz w:val="20"/>
        </w:rPr>
        <w:t xml:space="preserve"> </w:t>
      </w:r>
      <w:r>
        <w:rPr>
          <w:sz w:val="20"/>
        </w:rPr>
        <w:t>que:</w:t>
      </w:r>
    </w:p>
    <w:p w14:paraId="7DDC80FF" w14:textId="77777777" w:rsidR="00467FCA" w:rsidRDefault="001B68EB">
      <w:pPr>
        <w:spacing w:before="119"/>
        <w:ind w:left="1159" w:right="1027"/>
        <w:jc w:val="both"/>
        <w:rPr>
          <w:sz w:val="16"/>
        </w:rPr>
      </w:pPr>
      <w:r>
        <w:rPr>
          <w:sz w:val="16"/>
        </w:rPr>
        <w:t xml:space="preserve">174. […] el trabajador pueda realizar sus labores en condiciones adecuadas de seguridad, higiene y salud que prevengan accidentes de trabajo, lo cual resulta especialmente relevante cuando </w:t>
      </w:r>
      <w:r>
        <w:rPr>
          <w:spacing w:val="-3"/>
          <w:sz w:val="16"/>
        </w:rPr>
        <w:t xml:space="preserve">se </w:t>
      </w:r>
      <w:r>
        <w:rPr>
          <w:sz w:val="16"/>
        </w:rPr>
        <w:t>trata de actividades que implican riesgos significativos para la</w:t>
      </w:r>
      <w:r>
        <w:rPr>
          <w:sz w:val="16"/>
        </w:rPr>
        <w:t xml:space="preserve"> vida e integridad de las personas. Además, de forma particular, a la luz de la legislación brasileña, este derecho implica la adopción de medidas para la prevención y reducción de riesgos inherentes al trabajo y de accidentes laborales; la obligación de p</w:t>
      </w:r>
      <w:r>
        <w:rPr>
          <w:sz w:val="16"/>
        </w:rPr>
        <w:t>roveer equipos de protección adecuados frente a los riesgos derivados del</w:t>
      </w:r>
      <w:r>
        <w:rPr>
          <w:spacing w:val="-16"/>
          <w:sz w:val="16"/>
        </w:rPr>
        <w:t xml:space="preserve"> </w:t>
      </w:r>
      <w:r>
        <w:rPr>
          <w:sz w:val="16"/>
        </w:rPr>
        <w:t>trabajo;</w:t>
      </w:r>
      <w:r>
        <w:rPr>
          <w:spacing w:val="-15"/>
          <w:sz w:val="16"/>
        </w:rPr>
        <w:t xml:space="preserve"> </w:t>
      </w:r>
      <w:r>
        <w:rPr>
          <w:sz w:val="16"/>
        </w:rPr>
        <w:t>la</w:t>
      </w:r>
      <w:r>
        <w:rPr>
          <w:spacing w:val="-15"/>
          <w:sz w:val="16"/>
        </w:rPr>
        <w:t xml:space="preserve"> </w:t>
      </w:r>
      <w:r>
        <w:rPr>
          <w:sz w:val="16"/>
        </w:rPr>
        <w:t>caracterización,</w:t>
      </w:r>
      <w:r>
        <w:rPr>
          <w:spacing w:val="-19"/>
          <w:sz w:val="16"/>
        </w:rPr>
        <w:t xml:space="preserve"> </w:t>
      </w:r>
      <w:r>
        <w:rPr>
          <w:sz w:val="16"/>
        </w:rPr>
        <w:t>a</w:t>
      </w:r>
      <w:r>
        <w:rPr>
          <w:spacing w:val="-15"/>
          <w:sz w:val="16"/>
        </w:rPr>
        <w:t xml:space="preserve"> </w:t>
      </w:r>
      <w:r>
        <w:rPr>
          <w:sz w:val="16"/>
        </w:rPr>
        <w:t>cargo</w:t>
      </w:r>
      <w:r>
        <w:rPr>
          <w:spacing w:val="-14"/>
          <w:sz w:val="16"/>
        </w:rPr>
        <w:t xml:space="preserve"> </w:t>
      </w:r>
      <w:r>
        <w:rPr>
          <w:sz w:val="16"/>
        </w:rPr>
        <w:t>de</w:t>
      </w:r>
      <w:r>
        <w:rPr>
          <w:spacing w:val="-14"/>
          <w:sz w:val="16"/>
        </w:rPr>
        <w:t xml:space="preserve"> </w:t>
      </w:r>
      <w:r>
        <w:rPr>
          <w:sz w:val="16"/>
        </w:rPr>
        <w:t>las</w:t>
      </w:r>
      <w:r>
        <w:rPr>
          <w:spacing w:val="-15"/>
          <w:sz w:val="16"/>
        </w:rPr>
        <w:t xml:space="preserve"> </w:t>
      </w:r>
      <w:r>
        <w:rPr>
          <w:sz w:val="16"/>
        </w:rPr>
        <w:t>autoridades</w:t>
      </w:r>
      <w:r>
        <w:rPr>
          <w:spacing w:val="-17"/>
          <w:sz w:val="16"/>
        </w:rPr>
        <w:t xml:space="preserve"> </w:t>
      </w:r>
      <w:r>
        <w:rPr>
          <w:sz w:val="16"/>
        </w:rPr>
        <w:t>de</w:t>
      </w:r>
      <w:r>
        <w:rPr>
          <w:spacing w:val="-17"/>
          <w:sz w:val="16"/>
        </w:rPr>
        <w:t xml:space="preserve"> </w:t>
      </w:r>
      <w:r>
        <w:rPr>
          <w:sz w:val="16"/>
        </w:rPr>
        <w:t>trabajo</w:t>
      </w:r>
      <w:r>
        <w:rPr>
          <w:spacing w:val="-16"/>
          <w:sz w:val="16"/>
        </w:rPr>
        <w:t xml:space="preserve"> </w:t>
      </w:r>
      <w:r>
        <w:rPr>
          <w:sz w:val="16"/>
        </w:rPr>
        <w:t>de</w:t>
      </w:r>
      <w:r>
        <w:rPr>
          <w:spacing w:val="-15"/>
          <w:sz w:val="16"/>
        </w:rPr>
        <w:t xml:space="preserve"> </w:t>
      </w:r>
      <w:r>
        <w:rPr>
          <w:sz w:val="16"/>
        </w:rPr>
        <w:t>la</w:t>
      </w:r>
      <w:r>
        <w:rPr>
          <w:spacing w:val="-15"/>
          <w:sz w:val="16"/>
        </w:rPr>
        <w:t xml:space="preserve"> </w:t>
      </w:r>
      <w:r>
        <w:rPr>
          <w:sz w:val="16"/>
        </w:rPr>
        <w:t>insalubridad</w:t>
      </w:r>
      <w:r>
        <w:rPr>
          <w:spacing w:val="-14"/>
          <w:sz w:val="16"/>
        </w:rPr>
        <w:t xml:space="preserve"> </w:t>
      </w:r>
      <w:r>
        <w:rPr>
          <w:sz w:val="16"/>
        </w:rPr>
        <w:t>e</w:t>
      </w:r>
      <w:r>
        <w:rPr>
          <w:spacing w:val="-15"/>
          <w:sz w:val="16"/>
        </w:rPr>
        <w:t xml:space="preserve"> </w:t>
      </w:r>
      <w:r>
        <w:rPr>
          <w:sz w:val="16"/>
        </w:rPr>
        <w:t>inseguridad</w:t>
      </w:r>
    </w:p>
    <w:p w14:paraId="0F4DA4DC" w14:textId="77777777" w:rsidR="00467FCA" w:rsidRDefault="00467FCA">
      <w:pPr>
        <w:pStyle w:val="Textoindependiente"/>
      </w:pPr>
    </w:p>
    <w:p w14:paraId="30BA46E4" w14:textId="77777777" w:rsidR="00467FCA" w:rsidRDefault="001B68EB">
      <w:pPr>
        <w:pStyle w:val="Textoindependiente"/>
        <w:spacing w:before="9"/>
        <w:rPr>
          <w:sz w:val="23"/>
        </w:rPr>
      </w:pPr>
      <w:r>
        <w:pict w14:anchorId="104BB974">
          <v:shape id="_x0000_s1063" style="position:absolute;margin-left:70.9pt;margin-top:16.7pt;width:2in;height:.1pt;z-index:-251522048;mso-wrap-distance-left:0;mso-wrap-distance-right:0;mso-position-horizontal-relative:page" coordorigin="1418,334" coordsize="2880,0" path="m1418,334r2880,e" filled="f" strokeweight=".6pt">
            <v:path arrowok="t"/>
            <w10:wrap type="topAndBottom" anchorx="page"/>
          </v:shape>
        </w:pict>
      </w:r>
    </w:p>
    <w:p w14:paraId="753E70CB" w14:textId="77777777" w:rsidR="00467FCA" w:rsidRDefault="001B68EB">
      <w:pPr>
        <w:spacing w:before="74"/>
        <w:ind w:left="458" w:right="273"/>
        <w:jc w:val="both"/>
        <w:rPr>
          <w:sz w:val="16"/>
        </w:rPr>
      </w:pPr>
      <w:r>
        <w:rPr>
          <w:sz w:val="16"/>
        </w:rPr>
        <w:t xml:space="preserve">ámbito internacional interamericano y la sede nacional de los Estados Parte de </w:t>
      </w:r>
      <w:r>
        <w:rPr>
          <w:sz w:val="16"/>
        </w:rPr>
        <w:t xml:space="preserve">la Convención Americana. </w:t>
      </w:r>
      <w:r>
        <w:rPr>
          <w:i/>
          <w:sz w:val="16"/>
        </w:rPr>
        <w:t>Cfr. Voto concurrente y parcialmente disidente al Caso San Miguel Sosa y otras Vs. Venezuela. Fondo, Reparaciones y Costas</w:t>
      </w:r>
      <w:r>
        <w:rPr>
          <w:sz w:val="16"/>
        </w:rPr>
        <w:t xml:space="preserve">. Sentencia de 8 de febrero de 2018. Serie C No. 348, párr. 27. Véase lo conducente en el voto emitido en el </w:t>
      </w:r>
      <w:r>
        <w:rPr>
          <w:sz w:val="16"/>
        </w:rPr>
        <w:t xml:space="preserve">caso </w:t>
      </w:r>
      <w:r>
        <w:rPr>
          <w:i/>
          <w:sz w:val="16"/>
        </w:rPr>
        <w:t>Spoltore Vs Argentina</w:t>
      </w:r>
      <w:r>
        <w:rPr>
          <w:sz w:val="16"/>
        </w:rPr>
        <w:t>.</w:t>
      </w:r>
    </w:p>
    <w:p w14:paraId="7779FF06" w14:textId="77777777" w:rsidR="00467FCA" w:rsidRDefault="001B68EB">
      <w:pPr>
        <w:tabs>
          <w:tab w:val="left" w:pos="1166"/>
        </w:tabs>
        <w:ind w:left="458" w:right="272"/>
        <w:jc w:val="both"/>
        <w:rPr>
          <w:sz w:val="16"/>
        </w:rPr>
      </w:pPr>
      <w:bookmarkStart w:id="796" w:name="_bookmark715"/>
      <w:bookmarkEnd w:id="796"/>
      <w:r>
        <w:rPr>
          <w:position w:val="6"/>
          <w:sz w:val="10"/>
        </w:rPr>
        <w:t>33</w:t>
      </w:r>
      <w:r>
        <w:rPr>
          <w:position w:val="6"/>
          <w:sz w:val="10"/>
        </w:rPr>
        <w:tab/>
      </w:r>
      <w:r>
        <w:rPr>
          <w:sz w:val="16"/>
        </w:rPr>
        <w:t>El</w:t>
      </w:r>
      <w:r>
        <w:rPr>
          <w:spacing w:val="-4"/>
          <w:sz w:val="16"/>
        </w:rPr>
        <w:t xml:space="preserve"> </w:t>
      </w:r>
      <w:r>
        <w:rPr>
          <w:sz w:val="16"/>
        </w:rPr>
        <w:t>Tribunal</w:t>
      </w:r>
      <w:r>
        <w:rPr>
          <w:spacing w:val="-3"/>
          <w:sz w:val="16"/>
        </w:rPr>
        <w:t xml:space="preserve"> </w:t>
      </w:r>
      <w:r>
        <w:rPr>
          <w:sz w:val="16"/>
        </w:rPr>
        <w:t>Interamericano</w:t>
      </w:r>
      <w:r>
        <w:rPr>
          <w:spacing w:val="-4"/>
          <w:sz w:val="16"/>
        </w:rPr>
        <w:t xml:space="preserve"> </w:t>
      </w:r>
      <w:r>
        <w:rPr>
          <w:sz w:val="16"/>
        </w:rPr>
        <w:t>concluyó</w:t>
      </w:r>
      <w:r>
        <w:rPr>
          <w:spacing w:val="-4"/>
          <w:sz w:val="16"/>
        </w:rPr>
        <w:t xml:space="preserve"> </w:t>
      </w:r>
      <w:r>
        <w:rPr>
          <w:sz w:val="16"/>
        </w:rPr>
        <w:t>que</w:t>
      </w:r>
      <w:r>
        <w:rPr>
          <w:spacing w:val="-6"/>
          <w:sz w:val="16"/>
        </w:rPr>
        <w:t xml:space="preserve"> </w:t>
      </w:r>
      <w:r>
        <w:rPr>
          <w:sz w:val="16"/>
        </w:rPr>
        <w:t>“el</w:t>
      </w:r>
      <w:r>
        <w:rPr>
          <w:spacing w:val="-3"/>
          <w:sz w:val="16"/>
        </w:rPr>
        <w:t xml:space="preserve"> </w:t>
      </w:r>
      <w:r>
        <w:rPr>
          <w:sz w:val="16"/>
        </w:rPr>
        <w:t>Estado</w:t>
      </w:r>
      <w:r>
        <w:rPr>
          <w:spacing w:val="-4"/>
          <w:sz w:val="16"/>
        </w:rPr>
        <w:t xml:space="preserve"> </w:t>
      </w:r>
      <w:r>
        <w:rPr>
          <w:sz w:val="16"/>
        </w:rPr>
        <w:t>es</w:t>
      </w:r>
      <w:r>
        <w:rPr>
          <w:spacing w:val="-7"/>
          <w:sz w:val="16"/>
        </w:rPr>
        <w:t xml:space="preserve"> </w:t>
      </w:r>
      <w:r>
        <w:rPr>
          <w:sz w:val="16"/>
        </w:rPr>
        <w:t>responsable</w:t>
      </w:r>
      <w:r>
        <w:rPr>
          <w:spacing w:val="-5"/>
          <w:sz w:val="16"/>
        </w:rPr>
        <w:t xml:space="preserve"> </w:t>
      </w:r>
      <w:r>
        <w:rPr>
          <w:sz w:val="16"/>
        </w:rPr>
        <w:t>por</w:t>
      </w:r>
      <w:r>
        <w:rPr>
          <w:spacing w:val="-4"/>
          <w:sz w:val="16"/>
        </w:rPr>
        <w:t xml:space="preserve"> </w:t>
      </w:r>
      <w:r>
        <w:rPr>
          <w:sz w:val="16"/>
        </w:rPr>
        <w:t>la</w:t>
      </w:r>
      <w:r>
        <w:rPr>
          <w:spacing w:val="-7"/>
          <w:sz w:val="16"/>
        </w:rPr>
        <w:t xml:space="preserve"> </w:t>
      </w:r>
      <w:r>
        <w:rPr>
          <w:sz w:val="16"/>
        </w:rPr>
        <w:t>violación</w:t>
      </w:r>
      <w:r>
        <w:rPr>
          <w:spacing w:val="-6"/>
          <w:sz w:val="16"/>
        </w:rPr>
        <w:t xml:space="preserve"> </w:t>
      </w:r>
      <w:r>
        <w:rPr>
          <w:sz w:val="16"/>
        </w:rPr>
        <w:t>de</w:t>
      </w:r>
      <w:r>
        <w:rPr>
          <w:spacing w:val="-5"/>
          <w:sz w:val="16"/>
        </w:rPr>
        <w:t xml:space="preserve"> </w:t>
      </w:r>
      <w:r>
        <w:rPr>
          <w:sz w:val="16"/>
        </w:rPr>
        <w:t>los</w:t>
      </w:r>
      <w:r>
        <w:rPr>
          <w:spacing w:val="-5"/>
          <w:sz w:val="16"/>
        </w:rPr>
        <w:t xml:space="preserve"> </w:t>
      </w:r>
      <w:r>
        <w:rPr>
          <w:sz w:val="16"/>
        </w:rPr>
        <w:t>artículos</w:t>
      </w:r>
      <w:r>
        <w:rPr>
          <w:spacing w:val="-7"/>
          <w:sz w:val="16"/>
        </w:rPr>
        <w:t xml:space="preserve"> </w:t>
      </w:r>
      <w:r>
        <w:rPr>
          <w:sz w:val="16"/>
        </w:rPr>
        <w:t>16.1</w:t>
      </w:r>
      <w:r>
        <w:rPr>
          <w:spacing w:val="-4"/>
          <w:sz w:val="16"/>
        </w:rPr>
        <w:t xml:space="preserve"> </w:t>
      </w:r>
      <w:r>
        <w:rPr>
          <w:sz w:val="16"/>
        </w:rPr>
        <w:t>y</w:t>
      </w:r>
      <w:r>
        <w:rPr>
          <w:spacing w:val="-8"/>
          <w:sz w:val="16"/>
        </w:rPr>
        <w:t xml:space="preserve"> </w:t>
      </w:r>
      <w:r>
        <w:rPr>
          <w:sz w:val="16"/>
        </w:rPr>
        <w:t xml:space="preserve">26 en relación con los artículos 1.1, 13 y 8 de la Convención Americana, en perjuicio del señor Lagos del Campo”. </w:t>
      </w:r>
      <w:r>
        <w:rPr>
          <w:i/>
          <w:sz w:val="16"/>
        </w:rPr>
        <w:t xml:space="preserve">Cfr. Caso Lagos del Campo Vs. Perú. Excepciones Preliminares, Fondo, Reparaciones y Costas, supra, </w:t>
      </w:r>
      <w:r>
        <w:rPr>
          <w:sz w:val="16"/>
        </w:rPr>
        <w:t>párr. 158, 163 y Punto resolutivo 6.</w:t>
      </w:r>
    </w:p>
    <w:p w14:paraId="1E397CF2" w14:textId="77777777" w:rsidR="00467FCA" w:rsidRDefault="001B68EB">
      <w:pPr>
        <w:tabs>
          <w:tab w:val="left" w:pos="1166"/>
        </w:tabs>
        <w:ind w:left="458" w:right="271"/>
        <w:jc w:val="both"/>
        <w:rPr>
          <w:sz w:val="16"/>
        </w:rPr>
      </w:pPr>
      <w:bookmarkStart w:id="797" w:name="_bookmark716"/>
      <w:bookmarkEnd w:id="797"/>
      <w:r>
        <w:rPr>
          <w:position w:val="6"/>
          <w:sz w:val="10"/>
        </w:rPr>
        <w:t>34</w:t>
      </w:r>
      <w:r>
        <w:rPr>
          <w:position w:val="6"/>
          <w:sz w:val="10"/>
        </w:rPr>
        <w:tab/>
      </w:r>
      <w:r>
        <w:rPr>
          <w:i/>
          <w:sz w:val="16"/>
        </w:rPr>
        <w:t>Cfr</w:t>
      </w:r>
      <w:r>
        <w:rPr>
          <w:i/>
          <w:sz w:val="16"/>
        </w:rPr>
        <w:t>.</w:t>
      </w:r>
      <w:r>
        <w:rPr>
          <w:i/>
          <w:spacing w:val="-11"/>
          <w:sz w:val="16"/>
        </w:rPr>
        <w:t xml:space="preserve"> </w:t>
      </w:r>
      <w:r>
        <w:rPr>
          <w:i/>
          <w:sz w:val="16"/>
        </w:rPr>
        <w:t>Caso</w:t>
      </w:r>
      <w:r>
        <w:rPr>
          <w:i/>
          <w:spacing w:val="-11"/>
          <w:sz w:val="16"/>
        </w:rPr>
        <w:t xml:space="preserve"> </w:t>
      </w:r>
      <w:r>
        <w:rPr>
          <w:i/>
          <w:sz w:val="16"/>
        </w:rPr>
        <w:t>Spoltore</w:t>
      </w:r>
      <w:r>
        <w:rPr>
          <w:i/>
          <w:spacing w:val="-10"/>
          <w:sz w:val="16"/>
        </w:rPr>
        <w:t xml:space="preserve"> </w:t>
      </w:r>
      <w:r>
        <w:rPr>
          <w:i/>
          <w:sz w:val="16"/>
        </w:rPr>
        <w:t>Vs.</w:t>
      </w:r>
      <w:r>
        <w:rPr>
          <w:i/>
          <w:spacing w:val="-11"/>
          <w:sz w:val="16"/>
        </w:rPr>
        <w:t xml:space="preserve"> </w:t>
      </w:r>
      <w:r>
        <w:rPr>
          <w:i/>
          <w:sz w:val="16"/>
        </w:rPr>
        <w:t>Argentina.</w:t>
      </w:r>
      <w:r>
        <w:rPr>
          <w:i/>
          <w:spacing w:val="-8"/>
          <w:sz w:val="16"/>
        </w:rPr>
        <w:t xml:space="preserve"> </w:t>
      </w:r>
      <w:r>
        <w:rPr>
          <w:i/>
          <w:sz w:val="16"/>
        </w:rPr>
        <w:t>Excepción</w:t>
      </w:r>
      <w:r>
        <w:rPr>
          <w:i/>
          <w:spacing w:val="-11"/>
          <w:sz w:val="16"/>
        </w:rPr>
        <w:t xml:space="preserve"> </w:t>
      </w:r>
      <w:r>
        <w:rPr>
          <w:i/>
          <w:sz w:val="16"/>
        </w:rPr>
        <w:t>Preliminar,</w:t>
      </w:r>
      <w:r>
        <w:rPr>
          <w:i/>
          <w:spacing w:val="-8"/>
          <w:sz w:val="16"/>
        </w:rPr>
        <w:t xml:space="preserve"> </w:t>
      </w:r>
      <w:r>
        <w:rPr>
          <w:i/>
          <w:sz w:val="16"/>
        </w:rPr>
        <w:t>Fondo,</w:t>
      </w:r>
      <w:r>
        <w:rPr>
          <w:i/>
          <w:spacing w:val="-11"/>
          <w:sz w:val="16"/>
        </w:rPr>
        <w:t xml:space="preserve"> </w:t>
      </w:r>
      <w:r>
        <w:rPr>
          <w:i/>
          <w:sz w:val="16"/>
        </w:rPr>
        <w:t>Reparaciones</w:t>
      </w:r>
      <w:r>
        <w:rPr>
          <w:i/>
          <w:spacing w:val="-12"/>
          <w:sz w:val="16"/>
        </w:rPr>
        <w:t xml:space="preserve"> </w:t>
      </w:r>
      <w:r>
        <w:rPr>
          <w:i/>
          <w:sz w:val="16"/>
        </w:rPr>
        <w:t>y</w:t>
      </w:r>
      <w:r>
        <w:rPr>
          <w:i/>
          <w:spacing w:val="-9"/>
          <w:sz w:val="16"/>
        </w:rPr>
        <w:t xml:space="preserve"> </w:t>
      </w:r>
      <w:r>
        <w:rPr>
          <w:i/>
          <w:sz w:val="16"/>
        </w:rPr>
        <w:t>Costas.</w:t>
      </w:r>
      <w:r>
        <w:rPr>
          <w:i/>
          <w:spacing w:val="-11"/>
          <w:sz w:val="16"/>
        </w:rPr>
        <w:t xml:space="preserve"> </w:t>
      </w:r>
      <w:r>
        <w:rPr>
          <w:sz w:val="16"/>
        </w:rPr>
        <w:t>Serie</w:t>
      </w:r>
      <w:r>
        <w:rPr>
          <w:spacing w:val="-10"/>
          <w:sz w:val="16"/>
        </w:rPr>
        <w:t xml:space="preserve"> </w:t>
      </w:r>
      <w:r>
        <w:rPr>
          <w:sz w:val="16"/>
        </w:rPr>
        <w:t>C</w:t>
      </w:r>
      <w:r>
        <w:rPr>
          <w:spacing w:val="-9"/>
          <w:sz w:val="16"/>
        </w:rPr>
        <w:t xml:space="preserve"> </w:t>
      </w:r>
      <w:r>
        <w:rPr>
          <w:sz w:val="16"/>
        </w:rPr>
        <w:t>No.</w:t>
      </w:r>
      <w:r>
        <w:rPr>
          <w:spacing w:val="-13"/>
          <w:sz w:val="16"/>
        </w:rPr>
        <w:t xml:space="preserve"> </w:t>
      </w:r>
      <w:r>
        <w:rPr>
          <w:sz w:val="16"/>
        </w:rPr>
        <w:t>404,</w:t>
      </w:r>
      <w:r>
        <w:rPr>
          <w:spacing w:val="-11"/>
          <w:sz w:val="16"/>
        </w:rPr>
        <w:t xml:space="preserve"> </w:t>
      </w:r>
      <w:r>
        <w:rPr>
          <w:sz w:val="16"/>
        </w:rPr>
        <w:t>párr. 83.</w:t>
      </w:r>
    </w:p>
    <w:p w14:paraId="1E7B1BD2" w14:textId="77777777" w:rsidR="00467FCA" w:rsidRDefault="001B68EB">
      <w:pPr>
        <w:tabs>
          <w:tab w:val="left" w:pos="1166"/>
        </w:tabs>
        <w:ind w:left="458"/>
        <w:jc w:val="both"/>
        <w:rPr>
          <w:sz w:val="16"/>
        </w:rPr>
      </w:pPr>
      <w:bookmarkStart w:id="798" w:name="_bookmark717"/>
      <w:bookmarkEnd w:id="798"/>
      <w:r>
        <w:rPr>
          <w:position w:val="6"/>
          <w:sz w:val="10"/>
        </w:rPr>
        <w:t>35</w:t>
      </w:r>
      <w:r>
        <w:rPr>
          <w:position w:val="6"/>
          <w:sz w:val="10"/>
        </w:rPr>
        <w:tab/>
      </w:r>
      <w:r>
        <w:rPr>
          <w:i/>
          <w:sz w:val="16"/>
        </w:rPr>
        <w:t>Cfr. Caso Spoltore Vs. Argentina, supra</w:t>
      </w:r>
      <w:r>
        <w:rPr>
          <w:sz w:val="16"/>
        </w:rPr>
        <w:t>, párr.</w:t>
      </w:r>
      <w:r>
        <w:rPr>
          <w:spacing w:val="-9"/>
          <w:sz w:val="16"/>
        </w:rPr>
        <w:t xml:space="preserve"> </w:t>
      </w:r>
      <w:r>
        <w:rPr>
          <w:sz w:val="16"/>
        </w:rPr>
        <w:t>84.</w:t>
      </w:r>
    </w:p>
    <w:p w14:paraId="73E6FAD6" w14:textId="77777777" w:rsidR="00467FCA" w:rsidRDefault="001B68EB">
      <w:pPr>
        <w:tabs>
          <w:tab w:val="left" w:pos="1166"/>
        </w:tabs>
        <w:ind w:left="458" w:right="272"/>
        <w:jc w:val="both"/>
        <w:rPr>
          <w:i/>
          <w:sz w:val="16"/>
        </w:rPr>
      </w:pPr>
      <w:bookmarkStart w:id="799" w:name="_bookmark718"/>
      <w:bookmarkEnd w:id="799"/>
      <w:r>
        <w:rPr>
          <w:position w:val="6"/>
          <w:sz w:val="10"/>
        </w:rPr>
        <w:t>36</w:t>
      </w:r>
      <w:r>
        <w:rPr>
          <w:position w:val="6"/>
          <w:sz w:val="10"/>
        </w:rPr>
        <w:tab/>
      </w:r>
      <w:r>
        <w:rPr>
          <w:i/>
          <w:sz w:val="16"/>
        </w:rPr>
        <w:t>Cfr. Caso Lagos del Campo Vs. Perú, supra</w:t>
      </w:r>
      <w:r>
        <w:rPr>
          <w:sz w:val="16"/>
        </w:rPr>
        <w:t xml:space="preserve">; </w:t>
      </w:r>
      <w:r>
        <w:rPr>
          <w:i/>
          <w:sz w:val="16"/>
        </w:rPr>
        <w:t xml:space="preserve">Opinión Consultiva OC-23/17 </w:t>
      </w:r>
      <w:r>
        <w:rPr>
          <w:sz w:val="16"/>
        </w:rPr>
        <w:t xml:space="preserve">de 15 de noviembre de 2017. </w:t>
      </w:r>
      <w:r>
        <w:rPr>
          <w:i/>
          <w:sz w:val="16"/>
        </w:rPr>
        <w:t>Medio ambiente y derechos humanos (obligaciones estatales en relación con el medio ambiente en el marco de la protección</w:t>
      </w:r>
      <w:r>
        <w:rPr>
          <w:i/>
          <w:spacing w:val="4"/>
          <w:sz w:val="16"/>
        </w:rPr>
        <w:t xml:space="preserve"> </w:t>
      </w:r>
      <w:r>
        <w:rPr>
          <w:i/>
          <w:sz w:val="16"/>
        </w:rPr>
        <w:t>y</w:t>
      </w:r>
      <w:r>
        <w:rPr>
          <w:i/>
          <w:spacing w:val="6"/>
          <w:sz w:val="16"/>
        </w:rPr>
        <w:t xml:space="preserve"> </w:t>
      </w:r>
      <w:r>
        <w:rPr>
          <w:i/>
          <w:sz w:val="16"/>
        </w:rPr>
        <w:t>garantía</w:t>
      </w:r>
      <w:r>
        <w:rPr>
          <w:i/>
          <w:spacing w:val="6"/>
          <w:sz w:val="16"/>
        </w:rPr>
        <w:t xml:space="preserve"> </w:t>
      </w:r>
      <w:r>
        <w:rPr>
          <w:i/>
          <w:sz w:val="16"/>
        </w:rPr>
        <w:t>de</w:t>
      </w:r>
      <w:r>
        <w:rPr>
          <w:i/>
          <w:spacing w:val="7"/>
          <w:sz w:val="16"/>
        </w:rPr>
        <w:t xml:space="preserve"> </w:t>
      </w:r>
      <w:r>
        <w:rPr>
          <w:i/>
          <w:sz w:val="16"/>
        </w:rPr>
        <w:t>los</w:t>
      </w:r>
      <w:r>
        <w:rPr>
          <w:i/>
          <w:spacing w:val="5"/>
          <w:sz w:val="16"/>
        </w:rPr>
        <w:t xml:space="preserve"> </w:t>
      </w:r>
      <w:r>
        <w:rPr>
          <w:i/>
          <w:sz w:val="16"/>
        </w:rPr>
        <w:t>derechos</w:t>
      </w:r>
      <w:r>
        <w:rPr>
          <w:i/>
          <w:spacing w:val="7"/>
          <w:sz w:val="16"/>
        </w:rPr>
        <w:t xml:space="preserve"> </w:t>
      </w:r>
      <w:r>
        <w:rPr>
          <w:i/>
          <w:sz w:val="16"/>
        </w:rPr>
        <w:t>a</w:t>
      </w:r>
      <w:r>
        <w:rPr>
          <w:i/>
          <w:spacing w:val="8"/>
          <w:sz w:val="16"/>
        </w:rPr>
        <w:t xml:space="preserve"> </w:t>
      </w:r>
      <w:r>
        <w:rPr>
          <w:i/>
          <w:sz w:val="16"/>
        </w:rPr>
        <w:t>la</w:t>
      </w:r>
      <w:r>
        <w:rPr>
          <w:i/>
          <w:spacing w:val="4"/>
          <w:sz w:val="16"/>
        </w:rPr>
        <w:t xml:space="preserve"> </w:t>
      </w:r>
      <w:r>
        <w:rPr>
          <w:i/>
          <w:sz w:val="16"/>
        </w:rPr>
        <w:t>vida</w:t>
      </w:r>
      <w:r>
        <w:rPr>
          <w:i/>
          <w:spacing w:val="4"/>
          <w:sz w:val="16"/>
        </w:rPr>
        <w:t xml:space="preserve"> </w:t>
      </w:r>
      <w:r>
        <w:rPr>
          <w:i/>
          <w:sz w:val="16"/>
        </w:rPr>
        <w:t>y</w:t>
      </w:r>
      <w:r>
        <w:rPr>
          <w:i/>
          <w:spacing w:val="8"/>
          <w:sz w:val="16"/>
        </w:rPr>
        <w:t xml:space="preserve"> </w:t>
      </w:r>
      <w:r>
        <w:rPr>
          <w:i/>
          <w:sz w:val="16"/>
        </w:rPr>
        <w:t>a</w:t>
      </w:r>
      <w:r>
        <w:rPr>
          <w:i/>
          <w:spacing w:val="6"/>
          <w:sz w:val="16"/>
        </w:rPr>
        <w:t xml:space="preserve"> </w:t>
      </w:r>
      <w:r>
        <w:rPr>
          <w:i/>
          <w:sz w:val="16"/>
        </w:rPr>
        <w:t>la</w:t>
      </w:r>
      <w:r>
        <w:rPr>
          <w:i/>
          <w:spacing w:val="6"/>
          <w:sz w:val="16"/>
        </w:rPr>
        <w:t xml:space="preserve"> </w:t>
      </w:r>
      <w:r>
        <w:rPr>
          <w:i/>
          <w:sz w:val="16"/>
        </w:rPr>
        <w:t>integridad</w:t>
      </w:r>
      <w:r>
        <w:rPr>
          <w:i/>
          <w:spacing w:val="9"/>
          <w:sz w:val="16"/>
        </w:rPr>
        <w:t xml:space="preserve"> </w:t>
      </w:r>
      <w:r>
        <w:rPr>
          <w:i/>
          <w:sz w:val="16"/>
        </w:rPr>
        <w:t>personal</w:t>
      </w:r>
      <w:r>
        <w:rPr>
          <w:i/>
          <w:spacing w:val="6"/>
          <w:sz w:val="16"/>
        </w:rPr>
        <w:t xml:space="preserve"> </w:t>
      </w:r>
      <w:r>
        <w:rPr>
          <w:i/>
          <w:sz w:val="16"/>
        </w:rPr>
        <w:t>-</w:t>
      </w:r>
      <w:r>
        <w:rPr>
          <w:i/>
          <w:spacing w:val="6"/>
          <w:sz w:val="16"/>
        </w:rPr>
        <w:t xml:space="preserve"> </w:t>
      </w:r>
      <w:r>
        <w:rPr>
          <w:i/>
          <w:sz w:val="16"/>
        </w:rPr>
        <w:t>interpretació</w:t>
      </w:r>
      <w:r>
        <w:rPr>
          <w:i/>
          <w:sz w:val="16"/>
        </w:rPr>
        <w:t>n</w:t>
      </w:r>
      <w:r>
        <w:rPr>
          <w:i/>
          <w:spacing w:val="4"/>
          <w:sz w:val="16"/>
        </w:rPr>
        <w:t xml:space="preserve"> </w:t>
      </w:r>
      <w:r>
        <w:rPr>
          <w:i/>
          <w:sz w:val="16"/>
        </w:rPr>
        <w:t>y</w:t>
      </w:r>
      <w:r>
        <w:rPr>
          <w:i/>
          <w:spacing w:val="8"/>
          <w:sz w:val="16"/>
        </w:rPr>
        <w:t xml:space="preserve"> </w:t>
      </w:r>
      <w:r>
        <w:rPr>
          <w:i/>
          <w:sz w:val="16"/>
        </w:rPr>
        <w:t>alcance</w:t>
      </w:r>
      <w:r>
        <w:rPr>
          <w:i/>
          <w:spacing w:val="5"/>
          <w:sz w:val="16"/>
        </w:rPr>
        <w:t xml:space="preserve"> </w:t>
      </w:r>
      <w:r>
        <w:rPr>
          <w:i/>
          <w:sz w:val="16"/>
        </w:rPr>
        <w:t>de</w:t>
      </w:r>
      <w:r>
        <w:rPr>
          <w:i/>
          <w:spacing w:val="8"/>
          <w:sz w:val="16"/>
        </w:rPr>
        <w:t xml:space="preserve"> </w:t>
      </w:r>
      <w:r>
        <w:rPr>
          <w:i/>
          <w:sz w:val="16"/>
        </w:rPr>
        <w:t>los</w:t>
      </w:r>
      <w:r>
        <w:rPr>
          <w:i/>
          <w:spacing w:val="7"/>
          <w:sz w:val="16"/>
        </w:rPr>
        <w:t xml:space="preserve"> </w:t>
      </w:r>
      <w:r>
        <w:rPr>
          <w:i/>
          <w:sz w:val="16"/>
        </w:rPr>
        <w:t>artículos</w:t>
      </w:r>
    </w:p>
    <w:p w14:paraId="7F31E2BE" w14:textId="77777777" w:rsidR="00467FCA" w:rsidRDefault="001B68EB">
      <w:pPr>
        <w:ind w:left="458" w:right="272"/>
        <w:jc w:val="both"/>
        <w:rPr>
          <w:sz w:val="16"/>
        </w:rPr>
      </w:pPr>
      <w:r>
        <w:rPr>
          <w:i/>
          <w:sz w:val="16"/>
        </w:rPr>
        <w:t xml:space="preserve">4.1 y 5.1, en relación con los artículos 1.1 y 2 de la Convención Americana sobre Derechos Humanos). </w:t>
      </w:r>
      <w:r>
        <w:rPr>
          <w:sz w:val="16"/>
        </w:rPr>
        <w:t xml:space="preserve">Serie A No. 23; </w:t>
      </w:r>
      <w:r>
        <w:rPr>
          <w:i/>
          <w:sz w:val="16"/>
        </w:rPr>
        <w:t>Caso Trabajadores Cesados de Petroperú y otros Vs. Perú. Excepciones Preliminares, Fondo, Reparaciones y Costa</w:t>
      </w:r>
      <w:r>
        <w:rPr>
          <w:i/>
          <w:sz w:val="16"/>
        </w:rPr>
        <w:t>s.</w:t>
      </w:r>
      <w:r>
        <w:rPr>
          <w:i/>
          <w:spacing w:val="-11"/>
          <w:sz w:val="16"/>
        </w:rPr>
        <w:t xml:space="preserve"> </w:t>
      </w:r>
      <w:r>
        <w:rPr>
          <w:sz w:val="16"/>
        </w:rPr>
        <w:t>Sentencia</w:t>
      </w:r>
      <w:r>
        <w:rPr>
          <w:spacing w:val="-10"/>
          <w:sz w:val="16"/>
        </w:rPr>
        <w:t xml:space="preserve"> </w:t>
      </w:r>
      <w:r>
        <w:rPr>
          <w:sz w:val="16"/>
        </w:rPr>
        <w:t>de</w:t>
      </w:r>
      <w:r>
        <w:rPr>
          <w:spacing w:val="-9"/>
          <w:sz w:val="16"/>
        </w:rPr>
        <w:t xml:space="preserve"> </w:t>
      </w:r>
      <w:r>
        <w:rPr>
          <w:sz w:val="16"/>
        </w:rPr>
        <w:t>23</w:t>
      </w:r>
      <w:r>
        <w:rPr>
          <w:spacing w:val="-9"/>
          <w:sz w:val="16"/>
        </w:rPr>
        <w:t xml:space="preserve"> </w:t>
      </w:r>
      <w:r>
        <w:rPr>
          <w:sz w:val="16"/>
        </w:rPr>
        <w:t>de</w:t>
      </w:r>
      <w:r>
        <w:rPr>
          <w:spacing w:val="-10"/>
          <w:sz w:val="16"/>
        </w:rPr>
        <w:t xml:space="preserve"> </w:t>
      </w:r>
      <w:r>
        <w:rPr>
          <w:sz w:val="16"/>
        </w:rPr>
        <w:t>noviembre</w:t>
      </w:r>
      <w:r>
        <w:rPr>
          <w:spacing w:val="-9"/>
          <w:sz w:val="16"/>
        </w:rPr>
        <w:t xml:space="preserve"> </w:t>
      </w:r>
      <w:r>
        <w:rPr>
          <w:sz w:val="16"/>
        </w:rPr>
        <w:t>de</w:t>
      </w:r>
      <w:r>
        <w:rPr>
          <w:spacing w:val="-10"/>
          <w:sz w:val="16"/>
        </w:rPr>
        <w:t xml:space="preserve"> </w:t>
      </w:r>
      <w:r>
        <w:rPr>
          <w:sz w:val="16"/>
        </w:rPr>
        <w:t>2017.</w:t>
      </w:r>
      <w:r>
        <w:rPr>
          <w:spacing w:val="-11"/>
          <w:sz w:val="16"/>
        </w:rPr>
        <w:t xml:space="preserve"> </w:t>
      </w:r>
      <w:r>
        <w:rPr>
          <w:sz w:val="16"/>
        </w:rPr>
        <w:t>Serie</w:t>
      </w:r>
      <w:r>
        <w:rPr>
          <w:spacing w:val="-9"/>
          <w:sz w:val="16"/>
        </w:rPr>
        <w:t xml:space="preserve"> </w:t>
      </w:r>
      <w:r>
        <w:rPr>
          <w:sz w:val="16"/>
        </w:rPr>
        <w:t>C</w:t>
      </w:r>
      <w:r>
        <w:rPr>
          <w:spacing w:val="-9"/>
          <w:sz w:val="16"/>
        </w:rPr>
        <w:t xml:space="preserve"> </w:t>
      </w:r>
      <w:r>
        <w:rPr>
          <w:sz w:val="16"/>
        </w:rPr>
        <w:t>No.</w:t>
      </w:r>
      <w:r>
        <w:rPr>
          <w:spacing w:val="-13"/>
          <w:sz w:val="16"/>
        </w:rPr>
        <w:t xml:space="preserve"> </w:t>
      </w:r>
      <w:r>
        <w:rPr>
          <w:sz w:val="16"/>
        </w:rPr>
        <w:t>344;</w:t>
      </w:r>
      <w:r>
        <w:rPr>
          <w:spacing w:val="-10"/>
          <w:sz w:val="16"/>
        </w:rPr>
        <w:t xml:space="preserve"> </w:t>
      </w:r>
      <w:r>
        <w:rPr>
          <w:i/>
          <w:sz w:val="16"/>
        </w:rPr>
        <w:t>Caso</w:t>
      </w:r>
      <w:r>
        <w:rPr>
          <w:i/>
          <w:spacing w:val="-9"/>
          <w:sz w:val="16"/>
        </w:rPr>
        <w:t xml:space="preserve"> </w:t>
      </w:r>
      <w:r>
        <w:rPr>
          <w:i/>
          <w:sz w:val="16"/>
        </w:rPr>
        <w:t>San</w:t>
      </w:r>
      <w:r>
        <w:rPr>
          <w:i/>
          <w:spacing w:val="-13"/>
          <w:sz w:val="16"/>
        </w:rPr>
        <w:t xml:space="preserve"> </w:t>
      </w:r>
      <w:r>
        <w:rPr>
          <w:i/>
          <w:sz w:val="16"/>
        </w:rPr>
        <w:t>Miguel</w:t>
      </w:r>
      <w:r>
        <w:rPr>
          <w:i/>
          <w:spacing w:val="-10"/>
          <w:sz w:val="16"/>
        </w:rPr>
        <w:t xml:space="preserve"> </w:t>
      </w:r>
      <w:r>
        <w:rPr>
          <w:i/>
          <w:sz w:val="16"/>
        </w:rPr>
        <w:t>Sosa</w:t>
      </w:r>
      <w:r>
        <w:rPr>
          <w:i/>
          <w:spacing w:val="-10"/>
          <w:sz w:val="16"/>
        </w:rPr>
        <w:t xml:space="preserve"> </w:t>
      </w:r>
      <w:r>
        <w:rPr>
          <w:i/>
          <w:sz w:val="16"/>
        </w:rPr>
        <w:t>y</w:t>
      </w:r>
      <w:r>
        <w:rPr>
          <w:i/>
          <w:spacing w:val="-11"/>
          <w:sz w:val="16"/>
        </w:rPr>
        <w:t xml:space="preserve"> </w:t>
      </w:r>
      <w:r>
        <w:rPr>
          <w:i/>
          <w:sz w:val="16"/>
        </w:rPr>
        <w:t>otras</w:t>
      </w:r>
      <w:r>
        <w:rPr>
          <w:i/>
          <w:spacing w:val="-9"/>
          <w:sz w:val="16"/>
        </w:rPr>
        <w:t xml:space="preserve"> </w:t>
      </w:r>
      <w:r>
        <w:rPr>
          <w:i/>
          <w:sz w:val="16"/>
        </w:rPr>
        <w:t>Vs.</w:t>
      </w:r>
      <w:r>
        <w:rPr>
          <w:i/>
          <w:spacing w:val="-11"/>
          <w:sz w:val="16"/>
        </w:rPr>
        <w:t xml:space="preserve"> </w:t>
      </w:r>
      <w:r>
        <w:rPr>
          <w:i/>
          <w:sz w:val="16"/>
        </w:rPr>
        <w:t>Venezuela.</w:t>
      </w:r>
      <w:r>
        <w:rPr>
          <w:i/>
          <w:spacing w:val="-11"/>
          <w:sz w:val="16"/>
        </w:rPr>
        <w:t xml:space="preserve"> </w:t>
      </w:r>
      <w:r>
        <w:rPr>
          <w:i/>
          <w:sz w:val="16"/>
        </w:rPr>
        <w:t>Fondo, Reparaciones y Costas</w:t>
      </w:r>
      <w:r>
        <w:rPr>
          <w:sz w:val="16"/>
        </w:rPr>
        <w:t xml:space="preserve">. Sentencia de 8 de febrero de 2018. Serie C No. 348; </w:t>
      </w:r>
      <w:r>
        <w:rPr>
          <w:i/>
          <w:sz w:val="16"/>
        </w:rPr>
        <w:t xml:space="preserve">Caso Poblete Vilches y otros Vs. Chile. Fondo, Reparaciones y Costas. </w:t>
      </w:r>
      <w:r>
        <w:rPr>
          <w:sz w:val="16"/>
        </w:rPr>
        <w:t xml:space="preserve">Sentencia de 8 de marzo de 2018. Serie C No. 349; </w:t>
      </w:r>
      <w:r>
        <w:rPr>
          <w:i/>
          <w:sz w:val="16"/>
        </w:rPr>
        <w:t xml:space="preserve">Caso Cuscul Pivaral y otros Vs. Guatemala. Excepción Preliminar, Fondo, Reparaciones y Costas. </w:t>
      </w:r>
      <w:r>
        <w:rPr>
          <w:sz w:val="16"/>
        </w:rPr>
        <w:t xml:space="preserve">Sentencia de 23 de agosto de 2018. Serie </w:t>
      </w:r>
      <w:r>
        <w:rPr>
          <w:sz w:val="16"/>
        </w:rPr>
        <w:t>C No. 359;</w:t>
      </w:r>
      <w:r>
        <w:rPr>
          <w:spacing w:val="-6"/>
          <w:sz w:val="16"/>
        </w:rPr>
        <w:t xml:space="preserve"> </w:t>
      </w:r>
      <w:r>
        <w:rPr>
          <w:i/>
          <w:sz w:val="16"/>
        </w:rPr>
        <w:t>Caso</w:t>
      </w:r>
      <w:r>
        <w:rPr>
          <w:i/>
          <w:spacing w:val="-7"/>
          <w:sz w:val="16"/>
        </w:rPr>
        <w:t xml:space="preserve"> </w:t>
      </w:r>
      <w:r>
        <w:rPr>
          <w:i/>
          <w:sz w:val="16"/>
        </w:rPr>
        <w:t>Muelle</w:t>
      </w:r>
      <w:r>
        <w:rPr>
          <w:i/>
          <w:spacing w:val="-5"/>
          <w:sz w:val="16"/>
        </w:rPr>
        <w:t xml:space="preserve"> </w:t>
      </w:r>
      <w:r>
        <w:rPr>
          <w:i/>
          <w:sz w:val="16"/>
        </w:rPr>
        <w:t>Flores</w:t>
      </w:r>
      <w:r>
        <w:rPr>
          <w:i/>
          <w:spacing w:val="-4"/>
          <w:sz w:val="16"/>
        </w:rPr>
        <w:t xml:space="preserve"> </w:t>
      </w:r>
      <w:r>
        <w:rPr>
          <w:i/>
          <w:sz w:val="16"/>
        </w:rPr>
        <w:t>Vs.</w:t>
      </w:r>
      <w:r>
        <w:rPr>
          <w:i/>
          <w:spacing w:val="-3"/>
          <w:sz w:val="16"/>
        </w:rPr>
        <w:t xml:space="preserve"> </w:t>
      </w:r>
      <w:r>
        <w:rPr>
          <w:i/>
          <w:sz w:val="16"/>
        </w:rPr>
        <w:t>Perú.</w:t>
      </w:r>
      <w:r>
        <w:rPr>
          <w:i/>
          <w:spacing w:val="-3"/>
          <w:sz w:val="16"/>
        </w:rPr>
        <w:t xml:space="preserve"> </w:t>
      </w:r>
      <w:r>
        <w:rPr>
          <w:i/>
          <w:sz w:val="16"/>
        </w:rPr>
        <w:t>Excepciones</w:t>
      </w:r>
      <w:r>
        <w:rPr>
          <w:i/>
          <w:spacing w:val="-5"/>
          <w:sz w:val="16"/>
        </w:rPr>
        <w:t xml:space="preserve"> </w:t>
      </w:r>
      <w:r>
        <w:rPr>
          <w:i/>
          <w:sz w:val="16"/>
        </w:rPr>
        <w:t>Preliminares,</w:t>
      </w:r>
      <w:r>
        <w:rPr>
          <w:i/>
          <w:spacing w:val="-2"/>
          <w:sz w:val="16"/>
        </w:rPr>
        <w:t xml:space="preserve"> </w:t>
      </w:r>
      <w:r>
        <w:rPr>
          <w:i/>
          <w:sz w:val="16"/>
        </w:rPr>
        <w:t>Fondo,</w:t>
      </w:r>
      <w:r>
        <w:rPr>
          <w:i/>
          <w:spacing w:val="-6"/>
          <w:sz w:val="16"/>
        </w:rPr>
        <w:t xml:space="preserve"> </w:t>
      </w:r>
      <w:r>
        <w:rPr>
          <w:i/>
          <w:sz w:val="16"/>
        </w:rPr>
        <w:t>Reparaciones</w:t>
      </w:r>
      <w:r>
        <w:rPr>
          <w:i/>
          <w:spacing w:val="-7"/>
          <w:sz w:val="16"/>
        </w:rPr>
        <w:t xml:space="preserve"> </w:t>
      </w:r>
      <w:r>
        <w:rPr>
          <w:i/>
          <w:sz w:val="16"/>
        </w:rPr>
        <w:t>y</w:t>
      </w:r>
      <w:r>
        <w:rPr>
          <w:i/>
          <w:spacing w:val="-4"/>
          <w:sz w:val="16"/>
        </w:rPr>
        <w:t xml:space="preserve"> </w:t>
      </w:r>
      <w:r>
        <w:rPr>
          <w:i/>
          <w:sz w:val="16"/>
        </w:rPr>
        <w:t>Costas.</w:t>
      </w:r>
      <w:r>
        <w:rPr>
          <w:i/>
          <w:spacing w:val="-2"/>
          <w:sz w:val="16"/>
        </w:rPr>
        <w:t xml:space="preserve"> </w:t>
      </w:r>
      <w:r>
        <w:rPr>
          <w:sz w:val="16"/>
        </w:rPr>
        <w:t>Sentencia</w:t>
      </w:r>
      <w:r>
        <w:rPr>
          <w:spacing w:val="-6"/>
          <w:sz w:val="16"/>
        </w:rPr>
        <w:t xml:space="preserve"> </w:t>
      </w:r>
      <w:r>
        <w:rPr>
          <w:sz w:val="16"/>
        </w:rPr>
        <w:t>de</w:t>
      </w:r>
      <w:r>
        <w:rPr>
          <w:spacing w:val="-7"/>
          <w:sz w:val="16"/>
        </w:rPr>
        <w:t xml:space="preserve"> </w:t>
      </w:r>
      <w:r>
        <w:rPr>
          <w:sz w:val="16"/>
        </w:rPr>
        <w:t>6</w:t>
      </w:r>
      <w:r>
        <w:rPr>
          <w:spacing w:val="-3"/>
          <w:sz w:val="16"/>
        </w:rPr>
        <w:t xml:space="preserve"> </w:t>
      </w:r>
      <w:r>
        <w:rPr>
          <w:sz w:val="16"/>
        </w:rPr>
        <w:t>de</w:t>
      </w:r>
      <w:r>
        <w:rPr>
          <w:spacing w:val="-5"/>
          <w:sz w:val="16"/>
        </w:rPr>
        <w:t xml:space="preserve"> </w:t>
      </w:r>
      <w:r>
        <w:rPr>
          <w:sz w:val="16"/>
        </w:rPr>
        <w:t xml:space="preserve">marzo de 2019. Serie C No. 375; </w:t>
      </w:r>
      <w:r>
        <w:rPr>
          <w:i/>
          <w:sz w:val="16"/>
        </w:rPr>
        <w:t>Caso de la Asociación Nacional de Cesantes y Jubilados de la Superintendencia Nacional de Administración Tribu</w:t>
      </w:r>
      <w:r>
        <w:rPr>
          <w:i/>
          <w:sz w:val="16"/>
        </w:rPr>
        <w:t>taria (ANCEJUB-SUNAT) Vs. Perú</w:t>
      </w:r>
      <w:r>
        <w:rPr>
          <w:sz w:val="16"/>
        </w:rPr>
        <w:t xml:space="preserve">. </w:t>
      </w:r>
      <w:r>
        <w:rPr>
          <w:i/>
          <w:sz w:val="16"/>
        </w:rPr>
        <w:t>Excepciones Preliminares, Fondo, Reparaciones y Costas</w:t>
      </w:r>
      <w:r>
        <w:rPr>
          <w:sz w:val="16"/>
        </w:rPr>
        <w:t>. Sentencia</w:t>
      </w:r>
      <w:r>
        <w:rPr>
          <w:spacing w:val="-14"/>
          <w:sz w:val="16"/>
        </w:rPr>
        <w:t xml:space="preserve"> </w:t>
      </w:r>
      <w:r>
        <w:rPr>
          <w:sz w:val="16"/>
        </w:rPr>
        <w:t>de</w:t>
      </w:r>
      <w:r>
        <w:rPr>
          <w:spacing w:val="-12"/>
          <w:sz w:val="16"/>
        </w:rPr>
        <w:t xml:space="preserve"> </w:t>
      </w:r>
      <w:r>
        <w:rPr>
          <w:sz w:val="16"/>
        </w:rPr>
        <w:t>21</w:t>
      </w:r>
      <w:r>
        <w:rPr>
          <w:spacing w:val="-12"/>
          <w:sz w:val="16"/>
        </w:rPr>
        <w:t xml:space="preserve"> </w:t>
      </w:r>
      <w:r>
        <w:rPr>
          <w:sz w:val="16"/>
        </w:rPr>
        <w:t>de</w:t>
      </w:r>
      <w:r>
        <w:rPr>
          <w:spacing w:val="-9"/>
          <w:sz w:val="16"/>
        </w:rPr>
        <w:t xml:space="preserve"> </w:t>
      </w:r>
      <w:r>
        <w:rPr>
          <w:sz w:val="16"/>
        </w:rPr>
        <w:t>noviembre</w:t>
      </w:r>
      <w:r>
        <w:rPr>
          <w:spacing w:val="-13"/>
          <w:sz w:val="16"/>
        </w:rPr>
        <w:t xml:space="preserve"> </w:t>
      </w:r>
      <w:r>
        <w:rPr>
          <w:sz w:val="16"/>
        </w:rPr>
        <w:t>de</w:t>
      </w:r>
      <w:r>
        <w:rPr>
          <w:spacing w:val="-12"/>
          <w:sz w:val="16"/>
        </w:rPr>
        <w:t xml:space="preserve"> </w:t>
      </w:r>
      <w:r>
        <w:rPr>
          <w:sz w:val="16"/>
        </w:rPr>
        <w:t>2019.</w:t>
      </w:r>
      <w:r>
        <w:rPr>
          <w:spacing w:val="-14"/>
          <w:sz w:val="16"/>
        </w:rPr>
        <w:t xml:space="preserve"> </w:t>
      </w:r>
      <w:r>
        <w:rPr>
          <w:sz w:val="16"/>
        </w:rPr>
        <w:t>Serie</w:t>
      </w:r>
      <w:r>
        <w:rPr>
          <w:spacing w:val="-12"/>
          <w:sz w:val="16"/>
        </w:rPr>
        <w:t xml:space="preserve"> </w:t>
      </w:r>
      <w:r>
        <w:rPr>
          <w:sz w:val="16"/>
        </w:rPr>
        <w:t>C</w:t>
      </w:r>
      <w:r>
        <w:rPr>
          <w:spacing w:val="-13"/>
          <w:sz w:val="16"/>
        </w:rPr>
        <w:t xml:space="preserve"> </w:t>
      </w:r>
      <w:r>
        <w:rPr>
          <w:sz w:val="16"/>
        </w:rPr>
        <w:t>No.</w:t>
      </w:r>
      <w:r>
        <w:rPr>
          <w:spacing w:val="-13"/>
          <w:sz w:val="16"/>
        </w:rPr>
        <w:t xml:space="preserve"> </w:t>
      </w:r>
      <w:r>
        <w:rPr>
          <w:sz w:val="16"/>
        </w:rPr>
        <w:t>394;</w:t>
      </w:r>
      <w:r>
        <w:rPr>
          <w:spacing w:val="-13"/>
          <w:sz w:val="16"/>
        </w:rPr>
        <w:t xml:space="preserve"> </w:t>
      </w:r>
      <w:r>
        <w:rPr>
          <w:i/>
          <w:sz w:val="16"/>
        </w:rPr>
        <w:t>Caso</w:t>
      </w:r>
      <w:r>
        <w:rPr>
          <w:i/>
          <w:spacing w:val="-10"/>
          <w:sz w:val="16"/>
        </w:rPr>
        <w:t xml:space="preserve"> </w:t>
      </w:r>
      <w:r>
        <w:rPr>
          <w:i/>
          <w:sz w:val="16"/>
        </w:rPr>
        <w:t>Hernández</w:t>
      </w:r>
      <w:r>
        <w:rPr>
          <w:i/>
          <w:spacing w:val="-15"/>
          <w:sz w:val="16"/>
        </w:rPr>
        <w:t xml:space="preserve"> </w:t>
      </w:r>
      <w:r>
        <w:rPr>
          <w:i/>
          <w:sz w:val="16"/>
        </w:rPr>
        <w:t>Vs.</w:t>
      </w:r>
      <w:r>
        <w:rPr>
          <w:i/>
          <w:spacing w:val="-14"/>
          <w:sz w:val="16"/>
        </w:rPr>
        <w:t xml:space="preserve"> </w:t>
      </w:r>
      <w:r>
        <w:rPr>
          <w:i/>
          <w:sz w:val="16"/>
        </w:rPr>
        <w:t>Argentina.</w:t>
      </w:r>
      <w:r>
        <w:rPr>
          <w:i/>
          <w:spacing w:val="-11"/>
          <w:sz w:val="16"/>
        </w:rPr>
        <w:t xml:space="preserve"> </w:t>
      </w:r>
      <w:r>
        <w:rPr>
          <w:i/>
          <w:sz w:val="16"/>
        </w:rPr>
        <w:t>Excepción</w:t>
      </w:r>
      <w:r>
        <w:rPr>
          <w:i/>
          <w:spacing w:val="-12"/>
          <w:sz w:val="16"/>
        </w:rPr>
        <w:t xml:space="preserve"> </w:t>
      </w:r>
      <w:r>
        <w:rPr>
          <w:i/>
          <w:sz w:val="16"/>
        </w:rPr>
        <w:t>Preliminar,</w:t>
      </w:r>
      <w:r>
        <w:rPr>
          <w:i/>
          <w:spacing w:val="-13"/>
          <w:sz w:val="16"/>
        </w:rPr>
        <w:t xml:space="preserve"> </w:t>
      </w:r>
      <w:r>
        <w:rPr>
          <w:i/>
          <w:sz w:val="16"/>
        </w:rPr>
        <w:t xml:space="preserve">Fondo, Reparaciones y Costas. </w:t>
      </w:r>
      <w:r>
        <w:rPr>
          <w:sz w:val="16"/>
        </w:rPr>
        <w:t xml:space="preserve">Sentencia de 22 de noviembre de 2019. Serie C No. 395, y </w:t>
      </w:r>
      <w:r>
        <w:rPr>
          <w:i/>
          <w:sz w:val="16"/>
        </w:rPr>
        <w:t>Caso Comunidades Indígenas Miembros de la Asociación Lhaka Honhat (Nuestra Tierra) Vs. Argentina,</w:t>
      </w:r>
      <w:r>
        <w:rPr>
          <w:i/>
          <w:spacing w:val="-7"/>
          <w:sz w:val="16"/>
        </w:rPr>
        <w:t xml:space="preserve"> </w:t>
      </w:r>
      <w:r>
        <w:rPr>
          <w:i/>
          <w:sz w:val="16"/>
        </w:rPr>
        <w:t>supra</w:t>
      </w:r>
      <w:r>
        <w:rPr>
          <w:sz w:val="16"/>
        </w:rPr>
        <w:t>.</w:t>
      </w:r>
    </w:p>
    <w:p w14:paraId="37D48EBB" w14:textId="77777777" w:rsidR="00467FCA" w:rsidRDefault="001B68EB">
      <w:pPr>
        <w:tabs>
          <w:tab w:val="left" w:pos="1166"/>
        </w:tabs>
        <w:spacing w:line="194" w:lineRule="exact"/>
        <w:ind w:left="458"/>
        <w:jc w:val="both"/>
        <w:rPr>
          <w:sz w:val="16"/>
        </w:rPr>
      </w:pPr>
      <w:bookmarkStart w:id="800" w:name="_bookmark719"/>
      <w:bookmarkEnd w:id="800"/>
      <w:r>
        <w:rPr>
          <w:position w:val="6"/>
          <w:sz w:val="10"/>
        </w:rPr>
        <w:t>37</w:t>
      </w:r>
      <w:r>
        <w:rPr>
          <w:position w:val="6"/>
          <w:sz w:val="10"/>
        </w:rPr>
        <w:tab/>
      </w:r>
      <w:r>
        <w:rPr>
          <w:i/>
          <w:sz w:val="16"/>
        </w:rPr>
        <w:t xml:space="preserve">Cfr. Caso Spoltore Vs. Argentina, supra, </w:t>
      </w:r>
      <w:r>
        <w:rPr>
          <w:sz w:val="16"/>
        </w:rPr>
        <w:t>párrs. 84 a</w:t>
      </w:r>
      <w:r>
        <w:rPr>
          <w:spacing w:val="-9"/>
          <w:sz w:val="16"/>
        </w:rPr>
        <w:t xml:space="preserve"> </w:t>
      </w:r>
      <w:r>
        <w:rPr>
          <w:sz w:val="16"/>
        </w:rPr>
        <w:t>87.</w:t>
      </w:r>
    </w:p>
    <w:p w14:paraId="70747193" w14:textId="77777777" w:rsidR="00467FCA" w:rsidRDefault="00467FCA">
      <w:pPr>
        <w:spacing w:line="194" w:lineRule="exact"/>
        <w:jc w:val="both"/>
        <w:rPr>
          <w:sz w:val="16"/>
        </w:rPr>
        <w:sectPr w:rsidR="00467FCA">
          <w:pgSz w:w="12240" w:h="15840"/>
          <w:pgMar w:top="1340" w:right="1140" w:bottom="920" w:left="960" w:header="0" w:footer="734" w:gutter="0"/>
          <w:cols w:space="720"/>
        </w:sectPr>
      </w:pPr>
    </w:p>
    <w:p w14:paraId="3E3605D8" w14:textId="77777777" w:rsidR="00467FCA" w:rsidRDefault="001B68EB">
      <w:pPr>
        <w:spacing w:before="78"/>
        <w:ind w:left="1159" w:right="845"/>
        <w:rPr>
          <w:sz w:val="16"/>
        </w:rPr>
      </w:pPr>
      <w:r>
        <w:rPr>
          <w:sz w:val="16"/>
        </w:rPr>
        <w:t>en el trabajo; y la obligación de fiscalizar estas condiciones, también cargo de las autoridades laborales</w:t>
      </w:r>
      <w:hyperlink w:anchor="_bookmark720" w:history="1">
        <w:r>
          <w:rPr>
            <w:position w:val="6"/>
            <w:sz w:val="10"/>
          </w:rPr>
          <w:t>38</w:t>
        </w:r>
      </w:hyperlink>
      <w:r>
        <w:rPr>
          <w:sz w:val="16"/>
        </w:rPr>
        <w:t>.</w:t>
      </w:r>
    </w:p>
    <w:p w14:paraId="398B099C" w14:textId="77777777" w:rsidR="00467FCA" w:rsidRDefault="00467FCA">
      <w:pPr>
        <w:pStyle w:val="Textoindependiente"/>
        <w:rPr>
          <w:sz w:val="16"/>
        </w:rPr>
      </w:pPr>
    </w:p>
    <w:p w14:paraId="25FC6CDB" w14:textId="77777777" w:rsidR="00467FCA" w:rsidRDefault="001B68EB">
      <w:pPr>
        <w:pStyle w:val="Prrafodelista"/>
        <w:numPr>
          <w:ilvl w:val="0"/>
          <w:numId w:val="7"/>
        </w:numPr>
        <w:tabs>
          <w:tab w:val="left" w:pos="1167"/>
        </w:tabs>
        <w:ind w:right="275" w:firstLine="0"/>
        <w:jc w:val="both"/>
        <w:rPr>
          <w:sz w:val="20"/>
        </w:rPr>
      </w:pPr>
      <w:r>
        <w:rPr>
          <w:sz w:val="20"/>
        </w:rPr>
        <w:t xml:space="preserve">De esta conceptualización que aporta la Corte IDH en su sentencia, podemos extraer </w:t>
      </w:r>
      <w:r>
        <w:rPr>
          <w:i/>
          <w:sz w:val="20"/>
        </w:rPr>
        <w:t xml:space="preserve">cuatro elementos </w:t>
      </w:r>
      <w:r>
        <w:rPr>
          <w:sz w:val="20"/>
        </w:rPr>
        <w:t>que merecen s</w:t>
      </w:r>
      <w:r>
        <w:rPr>
          <w:sz w:val="20"/>
        </w:rPr>
        <w:t>er destacados. En primer lugar —como ya ha sido ampliamente expuesto en el apartado I de este voto— se deben adoptar medidas para prevenir.</w:t>
      </w:r>
      <w:r>
        <w:rPr>
          <w:spacing w:val="-7"/>
          <w:sz w:val="20"/>
        </w:rPr>
        <w:t xml:space="preserve"> </w:t>
      </w:r>
      <w:r>
        <w:rPr>
          <w:sz w:val="20"/>
        </w:rPr>
        <w:t>En</w:t>
      </w:r>
      <w:r>
        <w:rPr>
          <w:spacing w:val="-2"/>
          <w:sz w:val="20"/>
        </w:rPr>
        <w:t xml:space="preserve"> </w:t>
      </w:r>
      <w:r>
        <w:rPr>
          <w:sz w:val="20"/>
        </w:rPr>
        <w:t>segundo</w:t>
      </w:r>
      <w:r>
        <w:rPr>
          <w:spacing w:val="-8"/>
          <w:sz w:val="20"/>
        </w:rPr>
        <w:t xml:space="preserve"> </w:t>
      </w:r>
      <w:r>
        <w:rPr>
          <w:sz w:val="20"/>
        </w:rPr>
        <w:t>lugar,</w:t>
      </w:r>
      <w:r>
        <w:rPr>
          <w:spacing w:val="-4"/>
          <w:sz w:val="20"/>
        </w:rPr>
        <w:t xml:space="preserve"> </w:t>
      </w:r>
      <w:r>
        <w:rPr>
          <w:sz w:val="20"/>
        </w:rPr>
        <w:t>la</w:t>
      </w:r>
      <w:r>
        <w:rPr>
          <w:spacing w:val="-5"/>
          <w:sz w:val="20"/>
        </w:rPr>
        <w:t xml:space="preserve"> </w:t>
      </w:r>
      <w:r>
        <w:rPr>
          <w:sz w:val="20"/>
        </w:rPr>
        <w:t>prevención</w:t>
      </w:r>
      <w:r>
        <w:rPr>
          <w:spacing w:val="-5"/>
          <w:sz w:val="20"/>
        </w:rPr>
        <w:t xml:space="preserve"> </w:t>
      </w:r>
      <w:r>
        <w:rPr>
          <w:sz w:val="20"/>
        </w:rPr>
        <w:t>puede</w:t>
      </w:r>
      <w:r>
        <w:rPr>
          <w:spacing w:val="-4"/>
          <w:sz w:val="20"/>
        </w:rPr>
        <w:t xml:space="preserve"> </w:t>
      </w:r>
      <w:r>
        <w:rPr>
          <w:sz w:val="20"/>
        </w:rPr>
        <w:t>encontrar</w:t>
      </w:r>
      <w:r>
        <w:rPr>
          <w:spacing w:val="-5"/>
          <w:sz w:val="20"/>
        </w:rPr>
        <w:t xml:space="preserve"> </w:t>
      </w:r>
      <w:r>
        <w:rPr>
          <w:sz w:val="20"/>
        </w:rPr>
        <w:t>su</w:t>
      </w:r>
      <w:r>
        <w:rPr>
          <w:spacing w:val="-4"/>
          <w:sz w:val="20"/>
        </w:rPr>
        <w:t xml:space="preserve"> </w:t>
      </w:r>
      <w:r>
        <w:rPr>
          <w:sz w:val="20"/>
        </w:rPr>
        <w:t>materialización</w:t>
      </w:r>
      <w:r>
        <w:rPr>
          <w:spacing w:val="-5"/>
          <w:sz w:val="20"/>
        </w:rPr>
        <w:t xml:space="preserve"> </w:t>
      </w:r>
      <w:r>
        <w:rPr>
          <w:sz w:val="20"/>
        </w:rPr>
        <w:t>(en</w:t>
      </w:r>
      <w:r>
        <w:rPr>
          <w:spacing w:val="-3"/>
          <w:sz w:val="20"/>
        </w:rPr>
        <w:t xml:space="preserve"> </w:t>
      </w:r>
      <w:r>
        <w:rPr>
          <w:sz w:val="20"/>
        </w:rPr>
        <w:t>especial</w:t>
      </w:r>
      <w:r>
        <w:rPr>
          <w:spacing w:val="-3"/>
          <w:sz w:val="20"/>
        </w:rPr>
        <w:t xml:space="preserve"> </w:t>
      </w:r>
      <w:r>
        <w:rPr>
          <w:sz w:val="20"/>
        </w:rPr>
        <w:t>en el</w:t>
      </w:r>
      <w:r>
        <w:rPr>
          <w:spacing w:val="-18"/>
          <w:sz w:val="20"/>
        </w:rPr>
        <w:t xml:space="preserve"> </w:t>
      </w:r>
      <w:r>
        <w:rPr>
          <w:sz w:val="20"/>
        </w:rPr>
        <w:t>actuar</w:t>
      </w:r>
      <w:r>
        <w:rPr>
          <w:spacing w:val="-19"/>
          <w:sz w:val="20"/>
        </w:rPr>
        <w:t xml:space="preserve"> </w:t>
      </w:r>
      <w:r>
        <w:rPr>
          <w:sz w:val="20"/>
        </w:rPr>
        <w:t>de</w:t>
      </w:r>
      <w:r>
        <w:rPr>
          <w:spacing w:val="-19"/>
          <w:sz w:val="20"/>
        </w:rPr>
        <w:t xml:space="preserve"> </w:t>
      </w:r>
      <w:r>
        <w:rPr>
          <w:sz w:val="20"/>
        </w:rPr>
        <w:t>particulares)</w:t>
      </w:r>
      <w:r>
        <w:rPr>
          <w:spacing w:val="-17"/>
          <w:sz w:val="20"/>
        </w:rPr>
        <w:t xml:space="preserve"> </w:t>
      </w:r>
      <w:r>
        <w:rPr>
          <w:sz w:val="20"/>
        </w:rPr>
        <w:t>en</w:t>
      </w:r>
      <w:r>
        <w:rPr>
          <w:spacing w:val="-17"/>
          <w:sz w:val="20"/>
        </w:rPr>
        <w:t xml:space="preserve"> </w:t>
      </w:r>
      <w:r>
        <w:rPr>
          <w:sz w:val="20"/>
        </w:rPr>
        <w:t>la</w:t>
      </w:r>
      <w:r>
        <w:rPr>
          <w:spacing w:val="-15"/>
          <w:sz w:val="20"/>
        </w:rPr>
        <w:t xml:space="preserve"> </w:t>
      </w:r>
      <w:r>
        <w:rPr>
          <w:sz w:val="20"/>
        </w:rPr>
        <w:t>fiscalización.</w:t>
      </w:r>
      <w:r>
        <w:rPr>
          <w:spacing w:val="-18"/>
          <w:sz w:val="20"/>
        </w:rPr>
        <w:t xml:space="preserve"> </w:t>
      </w:r>
      <w:r>
        <w:rPr>
          <w:sz w:val="20"/>
        </w:rPr>
        <w:t>En</w:t>
      </w:r>
      <w:r>
        <w:rPr>
          <w:spacing w:val="-17"/>
          <w:sz w:val="20"/>
        </w:rPr>
        <w:t xml:space="preserve"> </w:t>
      </w:r>
      <w:r>
        <w:rPr>
          <w:sz w:val="20"/>
        </w:rPr>
        <w:t>tercer</w:t>
      </w:r>
      <w:r>
        <w:rPr>
          <w:spacing w:val="-19"/>
          <w:sz w:val="20"/>
        </w:rPr>
        <w:t xml:space="preserve"> </w:t>
      </w:r>
      <w:r>
        <w:rPr>
          <w:sz w:val="20"/>
        </w:rPr>
        <w:t>lugar,</w:t>
      </w:r>
      <w:r>
        <w:rPr>
          <w:spacing w:val="-18"/>
          <w:sz w:val="20"/>
        </w:rPr>
        <w:t xml:space="preserve"> </w:t>
      </w:r>
      <w:r>
        <w:rPr>
          <w:sz w:val="20"/>
        </w:rPr>
        <w:t>la</w:t>
      </w:r>
      <w:r>
        <w:rPr>
          <w:spacing w:val="-17"/>
          <w:sz w:val="20"/>
        </w:rPr>
        <w:t xml:space="preserve"> </w:t>
      </w:r>
      <w:r>
        <w:rPr>
          <w:sz w:val="20"/>
        </w:rPr>
        <w:t>prevención</w:t>
      </w:r>
      <w:r>
        <w:rPr>
          <w:spacing w:val="-16"/>
          <w:sz w:val="20"/>
        </w:rPr>
        <w:t xml:space="preserve"> </w:t>
      </w:r>
      <w:r>
        <w:rPr>
          <w:sz w:val="20"/>
        </w:rPr>
        <w:t>debe</w:t>
      </w:r>
      <w:r>
        <w:rPr>
          <w:spacing w:val="-16"/>
          <w:sz w:val="20"/>
        </w:rPr>
        <w:t xml:space="preserve"> </w:t>
      </w:r>
      <w:r>
        <w:rPr>
          <w:sz w:val="20"/>
        </w:rPr>
        <w:t>estar</w:t>
      </w:r>
      <w:r>
        <w:rPr>
          <w:spacing w:val="-16"/>
          <w:sz w:val="20"/>
        </w:rPr>
        <w:t xml:space="preserve"> </w:t>
      </w:r>
      <w:r>
        <w:rPr>
          <w:sz w:val="20"/>
        </w:rPr>
        <w:t>enfocada a “reducción de riesgos inherentes al trabajo y de accidentes laborales”. En cuarto lugar, los riesgos</w:t>
      </w:r>
      <w:r>
        <w:rPr>
          <w:spacing w:val="-18"/>
          <w:sz w:val="20"/>
        </w:rPr>
        <w:t xml:space="preserve"> </w:t>
      </w:r>
      <w:r>
        <w:rPr>
          <w:sz w:val="20"/>
        </w:rPr>
        <w:t>que</w:t>
      </w:r>
      <w:r>
        <w:rPr>
          <w:spacing w:val="-16"/>
          <w:sz w:val="20"/>
        </w:rPr>
        <w:t xml:space="preserve"> </w:t>
      </w:r>
      <w:r>
        <w:rPr>
          <w:sz w:val="20"/>
        </w:rPr>
        <w:t>especialmente</w:t>
      </w:r>
      <w:r>
        <w:rPr>
          <w:spacing w:val="-18"/>
          <w:sz w:val="20"/>
        </w:rPr>
        <w:t xml:space="preserve"> </w:t>
      </w:r>
      <w:r>
        <w:rPr>
          <w:sz w:val="20"/>
        </w:rPr>
        <w:t>se</w:t>
      </w:r>
      <w:r>
        <w:rPr>
          <w:spacing w:val="-17"/>
          <w:sz w:val="20"/>
        </w:rPr>
        <w:t xml:space="preserve"> </w:t>
      </w:r>
      <w:r>
        <w:rPr>
          <w:sz w:val="20"/>
        </w:rPr>
        <w:t>deben</w:t>
      </w:r>
      <w:r>
        <w:rPr>
          <w:spacing w:val="-16"/>
          <w:sz w:val="20"/>
        </w:rPr>
        <w:t xml:space="preserve"> </w:t>
      </w:r>
      <w:r>
        <w:rPr>
          <w:sz w:val="20"/>
        </w:rPr>
        <w:t>reducir</w:t>
      </w:r>
      <w:r>
        <w:rPr>
          <w:spacing w:val="-18"/>
          <w:sz w:val="20"/>
        </w:rPr>
        <w:t xml:space="preserve"> </w:t>
      </w:r>
      <w:r>
        <w:rPr>
          <w:sz w:val="20"/>
        </w:rPr>
        <w:t>son</w:t>
      </w:r>
      <w:r>
        <w:rPr>
          <w:spacing w:val="-16"/>
          <w:sz w:val="20"/>
        </w:rPr>
        <w:t xml:space="preserve"> </w:t>
      </w:r>
      <w:r>
        <w:rPr>
          <w:sz w:val="20"/>
        </w:rPr>
        <w:t>aquellos</w:t>
      </w:r>
      <w:r>
        <w:rPr>
          <w:spacing w:val="-17"/>
          <w:sz w:val="20"/>
        </w:rPr>
        <w:t xml:space="preserve"> </w:t>
      </w:r>
      <w:r>
        <w:rPr>
          <w:sz w:val="20"/>
        </w:rPr>
        <w:t>que</w:t>
      </w:r>
      <w:r>
        <w:rPr>
          <w:spacing w:val="-18"/>
          <w:sz w:val="20"/>
        </w:rPr>
        <w:t xml:space="preserve"> </w:t>
      </w:r>
      <w:r>
        <w:rPr>
          <w:sz w:val="20"/>
        </w:rPr>
        <w:t>impliquen</w:t>
      </w:r>
      <w:r>
        <w:rPr>
          <w:spacing w:val="-18"/>
          <w:sz w:val="20"/>
        </w:rPr>
        <w:t xml:space="preserve"> </w:t>
      </w:r>
      <w:r>
        <w:rPr>
          <w:sz w:val="20"/>
        </w:rPr>
        <w:t>“ries</w:t>
      </w:r>
      <w:r>
        <w:rPr>
          <w:sz w:val="20"/>
        </w:rPr>
        <w:t>gos</w:t>
      </w:r>
      <w:r>
        <w:rPr>
          <w:spacing w:val="-15"/>
          <w:sz w:val="20"/>
        </w:rPr>
        <w:t xml:space="preserve"> </w:t>
      </w:r>
      <w:r>
        <w:rPr>
          <w:sz w:val="20"/>
        </w:rPr>
        <w:t>significativos” para la vida e integridad de las</w:t>
      </w:r>
      <w:r>
        <w:rPr>
          <w:spacing w:val="-3"/>
          <w:sz w:val="20"/>
        </w:rPr>
        <w:t xml:space="preserve"> </w:t>
      </w:r>
      <w:r>
        <w:rPr>
          <w:sz w:val="20"/>
        </w:rPr>
        <w:t>personas</w:t>
      </w:r>
      <w:hyperlink w:anchor="_bookmark721" w:history="1">
        <w:r>
          <w:rPr>
            <w:position w:val="7"/>
            <w:sz w:val="13"/>
          </w:rPr>
          <w:t>39</w:t>
        </w:r>
      </w:hyperlink>
      <w:r>
        <w:rPr>
          <w:sz w:val="20"/>
        </w:rPr>
        <w:t>.</w:t>
      </w:r>
    </w:p>
    <w:p w14:paraId="5FE8D676" w14:textId="77777777" w:rsidR="00467FCA" w:rsidRDefault="00467FCA">
      <w:pPr>
        <w:pStyle w:val="Textoindependiente"/>
        <w:spacing w:before="11"/>
        <w:rPr>
          <w:sz w:val="19"/>
        </w:rPr>
      </w:pPr>
    </w:p>
    <w:p w14:paraId="027862F5" w14:textId="77777777" w:rsidR="00467FCA" w:rsidRDefault="001B68EB">
      <w:pPr>
        <w:pStyle w:val="Prrafodelista"/>
        <w:numPr>
          <w:ilvl w:val="0"/>
          <w:numId w:val="7"/>
        </w:numPr>
        <w:tabs>
          <w:tab w:val="left" w:pos="1167"/>
        </w:tabs>
        <w:ind w:right="274" w:firstLine="0"/>
        <w:jc w:val="both"/>
        <w:rPr>
          <w:sz w:val="20"/>
        </w:rPr>
      </w:pPr>
      <w:r>
        <w:rPr>
          <w:sz w:val="20"/>
        </w:rPr>
        <w:t>Parte del contenido que la Corte IDH identificó como aplicable en el presente caso deviene de lo indicado por los Convenios No. 81 y No. 155 de la Organización Internacional de Trabajo, pero en especial de las interpretaciones realizadas por el Comité de D</w:t>
      </w:r>
      <w:r>
        <w:rPr>
          <w:sz w:val="20"/>
        </w:rPr>
        <w:t>erechos Económicos</w:t>
      </w:r>
      <w:r>
        <w:rPr>
          <w:spacing w:val="-14"/>
          <w:sz w:val="20"/>
        </w:rPr>
        <w:t xml:space="preserve"> </w:t>
      </w:r>
      <w:r>
        <w:rPr>
          <w:sz w:val="20"/>
        </w:rPr>
        <w:t>Sociales</w:t>
      </w:r>
      <w:r>
        <w:rPr>
          <w:spacing w:val="-14"/>
          <w:sz w:val="20"/>
        </w:rPr>
        <w:t xml:space="preserve"> </w:t>
      </w:r>
      <w:r>
        <w:rPr>
          <w:sz w:val="20"/>
        </w:rPr>
        <w:t>y</w:t>
      </w:r>
      <w:r>
        <w:rPr>
          <w:spacing w:val="-16"/>
          <w:sz w:val="20"/>
        </w:rPr>
        <w:t xml:space="preserve"> </w:t>
      </w:r>
      <w:r>
        <w:rPr>
          <w:sz w:val="20"/>
        </w:rPr>
        <w:t>Culturales</w:t>
      </w:r>
      <w:r>
        <w:rPr>
          <w:spacing w:val="-13"/>
          <w:sz w:val="20"/>
        </w:rPr>
        <w:t xml:space="preserve"> </w:t>
      </w:r>
      <w:r>
        <w:rPr>
          <w:sz w:val="20"/>
        </w:rPr>
        <w:t>en</w:t>
      </w:r>
      <w:r>
        <w:rPr>
          <w:spacing w:val="-15"/>
          <w:sz w:val="20"/>
        </w:rPr>
        <w:t xml:space="preserve"> </w:t>
      </w:r>
      <w:r>
        <w:rPr>
          <w:sz w:val="20"/>
        </w:rPr>
        <w:t>las</w:t>
      </w:r>
      <w:r>
        <w:rPr>
          <w:spacing w:val="-17"/>
          <w:sz w:val="20"/>
        </w:rPr>
        <w:t xml:space="preserve"> </w:t>
      </w:r>
      <w:r>
        <w:rPr>
          <w:sz w:val="20"/>
        </w:rPr>
        <w:t>Observaciones</w:t>
      </w:r>
      <w:r>
        <w:rPr>
          <w:spacing w:val="-16"/>
          <w:sz w:val="20"/>
        </w:rPr>
        <w:t xml:space="preserve"> </w:t>
      </w:r>
      <w:r>
        <w:rPr>
          <w:sz w:val="20"/>
        </w:rPr>
        <w:t>Generales</w:t>
      </w:r>
      <w:r>
        <w:rPr>
          <w:spacing w:val="-15"/>
          <w:sz w:val="20"/>
        </w:rPr>
        <w:t xml:space="preserve"> </w:t>
      </w:r>
      <w:r>
        <w:rPr>
          <w:sz w:val="20"/>
        </w:rPr>
        <w:t>Núms.</w:t>
      </w:r>
      <w:r>
        <w:rPr>
          <w:spacing w:val="-14"/>
          <w:sz w:val="20"/>
        </w:rPr>
        <w:t xml:space="preserve"> </w:t>
      </w:r>
      <w:r>
        <w:rPr>
          <w:sz w:val="20"/>
        </w:rPr>
        <w:t>14,</w:t>
      </w:r>
      <w:r>
        <w:rPr>
          <w:spacing w:val="-16"/>
          <w:sz w:val="20"/>
        </w:rPr>
        <w:t xml:space="preserve"> </w:t>
      </w:r>
      <w:r>
        <w:rPr>
          <w:sz w:val="20"/>
        </w:rPr>
        <w:t>18</w:t>
      </w:r>
      <w:r>
        <w:rPr>
          <w:spacing w:val="-16"/>
          <w:sz w:val="20"/>
        </w:rPr>
        <w:t xml:space="preserve"> </w:t>
      </w:r>
      <w:r>
        <w:rPr>
          <w:sz w:val="20"/>
        </w:rPr>
        <w:t>y</w:t>
      </w:r>
      <w:r>
        <w:rPr>
          <w:spacing w:val="-15"/>
          <w:sz w:val="20"/>
        </w:rPr>
        <w:t xml:space="preserve"> </w:t>
      </w:r>
      <w:r>
        <w:rPr>
          <w:sz w:val="20"/>
        </w:rPr>
        <w:t>23.</w:t>
      </w:r>
      <w:r>
        <w:rPr>
          <w:spacing w:val="-14"/>
          <w:sz w:val="20"/>
        </w:rPr>
        <w:t xml:space="preserve"> </w:t>
      </w:r>
      <w:r>
        <w:rPr>
          <w:sz w:val="20"/>
        </w:rPr>
        <w:t>Por</w:t>
      </w:r>
      <w:r>
        <w:rPr>
          <w:spacing w:val="-15"/>
          <w:sz w:val="20"/>
        </w:rPr>
        <w:t xml:space="preserve"> </w:t>
      </w:r>
      <w:r>
        <w:rPr>
          <w:sz w:val="20"/>
        </w:rPr>
        <w:t>otro, lado,</w:t>
      </w:r>
      <w:r>
        <w:rPr>
          <w:spacing w:val="-7"/>
          <w:sz w:val="20"/>
        </w:rPr>
        <w:t xml:space="preserve"> </w:t>
      </w:r>
      <w:r>
        <w:rPr>
          <w:sz w:val="20"/>
        </w:rPr>
        <w:t>la</w:t>
      </w:r>
      <w:r>
        <w:rPr>
          <w:spacing w:val="-4"/>
          <w:sz w:val="20"/>
        </w:rPr>
        <w:t xml:space="preserve"> </w:t>
      </w:r>
      <w:r>
        <w:rPr>
          <w:sz w:val="20"/>
        </w:rPr>
        <w:t>legislación</w:t>
      </w:r>
      <w:r>
        <w:rPr>
          <w:spacing w:val="-3"/>
          <w:sz w:val="20"/>
        </w:rPr>
        <w:t xml:space="preserve"> </w:t>
      </w:r>
      <w:r>
        <w:rPr>
          <w:sz w:val="20"/>
        </w:rPr>
        <w:t>brasileña</w:t>
      </w:r>
      <w:r>
        <w:rPr>
          <w:spacing w:val="-5"/>
          <w:sz w:val="20"/>
        </w:rPr>
        <w:t xml:space="preserve"> </w:t>
      </w:r>
      <w:r>
        <w:rPr>
          <w:sz w:val="20"/>
        </w:rPr>
        <w:t>fue</w:t>
      </w:r>
      <w:r>
        <w:rPr>
          <w:spacing w:val="-8"/>
          <w:sz w:val="20"/>
        </w:rPr>
        <w:t xml:space="preserve"> </w:t>
      </w:r>
      <w:r>
        <w:rPr>
          <w:sz w:val="20"/>
        </w:rPr>
        <w:t>de</w:t>
      </w:r>
      <w:r>
        <w:rPr>
          <w:spacing w:val="-5"/>
          <w:sz w:val="20"/>
        </w:rPr>
        <w:t xml:space="preserve"> </w:t>
      </w:r>
      <w:r>
        <w:rPr>
          <w:sz w:val="20"/>
        </w:rPr>
        <w:t>especial</w:t>
      </w:r>
      <w:r>
        <w:rPr>
          <w:spacing w:val="-4"/>
          <w:sz w:val="20"/>
        </w:rPr>
        <w:t xml:space="preserve"> </w:t>
      </w:r>
      <w:r>
        <w:rPr>
          <w:sz w:val="20"/>
        </w:rPr>
        <w:t>relevancia,</w:t>
      </w:r>
      <w:r>
        <w:rPr>
          <w:spacing w:val="-7"/>
          <w:sz w:val="20"/>
        </w:rPr>
        <w:t xml:space="preserve"> </w:t>
      </w:r>
      <w:r>
        <w:rPr>
          <w:sz w:val="20"/>
        </w:rPr>
        <w:t>pues</w:t>
      </w:r>
      <w:r>
        <w:rPr>
          <w:spacing w:val="-5"/>
          <w:sz w:val="20"/>
        </w:rPr>
        <w:t xml:space="preserve"> </w:t>
      </w:r>
      <w:r>
        <w:rPr>
          <w:sz w:val="20"/>
        </w:rPr>
        <w:t>contiene</w:t>
      </w:r>
      <w:r>
        <w:rPr>
          <w:spacing w:val="-5"/>
          <w:sz w:val="20"/>
        </w:rPr>
        <w:t xml:space="preserve"> </w:t>
      </w:r>
      <w:r>
        <w:rPr>
          <w:sz w:val="20"/>
        </w:rPr>
        <w:t>importantes</w:t>
      </w:r>
      <w:r>
        <w:rPr>
          <w:spacing w:val="-7"/>
          <w:sz w:val="20"/>
        </w:rPr>
        <w:t xml:space="preserve"> </w:t>
      </w:r>
      <w:r>
        <w:rPr>
          <w:sz w:val="20"/>
        </w:rPr>
        <w:t>pautas</w:t>
      </w:r>
      <w:r>
        <w:rPr>
          <w:spacing w:val="-5"/>
          <w:sz w:val="20"/>
        </w:rPr>
        <w:t xml:space="preserve"> </w:t>
      </w:r>
      <w:r>
        <w:rPr>
          <w:sz w:val="20"/>
        </w:rPr>
        <w:t>del contenido</w:t>
      </w:r>
      <w:r>
        <w:rPr>
          <w:spacing w:val="-16"/>
          <w:sz w:val="20"/>
        </w:rPr>
        <w:t xml:space="preserve"> </w:t>
      </w:r>
      <w:r>
        <w:rPr>
          <w:sz w:val="20"/>
        </w:rPr>
        <w:t>de</w:t>
      </w:r>
      <w:r>
        <w:rPr>
          <w:spacing w:val="-16"/>
          <w:sz w:val="20"/>
        </w:rPr>
        <w:t xml:space="preserve"> </w:t>
      </w:r>
      <w:r>
        <w:rPr>
          <w:sz w:val="20"/>
        </w:rPr>
        <w:t>las</w:t>
      </w:r>
      <w:r>
        <w:rPr>
          <w:spacing w:val="-16"/>
          <w:sz w:val="20"/>
        </w:rPr>
        <w:t xml:space="preserve"> </w:t>
      </w:r>
      <w:r>
        <w:rPr>
          <w:sz w:val="20"/>
        </w:rPr>
        <w:t>condiciones</w:t>
      </w:r>
      <w:r>
        <w:rPr>
          <w:spacing w:val="-13"/>
          <w:sz w:val="20"/>
        </w:rPr>
        <w:t xml:space="preserve"> </w:t>
      </w:r>
      <w:r>
        <w:rPr>
          <w:sz w:val="20"/>
        </w:rPr>
        <w:t>equitativas</w:t>
      </w:r>
      <w:r>
        <w:rPr>
          <w:spacing w:val="-17"/>
          <w:sz w:val="20"/>
        </w:rPr>
        <w:t xml:space="preserve"> </w:t>
      </w:r>
      <w:r>
        <w:rPr>
          <w:sz w:val="20"/>
        </w:rPr>
        <w:t>y</w:t>
      </w:r>
      <w:r>
        <w:rPr>
          <w:spacing w:val="-15"/>
          <w:sz w:val="20"/>
        </w:rPr>
        <w:t xml:space="preserve"> </w:t>
      </w:r>
      <w:r>
        <w:rPr>
          <w:sz w:val="20"/>
        </w:rPr>
        <w:t>satisfactorias</w:t>
      </w:r>
      <w:r>
        <w:rPr>
          <w:spacing w:val="-19"/>
          <w:sz w:val="20"/>
        </w:rPr>
        <w:t xml:space="preserve"> </w:t>
      </w:r>
      <w:r>
        <w:rPr>
          <w:sz w:val="20"/>
        </w:rPr>
        <w:t>p</w:t>
      </w:r>
      <w:r>
        <w:rPr>
          <w:sz w:val="20"/>
        </w:rPr>
        <w:t>ara</w:t>
      </w:r>
      <w:r>
        <w:rPr>
          <w:spacing w:val="-15"/>
          <w:sz w:val="20"/>
        </w:rPr>
        <w:t xml:space="preserve"> </w:t>
      </w:r>
      <w:r>
        <w:rPr>
          <w:sz w:val="20"/>
        </w:rPr>
        <w:t>garantía</w:t>
      </w:r>
      <w:r>
        <w:rPr>
          <w:spacing w:val="-17"/>
          <w:sz w:val="20"/>
        </w:rPr>
        <w:t xml:space="preserve"> </w:t>
      </w:r>
      <w:r>
        <w:rPr>
          <w:sz w:val="20"/>
        </w:rPr>
        <w:t>del</w:t>
      </w:r>
      <w:r>
        <w:rPr>
          <w:spacing w:val="-16"/>
          <w:sz w:val="20"/>
        </w:rPr>
        <w:t xml:space="preserve"> </w:t>
      </w:r>
      <w:r>
        <w:rPr>
          <w:sz w:val="20"/>
        </w:rPr>
        <w:t>derecho</w:t>
      </w:r>
      <w:r>
        <w:rPr>
          <w:spacing w:val="-19"/>
          <w:sz w:val="20"/>
        </w:rPr>
        <w:t xml:space="preserve"> </w:t>
      </w:r>
      <w:r>
        <w:rPr>
          <w:sz w:val="20"/>
        </w:rPr>
        <w:t>al</w:t>
      </w:r>
      <w:r>
        <w:rPr>
          <w:spacing w:val="-15"/>
          <w:sz w:val="20"/>
        </w:rPr>
        <w:t xml:space="preserve"> </w:t>
      </w:r>
      <w:r>
        <w:rPr>
          <w:sz w:val="20"/>
        </w:rPr>
        <w:t>trabajo</w:t>
      </w:r>
      <w:hyperlink w:anchor="_bookmark722" w:history="1">
        <w:r>
          <w:rPr>
            <w:position w:val="7"/>
            <w:sz w:val="13"/>
          </w:rPr>
          <w:t>40</w:t>
        </w:r>
      </w:hyperlink>
      <w:r>
        <w:rPr>
          <w:sz w:val="20"/>
        </w:rPr>
        <w:t>. Entre otras consideraciones, por ejemplo, que la fabricación de fuegos es considerada “una actividad</w:t>
      </w:r>
      <w:r>
        <w:rPr>
          <w:spacing w:val="-2"/>
          <w:sz w:val="20"/>
        </w:rPr>
        <w:t xml:space="preserve"> </w:t>
      </w:r>
      <w:r>
        <w:rPr>
          <w:sz w:val="20"/>
        </w:rPr>
        <w:t>peligrosa”</w:t>
      </w:r>
      <w:hyperlink w:anchor="_bookmark723" w:history="1">
        <w:r>
          <w:rPr>
            <w:position w:val="7"/>
            <w:sz w:val="13"/>
          </w:rPr>
          <w:t>41</w:t>
        </w:r>
      </w:hyperlink>
      <w:r>
        <w:rPr>
          <w:sz w:val="20"/>
        </w:rPr>
        <w:t>.</w:t>
      </w:r>
    </w:p>
    <w:p w14:paraId="5F790EAB" w14:textId="77777777" w:rsidR="00467FCA" w:rsidRDefault="00467FCA">
      <w:pPr>
        <w:pStyle w:val="Textoindependiente"/>
        <w:spacing w:before="1"/>
      </w:pPr>
    </w:p>
    <w:p w14:paraId="4234A2C5" w14:textId="77777777" w:rsidR="00467FCA" w:rsidRDefault="001B68EB">
      <w:pPr>
        <w:pStyle w:val="Ttulo2"/>
        <w:numPr>
          <w:ilvl w:val="0"/>
          <w:numId w:val="8"/>
        </w:numPr>
        <w:tabs>
          <w:tab w:val="left" w:pos="766"/>
        </w:tabs>
        <w:spacing w:before="1"/>
        <w:ind w:left="458" w:right="278" w:firstLine="0"/>
        <w:jc w:val="both"/>
      </w:pPr>
      <w:r>
        <w:t xml:space="preserve">Sobre la importancia de la fiscalización como medio de prevención de riesgos y </w:t>
      </w:r>
      <w:r>
        <w:t>accidentes</w:t>
      </w:r>
      <w:r>
        <w:rPr>
          <w:spacing w:val="-1"/>
        </w:rPr>
        <w:t xml:space="preserve"> </w:t>
      </w:r>
      <w:r>
        <w:t>laborales</w:t>
      </w:r>
    </w:p>
    <w:p w14:paraId="78553894" w14:textId="77777777" w:rsidR="00467FCA" w:rsidRDefault="00467FCA">
      <w:pPr>
        <w:pStyle w:val="Textoindependiente"/>
        <w:rPr>
          <w:b/>
          <w:i/>
        </w:rPr>
      </w:pPr>
    </w:p>
    <w:p w14:paraId="78687DDF" w14:textId="77777777" w:rsidR="00467FCA" w:rsidRDefault="001B68EB">
      <w:pPr>
        <w:pStyle w:val="Prrafodelista"/>
        <w:numPr>
          <w:ilvl w:val="0"/>
          <w:numId w:val="7"/>
        </w:numPr>
        <w:tabs>
          <w:tab w:val="left" w:pos="1167"/>
        </w:tabs>
        <w:ind w:right="275" w:firstLine="0"/>
        <w:jc w:val="both"/>
        <w:rPr>
          <w:sz w:val="20"/>
        </w:rPr>
      </w:pPr>
      <w:r>
        <w:rPr>
          <w:sz w:val="20"/>
        </w:rPr>
        <w:t>El ca</w:t>
      </w:r>
      <w:r>
        <w:rPr>
          <w:sz w:val="20"/>
        </w:rPr>
        <w:t>so que motiva el presente voto constituye el primer pronunciamiento sobre las obligaciones en el marco de las “actividades peligrosas” dentro de las condiciones laborales. Sin</w:t>
      </w:r>
      <w:r>
        <w:rPr>
          <w:spacing w:val="-4"/>
          <w:sz w:val="20"/>
        </w:rPr>
        <w:t xml:space="preserve"> </w:t>
      </w:r>
      <w:r>
        <w:rPr>
          <w:sz w:val="20"/>
        </w:rPr>
        <w:t>embargo,</w:t>
      </w:r>
      <w:r>
        <w:rPr>
          <w:spacing w:val="-6"/>
          <w:sz w:val="20"/>
        </w:rPr>
        <w:t xml:space="preserve"> </w:t>
      </w:r>
      <w:r>
        <w:rPr>
          <w:sz w:val="20"/>
        </w:rPr>
        <w:t>lo</w:t>
      </w:r>
      <w:r>
        <w:rPr>
          <w:spacing w:val="-6"/>
          <w:sz w:val="20"/>
        </w:rPr>
        <w:t xml:space="preserve"> </w:t>
      </w:r>
      <w:r>
        <w:rPr>
          <w:sz w:val="20"/>
        </w:rPr>
        <w:t>que</w:t>
      </w:r>
      <w:r>
        <w:rPr>
          <w:spacing w:val="-7"/>
          <w:sz w:val="20"/>
        </w:rPr>
        <w:t xml:space="preserve"> </w:t>
      </w:r>
      <w:r>
        <w:rPr>
          <w:sz w:val="20"/>
        </w:rPr>
        <w:t>la</w:t>
      </w:r>
      <w:r>
        <w:rPr>
          <w:spacing w:val="-2"/>
          <w:sz w:val="20"/>
        </w:rPr>
        <w:t xml:space="preserve"> </w:t>
      </w:r>
      <w:r>
        <w:rPr>
          <w:sz w:val="20"/>
        </w:rPr>
        <w:t>Corte</w:t>
      </w:r>
      <w:r>
        <w:rPr>
          <w:spacing w:val="-7"/>
          <w:sz w:val="20"/>
        </w:rPr>
        <w:t xml:space="preserve"> </w:t>
      </w:r>
      <w:r>
        <w:rPr>
          <w:sz w:val="20"/>
        </w:rPr>
        <w:t>IDH</w:t>
      </w:r>
      <w:r>
        <w:rPr>
          <w:spacing w:val="-6"/>
          <w:sz w:val="20"/>
        </w:rPr>
        <w:t xml:space="preserve"> </w:t>
      </w:r>
      <w:r>
        <w:rPr>
          <w:sz w:val="20"/>
        </w:rPr>
        <w:t>decidió</w:t>
      </w:r>
      <w:r>
        <w:rPr>
          <w:spacing w:val="-6"/>
          <w:sz w:val="20"/>
        </w:rPr>
        <w:t xml:space="preserve"> </w:t>
      </w:r>
      <w:r>
        <w:rPr>
          <w:sz w:val="20"/>
        </w:rPr>
        <w:t>no</w:t>
      </w:r>
      <w:r>
        <w:rPr>
          <w:spacing w:val="-3"/>
          <w:sz w:val="20"/>
        </w:rPr>
        <w:t xml:space="preserve"> </w:t>
      </w:r>
      <w:r>
        <w:rPr>
          <w:sz w:val="20"/>
        </w:rPr>
        <w:t>es</w:t>
      </w:r>
      <w:r>
        <w:rPr>
          <w:spacing w:val="-4"/>
          <w:sz w:val="20"/>
        </w:rPr>
        <w:t xml:space="preserve"> </w:t>
      </w:r>
      <w:r>
        <w:rPr>
          <w:sz w:val="20"/>
        </w:rPr>
        <w:t>ajeno</w:t>
      </w:r>
      <w:r>
        <w:rPr>
          <w:spacing w:val="-6"/>
          <w:sz w:val="20"/>
        </w:rPr>
        <w:t xml:space="preserve"> </w:t>
      </w:r>
      <w:r>
        <w:rPr>
          <w:sz w:val="20"/>
        </w:rPr>
        <w:t>a</w:t>
      </w:r>
      <w:r>
        <w:rPr>
          <w:spacing w:val="-5"/>
          <w:sz w:val="20"/>
        </w:rPr>
        <w:t xml:space="preserve"> </w:t>
      </w:r>
      <w:r>
        <w:rPr>
          <w:sz w:val="20"/>
        </w:rPr>
        <w:t>la</w:t>
      </w:r>
      <w:r>
        <w:rPr>
          <w:spacing w:val="-4"/>
          <w:sz w:val="20"/>
        </w:rPr>
        <w:t xml:space="preserve"> </w:t>
      </w:r>
      <w:r>
        <w:rPr>
          <w:sz w:val="20"/>
        </w:rPr>
        <w:t>jurisprudencia</w:t>
      </w:r>
      <w:r>
        <w:rPr>
          <w:spacing w:val="-6"/>
          <w:sz w:val="20"/>
        </w:rPr>
        <w:t xml:space="preserve"> </w:t>
      </w:r>
      <w:r>
        <w:rPr>
          <w:sz w:val="20"/>
        </w:rPr>
        <w:t>del</w:t>
      </w:r>
      <w:r>
        <w:rPr>
          <w:spacing w:val="-4"/>
          <w:sz w:val="20"/>
        </w:rPr>
        <w:t xml:space="preserve"> </w:t>
      </w:r>
      <w:r>
        <w:rPr>
          <w:sz w:val="20"/>
        </w:rPr>
        <w:t>Tribuna</w:t>
      </w:r>
      <w:r>
        <w:rPr>
          <w:sz w:val="20"/>
        </w:rPr>
        <w:t>l</w:t>
      </w:r>
      <w:r>
        <w:rPr>
          <w:spacing w:val="-5"/>
          <w:sz w:val="20"/>
        </w:rPr>
        <w:t xml:space="preserve"> </w:t>
      </w:r>
      <w:r>
        <w:rPr>
          <w:sz w:val="20"/>
        </w:rPr>
        <w:t>Europeo de Derechos Humanos (en adelante “el Tribunal Europeo” o “el Tribunal de Estrasburgo) y el Comité</w:t>
      </w:r>
      <w:r>
        <w:rPr>
          <w:spacing w:val="-19"/>
          <w:sz w:val="20"/>
        </w:rPr>
        <w:t xml:space="preserve"> </w:t>
      </w:r>
      <w:r>
        <w:rPr>
          <w:sz w:val="20"/>
        </w:rPr>
        <w:t>Europeo</w:t>
      </w:r>
      <w:r>
        <w:rPr>
          <w:spacing w:val="-19"/>
          <w:sz w:val="20"/>
        </w:rPr>
        <w:t xml:space="preserve"> </w:t>
      </w:r>
      <w:r>
        <w:rPr>
          <w:sz w:val="20"/>
        </w:rPr>
        <w:t>de</w:t>
      </w:r>
      <w:r>
        <w:rPr>
          <w:spacing w:val="-19"/>
          <w:sz w:val="20"/>
        </w:rPr>
        <w:t xml:space="preserve"> </w:t>
      </w:r>
      <w:r>
        <w:rPr>
          <w:sz w:val="20"/>
        </w:rPr>
        <w:t>Derechos</w:t>
      </w:r>
      <w:r>
        <w:rPr>
          <w:spacing w:val="-18"/>
          <w:sz w:val="20"/>
        </w:rPr>
        <w:t xml:space="preserve"> </w:t>
      </w:r>
      <w:r>
        <w:rPr>
          <w:sz w:val="20"/>
        </w:rPr>
        <w:t>Sociales</w:t>
      </w:r>
      <w:r>
        <w:rPr>
          <w:spacing w:val="-17"/>
          <w:sz w:val="20"/>
        </w:rPr>
        <w:t xml:space="preserve"> </w:t>
      </w:r>
      <w:r>
        <w:rPr>
          <w:sz w:val="20"/>
        </w:rPr>
        <w:t>(en</w:t>
      </w:r>
      <w:r>
        <w:rPr>
          <w:spacing w:val="-16"/>
          <w:sz w:val="20"/>
        </w:rPr>
        <w:t xml:space="preserve"> </w:t>
      </w:r>
      <w:r>
        <w:rPr>
          <w:sz w:val="20"/>
        </w:rPr>
        <w:t>adelante</w:t>
      </w:r>
      <w:r>
        <w:rPr>
          <w:spacing w:val="-19"/>
          <w:sz w:val="20"/>
        </w:rPr>
        <w:t xml:space="preserve"> </w:t>
      </w:r>
      <w:r>
        <w:rPr>
          <w:sz w:val="20"/>
        </w:rPr>
        <w:t>“el</w:t>
      </w:r>
      <w:r>
        <w:rPr>
          <w:spacing w:val="-17"/>
          <w:sz w:val="20"/>
        </w:rPr>
        <w:t xml:space="preserve"> </w:t>
      </w:r>
      <w:r>
        <w:rPr>
          <w:sz w:val="20"/>
        </w:rPr>
        <w:t>Comité</w:t>
      </w:r>
      <w:r>
        <w:rPr>
          <w:spacing w:val="-19"/>
          <w:sz w:val="20"/>
        </w:rPr>
        <w:t xml:space="preserve"> </w:t>
      </w:r>
      <w:r>
        <w:rPr>
          <w:sz w:val="20"/>
        </w:rPr>
        <w:t>Europeo”),</w:t>
      </w:r>
      <w:r>
        <w:rPr>
          <w:spacing w:val="-16"/>
          <w:sz w:val="20"/>
        </w:rPr>
        <w:t xml:space="preserve"> </w:t>
      </w:r>
      <w:r>
        <w:rPr>
          <w:sz w:val="20"/>
        </w:rPr>
        <w:t>como</w:t>
      </w:r>
      <w:r>
        <w:rPr>
          <w:spacing w:val="-18"/>
          <w:sz w:val="20"/>
        </w:rPr>
        <w:t xml:space="preserve"> </w:t>
      </w:r>
      <w:r>
        <w:rPr>
          <w:sz w:val="20"/>
        </w:rPr>
        <w:t>se</w:t>
      </w:r>
      <w:r>
        <w:rPr>
          <w:spacing w:val="-19"/>
          <w:sz w:val="20"/>
        </w:rPr>
        <w:t xml:space="preserve"> </w:t>
      </w:r>
      <w:r>
        <w:rPr>
          <w:sz w:val="20"/>
        </w:rPr>
        <w:t>desarrollará a</w:t>
      </w:r>
      <w:r>
        <w:rPr>
          <w:spacing w:val="-2"/>
          <w:sz w:val="20"/>
        </w:rPr>
        <w:t xml:space="preserve"> </w:t>
      </w:r>
      <w:r>
        <w:rPr>
          <w:sz w:val="20"/>
        </w:rPr>
        <w:t>continuación.</w:t>
      </w:r>
    </w:p>
    <w:p w14:paraId="5BB1DACE" w14:textId="77777777" w:rsidR="00467FCA" w:rsidRDefault="00467FCA">
      <w:pPr>
        <w:pStyle w:val="Textoindependiente"/>
      </w:pPr>
    </w:p>
    <w:p w14:paraId="51240859" w14:textId="77777777" w:rsidR="00467FCA" w:rsidRDefault="001B68EB">
      <w:pPr>
        <w:pStyle w:val="Prrafodelista"/>
        <w:numPr>
          <w:ilvl w:val="0"/>
          <w:numId w:val="7"/>
        </w:numPr>
        <w:tabs>
          <w:tab w:val="left" w:pos="1167"/>
        </w:tabs>
        <w:ind w:left="1166" w:hanging="709"/>
        <w:jc w:val="both"/>
        <w:rPr>
          <w:sz w:val="20"/>
        </w:rPr>
      </w:pPr>
      <w:r>
        <w:rPr>
          <w:sz w:val="20"/>
        </w:rPr>
        <w:t>En la sentencia la Corte IDH estimó</w:t>
      </w:r>
      <w:r>
        <w:rPr>
          <w:spacing w:val="-4"/>
          <w:sz w:val="20"/>
        </w:rPr>
        <w:t xml:space="preserve"> </w:t>
      </w:r>
      <w:r>
        <w:rPr>
          <w:sz w:val="20"/>
        </w:rPr>
        <w:t>que:</w:t>
      </w:r>
    </w:p>
    <w:p w14:paraId="6E610D4E" w14:textId="77777777" w:rsidR="00467FCA" w:rsidRDefault="001B68EB">
      <w:pPr>
        <w:pStyle w:val="Prrafodelista"/>
        <w:numPr>
          <w:ilvl w:val="1"/>
          <w:numId w:val="7"/>
        </w:numPr>
        <w:tabs>
          <w:tab w:val="left" w:pos="1877"/>
        </w:tabs>
        <w:spacing w:before="160"/>
        <w:ind w:right="743" w:firstLine="0"/>
        <w:jc w:val="both"/>
        <w:rPr>
          <w:sz w:val="16"/>
        </w:rPr>
      </w:pPr>
      <w:r>
        <w:rPr>
          <w:sz w:val="16"/>
        </w:rPr>
        <w:t>[…] Todo […] ocurrió sin que el Estado ejerciera ninguna labor de supervisión o fiscalización</w:t>
      </w:r>
      <w:r>
        <w:rPr>
          <w:sz w:val="16"/>
          <w:u w:val="single"/>
        </w:rPr>
        <w:t xml:space="preserve"> </w:t>
      </w:r>
      <w:r>
        <w:rPr>
          <w:i/>
          <w:sz w:val="16"/>
          <w:u w:val="single"/>
        </w:rPr>
        <w:t>orientada a verificar las condiciones laborales</w:t>
      </w:r>
      <w:r>
        <w:rPr>
          <w:i/>
          <w:sz w:val="16"/>
        </w:rPr>
        <w:t xml:space="preserve"> </w:t>
      </w:r>
      <w:r>
        <w:rPr>
          <w:sz w:val="16"/>
        </w:rPr>
        <w:t>de quienes se desempeñaban en la fábrica de fuegos, ni</w:t>
      </w:r>
      <w:r>
        <w:rPr>
          <w:spacing w:val="-2"/>
          <w:sz w:val="16"/>
        </w:rPr>
        <w:t xml:space="preserve"> </w:t>
      </w:r>
      <w:r>
        <w:rPr>
          <w:sz w:val="16"/>
        </w:rPr>
        <w:t>emprendiera</w:t>
      </w:r>
      <w:r>
        <w:rPr>
          <w:spacing w:val="-3"/>
          <w:sz w:val="16"/>
        </w:rPr>
        <w:t xml:space="preserve"> </w:t>
      </w:r>
      <w:r>
        <w:rPr>
          <w:sz w:val="16"/>
        </w:rPr>
        <w:t>alguna</w:t>
      </w:r>
      <w:r>
        <w:rPr>
          <w:spacing w:val="-4"/>
          <w:sz w:val="16"/>
        </w:rPr>
        <w:t xml:space="preserve"> </w:t>
      </w:r>
      <w:r>
        <w:rPr>
          <w:sz w:val="16"/>
        </w:rPr>
        <w:t>acción</w:t>
      </w:r>
      <w:r>
        <w:rPr>
          <w:spacing w:val="-6"/>
          <w:sz w:val="16"/>
        </w:rPr>
        <w:t xml:space="preserve"> </w:t>
      </w:r>
      <w:r>
        <w:rPr>
          <w:sz w:val="16"/>
        </w:rPr>
        <w:t>orientada</w:t>
      </w:r>
      <w:r>
        <w:rPr>
          <w:spacing w:val="-3"/>
          <w:sz w:val="16"/>
        </w:rPr>
        <w:t xml:space="preserve"> </w:t>
      </w:r>
      <w:r>
        <w:rPr>
          <w:sz w:val="16"/>
        </w:rPr>
        <w:t>a</w:t>
      </w:r>
      <w:r>
        <w:rPr>
          <w:spacing w:val="-4"/>
          <w:sz w:val="16"/>
        </w:rPr>
        <w:t xml:space="preserve"> </w:t>
      </w:r>
      <w:r>
        <w:rPr>
          <w:i/>
          <w:sz w:val="16"/>
          <w:u w:val="single"/>
        </w:rPr>
        <w:t>prevenir</w:t>
      </w:r>
      <w:r>
        <w:rPr>
          <w:i/>
          <w:spacing w:val="-2"/>
          <w:sz w:val="16"/>
          <w:u w:val="single"/>
        </w:rPr>
        <w:t xml:space="preserve"> </w:t>
      </w:r>
      <w:r>
        <w:rPr>
          <w:i/>
          <w:sz w:val="16"/>
          <w:u w:val="single"/>
        </w:rPr>
        <w:t>accidentes</w:t>
      </w:r>
      <w:r>
        <w:rPr>
          <w:i/>
          <w:spacing w:val="-4"/>
          <w:sz w:val="16"/>
        </w:rPr>
        <w:t xml:space="preserve"> </w:t>
      </w:r>
      <w:r>
        <w:rPr>
          <w:sz w:val="16"/>
        </w:rPr>
        <w:t>pese</w:t>
      </w:r>
      <w:r>
        <w:rPr>
          <w:spacing w:val="-2"/>
          <w:sz w:val="16"/>
        </w:rPr>
        <w:t xml:space="preserve"> </w:t>
      </w:r>
      <w:r>
        <w:rPr>
          <w:sz w:val="16"/>
        </w:rPr>
        <w:t>a</w:t>
      </w:r>
      <w:r>
        <w:rPr>
          <w:spacing w:val="-3"/>
          <w:sz w:val="16"/>
        </w:rPr>
        <w:t xml:space="preserve"> </w:t>
      </w:r>
      <w:r>
        <w:rPr>
          <w:sz w:val="16"/>
        </w:rPr>
        <w:t>que</w:t>
      </w:r>
      <w:r>
        <w:rPr>
          <w:spacing w:val="-3"/>
          <w:sz w:val="16"/>
        </w:rPr>
        <w:t xml:space="preserve"> </w:t>
      </w:r>
      <w:r>
        <w:rPr>
          <w:sz w:val="16"/>
        </w:rPr>
        <w:t>la</w:t>
      </w:r>
      <w:r>
        <w:rPr>
          <w:spacing w:val="-3"/>
          <w:sz w:val="16"/>
        </w:rPr>
        <w:t xml:space="preserve"> </w:t>
      </w:r>
      <w:r>
        <w:rPr>
          <w:sz w:val="16"/>
        </w:rPr>
        <w:t>actividad</w:t>
      </w:r>
      <w:r>
        <w:rPr>
          <w:spacing w:val="-3"/>
          <w:sz w:val="16"/>
        </w:rPr>
        <w:t xml:space="preserve"> </w:t>
      </w:r>
      <w:r>
        <w:rPr>
          <w:sz w:val="16"/>
        </w:rPr>
        <w:t>desplegada</w:t>
      </w:r>
      <w:r>
        <w:rPr>
          <w:spacing w:val="-3"/>
          <w:sz w:val="16"/>
        </w:rPr>
        <w:t xml:space="preserve"> </w:t>
      </w:r>
      <w:r>
        <w:rPr>
          <w:sz w:val="16"/>
        </w:rPr>
        <w:t>en la fábrica era caracterizada por la normatividad como especialmente</w:t>
      </w:r>
      <w:r>
        <w:rPr>
          <w:spacing w:val="-10"/>
          <w:sz w:val="16"/>
        </w:rPr>
        <w:t xml:space="preserve"> </w:t>
      </w:r>
      <w:r>
        <w:rPr>
          <w:sz w:val="16"/>
        </w:rPr>
        <w:t>peligrosa.</w:t>
      </w:r>
    </w:p>
    <w:p w14:paraId="1C485469" w14:textId="77777777" w:rsidR="00467FCA" w:rsidRDefault="00467FCA">
      <w:pPr>
        <w:pStyle w:val="Textoindependiente"/>
      </w:pPr>
    </w:p>
    <w:p w14:paraId="1DDB095A" w14:textId="77777777" w:rsidR="00467FCA" w:rsidRDefault="001B68EB">
      <w:pPr>
        <w:pStyle w:val="Textoindependiente"/>
        <w:spacing w:before="1"/>
        <w:rPr>
          <w:sz w:val="28"/>
        </w:rPr>
      </w:pPr>
      <w:r>
        <w:pict w14:anchorId="441643F3">
          <v:shape id="_x0000_s1062" style="position:absolute;margin-left:70.9pt;margin-top:19.35pt;width:2in;height:.1pt;z-index:-251521024;mso-wrap-distance-left:0;mso-wrap-distance-right:0;mso-position-horizontal-relative:page" coordorigin="1418,387" coordsize="2880,0" path="m1418,387r2880,e" filled="f" strokeweight=".6pt">
            <v:path arrowok="t"/>
            <w10:wrap type="topAndBottom" anchorx="page"/>
          </v:shape>
        </w:pict>
      </w:r>
    </w:p>
    <w:p w14:paraId="770286ED" w14:textId="77777777" w:rsidR="00467FCA" w:rsidRDefault="001B68EB">
      <w:pPr>
        <w:tabs>
          <w:tab w:val="left" w:pos="1166"/>
        </w:tabs>
        <w:spacing w:before="74"/>
        <w:ind w:left="458" w:right="273"/>
        <w:jc w:val="both"/>
        <w:rPr>
          <w:sz w:val="16"/>
        </w:rPr>
      </w:pPr>
      <w:bookmarkStart w:id="801" w:name="_bookmark720"/>
      <w:bookmarkEnd w:id="801"/>
      <w:r>
        <w:rPr>
          <w:position w:val="6"/>
          <w:sz w:val="10"/>
        </w:rPr>
        <w:t>38</w:t>
      </w:r>
      <w:r>
        <w:rPr>
          <w:position w:val="6"/>
          <w:sz w:val="10"/>
        </w:rPr>
        <w:tab/>
      </w:r>
      <w:r>
        <w:rPr>
          <w:i/>
          <w:sz w:val="16"/>
        </w:rPr>
        <w:t>Cfr. Caso Empleados de la Fábrica de Fuegos en Santo Antônio de Jesus y sus familiares Vs. Brasil, supra</w:t>
      </w:r>
      <w:r>
        <w:rPr>
          <w:sz w:val="16"/>
        </w:rPr>
        <w:t>, párr.</w:t>
      </w:r>
      <w:r>
        <w:rPr>
          <w:spacing w:val="-1"/>
          <w:sz w:val="16"/>
        </w:rPr>
        <w:t xml:space="preserve"> </w:t>
      </w:r>
      <w:r>
        <w:rPr>
          <w:sz w:val="16"/>
        </w:rPr>
        <w:t>174.</w:t>
      </w:r>
    </w:p>
    <w:p w14:paraId="36FF2C02" w14:textId="77777777" w:rsidR="00467FCA" w:rsidRDefault="001B68EB">
      <w:pPr>
        <w:tabs>
          <w:tab w:val="left" w:pos="1166"/>
        </w:tabs>
        <w:ind w:left="458" w:right="269"/>
        <w:jc w:val="both"/>
        <w:rPr>
          <w:i/>
          <w:sz w:val="16"/>
        </w:rPr>
      </w:pPr>
      <w:bookmarkStart w:id="802" w:name="_bookmark721"/>
      <w:bookmarkEnd w:id="802"/>
      <w:r>
        <w:rPr>
          <w:position w:val="6"/>
          <w:sz w:val="10"/>
        </w:rPr>
        <w:t>39</w:t>
      </w:r>
      <w:r>
        <w:rPr>
          <w:position w:val="6"/>
          <w:sz w:val="10"/>
        </w:rPr>
        <w:tab/>
      </w:r>
      <w:r>
        <w:rPr>
          <w:sz w:val="16"/>
        </w:rPr>
        <w:t>La Corte IDH se ha referido a los “riesgos significativos” en el contexto del derecho al medio ambiente y los derechos</w:t>
      </w:r>
      <w:r>
        <w:rPr>
          <w:spacing w:val="-15"/>
          <w:sz w:val="16"/>
        </w:rPr>
        <w:t xml:space="preserve"> </w:t>
      </w:r>
      <w:r>
        <w:rPr>
          <w:sz w:val="16"/>
        </w:rPr>
        <w:t>humanos:</w:t>
      </w:r>
      <w:r>
        <w:rPr>
          <w:spacing w:val="-13"/>
          <w:sz w:val="16"/>
        </w:rPr>
        <w:t xml:space="preserve"> </w:t>
      </w:r>
      <w:r>
        <w:rPr>
          <w:sz w:val="16"/>
        </w:rPr>
        <w:t>“135.</w:t>
      </w:r>
      <w:r>
        <w:rPr>
          <w:spacing w:val="-13"/>
          <w:sz w:val="16"/>
        </w:rPr>
        <w:t xml:space="preserve"> </w:t>
      </w:r>
      <w:r>
        <w:rPr>
          <w:sz w:val="16"/>
        </w:rPr>
        <w:t>La</w:t>
      </w:r>
      <w:r>
        <w:rPr>
          <w:spacing w:val="-15"/>
          <w:sz w:val="16"/>
        </w:rPr>
        <w:t xml:space="preserve"> </w:t>
      </w:r>
      <w:r>
        <w:rPr>
          <w:sz w:val="16"/>
        </w:rPr>
        <w:t>Corte</w:t>
      </w:r>
      <w:r>
        <w:rPr>
          <w:spacing w:val="-13"/>
          <w:sz w:val="16"/>
        </w:rPr>
        <w:t xml:space="preserve"> </w:t>
      </w:r>
      <w:r>
        <w:rPr>
          <w:sz w:val="16"/>
        </w:rPr>
        <w:t>Internacional</w:t>
      </w:r>
      <w:r>
        <w:rPr>
          <w:spacing w:val="-13"/>
          <w:sz w:val="16"/>
        </w:rPr>
        <w:t xml:space="preserve"> </w:t>
      </w:r>
      <w:r>
        <w:rPr>
          <w:sz w:val="16"/>
        </w:rPr>
        <w:t>de</w:t>
      </w:r>
      <w:r>
        <w:rPr>
          <w:spacing w:val="-14"/>
          <w:sz w:val="16"/>
        </w:rPr>
        <w:t xml:space="preserve"> </w:t>
      </w:r>
      <w:r>
        <w:rPr>
          <w:sz w:val="16"/>
        </w:rPr>
        <w:t>Justicia</w:t>
      </w:r>
      <w:r>
        <w:rPr>
          <w:spacing w:val="-13"/>
          <w:sz w:val="16"/>
        </w:rPr>
        <w:t xml:space="preserve"> </w:t>
      </w:r>
      <w:r>
        <w:rPr>
          <w:sz w:val="16"/>
        </w:rPr>
        <w:t>ha</w:t>
      </w:r>
      <w:r>
        <w:rPr>
          <w:spacing w:val="-13"/>
          <w:sz w:val="16"/>
        </w:rPr>
        <w:t xml:space="preserve"> </w:t>
      </w:r>
      <w:r>
        <w:rPr>
          <w:sz w:val="16"/>
        </w:rPr>
        <w:t>señalado</w:t>
      </w:r>
      <w:r>
        <w:rPr>
          <w:spacing w:val="-15"/>
          <w:sz w:val="16"/>
        </w:rPr>
        <w:t xml:space="preserve"> </w:t>
      </w:r>
      <w:r>
        <w:rPr>
          <w:sz w:val="16"/>
        </w:rPr>
        <w:t>que</w:t>
      </w:r>
      <w:r>
        <w:rPr>
          <w:spacing w:val="-12"/>
          <w:sz w:val="16"/>
        </w:rPr>
        <w:t xml:space="preserve"> </w:t>
      </w:r>
      <w:r>
        <w:rPr>
          <w:sz w:val="16"/>
        </w:rPr>
        <w:t>la</w:t>
      </w:r>
      <w:r>
        <w:rPr>
          <w:spacing w:val="-15"/>
          <w:sz w:val="16"/>
        </w:rPr>
        <w:t xml:space="preserve"> </w:t>
      </w:r>
      <w:r>
        <w:rPr>
          <w:sz w:val="16"/>
        </w:rPr>
        <w:t>obligación</w:t>
      </w:r>
      <w:r>
        <w:rPr>
          <w:spacing w:val="-13"/>
          <w:sz w:val="16"/>
        </w:rPr>
        <w:t xml:space="preserve"> </w:t>
      </w:r>
      <w:r>
        <w:rPr>
          <w:sz w:val="16"/>
        </w:rPr>
        <w:t>de</w:t>
      </w:r>
      <w:r>
        <w:rPr>
          <w:spacing w:val="-12"/>
          <w:sz w:val="16"/>
        </w:rPr>
        <w:t xml:space="preserve"> </w:t>
      </w:r>
      <w:r>
        <w:rPr>
          <w:sz w:val="16"/>
        </w:rPr>
        <w:t>prevención</w:t>
      </w:r>
      <w:r>
        <w:rPr>
          <w:spacing w:val="-14"/>
          <w:sz w:val="16"/>
        </w:rPr>
        <w:t xml:space="preserve"> </w:t>
      </w:r>
      <w:r>
        <w:rPr>
          <w:sz w:val="16"/>
        </w:rPr>
        <w:t>surge</w:t>
      </w:r>
      <w:r>
        <w:rPr>
          <w:spacing w:val="-14"/>
          <w:sz w:val="16"/>
        </w:rPr>
        <w:t xml:space="preserve"> </w:t>
      </w:r>
      <w:r>
        <w:rPr>
          <w:sz w:val="16"/>
        </w:rPr>
        <w:t>cuando hay riesgo de un daño significativo. De acuerdo a dicho tribunal, el carácter significativo de un riesgo se puede determinar tomando en cuenta la naturaleza y magnitu</w:t>
      </w:r>
      <w:r>
        <w:rPr>
          <w:sz w:val="16"/>
        </w:rPr>
        <w:t>d del proyecto y el contexto donde será llevado a cabo”; y “136.</w:t>
      </w:r>
      <w:r>
        <w:rPr>
          <w:spacing w:val="-16"/>
          <w:sz w:val="16"/>
        </w:rPr>
        <w:t xml:space="preserve"> </w:t>
      </w:r>
      <w:r>
        <w:rPr>
          <w:sz w:val="16"/>
        </w:rPr>
        <w:t>Del</w:t>
      </w:r>
      <w:r>
        <w:rPr>
          <w:spacing w:val="-13"/>
          <w:sz w:val="16"/>
        </w:rPr>
        <w:t xml:space="preserve"> </w:t>
      </w:r>
      <w:r>
        <w:rPr>
          <w:sz w:val="16"/>
        </w:rPr>
        <w:t>mismo</w:t>
      </w:r>
      <w:r>
        <w:rPr>
          <w:spacing w:val="-12"/>
          <w:sz w:val="16"/>
        </w:rPr>
        <w:t xml:space="preserve"> </w:t>
      </w:r>
      <w:r>
        <w:rPr>
          <w:sz w:val="16"/>
        </w:rPr>
        <w:t>modo,</w:t>
      </w:r>
      <w:r>
        <w:rPr>
          <w:spacing w:val="-14"/>
          <w:sz w:val="16"/>
        </w:rPr>
        <w:t xml:space="preserve"> </w:t>
      </w:r>
      <w:r>
        <w:rPr>
          <w:sz w:val="16"/>
        </w:rPr>
        <w:t>los</w:t>
      </w:r>
      <w:r>
        <w:rPr>
          <w:spacing w:val="-14"/>
          <w:sz w:val="16"/>
        </w:rPr>
        <w:t xml:space="preserve"> </w:t>
      </w:r>
      <w:r>
        <w:rPr>
          <w:sz w:val="16"/>
        </w:rPr>
        <w:t>Artículos</w:t>
      </w:r>
      <w:r>
        <w:rPr>
          <w:spacing w:val="-13"/>
          <w:sz w:val="16"/>
        </w:rPr>
        <w:t xml:space="preserve"> </w:t>
      </w:r>
      <w:r>
        <w:rPr>
          <w:sz w:val="16"/>
        </w:rPr>
        <w:t>sobre</w:t>
      </w:r>
      <w:r>
        <w:rPr>
          <w:spacing w:val="-12"/>
          <w:sz w:val="16"/>
        </w:rPr>
        <w:t xml:space="preserve"> </w:t>
      </w:r>
      <w:r>
        <w:rPr>
          <w:sz w:val="16"/>
        </w:rPr>
        <w:t>la</w:t>
      </w:r>
      <w:r>
        <w:rPr>
          <w:spacing w:val="-14"/>
          <w:sz w:val="16"/>
        </w:rPr>
        <w:t xml:space="preserve"> </w:t>
      </w:r>
      <w:r>
        <w:rPr>
          <w:sz w:val="16"/>
        </w:rPr>
        <w:t>Prevención</w:t>
      </w:r>
      <w:r>
        <w:rPr>
          <w:spacing w:val="-15"/>
          <w:sz w:val="16"/>
        </w:rPr>
        <w:t xml:space="preserve"> </w:t>
      </w:r>
      <w:r>
        <w:rPr>
          <w:sz w:val="16"/>
        </w:rPr>
        <w:t>del</w:t>
      </w:r>
      <w:r>
        <w:rPr>
          <w:spacing w:val="-16"/>
          <w:sz w:val="16"/>
        </w:rPr>
        <w:t xml:space="preserve"> </w:t>
      </w:r>
      <w:r>
        <w:rPr>
          <w:sz w:val="16"/>
        </w:rPr>
        <w:t>Daño</w:t>
      </w:r>
      <w:r>
        <w:rPr>
          <w:spacing w:val="-11"/>
          <w:sz w:val="16"/>
        </w:rPr>
        <w:t xml:space="preserve"> </w:t>
      </w:r>
      <w:r>
        <w:rPr>
          <w:sz w:val="16"/>
        </w:rPr>
        <w:t>Transfronterizo</w:t>
      </w:r>
      <w:r>
        <w:rPr>
          <w:spacing w:val="-15"/>
          <w:sz w:val="16"/>
        </w:rPr>
        <w:t xml:space="preserve"> </w:t>
      </w:r>
      <w:r>
        <w:rPr>
          <w:sz w:val="16"/>
        </w:rPr>
        <w:t>resultante</w:t>
      </w:r>
      <w:r>
        <w:rPr>
          <w:spacing w:val="-12"/>
          <w:sz w:val="16"/>
        </w:rPr>
        <w:t xml:space="preserve"> </w:t>
      </w:r>
      <w:r>
        <w:rPr>
          <w:sz w:val="16"/>
        </w:rPr>
        <w:t>de</w:t>
      </w:r>
      <w:r>
        <w:rPr>
          <w:spacing w:val="-15"/>
          <w:sz w:val="16"/>
        </w:rPr>
        <w:t xml:space="preserve"> </w:t>
      </w:r>
      <w:r>
        <w:rPr>
          <w:sz w:val="16"/>
        </w:rPr>
        <w:t>Actividades</w:t>
      </w:r>
      <w:r>
        <w:rPr>
          <w:spacing w:val="-12"/>
          <w:sz w:val="16"/>
        </w:rPr>
        <w:t xml:space="preserve"> </w:t>
      </w:r>
      <w:r>
        <w:rPr>
          <w:sz w:val="16"/>
        </w:rPr>
        <w:t>Peligrosas de la Comisión de Derecho Internacional solo abarcan a aquellas actividades que puedan implicar un daño significativo, estándares fácticos y objetivos. Por otra parte, la Comisión de Derecho Internacional señaló que el Estado de origen no es res</w:t>
      </w:r>
      <w:r>
        <w:rPr>
          <w:sz w:val="16"/>
        </w:rPr>
        <w:t xml:space="preserve">ponsable de prevenir riesgos que no sean previsibles. No obstante, advirtió que, de forma paralela, los Estados tienen la obligación de continuamente identificar las actividades que impliquen este tipo de riesgo significativo”. </w:t>
      </w:r>
      <w:r>
        <w:rPr>
          <w:i/>
          <w:sz w:val="16"/>
        </w:rPr>
        <w:t>Medio ambiente y derechos hu</w:t>
      </w:r>
      <w:r>
        <w:rPr>
          <w:i/>
          <w:sz w:val="16"/>
        </w:rPr>
        <w:t>manos (obligaciones estatales en relación con el medio ambiente en</w:t>
      </w:r>
      <w:r>
        <w:rPr>
          <w:i/>
          <w:spacing w:val="-1"/>
          <w:sz w:val="16"/>
        </w:rPr>
        <w:t xml:space="preserve"> </w:t>
      </w:r>
      <w:r>
        <w:rPr>
          <w:i/>
          <w:sz w:val="16"/>
        </w:rPr>
        <w:t>el</w:t>
      </w:r>
      <w:r>
        <w:rPr>
          <w:i/>
          <w:spacing w:val="-2"/>
          <w:sz w:val="16"/>
        </w:rPr>
        <w:t xml:space="preserve"> </w:t>
      </w:r>
      <w:r>
        <w:rPr>
          <w:i/>
          <w:sz w:val="16"/>
        </w:rPr>
        <w:t>marco</w:t>
      </w:r>
      <w:r>
        <w:rPr>
          <w:i/>
          <w:spacing w:val="-4"/>
          <w:sz w:val="16"/>
        </w:rPr>
        <w:t xml:space="preserve"> </w:t>
      </w:r>
      <w:r>
        <w:rPr>
          <w:i/>
          <w:sz w:val="16"/>
        </w:rPr>
        <w:t>de</w:t>
      </w:r>
      <w:r>
        <w:rPr>
          <w:i/>
          <w:spacing w:val="-1"/>
          <w:sz w:val="16"/>
        </w:rPr>
        <w:t xml:space="preserve"> </w:t>
      </w:r>
      <w:r>
        <w:rPr>
          <w:i/>
          <w:sz w:val="16"/>
        </w:rPr>
        <w:t>la</w:t>
      </w:r>
      <w:r>
        <w:rPr>
          <w:i/>
          <w:spacing w:val="-3"/>
          <w:sz w:val="16"/>
        </w:rPr>
        <w:t xml:space="preserve"> </w:t>
      </w:r>
      <w:r>
        <w:rPr>
          <w:i/>
          <w:sz w:val="16"/>
        </w:rPr>
        <w:t>protección</w:t>
      </w:r>
      <w:r>
        <w:rPr>
          <w:i/>
          <w:spacing w:val="-5"/>
          <w:sz w:val="16"/>
        </w:rPr>
        <w:t xml:space="preserve"> </w:t>
      </w:r>
      <w:r>
        <w:rPr>
          <w:i/>
          <w:sz w:val="16"/>
        </w:rPr>
        <w:t>y</w:t>
      </w:r>
      <w:r>
        <w:rPr>
          <w:i/>
          <w:spacing w:val="-4"/>
          <w:sz w:val="16"/>
        </w:rPr>
        <w:t xml:space="preserve"> </w:t>
      </w:r>
      <w:r>
        <w:rPr>
          <w:i/>
          <w:sz w:val="16"/>
        </w:rPr>
        <w:t>garantía</w:t>
      </w:r>
      <w:r>
        <w:rPr>
          <w:i/>
          <w:spacing w:val="-2"/>
          <w:sz w:val="16"/>
        </w:rPr>
        <w:t xml:space="preserve"> </w:t>
      </w:r>
      <w:r>
        <w:rPr>
          <w:i/>
          <w:sz w:val="16"/>
        </w:rPr>
        <w:t>de</w:t>
      </w:r>
      <w:r>
        <w:rPr>
          <w:i/>
          <w:spacing w:val="-1"/>
          <w:sz w:val="16"/>
        </w:rPr>
        <w:t xml:space="preserve"> </w:t>
      </w:r>
      <w:r>
        <w:rPr>
          <w:i/>
          <w:sz w:val="16"/>
        </w:rPr>
        <w:t>los</w:t>
      </w:r>
      <w:r>
        <w:rPr>
          <w:i/>
          <w:spacing w:val="-5"/>
          <w:sz w:val="16"/>
        </w:rPr>
        <w:t xml:space="preserve"> </w:t>
      </w:r>
      <w:r>
        <w:rPr>
          <w:i/>
          <w:sz w:val="16"/>
        </w:rPr>
        <w:t>derechos</w:t>
      </w:r>
      <w:r>
        <w:rPr>
          <w:i/>
          <w:spacing w:val="-1"/>
          <w:sz w:val="16"/>
        </w:rPr>
        <w:t xml:space="preserve"> </w:t>
      </w:r>
      <w:r>
        <w:rPr>
          <w:i/>
          <w:sz w:val="16"/>
        </w:rPr>
        <w:t>a</w:t>
      </w:r>
      <w:r>
        <w:rPr>
          <w:i/>
          <w:spacing w:val="-3"/>
          <w:sz w:val="16"/>
        </w:rPr>
        <w:t xml:space="preserve"> </w:t>
      </w:r>
      <w:r>
        <w:rPr>
          <w:i/>
          <w:sz w:val="16"/>
        </w:rPr>
        <w:t>la</w:t>
      </w:r>
      <w:r>
        <w:rPr>
          <w:i/>
          <w:spacing w:val="-2"/>
          <w:sz w:val="16"/>
        </w:rPr>
        <w:t xml:space="preserve"> </w:t>
      </w:r>
      <w:r>
        <w:rPr>
          <w:i/>
          <w:sz w:val="16"/>
        </w:rPr>
        <w:t>vida</w:t>
      </w:r>
      <w:r>
        <w:rPr>
          <w:i/>
          <w:spacing w:val="-3"/>
          <w:sz w:val="16"/>
        </w:rPr>
        <w:t xml:space="preserve"> </w:t>
      </w:r>
      <w:r>
        <w:rPr>
          <w:i/>
          <w:sz w:val="16"/>
        </w:rPr>
        <w:t>y</w:t>
      </w:r>
      <w:r>
        <w:rPr>
          <w:i/>
          <w:spacing w:val="-1"/>
          <w:sz w:val="16"/>
        </w:rPr>
        <w:t xml:space="preserve"> </w:t>
      </w:r>
      <w:r>
        <w:rPr>
          <w:i/>
          <w:sz w:val="16"/>
        </w:rPr>
        <w:t>a</w:t>
      </w:r>
      <w:r>
        <w:rPr>
          <w:i/>
          <w:spacing w:val="-3"/>
          <w:sz w:val="16"/>
        </w:rPr>
        <w:t xml:space="preserve"> </w:t>
      </w:r>
      <w:r>
        <w:rPr>
          <w:i/>
          <w:sz w:val="16"/>
        </w:rPr>
        <w:t>la</w:t>
      </w:r>
      <w:r>
        <w:rPr>
          <w:i/>
          <w:spacing w:val="-2"/>
          <w:sz w:val="16"/>
        </w:rPr>
        <w:t xml:space="preserve"> </w:t>
      </w:r>
      <w:r>
        <w:rPr>
          <w:i/>
          <w:sz w:val="16"/>
        </w:rPr>
        <w:t>integridad</w:t>
      </w:r>
      <w:r>
        <w:rPr>
          <w:i/>
          <w:spacing w:val="-3"/>
          <w:sz w:val="16"/>
        </w:rPr>
        <w:t xml:space="preserve"> </w:t>
      </w:r>
      <w:r>
        <w:rPr>
          <w:i/>
          <w:sz w:val="16"/>
        </w:rPr>
        <w:t>personal</w:t>
      </w:r>
      <w:r>
        <w:rPr>
          <w:i/>
          <w:spacing w:val="-4"/>
          <w:sz w:val="16"/>
        </w:rPr>
        <w:t xml:space="preserve"> </w:t>
      </w:r>
      <w:r>
        <w:rPr>
          <w:i/>
          <w:sz w:val="16"/>
        </w:rPr>
        <w:t>-</w:t>
      </w:r>
      <w:r>
        <w:rPr>
          <w:i/>
          <w:spacing w:val="-3"/>
          <w:sz w:val="16"/>
        </w:rPr>
        <w:t xml:space="preserve"> </w:t>
      </w:r>
      <w:r>
        <w:rPr>
          <w:i/>
          <w:sz w:val="16"/>
        </w:rPr>
        <w:t>interpretación</w:t>
      </w:r>
      <w:r>
        <w:rPr>
          <w:i/>
          <w:spacing w:val="-6"/>
          <w:sz w:val="16"/>
        </w:rPr>
        <w:t xml:space="preserve"> </w:t>
      </w:r>
      <w:r>
        <w:rPr>
          <w:i/>
          <w:sz w:val="16"/>
        </w:rPr>
        <w:t>y</w:t>
      </w:r>
      <w:r>
        <w:rPr>
          <w:i/>
          <w:spacing w:val="-1"/>
          <w:sz w:val="16"/>
        </w:rPr>
        <w:t xml:space="preserve"> </w:t>
      </w:r>
      <w:r>
        <w:rPr>
          <w:i/>
          <w:sz w:val="16"/>
        </w:rPr>
        <w:t>alcance de</w:t>
      </w:r>
      <w:r>
        <w:rPr>
          <w:i/>
          <w:spacing w:val="-10"/>
          <w:sz w:val="16"/>
        </w:rPr>
        <w:t xml:space="preserve"> </w:t>
      </w:r>
      <w:r>
        <w:rPr>
          <w:i/>
          <w:sz w:val="16"/>
        </w:rPr>
        <w:t>los</w:t>
      </w:r>
      <w:r>
        <w:rPr>
          <w:i/>
          <w:spacing w:val="-10"/>
          <w:sz w:val="16"/>
        </w:rPr>
        <w:t xml:space="preserve"> </w:t>
      </w:r>
      <w:r>
        <w:rPr>
          <w:i/>
          <w:sz w:val="16"/>
        </w:rPr>
        <w:t>artículos</w:t>
      </w:r>
      <w:r>
        <w:rPr>
          <w:i/>
          <w:spacing w:val="-11"/>
          <w:sz w:val="16"/>
        </w:rPr>
        <w:t xml:space="preserve"> </w:t>
      </w:r>
      <w:r>
        <w:rPr>
          <w:i/>
          <w:sz w:val="16"/>
        </w:rPr>
        <w:t>4.1</w:t>
      </w:r>
      <w:r>
        <w:rPr>
          <w:i/>
          <w:spacing w:val="-9"/>
          <w:sz w:val="16"/>
        </w:rPr>
        <w:t xml:space="preserve"> </w:t>
      </w:r>
      <w:r>
        <w:rPr>
          <w:i/>
          <w:sz w:val="16"/>
        </w:rPr>
        <w:t>y</w:t>
      </w:r>
      <w:r>
        <w:rPr>
          <w:i/>
          <w:spacing w:val="-10"/>
          <w:sz w:val="16"/>
        </w:rPr>
        <w:t xml:space="preserve"> </w:t>
      </w:r>
      <w:r>
        <w:rPr>
          <w:i/>
          <w:sz w:val="16"/>
        </w:rPr>
        <w:t>5.1,</w:t>
      </w:r>
      <w:r>
        <w:rPr>
          <w:i/>
          <w:spacing w:val="-11"/>
          <w:sz w:val="16"/>
        </w:rPr>
        <w:t xml:space="preserve"> </w:t>
      </w:r>
      <w:r>
        <w:rPr>
          <w:i/>
          <w:sz w:val="16"/>
        </w:rPr>
        <w:t>en</w:t>
      </w:r>
      <w:r>
        <w:rPr>
          <w:i/>
          <w:spacing w:val="-10"/>
          <w:sz w:val="16"/>
        </w:rPr>
        <w:t xml:space="preserve"> </w:t>
      </w:r>
      <w:r>
        <w:rPr>
          <w:i/>
          <w:sz w:val="16"/>
        </w:rPr>
        <w:t>relación</w:t>
      </w:r>
      <w:r>
        <w:rPr>
          <w:i/>
          <w:spacing w:val="-8"/>
          <w:sz w:val="16"/>
        </w:rPr>
        <w:t xml:space="preserve"> </w:t>
      </w:r>
      <w:r>
        <w:rPr>
          <w:i/>
          <w:sz w:val="16"/>
        </w:rPr>
        <w:t>con</w:t>
      </w:r>
      <w:r>
        <w:rPr>
          <w:i/>
          <w:spacing w:val="-8"/>
          <w:sz w:val="16"/>
        </w:rPr>
        <w:t xml:space="preserve"> </w:t>
      </w:r>
      <w:r>
        <w:rPr>
          <w:i/>
          <w:sz w:val="16"/>
        </w:rPr>
        <w:t>los</w:t>
      </w:r>
      <w:r>
        <w:rPr>
          <w:i/>
          <w:spacing w:val="-9"/>
          <w:sz w:val="16"/>
        </w:rPr>
        <w:t xml:space="preserve"> </w:t>
      </w:r>
      <w:r>
        <w:rPr>
          <w:i/>
          <w:sz w:val="16"/>
        </w:rPr>
        <w:t>artículos</w:t>
      </w:r>
      <w:r>
        <w:rPr>
          <w:i/>
          <w:spacing w:val="-12"/>
          <w:sz w:val="16"/>
        </w:rPr>
        <w:t xml:space="preserve"> </w:t>
      </w:r>
      <w:r>
        <w:rPr>
          <w:i/>
          <w:sz w:val="16"/>
        </w:rPr>
        <w:t>1.1</w:t>
      </w:r>
      <w:r>
        <w:rPr>
          <w:i/>
          <w:spacing w:val="-8"/>
          <w:sz w:val="16"/>
        </w:rPr>
        <w:t xml:space="preserve"> </w:t>
      </w:r>
      <w:r>
        <w:rPr>
          <w:i/>
          <w:sz w:val="16"/>
        </w:rPr>
        <w:t>y</w:t>
      </w:r>
      <w:r>
        <w:rPr>
          <w:i/>
          <w:spacing w:val="-11"/>
          <w:sz w:val="16"/>
        </w:rPr>
        <w:t xml:space="preserve"> </w:t>
      </w:r>
      <w:r>
        <w:rPr>
          <w:i/>
          <w:sz w:val="16"/>
        </w:rPr>
        <w:t>2</w:t>
      </w:r>
      <w:r>
        <w:rPr>
          <w:i/>
          <w:spacing w:val="-8"/>
          <w:sz w:val="16"/>
        </w:rPr>
        <w:t xml:space="preserve"> </w:t>
      </w:r>
      <w:r>
        <w:rPr>
          <w:i/>
          <w:sz w:val="16"/>
        </w:rPr>
        <w:t>de</w:t>
      </w:r>
      <w:r>
        <w:rPr>
          <w:i/>
          <w:spacing w:val="-10"/>
          <w:sz w:val="16"/>
        </w:rPr>
        <w:t xml:space="preserve"> </w:t>
      </w:r>
      <w:r>
        <w:rPr>
          <w:i/>
          <w:sz w:val="16"/>
        </w:rPr>
        <w:t>la</w:t>
      </w:r>
      <w:r>
        <w:rPr>
          <w:i/>
          <w:spacing w:val="-9"/>
          <w:sz w:val="16"/>
        </w:rPr>
        <w:t xml:space="preserve"> </w:t>
      </w:r>
      <w:r>
        <w:rPr>
          <w:i/>
          <w:sz w:val="16"/>
        </w:rPr>
        <w:t>Convención</w:t>
      </w:r>
      <w:r>
        <w:rPr>
          <w:i/>
          <w:spacing w:val="-11"/>
          <w:sz w:val="16"/>
        </w:rPr>
        <w:t xml:space="preserve"> </w:t>
      </w:r>
      <w:r>
        <w:rPr>
          <w:i/>
          <w:sz w:val="16"/>
        </w:rPr>
        <w:t>Americana</w:t>
      </w:r>
      <w:r>
        <w:rPr>
          <w:i/>
          <w:spacing w:val="-13"/>
          <w:sz w:val="16"/>
        </w:rPr>
        <w:t xml:space="preserve"> </w:t>
      </w:r>
      <w:r>
        <w:rPr>
          <w:i/>
          <w:sz w:val="16"/>
        </w:rPr>
        <w:t>sobre</w:t>
      </w:r>
      <w:r>
        <w:rPr>
          <w:i/>
          <w:spacing w:val="-9"/>
          <w:sz w:val="16"/>
        </w:rPr>
        <w:t xml:space="preserve"> </w:t>
      </w:r>
      <w:r>
        <w:rPr>
          <w:i/>
          <w:sz w:val="16"/>
        </w:rPr>
        <w:t>Derechos</w:t>
      </w:r>
      <w:r>
        <w:rPr>
          <w:i/>
          <w:spacing w:val="-10"/>
          <w:sz w:val="16"/>
        </w:rPr>
        <w:t xml:space="preserve"> </w:t>
      </w:r>
      <w:r>
        <w:rPr>
          <w:i/>
          <w:sz w:val="16"/>
        </w:rPr>
        <w:t>Humanos), supra.</w:t>
      </w:r>
    </w:p>
    <w:p w14:paraId="76481094" w14:textId="77777777" w:rsidR="00467FCA" w:rsidRDefault="001B68EB">
      <w:pPr>
        <w:tabs>
          <w:tab w:val="left" w:pos="1166"/>
        </w:tabs>
        <w:ind w:left="458" w:right="273"/>
        <w:jc w:val="both"/>
        <w:rPr>
          <w:sz w:val="16"/>
        </w:rPr>
      </w:pPr>
      <w:bookmarkStart w:id="803" w:name="_bookmark722"/>
      <w:bookmarkEnd w:id="803"/>
      <w:r>
        <w:rPr>
          <w:position w:val="6"/>
          <w:sz w:val="10"/>
        </w:rPr>
        <w:t>40</w:t>
      </w:r>
      <w:r>
        <w:rPr>
          <w:position w:val="6"/>
          <w:sz w:val="10"/>
        </w:rPr>
        <w:tab/>
      </w:r>
      <w:r>
        <w:rPr>
          <w:i/>
          <w:sz w:val="16"/>
        </w:rPr>
        <w:t>Cfr. Caso Empleados de la Fábrica de Fuegos en Santo Antônio de Jesus y sus familiares Vs. Brasil, supra</w:t>
      </w:r>
      <w:r>
        <w:rPr>
          <w:sz w:val="16"/>
        </w:rPr>
        <w:t>, párrs. 164 a</w:t>
      </w:r>
      <w:r>
        <w:rPr>
          <w:spacing w:val="-5"/>
          <w:sz w:val="16"/>
        </w:rPr>
        <w:t xml:space="preserve"> </w:t>
      </w:r>
      <w:r>
        <w:rPr>
          <w:sz w:val="16"/>
        </w:rPr>
        <w:t>171.</w:t>
      </w:r>
    </w:p>
    <w:p w14:paraId="45B10563" w14:textId="77777777" w:rsidR="00467FCA" w:rsidRDefault="001B68EB">
      <w:pPr>
        <w:tabs>
          <w:tab w:val="left" w:pos="1166"/>
        </w:tabs>
        <w:ind w:left="458" w:right="273"/>
        <w:jc w:val="both"/>
        <w:rPr>
          <w:sz w:val="16"/>
        </w:rPr>
      </w:pPr>
      <w:bookmarkStart w:id="804" w:name="_bookmark723"/>
      <w:bookmarkEnd w:id="804"/>
      <w:r>
        <w:rPr>
          <w:position w:val="6"/>
          <w:sz w:val="10"/>
        </w:rPr>
        <w:t>41</w:t>
      </w:r>
      <w:r>
        <w:rPr>
          <w:position w:val="6"/>
          <w:sz w:val="10"/>
        </w:rPr>
        <w:tab/>
      </w:r>
      <w:r>
        <w:rPr>
          <w:i/>
          <w:sz w:val="16"/>
        </w:rPr>
        <w:t xml:space="preserve">Cfr. Caso Empleados de la Fábrica de Fuegos en Santo Antônio de Jesus </w:t>
      </w:r>
      <w:r>
        <w:rPr>
          <w:i/>
          <w:sz w:val="16"/>
        </w:rPr>
        <w:t>y sus familiares Vs. Brasil, supra</w:t>
      </w:r>
      <w:r>
        <w:rPr>
          <w:sz w:val="16"/>
        </w:rPr>
        <w:t>, párrs. 164 a 168 y 170 y</w:t>
      </w:r>
      <w:r>
        <w:rPr>
          <w:spacing w:val="-10"/>
          <w:sz w:val="16"/>
        </w:rPr>
        <w:t xml:space="preserve"> </w:t>
      </w:r>
      <w:r>
        <w:rPr>
          <w:sz w:val="16"/>
        </w:rPr>
        <w:t>171.</w:t>
      </w:r>
    </w:p>
    <w:p w14:paraId="3328781D" w14:textId="77777777" w:rsidR="00467FCA" w:rsidRDefault="00467FCA">
      <w:pPr>
        <w:jc w:val="both"/>
        <w:rPr>
          <w:sz w:val="16"/>
        </w:rPr>
        <w:sectPr w:rsidR="00467FCA">
          <w:pgSz w:w="12240" w:h="15840"/>
          <w:pgMar w:top="1340" w:right="1140" w:bottom="920" w:left="960" w:header="0" w:footer="734" w:gutter="0"/>
          <w:cols w:space="720"/>
        </w:sectPr>
      </w:pPr>
    </w:p>
    <w:p w14:paraId="3294BF83" w14:textId="77777777" w:rsidR="00467FCA" w:rsidRDefault="001B68EB">
      <w:pPr>
        <w:pStyle w:val="Prrafodelista"/>
        <w:numPr>
          <w:ilvl w:val="1"/>
          <w:numId w:val="7"/>
        </w:numPr>
        <w:tabs>
          <w:tab w:val="left" w:pos="1877"/>
        </w:tabs>
        <w:spacing w:before="78"/>
        <w:ind w:right="744" w:firstLine="0"/>
        <w:jc w:val="both"/>
        <w:rPr>
          <w:sz w:val="16"/>
        </w:rPr>
      </w:pPr>
      <w:r>
        <w:rPr>
          <w:sz w:val="16"/>
        </w:rPr>
        <w:t xml:space="preserve">Conforme a lo anterior, el Estado desconoció el derecho a condiciones equitativas y satisfactorias de trabajo, en la medida en que </w:t>
      </w:r>
      <w:r>
        <w:rPr>
          <w:i/>
          <w:sz w:val="16"/>
          <w:u w:val="single"/>
        </w:rPr>
        <w:t>falló en su deber de prevenir accidentes de t</w:t>
      </w:r>
      <w:r>
        <w:rPr>
          <w:i/>
          <w:sz w:val="16"/>
          <w:u w:val="single"/>
        </w:rPr>
        <w:t>rabajo</w:t>
      </w:r>
      <w:r>
        <w:rPr>
          <w:sz w:val="16"/>
        </w:rPr>
        <w:t xml:space="preserve">. Dicho deber resulta aún más relevante debido a la magnitud de los hechos del presente caso, </w:t>
      </w:r>
      <w:r>
        <w:rPr>
          <w:i/>
          <w:spacing w:val="-4"/>
          <w:sz w:val="16"/>
          <w:u w:val="single"/>
        </w:rPr>
        <w:t xml:space="preserve">que </w:t>
      </w:r>
      <w:r>
        <w:rPr>
          <w:i/>
          <w:sz w:val="16"/>
          <w:u w:val="single"/>
        </w:rPr>
        <w:t>terminaron por afectar gravemente la vida y la integridad personal de las trabajadoras y trabajadores.</w:t>
      </w:r>
      <w:r>
        <w:rPr>
          <w:i/>
          <w:sz w:val="16"/>
        </w:rPr>
        <w:t xml:space="preserve"> </w:t>
      </w:r>
      <w:r>
        <w:rPr>
          <w:sz w:val="16"/>
        </w:rPr>
        <w:t>En este caso, si bien Brasil cumplió con su deber</w:t>
      </w:r>
      <w:r>
        <w:rPr>
          <w:sz w:val="16"/>
        </w:rPr>
        <w:t xml:space="preserve"> de reglamentar la actividad desarrollada</w:t>
      </w:r>
      <w:r>
        <w:rPr>
          <w:spacing w:val="-3"/>
          <w:sz w:val="16"/>
        </w:rPr>
        <w:t xml:space="preserve"> </w:t>
      </w:r>
      <w:r>
        <w:rPr>
          <w:sz w:val="16"/>
        </w:rPr>
        <w:t>en</w:t>
      </w:r>
      <w:r>
        <w:rPr>
          <w:spacing w:val="-3"/>
          <w:sz w:val="16"/>
        </w:rPr>
        <w:t xml:space="preserve"> </w:t>
      </w:r>
      <w:r>
        <w:rPr>
          <w:sz w:val="16"/>
        </w:rPr>
        <w:t>la</w:t>
      </w:r>
      <w:r>
        <w:rPr>
          <w:spacing w:val="-3"/>
          <w:sz w:val="16"/>
        </w:rPr>
        <w:t xml:space="preserve"> </w:t>
      </w:r>
      <w:r>
        <w:rPr>
          <w:sz w:val="16"/>
        </w:rPr>
        <w:t>fábrica</w:t>
      </w:r>
      <w:r>
        <w:rPr>
          <w:spacing w:val="-3"/>
          <w:sz w:val="16"/>
        </w:rPr>
        <w:t xml:space="preserve"> </w:t>
      </w:r>
      <w:r>
        <w:rPr>
          <w:sz w:val="16"/>
        </w:rPr>
        <w:t>de</w:t>
      </w:r>
      <w:r>
        <w:rPr>
          <w:spacing w:val="-2"/>
          <w:sz w:val="16"/>
        </w:rPr>
        <w:t xml:space="preserve"> </w:t>
      </w:r>
      <w:r>
        <w:rPr>
          <w:sz w:val="16"/>
        </w:rPr>
        <w:t>fuegos</w:t>
      </w:r>
      <w:r>
        <w:rPr>
          <w:spacing w:val="-1"/>
          <w:sz w:val="16"/>
        </w:rPr>
        <w:t xml:space="preserve"> </w:t>
      </w:r>
      <w:r>
        <w:rPr>
          <w:sz w:val="16"/>
        </w:rPr>
        <w:t>(</w:t>
      </w:r>
      <w:r>
        <w:rPr>
          <w:i/>
          <w:sz w:val="16"/>
        </w:rPr>
        <w:t>supra</w:t>
      </w:r>
      <w:r>
        <w:rPr>
          <w:i/>
          <w:spacing w:val="-6"/>
          <w:sz w:val="16"/>
        </w:rPr>
        <w:t xml:space="preserve"> </w:t>
      </w:r>
      <w:r>
        <w:rPr>
          <w:sz w:val="16"/>
        </w:rPr>
        <w:t>párr.</w:t>
      </w:r>
      <w:r>
        <w:rPr>
          <w:spacing w:val="-3"/>
          <w:sz w:val="16"/>
        </w:rPr>
        <w:t xml:space="preserve"> </w:t>
      </w:r>
      <w:r>
        <w:rPr>
          <w:sz w:val="16"/>
        </w:rPr>
        <w:t>171),</w:t>
      </w:r>
      <w:r>
        <w:rPr>
          <w:spacing w:val="-6"/>
          <w:sz w:val="16"/>
        </w:rPr>
        <w:t xml:space="preserve"> </w:t>
      </w:r>
      <w:r>
        <w:rPr>
          <w:i/>
          <w:sz w:val="16"/>
          <w:u w:val="single"/>
        </w:rPr>
        <w:t>falló</w:t>
      </w:r>
      <w:r>
        <w:rPr>
          <w:i/>
          <w:spacing w:val="-4"/>
          <w:sz w:val="16"/>
          <w:u w:val="single"/>
        </w:rPr>
        <w:t xml:space="preserve"> </w:t>
      </w:r>
      <w:r>
        <w:rPr>
          <w:i/>
          <w:sz w:val="16"/>
          <w:u w:val="single"/>
        </w:rPr>
        <w:t>al</w:t>
      </w:r>
      <w:r>
        <w:rPr>
          <w:i/>
          <w:spacing w:val="-2"/>
          <w:sz w:val="16"/>
          <w:u w:val="single"/>
        </w:rPr>
        <w:t xml:space="preserve"> </w:t>
      </w:r>
      <w:r>
        <w:rPr>
          <w:i/>
          <w:sz w:val="16"/>
          <w:u w:val="single"/>
        </w:rPr>
        <w:t>ejercer</w:t>
      </w:r>
      <w:r>
        <w:rPr>
          <w:i/>
          <w:spacing w:val="-2"/>
          <w:sz w:val="16"/>
          <w:u w:val="single"/>
        </w:rPr>
        <w:t xml:space="preserve"> </w:t>
      </w:r>
      <w:r>
        <w:rPr>
          <w:i/>
          <w:sz w:val="16"/>
          <w:u w:val="single"/>
        </w:rPr>
        <w:t>el</w:t>
      </w:r>
      <w:r>
        <w:rPr>
          <w:i/>
          <w:spacing w:val="-3"/>
          <w:sz w:val="16"/>
          <w:u w:val="single"/>
        </w:rPr>
        <w:t xml:space="preserve"> </w:t>
      </w:r>
      <w:r>
        <w:rPr>
          <w:i/>
          <w:sz w:val="16"/>
          <w:u w:val="single"/>
        </w:rPr>
        <w:t>control</w:t>
      </w:r>
      <w:r>
        <w:rPr>
          <w:i/>
          <w:spacing w:val="-3"/>
          <w:sz w:val="16"/>
          <w:u w:val="single"/>
        </w:rPr>
        <w:t xml:space="preserve"> </w:t>
      </w:r>
      <w:r>
        <w:rPr>
          <w:i/>
          <w:sz w:val="16"/>
          <w:u w:val="single"/>
        </w:rPr>
        <w:t>y</w:t>
      </w:r>
      <w:r>
        <w:rPr>
          <w:i/>
          <w:spacing w:val="-4"/>
          <w:sz w:val="16"/>
          <w:u w:val="single"/>
        </w:rPr>
        <w:t xml:space="preserve"> </w:t>
      </w:r>
      <w:r>
        <w:rPr>
          <w:i/>
          <w:sz w:val="16"/>
          <w:u w:val="single"/>
        </w:rPr>
        <w:t>fiscalización</w:t>
      </w:r>
      <w:r>
        <w:rPr>
          <w:i/>
          <w:spacing w:val="-2"/>
          <w:sz w:val="16"/>
          <w:u w:val="single"/>
        </w:rPr>
        <w:t xml:space="preserve"> </w:t>
      </w:r>
      <w:r>
        <w:rPr>
          <w:i/>
          <w:sz w:val="16"/>
          <w:u w:val="single"/>
        </w:rPr>
        <w:t>de</w:t>
      </w:r>
      <w:r>
        <w:rPr>
          <w:i/>
          <w:spacing w:val="-2"/>
          <w:sz w:val="16"/>
          <w:u w:val="single"/>
        </w:rPr>
        <w:t xml:space="preserve"> </w:t>
      </w:r>
      <w:r>
        <w:rPr>
          <w:i/>
          <w:sz w:val="16"/>
          <w:u w:val="single"/>
        </w:rPr>
        <w:t>las condiciones</w:t>
      </w:r>
      <w:r>
        <w:rPr>
          <w:i/>
          <w:spacing w:val="-3"/>
          <w:sz w:val="16"/>
          <w:u w:val="single"/>
        </w:rPr>
        <w:t xml:space="preserve"> </w:t>
      </w:r>
      <w:r>
        <w:rPr>
          <w:i/>
          <w:sz w:val="16"/>
          <w:u w:val="single"/>
        </w:rPr>
        <w:t>laborales,</w:t>
      </w:r>
      <w:r>
        <w:rPr>
          <w:i/>
          <w:spacing w:val="-4"/>
          <w:sz w:val="16"/>
          <w:u w:val="single"/>
        </w:rPr>
        <w:t xml:space="preserve"> </w:t>
      </w:r>
      <w:r>
        <w:rPr>
          <w:i/>
          <w:sz w:val="16"/>
          <w:u w:val="single"/>
        </w:rPr>
        <w:t>como</w:t>
      </w:r>
      <w:r>
        <w:rPr>
          <w:i/>
          <w:spacing w:val="-4"/>
          <w:sz w:val="16"/>
          <w:u w:val="single"/>
        </w:rPr>
        <w:t xml:space="preserve"> </w:t>
      </w:r>
      <w:r>
        <w:rPr>
          <w:i/>
          <w:sz w:val="16"/>
          <w:u w:val="single"/>
        </w:rPr>
        <w:t>medida</w:t>
      </w:r>
      <w:r>
        <w:rPr>
          <w:i/>
          <w:spacing w:val="-3"/>
          <w:sz w:val="16"/>
          <w:u w:val="single"/>
        </w:rPr>
        <w:t xml:space="preserve"> </w:t>
      </w:r>
      <w:r>
        <w:rPr>
          <w:i/>
          <w:sz w:val="16"/>
          <w:u w:val="single"/>
        </w:rPr>
        <w:t>necesaria</w:t>
      </w:r>
      <w:r>
        <w:rPr>
          <w:i/>
          <w:spacing w:val="-6"/>
          <w:sz w:val="16"/>
          <w:u w:val="single"/>
        </w:rPr>
        <w:t xml:space="preserve"> </w:t>
      </w:r>
      <w:r>
        <w:rPr>
          <w:i/>
          <w:sz w:val="16"/>
          <w:u w:val="single"/>
        </w:rPr>
        <w:t>para</w:t>
      </w:r>
      <w:r>
        <w:rPr>
          <w:i/>
          <w:spacing w:val="-3"/>
          <w:sz w:val="16"/>
          <w:u w:val="single"/>
        </w:rPr>
        <w:t xml:space="preserve"> </w:t>
      </w:r>
      <w:r>
        <w:rPr>
          <w:i/>
          <w:sz w:val="16"/>
          <w:u w:val="single"/>
        </w:rPr>
        <w:t>la</w:t>
      </w:r>
      <w:r>
        <w:rPr>
          <w:i/>
          <w:spacing w:val="-3"/>
          <w:sz w:val="16"/>
          <w:u w:val="single"/>
        </w:rPr>
        <w:t xml:space="preserve"> </w:t>
      </w:r>
      <w:r>
        <w:rPr>
          <w:i/>
          <w:sz w:val="16"/>
          <w:u w:val="single"/>
        </w:rPr>
        <w:t>prevención</w:t>
      </w:r>
      <w:r>
        <w:rPr>
          <w:i/>
          <w:spacing w:val="-4"/>
          <w:sz w:val="16"/>
          <w:u w:val="single"/>
        </w:rPr>
        <w:t xml:space="preserve"> </w:t>
      </w:r>
      <w:r>
        <w:rPr>
          <w:i/>
          <w:sz w:val="16"/>
          <w:u w:val="single"/>
        </w:rPr>
        <w:t>de</w:t>
      </w:r>
      <w:r>
        <w:rPr>
          <w:i/>
          <w:spacing w:val="-3"/>
          <w:sz w:val="16"/>
          <w:u w:val="single"/>
        </w:rPr>
        <w:t xml:space="preserve"> </w:t>
      </w:r>
      <w:r>
        <w:rPr>
          <w:i/>
          <w:sz w:val="16"/>
          <w:u w:val="single"/>
        </w:rPr>
        <w:t>accidentes</w:t>
      </w:r>
      <w:r>
        <w:rPr>
          <w:sz w:val="16"/>
        </w:rPr>
        <w:t>.</w:t>
      </w:r>
      <w:r>
        <w:rPr>
          <w:spacing w:val="-3"/>
          <w:sz w:val="16"/>
        </w:rPr>
        <w:t xml:space="preserve"> </w:t>
      </w:r>
      <w:r>
        <w:rPr>
          <w:sz w:val="16"/>
        </w:rPr>
        <w:t>Ello,</w:t>
      </w:r>
      <w:r>
        <w:rPr>
          <w:spacing w:val="-3"/>
          <w:sz w:val="16"/>
        </w:rPr>
        <w:t xml:space="preserve"> </w:t>
      </w:r>
      <w:r>
        <w:rPr>
          <w:sz w:val="16"/>
        </w:rPr>
        <w:t>pese</w:t>
      </w:r>
      <w:r>
        <w:rPr>
          <w:spacing w:val="-2"/>
          <w:sz w:val="16"/>
        </w:rPr>
        <w:t xml:space="preserve"> </w:t>
      </w:r>
      <w:r>
        <w:rPr>
          <w:sz w:val="16"/>
        </w:rPr>
        <w:t>a</w:t>
      </w:r>
      <w:r>
        <w:rPr>
          <w:spacing w:val="-3"/>
          <w:sz w:val="16"/>
        </w:rPr>
        <w:t xml:space="preserve"> </w:t>
      </w:r>
      <w:r>
        <w:rPr>
          <w:sz w:val="16"/>
        </w:rPr>
        <w:t>que</w:t>
      </w:r>
      <w:r>
        <w:rPr>
          <w:spacing w:val="-2"/>
          <w:sz w:val="16"/>
        </w:rPr>
        <w:t xml:space="preserve"> </w:t>
      </w:r>
      <w:r>
        <w:rPr>
          <w:sz w:val="16"/>
        </w:rPr>
        <w:t>las relaciones laborales exigen supervisión por parte del Estado, más aún cuando se trata del ejercicio de actividades peligrosas […]</w:t>
      </w:r>
      <w:hyperlink w:anchor="_bookmark724" w:history="1">
        <w:r>
          <w:rPr>
            <w:position w:val="6"/>
            <w:sz w:val="10"/>
          </w:rPr>
          <w:t>42</w:t>
        </w:r>
      </w:hyperlink>
      <w:r>
        <w:rPr>
          <w:position w:val="6"/>
          <w:sz w:val="10"/>
        </w:rPr>
        <w:t xml:space="preserve"> </w:t>
      </w:r>
      <w:r>
        <w:rPr>
          <w:sz w:val="16"/>
        </w:rPr>
        <w:t>(énfasis</w:t>
      </w:r>
      <w:r>
        <w:rPr>
          <w:spacing w:val="-14"/>
          <w:sz w:val="16"/>
        </w:rPr>
        <w:t xml:space="preserve"> </w:t>
      </w:r>
      <w:r>
        <w:rPr>
          <w:sz w:val="16"/>
        </w:rPr>
        <w:t>añadido).</w:t>
      </w:r>
    </w:p>
    <w:p w14:paraId="0F83C94D" w14:textId="77777777" w:rsidR="00467FCA" w:rsidRDefault="00467FCA">
      <w:pPr>
        <w:pStyle w:val="Textoindependiente"/>
        <w:spacing w:before="11"/>
        <w:rPr>
          <w:sz w:val="19"/>
        </w:rPr>
      </w:pPr>
    </w:p>
    <w:p w14:paraId="4DCE581A" w14:textId="77777777" w:rsidR="00467FCA" w:rsidRDefault="001B68EB">
      <w:pPr>
        <w:pStyle w:val="Prrafodelista"/>
        <w:numPr>
          <w:ilvl w:val="0"/>
          <w:numId w:val="7"/>
        </w:numPr>
        <w:tabs>
          <w:tab w:val="left" w:pos="1167"/>
        </w:tabs>
        <w:spacing w:before="1"/>
        <w:ind w:right="276" w:firstLine="0"/>
        <w:jc w:val="both"/>
        <w:rPr>
          <w:sz w:val="20"/>
        </w:rPr>
      </w:pPr>
      <w:r>
        <w:rPr>
          <w:sz w:val="20"/>
        </w:rPr>
        <w:t xml:space="preserve">En el caso </w:t>
      </w:r>
      <w:r>
        <w:rPr>
          <w:i/>
          <w:sz w:val="20"/>
        </w:rPr>
        <w:t xml:space="preserve">Lagos del Campo, </w:t>
      </w:r>
      <w:r>
        <w:rPr>
          <w:sz w:val="20"/>
        </w:rPr>
        <w:t xml:space="preserve">ya se había indicado que, dentro de las </w:t>
      </w:r>
      <w:r>
        <w:rPr>
          <w:sz w:val="20"/>
        </w:rPr>
        <w:t>obligaciones de protección que tienen los Estados en el marco del derecho al trabajo, en las relaciones entre particulares</w:t>
      </w:r>
      <w:r>
        <w:rPr>
          <w:spacing w:val="-18"/>
          <w:sz w:val="20"/>
        </w:rPr>
        <w:t xml:space="preserve"> </w:t>
      </w:r>
      <w:r>
        <w:rPr>
          <w:sz w:val="20"/>
        </w:rPr>
        <w:t>(en</w:t>
      </w:r>
      <w:r>
        <w:rPr>
          <w:spacing w:val="-15"/>
          <w:sz w:val="20"/>
        </w:rPr>
        <w:t xml:space="preserve"> </w:t>
      </w:r>
      <w:r>
        <w:rPr>
          <w:sz w:val="20"/>
        </w:rPr>
        <w:t>aquel</w:t>
      </w:r>
      <w:r>
        <w:rPr>
          <w:spacing w:val="-16"/>
          <w:sz w:val="20"/>
        </w:rPr>
        <w:t xml:space="preserve"> </w:t>
      </w:r>
      <w:r>
        <w:rPr>
          <w:sz w:val="20"/>
        </w:rPr>
        <w:t>caso</w:t>
      </w:r>
      <w:r>
        <w:rPr>
          <w:spacing w:val="-17"/>
          <w:sz w:val="20"/>
        </w:rPr>
        <w:t xml:space="preserve"> </w:t>
      </w:r>
      <w:r>
        <w:rPr>
          <w:sz w:val="20"/>
        </w:rPr>
        <w:t>se</w:t>
      </w:r>
      <w:r>
        <w:rPr>
          <w:spacing w:val="-20"/>
          <w:sz w:val="20"/>
        </w:rPr>
        <w:t xml:space="preserve"> </w:t>
      </w:r>
      <w:r>
        <w:rPr>
          <w:sz w:val="20"/>
        </w:rPr>
        <w:t>analizó</w:t>
      </w:r>
      <w:r>
        <w:rPr>
          <w:spacing w:val="-17"/>
          <w:sz w:val="20"/>
        </w:rPr>
        <w:t xml:space="preserve"> </w:t>
      </w:r>
      <w:r>
        <w:rPr>
          <w:sz w:val="20"/>
        </w:rPr>
        <w:t>la</w:t>
      </w:r>
      <w:r>
        <w:rPr>
          <w:spacing w:val="-16"/>
          <w:sz w:val="20"/>
        </w:rPr>
        <w:t xml:space="preserve"> </w:t>
      </w:r>
      <w:r>
        <w:rPr>
          <w:sz w:val="20"/>
        </w:rPr>
        <w:t>faceta</w:t>
      </w:r>
      <w:r>
        <w:rPr>
          <w:spacing w:val="-16"/>
          <w:sz w:val="20"/>
        </w:rPr>
        <w:t xml:space="preserve"> </w:t>
      </w:r>
      <w:r>
        <w:rPr>
          <w:sz w:val="20"/>
        </w:rPr>
        <w:t>relativa</w:t>
      </w:r>
      <w:r>
        <w:rPr>
          <w:spacing w:val="-18"/>
          <w:sz w:val="20"/>
        </w:rPr>
        <w:t xml:space="preserve"> </w:t>
      </w:r>
      <w:r>
        <w:rPr>
          <w:sz w:val="20"/>
        </w:rPr>
        <w:t>“a</w:t>
      </w:r>
      <w:r>
        <w:rPr>
          <w:spacing w:val="-16"/>
          <w:sz w:val="20"/>
        </w:rPr>
        <w:t xml:space="preserve"> </w:t>
      </w:r>
      <w:r>
        <w:rPr>
          <w:sz w:val="20"/>
        </w:rPr>
        <w:t>la</w:t>
      </w:r>
      <w:r>
        <w:rPr>
          <w:spacing w:val="-16"/>
          <w:sz w:val="20"/>
        </w:rPr>
        <w:t xml:space="preserve"> </w:t>
      </w:r>
      <w:r>
        <w:rPr>
          <w:sz w:val="20"/>
        </w:rPr>
        <w:t>estabilidad</w:t>
      </w:r>
      <w:r>
        <w:rPr>
          <w:spacing w:val="-18"/>
          <w:sz w:val="20"/>
        </w:rPr>
        <w:t xml:space="preserve"> </w:t>
      </w:r>
      <w:r>
        <w:rPr>
          <w:sz w:val="20"/>
        </w:rPr>
        <w:t>laboral”),</w:t>
      </w:r>
      <w:r>
        <w:rPr>
          <w:spacing w:val="-17"/>
          <w:sz w:val="20"/>
        </w:rPr>
        <w:t xml:space="preserve"> </w:t>
      </w:r>
      <w:r>
        <w:rPr>
          <w:sz w:val="20"/>
        </w:rPr>
        <w:t>se</w:t>
      </w:r>
      <w:r>
        <w:rPr>
          <w:spacing w:val="-17"/>
          <w:sz w:val="20"/>
        </w:rPr>
        <w:t xml:space="preserve"> </w:t>
      </w:r>
      <w:r>
        <w:rPr>
          <w:sz w:val="20"/>
        </w:rPr>
        <w:t>encuentra entre</w:t>
      </w:r>
      <w:r>
        <w:rPr>
          <w:spacing w:val="-8"/>
          <w:sz w:val="20"/>
        </w:rPr>
        <w:t xml:space="preserve"> </w:t>
      </w:r>
      <w:r>
        <w:rPr>
          <w:sz w:val="20"/>
        </w:rPr>
        <w:t>otras,</w:t>
      </w:r>
      <w:r>
        <w:rPr>
          <w:spacing w:val="-8"/>
          <w:sz w:val="20"/>
        </w:rPr>
        <w:t xml:space="preserve"> </w:t>
      </w:r>
      <w:r>
        <w:rPr>
          <w:sz w:val="20"/>
        </w:rPr>
        <w:t>la</w:t>
      </w:r>
      <w:r>
        <w:rPr>
          <w:spacing w:val="-8"/>
          <w:sz w:val="20"/>
        </w:rPr>
        <w:t xml:space="preserve"> </w:t>
      </w:r>
      <w:r>
        <w:rPr>
          <w:sz w:val="20"/>
        </w:rPr>
        <w:t>de</w:t>
      </w:r>
      <w:r>
        <w:rPr>
          <w:spacing w:val="-9"/>
          <w:sz w:val="20"/>
        </w:rPr>
        <w:t xml:space="preserve"> </w:t>
      </w:r>
      <w:r>
        <w:rPr>
          <w:sz w:val="20"/>
        </w:rPr>
        <w:t>“adoptar</w:t>
      </w:r>
      <w:r>
        <w:rPr>
          <w:spacing w:val="-9"/>
          <w:sz w:val="20"/>
        </w:rPr>
        <w:t xml:space="preserve"> </w:t>
      </w:r>
      <w:r>
        <w:rPr>
          <w:sz w:val="20"/>
        </w:rPr>
        <w:t>las</w:t>
      </w:r>
      <w:r>
        <w:rPr>
          <w:spacing w:val="-9"/>
          <w:sz w:val="20"/>
        </w:rPr>
        <w:t xml:space="preserve"> </w:t>
      </w:r>
      <w:r>
        <w:rPr>
          <w:sz w:val="20"/>
        </w:rPr>
        <w:t>medidas</w:t>
      </w:r>
      <w:r>
        <w:rPr>
          <w:spacing w:val="-9"/>
          <w:sz w:val="20"/>
        </w:rPr>
        <w:t xml:space="preserve"> </w:t>
      </w:r>
      <w:r>
        <w:rPr>
          <w:sz w:val="20"/>
        </w:rPr>
        <w:t>adecuadas</w:t>
      </w:r>
      <w:r>
        <w:rPr>
          <w:spacing w:val="-9"/>
          <w:sz w:val="20"/>
        </w:rPr>
        <w:t xml:space="preserve"> </w:t>
      </w:r>
      <w:r>
        <w:rPr>
          <w:sz w:val="20"/>
        </w:rPr>
        <w:t>para</w:t>
      </w:r>
      <w:r>
        <w:rPr>
          <w:spacing w:val="-9"/>
          <w:sz w:val="20"/>
        </w:rPr>
        <w:t xml:space="preserve"> </w:t>
      </w:r>
      <w:r>
        <w:rPr>
          <w:sz w:val="20"/>
        </w:rPr>
        <w:t>la</w:t>
      </w:r>
      <w:r>
        <w:rPr>
          <w:spacing w:val="-8"/>
          <w:sz w:val="20"/>
        </w:rPr>
        <w:t xml:space="preserve"> </w:t>
      </w:r>
      <w:r>
        <w:rPr>
          <w:sz w:val="20"/>
        </w:rPr>
        <w:t>debida</w:t>
      </w:r>
      <w:r>
        <w:rPr>
          <w:spacing w:val="-8"/>
          <w:sz w:val="20"/>
        </w:rPr>
        <w:t xml:space="preserve"> </w:t>
      </w:r>
      <w:r>
        <w:rPr>
          <w:sz w:val="20"/>
        </w:rPr>
        <w:t>regulación</w:t>
      </w:r>
      <w:r>
        <w:rPr>
          <w:spacing w:val="-7"/>
          <w:sz w:val="20"/>
        </w:rPr>
        <w:t xml:space="preserve"> </w:t>
      </w:r>
      <w:r>
        <w:rPr>
          <w:sz w:val="20"/>
        </w:rPr>
        <w:t>y</w:t>
      </w:r>
      <w:r>
        <w:rPr>
          <w:spacing w:val="-8"/>
          <w:sz w:val="20"/>
        </w:rPr>
        <w:t xml:space="preserve"> </w:t>
      </w:r>
      <w:r>
        <w:rPr>
          <w:sz w:val="20"/>
        </w:rPr>
        <w:t>fiscalización”</w:t>
      </w:r>
      <w:hyperlink w:anchor="_bookmark725" w:history="1">
        <w:r>
          <w:rPr>
            <w:position w:val="7"/>
            <w:sz w:val="13"/>
          </w:rPr>
          <w:t>43</w:t>
        </w:r>
      </w:hyperlink>
      <w:r>
        <w:rPr>
          <w:sz w:val="20"/>
        </w:rPr>
        <w:t>.</w:t>
      </w:r>
    </w:p>
    <w:p w14:paraId="0016C214" w14:textId="77777777" w:rsidR="00467FCA" w:rsidRDefault="00467FCA">
      <w:pPr>
        <w:pStyle w:val="Textoindependiente"/>
        <w:spacing w:before="1"/>
      </w:pPr>
    </w:p>
    <w:p w14:paraId="04202A93" w14:textId="77777777" w:rsidR="00467FCA" w:rsidRDefault="001B68EB">
      <w:pPr>
        <w:pStyle w:val="Prrafodelista"/>
        <w:numPr>
          <w:ilvl w:val="0"/>
          <w:numId w:val="7"/>
        </w:numPr>
        <w:tabs>
          <w:tab w:val="left" w:pos="1167"/>
        </w:tabs>
        <w:ind w:right="275" w:firstLine="0"/>
        <w:jc w:val="both"/>
        <w:rPr>
          <w:sz w:val="20"/>
        </w:rPr>
      </w:pPr>
      <w:r>
        <w:rPr>
          <w:sz w:val="20"/>
        </w:rPr>
        <w:t>La jurisprudencia del Tribunal de Estrasburgo ha tenido la oportunidad de analizar contextos de actividades denominadas “peligrosas” desde la óptica del artículo 2 (derecho a la vida) del Convenio Europeo de Derechos Humanos</w:t>
      </w:r>
      <w:hyperlink w:anchor="_bookmark726" w:history="1">
        <w:r>
          <w:rPr>
            <w:position w:val="7"/>
            <w:sz w:val="13"/>
          </w:rPr>
          <w:t>44</w:t>
        </w:r>
      </w:hyperlink>
      <w:r>
        <w:rPr>
          <w:sz w:val="20"/>
        </w:rPr>
        <w:t xml:space="preserve">. Ha expresado que la obligación positiva establecida en dicha disposición se puede interpretar como aplicable en el contexto de cualquier actividad, pública o no, en la que pueda estar en juego el derecho a la vida, y </w:t>
      </w:r>
      <w:r>
        <w:rPr>
          <w:i/>
          <w:sz w:val="20"/>
        </w:rPr>
        <w:t xml:space="preserve">a fortiori </w:t>
      </w:r>
      <w:r>
        <w:rPr>
          <w:sz w:val="20"/>
        </w:rPr>
        <w:t>en el caso de actividade</w:t>
      </w:r>
      <w:r>
        <w:rPr>
          <w:sz w:val="20"/>
        </w:rPr>
        <w:t>s industriales que por su propia naturaleza son peligrosas</w:t>
      </w:r>
      <w:hyperlink w:anchor="_bookmark727" w:history="1">
        <w:r>
          <w:rPr>
            <w:position w:val="7"/>
            <w:sz w:val="13"/>
          </w:rPr>
          <w:t>45</w:t>
        </w:r>
      </w:hyperlink>
      <w:r>
        <w:rPr>
          <w:sz w:val="20"/>
        </w:rPr>
        <w:t>, como la operación de sitios de recolección de desechos</w:t>
      </w:r>
      <w:hyperlink w:anchor="_bookmark728" w:history="1">
        <w:r>
          <w:rPr>
            <w:position w:val="7"/>
            <w:sz w:val="13"/>
          </w:rPr>
          <w:t>46</w:t>
        </w:r>
      </w:hyperlink>
      <w:r>
        <w:rPr>
          <w:sz w:val="20"/>
        </w:rPr>
        <w:t>, pruebas nucleares</w:t>
      </w:r>
      <w:hyperlink w:anchor="_bookmark729" w:history="1">
        <w:r>
          <w:rPr>
            <w:position w:val="7"/>
            <w:sz w:val="13"/>
          </w:rPr>
          <w:t>47</w:t>
        </w:r>
      </w:hyperlink>
      <w:r>
        <w:rPr>
          <w:sz w:val="20"/>
        </w:rPr>
        <w:t>, casos relacionados con emisiones tóxicas de un fábrica de fertilizantes</w:t>
      </w:r>
      <w:hyperlink w:anchor="_bookmark730" w:history="1">
        <w:r>
          <w:rPr>
            <w:position w:val="7"/>
            <w:sz w:val="13"/>
          </w:rPr>
          <w:t>48</w:t>
        </w:r>
      </w:hyperlink>
      <w:r>
        <w:rPr>
          <w:position w:val="7"/>
          <w:sz w:val="13"/>
        </w:rPr>
        <w:t xml:space="preserve"> </w:t>
      </w:r>
      <w:r>
        <w:rPr>
          <w:sz w:val="20"/>
        </w:rPr>
        <w:t>o la exposición de los trabajadores a materiales que pudieran dañar su salud en un lugar de trabajo administrado por</w:t>
      </w:r>
      <w:r>
        <w:rPr>
          <w:sz w:val="20"/>
        </w:rPr>
        <w:t xml:space="preserve"> una entidad de carácter público y controlada por el</w:t>
      </w:r>
      <w:r>
        <w:rPr>
          <w:spacing w:val="-5"/>
          <w:sz w:val="20"/>
        </w:rPr>
        <w:t xml:space="preserve"> </w:t>
      </w:r>
      <w:r>
        <w:rPr>
          <w:sz w:val="20"/>
        </w:rPr>
        <w:t>Gobierno</w:t>
      </w:r>
      <w:hyperlink w:anchor="_bookmark731" w:history="1">
        <w:r>
          <w:rPr>
            <w:position w:val="7"/>
            <w:sz w:val="13"/>
          </w:rPr>
          <w:t>49</w:t>
        </w:r>
      </w:hyperlink>
      <w:r>
        <w:rPr>
          <w:sz w:val="20"/>
        </w:rPr>
        <w:t>.</w:t>
      </w:r>
    </w:p>
    <w:p w14:paraId="610DEA72" w14:textId="77777777" w:rsidR="00467FCA" w:rsidRDefault="00467FCA">
      <w:pPr>
        <w:pStyle w:val="Textoindependiente"/>
      </w:pPr>
    </w:p>
    <w:p w14:paraId="6DE802E1" w14:textId="77777777" w:rsidR="00467FCA" w:rsidRDefault="001B68EB">
      <w:pPr>
        <w:pStyle w:val="Prrafodelista"/>
        <w:numPr>
          <w:ilvl w:val="0"/>
          <w:numId w:val="7"/>
        </w:numPr>
        <w:tabs>
          <w:tab w:val="left" w:pos="1167"/>
        </w:tabs>
        <w:ind w:right="274" w:firstLine="0"/>
        <w:jc w:val="both"/>
        <w:rPr>
          <w:sz w:val="20"/>
        </w:rPr>
      </w:pPr>
      <w:r>
        <w:rPr>
          <w:sz w:val="20"/>
        </w:rPr>
        <w:t>Particularmente la jurisprudencia del Tribunal Europeo no solo ha aplicado estas obligaciones en el marco de personas que han perdido la vida, sino que tambié</w:t>
      </w:r>
      <w:r>
        <w:rPr>
          <w:sz w:val="20"/>
        </w:rPr>
        <w:t>n ha considerado que pueden aplicarse “cuando exista un riesgo grave de muerte</w:t>
      </w:r>
      <w:r>
        <w:rPr>
          <w:spacing w:val="-18"/>
          <w:sz w:val="20"/>
        </w:rPr>
        <w:t xml:space="preserve"> </w:t>
      </w:r>
      <w:r>
        <w:rPr>
          <w:sz w:val="20"/>
        </w:rPr>
        <w:t>posterior”</w:t>
      </w:r>
      <w:hyperlink w:anchor="_bookmark732" w:history="1">
        <w:r>
          <w:rPr>
            <w:position w:val="7"/>
            <w:sz w:val="13"/>
          </w:rPr>
          <w:t>50</w:t>
        </w:r>
      </w:hyperlink>
      <w:r>
        <w:rPr>
          <w:sz w:val="20"/>
        </w:rPr>
        <w:t>.</w:t>
      </w:r>
    </w:p>
    <w:p w14:paraId="78C355D7" w14:textId="77777777" w:rsidR="00467FCA" w:rsidRDefault="00467FCA">
      <w:pPr>
        <w:pStyle w:val="Textoindependiente"/>
      </w:pPr>
    </w:p>
    <w:p w14:paraId="78C10CB7" w14:textId="77777777" w:rsidR="00467FCA" w:rsidRDefault="00467FCA">
      <w:pPr>
        <w:pStyle w:val="Textoindependiente"/>
      </w:pPr>
    </w:p>
    <w:p w14:paraId="2111D32D" w14:textId="77777777" w:rsidR="00467FCA" w:rsidRDefault="00467FCA">
      <w:pPr>
        <w:pStyle w:val="Textoindependiente"/>
      </w:pPr>
    </w:p>
    <w:p w14:paraId="43DF2137" w14:textId="77777777" w:rsidR="00467FCA" w:rsidRDefault="00467FCA">
      <w:pPr>
        <w:pStyle w:val="Textoindependiente"/>
      </w:pPr>
    </w:p>
    <w:p w14:paraId="620A19D7" w14:textId="77777777" w:rsidR="00467FCA" w:rsidRDefault="00467FCA">
      <w:pPr>
        <w:pStyle w:val="Textoindependiente"/>
      </w:pPr>
    </w:p>
    <w:p w14:paraId="388E254C" w14:textId="77777777" w:rsidR="00467FCA" w:rsidRDefault="00467FCA">
      <w:pPr>
        <w:pStyle w:val="Textoindependiente"/>
      </w:pPr>
    </w:p>
    <w:p w14:paraId="4039A66E" w14:textId="77777777" w:rsidR="00467FCA" w:rsidRDefault="001B68EB">
      <w:pPr>
        <w:pStyle w:val="Textoindependiente"/>
        <w:spacing w:before="3"/>
        <w:rPr>
          <w:sz w:val="25"/>
        </w:rPr>
      </w:pPr>
      <w:r>
        <w:pict w14:anchorId="25398C95">
          <v:shape id="_x0000_s1061" style="position:absolute;margin-left:70.9pt;margin-top:17.65pt;width:2in;height:.1pt;z-index:-251520000;mso-wrap-distance-left:0;mso-wrap-distance-right:0;mso-position-horizontal-relative:page" coordorigin="1418,353" coordsize="2880,0" path="m1418,353r2880,e" filled="f" strokeweight=".6pt">
            <v:path arrowok="t"/>
            <w10:wrap type="topAndBottom" anchorx="page"/>
          </v:shape>
        </w:pict>
      </w:r>
    </w:p>
    <w:p w14:paraId="7EB2B149" w14:textId="77777777" w:rsidR="00467FCA" w:rsidRDefault="001B68EB">
      <w:pPr>
        <w:tabs>
          <w:tab w:val="left" w:pos="1166"/>
        </w:tabs>
        <w:spacing w:before="74"/>
        <w:ind w:left="458" w:right="273"/>
        <w:jc w:val="both"/>
        <w:rPr>
          <w:sz w:val="16"/>
        </w:rPr>
      </w:pPr>
      <w:bookmarkStart w:id="805" w:name="_bookmark724"/>
      <w:bookmarkEnd w:id="805"/>
      <w:r>
        <w:rPr>
          <w:position w:val="6"/>
          <w:sz w:val="10"/>
        </w:rPr>
        <w:t>42</w:t>
      </w:r>
      <w:r>
        <w:rPr>
          <w:position w:val="6"/>
          <w:sz w:val="10"/>
        </w:rPr>
        <w:tab/>
      </w:r>
      <w:r>
        <w:rPr>
          <w:i/>
          <w:sz w:val="16"/>
        </w:rPr>
        <w:t>Cfr. Caso Empleados de la Fábrica de Fuegos en Santo Antônio de Jesus y sus familiares Vs. Brasil, supra</w:t>
      </w:r>
      <w:r>
        <w:rPr>
          <w:sz w:val="16"/>
        </w:rPr>
        <w:t>, parrs. 175 y</w:t>
      </w:r>
      <w:r>
        <w:rPr>
          <w:spacing w:val="-3"/>
          <w:sz w:val="16"/>
        </w:rPr>
        <w:t xml:space="preserve"> </w:t>
      </w:r>
      <w:r>
        <w:rPr>
          <w:sz w:val="16"/>
        </w:rPr>
        <w:t>1</w:t>
      </w:r>
      <w:r>
        <w:rPr>
          <w:sz w:val="16"/>
        </w:rPr>
        <w:t>76.</w:t>
      </w:r>
    </w:p>
    <w:p w14:paraId="284829DE" w14:textId="77777777" w:rsidR="00467FCA" w:rsidRDefault="001B68EB">
      <w:pPr>
        <w:tabs>
          <w:tab w:val="left" w:pos="1166"/>
        </w:tabs>
        <w:ind w:left="458"/>
        <w:jc w:val="both"/>
        <w:rPr>
          <w:sz w:val="16"/>
        </w:rPr>
      </w:pPr>
      <w:bookmarkStart w:id="806" w:name="_bookmark725"/>
      <w:bookmarkEnd w:id="806"/>
      <w:r>
        <w:rPr>
          <w:position w:val="6"/>
          <w:sz w:val="10"/>
        </w:rPr>
        <w:t>43</w:t>
      </w:r>
      <w:r>
        <w:rPr>
          <w:position w:val="6"/>
          <w:sz w:val="10"/>
        </w:rPr>
        <w:tab/>
      </w:r>
      <w:r>
        <w:rPr>
          <w:i/>
          <w:sz w:val="16"/>
        </w:rPr>
        <w:t>Cfr. Caso Lagos del Campo Vs. Perú, supra</w:t>
      </w:r>
      <w:r>
        <w:rPr>
          <w:sz w:val="16"/>
        </w:rPr>
        <w:t>, párr.</w:t>
      </w:r>
      <w:r>
        <w:rPr>
          <w:spacing w:val="-10"/>
          <w:sz w:val="16"/>
        </w:rPr>
        <w:t xml:space="preserve"> </w:t>
      </w:r>
      <w:r>
        <w:rPr>
          <w:sz w:val="16"/>
        </w:rPr>
        <w:t>149.</w:t>
      </w:r>
    </w:p>
    <w:p w14:paraId="737AF64C" w14:textId="77777777" w:rsidR="00467FCA" w:rsidRDefault="001B68EB">
      <w:pPr>
        <w:tabs>
          <w:tab w:val="left" w:pos="1166"/>
        </w:tabs>
        <w:ind w:left="458" w:right="270"/>
        <w:jc w:val="both"/>
        <w:rPr>
          <w:sz w:val="16"/>
        </w:rPr>
      </w:pPr>
      <w:bookmarkStart w:id="807" w:name="_bookmark726"/>
      <w:bookmarkEnd w:id="807"/>
      <w:r>
        <w:rPr>
          <w:position w:val="6"/>
          <w:sz w:val="10"/>
        </w:rPr>
        <w:t>44</w:t>
      </w:r>
      <w:r>
        <w:rPr>
          <w:position w:val="6"/>
          <w:sz w:val="10"/>
        </w:rPr>
        <w:tab/>
      </w:r>
      <w:r>
        <w:rPr>
          <w:sz w:val="16"/>
        </w:rPr>
        <w:t>En</w:t>
      </w:r>
      <w:r>
        <w:rPr>
          <w:spacing w:val="-6"/>
          <w:sz w:val="16"/>
        </w:rPr>
        <w:t xml:space="preserve"> </w:t>
      </w:r>
      <w:r>
        <w:rPr>
          <w:sz w:val="16"/>
        </w:rPr>
        <w:t>similar</w:t>
      </w:r>
      <w:r>
        <w:rPr>
          <w:spacing w:val="-4"/>
          <w:sz w:val="16"/>
        </w:rPr>
        <w:t xml:space="preserve"> </w:t>
      </w:r>
      <w:r>
        <w:rPr>
          <w:sz w:val="16"/>
        </w:rPr>
        <w:t>sentido</w:t>
      </w:r>
      <w:r>
        <w:rPr>
          <w:spacing w:val="-4"/>
          <w:sz w:val="16"/>
        </w:rPr>
        <w:t xml:space="preserve"> </w:t>
      </w:r>
      <w:r>
        <w:rPr>
          <w:sz w:val="16"/>
        </w:rPr>
        <w:t>se</w:t>
      </w:r>
      <w:r>
        <w:rPr>
          <w:spacing w:val="-5"/>
          <w:sz w:val="16"/>
        </w:rPr>
        <w:t xml:space="preserve"> </w:t>
      </w:r>
      <w:r>
        <w:rPr>
          <w:sz w:val="16"/>
        </w:rPr>
        <w:t>ha</w:t>
      </w:r>
      <w:r>
        <w:rPr>
          <w:spacing w:val="-8"/>
          <w:sz w:val="16"/>
        </w:rPr>
        <w:t xml:space="preserve"> </w:t>
      </w:r>
      <w:r>
        <w:rPr>
          <w:sz w:val="16"/>
        </w:rPr>
        <w:t>expresado</w:t>
      </w:r>
      <w:r>
        <w:rPr>
          <w:spacing w:val="-7"/>
          <w:sz w:val="16"/>
        </w:rPr>
        <w:t xml:space="preserve"> </w:t>
      </w:r>
      <w:r>
        <w:rPr>
          <w:sz w:val="16"/>
        </w:rPr>
        <w:t>el</w:t>
      </w:r>
      <w:r>
        <w:rPr>
          <w:spacing w:val="-5"/>
          <w:sz w:val="16"/>
        </w:rPr>
        <w:t xml:space="preserve"> </w:t>
      </w:r>
      <w:r>
        <w:rPr>
          <w:sz w:val="16"/>
        </w:rPr>
        <w:t>Comité</w:t>
      </w:r>
      <w:r>
        <w:rPr>
          <w:spacing w:val="-5"/>
          <w:sz w:val="16"/>
        </w:rPr>
        <w:t xml:space="preserve"> </w:t>
      </w:r>
      <w:r>
        <w:rPr>
          <w:sz w:val="16"/>
        </w:rPr>
        <w:t>de</w:t>
      </w:r>
      <w:r>
        <w:rPr>
          <w:spacing w:val="-7"/>
          <w:sz w:val="16"/>
        </w:rPr>
        <w:t xml:space="preserve"> </w:t>
      </w:r>
      <w:r>
        <w:rPr>
          <w:sz w:val="16"/>
        </w:rPr>
        <w:t>Derechos</w:t>
      </w:r>
      <w:r>
        <w:rPr>
          <w:spacing w:val="-5"/>
          <w:sz w:val="16"/>
        </w:rPr>
        <w:t xml:space="preserve"> </w:t>
      </w:r>
      <w:r>
        <w:rPr>
          <w:sz w:val="16"/>
        </w:rPr>
        <w:t>Humanos</w:t>
      </w:r>
      <w:r>
        <w:rPr>
          <w:spacing w:val="-5"/>
          <w:sz w:val="16"/>
        </w:rPr>
        <w:t xml:space="preserve"> </w:t>
      </w:r>
      <w:r>
        <w:rPr>
          <w:sz w:val="16"/>
        </w:rPr>
        <w:t>en</w:t>
      </w:r>
      <w:r>
        <w:rPr>
          <w:spacing w:val="-6"/>
          <w:sz w:val="16"/>
        </w:rPr>
        <w:t xml:space="preserve"> </w:t>
      </w:r>
      <w:r>
        <w:rPr>
          <w:sz w:val="16"/>
        </w:rPr>
        <w:t>la</w:t>
      </w:r>
      <w:r>
        <w:rPr>
          <w:spacing w:val="-5"/>
          <w:sz w:val="16"/>
        </w:rPr>
        <w:t xml:space="preserve"> </w:t>
      </w:r>
      <w:r>
        <w:rPr>
          <w:sz w:val="16"/>
        </w:rPr>
        <w:t>Observación</w:t>
      </w:r>
      <w:r>
        <w:rPr>
          <w:spacing w:val="-6"/>
          <w:sz w:val="16"/>
        </w:rPr>
        <w:t xml:space="preserve"> </w:t>
      </w:r>
      <w:r>
        <w:rPr>
          <w:sz w:val="16"/>
        </w:rPr>
        <w:t>General</w:t>
      </w:r>
      <w:r>
        <w:rPr>
          <w:spacing w:val="-6"/>
          <w:sz w:val="16"/>
        </w:rPr>
        <w:t xml:space="preserve"> </w:t>
      </w:r>
      <w:r>
        <w:rPr>
          <w:sz w:val="16"/>
        </w:rPr>
        <w:t>No.</w:t>
      </w:r>
      <w:r>
        <w:rPr>
          <w:spacing w:val="-8"/>
          <w:sz w:val="16"/>
        </w:rPr>
        <w:t xml:space="preserve"> </w:t>
      </w:r>
      <w:r>
        <w:rPr>
          <w:sz w:val="16"/>
        </w:rPr>
        <w:t>36</w:t>
      </w:r>
      <w:r>
        <w:rPr>
          <w:spacing w:val="-6"/>
          <w:sz w:val="16"/>
        </w:rPr>
        <w:t xml:space="preserve"> </w:t>
      </w:r>
      <w:r>
        <w:rPr>
          <w:sz w:val="16"/>
        </w:rPr>
        <w:t>sobre el derecho a la vida, al indicar que la obligación de los Estados partes de respetar y garantizar el derecho el derecho a la vida resulta extensible a los supuestos razonablemente previsibles de amenazas y situaciones de peligro para la vida que pued</w:t>
      </w:r>
      <w:r>
        <w:rPr>
          <w:sz w:val="16"/>
        </w:rPr>
        <w:t xml:space="preserve">an ocasionar muertes. </w:t>
      </w:r>
      <w:r>
        <w:rPr>
          <w:i/>
          <w:sz w:val="16"/>
        </w:rPr>
        <w:t xml:space="preserve">Cfr. </w:t>
      </w:r>
      <w:r>
        <w:rPr>
          <w:sz w:val="16"/>
        </w:rPr>
        <w:t xml:space="preserve">Comité de Derechos Humanos, </w:t>
      </w:r>
      <w:r>
        <w:rPr>
          <w:i/>
          <w:sz w:val="16"/>
        </w:rPr>
        <w:t>Observación General No. 36, derecho a la vida</w:t>
      </w:r>
      <w:r>
        <w:rPr>
          <w:sz w:val="16"/>
        </w:rPr>
        <w:t>, CCPR//C/GC/36, 3 de septiembre de 2019, párr. 7. Hasta el momento, el referido Comité ha analizado esta situación</w:t>
      </w:r>
      <w:r>
        <w:rPr>
          <w:spacing w:val="-3"/>
          <w:sz w:val="16"/>
        </w:rPr>
        <w:t xml:space="preserve"> </w:t>
      </w:r>
      <w:r>
        <w:rPr>
          <w:sz w:val="16"/>
        </w:rPr>
        <w:t>en</w:t>
      </w:r>
      <w:r>
        <w:rPr>
          <w:spacing w:val="-3"/>
          <w:sz w:val="16"/>
        </w:rPr>
        <w:t xml:space="preserve"> </w:t>
      </w:r>
      <w:r>
        <w:rPr>
          <w:sz w:val="16"/>
        </w:rPr>
        <w:t>un</w:t>
      </w:r>
      <w:r>
        <w:rPr>
          <w:spacing w:val="-3"/>
          <w:sz w:val="16"/>
        </w:rPr>
        <w:t xml:space="preserve"> </w:t>
      </w:r>
      <w:r>
        <w:rPr>
          <w:sz w:val="16"/>
        </w:rPr>
        <w:t>caso</w:t>
      </w:r>
      <w:r>
        <w:rPr>
          <w:spacing w:val="-2"/>
          <w:sz w:val="16"/>
        </w:rPr>
        <w:t xml:space="preserve"> </w:t>
      </w:r>
      <w:r>
        <w:rPr>
          <w:sz w:val="16"/>
        </w:rPr>
        <w:t>sobre</w:t>
      </w:r>
      <w:r>
        <w:rPr>
          <w:spacing w:val="-2"/>
          <w:sz w:val="16"/>
        </w:rPr>
        <w:t xml:space="preserve"> </w:t>
      </w:r>
      <w:r>
        <w:rPr>
          <w:sz w:val="16"/>
        </w:rPr>
        <w:t>medio</w:t>
      </w:r>
      <w:r>
        <w:rPr>
          <w:spacing w:val="-2"/>
          <w:sz w:val="16"/>
        </w:rPr>
        <w:t xml:space="preserve"> </w:t>
      </w:r>
      <w:r>
        <w:rPr>
          <w:sz w:val="16"/>
        </w:rPr>
        <w:t>ambiente</w:t>
      </w:r>
      <w:r>
        <w:rPr>
          <w:spacing w:val="-5"/>
          <w:sz w:val="16"/>
        </w:rPr>
        <w:t xml:space="preserve"> </w:t>
      </w:r>
      <w:r>
        <w:rPr>
          <w:sz w:val="16"/>
        </w:rPr>
        <w:t>y</w:t>
      </w:r>
      <w:r>
        <w:rPr>
          <w:spacing w:val="-1"/>
          <w:sz w:val="16"/>
        </w:rPr>
        <w:t xml:space="preserve"> </w:t>
      </w:r>
      <w:r>
        <w:rPr>
          <w:sz w:val="16"/>
        </w:rPr>
        <w:t>afecta</w:t>
      </w:r>
      <w:r>
        <w:rPr>
          <w:sz w:val="16"/>
        </w:rPr>
        <w:t>ciones</w:t>
      </w:r>
      <w:r>
        <w:rPr>
          <w:spacing w:val="-2"/>
          <w:sz w:val="16"/>
        </w:rPr>
        <w:t xml:space="preserve"> </w:t>
      </w:r>
      <w:r>
        <w:rPr>
          <w:sz w:val="16"/>
        </w:rPr>
        <w:t>a</w:t>
      </w:r>
      <w:r>
        <w:rPr>
          <w:spacing w:val="-8"/>
          <w:sz w:val="16"/>
        </w:rPr>
        <w:t xml:space="preserve"> </w:t>
      </w:r>
      <w:r>
        <w:rPr>
          <w:sz w:val="16"/>
        </w:rPr>
        <w:t>la</w:t>
      </w:r>
      <w:r>
        <w:rPr>
          <w:spacing w:val="-3"/>
          <w:sz w:val="16"/>
        </w:rPr>
        <w:t xml:space="preserve"> </w:t>
      </w:r>
      <w:r>
        <w:rPr>
          <w:sz w:val="16"/>
        </w:rPr>
        <w:t>vida</w:t>
      </w:r>
      <w:r>
        <w:rPr>
          <w:spacing w:val="-3"/>
          <w:sz w:val="16"/>
        </w:rPr>
        <w:t xml:space="preserve"> </w:t>
      </w:r>
      <w:r>
        <w:rPr>
          <w:sz w:val="16"/>
        </w:rPr>
        <w:t>por</w:t>
      </w:r>
      <w:r>
        <w:rPr>
          <w:spacing w:val="-2"/>
          <w:sz w:val="16"/>
        </w:rPr>
        <w:t xml:space="preserve"> </w:t>
      </w:r>
      <w:r>
        <w:rPr>
          <w:sz w:val="16"/>
        </w:rPr>
        <w:t>el</w:t>
      </w:r>
      <w:r>
        <w:rPr>
          <w:spacing w:val="-3"/>
          <w:sz w:val="16"/>
        </w:rPr>
        <w:t xml:space="preserve"> </w:t>
      </w:r>
      <w:r>
        <w:rPr>
          <w:sz w:val="16"/>
        </w:rPr>
        <w:t>uso</w:t>
      </w:r>
      <w:r>
        <w:rPr>
          <w:spacing w:val="-1"/>
          <w:sz w:val="16"/>
        </w:rPr>
        <w:t xml:space="preserve"> </w:t>
      </w:r>
      <w:r>
        <w:rPr>
          <w:sz w:val="16"/>
        </w:rPr>
        <w:t>de</w:t>
      </w:r>
      <w:r>
        <w:rPr>
          <w:spacing w:val="-2"/>
          <w:sz w:val="16"/>
        </w:rPr>
        <w:t xml:space="preserve"> </w:t>
      </w:r>
      <w:r>
        <w:rPr>
          <w:sz w:val="16"/>
        </w:rPr>
        <w:t>agroquímicos,</w:t>
      </w:r>
      <w:r>
        <w:rPr>
          <w:spacing w:val="-3"/>
          <w:sz w:val="16"/>
        </w:rPr>
        <w:t xml:space="preserve"> </w:t>
      </w:r>
      <w:r>
        <w:rPr>
          <w:sz w:val="16"/>
        </w:rPr>
        <w:t>lo</w:t>
      </w:r>
      <w:r>
        <w:rPr>
          <w:spacing w:val="-2"/>
          <w:sz w:val="16"/>
        </w:rPr>
        <w:t xml:space="preserve"> </w:t>
      </w:r>
      <w:r>
        <w:rPr>
          <w:sz w:val="16"/>
        </w:rPr>
        <w:t>cual,</w:t>
      </w:r>
      <w:r>
        <w:rPr>
          <w:spacing w:val="-4"/>
          <w:sz w:val="16"/>
        </w:rPr>
        <w:t xml:space="preserve"> </w:t>
      </w:r>
      <w:r>
        <w:rPr>
          <w:sz w:val="16"/>
        </w:rPr>
        <w:t>a</w:t>
      </w:r>
      <w:r>
        <w:rPr>
          <w:spacing w:val="-3"/>
          <w:sz w:val="16"/>
        </w:rPr>
        <w:t xml:space="preserve"> </w:t>
      </w:r>
      <w:r>
        <w:rPr>
          <w:sz w:val="16"/>
        </w:rPr>
        <w:t>criterio</w:t>
      </w:r>
      <w:r>
        <w:rPr>
          <w:spacing w:val="-2"/>
          <w:sz w:val="16"/>
        </w:rPr>
        <w:t xml:space="preserve"> </w:t>
      </w:r>
      <w:r>
        <w:rPr>
          <w:sz w:val="16"/>
        </w:rPr>
        <w:t>del Comité</w:t>
      </w:r>
      <w:r>
        <w:rPr>
          <w:spacing w:val="-6"/>
          <w:sz w:val="16"/>
        </w:rPr>
        <w:t xml:space="preserve"> </w:t>
      </w:r>
      <w:r>
        <w:rPr>
          <w:sz w:val="16"/>
        </w:rPr>
        <w:t>constituían</w:t>
      </w:r>
      <w:r>
        <w:rPr>
          <w:spacing w:val="-7"/>
          <w:sz w:val="16"/>
        </w:rPr>
        <w:t xml:space="preserve"> </w:t>
      </w:r>
      <w:r>
        <w:rPr>
          <w:sz w:val="16"/>
        </w:rPr>
        <w:t>“amenazas</w:t>
      </w:r>
      <w:r>
        <w:rPr>
          <w:spacing w:val="-5"/>
          <w:sz w:val="16"/>
        </w:rPr>
        <w:t xml:space="preserve"> </w:t>
      </w:r>
      <w:r>
        <w:rPr>
          <w:sz w:val="16"/>
        </w:rPr>
        <w:t>a</w:t>
      </w:r>
      <w:r>
        <w:rPr>
          <w:spacing w:val="-7"/>
          <w:sz w:val="16"/>
        </w:rPr>
        <w:t xml:space="preserve"> </w:t>
      </w:r>
      <w:r>
        <w:rPr>
          <w:sz w:val="16"/>
        </w:rPr>
        <w:t>la</w:t>
      </w:r>
      <w:r>
        <w:rPr>
          <w:spacing w:val="-6"/>
          <w:sz w:val="16"/>
        </w:rPr>
        <w:t xml:space="preserve"> </w:t>
      </w:r>
      <w:r>
        <w:rPr>
          <w:sz w:val="16"/>
        </w:rPr>
        <w:t>vida</w:t>
      </w:r>
      <w:r>
        <w:rPr>
          <w:spacing w:val="-7"/>
          <w:sz w:val="16"/>
        </w:rPr>
        <w:t xml:space="preserve"> </w:t>
      </w:r>
      <w:r>
        <w:rPr>
          <w:sz w:val="16"/>
        </w:rPr>
        <w:t>de</w:t>
      </w:r>
      <w:r>
        <w:rPr>
          <w:spacing w:val="-5"/>
          <w:sz w:val="16"/>
        </w:rPr>
        <w:t xml:space="preserve"> </w:t>
      </w:r>
      <w:r>
        <w:rPr>
          <w:sz w:val="16"/>
        </w:rPr>
        <w:t>los</w:t>
      </w:r>
      <w:r>
        <w:rPr>
          <w:spacing w:val="-8"/>
          <w:sz w:val="16"/>
        </w:rPr>
        <w:t xml:space="preserve"> </w:t>
      </w:r>
      <w:r>
        <w:rPr>
          <w:sz w:val="16"/>
        </w:rPr>
        <w:t>autores</w:t>
      </w:r>
      <w:r>
        <w:rPr>
          <w:spacing w:val="-5"/>
          <w:sz w:val="16"/>
        </w:rPr>
        <w:t xml:space="preserve"> </w:t>
      </w:r>
      <w:r>
        <w:rPr>
          <w:sz w:val="16"/>
        </w:rPr>
        <w:t>que</w:t>
      </w:r>
      <w:r>
        <w:rPr>
          <w:spacing w:val="-6"/>
          <w:sz w:val="16"/>
        </w:rPr>
        <w:t xml:space="preserve"> </w:t>
      </w:r>
      <w:r>
        <w:rPr>
          <w:sz w:val="16"/>
        </w:rPr>
        <w:t>eran</w:t>
      </w:r>
      <w:r>
        <w:rPr>
          <w:spacing w:val="-6"/>
          <w:sz w:val="16"/>
        </w:rPr>
        <w:t xml:space="preserve"> </w:t>
      </w:r>
      <w:r>
        <w:rPr>
          <w:sz w:val="16"/>
        </w:rPr>
        <w:t>razonablemente</w:t>
      </w:r>
      <w:r>
        <w:rPr>
          <w:spacing w:val="-8"/>
          <w:sz w:val="16"/>
        </w:rPr>
        <w:t xml:space="preserve"> </w:t>
      </w:r>
      <w:r>
        <w:rPr>
          <w:sz w:val="16"/>
        </w:rPr>
        <w:t>previsibles</w:t>
      </w:r>
      <w:r>
        <w:rPr>
          <w:spacing w:val="-5"/>
          <w:sz w:val="16"/>
        </w:rPr>
        <w:t xml:space="preserve"> </w:t>
      </w:r>
      <w:r>
        <w:rPr>
          <w:sz w:val="16"/>
        </w:rPr>
        <w:t>por</w:t>
      </w:r>
      <w:r>
        <w:rPr>
          <w:spacing w:val="-5"/>
          <w:sz w:val="16"/>
        </w:rPr>
        <w:t xml:space="preserve"> </w:t>
      </w:r>
      <w:r>
        <w:rPr>
          <w:sz w:val="16"/>
        </w:rPr>
        <w:t>el</w:t>
      </w:r>
      <w:r>
        <w:rPr>
          <w:spacing w:val="-6"/>
          <w:sz w:val="16"/>
        </w:rPr>
        <w:t xml:space="preserve"> </w:t>
      </w:r>
      <w:r>
        <w:rPr>
          <w:sz w:val="16"/>
        </w:rPr>
        <w:t>Estado</w:t>
      </w:r>
      <w:r>
        <w:rPr>
          <w:spacing w:val="-8"/>
          <w:sz w:val="16"/>
        </w:rPr>
        <w:t xml:space="preserve"> </w:t>
      </w:r>
      <w:r>
        <w:rPr>
          <w:sz w:val="16"/>
        </w:rPr>
        <w:t>parte”.</w:t>
      </w:r>
      <w:r>
        <w:rPr>
          <w:spacing w:val="-6"/>
          <w:sz w:val="16"/>
        </w:rPr>
        <w:t xml:space="preserve"> </w:t>
      </w:r>
      <w:r>
        <w:rPr>
          <w:i/>
          <w:sz w:val="16"/>
        </w:rPr>
        <w:t xml:space="preserve">Cfr. </w:t>
      </w:r>
      <w:r>
        <w:rPr>
          <w:sz w:val="16"/>
        </w:rPr>
        <w:t xml:space="preserve">Comité de Derechos Humanos, </w:t>
      </w:r>
      <w:r>
        <w:rPr>
          <w:i/>
          <w:sz w:val="16"/>
        </w:rPr>
        <w:t>Norma Portillo López Vs. Paraguay</w:t>
      </w:r>
      <w:r>
        <w:rPr>
          <w:sz w:val="16"/>
        </w:rPr>
        <w:t>, CCPR/C/126/D/2751/2016, 25 de julio de 2019, párrs. 7.3 y</w:t>
      </w:r>
      <w:r>
        <w:rPr>
          <w:spacing w:val="-4"/>
          <w:sz w:val="16"/>
        </w:rPr>
        <w:t xml:space="preserve"> </w:t>
      </w:r>
      <w:r>
        <w:rPr>
          <w:sz w:val="16"/>
        </w:rPr>
        <w:t>7.5.</w:t>
      </w:r>
    </w:p>
    <w:p w14:paraId="4F47BAD8" w14:textId="77777777" w:rsidR="00467FCA" w:rsidRDefault="001B68EB">
      <w:pPr>
        <w:tabs>
          <w:tab w:val="left" w:pos="1166"/>
        </w:tabs>
        <w:spacing w:line="194" w:lineRule="exact"/>
        <w:ind w:left="458"/>
        <w:jc w:val="both"/>
        <w:rPr>
          <w:sz w:val="16"/>
        </w:rPr>
      </w:pPr>
      <w:bookmarkStart w:id="808" w:name="_bookmark727"/>
      <w:bookmarkEnd w:id="808"/>
      <w:r>
        <w:rPr>
          <w:position w:val="6"/>
          <w:sz w:val="10"/>
        </w:rPr>
        <w:t>45</w:t>
      </w:r>
      <w:r>
        <w:rPr>
          <w:position w:val="6"/>
          <w:sz w:val="10"/>
        </w:rPr>
        <w:tab/>
      </w:r>
      <w:r>
        <w:rPr>
          <w:i/>
          <w:sz w:val="16"/>
        </w:rPr>
        <w:t xml:space="preserve">Cfr. </w:t>
      </w:r>
      <w:r>
        <w:rPr>
          <w:sz w:val="16"/>
        </w:rPr>
        <w:t xml:space="preserve">TEDH, </w:t>
      </w:r>
      <w:r>
        <w:rPr>
          <w:i/>
          <w:sz w:val="16"/>
        </w:rPr>
        <w:t xml:space="preserve">Caso Brincat y otros Vs. Malta, </w:t>
      </w:r>
      <w:r>
        <w:rPr>
          <w:sz w:val="16"/>
        </w:rPr>
        <w:t>sentencia de 24 de julio de 2014, párr.</w:t>
      </w:r>
      <w:r>
        <w:rPr>
          <w:spacing w:val="-19"/>
          <w:sz w:val="16"/>
        </w:rPr>
        <w:t xml:space="preserve"> </w:t>
      </w:r>
      <w:r>
        <w:rPr>
          <w:sz w:val="16"/>
        </w:rPr>
        <w:t>79.</w:t>
      </w:r>
    </w:p>
    <w:p w14:paraId="0DD7C66A" w14:textId="77777777" w:rsidR="00467FCA" w:rsidRDefault="001B68EB">
      <w:pPr>
        <w:tabs>
          <w:tab w:val="left" w:pos="1166"/>
        </w:tabs>
        <w:ind w:left="458"/>
        <w:jc w:val="both"/>
        <w:rPr>
          <w:sz w:val="16"/>
        </w:rPr>
      </w:pPr>
      <w:bookmarkStart w:id="809" w:name="_bookmark728"/>
      <w:bookmarkEnd w:id="809"/>
      <w:r>
        <w:rPr>
          <w:position w:val="6"/>
          <w:sz w:val="10"/>
        </w:rPr>
        <w:t>46</w:t>
      </w:r>
      <w:r>
        <w:rPr>
          <w:position w:val="6"/>
          <w:sz w:val="10"/>
        </w:rPr>
        <w:tab/>
      </w:r>
      <w:r>
        <w:rPr>
          <w:i/>
          <w:sz w:val="16"/>
        </w:rPr>
        <w:t xml:space="preserve">Cfr. </w:t>
      </w:r>
      <w:r>
        <w:rPr>
          <w:sz w:val="16"/>
        </w:rPr>
        <w:t xml:space="preserve">TEDH, </w:t>
      </w:r>
      <w:r>
        <w:rPr>
          <w:i/>
          <w:sz w:val="16"/>
        </w:rPr>
        <w:t xml:space="preserve">Caso Öneryıldız Vs. Turquía, </w:t>
      </w:r>
      <w:r>
        <w:rPr>
          <w:sz w:val="16"/>
        </w:rPr>
        <w:t>sentencia de 30 de noviem</w:t>
      </w:r>
      <w:r>
        <w:rPr>
          <w:sz w:val="16"/>
        </w:rPr>
        <w:t>bre de 2011, párr.</w:t>
      </w:r>
      <w:r>
        <w:rPr>
          <w:spacing w:val="-20"/>
          <w:sz w:val="16"/>
        </w:rPr>
        <w:t xml:space="preserve"> </w:t>
      </w:r>
      <w:r>
        <w:rPr>
          <w:sz w:val="16"/>
        </w:rPr>
        <w:t>71.</w:t>
      </w:r>
    </w:p>
    <w:p w14:paraId="29E39119" w14:textId="77777777" w:rsidR="00467FCA" w:rsidRDefault="001B68EB">
      <w:pPr>
        <w:tabs>
          <w:tab w:val="left" w:pos="1166"/>
        </w:tabs>
        <w:ind w:left="458"/>
        <w:jc w:val="both"/>
        <w:rPr>
          <w:sz w:val="16"/>
        </w:rPr>
      </w:pPr>
      <w:bookmarkStart w:id="810" w:name="_bookmark729"/>
      <w:bookmarkEnd w:id="810"/>
      <w:r>
        <w:rPr>
          <w:position w:val="6"/>
          <w:sz w:val="10"/>
        </w:rPr>
        <w:t>47</w:t>
      </w:r>
      <w:r>
        <w:rPr>
          <w:position w:val="6"/>
          <w:sz w:val="10"/>
        </w:rPr>
        <w:tab/>
      </w:r>
      <w:r>
        <w:rPr>
          <w:i/>
          <w:sz w:val="16"/>
        </w:rPr>
        <w:t xml:space="preserve">Cfr. </w:t>
      </w:r>
      <w:r>
        <w:rPr>
          <w:sz w:val="16"/>
        </w:rPr>
        <w:t xml:space="preserve">TEDH, Caso </w:t>
      </w:r>
      <w:r>
        <w:rPr>
          <w:i/>
          <w:sz w:val="16"/>
        </w:rPr>
        <w:t xml:space="preserve">L.C.B. Vs. Reino Unido, </w:t>
      </w:r>
      <w:r>
        <w:rPr>
          <w:sz w:val="16"/>
        </w:rPr>
        <w:t>sententencia de 9 de junio de 1998, párr.</w:t>
      </w:r>
      <w:r>
        <w:rPr>
          <w:spacing w:val="-16"/>
          <w:sz w:val="16"/>
        </w:rPr>
        <w:t xml:space="preserve"> </w:t>
      </w:r>
      <w:r>
        <w:rPr>
          <w:sz w:val="16"/>
        </w:rPr>
        <w:t>36.</w:t>
      </w:r>
    </w:p>
    <w:p w14:paraId="1A423597" w14:textId="77777777" w:rsidR="00467FCA" w:rsidRDefault="001B68EB">
      <w:pPr>
        <w:tabs>
          <w:tab w:val="left" w:pos="1166"/>
        </w:tabs>
        <w:ind w:left="458" w:right="273"/>
        <w:jc w:val="both"/>
        <w:rPr>
          <w:sz w:val="16"/>
        </w:rPr>
      </w:pPr>
      <w:bookmarkStart w:id="811" w:name="_bookmark730"/>
      <w:bookmarkEnd w:id="811"/>
      <w:r>
        <w:rPr>
          <w:position w:val="6"/>
          <w:sz w:val="10"/>
        </w:rPr>
        <w:t>48</w:t>
      </w:r>
      <w:r>
        <w:rPr>
          <w:position w:val="6"/>
          <w:sz w:val="10"/>
        </w:rPr>
        <w:tab/>
      </w:r>
      <w:r>
        <w:rPr>
          <w:i/>
          <w:sz w:val="16"/>
        </w:rPr>
        <w:t>Cfr</w:t>
      </w:r>
      <w:r>
        <w:rPr>
          <w:sz w:val="16"/>
        </w:rPr>
        <w:t xml:space="preserve">. TEDH, </w:t>
      </w:r>
      <w:r>
        <w:rPr>
          <w:i/>
          <w:sz w:val="16"/>
        </w:rPr>
        <w:t xml:space="preserve">Caso Guerra y otros Vs. Italia, </w:t>
      </w:r>
      <w:r>
        <w:rPr>
          <w:sz w:val="16"/>
        </w:rPr>
        <w:t>sentencia de 19 de febrero de 1998, párrs. 60 y 62, aunque en este caso el Tribunal consideró que no era necesario examinar la cuestión en virtud del artículo 2, ya que se había examinado según el artículo</w:t>
      </w:r>
      <w:r>
        <w:rPr>
          <w:spacing w:val="-5"/>
          <w:sz w:val="16"/>
        </w:rPr>
        <w:t xml:space="preserve"> </w:t>
      </w:r>
      <w:r>
        <w:rPr>
          <w:sz w:val="16"/>
        </w:rPr>
        <w:t>8.</w:t>
      </w:r>
    </w:p>
    <w:p w14:paraId="790E9C99" w14:textId="77777777" w:rsidR="00467FCA" w:rsidRDefault="001B68EB">
      <w:pPr>
        <w:tabs>
          <w:tab w:val="left" w:pos="1166"/>
        </w:tabs>
        <w:ind w:left="458"/>
        <w:jc w:val="both"/>
        <w:rPr>
          <w:sz w:val="16"/>
        </w:rPr>
      </w:pPr>
      <w:bookmarkStart w:id="812" w:name="_bookmark731"/>
      <w:bookmarkEnd w:id="812"/>
      <w:r>
        <w:rPr>
          <w:position w:val="6"/>
          <w:sz w:val="10"/>
        </w:rPr>
        <w:t>49</w:t>
      </w:r>
      <w:r>
        <w:rPr>
          <w:position w:val="6"/>
          <w:sz w:val="10"/>
        </w:rPr>
        <w:tab/>
      </w:r>
      <w:r>
        <w:rPr>
          <w:i/>
          <w:sz w:val="16"/>
        </w:rPr>
        <w:t xml:space="preserve">Cfr. </w:t>
      </w:r>
      <w:r>
        <w:rPr>
          <w:sz w:val="16"/>
        </w:rPr>
        <w:t xml:space="preserve">TEDH, </w:t>
      </w:r>
      <w:r>
        <w:rPr>
          <w:i/>
          <w:sz w:val="16"/>
        </w:rPr>
        <w:t xml:space="preserve">Caso Brincat y otros Vs. Malta, </w:t>
      </w:r>
      <w:r>
        <w:rPr>
          <w:sz w:val="16"/>
        </w:rPr>
        <w:t>s</w:t>
      </w:r>
      <w:r>
        <w:rPr>
          <w:sz w:val="16"/>
        </w:rPr>
        <w:t>entencia de 24 de julio de 2014, párr.</w:t>
      </w:r>
      <w:r>
        <w:rPr>
          <w:spacing w:val="-18"/>
          <w:sz w:val="16"/>
        </w:rPr>
        <w:t xml:space="preserve"> </w:t>
      </w:r>
      <w:r>
        <w:rPr>
          <w:sz w:val="16"/>
        </w:rPr>
        <w:t>81.</w:t>
      </w:r>
    </w:p>
    <w:p w14:paraId="409A8302" w14:textId="77777777" w:rsidR="00467FCA" w:rsidRDefault="001B68EB">
      <w:pPr>
        <w:tabs>
          <w:tab w:val="left" w:pos="1166"/>
        </w:tabs>
        <w:ind w:left="458" w:right="271"/>
        <w:jc w:val="both"/>
        <w:rPr>
          <w:sz w:val="16"/>
        </w:rPr>
      </w:pPr>
      <w:bookmarkStart w:id="813" w:name="_bookmark732"/>
      <w:bookmarkEnd w:id="813"/>
      <w:r>
        <w:rPr>
          <w:position w:val="6"/>
          <w:sz w:val="10"/>
        </w:rPr>
        <w:t>50</w:t>
      </w:r>
      <w:r>
        <w:rPr>
          <w:position w:val="6"/>
          <w:sz w:val="10"/>
        </w:rPr>
        <w:tab/>
      </w:r>
      <w:r>
        <w:rPr>
          <w:sz w:val="16"/>
        </w:rPr>
        <w:t xml:space="preserve">Los ejemplos incluyen casos en los que la integridad física de un solicitante se vio amenazada por la acción de un tercero (TEDH, </w:t>
      </w:r>
      <w:r>
        <w:rPr>
          <w:i/>
          <w:sz w:val="16"/>
        </w:rPr>
        <w:t>Caso Osman Vs. Reino Unido</w:t>
      </w:r>
      <w:r>
        <w:rPr>
          <w:sz w:val="16"/>
        </w:rPr>
        <w:t>, sentencia de 28 de octubre de 1998, párr. 115-122) o</w:t>
      </w:r>
      <w:r>
        <w:rPr>
          <w:sz w:val="16"/>
        </w:rPr>
        <w:t xml:space="preserve"> como resultado de una catástrofe que no dejó dudas sobre la existencia de una amenaza para la integridad física de los solicitantes (TEDH, </w:t>
      </w:r>
      <w:r>
        <w:rPr>
          <w:i/>
          <w:sz w:val="16"/>
        </w:rPr>
        <w:t xml:space="preserve">Caso Budayeva y otros Vs. Rusia, </w:t>
      </w:r>
      <w:r>
        <w:rPr>
          <w:sz w:val="16"/>
        </w:rPr>
        <w:t>sentencia de 29 de marzo de 2008, párr.</w:t>
      </w:r>
      <w:r>
        <w:rPr>
          <w:spacing w:val="-25"/>
          <w:sz w:val="16"/>
        </w:rPr>
        <w:t xml:space="preserve"> </w:t>
      </w:r>
      <w:r>
        <w:rPr>
          <w:sz w:val="16"/>
        </w:rPr>
        <w:t>146).</w:t>
      </w:r>
    </w:p>
    <w:p w14:paraId="02A0AD16" w14:textId="77777777" w:rsidR="00467FCA" w:rsidRDefault="00467FCA">
      <w:pPr>
        <w:jc w:val="both"/>
        <w:rPr>
          <w:sz w:val="16"/>
        </w:rPr>
        <w:sectPr w:rsidR="00467FCA">
          <w:pgSz w:w="12240" w:h="15840"/>
          <w:pgMar w:top="1340" w:right="1140" w:bottom="920" w:left="960" w:header="0" w:footer="734" w:gutter="0"/>
          <w:cols w:space="720"/>
        </w:sectPr>
      </w:pPr>
    </w:p>
    <w:p w14:paraId="691CD1CC" w14:textId="77777777" w:rsidR="00467FCA" w:rsidRDefault="001B68EB">
      <w:pPr>
        <w:pStyle w:val="Prrafodelista"/>
        <w:numPr>
          <w:ilvl w:val="0"/>
          <w:numId w:val="7"/>
        </w:numPr>
        <w:tabs>
          <w:tab w:val="left" w:pos="1167"/>
        </w:tabs>
        <w:spacing w:before="79"/>
        <w:ind w:right="274" w:firstLine="0"/>
        <w:jc w:val="both"/>
        <w:rPr>
          <w:sz w:val="20"/>
        </w:rPr>
      </w:pPr>
      <w:r>
        <w:rPr>
          <w:sz w:val="20"/>
        </w:rPr>
        <w:t>Por su parte, el Comité Europeo de Derechos Sociales ha abordado la temática desde los</w:t>
      </w:r>
      <w:r>
        <w:rPr>
          <w:spacing w:val="-10"/>
          <w:sz w:val="20"/>
        </w:rPr>
        <w:t xml:space="preserve"> </w:t>
      </w:r>
      <w:r>
        <w:rPr>
          <w:sz w:val="20"/>
        </w:rPr>
        <w:t>derechos</w:t>
      </w:r>
      <w:r>
        <w:rPr>
          <w:spacing w:val="-8"/>
          <w:sz w:val="20"/>
        </w:rPr>
        <w:t xml:space="preserve"> </w:t>
      </w:r>
      <w:r>
        <w:rPr>
          <w:sz w:val="20"/>
        </w:rPr>
        <w:t>contemplados</w:t>
      </w:r>
      <w:r>
        <w:rPr>
          <w:spacing w:val="-8"/>
          <w:sz w:val="20"/>
        </w:rPr>
        <w:t xml:space="preserve"> </w:t>
      </w:r>
      <w:r>
        <w:rPr>
          <w:sz w:val="20"/>
        </w:rPr>
        <w:t>en</w:t>
      </w:r>
      <w:r>
        <w:rPr>
          <w:spacing w:val="-8"/>
          <w:sz w:val="20"/>
        </w:rPr>
        <w:t xml:space="preserve"> </w:t>
      </w:r>
      <w:r>
        <w:rPr>
          <w:sz w:val="20"/>
        </w:rPr>
        <w:t>los</w:t>
      </w:r>
      <w:r>
        <w:rPr>
          <w:spacing w:val="-10"/>
          <w:sz w:val="20"/>
        </w:rPr>
        <w:t xml:space="preserve"> </w:t>
      </w:r>
      <w:r>
        <w:rPr>
          <w:sz w:val="20"/>
        </w:rPr>
        <w:t>artículos</w:t>
      </w:r>
      <w:r>
        <w:rPr>
          <w:spacing w:val="-7"/>
          <w:sz w:val="20"/>
        </w:rPr>
        <w:t xml:space="preserve"> </w:t>
      </w:r>
      <w:r>
        <w:rPr>
          <w:sz w:val="20"/>
        </w:rPr>
        <w:t>2.4</w:t>
      </w:r>
      <w:hyperlink w:anchor="_bookmark733" w:history="1">
        <w:r>
          <w:rPr>
            <w:position w:val="7"/>
            <w:sz w:val="13"/>
          </w:rPr>
          <w:t>51</w:t>
        </w:r>
        <w:r>
          <w:rPr>
            <w:spacing w:val="14"/>
            <w:position w:val="7"/>
            <w:sz w:val="13"/>
          </w:rPr>
          <w:t xml:space="preserve"> </w:t>
        </w:r>
      </w:hyperlink>
      <w:r>
        <w:rPr>
          <w:sz w:val="20"/>
        </w:rPr>
        <w:t>y</w:t>
      </w:r>
      <w:r>
        <w:rPr>
          <w:spacing w:val="-10"/>
          <w:sz w:val="20"/>
        </w:rPr>
        <w:t xml:space="preserve"> </w:t>
      </w:r>
      <w:r>
        <w:rPr>
          <w:spacing w:val="3"/>
          <w:sz w:val="20"/>
        </w:rPr>
        <w:t>3</w:t>
      </w:r>
      <w:hyperlink w:anchor="_bookmark734" w:history="1">
        <w:r>
          <w:rPr>
            <w:spacing w:val="3"/>
            <w:position w:val="7"/>
            <w:sz w:val="13"/>
          </w:rPr>
          <w:t>52</w:t>
        </w:r>
        <w:r>
          <w:rPr>
            <w:spacing w:val="14"/>
            <w:position w:val="7"/>
            <w:sz w:val="13"/>
          </w:rPr>
          <w:t xml:space="preserve"> </w:t>
        </w:r>
      </w:hyperlink>
      <w:r>
        <w:rPr>
          <w:sz w:val="20"/>
        </w:rPr>
        <w:t>de</w:t>
      </w:r>
      <w:r>
        <w:rPr>
          <w:spacing w:val="-10"/>
          <w:sz w:val="20"/>
        </w:rPr>
        <w:t xml:space="preserve"> </w:t>
      </w:r>
      <w:r>
        <w:rPr>
          <w:sz w:val="20"/>
        </w:rPr>
        <w:t>la</w:t>
      </w:r>
      <w:r>
        <w:rPr>
          <w:spacing w:val="-9"/>
          <w:sz w:val="20"/>
        </w:rPr>
        <w:t xml:space="preserve"> </w:t>
      </w:r>
      <w:r>
        <w:rPr>
          <w:sz w:val="20"/>
        </w:rPr>
        <w:t>Carta</w:t>
      </w:r>
      <w:r>
        <w:rPr>
          <w:spacing w:val="-9"/>
          <w:sz w:val="20"/>
        </w:rPr>
        <w:t xml:space="preserve"> </w:t>
      </w:r>
      <w:r>
        <w:rPr>
          <w:sz w:val="20"/>
        </w:rPr>
        <w:t>Social</w:t>
      </w:r>
      <w:r>
        <w:rPr>
          <w:spacing w:val="-9"/>
          <w:sz w:val="20"/>
        </w:rPr>
        <w:t xml:space="preserve"> </w:t>
      </w:r>
      <w:r>
        <w:rPr>
          <w:sz w:val="20"/>
        </w:rPr>
        <w:t>Europea</w:t>
      </w:r>
      <w:r>
        <w:rPr>
          <w:spacing w:val="-9"/>
          <w:sz w:val="20"/>
        </w:rPr>
        <w:t xml:space="preserve"> </w:t>
      </w:r>
      <w:r>
        <w:rPr>
          <w:sz w:val="20"/>
        </w:rPr>
        <w:t>(en</w:t>
      </w:r>
      <w:r>
        <w:rPr>
          <w:spacing w:val="-8"/>
          <w:sz w:val="20"/>
        </w:rPr>
        <w:t xml:space="preserve"> </w:t>
      </w:r>
      <w:r>
        <w:rPr>
          <w:sz w:val="20"/>
        </w:rPr>
        <w:t>adelante “la Carta Soci</w:t>
      </w:r>
      <w:r>
        <w:rPr>
          <w:sz w:val="20"/>
        </w:rPr>
        <w:t>al”). Sobre el artículo 2.4 ha indicado que, frente a los denominados trabajos peligrosos e insalubres y la exposición de los trabajadores a este tipo de actividades, ellos deberán gozar de vacaciones pagadas adicionales o reducción de horas de trabajo</w:t>
      </w:r>
      <w:hyperlink w:anchor="_bookmark735" w:history="1">
        <w:r>
          <w:rPr>
            <w:position w:val="7"/>
            <w:sz w:val="13"/>
          </w:rPr>
          <w:t>53</w:t>
        </w:r>
      </w:hyperlink>
      <w:r>
        <w:rPr>
          <w:sz w:val="20"/>
        </w:rPr>
        <w:t>. Criterio que ha sido compartido en cierto modo por el Tribunal Europeo</w:t>
      </w:r>
      <w:hyperlink w:anchor="_bookmark736" w:history="1">
        <w:r>
          <w:rPr>
            <w:position w:val="7"/>
            <w:sz w:val="13"/>
          </w:rPr>
          <w:t>54</w:t>
        </w:r>
      </w:hyperlink>
      <w:r>
        <w:rPr>
          <w:sz w:val="20"/>
        </w:rPr>
        <w:t>. Sobre el derecho a las condiciones seguras y saludables contemplado en el artículo 3 de la Carta Social, el Comité Eur</w:t>
      </w:r>
      <w:r>
        <w:rPr>
          <w:sz w:val="20"/>
        </w:rPr>
        <w:t>opeo ha señalado que el referido derecho estaría vinculado con el derecho a la integridad personal;</w:t>
      </w:r>
      <w:r>
        <w:rPr>
          <w:spacing w:val="-10"/>
          <w:sz w:val="20"/>
        </w:rPr>
        <w:t xml:space="preserve"> </w:t>
      </w:r>
      <w:r>
        <w:rPr>
          <w:sz w:val="20"/>
        </w:rPr>
        <w:t>así,</w:t>
      </w:r>
      <w:r>
        <w:rPr>
          <w:spacing w:val="-9"/>
          <w:sz w:val="20"/>
        </w:rPr>
        <w:t xml:space="preserve"> </w:t>
      </w:r>
      <w:r>
        <w:rPr>
          <w:sz w:val="20"/>
        </w:rPr>
        <w:t>los</w:t>
      </w:r>
      <w:r>
        <w:rPr>
          <w:spacing w:val="-9"/>
          <w:sz w:val="20"/>
        </w:rPr>
        <w:t xml:space="preserve"> </w:t>
      </w:r>
      <w:r>
        <w:rPr>
          <w:sz w:val="20"/>
        </w:rPr>
        <w:t>Estados</w:t>
      </w:r>
      <w:r>
        <w:rPr>
          <w:spacing w:val="-11"/>
          <w:sz w:val="20"/>
        </w:rPr>
        <w:t xml:space="preserve"> </w:t>
      </w:r>
      <w:r>
        <w:rPr>
          <w:sz w:val="20"/>
        </w:rPr>
        <w:t>al</w:t>
      </w:r>
      <w:r>
        <w:rPr>
          <w:spacing w:val="-7"/>
          <w:sz w:val="20"/>
        </w:rPr>
        <w:t xml:space="preserve"> </w:t>
      </w:r>
      <w:r>
        <w:rPr>
          <w:sz w:val="20"/>
        </w:rPr>
        <w:t>aceptar</w:t>
      </w:r>
      <w:r>
        <w:rPr>
          <w:spacing w:val="-8"/>
          <w:sz w:val="20"/>
        </w:rPr>
        <w:t xml:space="preserve"> </w:t>
      </w:r>
      <w:r>
        <w:rPr>
          <w:sz w:val="20"/>
        </w:rPr>
        <w:t>la</w:t>
      </w:r>
      <w:r>
        <w:rPr>
          <w:spacing w:val="-8"/>
          <w:sz w:val="20"/>
        </w:rPr>
        <w:t xml:space="preserve"> </w:t>
      </w:r>
      <w:r>
        <w:rPr>
          <w:sz w:val="20"/>
        </w:rPr>
        <w:t>referida</w:t>
      </w:r>
      <w:r>
        <w:rPr>
          <w:spacing w:val="-10"/>
          <w:sz w:val="20"/>
        </w:rPr>
        <w:t xml:space="preserve"> </w:t>
      </w:r>
      <w:r>
        <w:rPr>
          <w:sz w:val="20"/>
        </w:rPr>
        <w:t>disposición</w:t>
      </w:r>
      <w:r>
        <w:rPr>
          <w:spacing w:val="-9"/>
          <w:sz w:val="20"/>
        </w:rPr>
        <w:t xml:space="preserve"> </w:t>
      </w:r>
      <w:r>
        <w:rPr>
          <w:sz w:val="20"/>
        </w:rPr>
        <w:t>de</w:t>
      </w:r>
      <w:r>
        <w:rPr>
          <w:spacing w:val="-9"/>
          <w:sz w:val="20"/>
        </w:rPr>
        <w:t xml:space="preserve"> </w:t>
      </w:r>
      <w:r>
        <w:rPr>
          <w:sz w:val="20"/>
        </w:rPr>
        <w:t>la</w:t>
      </w:r>
      <w:r>
        <w:rPr>
          <w:spacing w:val="-8"/>
          <w:sz w:val="20"/>
        </w:rPr>
        <w:t xml:space="preserve"> </w:t>
      </w:r>
      <w:r>
        <w:rPr>
          <w:sz w:val="20"/>
        </w:rPr>
        <w:t>Carta</w:t>
      </w:r>
      <w:r>
        <w:rPr>
          <w:spacing w:val="-8"/>
          <w:sz w:val="20"/>
        </w:rPr>
        <w:t xml:space="preserve"> </w:t>
      </w:r>
      <w:r>
        <w:rPr>
          <w:sz w:val="20"/>
        </w:rPr>
        <w:t>Social</w:t>
      </w:r>
      <w:r>
        <w:rPr>
          <w:spacing w:val="-9"/>
          <w:sz w:val="20"/>
        </w:rPr>
        <w:t xml:space="preserve"> </w:t>
      </w:r>
      <w:r>
        <w:rPr>
          <w:sz w:val="20"/>
        </w:rPr>
        <w:t>se</w:t>
      </w:r>
      <w:r>
        <w:rPr>
          <w:spacing w:val="-9"/>
          <w:sz w:val="20"/>
        </w:rPr>
        <w:t xml:space="preserve"> </w:t>
      </w:r>
      <w:r>
        <w:rPr>
          <w:sz w:val="20"/>
        </w:rPr>
        <w:t>comprometen a garantizar “el derecho a la integridad física y mental en el trabajo”, como obligación principal</w:t>
      </w:r>
      <w:hyperlink w:anchor="_bookmark737" w:history="1">
        <w:r>
          <w:rPr>
            <w:position w:val="7"/>
            <w:sz w:val="13"/>
          </w:rPr>
          <w:t>55</w:t>
        </w:r>
      </w:hyperlink>
      <w:r>
        <w:rPr>
          <w:sz w:val="20"/>
        </w:rPr>
        <w:t>.</w:t>
      </w:r>
    </w:p>
    <w:p w14:paraId="11A970C8" w14:textId="77777777" w:rsidR="00467FCA" w:rsidRDefault="00467FCA">
      <w:pPr>
        <w:pStyle w:val="Textoindependiente"/>
        <w:spacing w:before="11"/>
        <w:rPr>
          <w:sz w:val="19"/>
        </w:rPr>
      </w:pPr>
    </w:p>
    <w:p w14:paraId="2C5861D4" w14:textId="77777777" w:rsidR="00467FCA" w:rsidRDefault="001B68EB">
      <w:pPr>
        <w:pStyle w:val="Prrafodelista"/>
        <w:numPr>
          <w:ilvl w:val="0"/>
          <w:numId w:val="7"/>
        </w:numPr>
        <w:tabs>
          <w:tab w:val="left" w:pos="1167"/>
        </w:tabs>
        <w:ind w:right="273" w:firstLine="0"/>
        <w:jc w:val="both"/>
        <w:rPr>
          <w:sz w:val="20"/>
        </w:rPr>
      </w:pPr>
      <w:r>
        <w:rPr>
          <w:sz w:val="20"/>
        </w:rPr>
        <w:t>Como</w:t>
      </w:r>
      <w:r>
        <w:rPr>
          <w:spacing w:val="-6"/>
          <w:sz w:val="20"/>
        </w:rPr>
        <w:t xml:space="preserve"> </w:t>
      </w:r>
      <w:r>
        <w:rPr>
          <w:sz w:val="20"/>
        </w:rPr>
        <w:t>punto</w:t>
      </w:r>
      <w:r>
        <w:rPr>
          <w:spacing w:val="-7"/>
          <w:sz w:val="20"/>
        </w:rPr>
        <w:t xml:space="preserve"> </w:t>
      </w:r>
      <w:r>
        <w:rPr>
          <w:sz w:val="20"/>
        </w:rPr>
        <w:t>de</w:t>
      </w:r>
      <w:r>
        <w:rPr>
          <w:spacing w:val="-7"/>
          <w:sz w:val="20"/>
        </w:rPr>
        <w:t xml:space="preserve"> </w:t>
      </w:r>
      <w:r>
        <w:rPr>
          <w:sz w:val="20"/>
        </w:rPr>
        <w:t>partida,</w:t>
      </w:r>
      <w:r>
        <w:rPr>
          <w:spacing w:val="-4"/>
          <w:sz w:val="20"/>
        </w:rPr>
        <w:t xml:space="preserve"> </w:t>
      </w:r>
      <w:r>
        <w:rPr>
          <w:sz w:val="20"/>
        </w:rPr>
        <w:t>ambos</w:t>
      </w:r>
      <w:r>
        <w:rPr>
          <w:spacing w:val="-6"/>
          <w:sz w:val="20"/>
        </w:rPr>
        <w:t xml:space="preserve"> </w:t>
      </w:r>
      <w:r>
        <w:rPr>
          <w:sz w:val="20"/>
        </w:rPr>
        <w:t>órganos</w:t>
      </w:r>
      <w:r>
        <w:rPr>
          <w:spacing w:val="-6"/>
          <w:sz w:val="20"/>
        </w:rPr>
        <w:t xml:space="preserve"> </w:t>
      </w:r>
      <w:r>
        <w:rPr>
          <w:sz w:val="20"/>
        </w:rPr>
        <w:t>coinciden</w:t>
      </w:r>
      <w:r>
        <w:rPr>
          <w:spacing w:val="-7"/>
          <w:sz w:val="20"/>
        </w:rPr>
        <w:t xml:space="preserve"> </w:t>
      </w:r>
      <w:r>
        <w:rPr>
          <w:sz w:val="20"/>
        </w:rPr>
        <w:t>en</w:t>
      </w:r>
      <w:r>
        <w:rPr>
          <w:spacing w:val="-7"/>
          <w:sz w:val="20"/>
        </w:rPr>
        <w:t xml:space="preserve"> </w:t>
      </w:r>
      <w:r>
        <w:rPr>
          <w:sz w:val="20"/>
        </w:rPr>
        <w:t>que</w:t>
      </w:r>
      <w:r>
        <w:rPr>
          <w:spacing w:val="-8"/>
          <w:sz w:val="20"/>
        </w:rPr>
        <w:t xml:space="preserve"> </w:t>
      </w:r>
      <w:r>
        <w:rPr>
          <w:sz w:val="20"/>
        </w:rPr>
        <w:t>la</w:t>
      </w:r>
      <w:r>
        <w:rPr>
          <w:spacing w:val="-5"/>
          <w:sz w:val="20"/>
        </w:rPr>
        <w:t xml:space="preserve"> </w:t>
      </w:r>
      <w:r>
        <w:rPr>
          <w:sz w:val="20"/>
        </w:rPr>
        <w:t>regulación</w:t>
      </w:r>
      <w:r>
        <w:rPr>
          <w:spacing w:val="-4"/>
          <w:sz w:val="20"/>
        </w:rPr>
        <w:t xml:space="preserve"> </w:t>
      </w:r>
      <w:r>
        <w:rPr>
          <w:sz w:val="20"/>
        </w:rPr>
        <w:t>es</w:t>
      </w:r>
      <w:r>
        <w:rPr>
          <w:spacing w:val="-9"/>
          <w:sz w:val="20"/>
        </w:rPr>
        <w:t xml:space="preserve"> </w:t>
      </w:r>
      <w:r>
        <w:rPr>
          <w:sz w:val="20"/>
        </w:rPr>
        <w:t>fundamental cuando se trata de activid</w:t>
      </w:r>
      <w:r>
        <w:rPr>
          <w:sz w:val="20"/>
        </w:rPr>
        <w:t>ades peligrosas. El Tribunal Europeo ha especificado que una vez que</w:t>
      </w:r>
      <w:r>
        <w:rPr>
          <w:spacing w:val="-19"/>
          <w:sz w:val="20"/>
        </w:rPr>
        <w:t xml:space="preserve"> </w:t>
      </w:r>
      <w:r>
        <w:rPr>
          <w:sz w:val="20"/>
        </w:rPr>
        <w:t>un</w:t>
      </w:r>
      <w:r>
        <w:rPr>
          <w:spacing w:val="-16"/>
          <w:sz w:val="20"/>
        </w:rPr>
        <w:t xml:space="preserve"> </w:t>
      </w:r>
      <w:r>
        <w:rPr>
          <w:sz w:val="20"/>
        </w:rPr>
        <w:t>Estado</w:t>
      </w:r>
      <w:r>
        <w:rPr>
          <w:spacing w:val="-16"/>
          <w:sz w:val="20"/>
        </w:rPr>
        <w:t xml:space="preserve"> </w:t>
      </w:r>
      <w:r>
        <w:rPr>
          <w:sz w:val="20"/>
        </w:rPr>
        <w:t>autoriza</w:t>
      </w:r>
      <w:r>
        <w:rPr>
          <w:spacing w:val="-12"/>
          <w:sz w:val="20"/>
        </w:rPr>
        <w:t xml:space="preserve"> </w:t>
      </w:r>
      <w:r>
        <w:rPr>
          <w:sz w:val="20"/>
        </w:rPr>
        <w:t>actividades</w:t>
      </w:r>
      <w:r>
        <w:rPr>
          <w:spacing w:val="-16"/>
          <w:sz w:val="20"/>
        </w:rPr>
        <w:t xml:space="preserve"> </w:t>
      </w:r>
      <w:r>
        <w:rPr>
          <w:sz w:val="20"/>
        </w:rPr>
        <w:t>peligrosas</w:t>
      </w:r>
      <w:r>
        <w:rPr>
          <w:spacing w:val="-16"/>
          <w:sz w:val="20"/>
        </w:rPr>
        <w:t xml:space="preserve"> </w:t>
      </w:r>
      <w:r>
        <w:rPr>
          <w:sz w:val="20"/>
        </w:rPr>
        <w:t>debe</w:t>
      </w:r>
      <w:r>
        <w:rPr>
          <w:spacing w:val="-16"/>
          <w:sz w:val="20"/>
        </w:rPr>
        <w:t xml:space="preserve"> </w:t>
      </w:r>
      <w:r>
        <w:rPr>
          <w:sz w:val="20"/>
        </w:rPr>
        <w:t>garantizar</w:t>
      </w:r>
      <w:r>
        <w:rPr>
          <w:spacing w:val="-19"/>
          <w:sz w:val="20"/>
        </w:rPr>
        <w:t xml:space="preserve"> </w:t>
      </w:r>
      <w:r>
        <w:rPr>
          <w:sz w:val="20"/>
        </w:rPr>
        <w:t>mediante</w:t>
      </w:r>
      <w:r>
        <w:rPr>
          <w:spacing w:val="-16"/>
          <w:sz w:val="20"/>
        </w:rPr>
        <w:t xml:space="preserve"> </w:t>
      </w:r>
      <w:r>
        <w:rPr>
          <w:sz w:val="20"/>
        </w:rPr>
        <w:t>un</w:t>
      </w:r>
      <w:r>
        <w:rPr>
          <w:spacing w:val="-16"/>
          <w:sz w:val="20"/>
        </w:rPr>
        <w:t xml:space="preserve"> </w:t>
      </w:r>
      <w:r>
        <w:rPr>
          <w:sz w:val="20"/>
        </w:rPr>
        <w:t>sistema</w:t>
      </w:r>
      <w:r>
        <w:rPr>
          <w:spacing w:val="-15"/>
          <w:sz w:val="20"/>
        </w:rPr>
        <w:t xml:space="preserve"> </w:t>
      </w:r>
      <w:r>
        <w:rPr>
          <w:sz w:val="20"/>
        </w:rPr>
        <w:t>de</w:t>
      </w:r>
      <w:r>
        <w:rPr>
          <w:spacing w:val="-19"/>
          <w:sz w:val="20"/>
        </w:rPr>
        <w:t xml:space="preserve"> </w:t>
      </w:r>
      <w:r>
        <w:rPr>
          <w:sz w:val="20"/>
        </w:rPr>
        <w:t>normas y controles suficientes que el riesgo se reduzca a un mínimo razonable</w:t>
      </w:r>
      <w:hyperlink w:anchor="_bookmark738" w:history="1">
        <w:r>
          <w:rPr>
            <w:position w:val="7"/>
            <w:sz w:val="13"/>
          </w:rPr>
          <w:t>56</w:t>
        </w:r>
      </w:hyperlink>
      <w:r>
        <w:rPr>
          <w:sz w:val="20"/>
        </w:rPr>
        <w:t>; por lo que la responsabilidad</w:t>
      </w:r>
      <w:r>
        <w:rPr>
          <w:spacing w:val="-20"/>
          <w:sz w:val="20"/>
        </w:rPr>
        <w:t xml:space="preserve"> </w:t>
      </w:r>
      <w:r>
        <w:rPr>
          <w:sz w:val="20"/>
        </w:rPr>
        <w:t>internacional</w:t>
      </w:r>
      <w:r>
        <w:rPr>
          <w:spacing w:val="-19"/>
          <w:sz w:val="20"/>
        </w:rPr>
        <w:t xml:space="preserve"> </w:t>
      </w:r>
      <w:r>
        <w:rPr>
          <w:sz w:val="20"/>
        </w:rPr>
        <w:t>puede</w:t>
      </w:r>
      <w:r>
        <w:rPr>
          <w:spacing w:val="-19"/>
          <w:sz w:val="20"/>
        </w:rPr>
        <w:t xml:space="preserve"> </w:t>
      </w:r>
      <w:r>
        <w:rPr>
          <w:sz w:val="20"/>
        </w:rPr>
        <w:t>surgir</w:t>
      </w:r>
      <w:r>
        <w:rPr>
          <w:spacing w:val="-22"/>
          <w:sz w:val="20"/>
        </w:rPr>
        <w:t xml:space="preserve"> </w:t>
      </w:r>
      <w:r>
        <w:rPr>
          <w:sz w:val="20"/>
        </w:rPr>
        <w:t>no</w:t>
      </w:r>
      <w:r>
        <w:rPr>
          <w:spacing w:val="-18"/>
          <w:sz w:val="20"/>
        </w:rPr>
        <w:t xml:space="preserve"> </w:t>
      </w:r>
      <w:r>
        <w:rPr>
          <w:sz w:val="20"/>
        </w:rPr>
        <w:t>solo</w:t>
      </w:r>
      <w:r>
        <w:rPr>
          <w:spacing w:val="-21"/>
          <w:sz w:val="20"/>
        </w:rPr>
        <w:t xml:space="preserve"> </w:t>
      </w:r>
      <w:r>
        <w:rPr>
          <w:sz w:val="20"/>
        </w:rPr>
        <w:t>ante</w:t>
      </w:r>
      <w:r>
        <w:rPr>
          <w:spacing w:val="-19"/>
          <w:sz w:val="20"/>
        </w:rPr>
        <w:t xml:space="preserve"> </w:t>
      </w:r>
      <w:r>
        <w:rPr>
          <w:sz w:val="20"/>
        </w:rPr>
        <w:t>la</w:t>
      </w:r>
      <w:r>
        <w:rPr>
          <w:spacing w:val="-21"/>
          <w:sz w:val="20"/>
        </w:rPr>
        <w:t xml:space="preserve"> </w:t>
      </w:r>
      <w:r>
        <w:rPr>
          <w:sz w:val="20"/>
        </w:rPr>
        <w:t>ausencia</w:t>
      </w:r>
      <w:r>
        <w:rPr>
          <w:spacing w:val="-20"/>
          <w:sz w:val="20"/>
        </w:rPr>
        <w:t xml:space="preserve"> </w:t>
      </w:r>
      <w:r>
        <w:rPr>
          <w:sz w:val="20"/>
        </w:rPr>
        <w:t>de</w:t>
      </w:r>
      <w:r>
        <w:rPr>
          <w:spacing w:val="-21"/>
          <w:sz w:val="20"/>
        </w:rPr>
        <w:t xml:space="preserve"> </w:t>
      </w:r>
      <w:r>
        <w:rPr>
          <w:sz w:val="20"/>
        </w:rPr>
        <w:t>normativa,</w:t>
      </w:r>
      <w:r>
        <w:rPr>
          <w:spacing w:val="-18"/>
          <w:sz w:val="20"/>
        </w:rPr>
        <w:t xml:space="preserve"> </w:t>
      </w:r>
      <w:r>
        <w:rPr>
          <w:sz w:val="20"/>
        </w:rPr>
        <w:t>sino</w:t>
      </w:r>
      <w:r>
        <w:rPr>
          <w:spacing w:val="-22"/>
          <w:sz w:val="20"/>
        </w:rPr>
        <w:t xml:space="preserve"> </w:t>
      </w:r>
      <w:r>
        <w:rPr>
          <w:sz w:val="20"/>
        </w:rPr>
        <w:t>también por una normativa insuficiente en la materia</w:t>
      </w:r>
      <w:hyperlink w:anchor="_bookmark739" w:history="1">
        <w:r>
          <w:rPr>
            <w:position w:val="7"/>
            <w:sz w:val="13"/>
          </w:rPr>
          <w:t>57</w:t>
        </w:r>
      </w:hyperlink>
      <w:r>
        <w:rPr>
          <w:sz w:val="20"/>
        </w:rPr>
        <w:t>. Por su parte, el Comité Europeo ha indicado que</w:t>
      </w:r>
      <w:r>
        <w:rPr>
          <w:spacing w:val="-17"/>
          <w:sz w:val="20"/>
        </w:rPr>
        <w:t xml:space="preserve"> </w:t>
      </w:r>
      <w:r>
        <w:rPr>
          <w:sz w:val="20"/>
        </w:rPr>
        <w:t>para</w:t>
      </w:r>
      <w:r>
        <w:rPr>
          <w:spacing w:val="-15"/>
          <w:sz w:val="20"/>
        </w:rPr>
        <w:t xml:space="preserve"> </w:t>
      </w:r>
      <w:r>
        <w:rPr>
          <w:sz w:val="20"/>
        </w:rPr>
        <w:t>garantizar</w:t>
      </w:r>
      <w:r>
        <w:rPr>
          <w:spacing w:val="-14"/>
          <w:sz w:val="20"/>
        </w:rPr>
        <w:t xml:space="preserve"> </w:t>
      </w:r>
      <w:r>
        <w:rPr>
          <w:sz w:val="20"/>
        </w:rPr>
        <w:t>el</w:t>
      </w:r>
      <w:r>
        <w:rPr>
          <w:spacing w:val="-12"/>
          <w:sz w:val="20"/>
        </w:rPr>
        <w:t xml:space="preserve"> </w:t>
      </w:r>
      <w:r>
        <w:rPr>
          <w:sz w:val="20"/>
        </w:rPr>
        <w:t>derecho</w:t>
      </w:r>
      <w:r>
        <w:rPr>
          <w:spacing w:val="-15"/>
          <w:sz w:val="20"/>
        </w:rPr>
        <w:t xml:space="preserve"> </w:t>
      </w:r>
      <w:r>
        <w:rPr>
          <w:sz w:val="20"/>
        </w:rPr>
        <w:t>contemplado</w:t>
      </w:r>
      <w:r>
        <w:rPr>
          <w:spacing w:val="-14"/>
          <w:sz w:val="20"/>
        </w:rPr>
        <w:t xml:space="preserve"> </w:t>
      </w:r>
      <w:r>
        <w:rPr>
          <w:sz w:val="20"/>
        </w:rPr>
        <w:t>en</w:t>
      </w:r>
      <w:r>
        <w:rPr>
          <w:spacing w:val="-9"/>
          <w:sz w:val="20"/>
        </w:rPr>
        <w:t xml:space="preserve"> </w:t>
      </w:r>
      <w:r>
        <w:rPr>
          <w:sz w:val="20"/>
        </w:rPr>
        <w:t>el</w:t>
      </w:r>
      <w:r>
        <w:rPr>
          <w:spacing w:val="-15"/>
          <w:sz w:val="20"/>
        </w:rPr>
        <w:t xml:space="preserve"> </w:t>
      </w:r>
      <w:r>
        <w:rPr>
          <w:sz w:val="20"/>
        </w:rPr>
        <w:t>artículo</w:t>
      </w:r>
      <w:r>
        <w:rPr>
          <w:spacing w:val="-15"/>
          <w:sz w:val="20"/>
        </w:rPr>
        <w:t xml:space="preserve"> </w:t>
      </w:r>
      <w:r>
        <w:rPr>
          <w:sz w:val="20"/>
        </w:rPr>
        <w:t>3</w:t>
      </w:r>
      <w:r>
        <w:rPr>
          <w:spacing w:val="-12"/>
          <w:sz w:val="20"/>
        </w:rPr>
        <w:t xml:space="preserve"> </w:t>
      </w:r>
      <w:r>
        <w:rPr>
          <w:sz w:val="20"/>
        </w:rPr>
        <w:t>de</w:t>
      </w:r>
      <w:r>
        <w:rPr>
          <w:spacing w:val="-14"/>
          <w:sz w:val="20"/>
        </w:rPr>
        <w:t xml:space="preserve"> </w:t>
      </w:r>
      <w:r>
        <w:rPr>
          <w:sz w:val="20"/>
        </w:rPr>
        <w:t>la</w:t>
      </w:r>
      <w:r>
        <w:rPr>
          <w:spacing w:val="-12"/>
          <w:sz w:val="20"/>
        </w:rPr>
        <w:t xml:space="preserve"> </w:t>
      </w:r>
      <w:r>
        <w:rPr>
          <w:sz w:val="20"/>
        </w:rPr>
        <w:t>Carta</w:t>
      </w:r>
      <w:r>
        <w:rPr>
          <w:spacing w:val="-13"/>
          <w:sz w:val="20"/>
        </w:rPr>
        <w:t xml:space="preserve"> </w:t>
      </w:r>
      <w:r>
        <w:rPr>
          <w:sz w:val="20"/>
        </w:rPr>
        <w:t>Social,</w:t>
      </w:r>
      <w:r>
        <w:rPr>
          <w:spacing w:val="-13"/>
          <w:sz w:val="20"/>
        </w:rPr>
        <w:t xml:space="preserve"> </w:t>
      </w:r>
      <w:r>
        <w:rPr>
          <w:sz w:val="20"/>
        </w:rPr>
        <w:t>se</w:t>
      </w:r>
      <w:r>
        <w:rPr>
          <w:spacing w:val="-14"/>
          <w:sz w:val="20"/>
        </w:rPr>
        <w:t xml:space="preserve"> </w:t>
      </w:r>
      <w:r>
        <w:rPr>
          <w:sz w:val="20"/>
        </w:rPr>
        <w:t>deben</w:t>
      </w:r>
      <w:r>
        <w:rPr>
          <w:spacing w:val="-12"/>
          <w:sz w:val="20"/>
        </w:rPr>
        <w:t xml:space="preserve"> </w:t>
      </w:r>
      <w:r>
        <w:rPr>
          <w:sz w:val="20"/>
        </w:rPr>
        <w:t>emitir regulaciones de salud y seguridad en el trabajo que garanticen la prevención y protección en el lugar de trabajo c</w:t>
      </w:r>
      <w:r>
        <w:rPr>
          <w:sz w:val="20"/>
        </w:rPr>
        <w:t>ontra los riesgos reconocidos por la comunidad científica y regulados a nivel comunitario e internacional</w:t>
      </w:r>
      <w:hyperlink w:anchor="_bookmark740" w:history="1">
        <w:r>
          <w:rPr>
            <w:position w:val="7"/>
            <w:sz w:val="13"/>
          </w:rPr>
          <w:t>58</w:t>
        </w:r>
      </w:hyperlink>
      <w:r>
        <w:rPr>
          <w:sz w:val="20"/>
        </w:rPr>
        <w:t>. Lo cual es consecuente con el entendimiento del Sistema Interamericano.</w:t>
      </w:r>
      <w:r>
        <w:rPr>
          <w:spacing w:val="-7"/>
          <w:sz w:val="20"/>
        </w:rPr>
        <w:t xml:space="preserve"> </w:t>
      </w:r>
      <w:r>
        <w:rPr>
          <w:sz w:val="20"/>
        </w:rPr>
        <w:t>No</w:t>
      </w:r>
      <w:r>
        <w:rPr>
          <w:spacing w:val="-5"/>
          <w:sz w:val="20"/>
        </w:rPr>
        <w:t xml:space="preserve"> </w:t>
      </w:r>
      <w:r>
        <w:rPr>
          <w:sz w:val="20"/>
        </w:rPr>
        <w:t>obstante,</w:t>
      </w:r>
      <w:r>
        <w:rPr>
          <w:spacing w:val="-7"/>
          <w:sz w:val="20"/>
        </w:rPr>
        <w:t xml:space="preserve"> </w:t>
      </w:r>
      <w:r>
        <w:rPr>
          <w:sz w:val="20"/>
        </w:rPr>
        <w:t>el</w:t>
      </w:r>
      <w:r>
        <w:rPr>
          <w:spacing w:val="-6"/>
          <w:sz w:val="20"/>
        </w:rPr>
        <w:t xml:space="preserve"> </w:t>
      </w:r>
      <w:r>
        <w:rPr>
          <w:sz w:val="20"/>
        </w:rPr>
        <w:t>Tribunal</w:t>
      </w:r>
      <w:r>
        <w:rPr>
          <w:spacing w:val="-6"/>
          <w:sz w:val="20"/>
        </w:rPr>
        <w:t xml:space="preserve"> </w:t>
      </w:r>
      <w:r>
        <w:rPr>
          <w:sz w:val="20"/>
        </w:rPr>
        <w:t>de</w:t>
      </w:r>
      <w:r>
        <w:rPr>
          <w:spacing w:val="-8"/>
          <w:sz w:val="20"/>
        </w:rPr>
        <w:t xml:space="preserve"> </w:t>
      </w:r>
      <w:r>
        <w:rPr>
          <w:sz w:val="20"/>
        </w:rPr>
        <w:t>Estrasburgo</w:t>
      </w:r>
      <w:r>
        <w:rPr>
          <w:spacing w:val="-8"/>
          <w:sz w:val="20"/>
        </w:rPr>
        <w:t xml:space="preserve"> </w:t>
      </w:r>
      <w:r>
        <w:rPr>
          <w:sz w:val="20"/>
        </w:rPr>
        <w:t>también</w:t>
      </w:r>
      <w:r>
        <w:rPr>
          <w:spacing w:val="-5"/>
          <w:sz w:val="20"/>
        </w:rPr>
        <w:t xml:space="preserve"> </w:t>
      </w:r>
      <w:r>
        <w:rPr>
          <w:sz w:val="20"/>
        </w:rPr>
        <w:t>ha</w:t>
      </w:r>
      <w:r>
        <w:rPr>
          <w:spacing w:val="-6"/>
          <w:sz w:val="20"/>
        </w:rPr>
        <w:t xml:space="preserve"> </w:t>
      </w:r>
      <w:r>
        <w:rPr>
          <w:sz w:val="20"/>
        </w:rPr>
        <w:t>especificado</w:t>
      </w:r>
      <w:r>
        <w:rPr>
          <w:spacing w:val="-8"/>
          <w:sz w:val="20"/>
        </w:rPr>
        <w:t xml:space="preserve"> </w:t>
      </w:r>
      <w:r>
        <w:rPr>
          <w:sz w:val="20"/>
        </w:rPr>
        <w:t>que</w:t>
      </w:r>
      <w:r>
        <w:rPr>
          <w:spacing w:val="-5"/>
          <w:sz w:val="20"/>
        </w:rPr>
        <w:t xml:space="preserve"> </w:t>
      </w:r>
      <w:r>
        <w:rPr>
          <w:sz w:val="20"/>
        </w:rPr>
        <w:t>“si</w:t>
      </w:r>
      <w:r>
        <w:rPr>
          <w:spacing w:val="-6"/>
          <w:sz w:val="20"/>
        </w:rPr>
        <w:t xml:space="preserve"> </w:t>
      </w:r>
      <w:r>
        <w:rPr>
          <w:sz w:val="20"/>
        </w:rPr>
        <w:t xml:space="preserve">bien existe el deber principal de establecer un marco legislativo y administrativo, no se puede descartar la posibilidad, </w:t>
      </w:r>
      <w:r>
        <w:rPr>
          <w:i/>
          <w:sz w:val="20"/>
        </w:rPr>
        <w:t>a priori</w:t>
      </w:r>
      <w:r>
        <w:rPr>
          <w:sz w:val="20"/>
        </w:rPr>
        <w:t>, de que, en ciertas circunstancias específicas, en ausencia</w:t>
      </w:r>
      <w:r>
        <w:rPr>
          <w:spacing w:val="-50"/>
          <w:sz w:val="20"/>
        </w:rPr>
        <w:t xml:space="preserve"> </w:t>
      </w:r>
      <w:r>
        <w:rPr>
          <w:sz w:val="20"/>
        </w:rPr>
        <w:t>de</w:t>
      </w:r>
    </w:p>
    <w:p w14:paraId="55ADCC32" w14:textId="77777777" w:rsidR="00467FCA" w:rsidRDefault="00467FCA">
      <w:pPr>
        <w:pStyle w:val="Textoindependiente"/>
      </w:pPr>
    </w:p>
    <w:p w14:paraId="077F6D43" w14:textId="77777777" w:rsidR="00467FCA" w:rsidRDefault="00467FCA">
      <w:pPr>
        <w:pStyle w:val="Textoindependiente"/>
      </w:pPr>
    </w:p>
    <w:p w14:paraId="3E8F67AD" w14:textId="77777777" w:rsidR="00467FCA" w:rsidRDefault="001B68EB">
      <w:pPr>
        <w:pStyle w:val="Textoindependiente"/>
        <w:spacing w:before="2"/>
        <w:rPr>
          <w:sz w:val="21"/>
        </w:rPr>
      </w:pPr>
      <w:r>
        <w:pict w14:anchorId="2BD2F8A9">
          <v:shape id="_x0000_s1060" style="position:absolute;margin-left:70.9pt;margin-top:15.15pt;width:2in;height:.1pt;z-index:-251518976;mso-wrap-distance-left:0;mso-wrap-distance-right:0;mso-position-horizontal-relative:page" coordorigin="1418,303" coordsize="2880,0" path="m1418,303r2880,e" filled="f" strokeweight=".21131mm">
            <v:path arrowok="t"/>
            <w10:wrap type="topAndBottom" anchorx="page"/>
          </v:shape>
        </w:pict>
      </w:r>
    </w:p>
    <w:p w14:paraId="1E892480" w14:textId="77777777" w:rsidR="00467FCA" w:rsidRDefault="001B68EB">
      <w:pPr>
        <w:tabs>
          <w:tab w:val="left" w:pos="1166"/>
        </w:tabs>
        <w:spacing w:before="74"/>
        <w:ind w:left="458" w:right="271"/>
        <w:jc w:val="both"/>
        <w:rPr>
          <w:sz w:val="16"/>
        </w:rPr>
      </w:pPr>
      <w:bookmarkStart w:id="814" w:name="_bookmark733"/>
      <w:bookmarkEnd w:id="814"/>
      <w:r>
        <w:rPr>
          <w:position w:val="6"/>
          <w:sz w:val="10"/>
        </w:rPr>
        <w:t>51</w:t>
      </w:r>
      <w:r>
        <w:rPr>
          <w:position w:val="6"/>
          <w:sz w:val="10"/>
        </w:rPr>
        <w:tab/>
      </w:r>
      <w:r>
        <w:rPr>
          <w:sz w:val="16"/>
        </w:rPr>
        <w:t>Véase</w:t>
      </w:r>
      <w:r>
        <w:rPr>
          <w:spacing w:val="-11"/>
          <w:sz w:val="16"/>
        </w:rPr>
        <w:t xml:space="preserve"> </w:t>
      </w:r>
      <w:r>
        <w:rPr>
          <w:sz w:val="16"/>
        </w:rPr>
        <w:t>“Artí</w:t>
      </w:r>
      <w:r>
        <w:rPr>
          <w:sz w:val="16"/>
        </w:rPr>
        <w:t>culo</w:t>
      </w:r>
      <w:r>
        <w:rPr>
          <w:spacing w:val="-10"/>
          <w:sz w:val="16"/>
        </w:rPr>
        <w:t xml:space="preserve"> </w:t>
      </w:r>
      <w:r>
        <w:rPr>
          <w:sz w:val="16"/>
        </w:rPr>
        <w:t>2.</w:t>
      </w:r>
      <w:r>
        <w:rPr>
          <w:spacing w:val="-8"/>
          <w:sz w:val="16"/>
        </w:rPr>
        <w:t xml:space="preserve"> </w:t>
      </w:r>
      <w:r>
        <w:rPr>
          <w:sz w:val="16"/>
        </w:rPr>
        <w:t>Derecho</w:t>
      </w:r>
      <w:r>
        <w:rPr>
          <w:spacing w:val="-8"/>
          <w:sz w:val="16"/>
        </w:rPr>
        <w:t xml:space="preserve"> </w:t>
      </w:r>
      <w:r>
        <w:rPr>
          <w:sz w:val="16"/>
        </w:rPr>
        <w:t>a</w:t>
      </w:r>
      <w:r>
        <w:rPr>
          <w:spacing w:val="-11"/>
          <w:sz w:val="16"/>
        </w:rPr>
        <w:t xml:space="preserve"> </w:t>
      </w:r>
      <w:r>
        <w:rPr>
          <w:sz w:val="16"/>
        </w:rPr>
        <w:t>unas</w:t>
      </w:r>
      <w:r>
        <w:rPr>
          <w:spacing w:val="-7"/>
          <w:sz w:val="16"/>
        </w:rPr>
        <w:t xml:space="preserve"> </w:t>
      </w:r>
      <w:r>
        <w:rPr>
          <w:sz w:val="16"/>
        </w:rPr>
        <w:t>condiciones</w:t>
      </w:r>
      <w:r>
        <w:rPr>
          <w:spacing w:val="-11"/>
          <w:sz w:val="16"/>
        </w:rPr>
        <w:t xml:space="preserve"> </w:t>
      </w:r>
      <w:r>
        <w:rPr>
          <w:sz w:val="16"/>
        </w:rPr>
        <w:t>de</w:t>
      </w:r>
      <w:r>
        <w:rPr>
          <w:spacing w:val="-8"/>
          <w:sz w:val="16"/>
        </w:rPr>
        <w:t xml:space="preserve"> </w:t>
      </w:r>
      <w:r>
        <w:rPr>
          <w:sz w:val="16"/>
        </w:rPr>
        <w:t>trabajo</w:t>
      </w:r>
      <w:r>
        <w:rPr>
          <w:spacing w:val="-7"/>
          <w:sz w:val="16"/>
        </w:rPr>
        <w:t xml:space="preserve"> </w:t>
      </w:r>
      <w:r>
        <w:rPr>
          <w:sz w:val="16"/>
        </w:rPr>
        <w:t>equitativas.</w:t>
      </w:r>
      <w:r>
        <w:rPr>
          <w:spacing w:val="-9"/>
          <w:sz w:val="16"/>
        </w:rPr>
        <w:t xml:space="preserve"> </w:t>
      </w:r>
      <w:r>
        <w:rPr>
          <w:sz w:val="16"/>
        </w:rPr>
        <w:t>Para</w:t>
      </w:r>
      <w:r>
        <w:rPr>
          <w:spacing w:val="-9"/>
          <w:sz w:val="16"/>
        </w:rPr>
        <w:t xml:space="preserve"> </w:t>
      </w:r>
      <w:r>
        <w:rPr>
          <w:sz w:val="16"/>
        </w:rPr>
        <w:t>garantizar</w:t>
      </w:r>
      <w:r>
        <w:rPr>
          <w:spacing w:val="-6"/>
          <w:sz w:val="16"/>
        </w:rPr>
        <w:t xml:space="preserve"> </w:t>
      </w:r>
      <w:r>
        <w:rPr>
          <w:sz w:val="16"/>
        </w:rPr>
        <w:t>el</w:t>
      </w:r>
      <w:r>
        <w:rPr>
          <w:spacing w:val="-12"/>
          <w:sz w:val="16"/>
        </w:rPr>
        <w:t xml:space="preserve"> </w:t>
      </w:r>
      <w:r>
        <w:rPr>
          <w:sz w:val="16"/>
        </w:rPr>
        <w:t>ejercicio</w:t>
      </w:r>
      <w:r>
        <w:rPr>
          <w:spacing w:val="-10"/>
          <w:sz w:val="16"/>
        </w:rPr>
        <w:t xml:space="preserve"> </w:t>
      </w:r>
      <w:r>
        <w:rPr>
          <w:sz w:val="16"/>
        </w:rPr>
        <w:t>efectivo</w:t>
      </w:r>
      <w:r>
        <w:rPr>
          <w:spacing w:val="-7"/>
          <w:sz w:val="16"/>
        </w:rPr>
        <w:t xml:space="preserve"> </w:t>
      </w:r>
      <w:r>
        <w:rPr>
          <w:sz w:val="16"/>
        </w:rPr>
        <w:t>del derecho</w:t>
      </w:r>
      <w:r>
        <w:rPr>
          <w:spacing w:val="-15"/>
          <w:sz w:val="16"/>
        </w:rPr>
        <w:t xml:space="preserve"> </w:t>
      </w:r>
      <w:r>
        <w:rPr>
          <w:sz w:val="16"/>
        </w:rPr>
        <w:t>a</w:t>
      </w:r>
      <w:r>
        <w:rPr>
          <w:spacing w:val="-15"/>
          <w:sz w:val="16"/>
        </w:rPr>
        <w:t xml:space="preserve"> </w:t>
      </w:r>
      <w:r>
        <w:rPr>
          <w:sz w:val="16"/>
        </w:rPr>
        <w:t>unas</w:t>
      </w:r>
      <w:r>
        <w:rPr>
          <w:spacing w:val="-15"/>
          <w:sz w:val="16"/>
        </w:rPr>
        <w:t xml:space="preserve"> </w:t>
      </w:r>
      <w:r>
        <w:rPr>
          <w:sz w:val="16"/>
        </w:rPr>
        <w:t>condiciones</w:t>
      </w:r>
      <w:r>
        <w:rPr>
          <w:spacing w:val="-15"/>
          <w:sz w:val="16"/>
        </w:rPr>
        <w:t xml:space="preserve"> </w:t>
      </w:r>
      <w:r>
        <w:rPr>
          <w:sz w:val="16"/>
        </w:rPr>
        <w:t>de</w:t>
      </w:r>
      <w:r>
        <w:rPr>
          <w:spacing w:val="-14"/>
          <w:sz w:val="16"/>
        </w:rPr>
        <w:t xml:space="preserve"> </w:t>
      </w:r>
      <w:r>
        <w:rPr>
          <w:sz w:val="16"/>
        </w:rPr>
        <w:t>trabajo</w:t>
      </w:r>
      <w:r>
        <w:rPr>
          <w:spacing w:val="-15"/>
          <w:sz w:val="16"/>
        </w:rPr>
        <w:t xml:space="preserve"> </w:t>
      </w:r>
      <w:r>
        <w:rPr>
          <w:sz w:val="16"/>
        </w:rPr>
        <w:t>equitativas,</w:t>
      </w:r>
      <w:r>
        <w:rPr>
          <w:spacing w:val="-13"/>
          <w:sz w:val="16"/>
        </w:rPr>
        <w:t xml:space="preserve"> </w:t>
      </w:r>
      <w:r>
        <w:rPr>
          <w:sz w:val="16"/>
        </w:rPr>
        <w:t>las</w:t>
      </w:r>
      <w:r>
        <w:rPr>
          <w:spacing w:val="-15"/>
          <w:sz w:val="16"/>
        </w:rPr>
        <w:t xml:space="preserve"> </w:t>
      </w:r>
      <w:r>
        <w:rPr>
          <w:sz w:val="16"/>
        </w:rPr>
        <w:t>Partes</w:t>
      </w:r>
      <w:r>
        <w:rPr>
          <w:spacing w:val="-14"/>
          <w:sz w:val="16"/>
        </w:rPr>
        <w:t xml:space="preserve"> </w:t>
      </w:r>
      <w:r>
        <w:rPr>
          <w:sz w:val="16"/>
        </w:rPr>
        <w:t>se</w:t>
      </w:r>
      <w:r>
        <w:rPr>
          <w:spacing w:val="-15"/>
          <w:sz w:val="16"/>
        </w:rPr>
        <w:t xml:space="preserve"> </w:t>
      </w:r>
      <w:r>
        <w:rPr>
          <w:sz w:val="16"/>
        </w:rPr>
        <w:t>comprometen:</w:t>
      </w:r>
      <w:r>
        <w:rPr>
          <w:spacing w:val="-15"/>
          <w:sz w:val="16"/>
        </w:rPr>
        <w:t xml:space="preserve"> </w:t>
      </w:r>
      <w:r>
        <w:rPr>
          <w:sz w:val="16"/>
        </w:rPr>
        <w:t>[…]</w:t>
      </w:r>
      <w:r>
        <w:rPr>
          <w:spacing w:val="-16"/>
          <w:sz w:val="16"/>
        </w:rPr>
        <w:t xml:space="preserve"> </w:t>
      </w:r>
      <w:r>
        <w:rPr>
          <w:sz w:val="16"/>
        </w:rPr>
        <w:t>4</w:t>
      </w:r>
      <w:r>
        <w:rPr>
          <w:spacing w:val="39"/>
          <w:sz w:val="16"/>
        </w:rPr>
        <w:t xml:space="preserve"> </w:t>
      </w:r>
      <w:r>
        <w:rPr>
          <w:sz w:val="16"/>
        </w:rPr>
        <w:t>a</w:t>
      </w:r>
      <w:r>
        <w:rPr>
          <w:spacing w:val="-15"/>
          <w:sz w:val="16"/>
        </w:rPr>
        <w:t xml:space="preserve"> </w:t>
      </w:r>
      <w:r>
        <w:rPr>
          <w:sz w:val="16"/>
        </w:rPr>
        <w:t>eliminar</w:t>
      </w:r>
      <w:r>
        <w:rPr>
          <w:spacing w:val="-12"/>
          <w:sz w:val="16"/>
        </w:rPr>
        <w:t xml:space="preserve"> </w:t>
      </w:r>
      <w:r>
        <w:rPr>
          <w:sz w:val="16"/>
        </w:rPr>
        <w:t>los</w:t>
      </w:r>
      <w:r>
        <w:rPr>
          <w:spacing w:val="-14"/>
          <w:sz w:val="16"/>
        </w:rPr>
        <w:t xml:space="preserve"> </w:t>
      </w:r>
      <w:r>
        <w:rPr>
          <w:sz w:val="16"/>
        </w:rPr>
        <w:t>riesgos</w:t>
      </w:r>
      <w:r>
        <w:rPr>
          <w:spacing w:val="-15"/>
          <w:sz w:val="16"/>
        </w:rPr>
        <w:t xml:space="preserve"> </w:t>
      </w:r>
      <w:r>
        <w:rPr>
          <w:sz w:val="16"/>
        </w:rPr>
        <w:t>inherentes a</w:t>
      </w:r>
      <w:r>
        <w:rPr>
          <w:spacing w:val="-15"/>
          <w:sz w:val="16"/>
        </w:rPr>
        <w:t xml:space="preserve"> </w:t>
      </w:r>
      <w:r>
        <w:rPr>
          <w:sz w:val="16"/>
        </w:rPr>
        <w:t>las</w:t>
      </w:r>
      <w:r>
        <w:rPr>
          <w:spacing w:val="-14"/>
          <w:sz w:val="16"/>
        </w:rPr>
        <w:t xml:space="preserve"> </w:t>
      </w:r>
      <w:r>
        <w:rPr>
          <w:sz w:val="16"/>
        </w:rPr>
        <w:t>ocupaciones</w:t>
      </w:r>
      <w:r>
        <w:rPr>
          <w:spacing w:val="-17"/>
          <w:sz w:val="16"/>
        </w:rPr>
        <w:t xml:space="preserve"> </w:t>
      </w:r>
      <w:r>
        <w:rPr>
          <w:sz w:val="16"/>
        </w:rPr>
        <w:t>peligrosas</w:t>
      </w:r>
      <w:r>
        <w:rPr>
          <w:spacing w:val="-14"/>
          <w:sz w:val="16"/>
        </w:rPr>
        <w:t xml:space="preserve"> </w:t>
      </w:r>
      <w:r>
        <w:rPr>
          <w:sz w:val="16"/>
        </w:rPr>
        <w:t>o</w:t>
      </w:r>
      <w:r>
        <w:rPr>
          <w:spacing w:val="-16"/>
          <w:sz w:val="16"/>
        </w:rPr>
        <w:t xml:space="preserve"> </w:t>
      </w:r>
      <w:r>
        <w:rPr>
          <w:sz w:val="16"/>
        </w:rPr>
        <w:t>insalubres</w:t>
      </w:r>
      <w:r>
        <w:rPr>
          <w:spacing w:val="-17"/>
          <w:sz w:val="16"/>
        </w:rPr>
        <w:t xml:space="preserve"> </w:t>
      </w:r>
      <w:r>
        <w:rPr>
          <w:sz w:val="16"/>
        </w:rPr>
        <w:t>y,</w:t>
      </w:r>
      <w:r>
        <w:rPr>
          <w:spacing w:val="-14"/>
          <w:sz w:val="16"/>
        </w:rPr>
        <w:t xml:space="preserve"> </w:t>
      </w:r>
      <w:r>
        <w:rPr>
          <w:sz w:val="16"/>
        </w:rPr>
        <w:t>en</w:t>
      </w:r>
      <w:r>
        <w:rPr>
          <w:spacing w:val="-15"/>
          <w:sz w:val="16"/>
        </w:rPr>
        <w:t xml:space="preserve"> </w:t>
      </w:r>
      <w:r>
        <w:rPr>
          <w:sz w:val="16"/>
        </w:rPr>
        <w:t>los</w:t>
      </w:r>
      <w:r>
        <w:rPr>
          <w:spacing w:val="-17"/>
          <w:sz w:val="16"/>
        </w:rPr>
        <w:t xml:space="preserve"> </w:t>
      </w:r>
      <w:r>
        <w:rPr>
          <w:sz w:val="16"/>
        </w:rPr>
        <w:t>casos</w:t>
      </w:r>
      <w:r>
        <w:rPr>
          <w:spacing w:val="-14"/>
          <w:sz w:val="16"/>
        </w:rPr>
        <w:t xml:space="preserve"> </w:t>
      </w:r>
      <w:r>
        <w:rPr>
          <w:sz w:val="16"/>
        </w:rPr>
        <w:t>en</w:t>
      </w:r>
      <w:r>
        <w:rPr>
          <w:spacing w:val="-18"/>
          <w:sz w:val="16"/>
        </w:rPr>
        <w:t xml:space="preserve"> </w:t>
      </w:r>
      <w:r>
        <w:rPr>
          <w:sz w:val="16"/>
        </w:rPr>
        <w:t>que</w:t>
      </w:r>
      <w:r>
        <w:rPr>
          <w:spacing w:val="-14"/>
          <w:sz w:val="16"/>
        </w:rPr>
        <w:t xml:space="preserve"> </w:t>
      </w:r>
      <w:r>
        <w:rPr>
          <w:sz w:val="16"/>
        </w:rPr>
        <w:t>no</w:t>
      </w:r>
      <w:r>
        <w:rPr>
          <w:spacing w:val="-14"/>
          <w:sz w:val="16"/>
        </w:rPr>
        <w:t xml:space="preserve"> </w:t>
      </w:r>
      <w:r>
        <w:rPr>
          <w:sz w:val="16"/>
        </w:rPr>
        <w:t>haya</w:t>
      </w:r>
      <w:r>
        <w:rPr>
          <w:spacing w:val="-17"/>
          <w:sz w:val="16"/>
        </w:rPr>
        <w:t xml:space="preserve"> </w:t>
      </w:r>
      <w:r>
        <w:rPr>
          <w:sz w:val="16"/>
        </w:rPr>
        <w:t>sido</w:t>
      </w:r>
      <w:r>
        <w:rPr>
          <w:spacing w:val="-16"/>
          <w:sz w:val="16"/>
        </w:rPr>
        <w:t xml:space="preserve"> </w:t>
      </w:r>
      <w:r>
        <w:rPr>
          <w:sz w:val="16"/>
        </w:rPr>
        <w:t>posible</w:t>
      </w:r>
      <w:r>
        <w:rPr>
          <w:spacing w:val="-14"/>
          <w:sz w:val="16"/>
        </w:rPr>
        <w:t xml:space="preserve"> </w:t>
      </w:r>
      <w:r>
        <w:rPr>
          <w:sz w:val="16"/>
        </w:rPr>
        <w:t>eliminar</w:t>
      </w:r>
      <w:r>
        <w:rPr>
          <w:spacing w:val="-14"/>
          <w:sz w:val="16"/>
        </w:rPr>
        <w:t xml:space="preserve"> </w:t>
      </w:r>
      <w:r>
        <w:rPr>
          <w:sz w:val="16"/>
        </w:rPr>
        <w:t>o</w:t>
      </w:r>
      <w:r>
        <w:rPr>
          <w:spacing w:val="-16"/>
          <w:sz w:val="16"/>
        </w:rPr>
        <w:t xml:space="preserve"> </w:t>
      </w:r>
      <w:r>
        <w:rPr>
          <w:sz w:val="16"/>
        </w:rPr>
        <w:t>reducir</w:t>
      </w:r>
      <w:r>
        <w:rPr>
          <w:spacing w:val="-13"/>
          <w:sz w:val="16"/>
        </w:rPr>
        <w:t xml:space="preserve"> </w:t>
      </w:r>
      <w:r>
        <w:rPr>
          <w:sz w:val="16"/>
        </w:rPr>
        <w:t>suficientemente esos riesgos, a asegurar a los trabajadores empleados en dichas ocupaciones, bien una reducción de las horas de</w:t>
      </w:r>
      <w:bookmarkStart w:id="815" w:name="_bookmark734"/>
      <w:bookmarkEnd w:id="815"/>
      <w:r>
        <w:rPr>
          <w:sz w:val="16"/>
        </w:rPr>
        <w:t xml:space="preserve"> trabajo, o bien días de descanso pagados </w:t>
      </w:r>
      <w:r>
        <w:rPr>
          <w:sz w:val="16"/>
        </w:rPr>
        <w:t>suplementarios</w:t>
      </w:r>
      <w:r>
        <w:rPr>
          <w:spacing w:val="-10"/>
          <w:sz w:val="16"/>
        </w:rPr>
        <w:t xml:space="preserve"> </w:t>
      </w:r>
      <w:r>
        <w:rPr>
          <w:sz w:val="16"/>
        </w:rPr>
        <w:t>[…]”.</w:t>
      </w:r>
    </w:p>
    <w:p w14:paraId="0E4A1560" w14:textId="77777777" w:rsidR="00467FCA" w:rsidRDefault="001B68EB">
      <w:pPr>
        <w:tabs>
          <w:tab w:val="left" w:pos="1166"/>
        </w:tabs>
        <w:spacing w:before="2"/>
        <w:ind w:left="458" w:right="270" w:hanging="1"/>
        <w:jc w:val="both"/>
        <w:rPr>
          <w:sz w:val="16"/>
        </w:rPr>
      </w:pPr>
      <w:r>
        <w:rPr>
          <w:position w:val="6"/>
          <w:sz w:val="10"/>
        </w:rPr>
        <w:t>52</w:t>
      </w:r>
      <w:r>
        <w:rPr>
          <w:position w:val="6"/>
          <w:sz w:val="10"/>
        </w:rPr>
        <w:tab/>
      </w:r>
      <w:r>
        <w:rPr>
          <w:sz w:val="16"/>
        </w:rPr>
        <w:t>Véase “Artículo 3. Derecho a la seguridad e higiene en el trabajo. Para garantizar el ejercicio efectivo del derecho</w:t>
      </w:r>
      <w:r>
        <w:rPr>
          <w:spacing w:val="-5"/>
          <w:sz w:val="16"/>
        </w:rPr>
        <w:t xml:space="preserve"> </w:t>
      </w:r>
      <w:r>
        <w:rPr>
          <w:sz w:val="16"/>
        </w:rPr>
        <w:t>a</w:t>
      </w:r>
      <w:r>
        <w:rPr>
          <w:spacing w:val="-6"/>
          <w:sz w:val="16"/>
        </w:rPr>
        <w:t xml:space="preserve"> </w:t>
      </w:r>
      <w:r>
        <w:rPr>
          <w:sz w:val="16"/>
        </w:rPr>
        <w:t>la</w:t>
      </w:r>
      <w:r>
        <w:rPr>
          <w:spacing w:val="-4"/>
          <w:sz w:val="16"/>
        </w:rPr>
        <w:t xml:space="preserve"> </w:t>
      </w:r>
      <w:r>
        <w:rPr>
          <w:sz w:val="16"/>
        </w:rPr>
        <w:t>seguridad</w:t>
      </w:r>
      <w:r>
        <w:rPr>
          <w:spacing w:val="-4"/>
          <w:sz w:val="16"/>
        </w:rPr>
        <w:t xml:space="preserve"> </w:t>
      </w:r>
      <w:r>
        <w:rPr>
          <w:sz w:val="16"/>
        </w:rPr>
        <w:t>e</w:t>
      </w:r>
      <w:r>
        <w:rPr>
          <w:spacing w:val="-6"/>
          <w:sz w:val="16"/>
        </w:rPr>
        <w:t xml:space="preserve"> </w:t>
      </w:r>
      <w:r>
        <w:rPr>
          <w:sz w:val="16"/>
        </w:rPr>
        <w:t>higiene</w:t>
      </w:r>
      <w:r>
        <w:rPr>
          <w:spacing w:val="-2"/>
          <w:sz w:val="16"/>
        </w:rPr>
        <w:t xml:space="preserve"> </w:t>
      </w:r>
      <w:r>
        <w:rPr>
          <w:sz w:val="16"/>
        </w:rPr>
        <w:t>en</w:t>
      </w:r>
      <w:r>
        <w:rPr>
          <w:spacing w:val="-6"/>
          <w:sz w:val="16"/>
        </w:rPr>
        <w:t xml:space="preserve"> </w:t>
      </w:r>
      <w:r>
        <w:rPr>
          <w:sz w:val="16"/>
        </w:rPr>
        <w:t>el</w:t>
      </w:r>
      <w:r>
        <w:rPr>
          <w:spacing w:val="-4"/>
          <w:sz w:val="16"/>
        </w:rPr>
        <w:t xml:space="preserve"> </w:t>
      </w:r>
      <w:r>
        <w:rPr>
          <w:sz w:val="16"/>
        </w:rPr>
        <w:t>trabajo,</w:t>
      </w:r>
      <w:r>
        <w:rPr>
          <w:spacing w:val="-3"/>
          <w:sz w:val="16"/>
        </w:rPr>
        <w:t xml:space="preserve"> </w:t>
      </w:r>
      <w:r>
        <w:rPr>
          <w:sz w:val="16"/>
        </w:rPr>
        <w:t>las</w:t>
      </w:r>
      <w:r>
        <w:rPr>
          <w:spacing w:val="-6"/>
          <w:sz w:val="16"/>
        </w:rPr>
        <w:t xml:space="preserve"> </w:t>
      </w:r>
      <w:r>
        <w:rPr>
          <w:sz w:val="16"/>
        </w:rPr>
        <w:t>Partes</w:t>
      </w:r>
      <w:r>
        <w:rPr>
          <w:spacing w:val="-5"/>
          <w:sz w:val="16"/>
        </w:rPr>
        <w:t xml:space="preserve"> </w:t>
      </w:r>
      <w:r>
        <w:rPr>
          <w:sz w:val="16"/>
        </w:rPr>
        <w:t>se</w:t>
      </w:r>
      <w:r>
        <w:rPr>
          <w:spacing w:val="-6"/>
          <w:sz w:val="16"/>
        </w:rPr>
        <w:t xml:space="preserve"> </w:t>
      </w:r>
      <w:r>
        <w:rPr>
          <w:sz w:val="16"/>
        </w:rPr>
        <w:t>comprometen,</w:t>
      </w:r>
      <w:r>
        <w:rPr>
          <w:spacing w:val="-6"/>
          <w:sz w:val="16"/>
        </w:rPr>
        <w:t xml:space="preserve"> </w:t>
      </w:r>
      <w:r>
        <w:rPr>
          <w:sz w:val="16"/>
        </w:rPr>
        <w:t>previa</w:t>
      </w:r>
      <w:r>
        <w:rPr>
          <w:spacing w:val="-6"/>
          <w:sz w:val="16"/>
        </w:rPr>
        <w:t xml:space="preserve"> </w:t>
      </w:r>
      <w:r>
        <w:rPr>
          <w:sz w:val="16"/>
        </w:rPr>
        <w:t>consulta</w:t>
      </w:r>
      <w:r>
        <w:rPr>
          <w:spacing w:val="-7"/>
          <w:sz w:val="16"/>
        </w:rPr>
        <w:t xml:space="preserve"> </w:t>
      </w:r>
      <w:r>
        <w:rPr>
          <w:sz w:val="16"/>
        </w:rPr>
        <w:t>con</w:t>
      </w:r>
      <w:r>
        <w:rPr>
          <w:spacing w:val="-3"/>
          <w:sz w:val="16"/>
        </w:rPr>
        <w:t xml:space="preserve"> </w:t>
      </w:r>
      <w:r>
        <w:rPr>
          <w:sz w:val="16"/>
        </w:rPr>
        <w:t>las</w:t>
      </w:r>
      <w:r>
        <w:rPr>
          <w:spacing w:val="-6"/>
          <w:sz w:val="16"/>
        </w:rPr>
        <w:t xml:space="preserve"> </w:t>
      </w:r>
      <w:r>
        <w:rPr>
          <w:sz w:val="16"/>
        </w:rPr>
        <w:t>organizaciones</w:t>
      </w:r>
      <w:r>
        <w:rPr>
          <w:spacing w:val="-5"/>
          <w:sz w:val="16"/>
        </w:rPr>
        <w:t xml:space="preserve"> </w:t>
      </w:r>
      <w:r>
        <w:rPr>
          <w:sz w:val="16"/>
        </w:rPr>
        <w:t>de empleadores y de trabajadores: 1 a formular, aplicar y revisar periódicamente una política nacional coherente sobre seguridad e higiene en el trabajo y sobre el entorno de trabajo. Esta política tendrá como objeto principal la mejora de</w:t>
      </w:r>
      <w:r>
        <w:rPr>
          <w:spacing w:val="-7"/>
          <w:sz w:val="16"/>
        </w:rPr>
        <w:t xml:space="preserve"> </w:t>
      </w:r>
      <w:r>
        <w:rPr>
          <w:sz w:val="16"/>
        </w:rPr>
        <w:t>l</w:t>
      </w:r>
      <w:r>
        <w:rPr>
          <w:sz w:val="16"/>
        </w:rPr>
        <w:t>a</w:t>
      </w:r>
      <w:r>
        <w:rPr>
          <w:spacing w:val="-8"/>
          <w:sz w:val="16"/>
        </w:rPr>
        <w:t xml:space="preserve"> </w:t>
      </w:r>
      <w:r>
        <w:rPr>
          <w:sz w:val="16"/>
        </w:rPr>
        <w:t>seguridad</w:t>
      </w:r>
      <w:r>
        <w:rPr>
          <w:spacing w:val="-9"/>
          <w:sz w:val="16"/>
        </w:rPr>
        <w:t xml:space="preserve"> </w:t>
      </w:r>
      <w:r>
        <w:rPr>
          <w:sz w:val="16"/>
        </w:rPr>
        <w:t>y</w:t>
      </w:r>
      <w:r>
        <w:rPr>
          <w:spacing w:val="-6"/>
          <w:sz w:val="16"/>
        </w:rPr>
        <w:t xml:space="preserve"> </w:t>
      </w:r>
      <w:r>
        <w:rPr>
          <w:sz w:val="16"/>
        </w:rPr>
        <w:t>la</w:t>
      </w:r>
      <w:r>
        <w:rPr>
          <w:spacing w:val="-8"/>
          <w:sz w:val="16"/>
        </w:rPr>
        <w:t xml:space="preserve"> </w:t>
      </w:r>
      <w:r>
        <w:rPr>
          <w:sz w:val="16"/>
        </w:rPr>
        <w:t>higiene</w:t>
      </w:r>
      <w:r>
        <w:rPr>
          <w:spacing w:val="-10"/>
          <w:sz w:val="16"/>
        </w:rPr>
        <w:t xml:space="preserve"> </w:t>
      </w:r>
      <w:r>
        <w:rPr>
          <w:sz w:val="16"/>
        </w:rPr>
        <w:t>en</w:t>
      </w:r>
      <w:r>
        <w:rPr>
          <w:spacing w:val="-11"/>
          <w:sz w:val="16"/>
        </w:rPr>
        <w:t xml:space="preserve"> </w:t>
      </w:r>
      <w:r>
        <w:rPr>
          <w:sz w:val="16"/>
        </w:rPr>
        <w:t>el</w:t>
      </w:r>
      <w:r>
        <w:rPr>
          <w:spacing w:val="-7"/>
          <w:sz w:val="16"/>
        </w:rPr>
        <w:t xml:space="preserve"> </w:t>
      </w:r>
      <w:r>
        <w:rPr>
          <w:sz w:val="16"/>
        </w:rPr>
        <w:t>trabajo</w:t>
      </w:r>
      <w:r>
        <w:rPr>
          <w:spacing w:val="-9"/>
          <w:sz w:val="16"/>
        </w:rPr>
        <w:t xml:space="preserve"> </w:t>
      </w:r>
      <w:r>
        <w:rPr>
          <w:sz w:val="16"/>
        </w:rPr>
        <w:t>y</w:t>
      </w:r>
      <w:r>
        <w:rPr>
          <w:spacing w:val="-7"/>
          <w:sz w:val="16"/>
        </w:rPr>
        <w:t xml:space="preserve"> </w:t>
      </w:r>
      <w:r>
        <w:rPr>
          <w:sz w:val="16"/>
        </w:rPr>
        <w:t>la</w:t>
      </w:r>
      <w:r>
        <w:rPr>
          <w:spacing w:val="-7"/>
          <w:sz w:val="16"/>
        </w:rPr>
        <w:t xml:space="preserve"> </w:t>
      </w:r>
      <w:r>
        <w:rPr>
          <w:sz w:val="16"/>
        </w:rPr>
        <w:t>prevención</w:t>
      </w:r>
      <w:r>
        <w:rPr>
          <w:spacing w:val="-11"/>
          <w:sz w:val="16"/>
        </w:rPr>
        <w:t xml:space="preserve"> </w:t>
      </w:r>
      <w:r>
        <w:rPr>
          <w:sz w:val="16"/>
        </w:rPr>
        <w:t>de</w:t>
      </w:r>
      <w:r>
        <w:rPr>
          <w:spacing w:val="-12"/>
          <w:sz w:val="16"/>
        </w:rPr>
        <w:t xml:space="preserve"> </w:t>
      </w:r>
      <w:r>
        <w:rPr>
          <w:sz w:val="16"/>
        </w:rPr>
        <w:t>accidentes</w:t>
      </w:r>
      <w:r>
        <w:rPr>
          <w:spacing w:val="-8"/>
          <w:sz w:val="16"/>
        </w:rPr>
        <w:t xml:space="preserve"> </w:t>
      </w:r>
      <w:r>
        <w:rPr>
          <w:sz w:val="16"/>
        </w:rPr>
        <w:t>y</w:t>
      </w:r>
      <w:r>
        <w:rPr>
          <w:spacing w:val="-9"/>
          <w:sz w:val="16"/>
        </w:rPr>
        <w:t xml:space="preserve"> </w:t>
      </w:r>
      <w:r>
        <w:rPr>
          <w:sz w:val="16"/>
        </w:rPr>
        <w:t>de</w:t>
      </w:r>
      <w:r>
        <w:rPr>
          <w:spacing w:val="-9"/>
          <w:sz w:val="16"/>
        </w:rPr>
        <w:t xml:space="preserve"> </w:t>
      </w:r>
      <w:r>
        <w:rPr>
          <w:sz w:val="16"/>
        </w:rPr>
        <w:t>daños</w:t>
      </w:r>
      <w:r>
        <w:rPr>
          <w:spacing w:val="-10"/>
          <w:sz w:val="16"/>
        </w:rPr>
        <w:t xml:space="preserve"> </w:t>
      </w:r>
      <w:r>
        <w:rPr>
          <w:sz w:val="16"/>
        </w:rPr>
        <w:t>a</w:t>
      </w:r>
      <w:r>
        <w:rPr>
          <w:spacing w:val="-7"/>
          <w:sz w:val="16"/>
        </w:rPr>
        <w:t xml:space="preserve"> </w:t>
      </w:r>
      <w:r>
        <w:rPr>
          <w:sz w:val="16"/>
        </w:rPr>
        <w:t>la</w:t>
      </w:r>
      <w:r>
        <w:rPr>
          <w:spacing w:val="-8"/>
          <w:sz w:val="16"/>
        </w:rPr>
        <w:t xml:space="preserve"> </w:t>
      </w:r>
      <w:r>
        <w:rPr>
          <w:sz w:val="16"/>
        </w:rPr>
        <w:t>salud</w:t>
      </w:r>
      <w:r>
        <w:rPr>
          <w:spacing w:val="-7"/>
          <w:sz w:val="16"/>
        </w:rPr>
        <w:t xml:space="preserve"> </w:t>
      </w:r>
      <w:r>
        <w:rPr>
          <w:sz w:val="16"/>
        </w:rPr>
        <w:t>derivados</w:t>
      </w:r>
      <w:r>
        <w:rPr>
          <w:spacing w:val="-9"/>
          <w:sz w:val="16"/>
        </w:rPr>
        <w:t xml:space="preserve"> </w:t>
      </w:r>
      <w:r>
        <w:rPr>
          <w:sz w:val="16"/>
        </w:rPr>
        <w:t>o</w:t>
      </w:r>
      <w:r>
        <w:rPr>
          <w:spacing w:val="-9"/>
          <w:sz w:val="16"/>
        </w:rPr>
        <w:t xml:space="preserve"> </w:t>
      </w:r>
      <w:r>
        <w:rPr>
          <w:sz w:val="16"/>
        </w:rPr>
        <w:t>relacionados con el trabajo o que se produzcan en el curso del mismo, en particular minimizando las causas de los riesgos inherentes al entorno de trabaj</w:t>
      </w:r>
      <w:r>
        <w:rPr>
          <w:sz w:val="16"/>
        </w:rPr>
        <w:t>o; 2 a promulgar reglamentos de seguridad e higiene; 3 a adoptar las medidas precisas para controlar la aplicación de tales reglamentos; 4 a promover el establecimiento progresivo de servicios de higiene en el trabajo para todos los trabajadores, con funci</w:t>
      </w:r>
      <w:r>
        <w:rPr>
          <w:sz w:val="16"/>
        </w:rPr>
        <w:t>ones esencialmente preventivas y de</w:t>
      </w:r>
      <w:r>
        <w:rPr>
          <w:spacing w:val="-34"/>
          <w:sz w:val="16"/>
        </w:rPr>
        <w:t xml:space="preserve"> </w:t>
      </w:r>
      <w:r>
        <w:rPr>
          <w:sz w:val="16"/>
        </w:rPr>
        <w:t>asesoramiento”.</w:t>
      </w:r>
    </w:p>
    <w:p w14:paraId="4B22B34E" w14:textId="77777777" w:rsidR="00467FCA" w:rsidRDefault="001B68EB">
      <w:pPr>
        <w:tabs>
          <w:tab w:val="left" w:pos="1166"/>
        </w:tabs>
        <w:ind w:left="458" w:right="273"/>
        <w:jc w:val="both"/>
        <w:rPr>
          <w:sz w:val="16"/>
        </w:rPr>
      </w:pPr>
      <w:bookmarkStart w:id="816" w:name="_bookmark735"/>
      <w:bookmarkEnd w:id="816"/>
      <w:r>
        <w:rPr>
          <w:position w:val="6"/>
          <w:sz w:val="10"/>
        </w:rPr>
        <w:t>53</w:t>
      </w:r>
      <w:r>
        <w:rPr>
          <w:position w:val="6"/>
          <w:sz w:val="10"/>
        </w:rPr>
        <w:tab/>
      </w:r>
      <w:r>
        <w:rPr>
          <w:i/>
          <w:sz w:val="16"/>
        </w:rPr>
        <w:t xml:space="preserve">Cfr. </w:t>
      </w:r>
      <w:r>
        <w:rPr>
          <w:sz w:val="16"/>
        </w:rPr>
        <w:t xml:space="preserve">CEDS, </w:t>
      </w:r>
      <w:r>
        <w:rPr>
          <w:i/>
          <w:sz w:val="16"/>
        </w:rPr>
        <w:t>Caso STTK ry y Tehy ry Vs. Finlandia</w:t>
      </w:r>
      <w:r>
        <w:rPr>
          <w:sz w:val="16"/>
        </w:rPr>
        <w:t>, Queja No. 10/2000, decisión de 17 de octubre de 2001, párr.</w:t>
      </w:r>
      <w:r>
        <w:rPr>
          <w:spacing w:val="-1"/>
          <w:sz w:val="16"/>
        </w:rPr>
        <w:t xml:space="preserve"> </w:t>
      </w:r>
      <w:r>
        <w:rPr>
          <w:sz w:val="16"/>
        </w:rPr>
        <w:t>27.</w:t>
      </w:r>
    </w:p>
    <w:p w14:paraId="0D45905B" w14:textId="77777777" w:rsidR="00467FCA" w:rsidRDefault="001B68EB">
      <w:pPr>
        <w:tabs>
          <w:tab w:val="left" w:pos="1166"/>
        </w:tabs>
        <w:ind w:left="458" w:right="272"/>
        <w:jc w:val="both"/>
        <w:rPr>
          <w:sz w:val="16"/>
        </w:rPr>
      </w:pPr>
      <w:bookmarkStart w:id="817" w:name="_bookmark736"/>
      <w:bookmarkEnd w:id="817"/>
      <w:r>
        <w:rPr>
          <w:position w:val="6"/>
          <w:sz w:val="10"/>
        </w:rPr>
        <w:t>54</w:t>
      </w:r>
      <w:r>
        <w:rPr>
          <w:position w:val="6"/>
          <w:sz w:val="10"/>
        </w:rPr>
        <w:tab/>
      </w:r>
      <w:r>
        <w:rPr>
          <w:i/>
          <w:sz w:val="16"/>
        </w:rPr>
        <w:t xml:space="preserve">Cfr. </w:t>
      </w:r>
      <w:r>
        <w:rPr>
          <w:sz w:val="16"/>
        </w:rPr>
        <w:t xml:space="preserve">TEDH, </w:t>
      </w:r>
      <w:r>
        <w:rPr>
          <w:i/>
          <w:sz w:val="16"/>
        </w:rPr>
        <w:t xml:space="preserve">Caso Brincat y otros Vs. Malta, </w:t>
      </w:r>
      <w:r>
        <w:rPr>
          <w:sz w:val="16"/>
        </w:rPr>
        <w:t>sentencia de 24 de julio de 2014, párr. 115. En este caso, el Tribunal analizó el argumento estatal según el cual, a los trabajadores que habían estado expuestos a asbesto, después de que el gobierno conociera los riesgos de dicha sustancia, les ofrecieron</w:t>
      </w:r>
      <w:r>
        <w:rPr>
          <w:sz w:val="16"/>
        </w:rPr>
        <w:t xml:space="preserve"> compensaciones o un subsidio especial</w:t>
      </w:r>
      <w:r>
        <w:rPr>
          <w:spacing w:val="-12"/>
          <w:sz w:val="16"/>
        </w:rPr>
        <w:t xml:space="preserve"> </w:t>
      </w:r>
      <w:r>
        <w:rPr>
          <w:sz w:val="16"/>
        </w:rPr>
        <w:t>para</w:t>
      </w:r>
      <w:r>
        <w:rPr>
          <w:spacing w:val="-13"/>
          <w:sz w:val="16"/>
        </w:rPr>
        <w:t xml:space="preserve"> </w:t>
      </w:r>
      <w:r>
        <w:rPr>
          <w:sz w:val="16"/>
        </w:rPr>
        <w:t>realizar</w:t>
      </w:r>
      <w:r>
        <w:rPr>
          <w:spacing w:val="-11"/>
          <w:sz w:val="16"/>
        </w:rPr>
        <w:t xml:space="preserve"> </w:t>
      </w:r>
      <w:r>
        <w:rPr>
          <w:sz w:val="16"/>
        </w:rPr>
        <w:t>el</w:t>
      </w:r>
      <w:r>
        <w:rPr>
          <w:spacing w:val="-13"/>
          <w:sz w:val="16"/>
        </w:rPr>
        <w:t xml:space="preserve"> </w:t>
      </w:r>
      <w:r>
        <w:rPr>
          <w:sz w:val="16"/>
        </w:rPr>
        <w:t>trabajo.</w:t>
      </w:r>
      <w:r>
        <w:rPr>
          <w:spacing w:val="-11"/>
          <w:sz w:val="16"/>
        </w:rPr>
        <w:t xml:space="preserve"> </w:t>
      </w:r>
      <w:r>
        <w:rPr>
          <w:sz w:val="16"/>
        </w:rPr>
        <w:t>No</w:t>
      </w:r>
      <w:r>
        <w:rPr>
          <w:spacing w:val="-15"/>
          <w:sz w:val="16"/>
        </w:rPr>
        <w:t xml:space="preserve"> </w:t>
      </w:r>
      <w:r>
        <w:rPr>
          <w:sz w:val="16"/>
        </w:rPr>
        <w:t>obstante,</w:t>
      </w:r>
      <w:r>
        <w:rPr>
          <w:spacing w:val="-13"/>
          <w:sz w:val="16"/>
        </w:rPr>
        <w:t xml:space="preserve"> </w:t>
      </w:r>
      <w:r>
        <w:rPr>
          <w:sz w:val="16"/>
        </w:rPr>
        <w:t>el</w:t>
      </w:r>
      <w:r>
        <w:rPr>
          <w:spacing w:val="-13"/>
          <w:sz w:val="16"/>
        </w:rPr>
        <w:t xml:space="preserve"> </w:t>
      </w:r>
      <w:r>
        <w:rPr>
          <w:sz w:val="16"/>
        </w:rPr>
        <w:t>TEDH</w:t>
      </w:r>
      <w:r>
        <w:rPr>
          <w:spacing w:val="-13"/>
          <w:sz w:val="16"/>
        </w:rPr>
        <w:t xml:space="preserve"> </w:t>
      </w:r>
      <w:r>
        <w:rPr>
          <w:sz w:val="16"/>
        </w:rPr>
        <w:t>rechazó</w:t>
      </w:r>
      <w:r>
        <w:rPr>
          <w:spacing w:val="-11"/>
          <w:sz w:val="16"/>
        </w:rPr>
        <w:t xml:space="preserve"> </w:t>
      </w:r>
      <w:r>
        <w:rPr>
          <w:sz w:val="16"/>
        </w:rPr>
        <w:t>dicho</w:t>
      </w:r>
      <w:r>
        <w:rPr>
          <w:spacing w:val="-11"/>
          <w:sz w:val="16"/>
        </w:rPr>
        <w:t xml:space="preserve"> </w:t>
      </w:r>
      <w:r>
        <w:rPr>
          <w:sz w:val="16"/>
        </w:rPr>
        <w:t>argumento,</w:t>
      </w:r>
      <w:r>
        <w:rPr>
          <w:spacing w:val="-14"/>
          <w:sz w:val="16"/>
        </w:rPr>
        <w:t xml:space="preserve"> </w:t>
      </w:r>
      <w:r>
        <w:rPr>
          <w:sz w:val="16"/>
        </w:rPr>
        <w:t>debido</w:t>
      </w:r>
      <w:r>
        <w:rPr>
          <w:spacing w:val="-11"/>
          <w:sz w:val="16"/>
        </w:rPr>
        <w:t xml:space="preserve"> </w:t>
      </w:r>
      <w:r>
        <w:rPr>
          <w:sz w:val="16"/>
        </w:rPr>
        <w:t>a</w:t>
      </w:r>
      <w:r>
        <w:rPr>
          <w:spacing w:val="-15"/>
          <w:sz w:val="16"/>
        </w:rPr>
        <w:t xml:space="preserve"> </w:t>
      </w:r>
      <w:r>
        <w:rPr>
          <w:sz w:val="16"/>
        </w:rPr>
        <w:t>que</w:t>
      </w:r>
      <w:r>
        <w:rPr>
          <w:spacing w:val="-12"/>
          <w:sz w:val="16"/>
        </w:rPr>
        <w:t xml:space="preserve"> </w:t>
      </w:r>
      <w:r>
        <w:rPr>
          <w:sz w:val="16"/>
        </w:rPr>
        <w:t>el</w:t>
      </w:r>
      <w:r>
        <w:rPr>
          <w:spacing w:val="-13"/>
          <w:sz w:val="16"/>
        </w:rPr>
        <w:t xml:space="preserve"> </w:t>
      </w:r>
      <w:r>
        <w:rPr>
          <w:sz w:val="16"/>
        </w:rPr>
        <w:t>gobierno</w:t>
      </w:r>
      <w:r>
        <w:rPr>
          <w:spacing w:val="-11"/>
          <w:sz w:val="16"/>
        </w:rPr>
        <w:t xml:space="preserve"> </w:t>
      </w:r>
      <w:r>
        <w:rPr>
          <w:sz w:val="16"/>
        </w:rPr>
        <w:t>no</w:t>
      </w:r>
      <w:r>
        <w:rPr>
          <w:spacing w:val="-15"/>
          <w:sz w:val="16"/>
        </w:rPr>
        <w:t xml:space="preserve"> </w:t>
      </w:r>
      <w:r>
        <w:rPr>
          <w:sz w:val="16"/>
        </w:rPr>
        <w:t>presentó información sobre si los demandantes de ese caso tenían derecho a la indemnización y si la habían aceptado o</w:t>
      </w:r>
      <w:r>
        <w:rPr>
          <w:sz w:val="16"/>
        </w:rPr>
        <w:t xml:space="preserve"> recibido; ni sobre el momento en que se dispuso efectivamente dicha compensación. Por ello, a criterio del Tribunal, los argumentos del Estado fueron sólo una afirmación abstracta (párr.</w:t>
      </w:r>
      <w:r>
        <w:rPr>
          <w:spacing w:val="-9"/>
          <w:sz w:val="16"/>
        </w:rPr>
        <w:t xml:space="preserve"> </w:t>
      </w:r>
      <w:r>
        <w:rPr>
          <w:sz w:val="16"/>
        </w:rPr>
        <w:t>115).</w:t>
      </w:r>
    </w:p>
    <w:p w14:paraId="40BF9E71" w14:textId="77777777" w:rsidR="00467FCA" w:rsidRDefault="001B68EB">
      <w:pPr>
        <w:tabs>
          <w:tab w:val="left" w:pos="1166"/>
        </w:tabs>
        <w:ind w:left="458" w:right="272"/>
        <w:jc w:val="both"/>
        <w:rPr>
          <w:sz w:val="16"/>
        </w:rPr>
      </w:pPr>
      <w:bookmarkStart w:id="818" w:name="_bookmark737"/>
      <w:bookmarkEnd w:id="818"/>
      <w:r>
        <w:rPr>
          <w:position w:val="6"/>
          <w:sz w:val="10"/>
        </w:rPr>
        <w:t>55</w:t>
      </w:r>
      <w:r>
        <w:rPr>
          <w:position w:val="6"/>
          <w:sz w:val="10"/>
        </w:rPr>
        <w:tab/>
      </w:r>
      <w:r>
        <w:rPr>
          <w:i/>
          <w:sz w:val="16"/>
        </w:rPr>
        <w:t xml:space="preserve">Cfr. </w:t>
      </w:r>
      <w:r>
        <w:rPr>
          <w:sz w:val="16"/>
        </w:rPr>
        <w:t xml:space="preserve">CEDS, </w:t>
      </w:r>
      <w:r>
        <w:rPr>
          <w:i/>
          <w:sz w:val="16"/>
        </w:rPr>
        <w:t xml:space="preserve">Caso Confederación General Italiana del Trabajo </w:t>
      </w:r>
      <w:r>
        <w:rPr>
          <w:i/>
          <w:sz w:val="16"/>
        </w:rPr>
        <w:t>(CGIL) Vs. Italia</w:t>
      </w:r>
      <w:r>
        <w:rPr>
          <w:sz w:val="16"/>
        </w:rPr>
        <w:t>, Queja No. 91/2013, decisión de 12 de octubre de 2005, párrs. 275 y</w:t>
      </w:r>
      <w:r>
        <w:rPr>
          <w:spacing w:val="-14"/>
          <w:sz w:val="16"/>
        </w:rPr>
        <w:t xml:space="preserve"> </w:t>
      </w:r>
      <w:r>
        <w:rPr>
          <w:sz w:val="16"/>
        </w:rPr>
        <w:t>276.</w:t>
      </w:r>
    </w:p>
    <w:p w14:paraId="122E3569" w14:textId="77777777" w:rsidR="00467FCA" w:rsidRDefault="001B68EB">
      <w:pPr>
        <w:tabs>
          <w:tab w:val="left" w:pos="1166"/>
        </w:tabs>
        <w:ind w:left="458" w:right="272"/>
        <w:jc w:val="both"/>
        <w:rPr>
          <w:sz w:val="16"/>
        </w:rPr>
      </w:pPr>
      <w:bookmarkStart w:id="819" w:name="_bookmark738"/>
      <w:bookmarkEnd w:id="819"/>
      <w:r>
        <w:rPr>
          <w:position w:val="6"/>
          <w:sz w:val="10"/>
        </w:rPr>
        <w:t>56</w:t>
      </w:r>
      <w:r>
        <w:rPr>
          <w:position w:val="6"/>
          <w:sz w:val="10"/>
        </w:rPr>
        <w:tab/>
      </w:r>
      <w:r>
        <w:rPr>
          <w:i/>
          <w:sz w:val="16"/>
        </w:rPr>
        <w:t xml:space="preserve">Cfr. </w:t>
      </w:r>
      <w:r>
        <w:rPr>
          <w:sz w:val="16"/>
        </w:rPr>
        <w:t xml:space="preserve">TEDH, </w:t>
      </w:r>
      <w:r>
        <w:rPr>
          <w:i/>
          <w:sz w:val="16"/>
        </w:rPr>
        <w:t xml:space="preserve">Caso Binişan Vs. Rumania, </w:t>
      </w:r>
      <w:r>
        <w:rPr>
          <w:sz w:val="16"/>
        </w:rPr>
        <w:t xml:space="preserve">sentencia de 20 de mayo de 2014, párr. </w:t>
      </w:r>
      <w:r>
        <w:rPr>
          <w:i/>
          <w:sz w:val="16"/>
        </w:rPr>
        <w:t xml:space="preserve">72, </w:t>
      </w:r>
      <w:r>
        <w:rPr>
          <w:sz w:val="16"/>
        </w:rPr>
        <w:t xml:space="preserve">y </w:t>
      </w:r>
      <w:r>
        <w:rPr>
          <w:i/>
          <w:sz w:val="16"/>
        </w:rPr>
        <w:t xml:space="preserve">Caso Kalender Vs. Turquía, </w:t>
      </w:r>
      <w:r>
        <w:rPr>
          <w:sz w:val="16"/>
        </w:rPr>
        <w:t>sentencia de 15 de diciembre de 2009, párrs.</w:t>
      </w:r>
      <w:r>
        <w:rPr>
          <w:spacing w:val="-12"/>
          <w:sz w:val="16"/>
        </w:rPr>
        <w:t xml:space="preserve"> </w:t>
      </w:r>
      <w:r>
        <w:rPr>
          <w:sz w:val="16"/>
        </w:rPr>
        <w:t>43-47.</w:t>
      </w:r>
    </w:p>
    <w:p w14:paraId="11C3C740" w14:textId="77777777" w:rsidR="00467FCA" w:rsidRDefault="001B68EB">
      <w:pPr>
        <w:tabs>
          <w:tab w:val="left" w:pos="1166"/>
        </w:tabs>
        <w:ind w:left="458" w:right="272"/>
        <w:jc w:val="both"/>
        <w:rPr>
          <w:sz w:val="16"/>
        </w:rPr>
      </w:pPr>
      <w:bookmarkStart w:id="820" w:name="_bookmark739"/>
      <w:bookmarkEnd w:id="820"/>
      <w:r>
        <w:rPr>
          <w:position w:val="6"/>
          <w:sz w:val="10"/>
        </w:rPr>
        <w:t>5</w:t>
      </w:r>
      <w:r>
        <w:rPr>
          <w:position w:val="6"/>
          <w:sz w:val="10"/>
        </w:rPr>
        <w:t>7</w:t>
      </w:r>
      <w:r>
        <w:rPr>
          <w:position w:val="6"/>
          <w:sz w:val="10"/>
        </w:rPr>
        <w:tab/>
      </w:r>
      <w:r>
        <w:rPr>
          <w:i/>
          <w:sz w:val="16"/>
        </w:rPr>
        <w:t xml:space="preserve">Cfr. </w:t>
      </w:r>
      <w:r>
        <w:rPr>
          <w:sz w:val="16"/>
        </w:rPr>
        <w:t xml:space="preserve">TEDH, </w:t>
      </w:r>
      <w:r>
        <w:rPr>
          <w:i/>
          <w:sz w:val="16"/>
        </w:rPr>
        <w:t xml:space="preserve">Caso Binişan Vs. Rumania, </w:t>
      </w:r>
      <w:r>
        <w:rPr>
          <w:sz w:val="16"/>
        </w:rPr>
        <w:t xml:space="preserve">sentencia de 20 de mayo de 2014, párr. </w:t>
      </w:r>
      <w:r>
        <w:rPr>
          <w:i/>
          <w:sz w:val="16"/>
        </w:rPr>
        <w:t xml:space="preserve">72, </w:t>
      </w:r>
      <w:r>
        <w:rPr>
          <w:sz w:val="16"/>
        </w:rPr>
        <w:t xml:space="preserve">y </w:t>
      </w:r>
      <w:r>
        <w:rPr>
          <w:i/>
          <w:sz w:val="16"/>
        </w:rPr>
        <w:t xml:space="preserve">Caso Kalender Vs. Turquía, </w:t>
      </w:r>
      <w:r>
        <w:rPr>
          <w:sz w:val="16"/>
        </w:rPr>
        <w:t>sentencia de 15 de diciembre de 2009, párrs.</w:t>
      </w:r>
      <w:r>
        <w:rPr>
          <w:spacing w:val="-12"/>
          <w:sz w:val="16"/>
        </w:rPr>
        <w:t xml:space="preserve"> </w:t>
      </w:r>
      <w:r>
        <w:rPr>
          <w:sz w:val="16"/>
        </w:rPr>
        <w:t>43-47.</w:t>
      </w:r>
    </w:p>
    <w:p w14:paraId="1EBFAE61" w14:textId="77777777" w:rsidR="00467FCA" w:rsidRDefault="001B68EB">
      <w:pPr>
        <w:tabs>
          <w:tab w:val="left" w:pos="1166"/>
        </w:tabs>
        <w:ind w:left="458" w:right="273"/>
        <w:jc w:val="both"/>
        <w:rPr>
          <w:sz w:val="16"/>
        </w:rPr>
      </w:pPr>
      <w:bookmarkStart w:id="821" w:name="_bookmark740"/>
      <w:bookmarkEnd w:id="821"/>
      <w:r>
        <w:rPr>
          <w:position w:val="6"/>
          <w:sz w:val="10"/>
        </w:rPr>
        <w:t>58</w:t>
      </w:r>
      <w:r>
        <w:rPr>
          <w:position w:val="6"/>
          <w:sz w:val="10"/>
        </w:rPr>
        <w:tab/>
      </w:r>
      <w:r>
        <w:rPr>
          <w:i/>
          <w:sz w:val="16"/>
        </w:rPr>
        <w:t xml:space="preserve">Cfr. </w:t>
      </w:r>
      <w:r>
        <w:rPr>
          <w:sz w:val="16"/>
        </w:rPr>
        <w:t xml:space="preserve">CEDS, </w:t>
      </w:r>
      <w:r>
        <w:rPr>
          <w:i/>
          <w:sz w:val="16"/>
        </w:rPr>
        <w:t>Caso Fundación Marangopoulos para los Derechos Humanos (MFHR) Vs. Grecia</w:t>
      </w:r>
      <w:r>
        <w:rPr>
          <w:sz w:val="16"/>
        </w:rPr>
        <w:t>, Queja No. 30/2005, decisión de 6 de diciembre de 2006, párr.</w:t>
      </w:r>
      <w:r>
        <w:rPr>
          <w:spacing w:val="-14"/>
          <w:sz w:val="16"/>
        </w:rPr>
        <w:t xml:space="preserve"> </w:t>
      </w:r>
      <w:r>
        <w:rPr>
          <w:sz w:val="16"/>
        </w:rPr>
        <w:t>224.</w:t>
      </w:r>
    </w:p>
    <w:p w14:paraId="3A9187B2" w14:textId="77777777" w:rsidR="00467FCA" w:rsidRDefault="00467FCA">
      <w:pPr>
        <w:jc w:val="both"/>
        <w:rPr>
          <w:sz w:val="16"/>
        </w:rPr>
        <w:sectPr w:rsidR="00467FCA">
          <w:pgSz w:w="12240" w:h="15840"/>
          <w:pgMar w:top="1340" w:right="1140" w:bottom="920" w:left="960" w:header="0" w:footer="734" w:gutter="0"/>
          <w:cols w:space="720"/>
        </w:sectPr>
      </w:pPr>
    </w:p>
    <w:p w14:paraId="7C0F83F0" w14:textId="77777777" w:rsidR="00467FCA" w:rsidRDefault="001B68EB">
      <w:pPr>
        <w:pStyle w:val="Textoindependiente"/>
        <w:spacing w:before="79"/>
        <w:ind w:left="458"/>
      </w:pPr>
      <w:r>
        <w:t xml:space="preserve">las disposiciones legales pertinentes, obligaciones positivas puedan cumplirse en la práctica tomando </w:t>
      </w:r>
      <w:r>
        <w:t>acciones dependiendo de las circunstancias”</w:t>
      </w:r>
      <w:hyperlink w:anchor="_bookmark741" w:history="1">
        <w:r>
          <w:rPr>
            <w:position w:val="7"/>
            <w:sz w:val="13"/>
          </w:rPr>
          <w:t>59</w:t>
        </w:r>
      </w:hyperlink>
      <w:r>
        <w:t>.</w:t>
      </w:r>
    </w:p>
    <w:p w14:paraId="7A458AF1" w14:textId="77777777" w:rsidR="00467FCA" w:rsidRDefault="00467FCA">
      <w:pPr>
        <w:pStyle w:val="Textoindependiente"/>
      </w:pPr>
    </w:p>
    <w:p w14:paraId="58F02A06" w14:textId="77777777" w:rsidR="00467FCA" w:rsidRDefault="001B68EB">
      <w:pPr>
        <w:pStyle w:val="Prrafodelista"/>
        <w:numPr>
          <w:ilvl w:val="0"/>
          <w:numId w:val="7"/>
        </w:numPr>
        <w:tabs>
          <w:tab w:val="left" w:pos="1167"/>
        </w:tabs>
        <w:ind w:right="273" w:firstLine="0"/>
        <w:jc w:val="both"/>
        <w:rPr>
          <w:sz w:val="20"/>
        </w:rPr>
      </w:pPr>
      <w:r>
        <w:rPr>
          <w:sz w:val="20"/>
        </w:rPr>
        <w:t>Por otro lado, sobre la importancia de la fiscalización como medio de prevención, el Tribunal</w:t>
      </w:r>
      <w:r>
        <w:rPr>
          <w:spacing w:val="-13"/>
          <w:sz w:val="20"/>
        </w:rPr>
        <w:t xml:space="preserve"> </w:t>
      </w:r>
      <w:r>
        <w:rPr>
          <w:sz w:val="20"/>
        </w:rPr>
        <w:t>Europeo</w:t>
      </w:r>
      <w:r>
        <w:rPr>
          <w:spacing w:val="-13"/>
          <w:sz w:val="20"/>
        </w:rPr>
        <w:t xml:space="preserve"> </w:t>
      </w:r>
      <w:r>
        <w:rPr>
          <w:sz w:val="20"/>
        </w:rPr>
        <w:t>ha</w:t>
      </w:r>
      <w:r>
        <w:rPr>
          <w:spacing w:val="-12"/>
          <w:sz w:val="20"/>
        </w:rPr>
        <w:t xml:space="preserve"> </w:t>
      </w:r>
      <w:r>
        <w:rPr>
          <w:sz w:val="20"/>
        </w:rPr>
        <w:t>especificado</w:t>
      </w:r>
      <w:r>
        <w:rPr>
          <w:spacing w:val="-14"/>
          <w:sz w:val="20"/>
        </w:rPr>
        <w:t xml:space="preserve"> </w:t>
      </w:r>
      <w:r>
        <w:rPr>
          <w:sz w:val="20"/>
        </w:rPr>
        <w:t>que,</w:t>
      </w:r>
      <w:r>
        <w:rPr>
          <w:spacing w:val="-13"/>
          <w:sz w:val="20"/>
        </w:rPr>
        <w:t xml:space="preserve"> </w:t>
      </w:r>
      <w:r>
        <w:rPr>
          <w:sz w:val="20"/>
        </w:rPr>
        <w:t>si</w:t>
      </w:r>
      <w:r>
        <w:rPr>
          <w:spacing w:val="-13"/>
          <w:sz w:val="20"/>
        </w:rPr>
        <w:t xml:space="preserve"> </w:t>
      </w:r>
      <w:r>
        <w:rPr>
          <w:sz w:val="20"/>
        </w:rPr>
        <w:t>surge</w:t>
      </w:r>
      <w:r>
        <w:rPr>
          <w:spacing w:val="-14"/>
          <w:sz w:val="20"/>
        </w:rPr>
        <w:t xml:space="preserve"> </w:t>
      </w:r>
      <w:r>
        <w:rPr>
          <w:sz w:val="20"/>
        </w:rPr>
        <w:t>un</w:t>
      </w:r>
      <w:r>
        <w:rPr>
          <w:spacing w:val="-12"/>
          <w:sz w:val="20"/>
        </w:rPr>
        <w:t xml:space="preserve"> </w:t>
      </w:r>
      <w:r>
        <w:rPr>
          <w:sz w:val="20"/>
        </w:rPr>
        <w:t>daño,</w:t>
      </w:r>
      <w:r>
        <w:rPr>
          <w:spacing w:val="-13"/>
          <w:sz w:val="20"/>
        </w:rPr>
        <w:t xml:space="preserve"> </w:t>
      </w:r>
      <w:r>
        <w:rPr>
          <w:sz w:val="20"/>
        </w:rPr>
        <w:t>la</w:t>
      </w:r>
      <w:r>
        <w:rPr>
          <w:spacing w:val="-13"/>
          <w:sz w:val="20"/>
        </w:rPr>
        <w:t xml:space="preserve"> </w:t>
      </w:r>
      <w:r>
        <w:rPr>
          <w:sz w:val="20"/>
        </w:rPr>
        <w:t>violación</w:t>
      </w:r>
      <w:r>
        <w:rPr>
          <w:spacing w:val="-13"/>
          <w:sz w:val="20"/>
        </w:rPr>
        <w:t xml:space="preserve"> </w:t>
      </w:r>
      <w:r>
        <w:rPr>
          <w:sz w:val="20"/>
        </w:rPr>
        <w:t>del</w:t>
      </w:r>
      <w:r>
        <w:rPr>
          <w:spacing w:val="-10"/>
          <w:sz w:val="20"/>
        </w:rPr>
        <w:t xml:space="preserve"> </w:t>
      </w:r>
      <w:r>
        <w:rPr>
          <w:sz w:val="20"/>
        </w:rPr>
        <w:t>Estado</w:t>
      </w:r>
      <w:r>
        <w:rPr>
          <w:spacing w:val="-13"/>
          <w:sz w:val="20"/>
        </w:rPr>
        <w:t xml:space="preserve"> </w:t>
      </w:r>
      <w:r>
        <w:rPr>
          <w:sz w:val="20"/>
        </w:rPr>
        <w:t>también</w:t>
      </w:r>
      <w:r>
        <w:rPr>
          <w:spacing w:val="-12"/>
          <w:sz w:val="20"/>
        </w:rPr>
        <w:t xml:space="preserve"> </w:t>
      </w:r>
      <w:r>
        <w:rPr>
          <w:sz w:val="20"/>
        </w:rPr>
        <w:t>pod</w:t>
      </w:r>
      <w:r>
        <w:rPr>
          <w:sz w:val="20"/>
        </w:rPr>
        <w:t>ría surgir por controles insuficientes respecto de la actividad que se encuentra regulada</w:t>
      </w:r>
      <w:hyperlink w:anchor="_bookmark742" w:history="1">
        <w:r>
          <w:rPr>
            <w:position w:val="7"/>
            <w:sz w:val="13"/>
          </w:rPr>
          <w:t>60</w:t>
        </w:r>
      </w:hyperlink>
      <w:r>
        <w:rPr>
          <w:sz w:val="20"/>
        </w:rPr>
        <w:t>. En similar sentido, el Comité Europeo ha especificado que lo contemplado en el artículo 3 no se garantiza “con el funcionamiento de</w:t>
      </w:r>
      <w:r>
        <w:rPr>
          <w:sz w:val="20"/>
        </w:rPr>
        <w:t xml:space="preserve"> la legislación”, sino que es necesario que se aplique de “manera</w:t>
      </w:r>
      <w:r>
        <w:rPr>
          <w:spacing w:val="-5"/>
          <w:sz w:val="20"/>
        </w:rPr>
        <w:t xml:space="preserve"> </w:t>
      </w:r>
      <w:r>
        <w:rPr>
          <w:sz w:val="20"/>
        </w:rPr>
        <w:t>efectiva</w:t>
      </w:r>
      <w:r>
        <w:rPr>
          <w:spacing w:val="-5"/>
          <w:sz w:val="20"/>
        </w:rPr>
        <w:t xml:space="preserve"> </w:t>
      </w:r>
      <w:r>
        <w:rPr>
          <w:sz w:val="20"/>
        </w:rPr>
        <w:t>y</w:t>
      </w:r>
      <w:r>
        <w:rPr>
          <w:spacing w:val="-8"/>
          <w:sz w:val="20"/>
        </w:rPr>
        <w:t xml:space="preserve"> </w:t>
      </w:r>
      <w:r>
        <w:rPr>
          <w:sz w:val="20"/>
        </w:rPr>
        <w:t>se</w:t>
      </w:r>
      <w:r>
        <w:rPr>
          <w:spacing w:val="-7"/>
          <w:sz w:val="20"/>
        </w:rPr>
        <w:t xml:space="preserve"> </w:t>
      </w:r>
      <w:r>
        <w:rPr>
          <w:sz w:val="20"/>
        </w:rPr>
        <w:t>supervise</w:t>
      </w:r>
      <w:r>
        <w:rPr>
          <w:spacing w:val="-6"/>
          <w:sz w:val="20"/>
        </w:rPr>
        <w:t xml:space="preserve"> </w:t>
      </w:r>
      <w:r>
        <w:rPr>
          <w:sz w:val="20"/>
        </w:rPr>
        <w:t>rigurosamente”</w:t>
      </w:r>
      <w:hyperlink w:anchor="_bookmark743" w:history="1">
        <w:r>
          <w:rPr>
            <w:position w:val="7"/>
            <w:sz w:val="13"/>
          </w:rPr>
          <w:t>61</w:t>
        </w:r>
      </w:hyperlink>
      <w:r>
        <w:rPr>
          <w:sz w:val="20"/>
        </w:rPr>
        <w:t>;</w:t>
      </w:r>
      <w:r>
        <w:rPr>
          <w:spacing w:val="-7"/>
          <w:sz w:val="20"/>
        </w:rPr>
        <w:t xml:space="preserve"> </w:t>
      </w:r>
      <w:r>
        <w:rPr>
          <w:sz w:val="20"/>
        </w:rPr>
        <w:t>así,</w:t>
      </w:r>
      <w:r>
        <w:rPr>
          <w:spacing w:val="-6"/>
          <w:sz w:val="20"/>
        </w:rPr>
        <w:t xml:space="preserve"> </w:t>
      </w:r>
      <w:r>
        <w:rPr>
          <w:sz w:val="20"/>
        </w:rPr>
        <w:t>el</w:t>
      </w:r>
      <w:r>
        <w:rPr>
          <w:spacing w:val="-8"/>
          <w:sz w:val="20"/>
        </w:rPr>
        <w:t xml:space="preserve"> </w:t>
      </w:r>
      <w:r>
        <w:rPr>
          <w:sz w:val="20"/>
        </w:rPr>
        <w:t>referido</w:t>
      </w:r>
      <w:r>
        <w:rPr>
          <w:spacing w:val="-6"/>
          <w:sz w:val="20"/>
        </w:rPr>
        <w:t xml:space="preserve"> </w:t>
      </w:r>
      <w:r>
        <w:rPr>
          <w:sz w:val="20"/>
        </w:rPr>
        <w:t>Comité</w:t>
      </w:r>
      <w:r>
        <w:rPr>
          <w:spacing w:val="-9"/>
          <w:sz w:val="20"/>
        </w:rPr>
        <w:t xml:space="preserve"> </w:t>
      </w:r>
      <w:r>
        <w:rPr>
          <w:sz w:val="20"/>
        </w:rPr>
        <w:t>ha</w:t>
      </w:r>
      <w:r>
        <w:rPr>
          <w:spacing w:val="-8"/>
          <w:sz w:val="20"/>
        </w:rPr>
        <w:t xml:space="preserve"> </w:t>
      </w:r>
      <w:r>
        <w:rPr>
          <w:sz w:val="20"/>
        </w:rPr>
        <w:t>afirmado</w:t>
      </w:r>
      <w:r>
        <w:rPr>
          <w:spacing w:val="-8"/>
          <w:sz w:val="20"/>
        </w:rPr>
        <w:t xml:space="preserve"> </w:t>
      </w:r>
      <w:r>
        <w:rPr>
          <w:sz w:val="20"/>
        </w:rPr>
        <w:t>que</w:t>
      </w:r>
      <w:r>
        <w:rPr>
          <w:spacing w:val="-7"/>
          <w:sz w:val="20"/>
        </w:rPr>
        <w:t xml:space="preserve"> </w:t>
      </w:r>
      <w:r>
        <w:rPr>
          <w:sz w:val="20"/>
        </w:rPr>
        <w:t xml:space="preserve">“el control, supervisión o inspección del cumplimiento de las normas sobre seguridad y salud en el trabajo exigidas por el artículo 3, es una </w:t>
      </w:r>
      <w:r>
        <w:rPr>
          <w:i/>
          <w:sz w:val="20"/>
        </w:rPr>
        <w:t xml:space="preserve">condición sine qua non </w:t>
      </w:r>
      <w:r>
        <w:rPr>
          <w:sz w:val="20"/>
        </w:rPr>
        <w:t>para la efectividad del derecho garantizado por el referido</w:t>
      </w:r>
      <w:r>
        <w:rPr>
          <w:spacing w:val="-1"/>
          <w:sz w:val="20"/>
        </w:rPr>
        <w:t xml:space="preserve"> </w:t>
      </w:r>
      <w:r>
        <w:rPr>
          <w:sz w:val="20"/>
        </w:rPr>
        <w:t>artículo”</w:t>
      </w:r>
      <w:hyperlink w:anchor="_bookmark744" w:history="1">
        <w:r>
          <w:rPr>
            <w:position w:val="7"/>
            <w:sz w:val="13"/>
          </w:rPr>
          <w:t>62</w:t>
        </w:r>
      </w:hyperlink>
      <w:r>
        <w:rPr>
          <w:sz w:val="20"/>
        </w:rPr>
        <w:t>.</w:t>
      </w:r>
    </w:p>
    <w:p w14:paraId="1089065E" w14:textId="77777777" w:rsidR="00467FCA" w:rsidRDefault="00467FCA">
      <w:pPr>
        <w:pStyle w:val="Textoindependiente"/>
        <w:spacing w:before="10"/>
        <w:rPr>
          <w:sz w:val="19"/>
        </w:rPr>
      </w:pPr>
    </w:p>
    <w:p w14:paraId="73C603FC" w14:textId="77777777" w:rsidR="00467FCA" w:rsidRDefault="001B68EB">
      <w:pPr>
        <w:pStyle w:val="Prrafodelista"/>
        <w:numPr>
          <w:ilvl w:val="0"/>
          <w:numId w:val="7"/>
        </w:numPr>
        <w:tabs>
          <w:tab w:val="left" w:pos="1167"/>
        </w:tabs>
        <w:ind w:right="275" w:firstLine="0"/>
        <w:jc w:val="both"/>
        <w:rPr>
          <w:sz w:val="20"/>
        </w:rPr>
      </w:pPr>
      <w:r>
        <w:rPr>
          <w:sz w:val="20"/>
        </w:rPr>
        <w:t>En correlato de lo anterior, el Comité de DESC en su Observación General No. 23 ha estimado que, por ejemplo, en el marco de la obligación de proteger “[l]os Estados partes deberían velar por que los mandatos de las inspecciones de trabajo [</w:t>
      </w:r>
      <w:r>
        <w:rPr>
          <w:sz w:val="20"/>
        </w:rPr>
        <w:t>…] incluyan las condiciones de trabajo en el sector privado y proporcionen orientación a los empleadores y a las</w:t>
      </w:r>
      <w:r>
        <w:rPr>
          <w:spacing w:val="-2"/>
          <w:sz w:val="20"/>
        </w:rPr>
        <w:t xml:space="preserve"> </w:t>
      </w:r>
      <w:r>
        <w:rPr>
          <w:sz w:val="20"/>
        </w:rPr>
        <w:t>empresas”</w:t>
      </w:r>
      <w:hyperlink w:anchor="_bookmark745" w:history="1">
        <w:r>
          <w:rPr>
            <w:position w:val="7"/>
            <w:sz w:val="13"/>
          </w:rPr>
          <w:t>63</w:t>
        </w:r>
      </w:hyperlink>
      <w:r>
        <w:rPr>
          <w:sz w:val="20"/>
        </w:rPr>
        <w:t>.</w:t>
      </w:r>
    </w:p>
    <w:p w14:paraId="0E93D176" w14:textId="77777777" w:rsidR="00467FCA" w:rsidRDefault="00467FCA">
      <w:pPr>
        <w:pStyle w:val="Textoindependiente"/>
        <w:spacing w:before="1"/>
      </w:pPr>
    </w:p>
    <w:p w14:paraId="57D75988" w14:textId="77777777" w:rsidR="00467FCA" w:rsidRDefault="001B68EB">
      <w:pPr>
        <w:pStyle w:val="Prrafodelista"/>
        <w:numPr>
          <w:ilvl w:val="0"/>
          <w:numId w:val="7"/>
        </w:numPr>
        <w:tabs>
          <w:tab w:val="left" w:pos="1167"/>
        </w:tabs>
        <w:ind w:right="275" w:firstLine="0"/>
        <w:jc w:val="both"/>
        <w:rPr>
          <w:sz w:val="20"/>
        </w:rPr>
      </w:pPr>
      <w:r>
        <w:rPr>
          <w:sz w:val="20"/>
        </w:rPr>
        <w:t>Todo</w:t>
      </w:r>
      <w:r>
        <w:rPr>
          <w:spacing w:val="-10"/>
          <w:sz w:val="20"/>
        </w:rPr>
        <w:t xml:space="preserve"> </w:t>
      </w:r>
      <w:r>
        <w:rPr>
          <w:sz w:val="20"/>
        </w:rPr>
        <w:t>lo</w:t>
      </w:r>
      <w:r>
        <w:rPr>
          <w:spacing w:val="-9"/>
          <w:sz w:val="20"/>
        </w:rPr>
        <w:t xml:space="preserve"> </w:t>
      </w:r>
      <w:r>
        <w:rPr>
          <w:sz w:val="20"/>
        </w:rPr>
        <w:t>anterior</w:t>
      </w:r>
      <w:r>
        <w:rPr>
          <w:spacing w:val="-9"/>
          <w:sz w:val="20"/>
        </w:rPr>
        <w:t xml:space="preserve"> </w:t>
      </w:r>
      <w:r>
        <w:rPr>
          <w:sz w:val="20"/>
        </w:rPr>
        <w:t>se</w:t>
      </w:r>
      <w:r>
        <w:rPr>
          <w:spacing w:val="-9"/>
          <w:sz w:val="20"/>
        </w:rPr>
        <w:t xml:space="preserve"> </w:t>
      </w:r>
      <w:r>
        <w:rPr>
          <w:sz w:val="20"/>
        </w:rPr>
        <w:t>complementa</w:t>
      </w:r>
      <w:r>
        <w:rPr>
          <w:spacing w:val="-8"/>
          <w:sz w:val="20"/>
        </w:rPr>
        <w:t xml:space="preserve"> </w:t>
      </w:r>
      <w:r>
        <w:rPr>
          <w:sz w:val="20"/>
        </w:rPr>
        <w:t>con</w:t>
      </w:r>
      <w:r>
        <w:rPr>
          <w:spacing w:val="-9"/>
          <w:sz w:val="20"/>
        </w:rPr>
        <w:t xml:space="preserve"> </w:t>
      </w:r>
      <w:r>
        <w:rPr>
          <w:sz w:val="20"/>
        </w:rPr>
        <w:t>lo</w:t>
      </w:r>
      <w:r>
        <w:rPr>
          <w:spacing w:val="-9"/>
          <w:sz w:val="20"/>
        </w:rPr>
        <w:t xml:space="preserve"> </w:t>
      </w:r>
      <w:r>
        <w:rPr>
          <w:sz w:val="20"/>
        </w:rPr>
        <w:t>establecido</w:t>
      </w:r>
      <w:r>
        <w:rPr>
          <w:spacing w:val="-9"/>
          <w:sz w:val="20"/>
        </w:rPr>
        <w:t xml:space="preserve"> </w:t>
      </w:r>
      <w:r>
        <w:rPr>
          <w:sz w:val="20"/>
        </w:rPr>
        <w:t>con</w:t>
      </w:r>
      <w:r>
        <w:rPr>
          <w:spacing w:val="-7"/>
          <w:sz w:val="20"/>
        </w:rPr>
        <w:t xml:space="preserve"> </w:t>
      </w:r>
      <w:r>
        <w:rPr>
          <w:sz w:val="20"/>
        </w:rPr>
        <w:t>el</w:t>
      </w:r>
      <w:r>
        <w:rPr>
          <w:spacing w:val="-8"/>
          <w:sz w:val="20"/>
        </w:rPr>
        <w:t xml:space="preserve"> </w:t>
      </w:r>
      <w:r>
        <w:rPr>
          <w:sz w:val="20"/>
        </w:rPr>
        <w:t>Convenio</w:t>
      </w:r>
      <w:r>
        <w:rPr>
          <w:spacing w:val="-9"/>
          <w:sz w:val="20"/>
        </w:rPr>
        <w:t xml:space="preserve"> </w:t>
      </w:r>
      <w:r>
        <w:rPr>
          <w:sz w:val="20"/>
        </w:rPr>
        <w:t>No.</w:t>
      </w:r>
      <w:r>
        <w:rPr>
          <w:spacing w:val="-11"/>
          <w:sz w:val="20"/>
        </w:rPr>
        <w:t xml:space="preserve"> </w:t>
      </w:r>
      <w:r>
        <w:rPr>
          <w:sz w:val="20"/>
        </w:rPr>
        <w:t>81</w:t>
      </w:r>
      <w:r>
        <w:rPr>
          <w:spacing w:val="-10"/>
          <w:sz w:val="20"/>
        </w:rPr>
        <w:t xml:space="preserve"> </w:t>
      </w:r>
      <w:r>
        <w:rPr>
          <w:sz w:val="20"/>
        </w:rPr>
        <w:t>de</w:t>
      </w:r>
      <w:r>
        <w:rPr>
          <w:spacing w:val="-11"/>
          <w:sz w:val="20"/>
        </w:rPr>
        <w:t xml:space="preserve"> </w:t>
      </w:r>
      <w:r>
        <w:rPr>
          <w:sz w:val="20"/>
        </w:rPr>
        <w:t>1947</w:t>
      </w:r>
      <w:r>
        <w:rPr>
          <w:spacing w:val="-7"/>
          <w:sz w:val="20"/>
        </w:rPr>
        <w:t xml:space="preserve"> </w:t>
      </w:r>
      <w:r>
        <w:rPr>
          <w:sz w:val="20"/>
        </w:rPr>
        <w:t>de la</w:t>
      </w:r>
      <w:r>
        <w:rPr>
          <w:spacing w:val="-8"/>
          <w:sz w:val="20"/>
        </w:rPr>
        <w:t xml:space="preserve"> </w:t>
      </w:r>
      <w:r>
        <w:rPr>
          <w:sz w:val="20"/>
        </w:rPr>
        <w:t>OIT</w:t>
      </w:r>
      <w:r>
        <w:rPr>
          <w:spacing w:val="-8"/>
          <w:sz w:val="20"/>
        </w:rPr>
        <w:t xml:space="preserve"> </w:t>
      </w:r>
      <w:r>
        <w:rPr>
          <w:sz w:val="20"/>
        </w:rPr>
        <w:t>sobre</w:t>
      </w:r>
      <w:r>
        <w:rPr>
          <w:spacing w:val="-8"/>
          <w:sz w:val="20"/>
        </w:rPr>
        <w:t xml:space="preserve"> </w:t>
      </w:r>
      <w:r>
        <w:rPr>
          <w:sz w:val="20"/>
        </w:rPr>
        <w:t>la</w:t>
      </w:r>
      <w:r>
        <w:rPr>
          <w:spacing w:val="-8"/>
          <w:sz w:val="20"/>
        </w:rPr>
        <w:t xml:space="preserve"> </w:t>
      </w:r>
      <w:r>
        <w:rPr>
          <w:sz w:val="20"/>
        </w:rPr>
        <w:t>inspección</w:t>
      </w:r>
      <w:r>
        <w:rPr>
          <w:spacing w:val="-6"/>
          <w:sz w:val="20"/>
        </w:rPr>
        <w:t xml:space="preserve"> </w:t>
      </w:r>
      <w:r>
        <w:rPr>
          <w:sz w:val="20"/>
        </w:rPr>
        <w:t>del</w:t>
      </w:r>
      <w:r>
        <w:rPr>
          <w:spacing w:val="-6"/>
          <w:sz w:val="20"/>
        </w:rPr>
        <w:t xml:space="preserve"> </w:t>
      </w:r>
      <w:r>
        <w:rPr>
          <w:sz w:val="20"/>
        </w:rPr>
        <w:t>trabajo,</w:t>
      </w:r>
      <w:r>
        <w:rPr>
          <w:spacing w:val="-8"/>
          <w:sz w:val="20"/>
        </w:rPr>
        <w:t xml:space="preserve"> </w:t>
      </w:r>
      <w:r>
        <w:rPr>
          <w:sz w:val="20"/>
        </w:rPr>
        <w:t>que</w:t>
      </w:r>
      <w:r>
        <w:rPr>
          <w:spacing w:val="-9"/>
          <w:sz w:val="20"/>
        </w:rPr>
        <w:t xml:space="preserve"> </w:t>
      </w:r>
      <w:r>
        <w:rPr>
          <w:sz w:val="20"/>
        </w:rPr>
        <w:t>dispone</w:t>
      </w:r>
      <w:r>
        <w:rPr>
          <w:spacing w:val="-8"/>
          <w:sz w:val="20"/>
        </w:rPr>
        <w:t xml:space="preserve"> </w:t>
      </w:r>
      <w:r>
        <w:rPr>
          <w:sz w:val="20"/>
        </w:rPr>
        <w:t>que</w:t>
      </w:r>
      <w:r>
        <w:rPr>
          <w:spacing w:val="-9"/>
          <w:sz w:val="20"/>
        </w:rPr>
        <w:t xml:space="preserve"> </w:t>
      </w:r>
      <w:r>
        <w:rPr>
          <w:sz w:val="20"/>
        </w:rPr>
        <w:t>los</w:t>
      </w:r>
      <w:r>
        <w:rPr>
          <w:spacing w:val="-8"/>
          <w:sz w:val="20"/>
        </w:rPr>
        <w:t xml:space="preserve"> </w:t>
      </w:r>
      <w:r>
        <w:rPr>
          <w:sz w:val="20"/>
        </w:rPr>
        <w:t>Estados</w:t>
      </w:r>
      <w:r>
        <w:rPr>
          <w:spacing w:val="-9"/>
          <w:sz w:val="20"/>
        </w:rPr>
        <w:t xml:space="preserve"> </w:t>
      </w:r>
      <w:r>
        <w:rPr>
          <w:sz w:val="20"/>
        </w:rPr>
        <w:t>parte</w:t>
      </w:r>
      <w:r>
        <w:rPr>
          <w:spacing w:val="-8"/>
          <w:sz w:val="20"/>
        </w:rPr>
        <w:t xml:space="preserve"> </w:t>
      </w:r>
      <w:r>
        <w:rPr>
          <w:sz w:val="20"/>
        </w:rPr>
        <w:t>deben</w:t>
      </w:r>
      <w:r>
        <w:rPr>
          <w:spacing w:val="-7"/>
          <w:sz w:val="20"/>
        </w:rPr>
        <w:t xml:space="preserve"> </w:t>
      </w:r>
      <w:r>
        <w:rPr>
          <w:sz w:val="20"/>
        </w:rPr>
        <w:t>“mantener</w:t>
      </w:r>
      <w:r>
        <w:rPr>
          <w:spacing w:val="-8"/>
          <w:sz w:val="20"/>
        </w:rPr>
        <w:t xml:space="preserve"> </w:t>
      </w:r>
      <w:r>
        <w:rPr>
          <w:sz w:val="20"/>
        </w:rPr>
        <w:t>un sistema de inspección del trabajo en los establecimientos industriales”</w:t>
      </w:r>
      <w:hyperlink w:anchor="_bookmark746" w:history="1">
        <w:r>
          <w:rPr>
            <w:position w:val="7"/>
            <w:sz w:val="13"/>
          </w:rPr>
          <w:t>64</w:t>
        </w:r>
      </w:hyperlink>
      <w:r>
        <w:rPr>
          <w:sz w:val="20"/>
        </w:rPr>
        <w:t>, que dicho sistema “se aplicará a todos los establecimientos a c</w:t>
      </w:r>
      <w:r>
        <w:rPr>
          <w:sz w:val="20"/>
        </w:rPr>
        <w:t>uyo respecto los inspectores del trabajo estén encargados</w:t>
      </w:r>
      <w:r>
        <w:rPr>
          <w:spacing w:val="-19"/>
          <w:sz w:val="20"/>
        </w:rPr>
        <w:t xml:space="preserve"> </w:t>
      </w:r>
      <w:r>
        <w:rPr>
          <w:sz w:val="20"/>
        </w:rPr>
        <w:t>de</w:t>
      </w:r>
      <w:r>
        <w:rPr>
          <w:spacing w:val="-19"/>
          <w:sz w:val="20"/>
        </w:rPr>
        <w:t xml:space="preserve"> </w:t>
      </w:r>
      <w:r>
        <w:rPr>
          <w:sz w:val="20"/>
        </w:rPr>
        <w:t>velar</w:t>
      </w:r>
      <w:r>
        <w:rPr>
          <w:spacing w:val="-21"/>
          <w:sz w:val="20"/>
        </w:rPr>
        <w:t xml:space="preserve"> </w:t>
      </w:r>
      <w:r>
        <w:rPr>
          <w:sz w:val="20"/>
        </w:rPr>
        <w:t>por</w:t>
      </w:r>
      <w:r>
        <w:rPr>
          <w:spacing w:val="-17"/>
          <w:sz w:val="20"/>
        </w:rPr>
        <w:t xml:space="preserve"> </w:t>
      </w:r>
      <w:r>
        <w:rPr>
          <w:sz w:val="20"/>
        </w:rPr>
        <w:t>el</w:t>
      </w:r>
      <w:r>
        <w:rPr>
          <w:spacing w:val="-20"/>
          <w:sz w:val="20"/>
        </w:rPr>
        <w:t xml:space="preserve"> </w:t>
      </w:r>
      <w:r>
        <w:rPr>
          <w:sz w:val="20"/>
        </w:rPr>
        <w:t>cumplimiento</w:t>
      </w:r>
      <w:r>
        <w:rPr>
          <w:spacing w:val="-19"/>
          <w:sz w:val="20"/>
        </w:rPr>
        <w:t xml:space="preserve"> </w:t>
      </w:r>
      <w:r>
        <w:rPr>
          <w:sz w:val="20"/>
        </w:rPr>
        <w:t>de</w:t>
      </w:r>
      <w:r>
        <w:rPr>
          <w:spacing w:val="-20"/>
          <w:sz w:val="20"/>
        </w:rPr>
        <w:t xml:space="preserve"> </w:t>
      </w:r>
      <w:r>
        <w:rPr>
          <w:sz w:val="20"/>
        </w:rPr>
        <w:t>las</w:t>
      </w:r>
      <w:r>
        <w:rPr>
          <w:spacing w:val="-21"/>
          <w:sz w:val="20"/>
        </w:rPr>
        <w:t xml:space="preserve"> </w:t>
      </w:r>
      <w:r>
        <w:rPr>
          <w:sz w:val="20"/>
        </w:rPr>
        <w:t>disposiciones</w:t>
      </w:r>
      <w:r>
        <w:rPr>
          <w:spacing w:val="-21"/>
          <w:sz w:val="20"/>
        </w:rPr>
        <w:t xml:space="preserve"> </w:t>
      </w:r>
      <w:r>
        <w:rPr>
          <w:sz w:val="20"/>
        </w:rPr>
        <w:t>legales</w:t>
      </w:r>
      <w:r>
        <w:rPr>
          <w:spacing w:val="-22"/>
          <w:sz w:val="20"/>
        </w:rPr>
        <w:t xml:space="preserve"> </w:t>
      </w:r>
      <w:r>
        <w:rPr>
          <w:sz w:val="20"/>
        </w:rPr>
        <w:t>relativas</w:t>
      </w:r>
      <w:r>
        <w:rPr>
          <w:spacing w:val="-21"/>
          <w:sz w:val="20"/>
        </w:rPr>
        <w:t xml:space="preserve"> </w:t>
      </w:r>
      <w:r>
        <w:rPr>
          <w:sz w:val="20"/>
        </w:rPr>
        <w:t>a</w:t>
      </w:r>
      <w:r>
        <w:rPr>
          <w:spacing w:val="-20"/>
          <w:sz w:val="20"/>
        </w:rPr>
        <w:t xml:space="preserve"> </w:t>
      </w:r>
      <w:r>
        <w:rPr>
          <w:sz w:val="20"/>
        </w:rPr>
        <w:t>las</w:t>
      </w:r>
      <w:r>
        <w:rPr>
          <w:spacing w:val="-21"/>
          <w:sz w:val="20"/>
        </w:rPr>
        <w:t xml:space="preserve"> </w:t>
      </w:r>
      <w:r>
        <w:rPr>
          <w:sz w:val="20"/>
        </w:rPr>
        <w:t>condiciones de trabajo y a la protección de los trabajadores en el ejercicio de su profesión”</w:t>
      </w:r>
      <w:hyperlink w:anchor="_bookmark747" w:history="1">
        <w:r>
          <w:rPr>
            <w:position w:val="7"/>
            <w:sz w:val="13"/>
          </w:rPr>
          <w:t>65</w:t>
        </w:r>
      </w:hyperlink>
      <w:r>
        <w:rPr>
          <w:sz w:val="20"/>
        </w:rPr>
        <w:t>; y estará encargado</w:t>
      </w:r>
      <w:r>
        <w:rPr>
          <w:spacing w:val="-20"/>
          <w:sz w:val="20"/>
        </w:rPr>
        <w:t xml:space="preserve"> </w:t>
      </w:r>
      <w:r>
        <w:rPr>
          <w:sz w:val="20"/>
        </w:rPr>
        <w:t>de</w:t>
      </w:r>
      <w:r>
        <w:rPr>
          <w:spacing w:val="-19"/>
          <w:sz w:val="20"/>
        </w:rPr>
        <w:t xml:space="preserve"> </w:t>
      </w:r>
      <w:r>
        <w:rPr>
          <w:sz w:val="20"/>
        </w:rPr>
        <w:t>“velar</w:t>
      </w:r>
      <w:r>
        <w:rPr>
          <w:spacing w:val="-22"/>
          <w:sz w:val="20"/>
        </w:rPr>
        <w:t xml:space="preserve"> </w:t>
      </w:r>
      <w:r>
        <w:rPr>
          <w:sz w:val="20"/>
        </w:rPr>
        <w:t>por</w:t>
      </w:r>
      <w:r>
        <w:rPr>
          <w:spacing w:val="-16"/>
          <w:sz w:val="20"/>
        </w:rPr>
        <w:t xml:space="preserve"> </w:t>
      </w:r>
      <w:r>
        <w:rPr>
          <w:sz w:val="20"/>
        </w:rPr>
        <w:t>el</w:t>
      </w:r>
      <w:r>
        <w:rPr>
          <w:spacing w:val="-18"/>
          <w:sz w:val="20"/>
        </w:rPr>
        <w:t xml:space="preserve"> </w:t>
      </w:r>
      <w:r>
        <w:rPr>
          <w:sz w:val="20"/>
        </w:rPr>
        <w:t>cumplimiento</w:t>
      </w:r>
      <w:r>
        <w:rPr>
          <w:spacing w:val="-20"/>
          <w:sz w:val="20"/>
        </w:rPr>
        <w:t xml:space="preserve"> </w:t>
      </w:r>
      <w:r>
        <w:rPr>
          <w:sz w:val="20"/>
        </w:rPr>
        <w:t>de</w:t>
      </w:r>
      <w:r>
        <w:rPr>
          <w:spacing w:val="-19"/>
          <w:sz w:val="20"/>
        </w:rPr>
        <w:t xml:space="preserve"> </w:t>
      </w:r>
      <w:r>
        <w:rPr>
          <w:sz w:val="20"/>
        </w:rPr>
        <w:t>las</w:t>
      </w:r>
      <w:r>
        <w:rPr>
          <w:spacing w:val="-19"/>
          <w:sz w:val="20"/>
        </w:rPr>
        <w:t xml:space="preserve"> </w:t>
      </w:r>
      <w:r>
        <w:rPr>
          <w:sz w:val="20"/>
        </w:rPr>
        <w:t>disposiciones</w:t>
      </w:r>
      <w:r>
        <w:rPr>
          <w:spacing w:val="-18"/>
          <w:sz w:val="20"/>
        </w:rPr>
        <w:t xml:space="preserve"> </w:t>
      </w:r>
      <w:r>
        <w:rPr>
          <w:sz w:val="20"/>
        </w:rPr>
        <w:t>legales</w:t>
      </w:r>
      <w:r>
        <w:rPr>
          <w:spacing w:val="-19"/>
          <w:sz w:val="20"/>
        </w:rPr>
        <w:t xml:space="preserve"> </w:t>
      </w:r>
      <w:r>
        <w:rPr>
          <w:sz w:val="20"/>
        </w:rPr>
        <w:t>relativas</w:t>
      </w:r>
      <w:r>
        <w:rPr>
          <w:spacing w:val="-21"/>
          <w:sz w:val="20"/>
        </w:rPr>
        <w:t xml:space="preserve"> </w:t>
      </w:r>
      <w:r>
        <w:rPr>
          <w:sz w:val="20"/>
        </w:rPr>
        <w:t>a</w:t>
      </w:r>
      <w:r>
        <w:rPr>
          <w:spacing w:val="-18"/>
          <w:sz w:val="20"/>
        </w:rPr>
        <w:t xml:space="preserve"> </w:t>
      </w:r>
      <w:r>
        <w:rPr>
          <w:sz w:val="20"/>
        </w:rPr>
        <w:t>las</w:t>
      </w:r>
      <w:r>
        <w:rPr>
          <w:spacing w:val="-16"/>
          <w:sz w:val="20"/>
        </w:rPr>
        <w:t xml:space="preserve"> </w:t>
      </w:r>
      <w:r>
        <w:rPr>
          <w:sz w:val="20"/>
        </w:rPr>
        <w:t>condiciones de</w:t>
      </w:r>
      <w:r>
        <w:rPr>
          <w:spacing w:val="-7"/>
          <w:sz w:val="20"/>
        </w:rPr>
        <w:t xml:space="preserve"> </w:t>
      </w:r>
      <w:r>
        <w:rPr>
          <w:sz w:val="20"/>
        </w:rPr>
        <w:t>trabajo</w:t>
      </w:r>
      <w:r>
        <w:rPr>
          <w:spacing w:val="-4"/>
          <w:sz w:val="20"/>
        </w:rPr>
        <w:t xml:space="preserve"> </w:t>
      </w:r>
      <w:r>
        <w:rPr>
          <w:sz w:val="20"/>
        </w:rPr>
        <w:t>y</w:t>
      </w:r>
      <w:r>
        <w:rPr>
          <w:spacing w:val="-6"/>
          <w:sz w:val="20"/>
        </w:rPr>
        <w:t xml:space="preserve"> </w:t>
      </w:r>
      <w:r>
        <w:rPr>
          <w:sz w:val="20"/>
        </w:rPr>
        <w:t>a</w:t>
      </w:r>
      <w:r>
        <w:rPr>
          <w:spacing w:val="-3"/>
          <w:sz w:val="20"/>
        </w:rPr>
        <w:t xml:space="preserve"> </w:t>
      </w:r>
      <w:r>
        <w:rPr>
          <w:sz w:val="20"/>
        </w:rPr>
        <w:t>la</w:t>
      </w:r>
      <w:r>
        <w:rPr>
          <w:spacing w:val="-4"/>
          <w:sz w:val="20"/>
        </w:rPr>
        <w:t xml:space="preserve"> </w:t>
      </w:r>
      <w:r>
        <w:rPr>
          <w:sz w:val="20"/>
        </w:rPr>
        <w:t>protección</w:t>
      </w:r>
      <w:r>
        <w:rPr>
          <w:spacing w:val="-4"/>
          <w:sz w:val="20"/>
        </w:rPr>
        <w:t xml:space="preserve"> </w:t>
      </w:r>
      <w:r>
        <w:rPr>
          <w:sz w:val="20"/>
        </w:rPr>
        <w:t>de</w:t>
      </w:r>
      <w:r>
        <w:rPr>
          <w:spacing w:val="-7"/>
          <w:sz w:val="20"/>
        </w:rPr>
        <w:t xml:space="preserve"> </w:t>
      </w:r>
      <w:r>
        <w:rPr>
          <w:sz w:val="20"/>
        </w:rPr>
        <w:t>los</w:t>
      </w:r>
      <w:r>
        <w:rPr>
          <w:spacing w:val="-4"/>
          <w:sz w:val="20"/>
        </w:rPr>
        <w:t xml:space="preserve"> </w:t>
      </w:r>
      <w:r>
        <w:rPr>
          <w:sz w:val="20"/>
        </w:rPr>
        <w:t>trabajadores</w:t>
      </w:r>
      <w:r>
        <w:rPr>
          <w:spacing w:val="-4"/>
          <w:sz w:val="20"/>
        </w:rPr>
        <w:t xml:space="preserve"> </w:t>
      </w:r>
      <w:r>
        <w:rPr>
          <w:sz w:val="20"/>
        </w:rPr>
        <w:t>en</w:t>
      </w:r>
      <w:r>
        <w:rPr>
          <w:spacing w:val="-2"/>
          <w:sz w:val="20"/>
        </w:rPr>
        <w:t xml:space="preserve"> </w:t>
      </w:r>
      <w:r>
        <w:rPr>
          <w:sz w:val="20"/>
        </w:rPr>
        <w:t>el</w:t>
      </w:r>
      <w:r>
        <w:rPr>
          <w:spacing w:val="-2"/>
          <w:sz w:val="20"/>
        </w:rPr>
        <w:t xml:space="preserve"> </w:t>
      </w:r>
      <w:r>
        <w:rPr>
          <w:sz w:val="20"/>
        </w:rPr>
        <w:t>ejercicio</w:t>
      </w:r>
      <w:r>
        <w:rPr>
          <w:spacing w:val="-4"/>
          <w:sz w:val="20"/>
        </w:rPr>
        <w:t xml:space="preserve"> </w:t>
      </w:r>
      <w:r>
        <w:rPr>
          <w:sz w:val="20"/>
        </w:rPr>
        <w:t>de</w:t>
      </w:r>
      <w:r>
        <w:rPr>
          <w:spacing w:val="-4"/>
          <w:sz w:val="20"/>
        </w:rPr>
        <w:t xml:space="preserve"> </w:t>
      </w:r>
      <w:r>
        <w:rPr>
          <w:sz w:val="20"/>
        </w:rPr>
        <w:t>su</w:t>
      </w:r>
      <w:r>
        <w:rPr>
          <w:spacing w:val="-2"/>
          <w:sz w:val="20"/>
        </w:rPr>
        <w:t xml:space="preserve"> </w:t>
      </w:r>
      <w:r>
        <w:rPr>
          <w:sz w:val="20"/>
        </w:rPr>
        <w:t>profesión,</w:t>
      </w:r>
      <w:r>
        <w:rPr>
          <w:spacing w:val="-4"/>
          <w:sz w:val="20"/>
        </w:rPr>
        <w:t xml:space="preserve"> </w:t>
      </w:r>
      <w:r>
        <w:rPr>
          <w:sz w:val="20"/>
        </w:rPr>
        <w:t>tales</w:t>
      </w:r>
      <w:r>
        <w:rPr>
          <w:spacing w:val="-4"/>
          <w:sz w:val="20"/>
        </w:rPr>
        <w:t xml:space="preserve"> </w:t>
      </w:r>
      <w:r>
        <w:rPr>
          <w:sz w:val="20"/>
        </w:rPr>
        <w:t>como</w:t>
      </w:r>
      <w:r>
        <w:rPr>
          <w:spacing w:val="-3"/>
          <w:sz w:val="20"/>
        </w:rPr>
        <w:t xml:space="preserve"> </w:t>
      </w:r>
      <w:r>
        <w:rPr>
          <w:sz w:val="20"/>
        </w:rPr>
        <w:t>las disposiciones sobre horas de trabajo, salarios, seguridad, higiene y bienestar, empleo de menores y demás disposiciones afines, en la medida en que los inspectores del trabajo estén encargados de velar por el cumplimiento de dichas</w:t>
      </w:r>
      <w:r>
        <w:rPr>
          <w:spacing w:val="-8"/>
          <w:sz w:val="20"/>
        </w:rPr>
        <w:t xml:space="preserve"> </w:t>
      </w:r>
      <w:r>
        <w:rPr>
          <w:sz w:val="20"/>
        </w:rPr>
        <w:t>disposiciones”</w:t>
      </w:r>
      <w:hyperlink w:anchor="_bookmark748" w:history="1">
        <w:r>
          <w:rPr>
            <w:position w:val="7"/>
            <w:sz w:val="13"/>
          </w:rPr>
          <w:t>66</w:t>
        </w:r>
      </w:hyperlink>
      <w:r>
        <w:rPr>
          <w:sz w:val="20"/>
        </w:rPr>
        <w:t>.</w:t>
      </w:r>
    </w:p>
    <w:p w14:paraId="7B92A30D" w14:textId="77777777" w:rsidR="00467FCA" w:rsidRDefault="00467FCA">
      <w:pPr>
        <w:pStyle w:val="Textoindependiente"/>
        <w:spacing w:before="11"/>
        <w:rPr>
          <w:sz w:val="19"/>
        </w:rPr>
      </w:pPr>
    </w:p>
    <w:p w14:paraId="43861219" w14:textId="77777777" w:rsidR="00467FCA" w:rsidRDefault="001B68EB">
      <w:pPr>
        <w:pStyle w:val="Prrafodelista"/>
        <w:numPr>
          <w:ilvl w:val="0"/>
          <w:numId w:val="7"/>
        </w:numPr>
        <w:tabs>
          <w:tab w:val="left" w:pos="1167"/>
        </w:tabs>
        <w:spacing w:before="1"/>
        <w:ind w:right="275" w:firstLine="0"/>
        <w:jc w:val="both"/>
        <w:rPr>
          <w:sz w:val="20"/>
        </w:rPr>
      </w:pPr>
      <w:r>
        <w:rPr>
          <w:sz w:val="20"/>
        </w:rPr>
        <w:t>Además, el Convenio No. 155 de 1981 de la OIT, sobre seguridad y salud de los trabajadores, establece que los Estados deben “formular, poner en práctica y reexaminar periódicamente una política nacional coherente en materia de seguridad y salud de los trab</w:t>
      </w:r>
      <w:r>
        <w:rPr>
          <w:sz w:val="20"/>
        </w:rPr>
        <w:t>ajadores y medio ambiente de trabajo”, cuyo objeto sea “prevenir los accidentes y</w:t>
      </w:r>
      <w:r>
        <w:rPr>
          <w:spacing w:val="-8"/>
          <w:sz w:val="20"/>
        </w:rPr>
        <w:t xml:space="preserve"> </w:t>
      </w:r>
      <w:r>
        <w:rPr>
          <w:sz w:val="20"/>
        </w:rPr>
        <w:t>los</w:t>
      </w:r>
    </w:p>
    <w:p w14:paraId="097123F9" w14:textId="77777777" w:rsidR="00467FCA" w:rsidRDefault="00467FCA">
      <w:pPr>
        <w:pStyle w:val="Textoindependiente"/>
      </w:pPr>
    </w:p>
    <w:p w14:paraId="547DC798" w14:textId="77777777" w:rsidR="00467FCA" w:rsidRDefault="00467FCA">
      <w:pPr>
        <w:pStyle w:val="Textoindependiente"/>
      </w:pPr>
    </w:p>
    <w:p w14:paraId="785EFEA3" w14:textId="77777777" w:rsidR="00467FCA" w:rsidRDefault="001B68EB">
      <w:pPr>
        <w:pStyle w:val="Textoindependiente"/>
        <w:spacing w:before="4"/>
        <w:rPr>
          <w:sz w:val="29"/>
        </w:rPr>
      </w:pPr>
      <w:r>
        <w:pict w14:anchorId="579A3EA4">
          <v:shape id="_x0000_s1059" style="position:absolute;margin-left:70.9pt;margin-top:20.1pt;width:2in;height:.1pt;z-index:-251517952;mso-wrap-distance-left:0;mso-wrap-distance-right:0;mso-position-horizontal-relative:page" coordorigin="1418,402" coordsize="2880,0" path="m1418,402r2880,e" filled="f" strokeweight=".6pt">
            <v:path arrowok="t"/>
            <w10:wrap type="topAndBottom" anchorx="page"/>
          </v:shape>
        </w:pict>
      </w:r>
    </w:p>
    <w:p w14:paraId="6F5BAD0C" w14:textId="77777777" w:rsidR="00467FCA" w:rsidRDefault="001B68EB">
      <w:pPr>
        <w:tabs>
          <w:tab w:val="left" w:pos="1166"/>
        </w:tabs>
        <w:spacing w:before="74"/>
        <w:ind w:left="458" w:right="270"/>
        <w:jc w:val="both"/>
        <w:rPr>
          <w:sz w:val="16"/>
        </w:rPr>
      </w:pPr>
      <w:bookmarkStart w:id="822" w:name="_bookmark741"/>
      <w:bookmarkEnd w:id="822"/>
      <w:r>
        <w:rPr>
          <w:position w:val="6"/>
          <w:sz w:val="10"/>
        </w:rPr>
        <w:t>59</w:t>
      </w:r>
      <w:r>
        <w:rPr>
          <w:position w:val="6"/>
          <w:sz w:val="10"/>
        </w:rPr>
        <w:tab/>
      </w:r>
      <w:r>
        <w:rPr>
          <w:i/>
          <w:sz w:val="16"/>
        </w:rPr>
        <w:t xml:space="preserve">Cfr. </w:t>
      </w:r>
      <w:r>
        <w:rPr>
          <w:sz w:val="16"/>
        </w:rPr>
        <w:t xml:space="preserve">TEDH, </w:t>
      </w:r>
      <w:r>
        <w:rPr>
          <w:i/>
          <w:sz w:val="16"/>
        </w:rPr>
        <w:t xml:space="preserve">Caso Brincat y otros Vs. Malta, </w:t>
      </w:r>
      <w:r>
        <w:rPr>
          <w:sz w:val="16"/>
        </w:rPr>
        <w:t>sentencia de 24 de julio de 2014, párr. 112: En el caso el TEDH analizó que, durante un lapso de tiempo, no se había legislado sobre la protección de los efectos nocivos el asbesto. En este entendidó, el TEDH notó que a los trabajadores se les habían propo</w:t>
      </w:r>
      <w:r>
        <w:rPr>
          <w:sz w:val="16"/>
        </w:rPr>
        <w:t>rcionado mascarillas desechables pero que</w:t>
      </w:r>
      <w:r>
        <w:rPr>
          <w:spacing w:val="-8"/>
          <w:sz w:val="16"/>
        </w:rPr>
        <w:t xml:space="preserve"> </w:t>
      </w:r>
      <w:r>
        <w:rPr>
          <w:sz w:val="16"/>
        </w:rPr>
        <w:t>de</w:t>
      </w:r>
      <w:r>
        <w:rPr>
          <w:spacing w:val="-7"/>
          <w:sz w:val="16"/>
        </w:rPr>
        <w:t xml:space="preserve"> </w:t>
      </w:r>
      <w:r>
        <w:rPr>
          <w:sz w:val="16"/>
        </w:rPr>
        <w:t>acuerdo</w:t>
      </w:r>
      <w:r>
        <w:rPr>
          <w:spacing w:val="-7"/>
          <w:sz w:val="16"/>
        </w:rPr>
        <w:t xml:space="preserve"> </w:t>
      </w:r>
      <w:r>
        <w:rPr>
          <w:sz w:val="16"/>
        </w:rPr>
        <w:t>a</w:t>
      </w:r>
      <w:r>
        <w:rPr>
          <w:spacing w:val="-9"/>
          <w:sz w:val="16"/>
        </w:rPr>
        <w:t xml:space="preserve"> </w:t>
      </w:r>
      <w:r>
        <w:rPr>
          <w:sz w:val="16"/>
        </w:rPr>
        <w:t>expertos</w:t>
      </w:r>
      <w:r>
        <w:rPr>
          <w:spacing w:val="-7"/>
          <w:sz w:val="16"/>
        </w:rPr>
        <w:t xml:space="preserve"> </w:t>
      </w:r>
      <w:r>
        <w:rPr>
          <w:sz w:val="16"/>
        </w:rPr>
        <w:t>estas</w:t>
      </w:r>
      <w:r>
        <w:rPr>
          <w:spacing w:val="-5"/>
          <w:sz w:val="16"/>
        </w:rPr>
        <w:t xml:space="preserve"> </w:t>
      </w:r>
      <w:r>
        <w:rPr>
          <w:sz w:val="16"/>
        </w:rPr>
        <w:t>eran</w:t>
      </w:r>
      <w:r>
        <w:rPr>
          <w:spacing w:val="-9"/>
          <w:sz w:val="16"/>
        </w:rPr>
        <w:t xml:space="preserve"> </w:t>
      </w:r>
      <w:r>
        <w:rPr>
          <w:sz w:val="16"/>
        </w:rPr>
        <w:t>de</w:t>
      </w:r>
      <w:r>
        <w:rPr>
          <w:spacing w:val="-10"/>
          <w:sz w:val="16"/>
        </w:rPr>
        <w:t xml:space="preserve"> </w:t>
      </w:r>
      <w:r>
        <w:rPr>
          <w:sz w:val="16"/>
        </w:rPr>
        <w:t>“una</w:t>
      </w:r>
      <w:r>
        <w:rPr>
          <w:spacing w:val="-8"/>
          <w:sz w:val="16"/>
        </w:rPr>
        <w:t xml:space="preserve"> </w:t>
      </w:r>
      <w:r>
        <w:rPr>
          <w:sz w:val="16"/>
        </w:rPr>
        <w:t>calidad</w:t>
      </w:r>
      <w:r>
        <w:rPr>
          <w:spacing w:val="-7"/>
          <w:sz w:val="16"/>
        </w:rPr>
        <w:t xml:space="preserve"> </w:t>
      </w:r>
      <w:r>
        <w:rPr>
          <w:sz w:val="16"/>
        </w:rPr>
        <w:t>inadecuada”.</w:t>
      </w:r>
      <w:r>
        <w:rPr>
          <w:spacing w:val="-9"/>
          <w:sz w:val="16"/>
        </w:rPr>
        <w:t xml:space="preserve"> </w:t>
      </w:r>
      <w:r>
        <w:rPr>
          <w:sz w:val="16"/>
        </w:rPr>
        <w:t>Así,</w:t>
      </w:r>
      <w:r>
        <w:rPr>
          <w:spacing w:val="-8"/>
          <w:sz w:val="16"/>
        </w:rPr>
        <w:t xml:space="preserve"> </w:t>
      </w:r>
      <w:r>
        <w:rPr>
          <w:sz w:val="16"/>
        </w:rPr>
        <w:t>constató</w:t>
      </w:r>
      <w:r>
        <w:rPr>
          <w:spacing w:val="-9"/>
          <w:sz w:val="16"/>
        </w:rPr>
        <w:t xml:space="preserve"> </w:t>
      </w:r>
      <w:r>
        <w:rPr>
          <w:sz w:val="16"/>
        </w:rPr>
        <w:t>que</w:t>
      </w:r>
      <w:r>
        <w:rPr>
          <w:spacing w:val="-8"/>
          <w:sz w:val="16"/>
        </w:rPr>
        <w:t xml:space="preserve"> </w:t>
      </w:r>
      <w:r>
        <w:rPr>
          <w:sz w:val="16"/>
        </w:rPr>
        <w:t>no</w:t>
      </w:r>
      <w:r>
        <w:rPr>
          <w:spacing w:val="-7"/>
          <w:sz w:val="16"/>
        </w:rPr>
        <w:t xml:space="preserve"> </w:t>
      </w:r>
      <w:r>
        <w:rPr>
          <w:sz w:val="16"/>
        </w:rPr>
        <w:t>se</w:t>
      </w:r>
      <w:r>
        <w:rPr>
          <w:spacing w:val="-7"/>
          <w:sz w:val="16"/>
        </w:rPr>
        <w:t xml:space="preserve"> </w:t>
      </w:r>
      <w:r>
        <w:rPr>
          <w:sz w:val="16"/>
        </w:rPr>
        <w:t>habían</w:t>
      </w:r>
      <w:r>
        <w:rPr>
          <w:spacing w:val="-8"/>
          <w:sz w:val="16"/>
        </w:rPr>
        <w:t xml:space="preserve"> </w:t>
      </w:r>
      <w:r>
        <w:rPr>
          <w:sz w:val="16"/>
        </w:rPr>
        <w:t>adoptado</w:t>
      </w:r>
      <w:r>
        <w:rPr>
          <w:spacing w:val="-8"/>
          <w:sz w:val="16"/>
        </w:rPr>
        <w:t xml:space="preserve"> </w:t>
      </w:r>
      <w:r>
        <w:rPr>
          <w:sz w:val="16"/>
        </w:rPr>
        <w:t>medidas adicionales más alla de la mencionada, lo anterior se agravaba tomando en consideracion la ausencia de r</w:t>
      </w:r>
      <w:r>
        <w:rPr>
          <w:sz w:val="16"/>
        </w:rPr>
        <w:t>egulación sobre</w:t>
      </w:r>
      <w:r>
        <w:rPr>
          <w:spacing w:val="-6"/>
          <w:sz w:val="16"/>
        </w:rPr>
        <w:t xml:space="preserve"> </w:t>
      </w:r>
      <w:r>
        <w:rPr>
          <w:sz w:val="16"/>
        </w:rPr>
        <w:t>los</w:t>
      </w:r>
      <w:r>
        <w:rPr>
          <w:spacing w:val="-5"/>
          <w:sz w:val="16"/>
        </w:rPr>
        <w:t xml:space="preserve"> </w:t>
      </w:r>
      <w:r>
        <w:rPr>
          <w:sz w:val="16"/>
        </w:rPr>
        <w:t>riesgos</w:t>
      </w:r>
      <w:r>
        <w:rPr>
          <w:spacing w:val="-6"/>
          <w:sz w:val="16"/>
        </w:rPr>
        <w:t xml:space="preserve"> </w:t>
      </w:r>
      <w:r>
        <w:rPr>
          <w:sz w:val="16"/>
        </w:rPr>
        <w:t>y</w:t>
      </w:r>
      <w:r>
        <w:rPr>
          <w:spacing w:val="-4"/>
          <w:sz w:val="16"/>
        </w:rPr>
        <w:t xml:space="preserve"> </w:t>
      </w:r>
      <w:r>
        <w:rPr>
          <w:sz w:val="16"/>
        </w:rPr>
        <w:t>las</w:t>
      </w:r>
      <w:r>
        <w:rPr>
          <w:spacing w:val="-2"/>
          <w:sz w:val="16"/>
        </w:rPr>
        <w:t xml:space="preserve"> </w:t>
      </w:r>
      <w:r>
        <w:rPr>
          <w:sz w:val="16"/>
        </w:rPr>
        <w:t>acciones</w:t>
      </w:r>
      <w:r>
        <w:rPr>
          <w:spacing w:val="-3"/>
          <w:sz w:val="16"/>
        </w:rPr>
        <w:t xml:space="preserve"> </w:t>
      </w:r>
      <w:r>
        <w:rPr>
          <w:sz w:val="16"/>
        </w:rPr>
        <w:t>para</w:t>
      </w:r>
      <w:r>
        <w:rPr>
          <w:spacing w:val="-6"/>
          <w:sz w:val="16"/>
        </w:rPr>
        <w:t xml:space="preserve"> </w:t>
      </w:r>
      <w:r>
        <w:rPr>
          <w:sz w:val="16"/>
        </w:rPr>
        <w:t>remediar</w:t>
      </w:r>
      <w:r>
        <w:rPr>
          <w:spacing w:val="-6"/>
          <w:sz w:val="16"/>
        </w:rPr>
        <w:t xml:space="preserve"> </w:t>
      </w:r>
      <w:r>
        <w:rPr>
          <w:sz w:val="16"/>
        </w:rPr>
        <w:t>dicho</w:t>
      </w:r>
      <w:r>
        <w:rPr>
          <w:spacing w:val="-5"/>
          <w:sz w:val="16"/>
        </w:rPr>
        <w:t xml:space="preserve"> </w:t>
      </w:r>
      <w:r>
        <w:rPr>
          <w:sz w:val="16"/>
        </w:rPr>
        <w:t>riesgo</w:t>
      </w:r>
      <w:r>
        <w:rPr>
          <w:spacing w:val="-4"/>
          <w:sz w:val="16"/>
        </w:rPr>
        <w:t xml:space="preserve"> </w:t>
      </w:r>
      <w:r>
        <w:rPr>
          <w:sz w:val="16"/>
        </w:rPr>
        <w:t>ante</w:t>
      </w:r>
      <w:r>
        <w:rPr>
          <w:spacing w:val="-3"/>
          <w:sz w:val="16"/>
        </w:rPr>
        <w:t xml:space="preserve"> </w:t>
      </w:r>
      <w:r>
        <w:rPr>
          <w:sz w:val="16"/>
        </w:rPr>
        <w:t>la</w:t>
      </w:r>
      <w:r>
        <w:rPr>
          <w:spacing w:val="-3"/>
          <w:sz w:val="16"/>
        </w:rPr>
        <w:t xml:space="preserve"> </w:t>
      </w:r>
      <w:r>
        <w:rPr>
          <w:sz w:val="16"/>
        </w:rPr>
        <w:t>exposición</w:t>
      </w:r>
      <w:r>
        <w:rPr>
          <w:spacing w:val="-6"/>
          <w:sz w:val="16"/>
        </w:rPr>
        <w:t xml:space="preserve"> </w:t>
      </w:r>
      <w:r>
        <w:rPr>
          <w:sz w:val="16"/>
        </w:rPr>
        <w:t>al</w:t>
      </w:r>
      <w:r>
        <w:rPr>
          <w:spacing w:val="-4"/>
          <w:sz w:val="16"/>
        </w:rPr>
        <w:t xml:space="preserve"> </w:t>
      </w:r>
      <w:r>
        <w:rPr>
          <w:sz w:val="16"/>
        </w:rPr>
        <w:t>asbesto</w:t>
      </w:r>
      <w:r>
        <w:rPr>
          <w:spacing w:val="-7"/>
          <w:sz w:val="16"/>
        </w:rPr>
        <w:t xml:space="preserve"> </w:t>
      </w:r>
      <w:r>
        <w:rPr>
          <w:sz w:val="16"/>
        </w:rPr>
        <w:t>durante</w:t>
      </w:r>
      <w:r>
        <w:rPr>
          <w:spacing w:val="-2"/>
          <w:sz w:val="16"/>
        </w:rPr>
        <w:t xml:space="preserve"> </w:t>
      </w:r>
      <w:r>
        <w:rPr>
          <w:sz w:val="16"/>
        </w:rPr>
        <w:t>un</w:t>
      </w:r>
      <w:r>
        <w:rPr>
          <w:spacing w:val="-4"/>
          <w:sz w:val="16"/>
        </w:rPr>
        <w:t xml:space="preserve"> </w:t>
      </w:r>
      <w:r>
        <w:rPr>
          <w:sz w:val="16"/>
        </w:rPr>
        <w:t>lapso</w:t>
      </w:r>
      <w:r>
        <w:rPr>
          <w:spacing w:val="-4"/>
          <w:sz w:val="16"/>
        </w:rPr>
        <w:t xml:space="preserve"> </w:t>
      </w:r>
      <w:r>
        <w:rPr>
          <w:sz w:val="16"/>
        </w:rPr>
        <w:t>de</w:t>
      </w:r>
      <w:r>
        <w:rPr>
          <w:spacing w:val="-5"/>
          <w:sz w:val="16"/>
        </w:rPr>
        <w:t xml:space="preserve"> </w:t>
      </w:r>
      <w:r>
        <w:rPr>
          <w:sz w:val="16"/>
        </w:rPr>
        <w:t>tiempo. Por lo tanto, inclusive, frente a estas acciones, el actuar estatal resultaba</w:t>
      </w:r>
      <w:r>
        <w:rPr>
          <w:spacing w:val="-7"/>
          <w:sz w:val="16"/>
        </w:rPr>
        <w:t xml:space="preserve"> </w:t>
      </w:r>
      <w:r>
        <w:rPr>
          <w:sz w:val="16"/>
        </w:rPr>
        <w:t>insuficiente.</w:t>
      </w:r>
    </w:p>
    <w:p w14:paraId="2B0A8CB0" w14:textId="77777777" w:rsidR="00467FCA" w:rsidRDefault="001B68EB">
      <w:pPr>
        <w:tabs>
          <w:tab w:val="left" w:pos="1166"/>
        </w:tabs>
        <w:ind w:left="458" w:right="272"/>
        <w:jc w:val="both"/>
        <w:rPr>
          <w:sz w:val="16"/>
        </w:rPr>
      </w:pPr>
      <w:bookmarkStart w:id="823" w:name="_bookmark742"/>
      <w:bookmarkEnd w:id="823"/>
      <w:r>
        <w:rPr>
          <w:position w:val="6"/>
          <w:sz w:val="10"/>
        </w:rPr>
        <w:t>60</w:t>
      </w:r>
      <w:r>
        <w:rPr>
          <w:position w:val="6"/>
          <w:sz w:val="10"/>
        </w:rPr>
        <w:tab/>
      </w:r>
      <w:r>
        <w:rPr>
          <w:i/>
          <w:sz w:val="16"/>
        </w:rPr>
        <w:t xml:space="preserve">Cfr. </w:t>
      </w:r>
      <w:r>
        <w:rPr>
          <w:sz w:val="16"/>
        </w:rPr>
        <w:t xml:space="preserve">TEDH, </w:t>
      </w:r>
      <w:r>
        <w:rPr>
          <w:i/>
          <w:sz w:val="16"/>
        </w:rPr>
        <w:t xml:space="preserve">Caso Binişan Vs. Rumania, </w:t>
      </w:r>
      <w:r>
        <w:rPr>
          <w:sz w:val="16"/>
        </w:rPr>
        <w:t xml:space="preserve">sentencia de 20 de mayo de 2014, párr. </w:t>
      </w:r>
      <w:r>
        <w:rPr>
          <w:i/>
          <w:sz w:val="16"/>
        </w:rPr>
        <w:t xml:space="preserve">72, </w:t>
      </w:r>
      <w:r>
        <w:rPr>
          <w:sz w:val="16"/>
        </w:rPr>
        <w:t xml:space="preserve">y </w:t>
      </w:r>
      <w:r>
        <w:rPr>
          <w:i/>
          <w:sz w:val="16"/>
        </w:rPr>
        <w:t xml:space="preserve">Caso Kalender Vs. Turquía, </w:t>
      </w:r>
      <w:r>
        <w:rPr>
          <w:sz w:val="16"/>
        </w:rPr>
        <w:t>sentencia de 15 de diciembre de 2009, párrs.</w:t>
      </w:r>
      <w:r>
        <w:rPr>
          <w:spacing w:val="-12"/>
          <w:sz w:val="16"/>
        </w:rPr>
        <w:t xml:space="preserve"> </w:t>
      </w:r>
      <w:r>
        <w:rPr>
          <w:sz w:val="16"/>
        </w:rPr>
        <w:t>43-47.</w:t>
      </w:r>
    </w:p>
    <w:p w14:paraId="4EC401FF" w14:textId="77777777" w:rsidR="00467FCA" w:rsidRDefault="001B68EB">
      <w:pPr>
        <w:tabs>
          <w:tab w:val="left" w:pos="1166"/>
        </w:tabs>
        <w:ind w:left="458" w:right="272"/>
        <w:jc w:val="both"/>
        <w:rPr>
          <w:sz w:val="16"/>
        </w:rPr>
      </w:pPr>
      <w:bookmarkStart w:id="824" w:name="_bookmark743"/>
      <w:bookmarkEnd w:id="824"/>
      <w:r>
        <w:rPr>
          <w:position w:val="6"/>
          <w:sz w:val="10"/>
        </w:rPr>
        <w:t>61</w:t>
      </w:r>
      <w:r>
        <w:rPr>
          <w:position w:val="6"/>
          <w:sz w:val="10"/>
        </w:rPr>
        <w:tab/>
      </w:r>
      <w:r>
        <w:rPr>
          <w:i/>
          <w:sz w:val="16"/>
        </w:rPr>
        <w:t xml:space="preserve">Cfr. </w:t>
      </w:r>
      <w:r>
        <w:rPr>
          <w:sz w:val="16"/>
        </w:rPr>
        <w:t xml:space="preserve">CEDS, </w:t>
      </w:r>
      <w:r>
        <w:rPr>
          <w:i/>
          <w:sz w:val="16"/>
        </w:rPr>
        <w:t>Caso Confederación General Italiana del Trabajo (CGIL) Vs. Italia</w:t>
      </w:r>
      <w:r>
        <w:rPr>
          <w:sz w:val="16"/>
        </w:rPr>
        <w:t>, Queja No. 91/2013, decisión de</w:t>
      </w:r>
      <w:r>
        <w:rPr>
          <w:spacing w:val="-5"/>
          <w:sz w:val="16"/>
        </w:rPr>
        <w:t xml:space="preserve"> </w:t>
      </w:r>
      <w:r>
        <w:rPr>
          <w:sz w:val="16"/>
        </w:rPr>
        <w:t>admisibilidad</w:t>
      </w:r>
      <w:r>
        <w:rPr>
          <w:spacing w:val="-4"/>
          <w:sz w:val="16"/>
        </w:rPr>
        <w:t xml:space="preserve"> </w:t>
      </w:r>
      <w:r>
        <w:rPr>
          <w:sz w:val="16"/>
        </w:rPr>
        <w:t>y</w:t>
      </w:r>
      <w:r>
        <w:rPr>
          <w:spacing w:val="-6"/>
          <w:sz w:val="16"/>
        </w:rPr>
        <w:t xml:space="preserve"> </w:t>
      </w:r>
      <w:r>
        <w:rPr>
          <w:sz w:val="16"/>
        </w:rPr>
        <w:t>fondo</w:t>
      </w:r>
      <w:r>
        <w:rPr>
          <w:spacing w:val="-7"/>
          <w:sz w:val="16"/>
        </w:rPr>
        <w:t xml:space="preserve"> </w:t>
      </w:r>
      <w:r>
        <w:rPr>
          <w:sz w:val="16"/>
        </w:rPr>
        <w:t>de</w:t>
      </w:r>
      <w:r>
        <w:rPr>
          <w:spacing w:val="-7"/>
          <w:sz w:val="16"/>
        </w:rPr>
        <w:t xml:space="preserve"> </w:t>
      </w:r>
      <w:r>
        <w:rPr>
          <w:sz w:val="16"/>
        </w:rPr>
        <w:t>12</w:t>
      </w:r>
      <w:r>
        <w:rPr>
          <w:spacing w:val="-6"/>
          <w:sz w:val="16"/>
        </w:rPr>
        <w:t xml:space="preserve"> </w:t>
      </w:r>
      <w:r>
        <w:rPr>
          <w:sz w:val="16"/>
        </w:rPr>
        <w:t>de</w:t>
      </w:r>
      <w:r>
        <w:rPr>
          <w:spacing w:val="-5"/>
          <w:sz w:val="16"/>
        </w:rPr>
        <w:t xml:space="preserve"> </w:t>
      </w:r>
      <w:r>
        <w:rPr>
          <w:sz w:val="16"/>
        </w:rPr>
        <w:t>octubre</w:t>
      </w:r>
      <w:r>
        <w:rPr>
          <w:spacing w:val="-5"/>
          <w:sz w:val="16"/>
        </w:rPr>
        <w:t xml:space="preserve"> </w:t>
      </w:r>
      <w:r>
        <w:rPr>
          <w:sz w:val="16"/>
        </w:rPr>
        <w:t>de</w:t>
      </w:r>
      <w:r>
        <w:rPr>
          <w:spacing w:val="-7"/>
          <w:sz w:val="16"/>
        </w:rPr>
        <w:t xml:space="preserve"> </w:t>
      </w:r>
      <w:r>
        <w:rPr>
          <w:sz w:val="16"/>
        </w:rPr>
        <w:t>2005,</w:t>
      </w:r>
      <w:r>
        <w:rPr>
          <w:spacing w:val="-6"/>
          <w:sz w:val="16"/>
        </w:rPr>
        <w:t xml:space="preserve"> </w:t>
      </w:r>
      <w:r>
        <w:rPr>
          <w:sz w:val="16"/>
        </w:rPr>
        <w:t>párr.</w:t>
      </w:r>
      <w:r>
        <w:rPr>
          <w:spacing w:val="-7"/>
          <w:sz w:val="16"/>
        </w:rPr>
        <w:t xml:space="preserve"> </w:t>
      </w:r>
      <w:r>
        <w:rPr>
          <w:sz w:val="16"/>
        </w:rPr>
        <w:t>276</w:t>
      </w:r>
      <w:r>
        <w:rPr>
          <w:spacing w:val="-4"/>
          <w:sz w:val="16"/>
        </w:rPr>
        <w:t xml:space="preserve"> </w:t>
      </w:r>
      <w:r>
        <w:rPr>
          <w:sz w:val="16"/>
        </w:rPr>
        <w:t>y</w:t>
      </w:r>
      <w:r>
        <w:rPr>
          <w:spacing w:val="-7"/>
          <w:sz w:val="16"/>
        </w:rPr>
        <w:t xml:space="preserve"> </w:t>
      </w:r>
      <w:r>
        <w:rPr>
          <w:i/>
          <w:sz w:val="16"/>
        </w:rPr>
        <w:t>Caso</w:t>
      </w:r>
      <w:r>
        <w:rPr>
          <w:i/>
          <w:spacing w:val="-4"/>
          <w:sz w:val="16"/>
        </w:rPr>
        <w:t xml:space="preserve"> </w:t>
      </w:r>
      <w:r>
        <w:rPr>
          <w:i/>
          <w:sz w:val="16"/>
        </w:rPr>
        <w:t>Comisión</w:t>
      </w:r>
      <w:r>
        <w:rPr>
          <w:i/>
          <w:spacing w:val="-6"/>
          <w:sz w:val="16"/>
        </w:rPr>
        <w:t xml:space="preserve"> </w:t>
      </w:r>
      <w:r>
        <w:rPr>
          <w:i/>
          <w:sz w:val="16"/>
        </w:rPr>
        <w:t>Internacional</w:t>
      </w:r>
      <w:r>
        <w:rPr>
          <w:i/>
          <w:spacing w:val="-6"/>
          <w:sz w:val="16"/>
        </w:rPr>
        <w:t xml:space="preserve"> </w:t>
      </w:r>
      <w:r>
        <w:rPr>
          <w:i/>
          <w:sz w:val="16"/>
        </w:rPr>
        <w:t>de</w:t>
      </w:r>
      <w:r>
        <w:rPr>
          <w:i/>
          <w:spacing w:val="-5"/>
          <w:sz w:val="16"/>
        </w:rPr>
        <w:t xml:space="preserve"> </w:t>
      </w:r>
      <w:r>
        <w:rPr>
          <w:i/>
          <w:sz w:val="16"/>
        </w:rPr>
        <w:t>Juristas</w:t>
      </w:r>
      <w:r>
        <w:rPr>
          <w:i/>
          <w:spacing w:val="-5"/>
          <w:sz w:val="16"/>
        </w:rPr>
        <w:t xml:space="preserve"> </w:t>
      </w:r>
      <w:r>
        <w:rPr>
          <w:i/>
          <w:sz w:val="16"/>
        </w:rPr>
        <w:t>Vs.</w:t>
      </w:r>
      <w:r>
        <w:rPr>
          <w:i/>
          <w:spacing w:val="-6"/>
          <w:sz w:val="16"/>
        </w:rPr>
        <w:t xml:space="preserve"> </w:t>
      </w:r>
      <w:r>
        <w:rPr>
          <w:i/>
          <w:sz w:val="16"/>
        </w:rPr>
        <w:t>Portugal</w:t>
      </w:r>
      <w:r>
        <w:rPr>
          <w:sz w:val="16"/>
        </w:rPr>
        <w:t>, Queja No. 1/1998, deci</w:t>
      </w:r>
      <w:r>
        <w:rPr>
          <w:sz w:val="16"/>
        </w:rPr>
        <w:t>sión de 9 de septiembre de 1999, párr.</w:t>
      </w:r>
      <w:r>
        <w:rPr>
          <w:spacing w:val="-16"/>
          <w:sz w:val="16"/>
        </w:rPr>
        <w:t xml:space="preserve"> </w:t>
      </w:r>
      <w:r>
        <w:rPr>
          <w:sz w:val="16"/>
        </w:rPr>
        <w:t>32,</w:t>
      </w:r>
    </w:p>
    <w:p w14:paraId="508D671B" w14:textId="77777777" w:rsidR="00467FCA" w:rsidRDefault="001B68EB">
      <w:pPr>
        <w:tabs>
          <w:tab w:val="left" w:pos="1166"/>
        </w:tabs>
        <w:ind w:left="458"/>
        <w:jc w:val="both"/>
        <w:rPr>
          <w:sz w:val="16"/>
        </w:rPr>
      </w:pPr>
      <w:bookmarkStart w:id="825" w:name="_bookmark744"/>
      <w:bookmarkEnd w:id="825"/>
      <w:r>
        <w:rPr>
          <w:position w:val="6"/>
          <w:sz w:val="10"/>
        </w:rPr>
        <w:t>62</w:t>
      </w:r>
      <w:r>
        <w:rPr>
          <w:position w:val="6"/>
          <w:sz w:val="10"/>
        </w:rPr>
        <w:tab/>
      </w:r>
      <w:r>
        <w:rPr>
          <w:i/>
          <w:sz w:val="16"/>
        </w:rPr>
        <w:t>Cfr.</w:t>
      </w:r>
      <w:r>
        <w:rPr>
          <w:i/>
          <w:spacing w:val="-9"/>
          <w:sz w:val="16"/>
        </w:rPr>
        <w:t xml:space="preserve"> </w:t>
      </w:r>
      <w:r>
        <w:rPr>
          <w:sz w:val="16"/>
        </w:rPr>
        <w:t>CEDS,</w:t>
      </w:r>
      <w:r>
        <w:rPr>
          <w:spacing w:val="-8"/>
          <w:sz w:val="16"/>
        </w:rPr>
        <w:t xml:space="preserve"> </w:t>
      </w:r>
      <w:r>
        <w:rPr>
          <w:i/>
          <w:sz w:val="16"/>
        </w:rPr>
        <w:t>Caso</w:t>
      </w:r>
      <w:r>
        <w:rPr>
          <w:i/>
          <w:spacing w:val="-7"/>
          <w:sz w:val="16"/>
        </w:rPr>
        <w:t xml:space="preserve"> </w:t>
      </w:r>
      <w:r>
        <w:rPr>
          <w:i/>
          <w:sz w:val="16"/>
        </w:rPr>
        <w:t>Fundación</w:t>
      </w:r>
      <w:r>
        <w:rPr>
          <w:i/>
          <w:spacing w:val="-9"/>
          <w:sz w:val="16"/>
        </w:rPr>
        <w:t xml:space="preserve"> </w:t>
      </w:r>
      <w:r>
        <w:rPr>
          <w:i/>
          <w:sz w:val="16"/>
        </w:rPr>
        <w:t>Marangopoulos</w:t>
      </w:r>
      <w:r>
        <w:rPr>
          <w:i/>
          <w:spacing w:val="-7"/>
          <w:sz w:val="16"/>
        </w:rPr>
        <w:t xml:space="preserve"> </w:t>
      </w:r>
      <w:r>
        <w:rPr>
          <w:i/>
          <w:sz w:val="16"/>
        </w:rPr>
        <w:t>para</w:t>
      </w:r>
      <w:r>
        <w:rPr>
          <w:i/>
          <w:spacing w:val="-8"/>
          <w:sz w:val="16"/>
        </w:rPr>
        <w:t xml:space="preserve"> </w:t>
      </w:r>
      <w:r>
        <w:rPr>
          <w:i/>
          <w:sz w:val="16"/>
        </w:rPr>
        <w:t>los</w:t>
      </w:r>
      <w:r>
        <w:rPr>
          <w:i/>
          <w:spacing w:val="-8"/>
          <w:sz w:val="16"/>
        </w:rPr>
        <w:t xml:space="preserve"> </w:t>
      </w:r>
      <w:r>
        <w:rPr>
          <w:i/>
          <w:sz w:val="16"/>
        </w:rPr>
        <w:t>Derechos</w:t>
      </w:r>
      <w:r>
        <w:rPr>
          <w:i/>
          <w:spacing w:val="-5"/>
          <w:sz w:val="16"/>
        </w:rPr>
        <w:t xml:space="preserve"> </w:t>
      </w:r>
      <w:r>
        <w:rPr>
          <w:i/>
          <w:sz w:val="16"/>
        </w:rPr>
        <w:t>Humanos</w:t>
      </w:r>
      <w:r>
        <w:rPr>
          <w:i/>
          <w:spacing w:val="-8"/>
          <w:sz w:val="16"/>
        </w:rPr>
        <w:t xml:space="preserve"> </w:t>
      </w:r>
      <w:r>
        <w:rPr>
          <w:i/>
          <w:sz w:val="16"/>
        </w:rPr>
        <w:t>(MFHR)</w:t>
      </w:r>
      <w:r>
        <w:rPr>
          <w:i/>
          <w:spacing w:val="-11"/>
          <w:sz w:val="16"/>
        </w:rPr>
        <w:t xml:space="preserve"> </w:t>
      </w:r>
      <w:r>
        <w:rPr>
          <w:i/>
          <w:sz w:val="16"/>
        </w:rPr>
        <w:t>Vs.</w:t>
      </w:r>
      <w:r>
        <w:rPr>
          <w:i/>
          <w:spacing w:val="-8"/>
          <w:sz w:val="16"/>
        </w:rPr>
        <w:t xml:space="preserve"> </w:t>
      </w:r>
      <w:r>
        <w:rPr>
          <w:i/>
          <w:sz w:val="16"/>
        </w:rPr>
        <w:t>Grecia</w:t>
      </w:r>
      <w:r>
        <w:rPr>
          <w:sz w:val="16"/>
        </w:rPr>
        <w:t>,</w:t>
      </w:r>
      <w:r>
        <w:rPr>
          <w:spacing w:val="-6"/>
          <w:sz w:val="16"/>
        </w:rPr>
        <w:t xml:space="preserve"> </w:t>
      </w:r>
      <w:r>
        <w:rPr>
          <w:i/>
          <w:sz w:val="16"/>
        </w:rPr>
        <w:t>supra</w:t>
      </w:r>
      <w:r>
        <w:rPr>
          <w:sz w:val="16"/>
        </w:rPr>
        <w:t>,</w:t>
      </w:r>
      <w:r>
        <w:rPr>
          <w:spacing w:val="-9"/>
          <w:sz w:val="16"/>
        </w:rPr>
        <w:t xml:space="preserve"> </w:t>
      </w:r>
      <w:r>
        <w:rPr>
          <w:sz w:val="16"/>
        </w:rPr>
        <w:t>párr.</w:t>
      </w:r>
      <w:r>
        <w:rPr>
          <w:spacing w:val="-8"/>
          <w:sz w:val="16"/>
        </w:rPr>
        <w:t xml:space="preserve"> </w:t>
      </w:r>
      <w:r>
        <w:rPr>
          <w:sz w:val="16"/>
        </w:rPr>
        <w:t>228.</w:t>
      </w:r>
    </w:p>
    <w:p w14:paraId="5BB95DFC" w14:textId="77777777" w:rsidR="00467FCA" w:rsidRDefault="001B68EB">
      <w:pPr>
        <w:tabs>
          <w:tab w:val="left" w:pos="1223"/>
        </w:tabs>
        <w:ind w:left="458" w:right="273"/>
        <w:jc w:val="both"/>
        <w:rPr>
          <w:sz w:val="16"/>
        </w:rPr>
      </w:pPr>
      <w:bookmarkStart w:id="826" w:name="_bookmark745"/>
      <w:bookmarkEnd w:id="826"/>
      <w:r>
        <w:rPr>
          <w:position w:val="6"/>
          <w:sz w:val="10"/>
        </w:rPr>
        <w:t>63</w:t>
      </w:r>
      <w:r>
        <w:rPr>
          <w:position w:val="6"/>
          <w:sz w:val="10"/>
        </w:rPr>
        <w:tab/>
      </w:r>
      <w:r>
        <w:rPr>
          <w:i/>
          <w:sz w:val="16"/>
        </w:rPr>
        <w:t xml:space="preserve">Cfr. </w:t>
      </w:r>
      <w:r>
        <w:rPr>
          <w:sz w:val="16"/>
        </w:rPr>
        <w:t xml:space="preserve">Comité de Derechos Económicos, Sociales y Culturales, </w:t>
      </w:r>
      <w:r>
        <w:rPr>
          <w:i/>
          <w:sz w:val="16"/>
        </w:rPr>
        <w:t xml:space="preserve">Observación General No. 23: El derecho a condiciones de trabajo equitativas y satisfactorias, </w:t>
      </w:r>
      <w:r>
        <w:rPr>
          <w:sz w:val="16"/>
        </w:rPr>
        <w:t>UN Doc. E/C.12/GC/23, 27 de abril de 2016, párr.</w:t>
      </w:r>
      <w:r>
        <w:rPr>
          <w:spacing w:val="-29"/>
          <w:sz w:val="16"/>
        </w:rPr>
        <w:t xml:space="preserve"> </w:t>
      </w:r>
      <w:r>
        <w:rPr>
          <w:sz w:val="16"/>
        </w:rPr>
        <w:t>59.</w:t>
      </w:r>
    </w:p>
    <w:p w14:paraId="71576AF4" w14:textId="77777777" w:rsidR="00467FCA" w:rsidRDefault="001B68EB">
      <w:pPr>
        <w:tabs>
          <w:tab w:val="left" w:pos="1166"/>
        </w:tabs>
        <w:ind w:left="458"/>
        <w:jc w:val="both"/>
        <w:rPr>
          <w:sz w:val="16"/>
        </w:rPr>
      </w:pPr>
      <w:bookmarkStart w:id="827" w:name="_bookmark746"/>
      <w:bookmarkEnd w:id="827"/>
      <w:r>
        <w:rPr>
          <w:position w:val="6"/>
          <w:sz w:val="10"/>
        </w:rPr>
        <w:t>64</w:t>
      </w:r>
      <w:r>
        <w:rPr>
          <w:position w:val="6"/>
          <w:sz w:val="10"/>
        </w:rPr>
        <w:tab/>
      </w:r>
      <w:r>
        <w:rPr>
          <w:sz w:val="16"/>
        </w:rPr>
        <w:t xml:space="preserve">Organización Internacional del Trabajo, </w:t>
      </w:r>
      <w:r>
        <w:rPr>
          <w:i/>
          <w:sz w:val="16"/>
        </w:rPr>
        <w:t>Convenio No.</w:t>
      </w:r>
      <w:r>
        <w:rPr>
          <w:i/>
          <w:sz w:val="16"/>
        </w:rPr>
        <w:t xml:space="preserve"> 81 sobre la Inspección del Trabajo, </w:t>
      </w:r>
      <w:r>
        <w:rPr>
          <w:sz w:val="16"/>
        </w:rPr>
        <w:t>1947, artículo</w:t>
      </w:r>
      <w:r>
        <w:rPr>
          <w:spacing w:val="-33"/>
          <w:sz w:val="16"/>
        </w:rPr>
        <w:t xml:space="preserve"> </w:t>
      </w:r>
      <w:r>
        <w:rPr>
          <w:sz w:val="16"/>
        </w:rPr>
        <w:t>1.</w:t>
      </w:r>
    </w:p>
    <w:p w14:paraId="41AF0DBF" w14:textId="77777777" w:rsidR="00467FCA" w:rsidRDefault="001B68EB">
      <w:pPr>
        <w:tabs>
          <w:tab w:val="left" w:pos="1166"/>
        </w:tabs>
        <w:ind w:left="458"/>
        <w:jc w:val="both"/>
        <w:rPr>
          <w:sz w:val="16"/>
        </w:rPr>
      </w:pPr>
      <w:bookmarkStart w:id="828" w:name="_bookmark747"/>
      <w:bookmarkEnd w:id="828"/>
      <w:r>
        <w:rPr>
          <w:position w:val="6"/>
          <w:sz w:val="10"/>
        </w:rPr>
        <w:t>65</w:t>
      </w:r>
      <w:r>
        <w:rPr>
          <w:position w:val="6"/>
          <w:sz w:val="10"/>
        </w:rPr>
        <w:tab/>
      </w:r>
      <w:r>
        <w:rPr>
          <w:sz w:val="16"/>
        </w:rPr>
        <w:t xml:space="preserve">Organización Internacional del Trabajo, </w:t>
      </w:r>
      <w:r>
        <w:rPr>
          <w:i/>
          <w:sz w:val="16"/>
        </w:rPr>
        <w:t xml:space="preserve">Convenio No. 81, supra, </w:t>
      </w:r>
      <w:r>
        <w:rPr>
          <w:sz w:val="16"/>
        </w:rPr>
        <w:t>artículo</w:t>
      </w:r>
      <w:r>
        <w:rPr>
          <w:spacing w:val="-14"/>
          <w:sz w:val="16"/>
        </w:rPr>
        <w:t xml:space="preserve"> </w:t>
      </w:r>
      <w:r>
        <w:rPr>
          <w:sz w:val="16"/>
        </w:rPr>
        <w:t>2.1.</w:t>
      </w:r>
    </w:p>
    <w:p w14:paraId="73AF4302" w14:textId="77777777" w:rsidR="00467FCA" w:rsidRDefault="001B68EB">
      <w:pPr>
        <w:tabs>
          <w:tab w:val="left" w:pos="1166"/>
        </w:tabs>
        <w:ind w:left="458"/>
        <w:jc w:val="both"/>
        <w:rPr>
          <w:sz w:val="16"/>
        </w:rPr>
      </w:pPr>
      <w:bookmarkStart w:id="829" w:name="_bookmark748"/>
      <w:bookmarkEnd w:id="829"/>
      <w:r>
        <w:rPr>
          <w:position w:val="6"/>
          <w:sz w:val="10"/>
        </w:rPr>
        <w:t>66</w:t>
      </w:r>
      <w:r>
        <w:rPr>
          <w:position w:val="6"/>
          <w:sz w:val="10"/>
        </w:rPr>
        <w:tab/>
      </w:r>
      <w:r>
        <w:rPr>
          <w:sz w:val="16"/>
        </w:rPr>
        <w:t xml:space="preserve">Organización Internacional del Trabajo, </w:t>
      </w:r>
      <w:r>
        <w:rPr>
          <w:i/>
          <w:sz w:val="16"/>
        </w:rPr>
        <w:t xml:space="preserve">Convenio No. 81, supra, </w:t>
      </w:r>
      <w:r>
        <w:rPr>
          <w:sz w:val="16"/>
        </w:rPr>
        <w:t>artículo</w:t>
      </w:r>
      <w:r>
        <w:rPr>
          <w:spacing w:val="-14"/>
          <w:sz w:val="16"/>
        </w:rPr>
        <w:t xml:space="preserve"> </w:t>
      </w:r>
      <w:r>
        <w:rPr>
          <w:sz w:val="16"/>
        </w:rPr>
        <w:t>3.1.a.</w:t>
      </w:r>
    </w:p>
    <w:p w14:paraId="25AA8FC6" w14:textId="77777777" w:rsidR="00467FCA" w:rsidRDefault="00467FCA">
      <w:pPr>
        <w:jc w:val="both"/>
        <w:rPr>
          <w:sz w:val="16"/>
        </w:rPr>
        <w:sectPr w:rsidR="00467FCA">
          <w:pgSz w:w="12240" w:h="15840"/>
          <w:pgMar w:top="1340" w:right="1140" w:bottom="920" w:left="960" w:header="0" w:footer="734" w:gutter="0"/>
          <w:cols w:space="720"/>
        </w:sectPr>
      </w:pPr>
    </w:p>
    <w:p w14:paraId="1B5A7613" w14:textId="77777777" w:rsidR="00467FCA" w:rsidRDefault="001B68EB">
      <w:pPr>
        <w:pStyle w:val="Textoindependiente"/>
        <w:spacing w:before="79"/>
        <w:ind w:left="458" w:right="409"/>
      </w:pPr>
      <w:r>
        <w:t>daños para la salud que</w:t>
      </w:r>
      <w:r>
        <w:t xml:space="preserve"> sean consecuencia del trabajo, guarden relación con la actividad laboral o sobrevengan durante el trabajo”</w:t>
      </w:r>
      <w:hyperlink w:anchor="_bookmark749" w:history="1">
        <w:r>
          <w:rPr>
            <w:position w:val="7"/>
            <w:sz w:val="13"/>
          </w:rPr>
          <w:t>67</w:t>
        </w:r>
      </w:hyperlink>
      <w:r>
        <w:t>.</w:t>
      </w:r>
    </w:p>
    <w:p w14:paraId="787073E4" w14:textId="77777777" w:rsidR="00467FCA" w:rsidRDefault="00467FCA">
      <w:pPr>
        <w:pStyle w:val="Textoindependiente"/>
      </w:pPr>
    </w:p>
    <w:p w14:paraId="0D1AEC7D" w14:textId="77777777" w:rsidR="00467FCA" w:rsidRDefault="001B68EB">
      <w:pPr>
        <w:pStyle w:val="Prrafodelista"/>
        <w:numPr>
          <w:ilvl w:val="0"/>
          <w:numId w:val="7"/>
        </w:numPr>
        <w:tabs>
          <w:tab w:val="left" w:pos="1167"/>
        </w:tabs>
        <w:ind w:right="276" w:firstLine="0"/>
        <w:jc w:val="both"/>
        <w:rPr>
          <w:sz w:val="20"/>
        </w:rPr>
      </w:pPr>
      <w:r>
        <w:rPr>
          <w:sz w:val="20"/>
        </w:rPr>
        <w:t>Particularmente, las fiscalizaciones e inspecciones en los lugares de trabajo en donde se encuentran materiales peligrosos constituyen una forma por la cual los Estados pueden cumplir con el artículo 19 de la Convención Americana, sobre “las medidas de pro</w:t>
      </w:r>
      <w:r>
        <w:rPr>
          <w:sz w:val="20"/>
        </w:rPr>
        <w:t>tección” a favor</w:t>
      </w:r>
      <w:r>
        <w:rPr>
          <w:spacing w:val="-16"/>
          <w:sz w:val="20"/>
        </w:rPr>
        <w:t xml:space="preserve"> </w:t>
      </w:r>
      <w:r>
        <w:rPr>
          <w:sz w:val="20"/>
        </w:rPr>
        <w:t>de</w:t>
      </w:r>
      <w:r>
        <w:rPr>
          <w:spacing w:val="-15"/>
          <w:sz w:val="20"/>
        </w:rPr>
        <w:t xml:space="preserve"> </w:t>
      </w:r>
      <w:r>
        <w:rPr>
          <w:sz w:val="20"/>
        </w:rPr>
        <w:t>las</w:t>
      </w:r>
      <w:r>
        <w:rPr>
          <w:spacing w:val="-15"/>
          <w:sz w:val="20"/>
        </w:rPr>
        <w:t xml:space="preserve"> </w:t>
      </w:r>
      <w:r>
        <w:rPr>
          <w:sz w:val="20"/>
        </w:rPr>
        <w:t>niñas</w:t>
      </w:r>
      <w:r>
        <w:rPr>
          <w:spacing w:val="-16"/>
          <w:sz w:val="20"/>
        </w:rPr>
        <w:t xml:space="preserve"> </w:t>
      </w:r>
      <w:r>
        <w:rPr>
          <w:sz w:val="20"/>
        </w:rPr>
        <w:t>y</w:t>
      </w:r>
      <w:r>
        <w:rPr>
          <w:spacing w:val="-14"/>
          <w:sz w:val="20"/>
        </w:rPr>
        <w:t xml:space="preserve"> </w:t>
      </w:r>
      <w:r>
        <w:rPr>
          <w:sz w:val="20"/>
        </w:rPr>
        <w:t>los</w:t>
      </w:r>
      <w:r>
        <w:rPr>
          <w:spacing w:val="-15"/>
          <w:sz w:val="20"/>
        </w:rPr>
        <w:t xml:space="preserve"> </w:t>
      </w:r>
      <w:r>
        <w:rPr>
          <w:sz w:val="20"/>
        </w:rPr>
        <w:t>niños.</w:t>
      </w:r>
      <w:r>
        <w:rPr>
          <w:spacing w:val="-16"/>
          <w:sz w:val="20"/>
        </w:rPr>
        <w:t xml:space="preserve"> </w:t>
      </w:r>
      <w:r>
        <w:rPr>
          <w:sz w:val="20"/>
        </w:rPr>
        <w:t>Lo</w:t>
      </w:r>
      <w:r>
        <w:rPr>
          <w:spacing w:val="-15"/>
          <w:sz w:val="20"/>
        </w:rPr>
        <w:t xml:space="preserve"> </w:t>
      </w:r>
      <w:r>
        <w:rPr>
          <w:sz w:val="20"/>
        </w:rPr>
        <w:t>anterior</w:t>
      </w:r>
      <w:r>
        <w:rPr>
          <w:spacing w:val="-15"/>
          <w:sz w:val="20"/>
        </w:rPr>
        <w:t xml:space="preserve"> </w:t>
      </w:r>
      <w:r>
        <w:rPr>
          <w:sz w:val="20"/>
        </w:rPr>
        <w:t>debido</w:t>
      </w:r>
      <w:r>
        <w:rPr>
          <w:spacing w:val="-14"/>
          <w:sz w:val="20"/>
        </w:rPr>
        <w:t xml:space="preserve"> </w:t>
      </w:r>
      <w:r>
        <w:rPr>
          <w:sz w:val="20"/>
        </w:rPr>
        <w:t>a</w:t>
      </w:r>
      <w:r>
        <w:rPr>
          <w:spacing w:val="-14"/>
          <w:sz w:val="20"/>
        </w:rPr>
        <w:t xml:space="preserve"> </w:t>
      </w:r>
      <w:r>
        <w:rPr>
          <w:sz w:val="20"/>
        </w:rPr>
        <w:t>que</w:t>
      </w:r>
      <w:r>
        <w:rPr>
          <w:spacing w:val="-15"/>
          <w:sz w:val="20"/>
        </w:rPr>
        <w:t xml:space="preserve"> </w:t>
      </w:r>
      <w:r>
        <w:rPr>
          <w:sz w:val="20"/>
        </w:rPr>
        <w:t>identificarían</w:t>
      </w:r>
      <w:r>
        <w:rPr>
          <w:spacing w:val="-14"/>
          <w:sz w:val="20"/>
        </w:rPr>
        <w:t xml:space="preserve"> </w:t>
      </w:r>
      <w:r>
        <w:rPr>
          <w:sz w:val="20"/>
        </w:rPr>
        <w:t>aquellos</w:t>
      </w:r>
      <w:r>
        <w:rPr>
          <w:spacing w:val="-15"/>
          <w:sz w:val="20"/>
        </w:rPr>
        <w:t xml:space="preserve"> </w:t>
      </w:r>
      <w:r>
        <w:rPr>
          <w:sz w:val="20"/>
        </w:rPr>
        <w:t>lugares</w:t>
      </w:r>
      <w:r>
        <w:rPr>
          <w:spacing w:val="-12"/>
          <w:sz w:val="20"/>
        </w:rPr>
        <w:t xml:space="preserve"> </w:t>
      </w:r>
      <w:r>
        <w:rPr>
          <w:sz w:val="20"/>
        </w:rPr>
        <w:t>en</w:t>
      </w:r>
      <w:r>
        <w:rPr>
          <w:spacing w:val="-14"/>
          <w:sz w:val="20"/>
        </w:rPr>
        <w:t xml:space="preserve"> </w:t>
      </w:r>
      <w:r>
        <w:rPr>
          <w:sz w:val="20"/>
        </w:rPr>
        <w:t>donde no se esté cumpliendo lo indicado por la legislación nacional e internacional respecto de la prohibición</w:t>
      </w:r>
      <w:r>
        <w:rPr>
          <w:spacing w:val="-8"/>
          <w:sz w:val="20"/>
        </w:rPr>
        <w:t xml:space="preserve"> </w:t>
      </w:r>
      <w:r>
        <w:rPr>
          <w:sz w:val="20"/>
        </w:rPr>
        <w:t>de</w:t>
      </w:r>
      <w:r>
        <w:rPr>
          <w:spacing w:val="-10"/>
          <w:sz w:val="20"/>
        </w:rPr>
        <w:t xml:space="preserve"> </w:t>
      </w:r>
      <w:r>
        <w:rPr>
          <w:sz w:val="20"/>
        </w:rPr>
        <w:t>trabajo</w:t>
      </w:r>
      <w:r>
        <w:rPr>
          <w:spacing w:val="-9"/>
          <w:sz w:val="20"/>
        </w:rPr>
        <w:t xml:space="preserve"> </w:t>
      </w:r>
      <w:r>
        <w:rPr>
          <w:sz w:val="20"/>
        </w:rPr>
        <w:t>infantil</w:t>
      </w:r>
      <w:hyperlink w:anchor="_bookmark750" w:history="1">
        <w:r>
          <w:rPr>
            <w:position w:val="7"/>
            <w:sz w:val="13"/>
          </w:rPr>
          <w:t>68</w:t>
        </w:r>
      </w:hyperlink>
      <w:r>
        <w:rPr>
          <w:sz w:val="20"/>
        </w:rPr>
        <w:t>,</w:t>
      </w:r>
      <w:r>
        <w:rPr>
          <w:spacing w:val="-12"/>
          <w:sz w:val="20"/>
        </w:rPr>
        <w:t xml:space="preserve"> </w:t>
      </w:r>
      <w:r>
        <w:rPr>
          <w:sz w:val="20"/>
        </w:rPr>
        <w:t>en</w:t>
      </w:r>
      <w:r>
        <w:rPr>
          <w:spacing w:val="-7"/>
          <w:sz w:val="20"/>
        </w:rPr>
        <w:t xml:space="preserve"> </w:t>
      </w:r>
      <w:r>
        <w:rPr>
          <w:sz w:val="20"/>
        </w:rPr>
        <w:t>donde,</w:t>
      </w:r>
      <w:r>
        <w:rPr>
          <w:spacing w:val="-10"/>
          <w:sz w:val="20"/>
        </w:rPr>
        <w:t xml:space="preserve"> </w:t>
      </w:r>
      <w:r>
        <w:rPr>
          <w:sz w:val="20"/>
        </w:rPr>
        <w:t>entre</w:t>
      </w:r>
      <w:r>
        <w:rPr>
          <w:spacing w:val="-9"/>
          <w:sz w:val="20"/>
        </w:rPr>
        <w:t xml:space="preserve"> </w:t>
      </w:r>
      <w:r>
        <w:rPr>
          <w:sz w:val="20"/>
        </w:rPr>
        <w:t>otros,</w:t>
      </w:r>
      <w:r>
        <w:rPr>
          <w:spacing w:val="-9"/>
          <w:sz w:val="20"/>
        </w:rPr>
        <w:t xml:space="preserve"> </w:t>
      </w:r>
      <w:r>
        <w:rPr>
          <w:sz w:val="20"/>
        </w:rPr>
        <w:t>se</w:t>
      </w:r>
      <w:r>
        <w:rPr>
          <w:spacing w:val="-10"/>
          <w:sz w:val="20"/>
        </w:rPr>
        <w:t xml:space="preserve"> </w:t>
      </w:r>
      <w:r>
        <w:rPr>
          <w:sz w:val="20"/>
        </w:rPr>
        <w:t>ponga</w:t>
      </w:r>
      <w:r>
        <w:rPr>
          <w:spacing w:val="-8"/>
          <w:sz w:val="20"/>
        </w:rPr>
        <w:t xml:space="preserve"> </w:t>
      </w:r>
      <w:r>
        <w:rPr>
          <w:sz w:val="20"/>
        </w:rPr>
        <w:t>en</w:t>
      </w:r>
      <w:r>
        <w:rPr>
          <w:spacing w:val="-10"/>
          <w:sz w:val="20"/>
        </w:rPr>
        <w:t xml:space="preserve"> </w:t>
      </w:r>
      <w:r>
        <w:rPr>
          <w:sz w:val="20"/>
        </w:rPr>
        <w:t>peligro</w:t>
      </w:r>
      <w:r>
        <w:rPr>
          <w:spacing w:val="-11"/>
          <w:sz w:val="20"/>
        </w:rPr>
        <w:t xml:space="preserve"> </w:t>
      </w:r>
      <w:r>
        <w:rPr>
          <w:sz w:val="20"/>
        </w:rPr>
        <w:t>la</w:t>
      </w:r>
      <w:r>
        <w:rPr>
          <w:spacing w:val="-9"/>
          <w:sz w:val="20"/>
        </w:rPr>
        <w:t xml:space="preserve"> </w:t>
      </w:r>
      <w:r>
        <w:rPr>
          <w:sz w:val="20"/>
        </w:rPr>
        <w:t>integridad</w:t>
      </w:r>
      <w:r>
        <w:rPr>
          <w:spacing w:val="-7"/>
          <w:sz w:val="20"/>
        </w:rPr>
        <w:t xml:space="preserve"> </w:t>
      </w:r>
      <w:r>
        <w:rPr>
          <w:sz w:val="20"/>
        </w:rPr>
        <w:t>física o la salud de los niños y niñas. Dicha prohibición ha sido establecida, principalmente, en la Convención de Naciones Unidas sobre los Derechos del Niño</w:t>
      </w:r>
      <w:hyperlink w:anchor="_bookmark751" w:history="1">
        <w:r>
          <w:rPr>
            <w:position w:val="7"/>
            <w:sz w:val="13"/>
          </w:rPr>
          <w:t>69</w:t>
        </w:r>
      </w:hyperlink>
      <w:r>
        <w:rPr>
          <w:sz w:val="20"/>
        </w:rPr>
        <w:t>, el Convenio No. 138 de la OIT</w:t>
      </w:r>
      <w:hyperlink w:anchor="_bookmark752" w:history="1">
        <w:r>
          <w:rPr>
            <w:position w:val="7"/>
            <w:sz w:val="13"/>
          </w:rPr>
          <w:t>70</w:t>
        </w:r>
      </w:hyperlink>
      <w:r>
        <w:rPr>
          <w:sz w:val="20"/>
        </w:rPr>
        <w:t>,</w:t>
      </w:r>
      <w:r>
        <w:rPr>
          <w:spacing w:val="-7"/>
          <w:sz w:val="20"/>
        </w:rPr>
        <w:t xml:space="preserve"> </w:t>
      </w:r>
      <w:r>
        <w:rPr>
          <w:sz w:val="20"/>
        </w:rPr>
        <w:t>el</w:t>
      </w:r>
      <w:r>
        <w:rPr>
          <w:spacing w:val="-6"/>
          <w:sz w:val="20"/>
        </w:rPr>
        <w:t xml:space="preserve"> </w:t>
      </w:r>
      <w:r>
        <w:rPr>
          <w:sz w:val="20"/>
        </w:rPr>
        <w:t>Convenio</w:t>
      </w:r>
      <w:r>
        <w:rPr>
          <w:spacing w:val="-8"/>
          <w:sz w:val="20"/>
        </w:rPr>
        <w:t xml:space="preserve"> </w:t>
      </w:r>
      <w:r>
        <w:rPr>
          <w:sz w:val="20"/>
        </w:rPr>
        <w:t>No.</w:t>
      </w:r>
      <w:r>
        <w:rPr>
          <w:spacing w:val="-6"/>
          <w:sz w:val="20"/>
        </w:rPr>
        <w:t xml:space="preserve"> </w:t>
      </w:r>
      <w:r>
        <w:rPr>
          <w:sz w:val="20"/>
        </w:rPr>
        <w:t>182</w:t>
      </w:r>
      <w:r>
        <w:rPr>
          <w:spacing w:val="-5"/>
          <w:sz w:val="20"/>
        </w:rPr>
        <w:t xml:space="preserve"> </w:t>
      </w:r>
      <w:r>
        <w:rPr>
          <w:sz w:val="20"/>
        </w:rPr>
        <w:t>de</w:t>
      </w:r>
      <w:r>
        <w:rPr>
          <w:spacing w:val="-8"/>
          <w:sz w:val="20"/>
        </w:rPr>
        <w:t xml:space="preserve"> </w:t>
      </w:r>
      <w:r>
        <w:rPr>
          <w:sz w:val="20"/>
        </w:rPr>
        <w:t>la</w:t>
      </w:r>
      <w:r>
        <w:rPr>
          <w:spacing w:val="-6"/>
          <w:sz w:val="20"/>
        </w:rPr>
        <w:t xml:space="preserve"> </w:t>
      </w:r>
      <w:r>
        <w:rPr>
          <w:sz w:val="20"/>
        </w:rPr>
        <w:t>OIT</w:t>
      </w:r>
      <w:hyperlink w:anchor="_bookmark753" w:history="1">
        <w:r>
          <w:rPr>
            <w:position w:val="7"/>
            <w:sz w:val="13"/>
          </w:rPr>
          <w:t>71</w:t>
        </w:r>
      </w:hyperlink>
      <w:r>
        <w:rPr>
          <w:sz w:val="20"/>
        </w:rPr>
        <w:t>,</w:t>
      </w:r>
      <w:r>
        <w:rPr>
          <w:spacing w:val="-8"/>
          <w:sz w:val="20"/>
        </w:rPr>
        <w:t xml:space="preserve"> </w:t>
      </w:r>
      <w:r>
        <w:rPr>
          <w:sz w:val="20"/>
        </w:rPr>
        <w:t>la</w:t>
      </w:r>
      <w:r>
        <w:rPr>
          <w:spacing w:val="-6"/>
          <w:sz w:val="20"/>
        </w:rPr>
        <w:t xml:space="preserve"> </w:t>
      </w:r>
      <w:r>
        <w:rPr>
          <w:sz w:val="20"/>
        </w:rPr>
        <w:t>Carta</w:t>
      </w:r>
      <w:r>
        <w:rPr>
          <w:spacing w:val="-6"/>
          <w:sz w:val="20"/>
        </w:rPr>
        <w:t xml:space="preserve"> </w:t>
      </w:r>
      <w:r>
        <w:rPr>
          <w:sz w:val="20"/>
        </w:rPr>
        <w:t>Africana</w:t>
      </w:r>
      <w:r>
        <w:rPr>
          <w:spacing w:val="-7"/>
          <w:sz w:val="20"/>
        </w:rPr>
        <w:t xml:space="preserve"> </w:t>
      </w:r>
      <w:r>
        <w:rPr>
          <w:sz w:val="20"/>
        </w:rPr>
        <w:t>sobre</w:t>
      </w:r>
      <w:r>
        <w:rPr>
          <w:spacing w:val="-7"/>
          <w:sz w:val="20"/>
        </w:rPr>
        <w:t xml:space="preserve"> </w:t>
      </w:r>
      <w:r>
        <w:rPr>
          <w:sz w:val="20"/>
        </w:rPr>
        <w:t>los</w:t>
      </w:r>
      <w:r>
        <w:rPr>
          <w:spacing w:val="-8"/>
          <w:sz w:val="20"/>
        </w:rPr>
        <w:t xml:space="preserve"> </w:t>
      </w:r>
      <w:r>
        <w:rPr>
          <w:sz w:val="20"/>
        </w:rPr>
        <w:t>Derechos</w:t>
      </w:r>
      <w:r>
        <w:rPr>
          <w:spacing w:val="-4"/>
          <w:sz w:val="20"/>
        </w:rPr>
        <w:t xml:space="preserve"> </w:t>
      </w:r>
      <w:r>
        <w:rPr>
          <w:sz w:val="20"/>
        </w:rPr>
        <w:t>y</w:t>
      </w:r>
      <w:r>
        <w:rPr>
          <w:spacing w:val="-6"/>
          <w:sz w:val="20"/>
        </w:rPr>
        <w:t xml:space="preserve"> </w:t>
      </w:r>
      <w:r>
        <w:rPr>
          <w:sz w:val="20"/>
        </w:rPr>
        <w:t>el</w:t>
      </w:r>
      <w:r>
        <w:rPr>
          <w:spacing w:val="-6"/>
          <w:sz w:val="20"/>
        </w:rPr>
        <w:t xml:space="preserve"> </w:t>
      </w:r>
      <w:r>
        <w:rPr>
          <w:sz w:val="20"/>
        </w:rPr>
        <w:t>bienestar</w:t>
      </w:r>
      <w:r>
        <w:rPr>
          <w:spacing w:val="-7"/>
          <w:sz w:val="20"/>
        </w:rPr>
        <w:t xml:space="preserve"> </w:t>
      </w:r>
      <w:r>
        <w:rPr>
          <w:sz w:val="20"/>
        </w:rPr>
        <w:t>del Niño</w:t>
      </w:r>
      <w:hyperlink w:anchor="_bookmark754" w:history="1">
        <w:r>
          <w:rPr>
            <w:position w:val="7"/>
            <w:sz w:val="13"/>
          </w:rPr>
          <w:t>72</w:t>
        </w:r>
      </w:hyperlink>
      <w:r>
        <w:rPr>
          <w:position w:val="7"/>
          <w:sz w:val="13"/>
        </w:rPr>
        <w:t xml:space="preserve"> </w:t>
      </w:r>
      <w:r>
        <w:rPr>
          <w:sz w:val="20"/>
        </w:rPr>
        <w:t>y los Principios de Nairobi de la Comisión Africana de Derechos</w:t>
      </w:r>
      <w:r>
        <w:rPr>
          <w:spacing w:val="-26"/>
          <w:sz w:val="20"/>
        </w:rPr>
        <w:t xml:space="preserve"> </w:t>
      </w:r>
      <w:r>
        <w:rPr>
          <w:sz w:val="20"/>
        </w:rPr>
        <w:t>Humanos</w:t>
      </w:r>
      <w:hyperlink w:anchor="_bookmark755" w:history="1">
        <w:r>
          <w:rPr>
            <w:position w:val="7"/>
            <w:sz w:val="13"/>
          </w:rPr>
          <w:t>73</w:t>
        </w:r>
      </w:hyperlink>
      <w:r>
        <w:rPr>
          <w:sz w:val="20"/>
        </w:rPr>
        <w:t>.</w:t>
      </w:r>
    </w:p>
    <w:p w14:paraId="5CEF3839" w14:textId="77777777" w:rsidR="00467FCA" w:rsidRDefault="00467FCA">
      <w:pPr>
        <w:pStyle w:val="Textoindependiente"/>
      </w:pPr>
    </w:p>
    <w:p w14:paraId="604CC11D" w14:textId="77777777" w:rsidR="00467FCA" w:rsidRDefault="001B68EB">
      <w:pPr>
        <w:pStyle w:val="Prrafodelista"/>
        <w:numPr>
          <w:ilvl w:val="0"/>
          <w:numId w:val="7"/>
        </w:numPr>
        <w:tabs>
          <w:tab w:val="left" w:pos="1167"/>
        </w:tabs>
        <w:ind w:right="275" w:firstLine="0"/>
        <w:jc w:val="both"/>
        <w:rPr>
          <w:sz w:val="20"/>
        </w:rPr>
      </w:pPr>
      <w:r>
        <w:rPr>
          <w:sz w:val="20"/>
        </w:rPr>
        <w:t>Como</w:t>
      </w:r>
      <w:r>
        <w:rPr>
          <w:spacing w:val="-8"/>
          <w:sz w:val="20"/>
        </w:rPr>
        <w:t xml:space="preserve"> </w:t>
      </w:r>
      <w:r>
        <w:rPr>
          <w:sz w:val="20"/>
        </w:rPr>
        <w:t>consecuencia</w:t>
      </w:r>
      <w:r>
        <w:rPr>
          <w:spacing w:val="-9"/>
          <w:sz w:val="20"/>
        </w:rPr>
        <w:t xml:space="preserve"> </w:t>
      </w:r>
      <w:r>
        <w:rPr>
          <w:sz w:val="20"/>
        </w:rPr>
        <w:t>de</w:t>
      </w:r>
      <w:r>
        <w:rPr>
          <w:spacing w:val="-8"/>
          <w:sz w:val="20"/>
        </w:rPr>
        <w:t xml:space="preserve"> </w:t>
      </w:r>
      <w:r>
        <w:rPr>
          <w:sz w:val="20"/>
        </w:rPr>
        <w:t>ese</w:t>
      </w:r>
      <w:r>
        <w:rPr>
          <w:spacing w:val="-10"/>
          <w:sz w:val="20"/>
        </w:rPr>
        <w:t xml:space="preserve"> </w:t>
      </w:r>
      <w:r>
        <w:rPr>
          <w:sz w:val="20"/>
        </w:rPr>
        <w:t>mecanismo</w:t>
      </w:r>
      <w:r>
        <w:rPr>
          <w:spacing w:val="-10"/>
          <w:sz w:val="20"/>
        </w:rPr>
        <w:t xml:space="preserve"> </w:t>
      </w:r>
      <w:r>
        <w:rPr>
          <w:sz w:val="20"/>
        </w:rPr>
        <w:t>de</w:t>
      </w:r>
      <w:r>
        <w:rPr>
          <w:spacing w:val="-10"/>
          <w:sz w:val="20"/>
        </w:rPr>
        <w:t xml:space="preserve"> </w:t>
      </w:r>
      <w:r>
        <w:rPr>
          <w:sz w:val="20"/>
        </w:rPr>
        <w:t>protección</w:t>
      </w:r>
      <w:r>
        <w:rPr>
          <w:spacing w:val="-5"/>
          <w:sz w:val="20"/>
        </w:rPr>
        <w:t xml:space="preserve"> </w:t>
      </w:r>
      <w:r>
        <w:rPr>
          <w:sz w:val="20"/>
        </w:rPr>
        <w:t>estatal,</w:t>
      </w:r>
      <w:r>
        <w:rPr>
          <w:spacing w:val="-9"/>
          <w:sz w:val="20"/>
        </w:rPr>
        <w:t xml:space="preserve"> </w:t>
      </w:r>
      <w:r>
        <w:rPr>
          <w:sz w:val="20"/>
        </w:rPr>
        <w:t>podría</w:t>
      </w:r>
      <w:r>
        <w:rPr>
          <w:spacing w:val="-9"/>
          <w:sz w:val="20"/>
        </w:rPr>
        <w:t xml:space="preserve"> </w:t>
      </w:r>
      <w:r>
        <w:rPr>
          <w:sz w:val="20"/>
        </w:rPr>
        <w:t>tener</w:t>
      </w:r>
      <w:r>
        <w:rPr>
          <w:spacing w:val="-7"/>
          <w:sz w:val="20"/>
        </w:rPr>
        <w:t xml:space="preserve"> </w:t>
      </w:r>
      <w:r>
        <w:rPr>
          <w:sz w:val="20"/>
        </w:rPr>
        <w:t>como</w:t>
      </w:r>
      <w:r>
        <w:rPr>
          <w:spacing w:val="-8"/>
          <w:sz w:val="20"/>
        </w:rPr>
        <w:t xml:space="preserve"> </w:t>
      </w:r>
      <w:r>
        <w:rPr>
          <w:sz w:val="20"/>
        </w:rPr>
        <w:t>efecto generar una adecuada vigilancia de lo normado a nivel interno y así establecer posibles respuestas integrales para contrarrestar la situación que atraviesan las niñas, niños</w:t>
      </w:r>
      <w:r>
        <w:rPr>
          <w:spacing w:val="35"/>
          <w:sz w:val="20"/>
        </w:rPr>
        <w:t xml:space="preserve"> </w:t>
      </w:r>
      <w:r>
        <w:rPr>
          <w:sz w:val="20"/>
        </w:rPr>
        <w:t>y</w:t>
      </w:r>
    </w:p>
    <w:p w14:paraId="7B9970A4" w14:textId="77777777" w:rsidR="00467FCA" w:rsidRDefault="001B68EB">
      <w:pPr>
        <w:pStyle w:val="Textoindependiente"/>
        <w:spacing w:before="9"/>
        <w:rPr>
          <w:sz w:val="28"/>
        </w:rPr>
      </w:pPr>
      <w:r>
        <w:pict w14:anchorId="5361EBD9">
          <v:shape id="_x0000_s1058" style="position:absolute;margin-left:70.9pt;margin-top:19.75pt;width:2in;height:.1pt;z-index:-251516928;mso-wrap-distance-left:0;mso-wrap-distance-right:0;mso-position-horizontal-relative:page" coordorigin="1418,395" coordsize="2880,0" path="m1418,395r2880,e" filled="f" strokeweight=".6pt">
            <v:path arrowok="t"/>
            <w10:wrap type="topAndBottom" anchorx="page"/>
          </v:shape>
        </w:pict>
      </w:r>
    </w:p>
    <w:p w14:paraId="48832E20" w14:textId="77777777" w:rsidR="00467FCA" w:rsidRDefault="001B68EB">
      <w:pPr>
        <w:tabs>
          <w:tab w:val="left" w:pos="1166"/>
        </w:tabs>
        <w:spacing w:before="74"/>
        <w:ind w:left="458" w:right="272" w:hanging="1"/>
        <w:jc w:val="both"/>
        <w:rPr>
          <w:sz w:val="16"/>
        </w:rPr>
      </w:pPr>
      <w:bookmarkStart w:id="830" w:name="_bookmark749"/>
      <w:bookmarkEnd w:id="830"/>
      <w:r>
        <w:rPr>
          <w:position w:val="6"/>
          <w:sz w:val="10"/>
        </w:rPr>
        <w:t>67</w:t>
      </w:r>
      <w:r>
        <w:rPr>
          <w:position w:val="6"/>
          <w:sz w:val="10"/>
        </w:rPr>
        <w:tab/>
      </w:r>
      <w:r>
        <w:rPr>
          <w:sz w:val="16"/>
        </w:rPr>
        <w:t>Organización</w:t>
      </w:r>
      <w:r>
        <w:rPr>
          <w:spacing w:val="-12"/>
          <w:sz w:val="16"/>
        </w:rPr>
        <w:t xml:space="preserve"> </w:t>
      </w:r>
      <w:r>
        <w:rPr>
          <w:sz w:val="16"/>
        </w:rPr>
        <w:t>Internacional</w:t>
      </w:r>
      <w:r>
        <w:rPr>
          <w:spacing w:val="-14"/>
          <w:sz w:val="16"/>
        </w:rPr>
        <w:t xml:space="preserve"> </w:t>
      </w:r>
      <w:r>
        <w:rPr>
          <w:sz w:val="16"/>
        </w:rPr>
        <w:t>del</w:t>
      </w:r>
      <w:r>
        <w:rPr>
          <w:spacing w:val="-13"/>
          <w:sz w:val="16"/>
        </w:rPr>
        <w:t xml:space="preserve"> </w:t>
      </w:r>
      <w:r>
        <w:rPr>
          <w:sz w:val="16"/>
        </w:rPr>
        <w:t>Trabajo,</w:t>
      </w:r>
      <w:r>
        <w:rPr>
          <w:spacing w:val="-13"/>
          <w:sz w:val="16"/>
        </w:rPr>
        <w:t xml:space="preserve"> </w:t>
      </w:r>
      <w:r>
        <w:rPr>
          <w:i/>
          <w:sz w:val="16"/>
        </w:rPr>
        <w:t>Convenio</w:t>
      </w:r>
      <w:r>
        <w:rPr>
          <w:i/>
          <w:spacing w:val="-12"/>
          <w:sz w:val="16"/>
        </w:rPr>
        <w:t xml:space="preserve"> </w:t>
      </w:r>
      <w:r>
        <w:rPr>
          <w:i/>
          <w:sz w:val="16"/>
        </w:rPr>
        <w:t>No.</w:t>
      </w:r>
      <w:r>
        <w:rPr>
          <w:i/>
          <w:spacing w:val="-13"/>
          <w:sz w:val="16"/>
        </w:rPr>
        <w:t xml:space="preserve"> </w:t>
      </w:r>
      <w:r>
        <w:rPr>
          <w:i/>
          <w:sz w:val="16"/>
        </w:rPr>
        <w:t>155</w:t>
      </w:r>
      <w:r>
        <w:rPr>
          <w:i/>
          <w:spacing w:val="-12"/>
          <w:sz w:val="16"/>
        </w:rPr>
        <w:t xml:space="preserve"> </w:t>
      </w:r>
      <w:r>
        <w:rPr>
          <w:i/>
          <w:sz w:val="16"/>
        </w:rPr>
        <w:t>sobre</w:t>
      </w:r>
      <w:r>
        <w:rPr>
          <w:i/>
          <w:spacing w:val="-13"/>
          <w:sz w:val="16"/>
        </w:rPr>
        <w:t xml:space="preserve"> </w:t>
      </w:r>
      <w:r>
        <w:rPr>
          <w:i/>
          <w:sz w:val="16"/>
        </w:rPr>
        <w:t>segur</w:t>
      </w:r>
      <w:r>
        <w:rPr>
          <w:i/>
          <w:sz w:val="16"/>
        </w:rPr>
        <w:t>idad</w:t>
      </w:r>
      <w:r>
        <w:rPr>
          <w:i/>
          <w:spacing w:val="-12"/>
          <w:sz w:val="16"/>
        </w:rPr>
        <w:t xml:space="preserve"> </w:t>
      </w:r>
      <w:r>
        <w:rPr>
          <w:i/>
          <w:sz w:val="16"/>
        </w:rPr>
        <w:t>y</w:t>
      </w:r>
      <w:r>
        <w:rPr>
          <w:i/>
          <w:spacing w:val="-12"/>
          <w:sz w:val="16"/>
        </w:rPr>
        <w:t xml:space="preserve"> </w:t>
      </w:r>
      <w:r>
        <w:rPr>
          <w:i/>
          <w:sz w:val="16"/>
        </w:rPr>
        <w:t>salud</w:t>
      </w:r>
      <w:r>
        <w:rPr>
          <w:i/>
          <w:spacing w:val="-11"/>
          <w:sz w:val="16"/>
        </w:rPr>
        <w:t xml:space="preserve"> </w:t>
      </w:r>
      <w:r>
        <w:rPr>
          <w:i/>
          <w:sz w:val="16"/>
        </w:rPr>
        <w:t>de</w:t>
      </w:r>
      <w:r>
        <w:rPr>
          <w:i/>
          <w:spacing w:val="-10"/>
          <w:sz w:val="16"/>
        </w:rPr>
        <w:t xml:space="preserve"> </w:t>
      </w:r>
      <w:r>
        <w:rPr>
          <w:i/>
          <w:sz w:val="16"/>
        </w:rPr>
        <w:t>los</w:t>
      </w:r>
      <w:r>
        <w:rPr>
          <w:i/>
          <w:spacing w:val="-10"/>
          <w:sz w:val="16"/>
        </w:rPr>
        <w:t xml:space="preserve"> </w:t>
      </w:r>
      <w:r>
        <w:rPr>
          <w:i/>
          <w:sz w:val="16"/>
        </w:rPr>
        <w:t>trabajadores,</w:t>
      </w:r>
      <w:r>
        <w:rPr>
          <w:i/>
          <w:spacing w:val="-14"/>
          <w:sz w:val="16"/>
        </w:rPr>
        <w:t xml:space="preserve"> </w:t>
      </w:r>
      <w:r>
        <w:rPr>
          <w:sz w:val="16"/>
        </w:rPr>
        <w:t>1981, art. 4.</w:t>
      </w:r>
    </w:p>
    <w:p w14:paraId="6B8D66DA" w14:textId="77777777" w:rsidR="00467FCA" w:rsidRDefault="001B68EB">
      <w:pPr>
        <w:tabs>
          <w:tab w:val="left" w:pos="1166"/>
        </w:tabs>
        <w:ind w:left="458" w:right="270"/>
        <w:jc w:val="both"/>
        <w:rPr>
          <w:sz w:val="16"/>
        </w:rPr>
      </w:pPr>
      <w:bookmarkStart w:id="831" w:name="_bookmark750"/>
      <w:bookmarkEnd w:id="831"/>
      <w:r>
        <w:rPr>
          <w:position w:val="6"/>
          <w:sz w:val="10"/>
        </w:rPr>
        <w:t>68</w:t>
      </w:r>
      <w:r>
        <w:rPr>
          <w:position w:val="6"/>
          <w:sz w:val="10"/>
        </w:rPr>
        <w:tab/>
      </w:r>
      <w:r>
        <w:rPr>
          <w:i/>
          <w:sz w:val="16"/>
        </w:rPr>
        <w:t>Mutatis mutandi</w:t>
      </w:r>
      <w:r>
        <w:rPr>
          <w:sz w:val="16"/>
        </w:rPr>
        <w:t>, “En ese sentido, la Corte destaca que las obligaciones que el Estado debe adoptar para eliminar las peores formas de trabajo infantil tienen carácter prioritario e incluyen, entre otras, e</w:t>
      </w:r>
      <w:r>
        <w:rPr>
          <w:sz w:val="16"/>
        </w:rPr>
        <w:t xml:space="preserve">laborar y poner en práctica programas de acción para asegurar el ejercicio y disfrute pleno de sus derechos. </w:t>
      </w:r>
      <w:r>
        <w:rPr>
          <w:i/>
          <w:sz w:val="16"/>
        </w:rPr>
        <w:t xml:space="preserve">Caso Trabajadores de la Hacienda Brasil Verde Vs. Brasil, supra, </w:t>
      </w:r>
      <w:r>
        <w:rPr>
          <w:sz w:val="16"/>
        </w:rPr>
        <w:t xml:space="preserve">párr. 332, y </w:t>
      </w:r>
      <w:r>
        <w:rPr>
          <w:i/>
          <w:sz w:val="16"/>
        </w:rPr>
        <w:t>Caso Empleados de la Fábrica de Fuegos en Santo Antônio de Jesus y su</w:t>
      </w:r>
      <w:r>
        <w:rPr>
          <w:i/>
          <w:sz w:val="16"/>
        </w:rPr>
        <w:t>s familiares Vs. Brasil, supra</w:t>
      </w:r>
      <w:r>
        <w:rPr>
          <w:sz w:val="16"/>
        </w:rPr>
        <w:t>, párr. 137, 138 y</w:t>
      </w:r>
      <w:r>
        <w:rPr>
          <w:spacing w:val="-17"/>
          <w:sz w:val="16"/>
        </w:rPr>
        <w:t xml:space="preserve"> </w:t>
      </w:r>
      <w:r>
        <w:rPr>
          <w:sz w:val="16"/>
        </w:rPr>
        <w:t>139.</w:t>
      </w:r>
    </w:p>
    <w:p w14:paraId="2AAFA23F" w14:textId="77777777" w:rsidR="00467FCA" w:rsidRDefault="001B68EB">
      <w:pPr>
        <w:tabs>
          <w:tab w:val="left" w:pos="1166"/>
        </w:tabs>
        <w:ind w:left="458" w:right="273"/>
        <w:jc w:val="both"/>
        <w:rPr>
          <w:sz w:val="16"/>
        </w:rPr>
      </w:pPr>
      <w:bookmarkStart w:id="832" w:name="_bookmark751"/>
      <w:bookmarkEnd w:id="832"/>
      <w:r>
        <w:rPr>
          <w:position w:val="6"/>
          <w:sz w:val="10"/>
        </w:rPr>
        <w:t>69</w:t>
      </w:r>
      <w:r>
        <w:rPr>
          <w:position w:val="6"/>
          <w:sz w:val="10"/>
        </w:rPr>
        <w:tab/>
      </w:r>
      <w:r>
        <w:rPr>
          <w:sz w:val="16"/>
        </w:rPr>
        <w:t>Véase “Artículo 32. 1. Los Estados Partes reconocen el derecho del niño a estar protegido contra la explotación</w:t>
      </w:r>
      <w:r>
        <w:rPr>
          <w:spacing w:val="-16"/>
          <w:sz w:val="16"/>
        </w:rPr>
        <w:t xml:space="preserve"> </w:t>
      </w:r>
      <w:r>
        <w:rPr>
          <w:sz w:val="16"/>
        </w:rPr>
        <w:t>económica</w:t>
      </w:r>
      <w:r>
        <w:rPr>
          <w:spacing w:val="-15"/>
          <w:sz w:val="16"/>
        </w:rPr>
        <w:t xml:space="preserve"> </w:t>
      </w:r>
      <w:r>
        <w:rPr>
          <w:sz w:val="16"/>
        </w:rPr>
        <w:t>y</w:t>
      </w:r>
      <w:r>
        <w:rPr>
          <w:spacing w:val="-16"/>
          <w:sz w:val="16"/>
        </w:rPr>
        <w:t xml:space="preserve"> </w:t>
      </w:r>
      <w:r>
        <w:rPr>
          <w:sz w:val="16"/>
        </w:rPr>
        <w:t>contra</w:t>
      </w:r>
      <w:r>
        <w:rPr>
          <w:spacing w:val="-13"/>
          <w:sz w:val="16"/>
        </w:rPr>
        <w:t xml:space="preserve"> </w:t>
      </w:r>
      <w:r>
        <w:rPr>
          <w:sz w:val="16"/>
        </w:rPr>
        <w:t>el</w:t>
      </w:r>
      <w:r>
        <w:rPr>
          <w:spacing w:val="-16"/>
          <w:sz w:val="16"/>
        </w:rPr>
        <w:t xml:space="preserve"> </w:t>
      </w:r>
      <w:r>
        <w:rPr>
          <w:sz w:val="16"/>
        </w:rPr>
        <w:t>desempeño</w:t>
      </w:r>
      <w:r>
        <w:rPr>
          <w:spacing w:val="-16"/>
          <w:sz w:val="16"/>
        </w:rPr>
        <w:t xml:space="preserve"> </w:t>
      </w:r>
      <w:r>
        <w:rPr>
          <w:sz w:val="16"/>
        </w:rPr>
        <w:t>de</w:t>
      </w:r>
      <w:r>
        <w:rPr>
          <w:spacing w:val="-14"/>
          <w:sz w:val="16"/>
        </w:rPr>
        <w:t xml:space="preserve"> </w:t>
      </w:r>
      <w:r>
        <w:rPr>
          <w:sz w:val="16"/>
        </w:rPr>
        <w:t>cualquier</w:t>
      </w:r>
      <w:r>
        <w:rPr>
          <w:spacing w:val="-13"/>
          <w:sz w:val="16"/>
        </w:rPr>
        <w:t xml:space="preserve"> </w:t>
      </w:r>
      <w:r>
        <w:rPr>
          <w:sz w:val="16"/>
        </w:rPr>
        <w:t>trabajo</w:t>
      </w:r>
      <w:r>
        <w:rPr>
          <w:spacing w:val="-14"/>
          <w:sz w:val="16"/>
        </w:rPr>
        <w:t xml:space="preserve"> </w:t>
      </w:r>
      <w:r>
        <w:rPr>
          <w:sz w:val="16"/>
        </w:rPr>
        <w:t>que</w:t>
      </w:r>
      <w:r>
        <w:rPr>
          <w:spacing w:val="-18"/>
          <w:sz w:val="16"/>
        </w:rPr>
        <w:t xml:space="preserve"> </w:t>
      </w:r>
      <w:r>
        <w:rPr>
          <w:sz w:val="16"/>
        </w:rPr>
        <w:t>pueda</w:t>
      </w:r>
      <w:r>
        <w:rPr>
          <w:spacing w:val="-15"/>
          <w:sz w:val="16"/>
        </w:rPr>
        <w:t xml:space="preserve"> </w:t>
      </w:r>
      <w:r>
        <w:rPr>
          <w:sz w:val="16"/>
        </w:rPr>
        <w:t>ser</w:t>
      </w:r>
      <w:r>
        <w:rPr>
          <w:spacing w:val="-16"/>
          <w:sz w:val="16"/>
        </w:rPr>
        <w:t xml:space="preserve"> </w:t>
      </w:r>
      <w:r>
        <w:rPr>
          <w:sz w:val="16"/>
        </w:rPr>
        <w:t>peligroso</w:t>
      </w:r>
      <w:r>
        <w:rPr>
          <w:spacing w:val="-16"/>
          <w:sz w:val="16"/>
        </w:rPr>
        <w:t xml:space="preserve"> </w:t>
      </w:r>
      <w:r>
        <w:rPr>
          <w:sz w:val="16"/>
        </w:rPr>
        <w:t>o</w:t>
      </w:r>
      <w:r>
        <w:rPr>
          <w:spacing w:val="-14"/>
          <w:sz w:val="16"/>
        </w:rPr>
        <w:t xml:space="preserve"> </w:t>
      </w:r>
      <w:r>
        <w:rPr>
          <w:sz w:val="16"/>
        </w:rPr>
        <w:t>entorpecer</w:t>
      </w:r>
      <w:r>
        <w:rPr>
          <w:spacing w:val="-14"/>
          <w:sz w:val="16"/>
        </w:rPr>
        <w:t xml:space="preserve"> </w:t>
      </w:r>
      <w:r>
        <w:rPr>
          <w:sz w:val="16"/>
        </w:rPr>
        <w:t>su</w:t>
      </w:r>
      <w:r>
        <w:rPr>
          <w:spacing w:val="-15"/>
          <w:sz w:val="16"/>
        </w:rPr>
        <w:t xml:space="preserve"> </w:t>
      </w:r>
      <w:r>
        <w:rPr>
          <w:sz w:val="16"/>
        </w:rPr>
        <w:t>educación, o que sea nocivo para su salud o para su</w:t>
      </w:r>
      <w:r>
        <w:rPr>
          <w:sz w:val="16"/>
        </w:rPr>
        <w:t xml:space="preserve"> desarrollo físico, mental, espiritual, moral o social. 2. Los Estados Partes adoptarán medidas legislativas, administrativas, sociales y educacionales para garantizar la aplicación del presente artículo.</w:t>
      </w:r>
      <w:r>
        <w:rPr>
          <w:spacing w:val="-4"/>
          <w:sz w:val="16"/>
        </w:rPr>
        <w:t xml:space="preserve"> </w:t>
      </w:r>
      <w:r>
        <w:rPr>
          <w:sz w:val="16"/>
        </w:rPr>
        <w:t>Con</w:t>
      </w:r>
      <w:r>
        <w:rPr>
          <w:spacing w:val="-4"/>
          <w:sz w:val="16"/>
        </w:rPr>
        <w:t xml:space="preserve"> </w:t>
      </w:r>
      <w:r>
        <w:rPr>
          <w:sz w:val="16"/>
        </w:rPr>
        <w:t>ese</w:t>
      </w:r>
      <w:r>
        <w:rPr>
          <w:spacing w:val="-5"/>
          <w:sz w:val="16"/>
        </w:rPr>
        <w:t xml:space="preserve"> </w:t>
      </w:r>
      <w:r>
        <w:rPr>
          <w:sz w:val="16"/>
        </w:rPr>
        <w:t>propósito</w:t>
      </w:r>
      <w:r>
        <w:rPr>
          <w:spacing w:val="-5"/>
          <w:sz w:val="16"/>
        </w:rPr>
        <w:t xml:space="preserve"> </w:t>
      </w:r>
      <w:r>
        <w:rPr>
          <w:sz w:val="16"/>
        </w:rPr>
        <w:t>y</w:t>
      </w:r>
      <w:r>
        <w:rPr>
          <w:spacing w:val="-3"/>
          <w:sz w:val="16"/>
        </w:rPr>
        <w:t xml:space="preserve"> </w:t>
      </w:r>
      <w:r>
        <w:rPr>
          <w:sz w:val="16"/>
        </w:rPr>
        <w:t>teniendo</w:t>
      </w:r>
      <w:r>
        <w:rPr>
          <w:spacing w:val="-2"/>
          <w:sz w:val="16"/>
        </w:rPr>
        <w:t xml:space="preserve"> </w:t>
      </w:r>
      <w:r>
        <w:rPr>
          <w:sz w:val="16"/>
        </w:rPr>
        <w:t>en</w:t>
      </w:r>
      <w:r>
        <w:rPr>
          <w:spacing w:val="-7"/>
          <w:sz w:val="16"/>
        </w:rPr>
        <w:t xml:space="preserve"> </w:t>
      </w:r>
      <w:r>
        <w:rPr>
          <w:sz w:val="16"/>
        </w:rPr>
        <w:t>cuenta</w:t>
      </w:r>
      <w:r>
        <w:rPr>
          <w:spacing w:val="-3"/>
          <w:sz w:val="16"/>
        </w:rPr>
        <w:t xml:space="preserve"> </w:t>
      </w:r>
      <w:r>
        <w:rPr>
          <w:sz w:val="16"/>
        </w:rPr>
        <w:t>las</w:t>
      </w:r>
      <w:r>
        <w:rPr>
          <w:spacing w:val="-3"/>
          <w:sz w:val="16"/>
        </w:rPr>
        <w:t xml:space="preserve"> </w:t>
      </w:r>
      <w:r>
        <w:rPr>
          <w:sz w:val="16"/>
        </w:rPr>
        <w:t>disposic</w:t>
      </w:r>
      <w:r>
        <w:rPr>
          <w:sz w:val="16"/>
        </w:rPr>
        <w:t>iones</w:t>
      </w:r>
      <w:r>
        <w:rPr>
          <w:spacing w:val="-3"/>
          <w:sz w:val="16"/>
        </w:rPr>
        <w:t xml:space="preserve"> </w:t>
      </w:r>
      <w:r>
        <w:rPr>
          <w:sz w:val="16"/>
        </w:rPr>
        <w:t>pertinentes</w:t>
      </w:r>
      <w:r>
        <w:rPr>
          <w:spacing w:val="-2"/>
          <w:sz w:val="16"/>
        </w:rPr>
        <w:t xml:space="preserve"> </w:t>
      </w:r>
      <w:r>
        <w:rPr>
          <w:sz w:val="16"/>
        </w:rPr>
        <w:t>de</w:t>
      </w:r>
      <w:r>
        <w:rPr>
          <w:spacing w:val="-3"/>
          <w:sz w:val="16"/>
        </w:rPr>
        <w:t xml:space="preserve"> </w:t>
      </w:r>
      <w:r>
        <w:rPr>
          <w:sz w:val="16"/>
        </w:rPr>
        <w:t>otros</w:t>
      </w:r>
      <w:r>
        <w:rPr>
          <w:spacing w:val="-6"/>
          <w:sz w:val="16"/>
        </w:rPr>
        <w:t xml:space="preserve"> </w:t>
      </w:r>
      <w:r>
        <w:rPr>
          <w:sz w:val="16"/>
        </w:rPr>
        <w:t>instrumentos</w:t>
      </w:r>
      <w:r>
        <w:rPr>
          <w:spacing w:val="-2"/>
          <w:sz w:val="16"/>
        </w:rPr>
        <w:t xml:space="preserve"> </w:t>
      </w:r>
      <w:r>
        <w:rPr>
          <w:sz w:val="16"/>
        </w:rPr>
        <w:t>internacionales, los Estados Partes, en particular: a) Fijarán una edad o edades mínimas para trabajar; b) Dispondrán la reglamentación apropiada de los horarios y condiciones de trabajo; c) Estipularán las penalidad</w:t>
      </w:r>
      <w:r>
        <w:rPr>
          <w:sz w:val="16"/>
        </w:rPr>
        <w:t>es u otras sanciones apropiadas para asegurar la aplicación efectiva del presente</w:t>
      </w:r>
      <w:r>
        <w:rPr>
          <w:spacing w:val="-7"/>
          <w:sz w:val="16"/>
        </w:rPr>
        <w:t xml:space="preserve"> </w:t>
      </w:r>
      <w:r>
        <w:rPr>
          <w:sz w:val="16"/>
        </w:rPr>
        <w:t>artículo”.</w:t>
      </w:r>
    </w:p>
    <w:p w14:paraId="2EF017D7" w14:textId="77777777" w:rsidR="00467FCA" w:rsidRDefault="001B68EB">
      <w:pPr>
        <w:tabs>
          <w:tab w:val="left" w:pos="1166"/>
        </w:tabs>
        <w:ind w:left="458" w:right="272"/>
        <w:jc w:val="both"/>
        <w:rPr>
          <w:sz w:val="16"/>
        </w:rPr>
      </w:pPr>
      <w:bookmarkStart w:id="833" w:name="_bookmark752"/>
      <w:bookmarkEnd w:id="833"/>
      <w:r>
        <w:rPr>
          <w:position w:val="6"/>
          <w:sz w:val="10"/>
        </w:rPr>
        <w:t>70</w:t>
      </w:r>
      <w:r>
        <w:rPr>
          <w:position w:val="6"/>
          <w:sz w:val="10"/>
        </w:rPr>
        <w:tab/>
      </w:r>
      <w:r>
        <w:rPr>
          <w:sz w:val="16"/>
        </w:rPr>
        <w:t>Véase “Artículo 3.1. La edad mínima de admisión a todo tipo de empleo o trabajo que por su naturaleza o las condiciones en que se realice pueda resultar peligro</w:t>
      </w:r>
      <w:r>
        <w:rPr>
          <w:sz w:val="16"/>
        </w:rPr>
        <w:t>so para la salud, la seguridad o la moralidad de los menores no deberá ser inferior a dieciocho años. 2. Los tipos de empleo o de trabajo a que se aplica el párrafo 1 de este artículo serán determinados por la legislación nacional o por la autoridad compet</w:t>
      </w:r>
      <w:r>
        <w:rPr>
          <w:sz w:val="16"/>
        </w:rPr>
        <w:t>ente, previa consulta con las organizaciones de empleadores y de trabajadores interesadas, cuando tales organizaciones existan. 3. No obstante lo</w:t>
      </w:r>
      <w:r>
        <w:rPr>
          <w:spacing w:val="-5"/>
          <w:sz w:val="16"/>
        </w:rPr>
        <w:t xml:space="preserve"> </w:t>
      </w:r>
      <w:r>
        <w:rPr>
          <w:sz w:val="16"/>
        </w:rPr>
        <w:t>dispuesto</w:t>
      </w:r>
      <w:r>
        <w:rPr>
          <w:spacing w:val="-7"/>
          <w:sz w:val="16"/>
        </w:rPr>
        <w:t xml:space="preserve"> </w:t>
      </w:r>
      <w:r>
        <w:rPr>
          <w:sz w:val="16"/>
        </w:rPr>
        <w:t>en</w:t>
      </w:r>
      <w:r>
        <w:rPr>
          <w:spacing w:val="-8"/>
          <w:sz w:val="16"/>
        </w:rPr>
        <w:t xml:space="preserve"> </w:t>
      </w:r>
      <w:r>
        <w:rPr>
          <w:sz w:val="16"/>
        </w:rPr>
        <w:t>el</w:t>
      </w:r>
      <w:r>
        <w:rPr>
          <w:spacing w:val="-8"/>
          <w:sz w:val="16"/>
        </w:rPr>
        <w:t xml:space="preserve"> </w:t>
      </w:r>
      <w:r>
        <w:rPr>
          <w:sz w:val="16"/>
        </w:rPr>
        <w:t>párrafo</w:t>
      </w:r>
      <w:r>
        <w:rPr>
          <w:spacing w:val="-7"/>
          <w:sz w:val="16"/>
        </w:rPr>
        <w:t xml:space="preserve"> </w:t>
      </w:r>
      <w:r>
        <w:rPr>
          <w:sz w:val="16"/>
        </w:rPr>
        <w:t>1</w:t>
      </w:r>
      <w:r>
        <w:rPr>
          <w:spacing w:val="-7"/>
          <w:sz w:val="16"/>
        </w:rPr>
        <w:t xml:space="preserve"> </w:t>
      </w:r>
      <w:r>
        <w:rPr>
          <w:sz w:val="16"/>
        </w:rPr>
        <w:t>de</w:t>
      </w:r>
      <w:r>
        <w:rPr>
          <w:spacing w:val="-7"/>
          <w:sz w:val="16"/>
        </w:rPr>
        <w:t xml:space="preserve"> </w:t>
      </w:r>
      <w:r>
        <w:rPr>
          <w:sz w:val="16"/>
        </w:rPr>
        <w:t>este</w:t>
      </w:r>
      <w:r>
        <w:rPr>
          <w:spacing w:val="-7"/>
          <w:sz w:val="16"/>
        </w:rPr>
        <w:t xml:space="preserve"> </w:t>
      </w:r>
      <w:r>
        <w:rPr>
          <w:sz w:val="16"/>
        </w:rPr>
        <w:t>artículo,</w:t>
      </w:r>
      <w:r>
        <w:rPr>
          <w:spacing w:val="-8"/>
          <w:sz w:val="16"/>
        </w:rPr>
        <w:t xml:space="preserve"> </w:t>
      </w:r>
      <w:r>
        <w:rPr>
          <w:sz w:val="16"/>
        </w:rPr>
        <w:t>la</w:t>
      </w:r>
      <w:r>
        <w:rPr>
          <w:spacing w:val="-6"/>
          <w:sz w:val="16"/>
        </w:rPr>
        <w:t xml:space="preserve"> </w:t>
      </w:r>
      <w:r>
        <w:rPr>
          <w:sz w:val="16"/>
        </w:rPr>
        <w:t>legislación</w:t>
      </w:r>
      <w:r>
        <w:rPr>
          <w:spacing w:val="-9"/>
          <w:sz w:val="16"/>
        </w:rPr>
        <w:t xml:space="preserve"> </w:t>
      </w:r>
      <w:r>
        <w:rPr>
          <w:sz w:val="16"/>
        </w:rPr>
        <w:t>nacional</w:t>
      </w:r>
      <w:r>
        <w:rPr>
          <w:spacing w:val="-6"/>
          <w:sz w:val="16"/>
        </w:rPr>
        <w:t xml:space="preserve"> </w:t>
      </w:r>
      <w:r>
        <w:rPr>
          <w:sz w:val="16"/>
        </w:rPr>
        <w:t>o</w:t>
      </w:r>
      <w:r>
        <w:rPr>
          <w:spacing w:val="-7"/>
          <w:sz w:val="16"/>
        </w:rPr>
        <w:t xml:space="preserve"> </w:t>
      </w:r>
      <w:r>
        <w:rPr>
          <w:sz w:val="16"/>
        </w:rPr>
        <w:t>la</w:t>
      </w:r>
      <w:r>
        <w:rPr>
          <w:spacing w:val="-6"/>
          <w:sz w:val="16"/>
        </w:rPr>
        <w:t xml:space="preserve"> </w:t>
      </w:r>
      <w:r>
        <w:rPr>
          <w:sz w:val="16"/>
        </w:rPr>
        <w:t>autoridad</w:t>
      </w:r>
      <w:r>
        <w:rPr>
          <w:spacing w:val="-7"/>
          <w:sz w:val="16"/>
        </w:rPr>
        <w:t xml:space="preserve"> </w:t>
      </w:r>
      <w:r>
        <w:rPr>
          <w:sz w:val="16"/>
        </w:rPr>
        <w:t>competente,</w:t>
      </w:r>
      <w:r>
        <w:rPr>
          <w:spacing w:val="-7"/>
          <w:sz w:val="16"/>
        </w:rPr>
        <w:t xml:space="preserve"> </w:t>
      </w:r>
      <w:r>
        <w:rPr>
          <w:sz w:val="16"/>
        </w:rPr>
        <w:t>previa</w:t>
      </w:r>
      <w:r>
        <w:rPr>
          <w:spacing w:val="-8"/>
          <w:sz w:val="16"/>
        </w:rPr>
        <w:t xml:space="preserve"> </w:t>
      </w:r>
      <w:r>
        <w:rPr>
          <w:sz w:val="16"/>
        </w:rPr>
        <w:t>consulta</w:t>
      </w:r>
      <w:r>
        <w:rPr>
          <w:spacing w:val="-6"/>
          <w:sz w:val="16"/>
        </w:rPr>
        <w:t xml:space="preserve"> </w:t>
      </w:r>
      <w:r>
        <w:rPr>
          <w:sz w:val="16"/>
        </w:rPr>
        <w:t>con</w:t>
      </w:r>
      <w:r>
        <w:rPr>
          <w:spacing w:val="-6"/>
          <w:sz w:val="16"/>
        </w:rPr>
        <w:t xml:space="preserve"> </w:t>
      </w:r>
      <w:r>
        <w:rPr>
          <w:sz w:val="16"/>
        </w:rPr>
        <w:t>las organizaciones</w:t>
      </w:r>
      <w:r>
        <w:rPr>
          <w:spacing w:val="-7"/>
          <w:sz w:val="16"/>
        </w:rPr>
        <w:t xml:space="preserve"> </w:t>
      </w:r>
      <w:r>
        <w:rPr>
          <w:sz w:val="16"/>
        </w:rPr>
        <w:t>de</w:t>
      </w:r>
      <w:r>
        <w:rPr>
          <w:spacing w:val="-6"/>
          <w:sz w:val="16"/>
        </w:rPr>
        <w:t xml:space="preserve"> </w:t>
      </w:r>
      <w:r>
        <w:rPr>
          <w:sz w:val="16"/>
        </w:rPr>
        <w:t>empleadores</w:t>
      </w:r>
      <w:r>
        <w:rPr>
          <w:spacing w:val="-6"/>
          <w:sz w:val="16"/>
        </w:rPr>
        <w:t xml:space="preserve"> </w:t>
      </w:r>
      <w:r>
        <w:rPr>
          <w:sz w:val="16"/>
        </w:rPr>
        <w:t>y</w:t>
      </w:r>
      <w:r>
        <w:rPr>
          <w:spacing w:val="-7"/>
          <w:sz w:val="16"/>
        </w:rPr>
        <w:t xml:space="preserve"> </w:t>
      </w:r>
      <w:r>
        <w:rPr>
          <w:sz w:val="16"/>
        </w:rPr>
        <w:t>de</w:t>
      </w:r>
      <w:r>
        <w:rPr>
          <w:spacing w:val="-7"/>
          <w:sz w:val="16"/>
        </w:rPr>
        <w:t xml:space="preserve"> </w:t>
      </w:r>
      <w:r>
        <w:rPr>
          <w:sz w:val="16"/>
        </w:rPr>
        <w:t>trabajadores</w:t>
      </w:r>
      <w:r>
        <w:rPr>
          <w:spacing w:val="-6"/>
          <w:sz w:val="16"/>
        </w:rPr>
        <w:t xml:space="preserve"> </w:t>
      </w:r>
      <w:r>
        <w:rPr>
          <w:sz w:val="16"/>
        </w:rPr>
        <w:t>interesadas,</w:t>
      </w:r>
      <w:r>
        <w:rPr>
          <w:spacing w:val="-7"/>
          <w:sz w:val="16"/>
        </w:rPr>
        <w:t xml:space="preserve"> </w:t>
      </w:r>
      <w:r>
        <w:rPr>
          <w:sz w:val="16"/>
        </w:rPr>
        <w:t>cuando</w:t>
      </w:r>
      <w:r>
        <w:rPr>
          <w:spacing w:val="-5"/>
          <w:sz w:val="16"/>
        </w:rPr>
        <w:t xml:space="preserve"> </w:t>
      </w:r>
      <w:r>
        <w:rPr>
          <w:sz w:val="16"/>
        </w:rPr>
        <w:t>tales</w:t>
      </w:r>
      <w:r>
        <w:rPr>
          <w:spacing w:val="-8"/>
          <w:sz w:val="16"/>
        </w:rPr>
        <w:t xml:space="preserve"> </w:t>
      </w:r>
      <w:r>
        <w:rPr>
          <w:sz w:val="16"/>
        </w:rPr>
        <w:t>organizaciones</w:t>
      </w:r>
      <w:r>
        <w:rPr>
          <w:spacing w:val="-8"/>
          <w:sz w:val="16"/>
        </w:rPr>
        <w:t xml:space="preserve"> </w:t>
      </w:r>
      <w:r>
        <w:rPr>
          <w:sz w:val="16"/>
        </w:rPr>
        <w:t>existan,</w:t>
      </w:r>
      <w:r>
        <w:rPr>
          <w:spacing w:val="-8"/>
          <w:sz w:val="16"/>
        </w:rPr>
        <w:t xml:space="preserve"> </w:t>
      </w:r>
      <w:r>
        <w:rPr>
          <w:sz w:val="16"/>
        </w:rPr>
        <w:t>podrán</w:t>
      </w:r>
      <w:r>
        <w:rPr>
          <w:spacing w:val="-7"/>
          <w:sz w:val="16"/>
        </w:rPr>
        <w:t xml:space="preserve"> </w:t>
      </w:r>
      <w:r>
        <w:rPr>
          <w:sz w:val="16"/>
        </w:rPr>
        <w:t>autorizar el empleo o el trabajo a partir de la edad de dieciséis años, siempre que queden plenamente garantizadas la salud, la seguri</w:t>
      </w:r>
      <w:r>
        <w:rPr>
          <w:sz w:val="16"/>
        </w:rPr>
        <w:t>dad y la moralidad de los adolescentes, y que éstos hayan recibido instrucción o formación profesional adecuada y específica en la rama de actividad</w:t>
      </w:r>
      <w:r>
        <w:rPr>
          <w:spacing w:val="-11"/>
          <w:sz w:val="16"/>
        </w:rPr>
        <w:t xml:space="preserve"> </w:t>
      </w:r>
      <w:r>
        <w:rPr>
          <w:sz w:val="16"/>
        </w:rPr>
        <w:t>correspondiente”.</w:t>
      </w:r>
    </w:p>
    <w:p w14:paraId="4BCF5B7C" w14:textId="77777777" w:rsidR="00467FCA" w:rsidRDefault="001B68EB">
      <w:pPr>
        <w:tabs>
          <w:tab w:val="left" w:pos="1166"/>
        </w:tabs>
        <w:spacing w:before="1"/>
        <w:ind w:left="458" w:right="272"/>
        <w:jc w:val="both"/>
        <w:rPr>
          <w:sz w:val="16"/>
        </w:rPr>
      </w:pPr>
      <w:bookmarkStart w:id="834" w:name="_bookmark753"/>
      <w:bookmarkEnd w:id="834"/>
      <w:r>
        <w:rPr>
          <w:position w:val="6"/>
          <w:sz w:val="10"/>
        </w:rPr>
        <w:t>71</w:t>
      </w:r>
      <w:r>
        <w:rPr>
          <w:position w:val="6"/>
          <w:sz w:val="10"/>
        </w:rPr>
        <w:tab/>
      </w:r>
      <w:r>
        <w:rPr>
          <w:sz w:val="16"/>
        </w:rPr>
        <w:t>Véase “Artículo 3. A los efectos del presente Convenio, la expresión `las peores forma</w:t>
      </w:r>
      <w:r>
        <w:rPr>
          <w:sz w:val="16"/>
        </w:rPr>
        <w:t>s de trabajo infantil´ abarca: […] (d) el trabajo que, por su naturaleza o por las condiciones en que se lleva a cabo, es probable que dañe la salud, la seguridad o la moralidad de los</w:t>
      </w:r>
      <w:r>
        <w:rPr>
          <w:spacing w:val="-1"/>
          <w:sz w:val="16"/>
        </w:rPr>
        <w:t xml:space="preserve"> </w:t>
      </w:r>
      <w:r>
        <w:rPr>
          <w:sz w:val="16"/>
        </w:rPr>
        <w:t>niños”.</w:t>
      </w:r>
    </w:p>
    <w:p w14:paraId="6CF58FB7" w14:textId="77777777" w:rsidR="00467FCA" w:rsidRDefault="001B68EB">
      <w:pPr>
        <w:pStyle w:val="Textoindependiente"/>
        <w:spacing w:line="20" w:lineRule="exact"/>
        <w:ind w:left="426"/>
        <w:rPr>
          <w:sz w:val="2"/>
        </w:rPr>
      </w:pPr>
      <w:r>
        <w:rPr>
          <w:sz w:val="2"/>
        </w:rPr>
      </w:r>
      <w:r>
        <w:rPr>
          <w:sz w:val="2"/>
        </w:rPr>
        <w:pict w14:anchorId="507FE3EE">
          <v:group id="_x0000_s1056" style="width:473.05pt;height:.25pt;mso-position-horizontal-relative:char;mso-position-vertical-relative:line" coordsize="9461,5">
            <v:line id="_x0000_s1057" style="position:absolute" from="0,2" to="9461,2" strokecolor="#bababa" strokeweight=".24pt">
              <v:stroke dashstyle="dot"/>
            </v:line>
            <w10:anchorlock/>
          </v:group>
        </w:pict>
      </w:r>
    </w:p>
    <w:p w14:paraId="2397605C" w14:textId="77777777" w:rsidR="00467FCA" w:rsidRDefault="001B68EB">
      <w:pPr>
        <w:tabs>
          <w:tab w:val="left" w:pos="1166"/>
        </w:tabs>
        <w:ind w:left="458" w:right="270"/>
        <w:jc w:val="both"/>
        <w:rPr>
          <w:sz w:val="16"/>
        </w:rPr>
      </w:pPr>
      <w:bookmarkStart w:id="835" w:name="_bookmark754"/>
      <w:bookmarkEnd w:id="835"/>
      <w:r>
        <w:rPr>
          <w:position w:val="6"/>
          <w:sz w:val="10"/>
        </w:rPr>
        <w:t>72</w:t>
      </w:r>
      <w:r>
        <w:rPr>
          <w:position w:val="6"/>
          <w:sz w:val="10"/>
        </w:rPr>
        <w:tab/>
      </w:r>
      <w:r>
        <w:rPr>
          <w:sz w:val="16"/>
        </w:rPr>
        <w:t>Véase</w:t>
      </w:r>
      <w:r>
        <w:rPr>
          <w:spacing w:val="-6"/>
          <w:sz w:val="16"/>
        </w:rPr>
        <w:t xml:space="preserve"> </w:t>
      </w:r>
      <w:r>
        <w:rPr>
          <w:sz w:val="16"/>
        </w:rPr>
        <w:t>“Artículo</w:t>
      </w:r>
      <w:r>
        <w:rPr>
          <w:spacing w:val="-5"/>
          <w:sz w:val="16"/>
        </w:rPr>
        <w:t xml:space="preserve"> </w:t>
      </w:r>
      <w:r>
        <w:rPr>
          <w:sz w:val="16"/>
        </w:rPr>
        <w:t>15.</w:t>
      </w:r>
      <w:r>
        <w:rPr>
          <w:spacing w:val="-7"/>
          <w:sz w:val="16"/>
        </w:rPr>
        <w:t xml:space="preserve"> </w:t>
      </w:r>
      <w:r>
        <w:rPr>
          <w:sz w:val="16"/>
        </w:rPr>
        <w:t>Trabajo</w:t>
      </w:r>
      <w:r>
        <w:rPr>
          <w:spacing w:val="-5"/>
          <w:sz w:val="16"/>
        </w:rPr>
        <w:t xml:space="preserve"> </w:t>
      </w:r>
      <w:r>
        <w:rPr>
          <w:sz w:val="16"/>
        </w:rPr>
        <w:t>infantil.</w:t>
      </w:r>
      <w:r>
        <w:rPr>
          <w:spacing w:val="-4"/>
          <w:sz w:val="16"/>
        </w:rPr>
        <w:t xml:space="preserve"> </w:t>
      </w:r>
      <w:r>
        <w:rPr>
          <w:sz w:val="16"/>
        </w:rPr>
        <w:t>Todo</w:t>
      </w:r>
      <w:r>
        <w:rPr>
          <w:spacing w:val="-5"/>
          <w:sz w:val="16"/>
        </w:rPr>
        <w:t xml:space="preserve"> </w:t>
      </w:r>
      <w:r>
        <w:rPr>
          <w:sz w:val="16"/>
        </w:rPr>
        <w:t>niño</w:t>
      </w:r>
      <w:r>
        <w:rPr>
          <w:spacing w:val="-3"/>
          <w:sz w:val="16"/>
        </w:rPr>
        <w:t xml:space="preserve"> </w:t>
      </w:r>
      <w:r>
        <w:rPr>
          <w:sz w:val="16"/>
        </w:rPr>
        <w:t>estará</w:t>
      </w:r>
      <w:r>
        <w:rPr>
          <w:spacing w:val="-7"/>
          <w:sz w:val="16"/>
        </w:rPr>
        <w:t xml:space="preserve"> </w:t>
      </w:r>
      <w:r>
        <w:rPr>
          <w:sz w:val="16"/>
        </w:rPr>
        <w:t>protegido</w:t>
      </w:r>
      <w:r>
        <w:rPr>
          <w:spacing w:val="-5"/>
          <w:sz w:val="16"/>
        </w:rPr>
        <w:t xml:space="preserve"> </w:t>
      </w:r>
      <w:r>
        <w:rPr>
          <w:sz w:val="16"/>
        </w:rPr>
        <w:t>contra</w:t>
      </w:r>
      <w:r>
        <w:rPr>
          <w:spacing w:val="-4"/>
          <w:sz w:val="16"/>
        </w:rPr>
        <w:t xml:space="preserve"> </w:t>
      </w:r>
      <w:r>
        <w:rPr>
          <w:sz w:val="16"/>
        </w:rPr>
        <w:t>toda</w:t>
      </w:r>
      <w:r>
        <w:rPr>
          <w:spacing w:val="-7"/>
          <w:sz w:val="16"/>
        </w:rPr>
        <w:t xml:space="preserve"> </w:t>
      </w:r>
      <w:r>
        <w:rPr>
          <w:sz w:val="16"/>
        </w:rPr>
        <w:t>forma</w:t>
      </w:r>
      <w:r>
        <w:rPr>
          <w:spacing w:val="-7"/>
          <w:sz w:val="16"/>
        </w:rPr>
        <w:t xml:space="preserve"> </w:t>
      </w:r>
      <w:r>
        <w:rPr>
          <w:sz w:val="16"/>
        </w:rPr>
        <w:t>de</w:t>
      </w:r>
      <w:r>
        <w:rPr>
          <w:spacing w:val="-6"/>
          <w:sz w:val="16"/>
        </w:rPr>
        <w:t xml:space="preserve"> </w:t>
      </w:r>
      <w:r>
        <w:rPr>
          <w:sz w:val="16"/>
        </w:rPr>
        <w:t>explotación</w:t>
      </w:r>
      <w:r>
        <w:rPr>
          <w:spacing w:val="-5"/>
          <w:sz w:val="16"/>
        </w:rPr>
        <w:t xml:space="preserve"> </w:t>
      </w:r>
      <w:r>
        <w:rPr>
          <w:sz w:val="16"/>
        </w:rPr>
        <w:t>económica y contra el desempeño de cualquier trabajo que pueda ser peligroso o interferir en el desarrollo físico, mental, espiritual, moral o social del</w:t>
      </w:r>
      <w:r>
        <w:rPr>
          <w:sz w:val="16"/>
        </w:rPr>
        <w:t xml:space="preserve"> niño. Los Estados Parte en la presente Carta adoptarán todas las medidas legislativas y administrativas apropiadas par garantizar el pleno cumplimiento de este artículo, que cubre tanto los sectores formales</w:t>
      </w:r>
      <w:r>
        <w:rPr>
          <w:spacing w:val="-6"/>
          <w:sz w:val="16"/>
        </w:rPr>
        <w:t xml:space="preserve"> </w:t>
      </w:r>
      <w:r>
        <w:rPr>
          <w:sz w:val="16"/>
        </w:rPr>
        <w:t>como</w:t>
      </w:r>
      <w:r>
        <w:rPr>
          <w:spacing w:val="-4"/>
          <w:sz w:val="16"/>
        </w:rPr>
        <w:t xml:space="preserve"> </w:t>
      </w:r>
      <w:r>
        <w:rPr>
          <w:sz w:val="16"/>
        </w:rPr>
        <w:t>los</w:t>
      </w:r>
      <w:r>
        <w:rPr>
          <w:spacing w:val="-5"/>
          <w:sz w:val="16"/>
        </w:rPr>
        <w:t xml:space="preserve"> </w:t>
      </w:r>
      <w:r>
        <w:rPr>
          <w:sz w:val="16"/>
        </w:rPr>
        <w:t>informales</w:t>
      </w:r>
      <w:r>
        <w:rPr>
          <w:spacing w:val="-7"/>
          <w:sz w:val="16"/>
        </w:rPr>
        <w:t xml:space="preserve"> </w:t>
      </w:r>
      <w:r>
        <w:rPr>
          <w:sz w:val="16"/>
        </w:rPr>
        <w:t>de</w:t>
      </w:r>
      <w:r>
        <w:rPr>
          <w:spacing w:val="-5"/>
          <w:sz w:val="16"/>
        </w:rPr>
        <w:t xml:space="preserve"> </w:t>
      </w:r>
      <w:r>
        <w:rPr>
          <w:sz w:val="16"/>
        </w:rPr>
        <w:t>expelo,</w:t>
      </w:r>
      <w:r>
        <w:rPr>
          <w:spacing w:val="-8"/>
          <w:sz w:val="16"/>
        </w:rPr>
        <w:t xml:space="preserve"> </w:t>
      </w:r>
      <w:r>
        <w:rPr>
          <w:sz w:val="16"/>
        </w:rPr>
        <w:t>y</w:t>
      </w:r>
      <w:r>
        <w:rPr>
          <w:spacing w:val="-4"/>
          <w:sz w:val="16"/>
        </w:rPr>
        <w:t xml:space="preserve"> </w:t>
      </w:r>
      <w:r>
        <w:rPr>
          <w:sz w:val="16"/>
        </w:rPr>
        <w:t>teniendo</w:t>
      </w:r>
      <w:r>
        <w:rPr>
          <w:spacing w:val="-4"/>
          <w:sz w:val="16"/>
        </w:rPr>
        <w:t xml:space="preserve"> </w:t>
      </w:r>
      <w:r>
        <w:rPr>
          <w:sz w:val="16"/>
        </w:rPr>
        <w:t>en</w:t>
      </w:r>
      <w:r>
        <w:rPr>
          <w:spacing w:val="-6"/>
          <w:sz w:val="16"/>
        </w:rPr>
        <w:t xml:space="preserve"> </w:t>
      </w:r>
      <w:r>
        <w:rPr>
          <w:sz w:val="16"/>
        </w:rPr>
        <w:t>cu</w:t>
      </w:r>
      <w:r>
        <w:rPr>
          <w:sz w:val="16"/>
        </w:rPr>
        <w:t>enta</w:t>
      </w:r>
      <w:r>
        <w:rPr>
          <w:spacing w:val="-3"/>
          <w:sz w:val="16"/>
        </w:rPr>
        <w:t xml:space="preserve"> </w:t>
      </w:r>
      <w:r>
        <w:rPr>
          <w:sz w:val="16"/>
        </w:rPr>
        <w:t>las</w:t>
      </w:r>
      <w:r>
        <w:rPr>
          <w:spacing w:val="-6"/>
          <w:sz w:val="16"/>
        </w:rPr>
        <w:t xml:space="preserve"> </w:t>
      </w:r>
      <w:r>
        <w:rPr>
          <w:sz w:val="16"/>
        </w:rPr>
        <w:t>disposiciones</w:t>
      </w:r>
      <w:r>
        <w:rPr>
          <w:spacing w:val="-5"/>
          <w:sz w:val="16"/>
        </w:rPr>
        <w:t xml:space="preserve"> </w:t>
      </w:r>
      <w:r>
        <w:rPr>
          <w:sz w:val="16"/>
        </w:rPr>
        <w:t>pertinentes</w:t>
      </w:r>
      <w:r>
        <w:rPr>
          <w:spacing w:val="-5"/>
          <w:sz w:val="16"/>
        </w:rPr>
        <w:t xml:space="preserve"> </w:t>
      </w:r>
      <w:r>
        <w:rPr>
          <w:sz w:val="16"/>
        </w:rPr>
        <w:t>de</w:t>
      </w:r>
      <w:r>
        <w:rPr>
          <w:spacing w:val="-5"/>
          <w:sz w:val="16"/>
        </w:rPr>
        <w:t xml:space="preserve"> </w:t>
      </w:r>
      <w:r>
        <w:rPr>
          <w:sz w:val="16"/>
        </w:rPr>
        <w:t>los</w:t>
      </w:r>
      <w:r>
        <w:rPr>
          <w:spacing w:val="-5"/>
          <w:sz w:val="16"/>
        </w:rPr>
        <w:t xml:space="preserve"> </w:t>
      </w:r>
      <w:r>
        <w:rPr>
          <w:sz w:val="16"/>
        </w:rPr>
        <w:t>instrumentos</w:t>
      </w:r>
      <w:r>
        <w:rPr>
          <w:spacing w:val="-5"/>
          <w:sz w:val="16"/>
        </w:rPr>
        <w:t xml:space="preserve"> </w:t>
      </w:r>
      <w:r>
        <w:rPr>
          <w:sz w:val="16"/>
        </w:rPr>
        <w:t>de</w:t>
      </w:r>
      <w:r>
        <w:rPr>
          <w:spacing w:val="-5"/>
          <w:sz w:val="16"/>
        </w:rPr>
        <w:t xml:space="preserve"> </w:t>
      </w:r>
      <w:r>
        <w:rPr>
          <w:sz w:val="16"/>
        </w:rPr>
        <w:t>la Organización</w:t>
      </w:r>
      <w:r>
        <w:rPr>
          <w:spacing w:val="-13"/>
          <w:sz w:val="16"/>
        </w:rPr>
        <w:t xml:space="preserve"> </w:t>
      </w:r>
      <w:r>
        <w:rPr>
          <w:sz w:val="16"/>
        </w:rPr>
        <w:t>Internacional</w:t>
      </w:r>
      <w:r>
        <w:rPr>
          <w:spacing w:val="-12"/>
          <w:sz w:val="16"/>
        </w:rPr>
        <w:t xml:space="preserve"> </w:t>
      </w:r>
      <w:r>
        <w:rPr>
          <w:sz w:val="16"/>
        </w:rPr>
        <w:t>del</w:t>
      </w:r>
      <w:r>
        <w:rPr>
          <w:spacing w:val="-12"/>
          <w:sz w:val="16"/>
        </w:rPr>
        <w:t xml:space="preserve"> </w:t>
      </w:r>
      <w:r>
        <w:rPr>
          <w:sz w:val="16"/>
        </w:rPr>
        <w:t>Trabajo</w:t>
      </w:r>
      <w:r>
        <w:rPr>
          <w:spacing w:val="-15"/>
          <w:sz w:val="16"/>
        </w:rPr>
        <w:t xml:space="preserve"> </w:t>
      </w:r>
      <w:r>
        <w:rPr>
          <w:sz w:val="16"/>
        </w:rPr>
        <w:t>relativas</w:t>
      </w:r>
      <w:r>
        <w:rPr>
          <w:spacing w:val="-13"/>
          <w:sz w:val="16"/>
        </w:rPr>
        <w:t xml:space="preserve"> </w:t>
      </w:r>
      <w:r>
        <w:rPr>
          <w:sz w:val="16"/>
        </w:rPr>
        <w:t>a</w:t>
      </w:r>
      <w:r>
        <w:rPr>
          <w:spacing w:val="-11"/>
          <w:sz w:val="16"/>
        </w:rPr>
        <w:t xml:space="preserve"> </w:t>
      </w:r>
      <w:r>
        <w:rPr>
          <w:sz w:val="16"/>
        </w:rPr>
        <w:t>los</w:t>
      </w:r>
      <w:r>
        <w:rPr>
          <w:spacing w:val="-13"/>
          <w:sz w:val="16"/>
        </w:rPr>
        <w:t xml:space="preserve"> </w:t>
      </w:r>
      <w:r>
        <w:rPr>
          <w:sz w:val="16"/>
        </w:rPr>
        <w:t>niños;</w:t>
      </w:r>
      <w:r>
        <w:rPr>
          <w:spacing w:val="-17"/>
          <w:sz w:val="16"/>
        </w:rPr>
        <w:t xml:space="preserve"> </w:t>
      </w:r>
      <w:r>
        <w:rPr>
          <w:sz w:val="16"/>
        </w:rPr>
        <w:t>en</w:t>
      </w:r>
      <w:r>
        <w:rPr>
          <w:spacing w:val="-12"/>
          <w:sz w:val="16"/>
        </w:rPr>
        <w:t xml:space="preserve"> </w:t>
      </w:r>
      <w:r>
        <w:rPr>
          <w:sz w:val="16"/>
        </w:rPr>
        <w:t>particular,</w:t>
      </w:r>
      <w:r>
        <w:rPr>
          <w:spacing w:val="-12"/>
          <w:sz w:val="16"/>
        </w:rPr>
        <w:t xml:space="preserve"> </w:t>
      </w:r>
      <w:r>
        <w:rPr>
          <w:sz w:val="16"/>
        </w:rPr>
        <w:t>los</w:t>
      </w:r>
      <w:r>
        <w:rPr>
          <w:spacing w:val="-13"/>
          <w:sz w:val="16"/>
        </w:rPr>
        <w:t xml:space="preserve"> </w:t>
      </w:r>
      <w:r>
        <w:rPr>
          <w:sz w:val="16"/>
        </w:rPr>
        <w:t>Estados</w:t>
      </w:r>
      <w:r>
        <w:rPr>
          <w:spacing w:val="-11"/>
          <w:sz w:val="16"/>
        </w:rPr>
        <w:t xml:space="preserve"> </w:t>
      </w:r>
      <w:r>
        <w:rPr>
          <w:sz w:val="16"/>
        </w:rPr>
        <w:t>Parte:</w:t>
      </w:r>
      <w:r>
        <w:rPr>
          <w:spacing w:val="-12"/>
          <w:sz w:val="16"/>
        </w:rPr>
        <w:t xml:space="preserve"> </w:t>
      </w:r>
      <w:r>
        <w:rPr>
          <w:sz w:val="16"/>
        </w:rPr>
        <w:t>-</w:t>
      </w:r>
      <w:r>
        <w:rPr>
          <w:spacing w:val="-14"/>
          <w:sz w:val="16"/>
        </w:rPr>
        <w:t xml:space="preserve"> </w:t>
      </w:r>
      <w:r>
        <w:rPr>
          <w:sz w:val="16"/>
        </w:rPr>
        <w:t>establecerán,</w:t>
      </w:r>
      <w:r>
        <w:rPr>
          <w:spacing w:val="-14"/>
          <w:sz w:val="16"/>
        </w:rPr>
        <w:t xml:space="preserve"> </w:t>
      </w:r>
      <w:r>
        <w:rPr>
          <w:sz w:val="16"/>
        </w:rPr>
        <w:t>mediante la</w:t>
      </w:r>
      <w:r>
        <w:rPr>
          <w:spacing w:val="-4"/>
          <w:sz w:val="16"/>
        </w:rPr>
        <w:t xml:space="preserve"> </w:t>
      </w:r>
      <w:r>
        <w:rPr>
          <w:sz w:val="16"/>
        </w:rPr>
        <w:t>legislación,</w:t>
      </w:r>
      <w:r>
        <w:rPr>
          <w:spacing w:val="-3"/>
          <w:sz w:val="16"/>
        </w:rPr>
        <w:t xml:space="preserve"> </w:t>
      </w:r>
      <w:r>
        <w:rPr>
          <w:sz w:val="16"/>
        </w:rPr>
        <w:t>edades</w:t>
      </w:r>
      <w:r>
        <w:rPr>
          <w:spacing w:val="-2"/>
          <w:sz w:val="16"/>
        </w:rPr>
        <w:t xml:space="preserve"> </w:t>
      </w:r>
      <w:r>
        <w:rPr>
          <w:sz w:val="16"/>
        </w:rPr>
        <w:t>mínimas</w:t>
      </w:r>
      <w:r>
        <w:rPr>
          <w:spacing w:val="-5"/>
          <w:sz w:val="16"/>
        </w:rPr>
        <w:t xml:space="preserve"> </w:t>
      </w:r>
      <w:r>
        <w:rPr>
          <w:sz w:val="16"/>
        </w:rPr>
        <w:t>de</w:t>
      </w:r>
      <w:r>
        <w:rPr>
          <w:spacing w:val="-3"/>
          <w:sz w:val="16"/>
        </w:rPr>
        <w:t xml:space="preserve"> </w:t>
      </w:r>
      <w:r>
        <w:rPr>
          <w:sz w:val="16"/>
        </w:rPr>
        <w:t>admisión</w:t>
      </w:r>
      <w:r>
        <w:rPr>
          <w:spacing w:val="-3"/>
          <w:sz w:val="16"/>
        </w:rPr>
        <w:t xml:space="preserve"> </w:t>
      </w:r>
      <w:r>
        <w:rPr>
          <w:sz w:val="16"/>
        </w:rPr>
        <w:t>a</w:t>
      </w:r>
      <w:r>
        <w:rPr>
          <w:spacing w:val="-3"/>
          <w:sz w:val="16"/>
        </w:rPr>
        <w:t xml:space="preserve"> </w:t>
      </w:r>
      <w:r>
        <w:rPr>
          <w:sz w:val="16"/>
        </w:rPr>
        <w:t>cualquier</w:t>
      </w:r>
      <w:r>
        <w:rPr>
          <w:spacing w:val="-2"/>
          <w:sz w:val="16"/>
        </w:rPr>
        <w:t xml:space="preserve"> </w:t>
      </w:r>
      <w:r>
        <w:rPr>
          <w:sz w:val="16"/>
        </w:rPr>
        <w:t>empleo;</w:t>
      </w:r>
      <w:r>
        <w:rPr>
          <w:spacing w:val="-4"/>
          <w:sz w:val="16"/>
        </w:rPr>
        <w:t xml:space="preserve"> </w:t>
      </w:r>
      <w:r>
        <w:rPr>
          <w:sz w:val="16"/>
        </w:rPr>
        <w:t>-</w:t>
      </w:r>
      <w:r>
        <w:rPr>
          <w:spacing w:val="-5"/>
          <w:sz w:val="16"/>
        </w:rPr>
        <w:t xml:space="preserve"> </w:t>
      </w:r>
      <w:r>
        <w:rPr>
          <w:sz w:val="16"/>
        </w:rPr>
        <w:t>establecerán</w:t>
      </w:r>
      <w:r>
        <w:rPr>
          <w:spacing w:val="-3"/>
          <w:sz w:val="16"/>
        </w:rPr>
        <w:t xml:space="preserve"> </w:t>
      </w:r>
      <w:r>
        <w:rPr>
          <w:sz w:val="16"/>
        </w:rPr>
        <w:t>la</w:t>
      </w:r>
      <w:r>
        <w:rPr>
          <w:spacing w:val="-6"/>
          <w:sz w:val="16"/>
        </w:rPr>
        <w:t xml:space="preserve"> </w:t>
      </w:r>
      <w:r>
        <w:rPr>
          <w:sz w:val="16"/>
        </w:rPr>
        <w:t>regulación</w:t>
      </w:r>
      <w:r>
        <w:rPr>
          <w:spacing w:val="-4"/>
          <w:sz w:val="16"/>
        </w:rPr>
        <w:t xml:space="preserve"> </w:t>
      </w:r>
      <w:r>
        <w:rPr>
          <w:sz w:val="16"/>
        </w:rPr>
        <w:t>apropiada</w:t>
      </w:r>
      <w:r>
        <w:rPr>
          <w:spacing w:val="-6"/>
          <w:sz w:val="16"/>
        </w:rPr>
        <w:t xml:space="preserve"> </w:t>
      </w:r>
      <w:r>
        <w:rPr>
          <w:sz w:val="16"/>
        </w:rPr>
        <w:t>sobre</w:t>
      </w:r>
      <w:r>
        <w:rPr>
          <w:spacing w:val="-6"/>
          <w:sz w:val="16"/>
        </w:rPr>
        <w:t xml:space="preserve"> </w:t>
      </w:r>
      <w:r>
        <w:rPr>
          <w:sz w:val="16"/>
        </w:rPr>
        <w:t>horas</w:t>
      </w:r>
      <w:r>
        <w:rPr>
          <w:spacing w:val="-2"/>
          <w:sz w:val="16"/>
        </w:rPr>
        <w:t xml:space="preserve"> </w:t>
      </w:r>
      <w:r>
        <w:rPr>
          <w:sz w:val="16"/>
        </w:rPr>
        <w:t>y condiciones de empleo; - establecerán las multas o sanciones apropiadas para asegurar el cumplimiento efectivo de este artículo;- promoverán la divulgación de información sobre los peligros del trabajo inf</w:t>
      </w:r>
      <w:r>
        <w:rPr>
          <w:sz w:val="16"/>
        </w:rPr>
        <w:t>antil en todos los sectores de la</w:t>
      </w:r>
      <w:r>
        <w:rPr>
          <w:spacing w:val="-2"/>
          <w:sz w:val="16"/>
        </w:rPr>
        <w:t xml:space="preserve"> </w:t>
      </w:r>
      <w:r>
        <w:rPr>
          <w:sz w:val="16"/>
        </w:rPr>
        <w:t>comunidad”.</w:t>
      </w:r>
    </w:p>
    <w:p w14:paraId="01586D16" w14:textId="77777777" w:rsidR="00467FCA" w:rsidRDefault="001B68EB">
      <w:pPr>
        <w:tabs>
          <w:tab w:val="left" w:pos="1166"/>
        </w:tabs>
        <w:ind w:left="458" w:right="272"/>
        <w:jc w:val="both"/>
        <w:rPr>
          <w:sz w:val="16"/>
        </w:rPr>
      </w:pPr>
      <w:bookmarkStart w:id="836" w:name="_bookmark755"/>
      <w:bookmarkEnd w:id="836"/>
      <w:r>
        <w:rPr>
          <w:position w:val="6"/>
          <w:sz w:val="10"/>
        </w:rPr>
        <w:t>73</w:t>
      </w:r>
      <w:r>
        <w:rPr>
          <w:position w:val="6"/>
          <w:sz w:val="10"/>
        </w:rPr>
        <w:tab/>
      </w:r>
      <w:r>
        <w:rPr>
          <w:sz w:val="16"/>
        </w:rPr>
        <w:t>Véase “Protect children and young persons through the following: […] Measures governing work by children and young persons, within the family, to ensure that such work is not dangerous to them, harmful to th</w:t>
      </w:r>
      <w:r>
        <w:rPr>
          <w:sz w:val="16"/>
        </w:rPr>
        <w:t xml:space="preserve">eir moral or physical well-being or likely to hamper their normal physical, intellectual and psycho- social development”. </w:t>
      </w:r>
      <w:r>
        <w:rPr>
          <w:i/>
          <w:sz w:val="16"/>
        </w:rPr>
        <w:t>Cfr. Principios</w:t>
      </w:r>
      <w:r>
        <w:rPr>
          <w:i/>
          <w:spacing w:val="-11"/>
          <w:sz w:val="16"/>
        </w:rPr>
        <w:t xml:space="preserve"> </w:t>
      </w:r>
      <w:r>
        <w:rPr>
          <w:i/>
          <w:sz w:val="16"/>
        </w:rPr>
        <w:t>y</w:t>
      </w:r>
      <w:r>
        <w:rPr>
          <w:i/>
          <w:spacing w:val="-6"/>
          <w:sz w:val="16"/>
        </w:rPr>
        <w:t xml:space="preserve"> </w:t>
      </w:r>
      <w:r>
        <w:rPr>
          <w:i/>
          <w:sz w:val="16"/>
        </w:rPr>
        <w:t>Directrices</w:t>
      </w:r>
      <w:r>
        <w:rPr>
          <w:i/>
          <w:spacing w:val="-10"/>
          <w:sz w:val="16"/>
        </w:rPr>
        <w:t xml:space="preserve"> </w:t>
      </w:r>
      <w:r>
        <w:rPr>
          <w:i/>
          <w:sz w:val="16"/>
        </w:rPr>
        <w:t>para</w:t>
      </w:r>
      <w:r>
        <w:rPr>
          <w:i/>
          <w:spacing w:val="-9"/>
          <w:sz w:val="16"/>
        </w:rPr>
        <w:t xml:space="preserve"> </w:t>
      </w:r>
      <w:r>
        <w:rPr>
          <w:i/>
          <w:sz w:val="16"/>
        </w:rPr>
        <w:t>la</w:t>
      </w:r>
      <w:r>
        <w:rPr>
          <w:i/>
          <w:spacing w:val="-10"/>
          <w:sz w:val="16"/>
        </w:rPr>
        <w:t xml:space="preserve"> </w:t>
      </w:r>
      <w:r>
        <w:rPr>
          <w:i/>
          <w:sz w:val="16"/>
        </w:rPr>
        <w:t>implementación</w:t>
      </w:r>
      <w:r>
        <w:rPr>
          <w:i/>
          <w:spacing w:val="-8"/>
          <w:sz w:val="16"/>
        </w:rPr>
        <w:t xml:space="preserve"> </w:t>
      </w:r>
      <w:r>
        <w:rPr>
          <w:i/>
          <w:sz w:val="16"/>
        </w:rPr>
        <w:t>de</w:t>
      </w:r>
      <w:r>
        <w:rPr>
          <w:i/>
          <w:spacing w:val="-11"/>
          <w:sz w:val="16"/>
        </w:rPr>
        <w:t xml:space="preserve"> </w:t>
      </w:r>
      <w:r>
        <w:rPr>
          <w:i/>
          <w:sz w:val="16"/>
        </w:rPr>
        <w:t>los</w:t>
      </w:r>
      <w:r>
        <w:rPr>
          <w:i/>
          <w:spacing w:val="-10"/>
          <w:sz w:val="16"/>
        </w:rPr>
        <w:t xml:space="preserve"> </w:t>
      </w:r>
      <w:r>
        <w:rPr>
          <w:i/>
          <w:sz w:val="16"/>
        </w:rPr>
        <w:t>derechos</w:t>
      </w:r>
      <w:r>
        <w:rPr>
          <w:i/>
          <w:spacing w:val="-7"/>
          <w:sz w:val="16"/>
        </w:rPr>
        <w:t xml:space="preserve"> </w:t>
      </w:r>
      <w:r>
        <w:rPr>
          <w:i/>
          <w:sz w:val="16"/>
        </w:rPr>
        <w:t>Económicos,</w:t>
      </w:r>
      <w:r>
        <w:rPr>
          <w:i/>
          <w:spacing w:val="-8"/>
          <w:sz w:val="16"/>
        </w:rPr>
        <w:t xml:space="preserve"> </w:t>
      </w:r>
      <w:r>
        <w:rPr>
          <w:i/>
          <w:sz w:val="16"/>
        </w:rPr>
        <w:t>Sociales</w:t>
      </w:r>
      <w:r>
        <w:rPr>
          <w:i/>
          <w:spacing w:val="-11"/>
          <w:sz w:val="16"/>
        </w:rPr>
        <w:t xml:space="preserve"> </w:t>
      </w:r>
      <w:r>
        <w:rPr>
          <w:i/>
          <w:sz w:val="16"/>
        </w:rPr>
        <w:t>y</w:t>
      </w:r>
      <w:r>
        <w:rPr>
          <w:i/>
          <w:spacing w:val="-9"/>
          <w:sz w:val="16"/>
        </w:rPr>
        <w:t xml:space="preserve"> </w:t>
      </w:r>
      <w:r>
        <w:rPr>
          <w:i/>
          <w:sz w:val="16"/>
        </w:rPr>
        <w:t>Culturales</w:t>
      </w:r>
      <w:r>
        <w:rPr>
          <w:i/>
          <w:spacing w:val="-7"/>
          <w:sz w:val="16"/>
        </w:rPr>
        <w:t xml:space="preserve"> </w:t>
      </w:r>
      <w:r>
        <w:rPr>
          <w:i/>
          <w:sz w:val="16"/>
        </w:rPr>
        <w:t>de</w:t>
      </w:r>
      <w:r>
        <w:rPr>
          <w:i/>
          <w:spacing w:val="-8"/>
          <w:sz w:val="16"/>
        </w:rPr>
        <w:t xml:space="preserve"> </w:t>
      </w:r>
      <w:r>
        <w:rPr>
          <w:i/>
          <w:sz w:val="16"/>
        </w:rPr>
        <w:t>la</w:t>
      </w:r>
      <w:r>
        <w:rPr>
          <w:i/>
          <w:spacing w:val="-8"/>
          <w:sz w:val="16"/>
        </w:rPr>
        <w:t xml:space="preserve"> </w:t>
      </w:r>
      <w:r>
        <w:rPr>
          <w:i/>
          <w:sz w:val="16"/>
        </w:rPr>
        <w:t>Carta</w:t>
      </w:r>
      <w:r>
        <w:rPr>
          <w:i/>
          <w:spacing w:val="-8"/>
          <w:sz w:val="16"/>
        </w:rPr>
        <w:t xml:space="preserve"> </w:t>
      </w:r>
      <w:r>
        <w:rPr>
          <w:i/>
          <w:sz w:val="16"/>
        </w:rPr>
        <w:t>Africana de Derechos Humano y de los Pueblos</w:t>
      </w:r>
      <w:r>
        <w:rPr>
          <w:sz w:val="16"/>
        </w:rPr>
        <w:t>, 27 de octubre de 2011, Nairobi, principio 95, inciso aa), punto</w:t>
      </w:r>
      <w:r>
        <w:rPr>
          <w:spacing w:val="-24"/>
          <w:sz w:val="16"/>
        </w:rPr>
        <w:t xml:space="preserve"> </w:t>
      </w:r>
      <w:r>
        <w:rPr>
          <w:sz w:val="16"/>
        </w:rPr>
        <w:t>4.</w:t>
      </w:r>
    </w:p>
    <w:p w14:paraId="385D994B" w14:textId="77777777" w:rsidR="00467FCA" w:rsidRDefault="00467FCA">
      <w:pPr>
        <w:jc w:val="both"/>
        <w:rPr>
          <w:sz w:val="16"/>
        </w:rPr>
        <w:sectPr w:rsidR="00467FCA">
          <w:pgSz w:w="12240" w:h="15840"/>
          <w:pgMar w:top="1340" w:right="1140" w:bottom="920" w:left="960" w:header="0" w:footer="734" w:gutter="0"/>
          <w:cols w:space="720"/>
        </w:sectPr>
      </w:pPr>
    </w:p>
    <w:p w14:paraId="79CEA3D7" w14:textId="77777777" w:rsidR="00467FCA" w:rsidRDefault="001B68EB">
      <w:pPr>
        <w:pStyle w:val="Textoindependiente"/>
        <w:spacing w:before="79"/>
        <w:ind w:left="457" w:right="274"/>
        <w:jc w:val="both"/>
      </w:pPr>
      <w:r>
        <w:t>adolescentes que “laboran” en estos contextos</w:t>
      </w:r>
      <w:hyperlink w:anchor="_bookmark756" w:history="1">
        <w:r>
          <w:rPr>
            <w:position w:val="7"/>
            <w:sz w:val="13"/>
          </w:rPr>
          <w:t>74</w:t>
        </w:r>
      </w:hyperlink>
      <w:r>
        <w:t>. En esta tesitura, el Comité de los Derechos del</w:t>
      </w:r>
      <w:r>
        <w:rPr>
          <w:spacing w:val="-9"/>
        </w:rPr>
        <w:t xml:space="preserve"> </w:t>
      </w:r>
      <w:r>
        <w:t>Niño,</w:t>
      </w:r>
      <w:r>
        <w:rPr>
          <w:spacing w:val="-8"/>
        </w:rPr>
        <w:t xml:space="preserve"> </w:t>
      </w:r>
      <w:r>
        <w:t>en</w:t>
      </w:r>
      <w:r>
        <w:rPr>
          <w:spacing w:val="-5"/>
        </w:rPr>
        <w:t xml:space="preserve"> </w:t>
      </w:r>
      <w:r>
        <w:t>su</w:t>
      </w:r>
      <w:r>
        <w:rPr>
          <w:spacing w:val="-5"/>
        </w:rPr>
        <w:t xml:space="preserve"> </w:t>
      </w:r>
      <w:r>
        <w:t>Observación</w:t>
      </w:r>
      <w:r>
        <w:rPr>
          <w:spacing w:val="-5"/>
        </w:rPr>
        <w:t xml:space="preserve"> </w:t>
      </w:r>
      <w:r>
        <w:t>General</w:t>
      </w:r>
      <w:r>
        <w:rPr>
          <w:spacing w:val="-6"/>
        </w:rPr>
        <w:t xml:space="preserve"> </w:t>
      </w:r>
      <w:r>
        <w:t>No.</w:t>
      </w:r>
      <w:r>
        <w:rPr>
          <w:spacing w:val="-7"/>
        </w:rPr>
        <w:t xml:space="preserve"> </w:t>
      </w:r>
      <w:r>
        <w:t>16,</w:t>
      </w:r>
      <w:r>
        <w:rPr>
          <w:spacing w:val="-7"/>
        </w:rPr>
        <w:t xml:space="preserve"> </w:t>
      </w:r>
      <w:r>
        <w:rPr>
          <w:i/>
        </w:rPr>
        <w:t>sobre</w:t>
      </w:r>
      <w:r>
        <w:rPr>
          <w:i/>
          <w:spacing w:val="-8"/>
        </w:rPr>
        <w:t xml:space="preserve"> </w:t>
      </w:r>
      <w:r>
        <w:rPr>
          <w:i/>
        </w:rPr>
        <w:t>las</w:t>
      </w:r>
      <w:r>
        <w:rPr>
          <w:i/>
          <w:spacing w:val="-7"/>
        </w:rPr>
        <w:t xml:space="preserve"> </w:t>
      </w:r>
      <w:r>
        <w:rPr>
          <w:i/>
        </w:rPr>
        <w:t>obligaciones</w:t>
      </w:r>
      <w:r>
        <w:rPr>
          <w:i/>
          <w:spacing w:val="-8"/>
        </w:rPr>
        <w:t xml:space="preserve"> </w:t>
      </w:r>
      <w:r>
        <w:rPr>
          <w:i/>
        </w:rPr>
        <w:t>del</w:t>
      </w:r>
      <w:r>
        <w:rPr>
          <w:i/>
          <w:spacing w:val="-6"/>
        </w:rPr>
        <w:t xml:space="preserve"> </w:t>
      </w:r>
      <w:r>
        <w:rPr>
          <w:i/>
        </w:rPr>
        <w:t>Estado</w:t>
      </w:r>
      <w:r>
        <w:rPr>
          <w:i/>
          <w:spacing w:val="-8"/>
        </w:rPr>
        <w:t xml:space="preserve"> </w:t>
      </w:r>
      <w:r>
        <w:rPr>
          <w:i/>
        </w:rPr>
        <w:t>en</w:t>
      </w:r>
      <w:r>
        <w:rPr>
          <w:i/>
          <w:spacing w:val="-5"/>
        </w:rPr>
        <w:t xml:space="preserve"> </w:t>
      </w:r>
      <w:r>
        <w:rPr>
          <w:i/>
        </w:rPr>
        <w:t>relación</w:t>
      </w:r>
      <w:r>
        <w:rPr>
          <w:i/>
          <w:spacing w:val="-5"/>
        </w:rPr>
        <w:t xml:space="preserve"> </w:t>
      </w:r>
      <w:r>
        <w:rPr>
          <w:i/>
        </w:rPr>
        <w:t>con el impacto del sector empresarial en los derechos del niño</w:t>
      </w:r>
      <w:r>
        <w:t>, ha señalado que “[l]os Estados deben regular las condiciones de trabajo y establecer salvaguardias que protejan a los niños de</w:t>
      </w:r>
      <w:r>
        <w:rPr>
          <w:spacing w:val="-8"/>
        </w:rPr>
        <w:t xml:space="preserve"> </w:t>
      </w:r>
      <w:r>
        <w:t>la</w:t>
      </w:r>
      <w:r>
        <w:rPr>
          <w:spacing w:val="-6"/>
        </w:rPr>
        <w:t xml:space="preserve"> </w:t>
      </w:r>
      <w:r>
        <w:t>explotación</w:t>
      </w:r>
      <w:r>
        <w:rPr>
          <w:spacing w:val="-6"/>
        </w:rPr>
        <w:t xml:space="preserve"> </w:t>
      </w:r>
      <w:r>
        <w:t>[…]</w:t>
      </w:r>
      <w:r>
        <w:rPr>
          <w:spacing w:val="-6"/>
        </w:rPr>
        <w:t xml:space="preserve"> </w:t>
      </w:r>
      <w:r>
        <w:t>de</w:t>
      </w:r>
      <w:r>
        <w:rPr>
          <w:spacing w:val="-5"/>
        </w:rPr>
        <w:t xml:space="preserve"> </w:t>
      </w:r>
      <w:r>
        <w:t>trabajos</w:t>
      </w:r>
      <w:r>
        <w:rPr>
          <w:spacing w:val="-7"/>
        </w:rPr>
        <w:t xml:space="preserve"> </w:t>
      </w:r>
      <w:r>
        <w:t>que</w:t>
      </w:r>
      <w:r>
        <w:rPr>
          <w:spacing w:val="-7"/>
        </w:rPr>
        <w:t xml:space="preserve"> </w:t>
      </w:r>
      <w:r>
        <w:t>sean</w:t>
      </w:r>
      <w:r>
        <w:rPr>
          <w:spacing w:val="-5"/>
        </w:rPr>
        <w:t xml:space="preserve"> </w:t>
      </w:r>
      <w:r>
        <w:t>peligrosos,</w:t>
      </w:r>
      <w:r>
        <w:rPr>
          <w:spacing w:val="-7"/>
        </w:rPr>
        <w:t xml:space="preserve"> </w:t>
      </w:r>
      <w:r>
        <w:t>interfieran</w:t>
      </w:r>
      <w:r>
        <w:rPr>
          <w:spacing w:val="-5"/>
        </w:rPr>
        <w:t xml:space="preserve"> </w:t>
      </w:r>
      <w:r>
        <w:t>en</w:t>
      </w:r>
      <w:r>
        <w:rPr>
          <w:spacing w:val="-5"/>
        </w:rPr>
        <w:t xml:space="preserve"> </w:t>
      </w:r>
      <w:r>
        <w:t>su</w:t>
      </w:r>
      <w:r>
        <w:rPr>
          <w:spacing w:val="-3"/>
        </w:rPr>
        <w:t xml:space="preserve"> </w:t>
      </w:r>
      <w:r>
        <w:t>educación</w:t>
      </w:r>
      <w:r>
        <w:rPr>
          <w:spacing w:val="-6"/>
        </w:rPr>
        <w:t xml:space="preserve"> </w:t>
      </w:r>
      <w:r>
        <w:t>o</w:t>
      </w:r>
      <w:r>
        <w:rPr>
          <w:spacing w:val="-7"/>
        </w:rPr>
        <w:t xml:space="preserve"> </w:t>
      </w:r>
      <w:r>
        <w:t>afecten</w:t>
      </w:r>
      <w:r>
        <w:rPr>
          <w:spacing w:val="-5"/>
        </w:rPr>
        <w:t xml:space="preserve"> </w:t>
      </w:r>
      <w:r>
        <w:t xml:space="preserve">a su salud o a su desarrollo físico, </w:t>
      </w:r>
      <w:r>
        <w:t>mental, espiritual, moral o social. Estos trabajos suelen encontrarse,</w:t>
      </w:r>
      <w:r>
        <w:rPr>
          <w:spacing w:val="-12"/>
        </w:rPr>
        <w:t xml:space="preserve"> </w:t>
      </w:r>
      <w:r>
        <w:t>aunque</w:t>
      </w:r>
      <w:r>
        <w:rPr>
          <w:spacing w:val="-10"/>
        </w:rPr>
        <w:t xml:space="preserve"> </w:t>
      </w:r>
      <w:r>
        <w:t>no</w:t>
      </w:r>
      <w:r>
        <w:rPr>
          <w:spacing w:val="-7"/>
        </w:rPr>
        <w:t xml:space="preserve"> </w:t>
      </w:r>
      <w:r>
        <w:t>exclusivamente,</w:t>
      </w:r>
      <w:r>
        <w:rPr>
          <w:spacing w:val="-8"/>
        </w:rPr>
        <w:t xml:space="preserve"> </w:t>
      </w:r>
      <w:r>
        <w:t>en</w:t>
      </w:r>
      <w:r>
        <w:rPr>
          <w:spacing w:val="-8"/>
        </w:rPr>
        <w:t xml:space="preserve"> </w:t>
      </w:r>
      <w:r>
        <w:t>el</w:t>
      </w:r>
      <w:r>
        <w:rPr>
          <w:spacing w:val="-6"/>
        </w:rPr>
        <w:t xml:space="preserve"> </w:t>
      </w:r>
      <w:r>
        <w:t>sector</w:t>
      </w:r>
      <w:r>
        <w:rPr>
          <w:spacing w:val="-10"/>
        </w:rPr>
        <w:t xml:space="preserve"> </w:t>
      </w:r>
      <w:r>
        <w:t>no</w:t>
      </w:r>
      <w:r>
        <w:rPr>
          <w:spacing w:val="-7"/>
        </w:rPr>
        <w:t xml:space="preserve"> </w:t>
      </w:r>
      <w:r>
        <w:t>estructurado</w:t>
      </w:r>
      <w:r>
        <w:rPr>
          <w:spacing w:val="-10"/>
        </w:rPr>
        <w:t xml:space="preserve"> </w:t>
      </w:r>
      <w:r>
        <w:t>de</w:t>
      </w:r>
      <w:r>
        <w:rPr>
          <w:spacing w:val="-12"/>
        </w:rPr>
        <w:t xml:space="preserve"> </w:t>
      </w:r>
      <w:r>
        <w:t>la</w:t>
      </w:r>
      <w:r>
        <w:rPr>
          <w:spacing w:val="-6"/>
        </w:rPr>
        <w:t xml:space="preserve"> </w:t>
      </w:r>
      <w:r>
        <w:t>economía</w:t>
      </w:r>
      <w:r>
        <w:rPr>
          <w:spacing w:val="-8"/>
        </w:rPr>
        <w:t xml:space="preserve"> </w:t>
      </w:r>
      <w:r>
        <w:t>[…].</w:t>
      </w:r>
      <w:r>
        <w:rPr>
          <w:spacing w:val="-10"/>
        </w:rPr>
        <w:t xml:space="preserve"> </w:t>
      </w:r>
      <w:r>
        <w:t>Por tanto,</w:t>
      </w:r>
      <w:r>
        <w:rPr>
          <w:spacing w:val="-12"/>
        </w:rPr>
        <w:t xml:space="preserve"> </w:t>
      </w:r>
      <w:r>
        <w:t>los</w:t>
      </w:r>
      <w:r>
        <w:rPr>
          <w:spacing w:val="-11"/>
        </w:rPr>
        <w:t xml:space="preserve"> </w:t>
      </w:r>
      <w:r>
        <w:t>Estados</w:t>
      </w:r>
      <w:r>
        <w:rPr>
          <w:spacing w:val="-9"/>
        </w:rPr>
        <w:t xml:space="preserve"> </w:t>
      </w:r>
      <w:r>
        <w:t>están</w:t>
      </w:r>
      <w:r>
        <w:rPr>
          <w:spacing w:val="-9"/>
        </w:rPr>
        <w:t xml:space="preserve"> </w:t>
      </w:r>
      <w:r>
        <w:t>obligados</w:t>
      </w:r>
      <w:r>
        <w:rPr>
          <w:spacing w:val="-11"/>
        </w:rPr>
        <w:t xml:space="preserve"> </w:t>
      </w:r>
      <w:r>
        <w:t>a</w:t>
      </w:r>
      <w:r>
        <w:rPr>
          <w:spacing w:val="-8"/>
        </w:rPr>
        <w:t xml:space="preserve"> </w:t>
      </w:r>
      <w:r>
        <w:t>elaborar</w:t>
      </w:r>
      <w:r>
        <w:rPr>
          <w:spacing w:val="-9"/>
        </w:rPr>
        <w:t xml:space="preserve"> </w:t>
      </w:r>
      <w:r>
        <w:t>y</w:t>
      </w:r>
      <w:r>
        <w:rPr>
          <w:spacing w:val="-9"/>
        </w:rPr>
        <w:t xml:space="preserve"> </w:t>
      </w:r>
      <w:r>
        <w:t>ejecutar</w:t>
      </w:r>
      <w:r>
        <w:rPr>
          <w:spacing w:val="-11"/>
        </w:rPr>
        <w:t xml:space="preserve"> </w:t>
      </w:r>
      <w:r>
        <w:t>programas</w:t>
      </w:r>
      <w:r>
        <w:rPr>
          <w:spacing w:val="-9"/>
        </w:rPr>
        <w:t xml:space="preserve"> </w:t>
      </w:r>
      <w:r>
        <w:t>destinados</w:t>
      </w:r>
      <w:r>
        <w:rPr>
          <w:spacing w:val="-11"/>
        </w:rPr>
        <w:t xml:space="preserve"> </w:t>
      </w:r>
      <w:r>
        <w:t>a</w:t>
      </w:r>
      <w:r>
        <w:rPr>
          <w:spacing w:val="-8"/>
        </w:rPr>
        <w:t xml:space="preserve"> </w:t>
      </w:r>
      <w:r>
        <w:t>las</w:t>
      </w:r>
      <w:r>
        <w:rPr>
          <w:spacing w:val="-9"/>
        </w:rPr>
        <w:t xml:space="preserve"> </w:t>
      </w:r>
      <w:r>
        <w:t>empresas en esos conte</w:t>
      </w:r>
      <w:r>
        <w:t>xtos, entre otras cosas haciendo cumplir las normas internacionales sobre la edad mínima para trabajar y las condiciones adecuadas de trabajo, invirtiendo en educación y</w:t>
      </w:r>
      <w:r>
        <w:rPr>
          <w:spacing w:val="-14"/>
        </w:rPr>
        <w:t xml:space="preserve"> </w:t>
      </w:r>
      <w:r>
        <w:t>formación</w:t>
      </w:r>
      <w:r>
        <w:rPr>
          <w:spacing w:val="-12"/>
        </w:rPr>
        <w:t xml:space="preserve"> </w:t>
      </w:r>
      <w:r>
        <w:t>profesional</w:t>
      </w:r>
      <w:r>
        <w:rPr>
          <w:spacing w:val="-10"/>
        </w:rPr>
        <w:t xml:space="preserve"> </w:t>
      </w:r>
      <w:r>
        <w:t>y</w:t>
      </w:r>
      <w:r>
        <w:rPr>
          <w:spacing w:val="-13"/>
        </w:rPr>
        <w:t xml:space="preserve"> </w:t>
      </w:r>
      <w:r>
        <w:t>prestando</w:t>
      </w:r>
      <w:r>
        <w:rPr>
          <w:spacing w:val="-11"/>
        </w:rPr>
        <w:t xml:space="preserve"> </w:t>
      </w:r>
      <w:r>
        <w:t>apoyo</w:t>
      </w:r>
      <w:r>
        <w:rPr>
          <w:spacing w:val="-14"/>
        </w:rPr>
        <w:t xml:space="preserve"> </w:t>
      </w:r>
      <w:r>
        <w:t>para</w:t>
      </w:r>
      <w:r>
        <w:rPr>
          <w:spacing w:val="-10"/>
        </w:rPr>
        <w:t xml:space="preserve"> </w:t>
      </w:r>
      <w:r>
        <w:t>lograr</w:t>
      </w:r>
      <w:r>
        <w:rPr>
          <w:spacing w:val="-14"/>
        </w:rPr>
        <w:t xml:space="preserve"> </w:t>
      </w:r>
      <w:r>
        <w:t>una</w:t>
      </w:r>
      <w:r>
        <w:rPr>
          <w:spacing w:val="-12"/>
        </w:rPr>
        <w:t xml:space="preserve"> </w:t>
      </w:r>
      <w:r>
        <w:t>transición</w:t>
      </w:r>
      <w:r>
        <w:rPr>
          <w:spacing w:val="-12"/>
        </w:rPr>
        <w:t xml:space="preserve"> </w:t>
      </w:r>
      <w:r>
        <w:t>satisfactoria</w:t>
      </w:r>
      <w:r>
        <w:rPr>
          <w:spacing w:val="-12"/>
        </w:rPr>
        <w:t xml:space="preserve"> </w:t>
      </w:r>
      <w:r>
        <w:t>de</w:t>
      </w:r>
      <w:r>
        <w:rPr>
          <w:spacing w:val="-14"/>
        </w:rPr>
        <w:t xml:space="preserve"> </w:t>
      </w:r>
      <w:r>
        <w:t>los</w:t>
      </w:r>
      <w:r>
        <w:rPr>
          <w:spacing w:val="-14"/>
        </w:rPr>
        <w:t xml:space="preserve"> </w:t>
      </w:r>
      <w:r>
        <w:t>niños al</w:t>
      </w:r>
      <w:r>
        <w:rPr>
          <w:spacing w:val="-7"/>
        </w:rPr>
        <w:t xml:space="preserve"> </w:t>
      </w:r>
      <w:r>
        <w:t>mercado</w:t>
      </w:r>
      <w:r>
        <w:rPr>
          <w:spacing w:val="-9"/>
        </w:rPr>
        <w:t xml:space="preserve"> </w:t>
      </w:r>
      <w:r>
        <w:t>laboral.</w:t>
      </w:r>
      <w:r>
        <w:rPr>
          <w:spacing w:val="-6"/>
        </w:rPr>
        <w:t xml:space="preserve"> </w:t>
      </w:r>
      <w:r>
        <w:t>Los</w:t>
      </w:r>
      <w:r>
        <w:rPr>
          <w:spacing w:val="-5"/>
        </w:rPr>
        <w:t xml:space="preserve"> </w:t>
      </w:r>
      <w:r>
        <w:t>Estados</w:t>
      </w:r>
      <w:r>
        <w:rPr>
          <w:spacing w:val="-6"/>
        </w:rPr>
        <w:t xml:space="preserve"> </w:t>
      </w:r>
      <w:r>
        <w:t>deben</w:t>
      </w:r>
      <w:r>
        <w:rPr>
          <w:spacing w:val="-7"/>
        </w:rPr>
        <w:t xml:space="preserve"> </w:t>
      </w:r>
      <w:r>
        <w:t>velar</w:t>
      </w:r>
      <w:r>
        <w:rPr>
          <w:spacing w:val="-8"/>
        </w:rPr>
        <w:t xml:space="preserve"> </w:t>
      </w:r>
      <w:r>
        <w:t>porque</w:t>
      </w:r>
      <w:r>
        <w:rPr>
          <w:spacing w:val="-9"/>
        </w:rPr>
        <w:t xml:space="preserve"> </w:t>
      </w:r>
      <w:r>
        <w:t>las</w:t>
      </w:r>
      <w:r>
        <w:rPr>
          <w:spacing w:val="-6"/>
        </w:rPr>
        <w:t xml:space="preserve"> </w:t>
      </w:r>
      <w:r>
        <w:t>políticas</w:t>
      </w:r>
      <w:r>
        <w:rPr>
          <w:spacing w:val="-7"/>
        </w:rPr>
        <w:t xml:space="preserve"> </w:t>
      </w:r>
      <w:r>
        <w:t>de</w:t>
      </w:r>
      <w:r>
        <w:rPr>
          <w:spacing w:val="-7"/>
        </w:rPr>
        <w:t xml:space="preserve"> </w:t>
      </w:r>
      <w:r>
        <w:t>protección</w:t>
      </w:r>
      <w:r>
        <w:rPr>
          <w:spacing w:val="-4"/>
        </w:rPr>
        <w:t xml:space="preserve"> </w:t>
      </w:r>
      <w:r>
        <w:t>social</w:t>
      </w:r>
      <w:r>
        <w:rPr>
          <w:spacing w:val="-5"/>
        </w:rPr>
        <w:t xml:space="preserve"> </w:t>
      </w:r>
      <w:r>
        <w:t>e</w:t>
      </w:r>
      <w:r>
        <w:rPr>
          <w:spacing w:val="-8"/>
        </w:rPr>
        <w:t xml:space="preserve"> </w:t>
      </w:r>
      <w:r>
        <w:t>infantil lleguen a todos, especialmente a las familias en el sector no estructurado de la</w:t>
      </w:r>
      <w:r>
        <w:rPr>
          <w:spacing w:val="-29"/>
        </w:rPr>
        <w:t xml:space="preserve"> </w:t>
      </w:r>
      <w:r>
        <w:t>economía”</w:t>
      </w:r>
      <w:hyperlink w:anchor="_bookmark757" w:history="1">
        <w:r>
          <w:rPr>
            <w:position w:val="7"/>
            <w:sz w:val="13"/>
          </w:rPr>
          <w:t>75</w:t>
        </w:r>
      </w:hyperlink>
      <w:r>
        <w:t>.</w:t>
      </w:r>
    </w:p>
    <w:p w14:paraId="0770735C" w14:textId="77777777" w:rsidR="00467FCA" w:rsidRDefault="00467FCA">
      <w:pPr>
        <w:pStyle w:val="Textoindependiente"/>
      </w:pPr>
    </w:p>
    <w:p w14:paraId="00063477" w14:textId="77777777" w:rsidR="00467FCA" w:rsidRDefault="001B68EB">
      <w:pPr>
        <w:pStyle w:val="Prrafodelista"/>
        <w:numPr>
          <w:ilvl w:val="0"/>
          <w:numId w:val="7"/>
        </w:numPr>
        <w:tabs>
          <w:tab w:val="left" w:pos="1167"/>
        </w:tabs>
        <w:ind w:left="457" w:right="275" w:firstLine="0"/>
        <w:jc w:val="both"/>
        <w:rPr>
          <w:sz w:val="20"/>
        </w:rPr>
      </w:pPr>
      <w:r>
        <w:rPr>
          <w:sz w:val="20"/>
        </w:rPr>
        <w:t>Tal c</w:t>
      </w:r>
      <w:r>
        <w:rPr>
          <w:sz w:val="20"/>
        </w:rPr>
        <w:t>omo recoge la sentencia, por un lado, existía una prohibición en la legislación interna en relación de la presencia de las y los menores de edad en la realización de los trabajos</w:t>
      </w:r>
      <w:r>
        <w:rPr>
          <w:spacing w:val="-10"/>
          <w:sz w:val="20"/>
        </w:rPr>
        <w:t xml:space="preserve"> </w:t>
      </w:r>
      <w:r>
        <w:rPr>
          <w:sz w:val="20"/>
        </w:rPr>
        <w:t>denominados</w:t>
      </w:r>
      <w:r>
        <w:rPr>
          <w:spacing w:val="-9"/>
          <w:sz w:val="20"/>
        </w:rPr>
        <w:t xml:space="preserve"> </w:t>
      </w:r>
      <w:r>
        <w:rPr>
          <w:sz w:val="20"/>
        </w:rPr>
        <w:t>peligrosos.</w:t>
      </w:r>
      <w:r>
        <w:rPr>
          <w:spacing w:val="-9"/>
          <w:sz w:val="20"/>
        </w:rPr>
        <w:t xml:space="preserve"> </w:t>
      </w:r>
      <w:r>
        <w:rPr>
          <w:sz w:val="20"/>
        </w:rPr>
        <w:t>Esto</w:t>
      </w:r>
      <w:r>
        <w:rPr>
          <w:spacing w:val="-9"/>
          <w:sz w:val="20"/>
        </w:rPr>
        <w:t xml:space="preserve"> </w:t>
      </w:r>
      <w:r>
        <w:rPr>
          <w:sz w:val="20"/>
        </w:rPr>
        <w:t>es</w:t>
      </w:r>
      <w:r>
        <w:rPr>
          <w:spacing w:val="-9"/>
          <w:sz w:val="20"/>
        </w:rPr>
        <w:t xml:space="preserve"> </w:t>
      </w:r>
      <w:r>
        <w:rPr>
          <w:sz w:val="20"/>
        </w:rPr>
        <w:t>particularmente</w:t>
      </w:r>
      <w:r>
        <w:rPr>
          <w:spacing w:val="-10"/>
          <w:sz w:val="20"/>
        </w:rPr>
        <w:t xml:space="preserve"> </w:t>
      </w:r>
      <w:r>
        <w:rPr>
          <w:sz w:val="20"/>
        </w:rPr>
        <w:t>grave</w:t>
      </w:r>
      <w:r>
        <w:rPr>
          <w:spacing w:val="-9"/>
          <w:sz w:val="20"/>
        </w:rPr>
        <w:t xml:space="preserve"> </w:t>
      </w:r>
      <w:r>
        <w:rPr>
          <w:sz w:val="20"/>
        </w:rPr>
        <w:t>debido</w:t>
      </w:r>
      <w:r>
        <w:rPr>
          <w:spacing w:val="-6"/>
          <w:sz w:val="20"/>
        </w:rPr>
        <w:t xml:space="preserve"> </w:t>
      </w:r>
      <w:r>
        <w:rPr>
          <w:sz w:val="20"/>
        </w:rPr>
        <w:t>a</w:t>
      </w:r>
      <w:r>
        <w:rPr>
          <w:spacing w:val="-11"/>
          <w:sz w:val="20"/>
        </w:rPr>
        <w:t xml:space="preserve"> </w:t>
      </w:r>
      <w:r>
        <w:rPr>
          <w:sz w:val="20"/>
        </w:rPr>
        <w:t>que</w:t>
      </w:r>
      <w:r>
        <w:rPr>
          <w:spacing w:val="-7"/>
          <w:sz w:val="20"/>
        </w:rPr>
        <w:t xml:space="preserve"> </w:t>
      </w:r>
      <w:r>
        <w:rPr>
          <w:sz w:val="20"/>
        </w:rPr>
        <w:t>el</w:t>
      </w:r>
      <w:r>
        <w:rPr>
          <w:spacing w:val="-10"/>
          <w:sz w:val="20"/>
        </w:rPr>
        <w:t xml:space="preserve"> </w:t>
      </w:r>
      <w:r>
        <w:rPr>
          <w:sz w:val="20"/>
        </w:rPr>
        <w:t>Estado,</w:t>
      </w:r>
      <w:r>
        <w:rPr>
          <w:spacing w:val="-10"/>
          <w:sz w:val="20"/>
        </w:rPr>
        <w:t xml:space="preserve"> </w:t>
      </w:r>
      <w:r>
        <w:rPr>
          <w:sz w:val="20"/>
        </w:rPr>
        <w:t>al</w:t>
      </w:r>
      <w:r>
        <w:rPr>
          <w:spacing w:val="-8"/>
          <w:sz w:val="20"/>
        </w:rPr>
        <w:t xml:space="preserve"> </w:t>
      </w:r>
      <w:r>
        <w:rPr>
          <w:sz w:val="20"/>
        </w:rPr>
        <w:t>no ejecutar las obligaciones que la propia legislación establecía, permitió y toleró que existieran espacios en donde se incumplieran las obligaciones sobre prohibición de trabajo infantil. Además,</w:t>
      </w:r>
      <w:r>
        <w:rPr>
          <w:spacing w:val="-9"/>
          <w:sz w:val="20"/>
        </w:rPr>
        <w:t xml:space="preserve"> </w:t>
      </w:r>
      <w:r>
        <w:rPr>
          <w:sz w:val="20"/>
        </w:rPr>
        <w:t>la</w:t>
      </w:r>
      <w:r>
        <w:rPr>
          <w:spacing w:val="-8"/>
          <w:sz w:val="20"/>
        </w:rPr>
        <w:t xml:space="preserve"> </w:t>
      </w:r>
      <w:r>
        <w:rPr>
          <w:sz w:val="20"/>
        </w:rPr>
        <w:t>omisión</w:t>
      </w:r>
      <w:r>
        <w:rPr>
          <w:spacing w:val="-7"/>
          <w:sz w:val="20"/>
        </w:rPr>
        <w:t xml:space="preserve"> </w:t>
      </w:r>
      <w:r>
        <w:rPr>
          <w:sz w:val="20"/>
        </w:rPr>
        <w:t>estatal</w:t>
      </w:r>
      <w:r>
        <w:rPr>
          <w:spacing w:val="-10"/>
          <w:sz w:val="20"/>
        </w:rPr>
        <w:t xml:space="preserve"> </w:t>
      </w:r>
      <w:r>
        <w:rPr>
          <w:sz w:val="20"/>
        </w:rPr>
        <w:t>derivó</w:t>
      </w:r>
      <w:r>
        <w:rPr>
          <w:spacing w:val="-9"/>
          <w:sz w:val="20"/>
        </w:rPr>
        <w:t xml:space="preserve"> </w:t>
      </w:r>
      <w:r>
        <w:rPr>
          <w:sz w:val="20"/>
        </w:rPr>
        <w:t>en</w:t>
      </w:r>
      <w:r>
        <w:rPr>
          <w:spacing w:val="-9"/>
          <w:sz w:val="20"/>
        </w:rPr>
        <w:t xml:space="preserve"> </w:t>
      </w:r>
      <w:r>
        <w:rPr>
          <w:sz w:val="20"/>
        </w:rPr>
        <w:t>que</w:t>
      </w:r>
      <w:r>
        <w:rPr>
          <w:spacing w:val="-11"/>
          <w:sz w:val="20"/>
        </w:rPr>
        <w:t xml:space="preserve"> </w:t>
      </w:r>
      <w:r>
        <w:rPr>
          <w:sz w:val="20"/>
        </w:rPr>
        <w:t>no</w:t>
      </w:r>
      <w:r>
        <w:rPr>
          <w:spacing w:val="-12"/>
          <w:sz w:val="20"/>
        </w:rPr>
        <w:t xml:space="preserve"> </w:t>
      </w:r>
      <w:r>
        <w:rPr>
          <w:sz w:val="20"/>
        </w:rPr>
        <w:t>se</w:t>
      </w:r>
      <w:r>
        <w:rPr>
          <w:spacing w:val="-7"/>
          <w:sz w:val="20"/>
        </w:rPr>
        <w:t xml:space="preserve"> </w:t>
      </w:r>
      <w:r>
        <w:rPr>
          <w:sz w:val="20"/>
        </w:rPr>
        <w:t>detectar</w:t>
      </w:r>
      <w:r>
        <w:rPr>
          <w:sz w:val="20"/>
        </w:rPr>
        <w:t>a</w:t>
      </w:r>
      <w:r>
        <w:rPr>
          <w:spacing w:val="-10"/>
          <w:sz w:val="20"/>
        </w:rPr>
        <w:t xml:space="preserve"> </w:t>
      </w:r>
      <w:r>
        <w:rPr>
          <w:sz w:val="20"/>
        </w:rPr>
        <w:t>la</w:t>
      </w:r>
      <w:r>
        <w:rPr>
          <w:spacing w:val="-8"/>
          <w:sz w:val="20"/>
        </w:rPr>
        <w:t xml:space="preserve"> </w:t>
      </w:r>
      <w:r>
        <w:rPr>
          <w:sz w:val="20"/>
        </w:rPr>
        <w:t>presencia</w:t>
      </w:r>
      <w:r>
        <w:rPr>
          <w:spacing w:val="-8"/>
          <w:sz w:val="20"/>
        </w:rPr>
        <w:t xml:space="preserve"> </w:t>
      </w:r>
      <w:r>
        <w:rPr>
          <w:sz w:val="20"/>
        </w:rPr>
        <w:t>de</w:t>
      </w:r>
      <w:r>
        <w:rPr>
          <w:spacing w:val="-11"/>
          <w:sz w:val="20"/>
        </w:rPr>
        <w:t xml:space="preserve"> </w:t>
      </w:r>
      <w:r>
        <w:rPr>
          <w:sz w:val="20"/>
        </w:rPr>
        <w:t>menores</w:t>
      </w:r>
      <w:r>
        <w:rPr>
          <w:spacing w:val="-11"/>
          <w:sz w:val="20"/>
        </w:rPr>
        <w:t xml:space="preserve"> </w:t>
      </w:r>
      <w:r>
        <w:rPr>
          <w:sz w:val="20"/>
        </w:rPr>
        <w:t>de</w:t>
      </w:r>
      <w:r>
        <w:rPr>
          <w:spacing w:val="-9"/>
          <w:sz w:val="20"/>
        </w:rPr>
        <w:t xml:space="preserve"> </w:t>
      </w:r>
      <w:r>
        <w:rPr>
          <w:sz w:val="20"/>
        </w:rPr>
        <w:t>edad</w:t>
      </w:r>
      <w:r>
        <w:rPr>
          <w:spacing w:val="-8"/>
          <w:sz w:val="20"/>
        </w:rPr>
        <w:t xml:space="preserve"> </w:t>
      </w:r>
      <w:r>
        <w:rPr>
          <w:sz w:val="20"/>
        </w:rPr>
        <w:t>en la fábrica de fuegos, lo que generó la perdida de la vida de niñas y niños y las afectaciones que la explosión dejó como secuelas a los menores supervivientes, secuelas que hoy en día persisten y que, sin duda, constitu</w:t>
      </w:r>
      <w:r>
        <w:rPr>
          <w:sz w:val="20"/>
        </w:rPr>
        <w:t>yen un impacto devastador para su pleno</w:t>
      </w:r>
      <w:r>
        <w:rPr>
          <w:spacing w:val="-20"/>
          <w:sz w:val="20"/>
        </w:rPr>
        <w:t xml:space="preserve"> </w:t>
      </w:r>
      <w:r>
        <w:rPr>
          <w:sz w:val="20"/>
        </w:rPr>
        <w:t>desarrollo</w:t>
      </w:r>
      <w:hyperlink w:anchor="_bookmark758" w:history="1">
        <w:r>
          <w:rPr>
            <w:position w:val="7"/>
            <w:sz w:val="13"/>
          </w:rPr>
          <w:t>76</w:t>
        </w:r>
      </w:hyperlink>
      <w:r>
        <w:rPr>
          <w:sz w:val="20"/>
        </w:rPr>
        <w:t>.</w:t>
      </w:r>
    </w:p>
    <w:p w14:paraId="09177ADF" w14:textId="77777777" w:rsidR="00467FCA" w:rsidRDefault="00467FCA">
      <w:pPr>
        <w:pStyle w:val="Textoindependiente"/>
        <w:spacing w:before="10"/>
        <w:rPr>
          <w:sz w:val="19"/>
        </w:rPr>
      </w:pPr>
    </w:p>
    <w:p w14:paraId="64D174FC" w14:textId="77777777" w:rsidR="00467FCA" w:rsidRDefault="001B68EB">
      <w:pPr>
        <w:pStyle w:val="Prrafodelista"/>
        <w:numPr>
          <w:ilvl w:val="0"/>
          <w:numId w:val="7"/>
        </w:numPr>
        <w:tabs>
          <w:tab w:val="left" w:pos="1167"/>
        </w:tabs>
        <w:ind w:left="457" w:right="274" w:firstLine="0"/>
        <w:jc w:val="both"/>
        <w:rPr>
          <w:sz w:val="20"/>
        </w:rPr>
      </w:pPr>
      <w:r>
        <w:rPr>
          <w:sz w:val="20"/>
        </w:rPr>
        <w:t>Como se mencionó en el apartado I del presente voto, no basta con que formalmente existan las instituciones a las que se les delegue la competencia de fiscalizar, superv</w:t>
      </w:r>
      <w:r>
        <w:rPr>
          <w:sz w:val="20"/>
        </w:rPr>
        <w:t>isar o inspeccionar ciertas actividades consideradas como peligrosas en contextos laborales entre particulares; es necesario que, efectivamente ese aparato institucional, en la práctica, vele porque se materialice lo que se ha regulado. No puede pasar inad</w:t>
      </w:r>
      <w:r>
        <w:rPr>
          <w:sz w:val="20"/>
        </w:rPr>
        <w:t>vertido que, durante la audiencia pública, los agentes del Estado reconocieron que, teniendo en cuenta la extensión territorial del Estado, existen “limitaciones razonables” para realizar actividades de auditoría y fiscalización de las diferentes actividad</w:t>
      </w:r>
      <w:r>
        <w:rPr>
          <w:sz w:val="20"/>
        </w:rPr>
        <w:t>es económicas y que el Estado no puede “garantizar que el cien por ciento de los establecimientos y de las situaciones se</w:t>
      </w:r>
      <w:r>
        <w:rPr>
          <w:spacing w:val="-15"/>
          <w:sz w:val="20"/>
        </w:rPr>
        <w:t xml:space="preserve"> </w:t>
      </w:r>
      <w:r>
        <w:rPr>
          <w:sz w:val="20"/>
        </w:rPr>
        <w:t>supervisen”</w:t>
      </w:r>
      <w:hyperlink w:anchor="_bookmark759" w:history="1">
        <w:r>
          <w:rPr>
            <w:position w:val="7"/>
            <w:sz w:val="13"/>
          </w:rPr>
          <w:t>77</w:t>
        </w:r>
      </w:hyperlink>
      <w:r>
        <w:rPr>
          <w:sz w:val="20"/>
        </w:rPr>
        <w:t>.</w:t>
      </w:r>
    </w:p>
    <w:p w14:paraId="5281C2FA" w14:textId="77777777" w:rsidR="00467FCA" w:rsidRDefault="00467FCA">
      <w:pPr>
        <w:pStyle w:val="Textoindependiente"/>
        <w:spacing w:before="1"/>
      </w:pPr>
    </w:p>
    <w:p w14:paraId="5721D9DE" w14:textId="77777777" w:rsidR="00467FCA" w:rsidRDefault="001B68EB">
      <w:pPr>
        <w:pStyle w:val="Prrafodelista"/>
        <w:numPr>
          <w:ilvl w:val="0"/>
          <w:numId w:val="7"/>
        </w:numPr>
        <w:tabs>
          <w:tab w:val="left" w:pos="1167"/>
        </w:tabs>
        <w:ind w:right="274" w:firstLine="0"/>
        <w:jc w:val="both"/>
        <w:rPr>
          <w:sz w:val="20"/>
        </w:rPr>
      </w:pPr>
      <w:r>
        <w:rPr>
          <w:sz w:val="20"/>
        </w:rPr>
        <w:t>Sobre</w:t>
      </w:r>
      <w:r>
        <w:rPr>
          <w:spacing w:val="-17"/>
          <w:sz w:val="20"/>
        </w:rPr>
        <w:t xml:space="preserve"> </w:t>
      </w:r>
      <w:r>
        <w:rPr>
          <w:sz w:val="20"/>
        </w:rPr>
        <w:t>esta</w:t>
      </w:r>
      <w:r>
        <w:rPr>
          <w:spacing w:val="-15"/>
          <w:sz w:val="20"/>
        </w:rPr>
        <w:t xml:space="preserve"> </w:t>
      </w:r>
      <w:r>
        <w:rPr>
          <w:sz w:val="20"/>
        </w:rPr>
        <w:t>cuestión,</w:t>
      </w:r>
      <w:r>
        <w:rPr>
          <w:spacing w:val="-17"/>
          <w:sz w:val="20"/>
        </w:rPr>
        <w:t xml:space="preserve"> </w:t>
      </w:r>
      <w:r>
        <w:rPr>
          <w:sz w:val="20"/>
        </w:rPr>
        <w:t>por</w:t>
      </w:r>
      <w:r>
        <w:rPr>
          <w:spacing w:val="-14"/>
          <w:sz w:val="20"/>
        </w:rPr>
        <w:t xml:space="preserve"> </w:t>
      </w:r>
      <w:r>
        <w:rPr>
          <w:sz w:val="20"/>
        </w:rPr>
        <w:t>ejemplo,</w:t>
      </w:r>
      <w:r>
        <w:rPr>
          <w:spacing w:val="-17"/>
          <w:sz w:val="20"/>
        </w:rPr>
        <w:t xml:space="preserve"> </w:t>
      </w:r>
      <w:r>
        <w:rPr>
          <w:sz w:val="20"/>
        </w:rPr>
        <w:t>en</w:t>
      </w:r>
      <w:r>
        <w:rPr>
          <w:spacing w:val="-14"/>
          <w:sz w:val="20"/>
        </w:rPr>
        <w:t xml:space="preserve"> </w:t>
      </w:r>
      <w:r>
        <w:rPr>
          <w:sz w:val="20"/>
        </w:rPr>
        <w:t>el</w:t>
      </w:r>
      <w:r>
        <w:rPr>
          <w:spacing w:val="-16"/>
          <w:sz w:val="20"/>
        </w:rPr>
        <w:t xml:space="preserve"> </w:t>
      </w:r>
      <w:r>
        <w:rPr>
          <w:sz w:val="20"/>
        </w:rPr>
        <w:t>ámbito</w:t>
      </w:r>
      <w:r>
        <w:rPr>
          <w:spacing w:val="-16"/>
          <w:sz w:val="20"/>
        </w:rPr>
        <w:t xml:space="preserve"> </w:t>
      </w:r>
      <w:r>
        <w:rPr>
          <w:sz w:val="20"/>
        </w:rPr>
        <w:t>del</w:t>
      </w:r>
      <w:r>
        <w:rPr>
          <w:spacing w:val="-16"/>
          <w:sz w:val="20"/>
        </w:rPr>
        <w:t xml:space="preserve"> </w:t>
      </w:r>
      <w:r>
        <w:rPr>
          <w:sz w:val="20"/>
        </w:rPr>
        <w:t>Sistema</w:t>
      </w:r>
      <w:r>
        <w:rPr>
          <w:spacing w:val="-15"/>
          <w:sz w:val="20"/>
        </w:rPr>
        <w:t xml:space="preserve"> </w:t>
      </w:r>
      <w:r>
        <w:rPr>
          <w:sz w:val="20"/>
        </w:rPr>
        <w:t>Europeo,</w:t>
      </w:r>
      <w:r>
        <w:rPr>
          <w:spacing w:val="-14"/>
          <w:sz w:val="20"/>
        </w:rPr>
        <w:t xml:space="preserve"> </w:t>
      </w:r>
      <w:r>
        <w:rPr>
          <w:sz w:val="20"/>
        </w:rPr>
        <w:t>el</w:t>
      </w:r>
      <w:r>
        <w:rPr>
          <w:spacing w:val="-15"/>
          <w:sz w:val="20"/>
        </w:rPr>
        <w:t xml:space="preserve"> </w:t>
      </w:r>
      <w:r>
        <w:rPr>
          <w:sz w:val="20"/>
        </w:rPr>
        <w:t>Comité</w:t>
      </w:r>
      <w:r>
        <w:rPr>
          <w:spacing w:val="-17"/>
          <w:sz w:val="20"/>
        </w:rPr>
        <w:t xml:space="preserve"> </w:t>
      </w:r>
      <w:r>
        <w:rPr>
          <w:sz w:val="20"/>
        </w:rPr>
        <w:t>Europeo ha indicado que en virtud del artículo 3 de la Carta Social Europea, leído en consonancia con el artículo A.4</w:t>
      </w:r>
      <w:hyperlink w:anchor="_bookmark760" w:history="1">
        <w:r>
          <w:rPr>
            <w:position w:val="7"/>
            <w:sz w:val="13"/>
          </w:rPr>
          <w:t>78</w:t>
        </w:r>
      </w:hyperlink>
      <w:r>
        <w:rPr>
          <w:position w:val="7"/>
          <w:sz w:val="13"/>
        </w:rPr>
        <w:t xml:space="preserve"> </w:t>
      </w:r>
      <w:r>
        <w:rPr>
          <w:sz w:val="20"/>
        </w:rPr>
        <w:t>de la misma, los Estados se comprometen a “tener un sistema de inspección del</w:t>
      </w:r>
      <w:r>
        <w:rPr>
          <w:spacing w:val="-13"/>
          <w:sz w:val="20"/>
        </w:rPr>
        <w:t xml:space="preserve"> </w:t>
      </w:r>
      <w:r>
        <w:rPr>
          <w:sz w:val="20"/>
        </w:rPr>
        <w:t>trabajo</w:t>
      </w:r>
      <w:r>
        <w:rPr>
          <w:spacing w:val="-11"/>
          <w:sz w:val="20"/>
        </w:rPr>
        <w:t xml:space="preserve"> </w:t>
      </w:r>
      <w:r>
        <w:rPr>
          <w:sz w:val="20"/>
        </w:rPr>
        <w:t>adecuado</w:t>
      </w:r>
      <w:r>
        <w:rPr>
          <w:spacing w:val="-14"/>
          <w:sz w:val="20"/>
        </w:rPr>
        <w:t xml:space="preserve"> </w:t>
      </w:r>
      <w:r>
        <w:rPr>
          <w:sz w:val="20"/>
        </w:rPr>
        <w:t>a</w:t>
      </w:r>
      <w:r>
        <w:rPr>
          <w:spacing w:val="-13"/>
          <w:sz w:val="20"/>
        </w:rPr>
        <w:t xml:space="preserve"> </w:t>
      </w:r>
      <w:r>
        <w:rPr>
          <w:sz w:val="20"/>
        </w:rPr>
        <w:t>las</w:t>
      </w:r>
      <w:r>
        <w:rPr>
          <w:spacing w:val="-13"/>
          <w:sz w:val="20"/>
        </w:rPr>
        <w:t xml:space="preserve"> </w:t>
      </w:r>
      <w:r>
        <w:rPr>
          <w:sz w:val="20"/>
        </w:rPr>
        <w:t>con</w:t>
      </w:r>
      <w:r>
        <w:rPr>
          <w:sz w:val="20"/>
        </w:rPr>
        <w:t>diciones</w:t>
      </w:r>
      <w:r>
        <w:rPr>
          <w:spacing w:val="-13"/>
          <w:sz w:val="20"/>
        </w:rPr>
        <w:t xml:space="preserve"> </w:t>
      </w:r>
      <w:r>
        <w:rPr>
          <w:sz w:val="20"/>
        </w:rPr>
        <w:t>nacionales”.</w:t>
      </w:r>
      <w:r>
        <w:rPr>
          <w:spacing w:val="-14"/>
          <w:sz w:val="20"/>
        </w:rPr>
        <w:t xml:space="preserve"> </w:t>
      </w:r>
      <w:r>
        <w:rPr>
          <w:sz w:val="20"/>
        </w:rPr>
        <w:t>Si</w:t>
      </w:r>
      <w:r>
        <w:rPr>
          <w:spacing w:val="-12"/>
          <w:sz w:val="20"/>
        </w:rPr>
        <w:t xml:space="preserve"> </w:t>
      </w:r>
      <w:r>
        <w:rPr>
          <w:sz w:val="20"/>
        </w:rPr>
        <w:t>bien</w:t>
      </w:r>
      <w:r>
        <w:rPr>
          <w:spacing w:val="-12"/>
          <w:sz w:val="20"/>
        </w:rPr>
        <w:t xml:space="preserve"> </w:t>
      </w:r>
      <w:r>
        <w:rPr>
          <w:sz w:val="20"/>
        </w:rPr>
        <w:t>el</w:t>
      </w:r>
      <w:r>
        <w:rPr>
          <w:spacing w:val="-11"/>
          <w:sz w:val="20"/>
        </w:rPr>
        <w:t xml:space="preserve"> </w:t>
      </w:r>
      <w:r>
        <w:rPr>
          <w:sz w:val="20"/>
        </w:rPr>
        <w:t>referido</w:t>
      </w:r>
      <w:r>
        <w:rPr>
          <w:spacing w:val="-11"/>
          <w:sz w:val="20"/>
        </w:rPr>
        <w:t xml:space="preserve"> </w:t>
      </w:r>
      <w:r>
        <w:rPr>
          <w:sz w:val="20"/>
        </w:rPr>
        <w:t>Comité</w:t>
      </w:r>
      <w:r>
        <w:rPr>
          <w:spacing w:val="-14"/>
          <w:sz w:val="20"/>
        </w:rPr>
        <w:t xml:space="preserve"> </w:t>
      </w:r>
      <w:r>
        <w:rPr>
          <w:sz w:val="20"/>
        </w:rPr>
        <w:t>ha</w:t>
      </w:r>
      <w:r>
        <w:rPr>
          <w:spacing w:val="-13"/>
          <w:sz w:val="20"/>
        </w:rPr>
        <w:t xml:space="preserve"> </w:t>
      </w:r>
      <w:r>
        <w:rPr>
          <w:sz w:val="20"/>
        </w:rPr>
        <w:t>indicado</w:t>
      </w:r>
      <w:r>
        <w:rPr>
          <w:spacing w:val="-14"/>
          <w:sz w:val="20"/>
        </w:rPr>
        <w:t xml:space="preserve"> </w:t>
      </w:r>
      <w:r>
        <w:rPr>
          <w:sz w:val="20"/>
        </w:rPr>
        <w:t>que, en principio, los Estados tienen un margen de apreciación —no solo en la organización de los servicios de inspección sino también en la asignación de recursos a los servicios de inspección—;</w:t>
      </w:r>
      <w:r>
        <w:rPr>
          <w:sz w:val="20"/>
        </w:rPr>
        <w:t xml:space="preserve"> lo cierto es que dado que estos servicios son los principales garantes tanto de la salud y la seguridad en el lugar de trabajo, el Comité debe verificar que se les asignen recursos suficientes para que puedan realizar regularmente un número mínimo de visi</w:t>
      </w:r>
      <w:r>
        <w:rPr>
          <w:sz w:val="20"/>
        </w:rPr>
        <w:t>tas de control</w:t>
      </w:r>
      <w:r>
        <w:rPr>
          <w:spacing w:val="30"/>
          <w:sz w:val="20"/>
        </w:rPr>
        <w:t xml:space="preserve"> </w:t>
      </w:r>
      <w:r>
        <w:rPr>
          <w:sz w:val="20"/>
        </w:rPr>
        <w:t>para</w:t>
      </w:r>
      <w:r>
        <w:rPr>
          <w:spacing w:val="30"/>
          <w:sz w:val="20"/>
        </w:rPr>
        <w:t xml:space="preserve"> </w:t>
      </w:r>
      <w:r>
        <w:rPr>
          <w:sz w:val="20"/>
        </w:rPr>
        <w:t>que</w:t>
      </w:r>
      <w:r>
        <w:rPr>
          <w:spacing w:val="31"/>
          <w:sz w:val="20"/>
        </w:rPr>
        <w:t xml:space="preserve"> </w:t>
      </w:r>
      <w:r>
        <w:rPr>
          <w:sz w:val="20"/>
        </w:rPr>
        <w:t>el</w:t>
      </w:r>
      <w:r>
        <w:rPr>
          <w:spacing w:val="30"/>
          <w:sz w:val="20"/>
        </w:rPr>
        <w:t xml:space="preserve"> </w:t>
      </w:r>
      <w:r>
        <w:rPr>
          <w:sz w:val="20"/>
        </w:rPr>
        <w:t>derecho</w:t>
      </w:r>
      <w:r>
        <w:rPr>
          <w:spacing w:val="31"/>
          <w:sz w:val="20"/>
        </w:rPr>
        <w:t xml:space="preserve"> </w:t>
      </w:r>
      <w:r>
        <w:rPr>
          <w:sz w:val="20"/>
        </w:rPr>
        <w:t>consagrado</w:t>
      </w:r>
      <w:r>
        <w:rPr>
          <w:spacing w:val="28"/>
          <w:sz w:val="20"/>
        </w:rPr>
        <w:t xml:space="preserve"> </w:t>
      </w:r>
      <w:r>
        <w:rPr>
          <w:sz w:val="20"/>
        </w:rPr>
        <w:t>en</w:t>
      </w:r>
      <w:r>
        <w:rPr>
          <w:spacing w:val="33"/>
          <w:sz w:val="20"/>
        </w:rPr>
        <w:t xml:space="preserve"> </w:t>
      </w:r>
      <w:r>
        <w:rPr>
          <w:sz w:val="20"/>
        </w:rPr>
        <w:t>el</w:t>
      </w:r>
      <w:r>
        <w:rPr>
          <w:spacing w:val="30"/>
          <w:sz w:val="20"/>
        </w:rPr>
        <w:t xml:space="preserve"> </w:t>
      </w:r>
      <w:r>
        <w:rPr>
          <w:sz w:val="20"/>
        </w:rPr>
        <w:t>artículo</w:t>
      </w:r>
      <w:r>
        <w:rPr>
          <w:spacing w:val="28"/>
          <w:sz w:val="20"/>
        </w:rPr>
        <w:t xml:space="preserve"> </w:t>
      </w:r>
      <w:r>
        <w:rPr>
          <w:sz w:val="20"/>
        </w:rPr>
        <w:t>3</w:t>
      </w:r>
      <w:r>
        <w:rPr>
          <w:spacing w:val="30"/>
          <w:sz w:val="20"/>
        </w:rPr>
        <w:t xml:space="preserve"> </w:t>
      </w:r>
      <w:r>
        <w:rPr>
          <w:sz w:val="20"/>
        </w:rPr>
        <w:t>beneficie</w:t>
      </w:r>
      <w:r>
        <w:rPr>
          <w:spacing w:val="29"/>
          <w:sz w:val="20"/>
        </w:rPr>
        <w:t xml:space="preserve"> </w:t>
      </w:r>
      <w:r>
        <w:rPr>
          <w:sz w:val="20"/>
        </w:rPr>
        <w:t>efectivamente</w:t>
      </w:r>
      <w:r>
        <w:rPr>
          <w:spacing w:val="28"/>
          <w:sz w:val="20"/>
        </w:rPr>
        <w:t xml:space="preserve"> </w:t>
      </w:r>
      <w:r>
        <w:rPr>
          <w:sz w:val="20"/>
        </w:rPr>
        <w:t>al</w:t>
      </w:r>
      <w:r>
        <w:rPr>
          <w:spacing w:val="30"/>
          <w:sz w:val="20"/>
        </w:rPr>
        <w:t xml:space="preserve"> </w:t>
      </w:r>
      <w:r>
        <w:rPr>
          <w:sz w:val="20"/>
        </w:rPr>
        <w:t>mayor</w:t>
      </w:r>
    </w:p>
    <w:p w14:paraId="48B00CD0" w14:textId="77777777" w:rsidR="00467FCA" w:rsidRDefault="001B68EB">
      <w:pPr>
        <w:pStyle w:val="Textoindependiente"/>
        <w:spacing w:before="4"/>
        <w:rPr>
          <w:sz w:val="17"/>
        </w:rPr>
      </w:pPr>
      <w:r>
        <w:pict w14:anchorId="5557F036">
          <v:shape id="_x0000_s1055" style="position:absolute;margin-left:70.9pt;margin-top:12.8pt;width:2in;height:.1pt;z-index:-251514880;mso-wrap-distance-left:0;mso-wrap-distance-right:0;mso-position-horizontal-relative:page" coordorigin="1418,256" coordsize="2880,0" path="m1418,256r2880,e" filled="f" strokeweight=".6pt">
            <v:path arrowok="t"/>
            <w10:wrap type="topAndBottom" anchorx="page"/>
          </v:shape>
        </w:pict>
      </w:r>
    </w:p>
    <w:p w14:paraId="24E8685F" w14:textId="77777777" w:rsidR="00467FCA" w:rsidRDefault="001B68EB">
      <w:pPr>
        <w:tabs>
          <w:tab w:val="left" w:pos="1166"/>
        </w:tabs>
        <w:spacing w:before="74"/>
        <w:ind w:left="458" w:right="334"/>
        <w:rPr>
          <w:sz w:val="16"/>
        </w:rPr>
      </w:pPr>
      <w:bookmarkStart w:id="837" w:name="_bookmark756"/>
      <w:bookmarkEnd w:id="837"/>
      <w:r>
        <w:rPr>
          <w:position w:val="6"/>
          <w:sz w:val="10"/>
        </w:rPr>
        <w:t>74</w:t>
      </w:r>
      <w:r>
        <w:rPr>
          <w:position w:val="6"/>
          <w:sz w:val="10"/>
        </w:rPr>
        <w:tab/>
      </w:r>
      <w:r>
        <w:rPr>
          <w:i/>
          <w:sz w:val="16"/>
        </w:rPr>
        <w:t>Cfr. Caso Empleados de la Fábrica de Fuegos en Santo Antônio de Jesus y sus familiares Vs. Brasil, supra</w:t>
      </w:r>
      <w:r>
        <w:rPr>
          <w:sz w:val="16"/>
        </w:rPr>
        <w:t>, párrs. 176 a</w:t>
      </w:r>
      <w:r>
        <w:rPr>
          <w:spacing w:val="-5"/>
          <w:sz w:val="16"/>
        </w:rPr>
        <w:t xml:space="preserve"> </w:t>
      </w:r>
      <w:r>
        <w:rPr>
          <w:sz w:val="16"/>
        </w:rPr>
        <w:t>181.</w:t>
      </w:r>
    </w:p>
    <w:p w14:paraId="02F8D211" w14:textId="77777777" w:rsidR="00467FCA" w:rsidRDefault="001B68EB">
      <w:pPr>
        <w:tabs>
          <w:tab w:val="left" w:pos="1166"/>
        </w:tabs>
        <w:ind w:left="458" w:right="276"/>
        <w:rPr>
          <w:sz w:val="16"/>
        </w:rPr>
      </w:pPr>
      <w:bookmarkStart w:id="838" w:name="_bookmark757"/>
      <w:bookmarkEnd w:id="838"/>
      <w:r>
        <w:rPr>
          <w:position w:val="6"/>
          <w:sz w:val="10"/>
        </w:rPr>
        <w:t>75</w:t>
      </w:r>
      <w:r>
        <w:rPr>
          <w:position w:val="6"/>
          <w:sz w:val="10"/>
        </w:rPr>
        <w:tab/>
      </w:r>
      <w:r>
        <w:rPr>
          <w:i/>
          <w:sz w:val="16"/>
        </w:rPr>
        <w:t>Cfr. Comité de los Derechos del niño, Observación General Nº 16, sobre las obligaciones del Estado en relación</w:t>
      </w:r>
      <w:r>
        <w:rPr>
          <w:i/>
          <w:spacing w:val="-3"/>
          <w:sz w:val="16"/>
        </w:rPr>
        <w:t xml:space="preserve"> </w:t>
      </w:r>
      <w:r>
        <w:rPr>
          <w:i/>
          <w:sz w:val="16"/>
        </w:rPr>
        <w:t>con</w:t>
      </w:r>
      <w:r>
        <w:rPr>
          <w:i/>
          <w:spacing w:val="-6"/>
          <w:sz w:val="16"/>
        </w:rPr>
        <w:t xml:space="preserve"> </w:t>
      </w:r>
      <w:r>
        <w:rPr>
          <w:i/>
          <w:sz w:val="16"/>
        </w:rPr>
        <w:t>el</w:t>
      </w:r>
      <w:r>
        <w:rPr>
          <w:i/>
          <w:spacing w:val="-3"/>
          <w:sz w:val="16"/>
        </w:rPr>
        <w:t xml:space="preserve"> </w:t>
      </w:r>
      <w:r>
        <w:rPr>
          <w:i/>
          <w:sz w:val="16"/>
        </w:rPr>
        <w:t>impacto</w:t>
      </w:r>
      <w:r>
        <w:rPr>
          <w:i/>
          <w:spacing w:val="-4"/>
          <w:sz w:val="16"/>
        </w:rPr>
        <w:t xml:space="preserve"> </w:t>
      </w:r>
      <w:r>
        <w:rPr>
          <w:i/>
          <w:sz w:val="16"/>
        </w:rPr>
        <w:t>del</w:t>
      </w:r>
      <w:r>
        <w:rPr>
          <w:i/>
          <w:spacing w:val="-3"/>
          <w:sz w:val="16"/>
        </w:rPr>
        <w:t xml:space="preserve"> </w:t>
      </w:r>
      <w:r>
        <w:rPr>
          <w:i/>
          <w:sz w:val="16"/>
        </w:rPr>
        <w:t>sector</w:t>
      </w:r>
      <w:r>
        <w:rPr>
          <w:i/>
          <w:spacing w:val="-4"/>
          <w:sz w:val="16"/>
        </w:rPr>
        <w:t xml:space="preserve"> </w:t>
      </w:r>
      <w:r>
        <w:rPr>
          <w:i/>
          <w:sz w:val="16"/>
        </w:rPr>
        <w:t>empresarial</w:t>
      </w:r>
      <w:r>
        <w:rPr>
          <w:i/>
          <w:spacing w:val="-3"/>
          <w:sz w:val="16"/>
        </w:rPr>
        <w:t xml:space="preserve"> </w:t>
      </w:r>
      <w:r>
        <w:rPr>
          <w:i/>
          <w:sz w:val="16"/>
        </w:rPr>
        <w:t>en</w:t>
      </w:r>
      <w:r>
        <w:rPr>
          <w:i/>
          <w:spacing w:val="-2"/>
          <w:sz w:val="16"/>
        </w:rPr>
        <w:t xml:space="preserve"> </w:t>
      </w:r>
      <w:r>
        <w:rPr>
          <w:i/>
          <w:sz w:val="16"/>
        </w:rPr>
        <w:t>los</w:t>
      </w:r>
      <w:r>
        <w:rPr>
          <w:i/>
          <w:spacing w:val="-5"/>
          <w:sz w:val="16"/>
        </w:rPr>
        <w:t xml:space="preserve"> </w:t>
      </w:r>
      <w:r>
        <w:rPr>
          <w:i/>
          <w:sz w:val="16"/>
        </w:rPr>
        <w:t>derechos</w:t>
      </w:r>
      <w:r>
        <w:rPr>
          <w:i/>
          <w:spacing w:val="-5"/>
          <w:sz w:val="16"/>
        </w:rPr>
        <w:t xml:space="preserve"> </w:t>
      </w:r>
      <w:r>
        <w:rPr>
          <w:i/>
          <w:sz w:val="16"/>
        </w:rPr>
        <w:t>del</w:t>
      </w:r>
      <w:r>
        <w:rPr>
          <w:i/>
          <w:spacing w:val="-3"/>
          <w:sz w:val="16"/>
        </w:rPr>
        <w:t xml:space="preserve"> </w:t>
      </w:r>
      <w:r>
        <w:rPr>
          <w:i/>
          <w:sz w:val="16"/>
        </w:rPr>
        <w:t>niño</w:t>
      </w:r>
      <w:r>
        <w:rPr>
          <w:sz w:val="16"/>
        </w:rPr>
        <w:t>,</w:t>
      </w:r>
      <w:r>
        <w:rPr>
          <w:spacing w:val="-6"/>
          <w:sz w:val="16"/>
        </w:rPr>
        <w:t xml:space="preserve"> </w:t>
      </w:r>
      <w:r>
        <w:rPr>
          <w:sz w:val="16"/>
        </w:rPr>
        <w:t>CRC/C/GC/16,</w:t>
      </w:r>
      <w:r>
        <w:rPr>
          <w:spacing w:val="-6"/>
          <w:sz w:val="16"/>
        </w:rPr>
        <w:t xml:space="preserve"> </w:t>
      </w:r>
      <w:r>
        <w:rPr>
          <w:sz w:val="16"/>
        </w:rPr>
        <w:t>17</w:t>
      </w:r>
      <w:r>
        <w:rPr>
          <w:spacing w:val="-4"/>
          <w:sz w:val="16"/>
        </w:rPr>
        <w:t xml:space="preserve"> </w:t>
      </w:r>
      <w:r>
        <w:rPr>
          <w:sz w:val="16"/>
        </w:rPr>
        <w:t>de</w:t>
      </w:r>
      <w:r>
        <w:rPr>
          <w:spacing w:val="-4"/>
          <w:sz w:val="16"/>
        </w:rPr>
        <w:t xml:space="preserve"> </w:t>
      </w:r>
      <w:r>
        <w:rPr>
          <w:sz w:val="16"/>
        </w:rPr>
        <w:t>abril</w:t>
      </w:r>
      <w:r>
        <w:rPr>
          <w:spacing w:val="-3"/>
          <w:sz w:val="16"/>
        </w:rPr>
        <w:t xml:space="preserve"> </w:t>
      </w:r>
      <w:r>
        <w:rPr>
          <w:sz w:val="16"/>
        </w:rPr>
        <w:t>de</w:t>
      </w:r>
      <w:r>
        <w:rPr>
          <w:spacing w:val="-5"/>
          <w:sz w:val="16"/>
        </w:rPr>
        <w:t xml:space="preserve"> </w:t>
      </w:r>
      <w:r>
        <w:rPr>
          <w:sz w:val="16"/>
        </w:rPr>
        <w:t>2013,</w:t>
      </w:r>
      <w:r>
        <w:rPr>
          <w:spacing w:val="-6"/>
          <w:sz w:val="16"/>
        </w:rPr>
        <w:t xml:space="preserve"> </w:t>
      </w:r>
      <w:r>
        <w:rPr>
          <w:sz w:val="16"/>
        </w:rPr>
        <w:t>párr.</w:t>
      </w:r>
      <w:r>
        <w:rPr>
          <w:spacing w:val="-3"/>
          <w:sz w:val="16"/>
        </w:rPr>
        <w:t xml:space="preserve"> </w:t>
      </w:r>
      <w:r>
        <w:rPr>
          <w:sz w:val="16"/>
        </w:rPr>
        <w:t>37.</w:t>
      </w:r>
    </w:p>
    <w:p w14:paraId="1E9F8994" w14:textId="77777777" w:rsidR="00467FCA" w:rsidRDefault="001B68EB">
      <w:pPr>
        <w:tabs>
          <w:tab w:val="left" w:pos="1166"/>
        </w:tabs>
        <w:ind w:left="458" w:right="334"/>
        <w:rPr>
          <w:sz w:val="16"/>
        </w:rPr>
      </w:pPr>
      <w:bookmarkStart w:id="839" w:name="_bookmark758"/>
      <w:bookmarkEnd w:id="839"/>
      <w:r>
        <w:rPr>
          <w:position w:val="6"/>
          <w:sz w:val="10"/>
        </w:rPr>
        <w:t>76</w:t>
      </w:r>
      <w:r>
        <w:rPr>
          <w:position w:val="6"/>
          <w:sz w:val="10"/>
        </w:rPr>
        <w:tab/>
      </w:r>
      <w:r>
        <w:rPr>
          <w:i/>
          <w:sz w:val="16"/>
        </w:rPr>
        <w:t>Cfr. Caso Empleados de la Fábrica de Fuegos en Santo Antônio de Jesus y sus familiares Vs. Brasil, supra</w:t>
      </w:r>
      <w:r>
        <w:rPr>
          <w:sz w:val="16"/>
        </w:rPr>
        <w:t>, párrs. 137, 138 y</w:t>
      </w:r>
      <w:r>
        <w:rPr>
          <w:spacing w:val="-4"/>
          <w:sz w:val="16"/>
        </w:rPr>
        <w:t xml:space="preserve"> </w:t>
      </w:r>
      <w:r>
        <w:rPr>
          <w:sz w:val="16"/>
        </w:rPr>
        <w:t>139.</w:t>
      </w:r>
    </w:p>
    <w:p w14:paraId="696DBD78" w14:textId="77777777" w:rsidR="00467FCA" w:rsidRDefault="001B68EB">
      <w:pPr>
        <w:tabs>
          <w:tab w:val="left" w:pos="1166"/>
        </w:tabs>
        <w:ind w:left="458" w:right="334"/>
        <w:rPr>
          <w:sz w:val="16"/>
        </w:rPr>
      </w:pPr>
      <w:bookmarkStart w:id="840" w:name="_bookmark759"/>
      <w:bookmarkEnd w:id="840"/>
      <w:r>
        <w:rPr>
          <w:position w:val="6"/>
          <w:sz w:val="10"/>
        </w:rPr>
        <w:t>77</w:t>
      </w:r>
      <w:r>
        <w:rPr>
          <w:position w:val="6"/>
          <w:sz w:val="10"/>
        </w:rPr>
        <w:tab/>
      </w:r>
      <w:r>
        <w:rPr>
          <w:i/>
          <w:sz w:val="16"/>
        </w:rPr>
        <w:t>Cfr. Caso Empleados de la Fábrica de Fuegos en Santo Antônio de Jesus y sus familiares Vs. Brasil, supra</w:t>
      </w:r>
      <w:r>
        <w:rPr>
          <w:sz w:val="16"/>
        </w:rPr>
        <w:t>, párr.</w:t>
      </w:r>
      <w:r>
        <w:rPr>
          <w:spacing w:val="-1"/>
          <w:sz w:val="16"/>
        </w:rPr>
        <w:t xml:space="preserve"> </w:t>
      </w:r>
      <w:r>
        <w:rPr>
          <w:sz w:val="16"/>
        </w:rPr>
        <w:t>136.</w:t>
      </w:r>
    </w:p>
    <w:p w14:paraId="320A991C" w14:textId="77777777" w:rsidR="00467FCA" w:rsidRDefault="001B68EB">
      <w:pPr>
        <w:tabs>
          <w:tab w:val="left" w:pos="1166"/>
        </w:tabs>
        <w:ind w:left="458" w:right="409"/>
        <w:rPr>
          <w:sz w:val="16"/>
        </w:rPr>
      </w:pPr>
      <w:bookmarkStart w:id="841" w:name="_bookmark760"/>
      <w:bookmarkEnd w:id="841"/>
      <w:r>
        <w:rPr>
          <w:position w:val="6"/>
          <w:sz w:val="10"/>
        </w:rPr>
        <w:t>78</w:t>
      </w:r>
      <w:r>
        <w:rPr>
          <w:position w:val="6"/>
          <w:sz w:val="10"/>
        </w:rPr>
        <w:tab/>
      </w:r>
      <w:r>
        <w:rPr>
          <w:sz w:val="16"/>
        </w:rPr>
        <w:t>Véase “Artículo A. Obligaciones […] 4. Cada Parte dispondrá́ de un sistema de inspección del trabajo adecuado a las condiciones</w:t>
      </w:r>
      <w:r>
        <w:rPr>
          <w:spacing w:val="-1"/>
          <w:sz w:val="16"/>
        </w:rPr>
        <w:t xml:space="preserve"> </w:t>
      </w:r>
      <w:r>
        <w:rPr>
          <w:sz w:val="16"/>
        </w:rPr>
        <w:t>nacional</w:t>
      </w:r>
      <w:r>
        <w:rPr>
          <w:sz w:val="16"/>
        </w:rPr>
        <w:t>es”.</w:t>
      </w:r>
    </w:p>
    <w:p w14:paraId="5BA08BF4" w14:textId="77777777" w:rsidR="00467FCA" w:rsidRDefault="00467FCA">
      <w:pPr>
        <w:rPr>
          <w:sz w:val="16"/>
        </w:rPr>
        <w:sectPr w:rsidR="00467FCA">
          <w:pgSz w:w="12240" w:h="15840"/>
          <w:pgMar w:top="1340" w:right="1140" w:bottom="920" w:left="960" w:header="0" w:footer="734" w:gutter="0"/>
          <w:cols w:space="720"/>
        </w:sectPr>
      </w:pPr>
    </w:p>
    <w:p w14:paraId="3926061A" w14:textId="77777777" w:rsidR="00467FCA" w:rsidRDefault="001B68EB">
      <w:pPr>
        <w:pStyle w:val="Textoindependiente"/>
        <w:spacing w:before="79"/>
        <w:ind w:left="458" w:right="277"/>
        <w:jc w:val="both"/>
      </w:pPr>
      <w:r>
        <w:t>número de trabajadores y para que el riesgo de accidentes se reduzca al mínimo. El margen de apreciación de los Estados es, por lo tanto, limitado y se viola la Carta cuando la relación entre el personal de los servicios de inspección, l</w:t>
      </w:r>
      <w:r>
        <w:t>as visitas realizadas y los empleados involucrados es manifiestamente insuficiente</w:t>
      </w:r>
      <w:hyperlink w:anchor="_bookmark761" w:history="1">
        <w:r>
          <w:rPr>
            <w:position w:val="7"/>
            <w:sz w:val="13"/>
          </w:rPr>
          <w:t>79</w:t>
        </w:r>
      </w:hyperlink>
      <w:r>
        <w:t>.</w:t>
      </w:r>
    </w:p>
    <w:p w14:paraId="02C4F3F5" w14:textId="77777777" w:rsidR="00467FCA" w:rsidRDefault="00467FCA">
      <w:pPr>
        <w:pStyle w:val="Textoindependiente"/>
        <w:spacing w:before="11"/>
        <w:rPr>
          <w:sz w:val="19"/>
        </w:rPr>
      </w:pPr>
    </w:p>
    <w:p w14:paraId="58CFAFAE" w14:textId="77777777" w:rsidR="00467FCA" w:rsidRDefault="001B68EB">
      <w:pPr>
        <w:pStyle w:val="Prrafodelista"/>
        <w:numPr>
          <w:ilvl w:val="0"/>
          <w:numId w:val="7"/>
        </w:numPr>
        <w:tabs>
          <w:tab w:val="left" w:pos="1167"/>
        </w:tabs>
        <w:ind w:right="277" w:firstLine="0"/>
        <w:jc w:val="both"/>
        <w:rPr>
          <w:sz w:val="20"/>
        </w:rPr>
      </w:pPr>
      <w:r>
        <w:rPr>
          <w:sz w:val="20"/>
        </w:rPr>
        <w:t>En similar sentido la Comisión Interamericana ha indicado que, como parte de la estrategia</w:t>
      </w:r>
      <w:r>
        <w:rPr>
          <w:spacing w:val="-22"/>
          <w:sz w:val="20"/>
        </w:rPr>
        <w:t xml:space="preserve"> </w:t>
      </w:r>
      <w:r>
        <w:rPr>
          <w:sz w:val="20"/>
        </w:rPr>
        <w:t>de</w:t>
      </w:r>
      <w:r>
        <w:rPr>
          <w:spacing w:val="-21"/>
          <w:sz w:val="20"/>
        </w:rPr>
        <w:t xml:space="preserve"> </w:t>
      </w:r>
      <w:r>
        <w:rPr>
          <w:sz w:val="20"/>
        </w:rPr>
        <w:t>prevención</w:t>
      </w:r>
      <w:r>
        <w:rPr>
          <w:spacing w:val="-19"/>
          <w:sz w:val="20"/>
        </w:rPr>
        <w:t xml:space="preserve"> </w:t>
      </w:r>
      <w:r>
        <w:rPr>
          <w:sz w:val="20"/>
        </w:rPr>
        <w:t>integral,</w:t>
      </w:r>
      <w:r>
        <w:rPr>
          <w:spacing w:val="-21"/>
          <w:sz w:val="20"/>
        </w:rPr>
        <w:t xml:space="preserve"> </w:t>
      </w:r>
      <w:r>
        <w:rPr>
          <w:sz w:val="20"/>
        </w:rPr>
        <w:t>los</w:t>
      </w:r>
      <w:r>
        <w:rPr>
          <w:spacing w:val="-23"/>
          <w:sz w:val="20"/>
        </w:rPr>
        <w:t xml:space="preserve"> </w:t>
      </w:r>
      <w:r>
        <w:rPr>
          <w:sz w:val="20"/>
        </w:rPr>
        <w:t>Estados</w:t>
      </w:r>
      <w:r>
        <w:rPr>
          <w:spacing w:val="-23"/>
          <w:sz w:val="20"/>
        </w:rPr>
        <w:t xml:space="preserve"> </w:t>
      </w:r>
      <w:r>
        <w:rPr>
          <w:sz w:val="20"/>
        </w:rPr>
        <w:t>deberían</w:t>
      </w:r>
      <w:r>
        <w:rPr>
          <w:spacing w:val="-21"/>
          <w:sz w:val="20"/>
        </w:rPr>
        <w:t xml:space="preserve"> </w:t>
      </w:r>
      <w:r>
        <w:rPr>
          <w:sz w:val="20"/>
        </w:rPr>
        <w:t>f</w:t>
      </w:r>
      <w:r>
        <w:rPr>
          <w:sz w:val="20"/>
        </w:rPr>
        <w:t>ortalecer</w:t>
      </w:r>
      <w:r>
        <w:rPr>
          <w:spacing w:val="-23"/>
          <w:sz w:val="20"/>
        </w:rPr>
        <w:t xml:space="preserve"> </w:t>
      </w:r>
      <w:r>
        <w:rPr>
          <w:sz w:val="20"/>
        </w:rPr>
        <w:t>las</w:t>
      </w:r>
      <w:r>
        <w:rPr>
          <w:spacing w:val="-23"/>
          <w:sz w:val="20"/>
        </w:rPr>
        <w:t xml:space="preserve"> </w:t>
      </w:r>
      <w:r>
        <w:rPr>
          <w:sz w:val="20"/>
        </w:rPr>
        <w:t>instituciones</w:t>
      </w:r>
      <w:r>
        <w:rPr>
          <w:spacing w:val="-22"/>
          <w:sz w:val="20"/>
        </w:rPr>
        <w:t xml:space="preserve"> </w:t>
      </w:r>
      <w:r>
        <w:rPr>
          <w:sz w:val="20"/>
        </w:rPr>
        <w:t>involucradas en esa estrategia “para que puedan proporcionar una respuesta efectiva al fenómeno que se pretenda</w:t>
      </w:r>
      <w:r>
        <w:rPr>
          <w:spacing w:val="-2"/>
          <w:sz w:val="20"/>
        </w:rPr>
        <w:t xml:space="preserve"> </w:t>
      </w:r>
      <w:r>
        <w:rPr>
          <w:sz w:val="20"/>
        </w:rPr>
        <w:t>enfrentar”</w:t>
      </w:r>
      <w:hyperlink w:anchor="_bookmark762" w:history="1">
        <w:r>
          <w:rPr>
            <w:position w:val="7"/>
            <w:sz w:val="13"/>
          </w:rPr>
          <w:t>80</w:t>
        </w:r>
      </w:hyperlink>
      <w:r>
        <w:rPr>
          <w:sz w:val="20"/>
        </w:rPr>
        <w:t>.</w:t>
      </w:r>
    </w:p>
    <w:p w14:paraId="32939076" w14:textId="77777777" w:rsidR="00467FCA" w:rsidRDefault="00467FCA">
      <w:pPr>
        <w:pStyle w:val="Textoindependiente"/>
        <w:spacing w:before="1"/>
      </w:pPr>
    </w:p>
    <w:p w14:paraId="6219DF13" w14:textId="77777777" w:rsidR="00467FCA" w:rsidRDefault="001B68EB">
      <w:pPr>
        <w:pStyle w:val="Prrafodelista"/>
        <w:numPr>
          <w:ilvl w:val="0"/>
          <w:numId w:val="7"/>
        </w:numPr>
        <w:tabs>
          <w:tab w:val="left" w:pos="1167"/>
        </w:tabs>
        <w:ind w:right="275" w:firstLine="0"/>
        <w:jc w:val="both"/>
        <w:rPr>
          <w:sz w:val="20"/>
        </w:rPr>
      </w:pPr>
      <w:r>
        <w:rPr>
          <w:sz w:val="20"/>
        </w:rPr>
        <w:t>De</w:t>
      </w:r>
      <w:r>
        <w:rPr>
          <w:spacing w:val="-21"/>
          <w:sz w:val="20"/>
        </w:rPr>
        <w:t xml:space="preserve"> </w:t>
      </w:r>
      <w:r>
        <w:rPr>
          <w:sz w:val="20"/>
        </w:rPr>
        <w:t>tal</w:t>
      </w:r>
      <w:r>
        <w:rPr>
          <w:spacing w:val="-16"/>
          <w:sz w:val="20"/>
        </w:rPr>
        <w:t xml:space="preserve"> </w:t>
      </w:r>
      <w:r>
        <w:rPr>
          <w:sz w:val="20"/>
        </w:rPr>
        <w:t>magnitud</w:t>
      </w:r>
      <w:r>
        <w:rPr>
          <w:spacing w:val="-18"/>
          <w:sz w:val="20"/>
        </w:rPr>
        <w:t xml:space="preserve"> </w:t>
      </w:r>
      <w:r>
        <w:rPr>
          <w:sz w:val="20"/>
        </w:rPr>
        <w:t>fue</w:t>
      </w:r>
      <w:r>
        <w:rPr>
          <w:spacing w:val="-19"/>
          <w:sz w:val="20"/>
        </w:rPr>
        <w:t xml:space="preserve"> </w:t>
      </w:r>
      <w:r>
        <w:rPr>
          <w:sz w:val="20"/>
        </w:rPr>
        <w:t>la</w:t>
      </w:r>
      <w:r>
        <w:rPr>
          <w:spacing w:val="-16"/>
          <w:sz w:val="20"/>
        </w:rPr>
        <w:t xml:space="preserve"> </w:t>
      </w:r>
      <w:r>
        <w:rPr>
          <w:sz w:val="20"/>
        </w:rPr>
        <w:t>omisión</w:t>
      </w:r>
      <w:r>
        <w:rPr>
          <w:spacing w:val="-18"/>
          <w:sz w:val="20"/>
        </w:rPr>
        <w:t xml:space="preserve"> </w:t>
      </w:r>
      <w:r>
        <w:rPr>
          <w:sz w:val="20"/>
        </w:rPr>
        <w:t>del</w:t>
      </w:r>
      <w:r>
        <w:rPr>
          <w:spacing w:val="-20"/>
          <w:sz w:val="20"/>
        </w:rPr>
        <w:t xml:space="preserve"> </w:t>
      </w:r>
      <w:r>
        <w:rPr>
          <w:sz w:val="20"/>
        </w:rPr>
        <w:t>Estado</w:t>
      </w:r>
      <w:r>
        <w:rPr>
          <w:spacing w:val="-20"/>
          <w:sz w:val="20"/>
        </w:rPr>
        <w:t xml:space="preserve"> </w:t>
      </w:r>
      <w:r>
        <w:rPr>
          <w:sz w:val="20"/>
        </w:rPr>
        <w:t>al</w:t>
      </w:r>
      <w:r>
        <w:rPr>
          <w:spacing w:val="-16"/>
          <w:sz w:val="20"/>
        </w:rPr>
        <w:t xml:space="preserve"> </w:t>
      </w:r>
      <w:r>
        <w:rPr>
          <w:sz w:val="20"/>
        </w:rPr>
        <w:t>momento</w:t>
      </w:r>
      <w:r>
        <w:rPr>
          <w:spacing w:val="-21"/>
          <w:sz w:val="20"/>
        </w:rPr>
        <w:t xml:space="preserve"> </w:t>
      </w:r>
      <w:r>
        <w:rPr>
          <w:sz w:val="20"/>
        </w:rPr>
        <w:t>de</w:t>
      </w:r>
      <w:r>
        <w:rPr>
          <w:spacing w:val="-18"/>
          <w:sz w:val="20"/>
        </w:rPr>
        <w:t xml:space="preserve"> </w:t>
      </w:r>
      <w:r>
        <w:rPr>
          <w:sz w:val="20"/>
        </w:rPr>
        <w:t>los</w:t>
      </w:r>
      <w:r>
        <w:rPr>
          <w:spacing w:val="-17"/>
          <w:sz w:val="20"/>
        </w:rPr>
        <w:t xml:space="preserve"> </w:t>
      </w:r>
      <w:r>
        <w:rPr>
          <w:sz w:val="20"/>
        </w:rPr>
        <w:t>hechos,</w:t>
      </w:r>
      <w:r>
        <w:rPr>
          <w:spacing w:val="-18"/>
          <w:sz w:val="20"/>
        </w:rPr>
        <w:t xml:space="preserve"> </w:t>
      </w:r>
      <w:r>
        <w:rPr>
          <w:sz w:val="20"/>
        </w:rPr>
        <w:t>que</w:t>
      </w:r>
      <w:r>
        <w:rPr>
          <w:spacing w:val="-20"/>
          <w:sz w:val="20"/>
        </w:rPr>
        <w:t xml:space="preserve"> </w:t>
      </w:r>
      <w:r>
        <w:rPr>
          <w:sz w:val="20"/>
        </w:rPr>
        <w:t>la</w:t>
      </w:r>
      <w:r>
        <w:rPr>
          <w:spacing w:val="-16"/>
          <w:sz w:val="20"/>
        </w:rPr>
        <w:t xml:space="preserve"> </w:t>
      </w:r>
      <w:r>
        <w:rPr>
          <w:sz w:val="20"/>
        </w:rPr>
        <w:t>importancia de</w:t>
      </w:r>
      <w:r>
        <w:rPr>
          <w:spacing w:val="-8"/>
          <w:sz w:val="20"/>
        </w:rPr>
        <w:t xml:space="preserve"> </w:t>
      </w:r>
      <w:r>
        <w:rPr>
          <w:sz w:val="20"/>
        </w:rPr>
        <w:t>la</w:t>
      </w:r>
      <w:r>
        <w:rPr>
          <w:spacing w:val="-6"/>
          <w:sz w:val="20"/>
        </w:rPr>
        <w:t xml:space="preserve"> </w:t>
      </w:r>
      <w:r>
        <w:rPr>
          <w:sz w:val="20"/>
        </w:rPr>
        <w:t>fiscalización</w:t>
      </w:r>
      <w:r>
        <w:rPr>
          <w:spacing w:val="-4"/>
          <w:sz w:val="20"/>
        </w:rPr>
        <w:t xml:space="preserve"> </w:t>
      </w:r>
      <w:r>
        <w:rPr>
          <w:sz w:val="20"/>
        </w:rPr>
        <w:t>o</w:t>
      </w:r>
      <w:r>
        <w:rPr>
          <w:spacing w:val="-8"/>
          <w:sz w:val="20"/>
        </w:rPr>
        <w:t xml:space="preserve"> </w:t>
      </w:r>
      <w:r>
        <w:rPr>
          <w:sz w:val="20"/>
        </w:rPr>
        <w:t>inspección</w:t>
      </w:r>
      <w:r>
        <w:rPr>
          <w:spacing w:val="-4"/>
          <w:sz w:val="20"/>
        </w:rPr>
        <w:t xml:space="preserve"> </w:t>
      </w:r>
      <w:r>
        <w:rPr>
          <w:sz w:val="20"/>
        </w:rPr>
        <w:t>se</w:t>
      </w:r>
      <w:r>
        <w:rPr>
          <w:spacing w:val="-8"/>
          <w:sz w:val="20"/>
        </w:rPr>
        <w:t xml:space="preserve"> </w:t>
      </w:r>
      <w:r>
        <w:rPr>
          <w:sz w:val="20"/>
        </w:rPr>
        <w:t>vio</w:t>
      </w:r>
      <w:r>
        <w:rPr>
          <w:spacing w:val="-4"/>
          <w:sz w:val="20"/>
        </w:rPr>
        <w:t xml:space="preserve"> </w:t>
      </w:r>
      <w:r>
        <w:rPr>
          <w:sz w:val="20"/>
        </w:rPr>
        <w:t>reflejada</w:t>
      </w:r>
      <w:r>
        <w:rPr>
          <w:spacing w:val="-6"/>
          <w:sz w:val="20"/>
        </w:rPr>
        <w:t xml:space="preserve"> </w:t>
      </w:r>
      <w:r>
        <w:rPr>
          <w:sz w:val="20"/>
        </w:rPr>
        <w:t>en</w:t>
      </w:r>
      <w:r>
        <w:rPr>
          <w:spacing w:val="-4"/>
          <w:sz w:val="20"/>
        </w:rPr>
        <w:t xml:space="preserve"> </w:t>
      </w:r>
      <w:r>
        <w:rPr>
          <w:sz w:val="20"/>
        </w:rPr>
        <w:t>las</w:t>
      </w:r>
      <w:r>
        <w:rPr>
          <w:spacing w:val="-7"/>
          <w:sz w:val="20"/>
        </w:rPr>
        <w:t xml:space="preserve"> </w:t>
      </w:r>
      <w:r>
        <w:rPr>
          <w:sz w:val="20"/>
        </w:rPr>
        <w:t>medidas</w:t>
      </w:r>
      <w:r>
        <w:rPr>
          <w:spacing w:val="-6"/>
          <w:sz w:val="20"/>
        </w:rPr>
        <w:t xml:space="preserve"> </w:t>
      </w:r>
      <w:r>
        <w:rPr>
          <w:sz w:val="20"/>
        </w:rPr>
        <w:t>de</w:t>
      </w:r>
      <w:r>
        <w:rPr>
          <w:spacing w:val="-8"/>
          <w:sz w:val="20"/>
        </w:rPr>
        <w:t xml:space="preserve"> </w:t>
      </w:r>
      <w:r>
        <w:rPr>
          <w:sz w:val="20"/>
        </w:rPr>
        <w:t>no</w:t>
      </w:r>
      <w:r>
        <w:rPr>
          <w:spacing w:val="-4"/>
          <w:sz w:val="20"/>
        </w:rPr>
        <w:t xml:space="preserve"> </w:t>
      </w:r>
      <w:r>
        <w:rPr>
          <w:sz w:val="20"/>
        </w:rPr>
        <w:t>repetición</w:t>
      </w:r>
      <w:r>
        <w:rPr>
          <w:spacing w:val="-5"/>
          <w:sz w:val="20"/>
        </w:rPr>
        <w:t xml:space="preserve"> </w:t>
      </w:r>
      <w:r>
        <w:rPr>
          <w:sz w:val="20"/>
        </w:rPr>
        <w:t>ordenadas</w:t>
      </w:r>
      <w:r>
        <w:rPr>
          <w:spacing w:val="-7"/>
          <w:sz w:val="20"/>
        </w:rPr>
        <w:t xml:space="preserve"> </w:t>
      </w:r>
      <w:r>
        <w:rPr>
          <w:sz w:val="20"/>
        </w:rPr>
        <w:t>por el Tribunal Interamericano en esta sentencia. Así, tal como se recoge en la sentencia, no se cuestionó la regulación existente a nive</w:t>
      </w:r>
      <w:r>
        <w:rPr>
          <w:sz w:val="20"/>
        </w:rPr>
        <w:t>l interno, e inclusive, se valoró como positiva la adopción de esa normativa</w:t>
      </w:r>
      <w:hyperlink w:anchor="_bookmark763" w:history="1">
        <w:r>
          <w:rPr>
            <w:position w:val="7"/>
            <w:sz w:val="13"/>
          </w:rPr>
          <w:t>81</w:t>
        </w:r>
      </w:hyperlink>
      <w:r>
        <w:rPr>
          <w:sz w:val="20"/>
        </w:rPr>
        <w:t>; sin embargo, se precisó “que no consta[ba] en los escritos y pruebas presentados, ni en las declaraciones o los alegatos orales hechos en la Aud</w:t>
      </w:r>
      <w:r>
        <w:rPr>
          <w:sz w:val="20"/>
        </w:rPr>
        <w:t xml:space="preserve">iencia Pública, que el Estado haya logrado implementar medidas </w:t>
      </w:r>
      <w:r>
        <w:rPr>
          <w:i/>
          <w:sz w:val="20"/>
        </w:rPr>
        <w:t>para asegurar que, en la práctica, se fiscalicen de forma regular los locales en que se fabrican fuegos artificiales en Brasil</w:t>
      </w:r>
      <w:r>
        <w:rPr>
          <w:sz w:val="20"/>
        </w:rPr>
        <w:t>” (énfasis</w:t>
      </w:r>
      <w:r>
        <w:rPr>
          <w:spacing w:val="1"/>
          <w:sz w:val="20"/>
        </w:rPr>
        <w:t xml:space="preserve"> </w:t>
      </w:r>
      <w:r>
        <w:rPr>
          <w:sz w:val="20"/>
        </w:rPr>
        <w:t>añadido)</w:t>
      </w:r>
      <w:hyperlink w:anchor="_bookmark764" w:history="1">
        <w:r>
          <w:rPr>
            <w:position w:val="7"/>
            <w:sz w:val="13"/>
          </w:rPr>
          <w:t>82</w:t>
        </w:r>
      </w:hyperlink>
      <w:r>
        <w:rPr>
          <w:sz w:val="20"/>
        </w:rPr>
        <w:t>.</w:t>
      </w:r>
    </w:p>
    <w:p w14:paraId="158FBE70" w14:textId="77777777" w:rsidR="00467FCA" w:rsidRDefault="00467FCA">
      <w:pPr>
        <w:pStyle w:val="Textoindependiente"/>
        <w:spacing w:before="10"/>
        <w:rPr>
          <w:sz w:val="19"/>
        </w:rPr>
      </w:pPr>
    </w:p>
    <w:p w14:paraId="46897CB2" w14:textId="77777777" w:rsidR="00467FCA" w:rsidRDefault="001B68EB">
      <w:pPr>
        <w:pStyle w:val="Prrafodelista"/>
        <w:numPr>
          <w:ilvl w:val="0"/>
          <w:numId w:val="7"/>
        </w:numPr>
        <w:tabs>
          <w:tab w:val="left" w:pos="1167"/>
        </w:tabs>
        <w:spacing w:before="1"/>
        <w:ind w:left="1166" w:hanging="709"/>
        <w:jc w:val="both"/>
        <w:rPr>
          <w:sz w:val="20"/>
        </w:rPr>
      </w:pPr>
      <w:r>
        <w:rPr>
          <w:sz w:val="20"/>
        </w:rPr>
        <w:t>Así, el Tribunal Interamericano indicó</w:t>
      </w:r>
      <w:r>
        <w:rPr>
          <w:spacing w:val="-7"/>
          <w:sz w:val="20"/>
        </w:rPr>
        <w:t xml:space="preserve"> </w:t>
      </w:r>
      <w:r>
        <w:rPr>
          <w:sz w:val="20"/>
        </w:rPr>
        <w:t>que:</w:t>
      </w:r>
    </w:p>
    <w:p w14:paraId="2381805F" w14:textId="77777777" w:rsidR="00467FCA" w:rsidRDefault="001B68EB">
      <w:pPr>
        <w:spacing w:before="159"/>
        <w:ind w:left="1166" w:right="744"/>
        <w:jc w:val="both"/>
        <w:rPr>
          <w:sz w:val="16"/>
        </w:rPr>
      </w:pPr>
      <w:r>
        <w:rPr>
          <w:sz w:val="16"/>
        </w:rPr>
        <w:t xml:space="preserve">287. La Corte recuerda que la falta de fiscalización de la fábrica de fuegos en Santo Antônio de Jesus por parte de las autoridades estatales fue el elemento principal que generó la responsabilidad internacional </w:t>
      </w:r>
      <w:r>
        <w:rPr>
          <w:sz w:val="16"/>
        </w:rPr>
        <w:t xml:space="preserve">del Estado. En ese sentido, </w:t>
      </w:r>
      <w:r>
        <w:rPr>
          <w:sz w:val="16"/>
          <w:u w:val="single"/>
        </w:rPr>
        <w:t>con el fin de frenar el funcionamiento de las fábricas clandestinas y/o que operan en desacuerdo con las normas sobre el control de actividades peligrosas, y de garantizar condiciones de trabajo equitativas y satisfactorias en e</w:t>
      </w:r>
      <w:r>
        <w:rPr>
          <w:sz w:val="16"/>
          <w:u w:val="single"/>
        </w:rPr>
        <w:t>sos ambientes, el Estado debe adoptar medidas para implementar una política sistemática de inspecciones periódicas en los locales de producción de fuegos artificiales, tanto para que se verifiquen las condiciones de seguridad y salubridad del trabajo, como</w:t>
      </w:r>
      <w:r>
        <w:rPr>
          <w:sz w:val="16"/>
          <w:u w:val="single"/>
        </w:rPr>
        <w:t xml:space="preserve"> para que se fiscalice el cumplimiento de las normas relativas al almacenamiento</w:t>
      </w:r>
      <w:r>
        <w:rPr>
          <w:spacing w:val="-10"/>
          <w:sz w:val="16"/>
          <w:u w:val="single"/>
        </w:rPr>
        <w:t xml:space="preserve"> </w:t>
      </w:r>
      <w:r>
        <w:rPr>
          <w:sz w:val="16"/>
          <w:u w:val="single"/>
        </w:rPr>
        <w:t>de</w:t>
      </w:r>
      <w:r>
        <w:rPr>
          <w:spacing w:val="-13"/>
          <w:sz w:val="16"/>
          <w:u w:val="single"/>
        </w:rPr>
        <w:t xml:space="preserve"> </w:t>
      </w:r>
      <w:r>
        <w:rPr>
          <w:sz w:val="16"/>
          <w:u w:val="single"/>
        </w:rPr>
        <w:t>los</w:t>
      </w:r>
      <w:r>
        <w:rPr>
          <w:spacing w:val="-13"/>
          <w:sz w:val="16"/>
          <w:u w:val="single"/>
        </w:rPr>
        <w:t xml:space="preserve"> </w:t>
      </w:r>
      <w:r>
        <w:rPr>
          <w:sz w:val="16"/>
          <w:u w:val="single"/>
        </w:rPr>
        <w:t>insumos.</w:t>
      </w:r>
      <w:r>
        <w:rPr>
          <w:spacing w:val="-12"/>
          <w:sz w:val="16"/>
        </w:rPr>
        <w:t xml:space="preserve"> </w:t>
      </w:r>
      <w:r>
        <w:rPr>
          <w:sz w:val="16"/>
        </w:rPr>
        <w:t>El</w:t>
      </w:r>
      <w:r>
        <w:rPr>
          <w:spacing w:val="-14"/>
          <w:sz w:val="16"/>
        </w:rPr>
        <w:t xml:space="preserve"> </w:t>
      </w:r>
      <w:r>
        <w:rPr>
          <w:sz w:val="16"/>
        </w:rPr>
        <w:t>Estado</w:t>
      </w:r>
      <w:r>
        <w:rPr>
          <w:spacing w:val="-14"/>
          <w:sz w:val="16"/>
        </w:rPr>
        <w:t xml:space="preserve"> </w:t>
      </w:r>
      <w:r>
        <w:rPr>
          <w:sz w:val="16"/>
        </w:rPr>
        <w:t>debe</w:t>
      </w:r>
      <w:r>
        <w:rPr>
          <w:spacing w:val="-10"/>
          <w:sz w:val="16"/>
        </w:rPr>
        <w:t xml:space="preserve"> </w:t>
      </w:r>
      <w:r>
        <w:rPr>
          <w:sz w:val="16"/>
        </w:rPr>
        <w:t>asegurar</w:t>
      </w:r>
      <w:r>
        <w:rPr>
          <w:spacing w:val="-12"/>
          <w:sz w:val="16"/>
        </w:rPr>
        <w:t xml:space="preserve"> </w:t>
      </w:r>
      <w:r>
        <w:rPr>
          <w:sz w:val="16"/>
        </w:rPr>
        <w:t>que</w:t>
      </w:r>
      <w:r>
        <w:rPr>
          <w:spacing w:val="-10"/>
          <w:sz w:val="16"/>
        </w:rPr>
        <w:t xml:space="preserve"> </w:t>
      </w:r>
      <w:r>
        <w:rPr>
          <w:sz w:val="16"/>
        </w:rPr>
        <w:t>las</w:t>
      </w:r>
      <w:r>
        <w:rPr>
          <w:spacing w:val="-13"/>
          <w:sz w:val="16"/>
        </w:rPr>
        <w:t xml:space="preserve"> </w:t>
      </w:r>
      <w:r>
        <w:rPr>
          <w:sz w:val="16"/>
        </w:rPr>
        <w:t>inspecciones</w:t>
      </w:r>
      <w:r>
        <w:rPr>
          <w:spacing w:val="-14"/>
          <w:sz w:val="16"/>
        </w:rPr>
        <w:t xml:space="preserve"> </w:t>
      </w:r>
      <w:r>
        <w:rPr>
          <w:sz w:val="16"/>
        </w:rPr>
        <w:t>periódicas</w:t>
      </w:r>
      <w:r>
        <w:rPr>
          <w:spacing w:val="-13"/>
          <w:sz w:val="16"/>
        </w:rPr>
        <w:t xml:space="preserve"> </w:t>
      </w:r>
      <w:r>
        <w:rPr>
          <w:sz w:val="16"/>
        </w:rPr>
        <w:t>sean</w:t>
      </w:r>
      <w:r>
        <w:rPr>
          <w:spacing w:val="-12"/>
          <w:sz w:val="16"/>
        </w:rPr>
        <w:t xml:space="preserve"> </w:t>
      </w:r>
      <w:r>
        <w:rPr>
          <w:sz w:val="16"/>
        </w:rPr>
        <w:t>llevadas a</w:t>
      </w:r>
      <w:r>
        <w:rPr>
          <w:spacing w:val="-11"/>
          <w:sz w:val="16"/>
        </w:rPr>
        <w:t xml:space="preserve"> </w:t>
      </w:r>
      <w:r>
        <w:rPr>
          <w:sz w:val="16"/>
        </w:rPr>
        <w:t>cabo</w:t>
      </w:r>
      <w:r>
        <w:rPr>
          <w:spacing w:val="-14"/>
          <w:sz w:val="16"/>
        </w:rPr>
        <w:t xml:space="preserve"> </w:t>
      </w:r>
      <w:r>
        <w:rPr>
          <w:sz w:val="16"/>
        </w:rPr>
        <w:t>por</w:t>
      </w:r>
      <w:r>
        <w:rPr>
          <w:spacing w:val="-11"/>
          <w:sz w:val="16"/>
        </w:rPr>
        <w:t xml:space="preserve"> </w:t>
      </w:r>
      <w:r>
        <w:rPr>
          <w:sz w:val="16"/>
        </w:rPr>
        <w:t>inspectores</w:t>
      </w:r>
      <w:r>
        <w:rPr>
          <w:spacing w:val="-13"/>
          <w:sz w:val="16"/>
        </w:rPr>
        <w:t xml:space="preserve"> </w:t>
      </w:r>
      <w:r>
        <w:rPr>
          <w:sz w:val="16"/>
        </w:rPr>
        <w:t>que</w:t>
      </w:r>
      <w:r>
        <w:rPr>
          <w:spacing w:val="-12"/>
          <w:sz w:val="16"/>
        </w:rPr>
        <w:t xml:space="preserve"> </w:t>
      </w:r>
      <w:r>
        <w:rPr>
          <w:sz w:val="16"/>
        </w:rPr>
        <w:t>tengan</w:t>
      </w:r>
      <w:r>
        <w:rPr>
          <w:spacing w:val="-13"/>
          <w:sz w:val="16"/>
        </w:rPr>
        <w:t xml:space="preserve"> </w:t>
      </w:r>
      <w:r>
        <w:rPr>
          <w:sz w:val="16"/>
        </w:rPr>
        <w:t>el</w:t>
      </w:r>
      <w:r>
        <w:rPr>
          <w:spacing w:val="-13"/>
          <w:sz w:val="16"/>
        </w:rPr>
        <w:t xml:space="preserve"> </w:t>
      </w:r>
      <w:r>
        <w:rPr>
          <w:sz w:val="16"/>
        </w:rPr>
        <w:t>debido</w:t>
      </w:r>
      <w:r>
        <w:rPr>
          <w:spacing w:val="-12"/>
          <w:sz w:val="16"/>
        </w:rPr>
        <w:t xml:space="preserve"> </w:t>
      </w:r>
      <w:r>
        <w:rPr>
          <w:sz w:val="16"/>
        </w:rPr>
        <w:t>conocimiento</w:t>
      </w:r>
      <w:r>
        <w:rPr>
          <w:spacing w:val="-11"/>
          <w:sz w:val="16"/>
        </w:rPr>
        <w:t xml:space="preserve"> </w:t>
      </w:r>
      <w:r>
        <w:rPr>
          <w:sz w:val="16"/>
        </w:rPr>
        <w:t>en</w:t>
      </w:r>
      <w:r>
        <w:rPr>
          <w:spacing w:val="-13"/>
          <w:sz w:val="16"/>
        </w:rPr>
        <w:t xml:space="preserve"> </w:t>
      </w:r>
      <w:r>
        <w:rPr>
          <w:sz w:val="16"/>
        </w:rPr>
        <w:t>materia</w:t>
      </w:r>
      <w:r>
        <w:rPr>
          <w:spacing w:val="-14"/>
          <w:sz w:val="16"/>
        </w:rPr>
        <w:t xml:space="preserve"> </w:t>
      </w:r>
      <w:r>
        <w:rPr>
          <w:sz w:val="16"/>
        </w:rPr>
        <w:t>de</w:t>
      </w:r>
      <w:r>
        <w:rPr>
          <w:spacing w:val="-12"/>
          <w:sz w:val="16"/>
        </w:rPr>
        <w:t xml:space="preserve"> </w:t>
      </w:r>
      <w:r>
        <w:rPr>
          <w:sz w:val="16"/>
        </w:rPr>
        <w:t>salud</w:t>
      </w:r>
      <w:r>
        <w:rPr>
          <w:spacing w:val="-14"/>
          <w:sz w:val="16"/>
        </w:rPr>
        <w:t xml:space="preserve"> </w:t>
      </w:r>
      <w:r>
        <w:rPr>
          <w:sz w:val="16"/>
        </w:rPr>
        <w:t>y</w:t>
      </w:r>
      <w:r>
        <w:rPr>
          <w:spacing w:val="-11"/>
          <w:sz w:val="16"/>
        </w:rPr>
        <w:t xml:space="preserve"> </w:t>
      </w:r>
      <w:r>
        <w:rPr>
          <w:sz w:val="16"/>
        </w:rPr>
        <w:t>seguridad</w:t>
      </w:r>
      <w:r>
        <w:rPr>
          <w:spacing w:val="-15"/>
          <w:sz w:val="16"/>
        </w:rPr>
        <w:t xml:space="preserve"> </w:t>
      </w:r>
      <w:r>
        <w:rPr>
          <w:sz w:val="16"/>
        </w:rPr>
        <w:t>en</w:t>
      </w:r>
      <w:r>
        <w:rPr>
          <w:spacing w:val="-11"/>
          <w:sz w:val="16"/>
        </w:rPr>
        <w:t xml:space="preserve"> </w:t>
      </w:r>
      <w:r>
        <w:rPr>
          <w:sz w:val="16"/>
        </w:rPr>
        <w:t>el</w:t>
      </w:r>
      <w:r>
        <w:rPr>
          <w:spacing w:val="-13"/>
          <w:sz w:val="16"/>
        </w:rPr>
        <w:t xml:space="preserve"> </w:t>
      </w:r>
      <w:r>
        <w:rPr>
          <w:sz w:val="16"/>
        </w:rPr>
        <w:t>ámbito específico de la fabricación de fuegos artificiales. (énfasis</w:t>
      </w:r>
      <w:r>
        <w:rPr>
          <w:spacing w:val="-9"/>
          <w:sz w:val="16"/>
        </w:rPr>
        <w:t xml:space="preserve"> </w:t>
      </w:r>
      <w:r>
        <w:rPr>
          <w:sz w:val="16"/>
        </w:rPr>
        <w:t>añadido)</w:t>
      </w:r>
    </w:p>
    <w:p w14:paraId="3A268FD5" w14:textId="77777777" w:rsidR="00467FCA" w:rsidRDefault="00467FCA">
      <w:pPr>
        <w:pStyle w:val="Textoindependiente"/>
        <w:spacing w:before="2"/>
      </w:pPr>
    </w:p>
    <w:p w14:paraId="7468B79E" w14:textId="77777777" w:rsidR="00467FCA" w:rsidRDefault="001B68EB">
      <w:pPr>
        <w:pStyle w:val="Prrafodelista"/>
        <w:numPr>
          <w:ilvl w:val="0"/>
          <w:numId w:val="7"/>
        </w:numPr>
        <w:tabs>
          <w:tab w:val="left" w:pos="1167"/>
        </w:tabs>
        <w:ind w:right="276" w:hanging="1"/>
        <w:jc w:val="both"/>
        <w:rPr>
          <w:sz w:val="20"/>
        </w:rPr>
      </w:pPr>
      <w:r>
        <w:rPr>
          <w:sz w:val="20"/>
        </w:rPr>
        <w:t>En cuanto a la ejecución de esta medida, además de lo indicado en la sentencia</w:t>
      </w:r>
      <w:hyperlink w:anchor="_bookmark765" w:history="1">
        <w:r>
          <w:rPr>
            <w:position w:val="7"/>
            <w:sz w:val="13"/>
          </w:rPr>
          <w:t>83</w:t>
        </w:r>
      </w:hyperlink>
      <w:r>
        <w:rPr>
          <w:sz w:val="20"/>
        </w:rPr>
        <w:t>, por ejemplo, podrían resultar ilustrativos, y no limitativos, algunos parámetros expresados por</w:t>
      </w:r>
      <w:r>
        <w:rPr>
          <w:spacing w:val="-41"/>
          <w:sz w:val="20"/>
        </w:rPr>
        <w:t xml:space="preserve"> </w:t>
      </w:r>
      <w:r>
        <w:rPr>
          <w:sz w:val="20"/>
        </w:rPr>
        <w:t>el Comité Europeo, en los que han especificado que para evaluar el artículo 3 de la Carta Social Europea</w:t>
      </w:r>
      <w:r>
        <w:rPr>
          <w:spacing w:val="-17"/>
          <w:sz w:val="20"/>
        </w:rPr>
        <w:t xml:space="preserve"> </w:t>
      </w:r>
      <w:r>
        <w:rPr>
          <w:sz w:val="20"/>
        </w:rPr>
        <w:t>es</w:t>
      </w:r>
      <w:r>
        <w:rPr>
          <w:spacing w:val="-19"/>
          <w:sz w:val="20"/>
        </w:rPr>
        <w:t xml:space="preserve"> </w:t>
      </w:r>
      <w:r>
        <w:rPr>
          <w:sz w:val="20"/>
        </w:rPr>
        <w:t>necesario</w:t>
      </w:r>
      <w:r>
        <w:rPr>
          <w:spacing w:val="-20"/>
          <w:sz w:val="20"/>
        </w:rPr>
        <w:t xml:space="preserve"> </w:t>
      </w:r>
      <w:r>
        <w:rPr>
          <w:sz w:val="20"/>
        </w:rPr>
        <w:t>que</w:t>
      </w:r>
      <w:r>
        <w:rPr>
          <w:spacing w:val="-20"/>
          <w:sz w:val="20"/>
        </w:rPr>
        <w:t xml:space="preserve"> </w:t>
      </w:r>
      <w:r>
        <w:rPr>
          <w:sz w:val="20"/>
        </w:rPr>
        <w:t>se</w:t>
      </w:r>
      <w:r>
        <w:rPr>
          <w:spacing w:val="-20"/>
          <w:sz w:val="20"/>
        </w:rPr>
        <w:t xml:space="preserve"> </w:t>
      </w:r>
      <w:r>
        <w:rPr>
          <w:sz w:val="20"/>
        </w:rPr>
        <w:t>proporcionen:</w:t>
      </w:r>
      <w:r>
        <w:rPr>
          <w:spacing w:val="-18"/>
          <w:sz w:val="20"/>
        </w:rPr>
        <w:t xml:space="preserve"> </w:t>
      </w:r>
      <w:r>
        <w:rPr>
          <w:sz w:val="20"/>
        </w:rPr>
        <w:t>i)</w:t>
      </w:r>
      <w:r>
        <w:rPr>
          <w:spacing w:val="-19"/>
          <w:sz w:val="20"/>
        </w:rPr>
        <w:t xml:space="preserve"> </w:t>
      </w:r>
      <w:r>
        <w:rPr>
          <w:sz w:val="20"/>
        </w:rPr>
        <w:t>estadísticas</w:t>
      </w:r>
      <w:r>
        <w:rPr>
          <w:spacing w:val="-19"/>
          <w:sz w:val="20"/>
        </w:rPr>
        <w:t xml:space="preserve"> </w:t>
      </w:r>
      <w:r>
        <w:rPr>
          <w:sz w:val="20"/>
        </w:rPr>
        <w:t>sob</w:t>
      </w:r>
      <w:r>
        <w:rPr>
          <w:sz w:val="20"/>
        </w:rPr>
        <w:t>re</w:t>
      </w:r>
      <w:r>
        <w:rPr>
          <w:spacing w:val="-17"/>
          <w:sz w:val="20"/>
        </w:rPr>
        <w:t xml:space="preserve"> </w:t>
      </w:r>
      <w:r>
        <w:rPr>
          <w:sz w:val="20"/>
        </w:rPr>
        <w:t>el</w:t>
      </w:r>
      <w:r>
        <w:rPr>
          <w:spacing w:val="-18"/>
          <w:sz w:val="20"/>
        </w:rPr>
        <w:t xml:space="preserve"> </w:t>
      </w:r>
      <w:r>
        <w:rPr>
          <w:sz w:val="20"/>
        </w:rPr>
        <w:t>número</w:t>
      </w:r>
      <w:r>
        <w:rPr>
          <w:spacing w:val="-20"/>
          <w:sz w:val="20"/>
        </w:rPr>
        <w:t xml:space="preserve"> </w:t>
      </w:r>
      <w:r>
        <w:rPr>
          <w:sz w:val="20"/>
        </w:rPr>
        <w:t>de</w:t>
      </w:r>
      <w:r>
        <w:rPr>
          <w:spacing w:val="-18"/>
          <w:sz w:val="20"/>
        </w:rPr>
        <w:t xml:space="preserve"> </w:t>
      </w:r>
      <w:r>
        <w:rPr>
          <w:sz w:val="20"/>
        </w:rPr>
        <w:t>establecimientos que</w:t>
      </w:r>
      <w:r>
        <w:rPr>
          <w:spacing w:val="-11"/>
          <w:sz w:val="20"/>
        </w:rPr>
        <w:t xml:space="preserve"> </w:t>
      </w:r>
      <w:r>
        <w:rPr>
          <w:sz w:val="20"/>
        </w:rPr>
        <w:t>reciben</w:t>
      </w:r>
      <w:r>
        <w:rPr>
          <w:spacing w:val="-9"/>
          <w:sz w:val="20"/>
        </w:rPr>
        <w:t xml:space="preserve"> </w:t>
      </w:r>
      <w:r>
        <w:rPr>
          <w:sz w:val="20"/>
        </w:rPr>
        <w:t>visitas</w:t>
      </w:r>
      <w:r>
        <w:rPr>
          <w:spacing w:val="-11"/>
          <w:sz w:val="20"/>
        </w:rPr>
        <w:t xml:space="preserve"> </w:t>
      </w:r>
      <w:r>
        <w:rPr>
          <w:sz w:val="20"/>
        </w:rPr>
        <w:t>de</w:t>
      </w:r>
      <w:r>
        <w:rPr>
          <w:spacing w:val="-11"/>
          <w:sz w:val="20"/>
        </w:rPr>
        <w:t xml:space="preserve"> </w:t>
      </w:r>
      <w:r>
        <w:rPr>
          <w:sz w:val="20"/>
        </w:rPr>
        <w:t>inspección</w:t>
      </w:r>
      <w:r>
        <w:rPr>
          <w:spacing w:val="-7"/>
          <w:sz w:val="20"/>
        </w:rPr>
        <w:t xml:space="preserve"> </w:t>
      </w:r>
      <w:r>
        <w:rPr>
          <w:sz w:val="20"/>
        </w:rPr>
        <w:t>y</w:t>
      </w:r>
      <w:r>
        <w:rPr>
          <w:spacing w:val="-8"/>
          <w:sz w:val="20"/>
        </w:rPr>
        <w:t xml:space="preserve"> </w:t>
      </w:r>
      <w:r>
        <w:rPr>
          <w:sz w:val="20"/>
        </w:rPr>
        <w:t>el</w:t>
      </w:r>
      <w:r>
        <w:rPr>
          <w:spacing w:val="-9"/>
          <w:sz w:val="20"/>
        </w:rPr>
        <w:t xml:space="preserve"> </w:t>
      </w:r>
      <w:r>
        <w:rPr>
          <w:sz w:val="20"/>
        </w:rPr>
        <w:t>número</w:t>
      </w:r>
      <w:r>
        <w:rPr>
          <w:spacing w:val="-11"/>
          <w:sz w:val="20"/>
        </w:rPr>
        <w:t xml:space="preserve"> </w:t>
      </w:r>
      <w:r>
        <w:rPr>
          <w:sz w:val="20"/>
        </w:rPr>
        <w:t>de</w:t>
      </w:r>
      <w:r>
        <w:rPr>
          <w:spacing w:val="-9"/>
          <w:sz w:val="20"/>
        </w:rPr>
        <w:t xml:space="preserve"> </w:t>
      </w:r>
      <w:r>
        <w:rPr>
          <w:sz w:val="20"/>
        </w:rPr>
        <w:t>personas</w:t>
      </w:r>
      <w:r>
        <w:rPr>
          <w:spacing w:val="-11"/>
          <w:sz w:val="20"/>
        </w:rPr>
        <w:t xml:space="preserve"> </w:t>
      </w:r>
      <w:r>
        <w:rPr>
          <w:sz w:val="20"/>
        </w:rPr>
        <w:t>que</w:t>
      </w:r>
      <w:r>
        <w:rPr>
          <w:spacing w:val="-9"/>
          <w:sz w:val="20"/>
        </w:rPr>
        <w:t xml:space="preserve"> </w:t>
      </w:r>
      <w:r>
        <w:rPr>
          <w:sz w:val="20"/>
        </w:rPr>
        <w:t>emplean,</w:t>
      </w:r>
      <w:r>
        <w:rPr>
          <w:spacing w:val="-8"/>
          <w:sz w:val="20"/>
        </w:rPr>
        <w:t xml:space="preserve"> </w:t>
      </w:r>
      <w:r>
        <w:rPr>
          <w:sz w:val="20"/>
        </w:rPr>
        <w:t>ii)</w:t>
      </w:r>
      <w:r>
        <w:rPr>
          <w:spacing w:val="-10"/>
          <w:sz w:val="20"/>
        </w:rPr>
        <w:t xml:space="preserve"> </w:t>
      </w:r>
      <w:r>
        <w:rPr>
          <w:sz w:val="20"/>
        </w:rPr>
        <w:t>cifras</w:t>
      </w:r>
      <w:r>
        <w:rPr>
          <w:spacing w:val="-8"/>
          <w:sz w:val="20"/>
        </w:rPr>
        <w:t xml:space="preserve"> </w:t>
      </w:r>
      <w:r>
        <w:rPr>
          <w:sz w:val="20"/>
        </w:rPr>
        <w:t>actualizadas sobre la contratación de personas para la inspección de trabajo y el número de visitas realizadas, iii) incumplimientos encontra</w:t>
      </w:r>
      <w:r>
        <w:rPr>
          <w:sz w:val="20"/>
        </w:rPr>
        <w:t>dos y sanciones impuestas y iv) la proporción de trabajadores cubiertos por las inspecciones en comparación con la fuerza laboral</w:t>
      </w:r>
      <w:r>
        <w:rPr>
          <w:spacing w:val="-15"/>
          <w:sz w:val="20"/>
        </w:rPr>
        <w:t xml:space="preserve"> </w:t>
      </w:r>
      <w:r>
        <w:rPr>
          <w:sz w:val="20"/>
        </w:rPr>
        <w:t>total</w:t>
      </w:r>
      <w:hyperlink w:anchor="_bookmark766" w:history="1">
        <w:r>
          <w:rPr>
            <w:position w:val="7"/>
            <w:sz w:val="13"/>
          </w:rPr>
          <w:t>84</w:t>
        </w:r>
      </w:hyperlink>
      <w:r>
        <w:rPr>
          <w:sz w:val="20"/>
        </w:rPr>
        <w:t>.</w:t>
      </w:r>
    </w:p>
    <w:p w14:paraId="70590F0C" w14:textId="77777777" w:rsidR="00467FCA" w:rsidRDefault="00467FCA">
      <w:pPr>
        <w:pStyle w:val="Textoindependiente"/>
      </w:pPr>
    </w:p>
    <w:p w14:paraId="23A339DF" w14:textId="77777777" w:rsidR="00467FCA" w:rsidRDefault="001B68EB">
      <w:pPr>
        <w:pStyle w:val="Textoindependiente"/>
        <w:spacing w:before="1"/>
        <w:rPr>
          <w:sz w:val="24"/>
        </w:rPr>
      </w:pPr>
      <w:r>
        <w:pict w14:anchorId="29A71DC9">
          <v:shape id="_x0000_s1054" style="position:absolute;margin-left:70.9pt;margin-top:16.9pt;width:2in;height:.1pt;z-index:-251513856;mso-wrap-distance-left:0;mso-wrap-distance-right:0;mso-position-horizontal-relative:page" coordorigin="1418,338" coordsize="2880,0" path="m1418,338r2880,e" filled="f" strokeweight=".6pt">
            <v:path arrowok="t"/>
            <w10:wrap type="topAndBottom" anchorx="page"/>
          </v:shape>
        </w:pict>
      </w:r>
    </w:p>
    <w:p w14:paraId="47EFD2E3" w14:textId="77777777" w:rsidR="00467FCA" w:rsidRDefault="001B68EB">
      <w:pPr>
        <w:tabs>
          <w:tab w:val="left" w:pos="1166"/>
        </w:tabs>
        <w:spacing w:before="74"/>
        <w:ind w:left="458"/>
        <w:jc w:val="both"/>
        <w:rPr>
          <w:sz w:val="16"/>
        </w:rPr>
      </w:pPr>
      <w:bookmarkStart w:id="842" w:name="_bookmark761"/>
      <w:bookmarkEnd w:id="842"/>
      <w:r>
        <w:rPr>
          <w:position w:val="6"/>
          <w:sz w:val="10"/>
        </w:rPr>
        <w:t>79</w:t>
      </w:r>
      <w:r>
        <w:rPr>
          <w:position w:val="6"/>
          <w:sz w:val="10"/>
        </w:rPr>
        <w:tab/>
      </w:r>
      <w:r>
        <w:rPr>
          <w:i/>
          <w:sz w:val="16"/>
        </w:rPr>
        <w:t>Cfr.</w:t>
      </w:r>
      <w:r>
        <w:rPr>
          <w:i/>
          <w:spacing w:val="-9"/>
          <w:sz w:val="16"/>
        </w:rPr>
        <w:t xml:space="preserve"> </w:t>
      </w:r>
      <w:r>
        <w:rPr>
          <w:sz w:val="16"/>
        </w:rPr>
        <w:t>CEDS,</w:t>
      </w:r>
      <w:r>
        <w:rPr>
          <w:spacing w:val="-9"/>
          <w:sz w:val="16"/>
        </w:rPr>
        <w:t xml:space="preserve"> </w:t>
      </w:r>
      <w:r>
        <w:rPr>
          <w:i/>
          <w:sz w:val="16"/>
        </w:rPr>
        <w:t>Caso</w:t>
      </w:r>
      <w:r>
        <w:rPr>
          <w:i/>
          <w:spacing w:val="-8"/>
          <w:sz w:val="16"/>
        </w:rPr>
        <w:t xml:space="preserve"> </w:t>
      </w:r>
      <w:r>
        <w:rPr>
          <w:i/>
          <w:sz w:val="16"/>
        </w:rPr>
        <w:t>Fundación</w:t>
      </w:r>
      <w:r>
        <w:rPr>
          <w:i/>
          <w:spacing w:val="-9"/>
          <w:sz w:val="16"/>
        </w:rPr>
        <w:t xml:space="preserve"> </w:t>
      </w:r>
      <w:r>
        <w:rPr>
          <w:i/>
          <w:sz w:val="16"/>
        </w:rPr>
        <w:t>Marangopoulos</w:t>
      </w:r>
      <w:r>
        <w:rPr>
          <w:i/>
          <w:spacing w:val="-8"/>
          <w:sz w:val="16"/>
        </w:rPr>
        <w:t xml:space="preserve"> </w:t>
      </w:r>
      <w:r>
        <w:rPr>
          <w:i/>
          <w:sz w:val="16"/>
        </w:rPr>
        <w:t>para</w:t>
      </w:r>
      <w:r>
        <w:rPr>
          <w:i/>
          <w:spacing w:val="-9"/>
          <w:sz w:val="16"/>
        </w:rPr>
        <w:t xml:space="preserve"> </w:t>
      </w:r>
      <w:r>
        <w:rPr>
          <w:i/>
          <w:sz w:val="16"/>
        </w:rPr>
        <w:t>los</w:t>
      </w:r>
      <w:r>
        <w:rPr>
          <w:i/>
          <w:spacing w:val="-8"/>
          <w:sz w:val="16"/>
        </w:rPr>
        <w:t xml:space="preserve"> </w:t>
      </w:r>
      <w:r>
        <w:rPr>
          <w:i/>
          <w:sz w:val="16"/>
        </w:rPr>
        <w:t>Derechos</w:t>
      </w:r>
      <w:r>
        <w:rPr>
          <w:i/>
          <w:spacing w:val="-5"/>
          <w:sz w:val="16"/>
        </w:rPr>
        <w:t xml:space="preserve"> </w:t>
      </w:r>
      <w:r>
        <w:rPr>
          <w:i/>
          <w:sz w:val="16"/>
        </w:rPr>
        <w:t>Humanos</w:t>
      </w:r>
      <w:r>
        <w:rPr>
          <w:i/>
          <w:spacing w:val="-8"/>
          <w:sz w:val="16"/>
        </w:rPr>
        <w:t xml:space="preserve"> </w:t>
      </w:r>
      <w:r>
        <w:rPr>
          <w:i/>
          <w:sz w:val="16"/>
        </w:rPr>
        <w:t>(MFHR)</w:t>
      </w:r>
      <w:r>
        <w:rPr>
          <w:i/>
          <w:spacing w:val="-12"/>
          <w:sz w:val="16"/>
        </w:rPr>
        <w:t xml:space="preserve"> </w:t>
      </w:r>
      <w:r>
        <w:rPr>
          <w:i/>
          <w:sz w:val="16"/>
        </w:rPr>
        <w:t>Vs.</w:t>
      </w:r>
      <w:r>
        <w:rPr>
          <w:i/>
          <w:spacing w:val="-9"/>
          <w:sz w:val="16"/>
        </w:rPr>
        <w:t xml:space="preserve"> </w:t>
      </w:r>
      <w:r>
        <w:rPr>
          <w:i/>
          <w:sz w:val="16"/>
        </w:rPr>
        <w:t>Grecia</w:t>
      </w:r>
      <w:r>
        <w:rPr>
          <w:sz w:val="16"/>
        </w:rPr>
        <w:t>,</w:t>
      </w:r>
      <w:r>
        <w:rPr>
          <w:spacing w:val="-7"/>
          <w:sz w:val="16"/>
        </w:rPr>
        <w:t xml:space="preserve"> </w:t>
      </w:r>
      <w:r>
        <w:rPr>
          <w:i/>
          <w:sz w:val="16"/>
        </w:rPr>
        <w:t>supra</w:t>
      </w:r>
      <w:r>
        <w:rPr>
          <w:sz w:val="16"/>
        </w:rPr>
        <w:t>,</w:t>
      </w:r>
      <w:r>
        <w:rPr>
          <w:spacing w:val="-9"/>
          <w:sz w:val="16"/>
        </w:rPr>
        <w:t xml:space="preserve"> </w:t>
      </w:r>
      <w:r>
        <w:rPr>
          <w:sz w:val="16"/>
        </w:rPr>
        <w:t>párr.</w:t>
      </w:r>
      <w:r>
        <w:rPr>
          <w:spacing w:val="-9"/>
          <w:sz w:val="16"/>
        </w:rPr>
        <w:t xml:space="preserve"> </w:t>
      </w:r>
      <w:r>
        <w:rPr>
          <w:sz w:val="16"/>
        </w:rPr>
        <w:t>229.</w:t>
      </w:r>
    </w:p>
    <w:p w14:paraId="567A351E" w14:textId="77777777" w:rsidR="00467FCA" w:rsidRDefault="001B68EB">
      <w:pPr>
        <w:tabs>
          <w:tab w:val="left" w:pos="1166"/>
        </w:tabs>
        <w:ind w:left="458"/>
        <w:jc w:val="both"/>
        <w:rPr>
          <w:i/>
          <w:sz w:val="16"/>
        </w:rPr>
      </w:pPr>
      <w:bookmarkStart w:id="843" w:name="_bookmark762"/>
      <w:bookmarkEnd w:id="843"/>
      <w:r>
        <w:rPr>
          <w:position w:val="6"/>
          <w:sz w:val="10"/>
        </w:rPr>
        <w:t>80</w:t>
      </w:r>
      <w:r>
        <w:rPr>
          <w:position w:val="6"/>
          <w:sz w:val="10"/>
        </w:rPr>
        <w:tab/>
      </w:r>
      <w:r>
        <w:rPr>
          <w:i/>
          <w:sz w:val="16"/>
        </w:rPr>
        <w:t xml:space="preserve">Cfr. </w:t>
      </w:r>
      <w:r>
        <w:rPr>
          <w:sz w:val="16"/>
        </w:rPr>
        <w:t xml:space="preserve">CIDH y REDESCA, </w:t>
      </w:r>
      <w:r>
        <w:rPr>
          <w:i/>
          <w:sz w:val="16"/>
        </w:rPr>
        <w:t>Informe sobre Empresas y Derechos Humanos: Estándares Interamericanos</w:t>
      </w:r>
      <w:r>
        <w:rPr>
          <w:sz w:val="16"/>
        </w:rPr>
        <w:t>,</w:t>
      </w:r>
      <w:r>
        <w:rPr>
          <w:spacing w:val="42"/>
          <w:sz w:val="16"/>
        </w:rPr>
        <w:t xml:space="preserve"> </w:t>
      </w:r>
      <w:r>
        <w:rPr>
          <w:i/>
          <w:sz w:val="16"/>
        </w:rPr>
        <w:t>supra,</w:t>
      </w:r>
    </w:p>
    <w:p w14:paraId="295493E5" w14:textId="77777777" w:rsidR="00467FCA" w:rsidRDefault="001B68EB">
      <w:pPr>
        <w:ind w:left="458"/>
        <w:jc w:val="both"/>
        <w:rPr>
          <w:sz w:val="16"/>
        </w:rPr>
      </w:pPr>
      <w:r>
        <w:rPr>
          <w:sz w:val="16"/>
        </w:rPr>
        <w:t>párr. 94.</w:t>
      </w:r>
    </w:p>
    <w:p w14:paraId="2CBA836C" w14:textId="77777777" w:rsidR="00467FCA" w:rsidRDefault="001B68EB">
      <w:pPr>
        <w:tabs>
          <w:tab w:val="left" w:pos="1166"/>
        </w:tabs>
        <w:ind w:left="458" w:right="273"/>
        <w:jc w:val="both"/>
        <w:rPr>
          <w:sz w:val="16"/>
        </w:rPr>
      </w:pPr>
      <w:bookmarkStart w:id="844" w:name="_bookmark763"/>
      <w:bookmarkEnd w:id="844"/>
      <w:r>
        <w:rPr>
          <w:position w:val="6"/>
          <w:sz w:val="10"/>
        </w:rPr>
        <w:t>81</w:t>
      </w:r>
      <w:r>
        <w:rPr>
          <w:position w:val="6"/>
          <w:sz w:val="10"/>
        </w:rPr>
        <w:tab/>
      </w:r>
      <w:r>
        <w:rPr>
          <w:i/>
          <w:sz w:val="16"/>
        </w:rPr>
        <w:t>Cfr. Caso Empleados de la Fábrica de Fuegos en Santo Antônio de Jesus y sus familiares Vs. Brasil, supra</w:t>
      </w:r>
      <w:r>
        <w:rPr>
          <w:sz w:val="16"/>
        </w:rPr>
        <w:t>, párr.</w:t>
      </w:r>
      <w:r>
        <w:rPr>
          <w:spacing w:val="-1"/>
          <w:sz w:val="16"/>
        </w:rPr>
        <w:t xml:space="preserve"> </w:t>
      </w:r>
      <w:r>
        <w:rPr>
          <w:sz w:val="16"/>
        </w:rPr>
        <w:t>286</w:t>
      </w:r>
      <w:r>
        <w:rPr>
          <w:sz w:val="16"/>
        </w:rPr>
        <w:t>.</w:t>
      </w:r>
    </w:p>
    <w:p w14:paraId="0A5087CD" w14:textId="77777777" w:rsidR="00467FCA" w:rsidRDefault="001B68EB">
      <w:pPr>
        <w:tabs>
          <w:tab w:val="left" w:pos="1166"/>
        </w:tabs>
        <w:ind w:left="458" w:right="273"/>
        <w:jc w:val="both"/>
        <w:rPr>
          <w:sz w:val="16"/>
        </w:rPr>
      </w:pPr>
      <w:bookmarkStart w:id="845" w:name="_bookmark764"/>
      <w:bookmarkEnd w:id="845"/>
      <w:r>
        <w:rPr>
          <w:position w:val="6"/>
          <w:sz w:val="10"/>
        </w:rPr>
        <w:t>82</w:t>
      </w:r>
      <w:r>
        <w:rPr>
          <w:position w:val="6"/>
          <w:sz w:val="10"/>
        </w:rPr>
        <w:tab/>
      </w:r>
      <w:r>
        <w:rPr>
          <w:i/>
          <w:sz w:val="16"/>
        </w:rPr>
        <w:t>Cfr. Caso Empleados de la Fábrica de Fuegos en Santo Antônio de Jesus y sus familiares Vs. Brasil, supra</w:t>
      </w:r>
      <w:r>
        <w:rPr>
          <w:sz w:val="16"/>
        </w:rPr>
        <w:t>, párr.</w:t>
      </w:r>
      <w:r>
        <w:rPr>
          <w:spacing w:val="55"/>
          <w:sz w:val="16"/>
        </w:rPr>
        <w:t xml:space="preserve"> </w:t>
      </w:r>
      <w:r>
        <w:rPr>
          <w:sz w:val="16"/>
        </w:rPr>
        <w:t>286.</w:t>
      </w:r>
    </w:p>
    <w:p w14:paraId="4E76747A" w14:textId="77777777" w:rsidR="00467FCA" w:rsidRDefault="001B68EB">
      <w:pPr>
        <w:tabs>
          <w:tab w:val="left" w:pos="1166"/>
        </w:tabs>
        <w:ind w:left="458" w:right="270"/>
        <w:jc w:val="both"/>
        <w:rPr>
          <w:sz w:val="16"/>
        </w:rPr>
      </w:pPr>
      <w:bookmarkStart w:id="846" w:name="_bookmark765"/>
      <w:bookmarkEnd w:id="846"/>
      <w:r>
        <w:rPr>
          <w:position w:val="6"/>
          <w:sz w:val="10"/>
        </w:rPr>
        <w:t>83</w:t>
      </w:r>
      <w:r>
        <w:rPr>
          <w:position w:val="6"/>
          <w:sz w:val="10"/>
        </w:rPr>
        <w:tab/>
      </w:r>
      <w:r>
        <w:rPr>
          <w:sz w:val="16"/>
        </w:rPr>
        <w:t>“[…] Para cumplir con esta medida, el Estado podrá acudir a organizaciones como la OIT y UNICEF, a fin de que brinden asesoramiento</w:t>
      </w:r>
      <w:r>
        <w:rPr>
          <w:sz w:val="16"/>
        </w:rPr>
        <w:t xml:space="preserve"> o asistencia que pudiere resultar de utilidad en el cumplimiento de la medida ordenada. El Estado cuenta con un plazo de dos años desde la notificación de la presente Sentencia para presentar un informe a</w:t>
      </w:r>
      <w:r>
        <w:rPr>
          <w:spacing w:val="-3"/>
          <w:sz w:val="16"/>
        </w:rPr>
        <w:t xml:space="preserve"> </w:t>
      </w:r>
      <w:r>
        <w:rPr>
          <w:sz w:val="16"/>
        </w:rPr>
        <w:t>este</w:t>
      </w:r>
      <w:r>
        <w:rPr>
          <w:spacing w:val="-5"/>
          <w:sz w:val="16"/>
        </w:rPr>
        <w:t xml:space="preserve"> </w:t>
      </w:r>
      <w:r>
        <w:rPr>
          <w:sz w:val="16"/>
        </w:rPr>
        <w:t>Tribunal</w:t>
      </w:r>
      <w:r>
        <w:rPr>
          <w:spacing w:val="-6"/>
          <w:sz w:val="16"/>
        </w:rPr>
        <w:t xml:space="preserve"> </w:t>
      </w:r>
      <w:r>
        <w:rPr>
          <w:sz w:val="16"/>
        </w:rPr>
        <w:t>sobre</w:t>
      </w:r>
      <w:r>
        <w:rPr>
          <w:spacing w:val="-5"/>
          <w:sz w:val="16"/>
        </w:rPr>
        <w:t xml:space="preserve"> </w:t>
      </w:r>
      <w:r>
        <w:rPr>
          <w:sz w:val="16"/>
        </w:rPr>
        <w:t>el</w:t>
      </w:r>
      <w:r>
        <w:rPr>
          <w:spacing w:val="-3"/>
          <w:sz w:val="16"/>
        </w:rPr>
        <w:t xml:space="preserve"> </w:t>
      </w:r>
      <w:r>
        <w:rPr>
          <w:sz w:val="16"/>
        </w:rPr>
        <w:t>avance</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implementación</w:t>
      </w:r>
      <w:r>
        <w:rPr>
          <w:spacing w:val="-8"/>
          <w:sz w:val="16"/>
        </w:rPr>
        <w:t xml:space="preserve"> </w:t>
      </w:r>
      <w:r>
        <w:rPr>
          <w:sz w:val="16"/>
        </w:rPr>
        <w:t>de</w:t>
      </w:r>
      <w:r>
        <w:rPr>
          <w:spacing w:val="-5"/>
          <w:sz w:val="16"/>
        </w:rPr>
        <w:t xml:space="preserve"> </w:t>
      </w:r>
      <w:r>
        <w:rPr>
          <w:sz w:val="16"/>
        </w:rPr>
        <w:t>dicha</w:t>
      </w:r>
      <w:r>
        <w:rPr>
          <w:spacing w:val="-3"/>
          <w:sz w:val="16"/>
        </w:rPr>
        <w:t xml:space="preserve"> </w:t>
      </w:r>
      <w:r>
        <w:rPr>
          <w:sz w:val="16"/>
        </w:rPr>
        <w:t>política”.</w:t>
      </w:r>
      <w:r>
        <w:rPr>
          <w:spacing w:val="-4"/>
          <w:sz w:val="16"/>
        </w:rPr>
        <w:t xml:space="preserve"> </w:t>
      </w:r>
      <w:r>
        <w:rPr>
          <w:i/>
          <w:sz w:val="16"/>
        </w:rPr>
        <w:t>Cfr.</w:t>
      </w:r>
      <w:r>
        <w:rPr>
          <w:i/>
          <w:spacing w:val="-6"/>
          <w:sz w:val="16"/>
        </w:rPr>
        <w:t xml:space="preserve"> </w:t>
      </w:r>
      <w:r>
        <w:rPr>
          <w:i/>
          <w:sz w:val="16"/>
        </w:rPr>
        <w:t>Caso</w:t>
      </w:r>
      <w:r>
        <w:rPr>
          <w:i/>
          <w:spacing w:val="-4"/>
          <w:sz w:val="16"/>
        </w:rPr>
        <w:t xml:space="preserve"> </w:t>
      </w:r>
      <w:r>
        <w:rPr>
          <w:i/>
          <w:sz w:val="16"/>
        </w:rPr>
        <w:t>Empleados</w:t>
      </w:r>
      <w:r>
        <w:rPr>
          <w:i/>
          <w:spacing w:val="-7"/>
          <w:sz w:val="16"/>
        </w:rPr>
        <w:t xml:space="preserve"> </w:t>
      </w:r>
      <w:r>
        <w:rPr>
          <w:i/>
          <w:sz w:val="16"/>
        </w:rPr>
        <w:t>de</w:t>
      </w:r>
      <w:r>
        <w:rPr>
          <w:i/>
          <w:spacing w:val="-5"/>
          <w:sz w:val="16"/>
        </w:rPr>
        <w:t xml:space="preserve"> </w:t>
      </w:r>
      <w:r>
        <w:rPr>
          <w:i/>
          <w:sz w:val="16"/>
        </w:rPr>
        <w:t>la</w:t>
      </w:r>
      <w:r>
        <w:rPr>
          <w:i/>
          <w:spacing w:val="-6"/>
          <w:sz w:val="16"/>
        </w:rPr>
        <w:t xml:space="preserve"> </w:t>
      </w:r>
      <w:r>
        <w:rPr>
          <w:i/>
          <w:sz w:val="16"/>
        </w:rPr>
        <w:t>Fábrica</w:t>
      </w:r>
      <w:r>
        <w:rPr>
          <w:i/>
          <w:spacing w:val="-8"/>
          <w:sz w:val="16"/>
        </w:rPr>
        <w:t xml:space="preserve"> </w:t>
      </w:r>
      <w:r>
        <w:rPr>
          <w:i/>
          <w:sz w:val="16"/>
        </w:rPr>
        <w:t>de</w:t>
      </w:r>
      <w:r>
        <w:rPr>
          <w:i/>
          <w:spacing w:val="-7"/>
          <w:sz w:val="16"/>
        </w:rPr>
        <w:t xml:space="preserve"> </w:t>
      </w:r>
      <w:r>
        <w:rPr>
          <w:i/>
          <w:sz w:val="16"/>
        </w:rPr>
        <w:t>Fuegos en Santo Antônio de Jesus y sus familiares Vs. Brasil, supra</w:t>
      </w:r>
      <w:r>
        <w:rPr>
          <w:sz w:val="16"/>
        </w:rPr>
        <w:t>, párr.</w:t>
      </w:r>
      <w:r>
        <w:rPr>
          <w:spacing w:val="-9"/>
          <w:sz w:val="16"/>
        </w:rPr>
        <w:t xml:space="preserve"> </w:t>
      </w:r>
      <w:r>
        <w:rPr>
          <w:sz w:val="16"/>
        </w:rPr>
        <w:t>287.</w:t>
      </w:r>
    </w:p>
    <w:p w14:paraId="315F3E38" w14:textId="77777777" w:rsidR="00467FCA" w:rsidRDefault="001B68EB">
      <w:pPr>
        <w:tabs>
          <w:tab w:val="left" w:pos="1166"/>
        </w:tabs>
        <w:ind w:left="458" w:right="272"/>
        <w:jc w:val="both"/>
        <w:rPr>
          <w:sz w:val="16"/>
        </w:rPr>
      </w:pPr>
      <w:bookmarkStart w:id="847" w:name="_bookmark766"/>
      <w:bookmarkEnd w:id="847"/>
      <w:r>
        <w:rPr>
          <w:position w:val="6"/>
          <w:sz w:val="10"/>
        </w:rPr>
        <w:t>84</w:t>
      </w:r>
      <w:r>
        <w:rPr>
          <w:position w:val="6"/>
          <w:sz w:val="10"/>
        </w:rPr>
        <w:tab/>
      </w:r>
      <w:r>
        <w:rPr>
          <w:i/>
          <w:sz w:val="16"/>
        </w:rPr>
        <w:t xml:space="preserve">Cfr. </w:t>
      </w:r>
      <w:r>
        <w:rPr>
          <w:sz w:val="16"/>
        </w:rPr>
        <w:t xml:space="preserve">CEDS, </w:t>
      </w:r>
      <w:r>
        <w:rPr>
          <w:i/>
          <w:sz w:val="16"/>
        </w:rPr>
        <w:t>Caso Confederación General Italiana del Trabajo (CGIL) Vs. Italia</w:t>
      </w:r>
      <w:r>
        <w:rPr>
          <w:sz w:val="16"/>
        </w:rPr>
        <w:t>, Queja No. 91/2013, deci</w:t>
      </w:r>
      <w:r>
        <w:rPr>
          <w:sz w:val="16"/>
        </w:rPr>
        <w:t>sión de admisibilidad y de fondo de 12 de octubre de 2005, párr.</w:t>
      </w:r>
      <w:r>
        <w:rPr>
          <w:spacing w:val="-13"/>
          <w:sz w:val="16"/>
        </w:rPr>
        <w:t xml:space="preserve"> </w:t>
      </w:r>
      <w:r>
        <w:rPr>
          <w:sz w:val="16"/>
        </w:rPr>
        <w:t>277.</w:t>
      </w:r>
    </w:p>
    <w:p w14:paraId="2DE2B247" w14:textId="77777777" w:rsidR="00467FCA" w:rsidRDefault="00467FCA">
      <w:pPr>
        <w:jc w:val="both"/>
        <w:rPr>
          <w:sz w:val="16"/>
        </w:rPr>
        <w:sectPr w:rsidR="00467FCA">
          <w:pgSz w:w="12240" w:h="15840"/>
          <w:pgMar w:top="1340" w:right="1140" w:bottom="920" w:left="960" w:header="0" w:footer="734" w:gutter="0"/>
          <w:cols w:space="720"/>
        </w:sectPr>
      </w:pPr>
    </w:p>
    <w:p w14:paraId="6CDE0FA7" w14:textId="77777777" w:rsidR="00467FCA" w:rsidRDefault="001B68EB">
      <w:pPr>
        <w:pStyle w:val="Ttulo1"/>
        <w:numPr>
          <w:ilvl w:val="2"/>
          <w:numId w:val="32"/>
        </w:numPr>
        <w:tabs>
          <w:tab w:val="left" w:pos="1834"/>
        </w:tabs>
        <w:spacing w:before="79"/>
        <w:ind w:left="813" w:right="634" w:firstLine="554"/>
        <w:jc w:val="left"/>
        <w:rPr>
          <w:i/>
        </w:rPr>
      </w:pPr>
      <w:r>
        <w:t xml:space="preserve">LA POBREZA COMO PARTE DE LA CONDICIÓN ECONÓMICA Y LA DISCRIMINACIÓN ESTRUCTURAL E INTERSECCIONAL: DE </w:t>
      </w:r>
      <w:r>
        <w:rPr>
          <w:i/>
        </w:rPr>
        <w:t>TRABAJADORES</w:t>
      </w:r>
      <w:r>
        <w:rPr>
          <w:i/>
          <w:spacing w:val="-29"/>
        </w:rPr>
        <w:t xml:space="preserve"> </w:t>
      </w:r>
      <w:r>
        <w:rPr>
          <w:i/>
        </w:rPr>
        <w:t>DE</w:t>
      </w:r>
    </w:p>
    <w:p w14:paraId="1E0B6CE9" w14:textId="77777777" w:rsidR="00467FCA" w:rsidRDefault="001B68EB">
      <w:pPr>
        <w:pStyle w:val="Ttulo2"/>
        <w:spacing w:line="242" w:lineRule="exact"/>
        <w:ind w:left="1295"/>
      </w:pPr>
      <w:r>
        <w:t xml:space="preserve">HACIENDA BRASIL VERDE </w:t>
      </w:r>
      <w:r>
        <w:rPr>
          <w:i w:val="0"/>
        </w:rPr>
        <w:t xml:space="preserve">A </w:t>
      </w:r>
      <w:r>
        <w:t>EMPLEADOS DE LA FÁBRICA DE FUEGOS</w:t>
      </w:r>
    </w:p>
    <w:p w14:paraId="375DE835" w14:textId="77777777" w:rsidR="00467FCA" w:rsidRDefault="00467FCA">
      <w:pPr>
        <w:pStyle w:val="Textoindependiente"/>
        <w:spacing w:before="1"/>
        <w:rPr>
          <w:b/>
          <w:i/>
        </w:rPr>
      </w:pPr>
    </w:p>
    <w:p w14:paraId="28A2109F" w14:textId="77777777" w:rsidR="00467FCA" w:rsidRDefault="001B68EB">
      <w:pPr>
        <w:pStyle w:val="Prrafodelista"/>
        <w:numPr>
          <w:ilvl w:val="0"/>
          <w:numId w:val="6"/>
        </w:numPr>
        <w:tabs>
          <w:tab w:val="left" w:pos="751"/>
        </w:tabs>
        <w:ind w:hanging="294"/>
        <w:jc w:val="both"/>
        <w:rPr>
          <w:b/>
          <w:i/>
          <w:sz w:val="20"/>
        </w:rPr>
      </w:pPr>
      <w:r>
        <w:rPr>
          <w:b/>
          <w:i/>
          <w:sz w:val="20"/>
        </w:rPr>
        <w:t>El antes y después del caso Trabajadores de la Hacienda Brasil</w:t>
      </w:r>
      <w:r>
        <w:rPr>
          <w:b/>
          <w:i/>
          <w:spacing w:val="-13"/>
          <w:sz w:val="20"/>
        </w:rPr>
        <w:t xml:space="preserve"> </w:t>
      </w:r>
      <w:r>
        <w:rPr>
          <w:b/>
          <w:i/>
          <w:sz w:val="20"/>
        </w:rPr>
        <w:t>Verde</w:t>
      </w:r>
    </w:p>
    <w:p w14:paraId="6C6475A8" w14:textId="77777777" w:rsidR="00467FCA" w:rsidRDefault="00467FCA">
      <w:pPr>
        <w:pStyle w:val="Textoindependiente"/>
        <w:spacing w:before="10"/>
        <w:rPr>
          <w:b/>
          <w:i/>
          <w:sz w:val="19"/>
        </w:rPr>
      </w:pPr>
    </w:p>
    <w:p w14:paraId="65029C53" w14:textId="77777777" w:rsidR="00467FCA" w:rsidRDefault="001B68EB">
      <w:pPr>
        <w:pStyle w:val="Prrafodelista"/>
        <w:numPr>
          <w:ilvl w:val="0"/>
          <w:numId w:val="7"/>
        </w:numPr>
        <w:tabs>
          <w:tab w:val="left" w:pos="1166"/>
        </w:tabs>
        <w:spacing w:before="1"/>
        <w:ind w:left="457" w:right="275" w:firstLine="0"/>
        <w:jc w:val="both"/>
        <w:rPr>
          <w:sz w:val="20"/>
        </w:rPr>
      </w:pPr>
      <w:r>
        <w:rPr>
          <w:sz w:val="20"/>
        </w:rPr>
        <w:t>Como</w:t>
      </w:r>
      <w:r>
        <w:rPr>
          <w:spacing w:val="-17"/>
          <w:sz w:val="20"/>
        </w:rPr>
        <w:t xml:space="preserve"> </w:t>
      </w:r>
      <w:r>
        <w:rPr>
          <w:sz w:val="20"/>
        </w:rPr>
        <w:t>punto</w:t>
      </w:r>
      <w:r>
        <w:rPr>
          <w:spacing w:val="-19"/>
          <w:sz w:val="20"/>
        </w:rPr>
        <w:t xml:space="preserve"> </w:t>
      </w:r>
      <w:r>
        <w:rPr>
          <w:sz w:val="20"/>
        </w:rPr>
        <w:t>de</w:t>
      </w:r>
      <w:r>
        <w:rPr>
          <w:spacing w:val="-18"/>
          <w:sz w:val="20"/>
        </w:rPr>
        <w:t xml:space="preserve"> </w:t>
      </w:r>
      <w:r>
        <w:rPr>
          <w:sz w:val="20"/>
        </w:rPr>
        <w:t>partida</w:t>
      </w:r>
      <w:r>
        <w:rPr>
          <w:spacing w:val="-17"/>
          <w:sz w:val="20"/>
        </w:rPr>
        <w:t xml:space="preserve"> </w:t>
      </w:r>
      <w:r>
        <w:rPr>
          <w:sz w:val="20"/>
        </w:rPr>
        <w:t>del</w:t>
      </w:r>
      <w:r>
        <w:rPr>
          <w:spacing w:val="-18"/>
          <w:sz w:val="20"/>
        </w:rPr>
        <w:t xml:space="preserve"> </w:t>
      </w:r>
      <w:r>
        <w:rPr>
          <w:sz w:val="20"/>
        </w:rPr>
        <w:t>análisis</w:t>
      </w:r>
      <w:r>
        <w:rPr>
          <w:spacing w:val="-17"/>
          <w:sz w:val="20"/>
        </w:rPr>
        <w:t xml:space="preserve"> </w:t>
      </w:r>
      <w:r>
        <w:rPr>
          <w:sz w:val="20"/>
        </w:rPr>
        <w:t>de</w:t>
      </w:r>
      <w:r>
        <w:rPr>
          <w:spacing w:val="-19"/>
          <w:sz w:val="20"/>
        </w:rPr>
        <w:t xml:space="preserve"> </w:t>
      </w:r>
      <w:r>
        <w:rPr>
          <w:sz w:val="20"/>
        </w:rPr>
        <w:t>la</w:t>
      </w:r>
      <w:r>
        <w:rPr>
          <w:spacing w:val="-17"/>
          <w:sz w:val="20"/>
        </w:rPr>
        <w:t xml:space="preserve"> </w:t>
      </w:r>
      <w:r>
        <w:rPr>
          <w:sz w:val="20"/>
        </w:rPr>
        <w:t>pobreza</w:t>
      </w:r>
      <w:r>
        <w:rPr>
          <w:spacing w:val="-16"/>
          <w:sz w:val="20"/>
        </w:rPr>
        <w:t xml:space="preserve"> </w:t>
      </w:r>
      <w:r>
        <w:rPr>
          <w:sz w:val="20"/>
        </w:rPr>
        <w:t>dentro</w:t>
      </w:r>
      <w:r>
        <w:rPr>
          <w:spacing w:val="-19"/>
          <w:sz w:val="20"/>
        </w:rPr>
        <w:t xml:space="preserve"> </w:t>
      </w:r>
      <w:r>
        <w:rPr>
          <w:sz w:val="20"/>
        </w:rPr>
        <w:t>de</w:t>
      </w:r>
      <w:r>
        <w:rPr>
          <w:spacing w:val="-18"/>
          <w:sz w:val="20"/>
        </w:rPr>
        <w:t xml:space="preserve"> </w:t>
      </w:r>
      <w:r>
        <w:rPr>
          <w:sz w:val="20"/>
        </w:rPr>
        <w:t>las</w:t>
      </w:r>
      <w:r>
        <w:rPr>
          <w:spacing w:val="-17"/>
          <w:sz w:val="20"/>
        </w:rPr>
        <w:t xml:space="preserve"> </w:t>
      </w:r>
      <w:r>
        <w:rPr>
          <w:sz w:val="20"/>
        </w:rPr>
        <w:t>categorías</w:t>
      </w:r>
      <w:r>
        <w:rPr>
          <w:spacing w:val="-16"/>
          <w:sz w:val="20"/>
        </w:rPr>
        <w:t xml:space="preserve"> </w:t>
      </w:r>
      <w:r>
        <w:rPr>
          <w:sz w:val="20"/>
        </w:rPr>
        <w:t>de</w:t>
      </w:r>
      <w:r>
        <w:rPr>
          <w:spacing w:val="-19"/>
          <w:sz w:val="20"/>
        </w:rPr>
        <w:t xml:space="preserve"> </w:t>
      </w:r>
      <w:r>
        <w:rPr>
          <w:sz w:val="20"/>
        </w:rPr>
        <w:t>prohibición de la discriminación, es importante retomar las palabras del Comité DESC en cómo debe entenderse esta, considerándola como “</w:t>
      </w:r>
      <w:r>
        <w:rPr>
          <w:i/>
          <w:sz w:val="20"/>
        </w:rPr>
        <w:t>una condición humana que se caracteriza por la privación</w:t>
      </w:r>
      <w:r>
        <w:rPr>
          <w:i/>
          <w:spacing w:val="-17"/>
          <w:sz w:val="20"/>
        </w:rPr>
        <w:t xml:space="preserve"> </w:t>
      </w:r>
      <w:r>
        <w:rPr>
          <w:i/>
          <w:sz w:val="20"/>
        </w:rPr>
        <w:t>continua</w:t>
      </w:r>
      <w:r>
        <w:rPr>
          <w:i/>
          <w:spacing w:val="-17"/>
          <w:sz w:val="20"/>
        </w:rPr>
        <w:t xml:space="preserve"> </w:t>
      </w:r>
      <w:r>
        <w:rPr>
          <w:i/>
          <w:sz w:val="20"/>
        </w:rPr>
        <w:t>o</w:t>
      </w:r>
      <w:r>
        <w:rPr>
          <w:i/>
          <w:spacing w:val="-16"/>
          <w:sz w:val="20"/>
        </w:rPr>
        <w:t xml:space="preserve"> </w:t>
      </w:r>
      <w:r>
        <w:rPr>
          <w:i/>
          <w:sz w:val="20"/>
        </w:rPr>
        <w:t>crónica</w:t>
      </w:r>
      <w:r>
        <w:rPr>
          <w:i/>
          <w:spacing w:val="-17"/>
          <w:sz w:val="20"/>
        </w:rPr>
        <w:t xml:space="preserve"> </w:t>
      </w:r>
      <w:r>
        <w:rPr>
          <w:i/>
          <w:sz w:val="20"/>
        </w:rPr>
        <w:t>de</w:t>
      </w:r>
      <w:r>
        <w:rPr>
          <w:i/>
          <w:spacing w:val="-16"/>
          <w:sz w:val="20"/>
        </w:rPr>
        <w:t xml:space="preserve"> </w:t>
      </w:r>
      <w:r>
        <w:rPr>
          <w:i/>
          <w:sz w:val="20"/>
        </w:rPr>
        <w:t>los</w:t>
      </w:r>
      <w:r>
        <w:rPr>
          <w:i/>
          <w:spacing w:val="-16"/>
          <w:sz w:val="20"/>
        </w:rPr>
        <w:t xml:space="preserve"> </w:t>
      </w:r>
      <w:r>
        <w:rPr>
          <w:i/>
          <w:sz w:val="20"/>
        </w:rPr>
        <w:t>recursos</w:t>
      </w:r>
      <w:r>
        <w:rPr>
          <w:sz w:val="20"/>
        </w:rPr>
        <w:t>,</w:t>
      </w:r>
      <w:r>
        <w:rPr>
          <w:spacing w:val="-16"/>
          <w:sz w:val="20"/>
        </w:rPr>
        <w:t xml:space="preserve"> </w:t>
      </w:r>
      <w:r>
        <w:rPr>
          <w:i/>
          <w:sz w:val="20"/>
        </w:rPr>
        <w:t>la</w:t>
      </w:r>
      <w:r>
        <w:rPr>
          <w:i/>
          <w:spacing w:val="-15"/>
          <w:sz w:val="20"/>
        </w:rPr>
        <w:t xml:space="preserve"> </w:t>
      </w:r>
      <w:r>
        <w:rPr>
          <w:i/>
          <w:sz w:val="20"/>
        </w:rPr>
        <w:t>capacidad,</w:t>
      </w:r>
      <w:r>
        <w:rPr>
          <w:i/>
          <w:spacing w:val="-18"/>
          <w:sz w:val="20"/>
        </w:rPr>
        <w:t xml:space="preserve"> </w:t>
      </w:r>
      <w:r>
        <w:rPr>
          <w:i/>
          <w:sz w:val="20"/>
        </w:rPr>
        <w:t>las</w:t>
      </w:r>
      <w:r>
        <w:rPr>
          <w:i/>
          <w:spacing w:val="-14"/>
          <w:sz w:val="20"/>
        </w:rPr>
        <w:t xml:space="preserve"> </w:t>
      </w:r>
      <w:r>
        <w:rPr>
          <w:i/>
          <w:sz w:val="20"/>
        </w:rPr>
        <w:t>opciones,</w:t>
      </w:r>
      <w:r>
        <w:rPr>
          <w:i/>
          <w:spacing w:val="-18"/>
          <w:sz w:val="20"/>
        </w:rPr>
        <w:t xml:space="preserve"> </w:t>
      </w:r>
      <w:r>
        <w:rPr>
          <w:i/>
          <w:sz w:val="20"/>
        </w:rPr>
        <w:t>la</w:t>
      </w:r>
      <w:r>
        <w:rPr>
          <w:i/>
          <w:spacing w:val="-17"/>
          <w:sz w:val="20"/>
        </w:rPr>
        <w:t xml:space="preserve"> </w:t>
      </w:r>
      <w:r>
        <w:rPr>
          <w:i/>
          <w:sz w:val="20"/>
        </w:rPr>
        <w:t>seguridad</w:t>
      </w:r>
      <w:r>
        <w:rPr>
          <w:i/>
          <w:spacing w:val="-17"/>
          <w:sz w:val="20"/>
        </w:rPr>
        <w:t xml:space="preserve"> </w:t>
      </w:r>
      <w:r>
        <w:rPr>
          <w:i/>
          <w:sz w:val="20"/>
        </w:rPr>
        <w:t>y</w:t>
      </w:r>
      <w:r>
        <w:rPr>
          <w:i/>
          <w:spacing w:val="-13"/>
          <w:sz w:val="20"/>
        </w:rPr>
        <w:t xml:space="preserve"> </w:t>
      </w:r>
      <w:r>
        <w:rPr>
          <w:i/>
          <w:sz w:val="20"/>
        </w:rPr>
        <w:t>el</w:t>
      </w:r>
      <w:r>
        <w:rPr>
          <w:i/>
          <w:spacing w:val="-17"/>
          <w:sz w:val="20"/>
        </w:rPr>
        <w:t xml:space="preserve"> </w:t>
      </w:r>
      <w:r>
        <w:rPr>
          <w:i/>
          <w:sz w:val="20"/>
        </w:rPr>
        <w:t>poder necesarios</w:t>
      </w:r>
      <w:r>
        <w:rPr>
          <w:i/>
          <w:spacing w:val="-6"/>
          <w:sz w:val="20"/>
        </w:rPr>
        <w:t xml:space="preserve"> </w:t>
      </w:r>
      <w:r>
        <w:rPr>
          <w:i/>
          <w:sz w:val="20"/>
        </w:rPr>
        <w:t>para</w:t>
      </w:r>
      <w:r>
        <w:rPr>
          <w:i/>
          <w:spacing w:val="-5"/>
          <w:sz w:val="20"/>
        </w:rPr>
        <w:t xml:space="preserve"> </w:t>
      </w:r>
      <w:r>
        <w:rPr>
          <w:i/>
          <w:sz w:val="20"/>
        </w:rPr>
        <w:t>disfrutar</w:t>
      </w:r>
      <w:r>
        <w:rPr>
          <w:i/>
          <w:spacing w:val="-6"/>
          <w:sz w:val="20"/>
        </w:rPr>
        <w:t xml:space="preserve"> </w:t>
      </w:r>
      <w:r>
        <w:rPr>
          <w:i/>
          <w:sz w:val="20"/>
        </w:rPr>
        <w:t>de</w:t>
      </w:r>
      <w:r>
        <w:rPr>
          <w:i/>
          <w:spacing w:val="-7"/>
          <w:sz w:val="20"/>
        </w:rPr>
        <w:t xml:space="preserve"> </w:t>
      </w:r>
      <w:r>
        <w:rPr>
          <w:i/>
          <w:sz w:val="20"/>
        </w:rPr>
        <w:t>un</w:t>
      </w:r>
      <w:r>
        <w:rPr>
          <w:i/>
          <w:spacing w:val="-4"/>
          <w:sz w:val="20"/>
        </w:rPr>
        <w:t xml:space="preserve"> </w:t>
      </w:r>
      <w:r>
        <w:rPr>
          <w:i/>
          <w:sz w:val="20"/>
        </w:rPr>
        <w:t>nivel</w:t>
      </w:r>
      <w:r>
        <w:rPr>
          <w:i/>
          <w:spacing w:val="-5"/>
          <w:sz w:val="20"/>
        </w:rPr>
        <w:t xml:space="preserve"> </w:t>
      </w:r>
      <w:r>
        <w:rPr>
          <w:i/>
          <w:sz w:val="20"/>
        </w:rPr>
        <w:t>de</w:t>
      </w:r>
      <w:r>
        <w:rPr>
          <w:i/>
          <w:spacing w:val="-7"/>
          <w:sz w:val="20"/>
        </w:rPr>
        <w:t xml:space="preserve"> </w:t>
      </w:r>
      <w:r>
        <w:rPr>
          <w:i/>
          <w:sz w:val="20"/>
        </w:rPr>
        <w:t>vida</w:t>
      </w:r>
      <w:r>
        <w:rPr>
          <w:i/>
          <w:spacing w:val="-5"/>
          <w:sz w:val="20"/>
        </w:rPr>
        <w:t xml:space="preserve"> </w:t>
      </w:r>
      <w:r>
        <w:rPr>
          <w:i/>
          <w:sz w:val="20"/>
        </w:rPr>
        <w:t>adecuado</w:t>
      </w:r>
      <w:r>
        <w:rPr>
          <w:i/>
          <w:spacing w:val="-4"/>
          <w:sz w:val="20"/>
        </w:rPr>
        <w:t xml:space="preserve"> </w:t>
      </w:r>
      <w:r>
        <w:rPr>
          <w:i/>
          <w:sz w:val="20"/>
        </w:rPr>
        <w:t>y</w:t>
      </w:r>
      <w:r>
        <w:rPr>
          <w:i/>
          <w:spacing w:val="-6"/>
          <w:sz w:val="20"/>
        </w:rPr>
        <w:t xml:space="preserve"> </w:t>
      </w:r>
      <w:r>
        <w:rPr>
          <w:i/>
          <w:sz w:val="20"/>
        </w:rPr>
        <w:t>de</w:t>
      </w:r>
      <w:r>
        <w:rPr>
          <w:i/>
          <w:spacing w:val="-4"/>
          <w:sz w:val="20"/>
        </w:rPr>
        <w:t xml:space="preserve"> </w:t>
      </w:r>
      <w:r>
        <w:rPr>
          <w:i/>
          <w:sz w:val="20"/>
        </w:rPr>
        <w:t>otros</w:t>
      </w:r>
      <w:r>
        <w:rPr>
          <w:i/>
          <w:spacing w:val="-6"/>
          <w:sz w:val="20"/>
        </w:rPr>
        <w:t xml:space="preserve"> </w:t>
      </w:r>
      <w:r>
        <w:rPr>
          <w:i/>
          <w:sz w:val="20"/>
        </w:rPr>
        <w:t>derechos</w:t>
      </w:r>
      <w:r>
        <w:rPr>
          <w:i/>
          <w:spacing w:val="-6"/>
          <w:sz w:val="20"/>
        </w:rPr>
        <w:t xml:space="preserve"> </w:t>
      </w:r>
      <w:r>
        <w:rPr>
          <w:i/>
          <w:sz w:val="20"/>
        </w:rPr>
        <w:t>civiles,</w:t>
      </w:r>
      <w:r>
        <w:rPr>
          <w:i/>
          <w:spacing w:val="-4"/>
          <w:sz w:val="20"/>
        </w:rPr>
        <w:t xml:space="preserve"> </w:t>
      </w:r>
      <w:r>
        <w:rPr>
          <w:i/>
          <w:sz w:val="20"/>
        </w:rPr>
        <w:t>culturales, económicos, políticos y</w:t>
      </w:r>
      <w:r>
        <w:rPr>
          <w:i/>
          <w:spacing w:val="-1"/>
          <w:sz w:val="20"/>
        </w:rPr>
        <w:t xml:space="preserve"> </w:t>
      </w:r>
      <w:r>
        <w:rPr>
          <w:i/>
          <w:sz w:val="20"/>
        </w:rPr>
        <w:t>sociales</w:t>
      </w:r>
      <w:r>
        <w:rPr>
          <w:sz w:val="20"/>
        </w:rPr>
        <w:t>”</w:t>
      </w:r>
      <w:hyperlink w:anchor="_bookmark767" w:history="1">
        <w:r>
          <w:rPr>
            <w:position w:val="7"/>
            <w:sz w:val="13"/>
          </w:rPr>
          <w:t>85</w:t>
        </w:r>
      </w:hyperlink>
      <w:r>
        <w:rPr>
          <w:sz w:val="20"/>
        </w:rPr>
        <w:t>.</w:t>
      </w:r>
    </w:p>
    <w:p w14:paraId="30340461" w14:textId="77777777" w:rsidR="00467FCA" w:rsidRDefault="00467FCA">
      <w:pPr>
        <w:pStyle w:val="Textoindependiente"/>
        <w:spacing w:before="12"/>
        <w:rPr>
          <w:sz w:val="19"/>
        </w:rPr>
      </w:pPr>
    </w:p>
    <w:p w14:paraId="5698CA1D" w14:textId="77777777" w:rsidR="00467FCA" w:rsidRDefault="001B68EB">
      <w:pPr>
        <w:pStyle w:val="Prrafodelista"/>
        <w:numPr>
          <w:ilvl w:val="0"/>
          <w:numId w:val="7"/>
        </w:numPr>
        <w:tabs>
          <w:tab w:val="left" w:pos="1167"/>
        </w:tabs>
        <w:ind w:right="273" w:firstLine="0"/>
        <w:jc w:val="both"/>
        <w:rPr>
          <w:sz w:val="20"/>
        </w:rPr>
      </w:pPr>
      <w:r>
        <w:rPr>
          <w:sz w:val="20"/>
        </w:rPr>
        <w:t xml:space="preserve">Por su parte, los Principios Rectores sobre Extrema Pobreza y Derechos Humanos han considerado que “[l]a pobreza es en sí misma un problema de derechos humanos urgente. A la vez causa y consecuencia de violaciones de los derechos humanos, es una condición </w:t>
      </w:r>
      <w:r>
        <w:rPr>
          <w:sz w:val="20"/>
        </w:rPr>
        <w:t xml:space="preserve">que conduce a otras violaciones. </w:t>
      </w:r>
      <w:r>
        <w:rPr>
          <w:i/>
          <w:sz w:val="20"/>
          <w:u w:val="single"/>
        </w:rPr>
        <w:t>La extrema pobreza se caracteriza por vulneraciones múltiples e interconexas de los derechos civiles, políticos, económicos, sociales y culturales, y las personas que viven en la pobreza se ven expuestas regularmente a la d</w:t>
      </w:r>
      <w:r>
        <w:rPr>
          <w:i/>
          <w:sz w:val="20"/>
          <w:u w:val="single"/>
        </w:rPr>
        <w:t>enegación de su dignidad</w:t>
      </w:r>
      <w:r>
        <w:rPr>
          <w:i/>
          <w:spacing w:val="-13"/>
          <w:sz w:val="20"/>
          <w:u w:val="single"/>
        </w:rPr>
        <w:t xml:space="preserve"> </w:t>
      </w:r>
      <w:r>
        <w:rPr>
          <w:i/>
          <w:sz w:val="20"/>
          <w:u w:val="single"/>
        </w:rPr>
        <w:t>e</w:t>
      </w:r>
      <w:r>
        <w:rPr>
          <w:i/>
          <w:spacing w:val="-14"/>
          <w:sz w:val="20"/>
          <w:u w:val="single"/>
        </w:rPr>
        <w:t xml:space="preserve"> </w:t>
      </w:r>
      <w:r>
        <w:rPr>
          <w:i/>
          <w:sz w:val="20"/>
          <w:u w:val="single"/>
        </w:rPr>
        <w:t>igualdad</w:t>
      </w:r>
      <w:r>
        <w:rPr>
          <w:sz w:val="20"/>
        </w:rPr>
        <w:t>”;</w:t>
      </w:r>
      <w:r>
        <w:rPr>
          <w:spacing w:val="-12"/>
          <w:sz w:val="20"/>
        </w:rPr>
        <w:t xml:space="preserve"> </w:t>
      </w:r>
      <w:r>
        <w:rPr>
          <w:sz w:val="20"/>
        </w:rPr>
        <w:t>además,</w:t>
      </w:r>
      <w:r>
        <w:rPr>
          <w:spacing w:val="-12"/>
          <w:sz w:val="20"/>
        </w:rPr>
        <w:t xml:space="preserve"> </w:t>
      </w:r>
      <w:r>
        <w:rPr>
          <w:sz w:val="20"/>
        </w:rPr>
        <w:t>“[l]as</w:t>
      </w:r>
      <w:r>
        <w:rPr>
          <w:spacing w:val="-11"/>
          <w:sz w:val="20"/>
        </w:rPr>
        <w:t xml:space="preserve"> </w:t>
      </w:r>
      <w:r>
        <w:rPr>
          <w:sz w:val="20"/>
        </w:rPr>
        <w:t>personas</w:t>
      </w:r>
      <w:r>
        <w:rPr>
          <w:spacing w:val="-11"/>
          <w:sz w:val="20"/>
        </w:rPr>
        <w:t xml:space="preserve"> </w:t>
      </w:r>
      <w:r>
        <w:rPr>
          <w:sz w:val="20"/>
        </w:rPr>
        <w:t>que</w:t>
      </w:r>
      <w:r>
        <w:rPr>
          <w:spacing w:val="-14"/>
          <w:sz w:val="20"/>
        </w:rPr>
        <w:t xml:space="preserve"> </w:t>
      </w:r>
      <w:r>
        <w:rPr>
          <w:sz w:val="20"/>
        </w:rPr>
        <w:t>viven</w:t>
      </w:r>
      <w:r>
        <w:rPr>
          <w:spacing w:val="-10"/>
          <w:sz w:val="20"/>
        </w:rPr>
        <w:t xml:space="preserve"> </w:t>
      </w:r>
      <w:r>
        <w:rPr>
          <w:sz w:val="20"/>
        </w:rPr>
        <w:t>en</w:t>
      </w:r>
      <w:r>
        <w:rPr>
          <w:spacing w:val="-12"/>
          <w:sz w:val="20"/>
        </w:rPr>
        <w:t xml:space="preserve"> </w:t>
      </w:r>
      <w:r>
        <w:rPr>
          <w:sz w:val="20"/>
        </w:rPr>
        <w:t>la</w:t>
      </w:r>
      <w:r>
        <w:rPr>
          <w:spacing w:val="-10"/>
          <w:sz w:val="20"/>
        </w:rPr>
        <w:t xml:space="preserve"> </w:t>
      </w:r>
      <w:r>
        <w:rPr>
          <w:sz w:val="20"/>
        </w:rPr>
        <w:t>pobreza</w:t>
      </w:r>
      <w:r>
        <w:rPr>
          <w:spacing w:val="-11"/>
          <w:sz w:val="20"/>
        </w:rPr>
        <w:t xml:space="preserve"> </w:t>
      </w:r>
      <w:r>
        <w:rPr>
          <w:sz w:val="20"/>
        </w:rPr>
        <w:t>tropiezan</w:t>
      </w:r>
      <w:r>
        <w:rPr>
          <w:spacing w:val="-12"/>
          <w:sz w:val="20"/>
        </w:rPr>
        <w:t xml:space="preserve"> </w:t>
      </w:r>
      <w:r>
        <w:rPr>
          <w:sz w:val="20"/>
        </w:rPr>
        <w:t>con</w:t>
      </w:r>
      <w:r>
        <w:rPr>
          <w:spacing w:val="-9"/>
          <w:sz w:val="20"/>
        </w:rPr>
        <w:t xml:space="preserve"> </w:t>
      </w:r>
      <w:r>
        <w:rPr>
          <w:sz w:val="20"/>
        </w:rPr>
        <w:t>enormes obstáculos, de índole física, económica, cultural y social, para ejercer sus derechos. En consecuencia, sufren muchas privaciones que se relacionan entre sí y se refuerzan mutuamente —como las condiciones de trabajo peligrosas, […]—, que les impide</w:t>
      </w:r>
      <w:r>
        <w:rPr>
          <w:sz w:val="20"/>
        </w:rPr>
        <w:t>n hacer realidad sus derechos y perpetúan su pobreza”</w:t>
      </w:r>
      <w:hyperlink w:anchor="_bookmark768" w:history="1">
        <w:r>
          <w:rPr>
            <w:position w:val="7"/>
            <w:sz w:val="13"/>
          </w:rPr>
          <w:t>86</w:t>
        </w:r>
      </w:hyperlink>
      <w:r>
        <w:rPr>
          <w:position w:val="7"/>
          <w:sz w:val="13"/>
        </w:rPr>
        <w:t xml:space="preserve"> </w:t>
      </w:r>
      <w:r>
        <w:rPr>
          <w:sz w:val="20"/>
        </w:rPr>
        <w:t>(énfasis</w:t>
      </w:r>
      <w:r>
        <w:rPr>
          <w:spacing w:val="-24"/>
          <w:sz w:val="20"/>
        </w:rPr>
        <w:t xml:space="preserve"> </w:t>
      </w:r>
      <w:r>
        <w:rPr>
          <w:sz w:val="20"/>
        </w:rPr>
        <w:t>añadido).</w:t>
      </w:r>
    </w:p>
    <w:p w14:paraId="3E8EA250" w14:textId="77777777" w:rsidR="00467FCA" w:rsidRDefault="00467FCA">
      <w:pPr>
        <w:pStyle w:val="Textoindependiente"/>
        <w:spacing w:before="1"/>
      </w:pPr>
    </w:p>
    <w:p w14:paraId="00F5A07F" w14:textId="77777777" w:rsidR="00467FCA" w:rsidRDefault="001B68EB">
      <w:pPr>
        <w:pStyle w:val="Prrafodelista"/>
        <w:numPr>
          <w:ilvl w:val="0"/>
          <w:numId w:val="7"/>
        </w:numPr>
        <w:tabs>
          <w:tab w:val="left" w:pos="1167"/>
        </w:tabs>
        <w:spacing w:line="243" w:lineRule="exact"/>
        <w:ind w:left="1166" w:hanging="709"/>
        <w:jc w:val="both"/>
        <w:rPr>
          <w:sz w:val="20"/>
        </w:rPr>
      </w:pPr>
      <w:r>
        <w:rPr>
          <w:sz w:val="20"/>
        </w:rPr>
        <w:t xml:space="preserve">En el caso </w:t>
      </w:r>
      <w:r>
        <w:rPr>
          <w:i/>
          <w:sz w:val="20"/>
        </w:rPr>
        <w:t xml:space="preserve">Trabajadores de la Hacienda Brasil Verde Vs. Brasil </w:t>
      </w:r>
      <w:r>
        <w:rPr>
          <w:sz w:val="20"/>
        </w:rPr>
        <w:t>indiqué que</w:t>
      </w:r>
      <w:r>
        <w:rPr>
          <w:spacing w:val="-4"/>
          <w:sz w:val="20"/>
        </w:rPr>
        <w:t xml:space="preserve"> </w:t>
      </w:r>
      <w:r>
        <w:rPr>
          <w:sz w:val="20"/>
        </w:rPr>
        <w:t>“la</w:t>
      </w:r>
    </w:p>
    <w:p w14:paraId="6A1ADBE9" w14:textId="77777777" w:rsidR="00467FCA" w:rsidRDefault="001B68EB">
      <w:pPr>
        <w:pStyle w:val="Textoindependiente"/>
        <w:ind w:left="458" w:right="273"/>
        <w:jc w:val="both"/>
      </w:pPr>
      <w:r>
        <w:t xml:space="preserve">`pobreza´ no ha sido reconocida de manera expresa como una categoría </w:t>
      </w:r>
      <w:r>
        <w:t>de especial protección; ello no significa, sin embargo, que la pobreza no pueda ser valorada como parte de</w:t>
      </w:r>
      <w:r>
        <w:rPr>
          <w:spacing w:val="13"/>
        </w:rPr>
        <w:t xml:space="preserve"> </w:t>
      </w:r>
      <w:r>
        <w:t>alguna</w:t>
      </w:r>
      <w:r>
        <w:rPr>
          <w:spacing w:val="16"/>
        </w:rPr>
        <w:t xml:space="preserve"> </w:t>
      </w:r>
      <w:r>
        <w:t>categoría</w:t>
      </w:r>
      <w:r>
        <w:rPr>
          <w:spacing w:val="16"/>
        </w:rPr>
        <w:t xml:space="preserve"> </w:t>
      </w:r>
      <w:r>
        <w:t>que</w:t>
      </w:r>
      <w:r>
        <w:rPr>
          <w:spacing w:val="16"/>
        </w:rPr>
        <w:t xml:space="preserve"> </w:t>
      </w:r>
      <w:r>
        <w:t>sí</w:t>
      </w:r>
      <w:r>
        <w:rPr>
          <w:spacing w:val="17"/>
        </w:rPr>
        <w:t xml:space="preserve"> </w:t>
      </w:r>
      <w:r>
        <w:t>se</w:t>
      </w:r>
      <w:r>
        <w:rPr>
          <w:spacing w:val="17"/>
        </w:rPr>
        <w:t xml:space="preserve"> </w:t>
      </w:r>
      <w:r>
        <w:t>encuentre</w:t>
      </w:r>
      <w:r>
        <w:rPr>
          <w:spacing w:val="15"/>
        </w:rPr>
        <w:t xml:space="preserve"> </w:t>
      </w:r>
      <w:r>
        <w:t>reconocida</w:t>
      </w:r>
      <w:r>
        <w:rPr>
          <w:spacing w:val="16"/>
        </w:rPr>
        <w:t xml:space="preserve"> </w:t>
      </w:r>
      <w:r>
        <w:t>o</w:t>
      </w:r>
      <w:r>
        <w:rPr>
          <w:spacing w:val="16"/>
        </w:rPr>
        <w:t xml:space="preserve"> </w:t>
      </w:r>
      <w:r>
        <w:t>bien</w:t>
      </w:r>
      <w:r>
        <w:rPr>
          <w:spacing w:val="17"/>
        </w:rPr>
        <w:t xml:space="preserve"> </w:t>
      </w:r>
      <w:r>
        <w:t>que</w:t>
      </w:r>
      <w:r>
        <w:rPr>
          <w:spacing w:val="15"/>
        </w:rPr>
        <w:t xml:space="preserve"> </w:t>
      </w:r>
      <w:r>
        <w:t>se</w:t>
      </w:r>
      <w:r>
        <w:rPr>
          <w:spacing w:val="15"/>
        </w:rPr>
        <w:t xml:space="preserve"> </w:t>
      </w:r>
      <w:r>
        <w:t>incorpore</w:t>
      </w:r>
      <w:r>
        <w:rPr>
          <w:spacing w:val="16"/>
        </w:rPr>
        <w:t xml:space="preserve"> </w:t>
      </w:r>
      <w:r>
        <w:t>como</w:t>
      </w:r>
      <w:r>
        <w:rPr>
          <w:spacing w:val="15"/>
        </w:rPr>
        <w:t xml:space="preserve"> </w:t>
      </w:r>
      <w:r>
        <w:t>parte</w:t>
      </w:r>
      <w:r>
        <w:rPr>
          <w:spacing w:val="15"/>
        </w:rPr>
        <w:t xml:space="preserve"> </w:t>
      </w:r>
      <w:r>
        <w:t>de</w:t>
      </w:r>
    </w:p>
    <w:p w14:paraId="23736731" w14:textId="77777777" w:rsidR="00467FCA" w:rsidRDefault="001B68EB">
      <w:pPr>
        <w:pStyle w:val="Textoindependiente"/>
        <w:spacing w:before="1"/>
        <w:ind w:left="458" w:right="277" w:hanging="1"/>
        <w:jc w:val="both"/>
      </w:pPr>
      <w:r>
        <w:t>`otra condición social´. En esta tesitura, los diversos sistema</w:t>
      </w:r>
      <w:r>
        <w:t>s protección de derechos humanos (regionales</w:t>
      </w:r>
      <w:hyperlink w:anchor="_bookmark769" w:history="1">
        <w:r>
          <w:rPr>
            <w:position w:val="7"/>
            <w:sz w:val="13"/>
          </w:rPr>
          <w:t>87</w:t>
        </w:r>
      </w:hyperlink>
      <w:r>
        <w:rPr>
          <w:position w:val="7"/>
          <w:sz w:val="13"/>
        </w:rPr>
        <w:t xml:space="preserve"> </w:t>
      </w:r>
      <w:r>
        <w:t>y universal</w:t>
      </w:r>
      <w:hyperlink w:anchor="_bookmark770" w:history="1">
        <w:r>
          <w:rPr>
            <w:position w:val="7"/>
            <w:sz w:val="13"/>
          </w:rPr>
          <w:t>88</w:t>
        </w:r>
      </w:hyperlink>
      <w:r>
        <w:t>) tienen sus particularidades en cuanto al reconocimiento de la pobreza  como parte  de  la categoría de  prohibición  de  discrimin</w:t>
      </w:r>
      <w:r>
        <w:t>ación  `por</w:t>
      </w:r>
      <w:r>
        <w:rPr>
          <w:spacing w:val="39"/>
        </w:rPr>
        <w:t xml:space="preserve"> </w:t>
      </w:r>
      <w:r>
        <w:t>posición</w:t>
      </w:r>
    </w:p>
    <w:p w14:paraId="1D4A972C" w14:textId="77777777" w:rsidR="00467FCA" w:rsidRDefault="001B68EB">
      <w:pPr>
        <w:pStyle w:val="Textoindependiente"/>
        <w:spacing w:before="3"/>
        <w:rPr>
          <w:sz w:val="17"/>
        </w:rPr>
      </w:pPr>
      <w:r>
        <w:pict w14:anchorId="0B2E7D84">
          <v:shape id="_x0000_s1053" style="position:absolute;margin-left:70.9pt;margin-top:12.75pt;width:2in;height:.1pt;z-index:-251512832;mso-wrap-distance-left:0;mso-wrap-distance-right:0;mso-position-horizontal-relative:page" coordorigin="1418,255" coordsize="2880,0" path="m1418,255r2880,e" filled="f" strokeweight=".6pt">
            <v:path arrowok="t"/>
            <w10:wrap type="topAndBottom" anchorx="page"/>
          </v:shape>
        </w:pict>
      </w:r>
    </w:p>
    <w:p w14:paraId="51963AB1" w14:textId="77777777" w:rsidR="00467FCA" w:rsidRDefault="001B68EB">
      <w:pPr>
        <w:tabs>
          <w:tab w:val="left" w:pos="1223"/>
        </w:tabs>
        <w:spacing w:before="74"/>
        <w:ind w:left="458" w:right="271"/>
        <w:jc w:val="both"/>
        <w:rPr>
          <w:sz w:val="16"/>
        </w:rPr>
      </w:pPr>
      <w:bookmarkStart w:id="848" w:name="_bookmark767"/>
      <w:bookmarkEnd w:id="848"/>
      <w:r>
        <w:rPr>
          <w:position w:val="6"/>
          <w:sz w:val="10"/>
        </w:rPr>
        <w:t>85</w:t>
      </w:r>
      <w:r>
        <w:rPr>
          <w:position w:val="6"/>
          <w:sz w:val="10"/>
        </w:rPr>
        <w:tab/>
      </w:r>
      <w:r>
        <w:rPr>
          <w:sz w:val="16"/>
        </w:rPr>
        <w:t xml:space="preserve">Comité de DESC, </w:t>
      </w:r>
      <w:r>
        <w:rPr>
          <w:i/>
          <w:sz w:val="16"/>
        </w:rPr>
        <w:t>Cuestiones sustantivas que se plantean en la aplicación del Pacto Internacional de Derechos</w:t>
      </w:r>
      <w:r>
        <w:rPr>
          <w:i/>
          <w:spacing w:val="-3"/>
          <w:sz w:val="16"/>
        </w:rPr>
        <w:t xml:space="preserve"> </w:t>
      </w:r>
      <w:r>
        <w:rPr>
          <w:i/>
          <w:sz w:val="16"/>
        </w:rPr>
        <w:t>Económicos,</w:t>
      </w:r>
      <w:r>
        <w:rPr>
          <w:i/>
          <w:spacing w:val="-3"/>
          <w:sz w:val="16"/>
        </w:rPr>
        <w:t xml:space="preserve"> </w:t>
      </w:r>
      <w:r>
        <w:rPr>
          <w:i/>
          <w:sz w:val="16"/>
        </w:rPr>
        <w:t>Sociales</w:t>
      </w:r>
      <w:r>
        <w:rPr>
          <w:i/>
          <w:spacing w:val="-2"/>
          <w:sz w:val="16"/>
        </w:rPr>
        <w:t xml:space="preserve"> </w:t>
      </w:r>
      <w:r>
        <w:rPr>
          <w:i/>
          <w:sz w:val="16"/>
        </w:rPr>
        <w:t>y</w:t>
      </w:r>
      <w:r>
        <w:rPr>
          <w:i/>
          <w:spacing w:val="-2"/>
          <w:sz w:val="16"/>
        </w:rPr>
        <w:t xml:space="preserve"> </w:t>
      </w:r>
      <w:r>
        <w:rPr>
          <w:i/>
          <w:sz w:val="16"/>
        </w:rPr>
        <w:t>Culturales:</w:t>
      </w:r>
      <w:r>
        <w:rPr>
          <w:i/>
          <w:spacing w:val="-5"/>
          <w:sz w:val="16"/>
        </w:rPr>
        <w:t xml:space="preserve"> </w:t>
      </w:r>
      <w:r>
        <w:rPr>
          <w:i/>
          <w:sz w:val="16"/>
        </w:rPr>
        <w:t>la</w:t>
      </w:r>
      <w:r>
        <w:rPr>
          <w:i/>
          <w:spacing w:val="-3"/>
          <w:sz w:val="16"/>
        </w:rPr>
        <w:t xml:space="preserve"> </w:t>
      </w:r>
      <w:r>
        <w:rPr>
          <w:i/>
          <w:sz w:val="16"/>
        </w:rPr>
        <w:t>pobreza</w:t>
      </w:r>
      <w:r>
        <w:rPr>
          <w:i/>
          <w:spacing w:val="-3"/>
          <w:sz w:val="16"/>
        </w:rPr>
        <w:t xml:space="preserve"> </w:t>
      </w:r>
      <w:r>
        <w:rPr>
          <w:i/>
          <w:sz w:val="16"/>
        </w:rPr>
        <w:t>y</w:t>
      </w:r>
      <w:r>
        <w:rPr>
          <w:i/>
          <w:spacing w:val="-2"/>
          <w:sz w:val="16"/>
        </w:rPr>
        <w:t xml:space="preserve"> </w:t>
      </w:r>
      <w:r>
        <w:rPr>
          <w:i/>
          <w:sz w:val="16"/>
        </w:rPr>
        <w:t>el</w:t>
      </w:r>
      <w:r>
        <w:rPr>
          <w:i/>
          <w:spacing w:val="-3"/>
          <w:sz w:val="16"/>
        </w:rPr>
        <w:t xml:space="preserve"> </w:t>
      </w:r>
      <w:r>
        <w:rPr>
          <w:i/>
          <w:sz w:val="16"/>
        </w:rPr>
        <w:t>Pacto</w:t>
      </w:r>
      <w:r>
        <w:rPr>
          <w:i/>
          <w:spacing w:val="-3"/>
          <w:sz w:val="16"/>
        </w:rPr>
        <w:t xml:space="preserve"> </w:t>
      </w:r>
      <w:r>
        <w:rPr>
          <w:i/>
          <w:sz w:val="16"/>
        </w:rPr>
        <w:t>Internacional</w:t>
      </w:r>
      <w:r>
        <w:rPr>
          <w:i/>
          <w:spacing w:val="-3"/>
          <w:sz w:val="16"/>
        </w:rPr>
        <w:t xml:space="preserve"> </w:t>
      </w:r>
      <w:r>
        <w:rPr>
          <w:i/>
          <w:sz w:val="16"/>
        </w:rPr>
        <w:t>de</w:t>
      </w:r>
      <w:r>
        <w:rPr>
          <w:i/>
          <w:spacing w:val="-2"/>
          <w:sz w:val="16"/>
        </w:rPr>
        <w:t xml:space="preserve"> </w:t>
      </w:r>
      <w:r>
        <w:rPr>
          <w:i/>
          <w:sz w:val="16"/>
        </w:rPr>
        <w:t>Derechos</w:t>
      </w:r>
      <w:r>
        <w:rPr>
          <w:i/>
          <w:spacing w:val="-2"/>
          <w:sz w:val="16"/>
        </w:rPr>
        <w:t xml:space="preserve"> </w:t>
      </w:r>
      <w:r>
        <w:rPr>
          <w:i/>
          <w:sz w:val="16"/>
        </w:rPr>
        <w:t>Económicos,</w:t>
      </w:r>
      <w:r>
        <w:rPr>
          <w:i/>
          <w:spacing w:val="-7"/>
          <w:sz w:val="16"/>
        </w:rPr>
        <w:t xml:space="preserve"> </w:t>
      </w:r>
      <w:r>
        <w:rPr>
          <w:i/>
          <w:sz w:val="16"/>
        </w:rPr>
        <w:t>Sociales</w:t>
      </w:r>
      <w:r>
        <w:rPr>
          <w:i/>
          <w:spacing w:val="-7"/>
          <w:sz w:val="16"/>
        </w:rPr>
        <w:t xml:space="preserve"> </w:t>
      </w:r>
      <w:r>
        <w:rPr>
          <w:i/>
          <w:sz w:val="16"/>
        </w:rPr>
        <w:t xml:space="preserve">y Culturales, </w:t>
      </w:r>
      <w:r>
        <w:rPr>
          <w:sz w:val="16"/>
        </w:rPr>
        <w:t xml:space="preserve">10 de mayo de 2001, </w:t>
      </w:r>
      <w:r>
        <w:rPr>
          <w:i/>
          <w:sz w:val="16"/>
        </w:rPr>
        <w:t>E</w:t>
      </w:r>
      <w:r>
        <w:rPr>
          <w:sz w:val="16"/>
        </w:rPr>
        <w:t xml:space="preserve">/C.12/2001/10, párr. 8. En similar sentido, los </w:t>
      </w:r>
      <w:r>
        <w:rPr>
          <w:i/>
          <w:sz w:val="16"/>
        </w:rPr>
        <w:t xml:space="preserve">Principios Rectores sobre Extrema Pobreza y Derechos Humanos </w:t>
      </w:r>
      <w:r>
        <w:rPr>
          <w:sz w:val="16"/>
        </w:rPr>
        <w:t xml:space="preserve">(en adelante “los PREPDH”), definen a “la extrema pobreza”, como </w:t>
      </w:r>
      <w:r>
        <w:rPr>
          <w:i/>
          <w:sz w:val="16"/>
        </w:rPr>
        <w:t>“una combinación de escasez de ingresos</w:t>
      </w:r>
      <w:r>
        <w:rPr>
          <w:sz w:val="16"/>
        </w:rPr>
        <w:t xml:space="preserve">, </w:t>
      </w:r>
      <w:r>
        <w:rPr>
          <w:i/>
          <w:sz w:val="16"/>
        </w:rPr>
        <w:t xml:space="preserve">falta </w:t>
      </w:r>
      <w:r>
        <w:rPr>
          <w:i/>
          <w:sz w:val="16"/>
        </w:rPr>
        <w:t>de desarrollo humano y exclusión social</w:t>
      </w:r>
      <w:r>
        <w:rPr>
          <w:sz w:val="16"/>
        </w:rPr>
        <w:t xml:space="preserve">”. ONU, </w:t>
      </w:r>
      <w:r>
        <w:rPr>
          <w:i/>
          <w:sz w:val="16"/>
        </w:rPr>
        <w:t xml:space="preserve">Principios Rectores sobre Extrema Pobreza y Derechos Humanos, </w:t>
      </w:r>
      <w:r>
        <w:rPr>
          <w:sz w:val="16"/>
        </w:rPr>
        <w:t>aprobados por el Consejo de Derechos Humanos, 27 de septiembre de 2012,</w:t>
      </w:r>
      <w:bookmarkStart w:id="849" w:name="_bookmark768"/>
      <w:bookmarkEnd w:id="849"/>
      <w:r>
        <w:rPr>
          <w:sz w:val="16"/>
        </w:rPr>
        <w:t xml:space="preserve"> Resolución 21/11, principio</w:t>
      </w:r>
      <w:r>
        <w:rPr>
          <w:spacing w:val="-6"/>
          <w:sz w:val="16"/>
        </w:rPr>
        <w:t xml:space="preserve"> </w:t>
      </w:r>
      <w:r>
        <w:rPr>
          <w:sz w:val="16"/>
        </w:rPr>
        <w:t>2.</w:t>
      </w:r>
    </w:p>
    <w:p w14:paraId="0B566BA0" w14:textId="77777777" w:rsidR="00467FCA" w:rsidRDefault="001B68EB">
      <w:pPr>
        <w:tabs>
          <w:tab w:val="left" w:pos="1166"/>
        </w:tabs>
        <w:spacing w:line="194" w:lineRule="exact"/>
        <w:ind w:left="458"/>
        <w:jc w:val="both"/>
        <w:rPr>
          <w:sz w:val="16"/>
        </w:rPr>
      </w:pPr>
      <w:r>
        <w:rPr>
          <w:position w:val="6"/>
          <w:sz w:val="10"/>
        </w:rPr>
        <w:t>86</w:t>
      </w:r>
      <w:r>
        <w:rPr>
          <w:position w:val="6"/>
          <w:sz w:val="10"/>
        </w:rPr>
        <w:tab/>
      </w:r>
      <w:r>
        <w:rPr>
          <w:i/>
          <w:sz w:val="16"/>
        </w:rPr>
        <w:t>Principios Rectores sobre Extrema Pobreza</w:t>
      </w:r>
      <w:r>
        <w:rPr>
          <w:i/>
          <w:sz w:val="16"/>
        </w:rPr>
        <w:t xml:space="preserve"> y Derechos Humanos</w:t>
      </w:r>
      <w:r>
        <w:rPr>
          <w:sz w:val="16"/>
        </w:rPr>
        <w:t xml:space="preserve">, </w:t>
      </w:r>
      <w:r>
        <w:rPr>
          <w:i/>
          <w:sz w:val="16"/>
        </w:rPr>
        <w:t xml:space="preserve">supra </w:t>
      </w:r>
      <w:r>
        <w:rPr>
          <w:sz w:val="16"/>
        </w:rPr>
        <w:t>, principios 3 y</w:t>
      </w:r>
      <w:r>
        <w:rPr>
          <w:spacing w:val="-15"/>
          <w:sz w:val="16"/>
        </w:rPr>
        <w:t xml:space="preserve"> </w:t>
      </w:r>
      <w:r>
        <w:rPr>
          <w:sz w:val="16"/>
        </w:rPr>
        <w:t>4.</w:t>
      </w:r>
    </w:p>
    <w:p w14:paraId="0D6B8C01" w14:textId="77777777" w:rsidR="00467FCA" w:rsidRDefault="001B68EB">
      <w:pPr>
        <w:tabs>
          <w:tab w:val="left" w:pos="1166"/>
        </w:tabs>
        <w:ind w:left="458" w:right="271"/>
        <w:jc w:val="both"/>
        <w:rPr>
          <w:i/>
          <w:sz w:val="16"/>
        </w:rPr>
      </w:pPr>
      <w:bookmarkStart w:id="850" w:name="_bookmark769"/>
      <w:bookmarkEnd w:id="850"/>
      <w:r>
        <w:rPr>
          <w:position w:val="6"/>
          <w:sz w:val="10"/>
        </w:rPr>
        <w:t>87</w:t>
      </w:r>
      <w:r>
        <w:rPr>
          <w:position w:val="6"/>
          <w:sz w:val="10"/>
        </w:rPr>
        <w:tab/>
      </w:r>
      <w:r>
        <w:rPr>
          <w:sz w:val="16"/>
        </w:rPr>
        <w:t>En el caso del Sistema Europeo, el artículo 14 del CEDH ha sido asociado de manera implícita, accesoria e indirecta</w:t>
      </w:r>
      <w:r>
        <w:rPr>
          <w:spacing w:val="-9"/>
          <w:sz w:val="16"/>
        </w:rPr>
        <w:t xml:space="preserve"> </w:t>
      </w:r>
      <w:r>
        <w:rPr>
          <w:sz w:val="16"/>
        </w:rPr>
        <w:t>respecto</w:t>
      </w:r>
      <w:r>
        <w:rPr>
          <w:spacing w:val="-7"/>
          <w:sz w:val="16"/>
        </w:rPr>
        <w:t xml:space="preserve"> </w:t>
      </w:r>
      <w:r>
        <w:rPr>
          <w:sz w:val="16"/>
        </w:rPr>
        <w:t>de</w:t>
      </w:r>
      <w:r>
        <w:rPr>
          <w:spacing w:val="-7"/>
          <w:sz w:val="16"/>
        </w:rPr>
        <w:t xml:space="preserve"> </w:t>
      </w:r>
      <w:r>
        <w:rPr>
          <w:sz w:val="16"/>
        </w:rPr>
        <w:t>derechos</w:t>
      </w:r>
      <w:r>
        <w:rPr>
          <w:spacing w:val="-7"/>
          <w:sz w:val="16"/>
        </w:rPr>
        <w:t xml:space="preserve"> </w:t>
      </w:r>
      <w:r>
        <w:rPr>
          <w:sz w:val="16"/>
        </w:rPr>
        <w:t>y</w:t>
      </w:r>
      <w:r>
        <w:rPr>
          <w:spacing w:val="-7"/>
          <w:sz w:val="16"/>
        </w:rPr>
        <w:t xml:space="preserve"> </w:t>
      </w:r>
      <w:r>
        <w:rPr>
          <w:sz w:val="16"/>
        </w:rPr>
        <w:t>libertades</w:t>
      </w:r>
      <w:r>
        <w:rPr>
          <w:spacing w:val="-8"/>
          <w:sz w:val="16"/>
        </w:rPr>
        <w:t xml:space="preserve"> </w:t>
      </w:r>
      <w:r>
        <w:rPr>
          <w:sz w:val="16"/>
        </w:rPr>
        <w:t>protegidos</w:t>
      </w:r>
      <w:r>
        <w:rPr>
          <w:spacing w:val="-7"/>
          <w:sz w:val="16"/>
        </w:rPr>
        <w:t xml:space="preserve"> </w:t>
      </w:r>
      <w:r>
        <w:rPr>
          <w:sz w:val="16"/>
        </w:rPr>
        <w:t>por</w:t>
      </w:r>
      <w:r>
        <w:rPr>
          <w:spacing w:val="-6"/>
          <w:sz w:val="16"/>
        </w:rPr>
        <w:t xml:space="preserve"> </w:t>
      </w:r>
      <w:r>
        <w:rPr>
          <w:sz w:val="16"/>
        </w:rPr>
        <w:t>el</w:t>
      </w:r>
      <w:r>
        <w:rPr>
          <w:spacing w:val="-8"/>
          <w:sz w:val="16"/>
        </w:rPr>
        <w:t xml:space="preserve"> </w:t>
      </w:r>
      <w:r>
        <w:rPr>
          <w:sz w:val="16"/>
        </w:rPr>
        <w:t>CEDH.</w:t>
      </w:r>
      <w:r>
        <w:rPr>
          <w:spacing w:val="-8"/>
          <w:sz w:val="16"/>
        </w:rPr>
        <w:t xml:space="preserve"> </w:t>
      </w:r>
      <w:r>
        <w:rPr>
          <w:sz w:val="16"/>
        </w:rPr>
        <w:t>Así,</w:t>
      </w:r>
      <w:r>
        <w:rPr>
          <w:spacing w:val="-7"/>
          <w:sz w:val="16"/>
        </w:rPr>
        <w:t xml:space="preserve"> </w:t>
      </w:r>
      <w:r>
        <w:rPr>
          <w:sz w:val="16"/>
        </w:rPr>
        <w:t>la</w:t>
      </w:r>
      <w:r>
        <w:rPr>
          <w:spacing w:val="-8"/>
          <w:sz w:val="16"/>
        </w:rPr>
        <w:t xml:space="preserve"> </w:t>
      </w:r>
      <w:r>
        <w:rPr>
          <w:sz w:val="16"/>
        </w:rPr>
        <w:t>prohibición</w:t>
      </w:r>
      <w:r>
        <w:rPr>
          <w:spacing w:val="-8"/>
          <w:sz w:val="16"/>
        </w:rPr>
        <w:t xml:space="preserve"> </w:t>
      </w:r>
      <w:r>
        <w:rPr>
          <w:sz w:val="16"/>
        </w:rPr>
        <w:t>de</w:t>
      </w:r>
      <w:r>
        <w:rPr>
          <w:spacing w:val="-7"/>
          <w:sz w:val="16"/>
        </w:rPr>
        <w:t xml:space="preserve"> </w:t>
      </w:r>
      <w:r>
        <w:rPr>
          <w:sz w:val="16"/>
        </w:rPr>
        <w:t>discriminación</w:t>
      </w:r>
      <w:r>
        <w:rPr>
          <w:spacing w:val="-8"/>
          <w:sz w:val="16"/>
        </w:rPr>
        <w:t xml:space="preserve"> </w:t>
      </w:r>
      <w:r>
        <w:rPr>
          <w:sz w:val="16"/>
        </w:rPr>
        <w:t>contemplada en el Convenio Europeo se ha relacionado con el derecho a la vida (art. 2 del CEDH) por las condiciones de vida o asistencia; la prohibición de tratos crueles, inhumanos o degradantes o el respeto a la vida privada y familiar (ar</w:t>
      </w:r>
      <w:r>
        <w:rPr>
          <w:sz w:val="16"/>
        </w:rPr>
        <w:t>ts. 3 y 8 del CEDH) relacionándolo con un nivel de vida digna, o el derecho a la protección de la vida privada y familiar (art.</w:t>
      </w:r>
      <w:r>
        <w:rPr>
          <w:spacing w:val="-8"/>
          <w:sz w:val="16"/>
        </w:rPr>
        <w:t xml:space="preserve"> </w:t>
      </w:r>
      <w:r>
        <w:rPr>
          <w:sz w:val="16"/>
        </w:rPr>
        <w:t>8</w:t>
      </w:r>
      <w:r>
        <w:rPr>
          <w:spacing w:val="-6"/>
          <w:sz w:val="16"/>
        </w:rPr>
        <w:t xml:space="preserve"> </w:t>
      </w:r>
      <w:r>
        <w:rPr>
          <w:sz w:val="16"/>
        </w:rPr>
        <w:t>del</w:t>
      </w:r>
      <w:r>
        <w:rPr>
          <w:spacing w:val="-11"/>
          <w:sz w:val="16"/>
        </w:rPr>
        <w:t xml:space="preserve"> </w:t>
      </w:r>
      <w:r>
        <w:rPr>
          <w:sz w:val="16"/>
        </w:rPr>
        <w:t>CEDH)</w:t>
      </w:r>
      <w:r>
        <w:rPr>
          <w:spacing w:val="-10"/>
          <w:sz w:val="16"/>
        </w:rPr>
        <w:t xml:space="preserve"> </w:t>
      </w:r>
      <w:r>
        <w:rPr>
          <w:sz w:val="16"/>
        </w:rPr>
        <w:t>respecto</w:t>
      </w:r>
      <w:r>
        <w:rPr>
          <w:spacing w:val="-7"/>
          <w:sz w:val="16"/>
        </w:rPr>
        <w:t xml:space="preserve"> </w:t>
      </w:r>
      <w:r>
        <w:rPr>
          <w:sz w:val="16"/>
        </w:rPr>
        <w:t>de</w:t>
      </w:r>
      <w:r>
        <w:rPr>
          <w:spacing w:val="-10"/>
          <w:sz w:val="16"/>
        </w:rPr>
        <w:t xml:space="preserve"> </w:t>
      </w:r>
      <w:r>
        <w:rPr>
          <w:sz w:val="16"/>
        </w:rPr>
        <w:t>la</w:t>
      </w:r>
      <w:r>
        <w:rPr>
          <w:spacing w:val="-7"/>
          <w:sz w:val="16"/>
        </w:rPr>
        <w:t xml:space="preserve"> </w:t>
      </w:r>
      <w:r>
        <w:rPr>
          <w:sz w:val="16"/>
        </w:rPr>
        <w:t>privación</w:t>
      </w:r>
      <w:r>
        <w:rPr>
          <w:spacing w:val="-8"/>
          <w:sz w:val="16"/>
        </w:rPr>
        <w:t xml:space="preserve"> </w:t>
      </w:r>
      <w:r>
        <w:rPr>
          <w:sz w:val="16"/>
        </w:rPr>
        <w:t>de</w:t>
      </w:r>
      <w:r>
        <w:rPr>
          <w:spacing w:val="-7"/>
          <w:sz w:val="16"/>
        </w:rPr>
        <w:t xml:space="preserve"> </w:t>
      </w:r>
      <w:r>
        <w:rPr>
          <w:sz w:val="16"/>
        </w:rPr>
        <w:t>los</w:t>
      </w:r>
      <w:r>
        <w:rPr>
          <w:spacing w:val="-9"/>
          <w:sz w:val="16"/>
        </w:rPr>
        <w:t xml:space="preserve"> </w:t>
      </w:r>
      <w:r>
        <w:rPr>
          <w:sz w:val="16"/>
        </w:rPr>
        <w:t>derechos</w:t>
      </w:r>
      <w:r>
        <w:rPr>
          <w:spacing w:val="-10"/>
          <w:sz w:val="16"/>
        </w:rPr>
        <w:t xml:space="preserve"> </w:t>
      </w:r>
      <w:r>
        <w:rPr>
          <w:sz w:val="16"/>
        </w:rPr>
        <w:t>custodia</w:t>
      </w:r>
      <w:r>
        <w:rPr>
          <w:spacing w:val="-8"/>
          <w:sz w:val="16"/>
        </w:rPr>
        <w:t xml:space="preserve"> </w:t>
      </w:r>
      <w:r>
        <w:rPr>
          <w:sz w:val="16"/>
        </w:rPr>
        <w:t>de</w:t>
      </w:r>
      <w:r>
        <w:rPr>
          <w:spacing w:val="-6"/>
          <w:sz w:val="16"/>
        </w:rPr>
        <w:t xml:space="preserve"> </w:t>
      </w:r>
      <w:r>
        <w:rPr>
          <w:sz w:val="16"/>
        </w:rPr>
        <w:t>niñas</w:t>
      </w:r>
      <w:r>
        <w:rPr>
          <w:spacing w:val="-7"/>
          <w:sz w:val="16"/>
        </w:rPr>
        <w:t xml:space="preserve"> </w:t>
      </w:r>
      <w:r>
        <w:rPr>
          <w:sz w:val="16"/>
        </w:rPr>
        <w:t>y</w:t>
      </w:r>
      <w:r>
        <w:rPr>
          <w:spacing w:val="-7"/>
          <w:sz w:val="16"/>
        </w:rPr>
        <w:t xml:space="preserve"> </w:t>
      </w:r>
      <w:r>
        <w:rPr>
          <w:sz w:val="16"/>
        </w:rPr>
        <w:t>niños</w:t>
      </w:r>
      <w:r>
        <w:rPr>
          <w:spacing w:val="-10"/>
          <w:sz w:val="16"/>
        </w:rPr>
        <w:t xml:space="preserve"> </w:t>
      </w:r>
      <w:r>
        <w:rPr>
          <w:sz w:val="16"/>
        </w:rPr>
        <w:t>y</w:t>
      </w:r>
      <w:r>
        <w:rPr>
          <w:spacing w:val="-8"/>
          <w:sz w:val="16"/>
        </w:rPr>
        <w:t xml:space="preserve"> </w:t>
      </w:r>
      <w:r>
        <w:rPr>
          <w:sz w:val="16"/>
        </w:rPr>
        <w:t>su</w:t>
      </w:r>
      <w:r>
        <w:rPr>
          <w:spacing w:val="-8"/>
          <w:sz w:val="16"/>
        </w:rPr>
        <w:t xml:space="preserve"> </w:t>
      </w:r>
      <w:r>
        <w:rPr>
          <w:sz w:val="16"/>
        </w:rPr>
        <w:t>colocación</w:t>
      </w:r>
      <w:r>
        <w:rPr>
          <w:spacing w:val="-8"/>
          <w:sz w:val="16"/>
        </w:rPr>
        <w:t xml:space="preserve"> </w:t>
      </w:r>
      <w:r>
        <w:rPr>
          <w:sz w:val="16"/>
        </w:rPr>
        <w:t>en</w:t>
      </w:r>
      <w:r>
        <w:rPr>
          <w:spacing w:val="-7"/>
          <w:sz w:val="16"/>
        </w:rPr>
        <w:t xml:space="preserve"> </w:t>
      </w:r>
      <w:r>
        <w:rPr>
          <w:sz w:val="16"/>
        </w:rPr>
        <w:t>una</w:t>
      </w:r>
      <w:r>
        <w:rPr>
          <w:spacing w:val="-8"/>
          <w:sz w:val="16"/>
        </w:rPr>
        <w:t xml:space="preserve"> </w:t>
      </w:r>
      <w:r>
        <w:rPr>
          <w:sz w:val="16"/>
        </w:rPr>
        <w:t>institución estatal y el d</w:t>
      </w:r>
      <w:r>
        <w:rPr>
          <w:sz w:val="16"/>
        </w:rPr>
        <w:t>erecho de propiedad (art. 1 del Protocolo No. 1 del CEDH). De igual manera, un dato sobresaliente lo encontramos</w:t>
      </w:r>
      <w:r>
        <w:rPr>
          <w:spacing w:val="-11"/>
          <w:sz w:val="16"/>
        </w:rPr>
        <w:t xml:space="preserve"> </w:t>
      </w:r>
      <w:r>
        <w:rPr>
          <w:sz w:val="16"/>
        </w:rPr>
        <w:t>en</w:t>
      </w:r>
      <w:r>
        <w:rPr>
          <w:spacing w:val="-8"/>
          <w:sz w:val="16"/>
        </w:rPr>
        <w:t xml:space="preserve"> </w:t>
      </w:r>
      <w:r>
        <w:rPr>
          <w:sz w:val="16"/>
        </w:rPr>
        <w:t>la</w:t>
      </w:r>
      <w:r>
        <w:rPr>
          <w:spacing w:val="-10"/>
          <w:sz w:val="16"/>
        </w:rPr>
        <w:t xml:space="preserve"> </w:t>
      </w:r>
      <w:r>
        <w:rPr>
          <w:sz w:val="16"/>
        </w:rPr>
        <w:t>Carta</w:t>
      </w:r>
      <w:r>
        <w:rPr>
          <w:spacing w:val="-11"/>
          <w:sz w:val="16"/>
        </w:rPr>
        <w:t xml:space="preserve"> </w:t>
      </w:r>
      <w:r>
        <w:rPr>
          <w:sz w:val="16"/>
        </w:rPr>
        <w:t>Social</w:t>
      </w:r>
      <w:r>
        <w:rPr>
          <w:spacing w:val="-8"/>
          <w:sz w:val="16"/>
        </w:rPr>
        <w:t xml:space="preserve"> </w:t>
      </w:r>
      <w:r>
        <w:rPr>
          <w:sz w:val="16"/>
        </w:rPr>
        <w:t>Europea,</w:t>
      </w:r>
      <w:r>
        <w:rPr>
          <w:spacing w:val="-8"/>
          <w:sz w:val="16"/>
        </w:rPr>
        <w:t xml:space="preserve"> </w:t>
      </w:r>
      <w:r>
        <w:rPr>
          <w:sz w:val="16"/>
        </w:rPr>
        <w:t>en</w:t>
      </w:r>
      <w:r>
        <w:rPr>
          <w:spacing w:val="-11"/>
          <w:sz w:val="16"/>
        </w:rPr>
        <w:t xml:space="preserve"> </w:t>
      </w:r>
      <w:r>
        <w:rPr>
          <w:sz w:val="16"/>
        </w:rPr>
        <w:t>el</w:t>
      </w:r>
      <w:r>
        <w:rPr>
          <w:spacing w:val="-9"/>
          <w:sz w:val="16"/>
        </w:rPr>
        <w:t xml:space="preserve"> </w:t>
      </w:r>
      <w:r>
        <w:rPr>
          <w:sz w:val="16"/>
        </w:rPr>
        <w:t>artículo</w:t>
      </w:r>
      <w:r>
        <w:rPr>
          <w:spacing w:val="-9"/>
          <w:sz w:val="16"/>
        </w:rPr>
        <w:t xml:space="preserve"> </w:t>
      </w:r>
      <w:r>
        <w:rPr>
          <w:sz w:val="16"/>
        </w:rPr>
        <w:t>30,</w:t>
      </w:r>
      <w:r>
        <w:rPr>
          <w:spacing w:val="-8"/>
          <w:sz w:val="16"/>
        </w:rPr>
        <w:t xml:space="preserve"> </w:t>
      </w:r>
      <w:r>
        <w:rPr>
          <w:sz w:val="16"/>
        </w:rPr>
        <w:t>que</w:t>
      </w:r>
      <w:r>
        <w:rPr>
          <w:spacing w:val="-8"/>
          <w:sz w:val="16"/>
        </w:rPr>
        <w:t xml:space="preserve"> </w:t>
      </w:r>
      <w:r>
        <w:rPr>
          <w:sz w:val="16"/>
        </w:rPr>
        <w:t>protege</w:t>
      </w:r>
      <w:r>
        <w:rPr>
          <w:spacing w:val="-10"/>
          <w:sz w:val="16"/>
        </w:rPr>
        <w:t xml:space="preserve"> </w:t>
      </w:r>
      <w:r>
        <w:rPr>
          <w:i/>
          <w:sz w:val="16"/>
        </w:rPr>
        <w:t>a</w:t>
      </w:r>
      <w:r>
        <w:rPr>
          <w:i/>
          <w:spacing w:val="-8"/>
          <w:sz w:val="16"/>
        </w:rPr>
        <w:t xml:space="preserve"> </w:t>
      </w:r>
      <w:r>
        <w:rPr>
          <w:i/>
          <w:sz w:val="16"/>
        </w:rPr>
        <w:t>las</w:t>
      </w:r>
      <w:r>
        <w:rPr>
          <w:i/>
          <w:spacing w:val="-10"/>
          <w:sz w:val="16"/>
        </w:rPr>
        <w:t xml:space="preserve"> </w:t>
      </w:r>
      <w:r>
        <w:rPr>
          <w:i/>
          <w:sz w:val="16"/>
        </w:rPr>
        <w:t>personas</w:t>
      </w:r>
      <w:r>
        <w:rPr>
          <w:i/>
          <w:spacing w:val="-11"/>
          <w:sz w:val="16"/>
        </w:rPr>
        <w:t xml:space="preserve"> </w:t>
      </w:r>
      <w:r>
        <w:rPr>
          <w:i/>
          <w:sz w:val="16"/>
        </w:rPr>
        <w:t>contra</w:t>
      </w:r>
      <w:r>
        <w:rPr>
          <w:i/>
          <w:spacing w:val="-8"/>
          <w:sz w:val="16"/>
        </w:rPr>
        <w:t xml:space="preserve"> </w:t>
      </w:r>
      <w:r>
        <w:rPr>
          <w:i/>
          <w:sz w:val="16"/>
        </w:rPr>
        <w:t>la</w:t>
      </w:r>
      <w:r>
        <w:rPr>
          <w:i/>
          <w:spacing w:val="-8"/>
          <w:sz w:val="16"/>
        </w:rPr>
        <w:t xml:space="preserve"> </w:t>
      </w:r>
      <w:r>
        <w:rPr>
          <w:i/>
          <w:sz w:val="16"/>
        </w:rPr>
        <w:t>pobreza</w:t>
      </w:r>
      <w:r>
        <w:rPr>
          <w:i/>
          <w:spacing w:val="-11"/>
          <w:sz w:val="16"/>
        </w:rPr>
        <w:t xml:space="preserve"> </w:t>
      </w:r>
      <w:r>
        <w:rPr>
          <w:i/>
          <w:sz w:val="16"/>
        </w:rPr>
        <w:t>y</w:t>
      </w:r>
      <w:r>
        <w:rPr>
          <w:i/>
          <w:spacing w:val="-9"/>
          <w:sz w:val="16"/>
        </w:rPr>
        <w:t xml:space="preserve"> </w:t>
      </w:r>
      <w:r>
        <w:rPr>
          <w:i/>
          <w:sz w:val="16"/>
        </w:rPr>
        <w:t>la</w:t>
      </w:r>
      <w:r>
        <w:rPr>
          <w:i/>
          <w:spacing w:val="-8"/>
          <w:sz w:val="16"/>
        </w:rPr>
        <w:t xml:space="preserve"> </w:t>
      </w:r>
      <w:r>
        <w:rPr>
          <w:i/>
          <w:sz w:val="16"/>
        </w:rPr>
        <w:t>exclusión social</w:t>
      </w:r>
      <w:r>
        <w:rPr>
          <w:i/>
          <w:spacing w:val="-12"/>
          <w:sz w:val="16"/>
        </w:rPr>
        <w:t xml:space="preserve"> </w:t>
      </w:r>
      <w:r>
        <w:rPr>
          <w:sz w:val="16"/>
        </w:rPr>
        <w:t>[…]”.</w:t>
      </w:r>
      <w:r>
        <w:rPr>
          <w:spacing w:val="-13"/>
          <w:sz w:val="16"/>
        </w:rPr>
        <w:t xml:space="preserve"> </w:t>
      </w:r>
      <w:r>
        <w:rPr>
          <w:sz w:val="16"/>
        </w:rPr>
        <w:t>En</w:t>
      </w:r>
      <w:r>
        <w:rPr>
          <w:spacing w:val="-12"/>
          <w:sz w:val="16"/>
        </w:rPr>
        <w:t xml:space="preserve"> </w:t>
      </w:r>
      <w:r>
        <w:rPr>
          <w:sz w:val="16"/>
        </w:rPr>
        <w:t>el</w:t>
      </w:r>
      <w:r>
        <w:rPr>
          <w:spacing w:val="-13"/>
          <w:sz w:val="16"/>
        </w:rPr>
        <w:t xml:space="preserve"> </w:t>
      </w:r>
      <w:r>
        <w:rPr>
          <w:sz w:val="16"/>
        </w:rPr>
        <w:t>caso</w:t>
      </w:r>
      <w:r>
        <w:rPr>
          <w:spacing w:val="-12"/>
          <w:sz w:val="16"/>
        </w:rPr>
        <w:t xml:space="preserve"> </w:t>
      </w:r>
      <w:r>
        <w:rPr>
          <w:sz w:val="16"/>
        </w:rPr>
        <w:t>del</w:t>
      </w:r>
      <w:r>
        <w:rPr>
          <w:spacing w:val="-11"/>
          <w:sz w:val="16"/>
        </w:rPr>
        <w:t xml:space="preserve"> </w:t>
      </w:r>
      <w:r>
        <w:rPr>
          <w:sz w:val="16"/>
        </w:rPr>
        <w:t>Sistema</w:t>
      </w:r>
      <w:r>
        <w:rPr>
          <w:spacing w:val="-11"/>
          <w:sz w:val="16"/>
        </w:rPr>
        <w:t xml:space="preserve"> </w:t>
      </w:r>
      <w:r>
        <w:rPr>
          <w:sz w:val="16"/>
        </w:rPr>
        <w:t>Africano,</w:t>
      </w:r>
      <w:r>
        <w:rPr>
          <w:spacing w:val="-11"/>
          <w:sz w:val="16"/>
        </w:rPr>
        <w:t xml:space="preserve"> </w:t>
      </w:r>
      <w:r>
        <w:rPr>
          <w:sz w:val="16"/>
        </w:rPr>
        <w:t>no</w:t>
      </w:r>
      <w:r>
        <w:rPr>
          <w:spacing w:val="-12"/>
          <w:sz w:val="16"/>
        </w:rPr>
        <w:t xml:space="preserve"> </w:t>
      </w:r>
      <w:r>
        <w:rPr>
          <w:sz w:val="16"/>
        </w:rPr>
        <w:t>cuenta</w:t>
      </w:r>
      <w:r>
        <w:rPr>
          <w:spacing w:val="-13"/>
          <w:sz w:val="16"/>
        </w:rPr>
        <w:t xml:space="preserve"> </w:t>
      </w:r>
      <w:r>
        <w:rPr>
          <w:sz w:val="16"/>
        </w:rPr>
        <w:t>con</w:t>
      </w:r>
      <w:r>
        <w:rPr>
          <w:spacing w:val="-13"/>
          <w:sz w:val="16"/>
        </w:rPr>
        <w:t xml:space="preserve"> </w:t>
      </w:r>
      <w:r>
        <w:rPr>
          <w:sz w:val="16"/>
        </w:rPr>
        <w:t>grandes</w:t>
      </w:r>
      <w:r>
        <w:rPr>
          <w:spacing w:val="-13"/>
          <w:sz w:val="16"/>
        </w:rPr>
        <w:t xml:space="preserve"> </w:t>
      </w:r>
      <w:r>
        <w:rPr>
          <w:sz w:val="16"/>
        </w:rPr>
        <w:t>desarrollos</w:t>
      </w:r>
      <w:r>
        <w:rPr>
          <w:spacing w:val="-10"/>
          <w:sz w:val="16"/>
        </w:rPr>
        <w:t xml:space="preserve"> </w:t>
      </w:r>
      <w:r>
        <w:rPr>
          <w:sz w:val="16"/>
        </w:rPr>
        <w:t>jurisprudenciales</w:t>
      </w:r>
      <w:r>
        <w:rPr>
          <w:spacing w:val="-11"/>
          <w:sz w:val="16"/>
        </w:rPr>
        <w:t xml:space="preserve"> </w:t>
      </w:r>
      <w:r>
        <w:rPr>
          <w:sz w:val="16"/>
        </w:rPr>
        <w:t>sobre</w:t>
      </w:r>
      <w:r>
        <w:rPr>
          <w:spacing w:val="-10"/>
          <w:sz w:val="16"/>
        </w:rPr>
        <w:t xml:space="preserve"> </w:t>
      </w:r>
      <w:r>
        <w:rPr>
          <w:sz w:val="16"/>
        </w:rPr>
        <w:t>las</w:t>
      </w:r>
      <w:r>
        <w:rPr>
          <w:spacing w:val="-13"/>
          <w:sz w:val="16"/>
        </w:rPr>
        <w:t xml:space="preserve"> </w:t>
      </w:r>
      <w:r>
        <w:rPr>
          <w:sz w:val="16"/>
        </w:rPr>
        <w:t xml:space="preserve">condiciones de pobreza o la posición económica. Véanse los párrs. 11, 12 y 16 de nuestro voto emitido en el caso </w:t>
      </w:r>
      <w:r>
        <w:rPr>
          <w:i/>
          <w:sz w:val="16"/>
        </w:rPr>
        <w:t>Trabajadores de la Hacienda Brasil Verde Vs.</w:t>
      </w:r>
      <w:r>
        <w:rPr>
          <w:i/>
          <w:spacing w:val="-7"/>
          <w:sz w:val="16"/>
        </w:rPr>
        <w:t xml:space="preserve"> </w:t>
      </w:r>
      <w:r>
        <w:rPr>
          <w:i/>
          <w:sz w:val="16"/>
        </w:rPr>
        <w:t>Brasil.</w:t>
      </w:r>
    </w:p>
    <w:p w14:paraId="71E6C2A6" w14:textId="77777777" w:rsidR="00467FCA" w:rsidRDefault="001B68EB">
      <w:pPr>
        <w:tabs>
          <w:tab w:val="left" w:pos="1166"/>
        </w:tabs>
        <w:ind w:left="458" w:right="269"/>
        <w:jc w:val="both"/>
        <w:rPr>
          <w:i/>
          <w:sz w:val="16"/>
        </w:rPr>
      </w:pPr>
      <w:bookmarkStart w:id="851" w:name="_bookmark770"/>
      <w:bookmarkEnd w:id="851"/>
      <w:r>
        <w:rPr>
          <w:position w:val="6"/>
          <w:sz w:val="10"/>
        </w:rPr>
        <w:t>88</w:t>
      </w:r>
      <w:r>
        <w:rPr>
          <w:position w:val="6"/>
          <w:sz w:val="10"/>
        </w:rPr>
        <w:tab/>
      </w:r>
      <w:r>
        <w:rPr>
          <w:sz w:val="16"/>
        </w:rPr>
        <w:t>En</w:t>
      </w:r>
      <w:r>
        <w:rPr>
          <w:spacing w:val="-9"/>
          <w:sz w:val="16"/>
        </w:rPr>
        <w:t xml:space="preserve"> </w:t>
      </w:r>
      <w:r>
        <w:rPr>
          <w:sz w:val="16"/>
        </w:rPr>
        <w:t>el</w:t>
      </w:r>
      <w:r>
        <w:rPr>
          <w:spacing w:val="-8"/>
          <w:sz w:val="16"/>
        </w:rPr>
        <w:t xml:space="preserve"> </w:t>
      </w:r>
      <w:r>
        <w:rPr>
          <w:sz w:val="16"/>
        </w:rPr>
        <w:t>á</w:t>
      </w:r>
      <w:r>
        <w:rPr>
          <w:sz w:val="16"/>
        </w:rPr>
        <w:t>mbito</w:t>
      </w:r>
      <w:r>
        <w:rPr>
          <w:spacing w:val="-10"/>
          <w:sz w:val="16"/>
        </w:rPr>
        <w:t xml:space="preserve"> </w:t>
      </w:r>
      <w:r>
        <w:rPr>
          <w:sz w:val="16"/>
        </w:rPr>
        <w:t>de</w:t>
      </w:r>
      <w:r>
        <w:rPr>
          <w:spacing w:val="-10"/>
          <w:sz w:val="16"/>
        </w:rPr>
        <w:t xml:space="preserve"> </w:t>
      </w:r>
      <w:r>
        <w:rPr>
          <w:sz w:val="16"/>
        </w:rPr>
        <w:t>Naciones</w:t>
      </w:r>
      <w:r>
        <w:rPr>
          <w:spacing w:val="-11"/>
          <w:sz w:val="16"/>
        </w:rPr>
        <w:t xml:space="preserve"> </w:t>
      </w:r>
      <w:r>
        <w:rPr>
          <w:sz w:val="16"/>
        </w:rPr>
        <w:t>Unidas,</w:t>
      </w:r>
      <w:r>
        <w:rPr>
          <w:spacing w:val="-8"/>
          <w:sz w:val="16"/>
        </w:rPr>
        <w:t xml:space="preserve"> </w:t>
      </w:r>
      <w:r>
        <w:rPr>
          <w:sz w:val="16"/>
        </w:rPr>
        <w:t>tanto</w:t>
      </w:r>
      <w:r>
        <w:rPr>
          <w:spacing w:val="-8"/>
          <w:sz w:val="16"/>
        </w:rPr>
        <w:t xml:space="preserve"> </w:t>
      </w:r>
      <w:r>
        <w:rPr>
          <w:sz w:val="16"/>
        </w:rPr>
        <w:t>el</w:t>
      </w:r>
      <w:r>
        <w:rPr>
          <w:spacing w:val="-11"/>
          <w:sz w:val="16"/>
        </w:rPr>
        <w:t xml:space="preserve"> </w:t>
      </w:r>
      <w:r>
        <w:rPr>
          <w:sz w:val="16"/>
        </w:rPr>
        <w:t>Pacto</w:t>
      </w:r>
      <w:r>
        <w:rPr>
          <w:spacing w:val="-10"/>
          <w:sz w:val="16"/>
        </w:rPr>
        <w:t xml:space="preserve"> </w:t>
      </w:r>
      <w:r>
        <w:rPr>
          <w:sz w:val="16"/>
        </w:rPr>
        <w:t>Internacional</w:t>
      </w:r>
      <w:r>
        <w:rPr>
          <w:spacing w:val="-8"/>
          <w:sz w:val="16"/>
        </w:rPr>
        <w:t xml:space="preserve"> </w:t>
      </w:r>
      <w:r>
        <w:rPr>
          <w:sz w:val="16"/>
        </w:rPr>
        <w:t>de</w:t>
      </w:r>
      <w:r>
        <w:rPr>
          <w:spacing w:val="-13"/>
          <w:sz w:val="16"/>
        </w:rPr>
        <w:t xml:space="preserve"> </w:t>
      </w:r>
      <w:r>
        <w:rPr>
          <w:sz w:val="16"/>
        </w:rPr>
        <w:t>Derechos</w:t>
      </w:r>
      <w:r>
        <w:rPr>
          <w:spacing w:val="-10"/>
          <w:sz w:val="16"/>
        </w:rPr>
        <w:t xml:space="preserve"> </w:t>
      </w:r>
      <w:r>
        <w:rPr>
          <w:sz w:val="16"/>
        </w:rPr>
        <w:t>Económicos,</w:t>
      </w:r>
      <w:r>
        <w:rPr>
          <w:spacing w:val="-11"/>
          <w:sz w:val="16"/>
        </w:rPr>
        <w:t xml:space="preserve"> </w:t>
      </w:r>
      <w:r>
        <w:rPr>
          <w:sz w:val="16"/>
        </w:rPr>
        <w:t>Sociales</w:t>
      </w:r>
      <w:r>
        <w:rPr>
          <w:spacing w:val="-8"/>
          <w:sz w:val="16"/>
        </w:rPr>
        <w:t xml:space="preserve"> </w:t>
      </w:r>
      <w:r>
        <w:rPr>
          <w:sz w:val="16"/>
        </w:rPr>
        <w:t>y</w:t>
      </w:r>
      <w:r>
        <w:rPr>
          <w:spacing w:val="-11"/>
          <w:sz w:val="16"/>
        </w:rPr>
        <w:t xml:space="preserve"> </w:t>
      </w:r>
      <w:r>
        <w:rPr>
          <w:sz w:val="16"/>
        </w:rPr>
        <w:t>Culturales como el Pacto Internacional de Derechos Civiles y Políticos contemplan la prohibición de discriminación por posición económica. Al respecto indique que “En cuanto a la posición económica como categoría de especial protección, el Comité DESC ha s</w:t>
      </w:r>
      <w:r>
        <w:rPr>
          <w:sz w:val="16"/>
        </w:rPr>
        <w:t>eñalado que, como motivo prohibido de discriminación, es un concepto amplio que incluye los bienes</w:t>
      </w:r>
      <w:r>
        <w:rPr>
          <w:spacing w:val="-5"/>
          <w:sz w:val="16"/>
        </w:rPr>
        <w:t xml:space="preserve"> </w:t>
      </w:r>
      <w:r>
        <w:rPr>
          <w:sz w:val="16"/>
        </w:rPr>
        <w:t>raíces</w:t>
      </w:r>
      <w:r>
        <w:rPr>
          <w:spacing w:val="-7"/>
          <w:sz w:val="16"/>
        </w:rPr>
        <w:t xml:space="preserve"> </w:t>
      </w:r>
      <w:r>
        <w:rPr>
          <w:sz w:val="16"/>
        </w:rPr>
        <w:t>y</w:t>
      </w:r>
      <w:r>
        <w:rPr>
          <w:spacing w:val="-4"/>
          <w:sz w:val="16"/>
        </w:rPr>
        <w:t xml:space="preserve"> </w:t>
      </w:r>
      <w:r>
        <w:rPr>
          <w:sz w:val="16"/>
        </w:rPr>
        <w:t>los</w:t>
      </w:r>
      <w:r>
        <w:rPr>
          <w:spacing w:val="-7"/>
          <w:sz w:val="16"/>
        </w:rPr>
        <w:t xml:space="preserve"> </w:t>
      </w:r>
      <w:r>
        <w:rPr>
          <w:sz w:val="16"/>
        </w:rPr>
        <w:t>bienes</w:t>
      </w:r>
      <w:r>
        <w:rPr>
          <w:spacing w:val="-4"/>
          <w:sz w:val="16"/>
        </w:rPr>
        <w:t xml:space="preserve"> </w:t>
      </w:r>
      <w:r>
        <w:rPr>
          <w:sz w:val="16"/>
        </w:rPr>
        <w:t>personales</w:t>
      </w:r>
      <w:r>
        <w:rPr>
          <w:spacing w:val="-5"/>
          <w:sz w:val="16"/>
        </w:rPr>
        <w:t xml:space="preserve"> </w:t>
      </w:r>
      <w:r>
        <w:rPr>
          <w:sz w:val="16"/>
        </w:rPr>
        <w:t>o</w:t>
      </w:r>
      <w:r>
        <w:rPr>
          <w:spacing w:val="-4"/>
          <w:sz w:val="16"/>
        </w:rPr>
        <w:t xml:space="preserve"> </w:t>
      </w:r>
      <w:r>
        <w:rPr>
          <w:sz w:val="16"/>
        </w:rPr>
        <w:t>la</w:t>
      </w:r>
      <w:r>
        <w:rPr>
          <w:spacing w:val="-6"/>
          <w:sz w:val="16"/>
        </w:rPr>
        <w:t xml:space="preserve"> </w:t>
      </w:r>
      <w:r>
        <w:rPr>
          <w:sz w:val="16"/>
        </w:rPr>
        <w:t>carencia</w:t>
      </w:r>
      <w:r>
        <w:rPr>
          <w:spacing w:val="-5"/>
          <w:sz w:val="16"/>
        </w:rPr>
        <w:t xml:space="preserve"> </w:t>
      </w:r>
      <w:r>
        <w:rPr>
          <w:sz w:val="16"/>
        </w:rPr>
        <w:t>de</w:t>
      </w:r>
      <w:r>
        <w:rPr>
          <w:spacing w:val="-5"/>
          <w:sz w:val="16"/>
        </w:rPr>
        <w:t xml:space="preserve"> </w:t>
      </w:r>
      <w:r>
        <w:rPr>
          <w:sz w:val="16"/>
        </w:rPr>
        <w:t>ellos,</w:t>
      </w:r>
      <w:r>
        <w:rPr>
          <w:spacing w:val="-6"/>
          <w:sz w:val="16"/>
        </w:rPr>
        <w:t xml:space="preserve"> </w:t>
      </w:r>
      <w:r>
        <w:rPr>
          <w:sz w:val="16"/>
        </w:rPr>
        <w:t>es</w:t>
      </w:r>
      <w:r>
        <w:rPr>
          <w:spacing w:val="-5"/>
          <w:sz w:val="16"/>
        </w:rPr>
        <w:t xml:space="preserve"> </w:t>
      </w:r>
      <w:r>
        <w:rPr>
          <w:sz w:val="16"/>
        </w:rPr>
        <w:t>decir,</w:t>
      </w:r>
      <w:r>
        <w:rPr>
          <w:spacing w:val="-6"/>
          <w:sz w:val="16"/>
        </w:rPr>
        <w:t xml:space="preserve"> </w:t>
      </w:r>
      <w:r>
        <w:rPr>
          <w:sz w:val="16"/>
        </w:rPr>
        <w:t>una</w:t>
      </w:r>
      <w:r>
        <w:rPr>
          <w:spacing w:val="-5"/>
          <w:sz w:val="16"/>
        </w:rPr>
        <w:t xml:space="preserve"> </w:t>
      </w:r>
      <w:r>
        <w:rPr>
          <w:sz w:val="16"/>
        </w:rPr>
        <w:t>de</w:t>
      </w:r>
      <w:r>
        <w:rPr>
          <w:spacing w:val="-5"/>
          <w:sz w:val="16"/>
        </w:rPr>
        <w:t xml:space="preserve"> </w:t>
      </w:r>
      <w:r>
        <w:rPr>
          <w:sz w:val="16"/>
        </w:rPr>
        <w:t>las</w:t>
      </w:r>
      <w:r>
        <w:rPr>
          <w:spacing w:val="-5"/>
          <w:sz w:val="16"/>
        </w:rPr>
        <w:t xml:space="preserve"> </w:t>
      </w:r>
      <w:r>
        <w:rPr>
          <w:sz w:val="16"/>
        </w:rPr>
        <w:t>facetas</w:t>
      </w:r>
      <w:r>
        <w:rPr>
          <w:spacing w:val="-5"/>
          <w:sz w:val="16"/>
        </w:rPr>
        <w:t xml:space="preserve"> </w:t>
      </w:r>
      <w:r>
        <w:rPr>
          <w:sz w:val="16"/>
        </w:rPr>
        <w:t>de</w:t>
      </w:r>
      <w:r>
        <w:rPr>
          <w:spacing w:val="-4"/>
          <w:sz w:val="16"/>
        </w:rPr>
        <w:t xml:space="preserve"> </w:t>
      </w:r>
      <w:r>
        <w:rPr>
          <w:sz w:val="16"/>
        </w:rPr>
        <w:t>la</w:t>
      </w:r>
      <w:r>
        <w:rPr>
          <w:spacing w:val="-6"/>
          <w:sz w:val="16"/>
        </w:rPr>
        <w:t xml:space="preserve"> </w:t>
      </w:r>
      <w:r>
        <w:rPr>
          <w:sz w:val="16"/>
        </w:rPr>
        <w:t>pobreza”.</w:t>
      </w:r>
      <w:r>
        <w:rPr>
          <w:spacing w:val="-6"/>
          <w:sz w:val="16"/>
        </w:rPr>
        <w:t xml:space="preserve"> </w:t>
      </w:r>
      <w:r>
        <w:rPr>
          <w:sz w:val="16"/>
        </w:rPr>
        <w:t>Véase</w:t>
      </w:r>
      <w:r>
        <w:rPr>
          <w:spacing w:val="-5"/>
          <w:sz w:val="16"/>
        </w:rPr>
        <w:t xml:space="preserve"> </w:t>
      </w:r>
      <w:r>
        <w:rPr>
          <w:sz w:val="16"/>
        </w:rPr>
        <w:t>el</w:t>
      </w:r>
      <w:r>
        <w:rPr>
          <w:spacing w:val="-6"/>
          <w:sz w:val="16"/>
        </w:rPr>
        <w:t xml:space="preserve"> </w:t>
      </w:r>
      <w:r>
        <w:rPr>
          <w:sz w:val="16"/>
        </w:rPr>
        <w:t xml:space="preserve">párr. 11, 12 y 16 de nuestro voto emitido en el </w:t>
      </w:r>
      <w:r>
        <w:rPr>
          <w:sz w:val="16"/>
        </w:rPr>
        <w:t xml:space="preserve">caso </w:t>
      </w:r>
      <w:r>
        <w:rPr>
          <w:i/>
          <w:sz w:val="16"/>
        </w:rPr>
        <w:t>Trabajadores de la Hacienda Brasil Verde Vs.</w:t>
      </w:r>
      <w:r>
        <w:rPr>
          <w:i/>
          <w:spacing w:val="-22"/>
          <w:sz w:val="16"/>
        </w:rPr>
        <w:t xml:space="preserve"> </w:t>
      </w:r>
      <w:r>
        <w:rPr>
          <w:i/>
          <w:sz w:val="16"/>
        </w:rPr>
        <w:t>Brasil.</w:t>
      </w:r>
    </w:p>
    <w:p w14:paraId="3CC654AA" w14:textId="77777777" w:rsidR="00467FCA" w:rsidRDefault="00467FCA">
      <w:pPr>
        <w:jc w:val="both"/>
        <w:rPr>
          <w:sz w:val="16"/>
        </w:rPr>
        <w:sectPr w:rsidR="00467FCA">
          <w:pgSz w:w="12240" w:h="15840"/>
          <w:pgMar w:top="1340" w:right="1140" w:bottom="920" w:left="960" w:header="0" w:footer="734" w:gutter="0"/>
          <w:cols w:space="720"/>
        </w:sectPr>
      </w:pPr>
    </w:p>
    <w:p w14:paraId="1FAAC910" w14:textId="77777777" w:rsidR="00467FCA" w:rsidRDefault="001B68EB">
      <w:pPr>
        <w:pStyle w:val="Textoindependiente"/>
        <w:spacing w:before="79"/>
        <w:ind w:left="458" w:right="275"/>
        <w:jc w:val="both"/>
      </w:pPr>
      <w:r>
        <w:t>económica; lo anterior, no ha sido impedimento para que se permeen obligaciones en</w:t>
      </w:r>
      <w:r>
        <w:rPr>
          <w:spacing w:val="-42"/>
        </w:rPr>
        <w:t xml:space="preserve"> </w:t>
      </w:r>
      <w:r>
        <w:t>cuanto a</w:t>
      </w:r>
      <w:r>
        <w:rPr>
          <w:spacing w:val="-11"/>
        </w:rPr>
        <w:t xml:space="preserve"> </w:t>
      </w:r>
      <w:r>
        <w:t>la</w:t>
      </w:r>
      <w:r>
        <w:rPr>
          <w:spacing w:val="-10"/>
        </w:rPr>
        <w:t xml:space="preserve"> </w:t>
      </w:r>
      <w:r>
        <w:t>erradicación</w:t>
      </w:r>
      <w:r>
        <w:rPr>
          <w:spacing w:val="-9"/>
        </w:rPr>
        <w:t xml:space="preserve"> </w:t>
      </w:r>
      <w:r>
        <w:t>de</w:t>
      </w:r>
      <w:r>
        <w:rPr>
          <w:spacing w:val="-13"/>
        </w:rPr>
        <w:t xml:space="preserve"> </w:t>
      </w:r>
      <w:r>
        <w:t>la</w:t>
      </w:r>
      <w:r>
        <w:rPr>
          <w:spacing w:val="-10"/>
        </w:rPr>
        <w:t xml:space="preserve"> </w:t>
      </w:r>
      <w:r>
        <w:t>pobreza,</w:t>
      </w:r>
      <w:r>
        <w:rPr>
          <w:spacing w:val="-11"/>
        </w:rPr>
        <w:t xml:space="preserve"> </w:t>
      </w:r>
      <w:r>
        <w:t>si</w:t>
      </w:r>
      <w:r>
        <w:rPr>
          <w:spacing w:val="-10"/>
        </w:rPr>
        <w:t xml:space="preserve"> </w:t>
      </w:r>
      <w:r>
        <w:t>bien</w:t>
      </w:r>
      <w:r>
        <w:rPr>
          <w:spacing w:val="-10"/>
        </w:rPr>
        <w:t xml:space="preserve"> </w:t>
      </w:r>
      <w:r>
        <w:t>no</w:t>
      </w:r>
      <w:r>
        <w:rPr>
          <w:spacing w:val="-11"/>
        </w:rPr>
        <w:t xml:space="preserve"> </w:t>
      </w:r>
      <w:r>
        <w:t>como</w:t>
      </w:r>
      <w:r>
        <w:rPr>
          <w:spacing w:val="-11"/>
        </w:rPr>
        <w:t xml:space="preserve"> </w:t>
      </w:r>
      <w:r>
        <w:t>parte</w:t>
      </w:r>
      <w:r>
        <w:rPr>
          <w:spacing w:val="-11"/>
        </w:rPr>
        <w:t xml:space="preserve"> </w:t>
      </w:r>
      <w:r>
        <w:t>de</w:t>
      </w:r>
      <w:r>
        <w:rPr>
          <w:spacing w:val="-12"/>
        </w:rPr>
        <w:t xml:space="preserve"> </w:t>
      </w:r>
      <w:r>
        <w:t>una</w:t>
      </w:r>
      <w:r>
        <w:rPr>
          <w:spacing w:val="-10"/>
        </w:rPr>
        <w:t xml:space="preserve"> </w:t>
      </w:r>
      <w:r>
        <w:t>categoría</w:t>
      </w:r>
      <w:r>
        <w:rPr>
          <w:spacing w:val="-10"/>
        </w:rPr>
        <w:t xml:space="preserve"> </w:t>
      </w:r>
      <w:r>
        <w:t>de</w:t>
      </w:r>
      <w:r>
        <w:rPr>
          <w:spacing w:val="-11"/>
        </w:rPr>
        <w:t xml:space="preserve"> </w:t>
      </w:r>
      <w:r>
        <w:t>especial</w:t>
      </w:r>
      <w:r>
        <w:rPr>
          <w:spacing w:val="-11"/>
        </w:rPr>
        <w:t xml:space="preserve"> </w:t>
      </w:r>
      <w:r>
        <w:t>protección, sí como una situación agravante de las condiciones sociales en las que viven las personas, y que pueden variar caso a</w:t>
      </w:r>
      <w:r>
        <w:rPr>
          <w:spacing w:val="-2"/>
        </w:rPr>
        <w:t xml:space="preserve"> </w:t>
      </w:r>
      <w:r>
        <w:t>caso”</w:t>
      </w:r>
      <w:hyperlink w:anchor="_bookmark771" w:history="1">
        <w:r>
          <w:rPr>
            <w:position w:val="7"/>
            <w:sz w:val="13"/>
          </w:rPr>
          <w:t>89</w:t>
        </w:r>
      </w:hyperlink>
      <w:r>
        <w:t>.</w:t>
      </w:r>
    </w:p>
    <w:p w14:paraId="75F03357" w14:textId="77777777" w:rsidR="00467FCA" w:rsidRDefault="00467FCA">
      <w:pPr>
        <w:pStyle w:val="Textoindependiente"/>
        <w:spacing w:before="11"/>
        <w:rPr>
          <w:sz w:val="19"/>
        </w:rPr>
      </w:pPr>
    </w:p>
    <w:p w14:paraId="1AEE8A37" w14:textId="77777777" w:rsidR="00467FCA" w:rsidRDefault="001B68EB">
      <w:pPr>
        <w:pStyle w:val="Prrafodelista"/>
        <w:numPr>
          <w:ilvl w:val="0"/>
          <w:numId w:val="7"/>
        </w:numPr>
        <w:tabs>
          <w:tab w:val="left" w:pos="1167"/>
        </w:tabs>
        <w:ind w:right="274" w:hanging="1"/>
        <w:jc w:val="both"/>
        <w:rPr>
          <w:sz w:val="20"/>
        </w:rPr>
      </w:pPr>
      <w:r>
        <w:rPr>
          <w:sz w:val="20"/>
        </w:rPr>
        <w:t>En el caso del Sistema Interamericano, en el año 2016 indiqué</w:t>
      </w:r>
      <w:hyperlink w:anchor="_bookmark772" w:history="1">
        <w:r>
          <w:rPr>
            <w:position w:val="7"/>
            <w:sz w:val="13"/>
          </w:rPr>
          <w:t>90</w:t>
        </w:r>
      </w:hyperlink>
      <w:r>
        <w:rPr>
          <w:position w:val="7"/>
          <w:sz w:val="13"/>
        </w:rPr>
        <w:t xml:space="preserve"> </w:t>
      </w:r>
      <w:r>
        <w:rPr>
          <w:sz w:val="20"/>
        </w:rPr>
        <w:t>que “la pobreza y la posición económica ha[n] estado presente[s] a lo largo de la jurisprudencia [contenciosa</w:t>
      </w:r>
      <w:hyperlink w:anchor="_bookmark773" w:history="1">
        <w:r>
          <w:rPr>
            <w:position w:val="7"/>
            <w:sz w:val="13"/>
          </w:rPr>
          <w:t>91</w:t>
        </w:r>
      </w:hyperlink>
      <w:r>
        <w:rPr>
          <w:sz w:val="20"/>
        </w:rPr>
        <w:t>] de este Tribunal Interamericano; muchas violaciones de derechos humanos traen aparejadas situacione</w:t>
      </w:r>
      <w:r>
        <w:rPr>
          <w:sz w:val="20"/>
        </w:rPr>
        <w:t>s de exclusión y de marginación por la propia situación de pobreza de las víctimas. […] en la totalidad de los casos, se ha[bía] identificado a la pobreza como un factor de vulnerabilidad que profundiza el impacto que tienen las víctimas de violaciones a d</w:t>
      </w:r>
      <w:r>
        <w:rPr>
          <w:sz w:val="20"/>
        </w:rPr>
        <w:t>erechos humanos sometidas a esta condición”</w:t>
      </w:r>
      <w:hyperlink w:anchor="_bookmark774" w:history="1">
        <w:r>
          <w:rPr>
            <w:position w:val="7"/>
            <w:sz w:val="13"/>
          </w:rPr>
          <w:t>92</w:t>
        </w:r>
      </w:hyperlink>
      <w:r>
        <w:rPr>
          <w:sz w:val="20"/>
        </w:rPr>
        <w:t xml:space="preserve">. De este modo, entre 1989 y 2016, la jurisprudencia de la Corte IDH había analizado la pobreza o la posición económica de las víctimas de tres formas distintas: en primer lugar, </w:t>
      </w:r>
      <w:r>
        <w:rPr>
          <w:sz w:val="20"/>
        </w:rPr>
        <w:t>pobreza o condición económica asociada a grupos de vulnerabilidad</w:t>
      </w:r>
      <w:r>
        <w:rPr>
          <w:spacing w:val="-16"/>
          <w:sz w:val="20"/>
        </w:rPr>
        <w:t xml:space="preserve"> </w:t>
      </w:r>
      <w:r>
        <w:rPr>
          <w:sz w:val="20"/>
        </w:rPr>
        <w:t>tradicionalmente</w:t>
      </w:r>
      <w:r>
        <w:rPr>
          <w:spacing w:val="-17"/>
          <w:sz w:val="20"/>
        </w:rPr>
        <w:t xml:space="preserve"> </w:t>
      </w:r>
      <w:r>
        <w:rPr>
          <w:sz w:val="20"/>
        </w:rPr>
        <w:t>identificados</w:t>
      </w:r>
      <w:r>
        <w:rPr>
          <w:spacing w:val="-17"/>
          <w:sz w:val="20"/>
        </w:rPr>
        <w:t xml:space="preserve"> </w:t>
      </w:r>
      <w:r>
        <w:rPr>
          <w:sz w:val="20"/>
        </w:rPr>
        <w:t>(niñas</w:t>
      </w:r>
      <w:r>
        <w:rPr>
          <w:spacing w:val="-17"/>
          <w:sz w:val="20"/>
        </w:rPr>
        <w:t xml:space="preserve"> </w:t>
      </w:r>
      <w:r>
        <w:rPr>
          <w:sz w:val="20"/>
        </w:rPr>
        <w:t>y</w:t>
      </w:r>
      <w:r>
        <w:rPr>
          <w:spacing w:val="-16"/>
          <w:sz w:val="20"/>
        </w:rPr>
        <w:t xml:space="preserve"> </w:t>
      </w:r>
      <w:r>
        <w:rPr>
          <w:sz w:val="20"/>
        </w:rPr>
        <w:t>niños,</w:t>
      </w:r>
      <w:r>
        <w:rPr>
          <w:spacing w:val="-17"/>
          <w:sz w:val="20"/>
        </w:rPr>
        <w:t xml:space="preserve"> </w:t>
      </w:r>
      <w:r>
        <w:rPr>
          <w:sz w:val="20"/>
        </w:rPr>
        <w:t>mujeres,</w:t>
      </w:r>
      <w:r>
        <w:rPr>
          <w:spacing w:val="-14"/>
          <w:sz w:val="20"/>
        </w:rPr>
        <w:t xml:space="preserve"> </w:t>
      </w:r>
      <w:r>
        <w:rPr>
          <w:sz w:val="20"/>
        </w:rPr>
        <w:t>indígenas,</w:t>
      </w:r>
      <w:r>
        <w:rPr>
          <w:spacing w:val="-17"/>
          <w:sz w:val="20"/>
        </w:rPr>
        <w:t xml:space="preserve"> </w:t>
      </w:r>
      <w:r>
        <w:rPr>
          <w:sz w:val="20"/>
        </w:rPr>
        <w:t>personas</w:t>
      </w:r>
      <w:r>
        <w:rPr>
          <w:spacing w:val="-14"/>
          <w:sz w:val="20"/>
        </w:rPr>
        <w:t xml:space="preserve"> </w:t>
      </w:r>
      <w:r>
        <w:rPr>
          <w:sz w:val="20"/>
        </w:rPr>
        <w:t>con discapacidad, migrantes, etc.); en segundo lugar, pobreza o condición económica analizada como</w:t>
      </w:r>
      <w:r>
        <w:rPr>
          <w:spacing w:val="-9"/>
          <w:sz w:val="20"/>
        </w:rPr>
        <w:t xml:space="preserve"> </w:t>
      </w:r>
      <w:r>
        <w:rPr>
          <w:sz w:val="20"/>
        </w:rPr>
        <w:t>una</w:t>
      </w:r>
      <w:r>
        <w:rPr>
          <w:spacing w:val="-5"/>
          <w:sz w:val="20"/>
        </w:rPr>
        <w:t xml:space="preserve"> </w:t>
      </w:r>
      <w:r>
        <w:rPr>
          <w:sz w:val="20"/>
        </w:rPr>
        <w:t>discriminación</w:t>
      </w:r>
      <w:r>
        <w:rPr>
          <w:spacing w:val="-6"/>
          <w:sz w:val="20"/>
        </w:rPr>
        <w:t xml:space="preserve"> </w:t>
      </w:r>
      <w:r>
        <w:rPr>
          <w:sz w:val="20"/>
        </w:rPr>
        <w:t>interseccionada</w:t>
      </w:r>
      <w:r>
        <w:rPr>
          <w:spacing w:val="-5"/>
          <w:sz w:val="20"/>
        </w:rPr>
        <w:t xml:space="preserve"> </w:t>
      </w:r>
      <w:r>
        <w:rPr>
          <w:sz w:val="20"/>
        </w:rPr>
        <w:t>con</w:t>
      </w:r>
      <w:r>
        <w:rPr>
          <w:spacing w:val="-4"/>
          <w:sz w:val="20"/>
        </w:rPr>
        <w:t xml:space="preserve"> </w:t>
      </w:r>
      <w:r>
        <w:rPr>
          <w:sz w:val="20"/>
        </w:rPr>
        <w:t>otras</w:t>
      </w:r>
      <w:r>
        <w:rPr>
          <w:spacing w:val="-5"/>
          <w:sz w:val="20"/>
        </w:rPr>
        <w:t xml:space="preserve"> </w:t>
      </w:r>
      <w:r>
        <w:rPr>
          <w:sz w:val="20"/>
        </w:rPr>
        <w:t>categorías</w:t>
      </w:r>
      <w:hyperlink w:anchor="_bookmark775" w:history="1">
        <w:r>
          <w:rPr>
            <w:position w:val="7"/>
            <w:sz w:val="13"/>
          </w:rPr>
          <w:t>93</w:t>
        </w:r>
      </w:hyperlink>
      <w:r>
        <w:rPr>
          <w:sz w:val="20"/>
        </w:rPr>
        <w:t>;</w:t>
      </w:r>
      <w:r>
        <w:rPr>
          <w:spacing w:val="-7"/>
          <w:sz w:val="20"/>
        </w:rPr>
        <w:t xml:space="preserve"> </w:t>
      </w:r>
      <w:r>
        <w:rPr>
          <w:sz w:val="20"/>
        </w:rPr>
        <w:t>y,</w:t>
      </w:r>
      <w:r>
        <w:rPr>
          <w:spacing w:val="-5"/>
          <w:sz w:val="20"/>
        </w:rPr>
        <w:t xml:space="preserve"> </w:t>
      </w:r>
      <w:r>
        <w:rPr>
          <w:sz w:val="20"/>
        </w:rPr>
        <w:t>en</w:t>
      </w:r>
      <w:r>
        <w:rPr>
          <w:spacing w:val="-7"/>
          <w:sz w:val="20"/>
        </w:rPr>
        <w:t xml:space="preserve"> </w:t>
      </w:r>
      <w:r>
        <w:rPr>
          <w:sz w:val="20"/>
        </w:rPr>
        <w:t>tercer</w:t>
      </w:r>
      <w:r>
        <w:rPr>
          <w:spacing w:val="-8"/>
          <w:sz w:val="20"/>
        </w:rPr>
        <w:t xml:space="preserve"> </w:t>
      </w:r>
      <w:r>
        <w:rPr>
          <w:sz w:val="20"/>
        </w:rPr>
        <w:t>lugar,</w:t>
      </w:r>
      <w:r>
        <w:rPr>
          <w:spacing w:val="-6"/>
          <w:sz w:val="20"/>
        </w:rPr>
        <w:t xml:space="preserve"> </w:t>
      </w:r>
      <w:r>
        <w:rPr>
          <w:sz w:val="20"/>
        </w:rPr>
        <w:t>pobreza</w:t>
      </w:r>
      <w:r>
        <w:rPr>
          <w:spacing w:val="-5"/>
          <w:sz w:val="20"/>
        </w:rPr>
        <w:t xml:space="preserve"> </w:t>
      </w:r>
      <w:r>
        <w:rPr>
          <w:sz w:val="20"/>
        </w:rPr>
        <w:t>o condición económica analizada de manera aislada dadas las circunstancias del caso sin vincularla con otra categoría de especial</w:t>
      </w:r>
      <w:r>
        <w:rPr>
          <w:spacing w:val="-2"/>
          <w:sz w:val="20"/>
        </w:rPr>
        <w:t xml:space="preserve"> </w:t>
      </w:r>
      <w:r>
        <w:rPr>
          <w:sz w:val="20"/>
        </w:rPr>
        <w:t>protección</w:t>
      </w:r>
      <w:hyperlink w:anchor="_bookmark776" w:history="1">
        <w:r>
          <w:rPr>
            <w:position w:val="7"/>
            <w:sz w:val="13"/>
          </w:rPr>
          <w:t>94</w:t>
        </w:r>
      </w:hyperlink>
      <w:r>
        <w:rPr>
          <w:sz w:val="20"/>
        </w:rPr>
        <w:t>.</w:t>
      </w:r>
    </w:p>
    <w:p w14:paraId="4C393254" w14:textId="77777777" w:rsidR="00467FCA" w:rsidRDefault="00467FCA">
      <w:pPr>
        <w:pStyle w:val="Textoindependiente"/>
        <w:spacing w:before="11"/>
        <w:rPr>
          <w:sz w:val="19"/>
        </w:rPr>
      </w:pPr>
    </w:p>
    <w:p w14:paraId="494C8BE5" w14:textId="77777777" w:rsidR="00467FCA" w:rsidRDefault="001B68EB">
      <w:pPr>
        <w:pStyle w:val="Prrafodelista"/>
        <w:numPr>
          <w:ilvl w:val="0"/>
          <w:numId w:val="7"/>
        </w:numPr>
        <w:tabs>
          <w:tab w:val="left" w:pos="1167"/>
        </w:tabs>
        <w:spacing w:before="1"/>
        <w:ind w:right="273" w:firstLine="0"/>
        <w:jc w:val="both"/>
        <w:rPr>
          <w:sz w:val="20"/>
        </w:rPr>
      </w:pPr>
      <w:r>
        <w:rPr>
          <w:sz w:val="20"/>
        </w:rPr>
        <w:t xml:space="preserve">Sin perjuicio de lo anterior, estimo un paso fundamental para el Sistema Interamericano (y en el Derecho Internacional de los Derechos Humanos), el caso de los </w:t>
      </w:r>
      <w:r>
        <w:rPr>
          <w:i/>
          <w:sz w:val="20"/>
        </w:rPr>
        <w:t>Trabajadores de la Hacienda Brasil Verde</w:t>
      </w:r>
      <w:r>
        <w:rPr>
          <w:sz w:val="20"/>
        </w:rPr>
        <w:t xml:space="preserve">, en donde la Corte </w:t>
      </w:r>
      <w:r>
        <w:rPr>
          <w:sz w:val="20"/>
        </w:rPr>
        <w:t xml:space="preserve">IDH analizó en un caso contencioso de manera directa, aislada y autónoma la categoría “posición económica” contemplada en el articulo 1.1 del Pacto de San José. Además, también fue verdaderamente innovador analizar la “posición económica” desde una óptica </w:t>
      </w:r>
      <w:r>
        <w:rPr>
          <w:sz w:val="20"/>
        </w:rPr>
        <w:t>de la “pobreza”</w:t>
      </w:r>
      <w:hyperlink w:anchor="_bookmark777" w:history="1">
        <w:r>
          <w:rPr>
            <w:position w:val="7"/>
            <w:sz w:val="13"/>
          </w:rPr>
          <w:t>95</w:t>
        </w:r>
      </w:hyperlink>
      <w:r>
        <w:rPr>
          <w:sz w:val="20"/>
        </w:rPr>
        <w:t>. Así, por ejemplo, en aquel caso la Corte IDH estimó</w:t>
      </w:r>
      <w:r>
        <w:rPr>
          <w:spacing w:val="-4"/>
          <w:sz w:val="20"/>
        </w:rPr>
        <w:t xml:space="preserve"> </w:t>
      </w:r>
      <w:r>
        <w:rPr>
          <w:sz w:val="20"/>
        </w:rPr>
        <w:t>que:</w:t>
      </w:r>
    </w:p>
    <w:p w14:paraId="189F9FB1" w14:textId="77777777" w:rsidR="00467FCA" w:rsidRDefault="00467FCA">
      <w:pPr>
        <w:pStyle w:val="Textoindependiente"/>
      </w:pPr>
    </w:p>
    <w:p w14:paraId="3EBE186D" w14:textId="77777777" w:rsidR="00467FCA" w:rsidRDefault="001B68EB">
      <w:pPr>
        <w:pStyle w:val="Textoindependiente"/>
        <w:spacing w:before="5"/>
        <w:rPr>
          <w:sz w:val="17"/>
        </w:rPr>
      </w:pPr>
      <w:r>
        <w:pict w14:anchorId="1191EE19">
          <v:shape id="_x0000_s1052" style="position:absolute;margin-left:70.9pt;margin-top:12.85pt;width:2in;height:.1pt;z-index:-251511808;mso-wrap-distance-left:0;mso-wrap-distance-right:0;mso-position-horizontal-relative:page" coordorigin="1418,257" coordsize="2880,0" path="m1418,257r2880,e" filled="f" strokeweight=".6pt">
            <v:path arrowok="t"/>
            <w10:wrap type="topAndBottom" anchorx="page"/>
          </v:shape>
        </w:pict>
      </w:r>
    </w:p>
    <w:p w14:paraId="1DBBE03F" w14:textId="77777777" w:rsidR="00467FCA" w:rsidRDefault="001B68EB">
      <w:pPr>
        <w:tabs>
          <w:tab w:val="left" w:pos="1166"/>
        </w:tabs>
        <w:spacing w:before="74"/>
        <w:ind w:left="458"/>
        <w:jc w:val="both"/>
        <w:rPr>
          <w:i/>
          <w:sz w:val="16"/>
        </w:rPr>
      </w:pPr>
      <w:bookmarkStart w:id="852" w:name="_bookmark771"/>
      <w:bookmarkEnd w:id="852"/>
      <w:r>
        <w:rPr>
          <w:position w:val="6"/>
          <w:sz w:val="10"/>
        </w:rPr>
        <w:t>89</w:t>
      </w:r>
      <w:r>
        <w:rPr>
          <w:position w:val="6"/>
          <w:sz w:val="10"/>
        </w:rPr>
        <w:tab/>
      </w:r>
      <w:r>
        <w:rPr>
          <w:sz w:val="16"/>
        </w:rPr>
        <w:t xml:space="preserve">Véase el párr. 17 de nuestro voto emitido en el caso </w:t>
      </w:r>
      <w:r>
        <w:rPr>
          <w:i/>
          <w:sz w:val="16"/>
        </w:rPr>
        <w:t>Trabajadores de la Hacienda Brasil Verde Vs.</w:t>
      </w:r>
      <w:r>
        <w:rPr>
          <w:i/>
          <w:spacing w:val="-29"/>
          <w:sz w:val="16"/>
        </w:rPr>
        <w:t xml:space="preserve"> </w:t>
      </w:r>
      <w:r>
        <w:rPr>
          <w:i/>
          <w:sz w:val="16"/>
        </w:rPr>
        <w:t>Brasil.</w:t>
      </w:r>
    </w:p>
    <w:p w14:paraId="4B9691C6" w14:textId="77777777" w:rsidR="00467FCA" w:rsidRDefault="001B68EB">
      <w:pPr>
        <w:tabs>
          <w:tab w:val="left" w:pos="1166"/>
        </w:tabs>
        <w:ind w:left="458" w:right="274"/>
        <w:jc w:val="both"/>
        <w:rPr>
          <w:i/>
          <w:sz w:val="16"/>
        </w:rPr>
      </w:pPr>
      <w:bookmarkStart w:id="853" w:name="_bookmark772"/>
      <w:bookmarkEnd w:id="853"/>
      <w:r>
        <w:rPr>
          <w:position w:val="6"/>
          <w:sz w:val="10"/>
        </w:rPr>
        <w:t>90</w:t>
      </w:r>
      <w:r>
        <w:rPr>
          <w:position w:val="6"/>
          <w:sz w:val="10"/>
        </w:rPr>
        <w:tab/>
      </w:r>
      <w:r>
        <w:rPr>
          <w:sz w:val="16"/>
        </w:rPr>
        <w:t xml:space="preserve">Véase los párrs. 25 y 44 de nuestro voto emitido en el caso </w:t>
      </w:r>
      <w:r>
        <w:rPr>
          <w:i/>
          <w:sz w:val="16"/>
        </w:rPr>
        <w:t>Trabajadores de la Hacienda Brasil Verde Vs. Brasil.</w:t>
      </w:r>
    </w:p>
    <w:p w14:paraId="6A633E4E" w14:textId="77777777" w:rsidR="00467FCA" w:rsidRDefault="001B68EB">
      <w:pPr>
        <w:tabs>
          <w:tab w:val="left" w:pos="1166"/>
        </w:tabs>
        <w:ind w:left="458" w:right="270"/>
        <w:jc w:val="both"/>
        <w:rPr>
          <w:sz w:val="16"/>
        </w:rPr>
      </w:pPr>
      <w:bookmarkStart w:id="854" w:name="_bookmark773"/>
      <w:bookmarkEnd w:id="854"/>
      <w:r>
        <w:rPr>
          <w:position w:val="6"/>
          <w:sz w:val="10"/>
        </w:rPr>
        <w:t>91</w:t>
      </w:r>
      <w:r>
        <w:rPr>
          <w:position w:val="6"/>
          <w:sz w:val="10"/>
        </w:rPr>
        <w:tab/>
      </w:r>
      <w:r>
        <w:rPr>
          <w:sz w:val="16"/>
        </w:rPr>
        <w:t>Con</w:t>
      </w:r>
      <w:r>
        <w:rPr>
          <w:spacing w:val="-7"/>
          <w:sz w:val="16"/>
        </w:rPr>
        <w:t xml:space="preserve"> </w:t>
      </w:r>
      <w:r>
        <w:rPr>
          <w:sz w:val="16"/>
        </w:rPr>
        <w:t>anterioridad</w:t>
      </w:r>
      <w:r>
        <w:rPr>
          <w:spacing w:val="-7"/>
          <w:sz w:val="16"/>
        </w:rPr>
        <w:t xml:space="preserve"> </w:t>
      </w:r>
      <w:r>
        <w:rPr>
          <w:sz w:val="16"/>
        </w:rPr>
        <w:t>la</w:t>
      </w:r>
      <w:r>
        <w:rPr>
          <w:spacing w:val="-9"/>
          <w:sz w:val="16"/>
        </w:rPr>
        <w:t xml:space="preserve"> </w:t>
      </w:r>
      <w:r>
        <w:rPr>
          <w:sz w:val="16"/>
        </w:rPr>
        <w:t>Corte</w:t>
      </w:r>
      <w:r>
        <w:rPr>
          <w:spacing w:val="-5"/>
          <w:sz w:val="16"/>
        </w:rPr>
        <w:t xml:space="preserve"> </w:t>
      </w:r>
      <w:r>
        <w:rPr>
          <w:sz w:val="16"/>
        </w:rPr>
        <w:t>IDH</w:t>
      </w:r>
      <w:r>
        <w:rPr>
          <w:spacing w:val="-11"/>
          <w:sz w:val="16"/>
        </w:rPr>
        <w:t xml:space="preserve"> </w:t>
      </w:r>
      <w:r>
        <w:rPr>
          <w:sz w:val="16"/>
        </w:rPr>
        <w:t>había</w:t>
      </w:r>
      <w:r>
        <w:rPr>
          <w:spacing w:val="-7"/>
          <w:sz w:val="16"/>
        </w:rPr>
        <w:t xml:space="preserve"> </w:t>
      </w:r>
      <w:r>
        <w:rPr>
          <w:sz w:val="16"/>
        </w:rPr>
        <w:t>indicado</w:t>
      </w:r>
      <w:r>
        <w:rPr>
          <w:spacing w:val="-9"/>
          <w:sz w:val="16"/>
        </w:rPr>
        <w:t xml:space="preserve"> </w:t>
      </w:r>
      <w:r>
        <w:rPr>
          <w:sz w:val="16"/>
        </w:rPr>
        <w:t>“22.</w:t>
      </w:r>
      <w:r>
        <w:rPr>
          <w:spacing w:val="-7"/>
          <w:sz w:val="16"/>
        </w:rPr>
        <w:t xml:space="preserve"> </w:t>
      </w:r>
      <w:r>
        <w:rPr>
          <w:sz w:val="16"/>
        </w:rPr>
        <w:t>La</w:t>
      </w:r>
      <w:r>
        <w:rPr>
          <w:spacing w:val="-8"/>
          <w:sz w:val="16"/>
        </w:rPr>
        <w:t xml:space="preserve"> </w:t>
      </w:r>
      <w:r>
        <w:rPr>
          <w:sz w:val="16"/>
        </w:rPr>
        <w:t>parte</w:t>
      </w:r>
      <w:r>
        <w:rPr>
          <w:spacing w:val="-7"/>
          <w:sz w:val="16"/>
        </w:rPr>
        <w:t xml:space="preserve"> </w:t>
      </w:r>
      <w:r>
        <w:rPr>
          <w:sz w:val="16"/>
        </w:rPr>
        <w:t>final</w:t>
      </w:r>
      <w:r>
        <w:rPr>
          <w:spacing w:val="-7"/>
          <w:sz w:val="16"/>
        </w:rPr>
        <w:t xml:space="preserve"> </w:t>
      </w:r>
      <w:r>
        <w:rPr>
          <w:sz w:val="16"/>
        </w:rPr>
        <w:t>del</w:t>
      </w:r>
      <w:r>
        <w:rPr>
          <w:spacing w:val="-6"/>
          <w:sz w:val="16"/>
        </w:rPr>
        <w:t xml:space="preserve"> </w:t>
      </w:r>
      <w:r>
        <w:rPr>
          <w:sz w:val="16"/>
        </w:rPr>
        <w:t>artículo</w:t>
      </w:r>
      <w:r>
        <w:rPr>
          <w:spacing w:val="-7"/>
          <w:sz w:val="16"/>
        </w:rPr>
        <w:t xml:space="preserve"> </w:t>
      </w:r>
      <w:r>
        <w:rPr>
          <w:sz w:val="16"/>
        </w:rPr>
        <w:t>1.1</w:t>
      </w:r>
      <w:r>
        <w:rPr>
          <w:spacing w:val="-8"/>
          <w:sz w:val="16"/>
        </w:rPr>
        <w:t xml:space="preserve"> </w:t>
      </w:r>
      <w:r>
        <w:rPr>
          <w:sz w:val="16"/>
        </w:rPr>
        <w:t>prohíbe</w:t>
      </w:r>
      <w:r>
        <w:rPr>
          <w:spacing w:val="-5"/>
          <w:sz w:val="16"/>
        </w:rPr>
        <w:t xml:space="preserve"> </w:t>
      </w:r>
      <w:r>
        <w:rPr>
          <w:sz w:val="16"/>
        </w:rPr>
        <w:t>al</w:t>
      </w:r>
      <w:r>
        <w:rPr>
          <w:spacing w:val="-12"/>
          <w:sz w:val="16"/>
        </w:rPr>
        <w:t xml:space="preserve"> </w:t>
      </w:r>
      <w:r>
        <w:rPr>
          <w:sz w:val="16"/>
        </w:rPr>
        <w:t>Estado</w:t>
      </w:r>
      <w:r>
        <w:rPr>
          <w:spacing w:val="-7"/>
          <w:sz w:val="16"/>
        </w:rPr>
        <w:t xml:space="preserve"> </w:t>
      </w:r>
      <w:r>
        <w:rPr>
          <w:sz w:val="16"/>
        </w:rPr>
        <w:t xml:space="preserve">discriminar por diversas razones, entre ellas la </w:t>
      </w:r>
      <w:r>
        <w:rPr>
          <w:i/>
          <w:sz w:val="16"/>
        </w:rPr>
        <w:t>posición económica</w:t>
      </w:r>
      <w:r>
        <w:rPr>
          <w:sz w:val="16"/>
        </w:rPr>
        <w:t xml:space="preserve">. El sentido de la expresión </w:t>
      </w:r>
      <w:r>
        <w:rPr>
          <w:i/>
          <w:sz w:val="16"/>
        </w:rPr>
        <w:t xml:space="preserve">discriminación </w:t>
      </w:r>
      <w:r>
        <w:rPr>
          <w:sz w:val="16"/>
        </w:rPr>
        <w:t xml:space="preserve">que menciona el artículo 24 debe ser interpretado, entonces, a la luz de lo que menciona el artículo 1.1. Si una persona que busca la protección </w:t>
      </w:r>
      <w:r>
        <w:rPr>
          <w:sz w:val="16"/>
        </w:rPr>
        <w:t>de la ley para hacer valer los derechos que la Convención le garantiza, encuentra que su posición económica</w:t>
      </w:r>
      <w:r>
        <w:rPr>
          <w:spacing w:val="-11"/>
          <w:sz w:val="16"/>
        </w:rPr>
        <w:t xml:space="preserve"> </w:t>
      </w:r>
      <w:r>
        <w:rPr>
          <w:sz w:val="16"/>
        </w:rPr>
        <w:t>(en</w:t>
      </w:r>
      <w:r>
        <w:rPr>
          <w:spacing w:val="-11"/>
          <w:sz w:val="16"/>
        </w:rPr>
        <w:t xml:space="preserve"> </w:t>
      </w:r>
      <w:r>
        <w:rPr>
          <w:sz w:val="16"/>
        </w:rPr>
        <w:t>este</w:t>
      </w:r>
      <w:r>
        <w:rPr>
          <w:spacing w:val="-12"/>
          <w:sz w:val="16"/>
        </w:rPr>
        <w:t xml:space="preserve"> </w:t>
      </w:r>
      <w:r>
        <w:rPr>
          <w:sz w:val="16"/>
        </w:rPr>
        <w:t>caso,</w:t>
      </w:r>
      <w:r>
        <w:rPr>
          <w:spacing w:val="-11"/>
          <w:sz w:val="16"/>
        </w:rPr>
        <w:t xml:space="preserve"> </w:t>
      </w:r>
      <w:r>
        <w:rPr>
          <w:sz w:val="16"/>
        </w:rPr>
        <w:t>su</w:t>
      </w:r>
      <w:r>
        <w:rPr>
          <w:spacing w:val="-11"/>
          <w:sz w:val="16"/>
        </w:rPr>
        <w:t xml:space="preserve"> </w:t>
      </w:r>
      <w:r>
        <w:rPr>
          <w:sz w:val="16"/>
        </w:rPr>
        <w:t>indigencia)</w:t>
      </w:r>
      <w:r>
        <w:rPr>
          <w:spacing w:val="-11"/>
          <w:sz w:val="16"/>
        </w:rPr>
        <w:t xml:space="preserve"> </w:t>
      </w:r>
      <w:r>
        <w:rPr>
          <w:sz w:val="16"/>
        </w:rPr>
        <w:t>le</w:t>
      </w:r>
      <w:r>
        <w:rPr>
          <w:spacing w:val="-10"/>
          <w:sz w:val="16"/>
        </w:rPr>
        <w:t xml:space="preserve"> </w:t>
      </w:r>
      <w:r>
        <w:rPr>
          <w:sz w:val="16"/>
        </w:rPr>
        <w:t>impide</w:t>
      </w:r>
      <w:r>
        <w:rPr>
          <w:spacing w:val="-10"/>
          <w:sz w:val="16"/>
        </w:rPr>
        <w:t xml:space="preserve"> </w:t>
      </w:r>
      <w:r>
        <w:rPr>
          <w:sz w:val="16"/>
        </w:rPr>
        <w:t>hacerlo</w:t>
      </w:r>
      <w:r>
        <w:rPr>
          <w:spacing w:val="-12"/>
          <w:sz w:val="16"/>
        </w:rPr>
        <w:t xml:space="preserve"> </w:t>
      </w:r>
      <w:r>
        <w:rPr>
          <w:sz w:val="16"/>
        </w:rPr>
        <w:t>porque</w:t>
      </w:r>
      <w:r>
        <w:rPr>
          <w:spacing w:val="-10"/>
          <w:sz w:val="16"/>
        </w:rPr>
        <w:t xml:space="preserve"> </w:t>
      </w:r>
      <w:r>
        <w:rPr>
          <w:sz w:val="16"/>
        </w:rPr>
        <w:t>no</w:t>
      </w:r>
      <w:r>
        <w:rPr>
          <w:spacing w:val="-11"/>
          <w:sz w:val="16"/>
        </w:rPr>
        <w:t xml:space="preserve"> </w:t>
      </w:r>
      <w:r>
        <w:rPr>
          <w:sz w:val="16"/>
        </w:rPr>
        <w:t>puede</w:t>
      </w:r>
      <w:r>
        <w:rPr>
          <w:spacing w:val="-10"/>
          <w:sz w:val="16"/>
        </w:rPr>
        <w:t xml:space="preserve"> </w:t>
      </w:r>
      <w:r>
        <w:rPr>
          <w:sz w:val="16"/>
        </w:rPr>
        <w:t>pagar</w:t>
      </w:r>
      <w:r>
        <w:rPr>
          <w:spacing w:val="-9"/>
          <w:sz w:val="16"/>
        </w:rPr>
        <w:t xml:space="preserve"> </w:t>
      </w:r>
      <w:r>
        <w:rPr>
          <w:sz w:val="16"/>
        </w:rPr>
        <w:t>la</w:t>
      </w:r>
      <w:r>
        <w:rPr>
          <w:spacing w:val="-10"/>
          <w:sz w:val="16"/>
        </w:rPr>
        <w:t xml:space="preserve"> </w:t>
      </w:r>
      <w:r>
        <w:rPr>
          <w:sz w:val="16"/>
        </w:rPr>
        <w:t>asistencia</w:t>
      </w:r>
      <w:r>
        <w:rPr>
          <w:spacing w:val="-10"/>
          <w:sz w:val="16"/>
        </w:rPr>
        <w:t xml:space="preserve"> </w:t>
      </w:r>
      <w:r>
        <w:rPr>
          <w:sz w:val="16"/>
        </w:rPr>
        <w:t>legal</w:t>
      </w:r>
      <w:r>
        <w:rPr>
          <w:spacing w:val="-11"/>
          <w:sz w:val="16"/>
        </w:rPr>
        <w:t xml:space="preserve"> </w:t>
      </w:r>
      <w:r>
        <w:rPr>
          <w:sz w:val="16"/>
        </w:rPr>
        <w:t>necesaria</w:t>
      </w:r>
      <w:r>
        <w:rPr>
          <w:spacing w:val="-11"/>
          <w:sz w:val="16"/>
        </w:rPr>
        <w:t xml:space="preserve"> </w:t>
      </w:r>
      <w:r>
        <w:rPr>
          <w:sz w:val="16"/>
        </w:rPr>
        <w:t>o</w:t>
      </w:r>
      <w:r>
        <w:rPr>
          <w:spacing w:val="-11"/>
          <w:sz w:val="16"/>
        </w:rPr>
        <w:t xml:space="preserve"> </w:t>
      </w:r>
      <w:r>
        <w:rPr>
          <w:sz w:val="16"/>
        </w:rPr>
        <w:t>cubrir los costos del proceso, queda discrimin</w:t>
      </w:r>
      <w:r>
        <w:rPr>
          <w:sz w:val="16"/>
        </w:rPr>
        <w:t xml:space="preserve">ada por motivo de su posición económica y colocada en condiciones de desigualdad ante la ley. </w:t>
      </w:r>
      <w:r>
        <w:rPr>
          <w:i/>
          <w:sz w:val="16"/>
        </w:rPr>
        <w:t xml:space="preserve">Cfr. Excepciones al agotamiento de los recursos internos (Arts. 46.1, 46.2.a y 46.2.b, </w:t>
      </w:r>
      <w:r>
        <w:rPr>
          <w:i/>
          <w:sz w:val="16"/>
        </w:rPr>
        <w:t xml:space="preserve">Convención Americana sobre Derechos Humanos). </w:t>
      </w:r>
      <w:r>
        <w:rPr>
          <w:sz w:val="16"/>
        </w:rPr>
        <w:t>Opinión Consultiva OC-11/90 de 10 de agosto de 1990. Serie A</w:t>
      </w:r>
      <w:bookmarkStart w:id="855" w:name="_bookmark774"/>
      <w:bookmarkEnd w:id="855"/>
      <w:r>
        <w:rPr>
          <w:sz w:val="16"/>
        </w:rPr>
        <w:t xml:space="preserve"> No.</w:t>
      </w:r>
      <w:r>
        <w:rPr>
          <w:spacing w:val="-2"/>
          <w:sz w:val="16"/>
        </w:rPr>
        <w:t xml:space="preserve"> </w:t>
      </w:r>
      <w:r>
        <w:rPr>
          <w:sz w:val="16"/>
        </w:rPr>
        <w:t>11.</w:t>
      </w:r>
    </w:p>
    <w:p w14:paraId="7C5A2D52" w14:textId="77777777" w:rsidR="00467FCA" w:rsidRDefault="001B68EB">
      <w:pPr>
        <w:tabs>
          <w:tab w:val="left" w:pos="1166"/>
        </w:tabs>
        <w:spacing w:line="194" w:lineRule="exact"/>
        <w:ind w:left="458"/>
        <w:jc w:val="both"/>
        <w:rPr>
          <w:i/>
          <w:sz w:val="16"/>
        </w:rPr>
      </w:pPr>
      <w:r>
        <w:rPr>
          <w:position w:val="6"/>
          <w:sz w:val="10"/>
        </w:rPr>
        <w:t>92</w:t>
      </w:r>
      <w:r>
        <w:rPr>
          <w:position w:val="6"/>
          <w:sz w:val="10"/>
        </w:rPr>
        <w:tab/>
      </w:r>
      <w:r>
        <w:rPr>
          <w:sz w:val="16"/>
        </w:rPr>
        <w:t xml:space="preserve">Véase el párr. 26 del voto emitido en el caso </w:t>
      </w:r>
      <w:r>
        <w:rPr>
          <w:i/>
          <w:sz w:val="16"/>
        </w:rPr>
        <w:t>Trabajadores de la Hacienda Brasil Verde Vs.</w:t>
      </w:r>
      <w:r>
        <w:rPr>
          <w:i/>
          <w:spacing w:val="-22"/>
          <w:sz w:val="16"/>
        </w:rPr>
        <w:t xml:space="preserve"> </w:t>
      </w:r>
      <w:r>
        <w:rPr>
          <w:i/>
          <w:sz w:val="16"/>
        </w:rPr>
        <w:t>Brasil.</w:t>
      </w:r>
    </w:p>
    <w:p w14:paraId="2A898DB7" w14:textId="77777777" w:rsidR="00467FCA" w:rsidRDefault="001B68EB">
      <w:pPr>
        <w:tabs>
          <w:tab w:val="left" w:pos="1166"/>
        </w:tabs>
        <w:ind w:left="458" w:right="271"/>
        <w:jc w:val="both"/>
        <w:rPr>
          <w:sz w:val="16"/>
        </w:rPr>
      </w:pPr>
      <w:bookmarkStart w:id="856" w:name="_bookmark775"/>
      <w:bookmarkEnd w:id="856"/>
      <w:r>
        <w:rPr>
          <w:position w:val="6"/>
          <w:sz w:val="10"/>
        </w:rPr>
        <w:t>93</w:t>
      </w:r>
      <w:r>
        <w:rPr>
          <w:position w:val="6"/>
          <w:sz w:val="10"/>
        </w:rPr>
        <w:tab/>
      </w:r>
      <w:r>
        <w:rPr>
          <w:sz w:val="16"/>
        </w:rPr>
        <w:t xml:space="preserve">Véase el </w:t>
      </w:r>
      <w:r>
        <w:rPr>
          <w:i/>
          <w:sz w:val="16"/>
        </w:rPr>
        <w:t>Caso Artavia Murillo y otro</w:t>
      </w:r>
      <w:r>
        <w:rPr>
          <w:i/>
          <w:sz w:val="16"/>
        </w:rPr>
        <w:t xml:space="preserve">s ("Fecundación in vitro") Vs. Costa Rica. Excepciones Preliminares, Fondo, Reparaciones y Costas. </w:t>
      </w:r>
      <w:r>
        <w:rPr>
          <w:sz w:val="16"/>
        </w:rPr>
        <w:t xml:space="preserve">Sentencia de 28 noviembre de 2012. Serie C No. 257, y </w:t>
      </w:r>
      <w:r>
        <w:rPr>
          <w:i/>
          <w:sz w:val="16"/>
        </w:rPr>
        <w:t>Caso Gonzales Lluy y otros</w:t>
      </w:r>
      <w:bookmarkStart w:id="857" w:name="_bookmark776"/>
      <w:bookmarkEnd w:id="857"/>
      <w:r>
        <w:rPr>
          <w:i/>
          <w:sz w:val="16"/>
        </w:rPr>
        <w:t xml:space="preserve"> Vs. Ecuador</w:t>
      </w:r>
      <w:r>
        <w:rPr>
          <w:sz w:val="16"/>
        </w:rPr>
        <w:t>,</w:t>
      </w:r>
      <w:r>
        <w:rPr>
          <w:spacing w:val="-4"/>
          <w:sz w:val="16"/>
        </w:rPr>
        <w:t xml:space="preserve"> </w:t>
      </w:r>
      <w:r>
        <w:rPr>
          <w:i/>
          <w:sz w:val="16"/>
        </w:rPr>
        <w:t>supra</w:t>
      </w:r>
      <w:r>
        <w:rPr>
          <w:sz w:val="16"/>
        </w:rPr>
        <w:t>.</w:t>
      </w:r>
    </w:p>
    <w:p w14:paraId="7A0E60BF" w14:textId="77777777" w:rsidR="00467FCA" w:rsidRDefault="001B68EB">
      <w:pPr>
        <w:tabs>
          <w:tab w:val="left" w:pos="1166"/>
        </w:tabs>
        <w:ind w:left="458" w:right="273"/>
        <w:jc w:val="both"/>
        <w:rPr>
          <w:sz w:val="16"/>
        </w:rPr>
      </w:pPr>
      <w:r>
        <w:rPr>
          <w:position w:val="6"/>
          <w:sz w:val="10"/>
        </w:rPr>
        <w:t>94</w:t>
      </w:r>
      <w:r>
        <w:rPr>
          <w:position w:val="6"/>
          <w:sz w:val="10"/>
        </w:rPr>
        <w:tab/>
      </w:r>
      <w:r>
        <w:rPr>
          <w:sz w:val="16"/>
        </w:rPr>
        <w:t>Véase:</w:t>
      </w:r>
      <w:r>
        <w:rPr>
          <w:spacing w:val="-11"/>
          <w:sz w:val="16"/>
        </w:rPr>
        <w:t xml:space="preserve"> </w:t>
      </w:r>
      <w:r>
        <w:rPr>
          <w:i/>
          <w:sz w:val="16"/>
        </w:rPr>
        <w:t>Caso</w:t>
      </w:r>
      <w:r>
        <w:rPr>
          <w:i/>
          <w:spacing w:val="-7"/>
          <w:sz w:val="16"/>
        </w:rPr>
        <w:t xml:space="preserve"> </w:t>
      </w:r>
      <w:r>
        <w:rPr>
          <w:i/>
          <w:sz w:val="16"/>
        </w:rPr>
        <w:t>Uzcátegui</w:t>
      </w:r>
      <w:r>
        <w:rPr>
          <w:i/>
          <w:spacing w:val="-10"/>
          <w:sz w:val="16"/>
        </w:rPr>
        <w:t xml:space="preserve"> </w:t>
      </w:r>
      <w:r>
        <w:rPr>
          <w:i/>
          <w:sz w:val="16"/>
        </w:rPr>
        <w:t>y</w:t>
      </w:r>
      <w:r>
        <w:rPr>
          <w:i/>
          <w:spacing w:val="-9"/>
          <w:sz w:val="16"/>
        </w:rPr>
        <w:t xml:space="preserve"> </w:t>
      </w:r>
      <w:r>
        <w:rPr>
          <w:i/>
          <w:sz w:val="16"/>
        </w:rPr>
        <w:t>otros</w:t>
      </w:r>
      <w:r>
        <w:rPr>
          <w:i/>
          <w:spacing w:val="-9"/>
          <w:sz w:val="16"/>
        </w:rPr>
        <w:t xml:space="preserve"> </w:t>
      </w:r>
      <w:r>
        <w:rPr>
          <w:i/>
          <w:sz w:val="16"/>
        </w:rPr>
        <w:t>Vs.</w:t>
      </w:r>
      <w:r>
        <w:rPr>
          <w:i/>
          <w:spacing w:val="-11"/>
          <w:sz w:val="16"/>
        </w:rPr>
        <w:t xml:space="preserve"> </w:t>
      </w:r>
      <w:r>
        <w:rPr>
          <w:i/>
          <w:sz w:val="16"/>
        </w:rPr>
        <w:t>Venezuela.</w:t>
      </w:r>
      <w:r>
        <w:rPr>
          <w:i/>
          <w:spacing w:val="-10"/>
          <w:sz w:val="16"/>
        </w:rPr>
        <w:t xml:space="preserve"> </w:t>
      </w:r>
      <w:r>
        <w:rPr>
          <w:i/>
          <w:sz w:val="16"/>
        </w:rPr>
        <w:t>Fondo</w:t>
      </w:r>
      <w:r>
        <w:rPr>
          <w:i/>
          <w:spacing w:val="-11"/>
          <w:sz w:val="16"/>
        </w:rPr>
        <w:t xml:space="preserve"> </w:t>
      </w:r>
      <w:r>
        <w:rPr>
          <w:i/>
          <w:sz w:val="16"/>
        </w:rPr>
        <w:t>y</w:t>
      </w:r>
      <w:r>
        <w:rPr>
          <w:i/>
          <w:spacing w:val="-9"/>
          <w:sz w:val="16"/>
        </w:rPr>
        <w:t xml:space="preserve"> </w:t>
      </w:r>
      <w:r>
        <w:rPr>
          <w:i/>
          <w:sz w:val="16"/>
        </w:rPr>
        <w:t>Reparaciones</w:t>
      </w:r>
      <w:r>
        <w:rPr>
          <w:sz w:val="16"/>
        </w:rPr>
        <w:t>.</w:t>
      </w:r>
      <w:r>
        <w:rPr>
          <w:spacing w:val="-10"/>
          <w:sz w:val="16"/>
        </w:rPr>
        <w:t xml:space="preserve"> </w:t>
      </w:r>
      <w:r>
        <w:rPr>
          <w:sz w:val="16"/>
        </w:rPr>
        <w:t>Sentencia</w:t>
      </w:r>
      <w:r>
        <w:rPr>
          <w:spacing w:val="-8"/>
          <w:sz w:val="16"/>
        </w:rPr>
        <w:t xml:space="preserve"> </w:t>
      </w:r>
      <w:r>
        <w:rPr>
          <w:sz w:val="16"/>
        </w:rPr>
        <w:t>de</w:t>
      </w:r>
      <w:r>
        <w:rPr>
          <w:spacing w:val="-8"/>
          <w:sz w:val="16"/>
        </w:rPr>
        <w:t xml:space="preserve"> </w:t>
      </w:r>
      <w:r>
        <w:rPr>
          <w:sz w:val="16"/>
        </w:rPr>
        <w:t>3</w:t>
      </w:r>
      <w:r>
        <w:rPr>
          <w:spacing w:val="-9"/>
          <w:sz w:val="16"/>
        </w:rPr>
        <w:t xml:space="preserve"> </w:t>
      </w:r>
      <w:r>
        <w:rPr>
          <w:sz w:val="16"/>
        </w:rPr>
        <w:t>de</w:t>
      </w:r>
      <w:r>
        <w:rPr>
          <w:spacing w:val="-9"/>
          <w:sz w:val="16"/>
        </w:rPr>
        <w:t xml:space="preserve"> </w:t>
      </w:r>
      <w:r>
        <w:rPr>
          <w:sz w:val="16"/>
        </w:rPr>
        <w:t>septiembre</w:t>
      </w:r>
      <w:r>
        <w:rPr>
          <w:spacing w:val="-9"/>
          <w:sz w:val="16"/>
        </w:rPr>
        <w:t xml:space="preserve"> </w:t>
      </w:r>
      <w:r>
        <w:rPr>
          <w:sz w:val="16"/>
        </w:rPr>
        <w:t>de</w:t>
      </w:r>
      <w:r>
        <w:rPr>
          <w:spacing w:val="-8"/>
          <w:sz w:val="16"/>
        </w:rPr>
        <w:t xml:space="preserve"> </w:t>
      </w:r>
      <w:r>
        <w:rPr>
          <w:sz w:val="16"/>
        </w:rPr>
        <w:t>2012. Serie C No.</w:t>
      </w:r>
      <w:r>
        <w:rPr>
          <w:spacing w:val="-4"/>
          <w:sz w:val="16"/>
        </w:rPr>
        <w:t xml:space="preserve"> </w:t>
      </w:r>
      <w:r>
        <w:rPr>
          <w:sz w:val="16"/>
        </w:rPr>
        <w:t>249.</w:t>
      </w:r>
    </w:p>
    <w:p w14:paraId="14A2733B" w14:textId="77777777" w:rsidR="00467FCA" w:rsidRDefault="001B68EB">
      <w:pPr>
        <w:tabs>
          <w:tab w:val="left" w:pos="1166"/>
        </w:tabs>
        <w:ind w:left="458" w:right="271"/>
        <w:jc w:val="both"/>
        <w:rPr>
          <w:i/>
          <w:sz w:val="16"/>
        </w:rPr>
      </w:pPr>
      <w:bookmarkStart w:id="858" w:name="_bookmark777"/>
      <w:bookmarkEnd w:id="858"/>
      <w:r>
        <w:rPr>
          <w:position w:val="6"/>
          <w:sz w:val="10"/>
        </w:rPr>
        <w:t>95</w:t>
      </w:r>
      <w:r>
        <w:rPr>
          <w:position w:val="6"/>
          <w:sz w:val="10"/>
        </w:rPr>
        <w:tab/>
      </w:r>
      <w:r>
        <w:rPr>
          <w:sz w:val="16"/>
        </w:rPr>
        <w:t>Como</w:t>
      </w:r>
      <w:r>
        <w:rPr>
          <w:spacing w:val="-10"/>
          <w:sz w:val="16"/>
        </w:rPr>
        <w:t xml:space="preserve"> </w:t>
      </w:r>
      <w:r>
        <w:rPr>
          <w:sz w:val="16"/>
        </w:rPr>
        <w:t>lo</w:t>
      </w:r>
      <w:r>
        <w:rPr>
          <w:spacing w:val="-9"/>
          <w:sz w:val="16"/>
        </w:rPr>
        <w:t xml:space="preserve"> </w:t>
      </w:r>
      <w:r>
        <w:rPr>
          <w:sz w:val="16"/>
        </w:rPr>
        <w:t>he</w:t>
      </w:r>
      <w:r>
        <w:rPr>
          <w:spacing w:val="-11"/>
          <w:sz w:val="16"/>
        </w:rPr>
        <w:t xml:space="preserve"> </w:t>
      </w:r>
      <w:r>
        <w:rPr>
          <w:sz w:val="16"/>
        </w:rPr>
        <w:t>indicado</w:t>
      </w:r>
      <w:r>
        <w:rPr>
          <w:spacing w:val="-11"/>
          <w:sz w:val="16"/>
        </w:rPr>
        <w:t xml:space="preserve"> </w:t>
      </w:r>
      <w:r>
        <w:rPr>
          <w:sz w:val="16"/>
        </w:rPr>
        <w:t>con</w:t>
      </w:r>
      <w:r>
        <w:rPr>
          <w:spacing w:val="-12"/>
          <w:sz w:val="16"/>
        </w:rPr>
        <w:t xml:space="preserve"> </w:t>
      </w:r>
      <w:r>
        <w:rPr>
          <w:sz w:val="16"/>
        </w:rPr>
        <w:t>anterioridad,</w:t>
      </w:r>
      <w:r>
        <w:rPr>
          <w:spacing w:val="-11"/>
          <w:sz w:val="16"/>
        </w:rPr>
        <w:t xml:space="preserve"> </w:t>
      </w:r>
      <w:r>
        <w:rPr>
          <w:sz w:val="16"/>
        </w:rPr>
        <w:t>si</w:t>
      </w:r>
      <w:r>
        <w:rPr>
          <w:spacing w:val="-13"/>
          <w:sz w:val="16"/>
        </w:rPr>
        <w:t xml:space="preserve"> </w:t>
      </w:r>
      <w:r>
        <w:rPr>
          <w:sz w:val="16"/>
        </w:rPr>
        <w:t>bien</w:t>
      </w:r>
      <w:r>
        <w:rPr>
          <w:spacing w:val="-14"/>
          <w:sz w:val="16"/>
        </w:rPr>
        <w:t xml:space="preserve"> </w:t>
      </w:r>
      <w:r>
        <w:rPr>
          <w:sz w:val="16"/>
        </w:rPr>
        <w:t>en</w:t>
      </w:r>
      <w:r>
        <w:rPr>
          <w:spacing w:val="-13"/>
          <w:sz w:val="16"/>
        </w:rPr>
        <w:t xml:space="preserve"> </w:t>
      </w:r>
      <w:r>
        <w:rPr>
          <w:sz w:val="16"/>
        </w:rPr>
        <w:t>el</w:t>
      </w:r>
      <w:r>
        <w:rPr>
          <w:spacing w:val="-13"/>
          <w:sz w:val="16"/>
        </w:rPr>
        <w:t xml:space="preserve"> </w:t>
      </w:r>
      <w:r>
        <w:rPr>
          <w:sz w:val="16"/>
        </w:rPr>
        <w:t>caso</w:t>
      </w:r>
      <w:r>
        <w:rPr>
          <w:spacing w:val="-10"/>
          <w:sz w:val="16"/>
        </w:rPr>
        <w:t xml:space="preserve"> </w:t>
      </w:r>
      <w:r>
        <w:rPr>
          <w:sz w:val="16"/>
        </w:rPr>
        <w:t>la</w:t>
      </w:r>
      <w:r>
        <w:rPr>
          <w:spacing w:val="-13"/>
          <w:sz w:val="16"/>
        </w:rPr>
        <w:t xml:space="preserve"> </w:t>
      </w:r>
      <w:r>
        <w:rPr>
          <w:sz w:val="16"/>
        </w:rPr>
        <w:t>Corte</w:t>
      </w:r>
      <w:r>
        <w:rPr>
          <w:spacing w:val="-11"/>
          <w:sz w:val="16"/>
        </w:rPr>
        <w:t xml:space="preserve"> </w:t>
      </w:r>
      <w:r>
        <w:rPr>
          <w:sz w:val="16"/>
        </w:rPr>
        <w:t>IDH</w:t>
      </w:r>
      <w:r>
        <w:rPr>
          <w:spacing w:val="-13"/>
          <w:sz w:val="16"/>
        </w:rPr>
        <w:t xml:space="preserve"> </w:t>
      </w:r>
      <w:r>
        <w:rPr>
          <w:sz w:val="16"/>
        </w:rPr>
        <w:t>analizó</w:t>
      </w:r>
      <w:r>
        <w:rPr>
          <w:spacing w:val="-9"/>
          <w:sz w:val="16"/>
        </w:rPr>
        <w:t xml:space="preserve"> </w:t>
      </w:r>
      <w:r>
        <w:rPr>
          <w:sz w:val="16"/>
        </w:rPr>
        <w:t>la</w:t>
      </w:r>
      <w:r>
        <w:rPr>
          <w:spacing w:val="-14"/>
          <w:sz w:val="16"/>
        </w:rPr>
        <w:t xml:space="preserve"> </w:t>
      </w:r>
      <w:r>
        <w:rPr>
          <w:sz w:val="16"/>
        </w:rPr>
        <w:t>pobreza</w:t>
      </w:r>
      <w:r>
        <w:rPr>
          <w:spacing w:val="-13"/>
          <w:sz w:val="16"/>
        </w:rPr>
        <w:t xml:space="preserve"> </w:t>
      </w:r>
      <w:r>
        <w:rPr>
          <w:sz w:val="16"/>
        </w:rPr>
        <w:t>dentro</w:t>
      </w:r>
      <w:r>
        <w:rPr>
          <w:spacing w:val="-12"/>
          <w:sz w:val="16"/>
        </w:rPr>
        <w:t xml:space="preserve"> </w:t>
      </w:r>
      <w:r>
        <w:rPr>
          <w:sz w:val="16"/>
        </w:rPr>
        <w:t>de</w:t>
      </w:r>
      <w:r>
        <w:rPr>
          <w:spacing w:val="-12"/>
          <w:sz w:val="16"/>
        </w:rPr>
        <w:t xml:space="preserve"> </w:t>
      </w:r>
      <w:r>
        <w:rPr>
          <w:sz w:val="16"/>
        </w:rPr>
        <w:t>la</w:t>
      </w:r>
      <w:r>
        <w:rPr>
          <w:spacing w:val="-13"/>
          <w:sz w:val="16"/>
        </w:rPr>
        <w:t xml:space="preserve"> </w:t>
      </w:r>
      <w:r>
        <w:rPr>
          <w:sz w:val="16"/>
        </w:rPr>
        <w:t xml:space="preserve">categoría de “posición económica”, ello no obsta que en el futuro también pueda ser analizada dentro de otras categorías, ya que “[…] la pobreza, al ser un fenómeno multidimensional puede ser abordada desde diferentes categorías de protección a la luz del </w:t>
      </w:r>
      <w:r>
        <w:rPr>
          <w:sz w:val="16"/>
        </w:rPr>
        <w:t xml:space="preserve">artículo 1.1 de la Convención Americana; como lo puede[n] ser […] el origen social o bien mediante otra condición social”. Véanse el párr. 50 del voto emitido en el caso </w:t>
      </w:r>
      <w:r>
        <w:rPr>
          <w:i/>
          <w:sz w:val="16"/>
        </w:rPr>
        <w:t xml:space="preserve">Trabajadores de la Hacienda Brasil Verde Vs. Brasil. </w:t>
      </w:r>
      <w:r>
        <w:rPr>
          <w:sz w:val="16"/>
        </w:rPr>
        <w:t>En este sentido, la Relatora Espe</w:t>
      </w:r>
      <w:r>
        <w:rPr>
          <w:sz w:val="16"/>
        </w:rPr>
        <w:t xml:space="preserve">cial sobre la Extrema Pobreza y los Derechos Humanos, ha expresado que </w:t>
      </w:r>
      <w:r>
        <w:rPr>
          <w:i/>
          <w:sz w:val="16"/>
        </w:rPr>
        <w:t>“En su jurisprudencia, el Comité de Derechos Humanos ha reiterado que la lista de motivos de discriminación no es exhaustiva y que la frase “cualquier otra condición social” no está suj</w:t>
      </w:r>
      <w:r>
        <w:rPr>
          <w:i/>
          <w:sz w:val="16"/>
        </w:rPr>
        <w:t xml:space="preserve">eta a una sola interpretación. </w:t>
      </w:r>
      <w:r>
        <w:rPr>
          <w:sz w:val="16"/>
        </w:rPr>
        <w:t xml:space="preserve">[Por otro lado,] </w:t>
      </w:r>
      <w:r>
        <w:rPr>
          <w:i/>
          <w:sz w:val="16"/>
          <w:u w:val="single"/>
        </w:rPr>
        <w:t>en el artículo 1 de la Convención Americana sobre Derechos Humanos se incluye de</w:t>
      </w:r>
      <w:r>
        <w:rPr>
          <w:i/>
          <w:sz w:val="16"/>
        </w:rPr>
        <w:t xml:space="preserve"> </w:t>
      </w:r>
      <w:r>
        <w:rPr>
          <w:i/>
          <w:sz w:val="16"/>
          <w:u w:val="single"/>
        </w:rPr>
        <w:t>manera expresa la [posición] económica y [origen] social entre los motivos de discriminación. Otros motivos</w:t>
      </w:r>
      <w:r>
        <w:rPr>
          <w:i/>
          <w:sz w:val="16"/>
        </w:rPr>
        <w:t xml:space="preserve"> </w:t>
      </w:r>
      <w:r>
        <w:rPr>
          <w:i/>
          <w:sz w:val="16"/>
          <w:u w:val="single"/>
        </w:rPr>
        <w:t>prohibidos de discr</w:t>
      </w:r>
      <w:r>
        <w:rPr>
          <w:i/>
          <w:sz w:val="16"/>
          <w:u w:val="single"/>
        </w:rPr>
        <w:t>iminación, como “la posición económica” e incluso “el origen social”, también pueden ser</w:t>
      </w:r>
      <w:r>
        <w:rPr>
          <w:i/>
          <w:sz w:val="16"/>
        </w:rPr>
        <w:t xml:space="preserve"> </w:t>
      </w:r>
      <w:r>
        <w:rPr>
          <w:i/>
          <w:sz w:val="16"/>
          <w:u w:val="single"/>
        </w:rPr>
        <w:t>pertinentes</w:t>
      </w:r>
      <w:r>
        <w:rPr>
          <w:i/>
          <w:spacing w:val="-13"/>
          <w:sz w:val="16"/>
          <w:u w:val="single"/>
        </w:rPr>
        <w:t xml:space="preserve"> </w:t>
      </w:r>
      <w:r>
        <w:rPr>
          <w:i/>
          <w:sz w:val="16"/>
          <w:u w:val="single"/>
        </w:rPr>
        <w:t>al</w:t>
      </w:r>
      <w:r>
        <w:rPr>
          <w:i/>
          <w:spacing w:val="-14"/>
          <w:sz w:val="16"/>
          <w:u w:val="single"/>
        </w:rPr>
        <w:t xml:space="preserve"> </w:t>
      </w:r>
      <w:r>
        <w:rPr>
          <w:i/>
          <w:sz w:val="16"/>
          <w:u w:val="single"/>
        </w:rPr>
        <w:t>abordar</w:t>
      </w:r>
      <w:r>
        <w:rPr>
          <w:i/>
          <w:spacing w:val="-11"/>
          <w:sz w:val="16"/>
          <w:u w:val="single"/>
        </w:rPr>
        <w:t xml:space="preserve"> </w:t>
      </w:r>
      <w:r>
        <w:rPr>
          <w:i/>
          <w:sz w:val="16"/>
          <w:u w:val="single"/>
        </w:rPr>
        <w:t>cuestiones</w:t>
      </w:r>
      <w:r>
        <w:rPr>
          <w:i/>
          <w:spacing w:val="-13"/>
          <w:sz w:val="16"/>
          <w:u w:val="single"/>
        </w:rPr>
        <w:t xml:space="preserve"> </w:t>
      </w:r>
      <w:r>
        <w:rPr>
          <w:i/>
          <w:sz w:val="16"/>
          <w:u w:val="single"/>
        </w:rPr>
        <w:t>relacionadas</w:t>
      </w:r>
      <w:r>
        <w:rPr>
          <w:i/>
          <w:spacing w:val="-14"/>
          <w:sz w:val="16"/>
          <w:u w:val="single"/>
        </w:rPr>
        <w:t xml:space="preserve"> </w:t>
      </w:r>
      <w:r>
        <w:rPr>
          <w:i/>
          <w:sz w:val="16"/>
          <w:u w:val="single"/>
        </w:rPr>
        <w:t>con</w:t>
      </w:r>
      <w:r>
        <w:rPr>
          <w:i/>
          <w:spacing w:val="-14"/>
          <w:sz w:val="16"/>
          <w:u w:val="single"/>
        </w:rPr>
        <w:t xml:space="preserve"> </w:t>
      </w:r>
      <w:r>
        <w:rPr>
          <w:i/>
          <w:sz w:val="16"/>
          <w:u w:val="single"/>
        </w:rPr>
        <w:t>la</w:t>
      </w:r>
      <w:r>
        <w:rPr>
          <w:i/>
          <w:spacing w:val="-15"/>
          <w:sz w:val="16"/>
          <w:u w:val="single"/>
        </w:rPr>
        <w:t xml:space="preserve"> </w:t>
      </w:r>
      <w:r>
        <w:rPr>
          <w:i/>
          <w:sz w:val="16"/>
          <w:u w:val="single"/>
        </w:rPr>
        <w:t>pobreza</w:t>
      </w:r>
      <w:r>
        <w:rPr>
          <w:i/>
          <w:position w:val="6"/>
          <w:sz w:val="10"/>
        </w:rPr>
        <w:t>”</w:t>
      </w:r>
      <w:r>
        <w:rPr>
          <w:i/>
          <w:spacing w:val="-9"/>
          <w:position w:val="6"/>
          <w:sz w:val="10"/>
        </w:rPr>
        <w:t xml:space="preserve"> </w:t>
      </w:r>
      <w:r>
        <w:rPr>
          <w:sz w:val="16"/>
        </w:rPr>
        <w:t>(énfasis</w:t>
      </w:r>
      <w:r>
        <w:rPr>
          <w:spacing w:val="-12"/>
          <w:sz w:val="16"/>
        </w:rPr>
        <w:t xml:space="preserve"> </w:t>
      </w:r>
      <w:r>
        <w:rPr>
          <w:sz w:val="16"/>
        </w:rPr>
        <w:t>añadido).</w:t>
      </w:r>
      <w:r>
        <w:rPr>
          <w:spacing w:val="-14"/>
          <w:sz w:val="16"/>
        </w:rPr>
        <w:t xml:space="preserve"> </w:t>
      </w:r>
      <w:r>
        <w:rPr>
          <w:sz w:val="16"/>
        </w:rPr>
        <w:t>ONU,</w:t>
      </w:r>
      <w:r>
        <w:rPr>
          <w:spacing w:val="-13"/>
          <w:sz w:val="16"/>
        </w:rPr>
        <w:t xml:space="preserve"> </w:t>
      </w:r>
      <w:r>
        <w:rPr>
          <w:i/>
          <w:sz w:val="16"/>
        </w:rPr>
        <w:t>Informe</w:t>
      </w:r>
      <w:r>
        <w:rPr>
          <w:i/>
          <w:spacing w:val="-15"/>
          <w:sz w:val="16"/>
        </w:rPr>
        <w:t xml:space="preserve"> </w:t>
      </w:r>
      <w:r>
        <w:rPr>
          <w:i/>
          <w:sz w:val="16"/>
        </w:rPr>
        <w:t>de</w:t>
      </w:r>
      <w:r>
        <w:rPr>
          <w:i/>
          <w:spacing w:val="-12"/>
          <w:sz w:val="16"/>
        </w:rPr>
        <w:t xml:space="preserve"> </w:t>
      </w:r>
      <w:r>
        <w:rPr>
          <w:i/>
          <w:sz w:val="16"/>
        </w:rPr>
        <w:t>la</w:t>
      </w:r>
      <w:r>
        <w:rPr>
          <w:i/>
          <w:spacing w:val="-16"/>
          <w:sz w:val="16"/>
        </w:rPr>
        <w:t xml:space="preserve"> </w:t>
      </w:r>
      <w:r>
        <w:rPr>
          <w:i/>
          <w:sz w:val="16"/>
        </w:rPr>
        <w:t>Relatora</w:t>
      </w:r>
      <w:r>
        <w:rPr>
          <w:i/>
          <w:spacing w:val="-13"/>
          <w:sz w:val="16"/>
        </w:rPr>
        <w:t xml:space="preserve"> </w:t>
      </w:r>
      <w:r>
        <w:rPr>
          <w:i/>
          <w:sz w:val="16"/>
        </w:rPr>
        <w:t>Especial</w:t>
      </w:r>
    </w:p>
    <w:p w14:paraId="372B4B04" w14:textId="77777777" w:rsidR="00467FCA" w:rsidRDefault="00467FCA">
      <w:pPr>
        <w:jc w:val="both"/>
        <w:rPr>
          <w:sz w:val="16"/>
        </w:rPr>
        <w:sectPr w:rsidR="00467FCA">
          <w:pgSz w:w="12240" w:h="15840"/>
          <w:pgMar w:top="1340" w:right="1140" w:bottom="920" w:left="960" w:header="0" w:footer="734" w:gutter="0"/>
          <w:cols w:space="720"/>
        </w:sectPr>
      </w:pPr>
    </w:p>
    <w:p w14:paraId="12E9B538" w14:textId="77777777" w:rsidR="00467FCA" w:rsidRDefault="001B68EB">
      <w:pPr>
        <w:spacing w:before="78"/>
        <w:ind w:left="1166" w:right="887"/>
        <w:jc w:val="both"/>
        <w:rPr>
          <w:sz w:val="16"/>
        </w:rPr>
      </w:pPr>
      <w:r>
        <w:rPr>
          <w:sz w:val="16"/>
        </w:rPr>
        <w:t>339. […] en el presente caso</w:t>
      </w:r>
      <w:r>
        <w:rPr>
          <w:sz w:val="16"/>
          <w:u w:val="single"/>
        </w:rPr>
        <w:t xml:space="preserve"> algunas características de particular victimización compartidas por los 85</w:t>
      </w:r>
      <w:r>
        <w:rPr>
          <w:spacing w:val="-10"/>
          <w:sz w:val="16"/>
          <w:u w:val="single"/>
        </w:rPr>
        <w:t xml:space="preserve"> </w:t>
      </w:r>
      <w:r>
        <w:rPr>
          <w:sz w:val="16"/>
          <w:u w:val="single"/>
        </w:rPr>
        <w:t>trabajadores</w:t>
      </w:r>
      <w:r>
        <w:rPr>
          <w:spacing w:val="-10"/>
          <w:sz w:val="16"/>
          <w:u w:val="single"/>
        </w:rPr>
        <w:t xml:space="preserve"> </w:t>
      </w:r>
      <w:r>
        <w:rPr>
          <w:sz w:val="16"/>
          <w:u w:val="single"/>
        </w:rPr>
        <w:t>rescatados</w:t>
      </w:r>
      <w:r>
        <w:rPr>
          <w:spacing w:val="-9"/>
          <w:sz w:val="16"/>
        </w:rPr>
        <w:t xml:space="preserve"> </w:t>
      </w:r>
      <w:r>
        <w:rPr>
          <w:sz w:val="16"/>
        </w:rPr>
        <w:t>el</w:t>
      </w:r>
      <w:r>
        <w:rPr>
          <w:spacing w:val="-13"/>
          <w:sz w:val="16"/>
        </w:rPr>
        <w:t xml:space="preserve"> </w:t>
      </w:r>
      <w:r>
        <w:rPr>
          <w:sz w:val="16"/>
        </w:rPr>
        <w:t>15</w:t>
      </w:r>
      <w:r>
        <w:rPr>
          <w:spacing w:val="-9"/>
          <w:sz w:val="16"/>
        </w:rPr>
        <w:t xml:space="preserve"> </w:t>
      </w:r>
      <w:r>
        <w:rPr>
          <w:sz w:val="16"/>
        </w:rPr>
        <w:t>de</w:t>
      </w:r>
      <w:r>
        <w:rPr>
          <w:spacing w:val="-7"/>
          <w:sz w:val="16"/>
        </w:rPr>
        <w:t xml:space="preserve"> </w:t>
      </w:r>
      <w:r>
        <w:rPr>
          <w:sz w:val="16"/>
        </w:rPr>
        <w:t>marzo</w:t>
      </w:r>
      <w:r>
        <w:rPr>
          <w:spacing w:val="-9"/>
          <w:sz w:val="16"/>
        </w:rPr>
        <w:t xml:space="preserve"> </w:t>
      </w:r>
      <w:r>
        <w:rPr>
          <w:sz w:val="16"/>
        </w:rPr>
        <w:t>de</w:t>
      </w:r>
      <w:r>
        <w:rPr>
          <w:spacing w:val="-10"/>
          <w:sz w:val="16"/>
        </w:rPr>
        <w:t xml:space="preserve"> </w:t>
      </w:r>
      <w:r>
        <w:rPr>
          <w:sz w:val="16"/>
        </w:rPr>
        <w:t>2000:</w:t>
      </w:r>
      <w:r>
        <w:rPr>
          <w:spacing w:val="-9"/>
          <w:sz w:val="16"/>
        </w:rPr>
        <w:t xml:space="preserve"> </w:t>
      </w:r>
      <w:r>
        <w:rPr>
          <w:i/>
          <w:sz w:val="16"/>
        </w:rPr>
        <w:t>[i)]</w:t>
      </w:r>
      <w:r>
        <w:rPr>
          <w:i/>
          <w:sz w:val="16"/>
          <w:u w:val="single"/>
        </w:rPr>
        <w:t>se</w:t>
      </w:r>
      <w:r>
        <w:rPr>
          <w:i/>
          <w:spacing w:val="-7"/>
          <w:sz w:val="16"/>
          <w:u w:val="single"/>
        </w:rPr>
        <w:t xml:space="preserve"> </w:t>
      </w:r>
      <w:r>
        <w:rPr>
          <w:i/>
          <w:sz w:val="16"/>
          <w:u w:val="single"/>
        </w:rPr>
        <w:t>encontraban</w:t>
      </w:r>
      <w:r>
        <w:rPr>
          <w:i/>
          <w:spacing w:val="-11"/>
          <w:sz w:val="16"/>
          <w:u w:val="single"/>
        </w:rPr>
        <w:t xml:space="preserve"> </w:t>
      </w:r>
      <w:r>
        <w:rPr>
          <w:i/>
          <w:sz w:val="16"/>
          <w:u w:val="single"/>
        </w:rPr>
        <w:t>en</w:t>
      </w:r>
      <w:r>
        <w:rPr>
          <w:i/>
          <w:spacing w:val="-8"/>
          <w:sz w:val="16"/>
          <w:u w:val="single"/>
        </w:rPr>
        <w:t xml:space="preserve"> </w:t>
      </w:r>
      <w:r>
        <w:rPr>
          <w:i/>
          <w:sz w:val="16"/>
          <w:u w:val="single"/>
        </w:rPr>
        <w:t>una</w:t>
      </w:r>
      <w:r>
        <w:rPr>
          <w:i/>
          <w:spacing w:val="-10"/>
          <w:sz w:val="16"/>
          <w:u w:val="single"/>
        </w:rPr>
        <w:t xml:space="preserve"> </w:t>
      </w:r>
      <w:r>
        <w:rPr>
          <w:i/>
          <w:sz w:val="16"/>
          <w:u w:val="single"/>
        </w:rPr>
        <w:t>situación</w:t>
      </w:r>
      <w:r>
        <w:rPr>
          <w:i/>
          <w:spacing w:val="-8"/>
          <w:sz w:val="16"/>
          <w:u w:val="single"/>
        </w:rPr>
        <w:t xml:space="preserve"> </w:t>
      </w:r>
      <w:r>
        <w:rPr>
          <w:i/>
          <w:sz w:val="16"/>
          <w:u w:val="single"/>
        </w:rPr>
        <w:t>de</w:t>
      </w:r>
      <w:r>
        <w:rPr>
          <w:i/>
          <w:spacing w:val="-7"/>
          <w:sz w:val="16"/>
          <w:u w:val="single"/>
        </w:rPr>
        <w:t xml:space="preserve"> </w:t>
      </w:r>
      <w:r>
        <w:rPr>
          <w:i/>
          <w:sz w:val="16"/>
          <w:u w:val="single"/>
        </w:rPr>
        <w:t>pobreza</w:t>
      </w:r>
      <w:r>
        <w:rPr>
          <w:i/>
          <w:sz w:val="16"/>
        </w:rPr>
        <w:t>, [ii)]</w:t>
      </w:r>
      <w:r>
        <w:rPr>
          <w:i/>
          <w:sz w:val="16"/>
          <w:u w:val="single"/>
        </w:rPr>
        <w:t>provenían</w:t>
      </w:r>
      <w:r>
        <w:rPr>
          <w:i/>
          <w:spacing w:val="-6"/>
          <w:sz w:val="16"/>
          <w:u w:val="single"/>
        </w:rPr>
        <w:t xml:space="preserve"> </w:t>
      </w:r>
      <w:r>
        <w:rPr>
          <w:i/>
          <w:sz w:val="16"/>
          <w:u w:val="single"/>
        </w:rPr>
        <w:t>de</w:t>
      </w:r>
      <w:r>
        <w:rPr>
          <w:i/>
          <w:spacing w:val="-5"/>
          <w:sz w:val="16"/>
          <w:u w:val="single"/>
        </w:rPr>
        <w:t xml:space="preserve"> </w:t>
      </w:r>
      <w:r>
        <w:rPr>
          <w:i/>
          <w:sz w:val="16"/>
          <w:u w:val="single"/>
        </w:rPr>
        <w:t>las</w:t>
      </w:r>
      <w:r>
        <w:rPr>
          <w:i/>
          <w:spacing w:val="-7"/>
          <w:sz w:val="16"/>
          <w:u w:val="single"/>
        </w:rPr>
        <w:t xml:space="preserve"> </w:t>
      </w:r>
      <w:r>
        <w:rPr>
          <w:i/>
          <w:sz w:val="16"/>
          <w:u w:val="single"/>
        </w:rPr>
        <w:t>regiones</w:t>
      </w:r>
      <w:r>
        <w:rPr>
          <w:i/>
          <w:spacing w:val="-10"/>
          <w:sz w:val="16"/>
          <w:u w:val="single"/>
        </w:rPr>
        <w:t xml:space="preserve"> </w:t>
      </w:r>
      <w:r>
        <w:rPr>
          <w:i/>
          <w:sz w:val="16"/>
          <w:u w:val="single"/>
        </w:rPr>
        <w:t>más</w:t>
      </w:r>
      <w:r>
        <w:rPr>
          <w:i/>
          <w:spacing w:val="-5"/>
          <w:sz w:val="16"/>
          <w:u w:val="single"/>
        </w:rPr>
        <w:t xml:space="preserve"> </w:t>
      </w:r>
      <w:r>
        <w:rPr>
          <w:i/>
          <w:sz w:val="16"/>
          <w:u w:val="single"/>
        </w:rPr>
        <w:t>pobres</w:t>
      </w:r>
      <w:r>
        <w:rPr>
          <w:i/>
          <w:spacing w:val="-7"/>
          <w:sz w:val="16"/>
          <w:u w:val="single"/>
        </w:rPr>
        <w:t xml:space="preserve"> </w:t>
      </w:r>
      <w:r>
        <w:rPr>
          <w:i/>
          <w:sz w:val="16"/>
          <w:u w:val="single"/>
        </w:rPr>
        <w:t>del</w:t>
      </w:r>
      <w:r>
        <w:rPr>
          <w:i/>
          <w:spacing w:val="-6"/>
          <w:sz w:val="16"/>
          <w:u w:val="single"/>
        </w:rPr>
        <w:t xml:space="preserve"> </w:t>
      </w:r>
      <w:r>
        <w:rPr>
          <w:i/>
          <w:sz w:val="16"/>
          <w:u w:val="single"/>
        </w:rPr>
        <w:t>país</w:t>
      </w:r>
      <w:r>
        <w:rPr>
          <w:i/>
          <w:sz w:val="16"/>
        </w:rPr>
        <w:t>,</w:t>
      </w:r>
      <w:r>
        <w:rPr>
          <w:i/>
          <w:spacing w:val="-6"/>
          <w:sz w:val="16"/>
        </w:rPr>
        <w:t xml:space="preserve"> </w:t>
      </w:r>
      <w:r>
        <w:rPr>
          <w:i/>
          <w:sz w:val="16"/>
        </w:rPr>
        <w:t>[iii)]</w:t>
      </w:r>
      <w:r>
        <w:rPr>
          <w:i/>
          <w:sz w:val="16"/>
          <w:u w:val="single"/>
        </w:rPr>
        <w:t>con</w:t>
      </w:r>
      <w:r>
        <w:rPr>
          <w:i/>
          <w:spacing w:val="-6"/>
          <w:sz w:val="16"/>
          <w:u w:val="single"/>
        </w:rPr>
        <w:t xml:space="preserve"> </w:t>
      </w:r>
      <w:r>
        <w:rPr>
          <w:i/>
          <w:sz w:val="16"/>
          <w:u w:val="single"/>
        </w:rPr>
        <w:t>menor</w:t>
      </w:r>
      <w:r>
        <w:rPr>
          <w:i/>
          <w:spacing w:val="-7"/>
          <w:sz w:val="16"/>
          <w:u w:val="single"/>
        </w:rPr>
        <w:t xml:space="preserve"> </w:t>
      </w:r>
      <w:r>
        <w:rPr>
          <w:i/>
          <w:sz w:val="16"/>
          <w:u w:val="single"/>
        </w:rPr>
        <w:t>desarrollo</w:t>
      </w:r>
      <w:r>
        <w:rPr>
          <w:i/>
          <w:spacing w:val="-4"/>
          <w:sz w:val="16"/>
          <w:u w:val="single"/>
        </w:rPr>
        <w:t xml:space="preserve"> </w:t>
      </w:r>
      <w:r>
        <w:rPr>
          <w:i/>
          <w:sz w:val="16"/>
          <w:u w:val="single"/>
        </w:rPr>
        <w:t>humano</w:t>
      </w:r>
      <w:r>
        <w:rPr>
          <w:i/>
          <w:spacing w:val="-7"/>
          <w:sz w:val="16"/>
          <w:u w:val="single"/>
        </w:rPr>
        <w:t xml:space="preserve"> </w:t>
      </w:r>
      <w:r>
        <w:rPr>
          <w:i/>
          <w:sz w:val="16"/>
          <w:u w:val="single"/>
        </w:rPr>
        <w:t>y</w:t>
      </w:r>
      <w:r>
        <w:rPr>
          <w:i/>
          <w:spacing w:val="-6"/>
          <w:sz w:val="16"/>
          <w:u w:val="single"/>
        </w:rPr>
        <w:t xml:space="preserve"> </w:t>
      </w:r>
      <w:r>
        <w:rPr>
          <w:i/>
          <w:sz w:val="16"/>
          <w:u w:val="single"/>
        </w:rPr>
        <w:t>perspectivas de</w:t>
      </w:r>
      <w:r>
        <w:rPr>
          <w:i/>
          <w:spacing w:val="-2"/>
          <w:sz w:val="16"/>
          <w:u w:val="single"/>
        </w:rPr>
        <w:t xml:space="preserve"> </w:t>
      </w:r>
      <w:r>
        <w:rPr>
          <w:i/>
          <w:sz w:val="16"/>
          <w:u w:val="single"/>
        </w:rPr>
        <w:t>trabajo</w:t>
      </w:r>
      <w:r>
        <w:rPr>
          <w:i/>
          <w:spacing w:val="-4"/>
          <w:sz w:val="16"/>
          <w:u w:val="single"/>
        </w:rPr>
        <w:t xml:space="preserve"> </w:t>
      </w:r>
      <w:r>
        <w:rPr>
          <w:i/>
          <w:sz w:val="16"/>
          <w:u w:val="single"/>
        </w:rPr>
        <w:t>y</w:t>
      </w:r>
      <w:r>
        <w:rPr>
          <w:i/>
          <w:spacing w:val="-4"/>
          <w:sz w:val="16"/>
          <w:u w:val="single"/>
        </w:rPr>
        <w:t xml:space="preserve"> </w:t>
      </w:r>
      <w:r>
        <w:rPr>
          <w:i/>
          <w:sz w:val="16"/>
          <w:u w:val="single"/>
        </w:rPr>
        <w:t>empleo</w:t>
      </w:r>
      <w:r>
        <w:rPr>
          <w:i/>
          <w:sz w:val="16"/>
        </w:rPr>
        <w:t>,</w:t>
      </w:r>
      <w:r>
        <w:rPr>
          <w:i/>
          <w:spacing w:val="-3"/>
          <w:sz w:val="16"/>
        </w:rPr>
        <w:t xml:space="preserve"> </w:t>
      </w:r>
      <w:r>
        <w:rPr>
          <w:i/>
          <w:sz w:val="16"/>
        </w:rPr>
        <w:t>[iv)]</w:t>
      </w:r>
      <w:r>
        <w:rPr>
          <w:i/>
          <w:spacing w:val="-4"/>
          <w:sz w:val="16"/>
        </w:rPr>
        <w:t xml:space="preserve"> </w:t>
      </w:r>
      <w:r>
        <w:rPr>
          <w:i/>
          <w:sz w:val="16"/>
        </w:rPr>
        <w:t>eran</w:t>
      </w:r>
      <w:r>
        <w:rPr>
          <w:i/>
          <w:spacing w:val="-3"/>
          <w:sz w:val="16"/>
        </w:rPr>
        <w:t xml:space="preserve"> </w:t>
      </w:r>
      <w:r>
        <w:rPr>
          <w:i/>
          <w:sz w:val="16"/>
        </w:rPr>
        <w:t>analfabetas,</w:t>
      </w:r>
      <w:r>
        <w:rPr>
          <w:i/>
          <w:spacing w:val="-3"/>
          <w:sz w:val="16"/>
        </w:rPr>
        <w:t xml:space="preserve"> </w:t>
      </w:r>
      <w:r>
        <w:rPr>
          <w:i/>
          <w:sz w:val="16"/>
        </w:rPr>
        <w:t>y</w:t>
      </w:r>
      <w:r>
        <w:rPr>
          <w:i/>
          <w:spacing w:val="-4"/>
          <w:sz w:val="16"/>
        </w:rPr>
        <w:t xml:space="preserve"> </w:t>
      </w:r>
      <w:r>
        <w:rPr>
          <w:i/>
          <w:sz w:val="16"/>
        </w:rPr>
        <w:t>[v)]</w:t>
      </w:r>
      <w:r>
        <w:rPr>
          <w:i/>
          <w:spacing w:val="-4"/>
          <w:sz w:val="16"/>
        </w:rPr>
        <w:t xml:space="preserve"> </w:t>
      </w:r>
      <w:r>
        <w:rPr>
          <w:i/>
          <w:sz w:val="16"/>
        </w:rPr>
        <w:t>tenían</w:t>
      </w:r>
      <w:r>
        <w:rPr>
          <w:i/>
          <w:spacing w:val="-2"/>
          <w:sz w:val="16"/>
        </w:rPr>
        <w:t xml:space="preserve"> </w:t>
      </w:r>
      <w:r>
        <w:rPr>
          <w:i/>
          <w:sz w:val="16"/>
        </w:rPr>
        <w:t>poca</w:t>
      </w:r>
      <w:r>
        <w:rPr>
          <w:i/>
          <w:spacing w:val="-6"/>
          <w:sz w:val="16"/>
        </w:rPr>
        <w:t xml:space="preserve"> </w:t>
      </w:r>
      <w:r>
        <w:rPr>
          <w:i/>
          <w:sz w:val="16"/>
        </w:rPr>
        <w:t>o</w:t>
      </w:r>
      <w:r>
        <w:rPr>
          <w:i/>
          <w:spacing w:val="-2"/>
          <w:sz w:val="16"/>
        </w:rPr>
        <w:t xml:space="preserve"> </w:t>
      </w:r>
      <w:r>
        <w:rPr>
          <w:i/>
          <w:sz w:val="16"/>
        </w:rPr>
        <w:t>nula</w:t>
      </w:r>
      <w:r>
        <w:rPr>
          <w:i/>
          <w:spacing w:val="-3"/>
          <w:sz w:val="16"/>
        </w:rPr>
        <w:t xml:space="preserve"> </w:t>
      </w:r>
      <w:r>
        <w:rPr>
          <w:i/>
          <w:sz w:val="16"/>
        </w:rPr>
        <w:t>escolarización</w:t>
      </w:r>
      <w:r>
        <w:rPr>
          <w:i/>
          <w:spacing w:val="-3"/>
          <w:sz w:val="16"/>
        </w:rPr>
        <w:t xml:space="preserve"> </w:t>
      </w:r>
      <w:r>
        <w:rPr>
          <w:i/>
          <w:sz w:val="16"/>
        </w:rPr>
        <w:t>[…].</w:t>
      </w:r>
      <w:r>
        <w:rPr>
          <w:i/>
          <w:spacing w:val="-6"/>
          <w:sz w:val="16"/>
        </w:rPr>
        <w:t xml:space="preserve"> </w:t>
      </w:r>
      <w:r>
        <w:rPr>
          <w:sz w:val="16"/>
        </w:rPr>
        <w:t>Lo</w:t>
      </w:r>
      <w:r>
        <w:rPr>
          <w:spacing w:val="-2"/>
          <w:sz w:val="16"/>
        </w:rPr>
        <w:t xml:space="preserve"> </w:t>
      </w:r>
      <w:r>
        <w:rPr>
          <w:sz w:val="16"/>
        </w:rPr>
        <w:t xml:space="preserve">anterior los colocaba en una situación que los hacía más susceptibles de ser reclutados mediante falsas promesas </w:t>
      </w:r>
      <w:r>
        <w:rPr>
          <w:sz w:val="16"/>
        </w:rPr>
        <w:t>y engaños</w:t>
      </w:r>
      <w:hyperlink w:anchor="_bookmark778" w:history="1">
        <w:r>
          <w:rPr>
            <w:position w:val="6"/>
            <w:sz w:val="10"/>
          </w:rPr>
          <w:t>96</w:t>
        </w:r>
      </w:hyperlink>
      <w:r>
        <w:rPr>
          <w:position w:val="6"/>
          <w:sz w:val="10"/>
        </w:rPr>
        <w:t xml:space="preserve"> </w:t>
      </w:r>
      <w:r>
        <w:rPr>
          <w:sz w:val="16"/>
        </w:rPr>
        <w:t>(énfasis</w:t>
      </w:r>
      <w:r>
        <w:rPr>
          <w:spacing w:val="-19"/>
          <w:sz w:val="16"/>
        </w:rPr>
        <w:t xml:space="preserve"> </w:t>
      </w:r>
      <w:r>
        <w:rPr>
          <w:sz w:val="16"/>
        </w:rPr>
        <w:t>añadido).</w:t>
      </w:r>
    </w:p>
    <w:p w14:paraId="2AD9D3E0" w14:textId="77777777" w:rsidR="00467FCA" w:rsidRDefault="00467FCA">
      <w:pPr>
        <w:pStyle w:val="Textoindependiente"/>
      </w:pPr>
    </w:p>
    <w:p w14:paraId="01A20A80" w14:textId="77777777" w:rsidR="00467FCA" w:rsidRDefault="001B68EB">
      <w:pPr>
        <w:pStyle w:val="Prrafodelista"/>
        <w:numPr>
          <w:ilvl w:val="0"/>
          <w:numId w:val="7"/>
        </w:numPr>
        <w:tabs>
          <w:tab w:val="left" w:pos="1167"/>
        </w:tabs>
        <w:ind w:right="277" w:firstLine="0"/>
        <w:jc w:val="both"/>
        <w:rPr>
          <w:sz w:val="20"/>
        </w:rPr>
      </w:pPr>
      <w:r>
        <w:rPr>
          <w:sz w:val="20"/>
        </w:rPr>
        <w:t>En</w:t>
      </w:r>
      <w:r>
        <w:rPr>
          <w:spacing w:val="-10"/>
          <w:sz w:val="20"/>
        </w:rPr>
        <w:t xml:space="preserve"> </w:t>
      </w:r>
      <w:r>
        <w:rPr>
          <w:sz w:val="20"/>
        </w:rPr>
        <w:t>aquel</w:t>
      </w:r>
      <w:r>
        <w:rPr>
          <w:spacing w:val="-11"/>
          <w:sz w:val="20"/>
        </w:rPr>
        <w:t xml:space="preserve"> </w:t>
      </w:r>
      <w:r>
        <w:rPr>
          <w:sz w:val="20"/>
        </w:rPr>
        <w:t>caso,</w:t>
      </w:r>
      <w:r>
        <w:rPr>
          <w:spacing w:val="-8"/>
          <w:sz w:val="20"/>
        </w:rPr>
        <w:t xml:space="preserve"> </w:t>
      </w:r>
      <w:r>
        <w:rPr>
          <w:sz w:val="20"/>
        </w:rPr>
        <w:t>como</w:t>
      </w:r>
      <w:r>
        <w:rPr>
          <w:spacing w:val="-10"/>
          <w:sz w:val="20"/>
        </w:rPr>
        <w:t xml:space="preserve"> </w:t>
      </w:r>
      <w:r>
        <w:rPr>
          <w:sz w:val="20"/>
        </w:rPr>
        <w:t>se</w:t>
      </w:r>
      <w:r>
        <w:rPr>
          <w:spacing w:val="-9"/>
          <w:sz w:val="20"/>
        </w:rPr>
        <w:t xml:space="preserve"> </w:t>
      </w:r>
      <w:r>
        <w:rPr>
          <w:sz w:val="20"/>
        </w:rPr>
        <w:t>expresó</w:t>
      </w:r>
      <w:r>
        <w:rPr>
          <w:spacing w:val="-10"/>
          <w:sz w:val="20"/>
        </w:rPr>
        <w:t xml:space="preserve"> </w:t>
      </w:r>
      <w:r>
        <w:rPr>
          <w:sz w:val="20"/>
        </w:rPr>
        <w:t>en</w:t>
      </w:r>
      <w:r>
        <w:rPr>
          <w:spacing w:val="-9"/>
          <w:sz w:val="20"/>
        </w:rPr>
        <w:t xml:space="preserve"> </w:t>
      </w:r>
      <w:r>
        <w:rPr>
          <w:sz w:val="20"/>
        </w:rPr>
        <w:t>la</w:t>
      </w:r>
      <w:r>
        <w:rPr>
          <w:spacing w:val="-8"/>
          <w:sz w:val="20"/>
        </w:rPr>
        <w:t xml:space="preserve"> </w:t>
      </w:r>
      <w:r>
        <w:rPr>
          <w:sz w:val="20"/>
        </w:rPr>
        <w:t>sentencia,</w:t>
      </w:r>
      <w:r>
        <w:rPr>
          <w:spacing w:val="-9"/>
          <w:sz w:val="20"/>
        </w:rPr>
        <w:t xml:space="preserve"> </w:t>
      </w:r>
      <w:r>
        <w:rPr>
          <w:sz w:val="20"/>
        </w:rPr>
        <w:t>la</w:t>
      </w:r>
      <w:r>
        <w:rPr>
          <w:spacing w:val="-10"/>
          <w:sz w:val="20"/>
        </w:rPr>
        <w:t xml:space="preserve"> </w:t>
      </w:r>
      <w:r>
        <w:rPr>
          <w:sz w:val="20"/>
        </w:rPr>
        <w:t>pobreza</w:t>
      </w:r>
      <w:r>
        <w:rPr>
          <w:spacing w:val="-9"/>
          <w:sz w:val="20"/>
        </w:rPr>
        <w:t xml:space="preserve"> </w:t>
      </w:r>
      <w:r>
        <w:rPr>
          <w:sz w:val="20"/>
        </w:rPr>
        <w:t>“[era]</w:t>
      </w:r>
      <w:r>
        <w:rPr>
          <w:spacing w:val="-7"/>
          <w:sz w:val="20"/>
        </w:rPr>
        <w:t xml:space="preserve"> </w:t>
      </w:r>
      <w:r>
        <w:rPr>
          <w:sz w:val="20"/>
        </w:rPr>
        <w:t>el</w:t>
      </w:r>
      <w:r>
        <w:rPr>
          <w:spacing w:val="-11"/>
          <w:sz w:val="20"/>
        </w:rPr>
        <w:t xml:space="preserve"> </w:t>
      </w:r>
      <w:r>
        <w:rPr>
          <w:sz w:val="20"/>
        </w:rPr>
        <w:t>principal</w:t>
      </w:r>
      <w:r>
        <w:rPr>
          <w:spacing w:val="-10"/>
          <w:sz w:val="20"/>
        </w:rPr>
        <w:t xml:space="preserve"> </w:t>
      </w:r>
      <w:r>
        <w:rPr>
          <w:sz w:val="20"/>
        </w:rPr>
        <w:t>factor</w:t>
      </w:r>
      <w:r>
        <w:rPr>
          <w:spacing w:val="-10"/>
          <w:sz w:val="20"/>
        </w:rPr>
        <w:t xml:space="preserve"> </w:t>
      </w:r>
      <w:r>
        <w:rPr>
          <w:sz w:val="20"/>
        </w:rPr>
        <w:t>de la esclavitud contemporánea en Brasil, por aumentar la vulnerabilidad de significativa parte de</w:t>
      </w:r>
      <w:r>
        <w:rPr>
          <w:spacing w:val="-21"/>
          <w:sz w:val="20"/>
        </w:rPr>
        <w:t xml:space="preserve"> </w:t>
      </w:r>
      <w:r>
        <w:rPr>
          <w:sz w:val="20"/>
        </w:rPr>
        <w:t>la</w:t>
      </w:r>
      <w:r>
        <w:rPr>
          <w:spacing w:val="-16"/>
          <w:sz w:val="20"/>
        </w:rPr>
        <w:t xml:space="preserve"> </w:t>
      </w:r>
      <w:r>
        <w:rPr>
          <w:sz w:val="20"/>
        </w:rPr>
        <w:t>población,</w:t>
      </w:r>
      <w:r>
        <w:rPr>
          <w:spacing w:val="-20"/>
          <w:sz w:val="20"/>
        </w:rPr>
        <w:t xml:space="preserve"> </w:t>
      </w:r>
      <w:r>
        <w:rPr>
          <w:sz w:val="20"/>
        </w:rPr>
        <w:t>haciéndoles</w:t>
      </w:r>
      <w:r>
        <w:rPr>
          <w:spacing w:val="-20"/>
          <w:sz w:val="20"/>
        </w:rPr>
        <w:t xml:space="preserve"> </w:t>
      </w:r>
      <w:r>
        <w:rPr>
          <w:sz w:val="20"/>
        </w:rPr>
        <w:t>presa</w:t>
      </w:r>
      <w:r>
        <w:rPr>
          <w:spacing w:val="-20"/>
          <w:sz w:val="20"/>
        </w:rPr>
        <w:t xml:space="preserve"> </w:t>
      </w:r>
      <w:r>
        <w:rPr>
          <w:sz w:val="20"/>
        </w:rPr>
        <w:t>fácil</w:t>
      </w:r>
      <w:r>
        <w:rPr>
          <w:spacing w:val="-19"/>
          <w:sz w:val="20"/>
        </w:rPr>
        <w:t xml:space="preserve"> </w:t>
      </w:r>
      <w:r>
        <w:rPr>
          <w:sz w:val="20"/>
        </w:rPr>
        <w:t>de</w:t>
      </w:r>
      <w:r>
        <w:rPr>
          <w:spacing w:val="-20"/>
          <w:sz w:val="20"/>
        </w:rPr>
        <w:t xml:space="preserve"> </w:t>
      </w:r>
      <w:r>
        <w:rPr>
          <w:sz w:val="20"/>
        </w:rPr>
        <w:t>los</w:t>
      </w:r>
      <w:r>
        <w:rPr>
          <w:spacing w:val="-18"/>
          <w:sz w:val="20"/>
        </w:rPr>
        <w:t xml:space="preserve"> </w:t>
      </w:r>
      <w:r>
        <w:rPr>
          <w:sz w:val="20"/>
        </w:rPr>
        <w:t>reclutadores</w:t>
      </w:r>
      <w:r>
        <w:rPr>
          <w:spacing w:val="-17"/>
          <w:sz w:val="20"/>
        </w:rPr>
        <w:t xml:space="preserve"> </w:t>
      </w:r>
      <w:r>
        <w:rPr>
          <w:sz w:val="20"/>
        </w:rPr>
        <w:t>para</w:t>
      </w:r>
      <w:r>
        <w:rPr>
          <w:spacing w:val="-17"/>
          <w:sz w:val="20"/>
        </w:rPr>
        <w:t xml:space="preserve"> </w:t>
      </w:r>
      <w:r>
        <w:rPr>
          <w:sz w:val="20"/>
        </w:rPr>
        <w:t>trabajo</w:t>
      </w:r>
      <w:r>
        <w:rPr>
          <w:spacing w:val="-15"/>
          <w:sz w:val="20"/>
        </w:rPr>
        <w:t xml:space="preserve"> </w:t>
      </w:r>
      <w:r>
        <w:rPr>
          <w:sz w:val="20"/>
        </w:rPr>
        <w:t>esclavo”</w:t>
      </w:r>
      <w:hyperlink w:anchor="_bookmark779" w:history="1">
        <w:r>
          <w:rPr>
            <w:position w:val="7"/>
            <w:sz w:val="13"/>
          </w:rPr>
          <w:t>97</w:t>
        </w:r>
      </w:hyperlink>
      <w:r>
        <w:rPr>
          <w:sz w:val="20"/>
        </w:rPr>
        <w:t>.</w:t>
      </w:r>
      <w:r>
        <w:rPr>
          <w:spacing w:val="-20"/>
          <w:sz w:val="20"/>
        </w:rPr>
        <w:t xml:space="preserve"> </w:t>
      </w:r>
      <w:r>
        <w:rPr>
          <w:sz w:val="20"/>
        </w:rPr>
        <w:t>La</w:t>
      </w:r>
      <w:r>
        <w:rPr>
          <w:spacing w:val="-16"/>
          <w:sz w:val="20"/>
        </w:rPr>
        <w:t xml:space="preserve"> </w:t>
      </w:r>
      <w:r>
        <w:rPr>
          <w:sz w:val="20"/>
        </w:rPr>
        <w:t>pobreza, no se enmarca como un fenómeno</w:t>
      </w:r>
      <w:r>
        <w:rPr>
          <w:sz w:val="20"/>
        </w:rPr>
        <w:t>, sino como una afectación de especial vulnerabilidad en donde</w:t>
      </w:r>
      <w:r>
        <w:rPr>
          <w:spacing w:val="-13"/>
          <w:sz w:val="20"/>
        </w:rPr>
        <w:t xml:space="preserve"> </w:t>
      </w:r>
      <w:r>
        <w:rPr>
          <w:sz w:val="20"/>
        </w:rPr>
        <w:t>la</w:t>
      </w:r>
      <w:r>
        <w:rPr>
          <w:spacing w:val="-11"/>
          <w:sz w:val="20"/>
        </w:rPr>
        <w:t xml:space="preserve"> </w:t>
      </w:r>
      <w:r>
        <w:rPr>
          <w:sz w:val="20"/>
        </w:rPr>
        <w:t>situación</w:t>
      </w:r>
      <w:r>
        <w:rPr>
          <w:spacing w:val="-10"/>
          <w:sz w:val="20"/>
        </w:rPr>
        <w:t xml:space="preserve"> </w:t>
      </w:r>
      <w:r>
        <w:rPr>
          <w:sz w:val="20"/>
        </w:rPr>
        <w:t>de</w:t>
      </w:r>
      <w:r>
        <w:rPr>
          <w:spacing w:val="-13"/>
          <w:sz w:val="20"/>
        </w:rPr>
        <w:t xml:space="preserve"> </w:t>
      </w:r>
      <w:r>
        <w:rPr>
          <w:sz w:val="20"/>
        </w:rPr>
        <w:t>exclusión</w:t>
      </w:r>
      <w:r>
        <w:rPr>
          <w:spacing w:val="-9"/>
          <w:sz w:val="20"/>
        </w:rPr>
        <w:t xml:space="preserve"> </w:t>
      </w:r>
      <w:r>
        <w:rPr>
          <w:sz w:val="20"/>
        </w:rPr>
        <w:t>y</w:t>
      </w:r>
      <w:r>
        <w:rPr>
          <w:spacing w:val="-12"/>
          <w:sz w:val="20"/>
        </w:rPr>
        <w:t xml:space="preserve"> </w:t>
      </w:r>
      <w:r>
        <w:rPr>
          <w:sz w:val="20"/>
        </w:rPr>
        <w:t>marginación,</w:t>
      </w:r>
      <w:r>
        <w:rPr>
          <w:spacing w:val="-11"/>
          <w:sz w:val="20"/>
        </w:rPr>
        <w:t xml:space="preserve"> </w:t>
      </w:r>
      <w:r>
        <w:rPr>
          <w:sz w:val="20"/>
        </w:rPr>
        <w:t>aunada</w:t>
      </w:r>
      <w:r>
        <w:rPr>
          <w:spacing w:val="-11"/>
          <w:sz w:val="20"/>
        </w:rPr>
        <w:t xml:space="preserve"> </w:t>
      </w:r>
      <w:r>
        <w:rPr>
          <w:sz w:val="20"/>
        </w:rPr>
        <w:t>a</w:t>
      </w:r>
      <w:r>
        <w:rPr>
          <w:spacing w:val="-11"/>
          <w:sz w:val="20"/>
        </w:rPr>
        <w:t xml:space="preserve"> </w:t>
      </w:r>
      <w:r>
        <w:rPr>
          <w:sz w:val="20"/>
        </w:rPr>
        <w:t>la</w:t>
      </w:r>
      <w:r>
        <w:rPr>
          <w:spacing w:val="-10"/>
          <w:sz w:val="20"/>
        </w:rPr>
        <w:t xml:space="preserve"> </w:t>
      </w:r>
      <w:r>
        <w:rPr>
          <w:sz w:val="20"/>
        </w:rPr>
        <w:t>denegación</w:t>
      </w:r>
      <w:r>
        <w:rPr>
          <w:spacing w:val="-8"/>
          <w:sz w:val="20"/>
        </w:rPr>
        <w:t xml:space="preserve"> </w:t>
      </w:r>
      <w:r>
        <w:rPr>
          <w:sz w:val="20"/>
        </w:rPr>
        <w:t>estructural</w:t>
      </w:r>
      <w:r>
        <w:rPr>
          <w:spacing w:val="-11"/>
          <w:sz w:val="20"/>
        </w:rPr>
        <w:t xml:space="preserve"> </w:t>
      </w:r>
      <w:r>
        <w:rPr>
          <w:sz w:val="20"/>
        </w:rPr>
        <w:t>y</w:t>
      </w:r>
      <w:r>
        <w:rPr>
          <w:spacing w:val="-9"/>
          <w:sz w:val="20"/>
        </w:rPr>
        <w:t xml:space="preserve"> </w:t>
      </w:r>
      <w:r>
        <w:rPr>
          <w:sz w:val="20"/>
        </w:rPr>
        <w:t>sistémica (con antecedentes históricos para el caso particular), tuvieron una afectación en los 85 trabajadores rescatados de la Hacienda Brasil</w:t>
      </w:r>
      <w:r>
        <w:rPr>
          <w:spacing w:val="-2"/>
          <w:sz w:val="20"/>
        </w:rPr>
        <w:t xml:space="preserve"> </w:t>
      </w:r>
      <w:r>
        <w:rPr>
          <w:sz w:val="20"/>
        </w:rPr>
        <w:t>Verde</w:t>
      </w:r>
      <w:hyperlink w:anchor="_bookmark780" w:history="1">
        <w:r>
          <w:rPr>
            <w:position w:val="7"/>
            <w:sz w:val="13"/>
          </w:rPr>
          <w:t>98</w:t>
        </w:r>
      </w:hyperlink>
      <w:r>
        <w:rPr>
          <w:sz w:val="20"/>
        </w:rPr>
        <w:t>.</w:t>
      </w:r>
    </w:p>
    <w:p w14:paraId="407986F9" w14:textId="77777777" w:rsidR="00467FCA" w:rsidRDefault="00467FCA">
      <w:pPr>
        <w:pStyle w:val="Textoindependiente"/>
        <w:spacing w:before="11"/>
        <w:rPr>
          <w:sz w:val="19"/>
        </w:rPr>
      </w:pPr>
    </w:p>
    <w:p w14:paraId="113BDA53" w14:textId="77777777" w:rsidR="00467FCA" w:rsidRDefault="001B68EB">
      <w:pPr>
        <w:pStyle w:val="Prrafodelista"/>
        <w:numPr>
          <w:ilvl w:val="0"/>
          <w:numId w:val="7"/>
        </w:numPr>
        <w:tabs>
          <w:tab w:val="left" w:pos="1167"/>
        </w:tabs>
        <w:ind w:right="274" w:firstLine="0"/>
        <w:jc w:val="both"/>
        <w:rPr>
          <w:sz w:val="20"/>
        </w:rPr>
      </w:pPr>
      <w:r>
        <w:rPr>
          <w:sz w:val="20"/>
        </w:rPr>
        <w:t xml:space="preserve">Un aspecto que no fue abordado en el caso de los </w:t>
      </w:r>
      <w:r>
        <w:rPr>
          <w:i/>
          <w:sz w:val="20"/>
        </w:rPr>
        <w:t xml:space="preserve">Trabajadores de la Hacienda Brasil Verde </w:t>
      </w:r>
      <w:r>
        <w:rPr>
          <w:sz w:val="20"/>
        </w:rPr>
        <w:t>(por las particularidades del caso), pero que consideré oportuno hacer mención en el año 2016, era cómo la condición económica podría interseccionarse con otras categ</w:t>
      </w:r>
      <w:r>
        <w:rPr>
          <w:sz w:val="20"/>
        </w:rPr>
        <w:t>orías o factores de vulnerabilidad analizados por la jurisprudencia de la Corte IDH. Así, estimé</w:t>
      </w:r>
      <w:r>
        <w:rPr>
          <w:spacing w:val="-32"/>
          <w:sz w:val="20"/>
        </w:rPr>
        <w:t xml:space="preserve"> </w:t>
      </w:r>
      <w:r>
        <w:rPr>
          <w:sz w:val="20"/>
        </w:rPr>
        <w:t>que:</w:t>
      </w:r>
    </w:p>
    <w:p w14:paraId="40335541" w14:textId="77777777" w:rsidR="00467FCA" w:rsidRDefault="00467FCA">
      <w:pPr>
        <w:pStyle w:val="Textoindependiente"/>
        <w:spacing w:before="1"/>
      </w:pPr>
    </w:p>
    <w:p w14:paraId="0C5A73CF" w14:textId="77777777" w:rsidR="00467FCA" w:rsidRDefault="001B68EB">
      <w:pPr>
        <w:ind w:left="1166" w:right="1030"/>
        <w:jc w:val="both"/>
        <w:rPr>
          <w:sz w:val="16"/>
        </w:rPr>
      </w:pPr>
      <w:r>
        <w:rPr>
          <w:sz w:val="16"/>
        </w:rPr>
        <w:t>53. […] es de resaltar que cuando, además de la situación pobreza medie otra categoría, como la raza, género, el origen étnico, etc., dispuesta en el art</w:t>
      </w:r>
      <w:r>
        <w:rPr>
          <w:sz w:val="16"/>
        </w:rPr>
        <w:t>ículo 1.1 se estará ante una situación […] interseccional de discriminación, atendiendo a las particularidades del caso y cómo ha sido reconocido en otras ocasiones por el Tribunal Interamericano</w:t>
      </w:r>
      <w:hyperlink w:anchor="_bookmark781" w:history="1">
        <w:r>
          <w:rPr>
            <w:position w:val="6"/>
            <w:sz w:val="10"/>
          </w:rPr>
          <w:t>99</w:t>
        </w:r>
      </w:hyperlink>
      <w:r>
        <w:rPr>
          <w:sz w:val="16"/>
        </w:rPr>
        <w:t>.</w:t>
      </w:r>
    </w:p>
    <w:p w14:paraId="051993D6" w14:textId="77777777" w:rsidR="00467FCA" w:rsidRDefault="00467FCA">
      <w:pPr>
        <w:pStyle w:val="Textoindependiente"/>
      </w:pPr>
    </w:p>
    <w:p w14:paraId="41491EBB" w14:textId="77777777" w:rsidR="00467FCA" w:rsidRDefault="001B68EB">
      <w:pPr>
        <w:pStyle w:val="Prrafodelista"/>
        <w:numPr>
          <w:ilvl w:val="0"/>
          <w:numId w:val="7"/>
        </w:numPr>
        <w:tabs>
          <w:tab w:val="left" w:pos="1167"/>
        </w:tabs>
        <w:ind w:right="272" w:firstLine="0"/>
        <w:jc w:val="both"/>
        <w:rPr>
          <w:sz w:val="20"/>
        </w:rPr>
      </w:pPr>
      <w:r>
        <w:rPr>
          <w:sz w:val="20"/>
        </w:rPr>
        <w:t>El señalamiento anterior</w:t>
      </w:r>
      <w:r>
        <w:rPr>
          <w:sz w:val="20"/>
        </w:rPr>
        <w:t>, es correlativo a lo señalado por la Relatora Especial para la Extrema</w:t>
      </w:r>
      <w:r>
        <w:rPr>
          <w:spacing w:val="-6"/>
          <w:sz w:val="20"/>
        </w:rPr>
        <w:t xml:space="preserve"> </w:t>
      </w:r>
      <w:r>
        <w:rPr>
          <w:sz w:val="20"/>
        </w:rPr>
        <w:t>Pobreza</w:t>
      </w:r>
      <w:r>
        <w:rPr>
          <w:spacing w:val="-8"/>
          <w:sz w:val="20"/>
        </w:rPr>
        <w:t xml:space="preserve"> </w:t>
      </w:r>
      <w:r>
        <w:rPr>
          <w:sz w:val="20"/>
        </w:rPr>
        <w:t>y</w:t>
      </w:r>
      <w:r>
        <w:rPr>
          <w:spacing w:val="-6"/>
          <w:sz w:val="20"/>
        </w:rPr>
        <w:t xml:space="preserve"> </w:t>
      </w:r>
      <w:r>
        <w:rPr>
          <w:sz w:val="20"/>
        </w:rPr>
        <w:t>los</w:t>
      </w:r>
      <w:r>
        <w:rPr>
          <w:spacing w:val="-5"/>
          <w:sz w:val="20"/>
        </w:rPr>
        <w:t xml:space="preserve"> </w:t>
      </w:r>
      <w:r>
        <w:rPr>
          <w:sz w:val="20"/>
        </w:rPr>
        <w:t>Derechos</w:t>
      </w:r>
      <w:r>
        <w:rPr>
          <w:spacing w:val="-6"/>
          <w:sz w:val="20"/>
        </w:rPr>
        <w:t xml:space="preserve"> </w:t>
      </w:r>
      <w:r>
        <w:rPr>
          <w:sz w:val="20"/>
        </w:rPr>
        <w:t>Humanos,</w:t>
      </w:r>
      <w:r>
        <w:rPr>
          <w:spacing w:val="-6"/>
          <w:sz w:val="20"/>
        </w:rPr>
        <w:t xml:space="preserve"> </w:t>
      </w:r>
      <w:r>
        <w:rPr>
          <w:sz w:val="20"/>
        </w:rPr>
        <w:t>quien</w:t>
      </w:r>
      <w:r>
        <w:rPr>
          <w:spacing w:val="-7"/>
          <w:sz w:val="20"/>
        </w:rPr>
        <w:t xml:space="preserve"> </w:t>
      </w:r>
      <w:r>
        <w:rPr>
          <w:sz w:val="20"/>
        </w:rPr>
        <w:t>consideró</w:t>
      </w:r>
      <w:r>
        <w:rPr>
          <w:spacing w:val="-9"/>
          <w:sz w:val="20"/>
        </w:rPr>
        <w:t xml:space="preserve"> </w:t>
      </w:r>
      <w:r>
        <w:rPr>
          <w:sz w:val="20"/>
        </w:rPr>
        <w:t>que</w:t>
      </w:r>
      <w:r>
        <w:rPr>
          <w:spacing w:val="-10"/>
          <w:sz w:val="20"/>
        </w:rPr>
        <w:t xml:space="preserve"> </w:t>
      </w:r>
      <w:r>
        <w:rPr>
          <w:sz w:val="20"/>
        </w:rPr>
        <w:t>“las</w:t>
      </w:r>
      <w:r>
        <w:rPr>
          <w:spacing w:val="-9"/>
          <w:sz w:val="20"/>
        </w:rPr>
        <w:t xml:space="preserve"> </w:t>
      </w:r>
      <w:r>
        <w:rPr>
          <w:sz w:val="20"/>
        </w:rPr>
        <w:t>personas</w:t>
      </w:r>
      <w:r>
        <w:rPr>
          <w:spacing w:val="-6"/>
          <w:sz w:val="20"/>
        </w:rPr>
        <w:t xml:space="preserve"> </w:t>
      </w:r>
      <w:r>
        <w:rPr>
          <w:sz w:val="20"/>
        </w:rPr>
        <w:t>que</w:t>
      </w:r>
      <w:r>
        <w:rPr>
          <w:spacing w:val="-7"/>
          <w:sz w:val="20"/>
        </w:rPr>
        <w:t xml:space="preserve"> </w:t>
      </w:r>
      <w:r>
        <w:rPr>
          <w:sz w:val="20"/>
        </w:rPr>
        <w:t>viven</w:t>
      </w:r>
      <w:r>
        <w:rPr>
          <w:spacing w:val="-5"/>
          <w:sz w:val="20"/>
        </w:rPr>
        <w:t xml:space="preserve"> </w:t>
      </w:r>
      <w:r>
        <w:rPr>
          <w:sz w:val="20"/>
        </w:rPr>
        <w:t>en</w:t>
      </w:r>
      <w:r>
        <w:rPr>
          <w:spacing w:val="-7"/>
          <w:sz w:val="20"/>
        </w:rPr>
        <w:t xml:space="preserve"> </w:t>
      </w:r>
      <w:r>
        <w:rPr>
          <w:sz w:val="20"/>
        </w:rPr>
        <w:t>la pobreza son objeto de discriminación por la propia pobreza; y muchas veces también porque pertenecen a otros sectores desfavorecidos de la población, como los pueblos indígenas, las personas con discapacidad, las minorías étnicas y las personas que vive</w:t>
      </w:r>
      <w:r>
        <w:rPr>
          <w:sz w:val="20"/>
        </w:rPr>
        <w:t>n con el VIH/SIDA, entre</w:t>
      </w:r>
      <w:r>
        <w:rPr>
          <w:spacing w:val="-4"/>
          <w:sz w:val="20"/>
        </w:rPr>
        <w:t xml:space="preserve"> </w:t>
      </w:r>
      <w:r>
        <w:rPr>
          <w:sz w:val="20"/>
        </w:rPr>
        <w:t>otros”</w:t>
      </w:r>
      <w:hyperlink w:anchor="_bookmark782" w:history="1">
        <w:r>
          <w:rPr>
            <w:position w:val="7"/>
            <w:sz w:val="13"/>
          </w:rPr>
          <w:t>100</w:t>
        </w:r>
      </w:hyperlink>
      <w:r>
        <w:rPr>
          <w:sz w:val="20"/>
        </w:rPr>
        <w:t>.</w:t>
      </w:r>
      <w:r>
        <w:rPr>
          <w:spacing w:val="-8"/>
          <w:sz w:val="20"/>
        </w:rPr>
        <w:t xml:space="preserve"> </w:t>
      </w:r>
      <w:r>
        <w:rPr>
          <w:sz w:val="20"/>
        </w:rPr>
        <w:t>Es</w:t>
      </w:r>
      <w:r>
        <w:rPr>
          <w:spacing w:val="-6"/>
          <w:sz w:val="20"/>
        </w:rPr>
        <w:t xml:space="preserve"> </w:t>
      </w:r>
      <w:r>
        <w:rPr>
          <w:sz w:val="20"/>
        </w:rPr>
        <w:t>decir,</w:t>
      </w:r>
      <w:r>
        <w:rPr>
          <w:spacing w:val="-6"/>
          <w:sz w:val="20"/>
        </w:rPr>
        <w:t xml:space="preserve"> </w:t>
      </w:r>
      <w:r>
        <w:rPr>
          <w:sz w:val="20"/>
        </w:rPr>
        <w:t>si</w:t>
      </w:r>
      <w:r>
        <w:rPr>
          <w:spacing w:val="-8"/>
          <w:sz w:val="20"/>
        </w:rPr>
        <w:t xml:space="preserve"> </w:t>
      </w:r>
      <w:r>
        <w:rPr>
          <w:sz w:val="20"/>
        </w:rPr>
        <w:t>bien</w:t>
      </w:r>
      <w:r>
        <w:rPr>
          <w:spacing w:val="-7"/>
          <w:sz w:val="20"/>
        </w:rPr>
        <w:t xml:space="preserve"> </w:t>
      </w:r>
      <w:r>
        <w:rPr>
          <w:sz w:val="20"/>
        </w:rPr>
        <w:t>generalmente</w:t>
      </w:r>
      <w:r>
        <w:rPr>
          <w:spacing w:val="-9"/>
          <w:sz w:val="20"/>
        </w:rPr>
        <w:t xml:space="preserve"> </w:t>
      </w:r>
      <w:r>
        <w:rPr>
          <w:sz w:val="20"/>
        </w:rPr>
        <w:t>las</w:t>
      </w:r>
      <w:r>
        <w:rPr>
          <w:spacing w:val="-3"/>
          <w:sz w:val="20"/>
        </w:rPr>
        <w:t xml:space="preserve"> </w:t>
      </w:r>
      <w:r>
        <w:rPr>
          <w:sz w:val="20"/>
        </w:rPr>
        <w:t>personas</w:t>
      </w:r>
      <w:r>
        <w:rPr>
          <w:spacing w:val="-6"/>
          <w:sz w:val="20"/>
        </w:rPr>
        <w:t xml:space="preserve"> </w:t>
      </w:r>
      <w:r>
        <w:rPr>
          <w:sz w:val="20"/>
        </w:rPr>
        <w:t>que</w:t>
      </w:r>
      <w:r>
        <w:rPr>
          <w:spacing w:val="-6"/>
          <w:sz w:val="20"/>
        </w:rPr>
        <w:t xml:space="preserve"> </w:t>
      </w:r>
      <w:r>
        <w:rPr>
          <w:sz w:val="20"/>
        </w:rPr>
        <w:t>se</w:t>
      </w:r>
      <w:r>
        <w:rPr>
          <w:spacing w:val="-7"/>
          <w:sz w:val="20"/>
        </w:rPr>
        <w:t xml:space="preserve"> </w:t>
      </w:r>
      <w:r>
        <w:rPr>
          <w:sz w:val="20"/>
        </w:rPr>
        <w:t>encuentran</w:t>
      </w:r>
      <w:r>
        <w:rPr>
          <w:spacing w:val="-7"/>
          <w:sz w:val="20"/>
        </w:rPr>
        <w:t xml:space="preserve"> </w:t>
      </w:r>
      <w:r>
        <w:rPr>
          <w:sz w:val="20"/>
        </w:rPr>
        <w:t>en</w:t>
      </w:r>
      <w:r>
        <w:rPr>
          <w:spacing w:val="-4"/>
          <w:sz w:val="20"/>
        </w:rPr>
        <w:t xml:space="preserve"> </w:t>
      </w:r>
      <w:r>
        <w:rPr>
          <w:sz w:val="20"/>
        </w:rPr>
        <w:t>condiciones de</w:t>
      </w:r>
      <w:r>
        <w:rPr>
          <w:spacing w:val="-13"/>
          <w:sz w:val="20"/>
        </w:rPr>
        <w:t xml:space="preserve"> </w:t>
      </w:r>
      <w:r>
        <w:rPr>
          <w:sz w:val="20"/>
        </w:rPr>
        <w:t>pobreza</w:t>
      </w:r>
      <w:r>
        <w:rPr>
          <w:spacing w:val="-9"/>
          <w:sz w:val="20"/>
        </w:rPr>
        <w:t xml:space="preserve"> </w:t>
      </w:r>
      <w:r>
        <w:rPr>
          <w:sz w:val="20"/>
        </w:rPr>
        <w:t>coincidentemente</w:t>
      </w:r>
      <w:r>
        <w:rPr>
          <w:spacing w:val="-12"/>
          <w:sz w:val="20"/>
        </w:rPr>
        <w:t xml:space="preserve"> </w:t>
      </w:r>
      <w:r>
        <w:rPr>
          <w:sz w:val="20"/>
        </w:rPr>
        <w:t>pueden</w:t>
      </w:r>
      <w:r>
        <w:rPr>
          <w:spacing w:val="-10"/>
          <w:sz w:val="20"/>
        </w:rPr>
        <w:t xml:space="preserve"> </w:t>
      </w:r>
      <w:r>
        <w:rPr>
          <w:sz w:val="20"/>
        </w:rPr>
        <w:t>pertenecer</w:t>
      </w:r>
      <w:r>
        <w:rPr>
          <w:spacing w:val="-10"/>
          <w:sz w:val="20"/>
        </w:rPr>
        <w:t xml:space="preserve"> </w:t>
      </w:r>
      <w:r>
        <w:rPr>
          <w:sz w:val="20"/>
        </w:rPr>
        <w:t>a</w:t>
      </w:r>
      <w:r>
        <w:rPr>
          <w:spacing w:val="-11"/>
          <w:sz w:val="20"/>
        </w:rPr>
        <w:t xml:space="preserve"> </w:t>
      </w:r>
      <w:r>
        <w:rPr>
          <w:sz w:val="20"/>
        </w:rPr>
        <w:t>otros</w:t>
      </w:r>
      <w:r>
        <w:rPr>
          <w:spacing w:val="-12"/>
          <w:sz w:val="20"/>
        </w:rPr>
        <w:t xml:space="preserve"> </w:t>
      </w:r>
      <w:r>
        <w:rPr>
          <w:sz w:val="20"/>
        </w:rPr>
        <w:t>sectores</w:t>
      </w:r>
      <w:r>
        <w:rPr>
          <w:spacing w:val="-12"/>
          <w:sz w:val="20"/>
        </w:rPr>
        <w:t xml:space="preserve"> </w:t>
      </w:r>
      <w:r>
        <w:rPr>
          <w:sz w:val="20"/>
        </w:rPr>
        <w:t>vulnerables</w:t>
      </w:r>
      <w:r>
        <w:rPr>
          <w:spacing w:val="-12"/>
          <w:sz w:val="20"/>
        </w:rPr>
        <w:t xml:space="preserve"> </w:t>
      </w:r>
      <w:r>
        <w:rPr>
          <w:sz w:val="20"/>
        </w:rPr>
        <w:t>(mujeres,</w:t>
      </w:r>
      <w:r>
        <w:rPr>
          <w:spacing w:val="-10"/>
          <w:sz w:val="20"/>
        </w:rPr>
        <w:t xml:space="preserve"> </w:t>
      </w:r>
      <w:r>
        <w:rPr>
          <w:sz w:val="20"/>
        </w:rPr>
        <w:t>niñas y niños, personas co</w:t>
      </w:r>
      <w:r>
        <w:rPr>
          <w:sz w:val="20"/>
        </w:rPr>
        <w:t>n discapacidad, indígenas, afrodescendientes, personas mayores, etc.), no excluye que las personas en situación de pobreza no se vinculen con otra</w:t>
      </w:r>
      <w:r>
        <w:rPr>
          <w:spacing w:val="-23"/>
          <w:sz w:val="20"/>
        </w:rPr>
        <w:t xml:space="preserve"> </w:t>
      </w:r>
      <w:r>
        <w:rPr>
          <w:sz w:val="20"/>
        </w:rPr>
        <w:t>categoría.</w:t>
      </w:r>
    </w:p>
    <w:p w14:paraId="2D2CC94C" w14:textId="77777777" w:rsidR="00467FCA" w:rsidRDefault="00467FCA">
      <w:pPr>
        <w:pStyle w:val="Textoindependiente"/>
      </w:pPr>
    </w:p>
    <w:p w14:paraId="2A332886" w14:textId="77777777" w:rsidR="00467FCA" w:rsidRDefault="001B68EB">
      <w:pPr>
        <w:pStyle w:val="Prrafodelista"/>
        <w:numPr>
          <w:ilvl w:val="0"/>
          <w:numId w:val="7"/>
        </w:numPr>
        <w:tabs>
          <w:tab w:val="left" w:pos="1167"/>
        </w:tabs>
        <w:spacing w:before="1"/>
        <w:ind w:right="275" w:firstLine="0"/>
        <w:jc w:val="both"/>
        <w:rPr>
          <w:sz w:val="20"/>
        </w:rPr>
      </w:pPr>
      <w:r>
        <w:rPr>
          <w:sz w:val="20"/>
        </w:rPr>
        <w:t>Así,</w:t>
      </w:r>
      <w:r>
        <w:rPr>
          <w:spacing w:val="-6"/>
          <w:sz w:val="20"/>
        </w:rPr>
        <w:t xml:space="preserve"> </w:t>
      </w:r>
      <w:r>
        <w:rPr>
          <w:sz w:val="20"/>
        </w:rPr>
        <w:t>desde</w:t>
      </w:r>
      <w:r>
        <w:rPr>
          <w:spacing w:val="-4"/>
          <w:sz w:val="20"/>
        </w:rPr>
        <w:t xml:space="preserve"> </w:t>
      </w:r>
      <w:r>
        <w:rPr>
          <w:sz w:val="20"/>
        </w:rPr>
        <w:t>que</w:t>
      </w:r>
      <w:r>
        <w:rPr>
          <w:spacing w:val="-7"/>
          <w:sz w:val="20"/>
        </w:rPr>
        <w:t xml:space="preserve"> </w:t>
      </w:r>
      <w:r>
        <w:rPr>
          <w:sz w:val="20"/>
        </w:rPr>
        <w:t>la</w:t>
      </w:r>
      <w:r>
        <w:rPr>
          <w:spacing w:val="-3"/>
          <w:sz w:val="20"/>
        </w:rPr>
        <w:t xml:space="preserve"> </w:t>
      </w:r>
      <w:r>
        <w:rPr>
          <w:sz w:val="20"/>
        </w:rPr>
        <w:t>pobreza</w:t>
      </w:r>
      <w:r>
        <w:rPr>
          <w:spacing w:val="-5"/>
          <w:sz w:val="20"/>
        </w:rPr>
        <w:t xml:space="preserve"> </w:t>
      </w:r>
      <w:r>
        <w:rPr>
          <w:sz w:val="20"/>
        </w:rPr>
        <w:t>o</w:t>
      </w:r>
      <w:r>
        <w:rPr>
          <w:spacing w:val="-6"/>
          <w:sz w:val="20"/>
        </w:rPr>
        <w:t xml:space="preserve"> </w:t>
      </w:r>
      <w:r>
        <w:rPr>
          <w:sz w:val="20"/>
        </w:rPr>
        <w:t>precaria</w:t>
      </w:r>
      <w:r>
        <w:rPr>
          <w:spacing w:val="-3"/>
          <w:sz w:val="20"/>
        </w:rPr>
        <w:t xml:space="preserve"> </w:t>
      </w:r>
      <w:r>
        <w:rPr>
          <w:sz w:val="20"/>
        </w:rPr>
        <w:t>situación</w:t>
      </w:r>
      <w:r>
        <w:rPr>
          <w:spacing w:val="-2"/>
          <w:sz w:val="20"/>
        </w:rPr>
        <w:t xml:space="preserve"> </w:t>
      </w:r>
      <w:r>
        <w:rPr>
          <w:sz w:val="20"/>
        </w:rPr>
        <w:t>económica</w:t>
      </w:r>
      <w:r>
        <w:rPr>
          <w:spacing w:val="-3"/>
          <w:sz w:val="20"/>
        </w:rPr>
        <w:t xml:space="preserve"> </w:t>
      </w:r>
      <w:r>
        <w:rPr>
          <w:sz w:val="20"/>
        </w:rPr>
        <w:t>en</w:t>
      </w:r>
      <w:r>
        <w:rPr>
          <w:spacing w:val="-4"/>
          <w:sz w:val="20"/>
        </w:rPr>
        <w:t xml:space="preserve"> </w:t>
      </w:r>
      <w:r>
        <w:rPr>
          <w:sz w:val="20"/>
        </w:rPr>
        <w:t>el</w:t>
      </w:r>
      <w:r>
        <w:rPr>
          <w:spacing w:val="-3"/>
          <w:sz w:val="20"/>
        </w:rPr>
        <w:t xml:space="preserve"> </w:t>
      </w:r>
      <w:r>
        <w:rPr>
          <w:sz w:val="20"/>
        </w:rPr>
        <w:t>que</w:t>
      </w:r>
      <w:r>
        <w:rPr>
          <w:spacing w:val="-6"/>
          <w:sz w:val="20"/>
        </w:rPr>
        <w:t xml:space="preserve"> </w:t>
      </w:r>
      <w:r>
        <w:rPr>
          <w:sz w:val="20"/>
        </w:rPr>
        <w:t>vivía</w:t>
      </w:r>
      <w:r>
        <w:rPr>
          <w:spacing w:val="-5"/>
          <w:sz w:val="20"/>
        </w:rPr>
        <w:t xml:space="preserve"> </w:t>
      </w:r>
      <w:r>
        <w:rPr>
          <w:sz w:val="20"/>
        </w:rPr>
        <w:t>una</w:t>
      </w:r>
      <w:r>
        <w:rPr>
          <w:spacing w:val="-5"/>
          <w:sz w:val="20"/>
        </w:rPr>
        <w:t xml:space="preserve"> </w:t>
      </w:r>
      <w:r>
        <w:rPr>
          <w:sz w:val="20"/>
        </w:rPr>
        <w:t>víctima</w:t>
      </w:r>
      <w:r>
        <w:rPr>
          <w:spacing w:val="-3"/>
          <w:sz w:val="20"/>
        </w:rPr>
        <w:t xml:space="preserve"> </w:t>
      </w:r>
      <w:r>
        <w:rPr>
          <w:sz w:val="20"/>
        </w:rPr>
        <w:t>o victimas</w:t>
      </w:r>
      <w:r>
        <w:rPr>
          <w:spacing w:val="-11"/>
          <w:sz w:val="20"/>
        </w:rPr>
        <w:t xml:space="preserve"> </w:t>
      </w:r>
      <w:r>
        <w:rPr>
          <w:sz w:val="20"/>
        </w:rPr>
        <w:t>se</w:t>
      </w:r>
      <w:r>
        <w:rPr>
          <w:spacing w:val="-14"/>
          <w:sz w:val="20"/>
        </w:rPr>
        <w:t xml:space="preserve"> </w:t>
      </w:r>
      <w:r>
        <w:rPr>
          <w:sz w:val="20"/>
        </w:rPr>
        <w:t>hizo</w:t>
      </w:r>
      <w:r>
        <w:rPr>
          <w:spacing w:val="-9"/>
          <w:sz w:val="20"/>
        </w:rPr>
        <w:t xml:space="preserve"> </w:t>
      </w:r>
      <w:r>
        <w:rPr>
          <w:sz w:val="20"/>
        </w:rPr>
        <w:t>visible</w:t>
      </w:r>
      <w:r>
        <w:rPr>
          <w:spacing w:val="-9"/>
          <w:sz w:val="20"/>
        </w:rPr>
        <w:t xml:space="preserve"> </w:t>
      </w:r>
      <w:r>
        <w:rPr>
          <w:sz w:val="20"/>
        </w:rPr>
        <w:t>mediante</w:t>
      </w:r>
      <w:r>
        <w:rPr>
          <w:spacing w:val="-11"/>
          <w:sz w:val="20"/>
        </w:rPr>
        <w:t xml:space="preserve"> </w:t>
      </w:r>
      <w:r>
        <w:rPr>
          <w:sz w:val="20"/>
        </w:rPr>
        <w:t>“la</w:t>
      </w:r>
      <w:r>
        <w:rPr>
          <w:spacing w:val="-13"/>
          <w:sz w:val="20"/>
        </w:rPr>
        <w:t xml:space="preserve"> </w:t>
      </w:r>
      <w:r>
        <w:rPr>
          <w:sz w:val="20"/>
        </w:rPr>
        <w:t>posición</w:t>
      </w:r>
      <w:r>
        <w:rPr>
          <w:spacing w:val="-9"/>
          <w:sz w:val="20"/>
        </w:rPr>
        <w:t xml:space="preserve"> </w:t>
      </w:r>
      <w:r>
        <w:rPr>
          <w:sz w:val="20"/>
        </w:rPr>
        <w:t>económica”</w:t>
      </w:r>
      <w:r>
        <w:rPr>
          <w:spacing w:val="-10"/>
          <w:sz w:val="20"/>
        </w:rPr>
        <w:t xml:space="preserve"> </w:t>
      </w:r>
      <w:r>
        <w:rPr>
          <w:sz w:val="20"/>
        </w:rPr>
        <w:t>en</w:t>
      </w:r>
      <w:r>
        <w:rPr>
          <w:spacing w:val="-12"/>
          <w:sz w:val="20"/>
        </w:rPr>
        <w:t xml:space="preserve"> </w:t>
      </w:r>
      <w:r>
        <w:rPr>
          <w:sz w:val="20"/>
        </w:rPr>
        <w:t>la</w:t>
      </w:r>
      <w:r>
        <w:rPr>
          <w:spacing w:val="-10"/>
          <w:sz w:val="20"/>
        </w:rPr>
        <w:t xml:space="preserve"> </w:t>
      </w:r>
      <w:r>
        <w:rPr>
          <w:sz w:val="20"/>
        </w:rPr>
        <w:t>jurisprudencia</w:t>
      </w:r>
      <w:r>
        <w:rPr>
          <w:spacing w:val="-13"/>
          <w:sz w:val="20"/>
        </w:rPr>
        <w:t xml:space="preserve"> </w:t>
      </w:r>
      <w:r>
        <w:rPr>
          <w:sz w:val="20"/>
        </w:rPr>
        <w:t>de</w:t>
      </w:r>
      <w:r>
        <w:rPr>
          <w:spacing w:val="-11"/>
          <w:sz w:val="20"/>
        </w:rPr>
        <w:t xml:space="preserve"> </w:t>
      </w:r>
      <w:r>
        <w:rPr>
          <w:sz w:val="20"/>
        </w:rPr>
        <w:t>la</w:t>
      </w:r>
      <w:r>
        <w:rPr>
          <w:spacing w:val="-10"/>
          <w:sz w:val="20"/>
        </w:rPr>
        <w:t xml:space="preserve"> </w:t>
      </w:r>
      <w:r>
        <w:rPr>
          <w:sz w:val="20"/>
        </w:rPr>
        <w:t>Corte</w:t>
      </w:r>
      <w:r>
        <w:rPr>
          <w:spacing w:val="-11"/>
          <w:sz w:val="20"/>
        </w:rPr>
        <w:t xml:space="preserve"> </w:t>
      </w:r>
      <w:r>
        <w:rPr>
          <w:sz w:val="20"/>
        </w:rPr>
        <w:t>IDH, la</w:t>
      </w:r>
      <w:r>
        <w:rPr>
          <w:spacing w:val="-12"/>
          <w:sz w:val="20"/>
        </w:rPr>
        <w:t xml:space="preserve"> </w:t>
      </w:r>
      <w:r>
        <w:rPr>
          <w:sz w:val="20"/>
        </w:rPr>
        <w:t>tendencia</w:t>
      </w:r>
      <w:r>
        <w:rPr>
          <w:spacing w:val="-11"/>
          <w:sz w:val="20"/>
        </w:rPr>
        <w:t xml:space="preserve"> </w:t>
      </w:r>
      <w:r>
        <w:rPr>
          <w:sz w:val="20"/>
        </w:rPr>
        <w:t>jurisprudencial</w:t>
      </w:r>
      <w:r>
        <w:rPr>
          <w:spacing w:val="-11"/>
          <w:sz w:val="20"/>
        </w:rPr>
        <w:t xml:space="preserve"> </w:t>
      </w:r>
      <w:r>
        <w:rPr>
          <w:sz w:val="20"/>
        </w:rPr>
        <w:t>ha</w:t>
      </w:r>
      <w:r>
        <w:rPr>
          <w:spacing w:val="-12"/>
          <w:sz w:val="20"/>
        </w:rPr>
        <w:t xml:space="preserve"> </w:t>
      </w:r>
      <w:r>
        <w:rPr>
          <w:sz w:val="20"/>
        </w:rPr>
        <w:t>sido</w:t>
      </w:r>
      <w:r>
        <w:rPr>
          <w:spacing w:val="-12"/>
          <w:sz w:val="20"/>
        </w:rPr>
        <w:t xml:space="preserve"> </w:t>
      </w:r>
      <w:r>
        <w:rPr>
          <w:sz w:val="20"/>
        </w:rPr>
        <w:t>analizarla</w:t>
      </w:r>
      <w:r>
        <w:rPr>
          <w:spacing w:val="-9"/>
          <w:sz w:val="20"/>
        </w:rPr>
        <w:t xml:space="preserve"> </w:t>
      </w:r>
      <w:r>
        <w:rPr>
          <w:sz w:val="20"/>
        </w:rPr>
        <w:t>de</w:t>
      </w:r>
      <w:r>
        <w:rPr>
          <w:spacing w:val="-11"/>
          <w:sz w:val="20"/>
        </w:rPr>
        <w:t xml:space="preserve"> </w:t>
      </w:r>
      <w:r>
        <w:rPr>
          <w:sz w:val="20"/>
        </w:rPr>
        <w:t>manera</w:t>
      </w:r>
      <w:r>
        <w:rPr>
          <w:spacing w:val="-9"/>
          <w:sz w:val="20"/>
        </w:rPr>
        <w:t xml:space="preserve"> </w:t>
      </w:r>
      <w:r>
        <w:rPr>
          <w:sz w:val="20"/>
        </w:rPr>
        <w:t>interseccionada</w:t>
      </w:r>
      <w:r>
        <w:rPr>
          <w:spacing w:val="-11"/>
          <w:sz w:val="20"/>
        </w:rPr>
        <w:t xml:space="preserve"> </w:t>
      </w:r>
      <w:r>
        <w:rPr>
          <w:sz w:val="20"/>
        </w:rPr>
        <w:t>con</w:t>
      </w:r>
      <w:r>
        <w:rPr>
          <w:spacing w:val="-9"/>
          <w:sz w:val="20"/>
        </w:rPr>
        <w:t xml:space="preserve"> </w:t>
      </w:r>
      <w:r>
        <w:rPr>
          <w:sz w:val="20"/>
        </w:rPr>
        <w:t>otras</w:t>
      </w:r>
      <w:r>
        <w:rPr>
          <w:spacing w:val="-10"/>
          <w:sz w:val="20"/>
        </w:rPr>
        <w:t xml:space="preserve"> </w:t>
      </w:r>
      <w:r>
        <w:rPr>
          <w:sz w:val="20"/>
        </w:rPr>
        <w:t>categorías o</w:t>
      </w:r>
      <w:r>
        <w:rPr>
          <w:spacing w:val="-11"/>
          <w:sz w:val="20"/>
        </w:rPr>
        <w:t xml:space="preserve"> </w:t>
      </w:r>
      <w:r>
        <w:rPr>
          <w:sz w:val="20"/>
        </w:rPr>
        <w:t>factores</w:t>
      </w:r>
      <w:r>
        <w:rPr>
          <w:spacing w:val="-10"/>
          <w:sz w:val="20"/>
        </w:rPr>
        <w:t xml:space="preserve"> </w:t>
      </w:r>
      <w:r>
        <w:rPr>
          <w:sz w:val="20"/>
        </w:rPr>
        <w:t>de</w:t>
      </w:r>
      <w:r>
        <w:rPr>
          <w:spacing w:val="-8"/>
          <w:sz w:val="20"/>
        </w:rPr>
        <w:t xml:space="preserve"> </w:t>
      </w:r>
      <w:r>
        <w:rPr>
          <w:sz w:val="20"/>
        </w:rPr>
        <w:t>vulnerabilidad</w:t>
      </w:r>
      <w:hyperlink w:anchor="_bookmark783" w:history="1">
        <w:r>
          <w:rPr>
            <w:position w:val="7"/>
            <w:sz w:val="13"/>
          </w:rPr>
          <w:t>101</w:t>
        </w:r>
        <w:r>
          <w:rPr>
            <w:spacing w:val="12"/>
            <w:position w:val="7"/>
            <w:sz w:val="13"/>
          </w:rPr>
          <w:t xml:space="preserve"> </w:t>
        </w:r>
      </w:hyperlink>
      <w:r>
        <w:rPr>
          <w:sz w:val="20"/>
        </w:rPr>
        <w:t>o</w:t>
      </w:r>
      <w:r>
        <w:rPr>
          <w:spacing w:val="-11"/>
          <w:sz w:val="20"/>
        </w:rPr>
        <w:t xml:space="preserve"> </w:t>
      </w:r>
      <w:r>
        <w:rPr>
          <w:sz w:val="20"/>
        </w:rPr>
        <w:t>bien</w:t>
      </w:r>
      <w:r>
        <w:rPr>
          <w:spacing w:val="-11"/>
          <w:sz w:val="20"/>
        </w:rPr>
        <w:t xml:space="preserve"> </w:t>
      </w:r>
      <w:r>
        <w:rPr>
          <w:sz w:val="20"/>
        </w:rPr>
        <w:t>dentro</w:t>
      </w:r>
      <w:r>
        <w:rPr>
          <w:spacing w:val="-10"/>
          <w:sz w:val="20"/>
        </w:rPr>
        <w:t xml:space="preserve"> </w:t>
      </w:r>
      <w:r>
        <w:rPr>
          <w:sz w:val="20"/>
        </w:rPr>
        <w:t>de</w:t>
      </w:r>
      <w:r>
        <w:rPr>
          <w:spacing w:val="-10"/>
          <w:sz w:val="20"/>
        </w:rPr>
        <w:t xml:space="preserve"> </w:t>
      </w:r>
      <w:r>
        <w:rPr>
          <w:sz w:val="20"/>
        </w:rPr>
        <w:t>los</w:t>
      </w:r>
      <w:r>
        <w:rPr>
          <w:spacing w:val="-10"/>
          <w:sz w:val="20"/>
        </w:rPr>
        <w:t xml:space="preserve"> </w:t>
      </w:r>
      <w:r>
        <w:rPr>
          <w:sz w:val="20"/>
        </w:rPr>
        <w:t>elementos</w:t>
      </w:r>
      <w:r>
        <w:rPr>
          <w:spacing w:val="-11"/>
          <w:sz w:val="20"/>
        </w:rPr>
        <w:t xml:space="preserve"> </w:t>
      </w:r>
      <w:r>
        <w:rPr>
          <w:sz w:val="20"/>
        </w:rPr>
        <w:t>de</w:t>
      </w:r>
      <w:r>
        <w:rPr>
          <w:spacing w:val="-13"/>
          <w:sz w:val="20"/>
        </w:rPr>
        <w:t xml:space="preserve"> </w:t>
      </w:r>
      <w:r>
        <w:rPr>
          <w:sz w:val="20"/>
        </w:rPr>
        <w:t>accesibilidad</w:t>
      </w:r>
      <w:r>
        <w:rPr>
          <w:spacing w:val="-11"/>
          <w:sz w:val="20"/>
        </w:rPr>
        <w:t xml:space="preserve"> </w:t>
      </w:r>
      <w:r>
        <w:rPr>
          <w:sz w:val="20"/>
        </w:rPr>
        <w:t>de</w:t>
      </w:r>
      <w:r>
        <w:rPr>
          <w:spacing w:val="-10"/>
          <w:sz w:val="20"/>
        </w:rPr>
        <w:t xml:space="preserve"> </w:t>
      </w:r>
      <w:r>
        <w:rPr>
          <w:sz w:val="20"/>
        </w:rPr>
        <w:t>los</w:t>
      </w:r>
      <w:r>
        <w:rPr>
          <w:spacing w:val="-11"/>
          <w:sz w:val="20"/>
        </w:rPr>
        <w:t xml:space="preserve"> </w:t>
      </w:r>
      <w:r>
        <w:rPr>
          <w:sz w:val="20"/>
        </w:rPr>
        <w:t>derechos sociales (accesibilidad física); lo anterior contrasta significativamente con la jurisprudencia previa</w:t>
      </w:r>
      <w:r>
        <w:rPr>
          <w:spacing w:val="-11"/>
          <w:sz w:val="20"/>
        </w:rPr>
        <w:t xml:space="preserve"> </w:t>
      </w:r>
      <w:r>
        <w:rPr>
          <w:sz w:val="20"/>
        </w:rPr>
        <w:t>del</w:t>
      </w:r>
      <w:r>
        <w:rPr>
          <w:spacing w:val="-12"/>
          <w:sz w:val="20"/>
        </w:rPr>
        <w:t xml:space="preserve"> </w:t>
      </w:r>
      <w:r>
        <w:rPr>
          <w:sz w:val="20"/>
        </w:rPr>
        <w:t>año</w:t>
      </w:r>
      <w:r>
        <w:rPr>
          <w:spacing w:val="-15"/>
          <w:sz w:val="20"/>
        </w:rPr>
        <w:t xml:space="preserve"> </w:t>
      </w:r>
      <w:r>
        <w:rPr>
          <w:sz w:val="20"/>
        </w:rPr>
        <w:t>2016.</w:t>
      </w:r>
      <w:r>
        <w:rPr>
          <w:spacing w:val="-11"/>
          <w:sz w:val="20"/>
        </w:rPr>
        <w:t xml:space="preserve"> </w:t>
      </w:r>
      <w:r>
        <w:rPr>
          <w:sz w:val="20"/>
        </w:rPr>
        <w:t>Aun</w:t>
      </w:r>
      <w:r>
        <w:rPr>
          <w:spacing w:val="-12"/>
          <w:sz w:val="20"/>
        </w:rPr>
        <w:t xml:space="preserve"> </w:t>
      </w:r>
      <w:r>
        <w:rPr>
          <w:sz w:val="20"/>
        </w:rPr>
        <w:t>cuando</w:t>
      </w:r>
      <w:r>
        <w:rPr>
          <w:spacing w:val="-15"/>
          <w:sz w:val="20"/>
        </w:rPr>
        <w:t xml:space="preserve"> </w:t>
      </w:r>
      <w:r>
        <w:rPr>
          <w:sz w:val="20"/>
        </w:rPr>
        <w:t>en</w:t>
      </w:r>
      <w:r>
        <w:rPr>
          <w:spacing w:val="-12"/>
          <w:sz w:val="20"/>
        </w:rPr>
        <w:t xml:space="preserve"> </w:t>
      </w:r>
      <w:r>
        <w:rPr>
          <w:sz w:val="20"/>
        </w:rPr>
        <w:t>decisiones</w:t>
      </w:r>
      <w:r>
        <w:rPr>
          <w:spacing w:val="-12"/>
          <w:sz w:val="20"/>
        </w:rPr>
        <w:t xml:space="preserve"> </w:t>
      </w:r>
      <w:r>
        <w:rPr>
          <w:sz w:val="20"/>
        </w:rPr>
        <w:t>anteriores</w:t>
      </w:r>
      <w:r>
        <w:rPr>
          <w:spacing w:val="-13"/>
          <w:sz w:val="20"/>
        </w:rPr>
        <w:t xml:space="preserve"> </w:t>
      </w:r>
      <w:r>
        <w:rPr>
          <w:sz w:val="20"/>
        </w:rPr>
        <w:t>la</w:t>
      </w:r>
      <w:r>
        <w:rPr>
          <w:spacing w:val="-12"/>
          <w:sz w:val="20"/>
        </w:rPr>
        <w:t xml:space="preserve"> </w:t>
      </w:r>
      <w:r>
        <w:rPr>
          <w:sz w:val="20"/>
        </w:rPr>
        <w:t>po</w:t>
      </w:r>
      <w:r>
        <w:rPr>
          <w:sz w:val="20"/>
        </w:rPr>
        <w:t>breza</w:t>
      </w:r>
      <w:r>
        <w:rPr>
          <w:spacing w:val="-11"/>
          <w:sz w:val="20"/>
        </w:rPr>
        <w:t xml:space="preserve"> </w:t>
      </w:r>
      <w:r>
        <w:rPr>
          <w:sz w:val="20"/>
        </w:rPr>
        <w:t>o</w:t>
      </w:r>
      <w:r>
        <w:rPr>
          <w:spacing w:val="-14"/>
          <w:sz w:val="20"/>
        </w:rPr>
        <w:t xml:space="preserve"> </w:t>
      </w:r>
      <w:r>
        <w:rPr>
          <w:sz w:val="20"/>
        </w:rPr>
        <w:t>la</w:t>
      </w:r>
      <w:r>
        <w:rPr>
          <w:spacing w:val="-13"/>
          <w:sz w:val="20"/>
        </w:rPr>
        <w:t xml:space="preserve"> </w:t>
      </w:r>
      <w:r>
        <w:rPr>
          <w:sz w:val="20"/>
        </w:rPr>
        <w:t>condición</w:t>
      </w:r>
      <w:r>
        <w:rPr>
          <w:spacing w:val="-12"/>
          <w:sz w:val="20"/>
        </w:rPr>
        <w:t xml:space="preserve"> </w:t>
      </w:r>
      <w:r>
        <w:rPr>
          <w:sz w:val="20"/>
        </w:rPr>
        <w:t>económica había estado presente en los fallos del Tribunal Interamericano, el abordaje era tangencial o agravante contextual en cada uno de los diferentes casos que la Corte IDH se había pronunciado.</w:t>
      </w:r>
    </w:p>
    <w:p w14:paraId="07A67433" w14:textId="77777777" w:rsidR="00467FCA" w:rsidRDefault="00467FCA">
      <w:pPr>
        <w:pStyle w:val="Textoindependiente"/>
      </w:pPr>
    </w:p>
    <w:p w14:paraId="17C48200" w14:textId="77777777" w:rsidR="00467FCA" w:rsidRDefault="001B68EB">
      <w:pPr>
        <w:pStyle w:val="Textoindependiente"/>
        <w:spacing w:before="3"/>
        <w:rPr>
          <w:sz w:val="21"/>
        </w:rPr>
      </w:pPr>
      <w:r>
        <w:pict w14:anchorId="2667F0F4">
          <v:shape id="_x0000_s1051" style="position:absolute;margin-left:70.9pt;margin-top:15.15pt;width:2in;height:.1pt;z-index:-251510784;mso-wrap-distance-left:0;mso-wrap-distance-right:0;mso-position-horizontal-relative:page" coordorigin="1418,303" coordsize="2880,0" path="m1418,303r2880,e" filled="f" strokeweight=".6pt">
            <v:path arrowok="t"/>
            <w10:wrap type="topAndBottom" anchorx="page"/>
          </v:shape>
        </w:pict>
      </w:r>
    </w:p>
    <w:p w14:paraId="68BBF9B0" w14:textId="77777777" w:rsidR="00467FCA" w:rsidRDefault="001B68EB">
      <w:pPr>
        <w:spacing w:before="74"/>
        <w:ind w:left="458" w:right="409"/>
        <w:rPr>
          <w:sz w:val="16"/>
        </w:rPr>
      </w:pPr>
      <w:r>
        <w:rPr>
          <w:i/>
          <w:sz w:val="16"/>
        </w:rPr>
        <w:t xml:space="preserve">sobre la Extrema Pobreza y los Derechos Humanos, </w:t>
      </w:r>
      <w:r>
        <w:rPr>
          <w:sz w:val="16"/>
        </w:rPr>
        <w:t>Magdalena Sepúlveda Carmona, 4 agosto de 2011, A/66/265, nota al pie no. 7.</w:t>
      </w:r>
    </w:p>
    <w:p w14:paraId="0E66BDEA" w14:textId="77777777" w:rsidR="00467FCA" w:rsidRDefault="001B68EB">
      <w:pPr>
        <w:tabs>
          <w:tab w:val="left" w:pos="1166"/>
        </w:tabs>
        <w:ind w:left="458"/>
        <w:rPr>
          <w:sz w:val="16"/>
        </w:rPr>
      </w:pPr>
      <w:bookmarkStart w:id="859" w:name="_bookmark778"/>
      <w:bookmarkEnd w:id="859"/>
      <w:r>
        <w:rPr>
          <w:position w:val="6"/>
          <w:sz w:val="10"/>
        </w:rPr>
        <w:t>96</w:t>
      </w:r>
      <w:r>
        <w:rPr>
          <w:position w:val="6"/>
          <w:sz w:val="10"/>
        </w:rPr>
        <w:tab/>
      </w:r>
      <w:r>
        <w:rPr>
          <w:i/>
          <w:sz w:val="16"/>
        </w:rPr>
        <w:t>Cfr. Caso Trabajadores de la Hacienda Brasil Verde Vs. Brasil, supra</w:t>
      </w:r>
      <w:r>
        <w:rPr>
          <w:sz w:val="16"/>
        </w:rPr>
        <w:t>, párr.</w:t>
      </w:r>
      <w:r>
        <w:rPr>
          <w:spacing w:val="-23"/>
          <w:sz w:val="16"/>
        </w:rPr>
        <w:t xml:space="preserve"> </w:t>
      </w:r>
      <w:r>
        <w:rPr>
          <w:sz w:val="16"/>
        </w:rPr>
        <w:t>339.</w:t>
      </w:r>
    </w:p>
    <w:p w14:paraId="16907FD8" w14:textId="77777777" w:rsidR="00467FCA" w:rsidRDefault="001B68EB">
      <w:pPr>
        <w:tabs>
          <w:tab w:val="left" w:pos="1166"/>
        </w:tabs>
        <w:ind w:left="458"/>
        <w:rPr>
          <w:sz w:val="16"/>
        </w:rPr>
      </w:pPr>
      <w:bookmarkStart w:id="860" w:name="_bookmark779"/>
      <w:bookmarkEnd w:id="860"/>
      <w:r>
        <w:rPr>
          <w:position w:val="6"/>
          <w:sz w:val="10"/>
        </w:rPr>
        <w:t>97</w:t>
      </w:r>
      <w:r>
        <w:rPr>
          <w:position w:val="6"/>
          <w:sz w:val="10"/>
        </w:rPr>
        <w:tab/>
      </w:r>
      <w:r>
        <w:rPr>
          <w:i/>
          <w:sz w:val="16"/>
        </w:rPr>
        <w:t>Cfr</w:t>
      </w:r>
      <w:r>
        <w:rPr>
          <w:sz w:val="16"/>
        </w:rPr>
        <w:t xml:space="preserve">. </w:t>
      </w:r>
      <w:r>
        <w:rPr>
          <w:i/>
          <w:sz w:val="16"/>
        </w:rPr>
        <w:t>Caso Trabajadores de la Hacienda Brasil</w:t>
      </w:r>
      <w:r>
        <w:rPr>
          <w:i/>
          <w:sz w:val="16"/>
        </w:rPr>
        <w:t xml:space="preserve"> Verde Vs. Brasil, supra</w:t>
      </w:r>
      <w:r>
        <w:rPr>
          <w:sz w:val="16"/>
        </w:rPr>
        <w:t>, párr.</w:t>
      </w:r>
      <w:r>
        <w:rPr>
          <w:spacing w:val="-26"/>
          <w:sz w:val="16"/>
        </w:rPr>
        <w:t xml:space="preserve"> </w:t>
      </w:r>
      <w:r>
        <w:rPr>
          <w:sz w:val="16"/>
        </w:rPr>
        <w:t>340.</w:t>
      </w:r>
    </w:p>
    <w:p w14:paraId="40854009" w14:textId="77777777" w:rsidR="00467FCA" w:rsidRDefault="001B68EB">
      <w:pPr>
        <w:tabs>
          <w:tab w:val="left" w:pos="1166"/>
        </w:tabs>
        <w:ind w:left="458"/>
        <w:rPr>
          <w:i/>
          <w:sz w:val="16"/>
        </w:rPr>
      </w:pPr>
      <w:bookmarkStart w:id="861" w:name="_bookmark780"/>
      <w:bookmarkEnd w:id="861"/>
      <w:r>
        <w:rPr>
          <w:position w:val="6"/>
          <w:sz w:val="10"/>
        </w:rPr>
        <w:t>98</w:t>
      </w:r>
      <w:r>
        <w:rPr>
          <w:position w:val="6"/>
          <w:sz w:val="10"/>
        </w:rPr>
        <w:tab/>
      </w:r>
      <w:r>
        <w:rPr>
          <w:sz w:val="16"/>
        </w:rPr>
        <w:t xml:space="preserve">Véase el párr. 99 de nuestro voto emitido en el caso </w:t>
      </w:r>
      <w:r>
        <w:rPr>
          <w:i/>
          <w:sz w:val="16"/>
        </w:rPr>
        <w:t>Trabajadores de la Hacienda Brasil Verde Vs.</w:t>
      </w:r>
      <w:r>
        <w:rPr>
          <w:i/>
          <w:spacing w:val="-35"/>
          <w:sz w:val="16"/>
        </w:rPr>
        <w:t xml:space="preserve"> </w:t>
      </w:r>
      <w:r>
        <w:rPr>
          <w:i/>
          <w:sz w:val="16"/>
        </w:rPr>
        <w:t>Brasil.</w:t>
      </w:r>
    </w:p>
    <w:p w14:paraId="52F66672" w14:textId="77777777" w:rsidR="00467FCA" w:rsidRDefault="001B68EB">
      <w:pPr>
        <w:tabs>
          <w:tab w:val="left" w:pos="1166"/>
        </w:tabs>
        <w:ind w:left="458"/>
        <w:rPr>
          <w:i/>
          <w:sz w:val="16"/>
        </w:rPr>
      </w:pPr>
      <w:bookmarkStart w:id="862" w:name="_bookmark781"/>
      <w:bookmarkEnd w:id="862"/>
      <w:r>
        <w:rPr>
          <w:position w:val="6"/>
          <w:sz w:val="10"/>
        </w:rPr>
        <w:t>99</w:t>
      </w:r>
      <w:r>
        <w:rPr>
          <w:position w:val="6"/>
          <w:sz w:val="10"/>
        </w:rPr>
        <w:tab/>
      </w:r>
      <w:r>
        <w:rPr>
          <w:sz w:val="16"/>
        </w:rPr>
        <w:t xml:space="preserve">Véase el párr. 53 de nuestro voto emitido en el caso </w:t>
      </w:r>
      <w:r>
        <w:rPr>
          <w:i/>
          <w:sz w:val="16"/>
        </w:rPr>
        <w:t>Trabajadores de la Hacienda Brasil Verde Vs.</w:t>
      </w:r>
      <w:r>
        <w:rPr>
          <w:i/>
          <w:spacing w:val="-35"/>
          <w:sz w:val="16"/>
        </w:rPr>
        <w:t xml:space="preserve"> </w:t>
      </w:r>
      <w:r>
        <w:rPr>
          <w:i/>
          <w:sz w:val="16"/>
        </w:rPr>
        <w:t>Brasil.</w:t>
      </w:r>
    </w:p>
    <w:p w14:paraId="51C500B3" w14:textId="77777777" w:rsidR="00467FCA" w:rsidRDefault="001B68EB">
      <w:pPr>
        <w:tabs>
          <w:tab w:val="left" w:pos="1166"/>
        </w:tabs>
        <w:ind w:left="458" w:right="409"/>
        <w:rPr>
          <w:sz w:val="16"/>
        </w:rPr>
      </w:pPr>
      <w:bookmarkStart w:id="863" w:name="_bookmark782"/>
      <w:bookmarkEnd w:id="863"/>
      <w:r>
        <w:rPr>
          <w:position w:val="6"/>
          <w:sz w:val="10"/>
        </w:rPr>
        <w:t>1</w:t>
      </w:r>
      <w:r>
        <w:rPr>
          <w:position w:val="6"/>
          <w:sz w:val="10"/>
        </w:rPr>
        <w:t>00</w:t>
      </w:r>
      <w:r>
        <w:rPr>
          <w:position w:val="6"/>
          <w:sz w:val="10"/>
        </w:rPr>
        <w:tab/>
      </w:r>
      <w:r>
        <w:rPr>
          <w:sz w:val="16"/>
        </w:rPr>
        <w:t>Consejo de Derechos Humanos, Informe de la Relatora Especial sobre la extrema pobreza y los derechos humanos, 11 de marzo de 2013, A/HRC/23/36, párr.</w:t>
      </w:r>
      <w:r>
        <w:rPr>
          <w:spacing w:val="-10"/>
          <w:sz w:val="16"/>
        </w:rPr>
        <w:t xml:space="preserve"> </w:t>
      </w:r>
      <w:r>
        <w:rPr>
          <w:sz w:val="16"/>
        </w:rPr>
        <w:t>42.</w:t>
      </w:r>
    </w:p>
    <w:p w14:paraId="0DB8B257" w14:textId="77777777" w:rsidR="00467FCA" w:rsidRDefault="001B68EB">
      <w:pPr>
        <w:tabs>
          <w:tab w:val="left" w:pos="1166"/>
        </w:tabs>
        <w:ind w:left="458" w:right="272"/>
        <w:jc w:val="both"/>
        <w:rPr>
          <w:sz w:val="16"/>
        </w:rPr>
      </w:pPr>
      <w:bookmarkStart w:id="864" w:name="_bookmark783"/>
      <w:bookmarkEnd w:id="864"/>
      <w:r>
        <w:rPr>
          <w:position w:val="6"/>
          <w:sz w:val="10"/>
        </w:rPr>
        <w:t>101</w:t>
      </w:r>
      <w:r>
        <w:rPr>
          <w:position w:val="6"/>
          <w:sz w:val="10"/>
        </w:rPr>
        <w:tab/>
      </w:r>
      <w:r>
        <w:rPr>
          <w:sz w:val="16"/>
        </w:rPr>
        <w:t>Aunque la primera vez que la Corte IDH intersecciona la condición económica en el caso Gonzales Lluy, no señaló que fuera por una categoría contenida en el artículo 1.1, ya sea por posición económica, situación u otra condición</w:t>
      </w:r>
      <w:r>
        <w:rPr>
          <w:spacing w:val="-4"/>
          <w:sz w:val="16"/>
        </w:rPr>
        <w:t xml:space="preserve"> </w:t>
      </w:r>
      <w:r>
        <w:rPr>
          <w:sz w:val="16"/>
        </w:rPr>
        <w:t>social.</w:t>
      </w:r>
    </w:p>
    <w:p w14:paraId="019E68E2" w14:textId="77777777" w:rsidR="00467FCA" w:rsidRDefault="00467FCA">
      <w:pPr>
        <w:jc w:val="both"/>
        <w:rPr>
          <w:sz w:val="16"/>
        </w:rPr>
        <w:sectPr w:rsidR="00467FCA">
          <w:pgSz w:w="12240" w:h="15840"/>
          <w:pgMar w:top="1340" w:right="1140" w:bottom="920" w:left="960" w:header="0" w:footer="734" w:gutter="0"/>
          <w:cols w:space="720"/>
        </w:sectPr>
      </w:pPr>
    </w:p>
    <w:p w14:paraId="352A5F33" w14:textId="77777777" w:rsidR="00467FCA" w:rsidRDefault="001B68EB">
      <w:pPr>
        <w:pStyle w:val="Prrafodelista"/>
        <w:numPr>
          <w:ilvl w:val="0"/>
          <w:numId w:val="7"/>
        </w:numPr>
        <w:tabs>
          <w:tab w:val="left" w:pos="1167"/>
        </w:tabs>
        <w:spacing w:before="79"/>
        <w:ind w:right="274" w:firstLine="0"/>
        <w:jc w:val="both"/>
        <w:rPr>
          <w:sz w:val="20"/>
        </w:rPr>
      </w:pPr>
      <w:r>
        <w:rPr>
          <w:sz w:val="20"/>
        </w:rPr>
        <w:t>El enf</w:t>
      </w:r>
      <w:r>
        <w:rPr>
          <w:sz w:val="20"/>
        </w:rPr>
        <w:t>oque antes descrito (pobreza e interseccionalidad) ha sido plasmado con mayor frecuencia</w:t>
      </w:r>
      <w:r>
        <w:rPr>
          <w:spacing w:val="-6"/>
          <w:sz w:val="20"/>
        </w:rPr>
        <w:t xml:space="preserve"> </w:t>
      </w:r>
      <w:r>
        <w:rPr>
          <w:sz w:val="20"/>
        </w:rPr>
        <w:t>con</w:t>
      </w:r>
      <w:r>
        <w:rPr>
          <w:spacing w:val="-8"/>
          <w:sz w:val="20"/>
        </w:rPr>
        <w:t xml:space="preserve"> </w:t>
      </w:r>
      <w:r>
        <w:rPr>
          <w:sz w:val="20"/>
        </w:rPr>
        <w:t>posterioridad</w:t>
      </w:r>
      <w:r>
        <w:rPr>
          <w:spacing w:val="-10"/>
          <w:sz w:val="20"/>
        </w:rPr>
        <w:t xml:space="preserve"> </w:t>
      </w:r>
      <w:r>
        <w:rPr>
          <w:sz w:val="20"/>
        </w:rPr>
        <w:t>a</w:t>
      </w:r>
      <w:r>
        <w:rPr>
          <w:spacing w:val="-11"/>
          <w:sz w:val="20"/>
        </w:rPr>
        <w:t xml:space="preserve"> </w:t>
      </w:r>
      <w:r>
        <w:rPr>
          <w:sz w:val="20"/>
        </w:rPr>
        <w:t>la</w:t>
      </w:r>
      <w:r>
        <w:rPr>
          <w:spacing w:val="-8"/>
          <w:sz w:val="20"/>
        </w:rPr>
        <w:t xml:space="preserve"> </w:t>
      </w:r>
      <w:r>
        <w:rPr>
          <w:sz w:val="20"/>
        </w:rPr>
        <w:t>sentencia</w:t>
      </w:r>
      <w:r>
        <w:rPr>
          <w:spacing w:val="-9"/>
          <w:sz w:val="20"/>
        </w:rPr>
        <w:t xml:space="preserve"> </w:t>
      </w:r>
      <w:r>
        <w:rPr>
          <w:sz w:val="20"/>
        </w:rPr>
        <w:t>del</w:t>
      </w:r>
      <w:r>
        <w:rPr>
          <w:spacing w:val="-7"/>
          <w:sz w:val="20"/>
        </w:rPr>
        <w:t xml:space="preserve"> </w:t>
      </w:r>
      <w:r>
        <w:rPr>
          <w:sz w:val="20"/>
        </w:rPr>
        <w:t>caso</w:t>
      </w:r>
      <w:r>
        <w:rPr>
          <w:spacing w:val="-10"/>
          <w:sz w:val="20"/>
        </w:rPr>
        <w:t xml:space="preserve"> </w:t>
      </w:r>
      <w:r>
        <w:rPr>
          <w:i/>
          <w:sz w:val="20"/>
        </w:rPr>
        <w:t>Trabajadores</w:t>
      </w:r>
      <w:r>
        <w:rPr>
          <w:i/>
          <w:spacing w:val="-11"/>
          <w:sz w:val="20"/>
        </w:rPr>
        <w:t xml:space="preserve"> </w:t>
      </w:r>
      <w:r>
        <w:rPr>
          <w:i/>
          <w:sz w:val="20"/>
        </w:rPr>
        <w:t>de</w:t>
      </w:r>
      <w:r>
        <w:rPr>
          <w:i/>
          <w:spacing w:val="-10"/>
          <w:sz w:val="20"/>
        </w:rPr>
        <w:t xml:space="preserve"> </w:t>
      </w:r>
      <w:r>
        <w:rPr>
          <w:i/>
          <w:sz w:val="20"/>
        </w:rPr>
        <w:t>la</w:t>
      </w:r>
      <w:r>
        <w:rPr>
          <w:i/>
          <w:spacing w:val="-8"/>
          <w:sz w:val="20"/>
        </w:rPr>
        <w:t xml:space="preserve"> </w:t>
      </w:r>
      <w:r>
        <w:rPr>
          <w:i/>
          <w:sz w:val="20"/>
        </w:rPr>
        <w:t>Hacienda</w:t>
      </w:r>
      <w:r>
        <w:rPr>
          <w:i/>
          <w:spacing w:val="-11"/>
          <w:sz w:val="20"/>
        </w:rPr>
        <w:t xml:space="preserve"> </w:t>
      </w:r>
      <w:r>
        <w:rPr>
          <w:i/>
          <w:sz w:val="20"/>
        </w:rPr>
        <w:t>Brasil</w:t>
      </w:r>
      <w:r>
        <w:rPr>
          <w:i/>
          <w:spacing w:val="-7"/>
          <w:sz w:val="20"/>
        </w:rPr>
        <w:t xml:space="preserve"> </w:t>
      </w:r>
      <w:r>
        <w:rPr>
          <w:i/>
          <w:sz w:val="20"/>
        </w:rPr>
        <w:t>Verde</w:t>
      </w:r>
      <w:r>
        <w:rPr>
          <w:sz w:val="20"/>
        </w:rPr>
        <w:t>. Por ejemplo, en el año 2017 la Comisión Interamericana de Derechos Humanos emitió el informe</w:t>
      </w:r>
      <w:r>
        <w:rPr>
          <w:spacing w:val="-8"/>
          <w:sz w:val="20"/>
        </w:rPr>
        <w:t xml:space="preserve"> </w:t>
      </w:r>
      <w:r>
        <w:rPr>
          <w:i/>
          <w:sz w:val="20"/>
        </w:rPr>
        <w:t>Pobreza</w:t>
      </w:r>
      <w:r>
        <w:rPr>
          <w:i/>
          <w:spacing w:val="-5"/>
          <w:sz w:val="20"/>
        </w:rPr>
        <w:t xml:space="preserve"> </w:t>
      </w:r>
      <w:r>
        <w:rPr>
          <w:i/>
          <w:sz w:val="20"/>
        </w:rPr>
        <w:t>y</w:t>
      </w:r>
      <w:r>
        <w:rPr>
          <w:i/>
          <w:spacing w:val="-6"/>
          <w:sz w:val="20"/>
        </w:rPr>
        <w:t xml:space="preserve"> </w:t>
      </w:r>
      <w:r>
        <w:rPr>
          <w:i/>
          <w:sz w:val="20"/>
        </w:rPr>
        <w:t>Derechos</w:t>
      </w:r>
      <w:r>
        <w:rPr>
          <w:i/>
          <w:spacing w:val="-4"/>
          <w:sz w:val="20"/>
        </w:rPr>
        <w:t xml:space="preserve"> </w:t>
      </w:r>
      <w:r>
        <w:rPr>
          <w:i/>
          <w:sz w:val="20"/>
        </w:rPr>
        <w:t>Humanos</w:t>
      </w:r>
      <w:r>
        <w:rPr>
          <w:sz w:val="20"/>
        </w:rPr>
        <w:t>.</w:t>
      </w:r>
      <w:r>
        <w:rPr>
          <w:spacing w:val="-6"/>
          <w:sz w:val="20"/>
        </w:rPr>
        <w:t xml:space="preserve"> </w:t>
      </w:r>
      <w:r>
        <w:rPr>
          <w:sz w:val="20"/>
        </w:rPr>
        <w:t>En</w:t>
      </w:r>
      <w:r>
        <w:rPr>
          <w:spacing w:val="-4"/>
          <w:sz w:val="20"/>
        </w:rPr>
        <w:t xml:space="preserve"> </w:t>
      </w:r>
      <w:r>
        <w:rPr>
          <w:sz w:val="20"/>
        </w:rPr>
        <w:t>el</w:t>
      </w:r>
      <w:r>
        <w:rPr>
          <w:spacing w:val="-5"/>
          <w:sz w:val="20"/>
        </w:rPr>
        <w:t xml:space="preserve"> </w:t>
      </w:r>
      <w:r>
        <w:rPr>
          <w:sz w:val="20"/>
        </w:rPr>
        <w:t>informe,</w:t>
      </w:r>
      <w:r>
        <w:rPr>
          <w:spacing w:val="-7"/>
          <w:sz w:val="20"/>
        </w:rPr>
        <w:t xml:space="preserve"> </w:t>
      </w:r>
      <w:r>
        <w:rPr>
          <w:sz w:val="20"/>
        </w:rPr>
        <w:t>la</w:t>
      </w:r>
      <w:r>
        <w:rPr>
          <w:spacing w:val="-5"/>
          <w:sz w:val="20"/>
        </w:rPr>
        <w:t xml:space="preserve"> </w:t>
      </w:r>
      <w:r>
        <w:rPr>
          <w:sz w:val="20"/>
        </w:rPr>
        <w:t>CIDH</w:t>
      </w:r>
      <w:r>
        <w:rPr>
          <w:spacing w:val="-7"/>
          <w:sz w:val="20"/>
        </w:rPr>
        <w:t xml:space="preserve"> </w:t>
      </w:r>
      <w:r>
        <w:rPr>
          <w:sz w:val="20"/>
        </w:rPr>
        <w:t>definió</w:t>
      </w:r>
      <w:r>
        <w:rPr>
          <w:spacing w:val="-7"/>
          <w:sz w:val="20"/>
        </w:rPr>
        <w:t xml:space="preserve"> </w:t>
      </w:r>
      <w:r>
        <w:rPr>
          <w:sz w:val="20"/>
        </w:rPr>
        <w:t>la</w:t>
      </w:r>
      <w:r>
        <w:rPr>
          <w:spacing w:val="-5"/>
          <w:sz w:val="20"/>
        </w:rPr>
        <w:t xml:space="preserve"> </w:t>
      </w:r>
      <w:r>
        <w:rPr>
          <w:sz w:val="20"/>
        </w:rPr>
        <w:t>pobreza,</w:t>
      </w:r>
      <w:r>
        <w:rPr>
          <w:spacing w:val="-6"/>
          <w:sz w:val="20"/>
        </w:rPr>
        <w:t xml:space="preserve"> </w:t>
      </w:r>
      <w:r>
        <w:rPr>
          <w:sz w:val="20"/>
        </w:rPr>
        <w:t>la</w:t>
      </w:r>
      <w:r>
        <w:rPr>
          <w:spacing w:val="-5"/>
          <w:sz w:val="20"/>
        </w:rPr>
        <w:t xml:space="preserve"> </w:t>
      </w:r>
      <w:r>
        <w:rPr>
          <w:sz w:val="20"/>
        </w:rPr>
        <w:t>consideró como un problema estructural que se traduce en afectaciones al goce y ejercic</w:t>
      </w:r>
      <w:r>
        <w:rPr>
          <w:sz w:val="20"/>
        </w:rPr>
        <w:t>io de los derechos humanos que, en ocasiones, implica violaciones que suponen la responsabilidad internacional</w:t>
      </w:r>
      <w:r>
        <w:rPr>
          <w:spacing w:val="-8"/>
          <w:sz w:val="20"/>
        </w:rPr>
        <w:t xml:space="preserve"> </w:t>
      </w:r>
      <w:r>
        <w:rPr>
          <w:sz w:val="20"/>
        </w:rPr>
        <w:t>del</w:t>
      </w:r>
      <w:r>
        <w:rPr>
          <w:spacing w:val="-7"/>
          <w:sz w:val="20"/>
        </w:rPr>
        <w:t xml:space="preserve"> </w:t>
      </w:r>
      <w:r>
        <w:rPr>
          <w:sz w:val="20"/>
        </w:rPr>
        <w:t>Estado</w:t>
      </w:r>
      <w:hyperlink w:anchor="_bookmark784" w:history="1">
        <w:r>
          <w:rPr>
            <w:position w:val="7"/>
            <w:sz w:val="13"/>
          </w:rPr>
          <w:t>102</w:t>
        </w:r>
      </w:hyperlink>
      <w:r>
        <w:rPr>
          <w:sz w:val="20"/>
        </w:rPr>
        <w:t>.</w:t>
      </w:r>
      <w:r>
        <w:rPr>
          <w:spacing w:val="-11"/>
          <w:sz w:val="20"/>
        </w:rPr>
        <w:t xml:space="preserve"> </w:t>
      </w:r>
      <w:r>
        <w:rPr>
          <w:sz w:val="20"/>
        </w:rPr>
        <w:t>También</w:t>
      </w:r>
      <w:r>
        <w:rPr>
          <w:spacing w:val="-9"/>
          <w:sz w:val="20"/>
        </w:rPr>
        <w:t xml:space="preserve"> </w:t>
      </w:r>
      <w:r>
        <w:rPr>
          <w:sz w:val="20"/>
        </w:rPr>
        <w:t>hizo</w:t>
      </w:r>
      <w:r>
        <w:rPr>
          <w:spacing w:val="-9"/>
          <w:sz w:val="20"/>
        </w:rPr>
        <w:t xml:space="preserve"> </w:t>
      </w:r>
      <w:r>
        <w:rPr>
          <w:sz w:val="20"/>
        </w:rPr>
        <w:t>importantes</w:t>
      </w:r>
      <w:r>
        <w:rPr>
          <w:spacing w:val="-10"/>
          <w:sz w:val="20"/>
        </w:rPr>
        <w:t xml:space="preserve"> </w:t>
      </w:r>
      <w:r>
        <w:rPr>
          <w:sz w:val="20"/>
        </w:rPr>
        <w:t>consideraciones</w:t>
      </w:r>
      <w:r>
        <w:rPr>
          <w:spacing w:val="-6"/>
          <w:sz w:val="20"/>
        </w:rPr>
        <w:t xml:space="preserve"> </w:t>
      </w:r>
      <w:r>
        <w:rPr>
          <w:sz w:val="20"/>
        </w:rPr>
        <w:t>sobre</w:t>
      </w:r>
      <w:r>
        <w:rPr>
          <w:spacing w:val="-7"/>
          <w:sz w:val="20"/>
        </w:rPr>
        <w:t xml:space="preserve"> </w:t>
      </w:r>
      <w:r>
        <w:rPr>
          <w:sz w:val="20"/>
        </w:rPr>
        <w:t>el</w:t>
      </w:r>
      <w:r>
        <w:rPr>
          <w:spacing w:val="-10"/>
          <w:sz w:val="20"/>
        </w:rPr>
        <w:t xml:space="preserve"> </w:t>
      </w:r>
      <w:r>
        <w:rPr>
          <w:sz w:val="20"/>
        </w:rPr>
        <w:t>abordaje</w:t>
      </w:r>
      <w:r>
        <w:rPr>
          <w:spacing w:val="-9"/>
          <w:sz w:val="20"/>
        </w:rPr>
        <w:t xml:space="preserve"> </w:t>
      </w:r>
      <w:r>
        <w:rPr>
          <w:sz w:val="20"/>
        </w:rPr>
        <w:t>de</w:t>
      </w:r>
      <w:r>
        <w:rPr>
          <w:spacing w:val="-12"/>
          <w:sz w:val="20"/>
        </w:rPr>
        <w:t xml:space="preserve"> </w:t>
      </w:r>
      <w:r>
        <w:rPr>
          <w:sz w:val="20"/>
        </w:rPr>
        <w:t>la pobreza desde la prohibición de discriminación, derivada de los artículos 1.1 y 24 de la Convención Interamericana y con especial énfasis con enfoque interseccional</w:t>
      </w:r>
      <w:hyperlink w:anchor="_bookmark785" w:history="1">
        <w:r>
          <w:rPr>
            <w:position w:val="7"/>
            <w:sz w:val="13"/>
          </w:rPr>
          <w:t>103</w:t>
        </w:r>
      </w:hyperlink>
      <w:r>
        <w:rPr>
          <w:sz w:val="20"/>
        </w:rPr>
        <w:t>. En dicho Informe la Comisión Interamericana identifi</w:t>
      </w:r>
      <w:r>
        <w:rPr>
          <w:sz w:val="20"/>
        </w:rPr>
        <w:t>có como grupos especialmente vulnerables a la pobreza,</w:t>
      </w:r>
      <w:r>
        <w:rPr>
          <w:spacing w:val="-4"/>
          <w:sz w:val="20"/>
        </w:rPr>
        <w:t xml:space="preserve"> </w:t>
      </w:r>
      <w:r>
        <w:rPr>
          <w:sz w:val="20"/>
        </w:rPr>
        <w:t>a</w:t>
      </w:r>
      <w:r>
        <w:rPr>
          <w:spacing w:val="-5"/>
          <w:sz w:val="20"/>
        </w:rPr>
        <w:t xml:space="preserve"> </w:t>
      </w:r>
      <w:r>
        <w:rPr>
          <w:sz w:val="20"/>
        </w:rPr>
        <w:t>las</w:t>
      </w:r>
      <w:r>
        <w:rPr>
          <w:spacing w:val="-3"/>
          <w:sz w:val="20"/>
        </w:rPr>
        <w:t xml:space="preserve"> </w:t>
      </w:r>
      <w:r>
        <w:rPr>
          <w:sz w:val="20"/>
        </w:rPr>
        <w:t>mujeres,</w:t>
      </w:r>
      <w:r>
        <w:rPr>
          <w:spacing w:val="-4"/>
          <w:sz w:val="20"/>
        </w:rPr>
        <w:t xml:space="preserve"> </w:t>
      </w:r>
      <w:r>
        <w:rPr>
          <w:sz w:val="20"/>
        </w:rPr>
        <w:t>a</w:t>
      </w:r>
      <w:r>
        <w:rPr>
          <w:spacing w:val="-4"/>
          <w:sz w:val="20"/>
        </w:rPr>
        <w:t xml:space="preserve"> </w:t>
      </w:r>
      <w:r>
        <w:rPr>
          <w:sz w:val="20"/>
        </w:rPr>
        <w:t>las</w:t>
      </w:r>
      <w:r>
        <w:rPr>
          <w:spacing w:val="-4"/>
          <w:sz w:val="20"/>
        </w:rPr>
        <w:t xml:space="preserve"> </w:t>
      </w:r>
      <w:r>
        <w:rPr>
          <w:sz w:val="20"/>
        </w:rPr>
        <w:t>niñas,</w:t>
      </w:r>
      <w:r>
        <w:rPr>
          <w:spacing w:val="-3"/>
          <w:sz w:val="20"/>
        </w:rPr>
        <w:t xml:space="preserve"> </w:t>
      </w:r>
      <w:r>
        <w:rPr>
          <w:sz w:val="20"/>
        </w:rPr>
        <w:t>niños</w:t>
      </w:r>
      <w:r>
        <w:rPr>
          <w:spacing w:val="-4"/>
          <w:sz w:val="20"/>
        </w:rPr>
        <w:t xml:space="preserve"> </w:t>
      </w:r>
      <w:r>
        <w:rPr>
          <w:sz w:val="20"/>
        </w:rPr>
        <w:t>y</w:t>
      </w:r>
      <w:r>
        <w:rPr>
          <w:spacing w:val="-4"/>
          <w:sz w:val="20"/>
        </w:rPr>
        <w:t xml:space="preserve"> </w:t>
      </w:r>
      <w:r>
        <w:rPr>
          <w:sz w:val="20"/>
        </w:rPr>
        <w:t>adolescentes,</w:t>
      </w:r>
      <w:r>
        <w:rPr>
          <w:spacing w:val="-3"/>
          <w:sz w:val="20"/>
        </w:rPr>
        <w:t xml:space="preserve"> </w:t>
      </w:r>
      <w:r>
        <w:rPr>
          <w:sz w:val="20"/>
        </w:rPr>
        <w:t>a</w:t>
      </w:r>
      <w:r>
        <w:rPr>
          <w:spacing w:val="-3"/>
          <w:sz w:val="20"/>
        </w:rPr>
        <w:t xml:space="preserve"> </w:t>
      </w:r>
      <w:r>
        <w:rPr>
          <w:sz w:val="20"/>
        </w:rPr>
        <w:t>la</w:t>
      </w:r>
      <w:r>
        <w:rPr>
          <w:spacing w:val="-4"/>
          <w:sz w:val="20"/>
        </w:rPr>
        <w:t xml:space="preserve"> </w:t>
      </w:r>
      <w:r>
        <w:rPr>
          <w:sz w:val="20"/>
        </w:rPr>
        <w:t>población</w:t>
      </w:r>
      <w:r>
        <w:rPr>
          <w:spacing w:val="-4"/>
          <w:sz w:val="20"/>
        </w:rPr>
        <w:t xml:space="preserve"> </w:t>
      </w:r>
      <w:r>
        <w:rPr>
          <w:sz w:val="20"/>
        </w:rPr>
        <w:t>indígena</w:t>
      </w:r>
      <w:r>
        <w:rPr>
          <w:spacing w:val="-4"/>
          <w:sz w:val="20"/>
        </w:rPr>
        <w:t xml:space="preserve"> </w:t>
      </w:r>
      <w:r>
        <w:rPr>
          <w:sz w:val="20"/>
        </w:rPr>
        <w:t>(y</w:t>
      </w:r>
      <w:r>
        <w:rPr>
          <w:spacing w:val="-3"/>
          <w:sz w:val="20"/>
        </w:rPr>
        <w:t xml:space="preserve"> </w:t>
      </w:r>
      <w:r>
        <w:rPr>
          <w:sz w:val="20"/>
        </w:rPr>
        <w:t>tribal),</w:t>
      </w:r>
      <w:r>
        <w:rPr>
          <w:spacing w:val="-6"/>
          <w:sz w:val="20"/>
        </w:rPr>
        <w:t xml:space="preserve"> </w:t>
      </w:r>
      <w:r>
        <w:rPr>
          <w:sz w:val="20"/>
        </w:rPr>
        <w:t>a la población afrodescendiente, a personas migrantes, a las personas privadas de libertad, a personas</w:t>
      </w:r>
      <w:r>
        <w:rPr>
          <w:spacing w:val="-12"/>
          <w:sz w:val="20"/>
        </w:rPr>
        <w:t xml:space="preserve"> </w:t>
      </w:r>
      <w:r>
        <w:rPr>
          <w:sz w:val="20"/>
        </w:rPr>
        <w:t>con</w:t>
      </w:r>
      <w:r>
        <w:rPr>
          <w:spacing w:val="-13"/>
          <w:sz w:val="20"/>
        </w:rPr>
        <w:t xml:space="preserve"> </w:t>
      </w:r>
      <w:r>
        <w:rPr>
          <w:sz w:val="20"/>
        </w:rPr>
        <w:t>discapac</w:t>
      </w:r>
      <w:r>
        <w:rPr>
          <w:sz w:val="20"/>
        </w:rPr>
        <w:t>idad,</w:t>
      </w:r>
      <w:r>
        <w:rPr>
          <w:spacing w:val="-14"/>
          <w:sz w:val="20"/>
        </w:rPr>
        <w:t xml:space="preserve"> </w:t>
      </w:r>
      <w:r>
        <w:rPr>
          <w:sz w:val="20"/>
        </w:rPr>
        <w:t>a</w:t>
      </w:r>
      <w:r>
        <w:rPr>
          <w:spacing w:val="-12"/>
          <w:sz w:val="20"/>
        </w:rPr>
        <w:t xml:space="preserve"> </w:t>
      </w:r>
      <w:r>
        <w:rPr>
          <w:sz w:val="20"/>
        </w:rPr>
        <w:t>personas</w:t>
      </w:r>
      <w:r>
        <w:rPr>
          <w:spacing w:val="-14"/>
          <w:sz w:val="20"/>
        </w:rPr>
        <w:t xml:space="preserve"> </w:t>
      </w:r>
      <w:r>
        <w:rPr>
          <w:sz w:val="20"/>
        </w:rPr>
        <w:t>pertenecientes</w:t>
      </w:r>
      <w:r>
        <w:rPr>
          <w:spacing w:val="-14"/>
          <w:sz w:val="20"/>
        </w:rPr>
        <w:t xml:space="preserve"> </w:t>
      </w:r>
      <w:r>
        <w:rPr>
          <w:sz w:val="20"/>
        </w:rPr>
        <w:t>a</w:t>
      </w:r>
      <w:r>
        <w:rPr>
          <w:spacing w:val="-13"/>
          <w:sz w:val="20"/>
        </w:rPr>
        <w:t xml:space="preserve"> </w:t>
      </w:r>
      <w:r>
        <w:rPr>
          <w:sz w:val="20"/>
        </w:rPr>
        <w:t>la</w:t>
      </w:r>
      <w:r>
        <w:rPr>
          <w:spacing w:val="-10"/>
          <w:sz w:val="20"/>
        </w:rPr>
        <w:t xml:space="preserve"> </w:t>
      </w:r>
      <w:r>
        <w:rPr>
          <w:sz w:val="20"/>
        </w:rPr>
        <w:t>comunidad</w:t>
      </w:r>
      <w:r>
        <w:rPr>
          <w:spacing w:val="-13"/>
          <w:sz w:val="20"/>
        </w:rPr>
        <w:t xml:space="preserve"> </w:t>
      </w:r>
      <w:r>
        <w:rPr>
          <w:sz w:val="20"/>
        </w:rPr>
        <w:t>LGBT+</w:t>
      </w:r>
      <w:r>
        <w:rPr>
          <w:spacing w:val="-14"/>
          <w:sz w:val="20"/>
        </w:rPr>
        <w:t xml:space="preserve"> </w:t>
      </w:r>
      <w:r>
        <w:rPr>
          <w:sz w:val="20"/>
        </w:rPr>
        <w:t>y</w:t>
      </w:r>
      <w:r>
        <w:rPr>
          <w:spacing w:val="-14"/>
          <w:sz w:val="20"/>
        </w:rPr>
        <w:t xml:space="preserve"> </w:t>
      </w:r>
      <w:r>
        <w:rPr>
          <w:sz w:val="20"/>
        </w:rPr>
        <w:t>a</w:t>
      </w:r>
      <w:r>
        <w:rPr>
          <w:spacing w:val="-12"/>
          <w:sz w:val="20"/>
        </w:rPr>
        <w:t xml:space="preserve"> </w:t>
      </w:r>
      <w:r>
        <w:rPr>
          <w:sz w:val="20"/>
        </w:rPr>
        <w:t>las</w:t>
      </w:r>
      <w:r>
        <w:rPr>
          <w:spacing w:val="-12"/>
          <w:sz w:val="20"/>
        </w:rPr>
        <w:t xml:space="preserve"> </w:t>
      </w:r>
      <w:r>
        <w:rPr>
          <w:sz w:val="20"/>
        </w:rPr>
        <w:t>personas mayores</w:t>
      </w:r>
      <w:hyperlink w:anchor="_bookmark786" w:history="1">
        <w:r>
          <w:rPr>
            <w:position w:val="7"/>
            <w:sz w:val="13"/>
          </w:rPr>
          <w:t>104</w:t>
        </w:r>
      </w:hyperlink>
      <w:r>
        <w:rPr>
          <w:sz w:val="20"/>
        </w:rPr>
        <w:t>. También es de destacar el análisis que refiere sobre las obligaciones de los Estados respecto del actuar de los particulares frente a la</w:t>
      </w:r>
      <w:r>
        <w:rPr>
          <w:spacing w:val="-9"/>
          <w:sz w:val="20"/>
        </w:rPr>
        <w:t xml:space="preserve"> </w:t>
      </w:r>
      <w:r>
        <w:rPr>
          <w:sz w:val="20"/>
        </w:rPr>
        <w:t>pobre</w:t>
      </w:r>
      <w:r>
        <w:rPr>
          <w:sz w:val="20"/>
        </w:rPr>
        <w:t>za</w:t>
      </w:r>
      <w:hyperlink w:anchor="_bookmark787" w:history="1">
        <w:r>
          <w:rPr>
            <w:position w:val="7"/>
            <w:sz w:val="13"/>
          </w:rPr>
          <w:t>105</w:t>
        </w:r>
      </w:hyperlink>
      <w:r>
        <w:rPr>
          <w:sz w:val="20"/>
        </w:rPr>
        <w:t>.</w:t>
      </w:r>
    </w:p>
    <w:p w14:paraId="3592EABD" w14:textId="77777777" w:rsidR="00467FCA" w:rsidRDefault="00467FCA">
      <w:pPr>
        <w:pStyle w:val="Textoindependiente"/>
        <w:spacing w:before="11"/>
        <w:rPr>
          <w:sz w:val="19"/>
        </w:rPr>
      </w:pPr>
    </w:p>
    <w:p w14:paraId="60443760" w14:textId="77777777" w:rsidR="00467FCA" w:rsidRDefault="001B68EB">
      <w:pPr>
        <w:pStyle w:val="Prrafodelista"/>
        <w:numPr>
          <w:ilvl w:val="0"/>
          <w:numId w:val="7"/>
        </w:numPr>
        <w:tabs>
          <w:tab w:val="left" w:pos="1167"/>
        </w:tabs>
        <w:ind w:left="457" w:right="275" w:firstLine="1"/>
        <w:jc w:val="both"/>
        <w:rPr>
          <w:sz w:val="20"/>
        </w:rPr>
      </w:pPr>
      <w:r>
        <w:rPr>
          <w:sz w:val="20"/>
        </w:rPr>
        <w:t xml:space="preserve">En el caso de la jurisprudencia de la Corte IDH, el primer caso inmediato en el que se empieza a consolidar este enfoque es en el caso </w:t>
      </w:r>
      <w:r>
        <w:rPr>
          <w:i/>
          <w:sz w:val="20"/>
        </w:rPr>
        <w:t xml:space="preserve">I.V. Vs. Bolivia </w:t>
      </w:r>
      <w:r>
        <w:rPr>
          <w:sz w:val="20"/>
        </w:rPr>
        <w:t>(2016). La Corte IDH abordó un</w:t>
      </w:r>
      <w:r>
        <w:rPr>
          <w:spacing w:val="-13"/>
          <w:sz w:val="20"/>
        </w:rPr>
        <w:t xml:space="preserve"> </w:t>
      </w:r>
      <w:r>
        <w:rPr>
          <w:sz w:val="20"/>
        </w:rPr>
        <w:t>caso</w:t>
      </w:r>
      <w:r>
        <w:rPr>
          <w:spacing w:val="-14"/>
          <w:sz w:val="20"/>
        </w:rPr>
        <w:t xml:space="preserve"> </w:t>
      </w:r>
      <w:r>
        <w:rPr>
          <w:sz w:val="20"/>
        </w:rPr>
        <w:t>de</w:t>
      </w:r>
      <w:r>
        <w:rPr>
          <w:spacing w:val="-11"/>
          <w:sz w:val="20"/>
        </w:rPr>
        <w:t xml:space="preserve"> </w:t>
      </w:r>
      <w:r>
        <w:rPr>
          <w:sz w:val="20"/>
        </w:rPr>
        <w:t>violencia</w:t>
      </w:r>
      <w:r>
        <w:rPr>
          <w:spacing w:val="-12"/>
          <w:sz w:val="20"/>
        </w:rPr>
        <w:t xml:space="preserve"> </w:t>
      </w:r>
      <w:r>
        <w:rPr>
          <w:sz w:val="20"/>
        </w:rPr>
        <w:t>contra</w:t>
      </w:r>
      <w:r>
        <w:rPr>
          <w:spacing w:val="-14"/>
          <w:sz w:val="20"/>
        </w:rPr>
        <w:t xml:space="preserve"> </w:t>
      </w:r>
      <w:r>
        <w:rPr>
          <w:sz w:val="20"/>
        </w:rPr>
        <w:t>la</w:t>
      </w:r>
      <w:r>
        <w:rPr>
          <w:spacing w:val="-12"/>
          <w:sz w:val="20"/>
        </w:rPr>
        <w:t xml:space="preserve"> </w:t>
      </w:r>
      <w:r>
        <w:rPr>
          <w:sz w:val="20"/>
        </w:rPr>
        <w:t>mujer</w:t>
      </w:r>
      <w:r>
        <w:rPr>
          <w:spacing w:val="-14"/>
          <w:sz w:val="20"/>
        </w:rPr>
        <w:t xml:space="preserve"> </w:t>
      </w:r>
      <w:r>
        <w:rPr>
          <w:sz w:val="20"/>
        </w:rPr>
        <w:t>en</w:t>
      </w:r>
      <w:r>
        <w:rPr>
          <w:spacing w:val="-12"/>
          <w:sz w:val="20"/>
        </w:rPr>
        <w:t xml:space="preserve"> </w:t>
      </w:r>
      <w:r>
        <w:rPr>
          <w:sz w:val="20"/>
        </w:rPr>
        <w:t>un</w:t>
      </w:r>
      <w:r>
        <w:rPr>
          <w:spacing w:val="-13"/>
          <w:sz w:val="20"/>
        </w:rPr>
        <w:t xml:space="preserve"> </w:t>
      </w:r>
      <w:r>
        <w:rPr>
          <w:sz w:val="20"/>
        </w:rPr>
        <w:t>contexto</w:t>
      </w:r>
      <w:r>
        <w:rPr>
          <w:spacing w:val="-14"/>
          <w:sz w:val="20"/>
        </w:rPr>
        <w:t xml:space="preserve"> </w:t>
      </w:r>
      <w:r>
        <w:rPr>
          <w:sz w:val="20"/>
        </w:rPr>
        <w:t>de</w:t>
      </w:r>
      <w:r>
        <w:rPr>
          <w:spacing w:val="-14"/>
          <w:sz w:val="20"/>
        </w:rPr>
        <w:t xml:space="preserve"> </w:t>
      </w:r>
      <w:r>
        <w:rPr>
          <w:sz w:val="20"/>
        </w:rPr>
        <w:t>ausencia</w:t>
      </w:r>
      <w:r>
        <w:rPr>
          <w:spacing w:val="-12"/>
          <w:sz w:val="20"/>
        </w:rPr>
        <w:t xml:space="preserve"> </w:t>
      </w:r>
      <w:r>
        <w:rPr>
          <w:sz w:val="20"/>
        </w:rPr>
        <w:t>de</w:t>
      </w:r>
      <w:r>
        <w:rPr>
          <w:spacing w:val="-14"/>
          <w:sz w:val="20"/>
        </w:rPr>
        <w:t xml:space="preserve"> </w:t>
      </w:r>
      <w:r>
        <w:rPr>
          <w:sz w:val="20"/>
        </w:rPr>
        <w:t>consentim</w:t>
      </w:r>
      <w:r>
        <w:rPr>
          <w:sz w:val="20"/>
        </w:rPr>
        <w:t>iento</w:t>
      </w:r>
      <w:r>
        <w:rPr>
          <w:spacing w:val="-15"/>
          <w:sz w:val="20"/>
        </w:rPr>
        <w:t xml:space="preserve"> </w:t>
      </w:r>
      <w:r>
        <w:rPr>
          <w:sz w:val="20"/>
        </w:rPr>
        <w:t>en</w:t>
      </w:r>
      <w:r>
        <w:rPr>
          <w:spacing w:val="-12"/>
          <w:sz w:val="20"/>
        </w:rPr>
        <w:t xml:space="preserve"> </w:t>
      </w:r>
      <w:r>
        <w:rPr>
          <w:sz w:val="20"/>
        </w:rPr>
        <w:t xml:space="preserve">materia de salud sexual y reproductiva. En el análisis del acceso a la justicia estimó que además de su condición de mujer y su estatus de refugiada, otro factor que resultó determinante fue la “posición económica” de la víctima, pues los cambios </w:t>
      </w:r>
      <w:r>
        <w:rPr>
          <w:sz w:val="20"/>
        </w:rPr>
        <w:t>de jurisdicción para la radicación de los juicios penales hicieron que se presentara un obstáculo geográfico en la accesibilidad al tribunal.</w:t>
      </w:r>
      <w:r>
        <w:rPr>
          <w:spacing w:val="-21"/>
          <w:sz w:val="20"/>
        </w:rPr>
        <w:t xml:space="preserve"> </w:t>
      </w:r>
      <w:r>
        <w:rPr>
          <w:sz w:val="20"/>
        </w:rPr>
        <w:t>Ello</w:t>
      </w:r>
      <w:r>
        <w:rPr>
          <w:spacing w:val="-20"/>
          <w:sz w:val="20"/>
        </w:rPr>
        <w:t xml:space="preserve"> </w:t>
      </w:r>
      <w:r>
        <w:rPr>
          <w:sz w:val="20"/>
        </w:rPr>
        <w:t>implicó</w:t>
      </w:r>
      <w:r>
        <w:rPr>
          <w:spacing w:val="-18"/>
          <w:sz w:val="20"/>
        </w:rPr>
        <w:t xml:space="preserve"> </w:t>
      </w:r>
      <w:r>
        <w:rPr>
          <w:sz w:val="20"/>
        </w:rPr>
        <w:t>el</w:t>
      </w:r>
      <w:r>
        <w:rPr>
          <w:spacing w:val="-17"/>
          <w:sz w:val="20"/>
        </w:rPr>
        <w:t xml:space="preserve"> </w:t>
      </w:r>
      <w:r>
        <w:rPr>
          <w:sz w:val="20"/>
        </w:rPr>
        <w:t>elevado</w:t>
      </w:r>
      <w:r>
        <w:rPr>
          <w:spacing w:val="-18"/>
          <w:sz w:val="20"/>
        </w:rPr>
        <w:t xml:space="preserve"> </w:t>
      </w:r>
      <w:r>
        <w:rPr>
          <w:sz w:val="20"/>
        </w:rPr>
        <w:t>costo</w:t>
      </w:r>
      <w:r>
        <w:rPr>
          <w:spacing w:val="-18"/>
          <w:sz w:val="20"/>
        </w:rPr>
        <w:t xml:space="preserve"> </w:t>
      </w:r>
      <w:r>
        <w:rPr>
          <w:sz w:val="20"/>
        </w:rPr>
        <w:t>socio-económico</w:t>
      </w:r>
      <w:r>
        <w:rPr>
          <w:spacing w:val="-21"/>
          <w:sz w:val="20"/>
        </w:rPr>
        <w:t xml:space="preserve"> </w:t>
      </w:r>
      <w:r>
        <w:rPr>
          <w:sz w:val="20"/>
        </w:rPr>
        <w:t>de</w:t>
      </w:r>
      <w:r>
        <w:rPr>
          <w:spacing w:val="-20"/>
          <w:sz w:val="20"/>
        </w:rPr>
        <w:t xml:space="preserve"> </w:t>
      </w:r>
      <w:r>
        <w:rPr>
          <w:sz w:val="20"/>
        </w:rPr>
        <w:t>tener</w:t>
      </w:r>
      <w:r>
        <w:rPr>
          <w:spacing w:val="-20"/>
          <w:sz w:val="20"/>
        </w:rPr>
        <w:t xml:space="preserve"> </w:t>
      </w:r>
      <w:r>
        <w:rPr>
          <w:sz w:val="20"/>
        </w:rPr>
        <w:t>que</w:t>
      </w:r>
      <w:r>
        <w:rPr>
          <w:spacing w:val="-20"/>
          <w:sz w:val="20"/>
        </w:rPr>
        <w:t xml:space="preserve"> </w:t>
      </w:r>
      <w:r>
        <w:rPr>
          <w:sz w:val="20"/>
        </w:rPr>
        <w:t>trasladarse</w:t>
      </w:r>
      <w:r>
        <w:rPr>
          <w:spacing w:val="-21"/>
          <w:sz w:val="20"/>
        </w:rPr>
        <w:t xml:space="preserve"> </w:t>
      </w:r>
      <w:r>
        <w:rPr>
          <w:sz w:val="20"/>
        </w:rPr>
        <w:t>a</w:t>
      </w:r>
      <w:r>
        <w:rPr>
          <w:spacing w:val="-16"/>
          <w:sz w:val="20"/>
        </w:rPr>
        <w:t xml:space="preserve"> </w:t>
      </w:r>
      <w:r>
        <w:rPr>
          <w:sz w:val="20"/>
        </w:rPr>
        <w:t>una</w:t>
      </w:r>
      <w:r>
        <w:rPr>
          <w:spacing w:val="-19"/>
          <w:sz w:val="20"/>
        </w:rPr>
        <w:t xml:space="preserve"> </w:t>
      </w:r>
      <w:r>
        <w:rPr>
          <w:sz w:val="20"/>
        </w:rPr>
        <w:t>distancia prolongada,</w:t>
      </w:r>
      <w:r>
        <w:rPr>
          <w:spacing w:val="-7"/>
          <w:sz w:val="20"/>
        </w:rPr>
        <w:t xml:space="preserve"> </w:t>
      </w:r>
      <w:r>
        <w:rPr>
          <w:sz w:val="20"/>
        </w:rPr>
        <w:t>al</w:t>
      </w:r>
      <w:r>
        <w:rPr>
          <w:spacing w:val="-5"/>
          <w:sz w:val="20"/>
        </w:rPr>
        <w:t xml:space="preserve"> </w:t>
      </w:r>
      <w:r>
        <w:rPr>
          <w:sz w:val="20"/>
        </w:rPr>
        <w:t>extremo</w:t>
      </w:r>
      <w:r>
        <w:rPr>
          <w:spacing w:val="-2"/>
          <w:sz w:val="20"/>
        </w:rPr>
        <w:t xml:space="preserve"> </w:t>
      </w:r>
      <w:r>
        <w:rPr>
          <w:sz w:val="20"/>
        </w:rPr>
        <w:t>de</w:t>
      </w:r>
      <w:r>
        <w:rPr>
          <w:spacing w:val="-7"/>
          <w:sz w:val="20"/>
        </w:rPr>
        <w:t xml:space="preserve"> </w:t>
      </w:r>
      <w:r>
        <w:rPr>
          <w:sz w:val="20"/>
        </w:rPr>
        <w:t>tener</w:t>
      </w:r>
      <w:r>
        <w:rPr>
          <w:spacing w:val="-7"/>
          <w:sz w:val="20"/>
        </w:rPr>
        <w:t xml:space="preserve"> </w:t>
      </w:r>
      <w:r>
        <w:rPr>
          <w:sz w:val="20"/>
        </w:rPr>
        <w:t>que</w:t>
      </w:r>
      <w:r>
        <w:rPr>
          <w:spacing w:val="-7"/>
          <w:sz w:val="20"/>
        </w:rPr>
        <w:t xml:space="preserve"> </w:t>
      </w:r>
      <w:r>
        <w:rPr>
          <w:sz w:val="20"/>
        </w:rPr>
        <w:t>viajar</w:t>
      </w:r>
      <w:r>
        <w:rPr>
          <w:spacing w:val="-4"/>
          <w:sz w:val="20"/>
        </w:rPr>
        <w:t xml:space="preserve"> </w:t>
      </w:r>
      <w:r>
        <w:rPr>
          <w:sz w:val="20"/>
        </w:rPr>
        <w:t>un</w:t>
      </w:r>
      <w:r>
        <w:rPr>
          <w:spacing w:val="-4"/>
          <w:sz w:val="20"/>
        </w:rPr>
        <w:t xml:space="preserve"> </w:t>
      </w:r>
      <w:r>
        <w:rPr>
          <w:sz w:val="20"/>
        </w:rPr>
        <w:t>trayecto</w:t>
      </w:r>
      <w:r>
        <w:rPr>
          <w:spacing w:val="-5"/>
          <w:sz w:val="20"/>
        </w:rPr>
        <w:t xml:space="preserve"> </w:t>
      </w:r>
      <w:r>
        <w:rPr>
          <w:sz w:val="20"/>
        </w:rPr>
        <w:t>de</w:t>
      </w:r>
      <w:r>
        <w:rPr>
          <w:spacing w:val="-7"/>
          <w:sz w:val="20"/>
        </w:rPr>
        <w:t xml:space="preserve"> </w:t>
      </w:r>
      <w:r>
        <w:rPr>
          <w:sz w:val="20"/>
        </w:rPr>
        <w:t>aproximadamente</w:t>
      </w:r>
      <w:r>
        <w:rPr>
          <w:spacing w:val="-7"/>
          <w:sz w:val="20"/>
        </w:rPr>
        <w:t xml:space="preserve"> </w:t>
      </w:r>
      <w:r>
        <w:rPr>
          <w:sz w:val="20"/>
        </w:rPr>
        <w:t>255</w:t>
      </w:r>
      <w:r>
        <w:rPr>
          <w:spacing w:val="-3"/>
          <w:sz w:val="20"/>
        </w:rPr>
        <w:t xml:space="preserve"> </w:t>
      </w:r>
      <w:r>
        <w:rPr>
          <w:sz w:val="20"/>
        </w:rPr>
        <w:t>km</w:t>
      </w:r>
      <w:r>
        <w:rPr>
          <w:spacing w:val="-6"/>
          <w:sz w:val="20"/>
        </w:rPr>
        <w:t xml:space="preserve"> </w:t>
      </w:r>
      <w:r>
        <w:rPr>
          <w:sz w:val="20"/>
        </w:rPr>
        <w:t>y</w:t>
      </w:r>
      <w:r>
        <w:rPr>
          <w:spacing w:val="-4"/>
          <w:sz w:val="20"/>
        </w:rPr>
        <w:t xml:space="preserve"> </w:t>
      </w:r>
      <w:r>
        <w:rPr>
          <w:sz w:val="20"/>
        </w:rPr>
        <w:t>cubrir el viaje, hospedaje y otros costos del traslado no solo de ella sino también de los testigos, lo cual</w:t>
      </w:r>
      <w:r>
        <w:rPr>
          <w:spacing w:val="-11"/>
          <w:sz w:val="20"/>
        </w:rPr>
        <w:t xml:space="preserve"> </w:t>
      </w:r>
      <w:r>
        <w:rPr>
          <w:sz w:val="20"/>
        </w:rPr>
        <w:t>evidentemente</w:t>
      </w:r>
      <w:r>
        <w:rPr>
          <w:spacing w:val="-10"/>
          <w:sz w:val="20"/>
        </w:rPr>
        <w:t xml:space="preserve"> </w:t>
      </w:r>
      <w:r>
        <w:rPr>
          <w:sz w:val="20"/>
        </w:rPr>
        <w:t>conllevó</w:t>
      </w:r>
      <w:r>
        <w:rPr>
          <w:spacing w:val="-10"/>
          <w:sz w:val="20"/>
        </w:rPr>
        <w:t xml:space="preserve"> </w:t>
      </w:r>
      <w:r>
        <w:rPr>
          <w:sz w:val="20"/>
        </w:rPr>
        <w:t>a</w:t>
      </w:r>
      <w:r>
        <w:rPr>
          <w:spacing w:val="-11"/>
          <w:sz w:val="20"/>
        </w:rPr>
        <w:t xml:space="preserve"> </w:t>
      </w:r>
      <w:r>
        <w:rPr>
          <w:sz w:val="20"/>
        </w:rPr>
        <w:t>un</w:t>
      </w:r>
      <w:r>
        <w:rPr>
          <w:spacing w:val="-10"/>
          <w:sz w:val="20"/>
        </w:rPr>
        <w:t xml:space="preserve"> </w:t>
      </w:r>
      <w:r>
        <w:rPr>
          <w:sz w:val="20"/>
        </w:rPr>
        <w:t>menoscabo</w:t>
      </w:r>
      <w:r>
        <w:rPr>
          <w:spacing w:val="-10"/>
          <w:sz w:val="20"/>
        </w:rPr>
        <w:t xml:space="preserve"> </w:t>
      </w:r>
      <w:r>
        <w:rPr>
          <w:sz w:val="20"/>
        </w:rPr>
        <w:t>de</w:t>
      </w:r>
      <w:r>
        <w:rPr>
          <w:spacing w:val="-10"/>
          <w:sz w:val="20"/>
        </w:rPr>
        <w:t xml:space="preserve"> </w:t>
      </w:r>
      <w:r>
        <w:rPr>
          <w:sz w:val="20"/>
        </w:rPr>
        <w:t>hecho</w:t>
      </w:r>
      <w:r>
        <w:rPr>
          <w:spacing w:val="-9"/>
          <w:sz w:val="20"/>
        </w:rPr>
        <w:t xml:space="preserve"> </w:t>
      </w:r>
      <w:r>
        <w:rPr>
          <w:sz w:val="20"/>
        </w:rPr>
        <w:t>injustificado</w:t>
      </w:r>
      <w:r>
        <w:rPr>
          <w:spacing w:val="-10"/>
          <w:sz w:val="20"/>
        </w:rPr>
        <w:t xml:space="preserve"> </w:t>
      </w:r>
      <w:r>
        <w:rPr>
          <w:sz w:val="20"/>
        </w:rPr>
        <w:t>en</w:t>
      </w:r>
      <w:r>
        <w:rPr>
          <w:spacing w:val="-10"/>
          <w:sz w:val="20"/>
        </w:rPr>
        <w:t xml:space="preserve"> </w:t>
      </w:r>
      <w:r>
        <w:rPr>
          <w:sz w:val="20"/>
        </w:rPr>
        <w:t>su</w:t>
      </w:r>
      <w:r>
        <w:rPr>
          <w:spacing w:val="-10"/>
          <w:sz w:val="20"/>
        </w:rPr>
        <w:t xml:space="preserve"> </w:t>
      </w:r>
      <w:r>
        <w:rPr>
          <w:sz w:val="20"/>
        </w:rPr>
        <w:t>derecho</w:t>
      </w:r>
      <w:r>
        <w:rPr>
          <w:spacing w:val="-12"/>
          <w:sz w:val="20"/>
        </w:rPr>
        <w:t xml:space="preserve"> </w:t>
      </w:r>
      <w:r>
        <w:rPr>
          <w:sz w:val="20"/>
        </w:rPr>
        <w:t>de</w:t>
      </w:r>
      <w:r>
        <w:rPr>
          <w:spacing w:val="-10"/>
          <w:sz w:val="20"/>
        </w:rPr>
        <w:t xml:space="preserve"> </w:t>
      </w:r>
      <w:r>
        <w:rPr>
          <w:sz w:val="20"/>
        </w:rPr>
        <w:t>a</w:t>
      </w:r>
      <w:r>
        <w:rPr>
          <w:sz w:val="20"/>
        </w:rPr>
        <w:t>cceder a la</w:t>
      </w:r>
      <w:r>
        <w:rPr>
          <w:spacing w:val="-2"/>
          <w:sz w:val="20"/>
        </w:rPr>
        <w:t xml:space="preserve"> </w:t>
      </w:r>
      <w:r>
        <w:rPr>
          <w:sz w:val="20"/>
        </w:rPr>
        <w:t>justicia</w:t>
      </w:r>
      <w:hyperlink w:anchor="_bookmark788" w:history="1">
        <w:r>
          <w:rPr>
            <w:position w:val="7"/>
            <w:sz w:val="13"/>
          </w:rPr>
          <w:t>106</w:t>
        </w:r>
      </w:hyperlink>
      <w:r>
        <w:rPr>
          <w:sz w:val="20"/>
        </w:rPr>
        <w:t>.</w:t>
      </w:r>
    </w:p>
    <w:p w14:paraId="340D56CF" w14:textId="77777777" w:rsidR="00467FCA" w:rsidRDefault="00467FCA">
      <w:pPr>
        <w:pStyle w:val="Textoindependiente"/>
        <w:spacing w:before="1"/>
      </w:pPr>
    </w:p>
    <w:p w14:paraId="7EC8237B" w14:textId="77777777" w:rsidR="00467FCA" w:rsidRDefault="001B68EB">
      <w:pPr>
        <w:pStyle w:val="Prrafodelista"/>
        <w:numPr>
          <w:ilvl w:val="0"/>
          <w:numId w:val="7"/>
        </w:numPr>
        <w:tabs>
          <w:tab w:val="left" w:pos="1167"/>
        </w:tabs>
        <w:ind w:right="275" w:firstLine="0"/>
        <w:jc w:val="both"/>
        <w:rPr>
          <w:sz w:val="20"/>
        </w:rPr>
      </w:pPr>
      <w:r>
        <w:rPr>
          <w:sz w:val="20"/>
        </w:rPr>
        <w:t xml:space="preserve">Con posterioridad, en el año 2018, </w:t>
      </w:r>
      <w:r>
        <w:rPr>
          <w:i/>
          <w:sz w:val="20"/>
        </w:rPr>
        <w:t>en el caso Ramírez Escobar y otros Vs.</w:t>
      </w:r>
      <w:r>
        <w:rPr>
          <w:i/>
          <w:spacing w:val="-46"/>
          <w:sz w:val="20"/>
        </w:rPr>
        <w:t xml:space="preserve"> </w:t>
      </w:r>
      <w:r>
        <w:rPr>
          <w:i/>
          <w:sz w:val="20"/>
        </w:rPr>
        <w:t>Guatemala</w:t>
      </w:r>
      <w:r>
        <w:rPr>
          <w:sz w:val="20"/>
        </w:rPr>
        <w:t xml:space="preserve">, el Tribunal Interamericano abordó las violaciones a partir de una decisión de declaratoria de abandono, en donde </w:t>
      </w:r>
      <w:r>
        <w:rPr>
          <w:sz w:val="20"/>
        </w:rPr>
        <w:t>la señora Ramírez Escobar fue separada de sus dos hijos. En el caso, la Corte</w:t>
      </w:r>
      <w:r>
        <w:rPr>
          <w:spacing w:val="-8"/>
          <w:sz w:val="20"/>
        </w:rPr>
        <w:t xml:space="preserve"> </w:t>
      </w:r>
      <w:r>
        <w:rPr>
          <w:sz w:val="20"/>
        </w:rPr>
        <w:t>IDH</w:t>
      </w:r>
      <w:r>
        <w:rPr>
          <w:spacing w:val="-2"/>
          <w:sz w:val="20"/>
        </w:rPr>
        <w:t xml:space="preserve"> </w:t>
      </w:r>
      <w:r>
        <w:rPr>
          <w:sz w:val="20"/>
        </w:rPr>
        <w:t>estimó</w:t>
      </w:r>
      <w:r>
        <w:rPr>
          <w:spacing w:val="-4"/>
          <w:sz w:val="20"/>
        </w:rPr>
        <w:t xml:space="preserve"> </w:t>
      </w:r>
      <w:r>
        <w:rPr>
          <w:sz w:val="20"/>
        </w:rPr>
        <w:t>que</w:t>
      </w:r>
      <w:r>
        <w:rPr>
          <w:spacing w:val="-4"/>
          <w:sz w:val="20"/>
        </w:rPr>
        <w:t xml:space="preserve"> </w:t>
      </w:r>
      <w:r>
        <w:rPr>
          <w:sz w:val="20"/>
        </w:rPr>
        <w:t>la</w:t>
      </w:r>
      <w:r>
        <w:rPr>
          <w:spacing w:val="-3"/>
          <w:sz w:val="20"/>
        </w:rPr>
        <w:t xml:space="preserve"> </w:t>
      </w:r>
      <w:r>
        <w:rPr>
          <w:sz w:val="20"/>
        </w:rPr>
        <w:t>separación</w:t>
      </w:r>
      <w:r>
        <w:rPr>
          <w:spacing w:val="-2"/>
          <w:sz w:val="20"/>
        </w:rPr>
        <w:t xml:space="preserve"> </w:t>
      </w:r>
      <w:r>
        <w:rPr>
          <w:sz w:val="20"/>
        </w:rPr>
        <w:t>se</w:t>
      </w:r>
      <w:r>
        <w:rPr>
          <w:spacing w:val="-4"/>
          <w:sz w:val="20"/>
        </w:rPr>
        <w:t xml:space="preserve"> </w:t>
      </w:r>
      <w:r>
        <w:rPr>
          <w:sz w:val="20"/>
        </w:rPr>
        <w:t>dio</w:t>
      </w:r>
      <w:r>
        <w:rPr>
          <w:spacing w:val="-4"/>
          <w:sz w:val="20"/>
        </w:rPr>
        <w:t xml:space="preserve"> </w:t>
      </w:r>
      <w:r>
        <w:rPr>
          <w:sz w:val="20"/>
        </w:rPr>
        <w:t>debido</w:t>
      </w:r>
      <w:r>
        <w:rPr>
          <w:spacing w:val="-6"/>
          <w:sz w:val="20"/>
        </w:rPr>
        <w:t xml:space="preserve"> </w:t>
      </w:r>
      <w:r>
        <w:rPr>
          <w:sz w:val="20"/>
        </w:rPr>
        <w:t>a</w:t>
      </w:r>
      <w:r>
        <w:rPr>
          <w:spacing w:val="-3"/>
          <w:sz w:val="20"/>
        </w:rPr>
        <w:t xml:space="preserve"> </w:t>
      </w:r>
      <w:r>
        <w:rPr>
          <w:sz w:val="20"/>
        </w:rPr>
        <w:t>su</w:t>
      </w:r>
      <w:r>
        <w:rPr>
          <w:spacing w:val="-2"/>
          <w:sz w:val="20"/>
        </w:rPr>
        <w:t xml:space="preserve"> </w:t>
      </w:r>
      <w:r>
        <w:rPr>
          <w:sz w:val="20"/>
        </w:rPr>
        <w:t>“posición</w:t>
      </w:r>
      <w:r>
        <w:rPr>
          <w:spacing w:val="-2"/>
          <w:sz w:val="20"/>
        </w:rPr>
        <w:t xml:space="preserve"> </w:t>
      </w:r>
      <w:r>
        <w:rPr>
          <w:sz w:val="20"/>
        </w:rPr>
        <w:t>económica”</w:t>
      </w:r>
      <w:r>
        <w:rPr>
          <w:spacing w:val="-6"/>
          <w:sz w:val="20"/>
        </w:rPr>
        <w:t xml:space="preserve"> </w:t>
      </w:r>
      <w:r>
        <w:rPr>
          <w:sz w:val="20"/>
        </w:rPr>
        <w:t>y</w:t>
      </w:r>
      <w:r>
        <w:rPr>
          <w:spacing w:val="-3"/>
          <w:sz w:val="20"/>
        </w:rPr>
        <w:t xml:space="preserve"> </w:t>
      </w:r>
      <w:r>
        <w:rPr>
          <w:sz w:val="20"/>
        </w:rPr>
        <w:t>precisó</w:t>
      </w:r>
      <w:r>
        <w:rPr>
          <w:spacing w:val="-4"/>
          <w:sz w:val="20"/>
        </w:rPr>
        <w:t xml:space="preserve"> </w:t>
      </w:r>
      <w:r>
        <w:rPr>
          <w:sz w:val="20"/>
        </w:rPr>
        <w:t>que</w:t>
      </w:r>
      <w:r>
        <w:rPr>
          <w:spacing w:val="-5"/>
          <w:sz w:val="20"/>
        </w:rPr>
        <w:t xml:space="preserve"> </w:t>
      </w:r>
      <w:r>
        <w:rPr>
          <w:sz w:val="20"/>
        </w:rPr>
        <w:t>“la carencia de recursos materiales no puede ser el único fundamento para una decisión que suponga la separación de un niño de su familia</w:t>
      </w:r>
      <w:hyperlink w:anchor="_bookmark789" w:history="1">
        <w:r>
          <w:rPr>
            <w:position w:val="7"/>
            <w:sz w:val="13"/>
          </w:rPr>
          <w:t>107</w:t>
        </w:r>
      </w:hyperlink>
      <w:r>
        <w:rPr>
          <w:sz w:val="20"/>
        </w:rPr>
        <w:t>. En el caso, la posición económica de la señora Ramírez Escobar interseccionó con e</w:t>
      </w:r>
      <w:r>
        <w:rPr>
          <w:sz w:val="20"/>
        </w:rPr>
        <w:t>l género, ya que en el caso también se le discriminó por una valoración sobre lo que implicaba “ser una buena madre”, es decir, con base en los roles de</w:t>
      </w:r>
      <w:r>
        <w:rPr>
          <w:spacing w:val="-1"/>
          <w:sz w:val="20"/>
        </w:rPr>
        <w:t xml:space="preserve"> </w:t>
      </w:r>
      <w:r>
        <w:rPr>
          <w:sz w:val="20"/>
        </w:rPr>
        <w:t>género</w:t>
      </w:r>
      <w:hyperlink w:anchor="_bookmark790" w:history="1">
        <w:r>
          <w:rPr>
            <w:position w:val="7"/>
            <w:sz w:val="13"/>
          </w:rPr>
          <w:t>108</w:t>
        </w:r>
      </w:hyperlink>
      <w:r>
        <w:rPr>
          <w:sz w:val="20"/>
        </w:rPr>
        <w:t>.</w:t>
      </w:r>
    </w:p>
    <w:p w14:paraId="5F060F2E" w14:textId="77777777" w:rsidR="00467FCA" w:rsidRDefault="001B68EB">
      <w:pPr>
        <w:pStyle w:val="Textoindependiente"/>
        <w:spacing w:before="3"/>
        <w:rPr>
          <w:sz w:val="25"/>
        </w:rPr>
      </w:pPr>
      <w:r>
        <w:pict w14:anchorId="7C937922">
          <v:shape id="_x0000_s1050" style="position:absolute;margin-left:70.9pt;margin-top:17.6pt;width:2in;height:.1pt;z-index:-251509760;mso-wrap-distance-left:0;mso-wrap-distance-right:0;mso-position-horizontal-relative:page" coordorigin="1418,352" coordsize="2880,0" path="m1418,352r2880,e" filled="f" strokeweight=".6pt">
            <v:path arrowok="t"/>
            <w10:wrap type="topAndBottom" anchorx="page"/>
          </v:shape>
        </w:pict>
      </w:r>
    </w:p>
    <w:p w14:paraId="06814E54" w14:textId="77777777" w:rsidR="00467FCA" w:rsidRDefault="001B68EB">
      <w:pPr>
        <w:tabs>
          <w:tab w:val="left" w:pos="1166"/>
        </w:tabs>
        <w:spacing w:before="74"/>
        <w:ind w:left="458" w:right="271"/>
        <w:jc w:val="both"/>
        <w:rPr>
          <w:sz w:val="16"/>
        </w:rPr>
      </w:pPr>
      <w:bookmarkStart w:id="865" w:name="_bookmark784"/>
      <w:bookmarkEnd w:id="865"/>
      <w:r>
        <w:rPr>
          <w:position w:val="6"/>
          <w:sz w:val="10"/>
        </w:rPr>
        <w:t>102</w:t>
      </w:r>
      <w:r>
        <w:rPr>
          <w:position w:val="6"/>
          <w:sz w:val="10"/>
        </w:rPr>
        <w:tab/>
      </w:r>
      <w:r>
        <w:rPr>
          <w:sz w:val="16"/>
        </w:rPr>
        <w:t>La Comisión expresó “91. Para efectos del presente inf</w:t>
      </w:r>
      <w:r>
        <w:rPr>
          <w:sz w:val="16"/>
        </w:rPr>
        <w:t>orme, la pobreza constituye un problema que se traduce</w:t>
      </w:r>
      <w:r>
        <w:rPr>
          <w:spacing w:val="-3"/>
          <w:sz w:val="16"/>
        </w:rPr>
        <w:t xml:space="preserve"> </w:t>
      </w:r>
      <w:r>
        <w:rPr>
          <w:sz w:val="16"/>
        </w:rPr>
        <w:t>en</w:t>
      </w:r>
      <w:r>
        <w:rPr>
          <w:spacing w:val="-6"/>
          <w:sz w:val="16"/>
        </w:rPr>
        <w:t xml:space="preserve"> </w:t>
      </w:r>
      <w:r>
        <w:rPr>
          <w:sz w:val="16"/>
        </w:rPr>
        <w:t>obstáculos</w:t>
      </w:r>
      <w:r>
        <w:rPr>
          <w:spacing w:val="-2"/>
          <w:sz w:val="16"/>
        </w:rPr>
        <w:t xml:space="preserve"> </w:t>
      </w:r>
      <w:r>
        <w:rPr>
          <w:sz w:val="16"/>
        </w:rPr>
        <w:t>para</w:t>
      </w:r>
      <w:r>
        <w:rPr>
          <w:spacing w:val="-4"/>
          <w:sz w:val="16"/>
        </w:rPr>
        <w:t xml:space="preserve"> </w:t>
      </w:r>
      <w:r>
        <w:rPr>
          <w:sz w:val="16"/>
        </w:rPr>
        <w:t>el</w:t>
      </w:r>
      <w:r>
        <w:rPr>
          <w:spacing w:val="-3"/>
          <w:sz w:val="16"/>
        </w:rPr>
        <w:t xml:space="preserve"> </w:t>
      </w:r>
      <w:r>
        <w:rPr>
          <w:sz w:val="16"/>
        </w:rPr>
        <w:t>goce</w:t>
      </w:r>
      <w:r>
        <w:rPr>
          <w:spacing w:val="-2"/>
          <w:sz w:val="16"/>
        </w:rPr>
        <w:t xml:space="preserve"> </w:t>
      </w:r>
      <w:r>
        <w:rPr>
          <w:sz w:val="16"/>
        </w:rPr>
        <w:t>y</w:t>
      </w:r>
      <w:r>
        <w:rPr>
          <w:spacing w:val="-2"/>
          <w:sz w:val="16"/>
        </w:rPr>
        <w:t xml:space="preserve"> </w:t>
      </w:r>
      <w:r>
        <w:rPr>
          <w:sz w:val="16"/>
        </w:rPr>
        <w:t>ejercicio</w:t>
      </w:r>
      <w:r>
        <w:rPr>
          <w:spacing w:val="-3"/>
          <w:sz w:val="16"/>
        </w:rPr>
        <w:t xml:space="preserve"> </w:t>
      </w:r>
      <w:r>
        <w:rPr>
          <w:sz w:val="16"/>
        </w:rPr>
        <w:t>de</w:t>
      </w:r>
      <w:r>
        <w:rPr>
          <w:spacing w:val="-2"/>
          <w:sz w:val="16"/>
        </w:rPr>
        <w:t xml:space="preserve"> </w:t>
      </w:r>
      <w:r>
        <w:rPr>
          <w:sz w:val="16"/>
        </w:rPr>
        <w:t>los</w:t>
      </w:r>
      <w:r>
        <w:rPr>
          <w:spacing w:val="-2"/>
          <w:sz w:val="16"/>
        </w:rPr>
        <w:t xml:space="preserve"> </w:t>
      </w:r>
      <w:r>
        <w:rPr>
          <w:sz w:val="16"/>
        </w:rPr>
        <w:t>derechos</w:t>
      </w:r>
      <w:r>
        <w:rPr>
          <w:spacing w:val="-3"/>
          <w:sz w:val="16"/>
        </w:rPr>
        <w:t xml:space="preserve"> </w:t>
      </w:r>
      <w:r>
        <w:rPr>
          <w:sz w:val="16"/>
        </w:rPr>
        <w:t>humanos</w:t>
      </w:r>
      <w:r>
        <w:rPr>
          <w:spacing w:val="-2"/>
          <w:sz w:val="16"/>
        </w:rPr>
        <w:t xml:space="preserve"> </w:t>
      </w:r>
      <w:r>
        <w:rPr>
          <w:sz w:val="16"/>
        </w:rPr>
        <w:t>en</w:t>
      </w:r>
      <w:r>
        <w:rPr>
          <w:spacing w:val="-4"/>
          <w:sz w:val="16"/>
        </w:rPr>
        <w:t xml:space="preserve"> </w:t>
      </w:r>
      <w:r>
        <w:rPr>
          <w:sz w:val="16"/>
        </w:rPr>
        <w:t>condiciones</w:t>
      </w:r>
      <w:r>
        <w:rPr>
          <w:spacing w:val="-2"/>
          <w:sz w:val="16"/>
        </w:rPr>
        <w:t xml:space="preserve"> </w:t>
      </w:r>
      <w:r>
        <w:rPr>
          <w:sz w:val="16"/>
        </w:rPr>
        <w:t>de</w:t>
      </w:r>
      <w:r>
        <w:rPr>
          <w:spacing w:val="-1"/>
          <w:sz w:val="16"/>
        </w:rPr>
        <w:t xml:space="preserve"> </w:t>
      </w:r>
      <w:r>
        <w:rPr>
          <w:sz w:val="16"/>
        </w:rPr>
        <w:t>igualdad</w:t>
      </w:r>
      <w:r>
        <w:rPr>
          <w:spacing w:val="-2"/>
          <w:sz w:val="16"/>
        </w:rPr>
        <w:t xml:space="preserve"> </w:t>
      </w:r>
      <w:r>
        <w:rPr>
          <w:sz w:val="16"/>
        </w:rPr>
        <w:t>real</w:t>
      </w:r>
      <w:r>
        <w:rPr>
          <w:spacing w:val="-3"/>
          <w:sz w:val="16"/>
        </w:rPr>
        <w:t xml:space="preserve"> </w:t>
      </w:r>
      <w:r>
        <w:rPr>
          <w:sz w:val="16"/>
        </w:rPr>
        <w:t>por</w:t>
      </w:r>
      <w:r>
        <w:rPr>
          <w:spacing w:val="-3"/>
          <w:sz w:val="16"/>
        </w:rPr>
        <w:t xml:space="preserve"> </w:t>
      </w:r>
      <w:r>
        <w:rPr>
          <w:sz w:val="16"/>
        </w:rPr>
        <w:t>parte</w:t>
      </w:r>
      <w:r>
        <w:rPr>
          <w:spacing w:val="-2"/>
          <w:sz w:val="16"/>
        </w:rPr>
        <w:t xml:space="preserve"> </w:t>
      </w:r>
      <w:r>
        <w:rPr>
          <w:sz w:val="16"/>
        </w:rPr>
        <w:t>de las personas, grupos y colectividades que viven en dicha situación. La situación de pobreza trae consigo una exposición</w:t>
      </w:r>
      <w:r>
        <w:rPr>
          <w:spacing w:val="-16"/>
          <w:sz w:val="16"/>
        </w:rPr>
        <w:t xml:space="preserve"> </w:t>
      </w:r>
      <w:r>
        <w:rPr>
          <w:sz w:val="16"/>
        </w:rPr>
        <w:t>acentuada</w:t>
      </w:r>
      <w:r>
        <w:rPr>
          <w:spacing w:val="-17"/>
          <w:sz w:val="16"/>
        </w:rPr>
        <w:t xml:space="preserve"> </w:t>
      </w:r>
      <w:r>
        <w:rPr>
          <w:sz w:val="16"/>
        </w:rPr>
        <w:t>a</w:t>
      </w:r>
      <w:r>
        <w:rPr>
          <w:spacing w:val="-16"/>
          <w:sz w:val="16"/>
        </w:rPr>
        <w:t xml:space="preserve"> </w:t>
      </w:r>
      <w:r>
        <w:rPr>
          <w:sz w:val="16"/>
        </w:rPr>
        <w:t>violaciones</w:t>
      </w:r>
      <w:r>
        <w:rPr>
          <w:spacing w:val="-15"/>
          <w:sz w:val="16"/>
        </w:rPr>
        <w:t xml:space="preserve"> </w:t>
      </w:r>
      <w:r>
        <w:rPr>
          <w:sz w:val="16"/>
        </w:rPr>
        <w:t>de</w:t>
      </w:r>
      <w:r>
        <w:rPr>
          <w:spacing w:val="-17"/>
          <w:sz w:val="16"/>
        </w:rPr>
        <w:t xml:space="preserve"> </w:t>
      </w:r>
      <w:r>
        <w:rPr>
          <w:sz w:val="16"/>
        </w:rPr>
        <w:t>derechos</w:t>
      </w:r>
      <w:r>
        <w:rPr>
          <w:spacing w:val="-14"/>
          <w:sz w:val="16"/>
        </w:rPr>
        <w:t xml:space="preserve"> </w:t>
      </w:r>
      <w:r>
        <w:rPr>
          <w:sz w:val="16"/>
        </w:rPr>
        <w:t>humanos;</w:t>
      </w:r>
      <w:r>
        <w:rPr>
          <w:spacing w:val="-17"/>
          <w:sz w:val="16"/>
        </w:rPr>
        <w:t xml:space="preserve"> </w:t>
      </w:r>
      <w:r>
        <w:rPr>
          <w:sz w:val="16"/>
        </w:rPr>
        <w:t>vulnerabilidad</w:t>
      </w:r>
      <w:r>
        <w:rPr>
          <w:spacing w:val="-12"/>
          <w:sz w:val="16"/>
        </w:rPr>
        <w:t xml:space="preserve"> </w:t>
      </w:r>
      <w:r>
        <w:rPr>
          <w:sz w:val="16"/>
        </w:rPr>
        <w:t>incrementada</w:t>
      </w:r>
      <w:r>
        <w:rPr>
          <w:spacing w:val="-16"/>
          <w:sz w:val="16"/>
        </w:rPr>
        <w:t xml:space="preserve"> </w:t>
      </w:r>
      <w:r>
        <w:rPr>
          <w:sz w:val="16"/>
        </w:rPr>
        <w:t>por</w:t>
      </w:r>
      <w:r>
        <w:rPr>
          <w:spacing w:val="-12"/>
          <w:sz w:val="16"/>
        </w:rPr>
        <w:t xml:space="preserve"> </w:t>
      </w:r>
      <w:r>
        <w:rPr>
          <w:sz w:val="16"/>
        </w:rPr>
        <w:t>las</w:t>
      </w:r>
      <w:r>
        <w:rPr>
          <w:spacing w:val="-15"/>
          <w:sz w:val="16"/>
        </w:rPr>
        <w:t xml:space="preserve"> </w:t>
      </w:r>
      <w:r>
        <w:rPr>
          <w:sz w:val="16"/>
        </w:rPr>
        <w:t>restricciones</w:t>
      </w:r>
      <w:r>
        <w:rPr>
          <w:spacing w:val="-15"/>
          <w:sz w:val="16"/>
        </w:rPr>
        <w:t xml:space="preserve"> </w:t>
      </w:r>
      <w:r>
        <w:rPr>
          <w:sz w:val="16"/>
        </w:rPr>
        <w:t>derivadas de la situación socioeconómi</w:t>
      </w:r>
      <w:r>
        <w:rPr>
          <w:sz w:val="16"/>
        </w:rPr>
        <w:t xml:space="preserve">ca de las personas. Asimismo, en determinados supuestos, la pobreza podría implicar además violaciones de derechos humanos atribuibles a la responsabilidad internacional del Estado”. </w:t>
      </w:r>
      <w:r>
        <w:rPr>
          <w:i/>
          <w:sz w:val="16"/>
        </w:rPr>
        <w:t xml:space="preserve">Cfr. </w:t>
      </w:r>
      <w:r>
        <w:rPr>
          <w:sz w:val="16"/>
        </w:rPr>
        <w:t>CIDH</w:t>
      </w:r>
      <w:r>
        <w:rPr>
          <w:i/>
          <w:sz w:val="16"/>
        </w:rPr>
        <w:t>, Informe sobre Pobreza y Derechos Humanos en las Américas</w:t>
      </w:r>
      <w:r>
        <w:rPr>
          <w:sz w:val="16"/>
        </w:rPr>
        <w:t>, OEA/</w:t>
      </w:r>
      <w:r>
        <w:rPr>
          <w:sz w:val="16"/>
        </w:rPr>
        <w:t>Ser.L/V/II.164, 7 de septiembre de</w:t>
      </w:r>
      <w:r>
        <w:rPr>
          <w:spacing w:val="-21"/>
          <w:sz w:val="16"/>
        </w:rPr>
        <w:t xml:space="preserve"> </w:t>
      </w:r>
      <w:r>
        <w:rPr>
          <w:sz w:val="16"/>
        </w:rPr>
        <w:t>2017.</w:t>
      </w:r>
    </w:p>
    <w:p w14:paraId="29A68E3C" w14:textId="77777777" w:rsidR="00467FCA" w:rsidRDefault="001B68EB">
      <w:pPr>
        <w:tabs>
          <w:tab w:val="left" w:pos="1166"/>
        </w:tabs>
        <w:spacing w:line="194" w:lineRule="exact"/>
        <w:ind w:left="458"/>
        <w:jc w:val="both"/>
        <w:rPr>
          <w:sz w:val="16"/>
        </w:rPr>
      </w:pPr>
      <w:bookmarkStart w:id="866" w:name="_bookmark785"/>
      <w:bookmarkEnd w:id="866"/>
      <w:r>
        <w:rPr>
          <w:position w:val="6"/>
          <w:sz w:val="10"/>
        </w:rPr>
        <w:t>103</w:t>
      </w:r>
      <w:r>
        <w:rPr>
          <w:position w:val="6"/>
          <w:sz w:val="10"/>
        </w:rPr>
        <w:tab/>
      </w:r>
      <w:r>
        <w:rPr>
          <w:i/>
          <w:sz w:val="16"/>
        </w:rPr>
        <w:t xml:space="preserve">Cfr. </w:t>
      </w:r>
      <w:r>
        <w:rPr>
          <w:sz w:val="16"/>
        </w:rPr>
        <w:t xml:space="preserve">CIDH, </w:t>
      </w:r>
      <w:r>
        <w:rPr>
          <w:i/>
          <w:sz w:val="16"/>
        </w:rPr>
        <w:t>Informe sobre Pobreza y Derechos Humanos en las Américas</w:t>
      </w:r>
      <w:r>
        <w:rPr>
          <w:sz w:val="16"/>
        </w:rPr>
        <w:t xml:space="preserve">, </w:t>
      </w:r>
      <w:r>
        <w:rPr>
          <w:i/>
          <w:sz w:val="16"/>
        </w:rPr>
        <w:t>supra</w:t>
      </w:r>
      <w:r>
        <w:rPr>
          <w:sz w:val="16"/>
        </w:rPr>
        <w:t>, párrs. 147 a</w:t>
      </w:r>
      <w:r>
        <w:rPr>
          <w:spacing w:val="-18"/>
          <w:sz w:val="16"/>
        </w:rPr>
        <w:t xml:space="preserve"> </w:t>
      </w:r>
      <w:r>
        <w:rPr>
          <w:sz w:val="16"/>
        </w:rPr>
        <w:t>156.</w:t>
      </w:r>
    </w:p>
    <w:p w14:paraId="75AB6398" w14:textId="77777777" w:rsidR="00467FCA" w:rsidRDefault="001B68EB">
      <w:pPr>
        <w:tabs>
          <w:tab w:val="left" w:pos="1166"/>
        </w:tabs>
        <w:ind w:left="458"/>
        <w:rPr>
          <w:sz w:val="16"/>
        </w:rPr>
      </w:pPr>
      <w:bookmarkStart w:id="867" w:name="_bookmark786"/>
      <w:bookmarkEnd w:id="867"/>
      <w:r>
        <w:rPr>
          <w:position w:val="6"/>
          <w:sz w:val="10"/>
        </w:rPr>
        <w:t>104</w:t>
      </w:r>
      <w:r>
        <w:rPr>
          <w:position w:val="6"/>
          <w:sz w:val="10"/>
        </w:rPr>
        <w:tab/>
      </w:r>
      <w:r>
        <w:rPr>
          <w:i/>
          <w:sz w:val="16"/>
        </w:rPr>
        <w:t xml:space="preserve">Cfr. </w:t>
      </w:r>
      <w:r>
        <w:rPr>
          <w:sz w:val="16"/>
        </w:rPr>
        <w:t xml:space="preserve">CIDH, </w:t>
      </w:r>
      <w:r>
        <w:rPr>
          <w:i/>
          <w:sz w:val="16"/>
        </w:rPr>
        <w:t>Informe sobre Pobreza y Derechos Humanos en las Américas</w:t>
      </w:r>
      <w:r>
        <w:rPr>
          <w:sz w:val="16"/>
        </w:rPr>
        <w:t xml:space="preserve">, </w:t>
      </w:r>
      <w:r>
        <w:rPr>
          <w:i/>
          <w:sz w:val="16"/>
        </w:rPr>
        <w:t>supra</w:t>
      </w:r>
      <w:r>
        <w:rPr>
          <w:sz w:val="16"/>
        </w:rPr>
        <w:t>, capítulo</w:t>
      </w:r>
      <w:r>
        <w:rPr>
          <w:spacing w:val="-9"/>
          <w:sz w:val="16"/>
        </w:rPr>
        <w:t xml:space="preserve"> </w:t>
      </w:r>
      <w:r>
        <w:rPr>
          <w:sz w:val="16"/>
        </w:rPr>
        <w:t>3.</w:t>
      </w:r>
    </w:p>
    <w:p w14:paraId="4B18A937" w14:textId="77777777" w:rsidR="00467FCA" w:rsidRDefault="001B68EB">
      <w:pPr>
        <w:tabs>
          <w:tab w:val="left" w:pos="1166"/>
        </w:tabs>
        <w:ind w:left="458"/>
        <w:rPr>
          <w:sz w:val="16"/>
        </w:rPr>
      </w:pPr>
      <w:bookmarkStart w:id="868" w:name="_bookmark787"/>
      <w:bookmarkEnd w:id="868"/>
      <w:r>
        <w:rPr>
          <w:position w:val="6"/>
          <w:sz w:val="10"/>
        </w:rPr>
        <w:t>105</w:t>
      </w:r>
      <w:r>
        <w:rPr>
          <w:position w:val="6"/>
          <w:sz w:val="10"/>
        </w:rPr>
        <w:tab/>
      </w:r>
      <w:r>
        <w:rPr>
          <w:i/>
          <w:sz w:val="16"/>
        </w:rPr>
        <w:t xml:space="preserve">Cfr. </w:t>
      </w:r>
      <w:r>
        <w:rPr>
          <w:sz w:val="16"/>
        </w:rPr>
        <w:t xml:space="preserve">CIDH, </w:t>
      </w:r>
      <w:r>
        <w:rPr>
          <w:i/>
          <w:sz w:val="16"/>
        </w:rPr>
        <w:t>Informe sobre Pobreza y Derechos Humanos en las Américas</w:t>
      </w:r>
      <w:r>
        <w:rPr>
          <w:sz w:val="16"/>
        </w:rPr>
        <w:t xml:space="preserve">, </w:t>
      </w:r>
      <w:r>
        <w:rPr>
          <w:i/>
          <w:sz w:val="16"/>
        </w:rPr>
        <w:t>supra</w:t>
      </w:r>
      <w:r>
        <w:rPr>
          <w:sz w:val="16"/>
        </w:rPr>
        <w:t>, párrs. 237 a</w:t>
      </w:r>
      <w:r>
        <w:rPr>
          <w:spacing w:val="-17"/>
          <w:sz w:val="16"/>
        </w:rPr>
        <w:t xml:space="preserve"> </w:t>
      </w:r>
      <w:r>
        <w:rPr>
          <w:spacing w:val="-2"/>
          <w:sz w:val="16"/>
        </w:rPr>
        <w:t>248</w:t>
      </w:r>
    </w:p>
    <w:p w14:paraId="0C208B82" w14:textId="77777777" w:rsidR="00467FCA" w:rsidRDefault="001B68EB">
      <w:pPr>
        <w:tabs>
          <w:tab w:val="left" w:pos="1166"/>
        </w:tabs>
        <w:ind w:left="458" w:right="409"/>
        <w:rPr>
          <w:sz w:val="16"/>
        </w:rPr>
      </w:pPr>
      <w:bookmarkStart w:id="869" w:name="_bookmark788"/>
      <w:bookmarkEnd w:id="869"/>
      <w:r>
        <w:rPr>
          <w:position w:val="6"/>
          <w:sz w:val="10"/>
        </w:rPr>
        <w:t>106</w:t>
      </w:r>
      <w:r>
        <w:rPr>
          <w:position w:val="6"/>
          <w:sz w:val="10"/>
        </w:rPr>
        <w:tab/>
      </w:r>
      <w:r>
        <w:rPr>
          <w:i/>
          <w:sz w:val="16"/>
        </w:rPr>
        <w:t>Cfr. Caso I.V. Vs. Bolivia. Excepciones Preliminares, Fondo, Reparaciones y Costas</w:t>
      </w:r>
      <w:r>
        <w:rPr>
          <w:sz w:val="16"/>
        </w:rPr>
        <w:t>. Sentencia de 30 de noviembre de 2016. Serie C No. 329, párrs. 317 a</w:t>
      </w:r>
      <w:r>
        <w:rPr>
          <w:spacing w:val="-10"/>
          <w:sz w:val="16"/>
        </w:rPr>
        <w:t xml:space="preserve"> </w:t>
      </w:r>
      <w:r>
        <w:rPr>
          <w:sz w:val="16"/>
        </w:rPr>
        <w:t>323.</w:t>
      </w:r>
    </w:p>
    <w:p w14:paraId="5794BC9D" w14:textId="77777777" w:rsidR="00467FCA" w:rsidRDefault="001B68EB">
      <w:pPr>
        <w:tabs>
          <w:tab w:val="left" w:pos="1166"/>
        </w:tabs>
        <w:ind w:left="458" w:right="276"/>
        <w:rPr>
          <w:sz w:val="16"/>
        </w:rPr>
      </w:pPr>
      <w:bookmarkStart w:id="870" w:name="_bookmark789"/>
      <w:bookmarkEnd w:id="870"/>
      <w:r>
        <w:rPr>
          <w:position w:val="6"/>
          <w:sz w:val="10"/>
        </w:rPr>
        <w:t>107</w:t>
      </w:r>
      <w:r>
        <w:rPr>
          <w:position w:val="6"/>
          <w:sz w:val="10"/>
        </w:rPr>
        <w:tab/>
      </w:r>
      <w:r>
        <w:rPr>
          <w:i/>
          <w:sz w:val="16"/>
        </w:rPr>
        <w:t>Cfr. Caso Ramírez Escobar y otros Vs. Guatemala. Fondo, Reparaciones y Costas</w:t>
      </w:r>
      <w:r>
        <w:rPr>
          <w:sz w:val="16"/>
        </w:rPr>
        <w:t>. Sentencia de 9 de marzo de 2018. Serie C No. 351, párrs. 288 y</w:t>
      </w:r>
      <w:r>
        <w:rPr>
          <w:spacing w:val="-9"/>
          <w:sz w:val="16"/>
        </w:rPr>
        <w:t xml:space="preserve"> </w:t>
      </w:r>
      <w:r>
        <w:rPr>
          <w:sz w:val="16"/>
        </w:rPr>
        <w:t>304.</w:t>
      </w:r>
    </w:p>
    <w:p w14:paraId="0014AA55" w14:textId="77777777" w:rsidR="00467FCA" w:rsidRDefault="001B68EB">
      <w:pPr>
        <w:tabs>
          <w:tab w:val="left" w:pos="1166"/>
        </w:tabs>
        <w:ind w:left="458" w:right="272" w:hanging="1"/>
        <w:jc w:val="both"/>
        <w:rPr>
          <w:sz w:val="16"/>
        </w:rPr>
      </w:pPr>
      <w:bookmarkStart w:id="871" w:name="_bookmark790"/>
      <w:bookmarkEnd w:id="871"/>
      <w:r>
        <w:rPr>
          <w:position w:val="6"/>
          <w:sz w:val="10"/>
        </w:rPr>
        <w:t>108</w:t>
      </w:r>
      <w:r>
        <w:rPr>
          <w:position w:val="6"/>
          <w:sz w:val="10"/>
        </w:rPr>
        <w:tab/>
      </w:r>
      <w:r>
        <w:rPr>
          <w:sz w:val="16"/>
        </w:rPr>
        <w:t>La</w:t>
      </w:r>
      <w:r>
        <w:rPr>
          <w:spacing w:val="-7"/>
          <w:sz w:val="16"/>
        </w:rPr>
        <w:t xml:space="preserve"> </w:t>
      </w:r>
      <w:r>
        <w:rPr>
          <w:sz w:val="16"/>
        </w:rPr>
        <w:t>Corte</w:t>
      </w:r>
      <w:r>
        <w:rPr>
          <w:spacing w:val="-7"/>
          <w:sz w:val="16"/>
        </w:rPr>
        <w:t xml:space="preserve"> </w:t>
      </w:r>
      <w:r>
        <w:rPr>
          <w:sz w:val="16"/>
        </w:rPr>
        <w:t>IDH</w:t>
      </w:r>
      <w:r>
        <w:rPr>
          <w:spacing w:val="-6"/>
          <w:sz w:val="16"/>
        </w:rPr>
        <w:t xml:space="preserve"> </w:t>
      </w:r>
      <w:r>
        <w:rPr>
          <w:sz w:val="16"/>
        </w:rPr>
        <w:t>indicó</w:t>
      </w:r>
      <w:r>
        <w:rPr>
          <w:spacing w:val="-8"/>
          <w:sz w:val="16"/>
        </w:rPr>
        <w:t xml:space="preserve"> </w:t>
      </w:r>
      <w:r>
        <w:rPr>
          <w:sz w:val="16"/>
        </w:rPr>
        <w:t>que</w:t>
      </w:r>
      <w:r>
        <w:rPr>
          <w:spacing w:val="-10"/>
          <w:sz w:val="16"/>
        </w:rPr>
        <w:t xml:space="preserve"> </w:t>
      </w:r>
      <w:r>
        <w:rPr>
          <w:sz w:val="16"/>
        </w:rPr>
        <w:t>“[</w:t>
      </w:r>
      <w:r>
        <w:rPr>
          <w:sz w:val="16"/>
        </w:rPr>
        <w:t>…]</w:t>
      </w:r>
      <w:r>
        <w:rPr>
          <w:spacing w:val="-6"/>
          <w:sz w:val="16"/>
        </w:rPr>
        <w:t xml:space="preserve"> </w:t>
      </w:r>
      <w:r>
        <w:rPr>
          <w:sz w:val="16"/>
        </w:rPr>
        <w:t>En</w:t>
      </w:r>
      <w:r>
        <w:rPr>
          <w:spacing w:val="-6"/>
          <w:sz w:val="16"/>
        </w:rPr>
        <w:t xml:space="preserve"> </w:t>
      </w:r>
      <w:r>
        <w:rPr>
          <w:sz w:val="16"/>
        </w:rPr>
        <w:t>este</w:t>
      </w:r>
      <w:r>
        <w:rPr>
          <w:spacing w:val="-8"/>
          <w:sz w:val="16"/>
        </w:rPr>
        <w:t xml:space="preserve"> </w:t>
      </w:r>
      <w:r>
        <w:rPr>
          <w:sz w:val="16"/>
        </w:rPr>
        <w:t>sentido,</w:t>
      </w:r>
      <w:r>
        <w:rPr>
          <w:spacing w:val="-8"/>
          <w:sz w:val="16"/>
        </w:rPr>
        <w:t xml:space="preserve"> </w:t>
      </w:r>
      <w:r>
        <w:rPr>
          <w:sz w:val="16"/>
        </w:rPr>
        <w:t>por</w:t>
      </w:r>
      <w:r>
        <w:rPr>
          <w:spacing w:val="-6"/>
          <w:sz w:val="16"/>
        </w:rPr>
        <w:t xml:space="preserve"> </w:t>
      </w:r>
      <w:r>
        <w:rPr>
          <w:sz w:val="16"/>
        </w:rPr>
        <w:t>un</w:t>
      </w:r>
      <w:r>
        <w:rPr>
          <w:spacing w:val="-7"/>
          <w:sz w:val="16"/>
        </w:rPr>
        <w:t xml:space="preserve"> </w:t>
      </w:r>
      <w:r>
        <w:rPr>
          <w:sz w:val="16"/>
        </w:rPr>
        <w:t>lado,</w:t>
      </w:r>
      <w:r>
        <w:rPr>
          <w:spacing w:val="-8"/>
          <w:sz w:val="16"/>
        </w:rPr>
        <w:t xml:space="preserve"> </w:t>
      </w:r>
      <w:r>
        <w:rPr>
          <w:sz w:val="16"/>
        </w:rPr>
        <w:t>distintos</w:t>
      </w:r>
      <w:r>
        <w:rPr>
          <w:spacing w:val="-5"/>
          <w:sz w:val="16"/>
        </w:rPr>
        <w:t xml:space="preserve"> </w:t>
      </w:r>
      <w:r>
        <w:rPr>
          <w:sz w:val="16"/>
        </w:rPr>
        <w:t>informes</w:t>
      </w:r>
      <w:r>
        <w:rPr>
          <w:spacing w:val="-8"/>
          <w:sz w:val="16"/>
        </w:rPr>
        <w:t xml:space="preserve"> </w:t>
      </w:r>
      <w:r>
        <w:rPr>
          <w:sz w:val="16"/>
        </w:rPr>
        <w:t>estudiaron</w:t>
      </w:r>
      <w:r>
        <w:rPr>
          <w:spacing w:val="-8"/>
          <w:sz w:val="16"/>
        </w:rPr>
        <w:t xml:space="preserve"> </w:t>
      </w:r>
      <w:r>
        <w:rPr>
          <w:sz w:val="16"/>
        </w:rPr>
        <w:t>si</w:t>
      </w:r>
      <w:r>
        <w:rPr>
          <w:spacing w:val="-8"/>
          <w:sz w:val="16"/>
        </w:rPr>
        <w:t xml:space="preserve"> </w:t>
      </w:r>
      <w:r>
        <w:rPr>
          <w:sz w:val="16"/>
        </w:rPr>
        <w:t>la</w:t>
      </w:r>
      <w:r>
        <w:rPr>
          <w:spacing w:val="-6"/>
          <w:sz w:val="16"/>
        </w:rPr>
        <w:t xml:space="preserve"> </w:t>
      </w:r>
      <w:r>
        <w:rPr>
          <w:sz w:val="16"/>
        </w:rPr>
        <w:t>señora</w:t>
      </w:r>
      <w:r>
        <w:rPr>
          <w:spacing w:val="-9"/>
          <w:sz w:val="16"/>
        </w:rPr>
        <w:t xml:space="preserve"> </w:t>
      </w:r>
      <w:r>
        <w:rPr>
          <w:sz w:val="16"/>
        </w:rPr>
        <w:t>Ramírez Escobar podía o no asumir su “rol maternal” o “rol de madre”, sin que quede claro qué características le atribuyen a ese</w:t>
      </w:r>
      <w:r>
        <w:rPr>
          <w:spacing w:val="31"/>
          <w:sz w:val="16"/>
        </w:rPr>
        <w:t xml:space="preserve"> </w:t>
      </w:r>
      <w:r>
        <w:rPr>
          <w:sz w:val="16"/>
        </w:rPr>
        <w:t>rol;</w:t>
      </w:r>
      <w:r>
        <w:rPr>
          <w:spacing w:val="32"/>
          <w:sz w:val="16"/>
        </w:rPr>
        <w:t xml:space="preserve"> </w:t>
      </w:r>
      <w:r>
        <w:rPr>
          <w:sz w:val="16"/>
        </w:rPr>
        <w:t>analizaron</w:t>
      </w:r>
      <w:r>
        <w:rPr>
          <w:spacing w:val="32"/>
          <w:sz w:val="16"/>
        </w:rPr>
        <w:t xml:space="preserve"> </w:t>
      </w:r>
      <w:r>
        <w:rPr>
          <w:sz w:val="16"/>
        </w:rPr>
        <w:t>si</w:t>
      </w:r>
      <w:r>
        <w:rPr>
          <w:spacing w:val="30"/>
          <w:sz w:val="16"/>
        </w:rPr>
        <w:t xml:space="preserve"> </w:t>
      </w:r>
      <w:r>
        <w:rPr>
          <w:sz w:val="16"/>
        </w:rPr>
        <w:t>“aceptaba</w:t>
      </w:r>
      <w:r>
        <w:rPr>
          <w:spacing w:val="33"/>
          <w:sz w:val="16"/>
        </w:rPr>
        <w:t xml:space="preserve"> </w:t>
      </w:r>
      <w:r>
        <w:rPr>
          <w:sz w:val="16"/>
        </w:rPr>
        <w:t>su</w:t>
      </w:r>
      <w:r>
        <w:rPr>
          <w:spacing w:val="31"/>
          <w:sz w:val="16"/>
        </w:rPr>
        <w:t xml:space="preserve"> </w:t>
      </w:r>
      <w:r>
        <w:rPr>
          <w:sz w:val="16"/>
        </w:rPr>
        <w:t>rol</w:t>
      </w:r>
      <w:r>
        <w:rPr>
          <w:spacing w:val="32"/>
          <w:sz w:val="16"/>
        </w:rPr>
        <w:t xml:space="preserve"> </w:t>
      </w:r>
      <w:r>
        <w:rPr>
          <w:sz w:val="16"/>
        </w:rPr>
        <w:t>femenino”</w:t>
      </w:r>
      <w:r>
        <w:rPr>
          <w:spacing w:val="31"/>
          <w:sz w:val="16"/>
        </w:rPr>
        <w:t xml:space="preserve"> </w:t>
      </w:r>
      <w:r>
        <w:rPr>
          <w:sz w:val="16"/>
        </w:rPr>
        <w:t>y</w:t>
      </w:r>
      <w:r>
        <w:rPr>
          <w:spacing w:val="32"/>
          <w:sz w:val="16"/>
        </w:rPr>
        <w:t xml:space="preserve"> </w:t>
      </w:r>
      <w:r>
        <w:rPr>
          <w:sz w:val="16"/>
        </w:rPr>
        <w:t>“el</w:t>
      </w:r>
      <w:r>
        <w:rPr>
          <w:spacing w:val="30"/>
          <w:sz w:val="16"/>
        </w:rPr>
        <w:t xml:space="preserve"> </w:t>
      </w:r>
      <w:r>
        <w:rPr>
          <w:sz w:val="16"/>
        </w:rPr>
        <w:t>modelo</w:t>
      </w:r>
      <w:r>
        <w:rPr>
          <w:spacing w:val="34"/>
          <w:sz w:val="16"/>
        </w:rPr>
        <w:t xml:space="preserve"> </w:t>
      </w:r>
      <w:r>
        <w:rPr>
          <w:sz w:val="16"/>
        </w:rPr>
        <w:t>sexual”</w:t>
      </w:r>
      <w:r>
        <w:rPr>
          <w:spacing w:val="31"/>
          <w:sz w:val="16"/>
        </w:rPr>
        <w:t xml:space="preserve"> </w:t>
      </w:r>
      <w:r>
        <w:rPr>
          <w:sz w:val="16"/>
        </w:rPr>
        <w:t>que</w:t>
      </w:r>
      <w:r>
        <w:rPr>
          <w:spacing w:val="32"/>
          <w:sz w:val="16"/>
        </w:rPr>
        <w:t xml:space="preserve"> </w:t>
      </w:r>
      <w:r>
        <w:rPr>
          <w:sz w:val="16"/>
        </w:rPr>
        <w:t>atribuyen</w:t>
      </w:r>
      <w:r>
        <w:rPr>
          <w:spacing w:val="32"/>
          <w:sz w:val="16"/>
        </w:rPr>
        <w:t xml:space="preserve"> </w:t>
      </w:r>
      <w:r>
        <w:rPr>
          <w:sz w:val="16"/>
        </w:rPr>
        <w:t>a</w:t>
      </w:r>
      <w:r>
        <w:rPr>
          <w:spacing w:val="33"/>
          <w:sz w:val="16"/>
        </w:rPr>
        <w:t xml:space="preserve"> </w:t>
      </w:r>
      <w:r>
        <w:rPr>
          <w:sz w:val="16"/>
        </w:rPr>
        <w:t>dicho</w:t>
      </w:r>
      <w:r>
        <w:rPr>
          <w:spacing w:val="32"/>
          <w:sz w:val="16"/>
        </w:rPr>
        <w:t xml:space="preserve"> </w:t>
      </w:r>
      <w:r>
        <w:rPr>
          <w:sz w:val="16"/>
        </w:rPr>
        <w:t>rol;</w:t>
      </w:r>
      <w:r>
        <w:rPr>
          <w:spacing w:val="30"/>
          <w:sz w:val="16"/>
        </w:rPr>
        <w:t xml:space="preserve"> </w:t>
      </w:r>
      <w:r>
        <w:rPr>
          <w:sz w:val="16"/>
        </w:rPr>
        <w:t>basaron</w:t>
      </w:r>
      <w:r>
        <w:rPr>
          <w:spacing w:val="32"/>
          <w:sz w:val="16"/>
        </w:rPr>
        <w:t xml:space="preserve"> </w:t>
      </w:r>
      <w:r>
        <w:rPr>
          <w:sz w:val="16"/>
        </w:rPr>
        <w:t>sus</w:t>
      </w:r>
    </w:p>
    <w:p w14:paraId="33D72372" w14:textId="77777777" w:rsidR="00467FCA" w:rsidRDefault="00467FCA">
      <w:pPr>
        <w:jc w:val="both"/>
        <w:rPr>
          <w:sz w:val="16"/>
        </w:rPr>
        <w:sectPr w:rsidR="00467FCA">
          <w:pgSz w:w="12240" w:h="15840"/>
          <w:pgMar w:top="1340" w:right="1140" w:bottom="920" w:left="960" w:header="0" w:footer="734" w:gutter="0"/>
          <w:cols w:space="720"/>
        </w:sectPr>
      </w:pPr>
    </w:p>
    <w:p w14:paraId="5F779877" w14:textId="77777777" w:rsidR="00467FCA" w:rsidRDefault="001B68EB">
      <w:pPr>
        <w:pStyle w:val="Prrafodelista"/>
        <w:numPr>
          <w:ilvl w:val="0"/>
          <w:numId w:val="7"/>
        </w:numPr>
        <w:tabs>
          <w:tab w:val="left" w:pos="1167"/>
        </w:tabs>
        <w:spacing w:before="161"/>
        <w:ind w:right="274" w:firstLine="0"/>
        <w:jc w:val="both"/>
        <w:rPr>
          <w:sz w:val="20"/>
        </w:rPr>
      </w:pPr>
      <w:r>
        <w:rPr>
          <w:sz w:val="20"/>
        </w:rPr>
        <w:t xml:space="preserve">Finalmente, en el mismo año, en el caso </w:t>
      </w:r>
      <w:r>
        <w:rPr>
          <w:i/>
          <w:sz w:val="20"/>
        </w:rPr>
        <w:t xml:space="preserve">Cuscul Pivaral y otros </w:t>
      </w:r>
      <w:r>
        <w:rPr>
          <w:sz w:val="20"/>
        </w:rPr>
        <w:t>(2018), la Corte IDH analizó la condición económica desde el punto de la vista de la “accesibilidad física” d</w:t>
      </w:r>
      <w:r>
        <w:rPr>
          <w:sz w:val="20"/>
        </w:rPr>
        <w:t>e los establecimientos de salud en el que 5 víctimas debieron recibir atención médica para el tratamiento</w:t>
      </w:r>
      <w:r>
        <w:rPr>
          <w:spacing w:val="-22"/>
          <w:sz w:val="20"/>
        </w:rPr>
        <w:t xml:space="preserve"> </w:t>
      </w:r>
      <w:r>
        <w:rPr>
          <w:sz w:val="20"/>
        </w:rPr>
        <w:t>para</w:t>
      </w:r>
      <w:r>
        <w:rPr>
          <w:spacing w:val="-18"/>
          <w:sz w:val="20"/>
        </w:rPr>
        <w:t xml:space="preserve"> </w:t>
      </w:r>
      <w:r>
        <w:rPr>
          <w:sz w:val="20"/>
        </w:rPr>
        <w:t>el</w:t>
      </w:r>
      <w:r>
        <w:rPr>
          <w:spacing w:val="-21"/>
          <w:sz w:val="20"/>
        </w:rPr>
        <w:t xml:space="preserve"> </w:t>
      </w:r>
      <w:r>
        <w:rPr>
          <w:sz w:val="20"/>
        </w:rPr>
        <w:t>VIH/SIDA.</w:t>
      </w:r>
      <w:r>
        <w:rPr>
          <w:spacing w:val="-21"/>
          <w:sz w:val="20"/>
        </w:rPr>
        <w:t xml:space="preserve"> </w:t>
      </w:r>
      <w:r>
        <w:rPr>
          <w:sz w:val="20"/>
        </w:rPr>
        <w:t>Así,</w:t>
      </w:r>
      <w:r>
        <w:rPr>
          <w:spacing w:val="-19"/>
          <w:sz w:val="20"/>
        </w:rPr>
        <w:t xml:space="preserve"> </w:t>
      </w:r>
      <w:r>
        <w:rPr>
          <w:sz w:val="20"/>
        </w:rPr>
        <w:t>el</w:t>
      </w:r>
      <w:r>
        <w:rPr>
          <w:spacing w:val="-18"/>
          <w:sz w:val="20"/>
        </w:rPr>
        <w:t xml:space="preserve"> </w:t>
      </w:r>
      <w:r>
        <w:rPr>
          <w:sz w:val="20"/>
        </w:rPr>
        <w:t>Tribunal</w:t>
      </w:r>
      <w:r>
        <w:rPr>
          <w:spacing w:val="-20"/>
          <w:sz w:val="20"/>
        </w:rPr>
        <w:t xml:space="preserve"> </w:t>
      </w:r>
      <w:r>
        <w:rPr>
          <w:sz w:val="20"/>
        </w:rPr>
        <w:t>Interamericano</w:t>
      </w:r>
      <w:r>
        <w:rPr>
          <w:spacing w:val="-20"/>
          <w:sz w:val="20"/>
        </w:rPr>
        <w:t xml:space="preserve"> </w:t>
      </w:r>
      <w:r>
        <w:rPr>
          <w:sz w:val="20"/>
        </w:rPr>
        <w:t>consideró</w:t>
      </w:r>
      <w:r>
        <w:rPr>
          <w:spacing w:val="-22"/>
          <w:sz w:val="20"/>
        </w:rPr>
        <w:t xml:space="preserve"> </w:t>
      </w:r>
      <w:r>
        <w:rPr>
          <w:sz w:val="20"/>
        </w:rPr>
        <w:t>que</w:t>
      </w:r>
      <w:r>
        <w:rPr>
          <w:spacing w:val="-21"/>
          <w:sz w:val="20"/>
        </w:rPr>
        <w:t xml:space="preserve"> </w:t>
      </w:r>
      <w:r>
        <w:rPr>
          <w:sz w:val="20"/>
        </w:rPr>
        <w:t>“la</w:t>
      </w:r>
      <w:r>
        <w:rPr>
          <w:spacing w:val="-21"/>
          <w:sz w:val="20"/>
        </w:rPr>
        <w:t xml:space="preserve"> </w:t>
      </w:r>
      <w:r>
        <w:rPr>
          <w:sz w:val="20"/>
        </w:rPr>
        <w:t>distancia</w:t>
      </w:r>
      <w:r>
        <w:rPr>
          <w:spacing w:val="-18"/>
          <w:sz w:val="20"/>
        </w:rPr>
        <w:t xml:space="preserve"> </w:t>
      </w:r>
      <w:r>
        <w:rPr>
          <w:sz w:val="20"/>
        </w:rPr>
        <w:t>entre el centro de salud y la precaria condición económica de 5 presunta</w:t>
      </w:r>
      <w:r>
        <w:rPr>
          <w:sz w:val="20"/>
        </w:rPr>
        <w:t>s víctimas constituyó un obstáculo para desplazarse a los centros de salud, lo cual impactó su posibilidad para recibir atención médica, y por lo tanto sus posibilidades de iniciar o continuar su tratamiento de manera adecuada. En este sentido, el Tribunal</w:t>
      </w:r>
      <w:r>
        <w:rPr>
          <w:sz w:val="20"/>
        </w:rPr>
        <w:t xml:space="preserve"> advirtió que la condición económica en que vivían las presuntas víctimas fue un factor determinante en su posibilidad de acceder a los establecimientos, bienes y servicios de salud, y que el Estado no realizó ninguna acción destinada a mitigar este</w:t>
      </w:r>
      <w:r>
        <w:rPr>
          <w:spacing w:val="-3"/>
          <w:sz w:val="20"/>
        </w:rPr>
        <w:t xml:space="preserve"> </w:t>
      </w:r>
      <w:r>
        <w:rPr>
          <w:sz w:val="20"/>
        </w:rPr>
        <w:t>impact</w:t>
      </w:r>
      <w:r>
        <w:rPr>
          <w:sz w:val="20"/>
        </w:rPr>
        <w:t>o”</w:t>
      </w:r>
      <w:hyperlink w:anchor="_bookmark791" w:history="1">
        <w:r>
          <w:rPr>
            <w:position w:val="7"/>
            <w:sz w:val="13"/>
          </w:rPr>
          <w:t>109</w:t>
        </w:r>
      </w:hyperlink>
      <w:r>
        <w:rPr>
          <w:sz w:val="20"/>
        </w:rPr>
        <w:t>.</w:t>
      </w:r>
    </w:p>
    <w:p w14:paraId="0A2102B9" w14:textId="77777777" w:rsidR="00467FCA" w:rsidRDefault="00467FCA">
      <w:pPr>
        <w:pStyle w:val="Textoindependiente"/>
        <w:spacing w:before="11"/>
        <w:rPr>
          <w:sz w:val="19"/>
        </w:rPr>
      </w:pPr>
    </w:p>
    <w:p w14:paraId="2F721F7E" w14:textId="77777777" w:rsidR="00467FCA" w:rsidRDefault="001B68EB">
      <w:pPr>
        <w:pStyle w:val="Ttulo2"/>
        <w:numPr>
          <w:ilvl w:val="0"/>
          <w:numId w:val="6"/>
        </w:numPr>
        <w:tabs>
          <w:tab w:val="left" w:pos="764"/>
        </w:tabs>
        <w:ind w:left="458" w:right="275" w:firstLine="0"/>
        <w:jc w:val="both"/>
      </w:pPr>
      <w:r>
        <w:t xml:space="preserve">La discriminación estructural e interseccional en las víctimas de la explosión de </w:t>
      </w:r>
      <w:r>
        <w:t>la Fábrica de</w:t>
      </w:r>
      <w:r>
        <w:rPr>
          <w:spacing w:val="-1"/>
        </w:rPr>
        <w:t xml:space="preserve"> </w:t>
      </w:r>
      <w:r>
        <w:t>Fuegos</w:t>
      </w:r>
    </w:p>
    <w:p w14:paraId="482EE5A9" w14:textId="77777777" w:rsidR="00467FCA" w:rsidRDefault="00467FCA">
      <w:pPr>
        <w:pStyle w:val="Textoindependiente"/>
        <w:spacing w:before="1"/>
        <w:rPr>
          <w:b/>
          <w:i/>
        </w:rPr>
      </w:pPr>
    </w:p>
    <w:p w14:paraId="4A2D69C6" w14:textId="77777777" w:rsidR="00467FCA" w:rsidRDefault="001B68EB">
      <w:pPr>
        <w:pStyle w:val="Prrafodelista"/>
        <w:numPr>
          <w:ilvl w:val="0"/>
          <w:numId w:val="7"/>
        </w:numPr>
        <w:tabs>
          <w:tab w:val="left" w:pos="1167"/>
        </w:tabs>
        <w:ind w:right="274" w:firstLine="0"/>
        <w:jc w:val="both"/>
        <w:rPr>
          <w:sz w:val="20"/>
        </w:rPr>
      </w:pPr>
      <w:r>
        <w:rPr>
          <w:sz w:val="20"/>
        </w:rPr>
        <w:t>Con anterioridad, he expresado algunos de los elementos que deben ser tomados en consideración,</w:t>
      </w:r>
      <w:r>
        <w:rPr>
          <w:spacing w:val="-14"/>
          <w:sz w:val="20"/>
        </w:rPr>
        <w:t xml:space="preserve"> </w:t>
      </w:r>
      <w:r>
        <w:rPr>
          <w:sz w:val="20"/>
        </w:rPr>
        <w:t>a</w:t>
      </w:r>
      <w:r>
        <w:rPr>
          <w:spacing w:val="-16"/>
          <w:sz w:val="20"/>
        </w:rPr>
        <w:t xml:space="preserve"> </w:t>
      </w:r>
      <w:r>
        <w:rPr>
          <w:sz w:val="20"/>
        </w:rPr>
        <w:t>modo</w:t>
      </w:r>
      <w:r>
        <w:rPr>
          <w:spacing w:val="-12"/>
          <w:sz w:val="20"/>
        </w:rPr>
        <w:t xml:space="preserve"> </w:t>
      </w:r>
      <w:r>
        <w:rPr>
          <w:sz w:val="20"/>
        </w:rPr>
        <w:t>enunciativo</w:t>
      </w:r>
      <w:r>
        <w:rPr>
          <w:spacing w:val="-17"/>
          <w:sz w:val="20"/>
        </w:rPr>
        <w:t xml:space="preserve"> </w:t>
      </w:r>
      <w:r>
        <w:rPr>
          <w:sz w:val="20"/>
        </w:rPr>
        <w:t>más</w:t>
      </w:r>
      <w:r>
        <w:rPr>
          <w:spacing w:val="-14"/>
          <w:sz w:val="20"/>
        </w:rPr>
        <w:t xml:space="preserve"> </w:t>
      </w:r>
      <w:r>
        <w:rPr>
          <w:sz w:val="20"/>
        </w:rPr>
        <w:t>no</w:t>
      </w:r>
      <w:r>
        <w:rPr>
          <w:spacing w:val="-14"/>
          <w:sz w:val="20"/>
        </w:rPr>
        <w:t xml:space="preserve"> </w:t>
      </w:r>
      <w:r>
        <w:rPr>
          <w:sz w:val="20"/>
        </w:rPr>
        <w:t>limitativo,</w:t>
      </w:r>
      <w:r>
        <w:rPr>
          <w:spacing w:val="-17"/>
          <w:sz w:val="20"/>
        </w:rPr>
        <w:t xml:space="preserve"> </w:t>
      </w:r>
      <w:r>
        <w:rPr>
          <w:sz w:val="20"/>
        </w:rPr>
        <w:t>para</w:t>
      </w:r>
      <w:r>
        <w:rPr>
          <w:spacing w:val="-13"/>
          <w:sz w:val="20"/>
        </w:rPr>
        <w:t xml:space="preserve"> </w:t>
      </w:r>
      <w:r>
        <w:rPr>
          <w:sz w:val="20"/>
        </w:rPr>
        <w:t>determinar</w:t>
      </w:r>
      <w:r>
        <w:rPr>
          <w:spacing w:val="-15"/>
          <w:sz w:val="20"/>
        </w:rPr>
        <w:t xml:space="preserve"> </w:t>
      </w:r>
      <w:r>
        <w:rPr>
          <w:sz w:val="20"/>
        </w:rPr>
        <w:t>si</w:t>
      </w:r>
      <w:r>
        <w:rPr>
          <w:spacing w:val="-11"/>
          <w:sz w:val="20"/>
        </w:rPr>
        <w:t xml:space="preserve"> </w:t>
      </w:r>
      <w:r>
        <w:rPr>
          <w:sz w:val="20"/>
        </w:rPr>
        <w:t>derivado</w:t>
      </w:r>
      <w:r>
        <w:rPr>
          <w:spacing w:val="-16"/>
          <w:sz w:val="20"/>
        </w:rPr>
        <w:t xml:space="preserve"> </w:t>
      </w:r>
      <w:r>
        <w:rPr>
          <w:sz w:val="20"/>
        </w:rPr>
        <w:t>del</w:t>
      </w:r>
      <w:r>
        <w:rPr>
          <w:spacing w:val="-13"/>
          <w:sz w:val="20"/>
        </w:rPr>
        <w:t xml:space="preserve"> </w:t>
      </w:r>
      <w:r>
        <w:rPr>
          <w:sz w:val="20"/>
        </w:rPr>
        <w:t>contexto o patrones colectivos o masivos estamos frente a una discriminación estructural</w:t>
      </w:r>
      <w:hyperlink w:anchor="_bookmark792" w:history="1">
        <w:r>
          <w:rPr>
            <w:position w:val="7"/>
            <w:sz w:val="13"/>
          </w:rPr>
          <w:t>110</w:t>
        </w:r>
      </w:hyperlink>
      <w:r>
        <w:rPr>
          <w:sz w:val="20"/>
        </w:rPr>
        <w:t xml:space="preserve">. En este sentido, los casos mencionados han tenido en consideración que se trata de: i) un grupo o grupos de personas que tienen características inmutables o inmodificables por la propia voluntad de la persona, o bien que </w:t>
      </w:r>
      <w:r>
        <w:rPr>
          <w:sz w:val="20"/>
        </w:rPr>
        <w:t>están relacionados a factores históricos de prácticas discriminatorias,</w:t>
      </w:r>
      <w:r>
        <w:rPr>
          <w:spacing w:val="-11"/>
          <w:sz w:val="20"/>
        </w:rPr>
        <w:t xml:space="preserve"> </w:t>
      </w:r>
      <w:r>
        <w:rPr>
          <w:sz w:val="20"/>
        </w:rPr>
        <w:t>pudiendo</w:t>
      </w:r>
      <w:r>
        <w:rPr>
          <w:spacing w:val="-14"/>
          <w:sz w:val="20"/>
        </w:rPr>
        <w:t xml:space="preserve"> </w:t>
      </w:r>
      <w:r>
        <w:rPr>
          <w:sz w:val="20"/>
        </w:rPr>
        <w:t>ser</w:t>
      </w:r>
      <w:r>
        <w:rPr>
          <w:spacing w:val="-11"/>
          <w:sz w:val="20"/>
        </w:rPr>
        <w:t xml:space="preserve"> </w:t>
      </w:r>
      <w:r>
        <w:rPr>
          <w:sz w:val="20"/>
        </w:rPr>
        <w:t>este</w:t>
      </w:r>
      <w:r>
        <w:rPr>
          <w:spacing w:val="-14"/>
          <w:sz w:val="20"/>
        </w:rPr>
        <w:t xml:space="preserve"> </w:t>
      </w:r>
      <w:r>
        <w:rPr>
          <w:sz w:val="20"/>
        </w:rPr>
        <w:t>grupo</w:t>
      </w:r>
      <w:r>
        <w:rPr>
          <w:spacing w:val="-14"/>
          <w:sz w:val="20"/>
        </w:rPr>
        <w:t xml:space="preserve"> </w:t>
      </w:r>
      <w:r>
        <w:rPr>
          <w:sz w:val="20"/>
        </w:rPr>
        <w:t>de</w:t>
      </w:r>
      <w:r>
        <w:rPr>
          <w:spacing w:val="-14"/>
          <w:sz w:val="20"/>
        </w:rPr>
        <w:t xml:space="preserve"> </w:t>
      </w:r>
      <w:r>
        <w:rPr>
          <w:sz w:val="20"/>
        </w:rPr>
        <w:t>personas</w:t>
      </w:r>
      <w:r>
        <w:rPr>
          <w:spacing w:val="-11"/>
          <w:sz w:val="20"/>
        </w:rPr>
        <w:t xml:space="preserve"> </w:t>
      </w:r>
      <w:r>
        <w:rPr>
          <w:sz w:val="20"/>
        </w:rPr>
        <w:t>minoría</w:t>
      </w:r>
      <w:r>
        <w:rPr>
          <w:spacing w:val="-10"/>
          <w:sz w:val="20"/>
        </w:rPr>
        <w:t xml:space="preserve"> </w:t>
      </w:r>
      <w:r>
        <w:rPr>
          <w:sz w:val="20"/>
        </w:rPr>
        <w:t>o</w:t>
      </w:r>
      <w:r>
        <w:rPr>
          <w:spacing w:val="-14"/>
          <w:sz w:val="20"/>
        </w:rPr>
        <w:t xml:space="preserve"> </w:t>
      </w:r>
      <w:r>
        <w:rPr>
          <w:sz w:val="20"/>
        </w:rPr>
        <w:t>mayoría;</w:t>
      </w:r>
      <w:r>
        <w:rPr>
          <w:spacing w:val="-12"/>
          <w:sz w:val="20"/>
        </w:rPr>
        <w:t xml:space="preserve"> </w:t>
      </w:r>
      <w:r>
        <w:rPr>
          <w:sz w:val="20"/>
        </w:rPr>
        <w:t>ii)</w:t>
      </w:r>
      <w:r>
        <w:rPr>
          <w:spacing w:val="-12"/>
          <w:sz w:val="20"/>
        </w:rPr>
        <w:t xml:space="preserve"> </w:t>
      </w:r>
      <w:r>
        <w:rPr>
          <w:sz w:val="20"/>
        </w:rPr>
        <w:t>que</w:t>
      </w:r>
      <w:r>
        <w:rPr>
          <w:spacing w:val="-14"/>
          <w:sz w:val="20"/>
        </w:rPr>
        <w:t xml:space="preserve"> </w:t>
      </w:r>
      <w:r>
        <w:rPr>
          <w:sz w:val="20"/>
        </w:rPr>
        <w:t>estos</w:t>
      </w:r>
      <w:r>
        <w:rPr>
          <w:spacing w:val="-11"/>
          <w:sz w:val="20"/>
        </w:rPr>
        <w:t xml:space="preserve"> </w:t>
      </w:r>
      <w:r>
        <w:rPr>
          <w:sz w:val="20"/>
        </w:rPr>
        <w:t>grupos se han encontrado en una situación sistemática e histórica de exclusión, marginación o subordinación que les</w:t>
      </w:r>
      <w:r>
        <w:rPr>
          <w:sz w:val="20"/>
        </w:rPr>
        <w:t xml:space="preserve"> impiden acceder a condiciones básicas de desarrollo humano; iii) que la situación de exclusión, marginación o subordinación se centra en una zona geográfica determinada o bien puede ser generalizada en todo el territorio de un Estado que en algunos casos </w:t>
      </w:r>
      <w:r>
        <w:rPr>
          <w:sz w:val="20"/>
        </w:rPr>
        <w:t>puede ser intergeneracional, y iv) que las personas pertenecientes a estos grupos, sin importar la intención de la norma, la neutralidad o la mención expresa de alguna distinción o restricción explícita basada en las enunciaciones e interpretaciones del ar</w:t>
      </w:r>
      <w:r>
        <w:rPr>
          <w:sz w:val="20"/>
        </w:rPr>
        <w:t xml:space="preserve">tículo 1.1 de la Convención Americana, son víctimas de discriminación indirecta o bien de discriminación </w:t>
      </w:r>
      <w:r>
        <w:rPr>
          <w:i/>
          <w:sz w:val="20"/>
        </w:rPr>
        <w:t xml:space="preserve">de facto, </w:t>
      </w:r>
      <w:r>
        <w:rPr>
          <w:sz w:val="20"/>
        </w:rPr>
        <w:t>por las actuaciones o aplicación de medidas o acciones implementadas por el</w:t>
      </w:r>
      <w:r>
        <w:rPr>
          <w:spacing w:val="-32"/>
          <w:sz w:val="20"/>
        </w:rPr>
        <w:t xml:space="preserve"> </w:t>
      </w:r>
      <w:r>
        <w:rPr>
          <w:sz w:val="20"/>
        </w:rPr>
        <w:t>Estado.</w:t>
      </w:r>
    </w:p>
    <w:p w14:paraId="4B3FA18D" w14:textId="77777777" w:rsidR="00467FCA" w:rsidRDefault="00467FCA">
      <w:pPr>
        <w:pStyle w:val="Textoindependiente"/>
        <w:spacing w:before="1"/>
      </w:pPr>
    </w:p>
    <w:p w14:paraId="63258925" w14:textId="77777777" w:rsidR="00467FCA" w:rsidRDefault="001B68EB">
      <w:pPr>
        <w:pStyle w:val="Prrafodelista"/>
        <w:numPr>
          <w:ilvl w:val="0"/>
          <w:numId w:val="7"/>
        </w:numPr>
        <w:tabs>
          <w:tab w:val="left" w:pos="1167"/>
        </w:tabs>
        <w:ind w:right="275" w:firstLine="0"/>
        <w:jc w:val="both"/>
        <w:rPr>
          <w:sz w:val="20"/>
        </w:rPr>
      </w:pPr>
      <w:r>
        <w:rPr>
          <w:sz w:val="20"/>
        </w:rPr>
        <w:t>En el caso, i) las 66 víctimas tenían diversas características como la condición económica,</w:t>
      </w:r>
      <w:r>
        <w:rPr>
          <w:spacing w:val="-8"/>
          <w:sz w:val="20"/>
        </w:rPr>
        <w:t xml:space="preserve"> </w:t>
      </w:r>
      <w:r>
        <w:rPr>
          <w:sz w:val="20"/>
        </w:rPr>
        <w:t>el</w:t>
      </w:r>
      <w:r>
        <w:rPr>
          <w:spacing w:val="-7"/>
          <w:sz w:val="20"/>
        </w:rPr>
        <w:t xml:space="preserve"> </w:t>
      </w:r>
      <w:r>
        <w:rPr>
          <w:sz w:val="20"/>
        </w:rPr>
        <w:t>género,</w:t>
      </w:r>
      <w:r>
        <w:rPr>
          <w:spacing w:val="-8"/>
          <w:sz w:val="20"/>
        </w:rPr>
        <w:t xml:space="preserve"> </w:t>
      </w:r>
      <w:r>
        <w:rPr>
          <w:sz w:val="20"/>
        </w:rPr>
        <w:t>la</w:t>
      </w:r>
      <w:r>
        <w:rPr>
          <w:spacing w:val="-8"/>
          <w:sz w:val="20"/>
        </w:rPr>
        <w:t xml:space="preserve"> </w:t>
      </w:r>
      <w:r>
        <w:rPr>
          <w:sz w:val="20"/>
        </w:rPr>
        <w:t>edad,</w:t>
      </w:r>
      <w:r>
        <w:rPr>
          <w:spacing w:val="-11"/>
          <w:sz w:val="20"/>
        </w:rPr>
        <w:t xml:space="preserve"> </w:t>
      </w:r>
      <w:r>
        <w:rPr>
          <w:sz w:val="20"/>
        </w:rPr>
        <w:t>la</w:t>
      </w:r>
      <w:r>
        <w:rPr>
          <w:spacing w:val="-8"/>
          <w:sz w:val="20"/>
        </w:rPr>
        <w:t xml:space="preserve"> </w:t>
      </w:r>
      <w:r>
        <w:rPr>
          <w:sz w:val="20"/>
        </w:rPr>
        <w:t>raza</w:t>
      </w:r>
      <w:r>
        <w:rPr>
          <w:spacing w:val="-8"/>
          <w:sz w:val="20"/>
        </w:rPr>
        <w:t xml:space="preserve"> </w:t>
      </w:r>
      <w:r>
        <w:rPr>
          <w:sz w:val="20"/>
        </w:rPr>
        <w:t>o</w:t>
      </w:r>
      <w:r>
        <w:rPr>
          <w:spacing w:val="-11"/>
          <w:sz w:val="20"/>
        </w:rPr>
        <w:t xml:space="preserve"> </w:t>
      </w:r>
      <w:r>
        <w:rPr>
          <w:sz w:val="20"/>
        </w:rPr>
        <w:t>algunas</w:t>
      </w:r>
      <w:r>
        <w:rPr>
          <w:spacing w:val="-6"/>
          <w:sz w:val="20"/>
        </w:rPr>
        <w:t xml:space="preserve"> </w:t>
      </w:r>
      <w:r>
        <w:rPr>
          <w:sz w:val="20"/>
        </w:rPr>
        <w:t>estaban</w:t>
      </w:r>
      <w:r>
        <w:rPr>
          <w:spacing w:val="-6"/>
          <w:sz w:val="20"/>
        </w:rPr>
        <w:t xml:space="preserve"> </w:t>
      </w:r>
      <w:r>
        <w:rPr>
          <w:sz w:val="20"/>
        </w:rPr>
        <w:t>embarazadas</w:t>
      </w:r>
      <w:hyperlink w:anchor="_bookmark793" w:history="1">
        <w:r>
          <w:rPr>
            <w:position w:val="7"/>
            <w:sz w:val="13"/>
          </w:rPr>
          <w:t>111</w:t>
        </w:r>
      </w:hyperlink>
      <w:r>
        <w:rPr>
          <w:sz w:val="20"/>
        </w:rPr>
        <w:t>;</w:t>
      </w:r>
      <w:r>
        <w:rPr>
          <w:spacing w:val="-10"/>
          <w:sz w:val="20"/>
        </w:rPr>
        <w:t xml:space="preserve"> </w:t>
      </w:r>
      <w:r>
        <w:rPr>
          <w:sz w:val="20"/>
        </w:rPr>
        <w:t>ii)</w:t>
      </w:r>
      <w:r>
        <w:rPr>
          <w:spacing w:val="-10"/>
          <w:sz w:val="20"/>
        </w:rPr>
        <w:t xml:space="preserve"> </w:t>
      </w:r>
      <w:r>
        <w:rPr>
          <w:sz w:val="20"/>
        </w:rPr>
        <w:t>se</w:t>
      </w:r>
      <w:r>
        <w:rPr>
          <w:spacing w:val="-9"/>
          <w:sz w:val="20"/>
        </w:rPr>
        <w:t xml:space="preserve"> </w:t>
      </w:r>
      <w:r>
        <w:rPr>
          <w:sz w:val="20"/>
        </w:rPr>
        <w:t>identificó</w:t>
      </w:r>
      <w:r>
        <w:rPr>
          <w:spacing w:val="-9"/>
          <w:sz w:val="20"/>
        </w:rPr>
        <w:t xml:space="preserve"> </w:t>
      </w:r>
      <w:r>
        <w:rPr>
          <w:sz w:val="20"/>
        </w:rPr>
        <w:t xml:space="preserve">que los barrios donde viven la mayoría de las y los </w:t>
      </w:r>
      <w:r>
        <w:rPr>
          <w:sz w:val="20"/>
        </w:rPr>
        <w:t>trabajadores de la fábrica se caracterizan no sólo por la pobreza, sino también por la falta de acceso a la educación formal. Estos lugares tenían</w:t>
      </w:r>
      <w:r>
        <w:rPr>
          <w:spacing w:val="-14"/>
          <w:sz w:val="20"/>
        </w:rPr>
        <w:t xml:space="preserve"> </w:t>
      </w:r>
      <w:r>
        <w:rPr>
          <w:sz w:val="20"/>
        </w:rPr>
        <w:t>(tienen),</w:t>
      </w:r>
      <w:r>
        <w:rPr>
          <w:spacing w:val="-12"/>
          <w:sz w:val="20"/>
        </w:rPr>
        <w:t xml:space="preserve"> </w:t>
      </w:r>
      <w:r>
        <w:rPr>
          <w:sz w:val="20"/>
        </w:rPr>
        <w:t>además,</w:t>
      </w:r>
      <w:r>
        <w:rPr>
          <w:spacing w:val="-14"/>
          <w:sz w:val="20"/>
        </w:rPr>
        <w:t xml:space="preserve"> </w:t>
      </w:r>
      <w:r>
        <w:rPr>
          <w:sz w:val="20"/>
        </w:rPr>
        <w:t>problemas</w:t>
      </w:r>
      <w:r>
        <w:rPr>
          <w:spacing w:val="-12"/>
          <w:sz w:val="20"/>
        </w:rPr>
        <w:t xml:space="preserve"> </w:t>
      </w:r>
      <w:r>
        <w:rPr>
          <w:sz w:val="20"/>
        </w:rPr>
        <w:t>de</w:t>
      </w:r>
      <w:r>
        <w:rPr>
          <w:spacing w:val="-12"/>
          <w:sz w:val="20"/>
        </w:rPr>
        <w:t xml:space="preserve"> </w:t>
      </w:r>
      <w:r>
        <w:rPr>
          <w:sz w:val="20"/>
        </w:rPr>
        <w:t>falta</w:t>
      </w:r>
      <w:r>
        <w:rPr>
          <w:spacing w:val="-13"/>
          <w:sz w:val="20"/>
        </w:rPr>
        <w:t xml:space="preserve"> </w:t>
      </w:r>
      <w:r>
        <w:rPr>
          <w:sz w:val="20"/>
        </w:rPr>
        <w:t>de</w:t>
      </w:r>
      <w:r>
        <w:rPr>
          <w:spacing w:val="-15"/>
          <w:sz w:val="20"/>
        </w:rPr>
        <w:t xml:space="preserve"> </w:t>
      </w:r>
      <w:r>
        <w:rPr>
          <w:sz w:val="20"/>
        </w:rPr>
        <w:t>infraestructura,</w:t>
      </w:r>
      <w:r>
        <w:rPr>
          <w:spacing w:val="-12"/>
          <w:sz w:val="20"/>
        </w:rPr>
        <w:t xml:space="preserve"> </w:t>
      </w:r>
      <w:r>
        <w:rPr>
          <w:sz w:val="20"/>
        </w:rPr>
        <w:t>especialmente</w:t>
      </w:r>
      <w:r>
        <w:rPr>
          <w:spacing w:val="-12"/>
          <w:sz w:val="20"/>
        </w:rPr>
        <w:t xml:space="preserve"> </w:t>
      </w:r>
      <w:r>
        <w:rPr>
          <w:sz w:val="20"/>
        </w:rPr>
        <w:t>en</w:t>
      </w:r>
      <w:r>
        <w:rPr>
          <w:spacing w:val="-11"/>
          <w:sz w:val="20"/>
        </w:rPr>
        <w:t xml:space="preserve"> </w:t>
      </w:r>
      <w:r>
        <w:rPr>
          <w:sz w:val="20"/>
        </w:rPr>
        <w:t>relación</w:t>
      </w:r>
      <w:r>
        <w:rPr>
          <w:spacing w:val="-10"/>
          <w:sz w:val="20"/>
        </w:rPr>
        <w:t xml:space="preserve"> </w:t>
      </w:r>
      <w:r>
        <w:rPr>
          <w:sz w:val="20"/>
        </w:rPr>
        <w:t xml:space="preserve">con el saneamiento básico </w:t>
      </w:r>
      <w:r>
        <w:rPr>
          <w:sz w:val="20"/>
        </w:rPr>
        <w:t>y predominio de personas con bajos niveles de educación y, en consecuencia, con bajos ingresos</w:t>
      </w:r>
      <w:hyperlink w:anchor="_bookmark794" w:history="1">
        <w:r>
          <w:rPr>
            <w:position w:val="7"/>
            <w:sz w:val="13"/>
          </w:rPr>
          <w:t>112</w:t>
        </w:r>
      </w:hyperlink>
      <w:r>
        <w:rPr>
          <w:sz w:val="20"/>
        </w:rPr>
        <w:t>; iii) los hechos se centraban en los barrios periféricos</w:t>
      </w:r>
      <w:r>
        <w:rPr>
          <w:spacing w:val="5"/>
          <w:sz w:val="20"/>
        </w:rPr>
        <w:t xml:space="preserve"> </w:t>
      </w:r>
      <w:r>
        <w:rPr>
          <w:sz w:val="20"/>
        </w:rPr>
        <w:t>de</w:t>
      </w:r>
    </w:p>
    <w:p w14:paraId="320B3200" w14:textId="77777777" w:rsidR="00467FCA" w:rsidRDefault="001B68EB">
      <w:pPr>
        <w:pStyle w:val="Textoindependiente"/>
        <w:spacing w:before="3"/>
        <w:rPr>
          <w:sz w:val="17"/>
        </w:rPr>
      </w:pPr>
      <w:r>
        <w:pict w14:anchorId="409B0BE8">
          <v:shape id="_x0000_s1049" style="position:absolute;margin-left:70.9pt;margin-top:12.75pt;width:2in;height:.1pt;z-index:-251508736;mso-wrap-distance-left:0;mso-wrap-distance-right:0;mso-position-horizontal-relative:page" coordorigin="1418,255" coordsize="2880,0" path="m1418,255r2880,e" filled="f" strokeweight=".6pt">
            <v:path arrowok="t"/>
            <w10:wrap type="topAndBottom" anchorx="page"/>
          </v:shape>
        </w:pict>
      </w:r>
    </w:p>
    <w:p w14:paraId="7289F081" w14:textId="77777777" w:rsidR="00467FCA" w:rsidRDefault="001B68EB">
      <w:pPr>
        <w:spacing w:before="74"/>
        <w:ind w:left="458" w:right="270"/>
        <w:jc w:val="both"/>
        <w:rPr>
          <w:sz w:val="16"/>
        </w:rPr>
      </w:pPr>
      <w:r>
        <w:rPr>
          <w:sz w:val="16"/>
        </w:rPr>
        <w:t xml:space="preserve">consideraciones en testimonios según los cuales la señora Ramírez Escobar era una madre irresponsable porque, </w:t>
      </w:r>
      <w:r>
        <w:rPr>
          <w:i/>
          <w:sz w:val="16"/>
        </w:rPr>
        <w:t>inter alia</w:t>
      </w:r>
      <w:r>
        <w:rPr>
          <w:sz w:val="16"/>
        </w:rPr>
        <w:t>, “abandona[ba] a [sus hijos] cuando se va a trabajar”, y que por estas razones, entre otras, “observaba una conducta irregular”</w:t>
      </w:r>
      <w:r>
        <w:rPr>
          <w:i/>
          <w:sz w:val="16"/>
        </w:rPr>
        <w:t>. Cfr. C</w:t>
      </w:r>
      <w:r>
        <w:rPr>
          <w:i/>
          <w:sz w:val="16"/>
        </w:rPr>
        <w:t>aso Ramírez Escobar y otros Vs. Guatemala, supra</w:t>
      </w:r>
      <w:r>
        <w:rPr>
          <w:sz w:val="16"/>
        </w:rPr>
        <w:t>, párr. 296</w:t>
      </w:r>
    </w:p>
    <w:p w14:paraId="30DC8225" w14:textId="77777777" w:rsidR="00467FCA" w:rsidRDefault="001B68EB">
      <w:pPr>
        <w:tabs>
          <w:tab w:val="left" w:pos="1166"/>
        </w:tabs>
        <w:ind w:left="458"/>
        <w:jc w:val="both"/>
        <w:rPr>
          <w:sz w:val="16"/>
        </w:rPr>
      </w:pPr>
      <w:bookmarkStart w:id="872" w:name="_bookmark791"/>
      <w:bookmarkEnd w:id="872"/>
      <w:r>
        <w:rPr>
          <w:position w:val="6"/>
          <w:sz w:val="10"/>
        </w:rPr>
        <w:t>109</w:t>
      </w:r>
      <w:r>
        <w:rPr>
          <w:position w:val="6"/>
          <w:sz w:val="10"/>
        </w:rPr>
        <w:tab/>
      </w:r>
      <w:r>
        <w:rPr>
          <w:i/>
          <w:sz w:val="16"/>
        </w:rPr>
        <w:t>Cfr. Caso Cuscul Pivaral y otros Vs. Guatemala, supra</w:t>
      </w:r>
      <w:r>
        <w:rPr>
          <w:sz w:val="16"/>
        </w:rPr>
        <w:t>, párr.</w:t>
      </w:r>
      <w:r>
        <w:rPr>
          <w:spacing w:val="-9"/>
          <w:sz w:val="16"/>
        </w:rPr>
        <w:t xml:space="preserve"> </w:t>
      </w:r>
      <w:r>
        <w:rPr>
          <w:sz w:val="16"/>
        </w:rPr>
        <w:t>125.</w:t>
      </w:r>
    </w:p>
    <w:p w14:paraId="167993E5" w14:textId="77777777" w:rsidR="00467FCA" w:rsidRDefault="001B68EB">
      <w:pPr>
        <w:tabs>
          <w:tab w:val="left" w:pos="1166"/>
        </w:tabs>
        <w:ind w:left="458" w:right="269"/>
        <w:jc w:val="both"/>
        <w:rPr>
          <w:sz w:val="16"/>
        </w:rPr>
      </w:pPr>
      <w:bookmarkStart w:id="873" w:name="_bookmark792"/>
      <w:bookmarkEnd w:id="873"/>
      <w:r>
        <w:rPr>
          <w:position w:val="6"/>
          <w:sz w:val="10"/>
        </w:rPr>
        <w:t>110</w:t>
      </w:r>
      <w:r>
        <w:rPr>
          <w:position w:val="6"/>
          <w:sz w:val="10"/>
        </w:rPr>
        <w:tab/>
      </w:r>
      <w:r>
        <w:rPr>
          <w:sz w:val="16"/>
        </w:rPr>
        <w:t>Véase</w:t>
      </w:r>
      <w:r>
        <w:rPr>
          <w:spacing w:val="-6"/>
          <w:sz w:val="16"/>
        </w:rPr>
        <w:t xml:space="preserve"> </w:t>
      </w:r>
      <w:r>
        <w:rPr>
          <w:sz w:val="16"/>
        </w:rPr>
        <w:t>el</w:t>
      </w:r>
      <w:r>
        <w:rPr>
          <w:spacing w:val="-3"/>
          <w:sz w:val="16"/>
        </w:rPr>
        <w:t xml:space="preserve"> </w:t>
      </w:r>
      <w:r>
        <w:rPr>
          <w:sz w:val="16"/>
        </w:rPr>
        <w:t>párr.</w:t>
      </w:r>
      <w:r>
        <w:rPr>
          <w:spacing w:val="-6"/>
          <w:sz w:val="16"/>
        </w:rPr>
        <w:t xml:space="preserve"> </w:t>
      </w:r>
      <w:r>
        <w:rPr>
          <w:sz w:val="16"/>
        </w:rPr>
        <w:t>80</w:t>
      </w:r>
      <w:r>
        <w:rPr>
          <w:spacing w:val="-3"/>
          <w:sz w:val="16"/>
        </w:rPr>
        <w:t xml:space="preserve"> </w:t>
      </w:r>
      <w:r>
        <w:rPr>
          <w:sz w:val="16"/>
        </w:rPr>
        <w:t>de</w:t>
      </w:r>
      <w:r>
        <w:rPr>
          <w:spacing w:val="-2"/>
          <w:sz w:val="16"/>
        </w:rPr>
        <w:t xml:space="preserve"> </w:t>
      </w:r>
      <w:r>
        <w:rPr>
          <w:sz w:val="16"/>
        </w:rPr>
        <w:t>nuestro</w:t>
      </w:r>
      <w:r>
        <w:rPr>
          <w:spacing w:val="-4"/>
          <w:sz w:val="16"/>
        </w:rPr>
        <w:t xml:space="preserve"> </w:t>
      </w:r>
      <w:r>
        <w:rPr>
          <w:sz w:val="16"/>
        </w:rPr>
        <w:t>Voto</w:t>
      </w:r>
      <w:r>
        <w:rPr>
          <w:spacing w:val="-3"/>
          <w:sz w:val="16"/>
        </w:rPr>
        <w:t xml:space="preserve"> </w:t>
      </w:r>
      <w:r>
        <w:rPr>
          <w:sz w:val="16"/>
        </w:rPr>
        <w:t>emitido</w:t>
      </w:r>
      <w:r>
        <w:rPr>
          <w:spacing w:val="-2"/>
          <w:sz w:val="16"/>
        </w:rPr>
        <w:t xml:space="preserve"> </w:t>
      </w:r>
      <w:r>
        <w:rPr>
          <w:sz w:val="16"/>
        </w:rPr>
        <w:t>en</w:t>
      </w:r>
      <w:r>
        <w:rPr>
          <w:spacing w:val="-6"/>
          <w:sz w:val="16"/>
        </w:rPr>
        <w:t xml:space="preserve"> </w:t>
      </w:r>
      <w:r>
        <w:rPr>
          <w:sz w:val="16"/>
        </w:rPr>
        <w:t>el</w:t>
      </w:r>
      <w:r>
        <w:rPr>
          <w:spacing w:val="-3"/>
          <w:sz w:val="16"/>
        </w:rPr>
        <w:t xml:space="preserve"> </w:t>
      </w:r>
      <w:r>
        <w:rPr>
          <w:sz w:val="16"/>
        </w:rPr>
        <w:t>caso</w:t>
      </w:r>
      <w:r>
        <w:rPr>
          <w:spacing w:val="-3"/>
          <w:sz w:val="16"/>
        </w:rPr>
        <w:t xml:space="preserve"> </w:t>
      </w:r>
      <w:r>
        <w:rPr>
          <w:i/>
          <w:sz w:val="16"/>
        </w:rPr>
        <w:t>Trabajadores</w:t>
      </w:r>
      <w:r>
        <w:rPr>
          <w:i/>
          <w:spacing w:val="-5"/>
          <w:sz w:val="16"/>
        </w:rPr>
        <w:t xml:space="preserve"> </w:t>
      </w:r>
      <w:r>
        <w:rPr>
          <w:i/>
          <w:sz w:val="16"/>
        </w:rPr>
        <w:t>de</w:t>
      </w:r>
      <w:r>
        <w:rPr>
          <w:i/>
          <w:spacing w:val="-2"/>
          <w:sz w:val="16"/>
        </w:rPr>
        <w:t xml:space="preserve"> </w:t>
      </w:r>
      <w:r>
        <w:rPr>
          <w:i/>
          <w:sz w:val="16"/>
        </w:rPr>
        <w:t>la</w:t>
      </w:r>
      <w:r>
        <w:rPr>
          <w:i/>
          <w:spacing w:val="-4"/>
          <w:sz w:val="16"/>
        </w:rPr>
        <w:t xml:space="preserve"> </w:t>
      </w:r>
      <w:r>
        <w:rPr>
          <w:i/>
          <w:sz w:val="16"/>
        </w:rPr>
        <w:t>Hacienda</w:t>
      </w:r>
      <w:r>
        <w:rPr>
          <w:i/>
          <w:spacing w:val="-3"/>
          <w:sz w:val="16"/>
        </w:rPr>
        <w:t xml:space="preserve"> </w:t>
      </w:r>
      <w:r>
        <w:rPr>
          <w:i/>
          <w:sz w:val="16"/>
        </w:rPr>
        <w:t>Brasil</w:t>
      </w:r>
      <w:r>
        <w:rPr>
          <w:i/>
          <w:spacing w:val="-3"/>
          <w:sz w:val="16"/>
        </w:rPr>
        <w:t xml:space="preserve"> </w:t>
      </w:r>
      <w:r>
        <w:rPr>
          <w:i/>
          <w:sz w:val="16"/>
        </w:rPr>
        <w:t>Verde</w:t>
      </w:r>
      <w:r>
        <w:rPr>
          <w:sz w:val="16"/>
        </w:rPr>
        <w:t>.</w:t>
      </w:r>
      <w:r>
        <w:rPr>
          <w:spacing w:val="-6"/>
          <w:sz w:val="16"/>
        </w:rPr>
        <w:t xml:space="preserve"> </w:t>
      </w:r>
      <w:r>
        <w:rPr>
          <w:sz w:val="16"/>
        </w:rPr>
        <w:t>Véase:</w:t>
      </w:r>
      <w:r>
        <w:rPr>
          <w:spacing w:val="-5"/>
          <w:sz w:val="16"/>
        </w:rPr>
        <w:t xml:space="preserve"> </w:t>
      </w:r>
      <w:r>
        <w:rPr>
          <w:i/>
          <w:sz w:val="16"/>
        </w:rPr>
        <w:t xml:space="preserve">Caso Nadege Dorzema </w:t>
      </w:r>
      <w:r>
        <w:rPr>
          <w:i/>
          <w:sz w:val="16"/>
        </w:rPr>
        <w:t>y otros Vs. República Dominicana. Fondo Reparaciones y Costas</w:t>
      </w:r>
      <w:r>
        <w:rPr>
          <w:sz w:val="16"/>
        </w:rPr>
        <w:t xml:space="preserve">. Sentencia de 24 de octubre de 2012. Serie C No. 251, párrs. 235, 237 y 238; </w:t>
      </w:r>
      <w:r>
        <w:rPr>
          <w:i/>
          <w:sz w:val="16"/>
        </w:rPr>
        <w:t>Caso Atala Riffo y niñas Vs. Chile. Fondo, Reparaciones y Costas</w:t>
      </w:r>
      <w:r>
        <w:rPr>
          <w:sz w:val="16"/>
        </w:rPr>
        <w:t>. Sentencia del 24 de febrero de 2012. Serie C No. 23</w:t>
      </w:r>
      <w:r>
        <w:rPr>
          <w:sz w:val="16"/>
        </w:rPr>
        <w:t xml:space="preserve">9, párrs. 92 y 267, y </w:t>
      </w:r>
      <w:r>
        <w:rPr>
          <w:i/>
          <w:sz w:val="16"/>
        </w:rPr>
        <w:t>Xákmok Kásek Vs. Paraguay. Fondo, Reparaciones y Costas</w:t>
      </w:r>
      <w:r>
        <w:rPr>
          <w:sz w:val="16"/>
        </w:rPr>
        <w:t xml:space="preserve">. Sentencia de 24 de agosto de 2010. Serie C No. 214, párrs. 273 y 274. En similar sentido: </w:t>
      </w:r>
      <w:r>
        <w:rPr>
          <w:i/>
          <w:sz w:val="16"/>
        </w:rPr>
        <w:t>Caso González y otras (“Campo Algodonero”) Vs. México. Excepción Preliminar, Fondo, Rep</w:t>
      </w:r>
      <w:r>
        <w:rPr>
          <w:i/>
          <w:sz w:val="16"/>
        </w:rPr>
        <w:t>araciones y Costas</w:t>
      </w:r>
      <w:r>
        <w:rPr>
          <w:sz w:val="16"/>
        </w:rPr>
        <w:t>. Sentencia de 16 de noviembre de 2009. Serie C No. 205, párr.</w:t>
      </w:r>
      <w:r>
        <w:rPr>
          <w:spacing w:val="-9"/>
          <w:sz w:val="16"/>
        </w:rPr>
        <w:t xml:space="preserve"> </w:t>
      </w:r>
      <w:r>
        <w:rPr>
          <w:sz w:val="16"/>
        </w:rPr>
        <w:t>450.</w:t>
      </w:r>
    </w:p>
    <w:p w14:paraId="512B727C" w14:textId="77777777" w:rsidR="00467FCA" w:rsidRDefault="001B68EB">
      <w:pPr>
        <w:tabs>
          <w:tab w:val="left" w:pos="1166"/>
        </w:tabs>
        <w:ind w:left="458" w:right="273"/>
        <w:jc w:val="both"/>
        <w:rPr>
          <w:sz w:val="16"/>
        </w:rPr>
      </w:pPr>
      <w:bookmarkStart w:id="874" w:name="_bookmark793"/>
      <w:bookmarkEnd w:id="874"/>
      <w:r>
        <w:rPr>
          <w:position w:val="6"/>
          <w:sz w:val="10"/>
        </w:rPr>
        <w:t>111</w:t>
      </w:r>
      <w:r>
        <w:rPr>
          <w:position w:val="6"/>
          <w:sz w:val="10"/>
        </w:rPr>
        <w:tab/>
      </w:r>
      <w:r>
        <w:rPr>
          <w:i/>
          <w:sz w:val="16"/>
        </w:rPr>
        <w:t>Cfr. Caso Empleados de la Fábrica de Fuegos en Santo Antônio de Jesus y sus familiares Vs. Brasil, supra</w:t>
      </w:r>
      <w:r>
        <w:rPr>
          <w:sz w:val="16"/>
        </w:rPr>
        <w:t>, párr.</w:t>
      </w:r>
      <w:r>
        <w:rPr>
          <w:spacing w:val="-1"/>
          <w:sz w:val="16"/>
        </w:rPr>
        <w:t xml:space="preserve"> </w:t>
      </w:r>
      <w:r>
        <w:rPr>
          <w:sz w:val="16"/>
        </w:rPr>
        <w:t>191.</w:t>
      </w:r>
    </w:p>
    <w:p w14:paraId="0AD3E507" w14:textId="77777777" w:rsidR="00467FCA" w:rsidRDefault="001B68EB">
      <w:pPr>
        <w:tabs>
          <w:tab w:val="left" w:pos="1166"/>
        </w:tabs>
        <w:ind w:left="458" w:right="273"/>
        <w:jc w:val="both"/>
        <w:rPr>
          <w:sz w:val="16"/>
        </w:rPr>
      </w:pPr>
      <w:bookmarkStart w:id="875" w:name="_bookmark794"/>
      <w:bookmarkEnd w:id="875"/>
      <w:r>
        <w:rPr>
          <w:position w:val="6"/>
          <w:sz w:val="10"/>
        </w:rPr>
        <w:t>112</w:t>
      </w:r>
      <w:r>
        <w:rPr>
          <w:position w:val="6"/>
          <w:sz w:val="10"/>
        </w:rPr>
        <w:tab/>
      </w:r>
      <w:r>
        <w:rPr>
          <w:i/>
          <w:sz w:val="16"/>
        </w:rPr>
        <w:t>Caso Empleados de la Fábrica de Fuegos en Santo Antônio de Jesus y sus familiares Vs. Brasil, supra</w:t>
      </w:r>
      <w:r>
        <w:rPr>
          <w:sz w:val="16"/>
        </w:rPr>
        <w:t>, párr. 64.</w:t>
      </w:r>
    </w:p>
    <w:p w14:paraId="7E05F92F" w14:textId="77777777" w:rsidR="00467FCA" w:rsidRDefault="00467FCA">
      <w:pPr>
        <w:jc w:val="both"/>
        <w:rPr>
          <w:sz w:val="16"/>
        </w:rPr>
        <w:sectPr w:rsidR="00467FCA">
          <w:pgSz w:w="12240" w:h="15840"/>
          <w:pgMar w:top="1500" w:right="1140" w:bottom="920" w:left="960" w:header="0" w:footer="734" w:gutter="0"/>
          <w:cols w:space="720"/>
        </w:sectPr>
      </w:pPr>
    </w:p>
    <w:p w14:paraId="46357064" w14:textId="77777777" w:rsidR="00467FCA" w:rsidRDefault="001B68EB">
      <w:pPr>
        <w:pStyle w:val="Textoindependiente"/>
        <w:spacing w:before="79"/>
        <w:ind w:left="458" w:right="277"/>
        <w:jc w:val="both"/>
      </w:pPr>
      <w:r>
        <w:t>Santo Antônio de Jesus, “Irmã Dulce” y “São Paulo”, en el estado de Bahía</w:t>
      </w:r>
      <w:hyperlink w:anchor="_bookmark795" w:history="1">
        <w:r>
          <w:rPr>
            <w:position w:val="7"/>
            <w:sz w:val="13"/>
          </w:rPr>
          <w:t>113</w:t>
        </w:r>
      </w:hyperlink>
      <w:r>
        <w:t>; y iv) aun pese a</w:t>
      </w:r>
      <w:r>
        <w:rPr>
          <w:spacing w:val="-18"/>
        </w:rPr>
        <w:t xml:space="preserve"> </w:t>
      </w:r>
      <w:r>
        <w:t>la</w:t>
      </w:r>
      <w:r>
        <w:rPr>
          <w:spacing w:val="-17"/>
        </w:rPr>
        <w:t xml:space="preserve"> </w:t>
      </w:r>
      <w:r>
        <w:t>e</w:t>
      </w:r>
      <w:r>
        <w:t>xistencia</w:t>
      </w:r>
      <w:r>
        <w:rPr>
          <w:spacing w:val="-17"/>
        </w:rPr>
        <w:t xml:space="preserve"> </w:t>
      </w:r>
      <w:r>
        <w:t>de</w:t>
      </w:r>
      <w:r>
        <w:rPr>
          <w:spacing w:val="-19"/>
        </w:rPr>
        <w:t xml:space="preserve"> </w:t>
      </w:r>
      <w:r>
        <w:t>normas</w:t>
      </w:r>
      <w:r>
        <w:rPr>
          <w:spacing w:val="-18"/>
        </w:rPr>
        <w:t xml:space="preserve"> </w:t>
      </w:r>
      <w:r>
        <w:t>internas</w:t>
      </w:r>
      <w:r>
        <w:rPr>
          <w:spacing w:val="-17"/>
        </w:rPr>
        <w:t xml:space="preserve"> </w:t>
      </w:r>
      <w:r>
        <w:t>que</w:t>
      </w:r>
      <w:r>
        <w:rPr>
          <w:spacing w:val="-16"/>
        </w:rPr>
        <w:t xml:space="preserve"> </w:t>
      </w:r>
      <w:r>
        <w:t>regulaban</w:t>
      </w:r>
      <w:r>
        <w:rPr>
          <w:spacing w:val="-16"/>
        </w:rPr>
        <w:t xml:space="preserve"> </w:t>
      </w:r>
      <w:r>
        <w:t>(y</w:t>
      </w:r>
      <w:r>
        <w:rPr>
          <w:spacing w:val="-18"/>
        </w:rPr>
        <w:t xml:space="preserve"> </w:t>
      </w:r>
      <w:r>
        <w:t>establecían)</w:t>
      </w:r>
      <w:r>
        <w:rPr>
          <w:spacing w:val="-18"/>
        </w:rPr>
        <w:t xml:space="preserve"> </w:t>
      </w:r>
      <w:r>
        <w:t>la</w:t>
      </w:r>
      <w:r>
        <w:rPr>
          <w:spacing w:val="-17"/>
        </w:rPr>
        <w:t xml:space="preserve"> </w:t>
      </w:r>
      <w:r>
        <w:t>fiscalización</w:t>
      </w:r>
      <w:r>
        <w:rPr>
          <w:spacing w:val="-16"/>
        </w:rPr>
        <w:t xml:space="preserve"> </w:t>
      </w:r>
      <w:r>
        <w:t>de</w:t>
      </w:r>
      <w:r>
        <w:rPr>
          <w:spacing w:val="-19"/>
        </w:rPr>
        <w:t xml:space="preserve"> </w:t>
      </w:r>
      <w:r>
        <w:t>los</w:t>
      </w:r>
      <w:r>
        <w:rPr>
          <w:spacing w:val="-18"/>
        </w:rPr>
        <w:t xml:space="preserve"> </w:t>
      </w:r>
      <w:r>
        <w:t>trabajos peligrosos y prohibición de trabajo infantil, la ineficaz aplicación de éstas y la nula actuación de</w:t>
      </w:r>
      <w:r>
        <w:rPr>
          <w:spacing w:val="-22"/>
        </w:rPr>
        <w:t xml:space="preserve"> </w:t>
      </w:r>
      <w:r>
        <w:t>las</w:t>
      </w:r>
      <w:r>
        <w:rPr>
          <w:spacing w:val="-22"/>
        </w:rPr>
        <w:t xml:space="preserve"> </w:t>
      </w:r>
      <w:r>
        <w:t>autoridades</w:t>
      </w:r>
      <w:r>
        <w:rPr>
          <w:spacing w:val="-22"/>
        </w:rPr>
        <w:t xml:space="preserve"> </w:t>
      </w:r>
      <w:r>
        <w:t>generó,</w:t>
      </w:r>
      <w:r>
        <w:rPr>
          <w:spacing w:val="-18"/>
        </w:rPr>
        <w:t xml:space="preserve"> </w:t>
      </w:r>
      <w:r>
        <w:t>en</w:t>
      </w:r>
      <w:r>
        <w:rPr>
          <w:spacing w:val="-17"/>
        </w:rPr>
        <w:t xml:space="preserve"> </w:t>
      </w:r>
      <w:r>
        <w:t>la</w:t>
      </w:r>
      <w:r>
        <w:rPr>
          <w:spacing w:val="-18"/>
        </w:rPr>
        <w:t xml:space="preserve"> </w:t>
      </w:r>
      <w:r>
        <w:t>realidad,</w:t>
      </w:r>
      <w:r>
        <w:rPr>
          <w:spacing w:val="-19"/>
        </w:rPr>
        <w:t xml:space="preserve"> </w:t>
      </w:r>
      <w:r>
        <w:t>que</w:t>
      </w:r>
      <w:r>
        <w:rPr>
          <w:spacing w:val="-20"/>
        </w:rPr>
        <w:t xml:space="preserve"> </w:t>
      </w:r>
      <w:r>
        <w:t>una</w:t>
      </w:r>
      <w:r>
        <w:rPr>
          <w:spacing w:val="-21"/>
        </w:rPr>
        <w:t xml:space="preserve"> </w:t>
      </w:r>
      <w:r>
        <w:t>actividad</w:t>
      </w:r>
      <w:r>
        <w:rPr>
          <w:spacing w:val="-17"/>
        </w:rPr>
        <w:t xml:space="preserve"> </w:t>
      </w:r>
      <w:r>
        <w:t>econó</w:t>
      </w:r>
      <w:r>
        <w:t>mica</w:t>
      </w:r>
      <w:r>
        <w:rPr>
          <w:spacing w:val="-18"/>
        </w:rPr>
        <w:t xml:space="preserve"> </w:t>
      </w:r>
      <w:r>
        <w:t>especialmente</w:t>
      </w:r>
      <w:r>
        <w:rPr>
          <w:spacing w:val="-20"/>
        </w:rPr>
        <w:t xml:space="preserve"> </w:t>
      </w:r>
      <w:r>
        <w:t>riesgosa se haya instalado en la zona con altos índices de pobreza y marginación de la población que allí residía y reside</w:t>
      </w:r>
      <w:hyperlink w:anchor="_bookmark796" w:history="1">
        <w:r>
          <w:rPr>
            <w:position w:val="7"/>
            <w:sz w:val="13"/>
          </w:rPr>
          <w:t>114</w:t>
        </w:r>
      </w:hyperlink>
      <w:r>
        <w:t>. Bajo estas consideraciones, es que en la sentencia se arriba a que las víctima</w:t>
      </w:r>
      <w:r>
        <w:t>s fueron objeto de una discriminación estructural por su posición</w:t>
      </w:r>
      <w:r>
        <w:rPr>
          <w:spacing w:val="-15"/>
        </w:rPr>
        <w:t xml:space="preserve"> </w:t>
      </w:r>
      <w:r>
        <w:t>económica.</w:t>
      </w:r>
    </w:p>
    <w:p w14:paraId="0B2590F6" w14:textId="77777777" w:rsidR="00467FCA" w:rsidRDefault="00467FCA">
      <w:pPr>
        <w:pStyle w:val="Textoindependiente"/>
        <w:spacing w:before="11"/>
        <w:rPr>
          <w:sz w:val="19"/>
        </w:rPr>
      </w:pPr>
    </w:p>
    <w:p w14:paraId="3B36DEAC" w14:textId="77777777" w:rsidR="00467FCA" w:rsidRDefault="001B68EB">
      <w:pPr>
        <w:pStyle w:val="Prrafodelista"/>
        <w:numPr>
          <w:ilvl w:val="0"/>
          <w:numId w:val="7"/>
        </w:numPr>
        <w:tabs>
          <w:tab w:val="left" w:pos="1167"/>
        </w:tabs>
        <w:ind w:right="276" w:firstLine="0"/>
        <w:jc w:val="both"/>
        <w:rPr>
          <w:sz w:val="20"/>
        </w:rPr>
      </w:pPr>
      <w:r>
        <w:rPr>
          <w:sz w:val="20"/>
        </w:rPr>
        <w:t xml:space="preserve">Ahora bien, a diferencia del caso de los </w:t>
      </w:r>
      <w:r>
        <w:rPr>
          <w:i/>
          <w:sz w:val="20"/>
        </w:rPr>
        <w:t xml:space="preserve">Trabajadores de la Hacienda Brasil Verde </w:t>
      </w:r>
      <w:r>
        <w:rPr>
          <w:sz w:val="20"/>
        </w:rPr>
        <w:t xml:space="preserve">en donde el análisis de la discriminación estructural se centro únicamente en la posición económica de las 85 víctimas, en el caso de las y los </w:t>
      </w:r>
      <w:r>
        <w:rPr>
          <w:i/>
          <w:sz w:val="20"/>
        </w:rPr>
        <w:t>Trabajadores de la Fábrica de Fuegos</w:t>
      </w:r>
      <w:r>
        <w:rPr>
          <w:sz w:val="20"/>
        </w:rPr>
        <w:t>, se agrega un nuevo enfoque: el</w:t>
      </w:r>
      <w:r>
        <w:rPr>
          <w:spacing w:val="-4"/>
          <w:sz w:val="20"/>
        </w:rPr>
        <w:t xml:space="preserve"> </w:t>
      </w:r>
      <w:r>
        <w:rPr>
          <w:sz w:val="20"/>
        </w:rPr>
        <w:t>interseccional.</w:t>
      </w:r>
    </w:p>
    <w:p w14:paraId="430933E4" w14:textId="77777777" w:rsidR="00467FCA" w:rsidRDefault="00467FCA">
      <w:pPr>
        <w:pStyle w:val="Textoindependiente"/>
        <w:spacing w:before="6"/>
        <w:rPr>
          <w:sz w:val="21"/>
        </w:rPr>
      </w:pPr>
    </w:p>
    <w:p w14:paraId="53188FA3" w14:textId="77777777" w:rsidR="00467FCA" w:rsidRDefault="001B68EB">
      <w:pPr>
        <w:pStyle w:val="Prrafodelista"/>
        <w:numPr>
          <w:ilvl w:val="0"/>
          <w:numId w:val="7"/>
        </w:numPr>
        <w:tabs>
          <w:tab w:val="left" w:pos="1167"/>
        </w:tabs>
        <w:ind w:left="457" w:right="274" w:firstLine="0"/>
        <w:jc w:val="both"/>
        <w:rPr>
          <w:sz w:val="20"/>
        </w:rPr>
      </w:pPr>
      <w:r>
        <w:rPr>
          <w:sz w:val="20"/>
        </w:rPr>
        <w:t>En este entendido, la sent</w:t>
      </w:r>
      <w:r>
        <w:rPr>
          <w:sz w:val="20"/>
        </w:rPr>
        <w:t>encia analiza la forma en la que, al igual que la posición económica, coexisten en algunas de las víctimas otras formas de discriminación que también están asociación a factores estructurales —como lo son el género o la raza—. Podríamos entender,</w:t>
      </w:r>
      <w:r>
        <w:rPr>
          <w:spacing w:val="-10"/>
          <w:sz w:val="20"/>
        </w:rPr>
        <w:t xml:space="preserve"> </w:t>
      </w:r>
      <w:r>
        <w:rPr>
          <w:sz w:val="20"/>
        </w:rPr>
        <w:t>entonces,</w:t>
      </w:r>
      <w:r>
        <w:rPr>
          <w:spacing w:val="-9"/>
          <w:sz w:val="20"/>
        </w:rPr>
        <w:t xml:space="preserve"> </w:t>
      </w:r>
      <w:r>
        <w:rPr>
          <w:sz w:val="20"/>
        </w:rPr>
        <w:t>que</w:t>
      </w:r>
      <w:r>
        <w:rPr>
          <w:spacing w:val="-10"/>
          <w:sz w:val="20"/>
        </w:rPr>
        <w:t xml:space="preserve"> </w:t>
      </w:r>
      <w:r>
        <w:rPr>
          <w:sz w:val="20"/>
        </w:rPr>
        <w:t>la</w:t>
      </w:r>
      <w:r>
        <w:rPr>
          <w:spacing w:val="-9"/>
          <w:sz w:val="20"/>
        </w:rPr>
        <w:t xml:space="preserve"> </w:t>
      </w:r>
      <w:r>
        <w:rPr>
          <w:sz w:val="20"/>
        </w:rPr>
        <w:t>sentencia</w:t>
      </w:r>
      <w:r>
        <w:rPr>
          <w:spacing w:val="-10"/>
          <w:sz w:val="20"/>
        </w:rPr>
        <w:t xml:space="preserve"> </w:t>
      </w:r>
      <w:r>
        <w:rPr>
          <w:sz w:val="20"/>
        </w:rPr>
        <w:t>abona</w:t>
      </w:r>
      <w:r>
        <w:rPr>
          <w:spacing w:val="-11"/>
          <w:sz w:val="20"/>
        </w:rPr>
        <w:t xml:space="preserve"> </w:t>
      </w:r>
      <w:r>
        <w:rPr>
          <w:sz w:val="20"/>
        </w:rPr>
        <w:t>al</w:t>
      </w:r>
      <w:r>
        <w:rPr>
          <w:spacing w:val="-8"/>
          <w:sz w:val="20"/>
        </w:rPr>
        <w:t xml:space="preserve"> </w:t>
      </w:r>
      <w:r>
        <w:rPr>
          <w:sz w:val="20"/>
        </w:rPr>
        <w:t>entendimiento</w:t>
      </w:r>
      <w:r>
        <w:rPr>
          <w:spacing w:val="-12"/>
          <w:sz w:val="20"/>
        </w:rPr>
        <w:t xml:space="preserve"> </w:t>
      </w:r>
      <w:r>
        <w:rPr>
          <w:sz w:val="20"/>
        </w:rPr>
        <w:t>de</w:t>
      </w:r>
      <w:r>
        <w:rPr>
          <w:spacing w:val="-12"/>
          <w:sz w:val="20"/>
        </w:rPr>
        <w:t xml:space="preserve"> </w:t>
      </w:r>
      <w:r>
        <w:rPr>
          <w:sz w:val="20"/>
        </w:rPr>
        <w:t>la</w:t>
      </w:r>
      <w:r>
        <w:rPr>
          <w:spacing w:val="-8"/>
          <w:sz w:val="20"/>
        </w:rPr>
        <w:t xml:space="preserve"> </w:t>
      </w:r>
      <w:r>
        <w:rPr>
          <w:sz w:val="20"/>
        </w:rPr>
        <w:t>“discriminación</w:t>
      </w:r>
      <w:r>
        <w:rPr>
          <w:spacing w:val="-8"/>
          <w:sz w:val="20"/>
        </w:rPr>
        <w:t xml:space="preserve"> </w:t>
      </w:r>
      <w:r>
        <w:rPr>
          <w:sz w:val="20"/>
        </w:rPr>
        <w:t xml:space="preserve">estructural interseccional” en casos particulares. Finalmente, existe un conjunto de víctimas que, en adición a los factores estructurales interseccionales, se adicionan la edad (en el caso de </w:t>
      </w:r>
      <w:r>
        <w:rPr>
          <w:sz w:val="20"/>
        </w:rPr>
        <w:t>las niñas)</w:t>
      </w:r>
      <w:r>
        <w:rPr>
          <w:spacing w:val="-7"/>
          <w:sz w:val="20"/>
        </w:rPr>
        <w:t xml:space="preserve"> </w:t>
      </w:r>
      <w:r>
        <w:rPr>
          <w:sz w:val="20"/>
        </w:rPr>
        <w:t>o</w:t>
      </w:r>
      <w:r>
        <w:rPr>
          <w:spacing w:val="-9"/>
          <w:sz w:val="20"/>
        </w:rPr>
        <w:t xml:space="preserve"> </w:t>
      </w:r>
      <w:r>
        <w:rPr>
          <w:sz w:val="20"/>
        </w:rPr>
        <w:t>el</w:t>
      </w:r>
      <w:r>
        <w:rPr>
          <w:spacing w:val="-7"/>
          <w:sz w:val="20"/>
        </w:rPr>
        <w:t xml:space="preserve"> </w:t>
      </w:r>
      <w:r>
        <w:rPr>
          <w:sz w:val="20"/>
        </w:rPr>
        <w:t>estado</w:t>
      </w:r>
      <w:r>
        <w:rPr>
          <w:spacing w:val="-9"/>
          <w:sz w:val="20"/>
        </w:rPr>
        <w:t xml:space="preserve"> </w:t>
      </w:r>
      <w:r>
        <w:rPr>
          <w:sz w:val="20"/>
        </w:rPr>
        <w:t>de</w:t>
      </w:r>
      <w:r>
        <w:rPr>
          <w:spacing w:val="-6"/>
          <w:sz w:val="20"/>
        </w:rPr>
        <w:t xml:space="preserve"> </w:t>
      </w:r>
      <w:r>
        <w:rPr>
          <w:sz w:val="20"/>
        </w:rPr>
        <w:t>embarazo</w:t>
      </w:r>
      <w:r>
        <w:rPr>
          <w:spacing w:val="-9"/>
          <w:sz w:val="20"/>
        </w:rPr>
        <w:t xml:space="preserve"> </w:t>
      </w:r>
      <w:r>
        <w:rPr>
          <w:sz w:val="20"/>
        </w:rPr>
        <w:t>de</w:t>
      </w:r>
      <w:r>
        <w:rPr>
          <w:spacing w:val="-9"/>
          <w:sz w:val="20"/>
        </w:rPr>
        <w:t xml:space="preserve"> </w:t>
      </w:r>
      <w:r>
        <w:rPr>
          <w:sz w:val="20"/>
        </w:rPr>
        <w:t>las</w:t>
      </w:r>
      <w:r>
        <w:rPr>
          <w:spacing w:val="-9"/>
          <w:sz w:val="20"/>
        </w:rPr>
        <w:t xml:space="preserve"> </w:t>
      </w:r>
      <w:r>
        <w:rPr>
          <w:sz w:val="20"/>
        </w:rPr>
        <w:t>mujeres.</w:t>
      </w:r>
      <w:r>
        <w:rPr>
          <w:spacing w:val="-7"/>
          <w:sz w:val="20"/>
        </w:rPr>
        <w:t xml:space="preserve"> </w:t>
      </w:r>
      <w:r>
        <w:rPr>
          <w:sz w:val="20"/>
        </w:rPr>
        <w:t>También,</w:t>
      </w:r>
      <w:r>
        <w:rPr>
          <w:spacing w:val="-8"/>
          <w:sz w:val="20"/>
        </w:rPr>
        <w:t xml:space="preserve"> </w:t>
      </w:r>
      <w:r>
        <w:rPr>
          <w:sz w:val="20"/>
        </w:rPr>
        <w:t>algo</w:t>
      </w:r>
      <w:r>
        <w:rPr>
          <w:spacing w:val="-9"/>
          <w:sz w:val="20"/>
        </w:rPr>
        <w:t xml:space="preserve"> </w:t>
      </w:r>
      <w:r>
        <w:rPr>
          <w:sz w:val="20"/>
        </w:rPr>
        <w:t>que</w:t>
      </w:r>
      <w:r>
        <w:rPr>
          <w:spacing w:val="-9"/>
          <w:sz w:val="20"/>
        </w:rPr>
        <w:t xml:space="preserve"> </w:t>
      </w:r>
      <w:r>
        <w:rPr>
          <w:sz w:val="20"/>
        </w:rPr>
        <w:t>no</w:t>
      </w:r>
      <w:r>
        <w:rPr>
          <w:spacing w:val="-5"/>
          <w:sz w:val="20"/>
        </w:rPr>
        <w:t xml:space="preserve"> </w:t>
      </w:r>
      <w:r>
        <w:rPr>
          <w:sz w:val="20"/>
        </w:rPr>
        <w:t>se</w:t>
      </w:r>
      <w:r>
        <w:rPr>
          <w:spacing w:val="-7"/>
          <w:sz w:val="20"/>
        </w:rPr>
        <w:t xml:space="preserve"> </w:t>
      </w:r>
      <w:r>
        <w:rPr>
          <w:sz w:val="20"/>
        </w:rPr>
        <w:t>explicita</w:t>
      </w:r>
      <w:r>
        <w:rPr>
          <w:spacing w:val="-8"/>
          <w:sz w:val="20"/>
        </w:rPr>
        <w:t xml:space="preserve"> </w:t>
      </w:r>
      <w:r>
        <w:rPr>
          <w:sz w:val="20"/>
        </w:rPr>
        <w:t>pero</w:t>
      </w:r>
      <w:r>
        <w:rPr>
          <w:spacing w:val="-9"/>
          <w:sz w:val="20"/>
        </w:rPr>
        <w:t xml:space="preserve"> </w:t>
      </w:r>
      <w:r>
        <w:rPr>
          <w:sz w:val="20"/>
        </w:rPr>
        <w:t>que</w:t>
      </w:r>
      <w:r>
        <w:rPr>
          <w:spacing w:val="-9"/>
          <w:sz w:val="20"/>
        </w:rPr>
        <w:t xml:space="preserve"> </w:t>
      </w:r>
      <w:r>
        <w:rPr>
          <w:sz w:val="20"/>
        </w:rPr>
        <w:t>es dable entender de lo analizado por la Corte IDH, es que, si bien el enfoque interseccional ha sido acuñado desde el enfoque de género (desde desventajas que su</w:t>
      </w:r>
      <w:r>
        <w:rPr>
          <w:sz w:val="20"/>
        </w:rPr>
        <w:t>fren algunos grupos de mujeres), el caso nos muestra que las niñas y niños, pobres y afrodescendientes también pueden ser víctimas de discriminación interseccional. Ante esta forma de discriminación, es necesario que las acciones para erradicar estas situa</w:t>
      </w:r>
      <w:r>
        <w:rPr>
          <w:sz w:val="20"/>
        </w:rPr>
        <w:t>ciones de exclusión o marginación adopten un “enfoque diferencial” para que en el diseño de las medidas se tomen en cuenta posibles particulares que puedan impactar en diferentes subgrupos de personas</w:t>
      </w:r>
      <w:r>
        <w:rPr>
          <w:spacing w:val="-48"/>
          <w:sz w:val="20"/>
        </w:rPr>
        <w:t xml:space="preserve"> </w:t>
      </w:r>
      <w:r>
        <w:rPr>
          <w:sz w:val="20"/>
        </w:rPr>
        <w:t>destinatarias de esas medidas</w:t>
      </w:r>
      <w:hyperlink w:anchor="_bookmark797" w:history="1">
        <w:r>
          <w:rPr>
            <w:position w:val="7"/>
            <w:sz w:val="13"/>
          </w:rPr>
          <w:t>115</w:t>
        </w:r>
      </w:hyperlink>
      <w:r>
        <w:rPr>
          <w:sz w:val="20"/>
        </w:rPr>
        <w:t>.</w:t>
      </w:r>
    </w:p>
    <w:p w14:paraId="704B49F0" w14:textId="77777777" w:rsidR="00467FCA" w:rsidRDefault="00467FCA">
      <w:pPr>
        <w:pStyle w:val="Textoindependiente"/>
        <w:rPr>
          <w:sz w:val="24"/>
        </w:rPr>
      </w:pPr>
    </w:p>
    <w:p w14:paraId="13606158" w14:textId="77777777" w:rsidR="00467FCA" w:rsidRDefault="001B68EB">
      <w:pPr>
        <w:pStyle w:val="Ttulo1"/>
        <w:numPr>
          <w:ilvl w:val="2"/>
          <w:numId w:val="32"/>
        </w:numPr>
        <w:tabs>
          <w:tab w:val="left" w:pos="1006"/>
        </w:tabs>
        <w:spacing w:before="196" w:line="243" w:lineRule="exact"/>
        <w:ind w:left="1005" w:hanging="828"/>
        <w:jc w:val="left"/>
      </w:pPr>
      <w:r>
        <w:t>IGUAL PROTECCIÓN DE LA LEY, SIN DISCRIMINACIÓN: LA EVOLUCIÓN DE</w:t>
      </w:r>
      <w:r>
        <w:rPr>
          <w:spacing w:val="-18"/>
        </w:rPr>
        <w:t xml:space="preserve"> </w:t>
      </w:r>
      <w:r>
        <w:t>LA</w:t>
      </w:r>
    </w:p>
    <w:p w14:paraId="738328D5" w14:textId="77777777" w:rsidR="00467FCA" w:rsidRDefault="001B68EB">
      <w:pPr>
        <w:spacing w:line="243" w:lineRule="exact"/>
        <w:ind w:left="763" w:right="586"/>
        <w:jc w:val="center"/>
        <w:rPr>
          <w:b/>
          <w:i/>
          <w:sz w:val="20"/>
        </w:rPr>
      </w:pPr>
      <w:r>
        <w:rPr>
          <w:b/>
          <w:i/>
          <w:sz w:val="20"/>
        </w:rPr>
        <w:t xml:space="preserve">IGUALDAD FORMAL </w:t>
      </w:r>
      <w:r>
        <w:rPr>
          <w:b/>
          <w:sz w:val="20"/>
        </w:rPr>
        <w:t xml:space="preserve">AL MANDATO DE LA </w:t>
      </w:r>
      <w:r>
        <w:rPr>
          <w:b/>
          <w:i/>
          <w:sz w:val="20"/>
        </w:rPr>
        <w:t>IGUALDAD MATERIAL</w:t>
      </w:r>
    </w:p>
    <w:p w14:paraId="09C2789B" w14:textId="77777777" w:rsidR="00467FCA" w:rsidRDefault="00467FCA">
      <w:pPr>
        <w:pStyle w:val="Textoindependiente"/>
        <w:rPr>
          <w:b/>
          <w:i/>
        </w:rPr>
      </w:pPr>
    </w:p>
    <w:p w14:paraId="0499844A" w14:textId="77777777" w:rsidR="00467FCA" w:rsidRDefault="001B68EB">
      <w:pPr>
        <w:pStyle w:val="Ttulo2"/>
        <w:numPr>
          <w:ilvl w:val="0"/>
          <w:numId w:val="5"/>
        </w:numPr>
        <w:tabs>
          <w:tab w:val="left" w:pos="751"/>
        </w:tabs>
        <w:spacing w:before="1"/>
        <w:jc w:val="both"/>
      </w:pPr>
      <w:r>
        <w:t>La igualdad material o real en los sistemas de derechos</w:t>
      </w:r>
      <w:r>
        <w:rPr>
          <w:spacing w:val="-4"/>
        </w:rPr>
        <w:t xml:space="preserve"> </w:t>
      </w:r>
      <w:r>
        <w:t>humanos</w:t>
      </w:r>
    </w:p>
    <w:p w14:paraId="1074C448" w14:textId="77777777" w:rsidR="00467FCA" w:rsidRDefault="00467FCA">
      <w:pPr>
        <w:pStyle w:val="Textoindependiente"/>
        <w:spacing w:before="1"/>
        <w:rPr>
          <w:b/>
          <w:i/>
        </w:rPr>
      </w:pPr>
    </w:p>
    <w:p w14:paraId="6A9AB6E0" w14:textId="77777777" w:rsidR="00467FCA" w:rsidRDefault="001B68EB">
      <w:pPr>
        <w:pStyle w:val="Prrafodelista"/>
        <w:numPr>
          <w:ilvl w:val="0"/>
          <w:numId w:val="7"/>
        </w:numPr>
        <w:tabs>
          <w:tab w:val="left" w:pos="1166"/>
        </w:tabs>
        <w:ind w:left="457" w:right="277" w:firstLine="0"/>
        <w:jc w:val="both"/>
        <w:rPr>
          <w:sz w:val="20"/>
        </w:rPr>
      </w:pPr>
      <w:r>
        <w:rPr>
          <w:sz w:val="20"/>
        </w:rPr>
        <w:t>Algunos instrumentos internacionales del Sistema Universal y del Sistema Europeo están</w:t>
      </w:r>
      <w:r>
        <w:rPr>
          <w:spacing w:val="-9"/>
          <w:sz w:val="20"/>
        </w:rPr>
        <w:t xml:space="preserve"> </w:t>
      </w:r>
      <w:r>
        <w:rPr>
          <w:sz w:val="20"/>
        </w:rPr>
        <w:t>en</w:t>
      </w:r>
      <w:r>
        <w:rPr>
          <w:spacing w:val="-10"/>
          <w:sz w:val="20"/>
        </w:rPr>
        <w:t xml:space="preserve"> </w:t>
      </w:r>
      <w:r>
        <w:rPr>
          <w:sz w:val="20"/>
        </w:rPr>
        <w:t>sintonía</w:t>
      </w:r>
      <w:r>
        <w:rPr>
          <w:spacing w:val="-9"/>
          <w:sz w:val="20"/>
        </w:rPr>
        <w:t xml:space="preserve"> </w:t>
      </w:r>
      <w:r>
        <w:rPr>
          <w:sz w:val="20"/>
        </w:rPr>
        <w:t>con</w:t>
      </w:r>
      <w:r>
        <w:rPr>
          <w:spacing w:val="-10"/>
          <w:sz w:val="20"/>
        </w:rPr>
        <w:t xml:space="preserve"> </w:t>
      </w:r>
      <w:r>
        <w:rPr>
          <w:sz w:val="20"/>
        </w:rPr>
        <w:t>la</w:t>
      </w:r>
      <w:r>
        <w:rPr>
          <w:spacing w:val="-9"/>
          <w:sz w:val="20"/>
        </w:rPr>
        <w:t xml:space="preserve"> </w:t>
      </w:r>
      <w:r>
        <w:rPr>
          <w:sz w:val="20"/>
        </w:rPr>
        <w:t>Convención</w:t>
      </w:r>
      <w:r>
        <w:rPr>
          <w:spacing w:val="-10"/>
          <w:sz w:val="20"/>
        </w:rPr>
        <w:t xml:space="preserve"> </w:t>
      </w:r>
      <w:r>
        <w:rPr>
          <w:sz w:val="20"/>
        </w:rPr>
        <w:t>Americana;</w:t>
      </w:r>
      <w:r>
        <w:rPr>
          <w:spacing w:val="-8"/>
          <w:sz w:val="20"/>
        </w:rPr>
        <w:t xml:space="preserve"> </w:t>
      </w:r>
      <w:r>
        <w:rPr>
          <w:sz w:val="20"/>
        </w:rPr>
        <w:t>es</w:t>
      </w:r>
      <w:r>
        <w:rPr>
          <w:spacing w:val="-10"/>
          <w:sz w:val="20"/>
        </w:rPr>
        <w:t xml:space="preserve"> </w:t>
      </w:r>
      <w:r>
        <w:rPr>
          <w:sz w:val="20"/>
        </w:rPr>
        <w:t>decir,</w:t>
      </w:r>
      <w:r>
        <w:rPr>
          <w:spacing w:val="-10"/>
          <w:sz w:val="20"/>
        </w:rPr>
        <w:t xml:space="preserve"> </w:t>
      </w:r>
      <w:r>
        <w:rPr>
          <w:sz w:val="20"/>
        </w:rPr>
        <w:t>por</w:t>
      </w:r>
      <w:r>
        <w:rPr>
          <w:spacing w:val="-12"/>
          <w:sz w:val="20"/>
        </w:rPr>
        <w:t xml:space="preserve"> </w:t>
      </w:r>
      <w:r>
        <w:rPr>
          <w:sz w:val="20"/>
        </w:rPr>
        <w:t>un</w:t>
      </w:r>
      <w:r>
        <w:rPr>
          <w:spacing w:val="-10"/>
          <w:sz w:val="20"/>
        </w:rPr>
        <w:t xml:space="preserve"> </w:t>
      </w:r>
      <w:r>
        <w:rPr>
          <w:sz w:val="20"/>
        </w:rPr>
        <w:t>lado,</w:t>
      </w:r>
      <w:r>
        <w:rPr>
          <w:spacing w:val="-9"/>
          <w:sz w:val="20"/>
        </w:rPr>
        <w:t xml:space="preserve"> </w:t>
      </w:r>
      <w:r>
        <w:rPr>
          <w:sz w:val="20"/>
        </w:rPr>
        <w:t>contienen</w:t>
      </w:r>
      <w:r>
        <w:rPr>
          <w:spacing w:val="-10"/>
          <w:sz w:val="20"/>
        </w:rPr>
        <w:t xml:space="preserve"> </w:t>
      </w:r>
      <w:r>
        <w:rPr>
          <w:sz w:val="20"/>
        </w:rPr>
        <w:t>disposiciones que</w:t>
      </w:r>
      <w:r>
        <w:rPr>
          <w:spacing w:val="-12"/>
          <w:sz w:val="20"/>
        </w:rPr>
        <w:t xml:space="preserve"> </w:t>
      </w:r>
      <w:r>
        <w:rPr>
          <w:sz w:val="20"/>
        </w:rPr>
        <w:t>hacen</w:t>
      </w:r>
      <w:r>
        <w:rPr>
          <w:spacing w:val="-9"/>
          <w:sz w:val="20"/>
        </w:rPr>
        <w:t xml:space="preserve"> </w:t>
      </w:r>
      <w:r>
        <w:rPr>
          <w:sz w:val="20"/>
        </w:rPr>
        <w:t>refere</w:t>
      </w:r>
      <w:r>
        <w:rPr>
          <w:sz w:val="20"/>
        </w:rPr>
        <w:t>ncia</w:t>
      </w:r>
      <w:r>
        <w:rPr>
          <w:spacing w:val="-8"/>
          <w:sz w:val="20"/>
        </w:rPr>
        <w:t xml:space="preserve"> </w:t>
      </w:r>
      <w:r>
        <w:rPr>
          <w:sz w:val="20"/>
        </w:rPr>
        <w:t>a</w:t>
      </w:r>
      <w:r>
        <w:rPr>
          <w:spacing w:val="-11"/>
          <w:sz w:val="20"/>
        </w:rPr>
        <w:t xml:space="preserve"> </w:t>
      </w:r>
      <w:r>
        <w:rPr>
          <w:sz w:val="20"/>
        </w:rPr>
        <w:t>la</w:t>
      </w:r>
      <w:r>
        <w:rPr>
          <w:spacing w:val="-10"/>
          <w:sz w:val="20"/>
        </w:rPr>
        <w:t xml:space="preserve"> </w:t>
      </w:r>
      <w:r>
        <w:rPr>
          <w:sz w:val="20"/>
        </w:rPr>
        <w:t>prohibición</w:t>
      </w:r>
      <w:r>
        <w:rPr>
          <w:spacing w:val="-9"/>
          <w:sz w:val="20"/>
        </w:rPr>
        <w:t xml:space="preserve"> </w:t>
      </w:r>
      <w:r>
        <w:rPr>
          <w:sz w:val="20"/>
        </w:rPr>
        <w:t>de</w:t>
      </w:r>
      <w:r>
        <w:rPr>
          <w:spacing w:val="-10"/>
          <w:sz w:val="20"/>
        </w:rPr>
        <w:t xml:space="preserve"> </w:t>
      </w:r>
      <w:r>
        <w:rPr>
          <w:sz w:val="20"/>
        </w:rPr>
        <w:t>discriminación</w:t>
      </w:r>
      <w:r>
        <w:rPr>
          <w:spacing w:val="-9"/>
          <w:sz w:val="20"/>
        </w:rPr>
        <w:t xml:space="preserve"> </w:t>
      </w:r>
      <w:r>
        <w:rPr>
          <w:sz w:val="20"/>
        </w:rPr>
        <w:t>y,</w:t>
      </w:r>
      <w:r>
        <w:rPr>
          <w:spacing w:val="-8"/>
          <w:sz w:val="20"/>
        </w:rPr>
        <w:t xml:space="preserve"> </w:t>
      </w:r>
      <w:r>
        <w:rPr>
          <w:sz w:val="20"/>
        </w:rPr>
        <w:t>por</w:t>
      </w:r>
      <w:r>
        <w:rPr>
          <w:spacing w:val="-10"/>
          <w:sz w:val="20"/>
        </w:rPr>
        <w:t xml:space="preserve"> </w:t>
      </w:r>
      <w:r>
        <w:rPr>
          <w:sz w:val="20"/>
        </w:rPr>
        <w:t>otro</w:t>
      </w:r>
      <w:r>
        <w:rPr>
          <w:spacing w:val="-11"/>
          <w:sz w:val="20"/>
        </w:rPr>
        <w:t xml:space="preserve"> </w:t>
      </w:r>
      <w:r>
        <w:rPr>
          <w:sz w:val="20"/>
        </w:rPr>
        <w:t>lado,</w:t>
      </w:r>
      <w:r>
        <w:rPr>
          <w:spacing w:val="-8"/>
          <w:sz w:val="20"/>
        </w:rPr>
        <w:t xml:space="preserve"> </w:t>
      </w:r>
      <w:r>
        <w:rPr>
          <w:sz w:val="20"/>
        </w:rPr>
        <w:t>disposiciones</w:t>
      </w:r>
      <w:r>
        <w:rPr>
          <w:spacing w:val="-12"/>
          <w:sz w:val="20"/>
        </w:rPr>
        <w:t xml:space="preserve"> </w:t>
      </w:r>
      <w:r>
        <w:rPr>
          <w:sz w:val="20"/>
        </w:rPr>
        <w:t>que</w:t>
      </w:r>
      <w:r>
        <w:rPr>
          <w:spacing w:val="-9"/>
          <w:sz w:val="20"/>
        </w:rPr>
        <w:t xml:space="preserve"> </w:t>
      </w:r>
      <w:r>
        <w:rPr>
          <w:sz w:val="20"/>
        </w:rPr>
        <w:t>van encaminadas a garantizar la igualdad ante la ley entre las</w:t>
      </w:r>
      <w:r>
        <w:rPr>
          <w:spacing w:val="-12"/>
          <w:sz w:val="20"/>
        </w:rPr>
        <w:t xml:space="preserve"> </w:t>
      </w:r>
      <w:r>
        <w:rPr>
          <w:sz w:val="20"/>
        </w:rPr>
        <w:t>personas</w:t>
      </w:r>
      <w:hyperlink w:anchor="_bookmark798" w:history="1">
        <w:r>
          <w:rPr>
            <w:position w:val="7"/>
            <w:sz w:val="13"/>
          </w:rPr>
          <w:t>116</w:t>
        </w:r>
      </w:hyperlink>
      <w:r>
        <w:rPr>
          <w:sz w:val="20"/>
        </w:rPr>
        <w:t>.</w:t>
      </w:r>
    </w:p>
    <w:p w14:paraId="4C669C78" w14:textId="77777777" w:rsidR="00467FCA" w:rsidRDefault="00467FCA">
      <w:pPr>
        <w:pStyle w:val="Textoindependiente"/>
      </w:pPr>
    </w:p>
    <w:p w14:paraId="178D936B" w14:textId="77777777" w:rsidR="00467FCA" w:rsidRDefault="00467FCA">
      <w:pPr>
        <w:pStyle w:val="Textoindependiente"/>
      </w:pPr>
    </w:p>
    <w:p w14:paraId="2D5D31F6" w14:textId="77777777" w:rsidR="00467FCA" w:rsidRDefault="001B68EB">
      <w:pPr>
        <w:pStyle w:val="Textoindependiente"/>
        <w:spacing w:before="7"/>
        <w:rPr>
          <w:sz w:val="27"/>
        </w:rPr>
      </w:pPr>
      <w:r>
        <w:pict w14:anchorId="1724952E">
          <v:shape id="_x0000_s1048" style="position:absolute;margin-left:70.9pt;margin-top:19.05pt;width:2in;height:.1pt;z-index:-251507712;mso-wrap-distance-left:0;mso-wrap-distance-right:0;mso-position-horizontal-relative:page" coordorigin="1418,381" coordsize="2880,0" path="m1418,381r2880,e" filled="f" strokeweight=".6pt">
            <v:path arrowok="t"/>
            <w10:wrap type="topAndBottom" anchorx="page"/>
          </v:shape>
        </w:pict>
      </w:r>
    </w:p>
    <w:p w14:paraId="6B5265C8" w14:textId="77777777" w:rsidR="00467FCA" w:rsidRDefault="001B68EB">
      <w:pPr>
        <w:tabs>
          <w:tab w:val="left" w:pos="1166"/>
        </w:tabs>
        <w:spacing w:before="74"/>
        <w:ind w:left="458" w:right="273"/>
        <w:jc w:val="both"/>
        <w:rPr>
          <w:sz w:val="16"/>
        </w:rPr>
      </w:pPr>
      <w:bookmarkStart w:id="876" w:name="_bookmark795"/>
      <w:bookmarkEnd w:id="876"/>
      <w:r>
        <w:rPr>
          <w:position w:val="6"/>
          <w:sz w:val="10"/>
        </w:rPr>
        <w:t>113</w:t>
      </w:r>
      <w:r>
        <w:rPr>
          <w:position w:val="6"/>
          <w:sz w:val="10"/>
        </w:rPr>
        <w:tab/>
      </w:r>
      <w:r>
        <w:rPr>
          <w:i/>
          <w:sz w:val="16"/>
        </w:rPr>
        <w:t>Caso</w:t>
      </w:r>
      <w:r>
        <w:rPr>
          <w:i/>
          <w:spacing w:val="-4"/>
          <w:sz w:val="16"/>
        </w:rPr>
        <w:t xml:space="preserve"> </w:t>
      </w:r>
      <w:r>
        <w:rPr>
          <w:i/>
          <w:sz w:val="16"/>
        </w:rPr>
        <w:t>Empleados</w:t>
      </w:r>
      <w:r>
        <w:rPr>
          <w:i/>
          <w:spacing w:val="-4"/>
          <w:sz w:val="16"/>
        </w:rPr>
        <w:t xml:space="preserve"> </w:t>
      </w:r>
      <w:r>
        <w:rPr>
          <w:i/>
          <w:sz w:val="16"/>
        </w:rPr>
        <w:t>de</w:t>
      </w:r>
      <w:r>
        <w:rPr>
          <w:i/>
          <w:spacing w:val="-2"/>
          <w:sz w:val="16"/>
        </w:rPr>
        <w:t xml:space="preserve"> </w:t>
      </w:r>
      <w:r>
        <w:rPr>
          <w:i/>
          <w:sz w:val="16"/>
        </w:rPr>
        <w:t>la</w:t>
      </w:r>
      <w:r>
        <w:rPr>
          <w:i/>
          <w:spacing w:val="-5"/>
          <w:sz w:val="16"/>
        </w:rPr>
        <w:t xml:space="preserve"> </w:t>
      </w:r>
      <w:r>
        <w:rPr>
          <w:i/>
          <w:sz w:val="16"/>
        </w:rPr>
        <w:t>Fábrica</w:t>
      </w:r>
      <w:r>
        <w:rPr>
          <w:i/>
          <w:spacing w:val="-8"/>
          <w:sz w:val="16"/>
        </w:rPr>
        <w:t xml:space="preserve"> </w:t>
      </w:r>
      <w:r>
        <w:rPr>
          <w:i/>
          <w:sz w:val="16"/>
        </w:rPr>
        <w:t>de</w:t>
      </w:r>
      <w:r>
        <w:rPr>
          <w:i/>
          <w:spacing w:val="-4"/>
          <w:sz w:val="16"/>
        </w:rPr>
        <w:t xml:space="preserve"> </w:t>
      </w:r>
      <w:r>
        <w:rPr>
          <w:i/>
          <w:sz w:val="16"/>
        </w:rPr>
        <w:t>Fuegos</w:t>
      </w:r>
      <w:r>
        <w:rPr>
          <w:i/>
          <w:spacing w:val="-5"/>
          <w:sz w:val="16"/>
        </w:rPr>
        <w:t xml:space="preserve"> </w:t>
      </w:r>
      <w:r>
        <w:rPr>
          <w:i/>
          <w:sz w:val="16"/>
        </w:rPr>
        <w:t>en</w:t>
      </w:r>
      <w:r>
        <w:rPr>
          <w:i/>
          <w:spacing w:val="-5"/>
          <w:sz w:val="16"/>
        </w:rPr>
        <w:t xml:space="preserve"> </w:t>
      </w:r>
      <w:r>
        <w:rPr>
          <w:i/>
          <w:sz w:val="16"/>
        </w:rPr>
        <w:t>Santo</w:t>
      </w:r>
      <w:r>
        <w:rPr>
          <w:i/>
          <w:spacing w:val="-3"/>
          <w:sz w:val="16"/>
        </w:rPr>
        <w:t xml:space="preserve"> </w:t>
      </w:r>
      <w:r>
        <w:rPr>
          <w:i/>
          <w:sz w:val="16"/>
        </w:rPr>
        <w:t>Antônio</w:t>
      </w:r>
      <w:r>
        <w:rPr>
          <w:i/>
          <w:spacing w:val="-4"/>
          <w:sz w:val="16"/>
        </w:rPr>
        <w:t xml:space="preserve"> </w:t>
      </w:r>
      <w:r>
        <w:rPr>
          <w:i/>
          <w:sz w:val="16"/>
        </w:rPr>
        <w:t>de</w:t>
      </w:r>
      <w:r>
        <w:rPr>
          <w:i/>
          <w:spacing w:val="-1"/>
          <w:sz w:val="16"/>
        </w:rPr>
        <w:t xml:space="preserve"> </w:t>
      </w:r>
      <w:r>
        <w:rPr>
          <w:i/>
          <w:sz w:val="16"/>
        </w:rPr>
        <w:t>Jesus</w:t>
      </w:r>
      <w:r>
        <w:rPr>
          <w:i/>
          <w:spacing w:val="-5"/>
          <w:sz w:val="16"/>
        </w:rPr>
        <w:t xml:space="preserve"> </w:t>
      </w:r>
      <w:r>
        <w:rPr>
          <w:i/>
          <w:sz w:val="16"/>
        </w:rPr>
        <w:t>y</w:t>
      </w:r>
      <w:r>
        <w:rPr>
          <w:i/>
          <w:spacing w:val="-3"/>
          <w:sz w:val="16"/>
        </w:rPr>
        <w:t xml:space="preserve"> </w:t>
      </w:r>
      <w:r>
        <w:rPr>
          <w:i/>
          <w:sz w:val="16"/>
        </w:rPr>
        <w:t>sus</w:t>
      </w:r>
      <w:r>
        <w:rPr>
          <w:i/>
          <w:spacing w:val="-5"/>
          <w:sz w:val="16"/>
        </w:rPr>
        <w:t xml:space="preserve"> </w:t>
      </w:r>
      <w:r>
        <w:rPr>
          <w:i/>
          <w:sz w:val="16"/>
        </w:rPr>
        <w:t>familiares</w:t>
      </w:r>
      <w:r>
        <w:rPr>
          <w:i/>
          <w:spacing w:val="-4"/>
          <w:sz w:val="16"/>
        </w:rPr>
        <w:t xml:space="preserve"> </w:t>
      </w:r>
      <w:r>
        <w:rPr>
          <w:i/>
          <w:sz w:val="16"/>
        </w:rPr>
        <w:t>Vs.</w:t>
      </w:r>
      <w:r>
        <w:rPr>
          <w:i/>
          <w:spacing w:val="-6"/>
          <w:sz w:val="16"/>
        </w:rPr>
        <w:t xml:space="preserve"> </w:t>
      </w:r>
      <w:r>
        <w:rPr>
          <w:i/>
          <w:sz w:val="16"/>
        </w:rPr>
        <w:t>Brasil,</w:t>
      </w:r>
      <w:r>
        <w:rPr>
          <w:i/>
          <w:spacing w:val="-2"/>
          <w:sz w:val="16"/>
        </w:rPr>
        <w:t xml:space="preserve"> </w:t>
      </w:r>
      <w:r>
        <w:rPr>
          <w:i/>
          <w:sz w:val="16"/>
        </w:rPr>
        <w:t>supra</w:t>
      </w:r>
      <w:r>
        <w:rPr>
          <w:sz w:val="16"/>
        </w:rPr>
        <w:t>,</w:t>
      </w:r>
      <w:r>
        <w:rPr>
          <w:spacing w:val="-6"/>
          <w:sz w:val="16"/>
        </w:rPr>
        <w:t xml:space="preserve"> </w:t>
      </w:r>
      <w:r>
        <w:rPr>
          <w:sz w:val="16"/>
        </w:rPr>
        <w:t>párrs. 56 y</w:t>
      </w:r>
      <w:r>
        <w:rPr>
          <w:spacing w:val="-4"/>
          <w:sz w:val="16"/>
        </w:rPr>
        <w:t xml:space="preserve"> </w:t>
      </w:r>
      <w:r>
        <w:rPr>
          <w:sz w:val="16"/>
        </w:rPr>
        <w:t>64.</w:t>
      </w:r>
    </w:p>
    <w:p w14:paraId="5317AB6E" w14:textId="77777777" w:rsidR="00467FCA" w:rsidRDefault="001B68EB">
      <w:pPr>
        <w:tabs>
          <w:tab w:val="left" w:pos="1166"/>
        </w:tabs>
        <w:ind w:left="458" w:right="273"/>
        <w:jc w:val="both"/>
        <w:rPr>
          <w:sz w:val="16"/>
        </w:rPr>
      </w:pPr>
      <w:bookmarkStart w:id="877" w:name="_bookmark796"/>
      <w:bookmarkEnd w:id="877"/>
      <w:r>
        <w:rPr>
          <w:position w:val="6"/>
          <w:sz w:val="10"/>
        </w:rPr>
        <w:t>114</w:t>
      </w:r>
      <w:r>
        <w:rPr>
          <w:position w:val="6"/>
          <w:sz w:val="10"/>
        </w:rPr>
        <w:tab/>
      </w:r>
      <w:r>
        <w:rPr>
          <w:i/>
          <w:sz w:val="16"/>
        </w:rPr>
        <w:t>Caso Empleados de la Fábrica de Fuegos en Santo Antônio de Jesus y sus familiares Vs. Brasil, supra</w:t>
      </w:r>
      <w:r>
        <w:rPr>
          <w:sz w:val="16"/>
        </w:rPr>
        <w:t>, párr. 189.</w:t>
      </w:r>
    </w:p>
    <w:p w14:paraId="4E188BE1" w14:textId="77777777" w:rsidR="00467FCA" w:rsidRDefault="001B68EB">
      <w:pPr>
        <w:tabs>
          <w:tab w:val="left" w:pos="1166"/>
        </w:tabs>
        <w:ind w:left="456" w:right="273" w:firstLine="1"/>
        <w:jc w:val="both"/>
        <w:rPr>
          <w:sz w:val="16"/>
        </w:rPr>
      </w:pPr>
      <w:bookmarkStart w:id="878" w:name="_bookmark797"/>
      <w:bookmarkEnd w:id="878"/>
      <w:r>
        <w:rPr>
          <w:position w:val="6"/>
          <w:sz w:val="10"/>
        </w:rPr>
        <w:t>115</w:t>
      </w:r>
      <w:r>
        <w:rPr>
          <w:position w:val="6"/>
          <w:sz w:val="10"/>
        </w:rPr>
        <w:tab/>
      </w:r>
      <w:r>
        <w:rPr>
          <w:sz w:val="16"/>
        </w:rPr>
        <w:t xml:space="preserve">Al respecto, en la sentencia, la Corte IDH ordenó que “en el plazo máximo de dos años a partir de la notificación de esta Sentencia, diseñe </w:t>
      </w:r>
      <w:r>
        <w:rPr>
          <w:sz w:val="16"/>
        </w:rPr>
        <w:t xml:space="preserve">y ejecute un programa de desarrollo socioeconómico especialmente destinado para la población de Santo Antônio de Jesus, en coordinación con las víctimas y sus representantes. […] Dicho programa debe hacer frente, necesariamente, a la falta de alternativas </w:t>
      </w:r>
      <w:r>
        <w:rPr>
          <w:sz w:val="16"/>
        </w:rPr>
        <w:t xml:space="preserve">de trabajo, </w:t>
      </w:r>
      <w:r>
        <w:rPr>
          <w:sz w:val="16"/>
          <w:u w:val="single"/>
        </w:rPr>
        <w:t>especialmente para las y los</w:t>
      </w:r>
      <w:r>
        <w:rPr>
          <w:sz w:val="16"/>
        </w:rPr>
        <w:t xml:space="preserve"> </w:t>
      </w:r>
      <w:r>
        <w:rPr>
          <w:sz w:val="16"/>
          <w:u w:val="single"/>
        </w:rPr>
        <w:t>jóvenes mayores de 16 años y mujeres afrodescendientes que viven en condición de pobreza</w:t>
      </w:r>
      <w:r>
        <w:rPr>
          <w:sz w:val="16"/>
        </w:rPr>
        <w:t xml:space="preserve">” (énfasis añadido). </w:t>
      </w:r>
      <w:r>
        <w:rPr>
          <w:i/>
          <w:sz w:val="16"/>
        </w:rPr>
        <w:t>Caso Empleados de la Fábrica de Fuegos en Santo Antônio de Jesus y sus familiares Vs. Brasil, supra</w:t>
      </w:r>
      <w:r>
        <w:rPr>
          <w:sz w:val="16"/>
        </w:rPr>
        <w:t>, párr.</w:t>
      </w:r>
      <w:r>
        <w:rPr>
          <w:spacing w:val="-29"/>
          <w:sz w:val="16"/>
        </w:rPr>
        <w:t xml:space="preserve"> </w:t>
      </w:r>
      <w:r>
        <w:rPr>
          <w:sz w:val="16"/>
        </w:rPr>
        <w:t>289.</w:t>
      </w:r>
    </w:p>
    <w:p w14:paraId="1EBB0651" w14:textId="77777777" w:rsidR="00467FCA" w:rsidRDefault="001B68EB">
      <w:pPr>
        <w:tabs>
          <w:tab w:val="left" w:pos="1166"/>
        </w:tabs>
        <w:ind w:left="458" w:right="273"/>
        <w:jc w:val="both"/>
        <w:rPr>
          <w:sz w:val="16"/>
        </w:rPr>
      </w:pPr>
      <w:bookmarkStart w:id="879" w:name="_bookmark798"/>
      <w:bookmarkEnd w:id="879"/>
      <w:r>
        <w:rPr>
          <w:position w:val="6"/>
          <w:sz w:val="10"/>
        </w:rPr>
        <w:t>116</w:t>
      </w:r>
      <w:r>
        <w:rPr>
          <w:position w:val="6"/>
          <w:sz w:val="10"/>
        </w:rPr>
        <w:tab/>
      </w:r>
      <w:r>
        <w:rPr>
          <w:sz w:val="16"/>
        </w:rPr>
        <w:t>Aunque no hay desarrollos jurisprudenciales en la materia, el artículo 3 de la Carta Africana de Derechos Humanos</w:t>
      </w:r>
      <w:r>
        <w:rPr>
          <w:spacing w:val="-8"/>
          <w:sz w:val="16"/>
        </w:rPr>
        <w:t xml:space="preserve"> </w:t>
      </w:r>
      <w:r>
        <w:rPr>
          <w:sz w:val="16"/>
        </w:rPr>
        <w:t>y</w:t>
      </w:r>
      <w:r>
        <w:rPr>
          <w:spacing w:val="-9"/>
          <w:sz w:val="16"/>
        </w:rPr>
        <w:t xml:space="preserve"> </w:t>
      </w:r>
      <w:r>
        <w:rPr>
          <w:sz w:val="16"/>
        </w:rPr>
        <w:t>de</w:t>
      </w:r>
      <w:r>
        <w:rPr>
          <w:spacing w:val="-7"/>
          <w:sz w:val="16"/>
        </w:rPr>
        <w:t xml:space="preserve"> </w:t>
      </w:r>
      <w:r>
        <w:rPr>
          <w:sz w:val="16"/>
        </w:rPr>
        <w:t>los</w:t>
      </w:r>
      <w:r>
        <w:rPr>
          <w:spacing w:val="-8"/>
          <w:sz w:val="16"/>
        </w:rPr>
        <w:t xml:space="preserve"> </w:t>
      </w:r>
      <w:r>
        <w:rPr>
          <w:sz w:val="16"/>
        </w:rPr>
        <w:t>Pueblos</w:t>
      </w:r>
      <w:r>
        <w:rPr>
          <w:spacing w:val="-7"/>
          <w:sz w:val="16"/>
        </w:rPr>
        <w:t xml:space="preserve"> </w:t>
      </w:r>
      <w:r>
        <w:rPr>
          <w:sz w:val="16"/>
        </w:rPr>
        <w:t>establece</w:t>
      </w:r>
      <w:r>
        <w:rPr>
          <w:spacing w:val="-8"/>
          <w:sz w:val="16"/>
        </w:rPr>
        <w:t xml:space="preserve"> </w:t>
      </w:r>
      <w:r>
        <w:rPr>
          <w:sz w:val="16"/>
        </w:rPr>
        <w:t>el</w:t>
      </w:r>
      <w:r>
        <w:rPr>
          <w:spacing w:val="-11"/>
          <w:sz w:val="16"/>
        </w:rPr>
        <w:t xml:space="preserve"> </w:t>
      </w:r>
      <w:r>
        <w:rPr>
          <w:sz w:val="16"/>
        </w:rPr>
        <w:t>derecho</w:t>
      </w:r>
      <w:r>
        <w:rPr>
          <w:spacing w:val="-7"/>
          <w:sz w:val="16"/>
        </w:rPr>
        <w:t xml:space="preserve"> </w:t>
      </w:r>
      <w:r>
        <w:rPr>
          <w:sz w:val="16"/>
        </w:rPr>
        <w:t>de</w:t>
      </w:r>
      <w:r>
        <w:rPr>
          <w:spacing w:val="-7"/>
          <w:sz w:val="16"/>
        </w:rPr>
        <w:t xml:space="preserve"> </w:t>
      </w:r>
      <w:r>
        <w:rPr>
          <w:sz w:val="16"/>
        </w:rPr>
        <w:t>toda</w:t>
      </w:r>
      <w:r>
        <w:rPr>
          <w:spacing w:val="-9"/>
          <w:sz w:val="16"/>
        </w:rPr>
        <w:t xml:space="preserve"> </w:t>
      </w:r>
      <w:r>
        <w:rPr>
          <w:sz w:val="16"/>
        </w:rPr>
        <w:t>persona</w:t>
      </w:r>
      <w:r>
        <w:rPr>
          <w:spacing w:val="-8"/>
          <w:sz w:val="16"/>
        </w:rPr>
        <w:t xml:space="preserve"> </w:t>
      </w:r>
      <w:r>
        <w:rPr>
          <w:sz w:val="16"/>
        </w:rPr>
        <w:t>a</w:t>
      </w:r>
      <w:r>
        <w:rPr>
          <w:spacing w:val="-8"/>
          <w:sz w:val="16"/>
        </w:rPr>
        <w:t xml:space="preserve"> </w:t>
      </w:r>
      <w:r>
        <w:rPr>
          <w:sz w:val="16"/>
        </w:rPr>
        <w:t>la</w:t>
      </w:r>
      <w:r>
        <w:rPr>
          <w:spacing w:val="-9"/>
          <w:sz w:val="16"/>
        </w:rPr>
        <w:t xml:space="preserve"> </w:t>
      </w:r>
      <w:r>
        <w:rPr>
          <w:sz w:val="16"/>
        </w:rPr>
        <w:t>igualdad</w:t>
      </w:r>
      <w:r>
        <w:rPr>
          <w:spacing w:val="-7"/>
          <w:sz w:val="16"/>
        </w:rPr>
        <w:t xml:space="preserve"> </w:t>
      </w:r>
      <w:r>
        <w:rPr>
          <w:sz w:val="16"/>
        </w:rPr>
        <w:t>ante</w:t>
      </w:r>
      <w:r>
        <w:rPr>
          <w:spacing w:val="-8"/>
          <w:sz w:val="16"/>
        </w:rPr>
        <w:t xml:space="preserve"> </w:t>
      </w:r>
      <w:r>
        <w:rPr>
          <w:sz w:val="16"/>
        </w:rPr>
        <w:t>la</w:t>
      </w:r>
      <w:r>
        <w:rPr>
          <w:spacing w:val="-8"/>
          <w:sz w:val="16"/>
        </w:rPr>
        <w:t xml:space="preserve"> </w:t>
      </w:r>
      <w:r>
        <w:rPr>
          <w:sz w:val="16"/>
        </w:rPr>
        <w:t>ley</w:t>
      </w:r>
      <w:r>
        <w:rPr>
          <w:spacing w:val="-9"/>
          <w:sz w:val="16"/>
        </w:rPr>
        <w:t xml:space="preserve"> </w:t>
      </w:r>
      <w:r>
        <w:rPr>
          <w:sz w:val="16"/>
        </w:rPr>
        <w:t>y</w:t>
      </w:r>
      <w:r>
        <w:rPr>
          <w:spacing w:val="-9"/>
          <w:sz w:val="16"/>
        </w:rPr>
        <w:t xml:space="preserve"> </w:t>
      </w:r>
      <w:r>
        <w:rPr>
          <w:sz w:val="16"/>
        </w:rPr>
        <w:t>a</w:t>
      </w:r>
      <w:r>
        <w:rPr>
          <w:spacing w:val="-9"/>
          <w:sz w:val="16"/>
        </w:rPr>
        <w:t xml:space="preserve"> </w:t>
      </w:r>
      <w:r>
        <w:rPr>
          <w:sz w:val="16"/>
        </w:rPr>
        <w:t>gozar</w:t>
      </w:r>
      <w:r>
        <w:rPr>
          <w:spacing w:val="-6"/>
          <w:sz w:val="16"/>
        </w:rPr>
        <w:t xml:space="preserve"> </w:t>
      </w:r>
      <w:r>
        <w:rPr>
          <w:sz w:val="16"/>
        </w:rPr>
        <w:t>de</w:t>
      </w:r>
      <w:r>
        <w:rPr>
          <w:spacing w:val="-7"/>
          <w:sz w:val="16"/>
        </w:rPr>
        <w:t xml:space="preserve"> </w:t>
      </w:r>
      <w:r>
        <w:rPr>
          <w:sz w:val="16"/>
        </w:rPr>
        <w:t>igual</w:t>
      </w:r>
      <w:r>
        <w:rPr>
          <w:spacing w:val="-9"/>
          <w:sz w:val="16"/>
        </w:rPr>
        <w:t xml:space="preserve"> </w:t>
      </w:r>
      <w:r>
        <w:rPr>
          <w:sz w:val="16"/>
        </w:rPr>
        <w:t>protección de la</w:t>
      </w:r>
      <w:r>
        <w:rPr>
          <w:spacing w:val="-1"/>
          <w:sz w:val="16"/>
        </w:rPr>
        <w:t xml:space="preserve"> </w:t>
      </w:r>
      <w:r>
        <w:rPr>
          <w:sz w:val="16"/>
        </w:rPr>
        <w:t>ley.</w:t>
      </w:r>
    </w:p>
    <w:p w14:paraId="07EE0129" w14:textId="77777777" w:rsidR="00467FCA" w:rsidRDefault="00467FCA">
      <w:pPr>
        <w:jc w:val="both"/>
        <w:rPr>
          <w:sz w:val="16"/>
        </w:rPr>
        <w:sectPr w:rsidR="00467FCA">
          <w:pgSz w:w="12240" w:h="15840"/>
          <w:pgMar w:top="1340" w:right="1140" w:bottom="920" w:left="960" w:header="0" w:footer="734" w:gutter="0"/>
          <w:cols w:space="720"/>
        </w:sectPr>
      </w:pPr>
    </w:p>
    <w:p w14:paraId="50AF2A0E" w14:textId="77777777" w:rsidR="00467FCA" w:rsidRDefault="001B68EB">
      <w:pPr>
        <w:pStyle w:val="Ttulo1"/>
        <w:numPr>
          <w:ilvl w:val="1"/>
          <w:numId w:val="5"/>
        </w:numPr>
        <w:tabs>
          <w:tab w:val="left" w:pos="1743"/>
        </w:tabs>
        <w:spacing w:before="79"/>
        <w:ind w:hanging="577"/>
      </w:pPr>
      <w:r>
        <w:t>Sistema Universal de Derechos Humanos</w:t>
      </w:r>
    </w:p>
    <w:p w14:paraId="6AED42B6" w14:textId="77777777" w:rsidR="00467FCA" w:rsidRDefault="00467FCA">
      <w:pPr>
        <w:pStyle w:val="Textoindependiente"/>
        <w:spacing w:before="10"/>
        <w:rPr>
          <w:b/>
          <w:sz w:val="19"/>
        </w:rPr>
      </w:pPr>
    </w:p>
    <w:p w14:paraId="2B2521FA" w14:textId="77777777" w:rsidR="00467FCA" w:rsidRDefault="001B68EB">
      <w:pPr>
        <w:pStyle w:val="Prrafodelista"/>
        <w:numPr>
          <w:ilvl w:val="0"/>
          <w:numId w:val="7"/>
        </w:numPr>
        <w:tabs>
          <w:tab w:val="left" w:pos="1167"/>
        </w:tabs>
        <w:ind w:right="274" w:firstLine="0"/>
        <w:jc w:val="both"/>
        <w:rPr>
          <w:sz w:val="20"/>
        </w:rPr>
      </w:pPr>
      <w:r>
        <w:rPr>
          <w:sz w:val="20"/>
        </w:rPr>
        <w:t>El Pacto Internacional de Derechos Civiles y Políticos estipula en su artículo 2 y en su artículo 26</w:t>
      </w:r>
      <w:hyperlink w:anchor="_bookmark799" w:history="1">
        <w:r>
          <w:rPr>
            <w:position w:val="7"/>
            <w:sz w:val="13"/>
          </w:rPr>
          <w:t>117</w:t>
        </w:r>
      </w:hyperlink>
      <w:r>
        <w:rPr>
          <w:position w:val="7"/>
          <w:sz w:val="13"/>
        </w:rPr>
        <w:t xml:space="preserve"> </w:t>
      </w:r>
      <w:r>
        <w:rPr>
          <w:sz w:val="20"/>
        </w:rPr>
        <w:t>lo que sería el equivalente a los artículos 1.1 y 24 de la Convenci</w:t>
      </w:r>
      <w:r>
        <w:rPr>
          <w:sz w:val="20"/>
        </w:rPr>
        <w:t>ón Americana. Ahora</w:t>
      </w:r>
      <w:r>
        <w:rPr>
          <w:spacing w:val="-12"/>
          <w:sz w:val="20"/>
        </w:rPr>
        <w:t xml:space="preserve"> </w:t>
      </w:r>
      <w:r>
        <w:rPr>
          <w:sz w:val="20"/>
        </w:rPr>
        <w:t>bien,</w:t>
      </w:r>
      <w:r>
        <w:rPr>
          <w:spacing w:val="-13"/>
          <w:sz w:val="20"/>
        </w:rPr>
        <w:t xml:space="preserve"> </w:t>
      </w:r>
      <w:r>
        <w:rPr>
          <w:sz w:val="20"/>
        </w:rPr>
        <w:t>la</w:t>
      </w:r>
      <w:r>
        <w:rPr>
          <w:spacing w:val="-12"/>
          <w:sz w:val="20"/>
        </w:rPr>
        <w:t xml:space="preserve"> </w:t>
      </w:r>
      <w:r>
        <w:rPr>
          <w:sz w:val="20"/>
        </w:rPr>
        <w:t>jurisprudencia</w:t>
      </w:r>
      <w:r>
        <w:rPr>
          <w:spacing w:val="-12"/>
          <w:sz w:val="20"/>
        </w:rPr>
        <w:t xml:space="preserve"> </w:t>
      </w:r>
      <w:r>
        <w:rPr>
          <w:sz w:val="20"/>
        </w:rPr>
        <w:t>del</w:t>
      </w:r>
      <w:r>
        <w:rPr>
          <w:spacing w:val="-12"/>
          <w:sz w:val="20"/>
        </w:rPr>
        <w:t xml:space="preserve"> </w:t>
      </w:r>
      <w:r>
        <w:rPr>
          <w:sz w:val="20"/>
        </w:rPr>
        <w:t>Comité</w:t>
      </w:r>
      <w:r>
        <w:rPr>
          <w:spacing w:val="-14"/>
          <w:sz w:val="20"/>
        </w:rPr>
        <w:t xml:space="preserve"> </w:t>
      </w:r>
      <w:r>
        <w:rPr>
          <w:sz w:val="20"/>
        </w:rPr>
        <w:t>de</w:t>
      </w:r>
      <w:r>
        <w:rPr>
          <w:spacing w:val="-14"/>
          <w:sz w:val="20"/>
        </w:rPr>
        <w:t xml:space="preserve"> </w:t>
      </w:r>
      <w:r>
        <w:rPr>
          <w:sz w:val="20"/>
        </w:rPr>
        <w:t>Derechos</w:t>
      </w:r>
      <w:r>
        <w:rPr>
          <w:spacing w:val="-12"/>
          <w:sz w:val="20"/>
        </w:rPr>
        <w:t xml:space="preserve"> </w:t>
      </w:r>
      <w:r>
        <w:rPr>
          <w:sz w:val="20"/>
        </w:rPr>
        <w:t>Humanos</w:t>
      </w:r>
      <w:r>
        <w:rPr>
          <w:spacing w:val="-13"/>
          <w:sz w:val="20"/>
        </w:rPr>
        <w:t xml:space="preserve"> </w:t>
      </w:r>
      <w:r>
        <w:rPr>
          <w:sz w:val="20"/>
        </w:rPr>
        <w:t>no</w:t>
      </w:r>
      <w:r>
        <w:rPr>
          <w:spacing w:val="-14"/>
          <w:sz w:val="20"/>
        </w:rPr>
        <w:t xml:space="preserve"> </w:t>
      </w:r>
      <w:r>
        <w:rPr>
          <w:sz w:val="20"/>
        </w:rPr>
        <w:t>ha</w:t>
      </w:r>
      <w:r>
        <w:rPr>
          <w:spacing w:val="-12"/>
          <w:sz w:val="20"/>
        </w:rPr>
        <w:t xml:space="preserve"> </w:t>
      </w:r>
      <w:r>
        <w:rPr>
          <w:sz w:val="20"/>
        </w:rPr>
        <w:t>ahondado</w:t>
      </w:r>
      <w:r>
        <w:rPr>
          <w:spacing w:val="-14"/>
          <w:sz w:val="20"/>
        </w:rPr>
        <w:t xml:space="preserve"> </w:t>
      </w:r>
      <w:r>
        <w:rPr>
          <w:sz w:val="20"/>
        </w:rPr>
        <w:t>en</w:t>
      </w:r>
      <w:r>
        <w:rPr>
          <w:spacing w:val="-12"/>
          <w:sz w:val="20"/>
        </w:rPr>
        <w:t xml:space="preserve"> </w:t>
      </w:r>
      <w:r>
        <w:rPr>
          <w:sz w:val="20"/>
        </w:rPr>
        <w:t>la</w:t>
      </w:r>
      <w:r>
        <w:rPr>
          <w:spacing w:val="-12"/>
          <w:sz w:val="20"/>
        </w:rPr>
        <w:t xml:space="preserve"> </w:t>
      </w:r>
      <w:r>
        <w:rPr>
          <w:sz w:val="20"/>
        </w:rPr>
        <w:t>igualdad material desde la óptica del artículo 26. Sin embargo, en la Recomendación General No. 18 del Comité de Derechos Humanos, sobre la discriminación, seña</w:t>
      </w:r>
      <w:r>
        <w:rPr>
          <w:sz w:val="20"/>
        </w:rPr>
        <w:t>ló que “[a su] juicio […], el artículo</w:t>
      </w:r>
      <w:r>
        <w:rPr>
          <w:spacing w:val="-8"/>
          <w:sz w:val="20"/>
        </w:rPr>
        <w:t xml:space="preserve"> </w:t>
      </w:r>
      <w:r>
        <w:rPr>
          <w:sz w:val="20"/>
        </w:rPr>
        <w:t>26</w:t>
      </w:r>
      <w:r>
        <w:rPr>
          <w:spacing w:val="-7"/>
          <w:sz w:val="20"/>
        </w:rPr>
        <w:t xml:space="preserve"> </w:t>
      </w:r>
      <w:r>
        <w:rPr>
          <w:sz w:val="20"/>
        </w:rPr>
        <w:t>no</w:t>
      </w:r>
      <w:r>
        <w:rPr>
          <w:spacing w:val="-7"/>
          <w:sz w:val="20"/>
        </w:rPr>
        <w:t xml:space="preserve"> </w:t>
      </w:r>
      <w:r>
        <w:rPr>
          <w:sz w:val="20"/>
        </w:rPr>
        <w:t>se</w:t>
      </w:r>
      <w:r>
        <w:rPr>
          <w:spacing w:val="-7"/>
          <w:sz w:val="20"/>
        </w:rPr>
        <w:t xml:space="preserve"> </w:t>
      </w:r>
      <w:r>
        <w:rPr>
          <w:sz w:val="20"/>
        </w:rPr>
        <w:t>limita</w:t>
      </w:r>
      <w:r>
        <w:rPr>
          <w:spacing w:val="-5"/>
          <w:sz w:val="20"/>
        </w:rPr>
        <w:t xml:space="preserve"> </w:t>
      </w:r>
      <w:r>
        <w:rPr>
          <w:sz w:val="20"/>
        </w:rPr>
        <w:t>a</w:t>
      </w:r>
      <w:r>
        <w:rPr>
          <w:spacing w:val="-8"/>
          <w:sz w:val="20"/>
        </w:rPr>
        <w:t xml:space="preserve"> </w:t>
      </w:r>
      <w:r>
        <w:rPr>
          <w:sz w:val="20"/>
        </w:rPr>
        <w:t>reiterar</w:t>
      </w:r>
      <w:r>
        <w:rPr>
          <w:spacing w:val="-8"/>
          <w:sz w:val="20"/>
        </w:rPr>
        <w:t xml:space="preserve"> </w:t>
      </w:r>
      <w:r>
        <w:rPr>
          <w:sz w:val="20"/>
        </w:rPr>
        <w:t>la</w:t>
      </w:r>
      <w:r>
        <w:rPr>
          <w:spacing w:val="-5"/>
          <w:sz w:val="20"/>
        </w:rPr>
        <w:t xml:space="preserve"> </w:t>
      </w:r>
      <w:r>
        <w:rPr>
          <w:sz w:val="20"/>
        </w:rPr>
        <w:t>garantía</w:t>
      </w:r>
      <w:r>
        <w:rPr>
          <w:spacing w:val="-5"/>
          <w:sz w:val="20"/>
        </w:rPr>
        <w:t xml:space="preserve"> </w:t>
      </w:r>
      <w:r>
        <w:rPr>
          <w:sz w:val="20"/>
        </w:rPr>
        <w:t>ya</w:t>
      </w:r>
      <w:r>
        <w:rPr>
          <w:spacing w:val="-3"/>
          <w:sz w:val="20"/>
        </w:rPr>
        <w:t xml:space="preserve"> </w:t>
      </w:r>
      <w:r>
        <w:rPr>
          <w:sz w:val="20"/>
        </w:rPr>
        <w:t>prevista</w:t>
      </w:r>
      <w:r>
        <w:rPr>
          <w:spacing w:val="-5"/>
          <w:sz w:val="20"/>
        </w:rPr>
        <w:t xml:space="preserve"> </w:t>
      </w:r>
      <w:r>
        <w:rPr>
          <w:sz w:val="20"/>
        </w:rPr>
        <w:t>en</w:t>
      </w:r>
      <w:r>
        <w:rPr>
          <w:spacing w:val="-5"/>
          <w:sz w:val="20"/>
        </w:rPr>
        <w:t xml:space="preserve"> </w:t>
      </w:r>
      <w:r>
        <w:rPr>
          <w:sz w:val="20"/>
        </w:rPr>
        <w:t>el</w:t>
      </w:r>
      <w:r>
        <w:rPr>
          <w:spacing w:val="-5"/>
          <w:sz w:val="20"/>
        </w:rPr>
        <w:t xml:space="preserve"> </w:t>
      </w:r>
      <w:r>
        <w:rPr>
          <w:sz w:val="20"/>
        </w:rPr>
        <w:t>artículo</w:t>
      </w:r>
      <w:r>
        <w:rPr>
          <w:spacing w:val="-9"/>
          <w:sz w:val="20"/>
        </w:rPr>
        <w:t xml:space="preserve"> </w:t>
      </w:r>
      <w:r>
        <w:rPr>
          <w:sz w:val="20"/>
        </w:rPr>
        <w:t>2</w:t>
      </w:r>
      <w:r>
        <w:rPr>
          <w:spacing w:val="-3"/>
          <w:sz w:val="20"/>
        </w:rPr>
        <w:t xml:space="preserve"> </w:t>
      </w:r>
      <w:r>
        <w:rPr>
          <w:sz w:val="20"/>
        </w:rPr>
        <w:t>sino</w:t>
      </w:r>
      <w:r>
        <w:rPr>
          <w:spacing w:val="-9"/>
          <w:sz w:val="20"/>
        </w:rPr>
        <w:t xml:space="preserve"> </w:t>
      </w:r>
      <w:r>
        <w:rPr>
          <w:sz w:val="20"/>
        </w:rPr>
        <w:t>que</w:t>
      </w:r>
      <w:r>
        <w:rPr>
          <w:spacing w:val="-8"/>
          <w:sz w:val="20"/>
        </w:rPr>
        <w:t xml:space="preserve"> </w:t>
      </w:r>
      <w:r>
        <w:rPr>
          <w:sz w:val="20"/>
        </w:rPr>
        <w:t>establece</w:t>
      </w:r>
      <w:r>
        <w:rPr>
          <w:spacing w:val="-7"/>
          <w:sz w:val="20"/>
        </w:rPr>
        <w:t xml:space="preserve"> </w:t>
      </w:r>
      <w:r>
        <w:rPr>
          <w:sz w:val="20"/>
        </w:rPr>
        <w:t>en sí</w:t>
      </w:r>
      <w:r>
        <w:rPr>
          <w:spacing w:val="-5"/>
          <w:sz w:val="20"/>
        </w:rPr>
        <w:t xml:space="preserve"> </w:t>
      </w:r>
      <w:r>
        <w:rPr>
          <w:sz w:val="20"/>
        </w:rPr>
        <w:t>un</w:t>
      </w:r>
      <w:r>
        <w:rPr>
          <w:spacing w:val="-3"/>
          <w:sz w:val="20"/>
        </w:rPr>
        <w:t xml:space="preserve"> </w:t>
      </w:r>
      <w:r>
        <w:rPr>
          <w:sz w:val="20"/>
        </w:rPr>
        <w:t>derecho</w:t>
      </w:r>
      <w:r>
        <w:rPr>
          <w:spacing w:val="-6"/>
          <w:sz w:val="20"/>
        </w:rPr>
        <w:t xml:space="preserve"> </w:t>
      </w:r>
      <w:r>
        <w:rPr>
          <w:sz w:val="20"/>
        </w:rPr>
        <w:t>autónomo.</w:t>
      </w:r>
      <w:r>
        <w:rPr>
          <w:spacing w:val="-6"/>
          <w:sz w:val="20"/>
        </w:rPr>
        <w:t xml:space="preserve"> </w:t>
      </w:r>
      <w:r>
        <w:rPr>
          <w:sz w:val="20"/>
        </w:rPr>
        <w:t>Prohíbe</w:t>
      </w:r>
      <w:r>
        <w:rPr>
          <w:spacing w:val="-6"/>
          <w:sz w:val="20"/>
        </w:rPr>
        <w:t xml:space="preserve"> </w:t>
      </w:r>
      <w:r>
        <w:rPr>
          <w:sz w:val="20"/>
        </w:rPr>
        <w:t>la</w:t>
      </w:r>
      <w:r>
        <w:rPr>
          <w:spacing w:val="-2"/>
          <w:sz w:val="20"/>
        </w:rPr>
        <w:t xml:space="preserve"> </w:t>
      </w:r>
      <w:r>
        <w:rPr>
          <w:sz w:val="20"/>
        </w:rPr>
        <w:t>discriminación</w:t>
      </w:r>
      <w:r>
        <w:rPr>
          <w:spacing w:val="-3"/>
          <w:sz w:val="20"/>
        </w:rPr>
        <w:t xml:space="preserve"> </w:t>
      </w:r>
      <w:r>
        <w:rPr>
          <w:sz w:val="20"/>
        </w:rPr>
        <w:t>de</w:t>
      </w:r>
      <w:r>
        <w:rPr>
          <w:spacing w:val="-7"/>
          <w:sz w:val="20"/>
        </w:rPr>
        <w:t xml:space="preserve"> </w:t>
      </w:r>
      <w:r>
        <w:rPr>
          <w:sz w:val="20"/>
        </w:rPr>
        <w:t>hecho</w:t>
      </w:r>
      <w:r>
        <w:rPr>
          <w:spacing w:val="-3"/>
          <w:sz w:val="20"/>
        </w:rPr>
        <w:t xml:space="preserve"> </w:t>
      </w:r>
      <w:r>
        <w:rPr>
          <w:sz w:val="20"/>
        </w:rPr>
        <w:t>o</w:t>
      </w:r>
      <w:r>
        <w:rPr>
          <w:spacing w:val="-3"/>
          <w:sz w:val="20"/>
        </w:rPr>
        <w:t xml:space="preserve"> </w:t>
      </w:r>
      <w:r>
        <w:rPr>
          <w:sz w:val="20"/>
        </w:rPr>
        <w:t>de</w:t>
      </w:r>
      <w:r>
        <w:rPr>
          <w:spacing w:val="-7"/>
          <w:sz w:val="20"/>
        </w:rPr>
        <w:t xml:space="preserve"> </w:t>
      </w:r>
      <w:r>
        <w:rPr>
          <w:sz w:val="20"/>
        </w:rPr>
        <w:t>derecho</w:t>
      </w:r>
      <w:r>
        <w:rPr>
          <w:spacing w:val="-3"/>
          <w:sz w:val="20"/>
        </w:rPr>
        <w:t xml:space="preserve"> </w:t>
      </w:r>
      <w:r>
        <w:rPr>
          <w:sz w:val="20"/>
        </w:rPr>
        <w:t>en</w:t>
      </w:r>
      <w:r>
        <w:rPr>
          <w:spacing w:val="-3"/>
          <w:sz w:val="20"/>
        </w:rPr>
        <w:t xml:space="preserve"> </w:t>
      </w:r>
      <w:r>
        <w:rPr>
          <w:sz w:val="20"/>
        </w:rPr>
        <w:t>cualquier</w:t>
      </w:r>
      <w:r>
        <w:rPr>
          <w:spacing w:val="-3"/>
          <w:sz w:val="20"/>
        </w:rPr>
        <w:t xml:space="preserve"> </w:t>
      </w:r>
      <w:r>
        <w:rPr>
          <w:sz w:val="20"/>
        </w:rPr>
        <w:t>esfera sujeta a la normativa y la protección de las autoridades públicas. Por lo tanto, el artículo 26 se refiere a las obligaciones que se imponen a los Estados Partes en lo que respecta a sus leyes y la aplicación de sus leyes</w:t>
      </w:r>
      <w:r>
        <w:rPr>
          <w:spacing w:val="-6"/>
          <w:sz w:val="20"/>
        </w:rPr>
        <w:t xml:space="preserve"> </w:t>
      </w:r>
      <w:r>
        <w:rPr>
          <w:sz w:val="20"/>
        </w:rPr>
        <w:t>[…]”</w:t>
      </w:r>
      <w:hyperlink w:anchor="_bookmark800" w:history="1">
        <w:r>
          <w:rPr>
            <w:position w:val="7"/>
            <w:sz w:val="13"/>
          </w:rPr>
          <w:t>118</w:t>
        </w:r>
      </w:hyperlink>
      <w:r>
        <w:rPr>
          <w:sz w:val="20"/>
        </w:rPr>
        <w:t>.</w:t>
      </w:r>
    </w:p>
    <w:p w14:paraId="4A952FFD" w14:textId="77777777" w:rsidR="00467FCA" w:rsidRDefault="00467FCA">
      <w:pPr>
        <w:pStyle w:val="Textoindependiente"/>
      </w:pPr>
    </w:p>
    <w:p w14:paraId="585ED147" w14:textId="77777777" w:rsidR="00467FCA" w:rsidRDefault="001B68EB">
      <w:pPr>
        <w:pStyle w:val="Prrafodelista"/>
        <w:numPr>
          <w:ilvl w:val="0"/>
          <w:numId w:val="7"/>
        </w:numPr>
        <w:tabs>
          <w:tab w:val="left" w:pos="1167"/>
        </w:tabs>
        <w:ind w:right="275" w:firstLine="0"/>
        <w:jc w:val="both"/>
        <w:rPr>
          <w:sz w:val="20"/>
        </w:rPr>
      </w:pPr>
      <w:r>
        <w:rPr>
          <w:sz w:val="20"/>
        </w:rPr>
        <w:t>En</w:t>
      </w:r>
      <w:r>
        <w:rPr>
          <w:spacing w:val="-16"/>
          <w:sz w:val="20"/>
        </w:rPr>
        <w:t xml:space="preserve"> </w:t>
      </w:r>
      <w:r>
        <w:rPr>
          <w:sz w:val="20"/>
        </w:rPr>
        <w:t>consonancia</w:t>
      </w:r>
      <w:r>
        <w:rPr>
          <w:spacing w:val="-15"/>
          <w:sz w:val="20"/>
        </w:rPr>
        <w:t xml:space="preserve"> </w:t>
      </w:r>
      <w:r>
        <w:rPr>
          <w:sz w:val="20"/>
        </w:rPr>
        <w:t>con</w:t>
      </w:r>
      <w:r>
        <w:rPr>
          <w:spacing w:val="-14"/>
          <w:sz w:val="20"/>
        </w:rPr>
        <w:t xml:space="preserve"> </w:t>
      </w:r>
      <w:r>
        <w:rPr>
          <w:sz w:val="20"/>
        </w:rPr>
        <w:t>lo</w:t>
      </w:r>
      <w:r>
        <w:rPr>
          <w:spacing w:val="-16"/>
          <w:sz w:val="20"/>
        </w:rPr>
        <w:t xml:space="preserve"> </w:t>
      </w:r>
      <w:r>
        <w:rPr>
          <w:sz w:val="20"/>
        </w:rPr>
        <w:t>anterior,</w:t>
      </w:r>
      <w:r>
        <w:rPr>
          <w:spacing w:val="-16"/>
          <w:sz w:val="20"/>
        </w:rPr>
        <w:t xml:space="preserve"> </w:t>
      </w:r>
      <w:r>
        <w:rPr>
          <w:sz w:val="20"/>
        </w:rPr>
        <w:t>dicho</w:t>
      </w:r>
      <w:r>
        <w:rPr>
          <w:spacing w:val="-15"/>
          <w:sz w:val="20"/>
        </w:rPr>
        <w:t xml:space="preserve"> </w:t>
      </w:r>
      <w:r>
        <w:rPr>
          <w:sz w:val="20"/>
        </w:rPr>
        <w:t>Comité</w:t>
      </w:r>
      <w:r>
        <w:rPr>
          <w:spacing w:val="-16"/>
          <w:sz w:val="20"/>
        </w:rPr>
        <w:t xml:space="preserve"> </w:t>
      </w:r>
      <w:r>
        <w:rPr>
          <w:sz w:val="20"/>
        </w:rPr>
        <w:t>ha</w:t>
      </w:r>
      <w:r>
        <w:rPr>
          <w:spacing w:val="-15"/>
          <w:sz w:val="20"/>
        </w:rPr>
        <w:t xml:space="preserve"> </w:t>
      </w:r>
      <w:r>
        <w:rPr>
          <w:sz w:val="20"/>
        </w:rPr>
        <w:t>referido</w:t>
      </w:r>
      <w:r>
        <w:rPr>
          <w:spacing w:val="-19"/>
          <w:sz w:val="20"/>
        </w:rPr>
        <w:t xml:space="preserve"> </w:t>
      </w:r>
      <w:r>
        <w:rPr>
          <w:sz w:val="20"/>
        </w:rPr>
        <w:t>que</w:t>
      </w:r>
      <w:r>
        <w:rPr>
          <w:spacing w:val="-16"/>
          <w:sz w:val="20"/>
        </w:rPr>
        <w:t xml:space="preserve"> </w:t>
      </w:r>
      <w:r>
        <w:rPr>
          <w:sz w:val="20"/>
        </w:rPr>
        <w:t>“el</w:t>
      </w:r>
      <w:r>
        <w:rPr>
          <w:spacing w:val="-14"/>
          <w:sz w:val="20"/>
        </w:rPr>
        <w:t xml:space="preserve"> </w:t>
      </w:r>
      <w:r>
        <w:rPr>
          <w:sz w:val="20"/>
        </w:rPr>
        <w:t>principio</w:t>
      </w:r>
      <w:r>
        <w:rPr>
          <w:spacing w:val="-19"/>
          <w:sz w:val="20"/>
        </w:rPr>
        <w:t xml:space="preserve"> </w:t>
      </w:r>
      <w:r>
        <w:rPr>
          <w:sz w:val="20"/>
        </w:rPr>
        <w:t>de</w:t>
      </w:r>
      <w:r>
        <w:rPr>
          <w:spacing w:val="-16"/>
          <w:sz w:val="20"/>
        </w:rPr>
        <w:t xml:space="preserve"> </w:t>
      </w:r>
      <w:r>
        <w:rPr>
          <w:sz w:val="20"/>
        </w:rPr>
        <w:t>la</w:t>
      </w:r>
      <w:r>
        <w:rPr>
          <w:spacing w:val="-17"/>
          <w:sz w:val="20"/>
        </w:rPr>
        <w:t xml:space="preserve"> </w:t>
      </w:r>
      <w:r>
        <w:rPr>
          <w:sz w:val="20"/>
        </w:rPr>
        <w:t xml:space="preserve">igualdad exige algunas veces a los Estados Partes adoptar </w:t>
      </w:r>
      <w:r>
        <w:rPr>
          <w:i/>
          <w:sz w:val="20"/>
        </w:rPr>
        <w:t xml:space="preserve">disposiciones positivas para reducir o </w:t>
      </w:r>
      <w:r>
        <w:rPr>
          <w:i/>
          <w:sz w:val="20"/>
        </w:rPr>
        <w:t>eliminar las condiciones que originan o facilitan que se perpetúe la discriminación prohibida por el Pacto</w:t>
      </w:r>
      <w:r>
        <w:rPr>
          <w:sz w:val="20"/>
        </w:rPr>
        <w:t>. Por ejemplo, en un Estado en el que la situación general de un cierto sector de su población impide u obstaculiza el disfrute de los derechos humano</w:t>
      </w:r>
      <w:r>
        <w:rPr>
          <w:sz w:val="20"/>
        </w:rPr>
        <w:t>s por parte de esa población, el Estado debería adoptar disposiciones especiales para poner remedio a esa situación […]”</w:t>
      </w:r>
      <w:hyperlink w:anchor="_bookmark801" w:history="1">
        <w:r>
          <w:rPr>
            <w:position w:val="7"/>
            <w:sz w:val="13"/>
          </w:rPr>
          <w:t>119</w:t>
        </w:r>
      </w:hyperlink>
      <w:r>
        <w:rPr>
          <w:sz w:val="20"/>
        </w:rPr>
        <w:t>.</w:t>
      </w:r>
    </w:p>
    <w:p w14:paraId="488F7EDD" w14:textId="77777777" w:rsidR="00467FCA" w:rsidRDefault="00467FCA">
      <w:pPr>
        <w:pStyle w:val="Textoindependiente"/>
        <w:spacing w:before="2"/>
      </w:pPr>
    </w:p>
    <w:p w14:paraId="4402B79B" w14:textId="77777777" w:rsidR="00467FCA" w:rsidRDefault="001B68EB">
      <w:pPr>
        <w:pStyle w:val="Prrafodelista"/>
        <w:numPr>
          <w:ilvl w:val="0"/>
          <w:numId w:val="7"/>
        </w:numPr>
        <w:tabs>
          <w:tab w:val="left" w:pos="1167"/>
        </w:tabs>
        <w:ind w:right="276" w:firstLine="0"/>
        <w:jc w:val="both"/>
        <w:rPr>
          <w:sz w:val="20"/>
        </w:rPr>
      </w:pPr>
      <w:r>
        <w:rPr>
          <w:sz w:val="20"/>
        </w:rPr>
        <w:t>El Comité para las Personas con Discapacidad ha desarrollado con mayor profundidad las nociones de</w:t>
      </w:r>
      <w:r>
        <w:rPr>
          <w:sz w:val="20"/>
        </w:rPr>
        <w:t xml:space="preserve"> igualdad desde la Convención de los Derechos de las Personas con Discapacidad. Así, en la referida Convención los artículos 5.1 y 5.2</w:t>
      </w:r>
      <w:hyperlink w:anchor="_bookmark802" w:history="1">
        <w:r>
          <w:rPr>
            <w:position w:val="7"/>
            <w:sz w:val="13"/>
          </w:rPr>
          <w:t>120</w:t>
        </w:r>
      </w:hyperlink>
      <w:r>
        <w:rPr>
          <w:position w:val="7"/>
          <w:sz w:val="13"/>
        </w:rPr>
        <w:t xml:space="preserve"> </w:t>
      </w:r>
      <w:r>
        <w:rPr>
          <w:sz w:val="20"/>
        </w:rPr>
        <w:t>resultan equivalentes a los artículos 24 y 1.1 de la Convención Americana, respectivam</w:t>
      </w:r>
      <w:r>
        <w:rPr>
          <w:sz w:val="20"/>
        </w:rPr>
        <w:t xml:space="preserve">ente. En la Observación General No. 6, el referido Comité desarrolló que: “[l]a </w:t>
      </w:r>
      <w:r>
        <w:rPr>
          <w:i/>
          <w:sz w:val="20"/>
        </w:rPr>
        <w:t xml:space="preserve">igualdad formal </w:t>
      </w:r>
      <w:r>
        <w:rPr>
          <w:sz w:val="20"/>
        </w:rPr>
        <w:t>lucha contra la discriminación directa tratando de manera similar a las personas que están en situación similar. Puede ayudar a combatir los estereotipos negati</w:t>
      </w:r>
      <w:r>
        <w:rPr>
          <w:sz w:val="20"/>
        </w:rPr>
        <w:t>vos y los prejuicios, pero no puede ofrecer soluciones al “dilema de la diferencia”, ya que no tiene en cuenta ni acepta las diferencias</w:t>
      </w:r>
      <w:r>
        <w:rPr>
          <w:spacing w:val="17"/>
          <w:sz w:val="20"/>
        </w:rPr>
        <w:t xml:space="preserve"> </w:t>
      </w:r>
      <w:r>
        <w:rPr>
          <w:sz w:val="20"/>
        </w:rPr>
        <w:t>entre</w:t>
      </w:r>
      <w:r>
        <w:rPr>
          <w:spacing w:val="14"/>
          <w:sz w:val="20"/>
        </w:rPr>
        <w:t xml:space="preserve"> </w:t>
      </w:r>
      <w:r>
        <w:rPr>
          <w:sz w:val="20"/>
        </w:rPr>
        <w:t>los</w:t>
      </w:r>
      <w:r>
        <w:rPr>
          <w:spacing w:val="17"/>
          <w:sz w:val="20"/>
        </w:rPr>
        <w:t xml:space="preserve"> </w:t>
      </w:r>
      <w:r>
        <w:rPr>
          <w:sz w:val="20"/>
        </w:rPr>
        <w:t>seres</w:t>
      </w:r>
      <w:r>
        <w:rPr>
          <w:spacing w:val="15"/>
          <w:sz w:val="20"/>
        </w:rPr>
        <w:t xml:space="preserve"> </w:t>
      </w:r>
      <w:r>
        <w:rPr>
          <w:sz w:val="20"/>
        </w:rPr>
        <w:t>humanos.</w:t>
      </w:r>
      <w:r>
        <w:rPr>
          <w:spacing w:val="17"/>
          <w:sz w:val="20"/>
        </w:rPr>
        <w:t xml:space="preserve"> </w:t>
      </w:r>
      <w:r>
        <w:rPr>
          <w:sz w:val="20"/>
        </w:rPr>
        <w:t>La</w:t>
      </w:r>
      <w:r>
        <w:rPr>
          <w:spacing w:val="15"/>
          <w:sz w:val="20"/>
        </w:rPr>
        <w:t xml:space="preserve"> </w:t>
      </w:r>
      <w:r>
        <w:rPr>
          <w:i/>
          <w:sz w:val="20"/>
        </w:rPr>
        <w:t>igualdad</w:t>
      </w:r>
      <w:r>
        <w:rPr>
          <w:i/>
          <w:spacing w:val="17"/>
          <w:sz w:val="20"/>
        </w:rPr>
        <w:t xml:space="preserve"> </w:t>
      </w:r>
      <w:r>
        <w:rPr>
          <w:i/>
          <w:sz w:val="20"/>
        </w:rPr>
        <w:t>sustantiva</w:t>
      </w:r>
      <w:r>
        <w:rPr>
          <w:sz w:val="20"/>
        </w:rPr>
        <w:t>,</w:t>
      </w:r>
      <w:r>
        <w:rPr>
          <w:spacing w:val="17"/>
          <w:sz w:val="20"/>
        </w:rPr>
        <w:t xml:space="preserve"> </w:t>
      </w:r>
      <w:r>
        <w:rPr>
          <w:sz w:val="20"/>
        </w:rPr>
        <w:t>en</w:t>
      </w:r>
      <w:r>
        <w:rPr>
          <w:spacing w:val="16"/>
          <w:sz w:val="20"/>
        </w:rPr>
        <w:t xml:space="preserve"> </w:t>
      </w:r>
      <w:r>
        <w:rPr>
          <w:sz w:val="20"/>
        </w:rPr>
        <w:t>cambio,</w:t>
      </w:r>
      <w:r>
        <w:rPr>
          <w:spacing w:val="16"/>
          <w:sz w:val="20"/>
        </w:rPr>
        <w:t xml:space="preserve"> </w:t>
      </w:r>
      <w:r>
        <w:rPr>
          <w:sz w:val="20"/>
        </w:rPr>
        <w:t>aborda</w:t>
      </w:r>
      <w:r>
        <w:rPr>
          <w:spacing w:val="15"/>
          <w:sz w:val="20"/>
        </w:rPr>
        <w:t xml:space="preserve"> </w:t>
      </w:r>
      <w:r>
        <w:rPr>
          <w:sz w:val="20"/>
        </w:rPr>
        <w:t>también</w:t>
      </w:r>
      <w:r>
        <w:rPr>
          <w:spacing w:val="16"/>
          <w:sz w:val="20"/>
        </w:rPr>
        <w:t xml:space="preserve"> </w:t>
      </w:r>
      <w:r>
        <w:rPr>
          <w:sz w:val="20"/>
        </w:rPr>
        <w:t>la</w:t>
      </w:r>
    </w:p>
    <w:p w14:paraId="374A8E8D" w14:textId="77777777" w:rsidR="00467FCA" w:rsidRDefault="001B68EB">
      <w:pPr>
        <w:pStyle w:val="Textoindependiente"/>
        <w:spacing w:before="3"/>
        <w:rPr>
          <w:sz w:val="25"/>
        </w:rPr>
      </w:pPr>
      <w:r>
        <w:pict w14:anchorId="717BCDA4">
          <v:shape id="_x0000_s1047" style="position:absolute;margin-left:70.9pt;margin-top:17.65pt;width:2in;height:.1pt;z-index:-251506688;mso-wrap-distance-left:0;mso-wrap-distance-right:0;mso-position-horizontal-relative:page" coordorigin="1418,353" coordsize="2880,0" path="m1418,353r2880,e" filled="f" strokeweight=".6pt">
            <v:path arrowok="t"/>
            <w10:wrap type="topAndBottom" anchorx="page"/>
          </v:shape>
        </w:pict>
      </w:r>
    </w:p>
    <w:p w14:paraId="424B7783" w14:textId="77777777" w:rsidR="00467FCA" w:rsidRDefault="001B68EB">
      <w:pPr>
        <w:tabs>
          <w:tab w:val="left" w:pos="1166"/>
        </w:tabs>
        <w:spacing w:before="74"/>
        <w:ind w:left="458" w:right="270"/>
        <w:jc w:val="both"/>
        <w:rPr>
          <w:sz w:val="16"/>
        </w:rPr>
      </w:pPr>
      <w:bookmarkStart w:id="880" w:name="_bookmark799"/>
      <w:bookmarkEnd w:id="880"/>
      <w:r>
        <w:rPr>
          <w:position w:val="6"/>
          <w:sz w:val="10"/>
        </w:rPr>
        <w:t>117</w:t>
      </w:r>
      <w:r>
        <w:rPr>
          <w:position w:val="6"/>
          <w:sz w:val="10"/>
        </w:rPr>
        <w:tab/>
      </w:r>
      <w:r>
        <w:rPr>
          <w:sz w:val="16"/>
        </w:rPr>
        <w:t>Véase: “Artículo 2 1. Cada uno de l</w:t>
      </w:r>
      <w:r>
        <w:rPr>
          <w:sz w:val="16"/>
        </w:rPr>
        <w:t>os Estados Partes en el presente Pacto se compromete a respetar y a garantizar a todos los individuos que se encuentren en su territorio y estén sujetos a su jurisdicción los derechos reconocidos</w:t>
      </w:r>
      <w:r>
        <w:rPr>
          <w:spacing w:val="-10"/>
          <w:sz w:val="16"/>
        </w:rPr>
        <w:t xml:space="preserve"> </w:t>
      </w:r>
      <w:r>
        <w:rPr>
          <w:sz w:val="16"/>
        </w:rPr>
        <w:t>en</w:t>
      </w:r>
      <w:r>
        <w:rPr>
          <w:spacing w:val="-8"/>
          <w:sz w:val="16"/>
        </w:rPr>
        <w:t xml:space="preserve"> </w:t>
      </w:r>
      <w:r>
        <w:rPr>
          <w:sz w:val="16"/>
        </w:rPr>
        <w:t>el</w:t>
      </w:r>
      <w:r>
        <w:rPr>
          <w:spacing w:val="-8"/>
          <w:sz w:val="16"/>
        </w:rPr>
        <w:t xml:space="preserve"> </w:t>
      </w:r>
      <w:r>
        <w:rPr>
          <w:sz w:val="16"/>
        </w:rPr>
        <w:t>presente</w:t>
      </w:r>
      <w:r>
        <w:rPr>
          <w:spacing w:val="-6"/>
          <w:sz w:val="16"/>
        </w:rPr>
        <w:t xml:space="preserve"> </w:t>
      </w:r>
      <w:r>
        <w:rPr>
          <w:sz w:val="16"/>
        </w:rPr>
        <w:t>Pacto,</w:t>
      </w:r>
      <w:r>
        <w:rPr>
          <w:spacing w:val="-8"/>
          <w:sz w:val="16"/>
        </w:rPr>
        <w:t xml:space="preserve"> </w:t>
      </w:r>
      <w:r>
        <w:rPr>
          <w:sz w:val="16"/>
        </w:rPr>
        <w:t>sin</w:t>
      </w:r>
      <w:r>
        <w:rPr>
          <w:spacing w:val="-8"/>
          <w:sz w:val="16"/>
        </w:rPr>
        <w:t xml:space="preserve"> </w:t>
      </w:r>
      <w:r>
        <w:rPr>
          <w:sz w:val="16"/>
        </w:rPr>
        <w:t>distinción</w:t>
      </w:r>
      <w:r>
        <w:rPr>
          <w:spacing w:val="-8"/>
          <w:sz w:val="16"/>
        </w:rPr>
        <w:t xml:space="preserve"> </w:t>
      </w:r>
      <w:r>
        <w:rPr>
          <w:sz w:val="16"/>
        </w:rPr>
        <w:t>alguna</w:t>
      </w:r>
      <w:r>
        <w:rPr>
          <w:spacing w:val="-7"/>
          <w:sz w:val="16"/>
        </w:rPr>
        <w:t xml:space="preserve"> </w:t>
      </w:r>
      <w:r>
        <w:rPr>
          <w:sz w:val="16"/>
        </w:rPr>
        <w:t>de</w:t>
      </w:r>
      <w:r>
        <w:rPr>
          <w:spacing w:val="-10"/>
          <w:sz w:val="16"/>
        </w:rPr>
        <w:t xml:space="preserve"> </w:t>
      </w:r>
      <w:r>
        <w:rPr>
          <w:sz w:val="16"/>
        </w:rPr>
        <w:t>raza,</w:t>
      </w:r>
      <w:r>
        <w:rPr>
          <w:spacing w:val="-8"/>
          <w:sz w:val="16"/>
        </w:rPr>
        <w:t xml:space="preserve"> </w:t>
      </w:r>
      <w:r>
        <w:rPr>
          <w:sz w:val="16"/>
        </w:rPr>
        <w:t>color,</w:t>
      </w:r>
      <w:r>
        <w:rPr>
          <w:spacing w:val="-7"/>
          <w:sz w:val="16"/>
        </w:rPr>
        <w:t xml:space="preserve"> </w:t>
      </w:r>
      <w:r>
        <w:rPr>
          <w:sz w:val="16"/>
        </w:rPr>
        <w:t>sexo,</w:t>
      </w:r>
      <w:r>
        <w:rPr>
          <w:spacing w:val="-8"/>
          <w:sz w:val="16"/>
        </w:rPr>
        <w:t xml:space="preserve"> </w:t>
      </w:r>
      <w:r>
        <w:rPr>
          <w:sz w:val="16"/>
        </w:rPr>
        <w:t>idioma,</w:t>
      </w:r>
      <w:r>
        <w:rPr>
          <w:spacing w:val="-11"/>
          <w:sz w:val="16"/>
        </w:rPr>
        <w:t xml:space="preserve"> </w:t>
      </w:r>
      <w:r>
        <w:rPr>
          <w:sz w:val="16"/>
        </w:rPr>
        <w:t>religión,</w:t>
      </w:r>
      <w:r>
        <w:rPr>
          <w:spacing w:val="-7"/>
          <w:sz w:val="16"/>
        </w:rPr>
        <w:t xml:space="preserve"> </w:t>
      </w:r>
      <w:r>
        <w:rPr>
          <w:sz w:val="16"/>
        </w:rPr>
        <w:t>opinión</w:t>
      </w:r>
      <w:r>
        <w:rPr>
          <w:spacing w:val="-8"/>
          <w:sz w:val="16"/>
        </w:rPr>
        <w:t xml:space="preserve"> </w:t>
      </w:r>
      <w:r>
        <w:rPr>
          <w:sz w:val="16"/>
        </w:rPr>
        <w:t>política</w:t>
      </w:r>
      <w:r>
        <w:rPr>
          <w:spacing w:val="-8"/>
          <w:sz w:val="16"/>
        </w:rPr>
        <w:t xml:space="preserve"> </w:t>
      </w:r>
      <w:r>
        <w:rPr>
          <w:sz w:val="16"/>
        </w:rPr>
        <w:t>o</w:t>
      </w:r>
      <w:r>
        <w:rPr>
          <w:spacing w:val="-9"/>
          <w:sz w:val="16"/>
        </w:rPr>
        <w:t xml:space="preserve"> </w:t>
      </w:r>
      <w:r>
        <w:rPr>
          <w:sz w:val="16"/>
        </w:rPr>
        <w:t>de</w:t>
      </w:r>
      <w:r>
        <w:rPr>
          <w:spacing w:val="-9"/>
          <w:sz w:val="16"/>
        </w:rPr>
        <w:t xml:space="preserve"> </w:t>
      </w:r>
      <w:r>
        <w:rPr>
          <w:sz w:val="16"/>
        </w:rPr>
        <w:t>otra índole, origen nacional o social, posición económica, nacimiento o cualquier otra condición social” y “Artículo 26. Todas las personas son iguales ante la ley y tienen derecho sin discriminación a i</w:t>
      </w:r>
      <w:r>
        <w:rPr>
          <w:sz w:val="16"/>
        </w:rPr>
        <w:t>gual protección de la ley. A este respecto, la ley prohibirá toda discriminación y garantizará a todas las personas protección igual y efectiva contra cualquier discriminación por motivos de raza, color, sexo, idioma, religión, opiniones políticas o de cua</w:t>
      </w:r>
      <w:r>
        <w:rPr>
          <w:sz w:val="16"/>
        </w:rPr>
        <w:t>lquier índole, origen nacional o social, posición económica, nacimiento o cualquier otra condición</w:t>
      </w:r>
      <w:r>
        <w:rPr>
          <w:spacing w:val="-14"/>
          <w:sz w:val="16"/>
        </w:rPr>
        <w:t xml:space="preserve"> </w:t>
      </w:r>
      <w:r>
        <w:rPr>
          <w:sz w:val="16"/>
        </w:rPr>
        <w:t>social”.</w:t>
      </w:r>
    </w:p>
    <w:p w14:paraId="6434B095" w14:textId="77777777" w:rsidR="00467FCA" w:rsidRDefault="001B68EB">
      <w:pPr>
        <w:tabs>
          <w:tab w:val="left" w:pos="1223"/>
        </w:tabs>
        <w:ind w:left="458" w:right="270"/>
        <w:jc w:val="both"/>
        <w:rPr>
          <w:sz w:val="16"/>
        </w:rPr>
      </w:pPr>
      <w:bookmarkStart w:id="881" w:name="_bookmark800"/>
      <w:bookmarkEnd w:id="881"/>
      <w:r>
        <w:rPr>
          <w:position w:val="6"/>
          <w:sz w:val="10"/>
        </w:rPr>
        <w:t>118</w:t>
      </w:r>
      <w:r>
        <w:rPr>
          <w:position w:val="6"/>
          <w:sz w:val="10"/>
        </w:rPr>
        <w:tab/>
      </w:r>
      <w:r>
        <w:rPr>
          <w:sz w:val="16"/>
        </w:rPr>
        <w:t>Para el momento en el que fue emitidita la Observación General (1989), el Comité señaló que: “9. Los informes de muchos Estados Partes contienen</w:t>
      </w:r>
      <w:r>
        <w:rPr>
          <w:sz w:val="16"/>
        </w:rPr>
        <w:t xml:space="preserve"> información tanto sobre medidas legislativas como administrativas y decisiones de los tribunales relacionadas con la protección contra la discriminación jurídica, pero suelen no incluir información que ponga de manifiesto una discriminación de hecho. Al i</w:t>
      </w:r>
      <w:r>
        <w:rPr>
          <w:sz w:val="16"/>
        </w:rPr>
        <w:t>nformar sobre el párrafo 1 del artículo 2 y los artículos</w:t>
      </w:r>
      <w:r>
        <w:rPr>
          <w:spacing w:val="-10"/>
          <w:sz w:val="16"/>
        </w:rPr>
        <w:t xml:space="preserve"> </w:t>
      </w:r>
      <w:r>
        <w:rPr>
          <w:sz w:val="16"/>
        </w:rPr>
        <w:t>3</w:t>
      </w:r>
      <w:r>
        <w:rPr>
          <w:spacing w:val="-9"/>
          <w:sz w:val="16"/>
        </w:rPr>
        <w:t xml:space="preserve"> </w:t>
      </w:r>
      <w:r>
        <w:rPr>
          <w:sz w:val="16"/>
        </w:rPr>
        <w:t>y</w:t>
      </w:r>
      <w:r>
        <w:rPr>
          <w:spacing w:val="-9"/>
          <w:sz w:val="16"/>
        </w:rPr>
        <w:t xml:space="preserve"> </w:t>
      </w:r>
      <w:r>
        <w:rPr>
          <w:sz w:val="16"/>
        </w:rPr>
        <w:t>26</w:t>
      </w:r>
      <w:r>
        <w:rPr>
          <w:spacing w:val="-8"/>
          <w:sz w:val="16"/>
        </w:rPr>
        <w:t xml:space="preserve"> </w:t>
      </w:r>
      <w:r>
        <w:rPr>
          <w:sz w:val="16"/>
        </w:rPr>
        <w:t>del</w:t>
      </w:r>
      <w:r>
        <w:rPr>
          <w:spacing w:val="-8"/>
          <w:sz w:val="16"/>
        </w:rPr>
        <w:t xml:space="preserve"> </w:t>
      </w:r>
      <w:r>
        <w:rPr>
          <w:sz w:val="16"/>
        </w:rPr>
        <w:t>Pacto,</w:t>
      </w:r>
      <w:r>
        <w:rPr>
          <w:spacing w:val="-8"/>
          <w:sz w:val="16"/>
        </w:rPr>
        <w:t xml:space="preserve"> </w:t>
      </w:r>
      <w:r>
        <w:rPr>
          <w:sz w:val="16"/>
        </w:rPr>
        <w:t>los</w:t>
      </w:r>
      <w:r>
        <w:rPr>
          <w:spacing w:val="-10"/>
          <w:sz w:val="16"/>
        </w:rPr>
        <w:t xml:space="preserve"> </w:t>
      </w:r>
      <w:r>
        <w:rPr>
          <w:sz w:val="16"/>
        </w:rPr>
        <w:t>Estados</w:t>
      </w:r>
      <w:r>
        <w:rPr>
          <w:spacing w:val="-9"/>
          <w:sz w:val="16"/>
        </w:rPr>
        <w:t xml:space="preserve"> </w:t>
      </w:r>
      <w:r>
        <w:rPr>
          <w:sz w:val="16"/>
        </w:rPr>
        <w:t>Partes</w:t>
      </w:r>
      <w:r>
        <w:rPr>
          <w:spacing w:val="-10"/>
          <w:sz w:val="16"/>
        </w:rPr>
        <w:t xml:space="preserve"> </w:t>
      </w:r>
      <w:r>
        <w:rPr>
          <w:sz w:val="16"/>
        </w:rPr>
        <w:t>por</w:t>
      </w:r>
      <w:r>
        <w:rPr>
          <w:spacing w:val="-9"/>
          <w:sz w:val="16"/>
        </w:rPr>
        <w:t xml:space="preserve"> </w:t>
      </w:r>
      <w:r>
        <w:rPr>
          <w:sz w:val="16"/>
        </w:rPr>
        <w:t>lo</w:t>
      </w:r>
      <w:r>
        <w:rPr>
          <w:spacing w:val="-9"/>
          <w:sz w:val="16"/>
        </w:rPr>
        <w:t xml:space="preserve"> </w:t>
      </w:r>
      <w:r>
        <w:rPr>
          <w:sz w:val="16"/>
        </w:rPr>
        <w:t>general</w:t>
      </w:r>
      <w:r>
        <w:rPr>
          <w:spacing w:val="-10"/>
          <w:sz w:val="16"/>
        </w:rPr>
        <w:t xml:space="preserve"> </w:t>
      </w:r>
      <w:r>
        <w:rPr>
          <w:sz w:val="16"/>
        </w:rPr>
        <w:t>citan</w:t>
      </w:r>
      <w:r>
        <w:rPr>
          <w:spacing w:val="-8"/>
          <w:sz w:val="16"/>
        </w:rPr>
        <w:t xml:space="preserve"> </w:t>
      </w:r>
      <w:r>
        <w:rPr>
          <w:sz w:val="16"/>
        </w:rPr>
        <w:t>disposiciones</w:t>
      </w:r>
      <w:r>
        <w:rPr>
          <w:spacing w:val="-10"/>
          <w:sz w:val="16"/>
        </w:rPr>
        <w:t xml:space="preserve"> </w:t>
      </w:r>
      <w:r>
        <w:rPr>
          <w:sz w:val="16"/>
        </w:rPr>
        <w:t>de</w:t>
      </w:r>
      <w:r>
        <w:rPr>
          <w:spacing w:val="-9"/>
          <w:sz w:val="16"/>
        </w:rPr>
        <w:t xml:space="preserve"> </w:t>
      </w:r>
      <w:r>
        <w:rPr>
          <w:sz w:val="16"/>
        </w:rPr>
        <w:t>su</w:t>
      </w:r>
      <w:r>
        <w:rPr>
          <w:spacing w:val="-11"/>
          <w:sz w:val="16"/>
        </w:rPr>
        <w:t xml:space="preserve"> </w:t>
      </w:r>
      <w:r>
        <w:rPr>
          <w:sz w:val="16"/>
        </w:rPr>
        <w:t>constitución</w:t>
      </w:r>
      <w:r>
        <w:rPr>
          <w:spacing w:val="-8"/>
          <w:sz w:val="16"/>
        </w:rPr>
        <w:t xml:space="preserve"> </w:t>
      </w:r>
      <w:r>
        <w:rPr>
          <w:sz w:val="16"/>
        </w:rPr>
        <w:t>o</w:t>
      </w:r>
      <w:r>
        <w:rPr>
          <w:spacing w:val="-9"/>
          <w:sz w:val="16"/>
        </w:rPr>
        <w:t xml:space="preserve"> </w:t>
      </w:r>
      <w:r>
        <w:rPr>
          <w:sz w:val="16"/>
        </w:rPr>
        <w:t>de</w:t>
      </w:r>
      <w:r>
        <w:rPr>
          <w:spacing w:val="-9"/>
          <w:sz w:val="16"/>
        </w:rPr>
        <w:t xml:space="preserve"> </w:t>
      </w:r>
      <w:r>
        <w:rPr>
          <w:sz w:val="16"/>
        </w:rPr>
        <w:t>sus</w:t>
      </w:r>
      <w:r>
        <w:rPr>
          <w:spacing w:val="-7"/>
          <w:sz w:val="16"/>
        </w:rPr>
        <w:t xml:space="preserve"> </w:t>
      </w:r>
      <w:r>
        <w:rPr>
          <w:sz w:val="16"/>
        </w:rPr>
        <w:t>leyes</w:t>
      </w:r>
      <w:r>
        <w:rPr>
          <w:spacing w:val="-10"/>
          <w:sz w:val="16"/>
        </w:rPr>
        <w:t xml:space="preserve"> </w:t>
      </w:r>
      <w:r>
        <w:rPr>
          <w:sz w:val="16"/>
        </w:rPr>
        <w:t>sobre igualdad de oportunidades en lo que respecta a la igualdad de las personas. Si bien es</w:t>
      </w:r>
      <w:r>
        <w:rPr>
          <w:sz w:val="16"/>
        </w:rPr>
        <w:t>ta información es sin duda alguna</w:t>
      </w:r>
      <w:r>
        <w:rPr>
          <w:spacing w:val="-9"/>
          <w:sz w:val="16"/>
        </w:rPr>
        <w:t xml:space="preserve"> </w:t>
      </w:r>
      <w:r>
        <w:rPr>
          <w:sz w:val="16"/>
        </w:rPr>
        <w:t>útil,</w:t>
      </w:r>
      <w:r>
        <w:rPr>
          <w:spacing w:val="-8"/>
          <w:sz w:val="16"/>
        </w:rPr>
        <w:t xml:space="preserve"> </w:t>
      </w:r>
      <w:r>
        <w:rPr>
          <w:sz w:val="16"/>
        </w:rPr>
        <w:t>el</w:t>
      </w:r>
      <w:r>
        <w:rPr>
          <w:spacing w:val="-8"/>
          <w:sz w:val="16"/>
        </w:rPr>
        <w:t xml:space="preserve"> </w:t>
      </w:r>
      <w:r>
        <w:rPr>
          <w:sz w:val="16"/>
        </w:rPr>
        <w:t>Comité</w:t>
      </w:r>
      <w:r>
        <w:rPr>
          <w:spacing w:val="-8"/>
          <w:sz w:val="16"/>
        </w:rPr>
        <w:t xml:space="preserve"> </w:t>
      </w:r>
      <w:r>
        <w:rPr>
          <w:sz w:val="16"/>
        </w:rPr>
        <w:t>quisiera</w:t>
      </w:r>
      <w:r>
        <w:rPr>
          <w:spacing w:val="-13"/>
          <w:sz w:val="16"/>
        </w:rPr>
        <w:t xml:space="preserve"> </w:t>
      </w:r>
      <w:r>
        <w:rPr>
          <w:sz w:val="16"/>
        </w:rPr>
        <w:t>saber</w:t>
      </w:r>
      <w:r>
        <w:rPr>
          <w:spacing w:val="-6"/>
          <w:sz w:val="16"/>
        </w:rPr>
        <w:t xml:space="preserve"> </w:t>
      </w:r>
      <w:r>
        <w:rPr>
          <w:sz w:val="16"/>
        </w:rPr>
        <w:t>si</w:t>
      </w:r>
      <w:r>
        <w:rPr>
          <w:spacing w:val="-8"/>
          <w:sz w:val="16"/>
        </w:rPr>
        <w:t xml:space="preserve"> </w:t>
      </w:r>
      <w:r>
        <w:rPr>
          <w:sz w:val="16"/>
        </w:rPr>
        <w:t>sigue</w:t>
      </w:r>
      <w:r>
        <w:rPr>
          <w:spacing w:val="-7"/>
          <w:sz w:val="16"/>
        </w:rPr>
        <w:t xml:space="preserve"> </w:t>
      </w:r>
      <w:r>
        <w:rPr>
          <w:sz w:val="16"/>
        </w:rPr>
        <w:t>existiendo</w:t>
      </w:r>
      <w:r>
        <w:rPr>
          <w:spacing w:val="-10"/>
          <w:sz w:val="16"/>
        </w:rPr>
        <w:t xml:space="preserve"> </w:t>
      </w:r>
      <w:r>
        <w:rPr>
          <w:sz w:val="16"/>
        </w:rPr>
        <w:t>algún</w:t>
      </w:r>
      <w:r>
        <w:rPr>
          <w:spacing w:val="-8"/>
          <w:sz w:val="16"/>
        </w:rPr>
        <w:t xml:space="preserve"> </w:t>
      </w:r>
      <w:r>
        <w:rPr>
          <w:sz w:val="16"/>
        </w:rPr>
        <w:t>problema</w:t>
      </w:r>
      <w:r>
        <w:rPr>
          <w:spacing w:val="-8"/>
          <w:sz w:val="16"/>
        </w:rPr>
        <w:t xml:space="preserve"> </w:t>
      </w:r>
      <w:r>
        <w:rPr>
          <w:sz w:val="16"/>
        </w:rPr>
        <w:t>de</w:t>
      </w:r>
      <w:r>
        <w:rPr>
          <w:spacing w:val="-7"/>
          <w:sz w:val="16"/>
        </w:rPr>
        <w:t xml:space="preserve"> </w:t>
      </w:r>
      <w:r>
        <w:rPr>
          <w:sz w:val="16"/>
        </w:rPr>
        <w:t>discriminación</w:t>
      </w:r>
      <w:r>
        <w:rPr>
          <w:spacing w:val="-12"/>
          <w:sz w:val="16"/>
        </w:rPr>
        <w:t xml:space="preserve"> </w:t>
      </w:r>
      <w:r>
        <w:rPr>
          <w:sz w:val="16"/>
        </w:rPr>
        <w:t>de</w:t>
      </w:r>
      <w:r>
        <w:rPr>
          <w:spacing w:val="-7"/>
          <w:sz w:val="16"/>
        </w:rPr>
        <w:t xml:space="preserve"> </w:t>
      </w:r>
      <w:r>
        <w:rPr>
          <w:sz w:val="16"/>
        </w:rPr>
        <w:t>hecho,</w:t>
      </w:r>
      <w:r>
        <w:rPr>
          <w:spacing w:val="-11"/>
          <w:sz w:val="16"/>
        </w:rPr>
        <w:t xml:space="preserve"> </w:t>
      </w:r>
      <w:r>
        <w:rPr>
          <w:sz w:val="16"/>
        </w:rPr>
        <w:t>practicada</w:t>
      </w:r>
      <w:r>
        <w:rPr>
          <w:spacing w:val="-10"/>
          <w:sz w:val="16"/>
        </w:rPr>
        <w:t xml:space="preserve"> </w:t>
      </w:r>
      <w:r>
        <w:rPr>
          <w:sz w:val="16"/>
        </w:rPr>
        <w:t>ya</w:t>
      </w:r>
      <w:r>
        <w:rPr>
          <w:spacing w:val="-9"/>
          <w:sz w:val="16"/>
        </w:rPr>
        <w:t xml:space="preserve"> </w:t>
      </w:r>
      <w:r>
        <w:rPr>
          <w:sz w:val="16"/>
        </w:rPr>
        <w:t>sea por</w:t>
      </w:r>
      <w:r>
        <w:rPr>
          <w:spacing w:val="-3"/>
          <w:sz w:val="16"/>
        </w:rPr>
        <w:t xml:space="preserve"> </w:t>
      </w:r>
      <w:r>
        <w:rPr>
          <w:sz w:val="16"/>
        </w:rPr>
        <w:t>las</w:t>
      </w:r>
      <w:r>
        <w:rPr>
          <w:spacing w:val="-6"/>
          <w:sz w:val="16"/>
        </w:rPr>
        <w:t xml:space="preserve"> </w:t>
      </w:r>
      <w:r>
        <w:rPr>
          <w:sz w:val="16"/>
        </w:rPr>
        <w:t>autoridades</w:t>
      </w:r>
      <w:r>
        <w:rPr>
          <w:spacing w:val="-5"/>
          <w:sz w:val="16"/>
        </w:rPr>
        <w:t xml:space="preserve"> </w:t>
      </w:r>
      <w:r>
        <w:rPr>
          <w:sz w:val="16"/>
        </w:rPr>
        <w:t>públicas,</w:t>
      </w:r>
      <w:r>
        <w:rPr>
          <w:spacing w:val="-7"/>
          <w:sz w:val="16"/>
        </w:rPr>
        <w:t xml:space="preserve"> </w:t>
      </w:r>
      <w:r>
        <w:rPr>
          <w:sz w:val="16"/>
        </w:rPr>
        <w:t>la</w:t>
      </w:r>
      <w:r>
        <w:rPr>
          <w:spacing w:val="-3"/>
          <w:sz w:val="16"/>
        </w:rPr>
        <w:t xml:space="preserve"> </w:t>
      </w:r>
      <w:r>
        <w:rPr>
          <w:sz w:val="16"/>
        </w:rPr>
        <w:t>comunidad</w:t>
      </w:r>
      <w:r>
        <w:rPr>
          <w:spacing w:val="-5"/>
          <w:sz w:val="16"/>
        </w:rPr>
        <w:t xml:space="preserve"> </w:t>
      </w:r>
      <w:r>
        <w:rPr>
          <w:sz w:val="16"/>
        </w:rPr>
        <w:t>o</w:t>
      </w:r>
      <w:r>
        <w:rPr>
          <w:spacing w:val="-4"/>
          <w:sz w:val="16"/>
        </w:rPr>
        <w:t xml:space="preserve"> </w:t>
      </w:r>
      <w:r>
        <w:rPr>
          <w:sz w:val="16"/>
        </w:rPr>
        <w:t>por</w:t>
      </w:r>
      <w:r>
        <w:rPr>
          <w:spacing w:val="-5"/>
          <w:sz w:val="16"/>
        </w:rPr>
        <w:t xml:space="preserve"> </w:t>
      </w:r>
      <w:r>
        <w:rPr>
          <w:sz w:val="16"/>
        </w:rPr>
        <w:t>personas</w:t>
      </w:r>
      <w:r>
        <w:rPr>
          <w:spacing w:val="-5"/>
          <w:sz w:val="16"/>
        </w:rPr>
        <w:t xml:space="preserve"> </w:t>
      </w:r>
      <w:r>
        <w:rPr>
          <w:sz w:val="16"/>
        </w:rPr>
        <w:t>u</w:t>
      </w:r>
      <w:r>
        <w:rPr>
          <w:spacing w:val="-7"/>
          <w:sz w:val="16"/>
        </w:rPr>
        <w:t xml:space="preserve"> </w:t>
      </w:r>
      <w:r>
        <w:rPr>
          <w:sz w:val="16"/>
        </w:rPr>
        <w:t>órganos</w:t>
      </w:r>
      <w:r>
        <w:rPr>
          <w:spacing w:val="-5"/>
          <w:sz w:val="16"/>
        </w:rPr>
        <w:t xml:space="preserve"> </w:t>
      </w:r>
      <w:r>
        <w:rPr>
          <w:sz w:val="16"/>
        </w:rPr>
        <w:t>privados.</w:t>
      </w:r>
      <w:r>
        <w:rPr>
          <w:spacing w:val="-7"/>
          <w:sz w:val="16"/>
        </w:rPr>
        <w:t xml:space="preserve"> </w:t>
      </w:r>
      <w:r>
        <w:rPr>
          <w:sz w:val="16"/>
        </w:rPr>
        <w:t>El</w:t>
      </w:r>
      <w:r>
        <w:rPr>
          <w:spacing w:val="-4"/>
          <w:sz w:val="16"/>
        </w:rPr>
        <w:t xml:space="preserve"> </w:t>
      </w:r>
      <w:r>
        <w:rPr>
          <w:sz w:val="16"/>
        </w:rPr>
        <w:t>Comité</w:t>
      </w:r>
      <w:r>
        <w:rPr>
          <w:spacing w:val="-7"/>
          <w:sz w:val="16"/>
        </w:rPr>
        <w:t xml:space="preserve"> </w:t>
      </w:r>
      <w:r>
        <w:rPr>
          <w:sz w:val="16"/>
        </w:rPr>
        <w:t>desea</w:t>
      </w:r>
      <w:r>
        <w:rPr>
          <w:spacing w:val="-7"/>
          <w:sz w:val="16"/>
        </w:rPr>
        <w:t xml:space="preserve"> </w:t>
      </w:r>
      <w:r>
        <w:rPr>
          <w:sz w:val="16"/>
        </w:rPr>
        <w:t>ser</w:t>
      </w:r>
      <w:r>
        <w:rPr>
          <w:spacing w:val="-4"/>
          <w:sz w:val="16"/>
        </w:rPr>
        <w:t xml:space="preserve"> </w:t>
      </w:r>
      <w:r>
        <w:rPr>
          <w:sz w:val="16"/>
        </w:rPr>
        <w:t>informado</w:t>
      </w:r>
      <w:r>
        <w:rPr>
          <w:spacing w:val="-5"/>
          <w:sz w:val="16"/>
        </w:rPr>
        <w:t xml:space="preserve"> </w:t>
      </w:r>
      <w:r>
        <w:rPr>
          <w:sz w:val="16"/>
        </w:rPr>
        <w:t xml:space="preserve">acerca de las disposiciones legales y medidas administrativas encaminadas a reducir o eliminar tal discriminación”. </w:t>
      </w:r>
      <w:r>
        <w:rPr>
          <w:i/>
          <w:sz w:val="16"/>
        </w:rPr>
        <w:t xml:space="preserve">Cfr. </w:t>
      </w:r>
      <w:r>
        <w:rPr>
          <w:sz w:val="16"/>
        </w:rPr>
        <w:t xml:space="preserve">Comité de Derechos Humanos, </w:t>
      </w:r>
      <w:r>
        <w:rPr>
          <w:i/>
          <w:sz w:val="16"/>
        </w:rPr>
        <w:t xml:space="preserve">Observación General No. 18, No discriminación, </w:t>
      </w:r>
      <w:r>
        <w:rPr>
          <w:sz w:val="16"/>
        </w:rPr>
        <w:t>37 periodo ordinario de sesiones, 1989, párrs. 9 y</w:t>
      </w:r>
      <w:r>
        <w:rPr>
          <w:spacing w:val="-6"/>
          <w:sz w:val="16"/>
        </w:rPr>
        <w:t xml:space="preserve"> </w:t>
      </w:r>
      <w:r>
        <w:rPr>
          <w:sz w:val="16"/>
        </w:rPr>
        <w:t>12.</w:t>
      </w:r>
    </w:p>
    <w:p w14:paraId="546735B8" w14:textId="77777777" w:rsidR="00467FCA" w:rsidRDefault="001B68EB">
      <w:pPr>
        <w:tabs>
          <w:tab w:val="left" w:pos="1166"/>
        </w:tabs>
        <w:spacing w:line="194" w:lineRule="exact"/>
        <w:ind w:left="458"/>
        <w:jc w:val="both"/>
        <w:rPr>
          <w:sz w:val="16"/>
        </w:rPr>
      </w:pPr>
      <w:bookmarkStart w:id="882" w:name="_bookmark801"/>
      <w:bookmarkEnd w:id="882"/>
      <w:r>
        <w:rPr>
          <w:position w:val="6"/>
          <w:sz w:val="10"/>
        </w:rPr>
        <w:t>119</w:t>
      </w:r>
      <w:r>
        <w:rPr>
          <w:position w:val="6"/>
          <w:sz w:val="10"/>
        </w:rPr>
        <w:tab/>
      </w:r>
      <w:r>
        <w:rPr>
          <w:i/>
          <w:sz w:val="16"/>
        </w:rPr>
        <w:t xml:space="preserve">Cfr. </w:t>
      </w:r>
      <w:r>
        <w:rPr>
          <w:sz w:val="16"/>
        </w:rPr>
        <w:t xml:space="preserve">Comité de Derechos Humanos, </w:t>
      </w:r>
      <w:r>
        <w:rPr>
          <w:i/>
          <w:sz w:val="16"/>
        </w:rPr>
        <w:t>Observación General No. 18, supra</w:t>
      </w:r>
      <w:r>
        <w:rPr>
          <w:sz w:val="16"/>
        </w:rPr>
        <w:t>, párr.</w:t>
      </w:r>
      <w:r>
        <w:rPr>
          <w:spacing w:val="-12"/>
          <w:sz w:val="16"/>
        </w:rPr>
        <w:t xml:space="preserve"> </w:t>
      </w:r>
      <w:r>
        <w:rPr>
          <w:sz w:val="16"/>
        </w:rPr>
        <w:t>10.</w:t>
      </w:r>
    </w:p>
    <w:p w14:paraId="1684BBC6" w14:textId="77777777" w:rsidR="00467FCA" w:rsidRDefault="001B68EB">
      <w:pPr>
        <w:tabs>
          <w:tab w:val="left" w:pos="1166"/>
        </w:tabs>
        <w:ind w:left="458" w:right="272"/>
        <w:jc w:val="both"/>
        <w:rPr>
          <w:sz w:val="16"/>
        </w:rPr>
      </w:pPr>
      <w:bookmarkStart w:id="883" w:name="_bookmark802"/>
      <w:bookmarkEnd w:id="883"/>
      <w:r>
        <w:rPr>
          <w:position w:val="6"/>
          <w:sz w:val="10"/>
        </w:rPr>
        <w:t>120</w:t>
      </w:r>
      <w:r>
        <w:rPr>
          <w:position w:val="6"/>
          <w:sz w:val="10"/>
        </w:rPr>
        <w:tab/>
      </w:r>
      <w:r>
        <w:rPr>
          <w:sz w:val="16"/>
        </w:rPr>
        <w:t>Véase:</w:t>
      </w:r>
      <w:r>
        <w:rPr>
          <w:spacing w:val="-8"/>
          <w:sz w:val="16"/>
        </w:rPr>
        <w:t xml:space="preserve"> </w:t>
      </w:r>
      <w:r>
        <w:rPr>
          <w:sz w:val="16"/>
        </w:rPr>
        <w:t>“Artículo</w:t>
      </w:r>
      <w:r>
        <w:rPr>
          <w:spacing w:val="-7"/>
          <w:sz w:val="16"/>
        </w:rPr>
        <w:t xml:space="preserve"> </w:t>
      </w:r>
      <w:r>
        <w:rPr>
          <w:sz w:val="16"/>
        </w:rPr>
        <w:t>5.</w:t>
      </w:r>
      <w:r>
        <w:rPr>
          <w:spacing w:val="-8"/>
          <w:sz w:val="16"/>
        </w:rPr>
        <w:t xml:space="preserve"> </w:t>
      </w:r>
      <w:r>
        <w:rPr>
          <w:sz w:val="16"/>
        </w:rPr>
        <w:t>Igualdad</w:t>
      </w:r>
      <w:r>
        <w:rPr>
          <w:spacing w:val="-7"/>
          <w:sz w:val="16"/>
        </w:rPr>
        <w:t xml:space="preserve"> </w:t>
      </w:r>
      <w:r>
        <w:rPr>
          <w:sz w:val="16"/>
        </w:rPr>
        <w:t>y</w:t>
      </w:r>
      <w:r>
        <w:rPr>
          <w:spacing w:val="-9"/>
          <w:sz w:val="16"/>
        </w:rPr>
        <w:t xml:space="preserve"> </w:t>
      </w:r>
      <w:r>
        <w:rPr>
          <w:sz w:val="16"/>
        </w:rPr>
        <w:t>no</w:t>
      </w:r>
      <w:r>
        <w:rPr>
          <w:spacing w:val="-7"/>
          <w:sz w:val="16"/>
        </w:rPr>
        <w:t xml:space="preserve"> </w:t>
      </w:r>
      <w:r>
        <w:rPr>
          <w:sz w:val="16"/>
        </w:rPr>
        <w:t>discriminación</w:t>
      </w:r>
      <w:r>
        <w:rPr>
          <w:spacing w:val="-8"/>
          <w:sz w:val="16"/>
        </w:rPr>
        <w:t xml:space="preserve"> </w:t>
      </w:r>
      <w:r>
        <w:rPr>
          <w:sz w:val="16"/>
        </w:rPr>
        <w:t>1.</w:t>
      </w:r>
      <w:r>
        <w:rPr>
          <w:spacing w:val="-8"/>
          <w:sz w:val="16"/>
        </w:rPr>
        <w:t xml:space="preserve"> </w:t>
      </w:r>
      <w:r>
        <w:rPr>
          <w:sz w:val="16"/>
        </w:rPr>
        <w:t>Los</w:t>
      </w:r>
      <w:r>
        <w:rPr>
          <w:spacing w:val="-5"/>
          <w:sz w:val="16"/>
        </w:rPr>
        <w:t xml:space="preserve"> </w:t>
      </w:r>
      <w:r>
        <w:rPr>
          <w:sz w:val="16"/>
        </w:rPr>
        <w:t>Estados</w:t>
      </w:r>
      <w:r>
        <w:rPr>
          <w:spacing w:val="-7"/>
          <w:sz w:val="16"/>
        </w:rPr>
        <w:t xml:space="preserve"> </w:t>
      </w:r>
      <w:r>
        <w:rPr>
          <w:sz w:val="16"/>
        </w:rPr>
        <w:t>Partes</w:t>
      </w:r>
      <w:r>
        <w:rPr>
          <w:spacing w:val="-9"/>
          <w:sz w:val="16"/>
        </w:rPr>
        <w:t xml:space="preserve"> </w:t>
      </w:r>
      <w:r>
        <w:rPr>
          <w:sz w:val="16"/>
        </w:rPr>
        <w:t>reconocen</w:t>
      </w:r>
      <w:r>
        <w:rPr>
          <w:spacing w:val="-11"/>
          <w:sz w:val="16"/>
        </w:rPr>
        <w:t xml:space="preserve"> </w:t>
      </w:r>
      <w:r>
        <w:rPr>
          <w:sz w:val="16"/>
        </w:rPr>
        <w:t>que</w:t>
      </w:r>
      <w:r>
        <w:rPr>
          <w:spacing w:val="-5"/>
          <w:sz w:val="16"/>
        </w:rPr>
        <w:t xml:space="preserve"> </w:t>
      </w:r>
      <w:r>
        <w:rPr>
          <w:sz w:val="16"/>
        </w:rPr>
        <w:t>todas</w:t>
      </w:r>
      <w:r>
        <w:rPr>
          <w:spacing w:val="-7"/>
          <w:sz w:val="16"/>
        </w:rPr>
        <w:t xml:space="preserve"> </w:t>
      </w:r>
      <w:r>
        <w:rPr>
          <w:sz w:val="16"/>
        </w:rPr>
        <w:t>las</w:t>
      </w:r>
      <w:r>
        <w:rPr>
          <w:spacing w:val="-7"/>
          <w:sz w:val="16"/>
        </w:rPr>
        <w:t xml:space="preserve"> </w:t>
      </w:r>
      <w:r>
        <w:rPr>
          <w:sz w:val="16"/>
        </w:rPr>
        <w:t>personas</w:t>
      </w:r>
      <w:r>
        <w:rPr>
          <w:spacing w:val="-7"/>
          <w:sz w:val="16"/>
        </w:rPr>
        <w:t xml:space="preserve"> </w:t>
      </w:r>
      <w:r>
        <w:rPr>
          <w:sz w:val="16"/>
        </w:rPr>
        <w:t xml:space="preserve">son iguales ante la ley y en virtud de ella y que tienen derecho a igual protección legal y a beneficiarse de la ley en igual medida sin discriminación alguna. 2. Los Estados Partes prohibirán toda discriminación por motivos de discapacidad y garantizarán </w:t>
      </w:r>
      <w:r>
        <w:rPr>
          <w:sz w:val="16"/>
        </w:rPr>
        <w:t>a todas las personas con discapacidad protección legal igual y efectiva contra la discriminación por cualquier</w:t>
      </w:r>
      <w:r>
        <w:rPr>
          <w:spacing w:val="-12"/>
          <w:sz w:val="16"/>
        </w:rPr>
        <w:t xml:space="preserve"> </w:t>
      </w:r>
      <w:r>
        <w:rPr>
          <w:sz w:val="16"/>
        </w:rPr>
        <w:t>motivo.</w:t>
      </w:r>
      <w:r>
        <w:rPr>
          <w:spacing w:val="-12"/>
          <w:sz w:val="16"/>
        </w:rPr>
        <w:t xml:space="preserve"> </w:t>
      </w:r>
      <w:r>
        <w:rPr>
          <w:sz w:val="16"/>
        </w:rPr>
        <w:t>[…]”.</w:t>
      </w:r>
      <w:r>
        <w:rPr>
          <w:spacing w:val="-11"/>
          <w:sz w:val="16"/>
        </w:rPr>
        <w:t xml:space="preserve"> </w:t>
      </w:r>
      <w:r>
        <w:rPr>
          <w:sz w:val="16"/>
        </w:rPr>
        <w:t>En</w:t>
      </w:r>
      <w:r>
        <w:rPr>
          <w:spacing w:val="-14"/>
          <w:sz w:val="16"/>
        </w:rPr>
        <w:t xml:space="preserve"> </w:t>
      </w:r>
      <w:r>
        <w:rPr>
          <w:sz w:val="16"/>
        </w:rPr>
        <w:t>sentido</w:t>
      </w:r>
      <w:r>
        <w:rPr>
          <w:spacing w:val="-11"/>
          <w:sz w:val="16"/>
        </w:rPr>
        <w:t xml:space="preserve"> </w:t>
      </w:r>
      <w:r>
        <w:rPr>
          <w:sz w:val="16"/>
        </w:rPr>
        <w:t>similar</w:t>
      </w:r>
      <w:r>
        <w:rPr>
          <w:spacing w:val="-10"/>
          <w:sz w:val="16"/>
        </w:rPr>
        <w:t xml:space="preserve"> </w:t>
      </w:r>
      <w:r>
        <w:rPr>
          <w:sz w:val="16"/>
        </w:rPr>
        <w:t>al</w:t>
      </w:r>
      <w:r>
        <w:rPr>
          <w:spacing w:val="-13"/>
          <w:sz w:val="16"/>
        </w:rPr>
        <w:t xml:space="preserve"> </w:t>
      </w:r>
      <w:r>
        <w:rPr>
          <w:sz w:val="16"/>
        </w:rPr>
        <w:t>artículo</w:t>
      </w:r>
      <w:r>
        <w:rPr>
          <w:spacing w:val="-15"/>
          <w:sz w:val="16"/>
        </w:rPr>
        <w:t xml:space="preserve"> </w:t>
      </w:r>
      <w:r>
        <w:rPr>
          <w:sz w:val="16"/>
        </w:rPr>
        <w:t>5.2,</w:t>
      </w:r>
      <w:r>
        <w:rPr>
          <w:spacing w:val="-13"/>
          <w:sz w:val="16"/>
        </w:rPr>
        <w:t xml:space="preserve"> </w:t>
      </w:r>
      <w:r>
        <w:rPr>
          <w:sz w:val="16"/>
        </w:rPr>
        <w:t>el</w:t>
      </w:r>
      <w:r>
        <w:rPr>
          <w:spacing w:val="-14"/>
          <w:sz w:val="16"/>
        </w:rPr>
        <w:t xml:space="preserve"> </w:t>
      </w:r>
      <w:r>
        <w:rPr>
          <w:sz w:val="16"/>
        </w:rPr>
        <w:t>artículo</w:t>
      </w:r>
      <w:r>
        <w:rPr>
          <w:spacing w:val="-11"/>
          <w:sz w:val="16"/>
        </w:rPr>
        <w:t xml:space="preserve"> </w:t>
      </w:r>
      <w:r>
        <w:rPr>
          <w:sz w:val="16"/>
        </w:rPr>
        <w:t>4</w:t>
      </w:r>
      <w:r>
        <w:rPr>
          <w:spacing w:val="-12"/>
          <w:sz w:val="16"/>
        </w:rPr>
        <w:t xml:space="preserve"> </w:t>
      </w:r>
      <w:r>
        <w:rPr>
          <w:sz w:val="16"/>
        </w:rPr>
        <w:t>dispone:</w:t>
      </w:r>
      <w:r>
        <w:rPr>
          <w:spacing w:val="-13"/>
          <w:sz w:val="16"/>
        </w:rPr>
        <w:t xml:space="preserve"> </w:t>
      </w:r>
      <w:r>
        <w:rPr>
          <w:sz w:val="16"/>
        </w:rPr>
        <w:t>“1.</w:t>
      </w:r>
      <w:r>
        <w:rPr>
          <w:spacing w:val="-14"/>
          <w:sz w:val="16"/>
        </w:rPr>
        <w:t xml:space="preserve"> </w:t>
      </w:r>
      <w:r>
        <w:rPr>
          <w:sz w:val="16"/>
        </w:rPr>
        <w:t>Los</w:t>
      </w:r>
      <w:r>
        <w:rPr>
          <w:spacing w:val="-12"/>
          <w:sz w:val="16"/>
        </w:rPr>
        <w:t xml:space="preserve"> </w:t>
      </w:r>
      <w:r>
        <w:rPr>
          <w:sz w:val="16"/>
        </w:rPr>
        <w:t>Estados</w:t>
      </w:r>
      <w:r>
        <w:rPr>
          <w:spacing w:val="-13"/>
          <w:sz w:val="16"/>
        </w:rPr>
        <w:t xml:space="preserve"> </w:t>
      </w:r>
      <w:r>
        <w:rPr>
          <w:sz w:val="16"/>
        </w:rPr>
        <w:t>Partes</w:t>
      </w:r>
      <w:r>
        <w:rPr>
          <w:spacing w:val="-13"/>
          <w:sz w:val="16"/>
        </w:rPr>
        <w:t xml:space="preserve"> </w:t>
      </w:r>
      <w:r>
        <w:rPr>
          <w:sz w:val="16"/>
        </w:rPr>
        <w:t>se</w:t>
      </w:r>
      <w:r>
        <w:rPr>
          <w:spacing w:val="-12"/>
          <w:sz w:val="16"/>
        </w:rPr>
        <w:t xml:space="preserve"> </w:t>
      </w:r>
      <w:r>
        <w:rPr>
          <w:sz w:val="16"/>
        </w:rPr>
        <w:t>comprometen a asegurar y promover el pleno ejercicio de todos los derechos humanos y las libertades fundamentales de las personas con discapacidad sin discriminación alguna por motivos de discapacidad.</w:t>
      </w:r>
      <w:r>
        <w:rPr>
          <w:spacing w:val="-13"/>
          <w:sz w:val="16"/>
        </w:rPr>
        <w:t xml:space="preserve"> </w:t>
      </w:r>
      <w:r>
        <w:rPr>
          <w:sz w:val="16"/>
        </w:rPr>
        <w:t>[…]”.</w:t>
      </w:r>
    </w:p>
    <w:p w14:paraId="7D244BEE" w14:textId="77777777" w:rsidR="00467FCA" w:rsidRDefault="00467FCA">
      <w:pPr>
        <w:jc w:val="both"/>
        <w:rPr>
          <w:sz w:val="16"/>
        </w:rPr>
        <w:sectPr w:rsidR="00467FCA">
          <w:pgSz w:w="12240" w:h="15840"/>
          <w:pgMar w:top="1340" w:right="1140" w:bottom="920" w:left="960" w:header="0" w:footer="734" w:gutter="0"/>
          <w:cols w:space="720"/>
        </w:sectPr>
      </w:pPr>
    </w:p>
    <w:p w14:paraId="7481E1B8" w14:textId="77777777" w:rsidR="00467FCA" w:rsidRDefault="001B68EB">
      <w:pPr>
        <w:pStyle w:val="Textoindependiente"/>
        <w:spacing w:before="79"/>
        <w:ind w:left="458" w:right="276" w:hanging="1"/>
        <w:jc w:val="both"/>
      </w:pPr>
      <w:r>
        <w:t>discriminación indirecta y estruct</w:t>
      </w:r>
      <w:r>
        <w:t>ural, y tiene en cuenta las relaciones de poder. Admite que el</w:t>
      </w:r>
      <w:r>
        <w:rPr>
          <w:spacing w:val="-17"/>
        </w:rPr>
        <w:t xml:space="preserve"> </w:t>
      </w:r>
      <w:r>
        <w:t>“dilema</w:t>
      </w:r>
      <w:r>
        <w:rPr>
          <w:spacing w:val="-17"/>
        </w:rPr>
        <w:t xml:space="preserve"> </w:t>
      </w:r>
      <w:r>
        <w:t>de</w:t>
      </w:r>
      <w:r>
        <w:rPr>
          <w:spacing w:val="-16"/>
        </w:rPr>
        <w:t xml:space="preserve"> </w:t>
      </w:r>
      <w:r>
        <w:t>la</w:t>
      </w:r>
      <w:r>
        <w:rPr>
          <w:spacing w:val="-17"/>
        </w:rPr>
        <w:t xml:space="preserve"> </w:t>
      </w:r>
      <w:r>
        <w:t>diferencia”</w:t>
      </w:r>
      <w:r>
        <w:rPr>
          <w:spacing w:val="-15"/>
        </w:rPr>
        <w:t xml:space="preserve"> </w:t>
      </w:r>
      <w:r>
        <w:t>entraña</w:t>
      </w:r>
      <w:r>
        <w:rPr>
          <w:spacing w:val="-17"/>
        </w:rPr>
        <w:t xml:space="preserve"> </w:t>
      </w:r>
      <w:r>
        <w:t>tanto</w:t>
      </w:r>
      <w:r>
        <w:rPr>
          <w:spacing w:val="-16"/>
        </w:rPr>
        <w:t xml:space="preserve"> </w:t>
      </w:r>
      <w:r>
        <w:t>ignorar</w:t>
      </w:r>
      <w:r>
        <w:rPr>
          <w:spacing w:val="-16"/>
        </w:rPr>
        <w:t xml:space="preserve"> </w:t>
      </w:r>
      <w:r>
        <w:t>las</w:t>
      </w:r>
      <w:r>
        <w:rPr>
          <w:spacing w:val="-16"/>
        </w:rPr>
        <w:t xml:space="preserve"> </w:t>
      </w:r>
      <w:r>
        <w:t>diferencias</w:t>
      </w:r>
      <w:r>
        <w:rPr>
          <w:spacing w:val="-16"/>
        </w:rPr>
        <w:t xml:space="preserve"> </w:t>
      </w:r>
      <w:r>
        <w:t>entre</w:t>
      </w:r>
      <w:r>
        <w:rPr>
          <w:spacing w:val="-16"/>
        </w:rPr>
        <w:t xml:space="preserve"> </w:t>
      </w:r>
      <w:r>
        <w:t>los</w:t>
      </w:r>
      <w:r>
        <w:rPr>
          <w:spacing w:val="-16"/>
        </w:rPr>
        <w:t xml:space="preserve"> </w:t>
      </w:r>
      <w:r>
        <w:t>seres</w:t>
      </w:r>
      <w:r>
        <w:rPr>
          <w:spacing w:val="-18"/>
        </w:rPr>
        <w:t xml:space="preserve"> </w:t>
      </w:r>
      <w:r>
        <w:t>humanos</w:t>
      </w:r>
      <w:r>
        <w:rPr>
          <w:spacing w:val="-16"/>
        </w:rPr>
        <w:t xml:space="preserve"> </w:t>
      </w:r>
      <w:r>
        <w:t>como reconocerlas, a fin de lograr la</w:t>
      </w:r>
      <w:r>
        <w:rPr>
          <w:spacing w:val="-2"/>
        </w:rPr>
        <w:t xml:space="preserve"> </w:t>
      </w:r>
      <w:r>
        <w:t>igualdad”</w:t>
      </w:r>
      <w:hyperlink w:anchor="_bookmark803" w:history="1">
        <w:r>
          <w:rPr>
            <w:position w:val="7"/>
            <w:sz w:val="13"/>
          </w:rPr>
          <w:t>121</w:t>
        </w:r>
      </w:hyperlink>
      <w:r>
        <w:t>.</w:t>
      </w:r>
    </w:p>
    <w:p w14:paraId="35BD3E37" w14:textId="77777777" w:rsidR="00467FCA" w:rsidRDefault="00467FCA">
      <w:pPr>
        <w:pStyle w:val="Textoindependiente"/>
        <w:spacing w:before="11"/>
        <w:rPr>
          <w:sz w:val="19"/>
        </w:rPr>
      </w:pPr>
    </w:p>
    <w:p w14:paraId="38088CE3" w14:textId="77777777" w:rsidR="00467FCA" w:rsidRDefault="001B68EB">
      <w:pPr>
        <w:pStyle w:val="Prrafodelista"/>
        <w:numPr>
          <w:ilvl w:val="0"/>
          <w:numId w:val="7"/>
        </w:numPr>
        <w:tabs>
          <w:tab w:val="left" w:pos="1167"/>
        </w:tabs>
        <w:spacing w:before="1"/>
        <w:ind w:right="275" w:firstLine="0"/>
        <w:jc w:val="both"/>
        <w:rPr>
          <w:sz w:val="20"/>
        </w:rPr>
      </w:pPr>
      <w:r>
        <w:rPr>
          <w:sz w:val="20"/>
        </w:rPr>
        <w:t>Además, identificó q</w:t>
      </w:r>
      <w:r>
        <w:rPr>
          <w:sz w:val="20"/>
        </w:rPr>
        <w:t>ue el artículo 5.1 establece, por un lado, “la igualdad ante la ley” y, por el otro, “igual protección legal”. Sobre la primera indicó que “[v]arios tratados internacionales de derechos humanos contienen la expresión “igualdad ante la ley”, que describe el</w:t>
      </w:r>
      <w:r>
        <w:rPr>
          <w:sz w:val="20"/>
        </w:rPr>
        <w:t xml:space="preserve"> derecho de las personas a la igualdad de trato por ley y también en la aplicación de la ley, como ámbito”</w:t>
      </w:r>
      <w:hyperlink w:anchor="_bookmark804" w:history="1">
        <w:r>
          <w:rPr>
            <w:position w:val="7"/>
            <w:sz w:val="13"/>
          </w:rPr>
          <w:t>122</w:t>
        </w:r>
      </w:hyperlink>
      <w:r>
        <w:rPr>
          <w:sz w:val="20"/>
        </w:rPr>
        <w:t>. Por otro lado, expresó</w:t>
      </w:r>
      <w:r>
        <w:rPr>
          <w:spacing w:val="-4"/>
          <w:sz w:val="20"/>
        </w:rPr>
        <w:t xml:space="preserve"> </w:t>
      </w:r>
      <w:r>
        <w:rPr>
          <w:sz w:val="20"/>
        </w:rPr>
        <w:t>que:</w:t>
      </w:r>
    </w:p>
    <w:p w14:paraId="3B11B030" w14:textId="77777777" w:rsidR="00467FCA" w:rsidRDefault="00467FCA">
      <w:pPr>
        <w:pStyle w:val="Textoindependiente"/>
      </w:pPr>
    </w:p>
    <w:p w14:paraId="30A10578" w14:textId="77777777" w:rsidR="00467FCA" w:rsidRDefault="001B68EB">
      <w:pPr>
        <w:ind w:left="1166" w:right="885"/>
        <w:jc w:val="both"/>
        <w:rPr>
          <w:sz w:val="16"/>
        </w:rPr>
      </w:pPr>
      <w:r>
        <w:rPr>
          <w:sz w:val="16"/>
        </w:rPr>
        <w:t>16. […] La expresión “igual protección legal” es bien conocida en el derecho interna</w:t>
      </w:r>
      <w:r>
        <w:rPr>
          <w:sz w:val="16"/>
        </w:rPr>
        <w:t xml:space="preserve">cional de los tratados de derechos humanos y se utiliza para exigir que los órganos legislativos nacionales se abstengan de mantener o generar discriminación contra las personas […] al promulgar leyes y formular políticas. </w:t>
      </w:r>
      <w:r>
        <w:rPr>
          <w:sz w:val="16"/>
          <w:u w:val="single"/>
        </w:rPr>
        <w:t>A</w:t>
      </w:r>
      <w:r>
        <w:rPr>
          <w:sz w:val="16"/>
        </w:rPr>
        <w:t>l leer el artículo 5 en conjunci</w:t>
      </w:r>
      <w:r>
        <w:rPr>
          <w:sz w:val="16"/>
        </w:rPr>
        <w:t xml:space="preserve">ón [con otros artículos de la Convención de los Derechos de las Personas con Discapacidad] </w:t>
      </w:r>
      <w:r>
        <w:rPr>
          <w:sz w:val="16"/>
          <w:u w:val="single"/>
        </w:rPr>
        <w:t xml:space="preserve">resulta evidente que los Estados partes deben adoptar </w:t>
      </w:r>
      <w:r>
        <w:rPr>
          <w:i/>
          <w:sz w:val="16"/>
          <w:u w:val="single"/>
        </w:rPr>
        <w:t xml:space="preserve">medidas positivas </w:t>
      </w:r>
      <w:r>
        <w:rPr>
          <w:sz w:val="16"/>
          <w:u w:val="single"/>
        </w:rPr>
        <w:t>para facilitar que las personas […] disfruten en igualdad de condiciones de los derechos gara</w:t>
      </w:r>
      <w:r>
        <w:rPr>
          <w:sz w:val="16"/>
          <w:u w:val="single"/>
        </w:rPr>
        <w:t>ntizados en la legislación. […]</w:t>
      </w:r>
      <w:hyperlink w:anchor="_bookmark805" w:history="1">
        <w:r>
          <w:rPr>
            <w:position w:val="6"/>
            <w:sz w:val="10"/>
          </w:rPr>
          <w:t>123</w:t>
        </w:r>
      </w:hyperlink>
      <w:r>
        <w:rPr>
          <w:position w:val="6"/>
          <w:sz w:val="10"/>
        </w:rPr>
        <w:t xml:space="preserve"> </w:t>
      </w:r>
      <w:r>
        <w:rPr>
          <w:sz w:val="16"/>
        </w:rPr>
        <w:t>(énfasis añadido).</w:t>
      </w:r>
    </w:p>
    <w:p w14:paraId="2C5B92E1" w14:textId="77777777" w:rsidR="00467FCA" w:rsidRDefault="001B68EB">
      <w:pPr>
        <w:pStyle w:val="Textoindependiente"/>
        <w:spacing w:before="158"/>
        <w:ind w:left="458" w:right="280"/>
        <w:jc w:val="both"/>
      </w:pPr>
      <w:r>
        <w:t>74   Así, “la igualdad protección legal” estaría orientada a la igualdad de oportunidades o,  en otras palabras, a la “igualdad</w:t>
      </w:r>
      <w:r>
        <w:rPr>
          <w:spacing w:val="-6"/>
        </w:rPr>
        <w:t xml:space="preserve"> </w:t>
      </w:r>
      <w:r>
        <w:t>material”.</w:t>
      </w:r>
    </w:p>
    <w:p w14:paraId="501E83C0" w14:textId="77777777" w:rsidR="00467FCA" w:rsidRDefault="00467FCA">
      <w:pPr>
        <w:pStyle w:val="Textoindependiente"/>
        <w:spacing w:before="1"/>
      </w:pPr>
    </w:p>
    <w:p w14:paraId="3DB13790" w14:textId="77777777" w:rsidR="00467FCA" w:rsidRDefault="001B68EB">
      <w:pPr>
        <w:pStyle w:val="Ttulo1"/>
        <w:numPr>
          <w:ilvl w:val="1"/>
          <w:numId w:val="5"/>
        </w:numPr>
        <w:tabs>
          <w:tab w:val="left" w:pos="1676"/>
        </w:tabs>
        <w:ind w:left="1675" w:hanging="510"/>
        <w:jc w:val="both"/>
      </w:pPr>
      <w:r>
        <w:t>Sistema Europeo de Derechos</w:t>
      </w:r>
      <w:r>
        <w:rPr>
          <w:spacing w:val="-5"/>
        </w:rPr>
        <w:t xml:space="preserve"> </w:t>
      </w:r>
      <w:r>
        <w:t>Humanos</w:t>
      </w:r>
    </w:p>
    <w:p w14:paraId="52AD6ED8" w14:textId="77777777" w:rsidR="00467FCA" w:rsidRDefault="00467FCA">
      <w:pPr>
        <w:pStyle w:val="Textoindependiente"/>
        <w:spacing w:before="12"/>
        <w:rPr>
          <w:b/>
          <w:sz w:val="19"/>
        </w:rPr>
      </w:pPr>
    </w:p>
    <w:p w14:paraId="62824502" w14:textId="77777777" w:rsidR="00467FCA" w:rsidRDefault="001B68EB">
      <w:pPr>
        <w:pStyle w:val="Prrafodelista"/>
        <w:numPr>
          <w:ilvl w:val="0"/>
          <w:numId w:val="4"/>
        </w:numPr>
        <w:tabs>
          <w:tab w:val="left" w:pos="1167"/>
        </w:tabs>
        <w:ind w:right="273" w:firstLine="0"/>
        <w:jc w:val="both"/>
        <w:rPr>
          <w:sz w:val="20"/>
        </w:rPr>
      </w:pPr>
      <w:r>
        <w:rPr>
          <w:sz w:val="20"/>
        </w:rPr>
        <w:t>El</w:t>
      </w:r>
      <w:r>
        <w:rPr>
          <w:spacing w:val="-5"/>
          <w:sz w:val="20"/>
        </w:rPr>
        <w:t xml:space="preserve"> </w:t>
      </w:r>
      <w:r>
        <w:rPr>
          <w:sz w:val="20"/>
        </w:rPr>
        <w:t>Convenio</w:t>
      </w:r>
      <w:r>
        <w:rPr>
          <w:spacing w:val="-7"/>
          <w:sz w:val="20"/>
        </w:rPr>
        <w:t xml:space="preserve"> </w:t>
      </w:r>
      <w:r>
        <w:rPr>
          <w:sz w:val="20"/>
        </w:rPr>
        <w:t>Europeo</w:t>
      </w:r>
      <w:r>
        <w:rPr>
          <w:spacing w:val="-5"/>
          <w:sz w:val="20"/>
        </w:rPr>
        <w:t xml:space="preserve"> </w:t>
      </w:r>
      <w:r>
        <w:rPr>
          <w:sz w:val="20"/>
        </w:rPr>
        <w:t>dispone</w:t>
      </w:r>
      <w:r>
        <w:rPr>
          <w:spacing w:val="-4"/>
          <w:sz w:val="20"/>
        </w:rPr>
        <w:t xml:space="preserve"> </w:t>
      </w:r>
      <w:r>
        <w:rPr>
          <w:sz w:val="20"/>
        </w:rPr>
        <w:t>en</w:t>
      </w:r>
      <w:r>
        <w:rPr>
          <w:spacing w:val="-4"/>
          <w:sz w:val="20"/>
        </w:rPr>
        <w:t xml:space="preserve"> </w:t>
      </w:r>
      <w:r>
        <w:rPr>
          <w:sz w:val="20"/>
        </w:rPr>
        <w:t>sus</w:t>
      </w:r>
      <w:r>
        <w:rPr>
          <w:spacing w:val="-5"/>
          <w:sz w:val="20"/>
        </w:rPr>
        <w:t xml:space="preserve"> </w:t>
      </w:r>
      <w:r>
        <w:rPr>
          <w:sz w:val="20"/>
        </w:rPr>
        <w:t>artículos</w:t>
      </w:r>
      <w:r>
        <w:rPr>
          <w:spacing w:val="-6"/>
          <w:sz w:val="20"/>
        </w:rPr>
        <w:t xml:space="preserve"> </w:t>
      </w:r>
      <w:r>
        <w:rPr>
          <w:sz w:val="20"/>
        </w:rPr>
        <w:t>14</w:t>
      </w:r>
      <w:r>
        <w:rPr>
          <w:spacing w:val="-2"/>
          <w:sz w:val="20"/>
        </w:rPr>
        <w:t xml:space="preserve"> </w:t>
      </w:r>
      <w:r>
        <w:rPr>
          <w:sz w:val="20"/>
        </w:rPr>
        <w:t>y</w:t>
      </w:r>
      <w:r>
        <w:rPr>
          <w:spacing w:val="-6"/>
          <w:sz w:val="20"/>
        </w:rPr>
        <w:t xml:space="preserve"> </w:t>
      </w:r>
      <w:r>
        <w:rPr>
          <w:sz w:val="20"/>
        </w:rPr>
        <w:t>1</w:t>
      </w:r>
      <w:r>
        <w:rPr>
          <w:spacing w:val="-5"/>
          <w:sz w:val="20"/>
        </w:rPr>
        <w:t xml:space="preserve"> </w:t>
      </w:r>
      <w:r>
        <w:rPr>
          <w:sz w:val="20"/>
        </w:rPr>
        <w:t>del</w:t>
      </w:r>
      <w:r>
        <w:rPr>
          <w:spacing w:val="-4"/>
          <w:sz w:val="20"/>
        </w:rPr>
        <w:t xml:space="preserve"> </w:t>
      </w:r>
      <w:r>
        <w:rPr>
          <w:sz w:val="20"/>
        </w:rPr>
        <w:t>Protocolo</w:t>
      </w:r>
      <w:r>
        <w:rPr>
          <w:spacing w:val="-7"/>
          <w:sz w:val="20"/>
        </w:rPr>
        <w:t xml:space="preserve"> </w:t>
      </w:r>
      <w:r>
        <w:rPr>
          <w:sz w:val="20"/>
        </w:rPr>
        <w:t>Adicional</w:t>
      </w:r>
      <w:r>
        <w:rPr>
          <w:spacing w:val="-4"/>
          <w:sz w:val="20"/>
        </w:rPr>
        <w:t xml:space="preserve"> </w:t>
      </w:r>
      <w:r>
        <w:rPr>
          <w:sz w:val="20"/>
        </w:rPr>
        <w:t>No.</w:t>
      </w:r>
      <w:r>
        <w:rPr>
          <w:spacing w:val="-6"/>
          <w:sz w:val="20"/>
        </w:rPr>
        <w:t xml:space="preserve"> </w:t>
      </w:r>
      <w:r>
        <w:rPr>
          <w:spacing w:val="2"/>
          <w:sz w:val="20"/>
        </w:rPr>
        <w:t>12</w:t>
      </w:r>
      <w:hyperlink w:anchor="_bookmark806" w:history="1">
        <w:r>
          <w:rPr>
            <w:spacing w:val="2"/>
            <w:position w:val="8"/>
            <w:sz w:val="16"/>
          </w:rPr>
          <w:t>124</w:t>
        </w:r>
      </w:hyperlink>
      <w:r>
        <w:rPr>
          <w:spacing w:val="2"/>
          <w:sz w:val="20"/>
        </w:rPr>
        <w:t xml:space="preserve">, </w:t>
      </w:r>
      <w:r>
        <w:rPr>
          <w:sz w:val="20"/>
        </w:rPr>
        <w:t>artículos equivalentes a los artículos 1.1 y 24 de la Convención Americana, respectivamente. En</w:t>
      </w:r>
      <w:r>
        <w:rPr>
          <w:spacing w:val="-6"/>
          <w:sz w:val="20"/>
        </w:rPr>
        <w:t xml:space="preserve"> </w:t>
      </w:r>
      <w:r>
        <w:rPr>
          <w:sz w:val="20"/>
        </w:rPr>
        <w:t>cuanto</w:t>
      </w:r>
      <w:r>
        <w:rPr>
          <w:spacing w:val="-7"/>
          <w:sz w:val="20"/>
        </w:rPr>
        <w:t xml:space="preserve"> </w:t>
      </w:r>
      <w:r>
        <w:rPr>
          <w:sz w:val="20"/>
        </w:rPr>
        <w:t>a</w:t>
      </w:r>
      <w:r>
        <w:rPr>
          <w:spacing w:val="-5"/>
          <w:sz w:val="20"/>
        </w:rPr>
        <w:t xml:space="preserve"> </w:t>
      </w:r>
      <w:r>
        <w:rPr>
          <w:sz w:val="20"/>
        </w:rPr>
        <w:t>la</w:t>
      </w:r>
      <w:r>
        <w:rPr>
          <w:spacing w:val="-5"/>
          <w:sz w:val="20"/>
        </w:rPr>
        <w:t xml:space="preserve"> </w:t>
      </w:r>
      <w:r>
        <w:rPr>
          <w:sz w:val="20"/>
        </w:rPr>
        <w:t>interpretación</w:t>
      </w:r>
      <w:r>
        <w:rPr>
          <w:spacing w:val="-4"/>
          <w:sz w:val="20"/>
        </w:rPr>
        <w:t xml:space="preserve"> </w:t>
      </w:r>
      <w:r>
        <w:rPr>
          <w:sz w:val="20"/>
        </w:rPr>
        <w:t>que</w:t>
      </w:r>
      <w:r>
        <w:rPr>
          <w:spacing w:val="-7"/>
          <w:sz w:val="20"/>
        </w:rPr>
        <w:t xml:space="preserve"> </w:t>
      </w:r>
      <w:r>
        <w:rPr>
          <w:sz w:val="20"/>
        </w:rPr>
        <w:t>ha</w:t>
      </w:r>
      <w:r>
        <w:rPr>
          <w:spacing w:val="-5"/>
          <w:sz w:val="20"/>
        </w:rPr>
        <w:t xml:space="preserve"> </w:t>
      </w:r>
      <w:r>
        <w:rPr>
          <w:sz w:val="20"/>
        </w:rPr>
        <w:t>realizado</w:t>
      </w:r>
      <w:r>
        <w:rPr>
          <w:spacing w:val="-7"/>
          <w:sz w:val="20"/>
        </w:rPr>
        <w:t xml:space="preserve"> </w:t>
      </w:r>
      <w:r>
        <w:rPr>
          <w:sz w:val="20"/>
        </w:rPr>
        <w:t>el</w:t>
      </w:r>
      <w:r>
        <w:rPr>
          <w:spacing w:val="-6"/>
          <w:sz w:val="20"/>
        </w:rPr>
        <w:t xml:space="preserve"> </w:t>
      </w:r>
      <w:r>
        <w:rPr>
          <w:sz w:val="20"/>
        </w:rPr>
        <w:t>Tribunal</w:t>
      </w:r>
      <w:r>
        <w:rPr>
          <w:spacing w:val="-5"/>
          <w:sz w:val="20"/>
        </w:rPr>
        <w:t xml:space="preserve"> </w:t>
      </w:r>
      <w:r>
        <w:rPr>
          <w:sz w:val="20"/>
        </w:rPr>
        <w:t>Europeo,</w:t>
      </w:r>
      <w:r>
        <w:rPr>
          <w:spacing w:val="-6"/>
          <w:sz w:val="20"/>
        </w:rPr>
        <w:t xml:space="preserve"> </w:t>
      </w:r>
      <w:r>
        <w:rPr>
          <w:sz w:val="20"/>
        </w:rPr>
        <w:t>se</w:t>
      </w:r>
      <w:r>
        <w:rPr>
          <w:spacing w:val="-7"/>
          <w:sz w:val="20"/>
        </w:rPr>
        <w:t xml:space="preserve"> </w:t>
      </w:r>
      <w:r>
        <w:rPr>
          <w:sz w:val="20"/>
        </w:rPr>
        <w:t>ha</w:t>
      </w:r>
      <w:r>
        <w:rPr>
          <w:spacing w:val="-5"/>
          <w:sz w:val="20"/>
        </w:rPr>
        <w:t xml:space="preserve"> </w:t>
      </w:r>
      <w:r>
        <w:rPr>
          <w:sz w:val="20"/>
        </w:rPr>
        <w:t>referido</w:t>
      </w:r>
      <w:r>
        <w:rPr>
          <w:spacing w:val="-7"/>
          <w:sz w:val="20"/>
        </w:rPr>
        <w:t xml:space="preserve"> </w:t>
      </w:r>
      <w:r>
        <w:rPr>
          <w:sz w:val="20"/>
        </w:rPr>
        <w:t>que</w:t>
      </w:r>
      <w:r>
        <w:rPr>
          <w:spacing w:val="-7"/>
          <w:sz w:val="20"/>
        </w:rPr>
        <w:t xml:space="preserve"> </w:t>
      </w:r>
      <w:r>
        <w:rPr>
          <w:sz w:val="20"/>
        </w:rPr>
        <w:t>“si</w:t>
      </w:r>
      <w:r>
        <w:rPr>
          <w:spacing w:val="-5"/>
          <w:sz w:val="20"/>
        </w:rPr>
        <w:t xml:space="preserve"> </w:t>
      </w:r>
      <w:r>
        <w:rPr>
          <w:sz w:val="20"/>
        </w:rPr>
        <w:t>bien el</w:t>
      </w:r>
      <w:r>
        <w:rPr>
          <w:spacing w:val="-4"/>
          <w:sz w:val="20"/>
        </w:rPr>
        <w:t xml:space="preserve"> </w:t>
      </w:r>
      <w:r>
        <w:rPr>
          <w:sz w:val="20"/>
        </w:rPr>
        <w:t>artículo</w:t>
      </w:r>
      <w:r>
        <w:rPr>
          <w:spacing w:val="-5"/>
          <w:sz w:val="20"/>
        </w:rPr>
        <w:t xml:space="preserve"> </w:t>
      </w:r>
      <w:r>
        <w:rPr>
          <w:sz w:val="20"/>
        </w:rPr>
        <w:t>14</w:t>
      </w:r>
      <w:r>
        <w:rPr>
          <w:spacing w:val="-3"/>
          <w:sz w:val="20"/>
        </w:rPr>
        <w:t xml:space="preserve"> </w:t>
      </w:r>
      <w:r>
        <w:rPr>
          <w:sz w:val="20"/>
        </w:rPr>
        <w:t>del</w:t>
      </w:r>
      <w:r>
        <w:rPr>
          <w:spacing w:val="-4"/>
          <w:sz w:val="20"/>
        </w:rPr>
        <w:t xml:space="preserve"> </w:t>
      </w:r>
      <w:r>
        <w:rPr>
          <w:sz w:val="20"/>
        </w:rPr>
        <w:t>Convenio</w:t>
      </w:r>
      <w:r>
        <w:rPr>
          <w:spacing w:val="-4"/>
          <w:sz w:val="20"/>
        </w:rPr>
        <w:t xml:space="preserve"> </w:t>
      </w:r>
      <w:r>
        <w:rPr>
          <w:sz w:val="20"/>
        </w:rPr>
        <w:t>prohíbe</w:t>
      </w:r>
      <w:r>
        <w:rPr>
          <w:spacing w:val="-5"/>
          <w:sz w:val="20"/>
        </w:rPr>
        <w:t xml:space="preserve"> </w:t>
      </w:r>
      <w:r>
        <w:rPr>
          <w:sz w:val="20"/>
        </w:rPr>
        <w:t>la</w:t>
      </w:r>
      <w:r>
        <w:rPr>
          <w:spacing w:val="-3"/>
          <w:sz w:val="20"/>
        </w:rPr>
        <w:t xml:space="preserve"> </w:t>
      </w:r>
      <w:r>
        <w:rPr>
          <w:sz w:val="20"/>
        </w:rPr>
        <w:t>discriminación</w:t>
      </w:r>
      <w:r>
        <w:rPr>
          <w:spacing w:val="-3"/>
          <w:sz w:val="20"/>
        </w:rPr>
        <w:t xml:space="preserve"> </w:t>
      </w:r>
      <w:r>
        <w:rPr>
          <w:sz w:val="20"/>
        </w:rPr>
        <w:t>para</w:t>
      </w:r>
      <w:r>
        <w:rPr>
          <w:spacing w:val="-4"/>
          <w:sz w:val="20"/>
        </w:rPr>
        <w:t xml:space="preserve"> </w:t>
      </w:r>
      <w:r>
        <w:rPr>
          <w:sz w:val="20"/>
        </w:rPr>
        <w:t>garantizar</w:t>
      </w:r>
      <w:r>
        <w:rPr>
          <w:spacing w:val="-2"/>
          <w:sz w:val="20"/>
        </w:rPr>
        <w:t xml:space="preserve"> </w:t>
      </w:r>
      <w:r>
        <w:rPr>
          <w:sz w:val="20"/>
        </w:rPr>
        <w:t>el</w:t>
      </w:r>
      <w:r>
        <w:rPr>
          <w:spacing w:val="-4"/>
          <w:sz w:val="20"/>
        </w:rPr>
        <w:t xml:space="preserve"> </w:t>
      </w:r>
      <w:r>
        <w:rPr>
          <w:sz w:val="20"/>
        </w:rPr>
        <w:t>goce</w:t>
      </w:r>
      <w:r>
        <w:rPr>
          <w:spacing w:val="-4"/>
          <w:sz w:val="20"/>
        </w:rPr>
        <w:t xml:space="preserve"> </w:t>
      </w:r>
      <w:r>
        <w:rPr>
          <w:sz w:val="20"/>
        </w:rPr>
        <w:t>de</w:t>
      </w:r>
      <w:r>
        <w:rPr>
          <w:spacing w:val="-5"/>
          <w:sz w:val="20"/>
        </w:rPr>
        <w:t xml:space="preserve"> </w:t>
      </w:r>
      <w:r>
        <w:rPr>
          <w:sz w:val="20"/>
        </w:rPr>
        <w:t>los</w:t>
      </w:r>
      <w:r>
        <w:rPr>
          <w:spacing w:val="-5"/>
          <w:sz w:val="20"/>
        </w:rPr>
        <w:t xml:space="preserve"> </w:t>
      </w:r>
      <w:r>
        <w:rPr>
          <w:sz w:val="20"/>
        </w:rPr>
        <w:t>«derechos y libertades reconocidos en el (...) Convenio», el artículo 1 del Protocolo No. 12 amplía el ámbito de protección a «cualquier derecho previsto por la ley». Introduce, por tanto, una prohibición general de la discriminac</w:t>
      </w:r>
      <w:r>
        <w:rPr>
          <w:sz w:val="20"/>
        </w:rPr>
        <w:t>ión”</w:t>
      </w:r>
      <w:hyperlink w:anchor="_bookmark807" w:history="1">
        <w:r>
          <w:rPr>
            <w:position w:val="7"/>
            <w:sz w:val="13"/>
          </w:rPr>
          <w:t>125</w:t>
        </w:r>
      </w:hyperlink>
      <w:r>
        <w:rPr>
          <w:sz w:val="20"/>
        </w:rPr>
        <w:t>. Además, ha expresado que “[l]os autores del Protocolo No. 12 utilizaron el mismo término de discriminación en el artículo 1 de dicho instrumento que el interpretado en el artículo</w:t>
      </w:r>
      <w:r>
        <w:rPr>
          <w:spacing w:val="-6"/>
          <w:sz w:val="20"/>
        </w:rPr>
        <w:t xml:space="preserve"> </w:t>
      </w:r>
      <w:r>
        <w:rPr>
          <w:sz w:val="20"/>
        </w:rPr>
        <w:t>14</w:t>
      </w:r>
      <w:hyperlink w:anchor="_bookmark808" w:history="1">
        <w:r>
          <w:rPr>
            <w:position w:val="7"/>
            <w:sz w:val="13"/>
          </w:rPr>
          <w:t>1</w:t>
        </w:r>
        <w:r>
          <w:rPr>
            <w:position w:val="7"/>
            <w:sz w:val="13"/>
          </w:rPr>
          <w:t>26</w:t>
        </w:r>
      </w:hyperlink>
      <w:r>
        <w:rPr>
          <w:sz w:val="20"/>
        </w:rPr>
        <w:t>”.</w:t>
      </w:r>
    </w:p>
    <w:p w14:paraId="3A9E5730" w14:textId="77777777" w:rsidR="00467FCA" w:rsidRDefault="00467FCA">
      <w:pPr>
        <w:pStyle w:val="Textoindependiente"/>
        <w:spacing w:before="10"/>
      </w:pPr>
    </w:p>
    <w:p w14:paraId="678390C5" w14:textId="77777777" w:rsidR="00467FCA" w:rsidRDefault="001B68EB">
      <w:pPr>
        <w:pStyle w:val="Prrafodelista"/>
        <w:numPr>
          <w:ilvl w:val="0"/>
          <w:numId w:val="4"/>
        </w:numPr>
        <w:tabs>
          <w:tab w:val="left" w:pos="1167"/>
        </w:tabs>
        <w:ind w:right="275" w:firstLine="0"/>
        <w:jc w:val="both"/>
        <w:rPr>
          <w:sz w:val="20"/>
        </w:rPr>
      </w:pPr>
      <w:r>
        <w:rPr>
          <w:sz w:val="20"/>
        </w:rPr>
        <w:t xml:space="preserve">Para mayor entendimiento, es necesario recurrir al </w:t>
      </w:r>
      <w:r>
        <w:rPr>
          <w:i/>
          <w:sz w:val="20"/>
        </w:rPr>
        <w:t>Informe explicativo del Protocolo 12</w:t>
      </w:r>
      <w:r>
        <w:rPr>
          <w:i/>
          <w:spacing w:val="-15"/>
          <w:sz w:val="20"/>
        </w:rPr>
        <w:t xml:space="preserve"> </w:t>
      </w:r>
      <w:r>
        <w:rPr>
          <w:i/>
          <w:sz w:val="20"/>
        </w:rPr>
        <w:t>del</w:t>
      </w:r>
      <w:r>
        <w:rPr>
          <w:i/>
          <w:spacing w:val="-15"/>
          <w:sz w:val="20"/>
        </w:rPr>
        <w:t xml:space="preserve"> </w:t>
      </w:r>
      <w:r>
        <w:rPr>
          <w:i/>
          <w:sz w:val="20"/>
        </w:rPr>
        <w:t>Convenio</w:t>
      </w:r>
      <w:r>
        <w:rPr>
          <w:i/>
          <w:spacing w:val="-16"/>
          <w:sz w:val="20"/>
        </w:rPr>
        <w:t xml:space="preserve"> </w:t>
      </w:r>
      <w:r>
        <w:rPr>
          <w:i/>
          <w:sz w:val="20"/>
        </w:rPr>
        <w:t>Europeo</w:t>
      </w:r>
      <w:r>
        <w:rPr>
          <w:sz w:val="20"/>
        </w:rPr>
        <w:t>,</w:t>
      </w:r>
      <w:r>
        <w:rPr>
          <w:spacing w:val="-13"/>
          <w:sz w:val="20"/>
        </w:rPr>
        <w:t xml:space="preserve"> </w:t>
      </w:r>
      <w:r>
        <w:rPr>
          <w:sz w:val="20"/>
        </w:rPr>
        <w:t>en</w:t>
      </w:r>
      <w:r>
        <w:rPr>
          <w:spacing w:val="-14"/>
          <w:sz w:val="20"/>
        </w:rPr>
        <w:t xml:space="preserve"> </w:t>
      </w:r>
      <w:r>
        <w:rPr>
          <w:sz w:val="20"/>
        </w:rPr>
        <w:t>donde</w:t>
      </w:r>
      <w:r>
        <w:rPr>
          <w:spacing w:val="-14"/>
          <w:sz w:val="20"/>
        </w:rPr>
        <w:t xml:space="preserve"> </w:t>
      </w:r>
      <w:r>
        <w:rPr>
          <w:sz w:val="20"/>
        </w:rPr>
        <w:t>se</w:t>
      </w:r>
      <w:r>
        <w:rPr>
          <w:spacing w:val="-14"/>
          <w:sz w:val="20"/>
        </w:rPr>
        <w:t xml:space="preserve"> </w:t>
      </w:r>
      <w:r>
        <w:rPr>
          <w:sz w:val="20"/>
        </w:rPr>
        <w:t>consideró</w:t>
      </w:r>
      <w:r>
        <w:rPr>
          <w:spacing w:val="-16"/>
          <w:sz w:val="20"/>
        </w:rPr>
        <w:t xml:space="preserve"> </w:t>
      </w:r>
      <w:r>
        <w:rPr>
          <w:sz w:val="20"/>
        </w:rPr>
        <w:t>que,</w:t>
      </w:r>
      <w:r>
        <w:rPr>
          <w:spacing w:val="-13"/>
          <w:sz w:val="20"/>
        </w:rPr>
        <w:t xml:space="preserve"> </w:t>
      </w:r>
      <w:r>
        <w:rPr>
          <w:sz w:val="20"/>
        </w:rPr>
        <w:t>en</w:t>
      </w:r>
      <w:r>
        <w:rPr>
          <w:spacing w:val="-14"/>
          <w:sz w:val="20"/>
        </w:rPr>
        <w:t xml:space="preserve"> </w:t>
      </w:r>
      <w:r>
        <w:rPr>
          <w:sz w:val="20"/>
        </w:rPr>
        <w:t>particular,</w:t>
      </w:r>
      <w:r>
        <w:rPr>
          <w:spacing w:val="-13"/>
          <w:sz w:val="20"/>
        </w:rPr>
        <w:t xml:space="preserve"> </w:t>
      </w:r>
      <w:r>
        <w:rPr>
          <w:sz w:val="20"/>
        </w:rPr>
        <w:t>el</w:t>
      </w:r>
      <w:r>
        <w:rPr>
          <w:spacing w:val="-12"/>
          <w:sz w:val="20"/>
        </w:rPr>
        <w:t xml:space="preserve"> </w:t>
      </w:r>
      <w:r>
        <w:rPr>
          <w:sz w:val="20"/>
        </w:rPr>
        <w:t>alcance</w:t>
      </w:r>
      <w:r>
        <w:rPr>
          <w:spacing w:val="-14"/>
          <w:sz w:val="20"/>
        </w:rPr>
        <w:t xml:space="preserve"> </w:t>
      </w:r>
      <w:r>
        <w:rPr>
          <w:sz w:val="20"/>
        </w:rPr>
        <w:t>de</w:t>
      </w:r>
      <w:r>
        <w:rPr>
          <w:spacing w:val="-14"/>
          <w:sz w:val="20"/>
        </w:rPr>
        <w:t xml:space="preserve"> </w:t>
      </w:r>
      <w:r>
        <w:rPr>
          <w:sz w:val="20"/>
        </w:rPr>
        <w:t>la</w:t>
      </w:r>
      <w:r>
        <w:rPr>
          <w:spacing w:val="-15"/>
          <w:sz w:val="20"/>
        </w:rPr>
        <w:t xml:space="preserve"> </w:t>
      </w:r>
      <w:r>
        <w:rPr>
          <w:sz w:val="20"/>
        </w:rPr>
        <w:t>protección adicional en virtud del artículo 1 se refiere a los casos en que una persona es objeto de discriminación:</w:t>
      </w:r>
      <w:r>
        <w:rPr>
          <w:spacing w:val="16"/>
          <w:sz w:val="20"/>
        </w:rPr>
        <w:t xml:space="preserve"> </w:t>
      </w:r>
      <w:r>
        <w:rPr>
          <w:sz w:val="20"/>
        </w:rPr>
        <w:t>i.</w:t>
      </w:r>
      <w:r>
        <w:rPr>
          <w:spacing w:val="18"/>
          <w:sz w:val="20"/>
        </w:rPr>
        <w:t xml:space="preserve"> </w:t>
      </w:r>
      <w:r>
        <w:rPr>
          <w:sz w:val="20"/>
        </w:rPr>
        <w:t>en</w:t>
      </w:r>
      <w:r>
        <w:rPr>
          <w:spacing w:val="19"/>
          <w:sz w:val="20"/>
        </w:rPr>
        <w:t xml:space="preserve"> </w:t>
      </w:r>
      <w:r>
        <w:rPr>
          <w:sz w:val="20"/>
        </w:rPr>
        <w:t>el</w:t>
      </w:r>
      <w:r>
        <w:rPr>
          <w:spacing w:val="21"/>
          <w:sz w:val="20"/>
        </w:rPr>
        <w:t xml:space="preserve"> </w:t>
      </w:r>
      <w:r>
        <w:rPr>
          <w:sz w:val="20"/>
        </w:rPr>
        <w:t>goce</w:t>
      </w:r>
      <w:r>
        <w:rPr>
          <w:spacing w:val="14"/>
          <w:sz w:val="20"/>
        </w:rPr>
        <w:t xml:space="preserve"> </w:t>
      </w:r>
      <w:r>
        <w:rPr>
          <w:sz w:val="20"/>
        </w:rPr>
        <w:t>de</w:t>
      </w:r>
      <w:r>
        <w:rPr>
          <w:spacing w:val="15"/>
          <w:sz w:val="20"/>
        </w:rPr>
        <w:t xml:space="preserve"> </w:t>
      </w:r>
      <w:r>
        <w:rPr>
          <w:sz w:val="20"/>
        </w:rPr>
        <w:t>todo</w:t>
      </w:r>
      <w:r>
        <w:rPr>
          <w:spacing w:val="17"/>
          <w:sz w:val="20"/>
        </w:rPr>
        <w:t xml:space="preserve"> </w:t>
      </w:r>
      <w:r>
        <w:rPr>
          <w:sz w:val="20"/>
        </w:rPr>
        <w:t>derecho</w:t>
      </w:r>
      <w:r>
        <w:rPr>
          <w:spacing w:val="20"/>
          <w:sz w:val="20"/>
        </w:rPr>
        <w:t xml:space="preserve"> </w:t>
      </w:r>
      <w:r>
        <w:rPr>
          <w:sz w:val="20"/>
        </w:rPr>
        <w:t>específicamente</w:t>
      </w:r>
      <w:r>
        <w:rPr>
          <w:spacing w:val="16"/>
          <w:sz w:val="20"/>
        </w:rPr>
        <w:t xml:space="preserve"> </w:t>
      </w:r>
      <w:r>
        <w:rPr>
          <w:sz w:val="20"/>
        </w:rPr>
        <w:t>concedido</w:t>
      </w:r>
      <w:r>
        <w:rPr>
          <w:spacing w:val="15"/>
          <w:sz w:val="20"/>
        </w:rPr>
        <w:t xml:space="preserve"> </w:t>
      </w:r>
      <w:r>
        <w:rPr>
          <w:sz w:val="20"/>
        </w:rPr>
        <w:t>al</w:t>
      </w:r>
      <w:r>
        <w:rPr>
          <w:spacing w:val="19"/>
          <w:sz w:val="20"/>
        </w:rPr>
        <w:t xml:space="preserve"> </w:t>
      </w:r>
      <w:r>
        <w:rPr>
          <w:sz w:val="20"/>
        </w:rPr>
        <w:t>individuo</w:t>
      </w:r>
      <w:r>
        <w:rPr>
          <w:spacing w:val="14"/>
          <w:sz w:val="20"/>
        </w:rPr>
        <w:t xml:space="preserve"> </w:t>
      </w:r>
      <w:r>
        <w:rPr>
          <w:sz w:val="20"/>
        </w:rPr>
        <w:t>por</w:t>
      </w:r>
      <w:r>
        <w:rPr>
          <w:spacing w:val="17"/>
          <w:sz w:val="20"/>
        </w:rPr>
        <w:t xml:space="preserve"> </w:t>
      </w:r>
      <w:r>
        <w:rPr>
          <w:sz w:val="20"/>
        </w:rPr>
        <w:t>el</w:t>
      </w:r>
    </w:p>
    <w:p w14:paraId="3D55C895" w14:textId="77777777" w:rsidR="00467FCA" w:rsidRDefault="001B68EB">
      <w:pPr>
        <w:pStyle w:val="Textoindependiente"/>
        <w:spacing w:before="1"/>
        <w:rPr>
          <w:sz w:val="12"/>
        </w:rPr>
      </w:pPr>
      <w:r>
        <w:pict w14:anchorId="358CF4CE">
          <v:shape id="_x0000_s1046" style="position:absolute;margin-left:70.9pt;margin-top:9.6pt;width:2in;height:.1pt;z-index:-251505664;mso-wrap-distance-left:0;mso-wrap-distance-right:0;mso-position-horizontal-relative:page" coordorigin="1418,192" coordsize="2880,0" path="m1418,192r2880,e" filled="f" strokeweight=".6pt">
            <v:path arrowok="t"/>
            <w10:wrap type="topAndBottom" anchorx="page"/>
          </v:shape>
        </w:pict>
      </w:r>
    </w:p>
    <w:p w14:paraId="1EFCCF00" w14:textId="77777777" w:rsidR="00467FCA" w:rsidRDefault="001B68EB">
      <w:pPr>
        <w:tabs>
          <w:tab w:val="left" w:pos="1166"/>
        </w:tabs>
        <w:spacing w:before="74"/>
        <w:ind w:left="458" w:right="276"/>
        <w:jc w:val="both"/>
        <w:rPr>
          <w:sz w:val="16"/>
        </w:rPr>
      </w:pPr>
      <w:bookmarkStart w:id="884" w:name="_bookmark803"/>
      <w:bookmarkEnd w:id="884"/>
      <w:r>
        <w:rPr>
          <w:position w:val="6"/>
          <w:sz w:val="10"/>
        </w:rPr>
        <w:t>121</w:t>
      </w:r>
      <w:r>
        <w:rPr>
          <w:position w:val="6"/>
          <w:sz w:val="10"/>
        </w:rPr>
        <w:tab/>
      </w:r>
      <w:r>
        <w:rPr>
          <w:i/>
          <w:sz w:val="16"/>
        </w:rPr>
        <w:t>Cfr.</w:t>
      </w:r>
      <w:r>
        <w:rPr>
          <w:i/>
          <w:spacing w:val="-7"/>
          <w:sz w:val="16"/>
        </w:rPr>
        <w:t xml:space="preserve"> </w:t>
      </w:r>
      <w:r>
        <w:rPr>
          <w:sz w:val="16"/>
        </w:rPr>
        <w:t>Comité</w:t>
      </w:r>
      <w:r>
        <w:rPr>
          <w:spacing w:val="-6"/>
          <w:sz w:val="16"/>
        </w:rPr>
        <w:t xml:space="preserve"> </w:t>
      </w:r>
      <w:r>
        <w:rPr>
          <w:sz w:val="16"/>
        </w:rPr>
        <w:t>sobre</w:t>
      </w:r>
      <w:r>
        <w:rPr>
          <w:spacing w:val="-8"/>
          <w:sz w:val="16"/>
        </w:rPr>
        <w:t xml:space="preserve"> </w:t>
      </w:r>
      <w:r>
        <w:rPr>
          <w:sz w:val="16"/>
        </w:rPr>
        <w:t>los</w:t>
      </w:r>
      <w:r>
        <w:rPr>
          <w:spacing w:val="-8"/>
          <w:sz w:val="16"/>
        </w:rPr>
        <w:t xml:space="preserve"> </w:t>
      </w:r>
      <w:r>
        <w:rPr>
          <w:sz w:val="16"/>
        </w:rPr>
        <w:t>Derechos</w:t>
      </w:r>
      <w:r>
        <w:rPr>
          <w:spacing w:val="-6"/>
          <w:sz w:val="16"/>
        </w:rPr>
        <w:t xml:space="preserve"> </w:t>
      </w:r>
      <w:r>
        <w:rPr>
          <w:sz w:val="16"/>
        </w:rPr>
        <w:t>de</w:t>
      </w:r>
      <w:r>
        <w:rPr>
          <w:spacing w:val="-6"/>
          <w:sz w:val="16"/>
        </w:rPr>
        <w:t xml:space="preserve"> </w:t>
      </w:r>
      <w:r>
        <w:rPr>
          <w:sz w:val="16"/>
        </w:rPr>
        <w:t>las</w:t>
      </w:r>
      <w:r>
        <w:rPr>
          <w:spacing w:val="-6"/>
          <w:sz w:val="16"/>
        </w:rPr>
        <w:t xml:space="preserve"> </w:t>
      </w:r>
      <w:r>
        <w:rPr>
          <w:sz w:val="16"/>
        </w:rPr>
        <w:t>Personas</w:t>
      </w:r>
      <w:r>
        <w:rPr>
          <w:spacing w:val="-6"/>
          <w:sz w:val="16"/>
        </w:rPr>
        <w:t xml:space="preserve"> </w:t>
      </w:r>
      <w:r>
        <w:rPr>
          <w:sz w:val="16"/>
        </w:rPr>
        <w:t>con</w:t>
      </w:r>
      <w:r>
        <w:rPr>
          <w:spacing w:val="-7"/>
          <w:sz w:val="16"/>
        </w:rPr>
        <w:t xml:space="preserve"> </w:t>
      </w:r>
      <w:r>
        <w:rPr>
          <w:sz w:val="16"/>
        </w:rPr>
        <w:t>Discapacidad,</w:t>
      </w:r>
      <w:r>
        <w:rPr>
          <w:spacing w:val="-6"/>
          <w:sz w:val="16"/>
        </w:rPr>
        <w:t xml:space="preserve"> </w:t>
      </w:r>
      <w:r>
        <w:rPr>
          <w:i/>
          <w:sz w:val="16"/>
        </w:rPr>
        <w:t>Observación</w:t>
      </w:r>
      <w:r>
        <w:rPr>
          <w:i/>
          <w:spacing w:val="-7"/>
          <w:sz w:val="16"/>
        </w:rPr>
        <w:t xml:space="preserve"> </w:t>
      </w:r>
      <w:r>
        <w:rPr>
          <w:i/>
          <w:sz w:val="16"/>
        </w:rPr>
        <w:t>general</w:t>
      </w:r>
      <w:r>
        <w:rPr>
          <w:i/>
          <w:spacing w:val="-7"/>
          <w:sz w:val="16"/>
        </w:rPr>
        <w:t xml:space="preserve"> </w:t>
      </w:r>
      <w:r>
        <w:rPr>
          <w:i/>
          <w:sz w:val="16"/>
        </w:rPr>
        <w:t>núm.</w:t>
      </w:r>
      <w:r>
        <w:rPr>
          <w:i/>
          <w:spacing w:val="-7"/>
          <w:sz w:val="16"/>
        </w:rPr>
        <w:t xml:space="preserve"> </w:t>
      </w:r>
      <w:r>
        <w:rPr>
          <w:i/>
          <w:sz w:val="16"/>
        </w:rPr>
        <w:t>6</w:t>
      </w:r>
      <w:r>
        <w:rPr>
          <w:i/>
          <w:spacing w:val="-5"/>
          <w:sz w:val="16"/>
        </w:rPr>
        <w:t xml:space="preserve"> </w:t>
      </w:r>
      <w:r>
        <w:rPr>
          <w:i/>
          <w:sz w:val="16"/>
        </w:rPr>
        <w:t>(2018)</w:t>
      </w:r>
      <w:r>
        <w:rPr>
          <w:i/>
          <w:spacing w:val="-7"/>
          <w:sz w:val="16"/>
        </w:rPr>
        <w:t xml:space="preserve"> </w:t>
      </w:r>
      <w:r>
        <w:rPr>
          <w:i/>
          <w:sz w:val="16"/>
        </w:rPr>
        <w:t>sobre la igualdad y la no discriminación</w:t>
      </w:r>
      <w:r>
        <w:rPr>
          <w:sz w:val="16"/>
        </w:rPr>
        <w:t>, CRPD/C/GC/6, 26 de abril de 2018, párr.</w:t>
      </w:r>
      <w:r>
        <w:rPr>
          <w:spacing w:val="-14"/>
          <w:sz w:val="16"/>
        </w:rPr>
        <w:t xml:space="preserve"> </w:t>
      </w:r>
      <w:r>
        <w:rPr>
          <w:sz w:val="16"/>
        </w:rPr>
        <w:t>10.</w:t>
      </w:r>
    </w:p>
    <w:p w14:paraId="639E08CB" w14:textId="77777777" w:rsidR="00467FCA" w:rsidRDefault="001B68EB">
      <w:pPr>
        <w:tabs>
          <w:tab w:val="left" w:pos="1166"/>
        </w:tabs>
        <w:ind w:left="458" w:right="273"/>
        <w:jc w:val="both"/>
        <w:rPr>
          <w:sz w:val="16"/>
        </w:rPr>
      </w:pPr>
      <w:bookmarkStart w:id="885" w:name="_bookmark804"/>
      <w:bookmarkEnd w:id="885"/>
      <w:r>
        <w:rPr>
          <w:position w:val="6"/>
          <w:sz w:val="10"/>
        </w:rPr>
        <w:t>122</w:t>
      </w:r>
      <w:r>
        <w:rPr>
          <w:position w:val="6"/>
          <w:sz w:val="10"/>
        </w:rPr>
        <w:tab/>
      </w:r>
      <w:r>
        <w:rPr>
          <w:i/>
          <w:sz w:val="16"/>
        </w:rPr>
        <w:t>Cfr.</w:t>
      </w:r>
      <w:r>
        <w:rPr>
          <w:i/>
          <w:spacing w:val="-4"/>
          <w:sz w:val="16"/>
        </w:rPr>
        <w:t xml:space="preserve"> </w:t>
      </w:r>
      <w:r>
        <w:rPr>
          <w:sz w:val="16"/>
        </w:rPr>
        <w:t>Comité</w:t>
      </w:r>
      <w:r>
        <w:rPr>
          <w:spacing w:val="-3"/>
          <w:sz w:val="16"/>
        </w:rPr>
        <w:t xml:space="preserve"> </w:t>
      </w:r>
      <w:r>
        <w:rPr>
          <w:sz w:val="16"/>
        </w:rPr>
        <w:t>sobre</w:t>
      </w:r>
      <w:r>
        <w:rPr>
          <w:spacing w:val="-2"/>
          <w:sz w:val="16"/>
        </w:rPr>
        <w:t xml:space="preserve"> </w:t>
      </w:r>
      <w:r>
        <w:rPr>
          <w:sz w:val="16"/>
        </w:rPr>
        <w:t>los</w:t>
      </w:r>
      <w:r>
        <w:rPr>
          <w:spacing w:val="-3"/>
          <w:sz w:val="16"/>
        </w:rPr>
        <w:t xml:space="preserve"> </w:t>
      </w:r>
      <w:r>
        <w:rPr>
          <w:sz w:val="16"/>
        </w:rPr>
        <w:t>Derechos</w:t>
      </w:r>
      <w:r>
        <w:rPr>
          <w:spacing w:val="-2"/>
          <w:sz w:val="16"/>
        </w:rPr>
        <w:t xml:space="preserve"> </w:t>
      </w:r>
      <w:r>
        <w:rPr>
          <w:sz w:val="16"/>
        </w:rPr>
        <w:t>de</w:t>
      </w:r>
      <w:r>
        <w:rPr>
          <w:spacing w:val="-3"/>
          <w:sz w:val="16"/>
        </w:rPr>
        <w:t xml:space="preserve"> </w:t>
      </w:r>
      <w:r>
        <w:rPr>
          <w:sz w:val="16"/>
        </w:rPr>
        <w:t>las</w:t>
      </w:r>
      <w:r>
        <w:rPr>
          <w:spacing w:val="-2"/>
          <w:sz w:val="16"/>
        </w:rPr>
        <w:t xml:space="preserve"> </w:t>
      </w:r>
      <w:r>
        <w:rPr>
          <w:sz w:val="16"/>
        </w:rPr>
        <w:t>Personas</w:t>
      </w:r>
      <w:r>
        <w:rPr>
          <w:spacing w:val="-6"/>
          <w:sz w:val="16"/>
        </w:rPr>
        <w:t xml:space="preserve"> </w:t>
      </w:r>
      <w:r>
        <w:rPr>
          <w:sz w:val="16"/>
        </w:rPr>
        <w:t>con</w:t>
      </w:r>
      <w:r>
        <w:rPr>
          <w:spacing w:val="-6"/>
          <w:sz w:val="16"/>
        </w:rPr>
        <w:t xml:space="preserve"> </w:t>
      </w:r>
      <w:r>
        <w:rPr>
          <w:sz w:val="16"/>
        </w:rPr>
        <w:t>Discapacidad,</w:t>
      </w:r>
      <w:r>
        <w:rPr>
          <w:spacing w:val="-3"/>
          <w:sz w:val="16"/>
        </w:rPr>
        <w:t xml:space="preserve"> </w:t>
      </w:r>
      <w:r>
        <w:rPr>
          <w:i/>
          <w:sz w:val="16"/>
        </w:rPr>
        <w:t>Observación</w:t>
      </w:r>
      <w:r>
        <w:rPr>
          <w:i/>
          <w:spacing w:val="-5"/>
          <w:sz w:val="16"/>
        </w:rPr>
        <w:t xml:space="preserve"> </w:t>
      </w:r>
      <w:r>
        <w:rPr>
          <w:i/>
          <w:sz w:val="16"/>
        </w:rPr>
        <w:t>general</w:t>
      </w:r>
      <w:r>
        <w:rPr>
          <w:i/>
          <w:spacing w:val="-3"/>
          <w:sz w:val="16"/>
        </w:rPr>
        <w:t xml:space="preserve"> </w:t>
      </w:r>
      <w:r>
        <w:rPr>
          <w:i/>
          <w:sz w:val="16"/>
        </w:rPr>
        <w:t>núm.</w:t>
      </w:r>
      <w:r>
        <w:rPr>
          <w:i/>
          <w:spacing w:val="-2"/>
          <w:sz w:val="16"/>
        </w:rPr>
        <w:t xml:space="preserve"> </w:t>
      </w:r>
      <w:r>
        <w:rPr>
          <w:i/>
          <w:sz w:val="16"/>
        </w:rPr>
        <w:t>6,</w:t>
      </w:r>
      <w:r>
        <w:rPr>
          <w:i/>
          <w:spacing w:val="-3"/>
          <w:sz w:val="16"/>
        </w:rPr>
        <w:t xml:space="preserve"> </w:t>
      </w:r>
      <w:r>
        <w:rPr>
          <w:i/>
          <w:sz w:val="16"/>
        </w:rPr>
        <w:t>supra</w:t>
      </w:r>
      <w:r>
        <w:rPr>
          <w:sz w:val="16"/>
        </w:rPr>
        <w:t>,</w:t>
      </w:r>
      <w:r>
        <w:rPr>
          <w:spacing w:val="-4"/>
          <w:sz w:val="16"/>
        </w:rPr>
        <w:t xml:space="preserve"> </w:t>
      </w:r>
      <w:r>
        <w:rPr>
          <w:sz w:val="16"/>
        </w:rPr>
        <w:t>párr. 14.</w:t>
      </w:r>
    </w:p>
    <w:p w14:paraId="40C42CC3" w14:textId="77777777" w:rsidR="00467FCA" w:rsidRDefault="001B68EB">
      <w:pPr>
        <w:tabs>
          <w:tab w:val="left" w:pos="1166"/>
        </w:tabs>
        <w:ind w:left="458" w:right="273"/>
        <w:jc w:val="both"/>
        <w:rPr>
          <w:sz w:val="16"/>
        </w:rPr>
      </w:pPr>
      <w:bookmarkStart w:id="886" w:name="_bookmark805"/>
      <w:bookmarkEnd w:id="886"/>
      <w:r>
        <w:rPr>
          <w:position w:val="6"/>
          <w:sz w:val="10"/>
        </w:rPr>
        <w:t>123</w:t>
      </w:r>
      <w:r>
        <w:rPr>
          <w:position w:val="6"/>
          <w:sz w:val="10"/>
        </w:rPr>
        <w:tab/>
      </w:r>
      <w:r>
        <w:rPr>
          <w:i/>
          <w:sz w:val="16"/>
        </w:rPr>
        <w:t>Cfr.</w:t>
      </w:r>
      <w:r>
        <w:rPr>
          <w:i/>
          <w:spacing w:val="-4"/>
          <w:sz w:val="16"/>
        </w:rPr>
        <w:t xml:space="preserve"> </w:t>
      </w:r>
      <w:r>
        <w:rPr>
          <w:sz w:val="16"/>
        </w:rPr>
        <w:t>Comité</w:t>
      </w:r>
      <w:r>
        <w:rPr>
          <w:spacing w:val="-3"/>
          <w:sz w:val="16"/>
        </w:rPr>
        <w:t xml:space="preserve"> </w:t>
      </w:r>
      <w:r>
        <w:rPr>
          <w:sz w:val="16"/>
        </w:rPr>
        <w:t>sobre</w:t>
      </w:r>
      <w:r>
        <w:rPr>
          <w:spacing w:val="-2"/>
          <w:sz w:val="16"/>
        </w:rPr>
        <w:t xml:space="preserve"> </w:t>
      </w:r>
      <w:r>
        <w:rPr>
          <w:sz w:val="16"/>
        </w:rPr>
        <w:t>los</w:t>
      </w:r>
      <w:r>
        <w:rPr>
          <w:spacing w:val="-3"/>
          <w:sz w:val="16"/>
        </w:rPr>
        <w:t xml:space="preserve"> </w:t>
      </w:r>
      <w:r>
        <w:rPr>
          <w:sz w:val="16"/>
        </w:rPr>
        <w:t>Derechos</w:t>
      </w:r>
      <w:r>
        <w:rPr>
          <w:spacing w:val="-2"/>
          <w:sz w:val="16"/>
        </w:rPr>
        <w:t xml:space="preserve"> </w:t>
      </w:r>
      <w:r>
        <w:rPr>
          <w:sz w:val="16"/>
        </w:rPr>
        <w:t>de</w:t>
      </w:r>
      <w:r>
        <w:rPr>
          <w:spacing w:val="-3"/>
          <w:sz w:val="16"/>
        </w:rPr>
        <w:t xml:space="preserve"> </w:t>
      </w:r>
      <w:r>
        <w:rPr>
          <w:sz w:val="16"/>
        </w:rPr>
        <w:t>las</w:t>
      </w:r>
      <w:r>
        <w:rPr>
          <w:spacing w:val="-2"/>
          <w:sz w:val="16"/>
        </w:rPr>
        <w:t xml:space="preserve"> </w:t>
      </w:r>
      <w:r>
        <w:rPr>
          <w:sz w:val="16"/>
        </w:rPr>
        <w:t>Personas</w:t>
      </w:r>
      <w:r>
        <w:rPr>
          <w:spacing w:val="-6"/>
          <w:sz w:val="16"/>
        </w:rPr>
        <w:t xml:space="preserve"> </w:t>
      </w:r>
      <w:r>
        <w:rPr>
          <w:sz w:val="16"/>
        </w:rPr>
        <w:t>con</w:t>
      </w:r>
      <w:r>
        <w:rPr>
          <w:spacing w:val="-6"/>
          <w:sz w:val="16"/>
        </w:rPr>
        <w:t xml:space="preserve"> </w:t>
      </w:r>
      <w:r>
        <w:rPr>
          <w:sz w:val="16"/>
        </w:rPr>
        <w:t>Discapacidad,</w:t>
      </w:r>
      <w:r>
        <w:rPr>
          <w:spacing w:val="-3"/>
          <w:sz w:val="16"/>
        </w:rPr>
        <w:t xml:space="preserve"> </w:t>
      </w:r>
      <w:r>
        <w:rPr>
          <w:i/>
          <w:sz w:val="16"/>
        </w:rPr>
        <w:t>Observación</w:t>
      </w:r>
      <w:r>
        <w:rPr>
          <w:i/>
          <w:spacing w:val="-5"/>
          <w:sz w:val="16"/>
        </w:rPr>
        <w:t xml:space="preserve"> </w:t>
      </w:r>
      <w:r>
        <w:rPr>
          <w:i/>
          <w:sz w:val="16"/>
        </w:rPr>
        <w:t>general</w:t>
      </w:r>
      <w:r>
        <w:rPr>
          <w:i/>
          <w:spacing w:val="-3"/>
          <w:sz w:val="16"/>
        </w:rPr>
        <w:t xml:space="preserve"> </w:t>
      </w:r>
      <w:r>
        <w:rPr>
          <w:i/>
          <w:sz w:val="16"/>
        </w:rPr>
        <w:t>núm.</w:t>
      </w:r>
      <w:r>
        <w:rPr>
          <w:i/>
          <w:spacing w:val="-2"/>
          <w:sz w:val="16"/>
        </w:rPr>
        <w:t xml:space="preserve"> </w:t>
      </w:r>
      <w:r>
        <w:rPr>
          <w:i/>
          <w:sz w:val="16"/>
        </w:rPr>
        <w:t>6,</w:t>
      </w:r>
      <w:r>
        <w:rPr>
          <w:i/>
          <w:spacing w:val="-3"/>
          <w:sz w:val="16"/>
        </w:rPr>
        <w:t xml:space="preserve"> </w:t>
      </w:r>
      <w:r>
        <w:rPr>
          <w:i/>
          <w:sz w:val="16"/>
        </w:rPr>
        <w:t>supra</w:t>
      </w:r>
      <w:r>
        <w:rPr>
          <w:sz w:val="16"/>
        </w:rPr>
        <w:t>,</w:t>
      </w:r>
      <w:r>
        <w:rPr>
          <w:spacing w:val="-4"/>
          <w:sz w:val="16"/>
        </w:rPr>
        <w:t xml:space="preserve"> </w:t>
      </w:r>
      <w:r>
        <w:rPr>
          <w:sz w:val="16"/>
        </w:rPr>
        <w:t>párr. 16.</w:t>
      </w:r>
    </w:p>
    <w:p w14:paraId="40F60696" w14:textId="77777777" w:rsidR="00467FCA" w:rsidRDefault="001B68EB">
      <w:pPr>
        <w:tabs>
          <w:tab w:val="left" w:pos="1166"/>
        </w:tabs>
        <w:ind w:left="458" w:right="271"/>
        <w:jc w:val="both"/>
        <w:rPr>
          <w:sz w:val="16"/>
        </w:rPr>
      </w:pPr>
      <w:bookmarkStart w:id="887" w:name="_bookmark806"/>
      <w:bookmarkEnd w:id="887"/>
      <w:r>
        <w:rPr>
          <w:position w:val="6"/>
          <w:sz w:val="10"/>
        </w:rPr>
        <w:t>124</w:t>
      </w:r>
      <w:r>
        <w:rPr>
          <w:position w:val="6"/>
          <w:sz w:val="10"/>
        </w:rPr>
        <w:tab/>
      </w:r>
      <w:r>
        <w:rPr>
          <w:sz w:val="16"/>
        </w:rPr>
        <w:t>Véase “Artículo 14 Prohibición de discriminación El goce de los derechos y libertades reconocidos en el presente</w:t>
      </w:r>
      <w:r>
        <w:rPr>
          <w:spacing w:val="-11"/>
          <w:sz w:val="16"/>
        </w:rPr>
        <w:t xml:space="preserve"> </w:t>
      </w:r>
      <w:r>
        <w:rPr>
          <w:sz w:val="16"/>
        </w:rPr>
        <w:t>Convenio</w:t>
      </w:r>
      <w:r>
        <w:rPr>
          <w:spacing w:val="-7"/>
          <w:sz w:val="16"/>
        </w:rPr>
        <w:t xml:space="preserve"> </w:t>
      </w:r>
      <w:r>
        <w:rPr>
          <w:sz w:val="16"/>
        </w:rPr>
        <w:t>ha</w:t>
      </w:r>
      <w:r>
        <w:rPr>
          <w:spacing w:val="-11"/>
          <w:sz w:val="16"/>
        </w:rPr>
        <w:t xml:space="preserve"> </w:t>
      </w:r>
      <w:r>
        <w:rPr>
          <w:sz w:val="16"/>
        </w:rPr>
        <w:t>de</w:t>
      </w:r>
      <w:r>
        <w:rPr>
          <w:spacing w:val="-10"/>
          <w:sz w:val="16"/>
        </w:rPr>
        <w:t xml:space="preserve"> </w:t>
      </w:r>
      <w:r>
        <w:rPr>
          <w:sz w:val="16"/>
        </w:rPr>
        <w:t>ser</w:t>
      </w:r>
      <w:r>
        <w:rPr>
          <w:spacing w:val="-10"/>
          <w:sz w:val="16"/>
        </w:rPr>
        <w:t xml:space="preserve"> </w:t>
      </w:r>
      <w:r>
        <w:rPr>
          <w:sz w:val="16"/>
        </w:rPr>
        <w:t>asegurado</w:t>
      </w:r>
      <w:r>
        <w:rPr>
          <w:spacing w:val="-9"/>
          <w:sz w:val="16"/>
        </w:rPr>
        <w:t xml:space="preserve"> </w:t>
      </w:r>
      <w:r>
        <w:rPr>
          <w:sz w:val="16"/>
        </w:rPr>
        <w:t>sin</w:t>
      </w:r>
      <w:r>
        <w:rPr>
          <w:spacing w:val="-11"/>
          <w:sz w:val="16"/>
        </w:rPr>
        <w:t xml:space="preserve"> </w:t>
      </w:r>
      <w:r>
        <w:rPr>
          <w:sz w:val="16"/>
        </w:rPr>
        <w:t>distinción</w:t>
      </w:r>
      <w:r>
        <w:rPr>
          <w:spacing w:val="-9"/>
          <w:sz w:val="16"/>
        </w:rPr>
        <w:t xml:space="preserve"> </w:t>
      </w:r>
      <w:r>
        <w:rPr>
          <w:sz w:val="16"/>
        </w:rPr>
        <w:t>alguna,</w:t>
      </w:r>
      <w:r>
        <w:rPr>
          <w:spacing w:val="-8"/>
          <w:sz w:val="16"/>
        </w:rPr>
        <w:t xml:space="preserve"> </w:t>
      </w:r>
      <w:r>
        <w:rPr>
          <w:sz w:val="16"/>
        </w:rPr>
        <w:t>especialmente</w:t>
      </w:r>
      <w:r>
        <w:rPr>
          <w:spacing w:val="-8"/>
          <w:sz w:val="16"/>
        </w:rPr>
        <w:t xml:space="preserve"> </w:t>
      </w:r>
      <w:r>
        <w:rPr>
          <w:sz w:val="16"/>
        </w:rPr>
        <w:t>por</w:t>
      </w:r>
      <w:r>
        <w:rPr>
          <w:spacing w:val="-9"/>
          <w:sz w:val="16"/>
        </w:rPr>
        <w:t xml:space="preserve"> </w:t>
      </w:r>
      <w:r>
        <w:rPr>
          <w:sz w:val="16"/>
        </w:rPr>
        <w:t>razones</w:t>
      </w:r>
      <w:r>
        <w:rPr>
          <w:spacing w:val="-10"/>
          <w:sz w:val="16"/>
        </w:rPr>
        <w:t xml:space="preserve"> </w:t>
      </w:r>
      <w:r>
        <w:rPr>
          <w:sz w:val="16"/>
        </w:rPr>
        <w:t>de</w:t>
      </w:r>
      <w:r>
        <w:rPr>
          <w:spacing w:val="-8"/>
          <w:sz w:val="16"/>
        </w:rPr>
        <w:t xml:space="preserve"> </w:t>
      </w:r>
      <w:r>
        <w:rPr>
          <w:sz w:val="16"/>
        </w:rPr>
        <w:t>sexo,</w:t>
      </w:r>
      <w:r>
        <w:rPr>
          <w:spacing w:val="-11"/>
          <w:sz w:val="16"/>
        </w:rPr>
        <w:t xml:space="preserve"> </w:t>
      </w:r>
      <w:r>
        <w:rPr>
          <w:sz w:val="16"/>
        </w:rPr>
        <w:t>raza,</w:t>
      </w:r>
      <w:r>
        <w:rPr>
          <w:spacing w:val="-12"/>
          <w:sz w:val="16"/>
        </w:rPr>
        <w:t xml:space="preserve"> </w:t>
      </w:r>
      <w:r>
        <w:rPr>
          <w:sz w:val="16"/>
        </w:rPr>
        <w:t>color,</w:t>
      </w:r>
      <w:r>
        <w:rPr>
          <w:spacing w:val="-8"/>
          <w:sz w:val="16"/>
        </w:rPr>
        <w:t xml:space="preserve"> </w:t>
      </w:r>
      <w:r>
        <w:rPr>
          <w:sz w:val="16"/>
        </w:rPr>
        <w:t>lengua, religión,</w:t>
      </w:r>
      <w:r>
        <w:rPr>
          <w:spacing w:val="-7"/>
          <w:sz w:val="16"/>
        </w:rPr>
        <w:t xml:space="preserve"> </w:t>
      </w:r>
      <w:r>
        <w:rPr>
          <w:sz w:val="16"/>
        </w:rPr>
        <w:t>opiniones</w:t>
      </w:r>
      <w:r>
        <w:rPr>
          <w:spacing w:val="-5"/>
          <w:sz w:val="16"/>
        </w:rPr>
        <w:t xml:space="preserve"> </w:t>
      </w:r>
      <w:r>
        <w:rPr>
          <w:sz w:val="16"/>
        </w:rPr>
        <w:t>políticas</w:t>
      </w:r>
      <w:r>
        <w:rPr>
          <w:spacing w:val="-3"/>
          <w:sz w:val="16"/>
        </w:rPr>
        <w:t xml:space="preserve"> </w:t>
      </w:r>
      <w:r>
        <w:rPr>
          <w:sz w:val="16"/>
        </w:rPr>
        <w:t>u</w:t>
      </w:r>
      <w:r>
        <w:rPr>
          <w:spacing w:val="-6"/>
          <w:sz w:val="16"/>
        </w:rPr>
        <w:t xml:space="preserve"> </w:t>
      </w:r>
      <w:r>
        <w:rPr>
          <w:sz w:val="16"/>
        </w:rPr>
        <w:t>otr</w:t>
      </w:r>
      <w:r>
        <w:rPr>
          <w:sz w:val="16"/>
        </w:rPr>
        <w:t>as,</w:t>
      </w:r>
      <w:r>
        <w:rPr>
          <w:spacing w:val="-6"/>
          <w:sz w:val="16"/>
        </w:rPr>
        <w:t xml:space="preserve"> </w:t>
      </w:r>
      <w:r>
        <w:rPr>
          <w:sz w:val="16"/>
        </w:rPr>
        <w:t>origen</w:t>
      </w:r>
      <w:r>
        <w:rPr>
          <w:spacing w:val="-4"/>
          <w:sz w:val="16"/>
        </w:rPr>
        <w:t xml:space="preserve"> </w:t>
      </w:r>
      <w:r>
        <w:rPr>
          <w:sz w:val="16"/>
        </w:rPr>
        <w:t>nacional</w:t>
      </w:r>
      <w:r>
        <w:rPr>
          <w:spacing w:val="-6"/>
          <w:sz w:val="16"/>
        </w:rPr>
        <w:t xml:space="preserve"> </w:t>
      </w:r>
      <w:r>
        <w:rPr>
          <w:sz w:val="16"/>
        </w:rPr>
        <w:t>o</w:t>
      </w:r>
      <w:r>
        <w:rPr>
          <w:spacing w:val="-5"/>
          <w:sz w:val="16"/>
        </w:rPr>
        <w:t xml:space="preserve"> </w:t>
      </w:r>
      <w:r>
        <w:rPr>
          <w:sz w:val="16"/>
        </w:rPr>
        <w:t>social,</w:t>
      </w:r>
      <w:r>
        <w:rPr>
          <w:spacing w:val="-3"/>
          <w:sz w:val="16"/>
        </w:rPr>
        <w:t xml:space="preserve"> </w:t>
      </w:r>
      <w:r>
        <w:rPr>
          <w:sz w:val="16"/>
        </w:rPr>
        <w:t>pertenencia</w:t>
      </w:r>
      <w:r>
        <w:rPr>
          <w:spacing w:val="-3"/>
          <w:sz w:val="16"/>
        </w:rPr>
        <w:t xml:space="preserve"> </w:t>
      </w:r>
      <w:r>
        <w:rPr>
          <w:sz w:val="16"/>
        </w:rPr>
        <w:t>a</w:t>
      </w:r>
      <w:r>
        <w:rPr>
          <w:spacing w:val="-7"/>
          <w:sz w:val="16"/>
        </w:rPr>
        <w:t xml:space="preserve"> </w:t>
      </w:r>
      <w:r>
        <w:rPr>
          <w:sz w:val="16"/>
        </w:rPr>
        <w:t>una</w:t>
      </w:r>
      <w:r>
        <w:rPr>
          <w:spacing w:val="-3"/>
          <w:sz w:val="16"/>
        </w:rPr>
        <w:t xml:space="preserve"> </w:t>
      </w:r>
      <w:r>
        <w:rPr>
          <w:sz w:val="16"/>
        </w:rPr>
        <w:t>minoría</w:t>
      </w:r>
      <w:r>
        <w:rPr>
          <w:spacing w:val="-4"/>
          <w:sz w:val="16"/>
        </w:rPr>
        <w:t xml:space="preserve"> </w:t>
      </w:r>
      <w:r>
        <w:rPr>
          <w:sz w:val="16"/>
        </w:rPr>
        <w:t>nacional,</w:t>
      </w:r>
      <w:r>
        <w:rPr>
          <w:spacing w:val="-3"/>
          <w:sz w:val="16"/>
        </w:rPr>
        <w:t xml:space="preserve"> </w:t>
      </w:r>
      <w:r>
        <w:rPr>
          <w:sz w:val="16"/>
        </w:rPr>
        <w:t>fortuna,</w:t>
      </w:r>
      <w:r>
        <w:rPr>
          <w:spacing w:val="-3"/>
          <w:sz w:val="16"/>
        </w:rPr>
        <w:t xml:space="preserve"> </w:t>
      </w:r>
      <w:r>
        <w:rPr>
          <w:sz w:val="16"/>
        </w:rPr>
        <w:t>nacimiento o cualquier  otra  situación”.  El  Protocolo  No.  12  al  Convenio  para  la  Protección  de  los  Derechos  Humanos  y</w:t>
      </w:r>
      <w:r>
        <w:rPr>
          <w:spacing w:val="-8"/>
          <w:sz w:val="16"/>
        </w:rPr>
        <w:t xml:space="preserve"> </w:t>
      </w:r>
      <w:r>
        <w:rPr>
          <w:sz w:val="16"/>
        </w:rPr>
        <w:t>de</w:t>
      </w:r>
      <w:r>
        <w:rPr>
          <w:spacing w:val="-7"/>
          <w:sz w:val="16"/>
        </w:rPr>
        <w:t xml:space="preserve"> </w:t>
      </w:r>
      <w:r>
        <w:rPr>
          <w:sz w:val="16"/>
        </w:rPr>
        <w:t>las</w:t>
      </w:r>
      <w:r>
        <w:rPr>
          <w:spacing w:val="-8"/>
          <w:sz w:val="16"/>
        </w:rPr>
        <w:t xml:space="preserve"> </w:t>
      </w:r>
      <w:r>
        <w:rPr>
          <w:sz w:val="16"/>
        </w:rPr>
        <w:t>Libertades</w:t>
      </w:r>
      <w:r>
        <w:rPr>
          <w:spacing w:val="-7"/>
          <w:sz w:val="16"/>
        </w:rPr>
        <w:t xml:space="preserve"> </w:t>
      </w:r>
      <w:r>
        <w:rPr>
          <w:sz w:val="16"/>
        </w:rPr>
        <w:t>Fundamentales</w:t>
      </w:r>
      <w:r>
        <w:rPr>
          <w:spacing w:val="-8"/>
          <w:sz w:val="16"/>
        </w:rPr>
        <w:t xml:space="preserve"> </w:t>
      </w:r>
      <w:r>
        <w:rPr>
          <w:sz w:val="16"/>
        </w:rPr>
        <w:t>Roma,</w:t>
      </w:r>
      <w:r>
        <w:rPr>
          <w:spacing w:val="-11"/>
          <w:sz w:val="16"/>
        </w:rPr>
        <w:t xml:space="preserve"> </w:t>
      </w:r>
      <w:r>
        <w:rPr>
          <w:sz w:val="16"/>
        </w:rPr>
        <w:t>4.XI.2000</w:t>
      </w:r>
      <w:r>
        <w:rPr>
          <w:spacing w:val="-7"/>
          <w:sz w:val="16"/>
        </w:rPr>
        <w:t xml:space="preserve"> </w:t>
      </w:r>
      <w:r>
        <w:rPr>
          <w:sz w:val="16"/>
        </w:rPr>
        <w:t>dispone:</w:t>
      </w:r>
      <w:r>
        <w:rPr>
          <w:spacing w:val="-6"/>
          <w:sz w:val="16"/>
        </w:rPr>
        <w:t xml:space="preserve"> </w:t>
      </w:r>
      <w:r>
        <w:rPr>
          <w:sz w:val="16"/>
        </w:rPr>
        <w:t>“Artículo</w:t>
      </w:r>
      <w:r>
        <w:rPr>
          <w:spacing w:val="-8"/>
          <w:sz w:val="16"/>
        </w:rPr>
        <w:t xml:space="preserve"> </w:t>
      </w:r>
      <w:r>
        <w:rPr>
          <w:sz w:val="16"/>
        </w:rPr>
        <w:t>1</w:t>
      </w:r>
      <w:r>
        <w:rPr>
          <w:spacing w:val="-6"/>
          <w:sz w:val="16"/>
        </w:rPr>
        <w:t xml:space="preserve"> </w:t>
      </w:r>
      <w:r>
        <w:rPr>
          <w:sz w:val="16"/>
        </w:rPr>
        <w:t>.</w:t>
      </w:r>
      <w:r>
        <w:rPr>
          <w:spacing w:val="-9"/>
          <w:sz w:val="16"/>
        </w:rPr>
        <w:t xml:space="preserve"> </w:t>
      </w:r>
      <w:r>
        <w:rPr>
          <w:sz w:val="16"/>
        </w:rPr>
        <w:t>Prohibición</w:t>
      </w:r>
      <w:r>
        <w:rPr>
          <w:spacing w:val="-8"/>
          <w:sz w:val="16"/>
        </w:rPr>
        <w:t xml:space="preserve"> </w:t>
      </w:r>
      <w:r>
        <w:rPr>
          <w:sz w:val="16"/>
        </w:rPr>
        <w:t>general</w:t>
      </w:r>
      <w:r>
        <w:rPr>
          <w:spacing w:val="-9"/>
          <w:sz w:val="16"/>
        </w:rPr>
        <w:t xml:space="preserve"> </w:t>
      </w:r>
      <w:r>
        <w:rPr>
          <w:sz w:val="16"/>
        </w:rPr>
        <w:t>de</w:t>
      </w:r>
      <w:r>
        <w:rPr>
          <w:spacing w:val="-7"/>
          <w:sz w:val="16"/>
        </w:rPr>
        <w:t xml:space="preserve"> </w:t>
      </w:r>
      <w:r>
        <w:rPr>
          <w:sz w:val="16"/>
        </w:rPr>
        <w:t>la</w:t>
      </w:r>
      <w:r>
        <w:rPr>
          <w:spacing w:val="-9"/>
          <w:sz w:val="16"/>
        </w:rPr>
        <w:t xml:space="preserve"> </w:t>
      </w:r>
      <w:r>
        <w:rPr>
          <w:sz w:val="16"/>
        </w:rPr>
        <w:t>discriminación</w:t>
      </w:r>
      <w:r>
        <w:rPr>
          <w:spacing w:val="41"/>
          <w:sz w:val="16"/>
        </w:rPr>
        <w:t xml:space="preserve"> </w:t>
      </w:r>
      <w:r>
        <w:rPr>
          <w:sz w:val="16"/>
        </w:rPr>
        <w:t xml:space="preserve">1. El goce </w:t>
      </w:r>
      <w:r>
        <w:rPr>
          <w:sz w:val="16"/>
        </w:rPr>
        <w:t>de los derechos reconocidos por la ley ha de ser asegurado sin discriminación alguna, especialmente por razones de sexo, raza, color, lengua, religión, opiniones políticas o de otro carácter, origen nacional o social, pertenencia a una minoría nacional, fo</w:t>
      </w:r>
      <w:r>
        <w:rPr>
          <w:sz w:val="16"/>
        </w:rPr>
        <w:t>rtuna, nacimiento o cualquier otra situación. Y 2. Nadie podrá ser objeto de discriminación por parte de una autoridad pública, especialmente por los motivos mencionados en el párrafo</w:t>
      </w:r>
      <w:r>
        <w:rPr>
          <w:spacing w:val="-24"/>
          <w:sz w:val="16"/>
        </w:rPr>
        <w:t xml:space="preserve"> </w:t>
      </w:r>
      <w:r>
        <w:rPr>
          <w:sz w:val="16"/>
        </w:rPr>
        <w:t>1”.</w:t>
      </w:r>
    </w:p>
    <w:p w14:paraId="396788DA" w14:textId="77777777" w:rsidR="00467FCA" w:rsidRDefault="001B68EB">
      <w:pPr>
        <w:tabs>
          <w:tab w:val="left" w:pos="1166"/>
        </w:tabs>
        <w:ind w:left="458" w:right="274"/>
        <w:jc w:val="both"/>
        <w:rPr>
          <w:sz w:val="16"/>
        </w:rPr>
      </w:pPr>
      <w:bookmarkStart w:id="888" w:name="_bookmark807"/>
      <w:bookmarkEnd w:id="888"/>
      <w:r>
        <w:rPr>
          <w:position w:val="6"/>
          <w:sz w:val="10"/>
        </w:rPr>
        <w:t>125</w:t>
      </w:r>
      <w:r>
        <w:rPr>
          <w:position w:val="6"/>
          <w:sz w:val="10"/>
        </w:rPr>
        <w:tab/>
      </w:r>
      <w:r>
        <w:rPr>
          <w:i/>
          <w:sz w:val="16"/>
        </w:rPr>
        <w:t xml:space="preserve">Cfr. </w:t>
      </w:r>
      <w:r>
        <w:rPr>
          <w:sz w:val="16"/>
        </w:rPr>
        <w:t xml:space="preserve">TEDH, </w:t>
      </w:r>
      <w:r>
        <w:rPr>
          <w:i/>
          <w:sz w:val="16"/>
        </w:rPr>
        <w:t>Caso Sejdić y Finci Vs. Bosnia -Herzegovina</w:t>
      </w:r>
      <w:r>
        <w:rPr>
          <w:sz w:val="16"/>
        </w:rPr>
        <w:t>, 22 de di</w:t>
      </w:r>
      <w:r>
        <w:rPr>
          <w:sz w:val="16"/>
        </w:rPr>
        <w:t xml:space="preserve">ciembre de 2009, párr. 53 y Caso Maktouf y </w:t>
      </w:r>
      <w:r>
        <w:rPr>
          <w:i/>
          <w:sz w:val="16"/>
        </w:rPr>
        <w:t>Damjanović Vs. Bosnia -Herzegovina</w:t>
      </w:r>
      <w:r>
        <w:rPr>
          <w:sz w:val="16"/>
        </w:rPr>
        <w:t>, 18 de julio de 2013, párr.</w:t>
      </w:r>
      <w:r>
        <w:rPr>
          <w:spacing w:val="-11"/>
          <w:sz w:val="16"/>
        </w:rPr>
        <w:t xml:space="preserve"> </w:t>
      </w:r>
      <w:r>
        <w:rPr>
          <w:sz w:val="16"/>
        </w:rPr>
        <w:t>88.</w:t>
      </w:r>
    </w:p>
    <w:p w14:paraId="53F9DD4C" w14:textId="77777777" w:rsidR="00467FCA" w:rsidRDefault="001B68EB">
      <w:pPr>
        <w:tabs>
          <w:tab w:val="left" w:pos="1166"/>
        </w:tabs>
        <w:ind w:left="458" w:right="271"/>
        <w:jc w:val="both"/>
        <w:rPr>
          <w:sz w:val="16"/>
        </w:rPr>
      </w:pPr>
      <w:bookmarkStart w:id="889" w:name="_bookmark808"/>
      <w:bookmarkEnd w:id="889"/>
      <w:r>
        <w:rPr>
          <w:position w:val="6"/>
          <w:sz w:val="10"/>
        </w:rPr>
        <w:t>126</w:t>
      </w:r>
      <w:r>
        <w:rPr>
          <w:position w:val="6"/>
          <w:sz w:val="10"/>
        </w:rPr>
        <w:tab/>
      </w:r>
      <w:r>
        <w:rPr>
          <w:i/>
          <w:sz w:val="16"/>
        </w:rPr>
        <w:t>Caso Sejdić y Finci Vs. Bosnia -Herzegovina</w:t>
      </w:r>
      <w:r>
        <w:rPr>
          <w:sz w:val="16"/>
        </w:rPr>
        <w:t>, supra, párr. 55 y 53. El concepto de discriminación es objeto de</w:t>
      </w:r>
      <w:r>
        <w:rPr>
          <w:spacing w:val="-6"/>
          <w:sz w:val="16"/>
        </w:rPr>
        <w:t xml:space="preserve"> </w:t>
      </w:r>
      <w:r>
        <w:rPr>
          <w:sz w:val="16"/>
        </w:rPr>
        <w:t>constante</w:t>
      </w:r>
      <w:r>
        <w:rPr>
          <w:spacing w:val="-5"/>
          <w:sz w:val="16"/>
        </w:rPr>
        <w:t xml:space="preserve"> </w:t>
      </w:r>
      <w:r>
        <w:rPr>
          <w:sz w:val="16"/>
        </w:rPr>
        <w:t>interpretación</w:t>
      </w:r>
      <w:r>
        <w:rPr>
          <w:spacing w:val="-9"/>
          <w:sz w:val="16"/>
        </w:rPr>
        <w:t xml:space="preserve"> </w:t>
      </w:r>
      <w:r>
        <w:rPr>
          <w:sz w:val="16"/>
        </w:rPr>
        <w:t>en</w:t>
      </w:r>
      <w:r>
        <w:rPr>
          <w:spacing w:val="-8"/>
          <w:sz w:val="16"/>
        </w:rPr>
        <w:t xml:space="preserve"> </w:t>
      </w:r>
      <w:r>
        <w:rPr>
          <w:sz w:val="16"/>
        </w:rPr>
        <w:t>la</w:t>
      </w:r>
      <w:r>
        <w:rPr>
          <w:spacing w:val="-7"/>
          <w:sz w:val="16"/>
        </w:rPr>
        <w:t xml:space="preserve"> </w:t>
      </w:r>
      <w:r>
        <w:rPr>
          <w:sz w:val="16"/>
        </w:rPr>
        <w:t>j</w:t>
      </w:r>
      <w:r>
        <w:rPr>
          <w:sz w:val="16"/>
        </w:rPr>
        <w:t>urisprudencia</w:t>
      </w:r>
      <w:r>
        <w:rPr>
          <w:spacing w:val="-8"/>
          <w:sz w:val="16"/>
        </w:rPr>
        <w:t xml:space="preserve"> </w:t>
      </w:r>
      <w:r>
        <w:rPr>
          <w:sz w:val="16"/>
        </w:rPr>
        <w:t>del</w:t>
      </w:r>
      <w:r>
        <w:rPr>
          <w:spacing w:val="-6"/>
          <w:sz w:val="16"/>
        </w:rPr>
        <w:t xml:space="preserve"> </w:t>
      </w:r>
      <w:r>
        <w:rPr>
          <w:sz w:val="16"/>
        </w:rPr>
        <w:t>Tribunal</w:t>
      </w:r>
      <w:r>
        <w:rPr>
          <w:spacing w:val="-7"/>
          <w:sz w:val="16"/>
        </w:rPr>
        <w:t xml:space="preserve"> </w:t>
      </w:r>
      <w:r>
        <w:rPr>
          <w:sz w:val="16"/>
        </w:rPr>
        <w:t>relativa</w:t>
      </w:r>
      <w:r>
        <w:rPr>
          <w:spacing w:val="-6"/>
          <w:sz w:val="16"/>
        </w:rPr>
        <w:t xml:space="preserve"> </w:t>
      </w:r>
      <w:r>
        <w:rPr>
          <w:sz w:val="16"/>
        </w:rPr>
        <w:t>al</w:t>
      </w:r>
      <w:r>
        <w:rPr>
          <w:spacing w:val="-7"/>
          <w:sz w:val="16"/>
        </w:rPr>
        <w:t xml:space="preserve"> </w:t>
      </w:r>
      <w:r>
        <w:rPr>
          <w:sz w:val="16"/>
        </w:rPr>
        <w:t>artículo</w:t>
      </w:r>
      <w:r>
        <w:rPr>
          <w:spacing w:val="-7"/>
          <w:sz w:val="16"/>
        </w:rPr>
        <w:t xml:space="preserve"> </w:t>
      </w:r>
      <w:r>
        <w:rPr>
          <w:sz w:val="16"/>
        </w:rPr>
        <w:t>14</w:t>
      </w:r>
      <w:r>
        <w:rPr>
          <w:spacing w:val="-5"/>
          <w:sz w:val="16"/>
        </w:rPr>
        <w:t xml:space="preserve"> </w:t>
      </w:r>
      <w:r>
        <w:rPr>
          <w:sz w:val="16"/>
        </w:rPr>
        <w:t>del</w:t>
      </w:r>
      <w:r>
        <w:rPr>
          <w:spacing w:val="-6"/>
          <w:sz w:val="16"/>
        </w:rPr>
        <w:t xml:space="preserve"> </w:t>
      </w:r>
      <w:r>
        <w:rPr>
          <w:sz w:val="16"/>
        </w:rPr>
        <w:t>Convenio.</w:t>
      </w:r>
      <w:r>
        <w:rPr>
          <w:spacing w:val="-6"/>
          <w:sz w:val="16"/>
        </w:rPr>
        <w:t xml:space="preserve"> </w:t>
      </w:r>
      <w:r>
        <w:rPr>
          <w:sz w:val="16"/>
        </w:rPr>
        <w:t>La</w:t>
      </w:r>
      <w:r>
        <w:rPr>
          <w:spacing w:val="-7"/>
          <w:sz w:val="16"/>
        </w:rPr>
        <w:t xml:space="preserve"> </w:t>
      </w:r>
      <w:r>
        <w:rPr>
          <w:sz w:val="16"/>
        </w:rPr>
        <w:t>jurisprudencia</w:t>
      </w:r>
      <w:r>
        <w:rPr>
          <w:spacing w:val="-6"/>
          <w:sz w:val="16"/>
        </w:rPr>
        <w:t xml:space="preserve"> </w:t>
      </w:r>
      <w:r>
        <w:rPr>
          <w:sz w:val="16"/>
        </w:rPr>
        <w:t>ha entendido que por «discriminación» se entiende un trato diferenciado, sin justificación objetiva y razonable, de personas que se encuentran en situaciones</w:t>
      </w:r>
      <w:r>
        <w:rPr>
          <w:spacing w:val="-5"/>
          <w:sz w:val="16"/>
        </w:rPr>
        <w:t xml:space="preserve"> </w:t>
      </w:r>
      <w:r>
        <w:rPr>
          <w:sz w:val="16"/>
        </w:rPr>
        <w:t>análogas</w:t>
      </w:r>
    </w:p>
    <w:p w14:paraId="33AB9F1A" w14:textId="77777777" w:rsidR="00467FCA" w:rsidRDefault="00467FCA">
      <w:pPr>
        <w:jc w:val="both"/>
        <w:rPr>
          <w:sz w:val="16"/>
        </w:rPr>
        <w:sectPr w:rsidR="00467FCA">
          <w:pgSz w:w="12240" w:h="15840"/>
          <w:pgMar w:top="1340" w:right="1140" w:bottom="920" w:left="960" w:header="0" w:footer="734" w:gutter="0"/>
          <w:cols w:space="720"/>
        </w:sectPr>
      </w:pPr>
    </w:p>
    <w:p w14:paraId="5A0370E6" w14:textId="77777777" w:rsidR="00467FCA" w:rsidRDefault="001B68EB">
      <w:pPr>
        <w:pStyle w:val="Textoindependiente"/>
        <w:spacing w:before="79"/>
        <w:ind w:left="458" w:right="274"/>
        <w:jc w:val="both"/>
      </w:pPr>
      <w:r>
        <w:t>derecho nacional; ii. en el goce de cualquier derecho derivado de obligacio</w:t>
      </w:r>
      <w:r>
        <w:t>nes claras de las autoridades</w:t>
      </w:r>
      <w:r>
        <w:rPr>
          <w:spacing w:val="-4"/>
        </w:rPr>
        <w:t xml:space="preserve"> </w:t>
      </w:r>
      <w:r>
        <w:t>en</w:t>
      </w:r>
      <w:r>
        <w:rPr>
          <w:spacing w:val="-4"/>
        </w:rPr>
        <w:t xml:space="preserve"> </w:t>
      </w:r>
      <w:r>
        <w:t>el</w:t>
      </w:r>
      <w:r>
        <w:rPr>
          <w:spacing w:val="-4"/>
        </w:rPr>
        <w:t xml:space="preserve"> </w:t>
      </w:r>
      <w:r>
        <w:t>derecho</w:t>
      </w:r>
      <w:r>
        <w:rPr>
          <w:spacing w:val="-6"/>
        </w:rPr>
        <w:t xml:space="preserve"> </w:t>
      </w:r>
      <w:r>
        <w:t>nacional,</w:t>
      </w:r>
      <w:r>
        <w:rPr>
          <w:spacing w:val="-3"/>
        </w:rPr>
        <w:t xml:space="preserve"> </w:t>
      </w:r>
      <w:r>
        <w:t>es</w:t>
      </w:r>
      <w:r>
        <w:rPr>
          <w:spacing w:val="-6"/>
        </w:rPr>
        <w:t xml:space="preserve"> </w:t>
      </w:r>
      <w:r>
        <w:t>decir,</w:t>
      </w:r>
      <w:r>
        <w:rPr>
          <w:spacing w:val="-5"/>
        </w:rPr>
        <w:t xml:space="preserve"> </w:t>
      </w:r>
      <w:r>
        <w:t>cuando</w:t>
      </w:r>
      <w:r>
        <w:rPr>
          <w:spacing w:val="-6"/>
        </w:rPr>
        <w:t xml:space="preserve"> </w:t>
      </w:r>
      <w:r>
        <w:t>la</w:t>
      </w:r>
      <w:r>
        <w:rPr>
          <w:spacing w:val="-5"/>
        </w:rPr>
        <w:t xml:space="preserve"> </w:t>
      </w:r>
      <w:r>
        <w:t>ley</w:t>
      </w:r>
      <w:r>
        <w:rPr>
          <w:spacing w:val="-5"/>
        </w:rPr>
        <w:t xml:space="preserve"> </w:t>
      </w:r>
      <w:r>
        <w:t>nacional</w:t>
      </w:r>
      <w:r>
        <w:rPr>
          <w:spacing w:val="-5"/>
        </w:rPr>
        <w:t xml:space="preserve"> </w:t>
      </w:r>
      <w:r>
        <w:t>obliga</w:t>
      </w:r>
      <w:r>
        <w:rPr>
          <w:spacing w:val="-4"/>
        </w:rPr>
        <w:t xml:space="preserve"> </w:t>
      </w:r>
      <w:r>
        <w:t>a</w:t>
      </w:r>
      <w:r>
        <w:rPr>
          <w:spacing w:val="-5"/>
        </w:rPr>
        <w:t xml:space="preserve"> </w:t>
      </w:r>
      <w:r>
        <w:t>esas</w:t>
      </w:r>
      <w:r>
        <w:rPr>
          <w:spacing w:val="-3"/>
        </w:rPr>
        <w:t xml:space="preserve"> </w:t>
      </w:r>
      <w:r>
        <w:t>autoridades a actuar de cierta manera; [y] iv. debido a otros actos u omisiones por parte de las autoridades</w:t>
      </w:r>
      <w:hyperlink w:anchor="_bookmark809" w:history="1">
        <w:r>
          <w:rPr>
            <w:position w:val="7"/>
            <w:sz w:val="13"/>
          </w:rPr>
          <w:t>127</w:t>
        </w:r>
      </w:hyperlink>
      <w:r>
        <w:t>.</w:t>
      </w:r>
    </w:p>
    <w:p w14:paraId="510F1A32" w14:textId="77777777" w:rsidR="00467FCA" w:rsidRDefault="00467FCA">
      <w:pPr>
        <w:pStyle w:val="Textoindependiente"/>
        <w:spacing w:before="11"/>
        <w:rPr>
          <w:sz w:val="19"/>
        </w:rPr>
      </w:pPr>
    </w:p>
    <w:p w14:paraId="4B6CC68E" w14:textId="77777777" w:rsidR="00467FCA" w:rsidRDefault="001B68EB">
      <w:pPr>
        <w:pStyle w:val="Prrafodelista"/>
        <w:numPr>
          <w:ilvl w:val="0"/>
          <w:numId w:val="4"/>
        </w:numPr>
        <w:tabs>
          <w:tab w:val="left" w:pos="1167"/>
        </w:tabs>
        <w:ind w:right="274" w:firstLine="0"/>
        <w:jc w:val="both"/>
        <w:rPr>
          <w:sz w:val="20"/>
        </w:rPr>
      </w:pPr>
      <w:r>
        <w:rPr>
          <w:sz w:val="20"/>
        </w:rPr>
        <w:t>Ahora bien el referido Informe especificó que, en principio, “el artículo 1 garantiza la protección contra la discriminación por parte de las autoridades. Este artículo no pretende imponer a las Partes la obligación positiva general de tomar medidas para e</w:t>
      </w:r>
      <w:r>
        <w:rPr>
          <w:sz w:val="20"/>
        </w:rPr>
        <w:t>vitar o poner fin a cualquier caso de discriminación en las relaciones entre particulares”</w:t>
      </w:r>
      <w:hyperlink w:anchor="_bookmark810" w:history="1">
        <w:r>
          <w:rPr>
            <w:position w:val="7"/>
            <w:sz w:val="13"/>
          </w:rPr>
          <w:t>128</w:t>
        </w:r>
      </w:hyperlink>
      <w:r>
        <w:rPr>
          <w:sz w:val="20"/>
        </w:rPr>
        <w:t>. Sin embargo, consideró</w:t>
      </w:r>
      <w:r>
        <w:rPr>
          <w:spacing w:val="-3"/>
          <w:sz w:val="20"/>
        </w:rPr>
        <w:t xml:space="preserve"> </w:t>
      </w:r>
      <w:r>
        <w:rPr>
          <w:sz w:val="20"/>
        </w:rPr>
        <w:t>que:</w:t>
      </w:r>
    </w:p>
    <w:p w14:paraId="270A1FFC" w14:textId="77777777" w:rsidR="00467FCA" w:rsidRDefault="00467FCA">
      <w:pPr>
        <w:pStyle w:val="Textoindependiente"/>
        <w:spacing w:before="12"/>
        <w:rPr>
          <w:sz w:val="22"/>
        </w:rPr>
      </w:pPr>
    </w:p>
    <w:p w14:paraId="4A79DDB0" w14:textId="77777777" w:rsidR="00467FCA" w:rsidRDefault="001B68EB">
      <w:pPr>
        <w:ind w:left="1166" w:right="887"/>
        <w:jc w:val="both"/>
        <w:rPr>
          <w:i/>
          <w:sz w:val="16"/>
        </w:rPr>
      </w:pPr>
      <w:r>
        <w:rPr>
          <w:sz w:val="16"/>
        </w:rPr>
        <w:t xml:space="preserve">26. […] </w:t>
      </w:r>
      <w:r>
        <w:rPr>
          <w:i/>
          <w:sz w:val="16"/>
        </w:rPr>
        <w:t>no se puede descartar totalmente que el deber de «asegurar» que figura en el primer apartado</w:t>
      </w:r>
      <w:r>
        <w:rPr>
          <w:i/>
          <w:spacing w:val="-5"/>
          <w:sz w:val="16"/>
        </w:rPr>
        <w:t xml:space="preserve"> </w:t>
      </w:r>
      <w:r>
        <w:rPr>
          <w:i/>
          <w:sz w:val="16"/>
        </w:rPr>
        <w:t>del</w:t>
      </w:r>
      <w:r>
        <w:rPr>
          <w:i/>
          <w:spacing w:val="-6"/>
          <w:sz w:val="16"/>
        </w:rPr>
        <w:t xml:space="preserve"> </w:t>
      </w:r>
      <w:r>
        <w:rPr>
          <w:i/>
          <w:sz w:val="16"/>
        </w:rPr>
        <w:t>artículo</w:t>
      </w:r>
      <w:r>
        <w:rPr>
          <w:i/>
          <w:spacing w:val="-8"/>
          <w:sz w:val="16"/>
        </w:rPr>
        <w:t xml:space="preserve"> </w:t>
      </w:r>
      <w:r>
        <w:rPr>
          <w:i/>
          <w:sz w:val="16"/>
        </w:rPr>
        <w:t>1</w:t>
      </w:r>
      <w:r>
        <w:rPr>
          <w:i/>
          <w:spacing w:val="-4"/>
          <w:sz w:val="16"/>
        </w:rPr>
        <w:t xml:space="preserve"> </w:t>
      </w:r>
      <w:r>
        <w:rPr>
          <w:i/>
          <w:sz w:val="16"/>
        </w:rPr>
        <w:t>implique</w:t>
      </w:r>
      <w:r>
        <w:rPr>
          <w:i/>
          <w:spacing w:val="-6"/>
          <w:sz w:val="16"/>
        </w:rPr>
        <w:t xml:space="preserve"> </w:t>
      </w:r>
      <w:r>
        <w:rPr>
          <w:i/>
          <w:sz w:val="16"/>
        </w:rPr>
        <w:t>obligaciones</w:t>
      </w:r>
      <w:r>
        <w:rPr>
          <w:i/>
          <w:spacing w:val="-7"/>
          <w:sz w:val="16"/>
        </w:rPr>
        <w:t xml:space="preserve"> </w:t>
      </w:r>
      <w:r>
        <w:rPr>
          <w:i/>
          <w:sz w:val="16"/>
        </w:rPr>
        <w:t>positivas.</w:t>
      </w:r>
      <w:r>
        <w:rPr>
          <w:i/>
          <w:spacing w:val="-6"/>
          <w:sz w:val="16"/>
        </w:rPr>
        <w:t xml:space="preserve"> </w:t>
      </w:r>
      <w:r>
        <w:rPr>
          <w:sz w:val="16"/>
        </w:rPr>
        <w:t>Esta</w:t>
      </w:r>
      <w:r>
        <w:rPr>
          <w:spacing w:val="-9"/>
          <w:sz w:val="16"/>
        </w:rPr>
        <w:t xml:space="preserve"> </w:t>
      </w:r>
      <w:r>
        <w:rPr>
          <w:sz w:val="16"/>
        </w:rPr>
        <w:t>cuestión</w:t>
      </w:r>
      <w:r>
        <w:rPr>
          <w:spacing w:val="-6"/>
          <w:sz w:val="16"/>
        </w:rPr>
        <w:t xml:space="preserve"> </w:t>
      </w:r>
      <w:r>
        <w:rPr>
          <w:sz w:val="16"/>
        </w:rPr>
        <w:t>puede</w:t>
      </w:r>
      <w:r>
        <w:rPr>
          <w:spacing w:val="-7"/>
          <w:sz w:val="16"/>
        </w:rPr>
        <w:t xml:space="preserve"> </w:t>
      </w:r>
      <w:r>
        <w:rPr>
          <w:sz w:val="16"/>
        </w:rPr>
        <w:t>plantearse,</w:t>
      </w:r>
      <w:r>
        <w:rPr>
          <w:spacing w:val="-9"/>
          <w:sz w:val="16"/>
        </w:rPr>
        <w:t xml:space="preserve"> </w:t>
      </w:r>
      <w:r>
        <w:rPr>
          <w:i/>
          <w:sz w:val="16"/>
        </w:rPr>
        <w:t>por</w:t>
      </w:r>
      <w:r>
        <w:rPr>
          <w:i/>
          <w:spacing w:val="-4"/>
          <w:sz w:val="16"/>
        </w:rPr>
        <w:t xml:space="preserve"> </w:t>
      </w:r>
      <w:r>
        <w:rPr>
          <w:i/>
          <w:sz w:val="16"/>
        </w:rPr>
        <w:t>ejemplo, cuando exista un vacío manifiesto en la protección ofrecida por el der</w:t>
      </w:r>
      <w:r>
        <w:rPr>
          <w:i/>
          <w:sz w:val="16"/>
        </w:rPr>
        <w:t>echo nacional contra la discriminación. Por lo que se refiere más específicamente a las relaciones entre particulares, la ausencia de protección contra la discriminación en esas relaciones podría ser tan neta y grave que implicaría claramente la responsabi</w:t>
      </w:r>
      <w:r>
        <w:rPr>
          <w:i/>
          <w:sz w:val="16"/>
        </w:rPr>
        <w:t>lidad del Estado y pondría en juego el artículo 1 del</w:t>
      </w:r>
      <w:r>
        <w:rPr>
          <w:i/>
          <w:spacing w:val="-27"/>
          <w:sz w:val="16"/>
        </w:rPr>
        <w:t xml:space="preserve"> </w:t>
      </w:r>
      <w:r>
        <w:rPr>
          <w:i/>
          <w:sz w:val="16"/>
        </w:rPr>
        <w:t>Protocolo.</w:t>
      </w:r>
    </w:p>
    <w:p w14:paraId="403A8C4B" w14:textId="77777777" w:rsidR="00467FCA" w:rsidRDefault="00467FCA">
      <w:pPr>
        <w:pStyle w:val="Textoindependiente"/>
        <w:spacing w:before="1"/>
        <w:rPr>
          <w:i/>
          <w:sz w:val="23"/>
        </w:rPr>
      </w:pPr>
    </w:p>
    <w:p w14:paraId="2124ED8B" w14:textId="77777777" w:rsidR="00467FCA" w:rsidRDefault="001B68EB">
      <w:pPr>
        <w:ind w:left="1166"/>
        <w:rPr>
          <w:sz w:val="16"/>
        </w:rPr>
      </w:pPr>
      <w:r>
        <w:rPr>
          <w:sz w:val="16"/>
        </w:rPr>
        <w:t>[…]</w:t>
      </w:r>
    </w:p>
    <w:p w14:paraId="20B9AE3D" w14:textId="77777777" w:rsidR="00467FCA" w:rsidRDefault="00467FCA">
      <w:pPr>
        <w:pStyle w:val="Textoindependiente"/>
        <w:spacing w:before="1"/>
        <w:rPr>
          <w:sz w:val="23"/>
        </w:rPr>
      </w:pPr>
    </w:p>
    <w:p w14:paraId="0E5E0B3E" w14:textId="77777777" w:rsidR="00467FCA" w:rsidRDefault="001B68EB">
      <w:pPr>
        <w:ind w:left="1166" w:right="886"/>
        <w:jc w:val="both"/>
        <w:rPr>
          <w:sz w:val="16"/>
        </w:rPr>
      </w:pPr>
      <w:r>
        <w:rPr>
          <w:sz w:val="16"/>
        </w:rPr>
        <w:t>28.</w:t>
      </w:r>
      <w:r>
        <w:rPr>
          <w:spacing w:val="-13"/>
          <w:sz w:val="16"/>
        </w:rPr>
        <w:t xml:space="preserve"> </w:t>
      </w:r>
      <w:r>
        <w:rPr>
          <w:i/>
          <w:sz w:val="16"/>
        </w:rPr>
        <w:t>Se</w:t>
      </w:r>
      <w:r>
        <w:rPr>
          <w:i/>
          <w:spacing w:val="-14"/>
          <w:sz w:val="16"/>
        </w:rPr>
        <w:t xml:space="preserve"> </w:t>
      </w:r>
      <w:r>
        <w:rPr>
          <w:i/>
          <w:sz w:val="16"/>
        </w:rPr>
        <w:t>desprende</w:t>
      </w:r>
      <w:r>
        <w:rPr>
          <w:i/>
          <w:spacing w:val="-11"/>
          <w:sz w:val="16"/>
        </w:rPr>
        <w:t xml:space="preserve"> </w:t>
      </w:r>
      <w:r>
        <w:rPr>
          <w:i/>
          <w:sz w:val="16"/>
        </w:rPr>
        <w:t>de</w:t>
      </w:r>
      <w:r>
        <w:rPr>
          <w:i/>
          <w:spacing w:val="-12"/>
          <w:sz w:val="16"/>
        </w:rPr>
        <w:t xml:space="preserve"> </w:t>
      </w:r>
      <w:r>
        <w:rPr>
          <w:i/>
          <w:sz w:val="16"/>
        </w:rPr>
        <w:t>estas</w:t>
      </w:r>
      <w:r>
        <w:rPr>
          <w:i/>
          <w:spacing w:val="-12"/>
          <w:sz w:val="16"/>
        </w:rPr>
        <w:t xml:space="preserve"> </w:t>
      </w:r>
      <w:r>
        <w:rPr>
          <w:i/>
          <w:sz w:val="16"/>
        </w:rPr>
        <w:t>consideraciones</w:t>
      </w:r>
      <w:r>
        <w:rPr>
          <w:i/>
          <w:spacing w:val="-11"/>
          <w:sz w:val="16"/>
        </w:rPr>
        <w:t xml:space="preserve"> </w:t>
      </w:r>
      <w:r>
        <w:rPr>
          <w:i/>
          <w:sz w:val="16"/>
        </w:rPr>
        <w:t>que</w:t>
      </w:r>
      <w:r>
        <w:rPr>
          <w:i/>
          <w:spacing w:val="-12"/>
          <w:sz w:val="16"/>
        </w:rPr>
        <w:t xml:space="preserve"> </w:t>
      </w:r>
      <w:r>
        <w:rPr>
          <w:i/>
          <w:sz w:val="16"/>
        </w:rPr>
        <w:t>toda</w:t>
      </w:r>
      <w:r>
        <w:rPr>
          <w:i/>
          <w:spacing w:val="-13"/>
          <w:sz w:val="16"/>
        </w:rPr>
        <w:t xml:space="preserve"> </w:t>
      </w:r>
      <w:r>
        <w:rPr>
          <w:i/>
          <w:sz w:val="16"/>
        </w:rPr>
        <w:t>obligación</w:t>
      </w:r>
      <w:r>
        <w:rPr>
          <w:i/>
          <w:spacing w:val="-12"/>
          <w:sz w:val="16"/>
        </w:rPr>
        <w:t xml:space="preserve"> </w:t>
      </w:r>
      <w:r>
        <w:rPr>
          <w:i/>
          <w:sz w:val="16"/>
        </w:rPr>
        <w:t>positiva</w:t>
      </w:r>
      <w:r>
        <w:rPr>
          <w:i/>
          <w:spacing w:val="-13"/>
          <w:sz w:val="16"/>
        </w:rPr>
        <w:t xml:space="preserve"> </w:t>
      </w:r>
      <w:r>
        <w:rPr>
          <w:i/>
          <w:sz w:val="16"/>
        </w:rPr>
        <w:t>en</w:t>
      </w:r>
      <w:r>
        <w:rPr>
          <w:i/>
          <w:spacing w:val="-12"/>
          <w:sz w:val="16"/>
        </w:rPr>
        <w:t xml:space="preserve"> </w:t>
      </w:r>
      <w:r>
        <w:rPr>
          <w:i/>
          <w:sz w:val="16"/>
        </w:rPr>
        <w:t>el</w:t>
      </w:r>
      <w:r>
        <w:rPr>
          <w:i/>
          <w:spacing w:val="-13"/>
          <w:sz w:val="16"/>
        </w:rPr>
        <w:t xml:space="preserve"> </w:t>
      </w:r>
      <w:r>
        <w:rPr>
          <w:i/>
          <w:sz w:val="16"/>
        </w:rPr>
        <w:t>ámbito</w:t>
      </w:r>
      <w:r>
        <w:rPr>
          <w:i/>
          <w:spacing w:val="-11"/>
          <w:sz w:val="16"/>
        </w:rPr>
        <w:t xml:space="preserve"> </w:t>
      </w:r>
      <w:r>
        <w:rPr>
          <w:i/>
          <w:sz w:val="16"/>
        </w:rPr>
        <w:t>de</w:t>
      </w:r>
      <w:r>
        <w:rPr>
          <w:i/>
          <w:spacing w:val="-9"/>
          <w:sz w:val="16"/>
        </w:rPr>
        <w:t xml:space="preserve"> </w:t>
      </w:r>
      <w:r>
        <w:rPr>
          <w:i/>
          <w:sz w:val="16"/>
        </w:rPr>
        <w:t>las</w:t>
      </w:r>
      <w:r>
        <w:rPr>
          <w:i/>
          <w:spacing w:val="-14"/>
          <w:sz w:val="16"/>
        </w:rPr>
        <w:t xml:space="preserve"> </w:t>
      </w:r>
      <w:r>
        <w:rPr>
          <w:i/>
          <w:sz w:val="16"/>
        </w:rPr>
        <w:t xml:space="preserve">relaciones </w:t>
      </w:r>
      <w:r>
        <w:rPr>
          <w:i/>
          <w:sz w:val="16"/>
        </w:rPr>
        <w:t xml:space="preserve">entre particulares se referiría, en el mejor de los casos, a las relaciones en la esfera pública normalmente regida por la ley, por la que el Estado tiene cierta responsabilidad. </w:t>
      </w:r>
      <w:r>
        <w:rPr>
          <w:sz w:val="16"/>
        </w:rPr>
        <w:t>[…] La manera precisa</w:t>
      </w:r>
      <w:r>
        <w:rPr>
          <w:spacing w:val="-16"/>
          <w:sz w:val="16"/>
        </w:rPr>
        <w:t xml:space="preserve"> </w:t>
      </w:r>
      <w:r>
        <w:rPr>
          <w:sz w:val="16"/>
        </w:rPr>
        <w:t>en</w:t>
      </w:r>
      <w:r>
        <w:rPr>
          <w:spacing w:val="-15"/>
          <w:sz w:val="16"/>
        </w:rPr>
        <w:t xml:space="preserve"> </w:t>
      </w:r>
      <w:r>
        <w:rPr>
          <w:sz w:val="16"/>
        </w:rPr>
        <w:t>que</w:t>
      </w:r>
      <w:r>
        <w:rPr>
          <w:spacing w:val="-14"/>
          <w:sz w:val="16"/>
        </w:rPr>
        <w:t xml:space="preserve"> </w:t>
      </w:r>
      <w:r>
        <w:rPr>
          <w:sz w:val="16"/>
        </w:rPr>
        <w:t>el</w:t>
      </w:r>
      <w:r>
        <w:rPr>
          <w:spacing w:val="-14"/>
          <w:sz w:val="16"/>
        </w:rPr>
        <w:t xml:space="preserve"> </w:t>
      </w:r>
      <w:r>
        <w:rPr>
          <w:sz w:val="16"/>
        </w:rPr>
        <w:t>Estado</w:t>
      </w:r>
      <w:r>
        <w:rPr>
          <w:spacing w:val="-14"/>
          <w:sz w:val="16"/>
        </w:rPr>
        <w:t xml:space="preserve"> </w:t>
      </w:r>
      <w:r>
        <w:rPr>
          <w:sz w:val="16"/>
        </w:rPr>
        <w:t>debería</w:t>
      </w:r>
      <w:r>
        <w:rPr>
          <w:spacing w:val="-13"/>
          <w:sz w:val="16"/>
        </w:rPr>
        <w:t xml:space="preserve"> </w:t>
      </w:r>
      <w:r>
        <w:rPr>
          <w:sz w:val="16"/>
        </w:rPr>
        <w:t>responder</w:t>
      </w:r>
      <w:r>
        <w:rPr>
          <w:spacing w:val="-14"/>
          <w:sz w:val="16"/>
        </w:rPr>
        <w:t xml:space="preserve"> </w:t>
      </w:r>
      <w:r>
        <w:rPr>
          <w:sz w:val="16"/>
        </w:rPr>
        <w:t>variará</w:t>
      </w:r>
      <w:r>
        <w:rPr>
          <w:spacing w:val="-16"/>
          <w:sz w:val="16"/>
        </w:rPr>
        <w:t xml:space="preserve"> </w:t>
      </w:r>
      <w:r>
        <w:rPr>
          <w:sz w:val="16"/>
        </w:rPr>
        <w:t>según</w:t>
      </w:r>
      <w:r>
        <w:rPr>
          <w:spacing w:val="-13"/>
          <w:sz w:val="16"/>
        </w:rPr>
        <w:t xml:space="preserve"> </w:t>
      </w:r>
      <w:r>
        <w:rPr>
          <w:sz w:val="16"/>
        </w:rPr>
        <w:t>las</w:t>
      </w:r>
      <w:r>
        <w:rPr>
          <w:spacing w:val="-17"/>
          <w:sz w:val="16"/>
        </w:rPr>
        <w:t xml:space="preserve"> </w:t>
      </w:r>
      <w:r>
        <w:rPr>
          <w:sz w:val="16"/>
        </w:rPr>
        <w:t>ci</w:t>
      </w:r>
      <w:r>
        <w:rPr>
          <w:sz w:val="16"/>
        </w:rPr>
        <w:t>rcunstancias.</w:t>
      </w:r>
      <w:r>
        <w:rPr>
          <w:spacing w:val="-13"/>
          <w:sz w:val="16"/>
        </w:rPr>
        <w:t xml:space="preserve"> </w:t>
      </w:r>
      <w:r>
        <w:rPr>
          <w:sz w:val="16"/>
        </w:rPr>
        <w:t>Está</w:t>
      </w:r>
      <w:r>
        <w:rPr>
          <w:spacing w:val="-16"/>
          <w:sz w:val="16"/>
        </w:rPr>
        <w:t xml:space="preserve"> </w:t>
      </w:r>
      <w:r>
        <w:rPr>
          <w:sz w:val="16"/>
        </w:rPr>
        <w:t>claro</w:t>
      </w:r>
      <w:r>
        <w:rPr>
          <w:spacing w:val="-14"/>
          <w:sz w:val="16"/>
        </w:rPr>
        <w:t xml:space="preserve"> </w:t>
      </w:r>
      <w:r>
        <w:rPr>
          <w:sz w:val="16"/>
        </w:rPr>
        <w:t>que</w:t>
      </w:r>
      <w:r>
        <w:rPr>
          <w:spacing w:val="-17"/>
          <w:sz w:val="16"/>
        </w:rPr>
        <w:t xml:space="preserve"> </w:t>
      </w:r>
      <w:r>
        <w:rPr>
          <w:sz w:val="16"/>
        </w:rPr>
        <w:t>no</w:t>
      </w:r>
      <w:r>
        <w:rPr>
          <w:spacing w:val="-14"/>
          <w:sz w:val="16"/>
        </w:rPr>
        <w:t xml:space="preserve"> </w:t>
      </w:r>
      <w:r>
        <w:rPr>
          <w:sz w:val="16"/>
        </w:rPr>
        <w:t>pueden verse afectados los asuntos puramente privados. […]</w:t>
      </w:r>
      <w:hyperlink w:anchor="_bookmark811" w:history="1">
        <w:r>
          <w:rPr>
            <w:position w:val="6"/>
            <w:sz w:val="10"/>
          </w:rPr>
          <w:t>129</w:t>
        </w:r>
      </w:hyperlink>
      <w:r>
        <w:rPr>
          <w:position w:val="6"/>
          <w:sz w:val="10"/>
        </w:rPr>
        <w:t xml:space="preserve"> </w:t>
      </w:r>
      <w:r>
        <w:rPr>
          <w:sz w:val="16"/>
        </w:rPr>
        <w:t>(énfasis</w:t>
      </w:r>
      <w:r>
        <w:rPr>
          <w:spacing w:val="-17"/>
          <w:sz w:val="16"/>
        </w:rPr>
        <w:t xml:space="preserve"> </w:t>
      </w:r>
      <w:r>
        <w:rPr>
          <w:sz w:val="16"/>
        </w:rPr>
        <w:t>añadido).</w:t>
      </w:r>
    </w:p>
    <w:p w14:paraId="48E1FC06" w14:textId="77777777" w:rsidR="00467FCA" w:rsidRDefault="00467FCA">
      <w:pPr>
        <w:pStyle w:val="Textoindependiente"/>
        <w:spacing w:before="1"/>
        <w:rPr>
          <w:sz w:val="23"/>
        </w:rPr>
      </w:pPr>
    </w:p>
    <w:p w14:paraId="208E5C5B" w14:textId="77777777" w:rsidR="00467FCA" w:rsidRDefault="001B68EB">
      <w:pPr>
        <w:pStyle w:val="Prrafodelista"/>
        <w:numPr>
          <w:ilvl w:val="0"/>
          <w:numId w:val="4"/>
        </w:numPr>
        <w:tabs>
          <w:tab w:val="left" w:pos="1167"/>
        </w:tabs>
        <w:spacing w:before="1"/>
        <w:ind w:right="273" w:firstLine="0"/>
        <w:jc w:val="both"/>
        <w:rPr>
          <w:sz w:val="20"/>
        </w:rPr>
      </w:pPr>
      <w:r>
        <w:rPr>
          <w:sz w:val="20"/>
        </w:rPr>
        <w:t>Por otro lado, un aspecto a destacar se encuentra en la Carta Social, ya que dicho instrumento solo contiene u</w:t>
      </w:r>
      <w:r>
        <w:rPr>
          <w:sz w:val="20"/>
        </w:rPr>
        <w:t>na “cláusula de no discriminación” (art. E), en similar sentido al artículo</w:t>
      </w:r>
      <w:r>
        <w:rPr>
          <w:spacing w:val="-10"/>
          <w:sz w:val="20"/>
        </w:rPr>
        <w:t xml:space="preserve"> </w:t>
      </w:r>
      <w:r>
        <w:rPr>
          <w:sz w:val="20"/>
        </w:rPr>
        <w:t>1.1</w:t>
      </w:r>
      <w:r>
        <w:rPr>
          <w:spacing w:val="-7"/>
          <w:sz w:val="20"/>
        </w:rPr>
        <w:t xml:space="preserve"> </w:t>
      </w:r>
      <w:r>
        <w:rPr>
          <w:sz w:val="20"/>
        </w:rPr>
        <w:t>de</w:t>
      </w:r>
      <w:r>
        <w:rPr>
          <w:spacing w:val="-7"/>
          <w:sz w:val="20"/>
        </w:rPr>
        <w:t xml:space="preserve"> </w:t>
      </w:r>
      <w:r>
        <w:rPr>
          <w:sz w:val="20"/>
        </w:rPr>
        <w:t>la</w:t>
      </w:r>
      <w:r>
        <w:rPr>
          <w:spacing w:val="-9"/>
          <w:sz w:val="20"/>
        </w:rPr>
        <w:t xml:space="preserve"> </w:t>
      </w:r>
      <w:r>
        <w:rPr>
          <w:sz w:val="20"/>
        </w:rPr>
        <w:t>Convención</w:t>
      </w:r>
      <w:r>
        <w:rPr>
          <w:spacing w:val="-7"/>
          <w:sz w:val="20"/>
        </w:rPr>
        <w:t xml:space="preserve"> </w:t>
      </w:r>
      <w:r>
        <w:rPr>
          <w:sz w:val="20"/>
        </w:rPr>
        <w:t>Americana.</w:t>
      </w:r>
      <w:r>
        <w:rPr>
          <w:spacing w:val="-6"/>
          <w:sz w:val="20"/>
        </w:rPr>
        <w:t xml:space="preserve"> </w:t>
      </w:r>
      <w:r>
        <w:rPr>
          <w:sz w:val="20"/>
        </w:rPr>
        <w:t>Sin</w:t>
      </w:r>
      <w:r>
        <w:rPr>
          <w:spacing w:val="-8"/>
          <w:sz w:val="20"/>
        </w:rPr>
        <w:t xml:space="preserve"> </w:t>
      </w:r>
      <w:r>
        <w:rPr>
          <w:sz w:val="20"/>
        </w:rPr>
        <w:t>embargo,</w:t>
      </w:r>
      <w:r>
        <w:rPr>
          <w:spacing w:val="-6"/>
          <w:sz w:val="20"/>
        </w:rPr>
        <w:t xml:space="preserve"> </w:t>
      </w:r>
      <w:r>
        <w:rPr>
          <w:sz w:val="20"/>
        </w:rPr>
        <w:t>a</w:t>
      </w:r>
      <w:r>
        <w:rPr>
          <w:spacing w:val="-8"/>
          <w:sz w:val="20"/>
        </w:rPr>
        <w:t xml:space="preserve"> </w:t>
      </w:r>
      <w:r>
        <w:rPr>
          <w:sz w:val="20"/>
        </w:rPr>
        <w:t>partir</w:t>
      </w:r>
      <w:r>
        <w:rPr>
          <w:spacing w:val="-10"/>
          <w:sz w:val="20"/>
        </w:rPr>
        <w:t xml:space="preserve"> </w:t>
      </w:r>
      <w:r>
        <w:rPr>
          <w:sz w:val="20"/>
        </w:rPr>
        <w:t>de</w:t>
      </w:r>
      <w:r>
        <w:rPr>
          <w:spacing w:val="-9"/>
          <w:sz w:val="20"/>
        </w:rPr>
        <w:t xml:space="preserve"> </w:t>
      </w:r>
      <w:r>
        <w:rPr>
          <w:sz w:val="20"/>
        </w:rPr>
        <w:t>dicha</w:t>
      </w:r>
      <w:r>
        <w:rPr>
          <w:spacing w:val="-8"/>
          <w:sz w:val="20"/>
        </w:rPr>
        <w:t xml:space="preserve"> </w:t>
      </w:r>
      <w:r>
        <w:rPr>
          <w:sz w:val="20"/>
        </w:rPr>
        <w:t>disposición</w:t>
      </w:r>
      <w:r>
        <w:rPr>
          <w:spacing w:val="-5"/>
          <w:sz w:val="20"/>
        </w:rPr>
        <w:t xml:space="preserve"> </w:t>
      </w:r>
      <w:r>
        <w:rPr>
          <w:sz w:val="20"/>
        </w:rPr>
        <w:t>el</w:t>
      </w:r>
      <w:r>
        <w:rPr>
          <w:spacing w:val="-8"/>
          <w:sz w:val="20"/>
        </w:rPr>
        <w:t xml:space="preserve"> </w:t>
      </w:r>
      <w:r>
        <w:rPr>
          <w:sz w:val="20"/>
        </w:rPr>
        <w:t>Comité ha</w:t>
      </w:r>
      <w:r>
        <w:rPr>
          <w:spacing w:val="-5"/>
          <w:sz w:val="20"/>
        </w:rPr>
        <w:t xml:space="preserve"> </w:t>
      </w:r>
      <w:r>
        <w:rPr>
          <w:sz w:val="20"/>
        </w:rPr>
        <w:t>vinculado</w:t>
      </w:r>
      <w:r>
        <w:rPr>
          <w:spacing w:val="-7"/>
          <w:sz w:val="20"/>
        </w:rPr>
        <w:t xml:space="preserve"> </w:t>
      </w:r>
      <w:r>
        <w:rPr>
          <w:sz w:val="20"/>
        </w:rPr>
        <w:t>la</w:t>
      </w:r>
      <w:r>
        <w:rPr>
          <w:spacing w:val="-5"/>
          <w:sz w:val="20"/>
        </w:rPr>
        <w:t xml:space="preserve"> </w:t>
      </w:r>
      <w:r>
        <w:rPr>
          <w:sz w:val="20"/>
        </w:rPr>
        <w:t>no</w:t>
      </w:r>
      <w:r>
        <w:rPr>
          <w:spacing w:val="-7"/>
          <w:sz w:val="20"/>
        </w:rPr>
        <w:t xml:space="preserve"> </w:t>
      </w:r>
      <w:r>
        <w:rPr>
          <w:sz w:val="20"/>
        </w:rPr>
        <w:t>discriminación</w:t>
      </w:r>
      <w:r>
        <w:rPr>
          <w:spacing w:val="-4"/>
          <w:sz w:val="20"/>
        </w:rPr>
        <w:t xml:space="preserve"> </w:t>
      </w:r>
      <w:r>
        <w:rPr>
          <w:sz w:val="20"/>
        </w:rPr>
        <w:t>con</w:t>
      </w:r>
      <w:r>
        <w:rPr>
          <w:spacing w:val="-3"/>
          <w:sz w:val="20"/>
        </w:rPr>
        <w:t xml:space="preserve"> </w:t>
      </w:r>
      <w:r>
        <w:rPr>
          <w:sz w:val="20"/>
        </w:rPr>
        <w:t>la</w:t>
      </w:r>
      <w:r>
        <w:rPr>
          <w:spacing w:val="-5"/>
          <w:sz w:val="20"/>
        </w:rPr>
        <w:t xml:space="preserve"> </w:t>
      </w:r>
      <w:r>
        <w:rPr>
          <w:sz w:val="20"/>
        </w:rPr>
        <w:t>“igualdad</w:t>
      </w:r>
      <w:r>
        <w:rPr>
          <w:spacing w:val="-5"/>
          <w:sz w:val="20"/>
        </w:rPr>
        <w:t xml:space="preserve"> </w:t>
      </w:r>
      <w:r>
        <w:rPr>
          <w:sz w:val="20"/>
        </w:rPr>
        <w:t>de</w:t>
      </w:r>
      <w:r>
        <w:rPr>
          <w:spacing w:val="-7"/>
          <w:sz w:val="20"/>
        </w:rPr>
        <w:t xml:space="preserve"> </w:t>
      </w:r>
      <w:r>
        <w:rPr>
          <w:sz w:val="20"/>
        </w:rPr>
        <w:t>trato”</w:t>
      </w:r>
      <w:r>
        <w:rPr>
          <w:spacing w:val="-1"/>
          <w:sz w:val="20"/>
        </w:rPr>
        <w:t xml:space="preserve"> </w:t>
      </w:r>
      <w:r>
        <w:rPr>
          <w:sz w:val="20"/>
        </w:rPr>
        <w:t>o</w:t>
      </w:r>
      <w:r>
        <w:rPr>
          <w:spacing w:val="-6"/>
          <w:sz w:val="20"/>
        </w:rPr>
        <w:t xml:space="preserve"> </w:t>
      </w:r>
      <w:r>
        <w:rPr>
          <w:sz w:val="20"/>
        </w:rPr>
        <w:t>“formal”.</w:t>
      </w:r>
      <w:r>
        <w:rPr>
          <w:spacing w:val="-3"/>
          <w:sz w:val="20"/>
        </w:rPr>
        <w:t xml:space="preserve"> </w:t>
      </w:r>
      <w:r>
        <w:rPr>
          <w:sz w:val="20"/>
        </w:rPr>
        <w:t>Así,</w:t>
      </w:r>
      <w:r>
        <w:rPr>
          <w:spacing w:val="-6"/>
          <w:sz w:val="20"/>
        </w:rPr>
        <w:t xml:space="preserve"> </w:t>
      </w:r>
      <w:r>
        <w:rPr>
          <w:sz w:val="20"/>
        </w:rPr>
        <w:t>ha</w:t>
      </w:r>
      <w:r>
        <w:rPr>
          <w:spacing w:val="-5"/>
          <w:sz w:val="20"/>
        </w:rPr>
        <w:t xml:space="preserve"> </w:t>
      </w:r>
      <w:r>
        <w:rPr>
          <w:sz w:val="20"/>
        </w:rPr>
        <w:t>expresado</w:t>
      </w:r>
      <w:r>
        <w:rPr>
          <w:spacing w:val="-6"/>
          <w:sz w:val="20"/>
        </w:rPr>
        <w:t xml:space="preserve"> </w:t>
      </w:r>
      <w:r>
        <w:rPr>
          <w:sz w:val="20"/>
        </w:rPr>
        <w:t xml:space="preserve">que “para garantizar la igualdad de trato de conformidad con el artículo E, es necesario prohibir todas las formas de discriminación indirecta que puedan surgir al no tener debidamente en cuenta todas las diferencias relevantes o al no tomar las </w:t>
      </w:r>
      <w:r>
        <w:rPr>
          <w:sz w:val="20"/>
        </w:rPr>
        <w:t>medidas adecuadas para garantizar que</w:t>
      </w:r>
      <w:r>
        <w:rPr>
          <w:spacing w:val="-15"/>
          <w:sz w:val="20"/>
        </w:rPr>
        <w:t xml:space="preserve"> </w:t>
      </w:r>
      <w:r>
        <w:rPr>
          <w:sz w:val="20"/>
        </w:rPr>
        <w:t>los</w:t>
      </w:r>
      <w:r>
        <w:rPr>
          <w:spacing w:val="-13"/>
          <w:sz w:val="20"/>
        </w:rPr>
        <w:t xml:space="preserve"> </w:t>
      </w:r>
      <w:r>
        <w:rPr>
          <w:sz w:val="20"/>
        </w:rPr>
        <w:t>derechos</w:t>
      </w:r>
      <w:r>
        <w:rPr>
          <w:spacing w:val="-13"/>
          <w:sz w:val="20"/>
        </w:rPr>
        <w:t xml:space="preserve"> </w:t>
      </w:r>
      <w:r>
        <w:rPr>
          <w:sz w:val="20"/>
        </w:rPr>
        <w:t>y</w:t>
      </w:r>
      <w:r>
        <w:rPr>
          <w:spacing w:val="-14"/>
          <w:sz w:val="20"/>
        </w:rPr>
        <w:t xml:space="preserve"> </w:t>
      </w:r>
      <w:r>
        <w:rPr>
          <w:sz w:val="20"/>
        </w:rPr>
        <w:t>las</w:t>
      </w:r>
      <w:r>
        <w:rPr>
          <w:spacing w:val="-11"/>
          <w:sz w:val="20"/>
        </w:rPr>
        <w:t xml:space="preserve"> </w:t>
      </w:r>
      <w:r>
        <w:rPr>
          <w:sz w:val="20"/>
        </w:rPr>
        <w:t>ventajas</w:t>
      </w:r>
      <w:r>
        <w:rPr>
          <w:spacing w:val="-13"/>
          <w:sz w:val="20"/>
        </w:rPr>
        <w:t xml:space="preserve"> </w:t>
      </w:r>
      <w:r>
        <w:rPr>
          <w:sz w:val="20"/>
        </w:rPr>
        <w:t>colectivas</w:t>
      </w:r>
      <w:r>
        <w:rPr>
          <w:spacing w:val="-14"/>
          <w:sz w:val="20"/>
        </w:rPr>
        <w:t xml:space="preserve"> </w:t>
      </w:r>
      <w:r>
        <w:rPr>
          <w:sz w:val="20"/>
        </w:rPr>
        <w:t>que</w:t>
      </w:r>
      <w:r>
        <w:rPr>
          <w:spacing w:val="-11"/>
          <w:sz w:val="20"/>
        </w:rPr>
        <w:t xml:space="preserve"> </w:t>
      </w:r>
      <w:r>
        <w:rPr>
          <w:sz w:val="20"/>
        </w:rPr>
        <w:t>están</w:t>
      </w:r>
      <w:r>
        <w:rPr>
          <w:spacing w:val="-13"/>
          <w:sz w:val="20"/>
        </w:rPr>
        <w:t xml:space="preserve"> </w:t>
      </w:r>
      <w:r>
        <w:rPr>
          <w:sz w:val="20"/>
        </w:rPr>
        <w:t>abiertos</w:t>
      </w:r>
      <w:r>
        <w:rPr>
          <w:spacing w:val="-13"/>
          <w:sz w:val="20"/>
        </w:rPr>
        <w:t xml:space="preserve"> </w:t>
      </w:r>
      <w:r>
        <w:rPr>
          <w:sz w:val="20"/>
        </w:rPr>
        <w:t>a</w:t>
      </w:r>
      <w:r>
        <w:rPr>
          <w:spacing w:val="-12"/>
          <w:sz w:val="20"/>
        </w:rPr>
        <w:t xml:space="preserve"> </w:t>
      </w:r>
      <w:r>
        <w:rPr>
          <w:sz w:val="20"/>
        </w:rPr>
        <w:t>todos</w:t>
      </w:r>
      <w:r>
        <w:rPr>
          <w:spacing w:val="-14"/>
          <w:sz w:val="20"/>
        </w:rPr>
        <w:t xml:space="preserve"> </w:t>
      </w:r>
      <w:r>
        <w:rPr>
          <w:sz w:val="20"/>
        </w:rPr>
        <w:t>son</w:t>
      </w:r>
      <w:r>
        <w:rPr>
          <w:spacing w:val="-12"/>
          <w:sz w:val="20"/>
        </w:rPr>
        <w:t xml:space="preserve"> </w:t>
      </w:r>
      <w:r>
        <w:rPr>
          <w:sz w:val="20"/>
        </w:rPr>
        <w:t>realmente</w:t>
      </w:r>
      <w:r>
        <w:rPr>
          <w:spacing w:val="-14"/>
          <w:sz w:val="20"/>
        </w:rPr>
        <w:t xml:space="preserve"> </w:t>
      </w:r>
      <w:r>
        <w:rPr>
          <w:sz w:val="20"/>
        </w:rPr>
        <w:t>accesibles para todos”</w:t>
      </w:r>
      <w:hyperlink w:anchor="_bookmark812" w:history="1">
        <w:r>
          <w:rPr>
            <w:position w:val="7"/>
            <w:sz w:val="13"/>
          </w:rPr>
          <w:t>130</w:t>
        </w:r>
      </w:hyperlink>
      <w:r>
        <w:rPr>
          <w:sz w:val="20"/>
        </w:rPr>
        <w:t>. De esta manera el artículo E de la Carta abarca, por un lado, la obligación positiva de tratar de manera diferente a las personas cuyas situaciones son diferentes, y por el otro, la diferencia humana no solo debe verse de manera positiva, sino que debe r</w:t>
      </w:r>
      <w:r>
        <w:rPr>
          <w:sz w:val="20"/>
        </w:rPr>
        <w:t>esponderse con discernimiento para garantizar una igualdad real y efectiva</w:t>
      </w:r>
      <w:hyperlink w:anchor="_bookmark813" w:history="1">
        <w:r>
          <w:rPr>
            <w:position w:val="7"/>
            <w:sz w:val="13"/>
          </w:rPr>
          <w:t>131</w:t>
        </w:r>
      </w:hyperlink>
      <w:r>
        <w:rPr>
          <w:sz w:val="20"/>
        </w:rPr>
        <w:t>. Se entiende que el artículo E desprendería elementos, dependiendo del caso, tanto de la igualdad formal como de la igualdad</w:t>
      </w:r>
      <w:r>
        <w:rPr>
          <w:spacing w:val="-7"/>
          <w:sz w:val="20"/>
        </w:rPr>
        <w:t xml:space="preserve"> </w:t>
      </w:r>
      <w:r>
        <w:rPr>
          <w:sz w:val="20"/>
        </w:rPr>
        <w:t>material.</w:t>
      </w:r>
    </w:p>
    <w:p w14:paraId="1079D14C" w14:textId="77777777" w:rsidR="00467FCA" w:rsidRDefault="00467FCA">
      <w:pPr>
        <w:pStyle w:val="Textoindependiente"/>
      </w:pPr>
    </w:p>
    <w:p w14:paraId="2C5F19F7" w14:textId="77777777" w:rsidR="00467FCA" w:rsidRDefault="001B68EB">
      <w:pPr>
        <w:pStyle w:val="Textoindependiente"/>
        <w:rPr>
          <w:sz w:val="17"/>
        </w:rPr>
      </w:pPr>
      <w:r>
        <w:pict w14:anchorId="7B984FC9">
          <v:shape id="_x0000_s1045" style="position:absolute;margin-left:70.9pt;margin-top:12.6pt;width:2in;height:.1pt;z-index:-251504640;mso-wrap-distance-left:0;mso-wrap-distance-right:0;mso-position-horizontal-relative:page" coordorigin="1418,252" coordsize="2880,0" path="m1418,252r2880,e" filled="f" strokeweight=".6pt">
            <v:path arrowok="t"/>
            <w10:wrap type="topAndBottom" anchorx="page"/>
          </v:shape>
        </w:pict>
      </w:r>
    </w:p>
    <w:p w14:paraId="5773EBE6" w14:textId="77777777" w:rsidR="00467FCA" w:rsidRDefault="001B68EB">
      <w:pPr>
        <w:tabs>
          <w:tab w:val="left" w:pos="1166"/>
        </w:tabs>
        <w:spacing w:before="74"/>
        <w:ind w:left="458"/>
        <w:jc w:val="both"/>
        <w:rPr>
          <w:sz w:val="16"/>
        </w:rPr>
      </w:pPr>
      <w:bookmarkStart w:id="890" w:name="_bookmark809"/>
      <w:bookmarkEnd w:id="890"/>
      <w:r>
        <w:rPr>
          <w:position w:val="6"/>
          <w:sz w:val="10"/>
        </w:rPr>
        <w:t>127</w:t>
      </w:r>
      <w:r>
        <w:rPr>
          <w:position w:val="6"/>
          <w:sz w:val="10"/>
        </w:rPr>
        <w:tab/>
      </w:r>
      <w:r>
        <w:rPr>
          <w:i/>
          <w:sz w:val="16"/>
        </w:rPr>
        <w:t>Cfr.</w:t>
      </w:r>
      <w:r>
        <w:rPr>
          <w:i/>
          <w:sz w:val="16"/>
        </w:rPr>
        <w:t xml:space="preserve"> </w:t>
      </w:r>
      <w:r>
        <w:rPr>
          <w:sz w:val="16"/>
        </w:rPr>
        <w:t xml:space="preserve">Consejo de Europa, </w:t>
      </w:r>
      <w:r>
        <w:rPr>
          <w:i/>
          <w:sz w:val="16"/>
        </w:rPr>
        <w:t>Informe explicativo del Protocolo 12 del Convenio Europeo</w:t>
      </w:r>
      <w:r>
        <w:rPr>
          <w:sz w:val="16"/>
        </w:rPr>
        <w:t>, párr.</w:t>
      </w:r>
      <w:r>
        <w:rPr>
          <w:spacing w:val="-14"/>
          <w:sz w:val="16"/>
        </w:rPr>
        <w:t xml:space="preserve"> </w:t>
      </w:r>
      <w:r>
        <w:rPr>
          <w:sz w:val="16"/>
        </w:rPr>
        <w:t>22.</w:t>
      </w:r>
    </w:p>
    <w:p w14:paraId="152DC839" w14:textId="77777777" w:rsidR="00467FCA" w:rsidRDefault="001B68EB">
      <w:pPr>
        <w:tabs>
          <w:tab w:val="left" w:pos="1166"/>
        </w:tabs>
        <w:ind w:left="458" w:right="269" w:hanging="1"/>
        <w:jc w:val="both"/>
        <w:rPr>
          <w:sz w:val="16"/>
        </w:rPr>
      </w:pPr>
      <w:bookmarkStart w:id="891" w:name="_bookmark810"/>
      <w:bookmarkEnd w:id="891"/>
      <w:r>
        <w:rPr>
          <w:position w:val="6"/>
          <w:sz w:val="10"/>
        </w:rPr>
        <w:t>128</w:t>
      </w:r>
      <w:r>
        <w:rPr>
          <w:position w:val="6"/>
          <w:sz w:val="10"/>
        </w:rPr>
        <w:tab/>
      </w:r>
      <w:r>
        <w:rPr>
          <w:i/>
          <w:sz w:val="16"/>
        </w:rPr>
        <w:t xml:space="preserve">Cfr. </w:t>
      </w:r>
      <w:r>
        <w:rPr>
          <w:sz w:val="16"/>
        </w:rPr>
        <w:t xml:space="preserve">Consejo de Europa, </w:t>
      </w:r>
      <w:r>
        <w:rPr>
          <w:i/>
          <w:sz w:val="16"/>
        </w:rPr>
        <w:t>Informe explicativo del Protocolo 12 del Convenio Europeo</w:t>
      </w:r>
      <w:r>
        <w:rPr>
          <w:sz w:val="16"/>
        </w:rPr>
        <w:t>, párr. 25. Añadió que: “Un Protocolo adicional al Convenio, que, por esencia, enu</w:t>
      </w:r>
      <w:r>
        <w:rPr>
          <w:sz w:val="16"/>
        </w:rPr>
        <w:t>ncia derechos individuales justiciables formulados de manera concisa, no constituiría un instrumento apropiado para definir los distintos elementos de una obligación tan amplia,</w:t>
      </w:r>
      <w:r>
        <w:rPr>
          <w:spacing w:val="-4"/>
          <w:sz w:val="16"/>
        </w:rPr>
        <w:t xml:space="preserve"> </w:t>
      </w:r>
      <w:r>
        <w:rPr>
          <w:sz w:val="16"/>
        </w:rPr>
        <w:t>de</w:t>
      </w:r>
      <w:r>
        <w:rPr>
          <w:spacing w:val="-6"/>
          <w:sz w:val="16"/>
        </w:rPr>
        <w:t xml:space="preserve"> </w:t>
      </w:r>
      <w:r>
        <w:rPr>
          <w:sz w:val="16"/>
        </w:rPr>
        <w:t>carácter</w:t>
      </w:r>
      <w:r>
        <w:rPr>
          <w:spacing w:val="-4"/>
          <w:sz w:val="16"/>
        </w:rPr>
        <w:t xml:space="preserve"> </w:t>
      </w:r>
      <w:r>
        <w:rPr>
          <w:sz w:val="16"/>
        </w:rPr>
        <w:t>programático.</w:t>
      </w:r>
      <w:r>
        <w:rPr>
          <w:spacing w:val="-4"/>
          <w:sz w:val="16"/>
        </w:rPr>
        <w:t xml:space="preserve"> </w:t>
      </w:r>
      <w:r>
        <w:rPr>
          <w:sz w:val="16"/>
        </w:rPr>
        <w:t>Ya</w:t>
      </w:r>
      <w:r>
        <w:rPr>
          <w:spacing w:val="-3"/>
          <w:sz w:val="16"/>
        </w:rPr>
        <w:t xml:space="preserve"> </w:t>
      </w:r>
      <w:r>
        <w:rPr>
          <w:sz w:val="16"/>
        </w:rPr>
        <w:t>se</w:t>
      </w:r>
      <w:r>
        <w:rPr>
          <w:spacing w:val="-3"/>
          <w:sz w:val="16"/>
        </w:rPr>
        <w:t xml:space="preserve"> </w:t>
      </w:r>
      <w:r>
        <w:rPr>
          <w:sz w:val="16"/>
        </w:rPr>
        <w:t>han</w:t>
      </w:r>
      <w:r>
        <w:rPr>
          <w:spacing w:val="-6"/>
          <w:sz w:val="16"/>
        </w:rPr>
        <w:t xml:space="preserve"> </w:t>
      </w:r>
      <w:r>
        <w:rPr>
          <w:sz w:val="16"/>
        </w:rPr>
        <w:t>enunciado</w:t>
      </w:r>
      <w:r>
        <w:rPr>
          <w:spacing w:val="-5"/>
          <w:sz w:val="16"/>
        </w:rPr>
        <w:t xml:space="preserve"> </w:t>
      </w:r>
      <w:r>
        <w:rPr>
          <w:sz w:val="16"/>
        </w:rPr>
        <w:t>reglas</w:t>
      </w:r>
      <w:r>
        <w:rPr>
          <w:spacing w:val="-2"/>
          <w:sz w:val="16"/>
        </w:rPr>
        <w:t xml:space="preserve"> </w:t>
      </w:r>
      <w:r>
        <w:rPr>
          <w:sz w:val="16"/>
        </w:rPr>
        <w:t>específicas</w:t>
      </w:r>
      <w:r>
        <w:rPr>
          <w:spacing w:val="-6"/>
          <w:sz w:val="16"/>
        </w:rPr>
        <w:t xml:space="preserve"> </w:t>
      </w:r>
      <w:r>
        <w:rPr>
          <w:sz w:val="16"/>
        </w:rPr>
        <w:t>y</w:t>
      </w:r>
      <w:r>
        <w:rPr>
          <w:spacing w:val="-3"/>
          <w:sz w:val="16"/>
        </w:rPr>
        <w:t xml:space="preserve"> </w:t>
      </w:r>
      <w:r>
        <w:rPr>
          <w:sz w:val="16"/>
        </w:rPr>
        <w:t>más</w:t>
      </w:r>
      <w:r>
        <w:rPr>
          <w:spacing w:val="-5"/>
          <w:sz w:val="16"/>
        </w:rPr>
        <w:t xml:space="preserve"> </w:t>
      </w:r>
      <w:r>
        <w:rPr>
          <w:sz w:val="16"/>
        </w:rPr>
        <w:t>detalla</w:t>
      </w:r>
      <w:r>
        <w:rPr>
          <w:sz w:val="16"/>
        </w:rPr>
        <w:t>das</w:t>
      </w:r>
      <w:r>
        <w:rPr>
          <w:spacing w:val="-6"/>
          <w:sz w:val="16"/>
        </w:rPr>
        <w:t xml:space="preserve"> </w:t>
      </w:r>
      <w:r>
        <w:rPr>
          <w:sz w:val="16"/>
        </w:rPr>
        <w:t>en</w:t>
      </w:r>
      <w:r>
        <w:rPr>
          <w:spacing w:val="-3"/>
          <w:sz w:val="16"/>
        </w:rPr>
        <w:t xml:space="preserve"> </w:t>
      </w:r>
      <w:r>
        <w:rPr>
          <w:sz w:val="16"/>
        </w:rPr>
        <w:t>el</w:t>
      </w:r>
      <w:r>
        <w:rPr>
          <w:spacing w:val="-7"/>
          <w:sz w:val="16"/>
        </w:rPr>
        <w:t xml:space="preserve"> </w:t>
      </w:r>
      <w:r>
        <w:rPr>
          <w:sz w:val="16"/>
        </w:rPr>
        <w:t>marco</w:t>
      </w:r>
      <w:r>
        <w:rPr>
          <w:spacing w:val="-4"/>
          <w:sz w:val="16"/>
        </w:rPr>
        <w:t xml:space="preserve"> </w:t>
      </w:r>
      <w:r>
        <w:rPr>
          <w:sz w:val="16"/>
        </w:rPr>
        <w:t>de</w:t>
      </w:r>
      <w:r>
        <w:rPr>
          <w:spacing w:val="-6"/>
          <w:sz w:val="16"/>
        </w:rPr>
        <w:t xml:space="preserve"> </w:t>
      </w:r>
      <w:r>
        <w:rPr>
          <w:sz w:val="16"/>
        </w:rPr>
        <w:t>convenios distintos,</w:t>
      </w:r>
      <w:r>
        <w:rPr>
          <w:spacing w:val="-12"/>
          <w:sz w:val="16"/>
        </w:rPr>
        <w:t xml:space="preserve"> </w:t>
      </w:r>
      <w:r>
        <w:rPr>
          <w:sz w:val="16"/>
        </w:rPr>
        <w:t>exclusivamente</w:t>
      </w:r>
      <w:r>
        <w:rPr>
          <w:spacing w:val="-12"/>
          <w:sz w:val="16"/>
        </w:rPr>
        <w:t xml:space="preserve"> </w:t>
      </w:r>
      <w:r>
        <w:rPr>
          <w:sz w:val="16"/>
        </w:rPr>
        <w:t>dedicados</w:t>
      </w:r>
      <w:r>
        <w:rPr>
          <w:spacing w:val="-12"/>
          <w:sz w:val="16"/>
        </w:rPr>
        <w:t xml:space="preserve"> </w:t>
      </w:r>
      <w:r>
        <w:rPr>
          <w:sz w:val="16"/>
        </w:rPr>
        <w:t>a</w:t>
      </w:r>
      <w:r>
        <w:rPr>
          <w:spacing w:val="-10"/>
          <w:sz w:val="16"/>
        </w:rPr>
        <w:t xml:space="preserve"> </w:t>
      </w:r>
      <w:r>
        <w:rPr>
          <w:sz w:val="16"/>
        </w:rPr>
        <w:t>la</w:t>
      </w:r>
      <w:r>
        <w:rPr>
          <w:spacing w:val="-13"/>
          <w:sz w:val="16"/>
        </w:rPr>
        <w:t xml:space="preserve"> </w:t>
      </w:r>
      <w:r>
        <w:rPr>
          <w:sz w:val="16"/>
        </w:rPr>
        <w:t>eliminación</w:t>
      </w:r>
      <w:r>
        <w:rPr>
          <w:spacing w:val="-11"/>
          <w:sz w:val="16"/>
        </w:rPr>
        <w:t xml:space="preserve"> </w:t>
      </w:r>
      <w:r>
        <w:rPr>
          <w:sz w:val="16"/>
        </w:rPr>
        <w:t>de</w:t>
      </w:r>
      <w:r>
        <w:rPr>
          <w:spacing w:val="-12"/>
          <w:sz w:val="16"/>
        </w:rPr>
        <w:t xml:space="preserve"> </w:t>
      </w:r>
      <w:r>
        <w:rPr>
          <w:sz w:val="16"/>
        </w:rPr>
        <w:t>la</w:t>
      </w:r>
      <w:r>
        <w:rPr>
          <w:spacing w:val="-13"/>
          <w:sz w:val="16"/>
        </w:rPr>
        <w:t xml:space="preserve"> </w:t>
      </w:r>
      <w:r>
        <w:rPr>
          <w:sz w:val="16"/>
        </w:rPr>
        <w:t>discriminación</w:t>
      </w:r>
      <w:r>
        <w:rPr>
          <w:spacing w:val="-11"/>
          <w:sz w:val="16"/>
        </w:rPr>
        <w:t xml:space="preserve"> </w:t>
      </w:r>
      <w:r>
        <w:rPr>
          <w:sz w:val="16"/>
        </w:rPr>
        <w:t>por</w:t>
      </w:r>
      <w:r>
        <w:rPr>
          <w:spacing w:val="-11"/>
          <w:sz w:val="16"/>
        </w:rPr>
        <w:t xml:space="preserve"> </w:t>
      </w:r>
      <w:r>
        <w:rPr>
          <w:sz w:val="16"/>
        </w:rPr>
        <w:t>las</w:t>
      </w:r>
      <w:r>
        <w:rPr>
          <w:spacing w:val="-13"/>
          <w:sz w:val="16"/>
        </w:rPr>
        <w:t xml:space="preserve"> </w:t>
      </w:r>
      <w:r>
        <w:rPr>
          <w:sz w:val="16"/>
        </w:rPr>
        <w:t>razones</w:t>
      </w:r>
      <w:r>
        <w:rPr>
          <w:spacing w:val="-12"/>
          <w:sz w:val="16"/>
        </w:rPr>
        <w:t xml:space="preserve"> </w:t>
      </w:r>
      <w:r>
        <w:rPr>
          <w:sz w:val="16"/>
        </w:rPr>
        <w:t>particulares</w:t>
      </w:r>
      <w:r>
        <w:rPr>
          <w:spacing w:val="-10"/>
          <w:sz w:val="16"/>
        </w:rPr>
        <w:t xml:space="preserve"> </w:t>
      </w:r>
      <w:r>
        <w:rPr>
          <w:sz w:val="16"/>
        </w:rPr>
        <w:t>a</w:t>
      </w:r>
      <w:r>
        <w:rPr>
          <w:spacing w:val="-13"/>
          <w:sz w:val="16"/>
        </w:rPr>
        <w:t xml:space="preserve"> </w:t>
      </w:r>
      <w:r>
        <w:rPr>
          <w:sz w:val="16"/>
        </w:rPr>
        <w:t>que</w:t>
      </w:r>
      <w:r>
        <w:rPr>
          <w:spacing w:val="-12"/>
          <w:sz w:val="16"/>
        </w:rPr>
        <w:t xml:space="preserve"> </w:t>
      </w:r>
      <w:r>
        <w:rPr>
          <w:sz w:val="16"/>
        </w:rPr>
        <w:t>se</w:t>
      </w:r>
      <w:r>
        <w:rPr>
          <w:spacing w:val="-12"/>
          <w:sz w:val="16"/>
        </w:rPr>
        <w:t xml:space="preserve"> </w:t>
      </w:r>
      <w:r>
        <w:rPr>
          <w:sz w:val="16"/>
        </w:rPr>
        <w:t>refieren esos convenios (véase, por ejemplo, el Convenio sobre la eliminación de todas las formas de discriminación racial y la Convención sobre la eliminación de todas las formas de discriminación contra la mujer, ambos elaborados en el marco de las Nacio</w:t>
      </w:r>
      <w:r>
        <w:rPr>
          <w:sz w:val="16"/>
        </w:rPr>
        <w:t>nes Unidas). Está claro que no se podría interpretar el presente Protocolo como una restricción o una excepción a las disposiciones de derecho interno o de tratados que prevean una protección adicional contra la discriminación”.</w:t>
      </w:r>
    </w:p>
    <w:p w14:paraId="1866FB3E" w14:textId="77777777" w:rsidR="00467FCA" w:rsidRDefault="001B68EB">
      <w:pPr>
        <w:tabs>
          <w:tab w:val="left" w:pos="1166"/>
        </w:tabs>
        <w:spacing w:line="194" w:lineRule="exact"/>
        <w:ind w:left="458"/>
        <w:jc w:val="both"/>
        <w:rPr>
          <w:sz w:val="16"/>
        </w:rPr>
      </w:pPr>
      <w:bookmarkStart w:id="892" w:name="_bookmark811"/>
      <w:bookmarkEnd w:id="892"/>
      <w:r>
        <w:rPr>
          <w:position w:val="6"/>
          <w:sz w:val="10"/>
        </w:rPr>
        <w:t>129</w:t>
      </w:r>
      <w:r>
        <w:rPr>
          <w:position w:val="6"/>
          <w:sz w:val="10"/>
        </w:rPr>
        <w:tab/>
      </w:r>
      <w:r>
        <w:rPr>
          <w:sz w:val="16"/>
        </w:rPr>
        <w:t xml:space="preserve">Consejo de Europa, </w:t>
      </w:r>
      <w:r>
        <w:rPr>
          <w:i/>
          <w:sz w:val="16"/>
        </w:rPr>
        <w:t>Informe explicativo del Protocolo 12 del Convenio Europeo</w:t>
      </w:r>
      <w:r>
        <w:rPr>
          <w:sz w:val="16"/>
        </w:rPr>
        <w:t>, párrs. 26 y</w:t>
      </w:r>
      <w:r>
        <w:rPr>
          <w:spacing w:val="-20"/>
          <w:sz w:val="16"/>
        </w:rPr>
        <w:t xml:space="preserve"> </w:t>
      </w:r>
      <w:r>
        <w:rPr>
          <w:sz w:val="16"/>
        </w:rPr>
        <w:t>28.</w:t>
      </w:r>
    </w:p>
    <w:p w14:paraId="41C12668" w14:textId="77777777" w:rsidR="00467FCA" w:rsidRDefault="001B68EB">
      <w:pPr>
        <w:tabs>
          <w:tab w:val="left" w:pos="1166"/>
        </w:tabs>
        <w:ind w:left="458" w:right="273"/>
        <w:jc w:val="both"/>
        <w:rPr>
          <w:sz w:val="16"/>
        </w:rPr>
      </w:pPr>
      <w:bookmarkStart w:id="893" w:name="_bookmark812"/>
      <w:bookmarkEnd w:id="893"/>
      <w:r>
        <w:rPr>
          <w:position w:val="6"/>
          <w:sz w:val="10"/>
        </w:rPr>
        <w:t>130</w:t>
      </w:r>
      <w:r>
        <w:rPr>
          <w:position w:val="6"/>
          <w:sz w:val="10"/>
        </w:rPr>
        <w:tab/>
      </w:r>
      <w:r>
        <w:rPr>
          <w:sz w:val="16"/>
        </w:rPr>
        <w:t>CEDS,</w:t>
      </w:r>
      <w:r>
        <w:rPr>
          <w:spacing w:val="-13"/>
          <w:sz w:val="16"/>
        </w:rPr>
        <w:t xml:space="preserve"> </w:t>
      </w:r>
      <w:r>
        <w:rPr>
          <w:i/>
          <w:sz w:val="16"/>
        </w:rPr>
        <w:t>Caso</w:t>
      </w:r>
      <w:r>
        <w:rPr>
          <w:i/>
          <w:spacing w:val="-11"/>
          <w:sz w:val="16"/>
        </w:rPr>
        <w:t xml:space="preserve"> </w:t>
      </w:r>
      <w:r>
        <w:rPr>
          <w:i/>
          <w:sz w:val="16"/>
        </w:rPr>
        <w:t>Federación</w:t>
      </w:r>
      <w:r>
        <w:rPr>
          <w:i/>
          <w:spacing w:val="-11"/>
          <w:sz w:val="16"/>
        </w:rPr>
        <w:t xml:space="preserve"> </w:t>
      </w:r>
      <w:r>
        <w:rPr>
          <w:i/>
          <w:sz w:val="16"/>
        </w:rPr>
        <w:t>Internacional</w:t>
      </w:r>
      <w:r>
        <w:rPr>
          <w:i/>
          <w:spacing w:val="-11"/>
          <w:sz w:val="16"/>
        </w:rPr>
        <w:t xml:space="preserve"> </w:t>
      </w:r>
      <w:r>
        <w:rPr>
          <w:i/>
          <w:sz w:val="16"/>
        </w:rPr>
        <w:t>de</w:t>
      </w:r>
      <w:r>
        <w:rPr>
          <w:i/>
          <w:spacing w:val="-12"/>
          <w:sz w:val="16"/>
        </w:rPr>
        <w:t xml:space="preserve"> </w:t>
      </w:r>
      <w:r>
        <w:rPr>
          <w:i/>
          <w:sz w:val="16"/>
        </w:rPr>
        <w:t>Derechos</w:t>
      </w:r>
      <w:r>
        <w:rPr>
          <w:i/>
          <w:spacing w:val="-12"/>
          <w:sz w:val="16"/>
        </w:rPr>
        <w:t xml:space="preserve"> </w:t>
      </w:r>
      <w:r>
        <w:rPr>
          <w:i/>
          <w:sz w:val="16"/>
        </w:rPr>
        <w:t>Humanos</w:t>
      </w:r>
      <w:r>
        <w:rPr>
          <w:i/>
          <w:spacing w:val="-14"/>
          <w:sz w:val="16"/>
        </w:rPr>
        <w:t xml:space="preserve"> </w:t>
      </w:r>
      <w:r>
        <w:rPr>
          <w:i/>
          <w:sz w:val="16"/>
        </w:rPr>
        <w:t>(FIDH)</w:t>
      </w:r>
      <w:r>
        <w:rPr>
          <w:i/>
          <w:spacing w:val="-11"/>
          <w:sz w:val="16"/>
        </w:rPr>
        <w:t xml:space="preserve"> </w:t>
      </w:r>
      <w:r>
        <w:rPr>
          <w:i/>
          <w:sz w:val="16"/>
        </w:rPr>
        <w:t>Vs.</w:t>
      </w:r>
      <w:r>
        <w:rPr>
          <w:i/>
          <w:spacing w:val="-13"/>
          <w:sz w:val="16"/>
        </w:rPr>
        <w:t xml:space="preserve"> </w:t>
      </w:r>
      <w:r>
        <w:rPr>
          <w:i/>
          <w:sz w:val="16"/>
        </w:rPr>
        <w:t>Bélgica</w:t>
      </w:r>
      <w:r>
        <w:rPr>
          <w:sz w:val="16"/>
        </w:rPr>
        <w:t>,</w:t>
      </w:r>
      <w:r>
        <w:rPr>
          <w:spacing w:val="-13"/>
          <w:sz w:val="16"/>
        </w:rPr>
        <w:t xml:space="preserve"> </w:t>
      </w:r>
      <w:r>
        <w:rPr>
          <w:sz w:val="16"/>
        </w:rPr>
        <w:t>Queja</w:t>
      </w:r>
      <w:r>
        <w:rPr>
          <w:spacing w:val="-9"/>
          <w:sz w:val="16"/>
        </w:rPr>
        <w:t xml:space="preserve"> </w:t>
      </w:r>
      <w:r>
        <w:rPr>
          <w:sz w:val="16"/>
        </w:rPr>
        <w:t>No.</w:t>
      </w:r>
      <w:r>
        <w:rPr>
          <w:spacing w:val="-13"/>
          <w:sz w:val="16"/>
        </w:rPr>
        <w:t xml:space="preserve"> </w:t>
      </w:r>
      <w:r>
        <w:rPr>
          <w:sz w:val="16"/>
        </w:rPr>
        <w:t>75/2011,</w:t>
      </w:r>
      <w:r>
        <w:rPr>
          <w:spacing w:val="-13"/>
          <w:sz w:val="16"/>
        </w:rPr>
        <w:t xml:space="preserve"> </w:t>
      </w:r>
      <w:r>
        <w:rPr>
          <w:sz w:val="16"/>
        </w:rPr>
        <w:t>decisión de 75/2011, párr.</w:t>
      </w:r>
      <w:r>
        <w:rPr>
          <w:spacing w:val="-2"/>
          <w:sz w:val="16"/>
        </w:rPr>
        <w:t xml:space="preserve"> </w:t>
      </w:r>
      <w:r>
        <w:rPr>
          <w:sz w:val="16"/>
        </w:rPr>
        <w:t>206.</w:t>
      </w:r>
    </w:p>
    <w:p w14:paraId="29EB360E" w14:textId="77777777" w:rsidR="00467FCA" w:rsidRDefault="001B68EB">
      <w:pPr>
        <w:tabs>
          <w:tab w:val="left" w:pos="1166"/>
        </w:tabs>
        <w:ind w:left="458" w:right="272"/>
        <w:jc w:val="both"/>
        <w:rPr>
          <w:sz w:val="16"/>
        </w:rPr>
      </w:pPr>
      <w:bookmarkStart w:id="894" w:name="_bookmark813"/>
      <w:bookmarkEnd w:id="894"/>
      <w:r>
        <w:rPr>
          <w:position w:val="6"/>
          <w:sz w:val="10"/>
        </w:rPr>
        <w:t>131</w:t>
      </w:r>
      <w:r>
        <w:rPr>
          <w:position w:val="6"/>
          <w:sz w:val="10"/>
        </w:rPr>
        <w:tab/>
      </w:r>
      <w:r>
        <w:rPr>
          <w:i/>
          <w:sz w:val="16"/>
        </w:rPr>
        <w:t xml:space="preserve">Cfr. </w:t>
      </w:r>
      <w:r>
        <w:rPr>
          <w:sz w:val="16"/>
        </w:rPr>
        <w:t xml:space="preserve">CEDS, </w:t>
      </w:r>
      <w:r>
        <w:rPr>
          <w:i/>
          <w:sz w:val="16"/>
        </w:rPr>
        <w:t>Caso Foro Europeo de Roma y Viajeros (ERTF) Vs. Francia</w:t>
      </w:r>
      <w:r>
        <w:rPr>
          <w:sz w:val="16"/>
        </w:rPr>
        <w:t>, Queja No. 119/2015, decisión de 16 de abril de 2018, párrs. 108 y</w:t>
      </w:r>
      <w:r>
        <w:rPr>
          <w:spacing w:val="-8"/>
          <w:sz w:val="16"/>
        </w:rPr>
        <w:t xml:space="preserve"> </w:t>
      </w:r>
      <w:r>
        <w:rPr>
          <w:sz w:val="16"/>
        </w:rPr>
        <w:t>109.</w:t>
      </w:r>
    </w:p>
    <w:p w14:paraId="3F857B7F" w14:textId="77777777" w:rsidR="00467FCA" w:rsidRDefault="00467FCA">
      <w:pPr>
        <w:jc w:val="both"/>
        <w:rPr>
          <w:sz w:val="16"/>
        </w:rPr>
        <w:sectPr w:rsidR="00467FCA">
          <w:pgSz w:w="12240" w:h="15840"/>
          <w:pgMar w:top="1340" w:right="1140" w:bottom="920" w:left="960" w:header="0" w:footer="734" w:gutter="0"/>
          <w:cols w:space="720"/>
        </w:sectPr>
      </w:pPr>
    </w:p>
    <w:p w14:paraId="7EDF8AC1" w14:textId="77777777" w:rsidR="00467FCA" w:rsidRDefault="001B68EB">
      <w:pPr>
        <w:pStyle w:val="Ttulo2"/>
        <w:numPr>
          <w:ilvl w:val="0"/>
          <w:numId w:val="5"/>
        </w:numPr>
        <w:tabs>
          <w:tab w:val="left" w:pos="771"/>
        </w:tabs>
        <w:spacing w:before="79"/>
        <w:ind w:left="457" w:right="277" w:firstLine="0"/>
        <w:jc w:val="both"/>
      </w:pPr>
      <w:r>
        <w:t xml:space="preserve">El mandato de igualdad real o sustancial desde el artículo 24 de la Convención </w:t>
      </w:r>
      <w:r>
        <w:t>Americana: Las cláusulas “autónoma”</w:t>
      </w:r>
      <w:r>
        <w:t xml:space="preserve"> y “subordinada” de igualdad y no discriminación</w:t>
      </w:r>
    </w:p>
    <w:p w14:paraId="60DB0339" w14:textId="77777777" w:rsidR="00467FCA" w:rsidRDefault="001B68EB">
      <w:pPr>
        <w:pStyle w:val="Prrafodelista"/>
        <w:numPr>
          <w:ilvl w:val="1"/>
          <w:numId w:val="5"/>
        </w:numPr>
        <w:tabs>
          <w:tab w:val="left" w:pos="1673"/>
        </w:tabs>
        <w:spacing w:before="120"/>
        <w:ind w:left="1672" w:hanging="508"/>
        <w:jc w:val="both"/>
        <w:rPr>
          <w:b/>
          <w:sz w:val="20"/>
        </w:rPr>
      </w:pPr>
      <w:r>
        <w:rPr>
          <w:b/>
          <w:sz w:val="20"/>
        </w:rPr>
        <w:t>Principios</w:t>
      </w:r>
      <w:r>
        <w:rPr>
          <w:b/>
          <w:spacing w:val="-3"/>
          <w:sz w:val="20"/>
        </w:rPr>
        <w:t xml:space="preserve"> </w:t>
      </w:r>
      <w:r>
        <w:rPr>
          <w:b/>
          <w:sz w:val="20"/>
        </w:rPr>
        <w:t>generales</w:t>
      </w:r>
    </w:p>
    <w:p w14:paraId="4D179E50" w14:textId="77777777" w:rsidR="00467FCA" w:rsidRDefault="00467FCA">
      <w:pPr>
        <w:pStyle w:val="Textoindependiente"/>
        <w:spacing w:before="11"/>
        <w:rPr>
          <w:b/>
          <w:sz w:val="19"/>
        </w:rPr>
      </w:pPr>
    </w:p>
    <w:p w14:paraId="1E213F87" w14:textId="77777777" w:rsidR="00467FCA" w:rsidRDefault="001B68EB">
      <w:pPr>
        <w:pStyle w:val="Prrafodelista"/>
        <w:numPr>
          <w:ilvl w:val="0"/>
          <w:numId w:val="4"/>
        </w:numPr>
        <w:tabs>
          <w:tab w:val="left" w:pos="1166"/>
        </w:tabs>
        <w:ind w:left="457" w:right="279" w:firstLine="0"/>
        <w:jc w:val="both"/>
        <w:rPr>
          <w:sz w:val="20"/>
        </w:rPr>
      </w:pPr>
      <w:r>
        <w:rPr>
          <w:sz w:val="20"/>
        </w:rPr>
        <w:t>Desde el punto de vista doctrinal, el artículo 24 de la Convención Americana contiene una cláusula de no discriminación “autónoma” que, en general, responde a la formulación clásica</w:t>
      </w:r>
      <w:r>
        <w:rPr>
          <w:spacing w:val="-18"/>
          <w:sz w:val="20"/>
        </w:rPr>
        <w:t xml:space="preserve"> </w:t>
      </w:r>
      <w:r>
        <w:rPr>
          <w:sz w:val="20"/>
        </w:rPr>
        <w:t>de</w:t>
      </w:r>
      <w:r>
        <w:rPr>
          <w:spacing w:val="-20"/>
          <w:sz w:val="20"/>
        </w:rPr>
        <w:t xml:space="preserve"> </w:t>
      </w:r>
      <w:r>
        <w:rPr>
          <w:sz w:val="20"/>
        </w:rPr>
        <w:t>no</w:t>
      </w:r>
      <w:r>
        <w:rPr>
          <w:spacing w:val="-19"/>
          <w:sz w:val="20"/>
        </w:rPr>
        <w:t xml:space="preserve"> </w:t>
      </w:r>
      <w:r>
        <w:rPr>
          <w:sz w:val="20"/>
        </w:rPr>
        <w:t>discriminación</w:t>
      </w:r>
      <w:r>
        <w:rPr>
          <w:spacing w:val="-17"/>
          <w:sz w:val="20"/>
        </w:rPr>
        <w:t xml:space="preserve"> </w:t>
      </w:r>
      <w:r>
        <w:rPr>
          <w:sz w:val="20"/>
        </w:rPr>
        <w:t>ante</w:t>
      </w:r>
      <w:r>
        <w:rPr>
          <w:spacing w:val="-19"/>
          <w:sz w:val="20"/>
        </w:rPr>
        <w:t xml:space="preserve"> </w:t>
      </w:r>
      <w:r>
        <w:rPr>
          <w:sz w:val="20"/>
        </w:rPr>
        <w:t>la</w:t>
      </w:r>
      <w:r>
        <w:rPr>
          <w:spacing w:val="-18"/>
          <w:sz w:val="20"/>
        </w:rPr>
        <w:t xml:space="preserve"> </w:t>
      </w:r>
      <w:r>
        <w:rPr>
          <w:sz w:val="20"/>
        </w:rPr>
        <w:t>ley;</w:t>
      </w:r>
      <w:r>
        <w:rPr>
          <w:spacing w:val="-13"/>
          <w:sz w:val="20"/>
        </w:rPr>
        <w:t xml:space="preserve"> </w:t>
      </w:r>
      <w:r>
        <w:rPr>
          <w:sz w:val="20"/>
        </w:rPr>
        <w:t>empero,</w:t>
      </w:r>
      <w:r>
        <w:rPr>
          <w:spacing w:val="-17"/>
          <w:sz w:val="20"/>
        </w:rPr>
        <w:t xml:space="preserve"> </w:t>
      </w:r>
      <w:r>
        <w:rPr>
          <w:sz w:val="20"/>
        </w:rPr>
        <w:t>por</w:t>
      </w:r>
      <w:r>
        <w:rPr>
          <w:spacing w:val="-17"/>
          <w:sz w:val="20"/>
        </w:rPr>
        <w:t xml:space="preserve"> </w:t>
      </w:r>
      <w:r>
        <w:rPr>
          <w:sz w:val="20"/>
        </w:rPr>
        <w:t>otro</w:t>
      </w:r>
      <w:r>
        <w:rPr>
          <w:spacing w:val="-19"/>
          <w:sz w:val="20"/>
        </w:rPr>
        <w:t xml:space="preserve"> </w:t>
      </w:r>
      <w:r>
        <w:rPr>
          <w:sz w:val="20"/>
        </w:rPr>
        <w:t>lado,</w:t>
      </w:r>
      <w:r>
        <w:rPr>
          <w:spacing w:val="-19"/>
          <w:sz w:val="20"/>
        </w:rPr>
        <w:t xml:space="preserve"> </w:t>
      </w:r>
      <w:r>
        <w:rPr>
          <w:sz w:val="20"/>
        </w:rPr>
        <w:t>el</w:t>
      </w:r>
      <w:r>
        <w:rPr>
          <w:spacing w:val="-17"/>
          <w:sz w:val="20"/>
        </w:rPr>
        <w:t xml:space="preserve"> </w:t>
      </w:r>
      <w:r>
        <w:rPr>
          <w:sz w:val="20"/>
        </w:rPr>
        <w:t>artículo</w:t>
      </w:r>
      <w:r>
        <w:rPr>
          <w:spacing w:val="-17"/>
          <w:sz w:val="20"/>
        </w:rPr>
        <w:t xml:space="preserve"> </w:t>
      </w:r>
      <w:r>
        <w:rPr>
          <w:sz w:val="20"/>
        </w:rPr>
        <w:t>1.1</w:t>
      </w:r>
      <w:r>
        <w:rPr>
          <w:spacing w:val="-17"/>
          <w:sz w:val="20"/>
        </w:rPr>
        <w:t xml:space="preserve"> </w:t>
      </w:r>
      <w:r>
        <w:rPr>
          <w:sz w:val="20"/>
        </w:rPr>
        <w:t>también</w:t>
      </w:r>
      <w:r>
        <w:rPr>
          <w:spacing w:val="-17"/>
          <w:sz w:val="20"/>
        </w:rPr>
        <w:t xml:space="preserve"> </w:t>
      </w:r>
      <w:r>
        <w:rPr>
          <w:sz w:val="20"/>
        </w:rPr>
        <w:t>contiene una cláusula de no discriminación, identificada como “subordinada”</w:t>
      </w:r>
      <w:r>
        <w:rPr>
          <w:spacing w:val="-22"/>
          <w:sz w:val="20"/>
        </w:rPr>
        <w:t xml:space="preserve"> </w:t>
      </w:r>
      <w:hyperlink w:anchor="_bookmark814" w:history="1">
        <w:r>
          <w:rPr>
            <w:position w:val="7"/>
            <w:sz w:val="13"/>
          </w:rPr>
          <w:t>132</w:t>
        </w:r>
      </w:hyperlink>
      <w:r>
        <w:rPr>
          <w:sz w:val="20"/>
        </w:rPr>
        <w:t>.</w:t>
      </w:r>
    </w:p>
    <w:p w14:paraId="7C8ED70F" w14:textId="77777777" w:rsidR="00467FCA" w:rsidRDefault="00467FCA">
      <w:pPr>
        <w:pStyle w:val="Textoindependiente"/>
        <w:spacing w:before="1"/>
      </w:pPr>
    </w:p>
    <w:p w14:paraId="0EDD636C" w14:textId="77777777" w:rsidR="00467FCA" w:rsidRDefault="001B68EB">
      <w:pPr>
        <w:pStyle w:val="Prrafodelista"/>
        <w:numPr>
          <w:ilvl w:val="0"/>
          <w:numId w:val="4"/>
        </w:numPr>
        <w:tabs>
          <w:tab w:val="left" w:pos="1167"/>
        </w:tabs>
        <w:ind w:right="275" w:firstLine="0"/>
        <w:jc w:val="both"/>
        <w:rPr>
          <w:sz w:val="20"/>
        </w:rPr>
      </w:pPr>
      <w:r>
        <w:rPr>
          <w:sz w:val="20"/>
        </w:rPr>
        <w:t>La Corte IDH ha hecho notar que, al abordar el principio de la igualdad y</w:t>
      </w:r>
      <w:r>
        <w:rPr>
          <w:spacing w:val="28"/>
          <w:sz w:val="20"/>
        </w:rPr>
        <w:t xml:space="preserve"> </w:t>
      </w:r>
      <w:r>
        <w:rPr>
          <w:sz w:val="20"/>
        </w:rPr>
        <w:t>no discriminación, se debe tener presente la continua evolución del derecho internacional</w:t>
      </w:r>
      <w:hyperlink w:anchor="_bookmark815" w:history="1">
        <w:r>
          <w:rPr>
            <w:position w:val="7"/>
            <w:sz w:val="13"/>
          </w:rPr>
          <w:t>133</w:t>
        </w:r>
      </w:hyperlink>
      <w:r>
        <w:rPr>
          <w:sz w:val="20"/>
        </w:rPr>
        <w:t>. De esta</w:t>
      </w:r>
      <w:r>
        <w:rPr>
          <w:spacing w:val="-3"/>
          <w:sz w:val="20"/>
        </w:rPr>
        <w:t xml:space="preserve"> </w:t>
      </w:r>
      <w:r>
        <w:rPr>
          <w:sz w:val="20"/>
        </w:rPr>
        <w:t>manera,</w:t>
      </w:r>
      <w:r>
        <w:rPr>
          <w:spacing w:val="-4"/>
          <w:sz w:val="20"/>
        </w:rPr>
        <w:t xml:space="preserve"> </w:t>
      </w:r>
      <w:r>
        <w:rPr>
          <w:sz w:val="20"/>
        </w:rPr>
        <w:t>la</w:t>
      </w:r>
      <w:r>
        <w:rPr>
          <w:spacing w:val="-2"/>
          <w:sz w:val="20"/>
        </w:rPr>
        <w:t xml:space="preserve"> </w:t>
      </w:r>
      <w:r>
        <w:rPr>
          <w:sz w:val="20"/>
        </w:rPr>
        <w:t>no</w:t>
      </w:r>
      <w:r>
        <w:rPr>
          <w:spacing w:val="-4"/>
          <w:sz w:val="20"/>
        </w:rPr>
        <w:t xml:space="preserve"> </w:t>
      </w:r>
      <w:r>
        <w:rPr>
          <w:sz w:val="20"/>
        </w:rPr>
        <w:t>discriminación</w:t>
      </w:r>
      <w:r>
        <w:rPr>
          <w:spacing w:val="-2"/>
          <w:sz w:val="20"/>
        </w:rPr>
        <w:t xml:space="preserve"> </w:t>
      </w:r>
      <w:r>
        <w:rPr>
          <w:sz w:val="20"/>
        </w:rPr>
        <w:t>(art.</w:t>
      </w:r>
      <w:r>
        <w:rPr>
          <w:spacing w:val="-3"/>
          <w:sz w:val="20"/>
        </w:rPr>
        <w:t xml:space="preserve"> </w:t>
      </w:r>
      <w:r>
        <w:rPr>
          <w:sz w:val="20"/>
        </w:rPr>
        <w:t>1.1 y</w:t>
      </w:r>
      <w:r>
        <w:rPr>
          <w:spacing w:val="-3"/>
          <w:sz w:val="20"/>
        </w:rPr>
        <w:t xml:space="preserve"> </w:t>
      </w:r>
      <w:r>
        <w:rPr>
          <w:sz w:val="20"/>
        </w:rPr>
        <w:t>24),</w:t>
      </w:r>
      <w:r>
        <w:rPr>
          <w:spacing w:val="-3"/>
          <w:sz w:val="20"/>
        </w:rPr>
        <w:t xml:space="preserve"> </w:t>
      </w:r>
      <w:r>
        <w:rPr>
          <w:sz w:val="20"/>
        </w:rPr>
        <w:t>ju</w:t>
      </w:r>
      <w:r>
        <w:rPr>
          <w:sz w:val="20"/>
        </w:rPr>
        <w:t>nto</w:t>
      </w:r>
      <w:r>
        <w:rPr>
          <w:spacing w:val="-4"/>
          <w:sz w:val="20"/>
        </w:rPr>
        <w:t xml:space="preserve"> </w:t>
      </w:r>
      <w:r>
        <w:rPr>
          <w:sz w:val="20"/>
        </w:rPr>
        <w:t>con</w:t>
      </w:r>
      <w:r>
        <w:rPr>
          <w:spacing w:val="-2"/>
          <w:sz w:val="20"/>
        </w:rPr>
        <w:t xml:space="preserve"> </w:t>
      </w:r>
      <w:r>
        <w:rPr>
          <w:sz w:val="20"/>
        </w:rPr>
        <w:t>la</w:t>
      </w:r>
      <w:r>
        <w:rPr>
          <w:spacing w:val="-2"/>
          <w:sz w:val="20"/>
        </w:rPr>
        <w:t xml:space="preserve"> </w:t>
      </w:r>
      <w:r>
        <w:rPr>
          <w:sz w:val="20"/>
        </w:rPr>
        <w:t>igualdad</w:t>
      </w:r>
      <w:r>
        <w:rPr>
          <w:spacing w:val="-3"/>
          <w:sz w:val="20"/>
        </w:rPr>
        <w:t xml:space="preserve"> </w:t>
      </w:r>
      <w:r>
        <w:rPr>
          <w:sz w:val="20"/>
        </w:rPr>
        <w:t>ante</w:t>
      </w:r>
      <w:r>
        <w:rPr>
          <w:spacing w:val="-4"/>
          <w:sz w:val="20"/>
        </w:rPr>
        <w:t xml:space="preserve"> </w:t>
      </w:r>
      <w:r>
        <w:rPr>
          <w:sz w:val="20"/>
        </w:rPr>
        <w:t>la</w:t>
      </w:r>
      <w:r>
        <w:rPr>
          <w:spacing w:val="-2"/>
          <w:sz w:val="20"/>
        </w:rPr>
        <w:t xml:space="preserve"> </w:t>
      </w:r>
      <w:r>
        <w:rPr>
          <w:sz w:val="20"/>
        </w:rPr>
        <w:t>ley</w:t>
      </w:r>
      <w:r>
        <w:rPr>
          <w:spacing w:val="-4"/>
          <w:sz w:val="20"/>
        </w:rPr>
        <w:t xml:space="preserve"> </w:t>
      </w:r>
      <w:r>
        <w:rPr>
          <w:sz w:val="20"/>
        </w:rPr>
        <w:t>(art.</w:t>
      </w:r>
      <w:r>
        <w:rPr>
          <w:spacing w:val="-3"/>
          <w:sz w:val="20"/>
        </w:rPr>
        <w:t xml:space="preserve"> </w:t>
      </w:r>
      <w:r>
        <w:rPr>
          <w:sz w:val="20"/>
        </w:rPr>
        <w:t>24)</w:t>
      </w:r>
      <w:r>
        <w:rPr>
          <w:spacing w:val="-3"/>
          <w:sz w:val="20"/>
        </w:rPr>
        <w:t xml:space="preserve"> </w:t>
      </w:r>
      <w:r>
        <w:rPr>
          <w:sz w:val="20"/>
        </w:rPr>
        <w:t>y la</w:t>
      </w:r>
      <w:r>
        <w:rPr>
          <w:spacing w:val="-10"/>
          <w:sz w:val="20"/>
        </w:rPr>
        <w:t xml:space="preserve"> </w:t>
      </w:r>
      <w:r>
        <w:rPr>
          <w:sz w:val="20"/>
        </w:rPr>
        <w:t>igual</w:t>
      </w:r>
      <w:r>
        <w:rPr>
          <w:spacing w:val="-9"/>
          <w:sz w:val="20"/>
        </w:rPr>
        <w:t xml:space="preserve"> </w:t>
      </w:r>
      <w:r>
        <w:rPr>
          <w:sz w:val="20"/>
        </w:rPr>
        <w:t>protección</w:t>
      </w:r>
      <w:r>
        <w:rPr>
          <w:spacing w:val="-8"/>
          <w:sz w:val="20"/>
        </w:rPr>
        <w:t xml:space="preserve"> </w:t>
      </w:r>
      <w:r>
        <w:rPr>
          <w:sz w:val="20"/>
        </w:rPr>
        <w:t>de</w:t>
      </w:r>
      <w:r>
        <w:rPr>
          <w:spacing w:val="-11"/>
          <w:sz w:val="20"/>
        </w:rPr>
        <w:t xml:space="preserve"> </w:t>
      </w:r>
      <w:r>
        <w:rPr>
          <w:sz w:val="20"/>
        </w:rPr>
        <w:t>la</w:t>
      </w:r>
      <w:r>
        <w:rPr>
          <w:spacing w:val="-7"/>
          <w:sz w:val="20"/>
        </w:rPr>
        <w:t xml:space="preserve"> </w:t>
      </w:r>
      <w:r>
        <w:rPr>
          <w:sz w:val="20"/>
        </w:rPr>
        <w:t>ley</w:t>
      </w:r>
      <w:r>
        <w:rPr>
          <w:spacing w:val="-9"/>
          <w:sz w:val="20"/>
        </w:rPr>
        <w:t xml:space="preserve"> </w:t>
      </w:r>
      <w:r>
        <w:rPr>
          <w:sz w:val="20"/>
        </w:rPr>
        <w:t>(art.</w:t>
      </w:r>
      <w:r>
        <w:rPr>
          <w:spacing w:val="-11"/>
          <w:sz w:val="20"/>
        </w:rPr>
        <w:t xml:space="preserve"> </w:t>
      </w:r>
      <w:r>
        <w:rPr>
          <w:sz w:val="20"/>
        </w:rPr>
        <w:t>24),</w:t>
      </w:r>
      <w:r>
        <w:rPr>
          <w:spacing w:val="-7"/>
          <w:sz w:val="20"/>
        </w:rPr>
        <w:t xml:space="preserve"> </w:t>
      </w:r>
      <w:r>
        <w:rPr>
          <w:sz w:val="20"/>
        </w:rPr>
        <w:t>a</w:t>
      </w:r>
      <w:r>
        <w:rPr>
          <w:spacing w:val="-9"/>
          <w:sz w:val="20"/>
        </w:rPr>
        <w:t xml:space="preserve"> </w:t>
      </w:r>
      <w:r>
        <w:rPr>
          <w:sz w:val="20"/>
        </w:rPr>
        <w:t>favor</w:t>
      </w:r>
      <w:r>
        <w:rPr>
          <w:spacing w:val="-10"/>
          <w:sz w:val="20"/>
        </w:rPr>
        <w:t xml:space="preserve"> </w:t>
      </w:r>
      <w:r>
        <w:rPr>
          <w:sz w:val="20"/>
        </w:rPr>
        <w:t>de</w:t>
      </w:r>
      <w:r>
        <w:rPr>
          <w:spacing w:val="-9"/>
          <w:sz w:val="20"/>
        </w:rPr>
        <w:t xml:space="preserve"> </w:t>
      </w:r>
      <w:r>
        <w:rPr>
          <w:sz w:val="20"/>
        </w:rPr>
        <w:t>todas</w:t>
      </w:r>
      <w:r>
        <w:rPr>
          <w:spacing w:val="-10"/>
          <w:sz w:val="20"/>
        </w:rPr>
        <w:t xml:space="preserve"> </w:t>
      </w:r>
      <w:r>
        <w:rPr>
          <w:sz w:val="20"/>
        </w:rPr>
        <w:t>las</w:t>
      </w:r>
      <w:r>
        <w:rPr>
          <w:spacing w:val="-10"/>
          <w:sz w:val="20"/>
        </w:rPr>
        <w:t xml:space="preserve"> </w:t>
      </w:r>
      <w:r>
        <w:rPr>
          <w:sz w:val="20"/>
        </w:rPr>
        <w:t>personas</w:t>
      </w:r>
      <w:r>
        <w:rPr>
          <w:spacing w:val="-9"/>
          <w:sz w:val="20"/>
        </w:rPr>
        <w:t xml:space="preserve"> </w:t>
      </w:r>
      <w:r>
        <w:rPr>
          <w:sz w:val="20"/>
        </w:rPr>
        <w:t>y</w:t>
      </w:r>
      <w:r>
        <w:rPr>
          <w:spacing w:val="-10"/>
          <w:sz w:val="20"/>
        </w:rPr>
        <w:t xml:space="preserve"> </w:t>
      </w:r>
      <w:r>
        <w:rPr>
          <w:sz w:val="20"/>
        </w:rPr>
        <w:t>grupos</w:t>
      </w:r>
      <w:r>
        <w:rPr>
          <w:spacing w:val="-10"/>
          <w:sz w:val="20"/>
        </w:rPr>
        <w:t xml:space="preserve"> </w:t>
      </w:r>
      <w:r>
        <w:rPr>
          <w:sz w:val="20"/>
        </w:rPr>
        <w:t>de</w:t>
      </w:r>
      <w:r>
        <w:rPr>
          <w:spacing w:val="-10"/>
          <w:sz w:val="20"/>
        </w:rPr>
        <w:t xml:space="preserve"> </w:t>
      </w:r>
      <w:r>
        <w:rPr>
          <w:sz w:val="20"/>
        </w:rPr>
        <w:t>personas,</w:t>
      </w:r>
      <w:r>
        <w:rPr>
          <w:spacing w:val="-8"/>
          <w:sz w:val="20"/>
        </w:rPr>
        <w:t xml:space="preserve"> </w:t>
      </w:r>
      <w:r>
        <w:rPr>
          <w:sz w:val="20"/>
        </w:rPr>
        <w:t>son elementos constitutivos de un principio básico y general relacionado con la protección de los derechos humanos. El elemento de la igualdad es difícil de desligar de la no discriminación, por</w:t>
      </w:r>
      <w:r>
        <w:rPr>
          <w:spacing w:val="-17"/>
          <w:sz w:val="20"/>
        </w:rPr>
        <w:t xml:space="preserve"> </w:t>
      </w:r>
      <w:r>
        <w:rPr>
          <w:sz w:val="20"/>
        </w:rPr>
        <w:t>lo</w:t>
      </w:r>
      <w:r>
        <w:rPr>
          <w:spacing w:val="-16"/>
          <w:sz w:val="20"/>
        </w:rPr>
        <w:t xml:space="preserve"> </w:t>
      </w:r>
      <w:r>
        <w:rPr>
          <w:sz w:val="20"/>
        </w:rPr>
        <w:t>que,</w:t>
      </w:r>
      <w:r>
        <w:rPr>
          <w:spacing w:val="-17"/>
          <w:sz w:val="20"/>
        </w:rPr>
        <w:t xml:space="preserve"> </w:t>
      </w:r>
      <w:r>
        <w:rPr>
          <w:sz w:val="20"/>
        </w:rPr>
        <w:t>al</w:t>
      </w:r>
      <w:r>
        <w:rPr>
          <w:spacing w:val="-17"/>
          <w:sz w:val="20"/>
        </w:rPr>
        <w:t xml:space="preserve"> </w:t>
      </w:r>
      <w:r>
        <w:rPr>
          <w:sz w:val="20"/>
        </w:rPr>
        <w:t>hablar</w:t>
      </w:r>
      <w:r>
        <w:rPr>
          <w:spacing w:val="-17"/>
          <w:sz w:val="20"/>
        </w:rPr>
        <w:t xml:space="preserve"> </w:t>
      </w:r>
      <w:r>
        <w:rPr>
          <w:sz w:val="20"/>
        </w:rPr>
        <w:t>de</w:t>
      </w:r>
      <w:r>
        <w:rPr>
          <w:spacing w:val="-16"/>
          <w:sz w:val="20"/>
        </w:rPr>
        <w:t xml:space="preserve"> </w:t>
      </w:r>
      <w:r>
        <w:rPr>
          <w:sz w:val="20"/>
        </w:rPr>
        <w:t>igualdad</w:t>
      </w:r>
      <w:r>
        <w:rPr>
          <w:spacing w:val="-17"/>
          <w:sz w:val="20"/>
        </w:rPr>
        <w:t xml:space="preserve"> </w:t>
      </w:r>
      <w:r>
        <w:rPr>
          <w:sz w:val="20"/>
        </w:rPr>
        <w:t>ante</w:t>
      </w:r>
      <w:r>
        <w:rPr>
          <w:spacing w:val="-20"/>
          <w:sz w:val="20"/>
        </w:rPr>
        <w:t xml:space="preserve"> </w:t>
      </w:r>
      <w:r>
        <w:rPr>
          <w:sz w:val="20"/>
        </w:rPr>
        <w:t>la</w:t>
      </w:r>
      <w:r>
        <w:rPr>
          <w:spacing w:val="-17"/>
          <w:sz w:val="20"/>
        </w:rPr>
        <w:t xml:space="preserve"> </w:t>
      </w:r>
      <w:r>
        <w:rPr>
          <w:sz w:val="20"/>
        </w:rPr>
        <w:t>ley,</w:t>
      </w:r>
      <w:r>
        <w:rPr>
          <w:spacing w:val="-14"/>
          <w:sz w:val="20"/>
        </w:rPr>
        <w:t xml:space="preserve"> </w:t>
      </w:r>
      <w:r>
        <w:rPr>
          <w:sz w:val="20"/>
        </w:rPr>
        <w:t>este</w:t>
      </w:r>
      <w:r>
        <w:rPr>
          <w:spacing w:val="-16"/>
          <w:sz w:val="20"/>
        </w:rPr>
        <w:t xml:space="preserve"> </w:t>
      </w:r>
      <w:r>
        <w:rPr>
          <w:sz w:val="20"/>
        </w:rPr>
        <w:t>principio</w:t>
      </w:r>
      <w:r>
        <w:rPr>
          <w:spacing w:val="-16"/>
          <w:sz w:val="20"/>
        </w:rPr>
        <w:t xml:space="preserve"> </w:t>
      </w:r>
      <w:r>
        <w:rPr>
          <w:sz w:val="20"/>
        </w:rPr>
        <w:t>deb</w:t>
      </w:r>
      <w:r>
        <w:rPr>
          <w:sz w:val="20"/>
        </w:rPr>
        <w:t>e</w:t>
      </w:r>
      <w:r>
        <w:rPr>
          <w:spacing w:val="-20"/>
          <w:sz w:val="20"/>
        </w:rPr>
        <w:t xml:space="preserve"> </w:t>
      </w:r>
      <w:r>
        <w:rPr>
          <w:sz w:val="20"/>
        </w:rPr>
        <w:t>garantizarse</w:t>
      </w:r>
      <w:r>
        <w:rPr>
          <w:spacing w:val="-16"/>
          <w:sz w:val="20"/>
        </w:rPr>
        <w:t xml:space="preserve"> </w:t>
      </w:r>
      <w:r>
        <w:rPr>
          <w:sz w:val="20"/>
        </w:rPr>
        <w:t>sin</w:t>
      </w:r>
      <w:r>
        <w:rPr>
          <w:spacing w:val="-18"/>
          <w:sz w:val="20"/>
        </w:rPr>
        <w:t xml:space="preserve"> </w:t>
      </w:r>
      <w:r>
        <w:rPr>
          <w:sz w:val="20"/>
        </w:rPr>
        <w:t>discriminación alguna</w:t>
      </w:r>
      <w:hyperlink w:anchor="_bookmark816" w:history="1">
        <w:r>
          <w:rPr>
            <w:position w:val="7"/>
            <w:sz w:val="13"/>
          </w:rPr>
          <w:t>134</w:t>
        </w:r>
      </w:hyperlink>
      <w:r>
        <w:rPr>
          <w:sz w:val="20"/>
        </w:rPr>
        <w:t>.</w:t>
      </w:r>
    </w:p>
    <w:p w14:paraId="5E3BDB35" w14:textId="77777777" w:rsidR="00467FCA" w:rsidRDefault="00467FCA">
      <w:pPr>
        <w:pStyle w:val="Textoindependiente"/>
        <w:spacing w:before="11"/>
        <w:rPr>
          <w:sz w:val="21"/>
        </w:rPr>
      </w:pPr>
    </w:p>
    <w:p w14:paraId="39556A34" w14:textId="77777777" w:rsidR="00467FCA" w:rsidRDefault="001B68EB">
      <w:pPr>
        <w:pStyle w:val="Prrafodelista"/>
        <w:numPr>
          <w:ilvl w:val="0"/>
          <w:numId w:val="4"/>
        </w:numPr>
        <w:tabs>
          <w:tab w:val="left" w:pos="1167"/>
        </w:tabs>
        <w:ind w:right="274" w:firstLine="0"/>
        <w:jc w:val="both"/>
        <w:rPr>
          <w:sz w:val="20"/>
        </w:rPr>
      </w:pPr>
      <w:r>
        <w:rPr>
          <w:sz w:val="20"/>
        </w:rPr>
        <w:t>En</w:t>
      </w:r>
      <w:r>
        <w:rPr>
          <w:spacing w:val="-12"/>
          <w:sz w:val="20"/>
        </w:rPr>
        <w:t xml:space="preserve"> </w:t>
      </w:r>
      <w:r>
        <w:rPr>
          <w:sz w:val="20"/>
        </w:rPr>
        <w:t>relación</w:t>
      </w:r>
      <w:r>
        <w:rPr>
          <w:spacing w:val="-9"/>
          <w:sz w:val="20"/>
        </w:rPr>
        <w:t xml:space="preserve"> </w:t>
      </w:r>
      <w:r>
        <w:rPr>
          <w:sz w:val="20"/>
        </w:rPr>
        <w:t>con</w:t>
      </w:r>
      <w:r>
        <w:rPr>
          <w:spacing w:val="-9"/>
          <w:sz w:val="20"/>
        </w:rPr>
        <w:t xml:space="preserve"> </w:t>
      </w:r>
      <w:r>
        <w:rPr>
          <w:sz w:val="20"/>
        </w:rPr>
        <w:t>el</w:t>
      </w:r>
      <w:r>
        <w:rPr>
          <w:spacing w:val="-12"/>
          <w:sz w:val="20"/>
        </w:rPr>
        <w:t xml:space="preserve"> </w:t>
      </w:r>
      <w:r>
        <w:rPr>
          <w:sz w:val="20"/>
        </w:rPr>
        <w:t>artículo</w:t>
      </w:r>
      <w:r>
        <w:rPr>
          <w:spacing w:val="-14"/>
          <w:sz w:val="20"/>
        </w:rPr>
        <w:t xml:space="preserve"> </w:t>
      </w:r>
      <w:r>
        <w:rPr>
          <w:sz w:val="20"/>
        </w:rPr>
        <w:t>1.1</w:t>
      </w:r>
      <w:r>
        <w:rPr>
          <w:spacing w:val="-12"/>
          <w:sz w:val="20"/>
        </w:rPr>
        <w:t xml:space="preserve"> </w:t>
      </w:r>
      <w:r>
        <w:rPr>
          <w:sz w:val="20"/>
        </w:rPr>
        <w:t>de</w:t>
      </w:r>
      <w:r>
        <w:rPr>
          <w:spacing w:val="-11"/>
          <w:sz w:val="20"/>
        </w:rPr>
        <w:t xml:space="preserve"> </w:t>
      </w:r>
      <w:r>
        <w:rPr>
          <w:sz w:val="20"/>
        </w:rPr>
        <w:t>la</w:t>
      </w:r>
      <w:r>
        <w:rPr>
          <w:spacing w:val="-12"/>
          <w:sz w:val="20"/>
        </w:rPr>
        <w:t xml:space="preserve"> </w:t>
      </w:r>
      <w:r>
        <w:rPr>
          <w:sz w:val="20"/>
        </w:rPr>
        <w:t>Convención</w:t>
      </w:r>
      <w:r>
        <w:rPr>
          <w:spacing w:val="-7"/>
          <w:sz w:val="20"/>
        </w:rPr>
        <w:t xml:space="preserve"> </w:t>
      </w:r>
      <w:r>
        <w:rPr>
          <w:sz w:val="20"/>
        </w:rPr>
        <w:t>Americana,</w:t>
      </w:r>
      <w:r>
        <w:rPr>
          <w:spacing w:val="-13"/>
          <w:sz w:val="20"/>
        </w:rPr>
        <w:t xml:space="preserve"> </w:t>
      </w:r>
      <w:r>
        <w:rPr>
          <w:sz w:val="20"/>
        </w:rPr>
        <w:t>la</w:t>
      </w:r>
      <w:r>
        <w:rPr>
          <w:spacing w:val="-10"/>
          <w:sz w:val="20"/>
        </w:rPr>
        <w:t xml:space="preserve"> </w:t>
      </w:r>
      <w:r>
        <w:rPr>
          <w:sz w:val="20"/>
        </w:rPr>
        <w:t>Corte</w:t>
      </w:r>
      <w:r>
        <w:rPr>
          <w:spacing w:val="-11"/>
          <w:sz w:val="20"/>
        </w:rPr>
        <w:t xml:space="preserve"> </w:t>
      </w:r>
      <w:r>
        <w:rPr>
          <w:sz w:val="20"/>
        </w:rPr>
        <w:t>IDH</w:t>
      </w:r>
      <w:r>
        <w:rPr>
          <w:spacing w:val="-11"/>
          <w:sz w:val="20"/>
        </w:rPr>
        <w:t xml:space="preserve"> </w:t>
      </w:r>
      <w:r>
        <w:rPr>
          <w:sz w:val="20"/>
        </w:rPr>
        <w:t>ha</w:t>
      </w:r>
      <w:r>
        <w:rPr>
          <w:spacing w:val="-10"/>
          <w:sz w:val="20"/>
        </w:rPr>
        <w:t xml:space="preserve"> </w:t>
      </w:r>
      <w:r>
        <w:rPr>
          <w:sz w:val="20"/>
        </w:rPr>
        <w:t>establecido que es una norma de carácter general cuyo contenido se extiende a todas las disposiciones del tratado, y dispone la obligación de los Estados Parte de respetar y garantizar el pleno y libre ejercicio de los derechos y libertades allí reconocida</w:t>
      </w:r>
      <w:r>
        <w:rPr>
          <w:sz w:val="20"/>
        </w:rPr>
        <w:t xml:space="preserve">s “sin discriminación alguna”. Es decir, cualquiera que sea el origen o la forma que asuma, todo tratamiento que pueda ser considerado discriminatorio respecto del ejercicio de cualquiera de los derechos garantizados en la Convención es </w:t>
      </w:r>
      <w:r>
        <w:rPr>
          <w:i/>
          <w:sz w:val="20"/>
        </w:rPr>
        <w:t xml:space="preserve">per se </w:t>
      </w:r>
      <w:r>
        <w:rPr>
          <w:sz w:val="20"/>
        </w:rPr>
        <w:t>incompatible</w:t>
      </w:r>
      <w:r>
        <w:rPr>
          <w:sz w:val="20"/>
        </w:rPr>
        <w:t xml:space="preserve"> con la misma</w:t>
      </w:r>
      <w:hyperlink w:anchor="_bookmark817" w:history="1">
        <w:r>
          <w:rPr>
            <w:position w:val="7"/>
            <w:sz w:val="13"/>
          </w:rPr>
          <w:t>135</w:t>
        </w:r>
      </w:hyperlink>
      <w:r>
        <w:rPr>
          <w:sz w:val="20"/>
        </w:rPr>
        <w:t>. El incumplimiento por el Estado, mediante cualquier tratamiento discriminatorio, de la obligación general de respetar y garantizar los derechos humanos le genera responsabilidad internacional</w:t>
      </w:r>
      <w:hyperlink w:anchor="_bookmark818" w:history="1">
        <w:r>
          <w:rPr>
            <w:position w:val="7"/>
            <w:sz w:val="13"/>
          </w:rPr>
          <w:t>136</w:t>
        </w:r>
      </w:hyperlink>
      <w:r>
        <w:rPr>
          <w:sz w:val="20"/>
        </w:rPr>
        <w:t>. Es por ello que existe</w:t>
      </w:r>
      <w:r>
        <w:rPr>
          <w:spacing w:val="-17"/>
          <w:sz w:val="20"/>
        </w:rPr>
        <w:t xml:space="preserve"> </w:t>
      </w:r>
      <w:r>
        <w:rPr>
          <w:sz w:val="20"/>
        </w:rPr>
        <w:t>un</w:t>
      </w:r>
      <w:r>
        <w:rPr>
          <w:spacing w:val="-14"/>
          <w:sz w:val="20"/>
        </w:rPr>
        <w:t xml:space="preserve"> </w:t>
      </w:r>
      <w:r>
        <w:rPr>
          <w:sz w:val="20"/>
        </w:rPr>
        <w:t>vínculo</w:t>
      </w:r>
      <w:r>
        <w:rPr>
          <w:spacing w:val="-17"/>
          <w:sz w:val="20"/>
        </w:rPr>
        <w:t xml:space="preserve"> </w:t>
      </w:r>
      <w:r>
        <w:rPr>
          <w:sz w:val="20"/>
        </w:rPr>
        <w:t>indisoluble</w:t>
      </w:r>
      <w:r>
        <w:rPr>
          <w:spacing w:val="-16"/>
          <w:sz w:val="20"/>
        </w:rPr>
        <w:t xml:space="preserve"> </w:t>
      </w:r>
      <w:r>
        <w:rPr>
          <w:sz w:val="20"/>
        </w:rPr>
        <w:t>entre</w:t>
      </w:r>
      <w:r>
        <w:rPr>
          <w:spacing w:val="-16"/>
          <w:sz w:val="20"/>
        </w:rPr>
        <w:t xml:space="preserve"> </w:t>
      </w:r>
      <w:r>
        <w:rPr>
          <w:sz w:val="20"/>
        </w:rPr>
        <w:t>la</w:t>
      </w:r>
      <w:r>
        <w:rPr>
          <w:spacing w:val="-16"/>
          <w:sz w:val="20"/>
        </w:rPr>
        <w:t xml:space="preserve"> </w:t>
      </w:r>
      <w:r>
        <w:rPr>
          <w:sz w:val="20"/>
        </w:rPr>
        <w:t>obligación</w:t>
      </w:r>
      <w:r>
        <w:rPr>
          <w:spacing w:val="-12"/>
          <w:sz w:val="20"/>
        </w:rPr>
        <w:t xml:space="preserve"> </w:t>
      </w:r>
      <w:r>
        <w:rPr>
          <w:sz w:val="20"/>
        </w:rPr>
        <w:t>de</w:t>
      </w:r>
      <w:r>
        <w:rPr>
          <w:spacing w:val="-17"/>
          <w:sz w:val="20"/>
        </w:rPr>
        <w:t xml:space="preserve"> </w:t>
      </w:r>
      <w:r>
        <w:rPr>
          <w:sz w:val="20"/>
        </w:rPr>
        <w:t>respetar</w:t>
      </w:r>
      <w:r>
        <w:rPr>
          <w:spacing w:val="-16"/>
          <w:sz w:val="20"/>
        </w:rPr>
        <w:t xml:space="preserve"> </w:t>
      </w:r>
      <w:r>
        <w:rPr>
          <w:sz w:val="20"/>
        </w:rPr>
        <w:t>y</w:t>
      </w:r>
      <w:r>
        <w:rPr>
          <w:spacing w:val="-15"/>
          <w:sz w:val="20"/>
        </w:rPr>
        <w:t xml:space="preserve"> </w:t>
      </w:r>
      <w:r>
        <w:rPr>
          <w:sz w:val="20"/>
        </w:rPr>
        <w:t>garantizar</w:t>
      </w:r>
      <w:r>
        <w:rPr>
          <w:spacing w:val="-15"/>
          <w:sz w:val="20"/>
        </w:rPr>
        <w:t xml:space="preserve"> </w:t>
      </w:r>
      <w:r>
        <w:rPr>
          <w:sz w:val="20"/>
        </w:rPr>
        <w:t>los</w:t>
      </w:r>
      <w:r>
        <w:rPr>
          <w:spacing w:val="-16"/>
          <w:sz w:val="20"/>
        </w:rPr>
        <w:t xml:space="preserve"> </w:t>
      </w:r>
      <w:r>
        <w:rPr>
          <w:sz w:val="20"/>
        </w:rPr>
        <w:t>derechos</w:t>
      </w:r>
      <w:r>
        <w:rPr>
          <w:spacing w:val="-16"/>
          <w:sz w:val="20"/>
        </w:rPr>
        <w:t xml:space="preserve"> </w:t>
      </w:r>
      <w:r>
        <w:rPr>
          <w:sz w:val="20"/>
        </w:rPr>
        <w:t>humanos y el principio de igualdad y no</w:t>
      </w:r>
      <w:r>
        <w:rPr>
          <w:spacing w:val="-11"/>
          <w:sz w:val="20"/>
        </w:rPr>
        <w:t xml:space="preserve"> </w:t>
      </w:r>
      <w:r>
        <w:rPr>
          <w:sz w:val="20"/>
        </w:rPr>
        <w:t>discriminación</w:t>
      </w:r>
      <w:hyperlink w:anchor="_bookmark819" w:history="1">
        <w:r>
          <w:rPr>
            <w:position w:val="7"/>
            <w:sz w:val="13"/>
          </w:rPr>
          <w:t>137</w:t>
        </w:r>
      </w:hyperlink>
      <w:r>
        <w:rPr>
          <w:sz w:val="20"/>
        </w:rPr>
        <w:t>.</w:t>
      </w:r>
    </w:p>
    <w:p w14:paraId="1CD82097" w14:textId="77777777" w:rsidR="00467FCA" w:rsidRDefault="00467FCA">
      <w:pPr>
        <w:pStyle w:val="Textoindependiente"/>
      </w:pPr>
    </w:p>
    <w:p w14:paraId="2A66F036" w14:textId="77777777" w:rsidR="00467FCA" w:rsidRDefault="001B68EB">
      <w:pPr>
        <w:pStyle w:val="Textoindependiente"/>
        <w:spacing w:before="6"/>
        <w:rPr>
          <w:sz w:val="25"/>
        </w:rPr>
      </w:pPr>
      <w:r>
        <w:pict w14:anchorId="1D39C0C4">
          <v:shape id="_x0000_s1044" style="position:absolute;margin-left:70.9pt;margin-top:17.75pt;width:2in;height:.1pt;z-index:-251503616;mso-wrap-distance-left:0;mso-wrap-distance-right:0;mso-position-horizontal-relative:page" coordorigin="1418,355" coordsize="2880,0" path="m1418,355r2880,e" filled="f" strokeweight=".6pt">
            <v:path arrowok="t"/>
            <w10:wrap type="topAndBottom" anchorx="page"/>
          </v:shape>
        </w:pict>
      </w:r>
    </w:p>
    <w:p w14:paraId="4A1A19AA" w14:textId="77777777" w:rsidR="00467FCA" w:rsidRDefault="001B68EB">
      <w:pPr>
        <w:tabs>
          <w:tab w:val="left" w:pos="1166"/>
        </w:tabs>
        <w:spacing w:before="74"/>
        <w:ind w:left="458" w:right="270"/>
        <w:jc w:val="both"/>
        <w:rPr>
          <w:sz w:val="16"/>
        </w:rPr>
      </w:pPr>
      <w:bookmarkStart w:id="895" w:name="_bookmark814"/>
      <w:bookmarkEnd w:id="895"/>
      <w:r>
        <w:rPr>
          <w:position w:val="6"/>
          <w:sz w:val="10"/>
        </w:rPr>
        <w:t>132</w:t>
      </w:r>
      <w:r>
        <w:rPr>
          <w:position w:val="6"/>
          <w:sz w:val="10"/>
        </w:rPr>
        <w:tab/>
      </w:r>
      <w:r>
        <w:rPr>
          <w:sz w:val="16"/>
        </w:rPr>
        <w:t>Véanse, Le Saux, Marianne Gonzál</w:t>
      </w:r>
      <w:r>
        <w:rPr>
          <w:sz w:val="16"/>
        </w:rPr>
        <w:t xml:space="preserve">es y Parra Vera, Óscar, “Concepciones y claúsulas de igualdad en la jurisprudencia de la Corte Interamericana: a propósito del Caso Apitz”, en </w:t>
      </w:r>
      <w:r>
        <w:rPr>
          <w:i/>
          <w:sz w:val="16"/>
        </w:rPr>
        <w:t>Revista del Instituto Interamericano de Derechos Humanos</w:t>
      </w:r>
      <w:r>
        <w:rPr>
          <w:sz w:val="16"/>
        </w:rPr>
        <w:t xml:space="preserve">, San José, No. 47, 2008, pp. 127-164; Uprimny Yepes, Rodrigo y Sánchez Duque, Luz María, “Igualdad ante la ley”, en Christian Steiner y Marie -Christine Fucks (ed.) y Patricia Uribe, (coord. académica), </w:t>
      </w:r>
      <w:r>
        <w:rPr>
          <w:i/>
          <w:sz w:val="16"/>
        </w:rPr>
        <w:t>Convención</w:t>
      </w:r>
      <w:r>
        <w:rPr>
          <w:i/>
          <w:spacing w:val="-12"/>
          <w:sz w:val="16"/>
        </w:rPr>
        <w:t xml:space="preserve"> </w:t>
      </w:r>
      <w:r>
        <w:rPr>
          <w:i/>
          <w:sz w:val="16"/>
        </w:rPr>
        <w:t>Americana</w:t>
      </w:r>
      <w:r>
        <w:rPr>
          <w:i/>
          <w:spacing w:val="-11"/>
          <w:sz w:val="16"/>
        </w:rPr>
        <w:t xml:space="preserve"> </w:t>
      </w:r>
      <w:r>
        <w:rPr>
          <w:i/>
          <w:sz w:val="16"/>
        </w:rPr>
        <w:t>sobre</w:t>
      </w:r>
      <w:r>
        <w:rPr>
          <w:i/>
          <w:spacing w:val="-10"/>
          <w:sz w:val="16"/>
        </w:rPr>
        <w:t xml:space="preserve"> </w:t>
      </w:r>
      <w:r>
        <w:rPr>
          <w:i/>
          <w:sz w:val="16"/>
        </w:rPr>
        <w:t>Derechos</w:t>
      </w:r>
      <w:r>
        <w:rPr>
          <w:i/>
          <w:spacing w:val="-10"/>
          <w:sz w:val="16"/>
        </w:rPr>
        <w:t xml:space="preserve"> </w:t>
      </w:r>
      <w:r>
        <w:rPr>
          <w:i/>
          <w:sz w:val="16"/>
        </w:rPr>
        <w:t>Humanos,</w:t>
      </w:r>
      <w:r>
        <w:rPr>
          <w:i/>
          <w:spacing w:val="-12"/>
          <w:sz w:val="16"/>
        </w:rPr>
        <w:t xml:space="preserve"> </w:t>
      </w:r>
      <w:r>
        <w:rPr>
          <w:i/>
          <w:sz w:val="16"/>
        </w:rPr>
        <w:t>comenta</w:t>
      </w:r>
      <w:r>
        <w:rPr>
          <w:i/>
          <w:sz w:val="16"/>
        </w:rPr>
        <w:t>da</w:t>
      </w:r>
      <w:r>
        <w:rPr>
          <w:sz w:val="16"/>
        </w:rPr>
        <w:t>,</w:t>
      </w:r>
      <w:r>
        <w:rPr>
          <w:spacing w:val="-9"/>
          <w:sz w:val="16"/>
        </w:rPr>
        <w:t xml:space="preserve"> </w:t>
      </w:r>
      <w:r>
        <w:rPr>
          <w:sz w:val="16"/>
        </w:rPr>
        <w:t>2da.</w:t>
      </w:r>
      <w:r>
        <w:rPr>
          <w:spacing w:val="-9"/>
          <w:sz w:val="16"/>
        </w:rPr>
        <w:t xml:space="preserve"> </w:t>
      </w:r>
      <w:r>
        <w:rPr>
          <w:sz w:val="16"/>
        </w:rPr>
        <w:t>ed.,</w:t>
      </w:r>
      <w:r>
        <w:rPr>
          <w:spacing w:val="-8"/>
          <w:sz w:val="16"/>
        </w:rPr>
        <w:t xml:space="preserve"> </w:t>
      </w:r>
      <w:r>
        <w:rPr>
          <w:sz w:val="16"/>
        </w:rPr>
        <w:t>Bogotá,</w:t>
      </w:r>
      <w:r>
        <w:rPr>
          <w:spacing w:val="-9"/>
          <w:sz w:val="16"/>
        </w:rPr>
        <w:t xml:space="preserve"> </w:t>
      </w:r>
      <w:r>
        <w:rPr>
          <w:sz w:val="16"/>
        </w:rPr>
        <w:t>Konrad</w:t>
      </w:r>
      <w:r>
        <w:rPr>
          <w:spacing w:val="-10"/>
          <w:sz w:val="16"/>
        </w:rPr>
        <w:t xml:space="preserve"> </w:t>
      </w:r>
      <w:r>
        <w:rPr>
          <w:sz w:val="16"/>
        </w:rPr>
        <w:t>Adenauer</w:t>
      </w:r>
      <w:r>
        <w:rPr>
          <w:spacing w:val="-10"/>
          <w:sz w:val="16"/>
        </w:rPr>
        <w:t xml:space="preserve"> </w:t>
      </w:r>
      <w:r>
        <w:rPr>
          <w:sz w:val="16"/>
        </w:rPr>
        <w:t>Stiftung,</w:t>
      </w:r>
      <w:r>
        <w:rPr>
          <w:spacing w:val="-11"/>
          <w:sz w:val="16"/>
        </w:rPr>
        <w:t xml:space="preserve"> </w:t>
      </w:r>
      <w:r>
        <w:rPr>
          <w:sz w:val="16"/>
        </w:rPr>
        <w:t>2019,</w:t>
      </w:r>
      <w:r>
        <w:rPr>
          <w:spacing w:val="-12"/>
          <w:sz w:val="16"/>
        </w:rPr>
        <w:t xml:space="preserve"> </w:t>
      </w:r>
      <w:r>
        <w:rPr>
          <w:sz w:val="16"/>
        </w:rPr>
        <w:t xml:space="preserve">pp. 708 y ss.; y Pérez, Edwar, </w:t>
      </w:r>
      <w:r>
        <w:rPr>
          <w:i/>
          <w:sz w:val="16"/>
        </w:rPr>
        <w:t>Igualdad y no discriminación en el derecho interamericano</w:t>
      </w:r>
      <w:r>
        <w:rPr>
          <w:sz w:val="16"/>
        </w:rPr>
        <w:t>, México, CNDH, México, 2016,</w:t>
      </w:r>
      <w:bookmarkStart w:id="896" w:name="_bookmark815"/>
      <w:bookmarkEnd w:id="896"/>
      <w:r>
        <w:rPr>
          <w:sz w:val="16"/>
        </w:rPr>
        <w:t xml:space="preserve"> pp.</w:t>
      </w:r>
      <w:r>
        <w:rPr>
          <w:spacing w:val="-2"/>
          <w:sz w:val="16"/>
        </w:rPr>
        <w:t xml:space="preserve"> </w:t>
      </w:r>
      <w:r>
        <w:rPr>
          <w:sz w:val="16"/>
        </w:rPr>
        <w:t>23-24.</w:t>
      </w:r>
    </w:p>
    <w:p w14:paraId="665764A0" w14:textId="77777777" w:rsidR="00467FCA" w:rsidRDefault="001B68EB">
      <w:pPr>
        <w:tabs>
          <w:tab w:val="left" w:pos="1166"/>
        </w:tabs>
        <w:ind w:left="458" w:right="272" w:hanging="1"/>
        <w:jc w:val="both"/>
        <w:rPr>
          <w:sz w:val="16"/>
        </w:rPr>
      </w:pPr>
      <w:r>
        <w:rPr>
          <w:position w:val="6"/>
          <w:sz w:val="10"/>
        </w:rPr>
        <w:t>133</w:t>
      </w:r>
      <w:r>
        <w:rPr>
          <w:position w:val="6"/>
          <w:sz w:val="10"/>
        </w:rPr>
        <w:tab/>
      </w:r>
      <w:r>
        <w:rPr>
          <w:sz w:val="16"/>
        </w:rPr>
        <w:t xml:space="preserve">Al respecto, la Corte IDH, en su Opinión Consultiva OC-16/99 sobre </w:t>
      </w:r>
      <w:r>
        <w:rPr>
          <w:i/>
          <w:sz w:val="16"/>
        </w:rPr>
        <w:t>El</w:t>
      </w:r>
      <w:r>
        <w:rPr>
          <w:i/>
          <w:sz w:val="16"/>
        </w:rPr>
        <w:t xml:space="preserve"> Derecho a la Información sobre la Asistencia Consular en el marco de las Garantías del Debido Proceso Legal, </w:t>
      </w:r>
      <w:r>
        <w:rPr>
          <w:sz w:val="16"/>
        </w:rPr>
        <w:t xml:space="preserve">señaló que: “El </w:t>
      </w:r>
      <w:r>
        <w:rPr>
          <w:i/>
          <w:sz w:val="16"/>
        </w:rPr>
        <w:t xml:space="preserve">corpus juris </w:t>
      </w:r>
      <w:r>
        <w:rPr>
          <w:sz w:val="16"/>
        </w:rPr>
        <w:t>del Derecho Internacional de los Derechos Humanos está formado por un conjunto de instrumentos internacionales de con</w:t>
      </w:r>
      <w:r>
        <w:rPr>
          <w:sz w:val="16"/>
        </w:rPr>
        <w:t>tenido y efectos jurídicos variados (tratados, convenios, resoluciones y declaraciones). Su evolución dinámica ha ejercido un impacto positivo en el Derecho Internacional, en el sentido de afirmar y desarrollar la aptitud de este último para regular las re</w:t>
      </w:r>
      <w:r>
        <w:rPr>
          <w:sz w:val="16"/>
        </w:rPr>
        <w:t>laciones entre los Estados y los seres humanos bajo sus respectivas jurisdicciones. Por lo tanto, esta Corte debe adoptar un criterio adecuado para considerar la cuestión sujeta a examen en el marco de la evolución de los derechos fundamentales de la perso</w:t>
      </w:r>
      <w:r>
        <w:rPr>
          <w:sz w:val="16"/>
        </w:rPr>
        <w:t xml:space="preserve">na humana en el derecho internacional contemporáneo”. </w:t>
      </w:r>
      <w:r>
        <w:rPr>
          <w:i/>
          <w:sz w:val="16"/>
        </w:rPr>
        <w:t>El derecho a la información sobre la asistencia consular en el marco de las garantías del debido proceso legal</w:t>
      </w:r>
      <w:r>
        <w:rPr>
          <w:sz w:val="16"/>
        </w:rPr>
        <w:t>. Opinión Consultiva OC-16/99 de 1 de octubre de 1999. Serie A No. 16, párr.</w:t>
      </w:r>
      <w:r>
        <w:rPr>
          <w:spacing w:val="-16"/>
          <w:sz w:val="16"/>
        </w:rPr>
        <w:t xml:space="preserve"> </w:t>
      </w:r>
      <w:r>
        <w:rPr>
          <w:sz w:val="16"/>
        </w:rPr>
        <w:t>115.</w:t>
      </w:r>
    </w:p>
    <w:p w14:paraId="41BC2E1C" w14:textId="77777777" w:rsidR="00467FCA" w:rsidRDefault="001B68EB">
      <w:pPr>
        <w:tabs>
          <w:tab w:val="left" w:pos="1166"/>
        </w:tabs>
        <w:ind w:left="458" w:right="274"/>
        <w:jc w:val="both"/>
        <w:rPr>
          <w:sz w:val="16"/>
        </w:rPr>
      </w:pPr>
      <w:bookmarkStart w:id="897" w:name="_bookmark816"/>
      <w:bookmarkEnd w:id="897"/>
      <w:r>
        <w:rPr>
          <w:position w:val="6"/>
          <w:sz w:val="10"/>
        </w:rPr>
        <w:t>134</w:t>
      </w:r>
      <w:r>
        <w:rPr>
          <w:position w:val="6"/>
          <w:sz w:val="10"/>
        </w:rPr>
        <w:tab/>
      </w:r>
      <w:r>
        <w:rPr>
          <w:i/>
          <w:sz w:val="16"/>
        </w:rPr>
        <w:t>Cfr.</w:t>
      </w:r>
      <w:r>
        <w:rPr>
          <w:i/>
          <w:spacing w:val="43"/>
          <w:sz w:val="16"/>
        </w:rPr>
        <w:t xml:space="preserve"> </w:t>
      </w:r>
      <w:r>
        <w:rPr>
          <w:i/>
          <w:sz w:val="16"/>
        </w:rPr>
        <w:t>C</w:t>
      </w:r>
      <w:r>
        <w:rPr>
          <w:i/>
          <w:sz w:val="16"/>
        </w:rPr>
        <w:t>ondición</w:t>
      </w:r>
      <w:r>
        <w:rPr>
          <w:i/>
          <w:spacing w:val="-6"/>
          <w:sz w:val="16"/>
        </w:rPr>
        <w:t xml:space="preserve"> </w:t>
      </w:r>
      <w:r>
        <w:rPr>
          <w:i/>
          <w:sz w:val="16"/>
        </w:rPr>
        <w:t>jurídica</w:t>
      </w:r>
      <w:r>
        <w:rPr>
          <w:i/>
          <w:spacing w:val="-8"/>
          <w:sz w:val="16"/>
        </w:rPr>
        <w:t xml:space="preserve"> </w:t>
      </w:r>
      <w:r>
        <w:rPr>
          <w:i/>
          <w:sz w:val="16"/>
        </w:rPr>
        <w:t>y</w:t>
      </w:r>
      <w:r>
        <w:rPr>
          <w:i/>
          <w:spacing w:val="-6"/>
          <w:sz w:val="16"/>
        </w:rPr>
        <w:t xml:space="preserve"> </w:t>
      </w:r>
      <w:r>
        <w:rPr>
          <w:i/>
          <w:sz w:val="16"/>
        </w:rPr>
        <w:t>derechos</w:t>
      </w:r>
      <w:r>
        <w:rPr>
          <w:i/>
          <w:spacing w:val="-7"/>
          <w:sz w:val="16"/>
        </w:rPr>
        <w:t xml:space="preserve"> </w:t>
      </w:r>
      <w:r>
        <w:rPr>
          <w:i/>
          <w:sz w:val="16"/>
        </w:rPr>
        <w:t>de</w:t>
      </w:r>
      <w:r>
        <w:rPr>
          <w:i/>
          <w:spacing w:val="-6"/>
          <w:sz w:val="16"/>
        </w:rPr>
        <w:t xml:space="preserve"> </w:t>
      </w:r>
      <w:r>
        <w:rPr>
          <w:i/>
          <w:sz w:val="16"/>
        </w:rPr>
        <w:t>los</w:t>
      </w:r>
      <w:r>
        <w:rPr>
          <w:i/>
          <w:spacing w:val="-7"/>
          <w:sz w:val="16"/>
        </w:rPr>
        <w:t xml:space="preserve"> </w:t>
      </w:r>
      <w:r>
        <w:rPr>
          <w:i/>
          <w:sz w:val="16"/>
        </w:rPr>
        <w:t>migrantes</w:t>
      </w:r>
      <w:r>
        <w:rPr>
          <w:i/>
          <w:spacing w:val="-7"/>
          <w:sz w:val="16"/>
        </w:rPr>
        <w:t xml:space="preserve"> </w:t>
      </w:r>
      <w:r>
        <w:rPr>
          <w:i/>
          <w:sz w:val="16"/>
        </w:rPr>
        <w:t>indocumentados</w:t>
      </w:r>
      <w:r>
        <w:rPr>
          <w:sz w:val="16"/>
        </w:rPr>
        <w:t>.</w:t>
      </w:r>
      <w:r>
        <w:rPr>
          <w:spacing w:val="-8"/>
          <w:sz w:val="16"/>
        </w:rPr>
        <w:t xml:space="preserve"> </w:t>
      </w:r>
      <w:r>
        <w:rPr>
          <w:sz w:val="16"/>
        </w:rPr>
        <w:t>Opinión</w:t>
      </w:r>
      <w:r>
        <w:rPr>
          <w:spacing w:val="-8"/>
          <w:sz w:val="16"/>
        </w:rPr>
        <w:t xml:space="preserve"> </w:t>
      </w:r>
      <w:r>
        <w:rPr>
          <w:sz w:val="16"/>
        </w:rPr>
        <w:t>Consultiva</w:t>
      </w:r>
      <w:r>
        <w:rPr>
          <w:spacing w:val="-8"/>
          <w:sz w:val="16"/>
        </w:rPr>
        <w:t xml:space="preserve"> </w:t>
      </w:r>
      <w:r>
        <w:rPr>
          <w:sz w:val="16"/>
        </w:rPr>
        <w:t>OC-18/03</w:t>
      </w:r>
      <w:r>
        <w:rPr>
          <w:spacing w:val="-6"/>
          <w:sz w:val="16"/>
        </w:rPr>
        <w:t xml:space="preserve"> </w:t>
      </w:r>
      <w:r>
        <w:rPr>
          <w:sz w:val="16"/>
        </w:rPr>
        <w:t>de</w:t>
      </w:r>
      <w:r>
        <w:rPr>
          <w:spacing w:val="-7"/>
          <w:sz w:val="16"/>
        </w:rPr>
        <w:t xml:space="preserve"> </w:t>
      </w:r>
      <w:r>
        <w:rPr>
          <w:sz w:val="16"/>
        </w:rPr>
        <w:t>17</w:t>
      </w:r>
      <w:r>
        <w:rPr>
          <w:spacing w:val="-6"/>
          <w:sz w:val="16"/>
        </w:rPr>
        <w:t xml:space="preserve"> </w:t>
      </w:r>
      <w:r>
        <w:rPr>
          <w:sz w:val="16"/>
        </w:rPr>
        <w:t>de septiembre de 2003. Serie A No. 18, párr.</w:t>
      </w:r>
      <w:r>
        <w:rPr>
          <w:spacing w:val="-17"/>
          <w:sz w:val="16"/>
        </w:rPr>
        <w:t xml:space="preserve"> </w:t>
      </w:r>
      <w:r>
        <w:rPr>
          <w:sz w:val="16"/>
        </w:rPr>
        <w:t>83.</w:t>
      </w:r>
    </w:p>
    <w:p w14:paraId="6B41B5CC" w14:textId="77777777" w:rsidR="00467FCA" w:rsidRDefault="001B68EB">
      <w:pPr>
        <w:tabs>
          <w:tab w:val="left" w:pos="1166"/>
        </w:tabs>
        <w:ind w:left="458" w:right="271"/>
        <w:jc w:val="both"/>
        <w:rPr>
          <w:sz w:val="16"/>
        </w:rPr>
      </w:pPr>
      <w:bookmarkStart w:id="898" w:name="_bookmark817"/>
      <w:bookmarkEnd w:id="898"/>
      <w:r>
        <w:rPr>
          <w:position w:val="6"/>
          <w:sz w:val="10"/>
        </w:rPr>
        <w:t>135</w:t>
      </w:r>
      <w:r>
        <w:rPr>
          <w:position w:val="6"/>
          <w:sz w:val="10"/>
        </w:rPr>
        <w:tab/>
      </w:r>
      <w:r>
        <w:rPr>
          <w:i/>
          <w:sz w:val="16"/>
        </w:rPr>
        <w:t>Cfr. Propuesta de modificación a la Constitución Política de Costa Rica relacionada con la naturalización</w:t>
      </w:r>
      <w:r>
        <w:rPr>
          <w:sz w:val="16"/>
        </w:rPr>
        <w:t>. Opinión</w:t>
      </w:r>
      <w:r>
        <w:rPr>
          <w:spacing w:val="-13"/>
          <w:sz w:val="16"/>
        </w:rPr>
        <w:t xml:space="preserve"> </w:t>
      </w:r>
      <w:r>
        <w:rPr>
          <w:sz w:val="16"/>
        </w:rPr>
        <w:t>Consultiva</w:t>
      </w:r>
      <w:r>
        <w:rPr>
          <w:spacing w:val="-12"/>
          <w:sz w:val="16"/>
        </w:rPr>
        <w:t xml:space="preserve"> </w:t>
      </w:r>
      <w:r>
        <w:rPr>
          <w:sz w:val="16"/>
        </w:rPr>
        <w:t>OC-4/84</w:t>
      </w:r>
      <w:r>
        <w:rPr>
          <w:spacing w:val="-14"/>
          <w:sz w:val="16"/>
        </w:rPr>
        <w:t xml:space="preserve"> </w:t>
      </w:r>
      <w:r>
        <w:rPr>
          <w:sz w:val="16"/>
        </w:rPr>
        <w:t>de</w:t>
      </w:r>
      <w:r>
        <w:rPr>
          <w:spacing w:val="-11"/>
          <w:sz w:val="16"/>
        </w:rPr>
        <w:t xml:space="preserve"> </w:t>
      </w:r>
      <w:r>
        <w:rPr>
          <w:sz w:val="16"/>
        </w:rPr>
        <w:t>19</w:t>
      </w:r>
      <w:r>
        <w:rPr>
          <w:spacing w:val="-11"/>
          <w:sz w:val="16"/>
        </w:rPr>
        <w:t xml:space="preserve"> </w:t>
      </w:r>
      <w:r>
        <w:rPr>
          <w:sz w:val="16"/>
        </w:rPr>
        <w:t>de</w:t>
      </w:r>
      <w:r>
        <w:rPr>
          <w:spacing w:val="-13"/>
          <w:sz w:val="16"/>
        </w:rPr>
        <w:t xml:space="preserve"> </w:t>
      </w:r>
      <w:r>
        <w:rPr>
          <w:sz w:val="16"/>
        </w:rPr>
        <w:t>enero</w:t>
      </w:r>
      <w:r>
        <w:rPr>
          <w:spacing w:val="-10"/>
          <w:sz w:val="16"/>
        </w:rPr>
        <w:t xml:space="preserve"> </w:t>
      </w:r>
      <w:r>
        <w:rPr>
          <w:sz w:val="16"/>
        </w:rPr>
        <w:t>de</w:t>
      </w:r>
      <w:r>
        <w:rPr>
          <w:spacing w:val="-12"/>
          <w:sz w:val="16"/>
        </w:rPr>
        <w:t xml:space="preserve"> </w:t>
      </w:r>
      <w:r>
        <w:rPr>
          <w:sz w:val="16"/>
        </w:rPr>
        <w:t>1984.</w:t>
      </w:r>
      <w:r>
        <w:rPr>
          <w:spacing w:val="-12"/>
          <w:sz w:val="16"/>
        </w:rPr>
        <w:t xml:space="preserve"> </w:t>
      </w:r>
      <w:r>
        <w:rPr>
          <w:sz w:val="16"/>
        </w:rPr>
        <w:t>Serie</w:t>
      </w:r>
      <w:r>
        <w:rPr>
          <w:spacing w:val="-12"/>
          <w:sz w:val="16"/>
        </w:rPr>
        <w:t xml:space="preserve"> </w:t>
      </w:r>
      <w:r>
        <w:rPr>
          <w:sz w:val="16"/>
        </w:rPr>
        <w:t>A</w:t>
      </w:r>
      <w:r>
        <w:rPr>
          <w:spacing w:val="-11"/>
          <w:sz w:val="16"/>
        </w:rPr>
        <w:t xml:space="preserve"> </w:t>
      </w:r>
      <w:r>
        <w:rPr>
          <w:sz w:val="16"/>
        </w:rPr>
        <w:t>No.</w:t>
      </w:r>
      <w:r>
        <w:rPr>
          <w:spacing w:val="-12"/>
          <w:sz w:val="16"/>
        </w:rPr>
        <w:t xml:space="preserve"> </w:t>
      </w:r>
      <w:r>
        <w:rPr>
          <w:sz w:val="16"/>
        </w:rPr>
        <w:t>4,</w:t>
      </w:r>
      <w:r>
        <w:rPr>
          <w:spacing w:val="-13"/>
          <w:sz w:val="16"/>
        </w:rPr>
        <w:t xml:space="preserve"> </w:t>
      </w:r>
      <w:r>
        <w:rPr>
          <w:sz w:val="16"/>
        </w:rPr>
        <w:t>párr.</w:t>
      </w:r>
      <w:r>
        <w:rPr>
          <w:spacing w:val="-14"/>
          <w:sz w:val="16"/>
        </w:rPr>
        <w:t xml:space="preserve"> </w:t>
      </w:r>
      <w:r>
        <w:rPr>
          <w:sz w:val="16"/>
        </w:rPr>
        <w:t>53,</w:t>
      </w:r>
      <w:r>
        <w:rPr>
          <w:spacing w:val="-15"/>
          <w:sz w:val="16"/>
        </w:rPr>
        <w:t xml:space="preserve"> </w:t>
      </w:r>
      <w:r>
        <w:rPr>
          <w:sz w:val="16"/>
        </w:rPr>
        <w:t>y</w:t>
      </w:r>
      <w:r>
        <w:rPr>
          <w:spacing w:val="-11"/>
          <w:sz w:val="16"/>
        </w:rPr>
        <w:t xml:space="preserve"> </w:t>
      </w:r>
      <w:r>
        <w:rPr>
          <w:i/>
          <w:sz w:val="16"/>
        </w:rPr>
        <w:t>Caso</w:t>
      </w:r>
      <w:r>
        <w:rPr>
          <w:i/>
          <w:spacing w:val="-10"/>
          <w:sz w:val="16"/>
        </w:rPr>
        <w:t xml:space="preserve"> </w:t>
      </w:r>
      <w:r>
        <w:rPr>
          <w:i/>
          <w:sz w:val="16"/>
        </w:rPr>
        <w:t>Duque</w:t>
      </w:r>
      <w:r>
        <w:rPr>
          <w:i/>
          <w:spacing w:val="-14"/>
          <w:sz w:val="16"/>
        </w:rPr>
        <w:t xml:space="preserve"> </w:t>
      </w:r>
      <w:r>
        <w:rPr>
          <w:i/>
          <w:sz w:val="16"/>
        </w:rPr>
        <w:t>Vs.</w:t>
      </w:r>
      <w:r>
        <w:rPr>
          <w:i/>
          <w:spacing w:val="-12"/>
          <w:sz w:val="16"/>
        </w:rPr>
        <w:t xml:space="preserve"> </w:t>
      </w:r>
      <w:r>
        <w:rPr>
          <w:i/>
          <w:sz w:val="16"/>
        </w:rPr>
        <w:t>Colombia.</w:t>
      </w:r>
      <w:r>
        <w:rPr>
          <w:i/>
          <w:spacing w:val="-13"/>
          <w:sz w:val="16"/>
        </w:rPr>
        <w:t xml:space="preserve"> </w:t>
      </w:r>
      <w:r>
        <w:rPr>
          <w:i/>
          <w:sz w:val="16"/>
        </w:rPr>
        <w:t xml:space="preserve">Excepciones Preliminares, Fondo, Reparaciones </w:t>
      </w:r>
      <w:r>
        <w:rPr>
          <w:i/>
          <w:sz w:val="16"/>
        </w:rPr>
        <w:t xml:space="preserve">y Costas. </w:t>
      </w:r>
      <w:r>
        <w:rPr>
          <w:sz w:val="16"/>
        </w:rPr>
        <w:t>Sentencia de 26 de febrero de 2016. Serie C No. 310, párr.</w:t>
      </w:r>
      <w:r>
        <w:rPr>
          <w:spacing w:val="-26"/>
          <w:sz w:val="16"/>
        </w:rPr>
        <w:t xml:space="preserve"> </w:t>
      </w:r>
      <w:r>
        <w:rPr>
          <w:sz w:val="16"/>
        </w:rPr>
        <w:t>94.</w:t>
      </w:r>
    </w:p>
    <w:p w14:paraId="52E833D7" w14:textId="77777777" w:rsidR="00467FCA" w:rsidRDefault="001B68EB">
      <w:pPr>
        <w:tabs>
          <w:tab w:val="left" w:pos="1166"/>
        </w:tabs>
        <w:ind w:left="458"/>
        <w:jc w:val="both"/>
        <w:rPr>
          <w:sz w:val="16"/>
        </w:rPr>
      </w:pPr>
      <w:bookmarkStart w:id="899" w:name="_bookmark818"/>
      <w:bookmarkEnd w:id="899"/>
      <w:r>
        <w:rPr>
          <w:position w:val="6"/>
          <w:sz w:val="10"/>
        </w:rPr>
        <w:t>136</w:t>
      </w:r>
      <w:r>
        <w:rPr>
          <w:position w:val="6"/>
          <w:sz w:val="10"/>
        </w:rPr>
        <w:tab/>
      </w:r>
      <w:r>
        <w:rPr>
          <w:i/>
          <w:sz w:val="16"/>
        </w:rPr>
        <w:t xml:space="preserve">Cfr. </w:t>
      </w:r>
      <w:r>
        <w:rPr>
          <w:sz w:val="16"/>
        </w:rPr>
        <w:t xml:space="preserve">Opinión Consultiva OC-18/03, </w:t>
      </w:r>
      <w:r>
        <w:rPr>
          <w:i/>
          <w:sz w:val="16"/>
        </w:rPr>
        <w:t>supra</w:t>
      </w:r>
      <w:r>
        <w:rPr>
          <w:sz w:val="16"/>
        </w:rPr>
        <w:t xml:space="preserve">, párr. 85, y </w:t>
      </w:r>
      <w:r>
        <w:rPr>
          <w:i/>
          <w:sz w:val="16"/>
        </w:rPr>
        <w:t>Caso Duque Vs. Colombia, supra</w:t>
      </w:r>
      <w:r>
        <w:rPr>
          <w:sz w:val="16"/>
        </w:rPr>
        <w:t>, párr.</w:t>
      </w:r>
      <w:r>
        <w:rPr>
          <w:spacing w:val="-20"/>
          <w:sz w:val="16"/>
        </w:rPr>
        <w:t xml:space="preserve"> </w:t>
      </w:r>
      <w:r>
        <w:rPr>
          <w:sz w:val="16"/>
        </w:rPr>
        <w:t>94.</w:t>
      </w:r>
    </w:p>
    <w:p w14:paraId="3119AC21" w14:textId="77777777" w:rsidR="00467FCA" w:rsidRDefault="001B68EB">
      <w:pPr>
        <w:tabs>
          <w:tab w:val="left" w:pos="1166"/>
        </w:tabs>
        <w:ind w:left="458" w:right="100" w:hanging="1"/>
        <w:jc w:val="both"/>
        <w:rPr>
          <w:sz w:val="16"/>
        </w:rPr>
      </w:pPr>
      <w:bookmarkStart w:id="900" w:name="_bookmark819"/>
      <w:bookmarkEnd w:id="900"/>
      <w:r>
        <w:rPr>
          <w:position w:val="6"/>
          <w:sz w:val="10"/>
        </w:rPr>
        <w:t>137</w:t>
      </w:r>
      <w:r>
        <w:rPr>
          <w:position w:val="6"/>
          <w:sz w:val="10"/>
        </w:rPr>
        <w:tab/>
      </w:r>
      <w:r>
        <w:rPr>
          <w:i/>
          <w:sz w:val="16"/>
        </w:rPr>
        <w:t>Cfr.</w:t>
      </w:r>
      <w:r>
        <w:rPr>
          <w:i/>
          <w:spacing w:val="-14"/>
          <w:sz w:val="16"/>
        </w:rPr>
        <w:t xml:space="preserve"> </w:t>
      </w:r>
      <w:r>
        <w:rPr>
          <w:i/>
          <w:sz w:val="16"/>
        </w:rPr>
        <w:t>Condición</w:t>
      </w:r>
      <w:r>
        <w:rPr>
          <w:i/>
          <w:spacing w:val="-13"/>
          <w:sz w:val="16"/>
        </w:rPr>
        <w:t xml:space="preserve"> </w:t>
      </w:r>
      <w:r>
        <w:rPr>
          <w:i/>
          <w:sz w:val="16"/>
        </w:rPr>
        <w:t>jurídica</w:t>
      </w:r>
      <w:r>
        <w:rPr>
          <w:i/>
          <w:spacing w:val="-16"/>
          <w:sz w:val="16"/>
        </w:rPr>
        <w:t xml:space="preserve"> </w:t>
      </w:r>
      <w:r>
        <w:rPr>
          <w:i/>
          <w:sz w:val="16"/>
        </w:rPr>
        <w:t>y</w:t>
      </w:r>
      <w:r>
        <w:rPr>
          <w:i/>
          <w:spacing w:val="-14"/>
          <w:sz w:val="16"/>
        </w:rPr>
        <w:t xml:space="preserve"> </w:t>
      </w:r>
      <w:r>
        <w:rPr>
          <w:i/>
          <w:sz w:val="16"/>
        </w:rPr>
        <w:t>derechos</w:t>
      </w:r>
      <w:r>
        <w:rPr>
          <w:i/>
          <w:spacing w:val="-13"/>
          <w:sz w:val="16"/>
        </w:rPr>
        <w:t xml:space="preserve"> </w:t>
      </w:r>
      <w:r>
        <w:rPr>
          <w:i/>
          <w:sz w:val="16"/>
        </w:rPr>
        <w:t>de</w:t>
      </w:r>
      <w:r>
        <w:rPr>
          <w:i/>
          <w:spacing w:val="-14"/>
          <w:sz w:val="16"/>
        </w:rPr>
        <w:t xml:space="preserve"> </w:t>
      </w:r>
      <w:r>
        <w:rPr>
          <w:i/>
          <w:sz w:val="16"/>
        </w:rPr>
        <w:t>los</w:t>
      </w:r>
      <w:r>
        <w:rPr>
          <w:i/>
          <w:spacing w:val="-13"/>
          <w:sz w:val="16"/>
        </w:rPr>
        <w:t xml:space="preserve"> </w:t>
      </w:r>
      <w:r>
        <w:rPr>
          <w:i/>
          <w:sz w:val="16"/>
        </w:rPr>
        <w:t>migrantes</w:t>
      </w:r>
      <w:r>
        <w:rPr>
          <w:i/>
          <w:spacing w:val="-12"/>
          <w:sz w:val="16"/>
        </w:rPr>
        <w:t xml:space="preserve"> </w:t>
      </w:r>
      <w:r>
        <w:rPr>
          <w:i/>
          <w:sz w:val="16"/>
        </w:rPr>
        <w:t>indocumentados</w:t>
      </w:r>
      <w:r>
        <w:rPr>
          <w:sz w:val="16"/>
        </w:rPr>
        <w:t>.</w:t>
      </w:r>
      <w:r>
        <w:rPr>
          <w:spacing w:val="-14"/>
          <w:sz w:val="16"/>
        </w:rPr>
        <w:t xml:space="preserve"> </w:t>
      </w:r>
      <w:r>
        <w:rPr>
          <w:sz w:val="16"/>
        </w:rPr>
        <w:t>Opinión</w:t>
      </w:r>
      <w:r>
        <w:rPr>
          <w:spacing w:val="-13"/>
          <w:sz w:val="16"/>
        </w:rPr>
        <w:t xml:space="preserve"> </w:t>
      </w:r>
      <w:r>
        <w:rPr>
          <w:sz w:val="16"/>
        </w:rPr>
        <w:t>Consultiva</w:t>
      </w:r>
      <w:r>
        <w:rPr>
          <w:spacing w:val="-14"/>
          <w:sz w:val="16"/>
        </w:rPr>
        <w:t xml:space="preserve"> </w:t>
      </w:r>
      <w:r>
        <w:rPr>
          <w:sz w:val="16"/>
        </w:rPr>
        <w:t>OC-18/03,</w:t>
      </w:r>
      <w:r>
        <w:rPr>
          <w:spacing w:val="-13"/>
          <w:sz w:val="16"/>
        </w:rPr>
        <w:t xml:space="preserve"> </w:t>
      </w:r>
      <w:r>
        <w:rPr>
          <w:i/>
          <w:sz w:val="16"/>
        </w:rPr>
        <w:t>supra</w:t>
      </w:r>
      <w:r>
        <w:rPr>
          <w:sz w:val="16"/>
        </w:rPr>
        <w:t>,</w:t>
      </w:r>
      <w:r>
        <w:rPr>
          <w:spacing w:val="-16"/>
          <w:sz w:val="16"/>
        </w:rPr>
        <w:t xml:space="preserve"> </w:t>
      </w:r>
      <w:r>
        <w:rPr>
          <w:sz w:val="16"/>
        </w:rPr>
        <w:t xml:space="preserve">párr. 85, y </w:t>
      </w:r>
      <w:r>
        <w:rPr>
          <w:i/>
          <w:sz w:val="16"/>
        </w:rPr>
        <w:t>Caso Duque Vs. Colombia, supra</w:t>
      </w:r>
      <w:r>
        <w:rPr>
          <w:sz w:val="16"/>
        </w:rPr>
        <w:t>, párr.</w:t>
      </w:r>
      <w:r>
        <w:rPr>
          <w:spacing w:val="-9"/>
          <w:sz w:val="16"/>
        </w:rPr>
        <w:t xml:space="preserve"> </w:t>
      </w:r>
      <w:r>
        <w:rPr>
          <w:sz w:val="16"/>
        </w:rPr>
        <w:t>94.</w:t>
      </w:r>
    </w:p>
    <w:p w14:paraId="40ED2C7B" w14:textId="77777777" w:rsidR="00467FCA" w:rsidRDefault="00467FCA">
      <w:pPr>
        <w:jc w:val="both"/>
        <w:rPr>
          <w:sz w:val="16"/>
        </w:rPr>
        <w:sectPr w:rsidR="00467FCA">
          <w:pgSz w:w="12240" w:h="15840"/>
          <w:pgMar w:top="1340" w:right="1140" w:bottom="920" w:left="960" w:header="0" w:footer="734" w:gutter="0"/>
          <w:cols w:space="720"/>
        </w:sectPr>
      </w:pPr>
    </w:p>
    <w:p w14:paraId="65D030E4" w14:textId="77777777" w:rsidR="00467FCA" w:rsidRDefault="001B68EB">
      <w:pPr>
        <w:pStyle w:val="Prrafodelista"/>
        <w:numPr>
          <w:ilvl w:val="0"/>
          <w:numId w:val="4"/>
        </w:numPr>
        <w:tabs>
          <w:tab w:val="left" w:pos="1167"/>
        </w:tabs>
        <w:spacing w:before="79"/>
        <w:ind w:right="273" w:firstLine="0"/>
        <w:jc w:val="both"/>
        <w:rPr>
          <w:sz w:val="20"/>
        </w:rPr>
      </w:pPr>
      <w:r>
        <w:rPr>
          <w:sz w:val="20"/>
        </w:rPr>
        <w:t>El principio de protección igualitaria y efectiva de la ley y de la no discriminación, constituye un dato sobresaliente en el sistema tutelar de los derechos humanos consagrado en numerosos instrumentos internacionales y desarrollado por la doctrina y la j</w:t>
      </w:r>
      <w:r>
        <w:rPr>
          <w:sz w:val="20"/>
        </w:rPr>
        <w:t>urisprudencia</w:t>
      </w:r>
      <w:hyperlink w:anchor="_bookmark820" w:history="1">
        <w:r>
          <w:rPr>
            <w:position w:val="7"/>
            <w:sz w:val="13"/>
          </w:rPr>
          <w:t>138</w:t>
        </w:r>
      </w:hyperlink>
      <w:r>
        <w:rPr>
          <w:sz w:val="20"/>
        </w:rPr>
        <w:t xml:space="preserve">. Además, la Corte IDH ha señalado que la noción de igualdad se desprende directamente de la unidad de naturaleza del género humano y es inseparable de la dignidad esencial de la persona, frente a la cual es </w:t>
      </w:r>
      <w:r>
        <w:rPr>
          <w:sz w:val="20"/>
        </w:rPr>
        <w:t>incompatible toda situación que, por considerar superior a un determinado grupo, conduzca a tratarlo con privilegio; o que, a la inversa, por considerarlo inferior, lo trate con hostilidad o de cualquier forma lo discrimine del goce del derecho que sí se r</w:t>
      </w:r>
      <w:r>
        <w:rPr>
          <w:sz w:val="20"/>
        </w:rPr>
        <w:t>econocen a quienes no se considerar incursos en esa situación</w:t>
      </w:r>
      <w:hyperlink w:anchor="_bookmark821" w:history="1">
        <w:r>
          <w:rPr>
            <w:position w:val="7"/>
            <w:sz w:val="13"/>
          </w:rPr>
          <w:t>139</w:t>
        </w:r>
      </w:hyperlink>
      <w:r>
        <w:rPr>
          <w:sz w:val="20"/>
        </w:rPr>
        <w:t>. En la actual etapa de la evolución del derecho internacional, el principio fundamental de igualdad</w:t>
      </w:r>
      <w:r>
        <w:rPr>
          <w:spacing w:val="-49"/>
          <w:sz w:val="20"/>
        </w:rPr>
        <w:t xml:space="preserve"> </w:t>
      </w:r>
      <w:r>
        <w:rPr>
          <w:sz w:val="20"/>
        </w:rPr>
        <w:t xml:space="preserve">y no discriminación ha ingresado en el dominio del </w:t>
      </w:r>
      <w:r>
        <w:rPr>
          <w:i/>
          <w:sz w:val="20"/>
        </w:rPr>
        <w:t>jus coge</w:t>
      </w:r>
      <w:r>
        <w:rPr>
          <w:i/>
          <w:sz w:val="20"/>
        </w:rPr>
        <w:t xml:space="preserve">ns. </w:t>
      </w:r>
      <w:r>
        <w:rPr>
          <w:sz w:val="20"/>
        </w:rPr>
        <w:t>Sobre él descansa el andamiaje jurídico del ordenamiento</w:t>
      </w:r>
      <w:r>
        <w:rPr>
          <w:spacing w:val="-6"/>
          <w:sz w:val="20"/>
        </w:rPr>
        <w:t xml:space="preserve"> </w:t>
      </w:r>
      <w:r>
        <w:rPr>
          <w:sz w:val="20"/>
        </w:rPr>
        <w:t>jurídico</w:t>
      </w:r>
      <w:hyperlink w:anchor="_bookmark822" w:history="1">
        <w:r>
          <w:rPr>
            <w:position w:val="7"/>
            <w:sz w:val="13"/>
          </w:rPr>
          <w:t>140</w:t>
        </w:r>
      </w:hyperlink>
      <w:r>
        <w:rPr>
          <w:sz w:val="20"/>
        </w:rPr>
        <w:t>.</w:t>
      </w:r>
    </w:p>
    <w:p w14:paraId="7EF07C3B" w14:textId="77777777" w:rsidR="00467FCA" w:rsidRDefault="00467FCA">
      <w:pPr>
        <w:pStyle w:val="Textoindependiente"/>
        <w:rPr>
          <w:sz w:val="24"/>
        </w:rPr>
      </w:pPr>
    </w:p>
    <w:p w14:paraId="6ADAE8BB" w14:textId="77777777" w:rsidR="00467FCA" w:rsidRDefault="001B68EB">
      <w:pPr>
        <w:pStyle w:val="Prrafodelista"/>
        <w:numPr>
          <w:ilvl w:val="0"/>
          <w:numId w:val="4"/>
        </w:numPr>
        <w:tabs>
          <w:tab w:val="left" w:pos="1167"/>
        </w:tabs>
        <w:ind w:right="274" w:hanging="1"/>
        <w:jc w:val="both"/>
        <w:rPr>
          <w:sz w:val="20"/>
        </w:rPr>
      </w:pPr>
      <w:r>
        <w:rPr>
          <w:sz w:val="20"/>
        </w:rPr>
        <w:t>A lo largo de sus más de cuarenta años de existencia, la Corte IDH ha ido perfeccionando</w:t>
      </w:r>
      <w:r>
        <w:rPr>
          <w:spacing w:val="-5"/>
          <w:sz w:val="20"/>
        </w:rPr>
        <w:t xml:space="preserve"> </w:t>
      </w:r>
      <w:r>
        <w:rPr>
          <w:sz w:val="20"/>
        </w:rPr>
        <w:t>y</w:t>
      </w:r>
      <w:r>
        <w:rPr>
          <w:spacing w:val="-4"/>
          <w:sz w:val="20"/>
        </w:rPr>
        <w:t xml:space="preserve"> </w:t>
      </w:r>
      <w:r>
        <w:rPr>
          <w:sz w:val="20"/>
        </w:rPr>
        <w:t>aplicando</w:t>
      </w:r>
      <w:r>
        <w:rPr>
          <w:spacing w:val="-8"/>
          <w:sz w:val="20"/>
        </w:rPr>
        <w:t xml:space="preserve"> </w:t>
      </w:r>
      <w:r>
        <w:rPr>
          <w:sz w:val="20"/>
        </w:rPr>
        <w:t>de</w:t>
      </w:r>
      <w:r>
        <w:rPr>
          <w:spacing w:val="-4"/>
          <w:sz w:val="20"/>
        </w:rPr>
        <w:t xml:space="preserve"> </w:t>
      </w:r>
      <w:r>
        <w:rPr>
          <w:sz w:val="20"/>
        </w:rPr>
        <w:t>manera</w:t>
      </w:r>
      <w:r>
        <w:rPr>
          <w:spacing w:val="-6"/>
          <w:sz w:val="20"/>
        </w:rPr>
        <w:t xml:space="preserve"> </w:t>
      </w:r>
      <w:r>
        <w:rPr>
          <w:sz w:val="20"/>
        </w:rPr>
        <w:t>concreta</w:t>
      </w:r>
      <w:r>
        <w:rPr>
          <w:spacing w:val="-4"/>
          <w:sz w:val="20"/>
        </w:rPr>
        <w:t xml:space="preserve"> </w:t>
      </w:r>
      <w:r>
        <w:rPr>
          <w:sz w:val="20"/>
        </w:rPr>
        <w:t>los</w:t>
      </w:r>
      <w:r>
        <w:rPr>
          <w:spacing w:val="-5"/>
          <w:sz w:val="20"/>
        </w:rPr>
        <w:t xml:space="preserve"> </w:t>
      </w:r>
      <w:r>
        <w:rPr>
          <w:sz w:val="20"/>
        </w:rPr>
        <w:t>estándares</w:t>
      </w:r>
      <w:r>
        <w:rPr>
          <w:spacing w:val="-4"/>
          <w:sz w:val="20"/>
        </w:rPr>
        <w:t xml:space="preserve"> </w:t>
      </w:r>
      <w:r>
        <w:rPr>
          <w:sz w:val="20"/>
        </w:rPr>
        <w:t>sobre</w:t>
      </w:r>
      <w:r>
        <w:rPr>
          <w:spacing w:val="-5"/>
          <w:sz w:val="20"/>
        </w:rPr>
        <w:t xml:space="preserve"> </w:t>
      </w:r>
      <w:r>
        <w:rPr>
          <w:sz w:val="20"/>
        </w:rPr>
        <w:t>el</w:t>
      </w:r>
      <w:r>
        <w:rPr>
          <w:spacing w:val="-1"/>
          <w:sz w:val="20"/>
        </w:rPr>
        <w:t xml:space="preserve"> </w:t>
      </w:r>
      <w:r>
        <w:rPr>
          <w:sz w:val="20"/>
        </w:rPr>
        <w:t>derecho</w:t>
      </w:r>
      <w:r>
        <w:rPr>
          <w:spacing w:val="-8"/>
          <w:sz w:val="20"/>
        </w:rPr>
        <w:t xml:space="preserve"> </w:t>
      </w:r>
      <w:r>
        <w:rPr>
          <w:sz w:val="20"/>
        </w:rPr>
        <w:t>a</w:t>
      </w:r>
      <w:r>
        <w:rPr>
          <w:spacing w:val="-5"/>
          <w:sz w:val="20"/>
        </w:rPr>
        <w:t xml:space="preserve"> </w:t>
      </w:r>
      <w:r>
        <w:rPr>
          <w:sz w:val="20"/>
        </w:rPr>
        <w:t>la</w:t>
      </w:r>
      <w:r>
        <w:rPr>
          <w:spacing w:val="-4"/>
          <w:sz w:val="20"/>
        </w:rPr>
        <w:t xml:space="preserve"> </w:t>
      </w:r>
      <w:r>
        <w:rPr>
          <w:sz w:val="20"/>
        </w:rPr>
        <w:t>igualdad y a la no discriminación. En este sentido podemos destacar tres escenarios jurisprudencial</w:t>
      </w:r>
      <w:r>
        <w:rPr>
          <w:sz w:val="20"/>
        </w:rPr>
        <w:t xml:space="preserve">es en los cuales la Corte IDH ha aplicado los artículos 1.1 y 24: i) de 1984 hasta el año 2007, que responde a una aplicación casuística de los hechos; ii) a partir del caso </w:t>
      </w:r>
      <w:r>
        <w:rPr>
          <w:i/>
          <w:sz w:val="20"/>
        </w:rPr>
        <w:t>Apitz Barbera y otros</w:t>
      </w:r>
      <w:r>
        <w:rPr>
          <w:i/>
          <w:spacing w:val="-10"/>
          <w:sz w:val="20"/>
        </w:rPr>
        <w:t xml:space="preserve"> </w:t>
      </w:r>
      <w:r>
        <w:rPr>
          <w:i/>
          <w:sz w:val="20"/>
        </w:rPr>
        <w:t>Vs.</w:t>
      </w:r>
      <w:r>
        <w:rPr>
          <w:i/>
          <w:spacing w:val="-9"/>
          <w:sz w:val="20"/>
        </w:rPr>
        <w:t xml:space="preserve"> </w:t>
      </w:r>
      <w:r>
        <w:rPr>
          <w:i/>
          <w:sz w:val="20"/>
        </w:rPr>
        <w:t>Venezuela</w:t>
      </w:r>
      <w:r>
        <w:rPr>
          <w:i/>
          <w:spacing w:val="-8"/>
          <w:sz w:val="20"/>
        </w:rPr>
        <w:t xml:space="preserve"> </w:t>
      </w:r>
      <w:r>
        <w:rPr>
          <w:sz w:val="20"/>
        </w:rPr>
        <w:t>(2008),</w:t>
      </w:r>
      <w:r>
        <w:rPr>
          <w:spacing w:val="-10"/>
          <w:sz w:val="20"/>
        </w:rPr>
        <w:t xml:space="preserve"> </w:t>
      </w:r>
      <w:r>
        <w:rPr>
          <w:sz w:val="20"/>
        </w:rPr>
        <w:t>que</w:t>
      </w:r>
      <w:r>
        <w:rPr>
          <w:spacing w:val="-9"/>
          <w:sz w:val="20"/>
        </w:rPr>
        <w:t xml:space="preserve"> </w:t>
      </w:r>
      <w:r>
        <w:rPr>
          <w:sz w:val="20"/>
        </w:rPr>
        <w:t>responde</w:t>
      </w:r>
      <w:r>
        <w:rPr>
          <w:spacing w:val="-10"/>
          <w:sz w:val="20"/>
        </w:rPr>
        <w:t xml:space="preserve"> </w:t>
      </w:r>
      <w:r>
        <w:rPr>
          <w:sz w:val="20"/>
        </w:rPr>
        <w:t>a</w:t>
      </w:r>
      <w:r>
        <w:rPr>
          <w:spacing w:val="-5"/>
          <w:sz w:val="20"/>
        </w:rPr>
        <w:t xml:space="preserve"> </w:t>
      </w:r>
      <w:r>
        <w:rPr>
          <w:sz w:val="20"/>
        </w:rPr>
        <w:t>establecer</w:t>
      </w:r>
      <w:r>
        <w:rPr>
          <w:spacing w:val="-10"/>
          <w:sz w:val="20"/>
        </w:rPr>
        <w:t xml:space="preserve"> </w:t>
      </w:r>
      <w:r>
        <w:rPr>
          <w:sz w:val="20"/>
        </w:rPr>
        <w:t>una</w:t>
      </w:r>
      <w:r>
        <w:rPr>
          <w:spacing w:val="-9"/>
          <w:sz w:val="20"/>
        </w:rPr>
        <w:t xml:space="preserve"> </w:t>
      </w:r>
      <w:r>
        <w:rPr>
          <w:sz w:val="20"/>
        </w:rPr>
        <w:t>posible</w:t>
      </w:r>
      <w:r>
        <w:rPr>
          <w:spacing w:val="-9"/>
          <w:sz w:val="20"/>
        </w:rPr>
        <w:t xml:space="preserve"> </w:t>
      </w:r>
      <w:r>
        <w:rPr>
          <w:sz w:val="20"/>
        </w:rPr>
        <w:t>distinción</w:t>
      </w:r>
      <w:r>
        <w:rPr>
          <w:spacing w:val="-8"/>
          <w:sz w:val="20"/>
        </w:rPr>
        <w:t xml:space="preserve"> </w:t>
      </w:r>
      <w:r>
        <w:rPr>
          <w:sz w:val="20"/>
        </w:rPr>
        <w:t>de</w:t>
      </w:r>
      <w:r>
        <w:rPr>
          <w:spacing w:val="-9"/>
          <w:sz w:val="20"/>
        </w:rPr>
        <w:t xml:space="preserve"> </w:t>
      </w:r>
      <w:r>
        <w:rPr>
          <w:sz w:val="20"/>
        </w:rPr>
        <w:t>aplicación</w:t>
      </w:r>
      <w:r>
        <w:rPr>
          <w:spacing w:val="-8"/>
          <w:sz w:val="20"/>
        </w:rPr>
        <w:t xml:space="preserve"> </w:t>
      </w:r>
      <w:r>
        <w:rPr>
          <w:sz w:val="20"/>
        </w:rPr>
        <w:t>de los artículos 1.1 y 24 de la CADH, y iii) algunos supuestos excepcionales en donde, derivado de</w:t>
      </w:r>
      <w:r>
        <w:rPr>
          <w:spacing w:val="-7"/>
          <w:sz w:val="20"/>
        </w:rPr>
        <w:t xml:space="preserve"> </w:t>
      </w:r>
      <w:r>
        <w:rPr>
          <w:sz w:val="20"/>
        </w:rPr>
        <w:t>las</w:t>
      </w:r>
      <w:r>
        <w:rPr>
          <w:spacing w:val="-3"/>
          <w:sz w:val="20"/>
        </w:rPr>
        <w:t xml:space="preserve"> </w:t>
      </w:r>
      <w:r>
        <w:rPr>
          <w:sz w:val="20"/>
        </w:rPr>
        <w:t>circunstancias</w:t>
      </w:r>
      <w:r>
        <w:rPr>
          <w:spacing w:val="-3"/>
          <w:sz w:val="20"/>
        </w:rPr>
        <w:t xml:space="preserve"> </w:t>
      </w:r>
      <w:r>
        <w:rPr>
          <w:sz w:val="20"/>
        </w:rPr>
        <w:t>de</w:t>
      </w:r>
      <w:r>
        <w:rPr>
          <w:spacing w:val="-4"/>
          <w:sz w:val="20"/>
        </w:rPr>
        <w:t xml:space="preserve"> </w:t>
      </w:r>
      <w:r>
        <w:rPr>
          <w:sz w:val="20"/>
        </w:rPr>
        <w:t>los</w:t>
      </w:r>
      <w:r>
        <w:rPr>
          <w:spacing w:val="-5"/>
          <w:sz w:val="20"/>
        </w:rPr>
        <w:t xml:space="preserve"> </w:t>
      </w:r>
      <w:r>
        <w:rPr>
          <w:sz w:val="20"/>
        </w:rPr>
        <w:t>hechos</w:t>
      </w:r>
      <w:r>
        <w:rPr>
          <w:spacing w:val="-5"/>
          <w:sz w:val="20"/>
        </w:rPr>
        <w:t xml:space="preserve"> </w:t>
      </w:r>
      <w:r>
        <w:rPr>
          <w:sz w:val="20"/>
        </w:rPr>
        <w:t>del</w:t>
      </w:r>
      <w:r>
        <w:rPr>
          <w:spacing w:val="-3"/>
          <w:sz w:val="20"/>
        </w:rPr>
        <w:t xml:space="preserve"> </w:t>
      </w:r>
      <w:r>
        <w:rPr>
          <w:sz w:val="20"/>
        </w:rPr>
        <w:t>caso,</w:t>
      </w:r>
      <w:r>
        <w:rPr>
          <w:spacing w:val="-3"/>
          <w:sz w:val="20"/>
        </w:rPr>
        <w:t xml:space="preserve"> </w:t>
      </w:r>
      <w:r>
        <w:rPr>
          <w:sz w:val="20"/>
        </w:rPr>
        <w:t>la</w:t>
      </w:r>
      <w:r>
        <w:rPr>
          <w:spacing w:val="-4"/>
          <w:sz w:val="20"/>
        </w:rPr>
        <w:t xml:space="preserve"> </w:t>
      </w:r>
      <w:r>
        <w:rPr>
          <w:sz w:val="20"/>
        </w:rPr>
        <w:t>aplicación</w:t>
      </w:r>
      <w:r>
        <w:rPr>
          <w:spacing w:val="-4"/>
          <w:sz w:val="20"/>
        </w:rPr>
        <w:t xml:space="preserve"> </w:t>
      </w:r>
      <w:r>
        <w:rPr>
          <w:sz w:val="20"/>
        </w:rPr>
        <w:t>de</w:t>
      </w:r>
      <w:r>
        <w:rPr>
          <w:spacing w:val="-6"/>
          <w:sz w:val="20"/>
        </w:rPr>
        <w:t xml:space="preserve"> </w:t>
      </w:r>
      <w:r>
        <w:rPr>
          <w:sz w:val="20"/>
        </w:rPr>
        <w:t>los</w:t>
      </w:r>
      <w:r>
        <w:rPr>
          <w:spacing w:val="-3"/>
          <w:sz w:val="20"/>
        </w:rPr>
        <w:t xml:space="preserve"> </w:t>
      </w:r>
      <w:r>
        <w:rPr>
          <w:sz w:val="20"/>
        </w:rPr>
        <w:t>artículos</w:t>
      </w:r>
      <w:r>
        <w:rPr>
          <w:spacing w:val="-3"/>
          <w:sz w:val="20"/>
        </w:rPr>
        <w:t xml:space="preserve"> </w:t>
      </w:r>
      <w:r>
        <w:rPr>
          <w:sz w:val="20"/>
        </w:rPr>
        <w:t>1.1</w:t>
      </w:r>
      <w:r>
        <w:rPr>
          <w:spacing w:val="-3"/>
          <w:sz w:val="20"/>
        </w:rPr>
        <w:t xml:space="preserve"> </w:t>
      </w:r>
      <w:r>
        <w:rPr>
          <w:sz w:val="20"/>
        </w:rPr>
        <w:t>y</w:t>
      </w:r>
      <w:r>
        <w:rPr>
          <w:spacing w:val="-5"/>
          <w:sz w:val="20"/>
        </w:rPr>
        <w:t xml:space="preserve"> </w:t>
      </w:r>
      <w:r>
        <w:rPr>
          <w:sz w:val="20"/>
        </w:rPr>
        <w:t>24</w:t>
      </w:r>
      <w:r>
        <w:rPr>
          <w:spacing w:val="-2"/>
          <w:sz w:val="20"/>
        </w:rPr>
        <w:t xml:space="preserve"> </w:t>
      </w:r>
      <w:r>
        <w:rPr>
          <w:sz w:val="20"/>
        </w:rPr>
        <w:t>no</w:t>
      </w:r>
      <w:r>
        <w:rPr>
          <w:spacing w:val="-6"/>
          <w:sz w:val="20"/>
        </w:rPr>
        <w:t xml:space="preserve"> </w:t>
      </w:r>
      <w:r>
        <w:rPr>
          <w:sz w:val="20"/>
        </w:rPr>
        <w:t>amerita una</w:t>
      </w:r>
      <w:r>
        <w:rPr>
          <w:spacing w:val="-2"/>
          <w:sz w:val="20"/>
        </w:rPr>
        <w:t xml:space="preserve"> </w:t>
      </w:r>
      <w:r>
        <w:rPr>
          <w:sz w:val="20"/>
        </w:rPr>
        <w:t>distinción.</w:t>
      </w:r>
    </w:p>
    <w:p w14:paraId="6B1F2D2A" w14:textId="77777777" w:rsidR="00467FCA" w:rsidRDefault="00467FCA">
      <w:pPr>
        <w:pStyle w:val="Textoindependiente"/>
        <w:spacing w:before="10"/>
        <w:rPr>
          <w:sz w:val="19"/>
        </w:rPr>
      </w:pPr>
    </w:p>
    <w:p w14:paraId="26149F5E" w14:textId="77777777" w:rsidR="00467FCA" w:rsidRDefault="001B68EB">
      <w:pPr>
        <w:pStyle w:val="Prrafodelista"/>
        <w:numPr>
          <w:ilvl w:val="2"/>
          <w:numId w:val="5"/>
        </w:numPr>
        <w:tabs>
          <w:tab w:val="left" w:pos="1875"/>
        </w:tabs>
        <w:ind w:hanging="709"/>
        <w:rPr>
          <w:b/>
          <w:i/>
          <w:sz w:val="20"/>
        </w:rPr>
      </w:pPr>
      <w:r>
        <w:rPr>
          <w:b/>
          <w:sz w:val="20"/>
        </w:rPr>
        <w:t>De</w:t>
      </w:r>
      <w:r>
        <w:rPr>
          <w:b/>
          <w:spacing w:val="23"/>
          <w:sz w:val="20"/>
        </w:rPr>
        <w:t xml:space="preserve"> </w:t>
      </w:r>
      <w:r>
        <w:rPr>
          <w:b/>
          <w:sz w:val="20"/>
        </w:rPr>
        <w:t>la</w:t>
      </w:r>
      <w:r>
        <w:rPr>
          <w:b/>
          <w:spacing w:val="20"/>
          <w:sz w:val="20"/>
        </w:rPr>
        <w:t xml:space="preserve"> </w:t>
      </w:r>
      <w:r>
        <w:rPr>
          <w:b/>
          <w:sz w:val="20"/>
        </w:rPr>
        <w:t>Opinión</w:t>
      </w:r>
      <w:r>
        <w:rPr>
          <w:b/>
          <w:spacing w:val="25"/>
          <w:sz w:val="20"/>
        </w:rPr>
        <w:t xml:space="preserve"> </w:t>
      </w:r>
      <w:r>
        <w:rPr>
          <w:b/>
          <w:sz w:val="20"/>
        </w:rPr>
        <w:t>Consultiva</w:t>
      </w:r>
      <w:r>
        <w:rPr>
          <w:b/>
          <w:spacing w:val="25"/>
          <w:sz w:val="20"/>
        </w:rPr>
        <w:t xml:space="preserve"> </w:t>
      </w:r>
      <w:r>
        <w:rPr>
          <w:b/>
          <w:sz w:val="20"/>
        </w:rPr>
        <w:t>No.</w:t>
      </w:r>
      <w:r>
        <w:rPr>
          <w:b/>
          <w:spacing w:val="23"/>
          <w:sz w:val="20"/>
        </w:rPr>
        <w:t xml:space="preserve"> </w:t>
      </w:r>
      <w:r>
        <w:rPr>
          <w:b/>
          <w:sz w:val="20"/>
        </w:rPr>
        <w:t>4</w:t>
      </w:r>
      <w:r>
        <w:rPr>
          <w:b/>
          <w:spacing w:val="24"/>
          <w:sz w:val="20"/>
        </w:rPr>
        <w:t xml:space="preserve"> </w:t>
      </w:r>
      <w:r>
        <w:rPr>
          <w:b/>
          <w:sz w:val="20"/>
        </w:rPr>
        <w:t>(1984)</w:t>
      </w:r>
      <w:r>
        <w:rPr>
          <w:b/>
          <w:spacing w:val="23"/>
          <w:sz w:val="20"/>
        </w:rPr>
        <w:t xml:space="preserve"> </w:t>
      </w:r>
      <w:r>
        <w:rPr>
          <w:b/>
          <w:sz w:val="20"/>
        </w:rPr>
        <w:t>al</w:t>
      </w:r>
      <w:r>
        <w:rPr>
          <w:b/>
          <w:spacing w:val="20"/>
          <w:sz w:val="20"/>
        </w:rPr>
        <w:t xml:space="preserve"> </w:t>
      </w:r>
      <w:r>
        <w:rPr>
          <w:b/>
          <w:sz w:val="20"/>
        </w:rPr>
        <w:t>caso</w:t>
      </w:r>
      <w:r>
        <w:rPr>
          <w:b/>
          <w:spacing w:val="23"/>
          <w:sz w:val="20"/>
        </w:rPr>
        <w:t xml:space="preserve"> </w:t>
      </w:r>
      <w:r>
        <w:rPr>
          <w:b/>
          <w:i/>
          <w:sz w:val="20"/>
        </w:rPr>
        <w:t>Saramaka</w:t>
      </w:r>
      <w:r>
        <w:rPr>
          <w:b/>
          <w:i/>
          <w:spacing w:val="23"/>
          <w:sz w:val="20"/>
        </w:rPr>
        <w:t xml:space="preserve"> </w:t>
      </w:r>
      <w:r>
        <w:rPr>
          <w:b/>
          <w:i/>
          <w:sz w:val="20"/>
        </w:rPr>
        <w:t>Vs.</w:t>
      </w:r>
      <w:r>
        <w:rPr>
          <w:b/>
          <w:i/>
          <w:spacing w:val="23"/>
          <w:sz w:val="20"/>
        </w:rPr>
        <w:t xml:space="preserve"> </w:t>
      </w:r>
      <w:r>
        <w:rPr>
          <w:b/>
          <w:i/>
          <w:sz w:val="20"/>
        </w:rPr>
        <w:t>Surinam</w:t>
      </w:r>
    </w:p>
    <w:p w14:paraId="00329D6A" w14:textId="77777777" w:rsidR="00467FCA" w:rsidRDefault="001B68EB">
      <w:pPr>
        <w:pStyle w:val="Ttulo1"/>
        <w:spacing w:before="2"/>
        <w:ind w:left="458"/>
      </w:pPr>
      <w:r>
        <w:t>(2007)</w:t>
      </w:r>
    </w:p>
    <w:p w14:paraId="30CD8AD4" w14:textId="77777777" w:rsidR="00467FCA" w:rsidRDefault="00467FCA">
      <w:pPr>
        <w:pStyle w:val="Textoindependiente"/>
        <w:spacing w:before="11"/>
        <w:rPr>
          <w:b/>
          <w:sz w:val="19"/>
        </w:rPr>
      </w:pPr>
    </w:p>
    <w:p w14:paraId="5853BE02" w14:textId="77777777" w:rsidR="00467FCA" w:rsidRDefault="001B68EB">
      <w:pPr>
        <w:pStyle w:val="Prrafodelista"/>
        <w:numPr>
          <w:ilvl w:val="0"/>
          <w:numId w:val="4"/>
        </w:numPr>
        <w:tabs>
          <w:tab w:val="left" w:pos="1167"/>
        </w:tabs>
        <w:ind w:right="276" w:firstLine="0"/>
        <w:jc w:val="both"/>
        <w:rPr>
          <w:sz w:val="20"/>
        </w:rPr>
      </w:pPr>
      <w:r>
        <w:rPr>
          <w:sz w:val="20"/>
        </w:rPr>
        <w:t>La primera ocasión que el Tribunal Interamericano tuvo la oportunidad de explorar el contenido</w:t>
      </w:r>
      <w:r>
        <w:rPr>
          <w:spacing w:val="-4"/>
          <w:sz w:val="20"/>
        </w:rPr>
        <w:t xml:space="preserve"> </w:t>
      </w:r>
      <w:r>
        <w:rPr>
          <w:sz w:val="20"/>
        </w:rPr>
        <w:t>del</w:t>
      </w:r>
      <w:r>
        <w:rPr>
          <w:spacing w:val="-5"/>
          <w:sz w:val="20"/>
        </w:rPr>
        <w:t xml:space="preserve"> </w:t>
      </w:r>
      <w:r>
        <w:rPr>
          <w:sz w:val="20"/>
        </w:rPr>
        <w:t>artículo</w:t>
      </w:r>
      <w:r>
        <w:rPr>
          <w:spacing w:val="-4"/>
          <w:sz w:val="20"/>
        </w:rPr>
        <w:t xml:space="preserve"> </w:t>
      </w:r>
      <w:r>
        <w:rPr>
          <w:sz w:val="20"/>
        </w:rPr>
        <w:t>1.1</w:t>
      </w:r>
      <w:r>
        <w:rPr>
          <w:spacing w:val="-4"/>
          <w:sz w:val="20"/>
        </w:rPr>
        <w:t xml:space="preserve"> </w:t>
      </w:r>
      <w:r>
        <w:rPr>
          <w:sz w:val="20"/>
        </w:rPr>
        <w:t>y</w:t>
      </w:r>
      <w:r>
        <w:rPr>
          <w:spacing w:val="-3"/>
          <w:sz w:val="20"/>
        </w:rPr>
        <w:t xml:space="preserve"> </w:t>
      </w:r>
      <w:r>
        <w:rPr>
          <w:sz w:val="20"/>
        </w:rPr>
        <w:t>24</w:t>
      </w:r>
      <w:r>
        <w:rPr>
          <w:spacing w:val="-3"/>
          <w:sz w:val="20"/>
        </w:rPr>
        <w:t xml:space="preserve"> </w:t>
      </w:r>
      <w:r>
        <w:rPr>
          <w:sz w:val="20"/>
        </w:rPr>
        <w:t>fue</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año</w:t>
      </w:r>
      <w:r>
        <w:rPr>
          <w:spacing w:val="-4"/>
          <w:sz w:val="20"/>
        </w:rPr>
        <w:t xml:space="preserve"> </w:t>
      </w:r>
      <w:r>
        <w:rPr>
          <w:sz w:val="20"/>
        </w:rPr>
        <w:t>de</w:t>
      </w:r>
      <w:r>
        <w:rPr>
          <w:spacing w:val="-2"/>
          <w:sz w:val="20"/>
        </w:rPr>
        <w:t xml:space="preserve"> </w:t>
      </w:r>
      <w:r>
        <w:rPr>
          <w:sz w:val="20"/>
        </w:rPr>
        <w:t>1984;</w:t>
      </w:r>
      <w:r>
        <w:rPr>
          <w:spacing w:val="-5"/>
          <w:sz w:val="20"/>
        </w:rPr>
        <w:t xml:space="preserve"> </w:t>
      </w:r>
      <w:r>
        <w:rPr>
          <w:sz w:val="20"/>
        </w:rPr>
        <w:t>en</w:t>
      </w:r>
      <w:r>
        <w:rPr>
          <w:spacing w:val="-1"/>
          <w:sz w:val="20"/>
        </w:rPr>
        <w:t xml:space="preserve"> </w:t>
      </w:r>
      <w:r>
        <w:rPr>
          <w:sz w:val="20"/>
        </w:rPr>
        <w:t>la</w:t>
      </w:r>
      <w:r>
        <w:rPr>
          <w:spacing w:val="-3"/>
          <w:sz w:val="20"/>
        </w:rPr>
        <w:t xml:space="preserve"> </w:t>
      </w:r>
      <w:r>
        <w:rPr>
          <w:sz w:val="20"/>
        </w:rPr>
        <w:t>Opinión</w:t>
      </w:r>
      <w:r>
        <w:rPr>
          <w:spacing w:val="-2"/>
          <w:sz w:val="20"/>
        </w:rPr>
        <w:t xml:space="preserve"> </w:t>
      </w:r>
      <w:r>
        <w:rPr>
          <w:sz w:val="20"/>
        </w:rPr>
        <w:t>Consultiva</w:t>
      </w:r>
      <w:r>
        <w:rPr>
          <w:spacing w:val="-5"/>
          <w:sz w:val="20"/>
        </w:rPr>
        <w:t xml:space="preserve"> </w:t>
      </w:r>
      <w:r>
        <w:rPr>
          <w:sz w:val="20"/>
        </w:rPr>
        <w:t>No.</w:t>
      </w:r>
      <w:r>
        <w:rPr>
          <w:spacing w:val="-3"/>
          <w:sz w:val="20"/>
        </w:rPr>
        <w:t xml:space="preserve"> </w:t>
      </w:r>
      <w:r>
        <w:rPr>
          <w:sz w:val="20"/>
        </w:rPr>
        <w:t>4</w:t>
      </w:r>
      <w:r>
        <w:rPr>
          <w:spacing w:val="-3"/>
          <w:sz w:val="20"/>
        </w:rPr>
        <w:t xml:space="preserve"> </w:t>
      </w:r>
      <w:r>
        <w:rPr>
          <w:sz w:val="20"/>
        </w:rPr>
        <w:t>la</w:t>
      </w:r>
      <w:r>
        <w:rPr>
          <w:spacing w:val="-3"/>
          <w:sz w:val="20"/>
        </w:rPr>
        <w:t xml:space="preserve"> </w:t>
      </w:r>
      <w:r>
        <w:rPr>
          <w:sz w:val="20"/>
        </w:rPr>
        <w:t>Corte IDH sentó una diferencia en cuanto al alcance de ambas disposiciones. Así, indicó que con respecto al artículo 1.1 de la</w:t>
      </w:r>
      <w:r>
        <w:rPr>
          <w:spacing w:val="-5"/>
          <w:sz w:val="20"/>
        </w:rPr>
        <w:t xml:space="preserve"> </w:t>
      </w:r>
      <w:r>
        <w:rPr>
          <w:sz w:val="20"/>
        </w:rPr>
        <w:t>Convención:</w:t>
      </w:r>
    </w:p>
    <w:p w14:paraId="1FAD3689" w14:textId="77777777" w:rsidR="00467FCA" w:rsidRDefault="00467FCA">
      <w:pPr>
        <w:pStyle w:val="Textoindependiente"/>
      </w:pPr>
    </w:p>
    <w:p w14:paraId="5311D725" w14:textId="77777777" w:rsidR="00467FCA" w:rsidRDefault="001B68EB">
      <w:pPr>
        <w:spacing w:before="1"/>
        <w:ind w:left="1166" w:right="885" w:hanging="1"/>
        <w:jc w:val="both"/>
        <w:rPr>
          <w:sz w:val="16"/>
        </w:rPr>
      </w:pPr>
      <w:r>
        <w:rPr>
          <w:sz w:val="16"/>
        </w:rPr>
        <w:t>[…]</w:t>
      </w:r>
      <w:r>
        <w:rPr>
          <w:spacing w:val="-12"/>
          <w:sz w:val="16"/>
        </w:rPr>
        <w:t xml:space="preserve"> </w:t>
      </w:r>
      <w:r>
        <w:rPr>
          <w:sz w:val="16"/>
        </w:rPr>
        <w:t>El</w:t>
      </w:r>
      <w:r>
        <w:rPr>
          <w:spacing w:val="-11"/>
          <w:sz w:val="16"/>
        </w:rPr>
        <w:t xml:space="preserve"> </w:t>
      </w:r>
      <w:r>
        <w:rPr>
          <w:sz w:val="16"/>
        </w:rPr>
        <w:t>artículo</w:t>
      </w:r>
      <w:r>
        <w:rPr>
          <w:spacing w:val="-12"/>
          <w:sz w:val="16"/>
        </w:rPr>
        <w:t xml:space="preserve"> </w:t>
      </w:r>
      <w:r>
        <w:rPr>
          <w:sz w:val="16"/>
        </w:rPr>
        <w:t>1.1</w:t>
      </w:r>
      <w:r>
        <w:rPr>
          <w:spacing w:val="-11"/>
          <w:sz w:val="16"/>
        </w:rPr>
        <w:t xml:space="preserve"> </w:t>
      </w:r>
      <w:r>
        <w:rPr>
          <w:sz w:val="16"/>
        </w:rPr>
        <w:t>de</w:t>
      </w:r>
      <w:r>
        <w:rPr>
          <w:spacing w:val="-11"/>
          <w:sz w:val="16"/>
        </w:rPr>
        <w:t xml:space="preserve"> </w:t>
      </w:r>
      <w:r>
        <w:rPr>
          <w:sz w:val="16"/>
        </w:rPr>
        <w:t>la</w:t>
      </w:r>
      <w:r>
        <w:rPr>
          <w:spacing w:val="-13"/>
          <w:sz w:val="16"/>
        </w:rPr>
        <w:t xml:space="preserve"> </w:t>
      </w:r>
      <w:r>
        <w:rPr>
          <w:sz w:val="16"/>
        </w:rPr>
        <w:t>Convención</w:t>
      </w:r>
      <w:r>
        <w:rPr>
          <w:spacing w:val="-12"/>
          <w:sz w:val="16"/>
        </w:rPr>
        <w:t xml:space="preserve"> </w:t>
      </w:r>
      <w:r>
        <w:rPr>
          <w:sz w:val="16"/>
        </w:rPr>
        <w:t>[…]</w:t>
      </w:r>
      <w:r>
        <w:rPr>
          <w:spacing w:val="-11"/>
          <w:sz w:val="16"/>
        </w:rPr>
        <w:t xml:space="preserve"> </w:t>
      </w:r>
      <w:r>
        <w:rPr>
          <w:sz w:val="16"/>
        </w:rPr>
        <w:t>es</w:t>
      </w:r>
      <w:r>
        <w:rPr>
          <w:spacing w:val="-11"/>
          <w:sz w:val="16"/>
        </w:rPr>
        <w:t xml:space="preserve"> </w:t>
      </w:r>
      <w:r>
        <w:rPr>
          <w:sz w:val="16"/>
        </w:rPr>
        <w:t>una</w:t>
      </w:r>
      <w:r>
        <w:rPr>
          <w:spacing w:val="-10"/>
          <w:sz w:val="16"/>
        </w:rPr>
        <w:t xml:space="preserve"> </w:t>
      </w:r>
      <w:r>
        <w:rPr>
          <w:sz w:val="16"/>
        </w:rPr>
        <w:t>norma</w:t>
      </w:r>
      <w:r>
        <w:rPr>
          <w:spacing w:val="-14"/>
          <w:sz w:val="16"/>
        </w:rPr>
        <w:t xml:space="preserve"> </w:t>
      </w:r>
      <w:r>
        <w:rPr>
          <w:sz w:val="16"/>
        </w:rPr>
        <w:t>de</w:t>
      </w:r>
      <w:r>
        <w:rPr>
          <w:spacing w:val="-12"/>
          <w:sz w:val="16"/>
        </w:rPr>
        <w:t xml:space="preserve"> </w:t>
      </w:r>
      <w:r>
        <w:rPr>
          <w:sz w:val="16"/>
        </w:rPr>
        <w:t>carácter</w:t>
      </w:r>
      <w:r>
        <w:rPr>
          <w:spacing w:val="-12"/>
          <w:sz w:val="16"/>
        </w:rPr>
        <w:t xml:space="preserve"> </w:t>
      </w:r>
      <w:r>
        <w:rPr>
          <w:sz w:val="16"/>
        </w:rPr>
        <w:t>general</w:t>
      </w:r>
      <w:r>
        <w:rPr>
          <w:spacing w:val="-11"/>
          <w:sz w:val="16"/>
        </w:rPr>
        <w:t xml:space="preserve"> </w:t>
      </w:r>
      <w:r>
        <w:rPr>
          <w:sz w:val="16"/>
        </w:rPr>
        <w:t>cuyo</w:t>
      </w:r>
      <w:r>
        <w:rPr>
          <w:spacing w:val="-12"/>
          <w:sz w:val="16"/>
        </w:rPr>
        <w:t xml:space="preserve"> </w:t>
      </w:r>
      <w:r>
        <w:rPr>
          <w:sz w:val="16"/>
        </w:rPr>
        <w:t>contenido</w:t>
      </w:r>
      <w:r>
        <w:rPr>
          <w:spacing w:val="-11"/>
          <w:sz w:val="16"/>
        </w:rPr>
        <w:t xml:space="preserve"> </w:t>
      </w:r>
      <w:r>
        <w:rPr>
          <w:sz w:val="16"/>
        </w:rPr>
        <w:t>se</w:t>
      </w:r>
      <w:r>
        <w:rPr>
          <w:spacing w:val="-11"/>
          <w:sz w:val="16"/>
        </w:rPr>
        <w:t xml:space="preserve"> </w:t>
      </w:r>
      <w:r>
        <w:rPr>
          <w:sz w:val="16"/>
        </w:rPr>
        <w:t>extiende a</w:t>
      </w:r>
      <w:r>
        <w:rPr>
          <w:spacing w:val="-11"/>
          <w:sz w:val="16"/>
        </w:rPr>
        <w:t xml:space="preserve"> </w:t>
      </w:r>
      <w:r>
        <w:rPr>
          <w:sz w:val="16"/>
        </w:rPr>
        <w:t>todas</w:t>
      </w:r>
      <w:r>
        <w:rPr>
          <w:spacing w:val="-10"/>
          <w:sz w:val="16"/>
        </w:rPr>
        <w:t xml:space="preserve"> </w:t>
      </w:r>
      <w:r>
        <w:rPr>
          <w:sz w:val="16"/>
        </w:rPr>
        <w:t>las</w:t>
      </w:r>
      <w:r>
        <w:rPr>
          <w:spacing w:val="-12"/>
          <w:sz w:val="16"/>
        </w:rPr>
        <w:t xml:space="preserve"> </w:t>
      </w:r>
      <w:r>
        <w:rPr>
          <w:sz w:val="16"/>
        </w:rPr>
        <w:t>disposiciones</w:t>
      </w:r>
      <w:r>
        <w:rPr>
          <w:spacing w:val="-12"/>
          <w:sz w:val="16"/>
        </w:rPr>
        <w:t xml:space="preserve"> </w:t>
      </w:r>
      <w:r>
        <w:rPr>
          <w:sz w:val="16"/>
        </w:rPr>
        <w:t>del</w:t>
      </w:r>
      <w:r>
        <w:rPr>
          <w:spacing w:val="-11"/>
          <w:sz w:val="16"/>
        </w:rPr>
        <w:t xml:space="preserve"> </w:t>
      </w:r>
      <w:r>
        <w:rPr>
          <w:sz w:val="16"/>
        </w:rPr>
        <w:t>tratado,</w:t>
      </w:r>
      <w:r>
        <w:rPr>
          <w:spacing w:val="-11"/>
          <w:sz w:val="16"/>
        </w:rPr>
        <w:t xml:space="preserve"> </w:t>
      </w:r>
      <w:r>
        <w:rPr>
          <w:sz w:val="16"/>
        </w:rPr>
        <w:t>[…]</w:t>
      </w:r>
      <w:r>
        <w:rPr>
          <w:spacing w:val="-11"/>
          <w:sz w:val="16"/>
        </w:rPr>
        <w:t xml:space="preserve"> </w:t>
      </w:r>
      <w:r>
        <w:rPr>
          <w:sz w:val="16"/>
        </w:rPr>
        <w:t>todo</w:t>
      </w:r>
      <w:r>
        <w:rPr>
          <w:spacing w:val="-10"/>
          <w:sz w:val="16"/>
        </w:rPr>
        <w:t xml:space="preserve"> </w:t>
      </w:r>
      <w:r>
        <w:rPr>
          <w:sz w:val="16"/>
        </w:rPr>
        <w:t>tratamiento</w:t>
      </w:r>
      <w:r>
        <w:rPr>
          <w:spacing w:val="-9"/>
          <w:sz w:val="16"/>
        </w:rPr>
        <w:t xml:space="preserve"> </w:t>
      </w:r>
      <w:r>
        <w:rPr>
          <w:sz w:val="16"/>
        </w:rPr>
        <w:t>que</w:t>
      </w:r>
      <w:r>
        <w:rPr>
          <w:spacing w:val="-10"/>
          <w:sz w:val="16"/>
        </w:rPr>
        <w:t xml:space="preserve"> </w:t>
      </w:r>
      <w:r>
        <w:rPr>
          <w:sz w:val="16"/>
        </w:rPr>
        <w:t>pueda</w:t>
      </w:r>
      <w:r>
        <w:rPr>
          <w:spacing w:val="-13"/>
          <w:sz w:val="16"/>
        </w:rPr>
        <w:t xml:space="preserve"> </w:t>
      </w:r>
      <w:r>
        <w:rPr>
          <w:sz w:val="16"/>
        </w:rPr>
        <w:t>ser</w:t>
      </w:r>
      <w:r>
        <w:rPr>
          <w:spacing w:val="-11"/>
          <w:sz w:val="16"/>
        </w:rPr>
        <w:t xml:space="preserve"> </w:t>
      </w:r>
      <w:r>
        <w:rPr>
          <w:sz w:val="16"/>
        </w:rPr>
        <w:t>considerado</w:t>
      </w:r>
      <w:r>
        <w:rPr>
          <w:spacing w:val="-11"/>
          <w:sz w:val="16"/>
        </w:rPr>
        <w:t xml:space="preserve"> </w:t>
      </w:r>
      <w:r>
        <w:rPr>
          <w:sz w:val="16"/>
        </w:rPr>
        <w:t xml:space="preserve">discriminatorio respecto del ejercicio de cualquiera de los derechos garantizados en la Convención es </w:t>
      </w:r>
      <w:r>
        <w:rPr>
          <w:i/>
          <w:sz w:val="16"/>
        </w:rPr>
        <w:t xml:space="preserve">per se </w:t>
      </w:r>
      <w:r>
        <w:rPr>
          <w:sz w:val="16"/>
        </w:rPr>
        <w:t>incompatibles con la misma</w:t>
      </w:r>
      <w:r>
        <w:rPr>
          <w:spacing w:val="-6"/>
          <w:sz w:val="16"/>
        </w:rPr>
        <w:t xml:space="preserve"> </w:t>
      </w:r>
      <w:r>
        <w:rPr>
          <w:sz w:val="16"/>
        </w:rPr>
        <w:t>[…]</w:t>
      </w:r>
      <w:hyperlink w:anchor="_bookmark823" w:history="1">
        <w:r>
          <w:rPr>
            <w:position w:val="6"/>
            <w:sz w:val="10"/>
          </w:rPr>
          <w:t>141</w:t>
        </w:r>
      </w:hyperlink>
      <w:r>
        <w:rPr>
          <w:sz w:val="16"/>
        </w:rPr>
        <w:t>.</w:t>
      </w:r>
    </w:p>
    <w:p w14:paraId="6E779B2D" w14:textId="77777777" w:rsidR="00467FCA" w:rsidRDefault="00467FCA">
      <w:pPr>
        <w:pStyle w:val="Textoindependiente"/>
        <w:spacing w:before="11"/>
        <w:rPr>
          <w:sz w:val="19"/>
        </w:rPr>
      </w:pPr>
    </w:p>
    <w:p w14:paraId="7D890D66" w14:textId="77777777" w:rsidR="00467FCA" w:rsidRDefault="001B68EB">
      <w:pPr>
        <w:pStyle w:val="Prrafodelista"/>
        <w:numPr>
          <w:ilvl w:val="0"/>
          <w:numId w:val="4"/>
        </w:numPr>
        <w:tabs>
          <w:tab w:val="left" w:pos="1167"/>
        </w:tabs>
        <w:spacing w:before="1"/>
        <w:ind w:left="1166"/>
        <w:jc w:val="both"/>
        <w:rPr>
          <w:sz w:val="20"/>
        </w:rPr>
      </w:pPr>
      <w:r>
        <w:rPr>
          <w:sz w:val="20"/>
        </w:rPr>
        <w:t>Y sob</w:t>
      </w:r>
      <w:r>
        <w:rPr>
          <w:sz w:val="20"/>
        </w:rPr>
        <w:t>re el articulo 24 expresó</w:t>
      </w:r>
      <w:r>
        <w:rPr>
          <w:spacing w:val="-5"/>
          <w:sz w:val="20"/>
        </w:rPr>
        <w:t xml:space="preserve"> </w:t>
      </w:r>
      <w:r>
        <w:rPr>
          <w:sz w:val="20"/>
        </w:rPr>
        <w:t>que:</w:t>
      </w:r>
    </w:p>
    <w:p w14:paraId="0DD3EC3B" w14:textId="77777777" w:rsidR="00467FCA" w:rsidRDefault="00467FCA">
      <w:pPr>
        <w:pStyle w:val="Textoindependiente"/>
        <w:spacing w:before="12"/>
        <w:rPr>
          <w:sz w:val="22"/>
        </w:rPr>
      </w:pPr>
    </w:p>
    <w:p w14:paraId="161A55BF" w14:textId="77777777" w:rsidR="00467FCA" w:rsidRDefault="001B68EB">
      <w:pPr>
        <w:ind w:left="1166" w:right="886"/>
        <w:jc w:val="both"/>
        <w:rPr>
          <w:sz w:val="16"/>
        </w:rPr>
      </w:pPr>
      <w:r>
        <w:rPr>
          <w:sz w:val="16"/>
        </w:rPr>
        <w:t>Aunque</w:t>
      </w:r>
      <w:r>
        <w:rPr>
          <w:spacing w:val="-6"/>
          <w:sz w:val="16"/>
        </w:rPr>
        <w:t xml:space="preserve"> </w:t>
      </w:r>
      <w:r>
        <w:rPr>
          <w:sz w:val="16"/>
        </w:rPr>
        <w:t>las</w:t>
      </w:r>
      <w:r>
        <w:rPr>
          <w:spacing w:val="-5"/>
          <w:sz w:val="16"/>
        </w:rPr>
        <w:t xml:space="preserve"> </w:t>
      </w:r>
      <w:r>
        <w:rPr>
          <w:sz w:val="16"/>
        </w:rPr>
        <w:t>nociones</w:t>
      </w:r>
      <w:r>
        <w:rPr>
          <w:spacing w:val="-5"/>
          <w:sz w:val="16"/>
        </w:rPr>
        <w:t xml:space="preserve"> </w:t>
      </w:r>
      <w:r>
        <w:rPr>
          <w:sz w:val="16"/>
        </w:rPr>
        <w:t>no</w:t>
      </w:r>
      <w:r>
        <w:rPr>
          <w:spacing w:val="-5"/>
          <w:sz w:val="16"/>
        </w:rPr>
        <w:t xml:space="preserve"> </w:t>
      </w:r>
      <w:r>
        <w:rPr>
          <w:sz w:val="16"/>
        </w:rPr>
        <w:t>son</w:t>
      </w:r>
      <w:r>
        <w:rPr>
          <w:spacing w:val="-6"/>
          <w:sz w:val="16"/>
        </w:rPr>
        <w:t xml:space="preserve"> </w:t>
      </w:r>
      <w:r>
        <w:rPr>
          <w:sz w:val="16"/>
        </w:rPr>
        <w:t>idénticas</w:t>
      </w:r>
      <w:r>
        <w:rPr>
          <w:spacing w:val="-5"/>
          <w:sz w:val="16"/>
        </w:rPr>
        <w:t xml:space="preserve"> </w:t>
      </w:r>
      <w:r>
        <w:rPr>
          <w:sz w:val="16"/>
        </w:rPr>
        <w:t>y</w:t>
      </w:r>
      <w:r>
        <w:rPr>
          <w:spacing w:val="-5"/>
          <w:sz w:val="16"/>
        </w:rPr>
        <w:t xml:space="preserve"> </w:t>
      </w:r>
      <w:r>
        <w:rPr>
          <w:sz w:val="16"/>
        </w:rPr>
        <w:t>quizás</w:t>
      </w:r>
      <w:r>
        <w:rPr>
          <w:spacing w:val="-5"/>
          <w:sz w:val="16"/>
        </w:rPr>
        <w:t xml:space="preserve"> </w:t>
      </w:r>
      <w:r>
        <w:rPr>
          <w:sz w:val="16"/>
        </w:rPr>
        <w:t>la</w:t>
      </w:r>
      <w:r>
        <w:rPr>
          <w:spacing w:val="-6"/>
          <w:sz w:val="16"/>
        </w:rPr>
        <w:t xml:space="preserve"> </w:t>
      </w:r>
      <w:r>
        <w:rPr>
          <w:sz w:val="16"/>
        </w:rPr>
        <w:t>Corte</w:t>
      </w:r>
      <w:r>
        <w:rPr>
          <w:spacing w:val="-6"/>
          <w:sz w:val="16"/>
        </w:rPr>
        <w:t xml:space="preserve"> </w:t>
      </w:r>
      <w:r>
        <w:rPr>
          <w:sz w:val="16"/>
        </w:rPr>
        <w:t>tendrá</w:t>
      </w:r>
      <w:r>
        <w:rPr>
          <w:spacing w:val="-6"/>
          <w:sz w:val="16"/>
        </w:rPr>
        <w:t xml:space="preserve"> </w:t>
      </w:r>
      <w:r>
        <w:rPr>
          <w:sz w:val="16"/>
        </w:rPr>
        <w:t>en</w:t>
      </w:r>
      <w:r>
        <w:rPr>
          <w:spacing w:val="-6"/>
          <w:sz w:val="16"/>
        </w:rPr>
        <w:t xml:space="preserve"> </w:t>
      </w:r>
      <w:r>
        <w:rPr>
          <w:sz w:val="16"/>
        </w:rPr>
        <w:t>el</w:t>
      </w:r>
      <w:r>
        <w:rPr>
          <w:spacing w:val="-6"/>
          <w:sz w:val="16"/>
        </w:rPr>
        <w:t xml:space="preserve"> </w:t>
      </w:r>
      <w:r>
        <w:rPr>
          <w:sz w:val="16"/>
        </w:rPr>
        <w:t>futuro</w:t>
      </w:r>
      <w:r>
        <w:rPr>
          <w:spacing w:val="-8"/>
          <w:sz w:val="16"/>
        </w:rPr>
        <w:t xml:space="preserve"> </w:t>
      </w:r>
      <w:r>
        <w:rPr>
          <w:sz w:val="16"/>
        </w:rPr>
        <w:t>la</w:t>
      </w:r>
      <w:r>
        <w:rPr>
          <w:spacing w:val="-6"/>
          <w:sz w:val="16"/>
        </w:rPr>
        <w:t xml:space="preserve"> </w:t>
      </w:r>
      <w:r>
        <w:rPr>
          <w:sz w:val="16"/>
        </w:rPr>
        <w:t>oportunidad</w:t>
      </w:r>
      <w:r>
        <w:rPr>
          <w:spacing w:val="-4"/>
          <w:sz w:val="16"/>
        </w:rPr>
        <w:t xml:space="preserve"> </w:t>
      </w:r>
      <w:r>
        <w:rPr>
          <w:sz w:val="16"/>
        </w:rPr>
        <w:t>de</w:t>
      </w:r>
      <w:r>
        <w:rPr>
          <w:spacing w:val="-6"/>
          <w:sz w:val="16"/>
        </w:rPr>
        <w:t xml:space="preserve"> </w:t>
      </w:r>
      <w:r>
        <w:rPr>
          <w:sz w:val="16"/>
        </w:rPr>
        <w:t>precisar las</w:t>
      </w:r>
      <w:r>
        <w:rPr>
          <w:spacing w:val="-2"/>
          <w:sz w:val="16"/>
        </w:rPr>
        <w:t xml:space="preserve"> </w:t>
      </w:r>
      <w:r>
        <w:rPr>
          <w:sz w:val="16"/>
        </w:rPr>
        <w:t>diferencias,</w:t>
      </w:r>
      <w:r>
        <w:rPr>
          <w:spacing w:val="-6"/>
          <w:sz w:val="16"/>
        </w:rPr>
        <w:t xml:space="preserve"> </w:t>
      </w:r>
      <w:r>
        <w:rPr>
          <w:sz w:val="16"/>
        </w:rPr>
        <w:t>dicha</w:t>
      </w:r>
      <w:r>
        <w:rPr>
          <w:spacing w:val="-6"/>
          <w:sz w:val="16"/>
        </w:rPr>
        <w:t xml:space="preserve"> </w:t>
      </w:r>
      <w:r>
        <w:rPr>
          <w:sz w:val="16"/>
        </w:rPr>
        <w:t>disposición</w:t>
      </w:r>
      <w:r>
        <w:rPr>
          <w:spacing w:val="-6"/>
          <w:sz w:val="16"/>
        </w:rPr>
        <w:t xml:space="preserve"> </w:t>
      </w:r>
      <w:r>
        <w:rPr>
          <w:sz w:val="16"/>
        </w:rPr>
        <w:t>reitera</w:t>
      </w:r>
      <w:r>
        <w:rPr>
          <w:spacing w:val="-5"/>
          <w:sz w:val="16"/>
        </w:rPr>
        <w:t xml:space="preserve"> </w:t>
      </w:r>
      <w:r>
        <w:rPr>
          <w:sz w:val="16"/>
        </w:rPr>
        <w:t>en</w:t>
      </w:r>
      <w:r>
        <w:rPr>
          <w:spacing w:val="-6"/>
          <w:sz w:val="16"/>
        </w:rPr>
        <w:t xml:space="preserve"> </w:t>
      </w:r>
      <w:r>
        <w:rPr>
          <w:sz w:val="16"/>
        </w:rPr>
        <w:t>cierta</w:t>
      </w:r>
      <w:r>
        <w:rPr>
          <w:spacing w:val="-6"/>
          <w:sz w:val="16"/>
        </w:rPr>
        <w:t xml:space="preserve"> </w:t>
      </w:r>
      <w:r>
        <w:rPr>
          <w:sz w:val="16"/>
        </w:rPr>
        <w:t>forma</w:t>
      </w:r>
      <w:r>
        <w:rPr>
          <w:spacing w:val="-6"/>
          <w:sz w:val="16"/>
        </w:rPr>
        <w:t xml:space="preserve"> </w:t>
      </w:r>
      <w:r>
        <w:rPr>
          <w:sz w:val="16"/>
        </w:rPr>
        <w:t>el</w:t>
      </w:r>
      <w:r>
        <w:rPr>
          <w:spacing w:val="-6"/>
          <w:sz w:val="16"/>
        </w:rPr>
        <w:t xml:space="preserve"> </w:t>
      </w:r>
      <w:r>
        <w:rPr>
          <w:sz w:val="16"/>
        </w:rPr>
        <w:t>principio</w:t>
      </w:r>
      <w:r>
        <w:rPr>
          <w:spacing w:val="-3"/>
          <w:sz w:val="16"/>
        </w:rPr>
        <w:t xml:space="preserve"> </w:t>
      </w:r>
      <w:r>
        <w:rPr>
          <w:sz w:val="16"/>
        </w:rPr>
        <w:t>establecido</w:t>
      </w:r>
      <w:r>
        <w:rPr>
          <w:spacing w:val="-4"/>
          <w:sz w:val="16"/>
        </w:rPr>
        <w:t xml:space="preserve"> </w:t>
      </w:r>
      <w:r>
        <w:rPr>
          <w:sz w:val="16"/>
        </w:rPr>
        <w:t>en</w:t>
      </w:r>
      <w:r>
        <w:rPr>
          <w:spacing w:val="-6"/>
          <w:sz w:val="16"/>
        </w:rPr>
        <w:t xml:space="preserve"> </w:t>
      </w:r>
      <w:r>
        <w:rPr>
          <w:sz w:val="16"/>
        </w:rPr>
        <w:t>el</w:t>
      </w:r>
      <w:r>
        <w:rPr>
          <w:spacing w:val="-3"/>
          <w:sz w:val="16"/>
        </w:rPr>
        <w:t xml:space="preserve"> </w:t>
      </w:r>
      <w:r>
        <w:rPr>
          <w:sz w:val="16"/>
        </w:rPr>
        <w:t>artículo</w:t>
      </w:r>
      <w:r>
        <w:rPr>
          <w:spacing w:val="-2"/>
          <w:sz w:val="16"/>
        </w:rPr>
        <w:t xml:space="preserve"> </w:t>
      </w:r>
      <w:r>
        <w:rPr>
          <w:sz w:val="16"/>
        </w:rPr>
        <w:t>1.1.</w:t>
      </w:r>
      <w:r>
        <w:rPr>
          <w:spacing w:val="-3"/>
          <w:sz w:val="16"/>
        </w:rPr>
        <w:t xml:space="preserve"> </w:t>
      </w:r>
      <w:r>
        <w:rPr>
          <w:sz w:val="16"/>
        </w:rPr>
        <w:t>En función del reconocimiento de la igualdad ante la ley se prohíbe todo tratamiento discriminatorio de origen</w:t>
      </w:r>
      <w:r>
        <w:rPr>
          <w:spacing w:val="-4"/>
          <w:sz w:val="16"/>
        </w:rPr>
        <w:t xml:space="preserve"> </w:t>
      </w:r>
      <w:r>
        <w:rPr>
          <w:sz w:val="16"/>
        </w:rPr>
        <w:t>legal.</w:t>
      </w:r>
      <w:r>
        <w:rPr>
          <w:spacing w:val="-6"/>
          <w:sz w:val="16"/>
        </w:rPr>
        <w:t xml:space="preserve"> </w:t>
      </w:r>
      <w:r>
        <w:rPr>
          <w:sz w:val="16"/>
        </w:rPr>
        <w:t>De</w:t>
      </w:r>
      <w:r>
        <w:rPr>
          <w:spacing w:val="-5"/>
          <w:sz w:val="16"/>
        </w:rPr>
        <w:t xml:space="preserve"> </w:t>
      </w:r>
      <w:r>
        <w:rPr>
          <w:sz w:val="16"/>
        </w:rPr>
        <w:t>este</w:t>
      </w:r>
      <w:r>
        <w:rPr>
          <w:spacing w:val="-5"/>
          <w:sz w:val="16"/>
        </w:rPr>
        <w:t xml:space="preserve"> </w:t>
      </w:r>
      <w:r>
        <w:rPr>
          <w:sz w:val="16"/>
        </w:rPr>
        <w:t>modo</w:t>
      </w:r>
      <w:r>
        <w:rPr>
          <w:spacing w:val="-3"/>
          <w:sz w:val="16"/>
        </w:rPr>
        <w:t xml:space="preserve"> </w:t>
      </w:r>
      <w:r>
        <w:rPr>
          <w:sz w:val="16"/>
        </w:rPr>
        <w:t>la</w:t>
      </w:r>
      <w:r>
        <w:rPr>
          <w:spacing w:val="-8"/>
          <w:sz w:val="16"/>
        </w:rPr>
        <w:t xml:space="preserve"> </w:t>
      </w:r>
      <w:r>
        <w:rPr>
          <w:sz w:val="16"/>
        </w:rPr>
        <w:t>prohibición</w:t>
      </w:r>
      <w:r>
        <w:rPr>
          <w:spacing w:val="-6"/>
          <w:sz w:val="16"/>
        </w:rPr>
        <w:t xml:space="preserve"> </w:t>
      </w:r>
      <w:r>
        <w:rPr>
          <w:sz w:val="16"/>
        </w:rPr>
        <w:t>de</w:t>
      </w:r>
      <w:r>
        <w:rPr>
          <w:spacing w:val="-5"/>
          <w:sz w:val="16"/>
        </w:rPr>
        <w:t xml:space="preserve"> </w:t>
      </w:r>
      <w:r>
        <w:rPr>
          <w:sz w:val="16"/>
        </w:rPr>
        <w:t>discriminación</w:t>
      </w:r>
      <w:r>
        <w:rPr>
          <w:spacing w:val="-7"/>
          <w:sz w:val="16"/>
        </w:rPr>
        <w:t xml:space="preserve"> </w:t>
      </w:r>
      <w:r>
        <w:rPr>
          <w:sz w:val="16"/>
        </w:rPr>
        <w:t>ampliamente</w:t>
      </w:r>
      <w:r>
        <w:rPr>
          <w:spacing w:val="-2"/>
          <w:sz w:val="16"/>
        </w:rPr>
        <w:t xml:space="preserve"> </w:t>
      </w:r>
      <w:r>
        <w:rPr>
          <w:sz w:val="16"/>
        </w:rPr>
        <w:t>contenida</w:t>
      </w:r>
      <w:r>
        <w:rPr>
          <w:spacing w:val="-3"/>
          <w:sz w:val="16"/>
        </w:rPr>
        <w:t xml:space="preserve"> </w:t>
      </w:r>
      <w:r>
        <w:rPr>
          <w:sz w:val="16"/>
        </w:rPr>
        <w:t>en</w:t>
      </w:r>
      <w:r>
        <w:rPr>
          <w:spacing w:val="-6"/>
          <w:sz w:val="16"/>
        </w:rPr>
        <w:t xml:space="preserve"> </w:t>
      </w:r>
      <w:r>
        <w:rPr>
          <w:sz w:val="16"/>
        </w:rPr>
        <w:t>el</w:t>
      </w:r>
      <w:r>
        <w:rPr>
          <w:spacing w:val="-7"/>
          <w:sz w:val="16"/>
        </w:rPr>
        <w:t xml:space="preserve"> </w:t>
      </w:r>
      <w:r>
        <w:rPr>
          <w:sz w:val="16"/>
        </w:rPr>
        <w:t>artículo</w:t>
      </w:r>
      <w:r>
        <w:rPr>
          <w:spacing w:val="-2"/>
          <w:sz w:val="16"/>
        </w:rPr>
        <w:t xml:space="preserve"> </w:t>
      </w:r>
      <w:r>
        <w:rPr>
          <w:sz w:val="16"/>
        </w:rPr>
        <w:t>1.1 respecto de los derechos y garantías estipulados po</w:t>
      </w:r>
      <w:r>
        <w:rPr>
          <w:sz w:val="16"/>
        </w:rPr>
        <w:t>r la Convención, se extiende al derecho interno de los Estados Partes, de tal manera que es posible concluir que, con base en esas disposiciones, éstos</w:t>
      </w:r>
      <w:r>
        <w:rPr>
          <w:spacing w:val="-3"/>
          <w:sz w:val="16"/>
        </w:rPr>
        <w:t xml:space="preserve"> </w:t>
      </w:r>
      <w:r>
        <w:rPr>
          <w:sz w:val="16"/>
        </w:rPr>
        <w:t>se</w:t>
      </w:r>
      <w:r>
        <w:rPr>
          <w:spacing w:val="-3"/>
          <w:sz w:val="16"/>
        </w:rPr>
        <w:t xml:space="preserve"> </w:t>
      </w:r>
      <w:r>
        <w:rPr>
          <w:sz w:val="16"/>
        </w:rPr>
        <w:t>han</w:t>
      </w:r>
      <w:r>
        <w:rPr>
          <w:spacing w:val="-2"/>
          <w:sz w:val="16"/>
        </w:rPr>
        <w:t xml:space="preserve"> </w:t>
      </w:r>
      <w:r>
        <w:rPr>
          <w:sz w:val="16"/>
        </w:rPr>
        <w:t>comprometido,</w:t>
      </w:r>
      <w:r>
        <w:rPr>
          <w:spacing w:val="-4"/>
          <w:sz w:val="16"/>
        </w:rPr>
        <w:t xml:space="preserve"> </w:t>
      </w:r>
      <w:r>
        <w:rPr>
          <w:sz w:val="16"/>
        </w:rPr>
        <w:t>en</w:t>
      </w:r>
      <w:r>
        <w:rPr>
          <w:spacing w:val="-1"/>
          <w:sz w:val="16"/>
        </w:rPr>
        <w:t xml:space="preserve"> </w:t>
      </w:r>
      <w:r>
        <w:rPr>
          <w:sz w:val="16"/>
        </w:rPr>
        <w:t>virtud</w:t>
      </w:r>
      <w:r>
        <w:rPr>
          <w:spacing w:val="-3"/>
          <w:sz w:val="16"/>
        </w:rPr>
        <w:t xml:space="preserve"> </w:t>
      </w:r>
      <w:r>
        <w:rPr>
          <w:sz w:val="16"/>
        </w:rPr>
        <w:t>de</w:t>
      </w:r>
      <w:r>
        <w:rPr>
          <w:spacing w:val="-3"/>
          <w:sz w:val="16"/>
        </w:rPr>
        <w:t xml:space="preserve"> </w:t>
      </w:r>
      <w:r>
        <w:rPr>
          <w:sz w:val="16"/>
        </w:rPr>
        <w:t>la</w:t>
      </w:r>
      <w:r>
        <w:rPr>
          <w:spacing w:val="-4"/>
          <w:sz w:val="16"/>
        </w:rPr>
        <w:t xml:space="preserve"> </w:t>
      </w:r>
      <w:r>
        <w:rPr>
          <w:sz w:val="16"/>
        </w:rPr>
        <w:t>Convención,</w:t>
      </w:r>
      <w:r>
        <w:rPr>
          <w:spacing w:val="-3"/>
          <w:sz w:val="16"/>
        </w:rPr>
        <w:t xml:space="preserve"> </w:t>
      </w:r>
      <w:r>
        <w:rPr>
          <w:sz w:val="16"/>
        </w:rPr>
        <w:t>a</w:t>
      </w:r>
      <w:r>
        <w:rPr>
          <w:spacing w:val="-4"/>
          <w:sz w:val="16"/>
        </w:rPr>
        <w:t xml:space="preserve"> </w:t>
      </w:r>
      <w:r>
        <w:rPr>
          <w:sz w:val="16"/>
        </w:rPr>
        <w:t>no</w:t>
      </w:r>
      <w:r>
        <w:rPr>
          <w:spacing w:val="-3"/>
          <w:sz w:val="16"/>
        </w:rPr>
        <w:t xml:space="preserve"> </w:t>
      </w:r>
      <w:r>
        <w:rPr>
          <w:sz w:val="16"/>
        </w:rPr>
        <w:t>introducir</w:t>
      </w:r>
      <w:r>
        <w:rPr>
          <w:spacing w:val="-3"/>
          <w:sz w:val="16"/>
        </w:rPr>
        <w:t xml:space="preserve"> </w:t>
      </w:r>
      <w:r>
        <w:rPr>
          <w:sz w:val="16"/>
        </w:rPr>
        <w:t>en</w:t>
      </w:r>
      <w:r>
        <w:rPr>
          <w:spacing w:val="-3"/>
          <w:sz w:val="16"/>
        </w:rPr>
        <w:t xml:space="preserve"> </w:t>
      </w:r>
      <w:r>
        <w:rPr>
          <w:sz w:val="16"/>
        </w:rPr>
        <w:t>su</w:t>
      </w:r>
      <w:r>
        <w:rPr>
          <w:spacing w:val="-5"/>
          <w:sz w:val="16"/>
        </w:rPr>
        <w:t xml:space="preserve"> </w:t>
      </w:r>
      <w:r>
        <w:rPr>
          <w:sz w:val="16"/>
        </w:rPr>
        <w:t>ordenamiento jurídico regulaciones discriminatorias referentes a la protección de la ley</w:t>
      </w:r>
      <w:r>
        <w:rPr>
          <w:spacing w:val="-8"/>
          <w:sz w:val="16"/>
        </w:rPr>
        <w:t xml:space="preserve"> </w:t>
      </w:r>
      <w:r>
        <w:rPr>
          <w:sz w:val="16"/>
        </w:rPr>
        <w:t>[…]</w:t>
      </w:r>
      <w:hyperlink w:anchor="_bookmark824" w:history="1">
        <w:r>
          <w:rPr>
            <w:position w:val="6"/>
            <w:sz w:val="10"/>
          </w:rPr>
          <w:t>142</w:t>
        </w:r>
      </w:hyperlink>
      <w:r>
        <w:rPr>
          <w:sz w:val="16"/>
        </w:rPr>
        <w:t>.</w:t>
      </w:r>
    </w:p>
    <w:p w14:paraId="0B5850B7" w14:textId="77777777" w:rsidR="00467FCA" w:rsidRDefault="00467FCA">
      <w:pPr>
        <w:pStyle w:val="Textoindependiente"/>
      </w:pPr>
    </w:p>
    <w:p w14:paraId="561D252A" w14:textId="77777777" w:rsidR="00467FCA" w:rsidRDefault="001B68EB">
      <w:pPr>
        <w:pStyle w:val="Textoindependiente"/>
        <w:spacing w:before="3"/>
        <w:rPr>
          <w:sz w:val="14"/>
        </w:rPr>
      </w:pPr>
      <w:r>
        <w:pict w14:anchorId="4BA4E4A9">
          <v:shape id="_x0000_s1043" style="position:absolute;margin-left:70.9pt;margin-top:10.95pt;width:2in;height:.1pt;z-index:-251502592;mso-wrap-distance-left:0;mso-wrap-distance-right:0;mso-position-horizontal-relative:page" coordorigin="1418,219" coordsize="2880,0" path="m1418,219r2880,e" filled="f" strokeweight=".6pt">
            <v:path arrowok="t"/>
            <w10:wrap type="topAndBottom" anchorx="page"/>
          </v:shape>
        </w:pict>
      </w:r>
    </w:p>
    <w:p w14:paraId="3727AE4D" w14:textId="77777777" w:rsidR="00467FCA" w:rsidRDefault="001B68EB">
      <w:pPr>
        <w:tabs>
          <w:tab w:val="left" w:pos="1166"/>
        </w:tabs>
        <w:spacing w:before="74"/>
        <w:ind w:left="458" w:right="275"/>
        <w:jc w:val="both"/>
        <w:rPr>
          <w:sz w:val="16"/>
        </w:rPr>
      </w:pPr>
      <w:bookmarkStart w:id="901" w:name="_bookmark820"/>
      <w:bookmarkEnd w:id="901"/>
      <w:r>
        <w:rPr>
          <w:position w:val="6"/>
          <w:sz w:val="10"/>
        </w:rPr>
        <w:t>138</w:t>
      </w:r>
      <w:r>
        <w:rPr>
          <w:position w:val="6"/>
          <w:sz w:val="10"/>
        </w:rPr>
        <w:tab/>
      </w:r>
      <w:r>
        <w:rPr>
          <w:sz w:val="16"/>
        </w:rPr>
        <w:t xml:space="preserve">Véase: </w:t>
      </w:r>
      <w:r>
        <w:rPr>
          <w:i/>
          <w:sz w:val="16"/>
        </w:rPr>
        <w:t>Xákmok Kásek Vs. Paraguay, supra</w:t>
      </w:r>
      <w:r>
        <w:rPr>
          <w:sz w:val="16"/>
        </w:rPr>
        <w:t xml:space="preserve">, párr. 269, y </w:t>
      </w:r>
      <w:r>
        <w:rPr>
          <w:i/>
          <w:sz w:val="16"/>
        </w:rPr>
        <w:t>Caso Nadege Dorzema y otros Vs. República Dominicana, supra</w:t>
      </w:r>
      <w:r>
        <w:rPr>
          <w:sz w:val="16"/>
        </w:rPr>
        <w:t>, párr.</w:t>
      </w:r>
      <w:r>
        <w:rPr>
          <w:spacing w:val="-4"/>
          <w:sz w:val="16"/>
        </w:rPr>
        <w:t xml:space="preserve"> </w:t>
      </w:r>
      <w:r>
        <w:rPr>
          <w:sz w:val="16"/>
        </w:rPr>
        <w:t>225.</w:t>
      </w:r>
    </w:p>
    <w:p w14:paraId="085684FC" w14:textId="77777777" w:rsidR="00467FCA" w:rsidRDefault="001B68EB">
      <w:pPr>
        <w:ind w:left="458"/>
        <w:jc w:val="both"/>
        <w:rPr>
          <w:sz w:val="16"/>
        </w:rPr>
      </w:pPr>
      <w:bookmarkStart w:id="902" w:name="_bookmark821"/>
      <w:bookmarkEnd w:id="902"/>
      <w:r>
        <w:rPr>
          <w:position w:val="6"/>
          <w:sz w:val="10"/>
        </w:rPr>
        <w:t xml:space="preserve">139 </w:t>
      </w:r>
      <w:r>
        <w:rPr>
          <w:i/>
          <w:sz w:val="16"/>
        </w:rPr>
        <w:t>Cfr. Caso Atala Riffo y niñas Vs. Chile, supra</w:t>
      </w:r>
      <w:r>
        <w:rPr>
          <w:sz w:val="16"/>
        </w:rPr>
        <w:t>, párr. 79.</w:t>
      </w:r>
    </w:p>
    <w:p w14:paraId="7A38762F" w14:textId="77777777" w:rsidR="00467FCA" w:rsidRDefault="001B68EB">
      <w:pPr>
        <w:tabs>
          <w:tab w:val="left" w:pos="1166"/>
        </w:tabs>
        <w:ind w:left="458" w:right="99" w:hanging="1"/>
        <w:jc w:val="both"/>
        <w:rPr>
          <w:sz w:val="16"/>
        </w:rPr>
      </w:pPr>
      <w:bookmarkStart w:id="903" w:name="_bookmark822"/>
      <w:bookmarkEnd w:id="903"/>
      <w:r>
        <w:rPr>
          <w:position w:val="6"/>
          <w:sz w:val="10"/>
        </w:rPr>
        <w:t>140</w:t>
      </w:r>
      <w:r>
        <w:rPr>
          <w:position w:val="6"/>
          <w:sz w:val="10"/>
        </w:rPr>
        <w:tab/>
      </w:r>
      <w:r>
        <w:rPr>
          <w:i/>
          <w:sz w:val="16"/>
        </w:rPr>
        <w:t>Cfr.</w:t>
      </w:r>
      <w:r>
        <w:rPr>
          <w:i/>
          <w:spacing w:val="-14"/>
          <w:sz w:val="16"/>
        </w:rPr>
        <w:t xml:space="preserve"> </w:t>
      </w:r>
      <w:r>
        <w:rPr>
          <w:i/>
          <w:sz w:val="16"/>
        </w:rPr>
        <w:t>Condición</w:t>
      </w:r>
      <w:r>
        <w:rPr>
          <w:i/>
          <w:spacing w:val="-14"/>
          <w:sz w:val="16"/>
        </w:rPr>
        <w:t xml:space="preserve"> </w:t>
      </w:r>
      <w:r>
        <w:rPr>
          <w:i/>
          <w:sz w:val="16"/>
        </w:rPr>
        <w:t>jurídica</w:t>
      </w:r>
      <w:r>
        <w:rPr>
          <w:i/>
          <w:spacing w:val="-15"/>
          <w:sz w:val="16"/>
        </w:rPr>
        <w:t xml:space="preserve"> </w:t>
      </w:r>
      <w:r>
        <w:rPr>
          <w:i/>
          <w:sz w:val="16"/>
        </w:rPr>
        <w:t>y</w:t>
      </w:r>
      <w:r>
        <w:rPr>
          <w:i/>
          <w:spacing w:val="-15"/>
          <w:sz w:val="16"/>
        </w:rPr>
        <w:t xml:space="preserve"> </w:t>
      </w:r>
      <w:r>
        <w:rPr>
          <w:i/>
          <w:sz w:val="16"/>
        </w:rPr>
        <w:t>derechos</w:t>
      </w:r>
      <w:r>
        <w:rPr>
          <w:i/>
          <w:spacing w:val="-12"/>
          <w:sz w:val="16"/>
        </w:rPr>
        <w:t xml:space="preserve"> </w:t>
      </w:r>
      <w:r>
        <w:rPr>
          <w:i/>
          <w:sz w:val="16"/>
        </w:rPr>
        <w:t>de</w:t>
      </w:r>
      <w:r>
        <w:rPr>
          <w:i/>
          <w:spacing w:val="-15"/>
          <w:sz w:val="16"/>
        </w:rPr>
        <w:t xml:space="preserve"> </w:t>
      </w:r>
      <w:r>
        <w:rPr>
          <w:i/>
          <w:sz w:val="16"/>
        </w:rPr>
        <w:t>los</w:t>
      </w:r>
      <w:r>
        <w:rPr>
          <w:i/>
          <w:spacing w:val="-12"/>
          <w:sz w:val="16"/>
        </w:rPr>
        <w:t xml:space="preserve"> </w:t>
      </w:r>
      <w:r>
        <w:rPr>
          <w:i/>
          <w:sz w:val="16"/>
        </w:rPr>
        <w:t>migrantes</w:t>
      </w:r>
      <w:r>
        <w:rPr>
          <w:i/>
          <w:spacing w:val="-13"/>
          <w:sz w:val="16"/>
        </w:rPr>
        <w:t xml:space="preserve"> </w:t>
      </w:r>
      <w:r>
        <w:rPr>
          <w:i/>
          <w:sz w:val="16"/>
        </w:rPr>
        <w:t>indocumentados</w:t>
      </w:r>
      <w:r>
        <w:rPr>
          <w:sz w:val="16"/>
        </w:rPr>
        <w:t>.</w:t>
      </w:r>
      <w:r>
        <w:rPr>
          <w:spacing w:val="-13"/>
          <w:sz w:val="16"/>
        </w:rPr>
        <w:t xml:space="preserve"> </w:t>
      </w:r>
      <w:r>
        <w:rPr>
          <w:sz w:val="16"/>
        </w:rPr>
        <w:t>Opinión</w:t>
      </w:r>
      <w:r>
        <w:rPr>
          <w:spacing w:val="-14"/>
          <w:sz w:val="16"/>
        </w:rPr>
        <w:t xml:space="preserve"> </w:t>
      </w:r>
      <w:r>
        <w:rPr>
          <w:sz w:val="16"/>
        </w:rPr>
        <w:t>Consultiva</w:t>
      </w:r>
      <w:r>
        <w:rPr>
          <w:spacing w:val="-14"/>
          <w:sz w:val="16"/>
        </w:rPr>
        <w:t xml:space="preserve"> </w:t>
      </w:r>
      <w:r>
        <w:rPr>
          <w:sz w:val="16"/>
        </w:rPr>
        <w:t>OC-18/03,</w:t>
      </w:r>
      <w:r>
        <w:rPr>
          <w:spacing w:val="-13"/>
          <w:sz w:val="16"/>
        </w:rPr>
        <w:t xml:space="preserve"> </w:t>
      </w:r>
      <w:r>
        <w:rPr>
          <w:i/>
          <w:sz w:val="16"/>
        </w:rPr>
        <w:t>supra</w:t>
      </w:r>
      <w:r>
        <w:rPr>
          <w:sz w:val="16"/>
        </w:rPr>
        <w:t>,</w:t>
      </w:r>
      <w:r>
        <w:rPr>
          <w:spacing w:val="-16"/>
          <w:sz w:val="16"/>
        </w:rPr>
        <w:t xml:space="preserve"> </w:t>
      </w:r>
      <w:r>
        <w:rPr>
          <w:sz w:val="16"/>
        </w:rPr>
        <w:t xml:space="preserve">párr. 101; </w:t>
      </w:r>
      <w:r>
        <w:rPr>
          <w:i/>
          <w:sz w:val="16"/>
        </w:rPr>
        <w:t>Caso Nadege Dorzema y otros Vs. República Dominicana, supra</w:t>
      </w:r>
      <w:r>
        <w:rPr>
          <w:sz w:val="16"/>
        </w:rPr>
        <w:t xml:space="preserve">, párr. 225, y </w:t>
      </w:r>
      <w:r>
        <w:rPr>
          <w:i/>
          <w:sz w:val="16"/>
        </w:rPr>
        <w:t>Caso Atala Riffo y niñas Vs. Chile, supra</w:t>
      </w:r>
      <w:r>
        <w:rPr>
          <w:sz w:val="16"/>
        </w:rPr>
        <w:t>, párr.</w:t>
      </w:r>
      <w:r>
        <w:rPr>
          <w:spacing w:val="-4"/>
          <w:sz w:val="16"/>
        </w:rPr>
        <w:t xml:space="preserve"> </w:t>
      </w:r>
      <w:r>
        <w:rPr>
          <w:sz w:val="16"/>
        </w:rPr>
        <w:t>79.</w:t>
      </w:r>
    </w:p>
    <w:p w14:paraId="631AE395" w14:textId="77777777" w:rsidR="00467FCA" w:rsidRDefault="001B68EB">
      <w:pPr>
        <w:tabs>
          <w:tab w:val="left" w:pos="1166"/>
        </w:tabs>
        <w:ind w:left="458" w:right="270" w:hanging="1"/>
        <w:jc w:val="both"/>
        <w:rPr>
          <w:sz w:val="16"/>
        </w:rPr>
      </w:pPr>
      <w:bookmarkStart w:id="904" w:name="_bookmark823"/>
      <w:bookmarkEnd w:id="904"/>
      <w:r>
        <w:rPr>
          <w:position w:val="6"/>
          <w:sz w:val="10"/>
        </w:rPr>
        <w:t>141</w:t>
      </w:r>
      <w:r>
        <w:rPr>
          <w:position w:val="6"/>
          <w:sz w:val="10"/>
        </w:rPr>
        <w:tab/>
      </w:r>
      <w:r>
        <w:rPr>
          <w:i/>
          <w:sz w:val="16"/>
        </w:rPr>
        <w:t xml:space="preserve">Propuesta de modificación a la Constitución Política de Costa Rica relacionada con la naturalización. </w:t>
      </w:r>
      <w:r>
        <w:rPr>
          <w:sz w:val="16"/>
        </w:rPr>
        <w:t>Opinión consultiva OC-4</w:t>
      </w:r>
      <w:r>
        <w:rPr>
          <w:sz w:val="16"/>
        </w:rPr>
        <w:t>/84 del 19 de enero de 1984. Serie A No. 4, párr.</w:t>
      </w:r>
      <w:r>
        <w:rPr>
          <w:spacing w:val="-17"/>
          <w:sz w:val="16"/>
        </w:rPr>
        <w:t xml:space="preserve"> </w:t>
      </w:r>
      <w:r>
        <w:rPr>
          <w:sz w:val="16"/>
        </w:rPr>
        <w:t>53.</w:t>
      </w:r>
    </w:p>
    <w:p w14:paraId="1999A45F" w14:textId="77777777" w:rsidR="00467FCA" w:rsidRDefault="001B68EB">
      <w:pPr>
        <w:tabs>
          <w:tab w:val="left" w:pos="1166"/>
        </w:tabs>
        <w:ind w:left="458"/>
        <w:jc w:val="both"/>
        <w:rPr>
          <w:sz w:val="16"/>
        </w:rPr>
      </w:pPr>
      <w:bookmarkStart w:id="905" w:name="_bookmark824"/>
      <w:bookmarkEnd w:id="905"/>
      <w:r>
        <w:rPr>
          <w:position w:val="6"/>
          <w:sz w:val="10"/>
        </w:rPr>
        <w:t>142</w:t>
      </w:r>
      <w:r>
        <w:rPr>
          <w:position w:val="6"/>
          <w:sz w:val="10"/>
        </w:rPr>
        <w:tab/>
      </w:r>
      <w:r>
        <w:rPr>
          <w:sz w:val="16"/>
        </w:rPr>
        <w:t xml:space="preserve">Opinión consultiva OC-4/84, </w:t>
      </w:r>
      <w:r>
        <w:rPr>
          <w:i/>
          <w:sz w:val="16"/>
        </w:rPr>
        <w:t>supra</w:t>
      </w:r>
      <w:r>
        <w:rPr>
          <w:sz w:val="16"/>
        </w:rPr>
        <w:t>, párr.</w:t>
      </w:r>
      <w:r>
        <w:rPr>
          <w:spacing w:val="-10"/>
          <w:sz w:val="16"/>
        </w:rPr>
        <w:t xml:space="preserve"> </w:t>
      </w:r>
      <w:r>
        <w:rPr>
          <w:sz w:val="16"/>
        </w:rPr>
        <w:t>54.</w:t>
      </w:r>
    </w:p>
    <w:p w14:paraId="364390CD" w14:textId="77777777" w:rsidR="00467FCA" w:rsidRDefault="00467FCA">
      <w:pPr>
        <w:jc w:val="both"/>
        <w:rPr>
          <w:sz w:val="16"/>
        </w:rPr>
        <w:sectPr w:rsidR="00467FCA">
          <w:pgSz w:w="12240" w:h="15840"/>
          <w:pgMar w:top="1340" w:right="1140" w:bottom="920" w:left="960" w:header="0" w:footer="734" w:gutter="0"/>
          <w:cols w:space="720"/>
        </w:sectPr>
      </w:pPr>
    </w:p>
    <w:p w14:paraId="5916DC77" w14:textId="77777777" w:rsidR="00467FCA" w:rsidRDefault="001B68EB">
      <w:pPr>
        <w:pStyle w:val="Prrafodelista"/>
        <w:numPr>
          <w:ilvl w:val="0"/>
          <w:numId w:val="4"/>
        </w:numPr>
        <w:tabs>
          <w:tab w:val="left" w:pos="1167"/>
        </w:tabs>
        <w:spacing w:before="79"/>
        <w:ind w:right="274" w:hanging="1"/>
        <w:jc w:val="both"/>
        <w:rPr>
          <w:sz w:val="20"/>
        </w:rPr>
      </w:pPr>
      <w:r>
        <w:rPr>
          <w:sz w:val="20"/>
        </w:rPr>
        <w:t xml:space="preserve">Sin embargo, con posterioridad, en el año 1990, con oportunidad de la Opinión Consultiva No. 10, indicó que “el sentido de la expresión </w:t>
      </w:r>
      <w:r>
        <w:rPr>
          <w:i/>
          <w:sz w:val="20"/>
        </w:rPr>
        <w:t>dis</w:t>
      </w:r>
      <w:r>
        <w:rPr>
          <w:i/>
          <w:sz w:val="20"/>
        </w:rPr>
        <w:t xml:space="preserve">criminación </w:t>
      </w:r>
      <w:r>
        <w:rPr>
          <w:sz w:val="20"/>
        </w:rPr>
        <w:t>que menciona el artículo 24 debe ser interpretado, entonces, a la luz de lo que menciona el artículo 1.1”</w:t>
      </w:r>
      <w:hyperlink w:anchor="_bookmark825" w:history="1">
        <w:r>
          <w:rPr>
            <w:position w:val="7"/>
            <w:sz w:val="13"/>
          </w:rPr>
          <w:t>143</w:t>
        </w:r>
      </w:hyperlink>
      <w:r>
        <w:rPr>
          <w:sz w:val="20"/>
        </w:rPr>
        <w:t>. Posteriormente,</w:t>
      </w:r>
      <w:r>
        <w:rPr>
          <w:spacing w:val="-19"/>
          <w:sz w:val="20"/>
        </w:rPr>
        <w:t xml:space="preserve"> </w:t>
      </w:r>
      <w:r>
        <w:rPr>
          <w:sz w:val="20"/>
        </w:rPr>
        <w:t>en</w:t>
      </w:r>
      <w:r>
        <w:rPr>
          <w:spacing w:val="-16"/>
          <w:sz w:val="20"/>
        </w:rPr>
        <w:t xml:space="preserve"> </w:t>
      </w:r>
      <w:r>
        <w:rPr>
          <w:sz w:val="20"/>
        </w:rPr>
        <w:t>el</w:t>
      </w:r>
      <w:r>
        <w:rPr>
          <w:spacing w:val="-17"/>
          <w:sz w:val="20"/>
        </w:rPr>
        <w:t xml:space="preserve"> </w:t>
      </w:r>
      <w:r>
        <w:rPr>
          <w:sz w:val="20"/>
        </w:rPr>
        <w:t>año</w:t>
      </w:r>
      <w:r>
        <w:rPr>
          <w:spacing w:val="-19"/>
          <w:sz w:val="20"/>
        </w:rPr>
        <w:t xml:space="preserve"> </w:t>
      </w:r>
      <w:r>
        <w:rPr>
          <w:sz w:val="20"/>
        </w:rPr>
        <w:t>2002,</w:t>
      </w:r>
      <w:r>
        <w:rPr>
          <w:spacing w:val="-18"/>
          <w:sz w:val="20"/>
        </w:rPr>
        <w:t xml:space="preserve"> </w:t>
      </w:r>
      <w:r>
        <w:rPr>
          <w:sz w:val="20"/>
        </w:rPr>
        <w:t>en</w:t>
      </w:r>
      <w:r>
        <w:rPr>
          <w:spacing w:val="-16"/>
          <w:sz w:val="20"/>
        </w:rPr>
        <w:t xml:space="preserve"> </w:t>
      </w:r>
      <w:r>
        <w:rPr>
          <w:sz w:val="20"/>
        </w:rPr>
        <w:t>la</w:t>
      </w:r>
      <w:r>
        <w:rPr>
          <w:spacing w:val="-18"/>
          <w:sz w:val="20"/>
        </w:rPr>
        <w:t xml:space="preserve"> </w:t>
      </w:r>
      <w:r>
        <w:rPr>
          <w:sz w:val="20"/>
        </w:rPr>
        <w:t>Opinión</w:t>
      </w:r>
      <w:r>
        <w:rPr>
          <w:spacing w:val="-16"/>
          <w:sz w:val="20"/>
        </w:rPr>
        <w:t xml:space="preserve"> </w:t>
      </w:r>
      <w:r>
        <w:rPr>
          <w:sz w:val="20"/>
        </w:rPr>
        <w:t>Consultiva</w:t>
      </w:r>
      <w:r>
        <w:rPr>
          <w:spacing w:val="-17"/>
          <w:sz w:val="20"/>
        </w:rPr>
        <w:t xml:space="preserve"> </w:t>
      </w:r>
      <w:r>
        <w:rPr>
          <w:sz w:val="20"/>
        </w:rPr>
        <w:t>No.</w:t>
      </w:r>
      <w:r>
        <w:rPr>
          <w:spacing w:val="-18"/>
          <w:sz w:val="20"/>
        </w:rPr>
        <w:t xml:space="preserve"> </w:t>
      </w:r>
      <w:r>
        <w:rPr>
          <w:sz w:val="20"/>
        </w:rPr>
        <w:t>17,</w:t>
      </w:r>
      <w:r>
        <w:rPr>
          <w:spacing w:val="-18"/>
          <w:sz w:val="20"/>
        </w:rPr>
        <w:t xml:space="preserve"> </w:t>
      </w:r>
      <w:r>
        <w:rPr>
          <w:sz w:val="20"/>
        </w:rPr>
        <w:t>la</w:t>
      </w:r>
      <w:r>
        <w:rPr>
          <w:spacing w:val="-17"/>
          <w:sz w:val="20"/>
        </w:rPr>
        <w:t xml:space="preserve"> </w:t>
      </w:r>
      <w:r>
        <w:rPr>
          <w:sz w:val="20"/>
        </w:rPr>
        <w:t>Corte</w:t>
      </w:r>
      <w:r>
        <w:rPr>
          <w:spacing w:val="-17"/>
          <w:sz w:val="20"/>
        </w:rPr>
        <w:t xml:space="preserve"> </w:t>
      </w:r>
      <w:r>
        <w:rPr>
          <w:sz w:val="20"/>
        </w:rPr>
        <w:t>IDH</w:t>
      </w:r>
      <w:r>
        <w:rPr>
          <w:spacing w:val="-18"/>
          <w:sz w:val="20"/>
        </w:rPr>
        <w:t xml:space="preserve"> </w:t>
      </w:r>
      <w:r>
        <w:rPr>
          <w:sz w:val="20"/>
        </w:rPr>
        <w:t>reitera</w:t>
      </w:r>
      <w:r>
        <w:rPr>
          <w:spacing w:val="-15"/>
          <w:sz w:val="20"/>
        </w:rPr>
        <w:t xml:space="preserve"> </w:t>
      </w:r>
      <w:r>
        <w:rPr>
          <w:sz w:val="20"/>
        </w:rPr>
        <w:t>el</w:t>
      </w:r>
      <w:r>
        <w:rPr>
          <w:spacing w:val="-17"/>
          <w:sz w:val="20"/>
        </w:rPr>
        <w:t xml:space="preserve"> </w:t>
      </w:r>
      <w:r>
        <w:rPr>
          <w:sz w:val="20"/>
        </w:rPr>
        <w:t xml:space="preserve">criterio de distinción establecido en la OC- No. </w:t>
      </w:r>
      <w:r>
        <w:rPr>
          <w:spacing w:val="2"/>
          <w:sz w:val="20"/>
        </w:rPr>
        <w:t>4</w:t>
      </w:r>
      <w:hyperlink w:anchor="_bookmark826" w:history="1">
        <w:r>
          <w:rPr>
            <w:spacing w:val="2"/>
            <w:position w:val="7"/>
            <w:sz w:val="13"/>
          </w:rPr>
          <w:t>144</w:t>
        </w:r>
      </w:hyperlink>
      <w:r>
        <w:rPr>
          <w:spacing w:val="2"/>
          <w:sz w:val="20"/>
        </w:rPr>
        <w:t xml:space="preserve">. </w:t>
      </w:r>
      <w:r>
        <w:rPr>
          <w:sz w:val="20"/>
        </w:rPr>
        <w:t>En la OC-No. 18, el Tribunal Interamericano nuevamente indica la distinción establecida en la OC-No. 4, en el entendido que “independientemente de cuáles de esos derecho</w:t>
      </w:r>
      <w:r>
        <w:rPr>
          <w:sz w:val="20"/>
        </w:rPr>
        <w:t>s estén reconocidos por cada Estado en normas</w:t>
      </w:r>
      <w:r>
        <w:rPr>
          <w:spacing w:val="-11"/>
          <w:sz w:val="20"/>
        </w:rPr>
        <w:t xml:space="preserve"> </w:t>
      </w:r>
      <w:r>
        <w:rPr>
          <w:sz w:val="20"/>
        </w:rPr>
        <w:t>de</w:t>
      </w:r>
      <w:r>
        <w:rPr>
          <w:spacing w:val="-14"/>
          <w:sz w:val="20"/>
        </w:rPr>
        <w:t xml:space="preserve"> </w:t>
      </w:r>
      <w:r>
        <w:rPr>
          <w:sz w:val="20"/>
        </w:rPr>
        <w:t>carácter</w:t>
      </w:r>
      <w:r>
        <w:rPr>
          <w:spacing w:val="-14"/>
          <w:sz w:val="20"/>
        </w:rPr>
        <w:t xml:space="preserve"> </w:t>
      </w:r>
      <w:r>
        <w:rPr>
          <w:sz w:val="20"/>
        </w:rPr>
        <w:t>interno</w:t>
      </w:r>
      <w:r>
        <w:rPr>
          <w:spacing w:val="-11"/>
          <w:sz w:val="20"/>
        </w:rPr>
        <w:t xml:space="preserve"> </w:t>
      </w:r>
      <w:r>
        <w:rPr>
          <w:sz w:val="20"/>
        </w:rPr>
        <w:t>o</w:t>
      </w:r>
      <w:r>
        <w:rPr>
          <w:spacing w:val="-10"/>
          <w:sz w:val="20"/>
        </w:rPr>
        <w:t xml:space="preserve"> </w:t>
      </w:r>
      <w:r>
        <w:rPr>
          <w:sz w:val="20"/>
        </w:rPr>
        <w:t>internacional,</w:t>
      </w:r>
      <w:r>
        <w:rPr>
          <w:spacing w:val="-13"/>
          <w:sz w:val="20"/>
        </w:rPr>
        <w:t xml:space="preserve"> </w:t>
      </w:r>
      <w:r>
        <w:rPr>
          <w:sz w:val="20"/>
        </w:rPr>
        <w:t>la</w:t>
      </w:r>
      <w:r>
        <w:rPr>
          <w:spacing w:val="-10"/>
          <w:sz w:val="20"/>
        </w:rPr>
        <w:t xml:space="preserve"> </w:t>
      </w:r>
      <w:r>
        <w:rPr>
          <w:sz w:val="20"/>
        </w:rPr>
        <w:t>Corte</w:t>
      </w:r>
      <w:r>
        <w:rPr>
          <w:spacing w:val="-11"/>
          <w:sz w:val="20"/>
        </w:rPr>
        <w:t xml:space="preserve"> </w:t>
      </w:r>
      <w:r>
        <w:rPr>
          <w:sz w:val="20"/>
        </w:rPr>
        <w:t>considera</w:t>
      </w:r>
      <w:r>
        <w:rPr>
          <w:spacing w:val="-8"/>
          <w:sz w:val="20"/>
        </w:rPr>
        <w:t xml:space="preserve"> </w:t>
      </w:r>
      <w:r>
        <w:rPr>
          <w:sz w:val="20"/>
        </w:rPr>
        <w:t>evidente</w:t>
      </w:r>
      <w:r>
        <w:rPr>
          <w:spacing w:val="-11"/>
          <w:sz w:val="20"/>
        </w:rPr>
        <w:t xml:space="preserve"> </w:t>
      </w:r>
      <w:r>
        <w:rPr>
          <w:sz w:val="20"/>
        </w:rPr>
        <w:t>que</w:t>
      </w:r>
      <w:r>
        <w:rPr>
          <w:spacing w:val="-13"/>
          <w:sz w:val="20"/>
        </w:rPr>
        <w:t xml:space="preserve"> </w:t>
      </w:r>
      <w:r>
        <w:rPr>
          <w:sz w:val="20"/>
        </w:rPr>
        <w:t>todos</w:t>
      </w:r>
      <w:r>
        <w:rPr>
          <w:spacing w:val="-11"/>
          <w:sz w:val="20"/>
        </w:rPr>
        <w:t xml:space="preserve"> </w:t>
      </w:r>
      <w:r>
        <w:rPr>
          <w:sz w:val="20"/>
        </w:rPr>
        <w:t>los</w:t>
      </w:r>
      <w:r>
        <w:rPr>
          <w:spacing w:val="-13"/>
          <w:sz w:val="20"/>
        </w:rPr>
        <w:t xml:space="preserve"> </w:t>
      </w:r>
      <w:r>
        <w:rPr>
          <w:sz w:val="20"/>
        </w:rPr>
        <w:t>Estados, como miembros de la comunidad internacional, deben cumplir con [las] obligaciones [de respeto y garantía de los derechos h</w:t>
      </w:r>
      <w:r>
        <w:rPr>
          <w:sz w:val="20"/>
        </w:rPr>
        <w:t>umanos] sin discriminación alguna”</w:t>
      </w:r>
      <w:r>
        <w:rPr>
          <w:spacing w:val="-3"/>
          <w:sz w:val="20"/>
        </w:rPr>
        <w:t xml:space="preserve"> </w:t>
      </w:r>
      <w:hyperlink w:anchor="_bookmark827" w:history="1">
        <w:r>
          <w:rPr>
            <w:position w:val="7"/>
            <w:sz w:val="13"/>
          </w:rPr>
          <w:t>145</w:t>
        </w:r>
      </w:hyperlink>
      <w:r>
        <w:rPr>
          <w:sz w:val="20"/>
        </w:rPr>
        <w:t>.</w:t>
      </w:r>
    </w:p>
    <w:p w14:paraId="5D14B2D2" w14:textId="77777777" w:rsidR="00467FCA" w:rsidRDefault="00467FCA">
      <w:pPr>
        <w:pStyle w:val="Textoindependiente"/>
        <w:spacing w:before="12"/>
        <w:rPr>
          <w:sz w:val="19"/>
        </w:rPr>
      </w:pPr>
    </w:p>
    <w:p w14:paraId="7E1D0A36" w14:textId="77777777" w:rsidR="00467FCA" w:rsidRDefault="001B68EB">
      <w:pPr>
        <w:pStyle w:val="Prrafodelista"/>
        <w:numPr>
          <w:ilvl w:val="0"/>
          <w:numId w:val="4"/>
        </w:numPr>
        <w:tabs>
          <w:tab w:val="left" w:pos="1167"/>
        </w:tabs>
        <w:ind w:right="276" w:firstLine="0"/>
        <w:jc w:val="both"/>
        <w:rPr>
          <w:sz w:val="20"/>
        </w:rPr>
      </w:pPr>
      <w:r>
        <w:rPr>
          <w:sz w:val="20"/>
        </w:rPr>
        <w:t>En cuanto a los casos contenciosos, los primeros acercamientos que se tuvieron en la posible</w:t>
      </w:r>
      <w:r>
        <w:rPr>
          <w:spacing w:val="-20"/>
          <w:sz w:val="20"/>
        </w:rPr>
        <w:t xml:space="preserve"> </w:t>
      </w:r>
      <w:r>
        <w:rPr>
          <w:sz w:val="20"/>
        </w:rPr>
        <w:t>aplicación</w:t>
      </w:r>
      <w:r>
        <w:rPr>
          <w:spacing w:val="-20"/>
          <w:sz w:val="20"/>
        </w:rPr>
        <w:t xml:space="preserve"> </w:t>
      </w:r>
      <w:r>
        <w:rPr>
          <w:sz w:val="20"/>
        </w:rPr>
        <w:t>de</w:t>
      </w:r>
      <w:r>
        <w:rPr>
          <w:spacing w:val="-21"/>
          <w:sz w:val="20"/>
        </w:rPr>
        <w:t xml:space="preserve"> </w:t>
      </w:r>
      <w:r>
        <w:rPr>
          <w:sz w:val="20"/>
        </w:rPr>
        <w:t>los</w:t>
      </w:r>
      <w:r>
        <w:rPr>
          <w:spacing w:val="-17"/>
          <w:sz w:val="20"/>
        </w:rPr>
        <w:t xml:space="preserve"> </w:t>
      </w:r>
      <w:r>
        <w:rPr>
          <w:sz w:val="20"/>
        </w:rPr>
        <w:t>artículos</w:t>
      </w:r>
      <w:r>
        <w:rPr>
          <w:spacing w:val="-19"/>
          <w:sz w:val="20"/>
        </w:rPr>
        <w:t xml:space="preserve"> </w:t>
      </w:r>
      <w:r>
        <w:rPr>
          <w:sz w:val="20"/>
        </w:rPr>
        <w:t>1.1</w:t>
      </w:r>
      <w:r>
        <w:rPr>
          <w:spacing w:val="-18"/>
          <w:sz w:val="20"/>
        </w:rPr>
        <w:t xml:space="preserve"> </w:t>
      </w:r>
      <w:r>
        <w:rPr>
          <w:sz w:val="20"/>
        </w:rPr>
        <w:t>y</w:t>
      </w:r>
      <w:r>
        <w:rPr>
          <w:spacing w:val="-20"/>
          <w:sz w:val="20"/>
        </w:rPr>
        <w:t xml:space="preserve"> </w:t>
      </w:r>
      <w:r>
        <w:rPr>
          <w:sz w:val="20"/>
        </w:rPr>
        <w:t>24</w:t>
      </w:r>
      <w:r>
        <w:rPr>
          <w:spacing w:val="-20"/>
          <w:sz w:val="20"/>
        </w:rPr>
        <w:t xml:space="preserve"> </w:t>
      </w:r>
      <w:r>
        <w:rPr>
          <w:sz w:val="20"/>
        </w:rPr>
        <w:t>fueron</w:t>
      </w:r>
      <w:r>
        <w:rPr>
          <w:spacing w:val="-17"/>
          <w:sz w:val="20"/>
        </w:rPr>
        <w:t xml:space="preserve"> </w:t>
      </w:r>
      <w:r>
        <w:rPr>
          <w:sz w:val="20"/>
        </w:rPr>
        <w:t>en</w:t>
      </w:r>
      <w:r>
        <w:rPr>
          <w:spacing w:val="-20"/>
          <w:sz w:val="20"/>
        </w:rPr>
        <w:t xml:space="preserve"> </w:t>
      </w:r>
      <w:r>
        <w:rPr>
          <w:sz w:val="20"/>
        </w:rPr>
        <w:t>la</w:t>
      </w:r>
      <w:r>
        <w:rPr>
          <w:spacing w:val="-20"/>
          <w:sz w:val="20"/>
        </w:rPr>
        <w:t xml:space="preserve"> </w:t>
      </w:r>
      <w:r>
        <w:rPr>
          <w:sz w:val="20"/>
        </w:rPr>
        <w:t>temática</w:t>
      </w:r>
      <w:r>
        <w:rPr>
          <w:spacing w:val="-21"/>
          <w:sz w:val="20"/>
        </w:rPr>
        <w:t xml:space="preserve"> </w:t>
      </w:r>
      <w:r>
        <w:rPr>
          <w:sz w:val="20"/>
        </w:rPr>
        <w:t>indígena</w:t>
      </w:r>
      <w:r>
        <w:rPr>
          <w:spacing w:val="-18"/>
          <w:sz w:val="20"/>
        </w:rPr>
        <w:t xml:space="preserve"> </w:t>
      </w:r>
      <w:r>
        <w:rPr>
          <w:sz w:val="20"/>
        </w:rPr>
        <w:t>(</w:t>
      </w:r>
      <w:r>
        <w:rPr>
          <w:i/>
          <w:sz w:val="20"/>
        </w:rPr>
        <w:t>Comunidad</w:t>
      </w:r>
      <w:r>
        <w:rPr>
          <w:i/>
          <w:spacing w:val="-19"/>
          <w:sz w:val="20"/>
        </w:rPr>
        <w:t xml:space="preserve"> </w:t>
      </w:r>
      <w:r>
        <w:rPr>
          <w:i/>
          <w:sz w:val="20"/>
        </w:rPr>
        <w:t>Moiwana vs. Surinam</w:t>
      </w:r>
      <w:hyperlink w:anchor="_bookmark828" w:history="1">
        <w:r>
          <w:rPr>
            <w:i/>
            <w:position w:val="7"/>
            <w:sz w:val="13"/>
          </w:rPr>
          <w:t>146</w:t>
        </w:r>
      </w:hyperlink>
      <w:r>
        <w:rPr>
          <w:i/>
          <w:position w:val="7"/>
          <w:sz w:val="13"/>
        </w:rPr>
        <w:t xml:space="preserve"> </w:t>
      </w:r>
      <w:r>
        <w:rPr>
          <w:i/>
          <w:sz w:val="20"/>
        </w:rPr>
        <w:t>y Comunidad Indígena Yakye Axa vs. Paraguay</w:t>
      </w:r>
      <w:hyperlink w:anchor="_bookmark829" w:history="1">
        <w:r>
          <w:rPr>
            <w:i/>
            <w:position w:val="7"/>
            <w:sz w:val="13"/>
          </w:rPr>
          <w:t>147</w:t>
        </w:r>
      </w:hyperlink>
      <w:r>
        <w:rPr>
          <w:i/>
          <w:position w:val="7"/>
          <w:sz w:val="13"/>
        </w:rPr>
        <w:t xml:space="preserve"> </w:t>
      </w:r>
      <w:r>
        <w:rPr>
          <w:sz w:val="20"/>
        </w:rPr>
        <w:t xml:space="preserve">), sin que se declarara la vulneración de las referidas disposiciones. Fue hasta el caso </w:t>
      </w:r>
      <w:r>
        <w:rPr>
          <w:i/>
          <w:sz w:val="20"/>
        </w:rPr>
        <w:t xml:space="preserve">Yatama Vs. Nicaragua </w:t>
      </w:r>
      <w:r>
        <w:rPr>
          <w:sz w:val="20"/>
        </w:rPr>
        <w:t>que la Corte</w:t>
      </w:r>
      <w:r>
        <w:rPr>
          <w:spacing w:val="-15"/>
          <w:sz w:val="20"/>
        </w:rPr>
        <w:t xml:space="preserve"> </w:t>
      </w:r>
      <w:r>
        <w:rPr>
          <w:sz w:val="20"/>
        </w:rPr>
        <w:t>IDH</w:t>
      </w:r>
      <w:r>
        <w:rPr>
          <w:spacing w:val="-11"/>
          <w:sz w:val="20"/>
        </w:rPr>
        <w:t xml:space="preserve"> </w:t>
      </w:r>
      <w:r>
        <w:rPr>
          <w:sz w:val="20"/>
        </w:rPr>
        <w:t>encuentra</w:t>
      </w:r>
      <w:r>
        <w:rPr>
          <w:spacing w:val="-15"/>
          <w:sz w:val="20"/>
        </w:rPr>
        <w:t xml:space="preserve"> </w:t>
      </w:r>
      <w:r>
        <w:rPr>
          <w:sz w:val="20"/>
        </w:rPr>
        <w:t>una</w:t>
      </w:r>
      <w:r>
        <w:rPr>
          <w:spacing w:val="-16"/>
          <w:sz w:val="20"/>
        </w:rPr>
        <w:t xml:space="preserve"> </w:t>
      </w:r>
      <w:r>
        <w:rPr>
          <w:sz w:val="20"/>
        </w:rPr>
        <w:t>violación</w:t>
      </w:r>
      <w:r>
        <w:rPr>
          <w:spacing w:val="-12"/>
          <w:sz w:val="20"/>
        </w:rPr>
        <w:t xml:space="preserve"> </w:t>
      </w:r>
      <w:r>
        <w:rPr>
          <w:sz w:val="20"/>
        </w:rPr>
        <w:t>precisando</w:t>
      </w:r>
      <w:r>
        <w:rPr>
          <w:spacing w:val="-14"/>
          <w:sz w:val="20"/>
        </w:rPr>
        <w:t xml:space="preserve"> </w:t>
      </w:r>
      <w:r>
        <w:rPr>
          <w:sz w:val="20"/>
        </w:rPr>
        <w:t>la</w:t>
      </w:r>
      <w:r>
        <w:rPr>
          <w:spacing w:val="-14"/>
          <w:sz w:val="20"/>
        </w:rPr>
        <w:t xml:space="preserve"> </w:t>
      </w:r>
      <w:r>
        <w:rPr>
          <w:sz w:val="20"/>
        </w:rPr>
        <w:t>distinción</w:t>
      </w:r>
      <w:r>
        <w:rPr>
          <w:spacing w:val="-12"/>
          <w:sz w:val="20"/>
        </w:rPr>
        <w:t xml:space="preserve"> </w:t>
      </w:r>
      <w:r>
        <w:rPr>
          <w:sz w:val="20"/>
        </w:rPr>
        <w:t>c</w:t>
      </w:r>
      <w:r>
        <w:rPr>
          <w:sz w:val="20"/>
        </w:rPr>
        <w:t>onforme</w:t>
      </w:r>
      <w:r>
        <w:rPr>
          <w:spacing w:val="-16"/>
          <w:sz w:val="20"/>
        </w:rPr>
        <w:t xml:space="preserve"> </w:t>
      </w:r>
      <w:r>
        <w:rPr>
          <w:sz w:val="20"/>
        </w:rPr>
        <w:t>a</w:t>
      </w:r>
      <w:r>
        <w:rPr>
          <w:spacing w:val="-13"/>
          <w:sz w:val="20"/>
        </w:rPr>
        <w:t xml:space="preserve"> </w:t>
      </w:r>
      <w:r>
        <w:rPr>
          <w:sz w:val="20"/>
        </w:rPr>
        <w:t>lo</w:t>
      </w:r>
      <w:r>
        <w:rPr>
          <w:spacing w:val="-14"/>
          <w:sz w:val="20"/>
        </w:rPr>
        <w:t xml:space="preserve"> </w:t>
      </w:r>
      <w:r>
        <w:rPr>
          <w:sz w:val="20"/>
        </w:rPr>
        <w:t>establecido</w:t>
      </w:r>
      <w:r>
        <w:rPr>
          <w:spacing w:val="-14"/>
          <w:sz w:val="20"/>
        </w:rPr>
        <w:t xml:space="preserve"> </w:t>
      </w:r>
      <w:r>
        <w:rPr>
          <w:sz w:val="20"/>
        </w:rPr>
        <w:t>en</w:t>
      </w:r>
      <w:r>
        <w:rPr>
          <w:spacing w:val="-13"/>
          <w:sz w:val="20"/>
        </w:rPr>
        <w:t xml:space="preserve"> </w:t>
      </w:r>
      <w:r>
        <w:rPr>
          <w:sz w:val="20"/>
        </w:rPr>
        <w:t>la</w:t>
      </w:r>
      <w:r>
        <w:rPr>
          <w:spacing w:val="-13"/>
          <w:sz w:val="20"/>
        </w:rPr>
        <w:t xml:space="preserve"> </w:t>
      </w:r>
      <w:r>
        <w:rPr>
          <w:sz w:val="20"/>
        </w:rPr>
        <w:t>OC- No. 4</w:t>
      </w:r>
      <w:hyperlink w:anchor="_bookmark830" w:history="1">
        <w:r>
          <w:rPr>
            <w:position w:val="7"/>
            <w:sz w:val="13"/>
          </w:rPr>
          <w:t>148</w:t>
        </w:r>
      </w:hyperlink>
      <w:r>
        <w:rPr>
          <w:sz w:val="20"/>
        </w:rPr>
        <w:t xml:space="preserve">; sin embargo, cuando declara la responsabilidad internacional no se efectúan las precisiones sobre los alcances de los referidos artículos y pareciera que la interpretación por la </w:t>
      </w:r>
      <w:r>
        <w:rPr>
          <w:sz w:val="20"/>
        </w:rPr>
        <w:t>que se declara dicha responsabilidad es más acorde conforme a lo establecido en la OC- No.</w:t>
      </w:r>
      <w:r>
        <w:rPr>
          <w:spacing w:val="1"/>
          <w:sz w:val="20"/>
        </w:rPr>
        <w:t xml:space="preserve"> </w:t>
      </w:r>
      <w:r>
        <w:rPr>
          <w:sz w:val="20"/>
        </w:rPr>
        <w:t>10</w:t>
      </w:r>
      <w:hyperlink w:anchor="_bookmark831" w:history="1">
        <w:r>
          <w:rPr>
            <w:position w:val="7"/>
            <w:sz w:val="13"/>
          </w:rPr>
          <w:t>149</w:t>
        </w:r>
      </w:hyperlink>
      <w:r>
        <w:rPr>
          <w:sz w:val="20"/>
        </w:rPr>
        <w:t>.</w:t>
      </w:r>
    </w:p>
    <w:p w14:paraId="3B1DB759" w14:textId="77777777" w:rsidR="00467FCA" w:rsidRDefault="00467FCA">
      <w:pPr>
        <w:pStyle w:val="Textoindependiente"/>
      </w:pPr>
    </w:p>
    <w:p w14:paraId="7E0FA360" w14:textId="77777777" w:rsidR="00467FCA" w:rsidRDefault="001B68EB">
      <w:pPr>
        <w:pStyle w:val="Prrafodelista"/>
        <w:numPr>
          <w:ilvl w:val="0"/>
          <w:numId w:val="4"/>
        </w:numPr>
        <w:tabs>
          <w:tab w:val="left" w:pos="1167"/>
        </w:tabs>
        <w:ind w:right="275" w:hanging="1"/>
        <w:jc w:val="both"/>
        <w:rPr>
          <w:sz w:val="20"/>
        </w:rPr>
      </w:pPr>
      <w:r>
        <w:rPr>
          <w:sz w:val="20"/>
        </w:rPr>
        <w:t>Hasta este punto, pareciera que la tendencia jurisprudencial de la Corte IDH hasta el año</w:t>
      </w:r>
      <w:r>
        <w:rPr>
          <w:spacing w:val="-7"/>
          <w:sz w:val="20"/>
        </w:rPr>
        <w:t xml:space="preserve"> </w:t>
      </w:r>
      <w:r>
        <w:rPr>
          <w:sz w:val="20"/>
        </w:rPr>
        <w:t>2005</w:t>
      </w:r>
      <w:r>
        <w:rPr>
          <w:spacing w:val="-3"/>
          <w:sz w:val="20"/>
        </w:rPr>
        <w:t xml:space="preserve"> </w:t>
      </w:r>
      <w:r>
        <w:rPr>
          <w:sz w:val="20"/>
        </w:rPr>
        <w:t>era</w:t>
      </w:r>
      <w:r>
        <w:rPr>
          <w:spacing w:val="-3"/>
          <w:sz w:val="20"/>
        </w:rPr>
        <w:t xml:space="preserve"> </w:t>
      </w:r>
      <w:r>
        <w:rPr>
          <w:sz w:val="20"/>
        </w:rPr>
        <w:t>distinguir</w:t>
      </w:r>
      <w:r>
        <w:rPr>
          <w:spacing w:val="-4"/>
          <w:sz w:val="20"/>
        </w:rPr>
        <w:t xml:space="preserve"> </w:t>
      </w:r>
      <w:r>
        <w:rPr>
          <w:sz w:val="20"/>
        </w:rPr>
        <w:t>el</w:t>
      </w:r>
      <w:r>
        <w:rPr>
          <w:spacing w:val="-3"/>
          <w:sz w:val="20"/>
        </w:rPr>
        <w:t xml:space="preserve"> </w:t>
      </w:r>
      <w:r>
        <w:rPr>
          <w:sz w:val="20"/>
        </w:rPr>
        <w:t>contenido</w:t>
      </w:r>
      <w:r>
        <w:rPr>
          <w:spacing w:val="-6"/>
          <w:sz w:val="20"/>
        </w:rPr>
        <w:t xml:space="preserve"> </w:t>
      </w:r>
      <w:r>
        <w:rPr>
          <w:sz w:val="20"/>
        </w:rPr>
        <w:t>los</w:t>
      </w:r>
      <w:r>
        <w:rPr>
          <w:spacing w:val="-3"/>
          <w:sz w:val="20"/>
        </w:rPr>
        <w:t xml:space="preserve"> </w:t>
      </w:r>
      <w:r>
        <w:rPr>
          <w:sz w:val="20"/>
        </w:rPr>
        <w:t>artículos</w:t>
      </w:r>
      <w:r>
        <w:rPr>
          <w:spacing w:val="-4"/>
          <w:sz w:val="20"/>
        </w:rPr>
        <w:t xml:space="preserve"> </w:t>
      </w:r>
      <w:r>
        <w:rPr>
          <w:sz w:val="20"/>
        </w:rPr>
        <w:t>conforme</w:t>
      </w:r>
      <w:r>
        <w:rPr>
          <w:spacing w:val="-4"/>
          <w:sz w:val="20"/>
        </w:rPr>
        <w:t xml:space="preserve"> </w:t>
      </w:r>
      <w:r>
        <w:rPr>
          <w:sz w:val="20"/>
        </w:rPr>
        <w:t>a</w:t>
      </w:r>
      <w:r>
        <w:rPr>
          <w:spacing w:val="-3"/>
          <w:sz w:val="20"/>
        </w:rPr>
        <w:t xml:space="preserve"> </w:t>
      </w:r>
      <w:r>
        <w:rPr>
          <w:sz w:val="20"/>
        </w:rPr>
        <w:t>la</w:t>
      </w:r>
      <w:r>
        <w:rPr>
          <w:spacing w:val="-3"/>
          <w:sz w:val="20"/>
        </w:rPr>
        <w:t xml:space="preserve"> </w:t>
      </w:r>
      <w:r>
        <w:rPr>
          <w:sz w:val="20"/>
        </w:rPr>
        <w:t>OC-No.</w:t>
      </w:r>
      <w:r>
        <w:rPr>
          <w:spacing w:val="-1"/>
          <w:sz w:val="20"/>
        </w:rPr>
        <w:t xml:space="preserve"> </w:t>
      </w:r>
      <w:r>
        <w:rPr>
          <w:sz w:val="20"/>
        </w:rPr>
        <w:t>4,</w:t>
      </w:r>
      <w:r>
        <w:rPr>
          <w:spacing w:val="-4"/>
          <w:sz w:val="20"/>
        </w:rPr>
        <w:t xml:space="preserve"> </w:t>
      </w:r>
      <w:r>
        <w:rPr>
          <w:sz w:val="20"/>
        </w:rPr>
        <w:t>es</w:t>
      </w:r>
      <w:r>
        <w:rPr>
          <w:spacing w:val="-4"/>
          <w:sz w:val="20"/>
        </w:rPr>
        <w:t xml:space="preserve"> </w:t>
      </w:r>
      <w:r>
        <w:rPr>
          <w:sz w:val="20"/>
        </w:rPr>
        <w:t>decir,</w:t>
      </w:r>
      <w:r>
        <w:rPr>
          <w:spacing w:val="-3"/>
          <w:sz w:val="20"/>
        </w:rPr>
        <w:t xml:space="preserve"> </w:t>
      </w:r>
      <w:r>
        <w:rPr>
          <w:sz w:val="20"/>
        </w:rPr>
        <w:t>el</w:t>
      </w:r>
      <w:r>
        <w:rPr>
          <w:spacing w:val="-3"/>
          <w:sz w:val="20"/>
        </w:rPr>
        <w:t xml:space="preserve"> </w:t>
      </w:r>
      <w:r>
        <w:rPr>
          <w:sz w:val="20"/>
        </w:rPr>
        <w:t>art.</w:t>
      </w:r>
      <w:r>
        <w:rPr>
          <w:spacing w:val="-4"/>
          <w:sz w:val="20"/>
        </w:rPr>
        <w:t xml:space="preserve"> </w:t>
      </w:r>
      <w:r>
        <w:rPr>
          <w:sz w:val="20"/>
        </w:rPr>
        <w:t>1.1 se aplica respecto de todas las disposiciones de la Convención (en especi</w:t>
      </w:r>
      <w:r>
        <w:rPr>
          <w:sz w:val="20"/>
        </w:rPr>
        <w:t>al conforme a la prohibición de discriminación por categorías sospechosas), mientras que el art. 24, sobre la normativa interna. No obstante, dos decisiones antes del 2008 rompieron con este esquema que se venía</w:t>
      </w:r>
      <w:r>
        <w:rPr>
          <w:spacing w:val="-6"/>
          <w:sz w:val="20"/>
        </w:rPr>
        <w:t xml:space="preserve"> </w:t>
      </w:r>
      <w:r>
        <w:rPr>
          <w:sz w:val="20"/>
        </w:rPr>
        <w:t>consolidando.</w:t>
      </w:r>
    </w:p>
    <w:p w14:paraId="38FB961B" w14:textId="77777777" w:rsidR="00467FCA" w:rsidRDefault="00467FCA">
      <w:pPr>
        <w:pStyle w:val="Textoindependiente"/>
      </w:pPr>
    </w:p>
    <w:p w14:paraId="26BA69F2" w14:textId="77777777" w:rsidR="00467FCA" w:rsidRDefault="001B68EB">
      <w:pPr>
        <w:pStyle w:val="Prrafodelista"/>
        <w:numPr>
          <w:ilvl w:val="0"/>
          <w:numId w:val="4"/>
        </w:numPr>
        <w:tabs>
          <w:tab w:val="left" w:pos="1167"/>
        </w:tabs>
        <w:spacing w:before="1"/>
        <w:ind w:right="276" w:firstLine="0"/>
        <w:jc w:val="both"/>
        <w:rPr>
          <w:sz w:val="20"/>
        </w:rPr>
      </w:pPr>
      <w:r>
        <w:rPr>
          <w:sz w:val="20"/>
        </w:rPr>
        <w:t xml:space="preserve">En el año 2006, la Corte IDH </w:t>
      </w:r>
      <w:r>
        <w:rPr>
          <w:sz w:val="20"/>
        </w:rPr>
        <w:t xml:space="preserve">decidió el caso </w:t>
      </w:r>
      <w:r>
        <w:rPr>
          <w:i/>
          <w:sz w:val="20"/>
        </w:rPr>
        <w:t>López Álvarez Vs. Honduras</w:t>
      </w:r>
      <w:r>
        <w:rPr>
          <w:sz w:val="20"/>
        </w:rPr>
        <w:t>, en el que la víctima pertenecía a una comunidad garífuna y se le prohibió́ hablar su idioma materno mientras</w:t>
      </w:r>
      <w:r>
        <w:rPr>
          <w:spacing w:val="24"/>
          <w:sz w:val="20"/>
        </w:rPr>
        <w:t xml:space="preserve"> </w:t>
      </w:r>
      <w:r>
        <w:rPr>
          <w:sz w:val="20"/>
        </w:rPr>
        <w:t>se</w:t>
      </w:r>
      <w:r>
        <w:rPr>
          <w:spacing w:val="25"/>
          <w:sz w:val="20"/>
        </w:rPr>
        <w:t xml:space="preserve"> </w:t>
      </w:r>
      <w:r>
        <w:rPr>
          <w:sz w:val="20"/>
        </w:rPr>
        <w:t>encontraba</w:t>
      </w:r>
      <w:r>
        <w:rPr>
          <w:spacing w:val="25"/>
          <w:sz w:val="20"/>
        </w:rPr>
        <w:t xml:space="preserve"> </w:t>
      </w:r>
      <w:r>
        <w:rPr>
          <w:sz w:val="20"/>
        </w:rPr>
        <w:t>privado</w:t>
      </w:r>
      <w:r>
        <w:rPr>
          <w:spacing w:val="22"/>
          <w:sz w:val="20"/>
        </w:rPr>
        <w:t xml:space="preserve"> </w:t>
      </w:r>
      <w:r>
        <w:rPr>
          <w:sz w:val="20"/>
        </w:rPr>
        <w:t>de</w:t>
      </w:r>
      <w:r>
        <w:rPr>
          <w:spacing w:val="22"/>
          <w:sz w:val="20"/>
        </w:rPr>
        <w:t xml:space="preserve"> </w:t>
      </w:r>
      <w:r>
        <w:rPr>
          <w:sz w:val="20"/>
        </w:rPr>
        <w:t>su</w:t>
      </w:r>
      <w:r>
        <w:rPr>
          <w:spacing w:val="23"/>
          <w:sz w:val="20"/>
        </w:rPr>
        <w:t xml:space="preserve"> </w:t>
      </w:r>
      <w:r>
        <w:rPr>
          <w:sz w:val="20"/>
        </w:rPr>
        <w:t>libertad.</w:t>
      </w:r>
      <w:r>
        <w:rPr>
          <w:spacing w:val="25"/>
          <w:sz w:val="20"/>
        </w:rPr>
        <w:t xml:space="preserve"> </w:t>
      </w:r>
      <w:r>
        <w:rPr>
          <w:sz w:val="20"/>
        </w:rPr>
        <w:t>La</w:t>
      </w:r>
      <w:r>
        <w:rPr>
          <w:spacing w:val="23"/>
          <w:sz w:val="20"/>
        </w:rPr>
        <w:t xml:space="preserve"> </w:t>
      </w:r>
      <w:r>
        <w:rPr>
          <w:sz w:val="20"/>
        </w:rPr>
        <w:t>Corte</w:t>
      </w:r>
      <w:r>
        <w:rPr>
          <w:spacing w:val="25"/>
          <w:sz w:val="20"/>
        </w:rPr>
        <w:t xml:space="preserve"> </w:t>
      </w:r>
      <w:r>
        <w:rPr>
          <w:sz w:val="20"/>
        </w:rPr>
        <w:t>IDH</w:t>
      </w:r>
      <w:r>
        <w:rPr>
          <w:spacing w:val="24"/>
          <w:sz w:val="20"/>
        </w:rPr>
        <w:t xml:space="preserve"> </w:t>
      </w:r>
      <w:r>
        <w:rPr>
          <w:sz w:val="20"/>
        </w:rPr>
        <w:t>determinó</w:t>
      </w:r>
      <w:r>
        <w:rPr>
          <w:spacing w:val="21"/>
          <w:sz w:val="20"/>
        </w:rPr>
        <w:t xml:space="preserve"> </w:t>
      </w:r>
      <w:r>
        <w:rPr>
          <w:sz w:val="20"/>
        </w:rPr>
        <w:t>la</w:t>
      </w:r>
      <w:r>
        <w:rPr>
          <w:spacing w:val="23"/>
          <w:sz w:val="20"/>
        </w:rPr>
        <w:t xml:space="preserve"> </w:t>
      </w:r>
      <w:r>
        <w:rPr>
          <w:sz w:val="20"/>
        </w:rPr>
        <w:t>violación</w:t>
      </w:r>
      <w:r>
        <w:rPr>
          <w:spacing w:val="24"/>
          <w:sz w:val="20"/>
        </w:rPr>
        <w:t xml:space="preserve"> </w:t>
      </w:r>
      <w:r>
        <w:rPr>
          <w:sz w:val="20"/>
        </w:rPr>
        <w:t>de</w:t>
      </w:r>
      <w:r>
        <w:rPr>
          <w:spacing w:val="21"/>
          <w:sz w:val="20"/>
        </w:rPr>
        <w:t xml:space="preserve"> </w:t>
      </w:r>
      <w:r>
        <w:rPr>
          <w:sz w:val="20"/>
        </w:rPr>
        <w:t>los</w:t>
      </w:r>
    </w:p>
    <w:p w14:paraId="587F1E1D" w14:textId="77777777" w:rsidR="00467FCA" w:rsidRDefault="001B68EB">
      <w:pPr>
        <w:pStyle w:val="Textoindependiente"/>
        <w:spacing w:before="2"/>
        <w:rPr>
          <w:sz w:val="21"/>
        </w:rPr>
      </w:pPr>
      <w:r>
        <w:pict w14:anchorId="0FE50FD9">
          <v:shape id="_x0000_s1042" style="position:absolute;margin-left:70.9pt;margin-top:15.15pt;width:2in;height:.1pt;z-index:-251501568;mso-wrap-distance-left:0;mso-wrap-distance-right:0;mso-position-horizontal-relative:page" coordorigin="1418,303" coordsize="2880,0" path="m1418,303r2880,e" filled="f" strokeweight=".6pt">
            <v:path arrowok="t"/>
            <w10:wrap type="topAndBottom" anchorx="page"/>
          </v:shape>
        </w:pict>
      </w:r>
    </w:p>
    <w:p w14:paraId="1FB31707" w14:textId="77777777" w:rsidR="00467FCA" w:rsidRDefault="001B68EB">
      <w:pPr>
        <w:tabs>
          <w:tab w:val="left" w:pos="1166"/>
        </w:tabs>
        <w:spacing w:before="74"/>
        <w:ind w:left="458" w:right="409" w:hanging="1"/>
        <w:rPr>
          <w:sz w:val="16"/>
        </w:rPr>
      </w:pPr>
      <w:bookmarkStart w:id="906" w:name="_bookmark825"/>
      <w:bookmarkEnd w:id="906"/>
      <w:r>
        <w:rPr>
          <w:position w:val="6"/>
          <w:sz w:val="10"/>
        </w:rPr>
        <w:t>143</w:t>
      </w:r>
      <w:r>
        <w:rPr>
          <w:position w:val="6"/>
          <w:sz w:val="10"/>
        </w:rPr>
        <w:tab/>
      </w:r>
      <w:r>
        <w:rPr>
          <w:i/>
          <w:sz w:val="16"/>
        </w:rPr>
        <w:t xml:space="preserve">Excepciones al agotamiento de los recursos internos (arts. 46.1, 46.2.a y 46.2.b, Convención Americana sobre Derechos Humanos). </w:t>
      </w:r>
      <w:r>
        <w:rPr>
          <w:sz w:val="16"/>
        </w:rPr>
        <w:t>Opinión consultiva OC-11/90 del 10 de agosto de 1990, Serie A No. 11, párr.</w:t>
      </w:r>
      <w:r>
        <w:rPr>
          <w:spacing w:val="-23"/>
          <w:sz w:val="16"/>
        </w:rPr>
        <w:t xml:space="preserve"> </w:t>
      </w:r>
      <w:r>
        <w:rPr>
          <w:sz w:val="16"/>
        </w:rPr>
        <w:t>22.</w:t>
      </w:r>
    </w:p>
    <w:p w14:paraId="34872EE0" w14:textId="77777777" w:rsidR="00467FCA" w:rsidRDefault="001B68EB">
      <w:pPr>
        <w:tabs>
          <w:tab w:val="left" w:pos="1166"/>
        </w:tabs>
        <w:ind w:left="458" w:right="276"/>
        <w:rPr>
          <w:sz w:val="16"/>
        </w:rPr>
      </w:pPr>
      <w:bookmarkStart w:id="907" w:name="_bookmark826"/>
      <w:bookmarkEnd w:id="907"/>
      <w:r>
        <w:rPr>
          <w:position w:val="6"/>
          <w:sz w:val="10"/>
        </w:rPr>
        <w:t>144</w:t>
      </w:r>
      <w:r>
        <w:rPr>
          <w:position w:val="6"/>
          <w:sz w:val="10"/>
        </w:rPr>
        <w:tab/>
      </w:r>
      <w:r>
        <w:rPr>
          <w:i/>
          <w:sz w:val="16"/>
        </w:rPr>
        <w:t>Cfr.</w:t>
      </w:r>
      <w:r>
        <w:rPr>
          <w:i/>
          <w:spacing w:val="-9"/>
          <w:sz w:val="16"/>
        </w:rPr>
        <w:t xml:space="preserve"> </w:t>
      </w:r>
      <w:r>
        <w:rPr>
          <w:i/>
          <w:sz w:val="16"/>
        </w:rPr>
        <w:t>Condición</w:t>
      </w:r>
      <w:r>
        <w:rPr>
          <w:i/>
          <w:spacing w:val="-8"/>
          <w:sz w:val="16"/>
        </w:rPr>
        <w:t xml:space="preserve"> </w:t>
      </w:r>
      <w:r>
        <w:rPr>
          <w:i/>
          <w:sz w:val="16"/>
        </w:rPr>
        <w:t>jurídica</w:t>
      </w:r>
      <w:r>
        <w:rPr>
          <w:i/>
          <w:spacing w:val="-10"/>
          <w:sz w:val="16"/>
        </w:rPr>
        <w:t xml:space="preserve"> </w:t>
      </w:r>
      <w:r>
        <w:rPr>
          <w:i/>
          <w:sz w:val="16"/>
        </w:rPr>
        <w:t>y</w:t>
      </w:r>
      <w:r>
        <w:rPr>
          <w:i/>
          <w:spacing w:val="-9"/>
          <w:sz w:val="16"/>
        </w:rPr>
        <w:t xml:space="preserve"> </w:t>
      </w:r>
      <w:r>
        <w:rPr>
          <w:i/>
          <w:sz w:val="16"/>
        </w:rPr>
        <w:t>derechos</w:t>
      </w:r>
      <w:r>
        <w:rPr>
          <w:i/>
          <w:spacing w:val="-8"/>
          <w:sz w:val="16"/>
        </w:rPr>
        <w:t xml:space="preserve"> </w:t>
      </w:r>
      <w:r>
        <w:rPr>
          <w:i/>
          <w:sz w:val="16"/>
        </w:rPr>
        <w:t>humanos</w:t>
      </w:r>
      <w:r>
        <w:rPr>
          <w:i/>
          <w:spacing w:val="-10"/>
          <w:sz w:val="16"/>
        </w:rPr>
        <w:t xml:space="preserve"> </w:t>
      </w:r>
      <w:r>
        <w:rPr>
          <w:i/>
          <w:sz w:val="16"/>
        </w:rPr>
        <w:t>d</w:t>
      </w:r>
      <w:r>
        <w:rPr>
          <w:i/>
          <w:sz w:val="16"/>
        </w:rPr>
        <w:t>el</w:t>
      </w:r>
      <w:r>
        <w:rPr>
          <w:i/>
          <w:spacing w:val="-11"/>
          <w:sz w:val="16"/>
        </w:rPr>
        <w:t xml:space="preserve"> </w:t>
      </w:r>
      <w:r>
        <w:rPr>
          <w:i/>
          <w:sz w:val="16"/>
        </w:rPr>
        <w:t>niño.</w:t>
      </w:r>
      <w:r>
        <w:rPr>
          <w:i/>
          <w:spacing w:val="-8"/>
          <w:sz w:val="16"/>
        </w:rPr>
        <w:t xml:space="preserve"> </w:t>
      </w:r>
      <w:r>
        <w:rPr>
          <w:sz w:val="16"/>
        </w:rPr>
        <w:t>Opinión</w:t>
      </w:r>
      <w:r>
        <w:rPr>
          <w:spacing w:val="-8"/>
          <w:sz w:val="16"/>
        </w:rPr>
        <w:t xml:space="preserve"> </w:t>
      </w:r>
      <w:r>
        <w:rPr>
          <w:sz w:val="16"/>
        </w:rPr>
        <w:t>consultiva</w:t>
      </w:r>
      <w:r>
        <w:rPr>
          <w:spacing w:val="-9"/>
          <w:sz w:val="16"/>
        </w:rPr>
        <w:t xml:space="preserve"> </w:t>
      </w:r>
      <w:r>
        <w:rPr>
          <w:sz w:val="16"/>
        </w:rPr>
        <w:t>OC-17/02</w:t>
      </w:r>
      <w:r>
        <w:rPr>
          <w:spacing w:val="-9"/>
          <w:sz w:val="16"/>
        </w:rPr>
        <w:t xml:space="preserve"> </w:t>
      </w:r>
      <w:r>
        <w:rPr>
          <w:sz w:val="16"/>
        </w:rPr>
        <w:t>del</w:t>
      </w:r>
      <w:r>
        <w:rPr>
          <w:spacing w:val="-11"/>
          <w:sz w:val="16"/>
        </w:rPr>
        <w:t xml:space="preserve"> </w:t>
      </w:r>
      <w:r>
        <w:rPr>
          <w:sz w:val="16"/>
        </w:rPr>
        <w:t>28</w:t>
      </w:r>
      <w:r>
        <w:rPr>
          <w:spacing w:val="-11"/>
          <w:sz w:val="16"/>
        </w:rPr>
        <w:t xml:space="preserve"> </w:t>
      </w:r>
      <w:r>
        <w:rPr>
          <w:sz w:val="16"/>
        </w:rPr>
        <w:t>de</w:t>
      </w:r>
      <w:r>
        <w:rPr>
          <w:spacing w:val="-7"/>
          <w:sz w:val="16"/>
        </w:rPr>
        <w:t xml:space="preserve"> </w:t>
      </w:r>
      <w:r>
        <w:rPr>
          <w:sz w:val="16"/>
        </w:rPr>
        <w:t>agosto</w:t>
      </w:r>
      <w:r>
        <w:rPr>
          <w:spacing w:val="-10"/>
          <w:sz w:val="16"/>
        </w:rPr>
        <w:t xml:space="preserve"> </w:t>
      </w:r>
      <w:r>
        <w:rPr>
          <w:sz w:val="16"/>
        </w:rPr>
        <w:t>de</w:t>
      </w:r>
      <w:r>
        <w:rPr>
          <w:spacing w:val="-9"/>
          <w:sz w:val="16"/>
        </w:rPr>
        <w:t xml:space="preserve"> </w:t>
      </w:r>
      <w:r>
        <w:rPr>
          <w:sz w:val="16"/>
        </w:rPr>
        <w:t>2002,</w:t>
      </w:r>
      <w:bookmarkStart w:id="908" w:name="_bookmark827"/>
      <w:bookmarkEnd w:id="908"/>
      <w:r>
        <w:rPr>
          <w:sz w:val="16"/>
        </w:rPr>
        <w:t xml:space="preserve"> Serie A No. 17, párrs. 43 y</w:t>
      </w:r>
      <w:r>
        <w:rPr>
          <w:spacing w:val="-11"/>
          <w:sz w:val="16"/>
        </w:rPr>
        <w:t xml:space="preserve"> </w:t>
      </w:r>
      <w:r>
        <w:rPr>
          <w:sz w:val="16"/>
        </w:rPr>
        <w:t>44.</w:t>
      </w:r>
    </w:p>
    <w:p w14:paraId="411E1E38" w14:textId="77777777" w:rsidR="00467FCA" w:rsidRDefault="001B68EB">
      <w:pPr>
        <w:tabs>
          <w:tab w:val="left" w:pos="1166"/>
        </w:tabs>
        <w:ind w:left="458"/>
        <w:rPr>
          <w:sz w:val="16"/>
        </w:rPr>
      </w:pPr>
      <w:r>
        <w:rPr>
          <w:position w:val="6"/>
          <w:sz w:val="10"/>
        </w:rPr>
        <w:t>145</w:t>
      </w:r>
      <w:r>
        <w:rPr>
          <w:position w:val="6"/>
          <w:sz w:val="10"/>
        </w:rPr>
        <w:tab/>
      </w:r>
      <w:r>
        <w:rPr>
          <w:sz w:val="16"/>
        </w:rPr>
        <w:t xml:space="preserve">Opinión consultiva OC-18/03, </w:t>
      </w:r>
      <w:r>
        <w:rPr>
          <w:i/>
          <w:sz w:val="16"/>
        </w:rPr>
        <w:t>supra</w:t>
      </w:r>
      <w:r>
        <w:rPr>
          <w:sz w:val="16"/>
        </w:rPr>
        <w:t>, párr.</w:t>
      </w:r>
      <w:r>
        <w:rPr>
          <w:spacing w:val="-10"/>
          <w:sz w:val="16"/>
        </w:rPr>
        <w:t xml:space="preserve"> </w:t>
      </w:r>
      <w:r>
        <w:rPr>
          <w:sz w:val="16"/>
        </w:rPr>
        <w:t>100.</w:t>
      </w:r>
    </w:p>
    <w:p w14:paraId="3B7A11D3" w14:textId="77777777" w:rsidR="00467FCA" w:rsidRDefault="001B68EB">
      <w:pPr>
        <w:tabs>
          <w:tab w:val="left" w:pos="1166"/>
        </w:tabs>
        <w:ind w:left="458"/>
        <w:rPr>
          <w:i/>
          <w:sz w:val="16"/>
        </w:rPr>
      </w:pPr>
      <w:bookmarkStart w:id="909" w:name="_bookmark828"/>
      <w:bookmarkEnd w:id="909"/>
      <w:r>
        <w:rPr>
          <w:position w:val="6"/>
          <w:sz w:val="10"/>
        </w:rPr>
        <w:t>146</w:t>
      </w:r>
      <w:r>
        <w:rPr>
          <w:position w:val="6"/>
          <w:sz w:val="10"/>
        </w:rPr>
        <w:tab/>
      </w:r>
      <w:r>
        <w:rPr>
          <w:i/>
          <w:sz w:val="16"/>
        </w:rPr>
        <w:t>Cfr. Caso de la Comunidad Moiwana vs. Surinam. Excepciones Preliminares, Fondo, Reparaciones y</w:t>
      </w:r>
      <w:r>
        <w:rPr>
          <w:i/>
          <w:spacing w:val="9"/>
          <w:sz w:val="16"/>
        </w:rPr>
        <w:t xml:space="preserve"> </w:t>
      </w:r>
      <w:r>
        <w:rPr>
          <w:i/>
          <w:sz w:val="16"/>
        </w:rPr>
        <w:t>Costas.</w:t>
      </w:r>
    </w:p>
    <w:p w14:paraId="550AB06E" w14:textId="77777777" w:rsidR="00467FCA" w:rsidRDefault="001B68EB">
      <w:pPr>
        <w:ind w:left="458"/>
        <w:rPr>
          <w:sz w:val="16"/>
        </w:rPr>
      </w:pPr>
      <w:r>
        <w:rPr>
          <w:sz w:val="16"/>
        </w:rPr>
        <w:t>Sen</w:t>
      </w:r>
      <w:r>
        <w:rPr>
          <w:sz w:val="16"/>
        </w:rPr>
        <w:t>tencia 15 de junio de 2005, Serie C No. 124, párr.</w:t>
      </w:r>
      <w:r>
        <w:rPr>
          <w:spacing w:val="-15"/>
          <w:sz w:val="16"/>
        </w:rPr>
        <w:t xml:space="preserve"> </w:t>
      </w:r>
      <w:r>
        <w:rPr>
          <w:sz w:val="16"/>
        </w:rPr>
        <w:t>94.</w:t>
      </w:r>
    </w:p>
    <w:p w14:paraId="161F5191" w14:textId="77777777" w:rsidR="00467FCA" w:rsidRDefault="001B68EB">
      <w:pPr>
        <w:tabs>
          <w:tab w:val="left" w:pos="1166"/>
        </w:tabs>
        <w:ind w:left="458" w:right="272"/>
        <w:jc w:val="both"/>
        <w:rPr>
          <w:sz w:val="16"/>
        </w:rPr>
      </w:pPr>
      <w:bookmarkStart w:id="910" w:name="_bookmark829"/>
      <w:bookmarkEnd w:id="910"/>
      <w:r>
        <w:rPr>
          <w:position w:val="6"/>
          <w:sz w:val="10"/>
        </w:rPr>
        <w:t>147</w:t>
      </w:r>
      <w:r>
        <w:rPr>
          <w:position w:val="6"/>
          <w:sz w:val="10"/>
        </w:rPr>
        <w:tab/>
      </w:r>
      <w:r>
        <w:rPr>
          <w:sz w:val="16"/>
        </w:rPr>
        <w:t>Así,</w:t>
      </w:r>
      <w:r>
        <w:rPr>
          <w:spacing w:val="-4"/>
          <w:sz w:val="16"/>
        </w:rPr>
        <w:t xml:space="preserve"> </w:t>
      </w:r>
      <w:r>
        <w:rPr>
          <w:sz w:val="16"/>
        </w:rPr>
        <w:t>“consider[ó]</w:t>
      </w:r>
      <w:r>
        <w:rPr>
          <w:spacing w:val="-6"/>
          <w:sz w:val="16"/>
        </w:rPr>
        <w:t xml:space="preserve"> </w:t>
      </w:r>
      <w:r>
        <w:rPr>
          <w:sz w:val="16"/>
        </w:rPr>
        <w:t>oportuno</w:t>
      </w:r>
      <w:r>
        <w:rPr>
          <w:spacing w:val="-5"/>
          <w:sz w:val="16"/>
        </w:rPr>
        <w:t xml:space="preserve"> </w:t>
      </w:r>
      <w:r>
        <w:rPr>
          <w:sz w:val="16"/>
        </w:rPr>
        <w:t>recordar</w:t>
      </w:r>
      <w:r>
        <w:rPr>
          <w:spacing w:val="-4"/>
          <w:sz w:val="16"/>
        </w:rPr>
        <w:t xml:space="preserve"> </w:t>
      </w:r>
      <w:r>
        <w:rPr>
          <w:sz w:val="16"/>
        </w:rPr>
        <w:t>que,</w:t>
      </w:r>
      <w:r>
        <w:rPr>
          <w:spacing w:val="-6"/>
          <w:sz w:val="16"/>
        </w:rPr>
        <w:t xml:space="preserve"> </w:t>
      </w:r>
      <w:r>
        <w:rPr>
          <w:sz w:val="16"/>
        </w:rPr>
        <w:t>de</w:t>
      </w:r>
      <w:r>
        <w:rPr>
          <w:spacing w:val="-6"/>
          <w:sz w:val="16"/>
        </w:rPr>
        <w:t xml:space="preserve"> </w:t>
      </w:r>
      <w:r>
        <w:rPr>
          <w:sz w:val="16"/>
        </w:rPr>
        <w:t>conformidad</w:t>
      </w:r>
      <w:r>
        <w:rPr>
          <w:spacing w:val="-4"/>
          <w:sz w:val="16"/>
        </w:rPr>
        <w:t xml:space="preserve"> </w:t>
      </w:r>
      <w:r>
        <w:rPr>
          <w:sz w:val="16"/>
        </w:rPr>
        <w:t>con</w:t>
      </w:r>
      <w:r>
        <w:rPr>
          <w:spacing w:val="-3"/>
          <w:sz w:val="16"/>
        </w:rPr>
        <w:t xml:space="preserve"> </w:t>
      </w:r>
      <w:r>
        <w:rPr>
          <w:sz w:val="16"/>
        </w:rPr>
        <w:t>los</w:t>
      </w:r>
      <w:r>
        <w:rPr>
          <w:spacing w:val="-6"/>
          <w:sz w:val="16"/>
        </w:rPr>
        <w:t xml:space="preserve"> </w:t>
      </w:r>
      <w:r>
        <w:rPr>
          <w:sz w:val="16"/>
        </w:rPr>
        <w:t>artículos</w:t>
      </w:r>
      <w:r>
        <w:rPr>
          <w:spacing w:val="-5"/>
          <w:sz w:val="16"/>
        </w:rPr>
        <w:t xml:space="preserve"> </w:t>
      </w:r>
      <w:r>
        <w:rPr>
          <w:sz w:val="16"/>
        </w:rPr>
        <w:t>24</w:t>
      </w:r>
      <w:r>
        <w:rPr>
          <w:spacing w:val="-4"/>
          <w:sz w:val="16"/>
        </w:rPr>
        <w:t xml:space="preserve"> </w:t>
      </w:r>
      <w:r>
        <w:rPr>
          <w:sz w:val="16"/>
        </w:rPr>
        <w:t>[…]</w:t>
      </w:r>
      <w:r>
        <w:rPr>
          <w:spacing w:val="-7"/>
          <w:sz w:val="16"/>
        </w:rPr>
        <w:t xml:space="preserve"> </w:t>
      </w:r>
      <w:r>
        <w:rPr>
          <w:sz w:val="16"/>
        </w:rPr>
        <w:t>y</w:t>
      </w:r>
      <w:r>
        <w:rPr>
          <w:spacing w:val="-4"/>
          <w:sz w:val="16"/>
        </w:rPr>
        <w:t xml:space="preserve"> </w:t>
      </w:r>
      <w:r>
        <w:rPr>
          <w:sz w:val="16"/>
        </w:rPr>
        <w:t>1.1[...]</w:t>
      </w:r>
      <w:r>
        <w:rPr>
          <w:spacing w:val="-4"/>
          <w:sz w:val="16"/>
        </w:rPr>
        <w:t xml:space="preserve"> </w:t>
      </w:r>
      <w:r>
        <w:rPr>
          <w:sz w:val="16"/>
        </w:rPr>
        <w:t>de</w:t>
      </w:r>
      <w:r>
        <w:rPr>
          <w:spacing w:val="-6"/>
          <w:sz w:val="16"/>
        </w:rPr>
        <w:t xml:space="preserve"> </w:t>
      </w:r>
      <w:r>
        <w:rPr>
          <w:sz w:val="16"/>
        </w:rPr>
        <w:t>la</w:t>
      </w:r>
      <w:r>
        <w:rPr>
          <w:spacing w:val="-3"/>
          <w:sz w:val="16"/>
        </w:rPr>
        <w:t xml:space="preserve"> </w:t>
      </w:r>
      <w:r>
        <w:rPr>
          <w:sz w:val="16"/>
        </w:rPr>
        <w:t>Convención Americana, los Estados deben garantizar, en condiciones de igualdad, el pleno ejercicio y goce de los derechos de estas</w:t>
      </w:r>
      <w:r>
        <w:rPr>
          <w:spacing w:val="-3"/>
          <w:sz w:val="16"/>
        </w:rPr>
        <w:t xml:space="preserve"> </w:t>
      </w:r>
      <w:r>
        <w:rPr>
          <w:sz w:val="16"/>
        </w:rPr>
        <w:t>personas</w:t>
      </w:r>
      <w:r>
        <w:rPr>
          <w:spacing w:val="-5"/>
          <w:sz w:val="16"/>
        </w:rPr>
        <w:t xml:space="preserve"> </w:t>
      </w:r>
      <w:r>
        <w:rPr>
          <w:sz w:val="16"/>
        </w:rPr>
        <w:t>que</w:t>
      </w:r>
      <w:r>
        <w:rPr>
          <w:spacing w:val="-5"/>
          <w:sz w:val="16"/>
        </w:rPr>
        <w:t xml:space="preserve"> </w:t>
      </w:r>
      <w:r>
        <w:rPr>
          <w:sz w:val="16"/>
        </w:rPr>
        <w:t>están</w:t>
      </w:r>
      <w:r>
        <w:rPr>
          <w:spacing w:val="-6"/>
          <w:sz w:val="16"/>
        </w:rPr>
        <w:t xml:space="preserve"> </w:t>
      </w:r>
      <w:r>
        <w:rPr>
          <w:sz w:val="16"/>
        </w:rPr>
        <w:t>sujetas</w:t>
      </w:r>
      <w:r>
        <w:rPr>
          <w:spacing w:val="-2"/>
          <w:sz w:val="16"/>
        </w:rPr>
        <w:t xml:space="preserve"> </w:t>
      </w:r>
      <w:r>
        <w:rPr>
          <w:sz w:val="16"/>
        </w:rPr>
        <w:t>a</w:t>
      </w:r>
      <w:r>
        <w:rPr>
          <w:spacing w:val="-3"/>
          <w:sz w:val="16"/>
        </w:rPr>
        <w:t xml:space="preserve"> </w:t>
      </w:r>
      <w:r>
        <w:rPr>
          <w:sz w:val="16"/>
        </w:rPr>
        <w:t>su</w:t>
      </w:r>
      <w:r>
        <w:rPr>
          <w:spacing w:val="-7"/>
          <w:sz w:val="16"/>
        </w:rPr>
        <w:t xml:space="preserve"> </w:t>
      </w:r>
      <w:r>
        <w:rPr>
          <w:sz w:val="16"/>
        </w:rPr>
        <w:t>jurisdicción.</w:t>
      </w:r>
      <w:r>
        <w:rPr>
          <w:spacing w:val="-3"/>
          <w:sz w:val="16"/>
        </w:rPr>
        <w:t xml:space="preserve"> </w:t>
      </w:r>
      <w:r>
        <w:rPr>
          <w:sz w:val="16"/>
        </w:rPr>
        <w:t>Sin</w:t>
      </w:r>
      <w:r>
        <w:rPr>
          <w:spacing w:val="-6"/>
          <w:sz w:val="16"/>
        </w:rPr>
        <w:t xml:space="preserve"> </w:t>
      </w:r>
      <w:r>
        <w:rPr>
          <w:sz w:val="16"/>
        </w:rPr>
        <w:t>embargo,</w:t>
      </w:r>
      <w:r>
        <w:rPr>
          <w:spacing w:val="-6"/>
          <w:sz w:val="16"/>
        </w:rPr>
        <w:t xml:space="preserve"> </w:t>
      </w:r>
      <w:r>
        <w:rPr>
          <w:sz w:val="16"/>
        </w:rPr>
        <w:t>hay</w:t>
      </w:r>
      <w:r>
        <w:rPr>
          <w:spacing w:val="-4"/>
          <w:sz w:val="16"/>
        </w:rPr>
        <w:t xml:space="preserve"> </w:t>
      </w:r>
      <w:r>
        <w:rPr>
          <w:sz w:val="16"/>
        </w:rPr>
        <w:t>que</w:t>
      </w:r>
      <w:r>
        <w:rPr>
          <w:spacing w:val="-5"/>
          <w:sz w:val="16"/>
        </w:rPr>
        <w:t xml:space="preserve"> </w:t>
      </w:r>
      <w:r>
        <w:rPr>
          <w:sz w:val="16"/>
        </w:rPr>
        <w:t>resaltar</w:t>
      </w:r>
      <w:r>
        <w:rPr>
          <w:spacing w:val="-4"/>
          <w:sz w:val="16"/>
        </w:rPr>
        <w:t xml:space="preserve"> </w:t>
      </w:r>
      <w:r>
        <w:rPr>
          <w:sz w:val="16"/>
        </w:rPr>
        <w:t>que</w:t>
      </w:r>
      <w:r>
        <w:rPr>
          <w:spacing w:val="-6"/>
          <w:sz w:val="16"/>
        </w:rPr>
        <w:t xml:space="preserve"> </w:t>
      </w:r>
      <w:r>
        <w:rPr>
          <w:sz w:val="16"/>
        </w:rPr>
        <w:t>para</w:t>
      </w:r>
      <w:r>
        <w:rPr>
          <w:spacing w:val="-3"/>
          <w:sz w:val="16"/>
        </w:rPr>
        <w:t xml:space="preserve"> </w:t>
      </w:r>
      <w:r>
        <w:rPr>
          <w:sz w:val="16"/>
        </w:rPr>
        <w:t>garantizar</w:t>
      </w:r>
      <w:r>
        <w:rPr>
          <w:spacing w:val="-4"/>
          <w:sz w:val="16"/>
        </w:rPr>
        <w:t xml:space="preserve"> </w:t>
      </w:r>
      <w:r>
        <w:rPr>
          <w:sz w:val="16"/>
        </w:rPr>
        <w:t>efectivamente estos derechos,</w:t>
      </w:r>
      <w:r>
        <w:rPr>
          <w:sz w:val="16"/>
        </w:rPr>
        <w:t xml:space="preserve"> al interpretar y aplicar su normativa interna, los Estados deben tomar en consideración las características propias que diferencian a los miembros de los pueblos indígenas de la población en general y que conforman su identidad cultural”. C</w:t>
      </w:r>
      <w:r>
        <w:rPr>
          <w:i/>
          <w:sz w:val="16"/>
        </w:rPr>
        <w:t>aso Comunidad I</w:t>
      </w:r>
      <w:r>
        <w:rPr>
          <w:i/>
          <w:sz w:val="16"/>
        </w:rPr>
        <w:t xml:space="preserve">ndígena Yakye Axa vs. Paraguay. Fondo Reparaciones y Costas. </w:t>
      </w:r>
      <w:r>
        <w:rPr>
          <w:sz w:val="16"/>
        </w:rPr>
        <w:t>Sentencia 17 de junio de 2005, Serie C No. 125, párr.</w:t>
      </w:r>
      <w:r>
        <w:rPr>
          <w:spacing w:val="-11"/>
          <w:sz w:val="16"/>
        </w:rPr>
        <w:t xml:space="preserve"> </w:t>
      </w:r>
      <w:r>
        <w:rPr>
          <w:sz w:val="16"/>
        </w:rPr>
        <w:t>51.</w:t>
      </w:r>
    </w:p>
    <w:p w14:paraId="4A88E6D7" w14:textId="77777777" w:rsidR="00467FCA" w:rsidRDefault="001B68EB">
      <w:pPr>
        <w:tabs>
          <w:tab w:val="left" w:pos="1166"/>
        </w:tabs>
        <w:ind w:left="458" w:right="277"/>
        <w:jc w:val="both"/>
        <w:rPr>
          <w:sz w:val="16"/>
        </w:rPr>
      </w:pPr>
      <w:bookmarkStart w:id="911" w:name="_bookmark830"/>
      <w:bookmarkEnd w:id="911"/>
      <w:r>
        <w:rPr>
          <w:position w:val="6"/>
          <w:sz w:val="10"/>
        </w:rPr>
        <w:t>148</w:t>
      </w:r>
      <w:r>
        <w:rPr>
          <w:position w:val="6"/>
          <w:sz w:val="10"/>
        </w:rPr>
        <w:tab/>
      </w:r>
      <w:r>
        <w:rPr>
          <w:i/>
          <w:sz w:val="16"/>
        </w:rPr>
        <w:t xml:space="preserve">Cfr. Caso Yatama vs. Nicaragua. Excepciones Preliminares, Fondo, Reparaciones y Costas. </w:t>
      </w:r>
      <w:r>
        <w:rPr>
          <w:sz w:val="16"/>
        </w:rPr>
        <w:t>Sentencia de 23 de junio de 2005, Serie C No. 127, párr.</w:t>
      </w:r>
      <w:r>
        <w:rPr>
          <w:spacing w:val="-13"/>
          <w:sz w:val="16"/>
        </w:rPr>
        <w:t xml:space="preserve"> </w:t>
      </w:r>
      <w:r>
        <w:rPr>
          <w:sz w:val="16"/>
        </w:rPr>
        <w:t>186.</w:t>
      </w:r>
    </w:p>
    <w:p w14:paraId="010CA4AB" w14:textId="77777777" w:rsidR="00467FCA" w:rsidRDefault="001B68EB">
      <w:pPr>
        <w:tabs>
          <w:tab w:val="left" w:pos="1166"/>
        </w:tabs>
        <w:ind w:left="458" w:right="272"/>
        <w:jc w:val="both"/>
        <w:rPr>
          <w:sz w:val="16"/>
        </w:rPr>
      </w:pPr>
      <w:bookmarkStart w:id="912" w:name="_bookmark831"/>
      <w:bookmarkEnd w:id="912"/>
      <w:r>
        <w:rPr>
          <w:position w:val="6"/>
          <w:sz w:val="10"/>
        </w:rPr>
        <w:t>149</w:t>
      </w:r>
      <w:r>
        <w:rPr>
          <w:position w:val="6"/>
          <w:sz w:val="10"/>
        </w:rPr>
        <w:tab/>
      </w:r>
      <w:r>
        <w:rPr>
          <w:sz w:val="16"/>
        </w:rPr>
        <w:t>“[l]a Corte entiende que, de conformidad con los artículos 23, 24, 1.1 y 2 de la Convención, el Estado tiene la obligación de garantizar el goce de los derechos políticos, lo cual implica que la regulación del ejercicio de dichos derechos y su aplicación s</w:t>
      </w:r>
      <w:r>
        <w:rPr>
          <w:sz w:val="16"/>
        </w:rPr>
        <w:t xml:space="preserve">ean acordes al principio de igualdad y no discriminación, y debe adoptar las medidas necesarias para garantizar su pleno ejercicio”. </w:t>
      </w:r>
      <w:r>
        <w:rPr>
          <w:i/>
          <w:sz w:val="16"/>
        </w:rPr>
        <w:t>Cfr. Caso Yatama Vs. Nicaragua, supra</w:t>
      </w:r>
      <w:r>
        <w:rPr>
          <w:sz w:val="16"/>
        </w:rPr>
        <w:t xml:space="preserve">, párr. 202. En una situación similar se encuentra el caso </w:t>
      </w:r>
      <w:r>
        <w:rPr>
          <w:i/>
          <w:sz w:val="16"/>
        </w:rPr>
        <w:t>Yean y Bosico</w:t>
      </w:r>
      <w:r>
        <w:rPr>
          <w:sz w:val="16"/>
        </w:rPr>
        <w:t xml:space="preserve">, en donde la </w:t>
      </w:r>
      <w:r>
        <w:rPr>
          <w:sz w:val="16"/>
        </w:rPr>
        <w:t>Corte IDH identificó “que por razones discriminatorias y contrarias a la normativa interna pertinente, el Estado dejó de otorgar la nacionalidad a las niñas, lo que constituyó una</w:t>
      </w:r>
      <w:r>
        <w:rPr>
          <w:spacing w:val="-7"/>
          <w:sz w:val="16"/>
        </w:rPr>
        <w:t xml:space="preserve"> </w:t>
      </w:r>
      <w:r>
        <w:rPr>
          <w:sz w:val="16"/>
        </w:rPr>
        <w:t>privación</w:t>
      </w:r>
      <w:r>
        <w:rPr>
          <w:spacing w:val="-6"/>
          <w:sz w:val="16"/>
        </w:rPr>
        <w:t xml:space="preserve"> </w:t>
      </w:r>
      <w:r>
        <w:rPr>
          <w:sz w:val="16"/>
        </w:rPr>
        <w:t>arbitraria</w:t>
      </w:r>
      <w:r>
        <w:rPr>
          <w:spacing w:val="-6"/>
          <w:sz w:val="16"/>
        </w:rPr>
        <w:t xml:space="preserve"> </w:t>
      </w:r>
      <w:r>
        <w:rPr>
          <w:sz w:val="16"/>
        </w:rPr>
        <w:t>de</w:t>
      </w:r>
      <w:r>
        <w:rPr>
          <w:spacing w:val="-7"/>
          <w:sz w:val="16"/>
        </w:rPr>
        <w:t xml:space="preserve"> </w:t>
      </w:r>
      <w:r>
        <w:rPr>
          <w:sz w:val="16"/>
        </w:rPr>
        <w:t>su</w:t>
      </w:r>
      <w:r>
        <w:rPr>
          <w:spacing w:val="-9"/>
          <w:sz w:val="16"/>
        </w:rPr>
        <w:t xml:space="preserve"> </w:t>
      </w:r>
      <w:r>
        <w:rPr>
          <w:sz w:val="16"/>
        </w:rPr>
        <w:t>nacionalidad,</w:t>
      </w:r>
      <w:r>
        <w:rPr>
          <w:spacing w:val="-6"/>
          <w:sz w:val="16"/>
        </w:rPr>
        <w:t xml:space="preserve"> </w:t>
      </w:r>
      <w:r>
        <w:rPr>
          <w:sz w:val="16"/>
        </w:rPr>
        <w:t>y</w:t>
      </w:r>
      <w:r>
        <w:rPr>
          <w:spacing w:val="-6"/>
          <w:sz w:val="16"/>
        </w:rPr>
        <w:t xml:space="preserve"> </w:t>
      </w:r>
      <w:r>
        <w:rPr>
          <w:sz w:val="16"/>
        </w:rPr>
        <w:t>las</w:t>
      </w:r>
      <w:r>
        <w:rPr>
          <w:spacing w:val="-7"/>
          <w:sz w:val="16"/>
        </w:rPr>
        <w:t xml:space="preserve"> </w:t>
      </w:r>
      <w:r>
        <w:rPr>
          <w:sz w:val="16"/>
        </w:rPr>
        <w:t>dejó</w:t>
      </w:r>
      <w:r>
        <w:rPr>
          <w:spacing w:val="45"/>
          <w:sz w:val="16"/>
        </w:rPr>
        <w:t xml:space="preserve"> </w:t>
      </w:r>
      <w:r>
        <w:rPr>
          <w:sz w:val="16"/>
        </w:rPr>
        <w:t>apátridas</w:t>
      </w:r>
      <w:r>
        <w:rPr>
          <w:spacing w:val="-8"/>
          <w:sz w:val="16"/>
        </w:rPr>
        <w:t xml:space="preserve"> </w:t>
      </w:r>
      <w:r>
        <w:rPr>
          <w:sz w:val="16"/>
        </w:rPr>
        <w:t>por</w:t>
      </w:r>
      <w:r>
        <w:rPr>
          <w:spacing w:val="-6"/>
          <w:sz w:val="16"/>
        </w:rPr>
        <w:t xml:space="preserve"> </w:t>
      </w:r>
      <w:r>
        <w:rPr>
          <w:sz w:val="16"/>
        </w:rPr>
        <w:t>más</w:t>
      </w:r>
      <w:r>
        <w:rPr>
          <w:spacing w:val="-7"/>
          <w:sz w:val="16"/>
        </w:rPr>
        <w:t xml:space="preserve"> </w:t>
      </w:r>
      <w:r>
        <w:rPr>
          <w:sz w:val="16"/>
        </w:rPr>
        <w:t>de</w:t>
      </w:r>
      <w:r>
        <w:rPr>
          <w:spacing w:val="-7"/>
          <w:sz w:val="16"/>
        </w:rPr>
        <w:t xml:space="preserve"> </w:t>
      </w:r>
      <w:r>
        <w:rPr>
          <w:sz w:val="16"/>
        </w:rPr>
        <w:t>cua</w:t>
      </w:r>
      <w:r>
        <w:rPr>
          <w:sz w:val="16"/>
        </w:rPr>
        <w:t>tro</w:t>
      </w:r>
      <w:r>
        <w:rPr>
          <w:spacing w:val="-4"/>
          <w:sz w:val="16"/>
        </w:rPr>
        <w:t xml:space="preserve"> </w:t>
      </w:r>
      <w:r>
        <w:rPr>
          <w:sz w:val="16"/>
        </w:rPr>
        <w:t>años</w:t>
      </w:r>
      <w:r>
        <w:rPr>
          <w:spacing w:val="-8"/>
          <w:sz w:val="16"/>
        </w:rPr>
        <w:t xml:space="preserve"> </w:t>
      </w:r>
      <w:r>
        <w:rPr>
          <w:sz w:val="16"/>
        </w:rPr>
        <w:t>y</w:t>
      </w:r>
      <w:r>
        <w:rPr>
          <w:spacing w:val="-9"/>
          <w:sz w:val="16"/>
        </w:rPr>
        <w:t xml:space="preserve"> </w:t>
      </w:r>
      <w:r>
        <w:rPr>
          <w:sz w:val="16"/>
        </w:rPr>
        <w:t>cuatro</w:t>
      </w:r>
      <w:r>
        <w:rPr>
          <w:spacing w:val="-7"/>
          <w:sz w:val="16"/>
        </w:rPr>
        <w:t xml:space="preserve"> </w:t>
      </w:r>
      <w:r>
        <w:rPr>
          <w:sz w:val="16"/>
        </w:rPr>
        <w:t>meses,</w:t>
      </w:r>
      <w:r>
        <w:rPr>
          <w:spacing w:val="-6"/>
          <w:sz w:val="16"/>
        </w:rPr>
        <w:t xml:space="preserve"> </w:t>
      </w:r>
      <w:r>
        <w:rPr>
          <w:sz w:val="16"/>
        </w:rPr>
        <w:t>en</w:t>
      </w:r>
      <w:r>
        <w:rPr>
          <w:spacing w:val="-8"/>
          <w:sz w:val="16"/>
        </w:rPr>
        <w:t xml:space="preserve"> </w:t>
      </w:r>
      <w:r>
        <w:rPr>
          <w:sz w:val="16"/>
        </w:rPr>
        <w:t>violación de los artículos 20 y 24 de la Convención Americana, en relación con el artículo 19 de la misma, y también en relación</w:t>
      </w:r>
      <w:r>
        <w:rPr>
          <w:spacing w:val="-14"/>
          <w:sz w:val="16"/>
        </w:rPr>
        <w:t xml:space="preserve"> </w:t>
      </w:r>
      <w:r>
        <w:rPr>
          <w:sz w:val="16"/>
        </w:rPr>
        <w:t>con</w:t>
      </w:r>
      <w:r>
        <w:rPr>
          <w:spacing w:val="-13"/>
          <w:sz w:val="16"/>
        </w:rPr>
        <w:t xml:space="preserve"> </w:t>
      </w:r>
      <w:r>
        <w:rPr>
          <w:sz w:val="16"/>
        </w:rPr>
        <w:t>el</w:t>
      </w:r>
      <w:r>
        <w:rPr>
          <w:spacing w:val="-13"/>
          <w:sz w:val="16"/>
        </w:rPr>
        <w:t xml:space="preserve"> </w:t>
      </w:r>
      <w:r>
        <w:rPr>
          <w:sz w:val="16"/>
        </w:rPr>
        <w:t>artículo</w:t>
      </w:r>
      <w:r>
        <w:rPr>
          <w:spacing w:val="-12"/>
          <w:sz w:val="16"/>
        </w:rPr>
        <w:t xml:space="preserve"> </w:t>
      </w:r>
      <w:r>
        <w:rPr>
          <w:sz w:val="16"/>
        </w:rPr>
        <w:t>1.1</w:t>
      </w:r>
      <w:r>
        <w:rPr>
          <w:spacing w:val="-14"/>
          <w:sz w:val="16"/>
        </w:rPr>
        <w:t xml:space="preserve"> </w:t>
      </w:r>
      <w:r>
        <w:rPr>
          <w:sz w:val="16"/>
        </w:rPr>
        <w:t>de</w:t>
      </w:r>
      <w:r>
        <w:rPr>
          <w:spacing w:val="-17"/>
          <w:sz w:val="16"/>
        </w:rPr>
        <w:t xml:space="preserve"> </w:t>
      </w:r>
      <w:r>
        <w:rPr>
          <w:sz w:val="16"/>
        </w:rPr>
        <w:t>este</w:t>
      </w:r>
      <w:r>
        <w:rPr>
          <w:spacing w:val="-12"/>
          <w:sz w:val="16"/>
        </w:rPr>
        <w:t xml:space="preserve"> </w:t>
      </w:r>
      <w:r>
        <w:rPr>
          <w:sz w:val="16"/>
        </w:rPr>
        <w:t>instrumento”.</w:t>
      </w:r>
      <w:r>
        <w:rPr>
          <w:spacing w:val="-14"/>
          <w:sz w:val="16"/>
        </w:rPr>
        <w:t xml:space="preserve"> </w:t>
      </w:r>
      <w:r>
        <w:rPr>
          <w:i/>
          <w:sz w:val="16"/>
        </w:rPr>
        <w:t>Caso</w:t>
      </w:r>
      <w:r>
        <w:rPr>
          <w:i/>
          <w:spacing w:val="-11"/>
          <w:sz w:val="16"/>
        </w:rPr>
        <w:t xml:space="preserve"> </w:t>
      </w:r>
      <w:r>
        <w:rPr>
          <w:i/>
          <w:sz w:val="16"/>
        </w:rPr>
        <w:t>de</w:t>
      </w:r>
      <w:r>
        <w:rPr>
          <w:i/>
          <w:spacing w:val="-12"/>
          <w:sz w:val="16"/>
        </w:rPr>
        <w:t xml:space="preserve"> </w:t>
      </w:r>
      <w:r>
        <w:rPr>
          <w:i/>
          <w:sz w:val="16"/>
        </w:rPr>
        <w:t>las</w:t>
      </w:r>
      <w:r>
        <w:rPr>
          <w:i/>
          <w:spacing w:val="-14"/>
          <w:sz w:val="16"/>
        </w:rPr>
        <w:t xml:space="preserve"> </w:t>
      </w:r>
      <w:r>
        <w:rPr>
          <w:i/>
          <w:sz w:val="16"/>
        </w:rPr>
        <w:t>niñas</w:t>
      </w:r>
      <w:r>
        <w:rPr>
          <w:i/>
          <w:spacing w:val="-13"/>
          <w:sz w:val="16"/>
        </w:rPr>
        <w:t xml:space="preserve"> </w:t>
      </w:r>
      <w:r>
        <w:rPr>
          <w:i/>
          <w:sz w:val="16"/>
        </w:rPr>
        <w:t>Yean</w:t>
      </w:r>
      <w:r>
        <w:rPr>
          <w:i/>
          <w:spacing w:val="-13"/>
          <w:sz w:val="16"/>
        </w:rPr>
        <w:t xml:space="preserve"> </w:t>
      </w:r>
      <w:r>
        <w:rPr>
          <w:i/>
          <w:sz w:val="16"/>
        </w:rPr>
        <w:t>y</w:t>
      </w:r>
      <w:r>
        <w:rPr>
          <w:i/>
          <w:spacing w:val="-11"/>
          <w:sz w:val="16"/>
        </w:rPr>
        <w:t xml:space="preserve"> </w:t>
      </w:r>
      <w:r>
        <w:rPr>
          <w:i/>
          <w:sz w:val="16"/>
        </w:rPr>
        <w:t>Bosico</w:t>
      </w:r>
      <w:r>
        <w:rPr>
          <w:i/>
          <w:spacing w:val="-12"/>
          <w:sz w:val="16"/>
        </w:rPr>
        <w:t xml:space="preserve"> </w:t>
      </w:r>
      <w:r>
        <w:rPr>
          <w:i/>
          <w:sz w:val="16"/>
        </w:rPr>
        <w:t>Vs.</w:t>
      </w:r>
      <w:r>
        <w:rPr>
          <w:i/>
          <w:spacing w:val="-13"/>
          <w:sz w:val="16"/>
        </w:rPr>
        <w:t xml:space="preserve"> </w:t>
      </w:r>
      <w:r>
        <w:rPr>
          <w:i/>
          <w:sz w:val="16"/>
        </w:rPr>
        <w:t>República</w:t>
      </w:r>
      <w:r>
        <w:rPr>
          <w:i/>
          <w:spacing w:val="-13"/>
          <w:sz w:val="16"/>
        </w:rPr>
        <w:t xml:space="preserve"> </w:t>
      </w:r>
      <w:r>
        <w:rPr>
          <w:i/>
          <w:sz w:val="16"/>
        </w:rPr>
        <w:t>Dominicana.</w:t>
      </w:r>
      <w:r>
        <w:rPr>
          <w:i/>
          <w:spacing w:val="-14"/>
          <w:sz w:val="16"/>
        </w:rPr>
        <w:t xml:space="preserve"> </w:t>
      </w:r>
      <w:r>
        <w:rPr>
          <w:sz w:val="16"/>
        </w:rPr>
        <w:t>Sentencia de 8 de septiembre de 2005. Serie C No. 130, párr.</w:t>
      </w:r>
      <w:r>
        <w:rPr>
          <w:spacing w:val="-17"/>
          <w:sz w:val="16"/>
        </w:rPr>
        <w:t xml:space="preserve"> </w:t>
      </w:r>
      <w:r>
        <w:rPr>
          <w:sz w:val="16"/>
        </w:rPr>
        <w:t>174.</w:t>
      </w:r>
    </w:p>
    <w:p w14:paraId="5D15F070" w14:textId="77777777" w:rsidR="00467FCA" w:rsidRDefault="00467FCA">
      <w:pPr>
        <w:jc w:val="both"/>
        <w:rPr>
          <w:sz w:val="16"/>
        </w:rPr>
        <w:sectPr w:rsidR="00467FCA">
          <w:pgSz w:w="12240" w:h="15840"/>
          <w:pgMar w:top="1340" w:right="1140" w:bottom="920" w:left="960" w:header="0" w:footer="734" w:gutter="0"/>
          <w:cols w:space="720"/>
        </w:sectPr>
      </w:pPr>
    </w:p>
    <w:p w14:paraId="2DB5DAFF" w14:textId="77777777" w:rsidR="00467FCA" w:rsidRDefault="001B68EB">
      <w:pPr>
        <w:pStyle w:val="Textoindependiente"/>
        <w:spacing w:before="79"/>
        <w:ind w:left="458" w:right="274"/>
        <w:jc w:val="both"/>
      </w:pPr>
      <w:r>
        <w:t>derechos a la libertad de pensamiento y expresión y de la igualdad ante la ley, consagrados en</w:t>
      </w:r>
      <w:r>
        <w:rPr>
          <w:spacing w:val="-4"/>
        </w:rPr>
        <w:t xml:space="preserve"> </w:t>
      </w:r>
      <w:r>
        <w:t>los</w:t>
      </w:r>
      <w:r>
        <w:rPr>
          <w:spacing w:val="-4"/>
        </w:rPr>
        <w:t xml:space="preserve"> </w:t>
      </w:r>
      <w:r>
        <w:t>artículos</w:t>
      </w:r>
      <w:r>
        <w:rPr>
          <w:spacing w:val="-3"/>
        </w:rPr>
        <w:t xml:space="preserve"> </w:t>
      </w:r>
      <w:r>
        <w:t>13</w:t>
      </w:r>
      <w:r>
        <w:rPr>
          <w:spacing w:val="-3"/>
        </w:rPr>
        <w:t xml:space="preserve"> </w:t>
      </w:r>
      <w:r>
        <w:t>y</w:t>
      </w:r>
      <w:r>
        <w:rPr>
          <w:spacing w:val="-5"/>
        </w:rPr>
        <w:t xml:space="preserve"> </w:t>
      </w:r>
      <w:r>
        <w:t>24 de</w:t>
      </w:r>
      <w:r>
        <w:rPr>
          <w:spacing w:val="-7"/>
        </w:rPr>
        <w:t xml:space="preserve"> </w:t>
      </w:r>
      <w:r>
        <w:t>la</w:t>
      </w:r>
      <w:r>
        <w:rPr>
          <w:spacing w:val="-2"/>
        </w:rPr>
        <w:t xml:space="preserve"> </w:t>
      </w:r>
      <w:r>
        <w:t>Convención</w:t>
      </w:r>
      <w:r>
        <w:rPr>
          <w:spacing w:val="-5"/>
        </w:rPr>
        <w:t xml:space="preserve"> </w:t>
      </w:r>
      <w:r>
        <w:t>Americana,</w:t>
      </w:r>
      <w:r>
        <w:rPr>
          <w:spacing w:val="-3"/>
        </w:rPr>
        <w:t xml:space="preserve"> </w:t>
      </w:r>
      <w:r>
        <w:t>y</w:t>
      </w:r>
      <w:r>
        <w:rPr>
          <w:spacing w:val="-6"/>
        </w:rPr>
        <w:t xml:space="preserve"> </w:t>
      </w:r>
      <w:r>
        <w:t>por</w:t>
      </w:r>
      <w:r>
        <w:rPr>
          <w:spacing w:val="-1"/>
        </w:rPr>
        <w:t xml:space="preserve"> </w:t>
      </w:r>
      <w:r>
        <w:t>el</w:t>
      </w:r>
      <w:r>
        <w:rPr>
          <w:spacing w:val="-5"/>
        </w:rPr>
        <w:t xml:space="preserve"> </w:t>
      </w:r>
      <w:r>
        <w:t>incumplimi</w:t>
      </w:r>
      <w:r>
        <w:t>ento</w:t>
      </w:r>
      <w:r>
        <w:rPr>
          <w:spacing w:val="-7"/>
        </w:rPr>
        <w:t xml:space="preserve"> </w:t>
      </w:r>
      <w:r>
        <w:t>de</w:t>
      </w:r>
      <w:r>
        <w:rPr>
          <w:spacing w:val="-3"/>
        </w:rPr>
        <w:t xml:space="preserve"> </w:t>
      </w:r>
      <w:r>
        <w:t>la</w:t>
      </w:r>
      <w:r>
        <w:rPr>
          <w:spacing w:val="-3"/>
        </w:rPr>
        <w:t xml:space="preserve"> </w:t>
      </w:r>
      <w:r>
        <w:t>obligación general</w:t>
      </w:r>
      <w:r>
        <w:rPr>
          <w:spacing w:val="-10"/>
        </w:rPr>
        <w:t xml:space="preserve"> </w:t>
      </w:r>
      <w:r>
        <w:t>de</w:t>
      </w:r>
      <w:r>
        <w:rPr>
          <w:spacing w:val="-9"/>
        </w:rPr>
        <w:t xml:space="preserve"> </w:t>
      </w:r>
      <w:r>
        <w:t>respetar</w:t>
      </w:r>
      <w:r>
        <w:rPr>
          <w:spacing w:val="-9"/>
        </w:rPr>
        <w:t xml:space="preserve"> </w:t>
      </w:r>
      <w:r>
        <w:t>y</w:t>
      </w:r>
      <w:r>
        <w:rPr>
          <w:spacing w:val="-11"/>
        </w:rPr>
        <w:t xml:space="preserve"> </w:t>
      </w:r>
      <w:r>
        <w:t>garantizar</w:t>
      </w:r>
      <w:r>
        <w:rPr>
          <w:spacing w:val="-11"/>
        </w:rPr>
        <w:t xml:space="preserve"> </w:t>
      </w:r>
      <w:r>
        <w:t>los</w:t>
      </w:r>
      <w:r>
        <w:rPr>
          <w:spacing w:val="-11"/>
        </w:rPr>
        <w:t xml:space="preserve"> </w:t>
      </w:r>
      <w:r>
        <w:t>derechos</w:t>
      </w:r>
      <w:r>
        <w:rPr>
          <w:spacing w:val="-10"/>
        </w:rPr>
        <w:t xml:space="preserve"> </w:t>
      </w:r>
      <w:r>
        <w:t>y</w:t>
      </w:r>
      <w:r>
        <w:rPr>
          <w:spacing w:val="-11"/>
        </w:rPr>
        <w:t xml:space="preserve"> </w:t>
      </w:r>
      <w:r>
        <w:t>libertades</w:t>
      </w:r>
      <w:r>
        <w:rPr>
          <w:spacing w:val="-9"/>
        </w:rPr>
        <w:t xml:space="preserve"> </w:t>
      </w:r>
      <w:r>
        <w:t>establecida</w:t>
      </w:r>
      <w:r>
        <w:rPr>
          <w:spacing w:val="-8"/>
        </w:rPr>
        <w:t xml:space="preserve"> </w:t>
      </w:r>
      <w:r>
        <w:t>en</w:t>
      </w:r>
      <w:r>
        <w:rPr>
          <w:spacing w:val="-7"/>
        </w:rPr>
        <w:t xml:space="preserve"> </w:t>
      </w:r>
      <w:r>
        <w:t>el</w:t>
      </w:r>
      <w:r>
        <w:rPr>
          <w:spacing w:val="-10"/>
        </w:rPr>
        <w:t xml:space="preserve"> </w:t>
      </w:r>
      <w:r>
        <w:t>artículo</w:t>
      </w:r>
      <w:r>
        <w:rPr>
          <w:spacing w:val="-11"/>
        </w:rPr>
        <w:t xml:space="preserve"> </w:t>
      </w:r>
      <w:r>
        <w:t>1.1</w:t>
      </w:r>
      <w:hyperlink w:anchor="_bookmark832" w:history="1">
        <w:r>
          <w:rPr>
            <w:position w:val="7"/>
            <w:sz w:val="13"/>
          </w:rPr>
          <w:t>150</w:t>
        </w:r>
      </w:hyperlink>
      <w:r>
        <w:t>.</w:t>
      </w:r>
      <w:r>
        <w:rPr>
          <w:spacing w:val="50"/>
        </w:rPr>
        <w:t xml:space="preserve"> </w:t>
      </w:r>
      <w:r>
        <w:t>En el caso, habría que precisar dos cuestiones. En los hechos no se aplicó “una norma interna” de manera arbitraria por lo que, de conforme a lo que venía consolidando la Corte IDH, la violación</w:t>
      </w:r>
      <w:r>
        <w:rPr>
          <w:spacing w:val="-8"/>
        </w:rPr>
        <w:t xml:space="preserve"> </w:t>
      </w:r>
      <w:r>
        <w:t>del</w:t>
      </w:r>
      <w:r>
        <w:rPr>
          <w:spacing w:val="-9"/>
        </w:rPr>
        <w:t xml:space="preserve"> </w:t>
      </w:r>
      <w:r>
        <w:t>art.</w:t>
      </w:r>
      <w:r>
        <w:rPr>
          <w:spacing w:val="-8"/>
        </w:rPr>
        <w:t xml:space="preserve"> </w:t>
      </w:r>
      <w:r>
        <w:t>24</w:t>
      </w:r>
      <w:r>
        <w:rPr>
          <w:spacing w:val="-8"/>
        </w:rPr>
        <w:t xml:space="preserve"> </w:t>
      </w:r>
      <w:r>
        <w:t>no</w:t>
      </w:r>
      <w:r>
        <w:rPr>
          <w:spacing w:val="-4"/>
        </w:rPr>
        <w:t xml:space="preserve"> </w:t>
      </w:r>
      <w:r>
        <w:t>hubiera</w:t>
      </w:r>
      <w:r>
        <w:rPr>
          <w:spacing w:val="-9"/>
        </w:rPr>
        <w:t xml:space="preserve"> </w:t>
      </w:r>
      <w:r>
        <w:t>procedido,</w:t>
      </w:r>
      <w:r>
        <w:rPr>
          <w:spacing w:val="-6"/>
        </w:rPr>
        <w:t xml:space="preserve"> </w:t>
      </w:r>
      <w:r>
        <w:t>sino</w:t>
      </w:r>
      <w:r>
        <w:rPr>
          <w:spacing w:val="-8"/>
        </w:rPr>
        <w:t xml:space="preserve"> </w:t>
      </w:r>
      <w:r>
        <w:t>que</w:t>
      </w:r>
      <w:r>
        <w:rPr>
          <w:spacing w:val="-9"/>
        </w:rPr>
        <w:t xml:space="preserve"> </w:t>
      </w:r>
      <w:r>
        <w:t>la</w:t>
      </w:r>
      <w:r>
        <w:rPr>
          <w:spacing w:val="-8"/>
        </w:rPr>
        <w:t xml:space="preserve"> </w:t>
      </w:r>
      <w:r>
        <w:t>discriminación</w:t>
      </w:r>
      <w:r>
        <w:rPr>
          <w:spacing w:val="-4"/>
        </w:rPr>
        <w:t xml:space="preserve"> </w:t>
      </w:r>
      <w:r>
        <w:t>se</w:t>
      </w:r>
      <w:r>
        <w:rPr>
          <w:spacing w:val="-8"/>
        </w:rPr>
        <w:t xml:space="preserve"> </w:t>
      </w:r>
      <w:r>
        <w:t>originó</w:t>
      </w:r>
      <w:r>
        <w:rPr>
          <w:spacing w:val="-9"/>
        </w:rPr>
        <w:t xml:space="preserve"> </w:t>
      </w:r>
      <w:r>
        <w:t>por</w:t>
      </w:r>
      <w:r>
        <w:rPr>
          <w:spacing w:val="-10"/>
        </w:rPr>
        <w:t xml:space="preserve"> </w:t>
      </w:r>
      <w:r>
        <w:t>“hablar</w:t>
      </w:r>
      <w:r>
        <w:rPr>
          <w:spacing w:val="-7"/>
        </w:rPr>
        <w:t xml:space="preserve"> </w:t>
      </w:r>
      <w:r>
        <w:t>su idioma”, cuestión que está relacionado directamente con una categoría establecida en el artículo</w:t>
      </w:r>
      <w:r>
        <w:rPr>
          <w:spacing w:val="-8"/>
        </w:rPr>
        <w:t xml:space="preserve"> </w:t>
      </w:r>
      <w:r>
        <w:t>1.1.</w:t>
      </w:r>
      <w:r>
        <w:rPr>
          <w:spacing w:val="-4"/>
        </w:rPr>
        <w:t xml:space="preserve"> </w:t>
      </w:r>
      <w:r>
        <w:t>Sin</w:t>
      </w:r>
      <w:r>
        <w:rPr>
          <w:spacing w:val="-4"/>
        </w:rPr>
        <w:t xml:space="preserve"> </w:t>
      </w:r>
      <w:r>
        <w:t>embargo,</w:t>
      </w:r>
      <w:r>
        <w:rPr>
          <w:spacing w:val="-4"/>
        </w:rPr>
        <w:t xml:space="preserve"> </w:t>
      </w:r>
      <w:r>
        <w:t>en</w:t>
      </w:r>
      <w:r>
        <w:rPr>
          <w:spacing w:val="-2"/>
        </w:rPr>
        <w:t xml:space="preserve"> </w:t>
      </w:r>
      <w:r>
        <w:t>el</w:t>
      </w:r>
      <w:r>
        <w:rPr>
          <w:spacing w:val="-4"/>
        </w:rPr>
        <w:t xml:space="preserve"> </w:t>
      </w:r>
      <w:r>
        <w:t>caso,</w:t>
      </w:r>
      <w:r>
        <w:rPr>
          <w:spacing w:val="-4"/>
        </w:rPr>
        <w:t xml:space="preserve"> </w:t>
      </w:r>
      <w:r>
        <w:t>el</w:t>
      </w:r>
      <w:r>
        <w:rPr>
          <w:spacing w:val="-3"/>
        </w:rPr>
        <w:t xml:space="preserve"> </w:t>
      </w:r>
      <w:r>
        <w:t>artículo</w:t>
      </w:r>
      <w:r>
        <w:rPr>
          <w:spacing w:val="-4"/>
        </w:rPr>
        <w:t xml:space="preserve"> </w:t>
      </w:r>
      <w:r>
        <w:t>1.1</w:t>
      </w:r>
      <w:r>
        <w:rPr>
          <w:spacing w:val="-4"/>
        </w:rPr>
        <w:t xml:space="preserve"> </w:t>
      </w:r>
      <w:r>
        <w:t>es</w:t>
      </w:r>
      <w:r>
        <w:rPr>
          <w:spacing w:val="-4"/>
        </w:rPr>
        <w:t xml:space="preserve"> </w:t>
      </w:r>
      <w:r>
        <w:t>usado</w:t>
      </w:r>
      <w:r>
        <w:rPr>
          <w:spacing w:val="-4"/>
        </w:rPr>
        <w:t xml:space="preserve"> </w:t>
      </w:r>
      <w:r>
        <w:t>en</w:t>
      </w:r>
      <w:r>
        <w:rPr>
          <w:spacing w:val="-4"/>
        </w:rPr>
        <w:t xml:space="preserve"> </w:t>
      </w:r>
      <w:r>
        <w:t>lo</w:t>
      </w:r>
      <w:r>
        <w:rPr>
          <w:spacing w:val="-4"/>
        </w:rPr>
        <w:t xml:space="preserve"> </w:t>
      </w:r>
      <w:r>
        <w:t>relativo</w:t>
      </w:r>
      <w:r>
        <w:rPr>
          <w:spacing w:val="-8"/>
        </w:rPr>
        <w:t xml:space="preserve"> </w:t>
      </w:r>
      <w:r>
        <w:t>a</w:t>
      </w:r>
      <w:r>
        <w:rPr>
          <w:spacing w:val="-3"/>
        </w:rPr>
        <w:t xml:space="preserve"> </w:t>
      </w:r>
      <w:r>
        <w:t>las</w:t>
      </w:r>
      <w:r>
        <w:rPr>
          <w:spacing w:val="-4"/>
        </w:rPr>
        <w:t xml:space="preserve"> </w:t>
      </w:r>
      <w:r>
        <w:t>obligaciones de “respeto y</w:t>
      </w:r>
      <w:r>
        <w:rPr>
          <w:spacing w:val="-4"/>
        </w:rPr>
        <w:t xml:space="preserve"> </w:t>
      </w:r>
      <w:r>
        <w:t>garantía”.</w:t>
      </w:r>
    </w:p>
    <w:p w14:paraId="349F3391" w14:textId="77777777" w:rsidR="00467FCA" w:rsidRDefault="00467FCA">
      <w:pPr>
        <w:pStyle w:val="Textoindependiente"/>
      </w:pPr>
    </w:p>
    <w:p w14:paraId="5A8A0DBA" w14:textId="77777777" w:rsidR="00467FCA" w:rsidRDefault="001B68EB">
      <w:pPr>
        <w:pStyle w:val="Prrafodelista"/>
        <w:numPr>
          <w:ilvl w:val="0"/>
          <w:numId w:val="4"/>
        </w:numPr>
        <w:tabs>
          <w:tab w:val="left" w:pos="1167"/>
        </w:tabs>
        <w:ind w:right="275" w:firstLine="0"/>
        <w:jc w:val="both"/>
        <w:rPr>
          <w:sz w:val="20"/>
        </w:rPr>
      </w:pPr>
      <w:r>
        <w:rPr>
          <w:sz w:val="20"/>
        </w:rPr>
        <w:t xml:space="preserve">El otro caso que rompió con el esquema que venía estableciendo la Corte IDH fue el caso </w:t>
      </w:r>
      <w:r>
        <w:rPr>
          <w:i/>
          <w:sz w:val="20"/>
        </w:rPr>
        <w:t xml:space="preserve">Penal Miguel Castro y Castro </w:t>
      </w:r>
      <w:r>
        <w:rPr>
          <w:sz w:val="20"/>
        </w:rPr>
        <w:t>(2006). El Tribunal Interamericano concluyó que el Estado había incumplido con la obligación de no discriminar a las mujeres en condiciones</w:t>
      </w:r>
      <w:r>
        <w:rPr>
          <w:sz w:val="20"/>
        </w:rPr>
        <w:t xml:space="preserve"> de detención,</w:t>
      </w:r>
      <w:r>
        <w:rPr>
          <w:spacing w:val="-7"/>
          <w:sz w:val="20"/>
        </w:rPr>
        <w:t xml:space="preserve"> </w:t>
      </w:r>
      <w:r>
        <w:rPr>
          <w:sz w:val="20"/>
        </w:rPr>
        <w:t>que</w:t>
      </w:r>
      <w:r>
        <w:rPr>
          <w:spacing w:val="-7"/>
          <w:sz w:val="20"/>
        </w:rPr>
        <w:t xml:space="preserve"> </w:t>
      </w:r>
      <w:r>
        <w:rPr>
          <w:sz w:val="20"/>
        </w:rPr>
        <w:t>la</w:t>
      </w:r>
      <w:r>
        <w:rPr>
          <w:spacing w:val="-5"/>
          <w:sz w:val="20"/>
        </w:rPr>
        <w:t xml:space="preserve"> </w:t>
      </w:r>
      <w:r>
        <w:rPr>
          <w:sz w:val="20"/>
        </w:rPr>
        <w:t>violencia</w:t>
      </w:r>
      <w:r>
        <w:rPr>
          <w:spacing w:val="-6"/>
          <w:sz w:val="20"/>
        </w:rPr>
        <w:t xml:space="preserve"> </w:t>
      </w:r>
      <w:r>
        <w:rPr>
          <w:sz w:val="20"/>
        </w:rPr>
        <w:t>sexual</w:t>
      </w:r>
      <w:r>
        <w:rPr>
          <w:spacing w:val="-5"/>
          <w:sz w:val="20"/>
        </w:rPr>
        <w:t xml:space="preserve"> </w:t>
      </w:r>
      <w:r>
        <w:rPr>
          <w:sz w:val="20"/>
        </w:rPr>
        <w:t>es</w:t>
      </w:r>
      <w:r>
        <w:rPr>
          <w:spacing w:val="-6"/>
          <w:sz w:val="20"/>
        </w:rPr>
        <w:t xml:space="preserve"> </w:t>
      </w:r>
      <w:r>
        <w:rPr>
          <w:sz w:val="20"/>
        </w:rPr>
        <w:t>una</w:t>
      </w:r>
      <w:r>
        <w:rPr>
          <w:spacing w:val="-9"/>
          <w:sz w:val="20"/>
        </w:rPr>
        <w:t xml:space="preserve"> </w:t>
      </w:r>
      <w:r>
        <w:rPr>
          <w:sz w:val="20"/>
        </w:rPr>
        <w:t>forma</w:t>
      </w:r>
      <w:r>
        <w:rPr>
          <w:spacing w:val="-3"/>
          <w:sz w:val="20"/>
        </w:rPr>
        <w:t xml:space="preserve"> </w:t>
      </w:r>
      <w:r>
        <w:rPr>
          <w:sz w:val="20"/>
        </w:rPr>
        <w:t>de</w:t>
      </w:r>
      <w:r>
        <w:rPr>
          <w:spacing w:val="-8"/>
          <w:sz w:val="20"/>
        </w:rPr>
        <w:t xml:space="preserve"> </w:t>
      </w:r>
      <w:r>
        <w:rPr>
          <w:sz w:val="20"/>
        </w:rPr>
        <w:t>discriminacióń</w:t>
      </w:r>
      <w:r>
        <w:rPr>
          <w:spacing w:val="-5"/>
          <w:sz w:val="20"/>
        </w:rPr>
        <w:t xml:space="preserve"> </w:t>
      </w:r>
      <w:r>
        <w:rPr>
          <w:sz w:val="20"/>
        </w:rPr>
        <w:t>y</w:t>
      </w:r>
      <w:r>
        <w:rPr>
          <w:spacing w:val="-6"/>
          <w:sz w:val="20"/>
        </w:rPr>
        <w:t xml:space="preserve"> </w:t>
      </w:r>
      <w:r>
        <w:rPr>
          <w:sz w:val="20"/>
        </w:rPr>
        <w:t>reconoció́</w:t>
      </w:r>
      <w:r>
        <w:rPr>
          <w:spacing w:val="-6"/>
          <w:sz w:val="20"/>
        </w:rPr>
        <w:t xml:space="preserve"> </w:t>
      </w:r>
      <w:r>
        <w:rPr>
          <w:sz w:val="20"/>
        </w:rPr>
        <w:t>la</w:t>
      </w:r>
      <w:r>
        <w:rPr>
          <w:spacing w:val="-6"/>
          <w:sz w:val="20"/>
        </w:rPr>
        <w:t xml:space="preserve"> </w:t>
      </w:r>
      <w:r>
        <w:rPr>
          <w:sz w:val="20"/>
        </w:rPr>
        <w:t>existencia</w:t>
      </w:r>
      <w:r>
        <w:rPr>
          <w:spacing w:val="-8"/>
          <w:sz w:val="20"/>
        </w:rPr>
        <w:t xml:space="preserve"> </w:t>
      </w:r>
      <w:r>
        <w:rPr>
          <w:sz w:val="20"/>
        </w:rPr>
        <w:t>de situaciones</w:t>
      </w:r>
      <w:r>
        <w:rPr>
          <w:spacing w:val="-10"/>
          <w:sz w:val="20"/>
        </w:rPr>
        <w:t xml:space="preserve"> </w:t>
      </w:r>
      <w:r>
        <w:rPr>
          <w:sz w:val="20"/>
        </w:rPr>
        <w:t>de</w:t>
      </w:r>
      <w:r>
        <w:rPr>
          <w:spacing w:val="-7"/>
          <w:sz w:val="20"/>
        </w:rPr>
        <w:t xml:space="preserve"> </w:t>
      </w:r>
      <w:r>
        <w:rPr>
          <w:sz w:val="20"/>
        </w:rPr>
        <w:t>violencia</w:t>
      </w:r>
      <w:r>
        <w:rPr>
          <w:spacing w:val="-5"/>
          <w:sz w:val="20"/>
        </w:rPr>
        <w:t xml:space="preserve"> </w:t>
      </w:r>
      <w:r>
        <w:rPr>
          <w:sz w:val="20"/>
        </w:rPr>
        <w:t>sexual</w:t>
      </w:r>
      <w:r>
        <w:rPr>
          <w:spacing w:val="-6"/>
          <w:sz w:val="20"/>
        </w:rPr>
        <w:t xml:space="preserve"> </w:t>
      </w:r>
      <w:r>
        <w:rPr>
          <w:sz w:val="20"/>
        </w:rPr>
        <w:t>dentro</w:t>
      </w:r>
      <w:r>
        <w:rPr>
          <w:spacing w:val="-7"/>
          <w:sz w:val="20"/>
        </w:rPr>
        <w:t xml:space="preserve"> </w:t>
      </w:r>
      <w:r>
        <w:rPr>
          <w:sz w:val="20"/>
        </w:rPr>
        <w:t>del</w:t>
      </w:r>
      <w:r>
        <w:rPr>
          <w:spacing w:val="-5"/>
          <w:sz w:val="20"/>
        </w:rPr>
        <w:t xml:space="preserve"> </w:t>
      </w:r>
      <w:r>
        <w:rPr>
          <w:sz w:val="20"/>
        </w:rPr>
        <w:t>penal,</w:t>
      </w:r>
      <w:r>
        <w:rPr>
          <w:spacing w:val="-6"/>
          <w:sz w:val="20"/>
        </w:rPr>
        <w:t xml:space="preserve"> </w:t>
      </w:r>
      <w:r>
        <w:rPr>
          <w:sz w:val="20"/>
        </w:rPr>
        <w:t>de</w:t>
      </w:r>
      <w:r>
        <w:rPr>
          <w:spacing w:val="-8"/>
          <w:sz w:val="20"/>
        </w:rPr>
        <w:t xml:space="preserve"> </w:t>
      </w:r>
      <w:r>
        <w:rPr>
          <w:sz w:val="20"/>
        </w:rPr>
        <w:t>tal</w:t>
      </w:r>
      <w:r>
        <w:rPr>
          <w:spacing w:val="-7"/>
          <w:sz w:val="20"/>
        </w:rPr>
        <w:t xml:space="preserve"> </w:t>
      </w:r>
      <w:r>
        <w:rPr>
          <w:sz w:val="20"/>
        </w:rPr>
        <w:t>modo</w:t>
      </w:r>
      <w:r>
        <w:rPr>
          <w:spacing w:val="-6"/>
          <w:sz w:val="20"/>
        </w:rPr>
        <w:t xml:space="preserve"> </w:t>
      </w:r>
      <w:r>
        <w:rPr>
          <w:sz w:val="20"/>
        </w:rPr>
        <w:t>que</w:t>
      </w:r>
      <w:r>
        <w:rPr>
          <w:spacing w:val="-7"/>
          <w:sz w:val="20"/>
        </w:rPr>
        <w:t xml:space="preserve"> </w:t>
      </w:r>
      <w:r>
        <w:rPr>
          <w:sz w:val="20"/>
        </w:rPr>
        <w:t>se</w:t>
      </w:r>
      <w:r>
        <w:rPr>
          <w:spacing w:val="-8"/>
          <w:sz w:val="20"/>
        </w:rPr>
        <w:t xml:space="preserve"> </w:t>
      </w:r>
      <w:r>
        <w:rPr>
          <w:sz w:val="20"/>
        </w:rPr>
        <w:t>declaró</w:t>
      </w:r>
      <w:r>
        <w:rPr>
          <w:spacing w:val="-6"/>
          <w:sz w:val="20"/>
        </w:rPr>
        <w:t xml:space="preserve"> </w:t>
      </w:r>
      <w:r>
        <w:rPr>
          <w:sz w:val="20"/>
        </w:rPr>
        <w:t>la</w:t>
      </w:r>
      <w:r>
        <w:rPr>
          <w:spacing w:val="-5"/>
          <w:sz w:val="20"/>
        </w:rPr>
        <w:t xml:space="preserve"> </w:t>
      </w:r>
      <w:r>
        <w:rPr>
          <w:sz w:val="20"/>
        </w:rPr>
        <w:t>vulneración</w:t>
      </w:r>
      <w:r>
        <w:rPr>
          <w:spacing w:val="-5"/>
          <w:sz w:val="20"/>
        </w:rPr>
        <w:t xml:space="preserve"> </w:t>
      </w:r>
      <w:r>
        <w:rPr>
          <w:sz w:val="20"/>
        </w:rPr>
        <w:t>de los artículo 7.b de la Convención Belém do Pará y 5.1 de la C</w:t>
      </w:r>
      <w:r>
        <w:rPr>
          <w:sz w:val="20"/>
        </w:rPr>
        <w:t>onvención Americana</w:t>
      </w:r>
      <w:hyperlink w:anchor="_bookmark833" w:history="1">
        <w:r>
          <w:rPr>
            <w:position w:val="7"/>
            <w:sz w:val="13"/>
          </w:rPr>
          <w:t>151</w:t>
        </w:r>
      </w:hyperlink>
      <w:r>
        <w:rPr>
          <w:sz w:val="20"/>
        </w:rPr>
        <w:t>; sin embargo, no determinó que estas afectaciones a la integridad eran a su vez violaciones de la obligación de no discriminar en razón de sexo/género contemplada en el artículo</w:t>
      </w:r>
      <w:r>
        <w:rPr>
          <w:spacing w:val="-18"/>
          <w:sz w:val="20"/>
        </w:rPr>
        <w:t xml:space="preserve"> </w:t>
      </w:r>
      <w:r>
        <w:rPr>
          <w:sz w:val="20"/>
        </w:rPr>
        <w:t>1.1.</w:t>
      </w:r>
    </w:p>
    <w:p w14:paraId="7D3D806B" w14:textId="77777777" w:rsidR="00467FCA" w:rsidRDefault="00467FCA">
      <w:pPr>
        <w:pStyle w:val="Textoindependiente"/>
        <w:spacing w:before="11"/>
        <w:rPr>
          <w:sz w:val="19"/>
        </w:rPr>
      </w:pPr>
    </w:p>
    <w:p w14:paraId="3B747FA2" w14:textId="77777777" w:rsidR="00467FCA" w:rsidRDefault="001B68EB">
      <w:pPr>
        <w:pStyle w:val="Prrafodelista"/>
        <w:numPr>
          <w:ilvl w:val="0"/>
          <w:numId w:val="4"/>
        </w:numPr>
        <w:tabs>
          <w:tab w:val="left" w:pos="1167"/>
        </w:tabs>
        <w:ind w:left="457" w:right="275" w:firstLine="0"/>
        <w:jc w:val="both"/>
        <w:rPr>
          <w:sz w:val="20"/>
        </w:rPr>
      </w:pPr>
      <w:r>
        <w:rPr>
          <w:sz w:val="20"/>
        </w:rPr>
        <w:t xml:space="preserve">Finalmente, como </w:t>
      </w:r>
      <w:r>
        <w:rPr>
          <w:sz w:val="20"/>
        </w:rPr>
        <w:t xml:space="preserve">preámbulo de la consolidación de la distinción que existió entre los artículos 1.1 y 24, en el año 2007, la Corte IDH decidió el caso del </w:t>
      </w:r>
      <w:r>
        <w:rPr>
          <w:i/>
          <w:sz w:val="20"/>
        </w:rPr>
        <w:t>Pueblo Saramaka. Vs. Surinam</w:t>
      </w:r>
      <w:r>
        <w:rPr>
          <w:sz w:val="20"/>
        </w:rPr>
        <w:t>.</w:t>
      </w:r>
      <w:r>
        <w:rPr>
          <w:spacing w:val="-8"/>
          <w:sz w:val="20"/>
        </w:rPr>
        <w:t xml:space="preserve"> </w:t>
      </w:r>
      <w:r>
        <w:rPr>
          <w:sz w:val="20"/>
        </w:rPr>
        <w:t>Si</w:t>
      </w:r>
      <w:r>
        <w:rPr>
          <w:spacing w:val="-7"/>
          <w:sz w:val="20"/>
        </w:rPr>
        <w:t xml:space="preserve"> </w:t>
      </w:r>
      <w:r>
        <w:rPr>
          <w:sz w:val="20"/>
        </w:rPr>
        <w:t>bien,</w:t>
      </w:r>
      <w:r>
        <w:rPr>
          <w:spacing w:val="-5"/>
          <w:sz w:val="20"/>
        </w:rPr>
        <w:t xml:space="preserve"> </w:t>
      </w:r>
      <w:r>
        <w:rPr>
          <w:sz w:val="20"/>
        </w:rPr>
        <w:t>en</w:t>
      </w:r>
      <w:r>
        <w:rPr>
          <w:spacing w:val="-4"/>
          <w:sz w:val="20"/>
        </w:rPr>
        <w:t xml:space="preserve"> </w:t>
      </w:r>
      <w:r>
        <w:rPr>
          <w:sz w:val="20"/>
        </w:rPr>
        <w:t>ese</w:t>
      </w:r>
      <w:r>
        <w:rPr>
          <w:spacing w:val="-9"/>
          <w:sz w:val="20"/>
        </w:rPr>
        <w:t xml:space="preserve"> </w:t>
      </w:r>
      <w:r>
        <w:rPr>
          <w:sz w:val="20"/>
        </w:rPr>
        <w:t>caso,</w:t>
      </w:r>
      <w:r>
        <w:rPr>
          <w:spacing w:val="-7"/>
          <w:sz w:val="20"/>
        </w:rPr>
        <w:t xml:space="preserve"> </w:t>
      </w:r>
      <w:r>
        <w:rPr>
          <w:sz w:val="20"/>
        </w:rPr>
        <w:t>la</w:t>
      </w:r>
      <w:r>
        <w:rPr>
          <w:spacing w:val="-8"/>
          <w:sz w:val="20"/>
        </w:rPr>
        <w:t xml:space="preserve"> </w:t>
      </w:r>
      <w:r>
        <w:rPr>
          <w:sz w:val="20"/>
        </w:rPr>
        <w:t>Corte</w:t>
      </w:r>
      <w:r>
        <w:rPr>
          <w:spacing w:val="-8"/>
          <w:sz w:val="20"/>
        </w:rPr>
        <w:t xml:space="preserve"> </w:t>
      </w:r>
      <w:r>
        <w:rPr>
          <w:sz w:val="20"/>
        </w:rPr>
        <w:t>IDH</w:t>
      </w:r>
      <w:r>
        <w:rPr>
          <w:spacing w:val="-9"/>
          <w:sz w:val="20"/>
        </w:rPr>
        <w:t xml:space="preserve"> </w:t>
      </w:r>
      <w:r>
        <w:rPr>
          <w:sz w:val="20"/>
        </w:rPr>
        <w:t>no</w:t>
      </w:r>
      <w:r>
        <w:rPr>
          <w:spacing w:val="-6"/>
          <w:sz w:val="20"/>
        </w:rPr>
        <w:t xml:space="preserve"> </w:t>
      </w:r>
      <w:r>
        <w:rPr>
          <w:sz w:val="20"/>
        </w:rPr>
        <w:t>abordó</w:t>
      </w:r>
      <w:r>
        <w:rPr>
          <w:spacing w:val="-7"/>
          <w:sz w:val="20"/>
        </w:rPr>
        <w:t xml:space="preserve"> </w:t>
      </w:r>
      <w:r>
        <w:rPr>
          <w:sz w:val="20"/>
        </w:rPr>
        <w:t>el</w:t>
      </w:r>
      <w:r>
        <w:rPr>
          <w:spacing w:val="-7"/>
          <w:sz w:val="20"/>
        </w:rPr>
        <w:t xml:space="preserve"> </w:t>
      </w:r>
      <w:r>
        <w:rPr>
          <w:sz w:val="20"/>
        </w:rPr>
        <w:t>art.</w:t>
      </w:r>
      <w:r>
        <w:rPr>
          <w:spacing w:val="-5"/>
          <w:sz w:val="20"/>
        </w:rPr>
        <w:t xml:space="preserve"> </w:t>
      </w:r>
      <w:r>
        <w:rPr>
          <w:sz w:val="20"/>
        </w:rPr>
        <w:t>24,</w:t>
      </w:r>
      <w:r>
        <w:rPr>
          <w:spacing w:val="-8"/>
          <w:sz w:val="20"/>
        </w:rPr>
        <w:t xml:space="preserve"> </w:t>
      </w:r>
      <w:r>
        <w:rPr>
          <w:sz w:val="20"/>
        </w:rPr>
        <w:t>hace</w:t>
      </w:r>
      <w:r>
        <w:rPr>
          <w:spacing w:val="-7"/>
          <w:sz w:val="20"/>
        </w:rPr>
        <w:t xml:space="preserve"> </w:t>
      </w:r>
      <w:r>
        <w:rPr>
          <w:sz w:val="20"/>
        </w:rPr>
        <w:t>un</w:t>
      </w:r>
      <w:r>
        <w:rPr>
          <w:spacing w:val="-6"/>
          <w:sz w:val="20"/>
        </w:rPr>
        <w:t xml:space="preserve"> </w:t>
      </w:r>
      <w:r>
        <w:rPr>
          <w:sz w:val="20"/>
        </w:rPr>
        <w:t>acercamiento</w:t>
      </w:r>
      <w:r>
        <w:rPr>
          <w:spacing w:val="-9"/>
          <w:sz w:val="20"/>
        </w:rPr>
        <w:t xml:space="preserve"> </w:t>
      </w:r>
      <w:r>
        <w:rPr>
          <w:sz w:val="20"/>
        </w:rPr>
        <w:t>desde la óptica de la no discriminación por categorías establecidas en el artículo 1.1 sobre las medidas especiales a favor de los pueblos indígenas. Se considera que, en la medida que no se</w:t>
      </w:r>
      <w:r>
        <w:rPr>
          <w:spacing w:val="-5"/>
          <w:sz w:val="20"/>
        </w:rPr>
        <w:t xml:space="preserve"> </w:t>
      </w:r>
      <w:r>
        <w:rPr>
          <w:sz w:val="20"/>
        </w:rPr>
        <w:t>adopten</w:t>
      </w:r>
      <w:r>
        <w:rPr>
          <w:spacing w:val="-4"/>
          <w:sz w:val="20"/>
        </w:rPr>
        <w:t xml:space="preserve"> </w:t>
      </w:r>
      <w:r>
        <w:rPr>
          <w:sz w:val="20"/>
        </w:rPr>
        <w:t>medidas</w:t>
      </w:r>
      <w:r>
        <w:rPr>
          <w:spacing w:val="-4"/>
          <w:sz w:val="20"/>
        </w:rPr>
        <w:t xml:space="preserve"> </w:t>
      </w:r>
      <w:r>
        <w:rPr>
          <w:sz w:val="20"/>
        </w:rPr>
        <w:t>legislativas</w:t>
      </w:r>
      <w:r>
        <w:rPr>
          <w:spacing w:val="-4"/>
          <w:sz w:val="20"/>
        </w:rPr>
        <w:t xml:space="preserve"> </w:t>
      </w:r>
      <w:r>
        <w:rPr>
          <w:sz w:val="20"/>
        </w:rPr>
        <w:t>o</w:t>
      </w:r>
      <w:r>
        <w:rPr>
          <w:spacing w:val="-3"/>
          <w:sz w:val="20"/>
        </w:rPr>
        <w:t xml:space="preserve"> </w:t>
      </w:r>
      <w:r>
        <w:rPr>
          <w:sz w:val="20"/>
        </w:rPr>
        <w:t>de</w:t>
      </w:r>
      <w:r>
        <w:rPr>
          <w:spacing w:val="-4"/>
          <w:sz w:val="20"/>
        </w:rPr>
        <w:t xml:space="preserve"> </w:t>
      </w:r>
      <w:r>
        <w:rPr>
          <w:sz w:val="20"/>
        </w:rPr>
        <w:t>otra</w:t>
      </w:r>
      <w:r>
        <w:rPr>
          <w:spacing w:val="-3"/>
          <w:sz w:val="20"/>
        </w:rPr>
        <w:t xml:space="preserve"> </w:t>
      </w:r>
      <w:r>
        <w:rPr>
          <w:sz w:val="20"/>
        </w:rPr>
        <w:t>índole</w:t>
      </w:r>
      <w:r>
        <w:rPr>
          <w:spacing w:val="-4"/>
          <w:sz w:val="20"/>
        </w:rPr>
        <w:t xml:space="preserve"> </w:t>
      </w:r>
      <w:r>
        <w:rPr>
          <w:sz w:val="20"/>
        </w:rPr>
        <w:t>que</w:t>
      </w:r>
      <w:r>
        <w:rPr>
          <w:spacing w:val="-4"/>
          <w:sz w:val="20"/>
        </w:rPr>
        <w:t xml:space="preserve"> </w:t>
      </w:r>
      <w:r>
        <w:rPr>
          <w:sz w:val="20"/>
        </w:rPr>
        <w:t>se</w:t>
      </w:r>
      <w:r>
        <w:rPr>
          <w:sz w:val="20"/>
        </w:rPr>
        <w:t>an</w:t>
      </w:r>
      <w:r>
        <w:rPr>
          <w:spacing w:val="-2"/>
          <w:sz w:val="20"/>
        </w:rPr>
        <w:t xml:space="preserve"> </w:t>
      </w:r>
      <w:r>
        <w:rPr>
          <w:sz w:val="20"/>
        </w:rPr>
        <w:t>necesarias</w:t>
      </w:r>
      <w:r>
        <w:rPr>
          <w:spacing w:val="-4"/>
          <w:sz w:val="20"/>
        </w:rPr>
        <w:t xml:space="preserve"> </w:t>
      </w:r>
      <w:r>
        <w:rPr>
          <w:sz w:val="20"/>
        </w:rPr>
        <w:t>para</w:t>
      </w:r>
      <w:r>
        <w:rPr>
          <w:spacing w:val="-5"/>
          <w:sz w:val="20"/>
        </w:rPr>
        <w:t xml:space="preserve"> </w:t>
      </w:r>
      <w:r>
        <w:rPr>
          <w:sz w:val="20"/>
        </w:rPr>
        <w:t>hacer</w:t>
      </w:r>
      <w:r>
        <w:rPr>
          <w:spacing w:val="-4"/>
          <w:sz w:val="20"/>
        </w:rPr>
        <w:t xml:space="preserve"> </w:t>
      </w:r>
      <w:r>
        <w:rPr>
          <w:sz w:val="20"/>
        </w:rPr>
        <w:t>efectivos</w:t>
      </w:r>
      <w:r>
        <w:rPr>
          <w:spacing w:val="-6"/>
          <w:sz w:val="20"/>
        </w:rPr>
        <w:t xml:space="preserve"> </w:t>
      </w:r>
      <w:r>
        <w:rPr>
          <w:sz w:val="20"/>
        </w:rPr>
        <w:t>los derechos de la Convención, éstos no se garantizarán y respetarán sin discriminación</w:t>
      </w:r>
      <w:hyperlink w:anchor="_bookmark834" w:history="1">
        <w:r>
          <w:rPr>
            <w:position w:val="7"/>
            <w:sz w:val="13"/>
          </w:rPr>
          <w:t>152</w:t>
        </w:r>
      </w:hyperlink>
      <w:r>
        <w:rPr>
          <w:sz w:val="20"/>
        </w:rPr>
        <w:t>. Así, este precedente reafirma lo indicado por la OC- No. 4 de</w:t>
      </w:r>
      <w:r>
        <w:rPr>
          <w:spacing w:val="-9"/>
          <w:sz w:val="20"/>
        </w:rPr>
        <w:t xml:space="preserve"> </w:t>
      </w:r>
      <w:r>
        <w:rPr>
          <w:sz w:val="20"/>
        </w:rPr>
        <w:t>1984.</w:t>
      </w:r>
    </w:p>
    <w:p w14:paraId="7F513FF1" w14:textId="77777777" w:rsidR="00467FCA" w:rsidRDefault="00467FCA">
      <w:pPr>
        <w:pStyle w:val="Textoindependiente"/>
        <w:spacing w:before="1"/>
      </w:pPr>
    </w:p>
    <w:p w14:paraId="6B0EF570" w14:textId="77777777" w:rsidR="00467FCA" w:rsidRDefault="001B68EB">
      <w:pPr>
        <w:pStyle w:val="Prrafodelista"/>
        <w:numPr>
          <w:ilvl w:val="0"/>
          <w:numId w:val="4"/>
        </w:numPr>
        <w:tabs>
          <w:tab w:val="left" w:pos="1167"/>
        </w:tabs>
        <w:ind w:right="275" w:firstLine="0"/>
        <w:jc w:val="both"/>
        <w:rPr>
          <w:sz w:val="20"/>
        </w:rPr>
      </w:pPr>
      <w:r>
        <w:rPr>
          <w:sz w:val="20"/>
        </w:rPr>
        <w:t>Como</w:t>
      </w:r>
      <w:r>
        <w:rPr>
          <w:spacing w:val="-12"/>
          <w:sz w:val="20"/>
        </w:rPr>
        <w:t xml:space="preserve"> </w:t>
      </w:r>
      <w:r>
        <w:rPr>
          <w:sz w:val="20"/>
        </w:rPr>
        <w:t>podemos</w:t>
      </w:r>
      <w:r>
        <w:rPr>
          <w:spacing w:val="-13"/>
          <w:sz w:val="20"/>
        </w:rPr>
        <w:t xml:space="preserve"> </w:t>
      </w:r>
      <w:r>
        <w:rPr>
          <w:sz w:val="20"/>
        </w:rPr>
        <w:t>apreciar,</w:t>
      </w:r>
      <w:r>
        <w:rPr>
          <w:spacing w:val="-13"/>
          <w:sz w:val="20"/>
        </w:rPr>
        <w:t xml:space="preserve"> </w:t>
      </w:r>
      <w:r>
        <w:rPr>
          <w:sz w:val="20"/>
        </w:rPr>
        <w:t>durante</w:t>
      </w:r>
      <w:r>
        <w:rPr>
          <w:spacing w:val="-11"/>
          <w:sz w:val="20"/>
        </w:rPr>
        <w:t xml:space="preserve"> </w:t>
      </w:r>
      <w:r>
        <w:rPr>
          <w:sz w:val="20"/>
        </w:rPr>
        <w:t>esta</w:t>
      </w:r>
      <w:r>
        <w:rPr>
          <w:spacing w:val="-12"/>
          <w:sz w:val="20"/>
        </w:rPr>
        <w:t xml:space="preserve"> </w:t>
      </w:r>
      <w:r>
        <w:rPr>
          <w:sz w:val="20"/>
        </w:rPr>
        <w:t>temporalidad,</w:t>
      </w:r>
      <w:r>
        <w:rPr>
          <w:spacing w:val="-14"/>
          <w:sz w:val="20"/>
        </w:rPr>
        <w:t xml:space="preserve"> </w:t>
      </w:r>
      <w:r>
        <w:rPr>
          <w:sz w:val="20"/>
        </w:rPr>
        <w:t>la</w:t>
      </w:r>
      <w:r>
        <w:rPr>
          <w:spacing w:val="-12"/>
          <w:sz w:val="20"/>
        </w:rPr>
        <w:t xml:space="preserve"> </w:t>
      </w:r>
      <w:r>
        <w:rPr>
          <w:sz w:val="20"/>
        </w:rPr>
        <w:t>Corte</w:t>
      </w:r>
      <w:r>
        <w:rPr>
          <w:spacing w:val="-14"/>
          <w:sz w:val="20"/>
        </w:rPr>
        <w:t xml:space="preserve"> </w:t>
      </w:r>
      <w:r>
        <w:rPr>
          <w:sz w:val="20"/>
        </w:rPr>
        <w:t>IDH</w:t>
      </w:r>
      <w:r>
        <w:rPr>
          <w:spacing w:val="-14"/>
          <w:sz w:val="20"/>
        </w:rPr>
        <w:t xml:space="preserve"> </w:t>
      </w:r>
      <w:r>
        <w:rPr>
          <w:sz w:val="20"/>
        </w:rPr>
        <w:t>no</w:t>
      </w:r>
      <w:r>
        <w:rPr>
          <w:spacing w:val="-14"/>
          <w:sz w:val="20"/>
        </w:rPr>
        <w:t xml:space="preserve"> </w:t>
      </w:r>
      <w:r>
        <w:rPr>
          <w:sz w:val="20"/>
        </w:rPr>
        <w:t>tenía</w:t>
      </w:r>
      <w:r>
        <w:rPr>
          <w:spacing w:val="-13"/>
          <w:sz w:val="20"/>
        </w:rPr>
        <w:t xml:space="preserve"> </w:t>
      </w:r>
      <w:r>
        <w:rPr>
          <w:sz w:val="20"/>
        </w:rPr>
        <w:t>uniformidad con</w:t>
      </w:r>
      <w:r>
        <w:rPr>
          <w:spacing w:val="-16"/>
          <w:sz w:val="20"/>
        </w:rPr>
        <w:t xml:space="preserve"> </w:t>
      </w:r>
      <w:r>
        <w:rPr>
          <w:sz w:val="20"/>
        </w:rPr>
        <w:t>respecto</w:t>
      </w:r>
      <w:r>
        <w:rPr>
          <w:spacing w:val="-19"/>
          <w:sz w:val="20"/>
        </w:rPr>
        <w:t xml:space="preserve"> </w:t>
      </w:r>
      <w:r>
        <w:rPr>
          <w:sz w:val="20"/>
        </w:rPr>
        <w:t>a</w:t>
      </w:r>
      <w:r>
        <w:rPr>
          <w:spacing w:val="-17"/>
          <w:sz w:val="20"/>
        </w:rPr>
        <w:t xml:space="preserve"> </w:t>
      </w:r>
      <w:r>
        <w:rPr>
          <w:sz w:val="20"/>
        </w:rPr>
        <w:t>cómo</w:t>
      </w:r>
      <w:r>
        <w:rPr>
          <w:spacing w:val="-16"/>
          <w:sz w:val="20"/>
        </w:rPr>
        <w:t xml:space="preserve"> </w:t>
      </w:r>
      <w:r>
        <w:rPr>
          <w:sz w:val="20"/>
        </w:rPr>
        <w:t>entender</w:t>
      </w:r>
      <w:r>
        <w:rPr>
          <w:spacing w:val="-18"/>
          <w:sz w:val="20"/>
        </w:rPr>
        <w:t xml:space="preserve"> </w:t>
      </w:r>
      <w:r>
        <w:rPr>
          <w:sz w:val="20"/>
        </w:rPr>
        <w:t>el</w:t>
      </w:r>
      <w:r>
        <w:rPr>
          <w:spacing w:val="-17"/>
          <w:sz w:val="20"/>
        </w:rPr>
        <w:t xml:space="preserve"> </w:t>
      </w:r>
      <w:r>
        <w:rPr>
          <w:sz w:val="20"/>
        </w:rPr>
        <w:t>contenido</w:t>
      </w:r>
      <w:r>
        <w:rPr>
          <w:spacing w:val="-19"/>
          <w:sz w:val="20"/>
        </w:rPr>
        <w:t xml:space="preserve"> </w:t>
      </w:r>
      <w:r>
        <w:rPr>
          <w:sz w:val="20"/>
        </w:rPr>
        <w:t>de</w:t>
      </w:r>
      <w:r>
        <w:rPr>
          <w:spacing w:val="-19"/>
          <w:sz w:val="20"/>
        </w:rPr>
        <w:t xml:space="preserve"> </w:t>
      </w:r>
      <w:r>
        <w:rPr>
          <w:sz w:val="20"/>
        </w:rPr>
        <w:t>lo</w:t>
      </w:r>
      <w:r>
        <w:rPr>
          <w:spacing w:val="-16"/>
          <w:sz w:val="20"/>
        </w:rPr>
        <w:t xml:space="preserve"> </w:t>
      </w:r>
      <w:r>
        <w:rPr>
          <w:sz w:val="20"/>
        </w:rPr>
        <w:t>que</w:t>
      </w:r>
      <w:r>
        <w:rPr>
          <w:spacing w:val="-19"/>
          <w:sz w:val="20"/>
        </w:rPr>
        <w:t xml:space="preserve"> </w:t>
      </w:r>
      <w:r>
        <w:rPr>
          <w:sz w:val="20"/>
        </w:rPr>
        <w:t>disponía</w:t>
      </w:r>
      <w:r>
        <w:rPr>
          <w:spacing w:val="-17"/>
          <w:sz w:val="20"/>
        </w:rPr>
        <w:t xml:space="preserve"> </w:t>
      </w:r>
      <w:r>
        <w:rPr>
          <w:sz w:val="20"/>
        </w:rPr>
        <w:t>el</w:t>
      </w:r>
      <w:r>
        <w:rPr>
          <w:spacing w:val="-16"/>
          <w:sz w:val="20"/>
        </w:rPr>
        <w:t xml:space="preserve"> </w:t>
      </w:r>
      <w:r>
        <w:rPr>
          <w:sz w:val="20"/>
        </w:rPr>
        <w:t>artículo</w:t>
      </w:r>
      <w:r>
        <w:rPr>
          <w:spacing w:val="-16"/>
          <w:sz w:val="20"/>
        </w:rPr>
        <w:t xml:space="preserve"> </w:t>
      </w:r>
      <w:r>
        <w:rPr>
          <w:sz w:val="20"/>
        </w:rPr>
        <w:t>24</w:t>
      </w:r>
      <w:r>
        <w:rPr>
          <w:spacing w:val="-17"/>
          <w:sz w:val="20"/>
        </w:rPr>
        <w:t xml:space="preserve"> </w:t>
      </w:r>
      <w:r>
        <w:rPr>
          <w:sz w:val="20"/>
        </w:rPr>
        <w:t>(y</w:t>
      </w:r>
      <w:r>
        <w:rPr>
          <w:spacing w:val="-18"/>
          <w:sz w:val="20"/>
        </w:rPr>
        <w:t xml:space="preserve"> </w:t>
      </w:r>
      <w:r>
        <w:rPr>
          <w:sz w:val="20"/>
        </w:rPr>
        <w:t>por</w:t>
      </w:r>
      <w:r>
        <w:rPr>
          <w:spacing w:val="-19"/>
          <w:sz w:val="20"/>
        </w:rPr>
        <w:t xml:space="preserve"> </w:t>
      </w:r>
      <w:r>
        <w:rPr>
          <w:sz w:val="20"/>
        </w:rPr>
        <w:t>ende</w:t>
      </w:r>
      <w:r>
        <w:rPr>
          <w:spacing w:val="-19"/>
          <w:sz w:val="20"/>
        </w:rPr>
        <w:t xml:space="preserve"> </w:t>
      </w:r>
      <w:r>
        <w:rPr>
          <w:sz w:val="20"/>
        </w:rPr>
        <w:t>cuando procedería analizar esta disposición), de lo que establecía el artículo 1.1, que estaría relacionado</w:t>
      </w:r>
      <w:r>
        <w:rPr>
          <w:spacing w:val="-15"/>
          <w:sz w:val="20"/>
        </w:rPr>
        <w:t xml:space="preserve"> </w:t>
      </w:r>
      <w:r>
        <w:rPr>
          <w:sz w:val="20"/>
        </w:rPr>
        <w:t>con</w:t>
      </w:r>
      <w:r>
        <w:rPr>
          <w:spacing w:val="-15"/>
          <w:sz w:val="20"/>
        </w:rPr>
        <w:t xml:space="preserve"> </w:t>
      </w:r>
      <w:r>
        <w:rPr>
          <w:sz w:val="20"/>
        </w:rPr>
        <w:t>la</w:t>
      </w:r>
      <w:r>
        <w:rPr>
          <w:spacing w:val="-16"/>
          <w:sz w:val="20"/>
        </w:rPr>
        <w:t xml:space="preserve"> </w:t>
      </w:r>
      <w:r>
        <w:rPr>
          <w:sz w:val="20"/>
        </w:rPr>
        <w:t>presencia</w:t>
      </w:r>
      <w:r>
        <w:rPr>
          <w:spacing w:val="-16"/>
          <w:sz w:val="20"/>
        </w:rPr>
        <w:t xml:space="preserve"> </w:t>
      </w:r>
      <w:r>
        <w:rPr>
          <w:sz w:val="20"/>
        </w:rPr>
        <w:t>de</w:t>
      </w:r>
      <w:r>
        <w:rPr>
          <w:spacing w:val="-15"/>
          <w:sz w:val="20"/>
        </w:rPr>
        <w:t xml:space="preserve"> </w:t>
      </w:r>
      <w:r>
        <w:rPr>
          <w:sz w:val="20"/>
        </w:rPr>
        <w:t>categorías</w:t>
      </w:r>
      <w:r>
        <w:rPr>
          <w:spacing w:val="-14"/>
          <w:sz w:val="20"/>
        </w:rPr>
        <w:t xml:space="preserve"> </w:t>
      </w:r>
      <w:r>
        <w:rPr>
          <w:sz w:val="20"/>
        </w:rPr>
        <w:t>sospechosas</w:t>
      </w:r>
      <w:r>
        <w:rPr>
          <w:spacing w:val="-17"/>
          <w:sz w:val="20"/>
        </w:rPr>
        <w:t xml:space="preserve"> </w:t>
      </w:r>
      <w:r>
        <w:rPr>
          <w:sz w:val="20"/>
        </w:rPr>
        <w:t>o</w:t>
      </w:r>
      <w:r>
        <w:rPr>
          <w:spacing w:val="-15"/>
          <w:sz w:val="20"/>
        </w:rPr>
        <w:t xml:space="preserve"> </w:t>
      </w:r>
      <w:r>
        <w:rPr>
          <w:sz w:val="20"/>
        </w:rPr>
        <w:t>criterios</w:t>
      </w:r>
      <w:r>
        <w:rPr>
          <w:spacing w:val="-14"/>
          <w:sz w:val="20"/>
        </w:rPr>
        <w:t xml:space="preserve"> </w:t>
      </w:r>
      <w:r>
        <w:rPr>
          <w:sz w:val="20"/>
        </w:rPr>
        <w:t>que,</w:t>
      </w:r>
      <w:r>
        <w:rPr>
          <w:spacing w:val="-17"/>
          <w:sz w:val="20"/>
        </w:rPr>
        <w:t xml:space="preserve"> </w:t>
      </w:r>
      <w:r>
        <w:rPr>
          <w:i/>
          <w:sz w:val="20"/>
        </w:rPr>
        <w:t>prima</w:t>
      </w:r>
      <w:r>
        <w:rPr>
          <w:i/>
          <w:spacing w:val="-16"/>
          <w:sz w:val="20"/>
        </w:rPr>
        <w:t xml:space="preserve"> </w:t>
      </w:r>
      <w:r>
        <w:rPr>
          <w:i/>
          <w:sz w:val="20"/>
        </w:rPr>
        <w:t>facie,</w:t>
      </w:r>
      <w:r>
        <w:rPr>
          <w:i/>
          <w:spacing w:val="-14"/>
          <w:sz w:val="20"/>
        </w:rPr>
        <w:t xml:space="preserve"> </w:t>
      </w:r>
      <w:r>
        <w:rPr>
          <w:sz w:val="20"/>
        </w:rPr>
        <w:t>permitirán arribar a una presunción de trato</w:t>
      </w:r>
      <w:r>
        <w:rPr>
          <w:spacing w:val="-9"/>
          <w:sz w:val="20"/>
        </w:rPr>
        <w:t xml:space="preserve"> </w:t>
      </w:r>
      <w:r>
        <w:rPr>
          <w:sz w:val="20"/>
        </w:rPr>
        <w:t>discriminatorio.</w:t>
      </w:r>
    </w:p>
    <w:p w14:paraId="37EAB150" w14:textId="77777777" w:rsidR="00467FCA" w:rsidRDefault="00467FCA">
      <w:pPr>
        <w:pStyle w:val="Textoindependiente"/>
        <w:spacing w:before="2"/>
        <w:rPr>
          <w:sz w:val="33"/>
        </w:rPr>
      </w:pPr>
    </w:p>
    <w:p w14:paraId="41A12BFE" w14:textId="77777777" w:rsidR="00467FCA" w:rsidRDefault="001B68EB">
      <w:pPr>
        <w:pStyle w:val="Prrafodelista"/>
        <w:numPr>
          <w:ilvl w:val="2"/>
          <w:numId w:val="5"/>
        </w:numPr>
        <w:tabs>
          <w:tab w:val="left" w:pos="1918"/>
        </w:tabs>
        <w:ind w:left="1917" w:hanging="752"/>
        <w:rPr>
          <w:b/>
          <w:i/>
          <w:sz w:val="20"/>
        </w:rPr>
      </w:pPr>
      <w:r>
        <w:rPr>
          <w:b/>
          <w:sz w:val="20"/>
        </w:rPr>
        <w:t xml:space="preserve">a partir del año 2008 con el caso </w:t>
      </w:r>
      <w:r>
        <w:rPr>
          <w:b/>
          <w:i/>
          <w:sz w:val="20"/>
        </w:rPr>
        <w:t>Apitz</w:t>
      </w:r>
      <w:r>
        <w:rPr>
          <w:b/>
          <w:i/>
          <w:spacing w:val="-6"/>
          <w:sz w:val="20"/>
        </w:rPr>
        <w:t xml:space="preserve"> </w:t>
      </w:r>
      <w:r>
        <w:rPr>
          <w:b/>
          <w:i/>
          <w:sz w:val="20"/>
        </w:rPr>
        <w:t>Barbera</w:t>
      </w:r>
    </w:p>
    <w:p w14:paraId="5F21989F" w14:textId="77777777" w:rsidR="00467FCA" w:rsidRDefault="00467FCA">
      <w:pPr>
        <w:pStyle w:val="Textoindependiente"/>
        <w:spacing w:before="10"/>
        <w:rPr>
          <w:b/>
          <w:i/>
          <w:sz w:val="19"/>
        </w:rPr>
      </w:pPr>
    </w:p>
    <w:p w14:paraId="26E8F470" w14:textId="77777777" w:rsidR="00467FCA" w:rsidRDefault="001B68EB">
      <w:pPr>
        <w:pStyle w:val="Prrafodelista"/>
        <w:numPr>
          <w:ilvl w:val="0"/>
          <w:numId w:val="4"/>
        </w:numPr>
        <w:tabs>
          <w:tab w:val="left" w:pos="1167"/>
        </w:tabs>
        <w:spacing w:before="1"/>
        <w:ind w:right="276" w:firstLine="0"/>
        <w:jc w:val="both"/>
        <w:rPr>
          <w:sz w:val="20"/>
        </w:rPr>
      </w:pPr>
      <w:r>
        <w:rPr>
          <w:sz w:val="20"/>
        </w:rPr>
        <w:t xml:space="preserve">La situación antes descrita cambió sustancialmente a partir del año 2008. A partir del caso </w:t>
      </w:r>
      <w:r>
        <w:rPr>
          <w:i/>
          <w:sz w:val="20"/>
        </w:rPr>
        <w:t>Apitz Barbera y otros (“Corte Primera de la Contencioso Administrativo”) Vs.</w:t>
      </w:r>
      <w:r>
        <w:rPr>
          <w:i/>
          <w:spacing w:val="-43"/>
          <w:sz w:val="20"/>
        </w:rPr>
        <w:t xml:space="preserve"> </w:t>
      </w:r>
      <w:r>
        <w:rPr>
          <w:i/>
          <w:sz w:val="20"/>
        </w:rPr>
        <w:t>Venezuela</w:t>
      </w:r>
      <w:r>
        <w:rPr>
          <w:sz w:val="20"/>
        </w:rPr>
        <w:t>, la Corte IDH consideró de manera clara y contundente que la diferencia entre</w:t>
      </w:r>
      <w:r>
        <w:rPr>
          <w:sz w:val="20"/>
        </w:rPr>
        <w:t xml:space="preserve"> el artículo 1.1 y el artículo 24 del Pacto de San José estriba en</w:t>
      </w:r>
      <w:r>
        <w:rPr>
          <w:spacing w:val="-7"/>
          <w:sz w:val="20"/>
        </w:rPr>
        <w:t xml:space="preserve"> </w:t>
      </w:r>
      <w:r>
        <w:rPr>
          <w:sz w:val="20"/>
        </w:rPr>
        <w:t>que:</w:t>
      </w:r>
    </w:p>
    <w:p w14:paraId="51F63D03" w14:textId="77777777" w:rsidR="00467FCA" w:rsidRDefault="00467FCA">
      <w:pPr>
        <w:pStyle w:val="Textoindependiente"/>
        <w:rPr>
          <w:sz w:val="23"/>
        </w:rPr>
      </w:pPr>
    </w:p>
    <w:p w14:paraId="6E8F6B23" w14:textId="77777777" w:rsidR="00467FCA" w:rsidRDefault="001B68EB">
      <w:pPr>
        <w:ind w:left="1166" w:right="1028" w:hanging="1"/>
        <w:jc w:val="both"/>
        <w:rPr>
          <w:sz w:val="16"/>
        </w:rPr>
      </w:pPr>
      <w:r>
        <w:rPr>
          <w:i/>
          <w:sz w:val="16"/>
        </w:rPr>
        <w:t>209.</w:t>
      </w:r>
      <w:r>
        <w:rPr>
          <w:i/>
          <w:spacing w:val="-4"/>
          <w:sz w:val="16"/>
        </w:rPr>
        <w:t xml:space="preserve"> </w:t>
      </w:r>
      <w:r>
        <w:rPr>
          <w:i/>
          <w:sz w:val="16"/>
        </w:rPr>
        <w:t>[…]</w:t>
      </w:r>
      <w:r>
        <w:rPr>
          <w:i/>
          <w:spacing w:val="-4"/>
          <w:sz w:val="16"/>
        </w:rPr>
        <w:t xml:space="preserve"> </w:t>
      </w:r>
      <w:r>
        <w:rPr>
          <w:sz w:val="16"/>
        </w:rPr>
        <w:t>La</w:t>
      </w:r>
      <w:r>
        <w:rPr>
          <w:spacing w:val="-6"/>
          <w:sz w:val="16"/>
        </w:rPr>
        <w:t xml:space="preserve"> </w:t>
      </w:r>
      <w:r>
        <w:rPr>
          <w:sz w:val="16"/>
        </w:rPr>
        <w:t>diferencia</w:t>
      </w:r>
      <w:r>
        <w:rPr>
          <w:spacing w:val="-4"/>
          <w:sz w:val="16"/>
        </w:rPr>
        <w:t xml:space="preserve"> </w:t>
      </w:r>
      <w:r>
        <w:rPr>
          <w:sz w:val="16"/>
        </w:rPr>
        <w:t>entre</w:t>
      </w:r>
      <w:r>
        <w:rPr>
          <w:spacing w:val="-5"/>
          <w:sz w:val="16"/>
        </w:rPr>
        <w:t xml:space="preserve"> </w:t>
      </w:r>
      <w:r>
        <w:rPr>
          <w:sz w:val="16"/>
        </w:rPr>
        <w:t>los</w:t>
      </w:r>
      <w:r>
        <w:rPr>
          <w:spacing w:val="-3"/>
          <w:sz w:val="16"/>
        </w:rPr>
        <w:t xml:space="preserve"> </w:t>
      </w:r>
      <w:r>
        <w:rPr>
          <w:sz w:val="16"/>
        </w:rPr>
        <w:t>dos</w:t>
      </w:r>
      <w:r>
        <w:rPr>
          <w:spacing w:val="-2"/>
          <w:sz w:val="16"/>
        </w:rPr>
        <w:t xml:space="preserve"> </w:t>
      </w:r>
      <w:r>
        <w:rPr>
          <w:sz w:val="16"/>
        </w:rPr>
        <w:t>artículos</w:t>
      </w:r>
      <w:r>
        <w:rPr>
          <w:spacing w:val="-5"/>
          <w:sz w:val="16"/>
        </w:rPr>
        <w:t xml:space="preserve"> </w:t>
      </w:r>
      <w:r>
        <w:rPr>
          <w:sz w:val="16"/>
        </w:rPr>
        <w:t>radica</w:t>
      </w:r>
      <w:r>
        <w:rPr>
          <w:spacing w:val="-7"/>
          <w:sz w:val="16"/>
        </w:rPr>
        <w:t xml:space="preserve"> </w:t>
      </w:r>
      <w:r>
        <w:rPr>
          <w:sz w:val="16"/>
        </w:rPr>
        <w:t>en</w:t>
      </w:r>
      <w:r>
        <w:rPr>
          <w:spacing w:val="-6"/>
          <w:sz w:val="16"/>
        </w:rPr>
        <w:t xml:space="preserve"> </w:t>
      </w:r>
      <w:r>
        <w:rPr>
          <w:sz w:val="16"/>
        </w:rPr>
        <w:t>que</w:t>
      </w:r>
      <w:r>
        <w:rPr>
          <w:spacing w:val="-2"/>
          <w:sz w:val="16"/>
        </w:rPr>
        <w:t xml:space="preserve"> </w:t>
      </w:r>
      <w:r>
        <w:rPr>
          <w:sz w:val="16"/>
        </w:rPr>
        <w:t>la</w:t>
      </w:r>
      <w:r>
        <w:rPr>
          <w:spacing w:val="-4"/>
          <w:sz w:val="16"/>
        </w:rPr>
        <w:t xml:space="preserve"> </w:t>
      </w:r>
      <w:r>
        <w:rPr>
          <w:sz w:val="16"/>
        </w:rPr>
        <w:t>obligación</w:t>
      </w:r>
      <w:r>
        <w:rPr>
          <w:spacing w:val="-3"/>
          <w:sz w:val="16"/>
        </w:rPr>
        <w:t xml:space="preserve"> </w:t>
      </w:r>
      <w:r>
        <w:rPr>
          <w:sz w:val="16"/>
        </w:rPr>
        <w:t>general</w:t>
      </w:r>
      <w:r>
        <w:rPr>
          <w:spacing w:val="-6"/>
          <w:sz w:val="16"/>
        </w:rPr>
        <w:t xml:space="preserve"> </w:t>
      </w:r>
      <w:r>
        <w:rPr>
          <w:sz w:val="16"/>
        </w:rPr>
        <w:t>del</w:t>
      </w:r>
      <w:r>
        <w:rPr>
          <w:spacing w:val="-4"/>
          <w:sz w:val="16"/>
        </w:rPr>
        <w:t xml:space="preserve"> </w:t>
      </w:r>
      <w:r>
        <w:rPr>
          <w:sz w:val="16"/>
        </w:rPr>
        <w:t>artículo</w:t>
      </w:r>
      <w:r>
        <w:rPr>
          <w:spacing w:val="-2"/>
          <w:sz w:val="16"/>
        </w:rPr>
        <w:t xml:space="preserve"> </w:t>
      </w:r>
      <w:r>
        <w:rPr>
          <w:sz w:val="16"/>
        </w:rPr>
        <w:t>1.1</w:t>
      </w:r>
      <w:r>
        <w:rPr>
          <w:spacing w:val="-2"/>
          <w:sz w:val="16"/>
        </w:rPr>
        <w:t xml:space="preserve"> </w:t>
      </w:r>
      <w:r>
        <w:rPr>
          <w:sz w:val="16"/>
        </w:rPr>
        <w:t>se refiere</w:t>
      </w:r>
      <w:r>
        <w:rPr>
          <w:spacing w:val="-6"/>
          <w:sz w:val="16"/>
        </w:rPr>
        <w:t xml:space="preserve"> </w:t>
      </w:r>
      <w:r>
        <w:rPr>
          <w:sz w:val="16"/>
        </w:rPr>
        <w:t>al</w:t>
      </w:r>
      <w:r>
        <w:rPr>
          <w:spacing w:val="-8"/>
          <w:sz w:val="16"/>
        </w:rPr>
        <w:t xml:space="preserve"> </w:t>
      </w:r>
      <w:r>
        <w:rPr>
          <w:sz w:val="16"/>
        </w:rPr>
        <w:t>deber</w:t>
      </w:r>
      <w:r>
        <w:rPr>
          <w:spacing w:val="-7"/>
          <w:sz w:val="16"/>
        </w:rPr>
        <w:t xml:space="preserve"> </w:t>
      </w:r>
      <w:r>
        <w:rPr>
          <w:sz w:val="16"/>
        </w:rPr>
        <w:t>del</w:t>
      </w:r>
      <w:r>
        <w:rPr>
          <w:spacing w:val="-6"/>
          <w:sz w:val="16"/>
        </w:rPr>
        <w:t xml:space="preserve"> </w:t>
      </w:r>
      <w:r>
        <w:rPr>
          <w:sz w:val="16"/>
        </w:rPr>
        <w:t>Estado</w:t>
      </w:r>
      <w:r>
        <w:rPr>
          <w:spacing w:val="-8"/>
          <w:sz w:val="16"/>
        </w:rPr>
        <w:t xml:space="preserve"> </w:t>
      </w:r>
      <w:r>
        <w:rPr>
          <w:sz w:val="16"/>
        </w:rPr>
        <w:t>de</w:t>
      </w:r>
      <w:r>
        <w:rPr>
          <w:spacing w:val="-7"/>
          <w:sz w:val="16"/>
        </w:rPr>
        <w:t xml:space="preserve"> </w:t>
      </w:r>
      <w:r>
        <w:rPr>
          <w:sz w:val="16"/>
        </w:rPr>
        <w:t>respetar</w:t>
      </w:r>
      <w:r>
        <w:rPr>
          <w:spacing w:val="-6"/>
          <w:sz w:val="16"/>
        </w:rPr>
        <w:t xml:space="preserve"> </w:t>
      </w:r>
      <w:r>
        <w:rPr>
          <w:sz w:val="16"/>
        </w:rPr>
        <w:t>y</w:t>
      </w:r>
      <w:r>
        <w:rPr>
          <w:spacing w:val="-5"/>
          <w:sz w:val="16"/>
        </w:rPr>
        <w:t xml:space="preserve"> </w:t>
      </w:r>
      <w:r>
        <w:rPr>
          <w:sz w:val="16"/>
        </w:rPr>
        <w:t>garantizar</w:t>
      </w:r>
      <w:r>
        <w:rPr>
          <w:spacing w:val="-4"/>
          <w:sz w:val="16"/>
        </w:rPr>
        <w:t xml:space="preserve"> </w:t>
      </w:r>
      <w:r>
        <w:rPr>
          <w:sz w:val="16"/>
        </w:rPr>
        <w:t>“sin</w:t>
      </w:r>
      <w:r>
        <w:rPr>
          <w:spacing w:val="-7"/>
          <w:sz w:val="16"/>
        </w:rPr>
        <w:t xml:space="preserve"> </w:t>
      </w:r>
      <w:r>
        <w:rPr>
          <w:sz w:val="16"/>
        </w:rPr>
        <w:t>discriminación”</w:t>
      </w:r>
      <w:r>
        <w:rPr>
          <w:spacing w:val="-4"/>
          <w:sz w:val="16"/>
        </w:rPr>
        <w:t xml:space="preserve"> </w:t>
      </w:r>
      <w:r>
        <w:rPr>
          <w:sz w:val="16"/>
        </w:rPr>
        <w:t>los</w:t>
      </w:r>
      <w:r>
        <w:rPr>
          <w:spacing w:val="-8"/>
          <w:sz w:val="16"/>
        </w:rPr>
        <w:t xml:space="preserve"> </w:t>
      </w:r>
      <w:r>
        <w:rPr>
          <w:sz w:val="16"/>
        </w:rPr>
        <w:t>derechos</w:t>
      </w:r>
      <w:r>
        <w:rPr>
          <w:spacing w:val="-5"/>
          <w:sz w:val="16"/>
        </w:rPr>
        <w:t xml:space="preserve"> </w:t>
      </w:r>
      <w:r>
        <w:rPr>
          <w:sz w:val="16"/>
        </w:rPr>
        <w:t>contenidos</w:t>
      </w:r>
      <w:r>
        <w:rPr>
          <w:spacing w:val="-5"/>
          <w:sz w:val="16"/>
        </w:rPr>
        <w:t xml:space="preserve"> </w:t>
      </w:r>
      <w:r>
        <w:rPr>
          <w:sz w:val="16"/>
        </w:rPr>
        <w:t>en la Convención Americana, mientras que el artículo 24 protege el derecho a “igual protección de la ley”.</w:t>
      </w:r>
      <w:r>
        <w:rPr>
          <w:spacing w:val="-13"/>
          <w:sz w:val="16"/>
        </w:rPr>
        <w:t xml:space="preserve"> </w:t>
      </w:r>
      <w:r>
        <w:rPr>
          <w:sz w:val="16"/>
        </w:rPr>
        <w:t>En</w:t>
      </w:r>
      <w:r>
        <w:rPr>
          <w:spacing w:val="-18"/>
          <w:sz w:val="16"/>
        </w:rPr>
        <w:t xml:space="preserve"> </w:t>
      </w:r>
      <w:r>
        <w:rPr>
          <w:sz w:val="16"/>
        </w:rPr>
        <w:t>otras</w:t>
      </w:r>
      <w:r>
        <w:rPr>
          <w:spacing w:val="-14"/>
          <w:sz w:val="16"/>
        </w:rPr>
        <w:t xml:space="preserve"> </w:t>
      </w:r>
      <w:r>
        <w:rPr>
          <w:sz w:val="16"/>
        </w:rPr>
        <w:t>palabras,</w:t>
      </w:r>
      <w:r>
        <w:rPr>
          <w:spacing w:val="-14"/>
          <w:sz w:val="16"/>
        </w:rPr>
        <w:t xml:space="preserve"> </w:t>
      </w:r>
      <w:r>
        <w:rPr>
          <w:sz w:val="16"/>
        </w:rPr>
        <w:t>si</w:t>
      </w:r>
      <w:r>
        <w:rPr>
          <w:spacing w:val="-13"/>
          <w:sz w:val="16"/>
        </w:rPr>
        <w:t xml:space="preserve"> </w:t>
      </w:r>
      <w:r>
        <w:rPr>
          <w:sz w:val="16"/>
        </w:rPr>
        <w:t>un</w:t>
      </w:r>
      <w:r>
        <w:rPr>
          <w:spacing w:val="-15"/>
          <w:sz w:val="16"/>
        </w:rPr>
        <w:t xml:space="preserve"> </w:t>
      </w:r>
      <w:r>
        <w:rPr>
          <w:sz w:val="16"/>
        </w:rPr>
        <w:t>Estado</w:t>
      </w:r>
      <w:r>
        <w:rPr>
          <w:spacing w:val="-13"/>
          <w:sz w:val="16"/>
        </w:rPr>
        <w:t xml:space="preserve"> </w:t>
      </w:r>
      <w:r>
        <w:rPr>
          <w:sz w:val="16"/>
        </w:rPr>
        <w:t>discrimina</w:t>
      </w:r>
      <w:r>
        <w:rPr>
          <w:spacing w:val="-13"/>
          <w:sz w:val="16"/>
        </w:rPr>
        <w:t xml:space="preserve"> </w:t>
      </w:r>
      <w:r>
        <w:rPr>
          <w:sz w:val="16"/>
        </w:rPr>
        <w:t>en</w:t>
      </w:r>
      <w:r>
        <w:rPr>
          <w:spacing w:val="-15"/>
          <w:sz w:val="16"/>
        </w:rPr>
        <w:t xml:space="preserve"> </w:t>
      </w:r>
      <w:r>
        <w:rPr>
          <w:sz w:val="16"/>
        </w:rPr>
        <w:t>el</w:t>
      </w:r>
      <w:r>
        <w:rPr>
          <w:spacing w:val="-15"/>
          <w:sz w:val="16"/>
        </w:rPr>
        <w:t xml:space="preserve"> </w:t>
      </w:r>
      <w:r>
        <w:rPr>
          <w:sz w:val="16"/>
        </w:rPr>
        <w:t>respeto</w:t>
      </w:r>
      <w:r>
        <w:rPr>
          <w:spacing w:val="-15"/>
          <w:sz w:val="16"/>
        </w:rPr>
        <w:t xml:space="preserve"> </w:t>
      </w:r>
      <w:r>
        <w:rPr>
          <w:sz w:val="16"/>
        </w:rPr>
        <w:t>o</w:t>
      </w:r>
      <w:r>
        <w:rPr>
          <w:spacing w:val="-14"/>
          <w:sz w:val="16"/>
        </w:rPr>
        <w:t xml:space="preserve"> </w:t>
      </w:r>
      <w:r>
        <w:rPr>
          <w:sz w:val="16"/>
        </w:rPr>
        <w:t>garantía</w:t>
      </w:r>
      <w:r>
        <w:rPr>
          <w:spacing w:val="-15"/>
          <w:sz w:val="16"/>
        </w:rPr>
        <w:t xml:space="preserve"> </w:t>
      </w:r>
      <w:r>
        <w:rPr>
          <w:sz w:val="16"/>
        </w:rPr>
        <w:t>de</w:t>
      </w:r>
      <w:r>
        <w:rPr>
          <w:spacing w:val="-13"/>
          <w:sz w:val="16"/>
        </w:rPr>
        <w:t xml:space="preserve"> </w:t>
      </w:r>
      <w:r>
        <w:rPr>
          <w:sz w:val="16"/>
        </w:rPr>
        <w:t>un</w:t>
      </w:r>
      <w:r>
        <w:rPr>
          <w:spacing w:val="-15"/>
          <w:sz w:val="16"/>
        </w:rPr>
        <w:t xml:space="preserve"> </w:t>
      </w:r>
      <w:r>
        <w:rPr>
          <w:sz w:val="16"/>
        </w:rPr>
        <w:t>derecho</w:t>
      </w:r>
      <w:r>
        <w:rPr>
          <w:spacing w:val="-16"/>
          <w:sz w:val="16"/>
        </w:rPr>
        <w:t xml:space="preserve"> </w:t>
      </w:r>
      <w:r>
        <w:rPr>
          <w:sz w:val="16"/>
        </w:rPr>
        <w:t>convencional,</w:t>
      </w:r>
    </w:p>
    <w:p w14:paraId="0F0E0FC2" w14:textId="77777777" w:rsidR="00467FCA" w:rsidRDefault="00467FCA">
      <w:pPr>
        <w:pStyle w:val="Textoindependiente"/>
      </w:pPr>
    </w:p>
    <w:p w14:paraId="297F4AA3" w14:textId="77777777" w:rsidR="00467FCA" w:rsidRDefault="00467FCA">
      <w:pPr>
        <w:pStyle w:val="Textoindependiente"/>
      </w:pPr>
    </w:p>
    <w:p w14:paraId="135F1BCB" w14:textId="77777777" w:rsidR="00467FCA" w:rsidRDefault="001B68EB">
      <w:pPr>
        <w:pStyle w:val="Textoindependiente"/>
        <w:spacing w:before="1"/>
        <w:rPr>
          <w:sz w:val="21"/>
        </w:rPr>
      </w:pPr>
      <w:r>
        <w:pict w14:anchorId="619DB340">
          <v:shape id="_x0000_s1041" style="position:absolute;margin-left:70.9pt;margin-top:15.1pt;width:2in;height:.1pt;z-index:-251500544;mso-wrap-distance-left:0;mso-wrap-distance-right:0;mso-position-horizontal-relative:page" coordorigin="1418,302" coordsize="2880,0" path="m1418,302r2880,e" filled="f" strokeweight=".6pt">
            <v:path arrowok="t"/>
            <w10:wrap type="topAndBottom" anchorx="page"/>
          </v:shape>
        </w:pict>
      </w:r>
    </w:p>
    <w:p w14:paraId="42BA06A6" w14:textId="77777777" w:rsidR="00467FCA" w:rsidRDefault="001B68EB">
      <w:pPr>
        <w:tabs>
          <w:tab w:val="left" w:pos="1166"/>
        </w:tabs>
        <w:spacing w:before="74"/>
        <w:ind w:left="458" w:right="393"/>
        <w:rPr>
          <w:sz w:val="16"/>
        </w:rPr>
      </w:pPr>
      <w:bookmarkStart w:id="913" w:name="_bookmark832"/>
      <w:bookmarkEnd w:id="913"/>
      <w:r>
        <w:rPr>
          <w:position w:val="6"/>
          <w:sz w:val="10"/>
        </w:rPr>
        <w:t>150</w:t>
      </w:r>
      <w:r>
        <w:rPr>
          <w:position w:val="6"/>
          <w:sz w:val="10"/>
        </w:rPr>
        <w:tab/>
      </w:r>
      <w:r>
        <w:rPr>
          <w:i/>
          <w:sz w:val="16"/>
        </w:rPr>
        <w:t>Cfr. Caso López Álvarez Vs. Honduras. Fondo, Reparaciones y Costas</w:t>
      </w:r>
      <w:r>
        <w:rPr>
          <w:sz w:val="16"/>
        </w:rPr>
        <w:t>. Sentencia de 1 de febrero de 2006. Serie C No. 141, párr.</w:t>
      </w:r>
      <w:r>
        <w:rPr>
          <w:spacing w:val="-7"/>
          <w:sz w:val="16"/>
        </w:rPr>
        <w:t xml:space="preserve"> </w:t>
      </w:r>
      <w:r>
        <w:rPr>
          <w:sz w:val="16"/>
        </w:rPr>
        <w:t>174.</w:t>
      </w:r>
    </w:p>
    <w:p w14:paraId="759DE837" w14:textId="77777777" w:rsidR="00467FCA" w:rsidRDefault="001B68EB">
      <w:pPr>
        <w:tabs>
          <w:tab w:val="left" w:pos="1166"/>
        </w:tabs>
        <w:ind w:left="458" w:right="409"/>
        <w:rPr>
          <w:sz w:val="16"/>
        </w:rPr>
      </w:pPr>
      <w:bookmarkStart w:id="914" w:name="_bookmark833"/>
      <w:bookmarkEnd w:id="914"/>
      <w:r>
        <w:rPr>
          <w:position w:val="6"/>
          <w:sz w:val="10"/>
        </w:rPr>
        <w:t>151</w:t>
      </w:r>
      <w:r>
        <w:rPr>
          <w:position w:val="6"/>
          <w:sz w:val="10"/>
        </w:rPr>
        <w:tab/>
      </w:r>
      <w:r>
        <w:rPr>
          <w:i/>
          <w:sz w:val="16"/>
        </w:rPr>
        <w:t>Cfr. Caso del Penal Miguel Castro Castro Vs. Perú. Fondo, Reparaciones y Costas</w:t>
      </w:r>
      <w:r>
        <w:rPr>
          <w:sz w:val="16"/>
        </w:rPr>
        <w:t>. Sentencia de 25 de noviembre de 2006. Se</w:t>
      </w:r>
      <w:r>
        <w:rPr>
          <w:sz w:val="16"/>
        </w:rPr>
        <w:t>rie C No. 160, párrs. 303, 308 y</w:t>
      </w:r>
      <w:r>
        <w:rPr>
          <w:spacing w:val="-12"/>
          <w:sz w:val="16"/>
        </w:rPr>
        <w:t xml:space="preserve"> </w:t>
      </w:r>
      <w:r>
        <w:rPr>
          <w:sz w:val="16"/>
        </w:rPr>
        <w:t>312.</w:t>
      </w:r>
    </w:p>
    <w:p w14:paraId="45E284FC" w14:textId="77777777" w:rsidR="00467FCA" w:rsidRDefault="001B68EB">
      <w:pPr>
        <w:tabs>
          <w:tab w:val="left" w:pos="1166"/>
        </w:tabs>
        <w:ind w:left="458"/>
        <w:rPr>
          <w:i/>
          <w:sz w:val="16"/>
        </w:rPr>
      </w:pPr>
      <w:bookmarkStart w:id="915" w:name="_bookmark834"/>
      <w:bookmarkEnd w:id="915"/>
      <w:r>
        <w:rPr>
          <w:position w:val="6"/>
          <w:sz w:val="10"/>
        </w:rPr>
        <w:t>152</w:t>
      </w:r>
      <w:r>
        <w:rPr>
          <w:position w:val="6"/>
          <w:sz w:val="10"/>
        </w:rPr>
        <w:tab/>
      </w:r>
      <w:r>
        <w:rPr>
          <w:i/>
          <w:sz w:val="16"/>
        </w:rPr>
        <w:t>Cfr.</w:t>
      </w:r>
      <w:r>
        <w:rPr>
          <w:i/>
          <w:spacing w:val="35"/>
          <w:sz w:val="16"/>
        </w:rPr>
        <w:t xml:space="preserve"> </w:t>
      </w:r>
      <w:r>
        <w:rPr>
          <w:i/>
          <w:sz w:val="16"/>
        </w:rPr>
        <w:t>Caso</w:t>
      </w:r>
      <w:r>
        <w:rPr>
          <w:i/>
          <w:spacing w:val="34"/>
          <w:sz w:val="16"/>
        </w:rPr>
        <w:t xml:space="preserve"> </w:t>
      </w:r>
      <w:r>
        <w:rPr>
          <w:i/>
          <w:sz w:val="16"/>
        </w:rPr>
        <w:t>del</w:t>
      </w:r>
      <w:r>
        <w:rPr>
          <w:i/>
          <w:spacing w:val="35"/>
          <w:sz w:val="16"/>
        </w:rPr>
        <w:t xml:space="preserve"> </w:t>
      </w:r>
      <w:r>
        <w:rPr>
          <w:i/>
          <w:sz w:val="16"/>
        </w:rPr>
        <w:t>Pueblo</w:t>
      </w:r>
      <w:r>
        <w:rPr>
          <w:i/>
          <w:spacing w:val="34"/>
          <w:sz w:val="16"/>
        </w:rPr>
        <w:t xml:space="preserve"> </w:t>
      </w:r>
      <w:r>
        <w:rPr>
          <w:i/>
          <w:sz w:val="16"/>
        </w:rPr>
        <w:t>Saramaka</w:t>
      </w:r>
      <w:r>
        <w:rPr>
          <w:i/>
          <w:spacing w:val="35"/>
          <w:sz w:val="16"/>
        </w:rPr>
        <w:t xml:space="preserve"> </w:t>
      </w:r>
      <w:r>
        <w:rPr>
          <w:i/>
          <w:sz w:val="16"/>
        </w:rPr>
        <w:t>Vs.</w:t>
      </w:r>
      <w:r>
        <w:rPr>
          <w:i/>
          <w:spacing w:val="32"/>
          <w:sz w:val="16"/>
        </w:rPr>
        <w:t xml:space="preserve"> </w:t>
      </w:r>
      <w:r>
        <w:rPr>
          <w:i/>
          <w:sz w:val="16"/>
        </w:rPr>
        <w:t>Surinam.</w:t>
      </w:r>
      <w:r>
        <w:rPr>
          <w:i/>
          <w:spacing w:val="35"/>
          <w:sz w:val="16"/>
        </w:rPr>
        <w:t xml:space="preserve"> </w:t>
      </w:r>
      <w:r>
        <w:rPr>
          <w:i/>
          <w:sz w:val="16"/>
        </w:rPr>
        <w:t>Excepciones</w:t>
      </w:r>
      <w:r>
        <w:rPr>
          <w:i/>
          <w:spacing w:val="34"/>
          <w:sz w:val="16"/>
        </w:rPr>
        <w:t xml:space="preserve"> </w:t>
      </w:r>
      <w:r>
        <w:rPr>
          <w:i/>
          <w:sz w:val="16"/>
        </w:rPr>
        <w:t>Preliminares,</w:t>
      </w:r>
      <w:r>
        <w:rPr>
          <w:i/>
          <w:spacing w:val="32"/>
          <w:sz w:val="16"/>
        </w:rPr>
        <w:t xml:space="preserve"> </w:t>
      </w:r>
      <w:r>
        <w:rPr>
          <w:i/>
          <w:sz w:val="16"/>
        </w:rPr>
        <w:t>Fondo,</w:t>
      </w:r>
      <w:r>
        <w:rPr>
          <w:i/>
          <w:spacing w:val="32"/>
          <w:sz w:val="16"/>
        </w:rPr>
        <w:t xml:space="preserve"> </w:t>
      </w:r>
      <w:r>
        <w:rPr>
          <w:i/>
          <w:sz w:val="16"/>
        </w:rPr>
        <w:t>Reparaciones</w:t>
      </w:r>
      <w:r>
        <w:rPr>
          <w:i/>
          <w:spacing w:val="33"/>
          <w:sz w:val="16"/>
        </w:rPr>
        <w:t xml:space="preserve"> </w:t>
      </w:r>
      <w:r>
        <w:rPr>
          <w:i/>
          <w:sz w:val="16"/>
        </w:rPr>
        <w:t>y</w:t>
      </w:r>
      <w:r>
        <w:rPr>
          <w:i/>
          <w:spacing w:val="34"/>
          <w:sz w:val="16"/>
        </w:rPr>
        <w:t xml:space="preserve"> </w:t>
      </w:r>
      <w:r>
        <w:rPr>
          <w:i/>
          <w:sz w:val="16"/>
        </w:rPr>
        <w:t>Costas.</w:t>
      </w:r>
    </w:p>
    <w:p w14:paraId="1E148CE5" w14:textId="77777777" w:rsidR="00467FCA" w:rsidRDefault="001B68EB">
      <w:pPr>
        <w:ind w:left="458"/>
        <w:rPr>
          <w:sz w:val="16"/>
        </w:rPr>
      </w:pPr>
      <w:r>
        <w:rPr>
          <w:sz w:val="16"/>
        </w:rPr>
        <w:t>Sentencia de 28 de noviembre de 2007. Serie C No. 172, párr. 175.</w:t>
      </w:r>
    </w:p>
    <w:p w14:paraId="156DDC66" w14:textId="77777777" w:rsidR="00467FCA" w:rsidRDefault="00467FCA">
      <w:pPr>
        <w:rPr>
          <w:sz w:val="16"/>
        </w:rPr>
        <w:sectPr w:rsidR="00467FCA">
          <w:pgSz w:w="12240" w:h="15840"/>
          <w:pgMar w:top="1340" w:right="1140" w:bottom="920" w:left="960" w:header="0" w:footer="734" w:gutter="0"/>
          <w:cols w:space="720"/>
        </w:sectPr>
      </w:pPr>
    </w:p>
    <w:p w14:paraId="32ACF92A" w14:textId="77777777" w:rsidR="00467FCA" w:rsidRDefault="001B68EB">
      <w:pPr>
        <w:spacing w:before="78"/>
        <w:ind w:left="1166" w:right="845" w:hanging="1"/>
        <w:rPr>
          <w:i/>
          <w:sz w:val="16"/>
        </w:rPr>
      </w:pPr>
      <w:r>
        <w:rPr>
          <w:sz w:val="16"/>
        </w:rPr>
        <w:t>violaría el artículo 1.1 y el derec</w:t>
      </w:r>
      <w:r>
        <w:rPr>
          <w:sz w:val="16"/>
        </w:rPr>
        <w:t>ho sustantivo en cuestión. Si por el contrario la discriminación se refiere a una protección desigual de la ley interna, violaría el artículo 24</w:t>
      </w:r>
      <w:hyperlink w:anchor="_bookmark835" w:history="1">
        <w:r>
          <w:rPr>
            <w:position w:val="6"/>
            <w:sz w:val="10"/>
          </w:rPr>
          <w:t>153</w:t>
        </w:r>
      </w:hyperlink>
      <w:r>
        <w:rPr>
          <w:i/>
          <w:sz w:val="16"/>
        </w:rPr>
        <w:t>.</w:t>
      </w:r>
    </w:p>
    <w:p w14:paraId="30DF9E5E" w14:textId="77777777" w:rsidR="00467FCA" w:rsidRDefault="00467FCA">
      <w:pPr>
        <w:pStyle w:val="Textoindependiente"/>
        <w:spacing w:before="2"/>
        <w:rPr>
          <w:i/>
          <w:sz w:val="23"/>
        </w:rPr>
      </w:pPr>
    </w:p>
    <w:p w14:paraId="0DCB5B63" w14:textId="77777777" w:rsidR="00467FCA" w:rsidRDefault="001B68EB">
      <w:pPr>
        <w:pStyle w:val="Prrafodelista"/>
        <w:numPr>
          <w:ilvl w:val="0"/>
          <w:numId w:val="4"/>
        </w:numPr>
        <w:tabs>
          <w:tab w:val="left" w:pos="1167"/>
        </w:tabs>
        <w:ind w:right="272" w:firstLine="0"/>
        <w:jc w:val="both"/>
        <w:rPr>
          <w:sz w:val="20"/>
        </w:rPr>
      </w:pPr>
      <w:r>
        <w:rPr>
          <w:spacing w:val="-4"/>
          <w:sz w:val="20"/>
        </w:rPr>
        <w:t xml:space="preserve">Así, </w:t>
      </w:r>
      <w:r>
        <w:rPr>
          <w:sz w:val="20"/>
        </w:rPr>
        <w:t xml:space="preserve">a </w:t>
      </w:r>
      <w:r>
        <w:rPr>
          <w:spacing w:val="-3"/>
          <w:sz w:val="20"/>
        </w:rPr>
        <w:t xml:space="preserve">partir </w:t>
      </w:r>
      <w:r>
        <w:rPr>
          <w:sz w:val="20"/>
        </w:rPr>
        <w:t xml:space="preserve">de </w:t>
      </w:r>
      <w:r>
        <w:rPr>
          <w:spacing w:val="-4"/>
          <w:sz w:val="20"/>
        </w:rPr>
        <w:t xml:space="preserve">entonces, </w:t>
      </w:r>
      <w:r>
        <w:rPr>
          <w:sz w:val="20"/>
        </w:rPr>
        <w:t xml:space="preserve">la </w:t>
      </w:r>
      <w:r>
        <w:rPr>
          <w:spacing w:val="-3"/>
          <w:sz w:val="20"/>
        </w:rPr>
        <w:t xml:space="preserve">Corte </w:t>
      </w:r>
      <w:r>
        <w:rPr>
          <w:sz w:val="20"/>
        </w:rPr>
        <w:t xml:space="preserve">IDH </w:t>
      </w:r>
      <w:r>
        <w:rPr>
          <w:spacing w:val="-4"/>
          <w:sz w:val="20"/>
        </w:rPr>
        <w:t xml:space="preserve">consideró </w:t>
      </w:r>
      <w:r>
        <w:rPr>
          <w:spacing w:val="-3"/>
          <w:sz w:val="20"/>
        </w:rPr>
        <w:t xml:space="preserve">de </w:t>
      </w:r>
      <w:r>
        <w:rPr>
          <w:spacing w:val="-4"/>
          <w:sz w:val="20"/>
        </w:rPr>
        <w:t xml:space="preserve">manera constante </w:t>
      </w:r>
      <w:r>
        <w:rPr>
          <w:spacing w:val="-3"/>
          <w:sz w:val="20"/>
        </w:rPr>
        <w:t xml:space="preserve">que </w:t>
      </w:r>
      <w:r>
        <w:rPr>
          <w:sz w:val="20"/>
        </w:rPr>
        <w:t xml:space="preserve">el </w:t>
      </w:r>
      <w:r>
        <w:rPr>
          <w:spacing w:val="-4"/>
          <w:sz w:val="20"/>
        </w:rPr>
        <w:t xml:space="preserve">artículo </w:t>
      </w:r>
      <w:r>
        <w:rPr>
          <w:spacing w:val="-3"/>
          <w:sz w:val="20"/>
        </w:rPr>
        <w:t xml:space="preserve">24 de </w:t>
      </w:r>
      <w:r>
        <w:rPr>
          <w:sz w:val="20"/>
        </w:rPr>
        <w:t xml:space="preserve">la </w:t>
      </w:r>
      <w:r>
        <w:rPr>
          <w:spacing w:val="-4"/>
          <w:sz w:val="20"/>
        </w:rPr>
        <w:t xml:space="preserve">Convención Americana prohíbe </w:t>
      </w:r>
      <w:r>
        <w:rPr>
          <w:spacing w:val="-3"/>
          <w:sz w:val="20"/>
        </w:rPr>
        <w:t xml:space="preserve">la </w:t>
      </w:r>
      <w:r>
        <w:rPr>
          <w:spacing w:val="-4"/>
          <w:sz w:val="20"/>
        </w:rPr>
        <w:t xml:space="preserve">discriminación </w:t>
      </w:r>
      <w:r>
        <w:rPr>
          <w:spacing w:val="-3"/>
          <w:sz w:val="20"/>
        </w:rPr>
        <w:t xml:space="preserve">de </w:t>
      </w:r>
      <w:r>
        <w:rPr>
          <w:spacing w:val="-4"/>
          <w:sz w:val="20"/>
        </w:rPr>
        <w:t xml:space="preserve">derecho, </w:t>
      </w:r>
      <w:r>
        <w:rPr>
          <w:sz w:val="20"/>
        </w:rPr>
        <w:t xml:space="preserve">no </w:t>
      </w:r>
      <w:r>
        <w:rPr>
          <w:spacing w:val="-3"/>
          <w:sz w:val="20"/>
        </w:rPr>
        <w:t xml:space="preserve">solo en </w:t>
      </w:r>
      <w:r>
        <w:rPr>
          <w:spacing w:val="-4"/>
          <w:sz w:val="20"/>
        </w:rPr>
        <w:t xml:space="preserve">cuanto </w:t>
      </w:r>
      <w:r>
        <w:rPr>
          <w:sz w:val="20"/>
        </w:rPr>
        <w:t xml:space="preserve">a </w:t>
      </w:r>
      <w:r>
        <w:rPr>
          <w:spacing w:val="-4"/>
          <w:sz w:val="20"/>
        </w:rPr>
        <w:t xml:space="preserve">los derechos contenidos </w:t>
      </w:r>
      <w:r>
        <w:rPr>
          <w:spacing w:val="-3"/>
          <w:sz w:val="20"/>
        </w:rPr>
        <w:t xml:space="preserve">en </w:t>
      </w:r>
      <w:r>
        <w:rPr>
          <w:spacing w:val="-4"/>
          <w:sz w:val="20"/>
        </w:rPr>
        <w:t xml:space="preserve">dicho tratado, sino </w:t>
      </w:r>
      <w:r>
        <w:rPr>
          <w:spacing w:val="-3"/>
          <w:sz w:val="20"/>
        </w:rPr>
        <w:t xml:space="preserve">en </w:t>
      </w:r>
      <w:r>
        <w:rPr>
          <w:sz w:val="20"/>
        </w:rPr>
        <w:t xml:space="preserve">lo </w:t>
      </w:r>
      <w:r>
        <w:rPr>
          <w:spacing w:val="-3"/>
          <w:sz w:val="20"/>
        </w:rPr>
        <w:t xml:space="preserve">que </w:t>
      </w:r>
      <w:r>
        <w:rPr>
          <w:spacing w:val="-4"/>
          <w:sz w:val="20"/>
        </w:rPr>
        <w:t xml:space="preserve">respecta </w:t>
      </w:r>
      <w:r>
        <w:rPr>
          <w:sz w:val="20"/>
        </w:rPr>
        <w:t xml:space="preserve">a </w:t>
      </w:r>
      <w:r>
        <w:rPr>
          <w:spacing w:val="-3"/>
          <w:sz w:val="20"/>
        </w:rPr>
        <w:t xml:space="preserve">todas las leyes que </w:t>
      </w:r>
      <w:r>
        <w:rPr>
          <w:spacing w:val="-4"/>
          <w:sz w:val="20"/>
        </w:rPr>
        <w:t xml:space="preserve">apruebe </w:t>
      </w:r>
      <w:r>
        <w:rPr>
          <w:sz w:val="20"/>
        </w:rPr>
        <w:t xml:space="preserve">el </w:t>
      </w:r>
      <w:r>
        <w:rPr>
          <w:spacing w:val="-4"/>
          <w:sz w:val="20"/>
        </w:rPr>
        <w:t xml:space="preserve">Estado </w:t>
      </w:r>
      <w:r>
        <w:rPr>
          <w:sz w:val="20"/>
        </w:rPr>
        <w:t xml:space="preserve">y a </w:t>
      </w:r>
      <w:r>
        <w:rPr>
          <w:spacing w:val="-3"/>
          <w:sz w:val="20"/>
        </w:rPr>
        <w:t>su</w:t>
      </w:r>
      <w:r>
        <w:rPr>
          <w:spacing w:val="-29"/>
          <w:sz w:val="20"/>
        </w:rPr>
        <w:t xml:space="preserve"> </w:t>
      </w:r>
      <w:r>
        <w:rPr>
          <w:spacing w:val="-3"/>
          <w:sz w:val="20"/>
        </w:rPr>
        <w:t>aplicación</w:t>
      </w:r>
      <w:hyperlink w:anchor="_bookmark836" w:history="1">
        <w:r>
          <w:rPr>
            <w:spacing w:val="-3"/>
            <w:position w:val="7"/>
            <w:sz w:val="13"/>
          </w:rPr>
          <w:t>154</w:t>
        </w:r>
      </w:hyperlink>
      <w:r>
        <w:rPr>
          <w:spacing w:val="-3"/>
          <w:sz w:val="20"/>
        </w:rPr>
        <w:t>.</w:t>
      </w:r>
    </w:p>
    <w:p w14:paraId="4D7D9345" w14:textId="77777777" w:rsidR="00467FCA" w:rsidRDefault="00467FCA">
      <w:pPr>
        <w:pStyle w:val="Textoindependiente"/>
        <w:spacing w:before="1"/>
        <w:rPr>
          <w:sz w:val="23"/>
        </w:rPr>
      </w:pPr>
    </w:p>
    <w:p w14:paraId="6587A1A5" w14:textId="77777777" w:rsidR="00467FCA" w:rsidRDefault="001B68EB">
      <w:pPr>
        <w:pStyle w:val="Ttulo1"/>
        <w:numPr>
          <w:ilvl w:val="2"/>
          <w:numId w:val="5"/>
        </w:numPr>
        <w:tabs>
          <w:tab w:val="left" w:pos="1985"/>
        </w:tabs>
        <w:ind w:left="1984" w:hanging="819"/>
      </w:pPr>
      <w:r>
        <w:t>La conjunción de los artículos 1.1 y 24 de la Convención</w:t>
      </w:r>
      <w:r>
        <w:rPr>
          <w:spacing w:val="-11"/>
        </w:rPr>
        <w:t xml:space="preserve"> </w:t>
      </w:r>
      <w:r>
        <w:t>Americana</w:t>
      </w:r>
    </w:p>
    <w:p w14:paraId="1F512025" w14:textId="77777777" w:rsidR="00467FCA" w:rsidRDefault="00467FCA">
      <w:pPr>
        <w:pStyle w:val="Textoindependiente"/>
        <w:spacing w:before="10"/>
        <w:rPr>
          <w:b/>
          <w:sz w:val="22"/>
        </w:rPr>
      </w:pPr>
    </w:p>
    <w:p w14:paraId="064ADFD2" w14:textId="77777777" w:rsidR="00467FCA" w:rsidRDefault="001B68EB">
      <w:pPr>
        <w:pStyle w:val="Prrafodelista"/>
        <w:numPr>
          <w:ilvl w:val="0"/>
          <w:numId w:val="4"/>
        </w:numPr>
        <w:tabs>
          <w:tab w:val="left" w:pos="1167"/>
        </w:tabs>
        <w:ind w:left="457" w:right="275" w:firstLine="0"/>
        <w:jc w:val="both"/>
        <w:rPr>
          <w:sz w:val="20"/>
        </w:rPr>
      </w:pPr>
      <w:r>
        <w:rPr>
          <w:sz w:val="20"/>
        </w:rPr>
        <w:t>Si</w:t>
      </w:r>
      <w:r>
        <w:rPr>
          <w:spacing w:val="-5"/>
          <w:sz w:val="20"/>
        </w:rPr>
        <w:t xml:space="preserve"> </w:t>
      </w:r>
      <w:r>
        <w:rPr>
          <w:sz w:val="20"/>
        </w:rPr>
        <w:t>bien</w:t>
      </w:r>
      <w:r>
        <w:rPr>
          <w:spacing w:val="-4"/>
          <w:sz w:val="20"/>
        </w:rPr>
        <w:t xml:space="preserve"> </w:t>
      </w:r>
      <w:r>
        <w:rPr>
          <w:sz w:val="20"/>
        </w:rPr>
        <w:t>la</w:t>
      </w:r>
      <w:r>
        <w:rPr>
          <w:spacing w:val="-3"/>
          <w:sz w:val="20"/>
        </w:rPr>
        <w:t xml:space="preserve"> </w:t>
      </w:r>
      <w:r>
        <w:rPr>
          <w:sz w:val="20"/>
        </w:rPr>
        <w:t>Corte</w:t>
      </w:r>
      <w:r>
        <w:rPr>
          <w:spacing w:val="-7"/>
          <w:sz w:val="20"/>
        </w:rPr>
        <w:t xml:space="preserve"> </w:t>
      </w:r>
      <w:r>
        <w:rPr>
          <w:sz w:val="20"/>
        </w:rPr>
        <w:t>IDH</w:t>
      </w:r>
      <w:r>
        <w:rPr>
          <w:spacing w:val="-4"/>
          <w:sz w:val="20"/>
        </w:rPr>
        <w:t xml:space="preserve"> </w:t>
      </w:r>
      <w:r>
        <w:rPr>
          <w:sz w:val="20"/>
        </w:rPr>
        <w:t>ha</w:t>
      </w:r>
      <w:r>
        <w:rPr>
          <w:spacing w:val="-3"/>
          <w:sz w:val="20"/>
        </w:rPr>
        <w:t xml:space="preserve"> </w:t>
      </w:r>
      <w:r>
        <w:rPr>
          <w:sz w:val="20"/>
        </w:rPr>
        <w:t>expresado</w:t>
      </w:r>
      <w:r>
        <w:rPr>
          <w:spacing w:val="-3"/>
          <w:sz w:val="20"/>
        </w:rPr>
        <w:t xml:space="preserve"> </w:t>
      </w:r>
      <w:r>
        <w:rPr>
          <w:sz w:val="20"/>
        </w:rPr>
        <w:t>que</w:t>
      </w:r>
      <w:r>
        <w:rPr>
          <w:spacing w:val="-4"/>
          <w:sz w:val="20"/>
        </w:rPr>
        <w:t xml:space="preserve"> </w:t>
      </w:r>
      <w:r>
        <w:rPr>
          <w:sz w:val="20"/>
        </w:rPr>
        <w:t>existe,</w:t>
      </w:r>
      <w:r>
        <w:rPr>
          <w:spacing w:val="-6"/>
          <w:sz w:val="20"/>
        </w:rPr>
        <w:t xml:space="preserve"> </w:t>
      </w:r>
      <w:r>
        <w:rPr>
          <w:i/>
          <w:sz w:val="20"/>
        </w:rPr>
        <w:t>prima</w:t>
      </w:r>
      <w:r>
        <w:rPr>
          <w:i/>
          <w:spacing w:val="-3"/>
          <w:sz w:val="20"/>
        </w:rPr>
        <w:t xml:space="preserve"> </w:t>
      </w:r>
      <w:r>
        <w:rPr>
          <w:i/>
          <w:sz w:val="20"/>
        </w:rPr>
        <w:t>facie,</w:t>
      </w:r>
      <w:r>
        <w:rPr>
          <w:i/>
          <w:spacing w:val="-4"/>
          <w:sz w:val="20"/>
        </w:rPr>
        <w:t xml:space="preserve"> </w:t>
      </w:r>
      <w:r>
        <w:rPr>
          <w:sz w:val="20"/>
        </w:rPr>
        <w:t>esta</w:t>
      </w:r>
      <w:r>
        <w:rPr>
          <w:spacing w:val="-5"/>
          <w:sz w:val="20"/>
        </w:rPr>
        <w:t xml:space="preserve"> </w:t>
      </w:r>
      <w:r>
        <w:rPr>
          <w:sz w:val="20"/>
        </w:rPr>
        <w:t>distinción</w:t>
      </w:r>
      <w:r>
        <w:rPr>
          <w:spacing w:val="-3"/>
          <w:sz w:val="20"/>
        </w:rPr>
        <w:t xml:space="preserve"> </w:t>
      </w:r>
      <w:r>
        <w:rPr>
          <w:sz w:val="20"/>
        </w:rPr>
        <w:t>entre</w:t>
      </w:r>
      <w:r>
        <w:rPr>
          <w:spacing w:val="-4"/>
          <w:sz w:val="20"/>
        </w:rPr>
        <w:t xml:space="preserve"> </w:t>
      </w:r>
      <w:r>
        <w:rPr>
          <w:sz w:val="20"/>
        </w:rPr>
        <w:t>ambas disposiciones, también ha reconocido que en algunas situaciones las violaciones suscitadas comprenden ambas modalidades de discriminación y, por lo tanto, no se hace necesario realizar</w:t>
      </w:r>
      <w:r>
        <w:rPr>
          <w:spacing w:val="-19"/>
          <w:sz w:val="20"/>
        </w:rPr>
        <w:t xml:space="preserve"> </w:t>
      </w:r>
      <w:r>
        <w:rPr>
          <w:sz w:val="20"/>
        </w:rPr>
        <w:t>una</w:t>
      </w:r>
      <w:r>
        <w:rPr>
          <w:spacing w:val="-17"/>
          <w:sz w:val="20"/>
        </w:rPr>
        <w:t xml:space="preserve"> </w:t>
      </w:r>
      <w:r>
        <w:rPr>
          <w:sz w:val="20"/>
        </w:rPr>
        <w:t>distinción</w:t>
      </w:r>
      <w:r>
        <w:rPr>
          <w:spacing w:val="-16"/>
          <w:sz w:val="20"/>
        </w:rPr>
        <w:t xml:space="preserve"> </w:t>
      </w:r>
      <w:r>
        <w:rPr>
          <w:sz w:val="20"/>
        </w:rPr>
        <w:t>entre</w:t>
      </w:r>
      <w:r>
        <w:rPr>
          <w:spacing w:val="-19"/>
          <w:sz w:val="20"/>
        </w:rPr>
        <w:t xml:space="preserve"> </w:t>
      </w:r>
      <w:r>
        <w:rPr>
          <w:sz w:val="20"/>
        </w:rPr>
        <w:t>ambas</w:t>
      </w:r>
      <w:r>
        <w:rPr>
          <w:spacing w:val="-18"/>
          <w:sz w:val="20"/>
        </w:rPr>
        <w:t xml:space="preserve"> </w:t>
      </w:r>
      <w:r>
        <w:rPr>
          <w:sz w:val="20"/>
        </w:rPr>
        <w:t>disposiciones</w:t>
      </w:r>
      <w:hyperlink w:anchor="_bookmark837" w:history="1">
        <w:r>
          <w:rPr>
            <w:position w:val="7"/>
            <w:sz w:val="13"/>
          </w:rPr>
          <w:t>155</w:t>
        </w:r>
      </w:hyperlink>
      <w:r>
        <w:rPr>
          <w:sz w:val="20"/>
        </w:rPr>
        <w:t>.</w:t>
      </w:r>
      <w:r>
        <w:rPr>
          <w:spacing w:val="-17"/>
          <w:sz w:val="20"/>
        </w:rPr>
        <w:t xml:space="preserve"> </w:t>
      </w:r>
      <w:r>
        <w:rPr>
          <w:sz w:val="20"/>
        </w:rPr>
        <w:t>En</w:t>
      </w:r>
      <w:r>
        <w:rPr>
          <w:spacing w:val="-16"/>
          <w:sz w:val="20"/>
        </w:rPr>
        <w:t xml:space="preserve"> </w:t>
      </w:r>
      <w:r>
        <w:rPr>
          <w:sz w:val="20"/>
        </w:rPr>
        <w:t>este</w:t>
      </w:r>
      <w:r>
        <w:rPr>
          <w:spacing w:val="-16"/>
          <w:sz w:val="20"/>
        </w:rPr>
        <w:t xml:space="preserve"> </w:t>
      </w:r>
      <w:r>
        <w:rPr>
          <w:sz w:val="20"/>
        </w:rPr>
        <w:t>sentido,</w:t>
      </w:r>
      <w:r>
        <w:rPr>
          <w:spacing w:val="-18"/>
          <w:sz w:val="20"/>
        </w:rPr>
        <w:t xml:space="preserve"> </w:t>
      </w:r>
      <w:r>
        <w:rPr>
          <w:sz w:val="20"/>
        </w:rPr>
        <w:t>en</w:t>
      </w:r>
      <w:r>
        <w:rPr>
          <w:spacing w:val="-16"/>
          <w:sz w:val="20"/>
        </w:rPr>
        <w:t xml:space="preserve"> </w:t>
      </w:r>
      <w:r>
        <w:rPr>
          <w:sz w:val="20"/>
        </w:rPr>
        <w:t>los</w:t>
      </w:r>
      <w:r>
        <w:rPr>
          <w:spacing w:val="-18"/>
          <w:sz w:val="20"/>
        </w:rPr>
        <w:t xml:space="preserve"> </w:t>
      </w:r>
      <w:r>
        <w:rPr>
          <w:sz w:val="20"/>
        </w:rPr>
        <w:t>casos</w:t>
      </w:r>
      <w:r>
        <w:rPr>
          <w:spacing w:val="-18"/>
          <w:sz w:val="20"/>
        </w:rPr>
        <w:t xml:space="preserve"> </w:t>
      </w:r>
      <w:r>
        <w:rPr>
          <w:i/>
          <w:sz w:val="20"/>
        </w:rPr>
        <w:t>Véliz</w:t>
      </w:r>
      <w:r>
        <w:rPr>
          <w:i/>
          <w:spacing w:val="-16"/>
          <w:sz w:val="20"/>
        </w:rPr>
        <w:t xml:space="preserve"> </w:t>
      </w:r>
      <w:r>
        <w:rPr>
          <w:i/>
          <w:sz w:val="20"/>
        </w:rPr>
        <w:t xml:space="preserve">Franco, </w:t>
      </w:r>
      <w:r>
        <w:rPr>
          <w:sz w:val="20"/>
        </w:rPr>
        <w:t>y</w:t>
      </w:r>
      <w:r>
        <w:rPr>
          <w:spacing w:val="-9"/>
          <w:sz w:val="20"/>
        </w:rPr>
        <w:t xml:space="preserve"> </w:t>
      </w:r>
      <w:r>
        <w:rPr>
          <w:i/>
          <w:sz w:val="20"/>
        </w:rPr>
        <w:t>Velásquez</w:t>
      </w:r>
      <w:r>
        <w:rPr>
          <w:i/>
          <w:spacing w:val="-8"/>
          <w:sz w:val="20"/>
        </w:rPr>
        <w:t xml:space="preserve"> </w:t>
      </w:r>
      <w:r>
        <w:rPr>
          <w:i/>
          <w:sz w:val="20"/>
        </w:rPr>
        <w:t>Paiz</w:t>
      </w:r>
      <w:r>
        <w:rPr>
          <w:sz w:val="20"/>
        </w:rPr>
        <w:t>,</w:t>
      </w:r>
      <w:r>
        <w:rPr>
          <w:spacing w:val="-6"/>
          <w:sz w:val="20"/>
        </w:rPr>
        <w:t xml:space="preserve"> </w:t>
      </w:r>
      <w:r>
        <w:rPr>
          <w:sz w:val="20"/>
        </w:rPr>
        <w:t>ambos</w:t>
      </w:r>
      <w:r>
        <w:rPr>
          <w:spacing w:val="-10"/>
          <w:sz w:val="20"/>
        </w:rPr>
        <w:t xml:space="preserve"> </w:t>
      </w:r>
      <w:r>
        <w:rPr>
          <w:sz w:val="20"/>
        </w:rPr>
        <w:t>contra</w:t>
      </w:r>
      <w:r>
        <w:rPr>
          <w:spacing w:val="-6"/>
          <w:sz w:val="20"/>
        </w:rPr>
        <w:t xml:space="preserve"> </w:t>
      </w:r>
      <w:r>
        <w:rPr>
          <w:sz w:val="20"/>
        </w:rPr>
        <w:t>el</w:t>
      </w:r>
      <w:r>
        <w:rPr>
          <w:spacing w:val="-7"/>
          <w:sz w:val="20"/>
        </w:rPr>
        <w:t xml:space="preserve"> </w:t>
      </w:r>
      <w:r>
        <w:rPr>
          <w:sz w:val="20"/>
        </w:rPr>
        <w:t>Estado</w:t>
      </w:r>
      <w:r>
        <w:rPr>
          <w:spacing w:val="-10"/>
          <w:sz w:val="20"/>
        </w:rPr>
        <w:t xml:space="preserve"> </w:t>
      </w:r>
      <w:r>
        <w:rPr>
          <w:sz w:val="20"/>
        </w:rPr>
        <w:t>guatemalteco,</w:t>
      </w:r>
      <w:r>
        <w:rPr>
          <w:spacing w:val="-7"/>
          <w:sz w:val="20"/>
        </w:rPr>
        <w:t xml:space="preserve"> </w:t>
      </w:r>
      <w:r>
        <w:rPr>
          <w:sz w:val="20"/>
        </w:rPr>
        <w:t>el</w:t>
      </w:r>
      <w:r>
        <w:rPr>
          <w:spacing w:val="-7"/>
          <w:sz w:val="20"/>
        </w:rPr>
        <w:t xml:space="preserve"> </w:t>
      </w:r>
      <w:r>
        <w:rPr>
          <w:sz w:val="20"/>
        </w:rPr>
        <w:t>Tribunal</w:t>
      </w:r>
      <w:r>
        <w:rPr>
          <w:spacing w:val="-8"/>
          <w:sz w:val="20"/>
        </w:rPr>
        <w:t xml:space="preserve"> </w:t>
      </w:r>
      <w:r>
        <w:rPr>
          <w:sz w:val="20"/>
        </w:rPr>
        <w:t>Interamericano</w:t>
      </w:r>
      <w:r>
        <w:rPr>
          <w:spacing w:val="-7"/>
          <w:sz w:val="20"/>
        </w:rPr>
        <w:t xml:space="preserve"> </w:t>
      </w:r>
      <w:r>
        <w:rPr>
          <w:sz w:val="20"/>
        </w:rPr>
        <w:t>consideró que la ineficacia de las actuaciones de las autoridades o indiferencia constituía en sí misma una forma de d</w:t>
      </w:r>
      <w:r>
        <w:rPr>
          <w:sz w:val="20"/>
        </w:rPr>
        <w:t>iscriminación en el acceso a la justicia, por lo que, en cuanto a la violación de loa artículos 1.1 y 24, no era necesario establecer una diferencia</w:t>
      </w:r>
      <w:hyperlink w:anchor="_bookmark838" w:history="1">
        <w:r>
          <w:rPr>
            <w:position w:val="7"/>
            <w:sz w:val="13"/>
          </w:rPr>
          <w:t>156</w:t>
        </w:r>
      </w:hyperlink>
      <w:r>
        <w:rPr>
          <w:sz w:val="20"/>
        </w:rPr>
        <w:t xml:space="preserve">, en el sentido de lo indicado a partir del caso </w:t>
      </w:r>
      <w:r>
        <w:rPr>
          <w:i/>
          <w:sz w:val="20"/>
        </w:rPr>
        <w:t>Apitz Barbera y</w:t>
      </w:r>
      <w:r>
        <w:rPr>
          <w:i/>
          <w:spacing w:val="-6"/>
          <w:sz w:val="20"/>
        </w:rPr>
        <w:t xml:space="preserve"> </w:t>
      </w:r>
      <w:r>
        <w:rPr>
          <w:i/>
          <w:sz w:val="20"/>
        </w:rPr>
        <w:t>otros</w:t>
      </w:r>
      <w:r>
        <w:rPr>
          <w:sz w:val="20"/>
        </w:rPr>
        <w:t>.</w:t>
      </w:r>
    </w:p>
    <w:p w14:paraId="01792D7F" w14:textId="77777777" w:rsidR="00467FCA" w:rsidRDefault="00467FCA">
      <w:pPr>
        <w:pStyle w:val="Textoindependiente"/>
        <w:spacing w:before="1"/>
      </w:pPr>
    </w:p>
    <w:p w14:paraId="20D30913" w14:textId="77777777" w:rsidR="00467FCA" w:rsidRDefault="001B68EB">
      <w:pPr>
        <w:pStyle w:val="Prrafodelista"/>
        <w:numPr>
          <w:ilvl w:val="0"/>
          <w:numId w:val="4"/>
        </w:numPr>
        <w:tabs>
          <w:tab w:val="left" w:pos="1167"/>
        </w:tabs>
        <w:ind w:right="273" w:firstLine="0"/>
        <w:jc w:val="both"/>
        <w:rPr>
          <w:sz w:val="20"/>
        </w:rPr>
      </w:pPr>
      <w:r>
        <w:rPr>
          <w:sz w:val="20"/>
        </w:rPr>
        <w:t>Con</w:t>
      </w:r>
      <w:r>
        <w:rPr>
          <w:spacing w:val="-15"/>
          <w:sz w:val="20"/>
        </w:rPr>
        <w:t xml:space="preserve"> </w:t>
      </w:r>
      <w:r>
        <w:rPr>
          <w:sz w:val="20"/>
        </w:rPr>
        <w:t>posterioridad,</w:t>
      </w:r>
      <w:r>
        <w:rPr>
          <w:spacing w:val="-13"/>
          <w:sz w:val="20"/>
        </w:rPr>
        <w:t xml:space="preserve"> </w:t>
      </w:r>
      <w:r>
        <w:rPr>
          <w:sz w:val="20"/>
        </w:rPr>
        <w:t>en</w:t>
      </w:r>
      <w:r>
        <w:rPr>
          <w:spacing w:val="-13"/>
          <w:sz w:val="20"/>
        </w:rPr>
        <w:t xml:space="preserve"> </w:t>
      </w:r>
      <w:r>
        <w:rPr>
          <w:sz w:val="20"/>
        </w:rPr>
        <w:t>el</w:t>
      </w:r>
      <w:r>
        <w:rPr>
          <w:spacing w:val="-12"/>
          <w:sz w:val="20"/>
        </w:rPr>
        <w:t xml:space="preserve"> </w:t>
      </w:r>
      <w:r>
        <w:rPr>
          <w:sz w:val="20"/>
        </w:rPr>
        <w:t>caso</w:t>
      </w:r>
      <w:r>
        <w:rPr>
          <w:spacing w:val="-14"/>
          <w:sz w:val="20"/>
        </w:rPr>
        <w:t xml:space="preserve"> </w:t>
      </w:r>
      <w:r>
        <w:rPr>
          <w:i/>
          <w:sz w:val="20"/>
        </w:rPr>
        <w:t>V.R.P.,</w:t>
      </w:r>
      <w:r>
        <w:rPr>
          <w:i/>
          <w:spacing w:val="-14"/>
          <w:sz w:val="20"/>
        </w:rPr>
        <w:t xml:space="preserve"> </w:t>
      </w:r>
      <w:r>
        <w:rPr>
          <w:i/>
          <w:sz w:val="20"/>
        </w:rPr>
        <w:t>V.C.P.</w:t>
      </w:r>
      <w:r>
        <w:rPr>
          <w:i/>
          <w:spacing w:val="-13"/>
          <w:sz w:val="20"/>
        </w:rPr>
        <w:t xml:space="preserve"> </w:t>
      </w:r>
      <w:r>
        <w:rPr>
          <w:i/>
          <w:sz w:val="20"/>
        </w:rPr>
        <w:t>y</w:t>
      </w:r>
      <w:r>
        <w:rPr>
          <w:i/>
          <w:spacing w:val="-13"/>
          <w:sz w:val="20"/>
        </w:rPr>
        <w:t xml:space="preserve"> </w:t>
      </w:r>
      <w:r>
        <w:rPr>
          <w:i/>
          <w:sz w:val="20"/>
        </w:rPr>
        <w:t>otros</w:t>
      </w:r>
      <w:r>
        <w:rPr>
          <w:i/>
          <w:spacing w:val="-17"/>
          <w:sz w:val="20"/>
        </w:rPr>
        <w:t xml:space="preserve"> </w:t>
      </w:r>
      <w:r>
        <w:rPr>
          <w:i/>
          <w:sz w:val="20"/>
        </w:rPr>
        <w:t>Vs.</w:t>
      </w:r>
      <w:r>
        <w:rPr>
          <w:i/>
          <w:spacing w:val="-13"/>
          <w:sz w:val="20"/>
        </w:rPr>
        <w:t xml:space="preserve"> </w:t>
      </w:r>
      <w:r>
        <w:rPr>
          <w:i/>
          <w:sz w:val="20"/>
        </w:rPr>
        <w:t>Nicaragua</w:t>
      </w:r>
      <w:r>
        <w:rPr>
          <w:sz w:val="20"/>
        </w:rPr>
        <w:t>,</w:t>
      </w:r>
      <w:r>
        <w:rPr>
          <w:spacing w:val="-16"/>
          <w:sz w:val="20"/>
        </w:rPr>
        <w:t xml:space="preserve"> </w:t>
      </w:r>
      <w:r>
        <w:rPr>
          <w:sz w:val="20"/>
        </w:rPr>
        <w:t>la</w:t>
      </w:r>
      <w:r>
        <w:rPr>
          <w:spacing w:val="-13"/>
          <w:sz w:val="20"/>
        </w:rPr>
        <w:t xml:space="preserve"> </w:t>
      </w:r>
      <w:r>
        <w:rPr>
          <w:sz w:val="20"/>
        </w:rPr>
        <w:t>Corte</w:t>
      </w:r>
      <w:r>
        <w:rPr>
          <w:spacing w:val="-16"/>
          <w:sz w:val="20"/>
        </w:rPr>
        <w:t xml:space="preserve"> </w:t>
      </w:r>
      <w:r>
        <w:rPr>
          <w:sz w:val="20"/>
        </w:rPr>
        <w:t>IDH</w:t>
      </w:r>
      <w:r>
        <w:rPr>
          <w:spacing w:val="-14"/>
          <w:sz w:val="20"/>
        </w:rPr>
        <w:t xml:space="preserve"> </w:t>
      </w:r>
      <w:r>
        <w:rPr>
          <w:sz w:val="20"/>
        </w:rPr>
        <w:t>expresó que</w:t>
      </w:r>
      <w:r>
        <w:rPr>
          <w:spacing w:val="-11"/>
          <w:sz w:val="20"/>
        </w:rPr>
        <w:t xml:space="preserve"> </w:t>
      </w:r>
      <w:r>
        <w:rPr>
          <w:sz w:val="20"/>
        </w:rPr>
        <w:t>conforme</w:t>
      </w:r>
      <w:r>
        <w:rPr>
          <w:spacing w:val="-9"/>
          <w:sz w:val="20"/>
        </w:rPr>
        <w:t xml:space="preserve"> </w:t>
      </w:r>
      <w:r>
        <w:rPr>
          <w:sz w:val="20"/>
        </w:rPr>
        <w:t>al</w:t>
      </w:r>
      <w:r>
        <w:rPr>
          <w:spacing w:val="-10"/>
          <w:sz w:val="20"/>
        </w:rPr>
        <w:t xml:space="preserve"> </w:t>
      </w:r>
      <w:r>
        <w:rPr>
          <w:sz w:val="20"/>
        </w:rPr>
        <w:t>artículo</w:t>
      </w:r>
      <w:r>
        <w:rPr>
          <w:spacing w:val="-9"/>
          <w:sz w:val="20"/>
        </w:rPr>
        <w:t xml:space="preserve"> </w:t>
      </w:r>
      <w:r>
        <w:rPr>
          <w:sz w:val="20"/>
        </w:rPr>
        <w:t>24</w:t>
      </w:r>
      <w:r>
        <w:rPr>
          <w:spacing w:val="-10"/>
          <w:sz w:val="20"/>
        </w:rPr>
        <w:t xml:space="preserve"> </w:t>
      </w:r>
      <w:r>
        <w:rPr>
          <w:sz w:val="20"/>
        </w:rPr>
        <w:t>de</w:t>
      </w:r>
      <w:r>
        <w:rPr>
          <w:spacing w:val="-11"/>
          <w:sz w:val="20"/>
        </w:rPr>
        <w:t xml:space="preserve"> </w:t>
      </w:r>
      <w:r>
        <w:rPr>
          <w:sz w:val="20"/>
        </w:rPr>
        <w:t>la</w:t>
      </w:r>
      <w:r>
        <w:rPr>
          <w:spacing w:val="-9"/>
          <w:sz w:val="20"/>
        </w:rPr>
        <w:t xml:space="preserve"> </w:t>
      </w:r>
      <w:r>
        <w:rPr>
          <w:sz w:val="20"/>
        </w:rPr>
        <w:t>Convención,</w:t>
      </w:r>
      <w:r>
        <w:rPr>
          <w:spacing w:val="-8"/>
          <w:sz w:val="20"/>
        </w:rPr>
        <w:t xml:space="preserve"> </w:t>
      </w:r>
      <w:r>
        <w:rPr>
          <w:sz w:val="20"/>
        </w:rPr>
        <w:t>los</w:t>
      </w:r>
      <w:r>
        <w:rPr>
          <w:spacing w:val="-11"/>
          <w:sz w:val="20"/>
        </w:rPr>
        <w:t xml:space="preserve"> </w:t>
      </w:r>
      <w:r>
        <w:rPr>
          <w:sz w:val="20"/>
        </w:rPr>
        <w:t>Estados</w:t>
      </w:r>
      <w:r>
        <w:rPr>
          <w:spacing w:val="-11"/>
          <w:sz w:val="20"/>
        </w:rPr>
        <w:t xml:space="preserve"> </w:t>
      </w:r>
      <w:r>
        <w:rPr>
          <w:sz w:val="20"/>
        </w:rPr>
        <w:t>tienen</w:t>
      </w:r>
      <w:r>
        <w:rPr>
          <w:spacing w:val="-9"/>
          <w:sz w:val="20"/>
        </w:rPr>
        <w:t xml:space="preserve"> </w:t>
      </w:r>
      <w:r>
        <w:rPr>
          <w:sz w:val="20"/>
        </w:rPr>
        <w:t>la</w:t>
      </w:r>
      <w:r>
        <w:rPr>
          <w:spacing w:val="-8"/>
          <w:sz w:val="20"/>
        </w:rPr>
        <w:t xml:space="preserve"> </w:t>
      </w:r>
      <w:r>
        <w:rPr>
          <w:sz w:val="20"/>
        </w:rPr>
        <w:t>obligación</w:t>
      </w:r>
      <w:r>
        <w:rPr>
          <w:spacing w:val="-9"/>
          <w:sz w:val="20"/>
        </w:rPr>
        <w:t xml:space="preserve"> </w:t>
      </w:r>
      <w:r>
        <w:rPr>
          <w:sz w:val="20"/>
        </w:rPr>
        <w:t>de</w:t>
      </w:r>
      <w:r>
        <w:rPr>
          <w:spacing w:val="-8"/>
          <w:sz w:val="20"/>
        </w:rPr>
        <w:t xml:space="preserve"> </w:t>
      </w:r>
      <w:r>
        <w:rPr>
          <w:sz w:val="20"/>
        </w:rPr>
        <w:t>no</w:t>
      </w:r>
      <w:r>
        <w:rPr>
          <w:spacing w:val="-11"/>
          <w:sz w:val="20"/>
        </w:rPr>
        <w:t xml:space="preserve"> </w:t>
      </w:r>
      <w:r>
        <w:rPr>
          <w:sz w:val="20"/>
        </w:rPr>
        <w:t xml:space="preserve">introducir en su ordenamiento jurídico regulaciones discriminatorias, </w:t>
      </w:r>
      <w:r>
        <w:rPr>
          <w:i/>
          <w:sz w:val="20"/>
        </w:rPr>
        <w:t>eliminar las regulaciones de carácter discriminatorio, combatir las prácticas de este carácter y establecer normas y otras medidas</w:t>
      </w:r>
      <w:r>
        <w:rPr>
          <w:i/>
          <w:spacing w:val="-5"/>
          <w:sz w:val="20"/>
        </w:rPr>
        <w:t xml:space="preserve"> </w:t>
      </w:r>
      <w:r>
        <w:rPr>
          <w:i/>
          <w:sz w:val="20"/>
        </w:rPr>
        <w:t>que</w:t>
      </w:r>
      <w:r>
        <w:rPr>
          <w:i/>
          <w:spacing w:val="-4"/>
          <w:sz w:val="20"/>
        </w:rPr>
        <w:t xml:space="preserve"> </w:t>
      </w:r>
      <w:r>
        <w:rPr>
          <w:i/>
          <w:sz w:val="20"/>
        </w:rPr>
        <w:t>reconozcan</w:t>
      </w:r>
      <w:r>
        <w:rPr>
          <w:i/>
          <w:spacing w:val="-4"/>
          <w:sz w:val="20"/>
        </w:rPr>
        <w:t xml:space="preserve"> </w:t>
      </w:r>
      <w:r>
        <w:rPr>
          <w:i/>
          <w:sz w:val="20"/>
        </w:rPr>
        <w:t>y</w:t>
      </w:r>
      <w:r>
        <w:rPr>
          <w:i/>
          <w:spacing w:val="-3"/>
          <w:sz w:val="20"/>
        </w:rPr>
        <w:t xml:space="preserve"> </w:t>
      </w:r>
      <w:r>
        <w:rPr>
          <w:i/>
          <w:sz w:val="20"/>
        </w:rPr>
        <w:t>aseguren</w:t>
      </w:r>
      <w:r>
        <w:rPr>
          <w:i/>
          <w:spacing w:val="-2"/>
          <w:sz w:val="20"/>
        </w:rPr>
        <w:t xml:space="preserve"> </w:t>
      </w:r>
      <w:r>
        <w:rPr>
          <w:i/>
          <w:sz w:val="20"/>
        </w:rPr>
        <w:t>la</w:t>
      </w:r>
      <w:r>
        <w:rPr>
          <w:i/>
          <w:spacing w:val="-3"/>
          <w:sz w:val="20"/>
        </w:rPr>
        <w:t xml:space="preserve"> </w:t>
      </w:r>
      <w:r>
        <w:rPr>
          <w:i/>
          <w:sz w:val="20"/>
        </w:rPr>
        <w:t>efectiva</w:t>
      </w:r>
      <w:r>
        <w:rPr>
          <w:i/>
          <w:spacing w:val="-3"/>
          <w:sz w:val="20"/>
        </w:rPr>
        <w:t xml:space="preserve"> </w:t>
      </w:r>
      <w:r>
        <w:rPr>
          <w:i/>
          <w:sz w:val="20"/>
        </w:rPr>
        <w:t>igualdad</w:t>
      </w:r>
      <w:r>
        <w:rPr>
          <w:i/>
          <w:spacing w:val="-5"/>
          <w:sz w:val="20"/>
        </w:rPr>
        <w:t xml:space="preserve"> </w:t>
      </w:r>
      <w:r>
        <w:rPr>
          <w:i/>
          <w:sz w:val="20"/>
        </w:rPr>
        <w:t>ante</w:t>
      </w:r>
      <w:r>
        <w:rPr>
          <w:i/>
          <w:spacing w:val="-4"/>
          <w:sz w:val="20"/>
        </w:rPr>
        <w:t xml:space="preserve"> </w:t>
      </w:r>
      <w:r>
        <w:rPr>
          <w:i/>
          <w:sz w:val="20"/>
        </w:rPr>
        <w:t>la</w:t>
      </w:r>
      <w:r>
        <w:rPr>
          <w:i/>
          <w:spacing w:val="-5"/>
          <w:sz w:val="20"/>
        </w:rPr>
        <w:t xml:space="preserve"> </w:t>
      </w:r>
      <w:r>
        <w:rPr>
          <w:i/>
          <w:sz w:val="20"/>
        </w:rPr>
        <w:t>ley</w:t>
      </w:r>
      <w:r>
        <w:rPr>
          <w:i/>
          <w:spacing w:val="-3"/>
          <w:sz w:val="20"/>
        </w:rPr>
        <w:t xml:space="preserve"> </w:t>
      </w:r>
      <w:r>
        <w:rPr>
          <w:i/>
          <w:sz w:val="20"/>
        </w:rPr>
        <w:t>de</w:t>
      </w:r>
      <w:r>
        <w:rPr>
          <w:i/>
          <w:spacing w:val="-2"/>
          <w:sz w:val="20"/>
        </w:rPr>
        <w:t xml:space="preserve"> </w:t>
      </w:r>
      <w:r>
        <w:rPr>
          <w:i/>
          <w:sz w:val="20"/>
        </w:rPr>
        <w:t>todas</w:t>
      </w:r>
      <w:r>
        <w:rPr>
          <w:i/>
          <w:spacing w:val="-4"/>
          <w:sz w:val="20"/>
        </w:rPr>
        <w:t xml:space="preserve"> </w:t>
      </w:r>
      <w:r>
        <w:rPr>
          <w:i/>
          <w:sz w:val="20"/>
        </w:rPr>
        <w:t>las</w:t>
      </w:r>
      <w:r>
        <w:rPr>
          <w:i/>
          <w:spacing w:val="-4"/>
          <w:sz w:val="20"/>
        </w:rPr>
        <w:t xml:space="preserve"> </w:t>
      </w:r>
      <w:r>
        <w:rPr>
          <w:i/>
          <w:sz w:val="20"/>
        </w:rPr>
        <w:t>personas</w:t>
      </w:r>
      <w:hyperlink w:anchor="_bookmark839" w:history="1">
        <w:r>
          <w:rPr>
            <w:position w:val="7"/>
            <w:sz w:val="13"/>
          </w:rPr>
          <w:t>157</w:t>
        </w:r>
      </w:hyperlink>
      <w:r>
        <w:rPr>
          <w:sz w:val="20"/>
        </w:rPr>
        <w:t>; lo cual, en ese caso generaba un análisis conjunto de los artículos 1.1 y 24 del Pacto de San José. De este modo, el pronunciamiento señalado era la antesala de lo que en el presente caso se rec</w:t>
      </w:r>
      <w:r>
        <w:rPr>
          <w:sz w:val="20"/>
        </w:rPr>
        <w:t>onoce “como el mandato de igualdad material desde el artículo</w:t>
      </w:r>
      <w:r>
        <w:rPr>
          <w:spacing w:val="-13"/>
          <w:sz w:val="20"/>
        </w:rPr>
        <w:t xml:space="preserve"> </w:t>
      </w:r>
      <w:r>
        <w:rPr>
          <w:sz w:val="20"/>
        </w:rPr>
        <w:t>24”</w:t>
      </w:r>
      <w:hyperlink w:anchor="_bookmark840" w:history="1">
        <w:r>
          <w:rPr>
            <w:position w:val="7"/>
            <w:sz w:val="13"/>
          </w:rPr>
          <w:t>158</w:t>
        </w:r>
      </w:hyperlink>
      <w:r>
        <w:rPr>
          <w:sz w:val="20"/>
        </w:rPr>
        <w:t>.</w:t>
      </w:r>
    </w:p>
    <w:p w14:paraId="5B0FF09F" w14:textId="77777777" w:rsidR="00467FCA" w:rsidRDefault="00467FCA">
      <w:pPr>
        <w:pStyle w:val="Textoindependiente"/>
        <w:spacing w:before="1"/>
      </w:pPr>
    </w:p>
    <w:p w14:paraId="0D8EFD7C" w14:textId="77777777" w:rsidR="00467FCA" w:rsidRDefault="001B68EB">
      <w:pPr>
        <w:pStyle w:val="Prrafodelista"/>
        <w:numPr>
          <w:ilvl w:val="2"/>
          <w:numId w:val="32"/>
        </w:numPr>
        <w:tabs>
          <w:tab w:val="left" w:pos="1995"/>
        </w:tabs>
        <w:ind w:left="2598" w:right="1526" w:hanging="895"/>
        <w:jc w:val="left"/>
        <w:rPr>
          <w:b/>
          <w:sz w:val="20"/>
        </w:rPr>
      </w:pPr>
      <w:r>
        <w:rPr>
          <w:b/>
          <w:sz w:val="20"/>
        </w:rPr>
        <w:t xml:space="preserve">LA </w:t>
      </w:r>
      <w:r>
        <w:rPr>
          <w:b/>
          <w:i/>
          <w:sz w:val="20"/>
        </w:rPr>
        <w:t xml:space="preserve">IGUALDAD MATERIAL O SUSTANCIAL </w:t>
      </w:r>
      <w:r>
        <w:rPr>
          <w:b/>
          <w:sz w:val="20"/>
        </w:rPr>
        <w:t>EN LAS VÍCTIMAS DE LA EXPLOSIÓN DE LA FÁBRICA DE</w:t>
      </w:r>
      <w:r>
        <w:rPr>
          <w:b/>
          <w:spacing w:val="-10"/>
          <w:sz w:val="20"/>
        </w:rPr>
        <w:t xml:space="preserve"> </w:t>
      </w:r>
      <w:r>
        <w:rPr>
          <w:b/>
          <w:sz w:val="20"/>
        </w:rPr>
        <w:t>FUEGOS</w:t>
      </w:r>
    </w:p>
    <w:p w14:paraId="419F47A0" w14:textId="77777777" w:rsidR="00467FCA" w:rsidRDefault="00467FCA">
      <w:pPr>
        <w:pStyle w:val="Textoindependiente"/>
        <w:spacing w:before="10"/>
        <w:rPr>
          <w:b/>
          <w:sz w:val="19"/>
        </w:rPr>
      </w:pPr>
    </w:p>
    <w:p w14:paraId="168BAD34" w14:textId="77777777" w:rsidR="00467FCA" w:rsidRDefault="001B68EB">
      <w:pPr>
        <w:pStyle w:val="Prrafodelista"/>
        <w:numPr>
          <w:ilvl w:val="0"/>
          <w:numId w:val="4"/>
        </w:numPr>
        <w:tabs>
          <w:tab w:val="left" w:pos="1166"/>
        </w:tabs>
        <w:ind w:left="457" w:right="277" w:firstLine="0"/>
        <w:jc w:val="both"/>
        <w:rPr>
          <w:sz w:val="20"/>
        </w:rPr>
      </w:pPr>
      <w:r>
        <w:rPr>
          <w:sz w:val="20"/>
        </w:rPr>
        <w:t xml:space="preserve">Las acciones positivas o afirmativas a cargo del Estado en la </w:t>
      </w:r>
      <w:r>
        <w:rPr>
          <w:sz w:val="20"/>
        </w:rPr>
        <w:t>jurisprudencia interamericana se habían asociado únicamente al contenido del artículo 1.1 desde la “obligación</w:t>
      </w:r>
      <w:r>
        <w:rPr>
          <w:spacing w:val="19"/>
          <w:sz w:val="20"/>
        </w:rPr>
        <w:t xml:space="preserve"> </w:t>
      </w:r>
      <w:r>
        <w:rPr>
          <w:sz w:val="20"/>
        </w:rPr>
        <w:t>de</w:t>
      </w:r>
      <w:r>
        <w:rPr>
          <w:spacing w:val="17"/>
          <w:sz w:val="20"/>
        </w:rPr>
        <w:t xml:space="preserve"> </w:t>
      </w:r>
      <w:r>
        <w:rPr>
          <w:sz w:val="20"/>
        </w:rPr>
        <w:t>garantizar”.</w:t>
      </w:r>
      <w:r>
        <w:rPr>
          <w:spacing w:val="17"/>
          <w:sz w:val="20"/>
        </w:rPr>
        <w:t xml:space="preserve"> </w:t>
      </w:r>
      <w:r>
        <w:rPr>
          <w:sz w:val="20"/>
        </w:rPr>
        <w:t>La</w:t>
      </w:r>
      <w:r>
        <w:rPr>
          <w:spacing w:val="19"/>
          <w:sz w:val="20"/>
        </w:rPr>
        <w:t xml:space="preserve"> </w:t>
      </w:r>
      <w:r>
        <w:rPr>
          <w:sz w:val="20"/>
        </w:rPr>
        <w:t>jurisprudencia</w:t>
      </w:r>
      <w:r>
        <w:rPr>
          <w:spacing w:val="18"/>
          <w:sz w:val="20"/>
        </w:rPr>
        <w:t xml:space="preserve"> </w:t>
      </w:r>
      <w:r>
        <w:rPr>
          <w:sz w:val="20"/>
        </w:rPr>
        <w:t>constante</w:t>
      </w:r>
      <w:r>
        <w:rPr>
          <w:spacing w:val="15"/>
          <w:sz w:val="20"/>
        </w:rPr>
        <w:t xml:space="preserve"> </w:t>
      </w:r>
      <w:r>
        <w:rPr>
          <w:sz w:val="20"/>
        </w:rPr>
        <w:t>de</w:t>
      </w:r>
      <w:r>
        <w:rPr>
          <w:spacing w:val="14"/>
          <w:sz w:val="20"/>
        </w:rPr>
        <w:t xml:space="preserve"> </w:t>
      </w:r>
      <w:r>
        <w:rPr>
          <w:sz w:val="20"/>
        </w:rPr>
        <w:t>la</w:t>
      </w:r>
      <w:r>
        <w:rPr>
          <w:spacing w:val="19"/>
          <w:sz w:val="20"/>
        </w:rPr>
        <w:t xml:space="preserve"> </w:t>
      </w:r>
      <w:r>
        <w:rPr>
          <w:sz w:val="20"/>
        </w:rPr>
        <w:t>Corte</w:t>
      </w:r>
      <w:r>
        <w:rPr>
          <w:spacing w:val="14"/>
          <w:sz w:val="20"/>
        </w:rPr>
        <w:t xml:space="preserve"> </w:t>
      </w:r>
      <w:r>
        <w:rPr>
          <w:sz w:val="20"/>
        </w:rPr>
        <w:t>IDH</w:t>
      </w:r>
      <w:r>
        <w:rPr>
          <w:spacing w:val="15"/>
          <w:sz w:val="20"/>
        </w:rPr>
        <w:t xml:space="preserve"> </w:t>
      </w:r>
      <w:r>
        <w:rPr>
          <w:sz w:val="20"/>
        </w:rPr>
        <w:t>había</w:t>
      </w:r>
      <w:r>
        <w:rPr>
          <w:spacing w:val="19"/>
          <w:sz w:val="20"/>
        </w:rPr>
        <w:t xml:space="preserve"> </w:t>
      </w:r>
      <w:r>
        <w:rPr>
          <w:sz w:val="20"/>
        </w:rPr>
        <w:t>señalado</w:t>
      </w:r>
      <w:r>
        <w:rPr>
          <w:spacing w:val="17"/>
          <w:sz w:val="20"/>
        </w:rPr>
        <w:t xml:space="preserve"> </w:t>
      </w:r>
      <w:r>
        <w:rPr>
          <w:sz w:val="20"/>
        </w:rPr>
        <w:t>que</w:t>
      </w:r>
    </w:p>
    <w:p w14:paraId="078062D6" w14:textId="77777777" w:rsidR="00467FCA" w:rsidRDefault="001B68EB">
      <w:pPr>
        <w:pStyle w:val="Textoindependiente"/>
        <w:spacing w:before="3"/>
      </w:pPr>
      <w:r>
        <w:pict w14:anchorId="79F279A9">
          <v:shape id="_x0000_s1040" style="position:absolute;margin-left:70.9pt;margin-top:14.6pt;width:2in;height:.1pt;z-index:-251499520;mso-wrap-distance-left:0;mso-wrap-distance-right:0;mso-position-horizontal-relative:page" coordorigin="1418,292" coordsize="2880,0" path="m1418,292r2880,e" filled="f" strokeweight=".6pt">
            <v:path arrowok="t"/>
            <w10:wrap type="topAndBottom" anchorx="page"/>
          </v:shape>
        </w:pict>
      </w:r>
    </w:p>
    <w:p w14:paraId="635C4F08" w14:textId="77777777" w:rsidR="00467FCA" w:rsidRDefault="001B68EB">
      <w:pPr>
        <w:tabs>
          <w:tab w:val="left" w:pos="1166"/>
        </w:tabs>
        <w:spacing w:before="74"/>
        <w:ind w:left="458" w:right="272" w:hanging="1"/>
        <w:jc w:val="both"/>
        <w:rPr>
          <w:sz w:val="16"/>
        </w:rPr>
      </w:pPr>
      <w:bookmarkStart w:id="916" w:name="_bookmark835"/>
      <w:bookmarkEnd w:id="916"/>
      <w:r>
        <w:rPr>
          <w:position w:val="6"/>
          <w:sz w:val="10"/>
        </w:rPr>
        <w:t>153</w:t>
      </w:r>
      <w:r>
        <w:rPr>
          <w:position w:val="6"/>
          <w:sz w:val="10"/>
        </w:rPr>
        <w:tab/>
      </w:r>
      <w:r>
        <w:rPr>
          <w:i/>
          <w:sz w:val="16"/>
        </w:rPr>
        <w:t xml:space="preserve">Caso Apitz Barbera y otros (“Corte Primera de lo Contencioso Administrativo”) Vs. Venezuela. Excepción Preliminar, Fondo, Reparaciones y Costas. </w:t>
      </w:r>
      <w:r>
        <w:rPr>
          <w:sz w:val="16"/>
        </w:rPr>
        <w:t>Sentencia de 5 de agosto de 2008. Serie C No. 182, párr.</w:t>
      </w:r>
      <w:r>
        <w:rPr>
          <w:spacing w:val="-21"/>
          <w:sz w:val="16"/>
        </w:rPr>
        <w:t xml:space="preserve"> </w:t>
      </w:r>
      <w:r>
        <w:rPr>
          <w:sz w:val="16"/>
        </w:rPr>
        <w:t>209.</w:t>
      </w:r>
    </w:p>
    <w:p w14:paraId="6750D4F3" w14:textId="77777777" w:rsidR="00467FCA" w:rsidRDefault="001B68EB">
      <w:pPr>
        <w:tabs>
          <w:tab w:val="left" w:pos="1166"/>
        </w:tabs>
        <w:ind w:left="458" w:right="269"/>
        <w:jc w:val="both"/>
        <w:rPr>
          <w:sz w:val="16"/>
        </w:rPr>
      </w:pPr>
      <w:bookmarkStart w:id="917" w:name="_bookmark836"/>
      <w:bookmarkEnd w:id="917"/>
      <w:r>
        <w:rPr>
          <w:position w:val="6"/>
          <w:sz w:val="10"/>
        </w:rPr>
        <w:t>154</w:t>
      </w:r>
      <w:r>
        <w:rPr>
          <w:position w:val="6"/>
          <w:sz w:val="10"/>
        </w:rPr>
        <w:tab/>
      </w:r>
      <w:r>
        <w:rPr>
          <w:i/>
          <w:sz w:val="16"/>
        </w:rPr>
        <w:t>Cfr. Caso Duque Vs. Colombia, supra</w:t>
      </w:r>
      <w:r>
        <w:rPr>
          <w:sz w:val="16"/>
        </w:rPr>
        <w:t xml:space="preserve">, párr. 94; </w:t>
      </w:r>
      <w:r>
        <w:rPr>
          <w:i/>
          <w:sz w:val="16"/>
        </w:rPr>
        <w:t>Caso Flor Freire Vs. Ecuador. Excepción Preliminar, Fondo, Reparaciones y Costas</w:t>
      </w:r>
      <w:r>
        <w:rPr>
          <w:sz w:val="16"/>
        </w:rPr>
        <w:t xml:space="preserve">. Sentencia de 31 de agosto de 2016. Serie C No. 315, párr. 112, y </w:t>
      </w:r>
      <w:r>
        <w:rPr>
          <w:i/>
          <w:sz w:val="16"/>
        </w:rPr>
        <w:t>Caso Ramírez Escobar y otros Vs. Guatemala. Fondo, Reparacione</w:t>
      </w:r>
      <w:r>
        <w:rPr>
          <w:i/>
          <w:sz w:val="16"/>
        </w:rPr>
        <w:t>s y Costas</w:t>
      </w:r>
      <w:r>
        <w:rPr>
          <w:sz w:val="16"/>
        </w:rPr>
        <w:t xml:space="preserve">. Sentencia de 9 de marzo de 2018. Serie C No. 351, párr. 272. Aunque la Corte IDH, con posterioridad al </w:t>
      </w:r>
      <w:r>
        <w:rPr>
          <w:i/>
          <w:sz w:val="16"/>
        </w:rPr>
        <w:t xml:space="preserve">caso Apitz, </w:t>
      </w:r>
      <w:r>
        <w:rPr>
          <w:sz w:val="16"/>
        </w:rPr>
        <w:t>ha hecho referencia a la jurisprudencia que sentó en el caso YATAMA,</w:t>
      </w:r>
      <w:r>
        <w:rPr>
          <w:spacing w:val="-7"/>
          <w:sz w:val="16"/>
        </w:rPr>
        <w:t xml:space="preserve"> </w:t>
      </w:r>
      <w:r>
        <w:rPr>
          <w:sz w:val="16"/>
        </w:rPr>
        <w:t>es</w:t>
      </w:r>
      <w:r>
        <w:rPr>
          <w:spacing w:val="-5"/>
          <w:sz w:val="16"/>
        </w:rPr>
        <w:t xml:space="preserve"> </w:t>
      </w:r>
      <w:r>
        <w:rPr>
          <w:sz w:val="16"/>
        </w:rPr>
        <w:t>decir,</w:t>
      </w:r>
      <w:r>
        <w:rPr>
          <w:spacing w:val="-8"/>
          <w:sz w:val="16"/>
        </w:rPr>
        <w:t xml:space="preserve"> </w:t>
      </w:r>
      <w:r>
        <w:rPr>
          <w:sz w:val="16"/>
        </w:rPr>
        <w:t>que</w:t>
      </w:r>
      <w:r>
        <w:rPr>
          <w:spacing w:val="-7"/>
          <w:sz w:val="16"/>
        </w:rPr>
        <w:t xml:space="preserve"> </w:t>
      </w:r>
      <w:r>
        <w:rPr>
          <w:sz w:val="16"/>
        </w:rPr>
        <w:t>el</w:t>
      </w:r>
      <w:r>
        <w:rPr>
          <w:spacing w:val="-6"/>
          <w:sz w:val="16"/>
        </w:rPr>
        <w:t xml:space="preserve"> </w:t>
      </w:r>
      <w:r>
        <w:rPr>
          <w:sz w:val="16"/>
        </w:rPr>
        <w:t>artículo</w:t>
      </w:r>
      <w:r>
        <w:rPr>
          <w:spacing w:val="-4"/>
          <w:sz w:val="16"/>
        </w:rPr>
        <w:t xml:space="preserve"> </w:t>
      </w:r>
      <w:r>
        <w:rPr>
          <w:sz w:val="16"/>
        </w:rPr>
        <w:t>24</w:t>
      </w:r>
      <w:r>
        <w:rPr>
          <w:spacing w:val="-5"/>
          <w:sz w:val="16"/>
        </w:rPr>
        <w:t xml:space="preserve"> </w:t>
      </w:r>
      <w:r>
        <w:rPr>
          <w:sz w:val="16"/>
        </w:rPr>
        <w:t>prohíbe</w:t>
      </w:r>
      <w:r>
        <w:rPr>
          <w:spacing w:val="-5"/>
          <w:sz w:val="16"/>
        </w:rPr>
        <w:t xml:space="preserve"> </w:t>
      </w:r>
      <w:r>
        <w:rPr>
          <w:sz w:val="16"/>
        </w:rPr>
        <w:t>la</w:t>
      </w:r>
      <w:r>
        <w:rPr>
          <w:spacing w:val="-8"/>
          <w:sz w:val="16"/>
        </w:rPr>
        <w:t xml:space="preserve"> </w:t>
      </w:r>
      <w:r>
        <w:rPr>
          <w:sz w:val="16"/>
        </w:rPr>
        <w:t>discriminación</w:t>
      </w:r>
      <w:r>
        <w:rPr>
          <w:spacing w:val="-6"/>
          <w:sz w:val="16"/>
        </w:rPr>
        <w:t xml:space="preserve"> </w:t>
      </w:r>
      <w:r>
        <w:rPr>
          <w:sz w:val="16"/>
        </w:rPr>
        <w:t>de</w:t>
      </w:r>
      <w:r>
        <w:rPr>
          <w:spacing w:val="-7"/>
          <w:sz w:val="16"/>
        </w:rPr>
        <w:t xml:space="preserve"> </w:t>
      </w:r>
      <w:r>
        <w:rPr>
          <w:sz w:val="16"/>
        </w:rPr>
        <w:t>“d</w:t>
      </w:r>
      <w:r>
        <w:rPr>
          <w:sz w:val="16"/>
        </w:rPr>
        <w:t>erecho</w:t>
      </w:r>
      <w:r>
        <w:rPr>
          <w:spacing w:val="-7"/>
          <w:sz w:val="16"/>
        </w:rPr>
        <w:t xml:space="preserve"> </w:t>
      </w:r>
      <w:r>
        <w:rPr>
          <w:sz w:val="16"/>
        </w:rPr>
        <w:t>o</w:t>
      </w:r>
      <w:r>
        <w:rPr>
          <w:spacing w:val="-7"/>
          <w:sz w:val="16"/>
        </w:rPr>
        <w:t xml:space="preserve"> </w:t>
      </w:r>
      <w:r>
        <w:rPr>
          <w:sz w:val="16"/>
        </w:rPr>
        <w:t>de</w:t>
      </w:r>
      <w:r>
        <w:rPr>
          <w:spacing w:val="-6"/>
          <w:sz w:val="16"/>
        </w:rPr>
        <w:t xml:space="preserve"> </w:t>
      </w:r>
      <w:r>
        <w:rPr>
          <w:sz w:val="16"/>
        </w:rPr>
        <w:t>hecho”,</w:t>
      </w:r>
      <w:r>
        <w:rPr>
          <w:spacing w:val="-8"/>
          <w:sz w:val="16"/>
        </w:rPr>
        <w:t xml:space="preserve"> </w:t>
      </w:r>
      <w:r>
        <w:rPr>
          <w:sz w:val="16"/>
        </w:rPr>
        <w:t>el</w:t>
      </w:r>
      <w:r>
        <w:rPr>
          <w:spacing w:val="-8"/>
          <w:sz w:val="16"/>
        </w:rPr>
        <w:t xml:space="preserve"> </w:t>
      </w:r>
      <w:r>
        <w:rPr>
          <w:sz w:val="16"/>
        </w:rPr>
        <w:t>entendimiento</w:t>
      </w:r>
      <w:r>
        <w:rPr>
          <w:spacing w:val="-4"/>
          <w:sz w:val="16"/>
        </w:rPr>
        <w:t xml:space="preserve"> </w:t>
      </w:r>
      <w:r>
        <w:rPr>
          <w:sz w:val="16"/>
        </w:rPr>
        <w:t>del</w:t>
      </w:r>
      <w:r>
        <w:rPr>
          <w:spacing w:val="-6"/>
          <w:sz w:val="16"/>
        </w:rPr>
        <w:t xml:space="preserve"> </w:t>
      </w:r>
      <w:r>
        <w:rPr>
          <w:sz w:val="16"/>
        </w:rPr>
        <w:t>Tribunal Interamericano respecto del artículo 24 es que se refiere a la prohibicion de discriminación de</w:t>
      </w:r>
      <w:r>
        <w:rPr>
          <w:spacing w:val="-23"/>
          <w:sz w:val="16"/>
        </w:rPr>
        <w:t xml:space="preserve"> </w:t>
      </w:r>
      <w:r>
        <w:rPr>
          <w:sz w:val="16"/>
        </w:rPr>
        <w:t>derecho.</w:t>
      </w:r>
    </w:p>
    <w:p w14:paraId="23064F76" w14:textId="77777777" w:rsidR="00467FCA" w:rsidRDefault="001B68EB">
      <w:pPr>
        <w:tabs>
          <w:tab w:val="left" w:pos="1166"/>
        </w:tabs>
        <w:ind w:left="458" w:right="270"/>
        <w:jc w:val="both"/>
        <w:rPr>
          <w:sz w:val="16"/>
        </w:rPr>
      </w:pPr>
      <w:bookmarkStart w:id="918" w:name="_bookmark837"/>
      <w:bookmarkEnd w:id="918"/>
      <w:r>
        <w:rPr>
          <w:position w:val="6"/>
          <w:sz w:val="10"/>
        </w:rPr>
        <w:t>155</w:t>
      </w:r>
      <w:r>
        <w:rPr>
          <w:position w:val="6"/>
          <w:sz w:val="10"/>
        </w:rPr>
        <w:tab/>
      </w:r>
      <w:r>
        <w:rPr>
          <w:i/>
          <w:sz w:val="16"/>
        </w:rPr>
        <w:t xml:space="preserve">Cfr. Caso Véliz Franco y otros Vs. Guatemala. Excepciones Preliminares, Fondo, Reparaciones y Costas. </w:t>
      </w:r>
      <w:r>
        <w:rPr>
          <w:sz w:val="16"/>
        </w:rPr>
        <w:t xml:space="preserve">Sentencia de 19 de mayo de 2014. Serie C No. 277, párr. 215, y </w:t>
      </w:r>
      <w:r>
        <w:rPr>
          <w:i/>
          <w:sz w:val="16"/>
        </w:rPr>
        <w:t xml:space="preserve">Caso Velásquez Paiz y otros Vs. Guatemala. Excepciones Preliminares, Fondo, Reparaciones y </w:t>
      </w:r>
      <w:r>
        <w:rPr>
          <w:i/>
          <w:sz w:val="16"/>
        </w:rPr>
        <w:t>Costas</w:t>
      </w:r>
      <w:r>
        <w:rPr>
          <w:sz w:val="16"/>
        </w:rPr>
        <w:t>. Sentencia de 19 de noviembre de 2015. Serie C No. 307, párr.</w:t>
      </w:r>
      <w:r>
        <w:rPr>
          <w:spacing w:val="-1"/>
          <w:sz w:val="16"/>
        </w:rPr>
        <w:t xml:space="preserve"> </w:t>
      </w:r>
      <w:r>
        <w:rPr>
          <w:sz w:val="16"/>
        </w:rPr>
        <w:t>199.</w:t>
      </w:r>
    </w:p>
    <w:p w14:paraId="44232BE5" w14:textId="77777777" w:rsidR="00467FCA" w:rsidRDefault="001B68EB">
      <w:pPr>
        <w:tabs>
          <w:tab w:val="left" w:pos="1166"/>
        </w:tabs>
        <w:ind w:left="458" w:right="273" w:hanging="1"/>
        <w:jc w:val="both"/>
        <w:rPr>
          <w:sz w:val="16"/>
        </w:rPr>
      </w:pPr>
      <w:bookmarkStart w:id="919" w:name="_bookmark838"/>
      <w:bookmarkEnd w:id="919"/>
      <w:r>
        <w:rPr>
          <w:position w:val="6"/>
          <w:sz w:val="10"/>
        </w:rPr>
        <w:t>156</w:t>
      </w:r>
      <w:r>
        <w:rPr>
          <w:position w:val="6"/>
          <w:sz w:val="10"/>
        </w:rPr>
        <w:tab/>
      </w:r>
      <w:r>
        <w:rPr>
          <w:i/>
          <w:sz w:val="16"/>
        </w:rPr>
        <w:t>Cfr.</w:t>
      </w:r>
      <w:r>
        <w:rPr>
          <w:i/>
          <w:spacing w:val="-11"/>
          <w:sz w:val="16"/>
        </w:rPr>
        <w:t xml:space="preserve"> </w:t>
      </w:r>
      <w:r>
        <w:rPr>
          <w:i/>
          <w:sz w:val="16"/>
        </w:rPr>
        <w:t>Caso</w:t>
      </w:r>
      <w:r>
        <w:rPr>
          <w:i/>
          <w:spacing w:val="-9"/>
          <w:sz w:val="16"/>
        </w:rPr>
        <w:t xml:space="preserve"> </w:t>
      </w:r>
      <w:r>
        <w:rPr>
          <w:i/>
          <w:sz w:val="16"/>
        </w:rPr>
        <w:t>Véliz</w:t>
      </w:r>
      <w:r>
        <w:rPr>
          <w:i/>
          <w:spacing w:val="-10"/>
          <w:sz w:val="16"/>
        </w:rPr>
        <w:t xml:space="preserve"> </w:t>
      </w:r>
      <w:r>
        <w:rPr>
          <w:i/>
          <w:sz w:val="16"/>
        </w:rPr>
        <w:t>Franco</w:t>
      </w:r>
      <w:r>
        <w:rPr>
          <w:i/>
          <w:spacing w:val="-10"/>
          <w:sz w:val="16"/>
        </w:rPr>
        <w:t xml:space="preserve"> </w:t>
      </w:r>
      <w:r>
        <w:rPr>
          <w:i/>
          <w:sz w:val="16"/>
        </w:rPr>
        <w:t>y</w:t>
      </w:r>
      <w:r>
        <w:rPr>
          <w:i/>
          <w:spacing w:val="-9"/>
          <w:sz w:val="16"/>
        </w:rPr>
        <w:t xml:space="preserve"> </w:t>
      </w:r>
      <w:r>
        <w:rPr>
          <w:i/>
          <w:sz w:val="16"/>
        </w:rPr>
        <w:t>otros</w:t>
      </w:r>
      <w:r>
        <w:rPr>
          <w:i/>
          <w:spacing w:val="-14"/>
          <w:sz w:val="16"/>
        </w:rPr>
        <w:t xml:space="preserve"> </w:t>
      </w:r>
      <w:r>
        <w:rPr>
          <w:i/>
          <w:sz w:val="16"/>
        </w:rPr>
        <w:t>Vs.</w:t>
      </w:r>
      <w:r>
        <w:rPr>
          <w:i/>
          <w:spacing w:val="-11"/>
          <w:sz w:val="16"/>
        </w:rPr>
        <w:t xml:space="preserve"> </w:t>
      </w:r>
      <w:r>
        <w:rPr>
          <w:i/>
          <w:sz w:val="16"/>
        </w:rPr>
        <w:t>Guatemala,</w:t>
      </w:r>
      <w:r>
        <w:rPr>
          <w:i/>
          <w:spacing w:val="-10"/>
          <w:sz w:val="16"/>
        </w:rPr>
        <w:t xml:space="preserve"> </w:t>
      </w:r>
      <w:r>
        <w:rPr>
          <w:i/>
          <w:sz w:val="16"/>
        </w:rPr>
        <w:t>supra</w:t>
      </w:r>
      <w:r>
        <w:rPr>
          <w:sz w:val="16"/>
        </w:rPr>
        <w:t>,</w:t>
      </w:r>
      <w:r>
        <w:rPr>
          <w:spacing w:val="-13"/>
          <w:sz w:val="16"/>
        </w:rPr>
        <w:t xml:space="preserve"> </w:t>
      </w:r>
      <w:r>
        <w:rPr>
          <w:sz w:val="16"/>
        </w:rPr>
        <w:t>párr.</w:t>
      </w:r>
      <w:r>
        <w:rPr>
          <w:spacing w:val="-11"/>
          <w:sz w:val="16"/>
        </w:rPr>
        <w:t xml:space="preserve"> </w:t>
      </w:r>
      <w:r>
        <w:rPr>
          <w:sz w:val="16"/>
        </w:rPr>
        <w:t>208,</w:t>
      </w:r>
      <w:r>
        <w:rPr>
          <w:spacing w:val="-12"/>
          <w:sz w:val="16"/>
        </w:rPr>
        <w:t xml:space="preserve"> </w:t>
      </w:r>
      <w:r>
        <w:rPr>
          <w:sz w:val="16"/>
        </w:rPr>
        <w:t>y</w:t>
      </w:r>
      <w:r>
        <w:rPr>
          <w:spacing w:val="-9"/>
          <w:sz w:val="16"/>
        </w:rPr>
        <w:t xml:space="preserve"> </w:t>
      </w:r>
      <w:r>
        <w:rPr>
          <w:i/>
          <w:sz w:val="16"/>
        </w:rPr>
        <w:t>Caso</w:t>
      </w:r>
      <w:r>
        <w:rPr>
          <w:i/>
          <w:spacing w:val="-11"/>
          <w:sz w:val="16"/>
        </w:rPr>
        <w:t xml:space="preserve"> </w:t>
      </w:r>
      <w:r>
        <w:rPr>
          <w:i/>
          <w:sz w:val="16"/>
        </w:rPr>
        <w:t>Velásquez</w:t>
      </w:r>
      <w:r>
        <w:rPr>
          <w:i/>
          <w:spacing w:val="-13"/>
          <w:sz w:val="16"/>
        </w:rPr>
        <w:t xml:space="preserve"> </w:t>
      </w:r>
      <w:r>
        <w:rPr>
          <w:i/>
          <w:sz w:val="16"/>
        </w:rPr>
        <w:t>Paiz</w:t>
      </w:r>
      <w:r>
        <w:rPr>
          <w:i/>
          <w:spacing w:val="-9"/>
          <w:sz w:val="16"/>
        </w:rPr>
        <w:t xml:space="preserve"> </w:t>
      </w:r>
      <w:r>
        <w:rPr>
          <w:i/>
          <w:sz w:val="16"/>
        </w:rPr>
        <w:t>y</w:t>
      </w:r>
      <w:r>
        <w:rPr>
          <w:i/>
          <w:spacing w:val="-9"/>
          <w:sz w:val="16"/>
        </w:rPr>
        <w:t xml:space="preserve"> </w:t>
      </w:r>
      <w:r>
        <w:rPr>
          <w:i/>
          <w:sz w:val="16"/>
        </w:rPr>
        <w:t>otros</w:t>
      </w:r>
      <w:r>
        <w:rPr>
          <w:i/>
          <w:spacing w:val="-12"/>
          <w:sz w:val="16"/>
        </w:rPr>
        <w:t xml:space="preserve"> </w:t>
      </w:r>
      <w:r>
        <w:rPr>
          <w:i/>
          <w:sz w:val="16"/>
        </w:rPr>
        <w:t>Vs.</w:t>
      </w:r>
      <w:r>
        <w:rPr>
          <w:i/>
          <w:spacing w:val="-11"/>
          <w:sz w:val="16"/>
        </w:rPr>
        <w:t xml:space="preserve"> </w:t>
      </w:r>
      <w:r>
        <w:rPr>
          <w:i/>
          <w:sz w:val="16"/>
        </w:rPr>
        <w:t>Guatemala, supra</w:t>
      </w:r>
      <w:r>
        <w:rPr>
          <w:sz w:val="16"/>
        </w:rPr>
        <w:t>, párr.</w:t>
      </w:r>
      <w:r>
        <w:rPr>
          <w:spacing w:val="-4"/>
          <w:sz w:val="16"/>
        </w:rPr>
        <w:t xml:space="preserve"> </w:t>
      </w:r>
      <w:r>
        <w:rPr>
          <w:sz w:val="16"/>
        </w:rPr>
        <w:t>176.</w:t>
      </w:r>
    </w:p>
    <w:p w14:paraId="1457DBB7" w14:textId="77777777" w:rsidR="00467FCA" w:rsidRDefault="001B68EB">
      <w:pPr>
        <w:tabs>
          <w:tab w:val="left" w:pos="1166"/>
        </w:tabs>
        <w:ind w:left="458" w:right="273"/>
        <w:jc w:val="both"/>
        <w:rPr>
          <w:sz w:val="16"/>
        </w:rPr>
      </w:pPr>
      <w:bookmarkStart w:id="920" w:name="_bookmark839"/>
      <w:bookmarkEnd w:id="920"/>
      <w:r>
        <w:rPr>
          <w:position w:val="6"/>
          <w:sz w:val="10"/>
        </w:rPr>
        <w:t>157</w:t>
      </w:r>
      <w:r>
        <w:rPr>
          <w:position w:val="6"/>
          <w:sz w:val="10"/>
        </w:rPr>
        <w:tab/>
      </w:r>
      <w:r>
        <w:rPr>
          <w:i/>
          <w:sz w:val="16"/>
        </w:rPr>
        <w:t>Caso V.R.P., V.P.C. y otros Vs. Nicaragua. Excepciones Preliminares, Fondo, Reparaciones y Costas</w:t>
      </w:r>
      <w:r>
        <w:rPr>
          <w:sz w:val="16"/>
        </w:rPr>
        <w:t>. Sentencia de 8 de marzo de 2018. Serie C No. 350, párr.</w:t>
      </w:r>
      <w:r>
        <w:rPr>
          <w:spacing w:val="-16"/>
          <w:sz w:val="16"/>
        </w:rPr>
        <w:t xml:space="preserve"> </w:t>
      </w:r>
      <w:r>
        <w:rPr>
          <w:sz w:val="16"/>
        </w:rPr>
        <w:t>289.</w:t>
      </w:r>
    </w:p>
    <w:p w14:paraId="0994C810" w14:textId="77777777" w:rsidR="00467FCA" w:rsidRDefault="001B68EB">
      <w:pPr>
        <w:tabs>
          <w:tab w:val="left" w:pos="1166"/>
        </w:tabs>
        <w:ind w:left="458" w:right="270"/>
        <w:jc w:val="both"/>
        <w:rPr>
          <w:sz w:val="16"/>
        </w:rPr>
      </w:pPr>
      <w:bookmarkStart w:id="921" w:name="_bookmark840"/>
      <w:bookmarkEnd w:id="921"/>
      <w:r>
        <w:rPr>
          <w:position w:val="6"/>
          <w:sz w:val="10"/>
        </w:rPr>
        <w:t>158</w:t>
      </w:r>
      <w:r>
        <w:rPr>
          <w:position w:val="6"/>
          <w:sz w:val="10"/>
        </w:rPr>
        <w:tab/>
      </w:r>
      <w:r>
        <w:rPr>
          <w:sz w:val="16"/>
        </w:rPr>
        <w:t>No fue la primera ocasión que el Tribunal lo indicaba. El mismo analisis había sido externad</w:t>
      </w:r>
      <w:r>
        <w:rPr>
          <w:sz w:val="16"/>
        </w:rPr>
        <w:t>o en los casos YATAMA</w:t>
      </w:r>
      <w:r>
        <w:rPr>
          <w:spacing w:val="-8"/>
          <w:sz w:val="16"/>
        </w:rPr>
        <w:t xml:space="preserve"> </w:t>
      </w:r>
      <w:r>
        <w:rPr>
          <w:sz w:val="16"/>
        </w:rPr>
        <w:t>y</w:t>
      </w:r>
      <w:r>
        <w:rPr>
          <w:spacing w:val="-6"/>
          <w:sz w:val="16"/>
        </w:rPr>
        <w:t xml:space="preserve"> </w:t>
      </w:r>
      <w:r>
        <w:rPr>
          <w:sz w:val="16"/>
        </w:rPr>
        <w:t>Vélez</w:t>
      </w:r>
      <w:r>
        <w:rPr>
          <w:spacing w:val="-5"/>
          <w:sz w:val="16"/>
        </w:rPr>
        <w:t xml:space="preserve"> </w:t>
      </w:r>
      <w:r>
        <w:rPr>
          <w:sz w:val="16"/>
        </w:rPr>
        <w:t>Loor.</w:t>
      </w:r>
      <w:r>
        <w:rPr>
          <w:spacing w:val="-6"/>
          <w:sz w:val="16"/>
        </w:rPr>
        <w:t xml:space="preserve"> </w:t>
      </w:r>
      <w:r>
        <w:rPr>
          <w:sz w:val="16"/>
        </w:rPr>
        <w:t>En</w:t>
      </w:r>
      <w:r>
        <w:rPr>
          <w:spacing w:val="-6"/>
          <w:sz w:val="16"/>
        </w:rPr>
        <w:t xml:space="preserve"> </w:t>
      </w:r>
      <w:r>
        <w:rPr>
          <w:sz w:val="16"/>
        </w:rPr>
        <w:t>esos</w:t>
      </w:r>
      <w:r>
        <w:rPr>
          <w:spacing w:val="-7"/>
          <w:sz w:val="16"/>
        </w:rPr>
        <w:t xml:space="preserve"> </w:t>
      </w:r>
      <w:r>
        <w:rPr>
          <w:sz w:val="16"/>
        </w:rPr>
        <w:t>casos,</w:t>
      </w:r>
      <w:r>
        <w:rPr>
          <w:spacing w:val="-6"/>
          <w:sz w:val="16"/>
        </w:rPr>
        <w:t xml:space="preserve"> </w:t>
      </w:r>
      <w:r>
        <w:rPr>
          <w:sz w:val="16"/>
        </w:rPr>
        <w:t>sin</w:t>
      </w:r>
      <w:r>
        <w:rPr>
          <w:spacing w:val="-6"/>
          <w:sz w:val="16"/>
        </w:rPr>
        <w:t xml:space="preserve"> </w:t>
      </w:r>
      <w:r>
        <w:rPr>
          <w:sz w:val="16"/>
        </w:rPr>
        <w:t>embargo,</w:t>
      </w:r>
      <w:r>
        <w:rPr>
          <w:spacing w:val="-6"/>
          <w:sz w:val="16"/>
        </w:rPr>
        <w:t xml:space="preserve"> </w:t>
      </w:r>
      <w:r>
        <w:rPr>
          <w:sz w:val="16"/>
        </w:rPr>
        <w:t>no</w:t>
      </w:r>
      <w:r>
        <w:rPr>
          <w:spacing w:val="-5"/>
          <w:sz w:val="16"/>
        </w:rPr>
        <w:t xml:space="preserve"> </w:t>
      </w:r>
      <w:r>
        <w:rPr>
          <w:sz w:val="16"/>
        </w:rPr>
        <w:t>se</w:t>
      </w:r>
      <w:r>
        <w:rPr>
          <w:spacing w:val="-5"/>
          <w:sz w:val="16"/>
        </w:rPr>
        <w:t xml:space="preserve"> </w:t>
      </w:r>
      <w:r>
        <w:rPr>
          <w:sz w:val="16"/>
        </w:rPr>
        <w:t>habia</w:t>
      </w:r>
      <w:r>
        <w:rPr>
          <w:spacing w:val="-6"/>
          <w:sz w:val="16"/>
        </w:rPr>
        <w:t xml:space="preserve"> </w:t>
      </w:r>
      <w:r>
        <w:rPr>
          <w:sz w:val="16"/>
        </w:rPr>
        <w:t>hecho</w:t>
      </w:r>
      <w:r>
        <w:rPr>
          <w:spacing w:val="-7"/>
          <w:sz w:val="16"/>
        </w:rPr>
        <w:t xml:space="preserve"> </w:t>
      </w:r>
      <w:r>
        <w:rPr>
          <w:sz w:val="16"/>
        </w:rPr>
        <w:t>un</w:t>
      </w:r>
      <w:r>
        <w:rPr>
          <w:spacing w:val="-6"/>
          <w:sz w:val="16"/>
        </w:rPr>
        <w:t xml:space="preserve"> </w:t>
      </w:r>
      <w:r>
        <w:rPr>
          <w:sz w:val="16"/>
        </w:rPr>
        <w:t>abordaje</w:t>
      </w:r>
      <w:r>
        <w:rPr>
          <w:spacing w:val="-5"/>
          <w:sz w:val="16"/>
        </w:rPr>
        <w:t xml:space="preserve"> </w:t>
      </w:r>
      <w:r>
        <w:rPr>
          <w:sz w:val="16"/>
        </w:rPr>
        <w:t>con</w:t>
      </w:r>
      <w:r>
        <w:rPr>
          <w:spacing w:val="-6"/>
          <w:sz w:val="16"/>
        </w:rPr>
        <w:t xml:space="preserve"> </w:t>
      </w:r>
      <w:r>
        <w:rPr>
          <w:sz w:val="16"/>
        </w:rPr>
        <w:t>las</w:t>
      </w:r>
      <w:r>
        <w:rPr>
          <w:spacing w:val="-7"/>
          <w:sz w:val="16"/>
        </w:rPr>
        <w:t xml:space="preserve"> </w:t>
      </w:r>
      <w:r>
        <w:rPr>
          <w:sz w:val="16"/>
        </w:rPr>
        <w:t>precisiones</w:t>
      </w:r>
      <w:r>
        <w:rPr>
          <w:spacing w:val="-7"/>
          <w:sz w:val="16"/>
        </w:rPr>
        <w:t xml:space="preserve"> </w:t>
      </w:r>
      <w:r>
        <w:rPr>
          <w:sz w:val="16"/>
        </w:rPr>
        <w:t>que</w:t>
      </w:r>
      <w:r>
        <w:rPr>
          <w:spacing w:val="-8"/>
          <w:sz w:val="16"/>
        </w:rPr>
        <w:t xml:space="preserve"> </w:t>
      </w:r>
      <w:r>
        <w:rPr>
          <w:sz w:val="16"/>
        </w:rPr>
        <w:t>se</w:t>
      </w:r>
      <w:r>
        <w:rPr>
          <w:spacing w:val="-5"/>
          <w:sz w:val="16"/>
        </w:rPr>
        <w:t xml:space="preserve"> </w:t>
      </w:r>
      <w:r>
        <w:rPr>
          <w:sz w:val="16"/>
        </w:rPr>
        <w:t xml:space="preserve">hicieron en el caso </w:t>
      </w:r>
      <w:r>
        <w:rPr>
          <w:i/>
          <w:sz w:val="16"/>
        </w:rPr>
        <w:t>V.R.P., V.C.P. y otros</w:t>
      </w:r>
      <w:r>
        <w:rPr>
          <w:sz w:val="16"/>
        </w:rPr>
        <w:t xml:space="preserve">. </w:t>
      </w:r>
      <w:r>
        <w:rPr>
          <w:i/>
          <w:sz w:val="16"/>
        </w:rPr>
        <w:t>Cfr. Caso Yatama Vs. Nicaragua, supra</w:t>
      </w:r>
      <w:r>
        <w:rPr>
          <w:sz w:val="16"/>
        </w:rPr>
        <w:t xml:space="preserve">, párr. 185, y </w:t>
      </w:r>
      <w:r>
        <w:rPr>
          <w:i/>
          <w:sz w:val="16"/>
        </w:rPr>
        <w:t>Caso Vélez Loor Vs. Panamá. Excepciones</w:t>
      </w:r>
      <w:r>
        <w:rPr>
          <w:i/>
          <w:sz w:val="16"/>
        </w:rPr>
        <w:t xml:space="preserve"> Preliminares, Fondo, Reparaciones y Costas</w:t>
      </w:r>
      <w:r>
        <w:rPr>
          <w:sz w:val="16"/>
        </w:rPr>
        <w:t>. Sentencia de 23 de noviembre de 2010. Serie C No. 218, párr.</w:t>
      </w:r>
      <w:r>
        <w:rPr>
          <w:spacing w:val="-1"/>
          <w:sz w:val="16"/>
        </w:rPr>
        <w:t xml:space="preserve"> </w:t>
      </w:r>
      <w:r>
        <w:rPr>
          <w:sz w:val="16"/>
        </w:rPr>
        <w:t>248.</w:t>
      </w:r>
    </w:p>
    <w:p w14:paraId="2BCBB35A" w14:textId="77777777" w:rsidR="00467FCA" w:rsidRDefault="00467FCA">
      <w:pPr>
        <w:jc w:val="both"/>
        <w:rPr>
          <w:sz w:val="16"/>
        </w:rPr>
        <w:sectPr w:rsidR="00467FCA">
          <w:pgSz w:w="12240" w:h="15840"/>
          <w:pgMar w:top="1340" w:right="1140" w:bottom="920" w:left="960" w:header="0" w:footer="734" w:gutter="0"/>
          <w:cols w:space="720"/>
        </w:sectPr>
      </w:pPr>
    </w:p>
    <w:p w14:paraId="40AC5D9C" w14:textId="77777777" w:rsidR="00467FCA" w:rsidRDefault="001B68EB">
      <w:pPr>
        <w:pStyle w:val="Textoindependiente"/>
        <w:spacing w:before="81" w:line="237" w:lineRule="auto"/>
        <w:ind w:left="458" w:right="276"/>
        <w:jc w:val="both"/>
      </w:pPr>
      <w:r>
        <w:t>“los Estados están obligados a adoptar medidas positivas para revertir o cambiar situaciones discriminatorias</w:t>
      </w:r>
      <w:r>
        <w:rPr>
          <w:spacing w:val="-17"/>
        </w:rPr>
        <w:t xml:space="preserve"> </w:t>
      </w:r>
      <w:r>
        <w:t>existentes</w:t>
      </w:r>
      <w:r>
        <w:rPr>
          <w:spacing w:val="-17"/>
        </w:rPr>
        <w:t xml:space="preserve"> </w:t>
      </w:r>
      <w:r>
        <w:t>en</w:t>
      </w:r>
      <w:r>
        <w:rPr>
          <w:spacing w:val="-14"/>
        </w:rPr>
        <w:t xml:space="preserve"> </w:t>
      </w:r>
      <w:r>
        <w:t>sus</w:t>
      </w:r>
      <w:r>
        <w:rPr>
          <w:spacing w:val="-17"/>
        </w:rPr>
        <w:t xml:space="preserve"> </w:t>
      </w:r>
      <w:r>
        <w:t>soc</w:t>
      </w:r>
      <w:r>
        <w:t>iedades,</w:t>
      </w:r>
      <w:r>
        <w:rPr>
          <w:spacing w:val="-16"/>
        </w:rPr>
        <w:t xml:space="preserve"> </w:t>
      </w:r>
      <w:r>
        <w:t>en</w:t>
      </w:r>
      <w:r>
        <w:rPr>
          <w:spacing w:val="-17"/>
        </w:rPr>
        <w:t xml:space="preserve"> </w:t>
      </w:r>
      <w:r>
        <w:t>perjuicio</w:t>
      </w:r>
      <w:r>
        <w:rPr>
          <w:spacing w:val="-19"/>
        </w:rPr>
        <w:t xml:space="preserve"> </w:t>
      </w:r>
      <w:r>
        <w:t>de</w:t>
      </w:r>
      <w:r>
        <w:rPr>
          <w:spacing w:val="-20"/>
        </w:rPr>
        <w:t xml:space="preserve"> </w:t>
      </w:r>
      <w:r>
        <w:t>determinado</w:t>
      </w:r>
      <w:r>
        <w:rPr>
          <w:spacing w:val="-19"/>
        </w:rPr>
        <w:t xml:space="preserve"> </w:t>
      </w:r>
      <w:r>
        <w:t>grupo</w:t>
      </w:r>
      <w:r>
        <w:rPr>
          <w:spacing w:val="-19"/>
        </w:rPr>
        <w:t xml:space="preserve"> </w:t>
      </w:r>
      <w:r>
        <w:t>de</w:t>
      </w:r>
      <w:r>
        <w:rPr>
          <w:spacing w:val="-20"/>
        </w:rPr>
        <w:t xml:space="preserve"> </w:t>
      </w:r>
      <w:r>
        <w:t>personas. Esto</w:t>
      </w:r>
      <w:r>
        <w:rPr>
          <w:spacing w:val="-22"/>
        </w:rPr>
        <w:t xml:space="preserve"> </w:t>
      </w:r>
      <w:r>
        <w:t>implica</w:t>
      </w:r>
      <w:r>
        <w:rPr>
          <w:spacing w:val="-18"/>
        </w:rPr>
        <w:t xml:space="preserve"> </w:t>
      </w:r>
      <w:r>
        <w:t>el</w:t>
      </w:r>
      <w:r>
        <w:rPr>
          <w:spacing w:val="-20"/>
        </w:rPr>
        <w:t xml:space="preserve"> </w:t>
      </w:r>
      <w:r>
        <w:t>deber</w:t>
      </w:r>
      <w:r>
        <w:rPr>
          <w:spacing w:val="-19"/>
        </w:rPr>
        <w:t xml:space="preserve"> </w:t>
      </w:r>
      <w:r>
        <w:t>especial</w:t>
      </w:r>
      <w:r>
        <w:rPr>
          <w:spacing w:val="-20"/>
        </w:rPr>
        <w:t xml:space="preserve"> </w:t>
      </w:r>
      <w:r>
        <w:t>de</w:t>
      </w:r>
      <w:r>
        <w:rPr>
          <w:spacing w:val="-22"/>
        </w:rPr>
        <w:t xml:space="preserve"> </w:t>
      </w:r>
      <w:r>
        <w:t>protección</w:t>
      </w:r>
      <w:r>
        <w:rPr>
          <w:spacing w:val="-19"/>
        </w:rPr>
        <w:t xml:space="preserve"> </w:t>
      </w:r>
      <w:r>
        <w:t>que</w:t>
      </w:r>
      <w:r>
        <w:rPr>
          <w:spacing w:val="-22"/>
        </w:rPr>
        <w:t xml:space="preserve"> </w:t>
      </w:r>
      <w:r>
        <w:t>el</w:t>
      </w:r>
      <w:r>
        <w:rPr>
          <w:spacing w:val="-20"/>
        </w:rPr>
        <w:t xml:space="preserve"> </w:t>
      </w:r>
      <w:r>
        <w:t>Estado</w:t>
      </w:r>
      <w:r>
        <w:rPr>
          <w:spacing w:val="-21"/>
        </w:rPr>
        <w:t xml:space="preserve"> </w:t>
      </w:r>
      <w:r>
        <w:t>debe</w:t>
      </w:r>
      <w:r>
        <w:rPr>
          <w:spacing w:val="-20"/>
        </w:rPr>
        <w:t xml:space="preserve"> </w:t>
      </w:r>
      <w:r>
        <w:t>ejercer</w:t>
      </w:r>
      <w:r>
        <w:rPr>
          <w:spacing w:val="-19"/>
        </w:rPr>
        <w:t xml:space="preserve"> </w:t>
      </w:r>
      <w:r>
        <w:t>respecto</w:t>
      </w:r>
      <w:r>
        <w:rPr>
          <w:spacing w:val="-19"/>
        </w:rPr>
        <w:t xml:space="preserve"> </w:t>
      </w:r>
      <w:r>
        <w:t>de</w:t>
      </w:r>
      <w:r>
        <w:rPr>
          <w:spacing w:val="-22"/>
        </w:rPr>
        <w:t xml:space="preserve"> </w:t>
      </w:r>
      <w:r>
        <w:t>actuaciones y</w:t>
      </w:r>
      <w:r>
        <w:rPr>
          <w:spacing w:val="-14"/>
        </w:rPr>
        <w:t xml:space="preserve"> </w:t>
      </w:r>
      <w:r>
        <w:t>prácticas</w:t>
      </w:r>
      <w:r>
        <w:rPr>
          <w:spacing w:val="-13"/>
        </w:rPr>
        <w:t xml:space="preserve"> </w:t>
      </w:r>
      <w:r>
        <w:t>de</w:t>
      </w:r>
      <w:r>
        <w:rPr>
          <w:spacing w:val="-15"/>
        </w:rPr>
        <w:t xml:space="preserve"> </w:t>
      </w:r>
      <w:r>
        <w:t>terceros</w:t>
      </w:r>
      <w:r>
        <w:rPr>
          <w:spacing w:val="-13"/>
        </w:rPr>
        <w:t xml:space="preserve"> </w:t>
      </w:r>
      <w:r>
        <w:t>que,</w:t>
      </w:r>
      <w:r>
        <w:rPr>
          <w:spacing w:val="-14"/>
        </w:rPr>
        <w:t xml:space="preserve"> </w:t>
      </w:r>
      <w:r>
        <w:t>bajo</w:t>
      </w:r>
      <w:r>
        <w:rPr>
          <w:spacing w:val="-11"/>
        </w:rPr>
        <w:t xml:space="preserve"> </w:t>
      </w:r>
      <w:r>
        <w:t>su</w:t>
      </w:r>
      <w:r>
        <w:rPr>
          <w:spacing w:val="-13"/>
        </w:rPr>
        <w:t xml:space="preserve"> </w:t>
      </w:r>
      <w:r>
        <w:t>tolerancia</w:t>
      </w:r>
      <w:r>
        <w:rPr>
          <w:spacing w:val="-10"/>
        </w:rPr>
        <w:t xml:space="preserve"> </w:t>
      </w:r>
      <w:r>
        <w:t>o</w:t>
      </w:r>
      <w:r>
        <w:rPr>
          <w:spacing w:val="-12"/>
        </w:rPr>
        <w:t xml:space="preserve"> </w:t>
      </w:r>
      <w:r>
        <w:t>aquiescencia,</w:t>
      </w:r>
      <w:r>
        <w:rPr>
          <w:spacing w:val="-11"/>
        </w:rPr>
        <w:t xml:space="preserve"> </w:t>
      </w:r>
      <w:r>
        <w:t>creen,</w:t>
      </w:r>
      <w:r>
        <w:rPr>
          <w:spacing w:val="-13"/>
        </w:rPr>
        <w:t xml:space="preserve"> </w:t>
      </w:r>
      <w:r>
        <w:t>mantengan</w:t>
      </w:r>
      <w:r>
        <w:rPr>
          <w:spacing w:val="-13"/>
        </w:rPr>
        <w:t xml:space="preserve"> </w:t>
      </w:r>
      <w:r>
        <w:t>o</w:t>
      </w:r>
      <w:r>
        <w:rPr>
          <w:spacing w:val="-14"/>
        </w:rPr>
        <w:t xml:space="preserve"> </w:t>
      </w:r>
      <w:r>
        <w:t>favorezcan las situaciones</w:t>
      </w:r>
      <w:r>
        <w:rPr>
          <w:spacing w:val="-2"/>
        </w:rPr>
        <w:t xml:space="preserve"> </w:t>
      </w:r>
      <w:r>
        <w:t>discriminatorias”</w:t>
      </w:r>
      <w:hyperlink w:anchor="_bookmark841" w:history="1">
        <w:r>
          <w:rPr>
            <w:rFonts w:ascii="Calibri" w:hAnsi="Calibri"/>
            <w:position w:val="8"/>
            <w:sz w:val="14"/>
          </w:rPr>
          <w:t>159</w:t>
        </w:r>
      </w:hyperlink>
      <w:r>
        <w:t>.</w:t>
      </w:r>
    </w:p>
    <w:p w14:paraId="2F900250" w14:textId="77777777" w:rsidR="00467FCA" w:rsidRDefault="00467FCA">
      <w:pPr>
        <w:pStyle w:val="Textoindependiente"/>
        <w:spacing w:before="10"/>
        <w:rPr>
          <w:sz w:val="21"/>
        </w:rPr>
      </w:pPr>
    </w:p>
    <w:p w14:paraId="42B58C55" w14:textId="77777777" w:rsidR="00467FCA" w:rsidRDefault="001B68EB">
      <w:pPr>
        <w:pStyle w:val="Prrafodelista"/>
        <w:numPr>
          <w:ilvl w:val="0"/>
          <w:numId w:val="4"/>
        </w:numPr>
        <w:tabs>
          <w:tab w:val="left" w:pos="1166"/>
          <w:tab w:val="left" w:pos="1167"/>
        </w:tabs>
        <w:ind w:left="1166" w:hanging="708"/>
        <w:rPr>
          <w:sz w:val="20"/>
        </w:rPr>
      </w:pPr>
      <w:r>
        <w:rPr>
          <w:sz w:val="20"/>
        </w:rPr>
        <w:t>En la sentencia la Corte IDH indicó que analizaría el artículo 24 debido a</w:t>
      </w:r>
      <w:r>
        <w:rPr>
          <w:spacing w:val="-18"/>
          <w:sz w:val="20"/>
        </w:rPr>
        <w:t xml:space="preserve"> </w:t>
      </w:r>
      <w:r>
        <w:rPr>
          <w:sz w:val="20"/>
        </w:rPr>
        <w:t>que:</w:t>
      </w:r>
    </w:p>
    <w:p w14:paraId="49D5677A" w14:textId="77777777" w:rsidR="00467FCA" w:rsidRDefault="001B68EB">
      <w:pPr>
        <w:spacing w:before="193"/>
        <w:ind w:left="1166" w:right="1170"/>
        <w:jc w:val="both"/>
        <w:rPr>
          <w:sz w:val="16"/>
        </w:rPr>
      </w:pPr>
      <w:r>
        <w:rPr>
          <w:sz w:val="16"/>
        </w:rPr>
        <w:t>“[c]onforme a lo anterior, en este caso la Corte analizará las violaciones alegadas a la luz de los artículos 1.1 y 24, toda vez que los argumentos de la Comisión y los representantes se centran tanto</w:t>
      </w:r>
      <w:r>
        <w:rPr>
          <w:spacing w:val="-9"/>
          <w:sz w:val="16"/>
        </w:rPr>
        <w:t xml:space="preserve"> </w:t>
      </w:r>
      <w:r>
        <w:rPr>
          <w:sz w:val="16"/>
        </w:rPr>
        <w:t>en</w:t>
      </w:r>
      <w:r>
        <w:rPr>
          <w:spacing w:val="-11"/>
          <w:sz w:val="16"/>
        </w:rPr>
        <w:t xml:space="preserve"> </w:t>
      </w:r>
      <w:r>
        <w:rPr>
          <w:sz w:val="16"/>
        </w:rPr>
        <w:t>la</w:t>
      </w:r>
      <w:r>
        <w:rPr>
          <w:spacing w:val="-10"/>
          <w:sz w:val="16"/>
        </w:rPr>
        <w:t xml:space="preserve"> </w:t>
      </w:r>
      <w:r>
        <w:rPr>
          <w:sz w:val="16"/>
        </w:rPr>
        <w:t>alegada</w:t>
      </w:r>
      <w:r>
        <w:rPr>
          <w:spacing w:val="-10"/>
          <w:sz w:val="16"/>
        </w:rPr>
        <w:t xml:space="preserve"> </w:t>
      </w:r>
      <w:r>
        <w:rPr>
          <w:sz w:val="16"/>
        </w:rPr>
        <w:t>discriminación</w:t>
      </w:r>
      <w:r>
        <w:rPr>
          <w:spacing w:val="-11"/>
          <w:sz w:val="16"/>
        </w:rPr>
        <w:t xml:space="preserve"> </w:t>
      </w:r>
      <w:r>
        <w:rPr>
          <w:sz w:val="16"/>
        </w:rPr>
        <w:t>sufrida</w:t>
      </w:r>
      <w:r>
        <w:rPr>
          <w:spacing w:val="-10"/>
          <w:sz w:val="16"/>
        </w:rPr>
        <w:t xml:space="preserve"> </w:t>
      </w:r>
      <w:r>
        <w:rPr>
          <w:sz w:val="16"/>
        </w:rPr>
        <w:t>por</w:t>
      </w:r>
      <w:r>
        <w:rPr>
          <w:spacing w:val="-11"/>
          <w:sz w:val="16"/>
        </w:rPr>
        <w:t xml:space="preserve"> </w:t>
      </w:r>
      <w:r>
        <w:rPr>
          <w:sz w:val="16"/>
        </w:rPr>
        <w:t>las</w:t>
      </w:r>
      <w:r>
        <w:rPr>
          <w:spacing w:val="-10"/>
          <w:sz w:val="16"/>
        </w:rPr>
        <w:t xml:space="preserve"> </w:t>
      </w:r>
      <w:r>
        <w:rPr>
          <w:sz w:val="16"/>
        </w:rPr>
        <w:t>presuntas</w:t>
      </w:r>
      <w:r>
        <w:rPr>
          <w:spacing w:val="-12"/>
          <w:sz w:val="16"/>
        </w:rPr>
        <w:t xml:space="preserve"> </w:t>
      </w:r>
      <w:r>
        <w:rPr>
          <w:sz w:val="16"/>
        </w:rPr>
        <w:t>víctimas</w:t>
      </w:r>
      <w:r>
        <w:rPr>
          <w:spacing w:val="-10"/>
          <w:sz w:val="16"/>
        </w:rPr>
        <w:t xml:space="preserve"> </w:t>
      </w:r>
      <w:r>
        <w:rPr>
          <w:sz w:val="16"/>
        </w:rPr>
        <w:t>por</w:t>
      </w:r>
      <w:r>
        <w:rPr>
          <w:spacing w:val="-9"/>
          <w:sz w:val="16"/>
        </w:rPr>
        <w:t xml:space="preserve"> </w:t>
      </w:r>
      <w:r>
        <w:rPr>
          <w:sz w:val="16"/>
        </w:rPr>
        <w:t>su</w:t>
      </w:r>
      <w:r>
        <w:rPr>
          <w:spacing w:val="-12"/>
          <w:sz w:val="16"/>
        </w:rPr>
        <w:t xml:space="preserve"> </w:t>
      </w:r>
      <w:r>
        <w:rPr>
          <w:sz w:val="16"/>
        </w:rPr>
        <w:t>condición</w:t>
      </w:r>
      <w:r>
        <w:rPr>
          <w:spacing w:val="-11"/>
          <w:sz w:val="16"/>
        </w:rPr>
        <w:t xml:space="preserve"> </w:t>
      </w:r>
      <w:r>
        <w:rPr>
          <w:sz w:val="16"/>
        </w:rPr>
        <w:t>de</w:t>
      </w:r>
      <w:r>
        <w:rPr>
          <w:spacing w:val="-12"/>
          <w:sz w:val="16"/>
        </w:rPr>
        <w:t xml:space="preserve"> </w:t>
      </w:r>
      <w:r>
        <w:rPr>
          <w:sz w:val="16"/>
        </w:rPr>
        <w:t>mujeres, afrodescendientes</w:t>
      </w:r>
      <w:r>
        <w:rPr>
          <w:spacing w:val="-10"/>
          <w:sz w:val="16"/>
        </w:rPr>
        <w:t xml:space="preserve"> </w:t>
      </w:r>
      <w:r>
        <w:rPr>
          <w:sz w:val="16"/>
        </w:rPr>
        <w:t>y</w:t>
      </w:r>
      <w:r>
        <w:rPr>
          <w:spacing w:val="-7"/>
          <w:sz w:val="16"/>
        </w:rPr>
        <w:t xml:space="preserve"> </w:t>
      </w:r>
      <w:r>
        <w:rPr>
          <w:sz w:val="16"/>
        </w:rPr>
        <w:t>por</w:t>
      </w:r>
      <w:r>
        <w:rPr>
          <w:spacing w:val="-9"/>
          <w:sz w:val="16"/>
        </w:rPr>
        <w:t xml:space="preserve"> </w:t>
      </w:r>
      <w:r>
        <w:rPr>
          <w:sz w:val="16"/>
        </w:rPr>
        <w:t>su</w:t>
      </w:r>
      <w:r>
        <w:rPr>
          <w:spacing w:val="-8"/>
          <w:sz w:val="16"/>
        </w:rPr>
        <w:t xml:space="preserve"> </w:t>
      </w:r>
      <w:r>
        <w:rPr>
          <w:sz w:val="16"/>
        </w:rPr>
        <w:t>situación</w:t>
      </w:r>
      <w:r>
        <w:rPr>
          <w:spacing w:val="-6"/>
          <w:sz w:val="16"/>
        </w:rPr>
        <w:t xml:space="preserve"> </w:t>
      </w:r>
      <w:r>
        <w:rPr>
          <w:sz w:val="16"/>
        </w:rPr>
        <w:t>de</w:t>
      </w:r>
      <w:r>
        <w:rPr>
          <w:spacing w:val="-7"/>
          <w:sz w:val="16"/>
        </w:rPr>
        <w:t xml:space="preserve"> </w:t>
      </w:r>
      <w:r>
        <w:rPr>
          <w:sz w:val="16"/>
        </w:rPr>
        <w:t>pobreza;</w:t>
      </w:r>
      <w:r>
        <w:rPr>
          <w:spacing w:val="-5"/>
          <w:sz w:val="16"/>
        </w:rPr>
        <w:t xml:space="preserve"> </w:t>
      </w:r>
      <w:r>
        <w:rPr>
          <w:sz w:val="16"/>
          <w:u w:val="single"/>
        </w:rPr>
        <w:t>al</w:t>
      </w:r>
      <w:r>
        <w:rPr>
          <w:spacing w:val="-8"/>
          <w:sz w:val="16"/>
          <w:u w:val="single"/>
        </w:rPr>
        <w:t xml:space="preserve"> </w:t>
      </w:r>
      <w:r>
        <w:rPr>
          <w:sz w:val="16"/>
          <w:u w:val="single"/>
        </w:rPr>
        <w:t>igual</w:t>
      </w:r>
      <w:r>
        <w:rPr>
          <w:spacing w:val="-8"/>
          <w:sz w:val="16"/>
          <w:u w:val="single"/>
        </w:rPr>
        <w:t xml:space="preserve"> </w:t>
      </w:r>
      <w:r>
        <w:rPr>
          <w:sz w:val="16"/>
          <w:u w:val="single"/>
        </w:rPr>
        <w:t>que</w:t>
      </w:r>
      <w:r>
        <w:rPr>
          <w:spacing w:val="-7"/>
          <w:sz w:val="16"/>
          <w:u w:val="single"/>
        </w:rPr>
        <w:t xml:space="preserve"> </w:t>
      </w:r>
      <w:r>
        <w:rPr>
          <w:sz w:val="16"/>
          <w:u w:val="single"/>
        </w:rPr>
        <w:t>por</w:t>
      </w:r>
      <w:r>
        <w:rPr>
          <w:spacing w:val="-6"/>
          <w:sz w:val="16"/>
          <w:u w:val="single"/>
        </w:rPr>
        <w:t xml:space="preserve"> </w:t>
      </w:r>
      <w:r>
        <w:rPr>
          <w:sz w:val="16"/>
          <w:u w:val="single"/>
        </w:rPr>
        <w:t>la</w:t>
      </w:r>
      <w:r>
        <w:rPr>
          <w:spacing w:val="-8"/>
          <w:sz w:val="16"/>
          <w:u w:val="single"/>
        </w:rPr>
        <w:t xml:space="preserve"> </w:t>
      </w:r>
      <w:r>
        <w:rPr>
          <w:sz w:val="16"/>
          <w:u w:val="single"/>
        </w:rPr>
        <w:t>falta</w:t>
      </w:r>
      <w:r>
        <w:rPr>
          <w:spacing w:val="-5"/>
          <w:sz w:val="16"/>
          <w:u w:val="single"/>
        </w:rPr>
        <w:t xml:space="preserve"> </w:t>
      </w:r>
      <w:r>
        <w:rPr>
          <w:sz w:val="16"/>
          <w:u w:val="single"/>
        </w:rPr>
        <w:t>de</w:t>
      </w:r>
      <w:r>
        <w:rPr>
          <w:spacing w:val="-7"/>
          <w:sz w:val="16"/>
          <w:u w:val="single"/>
        </w:rPr>
        <w:t xml:space="preserve"> </w:t>
      </w:r>
      <w:r>
        <w:rPr>
          <w:sz w:val="16"/>
          <w:u w:val="single"/>
        </w:rPr>
        <w:t>adopción</w:t>
      </w:r>
      <w:r>
        <w:rPr>
          <w:spacing w:val="-8"/>
          <w:sz w:val="16"/>
          <w:u w:val="single"/>
        </w:rPr>
        <w:t xml:space="preserve"> </w:t>
      </w:r>
      <w:r>
        <w:rPr>
          <w:sz w:val="16"/>
          <w:u w:val="single"/>
        </w:rPr>
        <w:t>de</w:t>
      </w:r>
      <w:r>
        <w:rPr>
          <w:spacing w:val="-10"/>
          <w:sz w:val="16"/>
          <w:u w:val="single"/>
        </w:rPr>
        <w:t xml:space="preserve"> </w:t>
      </w:r>
      <w:r>
        <w:rPr>
          <w:sz w:val="16"/>
          <w:u w:val="single"/>
        </w:rPr>
        <w:t>medidas</w:t>
      </w:r>
      <w:r>
        <w:rPr>
          <w:sz w:val="16"/>
        </w:rPr>
        <w:t xml:space="preserve"> </w:t>
      </w:r>
      <w:r>
        <w:rPr>
          <w:sz w:val="16"/>
          <w:u w:val="single"/>
        </w:rPr>
        <w:t>de acción positiva para garantizar sus derechos convencionales</w:t>
      </w:r>
      <w:r>
        <w:rPr>
          <w:sz w:val="16"/>
        </w:rPr>
        <w:t>” (énfasis</w:t>
      </w:r>
      <w:r>
        <w:rPr>
          <w:spacing w:val="-7"/>
          <w:sz w:val="16"/>
        </w:rPr>
        <w:t xml:space="preserve"> </w:t>
      </w:r>
      <w:r>
        <w:rPr>
          <w:sz w:val="16"/>
        </w:rPr>
        <w:t>añadido)</w:t>
      </w:r>
      <w:hyperlink w:anchor="_bookmark842" w:history="1">
        <w:r>
          <w:rPr>
            <w:position w:val="6"/>
            <w:sz w:val="10"/>
          </w:rPr>
          <w:t>160</w:t>
        </w:r>
      </w:hyperlink>
      <w:r>
        <w:rPr>
          <w:sz w:val="16"/>
        </w:rPr>
        <w:t>.</w:t>
      </w:r>
    </w:p>
    <w:p w14:paraId="1AEFA1EB" w14:textId="77777777" w:rsidR="00467FCA" w:rsidRDefault="00467FCA">
      <w:pPr>
        <w:pStyle w:val="Textoindependiente"/>
        <w:rPr>
          <w:sz w:val="12"/>
        </w:rPr>
      </w:pPr>
    </w:p>
    <w:p w14:paraId="76236BBD" w14:textId="77777777" w:rsidR="00467FCA" w:rsidRDefault="001B68EB">
      <w:pPr>
        <w:pStyle w:val="Prrafodelista"/>
        <w:numPr>
          <w:ilvl w:val="0"/>
          <w:numId w:val="4"/>
        </w:numPr>
        <w:tabs>
          <w:tab w:val="left" w:pos="1167"/>
        </w:tabs>
        <w:spacing w:before="100"/>
        <w:ind w:right="275" w:firstLine="0"/>
        <w:jc w:val="both"/>
        <w:rPr>
          <w:sz w:val="20"/>
        </w:rPr>
      </w:pPr>
      <w:r>
        <w:rPr>
          <w:sz w:val="20"/>
        </w:rPr>
        <w:t xml:space="preserve">La anterior afirmación realizada en la sentencia tiene importantes consecuencias en el entendimiento de la igualdad y no discriminación como pilares fundamentales de la Convención Americana. Lo indicado anteriormente responde tanto a adoptar medidas desde </w:t>
      </w:r>
      <w:r>
        <w:rPr>
          <w:sz w:val="20"/>
        </w:rPr>
        <w:t xml:space="preserve">“la obligación de garantizar” por el artículo 1.1, pero también desde la concepción de la igualdad como no discriminación o </w:t>
      </w:r>
      <w:r>
        <w:rPr>
          <w:i/>
          <w:sz w:val="20"/>
        </w:rPr>
        <w:t xml:space="preserve">igualdad material </w:t>
      </w:r>
      <w:r>
        <w:rPr>
          <w:sz w:val="20"/>
        </w:rPr>
        <w:t>en el ámbito del artículo</w:t>
      </w:r>
      <w:r>
        <w:rPr>
          <w:spacing w:val="-18"/>
          <w:sz w:val="20"/>
        </w:rPr>
        <w:t xml:space="preserve"> </w:t>
      </w:r>
      <w:r>
        <w:rPr>
          <w:sz w:val="20"/>
        </w:rPr>
        <w:t>24.</w:t>
      </w:r>
    </w:p>
    <w:p w14:paraId="47E93AC7" w14:textId="77777777" w:rsidR="00467FCA" w:rsidRDefault="00467FCA">
      <w:pPr>
        <w:pStyle w:val="Textoindependiente"/>
        <w:spacing w:before="10"/>
        <w:rPr>
          <w:sz w:val="19"/>
        </w:rPr>
      </w:pPr>
    </w:p>
    <w:p w14:paraId="5980CDB7" w14:textId="77777777" w:rsidR="00467FCA" w:rsidRDefault="001B68EB">
      <w:pPr>
        <w:pStyle w:val="Prrafodelista"/>
        <w:numPr>
          <w:ilvl w:val="0"/>
          <w:numId w:val="4"/>
        </w:numPr>
        <w:tabs>
          <w:tab w:val="left" w:pos="1167"/>
        </w:tabs>
        <w:ind w:right="277" w:hanging="1"/>
        <w:jc w:val="both"/>
        <w:rPr>
          <w:sz w:val="20"/>
        </w:rPr>
      </w:pPr>
      <w:r>
        <w:rPr>
          <w:sz w:val="20"/>
        </w:rPr>
        <w:t>No es la primera ocasión que en el Sistema Interamericano se afirma que dentro de</w:t>
      </w:r>
      <w:r>
        <w:rPr>
          <w:spacing w:val="-48"/>
          <w:sz w:val="20"/>
        </w:rPr>
        <w:t xml:space="preserve"> </w:t>
      </w:r>
      <w:r>
        <w:rPr>
          <w:sz w:val="20"/>
        </w:rPr>
        <w:t>é</w:t>
      </w:r>
      <w:r>
        <w:rPr>
          <w:sz w:val="20"/>
        </w:rPr>
        <w:t>l no</w:t>
      </w:r>
      <w:r>
        <w:rPr>
          <w:spacing w:val="-9"/>
          <w:sz w:val="20"/>
        </w:rPr>
        <w:t xml:space="preserve"> </w:t>
      </w:r>
      <w:r>
        <w:rPr>
          <w:sz w:val="20"/>
        </w:rPr>
        <w:t>sólo</w:t>
      </w:r>
      <w:r>
        <w:rPr>
          <w:spacing w:val="-6"/>
          <w:sz w:val="20"/>
        </w:rPr>
        <w:t xml:space="preserve"> </w:t>
      </w:r>
      <w:r>
        <w:rPr>
          <w:sz w:val="20"/>
        </w:rPr>
        <w:t>existe</w:t>
      </w:r>
      <w:r>
        <w:rPr>
          <w:spacing w:val="-8"/>
          <w:sz w:val="20"/>
        </w:rPr>
        <w:t xml:space="preserve"> </w:t>
      </w:r>
      <w:r>
        <w:rPr>
          <w:sz w:val="20"/>
        </w:rPr>
        <w:t>la</w:t>
      </w:r>
      <w:r>
        <w:rPr>
          <w:spacing w:val="-8"/>
          <w:sz w:val="20"/>
        </w:rPr>
        <w:t xml:space="preserve"> </w:t>
      </w:r>
      <w:r>
        <w:rPr>
          <w:sz w:val="20"/>
        </w:rPr>
        <w:t>igualdad</w:t>
      </w:r>
      <w:r>
        <w:rPr>
          <w:spacing w:val="-6"/>
          <w:sz w:val="20"/>
        </w:rPr>
        <w:t xml:space="preserve"> </w:t>
      </w:r>
      <w:r>
        <w:rPr>
          <w:sz w:val="20"/>
        </w:rPr>
        <w:t>formal</w:t>
      </w:r>
      <w:r>
        <w:rPr>
          <w:spacing w:val="-5"/>
          <w:sz w:val="20"/>
        </w:rPr>
        <w:t xml:space="preserve"> </w:t>
      </w:r>
      <w:r>
        <w:rPr>
          <w:sz w:val="20"/>
        </w:rPr>
        <w:t>o</w:t>
      </w:r>
      <w:r>
        <w:rPr>
          <w:spacing w:val="-9"/>
          <w:sz w:val="20"/>
        </w:rPr>
        <w:t xml:space="preserve"> </w:t>
      </w:r>
      <w:r>
        <w:rPr>
          <w:sz w:val="20"/>
        </w:rPr>
        <w:t>de</w:t>
      </w:r>
      <w:r>
        <w:rPr>
          <w:spacing w:val="-8"/>
          <w:sz w:val="20"/>
        </w:rPr>
        <w:t xml:space="preserve"> </w:t>
      </w:r>
      <w:r>
        <w:rPr>
          <w:sz w:val="20"/>
        </w:rPr>
        <w:t>trato</w:t>
      </w:r>
      <w:r>
        <w:rPr>
          <w:spacing w:val="-8"/>
          <w:sz w:val="20"/>
        </w:rPr>
        <w:t xml:space="preserve"> </w:t>
      </w:r>
      <w:r>
        <w:rPr>
          <w:sz w:val="20"/>
        </w:rPr>
        <w:t>no</w:t>
      </w:r>
      <w:r>
        <w:rPr>
          <w:spacing w:val="-9"/>
          <w:sz w:val="20"/>
        </w:rPr>
        <w:t xml:space="preserve"> </w:t>
      </w:r>
      <w:r>
        <w:rPr>
          <w:sz w:val="20"/>
        </w:rPr>
        <w:t>arbitrario,</w:t>
      </w:r>
      <w:r>
        <w:rPr>
          <w:spacing w:val="-5"/>
          <w:sz w:val="20"/>
        </w:rPr>
        <w:t xml:space="preserve"> </w:t>
      </w:r>
      <w:r>
        <w:rPr>
          <w:sz w:val="20"/>
        </w:rPr>
        <w:t>sino</w:t>
      </w:r>
      <w:r>
        <w:rPr>
          <w:spacing w:val="-8"/>
          <w:sz w:val="20"/>
        </w:rPr>
        <w:t xml:space="preserve"> </w:t>
      </w:r>
      <w:r>
        <w:rPr>
          <w:sz w:val="20"/>
        </w:rPr>
        <w:t>que</w:t>
      </w:r>
      <w:r>
        <w:rPr>
          <w:spacing w:val="-9"/>
          <w:sz w:val="20"/>
        </w:rPr>
        <w:t xml:space="preserve"> </w:t>
      </w:r>
      <w:r>
        <w:rPr>
          <w:sz w:val="20"/>
        </w:rPr>
        <w:t>también</w:t>
      </w:r>
      <w:r>
        <w:rPr>
          <w:spacing w:val="-6"/>
          <w:sz w:val="20"/>
        </w:rPr>
        <w:t xml:space="preserve"> </w:t>
      </w:r>
      <w:r>
        <w:rPr>
          <w:sz w:val="20"/>
        </w:rPr>
        <w:t>se</w:t>
      </w:r>
      <w:r>
        <w:rPr>
          <w:spacing w:val="-8"/>
          <w:sz w:val="20"/>
        </w:rPr>
        <w:t xml:space="preserve"> </w:t>
      </w:r>
      <w:r>
        <w:rPr>
          <w:sz w:val="20"/>
        </w:rPr>
        <w:t>entiende</w:t>
      </w:r>
      <w:r>
        <w:rPr>
          <w:spacing w:val="-9"/>
          <w:sz w:val="20"/>
        </w:rPr>
        <w:t xml:space="preserve"> </w:t>
      </w:r>
      <w:r>
        <w:rPr>
          <w:sz w:val="20"/>
        </w:rPr>
        <w:t>que</w:t>
      </w:r>
      <w:r>
        <w:rPr>
          <w:spacing w:val="-6"/>
          <w:sz w:val="20"/>
        </w:rPr>
        <w:t xml:space="preserve"> </w:t>
      </w:r>
      <w:r>
        <w:rPr>
          <w:sz w:val="20"/>
        </w:rPr>
        <w:t>se protege un aspecto material, sustancial, de oportunidades o real. Así, la Comisión Interamericana expresó en el año 2007</w:t>
      </w:r>
      <w:r>
        <w:rPr>
          <w:spacing w:val="-2"/>
          <w:sz w:val="20"/>
        </w:rPr>
        <w:t xml:space="preserve"> </w:t>
      </w:r>
      <w:r>
        <w:rPr>
          <w:sz w:val="20"/>
        </w:rPr>
        <w:t>que:</w:t>
      </w:r>
    </w:p>
    <w:p w14:paraId="3D60D520" w14:textId="77777777" w:rsidR="00467FCA" w:rsidRDefault="00467FCA">
      <w:pPr>
        <w:pStyle w:val="Textoindependiente"/>
        <w:spacing w:before="1"/>
      </w:pPr>
    </w:p>
    <w:p w14:paraId="46DCF8D4" w14:textId="77777777" w:rsidR="00467FCA" w:rsidRDefault="001B68EB">
      <w:pPr>
        <w:ind w:left="1166" w:right="886"/>
        <w:jc w:val="both"/>
        <w:rPr>
          <w:sz w:val="16"/>
        </w:rPr>
      </w:pPr>
      <w:r>
        <w:rPr>
          <w:sz w:val="16"/>
        </w:rPr>
        <w:t xml:space="preserve">99. El sistema interamericano no sólo recoge una noción formal de igualdad, limitada a exigir criterios de distinción objetivos y razonables y, por lo tanto, a prohibir diferencias de trato irrazonables, caprichosas o arbitrarias, sino que avanza hacia un </w:t>
      </w:r>
      <w:r>
        <w:rPr>
          <w:sz w:val="16"/>
        </w:rPr>
        <w:t>concepto de igualdad material o estructural</w:t>
      </w:r>
      <w:r>
        <w:rPr>
          <w:spacing w:val="-16"/>
          <w:sz w:val="16"/>
        </w:rPr>
        <w:t xml:space="preserve"> </w:t>
      </w:r>
      <w:r>
        <w:rPr>
          <w:sz w:val="16"/>
        </w:rPr>
        <w:t>que</w:t>
      </w:r>
      <w:r>
        <w:rPr>
          <w:spacing w:val="-14"/>
          <w:sz w:val="16"/>
        </w:rPr>
        <w:t xml:space="preserve"> </w:t>
      </w:r>
      <w:r>
        <w:rPr>
          <w:sz w:val="16"/>
        </w:rPr>
        <w:t>parte</w:t>
      </w:r>
      <w:r>
        <w:rPr>
          <w:spacing w:val="-14"/>
          <w:sz w:val="16"/>
        </w:rPr>
        <w:t xml:space="preserve"> </w:t>
      </w:r>
      <w:r>
        <w:rPr>
          <w:sz w:val="16"/>
        </w:rPr>
        <w:t>del</w:t>
      </w:r>
      <w:r>
        <w:rPr>
          <w:spacing w:val="-15"/>
          <w:sz w:val="16"/>
        </w:rPr>
        <w:t xml:space="preserve"> </w:t>
      </w:r>
      <w:r>
        <w:rPr>
          <w:sz w:val="16"/>
        </w:rPr>
        <w:t>reconocimiento</w:t>
      </w:r>
      <w:r>
        <w:rPr>
          <w:spacing w:val="-15"/>
          <w:sz w:val="16"/>
        </w:rPr>
        <w:t xml:space="preserve"> </w:t>
      </w:r>
      <w:r>
        <w:rPr>
          <w:sz w:val="16"/>
        </w:rPr>
        <w:t>de</w:t>
      </w:r>
      <w:r>
        <w:rPr>
          <w:spacing w:val="-17"/>
          <w:sz w:val="16"/>
        </w:rPr>
        <w:t xml:space="preserve"> </w:t>
      </w:r>
      <w:r>
        <w:rPr>
          <w:sz w:val="16"/>
        </w:rPr>
        <w:t>que</w:t>
      </w:r>
      <w:r>
        <w:rPr>
          <w:spacing w:val="-14"/>
          <w:sz w:val="16"/>
        </w:rPr>
        <w:t xml:space="preserve"> </w:t>
      </w:r>
      <w:r>
        <w:rPr>
          <w:sz w:val="16"/>
        </w:rPr>
        <w:t>ciertos</w:t>
      </w:r>
      <w:r>
        <w:rPr>
          <w:spacing w:val="-14"/>
          <w:sz w:val="16"/>
        </w:rPr>
        <w:t xml:space="preserve"> </w:t>
      </w:r>
      <w:r>
        <w:rPr>
          <w:sz w:val="16"/>
        </w:rPr>
        <w:t>sectores</w:t>
      </w:r>
      <w:r>
        <w:rPr>
          <w:spacing w:val="-15"/>
          <w:sz w:val="16"/>
        </w:rPr>
        <w:t xml:space="preserve"> </w:t>
      </w:r>
      <w:r>
        <w:rPr>
          <w:sz w:val="16"/>
        </w:rPr>
        <w:t>de</w:t>
      </w:r>
      <w:r>
        <w:rPr>
          <w:spacing w:val="-12"/>
          <w:sz w:val="16"/>
        </w:rPr>
        <w:t xml:space="preserve"> </w:t>
      </w:r>
      <w:r>
        <w:rPr>
          <w:sz w:val="16"/>
        </w:rPr>
        <w:t>la</w:t>
      </w:r>
      <w:r>
        <w:rPr>
          <w:spacing w:val="-15"/>
          <w:sz w:val="16"/>
        </w:rPr>
        <w:t xml:space="preserve"> </w:t>
      </w:r>
      <w:r>
        <w:rPr>
          <w:sz w:val="16"/>
        </w:rPr>
        <w:t>población</w:t>
      </w:r>
      <w:r>
        <w:rPr>
          <w:spacing w:val="-16"/>
          <w:sz w:val="16"/>
        </w:rPr>
        <w:t xml:space="preserve"> </w:t>
      </w:r>
      <w:r>
        <w:rPr>
          <w:sz w:val="16"/>
        </w:rPr>
        <w:t>requieren</w:t>
      </w:r>
      <w:r>
        <w:rPr>
          <w:spacing w:val="-15"/>
          <w:sz w:val="16"/>
        </w:rPr>
        <w:t xml:space="preserve"> </w:t>
      </w:r>
      <w:r>
        <w:rPr>
          <w:sz w:val="16"/>
        </w:rPr>
        <w:t>la</w:t>
      </w:r>
      <w:r>
        <w:rPr>
          <w:spacing w:val="-13"/>
          <w:sz w:val="16"/>
        </w:rPr>
        <w:t xml:space="preserve"> </w:t>
      </w:r>
      <w:r>
        <w:rPr>
          <w:sz w:val="16"/>
        </w:rPr>
        <w:t>adopción de</w:t>
      </w:r>
      <w:r>
        <w:rPr>
          <w:spacing w:val="-13"/>
          <w:sz w:val="16"/>
        </w:rPr>
        <w:t xml:space="preserve"> </w:t>
      </w:r>
      <w:r>
        <w:rPr>
          <w:sz w:val="16"/>
        </w:rPr>
        <w:t>medidas</w:t>
      </w:r>
      <w:r>
        <w:rPr>
          <w:spacing w:val="-15"/>
          <w:sz w:val="16"/>
        </w:rPr>
        <w:t xml:space="preserve"> </w:t>
      </w:r>
      <w:r>
        <w:rPr>
          <w:sz w:val="16"/>
        </w:rPr>
        <w:t>especiales</w:t>
      </w:r>
      <w:r>
        <w:rPr>
          <w:spacing w:val="-12"/>
          <w:sz w:val="16"/>
        </w:rPr>
        <w:t xml:space="preserve"> </w:t>
      </w:r>
      <w:r>
        <w:rPr>
          <w:sz w:val="16"/>
        </w:rPr>
        <w:t>de</w:t>
      </w:r>
      <w:r>
        <w:rPr>
          <w:spacing w:val="-13"/>
          <w:sz w:val="16"/>
        </w:rPr>
        <w:t xml:space="preserve"> </w:t>
      </w:r>
      <w:r>
        <w:rPr>
          <w:sz w:val="16"/>
        </w:rPr>
        <w:t>equiparación.</w:t>
      </w:r>
      <w:r>
        <w:rPr>
          <w:spacing w:val="-14"/>
          <w:sz w:val="16"/>
        </w:rPr>
        <w:t xml:space="preserve"> </w:t>
      </w:r>
      <w:r>
        <w:rPr>
          <w:sz w:val="16"/>
        </w:rPr>
        <w:t>Ello</w:t>
      </w:r>
      <w:r>
        <w:rPr>
          <w:spacing w:val="-11"/>
          <w:sz w:val="16"/>
        </w:rPr>
        <w:t xml:space="preserve"> </w:t>
      </w:r>
      <w:r>
        <w:rPr>
          <w:sz w:val="16"/>
        </w:rPr>
        <w:t>implica</w:t>
      </w:r>
      <w:r>
        <w:rPr>
          <w:spacing w:val="-14"/>
          <w:sz w:val="16"/>
        </w:rPr>
        <w:t xml:space="preserve"> </w:t>
      </w:r>
      <w:r>
        <w:rPr>
          <w:sz w:val="16"/>
        </w:rPr>
        <w:t>la</w:t>
      </w:r>
      <w:r>
        <w:rPr>
          <w:spacing w:val="-14"/>
          <w:sz w:val="16"/>
        </w:rPr>
        <w:t xml:space="preserve"> </w:t>
      </w:r>
      <w:r>
        <w:rPr>
          <w:sz w:val="16"/>
        </w:rPr>
        <w:t>necesidad</w:t>
      </w:r>
      <w:r>
        <w:rPr>
          <w:spacing w:val="-11"/>
          <w:sz w:val="16"/>
        </w:rPr>
        <w:t xml:space="preserve"> </w:t>
      </w:r>
      <w:r>
        <w:rPr>
          <w:sz w:val="16"/>
        </w:rPr>
        <w:t>de</w:t>
      </w:r>
      <w:r>
        <w:rPr>
          <w:spacing w:val="-13"/>
          <w:sz w:val="16"/>
        </w:rPr>
        <w:t xml:space="preserve"> </w:t>
      </w:r>
      <w:r>
        <w:rPr>
          <w:sz w:val="16"/>
        </w:rPr>
        <w:t>trato</w:t>
      </w:r>
      <w:r>
        <w:rPr>
          <w:spacing w:val="-14"/>
          <w:sz w:val="16"/>
        </w:rPr>
        <w:t xml:space="preserve"> </w:t>
      </w:r>
      <w:r>
        <w:rPr>
          <w:sz w:val="16"/>
        </w:rPr>
        <w:t>diferenciado</w:t>
      </w:r>
      <w:r>
        <w:rPr>
          <w:spacing w:val="-15"/>
          <w:sz w:val="16"/>
        </w:rPr>
        <w:t xml:space="preserve"> </w:t>
      </w:r>
      <w:r>
        <w:rPr>
          <w:sz w:val="16"/>
        </w:rPr>
        <w:t>cuando,</w:t>
      </w:r>
      <w:r>
        <w:rPr>
          <w:spacing w:val="-14"/>
          <w:sz w:val="16"/>
        </w:rPr>
        <w:t xml:space="preserve"> </w:t>
      </w:r>
      <w:r>
        <w:rPr>
          <w:sz w:val="16"/>
        </w:rPr>
        <w:t>debido a las circunstancia</w:t>
      </w:r>
      <w:r>
        <w:rPr>
          <w:sz w:val="16"/>
        </w:rPr>
        <w:t>s que afectan a un grupo desaventajado, la igualdad de trato suponga coartar o empeorar el acceso a un servicio, bien o el ejercicio de un</w:t>
      </w:r>
      <w:r>
        <w:rPr>
          <w:spacing w:val="-11"/>
          <w:sz w:val="16"/>
        </w:rPr>
        <w:t xml:space="preserve"> </w:t>
      </w:r>
      <w:r>
        <w:rPr>
          <w:sz w:val="16"/>
        </w:rPr>
        <w:t>derecho</w:t>
      </w:r>
      <w:hyperlink w:anchor="_bookmark843" w:history="1">
        <w:r>
          <w:rPr>
            <w:position w:val="6"/>
            <w:sz w:val="10"/>
          </w:rPr>
          <w:t>161</w:t>
        </w:r>
      </w:hyperlink>
      <w:r>
        <w:rPr>
          <w:sz w:val="16"/>
        </w:rPr>
        <w:t>.</w:t>
      </w:r>
    </w:p>
    <w:p w14:paraId="2642AC71" w14:textId="77777777" w:rsidR="00467FCA" w:rsidRDefault="00467FCA">
      <w:pPr>
        <w:pStyle w:val="Textoindependiente"/>
        <w:spacing w:before="12"/>
        <w:rPr>
          <w:sz w:val="19"/>
        </w:rPr>
      </w:pPr>
    </w:p>
    <w:p w14:paraId="66DE3334" w14:textId="77777777" w:rsidR="00467FCA" w:rsidRDefault="001B68EB">
      <w:pPr>
        <w:pStyle w:val="Prrafodelista"/>
        <w:numPr>
          <w:ilvl w:val="0"/>
          <w:numId w:val="4"/>
        </w:numPr>
        <w:tabs>
          <w:tab w:val="left" w:pos="1167"/>
        </w:tabs>
        <w:ind w:right="274" w:firstLine="0"/>
        <w:jc w:val="both"/>
        <w:rPr>
          <w:sz w:val="20"/>
        </w:rPr>
      </w:pPr>
      <w:r>
        <w:rPr>
          <w:sz w:val="20"/>
        </w:rPr>
        <w:t>Además, la Comisión Interamericana ha analizado situaciones de discrimin</w:t>
      </w:r>
      <w:r>
        <w:rPr>
          <w:sz w:val="20"/>
        </w:rPr>
        <w:t>ación estructural y ha señalado que “`los principios generales de no discriminación e igualdad´ reflejados en los artículos 1 y 24 de la Convención Americana requieren la `adopción de medidas destinadas a superar las desigualdades en la distribución intern</w:t>
      </w:r>
      <w:r>
        <w:rPr>
          <w:sz w:val="20"/>
        </w:rPr>
        <w:t>a y las oportunidades´”</w:t>
      </w:r>
      <w:hyperlink w:anchor="_bookmark844" w:history="1">
        <w:r>
          <w:rPr>
            <w:position w:val="7"/>
            <w:sz w:val="13"/>
          </w:rPr>
          <w:t>162</w:t>
        </w:r>
      </w:hyperlink>
      <w:r>
        <w:rPr>
          <w:sz w:val="20"/>
        </w:rPr>
        <w:t>.</w:t>
      </w:r>
    </w:p>
    <w:p w14:paraId="755F4F05" w14:textId="77777777" w:rsidR="00467FCA" w:rsidRDefault="00467FCA">
      <w:pPr>
        <w:pStyle w:val="Textoindependiente"/>
      </w:pPr>
    </w:p>
    <w:p w14:paraId="646759B1" w14:textId="77777777" w:rsidR="00467FCA" w:rsidRDefault="001B68EB">
      <w:pPr>
        <w:pStyle w:val="Textoindependiente"/>
        <w:spacing w:before="3"/>
        <w:rPr>
          <w:sz w:val="23"/>
        </w:rPr>
      </w:pPr>
      <w:r>
        <w:pict w14:anchorId="6632394F">
          <v:shape id="_x0000_s1039" style="position:absolute;margin-left:70.9pt;margin-top:16.4pt;width:2in;height:.1pt;z-index:-251498496;mso-wrap-distance-left:0;mso-wrap-distance-right:0;mso-position-horizontal-relative:page" coordorigin="1418,328" coordsize="2880,0" path="m1418,328r2880,e" filled="f" strokeweight=".6pt">
            <v:path arrowok="t"/>
            <w10:wrap type="topAndBottom" anchorx="page"/>
          </v:shape>
        </w:pict>
      </w:r>
    </w:p>
    <w:p w14:paraId="6BE8C446" w14:textId="77777777" w:rsidR="00467FCA" w:rsidRDefault="001B68EB">
      <w:pPr>
        <w:tabs>
          <w:tab w:val="left" w:pos="1166"/>
        </w:tabs>
        <w:spacing w:before="74"/>
        <w:ind w:left="458" w:right="272"/>
        <w:jc w:val="both"/>
        <w:rPr>
          <w:sz w:val="16"/>
        </w:rPr>
      </w:pPr>
      <w:bookmarkStart w:id="922" w:name="_bookmark841"/>
      <w:bookmarkEnd w:id="922"/>
      <w:r>
        <w:rPr>
          <w:position w:val="6"/>
          <w:sz w:val="10"/>
        </w:rPr>
        <w:t>159</w:t>
      </w:r>
      <w:r>
        <w:rPr>
          <w:position w:val="6"/>
          <w:sz w:val="10"/>
        </w:rPr>
        <w:tab/>
      </w:r>
      <w:r>
        <w:rPr>
          <w:sz w:val="16"/>
        </w:rPr>
        <w:t xml:space="preserve">Opinión Consultiva OC-18/03, </w:t>
      </w:r>
      <w:r>
        <w:rPr>
          <w:i/>
          <w:sz w:val="16"/>
        </w:rPr>
        <w:t>supra</w:t>
      </w:r>
      <w:r>
        <w:rPr>
          <w:sz w:val="16"/>
        </w:rPr>
        <w:t xml:space="preserve">, párr. 104; </w:t>
      </w:r>
      <w:r>
        <w:rPr>
          <w:i/>
          <w:sz w:val="16"/>
        </w:rPr>
        <w:t>Caso Comunidad Indígena Xákmok Kásek Vs. Paraguay, supra</w:t>
      </w:r>
      <w:r>
        <w:rPr>
          <w:sz w:val="16"/>
        </w:rPr>
        <w:t xml:space="preserve">, párr. 271; </w:t>
      </w:r>
      <w:r>
        <w:rPr>
          <w:i/>
          <w:sz w:val="16"/>
        </w:rPr>
        <w:t>Caso Atala Riffo y niñas Vs. Chile, supra</w:t>
      </w:r>
      <w:r>
        <w:rPr>
          <w:sz w:val="16"/>
        </w:rPr>
        <w:t xml:space="preserve">, párr. 80; </w:t>
      </w:r>
      <w:r>
        <w:rPr>
          <w:i/>
          <w:sz w:val="16"/>
        </w:rPr>
        <w:t>Caso Nadege Dorzema y otros Vs. República Dominicana, supra</w:t>
      </w:r>
      <w:r>
        <w:rPr>
          <w:sz w:val="16"/>
        </w:rPr>
        <w:t xml:space="preserve">, párr. 236; </w:t>
      </w:r>
      <w:r>
        <w:rPr>
          <w:i/>
          <w:sz w:val="16"/>
        </w:rPr>
        <w:t>Caso Norín Catrimán y otros (Dirigentes, Miembros y Activista del Pueblo Indígena Mapuche) Vs. Chile. Fondo, Reparaciones y Costas</w:t>
      </w:r>
      <w:r>
        <w:rPr>
          <w:sz w:val="16"/>
        </w:rPr>
        <w:t>.</w:t>
      </w:r>
      <w:r>
        <w:rPr>
          <w:sz w:val="16"/>
        </w:rPr>
        <w:t xml:space="preserve"> Sentencia de 29 de mayo de 2014. Serie C No. 279, párr. 201; </w:t>
      </w:r>
      <w:r>
        <w:rPr>
          <w:i/>
          <w:sz w:val="16"/>
        </w:rPr>
        <w:t>Caso Espinoza Gonzáles Vs. Perú. Excepciones Preliminares, Fondo, Reparaciones y Costas</w:t>
      </w:r>
      <w:r>
        <w:rPr>
          <w:sz w:val="16"/>
        </w:rPr>
        <w:t xml:space="preserve">. Sentencia de 20 </w:t>
      </w:r>
      <w:r>
        <w:rPr>
          <w:spacing w:val="-3"/>
          <w:sz w:val="16"/>
        </w:rPr>
        <w:t xml:space="preserve">de </w:t>
      </w:r>
      <w:r>
        <w:rPr>
          <w:sz w:val="16"/>
        </w:rPr>
        <w:t xml:space="preserve">noviembre de 2014. Serie C No. 289, párr. 220; </w:t>
      </w:r>
      <w:r>
        <w:rPr>
          <w:i/>
          <w:sz w:val="16"/>
        </w:rPr>
        <w:t>Caso Duque Vs. Colombi</w:t>
      </w:r>
      <w:r>
        <w:rPr>
          <w:sz w:val="16"/>
        </w:rPr>
        <w:t xml:space="preserve">a, </w:t>
      </w:r>
      <w:r>
        <w:rPr>
          <w:i/>
          <w:sz w:val="16"/>
        </w:rPr>
        <w:t>supra</w:t>
      </w:r>
      <w:r>
        <w:rPr>
          <w:sz w:val="16"/>
        </w:rPr>
        <w:t>, párr. 9</w:t>
      </w:r>
      <w:r>
        <w:rPr>
          <w:sz w:val="16"/>
        </w:rPr>
        <w:t xml:space="preserve">2, y </w:t>
      </w:r>
      <w:r>
        <w:rPr>
          <w:i/>
          <w:sz w:val="16"/>
        </w:rPr>
        <w:t xml:space="preserve">Caso Trabajadores </w:t>
      </w:r>
      <w:r>
        <w:rPr>
          <w:i/>
          <w:spacing w:val="-3"/>
          <w:sz w:val="16"/>
        </w:rPr>
        <w:t xml:space="preserve">de </w:t>
      </w:r>
      <w:r>
        <w:rPr>
          <w:i/>
          <w:sz w:val="16"/>
        </w:rPr>
        <w:t>la Hacienda Brasil Verde Vs. Brasil, supra</w:t>
      </w:r>
      <w:r>
        <w:rPr>
          <w:sz w:val="16"/>
        </w:rPr>
        <w:t>, párr.</w:t>
      </w:r>
      <w:r>
        <w:rPr>
          <w:spacing w:val="-6"/>
          <w:sz w:val="16"/>
        </w:rPr>
        <w:t xml:space="preserve"> </w:t>
      </w:r>
      <w:r>
        <w:rPr>
          <w:sz w:val="16"/>
        </w:rPr>
        <w:t>336.</w:t>
      </w:r>
    </w:p>
    <w:p w14:paraId="5BBE9DA0" w14:textId="77777777" w:rsidR="00467FCA" w:rsidRDefault="001B68EB">
      <w:pPr>
        <w:tabs>
          <w:tab w:val="left" w:pos="1166"/>
        </w:tabs>
        <w:ind w:left="458" w:right="273"/>
        <w:jc w:val="both"/>
        <w:rPr>
          <w:sz w:val="16"/>
        </w:rPr>
      </w:pPr>
      <w:bookmarkStart w:id="923" w:name="_bookmark842"/>
      <w:bookmarkEnd w:id="923"/>
      <w:r>
        <w:rPr>
          <w:position w:val="6"/>
          <w:sz w:val="10"/>
        </w:rPr>
        <w:t>160</w:t>
      </w:r>
      <w:r>
        <w:rPr>
          <w:position w:val="6"/>
          <w:sz w:val="10"/>
        </w:rPr>
        <w:tab/>
      </w:r>
      <w:r>
        <w:rPr>
          <w:i/>
          <w:sz w:val="16"/>
        </w:rPr>
        <w:t>Caso Empleados de la Fábrica de Fuegos en Santo Antônio de Jesus y sus familiares Vs. Brasil, supra</w:t>
      </w:r>
      <w:r>
        <w:rPr>
          <w:sz w:val="16"/>
        </w:rPr>
        <w:t>, párr. 183.</w:t>
      </w:r>
    </w:p>
    <w:p w14:paraId="3AB1E80E" w14:textId="77777777" w:rsidR="00467FCA" w:rsidRDefault="001B68EB">
      <w:pPr>
        <w:tabs>
          <w:tab w:val="left" w:pos="1166"/>
        </w:tabs>
        <w:ind w:left="458" w:right="270"/>
        <w:jc w:val="both"/>
        <w:rPr>
          <w:sz w:val="16"/>
        </w:rPr>
      </w:pPr>
      <w:bookmarkStart w:id="924" w:name="_bookmark843"/>
      <w:bookmarkEnd w:id="924"/>
      <w:r>
        <w:rPr>
          <w:position w:val="6"/>
          <w:sz w:val="10"/>
        </w:rPr>
        <w:t>161</w:t>
      </w:r>
      <w:r>
        <w:rPr>
          <w:position w:val="6"/>
          <w:sz w:val="10"/>
        </w:rPr>
        <w:tab/>
      </w:r>
      <w:r>
        <w:rPr>
          <w:sz w:val="16"/>
        </w:rPr>
        <w:t>CIDH. “Acceso a la justicia para las mujeres víctimas d</w:t>
      </w:r>
      <w:r>
        <w:rPr>
          <w:sz w:val="16"/>
        </w:rPr>
        <w:t>e violencia en las Américas”. OEA/Ser.L/V/II, Doc. 68,</w:t>
      </w:r>
      <w:r>
        <w:rPr>
          <w:spacing w:val="-11"/>
          <w:sz w:val="16"/>
        </w:rPr>
        <w:t xml:space="preserve"> </w:t>
      </w:r>
      <w:r>
        <w:rPr>
          <w:sz w:val="16"/>
        </w:rPr>
        <w:t>20</w:t>
      </w:r>
      <w:r>
        <w:rPr>
          <w:spacing w:val="-8"/>
          <w:sz w:val="16"/>
        </w:rPr>
        <w:t xml:space="preserve"> </w:t>
      </w:r>
      <w:r>
        <w:rPr>
          <w:sz w:val="16"/>
        </w:rPr>
        <w:t>enero</w:t>
      </w:r>
      <w:r>
        <w:rPr>
          <w:spacing w:val="-8"/>
          <w:sz w:val="16"/>
        </w:rPr>
        <w:t xml:space="preserve"> </w:t>
      </w:r>
      <w:r>
        <w:rPr>
          <w:sz w:val="16"/>
        </w:rPr>
        <w:t>de</w:t>
      </w:r>
      <w:r>
        <w:rPr>
          <w:spacing w:val="-12"/>
          <w:sz w:val="16"/>
        </w:rPr>
        <w:t xml:space="preserve"> </w:t>
      </w:r>
      <w:r>
        <w:rPr>
          <w:sz w:val="16"/>
        </w:rPr>
        <w:t>2007,</w:t>
      </w:r>
      <w:r>
        <w:rPr>
          <w:spacing w:val="-7"/>
          <w:sz w:val="16"/>
        </w:rPr>
        <w:t xml:space="preserve"> </w:t>
      </w:r>
      <w:r>
        <w:rPr>
          <w:sz w:val="16"/>
        </w:rPr>
        <w:t>párr.</w:t>
      </w:r>
      <w:r>
        <w:rPr>
          <w:spacing w:val="-10"/>
          <w:sz w:val="16"/>
        </w:rPr>
        <w:t xml:space="preserve"> </w:t>
      </w:r>
      <w:r>
        <w:rPr>
          <w:sz w:val="16"/>
        </w:rPr>
        <w:t>99.</w:t>
      </w:r>
      <w:r>
        <w:rPr>
          <w:spacing w:val="-8"/>
          <w:sz w:val="16"/>
        </w:rPr>
        <w:t xml:space="preserve"> </w:t>
      </w:r>
      <w:r>
        <w:rPr>
          <w:sz w:val="16"/>
        </w:rPr>
        <w:t>En</w:t>
      </w:r>
      <w:r>
        <w:rPr>
          <w:spacing w:val="-10"/>
          <w:sz w:val="16"/>
        </w:rPr>
        <w:t xml:space="preserve"> </w:t>
      </w:r>
      <w:r>
        <w:rPr>
          <w:sz w:val="16"/>
        </w:rPr>
        <w:t>el</w:t>
      </w:r>
      <w:r>
        <w:rPr>
          <w:spacing w:val="-10"/>
          <w:sz w:val="16"/>
        </w:rPr>
        <w:t xml:space="preserve"> </w:t>
      </w:r>
      <w:r>
        <w:rPr>
          <w:sz w:val="16"/>
        </w:rPr>
        <w:t>referido</w:t>
      </w:r>
      <w:r>
        <w:rPr>
          <w:spacing w:val="-9"/>
          <w:sz w:val="16"/>
        </w:rPr>
        <w:t xml:space="preserve"> </w:t>
      </w:r>
      <w:r>
        <w:rPr>
          <w:sz w:val="16"/>
        </w:rPr>
        <w:t>informe</w:t>
      </w:r>
      <w:r>
        <w:rPr>
          <w:spacing w:val="-9"/>
          <w:sz w:val="16"/>
        </w:rPr>
        <w:t xml:space="preserve"> </w:t>
      </w:r>
      <w:r>
        <w:rPr>
          <w:sz w:val="16"/>
        </w:rPr>
        <w:t>(nota</w:t>
      </w:r>
      <w:r>
        <w:rPr>
          <w:spacing w:val="-9"/>
          <w:sz w:val="16"/>
        </w:rPr>
        <w:t xml:space="preserve"> </w:t>
      </w:r>
      <w:r>
        <w:rPr>
          <w:sz w:val="16"/>
        </w:rPr>
        <w:t>al</w:t>
      </w:r>
      <w:r>
        <w:rPr>
          <w:spacing w:val="-8"/>
          <w:sz w:val="16"/>
        </w:rPr>
        <w:t xml:space="preserve"> </w:t>
      </w:r>
      <w:r>
        <w:rPr>
          <w:sz w:val="16"/>
        </w:rPr>
        <w:t>pie</w:t>
      </w:r>
      <w:r>
        <w:rPr>
          <w:spacing w:val="-11"/>
          <w:sz w:val="16"/>
        </w:rPr>
        <w:t xml:space="preserve"> </w:t>
      </w:r>
      <w:r>
        <w:rPr>
          <w:sz w:val="16"/>
        </w:rPr>
        <w:t>de</w:t>
      </w:r>
      <w:r>
        <w:rPr>
          <w:spacing w:val="-9"/>
          <w:sz w:val="16"/>
        </w:rPr>
        <w:t xml:space="preserve"> </w:t>
      </w:r>
      <w:r>
        <w:rPr>
          <w:sz w:val="16"/>
        </w:rPr>
        <w:t>pág.</w:t>
      </w:r>
      <w:r>
        <w:rPr>
          <w:spacing w:val="-11"/>
          <w:sz w:val="16"/>
        </w:rPr>
        <w:t xml:space="preserve"> </w:t>
      </w:r>
      <w:r>
        <w:rPr>
          <w:sz w:val="16"/>
        </w:rPr>
        <w:t>136),</w:t>
      </w:r>
      <w:r>
        <w:rPr>
          <w:spacing w:val="-7"/>
          <w:sz w:val="16"/>
        </w:rPr>
        <w:t xml:space="preserve"> </w:t>
      </w:r>
      <w:r>
        <w:rPr>
          <w:sz w:val="16"/>
        </w:rPr>
        <w:t>la</w:t>
      </w:r>
      <w:r>
        <w:rPr>
          <w:spacing w:val="-9"/>
          <w:sz w:val="16"/>
        </w:rPr>
        <w:t xml:space="preserve"> </w:t>
      </w:r>
      <w:r>
        <w:rPr>
          <w:sz w:val="16"/>
        </w:rPr>
        <w:t>Comisión</w:t>
      </w:r>
      <w:r>
        <w:rPr>
          <w:spacing w:val="-8"/>
          <w:sz w:val="16"/>
        </w:rPr>
        <w:t xml:space="preserve"> </w:t>
      </w:r>
      <w:r>
        <w:rPr>
          <w:sz w:val="16"/>
        </w:rPr>
        <w:t>Interamericana</w:t>
      </w:r>
      <w:r>
        <w:rPr>
          <w:spacing w:val="-9"/>
          <w:sz w:val="16"/>
        </w:rPr>
        <w:t xml:space="preserve"> </w:t>
      </w:r>
      <w:r>
        <w:rPr>
          <w:sz w:val="16"/>
        </w:rPr>
        <w:t>se</w:t>
      </w:r>
      <w:r>
        <w:rPr>
          <w:spacing w:val="-9"/>
          <w:sz w:val="16"/>
        </w:rPr>
        <w:t xml:space="preserve"> </w:t>
      </w:r>
      <w:r>
        <w:rPr>
          <w:sz w:val="16"/>
        </w:rPr>
        <w:t>apoya en</w:t>
      </w:r>
      <w:r>
        <w:rPr>
          <w:spacing w:val="-16"/>
          <w:sz w:val="16"/>
        </w:rPr>
        <w:t xml:space="preserve"> </w:t>
      </w:r>
      <w:r>
        <w:rPr>
          <w:sz w:val="16"/>
        </w:rPr>
        <w:t>Young,</w:t>
      </w:r>
      <w:r>
        <w:rPr>
          <w:spacing w:val="-15"/>
          <w:sz w:val="16"/>
        </w:rPr>
        <w:t xml:space="preserve"> </w:t>
      </w:r>
      <w:r>
        <w:rPr>
          <w:sz w:val="16"/>
        </w:rPr>
        <w:t>Iris</w:t>
      </w:r>
      <w:r>
        <w:rPr>
          <w:spacing w:val="-18"/>
          <w:sz w:val="16"/>
        </w:rPr>
        <w:t xml:space="preserve"> </w:t>
      </w:r>
      <w:r>
        <w:rPr>
          <w:sz w:val="16"/>
        </w:rPr>
        <w:t>Marion,</w:t>
      </w:r>
      <w:r>
        <w:rPr>
          <w:spacing w:val="-2"/>
          <w:sz w:val="16"/>
        </w:rPr>
        <w:t xml:space="preserve"> </w:t>
      </w:r>
      <w:r>
        <w:rPr>
          <w:i/>
          <w:sz w:val="16"/>
        </w:rPr>
        <w:t>Justice</w:t>
      </w:r>
      <w:r>
        <w:rPr>
          <w:i/>
          <w:spacing w:val="-17"/>
          <w:sz w:val="16"/>
        </w:rPr>
        <w:t xml:space="preserve"> </w:t>
      </w:r>
      <w:r>
        <w:rPr>
          <w:i/>
          <w:sz w:val="16"/>
        </w:rPr>
        <w:t>and</w:t>
      </w:r>
      <w:r>
        <w:rPr>
          <w:i/>
          <w:spacing w:val="-15"/>
          <w:sz w:val="16"/>
        </w:rPr>
        <w:t xml:space="preserve"> </w:t>
      </w:r>
      <w:r>
        <w:rPr>
          <w:i/>
          <w:sz w:val="16"/>
        </w:rPr>
        <w:t>the</w:t>
      </w:r>
      <w:r>
        <w:rPr>
          <w:i/>
          <w:spacing w:val="-14"/>
          <w:sz w:val="16"/>
        </w:rPr>
        <w:t xml:space="preserve"> </w:t>
      </w:r>
      <w:r>
        <w:rPr>
          <w:i/>
          <w:sz w:val="16"/>
        </w:rPr>
        <w:t>Politics</w:t>
      </w:r>
      <w:r>
        <w:rPr>
          <w:i/>
          <w:spacing w:val="-15"/>
          <w:sz w:val="16"/>
        </w:rPr>
        <w:t xml:space="preserve"> </w:t>
      </w:r>
      <w:r>
        <w:rPr>
          <w:i/>
          <w:sz w:val="16"/>
        </w:rPr>
        <w:t>of</w:t>
      </w:r>
      <w:r>
        <w:rPr>
          <w:i/>
          <w:spacing w:val="-14"/>
          <w:sz w:val="16"/>
        </w:rPr>
        <w:t xml:space="preserve"> </w:t>
      </w:r>
      <w:r>
        <w:rPr>
          <w:i/>
          <w:sz w:val="16"/>
        </w:rPr>
        <w:t>Difference</w:t>
      </w:r>
      <w:r>
        <w:rPr>
          <w:sz w:val="16"/>
        </w:rPr>
        <w:t>,</w:t>
      </w:r>
      <w:r>
        <w:rPr>
          <w:spacing w:val="-15"/>
          <w:sz w:val="16"/>
        </w:rPr>
        <w:t xml:space="preserve"> </w:t>
      </w:r>
      <w:r>
        <w:rPr>
          <w:sz w:val="16"/>
        </w:rPr>
        <w:t>Princeton</w:t>
      </w:r>
      <w:r>
        <w:rPr>
          <w:spacing w:val="-16"/>
          <w:sz w:val="16"/>
        </w:rPr>
        <w:t xml:space="preserve"> </w:t>
      </w:r>
      <w:r>
        <w:rPr>
          <w:sz w:val="16"/>
        </w:rPr>
        <w:t>University</w:t>
      </w:r>
      <w:r>
        <w:rPr>
          <w:spacing w:val="-14"/>
          <w:sz w:val="16"/>
        </w:rPr>
        <w:t xml:space="preserve"> </w:t>
      </w:r>
      <w:r>
        <w:rPr>
          <w:sz w:val="16"/>
        </w:rPr>
        <w:t>Press,</w:t>
      </w:r>
      <w:r>
        <w:rPr>
          <w:spacing w:val="-18"/>
          <w:sz w:val="16"/>
        </w:rPr>
        <w:t xml:space="preserve"> </w:t>
      </w:r>
      <w:r>
        <w:rPr>
          <w:sz w:val="16"/>
        </w:rPr>
        <w:t>1990;</w:t>
      </w:r>
      <w:r>
        <w:rPr>
          <w:spacing w:val="-16"/>
          <w:sz w:val="16"/>
        </w:rPr>
        <w:t xml:space="preserve"> </w:t>
      </w:r>
      <w:r>
        <w:rPr>
          <w:sz w:val="16"/>
        </w:rPr>
        <w:t>Ferrajoli,</w:t>
      </w:r>
      <w:r>
        <w:rPr>
          <w:spacing w:val="-15"/>
          <w:sz w:val="16"/>
        </w:rPr>
        <w:t xml:space="preserve"> </w:t>
      </w:r>
      <w:r>
        <w:rPr>
          <w:sz w:val="16"/>
        </w:rPr>
        <w:t>Luis,</w:t>
      </w:r>
      <w:r>
        <w:rPr>
          <w:spacing w:val="-3"/>
          <w:sz w:val="16"/>
        </w:rPr>
        <w:t xml:space="preserve"> </w:t>
      </w:r>
      <w:r>
        <w:rPr>
          <w:sz w:val="16"/>
        </w:rPr>
        <w:t xml:space="preserve">“Igualdad y Diferencia”, en </w:t>
      </w:r>
      <w:r>
        <w:rPr>
          <w:i/>
          <w:sz w:val="16"/>
        </w:rPr>
        <w:t xml:space="preserve">Derechos y Garantías. La ley del más débil, </w:t>
      </w:r>
      <w:r>
        <w:rPr>
          <w:sz w:val="16"/>
        </w:rPr>
        <w:t>Madrid, Editorial Trota, 1999, págs. 73-96; Barrere Unzueta,</w:t>
      </w:r>
      <w:r>
        <w:rPr>
          <w:spacing w:val="-7"/>
          <w:sz w:val="16"/>
        </w:rPr>
        <w:t xml:space="preserve"> </w:t>
      </w:r>
      <w:r>
        <w:rPr>
          <w:sz w:val="16"/>
        </w:rPr>
        <w:t>María</w:t>
      </w:r>
      <w:r>
        <w:rPr>
          <w:spacing w:val="-9"/>
          <w:sz w:val="16"/>
        </w:rPr>
        <w:t xml:space="preserve"> </w:t>
      </w:r>
      <w:r>
        <w:rPr>
          <w:sz w:val="16"/>
        </w:rPr>
        <w:t>Ángeles,</w:t>
      </w:r>
      <w:r>
        <w:rPr>
          <w:spacing w:val="-1"/>
          <w:sz w:val="16"/>
        </w:rPr>
        <w:t xml:space="preserve"> </w:t>
      </w:r>
      <w:r>
        <w:rPr>
          <w:i/>
          <w:sz w:val="16"/>
        </w:rPr>
        <w:t>Discriminación,</w:t>
      </w:r>
      <w:r>
        <w:rPr>
          <w:i/>
          <w:spacing w:val="-7"/>
          <w:sz w:val="16"/>
        </w:rPr>
        <w:t xml:space="preserve"> </w:t>
      </w:r>
      <w:r>
        <w:rPr>
          <w:i/>
          <w:sz w:val="16"/>
        </w:rPr>
        <w:t>derecho</w:t>
      </w:r>
      <w:r>
        <w:rPr>
          <w:i/>
          <w:spacing w:val="-8"/>
          <w:sz w:val="16"/>
        </w:rPr>
        <w:t xml:space="preserve"> </w:t>
      </w:r>
      <w:r>
        <w:rPr>
          <w:i/>
          <w:sz w:val="16"/>
        </w:rPr>
        <w:t>Antidiscriminatorio</w:t>
      </w:r>
      <w:r>
        <w:rPr>
          <w:i/>
          <w:spacing w:val="-7"/>
          <w:sz w:val="16"/>
        </w:rPr>
        <w:t xml:space="preserve"> </w:t>
      </w:r>
      <w:r>
        <w:rPr>
          <w:i/>
          <w:sz w:val="16"/>
        </w:rPr>
        <w:t>y</w:t>
      </w:r>
      <w:r>
        <w:rPr>
          <w:i/>
          <w:spacing w:val="-5"/>
          <w:sz w:val="16"/>
        </w:rPr>
        <w:t xml:space="preserve"> </w:t>
      </w:r>
      <w:r>
        <w:rPr>
          <w:i/>
          <w:sz w:val="16"/>
        </w:rPr>
        <w:t>acción</w:t>
      </w:r>
      <w:r>
        <w:rPr>
          <w:i/>
          <w:spacing w:val="-8"/>
          <w:sz w:val="16"/>
        </w:rPr>
        <w:t xml:space="preserve"> </w:t>
      </w:r>
      <w:r>
        <w:rPr>
          <w:i/>
          <w:sz w:val="16"/>
        </w:rPr>
        <w:t>positiva</w:t>
      </w:r>
      <w:r>
        <w:rPr>
          <w:i/>
          <w:spacing w:val="-7"/>
          <w:sz w:val="16"/>
        </w:rPr>
        <w:t xml:space="preserve"> </w:t>
      </w:r>
      <w:r>
        <w:rPr>
          <w:i/>
          <w:sz w:val="16"/>
        </w:rPr>
        <w:t>a</w:t>
      </w:r>
      <w:r>
        <w:rPr>
          <w:i/>
          <w:spacing w:val="-8"/>
          <w:sz w:val="16"/>
        </w:rPr>
        <w:t xml:space="preserve"> </w:t>
      </w:r>
      <w:r>
        <w:rPr>
          <w:i/>
          <w:sz w:val="16"/>
        </w:rPr>
        <w:t>favor</w:t>
      </w:r>
      <w:r>
        <w:rPr>
          <w:i/>
          <w:spacing w:val="-7"/>
          <w:sz w:val="16"/>
        </w:rPr>
        <w:t xml:space="preserve"> </w:t>
      </w:r>
      <w:r>
        <w:rPr>
          <w:i/>
          <w:sz w:val="16"/>
        </w:rPr>
        <w:t>de</w:t>
      </w:r>
      <w:r>
        <w:rPr>
          <w:i/>
          <w:spacing w:val="-8"/>
          <w:sz w:val="16"/>
        </w:rPr>
        <w:t xml:space="preserve"> </w:t>
      </w:r>
      <w:r>
        <w:rPr>
          <w:i/>
          <w:sz w:val="16"/>
        </w:rPr>
        <w:t>las</w:t>
      </w:r>
      <w:r>
        <w:rPr>
          <w:i/>
          <w:spacing w:val="-5"/>
          <w:sz w:val="16"/>
        </w:rPr>
        <w:t xml:space="preserve"> </w:t>
      </w:r>
      <w:r>
        <w:rPr>
          <w:i/>
          <w:sz w:val="16"/>
        </w:rPr>
        <w:t>mujeres</w:t>
      </w:r>
      <w:r>
        <w:rPr>
          <w:sz w:val="16"/>
        </w:rPr>
        <w:t>,</w:t>
      </w:r>
      <w:r>
        <w:rPr>
          <w:spacing w:val="-12"/>
          <w:sz w:val="16"/>
        </w:rPr>
        <w:t xml:space="preserve"> </w:t>
      </w:r>
      <w:r>
        <w:rPr>
          <w:sz w:val="16"/>
        </w:rPr>
        <w:t xml:space="preserve">Madrid, Civitas, 1997; </w:t>
      </w:r>
      <w:r>
        <w:rPr>
          <w:i/>
          <w:sz w:val="16"/>
        </w:rPr>
        <w:t>Igualdad y discriminación Positiva: un esbozo de análisis conceptual</w:t>
      </w:r>
      <w:r>
        <w:rPr>
          <w:sz w:val="16"/>
        </w:rPr>
        <w:t xml:space="preserve">; Fiss, Owen, “Another Equality”, y “Grupos y la cláusula de igual protección”, en Gargarella, Roberto (comp), </w:t>
      </w:r>
      <w:r>
        <w:rPr>
          <w:i/>
          <w:sz w:val="16"/>
        </w:rPr>
        <w:t>Derecho y grupos desa</w:t>
      </w:r>
      <w:r>
        <w:rPr>
          <w:i/>
          <w:sz w:val="16"/>
        </w:rPr>
        <w:t>ventajados</w:t>
      </w:r>
      <w:r>
        <w:rPr>
          <w:sz w:val="16"/>
        </w:rPr>
        <w:t>, Gedisa, Barcelona, 1999, págs.</w:t>
      </w:r>
      <w:r>
        <w:rPr>
          <w:spacing w:val="-7"/>
          <w:sz w:val="16"/>
        </w:rPr>
        <w:t xml:space="preserve"> </w:t>
      </w:r>
      <w:r>
        <w:rPr>
          <w:sz w:val="16"/>
        </w:rPr>
        <w:t>137-168.</w:t>
      </w:r>
    </w:p>
    <w:p w14:paraId="56202E43" w14:textId="77777777" w:rsidR="00467FCA" w:rsidRDefault="001B68EB">
      <w:pPr>
        <w:tabs>
          <w:tab w:val="left" w:pos="1166"/>
        </w:tabs>
        <w:ind w:left="458" w:right="274" w:hanging="1"/>
        <w:jc w:val="both"/>
        <w:rPr>
          <w:sz w:val="16"/>
        </w:rPr>
      </w:pPr>
      <w:bookmarkStart w:id="925" w:name="_bookmark844"/>
      <w:bookmarkEnd w:id="925"/>
      <w:r>
        <w:rPr>
          <w:position w:val="6"/>
          <w:sz w:val="10"/>
        </w:rPr>
        <w:t>162</w:t>
      </w:r>
      <w:r>
        <w:rPr>
          <w:position w:val="6"/>
          <w:sz w:val="10"/>
        </w:rPr>
        <w:tab/>
      </w:r>
      <w:r>
        <w:rPr>
          <w:sz w:val="16"/>
        </w:rPr>
        <w:t>CIDH, I</w:t>
      </w:r>
      <w:r>
        <w:rPr>
          <w:i/>
          <w:sz w:val="16"/>
        </w:rPr>
        <w:t>nforme sobre la situación de los derechos humanos en Ecuador 1997</w:t>
      </w:r>
      <w:r>
        <w:rPr>
          <w:sz w:val="16"/>
        </w:rPr>
        <w:t>, Capítulo II. B, Garantías Jurídicas e Institucionales en la República del</w:t>
      </w:r>
      <w:r>
        <w:rPr>
          <w:spacing w:val="-5"/>
          <w:sz w:val="16"/>
        </w:rPr>
        <w:t xml:space="preserve"> </w:t>
      </w:r>
      <w:r>
        <w:rPr>
          <w:sz w:val="16"/>
        </w:rPr>
        <w:t>Ecuador.</w:t>
      </w:r>
    </w:p>
    <w:p w14:paraId="2B9B9DA1" w14:textId="77777777" w:rsidR="00467FCA" w:rsidRDefault="00467FCA">
      <w:pPr>
        <w:jc w:val="both"/>
        <w:rPr>
          <w:sz w:val="16"/>
        </w:rPr>
        <w:sectPr w:rsidR="00467FCA">
          <w:pgSz w:w="12240" w:h="15840"/>
          <w:pgMar w:top="1340" w:right="1140" w:bottom="920" w:left="960" w:header="0" w:footer="734" w:gutter="0"/>
          <w:cols w:space="720"/>
        </w:sectPr>
      </w:pPr>
    </w:p>
    <w:p w14:paraId="0BFAE270" w14:textId="77777777" w:rsidR="00467FCA" w:rsidRDefault="001B68EB">
      <w:pPr>
        <w:pStyle w:val="Prrafodelista"/>
        <w:numPr>
          <w:ilvl w:val="0"/>
          <w:numId w:val="4"/>
        </w:numPr>
        <w:tabs>
          <w:tab w:val="left" w:pos="1167"/>
        </w:tabs>
        <w:spacing w:before="79"/>
        <w:ind w:right="274" w:hanging="1"/>
        <w:jc w:val="both"/>
        <w:rPr>
          <w:sz w:val="20"/>
        </w:rPr>
      </w:pPr>
      <w:r>
        <w:rPr>
          <w:sz w:val="20"/>
        </w:rPr>
        <w:t>La doctrina había sido enfática al señalar que, al menos, en el derecho internacional existen dos nociones de igualdad y que han sido plasmadas en instrument</w:t>
      </w:r>
      <w:r>
        <w:rPr>
          <w:sz w:val="20"/>
        </w:rPr>
        <w:t>os</w:t>
      </w:r>
      <w:r>
        <w:rPr>
          <w:spacing w:val="-22"/>
          <w:sz w:val="20"/>
        </w:rPr>
        <w:t xml:space="preserve"> </w:t>
      </w:r>
      <w:r>
        <w:rPr>
          <w:sz w:val="20"/>
        </w:rPr>
        <w:t>internacionales:</w:t>
      </w:r>
    </w:p>
    <w:p w14:paraId="32CD97F6" w14:textId="77777777" w:rsidR="00467FCA" w:rsidRDefault="001B68EB">
      <w:pPr>
        <w:pStyle w:val="Textoindependiente"/>
        <w:ind w:left="458" w:right="276" w:hanging="1"/>
        <w:jc w:val="both"/>
      </w:pPr>
      <w:r>
        <w:t>(i) la igualdad como “prohibición de trato arbitrario” o “igualdad formal”; y (ii) la igualdad “como no discriminación”, “igualdad como no sometimiento” o “igualdad material”. Ahora bien, respecto del artículo 24, se identificaba que mi</w:t>
      </w:r>
      <w:r>
        <w:t>entras que la primera parte del artículo “todas las personas son iguales ante la ley” hacía referencia a la que se ha denominado igualdad como prohibición del trato arbitrario o igualdad formal; la segunda parte “sin discriminación, a igual protección de l</w:t>
      </w:r>
      <w:r>
        <w:t>a ley”, se referiría a la igualdad como prohibición de discriminación</w:t>
      </w:r>
      <w:r>
        <w:rPr>
          <w:spacing w:val="-15"/>
        </w:rPr>
        <w:t xml:space="preserve"> </w:t>
      </w:r>
      <w:r>
        <w:t>o</w:t>
      </w:r>
      <w:r>
        <w:rPr>
          <w:spacing w:val="-14"/>
        </w:rPr>
        <w:t xml:space="preserve"> </w:t>
      </w:r>
      <w:r>
        <w:t>no</w:t>
      </w:r>
      <w:r>
        <w:rPr>
          <w:spacing w:val="-14"/>
        </w:rPr>
        <w:t xml:space="preserve"> </w:t>
      </w:r>
      <w:r>
        <w:t>sometimiento,</w:t>
      </w:r>
      <w:r>
        <w:rPr>
          <w:spacing w:val="-13"/>
        </w:rPr>
        <w:t xml:space="preserve"> </w:t>
      </w:r>
      <w:r>
        <w:t>lo</w:t>
      </w:r>
      <w:r>
        <w:rPr>
          <w:spacing w:val="-14"/>
        </w:rPr>
        <w:t xml:space="preserve"> </w:t>
      </w:r>
      <w:r>
        <w:t>cual</w:t>
      </w:r>
      <w:r>
        <w:rPr>
          <w:spacing w:val="-16"/>
        </w:rPr>
        <w:t xml:space="preserve"> </w:t>
      </w:r>
      <w:r>
        <w:t>se</w:t>
      </w:r>
      <w:r>
        <w:rPr>
          <w:spacing w:val="-14"/>
        </w:rPr>
        <w:t xml:space="preserve"> </w:t>
      </w:r>
      <w:r>
        <w:t>complementaría</w:t>
      </w:r>
      <w:r>
        <w:rPr>
          <w:spacing w:val="-13"/>
        </w:rPr>
        <w:t xml:space="preserve"> </w:t>
      </w:r>
      <w:r>
        <w:t>con</w:t>
      </w:r>
      <w:r>
        <w:rPr>
          <w:spacing w:val="-14"/>
        </w:rPr>
        <w:t xml:space="preserve"> </w:t>
      </w:r>
      <w:r>
        <w:t>lo</w:t>
      </w:r>
      <w:r>
        <w:rPr>
          <w:spacing w:val="-16"/>
        </w:rPr>
        <w:t xml:space="preserve"> </w:t>
      </w:r>
      <w:r>
        <w:t>dispuesto</w:t>
      </w:r>
      <w:r>
        <w:rPr>
          <w:spacing w:val="-14"/>
        </w:rPr>
        <w:t xml:space="preserve"> </w:t>
      </w:r>
      <w:r>
        <w:t>en</w:t>
      </w:r>
      <w:r>
        <w:rPr>
          <w:spacing w:val="-13"/>
        </w:rPr>
        <w:t xml:space="preserve"> </w:t>
      </w:r>
      <w:r>
        <w:t>el</w:t>
      </w:r>
      <w:r>
        <w:rPr>
          <w:spacing w:val="-15"/>
        </w:rPr>
        <w:t xml:space="preserve"> </w:t>
      </w:r>
      <w:r>
        <w:t>art.</w:t>
      </w:r>
      <w:r>
        <w:rPr>
          <w:spacing w:val="-16"/>
        </w:rPr>
        <w:t xml:space="preserve"> </w:t>
      </w:r>
      <w:r>
        <w:t>1.1</w:t>
      </w:r>
      <w:hyperlink w:anchor="_bookmark845" w:history="1">
        <w:r>
          <w:rPr>
            <w:position w:val="7"/>
            <w:sz w:val="13"/>
          </w:rPr>
          <w:t>163</w:t>
        </w:r>
      </w:hyperlink>
      <w:r>
        <w:t>.</w:t>
      </w:r>
    </w:p>
    <w:p w14:paraId="144B97D4" w14:textId="77777777" w:rsidR="00467FCA" w:rsidRDefault="00467FCA">
      <w:pPr>
        <w:pStyle w:val="Textoindependiente"/>
      </w:pPr>
    </w:p>
    <w:p w14:paraId="330C633A" w14:textId="77777777" w:rsidR="00467FCA" w:rsidRDefault="001B68EB">
      <w:pPr>
        <w:pStyle w:val="Prrafodelista"/>
        <w:numPr>
          <w:ilvl w:val="0"/>
          <w:numId w:val="4"/>
        </w:numPr>
        <w:tabs>
          <w:tab w:val="left" w:pos="1167"/>
        </w:tabs>
        <w:ind w:right="272" w:firstLine="0"/>
        <w:jc w:val="both"/>
        <w:rPr>
          <w:sz w:val="20"/>
        </w:rPr>
      </w:pPr>
      <w:r>
        <w:rPr>
          <w:sz w:val="20"/>
        </w:rPr>
        <w:t>Ahora bien, esa noción de “igualdad como prohibición de discriminación” o “no sometimiento”, se basa en la idea de que existen sectores que han estado sistemática o históricamente subordinados, sojuzgados, excluidos o marginados, por lo que existe la neces</w:t>
      </w:r>
      <w:r>
        <w:rPr>
          <w:sz w:val="20"/>
        </w:rPr>
        <w:t>idad de que los Estados adopten medidas para mejorar la condición de estos grupos, con el objeto de permitir que éstos salgan de su situación de marginación. Tal concepción de la igualdad demanda del Estado no solamente el abstenerse de realizar acciones q</w:t>
      </w:r>
      <w:r>
        <w:rPr>
          <w:sz w:val="20"/>
        </w:rPr>
        <w:t xml:space="preserve">ue profundicen la marginación de estos grupos, sino revisar normas que son en apariencia neutrales pero que tienen un impacto discriminatorio sobre los grupos en situación de exclusión, y además adoptar medidas positivas para favorecer su integración a la </w:t>
      </w:r>
      <w:r>
        <w:rPr>
          <w:sz w:val="20"/>
        </w:rPr>
        <w:t>sociedad y su acceso a bienes sociales</w:t>
      </w:r>
      <w:hyperlink w:anchor="_bookmark846" w:history="1">
        <w:r>
          <w:rPr>
            <w:position w:val="7"/>
            <w:sz w:val="13"/>
          </w:rPr>
          <w:t>164</w:t>
        </w:r>
      </w:hyperlink>
      <w:r>
        <w:rPr>
          <w:sz w:val="20"/>
        </w:rPr>
        <w:t>. El actuar del Estado, entonces, estaría encaminado a revertir las situaciones de desigualdad social de las personas o algunos grupos de</w:t>
      </w:r>
      <w:r>
        <w:rPr>
          <w:spacing w:val="-23"/>
          <w:sz w:val="20"/>
        </w:rPr>
        <w:t xml:space="preserve"> </w:t>
      </w:r>
      <w:r>
        <w:rPr>
          <w:sz w:val="20"/>
        </w:rPr>
        <w:t>personas.</w:t>
      </w:r>
    </w:p>
    <w:p w14:paraId="7D477F49" w14:textId="77777777" w:rsidR="00467FCA" w:rsidRDefault="00467FCA">
      <w:pPr>
        <w:pStyle w:val="Textoindependiente"/>
        <w:spacing w:before="11"/>
        <w:rPr>
          <w:sz w:val="19"/>
        </w:rPr>
      </w:pPr>
    </w:p>
    <w:p w14:paraId="3AEAFDD8" w14:textId="77777777" w:rsidR="00467FCA" w:rsidRDefault="001B68EB">
      <w:pPr>
        <w:pStyle w:val="Prrafodelista"/>
        <w:numPr>
          <w:ilvl w:val="0"/>
          <w:numId w:val="4"/>
        </w:numPr>
        <w:tabs>
          <w:tab w:val="left" w:pos="1167"/>
        </w:tabs>
        <w:spacing w:before="1"/>
        <w:ind w:left="457" w:right="273" w:firstLine="0"/>
        <w:jc w:val="both"/>
        <w:rPr>
          <w:sz w:val="20"/>
        </w:rPr>
      </w:pPr>
      <w:r>
        <w:rPr>
          <w:sz w:val="20"/>
        </w:rPr>
        <w:t>Lo</w:t>
      </w:r>
      <w:r>
        <w:rPr>
          <w:spacing w:val="-12"/>
          <w:sz w:val="20"/>
        </w:rPr>
        <w:t xml:space="preserve"> </w:t>
      </w:r>
      <w:r>
        <w:rPr>
          <w:sz w:val="20"/>
        </w:rPr>
        <w:t>indicado</w:t>
      </w:r>
      <w:r>
        <w:rPr>
          <w:spacing w:val="-12"/>
          <w:sz w:val="20"/>
        </w:rPr>
        <w:t xml:space="preserve"> </w:t>
      </w:r>
      <w:r>
        <w:rPr>
          <w:sz w:val="20"/>
        </w:rPr>
        <w:t>por</w:t>
      </w:r>
      <w:r>
        <w:rPr>
          <w:spacing w:val="-11"/>
          <w:sz w:val="20"/>
        </w:rPr>
        <w:t xml:space="preserve"> </w:t>
      </w:r>
      <w:r>
        <w:rPr>
          <w:sz w:val="20"/>
        </w:rPr>
        <w:t>la</w:t>
      </w:r>
      <w:r>
        <w:rPr>
          <w:spacing w:val="-11"/>
          <w:sz w:val="20"/>
        </w:rPr>
        <w:t xml:space="preserve"> </w:t>
      </w:r>
      <w:r>
        <w:rPr>
          <w:sz w:val="20"/>
        </w:rPr>
        <w:t>Comisión</w:t>
      </w:r>
      <w:r>
        <w:rPr>
          <w:spacing w:val="-9"/>
          <w:sz w:val="20"/>
        </w:rPr>
        <w:t xml:space="preserve"> </w:t>
      </w:r>
      <w:r>
        <w:rPr>
          <w:sz w:val="20"/>
        </w:rPr>
        <w:t>Intera</w:t>
      </w:r>
      <w:r>
        <w:rPr>
          <w:sz w:val="20"/>
        </w:rPr>
        <w:t>mericana</w:t>
      </w:r>
      <w:r>
        <w:rPr>
          <w:spacing w:val="-11"/>
          <w:sz w:val="20"/>
        </w:rPr>
        <w:t xml:space="preserve"> </w:t>
      </w:r>
      <w:r>
        <w:rPr>
          <w:sz w:val="20"/>
        </w:rPr>
        <w:t>y</w:t>
      </w:r>
      <w:r>
        <w:rPr>
          <w:spacing w:val="-11"/>
          <w:sz w:val="20"/>
        </w:rPr>
        <w:t xml:space="preserve"> </w:t>
      </w:r>
      <w:r>
        <w:rPr>
          <w:sz w:val="20"/>
        </w:rPr>
        <w:t>la</w:t>
      </w:r>
      <w:r>
        <w:rPr>
          <w:spacing w:val="-6"/>
          <w:sz w:val="20"/>
        </w:rPr>
        <w:t xml:space="preserve"> </w:t>
      </w:r>
      <w:r>
        <w:rPr>
          <w:sz w:val="20"/>
        </w:rPr>
        <w:t>doctrina,</w:t>
      </w:r>
      <w:r>
        <w:rPr>
          <w:spacing w:val="-9"/>
          <w:sz w:val="20"/>
        </w:rPr>
        <w:t xml:space="preserve"> </w:t>
      </w:r>
      <w:r>
        <w:rPr>
          <w:sz w:val="20"/>
        </w:rPr>
        <w:t>coincide</w:t>
      </w:r>
      <w:r>
        <w:rPr>
          <w:spacing w:val="-9"/>
          <w:sz w:val="20"/>
        </w:rPr>
        <w:t xml:space="preserve"> </w:t>
      </w:r>
      <w:r>
        <w:rPr>
          <w:sz w:val="20"/>
        </w:rPr>
        <w:t>sustancialmente</w:t>
      </w:r>
      <w:r>
        <w:rPr>
          <w:spacing w:val="-12"/>
          <w:sz w:val="20"/>
        </w:rPr>
        <w:t xml:space="preserve"> </w:t>
      </w:r>
      <w:r>
        <w:rPr>
          <w:sz w:val="20"/>
        </w:rPr>
        <w:t xml:space="preserve">con los primeros desarrollos jurisprudenciales de la Corte IDH. En el caso </w:t>
      </w:r>
      <w:r>
        <w:rPr>
          <w:i/>
          <w:sz w:val="20"/>
        </w:rPr>
        <w:t>Furlan y otros Vs. Argentina</w:t>
      </w:r>
      <w:r>
        <w:rPr>
          <w:sz w:val="20"/>
        </w:rPr>
        <w:t>, reconoció que el derecho a la igualdad y no discriminación abarca dos concepciones:</w:t>
      </w:r>
      <w:r>
        <w:rPr>
          <w:spacing w:val="-7"/>
          <w:sz w:val="20"/>
        </w:rPr>
        <w:t xml:space="preserve"> </w:t>
      </w:r>
      <w:r>
        <w:rPr>
          <w:sz w:val="20"/>
        </w:rPr>
        <w:t>una</w:t>
      </w:r>
      <w:r>
        <w:rPr>
          <w:spacing w:val="-6"/>
          <w:sz w:val="20"/>
        </w:rPr>
        <w:t xml:space="preserve"> </w:t>
      </w:r>
      <w:r>
        <w:rPr>
          <w:sz w:val="20"/>
        </w:rPr>
        <w:t>concepción</w:t>
      </w:r>
      <w:r>
        <w:rPr>
          <w:spacing w:val="-6"/>
          <w:sz w:val="20"/>
        </w:rPr>
        <w:t xml:space="preserve"> </w:t>
      </w:r>
      <w:r>
        <w:rPr>
          <w:sz w:val="20"/>
        </w:rPr>
        <w:t>neg</w:t>
      </w:r>
      <w:r>
        <w:rPr>
          <w:sz w:val="20"/>
        </w:rPr>
        <w:t>ativa,</w:t>
      </w:r>
      <w:r>
        <w:rPr>
          <w:spacing w:val="-7"/>
          <w:sz w:val="20"/>
        </w:rPr>
        <w:t xml:space="preserve"> </w:t>
      </w:r>
      <w:r>
        <w:rPr>
          <w:sz w:val="20"/>
        </w:rPr>
        <w:t>relacionada</w:t>
      </w:r>
      <w:r>
        <w:rPr>
          <w:spacing w:val="-8"/>
          <w:sz w:val="20"/>
        </w:rPr>
        <w:t xml:space="preserve"> </w:t>
      </w:r>
      <w:r>
        <w:rPr>
          <w:sz w:val="20"/>
        </w:rPr>
        <w:t>con</w:t>
      </w:r>
      <w:r>
        <w:rPr>
          <w:spacing w:val="-8"/>
          <w:sz w:val="20"/>
        </w:rPr>
        <w:t xml:space="preserve"> </w:t>
      </w:r>
      <w:r>
        <w:rPr>
          <w:sz w:val="20"/>
        </w:rPr>
        <w:t>la</w:t>
      </w:r>
      <w:r>
        <w:rPr>
          <w:spacing w:val="-6"/>
          <w:sz w:val="20"/>
        </w:rPr>
        <w:t xml:space="preserve"> </w:t>
      </w:r>
      <w:r>
        <w:rPr>
          <w:sz w:val="20"/>
        </w:rPr>
        <w:t>prohibición</w:t>
      </w:r>
      <w:r>
        <w:rPr>
          <w:spacing w:val="-3"/>
          <w:sz w:val="20"/>
        </w:rPr>
        <w:t xml:space="preserve"> </w:t>
      </w:r>
      <w:r>
        <w:rPr>
          <w:sz w:val="20"/>
        </w:rPr>
        <w:t>de</w:t>
      </w:r>
      <w:r>
        <w:rPr>
          <w:spacing w:val="-10"/>
          <w:sz w:val="20"/>
        </w:rPr>
        <w:t xml:space="preserve"> </w:t>
      </w:r>
      <w:r>
        <w:rPr>
          <w:sz w:val="20"/>
        </w:rPr>
        <w:t>diferencias</w:t>
      </w:r>
      <w:r>
        <w:rPr>
          <w:spacing w:val="-7"/>
          <w:sz w:val="20"/>
        </w:rPr>
        <w:t xml:space="preserve"> </w:t>
      </w:r>
      <w:r>
        <w:rPr>
          <w:sz w:val="20"/>
        </w:rPr>
        <w:t>de</w:t>
      </w:r>
      <w:r>
        <w:rPr>
          <w:spacing w:val="-8"/>
          <w:sz w:val="20"/>
        </w:rPr>
        <w:t xml:space="preserve"> </w:t>
      </w:r>
      <w:r>
        <w:rPr>
          <w:sz w:val="20"/>
        </w:rPr>
        <w:t>trato arbitrarias, y una concepción positiva, relacionada con la obligación de los Estados de crear condiciones de igualdad real frente a grupos que han sido históricamente excluidos o que se encuentr</w:t>
      </w:r>
      <w:r>
        <w:rPr>
          <w:sz w:val="20"/>
        </w:rPr>
        <w:t>an en mayor riesgo de ser discriminados</w:t>
      </w:r>
      <w:hyperlink w:anchor="_bookmark847" w:history="1">
        <w:r>
          <w:rPr>
            <w:position w:val="7"/>
            <w:sz w:val="13"/>
          </w:rPr>
          <w:t>165</w:t>
        </w:r>
      </w:hyperlink>
      <w:r>
        <w:rPr>
          <w:sz w:val="20"/>
        </w:rPr>
        <w:t xml:space="preserve">. En el caso </w:t>
      </w:r>
      <w:r>
        <w:rPr>
          <w:i/>
          <w:sz w:val="20"/>
        </w:rPr>
        <w:t>YATAMA Vs. Nicaragua</w:t>
      </w:r>
      <w:r>
        <w:rPr>
          <w:sz w:val="20"/>
        </w:rPr>
        <w:t xml:space="preserve">, la Corte IDH ya había indicado que, “el artículo 24 de la Convención Americana prohíbe la discriminación de derecho </w:t>
      </w:r>
      <w:r>
        <w:rPr>
          <w:i/>
          <w:sz w:val="20"/>
        </w:rPr>
        <w:t>y de hecho</w:t>
      </w:r>
      <w:r>
        <w:rPr>
          <w:sz w:val="20"/>
        </w:rPr>
        <w:t>, no sólo en cuanto a los derechos contenidos en dicho tratado, sino en lo que respecta a todas las leyes que apruebe el Estado y a su</w:t>
      </w:r>
      <w:r>
        <w:rPr>
          <w:spacing w:val="-26"/>
          <w:sz w:val="20"/>
        </w:rPr>
        <w:t xml:space="preserve"> </w:t>
      </w:r>
      <w:r>
        <w:rPr>
          <w:sz w:val="20"/>
        </w:rPr>
        <w:t>aplicación</w:t>
      </w:r>
      <w:hyperlink w:anchor="_bookmark848" w:history="1">
        <w:r>
          <w:rPr>
            <w:rFonts w:ascii="Calibri" w:hAnsi="Calibri"/>
            <w:position w:val="8"/>
            <w:sz w:val="14"/>
          </w:rPr>
          <w:t>166</w:t>
        </w:r>
      </w:hyperlink>
      <w:r>
        <w:rPr>
          <w:sz w:val="20"/>
        </w:rPr>
        <w:t>.</w:t>
      </w:r>
    </w:p>
    <w:p w14:paraId="641917B7" w14:textId="77777777" w:rsidR="00467FCA" w:rsidRDefault="00467FCA">
      <w:pPr>
        <w:pStyle w:val="Textoindependiente"/>
        <w:spacing w:before="1"/>
        <w:rPr>
          <w:sz w:val="21"/>
        </w:rPr>
      </w:pPr>
    </w:p>
    <w:p w14:paraId="31AFB5ED" w14:textId="77777777" w:rsidR="00467FCA" w:rsidRDefault="001B68EB">
      <w:pPr>
        <w:pStyle w:val="Prrafodelista"/>
        <w:numPr>
          <w:ilvl w:val="0"/>
          <w:numId w:val="4"/>
        </w:numPr>
        <w:tabs>
          <w:tab w:val="left" w:pos="1167"/>
        </w:tabs>
        <w:ind w:right="275" w:hanging="1"/>
        <w:jc w:val="both"/>
        <w:rPr>
          <w:sz w:val="20"/>
        </w:rPr>
      </w:pPr>
      <w:r>
        <w:rPr>
          <w:sz w:val="20"/>
        </w:rPr>
        <w:t>No obstante, aunque la jurisprudencia de la Corte IDH afirmaba que el art</w:t>
      </w:r>
      <w:r>
        <w:rPr>
          <w:sz w:val="20"/>
        </w:rPr>
        <w:t>ículo 24 protegía</w:t>
      </w:r>
      <w:r>
        <w:rPr>
          <w:spacing w:val="-8"/>
          <w:sz w:val="20"/>
        </w:rPr>
        <w:t xml:space="preserve"> </w:t>
      </w:r>
      <w:r>
        <w:rPr>
          <w:sz w:val="20"/>
        </w:rPr>
        <w:t>también</w:t>
      </w:r>
      <w:r>
        <w:rPr>
          <w:spacing w:val="-7"/>
          <w:sz w:val="20"/>
        </w:rPr>
        <w:t xml:space="preserve"> </w:t>
      </w:r>
      <w:r>
        <w:rPr>
          <w:sz w:val="20"/>
        </w:rPr>
        <w:t>la</w:t>
      </w:r>
      <w:r>
        <w:rPr>
          <w:spacing w:val="-5"/>
          <w:sz w:val="20"/>
        </w:rPr>
        <w:t xml:space="preserve"> </w:t>
      </w:r>
      <w:r>
        <w:rPr>
          <w:sz w:val="20"/>
        </w:rPr>
        <w:t>“igualdad</w:t>
      </w:r>
      <w:r>
        <w:rPr>
          <w:spacing w:val="-7"/>
          <w:sz w:val="20"/>
        </w:rPr>
        <w:t xml:space="preserve"> </w:t>
      </w:r>
      <w:r>
        <w:rPr>
          <w:sz w:val="20"/>
        </w:rPr>
        <w:t>de</w:t>
      </w:r>
      <w:r>
        <w:rPr>
          <w:spacing w:val="-9"/>
          <w:sz w:val="20"/>
        </w:rPr>
        <w:t xml:space="preserve"> </w:t>
      </w:r>
      <w:r>
        <w:rPr>
          <w:sz w:val="20"/>
        </w:rPr>
        <w:t>hecho”</w:t>
      </w:r>
      <w:r>
        <w:rPr>
          <w:spacing w:val="-6"/>
          <w:sz w:val="20"/>
        </w:rPr>
        <w:t xml:space="preserve"> </w:t>
      </w:r>
      <w:r>
        <w:rPr>
          <w:sz w:val="20"/>
        </w:rPr>
        <w:t>por</w:t>
      </w:r>
      <w:r>
        <w:rPr>
          <w:spacing w:val="-9"/>
          <w:sz w:val="20"/>
        </w:rPr>
        <w:t xml:space="preserve"> </w:t>
      </w:r>
      <w:r>
        <w:rPr>
          <w:sz w:val="20"/>
        </w:rPr>
        <w:t>la</w:t>
      </w:r>
      <w:r>
        <w:rPr>
          <w:spacing w:val="-8"/>
          <w:sz w:val="20"/>
        </w:rPr>
        <w:t xml:space="preserve"> </w:t>
      </w:r>
      <w:r>
        <w:rPr>
          <w:sz w:val="20"/>
        </w:rPr>
        <w:t>igual</w:t>
      </w:r>
      <w:r>
        <w:rPr>
          <w:spacing w:val="-6"/>
          <w:sz w:val="20"/>
        </w:rPr>
        <w:t xml:space="preserve"> </w:t>
      </w:r>
      <w:r>
        <w:rPr>
          <w:sz w:val="20"/>
        </w:rPr>
        <w:t>protección</w:t>
      </w:r>
      <w:r>
        <w:rPr>
          <w:spacing w:val="-7"/>
          <w:sz w:val="20"/>
        </w:rPr>
        <w:t xml:space="preserve"> </w:t>
      </w:r>
      <w:r>
        <w:rPr>
          <w:sz w:val="20"/>
        </w:rPr>
        <w:t>de</w:t>
      </w:r>
      <w:r>
        <w:rPr>
          <w:spacing w:val="-7"/>
          <w:sz w:val="20"/>
        </w:rPr>
        <w:t xml:space="preserve"> </w:t>
      </w:r>
      <w:r>
        <w:rPr>
          <w:sz w:val="20"/>
        </w:rPr>
        <w:t>la</w:t>
      </w:r>
      <w:r>
        <w:rPr>
          <w:spacing w:val="-8"/>
          <w:sz w:val="20"/>
        </w:rPr>
        <w:t xml:space="preserve"> </w:t>
      </w:r>
      <w:r>
        <w:rPr>
          <w:sz w:val="20"/>
        </w:rPr>
        <w:t>ley,</w:t>
      </w:r>
      <w:r>
        <w:rPr>
          <w:spacing w:val="-8"/>
          <w:sz w:val="20"/>
        </w:rPr>
        <w:t xml:space="preserve"> </w:t>
      </w:r>
      <w:r>
        <w:rPr>
          <w:sz w:val="20"/>
        </w:rPr>
        <w:t>ese</w:t>
      </w:r>
      <w:r>
        <w:rPr>
          <w:spacing w:val="-7"/>
          <w:sz w:val="20"/>
        </w:rPr>
        <w:t xml:space="preserve"> </w:t>
      </w:r>
      <w:r>
        <w:rPr>
          <w:sz w:val="20"/>
        </w:rPr>
        <w:t>contenido</w:t>
      </w:r>
      <w:r>
        <w:rPr>
          <w:spacing w:val="-7"/>
          <w:sz w:val="20"/>
        </w:rPr>
        <w:t xml:space="preserve"> </w:t>
      </w:r>
      <w:r>
        <w:rPr>
          <w:sz w:val="20"/>
        </w:rPr>
        <w:t>en</w:t>
      </w:r>
      <w:r>
        <w:rPr>
          <w:spacing w:val="-7"/>
          <w:sz w:val="20"/>
        </w:rPr>
        <w:t xml:space="preserve"> </w:t>
      </w:r>
      <w:r>
        <w:rPr>
          <w:sz w:val="20"/>
        </w:rPr>
        <w:t>los análisis concretos era redireccionado al contenido del artículo 1.1 a la “obligación de los Estados de respetar y garantizar, sin discriminación, los d</w:t>
      </w:r>
      <w:r>
        <w:rPr>
          <w:sz w:val="20"/>
        </w:rPr>
        <w:t>erechos reconocidos en dicho tratado”.</w:t>
      </w:r>
    </w:p>
    <w:p w14:paraId="3CE314E6" w14:textId="77777777" w:rsidR="00467FCA" w:rsidRDefault="00467FCA">
      <w:pPr>
        <w:pStyle w:val="Textoindependiente"/>
        <w:spacing w:before="11"/>
        <w:rPr>
          <w:sz w:val="19"/>
        </w:rPr>
      </w:pPr>
    </w:p>
    <w:p w14:paraId="6EA58030" w14:textId="77777777" w:rsidR="00467FCA" w:rsidRDefault="001B68EB">
      <w:pPr>
        <w:pStyle w:val="Prrafodelista"/>
        <w:numPr>
          <w:ilvl w:val="0"/>
          <w:numId w:val="4"/>
        </w:numPr>
        <w:tabs>
          <w:tab w:val="left" w:pos="1168"/>
        </w:tabs>
        <w:ind w:right="274" w:firstLine="0"/>
        <w:jc w:val="both"/>
        <w:rPr>
          <w:sz w:val="20"/>
        </w:rPr>
      </w:pPr>
      <w:r>
        <w:rPr>
          <w:sz w:val="20"/>
        </w:rPr>
        <w:t>La</w:t>
      </w:r>
      <w:r>
        <w:rPr>
          <w:spacing w:val="-9"/>
          <w:sz w:val="20"/>
        </w:rPr>
        <w:t xml:space="preserve"> </w:t>
      </w:r>
      <w:r>
        <w:rPr>
          <w:sz w:val="20"/>
        </w:rPr>
        <w:t>jurisprudencia</w:t>
      </w:r>
      <w:r>
        <w:rPr>
          <w:spacing w:val="-5"/>
          <w:sz w:val="20"/>
        </w:rPr>
        <w:t xml:space="preserve"> </w:t>
      </w:r>
      <w:r>
        <w:rPr>
          <w:sz w:val="20"/>
        </w:rPr>
        <w:t>con</w:t>
      </w:r>
      <w:r>
        <w:rPr>
          <w:spacing w:val="-7"/>
          <w:sz w:val="20"/>
        </w:rPr>
        <w:t xml:space="preserve"> </w:t>
      </w:r>
      <w:r>
        <w:rPr>
          <w:sz w:val="20"/>
        </w:rPr>
        <w:t>posterioridad</w:t>
      </w:r>
      <w:r>
        <w:rPr>
          <w:spacing w:val="-5"/>
          <w:sz w:val="20"/>
        </w:rPr>
        <w:t xml:space="preserve"> </w:t>
      </w:r>
      <w:r>
        <w:rPr>
          <w:sz w:val="20"/>
        </w:rPr>
        <w:t>a</w:t>
      </w:r>
      <w:r>
        <w:rPr>
          <w:spacing w:val="-9"/>
          <w:sz w:val="20"/>
        </w:rPr>
        <w:t xml:space="preserve"> </w:t>
      </w:r>
      <w:r>
        <w:rPr>
          <w:i/>
          <w:sz w:val="20"/>
        </w:rPr>
        <w:t>Apitz</w:t>
      </w:r>
      <w:r>
        <w:rPr>
          <w:i/>
          <w:spacing w:val="-8"/>
          <w:sz w:val="20"/>
        </w:rPr>
        <w:t xml:space="preserve"> </w:t>
      </w:r>
      <w:r>
        <w:rPr>
          <w:sz w:val="20"/>
        </w:rPr>
        <w:t>refería</w:t>
      </w:r>
      <w:r>
        <w:rPr>
          <w:spacing w:val="-8"/>
          <w:sz w:val="20"/>
        </w:rPr>
        <w:t xml:space="preserve"> </w:t>
      </w:r>
      <w:r>
        <w:rPr>
          <w:sz w:val="20"/>
        </w:rPr>
        <w:t>al</w:t>
      </w:r>
      <w:r>
        <w:rPr>
          <w:spacing w:val="-8"/>
          <w:sz w:val="20"/>
        </w:rPr>
        <w:t xml:space="preserve"> </w:t>
      </w:r>
      <w:r>
        <w:rPr>
          <w:sz w:val="20"/>
        </w:rPr>
        <w:t>artículo</w:t>
      </w:r>
      <w:r>
        <w:rPr>
          <w:spacing w:val="-9"/>
          <w:sz w:val="20"/>
        </w:rPr>
        <w:t xml:space="preserve"> </w:t>
      </w:r>
      <w:r>
        <w:rPr>
          <w:sz w:val="20"/>
        </w:rPr>
        <w:t>24</w:t>
      </w:r>
      <w:r>
        <w:rPr>
          <w:spacing w:val="-7"/>
          <w:sz w:val="20"/>
        </w:rPr>
        <w:t xml:space="preserve"> </w:t>
      </w:r>
      <w:r>
        <w:rPr>
          <w:sz w:val="20"/>
        </w:rPr>
        <w:t>de</w:t>
      </w:r>
      <w:r>
        <w:rPr>
          <w:spacing w:val="-9"/>
          <w:sz w:val="20"/>
        </w:rPr>
        <w:t xml:space="preserve"> </w:t>
      </w:r>
      <w:r>
        <w:rPr>
          <w:sz w:val="20"/>
        </w:rPr>
        <w:t>la</w:t>
      </w:r>
      <w:r>
        <w:rPr>
          <w:spacing w:val="-6"/>
          <w:sz w:val="20"/>
        </w:rPr>
        <w:t xml:space="preserve"> </w:t>
      </w:r>
      <w:r>
        <w:rPr>
          <w:sz w:val="20"/>
        </w:rPr>
        <w:t>Convención</w:t>
      </w:r>
      <w:r>
        <w:rPr>
          <w:spacing w:val="-4"/>
          <w:sz w:val="20"/>
        </w:rPr>
        <w:t xml:space="preserve"> </w:t>
      </w:r>
      <w:r>
        <w:rPr>
          <w:sz w:val="20"/>
        </w:rPr>
        <w:t>en</w:t>
      </w:r>
      <w:r>
        <w:rPr>
          <w:spacing w:val="-7"/>
          <w:sz w:val="20"/>
        </w:rPr>
        <w:t xml:space="preserve"> </w:t>
      </w:r>
      <w:r>
        <w:rPr>
          <w:sz w:val="20"/>
        </w:rPr>
        <w:t>la medida que, en el caso concreto, una norma fuera aplicada de manera arbitraria, pero no abordaba cómo la falta de normas —es decir, el hecho que sea deseable que el Estado adoptara</w:t>
      </w:r>
      <w:r>
        <w:rPr>
          <w:spacing w:val="25"/>
          <w:sz w:val="20"/>
        </w:rPr>
        <w:t xml:space="preserve"> </w:t>
      </w:r>
      <w:r>
        <w:rPr>
          <w:sz w:val="20"/>
        </w:rPr>
        <w:t>acciones</w:t>
      </w:r>
      <w:r>
        <w:rPr>
          <w:spacing w:val="24"/>
          <w:sz w:val="20"/>
        </w:rPr>
        <w:t xml:space="preserve"> </w:t>
      </w:r>
      <w:r>
        <w:rPr>
          <w:sz w:val="20"/>
        </w:rPr>
        <w:t>o</w:t>
      </w:r>
      <w:r>
        <w:rPr>
          <w:spacing w:val="22"/>
          <w:sz w:val="20"/>
        </w:rPr>
        <w:t xml:space="preserve"> </w:t>
      </w:r>
      <w:r>
        <w:rPr>
          <w:sz w:val="20"/>
        </w:rPr>
        <w:t>normas</w:t>
      </w:r>
      <w:r>
        <w:rPr>
          <w:spacing w:val="24"/>
          <w:sz w:val="20"/>
        </w:rPr>
        <w:t xml:space="preserve"> </w:t>
      </w:r>
      <w:r>
        <w:rPr>
          <w:sz w:val="20"/>
        </w:rPr>
        <w:t>para</w:t>
      </w:r>
      <w:r>
        <w:rPr>
          <w:spacing w:val="25"/>
          <w:sz w:val="20"/>
        </w:rPr>
        <w:t xml:space="preserve"> </w:t>
      </w:r>
      <w:r>
        <w:rPr>
          <w:sz w:val="20"/>
        </w:rPr>
        <w:t>garantizar</w:t>
      </w:r>
      <w:r>
        <w:rPr>
          <w:spacing w:val="25"/>
          <w:sz w:val="20"/>
        </w:rPr>
        <w:t xml:space="preserve"> </w:t>
      </w:r>
      <w:r>
        <w:rPr>
          <w:sz w:val="20"/>
        </w:rPr>
        <w:t>derechos—,</w:t>
      </w:r>
      <w:r>
        <w:rPr>
          <w:spacing w:val="24"/>
          <w:sz w:val="20"/>
        </w:rPr>
        <w:t xml:space="preserve"> </w:t>
      </w:r>
      <w:r>
        <w:rPr>
          <w:sz w:val="20"/>
        </w:rPr>
        <w:t>o</w:t>
      </w:r>
      <w:r>
        <w:rPr>
          <w:spacing w:val="21"/>
          <w:sz w:val="20"/>
        </w:rPr>
        <w:t xml:space="preserve"> </w:t>
      </w:r>
      <w:r>
        <w:rPr>
          <w:sz w:val="20"/>
        </w:rPr>
        <w:t>la</w:t>
      </w:r>
      <w:r>
        <w:rPr>
          <w:spacing w:val="26"/>
          <w:sz w:val="20"/>
        </w:rPr>
        <w:t xml:space="preserve"> </w:t>
      </w:r>
      <w:r>
        <w:rPr>
          <w:sz w:val="20"/>
        </w:rPr>
        <w:t>insuficiencia/ineficac</w:t>
      </w:r>
      <w:r>
        <w:rPr>
          <w:sz w:val="20"/>
        </w:rPr>
        <w:t>ia</w:t>
      </w:r>
      <w:r>
        <w:rPr>
          <w:spacing w:val="22"/>
          <w:sz w:val="20"/>
        </w:rPr>
        <w:t xml:space="preserve"> </w:t>
      </w:r>
      <w:r>
        <w:rPr>
          <w:sz w:val="20"/>
        </w:rPr>
        <w:t>de</w:t>
      </w:r>
      <w:r>
        <w:rPr>
          <w:spacing w:val="24"/>
          <w:sz w:val="20"/>
        </w:rPr>
        <w:t xml:space="preserve"> </w:t>
      </w:r>
      <w:r>
        <w:rPr>
          <w:sz w:val="20"/>
        </w:rPr>
        <w:t>las</w:t>
      </w:r>
    </w:p>
    <w:p w14:paraId="5E3399F6" w14:textId="77777777" w:rsidR="00467FCA" w:rsidRDefault="00467FCA">
      <w:pPr>
        <w:pStyle w:val="Textoindependiente"/>
      </w:pPr>
    </w:p>
    <w:p w14:paraId="7CA65B30" w14:textId="77777777" w:rsidR="00467FCA" w:rsidRDefault="001B68EB">
      <w:pPr>
        <w:pStyle w:val="Textoindependiente"/>
        <w:spacing w:before="3"/>
        <w:rPr>
          <w:sz w:val="15"/>
        </w:rPr>
      </w:pPr>
      <w:r>
        <w:pict w14:anchorId="2FCD81B6">
          <v:shape id="_x0000_s1038" style="position:absolute;margin-left:70.9pt;margin-top:11.5pt;width:2in;height:.1pt;z-index:-251497472;mso-wrap-distance-left:0;mso-wrap-distance-right:0;mso-position-horizontal-relative:page" coordorigin="1418,230" coordsize="2880,0" path="m1418,230r2880,e" filled="f" strokeweight=".6pt">
            <v:path arrowok="t"/>
            <w10:wrap type="topAndBottom" anchorx="page"/>
          </v:shape>
        </w:pict>
      </w:r>
    </w:p>
    <w:p w14:paraId="15054510" w14:textId="77777777" w:rsidR="00467FCA" w:rsidRDefault="001B68EB">
      <w:pPr>
        <w:tabs>
          <w:tab w:val="left" w:pos="1166"/>
        </w:tabs>
        <w:spacing w:before="74"/>
        <w:ind w:left="458" w:right="270"/>
        <w:jc w:val="both"/>
        <w:rPr>
          <w:sz w:val="16"/>
        </w:rPr>
      </w:pPr>
      <w:bookmarkStart w:id="926" w:name="_bookmark845"/>
      <w:bookmarkEnd w:id="926"/>
      <w:r>
        <w:rPr>
          <w:position w:val="6"/>
          <w:sz w:val="10"/>
        </w:rPr>
        <w:t>163</w:t>
      </w:r>
      <w:r>
        <w:rPr>
          <w:position w:val="6"/>
          <w:sz w:val="10"/>
        </w:rPr>
        <w:tab/>
      </w:r>
      <w:r>
        <w:rPr>
          <w:sz w:val="16"/>
        </w:rPr>
        <w:t xml:space="preserve">Véase Le Saux, Marianne Gonzáles y Parra Vera, Óscar, “Concepciones y claúsulas de igualdad en la jurisprudencia de la Corte Interamericana: a propósito del Caso Apitz”, en </w:t>
      </w:r>
      <w:r>
        <w:rPr>
          <w:i/>
          <w:sz w:val="16"/>
        </w:rPr>
        <w:t>Revista del Instituto Interamericano de Derechos Humanos</w:t>
      </w:r>
      <w:r>
        <w:rPr>
          <w:sz w:val="16"/>
        </w:rPr>
        <w:t>, San José</w:t>
      </w:r>
      <w:r>
        <w:rPr>
          <w:sz w:val="16"/>
        </w:rPr>
        <w:t>, Instituto Interamericano de Derechos Humanos, No. 47, 2008, p.</w:t>
      </w:r>
      <w:r>
        <w:rPr>
          <w:spacing w:val="-19"/>
          <w:sz w:val="16"/>
        </w:rPr>
        <w:t xml:space="preserve"> </w:t>
      </w:r>
      <w:r>
        <w:rPr>
          <w:sz w:val="16"/>
        </w:rPr>
        <w:t>147.</w:t>
      </w:r>
    </w:p>
    <w:p w14:paraId="06373DC6" w14:textId="77777777" w:rsidR="00467FCA" w:rsidRDefault="001B68EB">
      <w:pPr>
        <w:tabs>
          <w:tab w:val="left" w:pos="1166"/>
        </w:tabs>
        <w:ind w:left="458" w:right="274" w:hanging="1"/>
        <w:jc w:val="both"/>
        <w:rPr>
          <w:sz w:val="16"/>
        </w:rPr>
      </w:pPr>
      <w:bookmarkStart w:id="927" w:name="_bookmark846"/>
      <w:bookmarkEnd w:id="927"/>
      <w:r>
        <w:rPr>
          <w:position w:val="6"/>
          <w:sz w:val="10"/>
        </w:rPr>
        <w:t>164</w:t>
      </w:r>
      <w:r>
        <w:rPr>
          <w:position w:val="6"/>
          <w:sz w:val="10"/>
        </w:rPr>
        <w:tab/>
      </w:r>
      <w:r>
        <w:rPr>
          <w:i/>
          <w:sz w:val="16"/>
        </w:rPr>
        <w:t>Cfr.</w:t>
      </w:r>
      <w:r>
        <w:rPr>
          <w:i/>
          <w:spacing w:val="-16"/>
          <w:sz w:val="16"/>
        </w:rPr>
        <w:t xml:space="preserve"> </w:t>
      </w:r>
      <w:r>
        <w:rPr>
          <w:sz w:val="16"/>
        </w:rPr>
        <w:t>Saba,</w:t>
      </w:r>
      <w:r>
        <w:rPr>
          <w:spacing w:val="-16"/>
          <w:sz w:val="16"/>
        </w:rPr>
        <w:t xml:space="preserve"> </w:t>
      </w:r>
      <w:r>
        <w:rPr>
          <w:sz w:val="16"/>
        </w:rPr>
        <w:t>Roberto,</w:t>
      </w:r>
      <w:r>
        <w:rPr>
          <w:spacing w:val="-15"/>
          <w:sz w:val="16"/>
        </w:rPr>
        <w:t xml:space="preserve"> </w:t>
      </w:r>
      <w:r>
        <w:rPr>
          <w:i/>
          <w:sz w:val="16"/>
        </w:rPr>
        <w:t>Pobreza,</w:t>
      </w:r>
      <w:r>
        <w:rPr>
          <w:i/>
          <w:spacing w:val="-16"/>
          <w:sz w:val="16"/>
        </w:rPr>
        <w:t xml:space="preserve"> </w:t>
      </w:r>
      <w:r>
        <w:rPr>
          <w:i/>
          <w:sz w:val="16"/>
        </w:rPr>
        <w:t>derechos</w:t>
      </w:r>
      <w:r>
        <w:rPr>
          <w:i/>
          <w:spacing w:val="-14"/>
          <w:sz w:val="16"/>
        </w:rPr>
        <w:t xml:space="preserve"> </w:t>
      </w:r>
      <w:r>
        <w:rPr>
          <w:i/>
          <w:sz w:val="16"/>
        </w:rPr>
        <w:t>humanos</w:t>
      </w:r>
      <w:r>
        <w:rPr>
          <w:i/>
          <w:spacing w:val="-18"/>
          <w:sz w:val="16"/>
        </w:rPr>
        <w:t xml:space="preserve"> </w:t>
      </w:r>
      <w:r>
        <w:rPr>
          <w:i/>
          <w:sz w:val="16"/>
        </w:rPr>
        <w:t>y</w:t>
      </w:r>
      <w:r>
        <w:rPr>
          <w:i/>
          <w:spacing w:val="-14"/>
          <w:sz w:val="16"/>
        </w:rPr>
        <w:t xml:space="preserve"> </w:t>
      </w:r>
      <w:r>
        <w:rPr>
          <w:i/>
          <w:sz w:val="16"/>
        </w:rPr>
        <w:t>desigualdad</w:t>
      </w:r>
      <w:r>
        <w:rPr>
          <w:i/>
          <w:spacing w:val="-14"/>
          <w:sz w:val="16"/>
        </w:rPr>
        <w:t xml:space="preserve"> </w:t>
      </w:r>
      <w:r>
        <w:rPr>
          <w:i/>
          <w:sz w:val="16"/>
        </w:rPr>
        <w:t>estructural,</w:t>
      </w:r>
      <w:r>
        <w:rPr>
          <w:i/>
          <w:spacing w:val="-17"/>
          <w:sz w:val="16"/>
        </w:rPr>
        <w:t xml:space="preserve"> </w:t>
      </w:r>
      <w:r>
        <w:rPr>
          <w:sz w:val="16"/>
        </w:rPr>
        <w:t>México,</w:t>
      </w:r>
      <w:r>
        <w:rPr>
          <w:spacing w:val="-15"/>
          <w:sz w:val="16"/>
        </w:rPr>
        <w:t xml:space="preserve"> </w:t>
      </w:r>
      <w:r>
        <w:rPr>
          <w:sz w:val="16"/>
        </w:rPr>
        <w:t>Suprema</w:t>
      </w:r>
      <w:r>
        <w:rPr>
          <w:spacing w:val="-14"/>
          <w:sz w:val="16"/>
        </w:rPr>
        <w:t xml:space="preserve"> </w:t>
      </w:r>
      <w:r>
        <w:rPr>
          <w:sz w:val="16"/>
        </w:rPr>
        <w:t>Corte</w:t>
      </w:r>
      <w:r>
        <w:rPr>
          <w:spacing w:val="-18"/>
          <w:sz w:val="16"/>
        </w:rPr>
        <w:t xml:space="preserve"> </w:t>
      </w:r>
      <w:r>
        <w:rPr>
          <w:sz w:val="16"/>
        </w:rPr>
        <w:t>de</w:t>
      </w:r>
      <w:r>
        <w:rPr>
          <w:spacing w:val="-14"/>
          <w:sz w:val="16"/>
        </w:rPr>
        <w:t xml:space="preserve"> </w:t>
      </w:r>
      <w:r>
        <w:rPr>
          <w:sz w:val="16"/>
        </w:rPr>
        <w:t>Justicia de</w:t>
      </w:r>
      <w:r>
        <w:rPr>
          <w:spacing w:val="-3"/>
          <w:sz w:val="16"/>
        </w:rPr>
        <w:t xml:space="preserve"> </w:t>
      </w:r>
      <w:r>
        <w:rPr>
          <w:sz w:val="16"/>
        </w:rPr>
        <w:t>la</w:t>
      </w:r>
      <w:r>
        <w:rPr>
          <w:spacing w:val="-4"/>
          <w:sz w:val="16"/>
        </w:rPr>
        <w:t xml:space="preserve"> </w:t>
      </w:r>
      <w:r>
        <w:rPr>
          <w:sz w:val="16"/>
        </w:rPr>
        <w:t>Nación-Tribunal</w:t>
      </w:r>
      <w:r>
        <w:rPr>
          <w:spacing w:val="-3"/>
          <w:sz w:val="16"/>
        </w:rPr>
        <w:t xml:space="preserve"> </w:t>
      </w:r>
      <w:r>
        <w:rPr>
          <w:sz w:val="16"/>
        </w:rPr>
        <w:t>Electoral</w:t>
      </w:r>
      <w:r>
        <w:rPr>
          <w:spacing w:val="-4"/>
          <w:sz w:val="16"/>
        </w:rPr>
        <w:t xml:space="preserve"> </w:t>
      </w:r>
      <w:r>
        <w:rPr>
          <w:sz w:val="16"/>
        </w:rPr>
        <w:t>del</w:t>
      </w:r>
      <w:r>
        <w:rPr>
          <w:spacing w:val="-3"/>
          <w:sz w:val="16"/>
        </w:rPr>
        <w:t xml:space="preserve"> </w:t>
      </w:r>
      <w:r>
        <w:rPr>
          <w:sz w:val="16"/>
        </w:rPr>
        <w:t>Poder</w:t>
      </w:r>
      <w:r>
        <w:rPr>
          <w:spacing w:val="-5"/>
          <w:sz w:val="16"/>
        </w:rPr>
        <w:t xml:space="preserve"> </w:t>
      </w:r>
      <w:r>
        <w:rPr>
          <w:sz w:val="16"/>
        </w:rPr>
        <w:t>Judicial</w:t>
      </w:r>
      <w:r>
        <w:rPr>
          <w:spacing w:val="-3"/>
          <w:sz w:val="16"/>
        </w:rPr>
        <w:t xml:space="preserve"> </w:t>
      </w:r>
      <w:r>
        <w:rPr>
          <w:sz w:val="16"/>
        </w:rPr>
        <w:t>de</w:t>
      </w:r>
      <w:r>
        <w:rPr>
          <w:spacing w:val="-3"/>
          <w:sz w:val="16"/>
        </w:rPr>
        <w:t xml:space="preserve"> </w:t>
      </w:r>
      <w:r>
        <w:rPr>
          <w:sz w:val="16"/>
        </w:rPr>
        <w:t>la</w:t>
      </w:r>
      <w:r>
        <w:rPr>
          <w:spacing w:val="-6"/>
          <w:sz w:val="16"/>
        </w:rPr>
        <w:t xml:space="preserve"> </w:t>
      </w:r>
      <w:r>
        <w:rPr>
          <w:sz w:val="16"/>
        </w:rPr>
        <w:t>Federación-Instituto</w:t>
      </w:r>
      <w:r>
        <w:rPr>
          <w:spacing w:val="-3"/>
          <w:sz w:val="16"/>
        </w:rPr>
        <w:t xml:space="preserve"> </w:t>
      </w:r>
      <w:r>
        <w:rPr>
          <w:sz w:val="16"/>
        </w:rPr>
        <w:t>Electoral</w:t>
      </w:r>
      <w:r>
        <w:rPr>
          <w:spacing w:val="-3"/>
          <w:sz w:val="16"/>
        </w:rPr>
        <w:t xml:space="preserve"> </w:t>
      </w:r>
      <w:r>
        <w:rPr>
          <w:sz w:val="16"/>
        </w:rPr>
        <w:t>del</w:t>
      </w:r>
      <w:r>
        <w:rPr>
          <w:spacing w:val="-7"/>
          <w:sz w:val="16"/>
        </w:rPr>
        <w:t xml:space="preserve"> </w:t>
      </w:r>
      <w:r>
        <w:rPr>
          <w:sz w:val="16"/>
        </w:rPr>
        <w:t>Distrito</w:t>
      </w:r>
      <w:r>
        <w:rPr>
          <w:spacing w:val="-2"/>
          <w:sz w:val="16"/>
        </w:rPr>
        <w:t xml:space="preserve"> </w:t>
      </w:r>
      <w:r>
        <w:rPr>
          <w:sz w:val="16"/>
        </w:rPr>
        <w:t>Federal,</w:t>
      </w:r>
      <w:r>
        <w:rPr>
          <w:spacing w:val="-4"/>
          <w:sz w:val="16"/>
        </w:rPr>
        <w:t xml:space="preserve"> </w:t>
      </w:r>
      <w:r>
        <w:rPr>
          <w:sz w:val="16"/>
        </w:rPr>
        <w:t>2012,</w:t>
      </w:r>
      <w:r>
        <w:rPr>
          <w:spacing w:val="-6"/>
          <w:sz w:val="16"/>
        </w:rPr>
        <w:t xml:space="preserve"> </w:t>
      </w:r>
      <w:r>
        <w:rPr>
          <w:sz w:val="16"/>
        </w:rPr>
        <w:t>p.</w:t>
      </w:r>
      <w:r>
        <w:rPr>
          <w:spacing w:val="-4"/>
          <w:sz w:val="16"/>
        </w:rPr>
        <w:t xml:space="preserve"> </w:t>
      </w:r>
      <w:r>
        <w:rPr>
          <w:sz w:val="16"/>
        </w:rPr>
        <w:t xml:space="preserve">46 y ss., y Fiss, Owen, véanse distintos trabajos referidos a grupos y la cláusula de igual protección, en </w:t>
      </w:r>
      <w:r>
        <w:rPr>
          <w:i/>
          <w:sz w:val="16"/>
        </w:rPr>
        <w:t xml:space="preserve">Gargarella, Roberto </w:t>
      </w:r>
      <w:r>
        <w:rPr>
          <w:sz w:val="16"/>
        </w:rPr>
        <w:t xml:space="preserve">(comp.), </w:t>
      </w:r>
      <w:r>
        <w:rPr>
          <w:i/>
          <w:sz w:val="16"/>
        </w:rPr>
        <w:t>Derecho y grupos desaventajados</w:t>
      </w:r>
      <w:r>
        <w:rPr>
          <w:sz w:val="16"/>
        </w:rPr>
        <w:t xml:space="preserve">, Gedisa, Barcelona, 1999, </w:t>
      </w:r>
      <w:r>
        <w:rPr>
          <w:sz w:val="16"/>
        </w:rPr>
        <w:t>pp.</w:t>
      </w:r>
      <w:r>
        <w:rPr>
          <w:spacing w:val="-13"/>
          <w:sz w:val="16"/>
        </w:rPr>
        <w:t xml:space="preserve"> </w:t>
      </w:r>
      <w:r>
        <w:rPr>
          <w:sz w:val="16"/>
        </w:rPr>
        <w:t>137-168.</w:t>
      </w:r>
    </w:p>
    <w:p w14:paraId="104988EF" w14:textId="77777777" w:rsidR="00467FCA" w:rsidRDefault="001B68EB">
      <w:pPr>
        <w:tabs>
          <w:tab w:val="left" w:pos="1166"/>
        </w:tabs>
        <w:ind w:left="458" w:right="273"/>
        <w:jc w:val="both"/>
        <w:rPr>
          <w:sz w:val="16"/>
        </w:rPr>
      </w:pPr>
      <w:bookmarkStart w:id="928" w:name="_bookmark847"/>
      <w:bookmarkEnd w:id="928"/>
      <w:r>
        <w:rPr>
          <w:position w:val="6"/>
          <w:sz w:val="10"/>
        </w:rPr>
        <w:t>165</w:t>
      </w:r>
      <w:r>
        <w:rPr>
          <w:position w:val="6"/>
          <w:sz w:val="10"/>
        </w:rPr>
        <w:tab/>
      </w:r>
      <w:r>
        <w:rPr>
          <w:i/>
          <w:sz w:val="16"/>
        </w:rPr>
        <w:t>Cfr. Caso Furlán y familiares Vs. Argentina. Excepciones Preliminares, Fondo, Reparaciones y Costas</w:t>
      </w:r>
      <w:r>
        <w:rPr>
          <w:sz w:val="16"/>
        </w:rPr>
        <w:t>. Sentencia de 31 de agosto de 2012. Serie C No. 246, párr.</w:t>
      </w:r>
      <w:r>
        <w:rPr>
          <w:spacing w:val="-19"/>
          <w:sz w:val="16"/>
        </w:rPr>
        <w:t xml:space="preserve"> </w:t>
      </w:r>
      <w:r>
        <w:rPr>
          <w:sz w:val="16"/>
        </w:rPr>
        <w:t>267.</w:t>
      </w:r>
    </w:p>
    <w:p w14:paraId="7016EE8C" w14:textId="77777777" w:rsidR="00467FCA" w:rsidRDefault="001B68EB">
      <w:pPr>
        <w:tabs>
          <w:tab w:val="left" w:pos="1166"/>
        </w:tabs>
        <w:ind w:left="458"/>
        <w:jc w:val="both"/>
        <w:rPr>
          <w:sz w:val="16"/>
        </w:rPr>
      </w:pPr>
      <w:bookmarkStart w:id="929" w:name="_bookmark848"/>
      <w:bookmarkEnd w:id="929"/>
      <w:r>
        <w:rPr>
          <w:position w:val="6"/>
          <w:sz w:val="10"/>
        </w:rPr>
        <w:t>166</w:t>
      </w:r>
      <w:r>
        <w:rPr>
          <w:position w:val="6"/>
          <w:sz w:val="10"/>
        </w:rPr>
        <w:tab/>
      </w:r>
      <w:r>
        <w:rPr>
          <w:i/>
          <w:sz w:val="16"/>
        </w:rPr>
        <w:t>Cfr. Caso Yatama Vs. Nicaragua. supra</w:t>
      </w:r>
      <w:r>
        <w:rPr>
          <w:sz w:val="16"/>
        </w:rPr>
        <w:t>, párr.</w:t>
      </w:r>
      <w:r>
        <w:rPr>
          <w:spacing w:val="-6"/>
          <w:sz w:val="16"/>
        </w:rPr>
        <w:t xml:space="preserve"> </w:t>
      </w:r>
      <w:r>
        <w:rPr>
          <w:sz w:val="16"/>
        </w:rPr>
        <w:t>186.</w:t>
      </w:r>
    </w:p>
    <w:p w14:paraId="3ACA53C4" w14:textId="77777777" w:rsidR="00467FCA" w:rsidRDefault="00467FCA">
      <w:pPr>
        <w:jc w:val="both"/>
        <w:rPr>
          <w:sz w:val="16"/>
        </w:rPr>
        <w:sectPr w:rsidR="00467FCA">
          <w:pgSz w:w="12240" w:h="15840"/>
          <w:pgMar w:top="1340" w:right="1140" w:bottom="920" w:left="960" w:header="0" w:footer="734" w:gutter="0"/>
          <w:cols w:space="720"/>
        </w:sectPr>
      </w:pPr>
    </w:p>
    <w:p w14:paraId="7EFC570C" w14:textId="77777777" w:rsidR="00467FCA" w:rsidRDefault="001B68EB">
      <w:pPr>
        <w:pStyle w:val="Textoindependiente"/>
        <w:spacing w:before="79"/>
        <w:ind w:left="458" w:right="409"/>
      </w:pPr>
      <w:r>
        <w:t xml:space="preserve">mismas </w:t>
      </w:r>
      <w:r>
        <w:t>(más allá de si se había aplicado en el caso concreto), impactaba en la “igual protección de la ley, [sin discriminación]”.</w:t>
      </w:r>
    </w:p>
    <w:p w14:paraId="31A46730" w14:textId="77777777" w:rsidR="00467FCA" w:rsidRDefault="00467FCA">
      <w:pPr>
        <w:pStyle w:val="Textoindependiente"/>
      </w:pPr>
    </w:p>
    <w:p w14:paraId="0B1771C9" w14:textId="77777777" w:rsidR="00467FCA" w:rsidRDefault="001B68EB">
      <w:pPr>
        <w:pStyle w:val="Prrafodelista"/>
        <w:numPr>
          <w:ilvl w:val="0"/>
          <w:numId w:val="4"/>
        </w:numPr>
        <w:tabs>
          <w:tab w:val="left" w:pos="1167"/>
        </w:tabs>
        <w:ind w:left="457" w:right="277" w:firstLine="0"/>
        <w:jc w:val="both"/>
        <w:rPr>
          <w:sz w:val="20"/>
        </w:rPr>
      </w:pPr>
      <w:r>
        <w:rPr>
          <w:sz w:val="20"/>
        </w:rPr>
        <w:t>Una de las interrogantes era si “la inaplicación de normas/acciones” o “la falta de adopción</w:t>
      </w:r>
      <w:r>
        <w:rPr>
          <w:spacing w:val="-14"/>
          <w:sz w:val="20"/>
        </w:rPr>
        <w:t xml:space="preserve"> </w:t>
      </w:r>
      <w:r>
        <w:rPr>
          <w:sz w:val="20"/>
        </w:rPr>
        <w:t>de</w:t>
      </w:r>
      <w:r>
        <w:rPr>
          <w:spacing w:val="-15"/>
          <w:sz w:val="20"/>
        </w:rPr>
        <w:t xml:space="preserve"> </w:t>
      </w:r>
      <w:r>
        <w:rPr>
          <w:sz w:val="20"/>
        </w:rPr>
        <w:t>normas/acciones”</w:t>
      </w:r>
      <w:r>
        <w:rPr>
          <w:spacing w:val="-14"/>
          <w:sz w:val="20"/>
        </w:rPr>
        <w:t xml:space="preserve"> </w:t>
      </w:r>
      <w:r>
        <w:rPr>
          <w:sz w:val="20"/>
        </w:rPr>
        <w:t>generaba</w:t>
      </w:r>
      <w:r>
        <w:rPr>
          <w:spacing w:val="-13"/>
          <w:sz w:val="20"/>
        </w:rPr>
        <w:t xml:space="preserve"> </w:t>
      </w:r>
      <w:r>
        <w:rPr>
          <w:sz w:val="20"/>
        </w:rPr>
        <w:t>un</w:t>
      </w:r>
      <w:r>
        <w:rPr>
          <w:spacing w:val="-13"/>
          <w:sz w:val="20"/>
        </w:rPr>
        <w:t xml:space="preserve"> </w:t>
      </w:r>
      <w:r>
        <w:rPr>
          <w:sz w:val="20"/>
        </w:rPr>
        <w:t>impacto</w:t>
      </w:r>
      <w:r>
        <w:rPr>
          <w:spacing w:val="-14"/>
          <w:sz w:val="20"/>
        </w:rPr>
        <w:t xml:space="preserve"> </w:t>
      </w:r>
      <w:r>
        <w:rPr>
          <w:sz w:val="20"/>
        </w:rPr>
        <w:t>desigual</w:t>
      </w:r>
      <w:r>
        <w:rPr>
          <w:spacing w:val="-13"/>
          <w:sz w:val="20"/>
        </w:rPr>
        <w:t xml:space="preserve"> </w:t>
      </w:r>
      <w:r>
        <w:rPr>
          <w:sz w:val="20"/>
        </w:rPr>
        <w:t>y,</w:t>
      </w:r>
      <w:r>
        <w:rPr>
          <w:spacing w:val="-14"/>
          <w:sz w:val="20"/>
        </w:rPr>
        <w:t xml:space="preserve"> </w:t>
      </w:r>
      <w:r>
        <w:rPr>
          <w:sz w:val="20"/>
        </w:rPr>
        <w:t>por</w:t>
      </w:r>
      <w:r>
        <w:rPr>
          <w:spacing w:val="-12"/>
          <w:sz w:val="20"/>
        </w:rPr>
        <w:t xml:space="preserve"> </w:t>
      </w:r>
      <w:r>
        <w:rPr>
          <w:sz w:val="20"/>
        </w:rPr>
        <w:t>ende,</w:t>
      </w:r>
      <w:r>
        <w:rPr>
          <w:spacing w:val="-14"/>
          <w:sz w:val="20"/>
        </w:rPr>
        <w:t xml:space="preserve"> </w:t>
      </w:r>
      <w:r>
        <w:rPr>
          <w:sz w:val="20"/>
        </w:rPr>
        <w:t>discriminatorio</w:t>
      </w:r>
      <w:r>
        <w:rPr>
          <w:spacing w:val="-15"/>
          <w:sz w:val="20"/>
        </w:rPr>
        <w:t xml:space="preserve"> </w:t>
      </w:r>
      <w:r>
        <w:rPr>
          <w:sz w:val="20"/>
        </w:rPr>
        <w:t>(por la exclusión que genera en el disfrute de un derecho), desde el punto de vista de “la igual protección</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ley”,</w:t>
      </w:r>
      <w:r>
        <w:rPr>
          <w:spacing w:val="-2"/>
          <w:sz w:val="20"/>
        </w:rPr>
        <w:t xml:space="preserve"> </w:t>
      </w:r>
      <w:r>
        <w:rPr>
          <w:sz w:val="20"/>
        </w:rPr>
        <w:t>en</w:t>
      </w:r>
      <w:r>
        <w:rPr>
          <w:spacing w:val="-1"/>
          <w:sz w:val="20"/>
        </w:rPr>
        <w:t xml:space="preserve"> </w:t>
      </w:r>
      <w:r>
        <w:rPr>
          <w:sz w:val="20"/>
        </w:rPr>
        <w:t>especial</w:t>
      </w:r>
      <w:r>
        <w:rPr>
          <w:spacing w:val="-5"/>
          <w:sz w:val="20"/>
        </w:rPr>
        <w:t xml:space="preserve"> </w:t>
      </w:r>
      <w:r>
        <w:rPr>
          <w:sz w:val="20"/>
        </w:rPr>
        <w:t>cuando</w:t>
      </w:r>
      <w:r>
        <w:rPr>
          <w:spacing w:val="-3"/>
          <w:sz w:val="20"/>
        </w:rPr>
        <w:t xml:space="preserve"> </w:t>
      </w:r>
      <w:r>
        <w:rPr>
          <w:sz w:val="20"/>
        </w:rPr>
        <w:t>se</w:t>
      </w:r>
      <w:r>
        <w:rPr>
          <w:spacing w:val="-5"/>
          <w:sz w:val="20"/>
        </w:rPr>
        <w:t xml:space="preserve"> </w:t>
      </w:r>
      <w:r>
        <w:rPr>
          <w:sz w:val="20"/>
        </w:rPr>
        <w:t>había</w:t>
      </w:r>
      <w:r>
        <w:rPr>
          <w:spacing w:val="-4"/>
          <w:sz w:val="20"/>
        </w:rPr>
        <w:t xml:space="preserve"> </w:t>
      </w:r>
      <w:r>
        <w:rPr>
          <w:sz w:val="20"/>
        </w:rPr>
        <w:t>demostrado</w:t>
      </w:r>
      <w:r>
        <w:rPr>
          <w:spacing w:val="-5"/>
          <w:sz w:val="20"/>
        </w:rPr>
        <w:t xml:space="preserve"> </w:t>
      </w:r>
      <w:r>
        <w:rPr>
          <w:sz w:val="20"/>
        </w:rPr>
        <w:t>la</w:t>
      </w:r>
      <w:r>
        <w:rPr>
          <w:spacing w:val="-4"/>
          <w:sz w:val="20"/>
        </w:rPr>
        <w:t xml:space="preserve"> </w:t>
      </w:r>
      <w:r>
        <w:rPr>
          <w:sz w:val="20"/>
        </w:rPr>
        <w:t>existencia</w:t>
      </w:r>
      <w:r>
        <w:rPr>
          <w:spacing w:val="-4"/>
          <w:sz w:val="20"/>
        </w:rPr>
        <w:t xml:space="preserve"> </w:t>
      </w:r>
      <w:r>
        <w:rPr>
          <w:sz w:val="20"/>
        </w:rPr>
        <w:t>de</w:t>
      </w:r>
      <w:r>
        <w:rPr>
          <w:spacing w:val="-5"/>
          <w:sz w:val="20"/>
        </w:rPr>
        <w:t xml:space="preserve"> </w:t>
      </w:r>
      <w:r>
        <w:rPr>
          <w:sz w:val="20"/>
        </w:rPr>
        <w:t>discriminación indirecta y patrone</w:t>
      </w:r>
      <w:r>
        <w:rPr>
          <w:sz w:val="20"/>
        </w:rPr>
        <w:t>s de discriminación estructural en contra de grupos sistemáticamente discriminados</w:t>
      </w:r>
      <w:hyperlink w:anchor="_bookmark849" w:history="1">
        <w:r>
          <w:rPr>
            <w:position w:val="7"/>
            <w:sz w:val="13"/>
          </w:rPr>
          <w:t>167</w:t>
        </w:r>
      </w:hyperlink>
      <w:r>
        <w:rPr>
          <w:sz w:val="20"/>
        </w:rPr>
        <w:t>.</w:t>
      </w:r>
    </w:p>
    <w:p w14:paraId="1D74DB3A" w14:textId="77777777" w:rsidR="00467FCA" w:rsidRDefault="00467FCA">
      <w:pPr>
        <w:pStyle w:val="Textoindependiente"/>
      </w:pPr>
    </w:p>
    <w:p w14:paraId="270B042F" w14:textId="77777777" w:rsidR="00467FCA" w:rsidRDefault="001B68EB">
      <w:pPr>
        <w:pStyle w:val="Prrafodelista"/>
        <w:numPr>
          <w:ilvl w:val="0"/>
          <w:numId w:val="4"/>
        </w:numPr>
        <w:tabs>
          <w:tab w:val="left" w:pos="1167"/>
        </w:tabs>
        <w:ind w:left="1166"/>
        <w:jc w:val="both"/>
        <w:rPr>
          <w:sz w:val="20"/>
        </w:rPr>
      </w:pPr>
      <w:r>
        <w:rPr>
          <w:sz w:val="20"/>
        </w:rPr>
        <w:t>Así, en la sentencia la Corte IDH reconoce por primera vez de manera explícita</w:t>
      </w:r>
      <w:r>
        <w:rPr>
          <w:spacing w:val="-23"/>
          <w:sz w:val="20"/>
        </w:rPr>
        <w:t xml:space="preserve"> </w:t>
      </w:r>
      <w:r>
        <w:rPr>
          <w:sz w:val="20"/>
        </w:rPr>
        <w:t>que:</w:t>
      </w:r>
    </w:p>
    <w:p w14:paraId="6CAC36D2" w14:textId="77777777" w:rsidR="00467FCA" w:rsidRDefault="00467FCA">
      <w:pPr>
        <w:pStyle w:val="Textoindependiente"/>
        <w:spacing w:before="9"/>
        <w:rPr>
          <w:sz w:val="19"/>
        </w:rPr>
      </w:pPr>
    </w:p>
    <w:p w14:paraId="25BFF586" w14:textId="77777777" w:rsidR="00467FCA" w:rsidRDefault="001B68EB">
      <w:pPr>
        <w:ind w:left="1166" w:right="1028"/>
        <w:jc w:val="both"/>
        <w:rPr>
          <w:sz w:val="18"/>
        </w:rPr>
      </w:pPr>
      <w:r>
        <w:rPr>
          <w:sz w:val="18"/>
        </w:rPr>
        <w:t>199. Por otra parte, la Corte encuentra que del artículo 24 de la Convención se desprende</w:t>
      </w:r>
      <w:r>
        <w:rPr>
          <w:spacing w:val="-10"/>
          <w:sz w:val="18"/>
        </w:rPr>
        <w:t xml:space="preserve"> </w:t>
      </w:r>
      <w:r>
        <w:rPr>
          <w:sz w:val="18"/>
        </w:rPr>
        <w:t>un</w:t>
      </w:r>
      <w:r>
        <w:rPr>
          <w:spacing w:val="-8"/>
          <w:sz w:val="18"/>
        </w:rPr>
        <w:t xml:space="preserve"> </w:t>
      </w:r>
      <w:r>
        <w:rPr>
          <w:sz w:val="18"/>
        </w:rPr>
        <w:t>mandato</w:t>
      </w:r>
      <w:r>
        <w:rPr>
          <w:spacing w:val="-9"/>
          <w:sz w:val="18"/>
        </w:rPr>
        <w:t xml:space="preserve"> </w:t>
      </w:r>
      <w:r>
        <w:rPr>
          <w:sz w:val="18"/>
        </w:rPr>
        <w:t>orientado</w:t>
      </w:r>
      <w:r>
        <w:rPr>
          <w:spacing w:val="-8"/>
          <w:sz w:val="18"/>
        </w:rPr>
        <w:t xml:space="preserve"> </w:t>
      </w:r>
      <w:r>
        <w:rPr>
          <w:sz w:val="18"/>
        </w:rPr>
        <w:t>a</w:t>
      </w:r>
      <w:r>
        <w:rPr>
          <w:spacing w:val="-10"/>
          <w:sz w:val="18"/>
        </w:rPr>
        <w:t xml:space="preserve"> </w:t>
      </w:r>
      <w:r>
        <w:rPr>
          <w:sz w:val="18"/>
        </w:rPr>
        <w:t>garantizar</w:t>
      </w:r>
      <w:r>
        <w:rPr>
          <w:spacing w:val="-11"/>
          <w:sz w:val="18"/>
        </w:rPr>
        <w:t xml:space="preserve"> </w:t>
      </w:r>
      <w:r>
        <w:rPr>
          <w:sz w:val="18"/>
        </w:rPr>
        <w:t>la</w:t>
      </w:r>
      <w:r>
        <w:rPr>
          <w:spacing w:val="-10"/>
          <w:sz w:val="18"/>
        </w:rPr>
        <w:t xml:space="preserve"> </w:t>
      </w:r>
      <w:r>
        <w:rPr>
          <w:i/>
          <w:sz w:val="18"/>
        </w:rPr>
        <w:t>igualdad</w:t>
      </w:r>
      <w:r>
        <w:rPr>
          <w:i/>
          <w:spacing w:val="-9"/>
          <w:sz w:val="18"/>
        </w:rPr>
        <w:t xml:space="preserve"> </w:t>
      </w:r>
      <w:r>
        <w:rPr>
          <w:i/>
          <w:sz w:val="18"/>
        </w:rPr>
        <w:t>material</w:t>
      </w:r>
      <w:r>
        <w:rPr>
          <w:sz w:val="18"/>
        </w:rPr>
        <w:t>,</w:t>
      </w:r>
      <w:r>
        <w:rPr>
          <w:spacing w:val="-11"/>
          <w:sz w:val="18"/>
        </w:rPr>
        <w:t xml:space="preserve"> </w:t>
      </w:r>
      <w:r>
        <w:rPr>
          <w:sz w:val="18"/>
        </w:rPr>
        <w:t>lo</w:t>
      </w:r>
      <w:r>
        <w:rPr>
          <w:spacing w:val="-9"/>
          <w:sz w:val="18"/>
        </w:rPr>
        <w:t xml:space="preserve"> </w:t>
      </w:r>
      <w:r>
        <w:rPr>
          <w:sz w:val="18"/>
        </w:rPr>
        <w:t>que</w:t>
      </w:r>
      <w:r>
        <w:rPr>
          <w:spacing w:val="-10"/>
          <w:sz w:val="18"/>
        </w:rPr>
        <w:t xml:space="preserve"> </w:t>
      </w:r>
      <w:r>
        <w:rPr>
          <w:sz w:val="18"/>
        </w:rPr>
        <w:t>no</w:t>
      </w:r>
      <w:r>
        <w:rPr>
          <w:spacing w:val="-8"/>
          <w:sz w:val="18"/>
        </w:rPr>
        <w:t xml:space="preserve"> </w:t>
      </w:r>
      <w:r>
        <w:rPr>
          <w:sz w:val="18"/>
        </w:rPr>
        <w:t>sucedió</w:t>
      </w:r>
      <w:r>
        <w:rPr>
          <w:spacing w:val="-9"/>
          <w:sz w:val="18"/>
        </w:rPr>
        <w:t xml:space="preserve"> </w:t>
      </w:r>
      <w:r>
        <w:rPr>
          <w:sz w:val="18"/>
        </w:rPr>
        <w:t>en el</w:t>
      </w:r>
      <w:r>
        <w:rPr>
          <w:spacing w:val="-3"/>
          <w:sz w:val="18"/>
        </w:rPr>
        <w:t xml:space="preserve"> </w:t>
      </w:r>
      <w:r>
        <w:rPr>
          <w:sz w:val="18"/>
        </w:rPr>
        <w:t>presente</w:t>
      </w:r>
      <w:r>
        <w:rPr>
          <w:spacing w:val="-3"/>
          <w:sz w:val="18"/>
        </w:rPr>
        <w:t xml:space="preserve"> </w:t>
      </w:r>
      <w:r>
        <w:rPr>
          <w:sz w:val="18"/>
        </w:rPr>
        <w:t>caso.</w:t>
      </w:r>
      <w:r>
        <w:rPr>
          <w:spacing w:val="-4"/>
          <w:sz w:val="18"/>
        </w:rPr>
        <w:t xml:space="preserve"> </w:t>
      </w:r>
      <w:r>
        <w:rPr>
          <w:sz w:val="18"/>
        </w:rPr>
        <w:t>En</w:t>
      </w:r>
      <w:r>
        <w:rPr>
          <w:spacing w:val="-3"/>
          <w:sz w:val="18"/>
        </w:rPr>
        <w:t xml:space="preserve"> </w:t>
      </w:r>
      <w:r>
        <w:rPr>
          <w:sz w:val="18"/>
        </w:rPr>
        <w:t>ese</w:t>
      </w:r>
      <w:r>
        <w:rPr>
          <w:spacing w:val="-3"/>
          <w:sz w:val="18"/>
        </w:rPr>
        <w:t xml:space="preserve"> </w:t>
      </w:r>
      <w:r>
        <w:rPr>
          <w:sz w:val="18"/>
        </w:rPr>
        <w:t>sentido,</w:t>
      </w:r>
      <w:r>
        <w:rPr>
          <w:spacing w:val="-4"/>
          <w:sz w:val="18"/>
        </w:rPr>
        <w:t xml:space="preserve"> </w:t>
      </w:r>
      <w:r>
        <w:rPr>
          <w:sz w:val="18"/>
        </w:rPr>
        <w:t>el</w:t>
      </w:r>
      <w:r>
        <w:rPr>
          <w:spacing w:val="-3"/>
          <w:sz w:val="18"/>
        </w:rPr>
        <w:t xml:space="preserve"> </w:t>
      </w:r>
      <w:r>
        <w:rPr>
          <w:sz w:val="18"/>
        </w:rPr>
        <w:t>derecho</w:t>
      </w:r>
      <w:r>
        <w:rPr>
          <w:spacing w:val="-2"/>
          <w:sz w:val="18"/>
        </w:rPr>
        <w:t xml:space="preserve"> </w:t>
      </w:r>
      <w:r>
        <w:rPr>
          <w:sz w:val="18"/>
        </w:rPr>
        <w:t>a</w:t>
      </w:r>
      <w:r>
        <w:rPr>
          <w:spacing w:val="-3"/>
          <w:sz w:val="18"/>
        </w:rPr>
        <w:t xml:space="preserve"> </w:t>
      </w:r>
      <w:r>
        <w:rPr>
          <w:sz w:val="18"/>
        </w:rPr>
        <w:t>la</w:t>
      </w:r>
      <w:r>
        <w:rPr>
          <w:spacing w:val="-4"/>
          <w:sz w:val="18"/>
        </w:rPr>
        <w:t xml:space="preserve"> </w:t>
      </w:r>
      <w:r>
        <w:rPr>
          <w:sz w:val="18"/>
        </w:rPr>
        <w:t>igualdad</w:t>
      </w:r>
      <w:r>
        <w:rPr>
          <w:spacing w:val="-4"/>
          <w:sz w:val="18"/>
        </w:rPr>
        <w:t xml:space="preserve"> </w:t>
      </w:r>
      <w:r>
        <w:rPr>
          <w:sz w:val="18"/>
        </w:rPr>
        <w:t>garantizado</w:t>
      </w:r>
      <w:r>
        <w:rPr>
          <w:spacing w:val="-2"/>
          <w:sz w:val="18"/>
        </w:rPr>
        <w:t xml:space="preserve"> </w:t>
      </w:r>
      <w:r>
        <w:rPr>
          <w:sz w:val="18"/>
        </w:rPr>
        <w:t>por</w:t>
      </w:r>
      <w:r>
        <w:rPr>
          <w:spacing w:val="-6"/>
          <w:sz w:val="18"/>
        </w:rPr>
        <w:t xml:space="preserve"> </w:t>
      </w:r>
      <w:r>
        <w:rPr>
          <w:sz w:val="18"/>
        </w:rPr>
        <w:t>el</w:t>
      </w:r>
      <w:r>
        <w:rPr>
          <w:spacing w:val="-2"/>
          <w:sz w:val="18"/>
        </w:rPr>
        <w:t xml:space="preserve"> </w:t>
      </w:r>
      <w:r>
        <w:rPr>
          <w:sz w:val="18"/>
        </w:rPr>
        <w:t>artículo</w:t>
      </w:r>
      <w:r>
        <w:rPr>
          <w:spacing w:val="-3"/>
          <w:sz w:val="18"/>
        </w:rPr>
        <w:t xml:space="preserve"> </w:t>
      </w:r>
      <w:r>
        <w:rPr>
          <w:sz w:val="18"/>
        </w:rPr>
        <w:t xml:space="preserve">24 convencional tiene dos dimensiones, la primera </w:t>
      </w:r>
      <w:r>
        <w:rPr>
          <w:i/>
          <w:sz w:val="18"/>
        </w:rPr>
        <w:t>una dimensión formal</w:t>
      </w:r>
      <w:r>
        <w:rPr>
          <w:sz w:val="18"/>
        </w:rPr>
        <w:t xml:space="preserve">, que establece la igualdad ante la ley. La segunda, </w:t>
      </w:r>
      <w:r>
        <w:rPr>
          <w:i/>
          <w:sz w:val="18"/>
        </w:rPr>
        <w:t>una dimensión material o sustancial</w:t>
      </w:r>
      <w:r>
        <w:rPr>
          <w:sz w:val="18"/>
        </w:rPr>
        <w:t>, que or</w:t>
      </w:r>
      <w:r>
        <w:rPr>
          <w:sz w:val="18"/>
        </w:rPr>
        <w:t xml:space="preserve">dena la adopción de </w:t>
      </w:r>
      <w:r>
        <w:rPr>
          <w:i/>
          <w:sz w:val="18"/>
        </w:rPr>
        <w:t xml:space="preserve">medidas positivas </w:t>
      </w:r>
      <w:r>
        <w:rPr>
          <w:sz w:val="18"/>
        </w:rPr>
        <w:t xml:space="preserve">de promoción a favor de grupos históricamente discriminados o marginados en razón de los factores de discriminación a los que hace referencia el artículo 1.1 de la Convención Americana. Lo anterior quiere decir que el </w:t>
      </w:r>
      <w:r>
        <w:rPr>
          <w:sz w:val="18"/>
        </w:rPr>
        <w:t>derecho a la igualdad implica la obligación de adoptar medidas para garantizar que la igualdad</w:t>
      </w:r>
      <w:r>
        <w:rPr>
          <w:spacing w:val="-4"/>
          <w:sz w:val="18"/>
        </w:rPr>
        <w:t xml:space="preserve"> </w:t>
      </w:r>
      <w:r>
        <w:rPr>
          <w:sz w:val="18"/>
        </w:rPr>
        <w:t>sea</w:t>
      </w:r>
      <w:r>
        <w:rPr>
          <w:spacing w:val="-5"/>
          <w:sz w:val="18"/>
        </w:rPr>
        <w:t xml:space="preserve"> </w:t>
      </w:r>
      <w:r>
        <w:rPr>
          <w:i/>
          <w:sz w:val="18"/>
        </w:rPr>
        <w:t>real</w:t>
      </w:r>
      <w:r>
        <w:rPr>
          <w:i/>
          <w:spacing w:val="-2"/>
          <w:sz w:val="18"/>
        </w:rPr>
        <w:t xml:space="preserve"> </w:t>
      </w:r>
      <w:r>
        <w:rPr>
          <w:i/>
          <w:sz w:val="18"/>
        </w:rPr>
        <w:t>y</w:t>
      </w:r>
      <w:r>
        <w:rPr>
          <w:i/>
          <w:spacing w:val="-5"/>
          <w:sz w:val="18"/>
        </w:rPr>
        <w:t xml:space="preserve"> </w:t>
      </w:r>
      <w:r>
        <w:rPr>
          <w:i/>
          <w:sz w:val="18"/>
        </w:rPr>
        <w:t>efectiva</w:t>
      </w:r>
      <w:r>
        <w:rPr>
          <w:sz w:val="18"/>
        </w:rPr>
        <w:t>,</w:t>
      </w:r>
      <w:r>
        <w:rPr>
          <w:spacing w:val="-4"/>
          <w:sz w:val="18"/>
        </w:rPr>
        <w:t xml:space="preserve"> </w:t>
      </w:r>
      <w:r>
        <w:rPr>
          <w:sz w:val="18"/>
        </w:rPr>
        <w:t>esto</w:t>
      </w:r>
      <w:r>
        <w:rPr>
          <w:spacing w:val="-3"/>
          <w:sz w:val="18"/>
        </w:rPr>
        <w:t xml:space="preserve"> </w:t>
      </w:r>
      <w:r>
        <w:rPr>
          <w:sz w:val="18"/>
        </w:rPr>
        <w:t>es,</w:t>
      </w:r>
      <w:r>
        <w:rPr>
          <w:spacing w:val="-4"/>
          <w:sz w:val="18"/>
        </w:rPr>
        <w:t xml:space="preserve"> </w:t>
      </w:r>
      <w:r>
        <w:rPr>
          <w:sz w:val="18"/>
        </w:rPr>
        <w:t>corregir</w:t>
      </w:r>
      <w:r>
        <w:rPr>
          <w:spacing w:val="-7"/>
          <w:sz w:val="18"/>
        </w:rPr>
        <w:t xml:space="preserve"> </w:t>
      </w:r>
      <w:r>
        <w:rPr>
          <w:sz w:val="18"/>
        </w:rPr>
        <w:t>las</w:t>
      </w:r>
      <w:r>
        <w:rPr>
          <w:spacing w:val="-3"/>
          <w:sz w:val="18"/>
        </w:rPr>
        <w:t xml:space="preserve"> </w:t>
      </w:r>
      <w:r>
        <w:rPr>
          <w:sz w:val="18"/>
        </w:rPr>
        <w:t>desigualdades</w:t>
      </w:r>
      <w:r>
        <w:rPr>
          <w:spacing w:val="-4"/>
          <w:sz w:val="18"/>
        </w:rPr>
        <w:t xml:space="preserve"> </w:t>
      </w:r>
      <w:r>
        <w:rPr>
          <w:sz w:val="18"/>
        </w:rPr>
        <w:t>existentes,</w:t>
      </w:r>
      <w:r>
        <w:rPr>
          <w:spacing w:val="-4"/>
          <w:sz w:val="18"/>
        </w:rPr>
        <w:t xml:space="preserve"> </w:t>
      </w:r>
      <w:r>
        <w:rPr>
          <w:sz w:val="18"/>
        </w:rPr>
        <w:t>promover</w:t>
      </w:r>
      <w:r>
        <w:rPr>
          <w:spacing w:val="-4"/>
          <w:sz w:val="18"/>
        </w:rPr>
        <w:t xml:space="preserve"> </w:t>
      </w:r>
      <w:r>
        <w:rPr>
          <w:sz w:val="18"/>
        </w:rPr>
        <w:t>la inclusión y la participación de los grupos históricamente marginados, garantizar a las personas o grupos en desventaja el goce efectivo de sus derechos, en suma, brindar a las personas posibilidades concretas de ver realizada, en sus propios casos, la i</w:t>
      </w:r>
      <w:r>
        <w:rPr>
          <w:sz w:val="18"/>
        </w:rPr>
        <w:t>gualdad material. Para ello, los Estados deben enfrentar activamente situaciones de exclusión y marginación</w:t>
      </w:r>
      <w:hyperlink w:anchor="_bookmark850" w:history="1">
        <w:r>
          <w:rPr>
            <w:position w:val="6"/>
            <w:sz w:val="12"/>
          </w:rPr>
          <w:t xml:space="preserve">168 </w:t>
        </w:r>
      </w:hyperlink>
      <w:r>
        <w:rPr>
          <w:sz w:val="18"/>
        </w:rPr>
        <w:t>(énfasis</w:t>
      </w:r>
      <w:r>
        <w:rPr>
          <w:spacing w:val="-24"/>
          <w:sz w:val="18"/>
        </w:rPr>
        <w:t xml:space="preserve"> </w:t>
      </w:r>
      <w:r>
        <w:rPr>
          <w:sz w:val="18"/>
        </w:rPr>
        <w:t>añadido).</w:t>
      </w:r>
    </w:p>
    <w:p w14:paraId="503AEA6C" w14:textId="77777777" w:rsidR="00467FCA" w:rsidRDefault="00467FCA">
      <w:pPr>
        <w:pStyle w:val="Textoindependiente"/>
        <w:spacing w:before="3"/>
      </w:pPr>
    </w:p>
    <w:p w14:paraId="7F401BC7" w14:textId="77777777" w:rsidR="00467FCA" w:rsidRDefault="001B68EB">
      <w:pPr>
        <w:pStyle w:val="Prrafodelista"/>
        <w:numPr>
          <w:ilvl w:val="0"/>
          <w:numId w:val="4"/>
        </w:numPr>
        <w:tabs>
          <w:tab w:val="left" w:pos="1167"/>
        </w:tabs>
        <w:ind w:right="276" w:firstLine="0"/>
        <w:jc w:val="both"/>
        <w:rPr>
          <w:sz w:val="20"/>
        </w:rPr>
      </w:pPr>
      <w:r>
        <w:rPr>
          <w:sz w:val="20"/>
        </w:rPr>
        <w:t>De</w:t>
      </w:r>
      <w:r>
        <w:rPr>
          <w:spacing w:val="-16"/>
          <w:sz w:val="20"/>
        </w:rPr>
        <w:t xml:space="preserve"> </w:t>
      </w:r>
      <w:r>
        <w:rPr>
          <w:sz w:val="20"/>
        </w:rPr>
        <w:t>lo</w:t>
      </w:r>
      <w:r>
        <w:rPr>
          <w:spacing w:val="-15"/>
          <w:sz w:val="20"/>
        </w:rPr>
        <w:t xml:space="preserve"> </w:t>
      </w:r>
      <w:r>
        <w:rPr>
          <w:sz w:val="20"/>
        </w:rPr>
        <w:t>anterior</w:t>
      </w:r>
      <w:r>
        <w:rPr>
          <w:spacing w:val="-15"/>
          <w:sz w:val="20"/>
        </w:rPr>
        <w:t xml:space="preserve"> </w:t>
      </w:r>
      <w:r>
        <w:rPr>
          <w:sz w:val="20"/>
        </w:rPr>
        <w:t>se</w:t>
      </w:r>
      <w:r>
        <w:rPr>
          <w:spacing w:val="-16"/>
          <w:sz w:val="20"/>
        </w:rPr>
        <w:t xml:space="preserve"> </w:t>
      </w:r>
      <w:r>
        <w:rPr>
          <w:sz w:val="20"/>
        </w:rPr>
        <w:t>advierte</w:t>
      </w:r>
      <w:r>
        <w:rPr>
          <w:spacing w:val="-15"/>
          <w:sz w:val="20"/>
        </w:rPr>
        <w:t xml:space="preserve"> </w:t>
      </w:r>
      <w:r>
        <w:rPr>
          <w:sz w:val="20"/>
        </w:rPr>
        <w:t>que</w:t>
      </w:r>
      <w:r>
        <w:rPr>
          <w:spacing w:val="-13"/>
          <w:sz w:val="20"/>
        </w:rPr>
        <w:t xml:space="preserve"> </w:t>
      </w:r>
      <w:r>
        <w:rPr>
          <w:sz w:val="20"/>
        </w:rPr>
        <w:t>en</w:t>
      </w:r>
      <w:r>
        <w:rPr>
          <w:spacing w:val="-14"/>
          <w:sz w:val="20"/>
        </w:rPr>
        <w:t xml:space="preserve"> </w:t>
      </w:r>
      <w:r>
        <w:rPr>
          <w:sz w:val="20"/>
        </w:rPr>
        <w:t>la</w:t>
      </w:r>
      <w:r>
        <w:rPr>
          <w:spacing w:val="-14"/>
          <w:sz w:val="20"/>
        </w:rPr>
        <w:t xml:space="preserve"> </w:t>
      </w:r>
      <w:r>
        <w:rPr>
          <w:sz w:val="20"/>
        </w:rPr>
        <w:t>medida</w:t>
      </w:r>
      <w:r>
        <w:rPr>
          <w:spacing w:val="-11"/>
          <w:sz w:val="20"/>
        </w:rPr>
        <w:t xml:space="preserve"> </w:t>
      </w:r>
      <w:r>
        <w:rPr>
          <w:sz w:val="20"/>
        </w:rPr>
        <w:t>en</w:t>
      </w:r>
      <w:r>
        <w:rPr>
          <w:spacing w:val="-13"/>
          <w:sz w:val="20"/>
        </w:rPr>
        <w:t xml:space="preserve"> </w:t>
      </w:r>
      <w:r>
        <w:rPr>
          <w:sz w:val="20"/>
        </w:rPr>
        <w:t>que</w:t>
      </w:r>
      <w:r>
        <w:rPr>
          <w:spacing w:val="-16"/>
          <w:sz w:val="20"/>
        </w:rPr>
        <w:t xml:space="preserve"> </w:t>
      </w:r>
      <w:r>
        <w:rPr>
          <w:sz w:val="20"/>
        </w:rPr>
        <w:t>exista</w:t>
      </w:r>
      <w:r>
        <w:rPr>
          <w:spacing w:val="-14"/>
          <w:sz w:val="20"/>
        </w:rPr>
        <w:t xml:space="preserve"> </w:t>
      </w:r>
      <w:r>
        <w:rPr>
          <w:sz w:val="20"/>
        </w:rPr>
        <w:t>un</w:t>
      </w:r>
      <w:r>
        <w:rPr>
          <w:spacing w:val="-13"/>
          <w:sz w:val="20"/>
        </w:rPr>
        <w:t xml:space="preserve"> </w:t>
      </w:r>
      <w:r>
        <w:rPr>
          <w:sz w:val="20"/>
        </w:rPr>
        <w:t>contexto</w:t>
      </w:r>
      <w:r>
        <w:rPr>
          <w:spacing w:val="-16"/>
          <w:sz w:val="20"/>
        </w:rPr>
        <w:t xml:space="preserve"> </w:t>
      </w:r>
      <w:r>
        <w:rPr>
          <w:sz w:val="20"/>
        </w:rPr>
        <w:t>de</w:t>
      </w:r>
      <w:r>
        <w:rPr>
          <w:spacing w:val="-13"/>
          <w:sz w:val="20"/>
        </w:rPr>
        <w:t xml:space="preserve"> </w:t>
      </w:r>
      <w:r>
        <w:rPr>
          <w:sz w:val="20"/>
        </w:rPr>
        <w:t>discriminación estru</w:t>
      </w:r>
      <w:r>
        <w:rPr>
          <w:sz w:val="20"/>
        </w:rPr>
        <w:t>ctural,</w:t>
      </w:r>
      <w:r>
        <w:rPr>
          <w:spacing w:val="-13"/>
          <w:sz w:val="20"/>
        </w:rPr>
        <w:t xml:space="preserve"> </w:t>
      </w:r>
      <w:r>
        <w:rPr>
          <w:sz w:val="20"/>
        </w:rPr>
        <w:t>la</w:t>
      </w:r>
      <w:r>
        <w:rPr>
          <w:spacing w:val="-11"/>
          <w:sz w:val="20"/>
        </w:rPr>
        <w:t xml:space="preserve"> </w:t>
      </w:r>
      <w:r>
        <w:rPr>
          <w:sz w:val="20"/>
        </w:rPr>
        <w:t>expresión</w:t>
      </w:r>
      <w:r>
        <w:rPr>
          <w:spacing w:val="-10"/>
          <w:sz w:val="20"/>
        </w:rPr>
        <w:t xml:space="preserve"> </w:t>
      </w:r>
      <w:r>
        <w:rPr>
          <w:sz w:val="20"/>
        </w:rPr>
        <w:t>“sin</w:t>
      </w:r>
      <w:r>
        <w:rPr>
          <w:spacing w:val="-10"/>
          <w:sz w:val="20"/>
        </w:rPr>
        <w:t xml:space="preserve"> </w:t>
      </w:r>
      <w:r>
        <w:rPr>
          <w:sz w:val="20"/>
        </w:rPr>
        <w:t>discriminación”</w:t>
      </w:r>
      <w:r>
        <w:rPr>
          <w:spacing w:val="-13"/>
          <w:sz w:val="20"/>
        </w:rPr>
        <w:t xml:space="preserve"> </w:t>
      </w:r>
      <w:r>
        <w:rPr>
          <w:sz w:val="20"/>
        </w:rPr>
        <w:t>en</w:t>
      </w:r>
      <w:r>
        <w:rPr>
          <w:spacing w:val="-8"/>
          <w:sz w:val="20"/>
        </w:rPr>
        <w:t xml:space="preserve"> </w:t>
      </w:r>
      <w:r>
        <w:rPr>
          <w:sz w:val="20"/>
        </w:rPr>
        <w:t>el</w:t>
      </w:r>
      <w:r>
        <w:rPr>
          <w:spacing w:val="-13"/>
          <w:sz w:val="20"/>
        </w:rPr>
        <w:t xml:space="preserve"> </w:t>
      </w:r>
      <w:r>
        <w:rPr>
          <w:sz w:val="20"/>
        </w:rPr>
        <w:t>artículo</w:t>
      </w:r>
      <w:r>
        <w:rPr>
          <w:spacing w:val="-12"/>
          <w:sz w:val="20"/>
        </w:rPr>
        <w:t xml:space="preserve"> </w:t>
      </w:r>
      <w:r>
        <w:rPr>
          <w:sz w:val="20"/>
        </w:rPr>
        <w:t>24</w:t>
      </w:r>
      <w:r>
        <w:rPr>
          <w:spacing w:val="-12"/>
          <w:sz w:val="20"/>
        </w:rPr>
        <w:t xml:space="preserve"> </w:t>
      </w:r>
      <w:r>
        <w:rPr>
          <w:sz w:val="20"/>
        </w:rPr>
        <w:t>se</w:t>
      </w:r>
      <w:r>
        <w:rPr>
          <w:spacing w:val="-12"/>
          <w:sz w:val="20"/>
        </w:rPr>
        <w:t xml:space="preserve"> </w:t>
      </w:r>
      <w:r>
        <w:rPr>
          <w:sz w:val="20"/>
        </w:rPr>
        <w:t>debe</w:t>
      </w:r>
      <w:r>
        <w:rPr>
          <w:spacing w:val="-13"/>
          <w:sz w:val="20"/>
        </w:rPr>
        <w:t xml:space="preserve"> </w:t>
      </w:r>
      <w:r>
        <w:rPr>
          <w:sz w:val="20"/>
        </w:rPr>
        <w:t>leer</w:t>
      </w:r>
      <w:r>
        <w:rPr>
          <w:spacing w:val="-12"/>
          <w:sz w:val="20"/>
        </w:rPr>
        <w:t xml:space="preserve"> </w:t>
      </w:r>
      <w:r>
        <w:rPr>
          <w:sz w:val="20"/>
        </w:rPr>
        <w:t>en</w:t>
      </w:r>
      <w:r>
        <w:rPr>
          <w:spacing w:val="-10"/>
          <w:sz w:val="20"/>
        </w:rPr>
        <w:t xml:space="preserve"> </w:t>
      </w:r>
      <w:r>
        <w:rPr>
          <w:sz w:val="20"/>
        </w:rPr>
        <w:t>consonancia</w:t>
      </w:r>
      <w:r>
        <w:rPr>
          <w:spacing w:val="-14"/>
          <w:sz w:val="20"/>
        </w:rPr>
        <w:t xml:space="preserve"> </w:t>
      </w:r>
      <w:r>
        <w:rPr>
          <w:sz w:val="20"/>
        </w:rPr>
        <w:t>con el mismo enunciado contenido en el artículo 1.1; y, por ende, comprender que, desde el artículo</w:t>
      </w:r>
      <w:r>
        <w:rPr>
          <w:spacing w:val="-15"/>
          <w:sz w:val="20"/>
        </w:rPr>
        <w:t xml:space="preserve"> </w:t>
      </w:r>
      <w:r>
        <w:rPr>
          <w:sz w:val="20"/>
        </w:rPr>
        <w:t>24</w:t>
      </w:r>
      <w:r>
        <w:rPr>
          <w:spacing w:val="-13"/>
          <w:sz w:val="20"/>
        </w:rPr>
        <w:t xml:space="preserve"> </w:t>
      </w:r>
      <w:r>
        <w:rPr>
          <w:sz w:val="20"/>
        </w:rPr>
        <w:t>de</w:t>
      </w:r>
      <w:r>
        <w:rPr>
          <w:spacing w:val="-15"/>
          <w:sz w:val="20"/>
        </w:rPr>
        <w:t xml:space="preserve"> </w:t>
      </w:r>
      <w:r>
        <w:rPr>
          <w:sz w:val="20"/>
        </w:rPr>
        <w:t>la</w:t>
      </w:r>
      <w:r>
        <w:rPr>
          <w:spacing w:val="-13"/>
          <w:sz w:val="20"/>
        </w:rPr>
        <w:t xml:space="preserve"> </w:t>
      </w:r>
      <w:r>
        <w:rPr>
          <w:sz w:val="20"/>
        </w:rPr>
        <w:t>Convención,</w:t>
      </w:r>
      <w:r>
        <w:rPr>
          <w:spacing w:val="-14"/>
          <w:sz w:val="20"/>
        </w:rPr>
        <w:t xml:space="preserve"> </w:t>
      </w:r>
      <w:r>
        <w:rPr>
          <w:sz w:val="20"/>
        </w:rPr>
        <w:t>existe,</w:t>
      </w:r>
      <w:r>
        <w:rPr>
          <w:spacing w:val="-13"/>
          <w:sz w:val="20"/>
        </w:rPr>
        <w:t xml:space="preserve"> </w:t>
      </w:r>
      <w:r>
        <w:rPr>
          <w:sz w:val="20"/>
        </w:rPr>
        <w:t>para</w:t>
      </w:r>
      <w:r>
        <w:rPr>
          <w:spacing w:val="-13"/>
          <w:sz w:val="20"/>
        </w:rPr>
        <w:t xml:space="preserve"> </w:t>
      </w:r>
      <w:r>
        <w:rPr>
          <w:sz w:val="20"/>
        </w:rPr>
        <w:t>garantizar</w:t>
      </w:r>
      <w:r>
        <w:rPr>
          <w:spacing w:val="-15"/>
          <w:sz w:val="20"/>
        </w:rPr>
        <w:t xml:space="preserve"> </w:t>
      </w:r>
      <w:r>
        <w:rPr>
          <w:sz w:val="20"/>
        </w:rPr>
        <w:t>los</w:t>
      </w:r>
      <w:r>
        <w:rPr>
          <w:spacing w:val="-14"/>
          <w:sz w:val="20"/>
        </w:rPr>
        <w:t xml:space="preserve"> </w:t>
      </w:r>
      <w:r>
        <w:rPr>
          <w:sz w:val="20"/>
        </w:rPr>
        <w:t>derechos,</w:t>
      </w:r>
      <w:r>
        <w:rPr>
          <w:spacing w:val="-12"/>
          <w:sz w:val="20"/>
        </w:rPr>
        <w:t xml:space="preserve"> </w:t>
      </w:r>
      <w:r>
        <w:rPr>
          <w:sz w:val="20"/>
        </w:rPr>
        <w:t>obligaciones</w:t>
      </w:r>
      <w:r>
        <w:rPr>
          <w:spacing w:val="-13"/>
          <w:sz w:val="20"/>
        </w:rPr>
        <w:t xml:space="preserve"> </w:t>
      </w:r>
      <w:r>
        <w:rPr>
          <w:sz w:val="20"/>
        </w:rPr>
        <w:t>positivas.</w:t>
      </w:r>
      <w:r>
        <w:rPr>
          <w:spacing w:val="-14"/>
          <w:sz w:val="20"/>
        </w:rPr>
        <w:t xml:space="preserve"> </w:t>
      </w:r>
      <w:r>
        <w:rPr>
          <w:sz w:val="20"/>
        </w:rPr>
        <w:t>Esas obligaciones positivas se deben traducir, por ejemplo, en la: i) eli</w:t>
      </w:r>
      <w:r>
        <w:rPr>
          <w:sz w:val="20"/>
        </w:rPr>
        <w:t>minación de normativa que pueda ser aparentemente neutra pero que tenga un impacto indirecto en determinados grupos,</w:t>
      </w:r>
      <w:r>
        <w:rPr>
          <w:spacing w:val="-4"/>
          <w:sz w:val="20"/>
        </w:rPr>
        <w:t xml:space="preserve"> </w:t>
      </w:r>
      <w:r>
        <w:rPr>
          <w:sz w:val="20"/>
        </w:rPr>
        <w:t>ii)</w:t>
      </w:r>
      <w:r>
        <w:rPr>
          <w:spacing w:val="-4"/>
          <w:sz w:val="20"/>
        </w:rPr>
        <w:t xml:space="preserve"> </w:t>
      </w:r>
      <w:r>
        <w:rPr>
          <w:sz w:val="20"/>
        </w:rPr>
        <w:t>adoptar</w:t>
      </w:r>
      <w:r>
        <w:rPr>
          <w:spacing w:val="-7"/>
          <w:sz w:val="20"/>
        </w:rPr>
        <w:t xml:space="preserve"> </w:t>
      </w:r>
      <w:r>
        <w:rPr>
          <w:sz w:val="20"/>
        </w:rPr>
        <w:t>normativa</w:t>
      </w:r>
      <w:r>
        <w:rPr>
          <w:spacing w:val="-4"/>
          <w:sz w:val="20"/>
        </w:rPr>
        <w:t xml:space="preserve"> </w:t>
      </w:r>
      <w:r>
        <w:rPr>
          <w:sz w:val="20"/>
        </w:rPr>
        <w:t>que</w:t>
      </w:r>
      <w:r>
        <w:rPr>
          <w:spacing w:val="-4"/>
          <w:sz w:val="20"/>
        </w:rPr>
        <w:t xml:space="preserve"> </w:t>
      </w:r>
      <w:r>
        <w:rPr>
          <w:sz w:val="20"/>
        </w:rPr>
        <w:t>responda</w:t>
      </w:r>
      <w:r>
        <w:rPr>
          <w:spacing w:val="-4"/>
          <w:sz w:val="20"/>
        </w:rPr>
        <w:t xml:space="preserve"> </w:t>
      </w:r>
      <w:r>
        <w:rPr>
          <w:sz w:val="20"/>
        </w:rPr>
        <w:t>a</w:t>
      </w:r>
      <w:r>
        <w:rPr>
          <w:spacing w:val="-5"/>
          <w:sz w:val="20"/>
        </w:rPr>
        <w:t xml:space="preserve"> </w:t>
      </w:r>
      <w:r>
        <w:rPr>
          <w:sz w:val="20"/>
        </w:rPr>
        <w:t>las</w:t>
      </w:r>
      <w:r>
        <w:rPr>
          <w:spacing w:val="-5"/>
          <w:sz w:val="20"/>
        </w:rPr>
        <w:t xml:space="preserve"> </w:t>
      </w:r>
      <w:r>
        <w:rPr>
          <w:sz w:val="20"/>
        </w:rPr>
        <w:t>situaciones</w:t>
      </w:r>
      <w:r>
        <w:rPr>
          <w:spacing w:val="-6"/>
          <w:sz w:val="20"/>
        </w:rPr>
        <w:t xml:space="preserve"> </w:t>
      </w:r>
      <w:r>
        <w:rPr>
          <w:sz w:val="20"/>
        </w:rPr>
        <w:t>particulares</w:t>
      </w:r>
      <w:r>
        <w:rPr>
          <w:spacing w:val="-3"/>
          <w:sz w:val="20"/>
        </w:rPr>
        <w:t xml:space="preserve"> </w:t>
      </w:r>
      <w:r>
        <w:rPr>
          <w:sz w:val="20"/>
        </w:rPr>
        <w:t>de</w:t>
      </w:r>
      <w:r>
        <w:rPr>
          <w:spacing w:val="-4"/>
          <w:sz w:val="20"/>
        </w:rPr>
        <w:t xml:space="preserve"> </w:t>
      </w:r>
      <w:r>
        <w:rPr>
          <w:sz w:val="20"/>
        </w:rPr>
        <w:t>hecho</w:t>
      </w:r>
      <w:r>
        <w:rPr>
          <w:spacing w:val="-5"/>
          <w:sz w:val="20"/>
        </w:rPr>
        <w:t xml:space="preserve"> </w:t>
      </w:r>
      <w:r>
        <w:rPr>
          <w:sz w:val="20"/>
        </w:rPr>
        <w:t>de</w:t>
      </w:r>
      <w:r>
        <w:rPr>
          <w:spacing w:val="-7"/>
          <w:sz w:val="20"/>
        </w:rPr>
        <w:t xml:space="preserve"> </w:t>
      </w:r>
      <w:r>
        <w:rPr>
          <w:sz w:val="20"/>
        </w:rPr>
        <w:t>grupos excluidos sistemáticamente o iii) adoptar medidas de c</w:t>
      </w:r>
      <w:r>
        <w:rPr>
          <w:sz w:val="20"/>
        </w:rPr>
        <w:t>ompensación para que la normativa existente puede ser aplicable en la realidad y no tenga como resultado una</w:t>
      </w:r>
      <w:r>
        <w:rPr>
          <w:spacing w:val="-22"/>
          <w:sz w:val="20"/>
        </w:rPr>
        <w:t xml:space="preserve"> </w:t>
      </w:r>
      <w:r>
        <w:rPr>
          <w:sz w:val="20"/>
        </w:rPr>
        <w:t>ineficacia.</w:t>
      </w:r>
    </w:p>
    <w:p w14:paraId="5976ACBC" w14:textId="77777777" w:rsidR="00467FCA" w:rsidRDefault="00467FCA">
      <w:pPr>
        <w:pStyle w:val="Textoindependiente"/>
        <w:spacing w:before="10"/>
        <w:rPr>
          <w:sz w:val="19"/>
        </w:rPr>
      </w:pPr>
    </w:p>
    <w:p w14:paraId="38CD837C" w14:textId="77777777" w:rsidR="00467FCA" w:rsidRDefault="001B68EB">
      <w:pPr>
        <w:pStyle w:val="Prrafodelista"/>
        <w:numPr>
          <w:ilvl w:val="0"/>
          <w:numId w:val="4"/>
        </w:numPr>
        <w:tabs>
          <w:tab w:val="left" w:pos="1167"/>
        </w:tabs>
        <w:spacing w:before="1"/>
        <w:ind w:left="457" w:right="274" w:firstLine="0"/>
        <w:jc w:val="both"/>
        <w:rPr>
          <w:sz w:val="20"/>
        </w:rPr>
      </w:pPr>
      <w:r>
        <w:rPr>
          <w:sz w:val="20"/>
        </w:rPr>
        <w:t>El entendimiento de la expresión “sin discriminación” en el artículo 24 a la luz del artículo 1.1 de la Convención, es en concordancia</w:t>
      </w:r>
      <w:r>
        <w:rPr>
          <w:sz w:val="20"/>
        </w:rPr>
        <w:t xml:space="preserve"> con el espíritu que motivó la creación del Protocolo 12 en el Sistema Europeo. Además, lo indicado en el párrafo 199 de la sentencia, sobre lo que implica “la igual protección de la ley”, es concordante con el mandatado de </w:t>
      </w:r>
      <w:r>
        <w:rPr>
          <w:i/>
          <w:sz w:val="20"/>
        </w:rPr>
        <w:t>igualdad</w:t>
      </w:r>
      <w:r>
        <w:rPr>
          <w:i/>
          <w:spacing w:val="-17"/>
          <w:sz w:val="20"/>
        </w:rPr>
        <w:t xml:space="preserve"> </w:t>
      </w:r>
      <w:r>
        <w:rPr>
          <w:i/>
          <w:sz w:val="20"/>
        </w:rPr>
        <w:t>material</w:t>
      </w:r>
      <w:r>
        <w:rPr>
          <w:i/>
          <w:spacing w:val="-16"/>
          <w:sz w:val="20"/>
        </w:rPr>
        <w:t xml:space="preserve"> </w:t>
      </w:r>
      <w:r>
        <w:rPr>
          <w:sz w:val="20"/>
        </w:rPr>
        <w:t>contenido</w:t>
      </w:r>
      <w:r>
        <w:rPr>
          <w:spacing w:val="-18"/>
          <w:sz w:val="20"/>
        </w:rPr>
        <w:t xml:space="preserve"> </w:t>
      </w:r>
      <w:r>
        <w:rPr>
          <w:sz w:val="20"/>
        </w:rPr>
        <w:t>en</w:t>
      </w:r>
      <w:r>
        <w:rPr>
          <w:spacing w:val="-14"/>
          <w:sz w:val="20"/>
        </w:rPr>
        <w:t xml:space="preserve"> </w:t>
      </w:r>
      <w:r>
        <w:rPr>
          <w:sz w:val="20"/>
        </w:rPr>
        <w:t>el</w:t>
      </w:r>
      <w:r>
        <w:rPr>
          <w:spacing w:val="-16"/>
          <w:sz w:val="20"/>
        </w:rPr>
        <w:t xml:space="preserve"> </w:t>
      </w:r>
      <w:r>
        <w:rPr>
          <w:sz w:val="20"/>
        </w:rPr>
        <w:t>artículo</w:t>
      </w:r>
      <w:r>
        <w:rPr>
          <w:spacing w:val="-17"/>
          <w:sz w:val="20"/>
        </w:rPr>
        <w:t xml:space="preserve"> </w:t>
      </w:r>
      <w:r>
        <w:rPr>
          <w:sz w:val="20"/>
        </w:rPr>
        <w:t>5</w:t>
      </w:r>
      <w:r>
        <w:rPr>
          <w:spacing w:val="-16"/>
          <w:sz w:val="20"/>
        </w:rPr>
        <w:t xml:space="preserve"> </w:t>
      </w:r>
      <w:r>
        <w:rPr>
          <w:sz w:val="20"/>
        </w:rPr>
        <w:t>de</w:t>
      </w:r>
      <w:r>
        <w:rPr>
          <w:spacing w:val="-16"/>
          <w:sz w:val="20"/>
        </w:rPr>
        <w:t xml:space="preserve"> </w:t>
      </w:r>
      <w:r>
        <w:rPr>
          <w:sz w:val="20"/>
        </w:rPr>
        <w:t>la</w:t>
      </w:r>
      <w:r>
        <w:rPr>
          <w:spacing w:val="-17"/>
          <w:sz w:val="20"/>
        </w:rPr>
        <w:t xml:space="preserve"> </w:t>
      </w:r>
      <w:r>
        <w:rPr>
          <w:sz w:val="20"/>
        </w:rPr>
        <w:t>Convención</w:t>
      </w:r>
      <w:r>
        <w:rPr>
          <w:spacing w:val="-16"/>
          <w:sz w:val="20"/>
        </w:rPr>
        <w:t xml:space="preserve"> </w:t>
      </w:r>
      <w:r>
        <w:rPr>
          <w:sz w:val="20"/>
        </w:rPr>
        <w:t>de</w:t>
      </w:r>
      <w:r>
        <w:rPr>
          <w:spacing w:val="-18"/>
          <w:sz w:val="20"/>
        </w:rPr>
        <w:t xml:space="preserve"> </w:t>
      </w:r>
      <w:r>
        <w:rPr>
          <w:sz w:val="20"/>
        </w:rPr>
        <w:t>las</w:t>
      </w:r>
      <w:r>
        <w:rPr>
          <w:spacing w:val="-16"/>
          <w:sz w:val="20"/>
        </w:rPr>
        <w:t xml:space="preserve"> </w:t>
      </w:r>
      <w:r>
        <w:rPr>
          <w:sz w:val="20"/>
        </w:rPr>
        <w:t>Personas</w:t>
      </w:r>
      <w:r>
        <w:rPr>
          <w:spacing w:val="-16"/>
          <w:sz w:val="20"/>
        </w:rPr>
        <w:t xml:space="preserve"> </w:t>
      </w:r>
      <w:r>
        <w:rPr>
          <w:sz w:val="20"/>
        </w:rPr>
        <w:t>con</w:t>
      </w:r>
      <w:r>
        <w:rPr>
          <w:spacing w:val="-16"/>
          <w:sz w:val="20"/>
        </w:rPr>
        <w:t xml:space="preserve"> </w:t>
      </w:r>
      <w:r>
        <w:rPr>
          <w:sz w:val="20"/>
        </w:rPr>
        <w:t>Discapacidad y la interpretación que ha dado el Comité de Derechos de las Personas con Discapacidad. Además,</w:t>
      </w:r>
      <w:r>
        <w:rPr>
          <w:spacing w:val="-5"/>
          <w:sz w:val="20"/>
        </w:rPr>
        <w:t xml:space="preserve"> </w:t>
      </w:r>
      <w:r>
        <w:rPr>
          <w:sz w:val="20"/>
        </w:rPr>
        <w:t>como</w:t>
      </w:r>
      <w:r>
        <w:rPr>
          <w:spacing w:val="-8"/>
          <w:sz w:val="20"/>
        </w:rPr>
        <w:t xml:space="preserve"> </w:t>
      </w:r>
      <w:r>
        <w:rPr>
          <w:sz w:val="20"/>
        </w:rPr>
        <w:t>se</w:t>
      </w:r>
      <w:r>
        <w:rPr>
          <w:spacing w:val="-8"/>
          <w:sz w:val="20"/>
        </w:rPr>
        <w:t xml:space="preserve"> </w:t>
      </w:r>
      <w:r>
        <w:rPr>
          <w:sz w:val="20"/>
        </w:rPr>
        <w:t>referenció,</w:t>
      </w:r>
      <w:r>
        <w:rPr>
          <w:spacing w:val="-6"/>
          <w:sz w:val="20"/>
        </w:rPr>
        <w:t xml:space="preserve"> </w:t>
      </w:r>
      <w:r>
        <w:rPr>
          <w:sz w:val="20"/>
        </w:rPr>
        <w:t>al</w:t>
      </w:r>
      <w:r>
        <w:rPr>
          <w:spacing w:val="-6"/>
          <w:sz w:val="20"/>
        </w:rPr>
        <w:t xml:space="preserve"> </w:t>
      </w:r>
      <w:r>
        <w:rPr>
          <w:sz w:val="20"/>
        </w:rPr>
        <w:t>menos,</w:t>
      </w:r>
      <w:r>
        <w:rPr>
          <w:spacing w:val="-5"/>
          <w:sz w:val="20"/>
        </w:rPr>
        <w:t xml:space="preserve"> </w:t>
      </w:r>
      <w:r>
        <w:rPr>
          <w:sz w:val="20"/>
        </w:rPr>
        <w:t>el</w:t>
      </w:r>
      <w:r>
        <w:rPr>
          <w:spacing w:val="-6"/>
          <w:sz w:val="20"/>
        </w:rPr>
        <w:t xml:space="preserve"> </w:t>
      </w:r>
      <w:r>
        <w:rPr>
          <w:sz w:val="20"/>
        </w:rPr>
        <w:t>Comité</w:t>
      </w:r>
      <w:r>
        <w:rPr>
          <w:spacing w:val="-7"/>
          <w:sz w:val="20"/>
        </w:rPr>
        <w:t xml:space="preserve"> </w:t>
      </w:r>
      <w:r>
        <w:rPr>
          <w:sz w:val="20"/>
        </w:rPr>
        <w:t>de</w:t>
      </w:r>
      <w:r>
        <w:rPr>
          <w:spacing w:val="-8"/>
          <w:sz w:val="20"/>
        </w:rPr>
        <w:t xml:space="preserve"> </w:t>
      </w:r>
      <w:r>
        <w:rPr>
          <w:sz w:val="20"/>
        </w:rPr>
        <w:t>Derechos</w:t>
      </w:r>
      <w:r>
        <w:rPr>
          <w:spacing w:val="-5"/>
          <w:sz w:val="20"/>
        </w:rPr>
        <w:t xml:space="preserve"> </w:t>
      </w:r>
      <w:r>
        <w:rPr>
          <w:sz w:val="20"/>
        </w:rPr>
        <w:t>Humanos</w:t>
      </w:r>
      <w:r>
        <w:rPr>
          <w:spacing w:val="-5"/>
          <w:sz w:val="20"/>
        </w:rPr>
        <w:t xml:space="preserve"> </w:t>
      </w:r>
      <w:r>
        <w:rPr>
          <w:sz w:val="20"/>
        </w:rPr>
        <w:t>entiende</w:t>
      </w:r>
      <w:r>
        <w:rPr>
          <w:spacing w:val="-7"/>
          <w:sz w:val="20"/>
        </w:rPr>
        <w:t xml:space="preserve"> </w:t>
      </w:r>
      <w:r>
        <w:rPr>
          <w:sz w:val="20"/>
        </w:rPr>
        <w:t>que,</w:t>
      </w:r>
      <w:r>
        <w:rPr>
          <w:spacing w:val="-7"/>
          <w:sz w:val="20"/>
        </w:rPr>
        <w:t xml:space="preserve"> </w:t>
      </w:r>
      <w:r>
        <w:rPr>
          <w:sz w:val="20"/>
        </w:rPr>
        <w:t>desde el</w:t>
      </w:r>
      <w:r>
        <w:rPr>
          <w:spacing w:val="-15"/>
          <w:sz w:val="20"/>
        </w:rPr>
        <w:t xml:space="preserve"> </w:t>
      </w:r>
      <w:r>
        <w:rPr>
          <w:sz w:val="20"/>
        </w:rPr>
        <w:t>artículo</w:t>
      </w:r>
      <w:r>
        <w:rPr>
          <w:spacing w:val="-14"/>
          <w:sz w:val="20"/>
        </w:rPr>
        <w:t xml:space="preserve"> </w:t>
      </w:r>
      <w:r>
        <w:rPr>
          <w:sz w:val="20"/>
        </w:rPr>
        <w:t>26</w:t>
      </w:r>
      <w:r>
        <w:rPr>
          <w:spacing w:val="-15"/>
          <w:sz w:val="20"/>
        </w:rPr>
        <w:t xml:space="preserve"> </w:t>
      </w:r>
      <w:r>
        <w:rPr>
          <w:sz w:val="20"/>
        </w:rPr>
        <w:t>(equivalente</w:t>
      </w:r>
      <w:r>
        <w:rPr>
          <w:spacing w:val="-16"/>
          <w:sz w:val="20"/>
        </w:rPr>
        <w:t xml:space="preserve"> </w:t>
      </w:r>
      <w:r>
        <w:rPr>
          <w:sz w:val="20"/>
        </w:rPr>
        <w:t>al</w:t>
      </w:r>
      <w:r>
        <w:rPr>
          <w:spacing w:val="-12"/>
          <w:sz w:val="20"/>
        </w:rPr>
        <w:t xml:space="preserve"> </w:t>
      </w:r>
      <w:r>
        <w:rPr>
          <w:sz w:val="20"/>
        </w:rPr>
        <w:t>artículo</w:t>
      </w:r>
      <w:r>
        <w:rPr>
          <w:spacing w:val="-16"/>
          <w:sz w:val="20"/>
        </w:rPr>
        <w:t xml:space="preserve"> </w:t>
      </w:r>
      <w:r>
        <w:rPr>
          <w:sz w:val="20"/>
        </w:rPr>
        <w:t>24</w:t>
      </w:r>
      <w:r>
        <w:rPr>
          <w:spacing w:val="-12"/>
          <w:sz w:val="20"/>
        </w:rPr>
        <w:t xml:space="preserve"> </w:t>
      </w:r>
      <w:r>
        <w:rPr>
          <w:sz w:val="20"/>
        </w:rPr>
        <w:t>de</w:t>
      </w:r>
      <w:r>
        <w:rPr>
          <w:spacing w:val="-16"/>
          <w:sz w:val="20"/>
        </w:rPr>
        <w:t xml:space="preserve"> </w:t>
      </w:r>
      <w:r>
        <w:rPr>
          <w:sz w:val="20"/>
        </w:rPr>
        <w:t>la</w:t>
      </w:r>
      <w:r>
        <w:rPr>
          <w:spacing w:val="-12"/>
          <w:sz w:val="20"/>
        </w:rPr>
        <w:t xml:space="preserve"> </w:t>
      </w:r>
      <w:r>
        <w:rPr>
          <w:sz w:val="20"/>
        </w:rPr>
        <w:t>Convención</w:t>
      </w:r>
      <w:r>
        <w:rPr>
          <w:spacing w:val="-12"/>
          <w:sz w:val="20"/>
        </w:rPr>
        <w:t xml:space="preserve"> </w:t>
      </w:r>
      <w:r>
        <w:rPr>
          <w:sz w:val="20"/>
        </w:rPr>
        <w:t>Americana),</w:t>
      </w:r>
      <w:r>
        <w:rPr>
          <w:spacing w:val="-13"/>
          <w:sz w:val="20"/>
        </w:rPr>
        <w:t xml:space="preserve"> </w:t>
      </w:r>
      <w:r>
        <w:rPr>
          <w:sz w:val="20"/>
        </w:rPr>
        <w:t>también</w:t>
      </w:r>
      <w:r>
        <w:rPr>
          <w:spacing w:val="-14"/>
          <w:sz w:val="20"/>
        </w:rPr>
        <w:t xml:space="preserve"> </w:t>
      </w:r>
      <w:r>
        <w:rPr>
          <w:sz w:val="20"/>
        </w:rPr>
        <w:t>se</w:t>
      </w:r>
      <w:r>
        <w:rPr>
          <w:spacing w:val="-14"/>
          <w:sz w:val="20"/>
        </w:rPr>
        <w:t xml:space="preserve"> </w:t>
      </w:r>
      <w:r>
        <w:rPr>
          <w:sz w:val="20"/>
        </w:rPr>
        <w:t>estaría</w:t>
      </w:r>
      <w:r>
        <w:rPr>
          <w:spacing w:val="-12"/>
          <w:sz w:val="20"/>
        </w:rPr>
        <w:t xml:space="preserve"> </w:t>
      </w:r>
      <w:r>
        <w:rPr>
          <w:sz w:val="20"/>
        </w:rPr>
        <w:t>ante una obligación de adoptar medidas</w:t>
      </w:r>
      <w:r>
        <w:rPr>
          <w:spacing w:val="-8"/>
          <w:sz w:val="20"/>
        </w:rPr>
        <w:t xml:space="preserve"> </w:t>
      </w:r>
      <w:r>
        <w:rPr>
          <w:sz w:val="20"/>
        </w:rPr>
        <w:t>positivas.</w:t>
      </w:r>
    </w:p>
    <w:p w14:paraId="3F3A080F" w14:textId="77777777" w:rsidR="00467FCA" w:rsidRDefault="00467FCA">
      <w:pPr>
        <w:pStyle w:val="Textoindependiente"/>
      </w:pPr>
    </w:p>
    <w:p w14:paraId="30540363" w14:textId="77777777" w:rsidR="00467FCA" w:rsidRDefault="001B68EB">
      <w:pPr>
        <w:pStyle w:val="Prrafodelista"/>
        <w:numPr>
          <w:ilvl w:val="0"/>
          <w:numId w:val="4"/>
        </w:numPr>
        <w:tabs>
          <w:tab w:val="left" w:pos="1166"/>
        </w:tabs>
        <w:ind w:left="1165"/>
        <w:jc w:val="both"/>
        <w:rPr>
          <w:i/>
          <w:sz w:val="20"/>
        </w:rPr>
      </w:pPr>
      <w:r>
        <w:rPr>
          <w:sz w:val="20"/>
        </w:rPr>
        <w:t>Por</w:t>
      </w:r>
      <w:r>
        <w:rPr>
          <w:spacing w:val="-7"/>
          <w:sz w:val="20"/>
        </w:rPr>
        <w:t xml:space="preserve"> </w:t>
      </w:r>
      <w:r>
        <w:rPr>
          <w:sz w:val="20"/>
        </w:rPr>
        <w:t>tanto,</w:t>
      </w:r>
      <w:r>
        <w:rPr>
          <w:spacing w:val="-5"/>
          <w:sz w:val="20"/>
        </w:rPr>
        <w:t xml:space="preserve"> </w:t>
      </w:r>
      <w:r>
        <w:rPr>
          <w:sz w:val="20"/>
        </w:rPr>
        <w:t>el</w:t>
      </w:r>
      <w:r>
        <w:rPr>
          <w:spacing w:val="-4"/>
          <w:sz w:val="20"/>
        </w:rPr>
        <w:t xml:space="preserve"> </w:t>
      </w:r>
      <w:r>
        <w:rPr>
          <w:sz w:val="20"/>
        </w:rPr>
        <w:t>mandato</w:t>
      </w:r>
      <w:r>
        <w:rPr>
          <w:spacing w:val="-7"/>
          <w:sz w:val="20"/>
        </w:rPr>
        <w:t xml:space="preserve"> </w:t>
      </w:r>
      <w:r>
        <w:rPr>
          <w:sz w:val="20"/>
        </w:rPr>
        <w:t>desde</w:t>
      </w:r>
      <w:r>
        <w:rPr>
          <w:spacing w:val="-6"/>
          <w:sz w:val="20"/>
        </w:rPr>
        <w:t xml:space="preserve"> </w:t>
      </w:r>
      <w:r>
        <w:rPr>
          <w:sz w:val="20"/>
        </w:rPr>
        <w:t>el</w:t>
      </w:r>
      <w:r>
        <w:rPr>
          <w:spacing w:val="-4"/>
          <w:sz w:val="20"/>
        </w:rPr>
        <w:t xml:space="preserve"> </w:t>
      </w:r>
      <w:r>
        <w:rPr>
          <w:sz w:val="20"/>
        </w:rPr>
        <w:t>artículo</w:t>
      </w:r>
      <w:r>
        <w:rPr>
          <w:spacing w:val="-5"/>
          <w:sz w:val="20"/>
        </w:rPr>
        <w:t xml:space="preserve"> </w:t>
      </w:r>
      <w:r>
        <w:rPr>
          <w:sz w:val="20"/>
        </w:rPr>
        <w:t>24</w:t>
      </w:r>
      <w:r>
        <w:rPr>
          <w:spacing w:val="-5"/>
          <w:sz w:val="20"/>
        </w:rPr>
        <w:t xml:space="preserve"> </w:t>
      </w:r>
      <w:r>
        <w:rPr>
          <w:sz w:val="20"/>
        </w:rPr>
        <w:t>de</w:t>
      </w:r>
      <w:r>
        <w:rPr>
          <w:spacing w:val="-6"/>
          <w:sz w:val="20"/>
        </w:rPr>
        <w:t xml:space="preserve"> </w:t>
      </w:r>
      <w:r>
        <w:rPr>
          <w:sz w:val="20"/>
        </w:rPr>
        <w:t>la</w:t>
      </w:r>
      <w:r>
        <w:rPr>
          <w:spacing w:val="-4"/>
          <w:sz w:val="20"/>
        </w:rPr>
        <w:t xml:space="preserve"> </w:t>
      </w:r>
      <w:r>
        <w:rPr>
          <w:sz w:val="20"/>
        </w:rPr>
        <w:t>Convención</w:t>
      </w:r>
      <w:r>
        <w:rPr>
          <w:spacing w:val="-4"/>
          <w:sz w:val="20"/>
        </w:rPr>
        <w:t xml:space="preserve"> </w:t>
      </w:r>
      <w:r>
        <w:rPr>
          <w:sz w:val="20"/>
        </w:rPr>
        <w:t>no</w:t>
      </w:r>
      <w:r>
        <w:rPr>
          <w:spacing w:val="-5"/>
          <w:sz w:val="20"/>
        </w:rPr>
        <w:t xml:space="preserve"> </w:t>
      </w:r>
      <w:r>
        <w:rPr>
          <w:sz w:val="20"/>
        </w:rPr>
        <w:t>solo</w:t>
      </w:r>
      <w:r>
        <w:rPr>
          <w:spacing w:val="-6"/>
          <w:sz w:val="20"/>
        </w:rPr>
        <w:t xml:space="preserve"> </w:t>
      </w:r>
      <w:r>
        <w:rPr>
          <w:sz w:val="20"/>
        </w:rPr>
        <w:t>abarca</w:t>
      </w:r>
      <w:r>
        <w:rPr>
          <w:spacing w:val="-4"/>
          <w:sz w:val="20"/>
        </w:rPr>
        <w:t xml:space="preserve"> </w:t>
      </w:r>
      <w:r>
        <w:rPr>
          <w:i/>
          <w:sz w:val="20"/>
        </w:rPr>
        <w:t>abstenerse</w:t>
      </w:r>
    </w:p>
    <w:p w14:paraId="2212C1F0" w14:textId="77777777" w:rsidR="00467FCA" w:rsidRDefault="001B68EB">
      <w:pPr>
        <w:pStyle w:val="Textoindependiente"/>
        <w:spacing w:before="2"/>
        <w:ind w:left="458"/>
      </w:pPr>
      <w:r>
        <w:t>de a) emitir normas que creen un trato arbitrario, o b) que apliquen las normas ya existentes</w:t>
      </w:r>
    </w:p>
    <w:p w14:paraId="44A6C6EA" w14:textId="77777777" w:rsidR="00467FCA" w:rsidRDefault="001B68EB">
      <w:pPr>
        <w:pStyle w:val="Textoindependiente"/>
        <w:spacing w:before="1"/>
        <w:rPr>
          <w:sz w:val="23"/>
        </w:rPr>
      </w:pPr>
      <w:r>
        <w:pict w14:anchorId="79F6002D">
          <v:shape id="_x0000_s1037" style="position:absolute;margin-left:70.9pt;margin-top:16.3pt;width:2in;height:.1pt;z-index:-251496448;mso-wrap-distance-left:0;mso-wrap-distance-right:0;mso-position-horizontal-relative:page" coordorigin="1418,326" coordsize="2880,0" path="m1418,326r2880,e" filled="f" strokeweight=".6pt">
            <v:path arrowok="t"/>
            <w10:wrap type="topAndBottom" anchorx="page"/>
          </v:shape>
        </w:pict>
      </w:r>
    </w:p>
    <w:p w14:paraId="4D29D7B9" w14:textId="77777777" w:rsidR="00467FCA" w:rsidRDefault="001B68EB">
      <w:pPr>
        <w:tabs>
          <w:tab w:val="left" w:pos="1166"/>
        </w:tabs>
        <w:spacing w:before="74"/>
        <w:ind w:left="458" w:right="276"/>
        <w:rPr>
          <w:sz w:val="16"/>
        </w:rPr>
      </w:pPr>
      <w:bookmarkStart w:id="930" w:name="_bookmark849"/>
      <w:bookmarkEnd w:id="930"/>
      <w:r>
        <w:rPr>
          <w:position w:val="6"/>
          <w:sz w:val="10"/>
        </w:rPr>
        <w:t>167</w:t>
      </w:r>
      <w:r>
        <w:rPr>
          <w:position w:val="6"/>
          <w:sz w:val="10"/>
        </w:rPr>
        <w:tab/>
      </w:r>
      <w:r>
        <w:rPr>
          <w:sz w:val="16"/>
        </w:rPr>
        <w:t>Véase:</w:t>
      </w:r>
      <w:r>
        <w:rPr>
          <w:spacing w:val="-9"/>
          <w:sz w:val="16"/>
        </w:rPr>
        <w:t xml:space="preserve"> </w:t>
      </w:r>
      <w:r>
        <w:rPr>
          <w:i/>
          <w:sz w:val="16"/>
        </w:rPr>
        <w:t>Caso</w:t>
      </w:r>
      <w:r>
        <w:rPr>
          <w:i/>
          <w:spacing w:val="-7"/>
          <w:sz w:val="16"/>
        </w:rPr>
        <w:t xml:space="preserve"> </w:t>
      </w:r>
      <w:r>
        <w:rPr>
          <w:i/>
          <w:sz w:val="16"/>
        </w:rPr>
        <w:t>Nadege</w:t>
      </w:r>
      <w:r>
        <w:rPr>
          <w:i/>
          <w:spacing w:val="-5"/>
          <w:sz w:val="16"/>
        </w:rPr>
        <w:t xml:space="preserve"> </w:t>
      </w:r>
      <w:r>
        <w:rPr>
          <w:i/>
          <w:sz w:val="16"/>
        </w:rPr>
        <w:t>Dorzema</w:t>
      </w:r>
      <w:r>
        <w:rPr>
          <w:i/>
          <w:spacing w:val="-8"/>
          <w:sz w:val="16"/>
        </w:rPr>
        <w:t xml:space="preserve"> </w:t>
      </w:r>
      <w:r>
        <w:rPr>
          <w:i/>
          <w:sz w:val="16"/>
        </w:rPr>
        <w:t>y</w:t>
      </w:r>
      <w:r>
        <w:rPr>
          <w:i/>
          <w:spacing w:val="-4"/>
          <w:sz w:val="16"/>
        </w:rPr>
        <w:t xml:space="preserve"> </w:t>
      </w:r>
      <w:r>
        <w:rPr>
          <w:i/>
          <w:sz w:val="16"/>
        </w:rPr>
        <w:t>otros</w:t>
      </w:r>
      <w:r>
        <w:rPr>
          <w:i/>
          <w:spacing w:val="-7"/>
          <w:sz w:val="16"/>
        </w:rPr>
        <w:t xml:space="preserve"> </w:t>
      </w:r>
      <w:r>
        <w:rPr>
          <w:i/>
          <w:sz w:val="16"/>
        </w:rPr>
        <w:t>Vs.</w:t>
      </w:r>
      <w:r>
        <w:rPr>
          <w:i/>
          <w:spacing w:val="-9"/>
          <w:sz w:val="16"/>
        </w:rPr>
        <w:t xml:space="preserve"> </w:t>
      </w:r>
      <w:r>
        <w:rPr>
          <w:i/>
          <w:sz w:val="16"/>
        </w:rPr>
        <w:t>República</w:t>
      </w:r>
      <w:r>
        <w:rPr>
          <w:i/>
          <w:spacing w:val="-6"/>
          <w:sz w:val="16"/>
        </w:rPr>
        <w:t xml:space="preserve"> </w:t>
      </w:r>
      <w:r>
        <w:rPr>
          <w:i/>
          <w:sz w:val="16"/>
        </w:rPr>
        <w:t>Dominicana,</w:t>
      </w:r>
      <w:r>
        <w:rPr>
          <w:i/>
          <w:spacing w:val="-6"/>
          <w:sz w:val="16"/>
        </w:rPr>
        <w:t xml:space="preserve"> </w:t>
      </w:r>
      <w:r>
        <w:rPr>
          <w:i/>
          <w:sz w:val="16"/>
        </w:rPr>
        <w:t>supra</w:t>
      </w:r>
      <w:r>
        <w:rPr>
          <w:sz w:val="16"/>
        </w:rPr>
        <w:t>,</w:t>
      </w:r>
      <w:r>
        <w:rPr>
          <w:spacing w:val="-6"/>
          <w:sz w:val="16"/>
        </w:rPr>
        <w:t xml:space="preserve"> </w:t>
      </w:r>
      <w:r>
        <w:rPr>
          <w:sz w:val="16"/>
        </w:rPr>
        <w:t>y</w:t>
      </w:r>
      <w:r>
        <w:rPr>
          <w:spacing w:val="-7"/>
          <w:sz w:val="16"/>
        </w:rPr>
        <w:t xml:space="preserve"> </w:t>
      </w:r>
      <w:r>
        <w:rPr>
          <w:i/>
          <w:sz w:val="16"/>
        </w:rPr>
        <w:t>Caso</w:t>
      </w:r>
      <w:r>
        <w:rPr>
          <w:i/>
          <w:spacing w:val="-4"/>
          <w:sz w:val="16"/>
        </w:rPr>
        <w:t xml:space="preserve"> </w:t>
      </w:r>
      <w:r>
        <w:rPr>
          <w:i/>
          <w:sz w:val="16"/>
        </w:rPr>
        <w:t>Trabajadores</w:t>
      </w:r>
      <w:r>
        <w:rPr>
          <w:i/>
          <w:spacing w:val="-6"/>
          <w:sz w:val="16"/>
        </w:rPr>
        <w:t xml:space="preserve"> </w:t>
      </w:r>
      <w:r>
        <w:rPr>
          <w:i/>
          <w:sz w:val="16"/>
        </w:rPr>
        <w:t>de</w:t>
      </w:r>
      <w:r>
        <w:rPr>
          <w:i/>
          <w:spacing w:val="-7"/>
          <w:sz w:val="16"/>
        </w:rPr>
        <w:t xml:space="preserve"> </w:t>
      </w:r>
      <w:r>
        <w:rPr>
          <w:i/>
          <w:sz w:val="16"/>
        </w:rPr>
        <w:t>la</w:t>
      </w:r>
      <w:r>
        <w:rPr>
          <w:i/>
          <w:spacing w:val="-5"/>
          <w:sz w:val="16"/>
        </w:rPr>
        <w:t xml:space="preserve"> </w:t>
      </w:r>
      <w:r>
        <w:rPr>
          <w:i/>
          <w:sz w:val="16"/>
        </w:rPr>
        <w:t>Hacienda Brasil Verde Vs. Brasil,</w:t>
      </w:r>
      <w:r>
        <w:rPr>
          <w:i/>
          <w:spacing w:val="-6"/>
          <w:sz w:val="16"/>
        </w:rPr>
        <w:t xml:space="preserve"> </w:t>
      </w:r>
      <w:r>
        <w:rPr>
          <w:i/>
          <w:sz w:val="16"/>
        </w:rPr>
        <w:t>supra</w:t>
      </w:r>
      <w:r>
        <w:rPr>
          <w:sz w:val="16"/>
        </w:rPr>
        <w:t>.</w:t>
      </w:r>
    </w:p>
    <w:p w14:paraId="5945B071" w14:textId="77777777" w:rsidR="00467FCA" w:rsidRDefault="001B68EB">
      <w:pPr>
        <w:tabs>
          <w:tab w:val="left" w:pos="1166"/>
        </w:tabs>
        <w:ind w:left="458" w:right="276"/>
        <w:rPr>
          <w:sz w:val="16"/>
        </w:rPr>
      </w:pPr>
      <w:bookmarkStart w:id="931" w:name="_bookmark850"/>
      <w:bookmarkEnd w:id="931"/>
      <w:r>
        <w:rPr>
          <w:position w:val="6"/>
          <w:sz w:val="10"/>
        </w:rPr>
        <w:t>168</w:t>
      </w:r>
      <w:r>
        <w:rPr>
          <w:position w:val="6"/>
          <w:sz w:val="10"/>
        </w:rPr>
        <w:tab/>
      </w:r>
      <w:r>
        <w:rPr>
          <w:i/>
          <w:sz w:val="16"/>
        </w:rPr>
        <w:t>Caso Empleados de la Fábrica de Fuegos en Santo Antônio de Jesus y sus familiares Vs. Brasil, supra</w:t>
      </w:r>
      <w:r>
        <w:rPr>
          <w:sz w:val="16"/>
        </w:rPr>
        <w:t>, párr. 199.</w:t>
      </w:r>
    </w:p>
    <w:p w14:paraId="618ECFE4" w14:textId="77777777" w:rsidR="00467FCA" w:rsidRDefault="00467FCA">
      <w:pPr>
        <w:rPr>
          <w:sz w:val="16"/>
        </w:rPr>
        <w:sectPr w:rsidR="00467FCA">
          <w:pgSz w:w="12240" w:h="15840"/>
          <w:pgMar w:top="1340" w:right="1140" w:bottom="920" w:left="960" w:header="0" w:footer="734" w:gutter="0"/>
          <w:cols w:space="720"/>
        </w:sectPr>
      </w:pPr>
    </w:p>
    <w:p w14:paraId="3ECA4CCC" w14:textId="77777777" w:rsidR="00467FCA" w:rsidRDefault="001B68EB">
      <w:pPr>
        <w:pStyle w:val="Textoindependiente"/>
        <w:spacing w:before="79"/>
        <w:ind w:left="458" w:right="276"/>
        <w:jc w:val="both"/>
      </w:pPr>
      <w:r>
        <w:t>de forma arbitraria (obligaciones de respeto), sino que también implica que el Estado debe adoptar normas para superar las situaci</w:t>
      </w:r>
      <w:r>
        <w:t>ones de desigualdad, o en su defecto eliminar las normas o prácticas que perpetúen esa desigualdad (obligaciones positivas) y, en la medida que no se realice esto con la normativa interna, no se estaría ante “la igual protección de la ley”</w:t>
      </w:r>
      <w:hyperlink w:anchor="_bookmark851" w:history="1">
        <w:r>
          <w:rPr>
            <w:position w:val="7"/>
            <w:sz w:val="13"/>
          </w:rPr>
          <w:t>169</w:t>
        </w:r>
      </w:hyperlink>
      <w:r>
        <w:t>.</w:t>
      </w:r>
    </w:p>
    <w:p w14:paraId="71F10852" w14:textId="77777777" w:rsidR="00467FCA" w:rsidRDefault="00467FCA">
      <w:pPr>
        <w:pStyle w:val="Textoindependiente"/>
        <w:spacing w:before="10"/>
        <w:rPr>
          <w:sz w:val="19"/>
        </w:rPr>
      </w:pPr>
    </w:p>
    <w:p w14:paraId="46D9264D" w14:textId="77777777" w:rsidR="00467FCA" w:rsidRDefault="001B68EB">
      <w:pPr>
        <w:pStyle w:val="Prrafodelista"/>
        <w:numPr>
          <w:ilvl w:val="0"/>
          <w:numId w:val="4"/>
        </w:numPr>
        <w:tabs>
          <w:tab w:val="left" w:pos="1167"/>
        </w:tabs>
        <w:ind w:right="275" w:hanging="1"/>
        <w:jc w:val="both"/>
        <w:rPr>
          <w:sz w:val="20"/>
        </w:rPr>
      </w:pPr>
      <w:r>
        <w:rPr>
          <w:sz w:val="20"/>
        </w:rPr>
        <w:t>En</w:t>
      </w:r>
      <w:r>
        <w:rPr>
          <w:spacing w:val="-9"/>
          <w:sz w:val="20"/>
        </w:rPr>
        <w:t xml:space="preserve"> </w:t>
      </w:r>
      <w:r>
        <w:rPr>
          <w:sz w:val="20"/>
        </w:rPr>
        <w:t>el</w:t>
      </w:r>
      <w:r>
        <w:rPr>
          <w:spacing w:val="-7"/>
          <w:sz w:val="20"/>
        </w:rPr>
        <w:t xml:space="preserve"> </w:t>
      </w:r>
      <w:r>
        <w:rPr>
          <w:sz w:val="20"/>
        </w:rPr>
        <w:t>caso,</w:t>
      </w:r>
      <w:r>
        <w:rPr>
          <w:spacing w:val="-8"/>
          <w:sz w:val="20"/>
        </w:rPr>
        <w:t xml:space="preserve"> </w:t>
      </w:r>
      <w:r>
        <w:rPr>
          <w:sz w:val="20"/>
        </w:rPr>
        <w:t>la</w:t>
      </w:r>
      <w:r>
        <w:rPr>
          <w:spacing w:val="-7"/>
          <w:sz w:val="20"/>
        </w:rPr>
        <w:t xml:space="preserve"> </w:t>
      </w:r>
      <w:r>
        <w:rPr>
          <w:sz w:val="20"/>
        </w:rPr>
        <w:t>responsabilidad</w:t>
      </w:r>
      <w:r>
        <w:rPr>
          <w:spacing w:val="-10"/>
          <w:sz w:val="20"/>
        </w:rPr>
        <w:t xml:space="preserve"> </w:t>
      </w:r>
      <w:r>
        <w:rPr>
          <w:sz w:val="20"/>
        </w:rPr>
        <w:t>internacional</w:t>
      </w:r>
      <w:r>
        <w:rPr>
          <w:spacing w:val="-8"/>
          <w:sz w:val="20"/>
        </w:rPr>
        <w:t xml:space="preserve"> </w:t>
      </w:r>
      <w:r>
        <w:rPr>
          <w:sz w:val="20"/>
        </w:rPr>
        <w:t>surge</w:t>
      </w:r>
      <w:r>
        <w:rPr>
          <w:spacing w:val="-11"/>
          <w:sz w:val="20"/>
        </w:rPr>
        <w:t xml:space="preserve"> </w:t>
      </w:r>
      <w:r>
        <w:rPr>
          <w:sz w:val="20"/>
        </w:rPr>
        <w:t>por</w:t>
      </w:r>
      <w:r>
        <w:rPr>
          <w:spacing w:val="-8"/>
          <w:sz w:val="20"/>
        </w:rPr>
        <w:t xml:space="preserve"> </w:t>
      </w:r>
      <w:r>
        <w:rPr>
          <w:sz w:val="20"/>
        </w:rPr>
        <w:t>la</w:t>
      </w:r>
      <w:r>
        <w:rPr>
          <w:spacing w:val="-8"/>
          <w:sz w:val="20"/>
        </w:rPr>
        <w:t xml:space="preserve"> </w:t>
      </w:r>
      <w:r>
        <w:rPr>
          <w:sz w:val="20"/>
        </w:rPr>
        <w:t>falta</w:t>
      </w:r>
      <w:r>
        <w:rPr>
          <w:spacing w:val="-7"/>
          <w:sz w:val="20"/>
        </w:rPr>
        <w:t xml:space="preserve"> </w:t>
      </w:r>
      <w:r>
        <w:rPr>
          <w:sz w:val="20"/>
        </w:rPr>
        <w:t>de</w:t>
      </w:r>
      <w:r>
        <w:rPr>
          <w:spacing w:val="-9"/>
          <w:sz w:val="20"/>
        </w:rPr>
        <w:t xml:space="preserve"> </w:t>
      </w:r>
      <w:r>
        <w:rPr>
          <w:sz w:val="20"/>
        </w:rPr>
        <w:t>protección</w:t>
      </w:r>
      <w:r>
        <w:rPr>
          <w:spacing w:val="-8"/>
          <w:sz w:val="20"/>
        </w:rPr>
        <w:t xml:space="preserve"> </w:t>
      </w:r>
      <w:r>
        <w:rPr>
          <w:sz w:val="20"/>
        </w:rPr>
        <w:t>de</w:t>
      </w:r>
      <w:r>
        <w:rPr>
          <w:spacing w:val="-11"/>
          <w:sz w:val="20"/>
        </w:rPr>
        <w:t xml:space="preserve"> </w:t>
      </w:r>
      <w:r>
        <w:rPr>
          <w:sz w:val="20"/>
        </w:rPr>
        <w:t>la</w:t>
      </w:r>
      <w:r>
        <w:rPr>
          <w:spacing w:val="-7"/>
          <w:sz w:val="20"/>
        </w:rPr>
        <w:t xml:space="preserve"> </w:t>
      </w:r>
      <w:r>
        <w:rPr>
          <w:sz w:val="20"/>
        </w:rPr>
        <w:t>ley</w:t>
      </w:r>
      <w:r>
        <w:rPr>
          <w:spacing w:val="-7"/>
          <w:sz w:val="20"/>
        </w:rPr>
        <w:t xml:space="preserve"> </w:t>
      </w:r>
      <w:r>
        <w:rPr>
          <w:sz w:val="20"/>
        </w:rPr>
        <w:t>en el sentido de que el Estado no había adoptado ninguna medida que pudiera ser valorada por la Corte IDH como una forma de enfrentar o de buscar revertir la situación de pobreza y marginación estructural de las trabajadoras de la fábrica de fuegos, con es</w:t>
      </w:r>
      <w:r>
        <w:rPr>
          <w:sz w:val="20"/>
        </w:rPr>
        <w:t>pecial atención a los factores de discriminación que confluían en cada caso concreto. Además, pese al alegato de la existencia de una estructura legal efectiva para la reducción de las desigualdades y que había</w:t>
      </w:r>
      <w:r>
        <w:rPr>
          <w:spacing w:val="-4"/>
          <w:sz w:val="20"/>
        </w:rPr>
        <w:t xml:space="preserve"> </w:t>
      </w:r>
      <w:r>
        <w:rPr>
          <w:sz w:val="20"/>
        </w:rPr>
        <w:t>adelantado</w:t>
      </w:r>
      <w:r>
        <w:rPr>
          <w:spacing w:val="-5"/>
          <w:sz w:val="20"/>
        </w:rPr>
        <w:t xml:space="preserve"> </w:t>
      </w:r>
      <w:r>
        <w:rPr>
          <w:sz w:val="20"/>
        </w:rPr>
        <w:t>diversas</w:t>
      </w:r>
      <w:r>
        <w:rPr>
          <w:spacing w:val="-5"/>
          <w:sz w:val="20"/>
        </w:rPr>
        <w:t xml:space="preserve"> </w:t>
      </w:r>
      <w:r>
        <w:rPr>
          <w:sz w:val="20"/>
        </w:rPr>
        <w:t>políticas</w:t>
      </w:r>
      <w:r>
        <w:rPr>
          <w:spacing w:val="-5"/>
          <w:sz w:val="20"/>
        </w:rPr>
        <w:t xml:space="preserve"> </w:t>
      </w:r>
      <w:r>
        <w:rPr>
          <w:sz w:val="20"/>
        </w:rPr>
        <w:t>públicas</w:t>
      </w:r>
      <w:r>
        <w:rPr>
          <w:spacing w:val="-2"/>
          <w:sz w:val="20"/>
        </w:rPr>
        <w:t xml:space="preserve"> </w:t>
      </w:r>
      <w:r>
        <w:rPr>
          <w:sz w:val="20"/>
        </w:rPr>
        <w:t>con</w:t>
      </w:r>
      <w:r>
        <w:rPr>
          <w:spacing w:val="-2"/>
          <w:sz w:val="20"/>
        </w:rPr>
        <w:t xml:space="preserve"> </w:t>
      </w:r>
      <w:r>
        <w:rPr>
          <w:sz w:val="20"/>
        </w:rPr>
        <w:t>es</w:t>
      </w:r>
      <w:r>
        <w:rPr>
          <w:sz w:val="20"/>
        </w:rPr>
        <w:t>e</w:t>
      </w:r>
      <w:r>
        <w:rPr>
          <w:spacing w:val="-5"/>
          <w:sz w:val="20"/>
        </w:rPr>
        <w:t xml:space="preserve"> </w:t>
      </w:r>
      <w:r>
        <w:rPr>
          <w:sz w:val="20"/>
        </w:rPr>
        <w:t>mismo</w:t>
      </w:r>
      <w:r>
        <w:rPr>
          <w:spacing w:val="-4"/>
          <w:sz w:val="20"/>
        </w:rPr>
        <w:t xml:space="preserve"> </w:t>
      </w:r>
      <w:r>
        <w:rPr>
          <w:sz w:val="20"/>
        </w:rPr>
        <w:t>objetivo</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municipio</w:t>
      </w:r>
      <w:r>
        <w:rPr>
          <w:spacing w:val="-5"/>
          <w:sz w:val="20"/>
        </w:rPr>
        <w:t xml:space="preserve"> </w:t>
      </w:r>
      <w:r>
        <w:rPr>
          <w:sz w:val="20"/>
        </w:rPr>
        <w:t>de</w:t>
      </w:r>
      <w:r>
        <w:rPr>
          <w:spacing w:val="-4"/>
          <w:sz w:val="20"/>
        </w:rPr>
        <w:t xml:space="preserve"> </w:t>
      </w:r>
      <w:r>
        <w:rPr>
          <w:sz w:val="20"/>
        </w:rPr>
        <w:t>Santo Antônio</w:t>
      </w:r>
      <w:r>
        <w:rPr>
          <w:spacing w:val="-19"/>
          <w:sz w:val="20"/>
        </w:rPr>
        <w:t xml:space="preserve"> </w:t>
      </w:r>
      <w:r>
        <w:rPr>
          <w:sz w:val="20"/>
        </w:rPr>
        <w:t>de</w:t>
      </w:r>
      <w:r>
        <w:rPr>
          <w:spacing w:val="-19"/>
          <w:sz w:val="20"/>
        </w:rPr>
        <w:t xml:space="preserve"> </w:t>
      </w:r>
      <w:r>
        <w:rPr>
          <w:sz w:val="20"/>
        </w:rPr>
        <w:t>Jesus,</w:t>
      </w:r>
      <w:r>
        <w:rPr>
          <w:spacing w:val="-16"/>
          <w:sz w:val="20"/>
        </w:rPr>
        <w:t xml:space="preserve"> </w:t>
      </w:r>
      <w:r>
        <w:rPr>
          <w:sz w:val="20"/>
        </w:rPr>
        <w:t>el</w:t>
      </w:r>
      <w:r>
        <w:rPr>
          <w:spacing w:val="-15"/>
          <w:sz w:val="20"/>
        </w:rPr>
        <w:t xml:space="preserve"> </w:t>
      </w:r>
      <w:r>
        <w:rPr>
          <w:sz w:val="20"/>
        </w:rPr>
        <w:t>Estado</w:t>
      </w:r>
      <w:r>
        <w:rPr>
          <w:spacing w:val="-18"/>
          <w:sz w:val="20"/>
        </w:rPr>
        <w:t xml:space="preserve"> </w:t>
      </w:r>
      <w:r>
        <w:rPr>
          <w:sz w:val="20"/>
        </w:rPr>
        <w:t>no</w:t>
      </w:r>
      <w:r>
        <w:rPr>
          <w:spacing w:val="-19"/>
          <w:sz w:val="20"/>
        </w:rPr>
        <w:t xml:space="preserve"> </w:t>
      </w:r>
      <w:r>
        <w:rPr>
          <w:sz w:val="20"/>
        </w:rPr>
        <w:t>había</w:t>
      </w:r>
      <w:r>
        <w:rPr>
          <w:spacing w:val="-15"/>
          <w:sz w:val="20"/>
        </w:rPr>
        <w:t xml:space="preserve"> </w:t>
      </w:r>
      <w:r>
        <w:rPr>
          <w:sz w:val="20"/>
        </w:rPr>
        <w:t>demostrado</w:t>
      </w:r>
      <w:r>
        <w:rPr>
          <w:spacing w:val="-18"/>
          <w:sz w:val="20"/>
        </w:rPr>
        <w:t xml:space="preserve"> </w:t>
      </w:r>
      <w:r>
        <w:rPr>
          <w:sz w:val="20"/>
        </w:rPr>
        <w:t>que</w:t>
      </w:r>
      <w:r>
        <w:rPr>
          <w:spacing w:val="-18"/>
          <w:sz w:val="20"/>
        </w:rPr>
        <w:t xml:space="preserve"> </w:t>
      </w:r>
      <w:r>
        <w:rPr>
          <w:sz w:val="20"/>
        </w:rPr>
        <w:t>la</w:t>
      </w:r>
      <w:r>
        <w:rPr>
          <w:spacing w:val="-13"/>
          <w:sz w:val="20"/>
        </w:rPr>
        <w:t xml:space="preserve"> </w:t>
      </w:r>
      <w:r>
        <w:rPr>
          <w:sz w:val="20"/>
        </w:rPr>
        <w:t>situación</w:t>
      </w:r>
      <w:r>
        <w:rPr>
          <w:spacing w:val="-14"/>
          <w:sz w:val="20"/>
        </w:rPr>
        <w:t xml:space="preserve"> </w:t>
      </w:r>
      <w:r>
        <w:rPr>
          <w:sz w:val="20"/>
        </w:rPr>
        <w:t>de</w:t>
      </w:r>
      <w:r>
        <w:rPr>
          <w:spacing w:val="-16"/>
          <w:sz w:val="20"/>
        </w:rPr>
        <w:t xml:space="preserve"> </w:t>
      </w:r>
      <w:r>
        <w:rPr>
          <w:sz w:val="20"/>
        </w:rPr>
        <w:t>discriminación</w:t>
      </w:r>
      <w:r>
        <w:rPr>
          <w:spacing w:val="-12"/>
          <w:sz w:val="20"/>
        </w:rPr>
        <w:t xml:space="preserve"> </w:t>
      </w:r>
      <w:r>
        <w:rPr>
          <w:sz w:val="20"/>
        </w:rPr>
        <w:t>estructural padecida</w:t>
      </w:r>
      <w:r>
        <w:rPr>
          <w:spacing w:val="-11"/>
          <w:sz w:val="20"/>
        </w:rPr>
        <w:t xml:space="preserve"> </w:t>
      </w:r>
      <w:r>
        <w:rPr>
          <w:sz w:val="20"/>
        </w:rPr>
        <w:t>por</w:t>
      </w:r>
      <w:r>
        <w:rPr>
          <w:spacing w:val="-11"/>
          <w:sz w:val="20"/>
        </w:rPr>
        <w:t xml:space="preserve"> </w:t>
      </w:r>
      <w:r>
        <w:rPr>
          <w:sz w:val="20"/>
        </w:rPr>
        <w:t>las</w:t>
      </w:r>
      <w:r>
        <w:rPr>
          <w:spacing w:val="-11"/>
          <w:sz w:val="20"/>
        </w:rPr>
        <w:t xml:space="preserve"> </w:t>
      </w:r>
      <w:r>
        <w:rPr>
          <w:sz w:val="20"/>
        </w:rPr>
        <w:t>mujeres</w:t>
      </w:r>
      <w:r>
        <w:rPr>
          <w:spacing w:val="-11"/>
          <w:sz w:val="20"/>
        </w:rPr>
        <w:t xml:space="preserve"> </w:t>
      </w:r>
      <w:r>
        <w:rPr>
          <w:sz w:val="20"/>
        </w:rPr>
        <w:t>que</w:t>
      </w:r>
      <w:r>
        <w:rPr>
          <w:spacing w:val="-10"/>
          <w:sz w:val="20"/>
        </w:rPr>
        <w:t xml:space="preserve"> </w:t>
      </w:r>
      <w:r>
        <w:rPr>
          <w:sz w:val="20"/>
        </w:rPr>
        <w:t>se</w:t>
      </w:r>
      <w:r>
        <w:rPr>
          <w:spacing w:val="-11"/>
          <w:sz w:val="20"/>
        </w:rPr>
        <w:t xml:space="preserve"> </w:t>
      </w:r>
      <w:r>
        <w:rPr>
          <w:sz w:val="20"/>
        </w:rPr>
        <w:t>dedican</w:t>
      </w:r>
      <w:r>
        <w:rPr>
          <w:spacing w:val="-9"/>
          <w:sz w:val="20"/>
        </w:rPr>
        <w:t xml:space="preserve"> </w:t>
      </w:r>
      <w:r>
        <w:rPr>
          <w:sz w:val="20"/>
        </w:rPr>
        <w:t>a</w:t>
      </w:r>
      <w:r>
        <w:rPr>
          <w:spacing w:val="-10"/>
          <w:sz w:val="20"/>
        </w:rPr>
        <w:t xml:space="preserve"> </w:t>
      </w:r>
      <w:r>
        <w:rPr>
          <w:sz w:val="20"/>
        </w:rPr>
        <w:t>la</w:t>
      </w:r>
      <w:r>
        <w:rPr>
          <w:spacing w:val="-9"/>
          <w:sz w:val="20"/>
        </w:rPr>
        <w:t xml:space="preserve"> </w:t>
      </w:r>
      <w:r>
        <w:rPr>
          <w:sz w:val="20"/>
        </w:rPr>
        <w:t>fabricación</w:t>
      </w:r>
      <w:r>
        <w:rPr>
          <w:spacing w:val="-9"/>
          <w:sz w:val="20"/>
        </w:rPr>
        <w:t xml:space="preserve"> </w:t>
      </w:r>
      <w:r>
        <w:rPr>
          <w:sz w:val="20"/>
        </w:rPr>
        <w:t>de</w:t>
      </w:r>
      <w:r>
        <w:rPr>
          <w:spacing w:val="-9"/>
          <w:sz w:val="20"/>
        </w:rPr>
        <w:t xml:space="preserve"> </w:t>
      </w:r>
      <w:r>
        <w:rPr>
          <w:sz w:val="20"/>
        </w:rPr>
        <w:t>fuegos</w:t>
      </w:r>
      <w:r>
        <w:rPr>
          <w:spacing w:val="-12"/>
          <w:sz w:val="20"/>
        </w:rPr>
        <w:t xml:space="preserve"> </w:t>
      </w:r>
      <w:r>
        <w:rPr>
          <w:sz w:val="20"/>
        </w:rPr>
        <w:t>artificiales</w:t>
      </w:r>
      <w:r>
        <w:rPr>
          <w:spacing w:val="-11"/>
          <w:sz w:val="20"/>
        </w:rPr>
        <w:t xml:space="preserve"> </w:t>
      </w:r>
      <w:r>
        <w:rPr>
          <w:sz w:val="20"/>
        </w:rPr>
        <w:t>haya</w:t>
      </w:r>
      <w:r>
        <w:rPr>
          <w:spacing w:val="-8"/>
          <w:sz w:val="20"/>
        </w:rPr>
        <w:t xml:space="preserve"> </w:t>
      </w:r>
      <w:r>
        <w:rPr>
          <w:sz w:val="20"/>
        </w:rPr>
        <w:t>cambiado, es decir, no había demostrado que fueran</w:t>
      </w:r>
      <w:r>
        <w:rPr>
          <w:spacing w:val="-8"/>
          <w:sz w:val="20"/>
        </w:rPr>
        <w:t xml:space="preserve"> </w:t>
      </w:r>
      <w:r>
        <w:rPr>
          <w:sz w:val="20"/>
        </w:rPr>
        <w:t>efectivas</w:t>
      </w:r>
      <w:hyperlink w:anchor="_bookmark852" w:history="1">
        <w:r>
          <w:rPr>
            <w:position w:val="7"/>
            <w:sz w:val="13"/>
          </w:rPr>
          <w:t>170</w:t>
        </w:r>
      </w:hyperlink>
      <w:r>
        <w:rPr>
          <w:sz w:val="20"/>
        </w:rPr>
        <w:t>.</w:t>
      </w:r>
    </w:p>
    <w:p w14:paraId="139F4333" w14:textId="77777777" w:rsidR="00467FCA" w:rsidRDefault="00467FCA">
      <w:pPr>
        <w:pStyle w:val="Textoindependiente"/>
        <w:spacing w:before="2"/>
      </w:pPr>
    </w:p>
    <w:p w14:paraId="5FE1AC3B" w14:textId="77777777" w:rsidR="00467FCA" w:rsidRDefault="001B68EB">
      <w:pPr>
        <w:pStyle w:val="Prrafodelista"/>
        <w:numPr>
          <w:ilvl w:val="0"/>
          <w:numId w:val="4"/>
        </w:numPr>
        <w:tabs>
          <w:tab w:val="left" w:pos="1167"/>
        </w:tabs>
        <w:ind w:right="272" w:firstLine="0"/>
        <w:jc w:val="both"/>
        <w:rPr>
          <w:sz w:val="20"/>
        </w:rPr>
      </w:pPr>
      <w:r>
        <w:rPr>
          <w:sz w:val="20"/>
        </w:rPr>
        <w:t>Ante</w:t>
      </w:r>
      <w:r>
        <w:rPr>
          <w:spacing w:val="-19"/>
          <w:sz w:val="20"/>
        </w:rPr>
        <w:t xml:space="preserve"> </w:t>
      </w:r>
      <w:r>
        <w:rPr>
          <w:sz w:val="20"/>
        </w:rPr>
        <w:t>la</w:t>
      </w:r>
      <w:r>
        <w:rPr>
          <w:spacing w:val="-15"/>
          <w:sz w:val="20"/>
        </w:rPr>
        <w:t xml:space="preserve"> </w:t>
      </w:r>
      <w:r>
        <w:rPr>
          <w:sz w:val="20"/>
        </w:rPr>
        <w:t>falta</w:t>
      </w:r>
      <w:r>
        <w:rPr>
          <w:spacing w:val="-17"/>
          <w:sz w:val="20"/>
        </w:rPr>
        <w:t xml:space="preserve"> </w:t>
      </w:r>
      <w:r>
        <w:rPr>
          <w:sz w:val="20"/>
        </w:rPr>
        <w:t>de</w:t>
      </w:r>
      <w:r>
        <w:rPr>
          <w:spacing w:val="-16"/>
          <w:sz w:val="20"/>
        </w:rPr>
        <w:t xml:space="preserve"> </w:t>
      </w:r>
      <w:r>
        <w:rPr>
          <w:sz w:val="20"/>
        </w:rPr>
        <w:t>fiscalización</w:t>
      </w:r>
      <w:r>
        <w:rPr>
          <w:spacing w:val="-15"/>
          <w:sz w:val="20"/>
        </w:rPr>
        <w:t xml:space="preserve"> </w:t>
      </w:r>
      <w:r>
        <w:rPr>
          <w:sz w:val="20"/>
        </w:rPr>
        <w:t>de</w:t>
      </w:r>
      <w:r>
        <w:rPr>
          <w:spacing w:val="-16"/>
          <w:sz w:val="20"/>
        </w:rPr>
        <w:t xml:space="preserve"> </w:t>
      </w:r>
      <w:r>
        <w:rPr>
          <w:sz w:val="20"/>
        </w:rPr>
        <w:t>las</w:t>
      </w:r>
      <w:r>
        <w:rPr>
          <w:spacing w:val="-16"/>
          <w:sz w:val="20"/>
        </w:rPr>
        <w:t xml:space="preserve"> </w:t>
      </w:r>
      <w:r>
        <w:rPr>
          <w:sz w:val="20"/>
        </w:rPr>
        <w:t>condiciones</w:t>
      </w:r>
      <w:r>
        <w:rPr>
          <w:spacing w:val="-16"/>
          <w:sz w:val="20"/>
        </w:rPr>
        <w:t xml:space="preserve"> </w:t>
      </w:r>
      <w:r>
        <w:rPr>
          <w:sz w:val="20"/>
        </w:rPr>
        <w:t>de</w:t>
      </w:r>
      <w:r>
        <w:rPr>
          <w:spacing w:val="-19"/>
          <w:sz w:val="20"/>
        </w:rPr>
        <w:t xml:space="preserve"> </w:t>
      </w:r>
      <w:r>
        <w:rPr>
          <w:sz w:val="20"/>
        </w:rPr>
        <w:t>higiene,</w:t>
      </w:r>
      <w:r>
        <w:rPr>
          <w:spacing w:val="-15"/>
          <w:sz w:val="20"/>
        </w:rPr>
        <w:t xml:space="preserve"> </w:t>
      </w:r>
      <w:r>
        <w:rPr>
          <w:sz w:val="20"/>
        </w:rPr>
        <w:t>salud</w:t>
      </w:r>
      <w:r>
        <w:rPr>
          <w:spacing w:val="-15"/>
          <w:sz w:val="20"/>
        </w:rPr>
        <w:t xml:space="preserve"> </w:t>
      </w:r>
      <w:r>
        <w:rPr>
          <w:sz w:val="20"/>
        </w:rPr>
        <w:t>y</w:t>
      </w:r>
      <w:r>
        <w:rPr>
          <w:spacing w:val="-15"/>
          <w:sz w:val="20"/>
        </w:rPr>
        <w:t xml:space="preserve"> </w:t>
      </w:r>
      <w:r>
        <w:rPr>
          <w:sz w:val="20"/>
        </w:rPr>
        <w:t>seguridad</w:t>
      </w:r>
      <w:r>
        <w:rPr>
          <w:spacing w:val="-17"/>
          <w:sz w:val="20"/>
        </w:rPr>
        <w:t xml:space="preserve"> </w:t>
      </w:r>
      <w:r>
        <w:rPr>
          <w:sz w:val="20"/>
        </w:rPr>
        <w:t>del</w:t>
      </w:r>
      <w:r>
        <w:rPr>
          <w:spacing w:val="-15"/>
          <w:sz w:val="20"/>
        </w:rPr>
        <w:t xml:space="preserve"> </w:t>
      </w:r>
      <w:r>
        <w:rPr>
          <w:sz w:val="20"/>
        </w:rPr>
        <w:t>trabajo en</w:t>
      </w:r>
      <w:r>
        <w:rPr>
          <w:spacing w:val="-16"/>
          <w:sz w:val="20"/>
        </w:rPr>
        <w:t xml:space="preserve"> </w:t>
      </w:r>
      <w:r>
        <w:rPr>
          <w:sz w:val="20"/>
        </w:rPr>
        <w:t>la</w:t>
      </w:r>
      <w:r>
        <w:rPr>
          <w:spacing w:val="-15"/>
          <w:sz w:val="20"/>
        </w:rPr>
        <w:t xml:space="preserve"> </w:t>
      </w:r>
      <w:r>
        <w:rPr>
          <w:sz w:val="20"/>
        </w:rPr>
        <w:t>fabricación</w:t>
      </w:r>
      <w:r>
        <w:rPr>
          <w:spacing w:val="-16"/>
          <w:sz w:val="20"/>
        </w:rPr>
        <w:t xml:space="preserve"> </w:t>
      </w:r>
      <w:r>
        <w:rPr>
          <w:sz w:val="20"/>
        </w:rPr>
        <w:t>de</w:t>
      </w:r>
      <w:r>
        <w:rPr>
          <w:spacing w:val="-15"/>
          <w:sz w:val="20"/>
        </w:rPr>
        <w:t xml:space="preserve"> </w:t>
      </w:r>
      <w:r>
        <w:rPr>
          <w:sz w:val="20"/>
        </w:rPr>
        <w:t>fuegos</w:t>
      </w:r>
      <w:r>
        <w:rPr>
          <w:spacing w:val="-16"/>
          <w:sz w:val="20"/>
        </w:rPr>
        <w:t xml:space="preserve"> </w:t>
      </w:r>
      <w:r>
        <w:rPr>
          <w:sz w:val="20"/>
        </w:rPr>
        <w:t>artificiales</w:t>
      </w:r>
      <w:r>
        <w:rPr>
          <w:spacing w:val="-15"/>
          <w:sz w:val="20"/>
        </w:rPr>
        <w:t xml:space="preserve"> </w:t>
      </w:r>
      <w:r>
        <w:rPr>
          <w:sz w:val="20"/>
        </w:rPr>
        <w:t>para,</w:t>
      </w:r>
      <w:r>
        <w:rPr>
          <w:spacing w:val="-14"/>
          <w:sz w:val="20"/>
        </w:rPr>
        <w:t xml:space="preserve"> </w:t>
      </w:r>
      <w:r>
        <w:rPr>
          <w:sz w:val="20"/>
        </w:rPr>
        <w:t>especialmente,</w:t>
      </w:r>
      <w:r>
        <w:rPr>
          <w:spacing w:val="-12"/>
          <w:sz w:val="20"/>
        </w:rPr>
        <w:t xml:space="preserve"> </w:t>
      </w:r>
      <w:r>
        <w:rPr>
          <w:sz w:val="20"/>
        </w:rPr>
        <w:t>evitar</w:t>
      </w:r>
      <w:r>
        <w:rPr>
          <w:spacing w:val="-15"/>
          <w:sz w:val="20"/>
        </w:rPr>
        <w:t xml:space="preserve"> </w:t>
      </w:r>
      <w:r>
        <w:rPr>
          <w:sz w:val="20"/>
        </w:rPr>
        <w:t>accidentes</w:t>
      </w:r>
      <w:r>
        <w:rPr>
          <w:spacing w:val="-17"/>
          <w:sz w:val="20"/>
        </w:rPr>
        <w:t xml:space="preserve"> </w:t>
      </w:r>
      <w:r>
        <w:rPr>
          <w:sz w:val="20"/>
        </w:rPr>
        <w:t>de</w:t>
      </w:r>
      <w:r>
        <w:rPr>
          <w:spacing w:val="-17"/>
          <w:sz w:val="20"/>
        </w:rPr>
        <w:t xml:space="preserve"> </w:t>
      </w:r>
      <w:r>
        <w:rPr>
          <w:sz w:val="20"/>
        </w:rPr>
        <w:t>trabajo,</w:t>
      </w:r>
      <w:r>
        <w:rPr>
          <w:spacing w:val="-14"/>
          <w:sz w:val="20"/>
        </w:rPr>
        <w:t xml:space="preserve"> </w:t>
      </w:r>
      <w:r>
        <w:rPr>
          <w:sz w:val="20"/>
        </w:rPr>
        <w:t>(pese a la existencia legal de realizar dicha acción), el Estado no solo dejó de garantizar el derecho a condiciones equitativas y satisfactorias de trabajo de las presuntas víctimas, sino también contribuyó</w:t>
      </w:r>
      <w:r>
        <w:rPr>
          <w:spacing w:val="-7"/>
          <w:sz w:val="20"/>
        </w:rPr>
        <w:t xml:space="preserve"> </w:t>
      </w:r>
      <w:r>
        <w:rPr>
          <w:sz w:val="20"/>
        </w:rPr>
        <w:t>par</w:t>
      </w:r>
      <w:r>
        <w:rPr>
          <w:sz w:val="20"/>
        </w:rPr>
        <w:t>a</w:t>
      </w:r>
      <w:r>
        <w:rPr>
          <w:spacing w:val="-5"/>
          <w:sz w:val="20"/>
        </w:rPr>
        <w:t xml:space="preserve"> </w:t>
      </w:r>
      <w:r>
        <w:rPr>
          <w:sz w:val="20"/>
        </w:rPr>
        <w:t>agravar</w:t>
      </w:r>
      <w:r>
        <w:rPr>
          <w:spacing w:val="-4"/>
          <w:sz w:val="20"/>
        </w:rPr>
        <w:t xml:space="preserve"> </w:t>
      </w:r>
      <w:r>
        <w:rPr>
          <w:sz w:val="20"/>
        </w:rPr>
        <w:t>las</w:t>
      </w:r>
      <w:r>
        <w:rPr>
          <w:spacing w:val="-4"/>
          <w:sz w:val="20"/>
        </w:rPr>
        <w:t xml:space="preserve"> </w:t>
      </w:r>
      <w:r>
        <w:rPr>
          <w:sz w:val="20"/>
        </w:rPr>
        <w:t>condiciones</w:t>
      </w:r>
      <w:r>
        <w:rPr>
          <w:spacing w:val="-6"/>
          <w:sz w:val="20"/>
        </w:rPr>
        <w:t xml:space="preserve"> </w:t>
      </w:r>
      <w:r>
        <w:rPr>
          <w:sz w:val="20"/>
        </w:rPr>
        <w:t>de</w:t>
      </w:r>
      <w:r>
        <w:rPr>
          <w:spacing w:val="-8"/>
          <w:sz w:val="20"/>
        </w:rPr>
        <w:t xml:space="preserve"> </w:t>
      </w:r>
      <w:r>
        <w:rPr>
          <w:sz w:val="20"/>
        </w:rPr>
        <w:t>discriminación</w:t>
      </w:r>
      <w:r>
        <w:rPr>
          <w:spacing w:val="-4"/>
          <w:sz w:val="20"/>
        </w:rPr>
        <w:t xml:space="preserve"> </w:t>
      </w:r>
      <w:r>
        <w:rPr>
          <w:sz w:val="20"/>
        </w:rPr>
        <w:t>estructural</w:t>
      </w:r>
      <w:r>
        <w:rPr>
          <w:spacing w:val="-3"/>
          <w:sz w:val="20"/>
        </w:rPr>
        <w:t xml:space="preserve"> </w:t>
      </w:r>
      <w:r>
        <w:rPr>
          <w:sz w:val="20"/>
        </w:rPr>
        <w:t>en</w:t>
      </w:r>
      <w:r>
        <w:rPr>
          <w:spacing w:val="-4"/>
          <w:sz w:val="20"/>
        </w:rPr>
        <w:t xml:space="preserve"> </w:t>
      </w:r>
      <w:r>
        <w:rPr>
          <w:sz w:val="20"/>
        </w:rPr>
        <w:t>que</w:t>
      </w:r>
      <w:r>
        <w:rPr>
          <w:spacing w:val="-5"/>
          <w:sz w:val="20"/>
        </w:rPr>
        <w:t xml:space="preserve"> </w:t>
      </w:r>
      <w:r>
        <w:rPr>
          <w:sz w:val="20"/>
        </w:rPr>
        <w:t>se</w:t>
      </w:r>
      <w:r>
        <w:rPr>
          <w:spacing w:val="-4"/>
          <w:sz w:val="20"/>
        </w:rPr>
        <w:t xml:space="preserve"> </w:t>
      </w:r>
      <w:r>
        <w:rPr>
          <w:sz w:val="20"/>
        </w:rPr>
        <w:t>encontraban. Por otro lado, se suma la ausencia de adopción de medidas que hubieran permitido disfrutar del verdadero contenido de dicho derecho, como lo podría ser incentivar el trabajo for</w:t>
      </w:r>
      <w:r>
        <w:rPr>
          <w:sz w:val="20"/>
        </w:rPr>
        <w:t>mal en la</w:t>
      </w:r>
      <w:r>
        <w:rPr>
          <w:spacing w:val="-1"/>
          <w:sz w:val="20"/>
        </w:rPr>
        <w:t xml:space="preserve"> </w:t>
      </w:r>
      <w:r>
        <w:rPr>
          <w:sz w:val="20"/>
        </w:rPr>
        <w:t>zona</w:t>
      </w:r>
      <w:hyperlink w:anchor="_bookmark853" w:history="1">
        <w:r>
          <w:rPr>
            <w:position w:val="7"/>
            <w:sz w:val="13"/>
          </w:rPr>
          <w:t>171</w:t>
        </w:r>
      </w:hyperlink>
      <w:r>
        <w:rPr>
          <w:sz w:val="20"/>
        </w:rPr>
        <w:t>.</w:t>
      </w:r>
    </w:p>
    <w:p w14:paraId="6F992FD1" w14:textId="77777777" w:rsidR="00467FCA" w:rsidRDefault="00467FCA">
      <w:pPr>
        <w:pStyle w:val="Textoindependiente"/>
        <w:spacing w:before="11"/>
        <w:rPr>
          <w:sz w:val="19"/>
        </w:rPr>
      </w:pPr>
    </w:p>
    <w:p w14:paraId="62CC63B4" w14:textId="77777777" w:rsidR="00467FCA" w:rsidRDefault="001B68EB">
      <w:pPr>
        <w:pStyle w:val="Prrafodelista"/>
        <w:numPr>
          <w:ilvl w:val="0"/>
          <w:numId w:val="4"/>
        </w:numPr>
        <w:tabs>
          <w:tab w:val="left" w:pos="1167"/>
        </w:tabs>
        <w:ind w:right="274" w:firstLine="0"/>
        <w:jc w:val="both"/>
        <w:rPr>
          <w:sz w:val="20"/>
        </w:rPr>
      </w:pPr>
      <w:r>
        <w:rPr>
          <w:sz w:val="20"/>
        </w:rPr>
        <w:t>En</w:t>
      </w:r>
      <w:r>
        <w:rPr>
          <w:spacing w:val="-10"/>
          <w:sz w:val="20"/>
        </w:rPr>
        <w:t xml:space="preserve"> </w:t>
      </w:r>
      <w:r>
        <w:rPr>
          <w:sz w:val="20"/>
        </w:rPr>
        <w:t>conclusión,</w:t>
      </w:r>
      <w:r>
        <w:rPr>
          <w:spacing w:val="-12"/>
          <w:sz w:val="20"/>
        </w:rPr>
        <w:t xml:space="preserve"> </w:t>
      </w:r>
      <w:r>
        <w:rPr>
          <w:sz w:val="20"/>
        </w:rPr>
        <w:t>la</w:t>
      </w:r>
      <w:r>
        <w:rPr>
          <w:spacing w:val="-9"/>
          <w:sz w:val="20"/>
        </w:rPr>
        <w:t xml:space="preserve"> </w:t>
      </w:r>
      <w:r>
        <w:rPr>
          <w:sz w:val="20"/>
        </w:rPr>
        <w:t>sentencia</w:t>
      </w:r>
      <w:r>
        <w:rPr>
          <w:spacing w:val="-10"/>
          <w:sz w:val="20"/>
        </w:rPr>
        <w:t xml:space="preserve"> </w:t>
      </w:r>
      <w:r>
        <w:rPr>
          <w:sz w:val="20"/>
        </w:rPr>
        <w:t>considera</w:t>
      </w:r>
      <w:r>
        <w:rPr>
          <w:spacing w:val="-11"/>
          <w:sz w:val="20"/>
        </w:rPr>
        <w:t xml:space="preserve"> </w:t>
      </w:r>
      <w:r>
        <w:rPr>
          <w:sz w:val="20"/>
        </w:rPr>
        <w:t>que,</w:t>
      </w:r>
      <w:r>
        <w:rPr>
          <w:spacing w:val="-11"/>
          <w:sz w:val="20"/>
        </w:rPr>
        <w:t xml:space="preserve"> </w:t>
      </w:r>
      <w:r>
        <w:rPr>
          <w:sz w:val="20"/>
        </w:rPr>
        <w:t>bajo</w:t>
      </w:r>
      <w:r>
        <w:rPr>
          <w:spacing w:val="-10"/>
          <w:sz w:val="20"/>
        </w:rPr>
        <w:t xml:space="preserve"> </w:t>
      </w:r>
      <w:r>
        <w:rPr>
          <w:sz w:val="20"/>
        </w:rPr>
        <w:t>determinados</w:t>
      </w:r>
      <w:r>
        <w:rPr>
          <w:spacing w:val="-10"/>
          <w:sz w:val="20"/>
        </w:rPr>
        <w:t xml:space="preserve"> </w:t>
      </w:r>
      <w:r>
        <w:rPr>
          <w:sz w:val="20"/>
        </w:rPr>
        <w:t>contextos,</w:t>
      </w:r>
      <w:r>
        <w:rPr>
          <w:spacing w:val="-11"/>
          <w:sz w:val="20"/>
        </w:rPr>
        <w:t xml:space="preserve"> </w:t>
      </w:r>
      <w:r>
        <w:rPr>
          <w:sz w:val="20"/>
        </w:rPr>
        <w:t>el</w:t>
      </w:r>
      <w:r>
        <w:rPr>
          <w:spacing w:val="-11"/>
          <w:sz w:val="20"/>
        </w:rPr>
        <w:t xml:space="preserve"> </w:t>
      </w:r>
      <w:r>
        <w:rPr>
          <w:sz w:val="20"/>
        </w:rPr>
        <w:t>artículo</w:t>
      </w:r>
      <w:r>
        <w:rPr>
          <w:spacing w:val="-12"/>
          <w:sz w:val="20"/>
        </w:rPr>
        <w:t xml:space="preserve"> </w:t>
      </w:r>
      <w:r>
        <w:rPr>
          <w:sz w:val="20"/>
        </w:rPr>
        <w:t>1.1 y</w:t>
      </w:r>
      <w:r>
        <w:rPr>
          <w:spacing w:val="-8"/>
          <w:sz w:val="20"/>
        </w:rPr>
        <w:t xml:space="preserve"> </w:t>
      </w:r>
      <w:r>
        <w:rPr>
          <w:sz w:val="20"/>
        </w:rPr>
        <w:t>el</w:t>
      </w:r>
      <w:r>
        <w:rPr>
          <w:spacing w:val="-5"/>
          <w:sz w:val="20"/>
        </w:rPr>
        <w:t xml:space="preserve"> </w:t>
      </w:r>
      <w:r>
        <w:rPr>
          <w:sz w:val="20"/>
        </w:rPr>
        <w:t>artículo</w:t>
      </w:r>
      <w:r>
        <w:rPr>
          <w:spacing w:val="-7"/>
          <w:sz w:val="20"/>
        </w:rPr>
        <w:t xml:space="preserve"> </w:t>
      </w:r>
      <w:r>
        <w:rPr>
          <w:sz w:val="20"/>
        </w:rPr>
        <w:t>24</w:t>
      </w:r>
      <w:r>
        <w:rPr>
          <w:spacing w:val="-7"/>
          <w:sz w:val="20"/>
        </w:rPr>
        <w:t xml:space="preserve"> </w:t>
      </w:r>
      <w:r>
        <w:rPr>
          <w:sz w:val="20"/>
        </w:rPr>
        <w:t>de</w:t>
      </w:r>
      <w:r>
        <w:rPr>
          <w:spacing w:val="-8"/>
          <w:sz w:val="20"/>
        </w:rPr>
        <w:t xml:space="preserve"> </w:t>
      </w:r>
      <w:r>
        <w:rPr>
          <w:sz w:val="20"/>
        </w:rPr>
        <w:t>la</w:t>
      </w:r>
      <w:r>
        <w:rPr>
          <w:spacing w:val="-8"/>
          <w:sz w:val="20"/>
        </w:rPr>
        <w:t xml:space="preserve"> </w:t>
      </w:r>
      <w:r>
        <w:rPr>
          <w:sz w:val="20"/>
        </w:rPr>
        <w:t>Convención</w:t>
      </w:r>
      <w:r>
        <w:rPr>
          <w:spacing w:val="-7"/>
          <w:sz w:val="20"/>
        </w:rPr>
        <w:t xml:space="preserve"> </w:t>
      </w:r>
      <w:r>
        <w:rPr>
          <w:sz w:val="20"/>
        </w:rPr>
        <w:t>Americana</w:t>
      </w:r>
      <w:r>
        <w:rPr>
          <w:spacing w:val="-8"/>
          <w:sz w:val="20"/>
        </w:rPr>
        <w:t xml:space="preserve"> </w:t>
      </w:r>
      <w:r>
        <w:rPr>
          <w:sz w:val="20"/>
        </w:rPr>
        <w:t>pueden</w:t>
      </w:r>
      <w:r>
        <w:rPr>
          <w:spacing w:val="-4"/>
          <w:sz w:val="20"/>
        </w:rPr>
        <w:t xml:space="preserve"> </w:t>
      </w:r>
      <w:r>
        <w:rPr>
          <w:sz w:val="20"/>
        </w:rPr>
        <w:t>ser</w:t>
      </w:r>
      <w:r>
        <w:rPr>
          <w:spacing w:val="-6"/>
          <w:sz w:val="20"/>
        </w:rPr>
        <w:t xml:space="preserve"> </w:t>
      </w:r>
      <w:r>
        <w:rPr>
          <w:sz w:val="20"/>
        </w:rPr>
        <w:t>vulnerados</w:t>
      </w:r>
      <w:r>
        <w:rPr>
          <w:spacing w:val="-9"/>
          <w:sz w:val="20"/>
        </w:rPr>
        <w:t xml:space="preserve"> </w:t>
      </w:r>
      <w:r>
        <w:rPr>
          <w:sz w:val="20"/>
        </w:rPr>
        <w:t>por</w:t>
      </w:r>
      <w:r>
        <w:rPr>
          <w:spacing w:val="-7"/>
          <w:sz w:val="20"/>
        </w:rPr>
        <w:t xml:space="preserve"> </w:t>
      </w:r>
      <w:r>
        <w:rPr>
          <w:sz w:val="20"/>
        </w:rPr>
        <w:t>los</w:t>
      </w:r>
      <w:r>
        <w:rPr>
          <w:spacing w:val="-9"/>
          <w:sz w:val="20"/>
        </w:rPr>
        <w:t xml:space="preserve"> </w:t>
      </w:r>
      <w:r>
        <w:rPr>
          <w:sz w:val="20"/>
        </w:rPr>
        <w:t>Estados</w:t>
      </w:r>
      <w:r>
        <w:rPr>
          <w:spacing w:val="-5"/>
          <w:sz w:val="20"/>
        </w:rPr>
        <w:t xml:space="preserve"> </w:t>
      </w:r>
      <w:r>
        <w:rPr>
          <w:sz w:val="20"/>
        </w:rPr>
        <w:t>cuando</w:t>
      </w:r>
      <w:r>
        <w:rPr>
          <w:spacing w:val="-6"/>
          <w:sz w:val="20"/>
        </w:rPr>
        <w:t xml:space="preserve"> </w:t>
      </w:r>
      <w:r>
        <w:rPr>
          <w:sz w:val="20"/>
        </w:rPr>
        <w:t>se demuestra</w:t>
      </w:r>
      <w:r>
        <w:rPr>
          <w:spacing w:val="-6"/>
          <w:sz w:val="20"/>
        </w:rPr>
        <w:t xml:space="preserve"> </w:t>
      </w:r>
      <w:r>
        <w:rPr>
          <w:sz w:val="20"/>
        </w:rPr>
        <w:t>que,</w:t>
      </w:r>
      <w:r>
        <w:rPr>
          <w:spacing w:val="-6"/>
          <w:sz w:val="20"/>
        </w:rPr>
        <w:t xml:space="preserve"> </w:t>
      </w:r>
      <w:r>
        <w:rPr>
          <w:sz w:val="20"/>
        </w:rPr>
        <w:t>por</w:t>
      </w:r>
      <w:r>
        <w:rPr>
          <w:spacing w:val="-8"/>
          <w:sz w:val="20"/>
        </w:rPr>
        <w:t xml:space="preserve"> </w:t>
      </w:r>
      <w:r>
        <w:rPr>
          <w:sz w:val="20"/>
        </w:rPr>
        <w:t>un</w:t>
      </w:r>
      <w:r>
        <w:rPr>
          <w:spacing w:val="-4"/>
          <w:sz w:val="20"/>
        </w:rPr>
        <w:t xml:space="preserve"> </w:t>
      </w:r>
      <w:r>
        <w:rPr>
          <w:sz w:val="20"/>
        </w:rPr>
        <w:t>lado,</w:t>
      </w:r>
      <w:r>
        <w:rPr>
          <w:spacing w:val="-6"/>
          <w:sz w:val="20"/>
        </w:rPr>
        <w:t xml:space="preserve"> </w:t>
      </w:r>
      <w:r>
        <w:rPr>
          <w:sz w:val="20"/>
        </w:rPr>
        <w:t>las</w:t>
      </w:r>
      <w:r>
        <w:rPr>
          <w:spacing w:val="-7"/>
          <w:sz w:val="20"/>
        </w:rPr>
        <w:t xml:space="preserve"> </w:t>
      </w:r>
      <w:r>
        <w:rPr>
          <w:sz w:val="20"/>
        </w:rPr>
        <w:t>medidas</w:t>
      </w:r>
      <w:r>
        <w:rPr>
          <w:spacing w:val="-6"/>
          <w:sz w:val="20"/>
        </w:rPr>
        <w:t xml:space="preserve"> </w:t>
      </w:r>
      <w:r>
        <w:rPr>
          <w:sz w:val="20"/>
        </w:rPr>
        <w:t>que</w:t>
      </w:r>
      <w:r>
        <w:rPr>
          <w:spacing w:val="-8"/>
          <w:sz w:val="20"/>
        </w:rPr>
        <w:t xml:space="preserve"> </w:t>
      </w:r>
      <w:r>
        <w:rPr>
          <w:sz w:val="20"/>
        </w:rPr>
        <w:t>fueron</w:t>
      </w:r>
      <w:r>
        <w:rPr>
          <w:spacing w:val="-4"/>
          <w:sz w:val="20"/>
        </w:rPr>
        <w:t xml:space="preserve"> </w:t>
      </w:r>
      <w:r>
        <w:rPr>
          <w:sz w:val="20"/>
        </w:rPr>
        <w:t>adoptadas</w:t>
      </w:r>
      <w:r>
        <w:rPr>
          <w:spacing w:val="-6"/>
          <w:sz w:val="20"/>
        </w:rPr>
        <w:t xml:space="preserve"> </w:t>
      </w:r>
      <w:r>
        <w:rPr>
          <w:sz w:val="20"/>
        </w:rPr>
        <w:t>resultaron</w:t>
      </w:r>
      <w:r>
        <w:rPr>
          <w:spacing w:val="-5"/>
          <w:sz w:val="20"/>
        </w:rPr>
        <w:t xml:space="preserve"> </w:t>
      </w:r>
      <w:r>
        <w:rPr>
          <w:sz w:val="20"/>
        </w:rPr>
        <w:t>ineficaces</w:t>
      </w:r>
      <w:r>
        <w:rPr>
          <w:spacing w:val="-6"/>
          <w:sz w:val="20"/>
        </w:rPr>
        <w:t xml:space="preserve"> </w:t>
      </w:r>
      <w:r>
        <w:rPr>
          <w:sz w:val="20"/>
        </w:rPr>
        <w:t>y,</w:t>
      </w:r>
      <w:r>
        <w:rPr>
          <w:spacing w:val="-7"/>
          <w:sz w:val="20"/>
        </w:rPr>
        <w:t xml:space="preserve"> </w:t>
      </w:r>
      <w:r>
        <w:rPr>
          <w:sz w:val="20"/>
        </w:rPr>
        <w:t>por</w:t>
      </w:r>
      <w:r>
        <w:rPr>
          <w:spacing w:val="-7"/>
          <w:sz w:val="20"/>
        </w:rPr>
        <w:t xml:space="preserve"> </w:t>
      </w:r>
      <w:r>
        <w:rPr>
          <w:sz w:val="20"/>
        </w:rPr>
        <w:t xml:space="preserve">el otro, tampoco se adoptaron medidas que hubieran compensado situaciones de desigualdad. De tal suerte que el entendimiento de la ineficacia, insuficiencia o ausencia de medidas, normas, </w:t>
      </w:r>
      <w:r>
        <w:rPr>
          <w:sz w:val="20"/>
        </w:rPr>
        <w:t>acciones o políticas, a favor de grupos estructuralmente marginados, no solo se analiza desde el artículo 1.1, sino también desde el artículo 24 del Pacto de San</w:t>
      </w:r>
      <w:r>
        <w:rPr>
          <w:spacing w:val="-25"/>
          <w:sz w:val="20"/>
        </w:rPr>
        <w:t xml:space="preserve"> </w:t>
      </w:r>
      <w:r>
        <w:rPr>
          <w:sz w:val="20"/>
        </w:rPr>
        <w:t>José.</w:t>
      </w:r>
    </w:p>
    <w:p w14:paraId="5619D71E" w14:textId="77777777" w:rsidR="00467FCA" w:rsidRDefault="00467FCA">
      <w:pPr>
        <w:pStyle w:val="Textoindependiente"/>
        <w:rPr>
          <w:sz w:val="24"/>
        </w:rPr>
      </w:pPr>
    </w:p>
    <w:p w14:paraId="385E74DD" w14:textId="77777777" w:rsidR="00467FCA" w:rsidRDefault="001B68EB">
      <w:pPr>
        <w:pStyle w:val="Ttulo1"/>
        <w:numPr>
          <w:ilvl w:val="2"/>
          <w:numId w:val="32"/>
        </w:numPr>
        <w:tabs>
          <w:tab w:val="left" w:pos="4465"/>
        </w:tabs>
        <w:spacing w:before="196"/>
        <w:ind w:left="4464" w:hanging="402"/>
        <w:jc w:val="left"/>
      </w:pPr>
      <w:r>
        <w:t>CONCLUSIONES</w:t>
      </w:r>
    </w:p>
    <w:p w14:paraId="1AB60965" w14:textId="77777777" w:rsidR="00467FCA" w:rsidRDefault="00467FCA">
      <w:pPr>
        <w:pStyle w:val="Textoindependiente"/>
        <w:spacing w:before="11"/>
        <w:rPr>
          <w:b/>
          <w:sz w:val="19"/>
        </w:rPr>
      </w:pPr>
    </w:p>
    <w:p w14:paraId="549329A1" w14:textId="77777777" w:rsidR="00467FCA" w:rsidRDefault="001B68EB">
      <w:pPr>
        <w:pStyle w:val="Prrafodelista"/>
        <w:numPr>
          <w:ilvl w:val="0"/>
          <w:numId w:val="4"/>
        </w:numPr>
        <w:tabs>
          <w:tab w:val="left" w:pos="1167"/>
        </w:tabs>
        <w:ind w:left="457" w:right="275" w:firstLine="0"/>
        <w:jc w:val="both"/>
        <w:rPr>
          <w:sz w:val="20"/>
        </w:rPr>
      </w:pPr>
      <w:r>
        <w:rPr>
          <w:sz w:val="20"/>
        </w:rPr>
        <w:t>Las explosiones en lugares en el que se almacenan materiales peligrosos no son un fenómeno nuevo ni en nuestro continente ni en el mundo. Lamentablemente, se siguen produciendo</w:t>
      </w:r>
      <w:r>
        <w:rPr>
          <w:spacing w:val="-6"/>
          <w:sz w:val="20"/>
        </w:rPr>
        <w:t xml:space="preserve"> </w:t>
      </w:r>
      <w:r>
        <w:rPr>
          <w:sz w:val="20"/>
        </w:rPr>
        <w:t>víctimas</w:t>
      </w:r>
      <w:r>
        <w:rPr>
          <w:spacing w:val="-5"/>
          <w:sz w:val="20"/>
        </w:rPr>
        <w:t xml:space="preserve"> </w:t>
      </w:r>
      <w:r>
        <w:rPr>
          <w:sz w:val="20"/>
        </w:rPr>
        <w:t>mortales</w:t>
      </w:r>
      <w:r>
        <w:rPr>
          <w:spacing w:val="-6"/>
          <w:sz w:val="20"/>
        </w:rPr>
        <w:t xml:space="preserve"> </w:t>
      </w:r>
      <w:r>
        <w:rPr>
          <w:sz w:val="20"/>
        </w:rPr>
        <w:t>y</w:t>
      </w:r>
      <w:r>
        <w:rPr>
          <w:spacing w:val="-4"/>
          <w:sz w:val="20"/>
        </w:rPr>
        <w:t xml:space="preserve"> </w:t>
      </w:r>
      <w:r>
        <w:rPr>
          <w:sz w:val="20"/>
        </w:rPr>
        <w:t>sobrevivientes</w:t>
      </w:r>
      <w:r>
        <w:rPr>
          <w:spacing w:val="-6"/>
          <w:sz w:val="20"/>
        </w:rPr>
        <w:t xml:space="preserve"> </w:t>
      </w:r>
      <w:r>
        <w:rPr>
          <w:sz w:val="20"/>
        </w:rPr>
        <w:t>con</w:t>
      </w:r>
      <w:r>
        <w:rPr>
          <w:spacing w:val="-5"/>
          <w:sz w:val="20"/>
        </w:rPr>
        <w:t xml:space="preserve"> </w:t>
      </w:r>
      <w:r>
        <w:rPr>
          <w:sz w:val="20"/>
        </w:rPr>
        <w:t>graves</w:t>
      </w:r>
      <w:r>
        <w:rPr>
          <w:spacing w:val="-6"/>
          <w:sz w:val="20"/>
        </w:rPr>
        <w:t xml:space="preserve"> </w:t>
      </w:r>
      <w:r>
        <w:rPr>
          <w:sz w:val="20"/>
        </w:rPr>
        <w:t>afectaciones</w:t>
      </w:r>
      <w:r>
        <w:rPr>
          <w:spacing w:val="-7"/>
          <w:sz w:val="20"/>
        </w:rPr>
        <w:t xml:space="preserve"> </w:t>
      </w:r>
      <w:r>
        <w:rPr>
          <w:sz w:val="20"/>
        </w:rPr>
        <w:t>a</w:t>
      </w:r>
      <w:r>
        <w:rPr>
          <w:spacing w:val="-5"/>
          <w:sz w:val="20"/>
        </w:rPr>
        <w:t xml:space="preserve"> </w:t>
      </w:r>
      <w:r>
        <w:rPr>
          <w:sz w:val="20"/>
        </w:rPr>
        <w:t>su</w:t>
      </w:r>
      <w:r>
        <w:rPr>
          <w:spacing w:val="-5"/>
          <w:sz w:val="20"/>
        </w:rPr>
        <w:t xml:space="preserve"> </w:t>
      </w:r>
      <w:r>
        <w:rPr>
          <w:sz w:val="20"/>
        </w:rPr>
        <w:t>integridad</w:t>
      </w:r>
      <w:r>
        <w:rPr>
          <w:spacing w:val="-4"/>
          <w:sz w:val="20"/>
        </w:rPr>
        <w:t xml:space="preserve"> </w:t>
      </w:r>
      <w:r>
        <w:rPr>
          <w:sz w:val="20"/>
        </w:rPr>
        <w:t>físi</w:t>
      </w:r>
      <w:r>
        <w:rPr>
          <w:sz w:val="20"/>
        </w:rPr>
        <w:t>ca y psíquica, producto de explosiones de fuegos artificiales como las ocurridas en el presente caso.</w:t>
      </w:r>
      <w:r>
        <w:rPr>
          <w:spacing w:val="-5"/>
          <w:sz w:val="20"/>
        </w:rPr>
        <w:t xml:space="preserve"> </w:t>
      </w:r>
      <w:r>
        <w:rPr>
          <w:sz w:val="20"/>
        </w:rPr>
        <w:t>La</w:t>
      </w:r>
      <w:r>
        <w:rPr>
          <w:spacing w:val="-3"/>
          <w:sz w:val="20"/>
        </w:rPr>
        <w:t xml:space="preserve"> </w:t>
      </w:r>
      <w:r>
        <w:rPr>
          <w:sz w:val="20"/>
        </w:rPr>
        <w:t>importancia</w:t>
      </w:r>
      <w:r>
        <w:rPr>
          <w:spacing w:val="-6"/>
          <w:sz w:val="20"/>
        </w:rPr>
        <w:t xml:space="preserve"> </w:t>
      </w:r>
      <w:r>
        <w:rPr>
          <w:sz w:val="20"/>
        </w:rPr>
        <w:t>de</w:t>
      </w:r>
      <w:r>
        <w:rPr>
          <w:spacing w:val="-4"/>
          <w:sz w:val="20"/>
        </w:rPr>
        <w:t xml:space="preserve"> </w:t>
      </w:r>
      <w:r>
        <w:rPr>
          <w:sz w:val="20"/>
        </w:rPr>
        <w:t>esta</w:t>
      </w:r>
      <w:r>
        <w:rPr>
          <w:spacing w:val="-4"/>
          <w:sz w:val="20"/>
        </w:rPr>
        <w:t xml:space="preserve"> </w:t>
      </w:r>
      <w:r>
        <w:rPr>
          <w:sz w:val="20"/>
        </w:rPr>
        <w:t>sentencia</w:t>
      </w:r>
      <w:r>
        <w:rPr>
          <w:spacing w:val="-3"/>
          <w:sz w:val="20"/>
        </w:rPr>
        <w:t xml:space="preserve"> </w:t>
      </w:r>
      <w:r>
        <w:rPr>
          <w:sz w:val="20"/>
        </w:rPr>
        <w:t>radica</w:t>
      </w:r>
      <w:r>
        <w:rPr>
          <w:spacing w:val="-1"/>
          <w:sz w:val="20"/>
        </w:rPr>
        <w:t xml:space="preserve"> </w:t>
      </w:r>
      <w:r>
        <w:rPr>
          <w:sz w:val="20"/>
        </w:rPr>
        <w:t>en</w:t>
      </w:r>
      <w:r>
        <w:rPr>
          <w:spacing w:val="-4"/>
          <w:sz w:val="20"/>
        </w:rPr>
        <w:t xml:space="preserve"> </w:t>
      </w:r>
      <w:r>
        <w:rPr>
          <w:sz w:val="20"/>
        </w:rPr>
        <w:t>visibilizar</w:t>
      </w:r>
      <w:r>
        <w:rPr>
          <w:spacing w:val="-5"/>
          <w:sz w:val="20"/>
        </w:rPr>
        <w:t xml:space="preserve"> </w:t>
      </w:r>
      <w:r>
        <w:rPr>
          <w:sz w:val="20"/>
        </w:rPr>
        <w:t>cómo</w:t>
      </w:r>
      <w:r>
        <w:rPr>
          <w:spacing w:val="-4"/>
          <w:sz w:val="20"/>
        </w:rPr>
        <w:t xml:space="preserve"> </w:t>
      </w:r>
      <w:r>
        <w:rPr>
          <w:sz w:val="20"/>
        </w:rPr>
        <w:t>más</w:t>
      </w:r>
      <w:r>
        <w:rPr>
          <w:spacing w:val="-4"/>
          <w:sz w:val="20"/>
        </w:rPr>
        <w:t xml:space="preserve"> </w:t>
      </w:r>
      <w:r>
        <w:rPr>
          <w:sz w:val="20"/>
        </w:rPr>
        <w:t>allá</w:t>
      </w:r>
      <w:r>
        <w:rPr>
          <w:spacing w:val="-6"/>
          <w:sz w:val="20"/>
        </w:rPr>
        <w:t xml:space="preserve"> </w:t>
      </w:r>
      <w:r>
        <w:rPr>
          <w:sz w:val="20"/>
        </w:rPr>
        <w:t>de</w:t>
      </w:r>
      <w:r>
        <w:rPr>
          <w:spacing w:val="-4"/>
          <w:sz w:val="20"/>
        </w:rPr>
        <w:t xml:space="preserve"> </w:t>
      </w:r>
      <w:r>
        <w:rPr>
          <w:sz w:val="20"/>
        </w:rPr>
        <w:t>las</w:t>
      </w:r>
      <w:r>
        <w:rPr>
          <w:spacing w:val="-4"/>
          <w:sz w:val="20"/>
        </w:rPr>
        <w:t xml:space="preserve"> </w:t>
      </w:r>
      <w:r>
        <w:rPr>
          <w:sz w:val="20"/>
        </w:rPr>
        <w:t>regulaciones existentes en la materia —que en muchos casos pueden ser robustas</w:t>
      </w:r>
      <w:r>
        <w:rPr>
          <w:sz w:val="20"/>
        </w:rPr>
        <w:t>—, en la medida que en la práctica y en la realidad no se materialice lo que la norma ordena, será inefectiva la protección que</w:t>
      </w:r>
      <w:r>
        <w:rPr>
          <w:spacing w:val="-3"/>
          <w:sz w:val="20"/>
        </w:rPr>
        <w:t xml:space="preserve"> </w:t>
      </w:r>
      <w:r>
        <w:rPr>
          <w:sz w:val="20"/>
        </w:rPr>
        <w:t>pretende.</w:t>
      </w:r>
    </w:p>
    <w:p w14:paraId="2CB0D956" w14:textId="77777777" w:rsidR="00467FCA" w:rsidRDefault="00467FCA">
      <w:pPr>
        <w:pStyle w:val="Textoindependiente"/>
      </w:pPr>
    </w:p>
    <w:p w14:paraId="178E7589" w14:textId="77777777" w:rsidR="00467FCA" w:rsidRDefault="00467FCA">
      <w:pPr>
        <w:pStyle w:val="Textoindependiente"/>
      </w:pPr>
    </w:p>
    <w:p w14:paraId="4F3FD293" w14:textId="77777777" w:rsidR="00467FCA" w:rsidRDefault="001B68EB">
      <w:pPr>
        <w:pStyle w:val="Textoindependiente"/>
        <w:spacing w:before="3"/>
        <w:rPr>
          <w:sz w:val="21"/>
        </w:rPr>
      </w:pPr>
      <w:r>
        <w:pict w14:anchorId="6D71AF1D">
          <v:shape id="_x0000_s1036" style="position:absolute;margin-left:70.9pt;margin-top:15.2pt;width:2in;height:.1pt;z-index:-251495424;mso-wrap-distance-left:0;mso-wrap-distance-right:0;mso-position-horizontal-relative:page" coordorigin="1418,304" coordsize="2880,0" path="m1418,304r2880,e" filled="f" strokeweight=".6pt">
            <v:path arrowok="t"/>
            <w10:wrap type="topAndBottom" anchorx="page"/>
          </v:shape>
        </w:pict>
      </w:r>
    </w:p>
    <w:p w14:paraId="5E7E2805" w14:textId="77777777" w:rsidR="00467FCA" w:rsidRDefault="001B68EB">
      <w:pPr>
        <w:tabs>
          <w:tab w:val="left" w:pos="1166"/>
        </w:tabs>
        <w:spacing w:before="74"/>
        <w:ind w:left="458" w:right="276"/>
        <w:rPr>
          <w:sz w:val="16"/>
        </w:rPr>
      </w:pPr>
      <w:bookmarkStart w:id="932" w:name="_bookmark851"/>
      <w:bookmarkEnd w:id="932"/>
      <w:r>
        <w:rPr>
          <w:position w:val="6"/>
          <w:sz w:val="10"/>
        </w:rPr>
        <w:t>169</w:t>
      </w:r>
      <w:r>
        <w:rPr>
          <w:position w:val="6"/>
          <w:sz w:val="10"/>
        </w:rPr>
        <w:tab/>
      </w:r>
      <w:r>
        <w:rPr>
          <w:sz w:val="16"/>
        </w:rPr>
        <w:t xml:space="preserve">Lo anterior resulta concordante con lo indicado en el caso </w:t>
      </w:r>
      <w:r>
        <w:rPr>
          <w:i/>
          <w:sz w:val="16"/>
        </w:rPr>
        <w:t xml:space="preserve">V.R.P, V.C.P. y otros Vs. Nicaragua, </w:t>
      </w:r>
      <w:r>
        <w:rPr>
          <w:sz w:val="16"/>
        </w:rPr>
        <w:t>y con menor de</w:t>
      </w:r>
      <w:r>
        <w:rPr>
          <w:sz w:val="16"/>
        </w:rPr>
        <w:t xml:space="preserve">sarrollo en los casos </w:t>
      </w:r>
      <w:r>
        <w:rPr>
          <w:i/>
          <w:sz w:val="16"/>
        </w:rPr>
        <w:t xml:space="preserve">Vélez Loor </w:t>
      </w:r>
      <w:r>
        <w:rPr>
          <w:sz w:val="16"/>
        </w:rPr>
        <w:t xml:space="preserve">y </w:t>
      </w:r>
      <w:r>
        <w:rPr>
          <w:i/>
          <w:sz w:val="16"/>
        </w:rPr>
        <w:t>YATAMA</w:t>
      </w:r>
      <w:r>
        <w:rPr>
          <w:sz w:val="16"/>
        </w:rPr>
        <w:t xml:space="preserve">. Véase </w:t>
      </w:r>
      <w:r>
        <w:rPr>
          <w:i/>
          <w:sz w:val="16"/>
        </w:rPr>
        <w:t>supra</w:t>
      </w:r>
      <w:r>
        <w:rPr>
          <w:sz w:val="16"/>
        </w:rPr>
        <w:t>, párr.96 y nota al pie de página 157 del presente</w:t>
      </w:r>
      <w:r>
        <w:rPr>
          <w:spacing w:val="-30"/>
          <w:sz w:val="16"/>
        </w:rPr>
        <w:t xml:space="preserve"> </w:t>
      </w:r>
      <w:r>
        <w:rPr>
          <w:sz w:val="16"/>
        </w:rPr>
        <w:t>voto.</w:t>
      </w:r>
    </w:p>
    <w:p w14:paraId="28D220C2" w14:textId="77777777" w:rsidR="00467FCA" w:rsidRDefault="001B68EB">
      <w:pPr>
        <w:tabs>
          <w:tab w:val="left" w:pos="1166"/>
        </w:tabs>
        <w:ind w:left="458" w:right="334"/>
        <w:rPr>
          <w:sz w:val="16"/>
        </w:rPr>
      </w:pPr>
      <w:bookmarkStart w:id="933" w:name="_bookmark852"/>
      <w:bookmarkEnd w:id="933"/>
      <w:r>
        <w:rPr>
          <w:position w:val="6"/>
          <w:sz w:val="10"/>
        </w:rPr>
        <w:t>170</w:t>
      </w:r>
      <w:r>
        <w:rPr>
          <w:position w:val="6"/>
          <w:sz w:val="10"/>
        </w:rPr>
        <w:tab/>
      </w:r>
      <w:r>
        <w:rPr>
          <w:i/>
          <w:sz w:val="16"/>
        </w:rPr>
        <w:t>Cfr. Caso Empleados de la Fábrica de Fuegos en Santo Antônio de Jesus y sus familiares Vs. Brasil, supra</w:t>
      </w:r>
      <w:r>
        <w:rPr>
          <w:sz w:val="16"/>
        </w:rPr>
        <w:t>, párrs. 200 y</w:t>
      </w:r>
      <w:r>
        <w:rPr>
          <w:spacing w:val="-4"/>
          <w:sz w:val="16"/>
        </w:rPr>
        <w:t xml:space="preserve"> </w:t>
      </w:r>
      <w:r>
        <w:rPr>
          <w:sz w:val="16"/>
        </w:rPr>
        <w:t>202.</w:t>
      </w:r>
    </w:p>
    <w:p w14:paraId="203F7D42" w14:textId="77777777" w:rsidR="00467FCA" w:rsidRDefault="001B68EB">
      <w:pPr>
        <w:tabs>
          <w:tab w:val="left" w:pos="1166"/>
        </w:tabs>
        <w:ind w:left="458" w:right="409"/>
        <w:rPr>
          <w:sz w:val="16"/>
        </w:rPr>
      </w:pPr>
      <w:bookmarkStart w:id="934" w:name="_bookmark853"/>
      <w:bookmarkEnd w:id="934"/>
      <w:r>
        <w:rPr>
          <w:position w:val="6"/>
          <w:sz w:val="10"/>
        </w:rPr>
        <w:t>171</w:t>
      </w:r>
      <w:r>
        <w:rPr>
          <w:position w:val="6"/>
          <w:sz w:val="10"/>
        </w:rPr>
        <w:tab/>
      </w:r>
      <w:r>
        <w:rPr>
          <w:sz w:val="16"/>
        </w:rPr>
        <w:t xml:space="preserve">Cuestión que queda recogida en las reparaciones. </w:t>
      </w:r>
      <w:r>
        <w:rPr>
          <w:i/>
          <w:sz w:val="16"/>
        </w:rPr>
        <w:t>Cfr. Caso Empleados de la Fábrica de Fuegos en Santo Antônio de Jesus y sus fam</w:t>
      </w:r>
      <w:r>
        <w:rPr>
          <w:i/>
          <w:sz w:val="16"/>
        </w:rPr>
        <w:t>iliares Vs. Brasil, supra</w:t>
      </w:r>
      <w:r>
        <w:rPr>
          <w:sz w:val="16"/>
        </w:rPr>
        <w:t>, párrs. 289 y</w:t>
      </w:r>
      <w:r>
        <w:rPr>
          <w:spacing w:val="-15"/>
          <w:sz w:val="16"/>
        </w:rPr>
        <w:t xml:space="preserve"> </w:t>
      </w:r>
      <w:r>
        <w:rPr>
          <w:sz w:val="16"/>
        </w:rPr>
        <w:t>290.</w:t>
      </w:r>
    </w:p>
    <w:p w14:paraId="3EB50B18" w14:textId="77777777" w:rsidR="00467FCA" w:rsidRDefault="00467FCA">
      <w:pPr>
        <w:rPr>
          <w:sz w:val="16"/>
        </w:rPr>
        <w:sectPr w:rsidR="00467FCA">
          <w:pgSz w:w="12240" w:h="15840"/>
          <w:pgMar w:top="1340" w:right="1140" w:bottom="920" w:left="960" w:header="0" w:footer="734" w:gutter="0"/>
          <w:cols w:space="720"/>
        </w:sectPr>
      </w:pPr>
    </w:p>
    <w:p w14:paraId="42776173" w14:textId="77777777" w:rsidR="00467FCA" w:rsidRDefault="001B68EB">
      <w:pPr>
        <w:pStyle w:val="Prrafodelista"/>
        <w:numPr>
          <w:ilvl w:val="0"/>
          <w:numId w:val="4"/>
        </w:numPr>
        <w:tabs>
          <w:tab w:val="left" w:pos="1167"/>
        </w:tabs>
        <w:spacing w:before="79"/>
        <w:ind w:right="274" w:firstLine="0"/>
        <w:jc w:val="both"/>
        <w:rPr>
          <w:sz w:val="20"/>
        </w:rPr>
      </w:pPr>
      <w:r>
        <w:rPr>
          <w:sz w:val="20"/>
        </w:rPr>
        <w:t>Además, la sentencia abona a las obligaciones que tienen los Estados frente al actuar de los particulares en los contextos laborales, en el caso una empresa privada que maneja y almacena materiales</w:t>
      </w:r>
      <w:r>
        <w:rPr>
          <w:sz w:val="20"/>
        </w:rPr>
        <w:t xml:space="preserve"> peligrosos. Particularmente, ha sido el primer escenario en el que se pueden interpretar las disposiciones de la Convención Americana (arts. 1.1 y 2) desde los desarrollos</w:t>
      </w:r>
      <w:r>
        <w:rPr>
          <w:spacing w:val="-19"/>
          <w:sz w:val="20"/>
        </w:rPr>
        <w:t xml:space="preserve"> </w:t>
      </w:r>
      <w:r>
        <w:rPr>
          <w:sz w:val="20"/>
        </w:rPr>
        <w:t>que</w:t>
      </w:r>
      <w:r>
        <w:rPr>
          <w:spacing w:val="-19"/>
          <w:sz w:val="20"/>
        </w:rPr>
        <w:t xml:space="preserve"> </w:t>
      </w:r>
      <w:r>
        <w:rPr>
          <w:sz w:val="20"/>
        </w:rPr>
        <w:t>se</w:t>
      </w:r>
      <w:r>
        <w:rPr>
          <w:spacing w:val="-22"/>
          <w:sz w:val="20"/>
        </w:rPr>
        <w:t xml:space="preserve"> </w:t>
      </w:r>
      <w:r>
        <w:rPr>
          <w:sz w:val="20"/>
        </w:rPr>
        <w:t>han</w:t>
      </w:r>
      <w:r>
        <w:rPr>
          <w:spacing w:val="-19"/>
          <w:sz w:val="20"/>
        </w:rPr>
        <w:t xml:space="preserve"> </w:t>
      </w:r>
      <w:r>
        <w:rPr>
          <w:sz w:val="20"/>
        </w:rPr>
        <w:t>hecho</w:t>
      </w:r>
      <w:r>
        <w:rPr>
          <w:spacing w:val="-20"/>
          <w:sz w:val="20"/>
        </w:rPr>
        <w:t xml:space="preserve"> </w:t>
      </w:r>
      <w:r>
        <w:rPr>
          <w:sz w:val="20"/>
        </w:rPr>
        <w:t>en</w:t>
      </w:r>
      <w:r>
        <w:rPr>
          <w:spacing w:val="-16"/>
          <w:sz w:val="20"/>
        </w:rPr>
        <w:t xml:space="preserve"> </w:t>
      </w:r>
      <w:r>
        <w:rPr>
          <w:sz w:val="20"/>
        </w:rPr>
        <w:t>el</w:t>
      </w:r>
      <w:r>
        <w:rPr>
          <w:spacing w:val="-18"/>
          <w:sz w:val="20"/>
        </w:rPr>
        <w:t xml:space="preserve"> </w:t>
      </w:r>
      <w:r>
        <w:rPr>
          <w:sz w:val="20"/>
        </w:rPr>
        <w:t>marco</w:t>
      </w:r>
      <w:r>
        <w:rPr>
          <w:spacing w:val="-19"/>
          <w:sz w:val="20"/>
        </w:rPr>
        <w:t xml:space="preserve"> </w:t>
      </w:r>
      <w:r>
        <w:rPr>
          <w:sz w:val="20"/>
        </w:rPr>
        <w:t>de</w:t>
      </w:r>
      <w:r>
        <w:rPr>
          <w:spacing w:val="-19"/>
          <w:sz w:val="20"/>
        </w:rPr>
        <w:t xml:space="preserve"> </w:t>
      </w:r>
      <w:r>
        <w:rPr>
          <w:sz w:val="20"/>
        </w:rPr>
        <w:t>las</w:t>
      </w:r>
      <w:r>
        <w:rPr>
          <w:spacing w:val="-19"/>
          <w:sz w:val="20"/>
        </w:rPr>
        <w:t xml:space="preserve"> </w:t>
      </w:r>
      <w:r>
        <w:rPr>
          <w:sz w:val="20"/>
        </w:rPr>
        <w:t>empresas</w:t>
      </w:r>
      <w:r>
        <w:rPr>
          <w:spacing w:val="-21"/>
          <w:sz w:val="20"/>
        </w:rPr>
        <w:t xml:space="preserve"> </w:t>
      </w:r>
      <w:r>
        <w:rPr>
          <w:sz w:val="20"/>
        </w:rPr>
        <w:t>y</w:t>
      </w:r>
      <w:r>
        <w:rPr>
          <w:spacing w:val="-19"/>
          <w:sz w:val="20"/>
        </w:rPr>
        <w:t xml:space="preserve"> </w:t>
      </w:r>
      <w:r>
        <w:rPr>
          <w:sz w:val="20"/>
        </w:rPr>
        <w:t>los</w:t>
      </w:r>
      <w:r>
        <w:rPr>
          <w:spacing w:val="-21"/>
          <w:sz w:val="20"/>
        </w:rPr>
        <w:t xml:space="preserve"> </w:t>
      </w:r>
      <w:r>
        <w:rPr>
          <w:sz w:val="20"/>
        </w:rPr>
        <w:t>derechos</w:t>
      </w:r>
      <w:r>
        <w:rPr>
          <w:spacing w:val="-19"/>
          <w:sz w:val="20"/>
        </w:rPr>
        <w:t xml:space="preserve"> </w:t>
      </w:r>
      <w:r>
        <w:rPr>
          <w:sz w:val="20"/>
        </w:rPr>
        <w:t>humanos,</w:t>
      </w:r>
      <w:r>
        <w:rPr>
          <w:spacing w:val="-18"/>
          <w:sz w:val="20"/>
        </w:rPr>
        <w:t xml:space="preserve"> </w:t>
      </w:r>
      <w:r>
        <w:rPr>
          <w:sz w:val="20"/>
        </w:rPr>
        <w:t>en</w:t>
      </w:r>
      <w:r>
        <w:rPr>
          <w:spacing w:val="-17"/>
          <w:sz w:val="20"/>
        </w:rPr>
        <w:t xml:space="preserve"> </w:t>
      </w:r>
      <w:r>
        <w:rPr>
          <w:sz w:val="20"/>
        </w:rPr>
        <w:t>especial ba</w:t>
      </w:r>
      <w:r>
        <w:rPr>
          <w:sz w:val="20"/>
        </w:rPr>
        <w:t>jo la obligación de “protección” que encuentra coincidencia en lo que jurisprudencialmente ha sido interpretado dentro de la obligación de garantía y el deber de</w:t>
      </w:r>
      <w:r>
        <w:rPr>
          <w:spacing w:val="-19"/>
          <w:sz w:val="20"/>
        </w:rPr>
        <w:t xml:space="preserve"> </w:t>
      </w:r>
      <w:r>
        <w:rPr>
          <w:sz w:val="20"/>
        </w:rPr>
        <w:t>prevención.</w:t>
      </w:r>
    </w:p>
    <w:p w14:paraId="78E2486C" w14:textId="77777777" w:rsidR="00467FCA" w:rsidRDefault="00467FCA">
      <w:pPr>
        <w:pStyle w:val="Textoindependiente"/>
        <w:spacing w:before="11"/>
        <w:rPr>
          <w:sz w:val="19"/>
        </w:rPr>
      </w:pPr>
    </w:p>
    <w:p w14:paraId="1C015AA9" w14:textId="77777777" w:rsidR="00467FCA" w:rsidRDefault="001B68EB">
      <w:pPr>
        <w:pStyle w:val="Prrafodelista"/>
        <w:numPr>
          <w:ilvl w:val="0"/>
          <w:numId w:val="4"/>
        </w:numPr>
        <w:tabs>
          <w:tab w:val="left" w:pos="1167"/>
        </w:tabs>
        <w:ind w:right="272" w:firstLine="0"/>
        <w:jc w:val="both"/>
        <w:rPr>
          <w:sz w:val="20"/>
        </w:rPr>
      </w:pPr>
      <w:r>
        <w:rPr>
          <w:sz w:val="20"/>
        </w:rPr>
        <w:t>También la sentencia destaca la existencia de sometimiento de grupos de personas,</w:t>
      </w:r>
      <w:r>
        <w:rPr>
          <w:sz w:val="20"/>
        </w:rPr>
        <w:t xml:space="preserve"> que, dadas sus condiciones sociales, económicas y personales, se ven orilladas a aceptar trabajos que no cumplen con el contenido mínimo de las normas internas e internacionales (de ahí la importancia de la </w:t>
      </w:r>
      <w:r>
        <w:rPr>
          <w:i/>
          <w:sz w:val="20"/>
        </w:rPr>
        <w:t xml:space="preserve">fiscalización o inspección </w:t>
      </w:r>
      <w:r>
        <w:rPr>
          <w:sz w:val="20"/>
        </w:rPr>
        <w:t>como medio de prevenc</w:t>
      </w:r>
      <w:r>
        <w:rPr>
          <w:sz w:val="20"/>
        </w:rPr>
        <w:t>ión de violaciones). En muchos de los casos, existe un vínculo entre la aceptación de trabajos peligrosos y la situación económica de las</w:t>
      </w:r>
      <w:r>
        <w:rPr>
          <w:spacing w:val="-7"/>
          <w:sz w:val="20"/>
        </w:rPr>
        <w:t xml:space="preserve"> </w:t>
      </w:r>
      <w:r>
        <w:rPr>
          <w:sz w:val="20"/>
        </w:rPr>
        <w:t>víctimas.</w:t>
      </w:r>
    </w:p>
    <w:p w14:paraId="7AFFCFF2" w14:textId="77777777" w:rsidR="00467FCA" w:rsidRDefault="00467FCA">
      <w:pPr>
        <w:pStyle w:val="Textoindependiente"/>
        <w:spacing w:before="1"/>
      </w:pPr>
    </w:p>
    <w:p w14:paraId="42D96CDA" w14:textId="77777777" w:rsidR="00467FCA" w:rsidRDefault="001B68EB">
      <w:pPr>
        <w:pStyle w:val="Prrafodelista"/>
        <w:numPr>
          <w:ilvl w:val="0"/>
          <w:numId w:val="4"/>
        </w:numPr>
        <w:tabs>
          <w:tab w:val="left" w:pos="1167"/>
        </w:tabs>
        <w:ind w:left="457" w:right="275" w:firstLine="0"/>
        <w:jc w:val="both"/>
        <w:rPr>
          <w:sz w:val="20"/>
        </w:rPr>
      </w:pPr>
      <w:r>
        <w:rPr>
          <w:sz w:val="20"/>
        </w:rPr>
        <w:t>En este marco, tanto la regulación —que como se ha mencionado suele existir— y la fiscalización (o inspecci</w:t>
      </w:r>
      <w:r>
        <w:rPr>
          <w:sz w:val="20"/>
        </w:rPr>
        <w:t>ón), como medio de materialización para vigilar el cumplimiento de la norma,</w:t>
      </w:r>
      <w:r>
        <w:rPr>
          <w:spacing w:val="-10"/>
          <w:sz w:val="20"/>
        </w:rPr>
        <w:t xml:space="preserve"> </w:t>
      </w:r>
      <w:r>
        <w:rPr>
          <w:sz w:val="20"/>
        </w:rPr>
        <w:t>cobran</w:t>
      </w:r>
      <w:r>
        <w:rPr>
          <w:spacing w:val="-10"/>
          <w:sz w:val="20"/>
        </w:rPr>
        <w:t xml:space="preserve"> </w:t>
      </w:r>
      <w:r>
        <w:rPr>
          <w:sz w:val="20"/>
        </w:rPr>
        <w:t>especial</w:t>
      </w:r>
      <w:r>
        <w:rPr>
          <w:spacing w:val="-8"/>
          <w:sz w:val="20"/>
        </w:rPr>
        <w:t xml:space="preserve"> </w:t>
      </w:r>
      <w:r>
        <w:rPr>
          <w:sz w:val="20"/>
        </w:rPr>
        <w:t>relevancia</w:t>
      </w:r>
      <w:r>
        <w:rPr>
          <w:spacing w:val="-9"/>
          <w:sz w:val="20"/>
        </w:rPr>
        <w:t xml:space="preserve"> </w:t>
      </w:r>
      <w:r>
        <w:rPr>
          <w:sz w:val="20"/>
        </w:rPr>
        <w:t>en</w:t>
      </w:r>
      <w:r>
        <w:rPr>
          <w:spacing w:val="-10"/>
          <w:sz w:val="20"/>
        </w:rPr>
        <w:t xml:space="preserve"> </w:t>
      </w:r>
      <w:r>
        <w:rPr>
          <w:sz w:val="20"/>
        </w:rPr>
        <w:t>los</w:t>
      </w:r>
      <w:r>
        <w:rPr>
          <w:spacing w:val="-12"/>
          <w:sz w:val="20"/>
        </w:rPr>
        <w:t xml:space="preserve"> </w:t>
      </w:r>
      <w:r>
        <w:rPr>
          <w:sz w:val="20"/>
        </w:rPr>
        <w:t>contextos</w:t>
      </w:r>
      <w:r>
        <w:rPr>
          <w:spacing w:val="-10"/>
          <w:sz w:val="20"/>
        </w:rPr>
        <w:t xml:space="preserve"> </w:t>
      </w:r>
      <w:r>
        <w:rPr>
          <w:sz w:val="20"/>
        </w:rPr>
        <w:t>en</w:t>
      </w:r>
      <w:r>
        <w:rPr>
          <w:spacing w:val="-10"/>
          <w:sz w:val="20"/>
        </w:rPr>
        <w:t xml:space="preserve"> </w:t>
      </w:r>
      <w:r>
        <w:rPr>
          <w:sz w:val="20"/>
        </w:rPr>
        <w:t>donde</w:t>
      </w:r>
      <w:r>
        <w:rPr>
          <w:spacing w:val="-12"/>
          <w:sz w:val="20"/>
        </w:rPr>
        <w:t xml:space="preserve"> </w:t>
      </w:r>
      <w:r>
        <w:rPr>
          <w:sz w:val="20"/>
        </w:rPr>
        <w:t>no</w:t>
      </w:r>
      <w:r>
        <w:rPr>
          <w:spacing w:val="-12"/>
          <w:sz w:val="20"/>
        </w:rPr>
        <w:t xml:space="preserve"> </w:t>
      </w:r>
      <w:r>
        <w:rPr>
          <w:sz w:val="20"/>
        </w:rPr>
        <w:t>solo</w:t>
      </w:r>
      <w:r>
        <w:rPr>
          <w:spacing w:val="-10"/>
          <w:sz w:val="20"/>
        </w:rPr>
        <w:t xml:space="preserve"> </w:t>
      </w:r>
      <w:r>
        <w:rPr>
          <w:sz w:val="20"/>
        </w:rPr>
        <w:t>se</w:t>
      </w:r>
      <w:r>
        <w:rPr>
          <w:spacing w:val="-10"/>
          <w:sz w:val="20"/>
        </w:rPr>
        <w:t xml:space="preserve"> </w:t>
      </w:r>
      <w:r>
        <w:rPr>
          <w:sz w:val="20"/>
        </w:rPr>
        <w:t>almacenan</w:t>
      </w:r>
      <w:r>
        <w:rPr>
          <w:spacing w:val="-10"/>
          <w:sz w:val="20"/>
        </w:rPr>
        <w:t xml:space="preserve"> </w:t>
      </w:r>
      <w:r>
        <w:rPr>
          <w:sz w:val="20"/>
        </w:rPr>
        <w:t xml:space="preserve">sustancias o materiales peligrosos, sino en donde trabajan personas. Ahora bien, la fiscalización o inspección se posiciona como requisito </w:t>
      </w:r>
      <w:r>
        <w:rPr>
          <w:i/>
          <w:sz w:val="20"/>
        </w:rPr>
        <w:t xml:space="preserve">sine qua non </w:t>
      </w:r>
      <w:r>
        <w:rPr>
          <w:sz w:val="20"/>
        </w:rPr>
        <w:t>del derecho a las condiciones de trabajo seguras, salubres y equitativas, pues de lo contrario no se har</w:t>
      </w:r>
      <w:r>
        <w:rPr>
          <w:sz w:val="20"/>
        </w:rPr>
        <w:t>ía efectivo el contenido de ese derecho, y particularmente cuando se trata de actos de particulares en donde la propia legislación</w:t>
      </w:r>
      <w:r>
        <w:rPr>
          <w:spacing w:val="-5"/>
          <w:sz w:val="20"/>
        </w:rPr>
        <w:t xml:space="preserve"> </w:t>
      </w:r>
      <w:r>
        <w:rPr>
          <w:sz w:val="20"/>
        </w:rPr>
        <w:t>ordena</w:t>
      </w:r>
      <w:r>
        <w:rPr>
          <w:spacing w:val="-9"/>
          <w:sz w:val="20"/>
        </w:rPr>
        <w:t xml:space="preserve"> </w:t>
      </w:r>
      <w:r>
        <w:rPr>
          <w:sz w:val="20"/>
        </w:rPr>
        <w:t>una</w:t>
      </w:r>
      <w:r>
        <w:rPr>
          <w:spacing w:val="-7"/>
          <w:sz w:val="20"/>
        </w:rPr>
        <w:t xml:space="preserve"> </w:t>
      </w:r>
      <w:r>
        <w:rPr>
          <w:sz w:val="20"/>
        </w:rPr>
        <w:t>estricta</w:t>
      </w:r>
      <w:r>
        <w:rPr>
          <w:spacing w:val="-6"/>
          <w:sz w:val="20"/>
        </w:rPr>
        <w:t xml:space="preserve"> </w:t>
      </w:r>
      <w:r>
        <w:rPr>
          <w:sz w:val="20"/>
        </w:rPr>
        <w:t>vigilancia.</w:t>
      </w:r>
      <w:r>
        <w:rPr>
          <w:spacing w:val="-6"/>
          <w:sz w:val="20"/>
        </w:rPr>
        <w:t xml:space="preserve"> </w:t>
      </w:r>
      <w:r>
        <w:rPr>
          <w:sz w:val="20"/>
        </w:rPr>
        <w:t>La</w:t>
      </w:r>
      <w:r>
        <w:rPr>
          <w:spacing w:val="-5"/>
          <w:sz w:val="20"/>
        </w:rPr>
        <w:t xml:space="preserve"> </w:t>
      </w:r>
      <w:r>
        <w:rPr>
          <w:sz w:val="20"/>
        </w:rPr>
        <w:t>falta</w:t>
      </w:r>
      <w:r>
        <w:rPr>
          <w:spacing w:val="-9"/>
          <w:sz w:val="20"/>
        </w:rPr>
        <w:t xml:space="preserve"> </w:t>
      </w:r>
      <w:r>
        <w:rPr>
          <w:sz w:val="20"/>
        </w:rPr>
        <w:t>adecuada</w:t>
      </w:r>
      <w:r>
        <w:rPr>
          <w:spacing w:val="-9"/>
          <w:sz w:val="20"/>
        </w:rPr>
        <w:t xml:space="preserve"> </w:t>
      </w:r>
      <w:r>
        <w:rPr>
          <w:sz w:val="20"/>
        </w:rPr>
        <w:t>del</w:t>
      </w:r>
      <w:r>
        <w:rPr>
          <w:spacing w:val="-6"/>
          <w:sz w:val="20"/>
        </w:rPr>
        <w:t xml:space="preserve"> </w:t>
      </w:r>
      <w:r>
        <w:rPr>
          <w:sz w:val="20"/>
        </w:rPr>
        <w:t>cumplimiento</w:t>
      </w:r>
      <w:r>
        <w:rPr>
          <w:spacing w:val="-9"/>
          <w:sz w:val="20"/>
        </w:rPr>
        <w:t xml:space="preserve"> </w:t>
      </w:r>
      <w:r>
        <w:rPr>
          <w:sz w:val="20"/>
        </w:rPr>
        <w:t>de</w:t>
      </w:r>
      <w:r>
        <w:rPr>
          <w:spacing w:val="-8"/>
          <w:sz w:val="20"/>
        </w:rPr>
        <w:t xml:space="preserve"> </w:t>
      </w:r>
      <w:r>
        <w:rPr>
          <w:sz w:val="20"/>
        </w:rPr>
        <w:t>la</w:t>
      </w:r>
      <w:r>
        <w:rPr>
          <w:spacing w:val="-6"/>
          <w:sz w:val="20"/>
        </w:rPr>
        <w:t xml:space="preserve"> </w:t>
      </w:r>
      <w:r>
        <w:rPr>
          <w:sz w:val="20"/>
        </w:rPr>
        <w:t>regulación y de la fiscalización, no previene la vio</w:t>
      </w:r>
      <w:r>
        <w:rPr>
          <w:sz w:val="20"/>
        </w:rPr>
        <w:t>lación de derechos humanos, tal como sucedió en este caso, en donde 60 personas perdieron la vida y 6 resultaron con afectaciones físicas y emocionales</w:t>
      </w:r>
      <w:r>
        <w:rPr>
          <w:spacing w:val="-3"/>
          <w:sz w:val="20"/>
        </w:rPr>
        <w:t xml:space="preserve"> </w:t>
      </w:r>
      <w:r>
        <w:rPr>
          <w:sz w:val="20"/>
        </w:rPr>
        <w:t>graves.</w:t>
      </w:r>
    </w:p>
    <w:p w14:paraId="2A31BD70" w14:textId="77777777" w:rsidR="00467FCA" w:rsidRDefault="00467FCA">
      <w:pPr>
        <w:pStyle w:val="Textoindependiente"/>
        <w:spacing w:before="11"/>
        <w:rPr>
          <w:sz w:val="19"/>
        </w:rPr>
      </w:pPr>
    </w:p>
    <w:p w14:paraId="513D4E26" w14:textId="77777777" w:rsidR="00467FCA" w:rsidRDefault="001B68EB">
      <w:pPr>
        <w:pStyle w:val="Prrafodelista"/>
        <w:numPr>
          <w:ilvl w:val="0"/>
          <w:numId w:val="4"/>
        </w:numPr>
        <w:tabs>
          <w:tab w:val="left" w:pos="1166"/>
        </w:tabs>
        <w:ind w:left="457" w:right="276" w:firstLine="0"/>
        <w:jc w:val="both"/>
        <w:rPr>
          <w:sz w:val="20"/>
        </w:rPr>
      </w:pPr>
      <w:r>
        <w:rPr>
          <w:sz w:val="20"/>
        </w:rPr>
        <w:t>Todo lo anterior se enmarca en la reflexión de qué fue lo que ocasionó que estas personas víctimas de los hechos no tuvieran la opción de otras fuentes de empleo. Así, en el abordaje de la discriminación en el presente caso, ayuda a entender que las víctim</w:t>
      </w:r>
      <w:r>
        <w:rPr>
          <w:sz w:val="20"/>
        </w:rPr>
        <w:t>as tenían diversos factores que las hacían exponencialmente vulnerables. A lo anterior debemos</w:t>
      </w:r>
      <w:r>
        <w:rPr>
          <w:spacing w:val="-42"/>
          <w:sz w:val="20"/>
        </w:rPr>
        <w:t xml:space="preserve"> </w:t>
      </w:r>
      <w:r>
        <w:rPr>
          <w:sz w:val="20"/>
        </w:rPr>
        <w:t>sumar que,</w:t>
      </w:r>
      <w:r>
        <w:rPr>
          <w:spacing w:val="-5"/>
          <w:sz w:val="20"/>
        </w:rPr>
        <w:t xml:space="preserve"> </w:t>
      </w:r>
      <w:r>
        <w:rPr>
          <w:sz w:val="20"/>
        </w:rPr>
        <w:t>si</w:t>
      </w:r>
      <w:r>
        <w:rPr>
          <w:spacing w:val="-4"/>
          <w:sz w:val="20"/>
        </w:rPr>
        <w:t xml:space="preserve"> </w:t>
      </w:r>
      <w:r>
        <w:rPr>
          <w:sz w:val="20"/>
        </w:rPr>
        <w:t>bien</w:t>
      </w:r>
      <w:r>
        <w:rPr>
          <w:spacing w:val="-1"/>
          <w:sz w:val="20"/>
        </w:rPr>
        <w:t xml:space="preserve"> </w:t>
      </w:r>
      <w:r>
        <w:rPr>
          <w:sz w:val="20"/>
        </w:rPr>
        <w:t>existían</w:t>
      </w:r>
      <w:r>
        <w:rPr>
          <w:spacing w:val="-2"/>
          <w:sz w:val="20"/>
        </w:rPr>
        <w:t xml:space="preserve"> </w:t>
      </w:r>
      <w:r>
        <w:rPr>
          <w:sz w:val="20"/>
        </w:rPr>
        <w:t>normas</w:t>
      </w:r>
      <w:r>
        <w:rPr>
          <w:spacing w:val="-5"/>
          <w:sz w:val="20"/>
        </w:rPr>
        <w:t xml:space="preserve"> </w:t>
      </w:r>
      <w:r>
        <w:rPr>
          <w:sz w:val="20"/>
        </w:rPr>
        <w:t>que</w:t>
      </w:r>
      <w:r>
        <w:rPr>
          <w:spacing w:val="-5"/>
          <w:sz w:val="20"/>
        </w:rPr>
        <w:t xml:space="preserve"> </w:t>
      </w:r>
      <w:r>
        <w:rPr>
          <w:sz w:val="20"/>
        </w:rPr>
        <w:t>regulaban</w:t>
      </w:r>
      <w:r>
        <w:rPr>
          <w:spacing w:val="-3"/>
          <w:sz w:val="20"/>
        </w:rPr>
        <w:t xml:space="preserve"> </w:t>
      </w:r>
      <w:r>
        <w:rPr>
          <w:sz w:val="20"/>
        </w:rPr>
        <w:t>las</w:t>
      </w:r>
      <w:r>
        <w:rPr>
          <w:spacing w:val="-4"/>
          <w:sz w:val="20"/>
        </w:rPr>
        <w:t xml:space="preserve"> </w:t>
      </w:r>
      <w:r>
        <w:rPr>
          <w:sz w:val="20"/>
        </w:rPr>
        <w:t>actividades</w:t>
      </w:r>
      <w:r>
        <w:rPr>
          <w:spacing w:val="-5"/>
          <w:sz w:val="20"/>
        </w:rPr>
        <w:t xml:space="preserve"> </w:t>
      </w:r>
      <w:r>
        <w:rPr>
          <w:sz w:val="20"/>
        </w:rPr>
        <w:t>peligrosas,</w:t>
      </w:r>
      <w:r>
        <w:rPr>
          <w:spacing w:val="-5"/>
          <w:sz w:val="20"/>
        </w:rPr>
        <w:t xml:space="preserve"> </w:t>
      </w:r>
      <w:r>
        <w:rPr>
          <w:sz w:val="20"/>
        </w:rPr>
        <w:t>la</w:t>
      </w:r>
      <w:r>
        <w:rPr>
          <w:spacing w:val="-3"/>
          <w:sz w:val="20"/>
        </w:rPr>
        <w:t xml:space="preserve"> </w:t>
      </w:r>
      <w:r>
        <w:rPr>
          <w:sz w:val="20"/>
        </w:rPr>
        <w:t>no</w:t>
      </w:r>
      <w:r>
        <w:rPr>
          <w:spacing w:val="-5"/>
          <w:sz w:val="20"/>
        </w:rPr>
        <w:t xml:space="preserve"> </w:t>
      </w:r>
      <w:r>
        <w:rPr>
          <w:sz w:val="20"/>
        </w:rPr>
        <w:t>concreción</w:t>
      </w:r>
      <w:r>
        <w:rPr>
          <w:spacing w:val="-3"/>
          <w:sz w:val="20"/>
        </w:rPr>
        <w:t xml:space="preserve"> </w:t>
      </w:r>
      <w:r>
        <w:rPr>
          <w:sz w:val="20"/>
        </w:rPr>
        <w:t>de</w:t>
      </w:r>
      <w:r>
        <w:rPr>
          <w:spacing w:val="-4"/>
          <w:sz w:val="20"/>
        </w:rPr>
        <w:t xml:space="preserve"> </w:t>
      </w:r>
      <w:r>
        <w:rPr>
          <w:sz w:val="20"/>
        </w:rPr>
        <w:t>las medidas de fiscalización, en la realidad tornaban ineficaces esas normas. Así, a pesar de que conforme a las disposiciones nacionales el Estado estaba obligado a fiscalizar, en los hechos del</w:t>
      </w:r>
      <w:r>
        <w:rPr>
          <w:spacing w:val="-11"/>
          <w:sz w:val="20"/>
        </w:rPr>
        <w:t xml:space="preserve"> </w:t>
      </w:r>
      <w:r>
        <w:rPr>
          <w:sz w:val="20"/>
        </w:rPr>
        <w:t>caso,</w:t>
      </w:r>
      <w:r>
        <w:rPr>
          <w:spacing w:val="-8"/>
          <w:sz w:val="20"/>
        </w:rPr>
        <w:t xml:space="preserve"> </w:t>
      </w:r>
      <w:r>
        <w:rPr>
          <w:sz w:val="20"/>
        </w:rPr>
        <w:t>en</w:t>
      </w:r>
      <w:r>
        <w:rPr>
          <w:spacing w:val="-10"/>
          <w:sz w:val="20"/>
        </w:rPr>
        <w:t xml:space="preserve"> </w:t>
      </w:r>
      <w:r>
        <w:rPr>
          <w:sz w:val="20"/>
        </w:rPr>
        <w:t>un</w:t>
      </w:r>
      <w:r>
        <w:rPr>
          <w:spacing w:val="-9"/>
          <w:sz w:val="20"/>
        </w:rPr>
        <w:t xml:space="preserve"> </w:t>
      </w:r>
      <w:r>
        <w:rPr>
          <w:sz w:val="20"/>
        </w:rPr>
        <w:t>área</w:t>
      </w:r>
      <w:r>
        <w:rPr>
          <w:spacing w:val="-10"/>
          <w:sz w:val="20"/>
        </w:rPr>
        <w:t xml:space="preserve"> </w:t>
      </w:r>
      <w:r>
        <w:rPr>
          <w:sz w:val="20"/>
        </w:rPr>
        <w:t>geográfica</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10"/>
          <w:sz w:val="20"/>
        </w:rPr>
        <w:t xml:space="preserve"> </w:t>
      </w:r>
      <w:r>
        <w:rPr>
          <w:sz w:val="20"/>
        </w:rPr>
        <w:t>existían</w:t>
      </w:r>
      <w:r>
        <w:rPr>
          <w:spacing w:val="-9"/>
          <w:sz w:val="20"/>
        </w:rPr>
        <w:t xml:space="preserve"> </w:t>
      </w:r>
      <w:r>
        <w:rPr>
          <w:sz w:val="20"/>
        </w:rPr>
        <w:t>altos</w:t>
      </w:r>
      <w:r>
        <w:rPr>
          <w:spacing w:val="-11"/>
          <w:sz w:val="20"/>
        </w:rPr>
        <w:t xml:space="preserve"> </w:t>
      </w:r>
      <w:r>
        <w:rPr>
          <w:sz w:val="20"/>
        </w:rPr>
        <w:t>índices</w:t>
      </w:r>
      <w:r>
        <w:rPr>
          <w:spacing w:val="-12"/>
          <w:sz w:val="20"/>
        </w:rPr>
        <w:t xml:space="preserve"> </w:t>
      </w:r>
      <w:r>
        <w:rPr>
          <w:sz w:val="20"/>
        </w:rPr>
        <w:t>de</w:t>
      </w:r>
      <w:r>
        <w:rPr>
          <w:spacing w:val="-11"/>
          <w:sz w:val="20"/>
        </w:rPr>
        <w:t xml:space="preserve"> </w:t>
      </w:r>
      <w:r>
        <w:rPr>
          <w:sz w:val="20"/>
        </w:rPr>
        <w:t>pobreza</w:t>
      </w:r>
      <w:r>
        <w:rPr>
          <w:spacing w:val="-10"/>
          <w:sz w:val="20"/>
        </w:rPr>
        <w:t xml:space="preserve"> </w:t>
      </w:r>
      <w:r>
        <w:rPr>
          <w:sz w:val="20"/>
        </w:rPr>
        <w:t>y</w:t>
      </w:r>
      <w:r>
        <w:rPr>
          <w:spacing w:val="-11"/>
          <w:sz w:val="20"/>
        </w:rPr>
        <w:t xml:space="preserve"> </w:t>
      </w:r>
      <w:r>
        <w:rPr>
          <w:sz w:val="20"/>
        </w:rPr>
        <w:t>en</w:t>
      </w:r>
      <w:r>
        <w:rPr>
          <w:spacing w:val="-10"/>
          <w:sz w:val="20"/>
        </w:rPr>
        <w:t xml:space="preserve"> </w:t>
      </w:r>
      <w:r>
        <w:rPr>
          <w:sz w:val="20"/>
        </w:rPr>
        <w:t>el</w:t>
      </w:r>
      <w:r>
        <w:rPr>
          <w:spacing w:val="-10"/>
          <w:sz w:val="20"/>
        </w:rPr>
        <w:t xml:space="preserve"> </w:t>
      </w:r>
      <w:r>
        <w:rPr>
          <w:sz w:val="20"/>
        </w:rPr>
        <w:t>que</w:t>
      </w:r>
      <w:r>
        <w:rPr>
          <w:spacing w:val="-9"/>
          <w:sz w:val="20"/>
        </w:rPr>
        <w:t xml:space="preserve"> </w:t>
      </w:r>
      <w:r>
        <w:rPr>
          <w:sz w:val="20"/>
        </w:rPr>
        <w:t>se</w:t>
      </w:r>
      <w:r>
        <w:rPr>
          <w:spacing w:val="-12"/>
          <w:sz w:val="20"/>
        </w:rPr>
        <w:t xml:space="preserve"> </w:t>
      </w:r>
      <w:r>
        <w:rPr>
          <w:sz w:val="20"/>
        </w:rPr>
        <w:t>tenía conocimiento</w:t>
      </w:r>
      <w:r>
        <w:rPr>
          <w:spacing w:val="-16"/>
          <w:sz w:val="20"/>
        </w:rPr>
        <w:t xml:space="preserve"> </w:t>
      </w:r>
      <w:r>
        <w:rPr>
          <w:sz w:val="20"/>
        </w:rPr>
        <w:t>de</w:t>
      </w:r>
      <w:r>
        <w:rPr>
          <w:spacing w:val="-16"/>
          <w:sz w:val="20"/>
        </w:rPr>
        <w:t xml:space="preserve"> </w:t>
      </w:r>
      <w:r>
        <w:rPr>
          <w:sz w:val="20"/>
        </w:rPr>
        <w:t>los</w:t>
      </w:r>
      <w:r>
        <w:rPr>
          <w:spacing w:val="-16"/>
          <w:sz w:val="20"/>
        </w:rPr>
        <w:t xml:space="preserve"> </w:t>
      </w:r>
      <w:r>
        <w:rPr>
          <w:sz w:val="20"/>
        </w:rPr>
        <w:t>trabajos</w:t>
      </w:r>
      <w:r>
        <w:rPr>
          <w:spacing w:val="-18"/>
          <w:sz w:val="20"/>
        </w:rPr>
        <w:t xml:space="preserve"> </w:t>
      </w:r>
      <w:r>
        <w:rPr>
          <w:sz w:val="20"/>
        </w:rPr>
        <w:t>peligrosos</w:t>
      </w:r>
      <w:r>
        <w:rPr>
          <w:spacing w:val="-18"/>
          <w:sz w:val="20"/>
        </w:rPr>
        <w:t xml:space="preserve"> </w:t>
      </w:r>
      <w:r>
        <w:rPr>
          <w:sz w:val="20"/>
        </w:rPr>
        <w:t>que</w:t>
      </w:r>
      <w:r>
        <w:rPr>
          <w:spacing w:val="-19"/>
          <w:sz w:val="20"/>
        </w:rPr>
        <w:t xml:space="preserve"> </w:t>
      </w:r>
      <w:r>
        <w:rPr>
          <w:sz w:val="20"/>
        </w:rPr>
        <w:t>se</w:t>
      </w:r>
      <w:r>
        <w:rPr>
          <w:spacing w:val="-16"/>
          <w:sz w:val="20"/>
        </w:rPr>
        <w:t xml:space="preserve"> </w:t>
      </w:r>
      <w:r>
        <w:rPr>
          <w:sz w:val="20"/>
        </w:rPr>
        <w:t>realizaban</w:t>
      </w:r>
      <w:r>
        <w:rPr>
          <w:spacing w:val="-16"/>
          <w:sz w:val="20"/>
        </w:rPr>
        <w:t xml:space="preserve"> </w:t>
      </w:r>
      <w:r>
        <w:rPr>
          <w:sz w:val="20"/>
        </w:rPr>
        <w:t>allí,</w:t>
      </w:r>
      <w:r>
        <w:rPr>
          <w:spacing w:val="-17"/>
          <w:sz w:val="20"/>
        </w:rPr>
        <w:t xml:space="preserve"> </w:t>
      </w:r>
      <w:r>
        <w:rPr>
          <w:sz w:val="20"/>
        </w:rPr>
        <w:t>dicha</w:t>
      </w:r>
      <w:r>
        <w:rPr>
          <w:spacing w:val="-17"/>
          <w:sz w:val="20"/>
        </w:rPr>
        <w:t xml:space="preserve"> </w:t>
      </w:r>
      <w:r>
        <w:rPr>
          <w:sz w:val="20"/>
        </w:rPr>
        <w:t>fiscalización</w:t>
      </w:r>
      <w:r>
        <w:rPr>
          <w:spacing w:val="-16"/>
          <w:sz w:val="20"/>
        </w:rPr>
        <w:t xml:space="preserve"> </w:t>
      </w:r>
      <w:r>
        <w:rPr>
          <w:sz w:val="20"/>
        </w:rPr>
        <w:t>no</w:t>
      </w:r>
      <w:r>
        <w:rPr>
          <w:spacing w:val="-18"/>
          <w:sz w:val="20"/>
        </w:rPr>
        <w:t xml:space="preserve"> </w:t>
      </w:r>
      <w:r>
        <w:rPr>
          <w:sz w:val="20"/>
        </w:rPr>
        <w:t>tuvo</w:t>
      </w:r>
      <w:r>
        <w:rPr>
          <w:spacing w:val="-19"/>
          <w:sz w:val="20"/>
        </w:rPr>
        <w:t xml:space="preserve"> </w:t>
      </w:r>
      <w:r>
        <w:rPr>
          <w:sz w:val="20"/>
        </w:rPr>
        <w:t>lugar.</w:t>
      </w:r>
    </w:p>
    <w:p w14:paraId="37EBE730" w14:textId="77777777" w:rsidR="00467FCA" w:rsidRDefault="00467FCA">
      <w:pPr>
        <w:pStyle w:val="Textoindependiente"/>
      </w:pPr>
    </w:p>
    <w:p w14:paraId="7010FF0A" w14:textId="77777777" w:rsidR="00467FCA" w:rsidRDefault="001B68EB">
      <w:pPr>
        <w:pStyle w:val="Prrafodelista"/>
        <w:numPr>
          <w:ilvl w:val="0"/>
          <w:numId w:val="4"/>
        </w:numPr>
        <w:tabs>
          <w:tab w:val="left" w:pos="1167"/>
        </w:tabs>
        <w:ind w:right="275" w:firstLine="0"/>
        <w:jc w:val="both"/>
        <w:rPr>
          <w:sz w:val="20"/>
        </w:rPr>
      </w:pPr>
      <w:r>
        <w:rPr>
          <w:sz w:val="20"/>
        </w:rPr>
        <w:t>Por otro lado, tampoco se adoptaron medidas al momento de los hechos que permitieran</w:t>
      </w:r>
      <w:r>
        <w:rPr>
          <w:spacing w:val="-7"/>
          <w:sz w:val="20"/>
        </w:rPr>
        <w:t xml:space="preserve"> </w:t>
      </w:r>
      <w:r>
        <w:rPr>
          <w:sz w:val="20"/>
        </w:rPr>
        <w:t>que</w:t>
      </w:r>
      <w:r>
        <w:rPr>
          <w:spacing w:val="-9"/>
          <w:sz w:val="20"/>
        </w:rPr>
        <w:t xml:space="preserve"> </w:t>
      </w:r>
      <w:r>
        <w:rPr>
          <w:sz w:val="20"/>
        </w:rPr>
        <w:t>las</w:t>
      </w:r>
      <w:r>
        <w:rPr>
          <w:spacing w:val="-9"/>
          <w:sz w:val="20"/>
        </w:rPr>
        <w:t xml:space="preserve"> </w:t>
      </w:r>
      <w:r>
        <w:rPr>
          <w:sz w:val="20"/>
        </w:rPr>
        <w:t>víctimas</w:t>
      </w:r>
      <w:r>
        <w:rPr>
          <w:spacing w:val="-9"/>
          <w:sz w:val="20"/>
        </w:rPr>
        <w:t xml:space="preserve"> </w:t>
      </w:r>
      <w:r>
        <w:rPr>
          <w:sz w:val="20"/>
        </w:rPr>
        <w:t>tuvieran</w:t>
      </w:r>
      <w:r>
        <w:rPr>
          <w:spacing w:val="-7"/>
          <w:sz w:val="20"/>
        </w:rPr>
        <w:t xml:space="preserve"> </w:t>
      </w:r>
      <w:r>
        <w:rPr>
          <w:sz w:val="20"/>
        </w:rPr>
        <w:t>otras</w:t>
      </w:r>
      <w:r>
        <w:rPr>
          <w:spacing w:val="-6"/>
          <w:sz w:val="20"/>
        </w:rPr>
        <w:t xml:space="preserve"> </w:t>
      </w:r>
      <w:r>
        <w:rPr>
          <w:sz w:val="20"/>
        </w:rPr>
        <w:t>opciones</w:t>
      </w:r>
      <w:r>
        <w:rPr>
          <w:spacing w:val="-6"/>
          <w:sz w:val="20"/>
        </w:rPr>
        <w:t xml:space="preserve"> </w:t>
      </w:r>
      <w:r>
        <w:rPr>
          <w:sz w:val="20"/>
        </w:rPr>
        <w:t>de</w:t>
      </w:r>
      <w:r>
        <w:rPr>
          <w:spacing w:val="-7"/>
          <w:sz w:val="20"/>
        </w:rPr>
        <w:t xml:space="preserve"> </w:t>
      </w:r>
      <w:r>
        <w:rPr>
          <w:sz w:val="20"/>
        </w:rPr>
        <w:t>empleo.</w:t>
      </w:r>
      <w:r>
        <w:rPr>
          <w:spacing w:val="-9"/>
          <w:sz w:val="20"/>
        </w:rPr>
        <w:t xml:space="preserve"> </w:t>
      </w:r>
      <w:r>
        <w:rPr>
          <w:sz w:val="20"/>
        </w:rPr>
        <w:t>Es</w:t>
      </w:r>
      <w:r>
        <w:rPr>
          <w:spacing w:val="-9"/>
          <w:sz w:val="20"/>
        </w:rPr>
        <w:t xml:space="preserve"> </w:t>
      </w:r>
      <w:r>
        <w:rPr>
          <w:sz w:val="20"/>
        </w:rPr>
        <w:t>decir,</w:t>
      </w:r>
      <w:r>
        <w:rPr>
          <w:spacing w:val="-8"/>
          <w:sz w:val="20"/>
        </w:rPr>
        <w:t xml:space="preserve"> </w:t>
      </w:r>
      <w:r>
        <w:rPr>
          <w:sz w:val="20"/>
        </w:rPr>
        <w:t>no</w:t>
      </w:r>
      <w:r>
        <w:rPr>
          <w:spacing w:val="-6"/>
          <w:sz w:val="20"/>
        </w:rPr>
        <w:t xml:space="preserve"> </w:t>
      </w:r>
      <w:r>
        <w:rPr>
          <w:sz w:val="20"/>
        </w:rPr>
        <w:t>se</w:t>
      </w:r>
      <w:r>
        <w:rPr>
          <w:spacing w:val="-9"/>
          <w:sz w:val="20"/>
        </w:rPr>
        <w:t xml:space="preserve"> </w:t>
      </w:r>
      <w:r>
        <w:rPr>
          <w:sz w:val="20"/>
        </w:rPr>
        <w:t>demostró</w:t>
      </w:r>
      <w:r>
        <w:rPr>
          <w:spacing w:val="-6"/>
          <w:sz w:val="20"/>
        </w:rPr>
        <w:t xml:space="preserve"> </w:t>
      </w:r>
      <w:r>
        <w:rPr>
          <w:sz w:val="20"/>
        </w:rPr>
        <w:t>que existieran leyes, normas, políticas o prácticas que estuvieran orientadas a tener en consi</w:t>
      </w:r>
      <w:r>
        <w:rPr>
          <w:sz w:val="20"/>
        </w:rPr>
        <w:t>deración la situación de pobreza de las personas que vivían en el Municipio para</w:t>
      </w:r>
      <w:r>
        <w:rPr>
          <w:spacing w:val="-36"/>
          <w:sz w:val="20"/>
        </w:rPr>
        <w:t xml:space="preserve"> </w:t>
      </w:r>
      <w:r>
        <w:rPr>
          <w:sz w:val="20"/>
        </w:rPr>
        <w:t>revertir efectivamente la situación de desigualdad a la</w:t>
      </w:r>
      <w:r>
        <w:rPr>
          <w:strike/>
          <w:sz w:val="20"/>
        </w:rPr>
        <w:t>s</w:t>
      </w:r>
      <w:r>
        <w:rPr>
          <w:sz w:val="20"/>
        </w:rPr>
        <w:t xml:space="preserve"> que estaban sometidas las</w:t>
      </w:r>
      <w:r>
        <w:rPr>
          <w:spacing w:val="-21"/>
          <w:sz w:val="20"/>
        </w:rPr>
        <w:t xml:space="preserve"> </w:t>
      </w:r>
      <w:r>
        <w:rPr>
          <w:sz w:val="20"/>
        </w:rPr>
        <w:t>víctimas.</w:t>
      </w:r>
    </w:p>
    <w:p w14:paraId="57152455" w14:textId="77777777" w:rsidR="00467FCA" w:rsidRDefault="00467FCA">
      <w:pPr>
        <w:pStyle w:val="Textoindependiente"/>
        <w:spacing w:before="11"/>
        <w:rPr>
          <w:sz w:val="11"/>
        </w:rPr>
      </w:pPr>
    </w:p>
    <w:p w14:paraId="611FBAE7" w14:textId="77777777" w:rsidR="00467FCA" w:rsidRDefault="001B68EB">
      <w:pPr>
        <w:pStyle w:val="Prrafodelista"/>
        <w:numPr>
          <w:ilvl w:val="0"/>
          <w:numId w:val="4"/>
        </w:numPr>
        <w:tabs>
          <w:tab w:val="left" w:pos="1167"/>
        </w:tabs>
        <w:spacing w:before="99"/>
        <w:ind w:right="275" w:hanging="1"/>
        <w:jc w:val="both"/>
        <w:rPr>
          <w:sz w:val="20"/>
        </w:rPr>
      </w:pPr>
      <w:r>
        <w:rPr>
          <w:sz w:val="20"/>
        </w:rPr>
        <w:t>En estas consideraciones, el entendimiento conjunto del principio de igualdad y n</w:t>
      </w:r>
      <w:r>
        <w:rPr>
          <w:sz w:val="20"/>
        </w:rPr>
        <w:t>o discriminación,</w:t>
      </w:r>
      <w:r>
        <w:rPr>
          <w:spacing w:val="-5"/>
          <w:sz w:val="20"/>
        </w:rPr>
        <w:t xml:space="preserve"> </w:t>
      </w:r>
      <w:r>
        <w:rPr>
          <w:sz w:val="20"/>
        </w:rPr>
        <w:t>en</w:t>
      </w:r>
      <w:r>
        <w:rPr>
          <w:spacing w:val="-4"/>
          <w:sz w:val="20"/>
        </w:rPr>
        <w:t xml:space="preserve"> </w:t>
      </w:r>
      <w:r>
        <w:rPr>
          <w:sz w:val="20"/>
        </w:rPr>
        <w:t>especial</w:t>
      </w:r>
      <w:r>
        <w:rPr>
          <w:spacing w:val="-6"/>
          <w:sz w:val="20"/>
        </w:rPr>
        <w:t xml:space="preserve"> </w:t>
      </w:r>
      <w:r>
        <w:rPr>
          <w:sz w:val="20"/>
        </w:rPr>
        <w:t>desde</w:t>
      </w:r>
      <w:r>
        <w:rPr>
          <w:spacing w:val="-4"/>
          <w:sz w:val="20"/>
        </w:rPr>
        <w:t xml:space="preserve"> </w:t>
      </w:r>
      <w:r>
        <w:rPr>
          <w:sz w:val="20"/>
        </w:rPr>
        <w:t>el</w:t>
      </w:r>
      <w:r>
        <w:rPr>
          <w:spacing w:val="-5"/>
          <w:sz w:val="20"/>
        </w:rPr>
        <w:t xml:space="preserve"> </w:t>
      </w:r>
      <w:r>
        <w:rPr>
          <w:sz w:val="20"/>
        </w:rPr>
        <w:t>artículo</w:t>
      </w:r>
      <w:r>
        <w:rPr>
          <w:spacing w:val="-5"/>
          <w:sz w:val="20"/>
        </w:rPr>
        <w:t xml:space="preserve"> </w:t>
      </w:r>
      <w:r>
        <w:rPr>
          <w:sz w:val="20"/>
        </w:rPr>
        <w:t>24</w:t>
      </w:r>
      <w:r>
        <w:rPr>
          <w:spacing w:val="-3"/>
          <w:sz w:val="20"/>
        </w:rPr>
        <w:t xml:space="preserve"> </w:t>
      </w:r>
      <w:r>
        <w:rPr>
          <w:sz w:val="20"/>
        </w:rPr>
        <w:t>de</w:t>
      </w:r>
      <w:r>
        <w:rPr>
          <w:spacing w:val="-7"/>
          <w:sz w:val="20"/>
        </w:rPr>
        <w:t xml:space="preserve"> </w:t>
      </w:r>
      <w:r>
        <w:rPr>
          <w:sz w:val="20"/>
        </w:rPr>
        <w:t>la</w:t>
      </w:r>
      <w:r>
        <w:rPr>
          <w:spacing w:val="-6"/>
          <w:sz w:val="20"/>
        </w:rPr>
        <w:t xml:space="preserve"> </w:t>
      </w:r>
      <w:r>
        <w:rPr>
          <w:sz w:val="20"/>
        </w:rPr>
        <w:t>Convención</w:t>
      </w:r>
      <w:r>
        <w:rPr>
          <w:spacing w:val="-4"/>
          <w:sz w:val="20"/>
        </w:rPr>
        <w:t xml:space="preserve"> </w:t>
      </w:r>
      <w:r>
        <w:rPr>
          <w:sz w:val="20"/>
        </w:rPr>
        <w:t>Americana,</w:t>
      </w:r>
      <w:r>
        <w:rPr>
          <w:spacing w:val="-6"/>
          <w:sz w:val="20"/>
        </w:rPr>
        <w:t xml:space="preserve"> </w:t>
      </w:r>
      <w:r>
        <w:rPr>
          <w:sz w:val="20"/>
        </w:rPr>
        <w:t>con</w:t>
      </w:r>
      <w:r>
        <w:rPr>
          <w:spacing w:val="-5"/>
          <w:sz w:val="20"/>
        </w:rPr>
        <w:t xml:space="preserve"> </w:t>
      </w:r>
      <w:r>
        <w:rPr>
          <w:sz w:val="20"/>
        </w:rPr>
        <w:t>un</w:t>
      </w:r>
      <w:r>
        <w:rPr>
          <w:spacing w:val="-4"/>
          <w:sz w:val="20"/>
        </w:rPr>
        <w:t xml:space="preserve"> </w:t>
      </w:r>
      <w:r>
        <w:rPr>
          <w:sz w:val="20"/>
        </w:rPr>
        <w:t xml:space="preserve">mandato de </w:t>
      </w:r>
      <w:r>
        <w:rPr>
          <w:i/>
          <w:sz w:val="20"/>
        </w:rPr>
        <w:t>igualdad material</w:t>
      </w:r>
      <w:r>
        <w:rPr>
          <w:sz w:val="20"/>
        </w:rPr>
        <w:t xml:space="preserve">, abona en gran medida a redimensionar los alcances que tiene la </w:t>
      </w:r>
      <w:r>
        <w:rPr>
          <w:i/>
          <w:sz w:val="20"/>
        </w:rPr>
        <w:t xml:space="preserve">discriminación estructural </w:t>
      </w:r>
      <w:r>
        <w:rPr>
          <w:sz w:val="20"/>
        </w:rPr>
        <w:t xml:space="preserve">(agravada cuando confluyen otros factores). La noción de </w:t>
      </w:r>
      <w:r>
        <w:rPr>
          <w:i/>
          <w:sz w:val="20"/>
        </w:rPr>
        <w:t>igualdad sustantiva</w:t>
      </w:r>
      <w:r>
        <w:rPr>
          <w:i/>
          <w:spacing w:val="49"/>
          <w:sz w:val="20"/>
        </w:rPr>
        <w:t xml:space="preserve"> </w:t>
      </w:r>
      <w:r>
        <w:rPr>
          <w:sz w:val="20"/>
        </w:rPr>
        <w:t>es</w:t>
      </w:r>
      <w:r>
        <w:rPr>
          <w:spacing w:val="48"/>
          <w:sz w:val="20"/>
        </w:rPr>
        <w:t xml:space="preserve"> </w:t>
      </w:r>
      <w:r>
        <w:rPr>
          <w:sz w:val="20"/>
        </w:rPr>
        <w:t>acorde</w:t>
      </w:r>
      <w:r>
        <w:rPr>
          <w:spacing w:val="50"/>
          <w:sz w:val="20"/>
        </w:rPr>
        <w:t xml:space="preserve"> </w:t>
      </w:r>
      <w:r>
        <w:rPr>
          <w:sz w:val="20"/>
        </w:rPr>
        <w:t>al</w:t>
      </w:r>
      <w:r>
        <w:rPr>
          <w:spacing w:val="49"/>
          <w:sz w:val="20"/>
        </w:rPr>
        <w:t xml:space="preserve"> </w:t>
      </w:r>
      <w:r>
        <w:rPr>
          <w:sz w:val="20"/>
        </w:rPr>
        <w:t>paulatino</w:t>
      </w:r>
      <w:r>
        <w:rPr>
          <w:spacing w:val="48"/>
          <w:sz w:val="20"/>
        </w:rPr>
        <w:t xml:space="preserve"> </w:t>
      </w:r>
      <w:r>
        <w:rPr>
          <w:sz w:val="20"/>
        </w:rPr>
        <w:t>desarrollo</w:t>
      </w:r>
      <w:r>
        <w:rPr>
          <w:spacing w:val="50"/>
          <w:sz w:val="20"/>
        </w:rPr>
        <w:t xml:space="preserve"> </w:t>
      </w:r>
      <w:r>
        <w:rPr>
          <w:sz w:val="20"/>
        </w:rPr>
        <w:t>del</w:t>
      </w:r>
      <w:r>
        <w:rPr>
          <w:spacing w:val="49"/>
          <w:sz w:val="20"/>
        </w:rPr>
        <w:t xml:space="preserve"> </w:t>
      </w:r>
      <w:r>
        <w:rPr>
          <w:sz w:val="20"/>
        </w:rPr>
        <w:t>derecho</w:t>
      </w:r>
      <w:r>
        <w:rPr>
          <w:spacing w:val="47"/>
          <w:sz w:val="20"/>
        </w:rPr>
        <w:t xml:space="preserve"> </w:t>
      </w:r>
      <w:r>
        <w:rPr>
          <w:sz w:val="20"/>
        </w:rPr>
        <w:t>internacional,</w:t>
      </w:r>
      <w:r>
        <w:rPr>
          <w:spacing w:val="48"/>
          <w:sz w:val="20"/>
        </w:rPr>
        <w:t xml:space="preserve"> </w:t>
      </w:r>
      <w:r>
        <w:rPr>
          <w:sz w:val="20"/>
        </w:rPr>
        <w:t>pero</w:t>
      </w:r>
      <w:r>
        <w:rPr>
          <w:spacing w:val="48"/>
          <w:sz w:val="20"/>
        </w:rPr>
        <w:t xml:space="preserve"> </w:t>
      </w:r>
      <w:r>
        <w:rPr>
          <w:sz w:val="20"/>
        </w:rPr>
        <w:t>también</w:t>
      </w:r>
      <w:r>
        <w:rPr>
          <w:spacing w:val="49"/>
          <w:sz w:val="20"/>
        </w:rPr>
        <w:t xml:space="preserve"> </w:t>
      </w:r>
      <w:r>
        <w:rPr>
          <w:sz w:val="20"/>
        </w:rPr>
        <w:t>del</w:t>
      </w:r>
    </w:p>
    <w:p w14:paraId="19520A95" w14:textId="77777777" w:rsidR="00467FCA" w:rsidRDefault="00467FCA">
      <w:pPr>
        <w:jc w:val="both"/>
        <w:rPr>
          <w:sz w:val="20"/>
        </w:rPr>
        <w:sectPr w:rsidR="00467FCA">
          <w:pgSz w:w="12240" w:h="15840"/>
          <w:pgMar w:top="1340" w:right="1140" w:bottom="920" w:left="960" w:header="0" w:footer="734" w:gutter="0"/>
          <w:cols w:space="720"/>
        </w:sectPr>
      </w:pPr>
    </w:p>
    <w:p w14:paraId="7B6CC7B9" w14:textId="77777777" w:rsidR="00467FCA" w:rsidRDefault="001B68EB">
      <w:pPr>
        <w:pStyle w:val="Textoindependiente"/>
        <w:spacing w:before="79"/>
        <w:ind w:left="458" w:hanging="1"/>
      </w:pPr>
      <w:r>
        <w:t>derecho constitucional de la región, sea por consagrarse en las constituciones</w:t>
      </w:r>
      <w:hyperlink w:anchor="_bookmark854" w:history="1">
        <w:r>
          <w:rPr>
            <w:position w:val="7"/>
            <w:sz w:val="13"/>
          </w:rPr>
          <w:t>172</w:t>
        </w:r>
      </w:hyperlink>
      <w:r>
        <w:rPr>
          <w:position w:val="7"/>
          <w:sz w:val="13"/>
        </w:rPr>
        <w:t xml:space="preserve"> </w:t>
      </w:r>
      <w:r>
        <w:t>o por la vía jurisprudencial</w:t>
      </w:r>
      <w:hyperlink w:anchor="_bookmark855" w:history="1">
        <w:r>
          <w:rPr>
            <w:position w:val="7"/>
            <w:sz w:val="13"/>
          </w:rPr>
          <w:t>173</w:t>
        </w:r>
      </w:hyperlink>
      <w:r>
        <w:t>.</w:t>
      </w:r>
    </w:p>
    <w:p w14:paraId="1736FCFF" w14:textId="77777777" w:rsidR="00467FCA" w:rsidRDefault="00467FCA">
      <w:pPr>
        <w:pStyle w:val="Textoindependiente"/>
      </w:pPr>
    </w:p>
    <w:p w14:paraId="33946E9F" w14:textId="77777777" w:rsidR="00467FCA" w:rsidRDefault="001B68EB">
      <w:pPr>
        <w:pStyle w:val="Prrafodelista"/>
        <w:numPr>
          <w:ilvl w:val="0"/>
          <w:numId w:val="4"/>
        </w:numPr>
        <w:tabs>
          <w:tab w:val="left" w:pos="1167"/>
        </w:tabs>
        <w:ind w:left="457" w:right="276" w:firstLine="0"/>
        <w:jc w:val="both"/>
        <w:rPr>
          <w:sz w:val="20"/>
        </w:rPr>
      </w:pPr>
      <w:r>
        <w:rPr>
          <w:sz w:val="20"/>
        </w:rPr>
        <w:t>Este escenario resulta especialmente importante ante la ineficacia de las normas atinentes a garantizar los derechos o en donde se detecta que las acciones adoptad</w:t>
      </w:r>
      <w:r>
        <w:rPr>
          <w:sz w:val="20"/>
        </w:rPr>
        <w:t xml:space="preserve">as o la falta de adopción de las mismas han “excluido” o “marginado” a grupos específicos de la población. Lo anterior no implica que, en la interpretación de la Convención Americana, deba eliminarse la noción de </w:t>
      </w:r>
      <w:r>
        <w:rPr>
          <w:i/>
          <w:sz w:val="20"/>
        </w:rPr>
        <w:t xml:space="preserve">igualdad formal </w:t>
      </w:r>
      <w:r>
        <w:rPr>
          <w:sz w:val="20"/>
        </w:rPr>
        <w:t xml:space="preserve">o deba primar la </w:t>
      </w:r>
      <w:r>
        <w:rPr>
          <w:i/>
          <w:sz w:val="20"/>
        </w:rPr>
        <w:t>igualdad m</w:t>
      </w:r>
      <w:r>
        <w:rPr>
          <w:i/>
          <w:sz w:val="20"/>
        </w:rPr>
        <w:t>aterial</w:t>
      </w:r>
      <w:r>
        <w:rPr>
          <w:sz w:val="20"/>
        </w:rPr>
        <w:t>. Debe tenerse presente que las dos concepciones e interpretaciones coexisten, complementándose en los aspectos en que una de ellas resulte</w:t>
      </w:r>
      <w:r>
        <w:rPr>
          <w:spacing w:val="-5"/>
          <w:sz w:val="20"/>
        </w:rPr>
        <w:t xml:space="preserve"> </w:t>
      </w:r>
      <w:r>
        <w:rPr>
          <w:sz w:val="20"/>
        </w:rPr>
        <w:t>insuficiente.</w:t>
      </w:r>
    </w:p>
    <w:p w14:paraId="60649523" w14:textId="77777777" w:rsidR="00467FCA" w:rsidRDefault="00467FCA">
      <w:pPr>
        <w:pStyle w:val="Textoindependiente"/>
      </w:pPr>
    </w:p>
    <w:p w14:paraId="0DBA5595" w14:textId="77777777" w:rsidR="00467FCA" w:rsidRDefault="001B68EB">
      <w:pPr>
        <w:pStyle w:val="Prrafodelista"/>
        <w:numPr>
          <w:ilvl w:val="0"/>
          <w:numId w:val="4"/>
        </w:numPr>
        <w:tabs>
          <w:tab w:val="left" w:pos="1214"/>
        </w:tabs>
        <w:ind w:left="457" w:right="276" w:firstLine="0"/>
        <w:jc w:val="both"/>
        <w:rPr>
          <w:sz w:val="13"/>
        </w:rPr>
      </w:pPr>
      <w:r>
        <w:rPr>
          <w:sz w:val="20"/>
        </w:rPr>
        <w:t xml:space="preserve">La igualdad y la no discriminación son dos de los principios y derechos más fundamentales del </w:t>
      </w:r>
      <w:r>
        <w:rPr>
          <w:sz w:val="20"/>
        </w:rPr>
        <w:t>derecho internacional de los derechos humanos, constituyendo componentes esenciales en una democracia constitucional. Por ello deben tener una comprensión de sus alcances de manera conjunta en contextos de clara situación de desventaja, desigualdad y exclu</w:t>
      </w:r>
      <w:r>
        <w:rPr>
          <w:sz w:val="20"/>
        </w:rPr>
        <w:t>sión. Situaciones que siempre agravan las violaciones de derechos</w:t>
      </w:r>
      <w:r>
        <w:rPr>
          <w:spacing w:val="-21"/>
          <w:sz w:val="20"/>
        </w:rPr>
        <w:t xml:space="preserve"> </w:t>
      </w:r>
      <w:r>
        <w:rPr>
          <w:sz w:val="20"/>
        </w:rPr>
        <w:t>humanos</w:t>
      </w:r>
      <w:r>
        <w:rPr>
          <w:spacing w:val="-21"/>
          <w:sz w:val="20"/>
        </w:rPr>
        <w:t xml:space="preserve"> </w:t>
      </w:r>
      <w:r>
        <w:rPr>
          <w:sz w:val="20"/>
        </w:rPr>
        <w:t>protegidos</w:t>
      </w:r>
      <w:r>
        <w:rPr>
          <w:spacing w:val="-18"/>
          <w:sz w:val="20"/>
        </w:rPr>
        <w:t xml:space="preserve"> </w:t>
      </w:r>
      <w:r>
        <w:rPr>
          <w:sz w:val="20"/>
        </w:rPr>
        <w:t>por</w:t>
      </w:r>
      <w:r>
        <w:rPr>
          <w:spacing w:val="-21"/>
          <w:sz w:val="20"/>
        </w:rPr>
        <w:t xml:space="preserve"> </w:t>
      </w:r>
      <w:r>
        <w:rPr>
          <w:sz w:val="20"/>
        </w:rPr>
        <w:t>la</w:t>
      </w:r>
      <w:r>
        <w:rPr>
          <w:spacing w:val="-16"/>
          <w:sz w:val="20"/>
        </w:rPr>
        <w:t xml:space="preserve"> </w:t>
      </w:r>
      <w:r>
        <w:rPr>
          <w:sz w:val="20"/>
        </w:rPr>
        <w:t>Convención</w:t>
      </w:r>
      <w:r>
        <w:rPr>
          <w:spacing w:val="-19"/>
          <w:sz w:val="20"/>
        </w:rPr>
        <w:t xml:space="preserve"> </w:t>
      </w:r>
      <w:r>
        <w:rPr>
          <w:sz w:val="20"/>
        </w:rPr>
        <w:t>Americana,</w:t>
      </w:r>
      <w:r>
        <w:rPr>
          <w:spacing w:val="-18"/>
          <w:sz w:val="20"/>
        </w:rPr>
        <w:t xml:space="preserve"> </w:t>
      </w:r>
      <w:r>
        <w:rPr>
          <w:sz w:val="20"/>
        </w:rPr>
        <w:t>cuyo</w:t>
      </w:r>
      <w:r>
        <w:rPr>
          <w:spacing w:val="-19"/>
          <w:sz w:val="20"/>
        </w:rPr>
        <w:t xml:space="preserve"> </w:t>
      </w:r>
      <w:r>
        <w:rPr>
          <w:sz w:val="20"/>
        </w:rPr>
        <w:t>“mandato</w:t>
      </w:r>
      <w:r>
        <w:rPr>
          <w:spacing w:val="-21"/>
          <w:sz w:val="20"/>
        </w:rPr>
        <w:t xml:space="preserve"> </w:t>
      </w:r>
      <w:r>
        <w:rPr>
          <w:sz w:val="20"/>
        </w:rPr>
        <w:t>transformador”</w:t>
      </w:r>
      <w:hyperlink w:anchor="_bookmark856" w:history="1">
        <w:r>
          <w:rPr>
            <w:position w:val="7"/>
            <w:sz w:val="13"/>
          </w:rPr>
          <w:t>174</w:t>
        </w:r>
      </w:hyperlink>
    </w:p>
    <w:p w14:paraId="4071DDE4" w14:textId="77777777" w:rsidR="00467FCA" w:rsidRDefault="001B68EB">
      <w:pPr>
        <w:pStyle w:val="Textoindependiente"/>
        <w:spacing w:before="2"/>
        <w:rPr>
          <w:sz w:val="13"/>
        </w:rPr>
      </w:pPr>
      <w:r>
        <w:pict w14:anchorId="3D57D39C">
          <v:shape id="_x0000_s1035" style="position:absolute;margin-left:70.9pt;margin-top:10.25pt;width:2in;height:.1pt;z-index:-251494400;mso-wrap-distance-left:0;mso-wrap-distance-right:0;mso-position-horizontal-relative:page" coordorigin="1418,205" coordsize="2880,0" path="m1418,205r2880,e" filled="f" strokeweight=".21131mm">
            <v:path arrowok="t"/>
            <w10:wrap type="topAndBottom" anchorx="page"/>
          </v:shape>
        </w:pict>
      </w:r>
    </w:p>
    <w:p w14:paraId="6B5A4679" w14:textId="77777777" w:rsidR="00467FCA" w:rsidRDefault="001B68EB">
      <w:pPr>
        <w:tabs>
          <w:tab w:val="left" w:pos="1166"/>
        </w:tabs>
        <w:spacing w:before="74"/>
        <w:ind w:left="458" w:right="272"/>
        <w:jc w:val="both"/>
        <w:rPr>
          <w:sz w:val="16"/>
        </w:rPr>
      </w:pPr>
      <w:bookmarkStart w:id="935" w:name="_bookmark854"/>
      <w:bookmarkEnd w:id="935"/>
      <w:r>
        <w:rPr>
          <w:position w:val="6"/>
          <w:sz w:val="10"/>
        </w:rPr>
        <w:t>172</w:t>
      </w:r>
      <w:r>
        <w:rPr>
          <w:position w:val="6"/>
          <w:sz w:val="10"/>
        </w:rPr>
        <w:tab/>
      </w:r>
      <w:r>
        <w:rPr>
          <w:sz w:val="16"/>
        </w:rPr>
        <w:t xml:space="preserve">Ejemplos claros de esta incorporación son las Leyes Fundamentales de Colombia y Ecuador. En el caso de Colombia, el artículo 13, párrafo 2, indica que “El Estado promoverá las condiciones para que </w:t>
      </w:r>
      <w:r>
        <w:rPr>
          <w:i/>
          <w:sz w:val="16"/>
        </w:rPr>
        <w:t>la igualdad sea real y efectiva y adoptará medidas en favor</w:t>
      </w:r>
      <w:r>
        <w:rPr>
          <w:i/>
          <w:sz w:val="16"/>
        </w:rPr>
        <w:t xml:space="preserve"> de grupos discriminados o marginados”</w:t>
      </w:r>
      <w:r>
        <w:rPr>
          <w:sz w:val="16"/>
        </w:rPr>
        <w:t>. La Constitución de Ecuator, artículo 66, numeral 4, prevé el “Derecho a la igualdad formal, igualdad material y no</w:t>
      </w:r>
      <w:r>
        <w:rPr>
          <w:spacing w:val="-20"/>
          <w:sz w:val="16"/>
        </w:rPr>
        <w:t xml:space="preserve"> </w:t>
      </w:r>
      <w:r>
        <w:rPr>
          <w:sz w:val="16"/>
        </w:rPr>
        <w:t>discriminación”.</w:t>
      </w:r>
    </w:p>
    <w:p w14:paraId="014E7736" w14:textId="77777777" w:rsidR="00467FCA" w:rsidRDefault="001B68EB">
      <w:pPr>
        <w:ind w:left="458" w:right="270" w:firstLine="708"/>
        <w:jc w:val="both"/>
        <w:rPr>
          <w:sz w:val="16"/>
        </w:rPr>
      </w:pPr>
      <w:r>
        <w:rPr>
          <w:sz w:val="16"/>
        </w:rPr>
        <w:t xml:space="preserve">Otras Constituciones siguen formulaciones similares: </w:t>
      </w:r>
      <w:r>
        <w:rPr>
          <w:sz w:val="16"/>
          <w:u w:val="single"/>
        </w:rPr>
        <w:t>i) Argentina</w:t>
      </w:r>
      <w:r>
        <w:rPr>
          <w:sz w:val="16"/>
        </w:rPr>
        <w:t>: en el artículo 75</w:t>
      </w:r>
      <w:r>
        <w:rPr>
          <w:sz w:val="16"/>
        </w:rPr>
        <w:t xml:space="preserve"> incisos 2 y 23 (atribuciones</w:t>
      </w:r>
      <w:r>
        <w:rPr>
          <w:spacing w:val="-13"/>
          <w:sz w:val="16"/>
        </w:rPr>
        <w:t xml:space="preserve"> </w:t>
      </w:r>
      <w:r>
        <w:rPr>
          <w:sz w:val="16"/>
        </w:rPr>
        <w:t>del</w:t>
      </w:r>
      <w:r>
        <w:rPr>
          <w:spacing w:val="-13"/>
          <w:sz w:val="16"/>
        </w:rPr>
        <w:t xml:space="preserve"> </w:t>
      </w:r>
      <w:r>
        <w:rPr>
          <w:sz w:val="16"/>
        </w:rPr>
        <w:t>Congreso)</w:t>
      </w:r>
      <w:r>
        <w:rPr>
          <w:spacing w:val="-14"/>
          <w:sz w:val="16"/>
        </w:rPr>
        <w:t xml:space="preserve"> </w:t>
      </w:r>
      <w:r>
        <w:rPr>
          <w:sz w:val="16"/>
        </w:rPr>
        <w:t>se</w:t>
      </w:r>
      <w:r>
        <w:rPr>
          <w:spacing w:val="-14"/>
          <w:sz w:val="16"/>
        </w:rPr>
        <w:t xml:space="preserve"> </w:t>
      </w:r>
      <w:r>
        <w:rPr>
          <w:sz w:val="16"/>
        </w:rPr>
        <w:t>identifican</w:t>
      </w:r>
      <w:r>
        <w:rPr>
          <w:spacing w:val="-14"/>
          <w:sz w:val="16"/>
        </w:rPr>
        <w:t xml:space="preserve"> </w:t>
      </w:r>
      <w:r>
        <w:rPr>
          <w:sz w:val="16"/>
        </w:rPr>
        <w:t>mandatos</w:t>
      </w:r>
      <w:r>
        <w:rPr>
          <w:spacing w:val="-14"/>
          <w:sz w:val="16"/>
        </w:rPr>
        <w:t xml:space="preserve"> </w:t>
      </w:r>
      <w:r>
        <w:rPr>
          <w:sz w:val="16"/>
        </w:rPr>
        <w:t>de</w:t>
      </w:r>
      <w:r>
        <w:rPr>
          <w:spacing w:val="-12"/>
          <w:sz w:val="16"/>
        </w:rPr>
        <w:t xml:space="preserve"> </w:t>
      </w:r>
      <w:r>
        <w:rPr>
          <w:sz w:val="16"/>
        </w:rPr>
        <w:t>“igualdad</w:t>
      </w:r>
      <w:r>
        <w:rPr>
          <w:spacing w:val="-12"/>
          <w:sz w:val="16"/>
        </w:rPr>
        <w:t xml:space="preserve"> </w:t>
      </w:r>
      <w:r>
        <w:rPr>
          <w:sz w:val="16"/>
        </w:rPr>
        <w:t>de</w:t>
      </w:r>
      <w:r>
        <w:rPr>
          <w:spacing w:val="-12"/>
          <w:sz w:val="16"/>
        </w:rPr>
        <w:t xml:space="preserve"> </w:t>
      </w:r>
      <w:r>
        <w:rPr>
          <w:sz w:val="16"/>
        </w:rPr>
        <w:t>oportunidades”</w:t>
      </w:r>
      <w:r>
        <w:rPr>
          <w:spacing w:val="-12"/>
          <w:sz w:val="16"/>
        </w:rPr>
        <w:t xml:space="preserve"> </w:t>
      </w:r>
      <w:r>
        <w:rPr>
          <w:sz w:val="16"/>
        </w:rPr>
        <w:t>e</w:t>
      </w:r>
      <w:r>
        <w:rPr>
          <w:spacing w:val="-14"/>
          <w:sz w:val="16"/>
        </w:rPr>
        <w:t xml:space="preserve"> </w:t>
      </w:r>
      <w:r>
        <w:rPr>
          <w:sz w:val="16"/>
        </w:rPr>
        <w:t>“igualdad</w:t>
      </w:r>
      <w:r>
        <w:rPr>
          <w:spacing w:val="-15"/>
          <w:sz w:val="16"/>
        </w:rPr>
        <w:t xml:space="preserve"> </w:t>
      </w:r>
      <w:r>
        <w:rPr>
          <w:sz w:val="16"/>
        </w:rPr>
        <w:t>real</w:t>
      </w:r>
      <w:r>
        <w:rPr>
          <w:spacing w:val="-13"/>
          <w:sz w:val="16"/>
        </w:rPr>
        <w:t xml:space="preserve"> </w:t>
      </w:r>
      <w:r>
        <w:rPr>
          <w:sz w:val="16"/>
        </w:rPr>
        <w:t>de</w:t>
      </w:r>
      <w:r>
        <w:rPr>
          <w:spacing w:val="-14"/>
          <w:sz w:val="16"/>
        </w:rPr>
        <w:t xml:space="preserve"> </w:t>
      </w:r>
      <w:r>
        <w:rPr>
          <w:sz w:val="16"/>
        </w:rPr>
        <w:t>oportunidades y</w:t>
      </w:r>
      <w:r>
        <w:rPr>
          <w:spacing w:val="-2"/>
          <w:sz w:val="16"/>
        </w:rPr>
        <w:t xml:space="preserve"> </w:t>
      </w:r>
      <w:r>
        <w:rPr>
          <w:sz w:val="16"/>
        </w:rPr>
        <w:t>de</w:t>
      </w:r>
      <w:r>
        <w:rPr>
          <w:spacing w:val="-1"/>
          <w:sz w:val="16"/>
        </w:rPr>
        <w:t xml:space="preserve"> </w:t>
      </w:r>
      <w:r>
        <w:rPr>
          <w:sz w:val="16"/>
        </w:rPr>
        <w:t>trato”;</w:t>
      </w:r>
      <w:r>
        <w:rPr>
          <w:spacing w:val="-1"/>
          <w:sz w:val="16"/>
        </w:rPr>
        <w:t xml:space="preserve"> </w:t>
      </w:r>
      <w:r>
        <w:rPr>
          <w:sz w:val="16"/>
          <w:u w:val="single"/>
        </w:rPr>
        <w:t>ii)</w:t>
      </w:r>
      <w:r>
        <w:rPr>
          <w:spacing w:val="-3"/>
          <w:sz w:val="16"/>
          <w:u w:val="single"/>
        </w:rPr>
        <w:t xml:space="preserve"> </w:t>
      </w:r>
      <w:r>
        <w:rPr>
          <w:sz w:val="16"/>
          <w:u w:val="single"/>
        </w:rPr>
        <w:t>Bolivia</w:t>
      </w:r>
      <w:r>
        <w:rPr>
          <w:sz w:val="16"/>
        </w:rPr>
        <w:t>:</w:t>
      </w:r>
      <w:r>
        <w:rPr>
          <w:spacing w:val="-4"/>
          <w:sz w:val="16"/>
        </w:rPr>
        <w:t xml:space="preserve"> </w:t>
      </w:r>
      <w:r>
        <w:rPr>
          <w:sz w:val="16"/>
        </w:rPr>
        <w:t>en el</w:t>
      </w:r>
      <w:r>
        <w:rPr>
          <w:spacing w:val="-3"/>
          <w:sz w:val="16"/>
        </w:rPr>
        <w:t xml:space="preserve"> </w:t>
      </w:r>
      <w:r>
        <w:rPr>
          <w:sz w:val="16"/>
        </w:rPr>
        <w:t>artículo</w:t>
      </w:r>
      <w:r>
        <w:rPr>
          <w:spacing w:val="-1"/>
          <w:sz w:val="16"/>
        </w:rPr>
        <w:t xml:space="preserve"> </w:t>
      </w:r>
      <w:r>
        <w:rPr>
          <w:sz w:val="16"/>
        </w:rPr>
        <w:t>8</w:t>
      </w:r>
      <w:r>
        <w:rPr>
          <w:spacing w:val="-2"/>
          <w:sz w:val="16"/>
        </w:rPr>
        <w:t xml:space="preserve"> </w:t>
      </w:r>
      <w:r>
        <w:rPr>
          <w:sz w:val="16"/>
        </w:rPr>
        <w:t>(Principios,</w:t>
      </w:r>
      <w:r>
        <w:rPr>
          <w:spacing w:val="-2"/>
          <w:sz w:val="16"/>
        </w:rPr>
        <w:t xml:space="preserve"> </w:t>
      </w:r>
      <w:r>
        <w:rPr>
          <w:sz w:val="16"/>
        </w:rPr>
        <w:t>valores</w:t>
      </w:r>
      <w:r>
        <w:rPr>
          <w:spacing w:val="-5"/>
          <w:sz w:val="16"/>
        </w:rPr>
        <w:t xml:space="preserve"> </w:t>
      </w:r>
      <w:r>
        <w:rPr>
          <w:sz w:val="16"/>
        </w:rPr>
        <w:t>y</w:t>
      </w:r>
      <w:r>
        <w:rPr>
          <w:spacing w:val="-3"/>
          <w:sz w:val="16"/>
        </w:rPr>
        <w:t xml:space="preserve"> </w:t>
      </w:r>
      <w:r>
        <w:rPr>
          <w:sz w:val="16"/>
        </w:rPr>
        <w:t>fines</w:t>
      </w:r>
      <w:r>
        <w:rPr>
          <w:spacing w:val="-2"/>
          <w:sz w:val="16"/>
        </w:rPr>
        <w:t xml:space="preserve"> </w:t>
      </w:r>
      <w:r>
        <w:rPr>
          <w:sz w:val="16"/>
        </w:rPr>
        <w:t>del</w:t>
      </w:r>
      <w:r>
        <w:rPr>
          <w:spacing w:val="-2"/>
          <w:sz w:val="16"/>
        </w:rPr>
        <w:t xml:space="preserve"> </w:t>
      </w:r>
      <w:r>
        <w:rPr>
          <w:sz w:val="16"/>
        </w:rPr>
        <w:t>Estado),</w:t>
      </w:r>
      <w:r>
        <w:rPr>
          <w:spacing w:val="-3"/>
          <w:sz w:val="16"/>
        </w:rPr>
        <w:t xml:space="preserve"> </w:t>
      </w:r>
      <w:r>
        <w:rPr>
          <w:sz w:val="16"/>
        </w:rPr>
        <w:t>fracción II,</w:t>
      </w:r>
      <w:r>
        <w:rPr>
          <w:spacing w:val="-6"/>
          <w:sz w:val="16"/>
        </w:rPr>
        <w:t xml:space="preserve"> </w:t>
      </w:r>
      <w:r>
        <w:rPr>
          <w:sz w:val="16"/>
        </w:rPr>
        <w:t>se</w:t>
      </w:r>
      <w:r>
        <w:rPr>
          <w:spacing w:val="1"/>
          <w:sz w:val="16"/>
        </w:rPr>
        <w:t xml:space="preserve"> </w:t>
      </w:r>
      <w:r>
        <w:rPr>
          <w:sz w:val="16"/>
        </w:rPr>
        <w:t>indica</w:t>
      </w:r>
      <w:r>
        <w:rPr>
          <w:spacing w:val="-6"/>
          <w:sz w:val="16"/>
        </w:rPr>
        <w:t xml:space="preserve"> </w:t>
      </w:r>
      <w:r>
        <w:rPr>
          <w:sz w:val="16"/>
        </w:rPr>
        <w:t>que</w:t>
      </w:r>
      <w:r>
        <w:rPr>
          <w:spacing w:val="-1"/>
          <w:sz w:val="16"/>
        </w:rPr>
        <w:t xml:space="preserve"> </w:t>
      </w:r>
      <w:r>
        <w:rPr>
          <w:sz w:val="16"/>
        </w:rPr>
        <w:t>“El</w:t>
      </w:r>
      <w:r>
        <w:rPr>
          <w:spacing w:val="-1"/>
          <w:sz w:val="16"/>
        </w:rPr>
        <w:t xml:space="preserve"> </w:t>
      </w:r>
      <w:r>
        <w:rPr>
          <w:sz w:val="16"/>
        </w:rPr>
        <w:t>Estado</w:t>
      </w:r>
      <w:r>
        <w:rPr>
          <w:spacing w:val="-1"/>
          <w:sz w:val="16"/>
        </w:rPr>
        <w:t xml:space="preserve"> </w:t>
      </w:r>
      <w:r>
        <w:rPr>
          <w:sz w:val="16"/>
        </w:rPr>
        <w:t xml:space="preserve">se sustenta en los valores de […] igualdad, […]igualdad de oportunidades […]”; </w:t>
      </w:r>
      <w:r>
        <w:rPr>
          <w:sz w:val="16"/>
          <w:u w:val="single"/>
        </w:rPr>
        <w:t>iii) Chile</w:t>
      </w:r>
      <w:r>
        <w:rPr>
          <w:sz w:val="16"/>
        </w:rPr>
        <w:t xml:space="preserve">, en el artículo 1, párrafo 5, </w:t>
      </w:r>
      <w:r>
        <w:rPr>
          <w:spacing w:val="-3"/>
          <w:sz w:val="16"/>
        </w:rPr>
        <w:t xml:space="preserve">se </w:t>
      </w:r>
      <w:r>
        <w:rPr>
          <w:sz w:val="16"/>
        </w:rPr>
        <w:t>puede</w:t>
      </w:r>
      <w:r>
        <w:rPr>
          <w:spacing w:val="-11"/>
          <w:sz w:val="16"/>
        </w:rPr>
        <w:t xml:space="preserve"> </w:t>
      </w:r>
      <w:r>
        <w:rPr>
          <w:sz w:val="16"/>
        </w:rPr>
        <w:t>identificar</w:t>
      </w:r>
      <w:r>
        <w:rPr>
          <w:spacing w:val="-9"/>
          <w:sz w:val="16"/>
        </w:rPr>
        <w:t xml:space="preserve"> </w:t>
      </w:r>
      <w:r>
        <w:rPr>
          <w:sz w:val="16"/>
        </w:rPr>
        <w:t>un</w:t>
      </w:r>
      <w:r>
        <w:rPr>
          <w:spacing w:val="-8"/>
          <w:sz w:val="16"/>
        </w:rPr>
        <w:t xml:space="preserve"> </w:t>
      </w:r>
      <w:r>
        <w:rPr>
          <w:sz w:val="16"/>
        </w:rPr>
        <w:t>mandato</w:t>
      </w:r>
      <w:r>
        <w:rPr>
          <w:spacing w:val="-12"/>
          <w:sz w:val="16"/>
        </w:rPr>
        <w:t xml:space="preserve"> </w:t>
      </w:r>
      <w:r>
        <w:rPr>
          <w:sz w:val="16"/>
        </w:rPr>
        <w:t>de</w:t>
      </w:r>
      <w:r>
        <w:rPr>
          <w:spacing w:val="-7"/>
          <w:sz w:val="16"/>
        </w:rPr>
        <w:t xml:space="preserve"> </w:t>
      </w:r>
      <w:r>
        <w:rPr>
          <w:sz w:val="16"/>
        </w:rPr>
        <w:t>“igualdad</w:t>
      </w:r>
      <w:r>
        <w:rPr>
          <w:spacing w:val="-9"/>
          <w:sz w:val="16"/>
        </w:rPr>
        <w:t xml:space="preserve"> </w:t>
      </w:r>
      <w:r>
        <w:rPr>
          <w:sz w:val="16"/>
        </w:rPr>
        <w:t>de</w:t>
      </w:r>
      <w:r>
        <w:rPr>
          <w:spacing w:val="-11"/>
          <w:sz w:val="16"/>
        </w:rPr>
        <w:t xml:space="preserve"> </w:t>
      </w:r>
      <w:r>
        <w:rPr>
          <w:sz w:val="16"/>
        </w:rPr>
        <w:t>oportunidades”;</w:t>
      </w:r>
      <w:r>
        <w:rPr>
          <w:spacing w:val="-9"/>
          <w:sz w:val="16"/>
        </w:rPr>
        <w:t xml:space="preserve"> </w:t>
      </w:r>
      <w:r>
        <w:rPr>
          <w:sz w:val="16"/>
          <w:u w:val="single"/>
        </w:rPr>
        <w:t>iv)</w:t>
      </w:r>
      <w:r>
        <w:rPr>
          <w:spacing w:val="-11"/>
          <w:sz w:val="16"/>
          <w:u w:val="single"/>
        </w:rPr>
        <w:t xml:space="preserve"> </w:t>
      </w:r>
      <w:r>
        <w:rPr>
          <w:sz w:val="16"/>
          <w:u w:val="single"/>
        </w:rPr>
        <w:t>México</w:t>
      </w:r>
      <w:r>
        <w:rPr>
          <w:sz w:val="16"/>
        </w:rPr>
        <w:t>:</w:t>
      </w:r>
      <w:r>
        <w:rPr>
          <w:spacing w:val="-8"/>
          <w:sz w:val="16"/>
        </w:rPr>
        <w:t xml:space="preserve"> </w:t>
      </w:r>
      <w:r>
        <w:rPr>
          <w:sz w:val="16"/>
        </w:rPr>
        <w:t>podemos</w:t>
      </w:r>
      <w:r>
        <w:rPr>
          <w:spacing w:val="-8"/>
          <w:sz w:val="16"/>
        </w:rPr>
        <w:t xml:space="preserve"> </w:t>
      </w:r>
      <w:r>
        <w:rPr>
          <w:sz w:val="16"/>
        </w:rPr>
        <w:t>encontrar</w:t>
      </w:r>
      <w:r>
        <w:rPr>
          <w:spacing w:val="-9"/>
          <w:sz w:val="16"/>
        </w:rPr>
        <w:t xml:space="preserve"> </w:t>
      </w:r>
      <w:r>
        <w:rPr>
          <w:sz w:val="16"/>
        </w:rPr>
        <w:t>mandatos</w:t>
      </w:r>
      <w:r>
        <w:rPr>
          <w:spacing w:val="-10"/>
          <w:sz w:val="16"/>
        </w:rPr>
        <w:t xml:space="preserve"> </w:t>
      </w:r>
      <w:r>
        <w:rPr>
          <w:sz w:val="16"/>
        </w:rPr>
        <w:t>de</w:t>
      </w:r>
      <w:r>
        <w:rPr>
          <w:spacing w:val="-11"/>
          <w:sz w:val="16"/>
        </w:rPr>
        <w:t xml:space="preserve"> </w:t>
      </w:r>
      <w:r>
        <w:rPr>
          <w:sz w:val="16"/>
        </w:rPr>
        <w:t>“igualdad de</w:t>
      </w:r>
      <w:r>
        <w:rPr>
          <w:spacing w:val="-5"/>
          <w:sz w:val="16"/>
        </w:rPr>
        <w:t xml:space="preserve"> </w:t>
      </w:r>
      <w:r>
        <w:rPr>
          <w:sz w:val="16"/>
        </w:rPr>
        <w:t>oportunidades”</w:t>
      </w:r>
      <w:r>
        <w:rPr>
          <w:spacing w:val="-4"/>
          <w:sz w:val="16"/>
        </w:rPr>
        <w:t xml:space="preserve"> </w:t>
      </w:r>
      <w:r>
        <w:rPr>
          <w:sz w:val="16"/>
        </w:rPr>
        <w:t>a</w:t>
      </w:r>
      <w:r>
        <w:rPr>
          <w:spacing w:val="-8"/>
          <w:sz w:val="16"/>
        </w:rPr>
        <w:t xml:space="preserve"> </w:t>
      </w:r>
      <w:r>
        <w:rPr>
          <w:sz w:val="16"/>
        </w:rPr>
        <w:t>favor</w:t>
      </w:r>
      <w:r>
        <w:rPr>
          <w:spacing w:val="-6"/>
          <w:sz w:val="16"/>
        </w:rPr>
        <w:t xml:space="preserve"> </w:t>
      </w:r>
      <w:r>
        <w:rPr>
          <w:sz w:val="16"/>
        </w:rPr>
        <w:t>de</w:t>
      </w:r>
      <w:r>
        <w:rPr>
          <w:spacing w:val="-5"/>
          <w:sz w:val="16"/>
        </w:rPr>
        <w:t xml:space="preserve"> </w:t>
      </w:r>
      <w:r>
        <w:rPr>
          <w:sz w:val="16"/>
        </w:rPr>
        <w:t>los</w:t>
      </w:r>
      <w:r>
        <w:rPr>
          <w:spacing w:val="-4"/>
          <w:sz w:val="16"/>
        </w:rPr>
        <w:t xml:space="preserve"> </w:t>
      </w:r>
      <w:r>
        <w:rPr>
          <w:sz w:val="16"/>
        </w:rPr>
        <w:t>pueblos</w:t>
      </w:r>
      <w:r>
        <w:rPr>
          <w:spacing w:val="-7"/>
          <w:sz w:val="16"/>
        </w:rPr>
        <w:t xml:space="preserve"> </w:t>
      </w:r>
      <w:r>
        <w:rPr>
          <w:sz w:val="16"/>
        </w:rPr>
        <w:t>indigenas</w:t>
      </w:r>
      <w:r>
        <w:rPr>
          <w:spacing w:val="-7"/>
          <w:sz w:val="16"/>
        </w:rPr>
        <w:t xml:space="preserve"> </w:t>
      </w:r>
      <w:r>
        <w:rPr>
          <w:sz w:val="16"/>
        </w:rPr>
        <w:t>y</w:t>
      </w:r>
      <w:r>
        <w:rPr>
          <w:spacing w:val="-4"/>
          <w:sz w:val="16"/>
        </w:rPr>
        <w:t xml:space="preserve"> </w:t>
      </w:r>
      <w:r>
        <w:rPr>
          <w:sz w:val="16"/>
        </w:rPr>
        <w:t>afromexicanos</w:t>
      </w:r>
      <w:r>
        <w:rPr>
          <w:spacing w:val="-5"/>
          <w:sz w:val="16"/>
        </w:rPr>
        <w:t xml:space="preserve"> </w:t>
      </w:r>
      <w:r>
        <w:rPr>
          <w:sz w:val="16"/>
        </w:rPr>
        <w:t>(art.</w:t>
      </w:r>
      <w:r>
        <w:rPr>
          <w:spacing w:val="-8"/>
          <w:sz w:val="16"/>
        </w:rPr>
        <w:t xml:space="preserve"> </w:t>
      </w:r>
      <w:r>
        <w:rPr>
          <w:sz w:val="16"/>
        </w:rPr>
        <w:t>2</w:t>
      </w:r>
      <w:r>
        <w:rPr>
          <w:spacing w:val="-3"/>
          <w:sz w:val="16"/>
        </w:rPr>
        <w:t xml:space="preserve"> </w:t>
      </w:r>
      <w:r>
        <w:rPr>
          <w:sz w:val="16"/>
        </w:rPr>
        <w:t>apartado</w:t>
      </w:r>
      <w:r>
        <w:rPr>
          <w:spacing w:val="-7"/>
          <w:sz w:val="16"/>
        </w:rPr>
        <w:t xml:space="preserve"> </w:t>
      </w:r>
      <w:r>
        <w:rPr>
          <w:sz w:val="16"/>
        </w:rPr>
        <w:t>B)</w:t>
      </w:r>
      <w:r>
        <w:rPr>
          <w:spacing w:val="-6"/>
          <w:sz w:val="16"/>
        </w:rPr>
        <w:t xml:space="preserve"> </w:t>
      </w:r>
      <w:r>
        <w:rPr>
          <w:sz w:val="16"/>
        </w:rPr>
        <w:t>y</w:t>
      </w:r>
      <w:r>
        <w:rPr>
          <w:spacing w:val="-7"/>
          <w:sz w:val="16"/>
        </w:rPr>
        <w:t xml:space="preserve"> </w:t>
      </w:r>
      <w:r>
        <w:rPr>
          <w:sz w:val="16"/>
        </w:rPr>
        <w:t>en</w:t>
      </w:r>
      <w:r>
        <w:rPr>
          <w:spacing w:val="-6"/>
          <w:sz w:val="16"/>
        </w:rPr>
        <w:t xml:space="preserve"> </w:t>
      </w:r>
      <w:r>
        <w:rPr>
          <w:sz w:val="16"/>
        </w:rPr>
        <w:t>cuanto</w:t>
      </w:r>
      <w:r>
        <w:rPr>
          <w:spacing w:val="-4"/>
          <w:sz w:val="16"/>
        </w:rPr>
        <w:t xml:space="preserve"> </w:t>
      </w:r>
      <w:r>
        <w:rPr>
          <w:sz w:val="16"/>
        </w:rPr>
        <w:t>a</w:t>
      </w:r>
      <w:r>
        <w:rPr>
          <w:spacing w:val="-5"/>
          <w:sz w:val="16"/>
        </w:rPr>
        <w:t xml:space="preserve"> </w:t>
      </w:r>
      <w:r>
        <w:rPr>
          <w:sz w:val="16"/>
        </w:rPr>
        <w:t>que</w:t>
      </w:r>
      <w:r>
        <w:rPr>
          <w:spacing w:val="-5"/>
          <w:sz w:val="16"/>
        </w:rPr>
        <w:t xml:space="preserve"> </w:t>
      </w:r>
      <w:r>
        <w:rPr>
          <w:sz w:val="16"/>
        </w:rPr>
        <w:t>el</w:t>
      </w:r>
      <w:r>
        <w:rPr>
          <w:spacing w:val="-8"/>
          <w:sz w:val="16"/>
        </w:rPr>
        <w:t xml:space="preserve"> </w:t>
      </w:r>
      <w:r>
        <w:rPr>
          <w:sz w:val="16"/>
        </w:rPr>
        <w:t>derecho a</w:t>
      </w:r>
      <w:r>
        <w:rPr>
          <w:spacing w:val="-10"/>
          <w:sz w:val="16"/>
        </w:rPr>
        <w:t xml:space="preserve"> </w:t>
      </w:r>
      <w:r>
        <w:rPr>
          <w:sz w:val="16"/>
        </w:rPr>
        <w:t>la</w:t>
      </w:r>
      <w:r>
        <w:rPr>
          <w:spacing w:val="-10"/>
          <w:sz w:val="16"/>
        </w:rPr>
        <w:t xml:space="preserve"> </w:t>
      </w:r>
      <w:r>
        <w:rPr>
          <w:sz w:val="16"/>
        </w:rPr>
        <w:t>educación</w:t>
      </w:r>
      <w:r>
        <w:rPr>
          <w:spacing w:val="-13"/>
          <w:sz w:val="16"/>
        </w:rPr>
        <w:t xml:space="preserve"> </w:t>
      </w:r>
      <w:r>
        <w:rPr>
          <w:sz w:val="16"/>
        </w:rPr>
        <w:t>“se</w:t>
      </w:r>
      <w:r>
        <w:rPr>
          <w:spacing w:val="-12"/>
          <w:sz w:val="16"/>
        </w:rPr>
        <w:t xml:space="preserve"> </w:t>
      </w:r>
      <w:r>
        <w:rPr>
          <w:sz w:val="16"/>
        </w:rPr>
        <w:t>basará</w:t>
      </w:r>
      <w:r>
        <w:rPr>
          <w:spacing w:val="-10"/>
          <w:sz w:val="16"/>
        </w:rPr>
        <w:t xml:space="preserve"> </w:t>
      </w:r>
      <w:r>
        <w:rPr>
          <w:sz w:val="16"/>
        </w:rPr>
        <w:t>[…]</w:t>
      </w:r>
      <w:r>
        <w:rPr>
          <w:spacing w:val="-16"/>
          <w:sz w:val="16"/>
        </w:rPr>
        <w:t xml:space="preserve"> </w:t>
      </w:r>
      <w:r>
        <w:rPr>
          <w:sz w:val="16"/>
        </w:rPr>
        <w:t>con</w:t>
      </w:r>
      <w:r>
        <w:rPr>
          <w:spacing w:val="-11"/>
          <w:sz w:val="16"/>
        </w:rPr>
        <w:t xml:space="preserve"> </w:t>
      </w:r>
      <w:r>
        <w:rPr>
          <w:sz w:val="16"/>
        </w:rPr>
        <w:t>un</w:t>
      </w:r>
      <w:r>
        <w:rPr>
          <w:spacing w:val="-11"/>
          <w:sz w:val="16"/>
        </w:rPr>
        <w:t xml:space="preserve"> </w:t>
      </w:r>
      <w:r>
        <w:rPr>
          <w:sz w:val="16"/>
        </w:rPr>
        <w:t>enfoque</w:t>
      </w:r>
      <w:r>
        <w:rPr>
          <w:spacing w:val="-12"/>
          <w:sz w:val="16"/>
        </w:rPr>
        <w:t xml:space="preserve"> </w:t>
      </w:r>
      <w:r>
        <w:rPr>
          <w:sz w:val="16"/>
        </w:rPr>
        <w:t>de</w:t>
      </w:r>
      <w:r>
        <w:rPr>
          <w:spacing w:val="-12"/>
          <w:sz w:val="16"/>
        </w:rPr>
        <w:t xml:space="preserve"> </w:t>
      </w:r>
      <w:r>
        <w:rPr>
          <w:sz w:val="16"/>
        </w:rPr>
        <w:t>derechos</w:t>
      </w:r>
      <w:r>
        <w:rPr>
          <w:spacing w:val="-12"/>
          <w:sz w:val="16"/>
        </w:rPr>
        <w:t xml:space="preserve"> </w:t>
      </w:r>
      <w:r>
        <w:rPr>
          <w:sz w:val="16"/>
        </w:rPr>
        <w:t>humanos</w:t>
      </w:r>
      <w:r>
        <w:rPr>
          <w:spacing w:val="-11"/>
          <w:sz w:val="16"/>
        </w:rPr>
        <w:t xml:space="preserve"> </w:t>
      </w:r>
      <w:r>
        <w:rPr>
          <w:i/>
          <w:sz w:val="16"/>
        </w:rPr>
        <w:t>y</w:t>
      </w:r>
      <w:r>
        <w:rPr>
          <w:i/>
          <w:spacing w:val="-11"/>
          <w:sz w:val="16"/>
        </w:rPr>
        <w:t xml:space="preserve"> </w:t>
      </w:r>
      <w:r>
        <w:rPr>
          <w:i/>
          <w:sz w:val="16"/>
        </w:rPr>
        <w:t>de</w:t>
      </w:r>
      <w:r>
        <w:rPr>
          <w:i/>
          <w:spacing w:val="-10"/>
          <w:sz w:val="16"/>
        </w:rPr>
        <w:t xml:space="preserve"> </w:t>
      </w:r>
      <w:r>
        <w:rPr>
          <w:i/>
          <w:sz w:val="16"/>
        </w:rPr>
        <w:t>igualdad</w:t>
      </w:r>
      <w:r>
        <w:rPr>
          <w:i/>
          <w:spacing w:val="-11"/>
          <w:sz w:val="16"/>
        </w:rPr>
        <w:t xml:space="preserve"> </w:t>
      </w:r>
      <w:r>
        <w:rPr>
          <w:i/>
          <w:sz w:val="16"/>
        </w:rPr>
        <w:t>sustantiva</w:t>
      </w:r>
      <w:r>
        <w:rPr>
          <w:sz w:val="16"/>
        </w:rPr>
        <w:t>”</w:t>
      </w:r>
      <w:r>
        <w:rPr>
          <w:spacing w:val="-9"/>
          <w:sz w:val="16"/>
        </w:rPr>
        <w:t xml:space="preserve"> </w:t>
      </w:r>
      <w:r>
        <w:rPr>
          <w:sz w:val="16"/>
        </w:rPr>
        <w:t>(art.</w:t>
      </w:r>
      <w:r>
        <w:rPr>
          <w:spacing w:val="-11"/>
          <w:sz w:val="16"/>
        </w:rPr>
        <w:t xml:space="preserve"> </w:t>
      </w:r>
      <w:r>
        <w:rPr>
          <w:sz w:val="16"/>
        </w:rPr>
        <w:t>3,</w:t>
      </w:r>
      <w:r>
        <w:rPr>
          <w:spacing w:val="-13"/>
          <w:sz w:val="16"/>
        </w:rPr>
        <w:t xml:space="preserve"> </w:t>
      </w:r>
      <w:r>
        <w:rPr>
          <w:sz w:val="16"/>
        </w:rPr>
        <w:t>párrafo</w:t>
      </w:r>
      <w:r>
        <w:rPr>
          <w:spacing w:val="-11"/>
          <w:sz w:val="16"/>
        </w:rPr>
        <w:t xml:space="preserve"> </w:t>
      </w:r>
      <w:r>
        <w:rPr>
          <w:sz w:val="16"/>
        </w:rPr>
        <w:t xml:space="preserve">cuarto); </w:t>
      </w:r>
      <w:r>
        <w:rPr>
          <w:sz w:val="16"/>
          <w:u w:val="single"/>
        </w:rPr>
        <w:t>v) Paraguay</w:t>
      </w:r>
      <w:r>
        <w:rPr>
          <w:sz w:val="16"/>
        </w:rPr>
        <w:t>: en el artículo 47 (De las garantías de la Igualdad) se indica “[e]l Estado garantizará a todos los habitantes</w:t>
      </w:r>
      <w:r>
        <w:rPr>
          <w:spacing w:val="-7"/>
          <w:sz w:val="16"/>
        </w:rPr>
        <w:t xml:space="preserve"> </w:t>
      </w:r>
      <w:r>
        <w:rPr>
          <w:sz w:val="16"/>
        </w:rPr>
        <w:t>de</w:t>
      </w:r>
      <w:r>
        <w:rPr>
          <w:spacing w:val="-7"/>
          <w:sz w:val="16"/>
        </w:rPr>
        <w:t xml:space="preserve"> </w:t>
      </w:r>
      <w:r>
        <w:rPr>
          <w:sz w:val="16"/>
        </w:rPr>
        <w:t>la</w:t>
      </w:r>
      <w:r>
        <w:rPr>
          <w:spacing w:val="-8"/>
          <w:sz w:val="16"/>
        </w:rPr>
        <w:t xml:space="preserve"> </w:t>
      </w:r>
      <w:r>
        <w:rPr>
          <w:sz w:val="16"/>
        </w:rPr>
        <w:t>República:</w:t>
      </w:r>
      <w:r>
        <w:rPr>
          <w:spacing w:val="-7"/>
          <w:sz w:val="16"/>
        </w:rPr>
        <w:t xml:space="preserve"> </w:t>
      </w:r>
      <w:r>
        <w:rPr>
          <w:sz w:val="16"/>
        </w:rPr>
        <w:t>[…]</w:t>
      </w:r>
      <w:r>
        <w:rPr>
          <w:spacing w:val="-8"/>
          <w:sz w:val="16"/>
        </w:rPr>
        <w:t xml:space="preserve"> </w:t>
      </w:r>
      <w:r>
        <w:rPr>
          <w:sz w:val="16"/>
        </w:rPr>
        <w:t>4)</w:t>
      </w:r>
      <w:r>
        <w:rPr>
          <w:spacing w:val="48"/>
          <w:sz w:val="16"/>
        </w:rPr>
        <w:t xml:space="preserve"> </w:t>
      </w:r>
      <w:r>
        <w:rPr>
          <w:sz w:val="16"/>
        </w:rPr>
        <w:t>la</w:t>
      </w:r>
      <w:r>
        <w:rPr>
          <w:spacing w:val="-7"/>
          <w:sz w:val="16"/>
        </w:rPr>
        <w:t xml:space="preserve"> </w:t>
      </w:r>
      <w:r>
        <w:rPr>
          <w:sz w:val="16"/>
        </w:rPr>
        <w:t>igualdad</w:t>
      </w:r>
      <w:r>
        <w:rPr>
          <w:spacing w:val="-9"/>
          <w:sz w:val="16"/>
        </w:rPr>
        <w:t xml:space="preserve"> </w:t>
      </w:r>
      <w:r>
        <w:rPr>
          <w:sz w:val="16"/>
        </w:rPr>
        <w:t>de</w:t>
      </w:r>
      <w:r>
        <w:rPr>
          <w:spacing w:val="-10"/>
          <w:sz w:val="16"/>
        </w:rPr>
        <w:t xml:space="preserve"> </w:t>
      </w:r>
      <w:r>
        <w:rPr>
          <w:sz w:val="16"/>
        </w:rPr>
        <w:t>oportunidades</w:t>
      </w:r>
      <w:r>
        <w:rPr>
          <w:spacing w:val="-9"/>
          <w:sz w:val="16"/>
        </w:rPr>
        <w:t xml:space="preserve"> </w:t>
      </w:r>
      <w:r>
        <w:rPr>
          <w:sz w:val="16"/>
        </w:rPr>
        <w:t>en</w:t>
      </w:r>
      <w:r>
        <w:rPr>
          <w:spacing w:val="-8"/>
          <w:sz w:val="16"/>
        </w:rPr>
        <w:t xml:space="preserve"> </w:t>
      </w:r>
      <w:r>
        <w:rPr>
          <w:sz w:val="16"/>
        </w:rPr>
        <w:t>la</w:t>
      </w:r>
      <w:r>
        <w:rPr>
          <w:spacing w:val="-8"/>
          <w:sz w:val="16"/>
        </w:rPr>
        <w:t xml:space="preserve"> </w:t>
      </w:r>
      <w:r>
        <w:rPr>
          <w:sz w:val="16"/>
        </w:rPr>
        <w:t>participación</w:t>
      </w:r>
      <w:r>
        <w:rPr>
          <w:spacing w:val="-8"/>
          <w:sz w:val="16"/>
        </w:rPr>
        <w:t xml:space="preserve"> </w:t>
      </w:r>
      <w:r>
        <w:rPr>
          <w:sz w:val="16"/>
        </w:rPr>
        <w:t>de</w:t>
      </w:r>
      <w:r>
        <w:rPr>
          <w:spacing w:val="-6"/>
          <w:sz w:val="16"/>
        </w:rPr>
        <w:t xml:space="preserve"> </w:t>
      </w:r>
      <w:r>
        <w:rPr>
          <w:sz w:val="16"/>
        </w:rPr>
        <w:t>los</w:t>
      </w:r>
      <w:r>
        <w:rPr>
          <w:spacing w:val="-10"/>
          <w:sz w:val="16"/>
        </w:rPr>
        <w:t xml:space="preserve"> </w:t>
      </w:r>
      <w:r>
        <w:rPr>
          <w:sz w:val="16"/>
        </w:rPr>
        <w:t>beneficios</w:t>
      </w:r>
      <w:r>
        <w:rPr>
          <w:spacing w:val="-10"/>
          <w:sz w:val="16"/>
        </w:rPr>
        <w:t xml:space="preserve"> </w:t>
      </w:r>
      <w:r>
        <w:rPr>
          <w:sz w:val="16"/>
        </w:rPr>
        <w:t>de</w:t>
      </w:r>
      <w:r>
        <w:rPr>
          <w:spacing w:val="-10"/>
          <w:sz w:val="16"/>
        </w:rPr>
        <w:t xml:space="preserve"> </w:t>
      </w:r>
      <w:r>
        <w:rPr>
          <w:sz w:val="16"/>
        </w:rPr>
        <w:t>la</w:t>
      </w:r>
      <w:r>
        <w:rPr>
          <w:spacing w:val="-7"/>
          <w:sz w:val="16"/>
        </w:rPr>
        <w:t xml:space="preserve"> </w:t>
      </w:r>
      <w:r>
        <w:rPr>
          <w:sz w:val="16"/>
        </w:rPr>
        <w:t>naturaleza, de los bienes materiales y de la cu</w:t>
      </w:r>
      <w:r>
        <w:rPr>
          <w:sz w:val="16"/>
        </w:rPr>
        <w:t xml:space="preserve">ltura”, y </w:t>
      </w:r>
      <w:r>
        <w:rPr>
          <w:sz w:val="16"/>
          <w:u w:val="single"/>
        </w:rPr>
        <w:t>vi) Perú</w:t>
      </w:r>
      <w:r>
        <w:rPr>
          <w:sz w:val="16"/>
        </w:rPr>
        <w:t>: en el artículo 26 de la Constitución se contempla que “[e]n la relación laboral se respetan los siguientes principios: 1. Igualdad de oportunidades sin</w:t>
      </w:r>
      <w:r>
        <w:rPr>
          <w:spacing w:val="-16"/>
          <w:sz w:val="16"/>
        </w:rPr>
        <w:t xml:space="preserve"> </w:t>
      </w:r>
      <w:r>
        <w:rPr>
          <w:sz w:val="16"/>
        </w:rPr>
        <w:t>discriminación”.</w:t>
      </w:r>
    </w:p>
    <w:p w14:paraId="3A4011C8" w14:textId="77777777" w:rsidR="00467FCA" w:rsidRDefault="001B68EB">
      <w:pPr>
        <w:tabs>
          <w:tab w:val="left" w:pos="1166"/>
        </w:tabs>
        <w:spacing w:before="1"/>
        <w:ind w:left="458" w:right="270"/>
        <w:jc w:val="both"/>
        <w:rPr>
          <w:sz w:val="16"/>
        </w:rPr>
      </w:pPr>
      <w:bookmarkStart w:id="936" w:name="_bookmark855"/>
      <w:bookmarkEnd w:id="936"/>
      <w:r>
        <w:rPr>
          <w:position w:val="6"/>
          <w:sz w:val="10"/>
        </w:rPr>
        <w:t>173</w:t>
      </w:r>
      <w:r>
        <w:rPr>
          <w:position w:val="6"/>
          <w:sz w:val="10"/>
        </w:rPr>
        <w:tab/>
      </w:r>
      <w:r>
        <w:rPr>
          <w:sz w:val="16"/>
        </w:rPr>
        <w:t xml:space="preserve">Algunas sentencias de Altas Cortes nacionales que han abordado </w:t>
      </w:r>
      <w:r>
        <w:rPr>
          <w:sz w:val="16"/>
        </w:rPr>
        <w:t xml:space="preserve">la </w:t>
      </w:r>
      <w:r>
        <w:rPr>
          <w:i/>
          <w:sz w:val="16"/>
        </w:rPr>
        <w:t xml:space="preserve">igualdad sustantiva </w:t>
      </w:r>
      <w:r>
        <w:rPr>
          <w:sz w:val="16"/>
        </w:rPr>
        <w:t xml:space="preserve">son: </w:t>
      </w:r>
      <w:r>
        <w:rPr>
          <w:sz w:val="16"/>
          <w:u w:val="single"/>
        </w:rPr>
        <w:t>i) Colombia</w:t>
      </w:r>
      <w:r>
        <w:rPr>
          <w:sz w:val="16"/>
        </w:rPr>
        <w:t xml:space="preserve">: “La igualdad supone entonces, [que] mientras que quienes están en situación diferente (constitucionalmente relevante) deben ser tratados en forma diferente. Se proyecta también desde una </w:t>
      </w:r>
      <w:r>
        <w:rPr>
          <w:i/>
          <w:sz w:val="16"/>
        </w:rPr>
        <w:t>dimensión sustantiva o mater</w:t>
      </w:r>
      <w:r>
        <w:rPr>
          <w:i/>
          <w:sz w:val="16"/>
        </w:rPr>
        <w:t>ial</w:t>
      </w:r>
      <w:r>
        <w:rPr>
          <w:sz w:val="16"/>
        </w:rPr>
        <w:t>, que impone al Estado el compromiso ético y jurídico de promover las condiciones para que la igualdad sea real y efectiva, adoptando medidas a favor de aquellos grupos discriminados, marginados o en situación de debilidad manifiestas (acciones afirmati</w:t>
      </w:r>
      <w:r>
        <w:rPr>
          <w:sz w:val="16"/>
        </w:rPr>
        <w:t>vas)” (Corte Constitucional de Colombia, Sentencia C- 657/2015 de 21 de octubre de 2015);</w:t>
      </w:r>
      <w:r>
        <w:rPr>
          <w:spacing w:val="-5"/>
          <w:sz w:val="16"/>
        </w:rPr>
        <w:t xml:space="preserve"> </w:t>
      </w:r>
      <w:r>
        <w:rPr>
          <w:sz w:val="16"/>
          <w:u w:val="single"/>
        </w:rPr>
        <w:t>ii)</w:t>
      </w:r>
      <w:r>
        <w:rPr>
          <w:spacing w:val="-4"/>
          <w:sz w:val="16"/>
          <w:u w:val="single"/>
        </w:rPr>
        <w:t xml:space="preserve"> </w:t>
      </w:r>
      <w:r>
        <w:rPr>
          <w:sz w:val="16"/>
          <w:u w:val="single"/>
        </w:rPr>
        <w:t>Ecuador</w:t>
      </w:r>
      <w:r>
        <w:rPr>
          <w:sz w:val="16"/>
        </w:rPr>
        <w:t>:</w:t>
      </w:r>
      <w:r>
        <w:rPr>
          <w:spacing w:val="-5"/>
          <w:sz w:val="16"/>
        </w:rPr>
        <w:t xml:space="preserve"> </w:t>
      </w:r>
      <w:r>
        <w:rPr>
          <w:sz w:val="16"/>
        </w:rPr>
        <w:t>“es</w:t>
      </w:r>
      <w:r>
        <w:rPr>
          <w:spacing w:val="-5"/>
          <w:sz w:val="16"/>
        </w:rPr>
        <w:t xml:space="preserve"> </w:t>
      </w:r>
      <w:r>
        <w:rPr>
          <w:sz w:val="16"/>
        </w:rPr>
        <w:t>preciso</w:t>
      </w:r>
      <w:r>
        <w:rPr>
          <w:spacing w:val="-2"/>
          <w:sz w:val="16"/>
        </w:rPr>
        <w:t xml:space="preserve"> </w:t>
      </w:r>
      <w:r>
        <w:rPr>
          <w:sz w:val="16"/>
        </w:rPr>
        <w:t>anotar</w:t>
      </w:r>
      <w:r>
        <w:rPr>
          <w:spacing w:val="-5"/>
          <w:sz w:val="16"/>
        </w:rPr>
        <w:t xml:space="preserve"> </w:t>
      </w:r>
      <w:r>
        <w:rPr>
          <w:sz w:val="16"/>
        </w:rPr>
        <w:t>que</w:t>
      </w:r>
      <w:r>
        <w:rPr>
          <w:spacing w:val="-5"/>
          <w:sz w:val="16"/>
        </w:rPr>
        <w:t xml:space="preserve"> </w:t>
      </w:r>
      <w:r>
        <w:rPr>
          <w:sz w:val="16"/>
        </w:rPr>
        <w:t>existe</w:t>
      </w:r>
      <w:r>
        <w:rPr>
          <w:spacing w:val="-5"/>
          <w:sz w:val="16"/>
        </w:rPr>
        <w:t xml:space="preserve"> </w:t>
      </w:r>
      <w:r>
        <w:rPr>
          <w:sz w:val="16"/>
        </w:rPr>
        <w:t>una</w:t>
      </w:r>
      <w:r>
        <w:rPr>
          <w:spacing w:val="-4"/>
          <w:sz w:val="16"/>
        </w:rPr>
        <w:t xml:space="preserve"> </w:t>
      </w:r>
      <w:r>
        <w:rPr>
          <w:sz w:val="16"/>
        </w:rPr>
        <w:t>distinción</w:t>
      </w:r>
      <w:r>
        <w:rPr>
          <w:spacing w:val="-3"/>
          <w:sz w:val="16"/>
        </w:rPr>
        <w:t xml:space="preserve"> </w:t>
      </w:r>
      <w:r>
        <w:rPr>
          <w:sz w:val="16"/>
        </w:rPr>
        <w:t>entre</w:t>
      </w:r>
      <w:r>
        <w:rPr>
          <w:spacing w:val="-3"/>
          <w:sz w:val="16"/>
        </w:rPr>
        <w:t xml:space="preserve"> </w:t>
      </w:r>
      <w:r>
        <w:rPr>
          <w:sz w:val="16"/>
        </w:rPr>
        <w:t>la</w:t>
      </w:r>
      <w:r>
        <w:rPr>
          <w:spacing w:val="-6"/>
          <w:sz w:val="16"/>
        </w:rPr>
        <w:t xml:space="preserve"> </w:t>
      </w:r>
      <w:r>
        <w:rPr>
          <w:sz w:val="16"/>
        </w:rPr>
        <w:t>denominada</w:t>
      </w:r>
      <w:r>
        <w:rPr>
          <w:spacing w:val="-3"/>
          <w:sz w:val="16"/>
        </w:rPr>
        <w:t xml:space="preserve"> </w:t>
      </w:r>
      <w:r>
        <w:rPr>
          <w:i/>
          <w:sz w:val="16"/>
        </w:rPr>
        <w:t>igualdad</w:t>
      </w:r>
      <w:r>
        <w:rPr>
          <w:i/>
          <w:spacing w:val="-5"/>
          <w:sz w:val="16"/>
        </w:rPr>
        <w:t xml:space="preserve"> </w:t>
      </w:r>
      <w:r>
        <w:rPr>
          <w:i/>
          <w:sz w:val="16"/>
        </w:rPr>
        <w:t>formal</w:t>
      </w:r>
      <w:r>
        <w:rPr>
          <w:i/>
          <w:spacing w:val="-6"/>
          <w:sz w:val="16"/>
        </w:rPr>
        <w:t xml:space="preserve"> </w:t>
      </w:r>
      <w:r>
        <w:rPr>
          <w:i/>
          <w:sz w:val="16"/>
        </w:rPr>
        <w:t>o</w:t>
      </w:r>
      <w:r>
        <w:rPr>
          <w:i/>
          <w:spacing w:val="-3"/>
          <w:sz w:val="16"/>
        </w:rPr>
        <w:t xml:space="preserve"> </w:t>
      </w:r>
      <w:r>
        <w:rPr>
          <w:i/>
          <w:sz w:val="16"/>
        </w:rPr>
        <w:t>igualdad</w:t>
      </w:r>
      <w:r>
        <w:rPr>
          <w:i/>
          <w:spacing w:val="-2"/>
          <w:sz w:val="16"/>
        </w:rPr>
        <w:t xml:space="preserve"> </w:t>
      </w:r>
      <w:r>
        <w:rPr>
          <w:i/>
          <w:sz w:val="16"/>
        </w:rPr>
        <w:t>ante la</w:t>
      </w:r>
      <w:r>
        <w:rPr>
          <w:i/>
          <w:spacing w:val="-3"/>
          <w:sz w:val="16"/>
        </w:rPr>
        <w:t xml:space="preserve"> </w:t>
      </w:r>
      <w:r>
        <w:rPr>
          <w:i/>
          <w:sz w:val="16"/>
        </w:rPr>
        <w:t>ley</w:t>
      </w:r>
      <w:r>
        <w:rPr>
          <w:sz w:val="16"/>
        </w:rPr>
        <w:t>,</w:t>
      </w:r>
      <w:r>
        <w:rPr>
          <w:spacing w:val="-3"/>
          <w:sz w:val="16"/>
        </w:rPr>
        <w:t xml:space="preserve"> </w:t>
      </w:r>
      <w:r>
        <w:rPr>
          <w:sz w:val="16"/>
        </w:rPr>
        <w:t>y</w:t>
      </w:r>
      <w:r>
        <w:rPr>
          <w:spacing w:val="-2"/>
          <w:sz w:val="16"/>
        </w:rPr>
        <w:t xml:space="preserve"> </w:t>
      </w:r>
      <w:r>
        <w:rPr>
          <w:sz w:val="16"/>
        </w:rPr>
        <w:t>la</w:t>
      </w:r>
      <w:r>
        <w:rPr>
          <w:spacing w:val="-3"/>
          <w:sz w:val="16"/>
        </w:rPr>
        <w:t xml:space="preserve"> </w:t>
      </w:r>
      <w:r>
        <w:rPr>
          <w:i/>
          <w:sz w:val="16"/>
        </w:rPr>
        <w:t>igualdad</w:t>
      </w:r>
      <w:r>
        <w:rPr>
          <w:i/>
          <w:spacing w:val="-4"/>
          <w:sz w:val="16"/>
        </w:rPr>
        <w:t xml:space="preserve"> </w:t>
      </w:r>
      <w:r>
        <w:rPr>
          <w:i/>
          <w:sz w:val="16"/>
        </w:rPr>
        <w:t>material</w:t>
      </w:r>
      <w:r>
        <w:rPr>
          <w:i/>
          <w:spacing w:val="-3"/>
          <w:sz w:val="16"/>
        </w:rPr>
        <w:t xml:space="preserve"> </w:t>
      </w:r>
      <w:r>
        <w:rPr>
          <w:i/>
          <w:sz w:val="16"/>
        </w:rPr>
        <w:t>o</w:t>
      </w:r>
      <w:r>
        <w:rPr>
          <w:i/>
          <w:spacing w:val="-4"/>
          <w:sz w:val="16"/>
        </w:rPr>
        <w:t xml:space="preserve"> </w:t>
      </w:r>
      <w:r>
        <w:rPr>
          <w:i/>
          <w:sz w:val="16"/>
        </w:rPr>
        <w:t>igualdad</w:t>
      </w:r>
      <w:r>
        <w:rPr>
          <w:i/>
          <w:spacing w:val="-2"/>
          <w:sz w:val="16"/>
        </w:rPr>
        <w:t xml:space="preserve"> </w:t>
      </w:r>
      <w:r>
        <w:rPr>
          <w:i/>
          <w:sz w:val="16"/>
        </w:rPr>
        <w:t>real</w:t>
      </w:r>
      <w:r>
        <w:rPr>
          <w:sz w:val="16"/>
        </w:rPr>
        <w:t>.</w:t>
      </w:r>
      <w:r>
        <w:rPr>
          <w:spacing w:val="-3"/>
          <w:sz w:val="16"/>
        </w:rPr>
        <w:t xml:space="preserve"> </w:t>
      </w:r>
      <w:r>
        <w:rPr>
          <w:sz w:val="16"/>
        </w:rPr>
        <w:t>En</w:t>
      </w:r>
      <w:r>
        <w:rPr>
          <w:spacing w:val="-3"/>
          <w:sz w:val="16"/>
        </w:rPr>
        <w:t xml:space="preserve"> </w:t>
      </w:r>
      <w:r>
        <w:rPr>
          <w:sz w:val="16"/>
        </w:rPr>
        <w:t>términos</w:t>
      </w:r>
      <w:r>
        <w:rPr>
          <w:spacing w:val="-2"/>
          <w:sz w:val="16"/>
        </w:rPr>
        <w:t xml:space="preserve"> </w:t>
      </w:r>
      <w:r>
        <w:rPr>
          <w:sz w:val="16"/>
        </w:rPr>
        <w:t>jurídicos</w:t>
      </w:r>
      <w:r>
        <w:rPr>
          <w:spacing w:val="-2"/>
          <w:sz w:val="16"/>
        </w:rPr>
        <w:t xml:space="preserve"> </w:t>
      </w:r>
      <w:r>
        <w:rPr>
          <w:sz w:val="16"/>
        </w:rPr>
        <w:t>ambos</w:t>
      </w:r>
      <w:r>
        <w:rPr>
          <w:spacing w:val="-5"/>
          <w:sz w:val="16"/>
        </w:rPr>
        <w:t xml:space="preserve"> </w:t>
      </w:r>
      <w:r>
        <w:rPr>
          <w:sz w:val="16"/>
        </w:rPr>
        <w:t>tipos</w:t>
      </w:r>
      <w:r>
        <w:rPr>
          <w:spacing w:val="-5"/>
          <w:sz w:val="16"/>
        </w:rPr>
        <w:t xml:space="preserve"> </w:t>
      </w:r>
      <w:r>
        <w:rPr>
          <w:sz w:val="16"/>
        </w:rPr>
        <w:t>de</w:t>
      </w:r>
      <w:r>
        <w:rPr>
          <w:spacing w:val="-2"/>
          <w:sz w:val="16"/>
        </w:rPr>
        <w:t xml:space="preserve"> </w:t>
      </w:r>
      <w:r>
        <w:rPr>
          <w:sz w:val="16"/>
        </w:rPr>
        <w:t>igualdad</w:t>
      </w:r>
      <w:r>
        <w:rPr>
          <w:spacing w:val="-2"/>
          <w:sz w:val="16"/>
        </w:rPr>
        <w:t xml:space="preserve"> </w:t>
      </w:r>
      <w:r>
        <w:rPr>
          <w:sz w:val="16"/>
        </w:rPr>
        <w:t>poseen</w:t>
      </w:r>
      <w:r>
        <w:rPr>
          <w:spacing w:val="-3"/>
          <w:sz w:val="16"/>
        </w:rPr>
        <w:t xml:space="preserve"> </w:t>
      </w:r>
      <w:r>
        <w:rPr>
          <w:sz w:val="16"/>
        </w:rPr>
        <w:t>un</w:t>
      </w:r>
      <w:r>
        <w:rPr>
          <w:spacing w:val="-3"/>
          <w:sz w:val="16"/>
        </w:rPr>
        <w:t xml:space="preserve"> </w:t>
      </w:r>
      <w:r>
        <w:rPr>
          <w:sz w:val="16"/>
        </w:rPr>
        <w:t>mismo</w:t>
      </w:r>
      <w:r>
        <w:rPr>
          <w:spacing w:val="-2"/>
          <w:sz w:val="16"/>
        </w:rPr>
        <w:t xml:space="preserve"> </w:t>
      </w:r>
      <w:r>
        <w:rPr>
          <w:sz w:val="16"/>
        </w:rPr>
        <w:t>núcleo común que consiste en la comparabilidad de ciertas características para establecer su aplicación; no obstante, divergen en sus efectos, enfocándose el primer tipo en la restricción de la dis</w:t>
      </w:r>
      <w:r>
        <w:rPr>
          <w:sz w:val="16"/>
        </w:rPr>
        <w:t>criminación y el segundo en el respeto a</w:t>
      </w:r>
      <w:r>
        <w:rPr>
          <w:spacing w:val="-3"/>
          <w:sz w:val="16"/>
        </w:rPr>
        <w:t xml:space="preserve"> </w:t>
      </w:r>
      <w:r>
        <w:rPr>
          <w:sz w:val="16"/>
        </w:rPr>
        <w:t>la</w:t>
      </w:r>
      <w:r>
        <w:rPr>
          <w:spacing w:val="-6"/>
          <w:sz w:val="16"/>
        </w:rPr>
        <w:t xml:space="preserve"> </w:t>
      </w:r>
      <w:r>
        <w:rPr>
          <w:sz w:val="16"/>
        </w:rPr>
        <w:t>diferencia.</w:t>
      </w:r>
      <w:r>
        <w:rPr>
          <w:spacing w:val="-6"/>
          <w:sz w:val="16"/>
        </w:rPr>
        <w:t xml:space="preserve"> </w:t>
      </w:r>
      <w:r>
        <w:rPr>
          <w:sz w:val="16"/>
        </w:rPr>
        <w:t>Así,</w:t>
      </w:r>
      <w:r>
        <w:rPr>
          <w:spacing w:val="-3"/>
          <w:sz w:val="16"/>
        </w:rPr>
        <w:t xml:space="preserve"> </w:t>
      </w:r>
      <w:r>
        <w:rPr>
          <w:sz w:val="16"/>
        </w:rPr>
        <w:t>la</w:t>
      </w:r>
      <w:r>
        <w:rPr>
          <w:spacing w:val="-3"/>
          <w:sz w:val="16"/>
        </w:rPr>
        <w:t xml:space="preserve"> </w:t>
      </w:r>
      <w:r>
        <w:rPr>
          <w:i/>
          <w:sz w:val="16"/>
        </w:rPr>
        <w:t>igualdad</w:t>
      </w:r>
      <w:r>
        <w:rPr>
          <w:i/>
          <w:spacing w:val="-4"/>
          <w:sz w:val="16"/>
        </w:rPr>
        <w:t xml:space="preserve"> </w:t>
      </w:r>
      <w:r>
        <w:rPr>
          <w:i/>
          <w:sz w:val="16"/>
        </w:rPr>
        <w:t>formal</w:t>
      </w:r>
      <w:r>
        <w:rPr>
          <w:i/>
          <w:spacing w:val="-4"/>
          <w:sz w:val="16"/>
        </w:rPr>
        <w:t xml:space="preserve"> </w:t>
      </w:r>
      <w:r>
        <w:rPr>
          <w:sz w:val="16"/>
        </w:rPr>
        <w:t>tiene</w:t>
      </w:r>
      <w:r>
        <w:rPr>
          <w:spacing w:val="-5"/>
          <w:sz w:val="16"/>
        </w:rPr>
        <w:t xml:space="preserve"> </w:t>
      </w:r>
      <w:r>
        <w:rPr>
          <w:sz w:val="16"/>
        </w:rPr>
        <w:t>relación</w:t>
      </w:r>
      <w:r>
        <w:rPr>
          <w:spacing w:val="-5"/>
          <w:sz w:val="16"/>
        </w:rPr>
        <w:t xml:space="preserve"> </w:t>
      </w:r>
      <w:r>
        <w:rPr>
          <w:sz w:val="16"/>
        </w:rPr>
        <w:t>con</w:t>
      </w:r>
      <w:r>
        <w:rPr>
          <w:spacing w:val="-6"/>
          <w:sz w:val="16"/>
        </w:rPr>
        <w:t xml:space="preserve"> </w:t>
      </w:r>
      <w:r>
        <w:rPr>
          <w:sz w:val="16"/>
        </w:rPr>
        <w:t>la</w:t>
      </w:r>
      <w:r>
        <w:rPr>
          <w:spacing w:val="-6"/>
          <w:sz w:val="16"/>
        </w:rPr>
        <w:t xml:space="preserve"> </w:t>
      </w:r>
      <w:r>
        <w:rPr>
          <w:sz w:val="16"/>
        </w:rPr>
        <w:t>garantía</w:t>
      </w:r>
      <w:r>
        <w:rPr>
          <w:spacing w:val="-3"/>
          <w:sz w:val="16"/>
        </w:rPr>
        <w:t xml:space="preserve"> </w:t>
      </w:r>
      <w:r>
        <w:rPr>
          <w:sz w:val="16"/>
        </w:rPr>
        <w:t>de</w:t>
      </w:r>
      <w:r>
        <w:rPr>
          <w:spacing w:val="-2"/>
          <w:sz w:val="16"/>
        </w:rPr>
        <w:t xml:space="preserve"> </w:t>
      </w:r>
      <w:r>
        <w:rPr>
          <w:sz w:val="16"/>
        </w:rPr>
        <w:t>identidad</w:t>
      </w:r>
      <w:r>
        <w:rPr>
          <w:spacing w:val="-4"/>
          <w:sz w:val="16"/>
        </w:rPr>
        <w:t xml:space="preserve"> </w:t>
      </w:r>
      <w:r>
        <w:rPr>
          <w:sz w:val="16"/>
        </w:rPr>
        <w:t>de</w:t>
      </w:r>
      <w:r>
        <w:rPr>
          <w:spacing w:val="-5"/>
          <w:sz w:val="16"/>
        </w:rPr>
        <w:t xml:space="preserve"> </w:t>
      </w:r>
      <w:r>
        <w:rPr>
          <w:sz w:val="16"/>
        </w:rPr>
        <w:t>trato</w:t>
      </w:r>
      <w:r>
        <w:rPr>
          <w:spacing w:val="-4"/>
          <w:sz w:val="16"/>
        </w:rPr>
        <w:t xml:space="preserve"> </w:t>
      </w:r>
      <w:r>
        <w:rPr>
          <w:sz w:val="16"/>
        </w:rPr>
        <w:t>a</w:t>
      </w:r>
      <w:r>
        <w:rPr>
          <w:spacing w:val="-2"/>
          <w:sz w:val="16"/>
        </w:rPr>
        <w:t xml:space="preserve"> </w:t>
      </w:r>
      <w:r>
        <w:rPr>
          <w:sz w:val="16"/>
        </w:rPr>
        <w:t>todos</w:t>
      </w:r>
      <w:r>
        <w:rPr>
          <w:spacing w:val="-5"/>
          <w:sz w:val="16"/>
        </w:rPr>
        <w:t xml:space="preserve"> </w:t>
      </w:r>
      <w:r>
        <w:rPr>
          <w:sz w:val="16"/>
        </w:rPr>
        <w:t>los</w:t>
      </w:r>
      <w:r>
        <w:rPr>
          <w:spacing w:val="-7"/>
          <w:sz w:val="16"/>
        </w:rPr>
        <w:t xml:space="preserve"> </w:t>
      </w:r>
      <w:r>
        <w:rPr>
          <w:sz w:val="16"/>
        </w:rPr>
        <w:t>destinatarios</w:t>
      </w:r>
      <w:r>
        <w:rPr>
          <w:spacing w:val="-5"/>
          <w:sz w:val="16"/>
        </w:rPr>
        <w:t xml:space="preserve"> </w:t>
      </w:r>
      <w:r>
        <w:rPr>
          <w:spacing w:val="-3"/>
          <w:sz w:val="16"/>
        </w:rPr>
        <w:t xml:space="preserve">de </w:t>
      </w:r>
      <w:r>
        <w:rPr>
          <w:sz w:val="16"/>
        </w:rPr>
        <w:t>una</w:t>
      </w:r>
      <w:r>
        <w:rPr>
          <w:spacing w:val="-2"/>
          <w:sz w:val="16"/>
        </w:rPr>
        <w:t xml:space="preserve"> </w:t>
      </w:r>
      <w:r>
        <w:rPr>
          <w:sz w:val="16"/>
        </w:rPr>
        <w:t>norma</w:t>
      </w:r>
      <w:r>
        <w:rPr>
          <w:spacing w:val="-4"/>
          <w:sz w:val="16"/>
        </w:rPr>
        <w:t xml:space="preserve"> </w:t>
      </w:r>
      <w:r>
        <w:rPr>
          <w:sz w:val="16"/>
        </w:rPr>
        <w:t>jurídica,</w:t>
      </w:r>
      <w:r>
        <w:rPr>
          <w:spacing w:val="-2"/>
          <w:sz w:val="16"/>
        </w:rPr>
        <w:t xml:space="preserve"> </w:t>
      </w:r>
      <w:r>
        <w:rPr>
          <w:sz w:val="16"/>
        </w:rPr>
        <w:t>evitando</w:t>
      </w:r>
      <w:r>
        <w:rPr>
          <w:spacing w:val="-3"/>
          <w:sz w:val="16"/>
        </w:rPr>
        <w:t xml:space="preserve"> </w:t>
      </w:r>
      <w:r>
        <w:rPr>
          <w:sz w:val="16"/>
        </w:rPr>
        <w:t>la</w:t>
      </w:r>
      <w:r>
        <w:rPr>
          <w:spacing w:val="-2"/>
          <w:sz w:val="16"/>
        </w:rPr>
        <w:t xml:space="preserve"> </w:t>
      </w:r>
      <w:r>
        <w:rPr>
          <w:sz w:val="16"/>
        </w:rPr>
        <w:t>existencia</w:t>
      </w:r>
      <w:r>
        <w:rPr>
          <w:spacing w:val="-2"/>
          <w:sz w:val="16"/>
        </w:rPr>
        <w:t xml:space="preserve"> </w:t>
      </w:r>
      <w:r>
        <w:rPr>
          <w:sz w:val="16"/>
        </w:rPr>
        <w:t>injustificada</w:t>
      </w:r>
      <w:r>
        <w:rPr>
          <w:spacing w:val="-4"/>
          <w:sz w:val="16"/>
        </w:rPr>
        <w:t xml:space="preserve"> </w:t>
      </w:r>
      <w:r>
        <w:rPr>
          <w:sz w:val="16"/>
        </w:rPr>
        <w:t>de</w:t>
      </w:r>
      <w:r>
        <w:rPr>
          <w:spacing w:val="-5"/>
          <w:sz w:val="16"/>
        </w:rPr>
        <w:t xml:space="preserve"> </w:t>
      </w:r>
      <w:r>
        <w:rPr>
          <w:sz w:val="16"/>
        </w:rPr>
        <w:t>privilegios,</w:t>
      </w:r>
      <w:r>
        <w:rPr>
          <w:spacing w:val="-4"/>
          <w:sz w:val="16"/>
        </w:rPr>
        <w:t xml:space="preserve"> </w:t>
      </w:r>
      <w:r>
        <w:rPr>
          <w:sz w:val="16"/>
        </w:rPr>
        <w:t>mientras</w:t>
      </w:r>
      <w:r>
        <w:rPr>
          <w:spacing w:val="-3"/>
          <w:sz w:val="16"/>
        </w:rPr>
        <w:t xml:space="preserve"> </w:t>
      </w:r>
      <w:r>
        <w:rPr>
          <w:sz w:val="16"/>
        </w:rPr>
        <w:t>que</w:t>
      </w:r>
      <w:r>
        <w:rPr>
          <w:spacing w:val="-3"/>
          <w:sz w:val="16"/>
        </w:rPr>
        <w:t xml:space="preserve"> </w:t>
      </w:r>
      <w:r>
        <w:rPr>
          <w:sz w:val="16"/>
        </w:rPr>
        <w:t>la</w:t>
      </w:r>
      <w:r>
        <w:rPr>
          <w:spacing w:val="-2"/>
          <w:sz w:val="16"/>
        </w:rPr>
        <w:t xml:space="preserve"> </w:t>
      </w:r>
      <w:r>
        <w:rPr>
          <w:i/>
          <w:sz w:val="16"/>
        </w:rPr>
        <w:t>igualdad</w:t>
      </w:r>
      <w:r>
        <w:rPr>
          <w:i/>
          <w:spacing w:val="-3"/>
          <w:sz w:val="16"/>
        </w:rPr>
        <w:t xml:space="preserve"> </w:t>
      </w:r>
      <w:r>
        <w:rPr>
          <w:i/>
          <w:sz w:val="16"/>
        </w:rPr>
        <w:t>material</w:t>
      </w:r>
      <w:r>
        <w:rPr>
          <w:i/>
          <w:spacing w:val="-2"/>
          <w:sz w:val="16"/>
        </w:rPr>
        <w:t xml:space="preserve"> </w:t>
      </w:r>
      <w:r>
        <w:rPr>
          <w:sz w:val="16"/>
        </w:rPr>
        <w:t>no tiene</w:t>
      </w:r>
      <w:r>
        <w:rPr>
          <w:spacing w:val="-2"/>
          <w:sz w:val="16"/>
        </w:rPr>
        <w:t xml:space="preserve"> </w:t>
      </w:r>
      <w:r>
        <w:rPr>
          <w:sz w:val="16"/>
        </w:rPr>
        <w:t>que ver con cuestiones formales, sino con la real posición social del individuo a quien va a ser aplicada la ley, con el objetivo de evitar injusticias” (Corte Constitucional de Ecuador, Sentencia No. 002- 14- SIN-CC, 14 de agost</w:t>
      </w:r>
      <w:r>
        <w:rPr>
          <w:sz w:val="16"/>
        </w:rPr>
        <w:t xml:space="preserve">o de 2014, p. 44); </w:t>
      </w:r>
      <w:r>
        <w:rPr>
          <w:sz w:val="16"/>
          <w:u w:val="single"/>
        </w:rPr>
        <w:t>iii) México</w:t>
      </w:r>
      <w:r>
        <w:rPr>
          <w:sz w:val="16"/>
        </w:rPr>
        <w:t xml:space="preserve">: “[…] se considere que el derecho humano a/la igualdad jurídica no sólo tiene una faceta o dimensión formal o de derecho, sino también una de carácter </w:t>
      </w:r>
      <w:r>
        <w:rPr>
          <w:i/>
          <w:sz w:val="16"/>
        </w:rPr>
        <w:t>sustantivo o de hecho</w:t>
      </w:r>
      <w:r>
        <w:rPr>
          <w:sz w:val="16"/>
        </w:rPr>
        <w:t>, la cual tiene como objetivo remover</w:t>
      </w:r>
      <w:r>
        <w:rPr>
          <w:spacing w:val="-12"/>
          <w:sz w:val="16"/>
        </w:rPr>
        <w:t xml:space="preserve"> </w:t>
      </w:r>
      <w:r>
        <w:rPr>
          <w:sz w:val="16"/>
        </w:rPr>
        <w:t>y/o</w:t>
      </w:r>
      <w:r>
        <w:rPr>
          <w:spacing w:val="-11"/>
          <w:sz w:val="16"/>
        </w:rPr>
        <w:t xml:space="preserve"> </w:t>
      </w:r>
      <w:r>
        <w:rPr>
          <w:sz w:val="16"/>
        </w:rPr>
        <w:t>disminuir</w:t>
      </w:r>
      <w:r>
        <w:rPr>
          <w:spacing w:val="-10"/>
          <w:sz w:val="16"/>
        </w:rPr>
        <w:t xml:space="preserve"> </w:t>
      </w:r>
      <w:r>
        <w:rPr>
          <w:sz w:val="16"/>
        </w:rPr>
        <w:t>l</w:t>
      </w:r>
      <w:r>
        <w:rPr>
          <w:sz w:val="16"/>
        </w:rPr>
        <w:t>os</w:t>
      </w:r>
      <w:r>
        <w:rPr>
          <w:spacing w:val="-12"/>
          <w:sz w:val="16"/>
        </w:rPr>
        <w:t xml:space="preserve"> </w:t>
      </w:r>
      <w:r>
        <w:rPr>
          <w:sz w:val="16"/>
        </w:rPr>
        <w:t>obstáculos</w:t>
      </w:r>
      <w:r>
        <w:rPr>
          <w:spacing w:val="-11"/>
          <w:sz w:val="16"/>
        </w:rPr>
        <w:t xml:space="preserve"> </w:t>
      </w:r>
      <w:r>
        <w:rPr>
          <w:sz w:val="16"/>
        </w:rPr>
        <w:t>sociales,</w:t>
      </w:r>
      <w:r>
        <w:rPr>
          <w:spacing w:val="-11"/>
          <w:sz w:val="16"/>
        </w:rPr>
        <w:t xml:space="preserve"> </w:t>
      </w:r>
      <w:r>
        <w:rPr>
          <w:sz w:val="16"/>
        </w:rPr>
        <w:t>políticos,</w:t>
      </w:r>
      <w:r>
        <w:rPr>
          <w:spacing w:val="-11"/>
          <w:sz w:val="16"/>
        </w:rPr>
        <w:t xml:space="preserve"> </w:t>
      </w:r>
      <w:r>
        <w:rPr>
          <w:sz w:val="16"/>
        </w:rPr>
        <w:t>culturales,</w:t>
      </w:r>
      <w:r>
        <w:rPr>
          <w:spacing w:val="-12"/>
          <w:sz w:val="16"/>
        </w:rPr>
        <w:t xml:space="preserve"> </w:t>
      </w:r>
      <w:r>
        <w:rPr>
          <w:sz w:val="16"/>
        </w:rPr>
        <w:t>económicos</w:t>
      </w:r>
      <w:r>
        <w:rPr>
          <w:spacing w:val="-12"/>
          <w:sz w:val="16"/>
        </w:rPr>
        <w:t xml:space="preserve"> </w:t>
      </w:r>
      <w:r>
        <w:rPr>
          <w:sz w:val="16"/>
        </w:rPr>
        <w:t>o</w:t>
      </w:r>
      <w:r>
        <w:rPr>
          <w:spacing w:val="-12"/>
          <w:sz w:val="16"/>
        </w:rPr>
        <w:t xml:space="preserve"> </w:t>
      </w:r>
      <w:r>
        <w:rPr>
          <w:sz w:val="16"/>
        </w:rPr>
        <w:t>de</w:t>
      </w:r>
      <w:r>
        <w:rPr>
          <w:spacing w:val="-10"/>
          <w:sz w:val="16"/>
        </w:rPr>
        <w:t xml:space="preserve"> </w:t>
      </w:r>
      <w:r>
        <w:rPr>
          <w:sz w:val="16"/>
        </w:rPr>
        <w:t>cualquier</w:t>
      </w:r>
      <w:r>
        <w:rPr>
          <w:spacing w:val="-11"/>
          <w:sz w:val="16"/>
        </w:rPr>
        <w:t xml:space="preserve"> </w:t>
      </w:r>
      <w:r>
        <w:rPr>
          <w:sz w:val="16"/>
        </w:rPr>
        <w:t>otra</w:t>
      </w:r>
      <w:r>
        <w:rPr>
          <w:spacing w:val="-11"/>
          <w:sz w:val="16"/>
        </w:rPr>
        <w:t xml:space="preserve"> </w:t>
      </w:r>
      <w:r>
        <w:rPr>
          <w:sz w:val="16"/>
        </w:rPr>
        <w:t>índole</w:t>
      </w:r>
      <w:r>
        <w:rPr>
          <w:spacing w:val="-10"/>
          <w:sz w:val="16"/>
        </w:rPr>
        <w:t xml:space="preserve"> </w:t>
      </w:r>
      <w:r>
        <w:rPr>
          <w:sz w:val="16"/>
        </w:rPr>
        <w:t>que</w:t>
      </w:r>
      <w:r>
        <w:rPr>
          <w:spacing w:val="-13"/>
          <w:sz w:val="16"/>
        </w:rPr>
        <w:t xml:space="preserve"> </w:t>
      </w:r>
      <w:r>
        <w:rPr>
          <w:sz w:val="16"/>
        </w:rPr>
        <w:t>impiden a</w:t>
      </w:r>
      <w:r>
        <w:rPr>
          <w:spacing w:val="-3"/>
          <w:sz w:val="16"/>
        </w:rPr>
        <w:t xml:space="preserve"> </w:t>
      </w:r>
      <w:r>
        <w:rPr>
          <w:sz w:val="16"/>
        </w:rPr>
        <w:t>ciertas</w:t>
      </w:r>
      <w:r>
        <w:rPr>
          <w:spacing w:val="-5"/>
          <w:sz w:val="16"/>
        </w:rPr>
        <w:t xml:space="preserve"> </w:t>
      </w:r>
      <w:r>
        <w:rPr>
          <w:sz w:val="16"/>
        </w:rPr>
        <w:t>personas</w:t>
      </w:r>
      <w:r>
        <w:rPr>
          <w:spacing w:val="-5"/>
          <w:sz w:val="16"/>
        </w:rPr>
        <w:t xml:space="preserve"> </w:t>
      </w:r>
      <w:r>
        <w:rPr>
          <w:sz w:val="16"/>
        </w:rPr>
        <w:t>o</w:t>
      </w:r>
      <w:r>
        <w:rPr>
          <w:spacing w:val="-2"/>
          <w:sz w:val="16"/>
        </w:rPr>
        <w:t xml:space="preserve"> </w:t>
      </w:r>
      <w:r>
        <w:rPr>
          <w:sz w:val="16"/>
        </w:rPr>
        <w:t>grupos</w:t>
      </w:r>
      <w:r>
        <w:rPr>
          <w:spacing w:val="-4"/>
          <w:sz w:val="16"/>
        </w:rPr>
        <w:t xml:space="preserve"> </w:t>
      </w:r>
      <w:r>
        <w:rPr>
          <w:sz w:val="16"/>
        </w:rPr>
        <w:t>sociales</w:t>
      </w:r>
      <w:r>
        <w:rPr>
          <w:spacing w:val="-2"/>
          <w:sz w:val="16"/>
        </w:rPr>
        <w:t xml:space="preserve"> </w:t>
      </w:r>
      <w:r>
        <w:rPr>
          <w:sz w:val="16"/>
        </w:rPr>
        <w:t>gozar</w:t>
      </w:r>
      <w:r>
        <w:rPr>
          <w:spacing w:val="-4"/>
          <w:sz w:val="16"/>
        </w:rPr>
        <w:t xml:space="preserve"> </w:t>
      </w:r>
      <w:r>
        <w:rPr>
          <w:sz w:val="16"/>
        </w:rPr>
        <w:t>o</w:t>
      </w:r>
      <w:r>
        <w:rPr>
          <w:spacing w:val="-2"/>
          <w:sz w:val="16"/>
        </w:rPr>
        <w:t xml:space="preserve"> </w:t>
      </w:r>
      <w:r>
        <w:rPr>
          <w:sz w:val="16"/>
        </w:rPr>
        <w:t>ejercer</w:t>
      </w:r>
      <w:r>
        <w:rPr>
          <w:spacing w:val="-4"/>
          <w:sz w:val="16"/>
        </w:rPr>
        <w:t xml:space="preserve"> </w:t>
      </w:r>
      <w:r>
        <w:rPr>
          <w:sz w:val="16"/>
        </w:rPr>
        <w:t>de</w:t>
      </w:r>
      <w:r>
        <w:rPr>
          <w:spacing w:val="-1"/>
          <w:sz w:val="16"/>
        </w:rPr>
        <w:t xml:space="preserve"> </w:t>
      </w:r>
      <w:r>
        <w:rPr>
          <w:sz w:val="16"/>
        </w:rPr>
        <w:t>manera</w:t>
      </w:r>
      <w:r>
        <w:rPr>
          <w:spacing w:val="-6"/>
          <w:sz w:val="16"/>
        </w:rPr>
        <w:t xml:space="preserve"> </w:t>
      </w:r>
      <w:r>
        <w:rPr>
          <w:sz w:val="16"/>
        </w:rPr>
        <w:t>real</w:t>
      </w:r>
      <w:r>
        <w:rPr>
          <w:spacing w:val="-3"/>
          <w:sz w:val="16"/>
        </w:rPr>
        <w:t xml:space="preserve"> </w:t>
      </w:r>
      <w:r>
        <w:rPr>
          <w:sz w:val="16"/>
        </w:rPr>
        <w:t>y</w:t>
      </w:r>
      <w:r>
        <w:rPr>
          <w:spacing w:val="-4"/>
          <w:sz w:val="16"/>
        </w:rPr>
        <w:t xml:space="preserve"> </w:t>
      </w:r>
      <w:r>
        <w:rPr>
          <w:sz w:val="16"/>
        </w:rPr>
        <w:t>efectiva</w:t>
      </w:r>
      <w:r>
        <w:rPr>
          <w:spacing w:val="-3"/>
          <w:sz w:val="16"/>
        </w:rPr>
        <w:t xml:space="preserve"> </w:t>
      </w:r>
      <w:r>
        <w:rPr>
          <w:sz w:val="16"/>
        </w:rPr>
        <w:t>sus</w:t>
      </w:r>
      <w:r>
        <w:rPr>
          <w:spacing w:val="-4"/>
          <w:sz w:val="16"/>
        </w:rPr>
        <w:t xml:space="preserve"> </w:t>
      </w:r>
      <w:r>
        <w:rPr>
          <w:sz w:val="16"/>
        </w:rPr>
        <w:t>derechos</w:t>
      </w:r>
      <w:r>
        <w:rPr>
          <w:spacing w:val="-2"/>
          <w:sz w:val="16"/>
        </w:rPr>
        <w:t xml:space="preserve"> </w:t>
      </w:r>
      <w:r>
        <w:rPr>
          <w:sz w:val="16"/>
        </w:rPr>
        <w:t>humanos</w:t>
      </w:r>
      <w:r>
        <w:rPr>
          <w:spacing w:val="-5"/>
          <w:sz w:val="16"/>
        </w:rPr>
        <w:t xml:space="preserve"> </w:t>
      </w:r>
      <w:r>
        <w:rPr>
          <w:sz w:val="16"/>
        </w:rPr>
        <w:t>en</w:t>
      </w:r>
      <w:r>
        <w:rPr>
          <w:spacing w:val="-3"/>
          <w:sz w:val="16"/>
        </w:rPr>
        <w:t xml:space="preserve"> </w:t>
      </w:r>
      <w:r>
        <w:rPr>
          <w:sz w:val="16"/>
        </w:rPr>
        <w:t>condiciones de</w:t>
      </w:r>
      <w:r>
        <w:rPr>
          <w:spacing w:val="-8"/>
          <w:sz w:val="16"/>
        </w:rPr>
        <w:t xml:space="preserve"> </w:t>
      </w:r>
      <w:r>
        <w:rPr>
          <w:sz w:val="16"/>
        </w:rPr>
        <w:t>paridad</w:t>
      </w:r>
      <w:r>
        <w:rPr>
          <w:spacing w:val="-4"/>
          <w:sz w:val="16"/>
        </w:rPr>
        <w:t xml:space="preserve"> </w:t>
      </w:r>
      <w:r>
        <w:rPr>
          <w:sz w:val="16"/>
        </w:rPr>
        <w:t>con</w:t>
      </w:r>
      <w:r>
        <w:rPr>
          <w:spacing w:val="-6"/>
          <w:sz w:val="16"/>
        </w:rPr>
        <w:t xml:space="preserve"> </w:t>
      </w:r>
      <w:r>
        <w:rPr>
          <w:sz w:val="16"/>
        </w:rPr>
        <w:t>otro</w:t>
      </w:r>
      <w:r>
        <w:rPr>
          <w:spacing w:val="-7"/>
          <w:sz w:val="16"/>
        </w:rPr>
        <w:t xml:space="preserve"> </w:t>
      </w:r>
      <w:r>
        <w:rPr>
          <w:sz w:val="16"/>
        </w:rPr>
        <w:t>conjunto</w:t>
      </w:r>
      <w:r>
        <w:rPr>
          <w:spacing w:val="-7"/>
          <w:sz w:val="16"/>
        </w:rPr>
        <w:t xml:space="preserve"> </w:t>
      </w:r>
      <w:r>
        <w:rPr>
          <w:sz w:val="16"/>
        </w:rPr>
        <w:t>de</w:t>
      </w:r>
      <w:r>
        <w:rPr>
          <w:spacing w:val="-8"/>
          <w:sz w:val="16"/>
        </w:rPr>
        <w:t xml:space="preserve"> </w:t>
      </w:r>
      <w:r>
        <w:rPr>
          <w:sz w:val="16"/>
        </w:rPr>
        <w:t>personas</w:t>
      </w:r>
      <w:r>
        <w:rPr>
          <w:spacing w:val="-7"/>
          <w:sz w:val="16"/>
        </w:rPr>
        <w:t xml:space="preserve"> </w:t>
      </w:r>
      <w:r>
        <w:rPr>
          <w:sz w:val="16"/>
        </w:rPr>
        <w:t>o</w:t>
      </w:r>
      <w:r>
        <w:rPr>
          <w:spacing w:val="-7"/>
          <w:sz w:val="16"/>
        </w:rPr>
        <w:t xml:space="preserve"> </w:t>
      </w:r>
      <w:r>
        <w:rPr>
          <w:sz w:val="16"/>
        </w:rPr>
        <w:t>grupo</w:t>
      </w:r>
      <w:r>
        <w:rPr>
          <w:spacing w:val="-7"/>
          <w:sz w:val="16"/>
        </w:rPr>
        <w:t xml:space="preserve"> </w:t>
      </w:r>
      <w:r>
        <w:rPr>
          <w:sz w:val="16"/>
        </w:rPr>
        <w:t>social”</w:t>
      </w:r>
      <w:r>
        <w:rPr>
          <w:spacing w:val="-4"/>
          <w:sz w:val="16"/>
        </w:rPr>
        <w:t xml:space="preserve"> </w:t>
      </w:r>
      <w:r>
        <w:rPr>
          <w:sz w:val="16"/>
        </w:rPr>
        <w:t>(Primera</w:t>
      </w:r>
      <w:r>
        <w:rPr>
          <w:spacing w:val="-9"/>
          <w:sz w:val="16"/>
        </w:rPr>
        <w:t xml:space="preserve"> </w:t>
      </w:r>
      <w:r>
        <w:rPr>
          <w:sz w:val="16"/>
        </w:rPr>
        <w:t>Sala</w:t>
      </w:r>
      <w:r>
        <w:rPr>
          <w:spacing w:val="-6"/>
          <w:sz w:val="16"/>
        </w:rPr>
        <w:t xml:space="preserve"> </w:t>
      </w:r>
      <w:r>
        <w:rPr>
          <w:sz w:val="16"/>
        </w:rPr>
        <w:t>de</w:t>
      </w:r>
      <w:r>
        <w:rPr>
          <w:spacing w:val="-5"/>
          <w:sz w:val="16"/>
        </w:rPr>
        <w:t xml:space="preserve"> </w:t>
      </w:r>
      <w:r>
        <w:rPr>
          <w:sz w:val="16"/>
        </w:rPr>
        <w:t>la</w:t>
      </w:r>
      <w:r>
        <w:rPr>
          <w:spacing w:val="-6"/>
          <w:sz w:val="16"/>
        </w:rPr>
        <w:t xml:space="preserve"> </w:t>
      </w:r>
      <w:r>
        <w:rPr>
          <w:sz w:val="16"/>
        </w:rPr>
        <w:t>Suprema</w:t>
      </w:r>
      <w:r>
        <w:rPr>
          <w:spacing w:val="-6"/>
          <w:sz w:val="16"/>
        </w:rPr>
        <w:t xml:space="preserve"> </w:t>
      </w:r>
      <w:r>
        <w:rPr>
          <w:sz w:val="16"/>
        </w:rPr>
        <w:t>Corte</w:t>
      </w:r>
      <w:r>
        <w:rPr>
          <w:spacing w:val="-6"/>
          <w:sz w:val="16"/>
        </w:rPr>
        <w:t xml:space="preserve"> </w:t>
      </w:r>
      <w:r>
        <w:rPr>
          <w:sz w:val="16"/>
        </w:rPr>
        <w:t>de</w:t>
      </w:r>
      <w:r>
        <w:rPr>
          <w:spacing w:val="-5"/>
          <w:sz w:val="16"/>
        </w:rPr>
        <w:t xml:space="preserve"> </w:t>
      </w:r>
      <w:r>
        <w:rPr>
          <w:sz w:val="16"/>
        </w:rPr>
        <w:t>Justicia</w:t>
      </w:r>
      <w:r>
        <w:rPr>
          <w:spacing w:val="-6"/>
          <w:sz w:val="16"/>
        </w:rPr>
        <w:t xml:space="preserve"> </w:t>
      </w:r>
      <w:r>
        <w:rPr>
          <w:sz w:val="16"/>
        </w:rPr>
        <w:t>de</w:t>
      </w:r>
      <w:r>
        <w:rPr>
          <w:spacing w:val="-7"/>
          <w:sz w:val="16"/>
        </w:rPr>
        <w:t xml:space="preserve"> </w:t>
      </w:r>
      <w:r>
        <w:rPr>
          <w:sz w:val="16"/>
        </w:rPr>
        <w:t>la</w:t>
      </w:r>
      <w:r>
        <w:rPr>
          <w:spacing w:val="-6"/>
          <w:sz w:val="16"/>
        </w:rPr>
        <w:t xml:space="preserve"> </w:t>
      </w:r>
      <w:r>
        <w:rPr>
          <w:sz w:val="16"/>
        </w:rPr>
        <w:t xml:space="preserve">Nación, Tesis jurisprudencial: 1a./J. 125/2017 (10a.), diciembre de 2017); y </w:t>
      </w:r>
      <w:r>
        <w:rPr>
          <w:sz w:val="16"/>
          <w:u w:val="single"/>
        </w:rPr>
        <w:t>iv) Perú</w:t>
      </w:r>
      <w:r>
        <w:rPr>
          <w:sz w:val="16"/>
        </w:rPr>
        <w:t>: “[…] el Estado peruano, definido por la</w:t>
      </w:r>
      <w:r>
        <w:rPr>
          <w:spacing w:val="-2"/>
          <w:sz w:val="16"/>
        </w:rPr>
        <w:t xml:space="preserve"> </w:t>
      </w:r>
      <w:r>
        <w:rPr>
          <w:sz w:val="16"/>
        </w:rPr>
        <w:t>Constitución</w:t>
      </w:r>
      <w:r>
        <w:rPr>
          <w:spacing w:val="-3"/>
          <w:sz w:val="16"/>
        </w:rPr>
        <w:t xml:space="preserve"> </w:t>
      </w:r>
      <w:r>
        <w:rPr>
          <w:sz w:val="16"/>
        </w:rPr>
        <w:t>de</w:t>
      </w:r>
      <w:r>
        <w:rPr>
          <w:spacing w:val="-2"/>
          <w:sz w:val="16"/>
        </w:rPr>
        <w:t xml:space="preserve"> </w:t>
      </w:r>
      <w:r>
        <w:rPr>
          <w:sz w:val="16"/>
        </w:rPr>
        <w:t>1993</w:t>
      </w:r>
      <w:r>
        <w:rPr>
          <w:spacing w:val="-4"/>
          <w:sz w:val="16"/>
        </w:rPr>
        <w:t xml:space="preserve"> </w:t>
      </w:r>
      <w:r>
        <w:rPr>
          <w:sz w:val="16"/>
        </w:rPr>
        <w:t>presenta</w:t>
      </w:r>
      <w:r>
        <w:rPr>
          <w:spacing w:val="-1"/>
          <w:sz w:val="16"/>
        </w:rPr>
        <w:t xml:space="preserve"> </w:t>
      </w:r>
      <w:r>
        <w:rPr>
          <w:sz w:val="16"/>
        </w:rPr>
        <w:t>las</w:t>
      </w:r>
      <w:r>
        <w:rPr>
          <w:spacing w:val="-3"/>
          <w:sz w:val="16"/>
        </w:rPr>
        <w:t xml:space="preserve"> </w:t>
      </w:r>
      <w:r>
        <w:rPr>
          <w:sz w:val="16"/>
        </w:rPr>
        <w:t>características</w:t>
      </w:r>
      <w:r>
        <w:rPr>
          <w:spacing w:val="-2"/>
          <w:sz w:val="16"/>
        </w:rPr>
        <w:t xml:space="preserve"> </w:t>
      </w:r>
      <w:r>
        <w:rPr>
          <w:sz w:val="16"/>
        </w:rPr>
        <w:t>básicas</w:t>
      </w:r>
      <w:r>
        <w:rPr>
          <w:spacing w:val="-5"/>
          <w:sz w:val="16"/>
        </w:rPr>
        <w:t xml:space="preserve"> </w:t>
      </w:r>
      <w:r>
        <w:rPr>
          <w:sz w:val="16"/>
        </w:rPr>
        <w:t>de</w:t>
      </w:r>
      <w:r>
        <w:rPr>
          <w:spacing w:val="-2"/>
          <w:sz w:val="16"/>
        </w:rPr>
        <w:t xml:space="preserve"> </w:t>
      </w:r>
      <w:r>
        <w:rPr>
          <w:sz w:val="16"/>
        </w:rPr>
        <w:t>un</w:t>
      </w:r>
      <w:r>
        <w:rPr>
          <w:spacing w:val="-1"/>
          <w:sz w:val="16"/>
        </w:rPr>
        <w:t xml:space="preserve"> </w:t>
      </w:r>
      <w:r>
        <w:rPr>
          <w:sz w:val="16"/>
        </w:rPr>
        <w:t>Estado</w:t>
      </w:r>
      <w:r>
        <w:rPr>
          <w:spacing w:val="-4"/>
          <w:sz w:val="16"/>
        </w:rPr>
        <w:t xml:space="preserve"> </w:t>
      </w:r>
      <w:r>
        <w:rPr>
          <w:sz w:val="16"/>
        </w:rPr>
        <w:t>social</w:t>
      </w:r>
      <w:r>
        <w:rPr>
          <w:spacing w:val="-4"/>
          <w:sz w:val="16"/>
        </w:rPr>
        <w:t xml:space="preserve"> </w:t>
      </w:r>
      <w:r>
        <w:rPr>
          <w:sz w:val="16"/>
        </w:rPr>
        <w:t>y</w:t>
      </w:r>
      <w:r>
        <w:rPr>
          <w:spacing w:val="-4"/>
          <w:sz w:val="16"/>
        </w:rPr>
        <w:t xml:space="preserve"> </w:t>
      </w:r>
      <w:r>
        <w:rPr>
          <w:sz w:val="16"/>
        </w:rPr>
        <w:t>democrático</w:t>
      </w:r>
      <w:r>
        <w:rPr>
          <w:spacing w:val="-2"/>
          <w:sz w:val="16"/>
        </w:rPr>
        <w:t xml:space="preserve"> </w:t>
      </w:r>
      <w:r>
        <w:rPr>
          <w:sz w:val="16"/>
        </w:rPr>
        <w:t>de</w:t>
      </w:r>
      <w:r>
        <w:rPr>
          <w:spacing w:val="-2"/>
          <w:sz w:val="16"/>
        </w:rPr>
        <w:t xml:space="preserve"> </w:t>
      </w:r>
      <w:r>
        <w:rPr>
          <w:sz w:val="16"/>
        </w:rPr>
        <w:t>derecho,</w:t>
      </w:r>
      <w:r>
        <w:rPr>
          <w:spacing w:val="-3"/>
          <w:sz w:val="16"/>
        </w:rPr>
        <w:t xml:space="preserve"> </w:t>
      </w:r>
      <w:r>
        <w:rPr>
          <w:sz w:val="16"/>
        </w:rPr>
        <w:t>en</w:t>
      </w:r>
      <w:r>
        <w:rPr>
          <w:spacing w:val="-3"/>
          <w:sz w:val="16"/>
        </w:rPr>
        <w:t xml:space="preserve"> </w:t>
      </w:r>
      <w:r>
        <w:rPr>
          <w:sz w:val="16"/>
        </w:rPr>
        <w:t>el</w:t>
      </w:r>
      <w:r>
        <w:rPr>
          <w:spacing w:val="-4"/>
          <w:sz w:val="16"/>
        </w:rPr>
        <w:t xml:space="preserve"> </w:t>
      </w:r>
      <w:r>
        <w:rPr>
          <w:sz w:val="16"/>
        </w:rPr>
        <w:t>cual se requiere la configuración de dos aspectos básicos: la existencia de condiciones materiales mínimas para alcanzar sus presupuestos, y la identificación del Estado con los fi</w:t>
      </w:r>
      <w:r>
        <w:rPr>
          <w:sz w:val="16"/>
        </w:rPr>
        <w:t>nes de su contenido social” por lo que “[e]ste mínimo vital busca garantizar la igualdad de oportunidades en todo nivel social, así como neutralizar las situaciones discriminatorias y violatorias de la dignidad del hombre; por ello, el logro de estas condi</w:t>
      </w:r>
      <w:r>
        <w:rPr>
          <w:sz w:val="16"/>
        </w:rPr>
        <w:t>ciones materiales mínimas de existencia debe motivar la intervención del Estado y la sociedad de manera conjunta para la consecución de este fin” (Tribunal Constitucional de Péru, Exp. N° 2945-2003-AA/TC, sentencia de 20 de abril de</w:t>
      </w:r>
      <w:r>
        <w:rPr>
          <w:spacing w:val="-19"/>
          <w:sz w:val="16"/>
        </w:rPr>
        <w:t xml:space="preserve"> </w:t>
      </w:r>
      <w:r>
        <w:rPr>
          <w:sz w:val="16"/>
        </w:rPr>
        <w:t>2004).</w:t>
      </w:r>
    </w:p>
    <w:p w14:paraId="46F70438" w14:textId="77777777" w:rsidR="00467FCA" w:rsidRDefault="001B68EB">
      <w:pPr>
        <w:tabs>
          <w:tab w:val="left" w:pos="1166"/>
        </w:tabs>
        <w:ind w:left="458" w:right="271"/>
        <w:jc w:val="both"/>
        <w:rPr>
          <w:sz w:val="16"/>
        </w:rPr>
      </w:pPr>
      <w:bookmarkStart w:id="937" w:name="_bookmark856"/>
      <w:bookmarkEnd w:id="937"/>
      <w:r>
        <w:rPr>
          <w:position w:val="6"/>
          <w:sz w:val="10"/>
        </w:rPr>
        <w:t>174</w:t>
      </w:r>
      <w:r>
        <w:rPr>
          <w:position w:val="6"/>
          <w:sz w:val="10"/>
        </w:rPr>
        <w:tab/>
      </w:r>
      <w:r>
        <w:rPr>
          <w:sz w:val="16"/>
        </w:rPr>
        <w:t>Véanse las i</w:t>
      </w:r>
      <w:r>
        <w:rPr>
          <w:sz w:val="16"/>
        </w:rPr>
        <w:t>ntervenciones en la mesa “De la interpretación de normas al cambio social. Los tratados de derechos</w:t>
      </w:r>
      <w:r>
        <w:rPr>
          <w:spacing w:val="10"/>
          <w:sz w:val="16"/>
        </w:rPr>
        <w:t xml:space="preserve"> </w:t>
      </w:r>
      <w:r>
        <w:rPr>
          <w:sz w:val="16"/>
        </w:rPr>
        <w:t>humanos</w:t>
      </w:r>
      <w:r>
        <w:rPr>
          <w:spacing w:val="10"/>
          <w:sz w:val="16"/>
        </w:rPr>
        <w:t xml:space="preserve"> </w:t>
      </w:r>
      <w:r>
        <w:rPr>
          <w:sz w:val="16"/>
        </w:rPr>
        <w:t>como</w:t>
      </w:r>
      <w:r>
        <w:rPr>
          <w:spacing w:val="10"/>
          <w:sz w:val="16"/>
        </w:rPr>
        <w:t xml:space="preserve"> </w:t>
      </w:r>
      <w:r>
        <w:rPr>
          <w:sz w:val="16"/>
        </w:rPr>
        <w:t>instrumentos</w:t>
      </w:r>
      <w:r>
        <w:rPr>
          <w:spacing w:val="11"/>
          <w:sz w:val="16"/>
        </w:rPr>
        <w:t xml:space="preserve"> </w:t>
      </w:r>
      <w:r>
        <w:rPr>
          <w:sz w:val="16"/>
        </w:rPr>
        <w:t>vivos</w:t>
      </w:r>
      <w:r>
        <w:rPr>
          <w:spacing w:val="10"/>
          <w:sz w:val="16"/>
        </w:rPr>
        <w:t xml:space="preserve"> </w:t>
      </w:r>
      <w:r>
        <w:rPr>
          <w:sz w:val="16"/>
        </w:rPr>
        <w:t>a</w:t>
      </w:r>
      <w:r>
        <w:rPr>
          <w:spacing w:val="9"/>
          <w:sz w:val="16"/>
        </w:rPr>
        <w:t xml:space="preserve"> </w:t>
      </w:r>
      <w:r>
        <w:rPr>
          <w:sz w:val="16"/>
        </w:rPr>
        <w:t>la</w:t>
      </w:r>
      <w:r>
        <w:rPr>
          <w:spacing w:val="11"/>
          <w:sz w:val="16"/>
        </w:rPr>
        <w:t xml:space="preserve"> </w:t>
      </w:r>
      <w:r>
        <w:rPr>
          <w:sz w:val="16"/>
        </w:rPr>
        <w:t>luz</w:t>
      </w:r>
      <w:r>
        <w:rPr>
          <w:spacing w:val="10"/>
          <w:sz w:val="16"/>
        </w:rPr>
        <w:t xml:space="preserve"> </w:t>
      </w:r>
      <w:r>
        <w:rPr>
          <w:sz w:val="16"/>
        </w:rPr>
        <w:t>de</w:t>
      </w:r>
      <w:r>
        <w:rPr>
          <w:spacing w:val="10"/>
          <w:sz w:val="16"/>
        </w:rPr>
        <w:t xml:space="preserve"> </w:t>
      </w:r>
      <w:r>
        <w:rPr>
          <w:sz w:val="16"/>
        </w:rPr>
        <w:t>la</w:t>
      </w:r>
      <w:r>
        <w:rPr>
          <w:spacing w:val="9"/>
          <w:sz w:val="16"/>
        </w:rPr>
        <w:t xml:space="preserve"> </w:t>
      </w:r>
      <w:r>
        <w:rPr>
          <w:sz w:val="16"/>
        </w:rPr>
        <w:t>realidad”,</w:t>
      </w:r>
      <w:r>
        <w:rPr>
          <w:spacing w:val="9"/>
          <w:sz w:val="16"/>
        </w:rPr>
        <w:t xml:space="preserve"> </w:t>
      </w:r>
      <w:r>
        <w:rPr>
          <w:sz w:val="16"/>
        </w:rPr>
        <w:t>en</w:t>
      </w:r>
      <w:r>
        <w:rPr>
          <w:spacing w:val="12"/>
          <w:sz w:val="16"/>
        </w:rPr>
        <w:t xml:space="preserve"> </w:t>
      </w:r>
      <w:r>
        <w:rPr>
          <w:sz w:val="16"/>
        </w:rPr>
        <w:t>la</w:t>
      </w:r>
      <w:r>
        <w:rPr>
          <w:spacing w:val="6"/>
          <w:sz w:val="16"/>
        </w:rPr>
        <w:t xml:space="preserve"> </w:t>
      </w:r>
      <w:r>
        <w:rPr>
          <w:sz w:val="16"/>
        </w:rPr>
        <w:t>reunión</w:t>
      </w:r>
      <w:r>
        <w:rPr>
          <w:spacing w:val="9"/>
          <w:sz w:val="16"/>
        </w:rPr>
        <w:t xml:space="preserve"> </w:t>
      </w:r>
      <w:r>
        <w:rPr>
          <w:sz w:val="16"/>
        </w:rPr>
        <w:t>de</w:t>
      </w:r>
      <w:r>
        <w:rPr>
          <w:spacing w:val="10"/>
          <w:sz w:val="16"/>
        </w:rPr>
        <w:t xml:space="preserve"> </w:t>
      </w:r>
      <w:r>
        <w:rPr>
          <w:sz w:val="16"/>
        </w:rPr>
        <w:t>las</w:t>
      </w:r>
      <w:r>
        <w:rPr>
          <w:spacing w:val="11"/>
          <w:sz w:val="16"/>
        </w:rPr>
        <w:t xml:space="preserve"> </w:t>
      </w:r>
      <w:r>
        <w:rPr>
          <w:sz w:val="16"/>
        </w:rPr>
        <w:t>tres</w:t>
      </w:r>
      <w:r>
        <w:rPr>
          <w:spacing w:val="10"/>
          <w:sz w:val="16"/>
        </w:rPr>
        <w:t xml:space="preserve"> </w:t>
      </w:r>
      <w:r>
        <w:rPr>
          <w:sz w:val="16"/>
        </w:rPr>
        <w:t>cortes</w:t>
      </w:r>
      <w:r>
        <w:rPr>
          <w:spacing w:val="7"/>
          <w:sz w:val="16"/>
        </w:rPr>
        <w:t xml:space="preserve"> </w:t>
      </w:r>
      <w:r>
        <w:rPr>
          <w:sz w:val="16"/>
        </w:rPr>
        <w:t>regionales</w:t>
      </w:r>
      <w:r>
        <w:rPr>
          <w:spacing w:val="11"/>
          <w:sz w:val="16"/>
        </w:rPr>
        <w:t xml:space="preserve"> </w:t>
      </w:r>
      <w:r>
        <w:rPr>
          <w:sz w:val="16"/>
        </w:rPr>
        <w:t>de</w:t>
      </w:r>
    </w:p>
    <w:p w14:paraId="0D69A021" w14:textId="77777777" w:rsidR="00467FCA" w:rsidRDefault="00467FCA">
      <w:pPr>
        <w:jc w:val="both"/>
        <w:rPr>
          <w:sz w:val="16"/>
        </w:rPr>
        <w:sectPr w:rsidR="00467FCA">
          <w:pgSz w:w="12240" w:h="15840"/>
          <w:pgMar w:top="1340" w:right="1140" w:bottom="920" w:left="960" w:header="0" w:footer="734" w:gutter="0"/>
          <w:cols w:space="720"/>
        </w:sectPr>
      </w:pPr>
    </w:p>
    <w:p w14:paraId="2830C5EA" w14:textId="77777777" w:rsidR="00467FCA" w:rsidRDefault="001B68EB">
      <w:pPr>
        <w:pStyle w:val="Textoindependiente"/>
        <w:spacing w:before="81" w:line="237" w:lineRule="auto"/>
        <w:ind w:left="458" w:right="277"/>
        <w:jc w:val="both"/>
      </w:pPr>
      <w:r>
        <w:t>resulta</w:t>
      </w:r>
      <w:r>
        <w:rPr>
          <w:spacing w:val="-13"/>
        </w:rPr>
        <w:t xml:space="preserve"> </w:t>
      </w:r>
      <w:r>
        <w:t>crucial</w:t>
      </w:r>
      <w:r>
        <w:rPr>
          <w:spacing w:val="-10"/>
        </w:rPr>
        <w:t xml:space="preserve"> </w:t>
      </w:r>
      <w:r>
        <w:t>en</w:t>
      </w:r>
      <w:r>
        <w:rPr>
          <w:spacing w:val="-9"/>
        </w:rPr>
        <w:t xml:space="preserve"> </w:t>
      </w:r>
      <w:r>
        <w:t>la</w:t>
      </w:r>
      <w:r>
        <w:rPr>
          <w:spacing w:val="-11"/>
        </w:rPr>
        <w:t xml:space="preserve"> </w:t>
      </w:r>
      <w:r>
        <w:t>región</w:t>
      </w:r>
      <w:r>
        <w:rPr>
          <w:spacing w:val="-12"/>
        </w:rPr>
        <w:t xml:space="preserve"> </w:t>
      </w:r>
      <w:r>
        <w:t>más</w:t>
      </w:r>
      <w:r>
        <w:rPr>
          <w:spacing w:val="-13"/>
        </w:rPr>
        <w:t xml:space="preserve"> </w:t>
      </w:r>
      <w:r>
        <w:t>desigual</w:t>
      </w:r>
      <w:r>
        <w:rPr>
          <w:spacing w:val="-11"/>
        </w:rPr>
        <w:t xml:space="preserve"> </w:t>
      </w:r>
      <w:r>
        <w:t>del</w:t>
      </w:r>
      <w:r>
        <w:rPr>
          <w:spacing w:val="-10"/>
        </w:rPr>
        <w:t xml:space="preserve"> </w:t>
      </w:r>
      <w:r>
        <w:t>mundo,</w:t>
      </w:r>
      <w:r>
        <w:rPr>
          <w:spacing w:val="-11"/>
        </w:rPr>
        <w:t xml:space="preserve"> </w:t>
      </w:r>
      <w:r>
        <w:t>con</w:t>
      </w:r>
      <w:r>
        <w:rPr>
          <w:spacing w:val="-9"/>
        </w:rPr>
        <w:t xml:space="preserve"> </w:t>
      </w:r>
      <w:r>
        <w:t>importantes</w:t>
      </w:r>
      <w:r>
        <w:rPr>
          <w:spacing w:val="-12"/>
        </w:rPr>
        <w:t xml:space="preserve"> </w:t>
      </w:r>
      <w:r>
        <w:t>niveles</w:t>
      </w:r>
      <w:r>
        <w:rPr>
          <w:spacing w:val="-11"/>
        </w:rPr>
        <w:t xml:space="preserve"> </w:t>
      </w:r>
      <w:r>
        <w:t>de</w:t>
      </w:r>
      <w:r>
        <w:rPr>
          <w:spacing w:val="-11"/>
        </w:rPr>
        <w:t xml:space="preserve"> </w:t>
      </w:r>
      <w:r>
        <w:t>pobreza</w:t>
      </w:r>
      <w:r>
        <w:rPr>
          <w:spacing w:val="-11"/>
        </w:rPr>
        <w:t xml:space="preserve"> </w:t>
      </w:r>
      <w:r>
        <w:t>y</w:t>
      </w:r>
      <w:r>
        <w:rPr>
          <w:spacing w:val="-11"/>
        </w:rPr>
        <w:t xml:space="preserve"> </w:t>
      </w:r>
      <w:r>
        <w:t>con enormes desafíos sociales y económicos</w:t>
      </w:r>
      <w:hyperlink w:anchor="_bookmark857" w:history="1">
        <w:r>
          <w:rPr>
            <w:position w:val="7"/>
            <w:sz w:val="13"/>
          </w:rPr>
          <w:t>175</w:t>
        </w:r>
      </w:hyperlink>
      <w:r>
        <w:t>, que lamentablemente parecen acrecentarse y se han visibilizado por la crisis que estamos viviendo derivada de la pandemi</w:t>
      </w:r>
      <w:r>
        <w:t>a y sus</w:t>
      </w:r>
      <w:r>
        <w:rPr>
          <w:spacing w:val="-23"/>
        </w:rPr>
        <w:t xml:space="preserve"> </w:t>
      </w:r>
      <w:r>
        <w:t>efectos</w:t>
      </w:r>
      <w:hyperlink w:anchor="_bookmark858" w:history="1">
        <w:r>
          <w:rPr>
            <w:rFonts w:ascii="Calibri" w:hAnsi="Calibri"/>
            <w:position w:val="8"/>
            <w:sz w:val="16"/>
          </w:rPr>
          <w:t>176</w:t>
        </w:r>
      </w:hyperlink>
      <w:r>
        <w:t>.</w:t>
      </w:r>
    </w:p>
    <w:p w14:paraId="72257720" w14:textId="77777777" w:rsidR="00467FCA" w:rsidRDefault="00467FCA">
      <w:pPr>
        <w:pStyle w:val="Textoindependiente"/>
        <w:rPr>
          <w:sz w:val="24"/>
        </w:rPr>
      </w:pPr>
    </w:p>
    <w:p w14:paraId="2257EDA7" w14:textId="77777777" w:rsidR="00467FCA" w:rsidRDefault="00467FCA">
      <w:pPr>
        <w:pStyle w:val="Textoindependiente"/>
        <w:rPr>
          <w:sz w:val="24"/>
        </w:rPr>
      </w:pPr>
    </w:p>
    <w:p w14:paraId="2244F038" w14:textId="77777777" w:rsidR="00467FCA" w:rsidRDefault="00467FCA">
      <w:pPr>
        <w:pStyle w:val="Textoindependiente"/>
        <w:rPr>
          <w:sz w:val="24"/>
        </w:rPr>
      </w:pPr>
    </w:p>
    <w:p w14:paraId="49C051EF" w14:textId="77777777" w:rsidR="00467FCA" w:rsidRDefault="00467FCA">
      <w:pPr>
        <w:pStyle w:val="Textoindependiente"/>
        <w:rPr>
          <w:sz w:val="24"/>
        </w:rPr>
      </w:pPr>
    </w:p>
    <w:p w14:paraId="72142380" w14:textId="77777777" w:rsidR="00467FCA" w:rsidRDefault="00467FCA">
      <w:pPr>
        <w:pStyle w:val="Textoindependiente"/>
        <w:spacing w:before="2"/>
        <w:rPr>
          <w:sz w:val="19"/>
        </w:rPr>
      </w:pPr>
    </w:p>
    <w:p w14:paraId="09A2D200" w14:textId="77777777" w:rsidR="00467FCA" w:rsidRDefault="001B68EB">
      <w:pPr>
        <w:pStyle w:val="Textoindependiente"/>
        <w:ind w:left="7967" w:right="259" w:hanging="1532"/>
      </w:pPr>
      <w:r>
        <w:t>Eduardo Ferrer Mac-Gregor Poisot Juez</w:t>
      </w:r>
    </w:p>
    <w:p w14:paraId="465EFE13" w14:textId="77777777" w:rsidR="00467FCA" w:rsidRDefault="00467FCA">
      <w:pPr>
        <w:pStyle w:val="Textoindependiente"/>
        <w:rPr>
          <w:sz w:val="24"/>
        </w:rPr>
      </w:pPr>
    </w:p>
    <w:p w14:paraId="454601F5" w14:textId="77777777" w:rsidR="00467FCA" w:rsidRDefault="00467FCA">
      <w:pPr>
        <w:pStyle w:val="Textoindependiente"/>
        <w:rPr>
          <w:sz w:val="24"/>
        </w:rPr>
      </w:pPr>
    </w:p>
    <w:p w14:paraId="29C5F2CA" w14:textId="77777777" w:rsidR="00467FCA" w:rsidRDefault="00467FCA">
      <w:pPr>
        <w:pStyle w:val="Textoindependiente"/>
        <w:rPr>
          <w:sz w:val="24"/>
        </w:rPr>
      </w:pPr>
    </w:p>
    <w:p w14:paraId="2A00009B" w14:textId="77777777" w:rsidR="00467FCA" w:rsidRDefault="00467FCA">
      <w:pPr>
        <w:pStyle w:val="Textoindependiente"/>
        <w:spacing w:before="5"/>
        <w:rPr>
          <w:sz w:val="27"/>
        </w:rPr>
      </w:pPr>
    </w:p>
    <w:p w14:paraId="5D241040" w14:textId="77777777" w:rsidR="00467FCA" w:rsidRDefault="001B68EB">
      <w:pPr>
        <w:pStyle w:val="Textoindependiente"/>
        <w:ind w:left="1228" w:right="7005" w:hanging="771"/>
      </w:pPr>
      <w:r>
        <w:t>Pablo Saavedra Alessandri Secretario</w:t>
      </w:r>
    </w:p>
    <w:p w14:paraId="4B904E33" w14:textId="77777777" w:rsidR="00467FCA" w:rsidRDefault="00467FCA">
      <w:pPr>
        <w:pStyle w:val="Textoindependiente"/>
      </w:pPr>
    </w:p>
    <w:p w14:paraId="7A14EA64" w14:textId="77777777" w:rsidR="00467FCA" w:rsidRDefault="00467FCA">
      <w:pPr>
        <w:pStyle w:val="Textoindependiente"/>
      </w:pPr>
    </w:p>
    <w:p w14:paraId="0F7105CD" w14:textId="77777777" w:rsidR="00467FCA" w:rsidRDefault="00467FCA">
      <w:pPr>
        <w:pStyle w:val="Textoindependiente"/>
      </w:pPr>
    </w:p>
    <w:p w14:paraId="7DF84C88" w14:textId="77777777" w:rsidR="00467FCA" w:rsidRDefault="00467FCA">
      <w:pPr>
        <w:pStyle w:val="Textoindependiente"/>
      </w:pPr>
    </w:p>
    <w:p w14:paraId="399CED0D" w14:textId="77777777" w:rsidR="00467FCA" w:rsidRDefault="00467FCA">
      <w:pPr>
        <w:pStyle w:val="Textoindependiente"/>
      </w:pPr>
    </w:p>
    <w:p w14:paraId="543ED813" w14:textId="77777777" w:rsidR="00467FCA" w:rsidRDefault="00467FCA">
      <w:pPr>
        <w:pStyle w:val="Textoindependiente"/>
      </w:pPr>
    </w:p>
    <w:p w14:paraId="09F42E44" w14:textId="77777777" w:rsidR="00467FCA" w:rsidRDefault="00467FCA">
      <w:pPr>
        <w:pStyle w:val="Textoindependiente"/>
      </w:pPr>
    </w:p>
    <w:p w14:paraId="779FA69D" w14:textId="77777777" w:rsidR="00467FCA" w:rsidRDefault="00467FCA">
      <w:pPr>
        <w:pStyle w:val="Textoindependiente"/>
      </w:pPr>
    </w:p>
    <w:p w14:paraId="42C7D2EA" w14:textId="77777777" w:rsidR="00467FCA" w:rsidRDefault="00467FCA">
      <w:pPr>
        <w:pStyle w:val="Textoindependiente"/>
      </w:pPr>
    </w:p>
    <w:p w14:paraId="06F33AD8" w14:textId="77777777" w:rsidR="00467FCA" w:rsidRDefault="00467FCA">
      <w:pPr>
        <w:pStyle w:val="Textoindependiente"/>
      </w:pPr>
    </w:p>
    <w:p w14:paraId="3C253029" w14:textId="77777777" w:rsidR="00467FCA" w:rsidRDefault="00467FCA">
      <w:pPr>
        <w:pStyle w:val="Textoindependiente"/>
      </w:pPr>
    </w:p>
    <w:p w14:paraId="79B55781" w14:textId="77777777" w:rsidR="00467FCA" w:rsidRDefault="00467FCA">
      <w:pPr>
        <w:pStyle w:val="Textoindependiente"/>
      </w:pPr>
    </w:p>
    <w:p w14:paraId="3CEADC0F" w14:textId="77777777" w:rsidR="00467FCA" w:rsidRDefault="00467FCA">
      <w:pPr>
        <w:pStyle w:val="Textoindependiente"/>
      </w:pPr>
    </w:p>
    <w:p w14:paraId="19091061" w14:textId="77777777" w:rsidR="00467FCA" w:rsidRDefault="00467FCA">
      <w:pPr>
        <w:pStyle w:val="Textoindependiente"/>
      </w:pPr>
    </w:p>
    <w:p w14:paraId="0BC6266B" w14:textId="77777777" w:rsidR="00467FCA" w:rsidRDefault="00467FCA">
      <w:pPr>
        <w:pStyle w:val="Textoindependiente"/>
      </w:pPr>
    </w:p>
    <w:p w14:paraId="4BBC8DCB" w14:textId="77777777" w:rsidR="00467FCA" w:rsidRDefault="00467FCA">
      <w:pPr>
        <w:pStyle w:val="Textoindependiente"/>
      </w:pPr>
    </w:p>
    <w:p w14:paraId="1B98840F" w14:textId="77777777" w:rsidR="00467FCA" w:rsidRDefault="00467FCA">
      <w:pPr>
        <w:pStyle w:val="Textoindependiente"/>
      </w:pPr>
    </w:p>
    <w:p w14:paraId="450EE8B9" w14:textId="77777777" w:rsidR="00467FCA" w:rsidRDefault="00467FCA">
      <w:pPr>
        <w:pStyle w:val="Textoindependiente"/>
      </w:pPr>
    </w:p>
    <w:p w14:paraId="6802E0AA" w14:textId="77777777" w:rsidR="00467FCA" w:rsidRDefault="00467FCA">
      <w:pPr>
        <w:pStyle w:val="Textoindependiente"/>
      </w:pPr>
    </w:p>
    <w:p w14:paraId="5171C355" w14:textId="77777777" w:rsidR="00467FCA" w:rsidRDefault="00467FCA">
      <w:pPr>
        <w:pStyle w:val="Textoindependiente"/>
      </w:pPr>
    </w:p>
    <w:p w14:paraId="145F6B19" w14:textId="77777777" w:rsidR="00467FCA" w:rsidRDefault="00467FCA">
      <w:pPr>
        <w:pStyle w:val="Textoindependiente"/>
      </w:pPr>
    </w:p>
    <w:p w14:paraId="2B9C620B" w14:textId="77777777" w:rsidR="00467FCA" w:rsidRDefault="00467FCA">
      <w:pPr>
        <w:pStyle w:val="Textoindependiente"/>
      </w:pPr>
    </w:p>
    <w:p w14:paraId="296A102C" w14:textId="77777777" w:rsidR="00467FCA" w:rsidRDefault="001B68EB">
      <w:pPr>
        <w:pStyle w:val="Textoindependiente"/>
        <w:spacing w:before="6"/>
      </w:pPr>
      <w:r>
        <w:pict w14:anchorId="6D5DED0C">
          <v:shape id="_x0000_s1034" style="position:absolute;margin-left:70.9pt;margin-top:14.75pt;width:2in;height:.1pt;z-index:-251493376;mso-wrap-distance-left:0;mso-wrap-distance-right:0;mso-position-horizontal-relative:page" coordorigin="1418,295" coordsize="2880,0" path="m1418,295r2880,e" filled="f" strokeweight=".6pt">
            <v:path arrowok="t"/>
            <w10:wrap type="topAndBottom" anchorx="page"/>
          </v:shape>
        </w:pict>
      </w:r>
    </w:p>
    <w:p w14:paraId="64FB2918" w14:textId="77777777" w:rsidR="00467FCA" w:rsidRDefault="001B68EB">
      <w:pPr>
        <w:spacing w:before="74"/>
        <w:ind w:left="458" w:right="271"/>
        <w:jc w:val="both"/>
        <w:rPr>
          <w:sz w:val="16"/>
        </w:rPr>
      </w:pPr>
      <w:r>
        <w:rPr>
          <w:sz w:val="16"/>
        </w:rPr>
        <w:t>derechos</w:t>
      </w:r>
      <w:r>
        <w:rPr>
          <w:spacing w:val="-7"/>
          <w:sz w:val="16"/>
        </w:rPr>
        <w:t xml:space="preserve"> </w:t>
      </w:r>
      <w:r>
        <w:rPr>
          <w:sz w:val="16"/>
        </w:rPr>
        <w:t>humanos,</w:t>
      </w:r>
      <w:r>
        <w:rPr>
          <w:spacing w:val="-8"/>
          <w:sz w:val="16"/>
        </w:rPr>
        <w:t xml:space="preserve"> </w:t>
      </w:r>
      <w:r>
        <w:rPr>
          <w:sz w:val="16"/>
        </w:rPr>
        <w:t>con</w:t>
      </w:r>
      <w:r>
        <w:rPr>
          <w:spacing w:val="-8"/>
          <w:sz w:val="16"/>
        </w:rPr>
        <w:t xml:space="preserve"> </w:t>
      </w:r>
      <w:r>
        <w:rPr>
          <w:sz w:val="16"/>
        </w:rPr>
        <w:t>motivo</w:t>
      </w:r>
      <w:r>
        <w:rPr>
          <w:spacing w:val="-7"/>
          <w:sz w:val="16"/>
        </w:rPr>
        <w:t xml:space="preserve"> </w:t>
      </w:r>
      <w:r>
        <w:rPr>
          <w:sz w:val="16"/>
        </w:rPr>
        <w:t>del</w:t>
      </w:r>
      <w:r>
        <w:rPr>
          <w:spacing w:val="-11"/>
          <w:sz w:val="16"/>
        </w:rPr>
        <w:t xml:space="preserve"> </w:t>
      </w:r>
      <w:r>
        <w:rPr>
          <w:sz w:val="16"/>
        </w:rPr>
        <w:t>40</w:t>
      </w:r>
      <w:r>
        <w:rPr>
          <w:spacing w:val="-6"/>
          <w:sz w:val="16"/>
        </w:rPr>
        <w:t xml:space="preserve"> </w:t>
      </w:r>
      <w:r>
        <w:rPr>
          <w:sz w:val="16"/>
        </w:rPr>
        <w:t>aniversario</w:t>
      </w:r>
      <w:r>
        <w:rPr>
          <w:spacing w:val="-9"/>
          <w:sz w:val="16"/>
        </w:rPr>
        <w:t xml:space="preserve"> </w:t>
      </w:r>
      <w:r>
        <w:rPr>
          <w:sz w:val="16"/>
        </w:rPr>
        <w:t>de</w:t>
      </w:r>
      <w:r>
        <w:rPr>
          <w:spacing w:val="-7"/>
          <w:sz w:val="16"/>
        </w:rPr>
        <w:t xml:space="preserve"> </w:t>
      </w:r>
      <w:r>
        <w:rPr>
          <w:sz w:val="16"/>
        </w:rPr>
        <w:t>la</w:t>
      </w:r>
      <w:r>
        <w:rPr>
          <w:spacing w:val="-8"/>
          <w:sz w:val="16"/>
        </w:rPr>
        <w:t xml:space="preserve"> </w:t>
      </w:r>
      <w:r>
        <w:rPr>
          <w:sz w:val="16"/>
        </w:rPr>
        <w:t>entrada</w:t>
      </w:r>
      <w:r>
        <w:rPr>
          <w:spacing w:val="-8"/>
          <w:sz w:val="16"/>
        </w:rPr>
        <w:t xml:space="preserve"> </w:t>
      </w:r>
      <w:r>
        <w:rPr>
          <w:sz w:val="16"/>
        </w:rPr>
        <w:t>en</w:t>
      </w:r>
      <w:r>
        <w:rPr>
          <w:spacing w:val="-8"/>
          <w:sz w:val="16"/>
        </w:rPr>
        <w:t xml:space="preserve"> </w:t>
      </w:r>
      <w:r>
        <w:rPr>
          <w:sz w:val="16"/>
        </w:rPr>
        <w:t>vigor</w:t>
      </w:r>
      <w:r>
        <w:rPr>
          <w:spacing w:val="-9"/>
          <w:sz w:val="16"/>
        </w:rPr>
        <w:t xml:space="preserve"> </w:t>
      </w:r>
      <w:r>
        <w:rPr>
          <w:sz w:val="16"/>
        </w:rPr>
        <w:t>de</w:t>
      </w:r>
      <w:r>
        <w:rPr>
          <w:spacing w:val="-7"/>
          <w:sz w:val="16"/>
        </w:rPr>
        <w:t xml:space="preserve"> </w:t>
      </w:r>
      <w:r>
        <w:rPr>
          <w:sz w:val="16"/>
        </w:rPr>
        <w:t>la</w:t>
      </w:r>
      <w:r>
        <w:rPr>
          <w:spacing w:val="-8"/>
          <w:sz w:val="16"/>
        </w:rPr>
        <w:t xml:space="preserve"> </w:t>
      </w:r>
      <w:r>
        <w:rPr>
          <w:sz w:val="16"/>
        </w:rPr>
        <w:t>Convención</w:t>
      </w:r>
      <w:r>
        <w:rPr>
          <w:spacing w:val="-6"/>
          <w:sz w:val="16"/>
        </w:rPr>
        <w:t xml:space="preserve"> </w:t>
      </w:r>
      <w:r>
        <w:rPr>
          <w:sz w:val="16"/>
        </w:rPr>
        <w:t>Americana</w:t>
      </w:r>
      <w:r>
        <w:rPr>
          <w:spacing w:val="-11"/>
          <w:sz w:val="16"/>
        </w:rPr>
        <w:t xml:space="preserve"> </w:t>
      </w:r>
      <w:r>
        <w:rPr>
          <w:sz w:val="16"/>
        </w:rPr>
        <w:t>y</w:t>
      </w:r>
      <w:r>
        <w:rPr>
          <w:spacing w:val="-6"/>
          <w:sz w:val="16"/>
        </w:rPr>
        <w:t xml:space="preserve"> </w:t>
      </w:r>
      <w:r>
        <w:rPr>
          <w:sz w:val="16"/>
        </w:rPr>
        <w:t>de</w:t>
      </w:r>
      <w:r>
        <w:rPr>
          <w:spacing w:val="-7"/>
          <w:sz w:val="16"/>
        </w:rPr>
        <w:t xml:space="preserve"> </w:t>
      </w:r>
      <w:r>
        <w:rPr>
          <w:sz w:val="16"/>
        </w:rPr>
        <w:t>la</w:t>
      </w:r>
      <w:r>
        <w:rPr>
          <w:spacing w:val="-8"/>
          <w:sz w:val="16"/>
        </w:rPr>
        <w:t xml:space="preserve"> </w:t>
      </w:r>
      <w:r>
        <w:rPr>
          <w:sz w:val="16"/>
        </w:rPr>
        <w:t>creación de la Corte IDH, celebrada en la sede del Tribunal Interamericano el 17 de julio de 2018. Sobre este “mandato transformador”</w:t>
      </w:r>
      <w:r>
        <w:rPr>
          <w:spacing w:val="-12"/>
          <w:sz w:val="16"/>
        </w:rPr>
        <w:t xml:space="preserve"> </w:t>
      </w:r>
      <w:r>
        <w:rPr>
          <w:sz w:val="16"/>
        </w:rPr>
        <w:t>y</w:t>
      </w:r>
      <w:r>
        <w:rPr>
          <w:spacing w:val="-11"/>
          <w:sz w:val="16"/>
        </w:rPr>
        <w:t xml:space="preserve"> </w:t>
      </w:r>
      <w:r>
        <w:rPr>
          <w:sz w:val="16"/>
        </w:rPr>
        <w:t>sus</w:t>
      </w:r>
      <w:r>
        <w:rPr>
          <w:spacing w:val="-9"/>
          <w:sz w:val="16"/>
        </w:rPr>
        <w:t xml:space="preserve"> </w:t>
      </w:r>
      <w:r>
        <w:rPr>
          <w:sz w:val="16"/>
        </w:rPr>
        <w:t>implicaciones,</w:t>
      </w:r>
      <w:r>
        <w:rPr>
          <w:spacing w:val="-13"/>
          <w:sz w:val="16"/>
        </w:rPr>
        <w:t xml:space="preserve"> </w:t>
      </w:r>
      <w:r>
        <w:rPr>
          <w:sz w:val="16"/>
        </w:rPr>
        <w:t>véase</w:t>
      </w:r>
      <w:r>
        <w:rPr>
          <w:spacing w:val="-12"/>
          <w:sz w:val="16"/>
        </w:rPr>
        <w:t xml:space="preserve"> </w:t>
      </w:r>
      <w:r>
        <w:rPr>
          <w:sz w:val="16"/>
        </w:rPr>
        <w:t>la</w:t>
      </w:r>
      <w:r>
        <w:rPr>
          <w:spacing w:val="-10"/>
          <w:sz w:val="16"/>
        </w:rPr>
        <w:t xml:space="preserve"> </w:t>
      </w:r>
      <w:r>
        <w:rPr>
          <w:sz w:val="16"/>
        </w:rPr>
        <w:t>ponencia</w:t>
      </w:r>
      <w:r>
        <w:rPr>
          <w:spacing w:val="-13"/>
          <w:sz w:val="16"/>
        </w:rPr>
        <w:t xml:space="preserve"> </w:t>
      </w:r>
      <w:r>
        <w:rPr>
          <w:sz w:val="16"/>
        </w:rPr>
        <w:t>presentada</w:t>
      </w:r>
      <w:r>
        <w:rPr>
          <w:spacing w:val="-10"/>
          <w:sz w:val="16"/>
        </w:rPr>
        <w:t xml:space="preserve"> </w:t>
      </w:r>
      <w:r>
        <w:rPr>
          <w:sz w:val="16"/>
        </w:rPr>
        <w:t>por</w:t>
      </w:r>
      <w:r>
        <w:rPr>
          <w:spacing w:val="-11"/>
          <w:sz w:val="16"/>
        </w:rPr>
        <w:t xml:space="preserve"> </w:t>
      </w:r>
      <w:r>
        <w:rPr>
          <w:sz w:val="16"/>
        </w:rPr>
        <w:t>Bogdandy</w:t>
      </w:r>
      <w:r>
        <w:rPr>
          <w:spacing w:val="-11"/>
          <w:sz w:val="16"/>
        </w:rPr>
        <w:t xml:space="preserve"> </w:t>
      </w:r>
      <w:r>
        <w:rPr>
          <w:sz w:val="16"/>
        </w:rPr>
        <w:t>von,</w:t>
      </w:r>
      <w:r>
        <w:rPr>
          <w:spacing w:val="-13"/>
          <w:sz w:val="16"/>
        </w:rPr>
        <w:t xml:space="preserve"> </w:t>
      </w:r>
      <w:r>
        <w:rPr>
          <w:sz w:val="16"/>
        </w:rPr>
        <w:t>Armin,</w:t>
      </w:r>
      <w:r>
        <w:rPr>
          <w:spacing w:val="-11"/>
          <w:sz w:val="16"/>
        </w:rPr>
        <w:t xml:space="preserve"> </w:t>
      </w:r>
      <w:r>
        <w:rPr>
          <w:sz w:val="16"/>
        </w:rPr>
        <w:t>“El</w:t>
      </w:r>
      <w:r>
        <w:rPr>
          <w:spacing w:val="-11"/>
          <w:sz w:val="16"/>
        </w:rPr>
        <w:t xml:space="preserve"> </w:t>
      </w:r>
      <w:r>
        <w:rPr>
          <w:sz w:val="16"/>
        </w:rPr>
        <w:t>mandato</w:t>
      </w:r>
      <w:r>
        <w:rPr>
          <w:spacing w:val="-11"/>
          <w:sz w:val="16"/>
        </w:rPr>
        <w:t xml:space="preserve"> </w:t>
      </w:r>
      <w:r>
        <w:rPr>
          <w:sz w:val="16"/>
        </w:rPr>
        <w:t>del</w:t>
      </w:r>
      <w:r>
        <w:rPr>
          <w:spacing w:val="-13"/>
          <w:sz w:val="16"/>
        </w:rPr>
        <w:t xml:space="preserve"> </w:t>
      </w:r>
      <w:r>
        <w:rPr>
          <w:sz w:val="16"/>
        </w:rPr>
        <w:t xml:space="preserve">Sistema Interamericano. Constitucionalismo transformador por un derecho común de derechos humanos”. </w:t>
      </w:r>
      <w:r>
        <w:rPr>
          <w:i/>
          <w:sz w:val="16"/>
        </w:rPr>
        <w:t xml:space="preserve">Cfr. Diálogo entre Cortes Regionales de Derechos Humanos, </w:t>
      </w:r>
      <w:r>
        <w:rPr>
          <w:sz w:val="16"/>
        </w:rPr>
        <w:t>San José, Corte IDH, 2020, pp. 61-74, así como los comentarios a dicha ponencia de la jueza Elizab</w:t>
      </w:r>
      <w:r>
        <w:rPr>
          <w:sz w:val="16"/>
        </w:rPr>
        <w:t>eth Odio Benito (Corte IDH) y de los jueces Ângelo Matusse (Corte Africana) y Branko Lubarda</w:t>
      </w:r>
      <w:r>
        <w:rPr>
          <w:spacing w:val="-6"/>
          <w:sz w:val="16"/>
        </w:rPr>
        <w:t xml:space="preserve"> </w:t>
      </w:r>
      <w:r>
        <w:rPr>
          <w:sz w:val="16"/>
        </w:rPr>
        <w:t>(Tribunal</w:t>
      </w:r>
      <w:r>
        <w:rPr>
          <w:spacing w:val="-6"/>
          <w:sz w:val="16"/>
        </w:rPr>
        <w:t xml:space="preserve"> </w:t>
      </w:r>
      <w:r>
        <w:rPr>
          <w:sz w:val="16"/>
        </w:rPr>
        <w:t>Europeo),</w:t>
      </w:r>
      <w:r>
        <w:rPr>
          <w:spacing w:val="-8"/>
          <w:sz w:val="16"/>
        </w:rPr>
        <w:t xml:space="preserve"> </w:t>
      </w:r>
      <w:r>
        <w:rPr>
          <w:sz w:val="16"/>
        </w:rPr>
        <w:t>y</w:t>
      </w:r>
      <w:r>
        <w:rPr>
          <w:spacing w:val="-6"/>
          <w:sz w:val="16"/>
        </w:rPr>
        <w:t xml:space="preserve"> </w:t>
      </w:r>
      <w:r>
        <w:rPr>
          <w:sz w:val="16"/>
        </w:rPr>
        <w:t>las</w:t>
      </w:r>
      <w:r>
        <w:rPr>
          <w:spacing w:val="-5"/>
          <w:sz w:val="16"/>
        </w:rPr>
        <w:t xml:space="preserve"> </w:t>
      </w:r>
      <w:r>
        <w:rPr>
          <w:sz w:val="16"/>
        </w:rPr>
        <w:t>conclusiones</w:t>
      </w:r>
      <w:r>
        <w:rPr>
          <w:spacing w:val="-7"/>
          <w:sz w:val="16"/>
        </w:rPr>
        <w:t xml:space="preserve"> </w:t>
      </w:r>
      <w:r>
        <w:rPr>
          <w:sz w:val="16"/>
        </w:rPr>
        <w:t>de</w:t>
      </w:r>
      <w:r>
        <w:rPr>
          <w:spacing w:val="-4"/>
          <w:sz w:val="16"/>
        </w:rPr>
        <w:t xml:space="preserve"> </w:t>
      </w:r>
      <w:r>
        <w:rPr>
          <w:sz w:val="16"/>
        </w:rPr>
        <w:t>la</w:t>
      </w:r>
      <w:r>
        <w:rPr>
          <w:spacing w:val="-6"/>
          <w:sz w:val="16"/>
        </w:rPr>
        <w:t xml:space="preserve"> </w:t>
      </w:r>
      <w:r>
        <w:rPr>
          <w:sz w:val="16"/>
        </w:rPr>
        <w:t>mesa</w:t>
      </w:r>
      <w:r>
        <w:rPr>
          <w:spacing w:val="-8"/>
          <w:sz w:val="16"/>
        </w:rPr>
        <w:t xml:space="preserve"> </w:t>
      </w:r>
      <w:r>
        <w:rPr>
          <w:sz w:val="16"/>
        </w:rPr>
        <w:t>por</w:t>
      </w:r>
      <w:r>
        <w:rPr>
          <w:spacing w:val="-4"/>
          <w:sz w:val="16"/>
        </w:rPr>
        <w:t xml:space="preserve"> </w:t>
      </w:r>
      <w:r>
        <w:rPr>
          <w:sz w:val="16"/>
        </w:rPr>
        <w:t>la</w:t>
      </w:r>
      <w:r>
        <w:rPr>
          <w:spacing w:val="-7"/>
          <w:sz w:val="16"/>
        </w:rPr>
        <w:t xml:space="preserve"> </w:t>
      </w:r>
      <w:r>
        <w:rPr>
          <w:sz w:val="16"/>
        </w:rPr>
        <w:t>moderadora</w:t>
      </w:r>
      <w:r>
        <w:rPr>
          <w:spacing w:val="-8"/>
          <w:sz w:val="16"/>
        </w:rPr>
        <w:t xml:space="preserve"> </w:t>
      </w:r>
      <w:r>
        <w:rPr>
          <w:sz w:val="16"/>
        </w:rPr>
        <w:t>Mónica</w:t>
      </w:r>
      <w:r>
        <w:rPr>
          <w:spacing w:val="-6"/>
          <w:sz w:val="16"/>
        </w:rPr>
        <w:t xml:space="preserve"> </w:t>
      </w:r>
      <w:r>
        <w:rPr>
          <w:sz w:val="16"/>
        </w:rPr>
        <w:t>Pinto,</w:t>
      </w:r>
      <w:r>
        <w:rPr>
          <w:spacing w:val="-5"/>
          <w:sz w:val="16"/>
        </w:rPr>
        <w:t xml:space="preserve"> </w:t>
      </w:r>
      <w:r>
        <w:rPr>
          <w:sz w:val="16"/>
        </w:rPr>
        <w:t>todas</w:t>
      </w:r>
      <w:r>
        <w:rPr>
          <w:spacing w:val="-7"/>
          <w:sz w:val="16"/>
        </w:rPr>
        <w:t xml:space="preserve"> </w:t>
      </w:r>
      <w:r>
        <w:rPr>
          <w:sz w:val="16"/>
        </w:rPr>
        <w:t>ellas</w:t>
      </w:r>
      <w:r>
        <w:rPr>
          <w:spacing w:val="-5"/>
          <w:sz w:val="16"/>
        </w:rPr>
        <w:t xml:space="preserve"> </w:t>
      </w:r>
      <w:r>
        <w:rPr>
          <w:sz w:val="16"/>
        </w:rPr>
        <w:t>en</w:t>
      </w:r>
      <w:r>
        <w:rPr>
          <w:spacing w:val="-5"/>
          <w:sz w:val="16"/>
        </w:rPr>
        <w:t xml:space="preserve"> </w:t>
      </w:r>
      <w:r>
        <w:rPr>
          <w:sz w:val="16"/>
        </w:rPr>
        <w:t>las</w:t>
      </w:r>
      <w:r>
        <w:rPr>
          <w:spacing w:val="-7"/>
          <w:sz w:val="16"/>
        </w:rPr>
        <w:t xml:space="preserve"> </w:t>
      </w:r>
      <w:r>
        <w:rPr>
          <w:sz w:val="16"/>
        </w:rPr>
        <w:t>pp.</w:t>
      </w:r>
      <w:r>
        <w:rPr>
          <w:spacing w:val="-8"/>
          <w:sz w:val="16"/>
        </w:rPr>
        <w:t xml:space="preserve"> </w:t>
      </w:r>
      <w:r>
        <w:rPr>
          <w:sz w:val="16"/>
        </w:rPr>
        <w:t>75- 83,</w:t>
      </w:r>
      <w:r>
        <w:rPr>
          <w:spacing w:val="-19"/>
          <w:sz w:val="16"/>
        </w:rPr>
        <w:t xml:space="preserve"> </w:t>
      </w:r>
      <w:r>
        <w:rPr>
          <w:sz w:val="16"/>
        </w:rPr>
        <w:t>85-108,</w:t>
      </w:r>
      <w:r>
        <w:rPr>
          <w:spacing w:val="-16"/>
          <w:sz w:val="16"/>
        </w:rPr>
        <w:t xml:space="preserve"> </w:t>
      </w:r>
      <w:r>
        <w:rPr>
          <w:sz w:val="16"/>
        </w:rPr>
        <w:t>109-114</w:t>
      </w:r>
      <w:r>
        <w:rPr>
          <w:spacing w:val="-17"/>
          <w:sz w:val="16"/>
        </w:rPr>
        <w:t xml:space="preserve"> </w:t>
      </w:r>
      <w:r>
        <w:rPr>
          <w:sz w:val="16"/>
        </w:rPr>
        <w:t>y</w:t>
      </w:r>
      <w:r>
        <w:rPr>
          <w:spacing w:val="-14"/>
          <w:sz w:val="16"/>
        </w:rPr>
        <w:t xml:space="preserve"> </w:t>
      </w:r>
      <w:r>
        <w:rPr>
          <w:sz w:val="16"/>
        </w:rPr>
        <w:t>115-118,</w:t>
      </w:r>
      <w:r>
        <w:rPr>
          <w:spacing w:val="-16"/>
          <w:sz w:val="16"/>
        </w:rPr>
        <w:t xml:space="preserve"> </w:t>
      </w:r>
      <w:r>
        <w:rPr>
          <w:sz w:val="16"/>
        </w:rPr>
        <w:t>respectivamente.</w:t>
      </w:r>
      <w:r>
        <w:rPr>
          <w:spacing w:val="-16"/>
          <w:sz w:val="16"/>
        </w:rPr>
        <w:t xml:space="preserve"> </w:t>
      </w:r>
      <w:r>
        <w:rPr>
          <w:sz w:val="16"/>
        </w:rPr>
        <w:t>La</w:t>
      </w:r>
      <w:r>
        <w:rPr>
          <w:spacing w:val="-15"/>
          <w:sz w:val="16"/>
        </w:rPr>
        <w:t xml:space="preserve"> </w:t>
      </w:r>
      <w:r>
        <w:rPr>
          <w:sz w:val="16"/>
        </w:rPr>
        <w:t>jueza</w:t>
      </w:r>
      <w:r>
        <w:rPr>
          <w:spacing w:val="-19"/>
          <w:sz w:val="16"/>
        </w:rPr>
        <w:t xml:space="preserve"> </w:t>
      </w:r>
      <w:r>
        <w:rPr>
          <w:sz w:val="16"/>
        </w:rPr>
        <w:t>Odio</w:t>
      </w:r>
      <w:r>
        <w:rPr>
          <w:spacing w:val="-17"/>
          <w:sz w:val="16"/>
        </w:rPr>
        <w:t xml:space="preserve"> </w:t>
      </w:r>
      <w:r>
        <w:rPr>
          <w:sz w:val="16"/>
        </w:rPr>
        <w:t>Benito</w:t>
      </w:r>
      <w:r>
        <w:rPr>
          <w:spacing w:val="-15"/>
          <w:sz w:val="16"/>
        </w:rPr>
        <w:t xml:space="preserve"> </w:t>
      </w:r>
      <w:r>
        <w:rPr>
          <w:sz w:val="16"/>
        </w:rPr>
        <w:t>considera</w:t>
      </w:r>
      <w:r>
        <w:rPr>
          <w:spacing w:val="-15"/>
          <w:sz w:val="16"/>
        </w:rPr>
        <w:t xml:space="preserve"> </w:t>
      </w:r>
      <w:r>
        <w:rPr>
          <w:sz w:val="16"/>
        </w:rPr>
        <w:t>que</w:t>
      </w:r>
      <w:r>
        <w:rPr>
          <w:spacing w:val="-18"/>
          <w:sz w:val="16"/>
        </w:rPr>
        <w:t xml:space="preserve"> </w:t>
      </w:r>
      <w:r>
        <w:rPr>
          <w:sz w:val="16"/>
        </w:rPr>
        <w:t>dicho</w:t>
      </w:r>
      <w:r>
        <w:rPr>
          <w:spacing w:val="-15"/>
          <w:sz w:val="16"/>
        </w:rPr>
        <w:t xml:space="preserve"> </w:t>
      </w:r>
      <w:r>
        <w:rPr>
          <w:sz w:val="16"/>
        </w:rPr>
        <w:t>“mandato</w:t>
      </w:r>
      <w:r>
        <w:rPr>
          <w:spacing w:val="-14"/>
          <w:sz w:val="16"/>
        </w:rPr>
        <w:t xml:space="preserve"> </w:t>
      </w:r>
      <w:r>
        <w:rPr>
          <w:sz w:val="16"/>
        </w:rPr>
        <w:t xml:space="preserve">transformador” funciona con la “interpretación evolutiva”. La obra puede consultare en: </w:t>
      </w:r>
      <w:hyperlink r:id="rId68">
        <w:r>
          <w:rPr>
            <w:sz w:val="16"/>
            <w:u w:val="single"/>
          </w:rPr>
          <w:t>https://www.corteidh.or.cr/sitios/l</w:t>
        </w:r>
        <w:r>
          <w:rPr>
            <w:sz w:val="16"/>
            <w:u w:val="single"/>
          </w:rPr>
          <w:t>ibros/todos/docs/dialogo-es.pdf</w:t>
        </w:r>
      </w:hyperlink>
      <w:r>
        <w:rPr>
          <w:sz w:val="16"/>
          <w:u w:val="single"/>
        </w:rPr>
        <w:t>.</w:t>
      </w:r>
    </w:p>
    <w:p w14:paraId="12647801" w14:textId="77777777" w:rsidR="00467FCA" w:rsidRDefault="001B68EB">
      <w:pPr>
        <w:tabs>
          <w:tab w:val="left" w:pos="1166"/>
        </w:tabs>
        <w:ind w:left="458" w:right="272"/>
        <w:jc w:val="both"/>
        <w:rPr>
          <w:sz w:val="16"/>
        </w:rPr>
      </w:pPr>
      <w:bookmarkStart w:id="938" w:name="_bookmark857"/>
      <w:bookmarkEnd w:id="938"/>
      <w:r>
        <w:rPr>
          <w:position w:val="6"/>
          <w:sz w:val="10"/>
        </w:rPr>
        <w:t>175</w:t>
      </w:r>
      <w:r>
        <w:rPr>
          <w:position w:val="6"/>
          <w:sz w:val="10"/>
        </w:rPr>
        <w:tab/>
      </w:r>
      <w:r>
        <w:rPr>
          <w:sz w:val="16"/>
        </w:rPr>
        <w:t xml:space="preserve">En cuanto a la “persistencia de la desigualdad”, la “pobreza” y la “exclusión social”, así como su impacto en personas o grupos en situación o condición de vulnerabilidad, véase Comisión Económica para Amércia Latina y </w:t>
      </w:r>
      <w:r>
        <w:rPr>
          <w:sz w:val="16"/>
        </w:rPr>
        <w:t xml:space="preserve">el Caribe (CEPAL), </w:t>
      </w:r>
      <w:r>
        <w:rPr>
          <w:i/>
          <w:sz w:val="16"/>
        </w:rPr>
        <w:t xml:space="preserve">Panorama Social de América Latina, </w:t>
      </w:r>
      <w:r>
        <w:rPr>
          <w:sz w:val="16"/>
        </w:rPr>
        <w:t>Santiago de Chile, Naciones Unidas, años 2017, 2018 y</w:t>
      </w:r>
      <w:r>
        <w:rPr>
          <w:spacing w:val="-30"/>
          <w:sz w:val="16"/>
        </w:rPr>
        <w:t xml:space="preserve"> </w:t>
      </w:r>
      <w:r>
        <w:rPr>
          <w:sz w:val="16"/>
        </w:rPr>
        <w:t>2019.</w:t>
      </w:r>
    </w:p>
    <w:p w14:paraId="335C82A0" w14:textId="77777777" w:rsidR="00467FCA" w:rsidRDefault="001B68EB">
      <w:pPr>
        <w:tabs>
          <w:tab w:val="left" w:pos="1166"/>
        </w:tabs>
        <w:ind w:left="458" w:right="275"/>
        <w:jc w:val="both"/>
        <w:rPr>
          <w:sz w:val="16"/>
        </w:rPr>
      </w:pPr>
      <w:bookmarkStart w:id="939" w:name="_bookmark858"/>
      <w:bookmarkEnd w:id="939"/>
      <w:r>
        <w:rPr>
          <w:position w:val="6"/>
          <w:sz w:val="10"/>
        </w:rPr>
        <w:t>176</w:t>
      </w:r>
      <w:r>
        <w:rPr>
          <w:position w:val="6"/>
          <w:sz w:val="10"/>
        </w:rPr>
        <w:tab/>
      </w:r>
      <w:r>
        <w:rPr>
          <w:sz w:val="16"/>
        </w:rPr>
        <w:t xml:space="preserve">Según la CEPAL “la pobreza, la pobreza extrema y la desigualdad aumentarán en todos los países de la región”, CEPAL, </w:t>
      </w:r>
      <w:r>
        <w:rPr>
          <w:i/>
          <w:sz w:val="16"/>
        </w:rPr>
        <w:t xml:space="preserve">El desafío social en </w:t>
      </w:r>
      <w:r>
        <w:rPr>
          <w:i/>
          <w:sz w:val="16"/>
        </w:rPr>
        <w:t xml:space="preserve">tiempos del COVID-19, </w:t>
      </w:r>
      <w:r>
        <w:rPr>
          <w:sz w:val="16"/>
        </w:rPr>
        <w:t>Santiago de Chile, Naciones Unidas, 2020 p.</w:t>
      </w:r>
      <w:r>
        <w:rPr>
          <w:spacing w:val="-20"/>
          <w:sz w:val="16"/>
        </w:rPr>
        <w:t xml:space="preserve"> </w:t>
      </w:r>
      <w:r>
        <w:rPr>
          <w:sz w:val="16"/>
        </w:rPr>
        <w:t>1.</w:t>
      </w:r>
    </w:p>
    <w:p w14:paraId="7F0BF9CE" w14:textId="77777777" w:rsidR="00467FCA" w:rsidRDefault="00467FCA">
      <w:pPr>
        <w:jc w:val="both"/>
        <w:rPr>
          <w:sz w:val="16"/>
        </w:rPr>
        <w:sectPr w:rsidR="00467FCA">
          <w:pgSz w:w="12240" w:h="15840"/>
          <w:pgMar w:top="1340" w:right="1140" w:bottom="920" w:left="960" w:header="0" w:footer="734" w:gutter="0"/>
          <w:cols w:space="720"/>
        </w:sectPr>
      </w:pPr>
    </w:p>
    <w:p w14:paraId="097B5132" w14:textId="77777777" w:rsidR="00467FCA" w:rsidRDefault="001B68EB">
      <w:pPr>
        <w:pStyle w:val="Ttulo1"/>
        <w:spacing w:before="78" w:line="278" w:lineRule="auto"/>
        <w:ind w:left="2401" w:right="2346" w:firstLine="592"/>
      </w:pPr>
      <w:bookmarkStart w:id="940" w:name="vsc_manrique_407_esp"/>
      <w:bookmarkEnd w:id="940"/>
      <w:r>
        <w:t>VOTO CONCURRENTE DEL JUEZ RICARDO C. PÉREZ</w:t>
      </w:r>
      <w:r>
        <w:rPr>
          <w:spacing w:val="-14"/>
        </w:rPr>
        <w:t xml:space="preserve"> </w:t>
      </w:r>
      <w:r>
        <w:t>MANRIQUE</w:t>
      </w:r>
    </w:p>
    <w:p w14:paraId="5AE69A4B" w14:textId="77777777" w:rsidR="00467FCA" w:rsidRDefault="00467FCA">
      <w:pPr>
        <w:pStyle w:val="Textoindependiente"/>
        <w:spacing w:before="8"/>
        <w:rPr>
          <w:b/>
          <w:sz w:val="22"/>
        </w:rPr>
      </w:pPr>
    </w:p>
    <w:p w14:paraId="5BBA12C0" w14:textId="77777777" w:rsidR="00467FCA" w:rsidRDefault="001B68EB">
      <w:pPr>
        <w:spacing w:before="1" w:line="276" w:lineRule="auto"/>
        <w:ind w:left="2308" w:right="396" w:hanging="1836"/>
        <w:rPr>
          <w:b/>
          <w:i/>
          <w:sz w:val="20"/>
        </w:rPr>
      </w:pPr>
      <w:r>
        <w:rPr>
          <w:b/>
          <w:i/>
          <w:sz w:val="20"/>
          <w:u w:val="thick"/>
        </w:rPr>
        <w:t>CASO EMPLEADOS DE LA FÁBRICA DE FUEGOS EN SANTO ANTÔNIO DE</w:t>
      </w:r>
      <w:r>
        <w:rPr>
          <w:b/>
          <w:i/>
          <w:sz w:val="20"/>
        </w:rPr>
        <w:t xml:space="preserve"> </w:t>
      </w:r>
      <w:r>
        <w:rPr>
          <w:b/>
          <w:i/>
          <w:sz w:val="20"/>
          <w:u w:val="thick"/>
        </w:rPr>
        <w:t>JESUS Y SUS FAMILIARES VS. BRASIL</w:t>
      </w:r>
    </w:p>
    <w:p w14:paraId="0C6E31FC" w14:textId="77777777" w:rsidR="00467FCA" w:rsidRDefault="00467FCA">
      <w:pPr>
        <w:pStyle w:val="Textoindependiente"/>
        <w:spacing w:before="9"/>
        <w:rPr>
          <w:b/>
          <w:i/>
          <w:sz w:val="14"/>
        </w:rPr>
      </w:pPr>
    </w:p>
    <w:p w14:paraId="7A80490A" w14:textId="77777777" w:rsidR="00467FCA" w:rsidRDefault="001B68EB">
      <w:pPr>
        <w:spacing w:before="99"/>
        <w:ind w:left="1123" w:right="1068"/>
        <w:jc w:val="center"/>
        <w:rPr>
          <w:b/>
          <w:sz w:val="20"/>
        </w:rPr>
      </w:pPr>
      <w:r>
        <w:rPr>
          <w:b/>
          <w:sz w:val="20"/>
        </w:rPr>
        <w:t>SENTENCIA DE 15 DE JULIO D</w:t>
      </w:r>
      <w:r>
        <w:rPr>
          <w:b/>
          <w:sz w:val="20"/>
        </w:rPr>
        <w:t>E 2020</w:t>
      </w:r>
    </w:p>
    <w:p w14:paraId="267F0330" w14:textId="77777777" w:rsidR="00467FCA" w:rsidRDefault="001B68EB">
      <w:pPr>
        <w:spacing w:before="38"/>
        <w:ind w:left="1123" w:right="1068"/>
        <w:jc w:val="center"/>
        <w:rPr>
          <w:b/>
          <w:sz w:val="20"/>
        </w:rPr>
      </w:pPr>
      <w:r>
        <w:rPr>
          <w:b/>
          <w:sz w:val="20"/>
        </w:rPr>
        <w:t>(Excepciones Preliminares, Fondo, Reparaciones y Costas)</w:t>
      </w:r>
    </w:p>
    <w:p w14:paraId="71AA1A55" w14:textId="77777777" w:rsidR="00467FCA" w:rsidRDefault="00467FCA">
      <w:pPr>
        <w:pStyle w:val="Textoindependiente"/>
        <w:rPr>
          <w:b/>
          <w:sz w:val="24"/>
        </w:rPr>
      </w:pPr>
    </w:p>
    <w:p w14:paraId="25C11D2D" w14:textId="77777777" w:rsidR="00467FCA" w:rsidRDefault="00467FCA">
      <w:pPr>
        <w:pStyle w:val="Textoindependiente"/>
        <w:rPr>
          <w:b/>
          <w:sz w:val="24"/>
        </w:rPr>
      </w:pPr>
    </w:p>
    <w:p w14:paraId="7C890935" w14:textId="77777777" w:rsidR="00467FCA" w:rsidRDefault="001B68EB">
      <w:pPr>
        <w:pStyle w:val="Prrafodelista"/>
        <w:numPr>
          <w:ilvl w:val="1"/>
          <w:numId w:val="4"/>
        </w:numPr>
        <w:tabs>
          <w:tab w:val="left" w:pos="1314"/>
          <w:tab w:val="left" w:pos="1315"/>
        </w:tabs>
        <w:spacing w:before="212"/>
        <w:ind w:hanging="568"/>
        <w:jc w:val="left"/>
        <w:rPr>
          <w:b/>
          <w:sz w:val="20"/>
        </w:rPr>
      </w:pPr>
      <w:bookmarkStart w:id="941" w:name="I._Introducción"/>
      <w:bookmarkEnd w:id="941"/>
      <w:r>
        <w:rPr>
          <w:b/>
          <w:sz w:val="20"/>
        </w:rPr>
        <w:t>Introducción</w:t>
      </w:r>
    </w:p>
    <w:p w14:paraId="3033297F" w14:textId="77777777" w:rsidR="00467FCA" w:rsidRDefault="00467FCA">
      <w:pPr>
        <w:pStyle w:val="Textoindependiente"/>
        <w:spacing w:before="8"/>
        <w:rPr>
          <w:b/>
          <w:sz w:val="22"/>
        </w:rPr>
      </w:pPr>
    </w:p>
    <w:p w14:paraId="35CBAEB3" w14:textId="77777777" w:rsidR="00467FCA" w:rsidRDefault="001B68EB">
      <w:pPr>
        <w:pStyle w:val="Prrafodelista"/>
        <w:numPr>
          <w:ilvl w:val="0"/>
          <w:numId w:val="3"/>
        </w:numPr>
        <w:tabs>
          <w:tab w:val="left" w:pos="890"/>
        </w:tabs>
        <w:ind w:hanging="709"/>
        <w:jc w:val="both"/>
        <w:rPr>
          <w:sz w:val="20"/>
        </w:rPr>
      </w:pPr>
      <w:r>
        <w:rPr>
          <w:sz w:val="20"/>
        </w:rPr>
        <w:t>En</w:t>
      </w:r>
      <w:r>
        <w:rPr>
          <w:spacing w:val="10"/>
          <w:sz w:val="20"/>
        </w:rPr>
        <w:t xml:space="preserve"> </w:t>
      </w:r>
      <w:r>
        <w:rPr>
          <w:sz w:val="20"/>
        </w:rPr>
        <w:t>la</w:t>
      </w:r>
      <w:r>
        <w:rPr>
          <w:spacing w:val="10"/>
          <w:sz w:val="20"/>
        </w:rPr>
        <w:t xml:space="preserve"> </w:t>
      </w:r>
      <w:r>
        <w:rPr>
          <w:sz w:val="20"/>
        </w:rPr>
        <w:t>sentencia</w:t>
      </w:r>
      <w:r>
        <w:rPr>
          <w:spacing w:val="12"/>
          <w:sz w:val="20"/>
        </w:rPr>
        <w:t xml:space="preserve"> </w:t>
      </w:r>
      <w:r>
        <w:rPr>
          <w:sz w:val="20"/>
        </w:rPr>
        <w:t>se</w:t>
      </w:r>
      <w:r>
        <w:rPr>
          <w:spacing w:val="9"/>
          <w:sz w:val="20"/>
        </w:rPr>
        <w:t xml:space="preserve"> </w:t>
      </w:r>
      <w:r>
        <w:rPr>
          <w:sz w:val="20"/>
        </w:rPr>
        <w:t>declara,</w:t>
      </w:r>
      <w:r>
        <w:rPr>
          <w:spacing w:val="11"/>
          <w:sz w:val="20"/>
        </w:rPr>
        <w:t xml:space="preserve"> </w:t>
      </w:r>
      <w:r>
        <w:rPr>
          <w:sz w:val="20"/>
        </w:rPr>
        <w:t>entre</w:t>
      </w:r>
      <w:r>
        <w:rPr>
          <w:spacing w:val="11"/>
          <w:sz w:val="20"/>
        </w:rPr>
        <w:t xml:space="preserve"> </w:t>
      </w:r>
      <w:r>
        <w:rPr>
          <w:sz w:val="20"/>
        </w:rPr>
        <w:t>otras,</w:t>
      </w:r>
      <w:r>
        <w:rPr>
          <w:spacing w:val="8"/>
          <w:sz w:val="20"/>
        </w:rPr>
        <w:t xml:space="preserve"> </w:t>
      </w:r>
      <w:r>
        <w:rPr>
          <w:sz w:val="20"/>
        </w:rPr>
        <w:t>la</w:t>
      </w:r>
      <w:r>
        <w:rPr>
          <w:spacing w:val="12"/>
          <w:sz w:val="20"/>
        </w:rPr>
        <w:t xml:space="preserve"> </w:t>
      </w:r>
      <w:r>
        <w:rPr>
          <w:sz w:val="20"/>
        </w:rPr>
        <w:t>violación</w:t>
      </w:r>
      <w:r>
        <w:rPr>
          <w:spacing w:val="10"/>
          <w:sz w:val="20"/>
        </w:rPr>
        <w:t xml:space="preserve"> </w:t>
      </w:r>
      <w:r>
        <w:rPr>
          <w:sz w:val="20"/>
        </w:rPr>
        <w:t>de</w:t>
      </w:r>
      <w:r>
        <w:rPr>
          <w:spacing w:val="9"/>
          <w:sz w:val="20"/>
        </w:rPr>
        <w:t xml:space="preserve"> </w:t>
      </w:r>
      <w:r>
        <w:rPr>
          <w:sz w:val="20"/>
        </w:rPr>
        <w:t>los</w:t>
      </w:r>
      <w:r>
        <w:rPr>
          <w:spacing w:val="8"/>
          <w:sz w:val="20"/>
        </w:rPr>
        <w:t xml:space="preserve"> </w:t>
      </w:r>
      <w:r>
        <w:rPr>
          <w:sz w:val="20"/>
        </w:rPr>
        <w:t>artículos</w:t>
      </w:r>
      <w:r>
        <w:rPr>
          <w:spacing w:val="12"/>
          <w:sz w:val="20"/>
        </w:rPr>
        <w:t xml:space="preserve"> </w:t>
      </w:r>
      <w:r>
        <w:rPr>
          <w:sz w:val="20"/>
        </w:rPr>
        <w:t>19,</w:t>
      </w:r>
      <w:r>
        <w:rPr>
          <w:spacing w:val="8"/>
          <w:sz w:val="20"/>
        </w:rPr>
        <w:t xml:space="preserve"> </w:t>
      </w:r>
      <w:r>
        <w:rPr>
          <w:sz w:val="20"/>
        </w:rPr>
        <w:t>24</w:t>
      </w:r>
      <w:r>
        <w:rPr>
          <w:spacing w:val="11"/>
          <w:sz w:val="20"/>
        </w:rPr>
        <w:t xml:space="preserve"> </w:t>
      </w:r>
      <w:r>
        <w:rPr>
          <w:sz w:val="20"/>
        </w:rPr>
        <w:t>y</w:t>
      </w:r>
    </w:p>
    <w:p w14:paraId="61F9E064" w14:textId="77777777" w:rsidR="00467FCA" w:rsidRDefault="001B68EB">
      <w:pPr>
        <w:pStyle w:val="Textoindependiente"/>
        <w:spacing w:before="38" w:line="276" w:lineRule="auto"/>
        <w:ind w:left="180" w:right="119"/>
        <w:jc w:val="both"/>
      </w:pPr>
      <w:r>
        <w:t>26 de la Convención Americana sobre Derechos Humanos (en adelante la “Convención”) por haberse acreditado una situación de discriminación interseccional y estructural que vulneró derechos humanos de mujeres, adolescentes, niños y niñas de una región del no</w:t>
      </w:r>
      <w:r>
        <w:t>rdeste de Brasil con significativa presencia histórica de personas afrodescendientes en condiciones de pobreza y vulnerabilidad</w:t>
      </w:r>
      <w:r>
        <w:rPr>
          <w:spacing w:val="-17"/>
        </w:rPr>
        <w:t xml:space="preserve"> </w:t>
      </w:r>
      <w:r>
        <w:t>social.</w:t>
      </w:r>
    </w:p>
    <w:p w14:paraId="4A225496" w14:textId="77777777" w:rsidR="00467FCA" w:rsidRDefault="00467FCA">
      <w:pPr>
        <w:pStyle w:val="Textoindependiente"/>
        <w:spacing w:before="8"/>
        <w:rPr>
          <w:sz w:val="19"/>
        </w:rPr>
      </w:pPr>
    </w:p>
    <w:p w14:paraId="2213ECCA" w14:textId="77777777" w:rsidR="00467FCA" w:rsidRDefault="001B68EB">
      <w:pPr>
        <w:pStyle w:val="Prrafodelista"/>
        <w:numPr>
          <w:ilvl w:val="0"/>
          <w:numId w:val="3"/>
        </w:numPr>
        <w:tabs>
          <w:tab w:val="left" w:pos="889"/>
        </w:tabs>
        <w:spacing w:before="1" w:line="276" w:lineRule="auto"/>
        <w:ind w:left="180" w:right="119" w:firstLine="0"/>
        <w:jc w:val="both"/>
        <w:rPr>
          <w:sz w:val="20"/>
        </w:rPr>
      </w:pPr>
      <w:r>
        <w:rPr>
          <w:sz w:val="20"/>
        </w:rPr>
        <w:t xml:space="preserve">La Corte Interamericana de Derechos Humanos (en adelante “Corte IDH” o “la Corte”) por medio de la sentencia desestimó </w:t>
      </w:r>
      <w:r>
        <w:rPr>
          <w:sz w:val="20"/>
        </w:rPr>
        <w:t xml:space="preserve">las excepciones preliminares relativas a la inadmisibilidad del sometimiento del caso en virtud de la publicación del Informe de Admisibilidad y Fondo por parte de la Comisión, la incompetencia </w:t>
      </w:r>
      <w:r>
        <w:rPr>
          <w:i/>
          <w:sz w:val="20"/>
        </w:rPr>
        <w:t xml:space="preserve">ratione materiae </w:t>
      </w:r>
      <w:r>
        <w:rPr>
          <w:sz w:val="20"/>
        </w:rPr>
        <w:t>respecto de las supuestas violaciones al dere</w:t>
      </w:r>
      <w:r>
        <w:rPr>
          <w:sz w:val="20"/>
        </w:rPr>
        <w:t>cho al trabajo y la falta de agotamiento de recursos internos, y concluyó que el Estado de Brasil es responsable por la violación de los derechos a la vida, a la integridad personal, a la igual protección de la ley, a la prohibición de discriminación, al t</w:t>
      </w:r>
      <w:r>
        <w:rPr>
          <w:sz w:val="20"/>
        </w:rPr>
        <w:t>rabajo, a las garantías judiciales y protección judicial y a los derechos del niño y de la</w:t>
      </w:r>
      <w:r>
        <w:rPr>
          <w:spacing w:val="-23"/>
          <w:sz w:val="20"/>
        </w:rPr>
        <w:t xml:space="preserve"> </w:t>
      </w:r>
      <w:r>
        <w:rPr>
          <w:sz w:val="20"/>
        </w:rPr>
        <w:t>niña.</w:t>
      </w:r>
    </w:p>
    <w:p w14:paraId="716FC33E" w14:textId="77777777" w:rsidR="00467FCA" w:rsidRDefault="00467FCA">
      <w:pPr>
        <w:pStyle w:val="Textoindependiente"/>
        <w:spacing w:before="8"/>
        <w:rPr>
          <w:sz w:val="19"/>
        </w:rPr>
      </w:pPr>
    </w:p>
    <w:p w14:paraId="67A214C3" w14:textId="77777777" w:rsidR="00467FCA" w:rsidRDefault="001B68EB">
      <w:pPr>
        <w:pStyle w:val="Prrafodelista"/>
        <w:numPr>
          <w:ilvl w:val="0"/>
          <w:numId w:val="3"/>
        </w:numPr>
        <w:tabs>
          <w:tab w:val="left" w:pos="889"/>
        </w:tabs>
        <w:spacing w:before="1" w:line="276" w:lineRule="auto"/>
        <w:ind w:left="180" w:right="118" w:firstLine="0"/>
        <w:jc w:val="both"/>
        <w:rPr>
          <w:sz w:val="20"/>
        </w:rPr>
      </w:pPr>
      <w:r>
        <w:rPr>
          <w:sz w:val="20"/>
        </w:rPr>
        <w:t>Por medio del presente, concurro con lo establecido en la Sentencia y realizo este Voto con los objetivos de: (i) profundizar en la manera en que considero qu</w:t>
      </w:r>
      <w:r>
        <w:rPr>
          <w:sz w:val="20"/>
        </w:rPr>
        <w:t>e  la Corte IDH debería abordar los casos que involucren violaciones a los derechos económicos, sociales, culturales y ambientales, con base en la universalidad, indivisibilidad, interdependencia e interrelación de todos los derechos humanos como fundament</w:t>
      </w:r>
      <w:r>
        <w:rPr>
          <w:sz w:val="20"/>
        </w:rPr>
        <w:t>o de su justiciabilidad; (ii) exponer que la discriminación interseccional y estructural contra mujeres, niñas y niños afrodescendientes y pobres implica un patrón que requiere especial protección; y (iii) resaltar las razones en virtud de las que la oblig</w:t>
      </w:r>
      <w:r>
        <w:rPr>
          <w:sz w:val="20"/>
        </w:rPr>
        <w:t>ación de diseñar y ejecutar un programa de desarrollo socioeconómico destinado para la población de Santo Antônio de Jesus, en coordinación con las víctimas y sus representantes, como medida de no repetición, debe ajustarse a los Objetivos de Desarrollo So</w:t>
      </w:r>
      <w:r>
        <w:rPr>
          <w:sz w:val="20"/>
        </w:rPr>
        <w:t>stenible de la Agenda 2030 y a las recomendaciones del Fondo de Naciones Unidas para la Infancia (en adelante UNICEF) y la Organización Internacional del Trabajo (en adelante</w:t>
      </w:r>
      <w:r>
        <w:rPr>
          <w:spacing w:val="-21"/>
          <w:sz w:val="20"/>
        </w:rPr>
        <w:t xml:space="preserve"> </w:t>
      </w:r>
      <w:r>
        <w:rPr>
          <w:sz w:val="20"/>
        </w:rPr>
        <w:t>OIT).</w:t>
      </w:r>
    </w:p>
    <w:p w14:paraId="500364C4" w14:textId="77777777" w:rsidR="00467FCA" w:rsidRDefault="00467FCA">
      <w:pPr>
        <w:pStyle w:val="Textoindependiente"/>
        <w:spacing w:before="11"/>
        <w:rPr>
          <w:sz w:val="19"/>
        </w:rPr>
      </w:pPr>
    </w:p>
    <w:p w14:paraId="2D3D8A92" w14:textId="77777777" w:rsidR="00467FCA" w:rsidRDefault="001B68EB">
      <w:pPr>
        <w:pStyle w:val="Ttulo1"/>
        <w:numPr>
          <w:ilvl w:val="1"/>
          <w:numId w:val="4"/>
        </w:numPr>
        <w:tabs>
          <w:tab w:val="left" w:pos="1313"/>
          <w:tab w:val="left" w:pos="1314"/>
        </w:tabs>
        <w:spacing w:line="276" w:lineRule="auto"/>
        <w:ind w:left="1313" w:right="122"/>
        <w:jc w:val="left"/>
      </w:pPr>
      <w:bookmarkStart w:id="942" w:name="II._La_cuestión_de_la_Justiciabilidad_de"/>
      <w:bookmarkEnd w:id="942"/>
      <w:r>
        <w:t>La cuestión de la Justiciabilidad de los derechos económicos, sociales, cu</w:t>
      </w:r>
      <w:r>
        <w:t>lturales y ambientales. Competencia de la Corte</w:t>
      </w:r>
      <w:r>
        <w:rPr>
          <w:spacing w:val="-20"/>
        </w:rPr>
        <w:t xml:space="preserve"> </w:t>
      </w:r>
      <w:r>
        <w:t>IDH</w:t>
      </w:r>
    </w:p>
    <w:p w14:paraId="2CF9D4F0" w14:textId="77777777" w:rsidR="00467FCA" w:rsidRDefault="00467FCA">
      <w:pPr>
        <w:pStyle w:val="Textoindependiente"/>
        <w:spacing w:before="9"/>
        <w:rPr>
          <w:b/>
          <w:sz w:val="19"/>
        </w:rPr>
      </w:pPr>
    </w:p>
    <w:p w14:paraId="076AC31F" w14:textId="77777777" w:rsidR="00467FCA" w:rsidRDefault="001B68EB">
      <w:pPr>
        <w:pStyle w:val="Prrafodelista"/>
        <w:numPr>
          <w:ilvl w:val="0"/>
          <w:numId w:val="2"/>
        </w:numPr>
        <w:tabs>
          <w:tab w:val="left" w:pos="491"/>
        </w:tabs>
        <w:ind w:hanging="311"/>
        <w:jc w:val="both"/>
        <w:rPr>
          <w:b/>
          <w:sz w:val="20"/>
        </w:rPr>
      </w:pPr>
      <w:bookmarkStart w:id="943" w:name="a)_La_excepción_previa_de_incompetencia_"/>
      <w:bookmarkEnd w:id="943"/>
      <w:r>
        <w:rPr>
          <w:b/>
          <w:sz w:val="20"/>
        </w:rPr>
        <w:t>La excepción previa de incompetencia ratione</w:t>
      </w:r>
      <w:r>
        <w:rPr>
          <w:b/>
          <w:spacing w:val="-8"/>
          <w:sz w:val="20"/>
        </w:rPr>
        <w:t xml:space="preserve"> </w:t>
      </w:r>
      <w:r>
        <w:rPr>
          <w:b/>
          <w:sz w:val="20"/>
        </w:rPr>
        <w:t>materiae</w:t>
      </w:r>
    </w:p>
    <w:p w14:paraId="25CC3E20" w14:textId="77777777" w:rsidR="00467FCA" w:rsidRDefault="00467FCA">
      <w:pPr>
        <w:pStyle w:val="Textoindependiente"/>
        <w:spacing w:before="8"/>
        <w:rPr>
          <w:b/>
          <w:sz w:val="22"/>
        </w:rPr>
      </w:pPr>
    </w:p>
    <w:p w14:paraId="27781E81" w14:textId="77777777" w:rsidR="00467FCA" w:rsidRDefault="001B68EB">
      <w:pPr>
        <w:pStyle w:val="Prrafodelista"/>
        <w:numPr>
          <w:ilvl w:val="0"/>
          <w:numId w:val="3"/>
        </w:numPr>
        <w:tabs>
          <w:tab w:val="left" w:pos="889"/>
        </w:tabs>
        <w:ind w:left="888" w:hanging="709"/>
        <w:jc w:val="both"/>
        <w:rPr>
          <w:sz w:val="20"/>
        </w:rPr>
      </w:pPr>
      <w:r>
        <w:rPr>
          <w:sz w:val="20"/>
        </w:rPr>
        <w:t>El Estado señaló que la Corte IDH no es competente para pronunciarse</w:t>
      </w:r>
      <w:r>
        <w:rPr>
          <w:spacing w:val="-13"/>
          <w:sz w:val="20"/>
        </w:rPr>
        <w:t xml:space="preserve"> </w:t>
      </w:r>
      <w:r>
        <w:rPr>
          <w:sz w:val="20"/>
        </w:rPr>
        <w:t>sobre</w:t>
      </w:r>
    </w:p>
    <w:p w14:paraId="4636FC47" w14:textId="77777777" w:rsidR="00467FCA" w:rsidRDefault="00467FCA">
      <w:pPr>
        <w:jc w:val="both"/>
        <w:rPr>
          <w:sz w:val="20"/>
        </w:rPr>
        <w:sectPr w:rsidR="00467FCA">
          <w:footerReference w:type="default" r:id="rId69"/>
          <w:pgSz w:w="11910" w:h="16840"/>
          <w:pgMar w:top="1320" w:right="1580" w:bottom="280" w:left="1520" w:header="0" w:footer="0" w:gutter="0"/>
          <w:cols w:space="720"/>
        </w:sectPr>
      </w:pPr>
    </w:p>
    <w:p w14:paraId="4678F939" w14:textId="77777777" w:rsidR="00467FCA" w:rsidRDefault="001B68EB">
      <w:pPr>
        <w:pStyle w:val="Textoindependiente"/>
        <w:spacing w:before="78" w:line="276" w:lineRule="auto"/>
        <w:ind w:left="181" w:right="117"/>
        <w:jc w:val="both"/>
      </w:pPr>
      <w:r>
        <w:t>la violación del derecho al trabajo conforme al artículo 26 de la Convención porque los derechos económicos, sociales, culturales y ambientales no se pueden someter al régimen de peticiones individuales (párrafo 21 de la sentencia). Por su parte, la Comisi</w:t>
      </w:r>
      <w:r>
        <w:t>ón Interamericana de Derechos Humanos (en adelante la “Comisión”) y los representantes solicitaron desestimar la excepción puesto que no constituye una excepción preliminar, sino que se trata de una cuestión de fondo (párrafo 22 de la sentencia).</w:t>
      </w:r>
    </w:p>
    <w:p w14:paraId="29FDD9D9" w14:textId="77777777" w:rsidR="00467FCA" w:rsidRDefault="00467FCA">
      <w:pPr>
        <w:pStyle w:val="Textoindependiente"/>
        <w:spacing w:before="11"/>
        <w:rPr>
          <w:sz w:val="19"/>
        </w:rPr>
      </w:pPr>
    </w:p>
    <w:p w14:paraId="0A9B2104"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En defin</w:t>
      </w:r>
      <w:r>
        <w:rPr>
          <w:sz w:val="20"/>
        </w:rPr>
        <w:t>itiva, la Corte desestimó la excepción preliminar, en tanto es una cuestión que debía ser abordada en el fondo de este asunto, y reafirmó su competencia para “</w:t>
      </w:r>
      <w:r>
        <w:rPr>
          <w:i/>
          <w:sz w:val="20"/>
        </w:rPr>
        <w:t xml:space="preserve">conocer y resolver controversias relativas al artículo 26 de la Convención Americana, como parte </w:t>
      </w:r>
      <w:r>
        <w:rPr>
          <w:i/>
          <w:sz w:val="20"/>
        </w:rPr>
        <w:t>integrante de los derechos enumerados en su texto, respecto de los cuales el artículo 1.1 confiere obligaciones de respeto y garantía</w:t>
      </w:r>
      <w:r>
        <w:rPr>
          <w:sz w:val="20"/>
        </w:rPr>
        <w:t>” (párrafo 23 de la</w:t>
      </w:r>
      <w:r>
        <w:rPr>
          <w:spacing w:val="-4"/>
          <w:sz w:val="20"/>
        </w:rPr>
        <w:t xml:space="preserve"> </w:t>
      </w:r>
      <w:r>
        <w:rPr>
          <w:sz w:val="20"/>
        </w:rPr>
        <w:t>sentencia).</w:t>
      </w:r>
    </w:p>
    <w:p w14:paraId="7C4E5F5B" w14:textId="77777777" w:rsidR="00467FCA" w:rsidRDefault="00467FCA">
      <w:pPr>
        <w:pStyle w:val="Textoindependiente"/>
        <w:spacing w:before="10"/>
        <w:rPr>
          <w:sz w:val="19"/>
        </w:rPr>
      </w:pPr>
    </w:p>
    <w:p w14:paraId="65AD1C25" w14:textId="77777777" w:rsidR="00467FCA" w:rsidRDefault="001B68EB">
      <w:pPr>
        <w:pStyle w:val="Prrafodelista"/>
        <w:numPr>
          <w:ilvl w:val="0"/>
          <w:numId w:val="3"/>
        </w:numPr>
        <w:tabs>
          <w:tab w:val="left" w:pos="890"/>
        </w:tabs>
        <w:spacing w:line="276" w:lineRule="auto"/>
        <w:ind w:left="181" w:right="117" w:firstLine="0"/>
        <w:jc w:val="both"/>
        <w:rPr>
          <w:sz w:val="20"/>
        </w:rPr>
      </w:pPr>
      <w:r>
        <w:rPr>
          <w:sz w:val="20"/>
        </w:rPr>
        <w:t>En este sentido, voté por rechazar la excepción planteada, por considerar que los argument</w:t>
      </w:r>
      <w:r>
        <w:rPr>
          <w:sz w:val="20"/>
        </w:rPr>
        <w:t xml:space="preserve">os expresados por la Corte IDH en el caso </w:t>
      </w:r>
      <w:r>
        <w:rPr>
          <w:i/>
          <w:sz w:val="20"/>
        </w:rPr>
        <w:t xml:space="preserve">Acevedo Buendía y Otros (“Cesantes Y Jubilados de la Contraloría”) Vs. </w:t>
      </w:r>
      <w:r>
        <w:rPr>
          <w:i/>
          <w:spacing w:val="2"/>
          <w:sz w:val="20"/>
        </w:rPr>
        <w:t>Perú</w:t>
      </w:r>
      <w:hyperlink w:anchor="_bookmark859" w:history="1">
        <w:r>
          <w:rPr>
            <w:spacing w:val="2"/>
            <w:position w:val="7"/>
            <w:sz w:val="13"/>
          </w:rPr>
          <w:t>1</w:t>
        </w:r>
      </w:hyperlink>
      <w:r>
        <w:rPr>
          <w:spacing w:val="2"/>
          <w:position w:val="7"/>
          <w:sz w:val="13"/>
        </w:rPr>
        <w:t xml:space="preserve"> </w:t>
      </w:r>
      <w:r>
        <w:rPr>
          <w:sz w:val="20"/>
        </w:rPr>
        <w:t>resultaban trasladables a la posición que se sostiene en este caso. En particular, comparto los presupues</w:t>
      </w:r>
      <w:r>
        <w:rPr>
          <w:sz w:val="20"/>
        </w:rPr>
        <w:t>tos allí esgrimidos en cuanto a que: (1) la Corte “tiene el poder inherente a sus atribuciones de determinar el alcance de su propia competencia (</w:t>
      </w:r>
      <w:r>
        <w:rPr>
          <w:i/>
          <w:sz w:val="20"/>
        </w:rPr>
        <w:t>compétence de la compétence</w:t>
      </w:r>
      <w:r>
        <w:rPr>
          <w:sz w:val="20"/>
        </w:rPr>
        <w:t>)”; (2) cuando un Estado reconoce la cláusula facultativa de la jurisdicción obliga</w:t>
      </w:r>
      <w:r>
        <w:rPr>
          <w:sz w:val="20"/>
        </w:rPr>
        <w:t>toria establecida en el artículo 62.1 de la Convención, ello conlleva la admisión estatal de la potestad de la Corte de resolver cualquier controversia relativa a su jurisdicción; (3) la Corte ejerce una jurisdicción plena sobre todos los artículos y dispo</w:t>
      </w:r>
      <w:r>
        <w:rPr>
          <w:sz w:val="20"/>
        </w:rPr>
        <w:t>siciones de la Convención, abarcando por tanto el artículo 26 de la misma; (4) si un Estado es Parte de la Convención Americana y ha reconocido la competencia contenciosa de la Corte, ésta es competente para decidir si el referido Estado ha incurrido en un</w:t>
      </w:r>
      <w:r>
        <w:rPr>
          <w:sz w:val="20"/>
        </w:rPr>
        <w:t>a violación o incumplimiento de alguno de los derechos reconocidos en la Convención, inclusive en lo concerniente al artículo 26 de la misma. Por lo tanto, coincido con lo decidido en el entendido que el análisis de esta controversia, es decir, la determin</w:t>
      </w:r>
      <w:r>
        <w:rPr>
          <w:sz w:val="20"/>
        </w:rPr>
        <w:t>ación de si el Estado es responsable por el incumplimiento del artículo 26 de la Convención, corresponde ser abordado en el capítulo de fondo de la presente</w:t>
      </w:r>
      <w:r>
        <w:rPr>
          <w:spacing w:val="-4"/>
          <w:sz w:val="20"/>
        </w:rPr>
        <w:t xml:space="preserve"> </w:t>
      </w:r>
      <w:r>
        <w:rPr>
          <w:sz w:val="20"/>
        </w:rPr>
        <w:t>Sentencia.</w:t>
      </w:r>
    </w:p>
    <w:p w14:paraId="3D1D9B79" w14:textId="77777777" w:rsidR="00467FCA" w:rsidRDefault="00467FCA">
      <w:pPr>
        <w:pStyle w:val="Textoindependiente"/>
        <w:spacing w:before="7"/>
        <w:rPr>
          <w:sz w:val="19"/>
        </w:rPr>
      </w:pPr>
    </w:p>
    <w:p w14:paraId="33E2373E" w14:textId="77777777" w:rsidR="00467FCA" w:rsidRDefault="001B68EB">
      <w:pPr>
        <w:pStyle w:val="Ttulo1"/>
        <w:numPr>
          <w:ilvl w:val="0"/>
          <w:numId w:val="2"/>
        </w:numPr>
        <w:tabs>
          <w:tab w:val="left" w:pos="563"/>
        </w:tabs>
        <w:spacing w:line="276" w:lineRule="auto"/>
        <w:ind w:left="181" w:right="118" w:firstLine="0"/>
        <w:jc w:val="both"/>
      </w:pPr>
      <w:r>
        <w:t>La justiciabilidad de los derechos económicos, sociales, culturales y ambientales: antecedentes, el debate en la Corte y las diferentes posiciones. Mi posición.</w:t>
      </w:r>
    </w:p>
    <w:p w14:paraId="086E078A" w14:textId="77777777" w:rsidR="00467FCA" w:rsidRDefault="00467FCA">
      <w:pPr>
        <w:pStyle w:val="Textoindependiente"/>
        <w:spacing w:before="11"/>
        <w:rPr>
          <w:b/>
          <w:sz w:val="19"/>
        </w:rPr>
      </w:pPr>
    </w:p>
    <w:p w14:paraId="0023ED96" w14:textId="77777777" w:rsidR="00467FCA" w:rsidRDefault="001B68EB">
      <w:pPr>
        <w:pStyle w:val="Prrafodelista"/>
        <w:numPr>
          <w:ilvl w:val="0"/>
          <w:numId w:val="3"/>
        </w:numPr>
        <w:tabs>
          <w:tab w:val="left" w:pos="889"/>
        </w:tabs>
        <w:spacing w:line="276" w:lineRule="auto"/>
        <w:ind w:left="181" w:right="119" w:firstLine="0"/>
        <w:jc w:val="both"/>
        <w:rPr>
          <w:sz w:val="20"/>
        </w:rPr>
      </w:pPr>
      <w:r>
        <w:rPr>
          <w:sz w:val="20"/>
        </w:rPr>
        <w:t>La justiciabilidad de los derechos económicos, sociales, culturales y ambientales ha sido obje</w:t>
      </w:r>
      <w:r>
        <w:rPr>
          <w:sz w:val="20"/>
        </w:rPr>
        <w:t xml:space="preserve">to de discusión tanto por la doctrina como en la Corte, y existen tres posturas al respecto, tal como mencioné, entre otros, en mi voto concurrente a la sentencia de 21 de noviembre de 2019 del caso </w:t>
      </w:r>
      <w:r>
        <w:rPr>
          <w:i/>
          <w:sz w:val="20"/>
        </w:rPr>
        <w:t>Asociación Nacional De Cesantes Y Jubilados de la Superin</w:t>
      </w:r>
      <w:r>
        <w:rPr>
          <w:i/>
          <w:sz w:val="20"/>
        </w:rPr>
        <w:t>tendencia Nacional De Administración</w:t>
      </w:r>
      <w:r>
        <w:rPr>
          <w:i/>
          <w:spacing w:val="43"/>
          <w:sz w:val="20"/>
        </w:rPr>
        <w:t xml:space="preserve"> </w:t>
      </w:r>
      <w:r>
        <w:rPr>
          <w:i/>
          <w:sz w:val="20"/>
        </w:rPr>
        <w:t>Tributaria</w:t>
      </w:r>
      <w:r>
        <w:rPr>
          <w:i/>
          <w:spacing w:val="42"/>
          <w:sz w:val="20"/>
        </w:rPr>
        <w:t xml:space="preserve"> </w:t>
      </w:r>
      <w:r>
        <w:rPr>
          <w:i/>
          <w:sz w:val="20"/>
        </w:rPr>
        <w:t>(Ancejub-Sunat)</w:t>
      </w:r>
      <w:r>
        <w:rPr>
          <w:i/>
          <w:spacing w:val="43"/>
          <w:sz w:val="20"/>
        </w:rPr>
        <w:t xml:space="preserve"> </w:t>
      </w:r>
      <w:r>
        <w:rPr>
          <w:i/>
          <w:sz w:val="20"/>
        </w:rPr>
        <w:t>Vs.</w:t>
      </w:r>
      <w:r>
        <w:rPr>
          <w:i/>
          <w:spacing w:val="42"/>
          <w:sz w:val="20"/>
        </w:rPr>
        <w:t xml:space="preserve"> </w:t>
      </w:r>
      <w:r>
        <w:rPr>
          <w:i/>
          <w:sz w:val="20"/>
        </w:rPr>
        <w:t>Perú</w:t>
      </w:r>
      <w:hyperlink w:anchor="_bookmark860" w:history="1">
        <w:r>
          <w:rPr>
            <w:position w:val="7"/>
            <w:sz w:val="13"/>
          </w:rPr>
          <w:t>2</w:t>
        </w:r>
      </w:hyperlink>
      <w:r>
        <w:rPr>
          <w:sz w:val="20"/>
        </w:rPr>
        <w:t>.</w:t>
      </w:r>
      <w:r>
        <w:rPr>
          <w:spacing w:val="42"/>
          <w:sz w:val="20"/>
        </w:rPr>
        <w:t xml:space="preserve"> </w:t>
      </w:r>
      <w:r>
        <w:rPr>
          <w:sz w:val="20"/>
        </w:rPr>
        <w:t>La</w:t>
      </w:r>
      <w:r>
        <w:rPr>
          <w:spacing w:val="42"/>
          <w:sz w:val="20"/>
        </w:rPr>
        <w:t xml:space="preserve"> </w:t>
      </w:r>
      <w:r>
        <w:rPr>
          <w:sz w:val="20"/>
        </w:rPr>
        <w:t>primera</w:t>
      </w:r>
      <w:r>
        <w:rPr>
          <w:spacing w:val="42"/>
          <w:sz w:val="20"/>
        </w:rPr>
        <w:t xml:space="preserve"> </w:t>
      </w:r>
      <w:r>
        <w:rPr>
          <w:sz w:val="20"/>
        </w:rPr>
        <w:t>postura</w:t>
      </w:r>
      <w:r>
        <w:rPr>
          <w:spacing w:val="43"/>
          <w:sz w:val="20"/>
        </w:rPr>
        <w:t xml:space="preserve"> </w:t>
      </w:r>
      <w:r>
        <w:rPr>
          <w:sz w:val="20"/>
        </w:rPr>
        <w:t>plantea</w:t>
      </w:r>
    </w:p>
    <w:p w14:paraId="7D5E4CA9" w14:textId="77777777" w:rsidR="00467FCA" w:rsidRDefault="001B68EB">
      <w:pPr>
        <w:pStyle w:val="Textoindependiente"/>
        <w:spacing w:before="3"/>
        <w:rPr>
          <w:sz w:val="21"/>
        </w:rPr>
      </w:pPr>
      <w:r>
        <w:pict w14:anchorId="475BDC58">
          <v:shape id="_x0000_s1033" style="position:absolute;margin-left:85.1pt;margin-top:15.3pt;width:2in;height:.1pt;z-index:-251492352;mso-wrap-distance-left:0;mso-wrap-distance-right:0;mso-position-horizontal-relative:page" coordorigin="1702,306" coordsize="2880,0" path="m1702,306r2880,e" filled="f" strokeweight=".72pt">
            <v:path arrowok="t"/>
            <w10:wrap type="topAndBottom" anchorx="page"/>
          </v:shape>
        </w:pict>
      </w:r>
    </w:p>
    <w:p w14:paraId="25AFDFF1" w14:textId="77777777" w:rsidR="00467FCA" w:rsidRDefault="001B68EB">
      <w:pPr>
        <w:tabs>
          <w:tab w:val="left" w:pos="889"/>
        </w:tabs>
        <w:spacing w:before="71"/>
        <w:ind w:left="181" w:right="116"/>
        <w:jc w:val="both"/>
        <w:rPr>
          <w:sz w:val="16"/>
        </w:rPr>
      </w:pPr>
      <w:bookmarkStart w:id="944" w:name="_bookmark859"/>
      <w:bookmarkEnd w:id="944"/>
      <w:r>
        <w:rPr>
          <w:position w:val="6"/>
          <w:sz w:val="10"/>
        </w:rPr>
        <w:t>1</w:t>
      </w:r>
      <w:r>
        <w:rPr>
          <w:position w:val="6"/>
          <w:sz w:val="10"/>
        </w:rPr>
        <w:tab/>
      </w:r>
      <w:r>
        <w:rPr>
          <w:i/>
          <w:sz w:val="16"/>
        </w:rPr>
        <w:t xml:space="preserve">Cfr. Caso Acevedo Buendía y otros (“Cesantes y Jubilados de la Contraloría”) Vs. Perú. Excepción Preliminar, Fondo, Reparaciones y Costas. </w:t>
      </w:r>
      <w:r>
        <w:rPr>
          <w:sz w:val="16"/>
        </w:rPr>
        <w:t>Sentencia de 1 de julio de 2009. Serie C No. 198, párrs. 16 y</w:t>
      </w:r>
      <w:r>
        <w:rPr>
          <w:spacing w:val="-7"/>
          <w:sz w:val="16"/>
        </w:rPr>
        <w:t xml:space="preserve"> </w:t>
      </w:r>
      <w:r>
        <w:rPr>
          <w:sz w:val="16"/>
        </w:rPr>
        <w:t>17.</w:t>
      </w:r>
    </w:p>
    <w:p w14:paraId="672EDBAB" w14:textId="77777777" w:rsidR="00467FCA" w:rsidRDefault="001B68EB">
      <w:pPr>
        <w:tabs>
          <w:tab w:val="left" w:pos="889"/>
        </w:tabs>
        <w:ind w:left="181" w:right="116" w:hanging="1"/>
        <w:jc w:val="both"/>
        <w:rPr>
          <w:sz w:val="16"/>
        </w:rPr>
      </w:pPr>
      <w:bookmarkStart w:id="945" w:name="_bookmark860"/>
      <w:bookmarkEnd w:id="945"/>
      <w:r>
        <w:rPr>
          <w:position w:val="6"/>
          <w:sz w:val="10"/>
        </w:rPr>
        <w:t>2</w:t>
      </w:r>
      <w:r>
        <w:rPr>
          <w:position w:val="6"/>
          <w:sz w:val="10"/>
        </w:rPr>
        <w:tab/>
      </w:r>
      <w:r>
        <w:rPr>
          <w:i/>
          <w:sz w:val="16"/>
        </w:rPr>
        <w:t>Cfr. Caso Asociación Nacional de Cesantes y Jubil</w:t>
      </w:r>
      <w:r>
        <w:rPr>
          <w:i/>
          <w:sz w:val="16"/>
        </w:rPr>
        <w:t>ados de la Superintendencia Nacional de Administración Tributaria (ANCEJUB-SUNAT) Vs. Perú. Excepciones Preliminares, Fondo, Reparaciones y Costas</w:t>
      </w:r>
      <w:r>
        <w:rPr>
          <w:sz w:val="16"/>
        </w:rPr>
        <w:t>. Sentencia de 21 de noviembre de 2019. Serie C No.</w:t>
      </w:r>
      <w:r>
        <w:rPr>
          <w:spacing w:val="-16"/>
          <w:sz w:val="16"/>
        </w:rPr>
        <w:t xml:space="preserve"> </w:t>
      </w:r>
      <w:r>
        <w:rPr>
          <w:sz w:val="16"/>
        </w:rPr>
        <w:t>394.</w:t>
      </w:r>
    </w:p>
    <w:p w14:paraId="0BAE1507" w14:textId="77777777" w:rsidR="00467FCA" w:rsidRDefault="00467FCA">
      <w:pPr>
        <w:jc w:val="both"/>
        <w:rPr>
          <w:sz w:val="16"/>
        </w:rPr>
        <w:sectPr w:rsidR="00467FCA">
          <w:footerReference w:type="default" r:id="rId70"/>
          <w:pgSz w:w="11910" w:h="16840"/>
          <w:pgMar w:top="1320" w:right="1580" w:bottom="1200" w:left="1520" w:header="0" w:footer="1002" w:gutter="0"/>
          <w:pgNumType w:start="2"/>
          <w:cols w:space="720"/>
        </w:sectPr>
      </w:pPr>
    </w:p>
    <w:p w14:paraId="30696238" w14:textId="77777777" w:rsidR="00467FCA" w:rsidRDefault="001B68EB">
      <w:pPr>
        <w:pStyle w:val="Textoindependiente"/>
        <w:spacing w:before="78" w:line="276" w:lineRule="auto"/>
        <w:ind w:left="181" w:right="116"/>
        <w:jc w:val="both"/>
      </w:pPr>
      <w:r>
        <w:t>que el aná</w:t>
      </w:r>
      <w:r>
        <w:t>lisis de violaciones individuales a los derechos económicos, sociales, culturales y ambientales se debe realizar exclusivamente en su relación con los derechos reconocidos expresamente por los artículos 3 al 25 de la Convención y con base en lo expresament</w:t>
      </w:r>
      <w:r>
        <w:t>e permitido por el Protocolo Adicional a la Convención Americana sobre Derechos Humanos en Materia de Derechos Económicos Sociales y Culturales (en adelante “Protocolo de San Salvador”) en su artículo 19.6</w:t>
      </w:r>
      <w:hyperlink w:anchor="_bookmark861" w:history="1">
        <w:r>
          <w:rPr>
            <w:position w:val="7"/>
            <w:sz w:val="13"/>
          </w:rPr>
          <w:t>3</w:t>
        </w:r>
      </w:hyperlink>
      <w:r>
        <w:t xml:space="preserve">. Mientras que la </w:t>
      </w:r>
      <w:r>
        <w:t>segunda visión sostiene que la Corte tiene competencia para conocer violaciones autónomas a los derechos económicos, sociales, culturales y ambientales con fundamento en el artículo 26 de la Convención, entendiendo que serían justiciables de forma individu</w:t>
      </w:r>
      <w:r>
        <w:t>al</w:t>
      </w:r>
      <w:hyperlink w:anchor="_bookmark862" w:history="1">
        <w:r>
          <w:rPr>
            <w:position w:val="7"/>
            <w:sz w:val="13"/>
          </w:rPr>
          <w:t>4</w:t>
        </w:r>
      </w:hyperlink>
      <w:r>
        <w:t>.</w:t>
      </w:r>
    </w:p>
    <w:p w14:paraId="55E9CC6B" w14:textId="77777777" w:rsidR="00467FCA" w:rsidRDefault="00467FCA">
      <w:pPr>
        <w:pStyle w:val="Textoindependiente"/>
        <w:spacing w:before="9"/>
        <w:rPr>
          <w:sz w:val="19"/>
        </w:rPr>
      </w:pPr>
    </w:p>
    <w:p w14:paraId="0554090E" w14:textId="77777777" w:rsidR="00467FCA" w:rsidRDefault="001B68EB">
      <w:pPr>
        <w:pStyle w:val="Prrafodelista"/>
        <w:numPr>
          <w:ilvl w:val="0"/>
          <w:numId w:val="3"/>
        </w:numPr>
        <w:tabs>
          <w:tab w:val="left" w:pos="890"/>
        </w:tabs>
        <w:spacing w:before="1" w:line="276" w:lineRule="auto"/>
        <w:ind w:left="181" w:right="119" w:firstLine="0"/>
        <w:jc w:val="both"/>
        <w:rPr>
          <w:sz w:val="20"/>
        </w:rPr>
      </w:pPr>
      <w:r>
        <w:rPr>
          <w:sz w:val="20"/>
        </w:rPr>
        <w:t>Tal como lo he mencionado en votos concurrentes anteriores y reiterando los fundamentos allí planteados</w:t>
      </w:r>
      <w:hyperlink w:anchor="_bookmark863" w:history="1">
        <w:r>
          <w:rPr>
            <w:position w:val="7"/>
            <w:sz w:val="13"/>
          </w:rPr>
          <w:t>5</w:t>
        </w:r>
      </w:hyperlink>
      <w:r>
        <w:rPr>
          <w:sz w:val="20"/>
        </w:rPr>
        <w:t>, me afilio a una postura diversa que he llamado “la tesis de la indivisibilidad - simultaneidad” y que se basa en la universalidad, indivisibilidad, interdependencia e interrelación entre los derechos humanos, para sostener la competencia de la Corte para</w:t>
      </w:r>
      <w:r>
        <w:rPr>
          <w:sz w:val="20"/>
        </w:rPr>
        <w:t xml:space="preserve"> conocer sobre violaciones individuales de los derechos económicos, sociales, culturales y ambientales. Lo anterior bajo la convicción de que los Derechos Humanos son interdependientes e indivisibles, de manera tal que los derechos civiles y políticos se e</w:t>
      </w:r>
      <w:r>
        <w:rPr>
          <w:sz w:val="20"/>
        </w:rPr>
        <w:t>ncuentran entrelazados con los derechos económicos, sociales, culturales y ambientales. Esta interdependencia e indivisibilidad permite ver al ser humano de manera integral como titular pleno de derechos. De no verlo así se estará fragmentando artificialme</w:t>
      </w:r>
      <w:r>
        <w:rPr>
          <w:sz w:val="20"/>
        </w:rPr>
        <w:t>nte los derechos y la dignidad</w:t>
      </w:r>
      <w:r>
        <w:rPr>
          <w:spacing w:val="-2"/>
          <w:sz w:val="20"/>
        </w:rPr>
        <w:t xml:space="preserve"> </w:t>
      </w:r>
      <w:r>
        <w:rPr>
          <w:sz w:val="20"/>
        </w:rPr>
        <w:t>humana.</w:t>
      </w:r>
    </w:p>
    <w:p w14:paraId="03EC0BF2" w14:textId="77777777" w:rsidR="00467FCA" w:rsidRDefault="00467FCA">
      <w:pPr>
        <w:pStyle w:val="Textoindependiente"/>
        <w:spacing w:before="10"/>
        <w:rPr>
          <w:sz w:val="19"/>
        </w:rPr>
      </w:pPr>
    </w:p>
    <w:p w14:paraId="1192FCB0" w14:textId="77777777" w:rsidR="00467FCA" w:rsidRDefault="001B68EB">
      <w:pPr>
        <w:pStyle w:val="Prrafodelista"/>
        <w:numPr>
          <w:ilvl w:val="0"/>
          <w:numId w:val="3"/>
        </w:numPr>
        <w:tabs>
          <w:tab w:val="left" w:pos="890"/>
        </w:tabs>
        <w:spacing w:line="276" w:lineRule="auto"/>
        <w:ind w:left="180" w:right="119" w:firstLine="0"/>
        <w:jc w:val="both"/>
        <w:rPr>
          <w:i/>
          <w:sz w:val="20"/>
        </w:rPr>
      </w:pPr>
      <w:r>
        <w:rPr>
          <w:sz w:val="20"/>
        </w:rPr>
        <w:t xml:space="preserve">Similar visión se afirma en el Preámbulo del Protocolo de San Salvador: </w:t>
      </w:r>
      <w:r>
        <w:rPr>
          <w:i/>
          <w:sz w:val="20"/>
        </w:rPr>
        <w:t xml:space="preserve">“Considerando la estrecha relación que existe entre la vigencia de los derechos económicos sociales y culturales y la de los derechos civiles y </w:t>
      </w:r>
      <w:r>
        <w:rPr>
          <w:i/>
          <w:sz w:val="20"/>
        </w:rPr>
        <w:t>políticos, por cuanto las diferentes categorías de derechos constituyen un todo indisoluble que encuentra su base en el reconocimiento de la dignidad de la persona humana, por lo cual exigen</w:t>
      </w:r>
      <w:r>
        <w:rPr>
          <w:i/>
          <w:spacing w:val="49"/>
          <w:sz w:val="20"/>
        </w:rPr>
        <w:t xml:space="preserve"> </w:t>
      </w:r>
      <w:r>
        <w:rPr>
          <w:i/>
          <w:sz w:val="20"/>
        </w:rPr>
        <w:t>una</w:t>
      </w:r>
      <w:r>
        <w:rPr>
          <w:i/>
          <w:spacing w:val="47"/>
          <w:sz w:val="20"/>
        </w:rPr>
        <w:t xml:space="preserve"> </w:t>
      </w:r>
      <w:r>
        <w:rPr>
          <w:i/>
          <w:sz w:val="20"/>
        </w:rPr>
        <w:t>tutela</w:t>
      </w:r>
      <w:r>
        <w:rPr>
          <w:i/>
          <w:spacing w:val="47"/>
          <w:sz w:val="20"/>
        </w:rPr>
        <w:t xml:space="preserve"> </w:t>
      </w:r>
      <w:r>
        <w:rPr>
          <w:i/>
          <w:sz w:val="20"/>
        </w:rPr>
        <w:t>y</w:t>
      </w:r>
      <w:r>
        <w:rPr>
          <w:i/>
          <w:spacing w:val="49"/>
          <w:sz w:val="20"/>
        </w:rPr>
        <w:t xml:space="preserve"> </w:t>
      </w:r>
      <w:r>
        <w:rPr>
          <w:i/>
          <w:sz w:val="20"/>
        </w:rPr>
        <w:t>promoción</w:t>
      </w:r>
      <w:r>
        <w:rPr>
          <w:i/>
          <w:spacing w:val="47"/>
          <w:sz w:val="20"/>
        </w:rPr>
        <w:t xml:space="preserve"> </w:t>
      </w:r>
      <w:r>
        <w:rPr>
          <w:i/>
          <w:sz w:val="20"/>
        </w:rPr>
        <w:t>permanente</w:t>
      </w:r>
      <w:r>
        <w:rPr>
          <w:i/>
          <w:spacing w:val="48"/>
          <w:sz w:val="20"/>
        </w:rPr>
        <w:t xml:space="preserve"> </w:t>
      </w:r>
      <w:r>
        <w:rPr>
          <w:i/>
          <w:sz w:val="20"/>
        </w:rPr>
        <w:t>con</w:t>
      </w:r>
      <w:r>
        <w:rPr>
          <w:i/>
          <w:spacing w:val="48"/>
          <w:sz w:val="20"/>
        </w:rPr>
        <w:t xml:space="preserve"> </w:t>
      </w:r>
      <w:r>
        <w:rPr>
          <w:i/>
          <w:sz w:val="20"/>
        </w:rPr>
        <w:t>el</w:t>
      </w:r>
      <w:r>
        <w:rPr>
          <w:i/>
          <w:spacing w:val="50"/>
          <w:sz w:val="20"/>
        </w:rPr>
        <w:t xml:space="preserve"> </w:t>
      </w:r>
      <w:r>
        <w:rPr>
          <w:i/>
          <w:sz w:val="20"/>
        </w:rPr>
        <w:t>objeto</w:t>
      </w:r>
      <w:r>
        <w:rPr>
          <w:i/>
          <w:spacing w:val="48"/>
          <w:sz w:val="20"/>
        </w:rPr>
        <w:t xml:space="preserve"> </w:t>
      </w:r>
      <w:r>
        <w:rPr>
          <w:i/>
          <w:sz w:val="20"/>
        </w:rPr>
        <w:t>de</w:t>
      </w:r>
      <w:r>
        <w:rPr>
          <w:i/>
          <w:spacing w:val="47"/>
          <w:sz w:val="20"/>
        </w:rPr>
        <w:t xml:space="preserve"> </w:t>
      </w:r>
      <w:r>
        <w:rPr>
          <w:i/>
          <w:sz w:val="20"/>
        </w:rPr>
        <w:t>lograr</w:t>
      </w:r>
      <w:r>
        <w:rPr>
          <w:i/>
          <w:spacing w:val="48"/>
          <w:sz w:val="20"/>
        </w:rPr>
        <w:t xml:space="preserve"> </w:t>
      </w:r>
      <w:r>
        <w:rPr>
          <w:i/>
          <w:sz w:val="20"/>
        </w:rPr>
        <w:t>su</w:t>
      </w:r>
      <w:r>
        <w:rPr>
          <w:i/>
          <w:spacing w:val="48"/>
          <w:sz w:val="20"/>
        </w:rPr>
        <w:t xml:space="preserve"> </w:t>
      </w:r>
      <w:r>
        <w:rPr>
          <w:i/>
          <w:sz w:val="20"/>
        </w:rPr>
        <w:t>vigencia</w:t>
      </w:r>
    </w:p>
    <w:p w14:paraId="4EF4A123" w14:textId="77777777" w:rsidR="00467FCA" w:rsidRDefault="001B68EB">
      <w:pPr>
        <w:pStyle w:val="Textoindependiente"/>
        <w:spacing w:before="11"/>
        <w:rPr>
          <w:i/>
          <w:sz w:val="23"/>
        </w:rPr>
      </w:pPr>
      <w:r>
        <w:pict w14:anchorId="2A2106E5">
          <v:shape id="_x0000_s1032" style="position:absolute;margin-left:85.1pt;margin-top:16.9pt;width:2in;height:.1pt;z-index:-251491328;mso-wrap-distance-left:0;mso-wrap-distance-right:0;mso-position-horizontal-relative:page" coordorigin="1702,338" coordsize="2880,0" path="m1702,338r2880,e" filled="f" strokeweight=".72pt">
            <v:path arrowok="t"/>
            <w10:wrap type="topAndBottom" anchorx="page"/>
          </v:shape>
        </w:pict>
      </w:r>
    </w:p>
    <w:p w14:paraId="19D69435" w14:textId="77777777" w:rsidR="00467FCA" w:rsidRDefault="001B68EB">
      <w:pPr>
        <w:tabs>
          <w:tab w:val="left" w:pos="889"/>
        </w:tabs>
        <w:spacing w:before="71"/>
        <w:ind w:left="181" w:right="113"/>
        <w:jc w:val="both"/>
        <w:rPr>
          <w:sz w:val="16"/>
        </w:rPr>
      </w:pPr>
      <w:bookmarkStart w:id="946" w:name="_bookmark861"/>
      <w:bookmarkEnd w:id="946"/>
      <w:r>
        <w:rPr>
          <w:position w:val="6"/>
          <w:sz w:val="10"/>
        </w:rPr>
        <w:t>3</w:t>
      </w:r>
      <w:r>
        <w:rPr>
          <w:position w:val="6"/>
          <w:sz w:val="10"/>
        </w:rPr>
        <w:tab/>
      </w:r>
      <w:r>
        <w:rPr>
          <w:i/>
          <w:sz w:val="16"/>
        </w:rPr>
        <w:t xml:space="preserve">Cfr. Caso "Instituto de Reeducación del Menor" Vs. Paraguay. Excepciones Preliminares, Fondo, Reparaciones y Costas. </w:t>
      </w:r>
      <w:r>
        <w:rPr>
          <w:sz w:val="16"/>
        </w:rPr>
        <w:t xml:space="preserve">Sentencia de 2 de septiembre de 2004. Serie C No. 112. O el </w:t>
      </w:r>
      <w:r>
        <w:rPr>
          <w:i/>
          <w:sz w:val="16"/>
        </w:rPr>
        <w:t>Caso Comunidad Indígena Yakye Axa Vs. Paraguay. Fondo, Reparacione</w:t>
      </w:r>
      <w:r>
        <w:rPr>
          <w:i/>
          <w:sz w:val="16"/>
        </w:rPr>
        <w:t>s y Costas. Sentencia de 17 de junio de 2005</w:t>
      </w:r>
      <w:r>
        <w:rPr>
          <w:sz w:val="16"/>
        </w:rPr>
        <w:t xml:space="preserve">. Serie C No. 125. Por mencionar dos ejemplos, así como en el </w:t>
      </w:r>
      <w:r>
        <w:rPr>
          <w:i/>
          <w:sz w:val="16"/>
        </w:rPr>
        <w:t>Caso Gonzales Lluy y otros Vs. Ecuador. Excepciones Preliminares, Fondo, Reparaciones y Costas</w:t>
      </w:r>
      <w:r>
        <w:rPr>
          <w:sz w:val="16"/>
        </w:rPr>
        <w:t>. Sentencia de 1 de septiembre de 2015. Serie C No.</w:t>
      </w:r>
      <w:r>
        <w:rPr>
          <w:spacing w:val="-2"/>
          <w:sz w:val="16"/>
        </w:rPr>
        <w:t xml:space="preserve"> </w:t>
      </w:r>
      <w:r>
        <w:rPr>
          <w:sz w:val="16"/>
        </w:rPr>
        <w:t>298.</w:t>
      </w:r>
    </w:p>
    <w:p w14:paraId="58007C96" w14:textId="77777777" w:rsidR="00467FCA" w:rsidRDefault="001B68EB">
      <w:pPr>
        <w:tabs>
          <w:tab w:val="left" w:pos="889"/>
        </w:tabs>
        <w:ind w:left="180" w:right="110"/>
        <w:jc w:val="both"/>
        <w:rPr>
          <w:sz w:val="16"/>
        </w:rPr>
      </w:pPr>
      <w:bookmarkStart w:id="947" w:name="_bookmark862"/>
      <w:bookmarkEnd w:id="947"/>
      <w:r>
        <w:rPr>
          <w:position w:val="6"/>
          <w:sz w:val="10"/>
        </w:rPr>
        <w:t>4</w:t>
      </w:r>
      <w:r>
        <w:rPr>
          <w:position w:val="6"/>
          <w:sz w:val="10"/>
        </w:rPr>
        <w:tab/>
      </w:r>
      <w:r>
        <w:rPr>
          <w:i/>
          <w:sz w:val="16"/>
        </w:rPr>
        <w:t xml:space="preserve">Cfr. Caso Lagos del Campo Vs. Perú. Excepciones Preliminares, Fondo, Reparaciones y Costas. </w:t>
      </w:r>
      <w:r>
        <w:rPr>
          <w:sz w:val="16"/>
        </w:rPr>
        <w:t xml:space="preserve">Sentencia de 31 de agosto de 2017. Serie C No. 340, párrs. 142 y 154; </w:t>
      </w:r>
      <w:r>
        <w:rPr>
          <w:i/>
          <w:sz w:val="16"/>
        </w:rPr>
        <w:t xml:space="preserve">Caso Trabajadores Cesados </w:t>
      </w:r>
      <w:r>
        <w:rPr>
          <w:i/>
          <w:spacing w:val="-5"/>
          <w:sz w:val="16"/>
        </w:rPr>
        <w:t xml:space="preserve">de </w:t>
      </w:r>
      <w:r>
        <w:rPr>
          <w:i/>
          <w:sz w:val="16"/>
        </w:rPr>
        <w:t>Petroperú y otros Vs. Perú. Excepciones Preliminares, Fondo, R</w:t>
      </w:r>
      <w:r>
        <w:rPr>
          <w:i/>
          <w:sz w:val="16"/>
        </w:rPr>
        <w:t xml:space="preserve">eparaciones y Costas. </w:t>
      </w:r>
      <w:r>
        <w:rPr>
          <w:sz w:val="16"/>
        </w:rPr>
        <w:t xml:space="preserve">Sentencia de 23 de noviembre de 2017. Serie C No. 344, párr. 192; </w:t>
      </w:r>
      <w:r>
        <w:rPr>
          <w:i/>
          <w:sz w:val="16"/>
        </w:rPr>
        <w:t xml:space="preserve">Caso San Miguel Sosa y otras Vs. Venezuela. Fondo, Reparaciones y Costas. </w:t>
      </w:r>
      <w:r>
        <w:rPr>
          <w:sz w:val="16"/>
        </w:rPr>
        <w:t xml:space="preserve">Sentencia de 8 de febrero de 2018. Serie C No. 348, párr. 220; </w:t>
      </w:r>
      <w:r>
        <w:rPr>
          <w:i/>
          <w:sz w:val="16"/>
        </w:rPr>
        <w:t>Caso Poblete Vilches y otros Vs</w:t>
      </w:r>
      <w:r>
        <w:rPr>
          <w:i/>
          <w:sz w:val="16"/>
        </w:rPr>
        <w:t xml:space="preserve">. Chile. Fondo, Reparaciones y Costas. </w:t>
      </w:r>
      <w:r>
        <w:rPr>
          <w:sz w:val="16"/>
        </w:rPr>
        <w:t xml:space="preserve">Sentencia de 8 de marzo de 2018. Serie C No. 349, párr. 100; </w:t>
      </w:r>
      <w:r>
        <w:rPr>
          <w:i/>
          <w:sz w:val="16"/>
        </w:rPr>
        <w:t xml:space="preserve">Caso Cuscul Pivaral y otros Vs. Guatemala. Excepción Preliminar, Fondo, Reparaciones y Costas. </w:t>
      </w:r>
      <w:r>
        <w:rPr>
          <w:sz w:val="16"/>
        </w:rPr>
        <w:t>Sentencia de 23 de agosto de 2018. Serie C No. 359, párrs. 75</w:t>
      </w:r>
      <w:r>
        <w:rPr>
          <w:sz w:val="16"/>
        </w:rPr>
        <w:t xml:space="preserve"> a 97; </w:t>
      </w:r>
      <w:r>
        <w:rPr>
          <w:i/>
          <w:sz w:val="16"/>
        </w:rPr>
        <w:t xml:space="preserve">Caso Muelle Flores Vs. Perú. Excepciones Preliminares, Fondo, Reparaciones y Costas. </w:t>
      </w:r>
      <w:r>
        <w:rPr>
          <w:sz w:val="16"/>
        </w:rPr>
        <w:t xml:space="preserve">Sentencia de 6 de marzo de 2019. Serie C No. 375, párrs. 34 a 37; </w:t>
      </w:r>
      <w:r>
        <w:rPr>
          <w:i/>
          <w:sz w:val="16"/>
        </w:rPr>
        <w:t>Caso Asociación Nacional de Cesantes y Jubilados de la Superintendencia Nacional de Administración</w:t>
      </w:r>
      <w:r>
        <w:rPr>
          <w:i/>
          <w:sz w:val="16"/>
        </w:rPr>
        <w:t xml:space="preserve"> Tributaria (ANCEJUB-SUNAT) Vs. Perú. Excepciones Preliminares, Fondo, Reparaciones y Costas. </w:t>
      </w:r>
      <w:r>
        <w:rPr>
          <w:sz w:val="16"/>
        </w:rPr>
        <w:t xml:space="preserve">Sentencia de 21 de noviembre de 2019. Serie C No. 394, párrs. 33 a 34; </w:t>
      </w:r>
      <w:r>
        <w:rPr>
          <w:i/>
          <w:sz w:val="16"/>
        </w:rPr>
        <w:t xml:space="preserve">Caso Hernández Vs. Argentina. Excepción Preliminar, Fondo, Reparaciones y Costas. </w:t>
      </w:r>
      <w:r>
        <w:rPr>
          <w:sz w:val="16"/>
        </w:rPr>
        <w:t>Sentencia</w:t>
      </w:r>
      <w:r>
        <w:rPr>
          <w:sz w:val="16"/>
        </w:rPr>
        <w:t xml:space="preserve"> de 22 de noviembre de 2019. Serie C No. 395, párr. 62, y </w:t>
      </w:r>
      <w:r>
        <w:rPr>
          <w:i/>
          <w:sz w:val="16"/>
        </w:rPr>
        <w:t xml:space="preserve">Caso Comunidades Indígenas Miembros de la Asociación Lhaka Honhat (Nuestra Tierra) Vs. Argentina. Fondo, Reparaciones y Costas. </w:t>
      </w:r>
      <w:r>
        <w:rPr>
          <w:sz w:val="16"/>
        </w:rPr>
        <w:t>Sentencia de 6 de febrero de 2020. Serie C No. 400, párr.</w:t>
      </w:r>
      <w:r>
        <w:rPr>
          <w:spacing w:val="-9"/>
          <w:sz w:val="16"/>
        </w:rPr>
        <w:t xml:space="preserve"> </w:t>
      </w:r>
      <w:r>
        <w:rPr>
          <w:sz w:val="16"/>
        </w:rPr>
        <w:t>195.</w:t>
      </w:r>
    </w:p>
    <w:p w14:paraId="25B85D56" w14:textId="77777777" w:rsidR="00467FCA" w:rsidRDefault="001B68EB">
      <w:pPr>
        <w:tabs>
          <w:tab w:val="left" w:pos="889"/>
        </w:tabs>
        <w:ind w:left="182" w:right="116" w:hanging="1"/>
        <w:jc w:val="both"/>
        <w:rPr>
          <w:i/>
          <w:sz w:val="16"/>
        </w:rPr>
      </w:pPr>
      <w:bookmarkStart w:id="948" w:name="_bookmark863"/>
      <w:bookmarkEnd w:id="948"/>
      <w:r>
        <w:rPr>
          <w:position w:val="6"/>
          <w:sz w:val="10"/>
        </w:rPr>
        <w:t>5</w:t>
      </w:r>
      <w:r>
        <w:rPr>
          <w:position w:val="6"/>
          <w:sz w:val="10"/>
        </w:rPr>
        <w:tab/>
      </w:r>
      <w:r>
        <w:rPr>
          <w:i/>
          <w:sz w:val="16"/>
        </w:rPr>
        <w:t xml:space="preserve">Cfr. </w:t>
      </w:r>
      <w:r>
        <w:rPr>
          <w:sz w:val="16"/>
        </w:rPr>
        <w:t xml:space="preserve">Voto concurrente a la sentencia de 21 de noviembre de 2019 del </w:t>
      </w:r>
      <w:r>
        <w:rPr>
          <w:i/>
          <w:sz w:val="16"/>
        </w:rPr>
        <w:t xml:space="preserve">caso Asociación Nacional De Cesantes Y Jubilados De La Superintendencia Nacional De Administración Tributaria (Ancejub-Sunat) Vs. Perú </w:t>
      </w:r>
      <w:r>
        <w:rPr>
          <w:sz w:val="16"/>
        </w:rPr>
        <w:t xml:space="preserve">y a la sentencia de 22 de noviembre de 2019 del </w:t>
      </w:r>
      <w:r>
        <w:rPr>
          <w:i/>
          <w:sz w:val="16"/>
        </w:rPr>
        <w:t>caso Herná</w:t>
      </w:r>
      <w:r>
        <w:rPr>
          <w:i/>
          <w:sz w:val="16"/>
        </w:rPr>
        <w:t>ndez Vs. Argentina, Caso Comunidades Indígenas Miembros de la Asociación Lhaka Honhat (Nuestra Tierra) Vs.</w:t>
      </w:r>
      <w:r>
        <w:rPr>
          <w:i/>
          <w:spacing w:val="-21"/>
          <w:sz w:val="16"/>
        </w:rPr>
        <w:t xml:space="preserve"> </w:t>
      </w:r>
      <w:r>
        <w:rPr>
          <w:i/>
          <w:sz w:val="16"/>
        </w:rPr>
        <w:t>Argentina.</w:t>
      </w:r>
    </w:p>
    <w:p w14:paraId="2CE173BA" w14:textId="77777777" w:rsidR="00467FCA" w:rsidRDefault="00467FCA">
      <w:pPr>
        <w:jc w:val="both"/>
        <w:rPr>
          <w:sz w:val="16"/>
        </w:rPr>
        <w:sectPr w:rsidR="00467FCA">
          <w:pgSz w:w="11910" w:h="16840"/>
          <w:pgMar w:top="1320" w:right="1580" w:bottom="1200" w:left="1520" w:header="0" w:footer="1002" w:gutter="0"/>
          <w:cols w:space="720"/>
        </w:sectPr>
      </w:pPr>
    </w:p>
    <w:p w14:paraId="602164FC" w14:textId="77777777" w:rsidR="00467FCA" w:rsidRDefault="001B68EB">
      <w:pPr>
        <w:spacing w:before="78" w:line="278" w:lineRule="auto"/>
        <w:ind w:left="181" w:right="396"/>
        <w:rPr>
          <w:i/>
          <w:sz w:val="20"/>
        </w:rPr>
      </w:pPr>
      <w:r>
        <w:rPr>
          <w:i/>
          <w:sz w:val="20"/>
        </w:rPr>
        <w:t>plena, sin que jamás pueda justificarse la violación de unos en aras de la  realización de</w:t>
      </w:r>
      <w:r>
        <w:rPr>
          <w:i/>
          <w:spacing w:val="-1"/>
          <w:sz w:val="20"/>
        </w:rPr>
        <w:t xml:space="preserve"> </w:t>
      </w:r>
      <w:r>
        <w:rPr>
          <w:i/>
          <w:sz w:val="20"/>
        </w:rPr>
        <w:t>otros”.</w:t>
      </w:r>
    </w:p>
    <w:p w14:paraId="7C2BFD25" w14:textId="77777777" w:rsidR="00467FCA" w:rsidRDefault="00467FCA">
      <w:pPr>
        <w:pStyle w:val="Textoindependiente"/>
        <w:spacing w:before="4"/>
        <w:rPr>
          <w:i/>
          <w:sz w:val="19"/>
        </w:rPr>
      </w:pPr>
    </w:p>
    <w:p w14:paraId="3E9B8055" w14:textId="77777777" w:rsidR="00467FCA" w:rsidRDefault="001B68EB">
      <w:pPr>
        <w:pStyle w:val="Prrafodelista"/>
        <w:numPr>
          <w:ilvl w:val="0"/>
          <w:numId w:val="3"/>
        </w:numPr>
        <w:tabs>
          <w:tab w:val="left" w:pos="890"/>
        </w:tabs>
        <w:spacing w:line="276" w:lineRule="auto"/>
        <w:ind w:left="181" w:right="120" w:hanging="1"/>
        <w:jc w:val="both"/>
        <w:rPr>
          <w:sz w:val="20"/>
        </w:rPr>
      </w:pPr>
      <w:r>
        <w:rPr>
          <w:sz w:val="20"/>
        </w:rPr>
        <w:t>Dentro de esta visión, el artículo 26 de la Convención funciona como un artículo marco, en el entendido que hace alusión de forma general a los derechos económicos, sociales, culturales y ambientales, cuya lectura y determinación nos remite a la Carta de l</w:t>
      </w:r>
      <w:r>
        <w:rPr>
          <w:sz w:val="20"/>
        </w:rPr>
        <w:t xml:space="preserve">a OEA. En segundo lugar, el Protocolo de San Salvador individualiza y da contenido a los derechos económicos, sociales, culturales y ambientales, explicitando que son justiciables por medio de peticiones individuales ante la Corte los casos relacionados a </w:t>
      </w:r>
      <w:r>
        <w:rPr>
          <w:sz w:val="20"/>
        </w:rPr>
        <w:t xml:space="preserve">derechos sindicales y educación (art. 19.6). Se menciona en el Protocolo que resulta de gran importancia que estos (derechos) sean reafirmados, desarrollados perfeccionados y protegidos (ver Preámbulo). Finalmente, existe un conjunto de instrumentos del </w:t>
      </w:r>
      <w:r>
        <w:rPr>
          <w:i/>
          <w:sz w:val="20"/>
        </w:rPr>
        <w:t>co</w:t>
      </w:r>
      <w:r>
        <w:rPr>
          <w:i/>
          <w:sz w:val="20"/>
        </w:rPr>
        <w:t xml:space="preserve">rpus juris </w:t>
      </w:r>
      <w:r>
        <w:rPr>
          <w:sz w:val="20"/>
        </w:rPr>
        <w:t>interamericano que también hacen referencia a los</w:t>
      </w:r>
      <w:r>
        <w:rPr>
          <w:spacing w:val="-4"/>
          <w:sz w:val="20"/>
        </w:rPr>
        <w:t xml:space="preserve"> </w:t>
      </w:r>
      <w:r>
        <w:rPr>
          <w:sz w:val="20"/>
        </w:rPr>
        <w:t>DESCA.</w:t>
      </w:r>
    </w:p>
    <w:p w14:paraId="6E971B83" w14:textId="77777777" w:rsidR="00467FCA" w:rsidRDefault="00467FCA">
      <w:pPr>
        <w:pStyle w:val="Textoindependiente"/>
      </w:pPr>
    </w:p>
    <w:p w14:paraId="36075A3D" w14:textId="77777777" w:rsidR="00467FCA" w:rsidRDefault="001B68EB">
      <w:pPr>
        <w:pStyle w:val="Prrafodelista"/>
        <w:numPr>
          <w:ilvl w:val="0"/>
          <w:numId w:val="3"/>
        </w:numPr>
        <w:tabs>
          <w:tab w:val="left" w:pos="890"/>
        </w:tabs>
        <w:spacing w:line="276" w:lineRule="auto"/>
        <w:ind w:left="181" w:right="120" w:firstLine="0"/>
        <w:jc w:val="both"/>
        <w:rPr>
          <w:sz w:val="20"/>
        </w:rPr>
      </w:pPr>
      <w:r>
        <w:rPr>
          <w:sz w:val="20"/>
        </w:rPr>
        <w:t>Por su parte, ya he subrayado la importancia del artículo 4 del Protocolo de San</w:t>
      </w:r>
      <w:r>
        <w:rPr>
          <w:spacing w:val="10"/>
          <w:sz w:val="20"/>
        </w:rPr>
        <w:t xml:space="preserve"> </w:t>
      </w:r>
      <w:r>
        <w:rPr>
          <w:sz w:val="20"/>
        </w:rPr>
        <w:t>Salvador</w:t>
      </w:r>
      <w:r>
        <w:rPr>
          <w:spacing w:val="10"/>
          <w:sz w:val="20"/>
        </w:rPr>
        <w:t xml:space="preserve"> </w:t>
      </w:r>
      <w:r>
        <w:rPr>
          <w:sz w:val="20"/>
        </w:rPr>
        <w:t>en</w:t>
      </w:r>
      <w:r>
        <w:rPr>
          <w:spacing w:val="10"/>
          <w:sz w:val="20"/>
        </w:rPr>
        <w:t xml:space="preserve"> </w:t>
      </w:r>
      <w:r>
        <w:rPr>
          <w:sz w:val="20"/>
        </w:rPr>
        <w:t>cuanto</w:t>
      </w:r>
      <w:r>
        <w:rPr>
          <w:spacing w:val="10"/>
          <w:sz w:val="20"/>
        </w:rPr>
        <w:t xml:space="preserve"> </w:t>
      </w:r>
      <w:r>
        <w:rPr>
          <w:sz w:val="20"/>
        </w:rPr>
        <w:t>a</w:t>
      </w:r>
      <w:r>
        <w:rPr>
          <w:spacing w:val="10"/>
          <w:sz w:val="20"/>
        </w:rPr>
        <w:t xml:space="preserve"> </w:t>
      </w:r>
      <w:r>
        <w:rPr>
          <w:sz w:val="20"/>
        </w:rPr>
        <w:t>la</w:t>
      </w:r>
      <w:r>
        <w:rPr>
          <w:spacing w:val="9"/>
          <w:sz w:val="20"/>
        </w:rPr>
        <w:t xml:space="preserve"> </w:t>
      </w:r>
      <w:r>
        <w:rPr>
          <w:sz w:val="20"/>
        </w:rPr>
        <w:t>no</w:t>
      </w:r>
      <w:r>
        <w:rPr>
          <w:spacing w:val="8"/>
          <w:sz w:val="20"/>
        </w:rPr>
        <w:t xml:space="preserve"> </w:t>
      </w:r>
      <w:r>
        <w:rPr>
          <w:sz w:val="20"/>
        </w:rPr>
        <w:t>admisión</w:t>
      </w:r>
      <w:r>
        <w:rPr>
          <w:spacing w:val="10"/>
          <w:sz w:val="20"/>
        </w:rPr>
        <w:t xml:space="preserve"> </w:t>
      </w:r>
      <w:r>
        <w:rPr>
          <w:sz w:val="20"/>
        </w:rPr>
        <w:t>de</w:t>
      </w:r>
      <w:r>
        <w:rPr>
          <w:spacing w:val="11"/>
          <w:sz w:val="20"/>
        </w:rPr>
        <w:t xml:space="preserve"> </w:t>
      </w:r>
      <w:r>
        <w:rPr>
          <w:sz w:val="20"/>
        </w:rPr>
        <w:t>restricciones</w:t>
      </w:r>
      <w:r>
        <w:rPr>
          <w:spacing w:val="8"/>
          <w:sz w:val="20"/>
        </w:rPr>
        <w:t xml:space="preserve"> </w:t>
      </w:r>
      <w:r>
        <w:rPr>
          <w:sz w:val="20"/>
        </w:rPr>
        <w:t>de</w:t>
      </w:r>
      <w:r>
        <w:rPr>
          <w:spacing w:val="8"/>
          <w:sz w:val="20"/>
        </w:rPr>
        <w:t xml:space="preserve"> </w:t>
      </w:r>
      <w:r>
        <w:rPr>
          <w:sz w:val="20"/>
        </w:rPr>
        <w:t>los</w:t>
      </w:r>
      <w:r>
        <w:rPr>
          <w:spacing w:val="8"/>
          <w:sz w:val="20"/>
        </w:rPr>
        <w:t xml:space="preserve"> </w:t>
      </w:r>
      <w:r>
        <w:rPr>
          <w:sz w:val="20"/>
        </w:rPr>
        <w:t>DESCA.</w:t>
      </w:r>
      <w:r>
        <w:rPr>
          <w:spacing w:val="9"/>
          <w:sz w:val="20"/>
        </w:rPr>
        <w:t xml:space="preserve"> </w:t>
      </w:r>
      <w:r>
        <w:rPr>
          <w:sz w:val="20"/>
        </w:rPr>
        <w:t>El</w:t>
      </w:r>
      <w:r>
        <w:rPr>
          <w:spacing w:val="9"/>
          <w:sz w:val="20"/>
        </w:rPr>
        <w:t xml:space="preserve"> </w:t>
      </w:r>
      <w:r>
        <w:rPr>
          <w:sz w:val="20"/>
        </w:rPr>
        <w:t>artículo</w:t>
      </w:r>
    </w:p>
    <w:p w14:paraId="531DB47E" w14:textId="77777777" w:rsidR="00467FCA" w:rsidRDefault="001B68EB">
      <w:pPr>
        <w:spacing w:line="276" w:lineRule="auto"/>
        <w:ind w:left="181" w:right="118"/>
        <w:jc w:val="both"/>
        <w:rPr>
          <w:sz w:val="20"/>
        </w:rPr>
      </w:pPr>
      <w:r>
        <w:rPr>
          <w:sz w:val="20"/>
        </w:rPr>
        <w:t>4 del Protocolo de San Salv</w:t>
      </w:r>
      <w:r>
        <w:rPr>
          <w:sz w:val="20"/>
        </w:rPr>
        <w:t xml:space="preserve">ador plantea que: </w:t>
      </w:r>
      <w:r>
        <w:rPr>
          <w:i/>
          <w:sz w:val="20"/>
        </w:rPr>
        <w:t>“no podrá restringirse o menoscabarse ninguno de los derechos reconocidos o vigentes en un Estado en virtud de su legislación interna o de convenciones internacionales a pretexto de que el presente Protocolo no los reconoce o los reconoce</w:t>
      </w:r>
      <w:r>
        <w:rPr>
          <w:i/>
          <w:sz w:val="20"/>
        </w:rPr>
        <w:t xml:space="preserve"> en menor grado”. </w:t>
      </w:r>
      <w:r>
        <w:rPr>
          <w:sz w:val="20"/>
        </w:rPr>
        <w:t>En aplicación de las disposiciones del mismo se ha creado el Mecanismo de Monitoreo del Grupo de Trabajo del Protocolo de San Salvador que es el encargado de definir los indicadores que deben incluirse en los informes de los Estados Parte</w:t>
      </w:r>
      <w:r>
        <w:rPr>
          <w:sz w:val="20"/>
        </w:rPr>
        <w:t>s y monitorear el cumplimiento de las obligaciones del Protocolo.</w:t>
      </w:r>
    </w:p>
    <w:p w14:paraId="35A239EA" w14:textId="77777777" w:rsidR="00467FCA" w:rsidRDefault="00467FCA">
      <w:pPr>
        <w:pStyle w:val="Textoindependiente"/>
        <w:spacing w:before="8"/>
        <w:rPr>
          <w:sz w:val="19"/>
        </w:rPr>
      </w:pPr>
    </w:p>
    <w:p w14:paraId="2B948E51" w14:textId="77777777" w:rsidR="00467FCA" w:rsidRDefault="001B68EB">
      <w:pPr>
        <w:pStyle w:val="Prrafodelista"/>
        <w:numPr>
          <w:ilvl w:val="0"/>
          <w:numId w:val="3"/>
        </w:numPr>
        <w:tabs>
          <w:tab w:val="left" w:pos="890"/>
        </w:tabs>
        <w:spacing w:line="276" w:lineRule="auto"/>
        <w:ind w:left="181" w:right="118" w:hanging="1"/>
        <w:jc w:val="both"/>
        <w:rPr>
          <w:sz w:val="20"/>
        </w:rPr>
      </w:pPr>
      <w:r>
        <w:rPr>
          <w:sz w:val="20"/>
        </w:rPr>
        <w:t>A mi modo de ver, por lo expresado y sus antecedentes, es menester concluir que no es de recibo restringir el acceso a la justicia interamericana respecto a alegadas violaciones de derechos</w:t>
      </w:r>
      <w:r>
        <w:rPr>
          <w:sz w:val="20"/>
        </w:rPr>
        <w:t xml:space="preserve"> económicos, sociales, culturales y ambientales. Incluso, sería contraria al principio de interpretación </w:t>
      </w:r>
      <w:r>
        <w:rPr>
          <w:i/>
          <w:sz w:val="20"/>
        </w:rPr>
        <w:t xml:space="preserve">pro persona </w:t>
      </w:r>
      <w:r>
        <w:rPr>
          <w:sz w:val="20"/>
        </w:rPr>
        <w:t>de los Derechos Humanos, previsto en el artículo 29 de la Convención atendiendo a este como herramienta hermenéutica en perspectiva sistémi</w:t>
      </w:r>
      <w:r>
        <w:rPr>
          <w:sz w:val="20"/>
        </w:rPr>
        <w:t>ca del Sistema Interamericano de Protección de los Derechos</w:t>
      </w:r>
      <w:r>
        <w:rPr>
          <w:spacing w:val="-6"/>
          <w:sz w:val="20"/>
        </w:rPr>
        <w:t xml:space="preserve"> </w:t>
      </w:r>
      <w:r>
        <w:rPr>
          <w:sz w:val="20"/>
        </w:rPr>
        <w:t>Humanos.</w:t>
      </w:r>
    </w:p>
    <w:p w14:paraId="7D2477C3" w14:textId="77777777" w:rsidR="00467FCA" w:rsidRDefault="00467FCA">
      <w:pPr>
        <w:pStyle w:val="Textoindependiente"/>
        <w:spacing w:before="8"/>
        <w:rPr>
          <w:sz w:val="19"/>
        </w:rPr>
      </w:pPr>
    </w:p>
    <w:p w14:paraId="7B1378D6" w14:textId="77777777" w:rsidR="00467FCA" w:rsidRDefault="001B68EB">
      <w:pPr>
        <w:pStyle w:val="Prrafodelista"/>
        <w:numPr>
          <w:ilvl w:val="0"/>
          <w:numId w:val="3"/>
        </w:numPr>
        <w:tabs>
          <w:tab w:val="left" w:pos="890"/>
        </w:tabs>
        <w:spacing w:before="1" w:line="276" w:lineRule="auto"/>
        <w:ind w:left="181" w:right="118" w:firstLine="0"/>
        <w:jc w:val="both"/>
        <w:rPr>
          <w:sz w:val="20"/>
        </w:rPr>
      </w:pPr>
      <w:r>
        <w:rPr>
          <w:sz w:val="20"/>
        </w:rPr>
        <w:t>Advertí también que el Protocolo de San Salvador, al tiempo que avanzó en el contenido de los derechos económicos, sociales y culturales, prescribe expresamente la utilización del sistem</w:t>
      </w:r>
      <w:r>
        <w:rPr>
          <w:sz w:val="20"/>
        </w:rPr>
        <w:t>a de peticiones individuales por medio del artículo 19, párrafo 6, respecto a los derechos al trabajo y la educación. Por lo que, en esos casos, no es necesario ningún esfuerzo argumentativo toda vez que su competencia resulta del texto del</w:t>
      </w:r>
      <w:r>
        <w:rPr>
          <w:spacing w:val="1"/>
          <w:sz w:val="20"/>
        </w:rPr>
        <w:t xml:space="preserve"> </w:t>
      </w:r>
      <w:r>
        <w:rPr>
          <w:sz w:val="20"/>
        </w:rPr>
        <w:t>tratado.</w:t>
      </w:r>
    </w:p>
    <w:p w14:paraId="350F9378" w14:textId="77777777" w:rsidR="00467FCA" w:rsidRDefault="00467FCA">
      <w:pPr>
        <w:pStyle w:val="Textoindependiente"/>
        <w:spacing w:before="7"/>
        <w:rPr>
          <w:sz w:val="19"/>
        </w:rPr>
      </w:pPr>
    </w:p>
    <w:p w14:paraId="31992176" w14:textId="77777777" w:rsidR="00467FCA" w:rsidRDefault="001B68EB">
      <w:pPr>
        <w:pStyle w:val="Prrafodelista"/>
        <w:numPr>
          <w:ilvl w:val="0"/>
          <w:numId w:val="3"/>
        </w:numPr>
        <w:tabs>
          <w:tab w:val="left" w:pos="890"/>
        </w:tabs>
        <w:spacing w:line="276" w:lineRule="auto"/>
        <w:ind w:left="181" w:right="116" w:firstLine="0"/>
        <w:jc w:val="both"/>
        <w:rPr>
          <w:sz w:val="20"/>
        </w:rPr>
      </w:pPr>
      <w:r>
        <w:rPr>
          <w:sz w:val="20"/>
        </w:rPr>
        <w:t>Asimi</w:t>
      </w:r>
      <w:r>
        <w:rPr>
          <w:sz w:val="20"/>
        </w:rPr>
        <w:t xml:space="preserve">smo, se debe tener en cuenta que la parte II de la Convención señala en su artículo 44 que: “Cualquier persona o grupo de personas (…) puede presentar a la Comisión peticiones </w:t>
      </w:r>
      <w:r>
        <w:rPr>
          <w:sz w:val="20"/>
          <w:u w:val="single"/>
        </w:rPr>
        <w:t>que contengan denuncias o quejas de violación de esta Convención por un Estado parte”</w:t>
      </w:r>
      <w:r>
        <w:rPr>
          <w:sz w:val="20"/>
        </w:rPr>
        <w:t xml:space="preserve">. Por su parte, el artículo 48 indica que: “La Comisión, al recibir una petición o comunicación en la que </w:t>
      </w:r>
      <w:r>
        <w:rPr>
          <w:sz w:val="20"/>
          <w:u w:val="single"/>
        </w:rPr>
        <w:t>se alegue la violación de los derechos que consagra esta Convenci</w:t>
      </w:r>
      <w:r>
        <w:rPr>
          <w:sz w:val="20"/>
          <w:u w:val="single"/>
        </w:rPr>
        <w:t>ón</w:t>
      </w:r>
      <w:r>
        <w:rPr>
          <w:sz w:val="20"/>
        </w:rPr>
        <w:t xml:space="preserve">, procederá en los siguientes términos…”. De igual manera, el artículo 62 No 3 de la Convención indica que: “La Corte tiene competencia </w:t>
      </w:r>
      <w:r>
        <w:rPr>
          <w:sz w:val="20"/>
          <w:u w:val="single"/>
        </w:rPr>
        <w:t>para conocer cualquier caso relativo a la interpretación y aplicación de las disposiciones de esta Convención</w:t>
      </w:r>
      <w:r>
        <w:rPr>
          <w:sz w:val="20"/>
        </w:rPr>
        <w:t xml:space="preserve"> que le s</w:t>
      </w:r>
      <w:r>
        <w:rPr>
          <w:sz w:val="20"/>
        </w:rPr>
        <w:t>ea</w:t>
      </w:r>
      <w:r>
        <w:rPr>
          <w:spacing w:val="5"/>
          <w:sz w:val="20"/>
        </w:rPr>
        <w:t xml:space="preserve"> </w:t>
      </w:r>
      <w:r>
        <w:rPr>
          <w:sz w:val="20"/>
        </w:rPr>
        <w:t>sometido…”</w:t>
      </w:r>
    </w:p>
    <w:p w14:paraId="5AA56E8D" w14:textId="77777777" w:rsidR="00467FCA" w:rsidRDefault="00467FCA">
      <w:pPr>
        <w:spacing w:line="276" w:lineRule="auto"/>
        <w:jc w:val="both"/>
        <w:rPr>
          <w:sz w:val="20"/>
        </w:rPr>
        <w:sectPr w:rsidR="00467FCA">
          <w:pgSz w:w="11910" w:h="16840"/>
          <w:pgMar w:top="1320" w:right="1580" w:bottom="1200" w:left="1520" w:header="0" w:footer="1002" w:gutter="0"/>
          <w:cols w:space="720"/>
        </w:sectPr>
      </w:pPr>
    </w:p>
    <w:p w14:paraId="178F0A64" w14:textId="77777777" w:rsidR="00467FCA" w:rsidRDefault="001B68EB">
      <w:pPr>
        <w:pStyle w:val="Textoindependiente"/>
        <w:spacing w:before="78"/>
        <w:ind w:left="181"/>
      </w:pPr>
      <w:r>
        <w:t>(subrayado del autor).</w:t>
      </w:r>
    </w:p>
    <w:p w14:paraId="658E58C5" w14:textId="77777777" w:rsidR="00467FCA" w:rsidRDefault="00467FCA">
      <w:pPr>
        <w:pStyle w:val="Textoindependiente"/>
        <w:spacing w:before="10"/>
        <w:rPr>
          <w:sz w:val="22"/>
        </w:rPr>
      </w:pPr>
    </w:p>
    <w:p w14:paraId="20F0717C" w14:textId="77777777" w:rsidR="00467FCA" w:rsidRDefault="001B68EB">
      <w:pPr>
        <w:pStyle w:val="Prrafodelista"/>
        <w:numPr>
          <w:ilvl w:val="0"/>
          <w:numId w:val="3"/>
        </w:numPr>
        <w:tabs>
          <w:tab w:val="left" w:pos="890"/>
        </w:tabs>
        <w:spacing w:line="276" w:lineRule="auto"/>
        <w:ind w:left="181" w:right="117" w:hanging="1"/>
        <w:jc w:val="both"/>
        <w:rPr>
          <w:sz w:val="20"/>
        </w:rPr>
      </w:pPr>
      <w:r>
        <w:rPr>
          <w:sz w:val="20"/>
        </w:rPr>
        <w:t>Del análisis de los anteriores artículos surge que: (1) los derechos civiles, políticos, económicos, sociales, culturales y ambientales pueden ser llevados a conocimiento de ambos órganos de protección; (2) la Comisión y la Corte IDH pueden tener competenc</w:t>
      </w:r>
      <w:r>
        <w:rPr>
          <w:sz w:val="20"/>
        </w:rPr>
        <w:t>ia sobre los casos planteados al respecto; (3) no se hacen distinciones entre derechos civiles, políticos, sociales, culturales y ambientales en lo que respecta a su protección; y (4) pretender que los órganos de protección interamericanos solo puedan cono</w:t>
      </w:r>
      <w:r>
        <w:rPr>
          <w:sz w:val="20"/>
        </w:rPr>
        <w:t>cer los derechos civiles y políticos sería contrario a las notas de universalidad, indivisibilidad, interdependencia e interrelación entre los derechos humanos, que implicaría una fragmentación de la protección internacional de la persona que iría en direc</w:t>
      </w:r>
      <w:r>
        <w:rPr>
          <w:sz w:val="20"/>
        </w:rPr>
        <w:t>to detrimento de la dignidad humana fundamento y fin de los derechos</w:t>
      </w:r>
      <w:r>
        <w:rPr>
          <w:spacing w:val="-2"/>
          <w:sz w:val="20"/>
        </w:rPr>
        <w:t xml:space="preserve"> </w:t>
      </w:r>
      <w:r>
        <w:rPr>
          <w:sz w:val="20"/>
        </w:rPr>
        <w:t>humanos.</w:t>
      </w:r>
    </w:p>
    <w:p w14:paraId="433E5573" w14:textId="77777777" w:rsidR="00467FCA" w:rsidRDefault="00467FCA">
      <w:pPr>
        <w:pStyle w:val="Textoindependiente"/>
        <w:spacing w:before="9"/>
        <w:rPr>
          <w:sz w:val="19"/>
        </w:rPr>
      </w:pPr>
    </w:p>
    <w:p w14:paraId="4960E77B" w14:textId="77777777" w:rsidR="00467FCA" w:rsidRDefault="001B68EB">
      <w:pPr>
        <w:pStyle w:val="Prrafodelista"/>
        <w:numPr>
          <w:ilvl w:val="0"/>
          <w:numId w:val="3"/>
        </w:numPr>
        <w:tabs>
          <w:tab w:val="left" w:pos="890"/>
        </w:tabs>
        <w:spacing w:line="276" w:lineRule="auto"/>
        <w:ind w:left="181" w:right="117" w:firstLine="0"/>
        <w:jc w:val="both"/>
        <w:rPr>
          <w:sz w:val="20"/>
        </w:rPr>
      </w:pPr>
      <w:r>
        <w:rPr>
          <w:sz w:val="20"/>
        </w:rPr>
        <w:t>En ocasión de la explosión en la Fábrica de Fuegos Artificiales que se resuelve en esta sentencia, la Corte ha sido llamada a intervenir por la violación tanto de derechos civil</w:t>
      </w:r>
      <w:r>
        <w:rPr>
          <w:sz w:val="20"/>
        </w:rPr>
        <w:t>es y políticos, como del derecho al trabajo. En la posición que sustento, las violaciones a cada uno de los mismos son justiciables en función de los principios de universalidad, interdependencia, indivisibilidad y de interrelación entre todos los Derechos</w:t>
      </w:r>
      <w:r>
        <w:rPr>
          <w:spacing w:val="-4"/>
          <w:sz w:val="20"/>
        </w:rPr>
        <w:t xml:space="preserve"> </w:t>
      </w:r>
      <w:r>
        <w:rPr>
          <w:sz w:val="20"/>
        </w:rPr>
        <w:t>Humanos.</w:t>
      </w:r>
    </w:p>
    <w:p w14:paraId="259D3732" w14:textId="77777777" w:rsidR="00467FCA" w:rsidRDefault="00467FCA">
      <w:pPr>
        <w:pStyle w:val="Textoindependiente"/>
        <w:spacing w:before="10"/>
        <w:rPr>
          <w:sz w:val="19"/>
        </w:rPr>
      </w:pPr>
    </w:p>
    <w:p w14:paraId="1B5B4704" w14:textId="77777777" w:rsidR="00467FCA" w:rsidRDefault="001B68EB">
      <w:pPr>
        <w:pStyle w:val="Prrafodelista"/>
        <w:numPr>
          <w:ilvl w:val="0"/>
          <w:numId w:val="3"/>
        </w:numPr>
        <w:tabs>
          <w:tab w:val="left" w:pos="890"/>
        </w:tabs>
        <w:spacing w:line="276" w:lineRule="auto"/>
        <w:ind w:left="181" w:right="115" w:hanging="1"/>
        <w:jc w:val="both"/>
        <w:rPr>
          <w:sz w:val="20"/>
        </w:rPr>
      </w:pPr>
      <w:r>
        <w:rPr>
          <w:sz w:val="20"/>
        </w:rPr>
        <w:t>Es así que por medio de una interpretación armónica de los instrumentos americanos, la Corte, a través de la consideración de la interdependencia e indivisibilidad de los derechos civiles y políticos por una parte y los económicos, sociales, cul</w:t>
      </w:r>
      <w:r>
        <w:rPr>
          <w:sz w:val="20"/>
        </w:rPr>
        <w:t>turales y ambientales por la otra, puede pronunciarse respecto de las violaciones de unos y otros. Así es que un mismo hecho por acción u omisión simultáneamente puede significar la violación de un derecho civil y político y de un derecho económico, social</w:t>
      </w:r>
      <w:r>
        <w:rPr>
          <w:sz w:val="20"/>
        </w:rPr>
        <w:t>, cultural y ambiental. Lo que ha ocurrido en el presente caso, por la existencia de un patrón de discriminación interseccional y estructural característico de la</w:t>
      </w:r>
      <w:r>
        <w:rPr>
          <w:spacing w:val="-1"/>
          <w:sz w:val="20"/>
        </w:rPr>
        <w:t xml:space="preserve"> </w:t>
      </w:r>
      <w:r>
        <w:rPr>
          <w:sz w:val="20"/>
        </w:rPr>
        <w:t>región.</w:t>
      </w:r>
    </w:p>
    <w:p w14:paraId="17C033BB" w14:textId="77777777" w:rsidR="00467FCA" w:rsidRDefault="00467FCA">
      <w:pPr>
        <w:pStyle w:val="Textoindependiente"/>
        <w:spacing w:before="9"/>
        <w:rPr>
          <w:sz w:val="19"/>
        </w:rPr>
      </w:pPr>
    </w:p>
    <w:p w14:paraId="438D4727"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Tal como resulta del Resolutivo 6 de la sentencia: “</w:t>
      </w:r>
      <w:r>
        <w:rPr>
          <w:i/>
          <w:sz w:val="20"/>
        </w:rPr>
        <w:t xml:space="preserve">El Estado es responsable por la </w:t>
      </w:r>
      <w:r>
        <w:rPr>
          <w:i/>
          <w:sz w:val="20"/>
        </w:rPr>
        <w:t>violación de los derechos de la niña y del niño, a la igual protección de la ley, a la prohibición de discriminación y al trabajo, contenidos en los artículos 19, 24 y 26, en relación con el artículo 1.1 de la Convención Americana sobre Derechos Humanos, e</w:t>
      </w:r>
      <w:r>
        <w:rPr>
          <w:i/>
          <w:sz w:val="20"/>
        </w:rPr>
        <w:t>n perjuicio de las sesenta personas fallecidas y los seis sobrevivientes de la explosión de la fábrica de fuegos de Santo Antônio de Jesus</w:t>
      </w:r>
      <w:r>
        <w:rPr>
          <w:i/>
          <w:spacing w:val="-19"/>
          <w:sz w:val="20"/>
        </w:rPr>
        <w:t xml:space="preserve"> </w:t>
      </w:r>
      <w:r>
        <w:rPr>
          <w:i/>
          <w:sz w:val="20"/>
        </w:rPr>
        <w:t>[…]</w:t>
      </w:r>
      <w:r>
        <w:rPr>
          <w:sz w:val="20"/>
        </w:rPr>
        <w:t>”.</w:t>
      </w:r>
    </w:p>
    <w:p w14:paraId="1DEF822E" w14:textId="77777777" w:rsidR="00467FCA" w:rsidRDefault="00467FCA">
      <w:pPr>
        <w:pStyle w:val="Textoindependiente"/>
        <w:spacing w:before="10"/>
        <w:rPr>
          <w:sz w:val="19"/>
        </w:rPr>
      </w:pPr>
    </w:p>
    <w:p w14:paraId="0861DE7B" w14:textId="77777777" w:rsidR="00467FCA" w:rsidRDefault="001B68EB">
      <w:pPr>
        <w:pStyle w:val="Prrafodelista"/>
        <w:numPr>
          <w:ilvl w:val="0"/>
          <w:numId w:val="3"/>
        </w:numPr>
        <w:tabs>
          <w:tab w:val="left" w:pos="890"/>
        </w:tabs>
        <w:spacing w:line="276" w:lineRule="auto"/>
        <w:ind w:left="181" w:right="117" w:hanging="1"/>
        <w:jc w:val="both"/>
        <w:rPr>
          <w:sz w:val="20"/>
        </w:rPr>
      </w:pPr>
      <w:r>
        <w:rPr>
          <w:sz w:val="20"/>
        </w:rPr>
        <w:t>Comparto el dispositivo en cuanto del mismo resulta que existe una violación conjunta y simultánea de los dere</w:t>
      </w:r>
      <w:r>
        <w:rPr>
          <w:sz w:val="20"/>
        </w:rPr>
        <w:t>chos: a la protección especial de la infancia en el caso de niños y niñas, incluso una no nacida al momento de la explosión, establecido en el artículo 19 de la Convención; la situación de un patrón estructural discriminatorio con fuerte incidencia de la s</w:t>
      </w:r>
      <w:r>
        <w:rPr>
          <w:sz w:val="20"/>
        </w:rPr>
        <w:t>ituación de pobreza, el género, la edad y el origen étnico respecto de las víctimas vulneró el derecho de igualdad (art. 24 de la Convención) y el derecho al trabajo, en cuanto no se respetó ni garantizó el derecho a condiciones equitativas y satisfactoria</w:t>
      </w:r>
      <w:r>
        <w:rPr>
          <w:sz w:val="20"/>
        </w:rPr>
        <w:t>s que garanticen la seguridad, la salud y la higiene en el trabajo, conforme el art. 26 de la</w:t>
      </w:r>
      <w:r>
        <w:rPr>
          <w:spacing w:val="-16"/>
          <w:sz w:val="20"/>
        </w:rPr>
        <w:t xml:space="preserve"> </w:t>
      </w:r>
      <w:r>
        <w:rPr>
          <w:sz w:val="20"/>
        </w:rPr>
        <w:t>Convención.</w:t>
      </w:r>
    </w:p>
    <w:p w14:paraId="2DA0B7E7" w14:textId="77777777" w:rsidR="00467FCA" w:rsidRDefault="00467FCA">
      <w:pPr>
        <w:pStyle w:val="Textoindependiente"/>
        <w:spacing w:before="9"/>
        <w:rPr>
          <w:sz w:val="19"/>
        </w:rPr>
      </w:pPr>
    </w:p>
    <w:p w14:paraId="09BBDAA2" w14:textId="77777777" w:rsidR="00467FCA" w:rsidRDefault="001B68EB">
      <w:pPr>
        <w:pStyle w:val="Prrafodelista"/>
        <w:numPr>
          <w:ilvl w:val="0"/>
          <w:numId w:val="3"/>
        </w:numPr>
        <w:tabs>
          <w:tab w:val="left" w:pos="891"/>
        </w:tabs>
        <w:spacing w:line="276" w:lineRule="auto"/>
        <w:ind w:left="182" w:right="118" w:hanging="1"/>
        <w:jc w:val="both"/>
        <w:rPr>
          <w:sz w:val="20"/>
        </w:rPr>
      </w:pPr>
      <w:r>
        <w:rPr>
          <w:sz w:val="20"/>
        </w:rPr>
        <w:t>Esta violación conjunta e indivisible de derechos es a mi criterio, en el caso, el fundamento de la competencia de la Corte Interamericana de Derechos Humanos.</w:t>
      </w:r>
    </w:p>
    <w:p w14:paraId="06BF37CC" w14:textId="77777777" w:rsidR="00467FCA" w:rsidRDefault="00467FCA">
      <w:pPr>
        <w:spacing w:line="276" w:lineRule="auto"/>
        <w:jc w:val="both"/>
        <w:rPr>
          <w:sz w:val="20"/>
        </w:rPr>
        <w:sectPr w:rsidR="00467FCA">
          <w:pgSz w:w="11910" w:h="16840"/>
          <w:pgMar w:top="1320" w:right="1580" w:bottom="1200" w:left="1520" w:header="0" w:footer="1002" w:gutter="0"/>
          <w:cols w:space="720"/>
        </w:sectPr>
      </w:pPr>
    </w:p>
    <w:p w14:paraId="70CC3066" w14:textId="77777777" w:rsidR="00467FCA" w:rsidRDefault="001B68EB">
      <w:pPr>
        <w:pStyle w:val="Prrafodelista"/>
        <w:numPr>
          <w:ilvl w:val="0"/>
          <w:numId w:val="3"/>
        </w:numPr>
        <w:tabs>
          <w:tab w:val="left" w:pos="890"/>
        </w:tabs>
        <w:spacing w:before="78" w:line="276" w:lineRule="auto"/>
        <w:ind w:left="181" w:right="116" w:firstLine="0"/>
        <w:jc w:val="both"/>
        <w:rPr>
          <w:sz w:val="20"/>
        </w:rPr>
      </w:pPr>
      <w:r>
        <w:rPr>
          <w:sz w:val="20"/>
        </w:rPr>
        <w:t>Ello es así en cuanto en mi posición los derechos civiles y políticos vulnerad</w:t>
      </w:r>
      <w:r>
        <w:rPr>
          <w:sz w:val="20"/>
        </w:rPr>
        <w:t xml:space="preserve">os son indivisibles del derecho al trabajo, pues las violaciones de los derechos reconocidos en los artículos 19 y 24 de la Convención Americana están relacionadas directamente y constituyen hechos inescindibles con la violación al derecho al trabajo. Las </w:t>
      </w:r>
      <w:r>
        <w:rPr>
          <w:sz w:val="20"/>
        </w:rPr>
        <w:t>condiciones deplorables e inconvencionales de trabajo fueron posibles, en el caso de los niños, por no haberse hecho efectiva la obligación de protección especial y respecto de todas las víctimas directas por la violación del derecho de igualdad en la medi</w:t>
      </w:r>
      <w:r>
        <w:rPr>
          <w:sz w:val="20"/>
        </w:rPr>
        <w:t>da que estaban sometidas a situaciones especialmente discriminatorias, en un marco de pobreza</w:t>
      </w:r>
      <w:r>
        <w:rPr>
          <w:spacing w:val="-11"/>
          <w:sz w:val="20"/>
        </w:rPr>
        <w:t xml:space="preserve"> </w:t>
      </w:r>
      <w:r>
        <w:rPr>
          <w:sz w:val="20"/>
        </w:rPr>
        <w:t>generalizada.</w:t>
      </w:r>
    </w:p>
    <w:p w14:paraId="6469A819" w14:textId="77777777" w:rsidR="00467FCA" w:rsidRDefault="00467FCA">
      <w:pPr>
        <w:pStyle w:val="Textoindependiente"/>
        <w:spacing w:before="11"/>
        <w:rPr>
          <w:sz w:val="19"/>
        </w:rPr>
      </w:pPr>
    </w:p>
    <w:p w14:paraId="4462A86A" w14:textId="77777777" w:rsidR="00467FCA" w:rsidRDefault="001B68EB">
      <w:pPr>
        <w:pStyle w:val="Ttulo1"/>
        <w:numPr>
          <w:ilvl w:val="1"/>
          <w:numId w:val="4"/>
        </w:numPr>
        <w:tabs>
          <w:tab w:val="left" w:pos="1315"/>
        </w:tabs>
        <w:ind w:hanging="568"/>
        <w:jc w:val="left"/>
      </w:pPr>
      <w:bookmarkStart w:id="949" w:name="III._Existencia_de_un_patrón_de_discrimi"/>
      <w:bookmarkEnd w:id="949"/>
      <w:r>
        <w:t>Existencia de un patrón de discriminación</w:t>
      </w:r>
      <w:r>
        <w:rPr>
          <w:spacing w:val="-8"/>
        </w:rPr>
        <w:t xml:space="preserve"> </w:t>
      </w:r>
      <w:r>
        <w:t>interseccional</w:t>
      </w:r>
    </w:p>
    <w:p w14:paraId="17E3C27A" w14:textId="77777777" w:rsidR="00467FCA" w:rsidRDefault="00467FCA">
      <w:pPr>
        <w:pStyle w:val="Textoindependiente"/>
        <w:spacing w:before="8"/>
        <w:rPr>
          <w:b/>
          <w:sz w:val="22"/>
        </w:rPr>
      </w:pPr>
    </w:p>
    <w:p w14:paraId="17A87F3D" w14:textId="77777777" w:rsidR="00467FCA" w:rsidRDefault="001B68EB">
      <w:pPr>
        <w:pStyle w:val="Prrafodelista"/>
        <w:numPr>
          <w:ilvl w:val="0"/>
          <w:numId w:val="1"/>
        </w:numPr>
        <w:tabs>
          <w:tab w:val="left" w:pos="568"/>
        </w:tabs>
        <w:spacing w:line="278" w:lineRule="auto"/>
        <w:ind w:right="119" w:firstLine="0"/>
        <w:jc w:val="both"/>
        <w:rPr>
          <w:b/>
          <w:sz w:val="20"/>
        </w:rPr>
      </w:pPr>
      <w:bookmarkStart w:id="950" w:name="a)_El_concepto_de_interseccionalidad_en_"/>
      <w:bookmarkEnd w:id="950"/>
      <w:r>
        <w:rPr>
          <w:b/>
          <w:sz w:val="20"/>
        </w:rPr>
        <w:t>El concepto de interseccionalidad en el Sistema Interamericano de Derechos</w:t>
      </w:r>
      <w:r>
        <w:rPr>
          <w:b/>
          <w:spacing w:val="-1"/>
          <w:sz w:val="20"/>
        </w:rPr>
        <w:t xml:space="preserve"> </w:t>
      </w:r>
      <w:r>
        <w:rPr>
          <w:b/>
          <w:sz w:val="20"/>
        </w:rPr>
        <w:t>Humanos</w:t>
      </w:r>
    </w:p>
    <w:p w14:paraId="3626147D" w14:textId="77777777" w:rsidR="00467FCA" w:rsidRDefault="00467FCA">
      <w:pPr>
        <w:pStyle w:val="Textoindependiente"/>
        <w:spacing w:before="4"/>
        <w:rPr>
          <w:b/>
          <w:sz w:val="19"/>
        </w:rPr>
      </w:pPr>
    </w:p>
    <w:p w14:paraId="6DECC444" w14:textId="77777777" w:rsidR="00467FCA" w:rsidRDefault="001B68EB">
      <w:pPr>
        <w:pStyle w:val="Prrafodelista"/>
        <w:numPr>
          <w:ilvl w:val="0"/>
          <w:numId w:val="3"/>
        </w:numPr>
        <w:tabs>
          <w:tab w:val="left" w:pos="890"/>
        </w:tabs>
        <w:spacing w:before="1" w:line="276" w:lineRule="auto"/>
        <w:ind w:left="181" w:right="118" w:hanging="1"/>
        <w:jc w:val="both"/>
        <w:rPr>
          <w:sz w:val="20"/>
        </w:rPr>
      </w:pPr>
      <w:r>
        <w:rPr>
          <w:sz w:val="20"/>
        </w:rPr>
        <w:t>Entie</w:t>
      </w:r>
      <w:r>
        <w:rPr>
          <w:sz w:val="20"/>
        </w:rPr>
        <w:t>ndo la interseccionalidad como la confluencia respecto de una misma persona o grupo de personas de la violación de diferentes tipos de derechos y como víctimas de discriminación. La confluencia de múltiples discriminaciones a mi entender potencia el efecto</w:t>
      </w:r>
      <w:r>
        <w:rPr>
          <w:sz w:val="20"/>
        </w:rPr>
        <w:t xml:space="preserve"> devastador a la dignidad humana de las personas que las sufren y provoca violación de derechos más intensa y diversa que cuando las mismas se configuran respecto de un solo</w:t>
      </w:r>
      <w:r>
        <w:rPr>
          <w:spacing w:val="-4"/>
          <w:sz w:val="20"/>
        </w:rPr>
        <w:t xml:space="preserve"> </w:t>
      </w:r>
      <w:r>
        <w:rPr>
          <w:sz w:val="20"/>
        </w:rPr>
        <w:t>derecho.</w:t>
      </w:r>
    </w:p>
    <w:p w14:paraId="2F326222" w14:textId="77777777" w:rsidR="00467FCA" w:rsidRDefault="00467FCA">
      <w:pPr>
        <w:pStyle w:val="Textoindependiente"/>
        <w:spacing w:before="9"/>
        <w:rPr>
          <w:sz w:val="19"/>
        </w:rPr>
      </w:pPr>
    </w:p>
    <w:p w14:paraId="3AEB8EE3"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La primera en abordar el concepto de interseccionalidad fue Kimberle Crenshaw al plantear que las mujeres afrodescendientes sufren una doble discriminación debido al racismo y al género. Por lo que, en comparación a una mujer blanca o a un hombre afrodesce</w:t>
      </w:r>
      <w:r>
        <w:rPr>
          <w:sz w:val="20"/>
        </w:rPr>
        <w:t>ndiente, su situación puede ser similar o diferente y de mayor vulnerabilidad</w:t>
      </w:r>
      <w:hyperlink w:anchor="_bookmark864" w:history="1">
        <w:r>
          <w:rPr>
            <w:position w:val="7"/>
            <w:sz w:val="13"/>
          </w:rPr>
          <w:t>6</w:t>
        </w:r>
      </w:hyperlink>
      <w:r>
        <w:rPr>
          <w:sz w:val="20"/>
        </w:rPr>
        <w:t xml:space="preserve">. También desarrolló la importancia de su significado a la hora de crear y evaluar políticas para evitar un tratamiento centrado en la aceptación </w:t>
      </w:r>
      <w:r>
        <w:rPr>
          <w:sz w:val="20"/>
        </w:rPr>
        <w:t>del factor de discriminación predominante que invisibiliza la intersección de factores de</w:t>
      </w:r>
      <w:r>
        <w:rPr>
          <w:spacing w:val="-4"/>
          <w:sz w:val="20"/>
        </w:rPr>
        <w:t xml:space="preserve"> </w:t>
      </w:r>
      <w:r>
        <w:rPr>
          <w:sz w:val="20"/>
        </w:rPr>
        <w:t>discriminación</w:t>
      </w:r>
      <w:hyperlink w:anchor="_bookmark865" w:history="1">
        <w:r>
          <w:rPr>
            <w:position w:val="7"/>
            <w:sz w:val="13"/>
          </w:rPr>
          <w:t>7</w:t>
        </w:r>
      </w:hyperlink>
      <w:r>
        <w:rPr>
          <w:sz w:val="20"/>
        </w:rPr>
        <w:t>.</w:t>
      </w:r>
    </w:p>
    <w:p w14:paraId="79D580D0" w14:textId="77777777" w:rsidR="00467FCA" w:rsidRDefault="00467FCA">
      <w:pPr>
        <w:pStyle w:val="Textoindependiente"/>
        <w:spacing w:before="9"/>
        <w:rPr>
          <w:sz w:val="19"/>
        </w:rPr>
      </w:pPr>
    </w:p>
    <w:p w14:paraId="0EBBB06A"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El concepto de interseccionalidad permite a la Corte, como elemento hermenéutico, la determinación de personas o gru</w:t>
      </w:r>
      <w:r>
        <w:rPr>
          <w:sz w:val="20"/>
        </w:rPr>
        <w:t>pos que sufren discriminación y analizar las causas de tal situación. Como se realiza en la presente sentencia la apreciación del fenómeno, la adecuada intelección de su gravedad y el análisis de las causas y efectos respecto de las personas, ayuda a la Co</w:t>
      </w:r>
      <w:r>
        <w:rPr>
          <w:sz w:val="20"/>
        </w:rPr>
        <w:t>rte a resolver el fondo de los casos sometidos a su consideración y a la vez suministra la perspectiva necesaria para dictar reparaciones consistentes entre otras en el dictado de medidas de no repetición adecuadas mediante la imposición a los Estados de c</w:t>
      </w:r>
      <w:r>
        <w:rPr>
          <w:sz w:val="20"/>
        </w:rPr>
        <w:t>onductas orientadas a superar la discriminación y la violación de</w:t>
      </w:r>
      <w:r>
        <w:rPr>
          <w:spacing w:val="-16"/>
          <w:sz w:val="20"/>
        </w:rPr>
        <w:t xml:space="preserve"> </w:t>
      </w:r>
      <w:r>
        <w:rPr>
          <w:sz w:val="20"/>
        </w:rPr>
        <w:t>derechos.</w:t>
      </w:r>
    </w:p>
    <w:p w14:paraId="516B87EE" w14:textId="77777777" w:rsidR="00467FCA" w:rsidRDefault="00467FCA">
      <w:pPr>
        <w:pStyle w:val="Textoindependiente"/>
        <w:spacing w:before="9"/>
        <w:rPr>
          <w:sz w:val="19"/>
        </w:rPr>
      </w:pPr>
    </w:p>
    <w:p w14:paraId="254AA2DC" w14:textId="77777777" w:rsidR="00467FCA" w:rsidRDefault="001B68EB">
      <w:pPr>
        <w:pStyle w:val="Prrafodelista"/>
        <w:numPr>
          <w:ilvl w:val="0"/>
          <w:numId w:val="3"/>
        </w:numPr>
        <w:tabs>
          <w:tab w:val="left" w:pos="890"/>
        </w:tabs>
        <w:spacing w:line="276" w:lineRule="auto"/>
        <w:ind w:left="181" w:right="118" w:hanging="1"/>
        <w:jc w:val="both"/>
        <w:rPr>
          <w:i/>
          <w:sz w:val="20"/>
        </w:rPr>
      </w:pPr>
      <w:r>
        <w:rPr>
          <w:sz w:val="20"/>
        </w:rPr>
        <w:t xml:space="preserve">La Corte IDH utilizó por primera vez el concepto de “interseccionalidad” en  el análisis de la discriminación sufrida por una niña en el acceso a educación en el caso </w:t>
      </w:r>
      <w:r>
        <w:rPr>
          <w:i/>
          <w:sz w:val="20"/>
        </w:rPr>
        <w:t>Gonzales Llu</w:t>
      </w:r>
      <w:r>
        <w:rPr>
          <w:i/>
          <w:sz w:val="20"/>
        </w:rPr>
        <w:t>y y Otros Vs. Ecuador</w:t>
      </w:r>
      <w:hyperlink w:anchor="_bookmark866" w:history="1">
        <w:r>
          <w:rPr>
            <w:position w:val="7"/>
            <w:sz w:val="13"/>
          </w:rPr>
          <w:t>8</w:t>
        </w:r>
      </w:hyperlink>
      <w:r>
        <w:rPr>
          <w:sz w:val="20"/>
        </w:rPr>
        <w:t>. Se afirma que en el caso “</w:t>
      </w:r>
      <w:r>
        <w:rPr>
          <w:i/>
          <w:sz w:val="20"/>
        </w:rPr>
        <w:t>confluyeron en forma</w:t>
      </w:r>
      <w:r>
        <w:rPr>
          <w:i/>
          <w:spacing w:val="11"/>
          <w:sz w:val="20"/>
        </w:rPr>
        <w:t xml:space="preserve"> </w:t>
      </w:r>
      <w:r>
        <w:rPr>
          <w:i/>
          <w:sz w:val="20"/>
        </w:rPr>
        <w:t>interseccional</w:t>
      </w:r>
      <w:r>
        <w:rPr>
          <w:i/>
          <w:spacing w:val="11"/>
          <w:sz w:val="20"/>
        </w:rPr>
        <w:t xml:space="preserve"> </w:t>
      </w:r>
      <w:r>
        <w:rPr>
          <w:i/>
          <w:sz w:val="20"/>
        </w:rPr>
        <w:t>múltiples</w:t>
      </w:r>
      <w:r>
        <w:rPr>
          <w:i/>
          <w:spacing w:val="11"/>
          <w:sz w:val="20"/>
        </w:rPr>
        <w:t xml:space="preserve"> </w:t>
      </w:r>
      <w:r>
        <w:rPr>
          <w:i/>
          <w:sz w:val="20"/>
        </w:rPr>
        <w:t>factores</w:t>
      </w:r>
      <w:r>
        <w:rPr>
          <w:i/>
          <w:spacing w:val="12"/>
          <w:sz w:val="20"/>
        </w:rPr>
        <w:t xml:space="preserve"> </w:t>
      </w:r>
      <w:r>
        <w:rPr>
          <w:i/>
          <w:sz w:val="20"/>
        </w:rPr>
        <w:t>de</w:t>
      </w:r>
      <w:r>
        <w:rPr>
          <w:i/>
          <w:spacing w:val="10"/>
          <w:sz w:val="20"/>
        </w:rPr>
        <w:t xml:space="preserve"> </w:t>
      </w:r>
      <w:r>
        <w:rPr>
          <w:i/>
          <w:sz w:val="20"/>
        </w:rPr>
        <w:t>vulnerabilidad</w:t>
      </w:r>
      <w:r>
        <w:rPr>
          <w:i/>
          <w:spacing w:val="11"/>
          <w:sz w:val="20"/>
        </w:rPr>
        <w:t xml:space="preserve"> </w:t>
      </w:r>
      <w:r>
        <w:rPr>
          <w:i/>
          <w:sz w:val="20"/>
        </w:rPr>
        <w:t>y</w:t>
      </w:r>
      <w:r>
        <w:rPr>
          <w:i/>
          <w:spacing w:val="14"/>
          <w:sz w:val="20"/>
        </w:rPr>
        <w:t xml:space="preserve"> </w:t>
      </w:r>
      <w:r>
        <w:rPr>
          <w:i/>
          <w:sz w:val="20"/>
        </w:rPr>
        <w:t>riesgo</w:t>
      </w:r>
      <w:r>
        <w:rPr>
          <w:i/>
          <w:spacing w:val="9"/>
          <w:sz w:val="20"/>
        </w:rPr>
        <w:t xml:space="preserve"> </w:t>
      </w:r>
      <w:r>
        <w:rPr>
          <w:i/>
          <w:sz w:val="20"/>
        </w:rPr>
        <w:t>de</w:t>
      </w:r>
      <w:r>
        <w:rPr>
          <w:i/>
          <w:spacing w:val="10"/>
          <w:sz w:val="20"/>
        </w:rPr>
        <w:t xml:space="preserve"> </w:t>
      </w:r>
      <w:r>
        <w:rPr>
          <w:i/>
          <w:sz w:val="20"/>
        </w:rPr>
        <w:t>discriminación</w:t>
      </w:r>
    </w:p>
    <w:p w14:paraId="3B568CE4" w14:textId="77777777" w:rsidR="00467FCA" w:rsidRDefault="001B68EB">
      <w:pPr>
        <w:pStyle w:val="Textoindependiente"/>
        <w:spacing w:before="11"/>
        <w:rPr>
          <w:i/>
          <w:sz w:val="11"/>
        </w:rPr>
      </w:pPr>
      <w:r>
        <w:pict w14:anchorId="50123A62">
          <v:shape id="_x0000_s1031" style="position:absolute;margin-left:85.1pt;margin-top:9.6pt;width:2in;height:.1pt;z-index:-251490304;mso-wrap-distance-left:0;mso-wrap-distance-right:0;mso-position-horizontal-relative:page" coordorigin="1702,192" coordsize="2880,0" path="m1702,192r2880,e" filled="f" strokeweight=".72pt">
            <v:path arrowok="t"/>
            <w10:wrap type="topAndBottom" anchorx="page"/>
          </v:shape>
        </w:pict>
      </w:r>
    </w:p>
    <w:p w14:paraId="0267DECC" w14:textId="77777777" w:rsidR="00467FCA" w:rsidRDefault="001B68EB">
      <w:pPr>
        <w:tabs>
          <w:tab w:val="left" w:pos="889"/>
        </w:tabs>
        <w:spacing w:before="71"/>
        <w:ind w:left="181" w:right="118" w:hanging="1"/>
        <w:rPr>
          <w:sz w:val="16"/>
        </w:rPr>
      </w:pPr>
      <w:bookmarkStart w:id="951" w:name="_bookmark864"/>
      <w:bookmarkEnd w:id="951"/>
      <w:r>
        <w:rPr>
          <w:position w:val="6"/>
          <w:sz w:val="10"/>
        </w:rPr>
        <w:t>6</w:t>
      </w:r>
      <w:r>
        <w:rPr>
          <w:position w:val="6"/>
          <w:sz w:val="10"/>
        </w:rPr>
        <w:tab/>
      </w:r>
      <w:r>
        <w:rPr>
          <w:i/>
          <w:sz w:val="16"/>
        </w:rPr>
        <w:t xml:space="preserve">Cfr. </w:t>
      </w:r>
      <w:r>
        <w:rPr>
          <w:sz w:val="16"/>
        </w:rPr>
        <w:t xml:space="preserve">Kimberle Crenshaw, «Demarginalizing the Intersection of Race and </w:t>
      </w:r>
      <w:r>
        <w:rPr>
          <w:sz w:val="16"/>
        </w:rPr>
        <w:t xml:space="preserve">Sex: A Black Feminist Critique of Antidiscrimination Doctrine, Feminist Theory and Antiracist Politics», </w:t>
      </w:r>
      <w:r>
        <w:rPr>
          <w:i/>
          <w:sz w:val="16"/>
        </w:rPr>
        <w:t xml:space="preserve">University of Chicago Legal Forum </w:t>
      </w:r>
      <w:r>
        <w:rPr>
          <w:sz w:val="16"/>
        </w:rPr>
        <w:t>1, n.</w:t>
      </w:r>
      <w:r>
        <w:rPr>
          <w:position w:val="6"/>
          <w:sz w:val="10"/>
        </w:rPr>
        <w:t xml:space="preserve">o </w:t>
      </w:r>
      <w:r>
        <w:rPr>
          <w:sz w:val="16"/>
        </w:rPr>
        <w:t xml:space="preserve">8, 1989, pág. 149. Disponible en: </w:t>
      </w:r>
      <w:hyperlink r:id="rId71">
        <w:r>
          <w:rPr>
            <w:color w:val="0000FF"/>
            <w:sz w:val="16"/>
            <w:u w:val="single" w:color="000000"/>
          </w:rPr>
          <w:t>https://chicagounbound.uchicago.edu/cgi/viewcontent.cgi?article=1052&amp;context=uclf</w:t>
        </w:r>
      </w:hyperlink>
      <w:r>
        <w:rPr>
          <w:sz w:val="16"/>
        </w:rPr>
        <w:t>.</w:t>
      </w:r>
    </w:p>
    <w:p w14:paraId="65DAF506" w14:textId="77777777" w:rsidR="00467FCA" w:rsidRDefault="001B68EB">
      <w:pPr>
        <w:tabs>
          <w:tab w:val="left" w:pos="889"/>
        </w:tabs>
        <w:spacing w:line="194" w:lineRule="exact"/>
        <w:ind w:left="181"/>
        <w:rPr>
          <w:sz w:val="16"/>
        </w:rPr>
      </w:pPr>
      <w:bookmarkStart w:id="952" w:name="_bookmark865"/>
      <w:bookmarkEnd w:id="952"/>
      <w:r>
        <w:rPr>
          <w:position w:val="6"/>
          <w:sz w:val="10"/>
        </w:rPr>
        <w:t>7</w:t>
      </w:r>
      <w:r>
        <w:rPr>
          <w:position w:val="6"/>
          <w:sz w:val="10"/>
        </w:rPr>
        <w:tab/>
      </w:r>
      <w:r>
        <w:rPr>
          <w:i/>
          <w:sz w:val="16"/>
        </w:rPr>
        <w:t xml:space="preserve">Cfr. </w:t>
      </w:r>
      <w:r>
        <w:rPr>
          <w:sz w:val="16"/>
        </w:rPr>
        <w:t xml:space="preserve">Kimberle Crenshaw, </w:t>
      </w:r>
      <w:r>
        <w:rPr>
          <w:i/>
          <w:sz w:val="16"/>
        </w:rPr>
        <w:t>supra</w:t>
      </w:r>
      <w:r>
        <w:rPr>
          <w:sz w:val="16"/>
        </w:rPr>
        <w:t>, pág</w:t>
      </w:r>
      <w:r>
        <w:rPr>
          <w:spacing w:val="-3"/>
          <w:sz w:val="16"/>
        </w:rPr>
        <w:t xml:space="preserve"> </w:t>
      </w:r>
      <w:r>
        <w:rPr>
          <w:sz w:val="16"/>
        </w:rPr>
        <w:t>152.</w:t>
      </w:r>
    </w:p>
    <w:p w14:paraId="1BF6DAE0" w14:textId="77777777" w:rsidR="00467FCA" w:rsidRDefault="001B68EB">
      <w:pPr>
        <w:tabs>
          <w:tab w:val="left" w:pos="889"/>
        </w:tabs>
        <w:ind w:left="181" w:right="118"/>
        <w:rPr>
          <w:sz w:val="16"/>
        </w:rPr>
      </w:pPr>
      <w:bookmarkStart w:id="953" w:name="_bookmark866"/>
      <w:bookmarkEnd w:id="953"/>
      <w:r>
        <w:rPr>
          <w:position w:val="6"/>
          <w:sz w:val="10"/>
        </w:rPr>
        <w:t>8</w:t>
      </w:r>
      <w:r>
        <w:rPr>
          <w:position w:val="6"/>
          <w:sz w:val="10"/>
        </w:rPr>
        <w:tab/>
      </w:r>
      <w:r>
        <w:rPr>
          <w:i/>
          <w:sz w:val="16"/>
        </w:rPr>
        <w:t>Cfr. Caso Gonzales Lluy y Otro</w:t>
      </w:r>
      <w:r>
        <w:rPr>
          <w:i/>
          <w:sz w:val="16"/>
        </w:rPr>
        <w:t xml:space="preserve">s Vs. Ecuador. Excepciones Preliminares, Fondo, Reparaciones y Costas. </w:t>
      </w:r>
      <w:r>
        <w:rPr>
          <w:sz w:val="16"/>
        </w:rPr>
        <w:t>Sentencia de 1 de setiembre de 2015. Serie C No.</w:t>
      </w:r>
      <w:r>
        <w:rPr>
          <w:spacing w:val="-12"/>
          <w:sz w:val="16"/>
        </w:rPr>
        <w:t xml:space="preserve"> </w:t>
      </w:r>
      <w:r>
        <w:rPr>
          <w:sz w:val="16"/>
        </w:rPr>
        <w:t>298.</w:t>
      </w:r>
    </w:p>
    <w:p w14:paraId="683778DF" w14:textId="77777777" w:rsidR="00467FCA" w:rsidRDefault="00467FCA">
      <w:pPr>
        <w:rPr>
          <w:sz w:val="16"/>
        </w:rPr>
        <w:sectPr w:rsidR="00467FCA">
          <w:pgSz w:w="11910" w:h="16840"/>
          <w:pgMar w:top="1320" w:right="1580" w:bottom="1200" w:left="1520" w:header="0" w:footer="1002" w:gutter="0"/>
          <w:cols w:space="720"/>
        </w:sectPr>
      </w:pPr>
    </w:p>
    <w:p w14:paraId="3324F760" w14:textId="77777777" w:rsidR="00467FCA" w:rsidRDefault="001B68EB">
      <w:pPr>
        <w:spacing w:before="78" w:line="276" w:lineRule="auto"/>
        <w:ind w:left="181" w:right="117"/>
        <w:jc w:val="both"/>
        <w:rPr>
          <w:sz w:val="20"/>
        </w:rPr>
      </w:pPr>
      <w:r>
        <w:rPr>
          <w:i/>
          <w:sz w:val="20"/>
        </w:rPr>
        <w:t>asociados a su condición de niña, mujer, persona en situación de pobreza y persona con VIH. La discriminación que</w:t>
      </w:r>
      <w:r>
        <w:rPr>
          <w:i/>
          <w:sz w:val="20"/>
        </w:rPr>
        <w:t xml:space="preserve"> vivió Talía no sólo fue ocasionada por múltiples factores, sino que derivó en una forma específica de discriminación que resultó de la intersección de dichos factores, es decir, si alguno de dichos factores no hubiese existido, la discriminación habría te</w:t>
      </w:r>
      <w:r>
        <w:rPr>
          <w:i/>
          <w:sz w:val="20"/>
        </w:rPr>
        <w:t>nido una naturaleza diferente. En efecto, la pobreza impactó en el acceso inicial a una atención en salud que no fue de calidad  y que, por el contrario, generó el contagio con VIH. La situación de pobreza  impactó también en las dificultades para encontra</w:t>
      </w:r>
      <w:r>
        <w:rPr>
          <w:i/>
          <w:sz w:val="20"/>
        </w:rPr>
        <w:t>r un mejor acceso al sistema educativo y tener una vivienda</w:t>
      </w:r>
      <w:r>
        <w:rPr>
          <w:i/>
          <w:spacing w:val="-6"/>
          <w:sz w:val="20"/>
        </w:rPr>
        <w:t xml:space="preserve"> </w:t>
      </w:r>
      <w:r>
        <w:rPr>
          <w:i/>
          <w:sz w:val="20"/>
        </w:rPr>
        <w:t>digna”</w:t>
      </w:r>
      <w:hyperlink w:anchor="_bookmark867" w:history="1">
        <w:r>
          <w:rPr>
            <w:position w:val="7"/>
            <w:sz w:val="13"/>
          </w:rPr>
          <w:t>9</w:t>
        </w:r>
      </w:hyperlink>
      <w:r>
        <w:rPr>
          <w:sz w:val="20"/>
        </w:rPr>
        <w:t>.</w:t>
      </w:r>
    </w:p>
    <w:p w14:paraId="2C32FB16" w14:textId="77777777" w:rsidR="00467FCA" w:rsidRDefault="00467FCA">
      <w:pPr>
        <w:pStyle w:val="Textoindependiente"/>
        <w:spacing w:before="10"/>
        <w:rPr>
          <w:sz w:val="19"/>
        </w:rPr>
      </w:pPr>
    </w:p>
    <w:p w14:paraId="3AD75355" w14:textId="77777777" w:rsidR="00467FCA" w:rsidRDefault="001B68EB">
      <w:pPr>
        <w:pStyle w:val="Prrafodelista"/>
        <w:numPr>
          <w:ilvl w:val="0"/>
          <w:numId w:val="3"/>
        </w:numPr>
        <w:tabs>
          <w:tab w:val="left" w:pos="890"/>
        </w:tabs>
        <w:spacing w:before="1" w:line="276" w:lineRule="auto"/>
        <w:ind w:left="181" w:right="121" w:firstLine="0"/>
        <w:jc w:val="both"/>
        <w:rPr>
          <w:sz w:val="20"/>
        </w:rPr>
      </w:pPr>
      <w:r>
        <w:rPr>
          <w:sz w:val="20"/>
        </w:rPr>
        <w:t>Por su parte la Comisión, en un análisis sobre la pobreza</w:t>
      </w:r>
      <w:hyperlink w:anchor="_bookmark868" w:history="1">
        <w:r>
          <w:rPr>
            <w:position w:val="7"/>
            <w:sz w:val="13"/>
          </w:rPr>
          <w:t>10</w:t>
        </w:r>
      </w:hyperlink>
      <w:r>
        <w:rPr>
          <w:sz w:val="20"/>
        </w:rPr>
        <w:t>, plantea el impacto diferenciado de la pobreza como factor de vulnerabilidad que se agrava y aumenta cuando se suma a las vulnerabilidades de determinados grupos poblacionales como en las mujeres y en niños, niñas y</w:t>
      </w:r>
      <w:r>
        <w:rPr>
          <w:spacing w:val="-13"/>
          <w:sz w:val="20"/>
        </w:rPr>
        <w:t xml:space="preserve"> </w:t>
      </w:r>
      <w:r>
        <w:rPr>
          <w:sz w:val="20"/>
        </w:rPr>
        <w:t>adolescentes.</w:t>
      </w:r>
    </w:p>
    <w:p w14:paraId="71A4C3A2" w14:textId="77777777" w:rsidR="00467FCA" w:rsidRDefault="00467FCA">
      <w:pPr>
        <w:pStyle w:val="Textoindependiente"/>
        <w:spacing w:before="9"/>
        <w:rPr>
          <w:sz w:val="19"/>
        </w:rPr>
      </w:pPr>
    </w:p>
    <w:p w14:paraId="58F2234C"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A nivel del sistema univ</w:t>
      </w:r>
      <w:r>
        <w:rPr>
          <w:sz w:val="20"/>
        </w:rPr>
        <w:t>ersal de protección de derechos humanos, sumado a lo mencionado por la sentencia, el Alto Comisionado de las Naciones Unidas para los Derechos Humanos, en su Informe de 2017 al Consejo de Derechos Humanos, ha planteado los efectos de las formas múltiples e</w:t>
      </w:r>
      <w:r>
        <w:rPr>
          <w:sz w:val="20"/>
        </w:rPr>
        <w:t xml:space="preserve"> interseccionales de discriminación y violencia en el contexto del racismo, la discriminación racial, la xenofobia y las formas conexas de intolerancia haciendo énfasis en las mujeres y las niñas</w:t>
      </w:r>
      <w:hyperlink w:anchor="_bookmark869" w:history="1">
        <w:r>
          <w:rPr>
            <w:position w:val="7"/>
            <w:sz w:val="13"/>
          </w:rPr>
          <w:t>11</w:t>
        </w:r>
      </w:hyperlink>
      <w:r>
        <w:rPr>
          <w:sz w:val="20"/>
        </w:rPr>
        <w:t>. Asimismo, plantea la nece</w:t>
      </w:r>
      <w:r>
        <w:rPr>
          <w:sz w:val="20"/>
        </w:rPr>
        <w:t>sidad de ofrecer una protección específica y adaptada a las mujeres y las niñas, haciendo un especial énfasis en la afectación de derechos por la exclusión socioeconómica y la</w:t>
      </w:r>
      <w:r>
        <w:rPr>
          <w:spacing w:val="-7"/>
          <w:sz w:val="20"/>
        </w:rPr>
        <w:t xml:space="preserve"> </w:t>
      </w:r>
      <w:r>
        <w:rPr>
          <w:sz w:val="20"/>
        </w:rPr>
        <w:t>pobreza.</w:t>
      </w:r>
    </w:p>
    <w:p w14:paraId="5C4107C7" w14:textId="77777777" w:rsidR="00467FCA" w:rsidRDefault="00467FCA">
      <w:pPr>
        <w:pStyle w:val="Textoindependiente"/>
        <w:spacing w:before="9"/>
        <w:rPr>
          <w:sz w:val="19"/>
        </w:rPr>
      </w:pPr>
    </w:p>
    <w:p w14:paraId="45D45015"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 xml:space="preserve">En relación específica con el derecho al trabajo, el Alto Comisionado </w:t>
      </w:r>
      <w:r>
        <w:rPr>
          <w:sz w:val="20"/>
        </w:rPr>
        <w:t>de Naciones Unidas para los Derechos Humanos plantea que “</w:t>
      </w:r>
      <w:r>
        <w:rPr>
          <w:i/>
          <w:sz w:val="20"/>
        </w:rPr>
        <w:t>La discriminación interseccional afecta profundamente a las mujeres en su búsqueda de empleo o en el lugar de trabajo. Durante el proceso de contratación o en el entorno de trabajo, pueden aflorar l</w:t>
      </w:r>
      <w:r>
        <w:rPr>
          <w:i/>
          <w:sz w:val="20"/>
        </w:rPr>
        <w:t>as creencias estereotipadas, sutiles o explícitas, que profesan sus empleadores, compañeros de trabajo o socios</w:t>
      </w:r>
      <w:r>
        <w:rPr>
          <w:i/>
          <w:spacing w:val="-9"/>
          <w:sz w:val="20"/>
        </w:rPr>
        <w:t xml:space="preserve"> </w:t>
      </w:r>
      <w:r>
        <w:rPr>
          <w:i/>
          <w:sz w:val="20"/>
        </w:rPr>
        <w:t>comerciales</w:t>
      </w:r>
      <w:r>
        <w:rPr>
          <w:sz w:val="20"/>
        </w:rPr>
        <w:t>”</w:t>
      </w:r>
      <w:hyperlink w:anchor="_bookmark870" w:history="1">
        <w:r>
          <w:rPr>
            <w:position w:val="7"/>
            <w:sz w:val="13"/>
          </w:rPr>
          <w:t>12</w:t>
        </w:r>
      </w:hyperlink>
      <w:r>
        <w:rPr>
          <w:sz w:val="20"/>
        </w:rPr>
        <w:t>.</w:t>
      </w:r>
    </w:p>
    <w:p w14:paraId="7D1119F4" w14:textId="77777777" w:rsidR="00467FCA" w:rsidRDefault="00467FCA">
      <w:pPr>
        <w:pStyle w:val="Textoindependiente"/>
        <w:spacing w:before="9"/>
        <w:rPr>
          <w:sz w:val="19"/>
        </w:rPr>
      </w:pPr>
    </w:p>
    <w:p w14:paraId="141DAE2A" w14:textId="77777777" w:rsidR="00467FCA" w:rsidRDefault="001B68EB">
      <w:pPr>
        <w:pStyle w:val="Prrafodelista"/>
        <w:numPr>
          <w:ilvl w:val="0"/>
          <w:numId w:val="3"/>
        </w:numPr>
        <w:tabs>
          <w:tab w:val="left" w:pos="890"/>
        </w:tabs>
        <w:spacing w:line="276" w:lineRule="auto"/>
        <w:ind w:left="181" w:right="116" w:hanging="1"/>
        <w:jc w:val="both"/>
        <w:rPr>
          <w:sz w:val="20"/>
        </w:rPr>
      </w:pPr>
      <w:r>
        <w:rPr>
          <w:sz w:val="20"/>
        </w:rPr>
        <w:t>En la misma línea, la Relatora Especial sobre la extrema pobreza y los derechos humanos plantea que “</w:t>
      </w:r>
      <w:r>
        <w:rPr>
          <w:i/>
          <w:sz w:val="20"/>
        </w:rPr>
        <w:t xml:space="preserve">la cantidad, intensidad y pesadez del trabajo asistencial no remunerado aumentan con la pobreza y la exclusión social, mientras que la situación suele ser </w:t>
      </w:r>
      <w:r>
        <w:rPr>
          <w:i/>
          <w:sz w:val="20"/>
        </w:rPr>
        <w:t>peor para las mujeres que sufren discriminación y exclusión social por otros motivos, como el origen étnico, la raza, el color, la salud o el estado</w:t>
      </w:r>
      <w:r>
        <w:rPr>
          <w:i/>
          <w:spacing w:val="-2"/>
          <w:sz w:val="20"/>
        </w:rPr>
        <w:t xml:space="preserve"> </w:t>
      </w:r>
      <w:r>
        <w:rPr>
          <w:i/>
          <w:sz w:val="20"/>
        </w:rPr>
        <w:t>civil</w:t>
      </w:r>
      <w:r>
        <w:rPr>
          <w:sz w:val="20"/>
        </w:rPr>
        <w:t>”</w:t>
      </w:r>
      <w:hyperlink w:anchor="_bookmark871" w:history="1">
        <w:r>
          <w:rPr>
            <w:position w:val="7"/>
            <w:sz w:val="13"/>
          </w:rPr>
          <w:t>13</w:t>
        </w:r>
      </w:hyperlink>
      <w:r>
        <w:rPr>
          <w:sz w:val="20"/>
        </w:rPr>
        <w:t>.</w:t>
      </w:r>
    </w:p>
    <w:p w14:paraId="51AF32EF" w14:textId="77777777" w:rsidR="00467FCA" w:rsidRDefault="001B68EB">
      <w:pPr>
        <w:pStyle w:val="Textoindependiente"/>
        <w:spacing w:before="5"/>
        <w:rPr>
          <w:sz w:val="22"/>
        </w:rPr>
      </w:pPr>
      <w:r>
        <w:pict w14:anchorId="6656AE78">
          <v:shape id="_x0000_s1030" style="position:absolute;margin-left:85.1pt;margin-top:16pt;width:2in;height:.1pt;z-index:-251489280;mso-wrap-distance-left:0;mso-wrap-distance-right:0;mso-position-horizontal-relative:page" coordorigin="1702,320" coordsize="2880,0" path="m1702,320r2880,e" filled="f" strokeweight=".72pt">
            <v:path arrowok="t"/>
            <w10:wrap type="topAndBottom" anchorx="page"/>
          </v:shape>
        </w:pict>
      </w:r>
    </w:p>
    <w:p w14:paraId="4941E513" w14:textId="77777777" w:rsidR="00467FCA" w:rsidRDefault="001B68EB">
      <w:pPr>
        <w:tabs>
          <w:tab w:val="left" w:pos="889"/>
        </w:tabs>
        <w:spacing w:before="71"/>
        <w:ind w:left="181"/>
        <w:jc w:val="both"/>
        <w:rPr>
          <w:sz w:val="16"/>
        </w:rPr>
      </w:pPr>
      <w:bookmarkStart w:id="954" w:name="_bookmark867"/>
      <w:bookmarkEnd w:id="954"/>
      <w:r>
        <w:rPr>
          <w:position w:val="6"/>
          <w:sz w:val="10"/>
        </w:rPr>
        <w:t>9</w:t>
      </w:r>
      <w:r>
        <w:rPr>
          <w:position w:val="6"/>
          <w:sz w:val="10"/>
        </w:rPr>
        <w:tab/>
      </w:r>
      <w:r>
        <w:rPr>
          <w:i/>
          <w:sz w:val="16"/>
        </w:rPr>
        <w:t xml:space="preserve">Cfr. Caso Gonzales Lluy y Otros Vs. Ecuador, supra, </w:t>
      </w:r>
      <w:r>
        <w:rPr>
          <w:sz w:val="16"/>
        </w:rPr>
        <w:t>párr.</w:t>
      </w:r>
      <w:r>
        <w:rPr>
          <w:spacing w:val="-13"/>
          <w:sz w:val="16"/>
        </w:rPr>
        <w:t xml:space="preserve"> </w:t>
      </w:r>
      <w:r>
        <w:rPr>
          <w:sz w:val="16"/>
        </w:rPr>
        <w:t>290</w:t>
      </w:r>
      <w:r>
        <w:rPr>
          <w:sz w:val="16"/>
        </w:rPr>
        <w:t>.</w:t>
      </w:r>
    </w:p>
    <w:p w14:paraId="7FFDD31B" w14:textId="77777777" w:rsidR="00467FCA" w:rsidRDefault="001B68EB">
      <w:pPr>
        <w:tabs>
          <w:tab w:val="left" w:pos="889"/>
        </w:tabs>
        <w:ind w:left="181" w:right="118"/>
        <w:jc w:val="both"/>
        <w:rPr>
          <w:sz w:val="16"/>
        </w:rPr>
      </w:pPr>
      <w:bookmarkStart w:id="955" w:name="_bookmark868"/>
      <w:bookmarkEnd w:id="955"/>
      <w:r>
        <w:rPr>
          <w:position w:val="6"/>
          <w:sz w:val="10"/>
        </w:rPr>
        <w:t>10</w:t>
      </w:r>
      <w:r>
        <w:rPr>
          <w:position w:val="6"/>
          <w:sz w:val="10"/>
        </w:rPr>
        <w:tab/>
      </w:r>
      <w:r>
        <w:rPr>
          <w:i/>
          <w:sz w:val="16"/>
        </w:rPr>
        <w:t xml:space="preserve">Cfr. </w:t>
      </w:r>
      <w:r>
        <w:rPr>
          <w:sz w:val="16"/>
        </w:rPr>
        <w:t xml:space="preserve">CIDH, </w:t>
      </w:r>
      <w:r>
        <w:rPr>
          <w:i/>
          <w:sz w:val="16"/>
        </w:rPr>
        <w:t xml:space="preserve">Informe sobre pobreza y derechos humanos en las Américas, </w:t>
      </w:r>
      <w:r>
        <w:rPr>
          <w:sz w:val="16"/>
        </w:rPr>
        <w:t>OEA/Ser.L/V/II.164, 7 de septiembre de</w:t>
      </w:r>
      <w:r>
        <w:rPr>
          <w:spacing w:val="-4"/>
          <w:sz w:val="16"/>
        </w:rPr>
        <w:t xml:space="preserve"> </w:t>
      </w:r>
      <w:r>
        <w:rPr>
          <w:sz w:val="16"/>
        </w:rPr>
        <w:t>2017.</w:t>
      </w:r>
    </w:p>
    <w:p w14:paraId="47989E68" w14:textId="77777777" w:rsidR="00467FCA" w:rsidRDefault="001B68EB">
      <w:pPr>
        <w:tabs>
          <w:tab w:val="left" w:pos="889"/>
        </w:tabs>
        <w:ind w:left="182" w:right="112" w:hanging="1"/>
        <w:jc w:val="both"/>
        <w:rPr>
          <w:sz w:val="16"/>
        </w:rPr>
      </w:pPr>
      <w:bookmarkStart w:id="956" w:name="_bookmark869"/>
      <w:bookmarkEnd w:id="956"/>
      <w:r>
        <w:rPr>
          <w:position w:val="6"/>
          <w:sz w:val="10"/>
        </w:rPr>
        <w:t>11</w:t>
      </w:r>
      <w:r>
        <w:rPr>
          <w:position w:val="6"/>
          <w:sz w:val="10"/>
        </w:rPr>
        <w:tab/>
      </w:r>
      <w:r>
        <w:rPr>
          <w:i/>
          <w:sz w:val="16"/>
        </w:rPr>
        <w:t xml:space="preserve">Cfr. </w:t>
      </w:r>
      <w:r>
        <w:rPr>
          <w:sz w:val="16"/>
        </w:rPr>
        <w:t xml:space="preserve">Consejo de Derechos Humanos, </w:t>
      </w:r>
      <w:r>
        <w:rPr>
          <w:i/>
          <w:sz w:val="16"/>
        </w:rPr>
        <w:t xml:space="preserve">Efectos de las formas múltiples e interseccionales de discriminación y violencia en el contexto del </w:t>
      </w:r>
      <w:r>
        <w:rPr>
          <w:i/>
          <w:sz w:val="16"/>
        </w:rPr>
        <w:t>racismo, la discriminación racial, la xenofobia y las formas conexas de intolerancia sobre el pleno disfrute por las mujeres y las niñas de todos los derechos humanos</w:t>
      </w:r>
      <w:r>
        <w:rPr>
          <w:sz w:val="16"/>
        </w:rPr>
        <w:t>, Informe del Alto Comisionado de las Naciones Unidas para los Derechos Humanos, 21 de abr</w:t>
      </w:r>
      <w:r>
        <w:rPr>
          <w:sz w:val="16"/>
        </w:rPr>
        <w:t>il de 2017, UN Doc.</w:t>
      </w:r>
      <w:r>
        <w:rPr>
          <w:spacing w:val="-8"/>
          <w:sz w:val="16"/>
        </w:rPr>
        <w:t xml:space="preserve"> </w:t>
      </w:r>
      <w:r>
        <w:rPr>
          <w:sz w:val="16"/>
        </w:rPr>
        <w:t>A/HRC/35/10.</w:t>
      </w:r>
    </w:p>
    <w:p w14:paraId="4501CF54" w14:textId="77777777" w:rsidR="00467FCA" w:rsidRDefault="001B68EB">
      <w:pPr>
        <w:tabs>
          <w:tab w:val="left" w:pos="889"/>
        </w:tabs>
        <w:ind w:left="181" w:right="113" w:hanging="1"/>
        <w:jc w:val="both"/>
        <w:rPr>
          <w:sz w:val="16"/>
        </w:rPr>
      </w:pPr>
      <w:bookmarkStart w:id="957" w:name="_bookmark870"/>
      <w:bookmarkEnd w:id="957"/>
      <w:r>
        <w:rPr>
          <w:position w:val="6"/>
          <w:sz w:val="10"/>
        </w:rPr>
        <w:t>12</w:t>
      </w:r>
      <w:r>
        <w:rPr>
          <w:position w:val="6"/>
          <w:sz w:val="10"/>
        </w:rPr>
        <w:tab/>
      </w:r>
      <w:r>
        <w:rPr>
          <w:sz w:val="16"/>
        </w:rPr>
        <w:t xml:space="preserve">Consejo de Derechos Humanos, </w:t>
      </w:r>
      <w:r>
        <w:rPr>
          <w:i/>
          <w:sz w:val="16"/>
        </w:rPr>
        <w:t xml:space="preserve">Efectos de las formas múltiples e interseccionales de </w:t>
      </w:r>
      <w:r>
        <w:rPr>
          <w:i/>
          <w:sz w:val="16"/>
        </w:rPr>
        <w:t>discriminación y violencia en el contexto del racismo, la discriminación racial, la xenofobia y las formas conexas de intolerancia sobre el pleno disfrute por las mujeres y las niñas de todos los derechos humanos</w:t>
      </w:r>
      <w:r>
        <w:rPr>
          <w:sz w:val="16"/>
        </w:rPr>
        <w:t>, supra, párr.</w:t>
      </w:r>
      <w:r>
        <w:rPr>
          <w:spacing w:val="-4"/>
          <w:sz w:val="16"/>
        </w:rPr>
        <w:t xml:space="preserve"> </w:t>
      </w:r>
      <w:r>
        <w:rPr>
          <w:sz w:val="16"/>
        </w:rPr>
        <w:t>16.</w:t>
      </w:r>
    </w:p>
    <w:p w14:paraId="717B914B" w14:textId="77777777" w:rsidR="00467FCA" w:rsidRDefault="001B68EB">
      <w:pPr>
        <w:tabs>
          <w:tab w:val="left" w:pos="889"/>
        </w:tabs>
        <w:ind w:left="181" w:right="114"/>
        <w:jc w:val="both"/>
        <w:rPr>
          <w:i/>
          <w:sz w:val="16"/>
        </w:rPr>
      </w:pPr>
      <w:bookmarkStart w:id="958" w:name="_bookmark871"/>
      <w:bookmarkEnd w:id="958"/>
      <w:r>
        <w:rPr>
          <w:position w:val="6"/>
          <w:sz w:val="10"/>
        </w:rPr>
        <w:t>13</w:t>
      </w:r>
      <w:r>
        <w:rPr>
          <w:position w:val="6"/>
          <w:sz w:val="10"/>
        </w:rPr>
        <w:tab/>
      </w:r>
      <w:r>
        <w:rPr>
          <w:sz w:val="16"/>
        </w:rPr>
        <w:t>Asamblea General de Na</w:t>
      </w:r>
      <w:r>
        <w:rPr>
          <w:sz w:val="16"/>
        </w:rPr>
        <w:t xml:space="preserve">ciones Unidas, </w:t>
      </w:r>
      <w:r>
        <w:rPr>
          <w:i/>
          <w:sz w:val="16"/>
        </w:rPr>
        <w:t xml:space="preserve">La extrema pobreza y los derechos humanos, </w:t>
      </w:r>
      <w:r>
        <w:rPr>
          <w:sz w:val="16"/>
        </w:rPr>
        <w:t xml:space="preserve">Informe de la Relatora Especial sobre la extrema pobreza y los derechos humanos, 9 de agosto de 2013, UN Doc. A/68/293, párrs 14 y 18. Citado en: Consejo de Derechos Humanos, </w:t>
      </w:r>
      <w:r>
        <w:rPr>
          <w:i/>
          <w:sz w:val="16"/>
        </w:rPr>
        <w:t>Efectos de las formas m</w:t>
      </w:r>
      <w:r>
        <w:rPr>
          <w:i/>
          <w:sz w:val="16"/>
        </w:rPr>
        <w:t>últiples e interseccionales</w:t>
      </w:r>
      <w:r>
        <w:rPr>
          <w:i/>
          <w:spacing w:val="32"/>
          <w:sz w:val="16"/>
        </w:rPr>
        <w:t xml:space="preserve"> </w:t>
      </w:r>
      <w:r>
        <w:rPr>
          <w:i/>
          <w:sz w:val="16"/>
        </w:rPr>
        <w:t>de</w:t>
      </w:r>
      <w:r>
        <w:rPr>
          <w:i/>
          <w:spacing w:val="36"/>
          <w:sz w:val="16"/>
        </w:rPr>
        <w:t xml:space="preserve"> </w:t>
      </w:r>
      <w:r>
        <w:rPr>
          <w:i/>
          <w:sz w:val="16"/>
        </w:rPr>
        <w:t>discriminación</w:t>
      </w:r>
      <w:r>
        <w:rPr>
          <w:i/>
          <w:spacing w:val="35"/>
          <w:sz w:val="16"/>
        </w:rPr>
        <w:t xml:space="preserve"> </w:t>
      </w:r>
      <w:r>
        <w:rPr>
          <w:i/>
          <w:sz w:val="16"/>
        </w:rPr>
        <w:t>y</w:t>
      </w:r>
      <w:r>
        <w:rPr>
          <w:i/>
          <w:spacing w:val="37"/>
          <w:sz w:val="16"/>
        </w:rPr>
        <w:t xml:space="preserve"> </w:t>
      </w:r>
      <w:r>
        <w:rPr>
          <w:i/>
          <w:sz w:val="16"/>
        </w:rPr>
        <w:t>violencia</w:t>
      </w:r>
      <w:r>
        <w:rPr>
          <w:i/>
          <w:spacing w:val="35"/>
          <w:sz w:val="16"/>
        </w:rPr>
        <w:t xml:space="preserve"> </w:t>
      </w:r>
      <w:r>
        <w:rPr>
          <w:i/>
          <w:sz w:val="16"/>
        </w:rPr>
        <w:t>en</w:t>
      </w:r>
      <w:r>
        <w:rPr>
          <w:i/>
          <w:spacing w:val="35"/>
          <w:sz w:val="16"/>
        </w:rPr>
        <w:t xml:space="preserve"> </w:t>
      </w:r>
      <w:r>
        <w:rPr>
          <w:i/>
          <w:sz w:val="16"/>
        </w:rPr>
        <w:t>el</w:t>
      </w:r>
      <w:r>
        <w:rPr>
          <w:i/>
          <w:spacing w:val="35"/>
          <w:sz w:val="16"/>
        </w:rPr>
        <w:t xml:space="preserve"> </w:t>
      </w:r>
      <w:r>
        <w:rPr>
          <w:i/>
          <w:sz w:val="16"/>
        </w:rPr>
        <w:t>contexto</w:t>
      </w:r>
      <w:r>
        <w:rPr>
          <w:i/>
          <w:spacing w:val="36"/>
          <w:sz w:val="16"/>
        </w:rPr>
        <w:t xml:space="preserve"> </w:t>
      </w:r>
      <w:r>
        <w:rPr>
          <w:i/>
          <w:sz w:val="16"/>
        </w:rPr>
        <w:t>del</w:t>
      </w:r>
      <w:r>
        <w:rPr>
          <w:i/>
          <w:spacing w:val="35"/>
          <w:sz w:val="16"/>
        </w:rPr>
        <w:t xml:space="preserve"> </w:t>
      </w:r>
      <w:r>
        <w:rPr>
          <w:i/>
          <w:sz w:val="16"/>
        </w:rPr>
        <w:t>racismo,</w:t>
      </w:r>
      <w:r>
        <w:rPr>
          <w:i/>
          <w:spacing w:val="37"/>
          <w:sz w:val="16"/>
        </w:rPr>
        <w:t xml:space="preserve"> </w:t>
      </w:r>
      <w:r>
        <w:rPr>
          <w:i/>
          <w:sz w:val="16"/>
        </w:rPr>
        <w:t>la</w:t>
      </w:r>
      <w:r>
        <w:rPr>
          <w:i/>
          <w:spacing w:val="35"/>
          <w:sz w:val="16"/>
        </w:rPr>
        <w:t xml:space="preserve"> </w:t>
      </w:r>
      <w:r>
        <w:rPr>
          <w:i/>
          <w:sz w:val="16"/>
        </w:rPr>
        <w:t>discriminación</w:t>
      </w:r>
      <w:r>
        <w:rPr>
          <w:i/>
          <w:spacing w:val="37"/>
          <w:sz w:val="16"/>
        </w:rPr>
        <w:t xml:space="preserve"> </w:t>
      </w:r>
      <w:r>
        <w:rPr>
          <w:i/>
          <w:sz w:val="16"/>
        </w:rPr>
        <w:t>racial,</w:t>
      </w:r>
      <w:r>
        <w:rPr>
          <w:i/>
          <w:spacing w:val="37"/>
          <w:sz w:val="16"/>
        </w:rPr>
        <w:t xml:space="preserve"> </w:t>
      </w:r>
      <w:r>
        <w:rPr>
          <w:i/>
          <w:sz w:val="16"/>
        </w:rPr>
        <w:t>la</w:t>
      </w:r>
    </w:p>
    <w:p w14:paraId="2C81EAE6" w14:textId="77777777" w:rsidR="00467FCA" w:rsidRDefault="00467FCA">
      <w:pPr>
        <w:jc w:val="both"/>
        <w:rPr>
          <w:sz w:val="16"/>
        </w:rPr>
        <w:sectPr w:rsidR="00467FCA">
          <w:pgSz w:w="11910" w:h="16840"/>
          <w:pgMar w:top="1320" w:right="1580" w:bottom="1200" w:left="1520" w:header="0" w:footer="1002" w:gutter="0"/>
          <w:cols w:space="720"/>
        </w:sectPr>
      </w:pPr>
    </w:p>
    <w:p w14:paraId="0F1D4EC0" w14:textId="77777777" w:rsidR="00467FCA" w:rsidRDefault="001B68EB">
      <w:pPr>
        <w:pStyle w:val="Prrafodelista"/>
        <w:numPr>
          <w:ilvl w:val="0"/>
          <w:numId w:val="3"/>
        </w:numPr>
        <w:tabs>
          <w:tab w:val="left" w:pos="890"/>
        </w:tabs>
        <w:spacing w:before="78" w:line="276" w:lineRule="auto"/>
        <w:ind w:left="181" w:right="118" w:firstLine="0"/>
        <w:jc w:val="both"/>
        <w:rPr>
          <w:sz w:val="20"/>
        </w:rPr>
      </w:pPr>
      <w:r>
        <w:rPr>
          <w:sz w:val="20"/>
        </w:rPr>
        <w:t>Por su parte, el Tribunal Europeo de Derechos Humanos relaciona características asumidas como definitorias de un grupo en situación de vulnerabilidad con la violación de derechos sufrida, por ejemplo la determinación del contenido esencial de un derecho di</w:t>
      </w:r>
      <w:r>
        <w:rPr>
          <w:sz w:val="20"/>
        </w:rPr>
        <w:t>fiere cuando se trata de gitanos</w:t>
      </w:r>
      <w:hyperlink w:anchor="_bookmark872" w:history="1">
        <w:r>
          <w:rPr>
            <w:position w:val="7"/>
            <w:sz w:val="13"/>
          </w:rPr>
          <w:t>14</w:t>
        </w:r>
      </w:hyperlink>
      <w:r>
        <w:rPr>
          <w:sz w:val="20"/>
        </w:rPr>
        <w:t>, o personas privadas de libertad</w:t>
      </w:r>
      <w:hyperlink w:anchor="_bookmark873" w:history="1">
        <w:r>
          <w:rPr>
            <w:position w:val="7"/>
            <w:sz w:val="13"/>
          </w:rPr>
          <w:t>15</w:t>
        </w:r>
      </w:hyperlink>
      <w:r>
        <w:rPr>
          <w:sz w:val="20"/>
        </w:rPr>
        <w:t>, o menores no acompañados</w:t>
      </w:r>
      <w:hyperlink w:anchor="_bookmark874" w:history="1">
        <w:r>
          <w:rPr>
            <w:position w:val="7"/>
            <w:sz w:val="13"/>
          </w:rPr>
          <w:t>16</w:t>
        </w:r>
      </w:hyperlink>
      <w:r>
        <w:rPr>
          <w:sz w:val="20"/>
        </w:rPr>
        <w:t>. En esta línea, también este tribunal ha utilizado el concepto</w:t>
      </w:r>
      <w:r>
        <w:rPr>
          <w:sz w:val="20"/>
        </w:rPr>
        <w:t xml:space="preserve"> de “vulnerabilidad específica” al considerar que “</w:t>
      </w:r>
      <w:r>
        <w:rPr>
          <w:i/>
          <w:sz w:val="20"/>
        </w:rPr>
        <w:t>los Órganos Jurisdiccionales internos, no tuvieron en cuenta la vulnerabilidad específica de la demandante, inherente a su condición de mujer africana ejerciendo la prostitución”</w:t>
      </w:r>
      <w:hyperlink w:anchor="_bookmark875" w:history="1">
        <w:r>
          <w:rPr>
            <w:position w:val="7"/>
            <w:sz w:val="13"/>
          </w:rPr>
          <w:t>17</w:t>
        </w:r>
      </w:hyperlink>
      <w:r>
        <w:rPr>
          <w:i/>
          <w:sz w:val="20"/>
        </w:rPr>
        <w:t xml:space="preserve">. </w:t>
      </w:r>
      <w:r>
        <w:rPr>
          <w:sz w:val="20"/>
        </w:rPr>
        <w:t>A partir del concepto de “vulnerabilidad específica” de la demandante que era una mujer africana que ofrecía servicios sexuales en la calle, se puede analizar la intersección de factores como su raza, género y situación</w:t>
      </w:r>
      <w:r>
        <w:rPr>
          <w:spacing w:val="-3"/>
          <w:sz w:val="20"/>
        </w:rPr>
        <w:t xml:space="preserve"> </w:t>
      </w:r>
      <w:r>
        <w:rPr>
          <w:sz w:val="20"/>
        </w:rPr>
        <w:t>sociolaboral.</w:t>
      </w:r>
    </w:p>
    <w:p w14:paraId="7262E361" w14:textId="77777777" w:rsidR="00467FCA" w:rsidRDefault="00467FCA">
      <w:pPr>
        <w:pStyle w:val="Textoindependiente"/>
        <w:spacing w:before="10"/>
        <w:rPr>
          <w:sz w:val="19"/>
        </w:rPr>
      </w:pPr>
    </w:p>
    <w:p w14:paraId="56B9F2F4" w14:textId="77777777" w:rsidR="00467FCA" w:rsidRDefault="001B68EB">
      <w:pPr>
        <w:pStyle w:val="Prrafodelista"/>
        <w:numPr>
          <w:ilvl w:val="0"/>
          <w:numId w:val="3"/>
        </w:numPr>
        <w:tabs>
          <w:tab w:val="left" w:pos="890"/>
        </w:tabs>
        <w:spacing w:line="276" w:lineRule="auto"/>
        <w:ind w:left="181" w:right="118" w:hanging="1"/>
        <w:jc w:val="both"/>
        <w:rPr>
          <w:sz w:val="20"/>
        </w:rPr>
      </w:pPr>
      <w:r>
        <w:rPr>
          <w:sz w:val="20"/>
        </w:rPr>
        <w:t>Se ha plante</w:t>
      </w:r>
      <w:r>
        <w:rPr>
          <w:sz w:val="20"/>
        </w:rPr>
        <w:t>ado la interseccionalidad como una herramienta útil para la interpretación de los derechos humanos como interdependientes, interrelacionados e indivisibles, porque permite el estudio de diferentes factores de opresión y vulneración</w:t>
      </w:r>
      <w:hyperlink w:anchor="_bookmark876" w:history="1">
        <w:r>
          <w:rPr>
            <w:position w:val="7"/>
            <w:sz w:val="13"/>
          </w:rPr>
          <w:t>18</w:t>
        </w:r>
      </w:hyperlink>
      <w:r>
        <w:rPr>
          <w:sz w:val="20"/>
        </w:rPr>
        <w:t>. En el caso es viable el análisis de los diferentes factores de vulnerabilidad que tienen un perfil propio, pero al mismo tiempo interactúan de manera interseccional con los</w:t>
      </w:r>
      <w:r>
        <w:rPr>
          <w:spacing w:val="1"/>
          <w:sz w:val="20"/>
        </w:rPr>
        <w:t xml:space="preserve"> </w:t>
      </w:r>
      <w:r>
        <w:rPr>
          <w:sz w:val="20"/>
        </w:rPr>
        <w:t>demás.</w:t>
      </w:r>
    </w:p>
    <w:p w14:paraId="36AA5814" w14:textId="77777777" w:rsidR="00467FCA" w:rsidRDefault="00467FCA">
      <w:pPr>
        <w:pStyle w:val="Textoindependiente"/>
        <w:spacing w:before="9"/>
        <w:rPr>
          <w:sz w:val="19"/>
        </w:rPr>
      </w:pPr>
    </w:p>
    <w:p w14:paraId="4001BE26" w14:textId="77777777" w:rsidR="00467FCA" w:rsidRDefault="001B68EB">
      <w:pPr>
        <w:pStyle w:val="Ttulo1"/>
        <w:numPr>
          <w:ilvl w:val="0"/>
          <w:numId w:val="1"/>
        </w:numPr>
        <w:tabs>
          <w:tab w:val="left" w:pos="518"/>
        </w:tabs>
        <w:spacing w:line="276" w:lineRule="auto"/>
        <w:ind w:right="119" w:firstLine="0"/>
        <w:jc w:val="both"/>
      </w:pPr>
      <w:bookmarkStart w:id="959" w:name="b)_La_discriminación_interseccional_como"/>
      <w:bookmarkEnd w:id="959"/>
      <w:r>
        <w:t>La discriminación interseccional como un patrón en la región que</w:t>
      </w:r>
      <w:r>
        <w:t xml:space="preserve"> debe ser tenido especialmente en cuenta en el</w:t>
      </w:r>
      <w:r>
        <w:rPr>
          <w:spacing w:val="-7"/>
        </w:rPr>
        <w:t xml:space="preserve"> </w:t>
      </w:r>
      <w:r>
        <w:t>caso</w:t>
      </w:r>
    </w:p>
    <w:p w14:paraId="1DE88B34" w14:textId="77777777" w:rsidR="00467FCA" w:rsidRDefault="00467FCA">
      <w:pPr>
        <w:pStyle w:val="Textoindependiente"/>
        <w:spacing w:before="9"/>
        <w:rPr>
          <w:b/>
          <w:sz w:val="19"/>
        </w:rPr>
      </w:pPr>
    </w:p>
    <w:p w14:paraId="7D3103BB" w14:textId="77777777" w:rsidR="00467FCA" w:rsidRDefault="001B68EB">
      <w:pPr>
        <w:pStyle w:val="Prrafodelista"/>
        <w:numPr>
          <w:ilvl w:val="0"/>
          <w:numId w:val="3"/>
        </w:numPr>
        <w:tabs>
          <w:tab w:val="left" w:pos="890"/>
        </w:tabs>
        <w:spacing w:before="1" w:line="276" w:lineRule="auto"/>
        <w:ind w:left="181" w:right="117" w:hanging="1"/>
        <w:jc w:val="both"/>
        <w:rPr>
          <w:sz w:val="20"/>
        </w:rPr>
      </w:pPr>
      <w:r>
        <w:rPr>
          <w:sz w:val="20"/>
        </w:rPr>
        <w:t>La Comisión ha planteado en diferentes oportunidades que la interseccionalidad afecta especialmente a las mujeres en la región en lo que refiere a sus derechos económicos sociales y culturales</w:t>
      </w:r>
      <w:hyperlink w:anchor="_bookmark877" w:history="1">
        <w:r>
          <w:rPr>
            <w:position w:val="7"/>
            <w:sz w:val="13"/>
          </w:rPr>
          <w:t>19</w:t>
        </w:r>
      </w:hyperlink>
      <w:r>
        <w:rPr>
          <w:sz w:val="20"/>
        </w:rPr>
        <w:t>. En esta línea en el “Informe sobre pobreza y derechos humanos en las Américas” ha planteado que “Las mujeres se ven afectadas en mayor medida por la pobreza y se encuentran en particular desventaja en el ejercicio tanto de sus derechos civiles y político</w:t>
      </w:r>
      <w:r>
        <w:rPr>
          <w:sz w:val="20"/>
        </w:rPr>
        <w:t>s como económicos, sociales y culturales”</w:t>
      </w:r>
      <w:hyperlink w:anchor="_bookmark878" w:history="1">
        <w:r>
          <w:rPr>
            <w:position w:val="7"/>
            <w:sz w:val="13"/>
          </w:rPr>
          <w:t>20</w:t>
        </w:r>
      </w:hyperlink>
      <w:r>
        <w:rPr>
          <w:sz w:val="20"/>
        </w:rPr>
        <w:t>. En su estudio temático sobre “Lineamientos para la elaboración de indicadores de progreso en materia de derechos económicos, sociales y culturales”, la Comisión reconoció el carác</w:t>
      </w:r>
      <w:r>
        <w:rPr>
          <w:sz w:val="20"/>
        </w:rPr>
        <w:t>ter inmediato de la obligación de no discriminar y de garantizar la igualdad en el ejercicio de los</w:t>
      </w:r>
      <w:r>
        <w:rPr>
          <w:spacing w:val="24"/>
          <w:sz w:val="20"/>
        </w:rPr>
        <w:t xml:space="preserve"> </w:t>
      </w:r>
      <w:r>
        <w:rPr>
          <w:sz w:val="20"/>
        </w:rPr>
        <w:t>derechos económicos, sociales y culturales, e identificó a las mujeres como una población históricamente discriminada y excluida en el ejercicio de estos de</w:t>
      </w:r>
      <w:r>
        <w:rPr>
          <w:sz w:val="20"/>
        </w:rPr>
        <w:t>rechos. Hacia mediados de 2014, vivían en América Latina 612 millones de personas, de las cuales las mujeres representaban más de la mitad de la población: 310 millones eran mujeres y 302 millones, hombres. Para dicho año se proyectaba que</w:t>
      </w:r>
      <w:r>
        <w:rPr>
          <w:spacing w:val="-15"/>
          <w:sz w:val="20"/>
        </w:rPr>
        <w:t xml:space="preserve"> </w:t>
      </w:r>
      <w:r>
        <w:rPr>
          <w:sz w:val="20"/>
        </w:rPr>
        <w:t>“el</w:t>
      </w:r>
    </w:p>
    <w:p w14:paraId="5C6925D4" w14:textId="77777777" w:rsidR="00467FCA" w:rsidRDefault="001B68EB">
      <w:pPr>
        <w:pStyle w:val="Textoindependiente"/>
        <w:spacing w:before="2"/>
        <w:rPr>
          <w:sz w:val="19"/>
        </w:rPr>
      </w:pPr>
      <w:r>
        <w:pict w14:anchorId="26702EE0">
          <v:shape id="_x0000_s1029" style="position:absolute;margin-left:85.1pt;margin-top:14pt;width:425.2pt;height:.1pt;z-index:-251488256;mso-wrap-distance-left:0;mso-wrap-distance-right:0;mso-position-horizontal-relative:page" coordorigin="1702,280" coordsize="8504,0" path="m1702,280r8503,e" filled="f" strokeweight=".72pt">
            <v:path arrowok="t"/>
            <w10:wrap type="topAndBottom" anchorx="page"/>
          </v:shape>
        </w:pict>
      </w:r>
    </w:p>
    <w:p w14:paraId="48DD0A76" w14:textId="77777777" w:rsidR="00467FCA" w:rsidRDefault="001B68EB">
      <w:pPr>
        <w:spacing w:before="71"/>
        <w:ind w:left="181" w:right="114"/>
        <w:jc w:val="both"/>
        <w:rPr>
          <w:sz w:val="16"/>
        </w:rPr>
      </w:pPr>
      <w:r>
        <w:rPr>
          <w:i/>
          <w:sz w:val="16"/>
        </w:rPr>
        <w:t>xenofobia y las formas conexas de intolerancia sobre el pleno disfrute por las mujeres y las niñas de todos los derechos humanos</w:t>
      </w:r>
      <w:r>
        <w:rPr>
          <w:sz w:val="16"/>
        </w:rPr>
        <w:t>, supra, párr. 17.</w:t>
      </w:r>
    </w:p>
    <w:p w14:paraId="62E71F8A" w14:textId="77777777" w:rsidR="00467FCA" w:rsidRDefault="001B68EB">
      <w:pPr>
        <w:tabs>
          <w:tab w:val="left" w:pos="889"/>
        </w:tabs>
        <w:ind w:left="180" w:right="115"/>
        <w:jc w:val="both"/>
        <w:rPr>
          <w:sz w:val="16"/>
        </w:rPr>
      </w:pPr>
      <w:bookmarkStart w:id="960" w:name="_bookmark872"/>
      <w:bookmarkEnd w:id="960"/>
      <w:r>
        <w:rPr>
          <w:position w:val="6"/>
          <w:sz w:val="10"/>
        </w:rPr>
        <w:t>14</w:t>
      </w:r>
      <w:r>
        <w:rPr>
          <w:position w:val="6"/>
          <w:sz w:val="10"/>
        </w:rPr>
        <w:tab/>
      </w:r>
      <w:r>
        <w:rPr>
          <w:i/>
          <w:sz w:val="16"/>
        </w:rPr>
        <w:t xml:space="preserve">Cfr. </w:t>
      </w:r>
      <w:r>
        <w:rPr>
          <w:sz w:val="16"/>
        </w:rPr>
        <w:t>TEDH, Caso Buckley Vs. Reino Unido, No. 20348/92, sentencia de 29 de septiembre de 1996.</w:t>
      </w:r>
    </w:p>
    <w:p w14:paraId="57B1E6B2" w14:textId="77777777" w:rsidR="00467FCA" w:rsidRDefault="001B68EB">
      <w:pPr>
        <w:tabs>
          <w:tab w:val="left" w:pos="889"/>
        </w:tabs>
        <w:ind w:left="181" w:right="115" w:hanging="1"/>
        <w:jc w:val="both"/>
        <w:rPr>
          <w:sz w:val="16"/>
        </w:rPr>
      </w:pPr>
      <w:bookmarkStart w:id="961" w:name="_bookmark873"/>
      <w:bookmarkEnd w:id="961"/>
      <w:r>
        <w:rPr>
          <w:position w:val="6"/>
          <w:sz w:val="10"/>
        </w:rPr>
        <w:t>15</w:t>
      </w:r>
      <w:r>
        <w:rPr>
          <w:position w:val="6"/>
          <w:sz w:val="10"/>
        </w:rPr>
        <w:tab/>
      </w:r>
      <w:r>
        <w:rPr>
          <w:i/>
          <w:sz w:val="16"/>
        </w:rPr>
        <w:t xml:space="preserve">Cfr. </w:t>
      </w:r>
      <w:r>
        <w:rPr>
          <w:sz w:val="16"/>
        </w:rPr>
        <w:t>TEDH</w:t>
      </w:r>
      <w:r>
        <w:rPr>
          <w:sz w:val="16"/>
        </w:rPr>
        <w:t>, Caso Salman Vs. Turquía, No. 21986/93, sentencia de 27 de junio de 2000 y Caso Algür Vs. Turquía, No. 32574/96, sentencia de 22 de octubre de</w:t>
      </w:r>
      <w:r>
        <w:rPr>
          <w:spacing w:val="-14"/>
          <w:sz w:val="16"/>
        </w:rPr>
        <w:t xml:space="preserve"> </w:t>
      </w:r>
      <w:r>
        <w:rPr>
          <w:sz w:val="16"/>
        </w:rPr>
        <w:t>2002.</w:t>
      </w:r>
    </w:p>
    <w:p w14:paraId="5EEC1447" w14:textId="77777777" w:rsidR="00467FCA" w:rsidRDefault="001B68EB">
      <w:pPr>
        <w:tabs>
          <w:tab w:val="left" w:pos="889"/>
        </w:tabs>
        <w:ind w:left="181" w:right="116" w:hanging="1"/>
        <w:jc w:val="both"/>
        <w:rPr>
          <w:sz w:val="16"/>
        </w:rPr>
      </w:pPr>
      <w:bookmarkStart w:id="962" w:name="_bookmark874"/>
      <w:bookmarkEnd w:id="962"/>
      <w:r>
        <w:rPr>
          <w:position w:val="6"/>
          <w:sz w:val="10"/>
        </w:rPr>
        <w:t>16</w:t>
      </w:r>
      <w:r>
        <w:rPr>
          <w:position w:val="6"/>
          <w:sz w:val="10"/>
        </w:rPr>
        <w:tab/>
      </w:r>
      <w:r>
        <w:rPr>
          <w:i/>
          <w:sz w:val="16"/>
        </w:rPr>
        <w:t xml:space="preserve">Cfr. </w:t>
      </w:r>
      <w:r>
        <w:rPr>
          <w:sz w:val="16"/>
        </w:rPr>
        <w:t>TEDH, Caso Mubilanzila Mayeka y Kaniki Mitunga Vs. Bélgica, No. 13178/03, sentencia de 12 de octub</w:t>
      </w:r>
      <w:r>
        <w:rPr>
          <w:sz w:val="16"/>
        </w:rPr>
        <w:t>re de</w:t>
      </w:r>
      <w:r>
        <w:rPr>
          <w:spacing w:val="-5"/>
          <w:sz w:val="16"/>
        </w:rPr>
        <w:t xml:space="preserve"> </w:t>
      </w:r>
      <w:r>
        <w:rPr>
          <w:sz w:val="16"/>
        </w:rPr>
        <w:t>2006.</w:t>
      </w:r>
    </w:p>
    <w:p w14:paraId="21D2CAED" w14:textId="77777777" w:rsidR="00467FCA" w:rsidRDefault="001B68EB">
      <w:pPr>
        <w:tabs>
          <w:tab w:val="left" w:pos="889"/>
        </w:tabs>
        <w:ind w:left="181"/>
        <w:jc w:val="both"/>
        <w:rPr>
          <w:sz w:val="16"/>
        </w:rPr>
      </w:pPr>
      <w:bookmarkStart w:id="963" w:name="_bookmark875"/>
      <w:bookmarkEnd w:id="963"/>
      <w:r>
        <w:rPr>
          <w:position w:val="6"/>
          <w:sz w:val="10"/>
        </w:rPr>
        <w:t>17</w:t>
      </w:r>
      <w:r>
        <w:rPr>
          <w:position w:val="6"/>
          <w:sz w:val="10"/>
        </w:rPr>
        <w:tab/>
      </w:r>
      <w:r>
        <w:rPr>
          <w:sz w:val="16"/>
        </w:rPr>
        <w:t>TEDH, Caso B.S. Vs. España, No. 47159/08, sentencia de 24 de julio de 2012, párr.</w:t>
      </w:r>
      <w:r>
        <w:rPr>
          <w:spacing w:val="-21"/>
          <w:sz w:val="16"/>
        </w:rPr>
        <w:t xml:space="preserve"> </w:t>
      </w:r>
      <w:r>
        <w:rPr>
          <w:sz w:val="16"/>
        </w:rPr>
        <w:t>71.</w:t>
      </w:r>
    </w:p>
    <w:p w14:paraId="2EBFA57D" w14:textId="77777777" w:rsidR="00467FCA" w:rsidRDefault="001B68EB">
      <w:pPr>
        <w:tabs>
          <w:tab w:val="left" w:pos="889"/>
        </w:tabs>
        <w:ind w:left="180" w:right="116"/>
        <w:jc w:val="both"/>
        <w:rPr>
          <w:sz w:val="16"/>
        </w:rPr>
      </w:pPr>
      <w:bookmarkStart w:id="964" w:name="_bookmark876"/>
      <w:bookmarkEnd w:id="964"/>
      <w:r>
        <w:rPr>
          <w:position w:val="6"/>
          <w:sz w:val="10"/>
        </w:rPr>
        <w:t>18</w:t>
      </w:r>
      <w:r>
        <w:rPr>
          <w:position w:val="6"/>
          <w:sz w:val="10"/>
        </w:rPr>
        <w:tab/>
      </w:r>
      <w:r>
        <w:rPr>
          <w:i/>
          <w:sz w:val="16"/>
        </w:rPr>
        <w:t xml:space="preserve">Cfr. </w:t>
      </w:r>
      <w:r>
        <w:rPr>
          <w:sz w:val="16"/>
        </w:rPr>
        <w:t>Andrea Catalina Zota-Bernal, «Incorporación del análisis interseccional en las sentencias de la Corte IDH sobre grupos vulnerables, su articulación</w:t>
      </w:r>
      <w:r>
        <w:rPr>
          <w:sz w:val="16"/>
        </w:rPr>
        <w:t xml:space="preserve"> con la interdependencia e indivisibilidad de los derechos humanos», </w:t>
      </w:r>
      <w:r>
        <w:rPr>
          <w:i/>
          <w:sz w:val="16"/>
        </w:rPr>
        <w:t>Eunomía. Revista en Cultura de la Legalidad</w:t>
      </w:r>
      <w:r>
        <w:rPr>
          <w:sz w:val="16"/>
        </w:rPr>
        <w:t xml:space="preserve">, 2015. Disponible en: </w:t>
      </w:r>
      <w:hyperlink r:id="rId72">
        <w:r>
          <w:rPr>
            <w:color w:val="0000FF"/>
            <w:sz w:val="16"/>
            <w:u w:val="single" w:color="000000"/>
          </w:rPr>
          <w:t>https://e-</w:t>
        </w:r>
      </w:hyperlink>
      <w:r>
        <w:rPr>
          <w:color w:val="0000FF"/>
          <w:sz w:val="16"/>
        </w:rPr>
        <w:t xml:space="preserve"> </w:t>
      </w:r>
      <w:hyperlink r:id="rId73">
        <w:r>
          <w:rPr>
            <w:color w:val="0000FF"/>
            <w:sz w:val="16"/>
            <w:u w:val="single" w:color="000000"/>
          </w:rPr>
          <w:t>revistas.uc3m.es/index.php/EUNOM/article/view/2803/1534</w:t>
        </w:r>
      </w:hyperlink>
      <w:r>
        <w:rPr>
          <w:sz w:val="16"/>
        </w:rPr>
        <w:t>.</w:t>
      </w:r>
    </w:p>
    <w:p w14:paraId="093C7984" w14:textId="77777777" w:rsidR="00467FCA" w:rsidRDefault="001B68EB">
      <w:pPr>
        <w:tabs>
          <w:tab w:val="left" w:pos="889"/>
        </w:tabs>
        <w:ind w:left="181" w:right="117"/>
        <w:jc w:val="both"/>
        <w:rPr>
          <w:sz w:val="16"/>
        </w:rPr>
      </w:pPr>
      <w:bookmarkStart w:id="965" w:name="_bookmark877"/>
      <w:bookmarkEnd w:id="965"/>
      <w:r>
        <w:rPr>
          <w:position w:val="6"/>
          <w:sz w:val="10"/>
        </w:rPr>
        <w:t>19</w:t>
      </w:r>
      <w:r>
        <w:rPr>
          <w:position w:val="6"/>
          <w:sz w:val="10"/>
        </w:rPr>
        <w:tab/>
      </w:r>
      <w:r>
        <w:rPr>
          <w:i/>
          <w:sz w:val="16"/>
        </w:rPr>
        <w:t xml:space="preserve">Cfr. </w:t>
      </w:r>
      <w:r>
        <w:rPr>
          <w:sz w:val="16"/>
        </w:rPr>
        <w:t xml:space="preserve">CIDH, </w:t>
      </w:r>
      <w:r>
        <w:rPr>
          <w:i/>
          <w:sz w:val="16"/>
        </w:rPr>
        <w:t>Lineamientos para la elaboración de indicadores de progreso en materia de derechos económicos, sociales y culturales</w:t>
      </w:r>
      <w:r>
        <w:rPr>
          <w:sz w:val="16"/>
        </w:rPr>
        <w:t>, OEA/Ser</w:t>
      </w:r>
      <w:r>
        <w:rPr>
          <w:sz w:val="16"/>
        </w:rPr>
        <w:t>.L/V/II.132, 19 de julio de 2008, párr. 56 y</w:t>
      </w:r>
      <w:r>
        <w:rPr>
          <w:spacing w:val="-20"/>
          <w:sz w:val="16"/>
        </w:rPr>
        <w:t xml:space="preserve"> </w:t>
      </w:r>
      <w:r>
        <w:rPr>
          <w:sz w:val="16"/>
        </w:rPr>
        <w:t>ss.</w:t>
      </w:r>
    </w:p>
    <w:p w14:paraId="700E6CE8" w14:textId="77777777" w:rsidR="00467FCA" w:rsidRDefault="001B68EB">
      <w:pPr>
        <w:tabs>
          <w:tab w:val="left" w:pos="889"/>
        </w:tabs>
        <w:ind w:left="181"/>
        <w:jc w:val="both"/>
        <w:rPr>
          <w:sz w:val="16"/>
        </w:rPr>
      </w:pPr>
      <w:bookmarkStart w:id="966" w:name="_bookmark878"/>
      <w:bookmarkEnd w:id="966"/>
      <w:r>
        <w:rPr>
          <w:position w:val="6"/>
          <w:sz w:val="10"/>
        </w:rPr>
        <w:t>20</w:t>
      </w:r>
      <w:r>
        <w:rPr>
          <w:position w:val="6"/>
          <w:sz w:val="10"/>
        </w:rPr>
        <w:tab/>
      </w:r>
      <w:r>
        <w:rPr>
          <w:i/>
          <w:sz w:val="16"/>
        </w:rPr>
        <w:t xml:space="preserve">Cfr. </w:t>
      </w:r>
      <w:r>
        <w:rPr>
          <w:sz w:val="16"/>
        </w:rPr>
        <w:t xml:space="preserve">CIDH, </w:t>
      </w:r>
      <w:r>
        <w:rPr>
          <w:i/>
          <w:sz w:val="16"/>
        </w:rPr>
        <w:t>Informe sobre pobreza y derechos humanos en las Américas, supra</w:t>
      </w:r>
      <w:r>
        <w:rPr>
          <w:sz w:val="16"/>
        </w:rPr>
        <w:t>, párr.</w:t>
      </w:r>
      <w:r>
        <w:rPr>
          <w:spacing w:val="-21"/>
          <w:sz w:val="16"/>
        </w:rPr>
        <w:t xml:space="preserve"> </w:t>
      </w:r>
      <w:r>
        <w:rPr>
          <w:sz w:val="16"/>
        </w:rPr>
        <w:t>304.</w:t>
      </w:r>
    </w:p>
    <w:p w14:paraId="7474E3B5" w14:textId="77777777" w:rsidR="00467FCA" w:rsidRDefault="00467FCA">
      <w:pPr>
        <w:jc w:val="both"/>
        <w:rPr>
          <w:sz w:val="16"/>
        </w:rPr>
        <w:sectPr w:rsidR="00467FCA">
          <w:pgSz w:w="11910" w:h="16840"/>
          <w:pgMar w:top="1320" w:right="1580" w:bottom="1200" w:left="1520" w:header="0" w:footer="1002" w:gutter="0"/>
          <w:cols w:space="720"/>
        </w:sectPr>
      </w:pPr>
    </w:p>
    <w:p w14:paraId="43509874" w14:textId="77777777" w:rsidR="00467FCA" w:rsidRDefault="001B68EB">
      <w:pPr>
        <w:pStyle w:val="Textoindependiente"/>
        <w:spacing w:before="78" w:line="276" w:lineRule="auto"/>
        <w:ind w:left="181" w:right="115"/>
        <w:jc w:val="both"/>
      </w:pPr>
      <w:r>
        <w:t>28,0% de la población regional vivía en situación de pobreza por ingresos y el 12,0% en situaciones de indigencia. En la población en esta condición se concentran en mayor medida niñas y niños en edades productivas, indígenas y afrodescendientes”</w:t>
      </w:r>
      <w:hyperlink w:anchor="_bookmark879" w:history="1">
        <w:r>
          <w:rPr>
            <w:position w:val="7"/>
            <w:sz w:val="13"/>
          </w:rPr>
          <w:t>21</w:t>
        </w:r>
      </w:hyperlink>
      <w:r>
        <w:t>.</w:t>
      </w:r>
    </w:p>
    <w:p w14:paraId="05F5842B" w14:textId="77777777" w:rsidR="00467FCA" w:rsidRDefault="00467FCA">
      <w:pPr>
        <w:pStyle w:val="Textoindependiente"/>
        <w:spacing w:before="9"/>
        <w:rPr>
          <w:sz w:val="19"/>
        </w:rPr>
      </w:pPr>
    </w:p>
    <w:p w14:paraId="36DC19EC" w14:textId="77777777" w:rsidR="00467FCA" w:rsidRDefault="001B68EB">
      <w:pPr>
        <w:pStyle w:val="Prrafodelista"/>
        <w:numPr>
          <w:ilvl w:val="0"/>
          <w:numId w:val="3"/>
        </w:numPr>
        <w:tabs>
          <w:tab w:val="left" w:pos="890"/>
        </w:tabs>
        <w:spacing w:line="276" w:lineRule="auto"/>
        <w:ind w:left="181" w:right="119" w:hanging="1"/>
        <w:jc w:val="both"/>
        <w:rPr>
          <w:sz w:val="20"/>
        </w:rPr>
      </w:pPr>
      <w:r>
        <w:rPr>
          <w:sz w:val="20"/>
        </w:rPr>
        <w:t>Respecto del trabajo infantil y su prohibición la sentencia afirma: “179. La CDN establece, en su artículo 32, el derecho de niñas y niños a ser protegidos de la explotación económica y de trabajos peligrosos que puedan entorpecer su educación o afectar su</w:t>
      </w:r>
      <w:r>
        <w:rPr>
          <w:sz w:val="20"/>
        </w:rPr>
        <w:t xml:space="preserve"> salud o desarrollo</w:t>
      </w:r>
      <w:hyperlink w:anchor="_bookmark880" w:history="1">
        <w:r>
          <w:rPr>
            <w:position w:val="7"/>
            <w:sz w:val="13"/>
          </w:rPr>
          <w:t>22</w:t>
        </w:r>
      </w:hyperlink>
      <w:r>
        <w:rPr>
          <w:sz w:val="20"/>
        </w:rPr>
        <w:t>. Esta obligación coincide con lo establecido en el texto de la Constitución de Brasil que prohíbe, en su artículo 7, el trabajo nocturno, peligroso o insalubre de los menores de dieciocho años y el trab</w:t>
      </w:r>
      <w:r>
        <w:rPr>
          <w:sz w:val="20"/>
        </w:rPr>
        <w:t>ajo de menores de 16 años, salvo en condición de aprendiz (</w:t>
      </w:r>
      <w:r>
        <w:rPr>
          <w:i/>
          <w:sz w:val="20"/>
        </w:rPr>
        <w:t xml:space="preserve">supra </w:t>
      </w:r>
      <w:r>
        <w:rPr>
          <w:sz w:val="20"/>
        </w:rPr>
        <w:t>párr. 102). En el mismo sentido, la CLT prohíbe el trabajo nocturno, peligroso o insalubre a los menores de dieciocho años y cualquier trabajo a los menores de dieciséis, salvo en condición d</w:t>
      </w:r>
      <w:r>
        <w:rPr>
          <w:sz w:val="20"/>
        </w:rPr>
        <w:t>e aprendiz, entre catorce y dieciséis años</w:t>
      </w:r>
      <w:hyperlink w:anchor="_bookmark881" w:history="1">
        <w:r>
          <w:rPr>
            <w:position w:val="7"/>
            <w:sz w:val="13"/>
          </w:rPr>
          <w:t>23</w:t>
        </w:r>
      </w:hyperlink>
      <w:r>
        <w:rPr>
          <w:sz w:val="20"/>
        </w:rPr>
        <w:t>. Finalmente, además de las disposiciones mencionadas, el Estatuto del Niño y del Adolescente prohíbe cualquier trabajo para niños menores de catorce años</w:t>
      </w:r>
      <w:hyperlink w:anchor="_bookmark882" w:history="1">
        <w:r>
          <w:rPr>
            <w:position w:val="7"/>
            <w:sz w:val="13"/>
          </w:rPr>
          <w:t>24</w:t>
        </w:r>
      </w:hyperlink>
      <w:r>
        <w:rPr>
          <w:position w:val="7"/>
          <w:sz w:val="13"/>
        </w:rPr>
        <w:t xml:space="preserve"> </w:t>
      </w:r>
      <w:r>
        <w:rPr>
          <w:sz w:val="20"/>
        </w:rPr>
        <w:t>y veda el trabajo peligroso, insalubre o penoso a</w:t>
      </w:r>
      <w:r>
        <w:rPr>
          <w:spacing w:val="-5"/>
          <w:sz w:val="20"/>
        </w:rPr>
        <w:t xml:space="preserve"> </w:t>
      </w:r>
      <w:r>
        <w:rPr>
          <w:sz w:val="20"/>
        </w:rPr>
        <w:t>adolescentes</w:t>
      </w:r>
      <w:hyperlink w:anchor="_bookmark883" w:history="1">
        <w:r>
          <w:rPr>
            <w:position w:val="7"/>
            <w:sz w:val="13"/>
          </w:rPr>
          <w:t>25</w:t>
        </w:r>
      </w:hyperlink>
      <w:r>
        <w:rPr>
          <w:sz w:val="20"/>
        </w:rPr>
        <w:t>”.</w:t>
      </w:r>
    </w:p>
    <w:p w14:paraId="34DB4455" w14:textId="77777777" w:rsidR="00467FCA" w:rsidRDefault="00467FCA">
      <w:pPr>
        <w:pStyle w:val="Textoindependiente"/>
        <w:spacing w:before="9"/>
        <w:rPr>
          <w:sz w:val="19"/>
        </w:rPr>
      </w:pPr>
    </w:p>
    <w:p w14:paraId="5AD9434C" w14:textId="77777777" w:rsidR="00467FCA" w:rsidRDefault="001B68EB">
      <w:pPr>
        <w:pStyle w:val="Prrafodelista"/>
        <w:numPr>
          <w:ilvl w:val="0"/>
          <w:numId w:val="3"/>
        </w:numPr>
        <w:tabs>
          <w:tab w:val="left" w:pos="890"/>
        </w:tabs>
        <w:spacing w:line="276" w:lineRule="auto"/>
        <w:ind w:left="181" w:right="116" w:hanging="1"/>
        <w:jc w:val="both"/>
        <w:rPr>
          <w:sz w:val="20"/>
        </w:rPr>
      </w:pPr>
      <w:r>
        <w:rPr>
          <w:sz w:val="20"/>
        </w:rPr>
        <w:t>El Perito Dr. Miguel Cillero Bruñol plantea las observaciones realizadas por el Comité de Derechos del Niño a Brasil, asimismo refiere a informació</w:t>
      </w:r>
      <w:r>
        <w:rPr>
          <w:sz w:val="20"/>
        </w:rPr>
        <w:t xml:space="preserve">n proporcionada por UNICEF respecto al trabajo infantil que es un fenómeno de alta incidencia en Brasil y “la mayoría de las víctimas son niños negros que viven en zonas urbanas y que generalmente realizan trabajo remunerado”, siendo también significativa </w:t>
      </w:r>
      <w:r>
        <w:rPr>
          <w:sz w:val="20"/>
        </w:rPr>
        <w:t>la “proporción de chicas que trabajan en el servicio doméstico”. En este sentido, el perito concluye que “el trabajo infantil constituye en Brasil una situación estructural de vulneración de derechos de los niños, niñas y adolescentes”</w:t>
      </w:r>
      <w:hyperlink w:anchor="_bookmark884" w:history="1">
        <w:r>
          <w:rPr>
            <w:position w:val="7"/>
            <w:sz w:val="13"/>
          </w:rPr>
          <w:t>26</w:t>
        </w:r>
      </w:hyperlink>
      <w:r>
        <w:rPr>
          <w:sz w:val="20"/>
        </w:rPr>
        <w:t>. Estos niños y niñas cumplían un trabajo prohibido como una de las peores formas de trabajo infantil por el Convenio 182 de la OIT y por la propia legislación interna de Brasil, como se</w:t>
      </w:r>
      <w:r>
        <w:rPr>
          <w:spacing w:val="-3"/>
          <w:sz w:val="20"/>
        </w:rPr>
        <w:t xml:space="preserve"> </w:t>
      </w:r>
      <w:r>
        <w:rPr>
          <w:sz w:val="20"/>
        </w:rPr>
        <w:t>viera.</w:t>
      </w:r>
    </w:p>
    <w:p w14:paraId="5BF7B351" w14:textId="77777777" w:rsidR="00467FCA" w:rsidRDefault="00467FCA">
      <w:pPr>
        <w:pStyle w:val="Textoindependiente"/>
        <w:spacing w:before="11"/>
        <w:rPr>
          <w:sz w:val="19"/>
        </w:rPr>
      </w:pPr>
    </w:p>
    <w:p w14:paraId="48A71C2B" w14:textId="77777777" w:rsidR="00467FCA" w:rsidRDefault="001B68EB">
      <w:pPr>
        <w:pStyle w:val="Prrafodelista"/>
        <w:numPr>
          <w:ilvl w:val="0"/>
          <w:numId w:val="3"/>
        </w:numPr>
        <w:tabs>
          <w:tab w:val="left" w:pos="890"/>
        </w:tabs>
        <w:spacing w:line="276" w:lineRule="auto"/>
        <w:ind w:left="181" w:right="117" w:hanging="1"/>
        <w:jc w:val="both"/>
        <w:rPr>
          <w:sz w:val="20"/>
        </w:rPr>
      </w:pPr>
      <w:r>
        <w:rPr>
          <w:sz w:val="20"/>
        </w:rPr>
        <w:t xml:space="preserve">La Corte IDH, en el caso </w:t>
      </w:r>
      <w:r>
        <w:rPr>
          <w:i/>
          <w:sz w:val="20"/>
        </w:rPr>
        <w:t>Trabajadores de la Haci</w:t>
      </w:r>
      <w:r>
        <w:rPr>
          <w:i/>
          <w:sz w:val="20"/>
        </w:rPr>
        <w:t>enda Brasil Verde Vs. Brasil</w:t>
      </w:r>
      <w:r>
        <w:rPr>
          <w:sz w:val="20"/>
        </w:rPr>
        <w:t>, se ha acercado a la identificación de elementos que puedan conformar un patrón colectivo frente a una discriminación estructural, así plantea que se debería tener en consideración si se trata de: “(i) un grupo o grupos de pers</w:t>
      </w:r>
      <w:r>
        <w:rPr>
          <w:sz w:val="20"/>
        </w:rPr>
        <w:t>onas que tienen características inmutables o inmodificables por la propia voluntad de la persona o bien que están relacionados a factores históricos de prácticas discriminatorias, pudiendo ser este grupo de personas minoría o mayoría; (ii) que estos grupos</w:t>
      </w:r>
      <w:r>
        <w:rPr>
          <w:sz w:val="20"/>
        </w:rPr>
        <w:t xml:space="preserve"> se han encontrado en una situación sistemática e histórica de exclusión, marginación</w:t>
      </w:r>
      <w:r>
        <w:rPr>
          <w:spacing w:val="-16"/>
          <w:sz w:val="20"/>
        </w:rPr>
        <w:t xml:space="preserve"> </w:t>
      </w:r>
      <w:r>
        <w:rPr>
          <w:sz w:val="20"/>
        </w:rPr>
        <w:t>o</w:t>
      </w:r>
    </w:p>
    <w:p w14:paraId="4DF06D1F" w14:textId="77777777" w:rsidR="00467FCA" w:rsidRDefault="001B68EB">
      <w:pPr>
        <w:pStyle w:val="Textoindependiente"/>
        <w:spacing w:before="2"/>
        <w:rPr>
          <w:sz w:val="28"/>
        </w:rPr>
      </w:pPr>
      <w:r>
        <w:pict w14:anchorId="38C315D3">
          <v:shape id="_x0000_s1028" style="position:absolute;margin-left:85.1pt;margin-top:19.45pt;width:2in;height:.1pt;z-index:-251487232;mso-wrap-distance-left:0;mso-wrap-distance-right:0;mso-position-horizontal-relative:page" coordorigin="1702,389" coordsize="2880,0" path="m1702,389r2880,e" filled="f" strokeweight=".72pt">
            <v:path arrowok="t"/>
            <w10:wrap type="topAndBottom" anchorx="page"/>
          </v:shape>
        </w:pict>
      </w:r>
    </w:p>
    <w:p w14:paraId="1B970D63" w14:textId="77777777" w:rsidR="00467FCA" w:rsidRDefault="001B68EB">
      <w:pPr>
        <w:tabs>
          <w:tab w:val="left" w:pos="889"/>
        </w:tabs>
        <w:spacing w:before="71"/>
        <w:ind w:left="181"/>
        <w:jc w:val="both"/>
        <w:rPr>
          <w:sz w:val="16"/>
        </w:rPr>
      </w:pPr>
      <w:bookmarkStart w:id="967" w:name="_bookmark879"/>
      <w:bookmarkEnd w:id="967"/>
      <w:r>
        <w:rPr>
          <w:position w:val="6"/>
          <w:sz w:val="10"/>
        </w:rPr>
        <w:t>21</w:t>
      </w:r>
      <w:r>
        <w:rPr>
          <w:position w:val="6"/>
          <w:sz w:val="10"/>
        </w:rPr>
        <w:tab/>
      </w:r>
      <w:r>
        <w:rPr>
          <w:i/>
          <w:sz w:val="16"/>
        </w:rPr>
        <w:t xml:space="preserve">Cfr. </w:t>
      </w:r>
      <w:r>
        <w:rPr>
          <w:sz w:val="16"/>
        </w:rPr>
        <w:t xml:space="preserve">CIDH, </w:t>
      </w:r>
      <w:r>
        <w:rPr>
          <w:i/>
          <w:sz w:val="16"/>
        </w:rPr>
        <w:t>Informe sobre pobreza y derechos humanos en las Américas</w:t>
      </w:r>
      <w:r>
        <w:rPr>
          <w:sz w:val="16"/>
        </w:rPr>
        <w:t xml:space="preserve">, </w:t>
      </w:r>
      <w:r>
        <w:rPr>
          <w:i/>
          <w:sz w:val="16"/>
        </w:rPr>
        <w:t>supra</w:t>
      </w:r>
      <w:r>
        <w:rPr>
          <w:sz w:val="16"/>
        </w:rPr>
        <w:t>, párr.</w:t>
      </w:r>
      <w:r>
        <w:rPr>
          <w:spacing w:val="-20"/>
          <w:sz w:val="16"/>
        </w:rPr>
        <w:t xml:space="preserve"> </w:t>
      </w:r>
      <w:r>
        <w:rPr>
          <w:sz w:val="16"/>
        </w:rPr>
        <w:t>305.</w:t>
      </w:r>
    </w:p>
    <w:p w14:paraId="0CE9619D" w14:textId="77777777" w:rsidR="00467FCA" w:rsidRDefault="001B68EB">
      <w:pPr>
        <w:tabs>
          <w:tab w:val="left" w:pos="889"/>
        </w:tabs>
        <w:ind w:left="181" w:right="114"/>
        <w:jc w:val="both"/>
        <w:rPr>
          <w:sz w:val="16"/>
        </w:rPr>
      </w:pPr>
      <w:bookmarkStart w:id="968" w:name="_bookmark880"/>
      <w:bookmarkEnd w:id="968"/>
      <w:r>
        <w:rPr>
          <w:position w:val="6"/>
          <w:sz w:val="10"/>
        </w:rPr>
        <w:t>22</w:t>
      </w:r>
      <w:r>
        <w:rPr>
          <w:position w:val="6"/>
          <w:sz w:val="10"/>
        </w:rPr>
        <w:tab/>
      </w:r>
      <w:r>
        <w:rPr>
          <w:sz w:val="16"/>
        </w:rPr>
        <w:t>En relación con este asunto, el Comité de los Derechos del Niño ha reconocido que el trabajo de menores de edad en sectores informales de la economía es especialmente peligroso para el disfrute de sus derechos y que los niños y niñas que trabajan en esfera</w:t>
      </w:r>
      <w:r>
        <w:rPr>
          <w:sz w:val="16"/>
        </w:rPr>
        <w:t xml:space="preserve">s ocultas de trabajo informal se enfrentan a “precariedad laboral; una remuneración escasa, irregular o incluso nula; riesgos para la salud; falta </w:t>
      </w:r>
      <w:r>
        <w:rPr>
          <w:spacing w:val="-5"/>
          <w:sz w:val="16"/>
        </w:rPr>
        <w:t xml:space="preserve">de </w:t>
      </w:r>
      <w:r>
        <w:rPr>
          <w:sz w:val="16"/>
        </w:rPr>
        <w:t>seguridad social; restricciones a la libertad de asociación; y una protección inadecuada contra la discrim</w:t>
      </w:r>
      <w:r>
        <w:rPr>
          <w:sz w:val="16"/>
        </w:rPr>
        <w:t xml:space="preserve">inación y la violencia o la explotación”. Comité de </w:t>
      </w:r>
      <w:r>
        <w:rPr>
          <w:spacing w:val="-2"/>
          <w:sz w:val="16"/>
        </w:rPr>
        <w:t xml:space="preserve">los </w:t>
      </w:r>
      <w:r>
        <w:rPr>
          <w:sz w:val="16"/>
        </w:rPr>
        <w:t xml:space="preserve">Derechos del Niño, </w:t>
      </w:r>
      <w:r>
        <w:rPr>
          <w:i/>
          <w:sz w:val="16"/>
        </w:rPr>
        <w:t xml:space="preserve">Observación General No. 16: Las obligaciones del Estado en relación con el impacto del sector empresarial en los derechos del niño, </w:t>
      </w:r>
      <w:r>
        <w:rPr>
          <w:sz w:val="16"/>
        </w:rPr>
        <w:t>UN Doc. CRC/C/GC/16, 17 de abril de 2013, párr.</w:t>
      </w:r>
      <w:r>
        <w:rPr>
          <w:spacing w:val="-12"/>
          <w:sz w:val="16"/>
        </w:rPr>
        <w:t xml:space="preserve"> </w:t>
      </w:r>
      <w:r>
        <w:rPr>
          <w:sz w:val="16"/>
        </w:rPr>
        <w:t>3</w:t>
      </w:r>
      <w:r>
        <w:rPr>
          <w:sz w:val="16"/>
        </w:rPr>
        <w:t>5.</w:t>
      </w:r>
    </w:p>
    <w:p w14:paraId="705284EC" w14:textId="77777777" w:rsidR="00467FCA" w:rsidRDefault="001B68EB">
      <w:pPr>
        <w:tabs>
          <w:tab w:val="left" w:pos="889"/>
        </w:tabs>
        <w:spacing w:line="194" w:lineRule="exact"/>
        <w:ind w:left="181"/>
        <w:jc w:val="both"/>
        <w:rPr>
          <w:sz w:val="16"/>
        </w:rPr>
      </w:pPr>
      <w:bookmarkStart w:id="969" w:name="_bookmark881"/>
      <w:bookmarkEnd w:id="969"/>
      <w:r>
        <w:rPr>
          <w:position w:val="6"/>
          <w:sz w:val="10"/>
        </w:rPr>
        <w:t>23</w:t>
      </w:r>
      <w:r>
        <w:rPr>
          <w:position w:val="6"/>
          <w:sz w:val="10"/>
        </w:rPr>
        <w:tab/>
      </w:r>
      <w:r>
        <w:rPr>
          <w:i/>
          <w:sz w:val="16"/>
        </w:rPr>
        <w:t xml:space="preserve">Cfr. </w:t>
      </w:r>
      <w:r>
        <w:rPr>
          <w:sz w:val="16"/>
        </w:rPr>
        <w:t xml:space="preserve">Consolidación de las Leyes del Trabajo, </w:t>
      </w:r>
      <w:r>
        <w:rPr>
          <w:i/>
          <w:sz w:val="16"/>
        </w:rPr>
        <w:t xml:space="preserve">supra, </w:t>
      </w:r>
      <w:r>
        <w:rPr>
          <w:sz w:val="16"/>
        </w:rPr>
        <w:t>artículo 611-B,</w:t>
      </w:r>
      <w:r>
        <w:rPr>
          <w:spacing w:val="-13"/>
          <w:sz w:val="16"/>
        </w:rPr>
        <w:t xml:space="preserve"> </w:t>
      </w:r>
      <w:r>
        <w:rPr>
          <w:sz w:val="16"/>
        </w:rPr>
        <w:t>XXIII.</w:t>
      </w:r>
    </w:p>
    <w:p w14:paraId="28C2371D" w14:textId="77777777" w:rsidR="00467FCA" w:rsidRDefault="001B68EB">
      <w:pPr>
        <w:tabs>
          <w:tab w:val="left" w:pos="889"/>
        </w:tabs>
        <w:ind w:left="181"/>
        <w:rPr>
          <w:sz w:val="16"/>
        </w:rPr>
      </w:pPr>
      <w:bookmarkStart w:id="970" w:name="_bookmark882"/>
      <w:bookmarkEnd w:id="970"/>
      <w:r>
        <w:rPr>
          <w:position w:val="6"/>
          <w:sz w:val="10"/>
        </w:rPr>
        <w:t>24</w:t>
      </w:r>
      <w:r>
        <w:rPr>
          <w:position w:val="6"/>
          <w:sz w:val="10"/>
        </w:rPr>
        <w:tab/>
      </w:r>
      <w:r>
        <w:rPr>
          <w:i/>
          <w:sz w:val="16"/>
        </w:rPr>
        <w:t xml:space="preserve">Cfr. </w:t>
      </w:r>
      <w:r>
        <w:rPr>
          <w:sz w:val="16"/>
        </w:rPr>
        <w:t xml:space="preserve">Estatuto del Niño y del Adolescente, </w:t>
      </w:r>
      <w:r>
        <w:rPr>
          <w:i/>
          <w:sz w:val="16"/>
        </w:rPr>
        <w:t>supra</w:t>
      </w:r>
      <w:r>
        <w:rPr>
          <w:sz w:val="16"/>
        </w:rPr>
        <w:t>, artículo</w:t>
      </w:r>
      <w:r>
        <w:rPr>
          <w:spacing w:val="-5"/>
          <w:sz w:val="16"/>
        </w:rPr>
        <w:t xml:space="preserve"> </w:t>
      </w:r>
      <w:r>
        <w:rPr>
          <w:sz w:val="16"/>
        </w:rPr>
        <w:t>60.</w:t>
      </w:r>
    </w:p>
    <w:p w14:paraId="3DC9243C" w14:textId="77777777" w:rsidR="00467FCA" w:rsidRDefault="001B68EB">
      <w:pPr>
        <w:tabs>
          <w:tab w:val="left" w:pos="889"/>
        </w:tabs>
        <w:ind w:left="181"/>
        <w:rPr>
          <w:sz w:val="16"/>
        </w:rPr>
      </w:pPr>
      <w:bookmarkStart w:id="971" w:name="_bookmark883"/>
      <w:bookmarkEnd w:id="971"/>
      <w:r>
        <w:rPr>
          <w:position w:val="6"/>
          <w:sz w:val="10"/>
        </w:rPr>
        <w:t>25</w:t>
      </w:r>
      <w:r>
        <w:rPr>
          <w:position w:val="6"/>
          <w:sz w:val="10"/>
        </w:rPr>
        <w:tab/>
      </w:r>
      <w:r>
        <w:rPr>
          <w:i/>
          <w:sz w:val="16"/>
        </w:rPr>
        <w:t xml:space="preserve">Cfr. </w:t>
      </w:r>
      <w:r>
        <w:rPr>
          <w:sz w:val="16"/>
        </w:rPr>
        <w:t xml:space="preserve">Estatuto del Niño y del Adolescente, </w:t>
      </w:r>
      <w:r>
        <w:rPr>
          <w:i/>
          <w:sz w:val="16"/>
        </w:rPr>
        <w:t>supra</w:t>
      </w:r>
      <w:r>
        <w:rPr>
          <w:sz w:val="16"/>
        </w:rPr>
        <w:t>, artículo 67,</w:t>
      </w:r>
      <w:r>
        <w:rPr>
          <w:spacing w:val="-8"/>
          <w:sz w:val="16"/>
        </w:rPr>
        <w:t xml:space="preserve"> </w:t>
      </w:r>
      <w:r>
        <w:rPr>
          <w:sz w:val="16"/>
        </w:rPr>
        <w:t>II.</w:t>
      </w:r>
    </w:p>
    <w:p w14:paraId="687FDD53" w14:textId="77777777" w:rsidR="00467FCA" w:rsidRDefault="001B68EB">
      <w:pPr>
        <w:tabs>
          <w:tab w:val="left" w:pos="889"/>
        </w:tabs>
        <w:ind w:left="181" w:right="118"/>
        <w:rPr>
          <w:sz w:val="16"/>
        </w:rPr>
      </w:pPr>
      <w:bookmarkStart w:id="972" w:name="_bookmark884"/>
      <w:bookmarkEnd w:id="972"/>
      <w:r>
        <w:rPr>
          <w:position w:val="6"/>
          <w:sz w:val="10"/>
        </w:rPr>
        <w:t>26</w:t>
      </w:r>
      <w:r>
        <w:rPr>
          <w:position w:val="6"/>
          <w:sz w:val="10"/>
        </w:rPr>
        <w:tab/>
      </w:r>
      <w:r>
        <w:rPr>
          <w:i/>
          <w:sz w:val="16"/>
        </w:rPr>
        <w:t xml:space="preserve">Cfr. </w:t>
      </w:r>
      <w:r>
        <w:rPr>
          <w:sz w:val="16"/>
        </w:rPr>
        <w:t>Peritaje presentado ante la Corte IDH por Miguel Cillero Bruñol (expediente de fondo, folios 911 a</w:t>
      </w:r>
      <w:r>
        <w:rPr>
          <w:spacing w:val="-3"/>
          <w:sz w:val="16"/>
        </w:rPr>
        <w:t xml:space="preserve"> </w:t>
      </w:r>
      <w:r>
        <w:rPr>
          <w:sz w:val="16"/>
        </w:rPr>
        <w:t>943).</w:t>
      </w:r>
    </w:p>
    <w:p w14:paraId="0C5A9697" w14:textId="77777777" w:rsidR="00467FCA" w:rsidRDefault="00467FCA">
      <w:pPr>
        <w:rPr>
          <w:sz w:val="16"/>
        </w:rPr>
        <w:sectPr w:rsidR="00467FCA">
          <w:pgSz w:w="11910" w:h="16840"/>
          <w:pgMar w:top="1320" w:right="1580" w:bottom="1200" w:left="1520" w:header="0" w:footer="1002" w:gutter="0"/>
          <w:cols w:space="720"/>
        </w:sectPr>
      </w:pPr>
    </w:p>
    <w:p w14:paraId="0A4FE5BE" w14:textId="77777777" w:rsidR="00467FCA" w:rsidRDefault="001B68EB">
      <w:pPr>
        <w:pStyle w:val="Textoindependiente"/>
        <w:spacing w:before="78"/>
        <w:ind w:left="181"/>
        <w:jc w:val="both"/>
      </w:pPr>
      <w:r>
        <w:t>subordinación que les impiden acceder a condiciones básicas de desarrollo humano;</w:t>
      </w:r>
    </w:p>
    <w:p w14:paraId="362D570E" w14:textId="77777777" w:rsidR="00467FCA" w:rsidRDefault="001B68EB">
      <w:pPr>
        <w:pStyle w:val="Textoindependiente"/>
        <w:spacing w:before="38" w:line="276" w:lineRule="auto"/>
        <w:ind w:left="181" w:right="117"/>
        <w:jc w:val="both"/>
      </w:pPr>
      <w:r>
        <w:t xml:space="preserve">(iii) que la situación de exclusión, marginación o </w:t>
      </w:r>
      <w:r>
        <w:t>subordinación se centra en una zona geográfica determinada o bien puede ser generalizada en todo el territorio de un Estado que en algunos casos puede ser intergeneracional, y (iv) que las personas pertenecientes a estos grupos, sin importar la intención d</w:t>
      </w:r>
      <w:r>
        <w:t>e la norma, la neutralidad o la mención expresa de alguna distinción o restricción explícita basada en las enunciaciones e interpretaciones del artículo 1.1 de la Convención Americana, son víctimas de discriminación indirecta o bien de discriminación de fa</w:t>
      </w:r>
      <w:r>
        <w:t>cto, por las actuaciones o aplicación de medidas o acciones implementadas por el Estado”</w:t>
      </w:r>
      <w:hyperlink w:anchor="_bookmark885" w:history="1">
        <w:r>
          <w:rPr>
            <w:position w:val="7"/>
            <w:sz w:val="13"/>
          </w:rPr>
          <w:t>27</w:t>
        </w:r>
      </w:hyperlink>
      <w:r>
        <w:t>.</w:t>
      </w:r>
    </w:p>
    <w:p w14:paraId="0471944C" w14:textId="77777777" w:rsidR="00467FCA" w:rsidRDefault="00467FCA">
      <w:pPr>
        <w:pStyle w:val="Textoindependiente"/>
        <w:spacing w:before="8"/>
        <w:rPr>
          <w:sz w:val="19"/>
        </w:rPr>
      </w:pPr>
    </w:p>
    <w:p w14:paraId="1452E3C8"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Teniendo en cuenta lo anterior, es que afirmo que la discriminación interseccional que sufrieron las mujeres, niñas y niños del cas</w:t>
      </w:r>
      <w:r>
        <w:rPr>
          <w:sz w:val="20"/>
        </w:rPr>
        <w:t>o por razón de la pobreza, raza, género, constituyó una vulneración en cascada de derechos en cuanto a las condiciones en que trabajaban en el lugar de la explosión. Un patrón que incrementó las desventajas y vulneraciones que terminan en el suceso de la F</w:t>
      </w:r>
      <w:r>
        <w:rPr>
          <w:sz w:val="20"/>
        </w:rPr>
        <w:t>ábrica de Fuegos. Este patrón de discriminación interseccional requiere especial atención para prevenir y evitar en el futuro la desprotección y violación de derechos de las que ya eran víctimas las mujeres, niños y niñas de la Fábrica de Fuegos antes de l</w:t>
      </w:r>
      <w:r>
        <w:rPr>
          <w:sz w:val="20"/>
        </w:rPr>
        <w:t>a</w:t>
      </w:r>
      <w:r>
        <w:rPr>
          <w:spacing w:val="-3"/>
          <w:sz w:val="20"/>
        </w:rPr>
        <w:t xml:space="preserve"> </w:t>
      </w:r>
      <w:r>
        <w:rPr>
          <w:sz w:val="20"/>
        </w:rPr>
        <w:t>explosión.</w:t>
      </w:r>
    </w:p>
    <w:p w14:paraId="4AF91DA9" w14:textId="77777777" w:rsidR="00467FCA" w:rsidRDefault="00467FCA">
      <w:pPr>
        <w:pStyle w:val="Textoindependiente"/>
        <w:spacing w:before="9"/>
        <w:rPr>
          <w:sz w:val="19"/>
        </w:rPr>
      </w:pPr>
    </w:p>
    <w:p w14:paraId="51F3CA77" w14:textId="77777777" w:rsidR="00467FCA" w:rsidRDefault="001B68EB">
      <w:pPr>
        <w:pStyle w:val="Prrafodelista"/>
        <w:numPr>
          <w:ilvl w:val="0"/>
          <w:numId w:val="3"/>
        </w:numPr>
        <w:tabs>
          <w:tab w:val="left" w:pos="890"/>
        </w:tabs>
        <w:spacing w:line="276" w:lineRule="auto"/>
        <w:ind w:left="181" w:right="116" w:firstLine="0"/>
        <w:jc w:val="both"/>
        <w:rPr>
          <w:sz w:val="20"/>
        </w:rPr>
      </w:pPr>
      <w:r>
        <w:rPr>
          <w:sz w:val="20"/>
        </w:rPr>
        <w:t>En el caso, las mujeres por sus condiciones de tales y por pertenencia a determinadas zonas, solamente obtenían trabajo fabricando fuegos artificiales, eran el único sustento de su familia. Debían llevar con ellas a sus niños y niñas para mej</w:t>
      </w:r>
      <w:r>
        <w:rPr>
          <w:sz w:val="20"/>
        </w:rPr>
        <w:t>orar los ingresos que permitieran sostener al núcleo familiar. Los niños y niñas se veían privados de sus derechos en virtud de la situación de sus madres. Todas estas vulnerabilidades actuaban conjuntamente, potenciando por su interseccionalidad la especi</w:t>
      </w:r>
      <w:r>
        <w:rPr>
          <w:sz w:val="20"/>
        </w:rPr>
        <w:t xml:space="preserve">al situación de indefensión ante la renuncia del Estado a cumplir con su función de respeto y básicamente de garantía de los derechos humanos de estas personas. En este sentido, en el párrafo 197 de la Sentencia se describen los patrones de discriminación </w:t>
      </w:r>
      <w:r>
        <w:rPr>
          <w:sz w:val="20"/>
        </w:rPr>
        <w:t>estructural e</w:t>
      </w:r>
      <w:r>
        <w:rPr>
          <w:spacing w:val="-9"/>
          <w:sz w:val="20"/>
        </w:rPr>
        <w:t xml:space="preserve"> </w:t>
      </w:r>
      <w:r>
        <w:rPr>
          <w:sz w:val="20"/>
        </w:rPr>
        <w:t>interseccional.</w:t>
      </w:r>
    </w:p>
    <w:p w14:paraId="10AB0A8E" w14:textId="77777777" w:rsidR="00467FCA" w:rsidRDefault="00467FCA">
      <w:pPr>
        <w:pStyle w:val="Textoindependiente"/>
        <w:spacing w:before="10"/>
        <w:rPr>
          <w:sz w:val="19"/>
        </w:rPr>
      </w:pPr>
    </w:p>
    <w:p w14:paraId="0CC09C77" w14:textId="77777777" w:rsidR="00467FCA" w:rsidRDefault="001B68EB">
      <w:pPr>
        <w:pStyle w:val="Prrafodelista"/>
        <w:numPr>
          <w:ilvl w:val="0"/>
          <w:numId w:val="3"/>
        </w:numPr>
        <w:tabs>
          <w:tab w:val="left" w:pos="891"/>
        </w:tabs>
        <w:spacing w:before="1" w:line="276" w:lineRule="auto"/>
        <w:ind w:left="182" w:right="114" w:hanging="1"/>
        <w:jc w:val="both"/>
        <w:rPr>
          <w:sz w:val="20"/>
        </w:rPr>
      </w:pPr>
      <w:r>
        <w:rPr>
          <w:sz w:val="20"/>
        </w:rPr>
        <w:t>Estamos frente a una situación de pobreza estructural, de mujeres y niñas afrodescendientes, en algunos casos incluso embarazadas y no contaban con ninguna otra alternativa económica más que aceptar un trabajo peligroso en condiciones de explotación. El sa</w:t>
      </w:r>
      <w:r>
        <w:rPr>
          <w:sz w:val="20"/>
        </w:rPr>
        <w:t>lario por este trabajo era miserable, al punto que las mujeres llevaban a sus niños para aumentar el número de cohetes fabricados como forma de aumentar la retribución. La confluencia de estos factores y la existencia de este patrón de discriminación inter</w:t>
      </w:r>
      <w:r>
        <w:rPr>
          <w:sz w:val="20"/>
        </w:rPr>
        <w:t>seccional provocaron que las mujeres, niños y niñas víctimas no tuvieran alternativa a trabajar</w:t>
      </w:r>
      <w:r>
        <w:rPr>
          <w:spacing w:val="-11"/>
          <w:sz w:val="20"/>
        </w:rPr>
        <w:t xml:space="preserve"> </w:t>
      </w:r>
      <w:r>
        <w:rPr>
          <w:sz w:val="20"/>
        </w:rPr>
        <w:t>allí.</w:t>
      </w:r>
    </w:p>
    <w:p w14:paraId="543F4185" w14:textId="77777777" w:rsidR="00467FCA" w:rsidRDefault="00467FCA">
      <w:pPr>
        <w:pStyle w:val="Textoindependiente"/>
        <w:spacing w:before="9"/>
        <w:rPr>
          <w:sz w:val="19"/>
        </w:rPr>
      </w:pPr>
    </w:p>
    <w:p w14:paraId="19C15F50" w14:textId="77777777" w:rsidR="00467FCA" w:rsidRDefault="001B68EB">
      <w:pPr>
        <w:pStyle w:val="Prrafodelista"/>
        <w:numPr>
          <w:ilvl w:val="0"/>
          <w:numId w:val="3"/>
        </w:numPr>
        <w:tabs>
          <w:tab w:val="left" w:pos="891"/>
        </w:tabs>
        <w:spacing w:before="1" w:line="276" w:lineRule="auto"/>
        <w:ind w:left="182" w:right="117" w:hanging="1"/>
        <w:jc w:val="both"/>
        <w:rPr>
          <w:sz w:val="20"/>
        </w:rPr>
      </w:pPr>
      <w:r>
        <w:rPr>
          <w:sz w:val="20"/>
        </w:rPr>
        <w:t>Las víctimas sufrieron una discriminación estructural, en virtud de pertenecer a sectores históricamente marginados – cuyo origen está vinculado al fenómeno de la esclavitud – que se mantuvo en el tiempo más allá de los avances normativos que nunca tuviero</w:t>
      </w:r>
      <w:r>
        <w:rPr>
          <w:sz w:val="20"/>
        </w:rPr>
        <w:t>n efectividad real. Además sufrieron la discriminación interseccional producida por pertenecer a categorías consideradas sospechosas por la Convención Americana: etnia, género, edad, pertenencia social y otras que confluyeron en un haz de violaciones a sus</w:t>
      </w:r>
      <w:r>
        <w:rPr>
          <w:spacing w:val="-7"/>
          <w:sz w:val="20"/>
        </w:rPr>
        <w:t xml:space="preserve"> </w:t>
      </w:r>
      <w:r>
        <w:rPr>
          <w:sz w:val="20"/>
        </w:rPr>
        <w:t>derechos.</w:t>
      </w:r>
    </w:p>
    <w:p w14:paraId="2A724B4B" w14:textId="77777777" w:rsidR="00467FCA" w:rsidRDefault="001B68EB">
      <w:pPr>
        <w:pStyle w:val="Textoindependiente"/>
        <w:spacing w:before="3"/>
        <w:rPr>
          <w:sz w:val="16"/>
        </w:rPr>
      </w:pPr>
      <w:r>
        <w:pict w14:anchorId="2F292050">
          <v:shape id="_x0000_s1027" style="position:absolute;margin-left:85.1pt;margin-top:12.2pt;width:2in;height:.1pt;z-index:-251486208;mso-wrap-distance-left:0;mso-wrap-distance-right:0;mso-position-horizontal-relative:page" coordorigin="1702,244" coordsize="2880,0" path="m1702,244r2880,e" filled="f" strokeweight=".72pt">
            <v:path arrowok="t"/>
            <w10:wrap type="topAndBottom" anchorx="page"/>
          </v:shape>
        </w:pict>
      </w:r>
    </w:p>
    <w:p w14:paraId="7DBF3DCE" w14:textId="77777777" w:rsidR="00467FCA" w:rsidRDefault="001B68EB">
      <w:pPr>
        <w:tabs>
          <w:tab w:val="left" w:pos="889"/>
        </w:tabs>
        <w:spacing w:before="71"/>
        <w:ind w:left="181" w:right="396"/>
        <w:rPr>
          <w:sz w:val="16"/>
        </w:rPr>
      </w:pPr>
      <w:bookmarkStart w:id="973" w:name="_bookmark885"/>
      <w:bookmarkEnd w:id="973"/>
      <w:r>
        <w:rPr>
          <w:position w:val="6"/>
          <w:sz w:val="10"/>
        </w:rPr>
        <w:t>27</w:t>
      </w:r>
      <w:r>
        <w:rPr>
          <w:position w:val="6"/>
          <w:sz w:val="10"/>
        </w:rPr>
        <w:tab/>
      </w:r>
      <w:r>
        <w:rPr>
          <w:i/>
          <w:sz w:val="16"/>
        </w:rPr>
        <w:t xml:space="preserve">Caso Trabajadores de la Hacienda Brasil Verde Vs. Brasil. Excepciones Preliminares, Fondo, Reparaciones y Costas. </w:t>
      </w:r>
      <w:r>
        <w:rPr>
          <w:sz w:val="16"/>
        </w:rPr>
        <w:t>Sentencia de 20 de octubre de 2016. Serie C No. 318, párr.</w:t>
      </w:r>
      <w:r>
        <w:rPr>
          <w:spacing w:val="-18"/>
          <w:sz w:val="16"/>
        </w:rPr>
        <w:t xml:space="preserve"> </w:t>
      </w:r>
      <w:r>
        <w:rPr>
          <w:sz w:val="16"/>
        </w:rPr>
        <w:t>80.</w:t>
      </w:r>
    </w:p>
    <w:p w14:paraId="2CB30591" w14:textId="77777777" w:rsidR="00467FCA" w:rsidRDefault="00467FCA">
      <w:pPr>
        <w:rPr>
          <w:sz w:val="16"/>
        </w:rPr>
        <w:sectPr w:rsidR="00467FCA">
          <w:pgSz w:w="11910" w:h="16840"/>
          <w:pgMar w:top="1320" w:right="1580" w:bottom="1200" w:left="1520" w:header="0" w:footer="1002" w:gutter="0"/>
          <w:cols w:space="720"/>
        </w:sectPr>
      </w:pPr>
    </w:p>
    <w:p w14:paraId="6AE95DB8" w14:textId="77777777" w:rsidR="00467FCA" w:rsidRDefault="001B68EB">
      <w:pPr>
        <w:pStyle w:val="Prrafodelista"/>
        <w:numPr>
          <w:ilvl w:val="0"/>
          <w:numId w:val="3"/>
        </w:numPr>
        <w:tabs>
          <w:tab w:val="left" w:pos="890"/>
        </w:tabs>
        <w:spacing w:before="78" w:line="276" w:lineRule="auto"/>
        <w:ind w:left="181" w:right="118" w:hanging="1"/>
        <w:jc w:val="both"/>
        <w:rPr>
          <w:sz w:val="20"/>
        </w:rPr>
      </w:pPr>
      <w:r>
        <w:rPr>
          <w:sz w:val="20"/>
        </w:rPr>
        <w:t>La existencia de patrones de conducta en rela</w:t>
      </w:r>
      <w:r>
        <w:rPr>
          <w:sz w:val="20"/>
        </w:rPr>
        <w:t xml:space="preserve">ción a determinadas situaciones de vulnerabilidad ya fue mencionado en el caso </w:t>
      </w:r>
      <w:r>
        <w:rPr>
          <w:i/>
          <w:sz w:val="20"/>
        </w:rPr>
        <w:t>González y Otras (“Campo Algodonero”) vs. México</w:t>
      </w:r>
      <w:hyperlink w:anchor="_bookmark886" w:history="1">
        <w:r>
          <w:rPr>
            <w:position w:val="7"/>
            <w:sz w:val="13"/>
          </w:rPr>
          <w:t>28</w:t>
        </w:r>
      </w:hyperlink>
      <w:r>
        <w:rPr>
          <w:sz w:val="20"/>
        </w:rPr>
        <w:t>, donde se comprobó la existencia de un patrón sistemático de violencia y discriminación contra</w:t>
      </w:r>
      <w:r>
        <w:rPr>
          <w:sz w:val="20"/>
        </w:rPr>
        <w:t xml:space="preserve"> mujeres de la Ciudad de Juárez. En el mismo sentido se pronunció la Comisión Interamericana de Derechos Humanos en el informe del caso María Da Penha</w:t>
      </w:r>
      <w:hyperlink w:anchor="_bookmark887" w:history="1">
        <w:r>
          <w:rPr>
            <w:position w:val="7"/>
            <w:sz w:val="13"/>
          </w:rPr>
          <w:t>29</w:t>
        </w:r>
      </w:hyperlink>
      <w:r>
        <w:rPr>
          <w:sz w:val="20"/>
        </w:rPr>
        <w:t>.</w:t>
      </w:r>
    </w:p>
    <w:p w14:paraId="15BD5814" w14:textId="77777777" w:rsidR="00467FCA" w:rsidRDefault="00467FCA">
      <w:pPr>
        <w:pStyle w:val="Textoindependiente"/>
        <w:spacing w:before="9"/>
        <w:rPr>
          <w:sz w:val="19"/>
        </w:rPr>
      </w:pPr>
    </w:p>
    <w:p w14:paraId="1BE8B10A" w14:textId="77777777" w:rsidR="00467FCA" w:rsidRDefault="001B68EB">
      <w:pPr>
        <w:pStyle w:val="Prrafodelista"/>
        <w:numPr>
          <w:ilvl w:val="0"/>
          <w:numId w:val="3"/>
        </w:numPr>
        <w:tabs>
          <w:tab w:val="left" w:pos="890"/>
        </w:tabs>
        <w:spacing w:line="276" w:lineRule="auto"/>
        <w:ind w:left="181" w:right="117" w:firstLine="0"/>
        <w:jc w:val="both"/>
        <w:rPr>
          <w:sz w:val="20"/>
        </w:rPr>
      </w:pPr>
      <w:r>
        <w:rPr>
          <w:sz w:val="20"/>
        </w:rPr>
        <w:t>La experiencia de las mujeres, por lo general, no se funde en un solo</w:t>
      </w:r>
      <w:r>
        <w:rPr>
          <w:sz w:val="20"/>
        </w:rPr>
        <w:t xml:space="preserve"> eje de subordinación, sino que existe una interacción de diversos factores y sistemas de subordinación que hacen que la experiencia particular no sea equivalente a la que se experimentaría sobre la base de uno sólo de los</w:t>
      </w:r>
      <w:r>
        <w:rPr>
          <w:spacing w:val="-7"/>
          <w:sz w:val="20"/>
        </w:rPr>
        <w:t xml:space="preserve"> </w:t>
      </w:r>
      <w:r>
        <w:rPr>
          <w:sz w:val="20"/>
        </w:rPr>
        <w:t>factores.</w:t>
      </w:r>
    </w:p>
    <w:p w14:paraId="48DC81D5" w14:textId="77777777" w:rsidR="00467FCA" w:rsidRDefault="00467FCA">
      <w:pPr>
        <w:pStyle w:val="Textoindependiente"/>
        <w:spacing w:before="10"/>
        <w:rPr>
          <w:sz w:val="19"/>
        </w:rPr>
      </w:pPr>
    </w:p>
    <w:p w14:paraId="4E6DA0DE" w14:textId="77777777" w:rsidR="00467FCA" w:rsidRDefault="001B68EB">
      <w:pPr>
        <w:pStyle w:val="Prrafodelista"/>
        <w:numPr>
          <w:ilvl w:val="0"/>
          <w:numId w:val="3"/>
        </w:numPr>
        <w:tabs>
          <w:tab w:val="left" w:pos="890"/>
        </w:tabs>
        <w:spacing w:line="276" w:lineRule="auto"/>
        <w:ind w:left="181" w:right="118" w:hanging="1"/>
        <w:jc w:val="both"/>
        <w:rPr>
          <w:sz w:val="20"/>
        </w:rPr>
      </w:pPr>
      <w:r>
        <w:rPr>
          <w:sz w:val="20"/>
        </w:rPr>
        <w:t>La existencia de patro</w:t>
      </w:r>
      <w:r>
        <w:rPr>
          <w:sz w:val="20"/>
        </w:rPr>
        <w:t>nes de discriminación interseccional en contra de mujeres y niñas pobres en diferentes zonas de la región</w:t>
      </w:r>
      <w:hyperlink w:anchor="_bookmark888" w:history="1">
        <w:r>
          <w:rPr>
            <w:position w:val="7"/>
            <w:sz w:val="13"/>
          </w:rPr>
          <w:t>30</w:t>
        </w:r>
      </w:hyperlink>
      <w:r>
        <w:rPr>
          <w:position w:val="7"/>
          <w:sz w:val="13"/>
        </w:rPr>
        <w:t xml:space="preserve"> </w:t>
      </w:r>
      <w:r>
        <w:rPr>
          <w:sz w:val="20"/>
        </w:rPr>
        <w:t>es un problema que requiere especial protección estatal. En el presente caso las víctimas pertenecieran a un grupo e</w:t>
      </w:r>
      <w:r>
        <w:rPr>
          <w:sz w:val="20"/>
        </w:rPr>
        <w:t>n especial situación de vulnerabilidad; la privación de derechos y la interseccionalidad acentuaba los deberes de respeto y garantía a cargo del Estado (art.1.1 de la Convención). Sin embargo, el Estado no adoptó medidas orientadas a garantizar el ejercici</w:t>
      </w:r>
      <w:r>
        <w:rPr>
          <w:sz w:val="20"/>
        </w:rPr>
        <w:t>o del derecho a condiciones de trabajo equitativas y satisfactorias sin discriminación, o la existencia de una alternativa de trabajo diferente a la fabricación de fuegos artificiales (tal como surge de los párrs. 198 y 289 de la</w:t>
      </w:r>
      <w:r>
        <w:rPr>
          <w:spacing w:val="-3"/>
          <w:sz w:val="20"/>
        </w:rPr>
        <w:t xml:space="preserve"> </w:t>
      </w:r>
      <w:r>
        <w:rPr>
          <w:sz w:val="20"/>
        </w:rPr>
        <w:t>sentencia).</w:t>
      </w:r>
    </w:p>
    <w:p w14:paraId="5EC15258" w14:textId="77777777" w:rsidR="00467FCA" w:rsidRDefault="00467FCA">
      <w:pPr>
        <w:pStyle w:val="Textoindependiente"/>
        <w:spacing w:before="10"/>
        <w:rPr>
          <w:sz w:val="19"/>
        </w:rPr>
      </w:pPr>
    </w:p>
    <w:p w14:paraId="3980D0D0" w14:textId="77777777" w:rsidR="00467FCA" w:rsidRDefault="001B68EB">
      <w:pPr>
        <w:pStyle w:val="Ttulo1"/>
        <w:numPr>
          <w:ilvl w:val="1"/>
          <w:numId w:val="4"/>
        </w:numPr>
        <w:tabs>
          <w:tab w:val="left" w:pos="957"/>
        </w:tabs>
        <w:spacing w:line="276" w:lineRule="auto"/>
        <w:ind w:left="1261" w:right="543" w:hanging="720"/>
        <w:jc w:val="left"/>
      </w:pPr>
      <w:bookmarkStart w:id="974" w:name="IV.__Medida_de_no_repetición_vinculada_c"/>
      <w:bookmarkEnd w:id="974"/>
      <w:r>
        <w:t>M</w:t>
      </w:r>
      <w:r>
        <w:t>edida de no repetición vinculada con la interseccionalidad de la violación de derechos verificada</w:t>
      </w:r>
    </w:p>
    <w:p w14:paraId="1DD7830C" w14:textId="77777777" w:rsidR="00467FCA" w:rsidRDefault="00467FCA">
      <w:pPr>
        <w:pStyle w:val="Textoindependiente"/>
        <w:spacing w:before="9"/>
        <w:rPr>
          <w:b/>
          <w:sz w:val="19"/>
        </w:rPr>
      </w:pPr>
    </w:p>
    <w:p w14:paraId="6FCB21C6" w14:textId="77777777" w:rsidR="00467FCA" w:rsidRDefault="001B68EB">
      <w:pPr>
        <w:pStyle w:val="Prrafodelista"/>
        <w:numPr>
          <w:ilvl w:val="0"/>
          <w:numId w:val="3"/>
        </w:numPr>
        <w:tabs>
          <w:tab w:val="left" w:pos="890"/>
        </w:tabs>
        <w:spacing w:line="276" w:lineRule="auto"/>
        <w:ind w:left="181" w:right="118" w:hanging="1"/>
        <w:jc w:val="both"/>
        <w:rPr>
          <w:sz w:val="20"/>
        </w:rPr>
      </w:pPr>
      <w:r>
        <w:rPr>
          <w:sz w:val="20"/>
        </w:rPr>
        <w:t>La obligación positiva del Estado, ante la verificación de un patrón de discriminación interseccional y estructural como el descrito, consiste en el desarrol</w:t>
      </w:r>
      <w:r>
        <w:rPr>
          <w:sz w:val="20"/>
        </w:rPr>
        <w:t>lo de líneas de acción mediante el desarrollo de políticas sistemáticas que actúen sobre los orígenes y causas de su</w:t>
      </w:r>
      <w:r>
        <w:rPr>
          <w:spacing w:val="-7"/>
          <w:sz w:val="20"/>
        </w:rPr>
        <w:t xml:space="preserve"> </w:t>
      </w:r>
      <w:r>
        <w:rPr>
          <w:sz w:val="20"/>
        </w:rPr>
        <w:t>existencia.</w:t>
      </w:r>
    </w:p>
    <w:p w14:paraId="5EDB8E88" w14:textId="77777777" w:rsidR="00467FCA" w:rsidRDefault="00467FCA">
      <w:pPr>
        <w:pStyle w:val="Textoindependiente"/>
        <w:spacing w:before="10"/>
        <w:rPr>
          <w:sz w:val="19"/>
        </w:rPr>
      </w:pPr>
    </w:p>
    <w:p w14:paraId="27F7DCF0" w14:textId="77777777" w:rsidR="00467FCA" w:rsidRDefault="001B68EB">
      <w:pPr>
        <w:pStyle w:val="Prrafodelista"/>
        <w:numPr>
          <w:ilvl w:val="0"/>
          <w:numId w:val="3"/>
        </w:numPr>
        <w:tabs>
          <w:tab w:val="left" w:pos="890"/>
        </w:tabs>
        <w:spacing w:line="276" w:lineRule="auto"/>
        <w:ind w:left="181" w:right="118" w:hanging="1"/>
        <w:jc w:val="both"/>
        <w:rPr>
          <w:sz w:val="20"/>
        </w:rPr>
      </w:pPr>
      <w:r>
        <w:rPr>
          <w:sz w:val="20"/>
        </w:rPr>
        <w:t>En esta línea, en 2015, el Comité de Derechos del Niño de Naciones Unidas, concluyó sobre la necesidad de abordar las causas f</w:t>
      </w:r>
      <w:r>
        <w:rPr>
          <w:sz w:val="20"/>
        </w:rPr>
        <w:t>undamentales de la deserción escolar de las niñas y los niños que viven en zonas urbanas marginadas, en particular las niñas y niños afrobrasileños, incluidas la pobreza, la violencia familiar, el trabajo infantil y el embarazo adolescente, y desarrollar u</w:t>
      </w:r>
      <w:r>
        <w:rPr>
          <w:sz w:val="20"/>
        </w:rPr>
        <w:t>na estrategia integral para abordar el problema. Se observa que las medidas adoptadas deben incluir el apoyo a las adolescentes embarazadas y las madres adolescentes para que continúen su</w:t>
      </w:r>
      <w:r>
        <w:rPr>
          <w:spacing w:val="1"/>
          <w:sz w:val="20"/>
        </w:rPr>
        <w:t xml:space="preserve"> </w:t>
      </w:r>
      <w:r>
        <w:rPr>
          <w:sz w:val="20"/>
        </w:rPr>
        <w:t>educación</w:t>
      </w:r>
      <w:hyperlink w:anchor="_bookmark889" w:history="1">
        <w:r>
          <w:rPr>
            <w:position w:val="7"/>
            <w:sz w:val="13"/>
          </w:rPr>
          <w:t>31</w:t>
        </w:r>
      </w:hyperlink>
      <w:r>
        <w:rPr>
          <w:sz w:val="20"/>
        </w:rPr>
        <w:t>.</w:t>
      </w:r>
    </w:p>
    <w:p w14:paraId="6AE39B62" w14:textId="77777777" w:rsidR="00467FCA" w:rsidRDefault="00467FCA">
      <w:pPr>
        <w:pStyle w:val="Textoindependiente"/>
        <w:spacing w:before="6"/>
        <w:rPr>
          <w:sz w:val="19"/>
        </w:rPr>
      </w:pPr>
    </w:p>
    <w:p w14:paraId="38CCE148" w14:textId="77777777" w:rsidR="00467FCA" w:rsidRDefault="001B68EB">
      <w:pPr>
        <w:pStyle w:val="Prrafodelista"/>
        <w:numPr>
          <w:ilvl w:val="0"/>
          <w:numId w:val="3"/>
        </w:numPr>
        <w:tabs>
          <w:tab w:val="left" w:pos="890"/>
        </w:tabs>
        <w:spacing w:line="276" w:lineRule="auto"/>
        <w:ind w:left="181" w:right="118" w:hanging="1"/>
        <w:jc w:val="both"/>
        <w:rPr>
          <w:sz w:val="20"/>
        </w:rPr>
      </w:pPr>
      <w:r>
        <w:rPr>
          <w:sz w:val="20"/>
        </w:rPr>
        <w:t>Es así, que considero fundamental profundizar en la medida de no repetición vinculada a la interseccionalidad de vulneraciones constatada para el tratamiento del</w:t>
      </w:r>
      <w:r>
        <w:rPr>
          <w:spacing w:val="30"/>
          <w:sz w:val="20"/>
        </w:rPr>
        <w:t xml:space="preserve"> </w:t>
      </w:r>
      <w:r>
        <w:rPr>
          <w:sz w:val="20"/>
        </w:rPr>
        <w:t>patrón</w:t>
      </w:r>
      <w:r>
        <w:rPr>
          <w:spacing w:val="31"/>
          <w:sz w:val="20"/>
        </w:rPr>
        <w:t xml:space="preserve"> </w:t>
      </w:r>
      <w:r>
        <w:rPr>
          <w:sz w:val="20"/>
        </w:rPr>
        <w:t>estructural</w:t>
      </w:r>
      <w:r>
        <w:rPr>
          <w:spacing w:val="32"/>
          <w:sz w:val="20"/>
        </w:rPr>
        <w:t xml:space="preserve"> </w:t>
      </w:r>
      <w:r>
        <w:rPr>
          <w:sz w:val="20"/>
        </w:rPr>
        <w:t>de</w:t>
      </w:r>
      <w:r>
        <w:rPr>
          <w:spacing w:val="28"/>
          <w:sz w:val="20"/>
        </w:rPr>
        <w:t xml:space="preserve"> </w:t>
      </w:r>
      <w:r>
        <w:rPr>
          <w:sz w:val="20"/>
        </w:rPr>
        <w:t>discriminación</w:t>
      </w:r>
      <w:r>
        <w:rPr>
          <w:spacing w:val="31"/>
          <w:sz w:val="20"/>
        </w:rPr>
        <w:t xml:space="preserve"> </w:t>
      </w:r>
      <w:r>
        <w:rPr>
          <w:sz w:val="20"/>
        </w:rPr>
        <w:t>constatado</w:t>
      </w:r>
      <w:r>
        <w:rPr>
          <w:spacing w:val="28"/>
          <w:sz w:val="20"/>
        </w:rPr>
        <w:t xml:space="preserve"> </w:t>
      </w:r>
      <w:r>
        <w:rPr>
          <w:sz w:val="20"/>
        </w:rPr>
        <w:t>en</w:t>
      </w:r>
      <w:r>
        <w:rPr>
          <w:spacing w:val="33"/>
          <w:sz w:val="20"/>
        </w:rPr>
        <w:t xml:space="preserve"> </w:t>
      </w:r>
      <w:r>
        <w:rPr>
          <w:sz w:val="20"/>
        </w:rPr>
        <w:t>relación</w:t>
      </w:r>
      <w:r>
        <w:rPr>
          <w:spacing w:val="31"/>
          <w:sz w:val="20"/>
        </w:rPr>
        <w:t xml:space="preserve"> </w:t>
      </w:r>
      <w:r>
        <w:rPr>
          <w:sz w:val="20"/>
        </w:rPr>
        <w:t>a</w:t>
      </w:r>
      <w:r>
        <w:rPr>
          <w:spacing w:val="30"/>
          <w:sz w:val="20"/>
        </w:rPr>
        <w:t xml:space="preserve"> </w:t>
      </w:r>
      <w:r>
        <w:rPr>
          <w:sz w:val="20"/>
        </w:rPr>
        <w:t>mujeres,</w:t>
      </w:r>
      <w:r>
        <w:rPr>
          <w:spacing w:val="31"/>
          <w:sz w:val="20"/>
        </w:rPr>
        <w:t xml:space="preserve"> </w:t>
      </w:r>
      <w:r>
        <w:rPr>
          <w:sz w:val="20"/>
        </w:rPr>
        <w:t>niños,</w:t>
      </w:r>
    </w:p>
    <w:p w14:paraId="26EB698A" w14:textId="77777777" w:rsidR="00467FCA" w:rsidRDefault="001B68EB">
      <w:pPr>
        <w:pStyle w:val="Textoindependiente"/>
        <w:spacing w:before="1"/>
        <w:rPr>
          <w:sz w:val="10"/>
        </w:rPr>
      </w:pPr>
      <w:r>
        <w:pict w14:anchorId="57C95CAD">
          <v:shape id="_x0000_s1026" style="position:absolute;margin-left:85.1pt;margin-top:8.5pt;width:2in;height:.1pt;z-index:-251485184;mso-wrap-distance-left:0;mso-wrap-distance-right:0;mso-position-horizontal-relative:page" coordorigin="1702,170" coordsize="2880,0" path="m1702,170r2880,e" filled="f" strokeweight=".72pt">
            <v:path arrowok="t"/>
            <w10:wrap type="topAndBottom" anchorx="page"/>
          </v:shape>
        </w:pict>
      </w:r>
    </w:p>
    <w:p w14:paraId="303C9991" w14:textId="77777777" w:rsidR="00467FCA" w:rsidRDefault="001B68EB">
      <w:pPr>
        <w:tabs>
          <w:tab w:val="left" w:pos="889"/>
        </w:tabs>
        <w:spacing w:before="71"/>
        <w:ind w:left="181" w:right="115"/>
        <w:jc w:val="both"/>
        <w:rPr>
          <w:sz w:val="16"/>
        </w:rPr>
      </w:pPr>
      <w:bookmarkStart w:id="975" w:name="_bookmark886"/>
      <w:bookmarkEnd w:id="975"/>
      <w:r>
        <w:rPr>
          <w:position w:val="6"/>
          <w:sz w:val="10"/>
        </w:rPr>
        <w:t>28</w:t>
      </w:r>
      <w:r>
        <w:rPr>
          <w:position w:val="6"/>
          <w:sz w:val="10"/>
        </w:rPr>
        <w:tab/>
      </w:r>
      <w:r>
        <w:rPr>
          <w:i/>
          <w:sz w:val="16"/>
        </w:rPr>
        <w:t xml:space="preserve">Cfr. Caso Gonzales y Otras (“Campo Algodonero”) Vs. México. Excepción Preliminar, Fondo, Reparaciones y Costas. </w:t>
      </w:r>
      <w:r>
        <w:rPr>
          <w:sz w:val="16"/>
        </w:rPr>
        <w:t>Sentencia de 16 de noviembre de 2009. Serie C No. 205, párr.</w:t>
      </w:r>
      <w:r>
        <w:rPr>
          <w:spacing w:val="-21"/>
          <w:sz w:val="16"/>
        </w:rPr>
        <w:t xml:space="preserve"> </w:t>
      </w:r>
      <w:r>
        <w:rPr>
          <w:sz w:val="16"/>
        </w:rPr>
        <w:t>132.</w:t>
      </w:r>
    </w:p>
    <w:p w14:paraId="1FDC1FA0" w14:textId="77777777" w:rsidR="00467FCA" w:rsidRDefault="001B68EB">
      <w:pPr>
        <w:tabs>
          <w:tab w:val="left" w:pos="889"/>
        </w:tabs>
        <w:ind w:left="181" w:right="116"/>
        <w:jc w:val="both"/>
        <w:rPr>
          <w:sz w:val="16"/>
        </w:rPr>
      </w:pPr>
      <w:bookmarkStart w:id="976" w:name="_bookmark887"/>
      <w:bookmarkEnd w:id="976"/>
      <w:r>
        <w:rPr>
          <w:position w:val="6"/>
          <w:sz w:val="10"/>
        </w:rPr>
        <w:t>29</w:t>
      </w:r>
      <w:r>
        <w:rPr>
          <w:position w:val="6"/>
          <w:sz w:val="10"/>
        </w:rPr>
        <w:tab/>
      </w:r>
      <w:r>
        <w:rPr>
          <w:i/>
          <w:sz w:val="16"/>
        </w:rPr>
        <w:t xml:space="preserve">Cfr. </w:t>
      </w:r>
      <w:r>
        <w:rPr>
          <w:sz w:val="16"/>
        </w:rPr>
        <w:t xml:space="preserve">CIDH, Informe N° 54/01. Caso 12.051. Maria Da </w:t>
      </w:r>
      <w:r>
        <w:rPr>
          <w:sz w:val="16"/>
        </w:rPr>
        <w:t>Penha Maia Fernandes. Brasil. 16 de abril de</w:t>
      </w:r>
      <w:r>
        <w:rPr>
          <w:spacing w:val="-1"/>
          <w:sz w:val="16"/>
        </w:rPr>
        <w:t xml:space="preserve"> </w:t>
      </w:r>
      <w:r>
        <w:rPr>
          <w:sz w:val="16"/>
        </w:rPr>
        <w:t>2001.</w:t>
      </w:r>
    </w:p>
    <w:p w14:paraId="5AB60FB2" w14:textId="77777777" w:rsidR="00467FCA" w:rsidRDefault="001B68EB">
      <w:pPr>
        <w:tabs>
          <w:tab w:val="left" w:pos="889"/>
        </w:tabs>
        <w:ind w:left="180" w:right="115"/>
        <w:jc w:val="both"/>
        <w:rPr>
          <w:sz w:val="16"/>
        </w:rPr>
      </w:pPr>
      <w:bookmarkStart w:id="977" w:name="_bookmark888"/>
      <w:bookmarkEnd w:id="977"/>
      <w:r>
        <w:rPr>
          <w:position w:val="6"/>
          <w:sz w:val="10"/>
        </w:rPr>
        <w:t>30</w:t>
      </w:r>
      <w:r>
        <w:rPr>
          <w:position w:val="6"/>
          <w:sz w:val="10"/>
        </w:rPr>
        <w:tab/>
      </w:r>
      <w:r>
        <w:rPr>
          <w:i/>
          <w:sz w:val="16"/>
        </w:rPr>
        <w:t xml:space="preserve">Cfr. </w:t>
      </w:r>
      <w:r>
        <w:rPr>
          <w:sz w:val="16"/>
        </w:rPr>
        <w:t xml:space="preserve">Comité de América Latina y el Caribe para la Defensa de los Derechos de las Mujeres – CLADEM, </w:t>
      </w:r>
      <w:r>
        <w:rPr>
          <w:i/>
          <w:sz w:val="16"/>
        </w:rPr>
        <w:t>Patrones de Violencia contra las Mujeres en América Latina y el Caribe. Informe presentado a la Relator</w:t>
      </w:r>
      <w:r>
        <w:rPr>
          <w:i/>
          <w:sz w:val="16"/>
        </w:rPr>
        <w:t>a de la ONU sobre Violencia contra la Mujer, sus Causas y Consecuencias, Rashida Manjoo.</w:t>
      </w:r>
      <w:r>
        <w:rPr>
          <w:sz w:val="16"/>
        </w:rPr>
        <w:t>, 2014.</w:t>
      </w:r>
    </w:p>
    <w:p w14:paraId="1584FFF3" w14:textId="77777777" w:rsidR="00467FCA" w:rsidRDefault="001B68EB">
      <w:pPr>
        <w:tabs>
          <w:tab w:val="left" w:pos="889"/>
        </w:tabs>
        <w:ind w:left="181" w:right="114"/>
        <w:jc w:val="both"/>
        <w:rPr>
          <w:sz w:val="16"/>
        </w:rPr>
      </w:pPr>
      <w:bookmarkStart w:id="978" w:name="_bookmark889"/>
      <w:bookmarkEnd w:id="978"/>
      <w:r>
        <w:rPr>
          <w:position w:val="6"/>
          <w:sz w:val="10"/>
        </w:rPr>
        <w:t>31</w:t>
      </w:r>
      <w:r>
        <w:rPr>
          <w:position w:val="6"/>
          <w:sz w:val="10"/>
        </w:rPr>
        <w:tab/>
      </w:r>
      <w:r>
        <w:rPr>
          <w:i/>
          <w:sz w:val="16"/>
        </w:rPr>
        <w:t xml:space="preserve">Cfr. </w:t>
      </w:r>
      <w:r>
        <w:rPr>
          <w:sz w:val="16"/>
        </w:rPr>
        <w:t xml:space="preserve">Comité de Derechos del Niño, </w:t>
      </w:r>
      <w:r>
        <w:rPr>
          <w:i/>
          <w:sz w:val="16"/>
        </w:rPr>
        <w:t>Observaciones Finales a Brasil</w:t>
      </w:r>
      <w:r>
        <w:rPr>
          <w:sz w:val="16"/>
        </w:rPr>
        <w:t>, CRC/C/BRA/CO/2-4, 30 de octubre del</w:t>
      </w:r>
      <w:r>
        <w:rPr>
          <w:spacing w:val="-4"/>
          <w:sz w:val="16"/>
        </w:rPr>
        <w:t xml:space="preserve"> </w:t>
      </w:r>
      <w:r>
        <w:rPr>
          <w:sz w:val="16"/>
        </w:rPr>
        <w:t>2015.</w:t>
      </w:r>
    </w:p>
    <w:p w14:paraId="2A5BD06A" w14:textId="77777777" w:rsidR="00467FCA" w:rsidRDefault="00467FCA">
      <w:pPr>
        <w:jc w:val="both"/>
        <w:rPr>
          <w:sz w:val="16"/>
        </w:rPr>
        <w:sectPr w:rsidR="00467FCA">
          <w:pgSz w:w="11910" w:h="16840"/>
          <w:pgMar w:top="1320" w:right="1580" w:bottom="1200" w:left="1520" w:header="0" w:footer="1002" w:gutter="0"/>
          <w:cols w:space="720"/>
        </w:sectPr>
      </w:pPr>
    </w:p>
    <w:p w14:paraId="1F5742C2" w14:textId="77777777" w:rsidR="00467FCA" w:rsidRDefault="001B68EB">
      <w:pPr>
        <w:pStyle w:val="Textoindependiente"/>
        <w:spacing w:before="78"/>
        <w:ind w:left="181"/>
      </w:pPr>
      <w:r>
        <w:t>niñas y adolescentes.</w:t>
      </w:r>
    </w:p>
    <w:p w14:paraId="71A8D48E" w14:textId="77777777" w:rsidR="00467FCA" w:rsidRDefault="00467FCA">
      <w:pPr>
        <w:pStyle w:val="Textoindependiente"/>
        <w:spacing w:before="10"/>
        <w:rPr>
          <w:sz w:val="22"/>
        </w:rPr>
      </w:pPr>
    </w:p>
    <w:p w14:paraId="74EF41BF" w14:textId="77777777" w:rsidR="00467FCA" w:rsidRDefault="001B68EB">
      <w:pPr>
        <w:pStyle w:val="Prrafodelista"/>
        <w:numPr>
          <w:ilvl w:val="0"/>
          <w:numId w:val="3"/>
        </w:numPr>
        <w:tabs>
          <w:tab w:val="left" w:pos="890"/>
        </w:tabs>
        <w:spacing w:line="276" w:lineRule="auto"/>
        <w:ind w:left="181" w:right="118" w:firstLine="0"/>
        <w:jc w:val="both"/>
        <w:rPr>
          <w:sz w:val="20"/>
        </w:rPr>
      </w:pPr>
      <w:r>
        <w:rPr>
          <w:sz w:val="20"/>
        </w:rPr>
        <w:t>En este voto, hago un especial énfasis en la Agenda 2030 y en los Objetivos de Desarrollo Sostenible cuya principal finalidad es “no dejar a nadie atrás”. La Agenda 2030 responde al “enfoque de derechos en las políticas y estrategias de desarrollo” cuyo co</w:t>
      </w:r>
      <w:r>
        <w:rPr>
          <w:sz w:val="20"/>
        </w:rPr>
        <w:t>ntenido es reconocer que el desarrollo es un derecho de las personas exigible frente a sus gobiernos y que las políticas de desarrollo deben fundarse en los derechos humanos. Los Derechos Humanos constituyen un elemento esencial en el diseño de las polític</w:t>
      </w:r>
      <w:r>
        <w:rPr>
          <w:sz w:val="20"/>
        </w:rPr>
        <w:t>as y estrategias de</w:t>
      </w:r>
      <w:r>
        <w:rPr>
          <w:spacing w:val="-17"/>
          <w:sz w:val="20"/>
        </w:rPr>
        <w:t xml:space="preserve"> </w:t>
      </w:r>
      <w:r>
        <w:rPr>
          <w:sz w:val="20"/>
        </w:rPr>
        <w:t>desarrollo.</w:t>
      </w:r>
    </w:p>
    <w:p w14:paraId="19BA2776" w14:textId="77777777" w:rsidR="00467FCA" w:rsidRDefault="00467FCA">
      <w:pPr>
        <w:pStyle w:val="Textoindependiente"/>
        <w:spacing w:before="9"/>
        <w:rPr>
          <w:sz w:val="19"/>
        </w:rPr>
      </w:pPr>
    </w:p>
    <w:p w14:paraId="1588A313" w14:textId="77777777" w:rsidR="00467FCA" w:rsidRDefault="001B68EB">
      <w:pPr>
        <w:pStyle w:val="Prrafodelista"/>
        <w:numPr>
          <w:ilvl w:val="0"/>
          <w:numId w:val="3"/>
        </w:numPr>
        <w:tabs>
          <w:tab w:val="left" w:pos="890"/>
        </w:tabs>
        <w:spacing w:line="276" w:lineRule="auto"/>
        <w:ind w:left="181" w:right="117" w:hanging="1"/>
        <w:jc w:val="both"/>
        <w:rPr>
          <w:sz w:val="20"/>
        </w:rPr>
      </w:pPr>
      <w:r>
        <w:rPr>
          <w:sz w:val="20"/>
        </w:rPr>
        <w:t xml:space="preserve">Se afirma en el punto 35 de la Declaración que precede a los objetivos: </w:t>
      </w:r>
      <w:r>
        <w:rPr>
          <w:i/>
          <w:sz w:val="20"/>
        </w:rPr>
        <w:t xml:space="preserve">“El desarrollo sostenible no puede hacerse realidad sin que haya paz y seguridad, y la paz y la seguridad corren peligro sin el desarrollo sostenible. </w:t>
      </w:r>
      <w:r>
        <w:rPr>
          <w:i/>
          <w:sz w:val="20"/>
        </w:rPr>
        <w:t xml:space="preserve">La nueva Agenda reconoce la necesidad de construir sociedades pacíficas, justas e inclusivas que proporcionen igualdad de acceso a la justicia y se basen en </w:t>
      </w:r>
      <w:r>
        <w:rPr>
          <w:b/>
          <w:i/>
          <w:sz w:val="20"/>
        </w:rPr>
        <w:t>el respeto de los derechos humanos (incluido el derecho al desarrollo), en un estado de derecho efe</w:t>
      </w:r>
      <w:r>
        <w:rPr>
          <w:b/>
          <w:i/>
          <w:sz w:val="20"/>
        </w:rPr>
        <w:t xml:space="preserve">ctivo </w:t>
      </w:r>
      <w:r>
        <w:rPr>
          <w:i/>
          <w:sz w:val="20"/>
        </w:rPr>
        <w:t>y una buena gobernanza a todos los niveles y en instituciones transparentes y eficaces que rindan cuentas […]</w:t>
      </w:r>
      <w:r>
        <w:rPr>
          <w:sz w:val="20"/>
        </w:rPr>
        <w:t>” (resaltados del</w:t>
      </w:r>
      <w:r>
        <w:rPr>
          <w:spacing w:val="-13"/>
          <w:sz w:val="20"/>
        </w:rPr>
        <w:t xml:space="preserve"> </w:t>
      </w:r>
      <w:r>
        <w:rPr>
          <w:sz w:val="20"/>
        </w:rPr>
        <w:t>autor).</w:t>
      </w:r>
    </w:p>
    <w:p w14:paraId="35E4D523" w14:textId="77777777" w:rsidR="00467FCA" w:rsidRDefault="00467FCA">
      <w:pPr>
        <w:pStyle w:val="Textoindependiente"/>
        <w:spacing w:before="10"/>
        <w:rPr>
          <w:sz w:val="19"/>
        </w:rPr>
      </w:pPr>
    </w:p>
    <w:p w14:paraId="26D17343" w14:textId="77777777" w:rsidR="00467FCA" w:rsidRDefault="001B68EB">
      <w:pPr>
        <w:pStyle w:val="Prrafodelista"/>
        <w:numPr>
          <w:ilvl w:val="0"/>
          <w:numId w:val="3"/>
        </w:numPr>
        <w:tabs>
          <w:tab w:val="left" w:pos="890"/>
        </w:tabs>
        <w:spacing w:line="276" w:lineRule="auto"/>
        <w:ind w:left="181" w:right="117" w:firstLine="0"/>
        <w:jc w:val="both"/>
        <w:rPr>
          <w:sz w:val="20"/>
        </w:rPr>
      </w:pPr>
      <w:r>
        <w:rPr>
          <w:sz w:val="20"/>
        </w:rPr>
        <w:t>Esta relación entre derechos humanos y desarrollo sostenible, se hace efectiva en los ODS 2030 como la hoja de rut</w:t>
      </w:r>
      <w:r>
        <w:rPr>
          <w:sz w:val="20"/>
        </w:rPr>
        <w:t>a resultante del consenso internacional para que las personas superen situaciones de vulneración de sus derechos como las probadas en la sentencia. El Objetivo 16 es la expresión que recoge esa relación promoviendo el estado de derecho a nivel nacional y g</w:t>
      </w:r>
      <w:r>
        <w:rPr>
          <w:sz w:val="20"/>
        </w:rPr>
        <w:t>lobal (1.3), creación de instituciones eficaces y transparentes que rindan cuentas (16.6), garantía de acceso a la información y protección de libertades fundamentales (16.10), promoción y aplicación de leyes y políticas no discriminatorias en favor del de</w:t>
      </w:r>
      <w:r>
        <w:rPr>
          <w:sz w:val="20"/>
        </w:rPr>
        <w:t>sarrollo sostenible</w:t>
      </w:r>
      <w:r>
        <w:rPr>
          <w:spacing w:val="-1"/>
          <w:sz w:val="20"/>
        </w:rPr>
        <w:t xml:space="preserve"> </w:t>
      </w:r>
      <w:r>
        <w:rPr>
          <w:sz w:val="20"/>
        </w:rPr>
        <w:t>(16.b).</w:t>
      </w:r>
    </w:p>
    <w:p w14:paraId="4C3F991F" w14:textId="77777777" w:rsidR="00467FCA" w:rsidRDefault="00467FCA">
      <w:pPr>
        <w:pStyle w:val="Textoindependiente"/>
        <w:spacing w:before="9"/>
        <w:rPr>
          <w:sz w:val="19"/>
        </w:rPr>
      </w:pPr>
    </w:p>
    <w:p w14:paraId="3EE2148D" w14:textId="77777777" w:rsidR="00467FCA" w:rsidRDefault="001B68EB">
      <w:pPr>
        <w:pStyle w:val="Prrafodelista"/>
        <w:numPr>
          <w:ilvl w:val="0"/>
          <w:numId w:val="3"/>
        </w:numPr>
        <w:tabs>
          <w:tab w:val="left" w:pos="890"/>
        </w:tabs>
        <w:spacing w:line="276" w:lineRule="auto"/>
        <w:ind w:left="181" w:right="121" w:hanging="1"/>
        <w:jc w:val="both"/>
        <w:rPr>
          <w:sz w:val="20"/>
        </w:rPr>
      </w:pPr>
      <w:r>
        <w:rPr>
          <w:sz w:val="20"/>
        </w:rPr>
        <w:t>La situación del presente caso se vincula especialmente con los objetivos número 1 “poner fin a la pobreza en todas sus formas”, 5 “igualdad de género”, 8 “trabajo decente y crecimiento económico”, 10 “reducción de las desigual</w:t>
      </w:r>
      <w:r>
        <w:rPr>
          <w:sz w:val="20"/>
        </w:rPr>
        <w:t>dades” y 16 “paz, justicia e instituciones</w:t>
      </w:r>
      <w:r>
        <w:rPr>
          <w:spacing w:val="-5"/>
          <w:sz w:val="20"/>
        </w:rPr>
        <w:t xml:space="preserve"> </w:t>
      </w:r>
      <w:r>
        <w:rPr>
          <w:sz w:val="20"/>
        </w:rPr>
        <w:t>sólidas”.</w:t>
      </w:r>
    </w:p>
    <w:p w14:paraId="023B3A58" w14:textId="77777777" w:rsidR="00467FCA" w:rsidRDefault="00467FCA">
      <w:pPr>
        <w:pStyle w:val="Textoindependiente"/>
        <w:spacing w:before="9"/>
        <w:rPr>
          <w:sz w:val="19"/>
        </w:rPr>
      </w:pPr>
    </w:p>
    <w:p w14:paraId="353A02A2" w14:textId="77777777" w:rsidR="00467FCA" w:rsidRDefault="001B68EB">
      <w:pPr>
        <w:pStyle w:val="Prrafodelista"/>
        <w:numPr>
          <w:ilvl w:val="0"/>
          <w:numId w:val="3"/>
        </w:numPr>
        <w:tabs>
          <w:tab w:val="left" w:pos="890"/>
        </w:tabs>
        <w:spacing w:before="1" w:line="276" w:lineRule="auto"/>
        <w:ind w:left="181" w:right="120" w:firstLine="0"/>
        <w:jc w:val="both"/>
        <w:rPr>
          <w:sz w:val="20"/>
        </w:rPr>
      </w:pPr>
      <w:r>
        <w:rPr>
          <w:sz w:val="20"/>
        </w:rPr>
        <w:t>Se recomienda al Estado que recurra a organizaciones especializadas del Sistema Universal de Protección de los Derechos Humanos como la OIT y UNICEF para la realización de inspecciones sistemáticas, asesoramiento y asistencia técnica que resulte de utilida</w:t>
      </w:r>
      <w:r>
        <w:rPr>
          <w:sz w:val="20"/>
        </w:rPr>
        <w:t>d (párrafo 287 de la</w:t>
      </w:r>
      <w:r>
        <w:rPr>
          <w:spacing w:val="-6"/>
          <w:sz w:val="20"/>
        </w:rPr>
        <w:t xml:space="preserve"> </w:t>
      </w:r>
      <w:r>
        <w:rPr>
          <w:sz w:val="20"/>
        </w:rPr>
        <w:t>sentencia).</w:t>
      </w:r>
    </w:p>
    <w:p w14:paraId="0D83D155" w14:textId="77777777" w:rsidR="00467FCA" w:rsidRDefault="00467FCA">
      <w:pPr>
        <w:pStyle w:val="Textoindependiente"/>
        <w:spacing w:before="9"/>
        <w:rPr>
          <w:sz w:val="19"/>
        </w:rPr>
      </w:pPr>
    </w:p>
    <w:p w14:paraId="15025125" w14:textId="77777777" w:rsidR="00467FCA" w:rsidRDefault="001B68EB">
      <w:pPr>
        <w:pStyle w:val="Prrafodelista"/>
        <w:numPr>
          <w:ilvl w:val="0"/>
          <w:numId w:val="3"/>
        </w:numPr>
        <w:tabs>
          <w:tab w:val="left" w:pos="890"/>
        </w:tabs>
        <w:spacing w:line="276" w:lineRule="auto"/>
        <w:ind w:left="181" w:right="117" w:hanging="1"/>
        <w:jc w:val="both"/>
        <w:rPr>
          <w:sz w:val="20"/>
        </w:rPr>
      </w:pPr>
      <w:r>
        <w:rPr>
          <w:sz w:val="20"/>
        </w:rPr>
        <w:t>Las violaciones de derechos acreditadas en este caso exigen que el Estado actúe con máxima diligencia en sus deberes de garantizar y respetar los derechos humanos violados (art. 1.1. de la Convención) y que adopte las medi</w:t>
      </w:r>
      <w:r>
        <w:rPr>
          <w:sz w:val="20"/>
        </w:rPr>
        <w:t>das que resultan de esta sentencia, requiriendo la cooperación internacional adecuada para el cumplimiento de las</w:t>
      </w:r>
      <w:r>
        <w:rPr>
          <w:spacing w:val="-1"/>
          <w:sz w:val="20"/>
        </w:rPr>
        <w:t xml:space="preserve"> </w:t>
      </w:r>
      <w:r>
        <w:rPr>
          <w:sz w:val="20"/>
        </w:rPr>
        <w:t>mismas.</w:t>
      </w:r>
    </w:p>
    <w:p w14:paraId="14EFB2D0" w14:textId="77777777" w:rsidR="00467FCA" w:rsidRDefault="00467FCA">
      <w:pPr>
        <w:pStyle w:val="Textoindependiente"/>
        <w:spacing w:before="8"/>
        <w:rPr>
          <w:sz w:val="19"/>
        </w:rPr>
      </w:pPr>
    </w:p>
    <w:p w14:paraId="4AAB9C25" w14:textId="77777777" w:rsidR="00467FCA" w:rsidRDefault="001B68EB">
      <w:pPr>
        <w:pStyle w:val="Ttulo1"/>
        <w:numPr>
          <w:ilvl w:val="1"/>
          <w:numId w:val="4"/>
        </w:numPr>
        <w:tabs>
          <w:tab w:val="left" w:pos="890"/>
        </w:tabs>
        <w:spacing w:before="1"/>
        <w:ind w:left="889" w:hanging="349"/>
        <w:jc w:val="left"/>
      </w:pPr>
      <w:bookmarkStart w:id="979" w:name="V._Conclusión"/>
      <w:bookmarkEnd w:id="979"/>
      <w:r>
        <w:t>Conclusión</w:t>
      </w:r>
    </w:p>
    <w:p w14:paraId="34921554" w14:textId="77777777" w:rsidR="00467FCA" w:rsidRDefault="00467FCA">
      <w:pPr>
        <w:pStyle w:val="Textoindependiente"/>
        <w:spacing w:before="10"/>
        <w:rPr>
          <w:b/>
          <w:sz w:val="22"/>
        </w:rPr>
      </w:pPr>
    </w:p>
    <w:p w14:paraId="634901D8" w14:textId="77777777" w:rsidR="00467FCA" w:rsidRDefault="001B68EB">
      <w:pPr>
        <w:pStyle w:val="Prrafodelista"/>
        <w:numPr>
          <w:ilvl w:val="0"/>
          <w:numId w:val="3"/>
        </w:numPr>
        <w:tabs>
          <w:tab w:val="left" w:pos="890"/>
        </w:tabs>
        <w:spacing w:line="276" w:lineRule="auto"/>
        <w:ind w:left="181" w:right="116" w:hanging="1"/>
        <w:jc w:val="both"/>
        <w:rPr>
          <w:sz w:val="20"/>
        </w:rPr>
      </w:pPr>
      <w:r>
        <w:rPr>
          <w:sz w:val="20"/>
        </w:rPr>
        <w:t>El Tribunal no debe de perder de vista que su función primaria es conocer sobre casos que requieran la interpretación y a</w:t>
      </w:r>
      <w:r>
        <w:rPr>
          <w:sz w:val="20"/>
        </w:rPr>
        <w:t>plicación de las disposiciones de la Convención cuando le sean sometidos, con el objetivo de decidir si existió una violación</w:t>
      </w:r>
      <w:r>
        <w:rPr>
          <w:spacing w:val="58"/>
          <w:sz w:val="20"/>
        </w:rPr>
        <w:t xml:space="preserve"> </w:t>
      </w:r>
      <w:r>
        <w:rPr>
          <w:sz w:val="20"/>
        </w:rPr>
        <w:t>a</w:t>
      </w:r>
      <w:r>
        <w:rPr>
          <w:spacing w:val="57"/>
          <w:sz w:val="20"/>
        </w:rPr>
        <w:t xml:space="preserve"> </w:t>
      </w:r>
      <w:r>
        <w:rPr>
          <w:sz w:val="20"/>
        </w:rPr>
        <w:t>un</w:t>
      </w:r>
      <w:r>
        <w:rPr>
          <w:spacing w:val="58"/>
          <w:sz w:val="20"/>
        </w:rPr>
        <w:t xml:space="preserve"> </w:t>
      </w:r>
      <w:r>
        <w:rPr>
          <w:sz w:val="20"/>
        </w:rPr>
        <w:t>derecho</w:t>
      </w:r>
      <w:r>
        <w:rPr>
          <w:spacing w:val="58"/>
          <w:sz w:val="20"/>
        </w:rPr>
        <w:t xml:space="preserve"> </w:t>
      </w:r>
      <w:r>
        <w:rPr>
          <w:sz w:val="20"/>
        </w:rPr>
        <w:t>o</w:t>
      </w:r>
      <w:r>
        <w:rPr>
          <w:spacing w:val="56"/>
          <w:sz w:val="20"/>
        </w:rPr>
        <w:t xml:space="preserve"> </w:t>
      </w:r>
      <w:r>
        <w:rPr>
          <w:sz w:val="20"/>
        </w:rPr>
        <w:t>libertad</w:t>
      </w:r>
      <w:r>
        <w:rPr>
          <w:spacing w:val="57"/>
          <w:sz w:val="20"/>
        </w:rPr>
        <w:t xml:space="preserve"> </w:t>
      </w:r>
      <w:r>
        <w:rPr>
          <w:sz w:val="20"/>
        </w:rPr>
        <w:t>protegido,</w:t>
      </w:r>
      <w:r>
        <w:rPr>
          <w:spacing w:val="58"/>
          <w:sz w:val="20"/>
        </w:rPr>
        <w:t xml:space="preserve"> </w:t>
      </w:r>
      <w:r>
        <w:rPr>
          <w:sz w:val="20"/>
        </w:rPr>
        <w:t>y</w:t>
      </w:r>
      <w:r>
        <w:rPr>
          <w:spacing w:val="56"/>
          <w:sz w:val="20"/>
        </w:rPr>
        <w:t xml:space="preserve"> </w:t>
      </w:r>
      <w:r>
        <w:rPr>
          <w:sz w:val="20"/>
        </w:rPr>
        <w:t>disponer</w:t>
      </w:r>
      <w:r>
        <w:rPr>
          <w:spacing w:val="57"/>
          <w:sz w:val="20"/>
        </w:rPr>
        <w:t xml:space="preserve"> </w:t>
      </w:r>
      <w:r>
        <w:rPr>
          <w:sz w:val="20"/>
        </w:rPr>
        <w:t>que</w:t>
      </w:r>
      <w:r>
        <w:rPr>
          <w:spacing w:val="58"/>
          <w:sz w:val="20"/>
        </w:rPr>
        <w:t xml:space="preserve"> </w:t>
      </w:r>
      <w:r>
        <w:rPr>
          <w:sz w:val="20"/>
        </w:rPr>
        <w:t>se</w:t>
      </w:r>
      <w:r>
        <w:rPr>
          <w:spacing w:val="56"/>
          <w:sz w:val="20"/>
        </w:rPr>
        <w:t xml:space="preserve"> </w:t>
      </w:r>
      <w:r>
        <w:rPr>
          <w:sz w:val="20"/>
        </w:rPr>
        <w:t>le</w:t>
      </w:r>
      <w:r>
        <w:rPr>
          <w:spacing w:val="58"/>
          <w:sz w:val="20"/>
        </w:rPr>
        <w:t xml:space="preserve"> </w:t>
      </w:r>
      <w:r>
        <w:rPr>
          <w:sz w:val="20"/>
        </w:rPr>
        <w:t>garantice</w:t>
      </w:r>
      <w:r>
        <w:rPr>
          <w:spacing w:val="56"/>
          <w:sz w:val="20"/>
        </w:rPr>
        <w:t xml:space="preserve"> </w:t>
      </w:r>
      <w:r>
        <w:rPr>
          <w:sz w:val="20"/>
        </w:rPr>
        <w:t>al</w:t>
      </w:r>
    </w:p>
    <w:p w14:paraId="02D89C81" w14:textId="77777777" w:rsidR="00467FCA" w:rsidRDefault="00467FCA">
      <w:pPr>
        <w:spacing w:line="276" w:lineRule="auto"/>
        <w:jc w:val="both"/>
        <w:rPr>
          <w:sz w:val="20"/>
        </w:rPr>
        <w:sectPr w:rsidR="00467FCA">
          <w:pgSz w:w="11910" w:h="16840"/>
          <w:pgMar w:top="1320" w:right="1580" w:bottom="1200" w:left="1520" w:header="0" w:footer="1002" w:gutter="0"/>
          <w:cols w:space="720"/>
        </w:sectPr>
      </w:pPr>
    </w:p>
    <w:p w14:paraId="4AF8BCF5" w14:textId="77777777" w:rsidR="00467FCA" w:rsidRDefault="001B68EB">
      <w:pPr>
        <w:pStyle w:val="Textoindependiente"/>
        <w:spacing w:before="78" w:line="276" w:lineRule="auto"/>
        <w:ind w:left="181" w:right="116"/>
        <w:jc w:val="both"/>
      </w:pPr>
      <w:r>
        <w:t>lesionado el goce de su derecho o libertad conculcado. En ese sentido, la Corte tiene una vocación de hacer justicia en casos concretos dentro de los límites previstos por el derecho de los tratados. Pero también tiene una función de contribuir a que se re</w:t>
      </w:r>
      <w:r>
        <w:t>alicen los objetivos de la Convención, y eso implica atender  los problemas que aquejan a nuestras sociedades. Es importante considerar que la legitimidad del Tribunal se funda en la solidez de sus razonamientos y en su apego al derecho y la prudencia de s</w:t>
      </w:r>
      <w:r>
        <w:t>us</w:t>
      </w:r>
      <w:r>
        <w:rPr>
          <w:spacing w:val="-8"/>
        </w:rPr>
        <w:t xml:space="preserve"> </w:t>
      </w:r>
      <w:r>
        <w:t>fallos.</w:t>
      </w:r>
    </w:p>
    <w:p w14:paraId="4375D068" w14:textId="77777777" w:rsidR="00467FCA" w:rsidRDefault="00467FCA">
      <w:pPr>
        <w:pStyle w:val="Textoindependiente"/>
        <w:spacing w:before="11"/>
        <w:rPr>
          <w:sz w:val="19"/>
        </w:rPr>
      </w:pPr>
    </w:p>
    <w:p w14:paraId="19C9089D" w14:textId="77777777" w:rsidR="00467FCA" w:rsidRDefault="001B68EB">
      <w:pPr>
        <w:pStyle w:val="Prrafodelista"/>
        <w:numPr>
          <w:ilvl w:val="0"/>
          <w:numId w:val="3"/>
        </w:numPr>
        <w:tabs>
          <w:tab w:val="left" w:pos="890"/>
        </w:tabs>
        <w:spacing w:line="276" w:lineRule="auto"/>
        <w:ind w:left="181" w:right="115" w:hanging="1"/>
        <w:jc w:val="both"/>
        <w:rPr>
          <w:sz w:val="20"/>
        </w:rPr>
      </w:pPr>
      <w:r>
        <w:rPr>
          <w:sz w:val="20"/>
        </w:rPr>
        <w:t>La jurisprudencia de la Corte, en consecuencia, busca la reparación estructural; con este voto se busca aportar a esta línea. Conforme a los tres puntos expresados, lo que resalto de mi posición es que la situación de la explosión de la Fábrica de Fuegos y</w:t>
      </w:r>
      <w:r>
        <w:rPr>
          <w:sz w:val="20"/>
        </w:rPr>
        <w:t xml:space="preserve"> sus consecuencias tienen un nexo directo con el fenómeno estructural e interseccional de discriminación que sufren las mujeres, niños, niñas y adolescentes pobres y afrodescendientes de Santo Antônio de Jesus, que responde a un patrón histórico desde el p</w:t>
      </w:r>
      <w:r>
        <w:rPr>
          <w:sz w:val="20"/>
        </w:rPr>
        <w:t>unto de vista social, económico y cultural. Esto implica que ser niño o niña o mujer, afrodescendiente y pobre confluye en una discriminación estructural e interseccional que tiene como consecuencia y efecto que deban recurrir a trabajos en condiciones ile</w:t>
      </w:r>
      <w:r>
        <w:rPr>
          <w:sz w:val="20"/>
        </w:rPr>
        <w:t>gítimas desde el punto de vista del derecho internacional de los derechos humanos, con las terribles consecuencias de pérdida de vidas, graves afectaciones a la integridad física y psíquica de las víctimas como en el presente</w:t>
      </w:r>
      <w:r>
        <w:rPr>
          <w:spacing w:val="1"/>
          <w:sz w:val="20"/>
        </w:rPr>
        <w:t xml:space="preserve"> </w:t>
      </w:r>
      <w:r>
        <w:rPr>
          <w:sz w:val="20"/>
        </w:rPr>
        <w:t>caso.</w:t>
      </w:r>
    </w:p>
    <w:p w14:paraId="505C38EA" w14:textId="77777777" w:rsidR="00467FCA" w:rsidRDefault="00467FCA">
      <w:pPr>
        <w:pStyle w:val="Textoindependiente"/>
        <w:rPr>
          <w:sz w:val="24"/>
        </w:rPr>
      </w:pPr>
    </w:p>
    <w:p w14:paraId="7D004697" w14:textId="77777777" w:rsidR="00467FCA" w:rsidRDefault="00467FCA">
      <w:pPr>
        <w:pStyle w:val="Textoindependiente"/>
        <w:rPr>
          <w:sz w:val="24"/>
        </w:rPr>
      </w:pPr>
    </w:p>
    <w:p w14:paraId="0EA10A0A" w14:textId="77777777" w:rsidR="00467FCA" w:rsidRDefault="00467FCA">
      <w:pPr>
        <w:pStyle w:val="Textoindependiente"/>
        <w:rPr>
          <w:sz w:val="24"/>
        </w:rPr>
      </w:pPr>
    </w:p>
    <w:p w14:paraId="530AECC9" w14:textId="77777777" w:rsidR="00467FCA" w:rsidRDefault="00467FCA">
      <w:pPr>
        <w:pStyle w:val="Textoindependiente"/>
        <w:rPr>
          <w:sz w:val="24"/>
        </w:rPr>
      </w:pPr>
    </w:p>
    <w:p w14:paraId="652ABBFA" w14:textId="77777777" w:rsidR="00467FCA" w:rsidRDefault="00467FCA">
      <w:pPr>
        <w:pStyle w:val="Textoindependiente"/>
        <w:spacing w:before="11"/>
        <w:rPr>
          <w:sz w:val="18"/>
        </w:rPr>
      </w:pPr>
    </w:p>
    <w:p w14:paraId="337A414F" w14:textId="77777777" w:rsidR="00467FCA" w:rsidRDefault="001B68EB">
      <w:pPr>
        <w:pStyle w:val="Textoindependiente"/>
        <w:spacing w:line="278" w:lineRule="auto"/>
        <w:ind w:left="4540" w:right="1602" w:hanging="1"/>
      </w:pPr>
      <w:r>
        <w:t>Ricardo C. Pérez Ma</w:t>
      </w:r>
      <w:r>
        <w:t>nrique Juez</w:t>
      </w:r>
    </w:p>
    <w:p w14:paraId="74284538" w14:textId="77777777" w:rsidR="00467FCA" w:rsidRDefault="00467FCA">
      <w:pPr>
        <w:pStyle w:val="Textoindependiente"/>
        <w:rPr>
          <w:sz w:val="24"/>
        </w:rPr>
      </w:pPr>
    </w:p>
    <w:p w14:paraId="47F46729" w14:textId="77777777" w:rsidR="00467FCA" w:rsidRDefault="00467FCA">
      <w:pPr>
        <w:pStyle w:val="Textoindependiente"/>
        <w:rPr>
          <w:sz w:val="24"/>
        </w:rPr>
      </w:pPr>
    </w:p>
    <w:p w14:paraId="06266671" w14:textId="77777777" w:rsidR="00467FCA" w:rsidRDefault="00467FCA">
      <w:pPr>
        <w:pStyle w:val="Textoindependiente"/>
        <w:rPr>
          <w:sz w:val="24"/>
        </w:rPr>
      </w:pPr>
    </w:p>
    <w:p w14:paraId="0A34A8AA" w14:textId="77777777" w:rsidR="00467FCA" w:rsidRDefault="00467FCA">
      <w:pPr>
        <w:pStyle w:val="Textoindependiente"/>
        <w:rPr>
          <w:sz w:val="24"/>
        </w:rPr>
      </w:pPr>
    </w:p>
    <w:p w14:paraId="21372A4C" w14:textId="77777777" w:rsidR="00467FCA" w:rsidRDefault="00467FCA">
      <w:pPr>
        <w:pStyle w:val="Textoindependiente"/>
        <w:spacing w:before="9"/>
        <w:rPr>
          <w:sz w:val="31"/>
        </w:rPr>
      </w:pPr>
    </w:p>
    <w:p w14:paraId="5C5E6359" w14:textId="77777777" w:rsidR="00467FCA" w:rsidRDefault="001B68EB">
      <w:pPr>
        <w:pStyle w:val="Textoindependiente"/>
        <w:spacing w:line="278" w:lineRule="auto"/>
        <w:ind w:left="119" w:right="6016" w:hanging="3"/>
      </w:pPr>
      <w:r>
        <w:t>Pablo Saavedra Alessandri Secretario</w:t>
      </w:r>
    </w:p>
    <w:sectPr w:rsidR="00467FCA">
      <w:pgSz w:w="11910" w:h="16840"/>
      <w:pgMar w:top="1320" w:right="1580" w:bottom="1200" w:left="152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8762D" w14:textId="77777777" w:rsidR="001B68EB" w:rsidRDefault="001B68EB">
      <w:r>
        <w:separator/>
      </w:r>
    </w:p>
  </w:endnote>
  <w:endnote w:type="continuationSeparator" w:id="0">
    <w:p w14:paraId="2A158D40" w14:textId="77777777" w:rsidR="001B68EB" w:rsidRDefault="001B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WAdobeF">
    <w:panose1 w:val="00000000000000000000"/>
    <w:charset w:val="00"/>
    <w:family w:val="auto"/>
    <w:pitch w:val="variable"/>
    <w:sig w:usb0="20002A85" w:usb1="00000000" w:usb2="00000000" w:usb3="00000000" w:csb0="000001FE"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E82E3" w14:textId="77777777" w:rsidR="00467FCA" w:rsidRDefault="001B68EB">
    <w:pPr>
      <w:pStyle w:val="Textoindependiente"/>
      <w:spacing w:line="14" w:lineRule="auto"/>
    </w:pPr>
    <w:r>
      <w:pict w14:anchorId="65BAE33F">
        <v:shapetype id="_x0000_t202" coordsize="21600,21600" o:spt="202" path="m,l,21600r21600,l21600,xe">
          <v:stroke joinstyle="miter"/>
          <v:path gradientshapeok="t" o:connecttype="rect"/>
        </v:shapetype>
        <v:shape id="_x0000_s2056" type="#_x0000_t202" style="position:absolute;margin-left:296.65pt;margin-top:729.15pt;width:18.7pt;height:14.15pt;z-index:-258945024;mso-position-horizontal-relative:page;mso-position-vertical-relative:page" filled="f" stroked="f">
          <v:textbox inset="0,0,0,0">
            <w:txbxContent>
              <w:p w14:paraId="6D4842F8" w14:textId="77777777" w:rsidR="00467FCA" w:rsidRDefault="001B68EB">
                <w:pPr>
                  <w:pStyle w:val="Textoindependiente"/>
                  <w:spacing w:before="19"/>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88642" w14:textId="77777777" w:rsidR="00467FCA" w:rsidRDefault="00467FCA">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38E80" w14:textId="77777777" w:rsidR="00467FCA" w:rsidRDefault="00467FCA">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58BC4" w14:textId="77777777" w:rsidR="00467FCA" w:rsidRDefault="001B68EB">
    <w:pPr>
      <w:pStyle w:val="Textoindependiente"/>
      <w:spacing w:line="14" w:lineRule="auto"/>
    </w:pPr>
    <w:r>
      <w:pict w14:anchorId="675695F2">
        <v:shapetype id="_x0000_t202" coordsize="21600,21600" o:spt="202" path="m,l,21600r21600,l21600,xe">
          <v:stroke joinstyle="miter"/>
          <v:path gradientshapeok="t" o:connecttype="rect"/>
        </v:shapetype>
        <v:shape id="_x0000_s2052" type="#_x0000_t202" style="position:absolute;margin-left:541.2pt;margin-top:730.9pt;width:17.3pt;height:13.05pt;z-index:-258940928;mso-position-horizontal-relative:page;mso-position-vertical-relative:page" filled="f" stroked="f">
          <v:textbox inset="0,0,0,0">
            <w:txbxContent>
              <w:p w14:paraId="05032EF3" w14:textId="77777777" w:rsidR="00467FCA" w:rsidRDefault="001B68E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AD694" w14:textId="77777777" w:rsidR="00467FCA" w:rsidRDefault="001B68EB">
    <w:pPr>
      <w:pStyle w:val="Textoindependiente"/>
      <w:spacing w:line="14" w:lineRule="auto"/>
    </w:pPr>
    <w:r>
      <w:pict w14:anchorId="7FC35740">
        <v:shapetype id="_x0000_t202" coordsize="21600,21600" o:spt="202" path="m,l,21600r21600,l21600,xe">
          <v:stroke joinstyle="miter"/>
          <v:path gradientshapeok="t" o:connecttype="rect"/>
        </v:shapetype>
        <v:shape id="_x0000_s2051" type="#_x0000_t202" style="position:absolute;margin-left:299.9pt;margin-top:731.45pt;width:12.35pt;height:14.15pt;z-index:-258939904;mso-position-horizontal-relative:page;mso-position-vertical-relative:page" filled="f" stroked="f">
          <v:textbox inset="0,0,0,0">
            <w:txbxContent>
              <w:p w14:paraId="614B7EB5" w14:textId="77777777" w:rsidR="00467FCA" w:rsidRDefault="001B68EB">
                <w:pPr>
                  <w:pStyle w:val="Textoindependiente"/>
                  <w:spacing w:before="19"/>
                  <w:ind w:left="60"/>
                </w:pPr>
                <w:r>
                  <w:fldChar w:fldCharType="begin"/>
                </w:r>
                <w:r>
                  <w:rPr>
                    <w:w w:val="99"/>
                  </w:rPr>
                  <w:instrText xml:space="preserve"> PAGE </w:instrText>
                </w:r>
                <w:r>
                  <w:fldChar w:fldCharType="separate"/>
                </w:r>
                <w:r>
                  <w:t>1</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E4F54" w14:textId="77777777" w:rsidR="00467FCA" w:rsidRDefault="00467FCA">
    <w:pPr>
      <w:pStyle w:val="Textoindependiente"/>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BDE35" w14:textId="77777777" w:rsidR="00467FCA" w:rsidRDefault="001B68EB">
    <w:pPr>
      <w:pStyle w:val="Textoindependiente"/>
      <w:spacing w:line="14" w:lineRule="auto"/>
    </w:pPr>
    <w:r>
      <w:pict w14:anchorId="03F73980">
        <v:shapetype id="_x0000_t202" coordsize="21600,21600" o:spt="202" path="m,l,21600r21600,l21600,xe">
          <v:stroke joinstyle="miter"/>
          <v:path gradientshapeok="t" o:connecttype="rect"/>
        </v:shapetype>
        <v:shape id="_x0000_s2050" type="#_x0000_t202" style="position:absolute;margin-left:297.35pt;margin-top:744.3pt;width:17.3pt;height:13.05pt;z-index:-258938880;mso-position-horizontal-relative:page;mso-position-vertical-relative:page" filled="f" stroked="f">
          <v:textbox inset="0,0,0,0">
            <w:txbxContent>
              <w:p w14:paraId="0991DFE7" w14:textId="77777777" w:rsidR="00467FCA" w:rsidRDefault="001B68E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BF7E8" w14:textId="77777777" w:rsidR="00467FCA" w:rsidRDefault="00467FCA">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8F055" w14:textId="77777777" w:rsidR="00467FCA" w:rsidRDefault="001B68EB">
    <w:pPr>
      <w:pStyle w:val="Textoindependiente"/>
      <w:spacing w:line="14" w:lineRule="auto"/>
    </w:pPr>
    <w:r>
      <w:pict w14:anchorId="3E6591BB">
        <v:shapetype id="_x0000_t202" coordsize="21600,21600" o:spt="202" path="m,l,21600r21600,l21600,xe">
          <v:stroke joinstyle="miter"/>
          <v:path gradientshapeok="t" o:connecttype="rect"/>
        </v:shapetype>
        <v:shape id="_x0000_s2049" type="#_x0000_t202" style="position:absolute;margin-left:289.1pt;margin-top:780.8pt;width:17.3pt;height:13.05pt;z-index:-258937856;mso-position-horizontal-relative:page;mso-position-vertical-relative:page" filled="f" stroked="f">
          <v:textbox inset="0,0,0,0">
            <w:txbxContent>
              <w:p w14:paraId="19520349" w14:textId="77777777" w:rsidR="00467FCA" w:rsidRDefault="001B68E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E649D" w14:textId="77777777" w:rsidR="00467FCA" w:rsidRDefault="001B68EB">
    <w:pPr>
      <w:pStyle w:val="Textoindependiente"/>
      <w:spacing w:line="14" w:lineRule="auto"/>
    </w:pPr>
    <w:r>
      <w:pict w14:anchorId="4DACDFEC">
        <v:line id="_x0000_s2055" style="position:absolute;z-index:-258944000;mso-position-horizontal-relative:page;mso-position-vertical-relative:page" from="1in,685.4pt" to="3in,685.4pt" strokeweight=".6pt">
          <w10:wrap anchorx="page" anchory="page"/>
        </v:line>
      </w:pict>
    </w:r>
    <w:r>
      <w:pict w14:anchorId="7C173A1F">
        <v:shapetype id="_x0000_t202" coordsize="21600,21600" o:spt="202" path="m,l,21600r21600,l21600,xe">
          <v:stroke joinstyle="miter"/>
          <v:path gradientshapeok="t" o:connecttype="rect"/>
        </v:shapetype>
        <v:shape id="_x0000_s2054" type="#_x0000_t202" style="position:absolute;margin-left:298.65pt;margin-top:729.15pt;width:14.7pt;height:14.15pt;z-index:-258942976;mso-position-horizontal-relative:page;mso-position-vertical-relative:page" filled="f" stroked="f">
          <v:textbox inset="0,0,0,0">
            <w:txbxContent>
              <w:p w14:paraId="4E9F5BD9" w14:textId="77777777" w:rsidR="00467FCA" w:rsidRDefault="001B68EB">
                <w:pPr>
                  <w:pStyle w:val="Textoindependiente"/>
                  <w:spacing w:before="19"/>
                  <w:ind w:left="20"/>
                </w:pPr>
                <w:r>
                  <w:t>67</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10AD" w14:textId="77777777" w:rsidR="00467FCA" w:rsidRDefault="001B68EB">
    <w:pPr>
      <w:pStyle w:val="Textoindependiente"/>
      <w:spacing w:line="14" w:lineRule="auto"/>
      <w:rPr>
        <w:sz w:val="16"/>
      </w:rPr>
    </w:pPr>
    <w:r>
      <w:pict w14:anchorId="221DABDA">
        <v:shapetype id="_x0000_t202" coordsize="21600,21600" o:spt="202" path="m,l,21600r21600,l21600,xe">
          <v:stroke joinstyle="miter"/>
          <v:path gradientshapeok="t" o:connecttype="rect"/>
        </v:shapetype>
        <v:shape id="_x0000_s2053" type="#_x0000_t202" style="position:absolute;margin-left:296.65pt;margin-top:729.15pt;width:18.7pt;height:14.15pt;z-index:-258941952;mso-position-horizontal-relative:page;mso-position-vertical-relative:page" filled="f" stroked="f">
          <v:textbox inset="0,0,0,0">
            <w:txbxContent>
              <w:p w14:paraId="7CD4D1CD" w14:textId="77777777" w:rsidR="00467FCA" w:rsidRDefault="001B68EB">
                <w:pPr>
                  <w:pStyle w:val="Textoindependiente"/>
                  <w:spacing w:before="19"/>
                  <w:ind w:left="60"/>
                </w:pPr>
                <w:r>
                  <w:fldChar w:fldCharType="begin"/>
                </w:r>
                <w:r>
                  <w:instrText xml:space="preserve"> PAGE </w:instrText>
                </w:r>
                <w:r>
                  <w:fldChar w:fldCharType="separate"/>
                </w:r>
                <w:r>
                  <w:t>98</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F70E" w14:textId="77777777" w:rsidR="00467FCA" w:rsidRDefault="00467FCA">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11F33" w14:textId="77777777" w:rsidR="00467FCA" w:rsidRDefault="00467FCA">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5FF7A" w14:textId="77777777" w:rsidR="00467FCA" w:rsidRDefault="00467FCA">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2D44C" w14:textId="77777777" w:rsidR="00467FCA" w:rsidRDefault="00467FCA">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CCB9D" w14:textId="77777777" w:rsidR="00467FCA" w:rsidRDefault="00467FCA">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D8905" w14:textId="77777777" w:rsidR="00467FCA" w:rsidRDefault="00467FCA">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1D365" w14:textId="77777777" w:rsidR="001B68EB" w:rsidRDefault="001B68EB">
      <w:r>
        <w:separator/>
      </w:r>
    </w:p>
  </w:footnote>
  <w:footnote w:type="continuationSeparator" w:id="0">
    <w:p w14:paraId="7E8B8D40" w14:textId="77777777" w:rsidR="001B68EB" w:rsidRDefault="001B6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74260"/>
    <w:multiLevelType w:val="hybridMultilevel"/>
    <w:tmpl w:val="3D0E8B96"/>
    <w:lvl w:ilvl="0" w:tplc="60BEEDEC">
      <w:start w:val="1"/>
      <w:numFmt w:val="upperRoman"/>
      <w:lvlText w:val="%1."/>
      <w:lvlJc w:val="left"/>
      <w:pPr>
        <w:ind w:left="1517" w:hanging="538"/>
        <w:jc w:val="right"/>
      </w:pPr>
      <w:rPr>
        <w:rFonts w:ascii="Verdana" w:eastAsia="Verdana" w:hAnsi="Verdana" w:cs="Verdana" w:hint="default"/>
        <w:b/>
        <w:bCs/>
        <w:spacing w:val="-1"/>
        <w:w w:val="99"/>
        <w:sz w:val="20"/>
        <w:szCs w:val="20"/>
      </w:rPr>
    </w:lvl>
    <w:lvl w:ilvl="1" w:tplc="329CE73A">
      <w:numFmt w:val="bullet"/>
      <w:lvlText w:val="•"/>
      <w:lvlJc w:val="left"/>
      <w:pPr>
        <w:ind w:left="1520" w:hanging="538"/>
      </w:pPr>
      <w:rPr>
        <w:rFonts w:hint="default"/>
      </w:rPr>
    </w:lvl>
    <w:lvl w:ilvl="2" w:tplc="5ABEA95C">
      <w:numFmt w:val="bullet"/>
      <w:lvlText w:val="•"/>
      <w:lvlJc w:val="left"/>
      <w:pPr>
        <w:ind w:left="2319" w:hanging="538"/>
      </w:pPr>
      <w:rPr>
        <w:rFonts w:hint="default"/>
      </w:rPr>
    </w:lvl>
    <w:lvl w:ilvl="3" w:tplc="C38C7516">
      <w:numFmt w:val="bullet"/>
      <w:lvlText w:val="•"/>
      <w:lvlJc w:val="left"/>
      <w:pPr>
        <w:ind w:left="3119" w:hanging="538"/>
      </w:pPr>
      <w:rPr>
        <w:rFonts w:hint="default"/>
      </w:rPr>
    </w:lvl>
    <w:lvl w:ilvl="4" w:tplc="4FF6E788">
      <w:numFmt w:val="bullet"/>
      <w:lvlText w:val="•"/>
      <w:lvlJc w:val="left"/>
      <w:pPr>
        <w:ind w:left="3919" w:hanging="538"/>
      </w:pPr>
      <w:rPr>
        <w:rFonts w:hint="default"/>
      </w:rPr>
    </w:lvl>
    <w:lvl w:ilvl="5" w:tplc="0318FD72">
      <w:numFmt w:val="bullet"/>
      <w:lvlText w:val="•"/>
      <w:lvlJc w:val="left"/>
      <w:pPr>
        <w:ind w:left="4719" w:hanging="538"/>
      </w:pPr>
      <w:rPr>
        <w:rFonts w:hint="default"/>
      </w:rPr>
    </w:lvl>
    <w:lvl w:ilvl="6" w:tplc="AB6CD334">
      <w:numFmt w:val="bullet"/>
      <w:lvlText w:val="•"/>
      <w:lvlJc w:val="left"/>
      <w:pPr>
        <w:ind w:left="5519" w:hanging="538"/>
      </w:pPr>
      <w:rPr>
        <w:rFonts w:hint="default"/>
      </w:rPr>
    </w:lvl>
    <w:lvl w:ilvl="7" w:tplc="1054B6EE">
      <w:numFmt w:val="bullet"/>
      <w:lvlText w:val="•"/>
      <w:lvlJc w:val="left"/>
      <w:pPr>
        <w:ind w:left="6319" w:hanging="538"/>
      </w:pPr>
      <w:rPr>
        <w:rFonts w:hint="default"/>
      </w:rPr>
    </w:lvl>
    <w:lvl w:ilvl="8" w:tplc="49A0DD44">
      <w:numFmt w:val="bullet"/>
      <w:lvlText w:val="•"/>
      <w:lvlJc w:val="left"/>
      <w:pPr>
        <w:ind w:left="7119" w:hanging="538"/>
      </w:pPr>
      <w:rPr>
        <w:rFonts w:hint="default"/>
      </w:rPr>
    </w:lvl>
  </w:abstractNum>
  <w:abstractNum w:abstractNumId="1" w15:restartNumberingAfterBreak="0">
    <w:nsid w:val="065F1D03"/>
    <w:multiLevelType w:val="hybridMultilevel"/>
    <w:tmpl w:val="5552B41A"/>
    <w:lvl w:ilvl="0" w:tplc="D16CC12C">
      <w:start w:val="1"/>
      <w:numFmt w:val="upperLetter"/>
      <w:lvlText w:val="%1"/>
      <w:lvlJc w:val="left"/>
      <w:pPr>
        <w:ind w:left="839" w:hanging="447"/>
        <w:jc w:val="left"/>
      </w:pPr>
      <w:rPr>
        <w:rFonts w:hint="default"/>
      </w:rPr>
    </w:lvl>
    <w:lvl w:ilvl="1" w:tplc="6308BD86">
      <w:start w:val="1"/>
      <w:numFmt w:val="decimal"/>
      <w:lvlText w:val="%1.%2"/>
      <w:lvlJc w:val="left"/>
      <w:pPr>
        <w:ind w:left="839" w:hanging="447"/>
        <w:jc w:val="left"/>
      </w:pPr>
      <w:rPr>
        <w:rFonts w:ascii="Verdana" w:eastAsia="Verdana" w:hAnsi="Verdana" w:cs="Verdana" w:hint="default"/>
        <w:b/>
        <w:bCs/>
        <w:i/>
        <w:spacing w:val="-2"/>
        <w:w w:val="99"/>
        <w:sz w:val="20"/>
        <w:szCs w:val="20"/>
      </w:rPr>
    </w:lvl>
    <w:lvl w:ilvl="2" w:tplc="3AFAECBE">
      <w:numFmt w:val="bullet"/>
      <w:lvlText w:val="•"/>
      <w:lvlJc w:val="left"/>
      <w:pPr>
        <w:ind w:left="2592" w:hanging="447"/>
      </w:pPr>
      <w:rPr>
        <w:rFonts w:hint="default"/>
      </w:rPr>
    </w:lvl>
    <w:lvl w:ilvl="3" w:tplc="B4E68404">
      <w:numFmt w:val="bullet"/>
      <w:lvlText w:val="•"/>
      <w:lvlJc w:val="left"/>
      <w:pPr>
        <w:ind w:left="3468" w:hanging="447"/>
      </w:pPr>
      <w:rPr>
        <w:rFonts w:hint="default"/>
      </w:rPr>
    </w:lvl>
    <w:lvl w:ilvl="4" w:tplc="F0F8011A">
      <w:numFmt w:val="bullet"/>
      <w:lvlText w:val="•"/>
      <w:lvlJc w:val="left"/>
      <w:pPr>
        <w:ind w:left="4344" w:hanging="447"/>
      </w:pPr>
      <w:rPr>
        <w:rFonts w:hint="default"/>
      </w:rPr>
    </w:lvl>
    <w:lvl w:ilvl="5" w:tplc="9DEABE70">
      <w:numFmt w:val="bullet"/>
      <w:lvlText w:val="•"/>
      <w:lvlJc w:val="left"/>
      <w:pPr>
        <w:ind w:left="5220" w:hanging="447"/>
      </w:pPr>
      <w:rPr>
        <w:rFonts w:hint="default"/>
      </w:rPr>
    </w:lvl>
    <w:lvl w:ilvl="6" w:tplc="4D504A7E">
      <w:numFmt w:val="bullet"/>
      <w:lvlText w:val="•"/>
      <w:lvlJc w:val="left"/>
      <w:pPr>
        <w:ind w:left="6096" w:hanging="447"/>
      </w:pPr>
      <w:rPr>
        <w:rFonts w:hint="default"/>
      </w:rPr>
    </w:lvl>
    <w:lvl w:ilvl="7" w:tplc="17E0525C">
      <w:numFmt w:val="bullet"/>
      <w:lvlText w:val="•"/>
      <w:lvlJc w:val="left"/>
      <w:pPr>
        <w:ind w:left="6972" w:hanging="447"/>
      </w:pPr>
      <w:rPr>
        <w:rFonts w:hint="default"/>
      </w:rPr>
    </w:lvl>
    <w:lvl w:ilvl="8" w:tplc="E3803410">
      <w:numFmt w:val="bullet"/>
      <w:lvlText w:val="•"/>
      <w:lvlJc w:val="left"/>
      <w:pPr>
        <w:ind w:left="7848" w:hanging="447"/>
      </w:pPr>
      <w:rPr>
        <w:rFonts w:hint="default"/>
      </w:rPr>
    </w:lvl>
  </w:abstractNum>
  <w:abstractNum w:abstractNumId="2" w15:restartNumberingAfterBreak="0">
    <w:nsid w:val="0FC11CA3"/>
    <w:multiLevelType w:val="hybridMultilevel"/>
    <w:tmpl w:val="C462842C"/>
    <w:lvl w:ilvl="0" w:tplc="13DAE7B0">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086A3B8C">
      <w:numFmt w:val="bullet"/>
      <w:lvlText w:val="•"/>
      <w:lvlJc w:val="left"/>
      <w:pPr>
        <w:ind w:left="1500" w:hanging="480"/>
      </w:pPr>
      <w:rPr>
        <w:rFonts w:hint="default"/>
      </w:rPr>
    </w:lvl>
    <w:lvl w:ilvl="2" w:tplc="F580EE24">
      <w:numFmt w:val="bullet"/>
      <w:lvlText w:val="•"/>
      <w:lvlJc w:val="left"/>
      <w:pPr>
        <w:ind w:left="2400" w:hanging="480"/>
      </w:pPr>
      <w:rPr>
        <w:rFonts w:hint="default"/>
      </w:rPr>
    </w:lvl>
    <w:lvl w:ilvl="3" w:tplc="70946058">
      <w:numFmt w:val="bullet"/>
      <w:lvlText w:val="•"/>
      <w:lvlJc w:val="left"/>
      <w:pPr>
        <w:ind w:left="3300" w:hanging="480"/>
      </w:pPr>
      <w:rPr>
        <w:rFonts w:hint="default"/>
      </w:rPr>
    </w:lvl>
    <w:lvl w:ilvl="4" w:tplc="93DA891C">
      <w:numFmt w:val="bullet"/>
      <w:lvlText w:val="•"/>
      <w:lvlJc w:val="left"/>
      <w:pPr>
        <w:ind w:left="4200" w:hanging="480"/>
      </w:pPr>
      <w:rPr>
        <w:rFonts w:hint="default"/>
      </w:rPr>
    </w:lvl>
    <w:lvl w:ilvl="5" w:tplc="A1E8F492">
      <w:numFmt w:val="bullet"/>
      <w:lvlText w:val="•"/>
      <w:lvlJc w:val="left"/>
      <w:pPr>
        <w:ind w:left="5100" w:hanging="480"/>
      </w:pPr>
      <w:rPr>
        <w:rFonts w:hint="default"/>
      </w:rPr>
    </w:lvl>
    <w:lvl w:ilvl="6" w:tplc="3118DDD4">
      <w:numFmt w:val="bullet"/>
      <w:lvlText w:val="•"/>
      <w:lvlJc w:val="left"/>
      <w:pPr>
        <w:ind w:left="6000" w:hanging="480"/>
      </w:pPr>
      <w:rPr>
        <w:rFonts w:hint="default"/>
      </w:rPr>
    </w:lvl>
    <w:lvl w:ilvl="7" w:tplc="8B20D3A6">
      <w:numFmt w:val="bullet"/>
      <w:lvlText w:val="•"/>
      <w:lvlJc w:val="left"/>
      <w:pPr>
        <w:ind w:left="6900" w:hanging="480"/>
      </w:pPr>
      <w:rPr>
        <w:rFonts w:hint="default"/>
      </w:rPr>
    </w:lvl>
    <w:lvl w:ilvl="8" w:tplc="479EC4B2">
      <w:numFmt w:val="bullet"/>
      <w:lvlText w:val="•"/>
      <w:lvlJc w:val="left"/>
      <w:pPr>
        <w:ind w:left="7800" w:hanging="480"/>
      </w:pPr>
      <w:rPr>
        <w:rFonts w:hint="default"/>
      </w:rPr>
    </w:lvl>
  </w:abstractNum>
  <w:abstractNum w:abstractNumId="3" w15:restartNumberingAfterBreak="0">
    <w:nsid w:val="10BF131E"/>
    <w:multiLevelType w:val="hybridMultilevel"/>
    <w:tmpl w:val="1DC8C704"/>
    <w:lvl w:ilvl="0" w:tplc="9C608DBE">
      <w:start w:val="1"/>
      <w:numFmt w:val="lowerLetter"/>
      <w:lvlText w:val="%1)"/>
      <w:lvlJc w:val="left"/>
      <w:pPr>
        <w:ind w:left="1012" w:hanging="272"/>
        <w:jc w:val="left"/>
      </w:pPr>
      <w:rPr>
        <w:rFonts w:ascii="Verdana" w:eastAsia="Verdana" w:hAnsi="Verdana" w:cs="Verdana" w:hint="default"/>
        <w:w w:val="99"/>
        <w:sz w:val="20"/>
        <w:szCs w:val="20"/>
      </w:rPr>
    </w:lvl>
    <w:lvl w:ilvl="1" w:tplc="50961E00">
      <w:numFmt w:val="bullet"/>
      <w:lvlText w:val="•"/>
      <w:lvlJc w:val="left"/>
      <w:pPr>
        <w:ind w:left="1932" w:hanging="272"/>
      </w:pPr>
      <w:rPr>
        <w:rFonts w:hint="default"/>
      </w:rPr>
    </w:lvl>
    <w:lvl w:ilvl="2" w:tplc="2D9C3084">
      <w:numFmt w:val="bullet"/>
      <w:lvlText w:val="•"/>
      <w:lvlJc w:val="left"/>
      <w:pPr>
        <w:ind w:left="2844" w:hanging="272"/>
      </w:pPr>
      <w:rPr>
        <w:rFonts w:hint="default"/>
      </w:rPr>
    </w:lvl>
    <w:lvl w:ilvl="3" w:tplc="B700FFA0">
      <w:numFmt w:val="bullet"/>
      <w:lvlText w:val="•"/>
      <w:lvlJc w:val="left"/>
      <w:pPr>
        <w:ind w:left="3756" w:hanging="272"/>
      </w:pPr>
      <w:rPr>
        <w:rFonts w:hint="default"/>
      </w:rPr>
    </w:lvl>
    <w:lvl w:ilvl="4" w:tplc="57CC9ECA">
      <w:numFmt w:val="bullet"/>
      <w:lvlText w:val="•"/>
      <w:lvlJc w:val="left"/>
      <w:pPr>
        <w:ind w:left="4668" w:hanging="272"/>
      </w:pPr>
      <w:rPr>
        <w:rFonts w:hint="default"/>
      </w:rPr>
    </w:lvl>
    <w:lvl w:ilvl="5" w:tplc="36829CCC">
      <w:numFmt w:val="bullet"/>
      <w:lvlText w:val="•"/>
      <w:lvlJc w:val="left"/>
      <w:pPr>
        <w:ind w:left="5580" w:hanging="272"/>
      </w:pPr>
      <w:rPr>
        <w:rFonts w:hint="default"/>
      </w:rPr>
    </w:lvl>
    <w:lvl w:ilvl="6" w:tplc="D3305BC4">
      <w:numFmt w:val="bullet"/>
      <w:lvlText w:val="•"/>
      <w:lvlJc w:val="left"/>
      <w:pPr>
        <w:ind w:left="6492" w:hanging="272"/>
      </w:pPr>
      <w:rPr>
        <w:rFonts w:hint="default"/>
      </w:rPr>
    </w:lvl>
    <w:lvl w:ilvl="7" w:tplc="F6CEE952">
      <w:numFmt w:val="bullet"/>
      <w:lvlText w:val="•"/>
      <w:lvlJc w:val="left"/>
      <w:pPr>
        <w:ind w:left="7404" w:hanging="272"/>
      </w:pPr>
      <w:rPr>
        <w:rFonts w:hint="default"/>
      </w:rPr>
    </w:lvl>
    <w:lvl w:ilvl="8" w:tplc="89B45B28">
      <w:numFmt w:val="bullet"/>
      <w:lvlText w:val="•"/>
      <w:lvlJc w:val="left"/>
      <w:pPr>
        <w:ind w:left="8316" w:hanging="272"/>
      </w:pPr>
      <w:rPr>
        <w:rFonts w:hint="default"/>
      </w:rPr>
    </w:lvl>
  </w:abstractNum>
  <w:abstractNum w:abstractNumId="4" w15:restartNumberingAfterBreak="0">
    <w:nsid w:val="112F6F0B"/>
    <w:multiLevelType w:val="hybridMultilevel"/>
    <w:tmpl w:val="9AEE2642"/>
    <w:lvl w:ilvl="0" w:tplc="1DC6835A">
      <w:start w:val="1"/>
      <w:numFmt w:val="lowerLetter"/>
      <w:lvlText w:val="%1)"/>
      <w:lvlJc w:val="left"/>
      <w:pPr>
        <w:ind w:left="753" w:hanging="226"/>
        <w:jc w:val="left"/>
      </w:pPr>
      <w:rPr>
        <w:rFonts w:ascii="Verdana" w:eastAsia="Verdana" w:hAnsi="Verdana" w:cs="Verdana" w:hint="default"/>
        <w:i/>
        <w:spacing w:val="-1"/>
        <w:w w:val="100"/>
        <w:sz w:val="16"/>
        <w:szCs w:val="16"/>
      </w:rPr>
    </w:lvl>
    <w:lvl w:ilvl="1" w:tplc="B71A0074">
      <w:numFmt w:val="bullet"/>
      <w:lvlText w:val="•"/>
      <w:lvlJc w:val="left"/>
      <w:pPr>
        <w:ind w:left="1698" w:hanging="226"/>
      </w:pPr>
      <w:rPr>
        <w:rFonts w:hint="default"/>
      </w:rPr>
    </w:lvl>
    <w:lvl w:ilvl="2" w:tplc="CE50938C">
      <w:numFmt w:val="bullet"/>
      <w:lvlText w:val="•"/>
      <w:lvlJc w:val="left"/>
      <w:pPr>
        <w:ind w:left="2636" w:hanging="226"/>
      </w:pPr>
      <w:rPr>
        <w:rFonts w:hint="default"/>
      </w:rPr>
    </w:lvl>
    <w:lvl w:ilvl="3" w:tplc="0BE6C04A">
      <w:numFmt w:val="bullet"/>
      <w:lvlText w:val="•"/>
      <w:lvlJc w:val="left"/>
      <w:pPr>
        <w:ind w:left="3574" w:hanging="226"/>
      </w:pPr>
      <w:rPr>
        <w:rFonts w:hint="default"/>
      </w:rPr>
    </w:lvl>
    <w:lvl w:ilvl="4" w:tplc="487E5A90">
      <w:numFmt w:val="bullet"/>
      <w:lvlText w:val="•"/>
      <w:lvlJc w:val="left"/>
      <w:pPr>
        <w:ind w:left="4512" w:hanging="226"/>
      </w:pPr>
      <w:rPr>
        <w:rFonts w:hint="default"/>
      </w:rPr>
    </w:lvl>
    <w:lvl w:ilvl="5" w:tplc="DADA98A8">
      <w:numFmt w:val="bullet"/>
      <w:lvlText w:val="•"/>
      <w:lvlJc w:val="left"/>
      <w:pPr>
        <w:ind w:left="5450" w:hanging="226"/>
      </w:pPr>
      <w:rPr>
        <w:rFonts w:hint="default"/>
      </w:rPr>
    </w:lvl>
    <w:lvl w:ilvl="6" w:tplc="CD7CC9A8">
      <w:numFmt w:val="bullet"/>
      <w:lvlText w:val="•"/>
      <w:lvlJc w:val="left"/>
      <w:pPr>
        <w:ind w:left="6388" w:hanging="226"/>
      </w:pPr>
      <w:rPr>
        <w:rFonts w:hint="default"/>
      </w:rPr>
    </w:lvl>
    <w:lvl w:ilvl="7" w:tplc="BA3061B8">
      <w:numFmt w:val="bullet"/>
      <w:lvlText w:val="•"/>
      <w:lvlJc w:val="left"/>
      <w:pPr>
        <w:ind w:left="7326" w:hanging="226"/>
      </w:pPr>
      <w:rPr>
        <w:rFonts w:hint="default"/>
      </w:rPr>
    </w:lvl>
    <w:lvl w:ilvl="8" w:tplc="23E697C8">
      <w:numFmt w:val="bullet"/>
      <w:lvlText w:val="•"/>
      <w:lvlJc w:val="left"/>
      <w:pPr>
        <w:ind w:left="8264" w:hanging="226"/>
      </w:pPr>
      <w:rPr>
        <w:rFonts w:hint="default"/>
      </w:rPr>
    </w:lvl>
  </w:abstractNum>
  <w:abstractNum w:abstractNumId="5" w15:restartNumberingAfterBreak="0">
    <w:nsid w:val="125920E1"/>
    <w:multiLevelType w:val="hybridMultilevel"/>
    <w:tmpl w:val="205EFC74"/>
    <w:lvl w:ilvl="0" w:tplc="97F87832">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A822A13A">
      <w:start w:val="1"/>
      <w:numFmt w:val="decimal"/>
      <w:lvlText w:val="%1.%2."/>
      <w:lvlJc w:val="left"/>
      <w:pPr>
        <w:ind w:left="870" w:hanging="509"/>
        <w:jc w:val="left"/>
      </w:pPr>
      <w:rPr>
        <w:rFonts w:ascii="Verdana" w:eastAsia="Verdana" w:hAnsi="Verdana" w:cs="Verdana" w:hint="default"/>
        <w:spacing w:val="-3"/>
        <w:w w:val="100"/>
        <w:sz w:val="18"/>
        <w:szCs w:val="18"/>
      </w:rPr>
    </w:lvl>
    <w:lvl w:ilvl="2" w:tplc="DD22EEF2">
      <w:numFmt w:val="bullet"/>
      <w:lvlText w:val="•"/>
      <w:lvlJc w:val="left"/>
      <w:pPr>
        <w:ind w:left="900" w:hanging="509"/>
      </w:pPr>
      <w:rPr>
        <w:rFonts w:hint="default"/>
      </w:rPr>
    </w:lvl>
    <w:lvl w:ilvl="3" w:tplc="5E08EC58">
      <w:numFmt w:val="bullet"/>
      <w:lvlText w:val="•"/>
      <w:lvlJc w:val="left"/>
      <w:pPr>
        <w:ind w:left="1987" w:hanging="509"/>
      </w:pPr>
      <w:rPr>
        <w:rFonts w:hint="default"/>
      </w:rPr>
    </w:lvl>
    <w:lvl w:ilvl="4" w:tplc="726C0FB8">
      <w:numFmt w:val="bullet"/>
      <w:lvlText w:val="•"/>
      <w:lvlJc w:val="left"/>
      <w:pPr>
        <w:ind w:left="3075" w:hanging="509"/>
      </w:pPr>
      <w:rPr>
        <w:rFonts w:hint="default"/>
      </w:rPr>
    </w:lvl>
    <w:lvl w:ilvl="5" w:tplc="5CCC7CD0">
      <w:numFmt w:val="bullet"/>
      <w:lvlText w:val="•"/>
      <w:lvlJc w:val="left"/>
      <w:pPr>
        <w:ind w:left="4162" w:hanging="509"/>
      </w:pPr>
      <w:rPr>
        <w:rFonts w:hint="default"/>
      </w:rPr>
    </w:lvl>
    <w:lvl w:ilvl="6" w:tplc="AA982468">
      <w:numFmt w:val="bullet"/>
      <w:lvlText w:val="•"/>
      <w:lvlJc w:val="left"/>
      <w:pPr>
        <w:ind w:left="5250" w:hanging="509"/>
      </w:pPr>
      <w:rPr>
        <w:rFonts w:hint="default"/>
      </w:rPr>
    </w:lvl>
    <w:lvl w:ilvl="7" w:tplc="13C6DF70">
      <w:numFmt w:val="bullet"/>
      <w:lvlText w:val="•"/>
      <w:lvlJc w:val="left"/>
      <w:pPr>
        <w:ind w:left="6337" w:hanging="509"/>
      </w:pPr>
      <w:rPr>
        <w:rFonts w:hint="default"/>
      </w:rPr>
    </w:lvl>
    <w:lvl w:ilvl="8" w:tplc="5BC4D8CA">
      <w:numFmt w:val="bullet"/>
      <w:lvlText w:val="•"/>
      <w:lvlJc w:val="left"/>
      <w:pPr>
        <w:ind w:left="7425" w:hanging="509"/>
      </w:pPr>
      <w:rPr>
        <w:rFonts w:hint="default"/>
      </w:rPr>
    </w:lvl>
  </w:abstractNum>
  <w:abstractNum w:abstractNumId="6" w15:restartNumberingAfterBreak="0">
    <w:nsid w:val="13CA5AA7"/>
    <w:multiLevelType w:val="hybridMultilevel"/>
    <w:tmpl w:val="141A878C"/>
    <w:lvl w:ilvl="0" w:tplc="73202A9A">
      <w:start w:val="1"/>
      <w:numFmt w:val="upperLetter"/>
      <w:lvlText w:val="%1."/>
      <w:lvlJc w:val="left"/>
      <w:pPr>
        <w:ind w:left="808" w:hanging="339"/>
        <w:jc w:val="right"/>
      </w:pPr>
      <w:rPr>
        <w:rFonts w:ascii="Verdana" w:eastAsia="Verdana" w:hAnsi="Verdana" w:cs="Verdana" w:hint="default"/>
        <w:b/>
        <w:bCs/>
        <w:spacing w:val="-2"/>
        <w:w w:val="99"/>
        <w:sz w:val="20"/>
        <w:szCs w:val="20"/>
      </w:rPr>
    </w:lvl>
    <w:lvl w:ilvl="1" w:tplc="C81EE2A4">
      <w:numFmt w:val="bullet"/>
      <w:lvlText w:val="•"/>
      <w:lvlJc w:val="left"/>
      <w:pPr>
        <w:ind w:left="1734" w:hanging="339"/>
      </w:pPr>
      <w:rPr>
        <w:rFonts w:hint="default"/>
      </w:rPr>
    </w:lvl>
    <w:lvl w:ilvl="2" w:tplc="6E08B548">
      <w:numFmt w:val="bullet"/>
      <w:lvlText w:val="•"/>
      <w:lvlJc w:val="left"/>
      <w:pPr>
        <w:ind w:left="2668" w:hanging="339"/>
      </w:pPr>
      <w:rPr>
        <w:rFonts w:hint="default"/>
      </w:rPr>
    </w:lvl>
    <w:lvl w:ilvl="3" w:tplc="1938D354">
      <w:numFmt w:val="bullet"/>
      <w:lvlText w:val="•"/>
      <w:lvlJc w:val="left"/>
      <w:pPr>
        <w:ind w:left="3602" w:hanging="339"/>
      </w:pPr>
      <w:rPr>
        <w:rFonts w:hint="default"/>
      </w:rPr>
    </w:lvl>
    <w:lvl w:ilvl="4" w:tplc="E2CC4AF2">
      <w:numFmt w:val="bullet"/>
      <w:lvlText w:val="•"/>
      <w:lvlJc w:val="left"/>
      <w:pPr>
        <w:ind w:left="4536" w:hanging="339"/>
      </w:pPr>
      <w:rPr>
        <w:rFonts w:hint="default"/>
      </w:rPr>
    </w:lvl>
    <w:lvl w:ilvl="5" w:tplc="A826262A">
      <w:numFmt w:val="bullet"/>
      <w:lvlText w:val="•"/>
      <w:lvlJc w:val="left"/>
      <w:pPr>
        <w:ind w:left="5470" w:hanging="339"/>
      </w:pPr>
      <w:rPr>
        <w:rFonts w:hint="default"/>
      </w:rPr>
    </w:lvl>
    <w:lvl w:ilvl="6" w:tplc="7AEC4374">
      <w:numFmt w:val="bullet"/>
      <w:lvlText w:val="•"/>
      <w:lvlJc w:val="left"/>
      <w:pPr>
        <w:ind w:left="6404" w:hanging="339"/>
      </w:pPr>
      <w:rPr>
        <w:rFonts w:hint="default"/>
      </w:rPr>
    </w:lvl>
    <w:lvl w:ilvl="7" w:tplc="442A59D8">
      <w:numFmt w:val="bullet"/>
      <w:lvlText w:val="•"/>
      <w:lvlJc w:val="left"/>
      <w:pPr>
        <w:ind w:left="7338" w:hanging="339"/>
      </w:pPr>
      <w:rPr>
        <w:rFonts w:hint="default"/>
      </w:rPr>
    </w:lvl>
    <w:lvl w:ilvl="8" w:tplc="2108B9C8">
      <w:numFmt w:val="bullet"/>
      <w:lvlText w:val="•"/>
      <w:lvlJc w:val="left"/>
      <w:pPr>
        <w:ind w:left="8272" w:hanging="339"/>
      </w:pPr>
      <w:rPr>
        <w:rFonts w:hint="default"/>
      </w:rPr>
    </w:lvl>
  </w:abstractNum>
  <w:abstractNum w:abstractNumId="7" w15:restartNumberingAfterBreak="0">
    <w:nsid w:val="142465E4"/>
    <w:multiLevelType w:val="hybridMultilevel"/>
    <w:tmpl w:val="2AE05328"/>
    <w:lvl w:ilvl="0" w:tplc="8B1E7B8E">
      <w:start w:val="30"/>
      <w:numFmt w:val="decimal"/>
      <w:lvlText w:val="%1."/>
      <w:lvlJc w:val="left"/>
      <w:pPr>
        <w:ind w:left="458" w:hanging="708"/>
        <w:jc w:val="left"/>
      </w:pPr>
      <w:rPr>
        <w:rFonts w:ascii="Verdana" w:eastAsia="Verdana" w:hAnsi="Verdana" w:cs="Verdana" w:hint="default"/>
        <w:w w:val="99"/>
        <w:sz w:val="20"/>
        <w:szCs w:val="20"/>
      </w:rPr>
    </w:lvl>
    <w:lvl w:ilvl="1" w:tplc="8EC6C5E8">
      <w:start w:val="175"/>
      <w:numFmt w:val="decimal"/>
      <w:lvlText w:val="%2."/>
      <w:lvlJc w:val="left"/>
      <w:pPr>
        <w:ind w:left="1310" w:hanging="567"/>
        <w:jc w:val="left"/>
      </w:pPr>
      <w:rPr>
        <w:rFonts w:ascii="Verdana" w:eastAsia="Verdana" w:hAnsi="Verdana" w:cs="Verdana" w:hint="default"/>
        <w:spacing w:val="-2"/>
        <w:w w:val="100"/>
        <w:sz w:val="16"/>
        <w:szCs w:val="16"/>
      </w:rPr>
    </w:lvl>
    <w:lvl w:ilvl="2" w:tplc="0742E6A8">
      <w:numFmt w:val="bullet"/>
      <w:lvlText w:val="•"/>
      <w:lvlJc w:val="left"/>
      <w:pPr>
        <w:ind w:left="2300" w:hanging="567"/>
      </w:pPr>
      <w:rPr>
        <w:rFonts w:hint="default"/>
      </w:rPr>
    </w:lvl>
    <w:lvl w:ilvl="3" w:tplc="47E237F0">
      <w:numFmt w:val="bullet"/>
      <w:lvlText w:val="•"/>
      <w:lvlJc w:val="left"/>
      <w:pPr>
        <w:ind w:left="3280" w:hanging="567"/>
      </w:pPr>
      <w:rPr>
        <w:rFonts w:hint="default"/>
      </w:rPr>
    </w:lvl>
    <w:lvl w:ilvl="4" w:tplc="3E906420">
      <w:numFmt w:val="bullet"/>
      <w:lvlText w:val="•"/>
      <w:lvlJc w:val="left"/>
      <w:pPr>
        <w:ind w:left="4260" w:hanging="567"/>
      </w:pPr>
      <w:rPr>
        <w:rFonts w:hint="default"/>
      </w:rPr>
    </w:lvl>
    <w:lvl w:ilvl="5" w:tplc="A10A7E1A">
      <w:numFmt w:val="bullet"/>
      <w:lvlText w:val="•"/>
      <w:lvlJc w:val="left"/>
      <w:pPr>
        <w:ind w:left="5240" w:hanging="567"/>
      </w:pPr>
      <w:rPr>
        <w:rFonts w:hint="default"/>
      </w:rPr>
    </w:lvl>
    <w:lvl w:ilvl="6" w:tplc="171008BA">
      <w:numFmt w:val="bullet"/>
      <w:lvlText w:val="•"/>
      <w:lvlJc w:val="left"/>
      <w:pPr>
        <w:ind w:left="6220" w:hanging="567"/>
      </w:pPr>
      <w:rPr>
        <w:rFonts w:hint="default"/>
      </w:rPr>
    </w:lvl>
    <w:lvl w:ilvl="7" w:tplc="12546080">
      <w:numFmt w:val="bullet"/>
      <w:lvlText w:val="•"/>
      <w:lvlJc w:val="left"/>
      <w:pPr>
        <w:ind w:left="7200" w:hanging="567"/>
      </w:pPr>
      <w:rPr>
        <w:rFonts w:hint="default"/>
      </w:rPr>
    </w:lvl>
    <w:lvl w:ilvl="8" w:tplc="7CE6037C">
      <w:numFmt w:val="bullet"/>
      <w:lvlText w:val="•"/>
      <w:lvlJc w:val="left"/>
      <w:pPr>
        <w:ind w:left="8180" w:hanging="567"/>
      </w:pPr>
      <w:rPr>
        <w:rFonts w:hint="default"/>
      </w:rPr>
    </w:lvl>
  </w:abstractNum>
  <w:abstractNum w:abstractNumId="8" w15:restartNumberingAfterBreak="0">
    <w:nsid w:val="148278C7"/>
    <w:multiLevelType w:val="hybridMultilevel"/>
    <w:tmpl w:val="9B20AA44"/>
    <w:lvl w:ilvl="0" w:tplc="6DA81D40">
      <w:start w:val="2"/>
      <w:numFmt w:val="upperLetter"/>
      <w:lvlText w:val="%1."/>
      <w:lvlJc w:val="left"/>
      <w:pPr>
        <w:ind w:left="840" w:hanging="361"/>
        <w:jc w:val="left"/>
      </w:pPr>
      <w:rPr>
        <w:rFonts w:ascii="Verdana" w:eastAsia="Verdana" w:hAnsi="Verdana" w:cs="Verdana" w:hint="default"/>
        <w:b/>
        <w:bCs/>
        <w:spacing w:val="-1"/>
        <w:w w:val="99"/>
        <w:sz w:val="20"/>
        <w:szCs w:val="20"/>
      </w:rPr>
    </w:lvl>
    <w:lvl w:ilvl="1" w:tplc="6D109D12">
      <w:start w:val="1"/>
      <w:numFmt w:val="decimal"/>
      <w:lvlText w:val="%1.%2"/>
      <w:lvlJc w:val="left"/>
      <w:pPr>
        <w:ind w:left="1423" w:hanging="584"/>
        <w:jc w:val="left"/>
      </w:pPr>
      <w:rPr>
        <w:rFonts w:ascii="Verdana" w:eastAsia="Verdana" w:hAnsi="Verdana" w:cs="Verdana" w:hint="default"/>
        <w:b/>
        <w:bCs/>
        <w:i/>
        <w:spacing w:val="-1"/>
        <w:w w:val="99"/>
        <w:sz w:val="20"/>
        <w:szCs w:val="20"/>
      </w:rPr>
    </w:lvl>
    <w:lvl w:ilvl="2" w:tplc="4BE2A89A">
      <w:numFmt w:val="bullet"/>
      <w:lvlText w:val="•"/>
      <w:lvlJc w:val="left"/>
      <w:pPr>
        <w:ind w:left="1560" w:hanging="584"/>
      </w:pPr>
      <w:rPr>
        <w:rFonts w:hint="default"/>
      </w:rPr>
    </w:lvl>
    <w:lvl w:ilvl="3" w:tplc="92DA6238">
      <w:numFmt w:val="bullet"/>
      <w:lvlText w:val="•"/>
      <w:lvlJc w:val="left"/>
      <w:pPr>
        <w:ind w:left="2565" w:hanging="584"/>
      </w:pPr>
      <w:rPr>
        <w:rFonts w:hint="default"/>
      </w:rPr>
    </w:lvl>
    <w:lvl w:ilvl="4" w:tplc="68B8F772">
      <w:numFmt w:val="bullet"/>
      <w:lvlText w:val="•"/>
      <w:lvlJc w:val="left"/>
      <w:pPr>
        <w:ind w:left="3570" w:hanging="584"/>
      </w:pPr>
      <w:rPr>
        <w:rFonts w:hint="default"/>
      </w:rPr>
    </w:lvl>
    <w:lvl w:ilvl="5" w:tplc="6A0A8978">
      <w:numFmt w:val="bullet"/>
      <w:lvlText w:val="•"/>
      <w:lvlJc w:val="left"/>
      <w:pPr>
        <w:ind w:left="4575" w:hanging="584"/>
      </w:pPr>
      <w:rPr>
        <w:rFonts w:hint="default"/>
      </w:rPr>
    </w:lvl>
    <w:lvl w:ilvl="6" w:tplc="2C005C58">
      <w:numFmt w:val="bullet"/>
      <w:lvlText w:val="•"/>
      <w:lvlJc w:val="left"/>
      <w:pPr>
        <w:ind w:left="5580" w:hanging="584"/>
      </w:pPr>
      <w:rPr>
        <w:rFonts w:hint="default"/>
      </w:rPr>
    </w:lvl>
    <w:lvl w:ilvl="7" w:tplc="37729CDE">
      <w:numFmt w:val="bullet"/>
      <w:lvlText w:val="•"/>
      <w:lvlJc w:val="left"/>
      <w:pPr>
        <w:ind w:left="6585" w:hanging="584"/>
      </w:pPr>
      <w:rPr>
        <w:rFonts w:hint="default"/>
      </w:rPr>
    </w:lvl>
    <w:lvl w:ilvl="8" w:tplc="75C48266">
      <w:numFmt w:val="bullet"/>
      <w:lvlText w:val="•"/>
      <w:lvlJc w:val="left"/>
      <w:pPr>
        <w:ind w:left="7590" w:hanging="584"/>
      </w:pPr>
      <w:rPr>
        <w:rFonts w:hint="default"/>
      </w:rPr>
    </w:lvl>
  </w:abstractNum>
  <w:abstractNum w:abstractNumId="9" w15:restartNumberingAfterBreak="0">
    <w:nsid w:val="174C7A48"/>
    <w:multiLevelType w:val="hybridMultilevel"/>
    <w:tmpl w:val="C62C0706"/>
    <w:lvl w:ilvl="0" w:tplc="ACCCB6A4">
      <w:start w:val="2"/>
      <w:numFmt w:val="upperLetter"/>
      <w:lvlText w:val="%1"/>
      <w:lvlJc w:val="left"/>
      <w:pPr>
        <w:ind w:left="1274" w:hanging="435"/>
        <w:jc w:val="left"/>
      </w:pPr>
      <w:rPr>
        <w:rFonts w:hint="default"/>
      </w:rPr>
    </w:lvl>
    <w:lvl w:ilvl="1" w:tplc="29BA455E">
      <w:start w:val="1"/>
      <w:numFmt w:val="decimal"/>
      <w:lvlText w:val="%1.%2"/>
      <w:lvlJc w:val="left"/>
      <w:pPr>
        <w:ind w:left="1274" w:hanging="435"/>
        <w:jc w:val="left"/>
      </w:pPr>
      <w:rPr>
        <w:rFonts w:ascii="Verdana" w:eastAsia="Verdana" w:hAnsi="Verdana" w:cs="Verdana" w:hint="default"/>
        <w:b/>
        <w:bCs/>
        <w:i/>
        <w:spacing w:val="-1"/>
        <w:w w:val="99"/>
        <w:sz w:val="20"/>
        <w:szCs w:val="20"/>
      </w:rPr>
    </w:lvl>
    <w:lvl w:ilvl="2" w:tplc="8314077C">
      <w:numFmt w:val="bullet"/>
      <w:lvlText w:val="•"/>
      <w:lvlJc w:val="left"/>
      <w:pPr>
        <w:ind w:left="2944" w:hanging="435"/>
      </w:pPr>
      <w:rPr>
        <w:rFonts w:hint="default"/>
      </w:rPr>
    </w:lvl>
    <w:lvl w:ilvl="3" w:tplc="9A509626">
      <w:numFmt w:val="bullet"/>
      <w:lvlText w:val="•"/>
      <w:lvlJc w:val="left"/>
      <w:pPr>
        <w:ind w:left="3776" w:hanging="435"/>
      </w:pPr>
      <w:rPr>
        <w:rFonts w:hint="default"/>
      </w:rPr>
    </w:lvl>
    <w:lvl w:ilvl="4" w:tplc="D04EF318">
      <w:numFmt w:val="bullet"/>
      <w:lvlText w:val="•"/>
      <w:lvlJc w:val="left"/>
      <w:pPr>
        <w:ind w:left="4608" w:hanging="435"/>
      </w:pPr>
      <w:rPr>
        <w:rFonts w:hint="default"/>
      </w:rPr>
    </w:lvl>
    <w:lvl w:ilvl="5" w:tplc="A40011B0">
      <w:numFmt w:val="bullet"/>
      <w:lvlText w:val="•"/>
      <w:lvlJc w:val="left"/>
      <w:pPr>
        <w:ind w:left="5440" w:hanging="435"/>
      </w:pPr>
      <w:rPr>
        <w:rFonts w:hint="default"/>
      </w:rPr>
    </w:lvl>
    <w:lvl w:ilvl="6" w:tplc="FBC07AC8">
      <w:numFmt w:val="bullet"/>
      <w:lvlText w:val="•"/>
      <w:lvlJc w:val="left"/>
      <w:pPr>
        <w:ind w:left="6272" w:hanging="435"/>
      </w:pPr>
      <w:rPr>
        <w:rFonts w:hint="default"/>
      </w:rPr>
    </w:lvl>
    <w:lvl w:ilvl="7" w:tplc="EF3431A0">
      <w:numFmt w:val="bullet"/>
      <w:lvlText w:val="•"/>
      <w:lvlJc w:val="left"/>
      <w:pPr>
        <w:ind w:left="7104" w:hanging="435"/>
      </w:pPr>
      <w:rPr>
        <w:rFonts w:hint="default"/>
      </w:rPr>
    </w:lvl>
    <w:lvl w:ilvl="8" w:tplc="18E6A3E8">
      <w:numFmt w:val="bullet"/>
      <w:lvlText w:val="•"/>
      <w:lvlJc w:val="left"/>
      <w:pPr>
        <w:ind w:left="7936" w:hanging="435"/>
      </w:pPr>
      <w:rPr>
        <w:rFonts w:hint="default"/>
      </w:rPr>
    </w:lvl>
  </w:abstractNum>
  <w:abstractNum w:abstractNumId="10" w15:restartNumberingAfterBreak="0">
    <w:nsid w:val="185A714C"/>
    <w:multiLevelType w:val="hybridMultilevel"/>
    <w:tmpl w:val="8818AA0E"/>
    <w:lvl w:ilvl="0" w:tplc="56849226">
      <w:start w:val="252"/>
      <w:numFmt w:val="decimal"/>
      <w:lvlText w:val="%1."/>
      <w:lvlJc w:val="left"/>
      <w:pPr>
        <w:ind w:left="119" w:hanging="567"/>
        <w:jc w:val="left"/>
      </w:pPr>
      <w:rPr>
        <w:rFonts w:ascii="Verdana" w:eastAsia="Verdana" w:hAnsi="Verdana" w:cs="Verdana" w:hint="default"/>
        <w:w w:val="99"/>
        <w:sz w:val="20"/>
        <w:szCs w:val="20"/>
      </w:rPr>
    </w:lvl>
    <w:lvl w:ilvl="1" w:tplc="57108CBE">
      <w:start w:val="1"/>
      <w:numFmt w:val="lowerRoman"/>
      <w:lvlText w:val="%2."/>
      <w:lvlJc w:val="left"/>
      <w:pPr>
        <w:ind w:left="1291" w:hanging="555"/>
        <w:jc w:val="right"/>
      </w:pPr>
      <w:rPr>
        <w:rFonts w:ascii="Verdana" w:eastAsia="Verdana" w:hAnsi="Verdana" w:cs="Verdana" w:hint="default"/>
        <w:spacing w:val="-1"/>
        <w:w w:val="100"/>
        <w:sz w:val="16"/>
        <w:szCs w:val="16"/>
      </w:rPr>
    </w:lvl>
    <w:lvl w:ilvl="2" w:tplc="F432C8A0">
      <w:numFmt w:val="bullet"/>
      <w:lvlText w:val="•"/>
      <w:lvlJc w:val="left"/>
      <w:pPr>
        <w:ind w:left="2222" w:hanging="555"/>
      </w:pPr>
      <w:rPr>
        <w:rFonts w:hint="default"/>
      </w:rPr>
    </w:lvl>
    <w:lvl w:ilvl="3" w:tplc="158ABC68">
      <w:numFmt w:val="bullet"/>
      <w:lvlText w:val="•"/>
      <w:lvlJc w:val="left"/>
      <w:pPr>
        <w:ind w:left="3144" w:hanging="555"/>
      </w:pPr>
      <w:rPr>
        <w:rFonts w:hint="default"/>
      </w:rPr>
    </w:lvl>
    <w:lvl w:ilvl="4" w:tplc="65666ADA">
      <w:numFmt w:val="bullet"/>
      <w:lvlText w:val="•"/>
      <w:lvlJc w:val="left"/>
      <w:pPr>
        <w:ind w:left="4066" w:hanging="555"/>
      </w:pPr>
      <w:rPr>
        <w:rFonts w:hint="default"/>
      </w:rPr>
    </w:lvl>
    <w:lvl w:ilvl="5" w:tplc="AD78642E">
      <w:numFmt w:val="bullet"/>
      <w:lvlText w:val="•"/>
      <w:lvlJc w:val="left"/>
      <w:pPr>
        <w:ind w:left="4988" w:hanging="555"/>
      </w:pPr>
      <w:rPr>
        <w:rFonts w:hint="default"/>
      </w:rPr>
    </w:lvl>
    <w:lvl w:ilvl="6" w:tplc="A85EABEA">
      <w:numFmt w:val="bullet"/>
      <w:lvlText w:val="•"/>
      <w:lvlJc w:val="left"/>
      <w:pPr>
        <w:ind w:left="5911" w:hanging="555"/>
      </w:pPr>
      <w:rPr>
        <w:rFonts w:hint="default"/>
      </w:rPr>
    </w:lvl>
    <w:lvl w:ilvl="7" w:tplc="9E5CB84C">
      <w:numFmt w:val="bullet"/>
      <w:lvlText w:val="•"/>
      <w:lvlJc w:val="left"/>
      <w:pPr>
        <w:ind w:left="6833" w:hanging="555"/>
      </w:pPr>
      <w:rPr>
        <w:rFonts w:hint="default"/>
      </w:rPr>
    </w:lvl>
    <w:lvl w:ilvl="8" w:tplc="B1BAB928">
      <w:numFmt w:val="bullet"/>
      <w:lvlText w:val="•"/>
      <w:lvlJc w:val="left"/>
      <w:pPr>
        <w:ind w:left="7755" w:hanging="555"/>
      </w:pPr>
      <w:rPr>
        <w:rFonts w:hint="default"/>
      </w:rPr>
    </w:lvl>
  </w:abstractNum>
  <w:abstractNum w:abstractNumId="11" w15:restartNumberingAfterBreak="0">
    <w:nsid w:val="1A09761A"/>
    <w:multiLevelType w:val="hybridMultilevel"/>
    <w:tmpl w:val="0428F4A4"/>
    <w:lvl w:ilvl="0" w:tplc="DBEEDCD2">
      <w:start w:val="1"/>
      <w:numFmt w:val="decimal"/>
      <w:lvlText w:val="%1."/>
      <w:lvlJc w:val="left"/>
      <w:pPr>
        <w:ind w:left="119" w:hanging="567"/>
        <w:jc w:val="left"/>
      </w:pPr>
      <w:rPr>
        <w:rFonts w:ascii="Verdana" w:eastAsia="Verdana" w:hAnsi="Verdana" w:cs="Verdana" w:hint="default"/>
        <w:w w:val="99"/>
        <w:sz w:val="20"/>
        <w:szCs w:val="20"/>
      </w:rPr>
    </w:lvl>
    <w:lvl w:ilvl="1" w:tplc="F0A216B6">
      <w:numFmt w:val="bullet"/>
      <w:lvlText w:val="•"/>
      <w:lvlJc w:val="left"/>
      <w:pPr>
        <w:ind w:left="1068" w:hanging="567"/>
      </w:pPr>
      <w:rPr>
        <w:rFonts w:hint="default"/>
      </w:rPr>
    </w:lvl>
    <w:lvl w:ilvl="2" w:tplc="8B3AC0D6">
      <w:numFmt w:val="bullet"/>
      <w:lvlText w:val="•"/>
      <w:lvlJc w:val="left"/>
      <w:pPr>
        <w:ind w:left="2016" w:hanging="567"/>
      </w:pPr>
      <w:rPr>
        <w:rFonts w:hint="default"/>
      </w:rPr>
    </w:lvl>
    <w:lvl w:ilvl="3" w:tplc="6DFCE078">
      <w:numFmt w:val="bullet"/>
      <w:lvlText w:val="•"/>
      <w:lvlJc w:val="left"/>
      <w:pPr>
        <w:ind w:left="2964" w:hanging="567"/>
      </w:pPr>
      <w:rPr>
        <w:rFonts w:hint="default"/>
      </w:rPr>
    </w:lvl>
    <w:lvl w:ilvl="4" w:tplc="EDB4BDC2">
      <w:numFmt w:val="bullet"/>
      <w:lvlText w:val="•"/>
      <w:lvlJc w:val="left"/>
      <w:pPr>
        <w:ind w:left="3912" w:hanging="567"/>
      </w:pPr>
      <w:rPr>
        <w:rFonts w:hint="default"/>
      </w:rPr>
    </w:lvl>
    <w:lvl w:ilvl="5" w:tplc="7254723C">
      <w:numFmt w:val="bullet"/>
      <w:lvlText w:val="•"/>
      <w:lvlJc w:val="left"/>
      <w:pPr>
        <w:ind w:left="4860" w:hanging="567"/>
      </w:pPr>
      <w:rPr>
        <w:rFonts w:hint="default"/>
      </w:rPr>
    </w:lvl>
    <w:lvl w:ilvl="6" w:tplc="CD605326">
      <w:numFmt w:val="bullet"/>
      <w:lvlText w:val="•"/>
      <w:lvlJc w:val="left"/>
      <w:pPr>
        <w:ind w:left="5808" w:hanging="567"/>
      </w:pPr>
      <w:rPr>
        <w:rFonts w:hint="default"/>
      </w:rPr>
    </w:lvl>
    <w:lvl w:ilvl="7" w:tplc="4A38D4B6">
      <w:numFmt w:val="bullet"/>
      <w:lvlText w:val="•"/>
      <w:lvlJc w:val="left"/>
      <w:pPr>
        <w:ind w:left="6756" w:hanging="567"/>
      </w:pPr>
      <w:rPr>
        <w:rFonts w:hint="default"/>
      </w:rPr>
    </w:lvl>
    <w:lvl w:ilvl="8" w:tplc="D632D2D2">
      <w:numFmt w:val="bullet"/>
      <w:lvlText w:val="•"/>
      <w:lvlJc w:val="left"/>
      <w:pPr>
        <w:ind w:left="7704" w:hanging="567"/>
      </w:pPr>
      <w:rPr>
        <w:rFonts w:hint="default"/>
      </w:rPr>
    </w:lvl>
  </w:abstractNum>
  <w:abstractNum w:abstractNumId="12" w15:restartNumberingAfterBreak="0">
    <w:nsid w:val="1D2544B4"/>
    <w:multiLevelType w:val="hybridMultilevel"/>
    <w:tmpl w:val="E418FFBE"/>
    <w:lvl w:ilvl="0" w:tplc="D4427052">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982656BE">
      <w:start w:val="1"/>
      <w:numFmt w:val="decimal"/>
      <w:lvlText w:val="%1.%2"/>
      <w:lvlJc w:val="left"/>
      <w:pPr>
        <w:ind w:left="726" w:hanging="365"/>
        <w:jc w:val="left"/>
      </w:pPr>
      <w:rPr>
        <w:rFonts w:ascii="Verdana" w:eastAsia="Verdana" w:hAnsi="Verdana" w:cs="Verdana" w:hint="default"/>
        <w:spacing w:val="-3"/>
        <w:w w:val="100"/>
        <w:sz w:val="18"/>
        <w:szCs w:val="18"/>
      </w:rPr>
    </w:lvl>
    <w:lvl w:ilvl="2" w:tplc="1AE89840">
      <w:numFmt w:val="bullet"/>
      <w:lvlText w:val="•"/>
      <w:lvlJc w:val="left"/>
      <w:pPr>
        <w:ind w:left="740" w:hanging="365"/>
      </w:pPr>
      <w:rPr>
        <w:rFonts w:hint="default"/>
      </w:rPr>
    </w:lvl>
    <w:lvl w:ilvl="3" w:tplc="38A2FAF6">
      <w:numFmt w:val="bullet"/>
      <w:lvlText w:val="•"/>
      <w:lvlJc w:val="left"/>
      <w:pPr>
        <w:ind w:left="1847" w:hanging="365"/>
      </w:pPr>
      <w:rPr>
        <w:rFonts w:hint="default"/>
      </w:rPr>
    </w:lvl>
    <w:lvl w:ilvl="4" w:tplc="54AC9ED0">
      <w:numFmt w:val="bullet"/>
      <w:lvlText w:val="•"/>
      <w:lvlJc w:val="left"/>
      <w:pPr>
        <w:ind w:left="2955" w:hanging="365"/>
      </w:pPr>
      <w:rPr>
        <w:rFonts w:hint="default"/>
      </w:rPr>
    </w:lvl>
    <w:lvl w:ilvl="5" w:tplc="13A64C3E">
      <w:numFmt w:val="bullet"/>
      <w:lvlText w:val="•"/>
      <w:lvlJc w:val="left"/>
      <w:pPr>
        <w:ind w:left="4062" w:hanging="365"/>
      </w:pPr>
      <w:rPr>
        <w:rFonts w:hint="default"/>
      </w:rPr>
    </w:lvl>
    <w:lvl w:ilvl="6" w:tplc="3DEA9DC4">
      <w:numFmt w:val="bullet"/>
      <w:lvlText w:val="•"/>
      <w:lvlJc w:val="left"/>
      <w:pPr>
        <w:ind w:left="5170" w:hanging="365"/>
      </w:pPr>
      <w:rPr>
        <w:rFonts w:hint="default"/>
      </w:rPr>
    </w:lvl>
    <w:lvl w:ilvl="7" w:tplc="10F86EDA">
      <w:numFmt w:val="bullet"/>
      <w:lvlText w:val="•"/>
      <w:lvlJc w:val="left"/>
      <w:pPr>
        <w:ind w:left="6277" w:hanging="365"/>
      </w:pPr>
      <w:rPr>
        <w:rFonts w:hint="default"/>
      </w:rPr>
    </w:lvl>
    <w:lvl w:ilvl="8" w:tplc="1BF62296">
      <w:numFmt w:val="bullet"/>
      <w:lvlText w:val="•"/>
      <w:lvlJc w:val="left"/>
      <w:pPr>
        <w:ind w:left="7385" w:hanging="365"/>
      </w:pPr>
      <w:rPr>
        <w:rFonts w:hint="default"/>
      </w:rPr>
    </w:lvl>
  </w:abstractNum>
  <w:abstractNum w:abstractNumId="13" w15:restartNumberingAfterBreak="0">
    <w:nsid w:val="1D452828"/>
    <w:multiLevelType w:val="hybridMultilevel"/>
    <w:tmpl w:val="9654A226"/>
    <w:lvl w:ilvl="0" w:tplc="F594C696">
      <w:start w:val="1"/>
      <w:numFmt w:val="lowerLetter"/>
      <w:lvlText w:val="%1."/>
      <w:lvlJc w:val="left"/>
      <w:pPr>
        <w:ind w:left="1113" w:hanging="428"/>
        <w:jc w:val="left"/>
      </w:pPr>
      <w:rPr>
        <w:rFonts w:ascii="Verdana" w:eastAsia="Verdana" w:hAnsi="Verdana" w:cs="Verdana" w:hint="default"/>
        <w:w w:val="99"/>
        <w:sz w:val="20"/>
        <w:szCs w:val="20"/>
      </w:rPr>
    </w:lvl>
    <w:lvl w:ilvl="1" w:tplc="1F986D5C">
      <w:numFmt w:val="bullet"/>
      <w:lvlText w:val="•"/>
      <w:lvlJc w:val="left"/>
      <w:pPr>
        <w:ind w:left="1968" w:hanging="428"/>
      </w:pPr>
      <w:rPr>
        <w:rFonts w:hint="default"/>
      </w:rPr>
    </w:lvl>
    <w:lvl w:ilvl="2" w:tplc="BC302C2C">
      <w:numFmt w:val="bullet"/>
      <w:lvlText w:val="•"/>
      <w:lvlJc w:val="left"/>
      <w:pPr>
        <w:ind w:left="2816" w:hanging="428"/>
      </w:pPr>
      <w:rPr>
        <w:rFonts w:hint="default"/>
      </w:rPr>
    </w:lvl>
    <w:lvl w:ilvl="3" w:tplc="154EBD4A">
      <w:numFmt w:val="bullet"/>
      <w:lvlText w:val="•"/>
      <w:lvlJc w:val="left"/>
      <w:pPr>
        <w:ind w:left="3664" w:hanging="428"/>
      </w:pPr>
      <w:rPr>
        <w:rFonts w:hint="default"/>
      </w:rPr>
    </w:lvl>
    <w:lvl w:ilvl="4" w:tplc="6A7819DC">
      <w:numFmt w:val="bullet"/>
      <w:lvlText w:val="•"/>
      <w:lvlJc w:val="left"/>
      <w:pPr>
        <w:ind w:left="4512" w:hanging="428"/>
      </w:pPr>
      <w:rPr>
        <w:rFonts w:hint="default"/>
      </w:rPr>
    </w:lvl>
    <w:lvl w:ilvl="5" w:tplc="676AE984">
      <w:numFmt w:val="bullet"/>
      <w:lvlText w:val="•"/>
      <w:lvlJc w:val="left"/>
      <w:pPr>
        <w:ind w:left="5360" w:hanging="428"/>
      </w:pPr>
      <w:rPr>
        <w:rFonts w:hint="default"/>
      </w:rPr>
    </w:lvl>
    <w:lvl w:ilvl="6" w:tplc="FA0EB2C6">
      <w:numFmt w:val="bullet"/>
      <w:lvlText w:val="•"/>
      <w:lvlJc w:val="left"/>
      <w:pPr>
        <w:ind w:left="6208" w:hanging="428"/>
      </w:pPr>
      <w:rPr>
        <w:rFonts w:hint="default"/>
      </w:rPr>
    </w:lvl>
    <w:lvl w:ilvl="7" w:tplc="D166AFA8">
      <w:numFmt w:val="bullet"/>
      <w:lvlText w:val="•"/>
      <w:lvlJc w:val="left"/>
      <w:pPr>
        <w:ind w:left="7056" w:hanging="428"/>
      </w:pPr>
      <w:rPr>
        <w:rFonts w:hint="default"/>
      </w:rPr>
    </w:lvl>
    <w:lvl w:ilvl="8" w:tplc="54A48828">
      <w:numFmt w:val="bullet"/>
      <w:lvlText w:val="•"/>
      <w:lvlJc w:val="left"/>
      <w:pPr>
        <w:ind w:left="7904" w:hanging="428"/>
      </w:pPr>
      <w:rPr>
        <w:rFonts w:hint="default"/>
      </w:rPr>
    </w:lvl>
  </w:abstractNum>
  <w:abstractNum w:abstractNumId="14" w15:restartNumberingAfterBreak="0">
    <w:nsid w:val="1F4541A6"/>
    <w:multiLevelType w:val="hybridMultilevel"/>
    <w:tmpl w:val="681A1368"/>
    <w:lvl w:ilvl="0" w:tplc="BAE43E86">
      <w:start w:val="1"/>
      <w:numFmt w:val="decimal"/>
      <w:lvlText w:val="%1."/>
      <w:lvlJc w:val="left"/>
      <w:pPr>
        <w:ind w:left="119" w:hanging="567"/>
        <w:jc w:val="left"/>
      </w:pPr>
      <w:rPr>
        <w:rFonts w:ascii="Verdana" w:eastAsia="Verdana" w:hAnsi="Verdana" w:cs="Verdana" w:hint="default"/>
        <w:w w:val="99"/>
        <w:sz w:val="20"/>
        <w:szCs w:val="20"/>
      </w:rPr>
    </w:lvl>
    <w:lvl w:ilvl="1" w:tplc="EEDCED52">
      <w:start w:val="1"/>
      <w:numFmt w:val="lowerLetter"/>
      <w:lvlText w:val="%2)"/>
      <w:lvlJc w:val="left"/>
      <w:pPr>
        <w:ind w:left="1112" w:hanging="428"/>
        <w:jc w:val="left"/>
      </w:pPr>
      <w:rPr>
        <w:rFonts w:ascii="Verdana" w:eastAsia="Verdana" w:hAnsi="Verdana" w:cs="Verdana" w:hint="default"/>
        <w:w w:val="99"/>
        <w:sz w:val="20"/>
        <w:szCs w:val="20"/>
      </w:rPr>
    </w:lvl>
    <w:lvl w:ilvl="2" w:tplc="F9502734">
      <w:numFmt w:val="bullet"/>
      <w:lvlText w:val="•"/>
      <w:lvlJc w:val="left"/>
      <w:pPr>
        <w:ind w:left="2062" w:hanging="428"/>
      </w:pPr>
      <w:rPr>
        <w:rFonts w:hint="default"/>
      </w:rPr>
    </w:lvl>
    <w:lvl w:ilvl="3" w:tplc="53F8C4DE">
      <w:numFmt w:val="bullet"/>
      <w:lvlText w:val="•"/>
      <w:lvlJc w:val="left"/>
      <w:pPr>
        <w:ind w:left="3004" w:hanging="428"/>
      </w:pPr>
      <w:rPr>
        <w:rFonts w:hint="default"/>
      </w:rPr>
    </w:lvl>
    <w:lvl w:ilvl="4" w:tplc="130C343A">
      <w:numFmt w:val="bullet"/>
      <w:lvlText w:val="•"/>
      <w:lvlJc w:val="left"/>
      <w:pPr>
        <w:ind w:left="3946" w:hanging="428"/>
      </w:pPr>
      <w:rPr>
        <w:rFonts w:hint="default"/>
      </w:rPr>
    </w:lvl>
    <w:lvl w:ilvl="5" w:tplc="E640D65C">
      <w:numFmt w:val="bullet"/>
      <w:lvlText w:val="•"/>
      <w:lvlJc w:val="left"/>
      <w:pPr>
        <w:ind w:left="4888" w:hanging="428"/>
      </w:pPr>
      <w:rPr>
        <w:rFonts w:hint="default"/>
      </w:rPr>
    </w:lvl>
    <w:lvl w:ilvl="6" w:tplc="0DC458D2">
      <w:numFmt w:val="bullet"/>
      <w:lvlText w:val="•"/>
      <w:lvlJc w:val="left"/>
      <w:pPr>
        <w:ind w:left="5831" w:hanging="428"/>
      </w:pPr>
      <w:rPr>
        <w:rFonts w:hint="default"/>
      </w:rPr>
    </w:lvl>
    <w:lvl w:ilvl="7" w:tplc="DA7203EE">
      <w:numFmt w:val="bullet"/>
      <w:lvlText w:val="•"/>
      <w:lvlJc w:val="left"/>
      <w:pPr>
        <w:ind w:left="6773" w:hanging="428"/>
      </w:pPr>
      <w:rPr>
        <w:rFonts w:hint="default"/>
      </w:rPr>
    </w:lvl>
    <w:lvl w:ilvl="8" w:tplc="16D07F2C">
      <w:numFmt w:val="bullet"/>
      <w:lvlText w:val="•"/>
      <w:lvlJc w:val="left"/>
      <w:pPr>
        <w:ind w:left="7715" w:hanging="428"/>
      </w:pPr>
      <w:rPr>
        <w:rFonts w:hint="default"/>
      </w:rPr>
    </w:lvl>
  </w:abstractNum>
  <w:abstractNum w:abstractNumId="15" w15:restartNumberingAfterBreak="0">
    <w:nsid w:val="20D53E1E"/>
    <w:multiLevelType w:val="hybridMultilevel"/>
    <w:tmpl w:val="972A9324"/>
    <w:lvl w:ilvl="0" w:tplc="59769792">
      <w:start w:val="1"/>
      <w:numFmt w:val="upperLetter"/>
      <w:lvlText w:val="%1."/>
      <w:lvlJc w:val="left"/>
      <w:pPr>
        <w:ind w:left="601" w:hanging="480"/>
        <w:jc w:val="left"/>
      </w:pPr>
      <w:rPr>
        <w:rFonts w:ascii="Verdana" w:eastAsia="Verdana" w:hAnsi="Verdana" w:cs="Verdana" w:hint="default"/>
        <w:b/>
        <w:bCs/>
        <w:spacing w:val="-3"/>
        <w:w w:val="100"/>
        <w:sz w:val="18"/>
        <w:szCs w:val="18"/>
      </w:rPr>
    </w:lvl>
    <w:lvl w:ilvl="1" w:tplc="6A023FA0">
      <w:numFmt w:val="bullet"/>
      <w:lvlText w:val="•"/>
      <w:lvlJc w:val="left"/>
      <w:pPr>
        <w:ind w:left="1500" w:hanging="480"/>
      </w:pPr>
      <w:rPr>
        <w:rFonts w:hint="default"/>
      </w:rPr>
    </w:lvl>
    <w:lvl w:ilvl="2" w:tplc="5D90D49A">
      <w:numFmt w:val="bullet"/>
      <w:lvlText w:val="•"/>
      <w:lvlJc w:val="left"/>
      <w:pPr>
        <w:ind w:left="2400" w:hanging="480"/>
      </w:pPr>
      <w:rPr>
        <w:rFonts w:hint="default"/>
      </w:rPr>
    </w:lvl>
    <w:lvl w:ilvl="3" w:tplc="CE9CE10E">
      <w:numFmt w:val="bullet"/>
      <w:lvlText w:val="•"/>
      <w:lvlJc w:val="left"/>
      <w:pPr>
        <w:ind w:left="3300" w:hanging="480"/>
      </w:pPr>
      <w:rPr>
        <w:rFonts w:hint="default"/>
      </w:rPr>
    </w:lvl>
    <w:lvl w:ilvl="4" w:tplc="63E018B0">
      <w:numFmt w:val="bullet"/>
      <w:lvlText w:val="•"/>
      <w:lvlJc w:val="left"/>
      <w:pPr>
        <w:ind w:left="4200" w:hanging="480"/>
      </w:pPr>
      <w:rPr>
        <w:rFonts w:hint="default"/>
      </w:rPr>
    </w:lvl>
    <w:lvl w:ilvl="5" w:tplc="9216D9E4">
      <w:numFmt w:val="bullet"/>
      <w:lvlText w:val="•"/>
      <w:lvlJc w:val="left"/>
      <w:pPr>
        <w:ind w:left="5100" w:hanging="480"/>
      </w:pPr>
      <w:rPr>
        <w:rFonts w:hint="default"/>
      </w:rPr>
    </w:lvl>
    <w:lvl w:ilvl="6" w:tplc="87E609C8">
      <w:numFmt w:val="bullet"/>
      <w:lvlText w:val="•"/>
      <w:lvlJc w:val="left"/>
      <w:pPr>
        <w:ind w:left="6000" w:hanging="480"/>
      </w:pPr>
      <w:rPr>
        <w:rFonts w:hint="default"/>
      </w:rPr>
    </w:lvl>
    <w:lvl w:ilvl="7" w:tplc="C2002C2C">
      <w:numFmt w:val="bullet"/>
      <w:lvlText w:val="•"/>
      <w:lvlJc w:val="left"/>
      <w:pPr>
        <w:ind w:left="6900" w:hanging="480"/>
      </w:pPr>
      <w:rPr>
        <w:rFonts w:hint="default"/>
      </w:rPr>
    </w:lvl>
    <w:lvl w:ilvl="8" w:tplc="1EC24F4C">
      <w:numFmt w:val="bullet"/>
      <w:lvlText w:val="•"/>
      <w:lvlJc w:val="left"/>
      <w:pPr>
        <w:ind w:left="7800" w:hanging="480"/>
      </w:pPr>
      <w:rPr>
        <w:rFonts w:hint="default"/>
      </w:rPr>
    </w:lvl>
  </w:abstractNum>
  <w:abstractNum w:abstractNumId="16" w15:restartNumberingAfterBreak="0">
    <w:nsid w:val="2786791B"/>
    <w:multiLevelType w:val="hybridMultilevel"/>
    <w:tmpl w:val="9DF69712"/>
    <w:lvl w:ilvl="0" w:tplc="370E5B38">
      <w:start w:val="1"/>
      <w:numFmt w:val="decimal"/>
      <w:lvlText w:val="%1."/>
      <w:lvlJc w:val="left"/>
      <w:pPr>
        <w:ind w:left="470" w:hanging="972"/>
        <w:jc w:val="left"/>
      </w:pPr>
      <w:rPr>
        <w:rFonts w:ascii="Verdana" w:eastAsia="Verdana" w:hAnsi="Verdana" w:cs="Verdana" w:hint="default"/>
        <w:w w:val="99"/>
        <w:sz w:val="20"/>
        <w:szCs w:val="20"/>
      </w:rPr>
    </w:lvl>
    <w:lvl w:ilvl="1" w:tplc="F44EEB04">
      <w:numFmt w:val="bullet"/>
      <w:lvlText w:val="•"/>
      <w:lvlJc w:val="left"/>
      <w:pPr>
        <w:ind w:left="1446" w:hanging="972"/>
      </w:pPr>
      <w:rPr>
        <w:rFonts w:hint="default"/>
      </w:rPr>
    </w:lvl>
    <w:lvl w:ilvl="2" w:tplc="A79ED270">
      <w:numFmt w:val="bullet"/>
      <w:lvlText w:val="•"/>
      <w:lvlJc w:val="left"/>
      <w:pPr>
        <w:ind w:left="2412" w:hanging="972"/>
      </w:pPr>
      <w:rPr>
        <w:rFonts w:hint="default"/>
      </w:rPr>
    </w:lvl>
    <w:lvl w:ilvl="3" w:tplc="AD644C36">
      <w:numFmt w:val="bullet"/>
      <w:lvlText w:val="•"/>
      <w:lvlJc w:val="left"/>
      <w:pPr>
        <w:ind w:left="3378" w:hanging="972"/>
      </w:pPr>
      <w:rPr>
        <w:rFonts w:hint="default"/>
      </w:rPr>
    </w:lvl>
    <w:lvl w:ilvl="4" w:tplc="2DE88362">
      <w:numFmt w:val="bullet"/>
      <w:lvlText w:val="•"/>
      <w:lvlJc w:val="left"/>
      <w:pPr>
        <w:ind w:left="4344" w:hanging="972"/>
      </w:pPr>
      <w:rPr>
        <w:rFonts w:hint="default"/>
      </w:rPr>
    </w:lvl>
    <w:lvl w:ilvl="5" w:tplc="D6866E94">
      <w:numFmt w:val="bullet"/>
      <w:lvlText w:val="•"/>
      <w:lvlJc w:val="left"/>
      <w:pPr>
        <w:ind w:left="5310" w:hanging="972"/>
      </w:pPr>
      <w:rPr>
        <w:rFonts w:hint="default"/>
      </w:rPr>
    </w:lvl>
    <w:lvl w:ilvl="6" w:tplc="C78A9CB4">
      <w:numFmt w:val="bullet"/>
      <w:lvlText w:val="•"/>
      <w:lvlJc w:val="left"/>
      <w:pPr>
        <w:ind w:left="6276" w:hanging="972"/>
      </w:pPr>
      <w:rPr>
        <w:rFonts w:hint="default"/>
      </w:rPr>
    </w:lvl>
    <w:lvl w:ilvl="7" w:tplc="32069E1C">
      <w:numFmt w:val="bullet"/>
      <w:lvlText w:val="•"/>
      <w:lvlJc w:val="left"/>
      <w:pPr>
        <w:ind w:left="7242" w:hanging="972"/>
      </w:pPr>
      <w:rPr>
        <w:rFonts w:hint="default"/>
      </w:rPr>
    </w:lvl>
    <w:lvl w:ilvl="8" w:tplc="08CE25BC">
      <w:numFmt w:val="bullet"/>
      <w:lvlText w:val="•"/>
      <w:lvlJc w:val="left"/>
      <w:pPr>
        <w:ind w:left="8208" w:hanging="972"/>
      </w:pPr>
      <w:rPr>
        <w:rFonts w:hint="default"/>
      </w:rPr>
    </w:lvl>
  </w:abstractNum>
  <w:abstractNum w:abstractNumId="17" w15:restartNumberingAfterBreak="0">
    <w:nsid w:val="2B1C0368"/>
    <w:multiLevelType w:val="hybridMultilevel"/>
    <w:tmpl w:val="DCA67378"/>
    <w:lvl w:ilvl="0" w:tplc="279C148A">
      <w:start w:val="1"/>
      <w:numFmt w:val="lowerLetter"/>
      <w:lvlText w:val="%1)"/>
      <w:lvlJc w:val="left"/>
      <w:pPr>
        <w:ind w:left="695" w:hanging="226"/>
        <w:jc w:val="left"/>
      </w:pPr>
      <w:rPr>
        <w:rFonts w:ascii="Verdana" w:eastAsia="Verdana" w:hAnsi="Verdana" w:cs="Verdana" w:hint="default"/>
        <w:spacing w:val="-1"/>
        <w:w w:val="100"/>
        <w:sz w:val="16"/>
        <w:szCs w:val="16"/>
      </w:rPr>
    </w:lvl>
    <w:lvl w:ilvl="1" w:tplc="33ACBFE4">
      <w:numFmt w:val="bullet"/>
      <w:lvlText w:val="•"/>
      <w:lvlJc w:val="left"/>
      <w:pPr>
        <w:ind w:left="1644" w:hanging="226"/>
      </w:pPr>
      <w:rPr>
        <w:rFonts w:hint="default"/>
      </w:rPr>
    </w:lvl>
    <w:lvl w:ilvl="2" w:tplc="1C14B1B0">
      <w:numFmt w:val="bullet"/>
      <w:lvlText w:val="•"/>
      <w:lvlJc w:val="left"/>
      <w:pPr>
        <w:ind w:left="2588" w:hanging="226"/>
      </w:pPr>
      <w:rPr>
        <w:rFonts w:hint="default"/>
      </w:rPr>
    </w:lvl>
    <w:lvl w:ilvl="3" w:tplc="28268130">
      <w:numFmt w:val="bullet"/>
      <w:lvlText w:val="•"/>
      <w:lvlJc w:val="left"/>
      <w:pPr>
        <w:ind w:left="3532" w:hanging="226"/>
      </w:pPr>
      <w:rPr>
        <w:rFonts w:hint="default"/>
      </w:rPr>
    </w:lvl>
    <w:lvl w:ilvl="4" w:tplc="A9C21204">
      <w:numFmt w:val="bullet"/>
      <w:lvlText w:val="•"/>
      <w:lvlJc w:val="left"/>
      <w:pPr>
        <w:ind w:left="4476" w:hanging="226"/>
      </w:pPr>
      <w:rPr>
        <w:rFonts w:hint="default"/>
      </w:rPr>
    </w:lvl>
    <w:lvl w:ilvl="5" w:tplc="7506FB2E">
      <w:numFmt w:val="bullet"/>
      <w:lvlText w:val="•"/>
      <w:lvlJc w:val="left"/>
      <w:pPr>
        <w:ind w:left="5420" w:hanging="226"/>
      </w:pPr>
      <w:rPr>
        <w:rFonts w:hint="default"/>
      </w:rPr>
    </w:lvl>
    <w:lvl w:ilvl="6" w:tplc="C876F872">
      <w:numFmt w:val="bullet"/>
      <w:lvlText w:val="•"/>
      <w:lvlJc w:val="left"/>
      <w:pPr>
        <w:ind w:left="6364" w:hanging="226"/>
      </w:pPr>
      <w:rPr>
        <w:rFonts w:hint="default"/>
      </w:rPr>
    </w:lvl>
    <w:lvl w:ilvl="7" w:tplc="DD20B306">
      <w:numFmt w:val="bullet"/>
      <w:lvlText w:val="•"/>
      <w:lvlJc w:val="left"/>
      <w:pPr>
        <w:ind w:left="7308" w:hanging="226"/>
      </w:pPr>
      <w:rPr>
        <w:rFonts w:hint="default"/>
      </w:rPr>
    </w:lvl>
    <w:lvl w:ilvl="8" w:tplc="73C270A4">
      <w:numFmt w:val="bullet"/>
      <w:lvlText w:val="•"/>
      <w:lvlJc w:val="left"/>
      <w:pPr>
        <w:ind w:left="8252" w:hanging="226"/>
      </w:pPr>
      <w:rPr>
        <w:rFonts w:hint="default"/>
      </w:rPr>
    </w:lvl>
  </w:abstractNum>
  <w:abstractNum w:abstractNumId="18" w15:restartNumberingAfterBreak="0">
    <w:nsid w:val="2BF21A8F"/>
    <w:multiLevelType w:val="hybridMultilevel"/>
    <w:tmpl w:val="4928E63C"/>
    <w:lvl w:ilvl="0" w:tplc="2AA42C3C">
      <w:start w:val="1"/>
      <w:numFmt w:val="upperLetter"/>
      <w:lvlText w:val="%1."/>
      <w:lvlJc w:val="left"/>
      <w:pPr>
        <w:ind w:left="741" w:hanging="272"/>
        <w:jc w:val="right"/>
      </w:pPr>
      <w:rPr>
        <w:rFonts w:ascii="Verdana" w:eastAsia="Verdana" w:hAnsi="Verdana" w:cs="Verdana" w:hint="default"/>
        <w:b/>
        <w:bCs/>
        <w:spacing w:val="-2"/>
        <w:w w:val="99"/>
        <w:sz w:val="20"/>
        <w:szCs w:val="20"/>
      </w:rPr>
    </w:lvl>
    <w:lvl w:ilvl="1" w:tplc="534E615A">
      <w:numFmt w:val="bullet"/>
      <w:lvlText w:val="•"/>
      <w:lvlJc w:val="left"/>
      <w:pPr>
        <w:ind w:left="1680" w:hanging="272"/>
      </w:pPr>
      <w:rPr>
        <w:rFonts w:hint="default"/>
      </w:rPr>
    </w:lvl>
    <w:lvl w:ilvl="2" w:tplc="20D8754C">
      <w:numFmt w:val="bullet"/>
      <w:lvlText w:val="•"/>
      <w:lvlJc w:val="left"/>
      <w:pPr>
        <w:ind w:left="2620" w:hanging="272"/>
      </w:pPr>
      <w:rPr>
        <w:rFonts w:hint="default"/>
      </w:rPr>
    </w:lvl>
    <w:lvl w:ilvl="3" w:tplc="7950573A">
      <w:numFmt w:val="bullet"/>
      <w:lvlText w:val="•"/>
      <w:lvlJc w:val="left"/>
      <w:pPr>
        <w:ind w:left="3560" w:hanging="272"/>
      </w:pPr>
      <w:rPr>
        <w:rFonts w:hint="default"/>
      </w:rPr>
    </w:lvl>
    <w:lvl w:ilvl="4" w:tplc="D6B2F282">
      <w:numFmt w:val="bullet"/>
      <w:lvlText w:val="•"/>
      <w:lvlJc w:val="left"/>
      <w:pPr>
        <w:ind w:left="4500" w:hanging="272"/>
      </w:pPr>
      <w:rPr>
        <w:rFonts w:hint="default"/>
      </w:rPr>
    </w:lvl>
    <w:lvl w:ilvl="5" w:tplc="1682C2BE">
      <w:numFmt w:val="bullet"/>
      <w:lvlText w:val="•"/>
      <w:lvlJc w:val="left"/>
      <w:pPr>
        <w:ind w:left="5440" w:hanging="272"/>
      </w:pPr>
      <w:rPr>
        <w:rFonts w:hint="default"/>
      </w:rPr>
    </w:lvl>
    <w:lvl w:ilvl="6" w:tplc="95288274">
      <w:numFmt w:val="bullet"/>
      <w:lvlText w:val="•"/>
      <w:lvlJc w:val="left"/>
      <w:pPr>
        <w:ind w:left="6380" w:hanging="272"/>
      </w:pPr>
      <w:rPr>
        <w:rFonts w:hint="default"/>
      </w:rPr>
    </w:lvl>
    <w:lvl w:ilvl="7" w:tplc="055C0486">
      <w:numFmt w:val="bullet"/>
      <w:lvlText w:val="•"/>
      <w:lvlJc w:val="left"/>
      <w:pPr>
        <w:ind w:left="7320" w:hanging="272"/>
      </w:pPr>
      <w:rPr>
        <w:rFonts w:hint="default"/>
      </w:rPr>
    </w:lvl>
    <w:lvl w:ilvl="8" w:tplc="C8CE161E">
      <w:numFmt w:val="bullet"/>
      <w:lvlText w:val="•"/>
      <w:lvlJc w:val="left"/>
      <w:pPr>
        <w:ind w:left="8260" w:hanging="272"/>
      </w:pPr>
      <w:rPr>
        <w:rFonts w:hint="default"/>
      </w:rPr>
    </w:lvl>
  </w:abstractNum>
  <w:abstractNum w:abstractNumId="19" w15:restartNumberingAfterBreak="0">
    <w:nsid w:val="34F60BCD"/>
    <w:multiLevelType w:val="hybridMultilevel"/>
    <w:tmpl w:val="B49C5F9E"/>
    <w:lvl w:ilvl="0" w:tplc="9940D17A">
      <w:start w:val="1"/>
      <w:numFmt w:val="upperLetter"/>
      <w:lvlText w:val="%1."/>
      <w:lvlJc w:val="left"/>
      <w:pPr>
        <w:ind w:left="120" w:hanging="216"/>
        <w:jc w:val="right"/>
      </w:pPr>
      <w:rPr>
        <w:rFonts w:hint="default"/>
        <w:w w:val="100"/>
      </w:rPr>
    </w:lvl>
    <w:lvl w:ilvl="1" w:tplc="CEF2D1C8">
      <w:start w:val="1"/>
      <w:numFmt w:val="decimal"/>
      <w:lvlText w:val="%1.%2."/>
      <w:lvlJc w:val="left"/>
      <w:pPr>
        <w:ind w:left="840" w:hanging="660"/>
        <w:jc w:val="left"/>
      </w:pPr>
      <w:rPr>
        <w:rFonts w:ascii="Verdana" w:eastAsia="Verdana" w:hAnsi="Verdana" w:cs="Verdana" w:hint="default"/>
        <w:b/>
        <w:bCs/>
        <w:i/>
        <w:spacing w:val="-1"/>
        <w:w w:val="99"/>
        <w:sz w:val="20"/>
        <w:szCs w:val="20"/>
      </w:rPr>
    </w:lvl>
    <w:lvl w:ilvl="2" w:tplc="7AD4B224">
      <w:numFmt w:val="bullet"/>
      <w:lvlText w:val="•"/>
      <w:lvlJc w:val="left"/>
      <w:pPr>
        <w:ind w:left="1813" w:hanging="660"/>
      </w:pPr>
      <w:rPr>
        <w:rFonts w:hint="default"/>
      </w:rPr>
    </w:lvl>
    <w:lvl w:ilvl="3" w:tplc="B4A84488">
      <w:numFmt w:val="bullet"/>
      <w:lvlText w:val="•"/>
      <w:lvlJc w:val="left"/>
      <w:pPr>
        <w:ind w:left="2786" w:hanging="660"/>
      </w:pPr>
      <w:rPr>
        <w:rFonts w:hint="default"/>
      </w:rPr>
    </w:lvl>
    <w:lvl w:ilvl="4" w:tplc="9D30B962">
      <w:numFmt w:val="bullet"/>
      <w:lvlText w:val="•"/>
      <w:lvlJc w:val="left"/>
      <w:pPr>
        <w:ind w:left="3760" w:hanging="660"/>
      </w:pPr>
      <w:rPr>
        <w:rFonts w:hint="default"/>
      </w:rPr>
    </w:lvl>
    <w:lvl w:ilvl="5" w:tplc="630E7A58">
      <w:numFmt w:val="bullet"/>
      <w:lvlText w:val="•"/>
      <w:lvlJc w:val="left"/>
      <w:pPr>
        <w:ind w:left="4733" w:hanging="660"/>
      </w:pPr>
      <w:rPr>
        <w:rFonts w:hint="default"/>
      </w:rPr>
    </w:lvl>
    <w:lvl w:ilvl="6" w:tplc="048CE03C">
      <w:numFmt w:val="bullet"/>
      <w:lvlText w:val="•"/>
      <w:lvlJc w:val="left"/>
      <w:pPr>
        <w:ind w:left="5706" w:hanging="660"/>
      </w:pPr>
      <w:rPr>
        <w:rFonts w:hint="default"/>
      </w:rPr>
    </w:lvl>
    <w:lvl w:ilvl="7" w:tplc="F4A63BAA">
      <w:numFmt w:val="bullet"/>
      <w:lvlText w:val="•"/>
      <w:lvlJc w:val="left"/>
      <w:pPr>
        <w:ind w:left="6680" w:hanging="660"/>
      </w:pPr>
      <w:rPr>
        <w:rFonts w:hint="default"/>
      </w:rPr>
    </w:lvl>
    <w:lvl w:ilvl="8" w:tplc="4A82CFD4">
      <w:numFmt w:val="bullet"/>
      <w:lvlText w:val="•"/>
      <w:lvlJc w:val="left"/>
      <w:pPr>
        <w:ind w:left="7653" w:hanging="660"/>
      </w:pPr>
      <w:rPr>
        <w:rFonts w:hint="default"/>
      </w:rPr>
    </w:lvl>
  </w:abstractNum>
  <w:abstractNum w:abstractNumId="20" w15:restartNumberingAfterBreak="0">
    <w:nsid w:val="36422D7B"/>
    <w:multiLevelType w:val="hybridMultilevel"/>
    <w:tmpl w:val="0FEE9096"/>
    <w:lvl w:ilvl="0" w:tplc="591A8D1C">
      <w:start w:val="1"/>
      <w:numFmt w:val="upperLetter"/>
      <w:lvlText w:val="%1."/>
      <w:lvlJc w:val="left"/>
      <w:pPr>
        <w:ind w:left="600" w:hanging="480"/>
        <w:jc w:val="left"/>
      </w:pPr>
      <w:rPr>
        <w:rFonts w:ascii="Verdana" w:eastAsia="Verdana" w:hAnsi="Verdana" w:cs="Verdana" w:hint="default"/>
        <w:b/>
        <w:bCs/>
        <w:spacing w:val="-3"/>
        <w:w w:val="100"/>
        <w:sz w:val="18"/>
        <w:szCs w:val="18"/>
      </w:rPr>
    </w:lvl>
    <w:lvl w:ilvl="1" w:tplc="0492A912">
      <w:start w:val="1"/>
      <w:numFmt w:val="decimal"/>
      <w:lvlText w:val="%1.%2."/>
      <w:lvlJc w:val="left"/>
      <w:pPr>
        <w:ind w:left="790" w:hanging="430"/>
        <w:jc w:val="left"/>
      </w:pPr>
      <w:rPr>
        <w:rFonts w:ascii="Verdana" w:eastAsia="Verdana" w:hAnsi="Verdana" w:cs="Verdana" w:hint="default"/>
        <w:spacing w:val="-1"/>
        <w:w w:val="100"/>
        <w:sz w:val="18"/>
        <w:szCs w:val="18"/>
      </w:rPr>
    </w:lvl>
    <w:lvl w:ilvl="2" w:tplc="BA1E8ADA">
      <w:start w:val="1"/>
      <w:numFmt w:val="decimal"/>
      <w:lvlText w:val="%1.%2.%3"/>
      <w:lvlJc w:val="left"/>
      <w:pPr>
        <w:ind w:left="905" w:hanging="545"/>
        <w:jc w:val="left"/>
      </w:pPr>
      <w:rPr>
        <w:rFonts w:ascii="Verdana" w:eastAsia="Verdana" w:hAnsi="Verdana" w:cs="Verdana" w:hint="default"/>
        <w:spacing w:val="-2"/>
        <w:w w:val="100"/>
        <w:sz w:val="18"/>
        <w:szCs w:val="18"/>
      </w:rPr>
    </w:lvl>
    <w:lvl w:ilvl="3" w:tplc="6B58AEC6">
      <w:numFmt w:val="bullet"/>
      <w:lvlText w:val="•"/>
      <w:lvlJc w:val="left"/>
      <w:pPr>
        <w:ind w:left="1987" w:hanging="545"/>
      </w:pPr>
      <w:rPr>
        <w:rFonts w:hint="default"/>
      </w:rPr>
    </w:lvl>
    <w:lvl w:ilvl="4" w:tplc="5F546FA2">
      <w:numFmt w:val="bullet"/>
      <w:lvlText w:val="•"/>
      <w:lvlJc w:val="left"/>
      <w:pPr>
        <w:ind w:left="3075" w:hanging="545"/>
      </w:pPr>
      <w:rPr>
        <w:rFonts w:hint="default"/>
      </w:rPr>
    </w:lvl>
    <w:lvl w:ilvl="5" w:tplc="0660D150">
      <w:numFmt w:val="bullet"/>
      <w:lvlText w:val="•"/>
      <w:lvlJc w:val="left"/>
      <w:pPr>
        <w:ind w:left="4162" w:hanging="545"/>
      </w:pPr>
      <w:rPr>
        <w:rFonts w:hint="default"/>
      </w:rPr>
    </w:lvl>
    <w:lvl w:ilvl="6" w:tplc="7450989A">
      <w:numFmt w:val="bullet"/>
      <w:lvlText w:val="•"/>
      <w:lvlJc w:val="left"/>
      <w:pPr>
        <w:ind w:left="5250" w:hanging="545"/>
      </w:pPr>
      <w:rPr>
        <w:rFonts w:hint="default"/>
      </w:rPr>
    </w:lvl>
    <w:lvl w:ilvl="7" w:tplc="E4A0741C">
      <w:numFmt w:val="bullet"/>
      <w:lvlText w:val="•"/>
      <w:lvlJc w:val="left"/>
      <w:pPr>
        <w:ind w:left="6337" w:hanging="545"/>
      </w:pPr>
      <w:rPr>
        <w:rFonts w:hint="default"/>
      </w:rPr>
    </w:lvl>
    <w:lvl w:ilvl="8" w:tplc="E1949144">
      <w:numFmt w:val="bullet"/>
      <w:lvlText w:val="•"/>
      <w:lvlJc w:val="left"/>
      <w:pPr>
        <w:ind w:left="7425" w:hanging="545"/>
      </w:pPr>
      <w:rPr>
        <w:rFonts w:hint="default"/>
      </w:rPr>
    </w:lvl>
  </w:abstractNum>
  <w:abstractNum w:abstractNumId="21" w15:restartNumberingAfterBreak="0">
    <w:nsid w:val="374C2D22"/>
    <w:multiLevelType w:val="hybridMultilevel"/>
    <w:tmpl w:val="4C7EEE28"/>
    <w:lvl w:ilvl="0" w:tplc="1D12A0B2">
      <w:start w:val="1"/>
      <w:numFmt w:val="lowerLetter"/>
      <w:lvlText w:val="%1)"/>
      <w:lvlJc w:val="left"/>
      <w:pPr>
        <w:ind w:left="470" w:hanging="217"/>
        <w:jc w:val="left"/>
      </w:pPr>
      <w:rPr>
        <w:rFonts w:ascii="Verdana" w:eastAsia="Verdana" w:hAnsi="Verdana" w:cs="Verdana" w:hint="default"/>
        <w:i/>
        <w:spacing w:val="-1"/>
        <w:w w:val="100"/>
        <w:sz w:val="16"/>
        <w:szCs w:val="16"/>
      </w:rPr>
    </w:lvl>
    <w:lvl w:ilvl="1" w:tplc="6688DB1C">
      <w:numFmt w:val="bullet"/>
      <w:lvlText w:val="•"/>
      <w:lvlJc w:val="left"/>
      <w:pPr>
        <w:ind w:left="1446" w:hanging="217"/>
      </w:pPr>
      <w:rPr>
        <w:rFonts w:hint="default"/>
      </w:rPr>
    </w:lvl>
    <w:lvl w:ilvl="2" w:tplc="49800CD6">
      <w:numFmt w:val="bullet"/>
      <w:lvlText w:val="•"/>
      <w:lvlJc w:val="left"/>
      <w:pPr>
        <w:ind w:left="2412" w:hanging="217"/>
      </w:pPr>
      <w:rPr>
        <w:rFonts w:hint="default"/>
      </w:rPr>
    </w:lvl>
    <w:lvl w:ilvl="3" w:tplc="AB18245A">
      <w:numFmt w:val="bullet"/>
      <w:lvlText w:val="•"/>
      <w:lvlJc w:val="left"/>
      <w:pPr>
        <w:ind w:left="3378" w:hanging="217"/>
      </w:pPr>
      <w:rPr>
        <w:rFonts w:hint="default"/>
      </w:rPr>
    </w:lvl>
    <w:lvl w:ilvl="4" w:tplc="0336690C">
      <w:numFmt w:val="bullet"/>
      <w:lvlText w:val="•"/>
      <w:lvlJc w:val="left"/>
      <w:pPr>
        <w:ind w:left="4344" w:hanging="217"/>
      </w:pPr>
      <w:rPr>
        <w:rFonts w:hint="default"/>
      </w:rPr>
    </w:lvl>
    <w:lvl w:ilvl="5" w:tplc="88C8F482">
      <w:numFmt w:val="bullet"/>
      <w:lvlText w:val="•"/>
      <w:lvlJc w:val="left"/>
      <w:pPr>
        <w:ind w:left="5310" w:hanging="217"/>
      </w:pPr>
      <w:rPr>
        <w:rFonts w:hint="default"/>
      </w:rPr>
    </w:lvl>
    <w:lvl w:ilvl="6" w:tplc="C492A970">
      <w:numFmt w:val="bullet"/>
      <w:lvlText w:val="•"/>
      <w:lvlJc w:val="left"/>
      <w:pPr>
        <w:ind w:left="6276" w:hanging="217"/>
      </w:pPr>
      <w:rPr>
        <w:rFonts w:hint="default"/>
      </w:rPr>
    </w:lvl>
    <w:lvl w:ilvl="7" w:tplc="AA4E0956">
      <w:numFmt w:val="bullet"/>
      <w:lvlText w:val="•"/>
      <w:lvlJc w:val="left"/>
      <w:pPr>
        <w:ind w:left="7242" w:hanging="217"/>
      </w:pPr>
      <w:rPr>
        <w:rFonts w:hint="default"/>
      </w:rPr>
    </w:lvl>
    <w:lvl w:ilvl="8" w:tplc="6F8EF3A4">
      <w:numFmt w:val="bullet"/>
      <w:lvlText w:val="•"/>
      <w:lvlJc w:val="left"/>
      <w:pPr>
        <w:ind w:left="8208" w:hanging="217"/>
      </w:pPr>
      <w:rPr>
        <w:rFonts w:hint="default"/>
      </w:rPr>
    </w:lvl>
  </w:abstractNum>
  <w:abstractNum w:abstractNumId="22" w15:restartNumberingAfterBreak="0">
    <w:nsid w:val="379B64F4"/>
    <w:multiLevelType w:val="hybridMultilevel"/>
    <w:tmpl w:val="759A21D2"/>
    <w:lvl w:ilvl="0" w:tplc="DD3A8F0C">
      <w:start w:val="1"/>
      <w:numFmt w:val="upperLetter"/>
      <w:lvlText w:val="%1."/>
      <w:lvlJc w:val="left"/>
      <w:pPr>
        <w:ind w:left="600" w:hanging="480"/>
        <w:jc w:val="left"/>
      </w:pPr>
      <w:rPr>
        <w:rFonts w:ascii="Verdana" w:eastAsia="Verdana" w:hAnsi="Verdana" w:cs="Verdana" w:hint="default"/>
        <w:b/>
        <w:bCs/>
        <w:spacing w:val="-3"/>
        <w:w w:val="100"/>
        <w:sz w:val="18"/>
        <w:szCs w:val="18"/>
      </w:rPr>
    </w:lvl>
    <w:lvl w:ilvl="1" w:tplc="3702B96A">
      <w:start w:val="1"/>
      <w:numFmt w:val="decimal"/>
      <w:lvlText w:val="%1.%2"/>
      <w:lvlJc w:val="left"/>
      <w:pPr>
        <w:ind w:left="360" w:hanging="365"/>
        <w:jc w:val="left"/>
      </w:pPr>
      <w:rPr>
        <w:rFonts w:ascii="Verdana" w:eastAsia="Verdana" w:hAnsi="Verdana" w:cs="Verdana" w:hint="default"/>
        <w:spacing w:val="-1"/>
        <w:w w:val="100"/>
        <w:sz w:val="18"/>
        <w:szCs w:val="18"/>
      </w:rPr>
    </w:lvl>
    <w:lvl w:ilvl="2" w:tplc="A77E1364">
      <w:start w:val="1"/>
      <w:numFmt w:val="decimal"/>
      <w:lvlText w:val="%1.%2.%3"/>
      <w:lvlJc w:val="left"/>
      <w:pPr>
        <w:ind w:left="360" w:hanging="545"/>
        <w:jc w:val="left"/>
      </w:pPr>
      <w:rPr>
        <w:rFonts w:ascii="Verdana" w:eastAsia="Verdana" w:hAnsi="Verdana" w:cs="Verdana" w:hint="default"/>
        <w:spacing w:val="-1"/>
        <w:w w:val="100"/>
        <w:sz w:val="18"/>
        <w:szCs w:val="18"/>
      </w:rPr>
    </w:lvl>
    <w:lvl w:ilvl="3" w:tplc="6442C9E2">
      <w:numFmt w:val="bullet"/>
      <w:lvlText w:val="•"/>
      <w:lvlJc w:val="left"/>
      <w:pPr>
        <w:ind w:left="2600" w:hanging="545"/>
      </w:pPr>
      <w:rPr>
        <w:rFonts w:hint="default"/>
      </w:rPr>
    </w:lvl>
    <w:lvl w:ilvl="4" w:tplc="898C45B6">
      <w:numFmt w:val="bullet"/>
      <w:lvlText w:val="•"/>
      <w:lvlJc w:val="left"/>
      <w:pPr>
        <w:ind w:left="3600" w:hanging="545"/>
      </w:pPr>
      <w:rPr>
        <w:rFonts w:hint="default"/>
      </w:rPr>
    </w:lvl>
    <w:lvl w:ilvl="5" w:tplc="ED94E530">
      <w:numFmt w:val="bullet"/>
      <w:lvlText w:val="•"/>
      <w:lvlJc w:val="left"/>
      <w:pPr>
        <w:ind w:left="4600" w:hanging="545"/>
      </w:pPr>
      <w:rPr>
        <w:rFonts w:hint="default"/>
      </w:rPr>
    </w:lvl>
    <w:lvl w:ilvl="6" w:tplc="25AEFB5A">
      <w:numFmt w:val="bullet"/>
      <w:lvlText w:val="•"/>
      <w:lvlJc w:val="left"/>
      <w:pPr>
        <w:ind w:left="5600" w:hanging="545"/>
      </w:pPr>
      <w:rPr>
        <w:rFonts w:hint="default"/>
      </w:rPr>
    </w:lvl>
    <w:lvl w:ilvl="7" w:tplc="6D50F760">
      <w:numFmt w:val="bullet"/>
      <w:lvlText w:val="•"/>
      <w:lvlJc w:val="left"/>
      <w:pPr>
        <w:ind w:left="6600" w:hanging="545"/>
      </w:pPr>
      <w:rPr>
        <w:rFonts w:hint="default"/>
      </w:rPr>
    </w:lvl>
    <w:lvl w:ilvl="8" w:tplc="C298CF1A">
      <w:numFmt w:val="bullet"/>
      <w:lvlText w:val="•"/>
      <w:lvlJc w:val="left"/>
      <w:pPr>
        <w:ind w:left="7600" w:hanging="545"/>
      </w:pPr>
      <w:rPr>
        <w:rFonts w:hint="default"/>
      </w:rPr>
    </w:lvl>
  </w:abstractNum>
  <w:abstractNum w:abstractNumId="23" w15:restartNumberingAfterBreak="0">
    <w:nsid w:val="3B8B77CA"/>
    <w:multiLevelType w:val="hybridMultilevel"/>
    <w:tmpl w:val="867A6160"/>
    <w:lvl w:ilvl="0" w:tplc="F4FE4034">
      <w:start w:val="1"/>
      <w:numFmt w:val="lowerLetter"/>
      <w:lvlText w:val="%1."/>
      <w:lvlJc w:val="left"/>
      <w:pPr>
        <w:ind w:left="741" w:hanging="272"/>
        <w:jc w:val="left"/>
      </w:pPr>
      <w:rPr>
        <w:rFonts w:ascii="Verdana" w:eastAsia="Verdana" w:hAnsi="Verdana" w:cs="Verdana" w:hint="default"/>
        <w:b/>
        <w:bCs/>
        <w:spacing w:val="-1"/>
        <w:w w:val="99"/>
        <w:sz w:val="20"/>
        <w:szCs w:val="20"/>
      </w:rPr>
    </w:lvl>
    <w:lvl w:ilvl="1" w:tplc="95D0B618">
      <w:numFmt w:val="bullet"/>
      <w:lvlText w:val="•"/>
      <w:lvlJc w:val="left"/>
      <w:pPr>
        <w:ind w:left="1680" w:hanging="272"/>
      </w:pPr>
      <w:rPr>
        <w:rFonts w:hint="default"/>
      </w:rPr>
    </w:lvl>
    <w:lvl w:ilvl="2" w:tplc="65A00AE4">
      <w:numFmt w:val="bullet"/>
      <w:lvlText w:val="•"/>
      <w:lvlJc w:val="left"/>
      <w:pPr>
        <w:ind w:left="2620" w:hanging="272"/>
      </w:pPr>
      <w:rPr>
        <w:rFonts w:hint="default"/>
      </w:rPr>
    </w:lvl>
    <w:lvl w:ilvl="3" w:tplc="31BA055A">
      <w:numFmt w:val="bullet"/>
      <w:lvlText w:val="•"/>
      <w:lvlJc w:val="left"/>
      <w:pPr>
        <w:ind w:left="3560" w:hanging="272"/>
      </w:pPr>
      <w:rPr>
        <w:rFonts w:hint="default"/>
      </w:rPr>
    </w:lvl>
    <w:lvl w:ilvl="4" w:tplc="C6982814">
      <w:numFmt w:val="bullet"/>
      <w:lvlText w:val="•"/>
      <w:lvlJc w:val="left"/>
      <w:pPr>
        <w:ind w:left="4500" w:hanging="272"/>
      </w:pPr>
      <w:rPr>
        <w:rFonts w:hint="default"/>
      </w:rPr>
    </w:lvl>
    <w:lvl w:ilvl="5" w:tplc="E2A8C3F4">
      <w:numFmt w:val="bullet"/>
      <w:lvlText w:val="•"/>
      <w:lvlJc w:val="left"/>
      <w:pPr>
        <w:ind w:left="5440" w:hanging="272"/>
      </w:pPr>
      <w:rPr>
        <w:rFonts w:hint="default"/>
      </w:rPr>
    </w:lvl>
    <w:lvl w:ilvl="6" w:tplc="219E06C8">
      <w:numFmt w:val="bullet"/>
      <w:lvlText w:val="•"/>
      <w:lvlJc w:val="left"/>
      <w:pPr>
        <w:ind w:left="6380" w:hanging="272"/>
      </w:pPr>
      <w:rPr>
        <w:rFonts w:hint="default"/>
      </w:rPr>
    </w:lvl>
    <w:lvl w:ilvl="7" w:tplc="7F566910">
      <w:numFmt w:val="bullet"/>
      <w:lvlText w:val="•"/>
      <w:lvlJc w:val="left"/>
      <w:pPr>
        <w:ind w:left="7320" w:hanging="272"/>
      </w:pPr>
      <w:rPr>
        <w:rFonts w:hint="default"/>
      </w:rPr>
    </w:lvl>
    <w:lvl w:ilvl="8" w:tplc="EF0EB04E">
      <w:numFmt w:val="bullet"/>
      <w:lvlText w:val="•"/>
      <w:lvlJc w:val="left"/>
      <w:pPr>
        <w:ind w:left="8260" w:hanging="272"/>
      </w:pPr>
      <w:rPr>
        <w:rFonts w:hint="default"/>
      </w:rPr>
    </w:lvl>
  </w:abstractNum>
  <w:abstractNum w:abstractNumId="24" w15:restartNumberingAfterBreak="0">
    <w:nsid w:val="3E23771B"/>
    <w:multiLevelType w:val="hybridMultilevel"/>
    <w:tmpl w:val="1004B872"/>
    <w:lvl w:ilvl="0" w:tplc="654EECB8">
      <w:start w:val="1"/>
      <w:numFmt w:val="lowerLetter"/>
      <w:lvlText w:val="%1)"/>
      <w:lvlJc w:val="left"/>
      <w:pPr>
        <w:ind w:left="470" w:hanging="221"/>
        <w:jc w:val="left"/>
      </w:pPr>
      <w:rPr>
        <w:rFonts w:ascii="Verdana" w:eastAsia="Verdana" w:hAnsi="Verdana" w:cs="Verdana" w:hint="default"/>
        <w:i/>
        <w:spacing w:val="-1"/>
        <w:w w:val="100"/>
        <w:sz w:val="16"/>
        <w:szCs w:val="16"/>
      </w:rPr>
    </w:lvl>
    <w:lvl w:ilvl="1" w:tplc="08586FFC">
      <w:numFmt w:val="bullet"/>
      <w:lvlText w:val="•"/>
      <w:lvlJc w:val="left"/>
      <w:pPr>
        <w:ind w:left="1446" w:hanging="221"/>
      </w:pPr>
      <w:rPr>
        <w:rFonts w:hint="default"/>
      </w:rPr>
    </w:lvl>
    <w:lvl w:ilvl="2" w:tplc="83168016">
      <w:numFmt w:val="bullet"/>
      <w:lvlText w:val="•"/>
      <w:lvlJc w:val="left"/>
      <w:pPr>
        <w:ind w:left="2412" w:hanging="221"/>
      </w:pPr>
      <w:rPr>
        <w:rFonts w:hint="default"/>
      </w:rPr>
    </w:lvl>
    <w:lvl w:ilvl="3" w:tplc="36B077D0">
      <w:numFmt w:val="bullet"/>
      <w:lvlText w:val="•"/>
      <w:lvlJc w:val="left"/>
      <w:pPr>
        <w:ind w:left="3378" w:hanging="221"/>
      </w:pPr>
      <w:rPr>
        <w:rFonts w:hint="default"/>
      </w:rPr>
    </w:lvl>
    <w:lvl w:ilvl="4" w:tplc="C7D4C358">
      <w:numFmt w:val="bullet"/>
      <w:lvlText w:val="•"/>
      <w:lvlJc w:val="left"/>
      <w:pPr>
        <w:ind w:left="4344" w:hanging="221"/>
      </w:pPr>
      <w:rPr>
        <w:rFonts w:hint="default"/>
      </w:rPr>
    </w:lvl>
    <w:lvl w:ilvl="5" w:tplc="A08A5C2C">
      <w:numFmt w:val="bullet"/>
      <w:lvlText w:val="•"/>
      <w:lvlJc w:val="left"/>
      <w:pPr>
        <w:ind w:left="5310" w:hanging="221"/>
      </w:pPr>
      <w:rPr>
        <w:rFonts w:hint="default"/>
      </w:rPr>
    </w:lvl>
    <w:lvl w:ilvl="6" w:tplc="6AF83F02">
      <w:numFmt w:val="bullet"/>
      <w:lvlText w:val="•"/>
      <w:lvlJc w:val="left"/>
      <w:pPr>
        <w:ind w:left="6276" w:hanging="221"/>
      </w:pPr>
      <w:rPr>
        <w:rFonts w:hint="default"/>
      </w:rPr>
    </w:lvl>
    <w:lvl w:ilvl="7" w:tplc="BA001FF0">
      <w:numFmt w:val="bullet"/>
      <w:lvlText w:val="•"/>
      <w:lvlJc w:val="left"/>
      <w:pPr>
        <w:ind w:left="7242" w:hanging="221"/>
      </w:pPr>
      <w:rPr>
        <w:rFonts w:hint="default"/>
      </w:rPr>
    </w:lvl>
    <w:lvl w:ilvl="8" w:tplc="A142EEFA">
      <w:numFmt w:val="bullet"/>
      <w:lvlText w:val="•"/>
      <w:lvlJc w:val="left"/>
      <w:pPr>
        <w:ind w:left="8208" w:hanging="221"/>
      </w:pPr>
      <w:rPr>
        <w:rFonts w:hint="default"/>
      </w:rPr>
    </w:lvl>
  </w:abstractNum>
  <w:abstractNum w:abstractNumId="25" w15:restartNumberingAfterBreak="0">
    <w:nsid w:val="3FB3771F"/>
    <w:multiLevelType w:val="hybridMultilevel"/>
    <w:tmpl w:val="667E8F94"/>
    <w:lvl w:ilvl="0" w:tplc="A9F2542E">
      <w:start w:val="99"/>
      <w:numFmt w:val="decimal"/>
      <w:lvlText w:val="%1."/>
      <w:lvlJc w:val="left"/>
      <w:pPr>
        <w:ind w:left="470" w:hanging="980"/>
        <w:jc w:val="left"/>
      </w:pPr>
      <w:rPr>
        <w:rFonts w:ascii="Verdana" w:eastAsia="Verdana" w:hAnsi="Verdana" w:cs="Verdana" w:hint="default"/>
        <w:w w:val="99"/>
        <w:sz w:val="20"/>
        <w:szCs w:val="20"/>
      </w:rPr>
    </w:lvl>
    <w:lvl w:ilvl="1" w:tplc="E1646B32">
      <w:start w:val="1"/>
      <w:numFmt w:val="decimal"/>
      <w:lvlText w:val="%2."/>
      <w:lvlJc w:val="left"/>
      <w:pPr>
        <w:ind w:left="741" w:hanging="567"/>
        <w:jc w:val="left"/>
      </w:pPr>
      <w:rPr>
        <w:rFonts w:ascii="Verdana" w:eastAsia="Verdana" w:hAnsi="Verdana" w:cs="Verdana" w:hint="default"/>
        <w:w w:val="99"/>
        <w:sz w:val="20"/>
        <w:szCs w:val="20"/>
      </w:rPr>
    </w:lvl>
    <w:lvl w:ilvl="2" w:tplc="CE74BFDA">
      <w:numFmt w:val="bullet"/>
      <w:lvlText w:val="•"/>
      <w:lvlJc w:val="left"/>
      <w:pPr>
        <w:ind w:left="1784" w:hanging="567"/>
      </w:pPr>
      <w:rPr>
        <w:rFonts w:hint="default"/>
      </w:rPr>
    </w:lvl>
    <w:lvl w:ilvl="3" w:tplc="9B7A1C68">
      <w:numFmt w:val="bullet"/>
      <w:lvlText w:val="•"/>
      <w:lvlJc w:val="left"/>
      <w:pPr>
        <w:ind w:left="2828" w:hanging="567"/>
      </w:pPr>
      <w:rPr>
        <w:rFonts w:hint="default"/>
      </w:rPr>
    </w:lvl>
    <w:lvl w:ilvl="4" w:tplc="2DEAC360">
      <w:numFmt w:val="bullet"/>
      <w:lvlText w:val="•"/>
      <w:lvlJc w:val="left"/>
      <w:pPr>
        <w:ind w:left="3873" w:hanging="567"/>
      </w:pPr>
      <w:rPr>
        <w:rFonts w:hint="default"/>
      </w:rPr>
    </w:lvl>
    <w:lvl w:ilvl="5" w:tplc="B0183D9A">
      <w:numFmt w:val="bullet"/>
      <w:lvlText w:val="•"/>
      <w:lvlJc w:val="left"/>
      <w:pPr>
        <w:ind w:left="4917" w:hanging="567"/>
      </w:pPr>
      <w:rPr>
        <w:rFonts w:hint="default"/>
      </w:rPr>
    </w:lvl>
    <w:lvl w:ilvl="6" w:tplc="878C8E66">
      <w:numFmt w:val="bullet"/>
      <w:lvlText w:val="•"/>
      <w:lvlJc w:val="left"/>
      <w:pPr>
        <w:ind w:left="5962" w:hanging="567"/>
      </w:pPr>
      <w:rPr>
        <w:rFonts w:hint="default"/>
      </w:rPr>
    </w:lvl>
    <w:lvl w:ilvl="7" w:tplc="74CAE34A">
      <w:numFmt w:val="bullet"/>
      <w:lvlText w:val="•"/>
      <w:lvlJc w:val="left"/>
      <w:pPr>
        <w:ind w:left="7006" w:hanging="567"/>
      </w:pPr>
      <w:rPr>
        <w:rFonts w:hint="default"/>
      </w:rPr>
    </w:lvl>
    <w:lvl w:ilvl="8" w:tplc="31981F60">
      <w:numFmt w:val="bullet"/>
      <w:lvlText w:val="•"/>
      <w:lvlJc w:val="left"/>
      <w:pPr>
        <w:ind w:left="8051" w:hanging="567"/>
      </w:pPr>
      <w:rPr>
        <w:rFonts w:hint="default"/>
      </w:rPr>
    </w:lvl>
  </w:abstractNum>
  <w:abstractNum w:abstractNumId="26" w15:restartNumberingAfterBreak="0">
    <w:nsid w:val="402C1921"/>
    <w:multiLevelType w:val="hybridMultilevel"/>
    <w:tmpl w:val="70ACF5B6"/>
    <w:lvl w:ilvl="0" w:tplc="0C08CB74">
      <w:start w:val="1"/>
      <w:numFmt w:val="lowerLetter"/>
      <w:lvlText w:val="%1."/>
      <w:lvlJc w:val="left"/>
      <w:pPr>
        <w:ind w:left="681" w:hanging="212"/>
        <w:jc w:val="left"/>
      </w:pPr>
      <w:rPr>
        <w:rFonts w:ascii="Verdana" w:eastAsia="Verdana" w:hAnsi="Verdana" w:cs="Verdana" w:hint="default"/>
        <w:i/>
        <w:spacing w:val="-1"/>
        <w:w w:val="100"/>
        <w:sz w:val="16"/>
        <w:szCs w:val="16"/>
      </w:rPr>
    </w:lvl>
    <w:lvl w:ilvl="1" w:tplc="9C3628EA">
      <w:numFmt w:val="bullet"/>
      <w:lvlText w:val="•"/>
      <w:lvlJc w:val="left"/>
      <w:pPr>
        <w:ind w:left="1626" w:hanging="212"/>
      </w:pPr>
      <w:rPr>
        <w:rFonts w:hint="default"/>
      </w:rPr>
    </w:lvl>
    <w:lvl w:ilvl="2" w:tplc="FC54AD9A">
      <w:numFmt w:val="bullet"/>
      <w:lvlText w:val="•"/>
      <w:lvlJc w:val="left"/>
      <w:pPr>
        <w:ind w:left="2572" w:hanging="212"/>
      </w:pPr>
      <w:rPr>
        <w:rFonts w:hint="default"/>
      </w:rPr>
    </w:lvl>
    <w:lvl w:ilvl="3" w:tplc="97480AEC">
      <w:numFmt w:val="bullet"/>
      <w:lvlText w:val="•"/>
      <w:lvlJc w:val="left"/>
      <w:pPr>
        <w:ind w:left="3518" w:hanging="212"/>
      </w:pPr>
      <w:rPr>
        <w:rFonts w:hint="default"/>
      </w:rPr>
    </w:lvl>
    <w:lvl w:ilvl="4" w:tplc="6A2CB0FA">
      <w:numFmt w:val="bullet"/>
      <w:lvlText w:val="•"/>
      <w:lvlJc w:val="left"/>
      <w:pPr>
        <w:ind w:left="4464" w:hanging="212"/>
      </w:pPr>
      <w:rPr>
        <w:rFonts w:hint="default"/>
      </w:rPr>
    </w:lvl>
    <w:lvl w:ilvl="5" w:tplc="FC16853E">
      <w:numFmt w:val="bullet"/>
      <w:lvlText w:val="•"/>
      <w:lvlJc w:val="left"/>
      <w:pPr>
        <w:ind w:left="5410" w:hanging="212"/>
      </w:pPr>
      <w:rPr>
        <w:rFonts w:hint="default"/>
      </w:rPr>
    </w:lvl>
    <w:lvl w:ilvl="6" w:tplc="FE64CB08">
      <w:numFmt w:val="bullet"/>
      <w:lvlText w:val="•"/>
      <w:lvlJc w:val="left"/>
      <w:pPr>
        <w:ind w:left="6356" w:hanging="212"/>
      </w:pPr>
      <w:rPr>
        <w:rFonts w:hint="default"/>
      </w:rPr>
    </w:lvl>
    <w:lvl w:ilvl="7" w:tplc="8BD88A04">
      <w:numFmt w:val="bullet"/>
      <w:lvlText w:val="•"/>
      <w:lvlJc w:val="left"/>
      <w:pPr>
        <w:ind w:left="7302" w:hanging="212"/>
      </w:pPr>
      <w:rPr>
        <w:rFonts w:hint="default"/>
      </w:rPr>
    </w:lvl>
    <w:lvl w:ilvl="8" w:tplc="611CEB56">
      <w:numFmt w:val="bullet"/>
      <w:lvlText w:val="•"/>
      <w:lvlJc w:val="left"/>
      <w:pPr>
        <w:ind w:left="8248" w:hanging="212"/>
      </w:pPr>
      <w:rPr>
        <w:rFonts w:hint="default"/>
      </w:rPr>
    </w:lvl>
  </w:abstractNum>
  <w:abstractNum w:abstractNumId="27" w15:restartNumberingAfterBreak="0">
    <w:nsid w:val="439C7259"/>
    <w:multiLevelType w:val="hybridMultilevel"/>
    <w:tmpl w:val="44D4E956"/>
    <w:lvl w:ilvl="0" w:tplc="2C0ADA3E">
      <w:start w:val="1"/>
      <w:numFmt w:val="upperLetter"/>
      <w:lvlText w:val="%1."/>
      <w:lvlJc w:val="left"/>
      <w:pPr>
        <w:ind w:left="120" w:hanging="480"/>
        <w:jc w:val="left"/>
      </w:pPr>
      <w:rPr>
        <w:rFonts w:ascii="Verdana" w:eastAsia="Verdana" w:hAnsi="Verdana" w:cs="Verdana" w:hint="default"/>
        <w:b/>
        <w:bCs/>
        <w:spacing w:val="-17"/>
        <w:w w:val="100"/>
        <w:sz w:val="18"/>
        <w:szCs w:val="18"/>
      </w:rPr>
    </w:lvl>
    <w:lvl w:ilvl="1" w:tplc="091497B2">
      <w:start w:val="1"/>
      <w:numFmt w:val="decimal"/>
      <w:lvlText w:val="%1.%2."/>
      <w:lvlJc w:val="left"/>
      <w:pPr>
        <w:ind w:left="789" w:hanging="430"/>
        <w:jc w:val="left"/>
      </w:pPr>
      <w:rPr>
        <w:rFonts w:ascii="Verdana" w:eastAsia="Verdana" w:hAnsi="Verdana" w:cs="Verdana" w:hint="default"/>
        <w:spacing w:val="-1"/>
        <w:w w:val="100"/>
        <w:sz w:val="18"/>
        <w:szCs w:val="18"/>
      </w:rPr>
    </w:lvl>
    <w:lvl w:ilvl="2" w:tplc="F4922DB8">
      <w:numFmt w:val="bullet"/>
      <w:lvlText w:val="•"/>
      <w:lvlJc w:val="left"/>
      <w:pPr>
        <w:ind w:left="800" w:hanging="430"/>
      </w:pPr>
      <w:rPr>
        <w:rFonts w:hint="default"/>
      </w:rPr>
    </w:lvl>
    <w:lvl w:ilvl="3" w:tplc="3934FA76">
      <w:numFmt w:val="bullet"/>
      <w:lvlText w:val="•"/>
      <w:lvlJc w:val="left"/>
      <w:pPr>
        <w:ind w:left="1900" w:hanging="430"/>
      </w:pPr>
      <w:rPr>
        <w:rFonts w:hint="default"/>
      </w:rPr>
    </w:lvl>
    <w:lvl w:ilvl="4" w:tplc="2CB0C904">
      <w:numFmt w:val="bullet"/>
      <w:lvlText w:val="•"/>
      <w:lvlJc w:val="left"/>
      <w:pPr>
        <w:ind w:left="3000" w:hanging="430"/>
      </w:pPr>
      <w:rPr>
        <w:rFonts w:hint="default"/>
      </w:rPr>
    </w:lvl>
    <w:lvl w:ilvl="5" w:tplc="4DAE938E">
      <w:numFmt w:val="bullet"/>
      <w:lvlText w:val="•"/>
      <w:lvlJc w:val="left"/>
      <w:pPr>
        <w:ind w:left="4100" w:hanging="430"/>
      </w:pPr>
      <w:rPr>
        <w:rFonts w:hint="default"/>
      </w:rPr>
    </w:lvl>
    <w:lvl w:ilvl="6" w:tplc="1118347A">
      <w:numFmt w:val="bullet"/>
      <w:lvlText w:val="•"/>
      <w:lvlJc w:val="left"/>
      <w:pPr>
        <w:ind w:left="5200" w:hanging="430"/>
      </w:pPr>
      <w:rPr>
        <w:rFonts w:hint="default"/>
      </w:rPr>
    </w:lvl>
    <w:lvl w:ilvl="7" w:tplc="BB1819E2">
      <w:numFmt w:val="bullet"/>
      <w:lvlText w:val="•"/>
      <w:lvlJc w:val="left"/>
      <w:pPr>
        <w:ind w:left="6300" w:hanging="430"/>
      </w:pPr>
      <w:rPr>
        <w:rFonts w:hint="default"/>
      </w:rPr>
    </w:lvl>
    <w:lvl w:ilvl="8" w:tplc="58C4C03E">
      <w:numFmt w:val="bullet"/>
      <w:lvlText w:val="•"/>
      <w:lvlJc w:val="left"/>
      <w:pPr>
        <w:ind w:left="7400" w:hanging="430"/>
      </w:pPr>
      <w:rPr>
        <w:rFonts w:hint="default"/>
      </w:rPr>
    </w:lvl>
  </w:abstractNum>
  <w:abstractNum w:abstractNumId="28" w15:restartNumberingAfterBreak="0">
    <w:nsid w:val="446B0B88"/>
    <w:multiLevelType w:val="hybridMultilevel"/>
    <w:tmpl w:val="257679B0"/>
    <w:lvl w:ilvl="0" w:tplc="C10EEA8A">
      <w:start w:val="79"/>
      <w:numFmt w:val="decimal"/>
      <w:lvlText w:val="%1."/>
      <w:lvlJc w:val="left"/>
      <w:pPr>
        <w:ind w:left="470" w:hanging="980"/>
        <w:jc w:val="left"/>
      </w:pPr>
      <w:rPr>
        <w:rFonts w:ascii="Verdana" w:eastAsia="Verdana" w:hAnsi="Verdana" w:cs="Verdana" w:hint="default"/>
        <w:w w:val="99"/>
        <w:sz w:val="20"/>
        <w:szCs w:val="20"/>
      </w:rPr>
    </w:lvl>
    <w:lvl w:ilvl="1" w:tplc="4EDCCFBC">
      <w:numFmt w:val="bullet"/>
      <w:lvlText w:val="•"/>
      <w:lvlJc w:val="left"/>
      <w:pPr>
        <w:ind w:left="1446" w:hanging="980"/>
      </w:pPr>
      <w:rPr>
        <w:rFonts w:hint="default"/>
      </w:rPr>
    </w:lvl>
    <w:lvl w:ilvl="2" w:tplc="F5B26FD8">
      <w:numFmt w:val="bullet"/>
      <w:lvlText w:val="•"/>
      <w:lvlJc w:val="left"/>
      <w:pPr>
        <w:ind w:left="2412" w:hanging="980"/>
      </w:pPr>
      <w:rPr>
        <w:rFonts w:hint="default"/>
      </w:rPr>
    </w:lvl>
    <w:lvl w:ilvl="3" w:tplc="0B82D382">
      <w:numFmt w:val="bullet"/>
      <w:lvlText w:val="•"/>
      <w:lvlJc w:val="left"/>
      <w:pPr>
        <w:ind w:left="3378" w:hanging="980"/>
      </w:pPr>
      <w:rPr>
        <w:rFonts w:hint="default"/>
      </w:rPr>
    </w:lvl>
    <w:lvl w:ilvl="4" w:tplc="CADAC9E6">
      <w:numFmt w:val="bullet"/>
      <w:lvlText w:val="•"/>
      <w:lvlJc w:val="left"/>
      <w:pPr>
        <w:ind w:left="4344" w:hanging="980"/>
      </w:pPr>
      <w:rPr>
        <w:rFonts w:hint="default"/>
      </w:rPr>
    </w:lvl>
    <w:lvl w:ilvl="5" w:tplc="1036675C">
      <w:numFmt w:val="bullet"/>
      <w:lvlText w:val="•"/>
      <w:lvlJc w:val="left"/>
      <w:pPr>
        <w:ind w:left="5310" w:hanging="980"/>
      </w:pPr>
      <w:rPr>
        <w:rFonts w:hint="default"/>
      </w:rPr>
    </w:lvl>
    <w:lvl w:ilvl="6" w:tplc="B082FBF8">
      <w:numFmt w:val="bullet"/>
      <w:lvlText w:val="•"/>
      <w:lvlJc w:val="left"/>
      <w:pPr>
        <w:ind w:left="6276" w:hanging="980"/>
      </w:pPr>
      <w:rPr>
        <w:rFonts w:hint="default"/>
      </w:rPr>
    </w:lvl>
    <w:lvl w:ilvl="7" w:tplc="0A888396">
      <w:numFmt w:val="bullet"/>
      <w:lvlText w:val="•"/>
      <w:lvlJc w:val="left"/>
      <w:pPr>
        <w:ind w:left="7242" w:hanging="980"/>
      </w:pPr>
      <w:rPr>
        <w:rFonts w:hint="default"/>
      </w:rPr>
    </w:lvl>
    <w:lvl w:ilvl="8" w:tplc="8D4C184E">
      <w:numFmt w:val="bullet"/>
      <w:lvlText w:val="•"/>
      <w:lvlJc w:val="left"/>
      <w:pPr>
        <w:ind w:left="8208" w:hanging="980"/>
      </w:pPr>
      <w:rPr>
        <w:rFonts w:hint="default"/>
      </w:rPr>
    </w:lvl>
  </w:abstractNum>
  <w:abstractNum w:abstractNumId="29" w15:restartNumberingAfterBreak="0">
    <w:nsid w:val="46353374"/>
    <w:multiLevelType w:val="hybridMultilevel"/>
    <w:tmpl w:val="35320BC4"/>
    <w:lvl w:ilvl="0" w:tplc="B4B867CC">
      <w:start w:val="75"/>
      <w:numFmt w:val="decimal"/>
      <w:lvlText w:val="%1."/>
      <w:lvlJc w:val="left"/>
      <w:pPr>
        <w:ind w:left="458" w:hanging="709"/>
        <w:jc w:val="left"/>
      </w:pPr>
      <w:rPr>
        <w:rFonts w:ascii="Verdana" w:eastAsia="Verdana" w:hAnsi="Verdana" w:cs="Verdana" w:hint="default"/>
        <w:w w:val="99"/>
        <w:sz w:val="20"/>
        <w:szCs w:val="20"/>
      </w:rPr>
    </w:lvl>
    <w:lvl w:ilvl="1" w:tplc="5A4816D8">
      <w:start w:val="1"/>
      <w:numFmt w:val="upperRoman"/>
      <w:lvlText w:val="%2."/>
      <w:lvlJc w:val="left"/>
      <w:pPr>
        <w:ind w:left="1314" w:hanging="567"/>
        <w:jc w:val="right"/>
      </w:pPr>
      <w:rPr>
        <w:rFonts w:ascii="Verdana" w:eastAsia="Verdana" w:hAnsi="Verdana" w:cs="Verdana" w:hint="default"/>
        <w:b/>
        <w:bCs/>
        <w:spacing w:val="-1"/>
        <w:w w:val="99"/>
        <w:sz w:val="20"/>
        <w:szCs w:val="20"/>
      </w:rPr>
    </w:lvl>
    <w:lvl w:ilvl="2" w:tplc="CDD4DAEA">
      <w:numFmt w:val="bullet"/>
      <w:lvlText w:val="•"/>
      <w:lvlJc w:val="left"/>
      <w:pPr>
        <w:ind w:left="1320" w:hanging="567"/>
      </w:pPr>
      <w:rPr>
        <w:rFonts w:hint="default"/>
      </w:rPr>
    </w:lvl>
    <w:lvl w:ilvl="3" w:tplc="EC3EA638">
      <w:numFmt w:val="bullet"/>
      <w:lvlText w:val="•"/>
      <w:lvlJc w:val="left"/>
      <w:pPr>
        <w:ind w:left="2255" w:hanging="567"/>
      </w:pPr>
      <w:rPr>
        <w:rFonts w:hint="default"/>
      </w:rPr>
    </w:lvl>
    <w:lvl w:ilvl="4" w:tplc="2B3057C8">
      <w:numFmt w:val="bullet"/>
      <w:lvlText w:val="•"/>
      <w:lvlJc w:val="left"/>
      <w:pPr>
        <w:ind w:left="3191" w:hanging="567"/>
      </w:pPr>
      <w:rPr>
        <w:rFonts w:hint="default"/>
      </w:rPr>
    </w:lvl>
    <w:lvl w:ilvl="5" w:tplc="F856A960">
      <w:numFmt w:val="bullet"/>
      <w:lvlText w:val="•"/>
      <w:lvlJc w:val="left"/>
      <w:pPr>
        <w:ind w:left="4127" w:hanging="567"/>
      </w:pPr>
      <w:rPr>
        <w:rFonts w:hint="default"/>
      </w:rPr>
    </w:lvl>
    <w:lvl w:ilvl="6" w:tplc="6010A91E">
      <w:numFmt w:val="bullet"/>
      <w:lvlText w:val="•"/>
      <w:lvlJc w:val="left"/>
      <w:pPr>
        <w:ind w:left="5063" w:hanging="567"/>
      </w:pPr>
      <w:rPr>
        <w:rFonts w:hint="default"/>
      </w:rPr>
    </w:lvl>
    <w:lvl w:ilvl="7" w:tplc="77F44FA2">
      <w:numFmt w:val="bullet"/>
      <w:lvlText w:val="•"/>
      <w:lvlJc w:val="left"/>
      <w:pPr>
        <w:ind w:left="5999" w:hanging="567"/>
      </w:pPr>
      <w:rPr>
        <w:rFonts w:hint="default"/>
      </w:rPr>
    </w:lvl>
    <w:lvl w:ilvl="8" w:tplc="92FC5704">
      <w:numFmt w:val="bullet"/>
      <w:lvlText w:val="•"/>
      <w:lvlJc w:val="left"/>
      <w:pPr>
        <w:ind w:left="6934" w:hanging="567"/>
      </w:pPr>
      <w:rPr>
        <w:rFonts w:hint="default"/>
      </w:rPr>
    </w:lvl>
  </w:abstractNum>
  <w:abstractNum w:abstractNumId="30" w15:restartNumberingAfterBreak="0">
    <w:nsid w:val="48C73776"/>
    <w:multiLevelType w:val="hybridMultilevel"/>
    <w:tmpl w:val="BA4C696E"/>
    <w:lvl w:ilvl="0" w:tplc="2D6832E2">
      <w:start w:val="5"/>
      <w:numFmt w:val="decimal"/>
      <w:lvlText w:val="%1"/>
      <w:lvlJc w:val="left"/>
      <w:pPr>
        <w:ind w:left="4174" w:hanging="423"/>
        <w:jc w:val="left"/>
      </w:pPr>
      <w:rPr>
        <w:rFonts w:hint="default"/>
      </w:rPr>
    </w:lvl>
    <w:lvl w:ilvl="1" w:tplc="6C0C9C46">
      <w:start w:val="1"/>
      <w:numFmt w:val="decimal"/>
      <w:lvlText w:val="%1.%2"/>
      <w:lvlJc w:val="left"/>
      <w:pPr>
        <w:ind w:left="4174" w:hanging="423"/>
        <w:jc w:val="left"/>
      </w:pPr>
      <w:rPr>
        <w:rFonts w:ascii="Verdana" w:eastAsia="Verdana" w:hAnsi="Verdana" w:cs="Verdana" w:hint="default"/>
        <w:b/>
        <w:bCs/>
        <w:w w:val="99"/>
        <w:sz w:val="20"/>
        <w:szCs w:val="20"/>
      </w:rPr>
    </w:lvl>
    <w:lvl w:ilvl="2" w:tplc="B4D4C42A">
      <w:start w:val="1"/>
      <w:numFmt w:val="upperLetter"/>
      <w:lvlText w:val="%3."/>
      <w:lvlJc w:val="left"/>
      <w:pPr>
        <w:ind w:left="838" w:hanging="361"/>
        <w:jc w:val="left"/>
      </w:pPr>
      <w:rPr>
        <w:rFonts w:ascii="Verdana" w:eastAsia="Verdana" w:hAnsi="Verdana" w:cs="Verdana" w:hint="default"/>
        <w:b/>
        <w:bCs/>
        <w:spacing w:val="-2"/>
        <w:w w:val="99"/>
        <w:sz w:val="20"/>
        <w:szCs w:val="20"/>
      </w:rPr>
    </w:lvl>
    <w:lvl w:ilvl="3" w:tplc="22846BEA">
      <w:start w:val="1"/>
      <w:numFmt w:val="decimal"/>
      <w:lvlText w:val="%3.%4"/>
      <w:lvlJc w:val="left"/>
      <w:pPr>
        <w:ind w:left="1560" w:hanging="721"/>
        <w:jc w:val="left"/>
      </w:pPr>
      <w:rPr>
        <w:rFonts w:ascii="Verdana" w:eastAsia="Verdana" w:hAnsi="Verdana" w:cs="Verdana" w:hint="default"/>
        <w:b/>
        <w:bCs/>
        <w:i/>
        <w:spacing w:val="-1"/>
        <w:w w:val="99"/>
        <w:sz w:val="20"/>
        <w:szCs w:val="20"/>
      </w:rPr>
    </w:lvl>
    <w:lvl w:ilvl="4" w:tplc="6436D090">
      <w:numFmt w:val="bullet"/>
      <w:lvlText w:val="•"/>
      <w:lvlJc w:val="left"/>
      <w:pPr>
        <w:ind w:left="5535" w:hanging="721"/>
      </w:pPr>
      <w:rPr>
        <w:rFonts w:hint="default"/>
      </w:rPr>
    </w:lvl>
    <w:lvl w:ilvl="5" w:tplc="D6DC5528">
      <w:numFmt w:val="bullet"/>
      <w:lvlText w:val="•"/>
      <w:lvlJc w:val="left"/>
      <w:pPr>
        <w:ind w:left="6212" w:hanging="721"/>
      </w:pPr>
      <w:rPr>
        <w:rFonts w:hint="default"/>
      </w:rPr>
    </w:lvl>
    <w:lvl w:ilvl="6" w:tplc="451255D4">
      <w:numFmt w:val="bullet"/>
      <w:lvlText w:val="•"/>
      <w:lvlJc w:val="left"/>
      <w:pPr>
        <w:ind w:left="6890" w:hanging="721"/>
      </w:pPr>
      <w:rPr>
        <w:rFonts w:hint="default"/>
      </w:rPr>
    </w:lvl>
    <w:lvl w:ilvl="7" w:tplc="1924DFC4">
      <w:numFmt w:val="bullet"/>
      <w:lvlText w:val="•"/>
      <w:lvlJc w:val="left"/>
      <w:pPr>
        <w:ind w:left="7567" w:hanging="721"/>
      </w:pPr>
      <w:rPr>
        <w:rFonts w:hint="default"/>
      </w:rPr>
    </w:lvl>
    <w:lvl w:ilvl="8" w:tplc="E84EAD10">
      <w:numFmt w:val="bullet"/>
      <w:lvlText w:val="•"/>
      <w:lvlJc w:val="left"/>
      <w:pPr>
        <w:ind w:left="8245" w:hanging="721"/>
      </w:pPr>
      <w:rPr>
        <w:rFonts w:hint="default"/>
      </w:rPr>
    </w:lvl>
  </w:abstractNum>
  <w:abstractNum w:abstractNumId="31" w15:restartNumberingAfterBreak="0">
    <w:nsid w:val="4AE0462E"/>
    <w:multiLevelType w:val="hybridMultilevel"/>
    <w:tmpl w:val="0D8285BC"/>
    <w:lvl w:ilvl="0" w:tplc="E958733A">
      <w:start w:val="1"/>
      <w:numFmt w:val="upperLetter"/>
      <w:lvlText w:val="%1."/>
      <w:lvlJc w:val="left"/>
      <w:pPr>
        <w:ind w:left="600" w:hanging="480"/>
        <w:jc w:val="left"/>
      </w:pPr>
      <w:rPr>
        <w:rFonts w:ascii="Verdana" w:eastAsia="Verdana" w:hAnsi="Verdana" w:cs="Verdana" w:hint="default"/>
        <w:b/>
        <w:bCs/>
        <w:spacing w:val="-4"/>
        <w:w w:val="100"/>
        <w:sz w:val="18"/>
        <w:szCs w:val="18"/>
      </w:rPr>
    </w:lvl>
    <w:lvl w:ilvl="1" w:tplc="DFD0B370">
      <w:start w:val="1"/>
      <w:numFmt w:val="decimal"/>
      <w:lvlText w:val="%1.%2"/>
      <w:lvlJc w:val="left"/>
      <w:pPr>
        <w:ind w:left="725" w:hanging="365"/>
        <w:jc w:val="left"/>
      </w:pPr>
      <w:rPr>
        <w:rFonts w:ascii="Verdana" w:eastAsia="Verdana" w:hAnsi="Verdana" w:cs="Verdana" w:hint="default"/>
        <w:spacing w:val="-1"/>
        <w:w w:val="100"/>
        <w:sz w:val="18"/>
        <w:szCs w:val="18"/>
      </w:rPr>
    </w:lvl>
    <w:lvl w:ilvl="2" w:tplc="4844B7A0">
      <w:numFmt w:val="bullet"/>
      <w:lvlText w:val="•"/>
      <w:lvlJc w:val="left"/>
      <w:pPr>
        <w:ind w:left="1706" w:hanging="365"/>
      </w:pPr>
      <w:rPr>
        <w:rFonts w:hint="default"/>
      </w:rPr>
    </w:lvl>
    <w:lvl w:ilvl="3" w:tplc="2DAC7A3E">
      <w:numFmt w:val="bullet"/>
      <w:lvlText w:val="•"/>
      <w:lvlJc w:val="left"/>
      <w:pPr>
        <w:ind w:left="2693" w:hanging="365"/>
      </w:pPr>
      <w:rPr>
        <w:rFonts w:hint="default"/>
      </w:rPr>
    </w:lvl>
    <w:lvl w:ilvl="4" w:tplc="2696902A">
      <w:numFmt w:val="bullet"/>
      <w:lvlText w:val="•"/>
      <w:lvlJc w:val="left"/>
      <w:pPr>
        <w:ind w:left="3680" w:hanging="365"/>
      </w:pPr>
      <w:rPr>
        <w:rFonts w:hint="default"/>
      </w:rPr>
    </w:lvl>
    <w:lvl w:ilvl="5" w:tplc="19ECE96C">
      <w:numFmt w:val="bullet"/>
      <w:lvlText w:val="•"/>
      <w:lvlJc w:val="left"/>
      <w:pPr>
        <w:ind w:left="4666" w:hanging="365"/>
      </w:pPr>
      <w:rPr>
        <w:rFonts w:hint="default"/>
      </w:rPr>
    </w:lvl>
    <w:lvl w:ilvl="6" w:tplc="9970DDD8">
      <w:numFmt w:val="bullet"/>
      <w:lvlText w:val="•"/>
      <w:lvlJc w:val="left"/>
      <w:pPr>
        <w:ind w:left="5653" w:hanging="365"/>
      </w:pPr>
      <w:rPr>
        <w:rFonts w:hint="default"/>
      </w:rPr>
    </w:lvl>
    <w:lvl w:ilvl="7" w:tplc="48484ED2">
      <w:numFmt w:val="bullet"/>
      <w:lvlText w:val="•"/>
      <w:lvlJc w:val="left"/>
      <w:pPr>
        <w:ind w:left="6640" w:hanging="365"/>
      </w:pPr>
      <w:rPr>
        <w:rFonts w:hint="default"/>
      </w:rPr>
    </w:lvl>
    <w:lvl w:ilvl="8" w:tplc="512C7E08">
      <w:numFmt w:val="bullet"/>
      <w:lvlText w:val="•"/>
      <w:lvlJc w:val="left"/>
      <w:pPr>
        <w:ind w:left="7626" w:hanging="365"/>
      </w:pPr>
      <w:rPr>
        <w:rFonts w:hint="default"/>
      </w:rPr>
    </w:lvl>
  </w:abstractNum>
  <w:abstractNum w:abstractNumId="32" w15:restartNumberingAfterBreak="0">
    <w:nsid w:val="4B74636C"/>
    <w:multiLevelType w:val="hybridMultilevel"/>
    <w:tmpl w:val="D4DA4292"/>
    <w:lvl w:ilvl="0" w:tplc="642412AC">
      <w:start w:val="8"/>
      <w:numFmt w:val="decimal"/>
      <w:lvlText w:val="%1."/>
      <w:lvlJc w:val="left"/>
      <w:pPr>
        <w:ind w:left="120" w:hanging="567"/>
        <w:jc w:val="left"/>
      </w:pPr>
      <w:rPr>
        <w:rFonts w:ascii="Verdana" w:eastAsia="Verdana" w:hAnsi="Verdana" w:cs="Verdana" w:hint="default"/>
        <w:w w:val="99"/>
        <w:sz w:val="20"/>
        <w:szCs w:val="20"/>
      </w:rPr>
    </w:lvl>
    <w:lvl w:ilvl="1" w:tplc="A0AEB280">
      <w:start w:val="1"/>
      <w:numFmt w:val="upperLetter"/>
      <w:lvlText w:val="%2."/>
      <w:lvlJc w:val="left"/>
      <w:pPr>
        <w:ind w:left="839" w:hanging="361"/>
        <w:jc w:val="left"/>
      </w:pPr>
      <w:rPr>
        <w:rFonts w:ascii="Verdana" w:eastAsia="Verdana" w:hAnsi="Verdana" w:cs="Verdana" w:hint="default"/>
        <w:b/>
        <w:bCs/>
        <w:spacing w:val="-2"/>
        <w:w w:val="99"/>
        <w:sz w:val="20"/>
        <w:szCs w:val="20"/>
      </w:rPr>
    </w:lvl>
    <w:lvl w:ilvl="2" w:tplc="7964712E">
      <w:start w:val="1"/>
      <w:numFmt w:val="decimal"/>
      <w:lvlText w:val="%2.%3."/>
      <w:lvlJc w:val="left"/>
      <w:pPr>
        <w:ind w:left="839" w:hanging="662"/>
        <w:jc w:val="left"/>
      </w:pPr>
      <w:rPr>
        <w:rFonts w:ascii="Verdana" w:eastAsia="Verdana" w:hAnsi="Verdana" w:cs="Verdana" w:hint="default"/>
        <w:b/>
        <w:bCs/>
        <w:i/>
        <w:spacing w:val="-2"/>
        <w:w w:val="99"/>
        <w:sz w:val="20"/>
        <w:szCs w:val="20"/>
      </w:rPr>
    </w:lvl>
    <w:lvl w:ilvl="3" w:tplc="8D5EB004">
      <w:numFmt w:val="bullet"/>
      <w:lvlText w:val="•"/>
      <w:lvlJc w:val="left"/>
      <w:pPr>
        <w:ind w:left="2786" w:hanging="662"/>
      </w:pPr>
      <w:rPr>
        <w:rFonts w:hint="default"/>
      </w:rPr>
    </w:lvl>
    <w:lvl w:ilvl="4" w:tplc="1AAA624A">
      <w:numFmt w:val="bullet"/>
      <w:lvlText w:val="•"/>
      <w:lvlJc w:val="left"/>
      <w:pPr>
        <w:ind w:left="3760" w:hanging="662"/>
      </w:pPr>
      <w:rPr>
        <w:rFonts w:hint="default"/>
      </w:rPr>
    </w:lvl>
    <w:lvl w:ilvl="5" w:tplc="3BD6E0B4">
      <w:numFmt w:val="bullet"/>
      <w:lvlText w:val="•"/>
      <w:lvlJc w:val="left"/>
      <w:pPr>
        <w:ind w:left="4733" w:hanging="662"/>
      </w:pPr>
      <w:rPr>
        <w:rFonts w:hint="default"/>
      </w:rPr>
    </w:lvl>
    <w:lvl w:ilvl="6" w:tplc="D376DE80">
      <w:numFmt w:val="bullet"/>
      <w:lvlText w:val="•"/>
      <w:lvlJc w:val="left"/>
      <w:pPr>
        <w:ind w:left="5706" w:hanging="662"/>
      </w:pPr>
      <w:rPr>
        <w:rFonts w:hint="default"/>
      </w:rPr>
    </w:lvl>
    <w:lvl w:ilvl="7" w:tplc="8522E7B4">
      <w:numFmt w:val="bullet"/>
      <w:lvlText w:val="•"/>
      <w:lvlJc w:val="left"/>
      <w:pPr>
        <w:ind w:left="6680" w:hanging="662"/>
      </w:pPr>
      <w:rPr>
        <w:rFonts w:hint="default"/>
      </w:rPr>
    </w:lvl>
    <w:lvl w:ilvl="8" w:tplc="956E13B4">
      <w:numFmt w:val="bullet"/>
      <w:lvlText w:val="•"/>
      <w:lvlJc w:val="left"/>
      <w:pPr>
        <w:ind w:left="7653" w:hanging="662"/>
      </w:pPr>
      <w:rPr>
        <w:rFonts w:hint="default"/>
      </w:rPr>
    </w:lvl>
  </w:abstractNum>
  <w:abstractNum w:abstractNumId="33" w15:restartNumberingAfterBreak="0">
    <w:nsid w:val="4EAE24AD"/>
    <w:multiLevelType w:val="hybridMultilevel"/>
    <w:tmpl w:val="9A2C13C2"/>
    <w:lvl w:ilvl="0" w:tplc="5F56DFBE">
      <w:start w:val="1"/>
      <w:numFmt w:val="lowerLetter"/>
      <w:lvlText w:val="%1)"/>
      <w:lvlJc w:val="left"/>
      <w:pPr>
        <w:ind w:left="696" w:hanging="226"/>
        <w:jc w:val="left"/>
      </w:pPr>
      <w:rPr>
        <w:rFonts w:ascii="Verdana" w:eastAsia="Verdana" w:hAnsi="Verdana" w:cs="Verdana" w:hint="default"/>
        <w:i/>
        <w:spacing w:val="-1"/>
        <w:w w:val="100"/>
        <w:sz w:val="16"/>
        <w:szCs w:val="16"/>
      </w:rPr>
    </w:lvl>
    <w:lvl w:ilvl="1" w:tplc="224E6140">
      <w:numFmt w:val="bullet"/>
      <w:lvlText w:val="•"/>
      <w:lvlJc w:val="left"/>
      <w:pPr>
        <w:ind w:left="1644" w:hanging="226"/>
      </w:pPr>
      <w:rPr>
        <w:rFonts w:hint="default"/>
      </w:rPr>
    </w:lvl>
    <w:lvl w:ilvl="2" w:tplc="2B9C6A46">
      <w:numFmt w:val="bullet"/>
      <w:lvlText w:val="•"/>
      <w:lvlJc w:val="left"/>
      <w:pPr>
        <w:ind w:left="2588" w:hanging="226"/>
      </w:pPr>
      <w:rPr>
        <w:rFonts w:hint="default"/>
      </w:rPr>
    </w:lvl>
    <w:lvl w:ilvl="3" w:tplc="5B7C1918">
      <w:numFmt w:val="bullet"/>
      <w:lvlText w:val="•"/>
      <w:lvlJc w:val="left"/>
      <w:pPr>
        <w:ind w:left="3532" w:hanging="226"/>
      </w:pPr>
      <w:rPr>
        <w:rFonts w:hint="default"/>
      </w:rPr>
    </w:lvl>
    <w:lvl w:ilvl="4" w:tplc="187EFCA6">
      <w:numFmt w:val="bullet"/>
      <w:lvlText w:val="•"/>
      <w:lvlJc w:val="left"/>
      <w:pPr>
        <w:ind w:left="4476" w:hanging="226"/>
      </w:pPr>
      <w:rPr>
        <w:rFonts w:hint="default"/>
      </w:rPr>
    </w:lvl>
    <w:lvl w:ilvl="5" w:tplc="F4806F28">
      <w:numFmt w:val="bullet"/>
      <w:lvlText w:val="•"/>
      <w:lvlJc w:val="left"/>
      <w:pPr>
        <w:ind w:left="5420" w:hanging="226"/>
      </w:pPr>
      <w:rPr>
        <w:rFonts w:hint="default"/>
      </w:rPr>
    </w:lvl>
    <w:lvl w:ilvl="6" w:tplc="F4B8BB16">
      <w:numFmt w:val="bullet"/>
      <w:lvlText w:val="•"/>
      <w:lvlJc w:val="left"/>
      <w:pPr>
        <w:ind w:left="6364" w:hanging="226"/>
      </w:pPr>
      <w:rPr>
        <w:rFonts w:hint="default"/>
      </w:rPr>
    </w:lvl>
    <w:lvl w:ilvl="7" w:tplc="D3782EA2">
      <w:numFmt w:val="bullet"/>
      <w:lvlText w:val="•"/>
      <w:lvlJc w:val="left"/>
      <w:pPr>
        <w:ind w:left="7308" w:hanging="226"/>
      </w:pPr>
      <w:rPr>
        <w:rFonts w:hint="default"/>
      </w:rPr>
    </w:lvl>
    <w:lvl w:ilvl="8" w:tplc="7B92F872">
      <w:numFmt w:val="bullet"/>
      <w:lvlText w:val="•"/>
      <w:lvlJc w:val="left"/>
      <w:pPr>
        <w:ind w:left="8252" w:hanging="226"/>
      </w:pPr>
      <w:rPr>
        <w:rFonts w:hint="default"/>
      </w:rPr>
    </w:lvl>
  </w:abstractNum>
  <w:abstractNum w:abstractNumId="34" w15:restartNumberingAfterBreak="0">
    <w:nsid w:val="4F8E3DFE"/>
    <w:multiLevelType w:val="hybridMultilevel"/>
    <w:tmpl w:val="F2AA1B86"/>
    <w:lvl w:ilvl="0" w:tplc="2C4CC3EA">
      <w:start w:val="4"/>
      <w:numFmt w:val="decimal"/>
      <w:lvlText w:val="%1"/>
      <w:lvlJc w:val="left"/>
      <w:pPr>
        <w:ind w:left="119" w:hanging="387"/>
        <w:jc w:val="left"/>
      </w:pPr>
      <w:rPr>
        <w:rFonts w:hint="default"/>
      </w:rPr>
    </w:lvl>
    <w:lvl w:ilvl="1" w:tplc="7B48F0E2">
      <w:start w:val="1"/>
      <w:numFmt w:val="decimal"/>
      <w:lvlText w:val="%1.%2"/>
      <w:lvlJc w:val="left"/>
      <w:pPr>
        <w:ind w:left="119" w:hanging="387"/>
        <w:jc w:val="left"/>
      </w:pPr>
      <w:rPr>
        <w:rFonts w:ascii="Verdana" w:eastAsia="Verdana" w:hAnsi="Verdana" w:cs="Verdana" w:hint="default"/>
        <w:spacing w:val="-1"/>
        <w:w w:val="99"/>
        <w:sz w:val="20"/>
        <w:szCs w:val="20"/>
      </w:rPr>
    </w:lvl>
    <w:lvl w:ilvl="2" w:tplc="D736E12A">
      <w:start w:val="1"/>
      <w:numFmt w:val="upperLetter"/>
      <w:lvlText w:val="%3."/>
      <w:lvlJc w:val="left"/>
      <w:pPr>
        <w:ind w:left="838" w:hanging="361"/>
        <w:jc w:val="left"/>
      </w:pPr>
      <w:rPr>
        <w:rFonts w:ascii="Verdana" w:eastAsia="Verdana" w:hAnsi="Verdana" w:cs="Verdana" w:hint="default"/>
        <w:b/>
        <w:bCs/>
        <w:spacing w:val="-2"/>
        <w:w w:val="99"/>
        <w:sz w:val="20"/>
        <w:szCs w:val="20"/>
      </w:rPr>
    </w:lvl>
    <w:lvl w:ilvl="3" w:tplc="B914D846">
      <w:start w:val="1"/>
      <w:numFmt w:val="decimal"/>
      <w:lvlText w:val="%3.%4"/>
      <w:lvlJc w:val="left"/>
      <w:pPr>
        <w:ind w:left="840" w:hanging="721"/>
        <w:jc w:val="left"/>
      </w:pPr>
      <w:rPr>
        <w:rFonts w:ascii="Verdana" w:eastAsia="Verdana" w:hAnsi="Verdana" w:cs="Verdana" w:hint="default"/>
        <w:b/>
        <w:bCs/>
        <w:i/>
        <w:spacing w:val="-1"/>
        <w:w w:val="99"/>
        <w:sz w:val="20"/>
        <w:szCs w:val="20"/>
      </w:rPr>
    </w:lvl>
    <w:lvl w:ilvl="4" w:tplc="74E4CAC6">
      <w:start w:val="1"/>
      <w:numFmt w:val="decimal"/>
      <w:lvlText w:val="%3.%4.%5"/>
      <w:lvlJc w:val="left"/>
      <w:pPr>
        <w:ind w:left="840" w:hanging="653"/>
        <w:jc w:val="left"/>
      </w:pPr>
      <w:rPr>
        <w:rFonts w:ascii="Verdana" w:eastAsia="Verdana" w:hAnsi="Verdana" w:cs="Verdana" w:hint="default"/>
        <w:b/>
        <w:bCs/>
        <w:i/>
        <w:spacing w:val="-1"/>
        <w:w w:val="99"/>
        <w:sz w:val="20"/>
        <w:szCs w:val="20"/>
      </w:rPr>
    </w:lvl>
    <w:lvl w:ilvl="5" w:tplc="82FC70E8">
      <w:numFmt w:val="bullet"/>
      <w:lvlText w:val="•"/>
      <w:lvlJc w:val="left"/>
      <w:pPr>
        <w:ind w:left="4733" w:hanging="653"/>
      </w:pPr>
      <w:rPr>
        <w:rFonts w:hint="default"/>
      </w:rPr>
    </w:lvl>
    <w:lvl w:ilvl="6" w:tplc="E6F278E0">
      <w:numFmt w:val="bullet"/>
      <w:lvlText w:val="•"/>
      <w:lvlJc w:val="left"/>
      <w:pPr>
        <w:ind w:left="5706" w:hanging="653"/>
      </w:pPr>
      <w:rPr>
        <w:rFonts w:hint="default"/>
      </w:rPr>
    </w:lvl>
    <w:lvl w:ilvl="7" w:tplc="8862BE0E">
      <w:numFmt w:val="bullet"/>
      <w:lvlText w:val="•"/>
      <w:lvlJc w:val="left"/>
      <w:pPr>
        <w:ind w:left="6680" w:hanging="653"/>
      </w:pPr>
      <w:rPr>
        <w:rFonts w:hint="default"/>
      </w:rPr>
    </w:lvl>
    <w:lvl w:ilvl="8" w:tplc="908E364C">
      <w:numFmt w:val="bullet"/>
      <w:lvlText w:val="•"/>
      <w:lvlJc w:val="left"/>
      <w:pPr>
        <w:ind w:left="7653" w:hanging="653"/>
      </w:pPr>
      <w:rPr>
        <w:rFonts w:hint="default"/>
      </w:rPr>
    </w:lvl>
  </w:abstractNum>
  <w:abstractNum w:abstractNumId="35" w15:restartNumberingAfterBreak="0">
    <w:nsid w:val="538145A3"/>
    <w:multiLevelType w:val="hybridMultilevel"/>
    <w:tmpl w:val="A44A27DA"/>
    <w:lvl w:ilvl="0" w:tplc="5352E150">
      <w:start w:val="2"/>
      <w:numFmt w:val="decimal"/>
      <w:lvlText w:val="%1."/>
      <w:lvlJc w:val="left"/>
      <w:pPr>
        <w:ind w:left="470" w:hanging="238"/>
        <w:jc w:val="left"/>
      </w:pPr>
      <w:rPr>
        <w:rFonts w:ascii="Verdana" w:eastAsia="Verdana" w:hAnsi="Verdana" w:cs="Verdana" w:hint="default"/>
        <w:i/>
        <w:w w:val="100"/>
        <w:sz w:val="16"/>
        <w:szCs w:val="16"/>
      </w:rPr>
    </w:lvl>
    <w:lvl w:ilvl="1" w:tplc="4866D7DC">
      <w:numFmt w:val="bullet"/>
      <w:lvlText w:val="•"/>
      <w:lvlJc w:val="left"/>
      <w:pPr>
        <w:ind w:left="1446" w:hanging="238"/>
      </w:pPr>
      <w:rPr>
        <w:rFonts w:hint="default"/>
      </w:rPr>
    </w:lvl>
    <w:lvl w:ilvl="2" w:tplc="CF6610EA">
      <w:numFmt w:val="bullet"/>
      <w:lvlText w:val="•"/>
      <w:lvlJc w:val="left"/>
      <w:pPr>
        <w:ind w:left="2412" w:hanging="238"/>
      </w:pPr>
      <w:rPr>
        <w:rFonts w:hint="default"/>
      </w:rPr>
    </w:lvl>
    <w:lvl w:ilvl="3" w:tplc="3C7E3DFE">
      <w:numFmt w:val="bullet"/>
      <w:lvlText w:val="•"/>
      <w:lvlJc w:val="left"/>
      <w:pPr>
        <w:ind w:left="3378" w:hanging="238"/>
      </w:pPr>
      <w:rPr>
        <w:rFonts w:hint="default"/>
      </w:rPr>
    </w:lvl>
    <w:lvl w:ilvl="4" w:tplc="8826BF1A">
      <w:numFmt w:val="bullet"/>
      <w:lvlText w:val="•"/>
      <w:lvlJc w:val="left"/>
      <w:pPr>
        <w:ind w:left="4344" w:hanging="238"/>
      </w:pPr>
      <w:rPr>
        <w:rFonts w:hint="default"/>
      </w:rPr>
    </w:lvl>
    <w:lvl w:ilvl="5" w:tplc="E682C06C">
      <w:numFmt w:val="bullet"/>
      <w:lvlText w:val="•"/>
      <w:lvlJc w:val="left"/>
      <w:pPr>
        <w:ind w:left="5310" w:hanging="238"/>
      </w:pPr>
      <w:rPr>
        <w:rFonts w:hint="default"/>
      </w:rPr>
    </w:lvl>
    <w:lvl w:ilvl="6" w:tplc="73225040">
      <w:numFmt w:val="bullet"/>
      <w:lvlText w:val="•"/>
      <w:lvlJc w:val="left"/>
      <w:pPr>
        <w:ind w:left="6276" w:hanging="238"/>
      </w:pPr>
      <w:rPr>
        <w:rFonts w:hint="default"/>
      </w:rPr>
    </w:lvl>
    <w:lvl w:ilvl="7" w:tplc="09C298F0">
      <w:numFmt w:val="bullet"/>
      <w:lvlText w:val="•"/>
      <w:lvlJc w:val="left"/>
      <w:pPr>
        <w:ind w:left="7242" w:hanging="238"/>
      </w:pPr>
      <w:rPr>
        <w:rFonts w:hint="default"/>
      </w:rPr>
    </w:lvl>
    <w:lvl w:ilvl="8" w:tplc="C902CCAA">
      <w:numFmt w:val="bullet"/>
      <w:lvlText w:val="•"/>
      <w:lvlJc w:val="left"/>
      <w:pPr>
        <w:ind w:left="8208" w:hanging="238"/>
      </w:pPr>
      <w:rPr>
        <w:rFonts w:hint="default"/>
      </w:rPr>
    </w:lvl>
  </w:abstractNum>
  <w:abstractNum w:abstractNumId="36" w15:restartNumberingAfterBreak="0">
    <w:nsid w:val="55C66713"/>
    <w:multiLevelType w:val="hybridMultilevel"/>
    <w:tmpl w:val="4094B8BA"/>
    <w:lvl w:ilvl="0" w:tplc="4594B64A">
      <w:start w:val="1"/>
      <w:numFmt w:val="upperLetter"/>
      <w:lvlText w:val="%1."/>
      <w:lvlJc w:val="left"/>
      <w:pPr>
        <w:ind w:left="750" w:hanging="293"/>
        <w:jc w:val="left"/>
      </w:pPr>
      <w:rPr>
        <w:rFonts w:ascii="Verdana" w:eastAsia="Verdana" w:hAnsi="Verdana" w:cs="Verdana" w:hint="default"/>
        <w:b/>
        <w:bCs/>
        <w:i/>
        <w:spacing w:val="-2"/>
        <w:w w:val="99"/>
        <w:sz w:val="20"/>
        <w:szCs w:val="20"/>
      </w:rPr>
    </w:lvl>
    <w:lvl w:ilvl="1" w:tplc="B712A05A">
      <w:numFmt w:val="bullet"/>
      <w:lvlText w:val="•"/>
      <w:lvlJc w:val="left"/>
      <w:pPr>
        <w:ind w:left="1698" w:hanging="293"/>
      </w:pPr>
      <w:rPr>
        <w:rFonts w:hint="default"/>
      </w:rPr>
    </w:lvl>
    <w:lvl w:ilvl="2" w:tplc="34E483F4">
      <w:numFmt w:val="bullet"/>
      <w:lvlText w:val="•"/>
      <w:lvlJc w:val="left"/>
      <w:pPr>
        <w:ind w:left="2636" w:hanging="293"/>
      </w:pPr>
      <w:rPr>
        <w:rFonts w:hint="default"/>
      </w:rPr>
    </w:lvl>
    <w:lvl w:ilvl="3" w:tplc="9EC801BC">
      <w:numFmt w:val="bullet"/>
      <w:lvlText w:val="•"/>
      <w:lvlJc w:val="left"/>
      <w:pPr>
        <w:ind w:left="3574" w:hanging="293"/>
      </w:pPr>
      <w:rPr>
        <w:rFonts w:hint="default"/>
      </w:rPr>
    </w:lvl>
    <w:lvl w:ilvl="4" w:tplc="D29AD8DE">
      <w:numFmt w:val="bullet"/>
      <w:lvlText w:val="•"/>
      <w:lvlJc w:val="left"/>
      <w:pPr>
        <w:ind w:left="4512" w:hanging="293"/>
      </w:pPr>
      <w:rPr>
        <w:rFonts w:hint="default"/>
      </w:rPr>
    </w:lvl>
    <w:lvl w:ilvl="5" w:tplc="57E08626">
      <w:numFmt w:val="bullet"/>
      <w:lvlText w:val="•"/>
      <w:lvlJc w:val="left"/>
      <w:pPr>
        <w:ind w:left="5450" w:hanging="293"/>
      </w:pPr>
      <w:rPr>
        <w:rFonts w:hint="default"/>
      </w:rPr>
    </w:lvl>
    <w:lvl w:ilvl="6" w:tplc="DB18DD4C">
      <w:numFmt w:val="bullet"/>
      <w:lvlText w:val="•"/>
      <w:lvlJc w:val="left"/>
      <w:pPr>
        <w:ind w:left="6388" w:hanging="293"/>
      </w:pPr>
      <w:rPr>
        <w:rFonts w:hint="default"/>
      </w:rPr>
    </w:lvl>
    <w:lvl w:ilvl="7" w:tplc="5260C598">
      <w:numFmt w:val="bullet"/>
      <w:lvlText w:val="•"/>
      <w:lvlJc w:val="left"/>
      <w:pPr>
        <w:ind w:left="7326" w:hanging="293"/>
      </w:pPr>
      <w:rPr>
        <w:rFonts w:hint="default"/>
      </w:rPr>
    </w:lvl>
    <w:lvl w:ilvl="8" w:tplc="00E8FDEE">
      <w:numFmt w:val="bullet"/>
      <w:lvlText w:val="•"/>
      <w:lvlJc w:val="left"/>
      <w:pPr>
        <w:ind w:left="8264" w:hanging="293"/>
      </w:pPr>
      <w:rPr>
        <w:rFonts w:hint="default"/>
      </w:rPr>
    </w:lvl>
  </w:abstractNum>
  <w:abstractNum w:abstractNumId="37" w15:restartNumberingAfterBreak="0">
    <w:nsid w:val="55DE6664"/>
    <w:multiLevelType w:val="hybridMultilevel"/>
    <w:tmpl w:val="990E3866"/>
    <w:lvl w:ilvl="0" w:tplc="EDA800B6">
      <w:start w:val="2"/>
      <w:numFmt w:val="upperLetter"/>
      <w:lvlText w:val="%1."/>
      <w:lvlJc w:val="left"/>
      <w:pPr>
        <w:ind w:left="840" w:hanging="361"/>
        <w:jc w:val="left"/>
      </w:pPr>
      <w:rPr>
        <w:rFonts w:ascii="Verdana" w:eastAsia="Verdana" w:hAnsi="Verdana" w:cs="Verdana" w:hint="default"/>
        <w:b/>
        <w:bCs/>
        <w:spacing w:val="-1"/>
        <w:w w:val="99"/>
        <w:sz w:val="20"/>
        <w:szCs w:val="20"/>
      </w:rPr>
    </w:lvl>
    <w:lvl w:ilvl="1" w:tplc="7D48CEC6">
      <w:start w:val="1"/>
      <w:numFmt w:val="decimal"/>
      <w:lvlText w:val="%1.%2"/>
      <w:lvlJc w:val="left"/>
      <w:pPr>
        <w:ind w:left="1559" w:hanging="721"/>
        <w:jc w:val="left"/>
      </w:pPr>
      <w:rPr>
        <w:rFonts w:ascii="Verdana" w:eastAsia="Verdana" w:hAnsi="Verdana" w:cs="Verdana" w:hint="default"/>
        <w:b/>
        <w:bCs/>
        <w:i/>
        <w:spacing w:val="-1"/>
        <w:w w:val="99"/>
        <w:sz w:val="20"/>
        <w:szCs w:val="20"/>
      </w:rPr>
    </w:lvl>
    <w:lvl w:ilvl="2" w:tplc="324C0D64">
      <w:start w:val="1"/>
      <w:numFmt w:val="decimal"/>
      <w:lvlText w:val="%1.%2.%3"/>
      <w:lvlJc w:val="left"/>
      <w:pPr>
        <w:ind w:left="1488" w:hanging="649"/>
        <w:jc w:val="left"/>
      </w:pPr>
      <w:rPr>
        <w:rFonts w:ascii="Verdana" w:eastAsia="Verdana" w:hAnsi="Verdana" w:cs="Verdana" w:hint="default"/>
        <w:b/>
        <w:bCs/>
        <w:i/>
        <w:spacing w:val="-1"/>
        <w:w w:val="99"/>
        <w:sz w:val="20"/>
        <w:szCs w:val="20"/>
      </w:rPr>
    </w:lvl>
    <w:lvl w:ilvl="3" w:tplc="2ED62C9C">
      <w:numFmt w:val="bullet"/>
      <w:lvlText w:val="•"/>
      <w:lvlJc w:val="left"/>
      <w:pPr>
        <w:ind w:left="2565" w:hanging="649"/>
      </w:pPr>
      <w:rPr>
        <w:rFonts w:hint="default"/>
      </w:rPr>
    </w:lvl>
    <w:lvl w:ilvl="4" w:tplc="ECC4E378">
      <w:numFmt w:val="bullet"/>
      <w:lvlText w:val="•"/>
      <w:lvlJc w:val="left"/>
      <w:pPr>
        <w:ind w:left="3570" w:hanging="649"/>
      </w:pPr>
      <w:rPr>
        <w:rFonts w:hint="default"/>
      </w:rPr>
    </w:lvl>
    <w:lvl w:ilvl="5" w:tplc="3572C050">
      <w:numFmt w:val="bullet"/>
      <w:lvlText w:val="•"/>
      <w:lvlJc w:val="left"/>
      <w:pPr>
        <w:ind w:left="4575" w:hanging="649"/>
      </w:pPr>
      <w:rPr>
        <w:rFonts w:hint="default"/>
      </w:rPr>
    </w:lvl>
    <w:lvl w:ilvl="6" w:tplc="3974A7F8">
      <w:numFmt w:val="bullet"/>
      <w:lvlText w:val="•"/>
      <w:lvlJc w:val="left"/>
      <w:pPr>
        <w:ind w:left="5580" w:hanging="649"/>
      </w:pPr>
      <w:rPr>
        <w:rFonts w:hint="default"/>
      </w:rPr>
    </w:lvl>
    <w:lvl w:ilvl="7" w:tplc="518AB4B6">
      <w:numFmt w:val="bullet"/>
      <w:lvlText w:val="•"/>
      <w:lvlJc w:val="left"/>
      <w:pPr>
        <w:ind w:left="6585" w:hanging="649"/>
      </w:pPr>
      <w:rPr>
        <w:rFonts w:hint="default"/>
      </w:rPr>
    </w:lvl>
    <w:lvl w:ilvl="8" w:tplc="4AB6B40C">
      <w:numFmt w:val="bullet"/>
      <w:lvlText w:val="•"/>
      <w:lvlJc w:val="left"/>
      <w:pPr>
        <w:ind w:left="7590" w:hanging="649"/>
      </w:pPr>
      <w:rPr>
        <w:rFonts w:hint="default"/>
      </w:rPr>
    </w:lvl>
  </w:abstractNum>
  <w:abstractNum w:abstractNumId="38" w15:restartNumberingAfterBreak="0">
    <w:nsid w:val="57983D39"/>
    <w:multiLevelType w:val="hybridMultilevel"/>
    <w:tmpl w:val="FC224CAE"/>
    <w:lvl w:ilvl="0" w:tplc="3CB0919A">
      <w:start w:val="1"/>
      <w:numFmt w:val="lowerLetter"/>
      <w:lvlText w:val="%1)"/>
      <w:lvlJc w:val="left"/>
      <w:pPr>
        <w:ind w:left="490" w:hanging="310"/>
        <w:jc w:val="left"/>
      </w:pPr>
      <w:rPr>
        <w:rFonts w:ascii="Verdana" w:eastAsia="Verdana" w:hAnsi="Verdana" w:cs="Verdana" w:hint="default"/>
        <w:b/>
        <w:bCs/>
        <w:spacing w:val="-1"/>
        <w:w w:val="99"/>
        <w:sz w:val="20"/>
        <w:szCs w:val="20"/>
      </w:rPr>
    </w:lvl>
    <w:lvl w:ilvl="1" w:tplc="57CED296">
      <w:numFmt w:val="bullet"/>
      <w:lvlText w:val="•"/>
      <w:lvlJc w:val="left"/>
      <w:pPr>
        <w:ind w:left="1330" w:hanging="310"/>
      </w:pPr>
      <w:rPr>
        <w:rFonts w:hint="default"/>
      </w:rPr>
    </w:lvl>
    <w:lvl w:ilvl="2" w:tplc="64907018">
      <w:numFmt w:val="bullet"/>
      <w:lvlText w:val="•"/>
      <w:lvlJc w:val="left"/>
      <w:pPr>
        <w:ind w:left="2161" w:hanging="310"/>
      </w:pPr>
      <w:rPr>
        <w:rFonts w:hint="default"/>
      </w:rPr>
    </w:lvl>
    <w:lvl w:ilvl="3" w:tplc="D51C50BA">
      <w:numFmt w:val="bullet"/>
      <w:lvlText w:val="•"/>
      <w:lvlJc w:val="left"/>
      <w:pPr>
        <w:ind w:left="2991" w:hanging="310"/>
      </w:pPr>
      <w:rPr>
        <w:rFonts w:hint="default"/>
      </w:rPr>
    </w:lvl>
    <w:lvl w:ilvl="4" w:tplc="480090A4">
      <w:numFmt w:val="bullet"/>
      <w:lvlText w:val="•"/>
      <w:lvlJc w:val="left"/>
      <w:pPr>
        <w:ind w:left="3822" w:hanging="310"/>
      </w:pPr>
      <w:rPr>
        <w:rFonts w:hint="default"/>
      </w:rPr>
    </w:lvl>
    <w:lvl w:ilvl="5" w:tplc="4F92086C">
      <w:numFmt w:val="bullet"/>
      <w:lvlText w:val="•"/>
      <w:lvlJc w:val="left"/>
      <w:pPr>
        <w:ind w:left="4653" w:hanging="310"/>
      </w:pPr>
      <w:rPr>
        <w:rFonts w:hint="default"/>
      </w:rPr>
    </w:lvl>
    <w:lvl w:ilvl="6" w:tplc="640CAA40">
      <w:numFmt w:val="bullet"/>
      <w:lvlText w:val="•"/>
      <w:lvlJc w:val="left"/>
      <w:pPr>
        <w:ind w:left="5483" w:hanging="310"/>
      </w:pPr>
      <w:rPr>
        <w:rFonts w:hint="default"/>
      </w:rPr>
    </w:lvl>
    <w:lvl w:ilvl="7" w:tplc="DCCCFCC4">
      <w:numFmt w:val="bullet"/>
      <w:lvlText w:val="•"/>
      <w:lvlJc w:val="left"/>
      <w:pPr>
        <w:ind w:left="6314" w:hanging="310"/>
      </w:pPr>
      <w:rPr>
        <w:rFonts w:hint="default"/>
      </w:rPr>
    </w:lvl>
    <w:lvl w:ilvl="8" w:tplc="A2E014F2">
      <w:numFmt w:val="bullet"/>
      <w:lvlText w:val="•"/>
      <w:lvlJc w:val="left"/>
      <w:pPr>
        <w:ind w:left="7145" w:hanging="310"/>
      </w:pPr>
      <w:rPr>
        <w:rFonts w:hint="default"/>
      </w:rPr>
    </w:lvl>
  </w:abstractNum>
  <w:abstractNum w:abstractNumId="39" w15:restartNumberingAfterBreak="0">
    <w:nsid w:val="592C4412"/>
    <w:multiLevelType w:val="hybridMultilevel"/>
    <w:tmpl w:val="4BFA3136"/>
    <w:lvl w:ilvl="0" w:tplc="491C4A9E">
      <w:start w:val="1"/>
      <w:numFmt w:val="upperRoman"/>
      <w:lvlText w:val="%1"/>
      <w:lvlJc w:val="left"/>
      <w:pPr>
        <w:ind w:left="280" w:hanging="161"/>
        <w:jc w:val="left"/>
      </w:pPr>
      <w:rPr>
        <w:rFonts w:ascii="Verdana" w:eastAsia="Verdana" w:hAnsi="Verdana" w:cs="Verdana" w:hint="default"/>
        <w:b/>
        <w:bCs/>
        <w:w w:val="100"/>
        <w:sz w:val="18"/>
        <w:szCs w:val="18"/>
      </w:rPr>
    </w:lvl>
    <w:lvl w:ilvl="1" w:tplc="F97E000A">
      <w:start w:val="1"/>
      <w:numFmt w:val="decimal"/>
      <w:lvlText w:val="%1-%2"/>
      <w:lvlJc w:val="left"/>
      <w:pPr>
        <w:ind w:left="122" w:hanging="708"/>
        <w:jc w:val="left"/>
      </w:pPr>
      <w:rPr>
        <w:rFonts w:ascii="Verdana" w:eastAsia="Verdana" w:hAnsi="Verdana" w:cs="Verdana" w:hint="default"/>
        <w:b/>
        <w:bCs/>
        <w:spacing w:val="-1"/>
        <w:w w:val="100"/>
        <w:sz w:val="18"/>
        <w:szCs w:val="18"/>
      </w:rPr>
    </w:lvl>
    <w:lvl w:ilvl="2" w:tplc="D44A9FE8">
      <w:numFmt w:val="bullet"/>
      <w:lvlText w:val="•"/>
      <w:lvlJc w:val="left"/>
      <w:pPr>
        <w:ind w:left="1315" w:hanging="708"/>
      </w:pPr>
      <w:rPr>
        <w:rFonts w:hint="default"/>
      </w:rPr>
    </w:lvl>
    <w:lvl w:ilvl="3" w:tplc="07C8C27A">
      <w:numFmt w:val="bullet"/>
      <w:lvlText w:val="•"/>
      <w:lvlJc w:val="left"/>
      <w:pPr>
        <w:ind w:left="2351" w:hanging="708"/>
      </w:pPr>
      <w:rPr>
        <w:rFonts w:hint="default"/>
      </w:rPr>
    </w:lvl>
    <w:lvl w:ilvl="4" w:tplc="3C90EC44">
      <w:numFmt w:val="bullet"/>
      <w:lvlText w:val="•"/>
      <w:lvlJc w:val="left"/>
      <w:pPr>
        <w:ind w:left="3386" w:hanging="708"/>
      </w:pPr>
      <w:rPr>
        <w:rFonts w:hint="default"/>
      </w:rPr>
    </w:lvl>
    <w:lvl w:ilvl="5" w:tplc="9026933C">
      <w:numFmt w:val="bullet"/>
      <w:lvlText w:val="•"/>
      <w:lvlJc w:val="left"/>
      <w:pPr>
        <w:ind w:left="4422" w:hanging="708"/>
      </w:pPr>
      <w:rPr>
        <w:rFonts w:hint="default"/>
      </w:rPr>
    </w:lvl>
    <w:lvl w:ilvl="6" w:tplc="F3628B9A">
      <w:numFmt w:val="bullet"/>
      <w:lvlText w:val="•"/>
      <w:lvlJc w:val="left"/>
      <w:pPr>
        <w:ind w:left="5457" w:hanging="708"/>
      </w:pPr>
      <w:rPr>
        <w:rFonts w:hint="default"/>
      </w:rPr>
    </w:lvl>
    <w:lvl w:ilvl="7" w:tplc="143C9EC2">
      <w:numFmt w:val="bullet"/>
      <w:lvlText w:val="•"/>
      <w:lvlJc w:val="left"/>
      <w:pPr>
        <w:ind w:left="6493" w:hanging="708"/>
      </w:pPr>
      <w:rPr>
        <w:rFonts w:hint="default"/>
      </w:rPr>
    </w:lvl>
    <w:lvl w:ilvl="8" w:tplc="2266EEC2">
      <w:numFmt w:val="bullet"/>
      <w:lvlText w:val="•"/>
      <w:lvlJc w:val="left"/>
      <w:pPr>
        <w:ind w:left="7528" w:hanging="708"/>
      </w:pPr>
      <w:rPr>
        <w:rFonts w:hint="default"/>
      </w:rPr>
    </w:lvl>
  </w:abstractNum>
  <w:abstractNum w:abstractNumId="40" w15:restartNumberingAfterBreak="0">
    <w:nsid w:val="5C212EA6"/>
    <w:multiLevelType w:val="hybridMultilevel"/>
    <w:tmpl w:val="A260EF52"/>
    <w:lvl w:ilvl="0" w:tplc="B6FC7162">
      <w:start w:val="1"/>
      <w:numFmt w:val="lowerLetter"/>
      <w:lvlText w:val="%1)"/>
      <w:lvlJc w:val="left"/>
      <w:pPr>
        <w:ind w:left="1012" w:hanging="272"/>
        <w:jc w:val="left"/>
      </w:pPr>
      <w:rPr>
        <w:rFonts w:ascii="Verdana" w:eastAsia="Verdana" w:hAnsi="Verdana" w:cs="Verdana" w:hint="default"/>
        <w:w w:val="99"/>
        <w:sz w:val="20"/>
        <w:szCs w:val="20"/>
      </w:rPr>
    </w:lvl>
    <w:lvl w:ilvl="1" w:tplc="1A62794E">
      <w:numFmt w:val="bullet"/>
      <w:lvlText w:val="•"/>
      <w:lvlJc w:val="left"/>
      <w:pPr>
        <w:ind w:left="1932" w:hanging="272"/>
      </w:pPr>
      <w:rPr>
        <w:rFonts w:hint="default"/>
      </w:rPr>
    </w:lvl>
    <w:lvl w:ilvl="2" w:tplc="0D70C998">
      <w:numFmt w:val="bullet"/>
      <w:lvlText w:val="•"/>
      <w:lvlJc w:val="left"/>
      <w:pPr>
        <w:ind w:left="2844" w:hanging="272"/>
      </w:pPr>
      <w:rPr>
        <w:rFonts w:hint="default"/>
      </w:rPr>
    </w:lvl>
    <w:lvl w:ilvl="3" w:tplc="860E520A">
      <w:numFmt w:val="bullet"/>
      <w:lvlText w:val="•"/>
      <w:lvlJc w:val="left"/>
      <w:pPr>
        <w:ind w:left="3756" w:hanging="272"/>
      </w:pPr>
      <w:rPr>
        <w:rFonts w:hint="default"/>
      </w:rPr>
    </w:lvl>
    <w:lvl w:ilvl="4" w:tplc="AD74D4E8">
      <w:numFmt w:val="bullet"/>
      <w:lvlText w:val="•"/>
      <w:lvlJc w:val="left"/>
      <w:pPr>
        <w:ind w:left="4668" w:hanging="272"/>
      </w:pPr>
      <w:rPr>
        <w:rFonts w:hint="default"/>
      </w:rPr>
    </w:lvl>
    <w:lvl w:ilvl="5" w:tplc="5C1279B2">
      <w:numFmt w:val="bullet"/>
      <w:lvlText w:val="•"/>
      <w:lvlJc w:val="left"/>
      <w:pPr>
        <w:ind w:left="5580" w:hanging="272"/>
      </w:pPr>
      <w:rPr>
        <w:rFonts w:hint="default"/>
      </w:rPr>
    </w:lvl>
    <w:lvl w:ilvl="6" w:tplc="12B85DC0">
      <w:numFmt w:val="bullet"/>
      <w:lvlText w:val="•"/>
      <w:lvlJc w:val="left"/>
      <w:pPr>
        <w:ind w:left="6492" w:hanging="272"/>
      </w:pPr>
      <w:rPr>
        <w:rFonts w:hint="default"/>
      </w:rPr>
    </w:lvl>
    <w:lvl w:ilvl="7" w:tplc="08AE3408">
      <w:numFmt w:val="bullet"/>
      <w:lvlText w:val="•"/>
      <w:lvlJc w:val="left"/>
      <w:pPr>
        <w:ind w:left="7404" w:hanging="272"/>
      </w:pPr>
      <w:rPr>
        <w:rFonts w:hint="default"/>
      </w:rPr>
    </w:lvl>
    <w:lvl w:ilvl="8" w:tplc="A044C782">
      <w:numFmt w:val="bullet"/>
      <w:lvlText w:val="•"/>
      <w:lvlJc w:val="left"/>
      <w:pPr>
        <w:ind w:left="8316" w:hanging="272"/>
      </w:pPr>
      <w:rPr>
        <w:rFonts w:hint="default"/>
      </w:rPr>
    </w:lvl>
  </w:abstractNum>
  <w:abstractNum w:abstractNumId="41" w15:restartNumberingAfterBreak="0">
    <w:nsid w:val="5C6E37F4"/>
    <w:multiLevelType w:val="hybridMultilevel"/>
    <w:tmpl w:val="B366E838"/>
    <w:lvl w:ilvl="0" w:tplc="71229B7E">
      <w:start w:val="1"/>
      <w:numFmt w:val="upperLetter"/>
      <w:lvlText w:val="%1."/>
      <w:lvlJc w:val="left"/>
      <w:pPr>
        <w:ind w:left="750" w:hanging="293"/>
        <w:jc w:val="left"/>
      </w:pPr>
      <w:rPr>
        <w:rFonts w:ascii="Verdana" w:eastAsia="Verdana" w:hAnsi="Verdana" w:cs="Verdana" w:hint="default"/>
        <w:b/>
        <w:bCs/>
        <w:i/>
        <w:spacing w:val="-2"/>
        <w:w w:val="99"/>
        <w:sz w:val="20"/>
        <w:szCs w:val="20"/>
      </w:rPr>
    </w:lvl>
    <w:lvl w:ilvl="1" w:tplc="A7A02202">
      <w:start w:val="1"/>
      <w:numFmt w:val="decimal"/>
      <w:lvlText w:val="%1.%2."/>
      <w:lvlJc w:val="left"/>
      <w:pPr>
        <w:ind w:left="1742" w:hanging="576"/>
        <w:jc w:val="left"/>
      </w:pPr>
      <w:rPr>
        <w:rFonts w:ascii="Verdana" w:eastAsia="Verdana" w:hAnsi="Verdana" w:cs="Verdana" w:hint="default"/>
        <w:b/>
        <w:bCs/>
        <w:spacing w:val="-2"/>
        <w:w w:val="99"/>
        <w:sz w:val="20"/>
        <w:szCs w:val="20"/>
      </w:rPr>
    </w:lvl>
    <w:lvl w:ilvl="2" w:tplc="F76686AE">
      <w:start w:val="1"/>
      <w:numFmt w:val="lowerRoman"/>
      <w:lvlText w:val="%1.%2.%3)"/>
      <w:lvlJc w:val="left"/>
      <w:pPr>
        <w:ind w:left="1874" w:hanging="708"/>
        <w:jc w:val="left"/>
      </w:pPr>
      <w:rPr>
        <w:rFonts w:ascii="Verdana" w:eastAsia="Verdana" w:hAnsi="Verdana" w:cs="Verdana" w:hint="default"/>
        <w:b/>
        <w:bCs/>
        <w:spacing w:val="-1"/>
        <w:w w:val="99"/>
        <w:sz w:val="20"/>
        <w:szCs w:val="20"/>
      </w:rPr>
    </w:lvl>
    <w:lvl w:ilvl="3" w:tplc="3CD66DFC">
      <w:numFmt w:val="bullet"/>
      <w:lvlText w:val="•"/>
      <w:lvlJc w:val="left"/>
      <w:pPr>
        <w:ind w:left="1880" w:hanging="708"/>
      </w:pPr>
      <w:rPr>
        <w:rFonts w:hint="default"/>
      </w:rPr>
    </w:lvl>
    <w:lvl w:ilvl="4" w:tplc="C88E84E8">
      <w:numFmt w:val="bullet"/>
      <w:lvlText w:val="•"/>
      <w:lvlJc w:val="left"/>
      <w:pPr>
        <w:ind w:left="3060" w:hanging="708"/>
      </w:pPr>
      <w:rPr>
        <w:rFonts w:hint="default"/>
      </w:rPr>
    </w:lvl>
    <w:lvl w:ilvl="5" w:tplc="1CA8A388">
      <w:numFmt w:val="bullet"/>
      <w:lvlText w:val="•"/>
      <w:lvlJc w:val="left"/>
      <w:pPr>
        <w:ind w:left="4240" w:hanging="708"/>
      </w:pPr>
      <w:rPr>
        <w:rFonts w:hint="default"/>
      </w:rPr>
    </w:lvl>
    <w:lvl w:ilvl="6" w:tplc="34D2C160">
      <w:numFmt w:val="bullet"/>
      <w:lvlText w:val="•"/>
      <w:lvlJc w:val="left"/>
      <w:pPr>
        <w:ind w:left="5420" w:hanging="708"/>
      </w:pPr>
      <w:rPr>
        <w:rFonts w:hint="default"/>
      </w:rPr>
    </w:lvl>
    <w:lvl w:ilvl="7" w:tplc="FCA4C9B2">
      <w:numFmt w:val="bullet"/>
      <w:lvlText w:val="•"/>
      <w:lvlJc w:val="left"/>
      <w:pPr>
        <w:ind w:left="6600" w:hanging="708"/>
      </w:pPr>
      <w:rPr>
        <w:rFonts w:hint="default"/>
      </w:rPr>
    </w:lvl>
    <w:lvl w:ilvl="8" w:tplc="3E18A2B6">
      <w:numFmt w:val="bullet"/>
      <w:lvlText w:val="•"/>
      <w:lvlJc w:val="left"/>
      <w:pPr>
        <w:ind w:left="7780" w:hanging="708"/>
      </w:pPr>
      <w:rPr>
        <w:rFonts w:hint="default"/>
      </w:rPr>
    </w:lvl>
  </w:abstractNum>
  <w:abstractNum w:abstractNumId="42" w15:restartNumberingAfterBreak="0">
    <w:nsid w:val="5CD222A4"/>
    <w:multiLevelType w:val="hybridMultilevel"/>
    <w:tmpl w:val="4768AFD0"/>
    <w:lvl w:ilvl="0" w:tplc="6BD662C0">
      <w:start w:val="1"/>
      <w:numFmt w:val="upperLetter"/>
      <w:lvlText w:val="%1."/>
      <w:lvlJc w:val="left"/>
      <w:pPr>
        <w:ind w:left="602" w:hanging="480"/>
        <w:jc w:val="left"/>
      </w:pPr>
      <w:rPr>
        <w:rFonts w:ascii="Verdana" w:eastAsia="Verdana" w:hAnsi="Verdana" w:cs="Verdana" w:hint="default"/>
        <w:b/>
        <w:bCs/>
        <w:spacing w:val="-3"/>
        <w:w w:val="100"/>
        <w:sz w:val="18"/>
        <w:szCs w:val="18"/>
      </w:rPr>
    </w:lvl>
    <w:lvl w:ilvl="1" w:tplc="E6FCDC76">
      <w:start w:val="1"/>
      <w:numFmt w:val="decimal"/>
      <w:lvlText w:val="%1.%2"/>
      <w:lvlJc w:val="left"/>
      <w:pPr>
        <w:ind w:left="727" w:hanging="365"/>
        <w:jc w:val="left"/>
      </w:pPr>
      <w:rPr>
        <w:rFonts w:ascii="Verdana" w:eastAsia="Verdana" w:hAnsi="Verdana" w:cs="Verdana" w:hint="default"/>
        <w:spacing w:val="-4"/>
        <w:w w:val="100"/>
        <w:sz w:val="18"/>
        <w:szCs w:val="18"/>
      </w:rPr>
    </w:lvl>
    <w:lvl w:ilvl="2" w:tplc="26C8120E">
      <w:numFmt w:val="bullet"/>
      <w:lvlText w:val="•"/>
      <w:lvlJc w:val="left"/>
      <w:pPr>
        <w:ind w:left="1706" w:hanging="365"/>
      </w:pPr>
      <w:rPr>
        <w:rFonts w:hint="default"/>
      </w:rPr>
    </w:lvl>
    <w:lvl w:ilvl="3" w:tplc="F050B220">
      <w:numFmt w:val="bullet"/>
      <w:lvlText w:val="•"/>
      <w:lvlJc w:val="left"/>
      <w:pPr>
        <w:ind w:left="2693" w:hanging="365"/>
      </w:pPr>
      <w:rPr>
        <w:rFonts w:hint="default"/>
      </w:rPr>
    </w:lvl>
    <w:lvl w:ilvl="4" w:tplc="1FFA4554">
      <w:numFmt w:val="bullet"/>
      <w:lvlText w:val="•"/>
      <w:lvlJc w:val="left"/>
      <w:pPr>
        <w:ind w:left="3680" w:hanging="365"/>
      </w:pPr>
      <w:rPr>
        <w:rFonts w:hint="default"/>
      </w:rPr>
    </w:lvl>
    <w:lvl w:ilvl="5" w:tplc="3466AC66">
      <w:numFmt w:val="bullet"/>
      <w:lvlText w:val="•"/>
      <w:lvlJc w:val="left"/>
      <w:pPr>
        <w:ind w:left="4666" w:hanging="365"/>
      </w:pPr>
      <w:rPr>
        <w:rFonts w:hint="default"/>
      </w:rPr>
    </w:lvl>
    <w:lvl w:ilvl="6" w:tplc="769A884E">
      <w:numFmt w:val="bullet"/>
      <w:lvlText w:val="•"/>
      <w:lvlJc w:val="left"/>
      <w:pPr>
        <w:ind w:left="5653" w:hanging="365"/>
      </w:pPr>
      <w:rPr>
        <w:rFonts w:hint="default"/>
      </w:rPr>
    </w:lvl>
    <w:lvl w:ilvl="7" w:tplc="87A071EE">
      <w:numFmt w:val="bullet"/>
      <w:lvlText w:val="•"/>
      <w:lvlJc w:val="left"/>
      <w:pPr>
        <w:ind w:left="6640" w:hanging="365"/>
      </w:pPr>
      <w:rPr>
        <w:rFonts w:hint="default"/>
      </w:rPr>
    </w:lvl>
    <w:lvl w:ilvl="8" w:tplc="1B54B1CA">
      <w:numFmt w:val="bullet"/>
      <w:lvlText w:val="•"/>
      <w:lvlJc w:val="left"/>
      <w:pPr>
        <w:ind w:left="7626" w:hanging="365"/>
      </w:pPr>
      <w:rPr>
        <w:rFonts w:hint="default"/>
      </w:rPr>
    </w:lvl>
  </w:abstractNum>
  <w:abstractNum w:abstractNumId="43" w15:restartNumberingAfterBreak="0">
    <w:nsid w:val="5D821F9B"/>
    <w:multiLevelType w:val="hybridMultilevel"/>
    <w:tmpl w:val="8356E526"/>
    <w:lvl w:ilvl="0" w:tplc="A1082CD6">
      <w:start w:val="82"/>
      <w:numFmt w:val="decimal"/>
      <w:lvlText w:val="%1."/>
      <w:lvlJc w:val="left"/>
      <w:pPr>
        <w:ind w:left="470" w:hanging="980"/>
        <w:jc w:val="left"/>
      </w:pPr>
      <w:rPr>
        <w:rFonts w:ascii="Verdana" w:eastAsia="Verdana" w:hAnsi="Verdana" w:cs="Verdana" w:hint="default"/>
        <w:w w:val="99"/>
        <w:sz w:val="20"/>
        <w:szCs w:val="20"/>
      </w:rPr>
    </w:lvl>
    <w:lvl w:ilvl="1" w:tplc="7F7A0CA8">
      <w:numFmt w:val="bullet"/>
      <w:lvlText w:val="•"/>
      <w:lvlJc w:val="left"/>
      <w:pPr>
        <w:ind w:left="1446" w:hanging="980"/>
      </w:pPr>
      <w:rPr>
        <w:rFonts w:hint="default"/>
      </w:rPr>
    </w:lvl>
    <w:lvl w:ilvl="2" w:tplc="D6647CA8">
      <w:numFmt w:val="bullet"/>
      <w:lvlText w:val="•"/>
      <w:lvlJc w:val="left"/>
      <w:pPr>
        <w:ind w:left="2412" w:hanging="980"/>
      </w:pPr>
      <w:rPr>
        <w:rFonts w:hint="default"/>
      </w:rPr>
    </w:lvl>
    <w:lvl w:ilvl="3" w:tplc="98F6ADD4">
      <w:numFmt w:val="bullet"/>
      <w:lvlText w:val="•"/>
      <w:lvlJc w:val="left"/>
      <w:pPr>
        <w:ind w:left="3378" w:hanging="980"/>
      </w:pPr>
      <w:rPr>
        <w:rFonts w:hint="default"/>
      </w:rPr>
    </w:lvl>
    <w:lvl w:ilvl="4" w:tplc="4126AB92">
      <w:numFmt w:val="bullet"/>
      <w:lvlText w:val="•"/>
      <w:lvlJc w:val="left"/>
      <w:pPr>
        <w:ind w:left="4344" w:hanging="980"/>
      </w:pPr>
      <w:rPr>
        <w:rFonts w:hint="default"/>
      </w:rPr>
    </w:lvl>
    <w:lvl w:ilvl="5" w:tplc="A964063C">
      <w:numFmt w:val="bullet"/>
      <w:lvlText w:val="•"/>
      <w:lvlJc w:val="left"/>
      <w:pPr>
        <w:ind w:left="5310" w:hanging="980"/>
      </w:pPr>
      <w:rPr>
        <w:rFonts w:hint="default"/>
      </w:rPr>
    </w:lvl>
    <w:lvl w:ilvl="6" w:tplc="9A760AAA">
      <w:numFmt w:val="bullet"/>
      <w:lvlText w:val="•"/>
      <w:lvlJc w:val="left"/>
      <w:pPr>
        <w:ind w:left="6276" w:hanging="980"/>
      </w:pPr>
      <w:rPr>
        <w:rFonts w:hint="default"/>
      </w:rPr>
    </w:lvl>
    <w:lvl w:ilvl="7" w:tplc="77BE289C">
      <w:numFmt w:val="bullet"/>
      <w:lvlText w:val="•"/>
      <w:lvlJc w:val="left"/>
      <w:pPr>
        <w:ind w:left="7242" w:hanging="980"/>
      </w:pPr>
      <w:rPr>
        <w:rFonts w:hint="default"/>
      </w:rPr>
    </w:lvl>
    <w:lvl w:ilvl="8" w:tplc="43AA554A">
      <w:numFmt w:val="bullet"/>
      <w:lvlText w:val="•"/>
      <w:lvlJc w:val="left"/>
      <w:pPr>
        <w:ind w:left="8208" w:hanging="980"/>
      </w:pPr>
      <w:rPr>
        <w:rFonts w:hint="default"/>
      </w:rPr>
    </w:lvl>
  </w:abstractNum>
  <w:abstractNum w:abstractNumId="44" w15:restartNumberingAfterBreak="0">
    <w:nsid w:val="6157017D"/>
    <w:multiLevelType w:val="hybridMultilevel"/>
    <w:tmpl w:val="789804E6"/>
    <w:lvl w:ilvl="0" w:tplc="4074F8D2">
      <w:start w:val="1"/>
      <w:numFmt w:val="lowerLetter"/>
      <w:lvlText w:val="%1)"/>
      <w:lvlJc w:val="left"/>
      <w:pPr>
        <w:ind w:left="470" w:hanging="274"/>
        <w:jc w:val="left"/>
      </w:pPr>
      <w:rPr>
        <w:rFonts w:ascii="Verdana" w:eastAsia="Verdana" w:hAnsi="Verdana" w:cs="Verdana" w:hint="default"/>
        <w:i/>
        <w:spacing w:val="-1"/>
        <w:w w:val="100"/>
        <w:sz w:val="16"/>
        <w:szCs w:val="16"/>
      </w:rPr>
    </w:lvl>
    <w:lvl w:ilvl="1" w:tplc="1D301E8C">
      <w:numFmt w:val="bullet"/>
      <w:lvlText w:val="•"/>
      <w:lvlJc w:val="left"/>
      <w:pPr>
        <w:ind w:left="1446" w:hanging="274"/>
      </w:pPr>
      <w:rPr>
        <w:rFonts w:hint="default"/>
      </w:rPr>
    </w:lvl>
    <w:lvl w:ilvl="2" w:tplc="2BB06F5A">
      <w:numFmt w:val="bullet"/>
      <w:lvlText w:val="•"/>
      <w:lvlJc w:val="left"/>
      <w:pPr>
        <w:ind w:left="2412" w:hanging="274"/>
      </w:pPr>
      <w:rPr>
        <w:rFonts w:hint="default"/>
      </w:rPr>
    </w:lvl>
    <w:lvl w:ilvl="3" w:tplc="47CE3068">
      <w:numFmt w:val="bullet"/>
      <w:lvlText w:val="•"/>
      <w:lvlJc w:val="left"/>
      <w:pPr>
        <w:ind w:left="3378" w:hanging="274"/>
      </w:pPr>
      <w:rPr>
        <w:rFonts w:hint="default"/>
      </w:rPr>
    </w:lvl>
    <w:lvl w:ilvl="4" w:tplc="4E8A8272">
      <w:numFmt w:val="bullet"/>
      <w:lvlText w:val="•"/>
      <w:lvlJc w:val="left"/>
      <w:pPr>
        <w:ind w:left="4344" w:hanging="274"/>
      </w:pPr>
      <w:rPr>
        <w:rFonts w:hint="default"/>
      </w:rPr>
    </w:lvl>
    <w:lvl w:ilvl="5" w:tplc="F3B85D5A">
      <w:numFmt w:val="bullet"/>
      <w:lvlText w:val="•"/>
      <w:lvlJc w:val="left"/>
      <w:pPr>
        <w:ind w:left="5310" w:hanging="274"/>
      </w:pPr>
      <w:rPr>
        <w:rFonts w:hint="default"/>
      </w:rPr>
    </w:lvl>
    <w:lvl w:ilvl="6" w:tplc="BD82A4FE">
      <w:numFmt w:val="bullet"/>
      <w:lvlText w:val="•"/>
      <w:lvlJc w:val="left"/>
      <w:pPr>
        <w:ind w:left="6276" w:hanging="274"/>
      </w:pPr>
      <w:rPr>
        <w:rFonts w:hint="default"/>
      </w:rPr>
    </w:lvl>
    <w:lvl w:ilvl="7" w:tplc="2DBCE3B2">
      <w:numFmt w:val="bullet"/>
      <w:lvlText w:val="•"/>
      <w:lvlJc w:val="left"/>
      <w:pPr>
        <w:ind w:left="7242" w:hanging="274"/>
      </w:pPr>
      <w:rPr>
        <w:rFonts w:hint="default"/>
      </w:rPr>
    </w:lvl>
    <w:lvl w:ilvl="8" w:tplc="D3749110">
      <w:numFmt w:val="bullet"/>
      <w:lvlText w:val="•"/>
      <w:lvlJc w:val="left"/>
      <w:pPr>
        <w:ind w:left="8208" w:hanging="274"/>
      </w:pPr>
      <w:rPr>
        <w:rFonts w:hint="default"/>
      </w:rPr>
    </w:lvl>
  </w:abstractNum>
  <w:abstractNum w:abstractNumId="45" w15:restartNumberingAfterBreak="0">
    <w:nsid w:val="63BF66F6"/>
    <w:multiLevelType w:val="hybridMultilevel"/>
    <w:tmpl w:val="909EAB36"/>
    <w:lvl w:ilvl="0" w:tplc="B60C5CD6">
      <w:start w:val="2"/>
      <w:numFmt w:val="upperLetter"/>
      <w:lvlText w:val="%1"/>
      <w:lvlJc w:val="left"/>
      <w:pPr>
        <w:ind w:left="1559" w:hanging="721"/>
        <w:jc w:val="left"/>
      </w:pPr>
      <w:rPr>
        <w:rFonts w:hint="default"/>
      </w:rPr>
    </w:lvl>
    <w:lvl w:ilvl="1" w:tplc="FBC4379C">
      <w:start w:val="2"/>
      <w:numFmt w:val="decimal"/>
      <w:lvlText w:val="%1.%2"/>
      <w:lvlJc w:val="left"/>
      <w:pPr>
        <w:ind w:left="1559" w:hanging="721"/>
        <w:jc w:val="left"/>
      </w:pPr>
      <w:rPr>
        <w:rFonts w:ascii="Verdana" w:eastAsia="Verdana" w:hAnsi="Verdana" w:cs="Verdana" w:hint="default"/>
        <w:b/>
        <w:bCs/>
        <w:i/>
        <w:spacing w:val="-1"/>
        <w:w w:val="99"/>
        <w:sz w:val="20"/>
        <w:szCs w:val="20"/>
      </w:rPr>
    </w:lvl>
    <w:lvl w:ilvl="2" w:tplc="E88A9B30">
      <w:numFmt w:val="bullet"/>
      <w:lvlText w:val="•"/>
      <w:lvlJc w:val="left"/>
      <w:pPr>
        <w:ind w:left="3168" w:hanging="721"/>
      </w:pPr>
      <w:rPr>
        <w:rFonts w:hint="default"/>
      </w:rPr>
    </w:lvl>
    <w:lvl w:ilvl="3" w:tplc="26C48048">
      <w:numFmt w:val="bullet"/>
      <w:lvlText w:val="•"/>
      <w:lvlJc w:val="left"/>
      <w:pPr>
        <w:ind w:left="3972" w:hanging="721"/>
      </w:pPr>
      <w:rPr>
        <w:rFonts w:hint="default"/>
      </w:rPr>
    </w:lvl>
    <w:lvl w:ilvl="4" w:tplc="CFE66558">
      <w:numFmt w:val="bullet"/>
      <w:lvlText w:val="•"/>
      <w:lvlJc w:val="left"/>
      <w:pPr>
        <w:ind w:left="4776" w:hanging="721"/>
      </w:pPr>
      <w:rPr>
        <w:rFonts w:hint="default"/>
      </w:rPr>
    </w:lvl>
    <w:lvl w:ilvl="5" w:tplc="43B26DE4">
      <w:numFmt w:val="bullet"/>
      <w:lvlText w:val="•"/>
      <w:lvlJc w:val="left"/>
      <w:pPr>
        <w:ind w:left="5580" w:hanging="721"/>
      </w:pPr>
      <w:rPr>
        <w:rFonts w:hint="default"/>
      </w:rPr>
    </w:lvl>
    <w:lvl w:ilvl="6" w:tplc="4ADC629C">
      <w:numFmt w:val="bullet"/>
      <w:lvlText w:val="•"/>
      <w:lvlJc w:val="left"/>
      <w:pPr>
        <w:ind w:left="6384" w:hanging="721"/>
      </w:pPr>
      <w:rPr>
        <w:rFonts w:hint="default"/>
      </w:rPr>
    </w:lvl>
    <w:lvl w:ilvl="7" w:tplc="50F437F8">
      <w:numFmt w:val="bullet"/>
      <w:lvlText w:val="•"/>
      <w:lvlJc w:val="left"/>
      <w:pPr>
        <w:ind w:left="7188" w:hanging="721"/>
      </w:pPr>
      <w:rPr>
        <w:rFonts w:hint="default"/>
      </w:rPr>
    </w:lvl>
    <w:lvl w:ilvl="8" w:tplc="ABD0ED06">
      <w:numFmt w:val="bullet"/>
      <w:lvlText w:val="•"/>
      <w:lvlJc w:val="left"/>
      <w:pPr>
        <w:ind w:left="7992" w:hanging="721"/>
      </w:pPr>
      <w:rPr>
        <w:rFonts w:hint="default"/>
      </w:rPr>
    </w:lvl>
  </w:abstractNum>
  <w:abstractNum w:abstractNumId="46" w15:restartNumberingAfterBreak="0">
    <w:nsid w:val="66CC5B22"/>
    <w:multiLevelType w:val="hybridMultilevel"/>
    <w:tmpl w:val="D4D45890"/>
    <w:lvl w:ilvl="0" w:tplc="0DA6EC2C">
      <w:start w:val="1"/>
      <w:numFmt w:val="upperLetter"/>
      <w:lvlText w:val="%1."/>
      <w:lvlJc w:val="left"/>
      <w:pPr>
        <w:ind w:left="840" w:hanging="361"/>
        <w:jc w:val="left"/>
      </w:pPr>
      <w:rPr>
        <w:rFonts w:ascii="Verdana" w:eastAsia="Verdana" w:hAnsi="Verdana" w:cs="Verdana" w:hint="default"/>
        <w:b/>
        <w:bCs/>
        <w:spacing w:val="-2"/>
        <w:w w:val="99"/>
        <w:sz w:val="20"/>
        <w:szCs w:val="20"/>
      </w:rPr>
    </w:lvl>
    <w:lvl w:ilvl="1" w:tplc="E0D4DB5C">
      <w:start w:val="1"/>
      <w:numFmt w:val="decimal"/>
      <w:lvlText w:val="%1.%2."/>
      <w:lvlJc w:val="left"/>
      <w:pPr>
        <w:ind w:left="1427" w:hanging="588"/>
        <w:jc w:val="left"/>
      </w:pPr>
      <w:rPr>
        <w:rFonts w:ascii="Verdana" w:eastAsia="Verdana" w:hAnsi="Verdana" w:cs="Verdana" w:hint="default"/>
        <w:b/>
        <w:bCs/>
        <w:i/>
        <w:spacing w:val="-1"/>
        <w:w w:val="99"/>
        <w:sz w:val="20"/>
        <w:szCs w:val="20"/>
      </w:rPr>
    </w:lvl>
    <w:lvl w:ilvl="2" w:tplc="EE967276">
      <w:numFmt w:val="bullet"/>
      <w:lvlText w:val="•"/>
      <w:lvlJc w:val="left"/>
      <w:pPr>
        <w:ind w:left="1460" w:hanging="588"/>
      </w:pPr>
      <w:rPr>
        <w:rFonts w:hint="default"/>
      </w:rPr>
    </w:lvl>
    <w:lvl w:ilvl="3" w:tplc="B414E218">
      <w:numFmt w:val="bullet"/>
      <w:lvlText w:val="•"/>
      <w:lvlJc w:val="left"/>
      <w:pPr>
        <w:ind w:left="2477" w:hanging="588"/>
      </w:pPr>
      <w:rPr>
        <w:rFonts w:hint="default"/>
      </w:rPr>
    </w:lvl>
    <w:lvl w:ilvl="4" w:tplc="53DEDE4C">
      <w:numFmt w:val="bullet"/>
      <w:lvlText w:val="•"/>
      <w:lvlJc w:val="left"/>
      <w:pPr>
        <w:ind w:left="3495" w:hanging="588"/>
      </w:pPr>
      <w:rPr>
        <w:rFonts w:hint="default"/>
      </w:rPr>
    </w:lvl>
    <w:lvl w:ilvl="5" w:tplc="BF4E852E">
      <w:numFmt w:val="bullet"/>
      <w:lvlText w:val="•"/>
      <w:lvlJc w:val="left"/>
      <w:pPr>
        <w:ind w:left="4512" w:hanging="588"/>
      </w:pPr>
      <w:rPr>
        <w:rFonts w:hint="default"/>
      </w:rPr>
    </w:lvl>
    <w:lvl w:ilvl="6" w:tplc="DA325500">
      <w:numFmt w:val="bullet"/>
      <w:lvlText w:val="•"/>
      <w:lvlJc w:val="left"/>
      <w:pPr>
        <w:ind w:left="5530" w:hanging="588"/>
      </w:pPr>
      <w:rPr>
        <w:rFonts w:hint="default"/>
      </w:rPr>
    </w:lvl>
    <w:lvl w:ilvl="7" w:tplc="700287A2">
      <w:numFmt w:val="bullet"/>
      <w:lvlText w:val="•"/>
      <w:lvlJc w:val="left"/>
      <w:pPr>
        <w:ind w:left="6547" w:hanging="588"/>
      </w:pPr>
      <w:rPr>
        <w:rFonts w:hint="default"/>
      </w:rPr>
    </w:lvl>
    <w:lvl w:ilvl="8" w:tplc="DE82E622">
      <w:numFmt w:val="bullet"/>
      <w:lvlText w:val="•"/>
      <w:lvlJc w:val="left"/>
      <w:pPr>
        <w:ind w:left="7565" w:hanging="588"/>
      </w:pPr>
      <w:rPr>
        <w:rFonts w:hint="default"/>
      </w:rPr>
    </w:lvl>
  </w:abstractNum>
  <w:abstractNum w:abstractNumId="47" w15:restartNumberingAfterBreak="0">
    <w:nsid w:val="68BF2264"/>
    <w:multiLevelType w:val="hybridMultilevel"/>
    <w:tmpl w:val="FC3C0E62"/>
    <w:lvl w:ilvl="0" w:tplc="056A09DC">
      <w:start w:val="1"/>
      <w:numFmt w:val="decimal"/>
      <w:lvlText w:val="(%1)"/>
      <w:lvlJc w:val="left"/>
      <w:pPr>
        <w:ind w:left="828" w:hanging="298"/>
        <w:jc w:val="left"/>
      </w:pPr>
      <w:rPr>
        <w:rFonts w:ascii="Verdana" w:eastAsia="Verdana" w:hAnsi="Verdana" w:cs="Verdana" w:hint="default"/>
        <w:spacing w:val="-1"/>
        <w:w w:val="100"/>
        <w:sz w:val="16"/>
        <w:szCs w:val="16"/>
      </w:rPr>
    </w:lvl>
    <w:lvl w:ilvl="1" w:tplc="BDD4FC0E">
      <w:numFmt w:val="bullet"/>
      <w:lvlText w:val="•"/>
      <w:lvlJc w:val="left"/>
      <w:pPr>
        <w:ind w:left="1698" w:hanging="298"/>
      </w:pPr>
      <w:rPr>
        <w:rFonts w:hint="default"/>
      </w:rPr>
    </w:lvl>
    <w:lvl w:ilvl="2" w:tplc="53929D6A">
      <w:numFmt w:val="bullet"/>
      <w:lvlText w:val="•"/>
      <w:lvlJc w:val="left"/>
      <w:pPr>
        <w:ind w:left="2576" w:hanging="298"/>
      </w:pPr>
      <w:rPr>
        <w:rFonts w:hint="default"/>
      </w:rPr>
    </w:lvl>
    <w:lvl w:ilvl="3" w:tplc="80388B56">
      <w:numFmt w:val="bullet"/>
      <w:lvlText w:val="•"/>
      <w:lvlJc w:val="left"/>
      <w:pPr>
        <w:ind w:left="3454" w:hanging="298"/>
      </w:pPr>
      <w:rPr>
        <w:rFonts w:hint="default"/>
      </w:rPr>
    </w:lvl>
    <w:lvl w:ilvl="4" w:tplc="035C55AC">
      <w:numFmt w:val="bullet"/>
      <w:lvlText w:val="•"/>
      <w:lvlJc w:val="left"/>
      <w:pPr>
        <w:ind w:left="4332" w:hanging="298"/>
      </w:pPr>
      <w:rPr>
        <w:rFonts w:hint="default"/>
      </w:rPr>
    </w:lvl>
    <w:lvl w:ilvl="5" w:tplc="FAFE9D2E">
      <w:numFmt w:val="bullet"/>
      <w:lvlText w:val="•"/>
      <w:lvlJc w:val="left"/>
      <w:pPr>
        <w:ind w:left="5210" w:hanging="298"/>
      </w:pPr>
      <w:rPr>
        <w:rFonts w:hint="default"/>
      </w:rPr>
    </w:lvl>
    <w:lvl w:ilvl="6" w:tplc="590A3876">
      <w:numFmt w:val="bullet"/>
      <w:lvlText w:val="•"/>
      <w:lvlJc w:val="left"/>
      <w:pPr>
        <w:ind w:left="6088" w:hanging="298"/>
      </w:pPr>
      <w:rPr>
        <w:rFonts w:hint="default"/>
      </w:rPr>
    </w:lvl>
    <w:lvl w:ilvl="7" w:tplc="8054972E">
      <w:numFmt w:val="bullet"/>
      <w:lvlText w:val="•"/>
      <w:lvlJc w:val="left"/>
      <w:pPr>
        <w:ind w:left="6966" w:hanging="298"/>
      </w:pPr>
      <w:rPr>
        <w:rFonts w:hint="default"/>
      </w:rPr>
    </w:lvl>
    <w:lvl w:ilvl="8" w:tplc="27FAFB36">
      <w:numFmt w:val="bullet"/>
      <w:lvlText w:val="•"/>
      <w:lvlJc w:val="left"/>
      <w:pPr>
        <w:ind w:left="7844" w:hanging="298"/>
      </w:pPr>
      <w:rPr>
        <w:rFonts w:hint="default"/>
      </w:rPr>
    </w:lvl>
  </w:abstractNum>
  <w:abstractNum w:abstractNumId="48" w15:restartNumberingAfterBreak="0">
    <w:nsid w:val="691772CB"/>
    <w:multiLevelType w:val="hybridMultilevel"/>
    <w:tmpl w:val="3544E33C"/>
    <w:lvl w:ilvl="0" w:tplc="26E69C6A">
      <w:start w:val="61"/>
      <w:numFmt w:val="decimal"/>
      <w:lvlText w:val="%1."/>
      <w:lvlJc w:val="left"/>
      <w:pPr>
        <w:ind w:left="470" w:hanging="980"/>
        <w:jc w:val="left"/>
      </w:pPr>
      <w:rPr>
        <w:rFonts w:ascii="Verdana" w:eastAsia="Verdana" w:hAnsi="Verdana" w:cs="Verdana" w:hint="default"/>
        <w:w w:val="99"/>
        <w:sz w:val="20"/>
        <w:szCs w:val="20"/>
      </w:rPr>
    </w:lvl>
    <w:lvl w:ilvl="1" w:tplc="FE64D59A">
      <w:numFmt w:val="bullet"/>
      <w:lvlText w:val="•"/>
      <w:lvlJc w:val="left"/>
      <w:pPr>
        <w:ind w:left="1446" w:hanging="980"/>
      </w:pPr>
      <w:rPr>
        <w:rFonts w:hint="default"/>
      </w:rPr>
    </w:lvl>
    <w:lvl w:ilvl="2" w:tplc="2BF811D2">
      <w:numFmt w:val="bullet"/>
      <w:lvlText w:val="•"/>
      <w:lvlJc w:val="left"/>
      <w:pPr>
        <w:ind w:left="2412" w:hanging="980"/>
      </w:pPr>
      <w:rPr>
        <w:rFonts w:hint="default"/>
      </w:rPr>
    </w:lvl>
    <w:lvl w:ilvl="3" w:tplc="2D6E442C">
      <w:numFmt w:val="bullet"/>
      <w:lvlText w:val="•"/>
      <w:lvlJc w:val="left"/>
      <w:pPr>
        <w:ind w:left="3378" w:hanging="980"/>
      </w:pPr>
      <w:rPr>
        <w:rFonts w:hint="default"/>
      </w:rPr>
    </w:lvl>
    <w:lvl w:ilvl="4" w:tplc="D0D056A0">
      <w:numFmt w:val="bullet"/>
      <w:lvlText w:val="•"/>
      <w:lvlJc w:val="left"/>
      <w:pPr>
        <w:ind w:left="4344" w:hanging="980"/>
      </w:pPr>
      <w:rPr>
        <w:rFonts w:hint="default"/>
      </w:rPr>
    </w:lvl>
    <w:lvl w:ilvl="5" w:tplc="9D2AC562">
      <w:numFmt w:val="bullet"/>
      <w:lvlText w:val="•"/>
      <w:lvlJc w:val="left"/>
      <w:pPr>
        <w:ind w:left="5310" w:hanging="980"/>
      </w:pPr>
      <w:rPr>
        <w:rFonts w:hint="default"/>
      </w:rPr>
    </w:lvl>
    <w:lvl w:ilvl="6" w:tplc="E0942A66">
      <w:numFmt w:val="bullet"/>
      <w:lvlText w:val="•"/>
      <w:lvlJc w:val="left"/>
      <w:pPr>
        <w:ind w:left="6276" w:hanging="980"/>
      </w:pPr>
      <w:rPr>
        <w:rFonts w:hint="default"/>
      </w:rPr>
    </w:lvl>
    <w:lvl w:ilvl="7" w:tplc="D3C82110">
      <w:numFmt w:val="bullet"/>
      <w:lvlText w:val="•"/>
      <w:lvlJc w:val="left"/>
      <w:pPr>
        <w:ind w:left="7242" w:hanging="980"/>
      </w:pPr>
      <w:rPr>
        <w:rFonts w:hint="default"/>
      </w:rPr>
    </w:lvl>
    <w:lvl w:ilvl="8" w:tplc="B74A0FC4">
      <w:numFmt w:val="bullet"/>
      <w:lvlText w:val="•"/>
      <w:lvlJc w:val="left"/>
      <w:pPr>
        <w:ind w:left="8208" w:hanging="980"/>
      </w:pPr>
      <w:rPr>
        <w:rFonts w:hint="default"/>
      </w:rPr>
    </w:lvl>
  </w:abstractNum>
  <w:abstractNum w:abstractNumId="49" w15:restartNumberingAfterBreak="0">
    <w:nsid w:val="6C804C2B"/>
    <w:multiLevelType w:val="hybridMultilevel"/>
    <w:tmpl w:val="894A6366"/>
    <w:lvl w:ilvl="0" w:tplc="AA3C536C">
      <w:start w:val="1"/>
      <w:numFmt w:val="decimal"/>
      <w:lvlText w:val="(%1)"/>
      <w:lvlJc w:val="left"/>
      <w:pPr>
        <w:ind w:left="828" w:hanging="317"/>
        <w:jc w:val="left"/>
      </w:pPr>
      <w:rPr>
        <w:rFonts w:ascii="Verdana" w:eastAsia="Verdana" w:hAnsi="Verdana" w:cs="Verdana" w:hint="default"/>
        <w:spacing w:val="-1"/>
        <w:w w:val="100"/>
        <w:sz w:val="16"/>
        <w:szCs w:val="16"/>
      </w:rPr>
    </w:lvl>
    <w:lvl w:ilvl="1" w:tplc="B48CDD52">
      <w:numFmt w:val="bullet"/>
      <w:lvlText w:val="•"/>
      <w:lvlJc w:val="left"/>
      <w:pPr>
        <w:ind w:left="1698" w:hanging="317"/>
      </w:pPr>
      <w:rPr>
        <w:rFonts w:hint="default"/>
      </w:rPr>
    </w:lvl>
    <w:lvl w:ilvl="2" w:tplc="3ED01ACC">
      <w:numFmt w:val="bullet"/>
      <w:lvlText w:val="•"/>
      <w:lvlJc w:val="left"/>
      <w:pPr>
        <w:ind w:left="2576" w:hanging="317"/>
      </w:pPr>
      <w:rPr>
        <w:rFonts w:hint="default"/>
      </w:rPr>
    </w:lvl>
    <w:lvl w:ilvl="3" w:tplc="506CC00A">
      <w:numFmt w:val="bullet"/>
      <w:lvlText w:val="•"/>
      <w:lvlJc w:val="left"/>
      <w:pPr>
        <w:ind w:left="3454" w:hanging="317"/>
      </w:pPr>
      <w:rPr>
        <w:rFonts w:hint="default"/>
      </w:rPr>
    </w:lvl>
    <w:lvl w:ilvl="4" w:tplc="C67C0BEE">
      <w:numFmt w:val="bullet"/>
      <w:lvlText w:val="•"/>
      <w:lvlJc w:val="left"/>
      <w:pPr>
        <w:ind w:left="4332" w:hanging="317"/>
      </w:pPr>
      <w:rPr>
        <w:rFonts w:hint="default"/>
      </w:rPr>
    </w:lvl>
    <w:lvl w:ilvl="5" w:tplc="182E07F6">
      <w:numFmt w:val="bullet"/>
      <w:lvlText w:val="•"/>
      <w:lvlJc w:val="left"/>
      <w:pPr>
        <w:ind w:left="5210" w:hanging="317"/>
      </w:pPr>
      <w:rPr>
        <w:rFonts w:hint="default"/>
      </w:rPr>
    </w:lvl>
    <w:lvl w:ilvl="6" w:tplc="D8524D72">
      <w:numFmt w:val="bullet"/>
      <w:lvlText w:val="•"/>
      <w:lvlJc w:val="left"/>
      <w:pPr>
        <w:ind w:left="6088" w:hanging="317"/>
      </w:pPr>
      <w:rPr>
        <w:rFonts w:hint="default"/>
      </w:rPr>
    </w:lvl>
    <w:lvl w:ilvl="7" w:tplc="9670C17C">
      <w:numFmt w:val="bullet"/>
      <w:lvlText w:val="•"/>
      <w:lvlJc w:val="left"/>
      <w:pPr>
        <w:ind w:left="6966" w:hanging="317"/>
      </w:pPr>
      <w:rPr>
        <w:rFonts w:hint="default"/>
      </w:rPr>
    </w:lvl>
    <w:lvl w:ilvl="8" w:tplc="4A642F5C">
      <w:numFmt w:val="bullet"/>
      <w:lvlText w:val="•"/>
      <w:lvlJc w:val="left"/>
      <w:pPr>
        <w:ind w:left="7844" w:hanging="317"/>
      </w:pPr>
      <w:rPr>
        <w:rFonts w:hint="default"/>
      </w:rPr>
    </w:lvl>
  </w:abstractNum>
  <w:abstractNum w:abstractNumId="50" w15:restartNumberingAfterBreak="0">
    <w:nsid w:val="6CD0332D"/>
    <w:multiLevelType w:val="hybridMultilevel"/>
    <w:tmpl w:val="E620F08E"/>
    <w:lvl w:ilvl="0" w:tplc="177A0926">
      <w:start w:val="1"/>
      <w:numFmt w:val="decimal"/>
      <w:lvlText w:val="%1."/>
      <w:lvlJc w:val="left"/>
      <w:pPr>
        <w:ind w:left="458" w:hanging="708"/>
        <w:jc w:val="left"/>
      </w:pPr>
      <w:rPr>
        <w:rFonts w:ascii="Verdana" w:eastAsia="Verdana" w:hAnsi="Verdana" w:cs="Verdana" w:hint="default"/>
        <w:w w:val="99"/>
        <w:sz w:val="20"/>
        <w:szCs w:val="20"/>
      </w:rPr>
    </w:lvl>
    <w:lvl w:ilvl="1" w:tplc="46C0B0E4">
      <w:start w:val="1"/>
      <w:numFmt w:val="upperRoman"/>
      <w:lvlText w:val="%2."/>
      <w:lvlJc w:val="left"/>
      <w:pPr>
        <w:ind w:left="3506" w:hanging="348"/>
        <w:jc w:val="left"/>
      </w:pPr>
      <w:rPr>
        <w:rFonts w:ascii="Verdana" w:eastAsia="Verdana" w:hAnsi="Verdana" w:cs="Verdana" w:hint="default"/>
        <w:b/>
        <w:bCs/>
        <w:spacing w:val="-1"/>
        <w:w w:val="99"/>
        <w:sz w:val="20"/>
        <w:szCs w:val="20"/>
      </w:rPr>
    </w:lvl>
    <w:lvl w:ilvl="2" w:tplc="A14436AC">
      <w:numFmt w:val="bullet"/>
      <w:lvlText w:val="•"/>
      <w:lvlJc w:val="left"/>
      <w:pPr>
        <w:ind w:left="4237" w:hanging="348"/>
      </w:pPr>
      <w:rPr>
        <w:rFonts w:hint="default"/>
      </w:rPr>
    </w:lvl>
    <w:lvl w:ilvl="3" w:tplc="D158B2DC">
      <w:numFmt w:val="bullet"/>
      <w:lvlText w:val="•"/>
      <w:lvlJc w:val="left"/>
      <w:pPr>
        <w:ind w:left="4975" w:hanging="348"/>
      </w:pPr>
      <w:rPr>
        <w:rFonts w:hint="default"/>
      </w:rPr>
    </w:lvl>
    <w:lvl w:ilvl="4" w:tplc="2B049A12">
      <w:numFmt w:val="bullet"/>
      <w:lvlText w:val="•"/>
      <w:lvlJc w:val="left"/>
      <w:pPr>
        <w:ind w:left="5713" w:hanging="348"/>
      </w:pPr>
      <w:rPr>
        <w:rFonts w:hint="default"/>
      </w:rPr>
    </w:lvl>
    <w:lvl w:ilvl="5" w:tplc="3B5A5326">
      <w:numFmt w:val="bullet"/>
      <w:lvlText w:val="•"/>
      <w:lvlJc w:val="left"/>
      <w:pPr>
        <w:ind w:left="6451" w:hanging="348"/>
      </w:pPr>
      <w:rPr>
        <w:rFonts w:hint="default"/>
      </w:rPr>
    </w:lvl>
    <w:lvl w:ilvl="6" w:tplc="5E0C4C86">
      <w:numFmt w:val="bullet"/>
      <w:lvlText w:val="•"/>
      <w:lvlJc w:val="left"/>
      <w:pPr>
        <w:ind w:left="7188" w:hanging="348"/>
      </w:pPr>
      <w:rPr>
        <w:rFonts w:hint="default"/>
      </w:rPr>
    </w:lvl>
    <w:lvl w:ilvl="7" w:tplc="2788E5EE">
      <w:numFmt w:val="bullet"/>
      <w:lvlText w:val="•"/>
      <w:lvlJc w:val="left"/>
      <w:pPr>
        <w:ind w:left="7926" w:hanging="348"/>
      </w:pPr>
      <w:rPr>
        <w:rFonts w:hint="default"/>
      </w:rPr>
    </w:lvl>
    <w:lvl w:ilvl="8" w:tplc="A2B0B7CC">
      <w:numFmt w:val="bullet"/>
      <w:lvlText w:val="•"/>
      <w:lvlJc w:val="left"/>
      <w:pPr>
        <w:ind w:left="8664" w:hanging="348"/>
      </w:pPr>
      <w:rPr>
        <w:rFonts w:hint="default"/>
      </w:rPr>
    </w:lvl>
  </w:abstractNum>
  <w:abstractNum w:abstractNumId="51" w15:restartNumberingAfterBreak="0">
    <w:nsid w:val="6DB50365"/>
    <w:multiLevelType w:val="hybridMultilevel"/>
    <w:tmpl w:val="DD5ED9E8"/>
    <w:lvl w:ilvl="0" w:tplc="413021C2">
      <w:start w:val="1"/>
      <w:numFmt w:val="decimal"/>
      <w:lvlText w:val="%1."/>
      <w:lvlJc w:val="left"/>
      <w:pPr>
        <w:ind w:left="889" w:hanging="708"/>
        <w:jc w:val="left"/>
      </w:pPr>
      <w:rPr>
        <w:rFonts w:ascii="Verdana" w:eastAsia="Verdana" w:hAnsi="Verdana" w:cs="Verdana" w:hint="default"/>
        <w:w w:val="99"/>
        <w:sz w:val="20"/>
        <w:szCs w:val="20"/>
      </w:rPr>
    </w:lvl>
    <w:lvl w:ilvl="1" w:tplc="893E883A">
      <w:numFmt w:val="bullet"/>
      <w:lvlText w:val="•"/>
      <w:lvlJc w:val="left"/>
      <w:pPr>
        <w:ind w:left="1672" w:hanging="708"/>
      </w:pPr>
      <w:rPr>
        <w:rFonts w:hint="default"/>
      </w:rPr>
    </w:lvl>
    <w:lvl w:ilvl="2" w:tplc="93C432C0">
      <w:numFmt w:val="bullet"/>
      <w:lvlText w:val="•"/>
      <w:lvlJc w:val="left"/>
      <w:pPr>
        <w:ind w:left="2465" w:hanging="708"/>
      </w:pPr>
      <w:rPr>
        <w:rFonts w:hint="default"/>
      </w:rPr>
    </w:lvl>
    <w:lvl w:ilvl="3" w:tplc="4E102B36">
      <w:numFmt w:val="bullet"/>
      <w:lvlText w:val="•"/>
      <w:lvlJc w:val="left"/>
      <w:pPr>
        <w:ind w:left="3257" w:hanging="708"/>
      </w:pPr>
      <w:rPr>
        <w:rFonts w:hint="default"/>
      </w:rPr>
    </w:lvl>
    <w:lvl w:ilvl="4" w:tplc="2654F052">
      <w:numFmt w:val="bullet"/>
      <w:lvlText w:val="•"/>
      <w:lvlJc w:val="left"/>
      <w:pPr>
        <w:ind w:left="4050" w:hanging="708"/>
      </w:pPr>
      <w:rPr>
        <w:rFonts w:hint="default"/>
      </w:rPr>
    </w:lvl>
    <w:lvl w:ilvl="5" w:tplc="02026A9E">
      <w:numFmt w:val="bullet"/>
      <w:lvlText w:val="•"/>
      <w:lvlJc w:val="left"/>
      <w:pPr>
        <w:ind w:left="4843" w:hanging="708"/>
      </w:pPr>
      <w:rPr>
        <w:rFonts w:hint="default"/>
      </w:rPr>
    </w:lvl>
    <w:lvl w:ilvl="6" w:tplc="C70C8F6C">
      <w:numFmt w:val="bullet"/>
      <w:lvlText w:val="•"/>
      <w:lvlJc w:val="left"/>
      <w:pPr>
        <w:ind w:left="5635" w:hanging="708"/>
      </w:pPr>
      <w:rPr>
        <w:rFonts w:hint="default"/>
      </w:rPr>
    </w:lvl>
    <w:lvl w:ilvl="7" w:tplc="CD0CC5FC">
      <w:numFmt w:val="bullet"/>
      <w:lvlText w:val="•"/>
      <w:lvlJc w:val="left"/>
      <w:pPr>
        <w:ind w:left="6428" w:hanging="708"/>
      </w:pPr>
      <w:rPr>
        <w:rFonts w:hint="default"/>
      </w:rPr>
    </w:lvl>
    <w:lvl w:ilvl="8" w:tplc="0A8E69CE">
      <w:numFmt w:val="bullet"/>
      <w:lvlText w:val="•"/>
      <w:lvlJc w:val="left"/>
      <w:pPr>
        <w:ind w:left="7221" w:hanging="708"/>
      </w:pPr>
      <w:rPr>
        <w:rFonts w:hint="default"/>
      </w:rPr>
    </w:lvl>
  </w:abstractNum>
  <w:abstractNum w:abstractNumId="52" w15:restartNumberingAfterBreak="0">
    <w:nsid w:val="6E0577F4"/>
    <w:multiLevelType w:val="hybridMultilevel"/>
    <w:tmpl w:val="6150BB0C"/>
    <w:lvl w:ilvl="0" w:tplc="746E22E4">
      <w:start w:val="2"/>
      <w:numFmt w:val="decimal"/>
      <w:lvlText w:val="%1."/>
      <w:lvlJc w:val="left"/>
      <w:pPr>
        <w:ind w:left="470" w:hanging="240"/>
        <w:jc w:val="left"/>
      </w:pPr>
      <w:rPr>
        <w:rFonts w:ascii="Verdana" w:eastAsia="Verdana" w:hAnsi="Verdana" w:cs="Verdana" w:hint="default"/>
        <w:i/>
        <w:w w:val="100"/>
        <w:sz w:val="16"/>
        <w:szCs w:val="16"/>
      </w:rPr>
    </w:lvl>
    <w:lvl w:ilvl="1" w:tplc="01D224B8">
      <w:numFmt w:val="bullet"/>
      <w:lvlText w:val="•"/>
      <w:lvlJc w:val="left"/>
      <w:pPr>
        <w:ind w:left="1446" w:hanging="240"/>
      </w:pPr>
      <w:rPr>
        <w:rFonts w:hint="default"/>
      </w:rPr>
    </w:lvl>
    <w:lvl w:ilvl="2" w:tplc="157445E4">
      <w:numFmt w:val="bullet"/>
      <w:lvlText w:val="•"/>
      <w:lvlJc w:val="left"/>
      <w:pPr>
        <w:ind w:left="2412" w:hanging="240"/>
      </w:pPr>
      <w:rPr>
        <w:rFonts w:hint="default"/>
      </w:rPr>
    </w:lvl>
    <w:lvl w:ilvl="3" w:tplc="8EA01DF0">
      <w:numFmt w:val="bullet"/>
      <w:lvlText w:val="•"/>
      <w:lvlJc w:val="left"/>
      <w:pPr>
        <w:ind w:left="3378" w:hanging="240"/>
      </w:pPr>
      <w:rPr>
        <w:rFonts w:hint="default"/>
      </w:rPr>
    </w:lvl>
    <w:lvl w:ilvl="4" w:tplc="02BA190E">
      <w:numFmt w:val="bullet"/>
      <w:lvlText w:val="•"/>
      <w:lvlJc w:val="left"/>
      <w:pPr>
        <w:ind w:left="4344" w:hanging="240"/>
      </w:pPr>
      <w:rPr>
        <w:rFonts w:hint="default"/>
      </w:rPr>
    </w:lvl>
    <w:lvl w:ilvl="5" w:tplc="869EF652">
      <w:numFmt w:val="bullet"/>
      <w:lvlText w:val="•"/>
      <w:lvlJc w:val="left"/>
      <w:pPr>
        <w:ind w:left="5310" w:hanging="240"/>
      </w:pPr>
      <w:rPr>
        <w:rFonts w:hint="default"/>
      </w:rPr>
    </w:lvl>
    <w:lvl w:ilvl="6" w:tplc="41E0C10C">
      <w:numFmt w:val="bullet"/>
      <w:lvlText w:val="•"/>
      <w:lvlJc w:val="left"/>
      <w:pPr>
        <w:ind w:left="6276" w:hanging="240"/>
      </w:pPr>
      <w:rPr>
        <w:rFonts w:hint="default"/>
      </w:rPr>
    </w:lvl>
    <w:lvl w:ilvl="7" w:tplc="620AB332">
      <w:numFmt w:val="bullet"/>
      <w:lvlText w:val="•"/>
      <w:lvlJc w:val="left"/>
      <w:pPr>
        <w:ind w:left="7242" w:hanging="240"/>
      </w:pPr>
      <w:rPr>
        <w:rFonts w:hint="default"/>
      </w:rPr>
    </w:lvl>
    <w:lvl w:ilvl="8" w:tplc="339411FE">
      <w:numFmt w:val="bullet"/>
      <w:lvlText w:val="•"/>
      <w:lvlJc w:val="left"/>
      <w:pPr>
        <w:ind w:left="8208" w:hanging="240"/>
      </w:pPr>
      <w:rPr>
        <w:rFonts w:hint="default"/>
      </w:rPr>
    </w:lvl>
  </w:abstractNum>
  <w:abstractNum w:abstractNumId="53" w15:restartNumberingAfterBreak="0">
    <w:nsid w:val="7210267E"/>
    <w:multiLevelType w:val="hybridMultilevel"/>
    <w:tmpl w:val="E9CAA8C4"/>
    <w:lvl w:ilvl="0" w:tplc="EFF6627E">
      <w:start w:val="1"/>
      <w:numFmt w:val="lowerLetter"/>
      <w:lvlText w:val="%1."/>
      <w:lvlJc w:val="left"/>
      <w:pPr>
        <w:ind w:left="1113" w:hanging="428"/>
        <w:jc w:val="left"/>
      </w:pPr>
      <w:rPr>
        <w:rFonts w:ascii="Verdana" w:eastAsia="Verdana" w:hAnsi="Verdana" w:cs="Verdana" w:hint="default"/>
        <w:w w:val="99"/>
        <w:sz w:val="20"/>
        <w:szCs w:val="20"/>
      </w:rPr>
    </w:lvl>
    <w:lvl w:ilvl="1" w:tplc="EEA85B32">
      <w:numFmt w:val="bullet"/>
      <w:lvlText w:val="•"/>
      <w:lvlJc w:val="left"/>
      <w:pPr>
        <w:ind w:left="1968" w:hanging="428"/>
      </w:pPr>
      <w:rPr>
        <w:rFonts w:hint="default"/>
      </w:rPr>
    </w:lvl>
    <w:lvl w:ilvl="2" w:tplc="0BA40178">
      <w:numFmt w:val="bullet"/>
      <w:lvlText w:val="•"/>
      <w:lvlJc w:val="left"/>
      <w:pPr>
        <w:ind w:left="2816" w:hanging="428"/>
      </w:pPr>
      <w:rPr>
        <w:rFonts w:hint="default"/>
      </w:rPr>
    </w:lvl>
    <w:lvl w:ilvl="3" w:tplc="C58414E4">
      <w:numFmt w:val="bullet"/>
      <w:lvlText w:val="•"/>
      <w:lvlJc w:val="left"/>
      <w:pPr>
        <w:ind w:left="3664" w:hanging="428"/>
      </w:pPr>
      <w:rPr>
        <w:rFonts w:hint="default"/>
      </w:rPr>
    </w:lvl>
    <w:lvl w:ilvl="4" w:tplc="F4F02DE2">
      <w:numFmt w:val="bullet"/>
      <w:lvlText w:val="•"/>
      <w:lvlJc w:val="left"/>
      <w:pPr>
        <w:ind w:left="4512" w:hanging="428"/>
      </w:pPr>
      <w:rPr>
        <w:rFonts w:hint="default"/>
      </w:rPr>
    </w:lvl>
    <w:lvl w:ilvl="5" w:tplc="B8E8187A">
      <w:numFmt w:val="bullet"/>
      <w:lvlText w:val="•"/>
      <w:lvlJc w:val="left"/>
      <w:pPr>
        <w:ind w:left="5360" w:hanging="428"/>
      </w:pPr>
      <w:rPr>
        <w:rFonts w:hint="default"/>
      </w:rPr>
    </w:lvl>
    <w:lvl w:ilvl="6" w:tplc="41466C6E">
      <w:numFmt w:val="bullet"/>
      <w:lvlText w:val="•"/>
      <w:lvlJc w:val="left"/>
      <w:pPr>
        <w:ind w:left="6208" w:hanging="428"/>
      </w:pPr>
      <w:rPr>
        <w:rFonts w:hint="default"/>
      </w:rPr>
    </w:lvl>
    <w:lvl w:ilvl="7" w:tplc="53EAC7A8">
      <w:numFmt w:val="bullet"/>
      <w:lvlText w:val="•"/>
      <w:lvlJc w:val="left"/>
      <w:pPr>
        <w:ind w:left="7056" w:hanging="428"/>
      </w:pPr>
      <w:rPr>
        <w:rFonts w:hint="default"/>
      </w:rPr>
    </w:lvl>
    <w:lvl w:ilvl="8" w:tplc="11AC345A">
      <w:numFmt w:val="bullet"/>
      <w:lvlText w:val="•"/>
      <w:lvlJc w:val="left"/>
      <w:pPr>
        <w:ind w:left="7904" w:hanging="428"/>
      </w:pPr>
      <w:rPr>
        <w:rFonts w:hint="default"/>
      </w:rPr>
    </w:lvl>
  </w:abstractNum>
  <w:abstractNum w:abstractNumId="54" w15:restartNumberingAfterBreak="0">
    <w:nsid w:val="732C37E4"/>
    <w:multiLevelType w:val="hybridMultilevel"/>
    <w:tmpl w:val="E8F6E15A"/>
    <w:lvl w:ilvl="0" w:tplc="B8E6CF6C">
      <w:start w:val="1"/>
      <w:numFmt w:val="upperLetter"/>
      <w:lvlText w:val="%1."/>
      <w:lvlJc w:val="left"/>
      <w:pPr>
        <w:ind w:left="456" w:hanging="348"/>
        <w:jc w:val="left"/>
      </w:pPr>
      <w:rPr>
        <w:rFonts w:ascii="Verdana" w:eastAsia="Verdana" w:hAnsi="Verdana" w:cs="Verdana" w:hint="default"/>
        <w:b/>
        <w:bCs/>
        <w:i/>
        <w:spacing w:val="-2"/>
        <w:w w:val="99"/>
        <w:sz w:val="20"/>
        <w:szCs w:val="20"/>
      </w:rPr>
    </w:lvl>
    <w:lvl w:ilvl="1" w:tplc="FD402908">
      <w:numFmt w:val="bullet"/>
      <w:lvlText w:val="•"/>
      <w:lvlJc w:val="left"/>
      <w:pPr>
        <w:ind w:left="1428" w:hanging="348"/>
      </w:pPr>
      <w:rPr>
        <w:rFonts w:hint="default"/>
      </w:rPr>
    </w:lvl>
    <w:lvl w:ilvl="2" w:tplc="98EC08A4">
      <w:numFmt w:val="bullet"/>
      <w:lvlText w:val="•"/>
      <w:lvlJc w:val="left"/>
      <w:pPr>
        <w:ind w:left="2396" w:hanging="348"/>
      </w:pPr>
      <w:rPr>
        <w:rFonts w:hint="default"/>
      </w:rPr>
    </w:lvl>
    <w:lvl w:ilvl="3" w:tplc="F8B4B826">
      <w:numFmt w:val="bullet"/>
      <w:lvlText w:val="•"/>
      <w:lvlJc w:val="left"/>
      <w:pPr>
        <w:ind w:left="3364" w:hanging="348"/>
      </w:pPr>
      <w:rPr>
        <w:rFonts w:hint="default"/>
      </w:rPr>
    </w:lvl>
    <w:lvl w:ilvl="4" w:tplc="10DADCA4">
      <w:numFmt w:val="bullet"/>
      <w:lvlText w:val="•"/>
      <w:lvlJc w:val="left"/>
      <w:pPr>
        <w:ind w:left="4332" w:hanging="348"/>
      </w:pPr>
      <w:rPr>
        <w:rFonts w:hint="default"/>
      </w:rPr>
    </w:lvl>
    <w:lvl w:ilvl="5" w:tplc="0A16721E">
      <w:numFmt w:val="bullet"/>
      <w:lvlText w:val="•"/>
      <w:lvlJc w:val="left"/>
      <w:pPr>
        <w:ind w:left="5300" w:hanging="348"/>
      </w:pPr>
      <w:rPr>
        <w:rFonts w:hint="default"/>
      </w:rPr>
    </w:lvl>
    <w:lvl w:ilvl="6" w:tplc="41DE6950">
      <w:numFmt w:val="bullet"/>
      <w:lvlText w:val="•"/>
      <w:lvlJc w:val="left"/>
      <w:pPr>
        <w:ind w:left="6268" w:hanging="348"/>
      </w:pPr>
      <w:rPr>
        <w:rFonts w:hint="default"/>
      </w:rPr>
    </w:lvl>
    <w:lvl w:ilvl="7" w:tplc="A7A26F9A">
      <w:numFmt w:val="bullet"/>
      <w:lvlText w:val="•"/>
      <w:lvlJc w:val="left"/>
      <w:pPr>
        <w:ind w:left="7236" w:hanging="348"/>
      </w:pPr>
      <w:rPr>
        <w:rFonts w:hint="default"/>
      </w:rPr>
    </w:lvl>
    <w:lvl w:ilvl="8" w:tplc="00E821C4">
      <w:numFmt w:val="bullet"/>
      <w:lvlText w:val="•"/>
      <w:lvlJc w:val="left"/>
      <w:pPr>
        <w:ind w:left="8204" w:hanging="348"/>
      </w:pPr>
      <w:rPr>
        <w:rFonts w:hint="default"/>
      </w:rPr>
    </w:lvl>
  </w:abstractNum>
  <w:abstractNum w:abstractNumId="55" w15:restartNumberingAfterBreak="0">
    <w:nsid w:val="76C65D43"/>
    <w:multiLevelType w:val="hybridMultilevel"/>
    <w:tmpl w:val="28800AE0"/>
    <w:lvl w:ilvl="0" w:tplc="70029B14">
      <w:start w:val="1"/>
      <w:numFmt w:val="lowerLetter"/>
      <w:lvlText w:val="%1."/>
      <w:lvlJc w:val="left"/>
      <w:pPr>
        <w:ind w:left="1560" w:hanging="360"/>
        <w:jc w:val="left"/>
      </w:pPr>
      <w:rPr>
        <w:rFonts w:ascii="Verdana" w:eastAsia="Verdana" w:hAnsi="Verdana" w:cs="Verdana" w:hint="default"/>
        <w:b/>
        <w:bCs/>
        <w:spacing w:val="-1"/>
        <w:w w:val="99"/>
        <w:sz w:val="20"/>
        <w:szCs w:val="20"/>
      </w:rPr>
    </w:lvl>
    <w:lvl w:ilvl="1" w:tplc="FE00CE30">
      <w:numFmt w:val="bullet"/>
      <w:lvlText w:val="•"/>
      <w:lvlJc w:val="left"/>
      <w:pPr>
        <w:ind w:left="2364" w:hanging="360"/>
      </w:pPr>
      <w:rPr>
        <w:rFonts w:hint="default"/>
      </w:rPr>
    </w:lvl>
    <w:lvl w:ilvl="2" w:tplc="C36A4B36">
      <w:numFmt w:val="bullet"/>
      <w:lvlText w:val="•"/>
      <w:lvlJc w:val="left"/>
      <w:pPr>
        <w:ind w:left="3168" w:hanging="360"/>
      </w:pPr>
      <w:rPr>
        <w:rFonts w:hint="default"/>
      </w:rPr>
    </w:lvl>
    <w:lvl w:ilvl="3" w:tplc="AB22A7A4">
      <w:numFmt w:val="bullet"/>
      <w:lvlText w:val="•"/>
      <w:lvlJc w:val="left"/>
      <w:pPr>
        <w:ind w:left="3972" w:hanging="360"/>
      </w:pPr>
      <w:rPr>
        <w:rFonts w:hint="default"/>
      </w:rPr>
    </w:lvl>
    <w:lvl w:ilvl="4" w:tplc="D4E26D66">
      <w:numFmt w:val="bullet"/>
      <w:lvlText w:val="•"/>
      <w:lvlJc w:val="left"/>
      <w:pPr>
        <w:ind w:left="4776" w:hanging="360"/>
      </w:pPr>
      <w:rPr>
        <w:rFonts w:hint="default"/>
      </w:rPr>
    </w:lvl>
    <w:lvl w:ilvl="5" w:tplc="54C2114A">
      <w:numFmt w:val="bullet"/>
      <w:lvlText w:val="•"/>
      <w:lvlJc w:val="left"/>
      <w:pPr>
        <w:ind w:left="5580" w:hanging="360"/>
      </w:pPr>
      <w:rPr>
        <w:rFonts w:hint="default"/>
      </w:rPr>
    </w:lvl>
    <w:lvl w:ilvl="6" w:tplc="8ECE159E">
      <w:numFmt w:val="bullet"/>
      <w:lvlText w:val="•"/>
      <w:lvlJc w:val="left"/>
      <w:pPr>
        <w:ind w:left="6384" w:hanging="360"/>
      </w:pPr>
      <w:rPr>
        <w:rFonts w:hint="default"/>
      </w:rPr>
    </w:lvl>
    <w:lvl w:ilvl="7" w:tplc="CC42B53C">
      <w:numFmt w:val="bullet"/>
      <w:lvlText w:val="•"/>
      <w:lvlJc w:val="left"/>
      <w:pPr>
        <w:ind w:left="7188" w:hanging="360"/>
      </w:pPr>
      <w:rPr>
        <w:rFonts w:hint="default"/>
      </w:rPr>
    </w:lvl>
    <w:lvl w:ilvl="8" w:tplc="2D50D2A8">
      <w:numFmt w:val="bullet"/>
      <w:lvlText w:val="•"/>
      <w:lvlJc w:val="left"/>
      <w:pPr>
        <w:ind w:left="7992" w:hanging="360"/>
      </w:pPr>
      <w:rPr>
        <w:rFonts w:hint="default"/>
      </w:rPr>
    </w:lvl>
  </w:abstractNum>
  <w:abstractNum w:abstractNumId="56" w15:restartNumberingAfterBreak="0">
    <w:nsid w:val="791B4498"/>
    <w:multiLevelType w:val="hybridMultilevel"/>
    <w:tmpl w:val="7DA6E7AE"/>
    <w:lvl w:ilvl="0" w:tplc="B950BF58">
      <w:start w:val="2"/>
      <w:numFmt w:val="decimal"/>
      <w:lvlText w:val="%1."/>
      <w:lvlJc w:val="left"/>
      <w:pPr>
        <w:ind w:left="470" w:hanging="219"/>
        <w:jc w:val="left"/>
      </w:pPr>
      <w:rPr>
        <w:rFonts w:ascii="Verdana" w:eastAsia="Verdana" w:hAnsi="Verdana" w:cs="Verdana" w:hint="default"/>
        <w:i/>
        <w:w w:val="100"/>
        <w:sz w:val="16"/>
        <w:szCs w:val="16"/>
      </w:rPr>
    </w:lvl>
    <w:lvl w:ilvl="1" w:tplc="0708343C">
      <w:numFmt w:val="bullet"/>
      <w:lvlText w:val="•"/>
      <w:lvlJc w:val="left"/>
      <w:pPr>
        <w:ind w:left="1446" w:hanging="219"/>
      </w:pPr>
      <w:rPr>
        <w:rFonts w:hint="default"/>
      </w:rPr>
    </w:lvl>
    <w:lvl w:ilvl="2" w:tplc="5ECA09DC">
      <w:numFmt w:val="bullet"/>
      <w:lvlText w:val="•"/>
      <w:lvlJc w:val="left"/>
      <w:pPr>
        <w:ind w:left="2412" w:hanging="219"/>
      </w:pPr>
      <w:rPr>
        <w:rFonts w:hint="default"/>
      </w:rPr>
    </w:lvl>
    <w:lvl w:ilvl="3" w:tplc="BC8A8958">
      <w:numFmt w:val="bullet"/>
      <w:lvlText w:val="•"/>
      <w:lvlJc w:val="left"/>
      <w:pPr>
        <w:ind w:left="3378" w:hanging="219"/>
      </w:pPr>
      <w:rPr>
        <w:rFonts w:hint="default"/>
      </w:rPr>
    </w:lvl>
    <w:lvl w:ilvl="4" w:tplc="80C80D48">
      <w:numFmt w:val="bullet"/>
      <w:lvlText w:val="•"/>
      <w:lvlJc w:val="left"/>
      <w:pPr>
        <w:ind w:left="4344" w:hanging="219"/>
      </w:pPr>
      <w:rPr>
        <w:rFonts w:hint="default"/>
      </w:rPr>
    </w:lvl>
    <w:lvl w:ilvl="5" w:tplc="DD127D94">
      <w:numFmt w:val="bullet"/>
      <w:lvlText w:val="•"/>
      <w:lvlJc w:val="left"/>
      <w:pPr>
        <w:ind w:left="5310" w:hanging="219"/>
      </w:pPr>
      <w:rPr>
        <w:rFonts w:hint="default"/>
      </w:rPr>
    </w:lvl>
    <w:lvl w:ilvl="6" w:tplc="F85C9AB8">
      <w:numFmt w:val="bullet"/>
      <w:lvlText w:val="•"/>
      <w:lvlJc w:val="left"/>
      <w:pPr>
        <w:ind w:left="6276" w:hanging="219"/>
      </w:pPr>
      <w:rPr>
        <w:rFonts w:hint="default"/>
      </w:rPr>
    </w:lvl>
    <w:lvl w:ilvl="7" w:tplc="1E562E58">
      <w:numFmt w:val="bullet"/>
      <w:lvlText w:val="•"/>
      <w:lvlJc w:val="left"/>
      <w:pPr>
        <w:ind w:left="7242" w:hanging="219"/>
      </w:pPr>
      <w:rPr>
        <w:rFonts w:hint="default"/>
      </w:rPr>
    </w:lvl>
    <w:lvl w:ilvl="8" w:tplc="3E1065D4">
      <w:numFmt w:val="bullet"/>
      <w:lvlText w:val="•"/>
      <w:lvlJc w:val="left"/>
      <w:pPr>
        <w:ind w:left="8208" w:hanging="219"/>
      </w:pPr>
      <w:rPr>
        <w:rFonts w:hint="default"/>
      </w:rPr>
    </w:lvl>
  </w:abstractNum>
  <w:abstractNum w:abstractNumId="57" w15:restartNumberingAfterBreak="0">
    <w:nsid w:val="7ADA4153"/>
    <w:multiLevelType w:val="hybridMultilevel"/>
    <w:tmpl w:val="C0EA71C0"/>
    <w:lvl w:ilvl="0" w:tplc="617C2772">
      <w:start w:val="11"/>
      <w:numFmt w:val="decimal"/>
      <w:lvlText w:val="%1."/>
      <w:lvlJc w:val="left"/>
      <w:pPr>
        <w:ind w:left="470" w:hanging="980"/>
        <w:jc w:val="left"/>
      </w:pPr>
      <w:rPr>
        <w:rFonts w:ascii="Verdana" w:eastAsia="Verdana" w:hAnsi="Verdana" w:cs="Verdana" w:hint="default"/>
        <w:w w:val="99"/>
        <w:sz w:val="20"/>
        <w:szCs w:val="20"/>
      </w:rPr>
    </w:lvl>
    <w:lvl w:ilvl="1" w:tplc="89120C3E">
      <w:start w:val="1"/>
      <w:numFmt w:val="lowerRoman"/>
      <w:lvlText w:val="%2."/>
      <w:lvlJc w:val="left"/>
      <w:pPr>
        <w:ind w:left="1012" w:hanging="399"/>
        <w:jc w:val="right"/>
      </w:pPr>
      <w:rPr>
        <w:rFonts w:ascii="Verdana" w:eastAsia="Verdana" w:hAnsi="Verdana" w:cs="Verdana" w:hint="default"/>
        <w:w w:val="99"/>
        <w:sz w:val="20"/>
        <w:szCs w:val="20"/>
      </w:rPr>
    </w:lvl>
    <w:lvl w:ilvl="2" w:tplc="15D85236">
      <w:numFmt w:val="bullet"/>
      <w:lvlText w:val="•"/>
      <w:lvlJc w:val="left"/>
      <w:pPr>
        <w:ind w:left="2033" w:hanging="399"/>
      </w:pPr>
      <w:rPr>
        <w:rFonts w:hint="default"/>
      </w:rPr>
    </w:lvl>
    <w:lvl w:ilvl="3" w:tplc="66A434C8">
      <w:numFmt w:val="bullet"/>
      <w:lvlText w:val="•"/>
      <w:lvlJc w:val="left"/>
      <w:pPr>
        <w:ind w:left="3046" w:hanging="399"/>
      </w:pPr>
      <w:rPr>
        <w:rFonts w:hint="default"/>
      </w:rPr>
    </w:lvl>
    <w:lvl w:ilvl="4" w:tplc="3A2C131A">
      <w:numFmt w:val="bullet"/>
      <w:lvlText w:val="•"/>
      <w:lvlJc w:val="left"/>
      <w:pPr>
        <w:ind w:left="4060" w:hanging="399"/>
      </w:pPr>
      <w:rPr>
        <w:rFonts w:hint="default"/>
      </w:rPr>
    </w:lvl>
    <w:lvl w:ilvl="5" w:tplc="2E30313C">
      <w:numFmt w:val="bullet"/>
      <w:lvlText w:val="•"/>
      <w:lvlJc w:val="left"/>
      <w:pPr>
        <w:ind w:left="5073" w:hanging="399"/>
      </w:pPr>
      <w:rPr>
        <w:rFonts w:hint="default"/>
      </w:rPr>
    </w:lvl>
    <w:lvl w:ilvl="6" w:tplc="14D6DCC8">
      <w:numFmt w:val="bullet"/>
      <w:lvlText w:val="•"/>
      <w:lvlJc w:val="left"/>
      <w:pPr>
        <w:ind w:left="6086" w:hanging="399"/>
      </w:pPr>
      <w:rPr>
        <w:rFonts w:hint="default"/>
      </w:rPr>
    </w:lvl>
    <w:lvl w:ilvl="7" w:tplc="7EA4D6FA">
      <w:numFmt w:val="bullet"/>
      <w:lvlText w:val="•"/>
      <w:lvlJc w:val="left"/>
      <w:pPr>
        <w:ind w:left="7100" w:hanging="399"/>
      </w:pPr>
      <w:rPr>
        <w:rFonts w:hint="default"/>
      </w:rPr>
    </w:lvl>
    <w:lvl w:ilvl="8" w:tplc="C3D69FAC">
      <w:numFmt w:val="bullet"/>
      <w:lvlText w:val="•"/>
      <w:lvlJc w:val="left"/>
      <w:pPr>
        <w:ind w:left="8113" w:hanging="399"/>
      </w:pPr>
      <w:rPr>
        <w:rFonts w:hint="default"/>
      </w:rPr>
    </w:lvl>
  </w:abstractNum>
  <w:abstractNum w:abstractNumId="58" w15:restartNumberingAfterBreak="0">
    <w:nsid w:val="7D8B040C"/>
    <w:multiLevelType w:val="hybridMultilevel"/>
    <w:tmpl w:val="F3CEDD04"/>
    <w:lvl w:ilvl="0" w:tplc="9282E962">
      <w:start w:val="66"/>
      <w:numFmt w:val="decimal"/>
      <w:lvlText w:val="%1."/>
      <w:lvlJc w:val="left"/>
      <w:pPr>
        <w:ind w:left="470" w:hanging="980"/>
        <w:jc w:val="left"/>
      </w:pPr>
      <w:rPr>
        <w:rFonts w:ascii="Verdana" w:eastAsia="Verdana" w:hAnsi="Verdana" w:cs="Verdana" w:hint="default"/>
        <w:w w:val="99"/>
        <w:sz w:val="20"/>
        <w:szCs w:val="20"/>
      </w:rPr>
    </w:lvl>
    <w:lvl w:ilvl="1" w:tplc="EDAC93B4">
      <w:numFmt w:val="bullet"/>
      <w:lvlText w:val="•"/>
      <w:lvlJc w:val="left"/>
      <w:pPr>
        <w:ind w:left="1446" w:hanging="980"/>
      </w:pPr>
      <w:rPr>
        <w:rFonts w:hint="default"/>
      </w:rPr>
    </w:lvl>
    <w:lvl w:ilvl="2" w:tplc="0900B812">
      <w:numFmt w:val="bullet"/>
      <w:lvlText w:val="•"/>
      <w:lvlJc w:val="left"/>
      <w:pPr>
        <w:ind w:left="2412" w:hanging="980"/>
      </w:pPr>
      <w:rPr>
        <w:rFonts w:hint="default"/>
      </w:rPr>
    </w:lvl>
    <w:lvl w:ilvl="3" w:tplc="2684E16E">
      <w:numFmt w:val="bullet"/>
      <w:lvlText w:val="•"/>
      <w:lvlJc w:val="left"/>
      <w:pPr>
        <w:ind w:left="3378" w:hanging="980"/>
      </w:pPr>
      <w:rPr>
        <w:rFonts w:hint="default"/>
      </w:rPr>
    </w:lvl>
    <w:lvl w:ilvl="4" w:tplc="B456D234">
      <w:numFmt w:val="bullet"/>
      <w:lvlText w:val="•"/>
      <w:lvlJc w:val="left"/>
      <w:pPr>
        <w:ind w:left="4344" w:hanging="980"/>
      </w:pPr>
      <w:rPr>
        <w:rFonts w:hint="default"/>
      </w:rPr>
    </w:lvl>
    <w:lvl w:ilvl="5" w:tplc="D55A9938">
      <w:numFmt w:val="bullet"/>
      <w:lvlText w:val="•"/>
      <w:lvlJc w:val="left"/>
      <w:pPr>
        <w:ind w:left="5310" w:hanging="980"/>
      </w:pPr>
      <w:rPr>
        <w:rFonts w:hint="default"/>
      </w:rPr>
    </w:lvl>
    <w:lvl w:ilvl="6" w:tplc="715EBF6A">
      <w:numFmt w:val="bullet"/>
      <w:lvlText w:val="•"/>
      <w:lvlJc w:val="left"/>
      <w:pPr>
        <w:ind w:left="6276" w:hanging="980"/>
      </w:pPr>
      <w:rPr>
        <w:rFonts w:hint="default"/>
      </w:rPr>
    </w:lvl>
    <w:lvl w:ilvl="7" w:tplc="012E8C52">
      <w:numFmt w:val="bullet"/>
      <w:lvlText w:val="•"/>
      <w:lvlJc w:val="left"/>
      <w:pPr>
        <w:ind w:left="7242" w:hanging="980"/>
      </w:pPr>
      <w:rPr>
        <w:rFonts w:hint="default"/>
      </w:rPr>
    </w:lvl>
    <w:lvl w:ilvl="8" w:tplc="A3940EE6">
      <w:numFmt w:val="bullet"/>
      <w:lvlText w:val="•"/>
      <w:lvlJc w:val="left"/>
      <w:pPr>
        <w:ind w:left="8208" w:hanging="980"/>
      </w:pPr>
      <w:rPr>
        <w:rFonts w:hint="default"/>
      </w:rPr>
    </w:lvl>
  </w:abstractNum>
  <w:abstractNum w:abstractNumId="59" w15:restartNumberingAfterBreak="0">
    <w:nsid w:val="7E571737"/>
    <w:multiLevelType w:val="hybridMultilevel"/>
    <w:tmpl w:val="7750CB76"/>
    <w:lvl w:ilvl="0" w:tplc="E6CCC17C">
      <w:start w:val="1"/>
      <w:numFmt w:val="decimal"/>
      <w:lvlText w:val="%1."/>
      <w:lvlJc w:val="left"/>
      <w:pPr>
        <w:ind w:left="101" w:hanging="708"/>
        <w:jc w:val="left"/>
      </w:pPr>
      <w:rPr>
        <w:rFonts w:ascii="Verdana" w:eastAsia="Verdana" w:hAnsi="Verdana" w:cs="Verdana" w:hint="default"/>
        <w:w w:val="99"/>
        <w:sz w:val="20"/>
        <w:szCs w:val="20"/>
      </w:rPr>
    </w:lvl>
    <w:lvl w:ilvl="1" w:tplc="4AC840E2">
      <w:start w:val="1"/>
      <w:numFmt w:val="upperRoman"/>
      <w:lvlText w:val="%2."/>
      <w:lvlJc w:val="left"/>
      <w:pPr>
        <w:ind w:left="741" w:hanging="272"/>
        <w:jc w:val="left"/>
      </w:pPr>
      <w:rPr>
        <w:rFonts w:ascii="Verdana" w:eastAsia="Verdana" w:hAnsi="Verdana" w:cs="Verdana" w:hint="default"/>
        <w:b/>
        <w:bCs/>
        <w:spacing w:val="-1"/>
        <w:w w:val="99"/>
        <w:sz w:val="20"/>
        <w:szCs w:val="20"/>
      </w:rPr>
    </w:lvl>
    <w:lvl w:ilvl="2" w:tplc="9498F3CE">
      <w:start w:val="2"/>
      <w:numFmt w:val="upperRoman"/>
      <w:lvlText w:val="%3."/>
      <w:lvlJc w:val="left"/>
      <w:pPr>
        <w:ind w:left="614" w:hanging="358"/>
        <w:jc w:val="right"/>
      </w:pPr>
      <w:rPr>
        <w:rFonts w:ascii="Verdana" w:eastAsia="Verdana" w:hAnsi="Verdana" w:cs="Verdana" w:hint="default"/>
        <w:b/>
        <w:bCs/>
        <w:spacing w:val="-1"/>
        <w:w w:val="99"/>
        <w:sz w:val="20"/>
        <w:szCs w:val="20"/>
      </w:rPr>
    </w:lvl>
    <w:lvl w:ilvl="3" w:tplc="D4AAF826">
      <w:numFmt w:val="bullet"/>
      <w:lvlText w:val="•"/>
      <w:lvlJc w:val="left"/>
      <w:pPr>
        <w:ind w:left="820" w:hanging="358"/>
      </w:pPr>
      <w:rPr>
        <w:rFonts w:hint="default"/>
      </w:rPr>
    </w:lvl>
    <w:lvl w:ilvl="4" w:tplc="87CAB6E4">
      <w:numFmt w:val="bullet"/>
      <w:lvlText w:val="•"/>
      <w:lvlJc w:val="left"/>
      <w:pPr>
        <w:ind w:left="1948" w:hanging="358"/>
      </w:pPr>
      <w:rPr>
        <w:rFonts w:hint="default"/>
      </w:rPr>
    </w:lvl>
    <w:lvl w:ilvl="5" w:tplc="C4F6A8EE">
      <w:numFmt w:val="bullet"/>
      <w:lvlText w:val="•"/>
      <w:lvlJc w:val="left"/>
      <w:pPr>
        <w:ind w:left="3076" w:hanging="358"/>
      </w:pPr>
      <w:rPr>
        <w:rFonts w:hint="default"/>
      </w:rPr>
    </w:lvl>
    <w:lvl w:ilvl="6" w:tplc="200E2E52">
      <w:numFmt w:val="bullet"/>
      <w:lvlText w:val="•"/>
      <w:lvlJc w:val="left"/>
      <w:pPr>
        <w:ind w:left="4205" w:hanging="358"/>
      </w:pPr>
      <w:rPr>
        <w:rFonts w:hint="default"/>
      </w:rPr>
    </w:lvl>
    <w:lvl w:ilvl="7" w:tplc="4EA81BE8">
      <w:numFmt w:val="bullet"/>
      <w:lvlText w:val="•"/>
      <w:lvlJc w:val="left"/>
      <w:pPr>
        <w:ind w:left="5333" w:hanging="358"/>
      </w:pPr>
      <w:rPr>
        <w:rFonts w:hint="default"/>
      </w:rPr>
    </w:lvl>
    <w:lvl w:ilvl="8" w:tplc="F83A7618">
      <w:numFmt w:val="bullet"/>
      <w:lvlText w:val="•"/>
      <w:lvlJc w:val="left"/>
      <w:pPr>
        <w:ind w:left="6462" w:hanging="358"/>
      </w:pPr>
      <w:rPr>
        <w:rFonts w:hint="default"/>
      </w:rPr>
    </w:lvl>
  </w:abstractNum>
  <w:abstractNum w:abstractNumId="60" w15:restartNumberingAfterBreak="0">
    <w:nsid w:val="7F023396"/>
    <w:multiLevelType w:val="hybridMultilevel"/>
    <w:tmpl w:val="90BE757C"/>
    <w:lvl w:ilvl="0" w:tplc="883493C8">
      <w:start w:val="1"/>
      <w:numFmt w:val="lowerLetter"/>
      <w:lvlText w:val="%1)"/>
      <w:lvlJc w:val="left"/>
      <w:pPr>
        <w:ind w:left="181" w:hanging="387"/>
        <w:jc w:val="left"/>
      </w:pPr>
      <w:rPr>
        <w:rFonts w:ascii="Verdana" w:eastAsia="Verdana" w:hAnsi="Verdana" w:cs="Verdana" w:hint="default"/>
        <w:b/>
        <w:bCs/>
        <w:spacing w:val="-1"/>
        <w:w w:val="99"/>
        <w:sz w:val="20"/>
        <w:szCs w:val="20"/>
      </w:rPr>
    </w:lvl>
    <w:lvl w:ilvl="1" w:tplc="EFD675C2">
      <w:numFmt w:val="bullet"/>
      <w:lvlText w:val="•"/>
      <w:lvlJc w:val="left"/>
      <w:pPr>
        <w:ind w:left="1042" w:hanging="387"/>
      </w:pPr>
      <w:rPr>
        <w:rFonts w:hint="default"/>
      </w:rPr>
    </w:lvl>
    <w:lvl w:ilvl="2" w:tplc="0A26A6EE">
      <w:numFmt w:val="bullet"/>
      <w:lvlText w:val="•"/>
      <w:lvlJc w:val="left"/>
      <w:pPr>
        <w:ind w:left="1905" w:hanging="387"/>
      </w:pPr>
      <w:rPr>
        <w:rFonts w:hint="default"/>
      </w:rPr>
    </w:lvl>
    <w:lvl w:ilvl="3" w:tplc="839C6776">
      <w:numFmt w:val="bullet"/>
      <w:lvlText w:val="•"/>
      <w:lvlJc w:val="left"/>
      <w:pPr>
        <w:ind w:left="2767" w:hanging="387"/>
      </w:pPr>
      <w:rPr>
        <w:rFonts w:hint="default"/>
      </w:rPr>
    </w:lvl>
    <w:lvl w:ilvl="4" w:tplc="B9D6E4EE">
      <w:numFmt w:val="bullet"/>
      <w:lvlText w:val="•"/>
      <w:lvlJc w:val="left"/>
      <w:pPr>
        <w:ind w:left="3630" w:hanging="387"/>
      </w:pPr>
      <w:rPr>
        <w:rFonts w:hint="default"/>
      </w:rPr>
    </w:lvl>
    <w:lvl w:ilvl="5" w:tplc="18F841E4">
      <w:numFmt w:val="bullet"/>
      <w:lvlText w:val="•"/>
      <w:lvlJc w:val="left"/>
      <w:pPr>
        <w:ind w:left="4493" w:hanging="387"/>
      </w:pPr>
      <w:rPr>
        <w:rFonts w:hint="default"/>
      </w:rPr>
    </w:lvl>
    <w:lvl w:ilvl="6" w:tplc="4588D7B0">
      <w:numFmt w:val="bullet"/>
      <w:lvlText w:val="•"/>
      <w:lvlJc w:val="left"/>
      <w:pPr>
        <w:ind w:left="5355" w:hanging="387"/>
      </w:pPr>
      <w:rPr>
        <w:rFonts w:hint="default"/>
      </w:rPr>
    </w:lvl>
    <w:lvl w:ilvl="7" w:tplc="31E0B560">
      <w:numFmt w:val="bullet"/>
      <w:lvlText w:val="•"/>
      <w:lvlJc w:val="left"/>
      <w:pPr>
        <w:ind w:left="6218" w:hanging="387"/>
      </w:pPr>
      <w:rPr>
        <w:rFonts w:hint="default"/>
      </w:rPr>
    </w:lvl>
    <w:lvl w:ilvl="8" w:tplc="AF18B0F8">
      <w:numFmt w:val="bullet"/>
      <w:lvlText w:val="•"/>
      <w:lvlJc w:val="left"/>
      <w:pPr>
        <w:ind w:left="7081" w:hanging="387"/>
      </w:pPr>
      <w:rPr>
        <w:rFonts w:hint="default"/>
      </w:rPr>
    </w:lvl>
  </w:abstractNum>
  <w:num w:numId="1">
    <w:abstractNumId w:val="60"/>
  </w:num>
  <w:num w:numId="2">
    <w:abstractNumId w:val="38"/>
  </w:num>
  <w:num w:numId="3">
    <w:abstractNumId w:val="51"/>
  </w:num>
  <w:num w:numId="4">
    <w:abstractNumId w:val="29"/>
  </w:num>
  <w:num w:numId="5">
    <w:abstractNumId w:val="41"/>
  </w:num>
  <w:num w:numId="6">
    <w:abstractNumId w:val="36"/>
  </w:num>
  <w:num w:numId="7">
    <w:abstractNumId w:val="7"/>
  </w:num>
  <w:num w:numId="8">
    <w:abstractNumId w:val="54"/>
  </w:num>
  <w:num w:numId="9">
    <w:abstractNumId w:val="50"/>
  </w:num>
  <w:num w:numId="10">
    <w:abstractNumId w:val="25"/>
  </w:num>
  <w:num w:numId="11">
    <w:abstractNumId w:val="6"/>
  </w:num>
  <w:num w:numId="12">
    <w:abstractNumId w:val="43"/>
  </w:num>
  <w:num w:numId="13">
    <w:abstractNumId w:val="26"/>
  </w:num>
  <w:num w:numId="14">
    <w:abstractNumId w:val="52"/>
  </w:num>
  <w:num w:numId="15">
    <w:abstractNumId w:val="28"/>
  </w:num>
  <w:num w:numId="16">
    <w:abstractNumId w:val="56"/>
  </w:num>
  <w:num w:numId="17">
    <w:abstractNumId w:val="58"/>
  </w:num>
  <w:num w:numId="18">
    <w:abstractNumId w:val="48"/>
  </w:num>
  <w:num w:numId="19">
    <w:abstractNumId w:val="3"/>
  </w:num>
  <w:num w:numId="20">
    <w:abstractNumId w:val="21"/>
  </w:num>
  <w:num w:numId="21">
    <w:abstractNumId w:val="33"/>
  </w:num>
  <w:num w:numId="22">
    <w:abstractNumId w:val="40"/>
  </w:num>
  <w:num w:numId="23">
    <w:abstractNumId w:val="23"/>
  </w:num>
  <w:num w:numId="24">
    <w:abstractNumId w:val="18"/>
  </w:num>
  <w:num w:numId="25">
    <w:abstractNumId w:val="57"/>
  </w:num>
  <w:num w:numId="26">
    <w:abstractNumId w:val="4"/>
  </w:num>
  <w:num w:numId="27">
    <w:abstractNumId w:val="17"/>
  </w:num>
  <w:num w:numId="28">
    <w:abstractNumId w:val="44"/>
  </w:num>
  <w:num w:numId="29">
    <w:abstractNumId w:val="24"/>
  </w:num>
  <w:num w:numId="30">
    <w:abstractNumId w:val="35"/>
  </w:num>
  <w:num w:numId="31">
    <w:abstractNumId w:val="16"/>
  </w:num>
  <w:num w:numId="32">
    <w:abstractNumId w:val="59"/>
  </w:num>
  <w:num w:numId="33">
    <w:abstractNumId w:val="0"/>
  </w:num>
  <w:num w:numId="34">
    <w:abstractNumId w:val="11"/>
  </w:num>
  <w:num w:numId="35">
    <w:abstractNumId w:val="13"/>
  </w:num>
  <w:num w:numId="36">
    <w:abstractNumId w:val="53"/>
  </w:num>
  <w:num w:numId="37">
    <w:abstractNumId w:val="46"/>
  </w:num>
  <w:num w:numId="38">
    <w:abstractNumId w:val="10"/>
  </w:num>
  <w:num w:numId="39">
    <w:abstractNumId w:val="37"/>
  </w:num>
  <w:num w:numId="40">
    <w:abstractNumId w:val="45"/>
  </w:num>
  <w:num w:numId="41">
    <w:abstractNumId w:val="34"/>
  </w:num>
  <w:num w:numId="42">
    <w:abstractNumId w:val="30"/>
  </w:num>
  <w:num w:numId="43">
    <w:abstractNumId w:val="55"/>
  </w:num>
  <w:num w:numId="44">
    <w:abstractNumId w:val="8"/>
  </w:num>
  <w:num w:numId="45">
    <w:abstractNumId w:val="1"/>
  </w:num>
  <w:num w:numId="46">
    <w:abstractNumId w:val="47"/>
  </w:num>
  <w:num w:numId="47">
    <w:abstractNumId w:val="49"/>
  </w:num>
  <w:num w:numId="48">
    <w:abstractNumId w:val="9"/>
  </w:num>
  <w:num w:numId="49">
    <w:abstractNumId w:val="19"/>
  </w:num>
  <w:num w:numId="50">
    <w:abstractNumId w:val="32"/>
  </w:num>
  <w:num w:numId="51">
    <w:abstractNumId w:val="14"/>
  </w:num>
  <w:num w:numId="52">
    <w:abstractNumId w:val="5"/>
  </w:num>
  <w:num w:numId="53">
    <w:abstractNumId w:val="15"/>
  </w:num>
  <w:num w:numId="54">
    <w:abstractNumId w:val="20"/>
  </w:num>
  <w:num w:numId="55">
    <w:abstractNumId w:val="22"/>
  </w:num>
  <w:num w:numId="56">
    <w:abstractNumId w:val="42"/>
  </w:num>
  <w:num w:numId="57">
    <w:abstractNumId w:val="12"/>
  </w:num>
  <w:num w:numId="58">
    <w:abstractNumId w:val="2"/>
  </w:num>
  <w:num w:numId="59">
    <w:abstractNumId w:val="31"/>
  </w:num>
  <w:num w:numId="60">
    <w:abstractNumId w:val="27"/>
  </w:num>
  <w:num w:numId="61">
    <w:abstractNumId w:val="3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savePreviewPicture/>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67FCA"/>
    <w:rsid w:val="001B68EB"/>
    <w:rsid w:val="00467FCA"/>
    <w:rsid w:val="00624696"/>
    <w:rsid w:val="00AF39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824BC21"/>
  <w15:docId w15:val="{F2CEDC12-C901-4D42-B8D3-CAE2585E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uiPriority w:val="9"/>
    <w:qFormat/>
    <w:pPr>
      <w:ind w:left="741"/>
      <w:outlineLvl w:val="0"/>
    </w:pPr>
    <w:rPr>
      <w:b/>
      <w:bCs/>
      <w:sz w:val="20"/>
      <w:szCs w:val="20"/>
    </w:rPr>
  </w:style>
  <w:style w:type="paragraph" w:styleId="Ttulo2">
    <w:name w:val="heading 2"/>
    <w:basedOn w:val="Normal"/>
    <w:uiPriority w:val="9"/>
    <w:unhideWhenUsed/>
    <w:qFormat/>
    <w:pPr>
      <w:ind w:left="839"/>
      <w:outlineLvl w:val="1"/>
    </w:pPr>
    <w:rPr>
      <w:b/>
      <w:bCs/>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3"/>
      <w:ind w:left="601" w:hanging="481"/>
    </w:pPr>
    <w:rPr>
      <w:b/>
      <w:bCs/>
      <w:sz w:val="18"/>
      <w:szCs w:val="18"/>
    </w:rPr>
  </w:style>
  <w:style w:type="paragraph" w:styleId="TDC2">
    <w:name w:val="toc 2"/>
    <w:basedOn w:val="Normal"/>
    <w:uiPriority w:val="1"/>
    <w:qFormat/>
    <w:pPr>
      <w:spacing w:before="33"/>
      <w:ind w:left="360" w:hanging="366"/>
    </w:pPr>
    <w:rPr>
      <w:sz w:val="18"/>
      <w:szCs w:val="18"/>
    </w:r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19"/>
      <w:jc w:val="both"/>
    </w:pPr>
  </w:style>
  <w:style w:type="paragraph" w:customStyle="1" w:styleId="TableParagraph">
    <w:name w:val="Table Paragraph"/>
    <w:basedOn w:val="Normal"/>
    <w:uiPriority w:val="1"/>
    <w:qFormat/>
    <w:pPr>
      <w:spacing w:before="29"/>
      <w:ind w:left="101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enit.trabalho.gov.br/portal/images/Arquivos_SST/SST_Legislacao/SST_Legislacao_Portarias_1978/00---Portaria-MTb-n.-3.214_78.pdf" TargetMode="External"/><Relationship Id="rId21" Type="http://schemas.openxmlformats.org/officeDocument/2006/relationships/hyperlink" Target="https://governo-ba.jusbrasil.com.br/legislacao/79274/decreto-6465-97" TargetMode="External"/><Relationship Id="rId42" Type="http://schemas.openxmlformats.org/officeDocument/2006/relationships/hyperlink" Target="http://www.planalto.gov.br/ccivil_03/_ato2015-2018/2018/Decreto/D9571.htm" TargetMode="External"/><Relationship Id="rId47" Type="http://schemas.openxmlformats.org/officeDocument/2006/relationships/hyperlink" Target="http://www.camara.leg.br/proposicoesWeb/prop_mostrarintegra?codteor=1468431&amp;filename=PEC%2B24" TargetMode="External"/><Relationship Id="rId63" Type="http://schemas.openxmlformats.org/officeDocument/2006/relationships/hyperlink" Target="http://www.oas.org/juridico/spanish/Tratados/a-52.html" TargetMode="External"/><Relationship Id="rId68" Type="http://schemas.openxmlformats.org/officeDocument/2006/relationships/hyperlink" Target="https://www.corteidh.or.cr/sitios/libros/todos/docs/dialogo-es.pdf" TargetMode="External"/><Relationship Id="rId2" Type="http://schemas.openxmlformats.org/officeDocument/2006/relationships/styles" Target="styles.xml"/><Relationship Id="rId16" Type="http://schemas.openxmlformats.org/officeDocument/2006/relationships/hyperlink" Target="http://www.planalto.gov.br/ccivil_03/_Ato2015-2018/2015/Lei/L13105.htm" TargetMode="External"/><Relationship Id="rId29" Type="http://schemas.openxmlformats.org/officeDocument/2006/relationships/hyperlink" Target="http://www.ipea.gov.br/retrato/pdf/primeiraedicao.pdf" TargetMode="External"/><Relationship Id="rId11" Type="http://schemas.openxmlformats.org/officeDocument/2006/relationships/hyperlink" Target="https://sidra.ibge.gov.br/tabela/2093%23/n1/all/n6/2928703/v/allxp/p/last%201/c86/all/c2/0/c1/0/c58/0/d/v93%200/l/v%2Cp%2Bc86%2Bc2%2Ct%2Bc1%2Bc58/resultado" TargetMode="External"/><Relationship Id="rId24" Type="http://schemas.openxmlformats.org/officeDocument/2006/relationships/hyperlink" Target="https://enit.trabalho.gov.br/portal/images/Arquivos_SST/SST_NR/NR-16-atualizada-2019.pdf" TargetMode="External"/><Relationship Id="rId32" Type="http://schemas.openxmlformats.org/officeDocument/2006/relationships/footer" Target="footer2.xml"/><Relationship Id="rId37" Type="http://schemas.openxmlformats.org/officeDocument/2006/relationships/hyperlink" Target="http://www.planalto.gov.br/ccivil_03/_Ato2015-2018/2018/Decreto/D9493.htm" TargetMode="External"/><Relationship Id="rId40" Type="http://schemas.openxmlformats.org/officeDocument/2006/relationships/hyperlink" Target="http://www.ilo.org/wcmsp5/groups/public/---ed_norm/---declaration/documents/publication/wcms_467655.pdf" TargetMode="External"/><Relationship Id="rId45" Type="http://schemas.openxmlformats.org/officeDocument/2006/relationships/hyperlink" Target="https://www25.senado.leg.br/web/atividade/materias/-/materia/127337" TargetMode="External"/><Relationship Id="rId53" Type="http://schemas.openxmlformats.org/officeDocument/2006/relationships/footer" Target="footer7.xml"/><Relationship Id="rId58" Type="http://schemas.openxmlformats.org/officeDocument/2006/relationships/footer" Target="footer10.xml"/><Relationship Id="rId66" Type="http://schemas.openxmlformats.org/officeDocument/2006/relationships/footer" Target="footer14.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oas.org/juridico/spanish/Tratados/a-52.html" TargetMode="External"/><Relationship Id="rId19" Type="http://schemas.openxmlformats.org/officeDocument/2006/relationships/hyperlink" Target="http://www.planalto.gov.br/ccivil_03/decreto/Antigos/D55649.htm" TargetMode="External"/><Relationship Id="rId14" Type="http://schemas.openxmlformats.org/officeDocument/2006/relationships/hyperlink" Target="https://br.rbth.com/economia/2014/01/21/para_alcancar_lider_china_russia_quer_exportar_pirotecnia_23777" TargetMode="External"/><Relationship Id="rId22" Type="http://schemas.openxmlformats.org/officeDocument/2006/relationships/hyperlink" Target="http://www.planalto.gov.br/ccivil_03/constituicao/constituicao.htm" TargetMode="External"/><Relationship Id="rId27" Type="http://schemas.openxmlformats.org/officeDocument/2006/relationships/hyperlink" Target="https://enit.trabalho.gov.br/portal/images/Arquivos_SST/SST_NR/NR-19.pdf" TargetMode="External"/><Relationship Id="rId30" Type="http://schemas.openxmlformats.org/officeDocument/2006/relationships/hyperlink" Target="http://www.ipea.gov.br/retrato/pdf/primeiraedicao.pdf" TargetMode="External"/><Relationship Id="rId35" Type="http://schemas.openxmlformats.org/officeDocument/2006/relationships/hyperlink" Target="http://www.planalto.gov.br/ccivil_03/decreto/d3665.htm" TargetMode="External"/><Relationship Id="rId43" Type="http://schemas.openxmlformats.org/officeDocument/2006/relationships/footer" Target="footer4.xml"/><Relationship Id="rId48" Type="http://schemas.openxmlformats.org/officeDocument/2006/relationships/hyperlink" Target="http://www.camara.leg.br/proposicoesWeb/prop_mostrarintegra?codteor=1468431&amp;filename=PEC%2B24" TargetMode="External"/><Relationship Id="rId56" Type="http://schemas.openxmlformats.org/officeDocument/2006/relationships/hyperlink" Target="http://www.oas.org/es/sadye/inclusion-social/protocolo-ssv/docs/pssv-indicadores-es.pdf" TargetMode="External"/><Relationship Id="rId64" Type="http://schemas.openxmlformats.org/officeDocument/2006/relationships/hyperlink" Target="http://www.oas.org/es/sadye/inclusion-social/protocolo-ssv/docs/pss-res-2262-es.doc" TargetMode="External"/><Relationship Id="rId69" Type="http://schemas.openxmlformats.org/officeDocument/2006/relationships/footer" Target="footer16.xml"/><Relationship Id="rId8" Type="http://schemas.openxmlformats.org/officeDocument/2006/relationships/hyperlink" Target="http://www.corteidh.or.cr/docs/asuntos/fabrica_de_fuegos_29_11_2019_por.pdf" TargetMode="External"/><Relationship Id="rId51" Type="http://schemas.openxmlformats.org/officeDocument/2006/relationships/hyperlink" Target="http://www.planalto.gov.br/ccivil_03/constituicao/constituicao.htm" TargetMode="External"/><Relationship Id="rId72" Type="http://schemas.openxmlformats.org/officeDocument/2006/relationships/hyperlink" Target="https://e-revistas.uc3m.es/index.php/EUNOM/article/view/2803/1534" TargetMode="External"/><Relationship Id="rId3" Type="http://schemas.openxmlformats.org/officeDocument/2006/relationships/settings" Target="settings.xml"/><Relationship Id="rId12" Type="http://schemas.openxmlformats.org/officeDocument/2006/relationships/hyperlink" Target="https://sidra.ibge.gov.br/tabela/2093%23/n1/all/n6/2928703/v/allxp/p/last%201/c86/all/c2/0/c1/0/c58/0/d/v93%200/l/v%2Cp%2Bc86%2Bc2%2Ct%2Bc1%2Bc58/resultado" TargetMode="External"/><Relationship Id="rId17" Type="http://schemas.openxmlformats.org/officeDocument/2006/relationships/hyperlink" Target="http://www.planalto.gov.br/ccivil_03/_Ato2015-2018/2015/Lei/L13105.htm" TargetMode="External"/><Relationship Id="rId25" Type="http://schemas.openxmlformats.org/officeDocument/2006/relationships/hyperlink" Target="https://enit.trabalho.gov.br/portal/images/Arquivos_SST/SST_Legislacao/SST_Legislacao_Portarias_1978/00---Portaria-MTb-n.-3.214_78.pdf" TargetMode="External"/><Relationship Id="rId33" Type="http://schemas.openxmlformats.org/officeDocument/2006/relationships/footer" Target="footer3.xml"/><Relationship Id="rId38" Type="http://schemas.openxmlformats.org/officeDocument/2006/relationships/hyperlink" Target="http://www.planalto.gov.br/ccivil_03/_Ato2019-2022/2019/Decreto/D10030.htm" TargetMode="External"/><Relationship Id="rId46" Type="http://schemas.openxmlformats.org/officeDocument/2006/relationships/hyperlink" Target="https://www.camara.leg.br/proposicoesWeb/fichadetramitacao?idProposicao=2088351" TargetMode="External"/><Relationship Id="rId59" Type="http://schemas.openxmlformats.org/officeDocument/2006/relationships/footer" Target="footer11.xml"/><Relationship Id="rId67" Type="http://schemas.openxmlformats.org/officeDocument/2006/relationships/footer" Target="footer15.xml"/><Relationship Id="rId20" Type="http://schemas.openxmlformats.org/officeDocument/2006/relationships/hyperlink" Target="https://governo-ba.jusbrasil.com.br/legislacao/79274/decreto-6465-97" TargetMode="External"/><Relationship Id="rId41" Type="http://schemas.openxmlformats.org/officeDocument/2006/relationships/hyperlink" Target="http://www.ilo.org/wcmsp5/groups/public/---ed_norm/---declaration/documents/publication/wcms_467655.pdf" TargetMode="External"/><Relationship Id="rId54" Type="http://schemas.openxmlformats.org/officeDocument/2006/relationships/footer" Target="footer8.xml"/><Relationship Id="rId62" Type="http://schemas.openxmlformats.org/officeDocument/2006/relationships/hyperlink" Target="http://www.oas.org/juridico/spanish/Tratados/a-52.html" TargetMode="External"/><Relationship Id="rId70" Type="http://schemas.openxmlformats.org/officeDocument/2006/relationships/footer" Target="footer17.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decreto-lei/del2848compilado.htm" TargetMode="External"/><Relationship Id="rId23" Type="http://schemas.openxmlformats.org/officeDocument/2006/relationships/hyperlink" Target="http://www.planalto.gov.br/ccivil_03/decreto-lei/del5452.htm" TargetMode="External"/><Relationship Id="rId28" Type="http://schemas.openxmlformats.org/officeDocument/2006/relationships/hyperlink" Target="http://www.planalto.gov.br/ccivil_03/leis/l8069.htm" TargetMode="External"/><Relationship Id="rId36" Type="http://schemas.openxmlformats.org/officeDocument/2006/relationships/hyperlink" Target="http://www.planalto.gov.br/ccivil_03/_Ato2015-2018/2018/Decreto/D9493.htm" TargetMode="External"/><Relationship Id="rId49" Type="http://schemas.openxmlformats.org/officeDocument/2006/relationships/hyperlink" Target="http://www.camara.leg.br/proposicoesWeb/prop_mostrarintegra?codteor=1468431&amp;filename=PEC%2B24" TargetMode="External"/><Relationship Id="rId57" Type="http://schemas.openxmlformats.org/officeDocument/2006/relationships/hyperlink" Target="http://www.oas.org/es/sadye/inclusion-social/protocolo-ssv/docs/pssv-indicadores-es.pdf" TargetMode="External"/><Relationship Id="rId10" Type="http://schemas.openxmlformats.org/officeDocument/2006/relationships/hyperlink" Target="https://www.un.org/es/cr%C3%B3nica-onu/discriminaci%C3%B3n-racial-y-mestizaje" TargetMode="External"/><Relationship Id="rId31" Type="http://schemas.openxmlformats.org/officeDocument/2006/relationships/hyperlink" Target="http://www.ipea.gov.br/retrato/pdf/primeiraedicao.pdf" TargetMode="External"/><Relationship Id="rId44" Type="http://schemas.openxmlformats.org/officeDocument/2006/relationships/hyperlink" Target="http://www.planalto.gov.br/ccivil_03/constituicao/emendas/emc/emc95.htm" TargetMode="External"/><Relationship Id="rId52" Type="http://schemas.openxmlformats.org/officeDocument/2006/relationships/footer" Target="footer6.xml"/><Relationship Id="rId60" Type="http://schemas.openxmlformats.org/officeDocument/2006/relationships/footer" Target="footer12.xml"/><Relationship Id="rId65" Type="http://schemas.openxmlformats.org/officeDocument/2006/relationships/footer" Target="footer13.xml"/><Relationship Id="rId73" Type="http://schemas.openxmlformats.org/officeDocument/2006/relationships/hyperlink" Target="https://e-revistas.uc3m.es/index.php/EUNOM/article/view/2803/1534" TargetMode="External"/><Relationship Id="rId4" Type="http://schemas.openxmlformats.org/officeDocument/2006/relationships/webSettings" Target="webSettings.xml"/><Relationship Id="rId9" Type="http://schemas.openxmlformats.org/officeDocument/2006/relationships/hyperlink" Target="http://www.corteidh.or.cr/docs/asuntos/fabrica_de_fuegos_29_11_2019_por.pdf" TargetMode="External"/><Relationship Id="rId13" Type="http://schemas.openxmlformats.org/officeDocument/2006/relationships/hyperlink" Target="http://www.atlasbrasil.org.br/2013/pt/perfil_m/santo-antonio-de-jesus_ba" TargetMode="External"/><Relationship Id="rId18" Type="http://schemas.openxmlformats.org/officeDocument/2006/relationships/hyperlink" Target="http://www.mtecbo.gov.br/cbosite/pages/pesquisas/BuscaPorTituloResultado.jsf" TargetMode="External"/><Relationship Id="rId39" Type="http://schemas.openxmlformats.org/officeDocument/2006/relationships/hyperlink" Target="http://www.ilo.org/wcmsp5/groups/public/---ed_norm/---declaration/documents/publication/wcms_467655.pdf" TargetMode="External"/><Relationship Id="rId34" Type="http://schemas.openxmlformats.org/officeDocument/2006/relationships/hyperlink" Target="https://www.camara.leg.br/proposicoesWeb/fichadetramitacao?idProposicao=2129817" TargetMode="External"/><Relationship Id="rId50" Type="http://schemas.openxmlformats.org/officeDocument/2006/relationships/footer" Target="footer5.xml"/><Relationship Id="rId55" Type="http://schemas.openxmlformats.org/officeDocument/2006/relationships/footer" Target="footer9.xml"/><Relationship Id="rId7" Type="http://schemas.openxmlformats.org/officeDocument/2006/relationships/footer" Target="footer1.xml"/><Relationship Id="rId71" Type="http://schemas.openxmlformats.org/officeDocument/2006/relationships/hyperlink" Target="https://chicagounbound.uchicago.edu/cgi/viewcontent.cgi?article=1052&amp;context=ucl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192</Pages>
  <Words>121190</Words>
  <Characters>666549</Characters>
  <Application>Microsoft Office Word</Application>
  <DocSecurity>0</DocSecurity>
  <Lines>5554</Lines>
  <Paragraphs>1572</Paragraphs>
  <ScaleCrop>false</ScaleCrop>
  <Company/>
  <LinksUpToDate>false</LinksUpToDate>
  <CharactersWithSpaces>786167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2020-11-06T14:27:00Z</dcterms:created>
  <dcterms:modified xsi:type="dcterms:W3CDTF">2020-11-06T14:27:00Z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Acrobat PDFMaker 19 for Word</vt:lpwstr>
  </property>
  <property fmtid="{D5CDD505-2E9C-101B-9397-08002B2CF9AE}" pid="4" name="LastSaved">
    <vt:filetime>2020-10-26T00:00:00Z</vt:filetime>
  </property>
</Properties>
</file>